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675F0" w:rsidRDefault="00E675F0" w:rsidP="00E675F0">
      <w:pPr>
        <w:pStyle w:val="BodyText"/>
        <w:spacing w:before="2"/>
        <w:rPr>
          <w:sz w:val="25"/>
        </w:rPr>
      </w:pPr>
    </w:p>
    <w:p w:rsidR="00E675F0" w:rsidRDefault="00E675F0" w:rsidP="00E675F0">
      <w:pPr>
        <w:spacing w:before="92" w:line="288" w:lineRule="auto"/>
        <w:ind w:left="91" w:right="81"/>
        <w:jc w:val="center"/>
        <w:rPr>
          <w:sz w:val="23"/>
        </w:rPr>
      </w:pPr>
      <w:bookmarkStart w:id="0" w:name="Front_Matter_"/>
      <w:bookmarkStart w:id="1" w:name="Cover_"/>
      <w:bookmarkEnd w:id="0"/>
      <w:bookmarkEnd w:id="1"/>
      <w:r>
        <w:rPr>
          <w:color w:val="E6C138"/>
          <w:sz w:val="23"/>
        </w:rPr>
        <w:t xml:space="preserve">D </w:t>
      </w:r>
      <w:r>
        <w:rPr>
          <w:color w:val="F4E238"/>
          <w:sz w:val="23"/>
        </w:rPr>
        <w:t>I</w:t>
      </w:r>
      <w:r>
        <w:rPr>
          <w:color w:val="E6C138"/>
          <w:sz w:val="23"/>
        </w:rPr>
        <w:t xml:space="preserve">AG </w:t>
      </w:r>
      <w:r>
        <w:rPr>
          <w:color w:val="D8A736"/>
          <w:sz w:val="23"/>
        </w:rPr>
        <w:t>N</w:t>
      </w:r>
      <w:r>
        <w:rPr>
          <w:color w:val="E6C138"/>
          <w:sz w:val="23"/>
        </w:rPr>
        <w:t>O ST</w:t>
      </w:r>
      <w:r>
        <w:rPr>
          <w:color w:val="F4E238"/>
          <w:sz w:val="23"/>
        </w:rPr>
        <w:t>I</w:t>
      </w:r>
      <w:r>
        <w:rPr>
          <w:color w:val="D8A736"/>
          <w:sz w:val="23"/>
        </w:rPr>
        <w:t xml:space="preserve">C </w:t>
      </w:r>
      <w:r>
        <w:rPr>
          <w:color w:val="E6C138"/>
          <w:spacing w:val="9"/>
          <w:sz w:val="23"/>
        </w:rPr>
        <w:t>A</w:t>
      </w:r>
      <w:r>
        <w:rPr>
          <w:color w:val="D8A736"/>
          <w:spacing w:val="9"/>
          <w:sz w:val="23"/>
        </w:rPr>
        <w:t>N</w:t>
      </w:r>
      <w:r>
        <w:rPr>
          <w:color w:val="E6C138"/>
          <w:spacing w:val="9"/>
          <w:sz w:val="23"/>
        </w:rPr>
        <w:t xml:space="preserve">D </w:t>
      </w:r>
      <w:r>
        <w:rPr>
          <w:color w:val="E6C138"/>
          <w:sz w:val="23"/>
        </w:rPr>
        <w:t>S TAT</w:t>
      </w:r>
      <w:r>
        <w:rPr>
          <w:color w:val="F4E238"/>
          <w:sz w:val="23"/>
        </w:rPr>
        <w:t>I</w:t>
      </w:r>
      <w:r>
        <w:rPr>
          <w:color w:val="E6C138"/>
          <w:sz w:val="23"/>
        </w:rPr>
        <w:t>ST</w:t>
      </w:r>
      <w:r>
        <w:rPr>
          <w:color w:val="F4E238"/>
          <w:sz w:val="23"/>
        </w:rPr>
        <w:t>I</w:t>
      </w:r>
      <w:r>
        <w:rPr>
          <w:color w:val="D8A736"/>
          <w:sz w:val="23"/>
        </w:rPr>
        <w:t>C</w:t>
      </w:r>
      <w:r>
        <w:rPr>
          <w:color w:val="E6C138"/>
          <w:sz w:val="23"/>
        </w:rPr>
        <w:t xml:space="preserve">AL M </w:t>
      </w:r>
      <w:r>
        <w:rPr>
          <w:color w:val="E6C138"/>
          <w:spacing w:val="5"/>
          <w:sz w:val="23"/>
        </w:rPr>
        <w:t>A</w:t>
      </w:r>
      <w:r>
        <w:rPr>
          <w:color w:val="D8A736"/>
          <w:spacing w:val="5"/>
          <w:sz w:val="23"/>
        </w:rPr>
        <w:t>NU</w:t>
      </w:r>
      <w:r>
        <w:rPr>
          <w:color w:val="E6C138"/>
          <w:spacing w:val="5"/>
          <w:sz w:val="23"/>
        </w:rPr>
        <w:t>AL</w:t>
      </w:r>
      <w:r>
        <w:rPr>
          <w:color w:val="E6C138"/>
          <w:spacing w:val="58"/>
          <w:sz w:val="23"/>
        </w:rPr>
        <w:t xml:space="preserve"> </w:t>
      </w:r>
      <w:r>
        <w:rPr>
          <w:color w:val="E6C138"/>
          <w:sz w:val="23"/>
        </w:rPr>
        <w:t>OF</w:t>
      </w:r>
    </w:p>
    <w:p w:rsidR="00E675F0" w:rsidRDefault="00E675F0" w:rsidP="00E675F0">
      <w:pPr>
        <w:spacing w:line="259" w:lineRule="exact"/>
        <w:ind w:left="86" w:right="81"/>
        <w:jc w:val="center"/>
        <w:rPr>
          <w:sz w:val="23"/>
        </w:rPr>
      </w:pPr>
      <w:r>
        <w:rPr>
          <w:color w:val="E6C138"/>
          <w:sz w:val="23"/>
        </w:rPr>
        <w:t>M E</w:t>
      </w:r>
      <w:r>
        <w:rPr>
          <w:color w:val="D8A736"/>
          <w:sz w:val="23"/>
        </w:rPr>
        <w:t>N</w:t>
      </w:r>
      <w:r>
        <w:rPr>
          <w:color w:val="E6C138"/>
          <w:sz w:val="23"/>
        </w:rPr>
        <w:t xml:space="preserve">TAL D </w:t>
      </w:r>
      <w:r>
        <w:rPr>
          <w:color w:val="F4E238"/>
          <w:sz w:val="23"/>
        </w:rPr>
        <w:t>I</w:t>
      </w:r>
      <w:r>
        <w:rPr>
          <w:color w:val="E6C138"/>
          <w:sz w:val="23"/>
        </w:rPr>
        <w:t>SO RDERS</w:t>
      </w:r>
    </w:p>
    <w:p w:rsidR="00E675F0" w:rsidRDefault="00E675F0" w:rsidP="00E675F0">
      <w:pPr>
        <w:spacing w:before="110"/>
        <w:ind w:left="80" w:right="81"/>
        <w:jc w:val="center"/>
        <w:rPr>
          <w:rFonts w:ascii="Arial"/>
          <w:b/>
          <w:sz w:val="13"/>
        </w:rPr>
      </w:pPr>
      <w:r>
        <w:rPr>
          <w:rFonts w:ascii="Arial"/>
          <w:b/>
          <w:color w:val="E6C138"/>
          <w:w w:val="110"/>
          <w:sz w:val="13"/>
        </w:rPr>
        <w:t>F</w:t>
      </w:r>
      <w:r>
        <w:rPr>
          <w:rFonts w:ascii="Arial"/>
          <w:b/>
          <w:color w:val="D8A736"/>
          <w:w w:val="110"/>
          <w:sz w:val="13"/>
        </w:rPr>
        <w:t>OUR</w:t>
      </w:r>
      <w:r>
        <w:rPr>
          <w:rFonts w:ascii="Arial"/>
          <w:b/>
          <w:color w:val="E6C138"/>
          <w:w w:val="110"/>
          <w:sz w:val="13"/>
        </w:rPr>
        <w:t>TH E</w:t>
      </w:r>
      <w:r>
        <w:rPr>
          <w:rFonts w:ascii="Arial"/>
          <w:b/>
          <w:color w:val="D8A736"/>
          <w:w w:val="110"/>
          <w:sz w:val="13"/>
        </w:rPr>
        <w:t>DI</w:t>
      </w:r>
      <w:r>
        <w:rPr>
          <w:rFonts w:ascii="Arial"/>
          <w:b/>
          <w:color w:val="E6C138"/>
          <w:w w:val="110"/>
          <w:sz w:val="13"/>
        </w:rPr>
        <w:t>TI</w:t>
      </w:r>
      <w:r>
        <w:rPr>
          <w:rFonts w:ascii="Arial"/>
          <w:b/>
          <w:color w:val="D8A736"/>
          <w:w w:val="110"/>
          <w:sz w:val="13"/>
        </w:rPr>
        <w:t>O</w:t>
      </w:r>
      <w:r>
        <w:rPr>
          <w:rFonts w:ascii="Arial"/>
          <w:b/>
          <w:color w:val="E6C138"/>
          <w:w w:val="110"/>
          <w:sz w:val="13"/>
        </w:rPr>
        <w:t>N</w:t>
      </w:r>
    </w:p>
    <w:p w:rsidR="00E675F0" w:rsidRDefault="00E675F0" w:rsidP="00E675F0">
      <w:pPr>
        <w:pStyle w:val="BodyText"/>
        <w:rPr>
          <w:rFonts w:ascii="Arial"/>
          <w:b/>
          <w:sz w:val="14"/>
        </w:rPr>
      </w:pPr>
    </w:p>
    <w:p w:rsidR="00E675F0" w:rsidRDefault="00E675F0" w:rsidP="00E675F0">
      <w:pPr>
        <w:pStyle w:val="BodyText"/>
        <w:spacing w:before="10"/>
        <w:rPr>
          <w:rFonts w:ascii="Arial"/>
          <w:b/>
          <w:sz w:val="17"/>
        </w:rPr>
      </w:pPr>
    </w:p>
    <w:p w:rsidR="00E675F0" w:rsidRDefault="00E675F0" w:rsidP="00E675F0">
      <w:pPr>
        <w:ind w:left="84" w:right="81"/>
        <w:jc w:val="center"/>
        <w:rPr>
          <w:rFonts w:ascii="Arial" w:hAnsi="Arial"/>
          <w:b/>
          <w:sz w:val="52"/>
        </w:rPr>
      </w:pPr>
      <w:r>
        <w:rPr>
          <w:rFonts w:ascii="Arial" w:hAnsi="Arial"/>
          <w:b/>
          <w:color w:val="F4E238"/>
          <w:sz w:val="52"/>
        </w:rPr>
        <w:t>D</w:t>
      </w:r>
      <w:r>
        <w:rPr>
          <w:rFonts w:ascii="Arial" w:hAnsi="Arial"/>
          <w:b/>
          <w:color w:val="F4E238"/>
          <w:spacing w:val="-89"/>
          <w:sz w:val="52"/>
        </w:rPr>
        <w:t xml:space="preserve"> </w:t>
      </w:r>
      <w:r>
        <w:rPr>
          <w:rFonts w:ascii="Arial" w:hAnsi="Arial"/>
          <w:b/>
          <w:color w:val="F4E238"/>
          <w:sz w:val="52"/>
        </w:rPr>
        <w:t>SM -</w:t>
      </w:r>
      <w:r>
        <w:rPr>
          <w:rFonts w:ascii="Arial" w:hAnsi="Arial"/>
          <w:b/>
          <w:color w:val="F4E238"/>
          <w:spacing w:val="-106"/>
          <w:sz w:val="52"/>
        </w:rPr>
        <w:t xml:space="preserve"> </w:t>
      </w:r>
      <w:r>
        <w:rPr>
          <w:rFonts w:ascii="Arial" w:hAnsi="Arial"/>
          <w:b/>
          <w:color w:val="F4E238"/>
          <w:sz w:val="52"/>
        </w:rPr>
        <w:t>I</w:t>
      </w:r>
      <w:r>
        <w:rPr>
          <w:rFonts w:ascii="Arial" w:hAnsi="Arial"/>
          <w:b/>
          <w:color w:val="F4E238"/>
          <w:spacing w:val="-77"/>
          <w:sz w:val="52"/>
        </w:rPr>
        <w:t xml:space="preserve"> </w:t>
      </w:r>
      <w:r>
        <w:rPr>
          <w:rFonts w:ascii="Arial" w:hAnsi="Arial"/>
          <w:b/>
          <w:color w:val="F4E238"/>
          <w:sz w:val="52"/>
        </w:rPr>
        <w:t>V</w:t>
      </w:r>
      <w:r>
        <w:rPr>
          <w:rFonts w:ascii="Arial" w:hAnsi="Arial"/>
          <w:b/>
          <w:color w:val="F4E238"/>
          <w:spacing w:val="-73"/>
          <w:sz w:val="52"/>
        </w:rPr>
        <w:t xml:space="preserve"> </w:t>
      </w:r>
      <w:r>
        <w:rPr>
          <w:rFonts w:ascii="Arial" w:hAnsi="Arial"/>
          <w:b/>
          <w:color w:val="E6C138"/>
          <w:w w:val="90"/>
          <w:sz w:val="52"/>
        </w:rPr>
        <w:t>™</w:t>
      </w:r>
    </w:p>
    <w:p w:rsidR="00E675F0" w:rsidRDefault="00E675F0" w:rsidP="00E675F0">
      <w:pPr>
        <w:pStyle w:val="BodyText"/>
        <w:rPr>
          <w:rFonts w:ascii="Arial"/>
          <w:b/>
          <w:sz w:val="58"/>
        </w:rPr>
      </w:pPr>
    </w:p>
    <w:p w:rsidR="00E675F0" w:rsidRDefault="00E675F0" w:rsidP="00E675F0">
      <w:pPr>
        <w:pStyle w:val="BodyText"/>
        <w:rPr>
          <w:rFonts w:ascii="Arial"/>
          <w:b/>
          <w:sz w:val="58"/>
        </w:rPr>
      </w:pPr>
    </w:p>
    <w:p w:rsidR="00E675F0" w:rsidRDefault="00E675F0" w:rsidP="00E675F0">
      <w:pPr>
        <w:pStyle w:val="BodyText"/>
        <w:rPr>
          <w:rFonts w:ascii="Arial"/>
          <w:b/>
          <w:sz w:val="58"/>
        </w:rPr>
      </w:pPr>
    </w:p>
    <w:p w:rsidR="00E675F0" w:rsidRDefault="00E675F0" w:rsidP="00E675F0">
      <w:pPr>
        <w:pStyle w:val="BodyText"/>
        <w:rPr>
          <w:rFonts w:ascii="Arial"/>
          <w:b/>
          <w:sz w:val="58"/>
        </w:rPr>
      </w:pPr>
    </w:p>
    <w:p w:rsidR="00E675F0" w:rsidRDefault="00E675F0" w:rsidP="00E675F0">
      <w:pPr>
        <w:pStyle w:val="BodyText"/>
        <w:rPr>
          <w:rFonts w:ascii="Arial"/>
          <w:b/>
          <w:sz w:val="58"/>
        </w:rPr>
      </w:pPr>
    </w:p>
    <w:p w:rsidR="00E675F0" w:rsidRDefault="00E675F0" w:rsidP="00E675F0">
      <w:pPr>
        <w:pStyle w:val="BodyText"/>
        <w:spacing w:before="11"/>
        <w:rPr>
          <w:rFonts w:ascii="Arial"/>
          <w:b/>
          <w:sz w:val="49"/>
        </w:rPr>
      </w:pPr>
    </w:p>
    <w:p w:rsidR="00E675F0" w:rsidRDefault="00E675F0" w:rsidP="00E675F0">
      <w:pPr>
        <w:ind w:left="16" w:right="81"/>
        <w:jc w:val="center"/>
        <w:rPr>
          <w:rFonts w:ascii="Arial"/>
          <w:b/>
          <w:sz w:val="13"/>
        </w:rPr>
      </w:pPr>
      <w:r>
        <w:rPr>
          <w:rFonts w:ascii="Arial"/>
          <w:b/>
          <w:color w:val="E6C138"/>
          <w:sz w:val="13"/>
        </w:rPr>
        <w:t xml:space="preserve">AM </w:t>
      </w:r>
      <w:r>
        <w:rPr>
          <w:rFonts w:ascii="Arial"/>
          <w:b/>
          <w:color w:val="D8A736"/>
          <w:sz w:val="13"/>
        </w:rPr>
        <w:t>E</w:t>
      </w:r>
      <w:r>
        <w:rPr>
          <w:rFonts w:ascii="Arial"/>
          <w:b/>
          <w:color w:val="E6C138"/>
          <w:sz w:val="13"/>
        </w:rPr>
        <w:t xml:space="preserve">RICAN P </w:t>
      </w:r>
      <w:r>
        <w:rPr>
          <w:rFonts w:ascii="Arial"/>
          <w:b/>
          <w:color w:val="D8A736"/>
          <w:sz w:val="13"/>
        </w:rPr>
        <w:t>S</w:t>
      </w:r>
      <w:r>
        <w:rPr>
          <w:rFonts w:ascii="Arial"/>
          <w:b/>
          <w:color w:val="E6C138"/>
          <w:sz w:val="13"/>
        </w:rPr>
        <w:t xml:space="preserve">Y </w:t>
      </w:r>
      <w:r>
        <w:rPr>
          <w:rFonts w:ascii="Arial"/>
          <w:b/>
          <w:color w:val="D8A736"/>
          <w:sz w:val="13"/>
        </w:rPr>
        <w:t>C</w:t>
      </w:r>
      <w:r>
        <w:rPr>
          <w:rFonts w:ascii="Arial"/>
          <w:b/>
          <w:color w:val="E6C138"/>
          <w:sz w:val="13"/>
        </w:rPr>
        <w:t>H</w:t>
      </w:r>
      <w:r>
        <w:rPr>
          <w:rFonts w:ascii="Arial"/>
          <w:b/>
          <w:color w:val="D8A736"/>
          <w:sz w:val="13"/>
        </w:rPr>
        <w:t xml:space="preserve">I </w:t>
      </w:r>
      <w:r>
        <w:rPr>
          <w:rFonts w:ascii="Arial"/>
          <w:b/>
          <w:color w:val="E6C138"/>
          <w:sz w:val="13"/>
        </w:rPr>
        <w:t>ATRI</w:t>
      </w:r>
      <w:r>
        <w:rPr>
          <w:rFonts w:ascii="Arial"/>
          <w:b/>
          <w:color w:val="D8A736"/>
          <w:sz w:val="13"/>
        </w:rPr>
        <w:t xml:space="preserve">C </w:t>
      </w:r>
      <w:r>
        <w:rPr>
          <w:rFonts w:ascii="Arial"/>
          <w:b/>
          <w:color w:val="E6C138"/>
          <w:sz w:val="13"/>
        </w:rPr>
        <w:t>As</w:t>
      </w:r>
      <w:r>
        <w:rPr>
          <w:rFonts w:ascii="Arial"/>
          <w:b/>
          <w:color w:val="D8A736"/>
          <w:sz w:val="13"/>
        </w:rPr>
        <w:t>SO C</w:t>
      </w:r>
      <w:r>
        <w:rPr>
          <w:rFonts w:ascii="Arial"/>
          <w:b/>
          <w:color w:val="E6C138"/>
          <w:sz w:val="13"/>
        </w:rPr>
        <w:t>IATION</w:t>
      </w:r>
    </w:p>
    <w:p w:rsidR="00E675F0" w:rsidRDefault="00E675F0" w:rsidP="00E675F0">
      <w:pPr>
        <w:jc w:val="center"/>
        <w:rPr>
          <w:rFonts w:ascii="Arial"/>
          <w:sz w:val="13"/>
        </w:rPr>
        <w:sectPr w:rsidR="00E675F0" w:rsidSect="00E675F0">
          <w:pgSz w:w="5040" w:h="7400"/>
          <w:pgMar w:top="640" w:right="600" w:bottom="0" w:left="500" w:header="720" w:footer="720" w:gutter="0"/>
          <w:cols w:space="720"/>
        </w:sectPr>
      </w:pPr>
    </w:p>
    <w:p w:rsidR="00E675F0" w:rsidRDefault="00E675F0" w:rsidP="00E675F0">
      <w:pPr>
        <w:pStyle w:val="BodyText"/>
        <w:rPr>
          <w:rFonts w:ascii="Arial"/>
          <w:b/>
        </w:rPr>
      </w:pPr>
      <w:r>
        <w:rPr>
          <w:noProof/>
        </w:rPr>
        <w:lastRenderedPageBreak/>
        <mc:AlternateContent>
          <mc:Choice Requires="wpg">
            <w:drawing>
              <wp:anchor distT="0" distB="0" distL="114300" distR="114300" simplePos="0" relativeHeight="251736064" behindDoc="1" locked="0" layoutInCell="1" allowOverlap="1" wp14:anchorId="05E967FC" wp14:editId="6646E94A">
                <wp:simplePos x="0" y="0"/>
                <wp:positionH relativeFrom="page">
                  <wp:posOffset>452120</wp:posOffset>
                </wp:positionH>
                <wp:positionV relativeFrom="page">
                  <wp:posOffset>3421380</wp:posOffset>
                </wp:positionV>
                <wp:extent cx="4780280" cy="4770755"/>
                <wp:effectExtent l="0" t="0" r="7620" b="4445"/>
                <wp:wrapNone/>
                <wp:docPr id="1741" name="Group 1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0280" cy="4770755"/>
                          <a:chOff x="712" y="5388"/>
                          <a:chExt cx="7528" cy="7513"/>
                        </a:xfrm>
                      </wpg:grpSpPr>
                      <wps:wsp>
                        <wps:cNvPr id="1742" name="AutoShape 1702"/>
                        <wps:cNvSpPr>
                          <a:spLocks/>
                        </wps:cNvSpPr>
                        <wps:spPr bwMode="auto">
                          <a:xfrm>
                            <a:off x="712" y="5537"/>
                            <a:ext cx="7489" cy="7364"/>
                          </a:xfrm>
                          <a:custGeom>
                            <a:avLst/>
                            <a:gdLst>
                              <a:gd name="T0" fmla="+- 0 736 712"/>
                              <a:gd name="T1" fmla="*/ T0 w 7489"/>
                              <a:gd name="T2" fmla="+- 0 12901 5537"/>
                              <a:gd name="T3" fmla="*/ 12901 h 7364"/>
                              <a:gd name="T4" fmla="+- 0 736 712"/>
                              <a:gd name="T5" fmla="*/ T4 w 7489"/>
                              <a:gd name="T6" fmla="+- 0 5537 5537"/>
                              <a:gd name="T7" fmla="*/ 5537 h 7364"/>
                              <a:gd name="T8" fmla="+- 0 712 712"/>
                              <a:gd name="T9" fmla="*/ T8 w 7489"/>
                              <a:gd name="T10" fmla="+- 0 5562 5537"/>
                              <a:gd name="T11" fmla="*/ 5562 h 7364"/>
                              <a:gd name="T12" fmla="+- 0 2021 712"/>
                              <a:gd name="T13" fmla="*/ T12 w 7489"/>
                              <a:gd name="T14" fmla="+- 0 5562 5537"/>
                              <a:gd name="T15" fmla="*/ 5562 h 7364"/>
                              <a:gd name="T16" fmla="+- 0 8201 712"/>
                              <a:gd name="T17" fmla="*/ T16 w 7489"/>
                              <a:gd name="T18" fmla="+- 0 12901 5537"/>
                              <a:gd name="T19" fmla="*/ 12901 h 7364"/>
                              <a:gd name="T20" fmla="+- 0 8201 712"/>
                              <a:gd name="T21" fmla="*/ T20 w 7489"/>
                              <a:gd name="T22" fmla="+- 0 5557 5537"/>
                              <a:gd name="T23" fmla="*/ 5557 h 7364"/>
                            </a:gdLst>
                            <a:ahLst/>
                            <a:cxnLst>
                              <a:cxn ang="0">
                                <a:pos x="T1" y="T3"/>
                              </a:cxn>
                              <a:cxn ang="0">
                                <a:pos x="T5" y="T7"/>
                              </a:cxn>
                              <a:cxn ang="0">
                                <a:pos x="T9" y="T11"/>
                              </a:cxn>
                              <a:cxn ang="0">
                                <a:pos x="T13" y="T15"/>
                              </a:cxn>
                              <a:cxn ang="0">
                                <a:pos x="T17" y="T19"/>
                              </a:cxn>
                              <a:cxn ang="0">
                                <a:pos x="T21" y="T23"/>
                              </a:cxn>
                            </a:cxnLst>
                            <a:rect l="0" t="0" r="r" b="b"/>
                            <a:pathLst>
                              <a:path w="7489" h="7364">
                                <a:moveTo>
                                  <a:pt x="24" y="7364"/>
                                </a:moveTo>
                                <a:lnTo>
                                  <a:pt x="24" y="0"/>
                                </a:lnTo>
                                <a:moveTo>
                                  <a:pt x="0" y="25"/>
                                </a:moveTo>
                                <a:lnTo>
                                  <a:pt x="1309" y="25"/>
                                </a:lnTo>
                                <a:moveTo>
                                  <a:pt x="7489" y="7364"/>
                                </a:moveTo>
                                <a:lnTo>
                                  <a:pt x="7489" y="20"/>
                                </a:lnTo>
                              </a:path>
                            </a:pathLst>
                          </a:custGeom>
                          <a:noFill/>
                          <a:ln w="1527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3" name="Line 1701"/>
                        <wps:cNvCnPr>
                          <a:cxnSpLocks/>
                        </wps:cNvCnPr>
                        <wps:spPr bwMode="auto">
                          <a:xfrm>
                            <a:off x="7065" y="5562"/>
                            <a:ext cx="1155" cy="0"/>
                          </a:xfrm>
                          <a:prstGeom prst="line">
                            <a:avLst/>
                          </a:prstGeom>
                          <a:noFill/>
                          <a:ln w="183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4" name="Line 1700"/>
                        <wps:cNvCnPr>
                          <a:cxnSpLocks/>
                        </wps:cNvCnPr>
                        <wps:spPr bwMode="auto">
                          <a:xfrm>
                            <a:off x="712" y="12882"/>
                            <a:ext cx="7528" cy="0"/>
                          </a:xfrm>
                          <a:prstGeom prst="line">
                            <a:avLst/>
                          </a:prstGeom>
                          <a:noFill/>
                          <a:ln w="1526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5" name="Text Box 1699"/>
                        <wps:cNvSpPr txBox="1">
                          <a:spLocks/>
                        </wps:cNvSpPr>
                        <wps:spPr bwMode="auto">
                          <a:xfrm>
                            <a:off x="2146" y="5388"/>
                            <a:ext cx="4852" cy="1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5F0" w:rsidRDefault="00E675F0" w:rsidP="00E675F0">
                              <w:pPr>
                                <w:spacing w:line="1174" w:lineRule="exact"/>
                                <w:rPr>
                                  <w:rFonts w:ascii="Arial" w:hAnsi="Arial"/>
                                  <w:b/>
                                  <w:sz w:val="105"/>
                                </w:rPr>
                              </w:pPr>
                              <w:r>
                                <w:rPr>
                                  <w:rFonts w:ascii="Arial" w:hAnsi="Arial"/>
                                  <w:b/>
                                  <w:sz w:val="105"/>
                                </w:rPr>
                                <w:t>DSM-IV™</w:t>
                              </w:r>
                            </w:p>
                          </w:txbxContent>
                        </wps:txbx>
                        <wps:bodyPr rot="0" vert="horz" wrap="square" lIns="0" tIns="0" rIns="0" bIns="0" anchor="t" anchorCtr="0" upright="1">
                          <a:noAutofit/>
                        </wps:bodyPr>
                      </wps:wsp>
                      <wps:wsp>
                        <wps:cNvPr id="1746" name="Text Box 1698"/>
                        <wps:cNvSpPr txBox="1">
                          <a:spLocks/>
                        </wps:cNvSpPr>
                        <wps:spPr bwMode="auto">
                          <a:xfrm>
                            <a:off x="4511" y="8941"/>
                            <a:ext cx="1431"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5F0" w:rsidRDefault="00E675F0" w:rsidP="00E675F0">
                              <w:pPr>
                                <w:spacing w:line="477" w:lineRule="exact"/>
                                <w:rPr>
                                  <w:b/>
                                  <w:sz w:val="43"/>
                                </w:rPr>
                              </w:pPr>
                              <w:r>
                                <w:rPr>
                                  <w:b/>
                                  <w:w w:val="60"/>
                                  <w:sz w:val="43"/>
                                </w:rPr>
                                <w:t>RECEIVED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E967FC" id="Group 1697" o:spid="_x0000_s1026" style="position:absolute;margin-left:35.6pt;margin-top:269.4pt;width:376.4pt;height:375.65pt;z-index:-251580416;mso-position-horizontal-relative:page;mso-position-vertical-relative:page" coordorigin="712,5388" coordsize="7528,75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">
                <v:shape id="AutoShape 1702" o:spid="_x0000_s1027" style="position:absolute;left:712;top:5537;width:7489;height:7364;visibility:visible;mso-wrap-style:square;v-text-anchor:top" coordsize="7489,73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" path="m24,7364l24,m,25r1309,m7489,7364r,-7344e" filled="f" strokeweight=".42419mm">
                  <v:path arrowok="t" o:connecttype="custom" o:connectlocs="24,12901;24,5537;0,5562;1309,5562;7489,12901;7489,5557" o:connectangles="0,0,0,0,0,0"/>
                </v:shape>
                <v:line id="Line 1701" o:spid="_x0000_s1028" style="position:absolute;visibility:visible;mso-wrap-style:square" from="7065,5562" to="8220,55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" strokeweight=".50869mm">
                  <o:lock v:ext="edit" shapetype="f"/>
                </v:line>
                <v:line id="Line 1700" o:spid="_x0000_s1029" style="position:absolute;visibility:visible;mso-wrap-style:square" from="712,12882" to="8240,128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" strokeweight=".42392mm">
                  <o:lock v:ext="edit" shapetype="f"/>
                </v:line>
                <v:shapetype id="_x0000_t202" coordsize="21600,21600" o:spt="202" path="m,l,21600r21600,l21600,xe">
                  <v:stroke joinstyle="miter"/>
                  <v:path gradientshapeok="t" o:connecttype="rect"/>
                </v:shapetype>
                <v:shape id="Text Box 1699" o:spid="_x0000_s1030" type="#_x0000_t202" style="position:absolute;left:2146;top:5388;width:4852;height:11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" filled="f" stroked="f">
                  <v:path arrowok="t"/>
                  <v:textbox inset="0,0,0,0">
                    <w:txbxContent>
                      <w:p w:rsidR="00E675F0" w:rsidRDefault="00E675F0" w:rsidP="00E675F0">
                        <w:pPr>
                          <w:spacing w:line="1174" w:lineRule="exact"/>
                          <w:rPr>
                            <w:rFonts w:ascii="Arial" w:hAnsi="Arial"/>
                            <w:b/>
                            <w:sz w:val="105"/>
                          </w:rPr>
                        </w:pPr>
                        <w:r>
                          <w:rPr>
                            <w:rFonts w:ascii="Arial" w:hAnsi="Arial"/>
                            <w:b/>
                            <w:sz w:val="105"/>
                          </w:rPr>
                          <w:t>DSM-IV™</w:t>
                        </w:r>
                      </w:p>
                    </w:txbxContent>
                  </v:textbox>
                </v:shape>
                <v:shape id="Text Box 1698" o:spid="_x0000_s1031" type="#_x0000_t202" style="position:absolute;left:4511;top:8941;width:1431;height: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" filled="f" stroked="f">
                  <v:path arrowok="t"/>
                  <v:textbox inset="0,0,0,0">
                    <w:txbxContent>
                      <w:p w:rsidR="00E675F0" w:rsidRDefault="00E675F0" w:rsidP="00E675F0">
                        <w:pPr>
                          <w:spacing w:line="477" w:lineRule="exact"/>
                          <w:rPr>
                            <w:b/>
                            <w:sz w:val="43"/>
                          </w:rPr>
                        </w:pPr>
                        <w:r>
                          <w:rPr>
                            <w:b/>
                            <w:w w:val="60"/>
                            <w:sz w:val="43"/>
                          </w:rPr>
                          <w:t>RECEIVED</w:t>
                        </w:r>
                      </w:p>
                    </w:txbxContent>
                  </v:textbox>
                </v:shape>
                <w10:wrap anchorx="page" anchory="page"/>
              </v:group>
            </w:pict>
          </mc:Fallback>
        </mc:AlternateContent>
      </w:r>
      <w:r>
        <w:rPr>
          <w:noProof/>
        </w:rPr>
        <mc:AlternateContent>
          <mc:Choice Requires="wps">
            <w:drawing>
              <wp:anchor distT="0" distB="0" distL="114300" distR="114300" simplePos="0" relativeHeight="251660288" behindDoc="0" locked="0" layoutInCell="1" allowOverlap="1" wp14:anchorId="4970A54F" wp14:editId="018290FC">
                <wp:simplePos x="0" y="0"/>
                <wp:positionH relativeFrom="page">
                  <wp:posOffset>696595</wp:posOffset>
                </wp:positionH>
                <wp:positionV relativeFrom="page">
                  <wp:posOffset>8296275</wp:posOffset>
                </wp:positionV>
                <wp:extent cx="4303395" cy="0"/>
                <wp:effectExtent l="0" t="38100" r="14605" b="25400"/>
                <wp:wrapNone/>
                <wp:docPr id="1740" name="Line 16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303395" cy="0"/>
                        </a:xfrm>
                        <a:prstGeom prst="line">
                          <a:avLst/>
                        </a:prstGeom>
                        <a:noFill/>
                        <a:ln w="7935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4FAE73" id="Line 1696"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85pt,653.25pt" to="393.7pt,653.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" strokeweight="2.20439mm">
                <o:lock v:ext="edit" shapetype="f"/>
                <w10:wrap anchorx="page" anchory="page"/>
              </v:line>
            </w:pict>
          </mc:Fallback>
        </mc:AlternateContent>
      </w:r>
      <w:r>
        <w:rPr>
          <w:noProof/>
        </w:rPr>
        <mc:AlternateContent>
          <mc:Choice Requires="wps">
            <w:drawing>
              <wp:anchor distT="0" distB="0" distL="114300" distR="114300" simplePos="0" relativeHeight="251661312" behindDoc="0" locked="0" layoutInCell="1" allowOverlap="1" wp14:anchorId="0900B964" wp14:editId="7BD4DA63">
                <wp:simplePos x="0" y="0"/>
                <wp:positionH relativeFrom="page">
                  <wp:posOffset>2462530</wp:posOffset>
                </wp:positionH>
                <wp:positionV relativeFrom="page">
                  <wp:posOffset>4893945</wp:posOffset>
                </wp:positionV>
                <wp:extent cx="1791970" cy="1090295"/>
                <wp:effectExtent l="0" t="0" r="0" b="0"/>
                <wp:wrapNone/>
                <wp:docPr id="1739" name="Rectangle 16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1970" cy="1090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95F296" id="Rectangle 1695" o:spid="_x0000_s1026" style="position:absolute;margin-left:193.9pt;margin-top:385.35pt;width:141.1pt;height:85.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" stroked="f">
                <v:path arrowok="t"/>
                <w10:wrap anchorx="page" anchory="page"/>
              </v:rect>
            </w:pict>
          </mc:Fallback>
        </mc:AlternateContent>
      </w:r>
    </w:p>
    <w:p w:rsidR="00E675F0" w:rsidRDefault="00E675F0" w:rsidP="00E675F0">
      <w:pPr>
        <w:pStyle w:val="BodyText"/>
        <w:rPr>
          <w:rFonts w:ascii="Arial"/>
          <w:b/>
        </w:rPr>
      </w:pPr>
    </w:p>
    <w:p w:rsidR="00E675F0" w:rsidRDefault="00E675F0" w:rsidP="00E675F0">
      <w:pPr>
        <w:pStyle w:val="BodyText"/>
        <w:rPr>
          <w:rFonts w:ascii="Arial"/>
          <w:b/>
        </w:rPr>
      </w:pPr>
    </w:p>
    <w:p w:rsidR="00E675F0" w:rsidRDefault="00E675F0" w:rsidP="00E675F0">
      <w:pPr>
        <w:pStyle w:val="BodyText"/>
        <w:rPr>
          <w:rFonts w:ascii="Arial"/>
          <w:b/>
        </w:rPr>
      </w:pPr>
    </w:p>
    <w:p w:rsidR="00E675F0" w:rsidRDefault="00E675F0" w:rsidP="00E675F0">
      <w:pPr>
        <w:pStyle w:val="BodyText"/>
        <w:rPr>
          <w:rFonts w:ascii="Arial"/>
          <w:b/>
        </w:rPr>
      </w:pPr>
    </w:p>
    <w:p w:rsidR="00E675F0" w:rsidRDefault="00E675F0" w:rsidP="00E675F0">
      <w:pPr>
        <w:pStyle w:val="BodyText"/>
        <w:rPr>
          <w:rFonts w:ascii="Arial"/>
          <w:b/>
        </w:rPr>
      </w:pPr>
    </w:p>
    <w:p w:rsidR="00E675F0" w:rsidRDefault="00E675F0" w:rsidP="00E675F0">
      <w:pPr>
        <w:pStyle w:val="BodyText"/>
        <w:rPr>
          <w:rFonts w:ascii="Arial"/>
          <w:b/>
        </w:rPr>
      </w:pPr>
    </w:p>
    <w:p w:rsidR="00E675F0" w:rsidRDefault="00E675F0" w:rsidP="00E675F0">
      <w:pPr>
        <w:pStyle w:val="BodyText"/>
        <w:rPr>
          <w:rFonts w:ascii="Arial"/>
          <w:b/>
        </w:rPr>
      </w:pPr>
    </w:p>
    <w:p w:rsidR="00E675F0" w:rsidRDefault="00E675F0" w:rsidP="00E675F0">
      <w:pPr>
        <w:pStyle w:val="BodyText"/>
        <w:rPr>
          <w:rFonts w:ascii="Arial"/>
          <w:b/>
        </w:rPr>
      </w:pPr>
    </w:p>
    <w:p w:rsidR="00E675F0" w:rsidRDefault="00E675F0" w:rsidP="00E675F0">
      <w:pPr>
        <w:pStyle w:val="BodyText"/>
        <w:rPr>
          <w:rFonts w:ascii="Arial"/>
          <w:b/>
        </w:rPr>
      </w:pPr>
    </w:p>
    <w:p w:rsidR="00E675F0" w:rsidRDefault="00E675F0" w:rsidP="00E675F0">
      <w:pPr>
        <w:pStyle w:val="BodyText"/>
        <w:rPr>
          <w:rFonts w:ascii="Arial"/>
          <w:b/>
        </w:rPr>
      </w:pPr>
    </w:p>
    <w:p w:rsidR="00E675F0" w:rsidRDefault="00E675F0" w:rsidP="00E675F0">
      <w:pPr>
        <w:pStyle w:val="BodyText"/>
        <w:rPr>
          <w:rFonts w:ascii="Arial"/>
          <w:b/>
        </w:rPr>
      </w:pPr>
    </w:p>
    <w:p w:rsidR="00E675F0" w:rsidRDefault="00E675F0" w:rsidP="00E675F0">
      <w:pPr>
        <w:pStyle w:val="BodyText"/>
        <w:rPr>
          <w:rFonts w:ascii="Arial"/>
          <w:b/>
        </w:rPr>
      </w:pPr>
    </w:p>
    <w:p w:rsidR="00E675F0" w:rsidRDefault="00E675F0" w:rsidP="00E675F0">
      <w:pPr>
        <w:pStyle w:val="BodyText"/>
        <w:rPr>
          <w:rFonts w:ascii="Arial"/>
          <w:b/>
        </w:rPr>
      </w:pPr>
    </w:p>
    <w:p w:rsidR="00E675F0" w:rsidRDefault="00E675F0" w:rsidP="00E675F0">
      <w:pPr>
        <w:pStyle w:val="BodyText"/>
        <w:spacing w:before="5"/>
        <w:rPr>
          <w:rFonts w:ascii="Arial"/>
          <w:b/>
          <w:sz w:val="21"/>
        </w:rPr>
      </w:pPr>
    </w:p>
    <w:p w:rsidR="00E675F0" w:rsidRDefault="00E675F0" w:rsidP="00E675F0">
      <w:pPr>
        <w:pStyle w:val="BodyText"/>
        <w:ind w:left="2956"/>
        <w:rPr>
          <w:rFonts w:ascii="Arial"/>
        </w:rPr>
      </w:pPr>
      <w:r>
        <w:rPr>
          <w:rFonts w:ascii="Arial"/>
          <w:noProof/>
        </w:rPr>
        <w:drawing>
          <wp:inline distT="0" distB="0" distL="0" distR="0" wp14:anchorId="2FCB01FD" wp14:editId="1A180614">
            <wp:extent cx="1318447" cy="307848"/>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1318447" cy="307848"/>
                    </a:xfrm>
                    <a:prstGeom prst="rect">
                      <a:avLst/>
                    </a:prstGeom>
                  </pic:spPr>
                </pic:pic>
              </a:graphicData>
            </a:graphic>
          </wp:inline>
        </w:drawing>
      </w:r>
    </w:p>
    <w:p w:rsidR="00E675F0" w:rsidRDefault="00E675F0" w:rsidP="00E675F0">
      <w:pPr>
        <w:pStyle w:val="BodyText"/>
        <w:spacing w:before="11"/>
        <w:rPr>
          <w:rFonts w:ascii="Arial"/>
          <w:b/>
          <w:sz w:val="17"/>
        </w:rPr>
      </w:pPr>
      <w:r>
        <w:rPr>
          <w:noProof/>
        </w:rPr>
        <w:drawing>
          <wp:anchor distT="0" distB="0" distL="0" distR="0" simplePos="0" relativeHeight="251735040" behindDoc="0" locked="0" layoutInCell="1" allowOverlap="1" wp14:anchorId="26ADE577" wp14:editId="7848C28B">
            <wp:simplePos x="0" y="0"/>
            <wp:positionH relativeFrom="page">
              <wp:posOffset>2933904</wp:posOffset>
            </wp:positionH>
            <wp:positionV relativeFrom="paragraph">
              <wp:posOffset>155964</wp:posOffset>
            </wp:positionV>
            <wp:extent cx="860653" cy="158496"/>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 cstate="print"/>
                    <a:stretch>
                      <a:fillRect/>
                    </a:stretch>
                  </pic:blipFill>
                  <pic:spPr>
                    <a:xfrm>
                      <a:off x="0" y="0"/>
                      <a:ext cx="860653" cy="158496"/>
                    </a:xfrm>
                    <a:prstGeom prst="rect">
                      <a:avLst/>
                    </a:prstGeom>
                  </pic:spPr>
                </pic:pic>
              </a:graphicData>
            </a:graphic>
          </wp:anchor>
        </w:drawing>
      </w:r>
    </w:p>
    <w:p w:rsidR="00E675F0" w:rsidRDefault="00E675F0" w:rsidP="00E675F0">
      <w:pPr>
        <w:rPr>
          <w:rFonts w:ascii="Arial"/>
          <w:sz w:val="17"/>
        </w:rPr>
        <w:sectPr w:rsidR="00E675F0">
          <w:headerReference w:type="even" r:id="rId7"/>
          <w:pgSz w:w="8960" w:h="14260"/>
          <w:pgMar w:top="4260" w:right="1240" w:bottom="280" w:left="1240" w:header="1185" w:footer="0" w:gutter="0"/>
          <w:cols w:space="720"/>
        </w:sectPr>
      </w:pPr>
    </w:p>
    <w:p w:rsidR="00E675F0" w:rsidRDefault="00E675F0" w:rsidP="00E675F0">
      <w:pPr>
        <w:pStyle w:val="BodyText"/>
        <w:rPr>
          <w:rFonts w:ascii="Arial"/>
          <w:b/>
        </w:rPr>
      </w:pPr>
    </w:p>
    <w:p w:rsidR="00E675F0" w:rsidRDefault="00E675F0" w:rsidP="00E675F0">
      <w:pPr>
        <w:pStyle w:val="BodyText"/>
        <w:rPr>
          <w:rFonts w:ascii="Arial"/>
          <w:b/>
        </w:rPr>
      </w:pPr>
    </w:p>
    <w:p w:rsidR="00E675F0" w:rsidRDefault="00E675F0" w:rsidP="00E675F0">
      <w:pPr>
        <w:pStyle w:val="BodyText"/>
        <w:rPr>
          <w:rFonts w:ascii="Arial"/>
          <w:b/>
        </w:rPr>
      </w:pPr>
    </w:p>
    <w:p w:rsidR="00E675F0" w:rsidRDefault="00E675F0" w:rsidP="00E675F0">
      <w:pPr>
        <w:pStyle w:val="BodyText"/>
        <w:rPr>
          <w:rFonts w:ascii="Arial"/>
          <w:b/>
        </w:rPr>
      </w:pPr>
    </w:p>
    <w:p w:rsidR="00E675F0" w:rsidRDefault="00E675F0" w:rsidP="00E675F0">
      <w:pPr>
        <w:pStyle w:val="BodyText"/>
        <w:rPr>
          <w:rFonts w:ascii="Arial"/>
          <w:b/>
        </w:rPr>
      </w:pPr>
    </w:p>
    <w:p w:rsidR="00E675F0" w:rsidRDefault="00E675F0" w:rsidP="00E675F0">
      <w:pPr>
        <w:pStyle w:val="BodyText"/>
        <w:rPr>
          <w:rFonts w:ascii="Arial"/>
          <w:b/>
        </w:rPr>
      </w:pPr>
    </w:p>
    <w:p w:rsidR="00E675F0" w:rsidRDefault="00E675F0" w:rsidP="00E675F0">
      <w:pPr>
        <w:pStyle w:val="BodyText"/>
        <w:rPr>
          <w:rFonts w:ascii="Arial"/>
          <w:b/>
        </w:rPr>
      </w:pPr>
    </w:p>
    <w:p w:rsidR="00E675F0" w:rsidRDefault="00E675F0" w:rsidP="00E675F0">
      <w:pPr>
        <w:pStyle w:val="BodyText"/>
        <w:rPr>
          <w:rFonts w:ascii="Arial"/>
          <w:b/>
        </w:rPr>
      </w:pPr>
    </w:p>
    <w:p w:rsidR="00E675F0" w:rsidRDefault="00E675F0" w:rsidP="00E675F0">
      <w:pPr>
        <w:pStyle w:val="BodyText"/>
        <w:spacing w:before="4" w:after="1"/>
        <w:rPr>
          <w:rFonts w:ascii="Arial"/>
          <w:b/>
          <w:sz w:val="23"/>
        </w:rPr>
      </w:pPr>
    </w:p>
    <w:p w:rsidR="00E675F0" w:rsidRDefault="00E675F0" w:rsidP="00E675F0">
      <w:pPr>
        <w:pStyle w:val="BodyText"/>
        <w:spacing w:line="220" w:lineRule="exact"/>
        <w:ind w:left="1660"/>
        <w:rPr>
          <w:rFonts w:ascii="Arial"/>
        </w:rPr>
      </w:pPr>
      <w:r>
        <w:rPr>
          <w:rFonts w:ascii="Arial"/>
          <w:noProof/>
          <w:position w:val="-3"/>
        </w:rPr>
        <w:drawing>
          <wp:inline distT="0" distB="0" distL="0" distR="0" wp14:anchorId="1A5C572B" wp14:editId="6388CC15">
            <wp:extent cx="2008632" cy="140207"/>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8" cstate="print"/>
                    <a:stretch>
                      <a:fillRect/>
                    </a:stretch>
                  </pic:blipFill>
                  <pic:spPr>
                    <a:xfrm>
                      <a:off x="0" y="0"/>
                      <a:ext cx="2008632" cy="140207"/>
                    </a:xfrm>
                    <a:prstGeom prst="rect">
                      <a:avLst/>
                    </a:prstGeom>
                  </pic:spPr>
                </pic:pic>
              </a:graphicData>
            </a:graphic>
          </wp:inline>
        </w:drawing>
      </w:r>
    </w:p>
    <w:p w:rsidR="00E675F0" w:rsidRDefault="00E675F0" w:rsidP="00E675F0">
      <w:pPr>
        <w:spacing w:line="220" w:lineRule="exact"/>
        <w:rPr>
          <w:rFonts w:ascii="Arial"/>
        </w:rPr>
        <w:sectPr w:rsidR="00E675F0">
          <w:headerReference w:type="default" r:id="rId9"/>
          <w:pgSz w:w="8960" w:h="14260"/>
          <w:pgMar w:top="1320" w:right="1240" w:bottom="280" w:left="1240" w:header="0" w:footer="0" w:gutter="0"/>
          <w:cols w:space="720"/>
        </w:sectPr>
      </w:pPr>
    </w:p>
    <w:p w:rsidR="00E675F0" w:rsidRDefault="00E675F0" w:rsidP="00E675F0">
      <w:pPr>
        <w:pStyle w:val="BodyText"/>
        <w:rPr>
          <w:rFonts w:ascii="Arial"/>
          <w:b/>
        </w:rPr>
      </w:pPr>
    </w:p>
    <w:p w:rsidR="00E675F0" w:rsidRDefault="00E675F0" w:rsidP="00E675F0">
      <w:pPr>
        <w:pStyle w:val="BodyText"/>
        <w:rPr>
          <w:rFonts w:ascii="Arial"/>
          <w:b/>
        </w:rPr>
      </w:pPr>
    </w:p>
    <w:p w:rsidR="00E675F0" w:rsidRDefault="00E675F0" w:rsidP="00E675F0">
      <w:pPr>
        <w:pStyle w:val="BodyText"/>
        <w:rPr>
          <w:rFonts w:ascii="Arial"/>
          <w:b/>
        </w:rPr>
      </w:pPr>
    </w:p>
    <w:p w:rsidR="00E675F0" w:rsidRDefault="00E675F0" w:rsidP="00E675F0">
      <w:pPr>
        <w:pStyle w:val="BodyText"/>
        <w:rPr>
          <w:rFonts w:ascii="Arial"/>
          <w:b/>
        </w:rPr>
      </w:pPr>
    </w:p>
    <w:p w:rsidR="00E675F0" w:rsidRDefault="00E675F0" w:rsidP="00E675F0">
      <w:pPr>
        <w:pStyle w:val="BodyText"/>
        <w:spacing w:before="3"/>
        <w:rPr>
          <w:rFonts w:ascii="Arial"/>
          <w:b/>
          <w:sz w:val="27"/>
        </w:rPr>
      </w:pPr>
    </w:p>
    <w:p w:rsidR="00E675F0" w:rsidRDefault="00E675F0" w:rsidP="00E675F0">
      <w:pPr>
        <w:pStyle w:val="BodyText"/>
        <w:ind w:left="97"/>
        <w:rPr>
          <w:rFonts w:ascii="Arial"/>
        </w:rPr>
      </w:pPr>
      <w:r>
        <w:rPr>
          <w:rFonts w:ascii="Arial"/>
          <w:noProof/>
        </w:rPr>
        <mc:AlternateContent>
          <mc:Choice Requires="wpg">
            <w:drawing>
              <wp:inline distT="0" distB="0" distL="0" distR="0" wp14:anchorId="120A3C11" wp14:editId="2DAF0403">
                <wp:extent cx="4779645" cy="3946525"/>
                <wp:effectExtent l="0" t="0" r="8255" b="3175"/>
                <wp:docPr id="1735" name="Group 1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9645" cy="3946525"/>
                          <a:chOff x="0" y="0"/>
                          <a:chExt cx="7527" cy="6215"/>
                        </a:xfrm>
                      </wpg:grpSpPr>
                      <wps:wsp>
                        <wps:cNvPr id="1736" name="AutoShape 1694"/>
                        <wps:cNvSpPr>
                          <a:spLocks/>
                        </wps:cNvSpPr>
                        <wps:spPr bwMode="auto">
                          <a:xfrm>
                            <a:off x="0" y="158"/>
                            <a:ext cx="7507" cy="6057"/>
                          </a:xfrm>
                          <a:custGeom>
                            <a:avLst/>
                            <a:gdLst>
                              <a:gd name="T0" fmla="*/ 14 w 7507"/>
                              <a:gd name="T1" fmla="+- 0 6215 158"/>
                              <a:gd name="T2" fmla="*/ 6215 h 6057"/>
                              <a:gd name="T3" fmla="*/ 14 w 7507"/>
                              <a:gd name="T4" fmla="+- 0 158 158"/>
                              <a:gd name="T5" fmla="*/ 158 h 6057"/>
                              <a:gd name="T6" fmla="*/ 0 w 7507"/>
                              <a:gd name="T7" fmla="+- 0 173 158"/>
                              <a:gd name="T8" fmla="*/ 173 h 6057"/>
                              <a:gd name="T9" fmla="*/ 1290 w 7507"/>
                              <a:gd name="T10" fmla="+- 0 173 158"/>
                              <a:gd name="T11" fmla="*/ 173 h 6057"/>
                              <a:gd name="T12" fmla="*/ 7488 w 7507"/>
                              <a:gd name="T13" fmla="+- 0 6215 158"/>
                              <a:gd name="T14" fmla="*/ 6215 h 6057"/>
                              <a:gd name="T15" fmla="*/ 7488 w 7507"/>
                              <a:gd name="T16" fmla="+- 0 158 158"/>
                              <a:gd name="T17" fmla="*/ 158 h 6057"/>
                              <a:gd name="T18" fmla="*/ 6352 w 7507"/>
                              <a:gd name="T19" fmla="+- 0 173 158"/>
                              <a:gd name="T20" fmla="*/ 173 h 6057"/>
                              <a:gd name="T21" fmla="*/ 7507 w 7507"/>
                              <a:gd name="T22" fmla="+- 0 173 158"/>
                              <a:gd name="T23" fmla="*/ 173 h 6057"/>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7507" h="6057">
                                <a:moveTo>
                                  <a:pt x="14" y="6057"/>
                                </a:moveTo>
                                <a:lnTo>
                                  <a:pt x="14" y="0"/>
                                </a:lnTo>
                                <a:moveTo>
                                  <a:pt x="0" y="15"/>
                                </a:moveTo>
                                <a:lnTo>
                                  <a:pt x="1290" y="15"/>
                                </a:lnTo>
                                <a:moveTo>
                                  <a:pt x="7488" y="6057"/>
                                </a:moveTo>
                                <a:lnTo>
                                  <a:pt x="7488" y="0"/>
                                </a:lnTo>
                                <a:moveTo>
                                  <a:pt x="6352" y="15"/>
                                </a:moveTo>
                                <a:lnTo>
                                  <a:pt x="7507" y="15"/>
                                </a:lnTo>
                              </a:path>
                            </a:pathLst>
                          </a:custGeom>
                          <a:noFill/>
                          <a:ln w="15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7" name="Line 1693"/>
                        <wps:cNvCnPr>
                          <a:cxnSpLocks/>
                        </wps:cNvCnPr>
                        <wps:spPr bwMode="auto">
                          <a:xfrm>
                            <a:off x="0" y="6186"/>
                            <a:ext cx="7526" cy="0"/>
                          </a:xfrm>
                          <a:prstGeom prst="line">
                            <a:avLst/>
                          </a:prstGeom>
                          <a:noFill/>
                          <a:ln w="183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8" name="Text Box 1692"/>
                        <wps:cNvSpPr txBox="1">
                          <a:spLocks/>
                        </wps:cNvSpPr>
                        <wps:spPr bwMode="auto">
                          <a:xfrm>
                            <a:off x="0" y="0"/>
                            <a:ext cx="7527" cy="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5F0" w:rsidRDefault="00E675F0" w:rsidP="00E675F0">
                              <w:pPr>
                                <w:spacing w:line="1186" w:lineRule="exact"/>
                                <w:ind w:left="1457" w:right="1260"/>
                                <w:jc w:val="center"/>
                                <w:rPr>
                                  <w:rFonts w:ascii="Arial" w:hAnsi="Arial"/>
                                  <w:b/>
                                  <w:sz w:val="106"/>
                                </w:rPr>
                              </w:pPr>
                              <w:bookmarkStart w:id="2" w:name="Title_Page"/>
                              <w:bookmarkEnd w:id="2"/>
                              <w:r>
                                <w:rPr>
                                  <w:rFonts w:ascii="Arial" w:hAnsi="Arial"/>
                                  <w:b/>
                                  <w:sz w:val="106"/>
                                </w:rPr>
                                <w:t>DSM-IV™</w:t>
                              </w:r>
                            </w:p>
                          </w:txbxContent>
                        </wps:txbx>
                        <wps:bodyPr rot="0" vert="horz" wrap="square" lIns="0" tIns="0" rIns="0" bIns="0" anchor="t" anchorCtr="0" upright="1">
                          <a:noAutofit/>
                        </wps:bodyPr>
                      </wps:wsp>
                    </wpg:wgp>
                  </a:graphicData>
                </a:graphic>
              </wp:inline>
            </w:drawing>
          </mc:Choice>
          <mc:Fallback>
            <w:pict>
              <v:group w14:anchorId="120A3C11" id="Group 1691" o:spid="_x0000_s1032" style="width:376.35pt;height:310.75pt;mso-position-horizontal-relative:char;mso-position-vertical-relative:line" coordsize="7527,62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">
                <v:shape id="AutoShape 1694" o:spid="_x0000_s1033" style="position:absolute;top:158;width:7507;height:6057;visibility:visible;mso-wrap-style:square;v-text-anchor:top" coordsize="7507,60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" path="m14,6057l14,m,15r1290,m7488,6057l7488,m6352,15r1155,e" filled="f" strokeweight=".42417mm">
                  <v:path arrowok="t" o:connecttype="custom" o:connectlocs="14,6215;14,158;0,173;1290,173;7488,6215;7488,158;6352,173;7507,173" o:connectangles="0,0,0,0,0,0,0,0"/>
                </v:shape>
                <v:line id="Line 1693" o:spid="_x0000_s1034" style="position:absolute;visibility:visible;mso-wrap-style:square" from="0,6186" to="7526,61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" strokeweight=".50869mm">
                  <o:lock v:ext="edit" shapetype="f"/>
                </v:line>
                <v:shape id="Text Box 1692" o:spid="_x0000_s1035" type="#_x0000_t202" style="position:absolute;width:7527;height:62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" filled="f" stroked="f">
                  <v:path arrowok="t"/>
                  <v:textbox inset="0,0,0,0">
                    <w:txbxContent>
                      <w:p w:rsidR="00E675F0" w:rsidRDefault="00E675F0" w:rsidP="00E675F0">
                        <w:pPr>
                          <w:spacing w:line="1186" w:lineRule="exact"/>
                          <w:ind w:left="1457" w:right="1260"/>
                          <w:jc w:val="center"/>
                          <w:rPr>
                            <w:rFonts w:ascii="Arial" w:hAnsi="Arial"/>
                            <w:b/>
                            <w:sz w:val="106"/>
                          </w:rPr>
                        </w:pPr>
                        <w:bookmarkStart w:id="3" w:name="Title_Page"/>
                        <w:bookmarkEnd w:id="3"/>
                        <w:r>
                          <w:rPr>
                            <w:rFonts w:ascii="Arial" w:hAnsi="Arial"/>
                            <w:b/>
                            <w:sz w:val="106"/>
                          </w:rPr>
                          <w:t>DSM-IV™</w:t>
                        </w:r>
                      </w:p>
                    </w:txbxContent>
                  </v:textbox>
                </v:shape>
                <w10:anchorlock/>
              </v:group>
            </w:pict>
          </mc:Fallback>
        </mc:AlternateContent>
      </w:r>
    </w:p>
    <w:p w:rsidR="00E675F0" w:rsidRDefault="00E675F0" w:rsidP="00E675F0">
      <w:pPr>
        <w:pStyle w:val="BodyText"/>
        <w:spacing w:before="6"/>
        <w:rPr>
          <w:rFonts w:ascii="Arial"/>
          <w:b/>
          <w:sz w:val="4"/>
        </w:rPr>
      </w:pPr>
    </w:p>
    <w:p w:rsidR="00E675F0" w:rsidRDefault="00E675F0" w:rsidP="00E675F0">
      <w:pPr>
        <w:pStyle w:val="BodyText"/>
        <w:spacing w:line="122" w:lineRule="exact"/>
        <w:ind w:left="301"/>
        <w:rPr>
          <w:rFonts w:ascii="Arial"/>
          <w:sz w:val="12"/>
        </w:rPr>
      </w:pPr>
      <w:r>
        <w:rPr>
          <w:rFonts w:ascii="Arial"/>
          <w:noProof/>
          <w:position w:val="-1"/>
          <w:sz w:val="12"/>
        </w:rPr>
        <mc:AlternateContent>
          <mc:Choice Requires="wpg">
            <w:drawing>
              <wp:inline distT="0" distB="0" distL="0" distR="0" wp14:anchorId="2E39A488" wp14:editId="7469CD25">
                <wp:extent cx="4302760" cy="76835"/>
                <wp:effectExtent l="0" t="0" r="15240" b="0"/>
                <wp:docPr id="1733" name="Group 1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2760" cy="76835"/>
                          <a:chOff x="0" y="0"/>
                          <a:chExt cx="6776" cy="121"/>
                        </a:xfrm>
                      </wpg:grpSpPr>
                      <wps:wsp>
                        <wps:cNvPr id="1734" name="Line 1690"/>
                        <wps:cNvCnPr>
                          <a:cxnSpLocks/>
                        </wps:cNvCnPr>
                        <wps:spPr bwMode="auto">
                          <a:xfrm>
                            <a:off x="0" y="60"/>
                            <a:ext cx="6775" cy="0"/>
                          </a:xfrm>
                          <a:prstGeom prst="line">
                            <a:avLst/>
                          </a:prstGeom>
                          <a:noFill/>
                          <a:ln w="7630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C892DC8" id="Group 1689" o:spid="_x0000_s1026" style="width:338.8pt;height:6.05pt;mso-position-horizontal-relative:char;mso-position-vertical-relative:line" coordsize="6776,1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">
                <v:line id="Line 1690" o:spid="_x0000_s1027" style="position:absolute;visibility:visible;mso-wrap-style:square" from="0,60" to="6775,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" strokeweight="2.11961mm">
                  <o:lock v:ext="edit" shapetype="f"/>
                </v:line>
                <w10:anchorlock/>
              </v:group>
            </w:pict>
          </mc:Fallback>
        </mc:AlternateContent>
      </w:r>
    </w:p>
    <w:p w:rsidR="00E675F0" w:rsidRDefault="00E675F0" w:rsidP="00E675F0">
      <w:pPr>
        <w:pStyle w:val="BodyText"/>
        <w:spacing w:before="8"/>
        <w:rPr>
          <w:rFonts w:ascii="Arial"/>
          <w:b/>
          <w:sz w:val="8"/>
        </w:rPr>
      </w:pPr>
    </w:p>
    <w:p w:rsidR="00E675F0" w:rsidRDefault="00E675F0" w:rsidP="00E675F0">
      <w:pPr>
        <w:spacing w:before="91"/>
        <w:ind w:left="1188" w:right="1189"/>
        <w:jc w:val="center"/>
        <w:rPr>
          <w:sz w:val="23"/>
        </w:rPr>
      </w:pPr>
      <w:r>
        <w:rPr>
          <w:noProof/>
        </w:rPr>
        <w:drawing>
          <wp:anchor distT="0" distB="0" distL="0" distR="0" simplePos="0" relativeHeight="251737088" behindDoc="1" locked="0" layoutInCell="1" allowOverlap="1" wp14:anchorId="19EFF92F" wp14:editId="2637338D">
            <wp:simplePos x="0" y="0"/>
            <wp:positionH relativeFrom="page">
              <wp:posOffset>2485199</wp:posOffset>
            </wp:positionH>
            <wp:positionV relativeFrom="paragraph">
              <wp:posOffset>-1106114</wp:posOffset>
            </wp:positionV>
            <wp:extent cx="762857" cy="777240"/>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0" cstate="print"/>
                    <a:stretch>
                      <a:fillRect/>
                    </a:stretch>
                  </pic:blipFill>
                  <pic:spPr>
                    <a:xfrm>
                      <a:off x="0" y="0"/>
                      <a:ext cx="762857" cy="777240"/>
                    </a:xfrm>
                    <a:prstGeom prst="rect">
                      <a:avLst/>
                    </a:prstGeom>
                  </pic:spPr>
                </pic:pic>
              </a:graphicData>
            </a:graphic>
          </wp:anchor>
        </w:drawing>
      </w:r>
      <w:r>
        <w:rPr>
          <w:sz w:val="23"/>
        </w:rPr>
        <w:t>PUBLISHED  BY</w:t>
      </w:r>
      <w:r>
        <w:rPr>
          <w:spacing w:val="26"/>
          <w:sz w:val="23"/>
        </w:rPr>
        <w:t xml:space="preserve"> </w:t>
      </w:r>
      <w:r>
        <w:rPr>
          <w:sz w:val="23"/>
        </w:rPr>
        <w:t>THE</w:t>
      </w:r>
    </w:p>
    <w:p w:rsidR="00E675F0" w:rsidRDefault="00E675F0" w:rsidP="00E675F0">
      <w:pPr>
        <w:spacing w:before="177" w:line="304" w:lineRule="auto"/>
        <w:ind w:left="1151" w:right="1189"/>
        <w:jc w:val="center"/>
        <w:rPr>
          <w:sz w:val="34"/>
        </w:rPr>
      </w:pPr>
      <w:r>
        <w:rPr>
          <w:w w:val="105"/>
          <w:sz w:val="23"/>
        </w:rPr>
        <w:t>AMERICAN PSYCHIATRIC</w:t>
      </w:r>
      <w:r>
        <w:rPr>
          <w:spacing w:val="-11"/>
          <w:w w:val="105"/>
          <w:sz w:val="23"/>
        </w:rPr>
        <w:t xml:space="preserve"> </w:t>
      </w:r>
      <w:r>
        <w:rPr>
          <w:w w:val="105"/>
          <w:sz w:val="23"/>
        </w:rPr>
        <w:t>ASSOCIATION WASHINGTON,</w:t>
      </w:r>
      <w:r>
        <w:rPr>
          <w:spacing w:val="27"/>
          <w:w w:val="105"/>
          <w:sz w:val="23"/>
        </w:rPr>
        <w:t xml:space="preserve"> </w:t>
      </w:r>
      <w:r>
        <w:rPr>
          <w:w w:val="105"/>
          <w:sz w:val="34"/>
        </w:rPr>
        <w:t>DC</w:t>
      </w:r>
    </w:p>
    <w:p w:rsidR="00E675F0" w:rsidRDefault="00E675F0" w:rsidP="00E675F0">
      <w:pPr>
        <w:spacing w:line="304" w:lineRule="auto"/>
        <w:jc w:val="center"/>
        <w:rPr>
          <w:sz w:val="34"/>
        </w:rPr>
        <w:sectPr w:rsidR="00E675F0">
          <w:headerReference w:type="even" r:id="rId11"/>
          <w:pgSz w:w="8960" w:h="14260"/>
          <w:pgMar w:top="4260" w:right="560" w:bottom="280" w:left="640" w:header="1239" w:footer="0" w:gutter="0"/>
          <w:cols w:space="720"/>
        </w:sectPr>
      </w:pPr>
    </w:p>
    <w:p w:rsidR="00E675F0" w:rsidRDefault="00E675F0" w:rsidP="00E675F0">
      <w:pPr>
        <w:spacing w:before="137"/>
        <w:ind w:left="111"/>
        <w:rPr>
          <w:sz w:val="18"/>
        </w:rPr>
      </w:pPr>
      <w:bookmarkStart w:id="4" w:name="Copyright_Information"/>
      <w:bookmarkEnd w:id="4"/>
      <w:r>
        <w:rPr>
          <w:w w:val="105"/>
          <w:sz w:val="18"/>
        </w:rPr>
        <w:lastRenderedPageBreak/>
        <w:t>Copyright© 1994 American Psychiatric Association</w:t>
      </w:r>
    </w:p>
    <w:p w:rsidR="00E675F0" w:rsidRDefault="00E675F0" w:rsidP="00E675F0">
      <w:pPr>
        <w:pStyle w:val="BodyText"/>
        <w:spacing w:before="10"/>
      </w:pPr>
    </w:p>
    <w:p w:rsidR="00E675F0" w:rsidRDefault="00E675F0" w:rsidP="00E675F0">
      <w:pPr>
        <w:spacing w:line="259" w:lineRule="auto"/>
        <w:ind w:left="120" w:right="110" w:hanging="5"/>
        <w:jc w:val="both"/>
        <w:rPr>
          <w:sz w:val="18"/>
        </w:rPr>
      </w:pPr>
      <w:r>
        <w:rPr>
          <w:w w:val="105"/>
          <w:sz w:val="18"/>
        </w:rPr>
        <w:t>ALL RIGHTS RESERVED. Unless authorized in writing by the APA, no part of this book may be reproduced or used in a manner inconsistent with  the APA's copyright. This prohibition  applies to unauthorized uses or reproductions in any form, including electronic</w:t>
      </w:r>
      <w:r>
        <w:rPr>
          <w:spacing w:val="38"/>
          <w:w w:val="105"/>
          <w:sz w:val="18"/>
        </w:rPr>
        <w:t xml:space="preserve"> </w:t>
      </w:r>
      <w:r>
        <w:rPr>
          <w:w w:val="105"/>
          <w:sz w:val="18"/>
        </w:rPr>
        <w:t>applications.</w:t>
      </w:r>
    </w:p>
    <w:p w:rsidR="00E675F0" w:rsidRDefault="00E675F0" w:rsidP="00E675F0">
      <w:pPr>
        <w:spacing w:before="33" w:line="448" w:lineRule="exact"/>
        <w:ind w:left="111" w:right="2324" w:firstLine="3"/>
        <w:rPr>
          <w:sz w:val="18"/>
        </w:rPr>
      </w:pPr>
      <w:r>
        <w:rPr>
          <w:w w:val="105"/>
          <w:sz w:val="18"/>
        </w:rPr>
        <w:t>Manufactured in the United States of America on acid-free paper American Psychiatric Association</w:t>
      </w:r>
    </w:p>
    <w:p w:rsidR="00E675F0" w:rsidRDefault="00E675F0" w:rsidP="00E675F0">
      <w:pPr>
        <w:spacing w:line="169" w:lineRule="exact"/>
        <w:ind w:left="106"/>
        <w:jc w:val="both"/>
        <w:rPr>
          <w:sz w:val="18"/>
        </w:rPr>
      </w:pPr>
      <w:r>
        <w:rPr>
          <w:sz w:val="18"/>
        </w:rPr>
        <w:t>1400 K Street, N.W., Washington, DC 20005</w:t>
      </w:r>
    </w:p>
    <w:p w:rsidR="00E675F0" w:rsidRDefault="00E675F0" w:rsidP="00E675F0">
      <w:pPr>
        <w:pStyle w:val="BodyText"/>
        <w:spacing w:before="10"/>
      </w:pPr>
    </w:p>
    <w:p w:rsidR="00E675F0" w:rsidRDefault="00E675F0" w:rsidP="00E675F0">
      <w:pPr>
        <w:spacing w:line="261" w:lineRule="auto"/>
        <w:ind w:left="111" w:right="114" w:hanging="1"/>
        <w:jc w:val="both"/>
        <w:rPr>
          <w:sz w:val="18"/>
        </w:rPr>
      </w:pPr>
      <w:r>
        <w:rPr>
          <w:w w:val="105"/>
          <w:sz w:val="18"/>
        </w:rPr>
        <w:t xml:space="preserve">Correspondence regarding copyright permissions should be directed to the Division of Publica­ tions and Marketing, American Psychiatric Association, 1400 </w:t>
      </w:r>
      <w:r>
        <w:rPr>
          <w:w w:val="105"/>
          <w:sz w:val="17"/>
        </w:rPr>
        <w:t xml:space="preserve">K </w:t>
      </w:r>
      <w:r>
        <w:rPr>
          <w:w w:val="105"/>
          <w:sz w:val="18"/>
        </w:rPr>
        <w:t>Street, N.W., Washington, DC 20005.</w:t>
      </w:r>
    </w:p>
    <w:p w:rsidR="00E675F0" w:rsidRDefault="00E675F0" w:rsidP="00E675F0">
      <w:pPr>
        <w:pStyle w:val="BodyText"/>
        <w:spacing w:before="9"/>
        <w:rPr>
          <w:sz w:val="19"/>
        </w:rPr>
      </w:pPr>
    </w:p>
    <w:p w:rsidR="00E675F0" w:rsidRDefault="00E675F0" w:rsidP="00E675F0">
      <w:pPr>
        <w:spacing w:line="252" w:lineRule="auto"/>
        <w:ind w:left="118" w:right="109" w:hanging="4"/>
        <w:jc w:val="both"/>
        <w:rPr>
          <w:sz w:val="18"/>
        </w:rPr>
      </w:pPr>
      <w:r>
        <w:rPr>
          <w:sz w:val="18"/>
        </w:rPr>
        <w:t>DSM and DSM-IV are trademarks of the American Psychiatric Association. Use of these terms is prohibited without permission of the American Psychiatric Association.</w:t>
      </w:r>
    </w:p>
    <w:p w:rsidR="00E675F0" w:rsidRDefault="00E675F0" w:rsidP="00E675F0">
      <w:pPr>
        <w:pStyle w:val="BodyText"/>
        <w:spacing w:before="3"/>
      </w:pPr>
    </w:p>
    <w:p w:rsidR="00E675F0" w:rsidRDefault="00E675F0" w:rsidP="00E675F0">
      <w:pPr>
        <w:spacing w:line="261" w:lineRule="auto"/>
        <w:ind w:left="111" w:right="108" w:hanging="4"/>
        <w:jc w:val="both"/>
        <w:rPr>
          <w:sz w:val="18"/>
        </w:rPr>
      </w:pPr>
      <w:r>
        <w:rPr>
          <w:w w:val="105"/>
          <w:sz w:val="18"/>
        </w:rPr>
        <w:t xml:space="preserve">The correct citation for this book is American Psychiatric Association: </w:t>
      </w:r>
      <w:r>
        <w:rPr>
          <w:i/>
          <w:w w:val="105"/>
          <w:sz w:val="18"/>
        </w:rPr>
        <w:t xml:space="preserve">Diagnostic and Statistical Manual of Mental Disorders, </w:t>
      </w:r>
      <w:r>
        <w:rPr>
          <w:w w:val="105"/>
          <w:sz w:val="18"/>
        </w:rPr>
        <w:t>Fourth Edition. Washington, DC, American Psychiatric Association, 1994.</w:t>
      </w:r>
    </w:p>
    <w:p w:rsidR="00E675F0" w:rsidRDefault="00E675F0" w:rsidP="00E675F0">
      <w:pPr>
        <w:pStyle w:val="BodyText"/>
        <w:spacing w:before="1"/>
        <w:rPr>
          <w:sz w:val="18"/>
        </w:rPr>
      </w:pPr>
    </w:p>
    <w:p w:rsidR="00E675F0" w:rsidRDefault="00E675F0" w:rsidP="00E675F0">
      <w:pPr>
        <w:ind w:left="114"/>
        <w:rPr>
          <w:b/>
          <w:sz w:val="18"/>
        </w:rPr>
      </w:pPr>
      <w:r>
        <w:rPr>
          <w:b/>
          <w:w w:val="110"/>
          <w:sz w:val="18"/>
        </w:rPr>
        <w:t>Library of Congress Cataloging-in-Publication Data</w:t>
      </w:r>
    </w:p>
    <w:p w:rsidR="00E675F0" w:rsidRDefault="00E675F0" w:rsidP="00E675F0">
      <w:pPr>
        <w:spacing w:before="19"/>
        <w:ind w:left="119"/>
        <w:rPr>
          <w:sz w:val="18"/>
        </w:rPr>
      </w:pPr>
      <w:r>
        <w:rPr>
          <w:sz w:val="18"/>
        </w:rPr>
        <w:t>Diagnostic and statistical manual of mental disorders : DSM-IV. - 4th ed.</w:t>
      </w:r>
    </w:p>
    <w:p w:rsidR="00E675F0" w:rsidRDefault="00E675F0" w:rsidP="00E675F0">
      <w:pPr>
        <w:tabs>
          <w:tab w:val="left" w:pos="938"/>
        </w:tabs>
        <w:spacing w:before="19"/>
        <w:ind w:left="510"/>
        <w:rPr>
          <w:sz w:val="18"/>
        </w:rPr>
      </w:pPr>
      <w:r>
        <w:rPr>
          <w:rFonts w:ascii="Arial"/>
          <w:w w:val="105"/>
          <w:sz w:val="17"/>
        </w:rPr>
        <w:t>p.</w:t>
      </w:r>
      <w:r>
        <w:rPr>
          <w:rFonts w:ascii="Arial"/>
          <w:w w:val="105"/>
          <w:sz w:val="17"/>
        </w:rPr>
        <w:tab/>
      </w:r>
      <w:r>
        <w:rPr>
          <w:w w:val="105"/>
          <w:sz w:val="18"/>
        </w:rPr>
        <w:t>cm.</w:t>
      </w:r>
    </w:p>
    <w:p w:rsidR="00E675F0" w:rsidRDefault="00E675F0" w:rsidP="00E675F0">
      <w:pPr>
        <w:spacing w:before="19" w:line="261" w:lineRule="auto"/>
        <w:ind w:left="251" w:right="1392" w:firstLine="137"/>
        <w:rPr>
          <w:sz w:val="18"/>
        </w:rPr>
      </w:pPr>
      <w:r>
        <w:rPr>
          <w:w w:val="105"/>
          <w:sz w:val="18"/>
        </w:rPr>
        <w:t>Prepared by the Task Force on DSM-IV and other committees and work groups of the American Psychiatric Association.</w:t>
      </w:r>
    </w:p>
    <w:p w:rsidR="00E675F0" w:rsidRDefault="00E675F0" w:rsidP="00E675F0">
      <w:pPr>
        <w:ind w:left="387"/>
        <w:rPr>
          <w:sz w:val="18"/>
        </w:rPr>
      </w:pPr>
      <w:r>
        <w:rPr>
          <w:w w:val="105"/>
          <w:sz w:val="18"/>
        </w:rPr>
        <w:t>Includes index.</w:t>
      </w:r>
    </w:p>
    <w:p w:rsidR="00E675F0" w:rsidRDefault="00E675F0" w:rsidP="00E675F0">
      <w:pPr>
        <w:spacing w:before="14"/>
        <w:ind w:left="382"/>
        <w:rPr>
          <w:sz w:val="18"/>
        </w:rPr>
      </w:pPr>
      <w:r>
        <w:rPr>
          <w:w w:val="105"/>
          <w:sz w:val="18"/>
        </w:rPr>
        <w:t>ISBN 0-89042-061-0 (hard : alk. paper). - ISBN 0-89042-062-9 (paper: alk. paper)</w:t>
      </w:r>
    </w:p>
    <w:p w:rsidR="00E675F0" w:rsidRDefault="00E675F0" w:rsidP="00E675F0">
      <w:pPr>
        <w:spacing w:before="14"/>
        <w:ind w:left="380"/>
        <w:rPr>
          <w:sz w:val="18"/>
        </w:rPr>
      </w:pPr>
      <w:r>
        <w:rPr>
          <w:w w:val="110"/>
          <w:sz w:val="18"/>
        </w:rPr>
        <w:t>1. Mental illness-Classification. 2. Mental illness-Diagnosis.</w:t>
      </w:r>
    </w:p>
    <w:p w:rsidR="00E675F0" w:rsidRDefault="00E675F0" w:rsidP="00E675F0">
      <w:pPr>
        <w:spacing w:before="15" w:line="252" w:lineRule="auto"/>
        <w:ind w:left="251" w:right="2324" w:firstLine="2"/>
        <w:rPr>
          <w:sz w:val="18"/>
        </w:rPr>
      </w:pPr>
      <w:r>
        <w:rPr>
          <w:sz w:val="16"/>
        </w:rPr>
        <w:t xml:space="preserve">I. </w:t>
      </w:r>
      <w:r>
        <w:rPr>
          <w:sz w:val="18"/>
        </w:rPr>
        <w:t>American Psychiatric Association. II. American Psychiatric Association. Task Force on DSM-IV. III. Title: DSM-IV.</w:t>
      </w:r>
    </w:p>
    <w:p w:rsidR="00E675F0" w:rsidRDefault="00E675F0" w:rsidP="00E675F0">
      <w:pPr>
        <w:tabs>
          <w:tab w:val="left" w:pos="1293"/>
        </w:tabs>
        <w:spacing w:before="2" w:line="256" w:lineRule="auto"/>
        <w:ind w:left="251" w:right="2324" w:firstLine="130"/>
        <w:rPr>
          <w:sz w:val="18"/>
        </w:rPr>
      </w:pPr>
      <w:r>
        <w:rPr>
          <w:sz w:val="18"/>
        </w:rPr>
        <w:t xml:space="preserve">[DNLM: </w:t>
      </w:r>
      <w:r>
        <w:rPr>
          <w:rFonts w:ascii="Arial"/>
          <w:sz w:val="16"/>
        </w:rPr>
        <w:t xml:space="preserve">1. </w:t>
      </w:r>
      <w:r>
        <w:rPr>
          <w:sz w:val="18"/>
        </w:rPr>
        <w:t>Mental Disorders-classification. 2. Mental Disorders- diagnosis.</w:t>
      </w:r>
      <w:r>
        <w:rPr>
          <w:sz w:val="18"/>
        </w:rPr>
        <w:tab/>
        <w:t>WM 15 D536</w:t>
      </w:r>
      <w:r>
        <w:rPr>
          <w:spacing w:val="27"/>
          <w:sz w:val="18"/>
        </w:rPr>
        <w:t xml:space="preserve"> </w:t>
      </w:r>
      <w:r>
        <w:rPr>
          <w:sz w:val="18"/>
        </w:rPr>
        <w:t>1994]</w:t>
      </w:r>
    </w:p>
    <w:p w:rsidR="00E675F0" w:rsidRDefault="00E675F0" w:rsidP="00E675F0">
      <w:pPr>
        <w:tabs>
          <w:tab w:val="left" w:pos="1708"/>
        </w:tabs>
        <w:spacing w:line="252" w:lineRule="auto"/>
        <w:ind w:left="249" w:right="5645" w:firstLine="4"/>
        <w:rPr>
          <w:sz w:val="18"/>
        </w:rPr>
      </w:pPr>
      <w:r>
        <w:rPr>
          <w:sz w:val="18"/>
        </w:rPr>
        <w:t>RC455.2.C4D54</w:t>
      </w:r>
      <w:r>
        <w:rPr>
          <w:sz w:val="18"/>
        </w:rPr>
        <w:tab/>
      </w:r>
      <w:r>
        <w:rPr>
          <w:spacing w:val="-5"/>
          <w:sz w:val="18"/>
        </w:rPr>
        <w:t xml:space="preserve">1994 </w:t>
      </w:r>
      <w:r>
        <w:rPr>
          <w:sz w:val="18"/>
        </w:rPr>
        <w:t>616.89'075--&lt;lc20 DNLM/DLC</w:t>
      </w:r>
    </w:p>
    <w:p w:rsidR="00E675F0" w:rsidRDefault="00E675F0" w:rsidP="00E675F0">
      <w:pPr>
        <w:tabs>
          <w:tab w:val="right" w:pos="7590"/>
        </w:tabs>
        <w:spacing w:before="1"/>
        <w:ind w:left="250"/>
        <w:rPr>
          <w:sz w:val="18"/>
        </w:rPr>
      </w:pPr>
      <w:r>
        <w:rPr>
          <w:sz w:val="18"/>
        </w:rPr>
        <w:t>for Library</w:t>
      </w:r>
      <w:r>
        <w:rPr>
          <w:spacing w:val="33"/>
          <w:sz w:val="18"/>
        </w:rPr>
        <w:t xml:space="preserve"> </w:t>
      </w:r>
      <w:r>
        <w:rPr>
          <w:sz w:val="18"/>
        </w:rPr>
        <w:t>of</w:t>
      </w:r>
      <w:r>
        <w:rPr>
          <w:spacing w:val="17"/>
          <w:sz w:val="18"/>
        </w:rPr>
        <w:t xml:space="preserve"> </w:t>
      </w:r>
      <w:r>
        <w:rPr>
          <w:sz w:val="18"/>
        </w:rPr>
        <w:t>Congress</w:t>
      </w:r>
      <w:r>
        <w:rPr>
          <w:sz w:val="18"/>
        </w:rPr>
        <w:tab/>
        <w:t>94-6304</w:t>
      </w:r>
    </w:p>
    <w:p w:rsidR="00E675F0" w:rsidRDefault="00E675F0" w:rsidP="00E675F0">
      <w:pPr>
        <w:spacing w:before="24"/>
        <w:ind w:left="143" w:right="129"/>
        <w:jc w:val="right"/>
        <w:rPr>
          <w:sz w:val="18"/>
        </w:rPr>
      </w:pPr>
      <w:r>
        <w:rPr>
          <w:spacing w:val="-1"/>
          <w:w w:val="95"/>
          <w:sz w:val="18"/>
        </w:rPr>
        <w:t>CIP</w:t>
      </w:r>
    </w:p>
    <w:p w:rsidR="00E675F0" w:rsidRDefault="00E675F0" w:rsidP="00E675F0">
      <w:pPr>
        <w:spacing w:before="14"/>
        <w:ind w:left="113"/>
        <w:rPr>
          <w:b/>
          <w:sz w:val="18"/>
        </w:rPr>
      </w:pPr>
      <w:r>
        <w:rPr>
          <w:b/>
          <w:w w:val="110"/>
          <w:sz w:val="18"/>
        </w:rPr>
        <w:t>British Library Cataloguing in Publication Data</w:t>
      </w:r>
    </w:p>
    <w:p w:rsidR="00E675F0" w:rsidRDefault="00E675F0" w:rsidP="00E675F0">
      <w:pPr>
        <w:spacing w:before="14" w:line="518" w:lineRule="auto"/>
        <w:ind w:left="119" w:right="3650" w:hanging="4"/>
        <w:rPr>
          <w:sz w:val="18"/>
        </w:rPr>
      </w:pPr>
      <w:r>
        <w:rPr>
          <w:sz w:val="18"/>
        </w:rPr>
        <w:t>A CIP record is available from the British Library. First printing 150,000, May 1994</w:t>
      </w:r>
    </w:p>
    <w:p w:rsidR="00E675F0" w:rsidRDefault="00E675F0" w:rsidP="00E675F0">
      <w:pPr>
        <w:spacing w:before="5"/>
        <w:ind w:left="107"/>
        <w:rPr>
          <w:sz w:val="18"/>
        </w:rPr>
      </w:pPr>
      <w:r>
        <w:rPr>
          <w:w w:val="110"/>
          <w:sz w:val="18"/>
        </w:rPr>
        <w:t>Text Design-Jane H. Davenport</w:t>
      </w:r>
    </w:p>
    <w:p w:rsidR="00E675F0" w:rsidRDefault="00E675F0" w:rsidP="00E675F0">
      <w:pPr>
        <w:spacing w:before="19"/>
        <w:ind w:left="119"/>
        <w:rPr>
          <w:sz w:val="18"/>
        </w:rPr>
      </w:pPr>
      <w:r>
        <w:rPr>
          <w:w w:val="105"/>
          <w:sz w:val="18"/>
        </w:rPr>
        <w:t xml:space="preserve">Manufacturing-R. R. Donnelly </w:t>
      </w:r>
      <w:r>
        <w:rPr>
          <w:w w:val="105"/>
          <w:sz w:val="16"/>
        </w:rPr>
        <w:t xml:space="preserve">&amp; </w:t>
      </w:r>
      <w:r>
        <w:rPr>
          <w:w w:val="105"/>
          <w:sz w:val="18"/>
        </w:rPr>
        <w:t>Sons Company</w:t>
      </w:r>
    </w:p>
    <w:p w:rsidR="00E675F0" w:rsidRDefault="00E675F0" w:rsidP="00E675F0">
      <w:pPr>
        <w:rPr>
          <w:sz w:val="18"/>
        </w:rPr>
        <w:sectPr w:rsidR="00E675F0">
          <w:headerReference w:type="default" r:id="rId12"/>
          <w:pgSz w:w="8960" w:h="14260"/>
          <w:pgMar w:top="1340" w:right="620" w:bottom="280" w:left="620" w:header="0" w:footer="0" w:gutter="0"/>
          <w:cols w:space="720"/>
        </w:sectPr>
      </w:pPr>
    </w:p>
    <w:p w:rsidR="00E675F0" w:rsidRDefault="00E675F0" w:rsidP="00E675F0">
      <w:pPr>
        <w:pStyle w:val="BodyText"/>
      </w:pPr>
    </w:p>
    <w:p w:rsidR="00E675F0" w:rsidRDefault="00E675F0" w:rsidP="00E675F0">
      <w:pPr>
        <w:pStyle w:val="BodyText"/>
      </w:pPr>
    </w:p>
    <w:p w:rsidR="00E675F0" w:rsidRDefault="00E675F0" w:rsidP="00E675F0">
      <w:pPr>
        <w:pStyle w:val="BodyText"/>
      </w:pPr>
    </w:p>
    <w:p w:rsidR="00E675F0" w:rsidRDefault="00E675F0" w:rsidP="00E675F0">
      <w:pPr>
        <w:pStyle w:val="BodyText"/>
      </w:pPr>
    </w:p>
    <w:p w:rsidR="00E675F0" w:rsidRDefault="00E675F0" w:rsidP="00E675F0">
      <w:pPr>
        <w:pStyle w:val="BodyText"/>
      </w:pPr>
    </w:p>
    <w:p w:rsidR="00E675F0" w:rsidRDefault="00E675F0" w:rsidP="00E675F0">
      <w:pPr>
        <w:pStyle w:val="BodyText"/>
      </w:pPr>
    </w:p>
    <w:p w:rsidR="00E675F0" w:rsidRDefault="00E675F0" w:rsidP="00E675F0">
      <w:pPr>
        <w:pStyle w:val="BodyText"/>
      </w:pPr>
    </w:p>
    <w:p w:rsidR="00E675F0" w:rsidRDefault="00E675F0" w:rsidP="00E675F0">
      <w:pPr>
        <w:pStyle w:val="BodyText"/>
        <w:spacing w:before="9"/>
        <w:rPr>
          <w:sz w:val="25"/>
        </w:rPr>
      </w:pPr>
    </w:p>
    <w:p w:rsidR="00E675F0" w:rsidRDefault="00E675F0" w:rsidP="00E675F0">
      <w:pPr>
        <w:spacing w:before="90" w:line="278" w:lineRule="auto"/>
        <w:ind w:left="1969" w:right="2130" w:firstLine="141"/>
        <w:rPr>
          <w:i/>
          <w:sz w:val="26"/>
        </w:rPr>
      </w:pPr>
      <w:r>
        <w:rPr>
          <w:i/>
          <w:w w:val="105"/>
          <w:sz w:val="26"/>
        </w:rPr>
        <w:t>To Melvin Sabshin, a man for all seasons</w:t>
      </w:r>
    </w:p>
    <w:p w:rsidR="00E675F0" w:rsidRDefault="00E675F0" w:rsidP="00E675F0">
      <w:pPr>
        <w:spacing w:line="278" w:lineRule="auto"/>
        <w:rPr>
          <w:sz w:val="26"/>
        </w:rPr>
        <w:sectPr w:rsidR="00E675F0">
          <w:headerReference w:type="even" r:id="rId13"/>
          <w:pgSz w:w="8960" w:h="14260"/>
          <w:pgMar w:top="1340" w:right="1240" w:bottom="280" w:left="1240" w:header="0" w:footer="0" w:gutter="0"/>
          <w:cols w:space="720"/>
        </w:sectPr>
      </w:pPr>
    </w:p>
    <w:p w:rsidR="00E675F0" w:rsidRDefault="00E675F0" w:rsidP="00E675F0">
      <w:pPr>
        <w:pStyle w:val="BodyText"/>
        <w:rPr>
          <w:i/>
        </w:rPr>
      </w:pPr>
    </w:p>
    <w:p w:rsidR="00E675F0" w:rsidRDefault="00E675F0" w:rsidP="00E675F0">
      <w:pPr>
        <w:pStyle w:val="BodyText"/>
        <w:rPr>
          <w:i/>
        </w:rPr>
      </w:pPr>
    </w:p>
    <w:p w:rsidR="00E675F0" w:rsidRDefault="00E675F0" w:rsidP="00E675F0">
      <w:pPr>
        <w:pStyle w:val="BodyText"/>
        <w:rPr>
          <w:i/>
        </w:rPr>
      </w:pPr>
    </w:p>
    <w:p w:rsidR="00E675F0" w:rsidRDefault="00E675F0" w:rsidP="00E675F0">
      <w:pPr>
        <w:pStyle w:val="BodyText"/>
        <w:rPr>
          <w:i/>
        </w:rPr>
      </w:pPr>
    </w:p>
    <w:p w:rsidR="00E675F0" w:rsidRDefault="00E675F0" w:rsidP="00E675F0">
      <w:pPr>
        <w:pStyle w:val="BodyText"/>
        <w:rPr>
          <w:i/>
        </w:rPr>
      </w:pPr>
    </w:p>
    <w:p w:rsidR="00E675F0" w:rsidRDefault="00E675F0" w:rsidP="00E675F0">
      <w:pPr>
        <w:pStyle w:val="BodyText"/>
        <w:rPr>
          <w:i/>
        </w:rPr>
      </w:pPr>
    </w:p>
    <w:p w:rsidR="00E675F0" w:rsidRDefault="00E675F0" w:rsidP="00E675F0">
      <w:pPr>
        <w:pStyle w:val="BodyText"/>
        <w:rPr>
          <w:i/>
        </w:rPr>
      </w:pPr>
    </w:p>
    <w:p w:rsidR="00E675F0" w:rsidRDefault="00E675F0" w:rsidP="00E675F0">
      <w:pPr>
        <w:pStyle w:val="BodyText"/>
        <w:rPr>
          <w:i/>
        </w:rPr>
      </w:pPr>
    </w:p>
    <w:p w:rsidR="00E675F0" w:rsidRDefault="00E675F0" w:rsidP="00E675F0">
      <w:pPr>
        <w:pStyle w:val="BodyText"/>
        <w:spacing w:before="4" w:after="1"/>
        <w:rPr>
          <w:i/>
          <w:sz w:val="23"/>
        </w:rPr>
      </w:pPr>
    </w:p>
    <w:p w:rsidR="00E675F0" w:rsidRDefault="00E675F0" w:rsidP="00E675F0">
      <w:pPr>
        <w:pStyle w:val="BodyText"/>
        <w:spacing w:line="220" w:lineRule="exact"/>
        <w:ind w:left="1660"/>
      </w:pPr>
      <w:r>
        <w:rPr>
          <w:noProof/>
          <w:position w:val="-3"/>
        </w:rPr>
        <w:drawing>
          <wp:inline distT="0" distB="0" distL="0" distR="0" wp14:anchorId="2EC179E5" wp14:editId="4F6E1F95">
            <wp:extent cx="2008632" cy="140207"/>
            <wp:effectExtent l="0" t="0" r="0" b="0"/>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8" cstate="print"/>
                    <a:stretch>
                      <a:fillRect/>
                    </a:stretch>
                  </pic:blipFill>
                  <pic:spPr>
                    <a:xfrm>
                      <a:off x="0" y="0"/>
                      <a:ext cx="2008632" cy="140207"/>
                    </a:xfrm>
                    <a:prstGeom prst="rect">
                      <a:avLst/>
                    </a:prstGeom>
                  </pic:spPr>
                </pic:pic>
              </a:graphicData>
            </a:graphic>
          </wp:inline>
        </w:drawing>
      </w:r>
    </w:p>
    <w:p w:rsidR="00E675F0" w:rsidRDefault="00E675F0" w:rsidP="00E675F0">
      <w:pPr>
        <w:spacing w:line="220" w:lineRule="exact"/>
        <w:sectPr w:rsidR="00E675F0">
          <w:headerReference w:type="default" r:id="rId14"/>
          <w:pgSz w:w="8960" w:h="14260"/>
          <w:pgMar w:top="1320" w:right="1240" w:bottom="280" w:left="1240" w:header="0" w:footer="0" w:gutter="0"/>
          <w:cols w:space="720"/>
        </w:sectPr>
      </w:pPr>
    </w:p>
    <w:p w:rsidR="00E675F0" w:rsidRDefault="00E675F0" w:rsidP="00E675F0">
      <w:pPr>
        <w:pStyle w:val="BodyText"/>
        <w:rPr>
          <w:i/>
        </w:rPr>
      </w:pPr>
    </w:p>
    <w:p w:rsidR="00E675F0" w:rsidRDefault="00E675F0" w:rsidP="00E675F0">
      <w:pPr>
        <w:pStyle w:val="BodyText"/>
        <w:rPr>
          <w:i/>
        </w:rPr>
      </w:pPr>
    </w:p>
    <w:p w:rsidR="00E675F0" w:rsidRDefault="00E675F0" w:rsidP="00E675F0">
      <w:pPr>
        <w:pStyle w:val="BodyText"/>
        <w:rPr>
          <w:i/>
        </w:rPr>
      </w:pPr>
    </w:p>
    <w:p w:rsidR="00E675F0" w:rsidRDefault="00E675F0" w:rsidP="00E675F0">
      <w:pPr>
        <w:pStyle w:val="Heading4"/>
        <w:spacing w:before="260"/>
        <w:ind w:right="41"/>
      </w:pPr>
      <w:r>
        <w:rPr>
          <w:noProof/>
        </w:rPr>
        <mc:AlternateContent>
          <mc:Choice Requires="wpg">
            <w:drawing>
              <wp:anchor distT="0" distB="0" distL="114300" distR="114300" simplePos="0" relativeHeight="251662336" behindDoc="0" locked="0" layoutInCell="1" allowOverlap="1" wp14:anchorId="4EBE655A" wp14:editId="79431FCF">
                <wp:simplePos x="0" y="0"/>
                <wp:positionH relativeFrom="page">
                  <wp:posOffset>464820</wp:posOffset>
                </wp:positionH>
                <wp:positionV relativeFrom="paragraph">
                  <wp:posOffset>1125220</wp:posOffset>
                </wp:positionV>
                <wp:extent cx="1972945" cy="381000"/>
                <wp:effectExtent l="0" t="0" r="0" b="0"/>
                <wp:wrapNone/>
                <wp:docPr id="1729" name="Group 1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2945" cy="381000"/>
                          <a:chOff x="732" y="1772"/>
                          <a:chExt cx="3107" cy="600"/>
                        </a:xfrm>
                      </wpg:grpSpPr>
                      <wps:wsp>
                        <wps:cNvPr id="1730" name="Rectangle 1688"/>
                        <wps:cNvSpPr>
                          <a:spLocks/>
                        </wps:cNvSpPr>
                        <wps:spPr bwMode="auto">
                          <a:xfrm>
                            <a:off x="742" y="1781"/>
                            <a:ext cx="3087" cy="580"/>
                          </a:xfrm>
                          <a:prstGeom prst="rect">
                            <a:avLst/>
                          </a:prstGeom>
                          <a:solidFill>
                            <a:srgbClr val="FFFF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1" name="Rectangle 1687"/>
                        <wps:cNvSpPr>
                          <a:spLocks/>
                        </wps:cNvSpPr>
                        <wps:spPr bwMode="auto">
                          <a:xfrm>
                            <a:off x="742" y="1781"/>
                            <a:ext cx="3087" cy="58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2" name="Text Box 1686"/>
                        <wps:cNvSpPr txBox="1">
                          <a:spLocks/>
                        </wps:cNvSpPr>
                        <wps:spPr bwMode="auto">
                          <a:xfrm>
                            <a:off x="732" y="1771"/>
                            <a:ext cx="3107" cy="600"/>
                          </a:xfrm>
                          <a:prstGeom prst="rect">
                            <a:avLst/>
                          </a:prstGeom>
                          <a:gradFill rotWithShape="0">
                            <a:gsLst>
                              <a:gs pos="0">
                                <a:srgbClr val="FFFFFF"/>
                              </a:gs>
                              <a:gs pos="100000">
                                <a:srgbClr val="FFFFFF">
                                  <a:alpha val="70000"/>
                                </a:srgbClr>
                              </a:gs>
                            </a:gsLst>
                            <a:lin ang="5400000" scaled="1"/>
                          </a:gradFill>
                          <a:ln w="12700">
                            <a:solidFill>
                              <a:srgbClr val="000000"/>
                            </a:solidFill>
                            <a:prstDash val="dash"/>
                            <a:miter lim="800000"/>
                            <a:headEnd/>
                            <a:tailEnd/>
                          </a:ln>
                        </wps:spPr>
                        <wps:txbx>
                          <w:txbxContent>
                            <w:p w:rsidR="00E675F0" w:rsidRDefault="00E675F0" w:rsidP="00E675F0">
                              <w:pPr>
                                <w:spacing w:before="80" w:line="235" w:lineRule="auto"/>
                                <w:ind w:left="40"/>
                                <w:rPr>
                                  <w:rFonts w:ascii="Helvetica"/>
                                  <w:sz w:val="18"/>
                                </w:rPr>
                              </w:pPr>
                              <w:r>
                                <w:rPr>
                                  <w:rFonts w:ascii="Helvetica"/>
                                  <w:sz w:val="18"/>
                                </w:rPr>
                                <w:t>Click Table of Contents entries to reach corresponding book sections.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BE655A" id="Group 1685" o:spid="_x0000_s1036" style="position:absolute;left:0;text-align:left;margin-left:36.6pt;margin-top:88.6pt;width:155.35pt;height:30pt;z-index:251662336;mso-position-horizontal-relative:page;mso-position-vertical-relative:text" coordorigin="732,1772" coordsize="3107,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">
                <v:rect id="Rectangle 1688" o:spid="_x0000_s1037" style="position:absolute;left:742;top:1781;width:3087;height:5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" fillcolor="#ffffa9" stroked="f">
                  <v:path arrowok="t"/>
                </v:rect>
                <v:rect id="Rectangle 1687" o:spid="_x0000_s1038" style="position:absolute;left:742;top:1781;width:3087;height:5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" filled="f" strokeweight="1pt">
                  <v:path arrowok="t"/>
                </v:rect>
                <v:shape id="Text Box 1686" o:spid="_x0000_s1039" type="#_x0000_t202" style="position:absolute;left:732;top:1771;width:3107;height:6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" strokeweight="1pt">
                  <v:fill o:opacity2="45875f" focus="100%" type="gradient"/>
                  <v:stroke dashstyle="dash"/>
                  <v:path arrowok="t"/>
                  <v:textbox inset="0,0,0,0">
                    <w:txbxContent>
                      <w:p w:rsidR="00E675F0" w:rsidRDefault="00E675F0" w:rsidP="00E675F0">
                        <w:pPr>
                          <w:spacing w:before="80" w:line="235" w:lineRule="auto"/>
                          <w:ind w:left="40"/>
                          <w:rPr>
                            <w:rFonts w:ascii="Helvetica"/>
                            <w:sz w:val="18"/>
                          </w:rPr>
                        </w:pPr>
                        <w:r>
                          <w:rPr>
                            <w:rFonts w:ascii="Helvetica"/>
                            <w:sz w:val="18"/>
                          </w:rPr>
                          <w:t>Click Table of Contents entries to reach corresponding book sections.</w:t>
                        </w:r>
                      </w:p>
                    </w:txbxContent>
                  </v:textbox>
                </v:shape>
                <w10:wrap anchorx="page"/>
              </v:group>
            </w:pict>
          </mc:Fallback>
        </mc:AlternateContent>
      </w:r>
      <w:bookmarkStart w:id="5" w:name="Contents"/>
      <w:bookmarkStart w:id="6" w:name="_bookmark0"/>
      <w:bookmarkEnd w:id="5"/>
      <w:bookmarkEnd w:id="6"/>
      <w:r>
        <w:t>Contents</w:t>
      </w:r>
    </w:p>
    <w:p w:rsidR="00E675F0" w:rsidRDefault="00E675F0" w:rsidP="00E675F0">
      <w:pPr>
        <w:pStyle w:val="BodyText"/>
        <w:rPr>
          <w:rFonts w:ascii="Arial"/>
          <w:b/>
        </w:rPr>
      </w:pPr>
    </w:p>
    <w:p w:rsidR="00E675F0" w:rsidRDefault="00E675F0" w:rsidP="00E675F0">
      <w:pPr>
        <w:pStyle w:val="BodyText"/>
        <w:rPr>
          <w:rFonts w:ascii="Arial"/>
          <w:b/>
        </w:rPr>
      </w:pPr>
    </w:p>
    <w:p w:rsidR="00E675F0" w:rsidRDefault="00E675F0" w:rsidP="00E675F0">
      <w:pPr>
        <w:pStyle w:val="BodyText"/>
        <w:rPr>
          <w:rFonts w:ascii="Arial"/>
          <w:b/>
        </w:rPr>
      </w:pPr>
    </w:p>
    <w:p w:rsidR="00E675F0" w:rsidRDefault="00E675F0" w:rsidP="00E675F0">
      <w:pPr>
        <w:pStyle w:val="BodyText"/>
        <w:rPr>
          <w:rFonts w:ascii="Arial"/>
          <w:b/>
        </w:rPr>
      </w:pPr>
    </w:p>
    <w:p w:rsidR="00E675F0" w:rsidRDefault="00E675F0" w:rsidP="00E675F0">
      <w:pPr>
        <w:pStyle w:val="BodyText"/>
        <w:rPr>
          <w:rFonts w:ascii="Arial"/>
          <w:b/>
        </w:rPr>
      </w:pPr>
    </w:p>
    <w:p w:rsidR="00E675F0" w:rsidRDefault="00E675F0" w:rsidP="00E675F0">
      <w:pPr>
        <w:pStyle w:val="BodyText"/>
        <w:rPr>
          <w:rFonts w:ascii="Arial"/>
          <w:b/>
        </w:rPr>
      </w:pPr>
    </w:p>
    <w:p w:rsidR="00E675F0" w:rsidRDefault="00E675F0" w:rsidP="00E675F0">
      <w:pPr>
        <w:pStyle w:val="BodyText"/>
        <w:spacing w:before="1"/>
        <w:rPr>
          <w:rFonts w:ascii="Arial"/>
          <w:b/>
          <w:sz w:val="29"/>
        </w:rPr>
      </w:pPr>
    </w:p>
    <w:tbl>
      <w:tblPr>
        <w:tblW w:w="0" w:type="auto"/>
        <w:tblInd w:w="115" w:type="dxa"/>
        <w:tblLayout w:type="fixed"/>
        <w:tblCellMar>
          <w:left w:w="0" w:type="dxa"/>
          <w:right w:w="0" w:type="dxa"/>
        </w:tblCellMar>
        <w:tblLook w:val="01E0" w:firstRow="1" w:lastRow="1" w:firstColumn="1" w:lastColumn="1" w:noHBand="0" w:noVBand="0"/>
      </w:tblPr>
      <w:tblGrid>
        <w:gridCol w:w="230"/>
        <w:gridCol w:w="6509"/>
        <w:gridCol w:w="858"/>
      </w:tblGrid>
      <w:tr w:rsidR="00E675F0" w:rsidTr="00A330E1">
        <w:trPr>
          <w:trHeight w:val="316"/>
        </w:trPr>
        <w:tc>
          <w:tcPr>
            <w:tcW w:w="230" w:type="dxa"/>
          </w:tcPr>
          <w:p w:rsidR="00E675F0" w:rsidRDefault="00E675F0" w:rsidP="00A330E1">
            <w:pPr>
              <w:pStyle w:val="TableParagraph"/>
              <w:spacing w:line="241" w:lineRule="exact"/>
              <w:ind w:left="50"/>
              <w:rPr>
                <w:rFonts w:ascii="Arial"/>
                <w:b/>
                <w:sz w:val="21"/>
              </w:rPr>
            </w:pPr>
            <w:hyperlink w:anchor="_bookmark3" w:history="1">
              <w:r>
                <w:rPr>
                  <w:rFonts w:ascii="Arial"/>
                  <w:b/>
                  <w:sz w:val="21"/>
                </w:rPr>
                <w:t>II</w:t>
              </w:r>
            </w:hyperlink>
          </w:p>
        </w:tc>
        <w:tc>
          <w:tcPr>
            <w:tcW w:w="6509" w:type="dxa"/>
          </w:tcPr>
          <w:p w:rsidR="00E675F0" w:rsidRDefault="00E675F0" w:rsidP="00A330E1">
            <w:pPr>
              <w:pStyle w:val="TableParagraph"/>
              <w:spacing w:line="244" w:lineRule="exact"/>
              <w:ind w:left="73"/>
            </w:pPr>
            <w:hyperlink w:anchor="_bookmark3" w:history="1">
              <w:r>
                <w:t>Task Force on DSM-IV</w:t>
              </w:r>
            </w:hyperlink>
          </w:p>
        </w:tc>
        <w:tc>
          <w:tcPr>
            <w:tcW w:w="858" w:type="dxa"/>
          </w:tcPr>
          <w:p w:rsidR="00E675F0" w:rsidRDefault="00E675F0" w:rsidP="00A330E1">
            <w:pPr>
              <w:pStyle w:val="TableParagraph"/>
              <w:spacing w:before="4"/>
              <w:ind w:right="94"/>
              <w:jc w:val="right"/>
              <w:rPr>
                <w:sz w:val="20"/>
              </w:rPr>
            </w:pPr>
            <w:hyperlink w:anchor="_bookmark3" w:history="1">
              <w:r>
                <w:rPr>
                  <w:w w:val="90"/>
                  <w:sz w:val="20"/>
                </w:rPr>
                <w:t>ix</w:t>
              </w:r>
            </w:hyperlink>
          </w:p>
        </w:tc>
      </w:tr>
      <w:tr w:rsidR="00E675F0" w:rsidTr="00A330E1">
        <w:trPr>
          <w:trHeight w:val="386"/>
        </w:trPr>
        <w:tc>
          <w:tcPr>
            <w:tcW w:w="230" w:type="dxa"/>
          </w:tcPr>
          <w:p w:rsidR="00E675F0" w:rsidRDefault="00E675F0" w:rsidP="00A330E1">
            <w:pPr>
              <w:pStyle w:val="TableParagraph"/>
              <w:spacing w:before="72"/>
              <w:ind w:left="50"/>
              <w:rPr>
                <w:rFonts w:ascii="Arial"/>
                <w:b/>
                <w:sz w:val="21"/>
              </w:rPr>
            </w:pPr>
            <w:hyperlink w:anchor="_bookmark4" w:history="1">
              <w:r>
                <w:rPr>
                  <w:rFonts w:ascii="Arial"/>
                  <w:b/>
                  <w:sz w:val="21"/>
                </w:rPr>
                <w:t>II</w:t>
              </w:r>
            </w:hyperlink>
          </w:p>
        </w:tc>
        <w:tc>
          <w:tcPr>
            <w:tcW w:w="6509" w:type="dxa"/>
          </w:tcPr>
          <w:p w:rsidR="00E675F0" w:rsidRDefault="00E675F0" w:rsidP="00A330E1">
            <w:pPr>
              <w:pStyle w:val="TableParagraph"/>
              <w:spacing w:before="63"/>
              <w:ind w:left="78"/>
            </w:pPr>
            <w:hyperlink w:anchor="_bookmark4" w:history="1">
              <w:r>
                <w:rPr>
                  <w:w w:val="105"/>
                </w:rPr>
                <w:t>Acknowledgments</w:t>
              </w:r>
            </w:hyperlink>
          </w:p>
        </w:tc>
        <w:tc>
          <w:tcPr>
            <w:tcW w:w="858" w:type="dxa"/>
          </w:tcPr>
          <w:p w:rsidR="00E675F0" w:rsidRDefault="00E675F0" w:rsidP="00A330E1">
            <w:pPr>
              <w:pStyle w:val="TableParagraph"/>
              <w:spacing w:before="63"/>
              <w:ind w:right="62"/>
              <w:jc w:val="right"/>
            </w:pPr>
            <w:hyperlink w:anchor="_bookmark4" w:history="1">
              <w:r>
                <w:rPr>
                  <w:w w:val="95"/>
                </w:rPr>
                <w:t>xiii</w:t>
              </w:r>
            </w:hyperlink>
          </w:p>
        </w:tc>
      </w:tr>
      <w:tr w:rsidR="00E675F0" w:rsidTr="00A330E1">
        <w:trPr>
          <w:trHeight w:val="391"/>
        </w:trPr>
        <w:tc>
          <w:tcPr>
            <w:tcW w:w="230" w:type="dxa"/>
          </w:tcPr>
          <w:p w:rsidR="00E675F0" w:rsidRDefault="00E675F0" w:rsidP="00A330E1">
            <w:pPr>
              <w:pStyle w:val="TableParagraph"/>
              <w:spacing w:before="74"/>
              <w:ind w:left="50"/>
              <w:rPr>
                <w:rFonts w:ascii="Arial"/>
                <w:b/>
                <w:sz w:val="21"/>
              </w:rPr>
            </w:pPr>
            <w:hyperlink w:anchor="_bookmark5" w:history="1">
              <w:r>
                <w:rPr>
                  <w:rFonts w:ascii="Arial"/>
                  <w:b/>
                  <w:sz w:val="21"/>
                </w:rPr>
                <w:t>II</w:t>
              </w:r>
            </w:hyperlink>
          </w:p>
        </w:tc>
        <w:tc>
          <w:tcPr>
            <w:tcW w:w="6509" w:type="dxa"/>
          </w:tcPr>
          <w:p w:rsidR="00E675F0" w:rsidRDefault="00E675F0" w:rsidP="00A330E1">
            <w:pPr>
              <w:pStyle w:val="TableParagraph"/>
              <w:spacing w:before="66"/>
              <w:ind w:left="83"/>
            </w:pPr>
            <w:hyperlink w:anchor="_bookmark5" w:history="1">
              <w:r>
                <w:rPr>
                  <w:w w:val="105"/>
                </w:rPr>
                <w:t>Introduction</w:t>
              </w:r>
            </w:hyperlink>
          </w:p>
        </w:tc>
        <w:tc>
          <w:tcPr>
            <w:tcW w:w="858" w:type="dxa"/>
          </w:tcPr>
          <w:p w:rsidR="00E675F0" w:rsidRDefault="00E675F0" w:rsidP="00A330E1">
            <w:pPr>
              <w:pStyle w:val="TableParagraph"/>
              <w:spacing w:before="61"/>
              <w:ind w:right="63"/>
              <w:jc w:val="right"/>
            </w:pPr>
            <w:hyperlink w:anchor="_bookmark5" w:history="1">
              <w:r>
                <w:t>xv</w:t>
              </w:r>
            </w:hyperlink>
          </w:p>
        </w:tc>
      </w:tr>
      <w:tr w:rsidR="00E675F0" w:rsidTr="00A330E1">
        <w:trPr>
          <w:trHeight w:val="383"/>
        </w:trPr>
        <w:tc>
          <w:tcPr>
            <w:tcW w:w="230" w:type="dxa"/>
          </w:tcPr>
          <w:p w:rsidR="00E675F0" w:rsidRDefault="00E675F0" w:rsidP="00A330E1">
            <w:pPr>
              <w:pStyle w:val="TableParagraph"/>
              <w:spacing w:before="72"/>
              <w:ind w:left="50"/>
              <w:rPr>
                <w:rFonts w:ascii="Arial"/>
                <w:b/>
                <w:sz w:val="21"/>
              </w:rPr>
            </w:pPr>
            <w:hyperlink w:anchor="_bookmark6" w:history="1">
              <w:r>
                <w:rPr>
                  <w:rFonts w:ascii="Arial"/>
                  <w:b/>
                  <w:sz w:val="21"/>
                </w:rPr>
                <w:t>II</w:t>
              </w:r>
            </w:hyperlink>
          </w:p>
        </w:tc>
        <w:tc>
          <w:tcPr>
            <w:tcW w:w="6509" w:type="dxa"/>
          </w:tcPr>
          <w:p w:rsidR="00E675F0" w:rsidRDefault="00E675F0" w:rsidP="00A330E1">
            <w:pPr>
              <w:pStyle w:val="TableParagraph"/>
              <w:spacing w:before="63"/>
              <w:ind w:left="86"/>
            </w:pPr>
            <w:hyperlink w:anchor="_bookmark6" w:history="1">
              <w:r>
                <w:rPr>
                  <w:w w:val="105"/>
                </w:rPr>
                <w:t>Cautionary Statement</w:t>
              </w:r>
            </w:hyperlink>
          </w:p>
        </w:tc>
        <w:tc>
          <w:tcPr>
            <w:tcW w:w="858" w:type="dxa"/>
          </w:tcPr>
          <w:p w:rsidR="00E675F0" w:rsidRDefault="00E675F0" w:rsidP="00A330E1">
            <w:pPr>
              <w:pStyle w:val="TableParagraph"/>
              <w:spacing w:before="63"/>
              <w:ind w:right="63"/>
              <w:jc w:val="right"/>
            </w:pPr>
            <w:hyperlink w:anchor="_bookmark6" w:history="1">
              <w:r>
                <w:t>. xxvii</w:t>
              </w:r>
            </w:hyperlink>
          </w:p>
        </w:tc>
      </w:tr>
      <w:tr w:rsidR="00E675F0" w:rsidTr="00A330E1">
        <w:trPr>
          <w:trHeight w:val="407"/>
        </w:trPr>
        <w:tc>
          <w:tcPr>
            <w:tcW w:w="230" w:type="dxa"/>
          </w:tcPr>
          <w:p w:rsidR="00E675F0" w:rsidRDefault="00E675F0" w:rsidP="00A330E1">
            <w:pPr>
              <w:pStyle w:val="TableParagraph"/>
              <w:spacing w:before="78"/>
              <w:ind w:left="50"/>
              <w:rPr>
                <w:rFonts w:ascii="Arial"/>
                <w:b/>
                <w:sz w:val="21"/>
              </w:rPr>
            </w:pPr>
            <w:hyperlink w:anchor="_bookmark7" w:history="1">
              <w:r>
                <w:rPr>
                  <w:rFonts w:ascii="Arial"/>
                  <w:b/>
                  <w:sz w:val="21"/>
                </w:rPr>
                <w:t>II</w:t>
              </w:r>
            </w:hyperlink>
          </w:p>
        </w:tc>
        <w:tc>
          <w:tcPr>
            <w:tcW w:w="6509" w:type="dxa"/>
          </w:tcPr>
          <w:p w:rsidR="00E675F0" w:rsidRDefault="00E675F0" w:rsidP="00A330E1">
            <w:pPr>
              <w:pStyle w:val="TableParagraph"/>
              <w:spacing w:before="69"/>
              <w:ind w:left="88"/>
            </w:pPr>
            <w:hyperlink w:anchor="_bookmark7" w:history="1">
              <w:r>
                <w:rPr>
                  <w:w w:val="105"/>
                </w:rPr>
                <w:t>Use of the Manual</w:t>
              </w:r>
            </w:hyperlink>
          </w:p>
        </w:tc>
        <w:tc>
          <w:tcPr>
            <w:tcW w:w="858" w:type="dxa"/>
          </w:tcPr>
          <w:p w:rsidR="00E675F0" w:rsidRDefault="00E675F0" w:rsidP="00A330E1">
            <w:pPr>
              <w:pStyle w:val="TableParagraph"/>
              <w:spacing w:before="67"/>
              <w:ind w:right="62"/>
              <w:jc w:val="right"/>
              <w:rPr>
                <w:rFonts w:ascii="Courier New"/>
                <w:sz w:val="25"/>
              </w:rPr>
            </w:pPr>
            <w:hyperlink w:anchor="_bookmark7" w:history="1">
              <w:r>
                <w:rPr>
                  <w:rFonts w:ascii="Courier New"/>
                  <w:w w:val="79"/>
                  <w:sz w:val="25"/>
                </w:rPr>
                <w:t>1</w:t>
              </w:r>
            </w:hyperlink>
          </w:p>
        </w:tc>
      </w:tr>
      <w:tr w:rsidR="00E675F0" w:rsidTr="00A330E1">
        <w:trPr>
          <w:trHeight w:val="394"/>
        </w:trPr>
        <w:tc>
          <w:tcPr>
            <w:tcW w:w="230" w:type="dxa"/>
          </w:tcPr>
          <w:p w:rsidR="00E675F0" w:rsidRDefault="00E675F0" w:rsidP="00A330E1">
            <w:pPr>
              <w:pStyle w:val="TableParagraph"/>
              <w:spacing w:before="64"/>
              <w:ind w:left="50"/>
              <w:rPr>
                <w:rFonts w:ascii="Arial"/>
                <w:b/>
                <w:sz w:val="21"/>
              </w:rPr>
            </w:pPr>
            <w:hyperlink w:anchor="_bookmark8" w:history="1">
              <w:r>
                <w:rPr>
                  <w:rFonts w:ascii="Arial"/>
                  <w:b/>
                  <w:sz w:val="21"/>
                </w:rPr>
                <w:t>II</w:t>
              </w:r>
            </w:hyperlink>
          </w:p>
        </w:tc>
        <w:tc>
          <w:tcPr>
            <w:tcW w:w="6509" w:type="dxa"/>
          </w:tcPr>
          <w:p w:rsidR="00E675F0" w:rsidRDefault="00E675F0" w:rsidP="00A330E1">
            <w:pPr>
              <w:pStyle w:val="TableParagraph"/>
              <w:spacing w:before="51"/>
              <w:ind w:left="80"/>
            </w:pPr>
            <w:hyperlink w:anchor="_bookmark8" w:history="1">
              <w:r>
                <w:t>DSM-IV Classification</w:t>
              </w:r>
            </w:hyperlink>
          </w:p>
        </w:tc>
        <w:tc>
          <w:tcPr>
            <w:tcW w:w="858" w:type="dxa"/>
          </w:tcPr>
          <w:p w:rsidR="00E675F0" w:rsidRDefault="00E675F0" w:rsidP="00A330E1">
            <w:pPr>
              <w:pStyle w:val="TableParagraph"/>
              <w:spacing w:before="58"/>
              <w:ind w:right="57"/>
              <w:jc w:val="right"/>
              <w:rPr>
                <w:rFonts w:ascii="Courier New"/>
                <w:sz w:val="25"/>
              </w:rPr>
            </w:pPr>
            <w:hyperlink w:anchor="_bookmark8" w:history="1">
              <w:r>
                <w:rPr>
                  <w:rFonts w:ascii="Courier New"/>
                  <w:w w:val="75"/>
                  <w:sz w:val="25"/>
                </w:rPr>
                <w:t>13</w:t>
              </w:r>
            </w:hyperlink>
          </w:p>
        </w:tc>
      </w:tr>
      <w:tr w:rsidR="00E675F0" w:rsidTr="00A330E1">
        <w:trPr>
          <w:trHeight w:val="392"/>
        </w:trPr>
        <w:tc>
          <w:tcPr>
            <w:tcW w:w="230" w:type="dxa"/>
          </w:tcPr>
          <w:p w:rsidR="00E675F0" w:rsidRDefault="00E675F0" w:rsidP="00A330E1">
            <w:pPr>
              <w:pStyle w:val="TableParagraph"/>
              <w:spacing w:before="59"/>
              <w:ind w:left="50"/>
              <w:rPr>
                <w:rFonts w:ascii="Arial"/>
                <w:b/>
                <w:sz w:val="21"/>
              </w:rPr>
            </w:pPr>
            <w:hyperlink w:anchor="_bookmark9" w:history="1">
              <w:r>
                <w:rPr>
                  <w:rFonts w:ascii="Arial"/>
                  <w:b/>
                  <w:sz w:val="21"/>
                </w:rPr>
                <w:t>II</w:t>
              </w:r>
            </w:hyperlink>
          </w:p>
        </w:tc>
        <w:tc>
          <w:tcPr>
            <w:tcW w:w="6509" w:type="dxa"/>
          </w:tcPr>
          <w:p w:rsidR="00E675F0" w:rsidRDefault="00E675F0" w:rsidP="00A330E1">
            <w:pPr>
              <w:pStyle w:val="TableParagraph"/>
              <w:spacing w:before="51"/>
              <w:ind w:left="81"/>
            </w:pPr>
            <w:hyperlink w:anchor="_bookmark9" w:history="1">
              <w:r>
                <w:t>Multiaxial Assessment</w:t>
              </w:r>
            </w:hyperlink>
          </w:p>
        </w:tc>
        <w:tc>
          <w:tcPr>
            <w:tcW w:w="858" w:type="dxa"/>
          </w:tcPr>
          <w:p w:rsidR="00E675F0" w:rsidRDefault="00E675F0" w:rsidP="00A330E1">
            <w:pPr>
              <w:pStyle w:val="TableParagraph"/>
              <w:spacing w:before="53"/>
              <w:ind w:right="64"/>
              <w:jc w:val="right"/>
              <w:rPr>
                <w:rFonts w:ascii="Courier New"/>
                <w:sz w:val="25"/>
              </w:rPr>
            </w:pPr>
            <w:hyperlink w:anchor="_bookmark9" w:history="1">
              <w:r>
                <w:rPr>
                  <w:rFonts w:ascii="Courier New"/>
                  <w:w w:val="75"/>
                  <w:sz w:val="25"/>
                </w:rPr>
                <w:t>25</w:t>
              </w:r>
            </w:hyperlink>
          </w:p>
        </w:tc>
      </w:tr>
      <w:tr w:rsidR="00E675F0" w:rsidTr="00A330E1">
        <w:trPr>
          <w:trHeight w:val="652"/>
        </w:trPr>
        <w:tc>
          <w:tcPr>
            <w:tcW w:w="230" w:type="dxa"/>
          </w:tcPr>
          <w:p w:rsidR="00E675F0" w:rsidRDefault="00E675F0" w:rsidP="00A330E1">
            <w:pPr>
              <w:pStyle w:val="TableParagraph"/>
              <w:spacing w:before="56"/>
              <w:ind w:left="50"/>
              <w:rPr>
                <w:rFonts w:ascii="Arial"/>
                <w:b/>
                <w:sz w:val="21"/>
              </w:rPr>
            </w:pPr>
            <w:hyperlink w:anchor="_bookmark11" w:history="1">
              <w:r>
                <w:rPr>
                  <w:rFonts w:ascii="Arial"/>
                  <w:b/>
                  <w:sz w:val="21"/>
                </w:rPr>
                <w:t>II</w:t>
              </w:r>
            </w:hyperlink>
          </w:p>
        </w:tc>
        <w:tc>
          <w:tcPr>
            <w:tcW w:w="6509" w:type="dxa"/>
          </w:tcPr>
          <w:p w:rsidR="00E675F0" w:rsidRDefault="00E675F0" w:rsidP="00A330E1">
            <w:pPr>
              <w:pStyle w:val="TableParagraph"/>
              <w:spacing w:before="47" w:line="252" w:lineRule="auto"/>
              <w:ind w:left="63" w:firstLine="26"/>
            </w:pPr>
            <w:hyperlink w:anchor="_bookmark11" w:history="1">
              <w:r>
                <w:rPr>
                  <w:w w:val="105"/>
                </w:rPr>
                <w:t>Disorders Usually First Diagnosed in Infancy, Childhood, or Adolescence</w:t>
              </w:r>
            </w:hyperlink>
          </w:p>
        </w:tc>
        <w:tc>
          <w:tcPr>
            <w:tcW w:w="858" w:type="dxa"/>
          </w:tcPr>
          <w:p w:rsidR="00E675F0" w:rsidRDefault="00E675F0" w:rsidP="00A330E1">
            <w:pPr>
              <w:pStyle w:val="TableParagraph"/>
              <w:spacing w:before="1"/>
              <w:rPr>
                <w:rFonts w:ascii="Arial"/>
                <w:b/>
                <w:sz w:val="28"/>
              </w:rPr>
            </w:pPr>
          </w:p>
          <w:p w:rsidR="00E675F0" w:rsidRDefault="00E675F0" w:rsidP="00A330E1">
            <w:pPr>
              <w:pStyle w:val="TableParagraph"/>
              <w:ind w:right="50"/>
              <w:jc w:val="right"/>
              <w:rPr>
                <w:rFonts w:ascii="Courier New"/>
                <w:sz w:val="25"/>
              </w:rPr>
            </w:pPr>
            <w:hyperlink w:anchor="_bookmark11" w:history="1">
              <w:r>
                <w:rPr>
                  <w:rFonts w:ascii="Courier New"/>
                  <w:w w:val="80"/>
                  <w:sz w:val="25"/>
                </w:rPr>
                <w:t>37</w:t>
              </w:r>
            </w:hyperlink>
          </w:p>
        </w:tc>
      </w:tr>
      <w:tr w:rsidR="00E675F0" w:rsidTr="00A330E1">
        <w:trPr>
          <w:trHeight w:val="379"/>
        </w:trPr>
        <w:tc>
          <w:tcPr>
            <w:tcW w:w="230" w:type="dxa"/>
          </w:tcPr>
          <w:p w:rsidR="00E675F0" w:rsidRDefault="00E675F0" w:rsidP="00A330E1">
            <w:pPr>
              <w:pStyle w:val="TableParagraph"/>
              <w:spacing w:before="57"/>
              <w:ind w:left="50"/>
              <w:rPr>
                <w:rFonts w:ascii="Arial"/>
                <w:b/>
                <w:sz w:val="21"/>
              </w:rPr>
            </w:pPr>
            <w:hyperlink w:anchor="_bookmark64" w:history="1">
              <w:r>
                <w:rPr>
                  <w:rFonts w:ascii="Arial"/>
                  <w:b/>
                  <w:sz w:val="21"/>
                </w:rPr>
                <w:t>II</w:t>
              </w:r>
            </w:hyperlink>
          </w:p>
        </w:tc>
        <w:tc>
          <w:tcPr>
            <w:tcW w:w="6509" w:type="dxa"/>
          </w:tcPr>
          <w:p w:rsidR="00E675F0" w:rsidRDefault="00E675F0" w:rsidP="00A330E1">
            <w:pPr>
              <w:pStyle w:val="TableParagraph"/>
              <w:spacing w:before="48"/>
              <w:ind w:left="90"/>
            </w:pPr>
            <w:hyperlink w:anchor="_bookmark64" w:history="1">
              <w:r>
                <w:rPr>
                  <w:w w:val="105"/>
                </w:rPr>
                <w:t>Delirium, Dementia, and Amnestic and Other Cognitive Disorders</w:t>
              </w:r>
            </w:hyperlink>
          </w:p>
        </w:tc>
        <w:tc>
          <w:tcPr>
            <w:tcW w:w="858" w:type="dxa"/>
          </w:tcPr>
          <w:p w:rsidR="00E675F0" w:rsidRDefault="00E675F0" w:rsidP="00A330E1">
            <w:pPr>
              <w:pStyle w:val="TableParagraph"/>
              <w:spacing w:before="46"/>
              <w:ind w:right="63"/>
              <w:jc w:val="right"/>
              <w:rPr>
                <w:rFonts w:ascii="Courier New"/>
                <w:sz w:val="25"/>
              </w:rPr>
            </w:pPr>
            <w:hyperlink w:anchor="_bookmark64" w:history="1">
              <w:r>
                <w:rPr>
                  <w:rFonts w:ascii="Courier New"/>
                  <w:w w:val="75"/>
                  <w:sz w:val="25"/>
                </w:rPr>
                <w:t>123</w:t>
              </w:r>
            </w:hyperlink>
          </w:p>
        </w:tc>
      </w:tr>
      <w:tr w:rsidR="00E675F0" w:rsidTr="00A330E1">
        <w:trPr>
          <w:trHeight w:val="382"/>
        </w:trPr>
        <w:tc>
          <w:tcPr>
            <w:tcW w:w="230" w:type="dxa"/>
          </w:tcPr>
          <w:p w:rsidR="00E675F0" w:rsidRDefault="00E675F0" w:rsidP="00A330E1">
            <w:pPr>
              <w:pStyle w:val="TableParagraph"/>
              <w:spacing w:before="62"/>
              <w:ind w:left="50"/>
              <w:rPr>
                <w:rFonts w:ascii="Arial"/>
                <w:b/>
                <w:sz w:val="21"/>
              </w:rPr>
            </w:pPr>
            <w:hyperlink w:anchor="_bookmark89" w:history="1">
              <w:r>
                <w:rPr>
                  <w:rFonts w:ascii="Arial"/>
                  <w:b/>
                  <w:sz w:val="21"/>
                </w:rPr>
                <w:t>II</w:t>
              </w:r>
            </w:hyperlink>
          </w:p>
        </w:tc>
        <w:tc>
          <w:tcPr>
            <w:tcW w:w="6509" w:type="dxa"/>
          </w:tcPr>
          <w:p w:rsidR="00E675F0" w:rsidRDefault="00E675F0" w:rsidP="00A330E1">
            <w:pPr>
              <w:pStyle w:val="TableParagraph"/>
              <w:spacing w:before="48"/>
              <w:ind w:left="81"/>
            </w:pPr>
            <w:hyperlink w:anchor="_bookmark89" w:history="1">
              <w:r>
                <w:rPr>
                  <w:w w:val="105"/>
                </w:rPr>
                <w:t>Mental Disorders Due to a General Medical Condition</w:t>
              </w:r>
            </w:hyperlink>
          </w:p>
        </w:tc>
        <w:tc>
          <w:tcPr>
            <w:tcW w:w="858" w:type="dxa"/>
          </w:tcPr>
          <w:p w:rsidR="00E675F0" w:rsidRDefault="00E675F0" w:rsidP="00A330E1">
            <w:pPr>
              <w:pStyle w:val="TableParagraph"/>
              <w:spacing w:before="50"/>
              <w:ind w:right="68"/>
              <w:jc w:val="right"/>
              <w:rPr>
                <w:rFonts w:ascii="Courier New"/>
                <w:sz w:val="25"/>
              </w:rPr>
            </w:pPr>
            <w:hyperlink w:anchor="_bookmark89" w:history="1">
              <w:r>
                <w:rPr>
                  <w:rFonts w:ascii="Courier New"/>
                  <w:w w:val="70"/>
                  <w:sz w:val="25"/>
                </w:rPr>
                <w:t>165</w:t>
              </w:r>
            </w:hyperlink>
          </w:p>
        </w:tc>
      </w:tr>
      <w:tr w:rsidR="00E675F0" w:rsidTr="00A330E1">
        <w:trPr>
          <w:trHeight w:val="384"/>
        </w:trPr>
        <w:tc>
          <w:tcPr>
            <w:tcW w:w="230" w:type="dxa"/>
          </w:tcPr>
          <w:p w:rsidR="00E675F0" w:rsidRDefault="00E675F0" w:rsidP="00A330E1">
            <w:pPr>
              <w:pStyle w:val="TableParagraph"/>
              <w:spacing w:before="59"/>
              <w:ind w:left="50"/>
              <w:rPr>
                <w:rFonts w:ascii="Arial"/>
                <w:b/>
                <w:sz w:val="21"/>
              </w:rPr>
            </w:pPr>
            <w:hyperlink w:anchor="_bookmark96" w:history="1">
              <w:r>
                <w:rPr>
                  <w:rFonts w:ascii="Arial"/>
                  <w:b/>
                  <w:sz w:val="21"/>
                </w:rPr>
                <w:t>II</w:t>
              </w:r>
            </w:hyperlink>
          </w:p>
        </w:tc>
        <w:tc>
          <w:tcPr>
            <w:tcW w:w="6509" w:type="dxa"/>
          </w:tcPr>
          <w:p w:rsidR="00E675F0" w:rsidRDefault="00E675F0" w:rsidP="00A330E1">
            <w:pPr>
              <w:pStyle w:val="TableParagraph"/>
              <w:spacing w:before="51"/>
              <w:ind w:left="75"/>
            </w:pPr>
            <w:hyperlink w:anchor="_bookmark96" w:history="1">
              <w:r>
                <w:rPr>
                  <w:w w:val="105"/>
                </w:rPr>
                <w:t>Substance-Related Disorders</w:t>
              </w:r>
            </w:hyperlink>
          </w:p>
        </w:tc>
        <w:tc>
          <w:tcPr>
            <w:tcW w:w="858" w:type="dxa"/>
          </w:tcPr>
          <w:p w:rsidR="00E675F0" w:rsidRDefault="00E675F0" w:rsidP="00A330E1">
            <w:pPr>
              <w:pStyle w:val="TableParagraph"/>
              <w:spacing w:before="48"/>
              <w:ind w:right="68"/>
              <w:jc w:val="right"/>
              <w:rPr>
                <w:rFonts w:ascii="Courier New"/>
                <w:sz w:val="25"/>
              </w:rPr>
            </w:pPr>
            <w:hyperlink w:anchor="_bookmark96" w:history="1">
              <w:r>
                <w:rPr>
                  <w:rFonts w:ascii="Courier New"/>
                  <w:w w:val="70"/>
                  <w:sz w:val="25"/>
                </w:rPr>
                <w:t>175</w:t>
              </w:r>
            </w:hyperlink>
          </w:p>
        </w:tc>
      </w:tr>
      <w:tr w:rsidR="00E675F0" w:rsidTr="00A330E1">
        <w:trPr>
          <w:trHeight w:val="386"/>
        </w:trPr>
        <w:tc>
          <w:tcPr>
            <w:tcW w:w="230" w:type="dxa"/>
          </w:tcPr>
          <w:p w:rsidR="00E675F0" w:rsidRDefault="00E675F0" w:rsidP="00A330E1">
            <w:pPr>
              <w:pStyle w:val="TableParagraph"/>
              <w:spacing w:before="59"/>
              <w:ind w:left="50"/>
              <w:rPr>
                <w:rFonts w:ascii="Arial"/>
                <w:b/>
                <w:sz w:val="21"/>
              </w:rPr>
            </w:pPr>
            <w:hyperlink w:anchor="_bookmark160" w:history="1">
              <w:r>
                <w:rPr>
                  <w:rFonts w:ascii="Arial"/>
                  <w:b/>
                  <w:sz w:val="21"/>
                </w:rPr>
                <w:t>II</w:t>
              </w:r>
            </w:hyperlink>
          </w:p>
        </w:tc>
        <w:tc>
          <w:tcPr>
            <w:tcW w:w="6509" w:type="dxa"/>
          </w:tcPr>
          <w:p w:rsidR="00E675F0" w:rsidRDefault="00E675F0" w:rsidP="00A330E1">
            <w:pPr>
              <w:pStyle w:val="TableParagraph"/>
              <w:spacing w:before="51"/>
              <w:ind w:left="75"/>
            </w:pPr>
            <w:hyperlink w:anchor="_bookmark160" w:history="1">
              <w:r>
                <w:rPr>
                  <w:w w:val="105"/>
                </w:rPr>
                <w:t>Schizophrenia and Other Psychotic Disorders</w:t>
              </w:r>
            </w:hyperlink>
          </w:p>
        </w:tc>
        <w:tc>
          <w:tcPr>
            <w:tcW w:w="858" w:type="dxa"/>
          </w:tcPr>
          <w:p w:rsidR="00E675F0" w:rsidRDefault="00E675F0" w:rsidP="00A330E1">
            <w:pPr>
              <w:pStyle w:val="TableParagraph"/>
              <w:spacing w:before="53"/>
              <w:ind w:right="62"/>
              <w:jc w:val="right"/>
              <w:rPr>
                <w:rFonts w:ascii="Courier New"/>
                <w:sz w:val="25"/>
              </w:rPr>
            </w:pPr>
            <w:hyperlink w:anchor="_bookmark160" w:history="1">
              <w:r>
                <w:rPr>
                  <w:rFonts w:ascii="Courier New"/>
                  <w:w w:val="75"/>
                  <w:sz w:val="25"/>
                </w:rPr>
                <w:t>273</w:t>
              </w:r>
            </w:hyperlink>
          </w:p>
        </w:tc>
      </w:tr>
      <w:tr w:rsidR="00E675F0" w:rsidTr="00A330E1">
        <w:trPr>
          <w:trHeight w:val="388"/>
        </w:trPr>
        <w:tc>
          <w:tcPr>
            <w:tcW w:w="230" w:type="dxa"/>
          </w:tcPr>
          <w:p w:rsidR="00E675F0" w:rsidRDefault="00E675F0" w:rsidP="00A330E1">
            <w:pPr>
              <w:pStyle w:val="TableParagraph"/>
              <w:spacing w:before="57"/>
              <w:ind w:left="50"/>
              <w:rPr>
                <w:rFonts w:ascii="Arial"/>
                <w:b/>
                <w:sz w:val="21"/>
              </w:rPr>
            </w:pPr>
            <w:hyperlink w:anchor="_bookmark180" w:history="1">
              <w:r>
                <w:rPr>
                  <w:rFonts w:ascii="Arial"/>
                  <w:b/>
                  <w:sz w:val="21"/>
                </w:rPr>
                <w:t>II</w:t>
              </w:r>
            </w:hyperlink>
          </w:p>
        </w:tc>
        <w:tc>
          <w:tcPr>
            <w:tcW w:w="6509" w:type="dxa"/>
          </w:tcPr>
          <w:p w:rsidR="00E675F0" w:rsidRDefault="00E675F0" w:rsidP="00A330E1">
            <w:pPr>
              <w:pStyle w:val="TableParagraph"/>
              <w:spacing w:before="48"/>
              <w:ind w:left="76"/>
            </w:pPr>
            <w:hyperlink w:anchor="_bookmark180" w:history="1">
              <w:r>
                <w:rPr>
                  <w:w w:val="105"/>
                </w:rPr>
                <w:t>Mood Disorders</w:t>
              </w:r>
            </w:hyperlink>
          </w:p>
        </w:tc>
        <w:tc>
          <w:tcPr>
            <w:tcW w:w="858" w:type="dxa"/>
          </w:tcPr>
          <w:p w:rsidR="00E675F0" w:rsidRDefault="00E675F0" w:rsidP="00A330E1">
            <w:pPr>
              <w:pStyle w:val="TableParagraph"/>
              <w:spacing w:before="50"/>
              <w:ind w:right="51"/>
              <w:jc w:val="right"/>
              <w:rPr>
                <w:rFonts w:ascii="Courier New"/>
                <w:sz w:val="25"/>
              </w:rPr>
            </w:pPr>
            <w:hyperlink w:anchor="_bookmark180" w:history="1">
              <w:r>
                <w:rPr>
                  <w:rFonts w:ascii="Courier New"/>
                  <w:w w:val="75"/>
                  <w:sz w:val="25"/>
                </w:rPr>
                <w:t>317</w:t>
              </w:r>
            </w:hyperlink>
          </w:p>
        </w:tc>
      </w:tr>
      <w:tr w:rsidR="00E675F0" w:rsidTr="00A330E1">
        <w:trPr>
          <w:trHeight w:val="385"/>
        </w:trPr>
        <w:tc>
          <w:tcPr>
            <w:tcW w:w="230" w:type="dxa"/>
          </w:tcPr>
          <w:p w:rsidR="00E675F0" w:rsidRDefault="00E675F0" w:rsidP="00A330E1">
            <w:pPr>
              <w:pStyle w:val="TableParagraph"/>
              <w:spacing w:before="53"/>
              <w:ind w:left="50"/>
              <w:rPr>
                <w:rFonts w:ascii="Arial"/>
                <w:b/>
                <w:sz w:val="21"/>
              </w:rPr>
            </w:pPr>
            <w:hyperlink w:anchor="_bookmark222" w:history="1">
              <w:r>
                <w:rPr>
                  <w:rFonts w:ascii="Arial"/>
                  <w:b/>
                  <w:sz w:val="21"/>
                </w:rPr>
                <w:t>II</w:t>
              </w:r>
            </w:hyperlink>
          </w:p>
        </w:tc>
        <w:tc>
          <w:tcPr>
            <w:tcW w:w="6509" w:type="dxa"/>
          </w:tcPr>
          <w:p w:rsidR="00E675F0" w:rsidRDefault="00E675F0" w:rsidP="00A330E1">
            <w:pPr>
              <w:pStyle w:val="TableParagraph"/>
              <w:spacing w:before="45"/>
              <w:ind w:left="78"/>
            </w:pPr>
            <w:hyperlink w:anchor="_bookmark222" w:history="1">
              <w:r>
                <w:t>Anxiety Disorders</w:t>
              </w:r>
            </w:hyperlink>
          </w:p>
        </w:tc>
        <w:tc>
          <w:tcPr>
            <w:tcW w:w="858" w:type="dxa"/>
          </w:tcPr>
          <w:p w:rsidR="00E675F0" w:rsidRDefault="00E675F0" w:rsidP="00A330E1">
            <w:pPr>
              <w:pStyle w:val="TableParagraph"/>
              <w:spacing w:before="56"/>
              <w:ind w:right="51"/>
              <w:jc w:val="right"/>
              <w:rPr>
                <w:rFonts w:ascii="Courier New"/>
                <w:sz w:val="25"/>
              </w:rPr>
            </w:pPr>
            <w:hyperlink w:anchor="_bookmark222" w:history="1">
              <w:r>
                <w:rPr>
                  <w:rFonts w:ascii="Courier New"/>
                  <w:w w:val="75"/>
                  <w:sz w:val="25"/>
                </w:rPr>
                <w:t>393</w:t>
              </w:r>
            </w:hyperlink>
          </w:p>
        </w:tc>
      </w:tr>
      <w:tr w:rsidR="00E675F0" w:rsidTr="00A330E1">
        <w:trPr>
          <w:trHeight w:val="379"/>
        </w:trPr>
        <w:tc>
          <w:tcPr>
            <w:tcW w:w="230" w:type="dxa"/>
          </w:tcPr>
          <w:p w:rsidR="00E675F0" w:rsidRDefault="00E675F0" w:rsidP="00A330E1">
            <w:pPr>
              <w:pStyle w:val="TableParagraph"/>
              <w:spacing w:before="52"/>
              <w:ind w:left="50"/>
              <w:rPr>
                <w:rFonts w:ascii="Arial"/>
                <w:b/>
                <w:sz w:val="21"/>
              </w:rPr>
            </w:pPr>
            <w:hyperlink w:anchor="_bookmark247" w:history="1">
              <w:r>
                <w:rPr>
                  <w:rFonts w:ascii="Arial"/>
                  <w:b/>
                  <w:sz w:val="21"/>
                </w:rPr>
                <w:t>II</w:t>
              </w:r>
            </w:hyperlink>
          </w:p>
        </w:tc>
        <w:tc>
          <w:tcPr>
            <w:tcW w:w="6509" w:type="dxa"/>
          </w:tcPr>
          <w:p w:rsidR="00E675F0" w:rsidRDefault="00E675F0" w:rsidP="00A330E1">
            <w:pPr>
              <w:pStyle w:val="TableParagraph"/>
              <w:spacing w:before="44"/>
              <w:ind w:left="80"/>
            </w:pPr>
            <w:hyperlink w:anchor="_bookmark247" w:history="1">
              <w:r>
                <w:rPr>
                  <w:w w:val="105"/>
                </w:rPr>
                <w:t>Somatoform Disorders</w:t>
              </w:r>
            </w:hyperlink>
          </w:p>
        </w:tc>
        <w:tc>
          <w:tcPr>
            <w:tcW w:w="858" w:type="dxa"/>
          </w:tcPr>
          <w:p w:rsidR="00E675F0" w:rsidRDefault="00E675F0" w:rsidP="00A330E1">
            <w:pPr>
              <w:pStyle w:val="TableParagraph"/>
              <w:spacing w:before="46"/>
              <w:ind w:right="58"/>
              <w:jc w:val="right"/>
              <w:rPr>
                <w:rFonts w:ascii="Courier New"/>
                <w:sz w:val="25"/>
              </w:rPr>
            </w:pPr>
            <w:hyperlink w:anchor="_bookmark247" w:history="1">
              <w:r>
                <w:rPr>
                  <w:rFonts w:ascii="Courier New"/>
                  <w:w w:val="75"/>
                  <w:sz w:val="25"/>
                </w:rPr>
                <w:t>445</w:t>
              </w:r>
            </w:hyperlink>
          </w:p>
        </w:tc>
      </w:tr>
      <w:tr w:rsidR="00E675F0" w:rsidTr="00A330E1">
        <w:trPr>
          <w:trHeight w:val="386"/>
        </w:trPr>
        <w:tc>
          <w:tcPr>
            <w:tcW w:w="230" w:type="dxa"/>
          </w:tcPr>
          <w:p w:rsidR="00E675F0" w:rsidRDefault="00E675F0" w:rsidP="00A330E1">
            <w:pPr>
              <w:pStyle w:val="TableParagraph"/>
              <w:spacing w:before="66"/>
              <w:ind w:left="50"/>
              <w:rPr>
                <w:rFonts w:ascii="Arial"/>
                <w:b/>
                <w:sz w:val="21"/>
              </w:rPr>
            </w:pPr>
            <w:hyperlink w:anchor="_bookmark261" w:history="1">
              <w:r>
                <w:rPr>
                  <w:rFonts w:ascii="Arial"/>
                  <w:b/>
                  <w:sz w:val="21"/>
                </w:rPr>
                <w:t>II</w:t>
              </w:r>
            </w:hyperlink>
          </w:p>
        </w:tc>
        <w:tc>
          <w:tcPr>
            <w:tcW w:w="6509" w:type="dxa"/>
          </w:tcPr>
          <w:p w:rsidR="00E675F0" w:rsidRDefault="00E675F0" w:rsidP="00A330E1">
            <w:pPr>
              <w:pStyle w:val="TableParagraph"/>
              <w:spacing w:before="58"/>
              <w:ind w:left="85"/>
            </w:pPr>
            <w:hyperlink w:anchor="_bookmark261" w:history="1">
              <w:r>
                <w:rPr>
                  <w:w w:val="105"/>
                </w:rPr>
                <w:t>Factitious Disorders</w:t>
              </w:r>
            </w:hyperlink>
          </w:p>
        </w:tc>
        <w:tc>
          <w:tcPr>
            <w:tcW w:w="858" w:type="dxa"/>
          </w:tcPr>
          <w:p w:rsidR="00E675F0" w:rsidRDefault="00E675F0" w:rsidP="00A330E1">
            <w:pPr>
              <w:pStyle w:val="TableParagraph"/>
              <w:spacing w:before="50"/>
              <w:ind w:right="62"/>
              <w:jc w:val="right"/>
              <w:rPr>
                <w:rFonts w:ascii="Courier New"/>
                <w:sz w:val="25"/>
              </w:rPr>
            </w:pPr>
            <w:hyperlink w:anchor="_bookmark261" w:history="1">
              <w:r>
                <w:rPr>
                  <w:rFonts w:ascii="Courier New"/>
                  <w:w w:val="75"/>
                  <w:sz w:val="25"/>
                </w:rPr>
                <w:t>471</w:t>
              </w:r>
            </w:hyperlink>
          </w:p>
        </w:tc>
      </w:tr>
      <w:tr w:rsidR="00E675F0" w:rsidTr="00A330E1">
        <w:trPr>
          <w:trHeight w:val="391"/>
        </w:trPr>
        <w:tc>
          <w:tcPr>
            <w:tcW w:w="230" w:type="dxa"/>
          </w:tcPr>
          <w:p w:rsidR="00E675F0" w:rsidRDefault="00E675F0" w:rsidP="00A330E1">
            <w:pPr>
              <w:pStyle w:val="TableParagraph"/>
              <w:spacing w:before="69"/>
              <w:ind w:left="50"/>
              <w:rPr>
                <w:rFonts w:ascii="Arial"/>
                <w:b/>
                <w:sz w:val="21"/>
              </w:rPr>
            </w:pPr>
            <w:hyperlink w:anchor="_bookmark267" w:history="1">
              <w:r>
                <w:rPr>
                  <w:rFonts w:ascii="Arial"/>
                  <w:b/>
                  <w:sz w:val="21"/>
                </w:rPr>
                <w:t>II</w:t>
              </w:r>
            </w:hyperlink>
          </w:p>
        </w:tc>
        <w:tc>
          <w:tcPr>
            <w:tcW w:w="6509" w:type="dxa"/>
          </w:tcPr>
          <w:p w:rsidR="00E675F0" w:rsidRDefault="00E675F0" w:rsidP="00A330E1">
            <w:pPr>
              <w:pStyle w:val="TableParagraph"/>
              <w:spacing w:before="60"/>
              <w:ind w:left="85"/>
            </w:pPr>
            <w:hyperlink w:anchor="_bookmark267" w:history="1">
              <w:r>
                <w:t>Dissociative Disorders</w:t>
              </w:r>
            </w:hyperlink>
          </w:p>
        </w:tc>
        <w:tc>
          <w:tcPr>
            <w:tcW w:w="858" w:type="dxa"/>
          </w:tcPr>
          <w:p w:rsidR="00E675F0" w:rsidRDefault="00E675F0" w:rsidP="00A330E1">
            <w:pPr>
              <w:pStyle w:val="TableParagraph"/>
              <w:spacing w:before="53"/>
              <w:ind w:right="49"/>
              <w:jc w:val="right"/>
              <w:rPr>
                <w:rFonts w:ascii="Courier New"/>
                <w:sz w:val="25"/>
              </w:rPr>
            </w:pPr>
            <w:hyperlink w:anchor="_bookmark267" w:history="1">
              <w:r>
                <w:rPr>
                  <w:rFonts w:ascii="Courier New"/>
                  <w:w w:val="80"/>
                  <w:sz w:val="25"/>
                </w:rPr>
                <w:t>477</w:t>
              </w:r>
            </w:hyperlink>
          </w:p>
        </w:tc>
      </w:tr>
      <w:tr w:rsidR="00E675F0" w:rsidTr="00A330E1">
        <w:trPr>
          <w:trHeight w:val="394"/>
        </w:trPr>
        <w:tc>
          <w:tcPr>
            <w:tcW w:w="230" w:type="dxa"/>
          </w:tcPr>
          <w:p w:rsidR="00E675F0" w:rsidRDefault="00E675F0" w:rsidP="00A330E1">
            <w:pPr>
              <w:pStyle w:val="TableParagraph"/>
              <w:spacing w:before="62"/>
              <w:ind w:left="50"/>
              <w:rPr>
                <w:rFonts w:ascii="Arial"/>
                <w:b/>
                <w:sz w:val="21"/>
              </w:rPr>
            </w:pPr>
            <w:hyperlink w:anchor="_bookmark275" w:history="1">
              <w:r>
                <w:rPr>
                  <w:rFonts w:ascii="Arial"/>
                  <w:b/>
                  <w:sz w:val="21"/>
                </w:rPr>
                <w:t>II</w:t>
              </w:r>
            </w:hyperlink>
          </w:p>
        </w:tc>
        <w:tc>
          <w:tcPr>
            <w:tcW w:w="6509" w:type="dxa"/>
          </w:tcPr>
          <w:p w:rsidR="00E675F0" w:rsidRDefault="00E675F0" w:rsidP="00A330E1">
            <w:pPr>
              <w:pStyle w:val="TableParagraph"/>
              <w:spacing w:before="53"/>
              <w:ind w:left="80"/>
            </w:pPr>
            <w:hyperlink w:anchor="_bookmark275" w:history="1">
              <w:r>
                <w:rPr>
                  <w:w w:val="105"/>
                </w:rPr>
                <w:t>Sexual and Gender Identity Disorders</w:t>
              </w:r>
            </w:hyperlink>
          </w:p>
        </w:tc>
        <w:tc>
          <w:tcPr>
            <w:tcW w:w="858" w:type="dxa"/>
          </w:tcPr>
          <w:p w:rsidR="00E675F0" w:rsidRDefault="00E675F0" w:rsidP="00A330E1">
            <w:pPr>
              <w:pStyle w:val="TableParagraph"/>
              <w:spacing w:before="55"/>
              <w:ind w:right="53"/>
              <w:jc w:val="right"/>
              <w:rPr>
                <w:rFonts w:ascii="Courier New"/>
                <w:sz w:val="25"/>
              </w:rPr>
            </w:pPr>
            <w:hyperlink w:anchor="_bookmark275" w:history="1">
              <w:r>
                <w:rPr>
                  <w:rFonts w:ascii="Courier New"/>
                  <w:w w:val="75"/>
                  <w:sz w:val="25"/>
                </w:rPr>
                <w:t>493</w:t>
              </w:r>
            </w:hyperlink>
          </w:p>
        </w:tc>
      </w:tr>
      <w:tr w:rsidR="00E675F0" w:rsidTr="00A330E1">
        <w:trPr>
          <w:trHeight w:val="389"/>
        </w:trPr>
        <w:tc>
          <w:tcPr>
            <w:tcW w:w="230" w:type="dxa"/>
          </w:tcPr>
          <w:p w:rsidR="00E675F0" w:rsidRDefault="00E675F0" w:rsidP="00A330E1">
            <w:pPr>
              <w:pStyle w:val="TableParagraph"/>
              <w:spacing w:before="57"/>
              <w:ind w:left="50"/>
              <w:rPr>
                <w:rFonts w:ascii="Arial"/>
                <w:b/>
                <w:sz w:val="21"/>
              </w:rPr>
            </w:pPr>
            <w:hyperlink w:anchor="_bookmark303" w:history="1">
              <w:r>
                <w:rPr>
                  <w:rFonts w:ascii="Arial"/>
                  <w:b/>
                  <w:sz w:val="21"/>
                </w:rPr>
                <w:t>II</w:t>
              </w:r>
            </w:hyperlink>
          </w:p>
        </w:tc>
        <w:tc>
          <w:tcPr>
            <w:tcW w:w="6509" w:type="dxa"/>
          </w:tcPr>
          <w:p w:rsidR="00E675F0" w:rsidRDefault="00E675F0" w:rsidP="00A330E1">
            <w:pPr>
              <w:pStyle w:val="TableParagraph"/>
              <w:spacing w:before="48"/>
              <w:ind w:left="84"/>
            </w:pPr>
            <w:hyperlink w:anchor="_bookmark303" w:history="1">
              <w:r>
                <w:t>Eating Disorders</w:t>
              </w:r>
            </w:hyperlink>
          </w:p>
        </w:tc>
        <w:tc>
          <w:tcPr>
            <w:tcW w:w="858" w:type="dxa"/>
          </w:tcPr>
          <w:p w:rsidR="00E675F0" w:rsidRDefault="00E675F0" w:rsidP="00A330E1">
            <w:pPr>
              <w:pStyle w:val="TableParagraph"/>
              <w:spacing w:before="55"/>
              <w:ind w:right="55"/>
              <w:jc w:val="right"/>
              <w:rPr>
                <w:rFonts w:ascii="Courier New"/>
                <w:sz w:val="25"/>
              </w:rPr>
            </w:pPr>
            <w:hyperlink w:anchor="_bookmark303" w:history="1">
              <w:r>
                <w:rPr>
                  <w:rFonts w:ascii="Courier New"/>
                  <w:w w:val="75"/>
                  <w:sz w:val="25"/>
                </w:rPr>
                <w:t>539</w:t>
              </w:r>
            </w:hyperlink>
          </w:p>
        </w:tc>
      </w:tr>
      <w:tr w:rsidR="00E675F0" w:rsidTr="00A330E1">
        <w:trPr>
          <w:trHeight w:val="386"/>
        </w:trPr>
        <w:tc>
          <w:tcPr>
            <w:tcW w:w="230" w:type="dxa"/>
          </w:tcPr>
          <w:p w:rsidR="00E675F0" w:rsidRDefault="00E675F0" w:rsidP="00A330E1">
            <w:pPr>
              <w:pStyle w:val="TableParagraph"/>
              <w:spacing w:before="57"/>
              <w:ind w:left="50"/>
              <w:rPr>
                <w:rFonts w:ascii="Arial"/>
                <w:b/>
                <w:sz w:val="21"/>
              </w:rPr>
            </w:pPr>
            <w:hyperlink w:anchor="_bookmark309" w:history="1">
              <w:r>
                <w:rPr>
                  <w:rFonts w:ascii="Arial"/>
                  <w:b/>
                  <w:sz w:val="21"/>
                </w:rPr>
                <w:t>II</w:t>
              </w:r>
            </w:hyperlink>
          </w:p>
        </w:tc>
        <w:tc>
          <w:tcPr>
            <w:tcW w:w="6509" w:type="dxa"/>
          </w:tcPr>
          <w:p w:rsidR="00E675F0" w:rsidRDefault="00E675F0" w:rsidP="00A330E1">
            <w:pPr>
              <w:pStyle w:val="TableParagraph"/>
              <w:spacing w:before="48"/>
              <w:ind w:left="80"/>
            </w:pPr>
            <w:hyperlink w:anchor="_bookmark309" w:history="1">
              <w:r>
                <w:rPr>
                  <w:w w:val="105"/>
                </w:rPr>
                <w:t>Sleep Disorders</w:t>
              </w:r>
            </w:hyperlink>
          </w:p>
        </w:tc>
        <w:tc>
          <w:tcPr>
            <w:tcW w:w="858" w:type="dxa"/>
          </w:tcPr>
          <w:p w:rsidR="00E675F0" w:rsidRDefault="00E675F0" w:rsidP="00A330E1">
            <w:pPr>
              <w:pStyle w:val="TableParagraph"/>
              <w:spacing w:before="50"/>
              <w:ind w:right="64"/>
              <w:jc w:val="right"/>
              <w:rPr>
                <w:rFonts w:ascii="Courier New"/>
                <w:sz w:val="25"/>
              </w:rPr>
            </w:pPr>
            <w:hyperlink w:anchor="_bookmark309" w:history="1">
              <w:r>
                <w:rPr>
                  <w:rFonts w:ascii="Courier New"/>
                  <w:w w:val="70"/>
                  <w:sz w:val="25"/>
                </w:rPr>
                <w:t>551</w:t>
              </w:r>
            </w:hyperlink>
          </w:p>
        </w:tc>
      </w:tr>
      <w:tr w:rsidR="00E675F0" w:rsidTr="00A330E1">
        <w:trPr>
          <w:trHeight w:val="391"/>
        </w:trPr>
        <w:tc>
          <w:tcPr>
            <w:tcW w:w="230" w:type="dxa"/>
          </w:tcPr>
          <w:p w:rsidR="00E675F0" w:rsidRDefault="00E675F0" w:rsidP="00A330E1">
            <w:pPr>
              <w:pStyle w:val="TableParagraph"/>
              <w:spacing w:before="64"/>
              <w:ind w:left="50"/>
              <w:rPr>
                <w:rFonts w:ascii="Arial"/>
                <w:b/>
                <w:sz w:val="21"/>
              </w:rPr>
            </w:pPr>
            <w:hyperlink w:anchor="_bookmark330" w:history="1">
              <w:r>
                <w:rPr>
                  <w:rFonts w:ascii="Arial"/>
                  <w:b/>
                  <w:sz w:val="21"/>
                </w:rPr>
                <w:t>II</w:t>
              </w:r>
            </w:hyperlink>
          </w:p>
        </w:tc>
        <w:tc>
          <w:tcPr>
            <w:tcW w:w="6509" w:type="dxa"/>
          </w:tcPr>
          <w:p w:rsidR="00E675F0" w:rsidRDefault="00E675F0" w:rsidP="00A330E1">
            <w:pPr>
              <w:pStyle w:val="TableParagraph"/>
              <w:spacing w:before="51"/>
              <w:ind w:left="88"/>
            </w:pPr>
            <w:hyperlink w:anchor="_bookmark330" w:history="1">
              <w:r>
                <w:rPr>
                  <w:w w:val="105"/>
                </w:rPr>
                <w:t>Impulse-Control Disorders Not Elsewhere Classified</w:t>
              </w:r>
            </w:hyperlink>
          </w:p>
        </w:tc>
        <w:tc>
          <w:tcPr>
            <w:tcW w:w="858" w:type="dxa"/>
          </w:tcPr>
          <w:p w:rsidR="00E675F0" w:rsidRDefault="00E675F0" w:rsidP="00A330E1">
            <w:pPr>
              <w:pStyle w:val="TableParagraph"/>
              <w:spacing w:before="53"/>
              <w:ind w:right="51"/>
              <w:jc w:val="right"/>
              <w:rPr>
                <w:rFonts w:ascii="Courier New"/>
                <w:sz w:val="25"/>
              </w:rPr>
            </w:pPr>
            <w:hyperlink w:anchor="_bookmark330" w:history="1">
              <w:r>
                <w:rPr>
                  <w:rFonts w:ascii="Courier New"/>
                  <w:w w:val="80"/>
                  <w:sz w:val="25"/>
                </w:rPr>
                <w:t>609</w:t>
              </w:r>
            </w:hyperlink>
          </w:p>
        </w:tc>
      </w:tr>
      <w:tr w:rsidR="00E675F0" w:rsidTr="00A330E1">
        <w:trPr>
          <w:trHeight w:val="338"/>
        </w:trPr>
        <w:tc>
          <w:tcPr>
            <w:tcW w:w="230" w:type="dxa"/>
          </w:tcPr>
          <w:p w:rsidR="00E675F0" w:rsidRDefault="00E675F0" w:rsidP="00A330E1">
            <w:pPr>
              <w:pStyle w:val="TableParagraph"/>
              <w:spacing w:before="71"/>
              <w:ind w:left="54"/>
              <w:rPr>
                <w:rFonts w:ascii="Arial"/>
                <w:b/>
                <w:sz w:val="21"/>
              </w:rPr>
            </w:pPr>
            <w:hyperlink w:anchor="_bookmark338" w:history="1">
              <w:r>
                <w:rPr>
                  <w:rFonts w:ascii="Arial"/>
                  <w:b/>
                  <w:sz w:val="21"/>
                </w:rPr>
                <w:t>II</w:t>
              </w:r>
            </w:hyperlink>
          </w:p>
        </w:tc>
        <w:tc>
          <w:tcPr>
            <w:tcW w:w="6509" w:type="dxa"/>
          </w:tcPr>
          <w:p w:rsidR="00E675F0" w:rsidRDefault="00E675F0" w:rsidP="00A330E1">
            <w:pPr>
              <w:pStyle w:val="TableParagraph"/>
              <w:spacing w:before="63"/>
              <w:ind w:left="87"/>
            </w:pPr>
            <w:hyperlink w:anchor="_bookmark338" w:history="1">
              <w:r>
                <w:rPr>
                  <w:w w:val="105"/>
                </w:rPr>
                <w:t>Adjustment Disorders</w:t>
              </w:r>
            </w:hyperlink>
          </w:p>
        </w:tc>
        <w:tc>
          <w:tcPr>
            <w:tcW w:w="858" w:type="dxa"/>
          </w:tcPr>
          <w:p w:rsidR="00E675F0" w:rsidRDefault="00E675F0" w:rsidP="00A330E1">
            <w:pPr>
              <w:pStyle w:val="TableParagraph"/>
              <w:spacing w:before="55" w:line="263" w:lineRule="exact"/>
              <w:ind w:right="51"/>
              <w:jc w:val="right"/>
              <w:rPr>
                <w:rFonts w:ascii="Courier New"/>
                <w:sz w:val="25"/>
              </w:rPr>
            </w:pPr>
            <w:hyperlink w:anchor="_bookmark338" w:history="1">
              <w:r>
                <w:rPr>
                  <w:rFonts w:ascii="Courier New"/>
                  <w:w w:val="80"/>
                  <w:sz w:val="25"/>
                </w:rPr>
                <w:t>623</w:t>
              </w:r>
            </w:hyperlink>
          </w:p>
        </w:tc>
      </w:tr>
    </w:tbl>
    <w:p w:rsidR="00E675F0" w:rsidRDefault="00E675F0" w:rsidP="00E675F0">
      <w:pPr>
        <w:spacing w:line="263" w:lineRule="exact"/>
        <w:jc w:val="right"/>
        <w:rPr>
          <w:rFonts w:ascii="Courier New"/>
          <w:sz w:val="25"/>
        </w:rPr>
        <w:sectPr w:rsidR="00E675F0">
          <w:headerReference w:type="even" r:id="rId15"/>
          <w:pgSz w:w="8960" w:h="14260"/>
          <w:pgMar w:top="1320" w:right="580" w:bottom="280" w:left="560" w:header="0" w:footer="0" w:gutter="0"/>
          <w:cols w:space="720"/>
        </w:sectPr>
      </w:pPr>
    </w:p>
    <w:bookmarkStart w:id="7" w:name="_bookmark1"/>
    <w:bookmarkStart w:id="8" w:name="_bookmark2"/>
    <w:bookmarkEnd w:id="7"/>
    <w:bookmarkEnd w:id="8"/>
    <w:p w:rsidR="00E675F0" w:rsidRDefault="00E675F0" w:rsidP="00E675F0">
      <w:pPr>
        <w:spacing w:before="64"/>
        <w:ind w:left="105"/>
      </w:pPr>
      <w:r>
        <w:lastRenderedPageBreak/>
        <w:fldChar w:fldCharType="begin"/>
      </w:r>
      <w:r>
        <w:instrText xml:space="preserve"> HYPERLINK \l "_bookmark342" </w:instrText>
      </w:r>
      <w:r>
        <w:fldChar w:fldCharType="separate"/>
      </w:r>
      <w:r>
        <w:rPr>
          <w:rFonts w:ascii="Arial"/>
          <w:sz w:val="20"/>
        </w:rPr>
        <w:t xml:space="preserve">II </w:t>
      </w:r>
      <w:r>
        <w:t>Personality Disorders</w:t>
      </w:r>
      <w:r>
        <w:fldChar w:fldCharType="end"/>
      </w:r>
    </w:p>
    <w:p w:rsidR="00E675F0" w:rsidRDefault="00E675F0" w:rsidP="00E675F0">
      <w:pPr>
        <w:spacing w:before="127"/>
        <w:ind w:left="105"/>
      </w:pPr>
      <w:hyperlink w:anchor="_bookmark366" w:history="1">
        <w:r>
          <w:rPr>
            <w:rFonts w:ascii="Arial"/>
            <w:w w:val="105"/>
            <w:sz w:val="20"/>
          </w:rPr>
          <w:t xml:space="preserve">II </w:t>
        </w:r>
        <w:r>
          <w:rPr>
            <w:w w:val="105"/>
          </w:rPr>
          <w:t>Other Conditions That May Be a Focus of Clinical Attention</w:t>
        </w:r>
      </w:hyperlink>
    </w:p>
    <w:p w:rsidR="00E675F0" w:rsidRDefault="00E675F0" w:rsidP="00E675F0">
      <w:pPr>
        <w:pStyle w:val="BodyText"/>
        <w:spacing w:before="3"/>
        <w:rPr>
          <w:sz w:val="22"/>
        </w:rPr>
      </w:pPr>
    </w:p>
    <w:p w:rsidR="00E675F0" w:rsidRDefault="00E675F0" w:rsidP="00E675F0">
      <w:pPr>
        <w:ind w:left="109"/>
      </w:pPr>
      <w:hyperlink w:anchor="_bookmark378" w:history="1">
        <w:r>
          <w:rPr>
            <w:rFonts w:ascii="Arial"/>
            <w:w w:val="105"/>
            <w:sz w:val="20"/>
          </w:rPr>
          <w:t xml:space="preserve">II </w:t>
        </w:r>
        <w:r>
          <w:rPr>
            <w:w w:val="105"/>
          </w:rPr>
          <w:t>Additional Codes</w:t>
        </w:r>
      </w:hyperlink>
    </w:p>
    <w:p w:rsidR="00E675F0" w:rsidRDefault="00E675F0" w:rsidP="00E675F0">
      <w:pPr>
        <w:pStyle w:val="BodyText"/>
        <w:spacing w:before="5"/>
        <w:rPr>
          <w:sz w:val="21"/>
        </w:rPr>
      </w:pPr>
    </w:p>
    <w:p w:rsidR="00E675F0" w:rsidRDefault="00E675F0" w:rsidP="00E675F0">
      <w:pPr>
        <w:spacing w:before="1"/>
        <w:ind w:left="109"/>
      </w:pPr>
      <w:hyperlink w:anchor="_bookmark380" w:history="1">
        <w:r>
          <w:rPr>
            <w:rFonts w:ascii="Arial"/>
            <w:w w:val="105"/>
            <w:sz w:val="20"/>
          </w:rPr>
          <w:t xml:space="preserve">II </w:t>
        </w:r>
        <w:r>
          <w:rPr>
            <w:w w:val="105"/>
          </w:rPr>
          <w:t>Appendixes</w:t>
        </w:r>
      </w:hyperlink>
    </w:p>
    <w:p w:rsidR="00E675F0" w:rsidRDefault="00E675F0" w:rsidP="00E675F0">
      <w:pPr>
        <w:spacing w:before="69"/>
        <w:ind w:left="105"/>
      </w:pPr>
      <w:r>
        <w:br w:type="column"/>
      </w:r>
      <w:hyperlink w:anchor="_bookmark342" w:history="1">
        <w:r>
          <w:t>629</w:t>
        </w:r>
      </w:hyperlink>
    </w:p>
    <w:p w:rsidR="00E675F0" w:rsidRDefault="00E675F0" w:rsidP="00E675F0">
      <w:pPr>
        <w:spacing w:before="131"/>
        <w:ind w:left="105"/>
      </w:pPr>
      <w:hyperlink w:anchor="_bookmark366" w:history="1">
        <w:r>
          <w:t>675</w:t>
        </w:r>
      </w:hyperlink>
    </w:p>
    <w:p w:rsidR="00E675F0" w:rsidRDefault="00E675F0" w:rsidP="00E675F0">
      <w:pPr>
        <w:pStyle w:val="BodyText"/>
        <w:spacing w:before="10"/>
        <w:rPr>
          <w:sz w:val="21"/>
        </w:rPr>
      </w:pPr>
    </w:p>
    <w:p w:rsidR="00E675F0" w:rsidRDefault="00E675F0" w:rsidP="00E675F0">
      <w:pPr>
        <w:spacing w:before="1"/>
        <w:ind w:left="109"/>
      </w:pPr>
      <w:hyperlink w:anchor="_bookmark378" w:history="1">
        <w:r>
          <w:t>687</w:t>
        </w:r>
      </w:hyperlink>
    </w:p>
    <w:p w:rsidR="00E675F0" w:rsidRDefault="00E675F0" w:rsidP="00E675F0">
      <w:pPr>
        <w:sectPr w:rsidR="00E675F0">
          <w:headerReference w:type="default" r:id="rId16"/>
          <w:pgSz w:w="8960" w:h="14260"/>
          <w:pgMar w:top="620" w:right="620" w:bottom="280" w:left="600" w:header="0" w:footer="0" w:gutter="0"/>
          <w:cols w:num="2" w:space="720" w:equalWidth="0">
            <w:col w:w="6053" w:space="1114"/>
            <w:col w:w="573"/>
          </w:cols>
        </w:sectPr>
      </w:pPr>
    </w:p>
    <w:p w:rsidR="00E675F0" w:rsidRDefault="00E675F0" w:rsidP="00E675F0">
      <w:pPr>
        <w:pStyle w:val="BodyText"/>
        <w:spacing w:before="4"/>
        <w:rPr>
          <w:sz w:val="14"/>
        </w:rPr>
      </w:pPr>
    </w:p>
    <w:p w:rsidR="00E675F0" w:rsidRDefault="00E675F0" w:rsidP="00E675F0">
      <w:pPr>
        <w:tabs>
          <w:tab w:val="left" w:pos="1817"/>
          <w:tab w:val="right" w:pos="7617"/>
        </w:tabs>
        <w:spacing w:before="91"/>
        <w:ind w:left="375"/>
      </w:pPr>
      <w:hyperlink w:anchor="_bookmark380" w:history="1">
        <w:r>
          <w:rPr>
            <w:i/>
            <w:w w:val="105"/>
          </w:rPr>
          <w:t>Appendix</w:t>
        </w:r>
        <w:r>
          <w:rPr>
            <w:i/>
            <w:spacing w:val="7"/>
            <w:w w:val="105"/>
          </w:rPr>
          <w:t xml:space="preserve"> </w:t>
        </w:r>
        <w:r>
          <w:rPr>
            <w:i/>
            <w:w w:val="105"/>
          </w:rPr>
          <w:t>A</w:t>
        </w:r>
        <w:r>
          <w:rPr>
            <w:i/>
            <w:w w:val="105"/>
          </w:rPr>
          <w:tab/>
        </w:r>
        <w:r>
          <w:rPr>
            <w:w w:val="105"/>
          </w:rPr>
          <w:t>Decision Trees for</w:t>
        </w:r>
        <w:r>
          <w:rPr>
            <w:spacing w:val="14"/>
            <w:w w:val="105"/>
          </w:rPr>
          <w:t xml:space="preserve"> </w:t>
        </w:r>
        <w:r>
          <w:rPr>
            <w:w w:val="105"/>
          </w:rPr>
          <w:t>Differential</w:t>
        </w:r>
        <w:r>
          <w:rPr>
            <w:spacing w:val="25"/>
            <w:w w:val="105"/>
          </w:rPr>
          <w:t xml:space="preserve"> </w:t>
        </w:r>
        <w:r>
          <w:rPr>
            <w:w w:val="105"/>
          </w:rPr>
          <w:t>Diagnosis</w:t>
        </w:r>
        <w:r>
          <w:rPr>
            <w:w w:val="105"/>
          </w:rPr>
          <w:tab/>
          <w:t>689</w:t>
        </w:r>
      </w:hyperlink>
    </w:p>
    <w:p w:rsidR="00E675F0" w:rsidRDefault="00E675F0" w:rsidP="00E675F0">
      <w:pPr>
        <w:tabs>
          <w:tab w:val="left" w:pos="1808"/>
          <w:tab w:val="right" w:pos="7617"/>
        </w:tabs>
        <w:spacing w:before="252"/>
        <w:ind w:left="370"/>
      </w:pPr>
      <w:hyperlink w:anchor="_bookmark381" w:history="1">
        <w:r>
          <w:rPr>
            <w:i/>
            <w:w w:val="105"/>
          </w:rPr>
          <w:t>Appendix</w:t>
        </w:r>
        <w:r>
          <w:rPr>
            <w:i/>
            <w:spacing w:val="12"/>
            <w:w w:val="105"/>
          </w:rPr>
          <w:t xml:space="preserve"> </w:t>
        </w:r>
        <w:r>
          <w:rPr>
            <w:i/>
            <w:w w:val="105"/>
          </w:rPr>
          <w:t>B</w:t>
        </w:r>
        <w:r>
          <w:rPr>
            <w:i/>
            <w:w w:val="105"/>
          </w:rPr>
          <w:tab/>
        </w:r>
        <w:r>
          <w:rPr>
            <w:w w:val="105"/>
          </w:rPr>
          <w:t>Criteria Sets and  Axes Provided for</w:t>
        </w:r>
        <w:r>
          <w:rPr>
            <w:spacing w:val="16"/>
            <w:w w:val="105"/>
          </w:rPr>
          <w:t xml:space="preserve"> </w:t>
        </w:r>
        <w:r>
          <w:rPr>
            <w:w w:val="105"/>
          </w:rPr>
          <w:t>Further</w:t>
        </w:r>
        <w:r>
          <w:rPr>
            <w:spacing w:val="1"/>
            <w:w w:val="105"/>
          </w:rPr>
          <w:t xml:space="preserve"> </w:t>
        </w:r>
        <w:r>
          <w:rPr>
            <w:w w:val="105"/>
          </w:rPr>
          <w:t>Study</w:t>
        </w:r>
        <w:r>
          <w:rPr>
            <w:w w:val="105"/>
          </w:rPr>
          <w:tab/>
          <w:t>703</w:t>
        </w:r>
      </w:hyperlink>
    </w:p>
    <w:p w:rsidR="00E675F0" w:rsidRDefault="00E675F0" w:rsidP="00E675F0">
      <w:pPr>
        <w:tabs>
          <w:tab w:val="left" w:pos="1813"/>
          <w:tab w:val="right" w:pos="7615"/>
        </w:tabs>
        <w:spacing w:before="256"/>
        <w:ind w:left="370"/>
      </w:pPr>
      <w:hyperlink w:anchor="_bookmark436" w:history="1">
        <w:r>
          <w:rPr>
            <w:i/>
            <w:w w:val="105"/>
            <w:position w:val="1"/>
          </w:rPr>
          <w:t>Appendix</w:t>
        </w:r>
        <w:r>
          <w:rPr>
            <w:i/>
            <w:spacing w:val="13"/>
            <w:w w:val="105"/>
            <w:position w:val="1"/>
          </w:rPr>
          <w:t xml:space="preserve"> </w:t>
        </w:r>
        <w:r>
          <w:rPr>
            <w:i/>
            <w:w w:val="105"/>
            <w:position w:val="1"/>
          </w:rPr>
          <w:t>C</w:t>
        </w:r>
        <w:r>
          <w:rPr>
            <w:i/>
            <w:w w:val="105"/>
            <w:position w:val="1"/>
          </w:rPr>
          <w:tab/>
        </w:r>
        <w:r>
          <w:rPr>
            <w:w w:val="105"/>
            <w:position w:val="1"/>
          </w:rPr>
          <w:t>Glossary of</w:t>
        </w:r>
        <w:r>
          <w:rPr>
            <w:spacing w:val="21"/>
            <w:w w:val="105"/>
            <w:position w:val="1"/>
          </w:rPr>
          <w:t xml:space="preserve"> </w:t>
        </w:r>
        <w:r>
          <w:rPr>
            <w:w w:val="105"/>
            <w:position w:val="1"/>
          </w:rPr>
          <w:t>Technical</w:t>
        </w:r>
        <w:r>
          <w:rPr>
            <w:spacing w:val="20"/>
            <w:w w:val="105"/>
            <w:position w:val="1"/>
          </w:rPr>
          <w:t xml:space="preserve"> </w:t>
        </w:r>
        <w:r>
          <w:rPr>
            <w:w w:val="105"/>
            <w:position w:val="1"/>
          </w:rPr>
          <w:t>Terms</w:t>
        </w:r>
        <w:r>
          <w:rPr>
            <w:w w:val="105"/>
            <w:position w:val="1"/>
          </w:rPr>
          <w:tab/>
        </w:r>
        <w:r>
          <w:rPr>
            <w:w w:val="105"/>
          </w:rPr>
          <w:t>763</w:t>
        </w:r>
      </w:hyperlink>
    </w:p>
    <w:p w:rsidR="00E675F0" w:rsidRDefault="00E675F0" w:rsidP="00E675F0">
      <w:pPr>
        <w:tabs>
          <w:tab w:val="left" w:pos="1810"/>
          <w:tab w:val="right" w:pos="7610"/>
        </w:tabs>
        <w:spacing w:before="242"/>
        <w:ind w:left="370"/>
      </w:pPr>
      <w:hyperlink w:anchor="_bookmark437" w:history="1">
        <w:r>
          <w:rPr>
            <w:i/>
            <w:w w:val="105"/>
          </w:rPr>
          <w:t>Appendix</w:t>
        </w:r>
        <w:r>
          <w:rPr>
            <w:i/>
            <w:spacing w:val="12"/>
            <w:w w:val="105"/>
          </w:rPr>
          <w:t xml:space="preserve"> </w:t>
        </w:r>
        <w:r>
          <w:rPr>
            <w:i/>
            <w:w w:val="105"/>
          </w:rPr>
          <w:t>D</w:t>
        </w:r>
        <w:r>
          <w:rPr>
            <w:i/>
            <w:w w:val="105"/>
          </w:rPr>
          <w:tab/>
        </w:r>
        <w:r>
          <w:rPr>
            <w:w w:val="105"/>
          </w:rPr>
          <w:t>Annotated Listing of Changes</w:t>
        </w:r>
        <w:r>
          <w:rPr>
            <w:spacing w:val="40"/>
            <w:w w:val="105"/>
          </w:rPr>
          <w:t xml:space="preserve"> </w:t>
        </w:r>
        <w:r>
          <w:rPr>
            <w:w w:val="105"/>
          </w:rPr>
          <w:t>in</w:t>
        </w:r>
        <w:r>
          <w:rPr>
            <w:spacing w:val="6"/>
            <w:w w:val="105"/>
          </w:rPr>
          <w:t xml:space="preserve"> </w:t>
        </w:r>
        <w:r>
          <w:rPr>
            <w:w w:val="105"/>
          </w:rPr>
          <w:t>DSM-IV</w:t>
        </w:r>
        <w:r>
          <w:rPr>
            <w:w w:val="105"/>
          </w:rPr>
          <w:tab/>
          <w:t>773</w:t>
        </w:r>
      </w:hyperlink>
    </w:p>
    <w:p w:rsidR="00E675F0" w:rsidRDefault="00E675F0" w:rsidP="00E675F0">
      <w:pPr>
        <w:tabs>
          <w:tab w:val="left" w:pos="1810"/>
        </w:tabs>
        <w:spacing w:before="247"/>
        <w:ind w:left="375"/>
      </w:pPr>
      <w:hyperlink w:anchor="_bookmark438" w:history="1">
        <w:r>
          <w:rPr>
            <w:i/>
            <w:w w:val="105"/>
          </w:rPr>
          <w:t>Appendix</w:t>
        </w:r>
        <w:r>
          <w:rPr>
            <w:i/>
            <w:spacing w:val="7"/>
            <w:w w:val="105"/>
          </w:rPr>
          <w:t xml:space="preserve"> </w:t>
        </w:r>
        <w:r>
          <w:rPr>
            <w:i/>
            <w:w w:val="105"/>
          </w:rPr>
          <w:t>E</w:t>
        </w:r>
        <w:r>
          <w:rPr>
            <w:i/>
            <w:w w:val="105"/>
          </w:rPr>
          <w:tab/>
        </w:r>
        <w:r>
          <w:rPr>
            <w:w w:val="105"/>
          </w:rPr>
          <w:t>Alphabetical Listing of DSM-IV Diagnoses and</w:t>
        </w:r>
      </w:hyperlink>
    </w:p>
    <w:p w:rsidR="00E675F0" w:rsidRDefault="00E675F0" w:rsidP="00E675F0">
      <w:pPr>
        <w:tabs>
          <w:tab w:val="right" w:leader="dot" w:pos="7622"/>
        </w:tabs>
        <w:spacing w:before="16"/>
        <w:ind w:left="1828"/>
      </w:pPr>
      <w:hyperlink w:anchor="_bookmark438" w:history="1">
        <w:r>
          <w:rPr>
            <w:w w:val="105"/>
          </w:rPr>
          <w:t>Codes</w:t>
        </w:r>
        <w:r>
          <w:rPr>
            <w:w w:val="105"/>
          </w:rPr>
          <w:tab/>
          <w:t>793</w:t>
        </w:r>
      </w:hyperlink>
    </w:p>
    <w:p w:rsidR="00E675F0" w:rsidRDefault="00E675F0" w:rsidP="00E675F0">
      <w:pPr>
        <w:tabs>
          <w:tab w:val="left" w:pos="1824"/>
        </w:tabs>
        <w:spacing w:before="251"/>
        <w:ind w:left="375"/>
      </w:pPr>
      <w:hyperlink w:anchor="_bookmark439" w:history="1">
        <w:r>
          <w:rPr>
            <w:i/>
          </w:rPr>
          <w:t>Appendix</w:t>
        </w:r>
        <w:r>
          <w:rPr>
            <w:i/>
            <w:spacing w:val="24"/>
          </w:rPr>
          <w:t xml:space="preserve"> </w:t>
        </w:r>
        <w:r>
          <w:rPr>
            <w:i/>
          </w:rPr>
          <w:t>F</w:t>
        </w:r>
        <w:r>
          <w:rPr>
            <w:i/>
          </w:rPr>
          <w:tab/>
        </w:r>
        <w:r>
          <w:t>Numerical Listing of DSM-IV Diagnoses</w:t>
        </w:r>
        <w:r>
          <w:rPr>
            <w:spacing w:val="-7"/>
          </w:rPr>
          <w:t xml:space="preserve"> </w:t>
        </w:r>
        <w:r>
          <w:t>and</w:t>
        </w:r>
      </w:hyperlink>
    </w:p>
    <w:p w:rsidR="00E675F0" w:rsidRDefault="00E675F0" w:rsidP="00E675F0">
      <w:pPr>
        <w:tabs>
          <w:tab w:val="right" w:leader="dot" w:pos="7622"/>
        </w:tabs>
        <w:spacing w:before="17"/>
        <w:ind w:left="1828"/>
      </w:pPr>
      <w:hyperlink w:anchor="_bookmark439" w:history="1">
        <w:r>
          <w:rPr>
            <w:w w:val="105"/>
          </w:rPr>
          <w:t>Codes</w:t>
        </w:r>
        <w:r>
          <w:rPr>
            <w:w w:val="105"/>
          </w:rPr>
          <w:tab/>
          <w:t>803</w:t>
        </w:r>
      </w:hyperlink>
    </w:p>
    <w:p w:rsidR="00E675F0" w:rsidRDefault="00E675F0" w:rsidP="00E675F0">
      <w:pPr>
        <w:tabs>
          <w:tab w:val="left" w:pos="1816"/>
        </w:tabs>
        <w:spacing w:before="246"/>
        <w:ind w:left="375"/>
      </w:pPr>
      <w:hyperlink w:anchor="_bookmark440" w:history="1">
        <w:r>
          <w:rPr>
            <w:i/>
            <w:w w:val="105"/>
          </w:rPr>
          <w:t>Appendix</w:t>
        </w:r>
        <w:r>
          <w:rPr>
            <w:i/>
            <w:spacing w:val="8"/>
            <w:w w:val="105"/>
          </w:rPr>
          <w:t xml:space="preserve"> </w:t>
        </w:r>
        <w:r>
          <w:rPr>
            <w:i/>
            <w:w w:val="105"/>
          </w:rPr>
          <w:t>G</w:t>
        </w:r>
        <w:r>
          <w:rPr>
            <w:i/>
            <w:w w:val="105"/>
          </w:rPr>
          <w:tab/>
        </w:r>
        <w:r>
          <w:rPr>
            <w:w w:val="105"/>
          </w:rPr>
          <w:t>ICD-9-CM Codes for Selected General</w:t>
        </w:r>
        <w:r>
          <w:rPr>
            <w:spacing w:val="41"/>
            <w:w w:val="105"/>
          </w:rPr>
          <w:t xml:space="preserve"> </w:t>
        </w:r>
        <w:r>
          <w:rPr>
            <w:w w:val="105"/>
          </w:rPr>
          <w:t>Medical</w:t>
        </w:r>
      </w:hyperlink>
    </w:p>
    <w:p w:rsidR="00E675F0" w:rsidRDefault="00E675F0" w:rsidP="00E675F0">
      <w:pPr>
        <w:tabs>
          <w:tab w:val="right" w:pos="7608"/>
        </w:tabs>
        <w:spacing w:before="11"/>
        <w:ind w:left="1813"/>
        <w:rPr>
          <w:rFonts w:ascii="Arial"/>
        </w:rPr>
      </w:pPr>
      <w:hyperlink w:anchor="_bookmark440" w:history="1">
        <w:r>
          <w:rPr>
            <w:w w:val="105"/>
            <w:position w:val="1"/>
          </w:rPr>
          <w:t>Conditions and</w:t>
        </w:r>
        <w:r>
          <w:rPr>
            <w:spacing w:val="28"/>
            <w:w w:val="105"/>
            <w:position w:val="1"/>
          </w:rPr>
          <w:t xml:space="preserve"> </w:t>
        </w:r>
        <w:r>
          <w:rPr>
            <w:w w:val="105"/>
            <w:position w:val="1"/>
          </w:rPr>
          <w:t>Medication-Induced</w:t>
        </w:r>
        <w:r>
          <w:rPr>
            <w:spacing w:val="1"/>
            <w:w w:val="105"/>
            <w:position w:val="1"/>
          </w:rPr>
          <w:t xml:space="preserve"> </w:t>
        </w:r>
        <w:r>
          <w:rPr>
            <w:w w:val="105"/>
            <w:position w:val="1"/>
          </w:rPr>
          <w:t>Disorders</w:t>
        </w:r>
        <w:r>
          <w:rPr>
            <w:w w:val="105"/>
            <w:position w:val="1"/>
          </w:rPr>
          <w:tab/>
        </w:r>
        <w:r>
          <w:rPr>
            <w:rFonts w:ascii="Arial"/>
            <w:w w:val="105"/>
          </w:rPr>
          <w:t>813</w:t>
        </w:r>
      </w:hyperlink>
    </w:p>
    <w:p w:rsidR="00E675F0" w:rsidRDefault="00E675F0" w:rsidP="00E675F0">
      <w:pPr>
        <w:tabs>
          <w:tab w:val="left" w:pos="1813"/>
          <w:tab w:val="left" w:pos="5952"/>
          <w:tab w:val="left" w:pos="6217"/>
          <w:tab w:val="right" w:pos="7613"/>
        </w:tabs>
        <w:spacing w:before="243"/>
        <w:ind w:left="375"/>
      </w:pPr>
      <w:hyperlink w:anchor="_bookmark441" w:history="1">
        <w:r>
          <w:rPr>
            <w:i/>
            <w:w w:val="105"/>
          </w:rPr>
          <w:t>Appendix</w:t>
        </w:r>
        <w:r>
          <w:rPr>
            <w:i/>
            <w:spacing w:val="11"/>
            <w:w w:val="105"/>
          </w:rPr>
          <w:t xml:space="preserve"> </w:t>
        </w:r>
        <w:r>
          <w:rPr>
            <w:i/>
            <w:w w:val="105"/>
          </w:rPr>
          <w:t>H</w:t>
        </w:r>
        <w:r>
          <w:rPr>
            <w:i/>
            <w:w w:val="105"/>
          </w:rPr>
          <w:tab/>
        </w:r>
        <w:r>
          <w:rPr>
            <w:w w:val="105"/>
          </w:rPr>
          <w:t>DSM-IV</w:t>
        </w:r>
        <w:r>
          <w:rPr>
            <w:spacing w:val="-23"/>
            <w:w w:val="105"/>
          </w:rPr>
          <w:t xml:space="preserve"> </w:t>
        </w:r>
        <w:r>
          <w:rPr>
            <w:w w:val="105"/>
          </w:rPr>
          <w:t>Classification</w:t>
        </w:r>
        <w:r>
          <w:rPr>
            <w:spacing w:val="-33"/>
            <w:w w:val="105"/>
          </w:rPr>
          <w:t xml:space="preserve"> </w:t>
        </w:r>
        <w:r>
          <w:rPr>
            <w:w w:val="105"/>
          </w:rPr>
          <w:t>With</w:t>
        </w:r>
        <w:r>
          <w:rPr>
            <w:spacing w:val="-26"/>
            <w:w w:val="105"/>
          </w:rPr>
          <w:t xml:space="preserve"> </w:t>
        </w:r>
        <w:r>
          <w:rPr>
            <w:w w:val="105"/>
          </w:rPr>
          <w:t>ICD-10</w:t>
        </w:r>
        <w:r>
          <w:rPr>
            <w:spacing w:val="-24"/>
            <w:w w:val="105"/>
          </w:rPr>
          <w:t xml:space="preserve"> </w:t>
        </w:r>
        <w:r>
          <w:rPr>
            <w:w w:val="105"/>
          </w:rPr>
          <w:t>Codes</w:t>
        </w:r>
        <w:r>
          <w:rPr>
            <w:w w:val="105"/>
          </w:rPr>
          <w:tab/>
          <w:t>.</w:t>
        </w:r>
        <w:r>
          <w:rPr>
            <w:w w:val="105"/>
          </w:rPr>
          <w:tab/>
          <w:t>.</w:t>
        </w:r>
        <w:r>
          <w:rPr>
            <w:w w:val="105"/>
          </w:rPr>
          <w:tab/>
          <w:t>829</w:t>
        </w:r>
      </w:hyperlink>
    </w:p>
    <w:p w:rsidR="00E675F0" w:rsidRDefault="00E675F0" w:rsidP="00E675F0">
      <w:pPr>
        <w:tabs>
          <w:tab w:val="left" w:pos="1813"/>
        </w:tabs>
        <w:spacing w:before="242"/>
        <w:ind w:left="375"/>
      </w:pPr>
      <w:hyperlink w:anchor="_bookmark442" w:history="1">
        <w:r>
          <w:rPr>
            <w:i/>
            <w:w w:val="105"/>
          </w:rPr>
          <w:t>Appendix</w:t>
        </w:r>
        <w:r>
          <w:rPr>
            <w:i/>
            <w:spacing w:val="17"/>
            <w:w w:val="105"/>
          </w:rPr>
          <w:t xml:space="preserve"> </w:t>
        </w:r>
        <w:r>
          <w:rPr>
            <w:i/>
            <w:w w:val="105"/>
          </w:rPr>
          <w:t>I</w:t>
        </w:r>
        <w:r>
          <w:rPr>
            <w:i/>
            <w:w w:val="105"/>
          </w:rPr>
          <w:tab/>
        </w:r>
        <w:r>
          <w:rPr>
            <w:w w:val="105"/>
          </w:rPr>
          <w:t>Outline for Cultural Formulation and Glossary</w:t>
        </w:r>
        <w:r>
          <w:rPr>
            <w:spacing w:val="19"/>
            <w:w w:val="105"/>
          </w:rPr>
          <w:t xml:space="preserve"> </w:t>
        </w:r>
        <w:r>
          <w:rPr>
            <w:w w:val="105"/>
          </w:rPr>
          <w:t>of</w:t>
        </w:r>
      </w:hyperlink>
    </w:p>
    <w:p w:rsidR="00E675F0" w:rsidRDefault="00E675F0" w:rsidP="00E675F0">
      <w:pPr>
        <w:tabs>
          <w:tab w:val="right" w:pos="7614"/>
        </w:tabs>
        <w:spacing w:before="7"/>
        <w:ind w:left="1813"/>
      </w:pPr>
      <w:hyperlink w:anchor="_bookmark442" w:history="1">
        <w:r>
          <w:rPr>
            <w:w w:val="105"/>
          </w:rPr>
          <w:t>Culture-Bound</w:t>
        </w:r>
        <w:r>
          <w:rPr>
            <w:spacing w:val="2"/>
            <w:w w:val="105"/>
          </w:rPr>
          <w:t xml:space="preserve"> </w:t>
        </w:r>
        <w:r>
          <w:rPr>
            <w:w w:val="105"/>
          </w:rPr>
          <w:t>Syndromes</w:t>
        </w:r>
        <w:r>
          <w:rPr>
            <w:w w:val="105"/>
          </w:rPr>
          <w:tab/>
          <w:t>843</w:t>
        </w:r>
      </w:hyperlink>
    </w:p>
    <w:p w:rsidR="00E675F0" w:rsidRDefault="00E675F0" w:rsidP="00E675F0">
      <w:pPr>
        <w:tabs>
          <w:tab w:val="left" w:pos="1817"/>
          <w:tab w:val="right" w:pos="7618"/>
        </w:tabs>
        <w:spacing w:before="237"/>
        <w:ind w:left="375"/>
      </w:pPr>
      <w:hyperlink w:anchor="_bookmark445" w:history="1">
        <w:r>
          <w:rPr>
            <w:i/>
            <w:w w:val="105"/>
          </w:rPr>
          <w:t>Appendix]</w:t>
        </w:r>
        <w:r>
          <w:rPr>
            <w:i/>
            <w:w w:val="105"/>
          </w:rPr>
          <w:tab/>
        </w:r>
        <w:r>
          <w:rPr>
            <w:w w:val="105"/>
          </w:rPr>
          <w:t>DSM-IV</w:t>
        </w:r>
        <w:r>
          <w:rPr>
            <w:spacing w:val="3"/>
            <w:w w:val="105"/>
          </w:rPr>
          <w:t xml:space="preserve"> </w:t>
        </w:r>
        <w:r>
          <w:rPr>
            <w:w w:val="105"/>
          </w:rPr>
          <w:t>Contributors</w:t>
        </w:r>
        <w:r>
          <w:rPr>
            <w:w w:val="105"/>
          </w:rPr>
          <w:tab/>
          <w:t>851</w:t>
        </w:r>
      </w:hyperlink>
    </w:p>
    <w:p w:rsidR="00E675F0" w:rsidRDefault="00E675F0" w:rsidP="00E675F0">
      <w:pPr>
        <w:tabs>
          <w:tab w:val="right" w:leader="dot" w:pos="7612"/>
        </w:tabs>
        <w:spacing w:before="429"/>
        <w:ind w:left="109"/>
      </w:pPr>
      <w:hyperlink w:anchor="_bookmark446" w:history="1">
        <w:r>
          <w:rPr>
            <w:rFonts w:ascii="Arial"/>
            <w:w w:val="105"/>
            <w:position w:val="1"/>
            <w:sz w:val="20"/>
          </w:rPr>
          <w:t xml:space="preserve">II </w:t>
        </w:r>
        <w:r>
          <w:rPr>
            <w:rFonts w:ascii="Arial"/>
            <w:spacing w:val="31"/>
            <w:w w:val="105"/>
            <w:position w:val="1"/>
            <w:sz w:val="20"/>
          </w:rPr>
          <w:t xml:space="preserve"> </w:t>
        </w:r>
        <w:r>
          <w:rPr>
            <w:w w:val="105"/>
            <w:position w:val="1"/>
          </w:rPr>
          <w:t>Index</w:t>
        </w:r>
        <w:r>
          <w:rPr>
            <w:w w:val="105"/>
            <w:position w:val="1"/>
          </w:rPr>
          <w:tab/>
        </w:r>
        <w:r>
          <w:rPr>
            <w:w w:val="105"/>
          </w:rPr>
          <w:t>875</w:t>
        </w:r>
      </w:hyperlink>
    </w:p>
    <w:p w:rsidR="00E675F0" w:rsidRDefault="00E675F0" w:rsidP="00E675F0">
      <w:pPr>
        <w:sectPr w:rsidR="00E675F0">
          <w:type w:val="continuous"/>
          <w:pgSz w:w="8960" w:h="14260"/>
          <w:pgMar w:top="640" w:right="620" w:bottom="0" w:left="600" w:header="720" w:footer="720" w:gutter="0"/>
          <w:cols w:space="720"/>
        </w:sectPr>
      </w:pPr>
    </w:p>
    <w:bookmarkStart w:id="9" w:name="Task_Force_on_DSM-IV"/>
    <w:bookmarkStart w:id="10" w:name="_bookmark3"/>
    <w:bookmarkEnd w:id="9"/>
    <w:bookmarkEnd w:id="10"/>
    <w:p w:rsidR="00E675F0" w:rsidRDefault="00E675F0" w:rsidP="00E675F0">
      <w:pPr>
        <w:spacing w:before="63"/>
        <w:ind w:left="2502" w:right="2309"/>
        <w:jc w:val="center"/>
        <w:rPr>
          <w:b/>
          <w:sz w:val="26"/>
        </w:rPr>
      </w:pPr>
      <w:r>
        <w:lastRenderedPageBreak/>
        <w:fldChar w:fldCharType="begin"/>
      </w:r>
      <w:r>
        <w:instrText xml:space="preserve"> HYPERLINK \l "_bookmark0" </w:instrText>
      </w:r>
      <w:r>
        <w:fldChar w:fldCharType="separate"/>
      </w:r>
      <w:r>
        <w:rPr>
          <w:rFonts w:ascii="Arial"/>
          <w:b/>
          <w:w w:val="105"/>
          <w:sz w:val="18"/>
        </w:rPr>
        <w:t xml:space="preserve">TASK FORCE ON </w:t>
      </w:r>
      <w:r>
        <w:rPr>
          <w:b/>
          <w:w w:val="105"/>
          <w:sz w:val="26"/>
        </w:rPr>
        <w:t>DSM--IV</w:t>
      </w:r>
      <w:r>
        <w:rPr>
          <w:b/>
          <w:w w:val="105"/>
          <w:sz w:val="26"/>
        </w:rPr>
        <w:fldChar w:fldCharType="end"/>
      </w:r>
    </w:p>
    <w:p w:rsidR="00E675F0" w:rsidRDefault="00E675F0" w:rsidP="00E675F0">
      <w:pPr>
        <w:pStyle w:val="BodyText"/>
        <w:spacing w:before="2"/>
        <w:rPr>
          <w:b/>
          <w:sz w:val="27"/>
        </w:rPr>
      </w:pPr>
    </w:p>
    <w:p w:rsidR="00E675F0" w:rsidRDefault="00E675F0" w:rsidP="00E675F0">
      <w:pPr>
        <w:spacing w:before="1"/>
        <w:ind w:left="2491" w:right="2309"/>
        <w:jc w:val="center"/>
        <w:rPr>
          <w:sz w:val="17"/>
        </w:rPr>
      </w:pPr>
      <w:r>
        <w:rPr>
          <w:w w:val="110"/>
          <w:sz w:val="17"/>
        </w:rPr>
        <w:t xml:space="preserve">ALLEN  FRANCES, </w:t>
      </w:r>
      <w:r>
        <w:rPr>
          <w:w w:val="115"/>
          <w:sz w:val="17"/>
        </w:rPr>
        <w:t>M.D.</w:t>
      </w:r>
    </w:p>
    <w:p w:rsidR="00E675F0" w:rsidRDefault="00E675F0" w:rsidP="00E675F0">
      <w:pPr>
        <w:spacing w:before="83"/>
        <w:ind w:left="2502" w:right="2300"/>
        <w:jc w:val="center"/>
        <w:rPr>
          <w:i/>
          <w:sz w:val="18"/>
        </w:rPr>
      </w:pPr>
      <w:r>
        <w:rPr>
          <w:i/>
          <w:w w:val="105"/>
          <w:sz w:val="18"/>
        </w:rPr>
        <w:t>Chairperson</w:t>
      </w:r>
    </w:p>
    <w:p w:rsidR="00E675F0" w:rsidRDefault="00E675F0" w:rsidP="00E675F0">
      <w:pPr>
        <w:pStyle w:val="BodyText"/>
        <w:spacing w:before="4"/>
        <w:rPr>
          <w:i/>
          <w:sz w:val="18"/>
        </w:rPr>
      </w:pPr>
    </w:p>
    <w:p w:rsidR="00E675F0" w:rsidRDefault="00E675F0" w:rsidP="00E675F0">
      <w:pPr>
        <w:ind w:left="2502" w:right="2299"/>
        <w:jc w:val="center"/>
        <w:rPr>
          <w:rFonts w:ascii="Arial"/>
          <w:b/>
          <w:sz w:val="20"/>
        </w:rPr>
      </w:pPr>
      <w:r>
        <w:rPr>
          <w:w w:val="110"/>
          <w:sz w:val="17"/>
        </w:rPr>
        <w:t xml:space="preserve">HAROLD ALAN PINCUS, </w:t>
      </w:r>
      <w:r>
        <w:rPr>
          <w:rFonts w:ascii="Arial"/>
          <w:b/>
          <w:w w:val="110"/>
          <w:sz w:val="20"/>
        </w:rPr>
        <w:t>M.D.</w:t>
      </w:r>
    </w:p>
    <w:p w:rsidR="00E675F0" w:rsidRDefault="00E675F0" w:rsidP="00E675F0">
      <w:pPr>
        <w:spacing w:before="78"/>
        <w:ind w:left="2502" w:right="2272"/>
        <w:jc w:val="center"/>
        <w:rPr>
          <w:i/>
          <w:sz w:val="18"/>
        </w:rPr>
      </w:pPr>
      <w:r>
        <w:rPr>
          <w:i/>
          <w:w w:val="105"/>
          <w:sz w:val="18"/>
        </w:rPr>
        <w:t>Vice-Chairperson</w:t>
      </w:r>
    </w:p>
    <w:p w:rsidR="00E675F0" w:rsidRDefault="00E675F0" w:rsidP="00E675F0">
      <w:pPr>
        <w:pStyle w:val="BodyText"/>
        <w:spacing w:before="6"/>
        <w:rPr>
          <w:i/>
          <w:sz w:val="17"/>
        </w:rPr>
      </w:pPr>
    </w:p>
    <w:p w:rsidR="00E675F0" w:rsidRDefault="00E675F0" w:rsidP="00E675F0">
      <w:pPr>
        <w:ind w:left="2499" w:right="2309"/>
        <w:jc w:val="center"/>
        <w:rPr>
          <w:sz w:val="17"/>
        </w:rPr>
      </w:pPr>
      <w:r>
        <w:rPr>
          <w:w w:val="115"/>
          <w:sz w:val="17"/>
        </w:rPr>
        <w:t xml:space="preserve">MICHAEL </w:t>
      </w:r>
      <w:r>
        <w:rPr>
          <w:rFonts w:ascii="Arial"/>
          <w:w w:val="115"/>
        </w:rPr>
        <w:t xml:space="preserve">B. </w:t>
      </w:r>
      <w:r>
        <w:rPr>
          <w:w w:val="115"/>
          <w:sz w:val="17"/>
        </w:rPr>
        <w:t>FIRST,  M.D.</w:t>
      </w:r>
    </w:p>
    <w:p w:rsidR="00E675F0" w:rsidRDefault="00E675F0" w:rsidP="00E675F0">
      <w:pPr>
        <w:spacing w:before="83"/>
        <w:ind w:left="2502" w:right="2289"/>
        <w:jc w:val="center"/>
        <w:rPr>
          <w:i/>
          <w:sz w:val="18"/>
        </w:rPr>
      </w:pPr>
      <w:r>
        <w:rPr>
          <w:i/>
          <w:sz w:val="18"/>
        </w:rPr>
        <w:t>Editor, Text and Criteria</w:t>
      </w:r>
    </w:p>
    <w:p w:rsidR="00E675F0" w:rsidRDefault="00E675F0" w:rsidP="00E675F0">
      <w:pPr>
        <w:pStyle w:val="BodyText"/>
        <w:rPr>
          <w:i/>
        </w:rPr>
      </w:pPr>
    </w:p>
    <w:p w:rsidR="00E675F0" w:rsidRDefault="00E675F0" w:rsidP="00E675F0">
      <w:pPr>
        <w:sectPr w:rsidR="00E675F0">
          <w:headerReference w:type="even" r:id="rId17"/>
          <w:pgSz w:w="8960" w:h="14260"/>
          <w:pgMar w:top="1060" w:right="780" w:bottom="280" w:left="620" w:header="0" w:footer="0" w:gutter="0"/>
          <w:cols w:space="720"/>
        </w:sectPr>
      </w:pPr>
    </w:p>
    <w:p w:rsidR="00E675F0" w:rsidRDefault="00E675F0" w:rsidP="00E675F0">
      <w:pPr>
        <w:pStyle w:val="BodyText"/>
        <w:spacing w:before="1"/>
        <w:rPr>
          <w:i/>
        </w:rPr>
      </w:pPr>
    </w:p>
    <w:p w:rsidR="00E675F0" w:rsidRDefault="00E675F0" w:rsidP="00E675F0">
      <w:pPr>
        <w:spacing w:before="1" w:line="268" w:lineRule="auto"/>
        <w:ind w:left="142" w:right="33" w:firstLine="5"/>
        <w:rPr>
          <w:sz w:val="19"/>
        </w:rPr>
      </w:pPr>
      <w:r>
        <w:rPr>
          <w:w w:val="110"/>
          <w:sz w:val="19"/>
        </w:rPr>
        <w:t>Nancy Coover Andreasen, M.D., Ph.D. David H. Barlow, Ph.D.</w:t>
      </w:r>
    </w:p>
    <w:p w:rsidR="00E675F0" w:rsidRDefault="00E675F0" w:rsidP="00E675F0">
      <w:pPr>
        <w:spacing w:line="264" w:lineRule="auto"/>
        <w:ind w:left="141" w:right="1159" w:hanging="4"/>
        <w:rPr>
          <w:sz w:val="19"/>
        </w:rPr>
      </w:pPr>
      <w:r>
        <w:rPr>
          <w:w w:val="110"/>
          <w:sz w:val="19"/>
        </w:rPr>
        <w:t>Magda Campbell, M.D. Dennis P. Cantwell, M.D. Ellen Frank, Ph.D.</w:t>
      </w:r>
    </w:p>
    <w:p w:rsidR="00E675F0" w:rsidRDefault="00E675F0" w:rsidP="00E675F0">
      <w:pPr>
        <w:spacing w:before="10" w:line="266" w:lineRule="auto"/>
        <w:ind w:left="112" w:right="1140"/>
        <w:rPr>
          <w:sz w:val="19"/>
        </w:rPr>
      </w:pPr>
      <w:r>
        <w:rPr>
          <w:w w:val="110"/>
          <w:sz w:val="19"/>
        </w:rPr>
        <w:t>Judith H. Gold,  M.D. John Gunderson, M.D. Robert E. Hales, M.D. Kenneth S. Kendler,</w:t>
      </w:r>
      <w:r>
        <w:rPr>
          <w:spacing w:val="-5"/>
          <w:w w:val="110"/>
          <w:sz w:val="19"/>
        </w:rPr>
        <w:t xml:space="preserve"> </w:t>
      </w:r>
      <w:r>
        <w:rPr>
          <w:w w:val="110"/>
          <w:sz w:val="19"/>
        </w:rPr>
        <w:t>M.D.</w:t>
      </w:r>
    </w:p>
    <w:p w:rsidR="00E675F0" w:rsidRDefault="00E675F0" w:rsidP="00E675F0">
      <w:pPr>
        <w:spacing w:line="235" w:lineRule="exact"/>
        <w:ind w:left="142"/>
        <w:rPr>
          <w:sz w:val="19"/>
        </w:rPr>
      </w:pPr>
      <w:r>
        <w:rPr>
          <w:w w:val="105"/>
          <w:sz w:val="19"/>
        </w:rPr>
        <w:t xml:space="preserve">David </w:t>
      </w:r>
      <w:r>
        <w:rPr>
          <w:w w:val="105"/>
          <w:sz w:val="24"/>
        </w:rPr>
        <w:t xml:space="preserve">J. </w:t>
      </w:r>
      <w:r>
        <w:rPr>
          <w:w w:val="105"/>
          <w:sz w:val="19"/>
        </w:rPr>
        <w:t>Kupfer, M.D.</w:t>
      </w:r>
    </w:p>
    <w:p w:rsidR="00E675F0" w:rsidRDefault="00E675F0" w:rsidP="00E675F0">
      <w:pPr>
        <w:spacing w:before="16"/>
        <w:ind w:left="137"/>
        <w:rPr>
          <w:sz w:val="19"/>
        </w:rPr>
      </w:pPr>
      <w:r>
        <w:rPr>
          <w:w w:val="105"/>
          <w:sz w:val="19"/>
        </w:rPr>
        <w:t xml:space="preserve">Michael </w:t>
      </w:r>
      <w:r>
        <w:rPr>
          <w:rFonts w:ascii="Arial"/>
          <w:w w:val="105"/>
          <w:sz w:val="17"/>
        </w:rPr>
        <w:t xml:space="preserve">R. </w:t>
      </w:r>
      <w:r>
        <w:rPr>
          <w:w w:val="105"/>
          <w:sz w:val="19"/>
        </w:rPr>
        <w:t>Liebowitz, M.D.</w:t>
      </w:r>
    </w:p>
    <w:p w:rsidR="00E675F0" w:rsidRDefault="00E675F0" w:rsidP="00E675F0">
      <w:pPr>
        <w:spacing w:before="26" w:line="268" w:lineRule="auto"/>
        <w:ind w:left="142" w:right="121" w:hanging="26"/>
        <w:rPr>
          <w:sz w:val="19"/>
        </w:rPr>
      </w:pPr>
      <w:r>
        <w:rPr>
          <w:w w:val="105"/>
          <w:sz w:val="19"/>
        </w:rPr>
        <w:t>Juan Enrique Mezzich, M.D., Ph.D. Peter E. Nathan, Ph.D.</w:t>
      </w:r>
    </w:p>
    <w:p w:rsidR="00E675F0" w:rsidRDefault="00E675F0" w:rsidP="00E675F0">
      <w:pPr>
        <w:spacing w:line="214" w:lineRule="exact"/>
        <w:ind w:left="142"/>
        <w:rPr>
          <w:sz w:val="19"/>
        </w:rPr>
      </w:pPr>
      <w:r>
        <w:rPr>
          <w:w w:val="105"/>
          <w:sz w:val="19"/>
        </w:rPr>
        <w:t>Roger Peele, M.D.</w:t>
      </w:r>
    </w:p>
    <w:p w:rsidR="00E675F0" w:rsidRDefault="00E675F0" w:rsidP="00E675F0">
      <w:pPr>
        <w:spacing w:before="22"/>
        <w:ind w:left="147"/>
        <w:rPr>
          <w:sz w:val="19"/>
        </w:rPr>
      </w:pPr>
      <w:r>
        <w:rPr>
          <w:w w:val="105"/>
          <w:sz w:val="19"/>
        </w:rPr>
        <w:t>Darrel A. Regier, M.D., M.P.H.</w:t>
      </w:r>
    </w:p>
    <w:p w:rsidR="00E675F0" w:rsidRDefault="00E675F0" w:rsidP="00E675F0">
      <w:pPr>
        <w:pStyle w:val="BodyText"/>
        <w:spacing w:before="6"/>
      </w:pPr>
      <w:r>
        <w:br w:type="column"/>
      </w:r>
    </w:p>
    <w:p w:rsidR="00E675F0" w:rsidRDefault="00E675F0" w:rsidP="003048D3">
      <w:pPr>
        <w:pStyle w:val="ListParagraph"/>
        <w:numPr>
          <w:ilvl w:val="0"/>
          <w:numId w:val="139"/>
        </w:numPr>
        <w:tabs>
          <w:tab w:val="left" w:pos="354"/>
        </w:tabs>
        <w:spacing w:line="266" w:lineRule="auto"/>
        <w:ind w:right="1347" w:hanging="4"/>
        <w:rPr>
          <w:sz w:val="19"/>
        </w:rPr>
      </w:pPr>
      <w:r>
        <w:rPr>
          <w:w w:val="110"/>
          <w:sz w:val="19"/>
        </w:rPr>
        <w:t>John Rush, M.D. Chester W. Schmidt,</w:t>
      </w:r>
      <w:r>
        <w:rPr>
          <w:spacing w:val="-35"/>
          <w:w w:val="110"/>
          <w:sz w:val="19"/>
        </w:rPr>
        <w:t xml:space="preserve"> </w:t>
      </w:r>
      <w:r>
        <w:rPr>
          <w:w w:val="110"/>
          <w:sz w:val="19"/>
        </w:rPr>
        <w:t>M.D. Marc</w:t>
      </w:r>
      <w:r>
        <w:rPr>
          <w:spacing w:val="-17"/>
          <w:w w:val="110"/>
          <w:sz w:val="19"/>
        </w:rPr>
        <w:t xml:space="preserve"> </w:t>
      </w:r>
      <w:r>
        <w:rPr>
          <w:w w:val="110"/>
          <w:sz w:val="19"/>
        </w:rPr>
        <w:t>Alan</w:t>
      </w:r>
      <w:r>
        <w:rPr>
          <w:spacing w:val="-17"/>
          <w:w w:val="110"/>
          <w:sz w:val="19"/>
        </w:rPr>
        <w:t xml:space="preserve"> </w:t>
      </w:r>
      <w:r>
        <w:rPr>
          <w:w w:val="110"/>
          <w:sz w:val="19"/>
        </w:rPr>
        <w:t>Schuckit,</w:t>
      </w:r>
      <w:r>
        <w:rPr>
          <w:spacing w:val="-13"/>
          <w:w w:val="110"/>
          <w:sz w:val="19"/>
        </w:rPr>
        <w:t xml:space="preserve"> </w:t>
      </w:r>
      <w:r>
        <w:rPr>
          <w:w w:val="110"/>
          <w:sz w:val="19"/>
        </w:rPr>
        <w:t>M.D. David Shaffer,</w:t>
      </w:r>
      <w:r>
        <w:rPr>
          <w:spacing w:val="16"/>
          <w:w w:val="110"/>
          <w:sz w:val="19"/>
        </w:rPr>
        <w:t xml:space="preserve"> </w:t>
      </w:r>
      <w:r>
        <w:rPr>
          <w:w w:val="110"/>
          <w:sz w:val="19"/>
        </w:rPr>
        <w:t>M.D.</w:t>
      </w:r>
    </w:p>
    <w:p w:rsidR="00E675F0" w:rsidRDefault="00E675F0" w:rsidP="00E675F0">
      <w:pPr>
        <w:spacing w:line="210" w:lineRule="exact"/>
        <w:ind w:left="142"/>
        <w:rPr>
          <w:i/>
          <w:sz w:val="20"/>
        </w:rPr>
      </w:pPr>
      <w:r>
        <w:rPr>
          <w:w w:val="105"/>
          <w:sz w:val="19"/>
        </w:rPr>
        <w:t xml:space="preserve">Robert </w:t>
      </w:r>
      <w:r>
        <w:rPr>
          <w:rFonts w:ascii="Arial"/>
          <w:w w:val="105"/>
          <w:sz w:val="17"/>
        </w:rPr>
        <w:t xml:space="preserve">L. </w:t>
      </w:r>
      <w:r>
        <w:rPr>
          <w:w w:val="105"/>
          <w:sz w:val="19"/>
        </w:rPr>
        <w:t xml:space="preserve">Spitzer, M.D., </w:t>
      </w:r>
      <w:r>
        <w:rPr>
          <w:i/>
          <w:w w:val="105"/>
          <w:sz w:val="20"/>
        </w:rPr>
        <w:t>Special Adviser</w:t>
      </w:r>
    </w:p>
    <w:p w:rsidR="00E675F0" w:rsidRDefault="00E675F0" w:rsidP="00E675F0">
      <w:pPr>
        <w:spacing w:line="265" w:lineRule="exact"/>
        <w:ind w:left="134"/>
        <w:rPr>
          <w:sz w:val="19"/>
        </w:rPr>
      </w:pPr>
      <w:r>
        <w:rPr>
          <w:w w:val="105"/>
          <w:sz w:val="19"/>
        </w:rPr>
        <w:t xml:space="preserve">Gary </w:t>
      </w:r>
      <w:r>
        <w:rPr>
          <w:w w:val="105"/>
          <w:sz w:val="24"/>
        </w:rPr>
        <w:t xml:space="preserve">J. </w:t>
      </w:r>
      <w:r>
        <w:rPr>
          <w:w w:val="105"/>
          <w:sz w:val="19"/>
        </w:rPr>
        <w:t>Tucker, M.D.</w:t>
      </w:r>
    </w:p>
    <w:p w:rsidR="00E675F0" w:rsidRDefault="00E675F0" w:rsidP="003048D3">
      <w:pPr>
        <w:pStyle w:val="ListParagraph"/>
        <w:numPr>
          <w:ilvl w:val="0"/>
          <w:numId w:val="139"/>
        </w:numPr>
        <w:tabs>
          <w:tab w:val="left" w:pos="376"/>
        </w:tabs>
        <w:spacing w:before="16" w:line="268" w:lineRule="auto"/>
        <w:ind w:left="135" w:right="1261" w:firstLine="7"/>
        <w:rPr>
          <w:sz w:val="19"/>
        </w:rPr>
      </w:pPr>
      <w:r>
        <w:rPr>
          <w:w w:val="110"/>
          <w:sz w:val="19"/>
        </w:rPr>
        <w:t>Timothy Walsh, M.D. Thomas A. Widiger,</w:t>
      </w:r>
      <w:r>
        <w:rPr>
          <w:spacing w:val="-12"/>
          <w:w w:val="110"/>
          <w:sz w:val="19"/>
        </w:rPr>
        <w:t xml:space="preserve"> </w:t>
      </w:r>
      <w:r>
        <w:rPr>
          <w:w w:val="110"/>
          <w:sz w:val="19"/>
        </w:rPr>
        <w:t>Ph.D.,</w:t>
      </w:r>
    </w:p>
    <w:p w:rsidR="00E675F0" w:rsidRDefault="00E675F0" w:rsidP="00E675F0">
      <w:pPr>
        <w:spacing w:line="221" w:lineRule="exact"/>
        <w:ind w:left="63" w:right="1116"/>
        <w:jc w:val="center"/>
        <w:rPr>
          <w:i/>
          <w:sz w:val="20"/>
        </w:rPr>
      </w:pPr>
      <w:r>
        <w:rPr>
          <w:i/>
          <w:w w:val="105"/>
          <w:sz w:val="20"/>
        </w:rPr>
        <w:t>Research Coordinator</w:t>
      </w:r>
    </w:p>
    <w:p w:rsidR="00E675F0" w:rsidRDefault="00E675F0" w:rsidP="00E675F0">
      <w:pPr>
        <w:spacing w:before="25"/>
        <w:ind w:left="138" w:right="1116"/>
        <w:jc w:val="center"/>
        <w:rPr>
          <w:sz w:val="19"/>
        </w:rPr>
      </w:pPr>
      <w:r>
        <w:rPr>
          <w:w w:val="105"/>
          <w:sz w:val="19"/>
        </w:rPr>
        <w:t>Janet B. W. Williams, D.S.W.</w:t>
      </w:r>
    </w:p>
    <w:p w:rsidR="00E675F0" w:rsidRDefault="00E675F0" w:rsidP="00E675F0">
      <w:pPr>
        <w:spacing w:before="17" w:line="219" w:lineRule="exact"/>
        <w:ind w:left="112"/>
        <w:rPr>
          <w:i/>
          <w:sz w:val="20"/>
        </w:rPr>
      </w:pPr>
      <w:r>
        <w:rPr>
          <w:w w:val="105"/>
          <w:sz w:val="19"/>
        </w:rPr>
        <w:t xml:space="preserve">John </w:t>
      </w:r>
      <w:r>
        <w:rPr>
          <w:w w:val="105"/>
          <w:sz w:val="18"/>
        </w:rPr>
        <w:t xml:space="preserve">C. </w:t>
      </w:r>
      <w:r>
        <w:rPr>
          <w:w w:val="105"/>
          <w:sz w:val="19"/>
        </w:rPr>
        <w:t xml:space="preserve">Urbaitis, M.D., </w:t>
      </w:r>
      <w:r>
        <w:rPr>
          <w:i/>
          <w:w w:val="105"/>
          <w:sz w:val="20"/>
        </w:rPr>
        <w:t>Assembly Liaison</w:t>
      </w:r>
    </w:p>
    <w:p w:rsidR="00E675F0" w:rsidRDefault="00E675F0" w:rsidP="00E675F0">
      <w:pPr>
        <w:spacing w:line="265" w:lineRule="exact"/>
        <w:ind w:left="117"/>
        <w:rPr>
          <w:sz w:val="19"/>
        </w:rPr>
      </w:pPr>
      <w:r>
        <w:rPr>
          <w:w w:val="105"/>
          <w:sz w:val="19"/>
        </w:rPr>
        <w:t xml:space="preserve">James </w:t>
      </w:r>
      <w:r>
        <w:rPr>
          <w:w w:val="105"/>
          <w:sz w:val="24"/>
        </w:rPr>
        <w:t xml:space="preserve">J. </w:t>
      </w:r>
      <w:r>
        <w:rPr>
          <w:w w:val="105"/>
          <w:sz w:val="19"/>
        </w:rPr>
        <w:t>Hudziak, M.D.,</w:t>
      </w:r>
    </w:p>
    <w:p w:rsidR="00E675F0" w:rsidRDefault="00E675F0" w:rsidP="00E675F0">
      <w:pPr>
        <w:spacing w:before="1"/>
        <w:ind w:left="395"/>
        <w:rPr>
          <w:i/>
          <w:sz w:val="20"/>
        </w:rPr>
      </w:pPr>
      <w:r>
        <w:rPr>
          <w:i/>
          <w:w w:val="105"/>
          <w:sz w:val="20"/>
        </w:rPr>
        <w:t>Resident Fellow (1990-1993)</w:t>
      </w:r>
    </w:p>
    <w:p w:rsidR="00E675F0" w:rsidRDefault="00E675F0" w:rsidP="00E675F0">
      <w:pPr>
        <w:spacing w:before="25"/>
        <w:ind w:left="117"/>
        <w:rPr>
          <w:sz w:val="19"/>
        </w:rPr>
      </w:pPr>
      <w:r>
        <w:rPr>
          <w:w w:val="110"/>
          <w:sz w:val="19"/>
        </w:rPr>
        <w:t>Junius Gonzales, M.D.,</w:t>
      </w:r>
    </w:p>
    <w:p w:rsidR="00E675F0" w:rsidRDefault="00E675F0" w:rsidP="00E675F0">
      <w:pPr>
        <w:spacing w:before="12"/>
        <w:ind w:left="395"/>
        <w:rPr>
          <w:i/>
          <w:sz w:val="20"/>
        </w:rPr>
      </w:pPr>
      <w:r>
        <w:rPr>
          <w:i/>
          <w:w w:val="105"/>
          <w:sz w:val="20"/>
        </w:rPr>
        <w:t>Resident Fellow (1988-1990)</w:t>
      </w:r>
    </w:p>
    <w:p w:rsidR="00E675F0" w:rsidRDefault="00E675F0" w:rsidP="00E675F0">
      <w:pPr>
        <w:rPr>
          <w:sz w:val="20"/>
        </w:rPr>
        <w:sectPr w:rsidR="00E675F0">
          <w:type w:val="continuous"/>
          <w:pgSz w:w="8960" w:h="14260"/>
          <w:pgMar w:top="640" w:right="780" w:bottom="0" w:left="620" w:header="720" w:footer="720" w:gutter="0"/>
          <w:cols w:num="2" w:space="720" w:equalWidth="0">
            <w:col w:w="3486" w:space="374"/>
            <w:col w:w="3700"/>
          </w:cols>
        </w:sectPr>
      </w:pPr>
    </w:p>
    <w:p w:rsidR="00E675F0" w:rsidRDefault="00E675F0" w:rsidP="00E675F0">
      <w:pPr>
        <w:pStyle w:val="BodyText"/>
        <w:rPr>
          <w:i/>
        </w:rPr>
      </w:pPr>
    </w:p>
    <w:p w:rsidR="00E675F0" w:rsidRDefault="00E675F0" w:rsidP="00E675F0">
      <w:pPr>
        <w:pStyle w:val="BodyText"/>
        <w:spacing w:before="2"/>
        <w:rPr>
          <w:i/>
        </w:rPr>
      </w:pPr>
    </w:p>
    <w:p w:rsidR="00E675F0" w:rsidRDefault="00E675F0" w:rsidP="00E675F0">
      <w:pPr>
        <w:sectPr w:rsidR="00E675F0">
          <w:type w:val="continuous"/>
          <w:pgSz w:w="8960" w:h="14260"/>
          <w:pgMar w:top="640" w:right="780" w:bottom="0" w:left="620" w:header="720" w:footer="720" w:gutter="0"/>
          <w:cols w:space="720"/>
        </w:sectPr>
      </w:pPr>
    </w:p>
    <w:p w:rsidR="00E675F0" w:rsidRDefault="00E675F0" w:rsidP="00E675F0">
      <w:pPr>
        <w:spacing w:before="101" w:line="261" w:lineRule="auto"/>
        <w:ind w:left="1023" w:firstLine="1337"/>
        <w:jc w:val="right"/>
        <w:rPr>
          <w:sz w:val="19"/>
        </w:rPr>
      </w:pPr>
      <w:r>
        <w:rPr>
          <w:w w:val="105"/>
          <w:sz w:val="19"/>
        </w:rPr>
        <w:t>Ruth</w:t>
      </w:r>
      <w:r>
        <w:rPr>
          <w:spacing w:val="-8"/>
          <w:w w:val="105"/>
          <w:sz w:val="19"/>
        </w:rPr>
        <w:t xml:space="preserve"> </w:t>
      </w:r>
      <w:r>
        <w:rPr>
          <w:w w:val="105"/>
          <w:sz w:val="19"/>
        </w:rPr>
        <w:t>Ross,</w:t>
      </w:r>
      <w:r>
        <w:rPr>
          <w:spacing w:val="-6"/>
          <w:w w:val="105"/>
          <w:sz w:val="19"/>
        </w:rPr>
        <w:t xml:space="preserve"> </w:t>
      </w:r>
      <w:r>
        <w:rPr>
          <w:w w:val="105"/>
          <w:sz w:val="19"/>
        </w:rPr>
        <w:t>M.A.,</w:t>
      </w:r>
      <w:r>
        <w:rPr>
          <w:spacing w:val="-1"/>
          <w:w w:val="97"/>
          <w:sz w:val="19"/>
        </w:rPr>
        <w:t xml:space="preserve"> </w:t>
      </w:r>
      <w:r>
        <w:rPr>
          <w:w w:val="105"/>
          <w:sz w:val="19"/>
        </w:rPr>
        <w:t>Nancy E.</w:t>
      </w:r>
      <w:r>
        <w:rPr>
          <w:spacing w:val="14"/>
          <w:w w:val="105"/>
          <w:sz w:val="19"/>
        </w:rPr>
        <w:t xml:space="preserve"> </w:t>
      </w:r>
      <w:r>
        <w:rPr>
          <w:w w:val="105"/>
          <w:sz w:val="19"/>
        </w:rPr>
        <w:t>Vettorello,</w:t>
      </w:r>
      <w:r>
        <w:rPr>
          <w:spacing w:val="10"/>
          <w:w w:val="105"/>
          <w:sz w:val="19"/>
        </w:rPr>
        <w:t xml:space="preserve"> </w:t>
      </w:r>
      <w:r>
        <w:rPr>
          <w:w w:val="105"/>
          <w:sz w:val="19"/>
        </w:rPr>
        <w:t>M.U.P.,</w:t>
      </w:r>
      <w:r>
        <w:rPr>
          <w:spacing w:val="-1"/>
          <w:w w:val="101"/>
          <w:sz w:val="19"/>
        </w:rPr>
        <w:t xml:space="preserve"> </w:t>
      </w:r>
      <w:r>
        <w:rPr>
          <w:w w:val="105"/>
          <w:sz w:val="19"/>
        </w:rPr>
        <w:t>Wendy  Wakefield  Davis,</w:t>
      </w:r>
      <w:r>
        <w:rPr>
          <w:spacing w:val="-15"/>
          <w:w w:val="105"/>
          <w:sz w:val="19"/>
        </w:rPr>
        <w:t xml:space="preserve"> </w:t>
      </w:r>
      <w:r>
        <w:rPr>
          <w:w w:val="105"/>
          <w:sz w:val="19"/>
        </w:rPr>
        <w:t>Ed.M.,</w:t>
      </w:r>
    </w:p>
    <w:p w:rsidR="00E675F0" w:rsidRDefault="00E675F0" w:rsidP="00E675F0">
      <w:pPr>
        <w:spacing w:before="6" w:line="264" w:lineRule="auto"/>
        <w:ind w:left="1028" w:firstLine="1386"/>
        <w:jc w:val="right"/>
        <w:rPr>
          <w:sz w:val="19"/>
        </w:rPr>
      </w:pPr>
      <w:r>
        <w:rPr>
          <w:w w:val="110"/>
          <w:sz w:val="19"/>
        </w:rPr>
        <w:t>Cindy</w:t>
      </w:r>
      <w:r>
        <w:rPr>
          <w:spacing w:val="16"/>
          <w:w w:val="110"/>
          <w:sz w:val="19"/>
        </w:rPr>
        <w:t xml:space="preserve"> </w:t>
      </w:r>
      <w:r>
        <w:rPr>
          <w:w w:val="110"/>
          <w:sz w:val="19"/>
        </w:rPr>
        <w:t>D.</w:t>
      </w:r>
      <w:r>
        <w:rPr>
          <w:spacing w:val="-19"/>
          <w:w w:val="110"/>
          <w:sz w:val="19"/>
        </w:rPr>
        <w:t xml:space="preserve"> </w:t>
      </w:r>
      <w:r>
        <w:rPr>
          <w:w w:val="110"/>
          <w:sz w:val="19"/>
        </w:rPr>
        <w:t>Jones,</w:t>
      </w:r>
      <w:r>
        <w:rPr>
          <w:spacing w:val="-1"/>
          <w:w w:val="115"/>
          <w:sz w:val="19"/>
        </w:rPr>
        <w:t xml:space="preserve"> </w:t>
      </w:r>
      <w:r>
        <w:rPr>
          <w:w w:val="110"/>
          <w:sz w:val="19"/>
        </w:rPr>
        <w:t>Nancy</w:t>
      </w:r>
      <w:r>
        <w:rPr>
          <w:spacing w:val="-27"/>
          <w:w w:val="110"/>
          <w:sz w:val="19"/>
        </w:rPr>
        <w:t xml:space="preserve"> </w:t>
      </w:r>
      <w:r>
        <w:rPr>
          <w:w w:val="110"/>
          <w:sz w:val="19"/>
        </w:rPr>
        <w:t>Sydnor-Greenberg,</w:t>
      </w:r>
      <w:r>
        <w:rPr>
          <w:spacing w:val="-28"/>
          <w:w w:val="110"/>
          <w:sz w:val="19"/>
        </w:rPr>
        <w:t xml:space="preserve"> </w:t>
      </w:r>
      <w:r>
        <w:rPr>
          <w:w w:val="110"/>
          <w:sz w:val="19"/>
        </w:rPr>
        <w:t>M.A.,</w:t>
      </w:r>
    </w:p>
    <w:p w:rsidR="00E675F0" w:rsidRDefault="00E675F0" w:rsidP="00E675F0">
      <w:pPr>
        <w:spacing w:line="264" w:lineRule="auto"/>
        <w:ind w:left="675" w:firstLine="1401"/>
        <w:jc w:val="right"/>
        <w:rPr>
          <w:sz w:val="19"/>
        </w:rPr>
      </w:pPr>
      <w:r>
        <w:rPr>
          <w:w w:val="105"/>
          <w:sz w:val="19"/>
        </w:rPr>
        <w:t>Myriam</w:t>
      </w:r>
      <w:r>
        <w:rPr>
          <w:spacing w:val="-4"/>
          <w:w w:val="105"/>
          <w:sz w:val="19"/>
        </w:rPr>
        <w:t xml:space="preserve"> </w:t>
      </w:r>
      <w:r>
        <w:rPr>
          <w:w w:val="105"/>
          <w:sz w:val="19"/>
        </w:rPr>
        <w:t>Kline,</w:t>
      </w:r>
      <w:r>
        <w:rPr>
          <w:spacing w:val="-6"/>
          <w:w w:val="105"/>
          <w:sz w:val="19"/>
        </w:rPr>
        <w:t xml:space="preserve"> </w:t>
      </w:r>
      <w:r>
        <w:rPr>
          <w:w w:val="105"/>
          <w:sz w:val="19"/>
        </w:rPr>
        <w:t>M.S.,</w:t>
      </w:r>
      <w:r>
        <w:rPr>
          <w:spacing w:val="-1"/>
          <w:w w:val="98"/>
          <w:sz w:val="19"/>
        </w:rPr>
        <w:t xml:space="preserve"> </w:t>
      </w:r>
      <w:r>
        <w:rPr>
          <w:w w:val="105"/>
          <w:sz w:val="19"/>
        </w:rPr>
        <w:t>James  W. Thompson,  M.D.,</w:t>
      </w:r>
      <w:r>
        <w:rPr>
          <w:spacing w:val="15"/>
          <w:w w:val="105"/>
          <w:sz w:val="19"/>
        </w:rPr>
        <w:t xml:space="preserve"> </w:t>
      </w:r>
      <w:r>
        <w:rPr>
          <w:w w:val="105"/>
          <w:sz w:val="19"/>
        </w:rPr>
        <w:t>M.P.H.,</w:t>
      </w:r>
    </w:p>
    <w:p w:rsidR="00E675F0" w:rsidRDefault="00E675F0" w:rsidP="00E675F0">
      <w:pPr>
        <w:spacing w:before="92" w:line="249" w:lineRule="auto"/>
        <w:ind w:left="211" w:right="1100" w:firstLine="3"/>
        <w:rPr>
          <w:i/>
          <w:sz w:val="20"/>
        </w:rPr>
      </w:pPr>
      <w:r>
        <w:br w:type="column"/>
      </w:r>
      <w:r>
        <w:rPr>
          <w:i/>
          <w:w w:val="105"/>
          <w:sz w:val="20"/>
        </w:rPr>
        <w:t>Science Editor Administrative Coordinator Editorial Coordinator Administrative Assistant Administrative Consultant</w:t>
      </w:r>
    </w:p>
    <w:p w:rsidR="00E675F0" w:rsidRDefault="00E675F0" w:rsidP="00E675F0">
      <w:pPr>
        <w:spacing w:before="5" w:line="244" w:lineRule="auto"/>
        <w:ind w:left="220" w:hanging="4"/>
        <w:rPr>
          <w:i/>
          <w:sz w:val="20"/>
        </w:rPr>
      </w:pPr>
      <w:r>
        <w:rPr>
          <w:i/>
          <w:w w:val="105"/>
          <w:sz w:val="20"/>
        </w:rPr>
        <w:t>Focused Field Trial Coordinator Videotape Field Trial Coordinator</w:t>
      </w:r>
    </w:p>
    <w:p w:rsidR="00E675F0" w:rsidRDefault="00E675F0" w:rsidP="00E675F0">
      <w:pPr>
        <w:spacing w:line="244" w:lineRule="auto"/>
        <w:rPr>
          <w:sz w:val="20"/>
        </w:rPr>
        <w:sectPr w:rsidR="00E675F0">
          <w:type w:val="continuous"/>
          <w:pgSz w:w="8960" w:h="14260"/>
          <w:pgMar w:top="640" w:right="780" w:bottom="0" w:left="620" w:header="720" w:footer="720" w:gutter="0"/>
          <w:cols w:num="2" w:space="720" w:equalWidth="0">
            <w:col w:w="3759" w:space="40"/>
            <w:col w:w="3761"/>
          </w:cols>
        </w:sectPr>
      </w:pPr>
    </w:p>
    <w:p w:rsidR="00E675F0" w:rsidRDefault="00E675F0" w:rsidP="00E675F0">
      <w:pPr>
        <w:pStyle w:val="BodyText"/>
        <w:rPr>
          <w:i/>
        </w:rPr>
      </w:pPr>
    </w:p>
    <w:p w:rsidR="00E675F0" w:rsidRDefault="00E675F0" w:rsidP="00E675F0">
      <w:pPr>
        <w:pStyle w:val="BodyText"/>
        <w:rPr>
          <w:i/>
        </w:rPr>
      </w:pPr>
    </w:p>
    <w:p w:rsidR="00E675F0" w:rsidRDefault="00E675F0" w:rsidP="00E675F0">
      <w:pPr>
        <w:pStyle w:val="BodyText"/>
        <w:rPr>
          <w:i/>
        </w:rPr>
      </w:pPr>
    </w:p>
    <w:p w:rsidR="00E675F0" w:rsidRDefault="00E675F0" w:rsidP="00E675F0">
      <w:pPr>
        <w:pStyle w:val="BodyText"/>
        <w:rPr>
          <w:i/>
        </w:rPr>
      </w:pPr>
    </w:p>
    <w:p w:rsidR="00E675F0" w:rsidRDefault="00E675F0" w:rsidP="00E675F0">
      <w:pPr>
        <w:pStyle w:val="BodyText"/>
        <w:rPr>
          <w:i/>
        </w:rPr>
      </w:pPr>
    </w:p>
    <w:p w:rsidR="00E675F0" w:rsidRDefault="00E675F0" w:rsidP="00E675F0">
      <w:pPr>
        <w:pStyle w:val="BodyText"/>
        <w:rPr>
          <w:i/>
        </w:rPr>
      </w:pPr>
    </w:p>
    <w:p w:rsidR="00E675F0" w:rsidRDefault="00E675F0" w:rsidP="00E675F0">
      <w:pPr>
        <w:pStyle w:val="BodyText"/>
        <w:rPr>
          <w:i/>
        </w:rPr>
      </w:pPr>
    </w:p>
    <w:p w:rsidR="00E675F0" w:rsidRDefault="00E675F0" w:rsidP="00E675F0">
      <w:pPr>
        <w:pStyle w:val="BodyText"/>
        <w:rPr>
          <w:i/>
        </w:rPr>
      </w:pPr>
    </w:p>
    <w:p w:rsidR="00E675F0" w:rsidRDefault="00E675F0" w:rsidP="00E675F0">
      <w:pPr>
        <w:pStyle w:val="BodyText"/>
        <w:rPr>
          <w:i/>
        </w:rPr>
      </w:pPr>
    </w:p>
    <w:p w:rsidR="00E675F0" w:rsidRDefault="00E675F0" w:rsidP="00E675F0">
      <w:pPr>
        <w:pStyle w:val="BodyText"/>
        <w:rPr>
          <w:i/>
        </w:rPr>
      </w:pPr>
    </w:p>
    <w:p w:rsidR="00E675F0" w:rsidRDefault="00E675F0" w:rsidP="00E675F0">
      <w:pPr>
        <w:pStyle w:val="BodyText"/>
        <w:rPr>
          <w:i/>
        </w:rPr>
      </w:pPr>
    </w:p>
    <w:p w:rsidR="00E675F0" w:rsidRDefault="00E675F0" w:rsidP="00E675F0">
      <w:pPr>
        <w:pStyle w:val="BodyText"/>
        <w:rPr>
          <w:i/>
        </w:rPr>
      </w:pPr>
    </w:p>
    <w:p w:rsidR="00E675F0" w:rsidRDefault="00E675F0" w:rsidP="00E675F0">
      <w:pPr>
        <w:pStyle w:val="BodyText"/>
        <w:rPr>
          <w:i/>
        </w:rPr>
      </w:pPr>
    </w:p>
    <w:p w:rsidR="00E675F0" w:rsidRDefault="00E675F0" w:rsidP="00E675F0">
      <w:pPr>
        <w:pStyle w:val="BodyText"/>
        <w:spacing w:before="7"/>
        <w:rPr>
          <w:i/>
          <w:sz w:val="19"/>
        </w:rPr>
      </w:pPr>
    </w:p>
    <w:p w:rsidR="00E675F0" w:rsidRDefault="00E675F0" w:rsidP="00E675F0">
      <w:pPr>
        <w:spacing w:before="92"/>
        <w:ind w:left="2498" w:right="2309"/>
        <w:jc w:val="center"/>
        <w:rPr>
          <w:sz w:val="21"/>
        </w:rPr>
      </w:pPr>
      <w:r>
        <w:rPr>
          <w:noProof/>
        </w:rPr>
        <w:lastRenderedPageBreak/>
        <mc:AlternateContent>
          <mc:Choice Requires="wps">
            <w:drawing>
              <wp:anchor distT="0" distB="0" distL="114300" distR="114300" simplePos="0" relativeHeight="251663360" behindDoc="0" locked="0" layoutInCell="1" allowOverlap="1" wp14:anchorId="1F283A8B" wp14:editId="655AA12A">
                <wp:simplePos x="0" y="0"/>
                <wp:positionH relativeFrom="page">
                  <wp:posOffset>483235</wp:posOffset>
                </wp:positionH>
                <wp:positionV relativeFrom="paragraph">
                  <wp:posOffset>20955</wp:posOffset>
                </wp:positionV>
                <wp:extent cx="4754880" cy="0"/>
                <wp:effectExtent l="0" t="0" r="0" b="0"/>
                <wp:wrapNone/>
                <wp:docPr id="1728" name="Line 16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754880" cy="0"/>
                        </a:xfrm>
                        <a:prstGeom prst="line">
                          <a:avLst/>
                        </a:prstGeom>
                        <a:noFill/>
                        <a:ln w="610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477343" id="Line 1684"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05pt,1.65pt" to="412.45pt,1.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" strokeweight=".16953mm">
                <o:lock v:ext="edit" shapetype="f"/>
                <w10:wrap anchorx="page"/>
              </v:line>
            </w:pict>
          </mc:Fallback>
        </mc:AlternateContent>
      </w:r>
      <w:r>
        <w:rPr>
          <w:w w:val="105"/>
          <w:sz w:val="21"/>
        </w:rPr>
        <w:t>ix</w:t>
      </w:r>
    </w:p>
    <w:p w:rsidR="00E675F0" w:rsidRDefault="00E675F0" w:rsidP="00E675F0">
      <w:pPr>
        <w:jc w:val="center"/>
        <w:rPr>
          <w:sz w:val="21"/>
        </w:rPr>
        <w:sectPr w:rsidR="00E675F0">
          <w:type w:val="continuous"/>
          <w:pgSz w:w="8960" w:h="14260"/>
          <w:pgMar w:top="640" w:right="780" w:bottom="0" w:left="620" w:header="720" w:footer="720" w:gutter="0"/>
          <w:cols w:space="720"/>
        </w:sectPr>
      </w:pPr>
    </w:p>
    <w:p w:rsidR="00E675F0" w:rsidRDefault="00E675F0" w:rsidP="00E675F0">
      <w:pPr>
        <w:tabs>
          <w:tab w:val="left" w:pos="588"/>
        </w:tabs>
        <w:spacing w:before="78"/>
        <w:ind w:left="124"/>
        <w:rPr>
          <w:b/>
        </w:rPr>
      </w:pPr>
      <w:r>
        <w:rPr>
          <w:noProof/>
        </w:rPr>
        <w:lastRenderedPageBreak/>
        <mc:AlternateContent>
          <mc:Choice Requires="wps">
            <w:drawing>
              <wp:anchor distT="0" distB="0" distL="0" distR="0" simplePos="0" relativeHeight="251816960" behindDoc="1" locked="0" layoutInCell="1" allowOverlap="1" wp14:anchorId="60E5AAB6" wp14:editId="65D2FBE1">
                <wp:simplePos x="0" y="0"/>
                <wp:positionH relativeFrom="page">
                  <wp:posOffset>466725</wp:posOffset>
                </wp:positionH>
                <wp:positionV relativeFrom="paragraph">
                  <wp:posOffset>243840</wp:posOffset>
                </wp:positionV>
                <wp:extent cx="4777740" cy="1270"/>
                <wp:effectExtent l="0" t="0" r="0" b="0"/>
                <wp:wrapTopAndBottom/>
                <wp:docPr id="1727" name="Freeform 16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77740" cy="1270"/>
                        </a:xfrm>
                        <a:custGeom>
                          <a:avLst/>
                          <a:gdLst>
                            <a:gd name="T0" fmla="+- 0 735 735"/>
                            <a:gd name="T1" fmla="*/ T0 w 7524"/>
                            <a:gd name="T2" fmla="+- 0 8259 735"/>
                            <a:gd name="T3" fmla="*/ T2 w 7524"/>
                          </a:gdLst>
                          <a:ahLst/>
                          <a:cxnLst>
                            <a:cxn ang="0">
                              <a:pos x="T1" y="0"/>
                            </a:cxn>
                            <a:cxn ang="0">
                              <a:pos x="T3" y="0"/>
                            </a:cxn>
                          </a:cxnLst>
                          <a:rect l="0" t="0" r="r" b="b"/>
                          <a:pathLst>
                            <a:path w="7524">
                              <a:moveTo>
                                <a:pt x="0" y="0"/>
                              </a:moveTo>
                              <a:lnTo>
                                <a:pt x="7524" y="0"/>
                              </a:lnTo>
                            </a:path>
                          </a:pathLst>
                        </a:custGeom>
                        <a:noFill/>
                        <a:ln w="61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F1A2D" id="Freeform 1683" o:spid="_x0000_s1026" style="position:absolute;margin-left:36.75pt;margin-top:19.2pt;width:376.2pt;height:.1pt;z-index:-251499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24,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" path="m,l7524,e" filled="f" strokeweight=".16956mm">
                <v:path arrowok="t" o:connecttype="custom" o:connectlocs="0,0;4777740,0" o:connectangles="0,0"/>
                <w10:wrap type="topAndBottom" anchorx="page"/>
              </v:shape>
            </w:pict>
          </mc:Fallback>
        </mc:AlternateContent>
      </w:r>
      <w:r>
        <w:rPr>
          <w:b/>
          <w:w w:val="105"/>
        </w:rPr>
        <w:t>x</w:t>
      </w:r>
      <w:r>
        <w:rPr>
          <w:b/>
          <w:w w:val="105"/>
        </w:rPr>
        <w:tab/>
      </w:r>
      <w:r>
        <w:rPr>
          <w:b/>
          <w:w w:val="105"/>
          <w:sz w:val="20"/>
        </w:rPr>
        <w:t xml:space="preserve">DSM-IV </w:t>
      </w:r>
      <w:r>
        <w:rPr>
          <w:b/>
          <w:w w:val="105"/>
        </w:rPr>
        <w:t>Work</w:t>
      </w:r>
      <w:r>
        <w:rPr>
          <w:b/>
          <w:spacing w:val="3"/>
          <w:w w:val="105"/>
        </w:rPr>
        <w:t xml:space="preserve"> </w:t>
      </w:r>
      <w:r>
        <w:rPr>
          <w:b/>
          <w:w w:val="105"/>
        </w:rPr>
        <w:t>Groups</w:t>
      </w:r>
    </w:p>
    <w:p w:rsidR="00E675F0" w:rsidRDefault="00E675F0" w:rsidP="00E675F0">
      <w:pPr>
        <w:pStyle w:val="BodyText"/>
        <w:rPr>
          <w:b/>
          <w:sz w:val="24"/>
        </w:rPr>
      </w:pPr>
    </w:p>
    <w:p w:rsidR="00E675F0" w:rsidRDefault="00E675F0" w:rsidP="00E675F0">
      <w:pPr>
        <w:pStyle w:val="BodyText"/>
        <w:spacing w:before="5"/>
        <w:rPr>
          <w:b/>
          <w:sz w:val="22"/>
        </w:rPr>
      </w:pPr>
    </w:p>
    <w:p w:rsidR="00E675F0" w:rsidRDefault="00E675F0" w:rsidP="00E675F0">
      <w:pPr>
        <w:ind w:left="1962"/>
        <w:rPr>
          <w:rFonts w:ascii="Arial"/>
          <w:b/>
          <w:sz w:val="25"/>
        </w:rPr>
      </w:pPr>
      <w:r>
        <w:rPr>
          <w:rFonts w:ascii="Arial"/>
          <w:b/>
          <w:w w:val="105"/>
          <w:sz w:val="25"/>
        </w:rPr>
        <w:t>Anxiety Disorders Work Group</w:t>
      </w:r>
    </w:p>
    <w:p w:rsidR="00E675F0" w:rsidRDefault="00E675F0" w:rsidP="00E675F0">
      <w:pPr>
        <w:pStyle w:val="BodyText"/>
        <w:spacing w:before="4"/>
        <w:rPr>
          <w:rFonts w:ascii="Arial"/>
          <w:b/>
          <w:sz w:val="13"/>
        </w:rPr>
      </w:pPr>
    </w:p>
    <w:p w:rsidR="00E675F0" w:rsidRDefault="00E675F0" w:rsidP="00E675F0">
      <w:pPr>
        <w:rPr>
          <w:rFonts w:ascii="Arial"/>
          <w:sz w:val="13"/>
        </w:rPr>
        <w:sectPr w:rsidR="00E675F0">
          <w:headerReference w:type="default" r:id="rId18"/>
          <w:pgSz w:w="8960" w:h="14260"/>
          <w:pgMar w:top="580" w:right="620" w:bottom="280" w:left="620" w:header="0" w:footer="0" w:gutter="0"/>
          <w:cols w:space="720"/>
        </w:sectPr>
      </w:pPr>
    </w:p>
    <w:p w:rsidR="00E675F0" w:rsidRDefault="00E675F0" w:rsidP="00E675F0">
      <w:pPr>
        <w:spacing w:before="92" w:line="256" w:lineRule="auto"/>
        <w:ind w:left="111" w:right="38" w:firstLine="25"/>
        <w:jc w:val="both"/>
        <w:rPr>
          <w:sz w:val="20"/>
        </w:rPr>
      </w:pPr>
      <w:r>
        <w:rPr>
          <w:sz w:val="20"/>
        </w:rPr>
        <w:t xml:space="preserve">Michael </w:t>
      </w:r>
      <w:r>
        <w:rPr>
          <w:rFonts w:ascii="Arial"/>
          <w:sz w:val="17"/>
        </w:rPr>
        <w:t xml:space="preserve">R. </w:t>
      </w:r>
      <w:r>
        <w:rPr>
          <w:sz w:val="20"/>
        </w:rPr>
        <w:t xml:space="preserve">Liebowitz, M.D., </w:t>
      </w:r>
      <w:r>
        <w:rPr>
          <w:i/>
          <w:sz w:val="20"/>
        </w:rPr>
        <w:t xml:space="preserve">Chairperson </w:t>
      </w:r>
      <w:r>
        <w:rPr>
          <w:sz w:val="20"/>
        </w:rPr>
        <w:t xml:space="preserve">David H. Barlow, Ph.D., </w:t>
      </w:r>
      <w:r>
        <w:rPr>
          <w:i/>
          <w:sz w:val="20"/>
        </w:rPr>
        <w:t xml:space="preserve">Vice-Chairperson </w:t>
      </w:r>
      <w:r>
        <w:rPr>
          <w:sz w:val="20"/>
        </w:rPr>
        <w:t xml:space="preserve">James </w:t>
      </w:r>
      <w:r>
        <w:rPr>
          <w:sz w:val="18"/>
        </w:rPr>
        <w:t xml:space="preserve">C. </w:t>
      </w:r>
      <w:r>
        <w:rPr>
          <w:sz w:val="20"/>
        </w:rPr>
        <w:t>Ballenger, M.D.</w:t>
      </w:r>
    </w:p>
    <w:p w:rsidR="00E675F0" w:rsidRDefault="00E675F0" w:rsidP="00E675F0">
      <w:pPr>
        <w:pStyle w:val="BodyText"/>
        <w:spacing w:before="92" w:line="252" w:lineRule="auto"/>
        <w:ind w:left="140" w:right="1178" w:hanging="30"/>
      </w:pPr>
      <w:r>
        <w:br w:type="column"/>
      </w:r>
      <w:r>
        <w:rPr>
          <w:w w:val="105"/>
        </w:rPr>
        <w:t>Jonathan Davidson, M.D. Edna Foa,</w:t>
      </w:r>
      <w:r>
        <w:rPr>
          <w:spacing w:val="31"/>
          <w:w w:val="105"/>
        </w:rPr>
        <w:t xml:space="preserve"> </w:t>
      </w:r>
      <w:r>
        <w:rPr>
          <w:w w:val="105"/>
        </w:rPr>
        <w:t>Ph.D.</w:t>
      </w:r>
    </w:p>
    <w:p w:rsidR="00E675F0" w:rsidRDefault="00E675F0" w:rsidP="00E675F0">
      <w:pPr>
        <w:pStyle w:val="BodyText"/>
        <w:spacing w:before="3"/>
        <w:ind w:left="132"/>
      </w:pPr>
      <w:r>
        <w:t>Abby Fyer,</w:t>
      </w:r>
      <w:r>
        <w:rPr>
          <w:spacing w:val="20"/>
        </w:rPr>
        <w:t xml:space="preserve"> </w:t>
      </w:r>
      <w:r>
        <w:t>M.D.</w:t>
      </w:r>
    </w:p>
    <w:p w:rsidR="00E675F0" w:rsidRDefault="00E675F0" w:rsidP="00E675F0">
      <w:pPr>
        <w:sectPr w:rsidR="00E675F0">
          <w:type w:val="continuous"/>
          <w:pgSz w:w="8960" w:h="14260"/>
          <w:pgMar w:top="640" w:right="620" w:bottom="0" w:left="620" w:header="720" w:footer="720" w:gutter="0"/>
          <w:cols w:num="2" w:space="720" w:equalWidth="0">
            <w:col w:w="3710" w:space="158"/>
            <w:col w:w="3852"/>
          </w:cols>
        </w:sectPr>
      </w:pPr>
    </w:p>
    <w:p w:rsidR="00E675F0" w:rsidRDefault="00E675F0" w:rsidP="00E675F0">
      <w:pPr>
        <w:pStyle w:val="BodyText"/>
      </w:pPr>
    </w:p>
    <w:p w:rsidR="00E675F0" w:rsidRDefault="00E675F0" w:rsidP="00E675F0">
      <w:pPr>
        <w:spacing w:before="229" w:line="249" w:lineRule="auto"/>
        <w:ind w:left="1451" w:right="1392" w:hanging="22"/>
        <w:rPr>
          <w:rFonts w:ascii="Arial"/>
          <w:b/>
          <w:sz w:val="25"/>
        </w:rPr>
      </w:pPr>
      <w:r>
        <w:rPr>
          <w:rFonts w:ascii="Arial"/>
          <w:b/>
          <w:w w:val="105"/>
          <w:sz w:val="25"/>
        </w:rPr>
        <w:t>Delirium, Dementia, and Amnestic and Other Cognitive Disorders Work Group</w:t>
      </w:r>
    </w:p>
    <w:p w:rsidR="00E675F0" w:rsidRDefault="00E675F0" w:rsidP="00E675F0">
      <w:pPr>
        <w:pStyle w:val="BodyText"/>
        <w:spacing w:before="8"/>
        <w:rPr>
          <w:rFonts w:ascii="Arial"/>
          <w:b/>
          <w:sz w:val="12"/>
        </w:rPr>
      </w:pPr>
    </w:p>
    <w:p w:rsidR="00E675F0" w:rsidRDefault="00E675F0" w:rsidP="00E675F0">
      <w:pPr>
        <w:rPr>
          <w:rFonts w:ascii="Arial"/>
          <w:sz w:val="12"/>
        </w:rPr>
        <w:sectPr w:rsidR="00E675F0">
          <w:type w:val="continuous"/>
          <w:pgSz w:w="8960" w:h="14260"/>
          <w:pgMar w:top="640" w:right="620" w:bottom="0" w:left="620" w:header="720" w:footer="720" w:gutter="0"/>
          <w:cols w:space="720"/>
        </w:sectPr>
      </w:pPr>
    </w:p>
    <w:p w:rsidR="00E675F0" w:rsidRDefault="00E675F0" w:rsidP="00E675F0">
      <w:pPr>
        <w:spacing w:before="92" w:line="254" w:lineRule="auto"/>
        <w:ind w:left="140" w:right="22" w:hanging="3"/>
        <w:rPr>
          <w:sz w:val="20"/>
        </w:rPr>
      </w:pPr>
      <w:r>
        <w:rPr>
          <w:w w:val="105"/>
          <w:sz w:val="20"/>
        </w:rPr>
        <w:t xml:space="preserve">Gary J. Tucker, M.D., </w:t>
      </w:r>
      <w:r>
        <w:rPr>
          <w:i/>
          <w:w w:val="105"/>
          <w:sz w:val="20"/>
        </w:rPr>
        <w:t xml:space="preserve">Chairperson </w:t>
      </w:r>
      <w:r>
        <w:rPr>
          <w:w w:val="105"/>
          <w:sz w:val="20"/>
        </w:rPr>
        <w:t xml:space="preserve">Michael Popkin, M.D., </w:t>
      </w:r>
      <w:r>
        <w:rPr>
          <w:i/>
          <w:w w:val="105"/>
          <w:sz w:val="20"/>
        </w:rPr>
        <w:t xml:space="preserve">Vice-Chairperson </w:t>
      </w:r>
      <w:r>
        <w:rPr>
          <w:w w:val="105"/>
          <w:sz w:val="20"/>
        </w:rPr>
        <w:t>Eric Douglas Caine, M.D.</w:t>
      </w:r>
    </w:p>
    <w:p w:rsidR="00E675F0" w:rsidRDefault="00E675F0" w:rsidP="00E675F0">
      <w:pPr>
        <w:pStyle w:val="BodyText"/>
        <w:spacing w:line="229" w:lineRule="exact"/>
        <w:ind w:left="141"/>
      </w:pPr>
      <w:r>
        <w:t>Marshall Folstein, M.D.</w:t>
      </w:r>
    </w:p>
    <w:p w:rsidR="00E675F0" w:rsidRDefault="00E675F0" w:rsidP="00E675F0">
      <w:pPr>
        <w:pStyle w:val="BodyText"/>
        <w:spacing w:before="92" w:line="254" w:lineRule="auto"/>
        <w:ind w:left="140" w:right="1520" w:hanging="4"/>
      </w:pPr>
      <w:r>
        <w:br w:type="column"/>
      </w:r>
      <w:r>
        <w:t>Gary Lloyd Gottlieb, M.D. Igor Grant,  M.D. Benjamin Liptzin,</w:t>
      </w:r>
      <w:r>
        <w:rPr>
          <w:spacing w:val="-7"/>
        </w:rPr>
        <w:t xml:space="preserve"> </w:t>
      </w:r>
      <w:r>
        <w:t>M.D.</w:t>
      </w:r>
    </w:p>
    <w:p w:rsidR="00E675F0" w:rsidRDefault="00E675F0" w:rsidP="00E675F0">
      <w:pPr>
        <w:spacing w:line="254" w:lineRule="auto"/>
        <w:sectPr w:rsidR="00E675F0">
          <w:type w:val="continuous"/>
          <w:pgSz w:w="8960" w:h="14260"/>
          <w:pgMar w:top="640" w:right="620" w:bottom="0" w:left="620" w:header="720" w:footer="720" w:gutter="0"/>
          <w:cols w:num="2" w:space="720" w:equalWidth="0">
            <w:col w:w="3676" w:space="192"/>
            <w:col w:w="3852"/>
          </w:cols>
        </w:sectPr>
      </w:pPr>
    </w:p>
    <w:p w:rsidR="00E675F0" w:rsidRDefault="00E675F0" w:rsidP="00E675F0">
      <w:pPr>
        <w:pStyle w:val="BodyText"/>
      </w:pPr>
    </w:p>
    <w:p w:rsidR="00E675F0" w:rsidRDefault="00E675F0" w:rsidP="00E675F0">
      <w:pPr>
        <w:spacing w:before="247" w:line="256" w:lineRule="auto"/>
        <w:ind w:left="1344" w:hanging="613"/>
        <w:rPr>
          <w:rFonts w:ascii="Arial"/>
          <w:b/>
          <w:sz w:val="25"/>
        </w:rPr>
      </w:pPr>
      <w:r>
        <w:rPr>
          <w:rFonts w:ascii="Arial"/>
          <w:b/>
          <w:w w:val="105"/>
          <w:sz w:val="25"/>
        </w:rPr>
        <w:t>Disorders Usually First Diagnosed During Infancy, Childhood, or Adolescence Work Group</w:t>
      </w:r>
    </w:p>
    <w:p w:rsidR="00E675F0" w:rsidRDefault="00E675F0" w:rsidP="00E675F0">
      <w:pPr>
        <w:pStyle w:val="BodyText"/>
        <w:spacing w:before="7"/>
        <w:rPr>
          <w:rFonts w:ascii="Arial"/>
          <w:b/>
          <w:sz w:val="11"/>
        </w:rPr>
      </w:pPr>
    </w:p>
    <w:p w:rsidR="00E675F0" w:rsidRDefault="00E675F0" w:rsidP="00E675F0">
      <w:pPr>
        <w:rPr>
          <w:rFonts w:ascii="Arial"/>
          <w:sz w:val="11"/>
        </w:rPr>
        <w:sectPr w:rsidR="00E675F0">
          <w:type w:val="continuous"/>
          <w:pgSz w:w="8960" w:h="14260"/>
          <w:pgMar w:top="640" w:right="620" w:bottom="0" w:left="620" w:header="720" w:footer="720" w:gutter="0"/>
          <w:cols w:space="720"/>
        </w:sectPr>
      </w:pPr>
    </w:p>
    <w:p w:rsidR="00E675F0" w:rsidRDefault="00E675F0" w:rsidP="00E675F0">
      <w:pPr>
        <w:spacing w:before="94" w:line="237" w:lineRule="auto"/>
        <w:ind w:left="136" w:firstLine="4"/>
        <w:rPr>
          <w:sz w:val="20"/>
        </w:rPr>
      </w:pPr>
      <w:r>
        <w:rPr>
          <w:sz w:val="20"/>
        </w:rPr>
        <w:t xml:space="preserve">David Shaffer, M.D., </w:t>
      </w:r>
      <w:r>
        <w:rPr>
          <w:i/>
          <w:sz w:val="20"/>
        </w:rPr>
        <w:t xml:space="preserve">Co-Chairperson </w:t>
      </w:r>
      <w:r>
        <w:rPr>
          <w:sz w:val="20"/>
        </w:rPr>
        <w:t xml:space="preserve">Magda Campbell, M.D., </w:t>
      </w:r>
      <w:r>
        <w:rPr>
          <w:i/>
          <w:sz w:val="20"/>
        </w:rPr>
        <w:t xml:space="preserve">Co-Chairperson </w:t>
      </w:r>
      <w:r>
        <w:rPr>
          <w:sz w:val="20"/>
        </w:rPr>
        <w:t xml:space="preserve">Susan </w:t>
      </w:r>
      <w:r>
        <w:rPr>
          <w:sz w:val="24"/>
        </w:rPr>
        <w:t xml:space="preserve">J. </w:t>
      </w:r>
      <w:r>
        <w:rPr>
          <w:sz w:val="20"/>
        </w:rPr>
        <w:t>Bradley, M.D.</w:t>
      </w:r>
    </w:p>
    <w:p w:rsidR="00E675F0" w:rsidRDefault="00E675F0" w:rsidP="00E675F0">
      <w:pPr>
        <w:pStyle w:val="BodyText"/>
        <w:spacing w:line="254" w:lineRule="auto"/>
        <w:ind w:left="140" w:right="1216"/>
      </w:pPr>
      <w:r>
        <w:rPr>
          <w:w w:val="105"/>
        </w:rPr>
        <w:t xml:space="preserve">Dennis P. Cantwell, M.D. Gabrielle </w:t>
      </w:r>
      <w:r>
        <w:rPr>
          <w:w w:val="105"/>
          <w:sz w:val="18"/>
        </w:rPr>
        <w:t xml:space="preserve">A. </w:t>
      </w:r>
      <w:r>
        <w:rPr>
          <w:w w:val="105"/>
        </w:rPr>
        <w:t>Carlson, M.D. Donald Jay Cohen, M.D. Barry Garfinkel, M.D. Rachel Klein, Ph.D.</w:t>
      </w:r>
    </w:p>
    <w:p w:rsidR="00E675F0" w:rsidRDefault="00E675F0" w:rsidP="00E675F0">
      <w:pPr>
        <w:pStyle w:val="BodyText"/>
        <w:spacing w:before="92" w:line="254" w:lineRule="auto"/>
        <w:ind w:left="136" w:right="1669" w:firstLine="24"/>
      </w:pPr>
      <w:r>
        <w:br w:type="column"/>
      </w:r>
      <w:r>
        <w:t>Benjamin Lahey, Ph.D. Rolf Loeber, Ph.D. Jeffrey Newcom, M.D. Rhea Paul, Ph.D.</w:t>
      </w:r>
    </w:p>
    <w:p w:rsidR="00E675F0" w:rsidRDefault="00E675F0" w:rsidP="00E675F0">
      <w:pPr>
        <w:pStyle w:val="BodyText"/>
        <w:spacing w:before="1" w:line="254" w:lineRule="auto"/>
        <w:ind w:left="152" w:right="1338" w:hanging="16"/>
      </w:pPr>
      <w:r>
        <w:t xml:space="preserve">Judith H. </w:t>
      </w:r>
      <w:r>
        <w:rPr>
          <w:rFonts w:ascii="Arial"/>
          <w:sz w:val="18"/>
        </w:rPr>
        <w:t xml:space="preserve">L. </w:t>
      </w:r>
      <w:r>
        <w:t>Rapoport, M.D. Sir Michael Rutter, M.D. Fred Volkmar,</w:t>
      </w:r>
      <w:r>
        <w:rPr>
          <w:spacing w:val="32"/>
        </w:rPr>
        <w:t xml:space="preserve"> </w:t>
      </w:r>
      <w:r>
        <w:t>M.D.</w:t>
      </w:r>
    </w:p>
    <w:p w:rsidR="00E675F0" w:rsidRDefault="00E675F0" w:rsidP="00E675F0">
      <w:pPr>
        <w:pStyle w:val="BodyText"/>
        <w:spacing w:line="224" w:lineRule="exact"/>
        <w:ind w:left="136"/>
      </w:pPr>
      <w:r>
        <w:t>John S.  Werry,</w:t>
      </w:r>
      <w:r>
        <w:rPr>
          <w:spacing w:val="5"/>
        </w:rPr>
        <w:t xml:space="preserve"> </w:t>
      </w:r>
      <w:r>
        <w:t>M.D.</w:t>
      </w:r>
    </w:p>
    <w:p w:rsidR="00E675F0" w:rsidRDefault="00E675F0" w:rsidP="00E675F0">
      <w:pPr>
        <w:spacing w:line="224" w:lineRule="exact"/>
        <w:sectPr w:rsidR="00E675F0">
          <w:type w:val="continuous"/>
          <w:pgSz w:w="8960" w:h="14260"/>
          <w:pgMar w:top="640" w:right="620" w:bottom="0" w:left="620" w:header="720" w:footer="720" w:gutter="0"/>
          <w:cols w:num="2" w:space="720" w:equalWidth="0">
            <w:col w:w="3643" w:space="209"/>
            <w:col w:w="3868"/>
          </w:cols>
        </w:sectPr>
      </w:pPr>
    </w:p>
    <w:p w:rsidR="00E675F0" w:rsidRDefault="00E675F0" w:rsidP="00E675F0">
      <w:pPr>
        <w:pStyle w:val="BodyText"/>
      </w:pPr>
    </w:p>
    <w:p w:rsidR="00E675F0" w:rsidRDefault="00E675F0" w:rsidP="00E675F0">
      <w:pPr>
        <w:spacing w:before="215"/>
        <w:ind w:left="136" w:right="94"/>
        <w:jc w:val="center"/>
        <w:rPr>
          <w:rFonts w:ascii="Arial"/>
          <w:b/>
          <w:sz w:val="25"/>
        </w:rPr>
      </w:pPr>
      <w:r>
        <w:rPr>
          <w:rFonts w:ascii="Arial"/>
          <w:b/>
          <w:w w:val="105"/>
          <w:sz w:val="25"/>
        </w:rPr>
        <w:t>Eating Disorders Work Group</w:t>
      </w:r>
    </w:p>
    <w:p w:rsidR="00E675F0" w:rsidRDefault="00E675F0" w:rsidP="00E675F0">
      <w:pPr>
        <w:pStyle w:val="BodyText"/>
        <w:spacing w:before="11"/>
        <w:rPr>
          <w:rFonts w:ascii="Arial"/>
          <w:b/>
          <w:sz w:val="12"/>
        </w:rPr>
      </w:pPr>
    </w:p>
    <w:p w:rsidR="00E675F0" w:rsidRDefault="00E675F0" w:rsidP="00E675F0">
      <w:pPr>
        <w:rPr>
          <w:rFonts w:ascii="Arial"/>
          <w:sz w:val="12"/>
        </w:rPr>
        <w:sectPr w:rsidR="00E675F0">
          <w:type w:val="continuous"/>
          <w:pgSz w:w="8960" w:h="14260"/>
          <w:pgMar w:top="640" w:right="620" w:bottom="0" w:left="620" w:header="720" w:footer="720" w:gutter="0"/>
          <w:cols w:space="720"/>
        </w:sectPr>
      </w:pPr>
    </w:p>
    <w:p w:rsidR="00E675F0" w:rsidRDefault="00E675F0" w:rsidP="00E675F0">
      <w:pPr>
        <w:spacing w:before="92"/>
        <w:ind w:left="145"/>
        <w:rPr>
          <w:i/>
          <w:sz w:val="20"/>
        </w:rPr>
      </w:pPr>
      <w:r>
        <w:rPr>
          <w:w w:val="105"/>
          <w:sz w:val="18"/>
        </w:rPr>
        <w:t xml:space="preserve">B. </w:t>
      </w:r>
      <w:r>
        <w:rPr>
          <w:w w:val="105"/>
          <w:sz w:val="20"/>
        </w:rPr>
        <w:t xml:space="preserve">Timothy Walsh, M.D., </w:t>
      </w:r>
      <w:r>
        <w:rPr>
          <w:i/>
          <w:w w:val="105"/>
          <w:sz w:val="20"/>
        </w:rPr>
        <w:t>Chairperson</w:t>
      </w:r>
    </w:p>
    <w:p w:rsidR="00E675F0" w:rsidRDefault="00E675F0" w:rsidP="00E675F0">
      <w:pPr>
        <w:pStyle w:val="BodyText"/>
        <w:spacing w:before="10" w:line="252" w:lineRule="auto"/>
        <w:ind w:left="145" w:right="827"/>
      </w:pPr>
      <w:r>
        <w:t>Paul Garfinkel, M.D. Katherine A. Halmi, M.D.</w:t>
      </w:r>
    </w:p>
    <w:p w:rsidR="00E675F0" w:rsidRDefault="00E675F0" w:rsidP="00E675F0">
      <w:pPr>
        <w:pStyle w:val="BodyText"/>
        <w:spacing w:before="97"/>
        <w:ind w:left="145"/>
      </w:pPr>
      <w:r>
        <w:br w:type="column"/>
      </w:r>
      <w:r>
        <w:t>James Mitchell, M.D.</w:t>
      </w:r>
    </w:p>
    <w:p w:rsidR="00E675F0" w:rsidRDefault="00E675F0" w:rsidP="00E675F0">
      <w:pPr>
        <w:pStyle w:val="BodyText"/>
        <w:spacing w:before="5"/>
        <w:ind w:left="171"/>
      </w:pPr>
      <w:r>
        <w:rPr>
          <w:w w:val="105"/>
        </w:rPr>
        <w:t>G. Terence Wilson, Ph.D.</w:t>
      </w:r>
    </w:p>
    <w:p w:rsidR="00E675F0" w:rsidRDefault="00E675F0" w:rsidP="00E675F0">
      <w:pPr>
        <w:sectPr w:rsidR="00E675F0">
          <w:type w:val="continuous"/>
          <w:pgSz w:w="8960" w:h="14260"/>
          <w:pgMar w:top="640" w:right="620" w:bottom="0" w:left="620" w:header="720" w:footer="720" w:gutter="0"/>
          <w:cols w:num="2" w:space="720" w:equalWidth="0">
            <w:col w:w="3435" w:space="407"/>
            <w:col w:w="3878"/>
          </w:cols>
        </w:sectPr>
      </w:pPr>
    </w:p>
    <w:p w:rsidR="00E675F0" w:rsidRDefault="00E675F0" w:rsidP="00E675F0">
      <w:pPr>
        <w:pStyle w:val="BodyText"/>
      </w:pPr>
    </w:p>
    <w:p w:rsidR="00E675F0" w:rsidRDefault="00E675F0" w:rsidP="00E675F0">
      <w:pPr>
        <w:spacing w:before="235"/>
        <w:ind w:left="136" w:right="91"/>
        <w:jc w:val="center"/>
        <w:rPr>
          <w:rFonts w:ascii="Arial"/>
          <w:b/>
          <w:sz w:val="25"/>
        </w:rPr>
      </w:pPr>
      <w:r>
        <w:rPr>
          <w:rFonts w:ascii="Arial"/>
          <w:b/>
          <w:w w:val="105"/>
          <w:sz w:val="25"/>
        </w:rPr>
        <w:t>Mood Disorders Work Group</w:t>
      </w:r>
    </w:p>
    <w:p w:rsidR="00E675F0" w:rsidRDefault="00E675F0" w:rsidP="00E675F0">
      <w:pPr>
        <w:pStyle w:val="BodyText"/>
        <w:spacing w:before="4"/>
        <w:rPr>
          <w:rFonts w:ascii="Arial"/>
          <w:b/>
          <w:sz w:val="13"/>
        </w:rPr>
      </w:pPr>
    </w:p>
    <w:p w:rsidR="00E675F0" w:rsidRDefault="00E675F0" w:rsidP="00E675F0">
      <w:pPr>
        <w:rPr>
          <w:rFonts w:ascii="Arial"/>
          <w:sz w:val="13"/>
        </w:rPr>
        <w:sectPr w:rsidR="00E675F0">
          <w:type w:val="continuous"/>
          <w:pgSz w:w="8960" w:h="14260"/>
          <w:pgMar w:top="640" w:right="620" w:bottom="0" w:left="620" w:header="720" w:footer="720" w:gutter="0"/>
          <w:cols w:space="720"/>
        </w:sectPr>
      </w:pPr>
    </w:p>
    <w:p w:rsidR="00E675F0" w:rsidRDefault="00E675F0" w:rsidP="00E675F0">
      <w:pPr>
        <w:spacing w:before="92"/>
        <w:ind w:left="144"/>
        <w:rPr>
          <w:i/>
          <w:sz w:val="20"/>
        </w:rPr>
      </w:pPr>
      <w:r>
        <w:rPr>
          <w:rFonts w:ascii="Arial"/>
          <w:w w:val="105"/>
          <w:sz w:val="18"/>
        </w:rPr>
        <w:t xml:space="preserve">A. </w:t>
      </w:r>
      <w:r>
        <w:rPr>
          <w:w w:val="105"/>
          <w:sz w:val="20"/>
        </w:rPr>
        <w:t xml:space="preserve">John Rush, M.D., </w:t>
      </w:r>
      <w:r>
        <w:rPr>
          <w:i/>
          <w:w w:val="105"/>
          <w:sz w:val="20"/>
        </w:rPr>
        <w:t>Chairperson</w:t>
      </w:r>
    </w:p>
    <w:p w:rsidR="00E675F0" w:rsidRDefault="00E675F0" w:rsidP="00E675F0">
      <w:pPr>
        <w:spacing w:before="10"/>
        <w:ind w:left="141"/>
        <w:rPr>
          <w:i/>
          <w:sz w:val="20"/>
        </w:rPr>
      </w:pPr>
      <w:r>
        <w:rPr>
          <w:sz w:val="20"/>
        </w:rPr>
        <w:t xml:space="preserve">Martin B. Keller, M.D., </w:t>
      </w:r>
      <w:r>
        <w:rPr>
          <w:i/>
          <w:sz w:val="20"/>
        </w:rPr>
        <w:t>Vice-Chairperson</w:t>
      </w:r>
    </w:p>
    <w:p w:rsidR="00E675F0" w:rsidRDefault="00E675F0" w:rsidP="00E675F0">
      <w:pPr>
        <w:pStyle w:val="BodyText"/>
        <w:spacing w:before="20"/>
        <w:ind w:left="145"/>
      </w:pPr>
      <w:r>
        <w:t>Mark S. Bauer, M.D.</w:t>
      </w:r>
    </w:p>
    <w:p w:rsidR="00E675F0" w:rsidRDefault="00E675F0" w:rsidP="00E675F0">
      <w:pPr>
        <w:pStyle w:val="BodyText"/>
        <w:spacing w:before="92" w:line="256" w:lineRule="auto"/>
        <w:ind w:left="141" w:right="1644" w:firstLine="5"/>
      </w:pPr>
      <w:r>
        <w:br w:type="column"/>
      </w:r>
      <w:r>
        <w:t>David Dunner, M.D. Ellen Frank, Ph.D. Donald F. Klein, M.D.</w:t>
      </w:r>
    </w:p>
    <w:p w:rsidR="00E675F0" w:rsidRDefault="00E675F0" w:rsidP="00E675F0">
      <w:pPr>
        <w:spacing w:line="256" w:lineRule="auto"/>
        <w:sectPr w:rsidR="00E675F0">
          <w:type w:val="continuous"/>
          <w:pgSz w:w="8960" w:h="14260"/>
          <w:pgMar w:top="640" w:right="620" w:bottom="0" w:left="620" w:header="720" w:footer="720" w:gutter="0"/>
          <w:cols w:num="2" w:space="720" w:equalWidth="0">
            <w:col w:w="3695" w:space="176"/>
            <w:col w:w="3849"/>
          </w:cols>
        </w:sectPr>
      </w:pPr>
    </w:p>
    <w:p w:rsidR="00E675F0" w:rsidRDefault="00E675F0" w:rsidP="00E675F0">
      <w:pPr>
        <w:tabs>
          <w:tab w:val="left" w:pos="7388"/>
        </w:tabs>
        <w:spacing w:before="61"/>
        <w:ind w:left="4842"/>
        <w:rPr>
          <w:b/>
        </w:rPr>
      </w:pPr>
      <w:r>
        <w:rPr>
          <w:noProof/>
        </w:rPr>
        <w:lastRenderedPageBreak/>
        <mc:AlternateContent>
          <mc:Choice Requires="wps">
            <w:drawing>
              <wp:anchor distT="0" distB="0" distL="0" distR="0" simplePos="0" relativeHeight="251817984" behindDoc="1" locked="0" layoutInCell="1" allowOverlap="1" wp14:anchorId="6A15D8ED" wp14:editId="632FF568">
                <wp:simplePos x="0" y="0"/>
                <wp:positionH relativeFrom="page">
                  <wp:posOffset>470535</wp:posOffset>
                </wp:positionH>
                <wp:positionV relativeFrom="paragraph">
                  <wp:posOffset>233045</wp:posOffset>
                </wp:positionV>
                <wp:extent cx="4755515" cy="1270"/>
                <wp:effectExtent l="0" t="0" r="0" b="0"/>
                <wp:wrapTopAndBottom/>
                <wp:docPr id="1726" name="Freeform 1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55515" cy="1270"/>
                        </a:xfrm>
                        <a:custGeom>
                          <a:avLst/>
                          <a:gdLst>
                            <a:gd name="T0" fmla="+- 0 741 741"/>
                            <a:gd name="T1" fmla="*/ T0 w 7489"/>
                            <a:gd name="T2" fmla="+- 0 8230 741"/>
                            <a:gd name="T3" fmla="*/ T2 w 7489"/>
                          </a:gdLst>
                          <a:ahLst/>
                          <a:cxnLst>
                            <a:cxn ang="0">
                              <a:pos x="T1" y="0"/>
                            </a:cxn>
                            <a:cxn ang="0">
                              <a:pos x="T3" y="0"/>
                            </a:cxn>
                          </a:cxnLst>
                          <a:rect l="0" t="0" r="r" b="b"/>
                          <a:pathLst>
                            <a:path w="7489">
                              <a:moveTo>
                                <a:pt x="0" y="0"/>
                              </a:moveTo>
                              <a:lnTo>
                                <a:pt x="7489" y="0"/>
                              </a:lnTo>
                            </a:path>
                          </a:pathLst>
                        </a:custGeom>
                        <a:noFill/>
                        <a:ln w="610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E21FA" id="Freeform 1682" o:spid="_x0000_s1026" style="position:absolute;margin-left:37.05pt;margin-top:18.35pt;width:374.45pt;height:.1pt;z-index:-251498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489,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" path="m,l7489,e" filled="f" strokeweight=".16961mm">
                <v:path arrowok="t" o:connecttype="custom" o:connectlocs="0,0;4755515,0" o:connectangles="0,0"/>
                <w10:wrap type="topAndBottom" anchorx="page"/>
              </v:shape>
            </w:pict>
          </mc:Fallback>
        </mc:AlternateContent>
      </w:r>
      <w:r>
        <w:rPr>
          <w:rFonts w:ascii="Arial"/>
          <w:b/>
          <w:w w:val="110"/>
          <w:sz w:val="20"/>
        </w:rPr>
        <w:t>DSM-IV</w:t>
      </w:r>
      <w:r>
        <w:rPr>
          <w:rFonts w:ascii="Arial"/>
          <w:b/>
          <w:spacing w:val="-5"/>
          <w:w w:val="110"/>
          <w:sz w:val="20"/>
        </w:rPr>
        <w:t xml:space="preserve"> </w:t>
      </w:r>
      <w:r>
        <w:rPr>
          <w:rFonts w:ascii="Arial"/>
          <w:b/>
          <w:w w:val="110"/>
          <w:sz w:val="20"/>
        </w:rPr>
        <w:t>Work</w:t>
      </w:r>
      <w:r>
        <w:rPr>
          <w:rFonts w:ascii="Arial"/>
          <w:b/>
          <w:spacing w:val="-10"/>
          <w:w w:val="110"/>
          <w:sz w:val="20"/>
        </w:rPr>
        <w:t xml:space="preserve"> </w:t>
      </w:r>
      <w:r>
        <w:rPr>
          <w:rFonts w:ascii="Arial"/>
          <w:b/>
          <w:w w:val="110"/>
          <w:sz w:val="20"/>
        </w:rPr>
        <w:t>Groups</w:t>
      </w:r>
      <w:r>
        <w:rPr>
          <w:rFonts w:ascii="Arial"/>
          <w:b/>
          <w:w w:val="110"/>
          <w:sz w:val="20"/>
        </w:rPr>
        <w:tab/>
      </w:r>
      <w:r>
        <w:rPr>
          <w:b/>
          <w:w w:val="110"/>
        </w:rPr>
        <w:t>xi</w:t>
      </w:r>
    </w:p>
    <w:p w:rsidR="00E675F0" w:rsidRDefault="00E675F0" w:rsidP="00E675F0">
      <w:pPr>
        <w:pStyle w:val="BodyText"/>
        <w:rPr>
          <w:b/>
          <w:sz w:val="24"/>
        </w:rPr>
      </w:pPr>
    </w:p>
    <w:p w:rsidR="00E675F0" w:rsidRDefault="00E675F0" w:rsidP="00E675F0">
      <w:pPr>
        <w:pStyle w:val="BodyText"/>
        <w:rPr>
          <w:b/>
          <w:sz w:val="22"/>
        </w:rPr>
      </w:pPr>
    </w:p>
    <w:p w:rsidR="00E675F0" w:rsidRDefault="00E675F0" w:rsidP="00E675F0">
      <w:pPr>
        <w:ind w:left="117" w:right="119"/>
        <w:jc w:val="center"/>
        <w:rPr>
          <w:rFonts w:ascii="Arial"/>
          <w:b/>
          <w:sz w:val="25"/>
        </w:rPr>
      </w:pPr>
      <w:r>
        <w:rPr>
          <w:rFonts w:ascii="Arial"/>
          <w:b/>
          <w:w w:val="110"/>
          <w:sz w:val="25"/>
        </w:rPr>
        <w:t>Multiaxial Issues Work Group</w:t>
      </w:r>
    </w:p>
    <w:p w:rsidR="00E675F0" w:rsidRDefault="00E675F0" w:rsidP="00E675F0">
      <w:pPr>
        <w:pStyle w:val="BodyText"/>
        <w:spacing w:before="9"/>
        <w:rPr>
          <w:rFonts w:ascii="Arial"/>
          <w:b/>
          <w:sz w:val="13"/>
        </w:rPr>
      </w:pPr>
    </w:p>
    <w:p w:rsidR="00E675F0" w:rsidRDefault="00E675F0" w:rsidP="00E675F0">
      <w:pPr>
        <w:rPr>
          <w:rFonts w:ascii="Arial"/>
          <w:sz w:val="13"/>
        </w:rPr>
        <w:sectPr w:rsidR="00E675F0">
          <w:headerReference w:type="even" r:id="rId19"/>
          <w:pgSz w:w="8960" w:h="14260"/>
          <w:pgMar w:top="600" w:right="620" w:bottom="280" w:left="620" w:header="0" w:footer="0" w:gutter="0"/>
          <w:cols w:space="720"/>
        </w:sectPr>
      </w:pPr>
    </w:p>
    <w:p w:rsidR="00E675F0" w:rsidRDefault="00E675F0" w:rsidP="00E675F0">
      <w:pPr>
        <w:spacing w:before="92"/>
        <w:ind w:left="112"/>
        <w:rPr>
          <w:sz w:val="19"/>
        </w:rPr>
      </w:pPr>
      <w:r>
        <w:rPr>
          <w:w w:val="105"/>
          <w:sz w:val="19"/>
        </w:rPr>
        <w:t>Janet B. W. Williams, D.S.W.,</w:t>
      </w:r>
    </w:p>
    <w:p w:rsidR="00E675F0" w:rsidRDefault="00E675F0" w:rsidP="00E675F0">
      <w:pPr>
        <w:spacing w:before="8"/>
        <w:ind w:left="387"/>
        <w:rPr>
          <w:i/>
          <w:sz w:val="20"/>
        </w:rPr>
      </w:pPr>
      <w:r>
        <w:rPr>
          <w:i/>
          <w:w w:val="105"/>
          <w:sz w:val="20"/>
        </w:rPr>
        <w:t>Chairperson</w:t>
      </w:r>
    </w:p>
    <w:p w:rsidR="00E675F0" w:rsidRDefault="00E675F0" w:rsidP="00E675F0">
      <w:pPr>
        <w:spacing w:before="25"/>
        <w:ind w:left="137"/>
        <w:rPr>
          <w:sz w:val="19"/>
        </w:rPr>
      </w:pPr>
      <w:r>
        <w:rPr>
          <w:w w:val="110"/>
          <w:sz w:val="19"/>
        </w:rPr>
        <w:t>Howard H. Goldman, M.D., Ph.D.,</w:t>
      </w:r>
    </w:p>
    <w:p w:rsidR="00E675F0" w:rsidRDefault="00E675F0" w:rsidP="00E675F0">
      <w:pPr>
        <w:spacing w:before="17"/>
        <w:ind w:left="385"/>
        <w:rPr>
          <w:i/>
          <w:sz w:val="20"/>
        </w:rPr>
      </w:pPr>
      <w:r>
        <w:rPr>
          <w:i/>
          <w:w w:val="105"/>
          <w:sz w:val="20"/>
        </w:rPr>
        <w:t>Vice-Chairperson</w:t>
      </w:r>
    </w:p>
    <w:p w:rsidR="00E675F0" w:rsidRDefault="00E675F0" w:rsidP="00E675F0">
      <w:pPr>
        <w:spacing w:before="25"/>
        <w:ind w:left="134"/>
        <w:rPr>
          <w:sz w:val="19"/>
        </w:rPr>
      </w:pPr>
      <w:r>
        <w:rPr>
          <w:w w:val="110"/>
          <w:sz w:val="19"/>
        </w:rPr>
        <w:t>Alan M. Gruenberg, M.D.</w:t>
      </w:r>
    </w:p>
    <w:p w:rsidR="00E675F0" w:rsidRDefault="00E675F0" w:rsidP="00E675F0">
      <w:pPr>
        <w:spacing w:before="97" w:line="259" w:lineRule="auto"/>
        <w:ind w:left="137" w:right="431" w:hanging="25"/>
        <w:rPr>
          <w:sz w:val="19"/>
        </w:rPr>
      </w:pPr>
      <w:r>
        <w:br w:type="column"/>
      </w:r>
      <w:r>
        <w:rPr>
          <w:w w:val="105"/>
          <w:sz w:val="19"/>
        </w:rPr>
        <w:t>Juan Enrique Mezzich, M.D., Ph.D. Roger Peele, M.D.</w:t>
      </w:r>
    </w:p>
    <w:p w:rsidR="00E675F0" w:rsidRDefault="00E675F0" w:rsidP="00E675F0">
      <w:pPr>
        <w:spacing w:before="9" w:line="264" w:lineRule="auto"/>
        <w:ind w:left="134" w:right="958" w:hanging="6"/>
        <w:rPr>
          <w:sz w:val="19"/>
        </w:rPr>
      </w:pPr>
      <w:r>
        <w:rPr>
          <w:w w:val="110"/>
          <w:sz w:val="19"/>
        </w:rPr>
        <w:t>Stephen Setterberg, M.D. Andrew Edward Skodol II, M.D.</w:t>
      </w:r>
    </w:p>
    <w:p w:rsidR="00E675F0" w:rsidRDefault="00E675F0" w:rsidP="00E675F0">
      <w:pPr>
        <w:spacing w:line="264" w:lineRule="auto"/>
        <w:rPr>
          <w:sz w:val="19"/>
        </w:rPr>
        <w:sectPr w:rsidR="00E675F0">
          <w:type w:val="continuous"/>
          <w:pgSz w:w="8960" w:h="14260"/>
          <w:pgMar w:top="640" w:right="620" w:bottom="0" w:left="620" w:header="720" w:footer="720" w:gutter="0"/>
          <w:cols w:num="2" w:space="720" w:equalWidth="0">
            <w:col w:w="3148" w:space="702"/>
            <w:col w:w="3870"/>
          </w:cols>
        </w:sectPr>
      </w:pPr>
    </w:p>
    <w:p w:rsidR="00E675F0" w:rsidRDefault="00E675F0" w:rsidP="00E675F0">
      <w:pPr>
        <w:pStyle w:val="BodyText"/>
      </w:pPr>
    </w:p>
    <w:p w:rsidR="00E675F0" w:rsidRDefault="00E675F0" w:rsidP="00E675F0">
      <w:pPr>
        <w:pStyle w:val="BodyText"/>
        <w:rPr>
          <w:sz w:val="22"/>
        </w:rPr>
      </w:pPr>
    </w:p>
    <w:p w:rsidR="00E675F0" w:rsidRDefault="00E675F0" w:rsidP="00E675F0">
      <w:pPr>
        <w:spacing w:before="1"/>
        <w:ind w:left="121" w:right="119"/>
        <w:jc w:val="center"/>
        <w:rPr>
          <w:rFonts w:ascii="Arial"/>
          <w:b/>
          <w:sz w:val="25"/>
        </w:rPr>
      </w:pPr>
      <w:r>
        <w:rPr>
          <w:rFonts w:ascii="Arial"/>
          <w:b/>
          <w:w w:val="105"/>
          <w:sz w:val="25"/>
        </w:rPr>
        <w:t>Personality Disorders Work Group</w:t>
      </w:r>
    </w:p>
    <w:p w:rsidR="00E675F0" w:rsidRDefault="00E675F0" w:rsidP="00E675F0">
      <w:pPr>
        <w:pStyle w:val="BodyText"/>
        <w:spacing w:before="4"/>
        <w:rPr>
          <w:rFonts w:ascii="Arial"/>
          <w:b/>
          <w:sz w:val="13"/>
        </w:rPr>
      </w:pPr>
    </w:p>
    <w:p w:rsidR="00E675F0" w:rsidRDefault="00E675F0" w:rsidP="00E675F0">
      <w:pPr>
        <w:rPr>
          <w:rFonts w:ascii="Arial"/>
          <w:sz w:val="13"/>
        </w:rPr>
        <w:sectPr w:rsidR="00E675F0">
          <w:type w:val="continuous"/>
          <w:pgSz w:w="8960" w:h="14260"/>
          <w:pgMar w:top="640" w:right="620" w:bottom="0" w:left="620" w:header="720" w:footer="720" w:gutter="0"/>
          <w:cols w:space="720"/>
        </w:sectPr>
      </w:pPr>
    </w:p>
    <w:p w:rsidR="00E675F0" w:rsidRDefault="00E675F0" w:rsidP="00E675F0">
      <w:pPr>
        <w:spacing w:before="92"/>
        <w:ind w:left="107"/>
        <w:rPr>
          <w:i/>
          <w:sz w:val="20"/>
        </w:rPr>
      </w:pPr>
      <w:r>
        <w:rPr>
          <w:w w:val="110"/>
          <w:sz w:val="19"/>
        </w:rPr>
        <w:t xml:space="preserve">John Gunderson, M.D., </w:t>
      </w:r>
      <w:r>
        <w:rPr>
          <w:i/>
          <w:w w:val="110"/>
          <w:sz w:val="20"/>
        </w:rPr>
        <w:t>Chairperson</w:t>
      </w:r>
    </w:p>
    <w:p w:rsidR="00E675F0" w:rsidRDefault="00E675F0" w:rsidP="00E675F0">
      <w:pPr>
        <w:spacing w:before="20"/>
        <w:ind w:left="132"/>
        <w:rPr>
          <w:sz w:val="19"/>
        </w:rPr>
      </w:pPr>
      <w:r>
        <w:rPr>
          <w:w w:val="105"/>
          <w:sz w:val="19"/>
        </w:rPr>
        <w:t>Robert M.A. Hirschfeld, M.D.,</w:t>
      </w:r>
    </w:p>
    <w:p w:rsidR="00E675F0" w:rsidRDefault="00E675F0" w:rsidP="00E675F0">
      <w:pPr>
        <w:spacing w:before="17" w:line="268" w:lineRule="auto"/>
        <w:ind w:left="128" w:right="937" w:firstLine="251"/>
        <w:rPr>
          <w:sz w:val="19"/>
        </w:rPr>
      </w:pPr>
      <w:r>
        <w:rPr>
          <w:i/>
          <w:w w:val="105"/>
          <w:sz w:val="20"/>
        </w:rPr>
        <w:t xml:space="preserve">Vice-Chairperson </w:t>
      </w:r>
      <w:r>
        <w:rPr>
          <w:w w:val="105"/>
          <w:sz w:val="19"/>
        </w:rPr>
        <w:t>Roger Blashfield, Ph.D. Susan Jean Fiester, M.D.</w:t>
      </w:r>
    </w:p>
    <w:p w:rsidR="00E675F0" w:rsidRDefault="00E675F0" w:rsidP="00E675F0">
      <w:pPr>
        <w:spacing w:before="106" w:line="266" w:lineRule="auto"/>
        <w:ind w:left="107" w:right="1751"/>
        <w:rPr>
          <w:sz w:val="19"/>
        </w:rPr>
      </w:pPr>
      <w:r>
        <w:br w:type="column"/>
      </w:r>
      <w:r>
        <w:rPr>
          <w:w w:val="105"/>
          <w:sz w:val="19"/>
        </w:rPr>
        <w:t>Theodore Millon, Ph.D. Bruce Ffohl, M.D. Tracie  Shea,  Ph.D. Larry Siever,</w:t>
      </w:r>
      <w:r>
        <w:rPr>
          <w:spacing w:val="27"/>
          <w:w w:val="105"/>
          <w:sz w:val="19"/>
        </w:rPr>
        <w:t xml:space="preserve"> </w:t>
      </w:r>
      <w:r>
        <w:rPr>
          <w:w w:val="105"/>
          <w:sz w:val="19"/>
        </w:rPr>
        <w:t>M.D.</w:t>
      </w:r>
    </w:p>
    <w:p w:rsidR="00E675F0" w:rsidRDefault="00E675F0" w:rsidP="00E675F0">
      <w:pPr>
        <w:spacing w:before="1"/>
        <w:ind w:left="107"/>
        <w:rPr>
          <w:sz w:val="19"/>
        </w:rPr>
      </w:pPr>
      <w:r>
        <w:rPr>
          <w:w w:val="105"/>
          <w:sz w:val="19"/>
        </w:rPr>
        <w:t>Thomas A. Widiger, Ph.D.</w:t>
      </w:r>
    </w:p>
    <w:p w:rsidR="00E675F0" w:rsidRDefault="00E675F0" w:rsidP="00E675F0">
      <w:pPr>
        <w:rPr>
          <w:sz w:val="19"/>
        </w:rPr>
        <w:sectPr w:rsidR="00E675F0">
          <w:type w:val="continuous"/>
          <w:pgSz w:w="8960" w:h="14260"/>
          <w:pgMar w:top="640" w:right="620" w:bottom="0" w:left="620" w:header="720" w:footer="720" w:gutter="0"/>
          <w:cols w:num="2" w:space="720" w:equalWidth="0">
            <w:col w:w="3289" w:space="584"/>
            <w:col w:w="3847"/>
          </w:cols>
        </w:sectPr>
      </w:pPr>
    </w:p>
    <w:p w:rsidR="00E675F0" w:rsidRDefault="00E675F0" w:rsidP="00E675F0">
      <w:pPr>
        <w:pStyle w:val="BodyText"/>
      </w:pPr>
    </w:p>
    <w:p w:rsidR="00E675F0" w:rsidRDefault="00E675F0" w:rsidP="00E675F0">
      <w:pPr>
        <w:spacing w:before="221"/>
        <w:ind w:left="57" w:right="119"/>
        <w:jc w:val="center"/>
        <w:rPr>
          <w:rFonts w:ascii="Arial"/>
          <w:b/>
          <w:sz w:val="25"/>
        </w:rPr>
      </w:pPr>
      <w:r>
        <w:rPr>
          <w:rFonts w:ascii="Arial"/>
          <w:b/>
          <w:w w:val="105"/>
          <w:sz w:val="25"/>
        </w:rPr>
        <w:t>Premenstrual Dysphoric Disorder Work Group</w:t>
      </w:r>
    </w:p>
    <w:p w:rsidR="00E675F0" w:rsidRDefault="00E675F0" w:rsidP="00E675F0">
      <w:pPr>
        <w:pStyle w:val="BodyText"/>
        <w:spacing w:before="4"/>
        <w:rPr>
          <w:rFonts w:ascii="Arial"/>
          <w:b/>
          <w:sz w:val="13"/>
        </w:rPr>
      </w:pPr>
    </w:p>
    <w:p w:rsidR="00E675F0" w:rsidRDefault="00E675F0" w:rsidP="00E675F0">
      <w:pPr>
        <w:rPr>
          <w:rFonts w:ascii="Arial"/>
          <w:sz w:val="13"/>
        </w:rPr>
        <w:sectPr w:rsidR="00E675F0">
          <w:type w:val="continuous"/>
          <w:pgSz w:w="8960" w:h="14260"/>
          <w:pgMar w:top="640" w:right="620" w:bottom="0" w:left="620" w:header="720" w:footer="720" w:gutter="0"/>
          <w:cols w:space="720"/>
        </w:sectPr>
      </w:pPr>
    </w:p>
    <w:p w:rsidR="00E675F0" w:rsidRDefault="00E675F0" w:rsidP="00E675F0">
      <w:pPr>
        <w:spacing w:before="92"/>
        <w:ind w:left="107"/>
        <w:rPr>
          <w:i/>
          <w:sz w:val="20"/>
        </w:rPr>
      </w:pPr>
      <w:r>
        <w:rPr>
          <w:w w:val="105"/>
          <w:sz w:val="19"/>
        </w:rPr>
        <w:t xml:space="preserve">Judith H. Gold, M.D., </w:t>
      </w:r>
      <w:r>
        <w:rPr>
          <w:i/>
          <w:w w:val="105"/>
          <w:sz w:val="20"/>
        </w:rPr>
        <w:t>Chairperson</w:t>
      </w:r>
    </w:p>
    <w:p w:rsidR="00E675F0" w:rsidRDefault="00E675F0" w:rsidP="00E675F0">
      <w:pPr>
        <w:spacing w:before="25" w:line="268" w:lineRule="auto"/>
        <w:ind w:left="132" w:right="1260" w:hanging="25"/>
        <w:rPr>
          <w:sz w:val="19"/>
        </w:rPr>
      </w:pPr>
      <w:r>
        <w:rPr>
          <w:w w:val="110"/>
          <w:sz w:val="19"/>
        </w:rPr>
        <w:t>Jean Endicott, Ph.D. Barbara Parry, M.D.</w:t>
      </w:r>
    </w:p>
    <w:p w:rsidR="00E675F0" w:rsidRDefault="00E675F0" w:rsidP="00E675F0">
      <w:pPr>
        <w:spacing w:before="101"/>
        <w:ind w:left="107"/>
        <w:rPr>
          <w:sz w:val="19"/>
        </w:rPr>
      </w:pPr>
      <w:r>
        <w:br w:type="column"/>
      </w:r>
      <w:r>
        <w:rPr>
          <w:w w:val="105"/>
          <w:sz w:val="19"/>
        </w:rPr>
        <w:t>Sally Severino, M.D.</w:t>
      </w:r>
    </w:p>
    <w:p w:rsidR="00E675F0" w:rsidRDefault="00E675F0" w:rsidP="00E675F0">
      <w:pPr>
        <w:spacing w:before="32" w:line="254" w:lineRule="auto"/>
        <w:ind w:left="115" w:right="1089" w:firstLine="6"/>
        <w:rPr>
          <w:i/>
          <w:sz w:val="20"/>
        </w:rPr>
      </w:pPr>
      <w:r>
        <w:rPr>
          <w:w w:val="105"/>
          <w:sz w:val="19"/>
        </w:rPr>
        <w:t xml:space="preserve">Nada Logan Stotland, M.D. Ellen Frank, Ph.D., </w:t>
      </w:r>
      <w:r>
        <w:rPr>
          <w:i/>
          <w:w w:val="105"/>
          <w:sz w:val="20"/>
        </w:rPr>
        <w:t>Consultant</w:t>
      </w:r>
    </w:p>
    <w:p w:rsidR="00E675F0" w:rsidRDefault="00E675F0" w:rsidP="00E675F0">
      <w:pPr>
        <w:spacing w:line="254" w:lineRule="auto"/>
        <w:rPr>
          <w:sz w:val="20"/>
        </w:rPr>
        <w:sectPr w:rsidR="00E675F0">
          <w:type w:val="continuous"/>
          <w:pgSz w:w="8960" w:h="14260"/>
          <w:pgMar w:top="640" w:right="620" w:bottom="0" w:left="620" w:header="720" w:footer="720" w:gutter="0"/>
          <w:cols w:num="2" w:space="720" w:equalWidth="0">
            <w:col w:w="3125" w:space="751"/>
            <w:col w:w="3844"/>
          </w:cols>
        </w:sectPr>
      </w:pPr>
    </w:p>
    <w:p w:rsidR="00E675F0" w:rsidRDefault="00E675F0" w:rsidP="00E675F0">
      <w:pPr>
        <w:pStyle w:val="BodyText"/>
        <w:rPr>
          <w:i/>
        </w:rPr>
      </w:pPr>
    </w:p>
    <w:p w:rsidR="00E675F0" w:rsidRDefault="00E675F0" w:rsidP="00E675F0">
      <w:pPr>
        <w:spacing w:before="218" w:line="249" w:lineRule="auto"/>
        <w:ind w:left="190" w:firstLine="1178"/>
        <w:rPr>
          <w:rFonts w:ascii="Arial"/>
          <w:b/>
          <w:sz w:val="25"/>
        </w:rPr>
      </w:pPr>
      <w:r>
        <w:rPr>
          <w:rFonts w:ascii="Arial"/>
          <w:b/>
          <w:w w:val="105"/>
          <w:sz w:val="25"/>
        </w:rPr>
        <w:t>Psychiatric Systems Interface Disorders (Adjustment, Dissociative, Factitious, Impulse..control,</w:t>
      </w:r>
      <w:r>
        <w:rPr>
          <w:rFonts w:ascii="Arial"/>
          <w:b/>
          <w:spacing w:val="-52"/>
          <w:w w:val="105"/>
          <w:sz w:val="25"/>
        </w:rPr>
        <w:t xml:space="preserve"> </w:t>
      </w:r>
      <w:r>
        <w:rPr>
          <w:rFonts w:ascii="Arial"/>
          <w:b/>
          <w:w w:val="105"/>
          <w:sz w:val="25"/>
        </w:rPr>
        <w:t>and</w:t>
      </w:r>
    </w:p>
    <w:p w:rsidR="00E675F0" w:rsidRDefault="00E675F0" w:rsidP="00E675F0">
      <w:pPr>
        <w:spacing w:before="8" w:line="252" w:lineRule="auto"/>
        <w:ind w:left="1156" w:right="689" w:hanging="389"/>
        <w:rPr>
          <w:rFonts w:ascii="Arial"/>
          <w:b/>
          <w:sz w:val="25"/>
        </w:rPr>
      </w:pPr>
      <w:r>
        <w:rPr>
          <w:rFonts w:ascii="Arial"/>
          <w:b/>
          <w:w w:val="105"/>
          <w:sz w:val="25"/>
        </w:rPr>
        <w:t>Somatoform Disorders and Psychological Factors Affecting Medical Conditions) Work Group</w:t>
      </w:r>
    </w:p>
    <w:p w:rsidR="00E675F0" w:rsidRDefault="00E675F0" w:rsidP="00E675F0">
      <w:pPr>
        <w:pStyle w:val="BodyText"/>
        <w:spacing w:before="9"/>
        <w:rPr>
          <w:rFonts w:ascii="Arial"/>
          <w:b/>
          <w:sz w:val="11"/>
        </w:rPr>
      </w:pPr>
    </w:p>
    <w:p w:rsidR="00E675F0" w:rsidRDefault="00E675F0" w:rsidP="00E675F0">
      <w:pPr>
        <w:rPr>
          <w:rFonts w:ascii="Arial"/>
          <w:sz w:val="11"/>
        </w:rPr>
        <w:sectPr w:rsidR="00E675F0">
          <w:type w:val="continuous"/>
          <w:pgSz w:w="8960" w:h="14260"/>
          <w:pgMar w:top="640" w:right="620" w:bottom="0" w:left="620" w:header="720" w:footer="720" w:gutter="0"/>
          <w:cols w:space="720"/>
        </w:sectPr>
      </w:pPr>
    </w:p>
    <w:p w:rsidR="00E675F0" w:rsidRDefault="00E675F0" w:rsidP="00E675F0">
      <w:pPr>
        <w:spacing w:before="92"/>
        <w:ind w:left="137"/>
        <w:rPr>
          <w:i/>
          <w:sz w:val="20"/>
        </w:rPr>
      </w:pPr>
      <w:r>
        <w:rPr>
          <w:w w:val="105"/>
          <w:sz w:val="19"/>
        </w:rPr>
        <w:t xml:space="preserve">Robert E. Hales, M.D., </w:t>
      </w:r>
      <w:r>
        <w:rPr>
          <w:i/>
          <w:w w:val="105"/>
          <w:sz w:val="20"/>
        </w:rPr>
        <w:t>Chairperson</w:t>
      </w:r>
    </w:p>
    <w:p w:rsidR="00E675F0" w:rsidRDefault="00E675F0" w:rsidP="00E675F0">
      <w:pPr>
        <w:spacing w:before="20"/>
        <w:ind w:left="134"/>
        <w:rPr>
          <w:sz w:val="19"/>
        </w:rPr>
      </w:pPr>
      <w:r>
        <w:rPr>
          <w:w w:val="105"/>
          <w:sz w:val="18"/>
        </w:rPr>
        <w:t xml:space="preserve">C. </w:t>
      </w:r>
      <w:r>
        <w:rPr>
          <w:w w:val="105"/>
          <w:sz w:val="19"/>
        </w:rPr>
        <w:t>Robert Cloninger, M.D.,</w:t>
      </w:r>
    </w:p>
    <w:p w:rsidR="00E675F0" w:rsidRDefault="00E675F0" w:rsidP="00E675F0">
      <w:pPr>
        <w:spacing w:before="13"/>
        <w:ind w:left="108" w:right="1273"/>
        <w:jc w:val="center"/>
        <w:rPr>
          <w:i/>
          <w:sz w:val="20"/>
        </w:rPr>
      </w:pPr>
      <w:r>
        <w:rPr>
          <w:i/>
          <w:w w:val="105"/>
          <w:sz w:val="20"/>
        </w:rPr>
        <w:t>Vice-Chairperson</w:t>
      </w:r>
    </w:p>
    <w:p w:rsidR="00E675F0" w:rsidRDefault="00E675F0" w:rsidP="00E675F0">
      <w:pPr>
        <w:spacing w:before="19"/>
        <w:ind w:left="149" w:right="1273"/>
        <w:jc w:val="center"/>
        <w:rPr>
          <w:sz w:val="19"/>
        </w:rPr>
      </w:pPr>
      <w:r>
        <w:rPr>
          <w:w w:val="105"/>
          <w:sz w:val="19"/>
        </w:rPr>
        <w:t>Jonathan F. Borus, M.D.</w:t>
      </w:r>
    </w:p>
    <w:p w:rsidR="00E675F0" w:rsidRDefault="00E675F0" w:rsidP="00E675F0">
      <w:pPr>
        <w:spacing w:before="22" w:line="264" w:lineRule="auto"/>
        <w:ind w:left="107" w:right="25" w:firstLine="4"/>
        <w:rPr>
          <w:sz w:val="19"/>
        </w:rPr>
      </w:pPr>
      <w:r>
        <w:rPr>
          <w:w w:val="110"/>
          <w:sz w:val="19"/>
        </w:rPr>
        <w:t>Jack Denning Burke, Jr., M.D., M.P.H. Joe P. Fagan, M.D.</w:t>
      </w:r>
    </w:p>
    <w:p w:rsidR="00E675F0" w:rsidRDefault="00E675F0" w:rsidP="00E675F0">
      <w:pPr>
        <w:spacing w:line="214" w:lineRule="exact"/>
        <w:ind w:left="128"/>
        <w:rPr>
          <w:sz w:val="19"/>
        </w:rPr>
      </w:pPr>
      <w:r>
        <w:rPr>
          <w:w w:val="105"/>
          <w:sz w:val="19"/>
        </w:rPr>
        <w:t>Steven A. King, M.D.</w:t>
      </w:r>
    </w:p>
    <w:p w:rsidR="00E675F0" w:rsidRDefault="00E675F0" w:rsidP="00E675F0">
      <w:pPr>
        <w:spacing w:before="106" w:line="264" w:lineRule="auto"/>
        <w:ind w:left="137" w:right="1061" w:hanging="5"/>
        <w:rPr>
          <w:sz w:val="19"/>
        </w:rPr>
      </w:pPr>
      <w:r>
        <w:br w:type="column"/>
      </w:r>
      <w:r>
        <w:rPr>
          <w:w w:val="105"/>
          <w:sz w:val="19"/>
        </w:rPr>
        <w:t xml:space="preserve">Ronald </w:t>
      </w:r>
      <w:r>
        <w:rPr>
          <w:rFonts w:ascii="Arial"/>
          <w:w w:val="105"/>
          <w:sz w:val="18"/>
        </w:rPr>
        <w:t xml:space="preserve">L. </w:t>
      </w:r>
      <w:r>
        <w:rPr>
          <w:w w:val="105"/>
          <w:sz w:val="19"/>
        </w:rPr>
        <w:t>Martin, M.D. Katharine Anne Phillips, M.D. David A. Spiegel, M.D.</w:t>
      </w:r>
    </w:p>
    <w:p w:rsidR="00E675F0" w:rsidRDefault="00E675F0" w:rsidP="00E675F0">
      <w:pPr>
        <w:spacing w:line="264" w:lineRule="auto"/>
        <w:ind w:left="107" w:right="1358" w:firstLine="21"/>
        <w:rPr>
          <w:sz w:val="19"/>
        </w:rPr>
      </w:pPr>
      <w:r>
        <w:rPr>
          <w:w w:val="110"/>
          <w:sz w:val="19"/>
        </w:rPr>
        <w:t>Alan Stoudemire, M.D. James]. Strain, M.D. Michael G. Wise, M.D.</w:t>
      </w:r>
    </w:p>
    <w:p w:rsidR="00E675F0" w:rsidRDefault="00E675F0" w:rsidP="00E675F0">
      <w:pPr>
        <w:spacing w:line="264" w:lineRule="auto"/>
        <w:rPr>
          <w:sz w:val="19"/>
        </w:rPr>
        <w:sectPr w:rsidR="00E675F0">
          <w:type w:val="continuous"/>
          <w:pgSz w:w="8960" w:h="14260"/>
          <w:pgMar w:top="640" w:right="620" w:bottom="0" w:left="620" w:header="720" w:footer="720" w:gutter="0"/>
          <w:cols w:num="2" w:space="720" w:equalWidth="0">
            <w:col w:w="3431" w:space="429"/>
            <w:col w:w="3860"/>
          </w:cols>
        </w:sectPr>
      </w:pPr>
    </w:p>
    <w:p w:rsidR="00E675F0" w:rsidRDefault="00E675F0" w:rsidP="00E675F0">
      <w:pPr>
        <w:pStyle w:val="BodyText"/>
      </w:pPr>
    </w:p>
    <w:p w:rsidR="00E675F0" w:rsidRDefault="00E675F0" w:rsidP="00E675F0">
      <w:pPr>
        <w:spacing w:before="250"/>
        <w:ind w:left="208"/>
        <w:rPr>
          <w:rFonts w:ascii="Arial"/>
          <w:b/>
          <w:sz w:val="25"/>
        </w:rPr>
      </w:pPr>
      <w:r>
        <w:rPr>
          <w:rFonts w:ascii="Arial"/>
          <w:b/>
          <w:w w:val="105"/>
          <w:sz w:val="25"/>
        </w:rPr>
        <w:t>Schizophrenia and Other Psychotic Disorders Work Group</w:t>
      </w:r>
    </w:p>
    <w:p w:rsidR="00E675F0" w:rsidRDefault="00E675F0" w:rsidP="00E675F0">
      <w:pPr>
        <w:pStyle w:val="BodyText"/>
        <w:spacing w:before="11"/>
        <w:rPr>
          <w:rFonts w:ascii="Arial"/>
          <w:b/>
          <w:sz w:val="14"/>
        </w:rPr>
      </w:pPr>
    </w:p>
    <w:p w:rsidR="00E675F0" w:rsidRDefault="00E675F0" w:rsidP="00E675F0">
      <w:pPr>
        <w:rPr>
          <w:rFonts w:ascii="Arial"/>
          <w:sz w:val="14"/>
        </w:rPr>
        <w:sectPr w:rsidR="00E675F0">
          <w:type w:val="continuous"/>
          <w:pgSz w:w="8960" w:h="14260"/>
          <w:pgMar w:top="640" w:right="620" w:bottom="0" w:left="620" w:header="720" w:footer="720" w:gutter="0"/>
          <w:cols w:space="720"/>
        </w:sectPr>
      </w:pPr>
    </w:p>
    <w:p w:rsidR="00E675F0" w:rsidRDefault="00E675F0" w:rsidP="00E675F0">
      <w:pPr>
        <w:spacing w:before="92"/>
        <w:ind w:left="138"/>
        <w:rPr>
          <w:sz w:val="19"/>
        </w:rPr>
      </w:pPr>
      <w:r>
        <w:rPr>
          <w:w w:val="110"/>
          <w:sz w:val="19"/>
        </w:rPr>
        <w:t>Nancy Coover Andreasen, M.D., Ph.D.,</w:t>
      </w:r>
    </w:p>
    <w:p w:rsidR="00E675F0" w:rsidRDefault="00E675F0" w:rsidP="00E675F0">
      <w:pPr>
        <w:spacing w:before="18"/>
        <w:ind w:left="387"/>
        <w:rPr>
          <w:i/>
          <w:sz w:val="20"/>
        </w:rPr>
      </w:pPr>
      <w:r>
        <w:rPr>
          <w:i/>
          <w:w w:val="105"/>
          <w:sz w:val="20"/>
        </w:rPr>
        <w:t>Chairperson</w:t>
      </w:r>
    </w:p>
    <w:p w:rsidR="00E675F0" w:rsidRDefault="00E675F0" w:rsidP="00E675F0">
      <w:pPr>
        <w:spacing w:before="15"/>
        <w:ind w:left="112"/>
        <w:rPr>
          <w:i/>
          <w:sz w:val="20"/>
        </w:rPr>
      </w:pPr>
      <w:r>
        <w:rPr>
          <w:w w:val="105"/>
          <w:sz w:val="19"/>
        </w:rPr>
        <w:t xml:space="preserve">John M. Kane, M.D., </w:t>
      </w:r>
      <w:r>
        <w:rPr>
          <w:i/>
          <w:w w:val="105"/>
          <w:sz w:val="20"/>
        </w:rPr>
        <w:t>Vice-Chairperson</w:t>
      </w:r>
    </w:p>
    <w:p w:rsidR="00E675F0" w:rsidRDefault="00E675F0" w:rsidP="00E675F0">
      <w:pPr>
        <w:spacing w:before="92" w:line="268" w:lineRule="auto"/>
        <w:ind w:left="113" w:right="1464" w:hanging="2"/>
        <w:rPr>
          <w:sz w:val="19"/>
        </w:rPr>
      </w:pPr>
      <w:r>
        <w:br w:type="column"/>
      </w:r>
      <w:r>
        <w:rPr>
          <w:w w:val="105"/>
          <w:sz w:val="19"/>
        </w:rPr>
        <w:t>Samuel Keith, M.D. Kenneth S. Kendler, M.D. Thomas McGlashan, M.D.</w:t>
      </w:r>
    </w:p>
    <w:p w:rsidR="00E675F0" w:rsidRDefault="00E675F0" w:rsidP="00E675F0">
      <w:pPr>
        <w:spacing w:line="268" w:lineRule="auto"/>
        <w:rPr>
          <w:sz w:val="19"/>
        </w:rPr>
        <w:sectPr w:rsidR="00E675F0">
          <w:type w:val="continuous"/>
          <w:pgSz w:w="8960" w:h="14260"/>
          <w:pgMar w:top="640" w:right="620" w:bottom="0" w:left="620" w:header="720" w:footer="720" w:gutter="0"/>
          <w:cols w:num="2" w:space="720" w:equalWidth="0">
            <w:col w:w="3533" w:space="343"/>
            <w:col w:w="3844"/>
          </w:cols>
        </w:sectPr>
      </w:pPr>
    </w:p>
    <w:p w:rsidR="00E675F0" w:rsidRDefault="00E675F0" w:rsidP="00E675F0">
      <w:pPr>
        <w:spacing w:before="144"/>
        <w:ind w:left="1995"/>
        <w:rPr>
          <w:rFonts w:ascii="Arial"/>
          <w:b/>
          <w:sz w:val="25"/>
        </w:rPr>
      </w:pPr>
      <w:r>
        <w:rPr>
          <w:rFonts w:ascii="Arial"/>
          <w:b/>
          <w:w w:val="105"/>
          <w:sz w:val="25"/>
        </w:rPr>
        <w:lastRenderedPageBreak/>
        <w:t>Sexual Disorders Work Group</w:t>
      </w:r>
    </w:p>
    <w:p w:rsidR="00E675F0" w:rsidRDefault="00E675F0" w:rsidP="00E675F0">
      <w:pPr>
        <w:pStyle w:val="BodyText"/>
        <w:spacing w:before="4"/>
        <w:rPr>
          <w:rFonts w:ascii="Arial"/>
          <w:b/>
          <w:sz w:val="13"/>
        </w:rPr>
      </w:pPr>
    </w:p>
    <w:p w:rsidR="00E675F0" w:rsidRDefault="00E675F0" w:rsidP="00E675F0">
      <w:pPr>
        <w:rPr>
          <w:rFonts w:ascii="Arial"/>
          <w:sz w:val="13"/>
        </w:rPr>
        <w:sectPr w:rsidR="00E675F0">
          <w:headerReference w:type="default" r:id="rId20"/>
          <w:pgSz w:w="8960" w:h="14260"/>
          <w:pgMar w:top="1400" w:right="620" w:bottom="280" w:left="620" w:header="694" w:footer="0" w:gutter="0"/>
          <w:cols w:space="720"/>
        </w:sectPr>
      </w:pPr>
    </w:p>
    <w:p w:rsidR="00E675F0" w:rsidRDefault="00E675F0" w:rsidP="00E675F0">
      <w:pPr>
        <w:spacing w:before="92"/>
        <w:ind w:left="139"/>
        <w:rPr>
          <w:i/>
          <w:sz w:val="20"/>
        </w:rPr>
      </w:pPr>
      <w:r>
        <w:rPr>
          <w:sz w:val="20"/>
        </w:rPr>
        <w:t xml:space="preserve">Chester W. Schmidt, M.D., </w:t>
      </w:r>
      <w:r>
        <w:rPr>
          <w:i/>
          <w:sz w:val="20"/>
        </w:rPr>
        <w:t>Chairperson</w:t>
      </w:r>
    </w:p>
    <w:p w:rsidR="00E675F0" w:rsidRDefault="00E675F0" w:rsidP="00E675F0">
      <w:pPr>
        <w:pStyle w:val="BodyText"/>
        <w:spacing w:before="20" w:line="256" w:lineRule="auto"/>
        <w:ind w:left="138" w:right="1407"/>
      </w:pPr>
      <w:r>
        <w:t>Raul Schiavi, M.D. Leslie Schover, Ph.D.</w:t>
      </w:r>
    </w:p>
    <w:p w:rsidR="00E675F0" w:rsidRDefault="00E675F0" w:rsidP="00E675F0">
      <w:pPr>
        <w:pStyle w:val="BodyText"/>
        <w:spacing w:before="92" w:line="261" w:lineRule="auto"/>
        <w:ind w:left="143" w:right="1184" w:hanging="5"/>
      </w:pPr>
      <w:r>
        <w:br w:type="column"/>
      </w:r>
      <w:r>
        <w:t>Taylor Seagraves, M.D. Thomas Nathan Wise, M.D.</w:t>
      </w:r>
    </w:p>
    <w:p w:rsidR="00E675F0" w:rsidRDefault="00E675F0" w:rsidP="00E675F0">
      <w:pPr>
        <w:spacing w:line="261" w:lineRule="auto"/>
        <w:sectPr w:rsidR="00E675F0">
          <w:type w:val="continuous"/>
          <w:pgSz w:w="8960" w:h="14260"/>
          <w:pgMar w:top="640" w:right="620" w:bottom="0" w:left="620" w:header="720" w:footer="720" w:gutter="0"/>
          <w:cols w:num="2" w:space="720" w:equalWidth="0">
            <w:col w:w="3564" w:space="293"/>
            <w:col w:w="3863"/>
          </w:cols>
        </w:sectPr>
      </w:pPr>
    </w:p>
    <w:p w:rsidR="00E675F0" w:rsidRDefault="00E675F0" w:rsidP="00E675F0">
      <w:pPr>
        <w:pStyle w:val="BodyText"/>
      </w:pPr>
    </w:p>
    <w:p w:rsidR="00E675F0" w:rsidRDefault="00E675F0" w:rsidP="00E675F0">
      <w:pPr>
        <w:spacing w:before="230"/>
        <w:ind w:left="136" w:right="106"/>
        <w:jc w:val="center"/>
        <w:rPr>
          <w:rFonts w:ascii="Arial"/>
          <w:b/>
          <w:sz w:val="25"/>
        </w:rPr>
      </w:pPr>
      <w:r>
        <w:rPr>
          <w:rFonts w:ascii="Arial"/>
          <w:b/>
          <w:w w:val="105"/>
          <w:sz w:val="25"/>
        </w:rPr>
        <w:t>Sleep Disorders Work Group</w:t>
      </w:r>
    </w:p>
    <w:p w:rsidR="00E675F0" w:rsidRDefault="00E675F0" w:rsidP="00E675F0">
      <w:pPr>
        <w:pStyle w:val="BodyText"/>
        <w:rPr>
          <w:rFonts w:ascii="Arial"/>
          <w:b/>
          <w:sz w:val="13"/>
        </w:rPr>
      </w:pPr>
    </w:p>
    <w:p w:rsidR="00E675F0" w:rsidRDefault="00E675F0" w:rsidP="00E675F0">
      <w:pPr>
        <w:rPr>
          <w:rFonts w:ascii="Arial"/>
          <w:sz w:val="13"/>
        </w:rPr>
        <w:sectPr w:rsidR="00E675F0">
          <w:type w:val="continuous"/>
          <w:pgSz w:w="8960" w:h="14260"/>
          <w:pgMar w:top="640" w:right="620" w:bottom="0" w:left="620" w:header="720" w:footer="720" w:gutter="0"/>
          <w:cols w:space="720"/>
        </w:sectPr>
      </w:pPr>
    </w:p>
    <w:p w:rsidR="00E675F0" w:rsidRDefault="00E675F0" w:rsidP="00E675F0">
      <w:pPr>
        <w:spacing w:before="97"/>
        <w:ind w:left="138"/>
        <w:rPr>
          <w:i/>
          <w:sz w:val="20"/>
        </w:rPr>
      </w:pPr>
      <w:r>
        <w:rPr>
          <w:w w:val="105"/>
          <w:sz w:val="20"/>
        </w:rPr>
        <w:t xml:space="preserve">David]. Kupfer, M.D., </w:t>
      </w:r>
      <w:r>
        <w:rPr>
          <w:i/>
          <w:w w:val="105"/>
          <w:sz w:val="20"/>
        </w:rPr>
        <w:t>Chairperson</w:t>
      </w:r>
    </w:p>
    <w:p w:rsidR="00E675F0" w:rsidRDefault="00E675F0" w:rsidP="00E675F0">
      <w:pPr>
        <w:pStyle w:val="BodyText"/>
        <w:spacing w:before="10"/>
        <w:ind w:left="134"/>
      </w:pPr>
      <w:r>
        <w:t>Charles F. Reynolds III, M.D.,</w:t>
      </w:r>
    </w:p>
    <w:p w:rsidR="00E675F0" w:rsidRDefault="00E675F0" w:rsidP="00E675F0">
      <w:pPr>
        <w:spacing w:before="15"/>
        <w:ind w:right="1332"/>
        <w:jc w:val="right"/>
        <w:rPr>
          <w:i/>
          <w:sz w:val="20"/>
        </w:rPr>
      </w:pPr>
      <w:r>
        <w:rPr>
          <w:i/>
          <w:spacing w:val="-1"/>
          <w:sz w:val="20"/>
        </w:rPr>
        <w:t>Vice-Chairperson</w:t>
      </w:r>
    </w:p>
    <w:p w:rsidR="00E675F0" w:rsidRDefault="00E675F0" w:rsidP="00E675F0">
      <w:pPr>
        <w:pStyle w:val="BodyText"/>
        <w:spacing w:before="16"/>
        <w:ind w:right="1332"/>
        <w:jc w:val="right"/>
      </w:pPr>
      <w:r>
        <w:t>Daniel  Buysse, M.D.</w:t>
      </w:r>
    </w:p>
    <w:p w:rsidR="00E675F0" w:rsidRDefault="00E675F0" w:rsidP="00E675F0">
      <w:pPr>
        <w:pStyle w:val="BodyText"/>
        <w:spacing w:before="92" w:line="256" w:lineRule="auto"/>
        <w:ind w:left="134" w:right="1594" w:firstLine="8"/>
      </w:pPr>
      <w:r>
        <w:br w:type="column"/>
      </w:r>
      <w:r>
        <w:t>Roger Peele, M.D. Quentin Regestein, M.D. Michael Sateia, M.D. Michael Thorpy, M.D.</w:t>
      </w:r>
    </w:p>
    <w:p w:rsidR="00E675F0" w:rsidRDefault="00E675F0" w:rsidP="00E675F0">
      <w:pPr>
        <w:spacing w:line="256" w:lineRule="auto"/>
        <w:sectPr w:rsidR="00E675F0">
          <w:type w:val="continuous"/>
          <w:pgSz w:w="8960" w:h="14260"/>
          <w:pgMar w:top="640" w:right="620" w:bottom="0" w:left="620" w:header="720" w:footer="720" w:gutter="0"/>
          <w:cols w:num="2" w:space="720" w:equalWidth="0">
            <w:col w:w="3218" w:space="647"/>
            <w:col w:w="3855"/>
          </w:cols>
        </w:sectPr>
      </w:pPr>
    </w:p>
    <w:p w:rsidR="00E675F0" w:rsidRDefault="00E675F0" w:rsidP="00E675F0">
      <w:pPr>
        <w:pStyle w:val="BodyText"/>
      </w:pPr>
    </w:p>
    <w:p w:rsidR="00E675F0" w:rsidRDefault="00E675F0" w:rsidP="00E675F0">
      <w:pPr>
        <w:spacing w:before="228"/>
        <w:ind w:left="136" w:right="98"/>
        <w:jc w:val="center"/>
        <w:rPr>
          <w:rFonts w:ascii="Arial"/>
          <w:b/>
          <w:sz w:val="25"/>
        </w:rPr>
      </w:pPr>
      <w:r>
        <w:rPr>
          <w:rFonts w:ascii="Arial"/>
          <w:b/>
          <w:w w:val="105"/>
          <w:sz w:val="25"/>
        </w:rPr>
        <w:t>Substance-Related Disorders Work Group</w:t>
      </w:r>
    </w:p>
    <w:p w:rsidR="00E675F0" w:rsidRDefault="00E675F0" w:rsidP="00E675F0">
      <w:pPr>
        <w:pStyle w:val="BodyText"/>
        <w:spacing w:before="5"/>
        <w:rPr>
          <w:rFonts w:ascii="Arial"/>
          <w:b/>
          <w:sz w:val="13"/>
        </w:rPr>
      </w:pPr>
    </w:p>
    <w:p w:rsidR="00E675F0" w:rsidRDefault="00E675F0" w:rsidP="00E675F0">
      <w:pPr>
        <w:rPr>
          <w:rFonts w:ascii="Arial"/>
          <w:sz w:val="13"/>
        </w:rPr>
        <w:sectPr w:rsidR="00E675F0">
          <w:type w:val="continuous"/>
          <w:pgSz w:w="8960" w:h="14260"/>
          <w:pgMar w:top="640" w:right="620" w:bottom="0" w:left="620" w:header="720" w:footer="720" w:gutter="0"/>
          <w:cols w:space="720"/>
        </w:sectPr>
      </w:pPr>
    </w:p>
    <w:p w:rsidR="00E675F0" w:rsidRDefault="00E675F0" w:rsidP="00E675F0">
      <w:pPr>
        <w:spacing w:before="92" w:line="254" w:lineRule="auto"/>
        <w:ind w:left="109" w:right="38" w:firstLine="25"/>
        <w:jc w:val="both"/>
        <w:rPr>
          <w:sz w:val="20"/>
        </w:rPr>
      </w:pPr>
      <w:r>
        <w:rPr>
          <w:w w:val="105"/>
          <w:sz w:val="20"/>
        </w:rPr>
        <w:t xml:space="preserve">Marc Alan Schuckit, M.D., </w:t>
      </w:r>
      <w:r>
        <w:rPr>
          <w:i/>
          <w:w w:val="105"/>
          <w:sz w:val="20"/>
        </w:rPr>
        <w:t xml:space="preserve">Chairperson </w:t>
      </w:r>
      <w:r>
        <w:rPr>
          <w:w w:val="105"/>
          <w:sz w:val="20"/>
        </w:rPr>
        <w:t xml:space="preserve">John E. Helzer, M.D., </w:t>
      </w:r>
      <w:r>
        <w:rPr>
          <w:i/>
          <w:w w:val="105"/>
          <w:sz w:val="20"/>
        </w:rPr>
        <w:t xml:space="preserve">Vice-Chairperson </w:t>
      </w:r>
      <w:r>
        <w:rPr>
          <w:w w:val="105"/>
          <w:sz w:val="20"/>
        </w:rPr>
        <w:t>Linda B. Cottier, Ph.D.</w:t>
      </w:r>
    </w:p>
    <w:p w:rsidR="00E675F0" w:rsidRDefault="00E675F0" w:rsidP="00E675F0">
      <w:pPr>
        <w:pStyle w:val="BodyText"/>
        <w:spacing w:before="92" w:line="254" w:lineRule="auto"/>
        <w:ind w:left="112" w:right="1423" w:hanging="3"/>
      </w:pPr>
      <w:r>
        <w:br w:type="column"/>
      </w:r>
      <w:r>
        <w:t>Thomas Crowley, M.D. Peter E. Nathan, Ph.D. George E. Woody, M.D.</w:t>
      </w:r>
    </w:p>
    <w:p w:rsidR="00E675F0" w:rsidRDefault="00E675F0" w:rsidP="00E675F0">
      <w:pPr>
        <w:spacing w:line="254" w:lineRule="auto"/>
        <w:sectPr w:rsidR="00E675F0">
          <w:type w:val="continuous"/>
          <w:pgSz w:w="8960" w:h="14260"/>
          <w:pgMar w:top="640" w:right="620" w:bottom="0" w:left="620" w:header="720" w:footer="720" w:gutter="0"/>
          <w:cols w:num="2" w:space="720" w:equalWidth="0">
            <w:col w:w="3579" w:space="312"/>
            <w:col w:w="3829"/>
          </w:cols>
        </w:sectPr>
      </w:pPr>
    </w:p>
    <w:p w:rsidR="00E675F0" w:rsidRDefault="00E675F0" w:rsidP="00E675F0">
      <w:pPr>
        <w:pStyle w:val="BodyText"/>
      </w:pPr>
    </w:p>
    <w:p w:rsidR="00E675F0" w:rsidRDefault="00E675F0" w:rsidP="00E675F0">
      <w:pPr>
        <w:spacing w:before="231"/>
        <w:ind w:left="573"/>
        <w:rPr>
          <w:rFonts w:ascii="Arial"/>
          <w:b/>
          <w:sz w:val="25"/>
        </w:rPr>
      </w:pPr>
      <w:r>
        <w:rPr>
          <w:rFonts w:ascii="Arial"/>
          <w:b/>
          <w:w w:val="105"/>
          <w:sz w:val="25"/>
        </w:rPr>
        <w:t>Committee on Psychiatric Diagnosis and Assessment</w:t>
      </w:r>
    </w:p>
    <w:p w:rsidR="00E675F0" w:rsidRDefault="00E675F0" w:rsidP="00E675F0">
      <w:pPr>
        <w:pStyle w:val="BodyText"/>
        <w:spacing w:before="3"/>
        <w:rPr>
          <w:rFonts w:ascii="Arial"/>
          <w:b/>
          <w:sz w:val="10"/>
        </w:rPr>
      </w:pPr>
    </w:p>
    <w:p w:rsidR="00E675F0" w:rsidRDefault="00E675F0" w:rsidP="00E675F0">
      <w:pPr>
        <w:rPr>
          <w:rFonts w:ascii="Arial"/>
          <w:sz w:val="10"/>
        </w:rPr>
        <w:sectPr w:rsidR="00E675F0">
          <w:type w:val="continuous"/>
          <w:pgSz w:w="8960" w:h="14260"/>
          <w:pgMar w:top="640" w:right="620" w:bottom="0" w:left="620" w:header="720" w:footer="720" w:gutter="0"/>
          <w:cols w:space="720"/>
        </w:sectPr>
      </w:pPr>
    </w:p>
    <w:p w:rsidR="00E675F0" w:rsidRDefault="00E675F0" w:rsidP="00E675F0">
      <w:pPr>
        <w:spacing w:before="123"/>
        <w:ind w:left="133"/>
        <w:rPr>
          <w:i/>
          <w:sz w:val="20"/>
        </w:rPr>
      </w:pPr>
      <w:r>
        <w:rPr>
          <w:sz w:val="20"/>
        </w:rPr>
        <w:t xml:space="preserve">Layton McCurdy, M.D., </w:t>
      </w:r>
      <w:r>
        <w:rPr>
          <w:i/>
          <w:sz w:val="20"/>
        </w:rPr>
        <w:t>Chairperson</w:t>
      </w:r>
    </w:p>
    <w:p w:rsidR="00E675F0" w:rsidRDefault="00E675F0" w:rsidP="00E675F0">
      <w:pPr>
        <w:pStyle w:val="BodyText"/>
        <w:spacing w:before="20"/>
        <w:ind w:left="375"/>
      </w:pPr>
      <w:r>
        <w:rPr>
          <w:w w:val="110"/>
        </w:rPr>
        <w:t>0987-1994)</w:t>
      </w:r>
    </w:p>
    <w:p w:rsidR="00E675F0" w:rsidRDefault="00E675F0" w:rsidP="00E675F0">
      <w:pPr>
        <w:pStyle w:val="BodyText"/>
        <w:spacing w:before="11" w:line="252" w:lineRule="auto"/>
        <w:ind w:left="129" w:firstLine="9"/>
      </w:pPr>
      <w:r>
        <w:rPr>
          <w:w w:val="105"/>
        </w:rPr>
        <w:t>Kenneth Z. Altshuler, M.D. 0987-1992) Thomas F. Anders, M.D. (1988-1994) Susan Jane Blumenthal, M.D.</w:t>
      </w:r>
    </w:p>
    <w:p w:rsidR="00E675F0" w:rsidRDefault="00E675F0" w:rsidP="00E675F0">
      <w:pPr>
        <w:pStyle w:val="BodyText"/>
        <w:spacing w:before="6"/>
        <w:ind w:left="375"/>
      </w:pPr>
      <w:r>
        <w:rPr>
          <w:w w:val="110"/>
        </w:rPr>
        <w:t>0990-1993)</w:t>
      </w:r>
    </w:p>
    <w:p w:rsidR="00E675F0" w:rsidRDefault="00E675F0" w:rsidP="00E675F0">
      <w:pPr>
        <w:pStyle w:val="BodyText"/>
        <w:spacing w:before="19" w:line="216" w:lineRule="auto"/>
        <w:ind w:left="138"/>
      </w:pPr>
      <w:r>
        <w:rPr>
          <w:w w:val="105"/>
        </w:rPr>
        <w:t xml:space="preserve">Leah Joan Dickstein, M.D. 0988-1991) Lewis </w:t>
      </w:r>
      <w:r>
        <w:rPr>
          <w:w w:val="105"/>
          <w:sz w:val="24"/>
        </w:rPr>
        <w:t xml:space="preserve">J. </w:t>
      </w:r>
      <w:r>
        <w:rPr>
          <w:w w:val="105"/>
        </w:rPr>
        <w:t>Judd, M.D. (1988-1994)</w:t>
      </w:r>
    </w:p>
    <w:p w:rsidR="00E675F0" w:rsidRDefault="00E675F0" w:rsidP="00E675F0">
      <w:pPr>
        <w:pStyle w:val="BodyText"/>
        <w:spacing w:before="2" w:line="252" w:lineRule="auto"/>
        <w:ind w:left="374" w:right="350" w:hanging="240"/>
      </w:pPr>
      <w:r>
        <w:rPr>
          <w:w w:val="105"/>
        </w:rPr>
        <w:t xml:space="preserve">Gerald </w:t>
      </w:r>
      <w:r>
        <w:rPr>
          <w:rFonts w:ascii="Arial"/>
          <w:w w:val="105"/>
          <w:sz w:val="18"/>
        </w:rPr>
        <w:t xml:space="preserve">L. </w:t>
      </w:r>
      <w:r>
        <w:rPr>
          <w:w w:val="105"/>
        </w:rPr>
        <w:t>Klerman, M.D. (deceased) (1988-1991)</w:t>
      </w:r>
    </w:p>
    <w:p w:rsidR="00E675F0" w:rsidRDefault="00E675F0" w:rsidP="00E675F0">
      <w:pPr>
        <w:pStyle w:val="BodyText"/>
        <w:spacing w:line="256" w:lineRule="auto"/>
        <w:ind w:left="114" w:firstLine="20"/>
        <w:rPr>
          <w:i/>
        </w:rPr>
      </w:pPr>
      <w:r>
        <w:rPr>
          <w:w w:val="105"/>
        </w:rPr>
        <w:t xml:space="preserve">Stuart </w:t>
      </w:r>
      <w:r>
        <w:rPr>
          <w:rFonts w:ascii="Arial"/>
          <w:w w:val="105"/>
          <w:sz w:val="18"/>
        </w:rPr>
        <w:t xml:space="preserve">C. </w:t>
      </w:r>
      <w:r>
        <w:rPr>
          <w:w w:val="105"/>
        </w:rPr>
        <w:t xml:space="preserve">Yudofsky, M.D. (1992-1994) Jack D. Blaine, M.D., </w:t>
      </w:r>
      <w:r>
        <w:rPr>
          <w:i/>
          <w:w w:val="105"/>
        </w:rPr>
        <w:t>Consultant</w:t>
      </w:r>
    </w:p>
    <w:p w:rsidR="00E675F0" w:rsidRDefault="00E675F0" w:rsidP="00E675F0">
      <w:pPr>
        <w:pStyle w:val="BodyText"/>
        <w:spacing w:line="228" w:lineRule="exact"/>
        <w:ind w:left="380"/>
      </w:pPr>
      <w:r>
        <w:rPr>
          <w:w w:val="110"/>
        </w:rPr>
        <w:t>0987-1992)</w:t>
      </w:r>
    </w:p>
    <w:p w:rsidR="00E675F0" w:rsidRDefault="00E675F0" w:rsidP="00E675F0">
      <w:pPr>
        <w:spacing w:before="13"/>
        <w:ind w:left="114"/>
        <w:rPr>
          <w:i/>
          <w:sz w:val="20"/>
        </w:rPr>
      </w:pPr>
      <w:r>
        <w:rPr>
          <w:sz w:val="20"/>
        </w:rPr>
        <w:t xml:space="preserve">Jerry M. Lewis, M.D., </w:t>
      </w:r>
      <w:r>
        <w:rPr>
          <w:i/>
          <w:sz w:val="20"/>
        </w:rPr>
        <w:t>Consultant</w:t>
      </w:r>
    </w:p>
    <w:p w:rsidR="00E675F0" w:rsidRDefault="00E675F0" w:rsidP="00E675F0">
      <w:pPr>
        <w:pStyle w:val="BodyText"/>
        <w:spacing w:before="20"/>
        <w:ind w:left="380"/>
      </w:pPr>
      <w:r>
        <w:rPr>
          <w:w w:val="110"/>
        </w:rPr>
        <w:t>0988-1994)</w:t>
      </w:r>
    </w:p>
    <w:p w:rsidR="00E675F0" w:rsidRDefault="00E675F0" w:rsidP="00E675F0">
      <w:pPr>
        <w:spacing w:before="91"/>
        <w:ind w:left="29" w:right="566"/>
        <w:jc w:val="center"/>
        <w:rPr>
          <w:i/>
          <w:sz w:val="20"/>
        </w:rPr>
      </w:pPr>
      <w:r>
        <w:br w:type="column"/>
      </w:r>
      <w:r>
        <w:rPr>
          <w:sz w:val="20"/>
        </w:rPr>
        <w:t xml:space="preserve">Daniel </w:t>
      </w:r>
      <w:r>
        <w:rPr>
          <w:sz w:val="24"/>
        </w:rPr>
        <w:t xml:space="preserve">J. </w:t>
      </w:r>
      <w:r>
        <w:rPr>
          <w:sz w:val="20"/>
        </w:rPr>
        <w:t xml:space="preserve">Luchins, M.D., </w:t>
      </w:r>
      <w:r>
        <w:rPr>
          <w:i/>
          <w:sz w:val="20"/>
        </w:rPr>
        <w:t>Consultant</w:t>
      </w:r>
    </w:p>
    <w:p w:rsidR="00E675F0" w:rsidRDefault="00E675F0" w:rsidP="00E675F0">
      <w:pPr>
        <w:pStyle w:val="BodyText"/>
        <w:spacing w:before="1"/>
        <w:ind w:left="125" w:right="2205"/>
        <w:jc w:val="center"/>
      </w:pPr>
      <w:r>
        <w:rPr>
          <w:w w:val="105"/>
        </w:rPr>
        <w:t>(1987-1991)</w:t>
      </w:r>
    </w:p>
    <w:p w:rsidR="00E675F0" w:rsidRDefault="00E675F0" w:rsidP="00E675F0">
      <w:pPr>
        <w:pStyle w:val="BodyText"/>
        <w:spacing w:before="16"/>
        <w:ind w:left="125" w:right="1117"/>
        <w:jc w:val="center"/>
      </w:pPr>
      <w:r>
        <w:t>Katharine Anne Phillips, M.D.,</w:t>
      </w:r>
    </w:p>
    <w:p w:rsidR="00E675F0" w:rsidRDefault="00E675F0" w:rsidP="00E675F0">
      <w:pPr>
        <w:spacing w:before="10"/>
        <w:ind w:left="81" w:right="1141"/>
        <w:jc w:val="center"/>
        <w:rPr>
          <w:sz w:val="20"/>
        </w:rPr>
      </w:pPr>
      <w:r>
        <w:rPr>
          <w:i/>
          <w:w w:val="105"/>
          <w:sz w:val="20"/>
        </w:rPr>
        <w:t xml:space="preserve">Consultant </w:t>
      </w:r>
      <w:r>
        <w:rPr>
          <w:w w:val="105"/>
          <w:sz w:val="20"/>
        </w:rPr>
        <w:t>(1992-1994)</w:t>
      </w:r>
    </w:p>
    <w:p w:rsidR="00E675F0" w:rsidRDefault="00E675F0" w:rsidP="00E675F0">
      <w:pPr>
        <w:spacing w:before="10"/>
        <w:ind w:left="125" w:right="507"/>
        <w:jc w:val="center"/>
        <w:rPr>
          <w:i/>
          <w:sz w:val="20"/>
        </w:rPr>
      </w:pPr>
      <w:r>
        <w:rPr>
          <w:sz w:val="20"/>
        </w:rPr>
        <w:t xml:space="preserve">Cynthia Pearl Rose, M.D., </w:t>
      </w:r>
      <w:r>
        <w:rPr>
          <w:i/>
          <w:sz w:val="20"/>
        </w:rPr>
        <w:t>Consultant</w:t>
      </w:r>
    </w:p>
    <w:p w:rsidR="00E675F0" w:rsidRDefault="00E675F0" w:rsidP="00E675F0">
      <w:pPr>
        <w:pStyle w:val="BodyText"/>
        <w:spacing w:before="16"/>
        <w:ind w:left="125" w:right="2206"/>
        <w:jc w:val="center"/>
      </w:pPr>
      <w:r>
        <w:rPr>
          <w:w w:val="110"/>
        </w:rPr>
        <w:t>0990-1994)</w:t>
      </w:r>
    </w:p>
    <w:p w:rsidR="00E675F0" w:rsidRDefault="00E675F0" w:rsidP="00E675F0">
      <w:pPr>
        <w:pStyle w:val="BodyText"/>
        <w:ind w:left="125" w:right="1498"/>
        <w:jc w:val="center"/>
      </w:pPr>
      <w:r>
        <w:t>Louis Alan Moench, M.D.,</w:t>
      </w:r>
    </w:p>
    <w:p w:rsidR="00E675F0" w:rsidRDefault="00E675F0" w:rsidP="00E675F0">
      <w:pPr>
        <w:spacing w:before="5" w:line="244" w:lineRule="auto"/>
        <w:ind w:left="114" w:right="457" w:firstLine="253"/>
        <w:rPr>
          <w:i/>
          <w:sz w:val="20"/>
        </w:rPr>
      </w:pPr>
      <w:r>
        <w:rPr>
          <w:i/>
          <w:sz w:val="20"/>
        </w:rPr>
        <w:t xml:space="preserve">Assembly Liaison </w:t>
      </w:r>
      <w:r>
        <w:rPr>
          <w:rFonts w:ascii="Arial"/>
          <w:sz w:val="21"/>
        </w:rPr>
        <w:t>Cl</w:t>
      </w:r>
      <w:r>
        <w:rPr>
          <w:sz w:val="20"/>
        </w:rPr>
        <w:t xml:space="preserve">991-1994) Steven </w:t>
      </w:r>
      <w:r>
        <w:rPr>
          <w:sz w:val="17"/>
        </w:rPr>
        <w:t xml:space="preserve">K. </w:t>
      </w:r>
      <w:r>
        <w:rPr>
          <w:sz w:val="20"/>
        </w:rPr>
        <w:t xml:space="preserve">Dobscha, M.D., </w:t>
      </w:r>
      <w:r>
        <w:rPr>
          <w:i/>
          <w:sz w:val="20"/>
        </w:rPr>
        <w:t>Resident</w:t>
      </w:r>
    </w:p>
    <w:p w:rsidR="00E675F0" w:rsidRDefault="00E675F0" w:rsidP="00E675F0">
      <w:pPr>
        <w:spacing w:before="10"/>
        <w:ind w:left="372"/>
        <w:rPr>
          <w:sz w:val="20"/>
        </w:rPr>
      </w:pPr>
      <w:r>
        <w:rPr>
          <w:i/>
          <w:sz w:val="20"/>
        </w:rPr>
        <w:t xml:space="preserve">Fellow </w:t>
      </w:r>
      <w:r>
        <w:rPr>
          <w:sz w:val="20"/>
        </w:rPr>
        <w:t>(1990-1992)</w:t>
      </w:r>
    </w:p>
    <w:p w:rsidR="00E675F0" w:rsidRDefault="00E675F0" w:rsidP="00E675F0">
      <w:pPr>
        <w:spacing w:before="11"/>
        <w:ind w:left="118"/>
        <w:rPr>
          <w:i/>
          <w:sz w:val="20"/>
        </w:rPr>
      </w:pPr>
      <w:r>
        <w:rPr>
          <w:sz w:val="20"/>
        </w:rPr>
        <w:t xml:space="preserve">Mark Zimmerman, M.D., </w:t>
      </w:r>
      <w:r>
        <w:rPr>
          <w:i/>
          <w:sz w:val="20"/>
        </w:rPr>
        <w:t>Resident Fellow</w:t>
      </w:r>
    </w:p>
    <w:p w:rsidR="00E675F0" w:rsidRDefault="00E675F0" w:rsidP="00E675F0">
      <w:pPr>
        <w:pStyle w:val="BodyText"/>
        <w:spacing w:before="10"/>
        <w:ind w:left="358"/>
      </w:pPr>
      <w:r>
        <w:rPr>
          <w:w w:val="105"/>
        </w:rPr>
        <w:t>(1992-1994)</w:t>
      </w:r>
    </w:p>
    <w:p w:rsidR="00E675F0" w:rsidRDefault="00E675F0" w:rsidP="00E675F0">
      <w:pPr>
        <w:sectPr w:rsidR="00E675F0">
          <w:type w:val="continuous"/>
          <w:pgSz w:w="8960" w:h="14260"/>
          <w:pgMar w:top="640" w:right="620" w:bottom="0" w:left="620" w:header="720" w:footer="720" w:gutter="0"/>
          <w:cols w:num="2" w:space="720" w:equalWidth="0">
            <w:col w:w="3591" w:space="293"/>
            <w:col w:w="3836"/>
          </w:cols>
        </w:sectPr>
      </w:pPr>
    </w:p>
    <w:p w:rsidR="00E675F0" w:rsidRDefault="00E675F0" w:rsidP="00E675F0">
      <w:pPr>
        <w:pStyle w:val="BodyText"/>
      </w:pPr>
    </w:p>
    <w:p w:rsidR="00E675F0" w:rsidRDefault="00E675F0" w:rsidP="00E675F0">
      <w:pPr>
        <w:spacing w:before="247" w:line="256" w:lineRule="auto"/>
        <w:ind w:left="1275" w:right="1246"/>
        <w:jc w:val="center"/>
        <w:rPr>
          <w:rFonts w:ascii="Arial"/>
          <w:b/>
          <w:sz w:val="25"/>
        </w:rPr>
      </w:pPr>
      <w:r>
        <w:rPr>
          <w:rFonts w:ascii="Arial"/>
          <w:b/>
          <w:w w:val="105"/>
          <w:sz w:val="25"/>
        </w:rPr>
        <w:t>Joint Committee of the Board of Trustees and</w:t>
      </w:r>
    </w:p>
    <w:p w:rsidR="00E675F0" w:rsidRDefault="00E675F0" w:rsidP="00E675F0">
      <w:pPr>
        <w:spacing w:line="283" w:lineRule="exact"/>
        <w:ind w:left="136" w:right="119"/>
        <w:jc w:val="center"/>
        <w:rPr>
          <w:rFonts w:ascii="Arial"/>
          <w:b/>
          <w:sz w:val="25"/>
        </w:rPr>
      </w:pPr>
      <w:r>
        <w:rPr>
          <w:rFonts w:ascii="Arial"/>
          <w:b/>
          <w:w w:val="105"/>
          <w:sz w:val="25"/>
        </w:rPr>
        <w:t>Assembly of District Branches on Issues Related to DSM-IV</w:t>
      </w:r>
    </w:p>
    <w:p w:rsidR="00E675F0" w:rsidRDefault="00E675F0" w:rsidP="00E675F0">
      <w:pPr>
        <w:pStyle w:val="BodyText"/>
        <w:rPr>
          <w:rFonts w:ascii="Arial"/>
          <w:b/>
          <w:sz w:val="13"/>
        </w:rPr>
      </w:pPr>
    </w:p>
    <w:p w:rsidR="00E675F0" w:rsidRDefault="00E675F0" w:rsidP="00E675F0">
      <w:pPr>
        <w:rPr>
          <w:rFonts w:ascii="Arial"/>
          <w:sz w:val="13"/>
        </w:rPr>
        <w:sectPr w:rsidR="00E675F0">
          <w:type w:val="continuous"/>
          <w:pgSz w:w="8960" w:h="14260"/>
          <w:pgMar w:top="640" w:right="620" w:bottom="0" w:left="620" w:header="720" w:footer="720" w:gutter="0"/>
          <w:cols w:space="720"/>
        </w:sectPr>
      </w:pPr>
    </w:p>
    <w:p w:rsidR="00E675F0" w:rsidRDefault="00E675F0" w:rsidP="00E675F0">
      <w:pPr>
        <w:spacing w:before="92"/>
        <w:ind w:left="134"/>
        <w:rPr>
          <w:i/>
          <w:sz w:val="20"/>
        </w:rPr>
      </w:pPr>
      <w:r>
        <w:rPr>
          <w:w w:val="105"/>
          <w:sz w:val="20"/>
        </w:rPr>
        <w:t xml:space="preserve">Ronald </w:t>
      </w:r>
      <w:r>
        <w:rPr>
          <w:w w:val="105"/>
          <w:sz w:val="17"/>
        </w:rPr>
        <w:t xml:space="preserve">A. </w:t>
      </w:r>
      <w:r>
        <w:rPr>
          <w:w w:val="105"/>
          <w:sz w:val="20"/>
        </w:rPr>
        <w:t xml:space="preserve">Shellow, M.D., </w:t>
      </w:r>
      <w:r>
        <w:rPr>
          <w:i/>
          <w:w w:val="105"/>
          <w:sz w:val="20"/>
        </w:rPr>
        <w:t>Chairperson</w:t>
      </w:r>
    </w:p>
    <w:p w:rsidR="00E675F0" w:rsidRDefault="00E675F0" w:rsidP="00E675F0">
      <w:pPr>
        <w:pStyle w:val="BodyText"/>
        <w:spacing w:before="10" w:line="261" w:lineRule="auto"/>
        <w:ind w:left="133" w:right="866"/>
      </w:pPr>
      <w:r>
        <w:rPr>
          <w:w w:val="105"/>
        </w:rPr>
        <w:t xml:space="preserve">Harvey Bluestone, M.D. Leah </w:t>
      </w:r>
      <w:r>
        <w:rPr>
          <w:w w:val="105"/>
        </w:rPr>
        <w:lastRenderedPageBreak/>
        <w:t>Joan Dickstein, M.D.</w:t>
      </w:r>
    </w:p>
    <w:p w:rsidR="00E675F0" w:rsidRDefault="00E675F0" w:rsidP="00E675F0">
      <w:pPr>
        <w:pStyle w:val="BodyText"/>
        <w:spacing w:before="97" w:line="256" w:lineRule="auto"/>
        <w:ind w:left="137" w:right="1133" w:hanging="4"/>
      </w:pPr>
      <w:r>
        <w:br w:type="column"/>
      </w:r>
      <w:r>
        <w:rPr>
          <w:w w:val="105"/>
        </w:rPr>
        <w:t>Arthur John Farley, M.D. Carol Ann Bernstein, M.D.</w:t>
      </w:r>
    </w:p>
    <w:p w:rsidR="00E675F0" w:rsidRDefault="00E675F0" w:rsidP="00E675F0">
      <w:pPr>
        <w:spacing w:line="256" w:lineRule="auto"/>
        <w:sectPr w:rsidR="00E675F0">
          <w:type w:val="continuous"/>
          <w:pgSz w:w="8960" w:h="14260"/>
          <w:pgMar w:top="640" w:right="620" w:bottom="0" w:left="620" w:header="720" w:footer="720" w:gutter="0"/>
          <w:cols w:num="2" w:space="720" w:equalWidth="0">
            <w:col w:w="3458" w:space="403"/>
            <w:col w:w="3859"/>
          </w:cols>
        </w:sectPr>
      </w:pPr>
    </w:p>
    <w:p w:rsidR="00E675F0" w:rsidRDefault="00E675F0" w:rsidP="00E675F0">
      <w:pPr>
        <w:pStyle w:val="BodyText"/>
      </w:pPr>
    </w:p>
    <w:p w:rsidR="00E675F0" w:rsidRDefault="00E675F0" w:rsidP="00E675F0">
      <w:pPr>
        <w:pStyle w:val="BodyText"/>
      </w:pPr>
    </w:p>
    <w:bookmarkStart w:id="11" w:name="Acknowledgments"/>
    <w:bookmarkStart w:id="12" w:name="_bookmark4"/>
    <w:bookmarkEnd w:id="11"/>
    <w:bookmarkEnd w:id="12"/>
    <w:p w:rsidR="00E675F0" w:rsidRDefault="00E675F0" w:rsidP="00E675F0">
      <w:pPr>
        <w:spacing w:before="260"/>
        <w:ind w:left="882" w:right="871"/>
        <w:jc w:val="center"/>
        <w:rPr>
          <w:rFonts w:ascii="Arial"/>
          <w:b/>
          <w:sz w:val="52"/>
        </w:rPr>
      </w:pPr>
      <w:r>
        <w:fldChar w:fldCharType="begin"/>
      </w:r>
      <w:r>
        <w:instrText xml:space="preserve"> HYPERLINK \l "_bookmark0" </w:instrText>
      </w:r>
      <w:r>
        <w:fldChar w:fldCharType="separate"/>
      </w:r>
      <w:r>
        <w:rPr>
          <w:rFonts w:ascii="Arial"/>
          <w:b/>
          <w:w w:val="105"/>
          <w:sz w:val="52"/>
        </w:rPr>
        <w:t>Acknowledgments</w:t>
      </w:r>
      <w:r>
        <w:rPr>
          <w:rFonts w:ascii="Arial"/>
          <w:b/>
          <w:w w:val="105"/>
          <w:sz w:val="52"/>
        </w:rPr>
        <w:fldChar w:fldCharType="end"/>
      </w:r>
    </w:p>
    <w:p w:rsidR="00E675F0" w:rsidRDefault="00E675F0" w:rsidP="00E675F0">
      <w:pPr>
        <w:pStyle w:val="BodyText"/>
        <w:rPr>
          <w:rFonts w:ascii="Arial"/>
          <w:b/>
        </w:rPr>
      </w:pPr>
    </w:p>
    <w:p w:rsidR="00E675F0" w:rsidRDefault="00E675F0" w:rsidP="00E675F0">
      <w:pPr>
        <w:pStyle w:val="BodyText"/>
        <w:rPr>
          <w:rFonts w:ascii="Arial"/>
          <w:b/>
        </w:rPr>
      </w:pPr>
    </w:p>
    <w:p w:rsidR="00E675F0" w:rsidRDefault="00E675F0" w:rsidP="00E675F0">
      <w:pPr>
        <w:pStyle w:val="BodyText"/>
        <w:rPr>
          <w:rFonts w:ascii="Arial"/>
          <w:b/>
        </w:rPr>
      </w:pPr>
    </w:p>
    <w:p w:rsidR="00E675F0" w:rsidRDefault="00E675F0" w:rsidP="00E675F0">
      <w:pPr>
        <w:pStyle w:val="BodyText"/>
        <w:rPr>
          <w:rFonts w:ascii="Arial"/>
          <w:b/>
        </w:rPr>
      </w:pPr>
    </w:p>
    <w:p w:rsidR="00E675F0" w:rsidRDefault="00E675F0" w:rsidP="00E675F0">
      <w:pPr>
        <w:pStyle w:val="BodyText"/>
        <w:rPr>
          <w:rFonts w:ascii="Arial"/>
          <w:b/>
        </w:rPr>
      </w:pPr>
    </w:p>
    <w:p w:rsidR="00E675F0" w:rsidRDefault="00E675F0" w:rsidP="00E675F0">
      <w:pPr>
        <w:pStyle w:val="BodyText"/>
        <w:rPr>
          <w:rFonts w:ascii="Arial"/>
          <w:b/>
        </w:rPr>
      </w:pPr>
    </w:p>
    <w:p w:rsidR="00E675F0" w:rsidRDefault="00E675F0" w:rsidP="00E675F0">
      <w:pPr>
        <w:pStyle w:val="BodyText"/>
        <w:rPr>
          <w:rFonts w:ascii="Arial"/>
          <w:b/>
        </w:rPr>
      </w:pPr>
    </w:p>
    <w:p w:rsidR="00E675F0" w:rsidRDefault="00E675F0" w:rsidP="00E675F0">
      <w:pPr>
        <w:pStyle w:val="BodyText"/>
        <w:rPr>
          <w:rFonts w:ascii="Arial"/>
          <w:b/>
          <w:sz w:val="23"/>
        </w:rPr>
      </w:pPr>
    </w:p>
    <w:p w:rsidR="00E675F0" w:rsidRDefault="00E675F0" w:rsidP="00E675F0">
      <w:pPr>
        <w:pStyle w:val="BodyText"/>
        <w:spacing w:before="1" w:line="256" w:lineRule="auto"/>
        <w:ind w:left="693" w:right="113" w:hanging="6"/>
        <w:jc w:val="both"/>
      </w:pPr>
      <w:r>
        <w:rPr>
          <w:noProof/>
        </w:rPr>
        <mc:AlternateContent>
          <mc:Choice Requires="wps">
            <w:drawing>
              <wp:anchor distT="0" distB="0" distL="114300" distR="114300" simplePos="0" relativeHeight="251738112" behindDoc="1" locked="0" layoutInCell="1" allowOverlap="1" wp14:anchorId="41E6738B" wp14:editId="40EB7064">
                <wp:simplePos x="0" y="0"/>
                <wp:positionH relativeFrom="page">
                  <wp:posOffset>485775</wp:posOffset>
                </wp:positionH>
                <wp:positionV relativeFrom="paragraph">
                  <wp:posOffset>-135890</wp:posOffset>
                </wp:positionV>
                <wp:extent cx="346075" cy="514350"/>
                <wp:effectExtent l="0" t="0" r="0" b="0"/>
                <wp:wrapNone/>
                <wp:docPr id="1725" name="Text Box 1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607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5F0" w:rsidRDefault="00E675F0" w:rsidP="00E675F0">
                            <w:pPr>
                              <w:spacing w:line="809" w:lineRule="exact"/>
                              <w:rPr>
                                <w:sz w:val="73"/>
                              </w:rPr>
                            </w:pPr>
                            <w:r>
                              <w:rPr>
                                <w:w w:val="103"/>
                                <w:sz w:val="73"/>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6738B" id="Text Box 1681" o:spid="_x0000_s1040" type="#_x0000_t202" style="position:absolute;left:0;text-align:left;margin-left:38.25pt;margin-top:-10.7pt;width:27.25pt;height:40.5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" filled="f" stroked="f">
                <v:path arrowok="t"/>
                <v:textbox inset="0,0,0,0">
                  <w:txbxContent>
                    <w:p w:rsidR="00E675F0" w:rsidRDefault="00E675F0" w:rsidP="00E675F0">
                      <w:pPr>
                        <w:spacing w:line="809" w:lineRule="exact"/>
                        <w:rPr>
                          <w:sz w:val="73"/>
                        </w:rPr>
                      </w:pPr>
                      <w:r>
                        <w:rPr>
                          <w:w w:val="103"/>
                          <w:sz w:val="73"/>
                        </w:rPr>
                        <w:t>D</w:t>
                      </w:r>
                    </w:p>
                  </w:txbxContent>
                </v:textbox>
                <w10:wrap anchorx="page"/>
              </v:shape>
            </w:pict>
          </mc:Fallback>
        </mc:AlternateContent>
      </w:r>
      <w:r>
        <w:rPr>
          <w:w w:val="105"/>
        </w:rPr>
        <w:t>SM-IV is a team effort. More than 1,000 people (and numerous professional organizations) have helped us in the preparation of this document. Members of</w:t>
      </w:r>
    </w:p>
    <w:p w:rsidR="00E675F0" w:rsidRDefault="00E675F0" w:rsidP="00E675F0">
      <w:pPr>
        <w:pStyle w:val="BodyText"/>
        <w:spacing w:line="259" w:lineRule="auto"/>
        <w:ind w:left="115" w:right="105"/>
        <w:jc w:val="both"/>
      </w:pPr>
      <w:r>
        <w:rPr>
          <w:w w:val="105"/>
        </w:rPr>
        <w:t>the</w:t>
      </w:r>
      <w:r>
        <w:rPr>
          <w:spacing w:val="-11"/>
          <w:w w:val="105"/>
        </w:rPr>
        <w:t xml:space="preserve"> </w:t>
      </w:r>
      <w:r>
        <w:rPr>
          <w:w w:val="105"/>
        </w:rPr>
        <w:t>Task</w:t>
      </w:r>
      <w:r>
        <w:rPr>
          <w:spacing w:val="-14"/>
          <w:w w:val="105"/>
        </w:rPr>
        <w:t xml:space="preserve"> </w:t>
      </w:r>
      <w:r>
        <w:rPr>
          <w:w w:val="105"/>
        </w:rPr>
        <w:t>Force</w:t>
      </w:r>
      <w:r>
        <w:rPr>
          <w:spacing w:val="-16"/>
          <w:w w:val="105"/>
        </w:rPr>
        <w:t xml:space="preserve"> </w:t>
      </w:r>
      <w:r>
        <w:rPr>
          <w:w w:val="105"/>
        </w:rPr>
        <w:t>on</w:t>
      </w:r>
      <w:r>
        <w:rPr>
          <w:spacing w:val="-5"/>
          <w:w w:val="105"/>
        </w:rPr>
        <w:t xml:space="preserve"> </w:t>
      </w:r>
      <w:r>
        <w:rPr>
          <w:w w:val="105"/>
        </w:rPr>
        <w:t>DSM-IV</w:t>
      </w:r>
      <w:r>
        <w:rPr>
          <w:spacing w:val="-18"/>
          <w:w w:val="105"/>
        </w:rPr>
        <w:t xml:space="preserve"> </w:t>
      </w:r>
      <w:r>
        <w:rPr>
          <w:w w:val="105"/>
        </w:rPr>
        <w:t>and</w:t>
      </w:r>
      <w:r>
        <w:rPr>
          <w:spacing w:val="17"/>
          <w:w w:val="105"/>
        </w:rPr>
        <w:t xml:space="preserve"> </w:t>
      </w:r>
      <w:r>
        <w:rPr>
          <w:w w:val="105"/>
        </w:rPr>
        <w:t>DSM-IV</w:t>
      </w:r>
      <w:r>
        <w:rPr>
          <w:spacing w:val="-18"/>
          <w:w w:val="105"/>
        </w:rPr>
        <w:t xml:space="preserve"> </w:t>
      </w:r>
      <w:r>
        <w:rPr>
          <w:w w:val="105"/>
        </w:rPr>
        <w:t>Staff</w:t>
      </w:r>
      <w:r>
        <w:rPr>
          <w:spacing w:val="-13"/>
          <w:w w:val="105"/>
        </w:rPr>
        <w:t xml:space="preserve"> </w:t>
      </w:r>
      <w:r>
        <w:rPr>
          <w:w w:val="105"/>
        </w:rPr>
        <w:t>are</w:t>
      </w:r>
      <w:r>
        <w:rPr>
          <w:spacing w:val="-19"/>
          <w:w w:val="105"/>
        </w:rPr>
        <w:t xml:space="preserve"> </w:t>
      </w:r>
      <w:r>
        <w:rPr>
          <w:w w:val="105"/>
        </w:rPr>
        <w:t>listed</w:t>
      </w:r>
      <w:r>
        <w:rPr>
          <w:spacing w:val="-17"/>
          <w:w w:val="105"/>
        </w:rPr>
        <w:t xml:space="preserve"> </w:t>
      </w:r>
      <w:r>
        <w:rPr>
          <w:w w:val="105"/>
        </w:rPr>
        <w:t>on</w:t>
      </w:r>
      <w:r>
        <w:rPr>
          <w:spacing w:val="-7"/>
          <w:w w:val="105"/>
        </w:rPr>
        <w:t xml:space="preserve"> </w:t>
      </w:r>
      <w:r>
        <w:rPr>
          <w:w w:val="105"/>
        </w:rPr>
        <w:t>p.</w:t>
      </w:r>
      <w:r>
        <w:rPr>
          <w:spacing w:val="-20"/>
          <w:w w:val="105"/>
        </w:rPr>
        <w:t xml:space="preserve"> </w:t>
      </w:r>
      <w:r>
        <w:rPr>
          <w:w w:val="105"/>
        </w:rPr>
        <w:t>ix,</w:t>
      </w:r>
      <w:r>
        <w:rPr>
          <w:spacing w:val="-17"/>
          <w:w w:val="105"/>
        </w:rPr>
        <w:t xml:space="preserve"> </w:t>
      </w:r>
      <w:r>
        <w:rPr>
          <w:w w:val="105"/>
        </w:rPr>
        <w:t>members</w:t>
      </w:r>
      <w:r>
        <w:rPr>
          <w:spacing w:val="-14"/>
          <w:w w:val="105"/>
        </w:rPr>
        <w:t xml:space="preserve"> </w:t>
      </w:r>
      <w:r>
        <w:rPr>
          <w:w w:val="105"/>
        </w:rPr>
        <w:t>of</w:t>
      </w:r>
      <w:r>
        <w:rPr>
          <w:spacing w:val="-15"/>
          <w:w w:val="105"/>
        </w:rPr>
        <w:t xml:space="preserve"> </w:t>
      </w:r>
      <w:r>
        <w:rPr>
          <w:w w:val="105"/>
        </w:rPr>
        <w:t>the</w:t>
      </w:r>
      <w:r>
        <w:rPr>
          <w:spacing w:val="-18"/>
          <w:w w:val="105"/>
        </w:rPr>
        <w:t xml:space="preserve"> </w:t>
      </w:r>
      <w:r>
        <w:rPr>
          <w:w w:val="105"/>
        </w:rPr>
        <w:t>DSM-IV Work Groups are listed on pp. x-xii, and a list of other participants is included in Appendix].</w:t>
      </w:r>
    </w:p>
    <w:p w:rsidR="00E675F0" w:rsidRDefault="00E675F0" w:rsidP="00E675F0">
      <w:pPr>
        <w:pStyle w:val="BodyText"/>
        <w:spacing w:line="254" w:lineRule="auto"/>
        <w:ind w:left="115" w:right="109" w:firstLine="357"/>
        <w:jc w:val="both"/>
      </w:pPr>
      <w:r>
        <w:rPr>
          <w:w w:val="105"/>
        </w:rPr>
        <w:t>The major responsibility for the content of DSM-IV rests with the Task Force on DSM-IV and members of the DSM-IV Work Groups. They have worked (often much harder than they bargained for) with a dedication and good cheer that has been inspirational to us. Bob Spitzer has our special thanks for his untiring efforts and unique perspective. Norman Sartorius, Darrel Regier, Lewis Judd, Fred Goodwin, and Chuck Kaelber were instrumental in facilitating a mutually productive interchange between the American Psychiatric Association and the World Health Organization that has improved both DSM-IV and ICD-10, and increased their compatibility. We are grateful to Robert Israel,</w:t>
      </w:r>
      <w:r>
        <w:rPr>
          <w:spacing w:val="-9"/>
          <w:w w:val="105"/>
        </w:rPr>
        <w:t xml:space="preserve"> </w:t>
      </w:r>
      <w:r>
        <w:rPr>
          <w:w w:val="105"/>
        </w:rPr>
        <w:t>Sue</w:t>
      </w:r>
      <w:r>
        <w:rPr>
          <w:spacing w:val="-14"/>
          <w:w w:val="105"/>
        </w:rPr>
        <w:t xml:space="preserve"> </w:t>
      </w:r>
      <w:r>
        <w:rPr>
          <w:w w:val="105"/>
        </w:rPr>
        <w:t>Meads,</w:t>
      </w:r>
      <w:r>
        <w:rPr>
          <w:spacing w:val="-5"/>
          <w:w w:val="105"/>
        </w:rPr>
        <w:t xml:space="preserve"> </w:t>
      </w:r>
      <w:r>
        <w:rPr>
          <w:w w:val="105"/>
        </w:rPr>
        <w:t>and</w:t>
      </w:r>
      <w:r>
        <w:rPr>
          <w:spacing w:val="-10"/>
          <w:w w:val="105"/>
        </w:rPr>
        <w:t xml:space="preserve"> </w:t>
      </w:r>
      <w:r>
        <w:rPr>
          <w:w w:val="105"/>
        </w:rPr>
        <w:t>Amy</w:t>
      </w:r>
      <w:r>
        <w:rPr>
          <w:spacing w:val="-8"/>
          <w:w w:val="105"/>
        </w:rPr>
        <w:t xml:space="preserve"> </w:t>
      </w:r>
      <w:r>
        <w:rPr>
          <w:w w:val="105"/>
        </w:rPr>
        <w:t>Blum</w:t>
      </w:r>
      <w:r>
        <w:rPr>
          <w:spacing w:val="-11"/>
          <w:w w:val="105"/>
        </w:rPr>
        <w:t xml:space="preserve"> </w:t>
      </w:r>
      <w:r>
        <w:rPr>
          <w:w w:val="105"/>
        </w:rPr>
        <w:t>at</w:t>
      </w:r>
      <w:r>
        <w:rPr>
          <w:spacing w:val="-11"/>
          <w:w w:val="105"/>
        </w:rPr>
        <w:t xml:space="preserve"> </w:t>
      </w:r>
      <w:r>
        <w:rPr>
          <w:w w:val="105"/>
        </w:rPr>
        <w:t>the</w:t>
      </w:r>
      <w:r>
        <w:rPr>
          <w:spacing w:val="-10"/>
          <w:w w:val="105"/>
        </w:rPr>
        <w:t xml:space="preserve"> </w:t>
      </w:r>
      <w:r>
        <w:rPr>
          <w:w w:val="105"/>
        </w:rPr>
        <w:t>National</w:t>
      </w:r>
      <w:r>
        <w:rPr>
          <w:spacing w:val="1"/>
          <w:w w:val="105"/>
        </w:rPr>
        <w:t xml:space="preserve"> </w:t>
      </w:r>
      <w:r>
        <w:rPr>
          <w:w w:val="105"/>
        </w:rPr>
        <w:t>Center</w:t>
      </w:r>
      <w:r>
        <w:rPr>
          <w:spacing w:val="-12"/>
          <w:w w:val="105"/>
        </w:rPr>
        <w:t xml:space="preserve"> </w:t>
      </w:r>
      <w:r>
        <w:rPr>
          <w:w w:val="105"/>
        </w:rPr>
        <w:t>for</w:t>
      </w:r>
      <w:r>
        <w:rPr>
          <w:spacing w:val="-10"/>
          <w:w w:val="105"/>
        </w:rPr>
        <w:t xml:space="preserve"> </w:t>
      </w:r>
      <w:r>
        <w:rPr>
          <w:w w:val="105"/>
        </w:rPr>
        <w:t>Health</w:t>
      </w:r>
      <w:r>
        <w:rPr>
          <w:spacing w:val="-12"/>
          <w:w w:val="105"/>
        </w:rPr>
        <w:t xml:space="preserve"> </w:t>
      </w:r>
      <w:r>
        <w:rPr>
          <w:w w:val="105"/>
        </w:rPr>
        <w:t>Statistics</w:t>
      </w:r>
      <w:r>
        <w:rPr>
          <w:spacing w:val="-10"/>
          <w:w w:val="105"/>
        </w:rPr>
        <w:t xml:space="preserve"> </w:t>
      </w:r>
      <w:r>
        <w:rPr>
          <w:w w:val="105"/>
        </w:rPr>
        <w:t>and</w:t>
      </w:r>
      <w:r>
        <w:rPr>
          <w:spacing w:val="-10"/>
          <w:w w:val="105"/>
        </w:rPr>
        <w:t xml:space="preserve"> </w:t>
      </w:r>
      <w:r>
        <w:rPr>
          <w:w w:val="105"/>
        </w:rPr>
        <w:t>Andrea Albaum-Feinstein at the American Health Information Management Association for suggestions</w:t>
      </w:r>
      <w:r>
        <w:rPr>
          <w:spacing w:val="-13"/>
          <w:w w:val="105"/>
        </w:rPr>
        <w:t xml:space="preserve"> </w:t>
      </w:r>
      <w:r>
        <w:rPr>
          <w:w w:val="105"/>
        </w:rPr>
        <w:t>on</w:t>
      </w:r>
      <w:r>
        <w:rPr>
          <w:spacing w:val="-9"/>
          <w:w w:val="105"/>
        </w:rPr>
        <w:t xml:space="preserve"> </w:t>
      </w:r>
      <w:r>
        <w:rPr>
          <w:w w:val="105"/>
        </w:rPr>
        <w:t>the</w:t>
      </w:r>
      <w:r>
        <w:rPr>
          <w:spacing w:val="-22"/>
          <w:w w:val="105"/>
        </w:rPr>
        <w:t xml:space="preserve"> </w:t>
      </w:r>
      <w:r>
        <w:rPr>
          <w:w w:val="105"/>
        </w:rPr>
        <w:t>DSM-IV</w:t>
      </w:r>
      <w:r>
        <w:rPr>
          <w:spacing w:val="-17"/>
          <w:w w:val="105"/>
        </w:rPr>
        <w:t xml:space="preserve"> </w:t>
      </w:r>
      <w:r>
        <w:rPr>
          <w:w w:val="105"/>
        </w:rPr>
        <w:t>coding</w:t>
      </w:r>
      <w:r>
        <w:rPr>
          <w:spacing w:val="-23"/>
          <w:w w:val="105"/>
        </w:rPr>
        <w:t xml:space="preserve"> </w:t>
      </w:r>
      <w:r>
        <w:rPr>
          <w:w w:val="105"/>
        </w:rPr>
        <w:t>system.</w:t>
      </w:r>
      <w:r>
        <w:rPr>
          <w:spacing w:val="-17"/>
          <w:w w:val="105"/>
        </w:rPr>
        <w:t xml:space="preserve"> </w:t>
      </w:r>
      <w:r>
        <w:rPr>
          <w:w w:val="105"/>
        </w:rPr>
        <w:t>Denis</w:t>
      </w:r>
      <w:r>
        <w:rPr>
          <w:spacing w:val="-21"/>
          <w:w w:val="105"/>
        </w:rPr>
        <w:t xml:space="preserve"> </w:t>
      </w:r>
      <w:r>
        <w:rPr>
          <w:w w:val="105"/>
        </w:rPr>
        <w:t>Prager,</w:t>
      </w:r>
      <w:r>
        <w:rPr>
          <w:spacing w:val="-17"/>
          <w:w w:val="105"/>
        </w:rPr>
        <w:t xml:space="preserve"> </w:t>
      </w:r>
      <w:r>
        <w:rPr>
          <w:w w:val="105"/>
        </w:rPr>
        <w:t>Peter</w:t>
      </w:r>
      <w:r>
        <w:rPr>
          <w:spacing w:val="-16"/>
          <w:w w:val="105"/>
        </w:rPr>
        <w:t xml:space="preserve"> </w:t>
      </w:r>
      <w:r>
        <w:rPr>
          <w:w w:val="105"/>
        </w:rPr>
        <w:t>Nathan,</w:t>
      </w:r>
      <w:r>
        <w:rPr>
          <w:spacing w:val="-17"/>
          <w:w w:val="105"/>
        </w:rPr>
        <w:t xml:space="preserve"> </w:t>
      </w:r>
      <w:r>
        <w:rPr>
          <w:w w:val="105"/>
        </w:rPr>
        <w:t>and</w:t>
      </w:r>
      <w:r>
        <w:rPr>
          <w:spacing w:val="-19"/>
          <w:w w:val="105"/>
        </w:rPr>
        <w:t xml:space="preserve"> </w:t>
      </w:r>
      <w:r>
        <w:rPr>
          <w:w w:val="105"/>
        </w:rPr>
        <w:t>David</w:t>
      </w:r>
      <w:r>
        <w:rPr>
          <w:spacing w:val="-12"/>
          <w:w w:val="105"/>
        </w:rPr>
        <w:t xml:space="preserve"> </w:t>
      </w:r>
      <w:r>
        <w:rPr>
          <w:w w:val="105"/>
        </w:rPr>
        <w:t>Kupfer helped us to develop a novel data reanalysis strategy that has been supported with funding from the John D. and Catherine T. MacArthur</w:t>
      </w:r>
      <w:r>
        <w:rPr>
          <w:spacing w:val="38"/>
          <w:w w:val="105"/>
        </w:rPr>
        <w:t xml:space="preserve"> </w:t>
      </w:r>
      <w:r>
        <w:rPr>
          <w:w w:val="105"/>
        </w:rPr>
        <w:t>Foundation.</w:t>
      </w:r>
    </w:p>
    <w:p w:rsidR="00E675F0" w:rsidRDefault="00E675F0" w:rsidP="00E675F0">
      <w:pPr>
        <w:pStyle w:val="BodyText"/>
        <w:spacing w:line="252" w:lineRule="auto"/>
        <w:ind w:left="115" w:right="102" w:firstLine="365"/>
        <w:jc w:val="both"/>
      </w:pPr>
      <w:r>
        <w:rPr>
          <w:w w:val="105"/>
        </w:rPr>
        <w:t>Many individuals within the American Psychiatric Association deserve recognition. Mel Sabshin's special wisdom and grace made even the most tedious tasks seem worth doing. The American Psychiatric Association Committee on Psychiatric Diagnosis and Assessment (chaired by Layton McCurdy) provided valuable direction and counsel. We would also like to thank the American Psychiatric Association Presidents (Drs. Fink, Pardes,</w:t>
      </w:r>
      <w:r>
        <w:rPr>
          <w:spacing w:val="-14"/>
          <w:w w:val="105"/>
        </w:rPr>
        <w:t xml:space="preserve"> </w:t>
      </w:r>
      <w:r>
        <w:rPr>
          <w:w w:val="105"/>
        </w:rPr>
        <w:t>Benedek,</w:t>
      </w:r>
      <w:r>
        <w:rPr>
          <w:spacing w:val="-10"/>
          <w:w w:val="105"/>
        </w:rPr>
        <w:t xml:space="preserve"> </w:t>
      </w:r>
      <w:r>
        <w:rPr>
          <w:w w:val="105"/>
        </w:rPr>
        <w:t>Hartmann,</w:t>
      </w:r>
      <w:r>
        <w:rPr>
          <w:spacing w:val="-10"/>
          <w:w w:val="105"/>
        </w:rPr>
        <w:t xml:space="preserve"> </w:t>
      </w:r>
      <w:r>
        <w:rPr>
          <w:w w:val="105"/>
        </w:rPr>
        <w:t>English,</w:t>
      </w:r>
      <w:r>
        <w:rPr>
          <w:spacing w:val="-13"/>
          <w:w w:val="105"/>
        </w:rPr>
        <w:t xml:space="preserve"> </w:t>
      </w:r>
      <w:r>
        <w:rPr>
          <w:w w:val="105"/>
        </w:rPr>
        <w:t>and</w:t>
      </w:r>
      <w:r>
        <w:rPr>
          <w:spacing w:val="-22"/>
          <w:w w:val="105"/>
        </w:rPr>
        <w:t xml:space="preserve"> </w:t>
      </w:r>
      <w:r>
        <w:rPr>
          <w:w w:val="105"/>
        </w:rPr>
        <w:t>McIntyre)</w:t>
      </w:r>
      <w:r>
        <w:rPr>
          <w:spacing w:val="-17"/>
          <w:w w:val="105"/>
        </w:rPr>
        <w:t xml:space="preserve"> </w:t>
      </w:r>
      <w:r>
        <w:rPr>
          <w:w w:val="105"/>
        </w:rPr>
        <w:t>and</w:t>
      </w:r>
      <w:r>
        <w:rPr>
          <w:spacing w:val="-25"/>
          <w:w w:val="105"/>
        </w:rPr>
        <w:t xml:space="preserve"> </w:t>
      </w:r>
      <w:r>
        <w:rPr>
          <w:w w:val="105"/>
        </w:rPr>
        <w:t>Assembly</w:t>
      </w:r>
      <w:r>
        <w:rPr>
          <w:spacing w:val="-25"/>
          <w:w w:val="105"/>
        </w:rPr>
        <w:t xml:space="preserve"> </w:t>
      </w:r>
      <w:r>
        <w:rPr>
          <w:w w:val="105"/>
        </w:rPr>
        <w:t>Speakers</w:t>
      </w:r>
      <w:r>
        <w:rPr>
          <w:spacing w:val="-22"/>
          <w:w w:val="105"/>
        </w:rPr>
        <w:t xml:space="preserve"> </w:t>
      </w:r>
      <w:r>
        <w:rPr>
          <w:w w:val="105"/>
        </w:rPr>
        <w:t>(Drs.</w:t>
      </w:r>
      <w:r>
        <w:rPr>
          <w:spacing w:val="-20"/>
          <w:w w:val="105"/>
        </w:rPr>
        <w:t xml:space="preserve"> </w:t>
      </w:r>
      <w:r>
        <w:rPr>
          <w:w w:val="105"/>
        </w:rPr>
        <w:t>Cohen, Flamm, Hanin, Pfaehler, and Shellow) who helped with the planning of our work. Carolyn Rabinowitz and Jack White, and their respective staffs in the American Psychiatric</w:t>
      </w:r>
      <w:r>
        <w:rPr>
          <w:spacing w:val="-22"/>
          <w:w w:val="105"/>
        </w:rPr>
        <w:t xml:space="preserve"> </w:t>
      </w:r>
      <w:r>
        <w:rPr>
          <w:w w:val="105"/>
        </w:rPr>
        <w:t>Association</w:t>
      </w:r>
      <w:r>
        <w:rPr>
          <w:spacing w:val="-16"/>
          <w:w w:val="105"/>
        </w:rPr>
        <w:t xml:space="preserve"> </w:t>
      </w:r>
      <w:r>
        <w:rPr>
          <w:w w:val="105"/>
        </w:rPr>
        <w:t>Medical</w:t>
      </w:r>
      <w:r>
        <w:rPr>
          <w:spacing w:val="-16"/>
          <w:w w:val="105"/>
        </w:rPr>
        <w:t xml:space="preserve"> </w:t>
      </w:r>
      <w:r>
        <w:rPr>
          <w:w w:val="105"/>
        </w:rPr>
        <w:t>Director's</w:t>
      </w:r>
      <w:r>
        <w:rPr>
          <w:spacing w:val="-14"/>
          <w:w w:val="105"/>
        </w:rPr>
        <w:t xml:space="preserve"> </w:t>
      </w:r>
      <w:r>
        <w:rPr>
          <w:w w:val="105"/>
        </w:rPr>
        <w:t>Office</w:t>
      </w:r>
      <w:r>
        <w:rPr>
          <w:spacing w:val="-24"/>
          <w:w w:val="105"/>
        </w:rPr>
        <w:t xml:space="preserve"> </w:t>
      </w:r>
      <w:r>
        <w:rPr>
          <w:w w:val="105"/>
        </w:rPr>
        <w:t>and</w:t>
      </w:r>
      <w:r>
        <w:rPr>
          <w:spacing w:val="-20"/>
          <w:w w:val="105"/>
        </w:rPr>
        <w:t xml:space="preserve"> </w:t>
      </w:r>
      <w:r>
        <w:rPr>
          <w:w w:val="105"/>
        </w:rPr>
        <w:t>the</w:t>
      </w:r>
      <w:r>
        <w:rPr>
          <w:spacing w:val="-23"/>
          <w:w w:val="105"/>
        </w:rPr>
        <w:t xml:space="preserve"> </w:t>
      </w:r>
      <w:r>
        <w:rPr>
          <w:w w:val="105"/>
        </w:rPr>
        <w:t>Business</w:t>
      </w:r>
      <w:r>
        <w:rPr>
          <w:spacing w:val="-20"/>
          <w:w w:val="105"/>
        </w:rPr>
        <w:t xml:space="preserve"> </w:t>
      </w:r>
      <w:r>
        <w:rPr>
          <w:w w:val="105"/>
        </w:rPr>
        <w:t>Administration</w:t>
      </w:r>
      <w:r>
        <w:rPr>
          <w:spacing w:val="-27"/>
          <w:w w:val="105"/>
        </w:rPr>
        <w:t xml:space="preserve"> </w:t>
      </w:r>
      <w:r>
        <w:rPr>
          <w:w w:val="105"/>
        </w:rPr>
        <w:t>Office, have provided valuable assistance in the organization of the</w:t>
      </w:r>
      <w:r>
        <w:rPr>
          <w:spacing w:val="1"/>
          <w:w w:val="105"/>
        </w:rPr>
        <w:t xml:space="preserve"> </w:t>
      </w:r>
      <w:r>
        <w:rPr>
          <w:w w:val="105"/>
        </w:rPr>
        <w:t>project.</w:t>
      </w:r>
    </w:p>
    <w:p w:rsidR="00E675F0" w:rsidRDefault="00E675F0" w:rsidP="00E675F0">
      <w:pPr>
        <w:pStyle w:val="BodyText"/>
        <w:spacing w:line="254" w:lineRule="auto"/>
        <w:ind w:left="116" w:right="105" w:firstLine="360"/>
        <w:jc w:val="both"/>
      </w:pPr>
      <w:r>
        <w:rPr>
          <w:w w:val="105"/>
        </w:rPr>
        <w:t>Several</w:t>
      </w:r>
      <w:r>
        <w:rPr>
          <w:spacing w:val="-15"/>
          <w:w w:val="105"/>
        </w:rPr>
        <w:t xml:space="preserve"> </w:t>
      </w:r>
      <w:r>
        <w:rPr>
          <w:w w:val="105"/>
        </w:rPr>
        <w:t>other</w:t>
      </w:r>
      <w:r>
        <w:rPr>
          <w:spacing w:val="-16"/>
          <w:w w:val="105"/>
        </w:rPr>
        <w:t xml:space="preserve"> </w:t>
      </w:r>
      <w:r>
        <w:rPr>
          <w:w w:val="105"/>
        </w:rPr>
        <w:t>individuals</w:t>
      </w:r>
      <w:r>
        <w:rPr>
          <w:spacing w:val="1"/>
          <w:w w:val="105"/>
        </w:rPr>
        <w:t xml:space="preserve"> </w:t>
      </w:r>
      <w:r>
        <w:rPr>
          <w:w w:val="105"/>
        </w:rPr>
        <w:t>have</w:t>
      </w:r>
      <w:r>
        <w:rPr>
          <w:spacing w:val="-16"/>
          <w:w w:val="105"/>
        </w:rPr>
        <w:t xml:space="preserve"> </w:t>
      </w:r>
      <w:r>
        <w:rPr>
          <w:w w:val="105"/>
        </w:rPr>
        <w:t>our</w:t>
      </w:r>
      <w:r>
        <w:rPr>
          <w:spacing w:val="-19"/>
          <w:w w:val="105"/>
        </w:rPr>
        <w:t xml:space="preserve"> </w:t>
      </w:r>
      <w:r>
        <w:rPr>
          <w:w w:val="105"/>
        </w:rPr>
        <w:t>special</w:t>
      </w:r>
      <w:r>
        <w:rPr>
          <w:spacing w:val="-8"/>
          <w:w w:val="105"/>
        </w:rPr>
        <w:t xml:space="preserve"> </w:t>
      </w:r>
      <w:r>
        <w:rPr>
          <w:w w:val="105"/>
        </w:rPr>
        <w:t>gratitude.</w:t>
      </w:r>
      <w:r>
        <w:rPr>
          <w:spacing w:val="-6"/>
          <w:w w:val="105"/>
        </w:rPr>
        <w:t xml:space="preserve"> </w:t>
      </w:r>
      <w:r>
        <w:rPr>
          <w:w w:val="105"/>
        </w:rPr>
        <w:t>Wendy</w:t>
      </w:r>
      <w:r>
        <w:rPr>
          <w:spacing w:val="-11"/>
          <w:w w:val="105"/>
        </w:rPr>
        <w:t xml:space="preserve"> </w:t>
      </w:r>
      <w:r>
        <w:rPr>
          <w:w w:val="105"/>
        </w:rPr>
        <w:t>Davis,</w:t>
      </w:r>
      <w:r>
        <w:rPr>
          <w:spacing w:val="-3"/>
          <w:w w:val="105"/>
        </w:rPr>
        <w:t xml:space="preserve"> </w:t>
      </w:r>
      <w:r>
        <w:rPr>
          <w:w w:val="105"/>
        </w:rPr>
        <w:t>Nancy</w:t>
      </w:r>
      <w:r>
        <w:rPr>
          <w:spacing w:val="-16"/>
          <w:w w:val="105"/>
        </w:rPr>
        <w:t xml:space="preserve"> </w:t>
      </w:r>
      <w:r>
        <w:rPr>
          <w:w w:val="105"/>
        </w:rPr>
        <w:t>Vettorello, and Nancy Sydnor-Greenberg developed and implemented an organizational structure that has kept this complex project from spinning out of control. We have also been blessed with an unusually able administrative staff, which has included Elisabeth Fitzhugh, Willa Hall, Kelly McKinney, Gloria Miele, Helen Stayna, Sarah Tilly, Nina Rosenthal,</w:t>
      </w:r>
      <w:r>
        <w:rPr>
          <w:spacing w:val="-7"/>
          <w:w w:val="105"/>
        </w:rPr>
        <w:t xml:space="preserve"> </w:t>
      </w:r>
      <w:r>
        <w:rPr>
          <w:w w:val="105"/>
        </w:rPr>
        <w:t>Susan</w:t>
      </w:r>
      <w:r>
        <w:rPr>
          <w:spacing w:val="-12"/>
          <w:w w:val="105"/>
        </w:rPr>
        <w:t xml:space="preserve"> </w:t>
      </w:r>
      <w:r>
        <w:rPr>
          <w:w w:val="105"/>
        </w:rPr>
        <w:t>Mann,</w:t>
      </w:r>
      <w:r>
        <w:rPr>
          <w:spacing w:val="-30"/>
          <w:w w:val="105"/>
        </w:rPr>
        <w:t xml:space="preserve"> </w:t>
      </w:r>
      <w:r>
        <w:rPr>
          <w:w w:val="105"/>
        </w:rPr>
        <w:t>Joanne</w:t>
      </w:r>
      <w:r>
        <w:rPr>
          <w:spacing w:val="-15"/>
          <w:w w:val="105"/>
        </w:rPr>
        <w:t xml:space="preserve"> </w:t>
      </w:r>
      <w:r>
        <w:rPr>
          <w:w w:val="105"/>
        </w:rPr>
        <w:t>Mas,</w:t>
      </w:r>
      <w:r>
        <w:rPr>
          <w:spacing w:val="-9"/>
          <w:w w:val="105"/>
        </w:rPr>
        <w:t xml:space="preserve"> </w:t>
      </w:r>
      <w:r>
        <w:rPr>
          <w:w w:val="105"/>
        </w:rPr>
        <w:t>and,</w:t>
      </w:r>
      <w:r>
        <w:rPr>
          <w:spacing w:val="-17"/>
          <w:w w:val="105"/>
        </w:rPr>
        <w:t xml:space="preserve"> </w:t>
      </w:r>
      <w:r>
        <w:rPr>
          <w:w w:val="105"/>
        </w:rPr>
        <w:t>especially,</w:t>
      </w:r>
      <w:r>
        <w:rPr>
          <w:spacing w:val="-5"/>
          <w:w w:val="105"/>
        </w:rPr>
        <w:t xml:space="preserve"> </w:t>
      </w:r>
      <w:r>
        <w:rPr>
          <w:w w:val="105"/>
        </w:rPr>
        <w:t>Cindy</w:t>
      </w:r>
      <w:r>
        <w:rPr>
          <w:spacing w:val="-30"/>
          <w:w w:val="105"/>
        </w:rPr>
        <w:t xml:space="preserve"> </w:t>
      </w:r>
      <w:r>
        <w:rPr>
          <w:w w:val="105"/>
        </w:rPr>
        <w:t>Jones.</w:t>
      </w:r>
      <w:r>
        <w:rPr>
          <w:spacing w:val="-11"/>
          <w:w w:val="105"/>
        </w:rPr>
        <w:t xml:space="preserve"> </w:t>
      </w:r>
      <w:r>
        <w:rPr>
          <w:w w:val="105"/>
        </w:rPr>
        <w:t>Ruth</w:t>
      </w:r>
      <w:r>
        <w:rPr>
          <w:spacing w:val="-10"/>
          <w:w w:val="105"/>
        </w:rPr>
        <w:t xml:space="preserve"> </w:t>
      </w:r>
      <w:r>
        <w:rPr>
          <w:w w:val="105"/>
        </w:rPr>
        <w:t>Ross,</w:t>
      </w:r>
      <w:r>
        <w:rPr>
          <w:spacing w:val="-7"/>
          <w:w w:val="105"/>
        </w:rPr>
        <w:t xml:space="preserve"> </w:t>
      </w:r>
      <w:r>
        <w:rPr>
          <w:w w:val="105"/>
        </w:rPr>
        <w:t>our</w:t>
      </w:r>
      <w:r>
        <w:rPr>
          <w:spacing w:val="-18"/>
          <w:w w:val="105"/>
        </w:rPr>
        <w:t xml:space="preserve"> </w:t>
      </w:r>
      <w:r>
        <w:rPr>
          <w:w w:val="105"/>
        </w:rPr>
        <w:t>tireless Science</w:t>
      </w:r>
      <w:r>
        <w:rPr>
          <w:spacing w:val="9"/>
          <w:w w:val="105"/>
        </w:rPr>
        <w:t xml:space="preserve"> </w:t>
      </w:r>
      <w:r>
        <w:rPr>
          <w:w w:val="105"/>
        </w:rPr>
        <w:t>Writer,</w:t>
      </w:r>
      <w:r>
        <w:rPr>
          <w:spacing w:val="13"/>
          <w:w w:val="105"/>
        </w:rPr>
        <w:t xml:space="preserve"> </w:t>
      </w:r>
      <w:r>
        <w:rPr>
          <w:w w:val="105"/>
        </w:rPr>
        <w:t>has</w:t>
      </w:r>
      <w:r>
        <w:rPr>
          <w:spacing w:val="4"/>
          <w:w w:val="105"/>
        </w:rPr>
        <w:t xml:space="preserve"> </w:t>
      </w:r>
      <w:r>
        <w:rPr>
          <w:w w:val="105"/>
        </w:rPr>
        <w:t>been</w:t>
      </w:r>
      <w:r>
        <w:rPr>
          <w:spacing w:val="11"/>
          <w:w w:val="105"/>
        </w:rPr>
        <w:t xml:space="preserve"> </w:t>
      </w:r>
      <w:r>
        <w:rPr>
          <w:w w:val="105"/>
        </w:rPr>
        <w:t>responsible</w:t>
      </w:r>
      <w:r>
        <w:rPr>
          <w:spacing w:val="13"/>
          <w:w w:val="105"/>
        </w:rPr>
        <w:t xml:space="preserve"> </w:t>
      </w:r>
      <w:r>
        <w:rPr>
          <w:w w:val="105"/>
        </w:rPr>
        <w:t>for</w:t>
      </w:r>
      <w:r>
        <w:rPr>
          <w:spacing w:val="6"/>
          <w:w w:val="105"/>
        </w:rPr>
        <w:t xml:space="preserve"> </w:t>
      </w:r>
      <w:r>
        <w:rPr>
          <w:w w:val="105"/>
        </w:rPr>
        <w:t>improving</w:t>
      </w:r>
      <w:r>
        <w:rPr>
          <w:spacing w:val="14"/>
          <w:w w:val="105"/>
        </w:rPr>
        <w:t xml:space="preserve"> </w:t>
      </w:r>
      <w:r>
        <w:rPr>
          <w:w w:val="105"/>
        </w:rPr>
        <w:t>the</w:t>
      </w:r>
      <w:r>
        <w:rPr>
          <w:spacing w:val="2"/>
          <w:w w:val="105"/>
        </w:rPr>
        <w:t xml:space="preserve"> </w:t>
      </w:r>
      <w:r>
        <w:rPr>
          <w:w w:val="105"/>
        </w:rPr>
        <w:t>clarity</w:t>
      </w:r>
      <w:r>
        <w:rPr>
          <w:spacing w:val="5"/>
          <w:w w:val="105"/>
        </w:rPr>
        <w:t xml:space="preserve"> </w:t>
      </w:r>
      <w:r>
        <w:rPr>
          <w:w w:val="105"/>
        </w:rPr>
        <w:t>of</w:t>
      </w:r>
      <w:r>
        <w:rPr>
          <w:spacing w:val="10"/>
          <w:w w:val="105"/>
        </w:rPr>
        <w:t xml:space="preserve"> </w:t>
      </w:r>
      <w:r>
        <w:rPr>
          <w:w w:val="105"/>
        </w:rPr>
        <w:t>expression</w:t>
      </w:r>
      <w:r>
        <w:rPr>
          <w:spacing w:val="13"/>
          <w:w w:val="105"/>
        </w:rPr>
        <w:t xml:space="preserve"> </w:t>
      </w:r>
      <w:r>
        <w:rPr>
          <w:w w:val="105"/>
        </w:rPr>
        <w:t>and</w:t>
      </w:r>
    </w:p>
    <w:p w:rsidR="00E675F0" w:rsidRDefault="00E675F0" w:rsidP="00E675F0">
      <w:pPr>
        <w:pStyle w:val="BodyText"/>
        <w:spacing w:before="1"/>
        <w:rPr>
          <w:sz w:val="17"/>
        </w:rPr>
      </w:pPr>
      <w:r>
        <w:rPr>
          <w:noProof/>
        </w:rPr>
        <mc:AlternateContent>
          <mc:Choice Requires="wps">
            <w:drawing>
              <wp:anchor distT="0" distB="0" distL="0" distR="0" simplePos="0" relativeHeight="251819008" behindDoc="1" locked="0" layoutInCell="1" allowOverlap="1" wp14:anchorId="23437E74" wp14:editId="6F56DE9C">
                <wp:simplePos x="0" y="0"/>
                <wp:positionH relativeFrom="page">
                  <wp:posOffset>474980</wp:posOffset>
                </wp:positionH>
                <wp:positionV relativeFrom="paragraph">
                  <wp:posOffset>153035</wp:posOffset>
                </wp:positionV>
                <wp:extent cx="4742180" cy="1270"/>
                <wp:effectExtent l="0" t="0" r="0" b="0"/>
                <wp:wrapTopAndBottom/>
                <wp:docPr id="1724" name="Freeform 16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42180" cy="1270"/>
                        </a:xfrm>
                        <a:custGeom>
                          <a:avLst/>
                          <a:gdLst>
                            <a:gd name="T0" fmla="+- 0 748 748"/>
                            <a:gd name="T1" fmla="*/ T0 w 7468"/>
                            <a:gd name="T2" fmla="+- 0 8216 748"/>
                            <a:gd name="T3" fmla="*/ T2 w 7468"/>
                          </a:gdLst>
                          <a:ahLst/>
                          <a:cxnLst>
                            <a:cxn ang="0">
                              <a:pos x="T1" y="0"/>
                            </a:cxn>
                            <a:cxn ang="0">
                              <a:pos x="T3" y="0"/>
                            </a:cxn>
                          </a:cxnLst>
                          <a:rect l="0" t="0" r="r" b="b"/>
                          <a:pathLst>
                            <a:path w="7468">
                              <a:moveTo>
                                <a:pt x="0" y="0"/>
                              </a:moveTo>
                              <a:lnTo>
                                <a:pt x="7468" y="0"/>
                              </a:lnTo>
                            </a:path>
                          </a:pathLst>
                        </a:custGeom>
                        <a:noFill/>
                        <a:ln w="610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D87AB" id="Freeform 1680" o:spid="_x0000_s1026" style="position:absolute;margin-left:37.4pt;margin-top:12.05pt;width:373.4pt;height:.1pt;z-index:-251497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468,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" path="m,l7468,e" filled="f" strokeweight=".1695mm">
                <v:path arrowok="t" o:connecttype="custom" o:connectlocs="0,0;4742180,0" o:connectangles="0,0"/>
                <w10:wrap type="topAndBottom" anchorx="page"/>
              </v:shape>
            </w:pict>
          </mc:Fallback>
        </mc:AlternateContent>
      </w:r>
    </w:p>
    <w:p w:rsidR="00E675F0" w:rsidRDefault="00E675F0" w:rsidP="00E675F0">
      <w:pPr>
        <w:spacing w:before="20"/>
        <w:ind w:left="882" w:right="846"/>
        <w:jc w:val="center"/>
      </w:pPr>
      <w:r>
        <w:rPr>
          <w:w w:val="125"/>
        </w:rPr>
        <w:t>xiii</w:t>
      </w:r>
    </w:p>
    <w:p w:rsidR="00E675F0" w:rsidRDefault="00E675F0" w:rsidP="00E675F0">
      <w:pPr>
        <w:jc w:val="center"/>
        <w:sectPr w:rsidR="00E675F0">
          <w:headerReference w:type="even" r:id="rId21"/>
          <w:pgSz w:w="8960" w:h="14260"/>
          <w:pgMar w:top="1320" w:right="640" w:bottom="280" w:left="620" w:header="0" w:footer="0" w:gutter="0"/>
          <w:cols w:space="720"/>
        </w:sectPr>
      </w:pPr>
    </w:p>
    <w:p w:rsidR="00E675F0" w:rsidRDefault="00E675F0" w:rsidP="00E675F0">
      <w:pPr>
        <w:pStyle w:val="BodyText"/>
        <w:spacing w:before="131" w:line="254" w:lineRule="auto"/>
        <w:ind w:left="106" w:right="98" w:hanging="1"/>
        <w:jc w:val="both"/>
      </w:pPr>
      <w:r>
        <w:rPr>
          <w:w w:val="105"/>
        </w:rPr>
        <w:lastRenderedPageBreak/>
        <w:t>organization</w:t>
      </w:r>
      <w:r>
        <w:rPr>
          <w:spacing w:val="-33"/>
          <w:w w:val="105"/>
        </w:rPr>
        <w:t xml:space="preserve"> </w:t>
      </w:r>
      <w:r>
        <w:rPr>
          <w:w w:val="105"/>
        </w:rPr>
        <w:t>of</w:t>
      </w:r>
      <w:r>
        <w:rPr>
          <w:spacing w:val="-35"/>
          <w:w w:val="105"/>
        </w:rPr>
        <w:t xml:space="preserve"> </w:t>
      </w:r>
      <w:r>
        <w:rPr>
          <w:w w:val="105"/>
        </w:rPr>
        <w:t>DSM-IV.</w:t>
      </w:r>
      <w:r>
        <w:rPr>
          <w:spacing w:val="-35"/>
          <w:w w:val="105"/>
        </w:rPr>
        <w:t xml:space="preserve"> </w:t>
      </w:r>
      <w:r>
        <w:rPr>
          <w:w w:val="105"/>
        </w:rPr>
        <w:t>Myriam</w:t>
      </w:r>
      <w:r>
        <w:rPr>
          <w:spacing w:val="-35"/>
          <w:w w:val="105"/>
        </w:rPr>
        <w:t xml:space="preserve"> </w:t>
      </w:r>
      <w:r>
        <w:rPr>
          <w:w w:val="105"/>
        </w:rPr>
        <w:t>Kline</w:t>
      </w:r>
      <w:r>
        <w:rPr>
          <w:spacing w:val="-37"/>
          <w:w w:val="105"/>
        </w:rPr>
        <w:t xml:space="preserve"> </w:t>
      </w:r>
      <w:r>
        <w:rPr>
          <w:w w:val="105"/>
        </w:rPr>
        <w:t>(Research</w:t>
      </w:r>
      <w:r>
        <w:rPr>
          <w:spacing w:val="-32"/>
          <w:w w:val="105"/>
        </w:rPr>
        <w:t xml:space="preserve"> </w:t>
      </w:r>
      <w:r>
        <w:rPr>
          <w:w w:val="105"/>
        </w:rPr>
        <w:t>Coordinator</w:t>
      </w:r>
      <w:r>
        <w:rPr>
          <w:spacing w:val="-35"/>
          <w:w w:val="105"/>
        </w:rPr>
        <w:t xml:space="preserve"> </w:t>
      </w:r>
      <w:r>
        <w:rPr>
          <w:w w:val="105"/>
        </w:rPr>
        <w:t>for</w:t>
      </w:r>
      <w:r>
        <w:rPr>
          <w:spacing w:val="-38"/>
          <w:w w:val="105"/>
        </w:rPr>
        <w:t xml:space="preserve"> </w:t>
      </w:r>
      <w:r>
        <w:rPr>
          <w:w w:val="105"/>
        </w:rPr>
        <w:t>the</w:t>
      </w:r>
      <w:r>
        <w:rPr>
          <w:spacing w:val="-38"/>
          <w:w w:val="105"/>
        </w:rPr>
        <w:t xml:space="preserve"> </w:t>
      </w:r>
      <w:r>
        <w:rPr>
          <w:w w:val="105"/>
        </w:rPr>
        <w:t>NIH-funded</w:t>
      </w:r>
      <w:r>
        <w:rPr>
          <w:spacing w:val="-31"/>
          <w:w w:val="105"/>
        </w:rPr>
        <w:t xml:space="preserve"> </w:t>
      </w:r>
      <w:r>
        <w:rPr>
          <w:w w:val="105"/>
        </w:rPr>
        <w:t>DSM-IV Focused Field Trials), Jim Thompson (Research Coordinator for the MacArthur Founda­ tion-funded Videotape Field Trial), and Sandy Ferris (Assistant  Director for the Office of Research) have made many valuable contributions. We would also like to acknow­ ledge</w:t>
      </w:r>
      <w:r>
        <w:rPr>
          <w:spacing w:val="-15"/>
          <w:w w:val="105"/>
        </w:rPr>
        <w:t xml:space="preserve"> </w:t>
      </w:r>
      <w:r>
        <w:rPr>
          <w:w w:val="105"/>
        </w:rPr>
        <w:t>all</w:t>
      </w:r>
      <w:r>
        <w:rPr>
          <w:spacing w:val="-15"/>
          <w:w w:val="105"/>
        </w:rPr>
        <w:t xml:space="preserve"> </w:t>
      </w:r>
      <w:r>
        <w:rPr>
          <w:w w:val="105"/>
        </w:rPr>
        <w:t>the</w:t>
      </w:r>
      <w:r>
        <w:rPr>
          <w:spacing w:val="-17"/>
          <w:w w:val="105"/>
        </w:rPr>
        <w:t xml:space="preserve"> </w:t>
      </w:r>
      <w:r>
        <w:rPr>
          <w:w w:val="105"/>
        </w:rPr>
        <w:t>other</w:t>
      </w:r>
      <w:r>
        <w:rPr>
          <w:spacing w:val="-13"/>
          <w:w w:val="105"/>
        </w:rPr>
        <w:t xml:space="preserve"> </w:t>
      </w:r>
      <w:r>
        <w:rPr>
          <w:w w:val="105"/>
        </w:rPr>
        <w:t>staff</w:t>
      </w:r>
      <w:r>
        <w:rPr>
          <w:spacing w:val="-1"/>
          <w:w w:val="105"/>
        </w:rPr>
        <w:t xml:space="preserve"> </w:t>
      </w:r>
      <w:r>
        <w:rPr>
          <w:w w:val="105"/>
        </w:rPr>
        <w:t>persons</w:t>
      </w:r>
      <w:r>
        <w:rPr>
          <w:spacing w:val="-9"/>
          <w:w w:val="105"/>
        </w:rPr>
        <w:t xml:space="preserve"> </w:t>
      </w:r>
      <w:r>
        <w:rPr>
          <w:w w:val="105"/>
        </w:rPr>
        <w:t>at</w:t>
      </w:r>
      <w:r>
        <w:rPr>
          <w:spacing w:val="-17"/>
          <w:w w:val="105"/>
        </w:rPr>
        <w:t xml:space="preserve"> </w:t>
      </w:r>
      <w:r>
        <w:rPr>
          <w:w w:val="105"/>
        </w:rPr>
        <w:t>the</w:t>
      </w:r>
      <w:r>
        <w:rPr>
          <w:spacing w:val="-3"/>
          <w:w w:val="105"/>
        </w:rPr>
        <w:t xml:space="preserve"> </w:t>
      </w:r>
      <w:r>
        <w:rPr>
          <w:w w:val="105"/>
        </w:rPr>
        <w:t>American</w:t>
      </w:r>
      <w:r>
        <w:rPr>
          <w:spacing w:val="-7"/>
          <w:w w:val="105"/>
        </w:rPr>
        <w:t xml:space="preserve"> </w:t>
      </w:r>
      <w:r>
        <w:rPr>
          <w:w w:val="105"/>
        </w:rPr>
        <w:t>Psychiatric</w:t>
      </w:r>
      <w:r>
        <w:rPr>
          <w:spacing w:val="-2"/>
          <w:w w:val="105"/>
        </w:rPr>
        <w:t xml:space="preserve"> </w:t>
      </w:r>
      <w:r>
        <w:rPr>
          <w:w w:val="105"/>
        </w:rPr>
        <w:t>Association</w:t>
      </w:r>
      <w:r>
        <w:rPr>
          <w:spacing w:val="-7"/>
          <w:w w:val="105"/>
        </w:rPr>
        <w:t xml:space="preserve"> </w:t>
      </w:r>
      <w:r>
        <w:rPr>
          <w:w w:val="105"/>
        </w:rPr>
        <w:t>who</w:t>
      </w:r>
      <w:r>
        <w:rPr>
          <w:spacing w:val="22"/>
          <w:w w:val="105"/>
        </w:rPr>
        <w:t xml:space="preserve"> </w:t>
      </w:r>
      <w:r>
        <w:rPr>
          <w:w w:val="105"/>
        </w:rPr>
        <w:t>have</w:t>
      </w:r>
      <w:r>
        <w:rPr>
          <w:spacing w:val="-10"/>
          <w:w w:val="105"/>
        </w:rPr>
        <w:t xml:space="preserve"> </w:t>
      </w:r>
      <w:r>
        <w:rPr>
          <w:w w:val="105"/>
        </w:rPr>
        <w:t>helped with this project. Ron McMillen, Claire Reinburg, Pam Harley, and Jane Davenport of American Psychiatric Press have provided expert production</w:t>
      </w:r>
      <w:r>
        <w:rPr>
          <w:spacing w:val="5"/>
          <w:w w:val="105"/>
        </w:rPr>
        <w:t xml:space="preserve"> </w:t>
      </w:r>
      <w:r>
        <w:rPr>
          <w:w w:val="105"/>
        </w:rPr>
        <w:t>assistance.</w:t>
      </w:r>
    </w:p>
    <w:p w:rsidR="00E675F0" w:rsidRDefault="00E675F0" w:rsidP="00E675F0">
      <w:pPr>
        <w:pStyle w:val="BodyText"/>
        <w:spacing w:before="1"/>
        <w:rPr>
          <w:sz w:val="17"/>
        </w:rPr>
      </w:pPr>
    </w:p>
    <w:p w:rsidR="00E675F0" w:rsidRDefault="00E675F0" w:rsidP="00E675F0">
      <w:pPr>
        <w:rPr>
          <w:sz w:val="17"/>
        </w:rPr>
        <w:sectPr w:rsidR="00E675F0">
          <w:headerReference w:type="default" r:id="rId22"/>
          <w:pgSz w:w="8960" w:h="14260"/>
          <w:pgMar w:top="1400" w:right="640" w:bottom="280" w:left="620" w:header="691" w:footer="0" w:gutter="0"/>
          <w:cols w:space="720"/>
        </w:sectPr>
      </w:pPr>
    </w:p>
    <w:p w:rsidR="00E675F0" w:rsidRDefault="00E675F0" w:rsidP="00E675F0">
      <w:pPr>
        <w:pStyle w:val="BodyText"/>
        <w:spacing w:before="92"/>
        <w:ind w:left="592"/>
      </w:pPr>
      <w:r>
        <w:t>Allen Frances, M.D.</w:t>
      </w:r>
    </w:p>
    <w:p w:rsidR="00E675F0" w:rsidRDefault="00E675F0" w:rsidP="00E675F0">
      <w:pPr>
        <w:spacing w:before="34"/>
        <w:ind w:left="609"/>
        <w:rPr>
          <w:i/>
          <w:sz w:val="20"/>
        </w:rPr>
      </w:pPr>
      <w:r>
        <w:rPr>
          <w:i/>
          <w:sz w:val="20"/>
        </w:rPr>
        <w:t>Chair, Task Force on DSM-IV</w:t>
      </w:r>
    </w:p>
    <w:p w:rsidR="00E675F0" w:rsidRDefault="00E675F0" w:rsidP="00E675F0">
      <w:pPr>
        <w:pStyle w:val="BodyText"/>
        <w:spacing w:before="5"/>
        <w:rPr>
          <w:i/>
          <w:sz w:val="26"/>
        </w:rPr>
      </w:pPr>
    </w:p>
    <w:p w:rsidR="00E675F0" w:rsidRDefault="00E675F0" w:rsidP="00E675F0">
      <w:pPr>
        <w:pStyle w:val="BodyText"/>
        <w:ind w:left="590"/>
      </w:pPr>
      <w:r>
        <w:t>Michael B. First, M.D.</w:t>
      </w:r>
    </w:p>
    <w:p w:rsidR="00E675F0" w:rsidRDefault="00E675F0" w:rsidP="00E675F0">
      <w:pPr>
        <w:spacing w:before="30"/>
        <w:ind w:left="608"/>
        <w:rPr>
          <w:i/>
          <w:sz w:val="20"/>
        </w:rPr>
      </w:pPr>
      <w:r>
        <w:rPr>
          <w:i/>
          <w:sz w:val="20"/>
        </w:rPr>
        <w:t>Editor, DSM-IV Text and Criteria</w:t>
      </w:r>
    </w:p>
    <w:p w:rsidR="00E675F0" w:rsidRDefault="00E675F0" w:rsidP="00E675F0">
      <w:pPr>
        <w:pStyle w:val="BodyText"/>
        <w:spacing w:before="92"/>
        <w:ind w:left="598"/>
      </w:pPr>
      <w:r>
        <w:br w:type="column"/>
      </w:r>
      <w:r>
        <w:t>Harold Alan Pincus, M.D.</w:t>
      </w:r>
    </w:p>
    <w:p w:rsidR="00E675F0" w:rsidRDefault="00E675F0" w:rsidP="00E675F0">
      <w:pPr>
        <w:spacing w:before="30"/>
        <w:ind w:left="610"/>
        <w:rPr>
          <w:i/>
          <w:sz w:val="20"/>
        </w:rPr>
      </w:pPr>
      <w:r>
        <w:rPr>
          <w:i/>
          <w:sz w:val="20"/>
        </w:rPr>
        <w:t>Vice-Chair, Task Force on DSM-IV</w:t>
      </w:r>
    </w:p>
    <w:p w:rsidR="00E675F0" w:rsidRDefault="00E675F0" w:rsidP="00E675F0">
      <w:pPr>
        <w:pStyle w:val="BodyText"/>
        <w:spacing w:before="9"/>
        <w:rPr>
          <w:i/>
          <w:sz w:val="26"/>
        </w:rPr>
      </w:pPr>
    </w:p>
    <w:p w:rsidR="00E675F0" w:rsidRDefault="00E675F0" w:rsidP="00E675F0">
      <w:pPr>
        <w:pStyle w:val="BodyText"/>
        <w:ind w:left="590"/>
      </w:pPr>
      <w:r>
        <w:t>Thomas A. Widiger, Ph.D.</w:t>
      </w:r>
    </w:p>
    <w:p w:rsidR="00E675F0" w:rsidRDefault="00E675F0" w:rsidP="00E675F0">
      <w:pPr>
        <w:spacing w:before="34"/>
        <w:ind w:left="611"/>
        <w:rPr>
          <w:i/>
          <w:sz w:val="20"/>
        </w:rPr>
      </w:pPr>
      <w:r>
        <w:rPr>
          <w:i/>
          <w:w w:val="105"/>
          <w:sz w:val="20"/>
        </w:rPr>
        <w:t>Research Coordinator</w:t>
      </w:r>
    </w:p>
    <w:p w:rsidR="00E675F0" w:rsidRDefault="00E675F0" w:rsidP="00E675F0">
      <w:pPr>
        <w:rPr>
          <w:sz w:val="20"/>
        </w:rPr>
        <w:sectPr w:rsidR="00E675F0">
          <w:type w:val="continuous"/>
          <w:pgSz w:w="8960" w:h="14260"/>
          <w:pgMar w:top="640" w:right="640" w:bottom="0" w:left="620" w:header="720" w:footer="720" w:gutter="0"/>
          <w:cols w:num="2" w:space="720" w:equalWidth="0">
            <w:col w:w="3450" w:space="170"/>
            <w:col w:w="4080"/>
          </w:cols>
        </w:sectPr>
      </w:pPr>
    </w:p>
    <w:p w:rsidR="00E675F0" w:rsidRDefault="00E675F0" w:rsidP="00E675F0">
      <w:pPr>
        <w:pStyle w:val="BodyText"/>
        <w:rPr>
          <w:i/>
        </w:rPr>
      </w:pPr>
    </w:p>
    <w:p w:rsidR="00E675F0" w:rsidRDefault="00E675F0" w:rsidP="00E675F0">
      <w:pPr>
        <w:pStyle w:val="BodyText"/>
        <w:rPr>
          <w:i/>
        </w:rPr>
      </w:pPr>
    </w:p>
    <w:bookmarkStart w:id="13" w:name="Introduction"/>
    <w:bookmarkStart w:id="14" w:name="_bookmark5"/>
    <w:bookmarkEnd w:id="13"/>
    <w:bookmarkEnd w:id="14"/>
    <w:p w:rsidR="00E675F0" w:rsidRDefault="00E675F0" w:rsidP="00E675F0">
      <w:pPr>
        <w:pStyle w:val="Heading4"/>
        <w:spacing w:before="250"/>
        <w:ind w:left="50"/>
      </w:pPr>
      <w:r>
        <w:fldChar w:fldCharType="begin"/>
      </w:r>
      <w:r>
        <w:instrText xml:space="preserve"> HYPERLINK \l "_bookmark0" </w:instrText>
      </w:r>
      <w:r>
        <w:fldChar w:fldCharType="separate"/>
      </w:r>
      <w:r>
        <w:rPr>
          <w:w w:val="105"/>
        </w:rPr>
        <w:t>Introduction</w:t>
      </w:r>
      <w:r>
        <w:rPr>
          <w:w w:val="105"/>
        </w:rPr>
        <w:fldChar w:fldCharType="end"/>
      </w:r>
    </w:p>
    <w:p w:rsidR="00E675F0" w:rsidRDefault="00E675F0" w:rsidP="00E675F0">
      <w:pPr>
        <w:pStyle w:val="BodyText"/>
        <w:rPr>
          <w:rFonts w:ascii="Arial"/>
          <w:b/>
        </w:rPr>
      </w:pPr>
    </w:p>
    <w:p w:rsidR="00E675F0" w:rsidRDefault="00E675F0" w:rsidP="00E675F0">
      <w:pPr>
        <w:pStyle w:val="BodyText"/>
        <w:rPr>
          <w:rFonts w:ascii="Arial"/>
          <w:b/>
        </w:rPr>
      </w:pPr>
    </w:p>
    <w:p w:rsidR="00E675F0" w:rsidRDefault="00E675F0" w:rsidP="00E675F0">
      <w:pPr>
        <w:pStyle w:val="BodyText"/>
        <w:rPr>
          <w:rFonts w:ascii="Arial"/>
          <w:b/>
        </w:rPr>
      </w:pPr>
    </w:p>
    <w:p w:rsidR="00E675F0" w:rsidRDefault="00E675F0" w:rsidP="00E675F0">
      <w:pPr>
        <w:pStyle w:val="BodyText"/>
        <w:rPr>
          <w:rFonts w:ascii="Arial"/>
          <w:b/>
        </w:rPr>
      </w:pPr>
    </w:p>
    <w:p w:rsidR="00E675F0" w:rsidRDefault="00E675F0" w:rsidP="00E675F0">
      <w:pPr>
        <w:pStyle w:val="BodyText"/>
        <w:rPr>
          <w:rFonts w:ascii="Arial"/>
          <w:b/>
        </w:rPr>
      </w:pPr>
    </w:p>
    <w:p w:rsidR="00E675F0" w:rsidRDefault="00E675F0" w:rsidP="00E675F0">
      <w:pPr>
        <w:pStyle w:val="BodyText"/>
        <w:rPr>
          <w:rFonts w:ascii="Arial"/>
          <w:b/>
        </w:rPr>
      </w:pPr>
    </w:p>
    <w:p w:rsidR="00E675F0" w:rsidRDefault="00E675F0" w:rsidP="00E675F0">
      <w:pPr>
        <w:pStyle w:val="BodyText"/>
        <w:spacing w:before="10"/>
        <w:rPr>
          <w:rFonts w:ascii="Arial"/>
          <w:b/>
          <w:sz w:val="22"/>
        </w:rPr>
      </w:pPr>
    </w:p>
    <w:p w:rsidR="00E675F0" w:rsidRDefault="00E675F0" w:rsidP="00E675F0">
      <w:pPr>
        <w:spacing w:line="252" w:lineRule="auto"/>
        <w:ind w:left="579" w:right="132" w:hanging="5"/>
        <w:jc w:val="both"/>
        <w:rPr>
          <w:sz w:val="19"/>
        </w:rPr>
      </w:pPr>
      <w:r>
        <w:rPr>
          <w:noProof/>
        </w:rPr>
        <mc:AlternateContent>
          <mc:Choice Requires="wps">
            <w:drawing>
              <wp:anchor distT="0" distB="0" distL="114300" distR="114300" simplePos="0" relativeHeight="251739136" behindDoc="1" locked="0" layoutInCell="1" allowOverlap="1" wp14:anchorId="72A708E5" wp14:editId="0D0D2DB5">
                <wp:simplePos x="0" y="0"/>
                <wp:positionH relativeFrom="page">
                  <wp:posOffset>464185</wp:posOffset>
                </wp:positionH>
                <wp:positionV relativeFrom="paragraph">
                  <wp:posOffset>-139700</wp:posOffset>
                </wp:positionV>
                <wp:extent cx="292735" cy="514350"/>
                <wp:effectExtent l="0" t="0" r="0" b="0"/>
                <wp:wrapNone/>
                <wp:docPr id="1723" name="Text Box 1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273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5F0" w:rsidRDefault="00E675F0" w:rsidP="00E675F0">
                            <w:pPr>
                              <w:spacing w:line="809" w:lineRule="exact"/>
                              <w:rPr>
                                <w:sz w:val="73"/>
                              </w:rPr>
                            </w:pPr>
                            <w:r>
                              <w:rPr>
                                <w:w w:val="103"/>
                                <w:sz w:val="73"/>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708E5" id="Text Box 1679" o:spid="_x0000_s1041" type="#_x0000_t202" style="position:absolute;left:0;text-align:left;margin-left:36.55pt;margin-top:-11pt;width:23.05pt;height:40.5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" filled="f" stroked="f">
                <v:path arrowok="t"/>
                <v:textbox inset="0,0,0,0">
                  <w:txbxContent>
                    <w:p w:rsidR="00E675F0" w:rsidRDefault="00E675F0" w:rsidP="00E675F0">
                      <w:pPr>
                        <w:spacing w:line="809" w:lineRule="exact"/>
                        <w:rPr>
                          <w:sz w:val="73"/>
                        </w:rPr>
                      </w:pPr>
                      <w:r>
                        <w:rPr>
                          <w:w w:val="103"/>
                          <w:sz w:val="73"/>
                        </w:rPr>
                        <w:t>T</w:t>
                      </w:r>
                    </w:p>
                  </w:txbxContent>
                </v:textbox>
                <w10:wrap anchorx="page"/>
              </v:shape>
            </w:pict>
          </mc:Fallback>
        </mc:AlternateContent>
      </w:r>
      <w:r>
        <w:rPr>
          <w:w w:val="105"/>
          <w:sz w:val="19"/>
        </w:rPr>
        <w:t xml:space="preserve">his is the fourth edition of the American Psychiatric Association's </w:t>
      </w:r>
      <w:r>
        <w:rPr>
          <w:i/>
          <w:w w:val="105"/>
          <w:sz w:val="20"/>
        </w:rPr>
        <w:t xml:space="preserve">Diagnostic and Statistical Manual of Mental Disorders, </w:t>
      </w:r>
      <w:r>
        <w:rPr>
          <w:w w:val="105"/>
          <w:sz w:val="19"/>
        </w:rPr>
        <w:t>or DSM-IV. The utility and credibility of</w:t>
      </w:r>
    </w:p>
    <w:p w:rsidR="00E675F0" w:rsidRDefault="00E675F0" w:rsidP="00E675F0">
      <w:pPr>
        <w:spacing w:before="7" w:line="266" w:lineRule="auto"/>
        <w:ind w:left="119" w:right="126" w:firstLine="6"/>
        <w:jc w:val="both"/>
        <w:rPr>
          <w:sz w:val="19"/>
        </w:rPr>
      </w:pPr>
      <w:r>
        <w:rPr>
          <w:w w:val="110"/>
          <w:sz w:val="19"/>
        </w:rPr>
        <w:t>DSM-IV require that it focus on its clinical, research, and educational purposes and be supported by an extensive empirical foundation. Our highest priority has been to provide a helpful guide to clinical practice. We hoped to make DSM-IV practical and useful for clinicians</w:t>
      </w:r>
      <w:r>
        <w:rPr>
          <w:spacing w:val="-19"/>
          <w:w w:val="110"/>
          <w:sz w:val="19"/>
        </w:rPr>
        <w:t xml:space="preserve"> </w:t>
      </w:r>
      <w:r>
        <w:rPr>
          <w:w w:val="110"/>
          <w:sz w:val="19"/>
        </w:rPr>
        <w:t>by</w:t>
      </w:r>
      <w:r>
        <w:rPr>
          <w:spacing w:val="-18"/>
          <w:w w:val="110"/>
          <w:sz w:val="19"/>
        </w:rPr>
        <w:t xml:space="preserve"> </w:t>
      </w:r>
      <w:r>
        <w:rPr>
          <w:w w:val="110"/>
          <w:sz w:val="19"/>
        </w:rPr>
        <w:t>striving</w:t>
      </w:r>
      <w:r>
        <w:rPr>
          <w:spacing w:val="-17"/>
          <w:w w:val="110"/>
          <w:sz w:val="19"/>
        </w:rPr>
        <w:t xml:space="preserve"> </w:t>
      </w:r>
      <w:r>
        <w:rPr>
          <w:w w:val="110"/>
          <w:sz w:val="19"/>
        </w:rPr>
        <w:t>for</w:t>
      </w:r>
      <w:r>
        <w:rPr>
          <w:spacing w:val="-12"/>
          <w:w w:val="110"/>
          <w:sz w:val="19"/>
        </w:rPr>
        <w:t xml:space="preserve"> </w:t>
      </w:r>
      <w:r>
        <w:rPr>
          <w:w w:val="110"/>
          <w:sz w:val="19"/>
        </w:rPr>
        <w:t>brevity</w:t>
      </w:r>
      <w:r>
        <w:rPr>
          <w:spacing w:val="-17"/>
          <w:w w:val="110"/>
          <w:sz w:val="19"/>
        </w:rPr>
        <w:t xml:space="preserve"> </w:t>
      </w:r>
      <w:r>
        <w:rPr>
          <w:w w:val="110"/>
          <w:sz w:val="19"/>
        </w:rPr>
        <w:t>of</w:t>
      </w:r>
      <w:r>
        <w:rPr>
          <w:spacing w:val="-17"/>
          <w:w w:val="110"/>
          <w:sz w:val="19"/>
        </w:rPr>
        <w:t xml:space="preserve"> </w:t>
      </w:r>
      <w:r>
        <w:rPr>
          <w:w w:val="110"/>
          <w:sz w:val="19"/>
        </w:rPr>
        <w:t>criteria</w:t>
      </w:r>
      <w:r>
        <w:rPr>
          <w:spacing w:val="-15"/>
          <w:w w:val="110"/>
          <w:sz w:val="19"/>
        </w:rPr>
        <w:t xml:space="preserve"> </w:t>
      </w:r>
      <w:r>
        <w:rPr>
          <w:w w:val="110"/>
          <w:sz w:val="19"/>
        </w:rPr>
        <w:t>sets,</w:t>
      </w:r>
      <w:r>
        <w:rPr>
          <w:spacing w:val="-21"/>
          <w:w w:val="110"/>
          <w:sz w:val="19"/>
        </w:rPr>
        <w:t xml:space="preserve"> </w:t>
      </w:r>
      <w:r>
        <w:rPr>
          <w:w w:val="110"/>
          <w:sz w:val="19"/>
        </w:rPr>
        <w:t>clarity</w:t>
      </w:r>
      <w:r>
        <w:rPr>
          <w:spacing w:val="-18"/>
          <w:w w:val="110"/>
          <w:sz w:val="19"/>
        </w:rPr>
        <w:t xml:space="preserve"> </w:t>
      </w:r>
      <w:r>
        <w:rPr>
          <w:w w:val="110"/>
          <w:sz w:val="19"/>
        </w:rPr>
        <w:t>of</w:t>
      </w:r>
      <w:r>
        <w:rPr>
          <w:spacing w:val="-16"/>
          <w:w w:val="110"/>
          <w:sz w:val="19"/>
        </w:rPr>
        <w:t xml:space="preserve"> </w:t>
      </w:r>
      <w:r>
        <w:rPr>
          <w:w w:val="110"/>
          <w:sz w:val="19"/>
        </w:rPr>
        <w:t>language,</w:t>
      </w:r>
      <w:r>
        <w:rPr>
          <w:spacing w:val="-11"/>
          <w:w w:val="110"/>
          <w:sz w:val="19"/>
        </w:rPr>
        <w:t xml:space="preserve"> </w:t>
      </w:r>
      <w:r>
        <w:rPr>
          <w:w w:val="110"/>
          <w:sz w:val="19"/>
        </w:rPr>
        <w:t>and</w:t>
      </w:r>
      <w:r>
        <w:rPr>
          <w:spacing w:val="-14"/>
          <w:w w:val="110"/>
          <w:sz w:val="19"/>
        </w:rPr>
        <w:t xml:space="preserve"> </w:t>
      </w:r>
      <w:r>
        <w:rPr>
          <w:w w:val="110"/>
          <w:sz w:val="19"/>
        </w:rPr>
        <w:t>explicit</w:t>
      </w:r>
      <w:r>
        <w:rPr>
          <w:spacing w:val="-17"/>
          <w:w w:val="110"/>
          <w:sz w:val="19"/>
        </w:rPr>
        <w:t xml:space="preserve"> </w:t>
      </w:r>
      <w:r>
        <w:rPr>
          <w:w w:val="110"/>
          <w:sz w:val="19"/>
        </w:rPr>
        <w:t>statements of the constructs embodied in the diagnostic criteria. An additional goal was to facilitate research and improve communication among clinicians and researchers. We were also mindful of the use of DSM-IV for improving the collection of clinical information and  as an educational tool for teaching</w:t>
      </w:r>
      <w:r>
        <w:rPr>
          <w:spacing w:val="-2"/>
          <w:w w:val="110"/>
          <w:sz w:val="19"/>
        </w:rPr>
        <w:t xml:space="preserve"> </w:t>
      </w:r>
      <w:r>
        <w:rPr>
          <w:w w:val="110"/>
          <w:sz w:val="19"/>
        </w:rPr>
        <w:t>psychopathology.</w:t>
      </w:r>
    </w:p>
    <w:p w:rsidR="00E675F0" w:rsidRDefault="00E675F0" w:rsidP="00E675F0">
      <w:pPr>
        <w:spacing w:before="2" w:line="266" w:lineRule="auto"/>
        <w:ind w:left="117" w:right="128" w:firstLine="365"/>
        <w:jc w:val="both"/>
        <w:rPr>
          <w:sz w:val="19"/>
        </w:rPr>
      </w:pPr>
      <w:r>
        <w:rPr>
          <w:w w:val="110"/>
          <w:sz w:val="19"/>
        </w:rPr>
        <w:t>An</w:t>
      </w:r>
      <w:r>
        <w:rPr>
          <w:spacing w:val="-8"/>
          <w:w w:val="110"/>
          <w:sz w:val="19"/>
        </w:rPr>
        <w:t xml:space="preserve"> </w:t>
      </w:r>
      <w:r>
        <w:rPr>
          <w:w w:val="110"/>
          <w:sz w:val="19"/>
        </w:rPr>
        <w:t>official</w:t>
      </w:r>
      <w:r>
        <w:rPr>
          <w:spacing w:val="-4"/>
          <w:w w:val="110"/>
          <w:sz w:val="19"/>
        </w:rPr>
        <w:t xml:space="preserve"> </w:t>
      </w:r>
      <w:r>
        <w:rPr>
          <w:w w:val="110"/>
          <w:sz w:val="19"/>
        </w:rPr>
        <w:t>nomenclature</w:t>
      </w:r>
      <w:r>
        <w:rPr>
          <w:spacing w:val="-4"/>
          <w:w w:val="110"/>
          <w:sz w:val="19"/>
        </w:rPr>
        <w:t xml:space="preserve"> </w:t>
      </w:r>
      <w:r>
        <w:rPr>
          <w:w w:val="110"/>
          <w:sz w:val="19"/>
        </w:rPr>
        <w:t>must</w:t>
      </w:r>
      <w:r>
        <w:rPr>
          <w:spacing w:val="-6"/>
          <w:w w:val="110"/>
          <w:sz w:val="19"/>
        </w:rPr>
        <w:t xml:space="preserve"> </w:t>
      </w:r>
      <w:r>
        <w:rPr>
          <w:w w:val="110"/>
          <w:sz w:val="19"/>
        </w:rPr>
        <w:t>be</w:t>
      </w:r>
      <w:r>
        <w:rPr>
          <w:spacing w:val="-4"/>
          <w:w w:val="110"/>
          <w:sz w:val="19"/>
        </w:rPr>
        <w:t xml:space="preserve"> </w:t>
      </w:r>
      <w:r>
        <w:rPr>
          <w:w w:val="110"/>
          <w:sz w:val="19"/>
        </w:rPr>
        <w:t>applicable</w:t>
      </w:r>
      <w:r>
        <w:rPr>
          <w:spacing w:val="-1"/>
          <w:w w:val="110"/>
          <w:sz w:val="19"/>
        </w:rPr>
        <w:t xml:space="preserve"> </w:t>
      </w:r>
      <w:r>
        <w:rPr>
          <w:w w:val="110"/>
          <w:sz w:val="19"/>
        </w:rPr>
        <w:t>in</w:t>
      </w:r>
      <w:r>
        <w:rPr>
          <w:spacing w:val="-11"/>
          <w:w w:val="110"/>
          <w:sz w:val="19"/>
        </w:rPr>
        <w:t xml:space="preserve"> </w:t>
      </w:r>
      <w:r>
        <w:rPr>
          <w:w w:val="110"/>
          <w:sz w:val="19"/>
        </w:rPr>
        <w:t>a</w:t>
      </w:r>
      <w:r>
        <w:rPr>
          <w:spacing w:val="-10"/>
          <w:w w:val="110"/>
          <w:sz w:val="19"/>
        </w:rPr>
        <w:t xml:space="preserve"> </w:t>
      </w:r>
      <w:r>
        <w:rPr>
          <w:w w:val="110"/>
          <w:sz w:val="19"/>
        </w:rPr>
        <w:t>wide</w:t>
      </w:r>
      <w:r>
        <w:rPr>
          <w:spacing w:val="-7"/>
          <w:w w:val="110"/>
          <w:sz w:val="19"/>
        </w:rPr>
        <w:t xml:space="preserve"> </w:t>
      </w:r>
      <w:r>
        <w:rPr>
          <w:w w:val="110"/>
          <w:sz w:val="19"/>
        </w:rPr>
        <w:t>diversity</w:t>
      </w:r>
      <w:r>
        <w:rPr>
          <w:spacing w:val="-7"/>
          <w:w w:val="110"/>
          <w:sz w:val="19"/>
        </w:rPr>
        <w:t xml:space="preserve"> </w:t>
      </w:r>
      <w:r>
        <w:rPr>
          <w:w w:val="110"/>
          <w:sz w:val="19"/>
        </w:rPr>
        <w:t>of</w:t>
      </w:r>
      <w:r>
        <w:rPr>
          <w:spacing w:val="-4"/>
          <w:w w:val="110"/>
          <w:sz w:val="19"/>
        </w:rPr>
        <w:t xml:space="preserve"> </w:t>
      </w:r>
      <w:r>
        <w:rPr>
          <w:w w:val="110"/>
          <w:sz w:val="19"/>
        </w:rPr>
        <w:t>contexts.</w:t>
      </w:r>
      <w:r>
        <w:rPr>
          <w:spacing w:val="-7"/>
          <w:w w:val="110"/>
          <w:sz w:val="19"/>
        </w:rPr>
        <w:t xml:space="preserve"> </w:t>
      </w:r>
      <w:r>
        <w:rPr>
          <w:w w:val="110"/>
          <w:sz w:val="19"/>
        </w:rPr>
        <w:t xml:space="preserve">DSM-IV is used by clinicians and researchers of many different orientations (e.g., biological, psychodynamic, cognitive, behavioral, interpersonal, family/systems). </w:t>
      </w:r>
      <w:r>
        <w:rPr>
          <w:rFonts w:ascii="Arial" w:hAnsi="Arial"/>
          <w:w w:val="110"/>
          <w:sz w:val="17"/>
        </w:rPr>
        <w:t xml:space="preserve">It </w:t>
      </w:r>
      <w:r>
        <w:rPr>
          <w:w w:val="110"/>
          <w:sz w:val="19"/>
        </w:rPr>
        <w:t xml:space="preserve">is used by psychiatrists, other physicians, psychologists, social workers, nurses, occupational and rehabilitation therapists, counselors, and other health and mental health professionals. DSM-IV must be usable across settings-inpatient, outpatient, partial hospital, consulta­ tion-liaison, clinic, private practice, and primary care, and with community populations. </w:t>
      </w:r>
      <w:r>
        <w:rPr>
          <w:rFonts w:ascii="Arial" w:hAnsi="Arial"/>
          <w:w w:val="110"/>
          <w:sz w:val="17"/>
        </w:rPr>
        <w:t xml:space="preserve">It </w:t>
      </w:r>
      <w:r>
        <w:rPr>
          <w:w w:val="110"/>
          <w:sz w:val="19"/>
        </w:rPr>
        <w:t>is also a necessary tool for collecting and communicating accurate public health statistics. Fortunately, all these many uses are compatible with one another.</w:t>
      </w:r>
    </w:p>
    <w:p w:rsidR="00E675F0" w:rsidRDefault="00E675F0" w:rsidP="00E675F0">
      <w:pPr>
        <w:spacing w:line="266" w:lineRule="auto"/>
        <w:ind w:left="121" w:right="117" w:firstLine="364"/>
        <w:jc w:val="both"/>
        <w:rPr>
          <w:sz w:val="19"/>
        </w:rPr>
      </w:pPr>
      <w:r>
        <w:rPr>
          <w:w w:val="115"/>
          <w:sz w:val="19"/>
        </w:rPr>
        <w:t>DSM-IV</w:t>
      </w:r>
      <w:r>
        <w:rPr>
          <w:spacing w:val="-14"/>
          <w:w w:val="115"/>
          <w:sz w:val="19"/>
        </w:rPr>
        <w:t xml:space="preserve"> </w:t>
      </w:r>
      <w:r>
        <w:rPr>
          <w:w w:val="115"/>
          <w:sz w:val="19"/>
        </w:rPr>
        <w:t>was</w:t>
      </w:r>
      <w:r>
        <w:rPr>
          <w:spacing w:val="15"/>
          <w:w w:val="115"/>
          <w:sz w:val="19"/>
        </w:rPr>
        <w:t xml:space="preserve"> </w:t>
      </w:r>
      <w:r>
        <w:rPr>
          <w:w w:val="115"/>
          <w:sz w:val="19"/>
        </w:rPr>
        <w:t>the</w:t>
      </w:r>
      <w:r>
        <w:rPr>
          <w:spacing w:val="13"/>
          <w:w w:val="115"/>
          <w:sz w:val="19"/>
        </w:rPr>
        <w:t xml:space="preserve"> </w:t>
      </w:r>
      <w:r>
        <w:rPr>
          <w:w w:val="115"/>
          <w:sz w:val="19"/>
        </w:rPr>
        <w:t>product</w:t>
      </w:r>
      <w:r>
        <w:rPr>
          <w:spacing w:val="-13"/>
          <w:w w:val="115"/>
          <w:sz w:val="19"/>
        </w:rPr>
        <w:t xml:space="preserve"> </w:t>
      </w:r>
      <w:r>
        <w:rPr>
          <w:w w:val="115"/>
          <w:sz w:val="19"/>
        </w:rPr>
        <w:t>of</w:t>
      </w:r>
      <w:r>
        <w:rPr>
          <w:spacing w:val="-11"/>
          <w:w w:val="115"/>
          <w:sz w:val="19"/>
        </w:rPr>
        <w:t xml:space="preserve"> </w:t>
      </w:r>
      <w:r>
        <w:rPr>
          <w:w w:val="115"/>
          <w:sz w:val="19"/>
        </w:rPr>
        <w:t>13</w:t>
      </w:r>
      <w:r>
        <w:rPr>
          <w:spacing w:val="-17"/>
          <w:w w:val="115"/>
          <w:sz w:val="19"/>
        </w:rPr>
        <w:t xml:space="preserve"> </w:t>
      </w:r>
      <w:r>
        <w:rPr>
          <w:w w:val="115"/>
          <w:sz w:val="19"/>
        </w:rPr>
        <w:t>Work</w:t>
      </w:r>
      <w:r>
        <w:rPr>
          <w:spacing w:val="-11"/>
          <w:w w:val="115"/>
          <w:sz w:val="19"/>
        </w:rPr>
        <w:t xml:space="preserve"> </w:t>
      </w:r>
      <w:r>
        <w:rPr>
          <w:w w:val="115"/>
          <w:sz w:val="19"/>
        </w:rPr>
        <w:t>Groups</w:t>
      </w:r>
      <w:r>
        <w:rPr>
          <w:spacing w:val="-12"/>
          <w:w w:val="115"/>
          <w:sz w:val="19"/>
        </w:rPr>
        <w:t xml:space="preserve"> </w:t>
      </w:r>
      <w:r>
        <w:rPr>
          <w:w w:val="115"/>
          <w:sz w:val="19"/>
        </w:rPr>
        <w:t>(see</w:t>
      </w:r>
      <w:r>
        <w:rPr>
          <w:spacing w:val="-18"/>
          <w:w w:val="115"/>
          <w:sz w:val="19"/>
        </w:rPr>
        <w:t xml:space="preserve"> </w:t>
      </w:r>
      <w:r>
        <w:rPr>
          <w:w w:val="115"/>
          <w:sz w:val="19"/>
        </w:rPr>
        <w:t>Appendix</w:t>
      </w:r>
      <w:r>
        <w:rPr>
          <w:spacing w:val="-21"/>
          <w:w w:val="115"/>
          <w:sz w:val="19"/>
        </w:rPr>
        <w:t xml:space="preserve"> </w:t>
      </w:r>
      <w:r>
        <w:rPr>
          <w:w w:val="115"/>
          <w:sz w:val="19"/>
        </w:rPr>
        <w:t>J),</w:t>
      </w:r>
      <w:r>
        <w:rPr>
          <w:spacing w:val="-11"/>
          <w:w w:val="115"/>
          <w:sz w:val="19"/>
        </w:rPr>
        <w:t xml:space="preserve"> </w:t>
      </w:r>
      <w:r>
        <w:rPr>
          <w:w w:val="115"/>
          <w:sz w:val="19"/>
        </w:rPr>
        <w:t>each</w:t>
      </w:r>
      <w:r>
        <w:rPr>
          <w:spacing w:val="-14"/>
          <w:w w:val="115"/>
          <w:sz w:val="19"/>
        </w:rPr>
        <w:t xml:space="preserve"> </w:t>
      </w:r>
      <w:r>
        <w:rPr>
          <w:w w:val="115"/>
          <w:sz w:val="19"/>
        </w:rPr>
        <w:t>of</w:t>
      </w:r>
      <w:r>
        <w:rPr>
          <w:spacing w:val="-12"/>
          <w:w w:val="115"/>
          <w:sz w:val="19"/>
        </w:rPr>
        <w:t xml:space="preserve"> </w:t>
      </w:r>
      <w:r>
        <w:rPr>
          <w:w w:val="115"/>
          <w:sz w:val="19"/>
        </w:rPr>
        <w:t>which</w:t>
      </w:r>
      <w:r>
        <w:rPr>
          <w:spacing w:val="-8"/>
          <w:w w:val="115"/>
          <w:sz w:val="19"/>
        </w:rPr>
        <w:t xml:space="preserve"> </w:t>
      </w:r>
      <w:r>
        <w:rPr>
          <w:w w:val="115"/>
          <w:sz w:val="19"/>
        </w:rPr>
        <w:t>had primary responsibility for a section of the manual. This organization was designed to increase</w:t>
      </w:r>
      <w:r>
        <w:rPr>
          <w:spacing w:val="4"/>
          <w:w w:val="115"/>
          <w:sz w:val="19"/>
        </w:rPr>
        <w:t xml:space="preserve"> </w:t>
      </w:r>
      <w:r>
        <w:rPr>
          <w:w w:val="115"/>
          <w:sz w:val="19"/>
        </w:rPr>
        <w:t>participation</w:t>
      </w:r>
      <w:r>
        <w:rPr>
          <w:spacing w:val="1"/>
          <w:w w:val="115"/>
          <w:sz w:val="19"/>
        </w:rPr>
        <w:t xml:space="preserve"> </w:t>
      </w:r>
      <w:r>
        <w:rPr>
          <w:w w:val="115"/>
          <w:sz w:val="19"/>
        </w:rPr>
        <w:t>by</w:t>
      </w:r>
      <w:r>
        <w:rPr>
          <w:spacing w:val="-9"/>
          <w:w w:val="115"/>
          <w:sz w:val="19"/>
        </w:rPr>
        <w:t xml:space="preserve"> </w:t>
      </w:r>
      <w:r>
        <w:rPr>
          <w:w w:val="115"/>
          <w:sz w:val="19"/>
        </w:rPr>
        <w:t>experts</w:t>
      </w:r>
      <w:r>
        <w:rPr>
          <w:spacing w:val="-8"/>
          <w:w w:val="115"/>
          <w:sz w:val="19"/>
        </w:rPr>
        <w:t xml:space="preserve"> </w:t>
      </w:r>
      <w:r>
        <w:rPr>
          <w:w w:val="115"/>
          <w:sz w:val="19"/>
        </w:rPr>
        <w:t>in</w:t>
      </w:r>
      <w:r>
        <w:rPr>
          <w:spacing w:val="-10"/>
          <w:w w:val="115"/>
          <w:sz w:val="19"/>
        </w:rPr>
        <w:t xml:space="preserve"> </w:t>
      </w:r>
      <w:r>
        <w:rPr>
          <w:w w:val="115"/>
          <w:sz w:val="19"/>
        </w:rPr>
        <w:t>each</w:t>
      </w:r>
      <w:r>
        <w:rPr>
          <w:spacing w:val="-7"/>
          <w:w w:val="115"/>
          <w:sz w:val="19"/>
        </w:rPr>
        <w:t xml:space="preserve"> </w:t>
      </w:r>
      <w:r>
        <w:rPr>
          <w:w w:val="115"/>
          <w:sz w:val="19"/>
        </w:rPr>
        <w:t>of</w:t>
      </w:r>
      <w:r>
        <w:rPr>
          <w:spacing w:val="-4"/>
          <w:w w:val="115"/>
          <w:sz w:val="19"/>
        </w:rPr>
        <w:t xml:space="preserve"> </w:t>
      </w:r>
      <w:r>
        <w:rPr>
          <w:w w:val="115"/>
          <w:sz w:val="19"/>
        </w:rPr>
        <w:t>the</w:t>
      </w:r>
      <w:r>
        <w:rPr>
          <w:spacing w:val="10"/>
          <w:w w:val="115"/>
          <w:sz w:val="19"/>
        </w:rPr>
        <w:t xml:space="preserve"> </w:t>
      </w:r>
      <w:r>
        <w:rPr>
          <w:w w:val="115"/>
          <w:sz w:val="19"/>
        </w:rPr>
        <w:t>respective</w:t>
      </w:r>
      <w:r>
        <w:rPr>
          <w:spacing w:val="-10"/>
          <w:w w:val="115"/>
          <w:sz w:val="19"/>
        </w:rPr>
        <w:t xml:space="preserve"> </w:t>
      </w:r>
      <w:r>
        <w:rPr>
          <w:w w:val="115"/>
          <w:sz w:val="19"/>
        </w:rPr>
        <w:t>fields.</w:t>
      </w:r>
      <w:r>
        <w:rPr>
          <w:spacing w:val="-8"/>
          <w:w w:val="115"/>
          <w:sz w:val="19"/>
        </w:rPr>
        <w:t xml:space="preserve"> </w:t>
      </w:r>
      <w:r>
        <w:rPr>
          <w:w w:val="115"/>
          <w:sz w:val="19"/>
        </w:rPr>
        <w:t>We</w:t>
      </w:r>
      <w:r>
        <w:rPr>
          <w:spacing w:val="-8"/>
          <w:w w:val="115"/>
          <w:sz w:val="19"/>
        </w:rPr>
        <w:t xml:space="preserve"> </w:t>
      </w:r>
      <w:r>
        <w:rPr>
          <w:w w:val="115"/>
          <w:sz w:val="19"/>
        </w:rPr>
        <w:t>took</w:t>
      </w:r>
      <w:r>
        <w:rPr>
          <w:spacing w:val="-4"/>
          <w:w w:val="115"/>
          <w:sz w:val="19"/>
        </w:rPr>
        <w:t xml:space="preserve"> </w:t>
      </w:r>
      <w:r>
        <w:rPr>
          <w:w w:val="115"/>
          <w:sz w:val="19"/>
        </w:rPr>
        <w:t>a</w:t>
      </w:r>
      <w:r>
        <w:rPr>
          <w:spacing w:val="-3"/>
          <w:w w:val="115"/>
          <w:sz w:val="19"/>
        </w:rPr>
        <w:t xml:space="preserve"> </w:t>
      </w:r>
      <w:r>
        <w:rPr>
          <w:w w:val="115"/>
          <w:sz w:val="19"/>
        </w:rPr>
        <w:t>number</w:t>
      </w:r>
      <w:r>
        <w:rPr>
          <w:spacing w:val="-8"/>
          <w:w w:val="115"/>
          <w:sz w:val="19"/>
        </w:rPr>
        <w:t xml:space="preserve"> </w:t>
      </w:r>
      <w:r>
        <w:rPr>
          <w:w w:val="115"/>
          <w:sz w:val="19"/>
        </w:rPr>
        <w:t>of precautions</w:t>
      </w:r>
      <w:r>
        <w:rPr>
          <w:spacing w:val="-9"/>
          <w:w w:val="115"/>
          <w:sz w:val="19"/>
        </w:rPr>
        <w:t xml:space="preserve"> </w:t>
      </w:r>
      <w:r>
        <w:rPr>
          <w:w w:val="115"/>
          <w:sz w:val="19"/>
        </w:rPr>
        <w:t>to</w:t>
      </w:r>
      <w:r>
        <w:rPr>
          <w:spacing w:val="-19"/>
          <w:w w:val="115"/>
          <w:sz w:val="19"/>
        </w:rPr>
        <w:t xml:space="preserve"> </w:t>
      </w:r>
      <w:r>
        <w:rPr>
          <w:w w:val="115"/>
          <w:sz w:val="19"/>
        </w:rPr>
        <w:t>ensure</w:t>
      </w:r>
      <w:r>
        <w:rPr>
          <w:spacing w:val="-11"/>
          <w:w w:val="115"/>
          <w:sz w:val="19"/>
        </w:rPr>
        <w:t xml:space="preserve"> </w:t>
      </w:r>
      <w:r>
        <w:rPr>
          <w:w w:val="115"/>
          <w:sz w:val="19"/>
        </w:rPr>
        <w:t>that</w:t>
      </w:r>
      <w:r>
        <w:rPr>
          <w:spacing w:val="-14"/>
          <w:w w:val="115"/>
          <w:sz w:val="19"/>
        </w:rPr>
        <w:t xml:space="preserve"> </w:t>
      </w:r>
      <w:r>
        <w:rPr>
          <w:w w:val="115"/>
          <w:sz w:val="19"/>
        </w:rPr>
        <w:t>the</w:t>
      </w:r>
      <w:r>
        <w:rPr>
          <w:spacing w:val="-14"/>
          <w:w w:val="115"/>
          <w:sz w:val="19"/>
        </w:rPr>
        <w:t xml:space="preserve"> </w:t>
      </w:r>
      <w:r>
        <w:rPr>
          <w:w w:val="115"/>
          <w:sz w:val="19"/>
        </w:rPr>
        <w:t>Work</w:t>
      </w:r>
      <w:r>
        <w:rPr>
          <w:spacing w:val="-10"/>
          <w:w w:val="115"/>
          <w:sz w:val="19"/>
        </w:rPr>
        <w:t xml:space="preserve"> </w:t>
      </w:r>
      <w:r>
        <w:rPr>
          <w:w w:val="115"/>
          <w:sz w:val="19"/>
        </w:rPr>
        <w:t>Group</w:t>
      </w:r>
      <w:r>
        <w:rPr>
          <w:spacing w:val="-9"/>
          <w:w w:val="115"/>
          <w:sz w:val="19"/>
        </w:rPr>
        <w:t xml:space="preserve"> </w:t>
      </w:r>
      <w:r>
        <w:rPr>
          <w:w w:val="115"/>
          <w:sz w:val="19"/>
        </w:rPr>
        <w:t>recommendations</w:t>
      </w:r>
      <w:r>
        <w:rPr>
          <w:spacing w:val="-26"/>
          <w:w w:val="115"/>
          <w:sz w:val="19"/>
        </w:rPr>
        <w:t xml:space="preserve"> </w:t>
      </w:r>
      <w:r>
        <w:rPr>
          <w:w w:val="115"/>
          <w:sz w:val="19"/>
        </w:rPr>
        <w:t>would</w:t>
      </w:r>
      <w:r>
        <w:rPr>
          <w:spacing w:val="-5"/>
          <w:w w:val="115"/>
          <w:sz w:val="19"/>
        </w:rPr>
        <w:t xml:space="preserve"> </w:t>
      </w:r>
      <w:r>
        <w:rPr>
          <w:w w:val="115"/>
          <w:sz w:val="19"/>
        </w:rPr>
        <w:t>reflect</w:t>
      </w:r>
      <w:r>
        <w:rPr>
          <w:spacing w:val="-7"/>
          <w:w w:val="115"/>
          <w:sz w:val="19"/>
        </w:rPr>
        <w:t xml:space="preserve"> </w:t>
      </w:r>
      <w:r>
        <w:rPr>
          <w:w w:val="115"/>
          <w:sz w:val="19"/>
        </w:rPr>
        <w:t>the</w:t>
      </w:r>
      <w:r>
        <w:rPr>
          <w:spacing w:val="-2"/>
          <w:w w:val="115"/>
          <w:sz w:val="19"/>
        </w:rPr>
        <w:t xml:space="preserve"> </w:t>
      </w:r>
      <w:r>
        <w:rPr>
          <w:w w:val="115"/>
          <w:sz w:val="19"/>
        </w:rPr>
        <w:t>breadth of</w:t>
      </w:r>
      <w:r>
        <w:rPr>
          <w:spacing w:val="-15"/>
          <w:w w:val="115"/>
          <w:sz w:val="19"/>
        </w:rPr>
        <w:t xml:space="preserve"> </w:t>
      </w:r>
      <w:r>
        <w:rPr>
          <w:w w:val="115"/>
          <w:sz w:val="19"/>
        </w:rPr>
        <w:t>available</w:t>
      </w:r>
      <w:r>
        <w:rPr>
          <w:spacing w:val="-14"/>
          <w:w w:val="115"/>
          <w:sz w:val="19"/>
        </w:rPr>
        <w:t xml:space="preserve"> </w:t>
      </w:r>
      <w:r>
        <w:rPr>
          <w:w w:val="115"/>
          <w:sz w:val="19"/>
        </w:rPr>
        <w:t>evidence</w:t>
      </w:r>
      <w:r>
        <w:rPr>
          <w:spacing w:val="-14"/>
          <w:w w:val="115"/>
          <w:sz w:val="19"/>
        </w:rPr>
        <w:t xml:space="preserve"> </w:t>
      </w:r>
      <w:r>
        <w:rPr>
          <w:w w:val="115"/>
          <w:sz w:val="19"/>
        </w:rPr>
        <w:t>and</w:t>
      </w:r>
      <w:r>
        <w:rPr>
          <w:spacing w:val="-13"/>
          <w:w w:val="115"/>
          <w:sz w:val="19"/>
        </w:rPr>
        <w:t xml:space="preserve"> </w:t>
      </w:r>
      <w:r>
        <w:rPr>
          <w:w w:val="115"/>
          <w:sz w:val="19"/>
        </w:rPr>
        <w:t>opinion</w:t>
      </w:r>
      <w:r>
        <w:rPr>
          <w:spacing w:val="-19"/>
          <w:w w:val="115"/>
          <w:sz w:val="19"/>
        </w:rPr>
        <w:t xml:space="preserve"> </w:t>
      </w:r>
      <w:r>
        <w:rPr>
          <w:w w:val="115"/>
          <w:sz w:val="19"/>
        </w:rPr>
        <w:t>and</w:t>
      </w:r>
      <w:r>
        <w:rPr>
          <w:spacing w:val="-14"/>
          <w:w w:val="115"/>
          <w:sz w:val="19"/>
        </w:rPr>
        <w:t xml:space="preserve"> </w:t>
      </w:r>
      <w:r>
        <w:rPr>
          <w:w w:val="115"/>
          <w:sz w:val="19"/>
        </w:rPr>
        <w:t>not</w:t>
      </w:r>
      <w:r>
        <w:rPr>
          <w:spacing w:val="-9"/>
          <w:w w:val="115"/>
          <w:sz w:val="19"/>
        </w:rPr>
        <w:t xml:space="preserve"> </w:t>
      </w:r>
      <w:r>
        <w:rPr>
          <w:w w:val="115"/>
          <w:sz w:val="19"/>
        </w:rPr>
        <w:t>just</w:t>
      </w:r>
      <w:r>
        <w:rPr>
          <w:spacing w:val="-19"/>
          <w:w w:val="115"/>
          <w:sz w:val="19"/>
        </w:rPr>
        <w:t xml:space="preserve"> </w:t>
      </w:r>
      <w:r>
        <w:rPr>
          <w:w w:val="115"/>
          <w:sz w:val="19"/>
        </w:rPr>
        <w:t>the</w:t>
      </w:r>
      <w:r>
        <w:rPr>
          <w:spacing w:val="4"/>
          <w:w w:val="115"/>
          <w:sz w:val="19"/>
        </w:rPr>
        <w:t xml:space="preserve"> </w:t>
      </w:r>
      <w:r>
        <w:rPr>
          <w:w w:val="115"/>
          <w:sz w:val="19"/>
        </w:rPr>
        <w:t>views</w:t>
      </w:r>
      <w:r>
        <w:rPr>
          <w:spacing w:val="-20"/>
          <w:w w:val="115"/>
          <w:sz w:val="19"/>
        </w:rPr>
        <w:t xml:space="preserve"> </w:t>
      </w:r>
      <w:r>
        <w:rPr>
          <w:w w:val="115"/>
          <w:sz w:val="19"/>
        </w:rPr>
        <w:t>of</w:t>
      </w:r>
      <w:r>
        <w:rPr>
          <w:spacing w:val="-17"/>
          <w:w w:val="115"/>
          <w:sz w:val="19"/>
        </w:rPr>
        <w:t xml:space="preserve"> </w:t>
      </w:r>
      <w:r>
        <w:rPr>
          <w:w w:val="115"/>
          <w:sz w:val="19"/>
        </w:rPr>
        <w:t>the</w:t>
      </w:r>
      <w:r>
        <w:rPr>
          <w:spacing w:val="-4"/>
          <w:w w:val="115"/>
          <w:sz w:val="19"/>
        </w:rPr>
        <w:t xml:space="preserve"> </w:t>
      </w:r>
      <w:r>
        <w:rPr>
          <w:w w:val="115"/>
          <w:sz w:val="19"/>
        </w:rPr>
        <w:t>specific</w:t>
      </w:r>
      <w:r>
        <w:rPr>
          <w:spacing w:val="-14"/>
          <w:w w:val="115"/>
          <w:sz w:val="19"/>
        </w:rPr>
        <w:t xml:space="preserve"> </w:t>
      </w:r>
      <w:r>
        <w:rPr>
          <w:w w:val="115"/>
          <w:sz w:val="19"/>
        </w:rPr>
        <w:t>members.</w:t>
      </w:r>
      <w:r>
        <w:rPr>
          <w:spacing w:val="-15"/>
          <w:w w:val="115"/>
          <w:sz w:val="19"/>
        </w:rPr>
        <w:t xml:space="preserve"> </w:t>
      </w:r>
      <w:r>
        <w:rPr>
          <w:w w:val="115"/>
          <w:sz w:val="19"/>
        </w:rPr>
        <w:t>After extensive</w:t>
      </w:r>
      <w:r>
        <w:rPr>
          <w:spacing w:val="-35"/>
          <w:w w:val="115"/>
          <w:sz w:val="19"/>
        </w:rPr>
        <w:t xml:space="preserve"> </w:t>
      </w:r>
      <w:r>
        <w:rPr>
          <w:w w:val="115"/>
          <w:sz w:val="19"/>
        </w:rPr>
        <w:t>consultations</w:t>
      </w:r>
      <w:r>
        <w:rPr>
          <w:spacing w:val="-25"/>
          <w:w w:val="115"/>
          <w:sz w:val="19"/>
        </w:rPr>
        <w:t xml:space="preserve"> </w:t>
      </w:r>
      <w:r>
        <w:rPr>
          <w:w w:val="115"/>
          <w:sz w:val="19"/>
        </w:rPr>
        <w:t>with</w:t>
      </w:r>
      <w:r>
        <w:rPr>
          <w:spacing w:val="-32"/>
          <w:w w:val="115"/>
          <w:sz w:val="19"/>
        </w:rPr>
        <w:t xml:space="preserve"> </w:t>
      </w:r>
      <w:r>
        <w:rPr>
          <w:w w:val="115"/>
          <w:sz w:val="19"/>
        </w:rPr>
        <w:t>experts</w:t>
      </w:r>
      <w:r>
        <w:rPr>
          <w:spacing w:val="-34"/>
          <w:w w:val="115"/>
          <w:sz w:val="19"/>
        </w:rPr>
        <w:t xml:space="preserve"> </w:t>
      </w:r>
      <w:r>
        <w:rPr>
          <w:w w:val="115"/>
          <w:sz w:val="19"/>
        </w:rPr>
        <w:t>and</w:t>
      </w:r>
      <w:r>
        <w:rPr>
          <w:spacing w:val="-30"/>
          <w:w w:val="115"/>
          <w:sz w:val="19"/>
        </w:rPr>
        <w:t xml:space="preserve"> </w:t>
      </w:r>
      <w:r>
        <w:rPr>
          <w:w w:val="115"/>
          <w:sz w:val="19"/>
        </w:rPr>
        <w:t>clinicians</w:t>
      </w:r>
      <w:r>
        <w:rPr>
          <w:spacing w:val="-29"/>
          <w:w w:val="115"/>
          <w:sz w:val="19"/>
        </w:rPr>
        <w:t xml:space="preserve"> </w:t>
      </w:r>
      <w:r>
        <w:rPr>
          <w:w w:val="115"/>
          <w:sz w:val="19"/>
        </w:rPr>
        <w:t>in</w:t>
      </w:r>
      <w:r>
        <w:rPr>
          <w:spacing w:val="-35"/>
          <w:w w:val="115"/>
          <w:sz w:val="19"/>
        </w:rPr>
        <w:t xml:space="preserve"> </w:t>
      </w:r>
      <w:r>
        <w:rPr>
          <w:w w:val="115"/>
          <w:sz w:val="19"/>
        </w:rPr>
        <w:t>each</w:t>
      </w:r>
      <w:r>
        <w:rPr>
          <w:spacing w:val="-33"/>
          <w:w w:val="115"/>
          <w:sz w:val="19"/>
        </w:rPr>
        <w:t xml:space="preserve"> </w:t>
      </w:r>
      <w:r>
        <w:rPr>
          <w:rFonts w:ascii="Arial" w:hAnsi="Arial"/>
          <w:i/>
          <w:w w:val="115"/>
          <w:sz w:val="17"/>
        </w:rPr>
        <w:t>field,</w:t>
      </w:r>
      <w:r>
        <w:rPr>
          <w:rFonts w:ascii="Arial" w:hAnsi="Arial"/>
          <w:i/>
          <w:spacing w:val="-35"/>
          <w:w w:val="115"/>
          <w:sz w:val="17"/>
        </w:rPr>
        <w:t xml:space="preserve"> </w:t>
      </w:r>
      <w:r>
        <w:rPr>
          <w:w w:val="115"/>
          <w:sz w:val="19"/>
        </w:rPr>
        <w:t>we</w:t>
      </w:r>
      <w:r>
        <w:rPr>
          <w:spacing w:val="-41"/>
          <w:w w:val="115"/>
          <w:sz w:val="19"/>
        </w:rPr>
        <w:t xml:space="preserve"> </w:t>
      </w:r>
      <w:r>
        <w:rPr>
          <w:rFonts w:ascii="Arial" w:hAnsi="Arial"/>
          <w:i/>
          <w:w w:val="115"/>
          <w:sz w:val="17"/>
        </w:rPr>
        <w:t>selected</w:t>
      </w:r>
      <w:r>
        <w:rPr>
          <w:rFonts w:ascii="Arial" w:hAnsi="Arial"/>
          <w:i/>
          <w:spacing w:val="-27"/>
          <w:w w:val="115"/>
          <w:sz w:val="17"/>
        </w:rPr>
        <w:t xml:space="preserve"> </w:t>
      </w:r>
      <w:r>
        <w:rPr>
          <w:w w:val="115"/>
          <w:sz w:val="19"/>
        </w:rPr>
        <w:t>Work</w:t>
      </w:r>
      <w:r>
        <w:rPr>
          <w:spacing w:val="-27"/>
          <w:w w:val="115"/>
          <w:sz w:val="19"/>
        </w:rPr>
        <w:t xml:space="preserve"> </w:t>
      </w:r>
      <w:r>
        <w:rPr>
          <w:w w:val="115"/>
          <w:sz w:val="19"/>
        </w:rPr>
        <w:t>Group members</w:t>
      </w:r>
      <w:r>
        <w:rPr>
          <w:spacing w:val="-6"/>
          <w:w w:val="115"/>
          <w:sz w:val="19"/>
        </w:rPr>
        <w:t xml:space="preserve"> </w:t>
      </w:r>
      <w:r>
        <w:rPr>
          <w:w w:val="115"/>
          <w:sz w:val="19"/>
        </w:rPr>
        <w:t>who</w:t>
      </w:r>
      <w:r>
        <w:rPr>
          <w:spacing w:val="1"/>
          <w:w w:val="115"/>
          <w:sz w:val="19"/>
        </w:rPr>
        <w:t xml:space="preserve"> </w:t>
      </w:r>
      <w:r>
        <w:rPr>
          <w:w w:val="115"/>
          <w:sz w:val="19"/>
        </w:rPr>
        <w:t>represented</w:t>
      </w:r>
      <w:r>
        <w:rPr>
          <w:spacing w:val="-3"/>
          <w:w w:val="115"/>
          <w:sz w:val="19"/>
        </w:rPr>
        <w:t xml:space="preserve"> </w:t>
      </w:r>
      <w:r>
        <w:rPr>
          <w:w w:val="115"/>
          <w:sz w:val="19"/>
        </w:rPr>
        <w:t>a</w:t>
      </w:r>
      <w:r>
        <w:rPr>
          <w:spacing w:val="-15"/>
          <w:w w:val="115"/>
          <w:sz w:val="19"/>
        </w:rPr>
        <w:t xml:space="preserve"> </w:t>
      </w:r>
      <w:r>
        <w:rPr>
          <w:w w:val="115"/>
          <w:sz w:val="19"/>
        </w:rPr>
        <w:t>wide</w:t>
      </w:r>
      <w:r>
        <w:rPr>
          <w:spacing w:val="-10"/>
          <w:w w:val="115"/>
          <w:sz w:val="19"/>
        </w:rPr>
        <w:t xml:space="preserve"> </w:t>
      </w:r>
      <w:r>
        <w:rPr>
          <w:w w:val="115"/>
          <w:sz w:val="19"/>
        </w:rPr>
        <w:t>range</w:t>
      </w:r>
      <w:r>
        <w:rPr>
          <w:spacing w:val="-14"/>
          <w:w w:val="115"/>
          <w:sz w:val="19"/>
        </w:rPr>
        <w:t xml:space="preserve"> </w:t>
      </w:r>
      <w:r>
        <w:rPr>
          <w:w w:val="115"/>
          <w:sz w:val="19"/>
        </w:rPr>
        <w:t>of</w:t>
      </w:r>
      <w:r>
        <w:rPr>
          <w:spacing w:val="-2"/>
          <w:w w:val="115"/>
          <w:sz w:val="19"/>
        </w:rPr>
        <w:t xml:space="preserve"> </w:t>
      </w:r>
      <w:r>
        <w:rPr>
          <w:w w:val="115"/>
          <w:sz w:val="19"/>
        </w:rPr>
        <w:t>perspectives</w:t>
      </w:r>
      <w:r>
        <w:rPr>
          <w:spacing w:val="-8"/>
          <w:w w:val="115"/>
          <w:sz w:val="19"/>
        </w:rPr>
        <w:t xml:space="preserve"> </w:t>
      </w:r>
      <w:r>
        <w:rPr>
          <w:w w:val="115"/>
          <w:sz w:val="19"/>
        </w:rPr>
        <w:t>and experiences.</w:t>
      </w:r>
      <w:r>
        <w:rPr>
          <w:spacing w:val="-4"/>
          <w:w w:val="115"/>
          <w:sz w:val="19"/>
        </w:rPr>
        <w:t xml:space="preserve"> </w:t>
      </w:r>
      <w:r>
        <w:rPr>
          <w:w w:val="115"/>
          <w:sz w:val="19"/>
        </w:rPr>
        <w:t>Work</w:t>
      </w:r>
      <w:r>
        <w:rPr>
          <w:spacing w:val="-6"/>
          <w:w w:val="115"/>
          <w:sz w:val="19"/>
        </w:rPr>
        <w:t xml:space="preserve"> </w:t>
      </w:r>
      <w:r>
        <w:rPr>
          <w:w w:val="115"/>
          <w:sz w:val="19"/>
        </w:rPr>
        <w:t>Group members</w:t>
      </w:r>
      <w:r>
        <w:rPr>
          <w:spacing w:val="-14"/>
          <w:w w:val="115"/>
          <w:sz w:val="19"/>
        </w:rPr>
        <w:t xml:space="preserve"> </w:t>
      </w:r>
      <w:r>
        <w:rPr>
          <w:w w:val="115"/>
          <w:sz w:val="19"/>
        </w:rPr>
        <w:t>were</w:t>
      </w:r>
      <w:r>
        <w:rPr>
          <w:spacing w:val="-11"/>
          <w:w w:val="115"/>
          <w:sz w:val="19"/>
        </w:rPr>
        <w:t xml:space="preserve"> </w:t>
      </w:r>
      <w:r>
        <w:rPr>
          <w:w w:val="115"/>
          <w:sz w:val="19"/>
        </w:rPr>
        <w:t>instructed</w:t>
      </w:r>
      <w:r>
        <w:rPr>
          <w:spacing w:val="-6"/>
          <w:w w:val="115"/>
          <w:sz w:val="19"/>
        </w:rPr>
        <w:t xml:space="preserve"> </w:t>
      </w:r>
      <w:r>
        <w:rPr>
          <w:w w:val="115"/>
          <w:sz w:val="19"/>
        </w:rPr>
        <w:t>that</w:t>
      </w:r>
      <w:r>
        <w:rPr>
          <w:spacing w:val="-14"/>
          <w:w w:val="115"/>
          <w:sz w:val="19"/>
        </w:rPr>
        <w:t xml:space="preserve"> </w:t>
      </w:r>
      <w:r>
        <w:rPr>
          <w:w w:val="115"/>
          <w:sz w:val="19"/>
        </w:rPr>
        <w:t>they</w:t>
      </w:r>
      <w:r>
        <w:rPr>
          <w:spacing w:val="-17"/>
          <w:w w:val="115"/>
          <w:sz w:val="19"/>
        </w:rPr>
        <w:t xml:space="preserve"> </w:t>
      </w:r>
      <w:r>
        <w:rPr>
          <w:w w:val="115"/>
          <w:sz w:val="19"/>
        </w:rPr>
        <w:t>were</w:t>
      </w:r>
      <w:r>
        <w:rPr>
          <w:spacing w:val="-15"/>
          <w:w w:val="115"/>
          <w:sz w:val="19"/>
        </w:rPr>
        <w:t xml:space="preserve"> </w:t>
      </w:r>
      <w:r>
        <w:rPr>
          <w:w w:val="115"/>
          <w:sz w:val="19"/>
        </w:rPr>
        <w:t>to</w:t>
      </w:r>
      <w:r>
        <w:rPr>
          <w:spacing w:val="-13"/>
          <w:w w:val="115"/>
          <w:sz w:val="19"/>
        </w:rPr>
        <w:t xml:space="preserve"> </w:t>
      </w:r>
      <w:r>
        <w:rPr>
          <w:w w:val="115"/>
          <w:sz w:val="19"/>
        </w:rPr>
        <w:t>participate</w:t>
      </w:r>
      <w:r>
        <w:rPr>
          <w:spacing w:val="-7"/>
          <w:w w:val="115"/>
          <w:sz w:val="19"/>
        </w:rPr>
        <w:t xml:space="preserve"> </w:t>
      </w:r>
      <w:r>
        <w:rPr>
          <w:w w:val="115"/>
          <w:sz w:val="19"/>
        </w:rPr>
        <w:t>as</w:t>
      </w:r>
      <w:r>
        <w:rPr>
          <w:spacing w:val="-14"/>
          <w:w w:val="115"/>
          <w:sz w:val="19"/>
        </w:rPr>
        <w:t xml:space="preserve"> </w:t>
      </w:r>
      <w:r>
        <w:rPr>
          <w:w w:val="115"/>
          <w:sz w:val="19"/>
        </w:rPr>
        <w:t>consensus</w:t>
      </w:r>
      <w:r>
        <w:rPr>
          <w:spacing w:val="-9"/>
          <w:w w:val="115"/>
          <w:sz w:val="19"/>
        </w:rPr>
        <w:t xml:space="preserve"> </w:t>
      </w:r>
      <w:r>
        <w:rPr>
          <w:w w:val="115"/>
          <w:sz w:val="19"/>
        </w:rPr>
        <w:t>scholars</w:t>
      </w:r>
      <w:r>
        <w:rPr>
          <w:spacing w:val="-10"/>
          <w:w w:val="115"/>
          <w:sz w:val="19"/>
        </w:rPr>
        <w:t xml:space="preserve"> </w:t>
      </w:r>
      <w:r>
        <w:rPr>
          <w:w w:val="115"/>
          <w:sz w:val="19"/>
        </w:rPr>
        <w:t>and</w:t>
      </w:r>
      <w:r>
        <w:rPr>
          <w:spacing w:val="-2"/>
          <w:w w:val="115"/>
          <w:sz w:val="19"/>
        </w:rPr>
        <w:t xml:space="preserve"> </w:t>
      </w:r>
      <w:r>
        <w:rPr>
          <w:w w:val="115"/>
          <w:sz w:val="19"/>
        </w:rPr>
        <w:t>not</w:t>
      </w:r>
      <w:r>
        <w:rPr>
          <w:spacing w:val="-9"/>
          <w:w w:val="115"/>
          <w:sz w:val="19"/>
        </w:rPr>
        <w:t xml:space="preserve"> </w:t>
      </w:r>
      <w:r>
        <w:rPr>
          <w:w w:val="115"/>
          <w:sz w:val="19"/>
        </w:rPr>
        <w:t>as advocates of previously held views. Furthermore, we established a formal evidence­ based process for the Work Groups to</w:t>
      </w:r>
      <w:r>
        <w:rPr>
          <w:spacing w:val="20"/>
          <w:w w:val="115"/>
          <w:sz w:val="19"/>
        </w:rPr>
        <w:t xml:space="preserve"> </w:t>
      </w:r>
      <w:r>
        <w:rPr>
          <w:w w:val="115"/>
          <w:sz w:val="19"/>
        </w:rPr>
        <w:t>follow.</w:t>
      </w:r>
    </w:p>
    <w:p w:rsidR="00E675F0" w:rsidRDefault="00E675F0" w:rsidP="00E675F0">
      <w:pPr>
        <w:spacing w:line="268" w:lineRule="auto"/>
        <w:ind w:left="117" w:right="119" w:firstLine="361"/>
        <w:jc w:val="both"/>
        <w:rPr>
          <w:sz w:val="19"/>
        </w:rPr>
      </w:pPr>
      <w:r>
        <w:rPr>
          <w:w w:val="110"/>
          <w:sz w:val="19"/>
        </w:rPr>
        <w:t>The Work Groups reported to the Task Force on DSM-IV (seep. ix), which consisted of 27 members, many of whom also chaired a Work Group. Each of the 13 Work Groups was composed of 5 (or more) members whose reviews were critiqued  by between  50 and 100 advisers, who were also chosen to represent diverse clinical and research expertise, disciplines, backgrounds, and settings. The involvement of many international experts ensured that DSM-IV had available the widest pool of information  and  would be applicable across cultures. Conferences and workshops were held to</w:t>
      </w:r>
      <w:r>
        <w:rPr>
          <w:spacing w:val="46"/>
          <w:w w:val="110"/>
          <w:sz w:val="19"/>
        </w:rPr>
        <w:t xml:space="preserve"> </w:t>
      </w:r>
      <w:r>
        <w:rPr>
          <w:w w:val="110"/>
          <w:sz w:val="19"/>
        </w:rPr>
        <w:t>provide</w:t>
      </w:r>
    </w:p>
    <w:p w:rsidR="00E675F0" w:rsidRDefault="00E675F0" w:rsidP="00E675F0">
      <w:pPr>
        <w:pStyle w:val="BodyText"/>
        <w:spacing w:before="2"/>
        <w:rPr>
          <w:sz w:val="16"/>
        </w:rPr>
      </w:pPr>
      <w:r>
        <w:rPr>
          <w:noProof/>
        </w:rPr>
        <mc:AlternateContent>
          <mc:Choice Requires="wps">
            <w:drawing>
              <wp:anchor distT="0" distB="0" distL="0" distR="0" simplePos="0" relativeHeight="251820032" behindDoc="1" locked="0" layoutInCell="1" allowOverlap="1" wp14:anchorId="4D9F3D9D" wp14:editId="710B8719">
                <wp:simplePos x="0" y="0"/>
                <wp:positionH relativeFrom="page">
                  <wp:posOffset>474980</wp:posOffset>
                </wp:positionH>
                <wp:positionV relativeFrom="paragraph">
                  <wp:posOffset>146050</wp:posOffset>
                </wp:positionV>
                <wp:extent cx="4754245" cy="1270"/>
                <wp:effectExtent l="0" t="0" r="0" b="0"/>
                <wp:wrapTopAndBottom/>
                <wp:docPr id="1722" name="Freeform 16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54245" cy="1270"/>
                        </a:xfrm>
                        <a:custGeom>
                          <a:avLst/>
                          <a:gdLst>
                            <a:gd name="T0" fmla="+- 0 748 748"/>
                            <a:gd name="T1" fmla="*/ T0 w 7487"/>
                            <a:gd name="T2" fmla="+- 0 8235 748"/>
                            <a:gd name="T3" fmla="*/ T2 w 7487"/>
                          </a:gdLst>
                          <a:ahLst/>
                          <a:cxnLst>
                            <a:cxn ang="0">
                              <a:pos x="T1" y="0"/>
                            </a:cxn>
                            <a:cxn ang="0">
                              <a:pos x="T3" y="0"/>
                            </a:cxn>
                          </a:cxnLst>
                          <a:rect l="0" t="0" r="r" b="b"/>
                          <a:pathLst>
                            <a:path w="7487">
                              <a:moveTo>
                                <a:pt x="0" y="0"/>
                              </a:moveTo>
                              <a:lnTo>
                                <a:pt x="7487" y="0"/>
                              </a:lnTo>
                            </a:path>
                          </a:pathLst>
                        </a:custGeom>
                        <a:noFill/>
                        <a:ln w="61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310784" id="Freeform 1678" o:spid="_x0000_s1026" style="position:absolute;margin-left:37.4pt;margin-top:11.5pt;width:374.35pt;height:.1pt;z-index:-251496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48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" path="m,l7487,e" filled="f" strokeweight=".16956mm">
                <v:path arrowok="t" o:connecttype="custom" o:connectlocs="0,0;4754245,0" o:connectangles="0,0"/>
                <w10:wrap type="topAndBottom" anchorx="page"/>
              </v:shape>
            </w:pict>
          </mc:Fallback>
        </mc:AlternateContent>
      </w:r>
    </w:p>
    <w:p w:rsidR="00E675F0" w:rsidRDefault="00E675F0" w:rsidP="00E675F0">
      <w:pPr>
        <w:spacing w:before="11"/>
        <w:ind w:left="135" w:right="119"/>
        <w:jc w:val="center"/>
        <w:rPr>
          <w:sz w:val="23"/>
        </w:rPr>
      </w:pPr>
      <w:r>
        <w:rPr>
          <w:w w:val="110"/>
          <w:sz w:val="23"/>
        </w:rPr>
        <w:t>xv</w:t>
      </w:r>
    </w:p>
    <w:p w:rsidR="00E675F0" w:rsidRDefault="00E675F0" w:rsidP="00E675F0">
      <w:pPr>
        <w:jc w:val="center"/>
        <w:rPr>
          <w:sz w:val="23"/>
        </w:rPr>
        <w:sectPr w:rsidR="00E675F0">
          <w:headerReference w:type="even" r:id="rId23"/>
          <w:pgSz w:w="8960" w:h="14260"/>
          <w:pgMar w:top="1340" w:right="620" w:bottom="280" w:left="620" w:header="0" w:footer="0" w:gutter="0"/>
          <w:cols w:space="720"/>
        </w:sectPr>
      </w:pPr>
    </w:p>
    <w:p w:rsidR="00E675F0" w:rsidRDefault="00E675F0" w:rsidP="00E675F0">
      <w:pPr>
        <w:pStyle w:val="BodyText"/>
        <w:spacing w:before="120" w:line="252" w:lineRule="auto"/>
        <w:ind w:left="104" w:right="117" w:firstLine="2"/>
        <w:jc w:val="both"/>
      </w:pPr>
      <w:r>
        <w:rPr>
          <w:w w:val="105"/>
        </w:rPr>
        <w:lastRenderedPageBreak/>
        <w:t>conceptual and methodological guidance for the DSM-IV effort. These included a number of consultations between the developers of DSM-IV and the developers of ICD-10 conducted for the purpose of increasing compatibility between the two systems. Also held were methods conferences that focused on cultural factors in the diagnosis of mental disorder, on geriatric diagnosis, and on psychiatric diagnosis in primary care settings.</w:t>
      </w:r>
    </w:p>
    <w:p w:rsidR="00E675F0" w:rsidRDefault="00E675F0" w:rsidP="00E675F0">
      <w:pPr>
        <w:pStyle w:val="BodyText"/>
        <w:spacing w:before="3" w:line="254" w:lineRule="auto"/>
        <w:ind w:left="106" w:right="116" w:firstLine="363"/>
        <w:jc w:val="both"/>
      </w:pPr>
      <w:r>
        <w:rPr>
          <w:w w:val="105"/>
        </w:rPr>
        <w:t>To maintain open and extensive lines of communication, the Task Force on DSM-IV established a liaison with many other components within the American Psychiatric Association and with more than 60 organizations and associations interested in the development of DSM-IV (e.g., American Health Information Management Association, American Nurses' Association, American Occupational Therapy Association, American Psychoanalytic</w:t>
      </w:r>
      <w:r>
        <w:rPr>
          <w:spacing w:val="-25"/>
          <w:w w:val="105"/>
        </w:rPr>
        <w:t xml:space="preserve"> </w:t>
      </w:r>
      <w:r>
        <w:rPr>
          <w:w w:val="105"/>
        </w:rPr>
        <w:t>Association,</w:t>
      </w:r>
      <w:r>
        <w:rPr>
          <w:spacing w:val="-6"/>
          <w:w w:val="105"/>
        </w:rPr>
        <w:t xml:space="preserve"> </w:t>
      </w:r>
      <w:r>
        <w:rPr>
          <w:w w:val="105"/>
        </w:rPr>
        <w:t>American</w:t>
      </w:r>
      <w:r>
        <w:rPr>
          <w:spacing w:val="-11"/>
          <w:w w:val="105"/>
        </w:rPr>
        <w:t xml:space="preserve"> </w:t>
      </w:r>
      <w:r>
        <w:rPr>
          <w:w w:val="105"/>
        </w:rPr>
        <w:t>Psychological</w:t>
      </w:r>
      <w:r>
        <w:rPr>
          <w:spacing w:val="-9"/>
          <w:w w:val="105"/>
        </w:rPr>
        <w:t xml:space="preserve"> </w:t>
      </w:r>
      <w:r>
        <w:rPr>
          <w:w w:val="105"/>
        </w:rPr>
        <w:t>Association,</w:t>
      </w:r>
      <w:r>
        <w:rPr>
          <w:spacing w:val="-6"/>
          <w:w w:val="105"/>
        </w:rPr>
        <w:t xml:space="preserve"> </w:t>
      </w:r>
      <w:r>
        <w:rPr>
          <w:w w:val="105"/>
        </w:rPr>
        <w:t>American</w:t>
      </w:r>
      <w:r>
        <w:rPr>
          <w:spacing w:val="-8"/>
          <w:w w:val="105"/>
        </w:rPr>
        <w:t xml:space="preserve"> </w:t>
      </w:r>
      <w:r>
        <w:rPr>
          <w:w w:val="105"/>
        </w:rPr>
        <w:t>Psychologi­ cal</w:t>
      </w:r>
      <w:r>
        <w:rPr>
          <w:spacing w:val="-16"/>
          <w:w w:val="105"/>
        </w:rPr>
        <w:t xml:space="preserve"> </w:t>
      </w:r>
      <w:r>
        <w:rPr>
          <w:w w:val="105"/>
        </w:rPr>
        <w:t>Society,</w:t>
      </w:r>
      <w:r>
        <w:rPr>
          <w:spacing w:val="-5"/>
          <w:w w:val="105"/>
        </w:rPr>
        <w:t xml:space="preserve"> </w:t>
      </w:r>
      <w:r>
        <w:rPr>
          <w:w w:val="105"/>
        </w:rPr>
        <w:t>Coalition</w:t>
      </w:r>
      <w:r>
        <w:rPr>
          <w:spacing w:val="-3"/>
          <w:w w:val="105"/>
        </w:rPr>
        <w:t xml:space="preserve"> </w:t>
      </w:r>
      <w:r>
        <w:rPr>
          <w:w w:val="105"/>
        </w:rPr>
        <w:t>for</w:t>
      </w:r>
      <w:r>
        <w:rPr>
          <w:spacing w:val="-8"/>
          <w:w w:val="105"/>
        </w:rPr>
        <w:t xml:space="preserve"> </w:t>
      </w:r>
      <w:r>
        <w:rPr>
          <w:w w:val="105"/>
        </w:rPr>
        <w:t>the</w:t>
      </w:r>
      <w:r>
        <w:rPr>
          <w:spacing w:val="-14"/>
          <w:w w:val="105"/>
        </w:rPr>
        <w:t xml:space="preserve"> </w:t>
      </w:r>
      <w:r>
        <w:rPr>
          <w:w w:val="105"/>
        </w:rPr>
        <w:t>Family,</w:t>
      </w:r>
      <w:r>
        <w:rPr>
          <w:spacing w:val="-6"/>
          <w:w w:val="105"/>
        </w:rPr>
        <w:t xml:space="preserve"> </w:t>
      </w:r>
      <w:r>
        <w:rPr>
          <w:w w:val="105"/>
        </w:rPr>
        <w:t>Group</w:t>
      </w:r>
      <w:r>
        <w:rPr>
          <w:spacing w:val="-11"/>
          <w:w w:val="105"/>
        </w:rPr>
        <w:t xml:space="preserve"> </w:t>
      </w:r>
      <w:r>
        <w:rPr>
          <w:w w:val="105"/>
        </w:rPr>
        <w:t>for</w:t>
      </w:r>
      <w:r>
        <w:rPr>
          <w:spacing w:val="-11"/>
          <w:w w:val="105"/>
        </w:rPr>
        <w:t xml:space="preserve"> </w:t>
      </w:r>
      <w:r>
        <w:rPr>
          <w:w w:val="105"/>
        </w:rPr>
        <w:t>the</w:t>
      </w:r>
      <w:r>
        <w:rPr>
          <w:spacing w:val="-13"/>
          <w:w w:val="105"/>
        </w:rPr>
        <w:t xml:space="preserve"> </w:t>
      </w:r>
      <w:r>
        <w:rPr>
          <w:w w:val="105"/>
        </w:rPr>
        <w:t>Advancement</w:t>
      </w:r>
      <w:r>
        <w:rPr>
          <w:spacing w:val="-6"/>
          <w:w w:val="105"/>
        </w:rPr>
        <w:t xml:space="preserve"> </w:t>
      </w:r>
      <w:r>
        <w:rPr>
          <w:w w:val="105"/>
        </w:rPr>
        <w:t>of</w:t>
      </w:r>
      <w:r>
        <w:rPr>
          <w:spacing w:val="-5"/>
          <w:w w:val="105"/>
        </w:rPr>
        <w:t xml:space="preserve"> </w:t>
      </w:r>
      <w:r>
        <w:rPr>
          <w:w w:val="105"/>
        </w:rPr>
        <w:t>Psychiatry,</w:t>
      </w:r>
      <w:r>
        <w:rPr>
          <w:spacing w:val="3"/>
          <w:w w:val="105"/>
        </w:rPr>
        <w:t xml:space="preserve"> </w:t>
      </w:r>
      <w:r>
        <w:rPr>
          <w:w w:val="105"/>
        </w:rPr>
        <w:t xml:space="preserve">National Association of Social Workers, National Center for Health Statistics, World Health Organization). We attempted to air issues and  empirical  evidence  early in the process in order to identify potential problems and differences in interpretation. Exchanges of information were also made possible through the distribution of a semiannual newsletter (the </w:t>
      </w:r>
      <w:r>
        <w:rPr>
          <w:i/>
          <w:w w:val="105"/>
        </w:rPr>
        <w:t xml:space="preserve">DSM-IV Update), </w:t>
      </w:r>
      <w:r>
        <w:rPr>
          <w:w w:val="105"/>
        </w:rPr>
        <w:t xml:space="preserve">the publication of a regular column on DSM-IV in </w:t>
      </w:r>
      <w:r>
        <w:rPr>
          <w:i/>
          <w:w w:val="105"/>
        </w:rPr>
        <w:t xml:space="preserve">Hospital and Community Psychiatry, </w:t>
      </w:r>
      <w:r>
        <w:rPr>
          <w:w w:val="105"/>
        </w:rPr>
        <w:t>frequent presentations at national and international conferences, and numerous journal</w:t>
      </w:r>
      <w:r>
        <w:rPr>
          <w:spacing w:val="2"/>
          <w:w w:val="105"/>
        </w:rPr>
        <w:t xml:space="preserve"> </w:t>
      </w:r>
      <w:r>
        <w:rPr>
          <w:w w:val="105"/>
        </w:rPr>
        <w:t>articles.</w:t>
      </w:r>
    </w:p>
    <w:p w:rsidR="00E675F0" w:rsidRDefault="00E675F0" w:rsidP="00E675F0">
      <w:pPr>
        <w:pStyle w:val="BodyText"/>
        <w:spacing w:line="252" w:lineRule="auto"/>
        <w:ind w:left="107" w:right="111" w:firstLine="357"/>
        <w:jc w:val="both"/>
      </w:pPr>
      <w:r>
        <w:rPr>
          <w:w w:val="110"/>
        </w:rPr>
        <w:t>Two</w:t>
      </w:r>
      <w:r>
        <w:rPr>
          <w:spacing w:val="-24"/>
          <w:w w:val="110"/>
        </w:rPr>
        <w:t xml:space="preserve"> </w:t>
      </w:r>
      <w:r>
        <w:rPr>
          <w:w w:val="110"/>
        </w:rPr>
        <w:t>years</w:t>
      </w:r>
      <w:r>
        <w:rPr>
          <w:spacing w:val="-20"/>
          <w:w w:val="110"/>
        </w:rPr>
        <w:t xml:space="preserve"> </w:t>
      </w:r>
      <w:r>
        <w:rPr>
          <w:w w:val="110"/>
        </w:rPr>
        <w:t>before</w:t>
      </w:r>
      <w:r>
        <w:rPr>
          <w:spacing w:val="-18"/>
          <w:w w:val="110"/>
        </w:rPr>
        <w:t xml:space="preserve"> </w:t>
      </w:r>
      <w:r>
        <w:rPr>
          <w:w w:val="110"/>
        </w:rPr>
        <w:t>the</w:t>
      </w:r>
      <w:r>
        <w:rPr>
          <w:spacing w:val="-19"/>
          <w:w w:val="110"/>
        </w:rPr>
        <w:t xml:space="preserve"> </w:t>
      </w:r>
      <w:r>
        <w:rPr>
          <w:w w:val="110"/>
        </w:rPr>
        <w:t>publication</w:t>
      </w:r>
      <w:r>
        <w:rPr>
          <w:spacing w:val="-14"/>
          <w:w w:val="110"/>
        </w:rPr>
        <w:t xml:space="preserve"> </w:t>
      </w:r>
      <w:r>
        <w:rPr>
          <w:w w:val="110"/>
        </w:rPr>
        <w:t>of</w:t>
      </w:r>
      <w:r>
        <w:rPr>
          <w:spacing w:val="-16"/>
          <w:w w:val="110"/>
        </w:rPr>
        <w:t xml:space="preserve"> </w:t>
      </w:r>
      <w:r>
        <w:rPr>
          <w:w w:val="110"/>
        </w:rPr>
        <w:t>DSM-IV,</w:t>
      </w:r>
      <w:r>
        <w:rPr>
          <w:spacing w:val="-14"/>
          <w:w w:val="110"/>
        </w:rPr>
        <w:t xml:space="preserve"> </w:t>
      </w:r>
      <w:r>
        <w:rPr>
          <w:w w:val="110"/>
        </w:rPr>
        <w:t>the</w:t>
      </w:r>
      <w:r>
        <w:rPr>
          <w:spacing w:val="-27"/>
          <w:w w:val="110"/>
        </w:rPr>
        <w:t xml:space="preserve"> </w:t>
      </w:r>
      <w:r>
        <w:rPr>
          <w:w w:val="110"/>
        </w:rPr>
        <w:t>Task</w:t>
      </w:r>
      <w:r>
        <w:rPr>
          <w:spacing w:val="-17"/>
          <w:w w:val="110"/>
        </w:rPr>
        <w:t xml:space="preserve"> </w:t>
      </w:r>
      <w:r>
        <w:rPr>
          <w:w w:val="110"/>
        </w:rPr>
        <w:t>Force</w:t>
      </w:r>
      <w:r>
        <w:rPr>
          <w:spacing w:val="-15"/>
          <w:w w:val="110"/>
        </w:rPr>
        <w:t xml:space="preserve"> </w:t>
      </w:r>
      <w:r>
        <w:rPr>
          <w:w w:val="110"/>
        </w:rPr>
        <w:t>published</w:t>
      </w:r>
      <w:r>
        <w:rPr>
          <w:spacing w:val="-17"/>
          <w:w w:val="110"/>
        </w:rPr>
        <w:t xml:space="preserve"> </w:t>
      </w:r>
      <w:r>
        <w:rPr>
          <w:w w:val="110"/>
        </w:rPr>
        <w:t>and</w:t>
      </w:r>
      <w:r>
        <w:rPr>
          <w:spacing w:val="-20"/>
          <w:w w:val="110"/>
        </w:rPr>
        <w:t xml:space="preserve"> </w:t>
      </w:r>
      <w:r>
        <w:rPr>
          <w:w w:val="110"/>
        </w:rPr>
        <w:t>widely distributed</w:t>
      </w:r>
      <w:r>
        <w:rPr>
          <w:spacing w:val="-31"/>
          <w:w w:val="110"/>
        </w:rPr>
        <w:t xml:space="preserve"> </w:t>
      </w:r>
      <w:r>
        <w:rPr>
          <w:w w:val="110"/>
        </w:rPr>
        <w:t>the</w:t>
      </w:r>
      <w:r>
        <w:rPr>
          <w:spacing w:val="-33"/>
          <w:w w:val="110"/>
        </w:rPr>
        <w:t xml:space="preserve"> </w:t>
      </w:r>
      <w:r>
        <w:rPr>
          <w:i/>
          <w:w w:val="110"/>
        </w:rPr>
        <w:t>DSM-IV</w:t>
      </w:r>
      <w:r>
        <w:rPr>
          <w:i/>
          <w:spacing w:val="-39"/>
          <w:w w:val="110"/>
        </w:rPr>
        <w:t xml:space="preserve"> </w:t>
      </w:r>
      <w:r>
        <w:rPr>
          <w:i/>
          <w:w w:val="110"/>
        </w:rPr>
        <w:t>Options</w:t>
      </w:r>
      <w:r>
        <w:rPr>
          <w:i/>
          <w:spacing w:val="-40"/>
          <w:w w:val="110"/>
        </w:rPr>
        <w:t xml:space="preserve"> </w:t>
      </w:r>
      <w:r>
        <w:rPr>
          <w:i/>
          <w:w w:val="110"/>
        </w:rPr>
        <w:t>Book.</w:t>
      </w:r>
      <w:r>
        <w:rPr>
          <w:i/>
          <w:spacing w:val="-46"/>
          <w:w w:val="110"/>
        </w:rPr>
        <w:t xml:space="preserve"> </w:t>
      </w:r>
      <w:r>
        <w:rPr>
          <w:w w:val="110"/>
        </w:rPr>
        <w:t>This</w:t>
      </w:r>
      <w:r>
        <w:rPr>
          <w:spacing w:val="-37"/>
          <w:w w:val="110"/>
        </w:rPr>
        <w:t xml:space="preserve"> </w:t>
      </w:r>
      <w:r>
        <w:rPr>
          <w:w w:val="110"/>
        </w:rPr>
        <w:t>volume</w:t>
      </w:r>
      <w:r>
        <w:rPr>
          <w:spacing w:val="-31"/>
          <w:w w:val="110"/>
        </w:rPr>
        <w:t xml:space="preserve"> </w:t>
      </w:r>
      <w:r>
        <w:rPr>
          <w:w w:val="110"/>
        </w:rPr>
        <w:t>presented</w:t>
      </w:r>
      <w:r>
        <w:rPr>
          <w:spacing w:val="-34"/>
          <w:w w:val="110"/>
        </w:rPr>
        <w:t xml:space="preserve"> </w:t>
      </w:r>
      <w:r>
        <w:rPr>
          <w:w w:val="110"/>
        </w:rPr>
        <w:t>a</w:t>
      </w:r>
      <w:r>
        <w:rPr>
          <w:spacing w:val="-37"/>
          <w:w w:val="110"/>
        </w:rPr>
        <w:t xml:space="preserve"> </w:t>
      </w:r>
      <w:r>
        <w:rPr>
          <w:w w:val="110"/>
        </w:rPr>
        <w:t>comprehensive</w:t>
      </w:r>
      <w:r>
        <w:rPr>
          <w:spacing w:val="-33"/>
          <w:w w:val="110"/>
        </w:rPr>
        <w:t xml:space="preserve"> </w:t>
      </w:r>
      <w:r>
        <w:rPr>
          <w:w w:val="110"/>
        </w:rPr>
        <w:t>summary of</w:t>
      </w:r>
      <w:r>
        <w:rPr>
          <w:spacing w:val="-23"/>
          <w:w w:val="110"/>
        </w:rPr>
        <w:t xml:space="preserve"> </w:t>
      </w:r>
      <w:r>
        <w:rPr>
          <w:w w:val="110"/>
        </w:rPr>
        <w:t>the</w:t>
      </w:r>
      <w:r>
        <w:rPr>
          <w:spacing w:val="-26"/>
          <w:w w:val="110"/>
        </w:rPr>
        <w:t xml:space="preserve"> </w:t>
      </w:r>
      <w:r>
        <w:rPr>
          <w:w w:val="110"/>
        </w:rPr>
        <w:t>alternative</w:t>
      </w:r>
      <w:r>
        <w:rPr>
          <w:spacing w:val="-20"/>
          <w:w w:val="110"/>
        </w:rPr>
        <w:t xml:space="preserve"> </w:t>
      </w:r>
      <w:r>
        <w:rPr>
          <w:w w:val="110"/>
        </w:rPr>
        <w:t>proposals</w:t>
      </w:r>
      <w:r>
        <w:rPr>
          <w:spacing w:val="-20"/>
          <w:w w:val="110"/>
        </w:rPr>
        <w:t xml:space="preserve"> </w:t>
      </w:r>
      <w:r>
        <w:rPr>
          <w:w w:val="110"/>
        </w:rPr>
        <w:t>that</w:t>
      </w:r>
      <w:r>
        <w:rPr>
          <w:spacing w:val="-26"/>
          <w:w w:val="110"/>
        </w:rPr>
        <w:t xml:space="preserve"> </w:t>
      </w:r>
      <w:r>
        <w:rPr>
          <w:w w:val="110"/>
        </w:rPr>
        <w:t>were</w:t>
      </w:r>
      <w:r>
        <w:rPr>
          <w:spacing w:val="-24"/>
          <w:w w:val="110"/>
        </w:rPr>
        <w:t xml:space="preserve"> </w:t>
      </w:r>
      <w:r>
        <w:rPr>
          <w:w w:val="110"/>
        </w:rPr>
        <w:t>being</w:t>
      </w:r>
      <w:r>
        <w:rPr>
          <w:spacing w:val="-26"/>
          <w:w w:val="110"/>
        </w:rPr>
        <w:t xml:space="preserve"> </w:t>
      </w:r>
      <w:r>
        <w:rPr>
          <w:w w:val="110"/>
        </w:rPr>
        <w:t>considered</w:t>
      </w:r>
      <w:r>
        <w:rPr>
          <w:spacing w:val="-21"/>
          <w:w w:val="110"/>
        </w:rPr>
        <w:t xml:space="preserve"> </w:t>
      </w:r>
      <w:r>
        <w:rPr>
          <w:w w:val="110"/>
        </w:rPr>
        <w:t>for</w:t>
      </w:r>
      <w:r>
        <w:rPr>
          <w:spacing w:val="-30"/>
          <w:w w:val="110"/>
        </w:rPr>
        <w:t xml:space="preserve"> </w:t>
      </w:r>
      <w:r>
        <w:rPr>
          <w:w w:val="110"/>
        </w:rPr>
        <w:t>inclusion</w:t>
      </w:r>
      <w:r>
        <w:rPr>
          <w:spacing w:val="-22"/>
          <w:w w:val="110"/>
        </w:rPr>
        <w:t xml:space="preserve"> </w:t>
      </w:r>
      <w:r>
        <w:rPr>
          <w:w w:val="110"/>
        </w:rPr>
        <w:t>in</w:t>
      </w:r>
      <w:r>
        <w:rPr>
          <w:spacing w:val="-28"/>
          <w:w w:val="110"/>
        </w:rPr>
        <w:t xml:space="preserve"> </w:t>
      </w:r>
      <w:r>
        <w:rPr>
          <w:w w:val="110"/>
        </w:rPr>
        <w:t>DSM-IV</w:t>
      </w:r>
      <w:r>
        <w:rPr>
          <w:spacing w:val="-23"/>
          <w:w w:val="110"/>
        </w:rPr>
        <w:t xml:space="preserve"> </w:t>
      </w:r>
      <w:r>
        <w:rPr>
          <w:w w:val="110"/>
        </w:rPr>
        <w:t>in</w:t>
      </w:r>
      <w:r>
        <w:rPr>
          <w:spacing w:val="-28"/>
          <w:w w:val="110"/>
        </w:rPr>
        <w:t xml:space="preserve"> </w:t>
      </w:r>
      <w:r>
        <w:rPr>
          <w:w w:val="110"/>
        </w:rPr>
        <w:t>order to solicit opinion and additional data for our deliberations. We received extensive correspondence from interested individuals who shared with us additional data and recommendations</w:t>
      </w:r>
      <w:r>
        <w:rPr>
          <w:spacing w:val="-19"/>
          <w:w w:val="110"/>
        </w:rPr>
        <w:t xml:space="preserve"> </w:t>
      </w:r>
      <w:r>
        <w:rPr>
          <w:w w:val="110"/>
        </w:rPr>
        <w:t>on</w:t>
      </w:r>
      <w:r>
        <w:rPr>
          <w:spacing w:val="-6"/>
          <w:w w:val="110"/>
        </w:rPr>
        <w:t xml:space="preserve"> </w:t>
      </w:r>
      <w:r>
        <w:rPr>
          <w:w w:val="110"/>
        </w:rPr>
        <w:t>the</w:t>
      </w:r>
      <w:r>
        <w:rPr>
          <w:spacing w:val="-7"/>
          <w:w w:val="110"/>
        </w:rPr>
        <w:t xml:space="preserve"> </w:t>
      </w:r>
      <w:r>
        <w:rPr>
          <w:w w:val="110"/>
        </w:rPr>
        <w:t>potential</w:t>
      </w:r>
      <w:r>
        <w:rPr>
          <w:spacing w:val="-5"/>
          <w:w w:val="110"/>
        </w:rPr>
        <w:t xml:space="preserve"> </w:t>
      </w:r>
      <w:r>
        <w:rPr>
          <w:w w:val="110"/>
        </w:rPr>
        <w:t>impact</w:t>
      </w:r>
      <w:r>
        <w:rPr>
          <w:spacing w:val="-9"/>
          <w:w w:val="110"/>
        </w:rPr>
        <w:t xml:space="preserve"> </w:t>
      </w:r>
      <w:r>
        <w:rPr>
          <w:w w:val="110"/>
        </w:rPr>
        <w:t>of</w:t>
      </w:r>
      <w:r>
        <w:rPr>
          <w:spacing w:val="-7"/>
          <w:w w:val="110"/>
        </w:rPr>
        <w:t xml:space="preserve"> </w:t>
      </w:r>
      <w:r>
        <w:rPr>
          <w:w w:val="110"/>
        </w:rPr>
        <w:t>the</w:t>
      </w:r>
      <w:r>
        <w:rPr>
          <w:spacing w:val="-6"/>
          <w:w w:val="110"/>
        </w:rPr>
        <w:t xml:space="preserve"> </w:t>
      </w:r>
      <w:r>
        <w:rPr>
          <w:w w:val="110"/>
        </w:rPr>
        <w:t>possible</w:t>
      </w:r>
      <w:r>
        <w:rPr>
          <w:spacing w:val="-6"/>
          <w:w w:val="110"/>
        </w:rPr>
        <w:t xml:space="preserve"> </w:t>
      </w:r>
      <w:r>
        <w:rPr>
          <w:w w:val="110"/>
        </w:rPr>
        <w:t>changes</w:t>
      </w:r>
      <w:r>
        <w:rPr>
          <w:spacing w:val="-8"/>
          <w:w w:val="110"/>
        </w:rPr>
        <w:t xml:space="preserve"> </w:t>
      </w:r>
      <w:r>
        <w:rPr>
          <w:w w:val="110"/>
        </w:rPr>
        <w:t>in</w:t>
      </w:r>
      <w:r>
        <w:rPr>
          <w:spacing w:val="-7"/>
          <w:w w:val="110"/>
        </w:rPr>
        <w:t xml:space="preserve"> </w:t>
      </w:r>
      <w:r>
        <w:rPr>
          <w:w w:val="110"/>
        </w:rPr>
        <w:t>DSM-IV</w:t>
      </w:r>
      <w:r>
        <w:rPr>
          <w:spacing w:val="-7"/>
          <w:w w:val="110"/>
        </w:rPr>
        <w:t xml:space="preserve"> </w:t>
      </w:r>
      <w:r>
        <w:rPr>
          <w:w w:val="110"/>
        </w:rPr>
        <w:t>on</w:t>
      </w:r>
      <w:r>
        <w:rPr>
          <w:spacing w:val="20"/>
          <w:w w:val="110"/>
        </w:rPr>
        <w:t xml:space="preserve"> </w:t>
      </w:r>
      <w:r>
        <w:rPr>
          <w:w w:val="110"/>
        </w:rPr>
        <w:t>their clinical</w:t>
      </w:r>
      <w:r>
        <w:rPr>
          <w:spacing w:val="-26"/>
          <w:w w:val="110"/>
        </w:rPr>
        <w:t xml:space="preserve"> </w:t>
      </w:r>
      <w:r>
        <w:rPr>
          <w:w w:val="110"/>
        </w:rPr>
        <w:t>practice,</w:t>
      </w:r>
      <w:r>
        <w:rPr>
          <w:spacing w:val="-27"/>
          <w:w w:val="110"/>
        </w:rPr>
        <w:t xml:space="preserve"> </w:t>
      </w:r>
      <w:r>
        <w:rPr>
          <w:w w:val="110"/>
        </w:rPr>
        <w:t>teaching,</w:t>
      </w:r>
      <w:r>
        <w:rPr>
          <w:spacing w:val="-26"/>
          <w:w w:val="110"/>
        </w:rPr>
        <w:t xml:space="preserve"> </w:t>
      </w:r>
      <w:r>
        <w:rPr>
          <w:w w:val="110"/>
        </w:rPr>
        <w:t>research,</w:t>
      </w:r>
      <w:r>
        <w:rPr>
          <w:spacing w:val="-30"/>
          <w:w w:val="110"/>
        </w:rPr>
        <w:t xml:space="preserve"> </w:t>
      </w:r>
      <w:r>
        <w:rPr>
          <w:w w:val="110"/>
        </w:rPr>
        <w:t>and</w:t>
      </w:r>
      <w:r>
        <w:rPr>
          <w:spacing w:val="-31"/>
          <w:w w:val="110"/>
        </w:rPr>
        <w:t xml:space="preserve"> </w:t>
      </w:r>
      <w:r>
        <w:rPr>
          <w:w w:val="110"/>
        </w:rPr>
        <w:t>administrative</w:t>
      </w:r>
      <w:r>
        <w:rPr>
          <w:spacing w:val="-33"/>
          <w:w w:val="110"/>
        </w:rPr>
        <w:t xml:space="preserve"> </w:t>
      </w:r>
      <w:r>
        <w:rPr>
          <w:w w:val="110"/>
        </w:rPr>
        <w:t>work.</w:t>
      </w:r>
      <w:r>
        <w:rPr>
          <w:spacing w:val="-33"/>
          <w:w w:val="110"/>
        </w:rPr>
        <w:t xml:space="preserve"> </w:t>
      </w:r>
      <w:r>
        <w:rPr>
          <w:w w:val="110"/>
        </w:rPr>
        <w:t>This</w:t>
      </w:r>
      <w:r>
        <w:rPr>
          <w:spacing w:val="-30"/>
          <w:w w:val="110"/>
        </w:rPr>
        <w:t xml:space="preserve"> </w:t>
      </w:r>
      <w:r>
        <w:rPr>
          <w:w w:val="110"/>
        </w:rPr>
        <w:t>breadth</w:t>
      </w:r>
      <w:r>
        <w:rPr>
          <w:spacing w:val="-28"/>
          <w:w w:val="110"/>
        </w:rPr>
        <w:t xml:space="preserve"> </w:t>
      </w:r>
      <w:r>
        <w:rPr>
          <w:w w:val="110"/>
        </w:rPr>
        <w:t>of</w:t>
      </w:r>
      <w:r>
        <w:rPr>
          <w:spacing w:val="-31"/>
          <w:w w:val="110"/>
        </w:rPr>
        <w:t xml:space="preserve"> </w:t>
      </w:r>
      <w:r>
        <w:rPr>
          <w:w w:val="110"/>
        </w:rPr>
        <w:t>discussion helped us to anticipate problems and to attempt to find the best solution among the various options. One year before the publication of DSM-IV, a near-final draft of the proposed criteria sets was distributed to allow for one last</w:t>
      </w:r>
      <w:r>
        <w:rPr>
          <w:spacing w:val="-4"/>
          <w:w w:val="110"/>
        </w:rPr>
        <w:t xml:space="preserve"> </w:t>
      </w:r>
      <w:r>
        <w:rPr>
          <w:w w:val="110"/>
        </w:rPr>
        <w:t>critique.</w:t>
      </w:r>
    </w:p>
    <w:p w:rsidR="00E675F0" w:rsidRDefault="00E675F0" w:rsidP="00E675F0">
      <w:pPr>
        <w:pStyle w:val="BodyText"/>
        <w:spacing w:line="252" w:lineRule="auto"/>
        <w:ind w:left="107" w:right="114" w:firstLine="362"/>
        <w:jc w:val="both"/>
      </w:pPr>
      <w:r>
        <w:rPr>
          <w:w w:val="105"/>
        </w:rPr>
        <w:t>In</w:t>
      </w:r>
      <w:r>
        <w:rPr>
          <w:spacing w:val="-14"/>
          <w:w w:val="105"/>
        </w:rPr>
        <w:t xml:space="preserve"> </w:t>
      </w:r>
      <w:r>
        <w:rPr>
          <w:w w:val="105"/>
        </w:rPr>
        <w:t>arriving</w:t>
      </w:r>
      <w:r>
        <w:rPr>
          <w:spacing w:val="-9"/>
          <w:w w:val="105"/>
        </w:rPr>
        <w:t xml:space="preserve"> </w:t>
      </w:r>
      <w:r>
        <w:rPr>
          <w:w w:val="105"/>
        </w:rPr>
        <w:t>at</w:t>
      </w:r>
      <w:r>
        <w:rPr>
          <w:spacing w:val="-16"/>
          <w:w w:val="105"/>
        </w:rPr>
        <w:t xml:space="preserve"> </w:t>
      </w:r>
      <w:r>
        <w:rPr>
          <w:w w:val="105"/>
        </w:rPr>
        <w:t>final</w:t>
      </w:r>
      <w:r>
        <w:rPr>
          <w:spacing w:val="-8"/>
          <w:w w:val="105"/>
        </w:rPr>
        <w:t xml:space="preserve"> </w:t>
      </w:r>
      <w:r>
        <w:rPr>
          <w:w w:val="105"/>
        </w:rPr>
        <w:t>DSM-IV</w:t>
      </w:r>
      <w:r>
        <w:rPr>
          <w:spacing w:val="-13"/>
          <w:w w:val="105"/>
        </w:rPr>
        <w:t xml:space="preserve"> </w:t>
      </w:r>
      <w:r>
        <w:rPr>
          <w:w w:val="105"/>
        </w:rPr>
        <w:t>decisions,</w:t>
      </w:r>
      <w:r>
        <w:rPr>
          <w:spacing w:val="1"/>
          <w:w w:val="105"/>
        </w:rPr>
        <w:t xml:space="preserve"> </w:t>
      </w:r>
      <w:r>
        <w:rPr>
          <w:w w:val="105"/>
        </w:rPr>
        <w:t>the</w:t>
      </w:r>
      <w:r>
        <w:rPr>
          <w:spacing w:val="-16"/>
          <w:w w:val="105"/>
        </w:rPr>
        <w:t xml:space="preserve"> </w:t>
      </w:r>
      <w:r>
        <w:rPr>
          <w:w w:val="105"/>
        </w:rPr>
        <w:t>Work</w:t>
      </w:r>
      <w:r>
        <w:rPr>
          <w:spacing w:val="-6"/>
          <w:w w:val="105"/>
        </w:rPr>
        <w:t xml:space="preserve"> </w:t>
      </w:r>
      <w:r>
        <w:rPr>
          <w:w w:val="105"/>
        </w:rPr>
        <w:t>Groups</w:t>
      </w:r>
      <w:r>
        <w:rPr>
          <w:spacing w:val="-8"/>
          <w:w w:val="105"/>
        </w:rPr>
        <w:t xml:space="preserve"> </w:t>
      </w:r>
      <w:r>
        <w:rPr>
          <w:w w:val="105"/>
        </w:rPr>
        <w:t>and</w:t>
      </w:r>
      <w:r>
        <w:rPr>
          <w:spacing w:val="-8"/>
          <w:w w:val="105"/>
        </w:rPr>
        <w:t xml:space="preserve"> </w:t>
      </w:r>
      <w:r>
        <w:rPr>
          <w:w w:val="105"/>
        </w:rPr>
        <w:t>the</w:t>
      </w:r>
      <w:r>
        <w:rPr>
          <w:spacing w:val="-19"/>
          <w:w w:val="105"/>
        </w:rPr>
        <w:t xml:space="preserve"> </w:t>
      </w:r>
      <w:r>
        <w:rPr>
          <w:w w:val="105"/>
        </w:rPr>
        <w:t>Task</w:t>
      </w:r>
      <w:r>
        <w:rPr>
          <w:spacing w:val="-2"/>
          <w:w w:val="105"/>
        </w:rPr>
        <w:t xml:space="preserve"> </w:t>
      </w:r>
      <w:r>
        <w:rPr>
          <w:w w:val="105"/>
        </w:rPr>
        <w:t>Force</w:t>
      </w:r>
      <w:r>
        <w:rPr>
          <w:spacing w:val="-6"/>
          <w:w w:val="105"/>
        </w:rPr>
        <w:t xml:space="preserve"> </w:t>
      </w:r>
      <w:r>
        <w:rPr>
          <w:w w:val="105"/>
        </w:rPr>
        <w:t xml:space="preserve">reviewed all of the extensive  empirical evidence  and correspondence that had  been gathered.  </w:t>
      </w:r>
      <w:r>
        <w:rPr>
          <w:w w:val="105"/>
          <w:sz w:val="19"/>
        </w:rPr>
        <w:t xml:space="preserve">It </w:t>
      </w:r>
      <w:r>
        <w:rPr>
          <w:w w:val="105"/>
        </w:rPr>
        <w:t>is our belief that the major innovation of DSM-IV lies not in any of its specific content changes but rather in the systematic and explicit process by which  it was constructed and documented. More than any other nomenclature of mental disorders, DSM-IV is grounded in empirical</w:t>
      </w:r>
      <w:r>
        <w:rPr>
          <w:spacing w:val="-14"/>
          <w:w w:val="105"/>
        </w:rPr>
        <w:t xml:space="preserve"> </w:t>
      </w:r>
      <w:r>
        <w:rPr>
          <w:w w:val="105"/>
        </w:rPr>
        <w:t>evidence.</w:t>
      </w:r>
    </w:p>
    <w:p w:rsidR="00E675F0" w:rsidRDefault="00E675F0" w:rsidP="00E675F0">
      <w:pPr>
        <w:pStyle w:val="BodyText"/>
        <w:rPr>
          <w:sz w:val="22"/>
        </w:rPr>
      </w:pPr>
    </w:p>
    <w:p w:rsidR="00E675F0" w:rsidRDefault="00E675F0" w:rsidP="00E675F0">
      <w:pPr>
        <w:pStyle w:val="BodyText"/>
        <w:spacing w:before="2"/>
        <w:rPr>
          <w:sz w:val="29"/>
        </w:rPr>
      </w:pPr>
    </w:p>
    <w:p w:rsidR="00E675F0" w:rsidRDefault="00E675F0" w:rsidP="00E675F0">
      <w:pPr>
        <w:spacing w:before="1"/>
        <w:ind w:left="87" w:right="119"/>
        <w:jc w:val="center"/>
        <w:rPr>
          <w:rFonts w:ascii="Arial"/>
          <w:b/>
          <w:sz w:val="26"/>
        </w:rPr>
      </w:pPr>
      <w:r>
        <w:rPr>
          <w:rFonts w:ascii="Arial"/>
          <w:b/>
          <w:sz w:val="26"/>
        </w:rPr>
        <w:t>Historical Background</w:t>
      </w:r>
    </w:p>
    <w:p w:rsidR="00E675F0" w:rsidRDefault="00E675F0" w:rsidP="00E675F0">
      <w:pPr>
        <w:pStyle w:val="BodyText"/>
        <w:spacing w:before="3"/>
        <w:rPr>
          <w:rFonts w:ascii="Arial"/>
          <w:b/>
          <w:sz w:val="28"/>
        </w:rPr>
      </w:pPr>
    </w:p>
    <w:p w:rsidR="00E675F0" w:rsidRDefault="00E675F0" w:rsidP="00E675F0">
      <w:pPr>
        <w:pStyle w:val="BodyText"/>
        <w:spacing w:line="254" w:lineRule="auto"/>
        <w:ind w:left="103" w:right="121"/>
        <w:jc w:val="both"/>
      </w:pPr>
      <w:r>
        <w:rPr>
          <w:w w:val="105"/>
        </w:rPr>
        <w:t>The need for a classification of mental disorders  has been clear throughout  the history of medicine, but there has been little agreement on which disorders should be included and the optimal method for their organization. The many nomenclatures that have been developed during the past two millennia have differed in their relative emphasis on phenomenology, etiology, and course as defining features. Some systems have included only a handful of diagnostic categories; others have included thousands. Moreover, the various systems for categorizing mental disorders have differed with respect to whether their</w:t>
      </w:r>
      <w:r>
        <w:rPr>
          <w:spacing w:val="14"/>
          <w:w w:val="105"/>
        </w:rPr>
        <w:t xml:space="preserve"> </w:t>
      </w:r>
      <w:r>
        <w:rPr>
          <w:w w:val="105"/>
        </w:rPr>
        <w:t>principle</w:t>
      </w:r>
      <w:r>
        <w:rPr>
          <w:spacing w:val="12"/>
          <w:w w:val="105"/>
        </w:rPr>
        <w:t xml:space="preserve"> </w:t>
      </w:r>
      <w:r>
        <w:rPr>
          <w:w w:val="105"/>
        </w:rPr>
        <w:t>objective</w:t>
      </w:r>
      <w:r>
        <w:rPr>
          <w:spacing w:val="15"/>
          <w:w w:val="105"/>
        </w:rPr>
        <w:t xml:space="preserve"> </w:t>
      </w:r>
      <w:r>
        <w:rPr>
          <w:w w:val="105"/>
        </w:rPr>
        <w:t>was for</w:t>
      </w:r>
      <w:r>
        <w:rPr>
          <w:spacing w:val="4"/>
          <w:w w:val="105"/>
        </w:rPr>
        <w:t xml:space="preserve"> </w:t>
      </w:r>
      <w:r>
        <w:rPr>
          <w:w w:val="105"/>
        </w:rPr>
        <w:t>use in</w:t>
      </w:r>
      <w:r>
        <w:rPr>
          <w:spacing w:val="3"/>
          <w:w w:val="105"/>
        </w:rPr>
        <w:t xml:space="preserve"> </w:t>
      </w:r>
      <w:r>
        <w:rPr>
          <w:w w:val="105"/>
        </w:rPr>
        <w:t>clinical,</w:t>
      </w:r>
      <w:r>
        <w:rPr>
          <w:spacing w:val="16"/>
          <w:w w:val="105"/>
        </w:rPr>
        <w:t xml:space="preserve"> </w:t>
      </w:r>
      <w:r>
        <w:rPr>
          <w:w w:val="105"/>
        </w:rPr>
        <w:t>research,</w:t>
      </w:r>
      <w:r>
        <w:rPr>
          <w:spacing w:val="15"/>
          <w:w w:val="105"/>
        </w:rPr>
        <w:t xml:space="preserve"> </w:t>
      </w:r>
      <w:r>
        <w:rPr>
          <w:w w:val="105"/>
        </w:rPr>
        <w:t>or</w:t>
      </w:r>
      <w:r>
        <w:rPr>
          <w:spacing w:val="4"/>
          <w:w w:val="105"/>
        </w:rPr>
        <w:t xml:space="preserve"> </w:t>
      </w:r>
      <w:r>
        <w:rPr>
          <w:w w:val="105"/>
        </w:rPr>
        <w:t>statistical</w:t>
      </w:r>
      <w:r>
        <w:rPr>
          <w:spacing w:val="8"/>
          <w:w w:val="105"/>
        </w:rPr>
        <w:t xml:space="preserve"> </w:t>
      </w:r>
      <w:r>
        <w:rPr>
          <w:w w:val="105"/>
        </w:rPr>
        <w:t>settings.</w:t>
      </w:r>
      <w:r>
        <w:rPr>
          <w:spacing w:val="18"/>
          <w:w w:val="105"/>
        </w:rPr>
        <w:t xml:space="preserve"> </w:t>
      </w:r>
      <w:r>
        <w:rPr>
          <w:w w:val="105"/>
        </w:rPr>
        <w:t>Because</w:t>
      </w:r>
    </w:p>
    <w:p w:rsidR="00E675F0" w:rsidRDefault="00E675F0" w:rsidP="00E675F0">
      <w:pPr>
        <w:spacing w:line="254" w:lineRule="auto"/>
        <w:jc w:val="both"/>
        <w:sectPr w:rsidR="00E675F0">
          <w:headerReference w:type="even" r:id="rId24"/>
          <w:headerReference w:type="default" r:id="rId25"/>
          <w:pgSz w:w="8960" w:h="14260"/>
          <w:pgMar w:top="1400" w:right="620" w:bottom="280" w:left="620" w:header="699" w:footer="0" w:gutter="0"/>
          <w:cols w:space="720"/>
        </w:sectPr>
      </w:pPr>
    </w:p>
    <w:p w:rsidR="00E675F0" w:rsidRDefault="00E675F0" w:rsidP="00E675F0">
      <w:pPr>
        <w:pStyle w:val="BodyText"/>
        <w:spacing w:line="20" w:lineRule="exact"/>
        <w:ind w:left="102"/>
        <w:rPr>
          <w:sz w:val="2"/>
        </w:rPr>
      </w:pPr>
      <w:r>
        <w:rPr>
          <w:noProof/>
          <w:sz w:val="2"/>
        </w:rPr>
        <w:lastRenderedPageBreak/>
        <mc:AlternateContent>
          <mc:Choice Requires="wpg">
            <w:drawing>
              <wp:inline distT="0" distB="0" distL="0" distR="0" wp14:anchorId="624ACCD5" wp14:editId="6AA0DFDE">
                <wp:extent cx="4755515" cy="6350"/>
                <wp:effectExtent l="0" t="0" r="0" b="0"/>
                <wp:docPr id="1720" name="Group 1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5515" cy="6350"/>
                          <a:chOff x="0" y="0"/>
                          <a:chExt cx="7489" cy="10"/>
                        </a:xfrm>
                      </wpg:grpSpPr>
                      <wps:wsp>
                        <wps:cNvPr id="1721" name="Line 1677"/>
                        <wps:cNvCnPr>
                          <a:cxnSpLocks/>
                        </wps:cNvCnPr>
                        <wps:spPr bwMode="auto">
                          <a:xfrm>
                            <a:off x="0" y="5"/>
                            <a:ext cx="7488" cy="0"/>
                          </a:xfrm>
                          <a:prstGeom prst="line">
                            <a:avLst/>
                          </a:prstGeom>
                          <a:noFill/>
                          <a:ln w="610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DD56698" id="Group 1676" o:spid="_x0000_s1026" style="width:374.45pt;height:.5pt;mso-position-horizontal-relative:char;mso-position-vertical-relative:line" coordsize="7489,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">
                <v:line id="Line 1677" o:spid="_x0000_s1027" style="position:absolute;visibility:visible;mso-wrap-style:square" from="0,5" to="748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" strokeweight=".16961mm">
                  <o:lock v:ext="edit" shapetype="f"/>
                </v:line>
                <w10:anchorlock/>
              </v:group>
            </w:pict>
          </mc:Fallback>
        </mc:AlternateContent>
      </w:r>
    </w:p>
    <w:p w:rsidR="00E675F0" w:rsidRDefault="00E675F0" w:rsidP="00E675F0">
      <w:pPr>
        <w:pStyle w:val="BodyText"/>
      </w:pPr>
    </w:p>
    <w:p w:rsidR="00E675F0" w:rsidRDefault="00E675F0" w:rsidP="00E675F0">
      <w:pPr>
        <w:pStyle w:val="BodyText"/>
      </w:pPr>
    </w:p>
    <w:p w:rsidR="00E675F0" w:rsidRDefault="00E675F0" w:rsidP="00E675F0">
      <w:pPr>
        <w:spacing w:before="93" w:line="249" w:lineRule="auto"/>
        <w:ind w:left="124" w:right="125"/>
        <w:jc w:val="both"/>
        <w:rPr>
          <w:sz w:val="19"/>
        </w:rPr>
      </w:pPr>
      <w:r>
        <w:rPr>
          <w:w w:val="110"/>
          <w:sz w:val="19"/>
        </w:rPr>
        <w:t xml:space="preserve">the history of classification is too extensive to be summarized here, we focus briefly only on those aspects that have led directly to the development of the </w:t>
      </w:r>
      <w:r>
        <w:rPr>
          <w:i/>
          <w:w w:val="110"/>
          <w:sz w:val="20"/>
        </w:rPr>
        <w:t>Diagnostic and Statistical</w:t>
      </w:r>
      <w:r>
        <w:rPr>
          <w:i/>
          <w:spacing w:val="-26"/>
          <w:w w:val="110"/>
          <w:sz w:val="20"/>
        </w:rPr>
        <w:t xml:space="preserve"> </w:t>
      </w:r>
      <w:r>
        <w:rPr>
          <w:i/>
          <w:w w:val="110"/>
          <w:sz w:val="20"/>
        </w:rPr>
        <w:t>Manual</w:t>
      </w:r>
      <w:r>
        <w:rPr>
          <w:i/>
          <w:spacing w:val="-22"/>
          <w:w w:val="110"/>
          <w:sz w:val="20"/>
        </w:rPr>
        <w:t xml:space="preserve"> </w:t>
      </w:r>
      <w:r>
        <w:rPr>
          <w:i/>
          <w:w w:val="110"/>
          <w:sz w:val="20"/>
        </w:rPr>
        <w:t>of</w:t>
      </w:r>
      <w:r>
        <w:rPr>
          <w:i/>
          <w:spacing w:val="-30"/>
          <w:w w:val="110"/>
          <w:sz w:val="20"/>
        </w:rPr>
        <w:t xml:space="preserve"> </w:t>
      </w:r>
      <w:r>
        <w:rPr>
          <w:i/>
          <w:w w:val="110"/>
          <w:sz w:val="20"/>
        </w:rPr>
        <w:t>Mental</w:t>
      </w:r>
      <w:r>
        <w:rPr>
          <w:i/>
          <w:spacing w:val="-22"/>
          <w:w w:val="110"/>
          <w:sz w:val="20"/>
        </w:rPr>
        <w:t xml:space="preserve"> </w:t>
      </w:r>
      <w:r>
        <w:rPr>
          <w:i/>
          <w:w w:val="110"/>
          <w:sz w:val="20"/>
        </w:rPr>
        <w:t>Disorders</w:t>
      </w:r>
      <w:r>
        <w:rPr>
          <w:i/>
          <w:spacing w:val="-25"/>
          <w:w w:val="110"/>
          <w:sz w:val="20"/>
        </w:rPr>
        <w:t xml:space="preserve"> </w:t>
      </w:r>
      <w:r>
        <w:rPr>
          <w:w w:val="110"/>
          <w:sz w:val="19"/>
        </w:rPr>
        <w:t>(DSM)</w:t>
      </w:r>
      <w:r>
        <w:rPr>
          <w:spacing w:val="-15"/>
          <w:w w:val="110"/>
          <w:sz w:val="19"/>
        </w:rPr>
        <w:t xml:space="preserve"> </w:t>
      </w:r>
      <w:r>
        <w:rPr>
          <w:w w:val="110"/>
          <w:sz w:val="19"/>
        </w:rPr>
        <w:t>and</w:t>
      </w:r>
      <w:r>
        <w:rPr>
          <w:spacing w:val="11"/>
          <w:w w:val="110"/>
          <w:sz w:val="19"/>
        </w:rPr>
        <w:t xml:space="preserve"> </w:t>
      </w:r>
      <w:r>
        <w:rPr>
          <w:w w:val="110"/>
          <w:sz w:val="19"/>
        </w:rPr>
        <w:t>to</w:t>
      </w:r>
      <w:r>
        <w:rPr>
          <w:spacing w:val="-7"/>
          <w:w w:val="110"/>
          <w:sz w:val="19"/>
        </w:rPr>
        <w:t xml:space="preserve"> </w:t>
      </w:r>
      <w:r>
        <w:rPr>
          <w:w w:val="110"/>
          <w:sz w:val="19"/>
        </w:rPr>
        <w:t>the</w:t>
      </w:r>
      <w:r>
        <w:rPr>
          <w:spacing w:val="5"/>
          <w:w w:val="110"/>
          <w:sz w:val="19"/>
        </w:rPr>
        <w:t xml:space="preserve"> </w:t>
      </w:r>
      <w:r>
        <w:rPr>
          <w:w w:val="110"/>
          <w:sz w:val="19"/>
        </w:rPr>
        <w:t>"Mental</w:t>
      </w:r>
      <w:r>
        <w:rPr>
          <w:spacing w:val="-11"/>
          <w:w w:val="110"/>
          <w:sz w:val="19"/>
        </w:rPr>
        <w:t xml:space="preserve"> </w:t>
      </w:r>
      <w:r>
        <w:rPr>
          <w:w w:val="110"/>
          <w:sz w:val="19"/>
        </w:rPr>
        <w:t>Disorders"</w:t>
      </w:r>
      <w:r>
        <w:rPr>
          <w:spacing w:val="-13"/>
          <w:w w:val="110"/>
          <w:sz w:val="19"/>
        </w:rPr>
        <w:t xml:space="preserve"> </w:t>
      </w:r>
      <w:r>
        <w:rPr>
          <w:w w:val="110"/>
          <w:sz w:val="19"/>
        </w:rPr>
        <w:t>sections</w:t>
      </w:r>
      <w:r>
        <w:rPr>
          <w:spacing w:val="-12"/>
          <w:w w:val="110"/>
          <w:sz w:val="19"/>
        </w:rPr>
        <w:t xml:space="preserve"> </w:t>
      </w:r>
      <w:r>
        <w:rPr>
          <w:w w:val="110"/>
          <w:sz w:val="19"/>
        </w:rPr>
        <w:t xml:space="preserve">in the various editions of the </w:t>
      </w:r>
      <w:r>
        <w:rPr>
          <w:i/>
          <w:w w:val="110"/>
          <w:sz w:val="20"/>
        </w:rPr>
        <w:t>International Classification of Diseases</w:t>
      </w:r>
      <w:r>
        <w:rPr>
          <w:i/>
          <w:spacing w:val="-24"/>
          <w:w w:val="110"/>
          <w:sz w:val="20"/>
        </w:rPr>
        <w:t xml:space="preserve"> </w:t>
      </w:r>
      <w:r>
        <w:rPr>
          <w:w w:val="110"/>
          <w:sz w:val="19"/>
        </w:rPr>
        <w:t>(ICD).</w:t>
      </w:r>
    </w:p>
    <w:p w:rsidR="00E675F0" w:rsidRDefault="00E675F0" w:rsidP="00E675F0">
      <w:pPr>
        <w:spacing w:before="7" w:line="266" w:lineRule="auto"/>
        <w:ind w:left="114" w:right="113" w:firstLine="368"/>
        <w:jc w:val="both"/>
        <w:rPr>
          <w:sz w:val="19"/>
        </w:rPr>
      </w:pPr>
      <w:r>
        <w:rPr>
          <w:w w:val="110"/>
          <w:sz w:val="19"/>
        </w:rPr>
        <w:t>In the United States, the initial impetus for developing a classification of mental disorders was the need to collect statistical information. What might be considered the first official attempt to gather information about mental illness in the United States was the recording of the frequency of  one  category-"idiocy/insanity" in  the  1840 census. By the 1880 census, seven categories of mental illness were distinguished-mania, melancholia, monomania, paresis, dementia, dipsomania, and epilepsy. In 1917, the Committee on Statistics of the American Psychiatric Association (at that time called the American Medico-Psychological Association [the name was changed in 1921]), together with the National Commission on Mental Hygiene, formulated a plan that was adopted by the Bureau of the Census for gathering uniform statistics across mental hospitals. Although this system devoted more attention to clinical utility than did previous systems, it was still primarily a statistical classification. The American Psychiatric Association subsequently collaborated with the New York Academy of Medicine to develop a nationally acceptable psychiatric nomenclature that would be incorporated within  the first edition of the American Medical Association's Standard Classified Nomenclature of Disease. This nomenclature was designed primarily for diagnosing inpatients with severe psychiatric and neurological</w:t>
      </w:r>
      <w:r>
        <w:rPr>
          <w:spacing w:val="14"/>
          <w:w w:val="110"/>
          <w:sz w:val="19"/>
        </w:rPr>
        <w:t xml:space="preserve"> </w:t>
      </w:r>
      <w:r>
        <w:rPr>
          <w:w w:val="110"/>
          <w:sz w:val="19"/>
        </w:rPr>
        <w:t>disorders.</w:t>
      </w:r>
    </w:p>
    <w:p w:rsidR="00E675F0" w:rsidRDefault="00E675F0" w:rsidP="00E675F0">
      <w:pPr>
        <w:spacing w:before="2" w:line="266" w:lineRule="auto"/>
        <w:ind w:left="114" w:right="135" w:firstLine="361"/>
        <w:jc w:val="both"/>
        <w:rPr>
          <w:sz w:val="19"/>
        </w:rPr>
      </w:pPr>
      <w:r>
        <w:rPr>
          <w:w w:val="110"/>
          <w:sz w:val="19"/>
        </w:rPr>
        <w:t>A much broader nomenclature was later developed by the U.S. Army (and modified by the Veterans Administration) in order to better incorporate the outpatient presenta­ tions of World War II servicemen and veterans (e.g., psychophysiological, personality, and acute disorders). Contemporaneously, the World Health Organization (WHO) published the sixth edition of ICD, which, for the first time, included a section for mental disorders. ICD-6 was heavily influenced by the Veterans Administration nomenclature and included 10 categories for psychoses, 9 for psychoneuroses, and 7 for disorders of character, behavior, and intelligence.</w:t>
      </w:r>
    </w:p>
    <w:p w:rsidR="00E675F0" w:rsidRDefault="00E675F0" w:rsidP="00E675F0">
      <w:pPr>
        <w:spacing w:line="264" w:lineRule="auto"/>
        <w:ind w:left="114" w:right="123" w:firstLine="361"/>
        <w:jc w:val="right"/>
        <w:rPr>
          <w:sz w:val="19"/>
        </w:rPr>
      </w:pPr>
      <w:r>
        <w:rPr>
          <w:w w:val="105"/>
          <w:sz w:val="19"/>
        </w:rPr>
        <w:t>The American Psychiatric Association Committee on Nomenclature</w:t>
      </w:r>
      <w:r>
        <w:rPr>
          <w:spacing w:val="26"/>
          <w:w w:val="105"/>
          <w:sz w:val="19"/>
        </w:rPr>
        <w:t xml:space="preserve"> </w:t>
      </w:r>
      <w:r>
        <w:rPr>
          <w:w w:val="105"/>
          <w:sz w:val="19"/>
        </w:rPr>
        <w:t>and</w:t>
      </w:r>
      <w:r>
        <w:rPr>
          <w:spacing w:val="12"/>
          <w:w w:val="105"/>
          <w:sz w:val="19"/>
        </w:rPr>
        <w:t xml:space="preserve"> </w:t>
      </w:r>
      <w:r>
        <w:rPr>
          <w:w w:val="105"/>
          <w:sz w:val="19"/>
        </w:rPr>
        <w:t>Statistics</w:t>
      </w:r>
      <w:r>
        <w:rPr>
          <w:spacing w:val="-1"/>
          <w:w w:val="103"/>
          <w:sz w:val="19"/>
        </w:rPr>
        <w:t xml:space="preserve"> </w:t>
      </w:r>
      <w:r>
        <w:rPr>
          <w:w w:val="105"/>
          <w:sz w:val="19"/>
        </w:rPr>
        <w:t>developed a variant of the ICD-6 that was published in 1952 as the first edition</w:t>
      </w:r>
      <w:r>
        <w:rPr>
          <w:spacing w:val="17"/>
          <w:w w:val="105"/>
          <w:sz w:val="19"/>
        </w:rPr>
        <w:t xml:space="preserve"> </w:t>
      </w:r>
      <w:r>
        <w:rPr>
          <w:w w:val="105"/>
          <w:sz w:val="19"/>
        </w:rPr>
        <w:t>of</w:t>
      </w:r>
      <w:r>
        <w:rPr>
          <w:spacing w:val="42"/>
          <w:w w:val="105"/>
          <w:sz w:val="19"/>
        </w:rPr>
        <w:t xml:space="preserve"> </w:t>
      </w:r>
      <w:r>
        <w:rPr>
          <w:w w:val="105"/>
          <w:sz w:val="19"/>
        </w:rPr>
        <w:t>the</w:t>
      </w:r>
      <w:r>
        <w:rPr>
          <w:spacing w:val="-1"/>
          <w:w w:val="105"/>
          <w:sz w:val="19"/>
        </w:rPr>
        <w:t xml:space="preserve"> </w:t>
      </w:r>
      <w:r>
        <w:rPr>
          <w:i/>
          <w:w w:val="105"/>
          <w:sz w:val="20"/>
        </w:rPr>
        <w:t>Diagnostic</w:t>
      </w:r>
      <w:r>
        <w:rPr>
          <w:i/>
          <w:spacing w:val="-20"/>
          <w:w w:val="105"/>
          <w:sz w:val="20"/>
        </w:rPr>
        <w:t xml:space="preserve"> </w:t>
      </w:r>
      <w:r>
        <w:rPr>
          <w:i/>
          <w:w w:val="105"/>
          <w:sz w:val="20"/>
        </w:rPr>
        <w:t>and</w:t>
      </w:r>
      <w:r>
        <w:rPr>
          <w:i/>
          <w:spacing w:val="15"/>
          <w:w w:val="105"/>
          <w:sz w:val="20"/>
        </w:rPr>
        <w:t xml:space="preserve"> </w:t>
      </w:r>
      <w:r>
        <w:rPr>
          <w:i/>
          <w:w w:val="105"/>
          <w:sz w:val="20"/>
        </w:rPr>
        <w:t>Statistical</w:t>
      </w:r>
      <w:r>
        <w:rPr>
          <w:i/>
          <w:spacing w:val="-31"/>
          <w:w w:val="105"/>
          <w:sz w:val="20"/>
        </w:rPr>
        <w:t xml:space="preserve"> </w:t>
      </w:r>
      <w:r>
        <w:rPr>
          <w:i/>
          <w:w w:val="105"/>
          <w:sz w:val="20"/>
        </w:rPr>
        <w:t>Manual:</w:t>
      </w:r>
      <w:r>
        <w:rPr>
          <w:i/>
          <w:spacing w:val="-33"/>
          <w:w w:val="105"/>
          <w:sz w:val="20"/>
        </w:rPr>
        <w:t xml:space="preserve"> </w:t>
      </w:r>
      <w:r>
        <w:rPr>
          <w:i/>
          <w:w w:val="105"/>
          <w:sz w:val="20"/>
        </w:rPr>
        <w:t>MentalDisorders(DSM-1).</w:t>
      </w:r>
      <w:r>
        <w:rPr>
          <w:i/>
          <w:spacing w:val="-31"/>
          <w:w w:val="105"/>
          <w:sz w:val="20"/>
        </w:rPr>
        <w:t xml:space="preserve"> </w:t>
      </w:r>
      <w:r>
        <w:rPr>
          <w:w w:val="105"/>
          <w:sz w:val="19"/>
        </w:rPr>
        <w:t>DSM-I</w:t>
      </w:r>
      <w:r>
        <w:rPr>
          <w:spacing w:val="-9"/>
          <w:w w:val="105"/>
          <w:sz w:val="19"/>
        </w:rPr>
        <w:t xml:space="preserve"> </w:t>
      </w:r>
      <w:r>
        <w:rPr>
          <w:w w:val="105"/>
          <w:sz w:val="19"/>
        </w:rPr>
        <w:t>contained</w:t>
      </w:r>
      <w:r>
        <w:rPr>
          <w:spacing w:val="1"/>
          <w:w w:val="105"/>
          <w:sz w:val="19"/>
        </w:rPr>
        <w:t xml:space="preserve"> </w:t>
      </w:r>
      <w:r>
        <w:rPr>
          <w:w w:val="105"/>
          <w:sz w:val="19"/>
        </w:rPr>
        <w:t>a</w:t>
      </w:r>
      <w:r>
        <w:rPr>
          <w:spacing w:val="-6"/>
          <w:w w:val="105"/>
          <w:sz w:val="19"/>
        </w:rPr>
        <w:t xml:space="preserve"> </w:t>
      </w:r>
      <w:r>
        <w:rPr>
          <w:w w:val="105"/>
          <w:sz w:val="19"/>
        </w:rPr>
        <w:t>glossary</w:t>
      </w:r>
      <w:r>
        <w:rPr>
          <w:w w:val="108"/>
          <w:sz w:val="19"/>
        </w:rPr>
        <w:t xml:space="preserve"> </w:t>
      </w:r>
      <w:r>
        <w:rPr>
          <w:w w:val="105"/>
          <w:sz w:val="19"/>
        </w:rPr>
        <w:t>of descriptions of the diagnostic categories and was the first official manual</w:t>
      </w:r>
      <w:r>
        <w:rPr>
          <w:spacing w:val="-12"/>
          <w:w w:val="105"/>
          <w:sz w:val="19"/>
        </w:rPr>
        <w:t xml:space="preserve"> </w:t>
      </w:r>
      <w:r>
        <w:rPr>
          <w:w w:val="105"/>
          <w:sz w:val="19"/>
        </w:rPr>
        <w:t>of  mental</w:t>
      </w:r>
      <w:r>
        <w:rPr>
          <w:spacing w:val="-1"/>
          <w:w w:val="111"/>
          <w:sz w:val="19"/>
        </w:rPr>
        <w:t xml:space="preserve"> </w:t>
      </w:r>
      <w:r>
        <w:rPr>
          <w:w w:val="105"/>
          <w:sz w:val="19"/>
        </w:rPr>
        <w:t xml:space="preserve">disorders to focus on clinical utility. The use of the term </w:t>
      </w:r>
      <w:r>
        <w:rPr>
          <w:i/>
          <w:w w:val="105"/>
          <w:sz w:val="20"/>
        </w:rPr>
        <w:t>reaction</w:t>
      </w:r>
      <w:r>
        <w:rPr>
          <w:i/>
          <w:spacing w:val="6"/>
          <w:w w:val="105"/>
          <w:sz w:val="20"/>
        </w:rPr>
        <w:t xml:space="preserve"> </w:t>
      </w:r>
      <w:r>
        <w:rPr>
          <w:w w:val="105"/>
          <w:sz w:val="19"/>
        </w:rPr>
        <w:t>throughout</w:t>
      </w:r>
      <w:r>
        <w:rPr>
          <w:spacing w:val="8"/>
          <w:w w:val="105"/>
          <w:sz w:val="19"/>
        </w:rPr>
        <w:t xml:space="preserve"> </w:t>
      </w:r>
      <w:r>
        <w:rPr>
          <w:w w:val="105"/>
          <w:sz w:val="19"/>
        </w:rPr>
        <w:t>DSM-I</w:t>
      </w:r>
      <w:r>
        <w:rPr>
          <w:spacing w:val="-1"/>
          <w:w w:val="97"/>
          <w:sz w:val="19"/>
        </w:rPr>
        <w:t xml:space="preserve"> </w:t>
      </w:r>
      <w:r>
        <w:rPr>
          <w:w w:val="105"/>
          <w:sz w:val="19"/>
        </w:rPr>
        <w:t>reflected the influence of Adolf Meyer's psychobiological view that</w:t>
      </w:r>
      <w:r>
        <w:rPr>
          <w:spacing w:val="42"/>
          <w:w w:val="105"/>
          <w:sz w:val="19"/>
        </w:rPr>
        <w:t xml:space="preserve"> </w:t>
      </w:r>
      <w:r>
        <w:rPr>
          <w:w w:val="105"/>
          <w:sz w:val="19"/>
        </w:rPr>
        <w:t>mental</w:t>
      </w:r>
      <w:r>
        <w:rPr>
          <w:spacing w:val="16"/>
          <w:w w:val="105"/>
          <w:sz w:val="19"/>
        </w:rPr>
        <w:t xml:space="preserve"> </w:t>
      </w:r>
      <w:r>
        <w:rPr>
          <w:w w:val="105"/>
          <w:sz w:val="19"/>
        </w:rPr>
        <w:t>disorders</w:t>
      </w:r>
      <w:r>
        <w:rPr>
          <w:w w:val="111"/>
          <w:sz w:val="19"/>
        </w:rPr>
        <w:t xml:space="preserve"> </w:t>
      </w:r>
      <w:r>
        <w:rPr>
          <w:w w:val="105"/>
          <w:sz w:val="19"/>
        </w:rPr>
        <w:t>represented reactions of  the</w:t>
      </w:r>
      <w:r>
        <w:rPr>
          <w:spacing w:val="49"/>
          <w:w w:val="105"/>
          <w:sz w:val="19"/>
        </w:rPr>
        <w:t xml:space="preserve"> </w:t>
      </w:r>
      <w:r>
        <w:rPr>
          <w:w w:val="105"/>
          <w:sz w:val="19"/>
        </w:rPr>
        <w:t>personality  to  psychological,  social,  and</w:t>
      </w:r>
      <w:r>
        <w:rPr>
          <w:spacing w:val="15"/>
          <w:w w:val="105"/>
          <w:sz w:val="19"/>
        </w:rPr>
        <w:t xml:space="preserve"> </w:t>
      </w:r>
      <w:r>
        <w:rPr>
          <w:w w:val="105"/>
          <w:sz w:val="19"/>
        </w:rPr>
        <w:t>biological</w:t>
      </w:r>
      <w:r>
        <w:rPr>
          <w:spacing w:val="42"/>
          <w:w w:val="105"/>
          <w:sz w:val="19"/>
        </w:rPr>
        <w:t xml:space="preserve"> </w:t>
      </w:r>
      <w:r>
        <w:rPr>
          <w:w w:val="105"/>
          <w:sz w:val="19"/>
        </w:rPr>
        <w:t>factors.</w:t>
      </w:r>
      <w:r>
        <w:rPr>
          <w:w w:val="108"/>
          <w:sz w:val="19"/>
        </w:rPr>
        <w:t xml:space="preserve"> </w:t>
      </w:r>
      <w:r>
        <w:rPr>
          <w:w w:val="105"/>
          <w:sz w:val="19"/>
        </w:rPr>
        <w:t>In part because of the lack of widespread</w:t>
      </w:r>
      <w:r>
        <w:rPr>
          <w:spacing w:val="49"/>
          <w:w w:val="105"/>
          <w:sz w:val="19"/>
        </w:rPr>
        <w:t xml:space="preserve"> </w:t>
      </w:r>
      <w:r>
        <w:rPr>
          <w:w w:val="105"/>
          <w:sz w:val="19"/>
        </w:rPr>
        <w:t xml:space="preserve">acceptance  of  the </w:t>
      </w:r>
      <w:r>
        <w:rPr>
          <w:spacing w:val="36"/>
          <w:w w:val="105"/>
          <w:sz w:val="19"/>
        </w:rPr>
        <w:t xml:space="preserve"> </w:t>
      </w:r>
      <w:r>
        <w:rPr>
          <w:w w:val="105"/>
          <w:sz w:val="19"/>
        </w:rPr>
        <w:t xml:space="preserve">mental </w:t>
      </w:r>
      <w:r>
        <w:rPr>
          <w:spacing w:val="31"/>
          <w:w w:val="105"/>
          <w:sz w:val="19"/>
        </w:rPr>
        <w:t xml:space="preserve"> </w:t>
      </w:r>
      <w:r>
        <w:rPr>
          <w:w w:val="105"/>
          <w:sz w:val="19"/>
        </w:rPr>
        <w:t>disorder</w:t>
      </w:r>
      <w:r>
        <w:rPr>
          <w:w w:val="112"/>
          <w:sz w:val="19"/>
        </w:rPr>
        <w:t xml:space="preserve"> </w:t>
      </w:r>
      <w:r>
        <w:rPr>
          <w:w w:val="105"/>
          <w:sz w:val="19"/>
        </w:rPr>
        <w:t>taxonomy contained in ICD-6 and ICD-7, WHO sponsored a comprehensive</w:t>
      </w:r>
      <w:r>
        <w:rPr>
          <w:spacing w:val="14"/>
          <w:w w:val="105"/>
          <w:sz w:val="19"/>
        </w:rPr>
        <w:t xml:space="preserve"> </w:t>
      </w:r>
      <w:r>
        <w:rPr>
          <w:w w:val="105"/>
          <w:sz w:val="19"/>
        </w:rPr>
        <w:t>review</w:t>
      </w:r>
      <w:r>
        <w:rPr>
          <w:spacing w:val="37"/>
          <w:w w:val="105"/>
          <w:sz w:val="19"/>
        </w:rPr>
        <w:t xml:space="preserve"> </w:t>
      </w:r>
      <w:r>
        <w:rPr>
          <w:w w:val="105"/>
          <w:sz w:val="19"/>
        </w:rPr>
        <w:t xml:space="preserve">of diagnostic issues that was conducted  by the  British  psychiatrist  Stengel.  His </w:t>
      </w:r>
      <w:r>
        <w:rPr>
          <w:spacing w:val="25"/>
          <w:w w:val="105"/>
          <w:sz w:val="19"/>
        </w:rPr>
        <w:t xml:space="preserve"> </w:t>
      </w:r>
      <w:r>
        <w:rPr>
          <w:w w:val="105"/>
          <w:sz w:val="19"/>
        </w:rPr>
        <w:t>report</w:t>
      </w:r>
      <w:r>
        <w:rPr>
          <w:spacing w:val="44"/>
          <w:w w:val="105"/>
          <w:sz w:val="19"/>
        </w:rPr>
        <w:t xml:space="preserve"> </w:t>
      </w:r>
      <w:r>
        <w:rPr>
          <w:w w:val="105"/>
          <w:sz w:val="19"/>
        </w:rPr>
        <w:t>can</w:t>
      </w:r>
      <w:r>
        <w:rPr>
          <w:spacing w:val="-1"/>
          <w:w w:val="111"/>
          <w:sz w:val="19"/>
        </w:rPr>
        <w:t xml:space="preserve"> </w:t>
      </w:r>
      <w:r>
        <w:rPr>
          <w:w w:val="105"/>
          <w:sz w:val="19"/>
        </w:rPr>
        <w:t>be credited with having inspired many of the recent advances in</w:t>
      </w:r>
      <w:r>
        <w:rPr>
          <w:spacing w:val="-12"/>
          <w:w w:val="105"/>
          <w:sz w:val="19"/>
        </w:rPr>
        <w:t xml:space="preserve"> </w:t>
      </w:r>
      <w:r>
        <w:rPr>
          <w:w w:val="105"/>
          <w:sz w:val="19"/>
        </w:rPr>
        <w:t>diagnostic methodol­</w:t>
      </w:r>
      <w:r>
        <w:rPr>
          <w:spacing w:val="-1"/>
          <w:w w:val="112"/>
          <w:sz w:val="19"/>
        </w:rPr>
        <w:t xml:space="preserve"> </w:t>
      </w:r>
      <w:r>
        <w:rPr>
          <w:w w:val="105"/>
          <w:sz w:val="19"/>
        </w:rPr>
        <w:t>ogy-most especially the need for explicit definitions as a means of</w:t>
      </w:r>
      <w:r>
        <w:rPr>
          <w:spacing w:val="16"/>
          <w:w w:val="105"/>
          <w:sz w:val="19"/>
        </w:rPr>
        <w:t xml:space="preserve"> </w:t>
      </w:r>
      <w:r>
        <w:rPr>
          <w:w w:val="105"/>
          <w:sz w:val="19"/>
        </w:rPr>
        <w:t xml:space="preserve">promoting </w:t>
      </w:r>
      <w:r>
        <w:rPr>
          <w:spacing w:val="16"/>
          <w:w w:val="105"/>
          <w:sz w:val="19"/>
        </w:rPr>
        <w:t xml:space="preserve"> </w:t>
      </w:r>
      <w:r>
        <w:rPr>
          <w:w w:val="105"/>
          <w:sz w:val="19"/>
        </w:rPr>
        <w:t>reliable</w:t>
      </w:r>
      <w:r>
        <w:rPr>
          <w:w w:val="108"/>
          <w:sz w:val="19"/>
        </w:rPr>
        <w:t xml:space="preserve"> </w:t>
      </w:r>
      <w:r>
        <w:rPr>
          <w:w w:val="105"/>
          <w:sz w:val="19"/>
        </w:rPr>
        <w:t xml:space="preserve">clinical diagnoses. However, the next round of diagnostic revision, which  led </w:t>
      </w:r>
      <w:r>
        <w:rPr>
          <w:spacing w:val="14"/>
          <w:w w:val="105"/>
          <w:sz w:val="19"/>
        </w:rPr>
        <w:t xml:space="preserve"> </w:t>
      </w:r>
      <w:r>
        <w:rPr>
          <w:w w:val="105"/>
          <w:sz w:val="19"/>
        </w:rPr>
        <w:t>to</w:t>
      </w:r>
      <w:r>
        <w:rPr>
          <w:spacing w:val="17"/>
          <w:w w:val="105"/>
          <w:sz w:val="19"/>
        </w:rPr>
        <w:t xml:space="preserve"> </w:t>
      </w:r>
      <w:r>
        <w:rPr>
          <w:w w:val="105"/>
          <w:sz w:val="19"/>
        </w:rPr>
        <w:t>DSM-II</w:t>
      </w:r>
      <w:r>
        <w:rPr>
          <w:spacing w:val="-1"/>
          <w:w w:val="97"/>
          <w:sz w:val="19"/>
        </w:rPr>
        <w:t xml:space="preserve"> </w:t>
      </w:r>
      <w:r>
        <w:rPr>
          <w:w w:val="105"/>
          <w:sz w:val="19"/>
        </w:rPr>
        <w:t>and ICD-8, did not follow Stengel's recommendations to any great degree. DSM-II</w:t>
      </w:r>
      <w:r>
        <w:rPr>
          <w:spacing w:val="-17"/>
          <w:w w:val="105"/>
          <w:sz w:val="19"/>
        </w:rPr>
        <w:t xml:space="preserve"> </w:t>
      </w:r>
      <w:r>
        <w:rPr>
          <w:w w:val="105"/>
          <w:sz w:val="19"/>
        </w:rPr>
        <w:t>was</w:t>
      </w:r>
    </w:p>
    <w:p w:rsidR="00E675F0" w:rsidRDefault="00E675F0" w:rsidP="00E675F0">
      <w:pPr>
        <w:spacing w:line="215" w:lineRule="exact"/>
        <w:ind w:left="117"/>
        <w:jc w:val="both"/>
        <w:rPr>
          <w:i/>
          <w:sz w:val="20"/>
        </w:rPr>
      </w:pPr>
      <w:r>
        <w:rPr>
          <w:w w:val="105"/>
          <w:sz w:val="19"/>
        </w:rPr>
        <w:t xml:space="preserve">similar to DSM-I but eliminated the term </w:t>
      </w:r>
      <w:r>
        <w:rPr>
          <w:i/>
          <w:w w:val="105"/>
          <w:sz w:val="20"/>
        </w:rPr>
        <w:t>reaction.</w:t>
      </w:r>
    </w:p>
    <w:p w:rsidR="00E675F0" w:rsidRDefault="00E675F0" w:rsidP="00E675F0">
      <w:pPr>
        <w:spacing w:before="22" w:line="268" w:lineRule="auto"/>
        <w:ind w:left="119" w:right="120" w:firstLine="356"/>
        <w:jc w:val="both"/>
        <w:rPr>
          <w:sz w:val="19"/>
        </w:rPr>
      </w:pPr>
      <w:r>
        <w:rPr>
          <w:w w:val="110"/>
          <w:sz w:val="19"/>
        </w:rPr>
        <w:t>As had been the case for DSM-I and DSM-II, the development of DSM-III was coordinated with the development of the next (ninth) version of ICD, which was published in 1975 and implemented in 1978. Work began on DSM-III in 1974, with publication in 1980. DSM-III introduced a number of important methodological innova­ tions, including explicit diagnostic criteria, a multiaxial system, and a descriptive</w:t>
      </w:r>
    </w:p>
    <w:p w:rsidR="00E675F0" w:rsidRDefault="00E675F0" w:rsidP="00E675F0">
      <w:pPr>
        <w:spacing w:line="268" w:lineRule="auto"/>
        <w:jc w:val="both"/>
        <w:rPr>
          <w:sz w:val="19"/>
        </w:rPr>
        <w:sectPr w:rsidR="00E675F0">
          <w:pgSz w:w="8960" w:h="14260"/>
          <w:pgMar w:top="960" w:right="620" w:bottom="280" w:left="620" w:header="680" w:footer="0" w:gutter="0"/>
          <w:cols w:space="720"/>
        </w:sectPr>
      </w:pPr>
    </w:p>
    <w:p w:rsidR="00E675F0" w:rsidRDefault="00E675F0" w:rsidP="00E675F0">
      <w:pPr>
        <w:pStyle w:val="BodyText"/>
        <w:spacing w:before="112" w:line="252" w:lineRule="auto"/>
        <w:ind w:left="111" w:right="107"/>
        <w:jc w:val="both"/>
      </w:pPr>
      <w:r>
        <w:rPr>
          <w:w w:val="105"/>
        </w:rPr>
        <w:lastRenderedPageBreak/>
        <w:t>approach that attempted to be neutral with respect to theories of etiology.  This effort was facilitated by the extensive empirical work then under way on the construction and validation of explicit diagnostic criteria and the development of semistructured inter­ views. ICD-9 did not include diagnostic criteria or a multiaxial system largely because the primary function of this international system was to delineate categories to facilitate the collection of basic health statistics. In contrast, DSM-III was developed with the additional goal of providing a medical nomenclature for clinicians and researchers. Because of dissatisfaction across all of medicine with the lack of specificity in ICD-9, a decision was made to modify it for use in the United States, resulting in ICD-9-CM (for Clinical</w:t>
      </w:r>
      <w:r>
        <w:rPr>
          <w:spacing w:val="16"/>
          <w:w w:val="105"/>
        </w:rPr>
        <w:t xml:space="preserve"> </w:t>
      </w:r>
      <w:r>
        <w:rPr>
          <w:w w:val="105"/>
        </w:rPr>
        <w:t>Modification).</w:t>
      </w:r>
    </w:p>
    <w:p w:rsidR="00E675F0" w:rsidRDefault="00E675F0" w:rsidP="00E675F0">
      <w:pPr>
        <w:pStyle w:val="BodyText"/>
        <w:spacing w:before="8" w:line="252" w:lineRule="auto"/>
        <w:ind w:left="115" w:right="105" w:firstLine="360"/>
        <w:jc w:val="both"/>
      </w:pPr>
      <w:r>
        <w:rPr>
          <w:w w:val="105"/>
        </w:rPr>
        <w:t>Experience with DSM-Ill revealed a number of inconsistencies in the system and a number</w:t>
      </w:r>
      <w:r>
        <w:rPr>
          <w:spacing w:val="-5"/>
          <w:w w:val="105"/>
        </w:rPr>
        <w:t xml:space="preserve"> </w:t>
      </w:r>
      <w:r>
        <w:rPr>
          <w:w w:val="105"/>
        </w:rPr>
        <w:t>of</w:t>
      </w:r>
      <w:r>
        <w:rPr>
          <w:spacing w:val="-6"/>
          <w:w w:val="105"/>
        </w:rPr>
        <w:t xml:space="preserve"> </w:t>
      </w:r>
      <w:r>
        <w:rPr>
          <w:w w:val="105"/>
        </w:rPr>
        <w:t>instances</w:t>
      </w:r>
      <w:r>
        <w:rPr>
          <w:spacing w:val="-4"/>
          <w:w w:val="105"/>
        </w:rPr>
        <w:t xml:space="preserve"> </w:t>
      </w:r>
      <w:r>
        <w:rPr>
          <w:w w:val="105"/>
        </w:rPr>
        <w:t>in</w:t>
      </w:r>
      <w:r>
        <w:rPr>
          <w:spacing w:val="-15"/>
          <w:w w:val="105"/>
        </w:rPr>
        <w:t xml:space="preserve"> </w:t>
      </w:r>
      <w:r>
        <w:rPr>
          <w:w w:val="105"/>
        </w:rPr>
        <w:t>which</w:t>
      </w:r>
      <w:r>
        <w:rPr>
          <w:spacing w:val="-6"/>
          <w:w w:val="105"/>
        </w:rPr>
        <w:t xml:space="preserve"> </w:t>
      </w:r>
      <w:r>
        <w:rPr>
          <w:w w:val="105"/>
        </w:rPr>
        <w:t>the</w:t>
      </w:r>
      <w:r>
        <w:rPr>
          <w:spacing w:val="-20"/>
          <w:w w:val="105"/>
        </w:rPr>
        <w:t xml:space="preserve"> </w:t>
      </w:r>
      <w:r>
        <w:rPr>
          <w:w w:val="105"/>
        </w:rPr>
        <w:t>criteria</w:t>
      </w:r>
      <w:r>
        <w:rPr>
          <w:spacing w:val="-1"/>
          <w:w w:val="105"/>
        </w:rPr>
        <w:t xml:space="preserve"> </w:t>
      </w:r>
      <w:r>
        <w:rPr>
          <w:w w:val="105"/>
        </w:rPr>
        <w:t>were</w:t>
      </w:r>
      <w:r>
        <w:rPr>
          <w:spacing w:val="-6"/>
          <w:w w:val="105"/>
        </w:rPr>
        <w:t xml:space="preserve"> </w:t>
      </w:r>
      <w:r>
        <w:rPr>
          <w:w w:val="105"/>
        </w:rPr>
        <w:t>not</w:t>
      </w:r>
      <w:r>
        <w:rPr>
          <w:spacing w:val="-12"/>
          <w:w w:val="105"/>
        </w:rPr>
        <w:t xml:space="preserve"> </w:t>
      </w:r>
      <w:r>
        <w:rPr>
          <w:w w:val="105"/>
        </w:rPr>
        <w:t>entirely</w:t>
      </w:r>
      <w:r>
        <w:rPr>
          <w:spacing w:val="-5"/>
          <w:w w:val="105"/>
        </w:rPr>
        <w:t xml:space="preserve"> </w:t>
      </w:r>
      <w:r>
        <w:rPr>
          <w:w w:val="105"/>
        </w:rPr>
        <w:t>clear.</w:t>
      </w:r>
      <w:r>
        <w:rPr>
          <w:spacing w:val="-18"/>
          <w:w w:val="105"/>
        </w:rPr>
        <w:t xml:space="preserve"> </w:t>
      </w:r>
      <w:r>
        <w:rPr>
          <w:w w:val="105"/>
        </w:rPr>
        <w:t>Therefore,</w:t>
      </w:r>
      <w:r>
        <w:rPr>
          <w:spacing w:val="7"/>
          <w:w w:val="105"/>
        </w:rPr>
        <w:t xml:space="preserve"> </w:t>
      </w:r>
      <w:r>
        <w:rPr>
          <w:w w:val="105"/>
        </w:rPr>
        <w:t>the</w:t>
      </w:r>
      <w:r>
        <w:rPr>
          <w:spacing w:val="-19"/>
          <w:w w:val="105"/>
        </w:rPr>
        <w:t xml:space="preserve"> </w:t>
      </w:r>
      <w:r>
        <w:rPr>
          <w:w w:val="105"/>
        </w:rPr>
        <w:t>American Psychiatric Association appointed a Work Group to Revise DSM-III, which developed the</w:t>
      </w:r>
      <w:r>
        <w:rPr>
          <w:spacing w:val="6"/>
          <w:w w:val="105"/>
        </w:rPr>
        <w:t xml:space="preserve"> </w:t>
      </w:r>
      <w:r>
        <w:rPr>
          <w:w w:val="105"/>
        </w:rPr>
        <w:t>revisions</w:t>
      </w:r>
      <w:r>
        <w:rPr>
          <w:spacing w:val="12"/>
          <w:w w:val="105"/>
        </w:rPr>
        <w:t xml:space="preserve"> </w:t>
      </w:r>
      <w:r>
        <w:rPr>
          <w:w w:val="105"/>
        </w:rPr>
        <w:t>and</w:t>
      </w:r>
      <w:r>
        <w:rPr>
          <w:spacing w:val="9"/>
          <w:w w:val="105"/>
        </w:rPr>
        <w:t xml:space="preserve"> </w:t>
      </w:r>
      <w:r>
        <w:rPr>
          <w:w w:val="105"/>
        </w:rPr>
        <w:t>corrections</w:t>
      </w:r>
      <w:r>
        <w:rPr>
          <w:spacing w:val="16"/>
          <w:w w:val="105"/>
        </w:rPr>
        <w:t xml:space="preserve"> </w:t>
      </w:r>
      <w:r>
        <w:rPr>
          <w:w w:val="105"/>
        </w:rPr>
        <w:t>that</w:t>
      </w:r>
      <w:r>
        <w:rPr>
          <w:spacing w:val="6"/>
          <w:w w:val="105"/>
        </w:rPr>
        <w:t xml:space="preserve"> </w:t>
      </w:r>
      <w:r>
        <w:rPr>
          <w:w w:val="105"/>
        </w:rPr>
        <w:t>led</w:t>
      </w:r>
      <w:r>
        <w:rPr>
          <w:spacing w:val="7"/>
          <w:w w:val="105"/>
        </w:rPr>
        <w:t xml:space="preserve"> </w:t>
      </w:r>
      <w:r>
        <w:rPr>
          <w:w w:val="105"/>
        </w:rPr>
        <w:t>to</w:t>
      </w:r>
      <w:r>
        <w:rPr>
          <w:spacing w:val="5"/>
          <w:w w:val="105"/>
        </w:rPr>
        <w:t xml:space="preserve"> </w:t>
      </w:r>
      <w:r>
        <w:rPr>
          <w:w w:val="105"/>
        </w:rPr>
        <w:t>the</w:t>
      </w:r>
      <w:r>
        <w:rPr>
          <w:spacing w:val="15"/>
          <w:w w:val="105"/>
        </w:rPr>
        <w:t xml:space="preserve"> </w:t>
      </w:r>
      <w:r>
        <w:rPr>
          <w:w w:val="105"/>
        </w:rPr>
        <w:t>publication</w:t>
      </w:r>
      <w:r>
        <w:rPr>
          <w:spacing w:val="17"/>
          <w:w w:val="105"/>
        </w:rPr>
        <w:t xml:space="preserve"> </w:t>
      </w:r>
      <w:r>
        <w:rPr>
          <w:w w:val="105"/>
        </w:rPr>
        <w:t>of</w:t>
      </w:r>
      <w:r>
        <w:rPr>
          <w:spacing w:val="12"/>
          <w:w w:val="105"/>
        </w:rPr>
        <w:t xml:space="preserve"> </w:t>
      </w:r>
      <w:r>
        <w:rPr>
          <w:w w:val="105"/>
        </w:rPr>
        <w:t>DSM-III-R</w:t>
      </w:r>
      <w:r>
        <w:rPr>
          <w:spacing w:val="14"/>
          <w:w w:val="105"/>
        </w:rPr>
        <w:t xml:space="preserve"> </w:t>
      </w:r>
      <w:r>
        <w:rPr>
          <w:w w:val="105"/>
        </w:rPr>
        <w:t>in</w:t>
      </w:r>
      <w:r>
        <w:rPr>
          <w:spacing w:val="-1"/>
          <w:w w:val="105"/>
        </w:rPr>
        <w:t xml:space="preserve"> </w:t>
      </w:r>
      <w:r>
        <w:rPr>
          <w:w w:val="105"/>
        </w:rPr>
        <w:t>1987.</w:t>
      </w:r>
    </w:p>
    <w:p w:rsidR="00E675F0" w:rsidRDefault="00E675F0" w:rsidP="00E675F0">
      <w:pPr>
        <w:pStyle w:val="BodyText"/>
        <w:rPr>
          <w:sz w:val="22"/>
        </w:rPr>
      </w:pPr>
    </w:p>
    <w:p w:rsidR="00E675F0" w:rsidRDefault="00E675F0" w:rsidP="00E675F0">
      <w:pPr>
        <w:pStyle w:val="BodyText"/>
        <w:spacing w:before="3"/>
        <w:rPr>
          <w:sz w:val="25"/>
        </w:rPr>
      </w:pPr>
    </w:p>
    <w:p w:rsidR="00E675F0" w:rsidRDefault="00E675F0" w:rsidP="00E675F0">
      <w:pPr>
        <w:ind w:left="127" w:right="119"/>
        <w:jc w:val="center"/>
        <w:rPr>
          <w:rFonts w:ascii="Arial"/>
          <w:b/>
          <w:sz w:val="24"/>
        </w:rPr>
      </w:pPr>
      <w:r>
        <w:rPr>
          <w:rFonts w:ascii="Arial"/>
          <w:b/>
          <w:w w:val="105"/>
          <w:sz w:val="24"/>
        </w:rPr>
        <w:t>The DSM..-IV Revision Process</w:t>
      </w:r>
    </w:p>
    <w:p w:rsidR="00E675F0" w:rsidRDefault="00E675F0" w:rsidP="00E675F0">
      <w:pPr>
        <w:pStyle w:val="BodyText"/>
        <w:spacing w:before="10"/>
        <w:rPr>
          <w:rFonts w:ascii="Arial"/>
          <w:b/>
          <w:sz w:val="24"/>
        </w:rPr>
      </w:pPr>
    </w:p>
    <w:p w:rsidR="00E675F0" w:rsidRDefault="00E675F0" w:rsidP="00E675F0">
      <w:pPr>
        <w:pStyle w:val="BodyText"/>
        <w:spacing w:line="252" w:lineRule="auto"/>
        <w:ind w:left="116" w:right="106" w:hanging="4"/>
        <w:jc w:val="both"/>
      </w:pPr>
      <w:r>
        <w:rPr>
          <w:w w:val="105"/>
        </w:rPr>
        <w:t>The</w:t>
      </w:r>
      <w:r>
        <w:rPr>
          <w:spacing w:val="-10"/>
          <w:w w:val="105"/>
        </w:rPr>
        <w:t xml:space="preserve"> </w:t>
      </w:r>
      <w:r>
        <w:rPr>
          <w:w w:val="105"/>
        </w:rPr>
        <w:t>third</w:t>
      </w:r>
      <w:r>
        <w:rPr>
          <w:spacing w:val="-6"/>
          <w:w w:val="105"/>
        </w:rPr>
        <w:t xml:space="preserve"> </w:t>
      </w:r>
      <w:r>
        <w:rPr>
          <w:w w:val="105"/>
        </w:rPr>
        <w:t>edition</w:t>
      </w:r>
      <w:r>
        <w:rPr>
          <w:spacing w:val="-5"/>
          <w:w w:val="105"/>
        </w:rPr>
        <w:t xml:space="preserve"> </w:t>
      </w:r>
      <w:r>
        <w:rPr>
          <w:w w:val="105"/>
        </w:rPr>
        <w:t>of</w:t>
      </w:r>
      <w:r>
        <w:rPr>
          <w:spacing w:val="-2"/>
          <w:w w:val="105"/>
        </w:rPr>
        <w:t xml:space="preserve"> </w:t>
      </w:r>
      <w:r>
        <w:rPr>
          <w:w w:val="105"/>
        </w:rPr>
        <w:t>the</w:t>
      </w:r>
      <w:r>
        <w:rPr>
          <w:spacing w:val="-1"/>
          <w:w w:val="105"/>
        </w:rPr>
        <w:t xml:space="preserve"> </w:t>
      </w:r>
      <w:r>
        <w:rPr>
          <w:i/>
          <w:w w:val="105"/>
        </w:rPr>
        <w:t>Diagnostic</w:t>
      </w:r>
      <w:r>
        <w:rPr>
          <w:i/>
          <w:spacing w:val="-13"/>
          <w:w w:val="105"/>
        </w:rPr>
        <w:t xml:space="preserve"> </w:t>
      </w:r>
      <w:r>
        <w:rPr>
          <w:i/>
          <w:w w:val="105"/>
        </w:rPr>
        <w:t>and</w:t>
      </w:r>
      <w:r>
        <w:rPr>
          <w:i/>
          <w:spacing w:val="13"/>
          <w:w w:val="105"/>
        </w:rPr>
        <w:t xml:space="preserve"> </w:t>
      </w:r>
      <w:r>
        <w:rPr>
          <w:i/>
          <w:w w:val="105"/>
        </w:rPr>
        <w:t>Statistical</w:t>
      </w:r>
      <w:r>
        <w:rPr>
          <w:i/>
          <w:spacing w:val="-18"/>
          <w:w w:val="105"/>
        </w:rPr>
        <w:t xml:space="preserve"> </w:t>
      </w:r>
      <w:r>
        <w:rPr>
          <w:i/>
          <w:w w:val="105"/>
        </w:rPr>
        <w:t>Manual</w:t>
      </w:r>
      <w:r>
        <w:rPr>
          <w:i/>
          <w:spacing w:val="-14"/>
          <w:w w:val="105"/>
        </w:rPr>
        <w:t xml:space="preserve"> </w:t>
      </w:r>
      <w:r>
        <w:rPr>
          <w:i/>
          <w:w w:val="105"/>
        </w:rPr>
        <w:t>of</w:t>
      </w:r>
      <w:r>
        <w:rPr>
          <w:i/>
          <w:spacing w:val="-28"/>
          <w:w w:val="105"/>
        </w:rPr>
        <w:t xml:space="preserve"> </w:t>
      </w:r>
      <w:r>
        <w:rPr>
          <w:i/>
          <w:w w:val="105"/>
        </w:rPr>
        <w:t>Mental</w:t>
      </w:r>
      <w:r>
        <w:rPr>
          <w:i/>
          <w:spacing w:val="-13"/>
          <w:w w:val="105"/>
        </w:rPr>
        <w:t xml:space="preserve"> </w:t>
      </w:r>
      <w:r>
        <w:rPr>
          <w:i/>
          <w:w w:val="105"/>
        </w:rPr>
        <w:t>Disorders</w:t>
      </w:r>
      <w:r>
        <w:rPr>
          <w:i/>
          <w:spacing w:val="-19"/>
          <w:w w:val="105"/>
        </w:rPr>
        <w:t xml:space="preserve"> </w:t>
      </w:r>
      <w:r>
        <w:rPr>
          <w:w w:val="105"/>
        </w:rPr>
        <w:t>(DSM-III) represented a major advance in the diagnosis of mental disorders and greatly facilitated empirical research. The development of DSM-IV has benefited from the substantial increase in the research on diagnosis that was generated in part by DSM-III and DSM-III-R. Most diagnoses now have an empirical literature or available data sets that are relevant to decisions regarding the revision of the diagnostic manual. The Task Force o"n</w:t>
      </w:r>
      <w:r>
        <w:rPr>
          <w:spacing w:val="-17"/>
          <w:w w:val="105"/>
        </w:rPr>
        <w:t xml:space="preserve"> </w:t>
      </w:r>
      <w:r>
        <w:rPr>
          <w:w w:val="105"/>
        </w:rPr>
        <w:t>DSM-IV</w:t>
      </w:r>
      <w:r>
        <w:rPr>
          <w:spacing w:val="-23"/>
          <w:w w:val="105"/>
        </w:rPr>
        <w:t xml:space="preserve"> </w:t>
      </w:r>
      <w:r>
        <w:rPr>
          <w:w w:val="105"/>
        </w:rPr>
        <w:t>and</w:t>
      </w:r>
      <w:r>
        <w:rPr>
          <w:spacing w:val="22"/>
          <w:w w:val="105"/>
        </w:rPr>
        <w:t xml:space="preserve"> </w:t>
      </w:r>
      <w:r>
        <w:rPr>
          <w:w w:val="105"/>
        </w:rPr>
        <w:t>its</w:t>
      </w:r>
      <w:r>
        <w:rPr>
          <w:spacing w:val="-27"/>
          <w:w w:val="105"/>
        </w:rPr>
        <w:t xml:space="preserve"> </w:t>
      </w:r>
      <w:r>
        <w:rPr>
          <w:w w:val="105"/>
        </w:rPr>
        <w:t>Work</w:t>
      </w:r>
      <w:r>
        <w:rPr>
          <w:spacing w:val="-16"/>
          <w:w w:val="105"/>
        </w:rPr>
        <w:t xml:space="preserve"> </w:t>
      </w:r>
      <w:r>
        <w:rPr>
          <w:w w:val="105"/>
        </w:rPr>
        <w:t>Groups</w:t>
      </w:r>
      <w:r>
        <w:rPr>
          <w:spacing w:val="-18"/>
          <w:w w:val="105"/>
        </w:rPr>
        <w:t xml:space="preserve"> </w:t>
      </w:r>
      <w:r>
        <w:rPr>
          <w:w w:val="105"/>
        </w:rPr>
        <w:t>conducted</w:t>
      </w:r>
      <w:r>
        <w:rPr>
          <w:spacing w:val="-12"/>
          <w:w w:val="105"/>
        </w:rPr>
        <w:t xml:space="preserve"> </w:t>
      </w:r>
      <w:r>
        <w:rPr>
          <w:w w:val="105"/>
        </w:rPr>
        <w:t>a</w:t>
      </w:r>
      <w:r>
        <w:rPr>
          <w:spacing w:val="-18"/>
          <w:w w:val="105"/>
        </w:rPr>
        <w:t xml:space="preserve"> </w:t>
      </w:r>
      <w:r>
        <w:rPr>
          <w:w w:val="105"/>
        </w:rPr>
        <w:t>three-stage</w:t>
      </w:r>
      <w:r>
        <w:rPr>
          <w:spacing w:val="-9"/>
          <w:w w:val="105"/>
        </w:rPr>
        <w:t xml:space="preserve"> </w:t>
      </w:r>
      <w:r>
        <w:rPr>
          <w:w w:val="105"/>
        </w:rPr>
        <w:t>empirical</w:t>
      </w:r>
      <w:r>
        <w:rPr>
          <w:spacing w:val="-8"/>
          <w:w w:val="105"/>
        </w:rPr>
        <w:t xml:space="preserve"> </w:t>
      </w:r>
      <w:r>
        <w:rPr>
          <w:w w:val="105"/>
        </w:rPr>
        <w:t>process</w:t>
      </w:r>
      <w:r>
        <w:rPr>
          <w:spacing w:val="-14"/>
          <w:w w:val="105"/>
        </w:rPr>
        <w:t xml:space="preserve"> </w:t>
      </w:r>
      <w:r>
        <w:rPr>
          <w:w w:val="105"/>
        </w:rPr>
        <w:t>that</w:t>
      </w:r>
      <w:r>
        <w:rPr>
          <w:spacing w:val="-18"/>
          <w:w w:val="105"/>
        </w:rPr>
        <w:t xml:space="preserve"> </w:t>
      </w:r>
      <w:r>
        <w:rPr>
          <w:w w:val="105"/>
        </w:rPr>
        <w:t>included</w:t>
      </w:r>
    </w:p>
    <w:p w:rsidR="00E675F0" w:rsidRDefault="00E675F0" w:rsidP="00E675F0">
      <w:pPr>
        <w:pStyle w:val="BodyText"/>
        <w:spacing w:before="2" w:line="252" w:lineRule="auto"/>
        <w:ind w:left="121" w:right="109" w:hanging="7"/>
        <w:jc w:val="both"/>
      </w:pPr>
      <w:r>
        <w:rPr>
          <w:rFonts w:ascii="Arial"/>
          <w:w w:val="105"/>
          <w:sz w:val="17"/>
        </w:rPr>
        <w:t xml:space="preserve">1) </w:t>
      </w:r>
      <w:r>
        <w:rPr>
          <w:w w:val="105"/>
        </w:rPr>
        <w:t>comprehensive and systematic reviews of the published literature, 2) reanalyses of already-collected data sets, and 3) extensive issue-focused field trials.</w:t>
      </w:r>
    </w:p>
    <w:p w:rsidR="00E675F0" w:rsidRDefault="00E675F0" w:rsidP="00E675F0">
      <w:pPr>
        <w:pStyle w:val="BodyText"/>
        <w:rPr>
          <w:sz w:val="22"/>
        </w:rPr>
      </w:pPr>
    </w:p>
    <w:p w:rsidR="00E675F0" w:rsidRDefault="00E675F0" w:rsidP="00E675F0">
      <w:pPr>
        <w:spacing w:before="164"/>
        <w:ind w:left="112"/>
        <w:jc w:val="both"/>
        <w:rPr>
          <w:rFonts w:ascii="TimesNewRomanPS-BoldItalicMT"/>
          <w:b/>
          <w:i/>
          <w:sz w:val="24"/>
        </w:rPr>
      </w:pPr>
      <w:r>
        <w:rPr>
          <w:rFonts w:ascii="TimesNewRomanPS-BoldItalicMT"/>
          <w:b/>
          <w:i/>
          <w:w w:val="115"/>
          <w:sz w:val="24"/>
        </w:rPr>
        <w:t>Literature Reviews</w:t>
      </w:r>
    </w:p>
    <w:p w:rsidR="00E675F0" w:rsidRDefault="00E675F0" w:rsidP="00E675F0">
      <w:pPr>
        <w:pStyle w:val="BodyText"/>
        <w:spacing w:before="141" w:line="252" w:lineRule="auto"/>
        <w:ind w:left="118" w:right="100" w:hanging="1"/>
        <w:jc w:val="both"/>
      </w:pPr>
      <w:r>
        <w:rPr>
          <w:w w:val="105"/>
        </w:rPr>
        <w:t>Two methods conferences were sponsored to articulate for all the Work Groups a systematic procedure for finding, extracting, aggregating, and interpreting data in a comprehensive and objective fashion. The initial tasks of each of the DSM-IV Work Groups were to identify the most pertinent issues regarding each diagnosis and to determine</w:t>
      </w:r>
      <w:r>
        <w:rPr>
          <w:spacing w:val="-2"/>
          <w:w w:val="105"/>
        </w:rPr>
        <w:t xml:space="preserve"> </w:t>
      </w:r>
      <w:r>
        <w:rPr>
          <w:w w:val="105"/>
        </w:rPr>
        <w:t>the</w:t>
      </w:r>
      <w:r>
        <w:rPr>
          <w:spacing w:val="-7"/>
          <w:w w:val="105"/>
        </w:rPr>
        <w:t xml:space="preserve"> </w:t>
      </w:r>
      <w:r>
        <w:rPr>
          <w:w w:val="105"/>
        </w:rPr>
        <w:t>kinds</w:t>
      </w:r>
      <w:r>
        <w:rPr>
          <w:spacing w:val="-12"/>
          <w:w w:val="105"/>
        </w:rPr>
        <w:t xml:space="preserve"> </w:t>
      </w:r>
      <w:r>
        <w:rPr>
          <w:w w:val="105"/>
        </w:rPr>
        <w:t>of</w:t>
      </w:r>
      <w:r>
        <w:rPr>
          <w:spacing w:val="-9"/>
          <w:w w:val="105"/>
        </w:rPr>
        <w:t xml:space="preserve"> </w:t>
      </w:r>
      <w:r>
        <w:rPr>
          <w:w w:val="105"/>
        </w:rPr>
        <w:t>empirical</w:t>
      </w:r>
      <w:r>
        <w:rPr>
          <w:spacing w:val="3"/>
          <w:w w:val="105"/>
        </w:rPr>
        <w:t xml:space="preserve"> </w:t>
      </w:r>
      <w:r>
        <w:rPr>
          <w:w w:val="105"/>
        </w:rPr>
        <w:t>data</w:t>
      </w:r>
      <w:r>
        <w:rPr>
          <w:spacing w:val="2"/>
          <w:w w:val="105"/>
        </w:rPr>
        <w:t xml:space="preserve"> </w:t>
      </w:r>
      <w:r>
        <w:rPr>
          <w:w w:val="105"/>
        </w:rPr>
        <w:t>relevant</w:t>
      </w:r>
      <w:r>
        <w:rPr>
          <w:spacing w:val="-1"/>
          <w:w w:val="105"/>
        </w:rPr>
        <w:t xml:space="preserve"> </w:t>
      </w:r>
      <w:r>
        <w:rPr>
          <w:w w:val="105"/>
        </w:rPr>
        <w:t>to</w:t>
      </w:r>
      <w:r>
        <w:rPr>
          <w:spacing w:val="-14"/>
          <w:w w:val="105"/>
        </w:rPr>
        <w:t xml:space="preserve"> </w:t>
      </w:r>
      <w:r>
        <w:rPr>
          <w:w w:val="105"/>
        </w:rPr>
        <w:t>their</w:t>
      </w:r>
      <w:r>
        <w:rPr>
          <w:spacing w:val="-6"/>
          <w:w w:val="105"/>
        </w:rPr>
        <w:t xml:space="preserve"> </w:t>
      </w:r>
      <w:r>
        <w:rPr>
          <w:w w:val="105"/>
        </w:rPr>
        <w:t>resolution.</w:t>
      </w:r>
      <w:r>
        <w:rPr>
          <w:spacing w:val="-2"/>
          <w:w w:val="105"/>
        </w:rPr>
        <w:t xml:space="preserve"> </w:t>
      </w:r>
      <w:r>
        <w:rPr>
          <w:w w:val="105"/>
        </w:rPr>
        <w:t>A</w:t>
      </w:r>
      <w:r>
        <w:rPr>
          <w:spacing w:val="-19"/>
          <w:w w:val="105"/>
        </w:rPr>
        <w:t xml:space="preserve"> </w:t>
      </w:r>
      <w:r>
        <w:rPr>
          <w:w w:val="105"/>
        </w:rPr>
        <w:t>Work</w:t>
      </w:r>
      <w:r>
        <w:rPr>
          <w:spacing w:val="-5"/>
          <w:w w:val="105"/>
        </w:rPr>
        <w:t xml:space="preserve"> </w:t>
      </w:r>
      <w:r>
        <w:rPr>
          <w:w w:val="105"/>
        </w:rPr>
        <w:t>Group</w:t>
      </w:r>
      <w:r>
        <w:rPr>
          <w:spacing w:val="-2"/>
          <w:w w:val="105"/>
        </w:rPr>
        <w:t xml:space="preserve"> </w:t>
      </w:r>
      <w:r>
        <w:rPr>
          <w:w w:val="105"/>
        </w:rPr>
        <w:t>member or adviser was then assigned the responsibility of conducting a systematic and comprehensive review of the relevant literature that would inform the resolution of the issue and also document the text of DSM-IV. The domains considered in making decisions included clinical utility, reliability, descriptive validity, psychometric perfor­ mance characteristics of individual criteria, and a number</w:t>
      </w:r>
      <w:r>
        <w:rPr>
          <w:spacing w:val="25"/>
          <w:w w:val="105"/>
        </w:rPr>
        <w:t xml:space="preserve"> </w:t>
      </w:r>
      <w:r>
        <w:rPr>
          <w:w w:val="105"/>
        </w:rPr>
        <w:t>of validating variables.</w:t>
      </w:r>
    </w:p>
    <w:p w:rsidR="00E675F0" w:rsidRDefault="00E675F0" w:rsidP="00E675F0">
      <w:pPr>
        <w:pStyle w:val="BodyText"/>
        <w:spacing w:before="13" w:line="254" w:lineRule="auto"/>
        <w:ind w:left="120" w:right="103" w:firstLine="369"/>
        <w:jc w:val="both"/>
      </w:pPr>
      <w:r>
        <w:rPr>
          <w:w w:val="105"/>
        </w:rPr>
        <w:t xml:space="preserve">Each literature review specified </w:t>
      </w:r>
      <w:r>
        <w:rPr>
          <w:rFonts w:ascii="Arial"/>
          <w:w w:val="105"/>
          <w:sz w:val="17"/>
        </w:rPr>
        <w:t xml:space="preserve">1) </w:t>
      </w:r>
      <w:r>
        <w:rPr>
          <w:w w:val="105"/>
        </w:rPr>
        <w:t>the issues or aspects of the text and criteria under consideration and the significance of the issues with respect to DSM-IV; 2) the review method (including the sources for identifying relevant studies, the number of studies considered, the criteria for inclusion and exclusion from the review, and the variables catalogued in each study); 3) the results of the review (including a descriptive summary of the studies with respect to methodology, design, and substantive correlates of the findings, the relevant findings, and the analyses conducted on these findings); and 4) the various options for resolving the issue, the advantages and disadvantages of each option,</w:t>
      </w:r>
    </w:p>
    <w:p w:rsidR="00E675F0" w:rsidRDefault="00E675F0" w:rsidP="00E675F0">
      <w:pPr>
        <w:spacing w:line="254" w:lineRule="auto"/>
        <w:jc w:val="both"/>
        <w:sectPr w:rsidR="00E675F0">
          <w:headerReference w:type="even" r:id="rId26"/>
          <w:headerReference w:type="default" r:id="rId27"/>
          <w:pgSz w:w="8960" w:h="14260"/>
          <w:pgMar w:top="1400" w:right="620" w:bottom="280" w:left="620" w:header="686" w:footer="0" w:gutter="0"/>
          <w:cols w:space="720"/>
        </w:sectPr>
      </w:pPr>
    </w:p>
    <w:p w:rsidR="00E675F0" w:rsidRDefault="00E675F0" w:rsidP="00E675F0">
      <w:pPr>
        <w:pStyle w:val="BodyText"/>
        <w:spacing w:line="20" w:lineRule="exact"/>
        <w:ind w:left="119"/>
        <w:rPr>
          <w:sz w:val="2"/>
        </w:rPr>
      </w:pPr>
      <w:r>
        <w:rPr>
          <w:noProof/>
          <w:sz w:val="2"/>
        </w:rPr>
        <w:lastRenderedPageBreak/>
        <mc:AlternateContent>
          <mc:Choice Requires="wpg">
            <w:drawing>
              <wp:inline distT="0" distB="0" distL="0" distR="0" wp14:anchorId="38B93558" wp14:editId="344047D0">
                <wp:extent cx="1026795" cy="3175"/>
                <wp:effectExtent l="0" t="0" r="1905" b="0"/>
                <wp:docPr id="1718" name="Group 1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6795" cy="3175"/>
                          <a:chOff x="0" y="0"/>
                          <a:chExt cx="1617" cy="5"/>
                        </a:xfrm>
                      </wpg:grpSpPr>
                      <wps:wsp>
                        <wps:cNvPr id="1719" name="Line 1675"/>
                        <wps:cNvCnPr>
                          <a:cxnSpLocks/>
                        </wps:cNvCnPr>
                        <wps:spPr bwMode="auto">
                          <a:xfrm>
                            <a:off x="0" y="2"/>
                            <a:ext cx="1617" cy="0"/>
                          </a:xfrm>
                          <a:prstGeom prst="line">
                            <a:avLst/>
                          </a:prstGeom>
                          <a:noFill/>
                          <a:ln w="305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DA781D8" id="Group 1674" o:spid="_x0000_s1026" style="width:80.85pt;height:.25pt;mso-position-horizontal-relative:char;mso-position-vertical-relative:line" coordsize="161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">
                <v:line id="Line 1675" o:spid="_x0000_s1027" style="position:absolute;visibility:visible;mso-wrap-style:square" from="0,2" to="161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" strokeweight=".08481mm">
                  <o:lock v:ext="edit" shapetype="f"/>
                </v:line>
                <w10:anchorlock/>
              </v:group>
            </w:pict>
          </mc:Fallback>
        </mc:AlternateContent>
      </w:r>
      <w:r>
        <w:rPr>
          <w:spacing w:val="154"/>
          <w:sz w:val="2"/>
        </w:rPr>
        <w:t xml:space="preserve"> </w:t>
      </w:r>
      <w:r>
        <w:rPr>
          <w:noProof/>
          <w:spacing w:val="154"/>
          <w:sz w:val="2"/>
        </w:rPr>
        <mc:AlternateContent>
          <mc:Choice Requires="wpg">
            <w:drawing>
              <wp:inline distT="0" distB="0" distL="0" distR="0" wp14:anchorId="210FBE0C" wp14:editId="73FA90C6">
                <wp:extent cx="3606165" cy="6350"/>
                <wp:effectExtent l="0" t="0" r="635" b="0"/>
                <wp:docPr id="1716" name="Group 1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6165" cy="6350"/>
                          <a:chOff x="0" y="0"/>
                          <a:chExt cx="5679" cy="10"/>
                        </a:xfrm>
                      </wpg:grpSpPr>
                      <wps:wsp>
                        <wps:cNvPr id="1717" name="Line 1673"/>
                        <wps:cNvCnPr>
                          <a:cxnSpLocks/>
                        </wps:cNvCnPr>
                        <wps:spPr bwMode="auto">
                          <a:xfrm>
                            <a:off x="0" y="5"/>
                            <a:ext cx="5678" cy="0"/>
                          </a:xfrm>
                          <a:prstGeom prst="line">
                            <a:avLst/>
                          </a:prstGeom>
                          <a:noFill/>
                          <a:ln w="610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E405989" id="Group 1672" o:spid="_x0000_s1026" style="width:283.95pt;height:.5pt;mso-position-horizontal-relative:char;mso-position-vertical-relative:line" coordsize="5679,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">
                <v:line id="Line 1673" o:spid="_x0000_s1027" style="position:absolute;visibility:visible;mso-wrap-style:square" from="0,5" to="567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" strokeweight=".16958mm">
                  <o:lock v:ext="edit" shapetype="f"/>
                </v:line>
                <w10:anchorlock/>
              </v:group>
            </w:pict>
          </mc:Fallback>
        </mc:AlternateContent>
      </w:r>
    </w:p>
    <w:p w:rsidR="00E675F0" w:rsidRDefault="00E675F0" w:rsidP="00E675F0">
      <w:pPr>
        <w:pStyle w:val="BodyText"/>
      </w:pPr>
    </w:p>
    <w:p w:rsidR="00E675F0" w:rsidRDefault="00E675F0" w:rsidP="00E675F0">
      <w:pPr>
        <w:pStyle w:val="BodyText"/>
        <w:spacing w:before="3"/>
        <w:rPr>
          <w:sz w:val="19"/>
        </w:rPr>
      </w:pPr>
    </w:p>
    <w:p w:rsidR="00E675F0" w:rsidRDefault="00E675F0" w:rsidP="00E675F0">
      <w:pPr>
        <w:pStyle w:val="BodyText"/>
        <w:spacing w:before="92" w:line="252" w:lineRule="auto"/>
        <w:ind w:left="147" w:right="129" w:hanging="8"/>
        <w:jc w:val="both"/>
      </w:pPr>
      <w:r>
        <w:rPr>
          <w:w w:val="105"/>
        </w:rPr>
        <w:t>recommendations, and suggestions for additional research that would be needed to provide a more conclusive resolution.</w:t>
      </w:r>
    </w:p>
    <w:p w:rsidR="00E675F0" w:rsidRDefault="00E675F0" w:rsidP="00E675F0">
      <w:pPr>
        <w:pStyle w:val="BodyText"/>
        <w:spacing w:line="252" w:lineRule="auto"/>
        <w:ind w:left="134" w:right="130" w:firstLine="362"/>
        <w:jc w:val="both"/>
      </w:pPr>
      <w:r>
        <w:rPr>
          <w:w w:val="105"/>
        </w:rPr>
        <w:t>The goal of the DSM-IV literature reviews was to provide comprehensive and unbiased information and to ensure that DSM-IV reflects the best available clinical and research literature. For this reason, we used systematic computer searches and critical reviews done by large groups of advisers to ensure that the literature coverage was adequate and that the interpretation of the results was justified. Input was solicited especially from those persons likely to be critical of the conclusions of the review. The literature reviews were revised many times to produce as comprehensive  and balanced  a</w:t>
      </w:r>
      <w:r>
        <w:rPr>
          <w:spacing w:val="-5"/>
          <w:w w:val="105"/>
        </w:rPr>
        <w:t xml:space="preserve"> </w:t>
      </w:r>
      <w:r>
        <w:rPr>
          <w:w w:val="105"/>
        </w:rPr>
        <w:t>result</w:t>
      </w:r>
      <w:r>
        <w:rPr>
          <w:spacing w:val="-6"/>
          <w:w w:val="105"/>
        </w:rPr>
        <w:t xml:space="preserve"> </w:t>
      </w:r>
      <w:r>
        <w:rPr>
          <w:w w:val="105"/>
        </w:rPr>
        <w:t>as</w:t>
      </w:r>
      <w:r>
        <w:rPr>
          <w:spacing w:val="-8"/>
          <w:w w:val="105"/>
        </w:rPr>
        <w:t xml:space="preserve"> </w:t>
      </w:r>
      <w:r>
        <w:rPr>
          <w:w w:val="105"/>
        </w:rPr>
        <w:t xml:space="preserve">possible. </w:t>
      </w:r>
      <w:r>
        <w:rPr>
          <w:w w:val="105"/>
          <w:sz w:val="18"/>
        </w:rPr>
        <w:t>It</w:t>
      </w:r>
      <w:r>
        <w:rPr>
          <w:spacing w:val="4"/>
          <w:w w:val="105"/>
          <w:sz w:val="18"/>
        </w:rPr>
        <w:t xml:space="preserve"> </w:t>
      </w:r>
      <w:r>
        <w:rPr>
          <w:w w:val="105"/>
        </w:rPr>
        <w:t>must</w:t>
      </w:r>
      <w:r>
        <w:rPr>
          <w:spacing w:val="-3"/>
          <w:w w:val="105"/>
        </w:rPr>
        <w:t xml:space="preserve"> </w:t>
      </w:r>
      <w:r>
        <w:rPr>
          <w:w w:val="105"/>
        </w:rPr>
        <w:t>be</w:t>
      </w:r>
      <w:r>
        <w:rPr>
          <w:spacing w:val="-8"/>
          <w:w w:val="105"/>
        </w:rPr>
        <w:t xml:space="preserve"> </w:t>
      </w:r>
      <w:r>
        <w:rPr>
          <w:w w:val="105"/>
        </w:rPr>
        <w:t>noted</w:t>
      </w:r>
      <w:r>
        <w:rPr>
          <w:spacing w:val="-8"/>
          <w:w w:val="105"/>
        </w:rPr>
        <w:t xml:space="preserve"> </w:t>
      </w:r>
      <w:r>
        <w:rPr>
          <w:w w:val="105"/>
        </w:rPr>
        <w:t>that</w:t>
      </w:r>
      <w:r>
        <w:rPr>
          <w:spacing w:val="-9"/>
          <w:w w:val="105"/>
        </w:rPr>
        <w:t xml:space="preserve"> </w:t>
      </w:r>
      <w:r>
        <w:rPr>
          <w:w w:val="105"/>
        </w:rPr>
        <w:t>for</w:t>
      </w:r>
      <w:r>
        <w:rPr>
          <w:spacing w:val="-17"/>
          <w:w w:val="105"/>
        </w:rPr>
        <w:t xml:space="preserve"> </w:t>
      </w:r>
      <w:r>
        <w:rPr>
          <w:w w:val="105"/>
        </w:rPr>
        <w:t>some</w:t>
      </w:r>
      <w:r>
        <w:rPr>
          <w:spacing w:val="-5"/>
          <w:w w:val="105"/>
        </w:rPr>
        <w:t xml:space="preserve"> </w:t>
      </w:r>
      <w:r>
        <w:rPr>
          <w:w w:val="105"/>
        </w:rPr>
        <w:t>issues</w:t>
      </w:r>
      <w:r>
        <w:rPr>
          <w:spacing w:val="-11"/>
          <w:w w:val="105"/>
        </w:rPr>
        <w:t xml:space="preserve"> </w:t>
      </w:r>
      <w:r>
        <w:rPr>
          <w:w w:val="105"/>
        </w:rPr>
        <w:t>addressed</w:t>
      </w:r>
      <w:r>
        <w:rPr>
          <w:spacing w:val="7"/>
          <w:w w:val="105"/>
        </w:rPr>
        <w:t xml:space="preserve"> </w:t>
      </w:r>
      <w:r>
        <w:rPr>
          <w:w w:val="105"/>
        </w:rPr>
        <w:t>by</w:t>
      </w:r>
      <w:r>
        <w:rPr>
          <w:spacing w:val="-5"/>
          <w:w w:val="105"/>
        </w:rPr>
        <w:t xml:space="preserve"> </w:t>
      </w:r>
      <w:r>
        <w:rPr>
          <w:w w:val="105"/>
        </w:rPr>
        <w:t>the</w:t>
      </w:r>
      <w:r>
        <w:rPr>
          <w:spacing w:val="-9"/>
          <w:w w:val="105"/>
        </w:rPr>
        <w:t xml:space="preserve"> </w:t>
      </w:r>
      <w:r>
        <w:rPr>
          <w:w w:val="105"/>
        </w:rPr>
        <w:t>DSM-IV</w:t>
      </w:r>
      <w:r>
        <w:rPr>
          <w:spacing w:val="-13"/>
          <w:w w:val="105"/>
        </w:rPr>
        <w:t xml:space="preserve"> </w:t>
      </w:r>
      <w:r>
        <w:rPr>
          <w:w w:val="105"/>
        </w:rPr>
        <w:t>Work Groups, particularly those that were more conceptual in nature or for which there were insufficient data, a review of the empirical literature had limited utility. Despite these limitations, the reviews were helpful in documenting the rationale and empirical support for decisions made by the DSM-IV Work</w:t>
      </w:r>
      <w:r>
        <w:rPr>
          <w:spacing w:val="24"/>
          <w:w w:val="105"/>
        </w:rPr>
        <w:t xml:space="preserve"> </w:t>
      </w:r>
      <w:r>
        <w:rPr>
          <w:w w:val="105"/>
        </w:rPr>
        <w:t>Groups.</w:t>
      </w:r>
    </w:p>
    <w:p w:rsidR="00E675F0" w:rsidRDefault="00E675F0" w:rsidP="00E675F0">
      <w:pPr>
        <w:pStyle w:val="BodyText"/>
        <w:rPr>
          <w:sz w:val="22"/>
        </w:rPr>
      </w:pPr>
    </w:p>
    <w:p w:rsidR="00E675F0" w:rsidRDefault="00E675F0" w:rsidP="00E675F0">
      <w:pPr>
        <w:spacing w:before="170"/>
        <w:ind w:left="126"/>
        <w:jc w:val="both"/>
        <w:rPr>
          <w:rFonts w:ascii="TimesNewRomanPS-BoldItalicMT"/>
          <w:b/>
          <w:i/>
          <w:sz w:val="24"/>
        </w:rPr>
      </w:pPr>
      <w:r>
        <w:rPr>
          <w:rFonts w:ascii="TimesNewRomanPS-BoldItalicMT"/>
          <w:b/>
          <w:i/>
          <w:w w:val="115"/>
          <w:sz w:val="24"/>
        </w:rPr>
        <w:t>Data Reanalyses</w:t>
      </w:r>
    </w:p>
    <w:p w:rsidR="00E675F0" w:rsidRDefault="00E675F0" w:rsidP="00E675F0">
      <w:pPr>
        <w:pStyle w:val="BodyText"/>
        <w:spacing w:before="146" w:line="254" w:lineRule="auto"/>
        <w:ind w:left="137" w:right="129" w:firstLine="2"/>
        <w:jc w:val="both"/>
      </w:pPr>
      <w:r>
        <w:rPr>
          <w:w w:val="105"/>
        </w:rPr>
        <w:t>When a review of the literature revealed a lack of evidence (or conflicting evidence) for the resolution of an issue, we often made use of two additional resources-data  reanalyses and field trials-to help in making final decisions. Analyses of relevant unpublished data sets were supported by a grant to the American Psychiatric Association from</w:t>
      </w:r>
      <w:r>
        <w:rPr>
          <w:spacing w:val="-6"/>
          <w:w w:val="105"/>
        </w:rPr>
        <w:t xml:space="preserve"> </w:t>
      </w:r>
      <w:r>
        <w:rPr>
          <w:w w:val="105"/>
        </w:rPr>
        <w:t>the</w:t>
      </w:r>
      <w:r>
        <w:rPr>
          <w:spacing w:val="-29"/>
          <w:w w:val="105"/>
        </w:rPr>
        <w:t xml:space="preserve"> </w:t>
      </w:r>
      <w:r>
        <w:rPr>
          <w:w w:val="105"/>
        </w:rPr>
        <w:t>John</w:t>
      </w:r>
      <w:r>
        <w:rPr>
          <w:spacing w:val="-6"/>
          <w:w w:val="105"/>
        </w:rPr>
        <w:t xml:space="preserve"> </w:t>
      </w:r>
      <w:r>
        <w:rPr>
          <w:w w:val="105"/>
        </w:rPr>
        <w:t>D.</w:t>
      </w:r>
      <w:r>
        <w:rPr>
          <w:spacing w:val="-9"/>
          <w:w w:val="105"/>
        </w:rPr>
        <w:t xml:space="preserve"> </w:t>
      </w:r>
      <w:r>
        <w:rPr>
          <w:w w:val="105"/>
        </w:rPr>
        <w:t>and</w:t>
      </w:r>
      <w:r>
        <w:rPr>
          <w:spacing w:val="-10"/>
          <w:w w:val="105"/>
        </w:rPr>
        <w:t xml:space="preserve"> </w:t>
      </w:r>
      <w:r>
        <w:rPr>
          <w:w w:val="105"/>
        </w:rPr>
        <w:t>Catherine</w:t>
      </w:r>
      <w:r>
        <w:rPr>
          <w:spacing w:val="-7"/>
          <w:w w:val="105"/>
        </w:rPr>
        <w:t xml:space="preserve"> </w:t>
      </w:r>
      <w:r>
        <w:rPr>
          <w:w w:val="105"/>
          <w:sz w:val="18"/>
        </w:rPr>
        <w:t>T.</w:t>
      </w:r>
      <w:r>
        <w:rPr>
          <w:spacing w:val="-4"/>
          <w:w w:val="105"/>
          <w:sz w:val="18"/>
        </w:rPr>
        <w:t xml:space="preserve"> </w:t>
      </w:r>
      <w:r>
        <w:rPr>
          <w:w w:val="105"/>
        </w:rPr>
        <w:t>MacArthur</w:t>
      </w:r>
      <w:r>
        <w:rPr>
          <w:spacing w:val="2"/>
          <w:w w:val="105"/>
        </w:rPr>
        <w:t xml:space="preserve"> </w:t>
      </w:r>
      <w:r>
        <w:rPr>
          <w:w w:val="105"/>
        </w:rPr>
        <w:t>Foundation.</w:t>
      </w:r>
      <w:r>
        <w:rPr>
          <w:spacing w:val="7"/>
          <w:w w:val="105"/>
        </w:rPr>
        <w:t xml:space="preserve"> </w:t>
      </w:r>
      <w:r>
        <w:rPr>
          <w:w w:val="105"/>
        </w:rPr>
        <w:t>Most</w:t>
      </w:r>
      <w:r>
        <w:rPr>
          <w:spacing w:val="-9"/>
          <w:w w:val="105"/>
        </w:rPr>
        <w:t xml:space="preserve"> </w:t>
      </w:r>
      <w:r>
        <w:rPr>
          <w:w w:val="105"/>
        </w:rPr>
        <w:t>of</w:t>
      </w:r>
      <w:r>
        <w:rPr>
          <w:spacing w:val="-2"/>
          <w:w w:val="105"/>
        </w:rPr>
        <w:t xml:space="preserve"> </w:t>
      </w:r>
      <w:r>
        <w:rPr>
          <w:w w:val="105"/>
        </w:rPr>
        <w:t>the</w:t>
      </w:r>
      <w:r>
        <w:rPr>
          <w:spacing w:val="-10"/>
          <w:w w:val="105"/>
        </w:rPr>
        <w:t xml:space="preserve"> </w:t>
      </w:r>
      <w:r>
        <w:rPr>
          <w:w w:val="105"/>
        </w:rPr>
        <w:t>40</w:t>
      </w:r>
      <w:r>
        <w:rPr>
          <w:spacing w:val="-14"/>
          <w:w w:val="105"/>
        </w:rPr>
        <w:t xml:space="preserve"> </w:t>
      </w:r>
      <w:r>
        <w:rPr>
          <w:w w:val="105"/>
        </w:rPr>
        <w:t>data</w:t>
      </w:r>
      <w:r>
        <w:rPr>
          <w:spacing w:val="-4"/>
          <w:w w:val="105"/>
        </w:rPr>
        <w:t xml:space="preserve"> </w:t>
      </w:r>
      <w:r>
        <w:rPr>
          <w:w w:val="105"/>
        </w:rPr>
        <w:t>reanalyses performed for DSM-IV involved the collaboration of several investigators at different sites. These researchers jointly subjected their data to questions posed by the Work Groups concerning the criteria included in DSM-III-R or criteria that might be included in DSM-IV. Data reanalyses also made it possible for Work Groups to generate several criteria sets that were then tested in the DSM-IV field trials. Although, for the most part, the data sets used in the reanalyses had been collected as part of epidemiological studies or treatment or other clinical studies, they were also highly relevant to the nosological questions facing the DSM-IV Work</w:t>
      </w:r>
      <w:r>
        <w:rPr>
          <w:spacing w:val="9"/>
          <w:w w:val="105"/>
        </w:rPr>
        <w:t xml:space="preserve"> </w:t>
      </w:r>
      <w:r>
        <w:rPr>
          <w:w w:val="105"/>
        </w:rPr>
        <w:t>Groups.</w:t>
      </w:r>
    </w:p>
    <w:p w:rsidR="00E675F0" w:rsidRDefault="00E675F0" w:rsidP="00E675F0">
      <w:pPr>
        <w:pStyle w:val="BodyText"/>
        <w:rPr>
          <w:sz w:val="22"/>
        </w:rPr>
      </w:pPr>
    </w:p>
    <w:p w:rsidR="00E675F0" w:rsidRDefault="00E675F0" w:rsidP="00E675F0">
      <w:pPr>
        <w:spacing w:before="151"/>
        <w:ind w:left="117"/>
        <w:jc w:val="both"/>
        <w:rPr>
          <w:rFonts w:ascii="TimesNewRomanPS-BoldItalicMT"/>
          <w:b/>
          <w:i/>
          <w:sz w:val="24"/>
        </w:rPr>
      </w:pPr>
      <w:r>
        <w:rPr>
          <w:rFonts w:ascii="TimesNewRomanPS-BoldItalicMT"/>
          <w:b/>
          <w:i/>
          <w:w w:val="115"/>
          <w:sz w:val="24"/>
        </w:rPr>
        <w:t>Field Trials</w:t>
      </w:r>
    </w:p>
    <w:p w:rsidR="00E675F0" w:rsidRDefault="00E675F0" w:rsidP="00E675F0">
      <w:pPr>
        <w:pStyle w:val="BodyText"/>
        <w:spacing w:before="146" w:line="254" w:lineRule="auto"/>
        <w:ind w:left="138" w:right="110" w:hanging="2"/>
        <w:jc w:val="both"/>
      </w:pPr>
      <w:r>
        <w:rPr>
          <w:w w:val="105"/>
        </w:rPr>
        <w:t xml:space="preserve">Twelve DSM-IV field trials were sponsored by the National Institute of Mental Health (NIMH) in collaboration with the National Institute on Drug Abuse (NIDA) and the National Institute on Alcohol Abuse and Alcoholism (NIAAA). The field trials allowed the DSM-IV Work Groups to compare alternative options and to study the possible impact of suggested changes. Field trials compared DSM-III, DSM-III-R, ICD-10, and proposed DSM-IV criteria sets in 5-10 different sites per field trial, with approximately 100 subjects at each site. Diverse sites, with representative groups of subjects from a range of sociocultural and ethnic backgrounds, were selected to ensure generalizability of field-trial results and to test some of the most difficult questions in differential diagnosis. The 12 field trials included more than 70 sites and evaluated more than 6,000 subjects. The field trials collected information on the reliability and performance characteristics of each criteria set as a whole, as well as of the specific items within each criteria set. The field trials also helped </w:t>
      </w:r>
      <w:r>
        <w:rPr>
          <w:w w:val="105"/>
          <w:sz w:val="18"/>
        </w:rPr>
        <w:t xml:space="preserve">to </w:t>
      </w:r>
      <w:r>
        <w:rPr>
          <w:w w:val="105"/>
        </w:rPr>
        <w:t>bridge the boundary between clinical research and clinical practice by determining how well suggestions for change that are derived from clinical research findings apply in clinical</w:t>
      </w:r>
      <w:r>
        <w:rPr>
          <w:spacing w:val="43"/>
          <w:w w:val="105"/>
        </w:rPr>
        <w:t xml:space="preserve"> </w:t>
      </w:r>
      <w:r>
        <w:rPr>
          <w:w w:val="105"/>
        </w:rPr>
        <w:t>practice.</w:t>
      </w:r>
    </w:p>
    <w:p w:rsidR="00E675F0" w:rsidRDefault="00E675F0" w:rsidP="00E675F0">
      <w:pPr>
        <w:spacing w:line="254" w:lineRule="auto"/>
        <w:jc w:val="both"/>
        <w:sectPr w:rsidR="00E675F0">
          <w:pgSz w:w="8960" w:h="14260"/>
          <w:pgMar w:top="980" w:right="620" w:bottom="280" w:left="600" w:header="695" w:footer="0" w:gutter="0"/>
          <w:cols w:space="720"/>
        </w:sectPr>
      </w:pPr>
    </w:p>
    <w:p w:rsidR="00E675F0" w:rsidRDefault="00E675F0" w:rsidP="00E675F0">
      <w:pPr>
        <w:spacing w:before="132"/>
        <w:ind w:left="107"/>
        <w:jc w:val="both"/>
        <w:rPr>
          <w:rFonts w:ascii="TimesNewRomanPS-BoldItalicMT"/>
          <w:b/>
          <w:i/>
          <w:sz w:val="24"/>
        </w:rPr>
      </w:pPr>
      <w:r>
        <w:rPr>
          <w:rFonts w:ascii="TimesNewRomanPS-BoldItalicMT"/>
          <w:b/>
          <w:i/>
          <w:w w:val="120"/>
          <w:sz w:val="24"/>
        </w:rPr>
        <w:lastRenderedPageBreak/>
        <w:t>Criteria for Change</w:t>
      </w:r>
    </w:p>
    <w:p w:rsidR="00E675F0" w:rsidRDefault="00E675F0" w:rsidP="00E675F0">
      <w:pPr>
        <w:pStyle w:val="BodyText"/>
        <w:spacing w:before="117" w:line="252" w:lineRule="auto"/>
        <w:ind w:left="127" w:right="109" w:firstLine="3"/>
        <w:jc w:val="both"/>
      </w:pPr>
      <w:r>
        <w:rPr>
          <w:w w:val="105"/>
        </w:rPr>
        <w:t>Although it was impossible to develop absolute and infallible criteria for when changes should be made, there were some principles that guided our efforts. The threshold for making</w:t>
      </w:r>
      <w:r>
        <w:rPr>
          <w:spacing w:val="-30"/>
          <w:w w:val="105"/>
        </w:rPr>
        <w:t xml:space="preserve"> </w:t>
      </w:r>
      <w:r>
        <w:rPr>
          <w:w w:val="105"/>
        </w:rPr>
        <w:t>revisions</w:t>
      </w:r>
      <w:r>
        <w:rPr>
          <w:spacing w:val="-30"/>
          <w:w w:val="105"/>
        </w:rPr>
        <w:t xml:space="preserve"> </w:t>
      </w:r>
      <w:r>
        <w:rPr>
          <w:w w:val="105"/>
        </w:rPr>
        <w:t>in</w:t>
      </w:r>
      <w:r>
        <w:rPr>
          <w:spacing w:val="-29"/>
          <w:w w:val="105"/>
        </w:rPr>
        <w:t xml:space="preserve"> </w:t>
      </w:r>
      <w:r>
        <w:rPr>
          <w:w w:val="105"/>
        </w:rPr>
        <w:t>DSM-IV</w:t>
      </w:r>
      <w:r>
        <w:rPr>
          <w:spacing w:val="-31"/>
          <w:w w:val="105"/>
        </w:rPr>
        <w:t xml:space="preserve"> </w:t>
      </w:r>
      <w:r>
        <w:rPr>
          <w:w w:val="105"/>
        </w:rPr>
        <w:t>was</w:t>
      </w:r>
      <w:r>
        <w:rPr>
          <w:spacing w:val="-34"/>
          <w:w w:val="105"/>
        </w:rPr>
        <w:t xml:space="preserve"> </w:t>
      </w:r>
      <w:r>
        <w:rPr>
          <w:w w:val="105"/>
        </w:rPr>
        <w:t>set</w:t>
      </w:r>
      <w:r>
        <w:rPr>
          <w:spacing w:val="-31"/>
          <w:w w:val="105"/>
        </w:rPr>
        <w:t xml:space="preserve"> </w:t>
      </w:r>
      <w:r>
        <w:rPr>
          <w:w w:val="105"/>
        </w:rPr>
        <w:t>higherthan</w:t>
      </w:r>
      <w:r>
        <w:rPr>
          <w:spacing w:val="-23"/>
          <w:w w:val="105"/>
        </w:rPr>
        <w:t xml:space="preserve"> </w:t>
      </w:r>
      <w:r>
        <w:rPr>
          <w:w w:val="105"/>
        </w:rPr>
        <w:t>that</w:t>
      </w:r>
      <w:r>
        <w:rPr>
          <w:spacing w:val="-35"/>
          <w:w w:val="105"/>
        </w:rPr>
        <w:t xml:space="preserve"> </w:t>
      </w:r>
      <w:r>
        <w:rPr>
          <w:w w:val="105"/>
        </w:rPr>
        <w:t>for</w:t>
      </w:r>
      <w:r>
        <w:rPr>
          <w:spacing w:val="-30"/>
          <w:w w:val="105"/>
        </w:rPr>
        <w:t xml:space="preserve"> </w:t>
      </w:r>
      <w:r>
        <w:rPr>
          <w:w w:val="105"/>
        </w:rPr>
        <w:t>DSM-III</w:t>
      </w:r>
      <w:r>
        <w:rPr>
          <w:spacing w:val="-26"/>
          <w:w w:val="105"/>
        </w:rPr>
        <w:t xml:space="preserve"> </w:t>
      </w:r>
      <w:r>
        <w:rPr>
          <w:w w:val="105"/>
        </w:rPr>
        <w:t>and</w:t>
      </w:r>
      <w:r>
        <w:rPr>
          <w:spacing w:val="-28"/>
          <w:w w:val="105"/>
        </w:rPr>
        <w:t xml:space="preserve"> </w:t>
      </w:r>
      <w:r>
        <w:rPr>
          <w:w w:val="105"/>
        </w:rPr>
        <w:t>DSM-III-R.</w:t>
      </w:r>
      <w:r>
        <w:rPr>
          <w:spacing w:val="-21"/>
          <w:w w:val="105"/>
        </w:rPr>
        <w:t xml:space="preserve"> </w:t>
      </w:r>
      <w:r>
        <w:rPr>
          <w:w w:val="105"/>
        </w:rPr>
        <w:t>Decisions had to be substantiated by explicit statements of rationale and by the systematic review of relevant empirical data. To increase the practicality and clinical utility</w:t>
      </w:r>
      <w:r>
        <w:rPr>
          <w:spacing w:val="-38"/>
          <w:w w:val="105"/>
        </w:rPr>
        <w:t xml:space="preserve"> </w:t>
      </w:r>
      <w:r>
        <w:rPr>
          <w:w w:val="105"/>
        </w:rPr>
        <w:t>of DSM-IV, the criteria sets were simplified and clarified when this could be justified by empirical data. An attempt was made to strike an optimal balance in DSM-IV with respect to historical tradition</w:t>
      </w:r>
      <w:r>
        <w:rPr>
          <w:spacing w:val="-4"/>
          <w:w w:val="105"/>
        </w:rPr>
        <w:t xml:space="preserve"> </w:t>
      </w:r>
      <w:r>
        <w:rPr>
          <w:w w:val="105"/>
        </w:rPr>
        <w:t>(as</w:t>
      </w:r>
      <w:r>
        <w:rPr>
          <w:spacing w:val="-18"/>
          <w:w w:val="105"/>
        </w:rPr>
        <w:t xml:space="preserve"> </w:t>
      </w:r>
      <w:r>
        <w:rPr>
          <w:w w:val="105"/>
        </w:rPr>
        <w:t>embodied</w:t>
      </w:r>
      <w:r>
        <w:rPr>
          <w:spacing w:val="-2"/>
          <w:w w:val="105"/>
        </w:rPr>
        <w:t xml:space="preserve"> </w:t>
      </w:r>
      <w:r>
        <w:rPr>
          <w:w w:val="105"/>
        </w:rPr>
        <w:t>in</w:t>
      </w:r>
      <w:r>
        <w:rPr>
          <w:spacing w:val="-12"/>
          <w:w w:val="105"/>
        </w:rPr>
        <w:t xml:space="preserve"> </w:t>
      </w:r>
      <w:r>
        <w:rPr>
          <w:w w:val="105"/>
        </w:rPr>
        <w:t>DSM-III</w:t>
      </w:r>
      <w:r>
        <w:rPr>
          <w:spacing w:val="-5"/>
          <w:w w:val="105"/>
        </w:rPr>
        <w:t xml:space="preserve"> </w:t>
      </w:r>
      <w:r>
        <w:rPr>
          <w:w w:val="105"/>
        </w:rPr>
        <w:t>and</w:t>
      </w:r>
      <w:r>
        <w:rPr>
          <w:spacing w:val="-5"/>
          <w:w w:val="105"/>
        </w:rPr>
        <w:t xml:space="preserve"> </w:t>
      </w:r>
      <w:r>
        <w:rPr>
          <w:w w:val="105"/>
        </w:rPr>
        <w:t>DSM-III-R), compatibility</w:t>
      </w:r>
      <w:r>
        <w:rPr>
          <w:spacing w:val="-2"/>
          <w:w w:val="105"/>
        </w:rPr>
        <w:t xml:space="preserve"> </w:t>
      </w:r>
      <w:r>
        <w:rPr>
          <w:w w:val="105"/>
        </w:rPr>
        <w:t>with</w:t>
      </w:r>
      <w:r>
        <w:rPr>
          <w:spacing w:val="-6"/>
          <w:w w:val="105"/>
        </w:rPr>
        <w:t xml:space="preserve"> </w:t>
      </w:r>
      <w:r>
        <w:rPr>
          <w:w w:val="105"/>
        </w:rPr>
        <w:t>ICD-10,</w:t>
      </w:r>
      <w:r>
        <w:rPr>
          <w:spacing w:val="-9"/>
          <w:w w:val="105"/>
        </w:rPr>
        <w:t xml:space="preserve"> </w:t>
      </w:r>
      <w:r>
        <w:rPr>
          <w:w w:val="105"/>
        </w:rPr>
        <w:t>evidence from reviews of the literature, analyses of unpublished data sets, results of field trials, and consensus of the field. Although the amount of evidence required to support changes was set at a high threshold, it necessarily varied across disorders because the empirical support for the decisions made in DSM-III and DSM-III-R also varied across disorders. Of course, common sense was necessary, and major changes to solve minor problems required more evidence than minor changes to solve major</w:t>
      </w:r>
      <w:r>
        <w:rPr>
          <w:spacing w:val="-11"/>
          <w:w w:val="105"/>
        </w:rPr>
        <w:t xml:space="preserve"> </w:t>
      </w:r>
      <w:r>
        <w:rPr>
          <w:w w:val="105"/>
        </w:rPr>
        <w:t>problems.</w:t>
      </w:r>
    </w:p>
    <w:p w:rsidR="00E675F0" w:rsidRDefault="00E675F0" w:rsidP="00E675F0">
      <w:pPr>
        <w:pStyle w:val="BodyText"/>
        <w:spacing w:before="13" w:line="252" w:lineRule="auto"/>
        <w:ind w:left="126" w:right="103" w:firstLine="364"/>
        <w:jc w:val="both"/>
      </w:pPr>
      <w:r>
        <w:rPr>
          <w:w w:val="110"/>
        </w:rPr>
        <w:t>We received suggestions to include numerous new diagnoses in DSM-IV. The proponents argued that the new diagnoses were necessary to improve the coverage of the</w:t>
      </w:r>
      <w:r>
        <w:rPr>
          <w:spacing w:val="-30"/>
          <w:w w:val="110"/>
        </w:rPr>
        <w:t xml:space="preserve"> </w:t>
      </w:r>
      <w:r>
        <w:rPr>
          <w:w w:val="110"/>
        </w:rPr>
        <w:t>system</w:t>
      </w:r>
      <w:r>
        <w:rPr>
          <w:spacing w:val="-24"/>
          <w:w w:val="110"/>
        </w:rPr>
        <w:t xml:space="preserve"> </w:t>
      </w:r>
      <w:r>
        <w:rPr>
          <w:w w:val="110"/>
        </w:rPr>
        <w:t>by</w:t>
      </w:r>
      <w:r>
        <w:rPr>
          <w:spacing w:val="-27"/>
          <w:w w:val="110"/>
        </w:rPr>
        <w:t xml:space="preserve"> </w:t>
      </w:r>
      <w:r>
        <w:rPr>
          <w:w w:val="110"/>
        </w:rPr>
        <w:t>including</w:t>
      </w:r>
      <w:r>
        <w:rPr>
          <w:spacing w:val="-27"/>
          <w:w w:val="110"/>
        </w:rPr>
        <w:t xml:space="preserve"> </w:t>
      </w:r>
      <w:r>
        <w:rPr>
          <w:w w:val="110"/>
        </w:rPr>
        <w:t>a</w:t>
      </w:r>
      <w:r>
        <w:rPr>
          <w:spacing w:val="-29"/>
          <w:w w:val="110"/>
        </w:rPr>
        <w:t xml:space="preserve"> </w:t>
      </w:r>
      <w:r>
        <w:rPr>
          <w:w w:val="110"/>
        </w:rPr>
        <w:t>group</w:t>
      </w:r>
      <w:r>
        <w:rPr>
          <w:spacing w:val="-25"/>
          <w:w w:val="110"/>
        </w:rPr>
        <w:t xml:space="preserve"> </w:t>
      </w:r>
      <w:r>
        <w:rPr>
          <w:w w:val="110"/>
        </w:rPr>
        <w:t>of</w:t>
      </w:r>
      <w:r>
        <w:rPr>
          <w:spacing w:val="-27"/>
          <w:w w:val="110"/>
        </w:rPr>
        <w:t xml:space="preserve"> </w:t>
      </w:r>
      <w:r>
        <w:rPr>
          <w:w w:val="110"/>
        </w:rPr>
        <w:t>individuals</w:t>
      </w:r>
      <w:r>
        <w:rPr>
          <w:spacing w:val="-19"/>
          <w:w w:val="110"/>
        </w:rPr>
        <w:t xml:space="preserve"> </w:t>
      </w:r>
      <w:r>
        <w:rPr>
          <w:w w:val="110"/>
        </w:rPr>
        <w:t>that</w:t>
      </w:r>
      <w:r>
        <w:rPr>
          <w:spacing w:val="-25"/>
          <w:w w:val="110"/>
        </w:rPr>
        <w:t xml:space="preserve"> </w:t>
      </w:r>
      <w:r>
        <w:rPr>
          <w:w w:val="110"/>
        </w:rPr>
        <w:t>were</w:t>
      </w:r>
      <w:r>
        <w:rPr>
          <w:spacing w:val="-26"/>
          <w:w w:val="110"/>
        </w:rPr>
        <w:t xml:space="preserve"> </w:t>
      </w:r>
      <w:r>
        <w:rPr>
          <w:w w:val="110"/>
        </w:rPr>
        <w:t>undiagnosable</w:t>
      </w:r>
      <w:r>
        <w:rPr>
          <w:spacing w:val="-20"/>
          <w:w w:val="110"/>
        </w:rPr>
        <w:t xml:space="preserve"> </w:t>
      </w:r>
      <w:r>
        <w:rPr>
          <w:w w:val="110"/>
        </w:rPr>
        <w:t>in</w:t>
      </w:r>
      <w:r>
        <w:rPr>
          <w:spacing w:val="-27"/>
          <w:w w:val="110"/>
        </w:rPr>
        <w:t xml:space="preserve"> </w:t>
      </w:r>
      <w:r>
        <w:rPr>
          <w:w w:val="110"/>
        </w:rPr>
        <w:t>DSM-III-R</w:t>
      </w:r>
      <w:r>
        <w:rPr>
          <w:spacing w:val="-21"/>
          <w:w w:val="110"/>
        </w:rPr>
        <w:t xml:space="preserve"> </w:t>
      </w:r>
      <w:r>
        <w:rPr>
          <w:w w:val="110"/>
        </w:rPr>
        <w:t>or diagnosable</w:t>
      </w:r>
      <w:r>
        <w:rPr>
          <w:spacing w:val="-18"/>
          <w:w w:val="110"/>
        </w:rPr>
        <w:t xml:space="preserve"> </w:t>
      </w:r>
      <w:r>
        <w:rPr>
          <w:w w:val="110"/>
        </w:rPr>
        <w:t>only</w:t>
      </w:r>
      <w:r>
        <w:rPr>
          <w:spacing w:val="-24"/>
          <w:w w:val="110"/>
        </w:rPr>
        <w:t xml:space="preserve"> </w:t>
      </w:r>
      <w:r>
        <w:rPr>
          <w:w w:val="110"/>
        </w:rPr>
        <w:t>under</w:t>
      </w:r>
      <w:r>
        <w:rPr>
          <w:spacing w:val="-26"/>
          <w:w w:val="110"/>
        </w:rPr>
        <w:t xml:space="preserve"> </w:t>
      </w:r>
      <w:r>
        <w:rPr>
          <w:w w:val="110"/>
        </w:rPr>
        <w:t>the</w:t>
      </w:r>
      <w:r>
        <w:rPr>
          <w:spacing w:val="-23"/>
          <w:w w:val="110"/>
        </w:rPr>
        <w:t xml:space="preserve"> </w:t>
      </w:r>
      <w:r>
        <w:rPr>
          <w:w w:val="110"/>
        </w:rPr>
        <w:t>Not</w:t>
      </w:r>
      <w:r>
        <w:rPr>
          <w:spacing w:val="-26"/>
          <w:w w:val="110"/>
        </w:rPr>
        <w:t xml:space="preserve"> </w:t>
      </w:r>
      <w:r>
        <w:rPr>
          <w:w w:val="110"/>
        </w:rPr>
        <w:t>Otherwise</w:t>
      </w:r>
      <w:r>
        <w:rPr>
          <w:spacing w:val="-25"/>
          <w:w w:val="110"/>
        </w:rPr>
        <w:t xml:space="preserve"> </w:t>
      </w:r>
      <w:r>
        <w:rPr>
          <w:w w:val="110"/>
        </w:rPr>
        <w:t>Specified</w:t>
      </w:r>
      <w:r>
        <w:rPr>
          <w:spacing w:val="-19"/>
          <w:w w:val="110"/>
        </w:rPr>
        <w:t xml:space="preserve"> </w:t>
      </w:r>
      <w:r>
        <w:rPr>
          <w:w w:val="110"/>
        </w:rPr>
        <w:t>rubric.</w:t>
      </w:r>
      <w:r>
        <w:rPr>
          <w:spacing w:val="-22"/>
          <w:w w:val="110"/>
        </w:rPr>
        <w:t xml:space="preserve"> </w:t>
      </w:r>
      <w:r>
        <w:rPr>
          <w:w w:val="110"/>
        </w:rPr>
        <w:t>We</w:t>
      </w:r>
      <w:r>
        <w:rPr>
          <w:spacing w:val="-31"/>
          <w:w w:val="110"/>
        </w:rPr>
        <w:t xml:space="preserve"> </w:t>
      </w:r>
      <w:r>
        <w:rPr>
          <w:w w:val="110"/>
        </w:rPr>
        <w:t>decided</w:t>
      </w:r>
      <w:r>
        <w:rPr>
          <w:spacing w:val="-21"/>
          <w:w w:val="110"/>
        </w:rPr>
        <w:t xml:space="preserve"> </w:t>
      </w:r>
      <w:r>
        <w:rPr>
          <w:w w:val="110"/>
        </w:rPr>
        <w:t>that,</w:t>
      </w:r>
      <w:r>
        <w:rPr>
          <w:spacing w:val="-25"/>
          <w:w w:val="110"/>
        </w:rPr>
        <w:t xml:space="preserve"> </w:t>
      </w:r>
      <w:r>
        <w:rPr>
          <w:w w:val="110"/>
        </w:rPr>
        <w:t>in</w:t>
      </w:r>
      <w:r>
        <w:rPr>
          <w:spacing w:val="-29"/>
          <w:w w:val="110"/>
        </w:rPr>
        <w:t xml:space="preserve"> </w:t>
      </w:r>
      <w:r>
        <w:rPr>
          <w:w w:val="110"/>
        </w:rPr>
        <w:t>general, new</w:t>
      </w:r>
      <w:r>
        <w:rPr>
          <w:spacing w:val="-21"/>
          <w:w w:val="110"/>
        </w:rPr>
        <w:t xml:space="preserve"> </w:t>
      </w:r>
      <w:r>
        <w:rPr>
          <w:w w:val="110"/>
        </w:rPr>
        <w:t>diagnoses</w:t>
      </w:r>
      <w:r>
        <w:rPr>
          <w:spacing w:val="-20"/>
          <w:w w:val="110"/>
        </w:rPr>
        <w:t xml:space="preserve"> </w:t>
      </w:r>
      <w:r>
        <w:rPr>
          <w:w w:val="110"/>
        </w:rPr>
        <w:t>should</w:t>
      </w:r>
      <w:r>
        <w:rPr>
          <w:spacing w:val="-15"/>
          <w:w w:val="110"/>
        </w:rPr>
        <w:t xml:space="preserve"> </w:t>
      </w:r>
      <w:r>
        <w:rPr>
          <w:w w:val="110"/>
        </w:rPr>
        <w:t>be</w:t>
      </w:r>
      <w:r>
        <w:rPr>
          <w:spacing w:val="-16"/>
          <w:w w:val="110"/>
        </w:rPr>
        <w:t xml:space="preserve"> </w:t>
      </w:r>
      <w:r>
        <w:rPr>
          <w:w w:val="110"/>
        </w:rPr>
        <w:t>included</w:t>
      </w:r>
      <w:r>
        <w:rPr>
          <w:spacing w:val="-9"/>
          <w:w w:val="110"/>
        </w:rPr>
        <w:t xml:space="preserve"> </w:t>
      </w:r>
      <w:r>
        <w:rPr>
          <w:w w:val="110"/>
        </w:rPr>
        <w:t>in</w:t>
      </w:r>
      <w:r>
        <w:rPr>
          <w:spacing w:val="-16"/>
          <w:w w:val="110"/>
        </w:rPr>
        <w:t xml:space="preserve"> </w:t>
      </w:r>
      <w:r>
        <w:rPr>
          <w:w w:val="110"/>
        </w:rPr>
        <w:t>the</w:t>
      </w:r>
      <w:r>
        <w:rPr>
          <w:spacing w:val="-21"/>
          <w:w w:val="110"/>
        </w:rPr>
        <w:t xml:space="preserve"> </w:t>
      </w:r>
      <w:r>
        <w:rPr>
          <w:w w:val="110"/>
        </w:rPr>
        <w:t>system</w:t>
      </w:r>
      <w:r>
        <w:rPr>
          <w:spacing w:val="-19"/>
          <w:w w:val="110"/>
        </w:rPr>
        <w:t xml:space="preserve"> </w:t>
      </w:r>
      <w:r>
        <w:rPr>
          <w:w w:val="110"/>
        </w:rPr>
        <w:t>only</w:t>
      </w:r>
      <w:r>
        <w:rPr>
          <w:spacing w:val="-20"/>
          <w:w w:val="110"/>
        </w:rPr>
        <w:t xml:space="preserve"> </w:t>
      </w:r>
      <w:r>
        <w:rPr>
          <w:w w:val="110"/>
        </w:rPr>
        <w:t>after</w:t>
      </w:r>
      <w:r>
        <w:rPr>
          <w:spacing w:val="-17"/>
          <w:w w:val="110"/>
        </w:rPr>
        <w:t xml:space="preserve"> </w:t>
      </w:r>
      <w:r>
        <w:rPr>
          <w:w w:val="110"/>
        </w:rPr>
        <w:t>research</w:t>
      </w:r>
      <w:r>
        <w:rPr>
          <w:spacing w:val="-8"/>
          <w:w w:val="110"/>
        </w:rPr>
        <w:t xml:space="preserve"> </w:t>
      </w:r>
      <w:r>
        <w:rPr>
          <w:w w:val="110"/>
        </w:rPr>
        <w:t>has</w:t>
      </w:r>
      <w:r>
        <w:rPr>
          <w:spacing w:val="-23"/>
          <w:w w:val="110"/>
        </w:rPr>
        <w:t xml:space="preserve"> </w:t>
      </w:r>
      <w:r>
        <w:rPr>
          <w:w w:val="110"/>
        </w:rPr>
        <w:t>established</w:t>
      </w:r>
      <w:r>
        <w:rPr>
          <w:spacing w:val="-9"/>
          <w:w w:val="110"/>
        </w:rPr>
        <w:t xml:space="preserve"> </w:t>
      </w:r>
      <w:r>
        <w:rPr>
          <w:w w:val="110"/>
        </w:rPr>
        <w:t>that they</w:t>
      </w:r>
      <w:r>
        <w:rPr>
          <w:spacing w:val="-24"/>
          <w:w w:val="110"/>
        </w:rPr>
        <w:t xml:space="preserve"> </w:t>
      </w:r>
      <w:r>
        <w:rPr>
          <w:w w:val="110"/>
        </w:rPr>
        <w:t>should</w:t>
      </w:r>
      <w:r>
        <w:rPr>
          <w:spacing w:val="-18"/>
          <w:w w:val="110"/>
        </w:rPr>
        <w:t xml:space="preserve"> </w:t>
      </w:r>
      <w:r>
        <w:rPr>
          <w:w w:val="110"/>
        </w:rPr>
        <w:t>be</w:t>
      </w:r>
      <w:r>
        <w:rPr>
          <w:spacing w:val="-16"/>
          <w:w w:val="110"/>
        </w:rPr>
        <w:t xml:space="preserve"> </w:t>
      </w:r>
      <w:r>
        <w:rPr>
          <w:w w:val="110"/>
        </w:rPr>
        <w:t>included</w:t>
      </w:r>
      <w:r>
        <w:rPr>
          <w:spacing w:val="-12"/>
          <w:w w:val="110"/>
        </w:rPr>
        <w:t xml:space="preserve"> </w:t>
      </w:r>
      <w:r>
        <w:rPr>
          <w:w w:val="110"/>
        </w:rPr>
        <w:t>rather</w:t>
      </w:r>
      <w:r>
        <w:rPr>
          <w:spacing w:val="-22"/>
          <w:w w:val="110"/>
        </w:rPr>
        <w:t xml:space="preserve"> </w:t>
      </w:r>
      <w:r>
        <w:rPr>
          <w:w w:val="110"/>
        </w:rPr>
        <w:t>than</w:t>
      </w:r>
      <w:r>
        <w:rPr>
          <w:spacing w:val="-20"/>
          <w:w w:val="110"/>
        </w:rPr>
        <w:t xml:space="preserve"> </w:t>
      </w:r>
      <w:r>
        <w:rPr>
          <w:w w:val="110"/>
        </w:rPr>
        <w:t>being</w:t>
      </w:r>
      <w:r>
        <w:rPr>
          <w:spacing w:val="-17"/>
          <w:w w:val="110"/>
        </w:rPr>
        <w:t xml:space="preserve"> </w:t>
      </w:r>
      <w:r>
        <w:rPr>
          <w:w w:val="110"/>
        </w:rPr>
        <w:t>included</w:t>
      </w:r>
      <w:r>
        <w:rPr>
          <w:spacing w:val="-15"/>
          <w:w w:val="110"/>
        </w:rPr>
        <w:t xml:space="preserve"> </w:t>
      </w:r>
      <w:r>
        <w:rPr>
          <w:w w:val="110"/>
        </w:rPr>
        <w:t>to</w:t>
      </w:r>
      <w:r>
        <w:rPr>
          <w:spacing w:val="-25"/>
          <w:w w:val="110"/>
        </w:rPr>
        <w:t xml:space="preserve"> </w:t>
      </w:r>
      <w:r>
        <w:rPr>
          <w:w w:val="110"/>
        </w:rPr>
        <w:t>stimulate</w:t>
      </w:r>
      <w:r>
        <w:rPr>
          <w:spacing w:val="-19"/>
          <w:w w:val="110"/>
        </w:rPr>
        <w:t xml:space="preserve"> </w:t>
      </w:r>
      <w:r>
        <w:rPr>
          <w:w w:val="110"/>
        </w:rPr>
        <w:t>that</w:t>
      </w:r>
      <w:r>
        <w:rPr>
          <w:spacing w:val="-19"/>
          <w:w w:val="110"/>
        </w:rPr>
        <w:t xml:space="preserve"> </w:t>
      </w:r>
      <w:r>
        <w:rPr>
          <w:w w:val="110"/>
        </w:rPr>
        <w:t>research.</w:t>
      </w:r>
      <w:r>
        <w:rPr>
          <w:spacing w:val="-20"/>
          <w:w w:val="110"/>
        </w:rPr>
        <w:t xml:space="preserve"> </w:t>
      </w:r>
      <w:r>
        <w:rPr>
          <w:w w:val="110"/>
        </w:rPr>
        <w:t>However, diagnoses already included in ICD-10 were given somewhat more consideration than those</w:t>
      </w:r>
      <w:r>
        <w:rPr>
          <w:spacing w:val="-32"/>
          <w:w w:val="110"/>
        </w:rPr>
        <w:t xml:space="preserve"> </w:t>
      </w:r>
      <w:r>
        <w:rPr>
          <w:w w:val="110"/>
        </w:rPr>
        <w:t>that</w:t>
      </w:r>
      <w:r>
        <w:rPr>
          <w:spacing w:val="-33"/>
          <w:w w:val="110"/>
        </w:rPr>
        <w:t xml:space="preserve"> </w:t>
      </w:r>
      <w:r>
        <w:rPr>
          <w:w w:val="110"/>
        </w:rPr>
        <w:t>were</w:t>
      </w:r>
      <w:r>
        <w:rPr>
          <w:spacing w:val="-32"/>
          <w:w w:val="110"/>
        </w:rPr>
        <w:t xml:space="preserve"> </w:t>
      </w:r>
      <w:r>
        <w:rPr>
          <w:w w:val="110"/>
        </w:rPr>
        <w:t>being</w:t>
      </w:r>
      <w:r>
        <w:rPr>
          <w:spacing w:val="-31"/>
          <w:w w:val="110"/>
        </w:rPr>
        <w:t xml:space="preserve"> </w:t>
      </w:r>
      <w:r>
        <w:rPr>
          <w:w w:val="110"/>
        </w:rPr>
        <w:t>proposed</w:t>
      </w:r>
      <w:r>
        <w:rPr>
          <w:spacing w:val="-30"/>
          <w:w w:val="110"/>
        </w:rPr>
        <w:t xml:space="preserve"> </w:t>
      </w:r>
      <w:r>
        <w:rPr>
          <w:w w:val="110"/>
        </w:rPr>
        <w:t>fresh</w:t>
      </w:r>
      <w:r>
        <w:rPr>
          <w:spacing w:val="-34"/>
          <w:w w:val="110"/>
        </w:rPr>
        <w:t xml:space="preserve"> </w:t>
      </w:r>
      <w:r>
        <w:rPr>
          <w:w w:val="110"/>
        </w:rPr>
        <w:t>for</w:t>
      </w:r>
      <w:r>
        <w:rPr>
          <w:spacing w:val="-35"/>
          <w:w w:val="110"/>
        </w:rPr>
        <w:t xml:space="preserve"> </w:t>
      </w:r>
      <w:r>
        <w:rPr>
          <w:w w:val="110"/>
        </w:rPr>
        <w:t>DSM-IV.</w:t>
      </w:r>
      <w:r>
        <w:rPr>
          <w:spacing w:val="-33"/>
          <w:w w:val="110"/>
        </w:rPr>
        <w:t xml:space="preserve"> </w:t>
      </w:r>
      <w:r>
        <w:rPr>
          <w:w w:val="110"/>
        </w:rPr>
        <w:t>The</w:t>
      </w:r>
      <w:r>
        <w:rPr>
          <w:spacing w:val="-34"/>
          <w:w w:val="110"/>
        </w:rPr>
        <w:t xml:space="preserve"> </w:t>
      </w:r>
      <w:r>
        <w:rPr>
          <w:w w:val="110"/>
        </w:rPr>
        <w:t>increased</w:t>
      </w:r>
      <w:r>
        <w:rPr>
          <w:spacing w:val="-29"/>
          <w:w w:val="110"/>
        </w:rPr>
        <w:t xml:space="preserve"> </w:t>
      </w:r>
      <w:r>
        <w:rPr>
          <w:w w:val="110"/>
        </w:rPr>
        <w:t>marginal</w:t>
      </w:r>
      <w:r>
        <w:rPr>
          <w:spacing w:val="-30"/>
          <w:w w:val="110"/>
        </w:rPr>
        <w:t xml:space="preserve"> </w:t>
      </w:r>
      <w:r>
        <w:rPr>
          <w:w w:val="110"/>
        </w:rPr>
        <w:t>utility,</w:t>
      </w:r>
      <w:r>
        <w:rPr>
          <w:spacing w:val="-30"/>
          <w:w w:val="110"/>
        </w:rPr>
        <w:t xml:space="preserve"> </w:t>
      </w:r>
      <w:r>
        <w:rPr>
          <w:w w:val="110"/>
        </w:rPr>
        <w:t>clarity, and coverage provided by each newly proposed diagnosis had to be balanced against the</w:t>
      </w:r>
      <w:r>
        <w:rPr>
          <w:spacing w:val="-29"/>
          <w:w w:val="110"/>
        </w:rPr>
        <w:t xml:space="preserve"> </w:t>
      </w:r>
      <w:r>
        <w:rPr>
          <w:w w:val="110"/>
        </w:rPr>
        <w:t>cumulative</w:t>
      </w:r>
      <w:r>
        <w:rPr>
          <w:spacing w:val="-22"/>
          <w:w w:val="110"/>
        </w:rPr>
        <w:t xml:space="preserve"> </w:t>
      </w:r>
      <w:r>
        <w:rPr>
          <w:w w:val="110"/>
        </w:rPr>
        <w:t>cumbersomeness</w:t>
      </w:r>
      <w:r>
        <w:rPr>
          <w:spacing w:val="-27"/>
          <w:w w:val="110"/>
        </w:rPr>
        <w:t xml:space="preserve"> </w:t>
      </w:r>
      <w:r>
        <w:rPr>
          <w:w w:val="110"/>
        </w:rPr>
        <w:t>imposed</w:t>
      </w:r>
      <w:r>
        <w:rPr>
          <w:spacing w:val="-21"/>
          <w:w w:val="110"/>
        </w:rPr>
        <w:t xml:space="preserve"> </w:t>
      </w:r>
      <w:r>
        <w:rPr>
          <w:w w:val="110"/>
        </w:rPr>
        <w:t>on</w:t>
      </w:r>
      <w:r>
        <w:rPr>
          <w:spacing w:val="-20"/>
          <w:w w:val="110"/>
        </w:rPr>
        <w:t xml:space="preserve"> </w:t>
      </w:r>
      <w:r>
        <w:rPr>
          <w:w w:val="110"/>
        </w:rPr>
        <w:t>the</w:t>
      </w:r>
      <w:r>
        <w:rPr>
          <w:spacing w:val="-28"/>
          <w:w w:val="110"/>
        </w:rPr>
        <w:t xml:space="preserve"> </w:t>
      </w:r>
      <w:r>
        <w:rPr>
          <w:w w:val="110"/>
        </w:rPr>
        <w:t>whole</w:t>
      </w:r>
      <w:r>
        <w:rPr>
          <w:spacing w:val="-28"/>
          <w:w w:val="110"/>
        </w:rPr>
        <w:t xml:space="preserve"> </w:t>
      </w:r>
      <w:r>
        <w:rPr>
          <w:w w:val="110"/>
        </w:rPr>
        <w:t>system,</w:t>
      </w:r>
      <w:r>
        <w:rPr>
          <w:spacing w:val="-21"/>
          <w:w w:val="110"/>
        </w:rPr>
        <w:t xml:space="preserve"> </w:t>
      </w:r>
      <w:r>
        <w:rPr>
          <w:w w:val="110"/>
        </w:rPr>
        <w:t>the</w:t>
      </w:r>
      <w:r>
        <w:rPr>
          <w:spacing w:val="-20"/>
          <w:w w:val="110"/>
        </w:rPr>
        <w:t xml:space="preserve"> </w:t>
      </w:r>
      <w:r>
        <w:rPr>
          <w:w w:val="110"/>
        </w:rPr>
        <w:t>paucity</w:t>
      </w:r>
      <w:r>
        <w:rPr>
          <w:spacing w:val="-19"/>
          <w:w w:val="110"/>
        </w:rPr>
        <w:t xml:space="preserve"> </w:t>
      </w:r>
      <w:r>
        <w:rPr>
          <w:w w:val="110"/>
        </w:rPr>
        <w:t>of</w:t>
      </w:r>
      <w:r>
        <w:rPr>
          <w:spacing w:val="-24"/>
          <w:w w:val="110"/>
        </w:rPr>
        <w:t xml:space="preserve"> </w:t>
      </w:r>
      <w:r>
        <w:rPr>
          <w:w w:val="110"/>
        </w:rPr>
        <w:t>empirical documentation,</w:t>
      </w:r>
      <w:r>
        <w:rPr>
          <w:spacing w:val="-13"/>
          <w:w w:val="110"/>
        </w:rPr>
        <w:t xml:space="preserve"> </w:t>
      </w:r>
      <w:r>
        <w:rPr>
          <w:w w:val="110"/>
        </w:rPr>
        <w:t>and</w:t>
      </w:r>
      <w:r>
        <w:rPr>
          <w:spacing w:val="-8"/>
          <w:w w:val="110"/>
        </w:rPr>
        <w:t xml:space="preserve"> </w:t>
      </w:r>
      <w:r>
        <w:rPr>
          <w:w w:val="110"/>
        </w:rPr>
        <w:t>the</w:t>
      </w:r>
      <w:r>
        <w:rPr>
          <w:spacing w:val="-7"/>
          <w:w w:val="110"/>
        </w:rPr>
        <w:t xml:space="preserve"> </w:t>
      </w:r>
      <w:r>
        <w:rPr>
          <w:w w:val="110"/>
        </w:rPr>
        <w:t>possible</w:t>
      </w:r>
      <w:r>
        <w:rPr>
          <w:spacing w:val="-8"/>
          <w:w w:val="110"/>
        </w:rPr>
        <w:t xml:space="preserve"> </w:t>
      </w:r>
      <w:r>
        <w:rPr>
          <w:w w:val="110"/>
        </w:rPr>
        <w:t>misdiagnosis</w:t>
      </w:r>
      <w:r>
        <w:rPr>
          <w:spacing w:val="-5"/>
          <w:w w:val="110"/>
        </w:rPr>
        <w:t xml:space="preserve"> </w:t>
      </w:r>
      <w:r>
        <w:rPr>
          <w:w w:val="110"/>
        </w:rPr>
        <w:t>or</w:t>
      </w:r>
      <w:r>
        <w:rPr>
          <w:spacing w:val="-6"/>
          <w:w w:val="110"/>
        </w:rPr>
        <w:t xml:space="preserve"> </w:t>
      </w:r>
      <w:r>
        <w:rPr>
          <w:w w:val="110"/>
        </w:rPr>
        <w:t>misuse</w:t>
      </w:r>
      <w:r>
        <w:rPr>
          <w:spacing w:val="-6"/>
          <w:w w:val="110"/>
        </w:rPr>
        <w:t xml:space="preserve"> </w:t>
      </w:r>
      <w:r>
        <w:rPr>
          <w:w w:val="110"/>
        </w:rPr>
        <w:t>that</w:t>
      </w:r>
      <w:r>
        <w:rPr>
          <w:spacing w:val="-11"/>
          <w:w w:val="110"/>
        </w:rPr>
        <w:t xml:space="preserve"> </w:t>
      </w:r>
      <w:r>
        <w:rPr>
          <w:w w:val="110"/>
        </w:rPr>
        <w:t>might</w:t>
      </w:r>
      <w:r>
        <w:rPr>
          <w:spacing w:val="-8"/>
          <w:w w:val="110"/>
        </w:rPr>
        <w:t xml:space="preserve"> </w:t>
      </w:r>
      <w:r>
        <w:rPr>
          <w:w w:val="110"/>
        </w:rPr>
        <w:t>result.</w:t>
      </w:r>
      <w:r>
        <w:rPr>
          <w:spacing w:val="-6"/>
          <w:w w:val="110"/>
        </w:rPr>
        <w:t xml:space="preserve"> </w:t>
      </w:r>
      <w:r>
        <w:rPr>
          <w:w w:val="110"/>
        </w:rPr>
        <w:t>No</w:t>
      </w:r>
      <w:r>
        <w:rPr>
          <w:spacing w:val="-14"/>
          <w:w w:val="110"/>
        </w:rPr>
        <w:t xml:space="preserve"> </w:t>
      </w:r>
      <w:r>
        <w:rPr>
          <w:w w:val="110"/>
        </w:rPr>
        <w:t>classifi­ cation of mental disorders can have a sufficient number of specific categories to encompass</w:t>
      </w:r>
      <w:r>
        <w:rPr>
          <w:spacing w:val="-16"/>
          <w:w w:val="110"/>
        </w:rPr>
        <w:t xml:space="preserve"> </w:t>
      </w:r>
      <w:r>
        <w:rPr>
          <w:w w:val="110"/>
        </w:rPr>
        <w:t>every</w:t>
      </w:r>
      <w:r>
        <w:rPr>
          <w:spacing w:val="-17"/>
          <w:w w:val="110"/>
        </w:rPr>
        <w:t xml:space="preserve"> </w:t>
      </w:r>
      <w:r>
        <w:rPr>
          <w:w w:val="110"/>
        </w:rPr>
        <w:t>conceivable</w:t>
      </w:r>
      <w:r>
        <w:rPr>
          <w:spacing w:val="-14"/>
          <w:w w:val="110"/>
        </w:rPr>
        <w:t xml:space="preserve"> </w:t>
      </w:r>
      <w:r>
        <w:rPr>
          <w:w w:val="110"/>
        </w:rPr>
        <w:t>clinical</w:t>
      </w:r>
      <w:r>
        <w:rPr>
          <w:spacing w:val="-8"/>
          <w:w w:val="110"/>
        </w:rPr>
        <w:t xml:space="preserve"> </w:t>
      </w:r>
      <w:r>
        <w:rPr>
          <w:w w:val="110"/>
        </w:rPr>
        <w:t>presentation.</w:t>
      </w:r>
      <w:r>
        <w:rPr>
          <w:spacing w:val="-17"/>
          <w:w w:val="110"/>
        </w:rPr>
        <w:t xml:space="preserve"> </w:t>
      </w:r>
      <w:r>
        <w:rPr>
          <w:w w:val="110"/>
        </w:rPr>
        <w:t>The</w:t>
      </w:r>
      <w:r>
        <w:rPr>
          <w:spacing w:val="-18"/>
          <w:w w:val="110"/>
        </w:rPr>
        <w:t xml:space="preserve"> </w:t>
      </w:r>
      <w:r>
        <w:rPr>
          <w:w w:val="110"/>
        </w:rPr>
        <w:t>Not</w:t>
      </w:r>
      <w:r>
        <w:rPr>
          <w:spacing w:val="-18"/>
          <w:w w:val="110"/>
        </w:rPr>
        <w:t xml:space="preserve"> </w:t>
      </w:r>
      <w:r>
        <w:rPr>
          <w:w w:val="110"/>
        </w:rPr>
        <w:t>Otherwise</w:t>
      </w:r>
      <w:r>
        <w:rPr>
          <w:spacing w:val="-17"/>
          <w:w w:val="110"/>
        </w:rPr>
        <w:t xml:space="preserve"> </w:t>
      </w:r>
      <w:r>
        <w:rPr>
          <w:w w:val="110"/>
        </w:rPr>
        <w:t>Specified</w:t>
      </w:r>
      <w:r>
        <w:rPr>
          <w:spacing w:val="-12"/>
          <w:w w:val="110"/>
        </w:rPr>
        <w:t xml:space="preserve"> </w:t>
      </w:r>
      <w:r>
        <w:rPr>
          <w:w w:val="110"/>
        </w:rPr>
        <w:t>cate­ gories are provided to cover the not infrequent presentations that are at the boundary of specific categorical</w:t>
      </w:r>
      <w:r>
        <w:rPr>
          <w:spacing w:val="24"/>
          <w:w w:val="110"/>
        </w:rPr>
        <w:t xml:space="preserve"> </w:t>
      </w:r>
      <w:r>
        <w:rPr>
          <w:w w:val="110"/>
        </w:rPr>
        <w:t>definitions.</w:t>
      </w:r>
    </w:p>
    <w:p w:rsidR="00E675F0" w:rsidRDefault="00E675F0" w:rsidP="00E675F0">
      <w:pPr>
        <w:pStyle w:val="BodyText"/>
        <w:spacing w:before="6"/>
        <w:rPr>
          <w:sz w:val="32"/>
        </w:rPr>
      </w:pPr>
    </w:p>
    <w:p w:rsidR="00E675F0" w:rsidRDefault="00E675F0" w:rsidP="00E675F0">
      <w:pPr>
        <w:ind w:left="108"/>
        <w:jc w:val="both"/>
        <w:rPr>
          <w:rFonts w:ascii="Arial"/>
          <w:b/>
          <w:sz w:val="21"/>
        </w:rPr>
      </w:pPr>
      <w:r>
        <w:rPr>
          <w:rFonts w:ascii="TimesNewRomanPS-BoldItalicMT"/>
          <w:b/>
          <w:i/>
          <w:w w:val="110"/>
          <w:sz w:val="24"/>
        </w:rPr>
        <w:t xml:space="preserve">The </w:t>
      </w:r>
      <w:r>
        <w:rPr>
          <w:rFonts w:ascii="Arial"/>
          <w:b/>
          <w:w w:val="110"/>
          <w:sz w:val="21"/>
        </w:rPr>
        <w:t>DSM-IV Sourcebook</w:t>
      </w:r>
    </w:p>
    <w:p w:rsidR="00E675F0" w:rsidRDefault="00E675F0" w:rsidP="00E675F0">
      <w:pPr>
        <w:pStyle w:val="BodyText"/>
        <w:spacing w:before="117" w:line="254" w:lineRule="auto"/>
        <w:ind w:left="135" w:right="107" w:hanging="1"/>
        <w:jc w:val="both"/>
      </w:pPr>
      <w:r>
        <w:rPr>
          <w:w w:val="105"/>
        </w:rPr>
        <w:t xml:space="preserve">Documentation has been the essential foundation of the DSM-IV process. The </w:t>
      </w:r>
      <w:r>
        <w:rPr>
          <w:i/>
          <w:w w:val="105"/>
        </w:rPr>
        <w:t xml:space="preserve">DSM-IV Sourcebook, </w:t>
      </w:r>
      <w:r>
        <w:rPr>
          <w:w w:val="105"/>
        </w:rPr>
        <w:t xml:space="preserve">published in five volumes, is intended to provide a comprehensive and convenient reference record of the clinical and research support for the various decisions reached by the Work Groups and the Task Force. The first three volumes of the </w:t>
      </w:r>
      <w:r>
        <w:rPr>
          <w:i/>
          <w:w w:val="105"/>
        </w:rPr>
        <w:t>Sourcebookcontain</w:t>
      </w:r>
      <w:r>
        <w:rPr>
          <w:i/>
          <w:spacing w:val="-25"/>
          <w:w w:val="105"/>
        </w:rPr>
        <w:t xml:space="preserve"> </w:t>
      </w:r>
      <w:r>
        <w:rPr>
          <w:w w:val="105"/>
        </w:rPr>
        <w:t>condensed</w:t>
      </w:r>
      <w:r>
        <w:rPr>
          <w:spacing w:val="-2"/>
          <w:w w:val="105"/>
        </w:rPr>
        <w:t xml:space="preserve"> </w:t>
      </w:r>
      <w:r>
        <w:rPr>
          <w:w w:val="105"/>
        </w:rPr>
        <w:t>versions</w:t>
      </w:r>
      <w:r>
        <w:rPr>
          <w:spacing w:val="-11"/>
          <w:w w:val="105"/>
        </w:rPr>
        <w:t xml:space="preserve"> </w:t>
      </w:r>
      <w:r>
        <w:rPr>
          <w:w w:val="105"/>
        </w:rPr>
        <w:t>of</w:t>
      </w:r>
      <w:r>
        <w:rPr>
          <w:spacing w:val="-2"/>
          <w:w w:val="105"/>
        </w:rPr>
        <w:t xml:space="preserve"> </w:t>
      </w:r>
      <w:r>
        <w:rPr>
          <w:w w:val="105"/>
        </w:rPr>
        <w:t>the</w:t>
      </w:r>
      <w:r>
        <w:rPr>
          <w:spacing w:val="-15"/>
          <w:w w:val="105"/>
        </w:rPr>
        <w:t xml:space="preserve"> </w:t>
      </w:r>
      <w:r>
        <w:rPr>
          <w:w w:val="105"/>
        </w:rPr>
        <w:t>150</w:t>
      </w:r>
      <w:r>
        <w:rPr>
          <w:spacing w:val="-15"/>
          <w:w w:val="105"/>
        </w:rPr>
        <w:t xml:space="preserve"> </w:t>
      </w:r>
      <w:r>
        <w:rPr>
          <w:w w:val="105"/>
        </w:rPr>
        <w:t>DSM-IV</w:t>
      </w:r>
      <w:r>
        <w:rPr>
          <w:spacing w:val="-2"/>
          <w:w w:val="105"/>
        </w:rPr>
        <w:t xml:space="preserve"> </w:t>
      </w:r>
      <w:r>
        <w:rPr>
          <w:w w:val="105"/>
        </w:rPr>
        <w:t>literature</w:t>
      </w:r>
      <w:r>
        <w:rPr>
          <w:spacing w:val="-1"/>
          <w:w w:val="105"/>
        </w:rPr>
        <w:t xml:space="preserve"> </w:t>
      </w:r>
      <w:r>
        <w:rPr>
          <w:w w:val="105"/>
        </w:rPr>
        <w:t>reviews.</w:t>
      </w:r>
      <w:r>
        <w:rPr>
          <w:spacing w:val="-6"/>
          <w:w w:val="105"/>
        </w:rPr>
        <w:t xml:space="preserve"> </w:t>
      </w:r>
      <w:r>
        <w:rPr>
          <w:w w:val="105"/>
        </w:rPr>
        <w:t>The</w:t>
      </w:r>
      <w:r>
        <w:rPr>
          <w:spacing w:val="-12"/>
          <w:w w:val="105"/>
        </w:rPr>
        <w:t xml:space="preserve"> </w:t>
      </w:r>
      <w:r>
        <w:rPr>
          <w:w w:val="105"/>
        </w:rPr>
        <w:t>fourth volume contains reports of the data reanalyses, and the fifth volume contains reports of the field trials and a final executive summary of the rationale for the decisions made by each Work Group. In addition, many papers were stimulated by the efforts toward empirical documentation in DSM-IV, and these have been published in peer-reviewed journals.</w:t>
      </w:r>
    </w:p>
    <w:p w:rsidR="00E675F0" w:rsidRDefault="00E675F0" w:rsidP="00E675F0">
      <w:pPr>
        <w:spacing w:before="153"/>
        <w:ind w:left="33" w:right="3"/>
        <w:jc w:val="center"/>
        <w:rPr>
          <w:b/>
          <w:sz w:val="38"/>
        </w:rPr>
      </w:pPr>
      <w:r>
        <w:rPr>
          <w:b/>
          <w:spacing w:val="-1"/>
          <w:w w:val="103"/>
          <w:sz w:val="28"/>
        </w:rPr>
        <w:t>Relatio</w:t>
      </w:r>
      <w:r>
        <w:rPr>
          <w:b/>
          <w:w w:val="103"/>
          <w:sz w:val="28"/>
        </w:rPr>
        <w:t>n</w:t>
      </w:r>
      <w:r>
        <w:rPr>
          <w:b/>
          <w:spacing w:val="17"/>
          <w:sz w:val="28"/>
        </w:rPr>
        <w:t xml:space="preserve"> </w:t>
      </w:r>
      <w:r>
        <w:rPr>
          <w:b/>
          <w:w w:val="108"/>
          <w:sz w:val="28"/>
        </w:rPr>
        <w:t>to</w:t>
      </w:r>
      <w:r>
        <w:rPr>
          <w:b/>
          <w:spacing w:val="-17"/>
          <w:sz w:val="28"/>
        </w:rPr>
        <w:t xml:space="preserve"> </w:t>
      </w:r>
      <w:r>
        <w:rPr>
          <w:rFonts w:ascii="Arial"/>
          <w:b/>
          <w:spacing w:val="-1"/>
          <w:w w:val="84"/>
          <w:sz w:val="33"/>
        </w:rPr>
        <w:t>1c</w:t>
      </w:r>
      <w:r>
        <w:rPr>
          <w:rFonts w:ascii="Arial"/>
          <w:b/>
          <w:spacing w:val="-15"/>
          <w:w w:val="84"/>
          <w:sz w:val="33"/>
        </w:rPr>
        <w:t>o</w:t>
      </w:r>
      <w:r>
        <w:rPr>
          <w:rFonts w:ascii="Arial"/>
          <w:b/>
          <w:spacing w:val="-1"/>
          <w:w w:val="38"/>
          <w:sz w:val="33"/>
        </w:rPr>
        <w:t>..</w:t>
      </w:r>
      <w:r>
        <w:rPr>
          <w:rFonts w:ascii="Arial"/>
          <w:b/>
          <w:spacing w:val="25"/>
          <w:w w:val="38"/>
          <w:sz w:val="33"/>
        </w:rPr>
        <w:t>.</w:t>
      </w:r>
      <w:r>
        <w:rPr>
          <w:b/>
          <w:spacing w:val="24"/>
          <w:w w:val="75"/>
          <w:sz w:val="28"/>
        </w:rPr>
        <w:t>1</w:t>
      </w:r>
      <w:r>
        <w:rPr>
          <w:b/>
          <w:w w:val="87"/>
          <w:sz w:val="38"/>
        </w:rPr>
        <w:t>o</w:t>
      </w:r>
    </w:p>
    <w:p w:rsidR="00E675F0" w:rsidRDefault="00E675F0" w:rsidP="00E675F0">
      <w:pPr>
        <w:spacing w:before="188" w:line="252" w:lineRule="auto"/>
        <w:ind w:left="33" w:right="23"/>
        <w:jc w:val="center"/>
        <w:rPr>
          <w:sz w:val="20"/>
        </w:rPr>
      </w:pPr>
      <w:r>
        <w:rPr>
          <w:w w:val="105"/>
          <w:sz w:val="20"/>
        </w:rPr>
        <w:t xml:space="preserve">The tenth revision of the </w:t>
      </w:r>
      <w:r>
        <w:rPr>
          <w:i/>
          <w:w w:val="105"/>
          <w:sz w:val="20"/>
        </w:rPr>
        <w:t>International Statistical Classification of Diseases and Related Health</w:t>
      </w:r>
      <w:r>
        <w:rPr>
          <w:i/>
          <w:spacing w:val="-24"/>
          <w:w w:val="105"/>
          <w:sz w:val="20"/>
        </w:rPr>
        <w:t xml:space="preserve"> </w:t>
      </w:r>
      <w:r>
        <w:rPr>
          <w:i/>
          <w:w w:val="105"/>
          <w:sz w:val="20"/>
        </w:rPr>
        <w:t>Problems</w:t>
      </w:r>
      <w:r>
        <w:rPr>
          <w:i/>
          <w:spacing w:val="-26"/>
          <w:w w:val="105"/>
          <w:sz w:val="20"/>
        </w:rPr>
        <w:t xml:space="preserve"> </w:t>
      </w:r>
      <w:r>
        <w:rPr>
          <w:w w:val="105"/>
          <w:sz w:val="20"/>
        </w:rPr>
        <w:t>(ICD-10),</w:t>
      </w:r>
      <w:r>
        <w:rPr>
          <w:spacing w:val="-1"/>
          <w:w w:val="105"/>
          <w:sz w:val="20"/>
        </w:rPr>
        <w:t xml:space="preserve"> </w:t>
      </w:r>
      <w:r>
        <w:rPr>
          <w:w w:val="105"/>
          <w:sz w:val="20"/>
        </w:rPr>
        <w:t>developed</w:t>
      </w:r>
      <w:r>
        <w:rPr>
          <w:spacing w:val="-2"/>
          <w:w w:val="105"/>
          <w:sz w:val="20"/>
        </w:rPr>
        <w:t xml:space="preserve"> </w:t>
      </w:r>
      <w:r>
        <w:rPr>
          <w:w w:val="105"/>
          <w:sz w:val="20"/>
        </w:rPr>
        <w:t>by</w:t>
      </w:r>
      <w:r>
        <w:rPr>
          <w:spacing w:val="-19"/>
          <w:w w:val="105"/>
          <w:sz w:val="20"/>
        </w:rPr>
        <w:t xml:space="preserve"> </w:t>
      </w:r>
      <w:r>
        <w:rPr>
          <w:w w:val="105"/>
          <w:sz w:val="20"/>
        </w:rPr>
        <w:t>WHO,</w:t>
      </w:r>
      <w:r>
        <w:rPr>
          <w:spacing w:val="-11"/>
          <w:w w:val="105"/>
          <w:sz w:val="20"/>
        </w:rPr>
        <w:t xml:space="preserve"> </w:t>
      </w:r>
      <w:r>
        <w:rPr>
          <w:w w:val="105"/>
          <w:sz w:val="20"/>
        </w:rPr>
        <w:t>was</w:t>
      </w:r>
      <w:r>
        <w:rPr>
          <w:spacing w:val="-11"/>
          <w:w w:val="105"/>
          <w:sz w:val="20"/>
        </w:rPr>
        <w:t xml:space="preserve"> </w:t>
      </w:r>
      <w:r>
        <w:rPr>
          <w:w w:val="105"/>
          <w:sz w:val="20"/>
        </w:rPr>
        <w:t>published</w:t>
      </w:r>
      <w:r>
        <w:rPr>
          <w:spacing w:val="-1"/>
          <w:w w:val="105"/>
          <w:sz w:val="20"/>
        </w:rPr>
        <w:t xml:space="preserve"> </w:t>
      </w:r>
      <w:r>
        <w:rPr>
          <w:w w:val="105"/>
          <w:sz w:val="20"/>
        </w:rPr>
        <w:t>in</w:t>
      </w:r>
      <w:r>
        <w:rPr>
          <w:spacing w:val="-18"/>
          <w:w w:val="105"/>
          <w:sz w:val="20"/>
        </w:rPr>
        <w:t xml:space="preserve"> </w:t>
      </w:r>
      <w:r>
        <w:rPr>
          <w:w w:val="105"/>
          <w:sz w:val="20"/>
        </w:rPr>
        <w:t>1992,</w:t>
      </w:r>
      <w:r>
        <w:rPr>
          <w:spacing w:val="-8"/>
          <w:w w:val="105"/>
          <w:sz w:val="20"/>
        </w:rPr>
        <w:t xml:space="preserve"> </w:t>
      </w:r>
      <w:r>
        <w:rPr>
          <w:w w:val="105"/>
          <w:sz w:val="20"/>
        </w:rPr>
        <w:t>but</w:t>
      </w:r>
      <w:r>
        <w:rPr>
          <w:spacing w:val="-11"/>
          <w:w w:val="105"/>
          <w:sz w:val="20"/>
        </w:rPr>
        <w:t xml:space="preserve"> </w:t>
      </w:r>
      <w:r>
        <w:rPr>
          <w:w w:val="105"/>
          <w:sz w:val="20"/>
        </w:rPr>
        <w:t>will</w:t>
      </w:r>
      <w:r>
        <w:rPr>
          <w:spacing w:val="-9"/>
          <w:w w:val="105"/>
          <w:sz w:val="20"/>
        </w:rPr>
        <w:t xml:space="preserve"> </w:t>
      </w:r>
      <w:r>
        <w:rPr>
          <w:w w:val="105"/>
          <w:sz w:val="20"/>
        </w:rPr>
        <w:t>probably</w:t>
      </w:r>
    </w:p>
    <w:p w:rsidR="00E675F0" w:rsidRDefault="00E675F0" w:rsidP="00E675F0">
      <w:pPr>
        <w:spacing w:line="252" w:lineRule="auto"/>
        <w:jc w:val="center"/>
        <w:rPr>
          <w:sz w:val="20"/>
        </w:rPr>
        <w:sectPr w:rsidR="00E675F0">
          <w:headerReference w:type="even" r:id="rId28"/>
          <w:headerReference w:type="default" r:id="rId29"/>
          <w:pgSz w:w="8960" w:h="14260"/>
          <w:pgMar w:top="1400" w:right="620" w:bottom="280" w:left="600" w:header="696" w:footer="0" w:gutter="0"/>
          <w:cols w:space="720"/>
        </w:sectPr>
      </w:pPr>
    </w:p>
    <w:p w:rsidR="00E675F0" w:rsidRDefault="00E675F0" w:rsidP="00E675F0">
      <w:pPr>
        <w:pStyle w:val="BodyText"/>
        <w:spacing w:before="124" w:line="252" w:lineRule="auto"/>
        <w:ind w:left="103" w:right="126" w:firstLine="8"/>
        <w:jc w:val="both"/>
      </w:pPr>
      <w:r>
        <w:rPr>
          <w:w w:val="105"/>
        </w:rPr>
        <w:lastRenderedPageBreak/>
        <w:t>not come into official use in the United States until the late 1990s. Those preparing ICD-10 and DSM-IV have worked closely to coordinate their efforts, resulting in much mutual influence. ICD-10 consists of an official coding system and other related clinical and research documents and instruments. The codes and terms provided in DSM-IV are fully compatible with both ICD-9-CM and ICD-10 (see Appendix H). The clinical and research drafts of ICD-10 were thoroughly reviewed by the DSM-IV Work Groups and suggested important topics for DSM-IV literature reviews and data reanalyses. Draft versions of the ICD-10 Diagnostic Criteria for Research were included as alternatives to be</w:t>
      </w:r>
      <w:r>
        <w:rPr>
          <w:spacing w:val="-32"/>
          <w:w w:val="105"/>
        </w:rPr>
        <w:t xml:space="preserve"> </w:t>
      </w:r>
      <w:r>
        <w:rPr>
          <w:w w:val="105"/>
        </w:rPr>
        <w:t>compared</w:t>
      </w:r>
      <w:r>
        <w:rPr>
          <w:spacing w:val="-25"/>
          <w:w w:val="105"/>
        </w:rPr>
        <w:t xml:space="preserve"> </w:t>
      </w:r>
      <w:r>
        <w:rPr>
          <w:w w:val="105"/>
        </w:rPr>
        <w:t>with</w:t>
      </w:r>
      <w:r>
        <w:rPr>
          <w:spacing w:val="-27"/>
          <w:w w:val="105"/>
        </w:rPr>
        <w:t xml:space="preserve"> </w:t>
      </w:r>
      <w:r>
        <w:rPr>
          <w:w w:val="105"/>
        </w:rPr>
        <w:t>DSM-III,</w:t>
      </w:r>
      <w:r>
        <w:rPr>
          <w:spacing w:val="-25"/>
          <w:w w:val="105"/>
        </w:rPr>
        <w:t xml:space="preserve"> </w:t>
      </w:r>
      <w:r>
        <w:rPr>
          <w:w w:val="105"/>
        </w:rPr>
        <w:t>DSM-III-R,</w:t>
      </w:r>
      <w:r>
        <w:rPr>
          <w:spacing w:val="-24"/>
          <w:w w:val="105"/>
        </w:rPr>
        <w:t xml:space="preserve"> </w:t>
      </w:r>
      <w:r>
        <w:rPr>
          <w:w w:val="105"/>
        </w:rPr>
        <w:t>and</w:t>
      </w:r>
      <w:r>
        <w:rPr>
          <w:spacing w:val="-30"/>
          <w:w w:val="105"/>
        </w:rPr>
        <w:t xml:space="preserve"> </w:t>
      </w:r>
      <w:r>
        <w:rPr>
          <w:w w:val="105"/>
        </w:rPr>
        <w:t>suggested</w:t>
      </w:r>
      <w:r>
        <w:rPr>
          <w:spacing w:val="-24"/>
          <w:w w:val="105"/>
        </w:rPr>
        <w:t xml:space="preserve"> </w:t>
      </w:r>
      <w:r>
        <w:rPr>
          <w:w w:val="105"/>
        </w:rPr>
        <w:t>DSM-IV</w:t>
      </w:r>
      <w:r>
        <w:rPr>
          <w:spacing w:val="-29"/>
          <w:w w:val="105"/>
        </w:rPr>
        <w:t xml:space="preserve"> </w:t>
      </w:r>
      <w:r>
        <w:rPr>
          <w:w w:val="105"/>
        </w:rPr>
        <w:t>criteria</w:t>
      </w:r>
      <w:r>
        <w:rPr>
          <w:spacing w:val="-29"/>
          <w:w w:val="105"/>
        </w:rPr>
        <w:t xml:space="preserve"> </w:t>
      </w:r>
      <w:r>
        <w:rPr>
          <w:w w:val="105"/>
        </w:rPr>
        <w:t>sets</w:t>
      </w:r>
      <w:r>
        <w:rPr>
          <w:spacing w:val="-31"/>
          <w:w w:val="105"/>
        </w:rPr>
        <w:t xml:space="preserve"> </w:t>
      </w:r>
      <w:r>
        <w:rPr>
          <w:w w:val="105"/>
        </w:rPr>
        <w:t>in</w:t>
      </w:r>
      <w:r>
        <w:rPr>
          <w:spacing w:val="-31"/>
          <w:w w:val="105"/>
        </w:rPr>
        <w:t xml:space="preserve"> </w:t>
      </w:r>
      <w:r>
        <w:rPr>
          <w:w w:val="105"/>
        </w:rPr>
        <w:t>the</w:t>
      </w:r>
      <w:r>
        <w:rPr>
          <w:spacing w:val="-30"/>
          <w:w w:val="105"/>
        </w:rPr>
        <w:t xml:space="preserve"> </w:t>
      </w:r>
      <w:r>
        <w:rPr>
          <w:w w:val="105"/>
        </w:rPr>
        <w:t>DSM-IV field trials. The many consultations between the developers of DSM-IV and ICD-10 (which were facilitated by NIMH, NIDA, and NIAAA) were enormously useful in increasing the congruence and reducing meaningless  differences in wording between the two</w:t>
      </w:r>
      <w:r>
        <w:rPr>
          <w:spacing w:val="14"/>
          <w:w w:val="105"/>
        </w:rPr>
        <w:t xml:space="preserve"> </w:t>
      </w:r>
      <w:r>
        <w:rPr>
          <w:w w:val="105"/>
        </w:rPr>
        <w:t>systems.</w:t>
      </w:r>
    </w:p>
    <w:p w:rsidR="00E675F0" w:rsidRDefault="00E675F0" w:rsidP="00E675F0">
      <w:pPr>
        <w:pStyle w:val="BodyText"/>
        <w:rPr>
          <w:sz w:val="22"/>
        </w:rPr>
      </w:pPr>
    </w:p>
    <w:p w:rsidR="00E675F0" w:rsidRDefault="00E675F0" w:rsidP="00E675F0">
      <w:pPr>
        <w:pStyle w:val="BodyText"/>
        <w:spacing w:before="2"/>
        <w:rPr>
          <w:sz w:val="27"/>
        </w:rPr>
      </w:pPr>
    </w:p>
    <w:p w:rsidR="00E675F0" w:rsidRDefault="00E675F0" w:rsidP="00E675F0">
      <w:pPr>
        <w:ind w:left="882" w:right="899"/>
        <w:jc w:val="center"/>
        <w:rPr>
          <w:rFonts w:ascii="TimesNewRomanPS-BoldItalicMT"/>
          <w:b/>
          <w:i/>
          <w:sz w:val="30"/>
        </w:rPr>
      </w:pPr>
      <w:r>
        <w:rPr>
          <w:b/>
          <w:sz w:val="28"/>
        </w:rPr>
        <w:t xml:space="preserve">Definition of </w:t>
      </w:r>
      <w:r>
        <w:rPr>
          <w:rFonts w:ascii="TimesNewRomanPS-BoldItalicMT"/>
          <w:b/>
          <w:i/>
          <w:sz w:val="30"/>
        </w:rPr>
        <w:t>Mental Disorder</w:t>
      </w:r>
    </w:p>
    <w:p w:rsidR="00E675F0" w:rsidRDefault="00E675F0" w:rsidP="00E675F0">
      <w:pPr>
        <w:pStyle w:val="BodyText"/>
        <w:spacing w:before="1"/>
        <w:rPr>
          <w:rFonts w:ascii="TimesNewRomanPS-BoldItalicMT"/>
          <w:b/>
          <w:i/>
          <w:sz w:val="27"/>
        </w:rPr>
      </w:pPr>
    </w:p>
    <w:p w:rsidR="00E675F0" w:rsidRDefault="00E675F0" w:rsidP="00E675F0">
      <w:pPr>
        <w:pStyle w:val="BodyText"/>
        <w:spacing w:line="254" w:lineRule="auto"/>
        <w:ind w:left="106" w:right="128" w:hanging="5"/>
        <w:jc w:val="both"/>
      </w:pPr>
      <w:r>
        <w:rPr>
          <w:w w:val="105"/>
        </w:rPr>
        <w:t>Although</w:t>
      </w:r>
      <w:r>
        <w:rPr>
          <w:spacing w:val="-1"/>
          <w:w w:val="105"/>
        </w:rPr>
        <w:t xml:space="preserve"> </w:t>
      </w:r>
      <w:r>
        <w:rPr>
          <w:w w:val="105"/>
        </w:rPr>
        <w:t>this</w:t>
      </w:r>
      <w:r>
        <w:rPr>
          <w:spacing w:val="-15"/>
          <w:w w:val="105"/>
        </w:rPr>
        <w:t xml:space="preserve"> </w:t>
      </w:r>
      <w:r>
        <w:rPr>
          <w:w w:val="105"/>
        </w:rPr>
        <w:t>volume</w:t>
      </w:r>
      <w:r>
        <w:rPr>
          <w:spacing w:val="-6"/>
          <w:w w:val="105"/>
        </w:rPr>
        <w:t xml:space="preserve"> </w:t>
      </w:r>
      <w:r>
        <w:rPr>
          <w:w w:val="105"/>
        </w:rPr>
        <w:t>is</w:t>
      </w:r>
      <w:r>
        <w:rPr>
          <w:spacing w:val="-15"/>
          <w:w w:val="105"/>
        </w:rPr>
        <w:t xml:space="preserve"> </w:t>
      </w:r>
      <w:r>
        <w:rPr>
          <w:w w:val="105"/>
        </w:rPr>
        <w:t>titled</w:t>
      </w:r>
      <w:r>
        <w:rPr>
          <w:spacing w:val="-8"/>
          <w:w w:val="105"/>
        </w:rPr>
        <w:t xml:space="preserve"> </w:t>
      </w:r>
      <w:r>
        <w:rPr>
          <w:w w:val="105"/>
        </w:rPr>
        <w:t>the</w:t>
      </w:r>
      <w:r>
        <w:rPr>
          <w:spacing w:val="-5"/>
          <w:w w:val="105"/>
        </w:rPr>
        <w:t xml:space="preserve"> </w:t>
      </w:r>
      <w:r>
        <w:rPr>
          <w:i/>
          <w:w w:val="105"/>
        </w:rPr>
        <w:t>Diagnostic</w:t>
      </w:r>
      <w:r>
        <w:rPr>
          <w:i/>
          <w:spacing w:val="-10"/>
          <w:w w:val="105"/>
        </w:rPr>
        <w:t xml:space="preserve"> </w:t>
      </w:r>
      <w:r>
        <w:rPr>
          <w:i/>
          <w:w w:val="105"/>
        </w:rPr>
        <w:t>and</w:t>
      </w:r>
      <w:r>
        <w:rPr>
          <w:i/>
          <w:spacing w:val="14"/>
          <w:w w:val="105"/>
        </w:rPr>
        <w:t xml:space="preserve"> </w:t>
      </w:r>
      <w:r>
        <w:rPr>
          <w:i/>
          <w:w w:val="105"/>
        </w:rPr>
        <w:t>Statistical</w:t>
      </w:r>
      <w:r>
        <w:rPr>
          <w:i/>
          <w:spacing w:val="-24"/>
          <w:w w:val="105"/>
        </w:rPr>
        <w:t xml:space="preserve"> </w:t>
      </w:r>
      <w:r>
        <w:rPr>
          <w:i/>
          <w:w w:val="105"/>
        </w:rPr>
        <w:t>Manual</w:t>
      </w:r>
      <w:r>
        <w:rPr>
          <w:i/>
          <w:spacing w:val="-20"/>
          <w:w w:val="105"/>
        </w:rPr>
        <w:t xml:space="preserve"> </w:t>
      </w:r>
      <w:r>
        <w:rPr>
          <w:i/>
          <w:w w:val="105"/>
        </w:rPr>
        <w:t>of</w:t>
      </w:r>
      <w:r>
        <w:rPr>
          <w:i/>
          <w:spacing w:val="-32"/>
          <w:w w:val="105"/>
        </w:rPr>
        <w:t xml:space="preserve"> </w:t>
      </w:r>
      <w:r>
        <w:rPr>
          <w:i/>
          <w:w w:val="105"/>
        </w:rPr>
        <w:t>Mental</w:t>
      </w:r>
      <w:r>
        <w:rPr>
          <w:i/>
          <w:spacing w:val="-20"/>
          <w:w w:val="105"/>
        </w:rPr>
        <w:t xml:space="preserve"> </w:t>
      </w:r>
      <w:r>
        <w:rPr>
          <w:i/>
          <w:w w:val="105"/>
        </w:rPr>
        <w:t xml:space="preserve">Disorders, </w:t>
      </w:r>
      <w:r>
        <w:rPr>
          <w:w w:val="105"/>
        </w:rPr>
        <w:t xml:space="preserve">the term </w:t>
      </w:r>
      <w:r>
        <w:rPr>
          <w:i/>
          <w:w w:val="105"/>
        </w:rPr>
        <w:t xml:space="preserve">mental disorder </w:t>
      </w:r>
      <w:r>
        <w:rPr>
          <w:w w:val="105"/>
        </w:rPr>
        <w:t>unfortunately implies a distinction between "mental" disorders and "physical" disorders that is a reductionistic anachronism of mind/body dualism. A compelling literature documents that there is much "physical" in "mental" disorders and much</w:t>
      </w:r>
      <w:r>
        <w:rPr>
          <w:spacing w:val="-16"/>
          <w:w w:val="105"/>
        </w:rPr>
        <w:t xml:space="preserve"> </w:t>
      </w:r>
      <w:r>
        <w:rPr>
          <w:w w:val="105"/>
        </w:rPr>
        <w:t>"mental"</w:t>
      </w:r>
      <w:r>
        <w:rPr>
          <w:spacing w:val="-11"/>
          <w:w w:val="105"/>
        </w:rPr>
        <w:t xml:space="preserve"> </w:t>
      </w:r>
      <w:r>
        <w:rPr>
          <w:w w:val="105"/>
        </w:rPr>
        <w:t>in</w:t>
      </w:r>
      <w:r>
        <w:rPr>
          <w:spacing w:val="-20"/>
          <w:w w:val="105"/>
        </w:rPr>
        <w:t xml:space="preserve"> </w:t>
      </w:r>
      <w:r>
        <w:rPr>
          <w:w w:val="105"/>
        </w:rPr>
        <w:t>"physical"</w:t>
      </w:r>
      <w:r>
        <w:rPr>
          <w:spacing w:val="-14"/>
          <w:w w:val="105"/>
        </w:rPr>
        <w:t xml:space="preserve"> </w:t>
      </w:r>
      <w:r>
        <w:rPr>
          <w:w w:val="105"/>
        </w:rPr>
        <w:t>disorders.</w:t>
      </w:r>
      <w:r>
        <w:rPr>
          <w:spacing w:val="-17"/>
          <w:w w:val="105"/>
        </w:rPr>
        <w:t xml:space="preserve"> </w:t>
      </w:r>
      <w:r>
        <w:rPr>
          <w:w w:val="105"/>
        </w:rPr>
        <w:t>The</w:t>
      </w:r>
      <w:r>
        <w:rPr>
          <w:spacing w:val="-13"/>
          <w:w w:val="105"/>
        </w:rPr>
        <w:t xml:space="preserve"> </w:t>
      </w:r>
      <w:r>
        <w:rPr>
          <w:w w:val="105"/>
        </w:rPr>
        <w:t>problem</w:t>
      </w:r>
      <w:r>
        <w:rPr>
          <w:spacing w:val="-8"/>
          <w:w w:val="105"/>
        </w:rPr>
        <w:t xml:space="preserve"> </w:t>
      </w:r>
      <w:r>
        <w:rPr>
          <w:w w:val="105"/>
        </w:rPr>
        <w:t>raised</w:t>
      </w:r>
      <w:r>
        <w:rPr>
          <w:spacing w:val="-10"/>
          <w:w w:val="105"/>
        </w:rPr>
        <w:t xml:space="preserve"> </w:t>
      </w:r>
      <w:r>
        <w:rPr>
          <w:w w:val="105"/>
        </w:rPr>
        <w:t>by</w:t>
      </w:r>
      <w:r>
        <w:rPr>
          <w:spacing w:val="-18"/>
          <w:w w:val="105"/>
        </w:rPr>
        <w:t xml:space="preserve"> </w:t>
      </w:r>
      <w:r>
        <w:rPr>
          <w:w w:val="105"/>
        </w:rPr>
        <w:t>the</w:t>
      </w:r>
      <w:r>
        <w:rPr>
          <w:spacing w:val="-18"/>
          <w:w w:val="105"/>
        </w:rPr>
        <w:t xml:space="preserve"> </w:t>
      </w:r>
      <w:r>
        <w:rPr>
          <w:w w:val="105"/>
        </w:rPr>
        <w:t>term</w:t>
      </w:r>
      <w:r>
        <w:rPr>
          <w:spacing w:val="-17"/>
          <w:w w:val="105"/>
        </w:rPr>
        <w:t xml:space="preserve"> </w:t>
      </w:r>
      <w:r>
        <w:rPr>
          <w:w w:val="105"/>
        </w:rPr>
        <w:t>"mental"</w:t>
      </w:r>
      <w:r>
        <w:rPr>
          <w:spacing w:val="-13"/>
          <w:w w:val="105"/>
        </w:rPr>
        <w:t xml:space="preserve"> </w:t>
      </w:r>
      <w:r>
        <w:rPr>
          <w:w w:val="105"/>
        </w:rPr>
        <w:t>disorders has been much clearer than its solution, and, unfortunately, the term persists in the title of</w:t>
      </w:r>
      <w:r>
        <w:rPr>
          <w:spacing w:val="15"/>
          <w:w w:val="105"/>
        </w:rPr>
        <w:t xml:space="preserve"> </w:t>
      </w:r>
      <w:r>
        <w:rPr>
          <w:w w:val="105"/>
        </w:rPr>
        <w:t>DSM-IV</w:t>
      </w:r>
      <w:r>
        <w:rPr>
          <w:spacing w:val="16"/>
          <w:w w:val="105"/>
        </w:rPr>
        <w:t xml:space="preserve"> </w:t>
      </w:r>
      <w:r>
        <w:rPr>
          <w:w w:val="105"/>
        </w:rPr>
        <w:t>because</w:t>
      </w:r>
      <w:r>
        <w:rPr>
          <w:spacing w:val="15"/>
          <w:w w:val="105"/>
        </w:rPr>
        <w:t xml:space="preserve"> </w:t>
      </w:r>
      <w:r>
        <w:rPr>
          <w:w w:val="105"/>
        </w:rPr>
        <w:t>we</w:t>
      </w:r>
      <w:r>
        <w:rPr>
          <w:spacing w:val="15"/>
          <w:w w:val="105"/>
        </w:rPr>
        <w:t xml:space="preserve"> </w:t>
      </w:r>
      <w:r>
        <w:rPr>
          <w:w w:val="105"/>
        </w:rPr>
        <w:t>have</w:t>
      </w:r>
      <w:r>
        <w:rPr>
          <w:spacing w:val="16"/>
          <w:w w:val="105"/>
        </w:rPr>
        <w:t xml:space="preserve"> </w:t>
      </w:r>
      <w:r>
        <w:rPr>
          <w:w w:val="105"/>
        </w:rPr>
        <w:t>not</w:t>
      </w:r>
      <w:r>
        <w:rPr>
          <w:spacing w:val="12"/>
          <w:w w:val="105"/>
        </w:rPr>
        <w:t xml:space="preserve"> </w:t>
      </w:r>
      <w:r>
        <w:rPr>
          <w:w w:val="105"/>
        </w:rPr>
        <w:t>found</w:t>
      </w:r>
      <w:r>
        <w:rPr>
          <w:spacing w:val="13"/>
          <w:w w:val="105"/>
        </w:rPr>
        <w:t xml:space="preserve"> </w:t>
      </w:r>
      <w:r>
        <w:rPr>
          <w:w w:val="105"/>
        </w:rPr>
        <w:t>an</w:t>
      </w:r>
      <w:r>
        <w:rPr>
          <w:spacing w:val="14"/>
          <w:w w:val="105"/>
        </w:rPr>
        <w:t xml:space="preserve"> </w:t>
      </w:r>
      <w:r>
        <w:rPr>
          <w:w w:val="105"/>
        </w:rPr>
        <w:t>appropriate</w:t>
      </w:r>
      <w:r>
        <w:rPr>
          <w:spacing w:val="22"/>
          <w:w w:val="105"/>
        </w:rPr>
        <w:t xml:space="preserve"> </w:t>
      </w:r>
      <w:r>
        <w:rPr>
          <w:w w:val="105"/>
        </w:rPr>
        <w:t>substitute.</w:t>
      </w:r>
    </w:p>
    <w:p w:rsidR="00E675F0" w:rsidRDefault="00E675F0" w:rsidP="00E675F0">
      <w:pPr>
        <w:pStyle w:val="BodyText"/>
        <w:spacing w:line="252" w:lineRule="auto"/>
        <w:ind w:left="103" w:right="124" w:firstLine="362"/>
        <w:jc w:val="both"/>
      </w:pPr>
      <w:r>
        <w:rPr>
          <w:w w:val="105"/>
        </w:rPr>
        <w:t>Moreover,</w:t>
      </w:r>
      <w:r>
        <w:rPr>
          <w:spacing w:val="-1"/>
          <w:w w:val="105"/>
        </w:rPr>
        <w:t xml:space="preserve"> </w:t>
      </w:r>
      <w:r>
        <w:rPr>
          <w:w w:val="105"/>
        </w:rPr>
        <w:t>although</w:t>
      </w:r>
      <w:r>
        <w:rPr>
          <w:spacing w:val="-1"/>
          <w:w w:val="105"/>
        </w:rPr>
        <w:t xml:space="preserve"> </w:t>
      </w:r>
      <w:r>
        <w:rPr>
          <w:w w:val="105"/>
        </w:rPr>
        <w:t>this</w:t>
      </w:r>
      <w:r>
        <w:rPr>
          <w:spacing w:val="-10"/>
          <w:w w:val="105"/>
        </w:rPr>
        <w:t xml:space="preserve"> </w:t>
      </w:r>
      <w:r>
        <w:rPr>
          <w:w w:val="105"/>
        </w:rPr>
        <w:t>manual</w:t>
      </w:r>
      <w:r>
        <w:rPr>
          <w:spacing w:val="-1"/>
          <w:w w:val="105"/>
        </w:rPr>
        <w:t xml:space="preserve"> </w:t>
      </w:r>
      <w:r>
        <w:rPr>
          <w:w w:val="105"/>
        </w:rPr>
        <w:t>provides</w:t>
      </w:r>
      <w:r>
        <w:rPr>
          <w:spacing w:val="-11"/>
          <w:w w:val="105"/>
        </w:rPr>
        <w:t xml:space="preserve"> </w:t>
      </w:r>
      <w:r>
        <w:rPr>
          <w:w w:val="105"/>
        </w:rPr>
        <w:t>a</w:t>
      </w:r>
      <w:r>
        <w:rPr>
          <w:spacing w:val="-13"/>
          <w:w w:val="105"/>
        </w:rPr>
        <w:t xml:space="preserve"> </w:t>
      </w:r>
      <w:r>
        <w:rPr>
          <w:w w:val="105"/>
        </w:rPr>
        <w:t>classification</w:t>
      </w:r>
      <w:r>
        <w:rPr>
          <w:spacing w:val="-16"/>
          <w:w w:val="105"/>
        </w:rPr>
        <w:t xml:space="preserve"> </w:t>
      </w:r>
      <w:r>
        <w:rPr>
          <w:w w:val="105"/>
        </w:rPr>
        <w:t>of</w:t>
      </w:r>
      <w:r>
        <w:rPr>
          <w:spacing w:val="-5"/>
          <w:w w:val="105"/>
        </w:rPr>
        <w:t xml:space="preserve"> </w:t>
      </w:r>
      <w:r>
        <w:rPr>
          <w:w w:val="105"/>
        </w:rPr>
        <w:t>mental</w:t>
      </w:r>
      <w:r>
        <w:rPr>
          <w:spacing w:val="-8"/>
          <w:w w:val="105"/>
        </w:rPr>
        <w:t xml:space="preserve"> </w:t>
      </w:r>
      <w:r>
        <w:rPr>
          <w:w w:val="105"/>
        </w:rPr>
        <w:t>disorders,</w:t>
      </w:r>
      <w:r>
        <w:rPr>
          <w:spacing w:val="1"/>
          <w:w w:val="105"/>
        </w:rPr>
        <w:t xml:space="preserve"> </w:t>
      </w:r>
      <w:r>
        <w:rPr>
          <w:w w:val="105"/>
        </w:rPr>
        <w:t>it</w:t>
      </w:r>
      <w:r>
        <w:rPr>
          <w:spacing w:val="-12"/>
          <w:w w:val="105"/>
        </w:rPr>
        <w:t xml:space="preserve"> </w:t>
      </w:r>
      <w:r>
        <w:rPr>
          <w:w w:val="105"/>
        </w:rPr>
        <w:t>must be admitted that no definition adequately specifies  precise boundaries  for the concept of "mental disorder." The concept of mental disorder, like many other concepts in medicine and science, lacks a consistent operational definition that covers all situations. All medical conditions are defined on various levels of abstraction-for example, structural pathology (e.g., ulcerative colitis), symptom presentation (e.g., migraine), deviance from a physiological norm (e.g., hypertension), and etiology (e.g., pneumo­ coccal pneumonia). Mental disorders have also been defined by a variety of concepts (e.g., distress, dyscontrol, disadvantage, disability, inflexibility, irrationality, syndromal pattern, etiology, and statistical deviation). Each is a useful indicator for a mental disorder, but none is equivalent to the concept, and different situations call for different definitions.</w:t>
      </w:r>
    </w:p>
    <w:p w:rsidR="00E675F0" w:rsidRDefault="00E675F0" w:rsidP="00E675F0">
      <w:pPr>
        <w:pStyle w:val="BodyText"/>
        <w:spacing w:line="254" w:lineRule="auto"/>
        <w:ind w:left="103" w:right="114" w:firstLine="367"/>
        <w:jc w:val="both"/>
      </w:pPr>
      <w:r>
        <w:rPr>
          <w:w w:val="110"/>
        </w:rPr>
        <w:t>Despite</w:t>
      </w:r>
      <w:r>
        <w:rPr>
          <w:spacing w:val="-32"/>
          <w:w w:val="110"/>
        </w:rPr>
        <w:t xml:space="preserve"> </w:t>
      </w:r>
      <w:r>
        <w:rPr>
          <w:w w:val="110"/>
        </w:rPr>
        <w:t>these</w:t>
      </w:r>
      <w:r>
        <w:rPr>
          <w:spacing w:val="-36"/>
          <w:w w:val="110"/>
        </w:rPr>
        <w:t xml:space="preserve"> </w:t>
      </w:r>
      <w:r>
        <w:rPr>
          <w:w w:val="110"/>
        </w:rPr>
        <w:t>caveats,</w:t>
      </w:r>
      <w:r>
        <w:rPr>
          <w:spacing w:val="-30"/>
          <w:w w:val="110"/>
        </w:rPr>
        <w:t xml:space="preserve"> </w:t>
      </w:r>
      <w:r>
        <w:rPr>
          <w:w w:val="110"/>
        </w:rPr>
        <w:t>the</w:t>
      </w:r>
      <w:r>
        <w:rPr>
          <w:spacing w:val="-37"/>
          <w:w w:val="110"/>
        </w:rPr>
        <w:t xml:space="preserve"> </w:t>
      </w:r>
      <w:r>
        <w:rPr>
          <w:w w:val="110"/>
        </w:rPr>
        <w:t>definition</w:t>
      </w:r>
      <w:r>
        <w:rPr>
          <w:spacing w:val="-32"/>
          <w:w w:val="110"/>
        </w:rPr>
        <w:t xml:space="preserve"> </w:t>
      </w:r>
      <w:r>
        <w:rPr>
          <w:w w:val="110"/>
        </w:rPr>
        <w:t>of</w:t>
      </w:r>
      <w:r>
        <w:rPr>
          <w:spacing w:val="-24"/>
          <w:w w:val="110"/>
        </w:rPr>
        <w:t xml:space="preserve"> </w:t>
      </w:r>
      <w:r>
        <w:rPr>
          <w:i/>
          <w:w w:val="110"/>
        </w:rPr>
        <w:t>mentaldisorderthat</w:t>
      </w:r>
      <w:r>
        <w:rPr>
          <w:i/>
          <w:spacing w:val="-36"/>
          <w:w w:val="110"/>
        </w:rPr>
        <w:t xml:space="preserve"> </w:t>
      </w:r>
      <w:r>
        <w:rPr>
          <w:w w:val="110"/>
        </w:rPr>
        <w:t>was</w:t>
      </w:r>
      <w:r>
        <w:rPr>
          <w:spacing w:val="-36"/>
          <w:w w:val="110"/>
        </w:rPr>
        <w:t xml:space="preserve"> </w:t>
      </w:r>
      <w:r>
        <w:rPr>
          <w:w w:val="110"/>
        </w:rPr>
        <w:t>included</w:t>
      </w:r>
      <w:r>
        <w:rPr>
          <w:spacing w:val="-31"/>
          <w:w w:val="110"/>
        </w:rPr>
        <w:t xml:space="preserve"> </w:t>
      </w:r>
      <w:r>
        <w:rPr>
          <w:w w:val="110"/>
        </w:rPr>
        <w:t>in</w:t>
      </w:r>
      <w:r>
        <w:rPr>
          <w:spacing w:val="-36"/>
          <w:w w:val="110"/>
        </w:rPr>
        <w:t xml:space="preserve"> </w:t>
      </w:r>
      <w:r>
        <w:rPr>
          <w:w w:val="110"/>
        </w:rPr>
        <w:t>DSM-III and</w:t>
      </w:r>
      <w:r>
        <w:rPr>
          <w:spacing w:val="-20"/>
          <w:w w:val="110"/>
        </w:rPr>
        <w:t xml:space="preserve"> </w:t>
      </w:r>
      <w:r>
        <w:rPr>
          <w:w w:val="110"/>
        </w:rPr>
        <w:t>DSM-III-R</w:t>
      </w:r>
      <w:r>
        <w:rPr>
          <w:spacing w:val="-14"/>
          <w:w w:val="110"/>
        </w:rPr>
        <w:t xml:space="preserve"> </w:t>
      </w:r>
      <w:r>
        <w:rPr>
          <w:w w:val="110"/>
        </w:rPr>
        <w:t>is</w:t>
      </w:r>
      <w:r>
        <w:rPr>
          <w:spacing w:val="-22"/>
          <w:w w:val="110"/>
        </w:rPr>
        <w:t xml:space="preserve"> </w:t>
      </w:r>
      <w:r>
        <w:rPr>
          <w:w w:val="110"/>
        </w:rPr>
        <w:t>presented</w:t>
      </w:r>
      <w:r>
        <w:rPr>
          <w:spacing w:val="-14"/>
          <w:w w:val="110"/>
        </w:rPr>
        <w:t xml:space="preserve"> </w:t>
      </w:r>
      <w:r>
        <w:rPr>
          <w:w w:val="110"/>
        </w:rPr>
        <w:t>here</w:t>
      </w:r>
      <w:r>
        <w:rPr>
          <w:spacing w:val="-19"/>
          <w:w w:val="110"/>
        </w:rPr>
        <w:t xml:space="preserve"> </w:t>
      </w:r>
      <w:r>
        <w:rPr>
          <w:w w:val="110"/>
        </w:rPr>
        <w:t>because</w:t>
      </w:r>
      <w:r>
        <w:rPr>
          <w:spacing w:val="-16"/>
          <w:w w:val="110"/>
        </w:rPr>
        <w:t xml:space="preserve"> </w:t>
      </w:r>
      <w:r>
        <w:rPr>
          <w:w w:val="110"/>
        </w:rPr>
        <w:t>it</w:t>
      </w:r>
      <w:r>
        <w:rPr>
          <w:spacing w:val="-21"/>
          <w:w w:val="110"/>
        </w:rPr>
        <w:t xml:space="preserve"> </w:t>
      </w:r>
      <w:r>
        <w:rPr>
          <w:w w:val="110"/>
        </w:rPr>
        <w:t>is</w:t>
      </w:r>
      <w:r>
        <w:rPr>
          <w:spacing w:val="-27"/>
          <w:w w:val="110"/>
        </w:rPr>
        <w:t xml:space="preserve"> </w:t>
      </w:r>
      <w:r>
        <w:rPr>
          <w:w w:val="110"/>
        </w:rPr>
        <w:t>as</w:t>
      </w:r>
      <w:r>
        <w:rPr>
          <w:spacing w:val="-22"/>
          <w:w w:val="110"/>
        </w:rPr>
        <w:t xml:space="preserve"> </w:t>
      </w:r>
      <w:r>
        <w:rPr>
          <w:w w:val="110"/>
        </w:rPr>
        <w:t>useful</w:t>
      </w:r>
      <w:r>
        <w:rPr>
          <w:spacing w:val="-21"/>
          <w:w w:val="110"/>
        </w:rPr>
        <w:t xml:space="preserve"> </w:t>
      </w:r>
      <w:r>
        <w:rPr>
          <w:w w:val="110"/>
        </w:rPr>
        <w:t>as</w:t>
      </w:r>
      <w:r>
        <w:rPr>
          <w:spacing w:val="-19"/>
          <w:w w:val="110"/>
        </w:rPr>
        <w:t xml:space="preserve"> </w:t>
      </w:r>
      <w:r>
        <w:rPr>
          <w:w w:val="110"/>
        </w:rPr>
        <w:t>any</w:t>
      </w:r>
      <w:r>
        <w:rPr>
          <w:spacing w:val="-25"/>
          <w:w w:val="110"/>
        </w:rPr>
        <w:t xml:space="preserve"> </w:t>
      </w:r>
      <w:r>
        <w:rPr>
          <w:w w:val="110"/>
        </w:rPr>
        <w:t>other</w:t>
      </w:r>
      <w:r>
        <w:rPr>
          <w:spacing w:val="-23"/>
          <w:w w:val="110"/>
        </w:rPr>
        <w:t xml:space="preserve"> </w:t>
      </w:r>
      <w:r>
        <w:rPr>
          <w:w w:val="110"/>
        </w:rPr>
        <w:t>available</w:t>
      </w:r>
      <w:r>
        <w:rPr>
          <w:spacing w:val="-20"/>
          <w:w w:val="110"/>
        </w:rPr>
        <w:t xml:space="preserve"> </w:t>
      </w:r>
      <w:r>
        <w:rPr>
          <w:w w:val="110"/>
        </w:rPr>
        <w:t>definition and</w:t>
      </w:r>
      <w:r>
        <w:rPr>
          <w:spacing w:val="-20"/>
          <w:w w:val="110"/>
        </w:rPr>
        <w:t xml:space="preserve"> </w:t>
      </w:r>
      <w:r>
        <w:rPr>
          <w:w w:val="110"/>
        </w:rPr>
        <w:t>has</w:t>
      </w:r>
      <w:r>
        <w:rPr>
          <w:spacing w:val="-21"/>
          <w:w w:val="110"/>
        </w:rPr>
        <w:t xml:space="preserve"> </w:t>
      </w:r>
      <w:r>
        <w:rPr>
          <w:w w:val="110"/>
        </w:rPr>
        <w:t>helped</w:t>
      </w:r>
      <w:r>
        <w:rPr>
          <w:spacing w:val="-18"/>
          <w:w w:val="110"/>
        </w:rPr>
        <w:t xml:space="preserve"> </w:t>
      </w:r>
      <w:r>
        <w:rPr>
          <w:w w:val="110"/>
        </w:rPr>
        <w:t>to</w:t>
      </w:r>
      <w:r>
        <w:rPr>
          <w:spacing w:val="-29"/>
          <w:w w:val="110"/>
        </w:rPr>
        <w:t xml:space="preserve"> </w:t>
      </w:r>
      <w:r>
        <w:rPr>
          <w:w w:val="110"/>
        </w:rPr>
        <w:t>guide</w:t>
      </w:r>
      <w:r>
        <w:rPr>
          <w:spacing w:val="-22"/>
          <w:w w:val="110"/>
        </w:rPr>
        <w:t xml:space="preserve"> </w:t>
      </w:r>
      <w:r>
        <w:rPr>
          <w:w w:val="110"/>
        </w:rPr>
        <w:t>decisions</w:t>
      </w:r>
      <w:r>
        <w:rPr>
          <w:spacing w:val="-14"/>
          <w:w w:val="110"/>
        </w:rPr>
        <w:t xml:space="preserve"> </w:t>
      </w:r>
      <w:r>
        <w:rPr>
          <w:w w:val="110"/>
        </w:rPr>
        <w:t>regarding</w:t>
      </w:r>
      <w:r>
        <w:rPr>
          <w:spacing w:val="-20"/>
          <w:w w:val="110"/>
        </w:rPr>
        <w:t xml:space="preserve"> </w:t>
      </w:r>
      <w:r>
        <w:rPr>
          <w:w w:val="110"/>
        </w:rPr>
        <w:t>which</w:t>
      </w:r>
      <w:r>
        <w:rPr>
          <w:spacing w:val="-22"/>
          <w:w w:val="110"/>
        </w:rPr>
        <w:t xml:space="preserve"> </w:t>
      </w:r>
      <w:r>
        <w:rPr>
          <w:w w:val="110"/>
        </w:rPr>
        <w:t>conditions</w:t>
      </w:r>
      <w:r>
        <w:rPr>
          <w:spacing w:val="-17"/>
          <w:w w:val="110"/>
        </w:rPr>
        <w:t xml:space="preserve"> </w:t>
      </w:r>
      <w:r>
        <w:rPr>
          <w:w w:val="110"/>
        </w:rPr>
        <w:t>on</w:t>
      </w:r>
      <w:r>
        <w:rPr>
          <w:spacing w:val="-15"/>
          <w:w w:val="110"/>
        </w:rPr>
        <w:t xml:space="preserve"> </w:t>
      </w:r>
      <w:r>
        <w:rPr>
          <w:w w:val="110"/>
        </w:rPr>
        <w:t>the</w:t>
      </w:r>
      <w:r>
        <w:rPr>
          <w:spacing w:val="-23"/>
          <w:w w:val="110"/>
        </w:rPr>
        <w:t xml:space="preserve"> </w:t>
      </w:r>
      <w:r>
        <w:rPr>
          <w:w w:val="110"/>
        </w:rPr>
        <w:t>boundary</w:t>
      </w:r>
      <w:r>
        <w:rPr>
          <w:spacing w:val="-16"/>
          <w:w w:val="110"/>
        </w:rPr>
        <w:t xml:space="preserve"> </w:t>
      </w:r>
      <w:r>
        <w:rPr>
          <w:w w:val="110"/>
        </w:rPr>
        <w:t>between normality</w:t>
      </w:r>
      <w:r>
        <w:rPr>
          <w:spacing w:val="-29"/>
          <w:w w:val="110"/>
        </w:rPr>
        <w:t xml:space="preserve"> </w:t>
      </w:r>
      <w:r>
        <w:rPr>
          <w:w w:val="110"/>
        </w:rPr>
        <w:t>and</w:t>
      </w:r>
      <w:r>
        <w:rPr>
          <w:spacing w:val="-16"/>
          <w:w w:val="110"/>
        </w:rPr>
        <w:t xml:space="preserve"> </w:t>
      </w:r>
      <w:r>
        <w:rPr>
          <w:w w:val="110"/>
        </w:rPr>
        <w:t>pathology</w:t>
      </w:r>
      <w:r>
        <w:rPr>
          <w:spacing w:val="-30"/>
          <w:w w:val="110"/>
        </w:rPr>
        <w:t xml:space="preserve"> </w:t>
      </w:r>
      <w:r>
        <w:rPr>
          <w:w w:val="110"/>
        </w:rPr>
        <w:t>should</w:t>
      </w:r>
      <w:r>
        <w:rPr>
          <w:spacing w:val="-26"/>
          <w:w w:val="110"/>
        </w:rPr>
        <w:t xml:space="preserve"> </w:t>
      </w:r>
      <w:r>
        <w:rPr>
          <w:w w:val="110"/>
        </w:rPr>
        <w:t>be</w:t>
      </w:r>
      <w:r>
        <w:rPr>
          <w:spacing w:val="-28"/>
          <w:w w:val="110"/>
        </w:rPr>
        <w:t xml:space="preserve"> </w:t>
      </w:r>
      <w:r>
        <w:rPr>
          <w:w w:val="110"/>
        </w:rPr>
        <w:t>included</w:t>
      </w:r>
      <w:r>
        <w:rPr>
          <w:spacing w:val="-22"/>
          <w:w w:val="110"/>
        </w:rPr>
        <w:t xml:space="preserve"> </w:t>
      </w:r>
      <w:r>
        <w:rPr>
          <w:w w:val="110"/>
        </w:rPr>
        <w:t>in</w:t>
      </w:r>
      <w:r>
        <w:rPr>
          <w:spacing w:val="-29"/>
          <w:w w:val="110"/>
        </w:rPr>
        <w:t xml:space="preserve"> </w:t>
      </w:r>
      <w:r>
        <w:rPr>
          <w:w w:val="110"/>
        </w:rPr>
        <w:t>DSM-IV.</w:t>
      </w:r>
      <w:r>
        <w:rPr>
          <w:spacing w:val="-27"/>
          <w:w w:val="110"/>
        </w:rPr>
        <w:t xml:space="preserve"> </w:t>
      </w:r>
      <w:r>
        <w:rPr>
          <w:w w:val="110"/>
        </w:rPr>
        <w:t>In</w:t>
      </w:r>
      <w:r>
        <w:rPr>
          <w:spacing w:val="-29"/>
          <w:w w:val="110"/>
        </w:rPr>
        <w:t xml:space="preserve"> </w:t>
      </w:r>
      <w:r>
        <w:rPr>
          <w:w w:val="110"/>
        </w:rPr>
        <w:t>DSM-IV,</w:t>
      </w:r>
      <w:r>
        <w:rPr>
          <w:spacing w:val="-25"/>
          <w:w w:val="110"/>
        </w:rPr>
        <w:t xml:space="preserve"> </w:t>
      </w:r>
      <w:r>
        <w:rPr>
          <w:w w:val="110"/>
        </w:rPr>
        <w:t>each</w:t>
      </w:r>
      <w:r>
        <w:rPr>
          <w:spacing w:val="-30"/>
          <w:w w:val="110"/>
        </w:rPr>
        <w:t xml:space="preserve"> </w:t>
      </w:r>
      <w:r>
        <w:rPr>
          <w:w w:val="110"/>
        </w:rPr>
        <w:t>of</w:t>
      </w:r>
      <w:r>
        <w:rPr>
          <w:spacing w:val="-27"/>
          <w:w w:val="110"/>
        </w:rPr>
        <w:t xml:space="preserve"> </w:t>
      </w:r>
      <w:r>
        <w:rPr>
          <w:w w:val="110"/>
        </w:rPr>
        <w:t>the</w:t>
      </w:r>
      <w:r>
        <w:rPr>
          <w:spacing w:val="-30"/>
          <w:w w:val="110"/>
        </w:rPr>
        <w:t xml:space="preserve"> </w:t>
      </w:r>
      <w:r>
        <w:rPr>
          <w:w w:val="110"/>
        </w:rPr>
        <w:t>mental disorders is conceptualized as a clinically significant behavioral or psychological syndrome or pattern that occurs in an individual and that is associated with present distress</w:t>
      </w:r>
      <w:r>
        <w:rPr>
          <w:spacing w:val="-33"/>
          <w:w w:val="110"/>
        </w:rPr>
        <w:t xml:space="preserve"> </w:t>
      </w:r>
      <w:r>
        <w:rPr>
          <w:w w:val="110"/>
        </w:rPr>
        <w:t>(e.g.,</w:t>
      </w:r>
      <w:r>
        <w:rPr>
          <w:spacing w:val="-31"/>
          <w:w w:val="110"/>
        </w:rPr>
        <w:t xml:space="preserve"> </w:t>
      </w:r>
      <w:r>
        <w:rPr>
          <w:w w:val="110"/>
        </w:rPr>
        <w:t>a</w:t>
      </w:r>
      <w:r>
        <w:rPr>
          <w:spacing w:val="-26"/>
          <w:w w:val="110"/>
        </w:rPr>
        <w:t xml:space="preserve"> </w:t>
      </w:r>
      <w:r>
        <w:rPr>
          <w:w w:val="110"/>
        </w:rPr>
        <w:t>painful</w:t>
      </w:r>
      <w:r>
        <w:rPr>
          <w:spacing w:val="-31"/>
          <w:w w:val="110"/>
        </w:rPr>
        <w:t xml:space="preserve"> </w:t>
      </w:r>
      <w:r>
        <w:rPr>
          <w:w w:val="110"/>
        </w:rPr>
        <w:t>symptom)</w:t>
      </w:r>
      <w:r>
        <w:rPr>
          <w:spacing w:val="-30"/>
          <w:w w:val="110"/>
        </w:rPr>
        <w:t xml:space="preserve"> </w:t>
      </w:r>
      <w:r>
        <w:rPr>
          <w:w w:val="110"/>
        </w:rPr>
        <w:t>or</w:t>
      </w:r>
      <w:r>
        <w:rPr>
          <w:spacing w:val="-31"/>
          <w:w w:val="110"/>
        </w:rPr>
        <w:t xml:space="preserve"> </w:t>
      </w:r>
      <w:r>
        <w:rPr>
          <w:w w:val="110"/>
        </w:rPr>
        <w:t>disability</w:t>
      </w:r>
      <w:r>
        <w:rPr>
          <w:spacing w:val="-30"/>
          <w:w w:val="110"/>
        </w:rPr>
        <w:t xml:space="preserve"> </w:t>
      </w:r>
      <w:r>
        <w:rPr>
          <w:w w:val="110"/>
        </w:rPr>
        <w:t>(i.e.,</w:t>
      </w:r>
      <w:r>
        <w:rPr>
          <w:spacing w:val="-30"/>
          <w:w w:val="110"/>
        </w:rPr>
        <w:t xml:space="preserve"> </w:t>
      </w:r>
      <w:r>
        <w:rPr>
          <w:w w:val="110"/>
        </w:rPr>
        <w:t>impairment</w:t>
      </w:r>
      <w:r>
        <w:rPr>
          <w:spacing w:val="-20"/>
          <w:w w:val="110"/>
        </w:rPr>
        <w:t xml:space="preserve"> </w:t>
      </w:r>
      <w:r>
        <w:rPr>
          <w:w w:val="110"/>
        </w:rPr>
        <w:t>in</w:t>
      </w:r>
      <w:r>
        <w:rPr>
          <w:spacing w:val="-34"/>
          <w:w w:val="110"/>
        </w:rPr>
        <w:t xml:space="preserve"> </w:t>
      </w:r>
      <w:r>
        <w:rPr>
          <w:w w:val="110"/>
        </w:rPr>
        <w:t>one</w:t>
      </w:r>
      <w:r>
        <w:rPr>
          <w:spacing w:val="-23"/>
          <w:w w:val="110"/>
        </w:rPr>
        <w:t xml:space="preserve"> </w:t>
      </w:r>
      <w:r>
        <w:rPr>
          <w:w w:val="110"/>
        </w:rPr>
        <w:t>or</w:t>
      </w:r>
      <w:r>
        <w:rPr>
          <w:spacing w:val="-30"/>
          <w:w w:val="110"/>
        </w:rPr>
        <w:t xml:space="preserve"> </w:t>
      </w:r>
      <w:r>
        <w:rPr>
          <w:w w:val="110"/>
        </w:rPr>
        <w:t>more</w:t>
      </w:r>
      <w:r>
        <w:rPr>
          <w:spacing w:val="-30"/>
          <w:w w:val="110"/>
        </w:rPr>
        <w:t xml:space="preserve"> </w:t>
      </w:r>
      <w:r>
        <w:rPr>
          <w:w w:val="110"/>
        </w:rPr>
        <w:t>important areas of functioning) or with a significantly increased risk of suffering death, pain, disability,</w:t>
      </w:r>
      <w:r>
        <w:rPr>
          <w:spacing w:val="-1"/>
          <w:w w:val="110"/>
        </w:rPr>
        <w:t xml:space="preserve"> </w:t>
      </w:r>
      <w:r>
        <w:rPr>
          <w:w w:val="110"/>
        </w:rPr>
        <w:t>or</w:t>
      </w:r>
      <w:r>
        <w:rPr>
          <w:spacing w:val="-11"/>
          <w:w w:val="110"/>
        </w:rPr>
        <w:t xml:space="preserve"> </w:t>
      </w:r>
      <w:r>
        <w:rPr>
          <w:w w:val="110"/>
        </w:rPr>
        <w:t>an</w:t>
      </w:r>
      <w:r>
        <w:rPr>
          <w:spacing w:val="-4"/>
          <w:w w:val="110"/>
        </w:rPr>
        <w:t xml:space="preserve"> </w:t>
      </w:r>
      <w:r>
        <w:rPr>
          <w:w w:val="110"/>
        </w:rPr>
        <w:t>important</w:t>
      </w:r>
      <w:r>
        <w:rPr>
          <w:spacing w:val="-5"/>
          <w:w w:val="110"/>
        </w:rPr>
        <w:t xml:space="preserve"> </w:t>
      </w:r>
      <w:r>
        <w:rPr>
          <w:w w:val="110"/>
        </w:rPr>
        <w:t>loss</w:t>
      </w:r>
      <w:r>
        <w:rPr>
          <w:spacing w:val="-12"/>
          <w:w w:val="110"/>
        </w:rPr>
        <w:t xml:space="preserve"> </w:t>
      </w:r>
      <w:r>
        <w:rPr>
          <w:w w:val="110"/>
        </w:rPr>
        <w:t>of</w:t>
      </w:r>
      <w:r>
        <w:rPr>
          <w:spacing w:val="-5"/>
          <w:w w:val="110"/>
        </w:rPr>
        <w:t xml:space="preserve"> </w:t>
      </w:r>
      <w:r>
        <w:rPr>
          <w:w w:val="110"/>
        </w:rPr>
        <w:t>freedom.</w:t>
      </w:r>
      <w:r>
        <w:rPr>
          <w:spacing w:val="-2"/>
          <w:w w:val="110"/>
        </w:rPr>
        <w:t xml:space="preserve"> </w:t>
      </w:r>
      <w:r>
        <w:rPr>
          <w:w w:val="110"/>
        </w:rPr>
        <w:t>In</w:t>
      </w:r>
      <w:r>
        <w:rPr>
          <w:spacing w:val="-10"/>
          <w:w w:val="110"/>
        </w:rPr>
        <w:t xml:space="preserve"> </w:t>
      </w:r>
      <w:r>
        <w:rPr>
          <w:w w:val="110"/>
        </w:rPr>
        <w:t>addition,</w:t>
      </w:r>
      <w:r>
        <w:rPr>
          <w:spacing w:val="3"/>
          <w:w w:val="110"/>
        </w:rPr>
        <w:t xml:space="preserve"> </w:t>
      </w:r>
      <w:r>
        <w:rPr>
          <w:w w:val="110"/>
        </w:rPr>
        <w:t>this</w:t>
      </w:r>
      <w:r>
        <w:rPr>
          <w:spacing w:val="-13"/>
          <w:w w:val="110"/>
        </w:rPr>
        <w:t xml:space="preserve"> </w:t>
      </w:r>
      <w:r>
        <w:rPr>
          <w:w w:val="110"/>
        </w:rPr>
        <w:t>syndrome</w:t>
      </w:r>
      <w:r>
        <w:rPr>
          <w:spacing w:val="-4"/>
          <w:w w:val="110"/>
        </w:rPr>
        <w:t xml:space="preserve"> </w:t>
      </w:r>
      <w:r>
        <w:rPr>
          <w:w w:val="110"/>
        </w:rPr>
        <w:t>or</w:t>
      </w:r>
      <w:r>
        <w:rPr>
          <w:spacing w:val="-6"/>
          <w:w w:val="110"/>
        </w:rPr>
        <w:t xml:space="preserve"> </w:t>
      </w:r>
      <w:r>
        <w:rPr>
          <w:w w:val="110"/>
        </w:rPr>
        <w:t>pattern must not be merely an expectable and culturally sanctioned response to a particular event, for</w:t>
      </w:r>
      <w:r>
        <w:rPr>
          <w:spacing w:val="-17"/>
          <w:w w:val="110"/>
        </w:rPr>
        <w:t xml:space="preserve"> </w:t>
      </w:r>
      <w:r>
        <w:rPr>
          <w:w w:val="110"/>
        </w:rPr>
        <w:t>example,</w:t>
      </w:r>
      <w:r>
        <w:rPr>
          <w:spacing w:val="-8"/>
          <w:w w:val="110"/>
        </w:rPr>
        <w:t xml:space="preserve"> </w:t>
      </w:r>
      <w:r>
        <w:rPr>
          <w:w w:val="110"/>
        </w:rPr>
        <w:t>the</w:t>
      </w:r>
      <w:r>
        <w:rPr>
          <w:spacing w:val="-9"/>
          <w:w w:val="110"/>
        </w:rPr>
        <w:t xml:space="preserve"> </w:t>
      </w:r>
      <w:r>
        <w:rPr>
          <w:w w:val="110"/>
        </w:rPr>
        <w:t>death</w:t>
      </w:r>
      <w:r>
        <w:rPr>
          <w:spacing w:val="-13"/>
          <w:w w:val="110"/>
        </w:rPr>
        <w:t xml:space="preserve"> </w:t>
      </w:r>
      <w:r>
        <w:rPr>
          <w:w w:val="110"/>
        </w:rPr>
        <w:t>of</w:t>
      </w:r>
      <w:r>
        <w:rPr>
          <w:spacing w:val="-10"/>
          <w:w w:val="110"/>
        </w:rPr>
        <w:t xml:space="preserve"> </w:t>
      </w:r>
      <w:r>
        <w:rPr>
          <w:w w:val="110"/>
        </w:rPr>
        <w:t>a</w:t>
      </w:r>
      <w:r>
        <w:rPr>
          <w:spacing w:val="-16"/>
          <w:w w:val="110"/>
        </w:rPr>
        <w:t xml:space="preserve"> </w:t>
      </w:r>
      <w:r>
        <w:rPr>
          <w:w w:val="110"/>
        </w:rPr>
        <w:t>loved</w:t>
      </w:r>
      <w:r>
        <w:rPr>
          <w:spacing w:val="-9"/>
          <w:w w:val="110"/>
        </w:rPr>
        <w:t xml:space="preserve"> </w:t>
      </w:r>
      <w:r>
        <w:rPr>
          <w:w w:val="110"/>
        </w:rPr>
        <w:t>one.</w:t>
      </w:r>
      <w:r>
        <w:rPr>
          <w:spacing w:val="-17"/>
          <w:w w:val="110"/>
        </w:rPr>
        <w:t xml:space="preserve"> </w:t>
      </w:r>
      <w:r>
        <w:rPr>
          <w:w w:val="110"/>
        </w:rPr>
        <w:t>Whatever</w:t>
      </w:r>
      <w:r>
        <w:rPr>
          <w:spacing w:val="-6"/>
          <w:w w:val="110"/>
        </w:rPr>
        <w:t xml:space="preserve"> </w:t>
      </w:r>
      <w:r>
        <w:rPr>
          <w:w w:val="110"/>
        </w:rPr>
        <w:t>its</w:t>
      </w:r>
      <w:r>
        <w:rPr>
          <w:spacing w:val="-15"/>
          <w:w w:val="110"/>
        </w:rPr>
        <w:t xml:space="preserve"> </w:t>
      </w:r>
      <w:r>
        <w:rPr>
          <w:w w:val="110"/>
        </w:rPr>
        <w:t>original</w:t>
      </w:r>
      <w:r>
        <w:rPr>
          <w:spacing w:val="-10"/>
          <w:w w:val="110"/>
        </w:rPr>
        <w:t xml:space="preserve"> </w:t>
      </w:r>
      <w:r>
        <w:rPr>
          <w:w w:val="110"/>
        </w:rPr>
        <w:t>cause,</w:t>
      </w:r>
      <w:r>
        <w:rPr>
          <w:spacing w:val="-7"/>
          <w:w w:val="110"/>
        </w:rPr>
        <w:t xml:space="preserve"> </w:t>
      </w:r>
      <w:r>
        <w:rPr>
          <w:w w:val="110"/>
        </w:rPr>
        <w:t>it</w:t>
      </w:r>
      <w:r>
        <w:rPr>
          <w:spacing w:val="-11"/>
          <w:w w:val="110"/>
        </w:rPr>
        <w:t xml:space="preserve"> </w:t>
      </w:r>
      <w:r>
        <w:rPr>
          <w:w w:val="110"/>
        </w:rPr>
        <w:t>must</w:t>
      </w:r>
      <w:r>
        <w:rPr>
          <w:spacing w:val="-15"/>
          <w:w w:val="110"/>
        </w:rPr>
        <w:t xml:space="preserve"> </w:t>
      </w:r>
      <w:r>
        <w:rPr>
          <w:w w:val="110"/>
        </w:rPr>
        <w:t>currently be considered</w:t>
      </w:r>
      <w:r>
        <w:rPr>
          <w:spacing w:val="-11"/>
          <w:w w:val="110"/>
        </w:rPr>
        <w:t xml:space="preserve"> </w:t>
      </w:r>
      <w:r>
        <w:rPr>
          <w:w w:val="110"/>
        </w:rPr>
        <w:t>a</w:t>
      </w:r>
      <w:r>
        <w:rPr>
          <w:spacing w:val="-17"/>
          <w:w w:val="110"/>
        </w:rPr>
        <w:t xml:space="preserve"> </w:t>
      </w:r>
      <w:r>
        <w:rPr>
          <w:w w:val="110"/>
        </w:rPr>
        <w:t>manifestation</w:t>
      </w:r>
      <w:r>
        <w:rPr>
          <w:spacing w:val="-12"/>
          <w:w w:val="110"/>
        </w:rPr>
        <w:t xml:space="preserve"> </w:t>
      </w:r>
      <w:r>
        <w:rPr>
          <w:w w:val="110"/>
        </w:rPr>
        <w:t>of</w:t>
      </w:r>
      <w:r>
        <w:rPr>
          <w:spacing w:val="-15"/>
          <w:w w:val="110"/>
        </w:rPr>
        <w:t xml:space="preserve"> </w:t>
      </w:r>
      <w:r>
        <w:rPr>
          <w:w w:val="110"/>
        </w:rPr>
        <w:t>a</w:t>
      </w:r>
      <w:r>
        <w:rPr>
          <w:spacing w:val="-15"/>
          <w:w w:val="110"/>
        </w:rPr>
        <w:t xml:space="preserve"> </w:t>
      </w:r>
      <w:r>
        <w:rPr>
          <w:w w:val="110"/>
        </w:rPr>
        <w:t>behavioral,</w:t>
      </w:r>
      <w:r>
        <w:rPr>
          <w:spacing w:val="-8"/>
          <w:w w:val="110"/>
        </w:rPr>
        <w:t xml:space="preserve"> </w:t>
      </w:r>
      <w:r>
        <w:rPr>
          <w:w w:val="110"/>
        </w:rPr>
        <w:t>psychological,</w:t>
      </w:r>
      <w:r>
        <w:rPr>
          <w:spacing w:val="-26"/>
          <w:w w:val="110"/>
        </w:rPr>
        <w:t xml:space="preserve"> </w:t>
      </w:r>
      <w:r>
        <w:rPr>
          <w:w w:val="110"/>
        </w:rPr>
        <w:t>or</w:t>
      </w:r>
      <w:r>
        <w:rPr>
          <w:spacing w:val="-17"/>
          <w:w w:val="110"/>
        </w:rPr>
        <w:t xml:space="preserve"> </w:t>
      </w:r>
      <w:r>
        <w:rPr>
          <w:w w:val="110"/>
        </w:rPr>
        <w:t>biological</w:t>
      </w:r>
      <w:r>
        <w:rPr>
          <w:spacing w:val="-14"/>
          <w:w w:val="110"/>
        </w:rPr>
        <w:t xml:space="preserve"> </w:t>
      </w:r>
      <w:r>
        <w:rPr>
          <w:w w:val="110"/>
        </w:rPr>
        <w:t>dysfunction</w:t>
      </w:r>
      <w:r>
        <w:rPr>
          <w:spacing w:val="-12"/>
          <w:w w:val="110"/>
        </w:rPr>
        <w:t xml:space="preserve"> </w:t>
      </w:r>
      <w:r>
        <w:rPr>
          <w:w w:val="110"/>
        </w:rPr>
        <w:t>in</w:t>
      </w:r>
    </w:p>
    <w:p w:rsidR="00E675F0" w:rsidRDefault="00E675F0" w:rsidP="00E675F0">
      <w:pPr>
        <w:spacing w:line="254" w:lineRule="auto"/>
        <w:jc w:val="both"/>
        <w:sectPr w:rsidR="00E675F0">
          <w:pgSz w:w="8960" w:h="14260"/>
          <w:pgMar w:top="1400" w:right="640" w:bottom="280" w:left="620" w:header="694" w:footer="0" w:gutter="0"/>
          <w:cols w:space="720"/>
        </w:sectPr>
      </w:pPr>
    </w:p>
    <w:p w:rsidR="00E675F0" w:rsidRDefault="00E675F0" w:rsidP="00E675F0">
      <w:pPr>
        <w:pStyle w:val="BodyText"/>
        <w:spacing w:before="114" w:line="254" w:lineRule="auto"/>
        <w:ind w:left="122" w:right="98" w:firstLine="4"/>
        <w:jc w:val="right"/>
      </w:pPr>
      <w:r>
        <w:rPr>
          <w:w w:val="105"/>
        </w:rPr>
        <w:lastRenderedPageBreak/>
        <w:t>the individual. Neither deviant behavior (e.g., political, religious, or sexual) nor conflicts</w:t>
      </w:r>
      <w:r>
        <w:rPr>
          <w:w w:val="102"/>
        </w:rPr>
        <w:t xml:space="preserve"> </w:t>
      </w:r>
      <w:r>
        <w:rPr>
          <w:w w:val="105"/>
        </w:rPr>
        <w:t>that are primarily between the individual and society are mental disorders unless the</w:t>
      </w:r>
      <w:r>
        <w:rPr>
          <w:w w:val="110"/>
        </w:rPr>
        <w:t xml:space="preserve"> </w:t>
      </w:r>
      <w:r>
        <w:rPr>
          <w:w w:val="105"/>
        </w:rPr>
        <w:t>deviance or conflict is a symptom of a dysfunction in the individual, as described above.</w:t>
      </w:r>
      <w:r>
        <w:rPr>
          <w:w w:val="108"/>
        </w:rPr>
        <w:t xml:space="preserve"> </w:t>
      </w:r>
      <w:r>
        <w:rPr>
          <w:w w:val="105"/>
        </w:rPr>
        <w:t>A common misconception is that a classification of mental disorders classifies people,</w:t>
      </w:r>
      <w:r>
        <w:rPr>
          <w:w w:val="109"/>
        </w:rPr>
        <w:t xml:space="preserve"> </w:t>
      </w:r>
      <w:r>
        <w:rPr>
          <w:w w:val="105"/>
        </w:rPr>
        <w:t>when actually what are being classified are disorders that people have. For this reason,</w:t>
      </w:r>
      <w:r>
        <w:rPr>
          <w:w w:val="106"/>
        </w:rPr>
        <w:t xml:space="preserve"> </w:t>
      </w:r>
      <w:r>
        <w:rPr>
          <w:w w:val="105"/>
        </w:rPr>
        <w:t>the text of DSM-IV (as did the text of DSM-III-R) avoids the use of such expressions as</w:t>
      </w:r>
      <w:r>
        <w:rPr>
          <w:w w:val="108"/>
        </w:rPr>
        <w:t xml:space="preserve"> </w:t>
      </w:r>
      <w:r>
        <w:rPr>
          <w:w w:val="105"/>
        </w:rPr>
        <w:t>"a schizophrenic" or "an alcoholic" and instead uses the more accurate, but admittedly more cumbersome, "an individual with Schizophrenia" or "an individual with Alcohol</w:t>
      </w:r>
    </w:p>
    <w:p w:rsidR="00E675F0" w:rsidRDefault="00E675F0" w:rsidP="00E675F0">
      <w:pPr>
        <w:pStyle w:val="BodyText"/>
        <w:spacing w:line="222" w:lineRule="exact"/>
        <w:ind w:left="130"/>
      </w:pPr>
      <w:r>
        <w:rPr>
          <w:w w:val="110"/>
        </w:rPr>
        <w:t>Dependence."</w:t>
      </w:r>
    </w:p>
    <w:p w:rsidR="00E675F0" w:rsidRDefault="00E675F0" w:rsidP="00E675F0">
      <w:pPr>
        <w:pStyle w:val="BodyText"/>
        <w:spacing w:before="1"/>
        <w:rPr>
          <w:sz w:val="25"/>
        </w:rPr>
      </w:pPr>
    </w:p>
    <w:p w:rsidR="00E675F0" w:rsidRDefault="00E675F0" w:rsidP="00E675F0">
      <w:pPr>
        <w:spacing w:before="1"/>
        <w:ind w:left="136" w:right="116"/>
        <w:jc w:val="center"/>
        <w:rPr>
          <w:rFonts w:ascii="Arial"/>
          <w:b/>
          <w:sz w:val="25"/>
        </w:rPr>
      </w:pPr>
      <w:r>
        <w:rPr>
          <w:rFonts w:ascii="Arial"/>
          <w:b/>
          <w:w w:val="105"/>
          <w:sz w:val="25"/>
        </w:rPr>
        <w:t>Issues in the Use of DSM-IV</w:t>
      </w:r>
    </w:p>
    <w:p w:rsidR="00E675F0" w:rsidRDefault="00E675F0" w:rsidP="00E675F0">
      <w:pPr>
        <w:spacing w:before="242"/>
        <w:ind w:left="103"/>
        <w:rPr>
          <w:rFonts w:ascii="TimesNewRomanPS-BoldItalicMT"/>
          <w:b/>
          <w:i/>
          <w:sz w:val="24"/>
        </w:rPr>
      </w:pPr>
      <w:r>
        <w:rPr>
          <w:rFonts w:ascii="TimesNewRomanPS-BoldItalicMT"/>
          <w:b/>
          <w:i/>
          <w:w w:val="115"/>
          <w:sz w:val="24"/>
        </w:rPr>
        <w:t>Limitations of the Categorical Approach</w:t>
      </w:r>
    </w:p>
    <w:p w:rsidR="00E675F0" w:rsidRDefault="00E675F0" w:rsidP="00E675F0">
      <w:pPr>
        <w:pStyle w:val="BodyText"/>
        <w:spacing w:before="131" w:line="254" w:lineRule="auto"/>
        <w:ind w:left="116" w:right="108" w:firstLine="8"/>
        <w:jc w:val="both"/>
      </w:pPr>
      <w:r>
        <w:rPr>
          <w:w w:val="105"/>
        </w:rPr>
        <w:t>DSM-IV is a categorical classification that divides mental disorders into types based on criteria sets with defining features. This naming of categories is the traditional  method of</w:t>
      </w:r>
      <w:r>
        <w:rPr>
          <w:spacing w:val="-8"/>
          <w:w w:val="105"/>
        </w:rPr>
        <w:t xml:space="preserve"> </w:t>
      </w:r>
      <w:r>
        <w:rPr>
          <w:w w:val="105"/>
        </w:rPr>
        <w:t>organizing</w:t>
      </w:r>
      <w:r>
        <w:rPr>
          <w:spacing w:val="-9"/>
          <w:w w:val="105"/>
        </w:rPr>
        <w:t xml:space="preserve"> </w:t>
      </w:r>
      <w:r>
        <w:rPr>
          <w:w w:val="105"/>
        </w:rPr>
        <w:t>and</w:t>
      </w:r>
      <w:r>
        <w:rPr>
          <w:spacing w:val="5"/>
          <w:w w:val="105"/>
        </w:rPr>
        <w:t xml:space="preserve"> </w:t>
      </w:r>
      <w:r>
        <w:rPr>
          <w:w w:val="105"/>
        </w:rPr>
        <w:t>transmitting information</w:t>
      </w:r>
      <w:r>
        <w:rPr>
          <w:spacing w:val="-1"/>
          <w:w w:val="105"/>
        </w:rPr>
        <w:t xml:space="preserve"> </w:t>
      </w:r>
      <w:r>
        <w:rPr>
          <w:w w:val="105"/>
        </w:rPr>
        <w:t>in</w:t>
      </w:r>
      <w:r>
        <w:rPr>
          <w:spacing w:val="-16"/>
          <w:w w:val="105"/>
        </w:rPr>
        <w:t xml:space="preserve"> </w:t>
      </w:r>
      <w:r>
        <w:rPr>
          <w:w w:val="105"/>
        </w:rPr>
        <w:t>everyday</w:t>
      </w:r>
      <w:r>
        <w:rPr>
          <w:spacing w:val="-12"/>
          <w:w w:val="105"/>
        </w:rPr>
        <w:t xml:space="preserve"> </w:t>
      </w:r>
      <w:r>
        <w:rPr>
          <w:w w:val="105"/>
        </w:rPr>
        <w:t>life</w:t>
      </w:r>
      <w:r>
        <w:rPr>
          <w:spacing w:val="-18"/>
          <w:w w:val="105"/>
        </w:rPr>
        <w:t xml:space="preserve"> </w:t>
      </w:r>
      <w:r>
        <w:rPr>
          <w:w w:val="105"/>
        </w:rPr>
        <w:t>and</w:t>
      </w:r>
      <w:r>
        <w:rPr>
          <w:spacing w:val="24"/>
          <w:w w:val="105"/>
        </w:rPr>
        <w:t xml:space="preserve"> </w:t>
      </w:r>
      <w:r>
        <w:rPr>
          <w:w w:val="105"/>
        </w:rPr>
        <w:t>has</w:t>
      </w:r>
      <w:r>
        <w:rPr>
          <w:spacing w:val="-13"/>
          <w:w w:val="105"/>
        </w:rPr>
        <w:t xml:space="preserve"> </w:t>
      </w:r>
      <w:r>
        <w:rPr>
          <w:w w:val="105"/>
        </w:rPr>
        <w:t>been</w:t>
      </w:r>
      <w:r>
        <w:rPr>
          <w:spacing w:val="-6"/>
          <w:w w:val="105"/>
        </w:rPr>
        <w:t xml:space="preserve"> </w:t>
      </w:r>
      <w:r>
        <w:rPr>
          <w:w w:val="105"/>
        </w:rPr>
        <w:t>the</w:t>
      </w:r>
      <w:r>
        <w:rPr>
          <w:spacing w:val="-20"/>
          <w:w w:val="105"/>
        </w:rPr>
        <w:t xml:space="preserve"> </w:t>
      </w:r>
      <w:r>
        <w:rPr>
          <w:w w:val="105"/>
        </w:rPr>
        <w:t>fundamental approach used in all systems of medical diagnosis. A categorical approach to classifica­ tion works best when all members of a diagnostic class are homogeneous, when there  are clear boundaries between classes, and when the different classes are mutually exclusive. Nonetheless, the limitations of the categorical classification system must be recognized.</w:t>
      </w:r>
    </w:p>
    <w:p w:rsidR="00E675F0" w:rsidRDefault="00E675F0" w:rsidP="00E675F0">
      <w:pPr>
        <w:pStyle w:val="BodyText"/>
        <w:spacing w:line="252" w:lineRule="auto"/>
        <w:ind w:left="117" w:right="104" w:firstLine="367"/>
        <w:jc w:val="both"/>
      </w:pPr>
      <w:r>
        <w:rPr>
          <w:w w:val="105"/>
        </w:rPr>
        <w:t>In DSM-IV, there is no assumption that each category of mental disorder is a completely discrete entity with absolute boundaries dividing it from other mental disorders or from no mental disorder. There is also no assumption that all individuals described as having the same mental disorder are alike in all important ways. The clinician using DSM-IV should therefore consider that individuals sharing a diagnosis are likely to be heterogeneous even in regard to the defining features of the diagnosis and that boundary cases will be difficult to diagnose in any but a probabilistic fashion. This outlook allows greater flexibility in the use of the system, encourages more specific attention to boundary cases, and emphasizes the need to capture additional clinical information that goes beyond diagnosis. In recognition of the heterogeneity of clinical presentations, DSM-IV often includes polythetic criteria sets, in which the individual need only present with a subset of items from a longer list (e.g., the diagnosis of Borderline Personality Disorder requires only five out of nine</w:t>
      </w:r>
      <w:r>
        <w:rPr>
          <w:spacing w:val="17"/>
          <w:w w:val="105"/>
        </w:rPr>
        <w:t xml:space="preserve"> </w:t>
      </w:r>
      <w:r>
        <w:rPr>
          <w:w w:val="105"/>
        </w:rPr>
        <w:t>items).</w:t>
      </w:r>
    </w:p>
    <w:p w:rsidR="00E675F0" w:rsidRDefault="00E675F0" w:rsidP="00E675F0">
      <w:pPr>
        <w:pStyle w:val="BodyText"/>
        <w:spacing w:line="254" w:lineRule="auto"/>
        <w:ind w:left="111" w:right="108" w:firstLine="373"/>
        <w:jc w:val="both"/>
      </w:pPr>
      <w:r>
        <w:rPr>
          <w:w w:val="105"/>
          <w:sz w:val="19"/>
        </w:rPr>
        <w:t>It</w:t>
      </w:r>
      <w:r>
        <w:rPr>
          <w:spacing w:val="-23"/>
          <w:w w:val="105"/>
          <w:sz w:val="19"/>
        </w:rPr>
        <w:t xml:space="preserve"> </w:t>
      </w:r>
      <w:r>
        <w:rPr>
          <w:w w:val="105"/>
        </w:rPr>
        <w:t>was</w:t>
      </w:r>
      <w:r>
        <w:rPr>
          <w:spacing w:val="-27"/>
          <w:w w:val="105"/>
        </w:rPr>
        <w:t xml:space="preserve"> </w:t>
      </w:r>
      <w:r>
        <w:rPr>
          <w:w w:val="105"/>
        </w:rPr>
        <w:t>suggested</w:t>
      </w:r>
      <w:r>
        <w:rPr>
          <w:spacing w:val="-7"/>
          <w:w w:val="105"/>
        </w:rPr>
        <w:t xml:space="preserve"> </w:t>
      </w:r>
      <w:r>
        <w:rPr>
          <w:w w:val="105"/>
        </w:rPr>
        <w:t>that</w:t>
      </w:r>
      <w:r>
        <w:rPr>
          <w:spacing w:val="-19"/>
          <w:w w:val="105"/>
        </w:rPr>
        <w:t xml:space="preserve"> </w:t>
      </w:r>
      <w:r>
        <w:rPr>
          <w:w w:val="105"/>
        </w:rPr>
        <w:t>the</w:t>
      </w:r>
      <w:r>
        <w:rPr>
          <w:spacing w:val="-19"/>
          <w:w w:val="105"/>
        </w:rPr>
        <w:t xml:space="preserve"> </w:t>
      </w:r>
      <w:r>
        <w:rPr>
          <w:w w:val="105"/>
        </w:rPr>
        <w:t>DSM-IV</w:t>
      </w:r>
      <w:r>
        <w:rPr>
          <w:spacing w:val="-20"/>
          <w:w w:val="105"/>
        </w:rPr>
        <w:t xml:space="preserve"> </w:t>
      </w:r>
      <w:r>
        <w:rPr>
          <w:w w:val="105"/>
        </w:rPr>
        <w:t>Classification</w:t>
      </w:r>
      <w:r>
        <w:rPr>
          <w:spacing w:val="-21"/>
          <w:w w:val="105"/>
        </w:rPr>
        <w:t xml:space="preserve"> </w:t>
      </w:r>
      <w:r>
        <w:rPr>
          <w:w w:val="105"/>
        </w:rPr>
        <w:t>be</w:t>
      </w:r>
      <w:r>
        <w:rPr>
          <w:spacing w:val="-22"/>
          <w:w w:val="105"/>
        </w:rPr>
        <w:t xml:space="preserve"> </w:t>
      </w:r>
      <w:r>
        <w:rPr>
          <w:w w:val="105"/>
        </w:rPr>
        <w:t>organized</w:t>
      </w:r>
      <w:r>
        <w:rPr>
          <w:spacing w:val="-16"/>
          <w:w w:val="105"/>
        </w:rPr>
        <w:t xml:space="preserve"> </w:t>
      </w:r>
      <w:r>
        <w:rPr>
          <w:w w:val="105"/>
        </w:rPr>
        <w:t>following</w:t>
      </w:r>
      <w:r>
        <w:rPr>
          <w:spacing w:val="-10"/>
          <w:w w:val="105"/>
        </w:rPr>
        <w:t xml:space="preserve"> </w:t>
      </w:r>
      <w:r>
        <w:rPr>
          <w:w w:val="105"/>
        </w:rPr>
        <w:t>a</w:t>
      </w:r>
      <w:r>
        <w:rPr>
          <w:spacing w:val="-19"/>
          <w:w w:val="105"/>
        </w:rPr>
        <w:t xml:space="preserve"> </w:t>
      </w:r>
      <w:r>
        <w:rPr>
          <w:w w:val="105"/>
        </w:rPr>
        <w:t>dimensional model rather than the categorical model used in DSM-III-R. A dimensional system classifies clinical presentations based on quantification of attributes rather than the assignment to categories and works best in describing phenomena that are distributed continuously and that do not have clear boundaries. Although dimensional systems increase reliability and communicate more clinical information (because they report clinical attributes that might be subthreshold in a categorical system), they also have serious limitations and thus far have been less useful than categorical systems in clinical practice and in stimulating research. Numerical dimensional descriptions are much less familiar and vivid than are the categorical names for mental disorders. Moreover,  there is as yet no agreement on the choice of the optimal dimensions to be used for classification purposes. Nonetheless, it is possible that the increasing research on, and familiarity with, dimensional systems may eventually result in their greater acceptance both as a method of conveying clinical information and as a research</w:t>
      </w:r>
      <w:r>
        <w:rPr>
          <w:spacing w:val="-22"/>
          <w:w w:val="105"/>
        </w:rPr>
        <w:t xml:space="preserve"> </w:t>
      </w:r>
      <w:r>
        <w:rPr>
          <w:w w:val="105"/>
        </w:rPr>
        <w:t>tool.</w:t>
      </w:r>
    </w:p>
    <w:p w:rsidR="00E675F0" w:rsidRDefault="00E675F0" w:rsidP="00E675F0">
      <w:pPr>
        <w:spacing w:line="254" w:lineRule="auto"/>
        <w:jc w:val="both"/>
        <w:sectPr w:rsidR="00E675F0">
          <w:headerReference w:type="even" r:id="rId30"/>
          <w:headerReference w:type="default" r:id="rId31"/>
          <w:pgSz w:w="8960" w:h="14260"/>
          <w:pgMar w:top="1400" w:right="620" w:bottom="280" w:left="620" w:header="688" w:footer="0" w:gutter="0"/>
          <w:cols w:space="720"/>
        </w:sectPr>
      </w:pPr>
    </w:p>
    <w:p w:rsidR="00E675F0" w:rsidRDefault="00E675F0" w:rsidP="00E675F0">
      <w:pPr>
        <w:spacing w:before="124"/>
        <w:ind w:left="113"/>
        <w:jc w:val="both"/>
        <w:rPr>
          <w:rFonts w:ascii="TimesNewRomanPS-BoldItalicMT"/>
          <w:b/>
          <w:i/>
          <w:sz w:val="24"/>
        </w:rPr>
      </w:pPr>
      <w:r>
        <w:rPr>
          <w:rFonts w:ascii="TimesNewRomanPS-BoldItalicMT"/>
          <w:b/>
          <w:i/>
          <w:w w:val="120"/>
          <w:sz w:val="24"/>
        </w:rPr>
        <w:lastRenderedPageBreak/>
        <w:t>Use</w:t>
      </w:r>
      <w:r>
        <w:rPr>
          <w:rFonts w:ascii="TimesNewRomanPS-BoldItalicMT"/>
          <w:b/>
          <w:i/>
          <w:spacing w:val="-58"/>
          <w:w w:val="120"/>
          <w:sz w:val="24"/>
        </w:rPr>
        <w:t xml:space="preserve"> </w:t>
      </w:r>
      <w:r>
        <w:rPr>
          <w:rFonts w:ascii="TimesNewRomanPS-BoldItalicMT"/>
          <w:b/>
          <w:i/>
          <w:w w:val="120"/>
          <w:sz w:val="24"/>
        </w:rPr>
        <w:t>of ClinicalJudgment</w:t>
      </w:r>
    </w:p>
    <w:p w:rsidR="00E675F0" w:rsidRDefault="00E675F0" w:rsidP="00E675F0">
      <w:pPr>
        <w:pStyle w:val="BodyText"/>
        <w:spacing w:before="126" w:line="252" w:lineRule="auto"/>
        <w:ind w:left="129" w:right="108" w:firstLine="8"/>
        <w:jc w:val="both"/>
      </w:pPr>
      <w:r>
        <w:rPr>
          <w:w w:val="105"/>
        </w:rPr>
        <w:t xml:space="preserve">DSM-IV is a classification of mental disorders that was developed for use in clinical, educational, and research settings. The diagnostic categories, criteria, and textual descriptions are meant to be employed by individuals with appropriate clinical training and experience in diagnosis. </w:t>
      </w:r>
      <w:r>
        <w:rPr>
          <w:rFonts w:ascii="Arial"/>
          <w:w w:val="105"/>
          <w:sz w:val="17"/>
        </w:rPr>
        <w:t xml:space="preserve">It </w:t>
      </w:r>
      <w:r>
        <w:rPr>
          <w:w w:val="105"/>
        </w:rPr>
        <w:t>is important that DSM-IV not be applied  mechanically by untrained individuals. The specific diagnostic criteria included in DSM-IV are meant to serve as guidelines to be informed by clinical judgment and are not meant to be used in a cookbook fashion. For example, the exercise of clinical judgment may justify giving a certain diagnosis to an individual even though the clinical presentation falls just short of meeting the full criteria for the diagnosis as long as the symptoms  that are present  are persistent and severe. On the other hand, lack of familiarity with DSM-IV or excessively flexible and idiosyncratic application of DSM-IV criteria or conventions substantially reduces its utility as a common language for</w:t>
      </w:r>
      <w:r>
        <w:rPr>
          <w:spacing w:val="15"/>
          <w:w w:val="105"/>
        </w:rPr>
        <w:t xml:space="preserve"> </w:t>
      </w:r>
      <w:r>
        <w:rPr>
          <w:w w:val="105"/>
        </w:rPr>
        <w:t>communication.</w:t>
      </w:r>
    </w:p>
    <w:p w:rsidR="00E675F0" w:rsidRDefault="00E675F0" w:rsidP="00E675F0">
      <w:pPr>
        <w:pStyle w:val="BodyText"/>
        <w:rPr>
          <w:sz w:val="22"/>
        </w:rPr>
      </w:pPr>
    </w:p>
    <w:p w:rsidR="00E675F0" w:rsidRDefault="00E675F0" w:rsidP="00E675F0">
      <w:pPr>
        <w:spacing w:before="148"/>
        <w:ind w:left="113"/>
        <w:jc w:val="both"/>
        <w:rPr>
          <w:rFonts w:ascii="TimesNewRomanPS-BoldItalicMT"/>
          <w:b/>
          <w:i/>
          <w:sz w:val="24"/>
        </w:rPr>
      </w:pPr>
      <w:r>
        <w:rPr>
          <w:rFonts w:ascii="TimesNewRomanPS-BoldItalicMT"/>
          <w:b/>
          <w:i/>
          <w:w w:val="110"/>
          <w:sz w:val="24"/>
        </w:rPr>
        <w:t>Use of DSM-IV in Forensic Settings</w:t>
      </w:r>
    </w:p>
    <w:p w:rsidR="00E675F0" w:rsidRDefault="00E675F0" w:rsidP="00E675F0">
      <w:pPr>
        <w:pStyle w:val="BodyText"/>
        <w:spacing w:before="136" w:line="252" w:lineRule="auto"/>
        <w:ind w:left="131" w:right="109" w:firstLine="2"/>
        <w:jc w:val="both"/>
      </w:pPr>
      <w:r>
        <w:rPr>
          <w:w w:val="105"/>
        </w:rPr>
        <w:t>When</w:t>
      </w:r>
      <w:r>
        <w:rPr>
          <w:spacing w:val="-6"/>
          <w:w w:val="105"/>
        </w:rPr>
        <w:t xml:space="preserve"> </w:t>
      </w:r>
      <w:r>
        <w:rPr>
          <w:w w:val="105"/>
        </w:rPr>
        <w:t>the</w:t>
      </w:r>
      <w:r>
        <w:rPr>
          <w:spacing w:val="-13"/>
          <w:w w:val="105"/>
        </w:rPr>
        <w:t xml:space="preserve"> </w:t>
      </w:r>
      <w:r>
        <w:rPr>
          <w:w w:val="105"/>
        </w:rPr>
        <w:t>DSM-IV</w:t>
      </w:r>
      <w:r>
        <w:rPr>
          <w:spacing w:val="-6"/>
          <w:w w:val="105"/>
        </w:rPr>
        <w:t xml:space="preserve"> </w:t>
      </w:r>
      <w:r>
        <w:rPr>
          <w:w w:val="105"/>
        </w:rPr>
        <w:t>categories,</w:t>
      </w:r>
      <w:r>
        <w:rPr>
          <w:spacing w:val="-8"/>
          <w:w w:val="105"/>
        </w:rPr>
        <w:t xml:space="preserve"> </w:t>
      </w:r>
      <w:r>
        <w:rPr>
          <w:w w:val="105"/>
        </w:rPr>
        <w:t>criteria,</w:t>
      </w:r>
      <w:r>
        <w:rPr>
          <w:spacing w:val="-3"/>
          <w:w w:val="105"/>
        </w:rPr>
        <w:t xml:space="preserve"> </w:t>
      </w:r>
      <w:r>
        <w:rPr>
          <w:w w:val="105"/>
        </w:rPr>
        <w:t>and</w:t>
      </w:r>
      <w:r>
        <w:rPr>
          <w:spacing w:val="-13"/>
          <w:w w:val="105"/>
        </w:rPr>
        <w:t xml:space="preserve"> </w:t>
      </w:r>
      <w:r>
        <w:rPr>
          <w:w w:val="105"/>
        </w:rPr>
        <w:t>textual</w:t>
      </w:r>
      <w:r>
        <w:rPr>
          <w:spacing w:val="-7"/>
          <w:w w:val="105"/>
        </w:rPr>
        <w:t xml:space="preserve"> </w:t>
      </w:r>
      <w:r>
        <w:rPr>
          <w:w w:val="105"/>
        </w:rPr>
        <w:t>descriptions</w:t>
      </w:r>
      <w:r>
        <w:rPr>
          <w:spacing w:val="-6"/>
          <w:w w:val="105"/>
        </w:rPr>
        <w:t xml:space="preserve"> </w:t>
      </w:r>
      <w:r>
        <w:rPr>
          <w:w w:val="105"/>
        </w:rPr>
        <w:t>are</w:t>
      </w:r>
      <w:r>
        <w:rPr>
          <w:spacing w:val="-16"/>
          <w:w w:val="105"/>
        </w:rPr>
        <w:t xml:space="preserve"> </w:t>
      </w:r>
      <w:r>
        <w:rPr>
          <w:w w:val="105"/>
        </w:rPr>
        <w:t>employed</w:t>
      </w:r>
      <w:r>
        <w:rPr>
          <w:spacing w:val="-3"/>
          <w:w w:val="105"/>
        </w:rPr>
        <w:t xml:space="preserve"> </w:t>
      </w:r>
      <w:r>
        <w:rPr>
          <w:w w:val="105"/>
        </w:rPr>
        <w:t>for</w:t>
      </w:r>
      <w:r>
        <w:rPr>
          <w:spacing w:val="-19"/>
          <w:w w:val="105"/>
        </w:rPr>
        <w:t xml:space="preserve"> </w:t>
      </w:r>
      <w:r>
        <w:rPr>
          <w:w w:val="105"/>
        </w:rPr>
        <w:t xml:space="preserve">forensic purposes, there are significant risks that diagnostic information will be misused or misunderstood. These dangers arise because of the imperfect fit between the questions  of ultimate concern to the law and the information contained in a clinical diagnosis. In most situations, the clinical diagnosis of a DSM-IV mental disorder is not sufficient to establish the existence for legal purposes of a "mental disorder," "mental disability," "mental disease," or "mental defect." In determining whether an individual meets a specified legal standard (e.g., for competence, criminal responsibility, or disability), additional information is usually required beyond that contained in the DSM-IV diagnosis. This might include information about the individual's functional impairments and how these impairments affect the particular abilities in question. </w:t>
      </w:r>
      <w:r>
        <w:rPr>
          <w:rFonts w:ascii="Arial"/>
          <w:w w:val="105"/>
          <w:sz w:val="17"/>
        </w:rPr>
        <w:t xml:space="preserve">It </w:t>
      </w:r>
      <w:r>
        <w:rPr>
          <w:w w:val="105"/>
        </w:rPr>
        <w:t>is precisely because impairments, abilities, and disabilities vary widely within each diagnostic category that assignment of a particular diagnosis does not imply a specific level of impairment or</w:t>
      </w:r>
      <w:r>
        <w:rPr>
          <w:spacing w:val="-26"/>
          <w:w w:val="105"/>
        </w:rPr>
        <w:t xml:space="preserve"> </w:t>
      </w:r>
      <w:r>
        <w:rPr>
          <w:w w:val="105"/>
        </w:rPr>
        <w:t>disability.</w:t>
      </w:r>
    </w:p>
    <w:p w:rsidR="00E675F0" w:rsidRDefault="00E675F0" w:rsidP="00E675F0">
      <w:pPr>
        <w:pStyle w:val="BodyText"/>
        <w:spacing w:before="13" w:line="252" w:lineRule="auto"/>
        <w:ind w:left="128" w:right="101" w:firstLine="376"/>
        <w:jc w:val="both"/>
      </w:pPr>
      <w:r>
        <w:rPr>
          <w:w w:val="105"/>
        </w:rPr>
        <w:t>Nonclinical decision</w:t>
      </w:r>
      <w:r>
        <w:rPr>
          <w:spacing w:val="-1"/>
          <w:w w:val="105"/>
        </w:rPr>
        <w:t xml:space="preserve"> </w:t>
      </w:r>
      <w:r>
        <w:rPr>
          <w:w w:val="105"/>
        </w:rPr>
        <w:t>makers</w:t>
      </w:r>
      <w:r>
        <w:rPr>
          <w:spacing w:val="-7"/>
          <w:w w:val="105"/>
        </w:rPr>
        <w:t xml:space="preserve"> </w:t>
      </w:r>
      <w:r>
        <w:rPr>
          <w:w w:val="105"/>
        </w:rPr>
        <w:t>should also</w:t>
      </w:r>
      <w:r>
        <w:rPr>
          <w:spacing w:val="-2"/>
          <w:w w:val="105"/>
        </w:rPr>
        <w:t xml:space="preserve"> </w:t>
      </w:r>
      <w:r>
        <w:rPr>
          <w:w w:val="105"/>
        </w:rPr>
        <w:t>be</w:t>
      </w:r>
      <w:r>
        <w:rPr>
          <w:spacing w:val="-13"/>
          <w:w w:val="105"/>
        </w:rPr>
        <w:t xml:space="preserve"> </w:t>
      </w:r>
      <w:r>
        <w:rPr>
          <w:w w:val="105"/>
        </w:rPr>
        <w:t>cautioned</w:t>
      </w:r>
      <w:r>
        <w:rPr>
          <w:spacing w:val="6"/>
          <w:w w:val="105"/>
        </w:rPr>
        <w:t xml:space="preserve"> </w:t>
      </w:r>
      <w:r>
        <w:rPr>
          <w:w w:val="105"/>
        </w:rPr>
        <w:t>that</w:t>
      </w:r>
      <w:r>
        <w:rPr>
          <w:spacing w:val="-9"/>
          <w:w w:val="105"/>
        </w:rPr>
        <w:t xml:space="preserve"> </w:t>
      </w:r>
      <w:r>
        <w:rPr>
          <w:w w:val="105"/>
        </w:rPr>
        <w:t>a</w:t>
      </w:r>
      <w:r>
        <w:rPr>
          <w:spacing w:val="-4"/>
          <w:w w:val="105"/>
        </w:rPr>
        <w:t xml:space="preserve"> </w:t>
      </w:r>
      <w:r>
        <w:rPr>
          <w:w w:val="105"/>
        </w:rPr>
        <w:t>diagnosis</w:t>
      </w:r>
      <w:r>
        <w:rPr>
          <w:spacing w:val="-6"/>
          <w:w w:val="105"/>
        </w:rPr>
        <w:t xml:space="preserve"> </w:t>
      </w:r>
      <w:r>
        <w:rPr>
          <w:w w:val="105"/>
        </w:rPr>
        <w:t>does</w:t>
      </w:r>
      <w:r>
        <w:rPr>
          <w:spacing w:val="-6"/>
          <w:w w:val="105"/>
        </w:rPr>
        <w:t xml:space="preserve"> </w:t>
      </w:r>
      <w:r>
        <w:rPr>
          <w:w w:val="105"/>
        </w:rPr>
        <w:t>not</w:t>
      </w:r>
      <w:r>
        <w:rPr>
          <w:spacing w:val="-14"/>
          <w:w w:val="105"/>
        </w:rPr>
        <w:t xml:space="preserve"> </w:t>
      </w:r>
      <w:r>
        <w:rPr>
          <w:w w:val="105"/>
        </w:rPr>
        <w:t>carry any necessary implications regarding the causes of the individual's  mental  disorder or its associated impairments. Inclusion of a disorder in the Classification (as in medicine generally) does not require that there be knowledge about its etiology. Moreover, the  fact that an individual's presentation meets the criteria for a DSM-IV diagnosis does not carry any necessary implication regarding the individual's degree of control over the behaviors that may be associated with the disorder. Even when diminished control over one's behavior is a feature of the disorder, having the diagnosis in itself does not demonstrate that a particular individual is (or was) unable to control his or her behavior at a particular</w:t>
      </w:r>
      <w:r>
        <w:rPr>
          <w:spacing w:val="-10"/>
          <w:w w:val="105"/>
        </w:rPr>
        <w:t xml:space="preserve"> </w:t>
      </w:r>
      <w:r>
        <w:rPr>
          <w:w w:val="105"/>
        </w:rPr>
        <w:t>time.</w:t>
      </w:r>
    </w:p>
    <w:p w:rsidR="00E675F0" w:rsidRDefault="00E675F0" w:rsidP="00E675F0">
      <w:pPr>
        <w:pStyle w:val="BodyText"/>
        <w:spacing w:before="3" w:line="256" w:lineRule="auto"/>
        <w:ind w:left="129" w:right="100" w:firstLine="356"/>
        <w:jc w:val="both"/>
      </w:pPr>
      <w:r>
        <w:rPr>
          <w:rFonts w:ascii="Arial"/>
          <w:w w:val="105"/>
          <w:sz w:val="17"/>
        </w:rPr>
        <w:t xml:space="preserve">It </w:t>
      </w:r>
      <w:r>
        <w:rPr>
          <w:w w:val="105"/>
        </w:rPr>
        <w:t>must be noted that DSM-IV reflects a consensus about the classification and diagnosis</w:t>
      </w:r>
      <w:r>
        <w:rPr>
          <w:spacing w:val="-11"/>
          <w:w w:val="105"/>
        </w:rPr>
        <w:t xml:space="preserve"> </w:t>
      </w:r>
      <w:r>
        <w:rPr>
          <w:w w:val="105"/>
        </w:rPr>
        <w:t>of</w:t>
      </w:r>
      <w:r>
        <w:rPr>
          <w:spacing w:val="-8"/>
          <w:w w:val="105"/>
        </w:rPr>
        <w:t xml:space="preserve"> </w:t>
      </w:r>
      <w:r>
        <w:rPr>
          <w:w w:val="105"/>
        </w:rPr>
        <w:t>mental</w:t>
      </w:r>
      <w:r>
        <w:rPr>
          <w:spacing w:val="-11"/>
          <w:w w:val="105"/>
        </w:rPr>
        <w:t xml:space="preserve"> </w:t>
      </w:r>
      <w:r>
        <w:rPr>
          <w:w w:val="105"/>
        </w:rPr>
        <w:t>disorders</w:t>
      </w:r>
      <w:r>
        <w:rPr>
          <w:spacing w:val="-11"/>
          <w:w w:val="105"/>
        </w:rPr>
        <w:t xml:space="preserve"> </w:t>
      </w:r>
      <w:r>
        <w:rPr>
          <w:w w:val="105"/>
        </w:rPr>
        <w:t>derived</w:t>
      </w:r>
      <w:r>
        <w:rPr>
          <w:spacing w:val="-5"/>
          <w:w w:val="105"/>
        </w:rPr>
        <w:t xml:space="preserve"> </w:t>
      </w:r>
      <w:r>
        <w:rPr>
          <w:w w:val="105"/>
        </w:rPr>
        <w:t>at</w:t>
      </w:r>
      <w:r>
        <w:rPr>
          <w:spacing w:val="-19"/>
          <w:w w:val="105"/>
        </w:rPr>
        <w:t xml:space="preserve"> </w:t>
      </w:r>
      <w:r>
        <w:rPr>
          <w:w w:val="105"/>
        </w:rPr>
        <w:t>the</w:t>
      </w:r>
      <w:r>
        <w:rPr>
          <w:spacing w:val="-16"/>
          <w:w w:val="105"/>
        </w:rPr>
        <w:t xml:space="preserve"> </w:t>
      </w:r>
      <w:r>
        <w:rPr>
          <w:w w:val="105"/>
        </w:rPr>
        <w:t>time</w:t>
      </w:r>
      <w:r>
        <w:rPr>
          <w:spacing w:val="-16"/>
          <w:w w:val="105"/>
        </w:rPr>
        <w:t xml:space="preserve"> </w:t>
      </w:r>
      <w:r>
        <w:rPr>
          <w:w w:val="105"/>
        </w:rPr>
        <w:t>of</w:t>
      </w:r>
      <w:r>
        <w:rPr>
          <w:spacing w:val="-7"/>
          <w:w w:val="105"/>
        </w:rPr>
        <w:t xml:space="preserve"> </w:t>
      </w:r>
      <w:r>
        <w:rPr>
          <w:w w:val="105"/>
        </w:rPr>
        <w:t>its</w:t>
      </w:r>
      <w:r>
        <w:rPr>
          <w:spacing w:val="-16"/>
          <w:w w:val="105"/>
        </w:rPr>
        <w:t xml:space="preserve"> </w:t>
      </w:r>
      <w:r>
        <w:rPr>
          <w:w w:val="105"/>
        </w:rPr>
        <w:t>initial publication.</w:t>
      </w:r>
      <w:r>
        <w:rPr>
          <w:spacing w:val="1"/>
          <w:w w:val="105"/>
        </w:rPr>
        <w:t xml:space="preserve"> </w:t>
      </w:r>
      <w:r>
        <w:rPr>
          <w:w w:val="105"/>
        </w:rPr>
        <w:t>New</w:t>
      </w:r>
      <w:r>
        <w:rPr>
          <w:spacing w:val="-16"/>
          <w:w w:val="105"/>
        </w:rPr>
        <w:t xml:space="preserve"> </w:t>
      </w:r>
      <w:r>
        <w:rPr>
          <w:w w:val="105"/>
        </w:rPr>
        <w:t>knowledge generated by research or clinical experience will undoubtedly lead to an increased understanding</w:t>
      </w:r>
      <w:r>
        <w:rPr>
          <w:spacing w:val="-6"/>
          <w:w w:val="105"/>
        </w:rPr>
        <w:t xml:space="preserve"> </w:t>
      </w:r>
      <w:r>
        <w:rPr>
          <w:w w:val="105"/>
        </w:rPr>
        <w:t>of</w:t>
      </w:r>
      <w:r>
        <w:rPr>
          <w:spacing w:val="-7"/>
          <w:w w:val="105"/>
        </w:rPr>
        <w:t xml:space="preserve"> </w:t>
      </w:r>
      <w:r>
        <w:rPr>
          <w:w w:val="105"/>
        </w:rPr>
        <w:t>the</w:t>
      </w:r>
      <w:r>
        <w:rPr>
          <w:spacing w:val="-22"/>
          <w:w w:val="105"/>
        </w:rPr>
        <w:t xml:space="preserve"> </w:t>
      </w:r>
      <w:r>
        <w:rPr>
          <w:w w:val="105"/>
        </w:rPr>
        <w:t>disorders</w:t>
      </w:r>
      <w:r>
        <w:rPr>
          <w:spacing w:val="-15"/>
          <w:w w:val="105"/>
        </w:rPr>
        <w:t xml:space="preserve"> </w:t>
      </w:r>
      <w:r>
        <w:rPr>
          <w:w w:val="105"/>
        </w:rPr>
        <w:t>included</w:t>
      </w:r>
      <w:r>
        <w:rPr>
          <w:spacing w:val="-7"/>
          <w:w w:val="105"/>
        </w:rPr>
        <w:t xml:space="preserve"> </w:t>
      </w:r>
      <w:r>
        <w:rPr>
          <w:w w:val="105"/>
        </w:rPr>
        <w:t>in</w:t>
      </w:r>
      <w:r>
        <w:rPr>
          <w:spacing w:val="-12"/>
          <w:w w:val="105"/>
        </w:rPr>
        <w:t xml:space="preserve"> </w:t>
      </w:r>
      <w:r>
        <w:rPr>
          <w:w w:val="105"/>
        </w:rPr>
        <w:t>DSM-IV,</w:t>
      </w:r>
      <w:r>
        <w:rPr>
          <w:spacing w:val="-1"/>
          <w:w w:val="105"/>
        </w:rPr>
        <w:t xml:space="preserve"> </w:t>
      </w:r>
      <w:r>
        <w:rPr>
          <w:w w:val="105"/>
        </w:rPr>
        <w:t>to</w:t>
      </w:r>
      <w:r>
        <w:rPr>
          <w:spacing w:val="-20"/>
          <w:w w:val="105"/>
        </w:rPr>
        <w:t xml:space="preserve"> </w:t>
      </w:r>
      <w:r>
        <w:rPr>
          <w:w w:val="105"/>
        </w:rPr>
        <w:t>the</w:t>
      </w:r>
      <w:r>
        <w:rPr>
          <w:spacing w:val="-17"/>
          <w:w w:val="105"/>
        </w:rPr>
        <w:t xml:space="preserve"> </w:t>
      </w:r>
      <w:r>
        <w:rPr>
          <w:w w:val="105"/>
        </w:rPr>
        <w:t>identification</w:t>
      </w:r>
      <w:r>
        <w:rPr>
          <w:spacing w:val="-18"/>
          <w:w w:val="105"/>
        </w:rPr>
        <w:t xml:space="preserve"> </w:t>
      </w:r>
      <w:r>
        <w:rPr>
          <w:w w:val="105"/>
        </w:rPr>
        <w:t>of</w:t>
      </w:r>
      <w:r>
        <w:rPr>
          <w:spacing w:val="-11"/>
          <w:w w:val="105"/>
        </w:rPr>
        <w:t xml:space="preserve"> </w:t>
      </w:r>
      <w:r>
        <w:rPr>
          <w:w w:val="105"/>
        </w:rPr>
        <w:t>new</w:t>
      </w:r>
      <w:r>
        <w:rPr>
          <w:spacing w:val="-22"/>
          <w:w w:val="105"/>
        </w:rPr>
        <w:t xml:space="preserve"> </w:t>
      </w:r>
      <w:r>
        <w:rPr>
          <w:w w:val="105"/>
        </w:rPr>
        <w:t>disorders, and to the removal of some disorders in future classifications. The text and criteria sets included in DSM-IV will require reconsideration in light of evolving</w:t>
      </w:r>
      <w:r>
        <w:rPr>
          <w:spacing w:val="18"/>
          <w:w w:val="105"/>
        </w:rPr>
        <w:t xml:space="preserve"> </w:t>
      </w:r>
      <w:r>
        <w:rPr>
          <w:w w:val="105"/>
        </w:rPr>
        <w:t>new information.</w:t>
      </w:r>
    </w:p>
    <w:p w:rsidR="00E675F0" w:rsidRDefault="00E675F0" w:rsidP="00E675F0">
      <w:pPr>
        <w:pStyle w:val="BodyText"/>
        <w:spacing w:line="252" w:lineRule="auto"/>
        <w:ind w:left="139" w:right="101" w:firstLine="351"/>
        <w:jc w:val="both"/>
      </w:pPr>
      <w:r>
        <w:rPr>
          <w:w w:val="110"/>
        </w:rPr>
        <w:t>The</w:t>
      </w:r>
      <w:r>
        <w:rPr>
          <w:spacing w:val="-17"/>
          <w:w w:val="110"/>
        </w:rPr>
        <w:t xml:space="preserve"> </w:t>
      </w:r>
      <w:r>
        <w:rPr>
          <w:w w:val="110"/>
        </w:rPr>
        <w:t>use</w:t>
      </w:r>
      <w:r>
        <w:rPr>
          <w:spacing w:val="-17"/>
          <w:w w:val="110"/>
        </w:rPr>
        <w:t xml:space="preserve"> </w:t>
      </w:r>
      <w:r>
        <w:rPr>
          <w:w w:val="110"/>
        </w:rPr>
        <w:t>of</w:t>
      </w:r>
      <w:r>
        <w:rPr>
          <w:spacing w:val="-12"/>
          <w:w w:val="110"/>
        </w:rPr>
        <w:t xml:space="preserve"> </w:t>
      </w:r>
      <w:r>
        <w:rPr>
          <w:w w:val="110"/>
        </w:rPr>
        <w:t>DSM-IV</w:t>
      </w:r>
      <w:r>
        <w:rPr>
          <w:spacing w:val="-16"/>
          <w:w w:val="110"/>
        </w:rPr>
        <w:t xml:space="preserve"> </w:t>
      </w:r>
      <w:r>
        <w:rPr>
          <w:w w:val="110"/>
        </w:rPr>
        <w:t>in</w:t>
      </w:r>
      <w:r>
        <w:rPr>
          <w:spacing w:val="-20"/>
          <w:w w:val="110"/>
        </w:rPr>
        <w:t xml:space="preserve"> </w:t>
      </w:r>
      <w:r>
        <w:rPr>
          <w:w w:val="110"/>
        </w:rPr>
        <w:t>forensic</w:t>
      </w:r>
      <w:r>
        <w:rPr>
          <w:spacing w:val="-17"/>
          <w:w w:val="110"/>
        </w:rPr>
        <w:t xml:space="preserve"> </w:t>
      </w:r>
      <w:r>
        <w:rPr>
          <w:w w:val="110"/>
        </w:rPr>
        <w:t>settings</w:t>
      </w:r>
      <w:r>
        <w:rPr>
          <w:spacing w:val="-18"/>
          <w:w w:val="110"/>
        </w:rPr>
        <w:t xml:space="preserve"> </w:t>
      </w:r>
      <w:r>
        <w:rPr>
          <w:w w:val="110"/>
        </w:rPr>
        <w:t>should</w:t>
      </w:r>
      <w:r>
        <w:rPr>
          <w:spacing w:val="-9"/>
          <w:w w:val="110"/>
        </w:rPr>
        <w:t xml:space="preserve"> </w:t>
      </w:r>
      <w:r>
        <w:rPr>
          <w:w w:val="110"/>
        </w:rPr>
        <w:t>be</w:t>
      </w:r>
      <w:r>
        <w:rPr>
          <w:spacing w:val="-19"/>
          <w:w w:val="110"/>
        </w:rPr>
        <w:t xml:space="preserve"> </w:t>
      </w:r>
      <w:r>
        <w:rPr>
          <w:w w:val="110"/>
        </w:rPr>
        <w:t>informed</w:t>
      </w:r>
      <w:r>
        <w:rPr>
          <w:spacing w:val="-6"/>
          <w:w w:val="110"/>
        </w:rPr>
        <w:t xml:space="preserve"> </w:t>
      </w:r>
      <w:r>
        <w:rPr>
          <w:w w:val="110"/>
        </w:rPr>
        <w:t>by</w:t>
      </w:r>
      <w:r>
        <w:rPr>
          <w:spacing w:val="-18"/>
          <w:w w:val="110"/>
        </w:rPr>
        <w:t xml:space="preserve"> </w:t>
      </w:r>
      <w:r>
        <w:rPr>
          <w:w w:val="110"/>
        </w:rPr>
        <w:t>an</w:t>
      </w:r>
      <w:r>
        <w:rPr>
          <w:spacing w:val="-17"/>
          <w:w w:val="110"/>
        </w:rPr>
        <w:t xml:space="preserve"> </w:t>
      </w:r>
      <w:r>
        <w:rPr>
          <w:w w:val="110"/>
        </w:rPr>
        <w:t>awareness</w:t>
      </w:r>
      <w:r>
        <w:rPr>
          <w:spacing w:val="-11"/>
          <w:w w:val="110"/>
        </w:rPr>
        <w:t xml:space="preserve"> </w:t>
      </w:r>
      <w:r>
        <w:rPr>
          <w:w w:val="110"/>
        </w:rPr>
        <w:t>of</w:t>
      </w:r>
      <w:r>
        <w:rPr>
          <w:spacing w:val="-11"/>
          <w:w w:val="110"/>
        </w:rPr>
        <w:t xml:space="preserve"> </w:t>
      </w:r>
      <w:r>
        <w:rPr>
          <w:w w:val="110"/>
        </w:rPr>
        <w:t>the risks and limitations discussed above. When used appropriately, diagnoses</w:t>
      </w:r>
      <w:r>
        <w:rPr>
          <w:spacing w:val="13"/>
          <w:w w:val="110"/>
        </w:rPr>
        <w:t xml:space="preserve"> </w:t>
      </w:r>
      <w:r>
        <w:rPr>
          <w:w w:val="110"/>
        </w:rPr>
        <w:t>and</w:t>
      </w:r>
    </w:p>
    <w:p w:rsidR="00E675F0" w:rsidRDefault="00E675F0" w:rsidP="00E675F0">
      <w:pPr>
        <w:spacing w:line="252" w:lineRule="auto"/>
        <w:jc w:val="both"/>
        <w:sectPr w:rsidR="00E675F0">
          <w:pgSz w:w="8960" w:h="14260"/>
          <w:pgMar w:top="1400" w:right="640" w:bottom="280" w:left="600" w:header="688" w:footer="0" w:gutter="0"/>
          <w:cols w:space="720"/>
        </w:sectPr>
      </w:pPr>
    </w:p>
    <w:p w:rsidR="00E675F0" w:rsidRDefault="00E675F0" w:rsidP="00E675F0">
      <w:pPr>
        <w:pStyle w:val="BodyText"/>
        <w:spacing w:before="116" w:line="254" w:lineRule="auto"/>
        <w:ind w:left="121" w:right="116" w:firstLine="4"/>
        <w:jc w:val="both"/>
      </w:pPr>
      <w:r>
        <w:rPr>
          <w:w w:val="105"/>
        </w:rPr>
        <w:lastRenderedPageBreak/>
        <w:t>diagnostic information can assist decision makers in their determinations. For example, when the presence of a mental disorder is the predicate for a subsequent legal determination (e.g., involuntary civil commitment), the use of an established system of diagnosis enhances the value and reliability of the determination. By providing a compendium based on a review of the pertinent clinical and research literature, DSM-IV may facilitate the legal decision makers' understanding of the relevant characteristics of mental disorders. The literature related to diagnoses also serves as a check on ungrounded speculation about mental disorders and about the functioning of a particular individual. Finally, diagnostic information regarding longitudinal course may improve decision making when the legal issue concerns an individual's mental functioning at a past or future point in time.</w:t>
      </w:r>
    </w:p>
    <w:p w:rsidR="00E675F0" w:rsidRDefault="00E675F0" w:rsidP="00E675F0">
      <w:pPr>
        <w:pStyle w:val="BodyText"/>
        <w:rPr>
          <w:sz w:val="22"/>
        </w:rPr>
      </w:pPr>
    </w:p>
    <w:p w:rsidR="00E675F0" w:rsidRDefault="00E675F0" w:rsidP="00E675F0">
      <w:pPr>
        <w:pStyle w:val="BodyText"/>
        <w:spacing w:before="5"/>
        <w:rPr>
          <w:sz w:val="22"/>
        </w:rPr>
      </w:pPr>
    </w:p>
    <w:p w:rsidR="00E675F0" w:rsidRDefault="00E675F0" w:rsidP="00E675F0">
      <w:pPr>
        <w:ind w:left="105"/>
        <w:jc w:val="both"/>
        <w:rPr>
          <w:rFonts w:ascii="TimesNewRomanPS-BoldItalicMT"/>
          <w:b/>
          <w:i/>
          <w:sz w:val="24"/>
        </w:rPr>
      </w:pPr>
      <w:r>
        <w:rPr>
          <w:rFonts w:ascii="TimesNewRomanPS-BoldItalicMT"/>
          <w:b/>
          <w:i/>
          <w:w w:val="115"/>
          <w:sz w:val="24"/>
        </w:rPr>
        <w:t>Ethnic and Cultural Considerations</w:t>
      </w:r>
    </w:p>
    <w:p w:rsidR="00E675F0" w:rsidRDefault="00E675F0" w:rsidP="00E675F0">
      <w:pPr>
        <w:pStyle w:val="BodyText"/>
        <w:spacing w:before="175" w:line="252" w:lineRule="auto"/>
        <w:ind w:left="120" w:right="118" w:hanging="6"/>
        <w:jc w:val="both"/>
      </w:pPr>
      <w:r>
        <w:rPr>
          <w:w w:val="105"/>
        </w:rPr>
        <w:t>Special</w:t>
      </w:r>
      <w:r>
        <w:rPr>
          <w:spacing w:val="-14"/>
          <w:w w:val="105"/>
        </w:rPr>
        <w:t xml:space="preserve"> </w:t>
      </w:r>
      <w:r>
        <w:rPr>
          <w:w w:val="105"/>
        </w:rPr>
        <w:t>efforts</w:t>
      </w:r>
      <w:r>
        <w:rPr>
          <w:spacing w:val="-9"/>
          <w:w w:val="105"/>
        </w:rPr>
        <w:t xml:space="preserve"> </w:t>
      </w:r>
      <w:r>
        <w:rPr>
          <w:w w:val="105"/>
        </w:rPr>
        <w:t>have</w:t>
      </w:r>
      <w:r>
        <w:rPr>
          <w:spacing w:val="-10"/>
          <w:w w:val="105"/>
        </w:rPr>
        <w:t xml:space="preserve"> </w:t>
      </w:r>
      <w:r>
        <w:rPr>
          <w:w w:val="105"/>
        </w:rPr>
        <w:t>been</w:t>
      </w:r>
      <w:r>
        <w:rPr>
          <w:spacing w:val="-4"/>
          <w:w w:val="105"/>
        </w:rPr>
        <w:t xml:space="preserve"> </w:t>
      </w:r>
      <w:r>
        <w:rPr>
          <w:w w:val="105"/>
        </w:rPr>
        <w:t>made</w:t>
      </w:r>
      <w:r>
        <w:rPr>
          <w:spacing w:val="-17"/>
          <w:w w:val="105"/>
        </w:rPr>
        <w:t xml:space="preserve"> </w:t>
      </w:r>
      <w:r>
        <w:rPr>
          <w:w w:val="105"/>
        </w:rPr>
        <w:t>in</w:t>
      </w:r>
      <w:r>
        <w:rPr>
          <w:spacing w:val="-17"/>
          <w:w w:val="105"/>
        </w:rPr>
        <w:t xml:space="preserve"> </w:t>
      </w:r>
      <w:r>
        <w:rPr>
          <w:w w:val="105"/>
        </w:rPr>
        <w:t>the</w:t>
      </w:r>
      <w:r>
        <w:rPr>
          <w:spacing w:val="-8"/>
          <w:w w:val="105"/>
        </w:rPr>
        <w:t xml:space="preserve"> </w:t>
      </w:r>
      <w:r>
        <w:rPr>
          <w:w w:val="105"/>
        </w:rPr>
        <w:t>preparation</w:t>
      </w:r>
      <w:r>
        <w:rPr>
          <w:spacing w:val="-1"/>
          <w:w w:val="105"/>
        </w:rPr>
        <w:t xml:space="preserve"> </w:t>
      </w:r>
      <w:r>
        <w:rPr>
          <w:w w:val="105"/>
        </w:rPr>
        <w:t>of</w:t>
      </w:r>
      <w:r>
        <w:rPr>
          <w:spacing w:val="-10"/>
          <w:w w:val="105"/>
        </w:rPr>
        <w:t xml:space="preserve"> </w:t>
      </w:r>
      <w:r>
        <w:rPr>
          <w:w w:val="105"/>
        </w:rPr>
        <w:t>DSM-IV</w:t>
      </w:r>
      <w:r>
        <w:rPr>
          <w:spacing w:val="-6"/>
          <w:w w:val="105"/>
        </w:rPr>
        <w:t xml:space="preserve"> </w:t>
      </w:r>
      <w:r>
        <w:rPr>
          <w:w w:val="105"/>
        </w:rPr>
        <w:t>to</w:t>
      </w:r>
      <w:r>
        <w:rPr>
          <w:spacing w:val="-21"/>
          <w:w w:val="105"/>
        </w:rPr>
        <w:t xml:space="preserve"> </w:t>
      </w:r>
      <w:r>
        <w:rPr>
          <w:w w:val="105"/>
        </w:rPr>
        <w:t>incorporate</w:t>
      </w:r>
      <w:r>
        <w:rPr>
          <w:spacing w:val="-7"/>
          <w:w w:val="105"/>
        </w:rPr>
        <w:t xml:space="preserve"> </w:t>
      </w:r>
      <w:r>
        <w:rPr>
          <w:w w:val="105"/>
        </w:rPr>
        <w:t>an</w:t>
      </w:r>
      <w:r>
        <w:rPr>
          <w:spacing w:val="-8"/>
          <w:w w:val="105"/>
        </w:rPr>
        <w:t xml:space="preserve"> </w:t>
      </w:r>
      <w:r>
        <w:rPr>
          <w:w w:val="105"/>
        </w:rPr>
        <w:t>awareness that the manual is used in culturally diverse populations in the United States and internationally. Clinicians are called on to evaluate individuals from numerous different ethnic groups and cultural backgrounds (including many who are recent immigrants). Diagnostic assessment can be especially challenging when a clinician from one  ethnic or</w:t>
      </w:r>
      <w:r>
        <w:rPr>
          <w:spacing w:val="-15"/>
          <w:w w:val="105"/>
        </w:rPr>
        <w:t xml:space="preserve"> </w:t>
      </w:r>
      <w:r>
        <w:rPr>
          <w:w w:val="105"/>
        </w:rPr>
        <w:t>cultural</w:t>
      </w:r>
      <w:r>
        <w:rPr>
          <w:spacing w:val="-13"/>
          <w:w w:val="105"/>
        </w:rPr>
        <w:t xml:space="preserve"> </w:t>
      </w:r>
      <w:r>
        <w:rPr>
          <w:w w:val="105"/>
        </w:rPr>
        <w:t>group</w:t>
      </w:r>
      <w:r>
        <w:rPr>
          <w:spacing w:val="-12"/>
          <w:w w:val="105"/>
        </w:rPr>
        <w:t xml:space="preserve"> </w:t>
      </w:r>
      <w:r>
        <w:rPr>
          <w:w w:val="105"/>
        </w:rPr>
        <w:t>uses</w:t>
      </w:r>
      <w:r>
        <w:rPr>
          <w:spacing w:val="-11"/>
          <w:w w:val="105"/>
        </w:rPr>
        <w:t xml:space="preserve"> </w:t>
      </w:r>
      <w:r>
        <w:rPr>
          <w:w w:val="105"/>
        </w:rPr>
        <w:t>the</w:t>
      </w:r>
      <w:r>
        <w:rPr>
          <w:spacing w:val="-13"/>
          <w:w w:val="105"/>
        </w:rPr>
        <w:t xml:space="preserve"> </w:t>
      </w:r>
      <w:r>
        <w:rPr>
          <w:w w:val="105"/>
        </w:rPr>
        <w:t>DSM-IV</w:t>
      </w:r>
      <w:r>
        <w:rPr>
          <w:spacing w:val="-11"/>
          <w:w w:val="105"/>
        </w:rPr>
        <w:t xml:space="preserve"> </w:t>
      </w:r>
      <w:r>
        <w:rPr>
          <w:w w:val="105"/>
        </w:rPr>
        <w:t>Classification</w:t>
      </w:r>
      <w:r>
        <w:rPr>
          <w:spacing w:val="-22"/>
          <w:w w:val="105"/>
        </w:rPr>
        <w:t xml:space="preserve"> </w:t>
      </w:r>
      <w:r>
        <w:rPr>
          <w:w w:val="105"/>
        </w:rPr>
        <w:t>to</w:t>
      </w:r>
      <w:r>
        <w:rPr>
          <w:spacing w:val="-23"/>
          <w:w w:val="105"/>
        </w:rPr>
        <w:t xml:space="preserve"> </w:t>
      </w:r>
      <w:r>
        <w:rPr>
          <w:w w:val="105"/>
        </w:rPr>
        <w:t>evaluate</w:t>
      </w:r>
      <w:r>
        <w:rPr>
          <w:spacing w:val="-7"/>
          <w:w w:val="105"/>
        </w:rPr>
        <w:t xml:space="preserve"> </w:t>
      </w:r>
      <w:r>
        <w:rPr>
          <w:w w:val="105"/>
        </w:rPr>
        <w:t>an</w:t>
      </w:r>
      <w:r>
        <w:rPr>
          <w:spacing w:val="-17"/>
          <w:w w:val="105"/>
        </w:rPr>
        <w:t xml:space="preserve"> </w:t>
      </w:r>
      <w:r>
        <w:rPr>
          <w:w w:val="105"/>
        </w:rPr>
        <w:t>individual</w:t>
      </w:r>
      <w:r>
        <w:rPr>
          <w:spacing w:val="-11"/>
          <w:w w:val="105"/>
        </w:rPr>
        <w:t xml:space="preserve"> </w:t>
      </w:r>
      <w:r>
        <w:rPr>
          <w:w w:val="105"/>
        </w:rPr>
        <w:t>from</w:t>
      </w:r>
      <w:r>
        <w:rPr>
          <w:spacing w:val="-17"/>
          <w:w w:val="105"/>
        </w:rPr>
        <w:t xml:space="preserve"> </w:t>
      </w:r>
      <w:r>
        <w:rPr>
          <w:w w:val="105"/>
        </w:rPr>
        <w:t>a</w:t>
      </w:r>
      <w:r>
        <w:rPr>
          <w:spacing w:val="-18"/>
          <w:w w:val="105"/>
        </w:rPr>
        <w:t xml:space="preserve"> </w:t>
      </w:r>
      <w:r>
        <w:rPr>
          <w:w w:val="105"/>
        </w:rPr>
        <w:t>different ethnic</w:t>
      </w:r>
      <w:r>
        <w:rPr>
          <w:spacing w:val="-12"/>
          <w:w w:val="105"/>
        </w:rPr>
        <w:t xml:space="preserve"> </w:t>
      </w:r>
      <w:r>
        <w:rPr>
          <w:w w:val="105"/>
        </w:rPr>
        <w:t>or</w:t>
      </w:r>
      <w:r>
        <w:rPr>
          <w:spacing w:val="-6"/>
          <w:w w:val="105"/>
        </w:rPr>
        <w:t xml:space="preserve"> </w:t>
      </w:r>
      <w:r>
        <w:rPr>
          <w:w w:val="105"/>
        </w:rPr>
        <w:t>cultural</w:t>
      </w:r>
      <w:r>
        <w:rPr>
          <w:spacing w:val="-9"/>
          <w:w w:val="105"/>
        </w:rPr>
        <w:t xml:space="preserve"> </w:t>
      </w:r>
      <w:r>
        <w:rPr>
          <w:w w:val="105"/>
        </w:rPr>
        <w:t>group.</w:t>
      </w:r>
      <w:r>
        <w:rPr>
          <w:spacing w:val="-5"/>
          <w:w w:val="105"/>
        </w:rPr>
        <w:t xml:space="preserve"> </w:t>
      </w:r>
      <w:r>
        <w:rPr>
          <w:w w:val="105"/>
        </w:rPr>
        <w:t>A</w:t>
      </w:r>
      <w:r>
        <w:rPr>
          <w:spacing w:val="-14"/>
          <w:w w:val="105"/>
        </w:rPr>
        <w:t xml:space="preserve"> </w:t>
      </w:r>
      <w:r>
        <w:rPr>
          <w:w w:val="105"/>
        </w:rPr>
        <w:t>clinician</w:t>
      </w:r>
      <w:r>
        <w:rPr>
          <w:spacing w:val="-5"/>
          <w:w w:val="105"/>
        </w:rPr>
        <w:t xml:space="preserve"> </w:t>
      </w:r>
      <w:r>
        <w:rPr>
          <w:w w:val="105"/>
        </w:rPr>
        <w:t>who</w:t>
      </w:r>
      <w:r>
        <w:rPr>
          <w:spacing w:val="19"/>
          <w:w w:val="105"/>
        </w:rPr>
        <w:t xml:space="preserve"> </w:t>
      </w:r>
      <w:r>
        <w:rPr>
          <w:w w:val="105"/>
        </w:rPr>
        <w:t>is</w:t>
      </w:r>
      <w:r>
        <w:rPr>
          <w:spacing w:val="-18"/>
          <w:w w:val="105"/>
        </w:rPr>
        <w:t xml:space="preserve"> </w:t>
      </w:r>
      <w:r>
        <w:rPr>
          <w:w w:val="105"/>
        </w:rPr>
        <w:t>unfamiliar</w:t>
      </w:r>
      <w:r>
        <w:rPr>
          <w:spacing w:val="-4"/>
          <w:w w:val="105"/>
        </w:rPr>
        <w:t xml:space="preserve"> </w:t>
      </w:r>
      <w:r>
        <w:rPr>
          <w:w w:val="105"/>
        </w:rPr>
        <w:t>with</w:t>
      </w:r>
      <w:r>
        <w:rPr>
          <w:spacing w:val="-4"/>
          <w:w w:val="105"/>
        </w:rPr>
        <w:t xml:space="preserve"> </w:t>
      </w:r>
      <w:r>
        <w:rPr>
          <w:w w:val="105"/>
        </w:rPr>
        <w:t>the</w:t>
      </w:r>
      <w:r>
        <w:rPr>
          <w:spacing w:val="-7"/>
          <w:w w:val="105"/>
        </w:rPr>
        <w:t xml:space="preserve"> </w:t>
      </w:r>
      <w:r>
        <w:rPr>
          <w:w w:val="105"/>
        </w:rPr>
        <w:t>nuances</w:t>
      </w:r>
      <w:r>
        <w:rPr>
          <w:spacing w:val="-9"/>
          <w:w w:val="105"/>
        </w:rPr>
        <w:t xml:space="preserve"> </w:t>
      </w:r>
      <w:r>
        <w:rPr>
          <w:w w:val="105"/>
        </w:rPr>
        <w:t>of</w:t>
      </w:r>
      <w:r>
        <w:rPr>
          <w:spacing w:val="-5"/>
          <w:w w:val="105"/>
        </w:rPr>
        <w:t xml:space="preserve"> </w:t>
      </w:r>
      <w:r>
        <w:rPr>
          <w:w w:val="105"/>
        </w:rPr>
        <w:t>an</w:t>
      </w:r>
      <w:r>
        <w:rPr>
          <w:spacing w:val="11"/>
          <w:w w:val="105"/>
        </w:rPr>
        <w:t xml:space="preserve"> </w:t>
      </w:r>
      <w:r>
        <w:rPr>
          <w:w w:val="105"/>
        </w:rPr>
        <w:t>individual's cultural frame of reference may incorrectly judge as psychopathology those normal variations in behavior, belief, or experience that are particular to the individual's culture. For example, certain religious practices or beliefs (e.g., hearing or seeing a deceased relative during bereavement) may be misdiagnosed as manifestations of a Psychotic Disorder.</w:t>
      </w:r>
      <w:r>
        <w:rPr>
          <w:spacing w:val="-16"/>
          <w:w w:val="105"/>
        </w:rPr>
        <w:t xml:space="preserve"> </w:t>
      </w:r>
      <w:r>
        <w:rPr>
          <w:w w:val="105"/>
        </w:rPr>
        <w:t>Applying</w:t>
      </w:r>
      <w:r>
        <w:rPr>
          <w:spacing w:val="-8"/>
          <w:w w:val="105"/>
        </w:rPr>
        <w:t xml:space="preserve"> </w:t>
      </w:r>
      <w:r>
        <w:rPr>
          <w:w w:val="105"/>
        </w:rPr>
        <w:t>Personality</w:t>
      </w:r>
      <w:r>
        <w:rPr>
          <w:spacing w:val="-10"/>
          <w:w w:val="105"/>
        </w:rPr>
        <w:t xml:space="preserve"> </w:t>
      </w:r>
      <w:r>
        <w:rPr>
          <w:w w:val="105"/>
        </w:rPr>
        <w:t>Disorder</w:t>
      </w:r>
      <w:r>
        <w:rPr>
          <w:spacing w:val="-16"/>
          <w:w w:val="105"/>
        </w:rPr>
        <w:t xml:space="preserve"> </w:t>
      </w:r>
      <w:r>
        <w:rPr>
          <w:w w:val="105"/>
        </w:rPr>
        <w:t>criteria</w:t>
      </w:r>
      <w:r>
        <w:rPr>
          <w:spacing w:val="-10"/>
          <w:w w:val="105"/>
        </w:rPr>
        <w:t xml:space="preserve"> </w:t>
      </w:r>
      <w:r>
        <w:rPr>
          <w:w w:val="105"/>
        </w:rPr>
        <w:t>across</w:t>
      </w:r>
      <w:r>
        <w:rPr>
          <w:spacing w:val="-19"/>
          <w:w w:val="105"/>
        </w:rPr>
        <w:t xml:space="preserve"> </w:t>
      </w:r>
      <w:r>
        <w:rPr>
          <w:w w:val="105"/>
        </w:rPr>
        <w:t>cultural</w:t>
      </w:r>
      <w:r>
        <w:rPr>
          <w:spacing w:val="-19"/>
          <w:w w:val="105"/>
        </w:rPr>
        <w:t xml:space="preserve"> </w:t>
      </w:r>
      <w:r>
        <w:rPr>
          <w:w w:val="105"/>
        </w:rPr>
        <w:t>settings</w:t>
      </w:r>
      <w:r>
        <w:rPr>
          <w:spacing w:val="-19"/>
          <w:w w:val="105"/>
        </w:rPr>
        <w:t xml:space="preserve"> </w:t>
      </w:r>
      <w:r>
        <w:rPr>
          <w:w w:val="105"/>
        </w:rPr>
        <w:t>may</w:t>
      </w:r>
      <w:r>
        <w:rPr>
          <w:spacing w:val="-17"/>
          <w:w w:val="105"/>
        </w:rPr>
        <w:t xml:space="preserve"> </w:t>
      </w:r>
      <w:r>
        <w:rPr>
          <w:w w:val="105"/>
        </w:rPr>
        <w:t>be</w:t>
      </w:r>
      <w:r>
        <w:rPr>
          <w:spacing w:val="-22"/>
          <w:w w:val="105"/>
        </w:rPr>
        <w:t xml:space="preserve"> </w:t>
      </w:r>
      <w:r>
        <w:rPr>
          <w:w w:val="105"/>
        </w:rPr>
        <w:t>especially difficult because of the wide cultural variation in concepts of self, styles of communica­ tion, and coping</w:t>
      </w:r>
      <w:r>
        <w:rPr>
          <w:spacing w:val="35"/>
          <w:w w:val="105"/>
        </w:rPr>
        <w:t xml:space="preserve"> </w:t>
      </w:r>
      <w:r>
        <w:rPr>
          <w:w w:val="105"/>
        </w:rPr>
        <w:t>mechanisms.</w:t>
      </w:r>
    </w:p>
    <w:p w:rsidR="00E675F0" w:rsidRDefault="00E675F0" w:rsidP="00E675F0">
      <w:pPr>
        <w:pStyle w:val="BodyText"/>
        <w:spacing w:before="12" w:line="252" w:lineRule="auto"/>
        <w:ind w:left="124" w:right="112" w:firstLine="365"/>
        <w:jc w:val="both"/>
        <w:rPr>
          <w:sz w:val="17"/>
        </w:rPr>
      </w:pPr>
      <w:r>
        <w:rPr>
          <w:w w:val="105"/>
        </w:rPr>
        <w:t xml:space="preserve">DSM-IV includes three types of information specifically related to cultural consider­ ations: 1) a discussion in the text of cultural variations in the clinical presentations of those disorders that have been included in the DSM-IV Classification; 2) a description  of culture-bound syndromes that have not been included in the DSM-IV Classification (these are included in Appendix </w:t>
      </w:r>
      <w:r>
        <w:rPr>
          <w:rFonts w:ascii="Arial" w:hAnsi="Arial"/>
          <w:w w:val="105"/>
          <w:sz w:val="16"/>
        </w:rPr>
        <w:t xml:space="preserve">I);  </w:t>
      </w:r>
      <w:r>
        <w:rPr>
          <w:w w:val="105"/>
        </w:rPr>
        <w:t>and 3) an  outline for cultural formulation  designed to assist the clinician in systematically evaluating and reporting the impact of the individual's cultural context (also in Appendix</w:t>
      </w:r>
      <w:r>
        <w:rPr>
          <w:spacing w:val="27"/>
          <w:w w:val="105"/>
        </w:rPr>
        <w:t xml:space="preserve"> </w:t>
      </w:r>
      <w:r>
        <w:rPr>
          <w:w w:val="105"/>
          <w:sz w:val="17"/>
        </w:rPr>
        <w:t>I).</w:t>
      </w:r>
    </w:p>
    <w:p w:rsidR="00E675F0" w:rsidRDefault="00E675F0" w:rsidP="00E675F0">
      <w:pPr>
        <w:pStyle w:val="BodyText"/>
        <w:spacing w:line="254" w:lineRule="auto"/>
        <w:ind w:left="113" w:right="123" w:firstLine="369"/>
        <w:jc w:val="both"/>
      </w:pPr>
      <w:r>
        <w:rPr>
          <w:w w:val="105"/>
        </w:rPr>
        <w:t>The wide international acceptance of DSM suggests that this classification is useful in describing mental disorders as they are experienced by individuals throughout the world. Nonetheless, evidence also suggests that the symptoms and course of a number  of DSM-IV disorders are influenced by cultural and ethnic factors. To facilitate its application to individuals from diverse cultural and ethnic settings, DSM-IV includes a new section in the text to cover culture-related features. This section describes the ways in which varied cultural backgrounds affect the content and form of the symptom presentation (e.g., depressive disorders characterized by a preponderance of somatic symptoms rather than sadness in certain cultures), preferred idioms for• describing distress, and information on prevalence when it is</w:t>
      </w:r>
      <w:r>
        <w:rPr>
          <w:spacing w:val="31"/>
          <w:w w:val="105"/>
        </w:rPr>
        <w:t xml:space="preserve"> </w:t>
      </w:r>
      <w:r>
        <w:rPr>
          <w:w w:val="105"/>
        </w:rPr>
        <w:t>available.</w:t>
      </w:r>
    </w:p>
    <w:p w:rsidR="00E675F0" w:rsidRDefault="00E675F0" w:rsidP="00E675F0">
      <w:pPr>
        <w:pStyle w:val="BodyText"/>
        <w:spacing w:before="6" w:line="254" w:lineRule="auto"/>
        <w:ind w:left="113" w:right="131" w:firstLine="359"/>
        <w:jc w:val="both"/>
      </w:pPr>
      <w:r>
        <w:rPr>
          <w:w w:val="110"/>
        </w:rPr>
        <w:t>The second type of cultural information provided pertains to "culture-bound syndromes" that have been described in just one, or a few, of the world's societies. DSM-IV</w:t>
      </w:r>
      <w:r>
        <w:rPr>
          <w:spacing w:val="-21"/>
          <w:w w:val="110"/>
        </w:rPr>
        <w:t xml:space="preserve"> </w:t>
      </w:r>
      <w:r>
        <w:rPr>
          <w:w w:val="110"/>
        </w:rPr>
        <w:t>provides</w:t>
      </w:r>
      <w:r>
        <w:rPr>
          <w:spacing w:val="-17"/>
          <w:w w:val="110"/>
        </w:rPr>
        <w:t xml:space="preserve"> </w:t>
      </w:r>
      <w:r>
        <w:rPr>
          <w:w w:val="110"/>
        </w:rPr>
        <w:t>two</w:t>
      </w:r>
      <w:r>
        <w:rPr>
          <w:spacing w:val="-23"/>
          <w:w w:val="110"/>
        </w:rPr>
        <w:t xml:space="preserve"> </w:t>
      </w:r>
      <w:r>
        <w:rPr>
          <w:w w:val="110"/>
        </w:rPr>
        <w:t>ways</w:t>
      </w:r>
      <w:r>
        <w:rPr>
          <w:spacing w:val="-21"/>
          <w:w w:val="110"/>
        </w:rPr>
        <w:t xml:space="preserve"> </w:t>
      </w:r>
      <w:r>
        <w:rPr>
          <w:w w:val="110"/>
        </w:rPr>
        <w:t>of</w:t>
      </w:r>
      <w:r>
        <w:rPr>
          <w:spacing w:val="-20"/>
          <w:w w:val="110"/>
        </w:rPr>
        <w:t xml:space="preserve"> </w:t>
      </w:r>
      <w:r>
        <w:rPr>
          <w:w w:val="110"/>
        </w:rPr>
        <w:t>increasing</w:t>
      </w:r>
      <w:r>
        <w:rPr>
          <w:spacing w:val="-19"/>
          <w:w w:val="110"/>
        </w:rPr>
        <w:t xml:space="preserve"> </w:t>
      </w:r>
      <w:r>
        <w:rPr>
          <w:w w:val="110"/>
        </w:rPr>
        <w:t>the</w:t>
      </w:r>
      <w:r>
        <w:rPr>
          <w:spacing w:val="-23"/>
          <w:w w:val="110"/>
        </w:rPr>
        <w:t xml:space="preserve"> </w:t>
      </w:r>
      <w:r>
        <w:rPr>
          <w:w w:val="110"/>
        </w:rPr>
        <w:t>recognition</w:t>
      </w:r>
      <w:r>
        <w:rPr>
          <w:spacing w:val="-14"/>
          <w:w w:val="110"/>
        </w:rPr>
        <w:t xml:space="preserve"> </w:t>
      </w:r>
      <w:r>
        <w:rPr>
          <w:w w:val="110"/>
        </w:rPr>
        <w:t>of</w:t>
      </w:r>
      <w:r>
        <w:rPr>
          <w:spacing w:val="-19"/>
          <w:w w:val="110"/>
        </w:rPr>
        <w:t xml:space="preserve"> </w:t>
      </w:r>
      <w:r>
        <w:rPr>
          <w:w w:val="110"/>
        </w:rPr>
        <w:t>culture-bound</w:t>
      </w:r>
      <w:r>
        <w:rPr>
          <w:spacing w:val="-17"/>
          <w:w w:val="110"/>
        </w:rPr>
        <w:t xml:space="preserve"> </w:t>
      </w:r>
      <w:r>
        <w:rPr>
          <w:w w:val="110"/>
        </w:rPr>
        <w:t>syndromes:</w:t>
      </w:r>
    </w:p>
    <w:p w:rsidR="00E675F0" w:rsidRDefault="00E675F0" w:rsidP="00E675F0">
      <w:pPr>
        <w:spacing w:line="254" w:lineRule="auto"/>
        <w:jc w:val="both"/>
        <w:sectPr w:rsidR="00E675F0">
          <w:headerReference w:type="even" r:id="rId32"/>
          <w:headerReference w:type="default" r:id="rId33"/>
          <w:pgSz w:w="8960" w:h="14260"/>
          <w:pgMar w:top="1400" w:right="600" w:bottom="280" w:left="620" w:header="686" w:footer="0" w:gutter="0"/>
          <w:cols w:space="720"/>
        </w:sectPr>
      </w:pPr>
    </w:p>
    <w:p w:rsidR="00E675F0" w:rsidRDefault="00E675F0" w:rsidP="003048D3">
      <w:pPr>
        <w:pStyle w:val="ListParagraph"/>
        <w:numPr>
          <w:ilvl w:val="0"/>
          <w:numId w:val="138"/>
        </w:numPr>
        <w:tabs>
          <w:tab w:val="left" w:pos="394"/>
        </w:tabs>
        <w:spacing w:before="121" w:line="266" w:lineRule="auto"/>
        <w:ind w:right="119" w:firstLine="0"/>
        <w:jc w:val="both"/>
        <w:rPr>
          <w:sz w:val="19"/>
        </w:rPr>
      </w:pPr>
      <w:r>
        <w:rPr>
          <w:w w:val="110"/>
          <w:sz w:val="19"/>
        </w:rPr>
        <w:lastRenderedPageBreak/>
        <w:t xml:space="preserve">some (e.g., </w:t>
      </w:r>
      <w:r>
        <w:rPr>
          <w:i/>
          <w:w w:val="110"/>
          <w:sz w:val="20"/>
        </w:rPr>
        <w:t xml:space="preserve">amok, ataque de neroios) </w:t>
      </w:r>
      <w:r>
        <w:rPr>
          <w:w w:val="110"/>
          <w:sz w:val="19"/>
        </w:rPr>
        <w:t xml:space="preserve">are included as separate examples in Not Otherwise Specified categories; and 2) an appendix of culture-bound syndromes (Appendix </w:t>
      </w:r>
      <w:r>
        <w:rPr>
          <w:w w:val="110"/>
          <w:sz w:val="17"/>
        </w:rPr>
        <w:t xml:space="preserve">I) </w:t>
      </w:r>
      <w:r>
        <w:rPr>
          <w:w w:val="110"/>
          <w:sz w:val="19"/>
        </w:rPr>
        <w:t>has been introduced in DSM-IV that includes the name for the condition, the cultures in which it was first described, and a brief description of the psychopa­ thology.</w:t>
      </w:r>
    </w:p>
    <w:p w:rsidR="00E675F0" w:rsidRDefault="00E675F0" w:rsidP="00E675F0">
      <w:pPr>
        <w:spacing w:line="268" w:lineRule="auto"/>
        <w:ind w:left="121" w:right="114" w:firstLine="362"/>
        <w:jc w:val="both"/>
        <w:rPr>
          <w:sz w:val="19"/>
        </w:rPr>
      </w:pPr>
      <w:r>
        <w:rPr>
          <w:w w:val="110"/>
          <w:sz w:val="19"/>
        </w:rPr>
        <w:t xml:space="preserve">The provision of a culture-specific section in the DSM-IV text, the inclusion of a glossary of culture-bound syndromes, and the provision of an outline for cultural formulation are designed to enhance the cross-cultural applicability of DSM-IV. </w:t>
      </w:r>
      <w:r>
        <w:rPr>
          <w:rFonts w:ascii="Arial"/>
          <w:w w:val="110"/>
          <w:sz w:val="17"/>
        </w:rPr>
        <w:t xml:space="preserve">It </w:t>
      </w:r>
      <w:r>
        <w:rPr>
          <w:w w:val="110"/>
          <w:sz w:val="19"/>
        </w:rPr>
        <w:t>is hoped that these new features will increase sensitivity to variations in how mental disorders may be expressed in different cultures and will reduce the possible effect of unintended bias stemming from the clinician's own cultural background.</w:t>
      </w:r>
    </w:p>
    <w:p w:rsidR="00E675F0" w:rsidRDefault="00E675F0" w:rsidP="00E675F0">
      <w:pPr>
        <w:pStyle w:val="BodyText"/>
      </w:pPr>
    </w:p>
    <w:p w:rsidR="00E675F0" w:rsidRDefault="00E675F0" w:rsidP="00E675F0">
      <w:pPr>
        <w:spacing w:before="115"/>
        <w:ind w:left="106"/>
        <w:jc w:val="both"/>
        <w:rPr>
          <w:rFonts w:ascii="TimesNewRomanPS-BoldItalicMT"/>
          <w:b/>
          <w:i/>
          <w:sz w:val="24"/>
        </w:rPr>
      </w:pPr>
      <w:r>
        <w:rPr>
          <w:rFonts w:ascii="TimesNewRomanPS-BoldItalicMT"/>
          <w:b/>
          <w:i/>
          <w:w w:val="105"/>
          <w:sz w:val="24"/>
        </w:rPr>
        <w:t>Use of DSM-IV in Treatment Planning</w:t>
      </w:r>
    </w:p>
    <w:p w:rsidR="00E675F0" w:rsidRDefault="00E675F0" w:rsidP="00E675F0">
      <w:pPr>
        <w:spacing w:before="136" w:line="266" w:lineRule="auto"/>
        <w:ind w:left="122" w:right="116" w:firstLine="3"/>
        <w:jc w:val="both"/>
        <w:rPr>
          <w:sz w:val="19"/>
        </w:rPr>
      </w:pPr>
      <w:r>
        <w:rPr>
          <w:w w:val="115"/>
          <w:sz w:val="19"/>
        </w:rPr>
        <w:t>Making a DSM-IV diagnosis is only the first step in a comprehensive evaluation. To formulate</w:t>
      </w:r>
      <w:r>
        <w:rPr>
          <w:spacing w:val="-21"/>
          <w:w w:val="115"/>
          <w:sz w:val="19"/>
        </w:rPr>
        <w:t xml:space="preserve"> </w:t>
      </w:r>
      <w:r>
        <w:rPr>
          <w:w w:val="115"/>
          <w:sz w:val="19"/>
        </w:rPr>
        <w:t>an</w:t>
      </w:r>
      <w:r>
        <w:rPr>
          <w:spacing w:val="-17"/>
          <w:w w:val="115"/>
          <w:sz w:val="19"/>
        </w:rPr>
        <w:t xml:space="preserve"> </w:t>
      </w:r>
      <w:r>
        <w:rPr>
          <w:w w:val="115"/>
          <w:sz w:val="19"/>
        </w:rPr>
        <w:t>adequate</w:t>
      </w:r>
      <w:r>
        <w:rPr>
          <w:spacing w:val="-14"/>
          <w:w w:val="115"/>
          <w:sz w:val="19"/>
        </w:rPr>
        <w:t xml:space="preserve"> </w:t>
      </w:r>
      <w:r>
        <w:rPr>
          <w:w w:val="115"/>
          <w:sz w:val="19"/>
        </w:rPr>
        <w:t>treatment</w:t>
      </w:r>
      <w:r>
        <w:rPr>
          <w:spacing w:val="-13"/>
          <w:w w:val="115"/>
          <w:sz w:val="19"/>
        </w:rPr>
        <w:t xml:space="preserve"> </w:t>
      </w:r>
      <w:r>
        <w:rPr>
          <w:w w:val="115"/>
          <w:sz w:val="19"/>
        </w:rPr>
        <w:t>plan,</w:t>
      </w:r>
      <w:r>
        <w:rPr>
          <w:spacing w:val="-17"/>
          <w:w w:val="115"/>
          <w:sz w:val="19"/>
        </w:rPr>
        <w:t xml:space="preserve"> </w:t>
      </w:r>
      <w:r>
        <w:rPr>
          <w:w w:val="115"/>
          <w:sz w:val="19"/>
        </w:rPr>
        <w:t>the</w:t>
      </w:r>
      <w:r>
        <w:rPr>
          <w:spacing w:val="-17"/>
          <w:w w:val="115"/>
          <w:sz w:val="19"/>
        </w:rPr>
        <w:t xml:space="preserve"> </w:t>
      </w:r>
      <w:r>
        <w:rPr>
          <w:w w:val="115"/>
          <w:sz w:val="19"/>
        </w:rPr>
        <w:t>clinician</w:t>
      </w:r>
      <w:r>
        <w:rPr>
          <w:spacing w:val="-14"/>
          <w:w w:val="115"/>
          <w:sz w:val="19"/>
        </w:rPr>
        <w:t xml:space="preserve"> </w:t>
      </w:r>
      <w:r>
        <w:rPr>
          <w:w w:val="115"/>
          <w:sz w:val="19"/>
        </w:rPr>
        <w:t>will</w:t>
      </w:r>
      <w:r>
        <w:rPr>
          <w:spacing w:val="-20"/>
          <w:w w:val="115"/>
          <w:sz w:val="19"/>
        </w:rPr>
        <w:t xml:space="preserve"> </w:t>
      </w:r>
      <w:r>
        <w:rPr>
          <w:w w:val="115"/>
          <w:sz w:val="19"/>
        </w:rPr>
        <w:t>invariably</w:t>
      </w:r>
      <w:r>
        <w:rPr>
          <w:spacing w:val="-13"/>
          <w:w w:val="115"/>
          <w:sz w:val="19"/>
        </w:rPr>
        <w:t xml:space="preserve"> </w:t>
      </w:r>
      <w:r>
        <w:rPr>
          <w:w w:val="115"/>
          <w:sz w:val="19"/>
        </w:rPr>
        <w:t>require</w:t>
      </w:r>
      <w:r>
        <w:rPr>
          <w:spacing w:val="-20"/>
          <w:w w:val="115"/>
          <w:sz w:val="19"/>
        </w:rPr>
        <w:t xml:space="preserve"> </w:t>
      </w:r>
      <w:r>
        <w:rPr>
          <w:w w:val="115"/>
          <w:sz w:val="19"/>
        </w:rPr>
        <w:t>considerable additional</w:t>
      </w:r>
      <w:r>
        <w:rPr>
          <w:spacing w:val="-1"/>
          <w:w w:val="115"/>
          <w:sz w:val="19"/>
        </w:rPr>
        <w:t xml:space="preserve"> </w:t>
      </w:r>
      <w:r>
        <w:rPr>
          <w:w w:val="115"/>
          <w:sz w:val="19"/>
        </w:rPr>
        <w:t>information</w:t>
      </w:r>
      <w:r>
        <w:rPr>
          <w:spacing w:val="-2"/>
          <w:w w:val="115"/>
          <w:sz w:val="19"/>
        </w:rPr>
        <w:t xml:space="preserve"> </w:t>
      </w:r>
      <w:r>
        <w:rPr>
          <w:w w:val="115"/>
          <w:sz w:val="19"/>
        </w:rPr>
        <w:t>about</w:t>
      </w:r>
      <w:r>
        <w:rPr>
          <w:spacing w:val="-12"/>
          <w:w w:val="115"/>
          <w:sz w:val="19"/>
        </w:rPr>
        <w:t xml:space="preserve"> </w:t>
      </w:r>
      <w:r>
        <w:rPr>
          <w:w w:val="115"/>
          <w:sz w:val="19"/>
        </w:rPr>
        <w:t>the</w:t>
      </w:r>
      <w:r>
        <w:rPr>
          <w:spacing w:val="-7"/>
          <w:w w:val="115"/>
          <w:sz w:val="19"/>
        </w:rPr>
        <w:t xml:space="preserve"> </w:t>
      </w:r>
      <w:r>
        <w:rPr>
          <w:w w:val="115"/>
          <w:sz w:val="19"/>
        </w:rPr>
        <w:t>person</w:t>
      </w:r>
      <w:r>
        <w:rPr>
          <w:spacing w:val="-5"/>
          <w:w w:val="115"/>
          <w:sz w:val="19"/>
        </w:rPr>
        <w:t xml:space="preserve"> </w:t>
      </w:r>
      <w:r>
        <w:rPr>
          <w:w w:val="115"/>
          <w:sz w:val="19"/>
        </w:rPr>
        <w:t>being</w:t>
      </w:r>
      <w:r>
        <w:rPr>
          <w:spacing w:val="-15"/>
          <w:w w:val="115"/>
          <w:sz w:val="19"/>
        </w:rPr>
        <w:t xml:space="preserve"> </w:t>
      </w:r>
      <w:r>
        <w:rPr>
          <w:w w:val="115"/>
          <w:sz w:val="19"/>
        </w:rPr>
        <w:t>evaluated</w:t>
      </w:r>
      <w:r>
        <w:rPr>
          <w:spacing w:val="4"/>
          <w:w w:val="115"/>
          <w:sz w:val="19"/>
        </w:rPr>
        <w:t xml:space="preserve"> </w:t>
      </w:r>
      <w:r>
        <w:rPr>
          <w:w w:val="115"/>
          <w:sz w:val="19"/>
        </w:rPr>
        <w:t>beyond</w:t>
      </w:r>
      <w:r>
        <w:rPr>
          <w:spacing w:val="-5"/>
          <w:w w:val="115"/>
          <w:sz w:val="19"/>
        </w:rPr>
        <w:t xml:space="preserve"> </w:t>
      </w:r>
      <w:r>
        <w:rPr>
          <w:w w:val="115"/>
          <w:sz w:val="19"/>
        </w:rPr>
        <w:t>that</w:t>
      </w:r>
      <w:r>
        <w:rPr>
          <w:spacing w:val="-9"/>
          <w:w w:val="115"/>
          <w:sz w:val="19"/>
        </w:rPr>
        <w:t xml:space="preserve"> </w:t>
      </w:r>
      <w:r>
        <w:rPr>
          <w:w w:val="115"/>
          <w:sz w:val="19"/>
        </w:rPr>
        <w:t>required</w:t>
      </w:r>
      <w:r>
        <w:rPr>
          <w:spacing w:val="-4"/>
          <w:w w:val="115"/>
          <w:sz w:val="19"/>
        </w:rPr>
        <w:t xml:space="preserve"> </w:t>
      </w:r>
      <w:r>
        <w:rPr>
          <w:w w:val="115"/>
          <w:sz w:val="19"/>
        </w:rPr>
        <w:t>to</w:t>
      </w:r>
      <w:r>
        <w:rPr>
          <w:spacing w:val="-12"/>
          <w:w w:val="115"/>
          <w:sz w:val="19"/>
        </w:rPr>
        <w:t xml:space="preserve"> </w:t>
      </w:r>
      <w:r>
        <w:rPr>
          <w:w w:val="115"/>
          <w:sz w:val="19"/>
        </w:rPr>
        <w:t>make a DSM-IV</w:t>
      </w:r>
      <w:r>
        <w:rPr>
          <w:spacing w:val="22"/>
          <w:w w:val="115"/>
          <w:sz w:val="19"/>
        </w:rPr>
        <w:t xml:space="preserve"> </w:t>
      </w:r>
      <w:r>
        <w:rPr>
          <w:w w:val="115"/>
          <w:sz w:val="19"/>
        </w:rPr>
        <w:t>diagnosis.</w:t>
      </w:r>
    </w:p>
    <w:p w:rsidR="00E675F0" w:rsidRDefault="00E675F0" w:rsidP="00E675F0">
      <w:pPr>
        <w:pStyle w:val="BodyText"/>
      </w:pPr>
    </w:p>
    <w:p w:rsidR="00E675F0" w:rsidRDefault="00E675F0" w:rsidP="00E675F0">
      <w:pPr>
        <w:spacing w:before="128"/>
        <w:ind w:left="113"/>
        <w:jc w:val="both"/>
        <w:rPr>
          <w:rFonts w:ascii="TimesNewRomanPS-BoldItalicMT"/>
          <w:b/>
          <w:i/>
          <w:sz w:val="24"/>
        </w:rPr>
      </w:pPr>
      <w:r>
        <w:rPr>
          <w:rFonts w:ascii="TimesNewRomanPS-BoldItalicMT"/>
          <w:b/>
          <w:i/>
          <w:w w:val="110"/>
          <w:sz w:val="24"/>
        </w:rPr>
        <w:t xml:space="preserve">Distinction Between </w:t>
      </w:r>
      <w:r>
        <w:rPr>
          <w:b/>
          <w:w w:val="110"/>
          <w:sz w:val="24"/>
        </w:rPr>
        <w:t xml:space="preserve">Mental Disorder </w:t>
      </w:r>
      <w:r>
        <w:rPr>
          <w:rFonts w:ascii="TimesNewRomanPS-BoldItalicMT"/>
          <w:b/>
          <w:i/>
          <w:w w:val="110"/>
          <w:sz w:val="24"/>
        </w:rPr>
        <w:t>and</w:t>
      </w:r>
    </w:p>
    <w:p w:rsidR="00E675F0" w:rsidRDefault="00E675F0" w:rsidP="00E675F0">
      <w:pPr>
        <w:spacing w:before="3"/>
        <w:ind w:left="118"/>
        <w:jc w:val="both"/>
        <w:rPr>
          <w:b/>
          <w:sz w:val="24"/>
        </w:rPr>
      </w:pPr>
      <w:r>
        <w:rPr>
          <w:b/>
          <w:w w:val="110"/>
          <w:sz w:val="24"/>
        </w:rPr>
        <w:t>General Medical Condition</w:t>
      </w:r>
    </w:p>
    <w:p w:rsidR="00E675F0" w:rsidRDefault="00E675F0" w:rsidP="00E675F0">
      <w:pPr>
        <w:spacing w:before="126" w:line="264" w:lineRule="auto"/>
        <w:ind w:left="131" w:right="117" w:hanging="9"/>
        <w:jc w:val="both"/>
        <w:rPr>
          <w:sz w:val="19"/>
        </w:rPr>
      </w:pPr>
      <w:r>
        <w:rPr>
          <w:w w:val="110"/>
          <w:sz w:val="19"/>
        </w:rPr>
        <w:t xml:space="preserve">The terms </w:t>
      </w:r>
      <w:r>
        <w:rPr>
          <w:i/>
          <w:w w:val="110"/>
          <w:sz w:val="20"/>
        </w:rPr>
        <w:t xml:space="preserve">mental disorder </w:t>
      </w:r>
      <w:r>
        <w:rPr>
          <w:w w:val="110"/>
          <w:sz w:val="19"/>
        </w:rPr>
        <w:t xml:space="preserve">and </w:t>
      </w:r>
      <w:r>
        <w:rPr>
          <w:i/>
          <w:w w:val="110"/>
          <w:sz w:val="20"/>
        </w:rPr>
        <w:t xml:space="preserve">general medical condition </w:t>
      </w:r>
      <w:r>
        <w:rPr>
          <w:w w:val="110"/>
          <w:sz w:val="19"/>
        </w:rPr>
        <w:t xml:space="preserve">are used throughout this manual. The term </w:t>
      </w:r>
      <w:r>
        <w:rPr>
          <w:i/>
          <w:w w:val="110"/>
          <w:sz w:val="20"/>
        </w:rPr>
        <w:t xml:space="preserve">mental disorder </w:t>
      </w:r>
      <w:r>
        <w:rPr>
          <w:w w:val="110"/>
          <w:sz w:val="19"/>
        </w:rPr>
        <w:t xml:space="preserve">is explained above. The term </w:t>
      </w:r>
      <w:r>
        <w:rPr>
          <w:i/>
          <w:w w:val="110"/>
          <w:sz w:val="20"/>
        </w:rPr>
        <w:t xml:space="preserve">general medical condition </w:t>
      </w:r>
      <w:r>
        <w:rPr>
          <w:w w:val="110"/>
          <w:sz w:val="19"/>
        </w:rPr>
        <w:t xml:space="preserve">is used merely as a convenient shorthand to refer to conditions and disorders that are listed outside the "Mental and Behavioural Disorders" chapter of ICD. </w:t>
      </w:r>
      <w:r>
        <w:rPr>
          <w:rFonts w:ascii="Arial"/>
          <w:w w:val="110"/>
          <w:sz w:val="17"/>
        </w:rPr>
        <w:t xml:space="preserve">It </w:t>
      </w:r>
      <w:r>
        <w:rPr>
          <w:w w:val="110"/>
          <w:sz w:val="19"/>
        </w:rPr>
        <w:t>should be recognized that these are merely terms of convenience and should not be taken to imply that there is any fundamental distinction between mental disorders and general medical conditions, that mental disorders are unrelated to physical or biological factors or processes, or that general medical conditions are unrelated to behavioral or psychosocial factors or</w:t>
      </w:r>
      <w:r>
        <w:rPr>
          <w:spacing w:val="5"/>
          <w:w w:val="110"/>
          <w:sz w:val="19"/>
        </w:rPr>
        <w:t xml:space="preserve"> </w:t>
      </w:r>
      <w:r>
        <w:rPr>
          <w:w w:val="110"/>
          <w:sz w:val="19"/>
        </w:rPr>
        <w:t>processes.</w:t>
      </w:r>
    </w:p>
    <w:p w:rsidR="00E675F0" w:rsidRDefault="00E675F0" w:rsidP="00E675F0">
      <w:pPr>
        <w:pStyle w:val="BodyText"/>
      </w:pPr>
    </w:p>
    <w:p w:rsidR="00E675F0" w:rsidRDefault="00E675F0" w:rsidP="00E675F0">
      <w:pPr>
        <w:pStyle w:val="BodyText"/>
        <w:spacing w:before="9"/>
        <w:rPr>
          <w:sz w:val="15"/>
        </w:rPr>
      </w:pPr>
    </w:p>
    <w:p w:rsidR="00E675F0" w:rsidRDefault="00E675F0" w:rsidP="00E675F0">
      <w:pPr>
        <w:ind w:left="119" w:right="119"/>
        <w:jc w:val="center"/>
        <w:rPr>
          <w:b/>
          <w:sz w:val="28"/>
        </w:rPr>
      </w:pPr>
      <w:r>
        <w:rPr>
          <w:b/>
          <w:sz w:val="28"/>
        </w:rPr>
        <w:t>Organization of the Manual</w:t>
      </w:r>
    </w:p>
    <w:p w:rsidR="00E675F0" w:rsidRDefault="00E675F0" w:rsidP="00E675F0">
      <w:pPr>
        <w:spacing w:before="233" w:line="266" w:lineRule="auto"/>
        <w:ind w:left="121" w:right="114" w:firstLine="1"/>
        <w:jc w:val="both"/>
        <w:rPr>
          <w:sz w:val="19"/>
        </w:rPr>
      </w:pPr>
      <w:r>
        <w:rPr>
          <w:w w:val="110"/>
          <w:sz w:val="19"/>
        </w:rPr>
        <w:t xml:space="preserve">The manual begins with instructions concerning the use of the  manual (p. 1), followed by the DSM-IV Classification (pp. 13-24), which provides a systematic listing of the official codes and categories. Next is a description of the DSM-IV multiaxial system for diagnosis (pp. 25-35). This is followed by the diagnostic criteria for each of the DSM-IV disorders accompanied by descriptive  text  (pp.  </w:t>
      </w:r>
      <w:r>
        <w:rPr>
          <w:w w:val="110"/>
          <w:sz w:val="20"/>
        </w:rPr>
        <w:t xml:space="preserve">37-687).  </w:t>
      </w:r>
      <w:r>
        <w:rPr>
          <w:w w:val="110"/>
          <w:sz w:val="19"/>
        </w:rPr>
        <w:t>Finally,  DSM-IV  includes 10</w:t>
      </w:r>
      <w:r>
        <w:rPr>
          <w:spacing w:val="6"/>
          <w:w w:val="110"/>
          <w:sz w:val="19"/>
        </w:rPr>
        <w:t xml:space="preserve"> </w:t>
      </w:r>
      <w:r>
        <w:rPr>
          <w:w w:val="110"/>
          <w:sz w:val="19"/>
        </w:rPr>
        <w:t>appendixes.</w:t>
      </w:r>
    </w:p>
    <w:p w:rsidR="00E675F0" w:rsidRDefault="00E675F0" w:rsidP="00E675F0">
      <w:pPr>
        <w:spacing w:line="266" w:lineRule="auto"/>
        <w:jc w:val="both"/>
        <w:rPr>
          <w:sz w:val="19"/>
        </w:rPr>
        <w:sectPr w:rsidR="00E675F0">
          <w:pgSz w:w="8960" w:h="14260"/>
          <w:pgMar w:top="1400" w:right="620" w:bottom="280" w:left="620" w:header="681" w:footer="0" w:gutter="0"/>
          <w:cols w:space="720"/>
        </w:sectPr>
      </w:pPr>
    </w:p>
    <w:p w:rsidR="00E675F0" w:rsidRDefault="00E675F0" w:rsidP="00E675F0">
      <w:pPr>
        <w:pStyle w:val="BodyText"/>
        <w:spacing w:before="4"/>
        <w:rPr>
          <w:sz w:val="17"/>
        </w:rPr>
      </w:pPr>
    </w:p>
    <w:p w:rsidR="00E675F0" w:rsidRDefault="00E675F0" w:rsidP="00E675F0">
      <w:pPr>
        <w:rPr>
          <w:sz w:val="17"/>
        </w:rPr>
        <w:sectPr w:rsidR="00E675F0">
          <w:headerReference w:type="default" r:id="rId34"/>
          <w:pgSz w:w="8960" w:h="14260"/>
          <w:pgMar w:top="3660" w:right="1240" w:bottom="280" w:left="1240" w:header="3445" w:footer="0" w:gutter="0"/>
          <w:cols w:space="720"/>
        </w:sectPr>
      </w:pPr>
    </w:p>
    <w:p w:rsidR="00E675F0" w:rsidRDefault="00E675F0" w:rsidP="00E675F0">
      <w:pPr>
        <w:pStyle w:val="BodyText"/>
      </w:pPr>
    </w:p>
    <w:p w:rsidR="00E675F0" w:rsidRDefault="00E675F0" w:rsidP="00E675F0">
      <w:pPr>
        <w:pStyle w:val="BodyText"/>
      </w:pPr>
    </w:p>
    <w:bookmarkStart w:id="15" w:name="Cautionary_Statement"/>
    <w:bookmarkStart w:id="16" w:name="_bookmark6"/>
    <w:bookmarkEnd w:id="15"/>
    <w:bookmarkEnd w:id="16"/>
    <w:p w:rsidR="00E675F0" w:rsidRDefault="00E675F0" w:rsidP="00E675F0">
      <w:pPr>
        <w:pStyle w:val="Heading4"/>
        <w:spacing w:before="236"/>
        <w:ind w:left="62"/>
      </w:pPr>
      <w:r>
        <w:fldChar w:fldCharType="begin"/>
      </w:r>
      <w:r>
        <w:instrText xml:space="preserve"> HYPERLINK \l "_bookmark0" </w:instrText>
      </w:r>
      <w:r>
        <w:fldChar w:fldCharType="separate"/>
      </w:r>
      <w:r>
        <w:rPr>
          <w:w w:val="105"/>
        </w:rPr>
        <w:t>Cautionary Statement</w:t>
      </w:r>
      <w:r>
        <w:rPr>
          <w:w w:val="105"/>
        </w:rPr>
        <w:fldChar w:fldCharType="end"/>
      </w:r>
    </w:p>
    <w:p w:rsidR="00E675F0" w:rsidRDefault="00E675F0" w:rsidP="00E675F0">
      <w:pPr>
        <w:pStyle w:val="BodyText"/>
        <w:rPr>
          <w:rFonts w:ascii="Arial"/>
          <w:b/>
        </w:rPr>
      </w:pPr>
    </w:p>
    <w:p w:rsidR="00E675F0" w:rsidRDefault="00E675F0" w:rsidP="00E675F0">
      <w:pPr>
        <w:pStyle w:val="BodyText"/>
        <w:rPr>
          <w:rFonts w:ascii="Arial"/>
          <w:b/>
        </w:rPr>
      </w:pPr>
    </w:p>
    <w:p w:rsidR="00E675F0" w:rsidRDefault="00E675F0" w:rsidP="00E675F0">
      <w:pPr>
        <w:pStyle w:val="BodyText"/>
        <w:rPr>
          <w:rFonts w:ascii="Arial"/>
          <w:b/>
        </w:rPr>
      </w:pPr>
    </w:p>
    <w:p w:rsidR="00E675F0" w:rsidRDefault="00E675F0" w:rsidP="00E675F0">
      <w:pPr>
        <w:pStyle w:val="BodyText"/>
        <w:rPr>
          <w:rFonts w:ascii="Arial"/>
          <w:b/>
        </w:rPr>
      </w:pPr>
    </w:p>
    <w:p w:rsidR="00E675F0" w:rsidRDefault="00E675F0" w:rsidP="00E675F0">
      <w:pPr>
        <w:pStyle w:val="BodyText"/>
        <w:rPr>
          <w:rFonts w:ascii="Arial"/>
          <w:b/>
        </w:rPr>
      </w:pPr>
    </w:p>
    <w:p w:rsidR="00E675F0" w:rsidRDefault="00E675F0" w:rsidP="00E675F0">
      <w:pPr>
        <w:pStyle w:val="BodyText"/>
        <w:rPr>
          <w:rFonts w:ascii="Arial"/>
          <w:b/>
        </w:rPr>
      </w:pPr>
    </w:p>
    <w:p w:rsidR="00E675F0" w:rsidRDefault="00E675F0" w:rsidP="00E675F0">
      <w:pPr>
        <w:pStyle w:val="BodyText"/>
        <w:spacing w:before="10"/>
        <w:rPr>
          <w:rFonts w:ascii="Arial"/>
          <w:b/>
          <w:sz w:val="22"/>
        </w:rPr>
      </w:pPr>
    </w:p>
    <w:p w:rsidR="00E675F0" w:rsidRDefault="00E675F0" w:rsidP="00E675F0">
      <w:pPr>
        <w:pStyle w:val="BodyText"/>
        <w:spacing w:line="256" w:lineRule="auto"/>
        <w:ind w:left="119" w:right="135" w:firstLine="453"/>
        <w:jc w:val="right"/>
      </w:pPr>
      <w:r>
        <w:rPr>
          <w:noProof/>
        </w:rPr>
        <mc:AlternateContent>
          <mc:Choice Requires="wps">
            <w:drawing>
              <wp:anchor distT="0" distB="0" distL="114300" distR="114300" simplePos="0" relativeHeight="251740160" behindDoc="1" locked="0" layoutInCell="1" allowOverlap="1" wp14:anchorId="6E90E188" wp14:editId="472903EF">
                <wp:simplePos x="0" y="0"/>
                <wp:positionH relativeFrom="page">
                  <wp:posOffset>466725</wp:posOffset>
                </wp:positionH>
                <wp:positionV relativeFrom="paragraph">
                  <wp:posOffset>-137160</wp:posOffset>
                </wp:positionV>
                <wp:extent cx="288925" cy="511810"/>
                <wp:effectExtent l="0" t="0" r="0" b="0"/>
                <wp:wrapNone/>
                <wp:docPr id="1715" name="Text Box 1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8925" cy="51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5F0" w:rsidRDefault="00E675F0" w:rsidP="00E675F0">
                            <w:pPr>
                              <w:spacing w:line="805" w:lineRule="exact"/>
                              <w:rPr>
                                <w:rFonts w:ascii="Arial"/>
                                <w:sz w:val="72"/>
                              </w:rPr>
                            </w:pPr>
                            <w:r>
                              <w:rPr>
                                <w:rFonts w:ascii="Arial"/>
                                <w:w w:val="103"/>
                                <w:sz w:val="72"/>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0E188" id="Text Box 1671" o:spid="_x0000_s1042" type="#_x0000_t202" style="position:absolute;left:0;text-align:left;margin-left:36.75pt;margin-top:-10.8pt;width:22.75pt;height:40.3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" filled="f" stroked="f">
                <v:path arrowok="t"/>
                <v:textbox inset="0,0,0,0">
                  <w:txbxContent>
                    <w:p w:rsidR="00E675F0" w:rsidRDefault="00E675F0" w:rsidP="00E675F0">
                      <w:pPr>
                        <w:spacing w:line="805" w:lineRule="exact"/>
                        <w:rPr>
                          <w:rFonts w:ascii="Arial"/>
                          <w:sz w:val="72"/>
                        </w:rPr>
                      </w:pPr>
                      <w:r>
                        <w:rPr>
                          <w:rFonts w:ascii="Arial"/>
                          <w:w w:val="103"/>
                          <w:sz w:val="72"/>
                        </w:rPr>
                        <w:t>T</w:t>
                      </w:r>
                    </w:p>
                  </w:txbxContent>
                </v:textbox>
                <w10:wrap anchorx="page"/>
              </v:shape>
            </w:pict>
          </mc:Fallback>
        </mc:AlternateContent>
      </w:r>
      <w:r>
        <w:rPr>
          <w:w w:val="105"/>
        </w:rPr>
        <w:t>he specified diagnostic criteria for each mental disorder are offered as guidelines for making diagnoses, because it has been demonstrated that the use of such criteria</w:t>
      </w:r>
      <w:r>
        <w:rPr>
          <w:w w:val="101"/>
        </w:rPr>
        <w:t xml:space="preserve"> </w:t>
      </w:r>
      <w:r>
        <w:rPr>
          <w:w w:val="105"/>
        </w:rPr>
        <w:t>enhances agreement among clinicians and investigators. The proper use of these criteria</w:t>
      </w:r>
      <w:r>
        <w:t xml:space="preserve"> </w:t>
      </w:r>
      <w:r>
        <w:rPr>
          <w:w w:val="105"/>
        </w:rPr>
        <w:t>requires specialized clinical training that provides both a body of knowledge and clinical</w:t>
      </w:r>
    </w:p>
    <w:p w:rsidR="00E675F0" w:rsidRDefault="00E675F0" w:rsidP="00E675F0">
      <w:pPr>
        <w:pStyle w:val="BodyText"/>
        <w:spacing w:line="226" w:lineRule="exact"/>
        <w:ind w:left="117"/>
      </w:pPr>
      <w:r>
        <w:t>skills.</w:t>
      </w:r>
    </w:p>
    <w:p w:rsidR="00E675F0" w:rsidRDefault="00E675F0" w:rsidP="00E675F0">
      <w:pPr>
        <w:pStyle w:val="BodyText"/>
        <w:spacing w:before="10" w:line="256" w:lineRule="auto"/>
        <w:ind w:left="119" w:right="128" w:firstLine="357"/>
        <w:jc w:val="both"/>
      </w:pPr>
      <w:r>
        <w:rPr>
          <w:w w:val="105"/>
        </w:rPr>
        <w:t>These</w:t>
      </w:r>
      <w:r>
        <w:rPr>
          <w:spacing w:val="-7"/>
          <w:w w:val="105"/>
        </w:rPr>
        <w:t xml:space="preserve"> </w:t>
      </w:r>
      <w:r>
        <w:rPr>
          <w:w w:val="105"/>
        </w:rPr>
        <w:t>diagnostic</w:t>
      </w:r>
      <w:r>
        <w:rPr>
          <w:spacing w:val="-4"/>
          <w:w w:val="105"/>
        </w:rPr>
        <w:t xml:space="preserve"> </w:t>
      </w:r>
      <w:r>
        <w:rPr>
          <w:w w:val="105"/>
        </w:rPr>
        <w:t>criteria</w:t>
      </w:r>
      <w:r>
        <w:rPr>
          <w:spacing w:val="-1"/>
          <w:w w:val="105"/>
        </w:rPr>
        <w:t xml:space="preserve"> </w:t>
      </w:r>
      <w:r>
        <w:rPr>
          <w:w w:val="105"/>
        </w:rPr>
        <w:t>and</w:t>
      </w:r>
      <w:r>
        <w:rPr>
          <w:spacing w:val="-5"/>
          <w:w w:val="105"/>
        </w:rPr>
        <w:t xml:space="preserve"> </w:t>
      </w:r>
      <w:r>
        <w:rPr>
          <w:w w:val="105"/>
        </w:rPr>
        <w:t>the</w:t>
      </w:r>
      <w:r>
        <w:rPr>
          <w:spacing w:val="-9"/>
          <w:w w:val="105"/>
        </w:rPr>
        <w:t xml:space="preserve"> </w:t>
      </w:r>
      <w:r>
        <w:rPr>
          <w:w w:val="105"/>
        </w:rPr>
        <w:t>DSM-IV</w:t>
      </w:r>
      <w:r>
        <w:rPr>
          <w:spacing w:val="-8"/>
          <w:w w:val="105"/>
        </w:rPr>
        <w:t xml:space="preserve"> </w:t>
      </w:r>
      <w:r>
        <w:rPr>
          <w:w w:val="105"/>
        </w:rPr>
        <w:t>Classification</w:t>
      </w:r>
      <w:r>
        <w:rPr>
          <w:spacing w:val="-13"/>
          <w:w w:val="105"/>
        </w:rPr>
        <w:t xml:space="preserve"> </w:t>
      </w:r>
      <w:r>
        <w:rPr>
          <w:w w:val="105"/>
        </w:rPr>
        <w:t>of</w:t>
      </w:r>
      <w:r>
        <w:rPr>
          <w:spacing w:val="-1"/>
          <w:w w:val="105"/>
        </w:rPr>
        <w:t xml:space="preserve"> </w:t>
      </w:r>
      <w:r>
        <w:rPr>
          <w:w w:val="105"/>
        </w:rPr>
        <w:t>mental</w:t>
      </w:r>
      <w:r>
        <w:rPr>
          <w:spacing w:val="-8"/>
          <w:w w:val="105"/>
        </w:rPr>
        <w:t xml:space="preserve"> </w:t>
      </w:r>
      <w:r>
        <w:rPr>
          <w:w w:val="105"/>
        </w:rPr>
        <w:t>disorders</w:t>
      </w:r>
      <w:r>
        <w:rPr>
          <w:spacing w:val="-4"/>
          <w:w w:val="105"/>
        </w:rPr>
        <w:t xml:space="preserve"> </w:t>
      </w:r>
      <w:r>
        <w:rPr>
          <w:w w:val="105"/>
        </w:rPr>
        <w:t>reflect</w:t>
      </w:r>
      <w:r>
        <w:rPr>
          <w:spacing w:val="-7"/>
          <w:w w:val="105"/>
        </w:rPr>
        <w:t xml:space="preserve"> </w:t>
      </w:r>
      <w:r>
        <w:rPr>
          <w:w w:val="105"/>
        </w:rPr>
        <w:t>a consensus of current formulations of evolving knowledge in our field. They do not encompass, however, all the conditions for which  people may be treated  or that  may be appropriate topics for research</w:t>
      </w:r>
      <w:r>
        <w:rPr>
          <w:spacing w:val="11"/>
          <w:w w:val="105"/>
        </w:rPr>
        <w:t xml:space="preserve"> </w:t>
      </w:r>
      <w:r>
        <w:rPr>
          <w:w w:val="105"/>
        </w:rPr>
        <w:t>efforts.</w:t>
      </w:r>
    </w:p>
    <w:p w:rsidR="00E675F0" w:rsidRDefault="00E675F0" w:rsidP="00E675F0">
      <w:pPr>
        <w:pStyle w:val="BodyText"/>
        <w:spacing w:line="254" w:lineRule="auto"/>
        <w:ind w:left="119" w:right="129" w:firstLine="357"/>
        <w:jc w:val="both"/>
      </w:pPr>
      <w:r>
        <w:rPr>
          <w:w w:val="105"/>
        </w:rPr>
        <w:t xml:space="preserve">The purpose of DSM-IV is to provide clear descriptions of diagnostic categories in order to enable clinicians and investigators to diagnose, communicate about, study, and treat people with various mental disorders. </w:t>
      </w:r>
      <w:r>
        <w:rPr>
          <w:w w:val="105"/>
          <w:sz w:val="19"/>
        </w:rPr>
        <w:t xml:space="preserve">It </w:t>
      </w:r>
      <w:r>
        <w:rPr>
          <w:w w:val="105"/>
        </w:rPr>
        <w:t>is to be understood  that inclusion  here,  for clinical and research purposes, of a diagnostic category such as Pathological Gambling or Pedophilia does not imply that the condition meets legal or other nonmedical criteria for what constitutes mental disease, mental disorder, or mental disability. The clinical and scientific considerations involved in categorization of these conditions as mental disorders may not be wholly relevant to legal judgments, for example, that take into account such issues as individual responsibility, disability determination, and</w:t>
      </w:r>
      <w:r>
        <w:rPr>
          <w:spacing w:val="7"/>
          <w:w w:val="105"/>
        </w:rPr>
        <w:t xml:space="preserve"> </w:t>
      </w:r>
      <w:r>
        <w:rPr>
          <w:w w:val="105"/>
        </w:rPr>
        <w:t>competency.</w:t>
      </w:r>
    </w:p>
    <w:p w:rsidR="00E675F0" w:rsidRDefault="00E675F0" w:rsidP="00E675F0">
      <w:pPr>
        <w:pStyle w:val="BodyText"/>
      </w:pPr>
    </w:p>
    <w:p w:rsidR="00E675F0" w:rsidRDefault="00E675F0" w:rsidP="00E675F0">
      <w:pPr>
        <w:pStyle w:val="BodyText"/>
      </w:pPr>
    </w:p>
    <w:p w:rsidR="00E675F0" w:rsidRDefault="00E675F0" w:rsidP="00E675F0">
      <w:pPr>
        <w:pStyle w:val="BodyText"/>
      </w:pPr>
    </w:p>
    <w:p w:rsidR="00E675F0" w:rsidRDefault="00E675F0" w:rsidP="00E675F0">
      <w:pPr>
        <w:pStyle w:val="BodyText"/>
      </w:pPr>
    </w:p>
    <w:p w:rsidR="00E675F0" w:rsidRDefault="00E675F0" w:rsidP="00E675F0">
      <w:pPr>
        <w:pStyle w:val="BodyText"/>
      </w:pPr>
    </w:p>
    <w:p w:rsidR="00E675F0" w:rsidRDefault="00E675F0" w:rsidP="00E675F0">
      <w:pPr>
        <w:pStyle w:val="BodyText"/>
      </w:pPr>
    </w:p>
    <w:p w:rsidR="00E675F0" w:rsidRDefault="00E675F0" w:rsidP="00E675F0">
      <w:pPr>
        <w:pStyle w:val="BodyText"/>
      </w:pPr>
    </w:p>
    <w:p w:rsidR="00E675F0" w:rsidRDefault="00E675F0" w:rsidP="00E675F0">
      <w:pPr>
        <w:pStyle w:val="BodyText"/>
      </w:pPr>
    </w:p>
    <w:p w:rsidR="00E675F0" w:rsidRDefault="00E675F0" w:rsidP="00E675F0">
      <w:pPr>
        <w:pStyle w:val="BodyText"/>
      </w:pPr>
    </w:p>
    <w:p w:rsidR="00E675F0" w:rsidRDefault="00E675F0" w:rsidP="00E675F0">
      <w:pPr>
        <w:pStyle w:val="BodyText"/>
      </w:pPr>
    </w:p>
    <w:p w:rsidR="00E675F0" w:rsidRDefault="00E675F0" w:rsidP="00E675F0">
      <w:pPr>
        <w:pStyle w:val="BodyText"/>
      </w:pPr>
    </w:p>
    <w:p w:rsidR="00E675F0" w:rsidRDefault="00E675F0" w:rsidP="00E675F0">
      <w:pPr>
        <w:pStyle w:val="BodyText"/>
      </w:pPr>
    </w:p>
    <w:p w:rsidR="00E675F0" w:rsidRDefault="00E675F0" w:rsidP="00E675F0">
      <w:pPr>
        <w:pStyle w:val="BodyText"/>
      </w:pPr>
    </w:p>
    <w:p w:rsidR="00E675F0" w:rsidRDefault="00E675F0" w:rsidP="00E675F0">
      <w:pPr>
        <w:pStyle w:val="BodyText"/>
      </w:pPr>
    </w:p>
    <w:p w:rsidR="00E675F0" w:rsidRDefault="00E675F0" w:rsidP="00E675F0">
      <w:pPr>
        <w:pStyle w:val="BodyText"/>
      </w:pPr>
    </w:p>
    <w:p w:rsidR="00E675F0" w:rsidRDefault="00E675F0" w:rsidP="00E675F0">
      <w:pPr>
        <w:pStyle w:val="BodyText"/>
      </w:pPr>
    </w:p>
    <w:p w:rsidR="00E675F0" w:rsidRDefault="00E675F0" w:rsidP="00E675F0">
      <w:pPr>
        <w:pStyle w:val="BodyText"/>
      </w:pPr>
    </w:p>
    <w:p w:rsidR="00E675F0" w:rsidRDefault="00E675F0" w:rsidP="00E675F0">
      <w:pPr>
        <w:pStyle w:val="BodyText"/>
      </w:pPr>
    </w:p>
    <w:p w:rsidR="00E675F0" w:rsidRDefault="00E675F0" w:rsidP="00E675F0">
      <w:pPr>
        <w:pStyle w:val="BodyText"/>
        <w:spacing w:before="6"/>
        <w:rPr>
          <w:sz w:val="15"/>
        </w:rPr>
      </w:pPr>
      <w:r>
        <w:rPr>
          <w:noProof/>
        </w:rPr>
        <mc:AlternateContent>
          <mc:Choice Requires="wps">
            <w:drawing>
              <wp:anchor distT="0" distB="0" distL="0" distR="0" simplePos="0" relativeHeight="251821056" behindDoc="1" locked="0" layoutInCell="1" allowOverlap="1" wp14:anchorId="0B88C676" wp14:editId="19326028">
                <wp:simplePos x="0" y="0"/>
                <wp:positionH relativeFrom="page">
                  <wp:posOffset>471170</wp:posOffset>
                </wp:positionH>
                <wp:positionV relativeFrom="paragraph">
                  <wp:posOffset>141605</wp:posOffset>
                </wp:positionV>
                <wp:extent cx="4754880" cy="1270"/>
                <wp:effectExtent l="0" t="0" r="0" b="0"/>
                <wp:wrapTopAndBottom/>
                <wp:docPr id="1714" name="Freeform 16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54880" cy="1270"/>
                        </a:xfrm>
                        <a:custGeom>
                          <a:avLst/>
                          <a:gdLst>
                            <a:gd name="T0" fmla="+- 0 742 742"/>
                            <a:gd name="T1" fmla="*/ T0 w 7488"/>
                            <a:gd name="T2" fmla="+- 0 8230 742"/>
                            <a:gd name="T3" fmla="*/ T2 w 7488"/>
                          </a:gdLst>
                          <a:ahLst/>
                          <a:cxnLst>
                            <a:cxn ang="0">
                              <a:pos x="T1" y="0"/>
                            </a:cxn>
                            <a:cxn ang="0">
                              <a:pos x="T3" y="0"/>
                            </a:cxn>
                          </a:cxnLst>
                          <a:rect l="0" t="0" r="r" b="b"/>
                          <a:pathLst>
                            <a:path w="7488">
                              <a:moveTo>
                                <a:pt x="0" y="0"/>
                              </a:moveTo>
                              <a:lnTo>
                                <a:pt x="7488" y="0"/>
                              </a:lnTo>
                            </a:path>
                          </a:pathLst>
                        </a:custGeom>
                        <a:noFill/>
                        <a:ln w="61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5E5FC" id="Freeform 1670" o:spid="_x0000_s1026" style="position:absolute;margin-left:37.1pt;margin-top:11.15pt;width:374.4pt;height:.1pt;z-index:-251495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488,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" path="m,l7488,e" filled="f" strokeweight=".16953mm">
                <v:path arrowok="t" o:connecttype="custom" o:connectlocs="0,0;4754880,0" o:connectangles="0,0"/>
                <w10:wrap type="topAndBottom" anchorx="page"/>
              </v:shape>
            </w:pict>
          </mc:Fallback>
        </mc:AlternateContent>
      </w:r>
    </w:p>
    <w:p w:rsidR="00E675F0" w:rsidRDefault="00E675F0" w:rsidP="00E675F0">
      <w:pPr>
        <w:spacing w:before="20"/>
        <w:ind w:left="133" w:right="119"/>
        <w:jc w:val="center"/>
      </w:pPr>
      <w:r>
        <w:rPr>
          <w:w w:val="120"/>
        </w:rPr>
        <w:t>xxvii</w:t>
      </w:r>
    </w:p>
    <w:p w:rsidR="00E675F0" w:rsidRDefault="00E675F0" w:rsidP="00E675F0">
      <w:pPr>
        <w:jc w:val="center"/>
        <w:sectPr w:rsidR="00E675F0">
          <w:headerReference w:type="even" r:id="rId35"/>
          <w:pgSz w:w="8960" w:h="14260"/>
          <w:pgMar w:top="1320" w:right="620" w:bottom="280" w:left="620" w:header="0" w:footer="0" w:gutter="0"/>
          <w:cols w:space="720"/>
        </w:sectPr>
      </w:pPr>
    </w:p>
    <w:p w:rsidR="00E675F0" w:rsidRDefault="00E675F0" w:rsidP="00E675F0">
      <w:pPr>
        <w:pStyle w:val="BodyText"/>
        <w:spacing w:before="4"/>
        <w:rPr>
          <w:sz w:val="17"/>
        </w:rPr>
      </w:pPr>
    </w:p>
    <w:p w:rsidR="00E675F0" w:rsidRDefault="00E675F0" w:rsidP="00E675F0">
      <w:pPr>
        <w:rPr>
          <w:sz w:val="17"/>
        </w:rPr>
        <w:sectPr w:rsidR="00E675F0">
          <w:headerReference w:type="default" r:id="rId36"/>
          <w:pgSz w:w="8960" w:h="14260"/>
          <w:pgMar w:top="3660" w:right="1240" w:bottom="280" w:left="1240" w:header="3445" w:footer="0" w:gutter="0"/>
          <w:cols w:space="720"/>
        </w:sectPr>
      </w:pPr>
    </w:p>
    <w:p w:rsidR="00E675F0" w:rsidRDefault="00E675F0" w:rsidP="00E675F0">
      <w:pPr>
        <w:pStyle w:val="BodyText"/>
      </w:pPr>
    </w:p>
    <w:p w:rsidR="00E675F0" w:rsidRDefault="00E675F0" w:rsidP="00E675F0">
      <w:pPr>
        <w:pStyle w:val="BodyText"/>
      </w:pPr>
    </w:p>
    <w:bookmarkStart w:id="17" w:name="Use_of_the_Manual"/>
    <w:bookmarkStart w:id="18" w:name="_bookmark7"/>
    <w:bookmarkEnd w:id="17"/>
    <w:bookmarkEnd w:id="18"/>
    <w:p w:rsidR="00E675F0" w:rsidRDefault="00E675F0" w:rsidP="00E675F0">
      <w:pPr>
        <w:pStyle w:val="Heading3"/>
        <w:spacing w:before="215"/>
        <w:ind w:right="43"/>
      </w:pPr>
      <w:r>
        <w:fldChar w:fldCharType="begin"/>
      </w:r>
      <w:r>
        <w:instrText xml:space="preserve"> HYPERLINK \l "_bookmark0" </w:instrText>
      </w:r>
      <w:r>
        <w:fldChar w:fldCharType="separate"/>
      </w:r>
      <w:r>
        <w:rPr>
          <w:w w:val="105"/>
        </w:rPr>
        <w:t>Use of the Manual</w:t>
      </w:r>
      <w:r>
        <w:rPr>
          <w:w w:val="105"/>
        </w:rPr>
        <w:fldChar w:fldCharType="end"/>
      </w:r>
    </w:p>
    <w:p w:rsidR="00E675F0" w:rsidRDefault="00E675F0" w:rsidP="00E675F0">
      <w:pPr>
        <w:pStyle w:val="BodyText"/>
        <w:rPr>
          <w:rFonts w:ascii="Arial"/>
          <w:b/>
          <w:sz w:val="60"/>
        </w:rPr>
      </w:pPr>
    </w:p>
    <w:p w:rsidR="00E675F0" w:rsidRDefault="00E675F0" w:rsidP="00E675F0">
      <w:pPr>
        <w:pStyle w:val="BodyText"/>
        <w:spacing w:before="2"/>
        <w:rPr>
          <w:rFonts w:ascii="Arial"/>
          <w:b/>
          <w:sz w:val="85"/>
        </w:rPr>
      </w:pPr>
    </w:p>
    <w:p w:rsidR="00E675F0" w:rsidRDefault="00E675F0" w:rsidP="00E675F0">
      <w:pPr>
        <w:ind w:left="33" w:right="41"/>
        <w:jc w:val="center"/>
        <w:rPr>
          <w:rFonts w:ascii="Arial"/>
          <w:b/>
          <w:sz w:val="26"/>
        </w:rPr>
      </w:pPr>
      <w:r>
        <w:rPr>
          <w:rFonts w:ascii="Arial"/>
          <w:b/>
          <w:sz w:val="26"/>
        </w:rPr>
        <w:t>Coding and Reporting Procedures</w:t>
      </w:r>
    </w:p>
    <w:p w:rsidR="00E675F0" w:rsidRDefault="00E675F0" w:rsidP="00E675F0">
      <w:pPr>
        <w:spacing w:before="249"/>
        <w:ind w:left="119"/>
        <w:jc w:val="both"/>
        <w:rPr>
          <w:rFonts w:ascii="TimesNewRomanPS-BoldItalicMT"/>
          <w:b/>
          <w:i/>
          <w:sz w:val="24"/>
        </w:rPr>
      </w:pPr>
      <w:r>
        <w:rPr>
          <w:rFonts w:ascii="TimesNewRomanPS-BoldItalicMT"/>
          <w:b/>
          <w:i/>
          <w:w w:val="110"/>
          <w:sz w:val="24"/>
        </w:rPr>
        <w:t>Di.agnostic Codes</w:t>
      </w:r>
    </w:p>
    <w:p w:rsidR="00E675F0" w:rsidRDefault="00E675F0" w:rsidP="00E675F0">
      <w:pPr>
        <w:pStyle w:val="BodyText"/>
        <w:spacing w:before="127" w:line="252" w:lineRule="auto"/>
        <w:ind w:left="130" w:right="139" w:hanging="1"/>
        <w:jc w:val="both"/>
      </w:pPr>
      <w:r>
        <w:rPr>
          <w:w w:val="105"/>
        </w:rPr>
        <w:t xml:space="preserve">The official coding system in use in the United States as of publication of  this manual  is the </w:t>
      </w:r>
      <w:r>
        <w:rPr>
          <w:i/>
          <w:w w:val="105"/>
        </w:rPr>
        <w:t xml:space="preserve">International Classification of Diseases, </w:t>
      </w:r>
      <w:r>
        <w:rPr>
          <w:w w:val="105"/>
        </w:rPr>
        <w:t>Ninth Revision, Clinical Modification (ICD-9-CM). Most DSM-IV disorders have a numerical ICD-9-CM code that appears several times: 1) preceding the name of</w:t>
      </w:r>
      <w:r>
        <w:rPr>
          <w:spacing w:val="14"/>
          <w:w w:val="105"/>
        </w:rPr>
        <w:t xml:space="preserve"> </w:t>
      </w:r>
      <w:r>
        <w:rPr>
          <w:w w:val="105"/>
        </w:rPr>
        <w:t>the disorder in the Classification (pp. 13-24),</w:t>
      </w:r>
    </w:p>
    <w:p w:rsidR="00E675F0" w:rsidRDefault="00E675F0" w:rsidP="003048D3">
      <w:pPr>
        <w:pStyle w:val="ListParagraph"/>
        <w:numPr>
          <w:ilvl w:val="0"/>
          <w:numId w:val="138"/>
        </w:numPr>
        <w:tabs>
          <w:tab w:val="left" w:pos="350"/>
        </w:tabs>
        <w:spacing w:before="10" w:line="256" w:lineRule="auto"/>
        <w:ind w:left="130" w:right="133" w:firstLine="5"/>
        <w:jc w:val="both"/>
        <w:rPr>
          <w:sz w:val="20"/>
        </w:rPr>
      </w:pPr>
      <w:r>
        <w:rPr>
          <w:w w:val="105"/>
          <w:sz w:val="20"/>
        </w:rPr>
        <w:t>at the beginning of the text section for each disorder, and 3) accompanying the criteria set for each disorder. For some diagnoses (e.g., Mental Retardation, Substance-Induced Mood Disorder), the appropriate code depends on further specification and is listed after the text and criteria set for the disorder. The names of some disorders are followed by alternative terms enclosed in parentheses, which, in most cases, were the DSM-III-R names for the</w:t>
      </w:r>
      <w:r>
        <w:rPr>
          <w:spacing w:val="22"/>
          <w:w w:val="105"/>
          <w:sz w:val="20"/>
        </w:rPr>
        <w:t xml:space="preserve"> </w:t>
      </w:r>
      <w:r>
        <w:rPr>
          <w:w w:val="105"/>
          <w:sz w:val="20"/>
        </w:rPr>
        <w:t>disorders.</w:t>
      </w:r>
    </w:p>
    <w:p w:rsidR="00E675F0" w:rsidRDefault="00E675F0" w:rsidP="00E675F0">
      <w:pPr>
        <w:pStyle w:val="BodyText"/>
        <w:spacing w:line="249" w:lineRule="auto"/>
        <w:ind w:left="130" w:right="122" w:firstLine="359"/>
        <w:jc w:val="both"/>
      </w:pPr>
      <w:r>
        <w:rPr>
          <w:w w:val="105"/>
        </w:rPr>
        <w:t>The use of diagnostic codes is fundamental to medical record keeping. Diagnostic coding facilitates data collection and retrieval and compilation of statistical information. Codes also are often required to report diagnostic data to interested third parties, including governmental agencies, private insurers, and the World Health Organization. For example, in the United States, the use of these codes has been mandated by the Health</w:t>
      </w:r>
      <w:r>
        <w:rPr>
          <w:spacing w:val="-11"/>
          <w:w w:val="105"/>
        </w:rPr>
        <w:t xml:space="preserve"> </w:t>
      </w:r>
      <w:r>
        <w:rPr>
          <w:w w:val="105"/>
        </w:rPr>
        <w:t>Care</w:t>
      </w:r>
      <w:r>
        <w:rPr>
          <w:spacing w:val="-11"/>
          <w:w w:val="105"/>
        </w:rPr>
        <w:t xml:space="preserve"> </w:t>
      </w:r>
      <w:r>
        <w:rPr>
          <w:w w:val="105"/>
        </w:rPr>
        <w:t>Financing</w:t>
      </w:r>
      <w:r>
        <w:rPr>
          <w:spacing w:val="-11"/>
          <w:w w:val="105"/>
        </w:rPr>
        <w:t xml:space="preserve"> </w:t>
      </w:r>
      <w:r>
        <w:rPr>
          <w:w w:val="105"/>
        </w:rPr>
        <w:t>Administration</w:t>
      </w:r>
      <w:r>
        <w:rPr>
          <w:spacing w:val="-25"/>
          <w:w w:val="105"/>
        </w:rPr>
        <w:t xml:space="preserve"> </w:t>
      </w:r>
      <w:r>
        <w:rPr>
          <w:w w:val="105"/>
        </w:rPr>
        <w:t>for</w:t>
      </w:r>
      <w:r>
        <w:rPr>
          <w:spacing w:val="-14"/>
          <w:w w:val="105"/>
        </w:rPr>
        <w:t xml:space="preserve"> </w:t>
      </w:r>
      <w:r>
        <w:rPr>
          <w:w w:val="105"/>
        </w:rPr>
        <w:t>purposes</w:t>
      </w:r>
      <w:r>
        <w:rPr>
          <w:spacing w:val="-12"/>
          <w:w w:val="105"/>
        </w:rPr>
        <w:t xml:space="preserve"> </w:t>
      </w:r>
      <w:r>
        <w:rPr>
          <w:w w:val="105"/>
        </w:rPr>
        <w:t>of</w:t>
      </w:r>
      <w:r>
        <w:rPr>
          <w:spacing w:val="-6"/>
          <w:w w:val="105"/>
        </w:rPr>
        <w:t xml:space="preserve"> </w:t>
      </w:r>
      <w:r>
        <w:rPr>
          <w:w w:val="105"/>
        </w:rPr>
        <w:t>reimbursement</w:t>
      </w:r>
      <w:r>
        <w:rPr>
          <w:spacing w:val="6"/>
          <w:w w:val="105"/>
        </w:rPr>
        <w:t xml:space="preserve"> </w:t>
      </w:r>
      <w:r>
        <w:rPr>
          <w:w w:val="105"/>
        </w:rPr>
        <w:t>under</w:t>
      </w:r>
      <w:r>
        <w:rPr>
          <w:spacing w:val="-10"/>
          <w:w w:val="105"/>
        </w:rPr>
        <w:t xml:space="preserve"> </w:t>
      </w:r>
      <w:r>
        <w:rPr>
          <w:w w:val="105"/>
        </w:rPr>
        <w:t>the</w:t>
      </w:r>
      <w:r>
        <w:rPr>
          <w:spacing w:val="-23"/>
          <w:w w:val="105"/>
        </w:rPr>
        <w:t xml:space="preserve"> </w:t>
      </w:r>
      <w:r>
        <w:rPr>
          <w:w w:val="105"/>
        </w:rPr>
        <w:t>Medicare system.</w:t>
      </w:r>
    </w:p>
    <w:p w:rsidR="00E675F0" w:rsidRDefault="00E675F0" w:rsidP="00E675F0">
      <w:pPr>
        <w:pStyle w:val="BodyText"/>
        <w:spacing w:line="254" w:lineRule="auto"/>
        <w:ind w:left="127" w:right="124" w:firstLine="360"/>
        <w:jc w:val="both"/>
      </w:pPr>
      <w:r>
        <w:rPr>
          <w:w w:val="110"/>
        </w:rPr>
        <w:t xml:space="preserve">Subtypes (some of which are coded in the fifth digit) and specifiers are provided for increased specificity. </w:t>
      </w:r>
      <w:r>
        <w:rPr>
          <w:i/>
          <w:w w:val="110"/>
        </w:rPr>
        <w:t xml:space="preserve">Subtypes </w:t>
      </w:r>
      <w:r>
        <w:rPr>
          <w:w w:val="110"/>
        </w:rPr>
        <w:t>define mutually exclusive and jointly exhaustive phenomenological</w:t>
      </w:r>
      <w:r>
        <w:rPr>
          <w:spacing w:val="-29"/>
          <w:w w:val="110"/>
        </w:rPr>
        <w:t xml:space="preserve"> </w:t>
      </w:r>
      <w:r>
        <w:rPr>
          <w:w w:val="110"/>
        </w:rPr>
        <w:t>subgroupings</w:t>
      </w:r>
      <w:r>
        <w:rPr>
          <w:spacing w:val="-20"/>
          <w:w w:val="110"/>
        </w:rPr>
        <w:t xml:space="preserve"> </w:t>
      </w:r>
      <w:r>
        <w:rPr>
          <w:w w:val="110"/>
        </w:rPr>
        <w:t>within</w:t>
      </w:r>
      <w:r>
        <w:rPr>
          <w:spacing w:val="-26"/>
          <w:w w:val="110"/>
        </w:rPr>
        <w:t xml:space="preserve"> </w:t>
      </w:r>
      <w:r>
        <w:rPr>
          <w:w w:val="110"/>
        </w:rPr>
        <w:t>a</w:t>
      </w:r>
      <w:r>
        <w:rPr>
          <w:spacing w:val="-25"/>
          <w:w w:val="110"/>
        </w:rPr>
        <w:t xml:space="preserve"> </w:t>
      </w:r>
      <w:r>
        <w:rPr>
          <w:w w:val="110"/>
        </w:rPr>
        <w:t>diagnosis</w:t>
      </w:r>
      <w:r>
        <w:rPr>
          <w:spacing w:val="-22"/>
          <w:w w:val="110"/>
        </w:rPr>
        <w:t xml:space="preserve"> </w:t>
      </w:r>
      <w:r>
        <w:rPr>
          <w:w w:val="110"/>
        </w:rPr>
        <w:t>and</w:t>
      </w:r>
      <w:r>
        <w:rPr>
          <w:spacing w:val="-24"/>
          <w:w w:val="110"/>
        </w:rPr>
        <w:t xml:space="preserve"> </w:t>
      </w:r>
      <w:r>
        <w:rPr>
          <w:w w:val="110"/>
        </w:rPr>
        <w:t>are</w:t>
      </w:r>
      <w:r>
        <w:rPr>
          <w:spacing w:val="-23"/>
          <w:w w:val="110"/>
        </w:rPr>
        <w:t xml:space="preserve"> </w:t>
      </w:r>
      <w:r>
        <w:rPr>
          <w:w w:val="110"/>
        </w:rPr>
        <w:t>indicated</w:t>
      </w:r>
      <w:r>
        <w:rPr>
          <w:spacing w:val="-17"/>
          <w:w w:val="110"/>
        </w:rPr>
        <w:t xml:space="preserve"> </w:t>
      </w:r>
      <w:r>
        <w:rPr>
          <w:w w:val="110"/>
        </w:rPr>
        <w:t>by</w:t>
      </w:r>
      <w:r>
        <w:rPr>
          <w:spacing w:val="-23"/>
          <w:w w:val="110"/>
        </w:rPr>
        <w:t xml:space="preserve"> </w:t>
      </w:r>
      <w:r>
        <w:rPr>
          <w:w w:val="110"/>
        </w:rPr>
        <w:t>the</w:t>
      </w:r>
      <w:r>
        <w:rPr>
          <w:spacing w:val="-23"/>
          <w:w w:val="110"/>
        </w:rPr>
        <w:t xml:space="preserve"> </w:t>
      </w:r>
      <w:r>
        <w:rPr>
          <w:w w:val="110"/>
        </w:rPr>
        <w:t>instruction "specify type" in the criteria set. For example, Delusional Disorder is subtyped based on the content of the delusions, with seven subtypes provided: Erotomanic Type, Grandiose Type, Jealous Type, Persecutory Type, Somatic Type, Mixed Type, and Unspecified</w:t>
      </w:r>
      <w:r>
        <w:rPr>
          <w:spacing w:val="1"/>
          <w:w w:val="110"/>
        </w:rPr>
        <w:t xml:space="preserve"> </w:t>
      </w:r>
      <w:r>
        <w:rPr>
          <w:w w:val="110"/>
        </w:rPr>
        <w:t>Type.</w:t>
      </w:r>
      <w:r>
        <w:rPr>
          <w:spacing w:val="-5"/>
          <w:w w:val="110"/>
        </w:rPr>
        <w:t xml:space="preserve"> </w:t>
      </w:r>
      <w:r>
        <w:rPr>
          <w:w w:val="110"/>
        </w:rPr>
        <w:t>In</w:t>
      </w:r>
      <w:r>
        <w:rPr>
          <w:spacing w:val="-7"/>
          <w:w w:val="110"/>
        </w:rPr>
        <w:t xml:space="preserve"> </w:t>
      </w:r>
      <w:r>
        <w:rPr>
          <w:w w:val="110"/>
        </w:rPr>
        <w:t>contrast,</w:t>
      </w:r>
      <w:r>
        <w:rPr>
          <w:spacing w:val="6"/>
          <w:w w:val="110"/>
        </w:rPr>
        <w:t xml:space="preserve"> </w:t>
      </w:r>
      <w:r>
        <w:rPr>
          <w:i/>
          <w:w w:val="110"/>
        </w:rPr>
        <w:t>specifiers</w:t>
      </w:r>
      <w:r>
        <w:rPr>
          <w:i/>
          <w:spacing w:val="-19"/>
          <w:w w:val="110"/>
        </w:rPr>
        <w:t xml:space="preserve"> </w:t>
      </w:r>
      <w:r>
        <w:rPr>
          <w:w w:val="110"/>
        </w:rPr>
        <w:t>are</w:t>
      </w:r>
      <w:r>
        <w:rPr>
          <w:spacing w:val="-6"/>
          <w:w w:val="110"/>
        </w:rPr>
        <w:t xml:space="preserve"> </w:t>
      </w:r>
      <w:r>
        <w:rPr>
          <w:w w:val="110"/>
        </w:rPr>
        <w:t>not</w:t>
      </w:r>
      <w:r>
        <w:rPr>
          <w:spacing w:val="-3"/>
          <w:w w:val="110"/>
        </w:rPr>
        <w:t xml:space="preserve"> </w:t>
      </w:r>
      <w:r>
        <w:rPr>
          <w:w w:val="110"/>
        </w:rPr>
        <w:t>intended to</w:t>
      </w:r>
      <w:r>
        <w:rPr>
          <w:spacing w:val="-6"/>
          <w:w w:val="110"/>
        </w:rPr>
        <w:t xml:space="preserve"> </w:t>
      </w:r>
      <w:r>
        <w:rPr>
          <w:w w:val="110"/>
        </w:rPr>
        <w:t>be</w:t>
      </w:r>
      <w:r>
        <w:rPr>
          <w:spacing w:val="-9"/>
          <w:w w:val="110"/>
        </w:rPr>
        <w:t xml:space="preserve"> </w:t>
      </w:r>
      <w:r>
        <w:rPr>
          <w:w w:val="110"/>
        </w:rPr>
        <w:t>mutually</w:t>
      </w:r>
      <w:r>
        <w:rPr>
          <w:spacing w:val="-2"/>
          <w:w w:val="110"/>
        </w:rPr>
        <w:t xml:space="preserve"> </w:t>
      </w:r>
      <w:r>
        <w:rPr>
          <w:w w:val="110"/>
        </w:rPr>
        <w:t>exclusive</w:t>
      </w:r>
      <w:r>
        <w:rPr>
          <w:spacing w:val="-4"/>
          <w:w w:val="110"/>
        </w:rPr>
        <w:t xml:space="preserve"> </w:t>
      </w:r>
      <w:r>
        <w:rPr>
          <w:w w:val="110"/>
        </w:rPr>
        <w:t>or jointly</w:t>
      </w:r>
      <w:r>
        <w:rPr>
          <w:spacing w:val="-29"/>
          <w:w w:val="110"/>
        </w:rPr>
        <w:t xml:space="preserve"> </w:t>
      </w:r>
      <w:r>
        <w:rPr>
          <w:w w:val="110"/>
        </w:rPr>
        <w:t>exhaustive</w:t>
      </w:r>
      <w:r>
        <w:rPr>
          <w:spacing w:val="-25"/>
          <w:w w:val="110"/>
        </w:rPr>
        <w:t xml:space="preserve"> </w:t>
      </w:r>
      <w:r>
        <w:rPr>
          <w:w w:val="110"/>
        </w:rPr>
        <w:t>and</w:t>
      </w:r>
      <w:r>
        <w:rPr>
          <w:spacing w:val="-26"/>
          <w:w w:val="110"/>
        </w:rPr>
        <w:t xml:space="preserve"> </w:t>
      </w:r>
      <w:r>
        <w:rPr>
          <w:w w:val="110"/>
        </w:rPr>
        <w:t>are</w:t>
      </w:r>
      <w:r>
        <w:rPr>
          <w:spacing w:val="-27"/>
          <w:w w:val="110"/>
        </w:rPr>
        <w:t xml:space="preserve"> </w:t>
      </w:r>
      <w:r>
        <w:rPr>
          <w:w w:val="110"/>
        </w:rPr>
        <w:t>indicated</w:t>
      </w:r>
      <w:r>
        <w:rPr>
          <w:spacing w:val="-21"/>
          <w:w w:val="110"/>
        </w:rPr>
        <w:t xml:space="preserve"> </w:t>
      </w:r>
      <w:r>
        <w:rPr>
          <w:w w:val="110"/>
        </w:rPr>
        <w:t>by</w:t>
      </w:r>
      <w:r>
        <w:rPr>
          <w:spacing w:val="-28"/>
          <w:w w:val="110"/>
        </w:rPr>
        <w:t xml:space="preserve"> </w:t>
      </w:r>
      <w:r>
        <w:rPr>
          <w:w w:val="110"/>
        </w:rPr>
        <w:t>the</w:t>
      </w:r>
      <w:r>
        <w:rPr>
          <w:spacing w:val="-27"/>
          <w:w w:val="110"/>
        </w:rPr>
        <w:t xml:space="preserve"> </w:t>
      </w:r>
      <w:r>
        <w:rPr>
          <w:w w:val="110"/>
        </w:rPr>
        <w:t>instruction</w:t>
      </w:r>
      <w:r>
        <w:rPr>
          <w:spacing w:val="-22"/>
          <w:w w:val="110"/>
        </w:rPr>
        <w:t xml:space="preserve"> </w:t>
      </w:r>
      <w:r>
        <w:rPr>
          <w:w w:val="110"/>
        </w:rPr>
        <w:t>"specify</w:t>
      </w:r>
      <w:r>
        <w:rPr>
          <w:spacing w:val="-27"/>
          <w:w w:val="110"/>
        </w:rPr>
        <w:t xml:space="preserve"> </w:t>
      </w:r>
      <w:r>
        <w:rPr>
          <w:w w:val="110"/>
        </w:rPr>
        <w:t>if"</w:t>
      </w:r>
      <w:r>
        <w:rPr>
          <w:spacing w:val="-28"/>
          <w:w w:val="110"/>
        </w:rPr>
        <w:t xml:space="preserve"> </w:t>
      </w:r>
      <w:r>
        <w:rPr>
          <w:w w:val="110"/>
        </w:rPr>
        <w:t>in</w:t>
      </w:r>
      <w:r>
        <w:rPr>
          <w:spacing w:val="-27"/>
          <w:w w:val="110"/>
        </w:rPr>
        <w:t xml:space="preserve"> </w:t>
      </w:r>
      <w:r>
        <w:rPr>
          <w:w w:val="110"/>
        </w:rPr>
        <w:t>the</w:t>
      </w:r>
      <w:r>
        <w:rPr>
          <w:spacing w:val="-28"/>
          <w:w w:val="110"/>
        </w:rPr>
        <w:t xml:space="preserve"> </w:t>
      </w:r>
      <w:r>
        <w:rPr>
          <w:w w:val="110"/>
        </w:rPr>
        <w:t>criteria</w:t>
      </w:r>
      <w:r>
        <w:rPr>
          <w:spacing w:val="-25"/>
          <w:w w:val="110"/>
        </w:rPr>
        <w:t xml:space="preserve"> </w:t>
      </w:r>
      <w:r>
        <w:rPr>
          <w:w w:val="110"/>
        </w:rPr>
        <w:t>set</w:t>
      </w:r>
      <w:r>
        <w:rPr>
          <w:spacing w:val="-31"/>
          <w:w w:val="110"/>
        </w:rPr>
        <w:t xml:space="preserve"> </w:t>
      </w:r>
      <w:r>
        <w:rPr>
          <w:w w:val="110"/>
        </w:rPr>
        <w:t>(e.g., for</w:t>
      </w:r>
      <w:r>
        <w:rPr>
          <w:spacing w:val="-32"/>
          <w:w w:val="110"/>
        </w:rPr>
        <w:t xml:space="preserve"> </w:t>
      </w:r>
      <w:r>
        <w:rPr>
          <w:w w:val="110"/>
        </w:rPr>
        <w:t>Social</w:t>
      </w:r>
      <w:r>
        <w:rPr>
          <w:spacing w:val="-25"/>
          <w:w w:val="110"/>
        </w:rPr>
        <w:t xml:space="preserve"> </w:t>
      </w:r>
      <w:r>
        <w:rPr>
          <w:w w:val="110"/>
        </w:rPr>
        <w:t>Phobia,</w:t>
      </w:r>
      <w:r>
        <w:rPr>
          <w:spacing w:val="-25"/>
          <w:w w:val="110"/>
        </w:rPr>
        <w:t xml:space="preserve"> </w:t>
      </w:r>
      <w:r>
        <w:rPr>
          <w:w w:val="110"/>
        </w:rPr>
        <w:t>the</w:t>
      </w:r>
      <w:r>
        <w:rPr>
          <w:spacing w:val="-29"/>
          <w:w w:val="110"/>
        </w:rPr>
        <w:t xml:space="preserve"> </w:t>
      </w:r>
      <w:r>
        <w:rPr>
          <w:w w:val="110"/>
        </w:rPr>
        <w:t>instruction</w:t>
      </w:r>
      <w:r>
        <w:rPr>
          <w:spacing w:val="-20"/>
          <w:w w:val="110"/>
        </w:rPr>
        <w:t xml:space="preserve"> </w:t>
      </w:r>
      <w:r>
        <w:rPr>
          <w:w w:val="110"/>
        </w:rPr>
        <w:t>notes</w:t>
      </w:r>
      <w:r>
        <w:rPr>
          <w:spacing w:val="-30"/>
          <w:w w:val="110"/>
        </w:rPr>
        <w:t xml:space="preserve"> </w:t>
      </w:r>
      <w:r>
        <w:rPr>
          <w:w w:val="110"/>
        </w:rPr>
        <w:t>"Specify</w:t>
      </w:r>
      <w:r>
        <w:rPr>
          <w:spacing w:val="-23"/>
          <w:w w:val="110"/>
        </w:rPr>
        <w:t xml:space="preserve"> </w:t>
      </w:r>
      <w:r>
        <w:rPr>
          <w:w w:val="110"/>
        </w:rPr>
        <w:t>if:</w:t>
      </w:r>
      <w:r>
        <w:rPr>
          <w:spacing w:val="-31"/>
          <w:w w:val="110"/>
        </w:rPr>
        <w:t xml:space="preserve"> </w:t>
      </w:r>
      <w:r>
        <w:rPr>
          <w:w w:val="110"/>
        </w:rPr>
        <w:t>Generalized").</w:t>
      </w:r>
      <w:r>
        <w:rPr>
          <w:spacing w:val="-30"/>
          <w:w w:val="110"/>
        </w:rPr>
        <w:t xml:space="preserve"> </w:t>
      </w:r>
      <w:r>
        <w:rPr>
          <w:w w:val="110"/>
        </w:rPr>
        <w:t>Specifiers</w:t>
      </w:r>
      <w:r>
        <w:rPr>
          <w:spacing w:val="-20"/>
          <w:w w:val="110"/>
        </w:rPr>
        <w:t xml:space="preserve"> </w:t>
      </w:r>
      <w:r>
        <w:rPr>
          <w:w w:val="110"/>
        </w:rPr>
        <w:t>provide</w:t>
      </w:r>
      <w:r>
        <w:rPr>
          <w:spacing w:val="-27"/>
          <w:w w:val="110"/>
        </w:rPr>
        <w:t xml:space="preserve"> </w:t>
      </w:r>
      <w:r>
        <w:rPr>
          <w:w w:val="110"/>
        </w:rPr>
        <w:t>an opportunity</w:t>
      </w:r>
      <w:r>
        <w:rPr>
          <w:spacing w:val="-22"/>
          <w:w w:val="110"/>
        </w:rPr>
        <w:t xml:space="preserve"> </w:t>
      </w:r>
      <w:r>
        <w:rPr>
          <w:w w:val="110"/>
        </w:rPr>
        <w:t>to</w:t>
      </w:r>
      <w:r>
        <w:rPr>
          <w:spacing w:val="-36"/>
          <w:w w:val="110"/>
        </w:rPr>
        <w:t xml:space="preserve"> </w:t>
      </w:r>
      <w:r>
        <w:rPr>
          <w:w w:val="110"/>
        </w:rPr>
        <w:t>define</w:t>
      </w:r>
      <w:r>
        <w:rPr>
          <w:spacing w:val="-28"/>
          <w:w w:val="110"/>
        </w:rPr>
        <w:t xml:space="preserve"> </w:t>
      </w:r>
      <w:r>
        <w:rPr>
          <w:w w:val="110"/>
        </w:rPr>
        <w:t>a</w:t>
      </w:r>
      <w:r>
        <w:rPr>
          <w:spacing w:val="-27"/>
          <w:w w:val="110"/>
        </w:rPr>
        <w:t xml:space="preserve"> </w:t>
      </w:r>
      <w:r>
        <w:rPr>
          <w:w w:val="110"/>
        </w:rPr>
        <w:t>more</w:t>
      </w:r>
      <w:r>
        <w:rPr>
          <w:spacing w:val="-29"/>
          <w:w w:val="110"/>
        </w:rPr>
        <w:t xml:space="preserve"> </w:t>
      </w:r>
      <w:r>
        <w:rPr>
          <w:w w:val="110"/>
        </w:rPr>
        <w:t>homogeneous</w:t>
      </w:r>
      <w:r>
        <w:rPr>
          <w:spacing w:val="-23"/>
          <w:w w:val="110"/>
        </w:rPr>
        <w:t xml:space="preserve"> </w:t>
      </w:r>
      <w:r>
        <w:rPr>
          <w:w w:val="110"/>
        </w:rPr>
        <w:t>subgrouping</w:t>
      </w:r>
      <w:r>
        <w:rPr>
          <w:spacing w:val="-25"/>
          <w:w w:val="110"/>
        </w:rPr>
        <w:t xml:space="preserve"> </w:t>
      </w:r>
      <w:r>
        <w:rPr>
          <w:w w:val="110"/>
        </w:rPr>
        <w:t>of</w:t>
      </w:r>
      <w:r>
        <w:rPr>
          <w:spacing w:val="-27"/>
          <w:w w:val="110"/>
        </w:rPr>
        <w:t xml:space="preserve"> </w:t>
      </w:r>
      <w:r>
        <w:rPr>
          <w:w w:val="110"/>
        </w:rPr>
        <w:t>individuals</w:t>
      </w:r>
      <w:r>
        <w:rPr>
          <w:spacing w:val="-27"/>
          <w:w w:val="110"/>
        </w:rPr>
        <w:t xml:space="preserve"> </w:t>
      </w:r>
      <w:r>
        <w:rPr>
          <w:w w:val="110"/>
        </w:rPr>
        <w:t>with</w:t>
      </w:r>
      <w:r>
        <w:rPr>
          <w:spacing w:val="-31"/>
          <w:w w:val="110"/>
        </w:rPr>
        <w:t xml:space="preserve"> </w:t>
      </w:r>
      <w:r>
        <w:rPr>
          <w:w w:val="110"/>
        </w:rPr>
        <w:t>the</w:t>
      </w:r>
      <w:r>
        <w:rPr>
          <w:spacing w:val="-32"/>
          <w:w w:val="110"/>
        </w:rPr>
        <w:t xml:space="preserve"> </w:t>
      </w:r>
      <w:r>
        <w:rPr>
          <w:w w:val="110"/>
        </w:rPr>
        <w:t xml:space="preserve">disorder </w:t>
      </w:r>
      <w:r>
        <w:rPr>
          <w:w w:val="105"/>
        </w:rPr>
        <w:t>who</w:t>
      </w:r>
      <w:r>
        <w:rPr>
          <w:spacing w:val="-5"/>
          <w:w w:val="105"/>
        </w:rPr>
        <w:t xml:space="preserve"> </w:t>
      </w:r>
      <w:r>
        <w:rPr>
          <w:w w:val="105"/>
        </w:rPr>
        <w:t>share</w:t>
      </w:r>
      <w:r>
        <w:rPr>
          <w:spacing w:val="-18"/>
          <w:w w:val="105"/>
        </w:rPr>
        <w:t xml:space="preserve"> </w:t>
      </w:r>
      <w:r>
        <w:rPr>
          <w:w w:val="105"/>
        </w:rPr>
        <w:t>certain</w:t>
      </w:r>
      <w:r>
        <w:rPr>
          <w:spacing w:val="-13"/>
          <w:w w:val="105"/>
        </w:rPr>
        <w:t xml:space="preserve"> </w:t>
      </w:r>
      <w:r>
        <w:rPr>
          <w:w w:val="105"/>
        </w:rPr>
        <w:t>features</w:t>
      </w:r>
      <w:r>
        <w:rPr>
          <w:spacing w:val="-17"/>
          <w:w w:val="105"/>
        </w:rPr>
        <w:t xml:space="preserve"> </w:t>
      </w:r>
      <w:r>
        <w:rPr>
          <w:w w:val="105"/>
        </w:rPr>
        <w:t>(e.g.,</w:t>
      </w:r>
      <w:r>
        <w:rPr>
          <w:spacing w:val="-11"/>
          <w:w w:val="105"/>
        </w:rPr>
        <w:t xml:space="preserve"> </w:t>
      </w:r>
      <w:r>
        <w:rPr>
          <w:w w:val="105"/>
        </w:rPr>
        <w:t>Major</w:t>
      </w:r>
      <w:r>
        <w:rPr>
          <w:spacing w:val="-12"/>
          <w:w w:val="105"/>
        </w:rPr>
        <w:t xml:space="preserve"> </w:t>
      </w:r>
      <w:r>
        <w:rPr>
          <w:w w:val="105"/>
        </w:rPr>
        <w:t>Depressive</w:t>
      </w:r>
      <w:r>
        <w:rPr>
          <w:spacing w:val="-7"/>
          <w:w w:val="105"/>
        </w:rPr>
        <w:t xml:space="preserve"> </w:t>
      </w:r>
      <w:r>
        <w:rPr>
          <w:w w:val="105"/>
        </w:rPr>
        <w:t>Disorder,</w:t>
      </w:r>
      <w:r>
        <w:rPr>
          <w:spacing w:val="-6"/>
          <w:w w:val="105"/>
        </w:rPr>
        <w:t xml:space="preserve"> </w:t>
      </w:r>
      <w:r>
        <w:rPr>
          <w:w w:val="105"/>
        </w:rPr>
        <w:t>With</w:t>
      </w:r>
      <w:r>
        <w:rPr>
          <w:spacing w:val="-14"/>
          <w:w w:val="105"/>
        </w:rPr>
        <w:t xml:space="preserve"> </w:t>
      </w:r>
      <w:r>
        <w:rPr>
          <w:w w:val="105"/>
        </w:rPr>
        <w:t>Melancholic</w:t>
      </w:r>
      <w:r>
        <w:rPr>
          <w:spacing w:val="1"/>
          <w:w w:val="105"/>
        </w:rPr>
        <w:t xml:space="preserve"> </w:t>
      </w:r>
      <w:r>
        <w:rPr>
          <w:w w:val="105"/>
        </w:rPr>
        <w:t xml:space="preserve">Features). </w:t>
      </w:r>
      <w:r>
        <w:rPr>
          <w:w w:val="110"/>
        </w:rPr>
        <w:t>Although</w:t>
      </w:r>
      <w:r>
        <w:rPr>
          <w:spacing w:val="-10"/>
          <w:w w:val="110"/>
        </w:rPr>
        <w:t xml:space="preserve"> </w:t>
      </w:r>
      <w:r>
        <w:rPr>
          <w:w w:val="110"/>
        </w:rPr>
        <w:t>a</w:t>
      </w:r>
      <w:r>
        <w:rPr>
          <w:spacing w:val="-22"/>
          <w:w w:val="110"/>
        </w:rPr>
        <w:t xml:space="preserve"> </w:t>
      </w:r>
      <w:r>
        <w:rPr>
          <w:w w:val="110"/>
        </w:rPr>
        <w:t>fifth</w:t>
      </w:r>
      <w:r>
        <w:rPr>
          <w:spacing w:val="-16"/>
          <w:w w:val="110"/>
        </w:rPr>
        <w:t xml:space="preserve"> </w:t>
      </w:r>
      <w:r>
        <w:rPr>
          <w:w w:val="110"/>
        </w:rPr>
        <w:t>digit</w:t>
      </w:r>
      <w:r>
        <w:rPr>
          <w:spacing w:val="-14"/>
          <w:w w:val="110"/>
        </w:rPr>
        <w:t xml:space="preserve"> </w:t>
      </w:r>
      <w:r>
        <w:rPr>
          <w:w w:val="110"/>
        </w:rPr>
        <w:t>is</w:t>
      </w:r>
      <w:r>
        <w:rPr>
          <w:spacing w:val="-24"/>
          <w:w w:val="110"/>
        </w:rPr>
        <w:t xml:space="preserve"> </w:t>
      </w:r>
      <w:r>
        <w:rPr>
          <w:w w:val="110"/>
        </w:rPr>
        <w:t>sometimes</w:t>
      </w:r>
      <w:r>
        <w:rPr>
          <w:spacing w:val="-16"/>
          <w:w w:val="110"/>
        </w:rPr>
        <w:t xml:space="preserve"> </w:t>
      </w:r>
      <w:r>
        <w:rPr>
          <w:w w:val="110"/>
        </w:rPr>
        <w:t>assigned</w:t>
      </w:r>
      <w:r>
        <w:rPr>
          <w:spacing w:val="-11"/>
          <w:w w:val="110"/>
        </w:rPr>
        <w:t xml:space="preserve"> </w:t>
      </w:r>
      <w:r>
        <w:rPr>
          <w:w w:val="110"/>
        </w:rPr>
        <w:t>to</w:t>
      </w:r>
      <w:r>
        <w:rPr>
          <w:spacing w:val="-22"/>
          <w:w w:val="110"/>
        </w:rPr>
        <w:t xml:space="preserve"> </w:t>
      </w:r>
      <w:r>
        <w:rPr>
          <w:w w:val="110"/>
        </w:rPr>
        <w:t>code</w:t>
      </w:r>
      <w:r>
        <w:rPr>
          <w:spacing w:val="-16"/>
          <w:w w:val="110"/>
        </w:rPr>
        <w:t xml:space="preserve"> </w:t>
      </w:r>
      <w:r>
        <w:rPr>
          <w:w w:val="110"/>
        </w:rPr>
        <w:t>a</w:t>
      </w:r>
      <w:r>
        <w:rPr>
          <w:spacing w:val="-18"/>
          <w:w w:val="110"/>
        </w:rPr>
        <w:t xml:space="preserve"> </w:t>
      </w:r>
      <w:r>
        <w:rPr>
          <w:w w:val="110"/>
        </w:rPr>
        <w:t>subtype</w:t>
      </w:r>
      <w:r>
        <w:rPr>
          <w:spacing w:val="-13"/>
          <w:w w:val="110"/>
        </w:rPr>
        <w:t xml:space="preserve"> </w:t>
      </w:r>
      <w:r>
        <w:rPr>
          <w:w w:val="110"/>
        </w:rPr>
        <w:t>or</w:t>
      </w:r>
      <w:r>
        <w:rPr>
          <w:spacing w:val="-24"/>
          <w:w w:val="110"/>
        </w:rPr>
        <w:t xml:space="preserve"> </w:t>
      </w:r>
      <w:r>
        <w:rPr>
          <w:w w:val="110"/>
        </w:rPr>
        <w:t>specifier</w:t>
      </w:r>
      <w:r>
        <w:rPr>
          <w:spacing w:val="-19"/>
          <w:w w:val="110"/>
        </w:rPr>
        <w:t xml:space="preserve"> </w:t>
      </w:r>
      <w:r>
        <w:rPr>
          <w:w w:val="110"/>
        </w:rPr>
        <w:t>(e.g.,</w:t>
      </w:r>
      <w:r>
        <w:rPr>
          <w:spacing w:val="-10"/>
          <w:w w:val="110"/>
        </w:rPr>
        <w:t xml:space="preserve"> </w:t>
      </w:r>
      <w:r>
        <w:rPr>
          <w:w w:val="110"/>
        </w:rPr>
        <w:t xml:space="preserve">290.12 </w:t>
      </w:r>
      <w:r>
        <w:rPr>
          <w:w w:val="105"/>
        </w:rPr>
        <w:t>Dementia</w:t>
      </w:r>
      <w:r>
        <w:rPr>
          <w:spacing w:val="-6"/>
          <w:w w:val="105"/>
        </w:rPr>
        <w:t xml:space="preserve"> </w:t>
      </w:r>
      <w:r>
        <w:rPr>
          <w:w w:val="105"/>
        </w:rPr>
        <w:t>of</w:t>
      </w:r>
      <w:r>
        <w:rPr>
          <w:spacing w:val="-11"/>
          <w:w w:val="105"/>
        </w:rPr>
        <w:t xml:space="preserve"> </w:t>
      </w:r>
      <w:r>
        <w:rPr>
          <w:w w:val="105"/>
        </w:rPr>
        <w:t>the</w:t>
      </w:r>
      <w:r>
        <w:rPr>
          <w:spacing w:val="-23"/>
          <w:w w:val="105"/>
        </w:rPr>
        <w:t xml:space="preserve"> </w:t>
      </w:r>
      <w:r>
        <w:rPr>
          <w:w w:val="105"/>
        </w:rPr>
        <w:t>Alzheimer's</w:t>
      </w:r>
      <w:r>
        <w:rPr>
          <w:spacing w:val="-13"/>
          <w:w w:val="105"/>
        </w:rPr>
        <w:t xml:space="preserve"> </w:t>
      </w:r>
      <w:r>
        <w:rPr>
          <w:w w:val="105"/>
        </w:rPr>
        <w:t>Type,</w:t>
      </w:r>
      <w:r>
        <w:rPr>
          <w:spacing w:val="-16"/>
          <w:w w:val="105"/>
        </w:rPr>
        <w:t xml:space="preserve"> </w:t>
      </w:r>
      <w:r>
        <w:rPr>
          <w:w w:val="105"/>
        </w:rPr>
        <w:t>With</w:t>
      </w:r>
      <w:r>
        <w:rPr>
          <w:spacing w:val="-13"/>
          <w:w w:val="105"/>
        </w:rPr>
        <w:t xml:space="preserve"> </w:t>
      </w:r>
      <w:r>
        <w:rPr>
          <w:w w:val="105"/>
        </w:rPr>
        <w:t>Early</w:t>
      </w:r>
      <w:r>
        <w:rPr>
          <w:spacing w:val="-16"/>
          <w:w w:val="105"/>
        </w:rPr>
        <w:t xml:space="preserve"> </w:t>
      </w:r>
      <w:r>
        <w:rPr>
          <w:w w:val="105"/>
        </w:rPr>
        <w:t>Onset,</w:t>
      </w:r>
      <w:r>
        <w:rPr>
          <w:spacing w:val="-12"/>
          <w:w w:val="105"/>
        </w:rPr>
        <w:t xml:space="preserve"> </w:t>
      </w:r>
      <w:r>
        <w:rPr>
          <w:w w:val="105"/>
        </w:rPr>
        <w:t>With</w:t>
      </w:r>
      <w:r>
        <w:rPr>
          <w:spacing w:val="-14"/>
          <w:w w:val="105"/>
        </w:rPr>
        <w:t xml:space="preserve"> </w:t>
      </w:r>
      <w:r>
        <w:rPr>
          <w:w w:val="105"/>
        </w:rPr>
        <w:t>Delusions)</w:t>
      </w:r>
      <w:r>
        <w:rPr>
          <w:spacing w:val="-9"/>
          <w:w w:val="105"/>
        </w:rPr>
        <w:t xml:space="preserve"> </w:t>
      </w:r>
      <w:r>
        <w:rPr>
          <w:w w:val="105"/>
        </w:rPr>
        <w:t>or</w:t>
      </w:r>
      <w:r>
        <w:rPr>
          <w:spacing w:val="-21"/>
          <w:w w:val="105"/>
        </w:rPr>
        <w:t xml:space="preserve"> </w:t>
      </w:r>
      <w:r>
        <w:rPr>
          <w:w w:val="105"/>
        </w:rPr>
        <w:t>severity</w:t>
      </w:r>
      <w:r>
        <w:rPr>
          <w:spacing w:val="-14"/>
          <w:w w:val="105"/>
        </w:rPr>
        <w:t xml:space="preserve"> </w:t>
      </w:r>
      <w:r>
        <w:rPr>
          <w:w w:val="105"/>
        </w:rPr>
        <w:t>(296.21 Major</w:t>
      </w:r>
      <w:r>
        <w:rPr>
          <w:spacing w:val="-16"/>
          <w:w w:val="105"/>
        </w:rPr>
        <w:t xml:space="preserve"> </w:t>
      </w:r>
      <w:r>
        <w:rPr>
          <w:w w:val="105"/>
        </w:rPr>
        <w:t>Depressive</w:t>
      </w:r>
      <w:r>
        <w:rPr>
          <w:spacing w:val="-9"/>
          <w:w w:val="105"/>
        </w:rPr>
        <w:t xml:space="preserve"> </w:t>
      </w:r>
      <w:r>
        <w:rPr>
          <w:w w:val="105"/>
        </w:rPr>
        <w:t>Disorder,</w:t>
      </w:r>
      <w:r>
        <w:rPr>
          <w:spacing w:val="-17"/>
          <w:w w:val="105"/>
        </w:rPr>
        <w:t xml:space="preserve"> </w:t>
      </w:r>
      <w:r>
        <w:rPr>
          <w:w w:val="105"/>
        </w:rPr>
        <w:t>Single</w:t>
      </w:r>
      <w:r>
        <w:rPr>
          <w:spacing w:val="-16"/>
          <w:w w:val="105"/>
        </w:rPr>
        <w:t xml:space="preserve"> </w:t>
      </w:r>
      <w:r>
        <w:rPr>
          <w:w w:val="105"/>
        </w:rPr>
        <w:t>Episode,</w:t>
      </w:r>
      <w:r>
        <w:rPr>
          <w:spacing w:val="-14"/>
          <w:w w:val="105"/>
        </w:rPr>
        <w:t xml:space="preserve"> </w:t>
      </w:r>
      <w:r>
        <w:rPr>
          <w:w w:val="105"/>
        </w:rPr>
        <w:t>Mild),</w:t>
      </w:r>
      <w:r>
        <w:rPr>
          <w:spacing w:val="-8"/>
          <w:w w:val="105"/>
        </w:rPr>
        <w:t xml:space="preserve"> </w:t>
      </w:r>
      <w:r>
        <w:rPr>
          <w:w w:val="105"/>
        </w:rPr>
        <w:t>the</w:t>
      </w:r>
      <w:r>
        <w:rPr>
          <w:spacing w:val="-19"/>
          <w:w w:val="105"/>
        </w:rPr>
        <w:t xml:space="preserve"> </w:t>
      </w:r>
      <w:r>
        <w:rPr>
          <w:w w:val="105"/>
        </w:rPr>
        <w:t>majority</w:t>
      </w:r>
      <w:r>
        <w:rPr>
          <w:spacing w:val="-14"/>
          <w:w w:val="105"/>
        </w:rPr>
        <w:t xml:space="preserve"> </w:t>
      </w:r>
      <w:r>
        <w:rPr>
          <w:w w:val="105"/>
        </w:rPr>
        <w:t>of</w:t>
      </w:r>
      <w:r>
        <w:rPr>
          <w:spacing w:val="-15"/>
          <w:w w:val="105"/>
        </w:rPr>
        <w:t xml:space="preserve"> </w:t>
      </w:r>
      <w:r>
        <w:rPr>
          <w:w w:val="105"/>
        </w:rPr>
        <w:t>subtypes</w:t>
      </w:r>
      <w:r>
        <w:rPr>
          <w:spacing w:val="-16"/>
          <w:w w:val="105"/>
        </w:rPr>
        <w:t xml:space="preserve"> </w:t>
      </w:r>
      <w:r>
        <w:rPr>
          <w:w w:val="105"/>
        </w:rPr>
        <w:t>and</w:t>
      </w:r>
      <w:r>
        <w:rPr>
          <w:spacing w:val="-22"/>
          <w:w w:val="105"/>
        </w:rPr>
        <w:t xml:space="preserve"> </w:t>
      </w:r>
      <w:r>
        <w:rPr>
          <w:w w:val="105"/>
        </w:rPr>
        <w:t xml:space="preserve">specifiers </w:t>
      </w:r>
      <w:r>
        <w:rPr>
          <w:w w:val="110"/>
        </w:rPr>
        <w:t>included</w:t>
      </w:r>
      <w:r>
        <w:rPr>
          <w:spacing w:val="2"/>
          <w:w w:val="110"/>
        </w:rPr>
        <w:t xml:space="preserve"> </w:t>
      </w:r>
      <w:r>
        <w:rPr>
          <w:w w:val="110"/>
        </w:rPr>
        <w:t>in</w:t>
      </w:r>
      <w:r>
        <w:rPr>
          <w:spacing w:val="-8"/>
          <w:w w:val="110"/>
        </w:rPr>
        <w:t xml:space="preserve"> </w:t>
      </w:r>
      <w:r>
        <w:rPr>
          <w:w w:val="110"/>
        </w:rPr>
        <w:t>DSM-IV</w:t>
      </w:r>
      <w:r>
        <w:rPr>
          <w:spacing w:val="-8"/>
          <w:w w:val="110"/>
        </w:rPr>
        <w:t xml:space="preserve"> </w:t>
      </w:r>
      <w:r>
        <w:rPr>
          <w:w w:val="110"/>
        </w:rPr>
        <w:t>cannot</w:t>
      </w:r>
      <w:r>
        <w:rPr>
          <w:spacing w:val="-2"/>
          <w:w w:val="110"/>
        </w:rPr>
        <w:t xml:space="preserve"> </w:t>
      </w:r>
      <w:r>
        <w:rPr>
          <w:w w:val="110"/>
        </w:rPr>
        <w:t>be</w:t>
      </w:r>
      <w:r>
        <w:rPr>
          <w:spacing w:val="-6"/>
          <w:w w:val="110"/>
        </w:rPr>
        <w:t xml:space="preserve"> </w:t>
      </w:r>
      <w:r>
        <w:rPr>
          <w:w w:val="110"/>
        </w:rPr>
        <w:t>coded</w:t>
      </w:r>
      <w:r>
        <w:rPr>
          <w:spacing w:val="-1"/>
          <w:w w:val="110"/>
        </w:rPr>
        <w:t xml:space="preserve"> </w:t>
      </w:r>
      <w:r>
        <w:rPr>
          <w:w w:val="110"/>
        </w:rPr>
        <w:t>within</w:t>
      </w:r>
      <w:r>
        <w:rPr>
          <w:spacing w:val="-6"/>
          <w:w w:val="110"/>
        </w:rPr>
        <w:t xml:space="preserve"> </w:t>
      </w:r>
      <w:r>
        <w:rPr>
          <w:w w:val="110"/>
        </w:rPr>
        <w:t>the</w:t>
      </w:r>
      <w:r>
        <w:rPr>
          <w:spacing w:val="-9"/>
          <w:w w:val="110"/>
        </w:rPr>
        <w:t xml:space="preserve"> </w:t>
      </w:r>
      <w:r>
        <w:rPr>
          <w:w w:val="110"/>
        </w:rPr>
        <w:t>ICD-9-CM</w:t>
      </w:r>
      <w:r>
        <w:rPr>
          <w:spacing w:val="-1"/>
          <w:w w:val="110"/>
        </w:rPr>
        <w:t xml:space="preserve"> </w:t>
      </w:r>
      <w:r>
        <w:rPr>
          <w:w w:val="110"/>
        </w:rPr>
        <w:t>system</w:t>
      </w:r>
      <w:r>
        <w:rPr>
          <w:spacing w:val="-6"/>
          <w:w w:val="110"/>
        </w:rPr>
        <w:t xml:space="preserve"> </w:t>
      </w:r>
      <w:r>
        <w:rPr>
          <w:w w:val="110"/>
        </w:rPr>
        <w:t>and</w:t>
      </w:r>
      <w:r>
        <w:rPr>
          <w:spacing w:val="-4"/>
          <w:w w:val="110"/>
        </w:rPr>
        <w:t xml:space="preserve"> </w:t>
      </w:r>
      <w:r>
        <w:rPr>
          <w:w w:val="110"/>
        </w:rPr>
        <w:t>are</w:t>
      </w:r>
      <w:r>
        <w:rPr>
          <w:spacing w:val="-9"/>
          <w:w w:val="110"/>
        </w:rPr>
        <w:t xml:space="preserve"> </w:t>
      </w:r>
      <w:r>
        <w:rPr>
          <w:w w:val="110"/>
        </w:rPr>
        <w:t>indicated</w:t>
      </w:r>
    </w:p>
    <w:p w:rsidR="00E675F0" w:rsidRDefault="00E675F0" w:rsidP="00E675F0">
      <w:pPr>
        <w:pStyle w:val="BodyText"/>
        <w:spacing w:before="11"/>
        <w:rPr>
          <w:sz w:val="17"/>
        </w:rPr>
      </w:pPr>
      <w:r>
        <w:rPr>
          <w:noProof/>
        </w:rPr>
        <mc:AlternateContent>
          <mc:Choice Requires="wps">
            <w:drawing>
              <wp:anchor distT="0" distB="0" distL="0" distR="0" simplePos="0" relativeHeight="251822080" behindDoc="1" locked="0" layoutInCell="1" allowOverlap="1" wp14:anchorId="3C9F965A" wp14:editId="5157E0E6">
                <wp:simplePos x="0" y="0"/>
                <wp:positionH relativeFrom="page">
                  <wp:posOffset>479425</wp:posOffset>
                </wp:positionH>
                <wp:positionV relativeFrom="paragraph">
                  <wp:posOffset>159385</wp:posOffset>
                </wp:positionV>
                <wp:extent cx="4756150" cy="1270"/>
                <wp:effectExtent l="0" t="0" r="6350" b="0"/>
                <wp:wrapTopAndBottom/>
                <wp:docPr id="1713" name="Freeform 1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56150" cy="1270"/>
                        </a:xfrm>
                        <a:custGeom>
                          <a:avLst/>
                          <a:gdLst>
                            <a:gd name="T0" fmla="+- 0 755 755"/>
                            <a:gd name="T1" fmla="*/ T0 w 7490"/>
                            <a:gd name="T2" fmla="+- 0 8244 755"/>
                            <a:gd name="T3" fmla="*/ T2 w 7490"/>
                          </a:gdLst>
                          <a:ahLst/>
                          <a:cxnLst>
                            <a:cxn ang="0">
                              <a:pos x="T1" y="0"/>
                            </a:cxn>
                            <a:cxn ang="0">
                              <a:pos x="T3" y="0"/>
                            </a:cxn>
                          </a:cxnLst>
                          <a:rect l="0" t="0" r="r" b="b"/>
                          <a:pathLst>
                            <a:path w="7490">
                              <a:moveTo>
                                <a:pt x="0" y="0"/>
                              </a:moveTo>
                              <a:lnTo>
                                <a:pt x="7489" y="0"/>
                              </a:lnTo>
                            </a:path>
                          </a:pathLst>
                        </a:custGeom>
                        <a:noFill/>
                        <a:ln w="61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F27AA" id="Freeform 1669" o:spid="_x0000_s1026" style="position:absolute;margin-left:37.75pt;margin-top:12.55pt;width:374.5pt;height:.1pt;z-index:-251494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49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" path="m,l7489,e" filled="f" strokeweight=".16953mm">
                <v:path arrowok="t" o:connecttype="custom" o:connectlocs="0,0;4755515,0" o:connectangles="0,0"/>
                <w10:wrap type="topAndBottom" anchorx="page"/>
              </v:shape>
            </w:pict>
          </mc:Fallback>
        </mc:AlternateContent>
      </w:r>
    </w:p>
    <w:p w:rsidR="00E675F0" w:rsidRDefault="00E675F0" w:rsidP="00E675F0">
      <w:pPr>
        <w:spacing w:before="29"/>
        <w:ind w:left="9"/>
        <w:jc w:val="center"/>
        <w:rPr>
          <w:b/>
          <w:sz w:val="21"/>
        </w:rPr>
      </w:pPr>
      <w:r>
        <w:rPr>
          <w:b/>
          <w:w w:val="105"/>
          <w:sz w:val="21"/>
        </w:rPr>
        <w:t>1</w:t>
      </w:r>
    </w:p>
    <w:p w:rsidR="00E675F0" w:rsidRDefault="00E675F0" w:rsidP="00E675F0">
      <w:pPr>
        <w:jc w:val="center"/>
        <w:rPr>
          <w:sz w:val="21"/>
        </w:rPr>
        <w:sectPr w:rsidR="00E675F0">
          <w:headerReference w:type="even" r:id="rId37"/>
          <w:pgSz w:w="8960" w:h="14260"/>
          <w:pgMar w:top="1340" w:right="600" w:bottom="280" w:left="620" w:header="0" w:footer="0" w:gutter="0"/>
          <w:cols w:space="720"/>
        </w:sectPr>
      </w:pPr>
    </w:p>
    <w:p w:rsidR="00E675F0" w:rsidRDefault="00E675F0" w:rsidP="00E675F0">
      <w:pPr>
        <w:pStyle w:val="BodyText"/>
        <w:spacing w:before="129" w:line="252" w:lineRule="auto"/>
        <w:ind w:left="119" w:right="134" w:firstLine="1"/>
        <w:jc w:val="both"/>
      </w:pPr>
      <w:r>
        <w:rPr>
          <w:w w:val="105"/>
        </w:rPr>
        <w:lastRenderedPageBreak/>
        <w:t>only by including the subtype or specifier after the name of the disorder (e.g., Social Phobia, Generalized).</w:t>
      </w:r>
    </w:p>
    <w:p w:rsidR="00E675F0" w:rsidRDefault="00E675F0" w:rsidP="00E675F0">
      <w:pPr>
        <w:pStyle w:val="BodyText"/>
        <w:rPr>
          <w:sz w:val="22"/>
        </w:rPr>
      </w:pPr>
    </w:p>
    <w:p w:rsidR="00E675F0" w:rsidRDefault="00E675F0" w:rsidP="00E675F0">
      <w:pPr>
        <w:pStyle w:val="BodyText"/>
        <w:rPr>
          <w:sz w:val="31"/>
        </w:rPr>
      </w:pPr>
    </w:p>
    <w:p w:rsidR="00E675F0" w:rsidRDefault="00E675F0" w:rsidP="00E675F0">
      <w:pPr>
        <w:ind w:left="113"/>
        <w:jc w:val="both"/>
        <w:rPr>
          <w:rFonts w:ascii="TimesNewRomanPS-BoldItalicMT"/>
          <w:b/>
          <w:i/>
          <w:sz w:val="24"/>
        </w:rPr>
      </w:pPr>
      <w:r>
        <w:rPr>
          <w:rFonts w:ascii="TimesNewRomanPS-BoldItalicMT"/>
          <w:b/>
          <w:i/>
          <w:w w:val="115"/>
          <w:sz w:val="24"/>
        </w:rPr>
        <w:t>Severity and Course Specifiers</w:t>
      </w:r>
    </w:p>
    <w:p w:rsidR="00E675F0" w:rsidRDefault="00E675F0" w:rsidP="00E675F0">
      <w:pPr>
        <w:pStyle w:val="BodyText"/>
        <w:spacing w:before="209" w:line="256" w:lineRule="auto"/>
        <w:ind w:left="111" w:right="133" w:firstLine="4"/>
        <w:jc w:val="both"/>
      </w:pPr>
      <w:r>
        <w:rPr>
          <w:w w:val="105"/>
        </w:rPr>
        <w:t>A DSM-IV diagnosis is usually applied to the individual's current presentation and is not typically used to denote previous diagnoses from which the individual has recovered. The following specifiers indicating severity and course may be listed after the diagnosis: Mild, Moderate, Severe, In Partial Remission, In Full Remission, and Prior</w:t>
      </w:r>
      <w:r>
        <w:rPr>
          <w:spacing w:val="35"/>
          <w:w w:val="105"/>
        </w:rPr>
        <w:t xml:space="preserve"> </w:t>
      </w:r>
      <w:r>
        <w:rPr>
          <w:w w:val="105"/>
        </w:rPr>
        <w:t>History.</w:t>
      </w:r>
    </w:p>
    <w:p w:rsidR="00E675F0" w:rsidRDefault="00E675F0" w:rsidP="00E675F0">
      <w:pPr>
        <w:pStyle w:val="BodyText"/>
        <w:spacing w:before="1" w:line="254" w:lineRule="auto"/>
        <w:ind w:left="114" w:right="130" w:firstLine="362"/>
        <w:jc w:val="both"/>
      </w:pPr>
      <w:r>
        <w:rPr>
          <w:w w:val="105"/>
        </w:rPr>
        <w:t>The specifiers Mild, Moderate, and Severe should be used only when the full criteria for the disorder are currently met. In deciding whether the presentation should be described as mild, moderate, or severe, the clinician should take into account the number and intensity of  the signs and symptoms  of  the disorder and any resulting impairment in occupational or social functioning. For the majority of disorders, the following guidelines may be used:</w:t>
      </w:r>
    </w:p>
    <w:p w:rsidR="00E675F0" w:rsidRDefault="00E675F0" w:rsidP="00E675F0">
      <w:pPr>
        <w:pStyle w:val="BodyText"/>
        <w:spacing w:before="176" w:line="256" w:lineRule="auto"/>
        <w:ind w:left="726" w:right="132" w:hanging="2"/>
        <w:jc w:val="both"/>
      </w:pPr>
      <w:r>
        <w:rPr>
          <w:b/>
          <w:w w:val="105"/>
        </w:rPr>
        <w:t xml:space="preserve">Mild. </w:t>
      </w:r>
      <w:r>
        <w:rPr>
          <w:w w:val="105"/>
        </w:rPr>
        <w:t>Few, if any, symptoms in excess of those required to make the diagnosis are present, and symptoms result in no more than minor impairment in social or occupational</w:t>
      </w:r>
      <w:r>
        <w:rPr>
          <w:spacing w:val="10"/>
          <w:w w:val="105"/>
        </w:rPr>
        <w:t xml:space="preserve"> </w:t>
      </w:r>
      <w:r>
        <w:rPr>
          <w:w w:val="105"/>
        </w:rPr>
        <w:t>functioning.</w:t>
      </w:r>
    </w:p>
    <w:p w:rsidR="00E675F0" w:rsidRDefault="00E675F0" w:rsidP="00E675F0">
      <w:pPr>
        <w:pStyle w:val="BodyText"/>
        <w:spacing w:before="2" w:line="252" w:lineRule="auto"/>
        <w:ind w:left="726" w:right="137" w:hanging="7"/>
        <w:jc w:val="both"/>
      </w:pPr>
      <w:r>
        <w:rPr>
          <w:b/>
          <w:w w:val="105"/>
        </w:rPr>
        <w:t xml:space="preserve">Moderate. </w:t>
      </w:r>
      <w:r>
        <w:rPr>
          <w:w w:val="105"/>
        </w:rPr>
        <w:t>Symptoms or functional impairment  between  "mild" and "severe" are</w:t>
      </w:r>
      <w:r>
        <w:rPr>
          <w:spacing w:val="13"/>
          <w:w w:val="105"/>
        </w:rPr>
        <w:t xml:space="preserve"> </w:t>
      </w:r>
      <w:r>
        <w:rPr>
          <w:w w:val="105"/>
        </w:rPr>
        <w:t>present.</w:t>
      </w:r>
    </w:p>
    <w:p w:rsidR="00E675F0" w:rsidRDefault="00E675F0" w:rsidP="00E675F0">
      <w:pPr>
        <w:pStyle w:val="BodyText"/>
        <w:spacing w:before="3" w:line="256" w:lineRule="auto"/>
        <w:ind w:left="723" w:right="128" w:hanging="1"/>
        <w:jc w:val="both"/>
      </w:pPr>
      <w:r>
        <w:rPr>
          <w:b/>
          <w:w w:val="105"/>
        </w:rPr>
        <w:t xml:space="preserve">Severe. </w:t>
      </w:r>
      <w:r>
        <w:rPr>
          <w:w w:val="105"/>
        </w:rPr>
        <w:t>Many symptoms in excess of those required to make the diagnosis, or several symptoms that are particularly severe, are present, or the symptoms result in marked impairment in social or occupational functioning.</w:t>
      </w:r>
    </w:p>
    <w:p w:rsidR="00E675F0" w:rsidRDefault="00E675F0" w:rsidP="00E675F0">
      <w:pPr>
        <w:pStyle w:val="BodyText"/>
        <w:spacing w:line="256" w:lineRule="auto"/>
        <w:ind w:left="729" w:right="134" w:hanging="5"/>
        <w:jc w:val="both"/>
      </w:pPr>
      <w:r>
        <w:rPr>
          <w:b/>
          <w:w w:val="105"/>
        </w:rPr>
        <w:t xml:space="preserve">In Partial Remission. </w:t>
      </w:r>
      <w:r>
        <w:rPr>
          <w:w w:val="105"/>
        </w:rPr>
        <w:t>The full criteria for the  disorder were  previously  met, but</w:t>
      </w:r>
      <w:r>
        <w:rPr>
          <w:spacing w:val="10"/>
          <w:w w:val="105"/>
        </w:rPr>
        <w:t xml:space="preserve"> </w:t>
      </w:r>
      <w:r>
        <w:rPr>
          <w:w w:val="105"/>
        </w:rPr>
        <w:t>currently</w:t>
      </w:r>
      <w:r>
        <w:rPr>
          <w:spacing w:val="19"/>
          <w:w w:val="105"/>
        </w:rPr>
        <w:t xml:space="preserve"> </w:t>
      </w:r>
      <w:r>
        <w:rPr>
          <w:w w:val="105"/>
        </w:rPr>
        <w:t>only</w:t>
      </w:r>
      <w:r>
        <w:rPr>
          <w:spacing w:val="5"/>
          <w:w w:val="105"/>
        </w:rPr>
        <w:t xml:space="preserve"> </w:t>
      </w:r>
      <w:r>
        <w:rPr>
          <w:w w:val="105"/>
        </w:rPr>
        <w:t>some</w:t>
      </w:r>
      <w:r>
        <w:rPr>
          <w:spacing w:val="10"/>
          <w:w w:val="105"/>
        </w:rPr>
        <w:t xml:space="preserve"> </w:t>
      </w:r>
      <w:r>
        <w:rPr>
          <w:w w:val="105"/>
        </w:rPr>
        <w:t>of</w:t>
      </w:r>
      <w:r>
        <w:rPr>
          <w:spacing w:val="24"/>
          <w:w w:val="105"/>
        </w:rPr>
        <w:t xml:space="preserve"> </w:t>
      </w:r>
      <w:r>
        <w:rPr>
          <w:w w:val="105"/>
        </w:rPr>
        <w:t>the</w:t>
      </w:r>
      <w:r>
        <w:rPr>
          <w:spacing w:val="9"/>
          <w:w w:val="105"/>
        </w:rPr>
        <w:t xml:space="preserve"> </w:t>
      </w:r>
      <w:r>
        <w:rPr>
          <w:w w:val="105"/>
        </w:rPr>
        <w:t>symptoms</w:t>
      </w:r>
      <w:r>
        <w:rPr>
          <w:spacing w:val="22"/>
          <w:w w:val="105"/>
        </w:rPr>
        <w:t xml:space="preserve"> </w:t>
      </w:r>
      <w:r>
        <w:rPr>
          <w:w w:val="105"/>
        </w:rPr>
        <w:t>or</w:t>
      </w:r>
      <w:r>
        <w:rPr>
          <w:spacing w:val="5"/>
          <w:w w:val="105"/>
        </w:rPr>
        <w:t xml:space="preserve"> </w:t>
      </w:r>
      <w:r>
        <w:rPr>
          <w:w w:val="105"/>
        </w:rPr>
        <w:t>signs</w:t>
      </w:r>
      <w:r>
        <w:rPr>
          <w:spacing w:val="14"/>
          <w:w w:val="105"/>
        </w:rPr>
        <w:t xml:space="preserve"> </w:t>
      </w:r>
      <w:r>
        <w:rPr>
          <w:w w:val="105"/>
        </w:rPr>
        <w:t>of</w:t>
      </w:r>
      <w:r>
        <w:rPr>
          <w:spacing w:val="19"/>
          <w:w w:val="105"/>
        </w:rPr>
        <w:t xml:space="preserve"> </w:t>
      </w:r>
      <w:r>
        <w:rPr>
          <w:w w:val="105"/>
        </w:rPr>
        <w:t>the</w:t>
      </w:r>
      <w:r>
        <w:rPr>
          <w:spacing w:val="12"/>
          <w:w w:val="105"/>
        </w:rPr>
        <w:t xml:space="preserve"> </w:t>
      </w:r>
      <w:r>
        <w:rPr>
          <w:w w:val="105"/>
        </w:rPr>
        <w:t>disorder</w:t>
      </w:r>
      <w:r>
        <w:rPr>
          <w:spacing w:val="22"/>
          <w:w w:val="105"/>
        </w:rPr>
        <w:t xml:space="preserve"> </w:t>
      </w:r>
      <w:r>
        <w:rPr>
          <w:w w:val="105"/>
        </w:rPr>
        <w:t>remain.</w:t>
      </w:r>
    </w:p>
    <w:p w:rsidR="00E675F0" w:rsidRDefault="00E675F0" w:rsidP="00E675F0">
      <w:pPr>
        <w:spacing w:line="214" w:lineRule="exact"/>
        <w:ind w:left="729"/>
        <w:jc w:val="both"/>
        <w:rPr>
          <w:sz w:val="20"/>
        </w:rPr>
      </w:pPr>
      <w:r>
        <w:rPr>
          <w:b/>
          <w:w w:val="105"/>
          <w:sz w:val="20"/>
        </w:rPr>
        <w:t xml:space="preserve">In Full Remission. </w:t>
      </w:r>
      <w:r>
        <w:rPr>
          <w:w w:val="105"/>
          <w:sz w:val="20"/>
        </w:rPr>
        <w:t>There are no longer any symptoms or signs of the disorder,</w:t>
      </w:r>
    </w:p>
    <w:p w:rsidR="00E675F0" w:rsidRDefault="00E675F0" w:rsidP="00E675F0">
      <w:pPr>
        <w:pStyle w:val="BodyText"/>
        <w:spacing w:before="2" w:line="252" w:lineRule="auto"/>
        <w:ind w:left="727" w:right="115" w:firstLine="6"/>
        <w:jc w:val="both"/>
      </w:pPr>
      <w:r>
        <w:rPr>
          <w:w w:val="105"/>
        </w:rPr>
        <w:t>but it is still clinically relevant to note the disorder-for example, in an individual with previous episodes of Bipolar Disorder who has been symptom free on lithium for the past 3 years. After a period of time in full remission, the clinician may judge the individual to be recovered and, therefore, would no longer code the disorder as a current diagnosis. The differentiation of In Full Remission from recovered requires consideration of many factors, including the characteristic course of the disorder, the length of time since the last period of disturbance, the total duration of the disturbance, and the need for continued evaluation or prophylactic</w:t>
      </w:r>
      <w:r>
        <w:rPr>
          <w:spacing w:val="17"/>
          <w:w w:val="105"/>
        </w:rPr>
        <w:t xml:space="preserve"> </w:t>
      </w:r>
      <w:r>
        <w:rPr>
          <w:w w:val="105"/>
        </w:rPr>
        <w:t>treatment.</w:t>
      </w:r>
    </w:p>
    <w:p w:rsidR="00E675F0" w:rsidRDefault="00E675F0" w:rsidP="00E675F0">
      <w:pPr>
        <w:pStyle w:val="BodyText"/>
        <w:spacing w:before="9" w:line="254" w:lineRule="auto"/>
        <w:ind w:left="726" w:right="124" w:firstLine="2"/>
        <w:jc w:val="both"/>
      </w:pPr>
      <w:r>
        <w:rPr>
          <w:b/>
          <w:w w:val="105"/>
        </w:rPr>
        <w:t xml:space="preserve">Prior History. </w:t>
      </w:r>
      <w:r>
        <w:rPr>
          <w:w w:val="105"/>
        </w:rPr>
        <w:t>For some purposes, it may be useful to note a history of the criteria having been met for a disorder  even when  the individual  is considered to be recovered from it. Such past diagnoses of mental disorder would be indicated by using the specifier Prior History (e.g., Separation Anxiety Disorder, Prior</w:t>
      </w:r>
      <w:r>
        <w:rPr>
          <w:spacing w:val="-8"/>
          <w:w w:val="105"/>
        </w:rPr>
        <w:t xml:space="preserve"> </w:t>
      </w:r>
      <w:r>
        <w:rPr>
          <w:w w:val="105"/>
        </w:rPr>
        <w:t>History,</w:t>
      </w:r>
      <w:r>
        <w:rPr>
          <w:spacing w:val="-7"/>
          <w:w w:val="105"/>
        </w:rPr>
        <w:t xml:space="preserve"> </w:t>
      </w:r>
      <w:r>
        <w:rPr>
          <w:w w:val="105"/>
        </w:rPr>
        <w:t>for</w:t>
      </w:r>
      <w:r>
        <w:rPr>
          <w:spacing w:val="-18"/>
          <w:w w:val="105"/>
        </w:rPr>
        <w:t xml:space="preserve"> </w:t>
      </w:r>
      <w:r>
        <w:rPr>
          <w:w w:val="105"/>
        </w:rPr>
        <w:t>an</w:t>
      </w:r>
      <w:r>
        <w:rPr>
          <w:spacing w:val="-2"/>
          <w:w w:val="105"/>
        </w:rPr>
        <w:t xml:space="preserve"> </w:t>
      </w:r>
      <w:r>
        <w:rPr>
          <w:w w:val="105"/>
        </w:rPr>
        <w:t>individual</w:t>
      </w:r>
      <w:r>
        <w:rPr>
          <w:spacing w:val="-5"/>
          <w:w w:val="105"/>
        </w:rPr>
        <w:t xml:space="preserve"> </w:t>
      </w:r>
      <w:r>
        <w:rPr>
          <w:w w:val="105"/>
        </w:rPr>
        <w:t>with</w:t>
      </w:r>
      <w:r>
        <w:rPr>
          <w:spacing w:val="-14"/>
          <w:w w:val="105"/>
        </w:rPr>
        <w:t xml:space="preserve"> </w:t>
      </w:r>
      <w:r>
        <w:rPr>
          <w:w w:val="105"/>
        </w:rPr>
        <w:t>a</w:t>
      </w:r>
      <w:r>
        <w:rPr>
          <w:spacing w:val="-9"/>
          <w:w w:val="105"/>
        </w:rPr>
        <w:t xml:space="preserve"> </w:t>
      </w:r>
      <w:r>
        <w:rPr>
          <w:w w:val="105"/>
        </w:rPr>
        <w:t>history</w:t>
      </w:r>
      <w:r>
        <w:rPr>
          <w:spacing w:val="-6"/>
          <w:w w:val="105"/>
        </w:rPr>
        <w:t xml:space="preserve"> </w:t>
      </w:r>
      <w:r>
        <w:rPr>
          <w:w w:val="105"/>
        </w:rPr>
        <w:t>of</w:t>
      </w:r>
      <w:r>
        <w:rPr>
          <w:spacing w:val="-14"/>
          <w:w w:val="105"/>
        </w:rPr>
        <w:t xml:space="preserve"> </w:t>
      </w:r>
      <w:r>
        <w:rPr>
          <w:w w:val="105"/>
        </w:rPr>
        <w:t>Separation</w:t>
      </w:r>
      <w:r>
        <w:rPr>
          <w:spacing w:val="-3"/>
          <w:w w:val="105"/>
        </w:rPr>
        <w:t xml:space="preserve"> </w:t>
      </w:r>
      <w:r>
        <w:rPr>
          <w:w w:val="105"/>
        </w:rPr>
        <w:t>Anxiety</w:t>
      </w:r>
      <w:r>
        <w:rPr>
          <w:spacing w:val="-8"/>
          <w:w w:val="105"/>
        </w:rPr>
        <w:t xml:space="preserve"> </w:t>
      </w:r>
      <w:r>
        <w:rPr>
          <w:w w:val="105"/>
        </w:rPr>
        <w:t>Disorder</w:t>
      </w:r>
      <w:r>
        <w:rPr>
          <w:spacing w:val="-10"/>
          <w:w w:val="105"/>
        </w:rPr>
        <w:t xml:space="preserve"> </w:t>
      </w:r>
      <w:r>
        <w:rPr>
          <w:w w:val="105"/>
        </w:rPr>
        <w:t>who has no current disorder or who currently meets criteria for Panic</w:t>
      </w:r>
      <w:r>
        <w:rPr>
          <w:spacing w:val="-13"/>
          <w:w w:val="105"/>
        </w:rPr>
        <w:t xml:space="preserve"> </w:t>
      </w:r>
      <w:r>
        <w:rPr>
          <w:w w:val="105"/>
        </w:rPr>
        <w:t>Disorder).</w:t>
      </w:r>
    </w:p>
    <w:p w:rsidR="00E675F0" w:rsidRDefault="00E675F0" w:rsidP="00E675F0">
      <w:pPr>
        <w:pStyle w:val="BodyText"/>
        <w:spacing w:before="191" w:line="254" w:lineRule="auto"/>
        <w:ind w:left="114" w:right="124" w:firstLine="365"/>
        <w:jc w:val="both"/>
      </w:pPr>
      <w:r>
        <w:rPr>
          <w:w w:val="105"/>
        </w:rPr>
        <w:t>Specific criteria for defining Mild, Moderate, and Severe have been provided for the following: Mental Retardation, Conduct Disorder, Manic Episode, and Major Depressive Episode. Specific criteria for defining In Partial Remission and In Full Remission have been provided for the following: Manic Episode, Major Depressive Episode, and Substance Dependence.</w:t>
      </w:r>
    </w:p>
    <w:p w:rsidR="00E675F0" w:rsidRDefault="00E675F0" w:rsidP="00E675F0">
      <w:pPr>
        <w:spacing w:line="254" w:lineRule="auto"/>
        <w:jc w:val="both"/>
        <w:sectPr w:rsidR="00E675F0">
          <w:headerReference w:type="even" r:id="rId38"/>
          <w:headerReference w:type="default" r:id="rId39"/>
          <w:pgSz w:w="8960" w:h="14260"/>
          <w:pgMar w:top="1400" w:right="600" w:bottom="280" w:left="620" w:header="699" w:footer="0" w:gutter="0"/>
          <w:pgNumType w:start="2"/>
          <w:cols w:space="720"/>
        </w:sectPr>
      </w:pPr>
    </w:p>
    <w:p w:rsidR="00E675F0" w:rsidRDefault="00E675F0" w:rsidP="00E675F0">
      <w:pPr>
        <w:spacing w:before="126"/>
        <w:ind w:left="113"/>
        <w:rPr>
          <w:rFonts w:ascii="TimesNewRomanPS-BoldItalicMT"/>
          <w:b/>
          <w:i/>
          <w:sz w:val="24"/>
        </w:rPr>
      </w:pPr>
      <w:r>
        <w:rPr>
          <w:rFonts w:ascii="TimesNewRomanPS-BoldItalicMT"/>
          <w:b/>
          <w:i/>
          <w:w w:val="115"/>
          <w:sz w:val="24"/>
        </w:rPr>
        <w:lastRenderedPageBreak/>
        <w:t>Recurrence</w:t>
      </w:r>
    </w:p>
    <w:p w:rsidR="00E675F0" w:rsidRDefault="00E675F0" w:rsidP="00E675F0">
      <w:pPr>
        <w:pStyle w:val="BodyText"/>
        <w:spacing w:before="136" w:line="252" w:lineRule="auto"/>
        <w:ind w:left="118" w:right="130" w:firstLine="13"/>
        <w:jc w:val="both"/>
      </w:pPr>
      <w:r>
        <w:rPr>
          <w:w w:val="105"/>
        </w:rPr>
        <w:t xml:space="preserve">Not infrequently in clinical practice, individuals after a period of time in which the full criteria for the disorder are no longer met (i.e., in partial or full remission or recovery) may develop symptoms that suggest a recurrence of their original disorder but that do not yet meet the full threshold for that disorder as specified in the criteria set. </w:t>
      </w:r>
      <w:r>
        <w:rPr>
          <w:rFonts w:ascii="Arial"/>
          <w:w w:val="105"/>
          <w:sz w:val="17"/>
        </w:rPr>
        <w:t xml:space="preserve">It </w:t>
      </w:r>
      <w:r>
        <w:rPr>
          <w:w w:val="105"/>
        </w:rPr>
        <w:t>is a matter of clinical judgment as to how best to indicate the presence of these symptoms. The following options are</w:t>
      </w:r>
      <w:r>
        <w:rPr>
          <w:spacing w:val="4"/>
          <w:w w:val="105"/>
        </w:rPr>
        <w:t xml:space="preserve"> </w:t>
      </w:r>
      <w:r>
        <w:rPr>
          <w:w w:val="105"/>
        </w:rPr>
        <w:t>available:</w:t>
      </w:r>
    </w:p>
    <w:p w:rsidR="00E675F0" w:rsidRDefault="00E675F0" w:rsidP="003048D3">
      <w:pPr>
        <w:pStyle w:val="ListParagraph"/>
        <w:numPr>
          <w:ilvl w:val="0"/>
          <w:numId w:val="137"/>
        </w:numPr>
        <w:tabs>
          <w:tab w:val="left" w:pos="724"/>
        </w:tabs>
        <w:spacing w:before="138" w:line="256" w:lineRule="auto"/>
        <w:ind w:right="129" w:hanging="221"/>
        <w:jc w:val="both"/>
        <w:rPr>
          <w:sz w:val="20"/>
        </w:rPr>
      </w:pPr>
      <w:r>
        <w:rPr>
          <w:rFonts w:ascii="Arial" w:hAnsi="Arial"/>
          <w:w w:val="105"/>
          <w:sz w:val="19"/>
        </w:rPr>
        <w:t xml:space="preserve">If </w:t>
      </w:r>
      <w:r>
        <w:rPr>
          <w:w w:val="105"/>
          <w:sz w:val="20"/>
        </w:rPr>
        <w:t>the symptoms are judged to be a new episode of a recurrent condition, the disorder may be diagnosed as current (or provisional) even before the full criteria have been met (e.g., after meeting criteria for a Major Depressive Episode for only 10 days instead of the 14 days usually required).</w:t>
      </w:r>
    </w:p>
    <w:p w:rsidR="00E675F0" w:rsidRDefault="00E675F0" w:rsidP="003048D3">
      <w:pPr>
        <w:pStyle w:val="ListParagraph"/>
        <w:numPr>
          <w:ilvl w:val="0"/>
          <w:numId w:val="137"/>
        </w:numPr>
        <w:tabs>
          <w:tab w:val="left" w:pos="724"/>
        </w:tabs>
        <w:spacing w:line="254" w:lineRule="auto"/>
        <w:ind w:left="734" w:right="140" w:hanging="220"/>
        <w:jc w:val="both"/>
        <w:rPr>
          <w:sz w:val="20"/>
        </w:rPr>
      </w:pPr>
      <w:r>
        <w:rPr>
          <w:rFonts w:ascii="Arial" w:hAnsi="Arial"/>
          <w:w w:val="105"/>
          <w:sz w:val="19"/>
        </w:rPr>
        <w:t xml:space="preserve">If </w:t>
      </w:r>
      <w:r>
        <w:rPr>
          <w:w w:val="105"/>
          <w:sz w:val="20"/>
        </w:rPr>
        <w:t>the symptoms are judged to be clinically significant but it is not clear whether they constitute a recurrence of the original disorder, the appropriate Not Otherwise Specified category may be</w:t>
      </w:r>
      <w:r>
        <w:rPr>
          <w:spacing w:val="21"/>
          <w:w w:val="105"/>
          <w:sz w:val="20"/>
        </w:rPr>
        <w:t xml:space="preserve"> </w:t>
      </w:r>
      <w:r>
        <w:rPr>
          <w:w w:val="105"/>
          <w:sz w:val="20"/>
        </w:rPr>
        <w:t>given.</w:t>
      </w:r>
    </w:p>
    <w:p w:rsidR="00E675F0" w:rsidRDefault="00E675F0" w:rsidP="003048D3">
      <w:pPr>
        <w:pStyle w:val="ListParagraph"/>
        <w:numPr>
          <w:ilvl w:val="0"/>
          <w:numId w:val="137"/>
        </w:numPr>
        <w:tabs>
          <w:tab w:val="left" w:pos="724"/>
        </w:tabs>
        <w:spacing w:line="252" w:lineRule="auto"/>
        <w:ind w:left="734" w:right="148" w:hanging="220"/>
        <w:jc w:val="both"/>
        <w:rPr>
          <w:sz w:val="20"/>
        </w:rPr>
      </w:pPr>
      <w:r>
        <w:rPr>
          <w:rFonts w:ascii="Arial" w:hAnsi="Arial"/>
          <w:w w:val="105"/>
          <w:sz w:val="19"/>
        </w:rPr>
        <w:t>If</w:t>
      </w:r>
      <w:r>
        <w:rPr>
          <w:rFonts w:ascii="Arial" w:hAnsi="Arial"/>
          <w:spacing w:val="5"/>
          <w:w w:val="105"/>
          <w:sz w:val="19"/>
        </w:rPr>
        <w:t xml:space="preserve"> </w:t>
      </w:r>
      <w:r>
        <w:rPr>
          <w:w w:val="105"/>
          <w:sz w:val="20"/>
        </w:rPr>
        <w:t>it</w:t>
      </w:r>
      <w:r>
        <w:rPr>
          <w:spacing w:val="-19"/>
          <w:w w:val="105"/>
          <w:sz w:val="20"/>
        </w:rPr>
        <w:t xml:space="preserve"> </w:t>
      </w:r>
      <w:r>
        <w:rPr>
          <w:w w:val="105"/>
          <w:sz w:val="20"/>
        </w:rPr>
        <w:t>is</w:t>
      </w:r>
      <w:r>
        <w:rPr>
          <w:spacing w:val="-7"/>
          <w:w w:val="105"/>
          <w:sz w:val="20"/>
        </w:rPr>
        <w:t xml:space="preserve"> </w:t>
      </w:r>
      <w:r>
        <w:rPr>
          <w:w w:val="105"/>
          <w:sz w:val="20"/>
        </w:rPr>
        <w:t>judged</w:t>
      </w:r>
      <w:r>
        <w:rPr>
          <w:spacing w:val="-9"/>
          <w:w w:val="105"/>
          <w:sz w:val="20"/>
        </w:rPr>
        <w:t xml:space="preserve"> </w:t>
      </w:r>
      <w:r>
        <w:rPr>
          <w:w w:val="105"/>
          <w:sz w:val="20"/>
        </w:rPr>
        <w:t>that</w:t>
      </w:r>
      <w:r>
        <w:rPr>
          <w:spacing w:val="-11"/>
          <w:w w:val="105"/>
          <w:sz w:val="20"/>
        </w:rPr>
        <w:t xml:space="preserve"> </w:t>
      </w:r>
      <w:r>
        <w:rPr>
          <w:w w:val="105"/>
          <w:sz w:val="20"/>
        </w:rPr>
        <w:t>the</w:t>
      </w:r>
      <w:r>
        <w:rPr>
          <w:spacing w:val="-23"/>
          <w:w w:val="105"/>
          <w:sz w:val="20"/>
        </w:rPr>
        <w:t xml:space="preserve"> </w:t>
      </w:r>
      <w:r>
        <w:rPr>
          <w:w w:val="105"/>
          <w:sz w:val="20"/>
        </w:rPr>
        <w:t>symptoms</w:t>
      </w:r>
      <w:r>
        <w:rPr>
          <w:spacing w:val="-4"/>
          <w:w w:val="105"/>
          <w:sz w:val="20"/>
        </w:rPr>
        <w:t xml:space="preserve"> </w:t>
      </w:r>
      <w:r>
        <w:rPr>
          <w:w w:val="105"/>
          <w:sz w:val="20"/>
        </w:rPr>
        <w:t>are</w:t>
      </w:r>
      <w:r>
        <w:rPr>
          <w:spacing w:val="-15"/>
          <w:w w:val="105"/>
          <w:sz w:val="20"/>
        </w:rPr>
        <w:t xml:space="preserve"> </w:t>
      </w:r>
      <w:r>
        <w:rPr>
          <w:w w:val="105"/>
          <w:sz w:val="20"/>
        </w:rPr>
        <w:t>not</w:t>
      </w:r>
      <w:r>
        <w:rPr>
          <w:spacing w:val="-12"/>
          <w:w w:val="105"/>
          <w:sz w:val="20"/>
        </w:rPr>
        <w:t xml:space="preserve"> </w:t>
      </w:r>
      <w:r>
        <w:rPr>
          <w:w w:val="105"/>
          <w:sz w:val="20"/>
        </w:rPr>
        <w:t>clinically</w:t>
      </w:r>
      <w:r>
        <w:rPr>
          <w:spacing w:val="-13"/>
          <w:w w:val="105"/>
          <w:sz w:val="20"/>
        </w:rPr>
        <w:t xml:space="preserve"> </w:t>
      </w:r>
      <w:r>
        <w:rPr>
          <w:w w:val="105"/>
          <w:sz w:val="20"/>
        </w:rPr>
        <w:t>significant, no</w:t>
      </w:r>
      <w:r>
        <w:rPr>
          <w:spacing w:val="-20"/>
          <w:w w:val="105"/>
          <w:sz w:val="20"/>
        </w:rPr>
        <w:t xml:space="preserve"> </w:t>
      </w:r>
      <w:r>
        <w:rPr>
          <w:w w:val="105"/>
          <w:sz w:val="20"/>
        </w:rPr>
        <w:t>additional</w:t>
      </w:r>
      <w:r>
        <w:rPr>
          <w:spacing w:val="-7"/>
          <w:w w:val="105"/>
          <w:sz w:val="20"/>
        </w:rPr>
        <w:t xml:space="preserve"> </w:t>
      </w:r>
      <w:r>
        <w:rPr>
          <w:w w:val="105"/>
          <w:sz w:val="20"/>
        </w:rPr>
        <w:t>current or provisional diagnosis is given, but "Prior History" may be noted (see p.</w:t>
      </w:r>
      <w:r>
        <w:rPr>
          <w:spacing w:val="4"/>
          <w:w w:val="105"/>
          <w:sz w:val="20"/>
        </w:rPr>
        <w:t xml:space="preserve"> </w:t>
      </w:r>
      <w:r>
        <w:rPr>
          <w:w w:val="105"/>
          <w:sz w:val="20"/>
        </w:rPr>
        <w:t>2).</w:t>
      </w:r>
    </w:p>
    <w:p w:rsidR="00E675F0" w:rsidRDefault="00E675F0" w:rsidP="00E675F0">
      <w:pPr>
        <w:pStyle w:val="BodyText"/>
        <w:rPr>
          <w:sz w:val="22"/>
        </w:rPr>
      </w:pPr>
    </w:p>
    <w:p w:rsidR="00E675F0" w:rsidRDefault="00E675F0" w:rsidP="00E675F0">
      <w:pPr>
        <w:spacing w:before="169"/>
        <w:ind w:left="117"/>
        <w:rPr>
          <w:rFonts w:ascii="TimesNewRomanPS-BoldItalicMT"/>
          <w:b/>
          <w:i/>
          <w:sz w:val="24"/>
        </w:rPr>
      </w:pPr>
      <w:r>
        <w:rPr>
          <w:rFonts w:ascii="TimesNewRomanPS-BoldItalicMT"/>
          <w:b/>
          <w:i/>
          <w:w w:val="120"/>
          <w:sz w:val="24"/>
        </w:rPr>
        <w:t>Principal magnosis/Reason for Visit</w:t>
      </w:r>
    </w:p>
    <w:p w:rsidR="00E675F0" w:rsidRDefault="00E675F0" w:rsidP="00E675F0">
      <w:pPr>
        <w:pStyle w:val="BodyText"/>
        <w:spacing w:before="141" w:line="252" w:lineRule="auto"/>
        <w:ind w:left="127" w:right="129" w:firstLine="4"/>
        <w:jc w:val="both"/>
      </w:pPr>
      <w:r>
        <w:rPr>
          <w:w w:val="105"/>
        </w:rPr>
        <w:t xml:space="preserve">When more than one diagnosis for an individual is given in an inpatient setting, the </w:t>
      </w:r>
      <w:r>
        <w:rPr>
          <w:i/>
          <w:w w:val="105"/>
        </w:rPr>
        <w:t xml:space="preserve">principal diagnosis </w:t>
      </w:r>
      <w:r>
        <w:rPr>
          <w:w w:val="105"/>
        </w:rPr>
        <w:t xml:space="preserve">is the condition established after study to be chiefly responsible for occasioning the admission of the individual. When more than one diagnosis is given for an individual in an outpatient setting, the </w:t>
      </w:r>
      <w:r>
        <w:rPr>
          <w:i/>
          <w:w w:val="105"/>
        </w:rPr>
        <w:t xml:space="preserve">reason for visit </w:t>
      </w:r>
      <w:r>
        <w:rPr>
          <w:w w:val="105"/>
        </w:rPr>
        <w:t xml:space="preserve">is the condition that is chiefly responsible for the ambulatory care medical services received during the visit. In most cases, the principal diagnosis or  the reason for visit  is also the main focus of attention or treatment. </w:t>
      </w:r>
      <w:r>
        <w:rPr>
          <w:rFonts w:ascii="Arial"/>
          <w:w w:val="105"/>
          <w:sz w:val="17"/>
        </w:rPr>
        <w:t xml:space="preserve">It </w:t>
      </w:r>
      <w:r>
        <w:rPr>
          <w:w w:val="105"/>
        </w:rPr>
        <w:t>is often difficult (and somewhat arbitrary) to determine which diagnosis is</w:t>
      </w:r>
      <w:r>
        <w:rPr>
          <w:spacing w:val="-20"/>
          <w:w w:val="105"/>
        </w:rPr>
        <w:t xml:space="preserve"> </w:t>
      </w:r>
      <w:r>
        <w:rPr>
          <w:w w:val="105"/>
        </w:rPr>
        <w:t>the</w:t>
      </w:r>
      <w:r>
        <w:rPr>
          <w:spacing w:val="-10"/>
          <w:w w:val="105"/>
        </w:rPr>
        <w:t xml:space="preserve"> </w:t>
      </w:r>
      <w:r>
        <w:rPr>
          <w:w w:val="105"/>
        </w:rPr>
        <w:t>principal</w:t>
      </w:r>
      <w:r>
        <w:rPr>
          <w:spacing w:val="-12"/>
          <w:w w:val="105"/>
        </w:rPr>
        <w:t xml:space="preserve"> </w:t>
      </w:r>
      <w:r>
        <w:rPr>
          <w:w w:val="105"/>
        </w:rPr>
        <w:t>diagnosis</w:t>
      </w:r>
      <w:r>
        <w:rPr>
          <w:spacing w:val="-10"/>
          <w:w w:val="105"/>
        </w:rPr>
        <w:t xml:space="preserve"> </w:t>
      </w:r>
      <w:r>
        <w:rPr>
          <w:w w:val="105"/>
        </w:rPr>
        <w:t>or</w:t>
      </w:r>
      <w:r>
        <w:rPr>
          <w:spacing w:val="-10"/>
          <w:w w:val="105"/>
        </w:rPr>
        <w:t xml:space="preserve"> </w:t>
      </w:r>
      <w:r>
        <w:rPr>
          <w:w w:val="105"/>
        </w:rPr>
        <w:t>the</w:t>
      </w:r>
      <w:r>
        <w:rPr>
          <w:spacing w:val="-12"/>
          <w:w w:val="105"/>
        </w:rPr>
        <w:t xml:space="preserve"> </w:t>
      </w:r>
      <w:r>
        <w:rPr>
          <w:w w:val="105"/>
        </w:rPr>
        <w:t>reason</w:t>
      </w:r>
      <w:r>
        <w:rPr>
          <w:spacing w:val="-11"/>
          <w:w w:val="105"/>
        </w:rPr>
        <w:t xml:space="preserve"> </w:t>
      </w:r>
      <w:r>
        <w:rPr>
          <w:w w:val="105"/>
        </w:rPr>
        <w:t>for</w:t>
      </w:r>
      <w:r>
        <w:rPr>
          <w:spacing w:val="-18"/>
          <w:w w:val="105"/>
        </w:rPr>
        <w:t xml:space="preserve"> </w:t>
      </w:r>
      <w:r>
        <w:rPr>
          <w:w w:val="105"/>
        </w:rPr>
        <w:t>visit,</w:t>
      </w:r>
      <w:r>
        <w:rPr>
          <w:spacing w:val="-12"/>
          <w:w w:val="105"/>
        </w:rPr>
        <w:t xml:space="preserve"> </w:t>
      </w:r>
      <w:r>
        <w:rPr>
          <w:w w:val="105"/>
        </w:rPr>
        <w:t>especially</w:t>
      </w:r>
      <w:r>
        <w:rPr>
          <w:spacing w:val="-7"/>
          <w:w w:val="105"/>
        </w:rPr>
        <w:t xml:space="preserve"> </w:t>
      </w:r>
      <w:r>
        <w:rPr>
          <w:w w:val="105"/>
        </w:rPr>
        <w:t>in</w:t>
      </w:r>
      <w:r>
        <w:rPr>
          <w:spacing w:val="-21"/>
          <w:w w:val="105"/>
        </w:rPr>
        <w:t xml:space="preserve"> </w:t>
      </w:r>
      <w:r>
        <w:rPr>
          <w:w w:val="105"/>
        </w:rPr>
        <w:t>situations</w:t>
      </w:r>
      <w:r>
        <w:rPr>
          <w:spacing w:val="-9"/>
          <w:w w:val="105"/>
        </w:rPr>
        <w:t xml:space="preserve"> </w:t>
      </w:r>
      <w:r>
        <w:rPr>
          <w:w w:val="105"/>
        </w:rPr>
        <w:t>of</w:t>
      </w:r>
      <w:r>
        <w:rPr>
          <w:spacing w:val="-11"/>
          <w:w w:val="105"/>
        </w:rPr>
        <w:t xml:space="preserve"> </w:t>
      </w:r>
      <w:r>
        <w:rPr>
          <w:w w:val="105"/>
        </w:rPr>
        <w:t>"dual</w:t>
      </w:r>
      <w:r>
        <w:rPr>
          <w:spacing w:val="-17"/>
          <w:w w:val="105"/>
        </w:rPr>
        <w:t xml:space="preserve"> </w:t>
      </w:r>
      <w:r>
        <w:rPr>
          <w:w w:val="105"/>
        </w:rPr>
        <w:t>diagnosis" (a substance-related diagnosis like Amphetamine Dependence accompanied by a non-substance-related diagnosis like Schizophrenia). For example, it may be unclear which diagnosis should be considered "principal" for an individual hospitalized with both Schizophrenia and Amphetamine Intoxication, because each condition may have contributed equally to the need for admission and</w:t>
      </w:r>
      <w:r>
        <w:rPr>
          <w:spacing w:val="17"/>
          <w:w w:val="105"/>
        </w:rPr>
        <w:t xml:space="preserve"> </w:t>
      </w:r>
      <w:r>
        <w:rPr>
          <w:w w:val="105"/>
        </w:rPr>
        <w:t>treatment.</w:t>
      </w:r>
    </w:p>
    <w:p w:rsidR="00E675F0" w:rsidRDefault="00E675F0" w:rsidP="00E675F0">
      <w:pPr>
        <w:pStyle w:val="BodyText"/>
        <w:spacing w:before="4" w:line="254" w:lineRule="auto"/>
        <w:ind w:left="126" w:right="125" w:firstLine="365"/>
        <w:jc w:val="both"/>
      </w:pPr>
      <w:r>
        <w:rPr>
          <w:w w:val="105"/>
        </w:rPr>
        <w:t>Multiple</w:t>
      </w:r>
      <w:r>
        <w:rPr>
          <w:spacing w:val="1"/>
          <w:w w:val="105"/>
        </w:rPr>
        <w:t xml:space="preserve"> </w:t>
      </w:r>
      <w:r>
        <w:rPr>
          <w:w w:val="105"/>
        </w:rPr>
        <w:t>diagnoses</w:t>
      </w:r>
      <w:r>
        <w:rPr>
          <w:spacing w:val="-2"/>
          <w:w w:val="105"/>
        </w:rPr>
        <w:t xml:space="preserve"> </w:t>
      </w:r>
      <w:r>
        <w:rPr>
          <w:w w:val="105"/>
        </w:rPr>
        <w:t>can</w:t>
      </w:r>
      <w:r>
        <w:rPr>
          <w:spacing w:val="1"/>
          <w:w w:val="105"/>
        </w:rPr>
        <w:t xml:space="preserve"> </w:t>
      </w:r>
      <w:r>
        <w:rPr>
          <w:w w:val="105"/>
        </w:rPr>
        <w:t>be</w:t>
      </w:r>
      <w:r>
        <w:rPr>
          <w:spacing w:val="-7"/>
          <w:w w:val="105"/>
        </w:rPr>
        <w:t xml:space="preserve"> </w:t>
      </w:r>
      <w:r>
        <w:rPr>
          <w:w w:val="105"/>
        </w:rPr>
        <w:t>reported</w:t>
      </w:r>
      <w:r>
        <w:rPr>
          <w:spacing w:val="6"/>
          <w:w w:val="105"/>
        </w:rPr>
        <w:t xml:space="preserve"> </w:t>
      </w:r>
      <w:r>
        <w:rPr>
          <w:w w:val="105"/>
        </w:rPr>
        <w:t>in</w:t>
      </w:r>
      <w:r>
        <w:rPr>
          <w:spacing w:val="-9"/>
          <w:w w:val="105"/>
        </w:rPr>
        <w:t xml:space="preserve"> </w:t>
      </w:r>
      <w:r>
        <w:rPr>
          <w:w w:val="105"/>
        </w:rPr>
        <w:t>a</w:t>
      </w:r>
      <w:r>
        <w:rPr>
          <w:spacing w:val="3"/>
          <w:w w:val="105"/>
        </w:rPr>
        <w:t xml:space="preserve"> </w:t>
      </w:r>
      <w:r>
        <w:rPr>
          <w:w w:val="105"/>
        </w:rPr>
        <w:t>multiaxial</w:t>
      </w:r>
      <w:r>
        <w:rPr>
          <w:spacing w:val="5"/>
          <w:w w:val="105"/>
        </w:rPr>
        <w:t xml:space="preserve"> </w:t>
      </w:r>
      <w:r>
        <w:rPr>
          <w:w w:val="105"/>
        </w:rPr>
        <w:t>fashion</w:t>
      </w:r>
      <w:r>
        <w:rPr>
          <w:spacing w:val="-7"/>
          <w:w w:val="105"/>
        </w:rPr>
        <w:t xml:space="preserve"> </w:t>
      </w:r>
      <w:r>
        <w:rPr>
          <w:w w:val="105"/>
        </w:rPr>
        <w:t>(seep.</w:t>
      </w:r>
      <w:r>
        <w:rPr>
          <w:spacing w:val="-8"/>
          <w:w w:val="105"/>
        </w:rPr>
        <w:t xml:space="preserve"> </w:t>
      </w:r>
      <w:r>
        <w:rPr>
          <w:w w:val="105"/>
        </w:rPr>
        <w:t>33)</w:t>
      </w:r>
      <w:r>
        <w:rPr>
          <w:spacing w:val="-12"/>
          <w:w w:val="105"/>
        </w:rPr>
        <w:t xml:space="preserve"> </w:t>
      </w:r>
      <w:r>
        <w:rPr>
          <w:w w:val="105"/>
        </w:rPr>
        <w:t>or</w:t>
      </w:r>
      <w:r>
        <w:rPr>
          <w:spacing w:val="-10"/>
          <w:w w:val="105"/>
        </w:rPr>
        <w:t xml:space="preserve"> </w:t>
      </w:r>
      <w:r>
        <w:rPr>
          <w:w w:val="105"/>
        </w:rPr>
        <w:t>in</w:t>
      </w:r>
      <w:r>
        <w:rPr>
          <w:spacing w:val="-13"/>
          <w:w w:val="105"/>
        </w:rPr>
        <w:t xml:space="preserve"> </w:t>
      </w:r>
      <w:r>
        <w:rPr>
          <w:w w:val="105"/>
        </w:rPr>
        <w:t>a</w:t>
      </w:r>
      <w:r>
        <w:rPr>
          <w:spacing w:val="-9"/>
          <w:w w:val="105"/>
        </w:rPr>
        <w:t xml:space="preserve"> </w:t>
      </w:r>
      <w:r>
        <w:rPr>
          <w:w w:val="105"/>
        </w:rPr>
        <w:t>nonaxial fashion (see p. 35). When the principal diagnosis is an Axis I disorder, this is indicated by listing it first. The remaining disorders are listed in order of focus of attention and treatment. When a person has both an Axis I and an Axis II diagnosis, the principal diagnosis or the reason for visit will be assumed to be on Axis I unless the Axis II diagnosis is followed by the qualifying phrase "(Principal Diagnosis)" or "(Reason for Visit)."</w:t>
      </w:r>
    </w:p>
    <w:p w:rsidR="00E675F0" w:rsidRDefault="00E675F0" w:rsidP="00E675F0">
      <w:pPr>
        <w:pStyle w:val="BodyText"/>
        <w:rPr>
          <w:sz w:val="22"/>
        </w:rPr>
      </w:pPr>
    </w:p>
    <w:p w:rsidR="00E675F0" w:rsidRDefault="00E675F0" w:rsidP="00E675F0">
      <w:pPr>
        <w:spacing w:before="138"/>
        <w:ind w:left="122"/>
        <w:rPr>
          <w:rFonts w:ascii="TimesNewRomanPS-BoldItalicMT"/>
          <w:b/>
          <w:i/>
          <w:sz w:val="24"/>
        </w:rPr>
      </w:pPr>
      <w:r>
        <w:rPr>
          <w:rFonts w:ascii="TimesNewRomanPS-BoldItalicMT"/>
          <w:b/>
          <w:i/>
          <w:w w:val="120"/>
          <w:sz w:val="24"/>
        </w:rPr>
        <w:t>Provisional magnosis</w:t>
      </w:r>
    </w:p>
    <w:p w:rsidR="00E675F0" w:rsidRDefault="00E675F0" w:rsidP="00E675F0">
      <w:pPr>
        <w:pStyle w:val="BodyText"/>
        <w:spacing w:before="136" w:line="256" w:lineRule="auto"/>
        <w:ind w:left="135" w:right="116" w:hanging="8"/>
        <w:jc w:val="both"/>
      </w:pPr>
      <w:r>
        <w:rPr>
          <w:w w:val="105"/>
        </w:rPr>
        <w:t xml:space="preserve">The specifier </w:t>
      </w:r>
      <w:r>
        <w:rPr>
          <w:i/>
          <w:w w:val="105"/>
        </w:rPr>
        <w:t xml:space="preserve">provisional </w:t>
      </w:r>
      <w:r>
        <w:rPr>
          <w:w w:val="105"/>
        </w:rPr>
        <w:t>can be used when there is a strong presumption that the full criteria will ultimately be met for a disorder, but not enough information is available to make a firm diagnosis. The clinician can indicate the diagnostic uncertainty by recording "(Provisional)" following the diagnosis. For example, the individual appears to have a Major Depressive Disorder, but is unable to give an adequate history to establish that</w:t>
      </w:r>
    </w:p>
    <w:p w:rsidR="00E675F0" w:rsidRDefault="00E675F0" w:rsidP="00E675F0">
      <w:pPr>
        <w:spacing w:line="256" w:lineRule="auto"/>
        <w:jc w:val="both"/>
        <w:sectPr w:rsidR="00E675F0">
          <w:pgSz w:w="8960" w:h="14260"/>
          <w:pgMar w:top="1400" w:right="600" w:bottom="280" w:left="620" w:header="685" w:footer="0" w:gutter="0"/>
          <w:cols w:space="720"/>
        </w:sectPr>
      </w:pPr>
    </w:p>
    <w:p w:rsidR="00E675F0" w:rsidRDefault="00E675F0" w:rsidP="00E675F0">
      <w:pPr>
        <w:pStyle w:val="BodyText"/>
        <w:spacing w:before="123" w:line="254" w:lineRule="auto"/>
        <w:ind w:left="171" w:right="148" w:firstLine="4"/>
        <w:jc w:val="both"/>
      </w:pPr>
      <w:r>
        <w:rPr>
          <w:w w:val="105"/>
        </w:rPr>
        <w:lastRenderedPageBreak/>
        <w:t xml:space="preserve">the full criteria are met. Another use of the term </w:t>
      </w:r>
      <w:r>
        <w:rPr>
          <w:i/>
          <w:w w:val="105"/>
        </w:rPr>
        <w:t xml:space="preserve">provisional </w:t>
      </w:r>
      <w:r>
        <w:rPr>
          <w:w w:val="105"/>
        </w:rPr>
        <w:t>is for those situations in which differential diagnosis depends exclusively on the duration of illness. For example, a diagnosis of Schizophreniform Disorder requires a duration of less than 6 months and can only be given provisionally if assigned before remission has</w:t>
      </w:r>
      <w:r>
        <w:rPr>
          <w:spacing w:val="5"/>
          <w:w w:val="105"/>
        </w:rPr>
        <w:t xml:space="preserve"> </w:t>
      </w:r>
      <w:r>
        <w:rPr>
          <w:w w:val="105"/>
        </w:rPr>
        <w:t>occurred.</w:t>
      </w:r>
    </w:p>
    <w:p w:rsidR="00E675F0" w:rsidRDefault="00E675F0" w:rsidP="00E675F0">
      <w:pPr>
        <w:pStyle w:val="BodyText"/>
        <w:rPr>
          <w:sz w:val="22"/>
        </w:rPr>
      </w:pPr>
    </w:p>
    <w:p w:rsidR="00E675F0" w:rsidRDefault="00E675F0" w:rsidP="00E675F0">
      <w:pPr>
        <w:pStyle w:val="BodyText"/>
        <w:spacing w:before="9"/>
        <w:rPr>
          <w:sz w:val="22"/>
        </w:rPr>
      </w:pPr>
    </w:p>
    <w:p w:rsidR="00E675F0" w:rsidRDefault="00E675F0" w:rsidP="00E675F0">
      <w:pPr>
        <w:ind w:left="37" w:right="41"/>
        <w:jc w:val="center"/>
        <w:rPr>
          <w:rFonts w:ascii="Arial"/>
          <w:b/>
          <w:sz w:val="25"/>
        </w:rPr>
      </w:pPr>
      <w:r>
        <w:rPr>
          <w:rFonts w:ascii="Arial"/>
          <w:b/>
          <w:w w:val="105"/>
          <w:sz w:val="25"/>
        </w:rPr>
        <w:t>Use of Not Otherwise Specified</w:t>
      </w:r>
      <w:r>
        <w:rPr>
          <w:rFonts w:ascii="Arial"/>
          <w:b/>
          <w:spacing w:val="40"/>
          <w:w w:val="105"/>
          <w:sz w:val="25"/>
        </w:rPr>
        <w:t xml:space="preserve"> </w:t>
      </w:r>
      <w:r>
        <w:rPr>
          <w:rFonts w:ascii="Arial"/>
          <w:b/>
          <w:w w:val="105"/>
          <w:sz w:val="25"/>
        </w:rPr>
        <w:t>Categories</w:t>
      </w:r>
    </w:p>
    <w:p w:rsidR="00E675F0" w:rsidRDefault="00E675F0" w:rsidP="00E675F0">
      <w:pPr>
        <w:pStyle w:val="BodyText"/>
        <w:spacing w:before="3"/>
        <w:rPr>
          <w:rFonts w:ascii="Arial"/>
          <w:b/>
          <w:sz w:val="24"/>
        </w:rPr>
      </w:pPr>
    </w:p>
    <w:p w:rsidR="00E675F0" w:rsidRDefault="00E675F0" w:rsidP="00E675F0">
      <w:pPr>
        <w:pStyle w:val="BodyText"/>
        <w:spacing w:before="1" w:line="254" w:lineRule="auto"/>
        <w:ind w:left="176" w:right="156" w:firstLine="2"/>
        <w:jc w:val="both"/>
      </w:pPr>
      <w:r>
        <w:rPr>
          <w:w w:val="105"/>
        </w:rPr>
        <w:t>Because of the diversity of clinical presentations, it is impossible for the diagnostic nomenclature to cover every possible situation. For this reason,  each diagnostic class has at least one Not Otherwise Specified (NOS) category and some classes have several NOS</w:t>
      </w:r>
      <w:r>
        <w:rPr>
          <w:spacing w:val="-17"/>
          <w:w w:val="105"/>
        </w:rPr>
        <w:t xml:space="preserve"> </w:t>
      </w:r>
      <w:r>
        <w:rPr>
          <w:w w:val="105"/>
        </w:rPr>
        <w:t>categories.</w:t>
      </w:r>
      <w:r>
        <w:rPr>
          <w:spacing w:val="-10"/>
          <w:w w:val="105"/>
        </w:rPr>
        <w:t xml:space="preserve"> </w:t>
      </w:r>
      <w:r>
        <w:rPr>
          <w:w w:val="105"/>
        </w:rPr>
        <w:t>There</w:t>
      </w:r>
      <w:r>
        <w:rPr>
          <w:spacing w:val="-11"/>
          <w:w w:val="105"/>
        </w:rPr>
        <w:t xml:space="preserve"> </w:t>
      </w:r>
      <w:r>
        <w:rPr>
          <w:w w:val="105"/>
        </w:rPr>
        <w:t>are</w:t>
      </w:r>
      <w:r>
        <w:rPr>
          <w:spacing w:val="-17"/>
          <w:w w:val="105"/>
        </w:rPr>
        <w:t xml:space="preserve"> </w:t>
      </w:r>
      <w:r>
        <w:rPr>
          <w:w w:val="105"/>
        </w:rPr>
        <w:t>four</w:t>
      </w:r>
      <w:r>
        <w:rPr>
          <w:spacing w:val="-13"/>
          <w:w w:val="105"/>
        </w:rPr>
        <w:t xml:space="preserve"> </w:t>
      </w:r>
      <w:r>
        <w:rPr>
          <w:w w:val="105"/>
        </w:rPr>
        <w:t>situations</w:t>
      </w:r>
      <w:r>
        <w:rPr>
          <w:spacing w:val="-7"/>
          <w:w w:val="105"/>
        </w:rPr>
        <w:t xml:space="preserve"> </w:t>
      </w:r>
      <w:r>
        <w:rPr>
          <w:w w:val="105"/>
        </w:rPr>
        <w:t>in</w:t>
      </w:r>
      <w:r>
        <w:rPr>
          <w:spacing w:val="-12"/>
          <w:w w:val="105"/>
        </w:rPr>
        <w:t xml:space="preserve"> </w:t>
      </w:r>
      <w:r>
        <w:rPr>
          <w:w w:val="105"/>
        </w:rPr>
        <w:t>which</w:t>
      </w:r>
      <w:r>
        <w:rPr>
          <w:spacing w:val="-8"/>
          <w:w w:val="105"/>
        </w:rPr>
        <w:t xml:space="preserve"> </w:t>
      </w:r>
      <w:r>
        <w:rPr>
          <w:w w:val="105"/>
        </w:rPr>
        <w:t>an</w:t>
      </w:r>
      <w:r>
        <w:rPr>
          <w:spacing w:val="-7"/>
          <w:w w:val="105"/>
        </w:rPr>
        <w:t xml:space="preserve"> </w:t>
      </w:r>
      <w:r>
        <w:rPr>
          <w:w w:val="105"/>
        </w:rPr>
        <w:t>NOS</w:t>
      </w:r>
      <w:r>
        <w:rPr>
          <w:spacing w:val="-17"/>
          <w:w w:val="105"/>
        </w:rPr>
        <w:t xml:space="preserve"> </w:t>
      </w:r>
      <w:r>
        <w:rPr>
          <w:w w:val="105"/>
        </w:rPr>
        <w:t>diagnosis</w:t>
      </w:r>
      <w:r>
        <w:rPr>
          <w:spacing w:val="-4"/>
          <w:w w:val="105"/>
        </w:rPr>
        <w:t xml:space="preserve"> </w:t>
      </w:r>
      <w:r>
        <w:rPr>
          <w:w w:val="105"/>
        </w:rPr>
        <w:t>may</w:t>
      </w:r>
      <w:r>
        <w:rPr>
          <w:spacing w:val="-11"/>
          <w:w w:val="105"/>
        </w:rPr>
        <w:t xml:space="preserve"> </w:t>
      </w:r>
      <w:r>
        <w:rPr>
          <w:w w:val="105"/>
        </w:rPr>
        <w:t>be</w:t>
      </w:r>
      <w:r>
        <w:rPr>
          <w:spacing w:val="-16"/>
          <w:w w:val="105"/>
        </w:rPr>
        <w:t xml:space="preserve"> </w:t>
      </w:r>
      <w:r>
        <w:rPr>
          <w:w w:val="105"/>
        </w:rPr>
        <w:t>appropriate:</w:t>
      </w:r>
    </w:p>
    <w:p w:rsidR="00E675F0" w:rsidRDefault="00E675F0" w:rsidP="003048D3">
      <w:pPr>
        <w:pStyle w:val="ListParagraph"/>
        <w:numPr>
          <w:ilvl w:val="0"/>
          <w:numId w:val="136"/>
        </w:numPr>
        <w:tabs>
          <w:tab w:val="left" w:pos="774"/>
        </w:tabs>
        <w:spacing w:before="130" w:line="256" w:lineRule="auto"/>
        <w:ind w:right="151" w:hanging="226"/>
        <w:jc w:val="both"/>
        <w:rPr>
          <w:sz w:val="20"/>
        </w:rPr>
      </w:pPr>
      <w:r>
        <w:rPr>
          <w:w w:val="105"/>
          <w:sz w:val="20"/>
        </w:rPr>
        <w:t>The presentation conforms to the general guidelines for a mental disorder in the diagnostic class, but the symptomatic  picture does not meet the criteria for any  of the specific disorders. This would occur either when the symptoms are below the diagnostic threshold for one of the specific disorders or when there is an atypical or mixed</w:t>
      </w:r>
      <w:r>
        <w:rPr>
          <w:spacing w:val="42"/>
          <w:w w:val="105"/>
          <w:sz w:val="20"/>
        </w:rPr>
        <w:t xml:space="preserve"> </w:t>
      </w:r>
      <w:r>
        <w:rPr>
          <w:w w:val="105"/>
          <w:sz w:val="20"/>
        </w:rPr>
        <w:t>presentation.</w:t>
      </w:r>
    </w:p>
    <w:p w:rsidR="00E675F0" w:rsidRDefault="00E675F0" w:rsidP="003048D3">
      <w:pPr>
        <w:pStyle w:val="ListParagraph"/>
        <w:numPr>
          <w:ilvl w:val="0"/>
          <w:numId w:val="136"/>
        </w:numPr>
        <w:tabs>
          <w:tab w:val="left" w:pos="774"/>
        </w:tabs>
        <w:spacing w:line="254" w:lineRule="auto"/>
        <w:ind w:right="151" w:hanging="226"/>
        <w:jc w:val="both"/>
        <w:rPr>
          <w:sz w:val="20"/>
        </w:rPr>
      </w:pPr>
      <w:r>
        <w:rPr>
          <w:w w:val="105"/>
          <w:sz w:val="20"/>
        </w:rPr>
        <w:t>The presentation conforms to a symptom pattern that has not been included in  the</w:t>
      </w:r>
      <w:r>
        <w:rPr>
          <w:spacing w:val="-8"/>
          <w:w w:val="105"/>
          <w:sz w:val="20"/>
        </w:rPr>
        <w:t xml:space="preserve"> </w:t>
      </w:r>
      <w:r>
        <w:rPr>
          <w:w w:val="105"/>
          <w:sz w:val="20"/>
        </w:rPr>
        <w:t>DSM-IV</w:t>
      </w:r>
      <w:r>
        <w:rPr>
          <w:spacing w:val="-6"/>
          <w:w w:val="105"/>
          <w:sz w:val="20"/>
        </w:rPr>
        <w:t xml:space="preserve"> </w:t>
      </w:r>
      <w:r>
        <w:rPr>
          <w:w w:val="105"/>
          <w:sz w:val="20"/>
        </w:rPr>
        <w:t>Classification</w:t>
      </w:r>
      <w:r>
        <w:rPr>
          <w:spacing w:val="-8"/>
          <w:w w:val="105"/>
          <w:sz w:val="20"/>
        </w:rPr>
        <w:t xml:space="preserve"> </w:t>
      </w:r>
      <w:r>
        <w:rPr>
          <w:w w:val="105"/>
          <w:sz w:val="20"/>
        </w:rPr>
        <w:t>but</w:t>
      </w:r>
      <w:r>
        <w:rPr>
          <w:spacing w:val="-4"/>
          <w:w w:val="105"/>
          <w:sz w:val="20"/>
        </w:rPr>
        <w:t xml:space="preserve"> </w:t>
      </w:r>
      <w:r>
        <w:rPr>
          <w:w w:val="105"/>
          <w:sz w:val="20"/>
        </w:rPr>
        <w:t>that</w:t>
      </w:r>
      <w:r>
        <w:rPr>
          <w:spacing w:val="-8"/>
          <w:w w:val="105"/>
          <w:sz w:val="20"/>
        </w:rPr>
        <w:t xml:space="preserve"> </w:t>
      </w:r>
      <w:r>
        <w:rPr>
          <w:w w:val="105"/>
          <w:sz w:val="20"/>
        </w:rPr>
        <w:t>causes</w:t>
      </w:r>
      <w:r>
        <w:rPr>
          <w:spacing w:val="-11"/>
          <w:w w:val="105"/>
          <w:sz w:val="20"/>
        </w:rPr>
        <w:t xml:space="preserve"> </w:t>
      </w:r>
      <w:r>
        <w:rPr>
          <w:w w:val="105"/>
          <w:sz w:val="20"/>
        </w:rPr>
        <w:t>clinically</w:t>
      </w:r>
      <w:r>
        <w:rPr>
          <w:spacing w:val="-7"/>
          <w:w w:val="105"/>
          <w:sz w:val="20"/>
        </w:rPr>
        <w:t xml:space="preserve"> </w:t>
      </w:r>
      <w:r>
        <w:rPr>
          <w:w w:val="105"/>
          <w:sz w:val="20"/>
        </w:rPr>
        <w:t>significant</w:t>
      </w:r>
      <w:r>
        <w:rPr>
          <w:spacing w:val="-2"/>
          <w:w w:val="105"/>
          <w:sz w:val="20"/>
        </w:rPr>
        <w:t xml:space="preserve"> </w:t>
      </w:r>
      <w:r>
        <w:rPr>
          <w:w w:val="105"/>
          <w:sz w:val="20"/>
        </w:rPr>
        <w:t>distress</w:t>
      </w:r>
      <w:r>
        <w:rPr>
          <w:spacing w:val="-9"/>
          <w:w w:val="105"/>
          <w:sz w:val="20"/>
        </w:rPr>
        <w:t xml:space="preserve"> </w:t>
      </w:r>
      <w:r>
        <w:rPr>
          <w:w w:val="105"/>
          <w:sz w:val="20"/>
        </w:rPr>
        <w:t>or impair­ ment. Research criteria for some of these symptom patterns  have been included in Appendix B ("Criteria Sets and Axes Provided for Further Study"), in which case a page reference to the suggested research criteria set in Appendix B is provided.</w:t>
      </w:r>
    </w:p>
    <w:p w:rsidR="00E675F0" w:rsidRDefault="00E675F0" w:rsidP="003048D3">
      <w:pPr>
        <w:pStyle w:val="ListParagraph"/>
        <w:numPr>
          <w:ilvl w:val="0"/>
          <w:numId w:val="136"/>
        </w:numPr>
        <w:tabs>
          <w:tab w:val="left" w:pos="774"/>
        </w:tabs>
        <w:spacing w:line="252" w:lineRule="auto"/>
        <w:ind w:left="782" w:right="161" w:hanging="231"/>
        <w:jc w:val="both"/>
        <w:rPr>
          <w:sz w:val="20"/>
        </w:rPr>
      </w:pPr>
      <w:r>
        <w:rPr>
          <w:w w:val="105"/>
          <w:sz w:val="20"/>
        </w:rPr>
        <w:t>There is uncertainty about etiology (i.e., whether the disorder is due to a general medical condition, is substance induced, or is</w:t>
      </w:r>
      <w:r>
        <w:rPr>
          <w:spacing w:val="-7"/>
          <w:w w:val="105"/>
          <w:sz w:val="20"/>
        </w:rPr>
        <w:t xml:space="preserve"> </w:t>
      </w:r>
      <w:r>
        <w:rPr>
          <w:w w:val="105"/>
          <w:sz w:val="20"/>
        </w:rPr>
        <w:t>primary).</w:t>
      </w:r>
    </w:p>
    <w:p w:rsidR="00E675F0" w:rsidRDefault="00E675F0" w:rsidP="003048D3">
      <w:pPr>
        <w:pStyle w:val="ListParagraph"/>
        <w:numPr>
          <w:ilvl w:val="0"/>
          <w:numId w:val="136"/>
        </w:numPr>
        <w:tabs>
          <w:tab w:val="left" w:pos="774"/>
        </w:tabs>
        <w:spacing w:line="249" w:lineRule="auto"/>
        <w:ind w:left="777" w:right="160" w:hanging="226"/>
        <w:jc w:val="both"/>
        <w:rPr>
          <w:sz w:val="20"/>
        </w:rPr>
      </w:pPr>
      <w:r>
        <w:rPr>
          <w:w w:val="105"/>
          <w:sz w:val="20"/>
        </w:rPr>
        <w:t>There is insufficient opportunity for complete data collection (e.g., in emergency situations) or inconsistent or contradictory information, but there is enough information to place it within a particular diagnostic class (e.g., the clinician determines that the individual has psychotic symptoms but does not have enough information to diagnose a specific Psychotic</w:t>
      </w:r>
      <w:r>
        <w:rPr>
          <w:spacing w:val="27"/>
          <w:w w:val="105"/>
          <w:sz w:val="20"/>
        </w:rPr>
        <w:t xml:space="preserve"> </w:t>
      </w:r>
      <w:r>
        <w:rPr>
          <w:w w:val="105"/>
          <w:sz w:val="20"/>
        </w:rPr>
        <w:t>Disorder).</w:t>
      </w:r>
    </w:p>
    <w:p w:rsidR="00E675F0" w:rsidRDefault="00E675F0" w:rsidP="00E675F0">
      <w:pPr>
        <w:pStyle w:val="BodyText"/>
        <w:rPr>
          <w:sz w:val="22"/>
        </w:rPr>
      </w:pPr>
    </w:p>
    <w:p w:rsidR="00E675F0" w:rsidRDefault="00E675F0" w:rsidP="00E675F0">
      <w:pPr>
        <w:pStyle w:val="BodyText"/>
        <w:spacing w:before="7"/>
        <w:rPr>
          <w:sz w:val="24"/>
        </w:rPr>
      </w:pPr>
    </w:p>
    <w:p w:rsidR="00E675F0" w:rsidRDefault="00E675F0" w:rsidP="00E675F0">
      <w:pPr>
        <w:ind w:left="53" w:right="41"/>
        <w:jc w:val="center"/>
        <w:rPr>
          <w:rFonts w:ascii="Arial"/>
          <w:b/>
          <w:sz w:val="25"/>
        </w:rPr>
      </w:pPr>
      <w:r>
        <w:rPr>
          <w:rFonts w:ascii="Arial"/>
          <w:b/>
          <w:w w:val="105"/>
          <w:sz w:val="25"/>
        </w:rPr>
        <w:t>Ways of Indicating Diagnostic Uncertainty</w:t>
      </w:r>
    </w:p>
    <w:p w:rsidR="00E675F0" w:rsidRDefault="00E675F0" w:rsidP="00E675F0">
      <w:pPr>
        <w:pStyle w:val="BodyText"/>
        <w:spacing w:before="10"/>
        <w:rPr>
          <w:rFonts w:ascii="Arial"/>
          <w:b/>
          <w:sz w:val="23"/>
        </w:rPr>
      </w:pPr>
    </w:p>
    <w:p w:rsidR="00E675F0" w:rsidRDefault="00E675F0" w:rsidP="00E675F0">
      <w:pPr>
        <w:pStyle w:val="BodyText"/>
        <w:spacing w:line="256" w:lineRule="auto"/>
        <w:ind w:left="175" w:right="160" w:hanging="5"/>
        <w:jc w:val="both"/>
      </w:pPr>
      <w:r>
        <w:rPr>
          <w:w w:val="105"/>
        </w:rPr>
        <w:t>The following table indicates the various ways in which a clinician may indicate diagnostic uncertainty:</w:t>
      </w:r>
    </w:p>
    <w:p w:rsidR="00E675F0" w:rsidRDefault="00E675F0" w:rsidP="00E675F0">
      <w:pPr>
        <w:pStyle w:val="BodyText"/>
        <w:spacing w:before="3"/>
        <w:rPr>
          <w:sz w:val="23"/>
        </w:rPr>
      </w:pPr>
    </w:p>
    <w:p w:rsidR="00E675F0" w:rsidRDefault="00E675F0" w:rsidP="00E675F0">
      <w:pPr>
        <w:tabs>
          <w:tab w:val="left" w:pos="4036"/>
        </w:tabs>
        <w:ind w:left="170"/>
        <w:jc w:val="both"/>
        <w:rPr>
          <w:b/>
          <w:sz w:val="20"/>
        </w:rPr>
      </w:pPr>
      <w:r>
        <w:rPr>
          <w:noProof/>
        </w:rPr>
        <mc:AlternateContent>
          <mc:Choice Requires="wps">
            <w:drawing>
              <wp:anchor distT="0" distB="0" distL="114300" distR="114300" simplePos="0" relativeHeight="251664384" behindDoc="0" locked="0" layoutInCell="1" allowOverlap="1" wp14:anchorId="335BA81B" wp14:editId="5E4CD166">
                <wp:simplePos x="0" y="0"/>
                <wp:positionH relativeFrom="page">
                  <wp:posOffset>465455</wp:posOffset>
                </wp:positionH>
                <wp:positionV relativeFrom="paragraph">
                  <wp:posOffset>179705</wp:posOffset>
                </wp:positionV>
                <wp:extent cx="4752975" cy="0"/>
                <wp:effectExtent l="0" t="0" r="0" b="0"/>
                <wp:wrapNone/>
                <wp:docPr id="1712" name="Line 16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752975" cy="0"/>
                        </a:xfrm>
                        <a:prstGeom prst="line">
                          <a:avLst/>
                        </a:prstGeom>
                        <a:noFill/>
                        <a:ln w="610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86E100" id="Line 1668" o:spid="_x0000_s1026"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65pt,14.15pt" to="410.9pt,14.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" strokeweight=".16956mm">
                <o:lock v:ext="edit" shapetype="f"/>
                <w10:wrap anchorx="page"/>
              </v:line>
            </w:pict>
          </mc:Fallback>
        </mc:AlternateContent>
      </w:r>
      <w:r>
        <w:rPr>
          <w:b/>
          <w:w w:val="110"/>
          <w:sz w:val="20"/>
        </w:rPr>
        <w:t>Term</w:t>
      </w:r>
      <w:r>
        <w:rPr>
          <w:b/>
          <w:w w:val="110"/>
          <w:sz w:val="20"/>
        </w:rPr>
        <w:tab/>
        <w:t>Examples of clinical</w:t>
      </w:r>
      <w:r>
        <w:rPr>
          <w:b/>
          <w:spacing w:val="12"/>
          <w:w w:val="110"/>
          <w:sz w:val="20"/>
        </w:rPr>
        <w:t xml:space="preserve"> </w:t>
      </w:r>
      <w:r>
        <w:rPr>
          <w:b/>
          <w:w w:val="110"/>
          <w:sz w:val="20"/>
        </w:rPr>
        <w:t>situations</w:t>
      </w:r>
    </w:p>
    <w:p w:rsidR="00E675F0" w:rsidRDefault="00E675F0" w:rsidP="00E675F0">
      <w:pPr>
        <w:jc w:val="both"/>
        <w:rPr>
          <w:sz w:val="20"/>
        </w:rPr>
        <w:sectPr w:rsidR="00E675F0">
          <w:pgSz w:w="8960" w:h="14260"/>
          <w:pgMar w:top="1400" w:right="580" w:bottom="280" w:left="560" w:header="699" w:footer="0" w:gutter="0"/>
          <w:cols w:space="720"/>
        </w:sectPr>
      </w:pPr>
    </w:p>
    <w:p w:rsidR="00E675F0" w:rsidRDefault="00E675F0" w:rsidP="00E675F0">
      <w:pPr>
        <w:spacing w:before="120"/>
        <w:ind w:left="179" w:hanging="4"/>
        <w:rPr>
          <w:sz w:val="18"/>
        </w:rPr>
      </w:pPr>
      <w:r>
        <w:rPr>
          <w:w w:val="105"/>
          <w:sz w:val="18"/>
        </w:rPr>
        <w:t>V Codes (for Other Conditions That May Be a Focus of Clinical Attention)</w:t>
      </w:r>
    </w:p>
    <w:p w:rsidR="00E675F0" w:rsidRDefault="00E675F0" w:rsidP="00E675F0">
      <w:pPr>
        <w:spacing w:before="127" w:line="237" w:lineRule="auto"/>
        <w:ind w:left="176" w:right="225" w:firstLine="1"/>
        <w:rPr>
          <w:sz w:val="18"/>
        </w:rPr>
      </w:pPr>
      <w:r>
        <w:br w:type="column"/>
      </w:r>
      <w:r>
        <w:rPr>
          <w:w w:val="105"/>
          <w:sz w:val="18"/>
        </w:rPr>
        <w:t>Insufficient information to know whether or not a presenting problem is attributable to a mental disorder, e.g., Academic Problem; Adult Antisocial Behavior</w:t>
      </w:r>
    </w:p>
    <w:p w:rsidR="00E675F0" w:rsidRDefault="00E675F0" w:rsidP="00E675F0">
      <w:pPr>
        <w:spacing w:line="237" w:lineRule="auto"/>
        <w:rPr>
          <w:sz w:val="18"/>
        </w:rPr>
        <w:sectPr w:rsidR="00E675F0">
          <w:type w:val="continuous"/>
          <w:pgSz w:w="8960" w:h="14260"/>
          <w:pgMar w:top="640" w:right="580" w:bottom="0" w:left="560" w:header="720" w:footer="720" w:gutter="0"/>
          <w:cols w:num="2" w:space="720" w:equalWidth="0">
            <w:col w:w="3801" w:space="62"/>
            <w:col w:w="3957"/>
          </w:cols>
        </w:sectPr>
      </w:pPr>
    </w:p>
    <w:p w:rsidR="00E675F0" w:rsidRDefault="00E675F0" w:rsidP="00E675F0">
      <w:pPr>
        <w:pStyle w:val="BodyText"/>
        <w:spacing w:before="8"/>
        <w:rPr>
          <w:sz w:val="5"/>
        </w:rPr>
      </w:pPr>
    </w:p>
    <w:tbl>
      <w:tblPr>
        <w:tblW w:w="0" w:type="auto"/>
        <w:tblInd w:w="126" w:type="dxa"/>
        <w:tblLayout w:type="fixed"/>
        <w:tblCellMar>
          <w:left w:w="0" w:type="dxa"/>
          <w:right w:w="0" w:type="dxa"/>
        </w:tblCellMar>
        <w:tblLook w:val="01E0" w:firstRow="1" w:lastRow="1" w:firstColumn="1" w:lastColumn="1" w:noHBand="0" w:noVBand="0"/>
      </w:tblPr>
      <w:tblGrid>
        <w:gridCol w:w="627"/>
        <w:gridCol w:w="3118"/>
        <w:gridCol w:w="3844"/>
      </w:tblGrid>
      <w:tr w:rsidR="00E675F0" w:rsidTr="00A330E1">
        <w:trPr>
          <w:trHeight w:val="640"/>
        </w:trPr>
        <w:tc>
          <w:tcPr>
            <w:tcW w:w="627" w:type="dxa"/>
          </w:tcPr>
          <w:p w:rsidR="00E675F0" w:rsidRDefault="00E675F0" w:rsidP="00A330E1">
            <w:pPr>
              <w:pStyle w:val="TableParagraph"/>
              <w:spacing w:before="1"/>
              <w:ind w:left="59"/>
              <w:rPr>
                <w:rFonts w:ascii="Arial"/>
                <w:sz w:val="18"/>
              </w:rPr>
            </w:pPr>
            <w:r>
              <w:rPr>
                <w:rFonts w:ascii="Arial"/>
                <w:sz w:val="18"/>
              </w:rPr>
              <w:t>799.9</w:t>
            </w:r>
          </w:p>
        </w:tc>
        <w:tc>
          <w:tcPr>
            <w:tcW w:w="3118" w:type="dxa"/>
          </w:tcPr>
          <w:p w:rsidR="00E675F0" w:rsidRDefault="00E675F0" w:rsidP="00A330E1">
            <w:pPr>
              <w:pStyle w:val="TableParagraph"/>
              <w:spacing w:line="235" w:lineRule="auto"/>
              <w:ind w:left="156" w:firstLine="3"/>
              <w:rPr>
                <w:sz w:val="18"/>
              </w:rPr>
            </w:pPr>
            <w:r>
              <w:rPr>
                <w:w w:val="105"/>
                <w:sz w:val="18"/>
              </w:rPr>
              <w:t>Diagnosis or Condition Deferred on Axis I</w:t>
            </w:r>
          </w:p>
        </w:tc>
        <w:tc>
          <w:tcPr>
            <w:tcW w:w="3844" w:type="dxa"/>
          </w:tcPr>
          <w:p w:rsidR="00E675F0" w:rsidRDefault="00E675F0" w:rsidP="00A330E1">
            <w:pPr>
              <w:pStyle w:val="TableParagraph"/>
              <w:spacing w:line="237" w:lineRule="auto"/>
              <w:ind w:left="175" w:right="817" w:firstLine="1"/>
              <w:jc w:val="both"/>
              <w:rPr>
                <w:sz w:val="18"/>
              </w:rPr>
            </w:pPr>
            <w:r>
              <w:rPr>
                <w:w w:val="105"/>
                <w:sz w:val="18"/>
              </w:rPr>
              <w:t>Information inadequate to make any diagnostic judgment about an Axis I diagnosis or condition</w:t>
            </w:r>
          </w:p>
        </w:tc>
      </w:tr>
      <w:tr w:rsidR="00E675F0" w:rsidTr="00A330E1">
        <w:trPr>
          <w:trHeight w:val="649"/>
        </w:trPr>
        <w:tc>
          <w:tcPr>
            <w:tcW w:w="627" w:type="dxa"/>
          </w:tcPr>
          <w:p w:rsidR="00E675F0" w:rsidRDefault="00E675F0" w:rsidP="00A330E1">
            <w:pPr>
              <w:pStyle w:val="TableParagraph"/>
              <w:spacing w:before="33"/>
              <w:ind w:left="50"/>
              <w:rPr>
                <w:rFonts w:ascii="Arial"/>
                <w:sz w:val="18"/>
              </w:rPr>
            </w:pPr>
            <w:r>
              <w:rPr>
                <w:rFonts w:ascii="Arial"/>
                <w:sz w:val="18"/>
              </w:rPr>
              <w:t>799.9</w:t>
            </w:r>
          </w:p>
        </w:tc>
        <w:tc>
          <w:tcPr>
            <w:tcW w:w="3118" w:type="dxa"/>
          </w:tcPr>
          <w:p w:rsidR="00E675F0" w:rsidRDefault="00E675F0" w:rsidP="00A330E1">
            <w:pPr>
              <w:pStyle w:val="TableParagraph"/>
              <w:spacing w:before="25"/>
              <w:ind w:left="159"/>
              <w:rPr>
                <w:sz w:val="18"/>
              </w:rPr>
            </w:pPr>
            <w:r>
              <w:rPr>
                <w:w w:val="105"/>
                <w:sz w:val="18"/>
              </w:rPr>
              <w:t>Diagnosis Deferred on Axis II</w:t>
            </w:r>
          </w:p>
        </w:tc>
        <w:tc>
          <w:tcPr>
            <w:tcW w:w="3844" w:type="dxa"/>
          </w:tcPr>
          <w:p w:rsidR="00E675F0" w:rsidRDefault="00E675F0" w:rsidP="00A330E1">
            <w:pPr>
              <w:pStyle w:val="TableParagraph"/>
              <w:spacing w:before="33" w:line="235" w:lineRule="auto"/>
              <w:ind w:left="170" w:right="171" w:firstLine="6"/>
              <w:rPr>
                <w:sz w:val="18"/>
              </w:rPr>
            </w:pPr>
            <w:r>
              <w:rPr>
                <w:w w:val="105"/>
                <w:sz w:val="18"/>
              </w:rPr>
              <w:t>Information inadequate to make any diagnostic judgment about an Axis II</w:t>
            </w:r>
          </w:p>
          <w:p w:rsidR="00E675F0" w:rsidRDefault="00E675F0" w:rsidP="00A330E1">
            <w:pPr>
              <w:pStyle w:val="TableParagraph"/>
              <w:tabs>
                <w:tab w:val="left" w:pos="2750"/>
              </w:tabs>
              <w:spacing w:line="191" w:lineRule="exact"/>
              <w:ind w:left="170"/>
              <w:rPr>
                <w:i/>
                <w:sz w:val="20"/>
              </w:rPr>
            </w:pPr>
            <w:r>
              <w:rPr>
                <w:w w:val="110"/>
                <w:sz w:val="18"/>
              </w:rPr>
              <w:t>diagnosis</w:t>
            </w:r>
            <w:r>
              <w:rPr>
                <w:w w:val="110"/>
                <w:sz w:val="18"/>
              </w:rPr>
              <w:tab/>
            </w:r>
            <w:r>
              <w:rPr>
                <w:i/>
                <w:w w:val="110"/>
                <w:sz w:val="20"/>
              </w:rPr>
              <w:t>(continued)</w:t>
            </w:r>
          </w:p>
        </w:tc>
      </w:tr>
    </w:tbl>
    <w:p w:rsidR="00E675F0" w:rsidRDefault="00E675F0" w:rsidP="00E675F0">
      <w:pPr>
        <w:spacing w:line="191" w:lineRule="exact"/>
        <w:rPr>
          <w:sz w:val="20"/>
        </w:rPr>
        <w:sectPr w:rsidR="00E675F0">
          <w:type w:val="continuous"/>
          <w:pgSz w:w="8960" w:h="14260"/>
          <w:pgMar w:top="640" w:right="580" w:bottom="0" w:left="560" w:header="720" w:footer="720" w:gutter="0"/>
          <w:cols w:space="720"/>
        </w:sectPr>
      </w:pPr>
    </w:p>
    <w:p w:rsidR="00E675F0" w:rsidRDefault="00E675F0" w:rsidP="00E675F0">
      <w:pPr>
        <w:tabs>
          <w:tab w:val="left" w:pos="3993"/>
        </w:tabs>
        <w:spacing w:before="130"/>
        <w:ind w:left="131"/>
        <w:rPr>
          <w:b/>
          <w:sz w:val="20"/>
        </w:rPr>
      </w:pPr>
      <w:r>
        <w:rPr>
          <w:noProof/>
        </w:rPr>
        <w:lastRenderedPageBreak/>
        <mc:AlternateContent>
          <mc:Choice Requires="wps">
            <w:drawing>
              <wp:anchor distT="0" distB="0" distL="114300" distR="114300" simplePos="0" relativeHeight="251665408" behindDoc="0" locked="0" layoutInCell="1" allowOverlap="1" wp14:anchorId="440A1BBC" wp14:editId="52D6C16E">
                <wp:simplePos x="0" y="0"/>
                <wp:positionH relativeFrom="page">
                  <wp:posOffset>459740</wp:posOffset>
                </wp:positionH>
                <wp:positionV relativeFrom="paragraph">
                  <wp:posOffset>265430</wp:posOffset>
                </wp:positionV>
                <wp:extent cx="4766310" cy="0"/>
                <wp:effectExtent l="0" t="0" r="0" b="0"/>
                <wp:wrapNone/>
                <wp:docPr id="1711" name="Line 16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766310" cy="0"/>
                        </a:xfrm>
                        <a:prstGeom prst="line">
                          <a:avLst/>
                        </a:prstGeom>
                        <a:noFill/>
                        <a:ln w="610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8CCBF3" id="Line 1667" o:spid="_x0000_s1026"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2pt,20.9pt" to="411.5pt,2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" strokeweight=".16956mm">
                <o:lock v:ext="edit" shapetype="f"/>
                <w10:wrap anchorx="page"/>
              </v:line>
            </w:pict>
          </mc:Fallback>
        </mc:AlternateContent>
      </w:r>
      <w:r>
        <w:rPr>
          <w:b/>
          <w:w w:val="110"/>
          <w:sz w:val="20"/>
        </w:rPr>
        <w:t>Term</w:t>
      </w:r>
      <w:r>
        <w:rPr>
          <w:b/>
          <w:w w:val="110"/>
          <w:sz w:val="20"/>
        </w:rPr>
        <w:tab/>
        <w:t>Examples of clinical</w:t>
      </w:r>
      <w:r>
        <w:rPr>
          <w:b/>
          <w:spacing w:val="17"/>
          <w:w w:val="110"/>
          <w:sz w:val="20"/>
        </w:rPr>
        <w:t xml:space="preserve"> </w:t>
      </w:r>
      <w:r>
        <w:rPr>
          <w:b/>
          <w:w w:val="110"/>
          <w:sz w:val="20"/>
        </w:rPr>
        <w:t>situations</w:t>
      </w:r>
    </w:p>
    <w:p w:rsidR="00E675F0" w:rsidRDefault="00E675F0" w:rsidP="00E675F0">
      <w:pPr>
        <w:rPr>
          <w:sz w:val="20"/>
        </w:rPr>
        <w:sectPr w:rsidR="00E675F0">
          <w:pgSz w:w="8960" w:h="14260"/>
          <w:pgMar w:top="1400" w:right="620" w:bottom="280" w:left="600" w:header="685" w:footer="0" w:gutter="0"/>
          <w:cols w:space="720"/>
        </w:sectPr>
      </w:pPr>
    </w:p>
    <w:p w:rsidR="00E675F0" w:rsidRDefault="00E675F0" w:rsidP="00E675F0">
      <w:pPr>
        <w:spacing w:before="173"/>
        <w:ind w:left="136"/>
        <w:rPr>
          <w:sz w:val="18"/>
        </w:rPr>
      </w:pPr>
      <w:r>
        <w:rPr>
          <w:sz w:val="18"/>
        </w:rPr>
        <w:t>300.9</w:t>
      </w:r>
    </w:p>
    <w:p w:rsidR="00E675F0" w:rsidRDefault="00E675F0" w:rsidP="00E675F0">
      <w:pPr>
        <w:pStyle w:val="BodyText"/>
      </w:pPr>
    </w:p>
    <w:p w:rsidR="00E675F0" w:rsidRDefault="00E675F0" w:rsidP="00E675F0">
      <w:pPr>
        <w:pStyle w:val="BodyText"/>
      </w:pPr>
    </w:p>
    <w:p w:rsidR="00E675F0" w:rsidRDefault="00E675F0" w:rsidP="00E675F0">
      <w:pPr>
        <w:ind w:left="138"/>
        <w:rPr>
          <w:rFonts w:ascii="Arial"/>
          <w:sz w:val="18"/>
        </w:rPr>
      </w:pPr>
      <w:r>
        <w:rPr>
          <w:rFonts w:ascii="Arial"/>
          <w:w w:val="95"/>
          <w:sz w:val="18"/>
        </w:rPr>
        <w:t>298.9</w:t>
      </w:r>
    </w:p>
    <w:p w:rsidR="00E675F0" w:rsidRDefault="00E675F0" w:rsidP="00E675F0">
      <w:pPr>
        <w:spacing w:before="177" w:line="228" w:lineRule="auto"/>
        <w:ind w:left="145" w:right="454" w:firstLine="1"/>
        <w:rPr>
          <w:sz w:val="18"/>
        </w:rPr>
      </w:pPr>
      <w:r>
        <w:br w:type="column"/>
      </w:r>
      <w:r>
        <w:rPr>
          <w:w w:val="105"/>
          <w:sz w:val="18"/>
        </w:rPr>
        <w:t>Unspecified Mental Disorder (nonpsychotic)</w:t>
      </w:r>
    </w:p>
    <w:p w:rsidR="00E675F0" w:rsidRDefault="00E675F0" w:rsidP="00E675F0">
      <w:pPr>
        <w:pStyle w:val="BodyText"/>
        <w:spacing w:before="10"/>
        <w:rPr>
          <w:sz w:val="23"/>
        </w:rPr>
      </w:pPr>
    </w:p>
    <w:p w:rsidR="00E675F0" w:rsidRDefault="00E675F0" w:rsidP="00E675F0">
      <w:pPr>
        <w:spacing w:line="228" w:lineRule="auto"/>
        <w:ind w:left="136" w:firstLine="8"/>
        <w:rPr>
          <w:sz w:val="18"/>
        </w:rPr>
      </w:pPr>
      <w:r>
        <w:rPr>
          <w:w w:val="105"/>
          <w:sz w:val="18"/>
        </w:rPr>
        <w:t>Psychotic Disorder Not Otherwise Specified</w:t>
      </w:r>
    </w:p>
    <w:p w:rsidR="00E675F0" w:rsidRDefault="00E675F0" w:rsidP="00E675F0">
      <w:pPr>
        <w:spacing w:before="175" w:line="230" w:lineRule="auto"/>
        <w:ind w:left="140" w:right="281" w:hanging="1"/>
        <w:rPr>
          <w:sz w:val="18"/>
        </w:rPr>
      </w:pPr>
      <w:r>
        <w:br w:type="column"/>
      </w:r>
      <w:r>
        <w:rPr>
          <w:w w:val="105"/>
          <w:sz w:val="18"/>
        </w:rPr>
        <w:t>Enough information available to rule out a Psychotic Disorder, but further specification is not possible</w:t>
      </w:r>
    </w:p>
    <w:p w:rsidR="00E675F0" w:rsidRDefault="00E675F0" w:rsidP="00E675F0">
      <w:pPr>
        <w:spacing w:before="68" w:line="235" w:lineRule="auto"/>
        <w:ind w:left="136" w:right="281" w:firstLine="3"/>
        <w:rPr>
          <w:sz w:val="18"/>
        </w:rPr>
      </w:pPr>
      <w:r>
        <w:rPr>
          <w:w w:val="105"/>
          <w:sz w:val="18"/>
        </w:rPr>
        <w:t>Enough information available to determine the presence of a Psychotic Disorder, but further specification is not possible</w:t>
      </w:r>
    </w:p>
    <w:p w:rsidR="00E675F0" w:rsidRDefault="00E675F0" w:rsidP="00E675F0">
      <w:pPr>
        <w:spacing w:line="235" w:lineRule="auto"/>
        <w:rPr>
          <w:sz w:val="18"/>
        </w:rPr>
        <w:sectPr w:rsidR="00E675F0">
          <w:type w:val="continuous"/>
          <w:pgSz w:w="8960" w:h="14260"/>
          <w:pgMar w:top="640" w:right="620" w:bottom="0" w:left="600" w:header="720" w:footer="720" w:gutter="0"/>
          <w:cols w:num="3" w:space="720" w:equalWidth="0">
            <w:col w:w="587" w:space="131"/>
            <w:col w:w="2825" w:space="316"/>
            <w:col w:w="3881"/>
          </w:cols>
        </w:sectPr>
      </w:pPr>
    </w:p>
    <w:p w:rsidR="00E675F0" w:rsidRDefault="00E675F0" w:rsidP="00E675F0">
      <w:pPr>
        <w:spacing w:before="52"/>
        <w:ind w:left="132" w:right="221" w:firstLine="1"/>
        <w:rPr>
          <w:sz w:val="18"/>
        </w:rPr>
      </w:pPr>
      <w:r>
        <w:rPr>
          <w:w w:val="105"/>
          <w:sz w:val="18"/>
        </w:rPr>
        <w:t>[Class of disorder] Not Otherwise Specified e.g., Depressive Disorder Not Otherwise Specified</w:t>
      </w:r>
    </w:p>
    <w:p w:rsidR="00E675F0" w:rsidRDefault="00E675F0" w:rsidP="00E675F0">
      <w:pPr>
        <w:pStyle w:val="BodyText"/>
      </w:pPr>
    </w:p>
    <w:p w:rsidR="00E675F0" w:rsidRDefault="00E675F0" w:rsidP="00E675F0">
      <w:pPr>
        <w:pStyle w:val="BodyText"/>
      </w:pPr>
    </w:p>
    <w:p w:rsidR="00E675F0" w:rsidRDefault="00E675F0" w:rsidP="00E675F0">
      <w:pPr>
        <w:pStyle w:val="BodyText"/>
      </w:pPr>
    </w:p>
    <w:p w:rsidR="00E675F0" w:rsidRDefault="00E675F0" w:rsidP="00E675F0">
      <w:pPr>
        <w:pStyle w:val="BodyText"/>
      </w:pPr>
    </w:p>
    <w:p w:rsidR="00E675F0" w:rsidRDefault="00E675F0" w:rsidP="00E675F0">
      <w:pPr>
        <w:spacing w:before="151" w:line="207" w:lineRule="exact"/>
        <w:ind w:left="133"/>
        <w:rPr>
          <w:sz w:val="18"/>
        </w:rPr>
      </w:pPr>
      <w:r>
        <w:rPr>
          <w:sz w:val="18"/>
        </w:rPr>
        <w:t>[Specific diagnosis] (Provisional)</w:t>
      </w:r>
    </w:p>
    <w:p w:rsidR="00E675F0" w:rsidRDefault="00E675F0" w:rsidP="00E675F0">
      <w:pPr>
        <w:ind w:left="136"/>
        <w:rPr>
          <w:sz w:val="18"/>
        </w:rPr>
      </w:pPr>
      <w:r>
        <w:rPr>
          <w:w w:val="105"/>
          <w:sz w:val="18"/>
        </w:rPr>
        <w:t>e.g., Schizophreniform Disorder (Provisional)</w:t>
      </w:r>
    </w:p>
    <w:p w:rsidR="00E675F0" w:rsidRDefault="00E675F0" w:rsidP="00E675F0">
      <w:pPr>
        <w:spacing w:before="58" w:line="237" w:lineRule="auto"/>
        <w:ind w:left="132" w:right="278" w:firstLine="5"/>
        <w:rPr>
          <w:sz w:val="18"/>
        </w:rPr>
      </w:pPr>
      <w:r>
        <w:br w:type="column"/>
      </w:r>
      <w:r>
        <w:rPr>
          <w:w w:val="105"/>
          <w:sz w:val="18"/>
        </w:rPr>
        <w:t>Enough information available to indicate the class of disorder that is present, but further specification is not possible, either because there is not sufficient information to make a more specific diagnosis or because the clinical features of the disorder do not meet the criteria for any of the specific categories in that</w:t>
      </w:r>
      <w:r>
        <w:rPr>
          <w:spacing w:val="26"/>
          <w:w w:val="105"/>
          <w:sz w:val="18"/>
        </w:rPr>
        <w:t xml:space="preserve"> </w:t>
      </w:r>
      <w:r>
        <w:rPr>
          <w:w w:val="105"/>
          <w:sz w:val="18"/>
        </w:rPr>
        <w:t>class</w:t>
      </w:r>
    </w:p>
    <w:p w:rsidR="00E675F0" w:rsidRDefault="00E675F0" w:rsidP="00E675F0">
      <w:pPr>
        <w:spacing w:before="55" w:line="235" w:lineRule="auto"/>
        <w:ind w:left="134" w:right="278" w:hanging="2"/>
        <w:rPr>
          <w:sz w:val="18"/>
        </w:rPr>
      </w:pPr>
      <w:r>
        <w:rPr>
          <w:w w:val="105"/>
          <w:sz w:val="18"/>
        </w:rPr>
        <w:t>Enough information available to make a "working" diagnosis, but the clinician wishes to indicate a significant degree of diagnostic uncertainty</w:t>
      </w:r>
    </w:p>
    <w:p w:rsidR="00E675F0" w:rsidRDefault="00E675F0" w:rsidP="00E675F0">
      <w:pPr>
        <w:spacing w:line="235" w:lineRule="auto"/>
        <w:rPr>
          <w:sz w:val="18"/>
        </w:rPr>
        <w:sectPr w:rsidR="00E675F0">
          <w:type w:val="continuous"/>
          <w:pgSz w:w="8960" w:h="14260"/>
          <w:pgMar w:top="640" w:right="620" w:bottom="0" w:left="600" w:header="720" w:footer="720" w:gutter="0"/>
          <w:cols w:num="2" w:space="720" w:equalWidth="0">
            <w:col w:w="3697" w:space="164"/>
            <w:col w:w="3879"/>
          </w:cols>
        </w:sectPr>
      </w:pPr>
    </w:p>
    <w:p w:rsidR="00E675F0" w:rsidRDefault="00E675F0" w:rsidP="00E675F0">
      <w:pPr>
        <w:pStyle w:val="BodyText"/>
        <w:spacing w:before="5"/>
        <w:rPr>
          <w:sz w:val="21"/>
        </w:rPr>
      </w:pPr>
    </w:p>
    <w:p w:rsidR="00E675F0" w:rsidRDefault="00E675F0" w:rsidP="00E675F0">
      <w:pPr>
        <w:pStyle w:val="BodyText"/>
        <w:spacing w:line="20" w:lineRule="exact"/>
        <w:ind w:left="119"/>
        <w:rPr>
          <w:sz w:val="2"/>
        </w:rPr>
      </w:pPr>
      <w:r>
        <w:rPr>
          <w:noProof/>
          <w:sz w:val="2"/>
        </w:rPr>
        <mc:AlternateContent>
          <mc:Choice Requires="wpg">
            <w:drawing>
              <wp:inline distT="0" distB="0" distL="0" distR="0" wp14:anchorId="13C77367" wp14:editId="65A2F31C">
                <wp:extent cx="4754245" cy="6350"/>
                <wp:effectExtent l="0" t="0" r="0" b="0"/>
                <wp:docPr id="1709" name="Group 1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4245" cy="6350"/>
                          <a:chOff x="0" y="0"/>
                          <a:chExt cx="7487" cy="10"/>
                        </a:xfrm>
                      </wpg:grpSpPr>
                      <wps:wsp>
                        <wps:cNvPr id="1710" name="Line 1666"/>
                        <wps:cNvCnPr>
                          <a:cxnSpLocks/>
                        </wps:cNvCnPr>
                        <wps:spPr bwMode="auto">
                          <a:xfrm>
                            <a:off x="0" y="5"/>
                            <a:ext cx="7487" cy="0"/>
                          </a:xfrm>
                          <a:prstGeom prst="line">
                            <a:avLst/>
                          </a:prstGeom>
                          <a:noFill/>
                          <a:ln w="610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8B1E173" id="Group 1665" o:spid="_x0000_s1026" style="width:374.35pt;height:.5pt;mso-position-horizontal-relative:char;mso-position-vertical-relative:line" coordsize="7487,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">
                <v:line id="Line 1666" o:spid="_x0000_s1027" style="position:absolute;visibility:visible;mso-wrap-style:square" from="0,5" to="748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" strokeweight=".16956mm">
                  <o:lock v:ext="edit" shapetype="f"/>
                </v:line>
                <w10:anchorlock/>
              </v:group>
            </w:pict>
          </mc:Fallback>
        </mc:AlternateContent>
      </w:r>
    </w:p>
    <w:p w:rsidR="00E675F0" w:rsidRDefault="00E675F0" w:rsidP="00E675F0">
      <w:pPr>
        <w:pStyle w:val="BodyText"/>
      </w:pPr>
    </w:p>
    <w:p w:rsidR="00E675F0" w:rsidRDefault="00E675F0" w:rsidP="00E675F0">
      <w:pPr>
        <w:pStyle w:val="BodyText"/>
      </w:pPr>
    </w:p>
    <w:p w:rsidR="00E675F0" w:rsidRDefault="00E675F0" w:rsidP="00E675F0">
      <w:pPr>
        <w:pStyle w:val="BodyText"/>
        <w:spacing w:before="3"/>
        <w:rPr>
          <w:sz w:val="22"/>
        </w:rPr>
      </w:pPr>
    </w:p>
    <w:p w:rsidR="00E675F0" w:rsidRDefault="00E675F0" w:rsidP="00E675F0">
      <w:pPr>
        <w:ind w:left="33" w:right="32"/>
        <w:jc w:val="center"/>
        <w:rPr>
          <w:rFonts w:ascii="Arial"/>
          <w:b/>
          <w:sz w:val="25"/>
        </w:rPr>
      </w:pPr>
      <w:r>
        <w:rPr>
          <w:rFonts w:ascii="Arial"/>
          <w:b/>
          <w:w w:val="110"/>
          <w:sz w:val="25"/>
        </w:rPr>
        <w:t>Frequently Used Criteria</w:t>
      </w:r>
    </w:p>
    <w:p w:rsidR="00E675F0" w:rsidRDefault="00E675F0" w:rsidP="00E675F0">
      <w:pPr>
        <w:pStyle w:val="BodyText"/>
        <w:spacing w:before="4"/>
        <w:rPr>
          <w:rFonts w:ascii="Arial"/>
          <w:b/>
          <w:sz w:val="22"/>
        </w:rPr>
      </w:pPr>
    </w:p>
    <w:p w:rsidR="00E675F0" w:rsidRDefault="00E675F0" w:rsidP="00E675F0">
      <w:pPr>
        <w:spacing w:line="247" w:lineRule="auto"/>
        <w:ind w:left="124" w:right="2904" w:hanging="11"/>
        <w:rPr>
          <w:rFonts w:ascii="TimesNewRomanPS-BoldItalicMT"/>
          <w:b/>
          <w:i/>
          <w:sz w:val="24"/>
        </w:rPr>
      </w:pPr>
      <w:r>
        <w:rPr>
          <w:rFonts w:ascii="TimesNewRomanPS-BoldItalicMT"/>
          <w:b/>
          <w:i/>
          <w:w w:val="110"/>
          <w:sz w:val="24"/>
        </w:rPr>
        <w:t>Criteria Used to Exclude Other Di.agnoses and to Suggest Di.fferential Di.agnoses</w:t>
      </w:r>
    </w:p>
    <w:p w:rsidR="00E675F0" w:rsidRDefault="00E675F0" w:rsidP="00E675F0">
      <w:pPr>
        <w:pStyle w:val="BodyText"/>
        <w:spacing w:before="118" w:line="256" w:lineRule="auto"/>
        <w:ind w:left="132" w:right="131" w:firstLine="7"/>
        <w:jc w:val="both"/>
      </w:pPr>
      <w:r>
        <w:rPr>
          <w:w w:val="105"/>
        </w:rPr>
        <w:t>Most of the criteria sets presented in this manual include exclusion criteria that are necessary to establish boundaries between disorders and to clarify differential diagnoses. The</w:t>
      </w:r>
      <w:r>
        <w:rPr>
          <w:spacing w:val="-25"/>
          <w:w w:val="105"/>
        </w:rPr>
        <w:t xml:space="preserve"> </w:t>
      </w:r>
      <w:r>
        <w:rPr>
          <w:w w:val="105"/>
        </w:rPr>
        <w:t>several</w:t>
      </w:r>
      <w:r>
        <w:rPr>
          <w:spacing w:val="-17"/>
          <w:w w:val="105"/>
        </w:rPr>
        <w:t xml:space="preserve"> </w:t>
      </w:r>
      <w:r>
        <w:rPr>
          <w:w w:val="105"/>
        </w:rPr>
        <w:t>different</w:t>
      </w:r>
      <w:r>
        <w:rPr>
          <w:spacing w:val="-17"/>
          <w:w w:val="105"/>
        </w:rPr>
        <w:t xml:space="preserve"> </w:t>
      </w:r>
      <w:r>
        <w:rPr>
          <w:w w:val="105"/>
        </w:rPr>
        <w:t>wordings</w:t>
      </w:r>
      <w:r>
        <w:rPr>
          <w:spacing w:val="-15"/>
          <w:w w:val="105"/>
        </w:rPr>
        <w:t xml:space="preserve"> </w:t>
      </w:r>
      <w:r>
        <w:rPr>
          <w:w w:val="105"/>
        </w:rPr>
        <w:t>of</w:t>
      </w:r>
      <w:r>
        <w:rPr>
          <w:spacing w:val="-19"/>
          <w:w w:val="105"/>
        </w:rPr>
        <w:t xml:space="preserve"> </w:t>
      </w:r>
      <w:r>
        <w:rPr>
          <w:w w:val="105"/>
        </w:rPr>
        <w:t>exclusion</w:t>
      </w:r>
      <w:r>
        <w:rPr>
          <w:spacing w:val="-11"/>
          <w:w w:val="105"/>
        </w:rPr>
        <w:t xml:space="preserve"> </w:t>
      </w:r>
      <w:r>
        <w:rPr>
          <w:w w:val="105"/>
        </w:rPr>
        <w:t>criteria</w:t>
      </w:r>
      <w:r>
        <w:rPr>
          <w:spacing w:val="-12"/>
          <w:w w:val="105"/>
        </w:rPr>
        <w:t xml:space="preserve"> </w:t>
      </w:r>
      <w:r>
        <w:rPr>
          <w:w w:val="105"/>
        </w:rPr>
        <w:t>in</w:t>
      </w:r>
      <w:r>
        <w:rPr>
          <w:spacing w:val="-22"/>
          <w:w w:val="105"/>
        </w:rPr>
        <w:t xml:space="preserve"> </w:t>
      </w:r>
      <w:r>
        <w:rPr>
          <w:w w:val="105"/>
        </w:rPr>
        <w:t>the</w:t>
      </w:r>
      <w:r>
        <w:rPr>
          <w:spacing w:val="-24"/>
          <w:w w:val="105"/>
        </w:rPr>
        <w:t xml:space="preserve"> </w:t>
      </w:r>
      <w:r>
        <w:rPr>
          <w:w w:val="105"/>
        </w:rPr>
        <w:t>criteria</w:t>
      </w:r>
      <w:r>
        <w:rPr>
          <w:spacing w:val="-15"/>
          <w:w w:val="105"/>
        </w:rPr>
        <w:t xml:space="preserve"> </w:t>
      </w:r>
      <w:r>
        <w:rPr>
          <w:w w:val="105"/>
        </w:rPr>
        <w:t>sets</w:t>
      </w:r>
      <w:r>
        <w:rPr>
          <w:spacing w:val="-24"/>
          <w:w w:val="105"/>
        </w:rPr>
        <w:t xml:space="preserve"> </w:t>
      </w:r>
      <w:r>
        <w:rPr>
          <w:w w:val="105"/>
        </w:rPr>
        <w:t>throughout</w:t>
      </w:r>
      <w:r>
        <w:rPr>
          <w:spacing w:val="-2"/>
          <w:w w:val="105"/>
        </w:rPr>
        <w:t xml:space="preserve"> </w:t>
      </w:r>
      <w:r>
        <w:rPr>
          <w:w w:val="105"/>
        </w:rPr>
        <w:t>DSM-IV reflect the different types of possible relationships among</w:t>
      </w:r>
      <w:r>
        <w:rPr>
          <w:spacing w:val="-4"/>
          <w:w w:val="105"/>
        </w:rPr>
        <w:t xml:space="preserve"> </w:t>
      </w:r>
      <w:r>
        <w:rPr>
          <w:w w:val="105"/>
        </w:rPr>
        <w:t>disorders:</w:t>
      </w:r>
    </w:p>
    <w:p w:rsidR="00E675F0" w:rsidRDefault="00E675F0" w:rsidP="003048D3">
      <w:pPr>
        <w:pStyle w:val="ListParagraph"/>
        <w:numPr>
          <w:ilvl w:val="1"/>
          <w:numId w:val="135"/>
        </w:numPr>
        <w:tabs>
          <w:tab w:val="left" w:pos="738"/>
        </w:tabs>
        <w:spacing w:before="106" w:line="252" w:lineRule="auto"/>
        <w:ind w:right="126"/>
        <w:jc w:val="both"/>
        <w:rPr>
          <w:sz w:val="20"/>
        </w:rPr>
      </w:pPr>
      <w:r>
        <w:rPr>
          <w:b/>
          <w:w w:val="105"/>
          <w:sz w:val="20"/>
        </w:rPr>
        <w:t xml:space="preserve">"Criteria have never been met for ... " </w:t>
      </w:r>
      <w:r>
        <w:rPr>
          <w:w w:val="105"/>
          <w:sz w:val="20"/>
        </w:rPr>
        <w:t>This exclusion criterion is used to define a lifetime hierarchy between disorders. For example, a diagnosis of Major Depressive Disorder can no longer be given once a Manic Episode has occurred and must be changed to a diagnosis of Bipolar I</w:t>
      </w:r>
      <w:r>
        <w:rPr>
          <w:spacing w:val="5"/>
          <w:w w:val="105"/>
          <w:sz w:val="20"/>
        </w:rPr>
        <w:t xml:space="preserve"> </w:t>
      </w:r>
      <w:r>
        <w:rPr>
          <w:w w:val="105"/>
          <w:sz w:val="20"/>
        </w:rPr>
        <w:t>Disorder.</w:t>
      </w:r>
    </w:p>
    <w:p w:rsidR="00E675F0" w:rsidRDefault="00E675F0" w:rsidP="003048D3">
      <w:pPr>
        <w:pStyle w:val="ListParagraph"/>
        <w:numPr>
          <w:ilvl w:val="1"/>
          <w:numId w:val="135"/>
        </w:numPr>
        <w:tabs>
          <w:tab w:val="left" w:pos="733"/>
        </w:tabs>
        <w:spacing w:line="252" w:lineRule="auto"/>
        <w:ind w:left="741" w:right="124" w:hanging="225"/>
        <w:jc w:val="both"/>
        <w:rPr>
          <w:sz w:val="20"/>
        </w:rPr>
      </w:pPr>
      <w:r>
        <w:rPr>
          <w:b/>
          <w:w w:val="105"/>
          <w:sz w:val="20"/>
        </w:rPr>
        <w:t xml:space="preserve">"Criteria are not met for ... " </w:t>
      </w:r>
      <w:r>
        <w:rPr>
          <w:w w:val="105"/>
          <w:sz w:val="20"/>
        </w:rPr>
        <w:t>This exclusion criterion is used to establish a hierarchy</w:t>
      </w:r>
      <w:r>
        <w:rPr>
          <w:spacing w:val="-5"/>
          <w:w w:val="105"/>
          <w:sz w:val="20"/>
        </w:rPr>
        <w:t xml:space="preserve"> </w:t>
      </w:r>
      <w:r>
        <w:rPr>
          <w:w w:val="105"/>
          <w:sz w:val="20"/>
        </w:rPr>
        <w:t>between</w:t>
      </w:r>
      <w:r>
        <w:rPr>
          <w:spacing w:val="3"/>
          <w:w w:val="105"/>
          <w:sz w:val="20"/>
        </w:rPr>
        <w:t xml:space="preserve"> </w:t>
      </w:r>
      <w:r>
        <w:rPr>
          <w:w w:val="105"/>
          <w:sz w:val="20"/>
        </w:rPr>
        <w:t>disorders</w:t>
      </w:r>
      <w:r>
        <w:rPr>
          <w:spacing w:val="-4"/>
          <w:w w:val="105"/>
          <w:sz w:val="20"/>
        </w:rPr>
        <w:t xml:space="preserve"> </w:t>
      </w:r>
      <w:r>
        <w:rPr>
          <w:w w:val="105"/>
          <w:sz w:val="20"/>
        </w:rPr>
        <w:t>(or</w:t>
      </w:r>
      <w:r>
        <w:rPr>
          <w:spacing w:val="-21"/>
          <w:w w:val="105"/>
          <w:sz w:val="20"/>
        </w:rPr>
        <w:t xml:space="preserve"> </w:t>
      </w:r>
      <w:r>
        <w:rPr>
          <w:w w:val="105"/>
          <w:sz w:val="20"/>
        </w:rPr>
        <w:t>subtypes)</w:t>
      </w:r>
      <w:r>
        <w:rPr>
          <w:spacing w:val="-10"/>
          <w:w w:val="105"/>
          <w:sz w:val="20"/>
        </w:rPr>
        <w:t xml:space="preserve"> </w:t>
      </w:r>
      <w:r>
        <w:rPr>
          <w:w w:val="105"/>
          <w:sz w:val="20"/>
        </w:rPr>
        <w:t>defined</w:t>
      </w:r>
      <w:r>
        <w:rPr>
          <w:spacing w:val="-3"/>
          <w:w w:val="105"/>
          <w:sz w:val="20"/>
        </w:rPr>
        <w:t xml:space="preserve"> </w:t>
      </w:r>
      <w:r>
        <w:rPr>
          <w:w w:val="105"/>
          <w:sz w:val="20"/>
        </w:rPr>
        <w:t>cross-sectionally.</w:t>
      </w:r>
      <w:r>
        <w:rPr>
          <w:spacing w:val="-14"/>
          <w:w w:val="105"/>
          <w:sz w:val="20"/>
        </w:rPr>
        <w:t xml:space="preserve"> </w:t>
      </w:r>
      <w:r>
        <w:rPr>
          <w:w w:val="105"/>
          <w:sz w:val="20"/>
        </w:rPr>
        <w:t>For</w:t>
      </w:r>
      <w:r>
        <w:rPr>
          <w:spacing w:val="-17"/>
          <w:w w:val="105"/>
          <w:sz w:val="20"/>
        </w:rPr>
        <w:t xml:space="preserve"> </w:t>
      </w:r>
      <w:r>
        <w:rPr>
          <w:w w:val="105"/>
          <w:sz w:val="20"/>
        </w:rPr>
        <w:t>example, the specifier With Melancholic Features takes precedence over With Atypical Features for describing the current Major Depressive</w:t>
      </w:r>
      <w:r>
        <w:rPr>
          <w:spacing w:val="29"/>
          <w:w w:val="105"/>
          <w:sz w:val="20"/>
        </w:rPr>
        <w:t xml:space="preserve"> </w:t>
      </w:r>
      <w:r>
        <w:rPr>
          <w:w w:val="105"/>
          <w:sz w:val="20"/>
        </w:rPr>
        <w:t>Episode.</w:t>
      </w:r>
    </w:p>
    <w:p w:rsidR="00E675F0" w:rsidRDefault="00E675F0" w:rsidP="003048D3">
      <w:pPr>
        <w:pStyle w:val="ListParagraph"/>
        <w:numPr>
          <w:ilvl w:val="1"/>
          <w:numId w:val="135"/>
        </w:numPr>
        <w:tabs>
          <w:tab w:val="left" w:pos="733"/>
        </w:tabs>
        <w:spacing w:line="254" w:lineRule="auto"/>
        <w:ind w:left="735" w:right="121" w:hanging="218"/>
        <w:jc w:val="both"/>
        <w:rPr>
          <w:sz w:val="20"/>
        </w:rPr>
      </w:pPr>
      <w:r>
        <w:rPr>
          <w:b/>
          <w:w w:val="105"/>
          <w:sz w:val="20"/>
        </w:rPr>
        <w:t xml:space="preserve">"does not occur exclusively during the course of  ...  "  </w:t>
      </w:r>
      <w:r>
        <w:rPr>
          <w:w w:val="105"/>
          <w:sz w:val="20"/>
        </w:rPr>
        <w:t>This  exclusion criterion prevents a disorder from being diagnosed when its symptom presenta­ tion occurs only during the course of  another disorder.  For example,  dementia is not diagnosed separately if it occurs only during delirium; Conversion Disorder is</w:t>
      </w:r>
      <w:r>
        <w:rPr>
          <w:spacing w:val="-16"/>
          <w:w w:val="105"/>
          <w:sz w:val="20"/>
        </w:rPr>
        <w:t xml:space="preserve"> </w:t>
      </w:r>
      <w:r>
        <w:rPr>
          <w:w w:val="105"/>
          <w:sz w:val="20"/>
        </w:rPr>
        <w:t>not</w:t>
      </w:r>
      <w:r>
        <w:rPr>
          <w:spacing w:val="-19"/>
          <w:w w:val="105"/>
          <w:sz w:val="20"/>
        </w:rPr>
        <w:t xml:space="preserve"> </w:t>
      </w:r>
      <w:r>
        <w:rPr>
          <w:w w:val="105"/>
          <w:sz w:val="20"/>
        </w:rPr>
        <w:t>diagnosed</w:t>
      </w:r>
      <w:r>
        <w:rPr>
          <w:spacing w:val="-15"/>
          <w:w w:val="105"/>
          <w:sz w:val="20"/>
        </w:rPr>
        <w:t xml:space="preserve"> </w:t>
      </w:r>
      <w:r>
        <w:rPr>
          <w:w w:val="105"/>
          <w:sz w:val="20"/>
        </w:rPr>
        <w:t>separately</w:t>
      </w:r>
      <w:r>
        <w:rPr>
          <w:spacing w:val="-4"/>
          <w:w w:val="105"/>
          <w:sz w:val="20"/>
        </w:rPr>
        <w:t xml:space="preserve"> </w:t>
      </w:r>
      <w:r>
        <w:rPr>
          <w:w w:val="105"/>
          <w:sz w:val="20"/>
        </w:rPr>
        <w:t>if</w:t>
      </w:r>
      <w:r>
        <w:rPr>
          <w:spacing w:val="-10"/>
          <w:w w:val="105"/>
          <w:sz w:val="20"/>
        </w:rPr>
        <w:t xml:space="preserve"> </w:t>
      </w:r>
      <w:r>
        <w:rPr>
          <w:w w:val="105"/>
          <w:sz w:val="20"/>
        </w:rPr>
        <w:t>it</w:t>
      </w:r>
      <w:r>
        <w:rPr>
          <w:spacing w:val="-22"/>
          <w:w w:val="105"/>
          <w:sz w:val="20"/>
        </w:rPr>
        <w:t xml:space="preserve"> </w:t>
      </w:r>
      <w:r>
        <w:rPr>
          <w:w w:val="105"/>
          <w:sz w:val="20"/>
        </w:rPr>
        <w:t>occurs</w:t>
      </w:r>
      <w:r>
        <w:rPr>
          <w:spacing w:val="-16"/>
          <w:w w:val="105"/>
          <w:sz w:val="20"/>
        </w:rPr>
        <w:t xml:space="preserve"> </w:t>
      </w:r>
      <w:r>
        <w:rPr>
          <w:w w:val="105"/>
          <w:sz w:val="20"/>
        </w:rPr>
        <w:t>only</w:t>
      </w:r>
      <w:r>
        <w:rPr>
          <w:spacing w:val="-20"/>
          <w:w w:val="105"/>
          <w:sz w:val="20"/>
        </w:rPr>
        <w:t xml:space="preserve"> </w:t>
      </w:r>
      <w:r>
        <w:rPr>
          <w:w w:val="105"/>
          <w:sz w:val="20"/>
        </w:rPr>
        <w:t>during</w:t>
      </w:r>
      <w:r>
        <w:rPr>
          <w:spacing w:val="-21"/>
          <w:w w:val="105"/>
          <w:sz w:val="20"/>
        </w:rPr>
        <w:t xml:space="preserve"> </w:t>
      </w:r>
      <w:r>
        <w:rPr>
          <w:w w:val="105"/>
          <w:sz w:val="20"/>
        </w:rPr>
        <w:t>Somatization</w:t>
      </w:r>
      <w:r>
        <w:rPr>
          <w:spacing w:val="-10"/>
          <w:w w:val="105"/>
          <w:sz w:val="20"/>
        </w:rPr>
        <w:t xml:space="preserve"> </w:t>
      </w:r>
      <w:r>
        <w:rPr>
          <w:w w:val="105"/>
          <w:sz w:val="20"/>
        </w:rPr>
        <w:t>Disorder;</w:t>
      </w:r>
      <w:r>
        <w:rPr>
          <w:spacing w:val="-8"/>
          <w:w w:val="105"/>
          <w:sz w:val="20"/>
        </w:rPr>
        <w:t xml:space="preserve"> </w:t>
      </w:r>
      <w:r>
        <w:rPr>
          <w:w w:val="105"/>
          <w:sz w:val="20"/>
        </w:rPr>
        <w:t xml:space="preserve">Bulimia Nervosa is not diagnosed separately if it occurs only during episodes of Anorexia Nervosa. This exclusion criterion is typically used in situations in which the symptoms of one  disorder are associated features or a subset of the symptoms   of the preempting disorder. The clinician should consider periods of partial remission as part of the "course of another disorder." </w:t>
      </w:r>
      <w:r>
        <w:rPr>
          <w:w w:val="105"/>
          <w:sz w:val="19"/>
        </w:rPr>
        <w:t xml:space="preserve">It </w:t>
      </w:r>
      <w:r>
        <w:rPr>
          <w:w w:val="105"/>
          <w:sz w:val="20"/>
        </w:rPr>
        <w:t>should be</w:t>
      </w:r>
      <w:r>
        <w:rPr>
          <w:spacing w:val="15"/>
          <w:w w:val="105"/>
          <w:sz w:val="20"/>
        </w:rPr>
        <w:t xml:space="preserve"> </w:t>
      </w:r>
      <w:r>
        <w:rPr>
          <w:w w:val="105"/>
          <w:sz w:val="20"/>
        </w:rPr>
        <w:t>noted that the</w:t>
      </w:r>
    </w:p>
    <w:p w:rsidR="00E675F0" w:rsidRDefault="00E675F0" w:rsidP="00E675F0">
      <w:pPr>
        <w:spacing w:line="254" w:lineRule="auto"/>
        <w:jc w:val="both"/>
        <w:rPr>
          <w:sz w:val="20"/>
        </w:rPr>
        <w:sectPr w:rsidR="00E675F0">
          <w:type w:val="continuous"/>
          <w:pgSz w:w="8960" w:h="14260"/>
          <w:pgMar w:top="640" w:right="620" w:bottom="0" w:left="600" w:header="720" w:footer="720" w:gutter="0"/>
          <w:cols w:space="720"/>
        </w:sectPr>
      </w:pPr>
    </w:p>
    <w:p w:rsidR="00E675F0" w:rsidRDefault="00E675F0" w:rsidP="00E675F0">
      <w:pPr>
        <w:pStyle w:val="BodyText"/>
        <w:spacing w:before="122" w:line="252" w:lineRule="auto"/>
        <w:ind w:left="731" w:right="139" w:hanging="7"/>
        <w:jc w:val="both"/>
      </w:pPr>
      <w:r>
        <w:rPr>
          <w:w w:val="105"/>
        </w:rPr>
        <w:lastRenderedPageBreak/>
        <w:t>excluded diagnosis can be given at times when it occurs independently (e.g., when the excluding disorder is in full remission).</w:t>
      </w:r>
    </w:p>
    <w:p w:rsidR="00E675F0" w:rsidRDefault="00E675F0" w:rsidP="003048D3">
      <w:pPr>
        <w:pStyle w:val="ListParagraph"/>
        <w:numPr>
          <w:ilvl w:val="1"/>
          <w:numId w:val="135"/>
        </w:numPr>
        <w:tabs>
          <w:tab w:val="left" w:pos="721"/>
        </w:tabs>
        <w:spacing w:before="2" w:line="256" w:lineRule="auto"/>
        <w:ind w:left="723" w:right="134" w:hanging="219"/>
        <w:jc w:val="both"/>
        <w:rPr>
          <w:sz w:val="20"/>
        </w:rPr>
      </w:pPr>
      <w:r>
        <w:rPr>
          <w:b/>
          <w:w w:val="110"/>
          <w:sz w:val="20"/>
        </w:rPr>
        <w:t xml:space="preserve">"not due to the direct physiological effects of a substance (e.g., a drug of abuse, a medication) or a general medical condition." </w:t>
      </w:r>
      <w:r>
        <w:rPr>
          <w:w w:val="110"/>
          <w:sz w:val="20"/>
        </w:rPr>
        <w:t>This exclusion criterion</w:t>
      </w:r>
      <w:r>
        <w:rPr>
          <w:spacing w:val="-24"/>
          <w:w w:val="110"/>
          <w:sz w:val="20"/>
        </w:rPr>
        <w:t xml:space="preserve"> </w:t>
      </w:r>
      <w:r>
        <w:rPr>
          <w:w w:val="110"/>
          <w:sz w:val="20"/>
        </w:rPr>
        <w:t>is</w:t>
      </w:r>
      <w:r>
        <w:rPr>
          <w:spacing w:val="-36"/>
          <w:w w:val="110"/>
          <w:sz w:val="20"/>
        </w:rPr>
        <w:t xml:space="preserve"> </w:t>
      </w:r>
      <w:r>
        <w:rPr>
          <w:w w:val="110"/>
          <w:sz w:val="20"/>
        </w:rPr>
        <w:t>used</w:t>
      </w:r>
      <w:r>
        <w:rPr>
          <w:spacing w:val="-30"/>
          <w:w w:val="110"/>
          <w:sz w:val="20"/>
        </w:rPr>
        <w:t xml:space="preserve"> </w:t>
      </w:r>
      <w:r>
        <w:rPr>
          <w:w w:val="110"/>
          <w:sz w:val="20"/>
        </w:rPr>
        <w:t>to</w:t>
      </w:r>
      <w:r>
        <w:rPr>
          <w:spacing w:val="-36"/>
          <w:w w:val="110"/>
          <w:sz w:val="20"/>
        </w:rPr>
        <w:t xml:space="preserve"> </w:t>
      </w:r>
      <w:r>
        <w:rPr>
          <w:w w:val="110"/>
          <w:sz w:val="20"/>
        </w:rPr>
        <w:t>indicate</w:t>
      </w:r>
      <w:r>
        <w:rPr>
          <w:spacing w:val="-29"/>
          <w:w w:val="110"/>
          <w:sz w:val="20"/>
        </w:rPr>
        <w:t xml:space="preserve"> </w:t>
      </w:r>
      <w:r>
        <w:rPr>
          <w:w w:val="110"/>
          <w:sz w:val="20"/>
        </w:rPr>
        <w:t>that</w:t>
      </w:r>
      <w:r>
        <w:rPr>
          <w:spacing w:val="-33"/>
          <w:w w:val="110"/>
          <w:sz w:val="20"/>
        </w:rPr>
        <w:t xml:space="preserve"> </w:t>
      </w:r>
      <w:r>
        <w:rPr>
          <w:w w:val="110"/>
          <w:sz w:val="20"/>
        </w:rPr>
        <w:t>a</w:t>
      </w:r>
      <w:r>
        <w:rPr>
          <w:spacing w:val="-35"/>
          <w:w w:val="110"/>
          <w:sz w:val="20"/>
        </w:rPr>
        <w:t xml:space="preserve"> </w:t>
      </w:r>
      <w:r>
        <w:rPr>
          <w:w w:val="110"/>
          <w:sz w:val="20"/>
        </w:rPr>
        <w:t>substance-induced</w:t>
      </w:r>
      <w:r>
        <w:rPr>
          <w:spacing w:val="-38"/>
          <w:w w:val="110"/>
          <w:sz w:val="20"/>
        </w:rPr>
        <w:t xml:space="preserve"> </w:t>
      </w:r>
      <w:r>
        <w:rPr>
          <w:w w:val="110"/>
          <w:sz w:val="20"/>
        </w:rPr>
        <w:t>and</w:t>
      </w:r>
      <w:r>
        <w:rPr>
          <w:spacing w:val="-31"/>
          <w:w w:val="110"/>
          <w:sz w:val="20"/>
        </w:rPr>
        <w:t xml:space="preserve"> </w:t>
      </w:r>
      <w:r>
        <w:rPr>
          <w:w w:val="110"/>
          <w:sz w:val="20"/>
        </w:rPr>
        <w:t>general</w:t>
      </w:r>
      <w:r>
        <w:rPr>
          <w:spacing w:val="-29"/>
          <w:w w:val="110"/>
          <w:sz w:val="20"/>
        </w:rPr>
        <w:t xml:space="preserve"> </w:t>
      </w:r>
      <w:r>
        <w:rPr>
          <w:w w:val="110"/>
          <w:sz w:val="20"/>
        </w:rPr>
        <w:t>medical</w:t>
      </w:r>
      <w:r>
        <w:rPr>
          <w:spacing w:val="-31"/>
          <w:w w:val="110"/>
          <w:sz w:val="20"/>
        </w:rPr>
        <w:t xml:space="preserve"> </w:t>
      </w:r>
      <w:r>
        <w:rPr>
          <w:w w:val="110"/>
          <w:sz w:val="20"/>
        </w:rPr>
        <w:t>etiology must be considered and ruled out before the disorder can be diagnosed (e.g., Major Depressive Disorder can be diagnosed only after etiologies based on substance use and a general medical condition have been ruled</w:t>
      </w:r>
      <w:r>
        <w:rPr>
          <w:spacing w:val="7"/>
          <w:w w:val="110"/>
          <w:sz w:val="20"/>
        </w:rPr>
        <w:t xml:space="preserve"> </w:t>
      </w:r>
      <w:r>
        <w:rPr>
          <w:w w:val="110"/>
          <w:sz w:val="20"/>
        </w:rPr>
        <w:t>out).</w:t>
      </w:r>
    </w:p>
    <w:p w:rsidR="00E675F0" w:rsidRDefault="00E675F0" w:rsidP="003048D3">
      <w:pPr>
        <w:pStyle w:val="ListParagraph"/>
        <w:numPr>
          <w:ilvl w:val="1"/>
          <w:numId w:val="135"/>
        </w:numPr>
        <w:tabs>
          <w:tab w:val="left" w:pos="725"/>
        </w:tabs>
        <w:spacing w:line="254" w:lineRule="auto"/>
        <w:ind w:left="725" w:right="125"/>
        <w:jc w:val="both"/>
        <w:rPr>
          <w:sz w:val="20"/>
        </w:rPr>
      </w:pPr>
      <w:r>
        <w:rPr>
          <w:b/>
          <w:w w:val="110"/>
          <w:sz w:val="20"/>
        </w:rPr>
        <w:t>"not</w:t>
      </w:r>
      <w:r>
        <w:rPr>
          <w:b/>
          <w:spacing w:val="-21"/>
          <w:w w:val="110"/>
          <w:sz w:val="20"/>
        </w:rPr>
        <w:t xml:space="preserve"> </w:t>
      </w:r>
      <w:r>
        <w:rPr>
          <w:b/>
          <w:w w:val="110"/>
          <w:sz w:val="20"/>
        </w:rPr>
        <w:t>better</w:t>
      </w:r>
      <w:r>
        <w:rPr>
          <w:b/>
          <w:spacing w:val="-17"/>
          <w:w w:val="110"/>
          <w:sz w:val="20"/>
        </w:rPr>
        <w:t xml:space="preserve"> </w:t>
      </w:r>
      <w:r>
        <w:rPr>
          <w:b/>
          <w:w w:val="110"/>
          <w:sz w:val="20"/>
        </w:rPr>
        <w:t>accounted</w:t>
      </w:r>
      <w:r>
        <w:rPr>
          <w:b/>
          <w:spacing w:val="-9"/>
          <w:w w:val="110"/>
          <w:sz w:val="20"/>
        </w:rPr>
        <w:t xml:space="preserve"> </w:t>
      </w:r>
      <w:r>
        <w:rPr>
          <w:b/>
          <w:w w:val="110"/>
          <w:sz w:val="20"/>
        </w:rPr>
        <w:t>for</w:t>
      </w:r>
      <w:r>
        <w:rPr>
          <w:b/>
          <w:spacing w:val="-12"/>
          <w:w w:val="110"/>
          <w:sz w:val="20"/>
        </w:rPr>
        <w:t xml:space="preserve"> </w:t>
      </w:r>
      <w:r>
        <w:rPr>
          <w:b/>
          <w:w w:val="110"/>
          <w:sz w:val="20"/>
        </w:rPr>
        <w:t>by</w:t>
      </w:r>
      <w:r>
        <w:rPr>
          <w:b/>
          <w:spacing w:val="-5"/>
          <w:w w:val="110"/>
          <w:sz w:val="20"/>
        </w:rPr>
        <w:t xml:space="preserve"> </w:t>
      </w:r>
      <w:r>
        <w:rPr>
          <w:b/>
          <w:w w:val="110"/>
          <w:sz w:val="20"/>
        </w:rPr>
        <w:t>.</w:t>
      </w:r>
      <w:r>
        <w:rPr>
          <w:b/>
          <w:spacing w:val="-16"/>
          <w:w w:val="110"/>
          <w:sz w:val="20"/>
        </w:rPr>
        <w:t xml:space="preserve"> </w:t>
      </w:r>
      <w:r>
        <w:rPr>
          <w:w w:val="110"/>
          <w:sz w:val="20"/>
        </w:rPr>
        <w:t>.</w:t>
      </w:r>
      <w:r>
        <w:rPr>
          <w:spacing w:val="-12"/>
          <w:w w:val="110"/>
          <w:sz w:val="20"/>
        </w:rPr>
        <w:t xml:space="preserve"> </w:t>
      </w:r>
      <w:r>
        <w:rPr>
          <w:w w:val="110"/>
          <w:sz w:val="20"/>
        </w:rPr>
        <w:t>."</w:t>
      </w:r>
      <w:r>
        <w:rPr>
          <w:spacing w:val="3"/>
          <w:w w:val="110"/>
          <w:sz w:val="20"/>
        </w:rPr>
        <w:t xml:space="preserve"> </w:t>
      </w:r>
      <w:r>
        <w:rPr>
          <w:w w:val="110"/>
          <w:sz w:val="20"/>
        </w:rPr>
        <w:t>This</w:t>
      </w:r>
      <w:r>
        <w:rPr>
          <w:spacing w:val="-4"/>
          <w:w w:val="110"/>
          <w:sz w:val="20"/>
        </w:rPr>
        <w:t xml:space="preserve"> </w:t>
      </w:r>
      <w:r>
        <w:rPr>
          <w:w w:val="110"/>
          <w:sz w:val="20"/>
        </w:rPr>
        <w:t>exclusion</w:t>
      </w:r>
      <w:r>
        <w:rPr>
          <w:spacing w:val="7"/>
          <w:w w:val="110"/>
          <w:sz w:val="20"/>
        </w:rPr>
        <w:t xml:space="preserve"> </w:t>
      </w:r>
      <w:r>
        <w:rPr>
          <w:w w:val="110"/>
          <w:sz w:val="20"/>
        </w:rPr>
        <w:t>criterion</w:t>
      </w:r>
      <w:r>
        <w:rPr>
          <w:spacing w:val="10"/>
          <w:w w:val="110"/>
          <w:sz w:val="20"/>
        </w:rPr>
        <w:t xml:space="preserve"> </w:t>
      </w:r>
      <w:r>
        <w:rPr>
          <w:w w:val="110"/>
          <w:sz w:val="20"/>
        </w:rPr>
        <w:t>is</w:t>
      </w:r>
      <w:r>
        <w:rPr>
          <w:spacing w:val="-2"/>
          <w:w w:val="110"/>
          <w:sz w:val="20"/>
        </w:rPr>
        <w:t xml:space="preserve"> </w:t>
      </w:r>
      <w:r>
        <w:rPr>
          <w:w w:val="110"/>
          <w:sz w:val="20"/>
        </w:rPr>
        <w:t>used</w:t>
      </w:r>
      <w:r>
        <w:rPr>
          <w:spacing w:val="-1"/>
          <w:w w:val="110"/>
          <w:sz w:val="20"/>
        </w:rPr>
        <w:t xml:space="preserve"> </w:t>
      </w:r>
      <w:r>
        <w:rPr>
          <w:w w:val="110"/>
          <w:sz w:val="20"/>
        </w:rPr>
        <w:t>to</w:t>
      </w:r>
      <w:r>
        <w:rPr>
          <w:spacing w:val="-7"/>
          <w:w w:val="110"/>
          <w:sz w:val="20"/>
        </w:rPr>
        <w:t xml:space="preserve"> </w:t>
      </w:r>
      <w:r>
        <w:rPr>
          <w:w w:val="110"/>
          <w:sz w:val="20"/>
        </w:rPr>
        <w:t>indicate that</w:t>
      </w:r>
      <w:r>
        <w:rPr>
          <w:spacing w:val="-32"/>
          <w:w w:val="110"/>
          <w:sz w:val="20"/>
        </w:rPr>
        <w:t xml:space="preserve"> </w:t>
      </w:r>
      <w:r>
        <w:rPr>
          <w:w w:val="110"/>
          <w:sz w:val="20"/>
        </w:rPr>
        <w:t>the</w:t>
      </w:r>
      <w:r>
        <w:rPr>
          <w:spacing w:val="-32"/>
          <w:w w:val="110"/>
          <w:sz w:val="20"/>
        </w:rPr>
        <w:t xml:space="preserve"> </w:t>
      </w:r>
      <w:r>
        <w:rPr>
          <w:w w:val="110"/>
          <w:sz w:val="20"/>
        </w:rPr>
        <w:t>disorders</w:t>
      </w:r>
      <w:r>
        <w:rPr>
          <w:spacing w:val="-30"/>
          <w:w w:val="110"/>
          <w:sz w:val="20"/>
        </w:rPr>
        <w:t xml:space="preserve"> </w:t>
      </w:r>
      <w:r>
        <w:rPr>
          <w:w w:val="110"/>
          <w:sz w:val="20"/>
        </w:rPr>
        <w:t>mentioned</w:t>
      </w:r>
      <w:r>
        <w:rPr>
          <w:spacing w:val="-19"/>
          <w:w w:val="110"/>
          <w:sz w:val="20"/>
        </w:rPr>
        <w:t xml:space="preserve"> </w:t>
      </w:r>
      <w:r>
        <w:rPr>
          <w:w w:val="110"/>
          <w:sz w:val="20"/>
        </w:rPr>
        <w:t>in</w:t>
      </w:r>
      <w:r>
        <w:rPr>
          <w:spacing w:val="-31"/>
          <w:w w:val="110"/>
          <w:sz w:val="20"/>
        </w:rPr>
        <w:t xml:space="preserve"> </w:t>
      </w:r>
      <w:r>
        <w:rPr>
          <w:w w:val="110"/>
          <w:sz w:val="20"/>
        </w:rPr>
        <w:t>the</w:t>
      </w:r>
      <w:r>
        <w:rPr>
          <w:spacing w:val="-33"/>
          <w:w w:val="110"/>
          <w:sz w:val="20"/>
        </w:rPr>
        <w:t xml:space="preserve"> </w:t>
      </w:r>
      <w:r>
        <w:rPr>
          <w:w w:val="110"/>
          <w:sz w:val="20"/>
        </w:rPr>
        <w:t>criterion</w:t>
      </w:r>
      <w:r>
        <w:rPr>
          <w:spacing w:val="-21"/>
          <w:w w:val="110"/>
          <w:sz w:val="20"/>
        </w:rPr>
        <w:t xml:space="preserve"> </w:t>
      </w:r>
      <w:r>
        <w:rPr>
          <w:w w:val="110"/>
          <w:sz w:val="20"/>
        </w:rPr>
        <w:t>must</w:t>
      </w:r>
      <w:r>
        <w:rPr>
          <w:spacing w:val="-27"/>
          <w:w w:val="110"/>
          <w:sz w:val="20"/>
        </w:rPr>
        <w:t xml:space="preserve"> </w:t>
      </w:r>
      <w:r>
        <w:rPr>
          <w:w w:val="110"/>
          <w:sz w:val="20"/>
        </w:rPr>
        <w:t>be</w:t>
      </w:r>
      <w:r>
        <w:rPr>
          <w:spacing w:val="-23"/>
          <w:w w:val="110"/>
          <w:sz w:val="20"/>
        </w:rPr>
        <w:t xml:space="preserve"> </w:t>
      </w:r>
      <w:r>
        <w:rPr>
          <w:w w:val="110"/>
          <w:sz w:val="20"/>
        </w:rPr>
        <w:t>considered</w:t>
      </w:r>
      <w:r>
        <w:rPr>
          <w:spacing w:val="-21"/>
          <w:w w:val="110"/>
          <w:sz w:val="20"/>
        </w:rPr>
        <w:t xml:space="preserve"> </w:t>
      </w:r>
      <w:r>
        <w:rPr>
          <w:w w:val="110"/>
          <w:sz w:val="20"/>
        </w:rPr>
        <w:t>in</w:t>
      </w:r>
      <w:r>
        <w:rPr>
          <w:spacing w:val="-28"/>
          <w:w w:val="110"/>
          <w:sz w:val="20"/>
        </w:rPr>
        <w:t xml:space="preserve"> </w:t>
      </w:r>
      <w:r>
        <w:rPr>
          <w:w w:val="110"/>
          <w:sz w:val="20"/>
        </w:rPr>
        <w:t>the</w:t>
      </w:r>
      <w:r>
        <w:rPr>
          <w:spacing w:val="-33"/>
          <w:w w:val="110"/>
          <w:sz w:val="20"/>
        </w:rPr>
        <w:t xml:space="preserve"> </w:t>
      </w:r>
      <w:r>
        <w:rPr>
          <w:w w:val="110"/>
          <w:sz w:val="20"/>
        </w:rPr>
        <w:t>differential diagnosis</w:t>
      </w:r>
      <w:r>
        <w:rPr>
          <w:spacing w:val="-29"/>
          <w:w w:val="110"/>
          <w:sz w:val="20"/>
        </w:rPr>
        <w:t xml:space="preserve"> </w:t>
      </w:r>
      <w:r>
        <w:rPr>
          <w:w w:val="110"/>
          <w:sz w:val="20"/>
        </w:rPr>
        <w:t>of</w:t>
      </w:r>
      <w:r>
        <w:rPr>
          <w:spacing w:val="-23"/>
          <w:w w:val="110"/>
          <w:sz w:val="20"/>
        </w:rPr>
        <w:t xml:space="preserve"> </w:t>
      </w:r>
      <w:r>
        <w:rPr>
          <w:w w:val="110"/>
          <w:sz w:val="20"/>
        </w:rPr>
        <w:t>the</w:t>
      </w:r>
      <w:r>
        <w:rPr>
          <w:spacing w:val="-27"/>
          <w:w w:val="110"/>
          <w:sz w:val="20"/>
        </w:rPr>
        <w:t xml:space="preserve"> </w:t>
      </w:r>
      <w:r>
        <w:rPr>
          <w:w w:val="110"/>
          <w:sz w:val="20"/>
        </w:rPr>
        <w:t>presenting</w:t>
      </w:r>
      <w:r>
        <w:rPr>
          <w:spacing w:val="-17"/>
          <w:w w:val="110"/>
          <w:sz w:val="20"/>
        </w:rPr>
        <w:t xml:space="preserve"> </w:t>
      </w:r>
      <w:r>
        <w:rPr>
          <w:w w:val="110"/>
          <w:sz w:val="20"/>
        </w:rPr>
        <w:t>psychopathology</w:t>
      </w:r>
      <w:r>
        <w:rPr>
          <w:spacing w:val="-34"/>
          <w:w w:val="110"/>
          <w:sz w:val="20"/>
        </w:rPr>
        <w:t xml:space="preserve"> </w:t>
      </w:r>
      <w:r>
        <w:rPr>
          <w:w w:val="110"/>
          <w:sz w:val="20"/>
        </w:rPr>
        <w:t>and</w:t>
      </w:r>
      <w:r>
        <w:rPr>
          <w:spacing w:val="-26"/>
          <w:w w:val="110"/>
          <w:sz w:val="20"/>
        </w:rPr>
        <w:t xml:space="preserve"> </w:t>
      </w:r>
      <w:r>
        <w:rPr>
          <w:w w:val="110"/>
          <w:sz w:val="20"/>
        </w:rPr>
        <w:t>that,</w:t>
      </w:r>
      <w:r>
        <w:rPr>
          <w:spacing w:val="-25"/>
          <w:w w:val="110"/>
          <w:sz w:val="20"/>
        </w:rPr>
        <w:t xml:space="preserve"> </w:t>
      </w:r>
      <w:r>
        <w:rPr>
          <w:w w:val="110"/>
          <w:sz w:val="20"/>
        </w:rPr>
        <w:t>in</w:t>
      </w:r>
      <w:r>
        <w:rPr>
          <w:spacing w:val="-28"/>
          <w:w w:val="110"/>
          <w:sz w:val="20"/>
        </w:rPr>
        <w:t xml:space="preserve"> </w:t>
      </w:r>
      <w:r>
        <w:rPr>
          <w:w w:val="110"/>
          <w:sz w:val="20"/>
        </w:rPr>
        <w:t>boundary</w:t>
      </w:r>
      <w:r>
        <w:rPr>
          <w:spacing w:val="-23"/>
          <w:w w:val="110"/>
          <w:sz w:val="20"/>
        </w:rPr>
        <w:t xml:space="preserve"> </w:t>
      </w:r>
      <w:r>
        <w:rPr>
          <w:w w:val="110"/>
          <w:sz w:val="20"/>
        </w:rPr>
        <w:t>cases,</w:t>
      </w:r>
      <w:r>
        <w:rPr>
          <w:spacing w:val="-26"/>
          <w:w w:val="110"/>
          <w:sz w:val="20"/>
        </w:rPr>
        <w:t xml:space="preserve"> </w:t>
      </w:r>
      <w:r>
        <w:rPr>
          <w:w w:val="110"/>
          <w:sz w:val="20"/>
        </w:rPr>
        <w:t>clinical judgment will be necessary to determine which disorder provides the most appropriate</w:t>
      </w:r>
      <w:r>
        <w:rPr>
          <w:spacing w:val="-9"/>
          <w:w w:val="110"/>
          <w:sz w:val="20"/>
        </w:rPr>
        <w:t xml:space="preserve"> </w:t>
      </w:r>
      <w:r>
        <w:rPr>
          <w:w w:val="110"/>
          <w:sz w:val="20"/>
        </w:rPr>
        <w:t>diagnosis.</w:t>
      </w:r>
      <w:r>
        <w:rPr>
          <w:spacing w:val="-10"/>
          <w:w w:val="110"/>
          <w:sz w:val="20"/>
        </w:rPr>
        <w:t xml:space="preserve"> </w:t>
      </w:r>
      <w:r>
        <w:rPr>
          <w:w w:val="110"/>
          <w:sz w:val="20"/>
        </w:rPr>
        <w:t>In</w:t>
      </w:r>
      <w:r>
        <w:rPr>
          <w:spacing w:val="-21"/>
          <w:w w:val="110"/>
          <w:sz w:val="20"/>
        </w:rPr>
        <w:t xml:space="preserve"> </w:t>
      </w:r>
      <w:r>
        <w:rPr>
          <w:w w:val="110"/>
          <w:sz w:val="20"/>
        </w:rPr>
        <w:t>such</w:t>
      </w:r>
      <w:r>
        <w:rPr>
          <w:spacing w:val="-17"/>
          <w:w w:val="110"/>
          <w:sz w:val="20"/>
        </w:rPr>
        <w:t xml:space="preserve"> </w:t>
      </w:r>
      <w:r>
        <w:rPr>
          <w:w w:val="110"/>
          <w:sz w:val="20"/>
        </w:rPr>
        <w:t>cases,</w:t>
      </w:r>
      <w:r>
        <w:rPr>
          <w:spacing w:val="-11"/>
          <w:w w:val="110"/>
          <w:sz w:val="20"/>
        </w:rPr>
        <w:t xml:space="preserve"> </w:t>
      </w:r>
      <w:r>
        <w:rPr>
          <w:w w:val="110"/>
          <w:sz w:val="20"/>
        </w:rPr>
        <w:t>the</w:t>
      </w:r>
      <w:r>
        <w:rPr>
          <w:spacing w:val="-17"/>
          <w:w w:val="110"/>
          <w:sz w:val="20"/>
        </w:rPr>
        <w:t xml:space="preserve"> </w:t>
      </w:r>
      <w:r>
        <w:rPr>
          <w:w w:val="110"/>
          <w:sz w:val="20"/>
        </w:rPr>
        <w:t>"Differential</w:t>
      </w:r>
      <w:r>
        <w:rPr>
          <w:spacing w:val="-2"/>
          <w:w w:val="110"/>
          <w:sz w:val="20"/>
        </w:rPr>
        <w:t xml:space="preserve"> </w:t>
      </w:r>
      <w:r>
        <w:rPr>
          <w:w w:val="110"/>
          <w:sz w:val="20"/>
        </w:rPr>
        <w:t>Diagnosis"</w:t>
      </w:r>
      <w:r>
        <w:rPr>
          <w:spacing w:val="-12"/>
          <w:w w:val="110"/>
          <w:sz w:val="20"/>
        </w:rPr>
        <w:t xml:space="preserve"> </w:t>
      </w:r>
      <w:r>
        <w:rPr>
          <w:w w:val="110"/>
          <w:sz w:val="20"/>
        </w:rPr>
        <w:t>section</w:t>
      </w:r>
      <w:r>
        <w:rPr>
          <w:spacing w:val="-8"/>
          <w:w w:val="110"/>
          <w:sz w:val="20"/>
        </w:rPr>
        <w:t xml:space="preserve"> </w:t>
      </w:r>
      <w:r>
        <w:rPr>
          <w:w w:val="110"/>
          <w:sz w:val="20"/>
        </w:rPr>
        <w:t>of</w:t>
      </w:r>
      <w:r>
        <w:rPr>
          <w:spacing w:val="-10"/>
          <w:w w:val="110"/>
          <w:sz w:val="20"/>
        </w:rPr>
        <w:t xml:space="preserve"> </w:t>
      </w:r>
      <w:r>
        <w:rPr>
          <w:w w:val="110"/>
          <w:sz w:val="20"/>
        </w:rPr>
        <w:t>the text for the disorders should be consulted for</w:t>
      </w:r>
      <w:r>
        <w:rPr>
          <w:spacing w:val="37"/>
          <w:w w:val="110"/>
          <w:sz w:val="20"/>
        </w:rPr>
        <w:t xml:space="preserve"> </w:t>
      </w:r>
      <w:r>
        <w:rPr>
          <w:w w:val="110"/>
          <w:sz w:val="20"/>
        </w:rPr>
        <w:t>guidance.</w:t>
      </w:r>
    </w:p>
    <w:p w:rsidR="00E675F0" w:rsidRDefault="00E675F0" w:rsidP="00E675F0">
      <w:pPr>
        <w:pStyle w:val="BodyText"/>
        <w:spacing w:before="4"/>
        <w:rPr>
          <w:sz w:val="22"/>
        </w:rPr>
      </w:pPr>
    </w:p>
    <w:p w:rsidR="00E675F0" w:rsidRDefault="00E675F0" w:rsidP="00E675F0">
      <w:pPr>
        <w:pStyle w:val="BodyText"/>
        <w:spacing w:before="1" w:line="256" w:lineRule="auto"/>
        <w:ind w:left="119" w:right="121" w:firstLine="361"/>
        <w:jc w:val="both"/>
      </w:pPr>
      <w:r>
        <w:rPr>
          <w:w w:val="110"/>
        </w:rPr>
        <w:t>The</w:t>
      </w:r>
      <w:r>
        <w:rPr>
          <w:spacing w:val="-25"/>
          <w:w w:val="110"/>
        </w:rPr>
        <w:t xml:space="preserve"> </w:t>
      </w:r>
      <w:r>
        <w:rPr>
          <w:w w:val="110"/>
        </w:rPr>
        <w:t>general</w:t>
      </w:r>
      <w:r>
        <w:rPr>
          <w:spacing w:val="-26"/>
          <w:w w:val="110"/>
        </w:rPr>
        <w:t xml:space="preserve"> </w:t>
      </w:r>
      <w:r>
        <w:rPr>
          <w:w w:val="110"/>
        </w:rPr>
        <w:t>convention</w:t>
      </w:r>
      <w:r>
        <w:rPr>
          <w:spacing w:val="-20"/>
          <w:w w:val="110"/>
        </w:rPr>
        <w:t xml:space="preserve"> </w:t>
      </w:r>
      <w:r>
        <w:rPr>
          <w:w w:val="110"/>
        </w:rPr>
        <w:t>in</w:t>
      </w:r>
      <w:r>
        <w:rPr>
          <w:spacing w:val="-28"/>
          <w:w w:val="110"/>
        </w:rPr>
        <w:t xml:space="preserve"> </w:t>
      </w:r>
      <w:r>
        <w:rPr>
          <w:w w:val="110"/>
        </w:rPr>
        <w:t>DSM-IV</w:t>
      </w:r>
      <w:r>
        <w:rPr>
          <w:spacing w:val="-21"/>
          <w:w w:val="110"/>
        </w:rPr>
        <w:t xml:space="preserve"> </w:t>
      </w:r>
      <w:r>
        <w:rPr>
          <w:w w:val="110"/>
        </w:rPr>
        <w:t>is</w:t>
      </w:r>
      <w:r>
        <w:rPr>
          <w:spacing w:val="-28"/>
          <w:w w:val="110"/>
        </w:rPr>
        <w:t xml:space="preserve"> </w:t>
      </w:r>
      <w:r>
        <w:rPr>
          <w:w w:val="110"/>
        </w:rPr>
        <w:t>to</w:t>
      </w:r>
      <w:r>
        <w:rPr>
          <w:spacing w:val="-27"/>
          <w:w w:val="110"/>
        </w:rPr>
        <w:t xml:space="preserve"> </w:t>
      </w:r>
      <w:r>
        <w:rPr>
          <w:w w:val="110"/>
        </w:rPr>
        <w:t>allow</w:t>
      </w:r>
      <w:r>
        <w:rPr>
          <w:spacing w:val="-25"/>
          <w:w w:val="110"/>
        </w:rPr>
        <w:t xml:space="preserve"> </w:t>
      </w:r>
      <w:r>
        <w:rPr>
          <w:w w:val="110"/>
        </w:rPr>
        <w:t>multiple</w:t>
      </w:r>
      <w:r>
        <w:rPr>
          <w:spacing w:val="-25"/>
          <w:w w:val="110"/>
        </w:rPr>
        <w:t xml:space="preserve"> </w:t>
      </w:r>
      <w:r>
        <w:rPr>
          <w:w w:val="110"/>
        </w:rPr>
        <w:t>diagnoses</w:t>
      </w:r>
      <w:r>
        <w:rPr>
          <w:spacing w:val="-16"/>
          <w:w w:val="110"/>
        </w:rPr>
        <w:t xml:space="preserve"> </w:t>
      </w:r>
      <w:r>
        <w:rPr>
          <w:w w:val="110"/>
        </w:rPr>
        <w:t>to</w:t>
      </w:r>
      <w:r>
        <w:rPr>
          <w:spacing w:val="-29"/>
          <w:w w:val="110"/>
        </w:rPr>
        <w:t xml:space="preserve"> </w:t>
      </w:r>
      <w:r>
        <w:rPr>
          <w:w w:val="110"/>
        </w:rPr>
        <w:t>be</w:t>
      </w:r>
      <w:r>
        <w:rPr>
          <w:spacing w:val="-27"/>
          <w:w w:val="110"/>
        </w:rPr>
        <w:t xml:space="preserve"> </w:t>
      </w:r>
      <w:r>
        <w:rPr>
          <w:w w:val="110"/>
        </w:rPr>
        <w:t>assigned</w:t>
      </w:r>
      <w:r>
        <w:rPr>
          <w:spacing w:val="-26"/>
          <w:w w:val="110"/>
        </w:rPr>
        <w:t xml:space="preserve"> </w:t>
      </w:r>
      <w:r>
        <w:rPr>
          <w:w w:val="110"/>
        </w:rPr>
        <w:t>for those presentations that meet criteria for more than one DSM-IV disorder. There are three situations in which the above-mentioned exclusion criteria help to establish a diagnostic hierarchy (and thus prevent multiple diagnoses) or to highlight</w:t>
      </w:r>
      <w:r>
        <w:rPr>
          <w:spacing w:val="-21"/>
          <w:w w:val="110"/>
        </w:rPr>
        <w:t xml:space="preserve"> </w:t>
      </w:r>
      <w:r>
        <w:rPr>
          <w:w w:val="110"/>
        </w:rPr>
        <w:t>differential diagnostic considerations (and thus discourage multiple</w:t>
      </w:r>
      <w:r>
        <w:rPr>
          <w:spacing w:val="11"/>
          <w:w w:val="110"/>
        </w:rPr>
        <w:t xml:space="preserve"> </w:t>
      </w:r>
      <w:r>
        <w:rPr>
          <w:w w:val="110"/>
        </w:rPr>
        <w:t>diagnoses):</w:t>
      </w:r>
    </w:p>
    <w:p w:rsidR="00E675F0" w:rsidRDefault="00E675F0" w:rsidP="003048D3">
      <w:pPr>
        <w:pStyle w:val="ListParagraph"/>
        <w:numPr>
          <w:ilvl w:val="1"/>
          <w:numId w:val="135"/>
        </w:numPr>
        <w:tabs>
          <w:tab w:val="left" w:pos="730"/>
        </w:tabs>
        <w:spacing w:before="125" w:line="254" w:lineRule="auto"/>
        <w:ind w:left="729" w:right="119" w:hanging="225"/>
        <w:jc w:val="both"/>
        <w:rPr>
          <w:sz w:val="20"/>
        </w:rPr>
      </w:pPr>
      <w:r>
        <w:rPr>
          <w:w w:val="105"/>
          <w:sz w:val="20"/>
        </w:rPr>
        <w:t>When a Mental Disorder Due to a General Medical Condition or a Substance­ Induced Disorder is responsible for the symptoms, it preempts the diagnosis of the corresponding primary disorder with the same symptoms (e.g., Cocaine­ Induced Mood Disorder preempts Major Depressive Disorder). In such cases, an exclusion criterion containing the phrase "not due to the direct physiological effects</w:t>
      </w:r>
      <w:r>
        <w:rPr>
          <w:spacing w:val="12"/>
          <w:w w:val="105"/>
          <w:sz w:val="20"/>
        </w:rPr>
        <w:t xml:space="preserve"> </w:t>
      </w:r>
      <w:r>
        <w:rPr>
          <w:w w:val="105"/>
          <w:sz w:val="20"/>
        </w:rPr>
        <w:t>of</w:t>
      </w:r>
      <w:r>
        <w:rPr>
          <w:spacing w:val="6"/>
          <w:w w:val="105"/>
          <w:sz w:val="20"/>
        </w:rPr>
        <w:t xml:space="preserve"> </w:t>
      </w:r>
      <w:r>
        <w:rPr>
          <w:w w:val="105"/>
          <w:sz w:val="20"/>
        </w:rPr>
        <w:t>...</w:t>
      </w:r>
      <w:r>
        <w:rPr>
          <w:spacing w:val="15"/>
          <w:w w:val="105"/>
          <w:sz w:val="20"/>
        </w:rPr>
        <w:t xml:space="preserve"> </w:t>
      </w:r>
      <w:r>
        <w:rPr>
          <w:w w:val="105"/>
          <w:sz w:val="20"/>
        </w:rPr>
        <w:t>"</w:t>
      </w:r>
      <w:r>
        <w:rPr>
          <w:spacing w:val="5"/>
          <w:w w:val="105"/>
          <w:sz w:val="20"/>
        </w:rPr>
        <w:t xml:space="preserve"> </w:t>
      </w:r>
      <w:r>
        <w:rPr>
          <w:w w:val="105"/>
          <w:sz w:val="20"/>
        </w:rPr>
        <w:t>is</w:t>
      </w:r>
      <w:r>
        <w:rPr>
          <w:spacing w:val="10"/>
          <w:w w:val="105"/>
          <w:sz w:val="20"/>
        </w:rPr>
        <w:t xml:space="preserve"> </w:t>
      </w:r>
      <w:r>
        <w:rPr>
          <w:w w:val="105"/>
          <w:sz w:val="20"/>
        </w:rPr>
        <w:t>included</w:t>
      </w:r>
      <w:r>
        <w:rPr>
          <w:spacing w:val="18"/>
          <w:w w:val="105"/>
          <w:sz w:val="20"/>
        </w:rPr>
        <w:t xml:space="preserve"> </w:t>
      </w:r>
      <w:r>
        <w:rPr>
          <w:w w:val="105"/>
          <w:sz w:val="20"/>
        </w:rPr>
        <w:t>in</w:t>
      </w:r>
      <w:r>
        <w:rPr>
          <w:spacing w:val="16"/>
          <w:w w:val="105"/>
          <w:sz w:val="20"/>
        </w:rPr>
        <w:t xml:space="preserve"> </w:t>
      </w:r>
      <w:r>
        <w:rPr>
          <w:w w:val="105"/>
          <w:sz w:val="20"/>
        </w:rPr>
        <w:t>the</w:t>
      </w:r>
      <w:r>
        <w:rPr>
          <w:spacing w:val="8"/>
          <w:w w:val="105"/>
          <w:sz w:val="20"/>
        </w:rPr>
        <w:t xml:space="preserve"> </w:t>
      </w:r>
      <w:r>
        <w:rPr>
          <w:w w:val="105"/>
          <w:sz w:val="20"/>
        </w:rPr>
        <w:t>criteria</w:t>
      </w:r>
      <w:r>
        <w:rPr>
          <w:spacing w:val="14"/>
          <w:w w:val="105"/>
          <w:sz w:val="20"/>
        </w:rPr>
        <w:t xml:space="preserve"> </w:t>
      </w:r>
      <w:r>
        <w:rPr>
          <w:w w:val="105"/>
          <w:sz w:val="20"/>
        </w:rPr>
        <w:t>set</w:t>
      </w:r>
      <w:r>
        <w:rPr>
          <w:spacing w:val="2"/>
          <w:w w:val="105"/>
          <w:sz w:val="20"/>
        </w:rPr>
        <w:t xml:space="preserve"> </w:t>
      </w:r>
      <w:r>
        <w:rPr>
          <w:w w:val="105"/>
          <w:sz w:val="20"/>
        </w:rPr>
        <w:t>for</w:t>
      </w:r>
      <w:r>
        <w:rPr>
          <w:spacing w:val="11"/>
          <w:w w:val="105"/>
          <w:sz w:val="20"/>
        </w:rPr>
        <w:t xml:space="preserve"> </w:t>
      </w:r>
      <w:r>
        <w:rPr>
          <w:w w:val="105"/>
          <w:sz w:val="20"/>
        </w:rPr>
        <w:t>the</w:t>
      </w:r>
      <w:r>
        <w:rPr>
          <w:spacing w:val="10"/>
          <w:w w:val="105"/>
          <w:sz w:val="20"/>
        </w:rPr>
        <w:t xml:space="preserve"> </w:t>
      </w:r>
      <w:r>
        <w:rPr>
          <w:w w:val="105"/>
          <w:sz w:val="20"/>
        </w:rPr>
        <w:t>primary</w:t>
      </w:r>
      <w:r>
        <w:rPr>
          <w:spacing w:val="16"/>
          <w:w w:val="105"/>
          <w:sz w:val="20"/>
        </w:rPr>
        <w:t xml:space="preserve"> </w:t>
      </w:r>
      <w:r>
        <w:rPr>
          <w:w w:val="105"/>
          <w:sz w:val="20"/>
        </w:rPr>
        <w:t>disorder.</w:t>
      </w:r>
    </w:p>
    <w:p w:rsidR="00E675F0" w:rsidRDefault="00E675F0" w:rsidP="003048D3">
      <w:pPr>
        <w:pStyle w:val="ListParagraph"/>
        <w:numPr>
          <w:ilvl w:val="1"/>
          <w:numId w:val="135"/>
        </w:numPr>
        <w:tabs>
          <w:tab w:val="left" w:pos="730"/>
        </w:tabs>
        <w:spacing w:line="252" w:lineRule="auto"/>
        <w:ind w:left="732" w:right="117" w:hanging="223"/>
        <w:jc w:val="both"/>
        <w:rPr>
          <w:sz w:val="20"/>
        </w:rPr>
      </w:pPr>
      <w:r>
        <w:rPr>
          <w:w w:val="105"/>
          <w:sz w:val="20"/>
        </w:rPr>
        <w:t>When a more pervasive disorder (e.g., Schizophrenia) has among its defining symptoms (or associated symptoms) what are the defining symptoms of a less pervasive disorder (e.g., Dysthymic Disorder), one of the following three exclusion criteria appears in the criteria set for the less pervasive disorder, indicating</w:t>
      </w:r>
      <w:r>
        <w:rPr>
          <w:spacing w:val="-3"/>
          <w:w w:val="105"/>
          <w:sz w:val="20"/>
        </w:rPr>
        <w:t xml:space="preserve"> </w:t>
      </w:r>
      <w:r>
        <w:rPr>
          <w:w w:val="105"/>
          <w:sz w:val="20"/>
        </w:rPr>
        <w:t>that</w:t>
      </w:r>
      <w:r>
        <w:rPr>
          <w:spacing w:val="-16"/>
          <w:w w:val="105"/>
          <w:sz w:val="20"/>
        </w:rPr>
        <w:t xml:space="preserve"> </w:t>
      </w:r>
      <w:r>
        <w:rPr>
          <w:w w:val="105"/>
          <w:sz w:val="20"/>
        </w:rPr>
        <w:t>only</w:t>
      </w:r>
      <w:r>
        <w:rPr>
          <w:spacing w:val="-9"/>
          <w:w w:val="105"/>
          <w:sz w:val="20"/>
        </w:rPr>
        <w:t xml:space="preserve"> </w:t>
      </w:r>
      <w:r>
        <w:rPr>
          <w:w w:val="105"/>
          <w:sz w:val="20"/>
        </w:rPr>
        <w:t>the</w:t>
      </w:r>
      <w:r>
        <w:rPr>
          <w:spacing w:val="-11"/>
          <w:w w:val="105"/>
          <w:sz w:val="20"/>
        </w:rPr>
        <w:t xml:space="preserve"> </w:t>
      </w:r>
      <w:r>
        <w:rPr>
          <w:w w:val="105"/>
          <w:sz w:val="20"/>
        </w:rPr>
        <w:t>more</w:t>
      </w:r>
      <w:r>
        <w:rPr>
          <w:spacing w:val="-3"/>
          <w:w w:val="105"/>
          <w:sz w:val="20"/>
        </w:rPr>
        <w:t xml:space="preserve"> </w:t>
      </w:r>
      <w:r>
        <w:rPr>
          <w:w w:val="105"/>
          <w:sz w:val="20"/>
        </w:rPr>
        <w:t>pervasive</w:t>
      </w:r>
      <w:r>
        <w:rPr>
          <w:spacing w:val="-7"/>
          <w:w w:val="105"/>
          <w:sz w:val="20"/>
        </w:rPr>
        <w:t xml:space="preserve"> </w:t>
      </w:r>
      <w:r>
        <w:rPr>
          <w:w w:val="105"/>
          <w:sz w:val="20"/>
        </w:rPr>
        <w:t>disorder</w:t>
      </w:r>
      <w:r>
        <w:rPr>
          <w:spacing w:val="-6"/>
          <w:w w:val="105"/>
          <w:sz w:val="20"/>
        </w:rPr>
        <w:t xml:space="preserve"> </w:t>
      </w:r>
      <w:r>
        <w:rPr>
          <w:w w:val="105"/>
          <w:sz w:val="20"/>
        </w:rPr>
        <w:t>is</w:t>
      </w:r>
      <w:r>
        <w:rPr>
          <w:spacing w:val="-17"/>
          <w:w w:val="105"/>
          <w:sz w:val="20"/>
        </w:rPr>
        <w:t xml:space="preserve"> </w:t>
      </w:r>
      <w:r>
        <w:rPr>
          <w:w w:val="105"/>
          <w:sz w:val="20"/>
        </w:rPr>
        <w:t>diagnosed:</w:t>
      </w:r>
      <w:r>
        <w:rPr>
          <w:spacing w:val="-6"/>
          <w:w w:val="105"/>
          <w:sz w:val="20"/>
        </w:rPr>
        <w:t xml:space="preserve"> </w:t>
      </w:r>
      <w:r>
        <w:rPr>
          <w:w w:val="105"/>
          <w:sz w:val="20"/>
        </w:rPr>
        <w:t>"Criteria</w:t>
      </w:r>
      <w:r>
        <w:rPr>
          <w:spacing w:val="2"/>
          <w:w w:val="105"/>
          <w:sz w:val="20"/>
        </w:rPr>
        <w:t xml:space="preserve"> </w:t>
      </w:r>
      <w:r>
        <w:rPr>
          <w:w w:val="105"/>
          <w:sz w:val="20"/>
        </w:rPr>
        <w:t>have</w:t>
      </w:r>
      <w:r>
        <w:rPr>
          <w:spacing w:val="-8"/>
          <w:w w:val="105"/>
          <w:sz w:val="20"/>
        </w:rPr>
        <w:t xml:space="preserve"> </w:t>
      </w:r>
      <w:r>
        <w:rPr>
          <w:w w:val="105"/>
          <w:sz w:val="20"/>
        </w:rPr>
        <w:t>never been</w:t>
      </w:r>
      <w:r>
        <w:rPr>
          <w:spacing w:val="-12"/>
          <w:w w:val="105"/>
          <w:sz w:val="20"/>
        </w:rPr>
        <w:t xml:space="preserve"> </w:t>
      </w:r>
      <w:r>
        <w:rPr>
          <w:w w:val="105"/>
          <w:sz w:val="20"/>
        </w:rPr>
        <w:t>met</w:t>
      </w:r>
      <w:r>
        <w:rPr>
          <w:spacing w:val="-18"/>
          <w:w w:val="105"/>
          <w:sz w:val="20"/>
        </w:rPr>
        <w:t xml:space="preserve"> </w:t>
      </w:r>
      <w:r>
        <w:rPr>
          <w:w w:val="105"/>
          <w:sz w:val="20"/>
        </w:rPr>
        <w:t>for</w:t>
      </w:r>
      <w:r>
        <w:rPr>
          <w:spacing w:val="-2"/>
          <w:w w:val="105"/>
          <w:sz w:val="20"/>
        </w:rPr>
        <w:t xml:space="preserve"> </w:t>
      </w:r>
      <w:r>
        <w:rPr>
          <w:w w:val="105"/>
          <w:sz w:val="20"/>
        </w:rPr>
        <w:t>...</w:t>
      </w:r>
      <w:r>
        <w:rPr>
          <w:spacing w:val="42"/>
          <w:w w:val="105"/>
          <w:sz w:val="20"/>
        </w:rPr>
        <w:t xml:space="preserve"> </w:t>
      </w:r>
      <w:r>
        <w:rPr>
          <w:w w:val="105"/>
          <w:sz w:val="20"/>
        </w:rPr>
        <w:t>,"</w:t>
      </w:r>
      <w:r>
        <w:rPr>
          <w:spacing w:val="-25"/>
          <w:w w:val="105"/>
          <w:sz w:val="20"/>
        </w:rPr>
        <w:t xml:space="preserve"> </w:t>
      </w:r>
      <w:r>
        <w:rPr>
          <w:w w:val="105"/>
          <w:sz w:val="20"/>
        </w:rPr>
        <w:t>"Criteria</w:t>
      </w:r>
      <w:r>
        <w:rPr>
          <w:spacing w:val="2"/>
          <w:w w:val="105"/>
          <w:sz w:val="20"/>
        </w:rPr>
        <w:t xml:space="preserve"> </w:t>
      </w:r>
      <w:r>
        <w:rPr>
          <w:w w:val="105"/>
          <w:sz w:val="20"/>
        </w:rPr>
        <w:t>are</w:t>
      </w:r>
      <w:r>
        <w:rPr>
          <w:spacing w:val="-10"/>
          <w:w w:val="105"/>
          <w:sz w:val="20"/>
        </w:rPr>
        <w:t xml:space="preserve"> </w:t>
      </w:r>
      <w:r>
        <w:rPr>
          <w:w w:val="105"/>
          <w:sz w:val="20"/>
        </w:rPr>
        <w:t>not</w:t>
      </w:r>
      <w:r>
        <w:rPr>
          <w:spacing w:val="-8"/>
          <w:w w:val="105"/>
          <w:sz w:val="20"/>
        </w:rPr>
        <w:t xml:space="preserve"> </w:t>
      </w:r>
      <w:r>
        <w:rPr>
          <w:w w:val="105"/>
          <w:sz w:val="20"/>
        </w:rPr>
        <w:t>met</w:t>
      </w:r>
      <w:r>
        <w:rPr>
          <w:spacing w:val="-23"/>
          <w:w w:val="105"/>
          <w:sz w:val="20"/>
        </w:rPr>
        <w:t xml:space="preserve"> </w:t>
      </w:r>
      <w:r>
        <w:rPr>
          <w:w w:val="105"/>
          <w:sz w:val="20"/>
        </w:rPr>
        <w:t>for</w:t>
      </w:r>
      <w:r>
        <w:rPr>
          <w:spacing w:val="-2"/>
          <w:w w:val="105"/>
          <w:sz w:val="20"/>
        </w:rPr>
        <w:t xml:space="preserve"> </w:t>
      </w:r>
      <w:r>
        <w:rPr>
          <w:w w:val="105"/>
          <w:sz w:val="20"/>
        </w:rPr>
        <w:t>...</w:t>
      </w:r>
      <w:r>
        <w:rPr>
          <w:spacing w:val="46"/>
          <w:w w:val="105"/>
          <w:sz w:val="20"/>
        </w:rPr>
        <w:t xml:space="preserve"> </w:t>
      </w:r>
      <w:r>
        <w:rPr>
          <w:w w:val="105"/>
          <w:sz w:val="20"/>
        </w:rPr>
        <w:t>,"</w:t>
      </w:r>
      <w:r>
        <w:rPr>
          <w:spacing w:val="-25"/>
          <w:w w:val="105"/>
          <w:sz w:val="20"/>
        </w:rPr>
        <w:t xml:space="preserve"> </w:t>
      </w:r>
      <w:r>
        <w:rPr>
          <w:w w:val="105"/>
          <w:sz w:val="20"/>
        </w:rPr>
        <w:t>"does</w:t>
      </w:r>
      <w:r>
        <w:rPr>
          <w:spacing w:val="-8"/>
          <w:w w:val="105"/>
          <w:sz w:val="20"/>
        </w:rPr>
        <w:t xml:space="preserve"> </w:t>
      </w:r>
      <w:r>
        <w:rPr>
          <w:w w:val="105"/>
          <w:sz w:val="20"/>
        </w:rPr>
        <w:t>not</w:t>
      </w:r>
      <w:r>
        <w:rPr>
          <w:spacing w:val="-18"/>
          <w:w w:val="105"/>
          <w:sz w:val="20"/>
        </w:rPr>
        <w:t xml:space="preserve"> </w:t>
      </w:r>
      <w:r>
        <w:rPr>
          <w:w w:val="105"/>
          <w:sz w:val="20"/>
        </w:rPr>
        <w:t>occur</w:t>
      </w:r>
      <w:r>
        <w:rPr>
          <w:spacing w:val="-12"/>
          <w:w w:val="105"/>
          <w:sz w:val="20"/>
        </w:rPr>
        <w:t xml:space="preserve"> </w:t>
      </w:r>
      <w:r>
        <w:rPr>
          <w:w w:val="105"/>
          <w:sz w:val="20"/>
        </w:rPr>
        <w:t>exclusively</w:t>
      </w:r>
      <w:r>
        <w:rPr>
          <w:spacing w:val="-3"/>
          <w:w w:val="105"/>
          <w:sz w:val="20"/>
        </w:rPr>
        <w:t xml:space="preserve"> </w:t>
      </w:r>
      <w:r>
        <w:rPr>
          <w:w w:val="105"/>
          <w:sz w:val="20"/>
        </w:rPr>
        <w:t>during the course of.</w:t>
      </w:r>
      <w:r>
        <w:rPr>
          <w:spacing w:val="31"/>
          <w:w w:val="105"/>
          <w:sz w:val="20"/>
        </w:rPr>
        <w:t xml:space="preserve"> </w:t>
      </w:r>
      <w:r>
        <w:rPr>
          <w:w w:val="105"/>
          <w:sz w:val="20"/>
        </w:rPr>
        <w:t>"</w:t>
      </w:r>
    </w:p>
    <w:p w:rsidR="00E675F0" w:rsidRDefault="00E675F0" w:rsidP="003048D3">
      <w:pPr>
        <w:pStyle w:val="ListParagraph"/>
        <w:numPr>
          <w:ilvl w:val="1"/>
          <w:numId w:val="135"/>
        </w:numPr>
        <w:tabs>
          <w:tab w:val="left" w:pos="740"/>
        </w:tabs>
        <w:spacing w:line="256" w:lineRule="auto"/>
        <w:ind w:right="112" w:hanging="225"/>
        <w:jc w:val="both"/>
        <w:rPr>
          <w:sz w:val="20"/>
        </w:rPr>
      </w:pPr>
      <w:r>
        <w:rPr>
          <w:w w:val="105"/>
          <w:sz w:val="20"/>
        </w:rPr>
        <w:t>When there are particularly difficult differential diagnostic boundaries, the phrase "not better accounted for by ... " is included to indicate that clinical judgment is necessary to determine which diagnosis is most appropriate. For example, Panic Disorder With Agoraphobia includes the criterion "not better accounted for by Social Phobia" and Social Phobia includes the criterion "not better accounted for by Panic Disorder With Agoraphobia" in recognition of the fact that this is a particularly difficult boundary to draw. In some cases, both diagnoses might be appropriate.</w:t>
      </w:r>
    </w:p>
    <w:p w:rsidR="00E675F0" w:rsidRDefault="00E675F0" w:rsidP="00E675F0">
      <w:pPr>
        <w:pStyle w:val="BodyText"/>
        <w:rPr>
          <w:sz w:val="22"/>
        </w:rPr>
      </w:pPr>
    </w:p>
    <w:p w:rsidR="00E675F0" w:rsidRDefault="00E675F0" w:rsidP="00E675F0">
      <w:pPr>
        <w:spacing w:before="135"/>
        <w:ind w:left="110"/>
        <w:jc w:val="both"/>
        <w:rPr>
          <w:rFonts w:ascii="TimesNewRomanPS-BoldItalicMT"/>
          <w:b/>
          <w:i/>
          <w:sz w:val="24"/>
        </w:rPr>
      </w:pPr>
      <w:r>
        <w:rPr>
          <w:rFonts w:ascii="TimesNewRomanPS-BoldItalicMT"/>
          <w:b/>
          <w:i/>
          <w:w w:val="115"/>
          <w:sz w:val="24"/>
        </w:rPr>
        <w:t>Criteria for Substance-Induced Di,sorders</w:t>
      </w:r>
    </w:p>
    <w:p w:rsidR="00E675F0" w:rsidRDefault="00E675F0" w:rsidP="00E675F0">
      <w:pPr>
        <w:pStyle w:val="BodyText"/>
        <w:spacing w:before="136" w:line="254" w:lineRule="auto"/>
        <w:ind w:left="133" w:right="123" w:firstLine="2"/>
        <w:jc w:val="both"/>
      </w:pPr>
      <w:r>
        <w:rPr>
          <w:w w:val="105"/>
          <w:sz w:val="19"/>
        </w:rPr>
        <w:t xml:space="preserve">It </w:t>
      </w:r>
      <w:r>
        <w:rPr>
          <w:w w:val="105"/>
        </w:rPr>
        <w:t>is often difficult to determine whether presenting symptomatology is substance induced, that is, the direct physiological consequence of Substance Intoxication or Withdrawal, medication use, or toxin exposure. In an effort to provide some assistance in making this determination, the two criteria listed below have been added to each</w:t>
      </w:r>
      <w:r>
        <w:rPr>
          <w:spacing w:val="26"/>
          <w:w w:val="105"/>
        </w:rPr>
        <w:t xml:space="preserve"> </w:t>
      </w:r>
      <w:r>
        <w:rPr>
          <w:w w:val="105"/>
        </w:rPr>
        <w:t>of</w:t>
      </w:r>
    </w:p>
    <w:p w:rsidR="00E675F0" w:rsidRDefault="00E675F0" w:rsidP="00E675F0">
      <w:pPr>
        <w:spacing w:line="254" w:lineRule="auto"/>
        <w:jc w:val="both"/>
        <w:sectPr w:rsidR="00E675F0">
          <w:pgSz w:w="8960" w:h="14260"/>
          <w:pgMar w:top="1400" w:right="620" w:bottom="280" w:left="600" w:header="699" w:footer="0" w:gutter="0"/>
          <w:cols w:space="720"/>
        </w:sectPr>
      </w:pPr>
    </w:p>
    <w:p w:rsidR="00E675F0" w:rsidRDefault="00E675F0" w:rsidP="00E675F0">
      <w:pPr>
        <w:pStyle w:val="BodyText"/>
        <w:spacing w:before="117" w:line="252" w:lineRule="auto"/>
        <w:ind w:left="116" w:right="123" w:firstLine="5"/>
        <w:jc w:val="both"/>
      </w:pPr>
      <w:r>
        <w:rPr>
          <w:w w:val="110"/>
        </w:rPr>
        <w:lastRenderedPageBreak/>
        <w:t>the Substance-Induced Disorders. These criteria are intended to provide general guidelines,</w:t>
      </w:r>
      <w:r>
        <w:rPr>
          <w:spacing w:val="-1"/>
          <w:w w:val="110"/>
        </w:rPr>
        <w:t xml:space="preserve"> </w:t>
      </w:r>
      <w:r>
        <w:rPr>
          <w:w w:val="110"/>
        </w:rPr>
        <w:t>but</w:t>
      </w:r>
      <w:r>
        <w:rPr>
          <w:spacing w:val="-11"/>
          <w:w w:val="110"/>
        </w:rPr>
        <w:t xml:space="preserve"> </w:t>
      </w:r>
      <w:r>
        <w:rPr>
          <w:w w:val="110"/>
        </w:rPr>
        <w:t>at</w:t>
      </w:r>
      <w:r>
        <w:rPr>
          <w:spacing w:val="-14"/>
          <w:w w:val="110"/>
        </w:rPr>
        <w:t xml:space="preserve"> </w:t>
      </w:r>
      <w:r>
        <w:rPr>
          <w:w w:val="110"/>
        </w:rPr>
        <w:t>the</w:t>
      </w:r>
      <w:r>
        <w:rPr>
          <w:spacing w:val="-16"/>
          <w:w w:val="110"/>
        </w:rPr>
        <w:t xml:space="preserve"> </w:t>
      </w:r>
      <w:r>
        <w:rPr>
          <w:w w:val="110"/>
        </w:rPr>
        <w:t>same</w:t>
      </w:r>
      <w:r>
        <w:rPr>
          <w:spacing w:val="-9"/>
          <w:w w:val="110"/>
        </w:rPr>
        <w:t xml:space="preserve"> </w:t>
      </w:r>
      <w:r>
        <w:rPr>
          <w:w w:val="110"/>
        </w:rPr>
        <w:t>time</w:t>
      </w:r>
      <w:r>
        <w:rPr>
          <w:spacing w:val="-12"/>
          <w:w w:val="110"/>
        </w:rPr>
        <w:t xml:space="preserve"> </w:t>
      </w:r>
      <w:r>
        <w:rPr>
          <w:w w:val="110"/>
        </w:rPr>
        <w:t>allow</w:t>
      </w:r>
      <w:r>
        <w:rPr>
          <w:spacing w:val="-15"/>
          <w:w w:val="110"/>
        </w:rPr>
        <w:t xml:space="preserve"> </w:t>
      </w:r>
      <w:r>
        <w:rPr>
          <w:w w:val="110"/>
        </w:rPr>
        <w:t>for</w:t>
      </w:r>
      <w:r>
        <w:rPr>
          <w:spacing w:val="-16"/>
          <w:w w:val="110"/>
        </w:rPr>
        <w:t xml:space="preserve"> </w:t>
      </w:r>
      <w:r>
        <w:rPr>
          <w:w w:val="110"/>
        </w:rPr>
        <w:t>clinical</w:t>
      </w:r>
      <w:r>
        <w:rPr>
          <w:spacing w:val="5"/>
          <w:w w:val="110"/>
        </w:rPr>
        <w:t xml:space="preserve"> </w:t>
      </w:r>
      <w:r>
        <w:rPr>
          <w:w w:val="110"/>
        </w:rPr>
        <w:t>judgment</w:t>
      </w:r>
      <w:r>
        <w:rPr>
          <w:spacing w:val="-6"/>
          <w:w w:val="110"/>
        </w:rPr>
        <w:t xml:space="preserve"> </w:t>
      </w:r>
      <w:r>
        <w:rPr>
          <w:w w:val="110"/>
        </w:rPr>
        <w:t>in</w:t>
      </w:r>
      <w:r>
        <w:rPr>
          <w:spacing w:val="-12"/>
          <w:w w:val="110"/>
        </w:rPr>
        <w:t xml:space="preserve"> </w:t>
      </w:r>
      <w:r>
        <w:rPr>
          <w:w w:val="110"/>
        </w:rPr>
        <w:t>determining</w:t>
      </w:r>
      <w:r>
        <w:rPr>
          <w:spacing w:val="-9"/>
          <w:w w:val="110"/>
        </w:rPr>
        <w:t xml:space="preserve"> </w:t>
      </w:r>
      <w:r>
        <w:rPr>
          <w:w w:val="110"/>
        </w:rPr>
        <w:t>whether</w:t>
      </w:r>
      <w:r>
        <w:rPr>
          <w:spacing w:val="-9"/>
          <w:w w:val="110"/>
        </w:rPr>
        <w:t xml:space="preserve"> </w:t>
      </w:r>
      <w:r>
        <w:rPr>
          <w:w w:val="110"/>
        </w:rPr>
        <w:t>or not</w:t>
      </w:r>
      <w:r>
        <w:rPr>
          <w:spacing w:val="-12"/>
          <w:w w:val="110"/>
        </w:rPr>
        <w:t xml:space="preserve"> </w:t>
      </w:r>
      <w:r>
        <w:rPr>
          <w:w w:val="110"/>
        </w:rPr>
        <w:t>the</w:t>
      </w:r>
      <w:r>
        <w:rPr>
          <w:spacing w:val="-10"/>
          <w:w w:val="110"/>
        </w:rPr>
        <w:t xml:space="preserve"> </w:t>
      </w:r>
      <w:r>
        <w:rPr>
          <w:w w:val="110"/>
        </w:rPr>
        <w:t>presenting</w:t>
      </w:r>
      <w:r>
        <w:rPr>
          <w:spacing w:val="-8"/>
          <w:w w:val="110"/>
        </w:rPr>
        <w:t xml:space="preserve"> </w:t>
      </w:r>
      <w:r>
        <w:rPr>
          <w:w w:val="110"/>
        </w:rPr>
        <w:t>symptoms</w:t>
      </w:r>
      <w:r>
        <w:rPr>
          <w:spacing w:val="-6"/>
          <w:w w:val="110"/>
        </w:rPr>
        <w:t xml:space="preserve"> </w:t>
      </w:r>
      <w:r>
        <w:rPr>
          <w:w w:val="110"/>
        </w:rPr>
        <w:t>are</w:t>
      </w:r>
      <w:r>
        <w:rPr>
          <w:spacing w:val="-12"/>
          <w:w w:val="110"/>
        </w:rPr>
        <w:t xml:space="preserve"> </w:t>
      </w:r>
      <w:r>
        <w:rPr>
          <w:w w:val="110"/>
        </w:rPr>
        <w:t>best</w:t>
      </w:r>
      <w:r>
        <w:rPr>
          <w:spacing w:val="-11"/>
          <w:w w:val="110"/>
        </w:rPr>
        <w:t xml:space="preserve"> </w:t>
      </w:r>
      <w:r>
        <w:rPr>
          <w:w w:val="110"/>
        </w:rPr>
        <w:t>accounted</w:t>
      </w:r>
      <w:r>
        <w:rPr>
          <w:spacing w:val="-9"/>
          <w:w w:val="110"/>
        </w:rPr>
        <w:t xml:space="preserve"> </w:t>
      </w:r>
      <w:r>
        <w:rPr>
          <w:w w:val="110"/>
        </w:rPr>
        <w:t>for</w:t>
      </w:r>
      <w:r>
        <w:rPr>
          <w:spacing w:val="-14"/>
          <w:w w:val="110"/>
        </w:rPr>
        <w:t xml:space="preserve"> </w:t>
      </w:r>
      <w:r>
        <w:rPr>
          <w:w w:val="110"/>
        </w:rPr>
        <w:t>by</w:t>
      </w:r>
      <w:r>
        <w:rPr>
          <w:spacing w:val="-9"/>
          <w:w w:val="110"/>
        </w:rPr>
        <w:t xml:space="preserve"> </w:t>
      </w:r>
      <w:r>
        <w:rPr>
          <w:w w:val="110"/>
        </w:rPr>
        <w:t>the</w:t>
      </w:r>
      <w:r>
        <w:rPr>
          <w:spacing w:val="-13"/>
          <w:w w:val="110"/>
        </w:rPr>
        <w:t xml:space="preserve"> </w:t>
      </w:r>
      <w:r>
        <w:rPr>
          <w:w w:val="110"/>
        </w:rPr>
        <w:t>direct</w:t>
      </w:r>
      <w:r>
        <w:rPr>
          <w:spacing w:val="-9"/>
          <w:w w:val="110"/>
        </w:rPr>
        <w:t xml:space="preserve"> </w:t>
      </w:r>
      <w:r>
        <w:rPr>
          <w:w w:val="110"/>
        </w:rPr>
        <w:t>physiological</w:t>
      </w:r>
      <w:r>
        <w:rPr>
          <w:spacing w:val="-1"/>
          <w:w w:val="110"/>
        </w:rPr>
        <w:t xml:space="preserve"> </w:t>
      </w:r>
      <w:r>
        <w:rPr>
          <w:w w:val="110"/>
        </w:rPr>
        <w:t>effects of the substance. For further discussion of this issue, seep.</w:t>
      </w:r>
      <w:r>
        <w:rPr>
          <w:spacing w:val="10"/>
          <w:w w:val="110"/>
        </w:rPr>
        <w:t xml:space="preserve"> </w:t>
      </w:r>
      <w:r>
        <w:rPr>
          <w:w w:val="110"/>
        </w:rPr>
        <w:t>192.</w:t>
      </w:r>
    </w:p>
    <w:p w:rsidR="00E675F0" w:rsidRDefault="00E675F0" w:rsidP="00E675F0">
      <w:pPr>
        <w:pStyle w:val="BodyText"/>
        <w:spacing w:before="158" w:line="252" w:lineRule="auto"/>
        <w:ind w:left="1150" w:right="220" w:hanging="304"/>
      </w:pPr>
      <w:r>
        <w:rPr>
          <w:w w:val="105"/>
          <w:sz w:val="18"/>
        </w:rPr>
        <w:t xml:space="preserve">B. </w:t>
      </w:r>
      <w:r>
        <w:rPr>
          <w:w w:val="105"/>
        </w:rPr>
        <w:t xml:space="preserve">There is evidence from the history, physical examination, or laboratory findings of either </w:t>
      </w:r>
      <w:r>
        <w:rPr>
          <w:w w:val="105"/>
          <w:sz w:val="18"/>
        </w:rPr>
        <w:t xml:space="preserve">(1) </w:t>
      </w:r>
      <w:r>
        <w:rPr>
          <w:w w:val="105"/>
        </w:rPr>
        <w:t>or (2):</w:t>
      </w:r>
    </w:p>
    <w:p w:rsidR="00E675F0" w:rsidRDefault="00E675F0" w:rsidP="003048D3">
      <w:pPr>
        <w:pStyle w:val="ListParagraph"/>
        <w:numPr>
          <w:ilvl w:val="0"/>
          <w:numId w:val="6"/>
        </w:numPr>
        <w:tabs>
          <w:tab w:val="left" w:pos="1579"/>
          <w:tab w:val="left" w:pos="1580"/>
        </w:tabs>
        <w:spacing w:before="70" w:line="256" w:lineRule="auto"/>
        <w:ind w:right="495" w:hanging="426"/>
        <w:rPr>
          <w:sz w:val="17"/>
        </w:rPr>
      </w:pPr>
      <w:r>
        <w:rPr>
          <w:w w:val="105"/>
          <w:sz w:val="20"/>
        </w:rPr>
        <w:t>the symptoms developed during, or within a month of, Substance Intoxication or</w:t>
      </w:r>
      <w:r>
        <w:rPr>
          <w:spacing w:val="-32"/>
          <w:w w:val="105"/>
          <w:sz w:val="20"/>
        </w:rPr>
        <w:t xml:space="preserve"> </w:t>
      </w:r>
      <w:r>
        <w:rPr>
          <w:w w:val="105"/>
          <w:sz w:val="20"/>
        </w:rPr>
        <w:t>Withdrawal</w:t>
      </w:r>
    </w:p>
    <w:p w:rsidR="00E675F0" w:rsidRDefault="00E675F0" w:rsidP="003048D3">
      <w:pPr>
        <w:pStyle w:val="ListParagraph"/>
        <w:numPr>
          <w:ilvl w:val="0"/>
          <w:numId w:val="6"/>
        </w:numPr>
        <w:tabs>
          <w:tab w:val="left" w:pos="1580"/>
        </w:tabs>
        <w:spacing w:line="223" w:lineRule="exact"/>
        <w:ind w:left="1579" w:hanging="431"/>
        <w:rPr>
          <w:sz w:val="20"/>
        </w:rPr>
      </w:pPr>
      <w:r>
        <w:rPr>
          <w:w w:val="105"/>
          <w:sz w:val="20"/>
        </w:rPr>
        <w:t>medication use is etiologically related to the disturbance</w:t>
      </w:r>
    </w:p>
    <w:p w:rsidR="00E675F0" w:rsidRDefault="00E675F0" w:rsidP="00E675F0">
      <w:pPr>
        <w:pStyle w:val="BodyText"/>
        <w:spacing w:before="2"/>
        <w:rPr>
          <w:sz w:val="17"/>
        </w:rPr>
      </w:pPr>
    </w:p>
    <w:p w:rsidR="00E675F0" w:rsidRDefault="00E675F0" w:rsidP="00E675F0">
      <w:pPr>
        <w:pStyle w:val="BodyText"/>
        <w:spacing w:before="1" w:line="254" w:lineRule="auto"/>
        <w:ind w:left="1200" w:right="474" w:hanging="355"/>
        <w:jc w:val="both"/>
      </w:pPr>
      <w:r>
        <w:rPr>
          <w:rFonts w:ascii="Arial" w:hAnsi="Arial"/>
          <w:w w:val="105"/>
          <w:sz w:val="17"/>
        </w:rPr>
        <w:t xml:space="preserve">C. </w:t>
      </w:r>
      <w:r>
        <w:rPr>
          <w:w w:val="105"/>
        </w:rPr>
        <w:t>The disturbance is not better accounted for by a disorder that is not substance induced. Evidence that the symptoms are better accounted for by a disorder that is not substance induced might include the following: the symptoms precede the onset of the substance use (or medication use); the symptoms persist for a substantial period of time (e.g., about a month) after the cessation of acute withdrawal or severe intoxication, or are substantially in excess of what would be expected given the type, duration, or amount of the substance used; or there is other evidence that suggests the existence of an independent non­ substance-induced disorder (e.g., a history of recurrent non-substance­ related</w:t>
      </w:r>
      <w:r>
        <w:rPr>
          <w:spacing w:val="13"/>
          <w:w w:val="105"/>
        </w:rPr>
        <w:t xml:space="preserve"> </w:t>
      </w:r>
      <w:r>
        <w:rPr>
          <w:w w:val="105"/>
        </w:rPr>
        <w:t>episodes).</w:t>
      </w:r>
    </w:p>
    <w:p w:rsidR="00E675F0" w:rsidRDefault="00E675F0" w:rsidP="00E675F0">
      <w:pPr>
        <w:pStyle w:val="BodyText"/>
        <w:rPr>
          <w:sz w:val="22"/>
        </w:rPr>
      </w:pPr>
    </w:p>
    <w:p w:rsidR="00E675F0" w:rsidRDefault="00E675F0" w:rsidP="00E675F0">
      <w:pPr>
        <w:pStyle w:val="BodyText"/>
        <w:spacing w:before="2"/>
        <w:rPr>
          <w:sz w:val="18"/>
        </w:rPr>
      </w:pPr>
    </w:p>
    <w:p w:rsidR="00E675F0" w:rsidRDefault="00E675F0" w:rsidP="00E675F0">
      <w:pPr>
        <w:spacing w:before="1"/>
        <w:ind w:left="107"/>
        <w:rPr>
          <w:rFonts w:ascii="TimesNewRomanPS-BoldItalicMT"/>
          <w:b/>
          <w:i/>
          <w:sz w:val="24"/>
        </w:rPr>
      </w:pPr>
      <w:r>
        <w:rPr>
          <w:rFonts w:ascii="TimesNewRomanPS-BoldItalicMT"/>
          <w:b/>
          <w:i/>
          <w:w w:val="120"/>
          <w:sz w:val="24"/>
        </w:rPr>
        <w:t>Criteria for a Mental Disorder</w:t>
      </w:r>
    </w:p>
    <w:p w:rsidR="00E675F0" w:rsidRDefault="00E675F0" w:rsidP="00E675F0">
      <w:pPr>
        <w:spacing w:before="7"/>
        <w:ind w:left="112"/>
        <w:rPr>
          <w:rFonts w:ascii="TimesNewRomanPS-BoldItalicMT"/>
          <w:b/>
          <w:i/>
          <w:sz w:val="24"/>
        </w:rPr>
      </w:pPr>
      <w:r>
        <w:rPr>
          <w:rFonts w:ascii="TimesNewRomanPS-BoldItalicMT"/>
          <w:b/>
          <w:i/>
          <w:w w:val="110"/>
          <w:sz w:val="24"/>
        </w:rPr>
        <w:t>Due to a General Medical Condition</w:t>
      </w:r>
    </w:p>
    <w:p w:rsidR="00E675F0" w:rsidRDefault="00E675F0" w:rsidP="00E675F0">
      <w:pPr>
        <w:pStyle w:val="BodyText"/>
        <w:spacing w:before="170" w:line="254" w:lineRule="auto"/>
        <w:ind w:left="130" w:right="122" w:hanging="9"/>
        <w:jc w:val="both"/>
      </w:pPr>
      <w:r>
        <w:rPr>
          <w:w w:val="105"/>
        </w:rPr>
        <w:t>The criterion listed below is necessary to establish the etiological requirement for each of the Mental Disorders Due to a General Medical Condition (e.g., Mood Disorder Due to Hypothyroidism). For further discussion of this issue, see p.</w:t>
      </w:r>
      <w:r>
        <w:rPr>
          <w:spacing w:val="-32"/>
          <w:w w:val="105"/>
        </w:rPr>
        <w:t xml:space="preserve"> </w:t>
      </w:r>
      <w:r>
        <w:rPr>
          <w:w w:val="105"/>
        </w:rPr>
        <w:t>165.</w:t>
      </w:r>
    </w:p>
    <w:p w:rsidR="00E675F0" w:rsidRDefault="00E675F0" w:rsidP="00E675F0">
      <w:pPr>
        <w:pStyle w:val="BodyText"/>
        <w:spacing w:before="149" w:line="252" w:lineRule="auto"/>
        <w:ind w:left="851" w:right="485" w:hanging="4"/>
        <w:jc w:val="both"/>
      </w:pPr>
      <w:r>
        <w:rPr>
          <w:w w:val="105"/>
        </w:rPr>
        <w:t>There is evidence from the history, physical examination, or laboratory findings that the disturbance is the direct physiological consequence of a general medical condition.</w:t>
      </w:r>
    </w:p>
    <w:p w:rsidR="00E675F0" w:rsidRDefault="00E675F0" w:rsidP="00E675F0">
      <w:pPr>
        <w:pStyle w:val="BodyText"/>
        <w:rPr>
          <w:sz w:val="22"/>
        </w:rPr>
      </w:pPr>
    </w:p>
    <w:p w:rsidR="00E675F0" w:rsidRDefault="00E675F0" w:rsidP="00E675F0">
      <w:pPr>
        <w:pStyle w:val="BodyText"/>
        <w:spacing w:before="4"/>
      </w:pPr>
    </w:p>
    <w:p w:rsidR="00E675F0" w:rsidRDefault="00E675F0" w:rsidP="00E675F0">
      <w:pPr>
        <w:ind w:left="107"/>
        <w:rPr>
          <w:rFonts w:ascii="TimesNewRomanPS-BoldItalicMT"/>
          <w:b/>
          <w:i/>
          <w:sz w:val="24"/>
        </w:rPr>
      </w:pPr>
      <w:r>
        <w:rPr>
          <w:rFonts w:ascii="TimesNewRomanPS-BoldItalicMT"/>
          <w:b/>
          <w:i/>
          <w:w w:val="115"/>
          <w:sz w:val="24"/>
        </w:rPr>
        <w:t>Criteria for Clinical Significance</w:t>
      </w:r>
    </w:p>
    <w:p w:rsidR="00E675F0" w:rsidRDefault="00E675F0" w:rsidP="00E675F0">
      <w:pPr>
        <w:pStyle w:val="BodyText"/>
        <w:spacing w:before="151" w:line="256" w:lineRule="auto"/>
        <w:ind w:left="129" w:right="109" w:hanging="8"/>
        <w:jc w:val="both"/>
      </w:pPr>
      <w:r>
        <w:rPr>
          <w:w w:val="105"/>
        </w:rPr>
        <w:t xml:space="preserve">The definition of </w:t>
      </w:r>
      <w:r>
        <w:rPr>
          <w:i/>
          <w:w w:val="105"/>
        </w:rPr>
        <w:t xml:space="preserve">mental disorder </w:t>
      </w:r>
      <w:r>
        <w:rPr>
          <w:w w:val="105"/>
        </w:rPr>
        <w:t>in the introduction to DSM-IV requires that there be clinically significant impairment or distress. To highlight the importance of considering this issue, the criteria sets for most disorders include a clinical significance criterion (usually worded "... causes clinically significant distress or impairment in social, occupational, or other important areas of functioning"). This criterion helps establish the threshold for the diagnosis of a disorder in those situations in which the symptomatic presentation by itself (particularly in its milder forms) is not inherently pathological and may be encountered in individuals for whom a  diagnosis of  "mental  disorder" would be inappropriate. Assessing whether this criterion is met, especially in terms of role function,</w:t>
      </w:r>
      <w:r>
        <w:rPr>
          <w:spacing w:val="-9"/>
          <w:w w:val="105"/>
        </w:rPr>
        <w:t xml:space="preserve"> </w:t>
      </w:r>
      <w:r>
        <w:rPr>
          <w:w w:val="105"/>
        </w:rPr>
        <w:t>is</w:t>
      </w:r>
      <w:r>
        <w:rPr>
          <w:spacing w:val="-23"/>
          <w:w w:val="105"/>
        </w:rPr>
        <w:t xml:space="preserve"> </w:t>
      </w:r>
      <w:r>
        <w:rPr>
          <w:w w:val="105"/>
        </w:rPr>
        <w:t>an</w:t>
      </w:r>
      <w:r>
        <w:rPr>
          <w:spacing w:val="-14"/>
          <w:w w:val="105"/>
        </w:rPr>
        <w:t xml:space="preserve"> </w:t>
      </w:r>
      <w:r>
        <w:rPr>
          <w:w w:val="105"/>
        </w:rPr>
        <w:t>inherently</w:t>
      </w:r>
      <w:r>
        <w:rPr>
          <w:spacing w:val="-7"/>
          <w:w w:val="105"/>
        </w:rPr>
        <w:t xml:space="preserve"> </w:t>
      </w:r>
      <w:r>
        <w:rPr>
          <w:w w:val="105"/>
        </w:rPr>
        <w:t>difficult</w:t>
      </w:r>
      <w:r>
        <w:rPr>
          <w:spacing w:val="-13"/>
          <w:w w:val="105"/>
        </w:rPr>
        <w:t xml:space="preserve"> </w:t>
      </w:r>
      <w:r>
        <w:rPr>
          <w:w w:val="105"/>
        </w:rPr>
        <w:t>clinical</w:t>
      </w:r>
      <w:r>
        <w:rPr>
          <w:spacing w:val="4"/>
          <w:w w:val="105"/>
        </w:rPr>
        <w:t xml:space="preserve"> </w:t>
      </w:r>
      <w:r>
        <w:rPr>
          <w:w w:val="105"/>
        </w:rPr>
        <w:t>judgment.</w:t>
      </w:r>
      <w:r>
        <w:rPr>
          <w:spacing w:val="-2"/>
          <w:w w:val="105"/>
        </w:rPr>
        <w:t xml:space="preserve"> </w:t>
      </w:r>
      <w:r>
        <w:rPr>
          <w:w w:val="105"/>
        </w:rPr>
        <w:t>Reliance</w:t>
      </w:r>
      <w:r>
        <w:rPr>
          <w:spacing w:val="-18"/>
          <w:w w:val="105"/>
        </w:rPr>
        <w:t xml:space="preserve"> </w:t>
      </w:r>
      <w:r>
        <w:rPr>
          <w:w w:val="105"/>
        </w:rPr>
        <w:t>on</w:t>
      </w:r>
      <w:r>
        <w:rPr>
          <w:spacing w:val="3"/>
          <w:w w:val="105"/>
        </w:rPr>
        <w:t xml:space="preserve"> </w:t>
      </w:r>
      <w:r>
        <w:rPr>
          <w:w w:val="105"/>
        </w:rPr>
        <w:t>information</w:t>
      </w:r>
      <w:r>
        <w:rPr>
          <w:spacing w:val="-12"/>
          <w:w w:val="105"/>
        </w:rPr>
        <w:t xml:space="preserve"> </w:t>
      </w:r>
      <w:r>
        <w:rPr>
          <w:w w:val="105"/>
        </w:rPr>
        <w:t>from</w:t>
      </w:r>
      <w:r>
        <w:rPr>
          <w:spacing w:val="-21"/>
          <w:w w:val="105"/>
        </w:rPr>
        <w:t xml:space="preserve"> </w:t>
      </w:r>
      <w:r>
        <w:rPr>
          <w:w w:val="105"/>
        </w:rPr>
        <w:t>family members and other third parties (in addition to the individual) regarding the individual's performance is often</w:t>
      </w:r>
      <w:r>
        <w:rPr>
          <w:spacing w:val="1"/>
          <w:w w:val="105"/>
        </w:rPr>
        <w:t xml:space="preserve"> </w:t>
      </w:r>
      <w:r>
        <w:rPr>
          <w:w w:val="105"/>
        </w:rPr>
        <w:t>necessary.</w:t>
      </w:r>
    </w:p>
    <w:p w:rsidR="00E675F0" w:rsidRDefault="00E675F0" w:rsidP="00E675F0">
      <w:pPr>
        <w:spacing w:line="256" w:lineRule="auto"/>
        <w:jc w:val="both"/>
        <w:sectPr w:rsidR="00E675F0">
          <w:pgSz w:w="8960" w:h="14260"/>
          <w:pgMar w:top="1400" w:right="620" w:bottom="280" w:left="620" w:header="685" w:footer="0" w:gutter="0"/>
          <w:cols w:space="720"/>
        </w:sectPr>
      </w:pPr>
    </w:p>
    <w:p w:rsidR="00E675F0" w:rsidRDefault="00E675F0" w:rsidP="00E675F0">
      <w:pPr>
        <w:spacing w:before="129"/>
        <w:ind w:left="33" w:right="35"/>
        <w:jc w:val="center"/>
        <w:rPr>
          <w:rFonts w:ascii="Arial"/>
          <w:b/>
          <w:sz w:val="25"/>
        </w:rPr>
      </w:pPr>
      <w:r>
        <w:rPr>
          <w:rFonts w:ascii="Arial"/>
          <w:b/>
          <w:w w:val="105"/>
          <w:sz w:val="25"/>
        </w:rPr>
        <w:lastRenderedPageBreak/>
        <w:t>Types of Information in the DSM.-JV Text</w:t>
      </w:r>
    </w:p>
    <w:p w:rsidR="00E675F0" w:rsidRDefault="00E675F0" w:rsidP="00E675F0">
      <w:pPr>
        <w:pStyle w:val="BodyText"/>
        <w:spacing w:before="7"/>
        <w:rPr>
          <w:rFonts w:ascii="Arial"/>
          <w:b/>
          <w:sz w:val="22"/>
        </w:rPr>
      </w:pPr>
    </w:p>
    <w:p w:rsidR="00E675F0" w:rsidRDefault="00E675F0" w:rsidP="00E675F0">
      <w:pPr>
        <w:pStyle w:val="BodyText"/>
        <w:spacing w:line="254" w:lineRule="auto"/>
        <w:ind w:left="124" w:right="126" w:hanging="8"/>
        <w:jc w:val="both"/>
      </w:pPr>
      <w:r>
        <w:rPr>
          <w:w w:val="105"/>
        </w:rPr>
        <w:t>The</w:t>
      </w:r>
      <w:r>
        <w:rPr>
          <w:spacing w:val="-8"/>
          <w:w w:val="105"/>
        </w:rPr>
        <w:t xml:space="preserve"> </w:t>
      </w:r>
      <w:r>
        <w:rPr>
          <w:w w:val="105"/>
        </w:rPr>
        <w:t>text</w:t>
      </w:r>
      <w:r>
        <w:rPr>
          <w:spacing w:val="-9"/>
          <w:w w:val="105"/>
        </w:rPr>
        <w:t xml:space="preserve"> </w:t>
      </w:r>
      <w:r>
        <w:rPr>
          <w:w w:val="105"/>
        </w:rPr>
        <w:t>of</w:t>
      </w:r>
      <w:r>
        <w:rPr>
          <w:spacing w:val="-4"/>
          <w:w w:val="105"/>
        </w:rPr>
        <w:t xml:space="preserve"> </w:t>
      </w:r>
      <w:r>
        <w:rPr>
          <w:w w:val="105"/>
        </w:rPr>
        <w:t>DSM-IV</w:t>
      </w:r>
      <w:r>
        <w:rPr>
          <w:spacing w:val="-8"/>
          <w:w w:val="105"/>
        </w:rPr>
        <w:t xml:space="preserve"> </w:t>
      </w:r>
      <w:r>
        <w:rPr>
          <w:w w:val="105"/>
        </w:rPr>
        <w:t>systematically</w:t>
      </w:r>
      <w:r>
        <w:rPr>
          <w:spacing w:val="-23"/>
          <w:w w:val="105"/>
        </w:rPr>
        <w:t xml:space="preserve"> </w:t>
      </w:r>
      <w:r>
        <w:rPr>
          <w:w w:val="105"/>
        </w:rPr>
        <w:t>describes</w:t>
      </w:r>
      <w:r>
        <w:rPr>
          <w:spacing w:val="-10"/>
          <w:w w:val="105"/>
        </w:rPr>
        <w:t xml:space="preserve"> </w:t>
      </w:r>
      <w:r>
        <w:rPr>
          <w:w w:val="105"/>
        </w:rPr>
        <w:t>each</w:t>
      </w:r>
      <w:r>
        <w:rPr>
          <w:spacing w:val="-6"/>
          <w:w w:val="105"/>
        </w:rPr>
        <w:t xml:space="preserve"> </w:t>
      </w:r>
      <w:r>
        <w:rPr>
          <w:w w:val="105"/>
        </w:rPr>
        <w:t>disorder</w:t>
      </w:r>
      <w:r>
        <w:rPr>
          <w:spacing w:val="-4"/>
          <w:w w:val="105"/>
        </w:rPr>
        <w:t xml:space="preserve"> </w:t>
      </w:r>
      <w:r>
        <w:rPr>
          <w:w w:val="105"/>
        </w:rPr>
        <w:t>under</w:t>
      </w:r>
      <w:r>
        <w:rPr>
          <w:spacing w:val="-4"/>
          <w:w w:val="105"/>
        </w:rPr>
        <w:t xml:space="preserve"> </w:t>
      </w:r>
      <w:r>
        <w:rPr>
          <w:w w:val="105"/>
        </w:rPr>
        <w:t>the</w:t>
      </w:r>
      <w:r>
        <w:rPr>
          <w:spacing w:val="-19"/>
          <w:w w:val="105"/>
        </w:rPr>
        <w:t xml:space="preserve"> </w:t>
      </w:r>
      <w:r>
        <w:rPr>
          <w:w w:val="105"/>
        </w:rPr>
        <w:t>following</w:t>
      </w:r>
      <w:r>
        <w:rPr>
          <w:spacing w:val="-2"/>
          <w:w w:val="105"/>
        </w:rPr>
        <w:t xml:space="preserve"> </w:t>
      </w:r>
      <w:r>
        <w:rPr>
          <w:w w:val="105"/>
        </w:rPr>
        <w:t>headings: "Diagnostic</w:t>
      </w:r>
      <w:r>
        <w:rPr>
          <w:spacing w:val="-29"/>
          <w:w w:val="105"/>
        </w:rPr>
        <w:t xml:space="preserve"> </w:t>
      </w:r>
      <w:r>
        <w:rPr>
          <w:w w:val="105"/>
        </w:rPr>
        <w:t>Features";</w:t>
      </w:r>
      <w:r>
        <w:rPr>
          <w:spacing w:val="-28"/>
          <w:w w:val="105"/>
        </w:rPr>
        <w:t xml:space="preserve"> </w:t>
      </w:r>
      <w:r>
        <w:rPr>
          <w:w w:val="105"/>
        </w:rPr>
        <w:t>"Subtypes</w:t>
      </w:r>
      <w:r>
        <w:rPr>
          <w:spacing w:val="-29"/>
          <w:w w:val="105"/>
        </w:rPr>
        <w:t xml:space="preserve"> </w:t>
      </w:r>
      <w:r>
        <w:rPr>
          <w:w w:val="105"/>
        </w:rPr>
        <w:t>and/or</w:t>
      </w:r>
      <w:r>
        <w:rPr>
          <w:spacing w:val="-33"/>
          <w:w w:val="105"/>
        </w:rPr>
        <w:t xml:space="preserve"> </w:t>
      </w:r>
      <w:r>
        <w:rPr>
          <w:w w:val="105"/>
        </w:rPr>
        <w:t>Specifiers";</w:t>
      </w:r>
      <w:r>
        <w:rPr>
          <w:spacing w:val="-29"/>
          <w:w w:val="105"/>
        </w:rPr>
        <w:t xml:space="preserve"> </w:t>
      </w:r>
      <w:r>
        <w:rPr>
          <w:w w:val="105"/>
        </w:rPr>
        <w:t>"Recording</w:t>
      </w:r>
      <w:r>
        <w:rPr>
          <w:spacing w:val="-26"/>
          <w:w w:val="105"/>
        </w:rPr>
        <w:t xml:space="preserve"> </w:t>
      </w:r>
      <w:r>
        <w:rPr>
          <w:w w:val="105"/>
        </w:rPr>
        <w:t>Procedures";</w:t>
      </w:r>
      <w:r>
        <w:rPr>
          <w:spacing w:val="-28"/>
          <w:w w:val="105"/>
        </w:rPr>
        <w:t xml:space="preserve"> </w:t>
      </w:r>
      <w:r>
        <w:rPr>
          <w:w w:val="105"/>
        </w:rPr>
        <w:t>"Associated Features and Disorders"; "Specific Culture, Age, and Gender Features"; "Prevalence"; "Course"; "Familial Pattern"; and "Differential Diagnosis." When no information is available for a section, that section is not included. In some instances, when  many  of the specific disorders in a group of  disorders share common features,  this information  is included in the general introduction to the</w:t>
      </w:r>
      <w:r>
        <w:rPr>
          <w:spacing w:val="27"/>
          <w:w w:val="105"/>
        </w:rPr>
        <w:t xml:space="preserve"> </w:t>
      </w:r>
      <w:r>
        <w:rPr>
          <w:w w:val="105"/>
        </w:rPr>
        <w:t>group.</w:t>
      </w:r>
    </w:p>
    <w:p w:rsidR="00E675F0" w:rsidRDefault="00E675F0" w:rsidP="00E675F0">
      <w:pPr>
        <w:pStyle w:val="BodyText"/>
        <w:spacing w:before="2"/>
        <w:rPr>
          <w:sz w:val="22"/>
        </w:rPr>
      </w:pPr>
    </w:p>
    <w:p w:rsidR="00E675F0" w:rsidRDefault="00E675F0" w:rsidP="00E675F0">
      <w:pPr>
        <w:pStyle w:val="BodyText"/>
        <w:spacing w:line="261" w:lineRule="auto"/>
        <w:ind w:left="131" w:right="130" w:hanging="7"/>
        <w:jc w:val="both"/>
      </w:pPr>
      <w:r>
        <w:rPr>
          <w:b/>
          <w:w w:val="105"/>
        </w:rPr>
        <w:t xml:space="preserve">Diagnostic Features. </w:t>
      </w:r>
      <w:r>
        <w:rPr>
          <w:w w:val="105"/>
        </w:rPr>
        <w:t>This section clarifies the diagnostic criteria and often provides illustrative examples.</w:t>
      </w:r>
    </w:p>
    <w:p w:rsidR="00E675F0" w:rsidRDefault="00E675F0" w:rsidP="00E675F0">
      <w:pPr>
        <w:pStyle w:val="BodyText"/>
        <w:spacing w:before="2"/>
        <w:rPr>
          <w:sz w:val="21"/>
        </w:rPr>
      </w:pPr>
    </w:p>
    <w:p w:rsidR="00E675F0" w:rsidRDefault="00E675F0" w:rsidP="00E675F0">
      <w:pPr>
        <w:spacing w:line="256" w:lineRule="auto"/>
        <w:ind w:left="130" w:right="136" w:hanging="9"/>
        <w:jc w:val="both"/>
        <w:rPr>
          <w:sz w:val="20"/>
        </w:rPr>
      </w:pPr>
      <w:r>
        <w:rPr>
          <w:b/>
          <w:w w:val="105"/>
          <w:sz w:val="20"/>
        </w:rPr>
        <w:t xml:space="preserve">Subtypes and/or Specifiers. </w:t>
      </w:r>
      <w:r>
        <w:rPr>
          <w:w w:val="105"/>
          <w:sz w:val="20"/>
        </w:rPr>
        <w:t>This section provides definitions and brief discussions concerning applicable subtypes and/or specifiers.</w:t>
      </w:r>
    </w:p>
    <w:p w:rsidR="00E675F0" w:rsidRDefault="00E675F0" w:rsidP="00E675F0">
      <w:pPr>
        <w:pStyle w:val="BodyText"/>
        <w:spacing w:before="5"/>
        <w:rPr>
          <w:sz w:val="22"/>
        </w:rPr>
      </w:pPr>
    </w:p>
    <w:p w:rsidR="00E675F0" w:rsidRDefault="00E675F0" w:rsidP="00E675F0">
      <w:pPr>
        <w:pStyle w:val="BodyText"/>
        <w:spacing w:line="254" w:lineRule="auto"/>
        <w:ind w:left="130" w:right="126" w:hanging="7"/>
        <w:jc w:val="both"/>
      </w:pPr>
      <w:r>
        <w:rPr>
          <w:b/>
          <w:w w:val="105"/>
        </w:rPr>
        <w:t xml:space="preserve">Recording Procedures. </w:t>
      </w:r>
      <w:r>
        <w:rPr>
          <w:w w:val="105"/>
        </w:rPr>
        <w:t xml:space="preserve">This section  provides  guidelines  for reporting  the name of the disorder and for selecting and recording the appropriate ICD-9-CM diagnostic code. </w:t>
      </w:r>
      <w:r>
        <w:rPr>
          <w:w w:val="105"/>
          <w:sz w:val="18"/>
        </w:rPr>
        <w:t xml:space="preserve">It </w:t>
      </w:r>
      <w:r>
        <w:rPr>
          <w:w w:val="105"/>
        </w:rPr>
        <w:t>also includes instructions for applying any appropriate subtypes and/or</w:t>
      </w:r>
      <w:r>
        <w:rPr>
          <w:spacing w:val="41"/>
          <w:w w:val="105"/>
        </w:rPr>
        <w:t xml:space="preserve"> </w:t>
      </w:r>
      <w:r>
        <w:rPr>
          <w:w w:val="105"/>
        </w:rPr>
        <w:t>specifiers.</w:t>
      </w:r>
    </w:p>
    <w:p w:rsidR="00E675F0" w:rsidRDefault="00E675F0" w:rsidP="00E675F0">
      <w:pPr>
        <w:pStyle w:val="BodyText"/>
        <w:spacing w:before="7"/>
        <w:rPr>
          <w:sz w:val="21"/>
        </w:rPr>
      </w:pPr>
    </w:p>
    <w:p w:rsidR="00E675F0" w:rsidRDefault="00E675F0" w:rsidP="00E675F0">
      <w:pPr>
        <w:spacing w:line="261" w:lineRule="auto"/>
        <w:ind w:left="138" w:right="125" w:hanging="17"/>
        <w:jc w:val="both"/>
        <w:rPr>
          <w:sz w:val="20"/>
        </w:rPr>
      </w:pPr>
      <w:r>
        <w:rPr>
          <w:b/>
          <w:w w:val="105"/>
          <w:sz w:val="20"/>
        </w:rPr>
        <w:t xml:space="preserve">Associated Features and Disorders. </w:t>
      </w:r>
      <w:r>
        <w:rPr>
          <w:w w:val="105"/>
          <w:sz w:val="20"/>
        </w:rPr>
        <w:t>This section is usually subdivided  into  three parts:</w:t>
      </w:r>
    </w:p>
    <w:p w:rsidR="00E675F0" w:rsidRDefault="00E675F0" w:rsidP="003048D3">
      <w:pPr>
        <w:pStyle w:val="ListParagraph"/>
        <w:numPr>
          <w:ilvl w:val="1"/>
          <w:numId w:val="135"/>
        </w:numPr>
        <w:tabs>
          <w:tab w:val="left" w:pos="744"/>
        </w:tabs>
        <w:spacing w:before="114" w:line="252" w:lineRule="auto"/>
        <w:ind w:left="733" w:right="116" w:hanging="228"/>
        <w:jc w:val="both"/>
        <w:rPr>
          <w:sz w:val="20"/>
        </w:rPr>
      </w:pPr>
      <w:r>
        <w:rPr>
          <w:i/>
          <w:w w:val="105"/>
          <w:sz w:val="20"/>
        </w:rPr>
        <w:t xml:space="preserve">Associated descriptive features and mental disorders. </w:t>
      </w:r>
      <w:r>
        <w:rPr>
          <w:w w:val="105"/>
          <w:sz w:val="20"/>
        </w:rPr>
        <w:t xml:space="preserve">This section includes clinical features that are frequently associated with the disorder but that are not considered essential to making the diagnosis. In some cases, these features were considered for inclusion as possible diagnostic criteria but were insufficiently sensitive or specific to be included in the final criteria set. Also noted in this section are other mental disorders associated with the disorder being discussed.   </w:t>
      </w:r>
      <w:r>
        <w:rPr>
          <w:w w:val="105"/>
          <w:sz w:val="18"/>
        </w:rPr>
        <w:t xml:space="preserve">It </w:t>
      </w:r>
      <w:r>
        <w:rPr>
          <w:w w:val="105"/>
          <w:sz w:val="20"/>
        </w:rPr>
        <w:t xml:space="preserve">is specified (when known) if these disorders precede, co-occur with, or are consequences of the disorder in question (e.g., Alcohol-Induced Persisting Dementia is a consequence of chronic Alcohol Dependence). </w:t>
      </w:r>
      <w:r>
        <w:rPr>
          <w:w w:val="105"/>
          <w:sz w:val="19"/>
        </w:rPr>
        <w:t xml:space="preserve">If </w:t>
      </w:r>
      <w:r>
        <w:rPr>
          <w:w w:val="105"/>
          <w:sz w:val="20"/>
        </w:rPr>
        <w:t>available, information on predisposing factors and complications is also included in this section.</w:t>
      </w:r>
    </w:p>
    <w:p w:rsidR="00E675F0" w:rsidRDefault="00E675F0" w:rsidP="003048D3">
      <w:pPr>
        <w:pStyle w:val="ListParagraph"/>
        <w:numPr>
          <w:ilvl w:val="1"/>
          <w:numId w:val="135"/>
        </w:numPr>
        <w:tabs>
          <w:tab w:val="left" w:pos="749"/>
        </w:tabs>
        <w:spacing w:line="256" w:lineRule="auto"/>
        <w:ind w:left="736" w:right="117" w:hanging="225"/>
        <w:jc w:val="both"/>
        <w:rPr>
          <w:sz w:val="20"/>
        </w:rPr>
      </w:pPr>
      <w:r>
        <w:rPr>
          <w:i/>
          <w:w w:val="110"/>
          <w:sz w:val="20"/>
        </w:rPr>
        <w:t>Associated</w:t>
      </w:r>
      <w:r>
        <w:rPr>
          <w:i/>
          <w:spacing w:val="-30"/>
          <w:w w:val="110"/>
          <w:sz w:val="20"/>
        </w:rPr>
        <w:t xml:space="preserve"> </w:t>
      </w:r>
      <w:r>
        <w:rPr>
          <w:i/>
          <w:w w:val="110"/>
          <w:sz w:val="20"/>
        </w:rPr>
        <w:t>laboratory</w:t>
      </w:r>
      <w:r>
        <w:rPr>
          <w:i/>
          <w:spacing w:val="-36"/>
          <w:w w:val="110"/>
          <w:sz w:val="20"/>
        </w:rPr>
        <w:t xml:space="preserve"> </w:t>
      </w:r>
      <w:r>
        <w:rPr>
          <w:i/>
          <w:w w:val="110"/>
          <w:sz w:val="20"/>
        </w:rPr>
        <w:t>findings.</w:t>
      </w:r>
      <w:r>
        <w:rPr>
          <w:i/>
          <w:spacing w:val="3"/>
          <w:w w:val="110"/>
          <w:sz w:val="20"/>
        </w:rPr>
        <w:t xml:space="preserve"> </w:t>
      </w:r>
      <w:r>
        <w:rPr>
          <w:w w:val="110"/>
          <w:sz w:val="20"/>
        </w:rPr>
        <w:t>This</w:t>
      </w:r>
      <w:r>
        <w:rPr>
          <w:spacing w:val="-34"/>
          <w:w w:val="110"/>
          <w:sz w:val="20"/>
        </w:rPr>
        <w:t xml:space="preserve"> </w:t>
      </w:r>
      <w:r>
        <w:rPr>
          <w:w w:val="110"/>
          <w:sz w:val="20"/>
        </w:rPr>
        <w:t>section</w:t>
      </w:r>
      <w:r>
        <w:rPr>
          <w:spacing w:val="-28"/>
          <w:w w:val="110"/>
          <w:sz w:val="20"/>
        </w:rPr>
        <w:t xml:space="preserve"> </w:t>
      </w:r>
      <w:r>
        <w:rPr>
          <w:w w:val="110"/>
          <w:sz w:val="20"/>
        </w:rPr>
        <w:t>provides</w:t>
      </w:r>
      <w:r>
        <w:rPr>
          <w:spacing w:val="-28"/>
          <w:w w:val="110"/>
          <w:sz w:val="20"/>
        </w:rPr>
        <w:t xml:space="preserve"> </w:t>
      </w:r>
      <w:r>
        <w:rPr>
          <w:w w:val="110"/>
          <w:sz w:val="20"/>
        </w:rPr>
        <w:t>information</w:t>
      </w:r>
      <w:r>
        <w:rPr>
          <w:spacing w:val="-29"/>
          <w:w w:val="110"/>
          <w:sz w:val="20"/>
        </w:rPr>
        <w:t xml:space="preserve"> </w:t>
      </w:r>
      <w:r>
        <w:rPr>
          <w:w w:val="110"/>
          <w:sz w:val="20"/>
        </w:rPr>
        <w:t>on</w:t>
      </w:r>
      <w:r>
        <w:rPr>
          <w:spacing w:val="-24"/>
          <w:w w:val="110"/>
          <w:sz w:val="20"/>
        </w:rPr>
        <w:t xml:space="preserve"> </w:t>
      </w:r>
      <w:r>
        <w:rPr>
          <w:w w:val="110"/>
          <w:sz w:val="20"/>
        </w:rPr>
        <w:t>three</w:t>
      </w:r>
      <w:r>
        <w:rPr>
          <w:spacing w:val="-32"/>
          <w:w w:val="110"/>
          <w:sz w:val="20"/>
        </w:rPr>
        <w:t xml:space="preserve"> </w:t>
      </w:r>
      <w:r>
        <w:rPr>
          <w:w w:val="110"/>
          <w:sz w:val="20"/>
        </w:rPr>
        <w:t>types of</w:t>
      </w:r>
      <w:r>
        <w:rPr>
          <w:spacing w:val="-33"/>
          <w:w w:val="110"/>
          <w:sz w:val="20"/>
        </w:rPr>
        <w:t xml:space="preserve"> </w:t>
      </w:r>
      <w:r>
        <w:rPr>
          <w:w w:val="110"/>
          <w:sz w:val="20"/>
        </w:rPr>
        <w:t>laboratory</w:t>
      </w:r>
      <w:r>
        <w:rPr>
          <w:spacing w:val="-31"/>
          <w:w w:val="110"/>
          <w:sz w:val="20"/>
        </w:rPr>
        <w:t xml:space="preserve"> </w:t>
      </w:r>
      <w:r>
        <w:rPr>
          <w:w w:val="110"/>
          <w:sz w:val="20"/>
        </w:rPr>
        <w:t>findings</w:t>
      </w:r>
      <w:r>
        <w:rPr>
          <w:spacing w:val="-35"/>
          <w:w w:val="110"/>
          <w:sz w:val="20"/>
        </w:rPr>
        <w:t xml:space="preserve"> </w:t>
      </w:r>
      <w:r>
        <w:rPr>
          <w:w w:val="110"/>
          <w:sz w:val="20"/>
        </w:rPr>
        <w:t>that</w:t>
      </w:r>
      <w:r>
        <w:rPr>
          <w:spacing w:val="-34"/>
          <w:w w:val="110"/>
          <w:sz w:val="20"/>
        </w:rPr>
        <w:t xml:space="preserve"> </w:t>
      </w:r>
      <w:r>
        <w:rPr>
          <w:w w:val="110"/>
          <w:sz w:val="20"/>
        </w:rPr>
        <w:t>may</w:t>
      </w:r>
      <w:r>
        <w:rPr>
          <w:spacing w:val="-35"/>
          <w:w w:val="110"/>
          <w:sz w:val="20"/>
        </w:rPr>
        <w:t xml:space="preserve"> </w:t>
      </w:r>
      <w:r>
        <w:rPr>
          <w:w w:val="110"/>
          <w:sz w:val="20"/>
        </w:rPr>
        <w:t>be</w:t>
      </w:r>
      <w:r>
        <w:rPr>
          <w:spacing w:val="-38"/>
          <w:w w:val="110"/>
          <w:sz w:val="20"/>
        </w:rPr>
        <w:t xml:space="preserve"> </w:t>
      </w:r>
      <w:r>
        <w:rPr>
          <w:w w:val="110"/>
          <w:sz w:val="20"/>
        </w:rPr>
        <w:t>associated</w:t>
      </w:r>
      <w:r>
        <w:rPr>
          <w:spacing w:val="-28"/>
          <w:w w:val="110"/>
          <w:sz w:val="20"/>
        </w:rPr>
        <w:t xml:space="preserve"> </w:t>
      </w:r>
      <w:r>
        <w:rPr>
          <w:w w:val="110"/>
          <w:sz w:val="20"/>
        </w:rPr>
        <w:t>with</w:t>
      </w:r>
      <w:r>
        <w:rPr>
          <w:spacing w:val="-37"/>
          <w:w w:val="110"/>
          <w:sz w:val="20"/>
        </w:rPr>
        <w:t xml:space="preserve"> </w:t>
      </w:r>
      <w:r>
        <w:rPr>
          <w:w w:val="110"/>
          <w:sz w:val="20"/>
        </w:rPr>
        <w:t>the</w:t>
      </w:r>
      <w:r>
        <w:rPr>
          <w:spacing w:val="-39"/>
          <w:w w:val="110"/>
          <w:sz w:val="20"/>
        </w:rPr>
        <w:t xml:space="preserve"> </w:t>
      </w:r>
      <w:r>
        <w:rPr>
          <w:w w:val="110"/>
          <w:sz w:val="20"/>
        </w:rPr>
        <w:t>disorder:</w:t>
      </w:r>
      <w:r>
        <w:rPr>
          <w:spacing w:val="-35"/>
          <w:w w:val="110"/>
          <w:sz w:val="20"/>
        </w:rPr>
        <w:t xml:space="preserve"> </w:t>
      </w:r>
      <w:r>
        <w:rPr>
          <w:rFonts w:ascii="Arial" w:hAnsi="Arial"/>
          <w:w w:val="110"/>
          <w:sz w:val="17"/>
        </w:rPr>
        <w:t>1)</w:t>
      </w:r>
      <w:r>
        <w:rPr>
          <w:rFonts w:ascii="Arial" w:hAnsi="Arial"/>
          <w:spacing w:val="-27"/>
          <w:w w:val="110"/>
          <w:sz w:val="17"/>
        </w:rPr>
        <w:t xml:space="preserve"> </w:t>
      </w:r>
      <w:r>
        <w:rPr>
          <w:w w:val="110"/>
          <w:sz w:val="20"/>
        </w:rPr>
        <w:t>those</w:t>
      </w:r>
      <w:r>
        <w:rPr>
          <w:spacing w:val="-36"/>
          <w:w w:val="110"/>
          <w:sz w:val="20"/>
        </w:rPr>
        <w:t xml:space="preserve"> </w:t>
      </w:r>
      <w:r>
        <w:rPr>
          <w:w w:val="110"/>
          <w:sz w:val="20"/>
        </w:rPr>
        <w:t>associated laboratory findings that are considered to be "diagnostic" of the disorder-for example,</w:t>
      </w:r>
      <w:r>
        <w:rPr>
          <w:spacing w:val="-10"/>
          <w:w w:val="110"/>
          <w:sz w:val="20"/>
        </w:rPr>
        <w:t xml:space="preserve"> </w:t>
      </w:r>
      <w:r>
        <w:rPr>
          <w:w w:val="110"/>
          <w:sz w:val="20"/>
        </w:rPr>
        <w:t>polysomnographic</w:t>
      </w:r>
      <w:r>
        <w:rPr>
          <w:spacing w:val="-24"/>
          <w:w w:val="110"/>
          <w:sz w:val="20"/>
        </w:rPr>
        <w:t xml:space="preserve"> </w:t>
      </w:r>
      <w:r>
        <w:rPr>
          <w:w w:val="110"/>
          <w:sz w:val="20"/>
        </w:rPr>
        <w:t>findings</w:t>
      </w:r>
      <w:r>
        <w:rPr>
          <w:spacing w:val="-10"/>
          <w:w w:val="110"/>
          <w:sz w:val="20"/>
        </w:rPr>
        <w:t xml:space="preserve"> </w:t>
      </w:r>
      <w:r>
        <w:rPr>
          <w:w w:val="110"/>
          <w:sz w:val="20"/>
        </w:rPr>
        <w:t>in</w:t>
      </w:r>
      <w:r>
        <w:rPr>
          <w:spacing w:val="-20"/>
          <w:w w:val="110"/>
          <w:sz w:val="20"/>
        </w:rPr>
        <w:t xml:space="preserve"> </w:t>
      </w:r>
      <w:r>
        <w:rPr>
          <w:w w:val="110"/>
          <w:sz w:val="20"/>
        </w:rPr>
        <w:t>certain</w:t>
      </w:r>
      <w:r>
        <w:rPr>
          <w:spacing w:val="-17"/>
          <w:w w:val="110"/>
          <w:sz w:val="20"/>
        </w:rPr>
        <w:t xml:space="preserve"> </w:t>
      </w:r>
      <w:r>
        <w:rPr>
          <w:w w:val="110"/>
          <w:sz w:val="20"/>
        </w:rPr>
        <w:t>sleep</w:t>
      </w:r>
      <w:r>
        <w:rPr>
          <w:spacing w:val="-18"/>
          <w:w w:val="110"/>
          <w:sz w:val="20"/>
        </w:rPr>
        <w:t xml:space="preserve"> </w:t>
      </w:r>
      <w:r>
        <w:rPr>
          <w:w w:val="110"/>
          <w:sz w:val="20"/>
        </w:rPr>
        <w:t>disorders;</w:t>
      </w:r>
      <w:r>
        <w:rPr>
          <w:spacing w:val="-7"/>
          <w:w w:val="110"/>
          <w:sz w:val="20"/>
        </w:rPr>
        <w:t xml:space="preserve"> </w:t>
      </w:r>
      <w:r>
        <w:rPr>
          <w:w w:val="110"/>
          <w:sz w:val="20"/>
        </w:rPr>
        <w:t>2)</w:t>
      </w:r>
      <w:r>
        <w:rPr>
          <w:spacing w:val="-19"/>
          <w:w w:val="110"/>
          <w:sz w:val="20"/>
        </w:rPr>
        <w:t xml:space="preserve"> </w:t>
      </w:r>
      <w:r>
        <w:rPr>
          <w:w w:val="110"/>
          <w:sz w:val="20"/>
        </w:rPr>
        <w:t>those</w:t>
      </w:r>
      <w:r>
        <w:rPr>
          <w:spacing w:val="-13"/>
          <w:w w:val="110"/>
          <w:sz w:val="20"/>
        </w:rPr>
        <w:t xml:space="preserve"> </w:t>
      </w:r>
      <w:r>
        <w:rPr>
          <w:w w:val="110"/>
          <w:sz w:val="20"/>
        </w:rPr>
        <w:t>associ­ ated</w:t>
      </w:r>
      <w:r>
        <w:rPr>
          <w:spacing w:val="-11"/>
          <w:w w:val="110"/>
          <w:sz w:val="20"/>
        </w:rPr>
        <w:t xml:space="preserve"> </w:t>
      </w:r>
      <w:r>
        <w:rPr>
          <w:w w:val="110"/>
          <w:sz w:val="20"/>
        </w:rPr>
        <w:t>laboratory</w:t>
      </w:r>
      <w:r>
        <w:rPr>
          <w:spacing w:val="-2"/>
          <w:w w:val="110"/>
          <w:sz w:val="20"/>
        </w:rPr>
        <w:t xml:space="preserve"> </w:t>
      </w:r>
      <w:r>
        <w:rPr>
          <w:w w:val="110"/>
          <w:sz w:val="20"/>
        </w:rPr>
        <w:t>findings</w:t>
      </w:r>
      <w:r>
        <w:rPr>
          <w:spacing w:val="-7"/>
          <w:w w:val="110"/>
          <w:sz w:val="20"/>
        </w:rPr>
        <w:t xml:space="preserve"> </w:t>
      </w:r>
      <w:r>
        <w:rPr>
          <w:w w:val="110"/>
          <w:sz w:val="20"/>
        </w:rPr>
        <w:t>that</w:t>
      </w:r>
      <w:r>
        <w:rPr>
          <w:spacing w:val="-7"/>
          <w:w w:val="110"/>
          <w:sz w:val="20"/>
        </w:rPr>
        <w:t xml:space="preserve"> </w:t>
      </w:r>
      <w:r>
        <w:rPr>
          <w:w w:val="110"/>
          <w:sz w:val="20"/>
        </w:rPr>
        <w:t>are</w:t>
      </w:r>
      <w:r>
        <w:rPr>
          <w:spacing w:val="-9"/>
          <w:w w:val="110"/>
          <w:sz w:val="20"/>
        </w:rPr>
        <w:t xml:space="preserve"> </w:t>
      </w:r>
      <w:r>
        <w:rPr>
          <w:w w:val="110"/>
          <w:sz w:val="20"/>
        </w:rPr>
        <w:t>not</w:t>
      </w:r>
      <w:r>
        <w:rPr>
          <w:spacing w:val="-8"/>
          <w:w w:val="110"/>
          <w:sz w:val="20"/>
        </w:rPr>
        <w:t xml:space="preserve"> </w:t>
      </w:r>
      <w:r>
        <w:rPr>
          <w:w w:val="110"/>
          <w:sz w:val="20"/>
        </w:rPr>
        <w:t>considered</w:t>
      </w:r>
      <w:r>
        <w:rPr>
          <w:spacing w:val="7"/>
          <w:w w:val="110"/>
          <w:sz w:val="20"/>
        </w:rPr>
        <w:t xml:space="preserve"> </w:t>
      </w:r>
      <w:r>
        <w:rPr>
          <w:w w:val="110"/>
          <w:sz w:val="20"/>
        </w:rPr>
        <w:t>to</w:t>
      </w:r>
      <w:r>
        <w:rPr>
          <w:spacing w:val="-9"/>
          <w:w w:val="110"/>
          <w:sz w:val="20"/>
        </w:rPr>
        <w:t xml:space="preserve"> </w:t>
      </w:r>
      <w:r>
        <w:rPr>
          <w:w w:val="110"/>
          <w:sz w:val="20"/>
        </w:rPr>
        <w:t>be</w:t>
      </w:r>
      <w:r>
        <w:rPr>
          <w:spacing w:val="-17"/>
          <w:w w:val="110"/>
          <w:sz w:val="20"/>
        </w:rPr>
        <w:t xml:space="preserve"> </w:t>
      </w:r>
      <w:r>
        <w:rPr>
          <w:w w:val="110"/>
          <w:sz w:val="20"/>
        </w:rPr>
        <w:t>diagnostic</w:t>
      </w:r>
      <w:r>
        <w:rPr>
          <w:spacing w:val="-6"/>
          <w:w w:val="110"/>
          <w:sz w:val="20"/>
        </w:rPr>
        <w:t xml:space="preserve"> </w:t>
      </w:r>
      <w:r>
        <w:rPr>
          <w:w w:val="110"/>
          <w:sz w:val="20"/>
        </w:rPr>
        <w:t>of</w:t>
      </w:r>
      <w:r>
        <w:rPr>
          <w:spacing w:val="-5"/>
          <w:w w:val="110"/>
          <w:sz w:val="20"/>
        </w:rPr>
        <w:t xml:space="preserve"> </w:t>
      </w:r>
      <w:r>
        <w:rPr>
          <w:w w:val="110"/>
          <w:sz w:val="20"/>
        </w:rPr>
        <w:t>the</w:t>
      </w:r>
      <w:r>
        <w:rPr>
          <w:spacing w:val="-13"/>
          <w:w w:val="110"/>
          <w:sz w:val="20"/>
        </w:rPr>
        <w:t xml:space="preserve"> </w:t>
      </w:r>
      <w:r>
        <w:rPr>
          <w:w w:val="110"/>
          <w:sz w:val="20"/>
        </w:rPr>
        <w:t>disorder but</w:t>
      </w:r>
      <w:r>
        <w:rPr>
          <w:spacing w:val="-27"/>
          <w:w w:val="110"/>
          <w:sz w:val="20"/>
        </w:rPr>
        <w:t xml:space="preserve"> </w:t>
      </w:r>
      <w:r>
        <w:rPr>
          <w:w w:val="110"/>
          <w:sz w:val="20"/>
        </w:rPr>
        <w:t>that</w:t>
      </w:r>
      <w:r>
        <w:rPr>
          <w:spacing w:val="-23"/>
          <w:w w:val="110"/>
          <w:sz w:val="20"/>
        </w:rPr>
        <w:t xml:space="preserve"> </w:t>
      </w:r>
      <w:r>
        <w:rPr>
          <w:w w:val="110"/>
          <w:sz w:val="20"/>
        </w:rPr>
        <w:t>have</w:t>
      </w:r>
      <w:r>
        <w:rPr>
          <w:spacing w:val="-27"/>
          <w:w w:val="110"/>
          <w:sz w:val="20"/>
        </w:rPr>
        <w:t xml:space="preserve"> </w:t>
      </w:r>
      <w:r>
        <w:rPr>
          <w:w w:val="110"/>
          <w:sz w:val="20"/>
        </w:rPr>
        <w:t>been</w:t>
      </w:r>
      <w:r>
        <w:rPr>
          <w:spacing w:val="-23"/>
          <w:w w:val="110"/>
          <w:sz w:val="20"/>
        </w:rPr>
        <w:t xml:space="preserve"> </w:t>
      </w:r>
      <w:r>
        <w:rPr>
          <w:w w:val="110"/>
          <w:sz w:val="20"/>
        </w:rPr>
        <w:t>noted</w:t>
      </w:r>
      <w:r>
        <w:rPr>
          <w:spacing w:val="-27"/>
          <w:w w:val="110"/>
          <w:sz w:val="20"/>
        </w:rPr>
        <w:t xml:space="preserve"> </w:t>
      </w:r>
      <w:r>
        <w:rPr>
          <w:w w:val="110"/>
          <w:sz w:val="20"/>
        </w:rPr>
        <w:t>to</w:t>
      </w:r>
      <w:r>
        <w:rPr>
          <w:spacing w:val="-28"/>
          <w:w w:val="110"/>
          <w:sz w:val="20"/>
        </w:rPr>
        <w:t xml:space="preserve"> </w:t>
      </w:r>
      <w:r>
        <w:rPr>
          <w:w w:val="110"/>
          <w:sz w:val="20"/>
        </w:rPr>
        <w:t>be</w:t>
      </w:r>
      <w:r>
        <w:rPr>
          <w:spacing w:val="-26"/>
          <w:w w:val="110"/>
          <w:sz w:val="20"/>
        </w:rPr>
        <w:t xml:space="preserve"> </w:t>
      </w:r>
      <w:r>
        <w:rPr>
          <w:w w:val="110"/>
          <w:sz w:val="20"/>
        </w:rPr>
        <w:t>abnormal</w:t>
      </w:r>
      <w:r>
        <w:rPr>
          <w:spacing w:val="-23"/>
          <w:w w:val="110"/>
          <w:sz w:val="20"/>
        </w:rPr>
        <w:t xml:space="preserve"> </w:t>
      </w:r>
      <w:r>
        <w:rPr>
          <w:w w:val="110"/>
          <w:sz w:val="20"/>
        </w:rPr>
        <w:t>in</w:t>
      </w:r>
      <w:r>
        <w:rPr>
          <w:spacing w:val="-33"/>
          <w:w w:val="110"/>
          <w:sz w:val="20"/>
        </w:rPr>
        <w:t xml:space="preserve"> </w:t>
      </w:r>
      <w:r>
        <w:rPr>
          <w:w w:val="110"/>
          <w:sz w:val="20"/>
        </w:rPr>
        <w:t>groups</w:t>
      </w:r>
      <w:r>
        <w:rPr>
          <w:spacing w:val="-29"/>
          <w:w w:val="110"/>
          <w:sz w:val="20"/>
        </w:rPr>
        <w:t xml:space="preserve"> </w:t>
      </w:r>
      <w:r>
        <w:rPr>
          <w:w w:val="110"/>
          <w:sz w:val="20"/>
        </w:rPr>
        <w:t>of</w:t>
      </w:r>
      <w:r>
        <w:rPr>
          <w:spacing w:val="-24"/>
          <w:w w:val="110"/>
          <w:sz w:val="20"/>
        </w:rPr>
        <w:t xml:space="preserve"> </w:t>
      </w:r>
      <w:r>
        <w:rPr>
          <w:w w:val="110"/>
          <w:sz w:val="20"/>
        </w:rPr>
        <w:t>individuals</w:t>
      </w:r>
      <w:r>
        <w:rPr>
          <w:spacing w:val="-21"/>
          <w:w w:val="110"/>
          <w:sz w:val="20"/>
        </w:rPr>
        <w:t xml:space="preserve"> </w:t>
      </w:r>
      <w:r>
        <w:rPr>
          <w:w w:val="110"/>
          <w:sz w:val="20"/>
        </w:rPr>
        <w:t>with</w:t>
      </w:r>
      <w:r>
        <w:rPr>
          <w:spacing w:val="-27"/>
          <w:w w:val="110"/>
          <w:sz w:val="20"/>
        </w:rPr>
        <w:t xml:space="preserve"> </w:t>
      </w:r>
      <w:r>
        <w:rPr>
          <w:w w:val="110"/>
          <w:sz w:val="20"/>
        </w:rPr>
        <w:t>the</w:t>
      </w:r>
      <w:r>
        <w:rPr>
          <w:spacing w:val="-32"/>
          <w:w w:val="110"/>
          <w:sz w:val="20"/>
        </w:rPr>
        <w:t xml:space="preserve"> </w:t>
      </w:r>
      <w:r>
        <w:rPr>
          <w:w w:val="110"/>
          <w:sz w:val="20"/>
        </w:rPr>
        <w:t>disorder relative</w:t>
      </w:r>
      <w:r>
        <w:rPr>
          <w:spacing w:val="-22"/>
          <w:w w:val="110"/>
          <w:sz w:val="20"/>
        </w:rPr>
        <w:t xml:space="preserve"> </w:t>
      </w:r>
      <w:r>
        <w:rPr>
          <w:w w:val="110"/>
          <w:sz w:val="20"/>
        </w:rPr>
        <w:t>to</w:t>
      </w:r>
      <w:r>
        <w:rPr>
          <w:spacing w:val="-30"/>
          <w:w w:val="110"/>
          <w:sz w:val="20"/>
        </w:rPr>
        <w:t xml:space="preserve"> </w:t>
      </w:r>
      <w:r>
        <w:rPr>
          <w:w w:val="110"/>
          <w:sz w:val="20"/>
        </w:rPr>
        <w:t>control</w:t>
      </w:r>
      <w:r>
        <w:rPr>
          <w:spacing w:val="-24"/>
          <w:w w:val="110"/>
          <w:sz w:val="20"/>
        </w:rPr>
        <w:t xml:space="preserve"> </w:t>
      </w:r>
      <w:r>
        <w:rPr>
          <w:w w:val="110"/>
          <w:sz w:val="20"/>
        </w:rPr>
        <w:t>subjects-for</w:t>
      </w:r>
      <w:r>
        <w:rPr>
          <w:spacing w:val="-20"/>
          <w:w w:val="110"/>
          <w:sz w:val="20"/>
        </w:rPr>
        <w:t xml:space="preserve"> </w:t>
      </w:r>
      <w:r>
        <w:rPr>
          <w:w w:val="110"/>
          <w:sz w:val="20"/>
        </w:rPr>
        <w:t>example,</w:t>
      </w:r>
      <w:r>
        <w:rPr>
          <w:spacing w:val="-18"/>
          <w:w w:val="110"/>
          <w:sz w:val="20"/>
        </w:rPr>
        <w:t xml:space="preserve"> </w:t>
      </w:r>
      <w:r>
        <w:rPr>
          <w:w w:val="110"/>
          <w:sz w:val="20"/>
        </w:rPr>
        <w:t>ventricle</w:t>
      </w:r>
      <w:r>
        <w:rPr>
          <w:spacing w:val="-26"/>
          <w:w w:val="110"/>
          <w:sz w:val="20"/>
        </w:rPr>
        <w:t xml:space="preserve"> </w:t>
      </w:r>
      <w:r>
        <w:rPr>
          <w:w w:val="110"/>
          <w:sz w:val="20"/>
        </w:rPr>
        <w:t>size</w:t>
      </w:r>
      <w:r>
        <w:rPr>
          <w:spacing w:val="-27"/>
          <w:w w:val="110"/>
          <w:sz w:val="20"/>
        </w:rPr>
        <w:t xml:space="preserve"> </w:t>
      </w:r>
      <w:r>
        <w:rPr>
          <w:w w:val="110"/>
          <w:sz w:val="20"/>
        </w:rPr>
        <w:t>on</w:t>
      </w:r>
      <w:r>
        <w:rPr>
          <w:spacing w:val="-25"/>
          <w:w w:val="110"/>
          <w:sz w:val="20"/>
        </w:rPr>
        <w:t xml:space="preserve"> </w:t>
      </w:r>
      <w:r>
        <w:rPr>
          <w:w w:val="110"/>
          <w:sz w:val="20"/>
        </w:rPr>
        <w:t>computed</w:t>
      </w:r>
      <w:r>
        <w:rPr>
          <w:spacing w:val="-19"/>
          <w:w w:val="110"/>
          <w:sz w:val="20"/>
        </w:rPr>
        <w:t xml:space="preserve"> </w:t>
      </w:r>
      <w:r>
        <w:rPr>
          <w:w w:val="110"/>
          <w:sz w:val="20"/>
        </w:rPr>
        <w:t>tomography as</w:t>
      </w:r>
      <w:r>
        <w:rPr>
          <w:spacing w:val="-24"/>
          <w:w w:val="110"/>
          <w:sz w:val="20"/>
        </w:rPr>
        <w:t xml:space="preserve"> </w:t>
      </w:r>
      <w:r>
        <w:rPr>
          <w:w w:val="110"/>
          <w:sz w:val="20"/>
        </w:rPr>
        <w:t>a</w:t>
      </w:r>
      <w:r>
        <w:rPr>
          <w:spacing w:val="-16"/>
          <w:w w:val="110"/>
          <w:sz w:val="20"/>
        </w:rPr>
        <w:t xml:space="preserve"> </w:t>
      </w:r>
      <w:r>
        <w:rPr>
          <w:w w:val="110"/>
          <w:sz w:val="20"/>
        </w:rPr>
        <w:t>validator</w:t>
      </w:r>
      <w:r>
        <w:rPr>
          <w:spacing w:val="-17"/>
          <w:w w:val="110"/>
          <w:sz w:val="20"/>
        </w:rPr>
        <w:t xml:space="preserve"> </w:t>
      </w:r>
      <w:r>
        <w:rPr>
          <w:w w:val="110"/>
          <w:sz w:val="20"/>
        </w:rPr>
        <w:t>of</w:t>
      </w:r>
      <w:r>
        <w:rPr>
          <w:spacing w:val="-14"/>
          <w:w w:val="110"/>
          <w:sz w:val="20"/>
        </w:rPr>
        <w:t xml:space="preserve"> </w:t>
      </w:r>
      <w:r>
        <w:rPr>
          <w:w w:val="110"/>
          <w:sz w:val="20"/>
        </w:rPr>
        <w:t>the</w:t>
      </w:r>
      <w:r>
        <w:rPr>
          <w:spacing w:val="-21"/>
          <w:w w:val="110"/>
          <w:sz w:val="20"/>
        </w:rPr>
        <w:t xml:space="preserve"> </w:t>
      </w:r>
      <w:r>
        <w:rPr>
          <w:w w:val="110"/>
          <w:sz w:val="20"/>
        </w:rPr>
        <w:t>construct</w:t>
      </w:r>
      <w:r>
        <w:rPr>
          <w:spacing w:val="-15"/>
          <w:w w:val="110"/>
          <w:sz w:val="20"/>
        </w:rPr>
        <w:t xml:space="preserve"> </w:t>
      </w:r>
      <w:r>
        <w:rPr>
          <w:w w:val="110"/>
          <w:sz w:val="20"/>
        </w:rPr>
        <w:t>of</w:t>
      </w:r>
      <w:r>
        <w:rPr>
          <w:spacing w:val="-17"/>
          <w:w w:val="110"/>
          <w:sz w:val="20"/>
        </w:rPr>
        <w:t xml:space="preserve"> </w:t>
      </w:r>
      <w:r>
        <w:rPr>
          <w:w w:val="110"/>
          <w:sz w:val="20"/>
        </w:rPr>
        <w:t>Schizophrenia;</w:t>
      </w:r>
      <w:r>
        <w:rPr>
          <w:spacing w:val="-28"/>
          <w:w w:val="110"/>
          <w:sz w:val="20"/>
        </w:rPr>
        <w:t xml:space="preserve"> </w:t>
      </w:r>
      <w:r>
        <w:rPr>
          <w:w w:val="110"/>
          <w:sz w:val="20"/>
        </w:rPr>
        <w:t>and</w:t>
      </w:r>
      <w:r>
        <w:rPr>
          <w:spacing w:val="-17"/>
          <w:w w:val="110"/>
          <w:sz w:val="20"/>
        </w:rPr>
        <w:t xml:space="preserve"> </w:t>
      </w:r>
      <w:r>
        <w:rPr>
          <w:w w:val="110"/>
          <w:sz w:val="20"/>
        </w:rPr>
        <w:t>3)</w:t>
      </w:r>
      <w:r>
        <w:rPr>
          <w:spacing w:val="-21"/>
          <w:w w:val="110"/>
          <w:sz w:val="20"/>
        </w:rPr>
        <w:t xml:space="preserve"> </w:t>
      </w:r>
      <w:r>
        <w:rPr>
          <w:w w:val="110"/>
          <w:sz w:val="20"/>
        </w:rPr>
        <w:t>those</w:t>
      </w:r>
      <w:r>
        <w:rPr>
          <w:spacing w:val="-19"/>
          <w:w w:val="110"/>
          <w:sz w:val="20"/>
        </w:rPr>
        <w:t xml:space="preserve"> </w:t>
      </w:r>
      <w:r>
        <w:rPr>
          <w:w w:val="110"/>
          <w:sz w:val="20"/>
        </w:rPr>
        <w:t>laboratory</w:t>
      </w:r>
      <w:r>
        <w:rPr>
          <w:spacing w:val="-15"/>
          <w:w w:val="110"/>
          <w:sz w:val="20"/>
        </w:rPr>
        <w:t xml:space="preserve"> </w:t>
      </w:r>
      <w:r>
        <w:rPr>
          <w:w w:val="110"/>
          <w:sz w:val="20"/>
        </w:rPr>
        <w:t>findings that</w:t>
      </w:r>
      <w:r>
        <w:rPr>
          <w:spacing w:val="-23"/>
          <w:w w:val="110"/>
          <w:sz w:val="20"/>
        </w:rPr>
        <w:t xml:space="preserve"> </w:t>
      </w:r>
      <w:r>
        <w:rPr>
          <w:w w:val="110"/>
          <w:sz w:val="20"/>
        </w:rPr>
        <w:t>are</w:t>
      </w:r>
      <w:r>
        <w:rPr>
          <w:spacing w:val="-22"/>
          <w:w w:val="110"/>
          <w:sz w:val="20"/>
        </w:rPr>
        <w:t xml:space="preserve"> </w:t>
      </w:r>
      <w:r>
        <w:rPr>
          <w:w w:val="110"/>
          <w:sz w:val="20"/>
        </w:rPr>
        <w:t>associated</w:t>
      </w:r>
      <w:r>
        <w:rPr>
          <w:spacing w:val="-13"/>
          <w:w w:val="110"/>
          <w:sz w:val="20"/>
        </w:rPr>
        <w:t xml:space="preserve"> </w:t>
      </w:r>
      <w:r>
        <w:rPr>
          <w:w w:val="110"/>
          <w:sz w:val="20"/>
        </w:rPr>
        <w:t>with</w:t>
      </w:r>
      <w:r>
        <w:rPr>
          <w:spacing w:val="-16"/>
          <w:w w:val="110"/>
          <w:sz w:val="20"/>
        </w:rPr>
        <w:t xml:space="preserve"> </w:t>
      </w:r>
      <w:r>
        <w:rPr>
          <w:w w:val="110"/>
          <w:sz w:val="20"/>
        </w:rPr>
        <w:t>the</w:t>
      </w:r>
      <w:r>
        <w:rPr>
          <w:spacing w:val="-25"/>
          <w:w w:val="110"/>
          <w:sz w:val="20"/>
        </w:rPr>
        <w:t xml:space="preserve"> </w:t>
      </w:r>
      <w:r>
        <w:rPr>
          <w:w w:val="110"/>
          <w:sz w:val="20"/>
        </w:rPr>
        <w:t>complications</w:t>
      </w:r>
      <w:r>
        <w:rPr>
          <w:spacing w:val="-13"/>
          <w:w w:val="110"/>
          <w:sz w:val="20"/>
        </w:rPr>
        <w:t xml:space="preserve"> </w:t>
      </w:r>
      <w:r>
        <w:rPr>
          <w:w w:val="110"/>
          <w:sz w:val="20"/>
        </w:rPr>
        <w:t>of</w:t>
      </w:r>
      <w:r>
        <w:rPr>
          <w:spacing w:val="-17"/>
          <w:w w:val="110"/>
          <w:sz w:val="20"/>
        </w:rPr>
        <w:t xml:space="preserve"> </w:t>
      </w:r>
      <w:r>
        <w:rPr>
          <w:w w:val="110"/>
          <w:sz w:val="20"/>
        </w:rPr>
        <w:t>a</w:t>
      </w:r>
      <w:r>
        <w:rPr>
          <w:spacing w:val="-19"/>
          <w:w w:val="110"/>
          <w:sz w:val="20"/>
        </w:rPr>
        <w:t xml:space="preserve"> </w:t>
      </w:r>
      <w:r>
        <w:rPr>
          <w:w w:val="110"/>
          <w:sz w:val="20"/>
        </w:rPr>
        <w:t>disorder-for</w:t>
      </w:r>
      <w:r>
        <w:rPr>
          <w:spacing w:val="-12"/>
          <w:w w:val="110"/>
          <w:sz w:val="20"/>
        </w:rPr>
        <w:t xml:space="preserve"> </w:t>
      </w:r>
      <w:r>
        <w:rPr>
          <w:w w:val="110"/>
          <w:sz w:val="20"/>
        </w:rPr>
        <w:t>example,</w:t>
      </w:r>
      <w:r>
        <w:rPr>
          <w:spacing w:val="-13"/>
          <w:w w:val="110"/>
          <w:sz w:val="20"/>
        </w:rPr>
        <w:t xml:space="preserve"> </w:t>
      </w:r>
      <w:r>
        <w:rPr>
          <w:w w:val="110"/>
          <w:sz w:val="20"/>
        </w:rPr>
        <w:t>electrolyte imbalances in individuals with Anorexia</w:t>
      </w:r>
      <w:r>
        <w:rPr>
          <w:spacing w:val="50"/>
          <w:w w:val="110"/>
          <w:sz w:val="20"/>
        </w:rPr>
        <w:t xml:space="preserve"> </w:t>
      </w:r>
      <w:r>
        <w:rPr>
          <w:w w:val="110"/>
          <w:sz w:val="20"/>
        </w:rPr>
        <w:t>Nervosa.</w:t>
      </w:r>
    </w:p>
    <w:p w:rsidR="00E675F0" w:rsidRDefault="00E675F0" w:rsidP="003048D3">
      <w:pPr>
        <w:pStyle w:val="ListParagraph"/>
        <w:numPr>
          <w:ilvl w:val="1"/>
          <w:numId w:val="135"/>
        </w:numPr>
        <w:tabs>
          <w:tab w:val="left" w:pos="759"/>
        </w:tabs>
        <w:spacing w:line="254" w:lineRule="auto"/>
        <w:ind w:left="737" w:right="111" w:hanging="222"/>
        <w:jc w:val="both"/>
        <w:rPr>
          <w:sz w:val="20"/>
        </w:rPr>
      </w:pPr>
      <w:r>
        <w:rPr>
          <w:i/>
          <w:w w:val="105"/>
          <w:sz w:val="20"/>
        </w:rPr>
        <w:t xml:space="preserve">Associated physical examination findings and general medical conditions. </w:t>
      </w:r>
      <w:r>
        <w:rPr>
          <w:w w:val="105"/>
          <w:sz w:val="20"/>
        </w:rPr>
        <w:t>This section</w:t>
      </w:r>
      <w:r>
        <w:rPr>
          <w:spacing w:val="-10"/>
          <w:w w:val="105"/>
          <w:sz w:val="20"/>
        </w:rPr>
        <w:t xml:space="preserve"> </w:t>
      </w:r>
      <w:r>
        <w:rPr>
          <w:w w:val="105"/>
          <w:sz w:val="20"/>
        </w:rPr>
        <w:t>includes</w:t>
      </w:r>
      <w:r>
        <w:rPr>
          <w:spacing w:val="-11"/>
          <w:w w:val="105"/>
          <w:sz w:val="20"/>
        </w:rPr>
        <w:t xml:space="preserve"> </w:t>
      </w:r>
      <w:r>
        <w:rPr>
          <w:w w:val="105"/>
          <w:sz w:val="20"/>
        </w:rPr>
        <w:t>information</w:t>
      </w:r>
      <w:r>
        <w:rPr>
          <w:spacing w:val="-5"/>
          <w:w w:val="105"/>
          <w:sz w:val="20"/>
        </w:rPr>
        <w:t xml:space="preserve"> </w:t>
      </w:r>
      <w:r>
        <w:rPr>
          <w:w w:val="105"/>
          <w:sz w:val="20"/>
        </w:rPr>
        <w:t>about</w:t>
      </w:r>
      <w:r>
        <w:rPr>
          <w:spacing w:val="-13"/>
          <w:w w:val="105"/>
          <w:sz w:val="20"/>
        </w:rPr>
        <w:t xml:space="preserve"> </w:t>
      </w:r>
      <w:r>
        <w:rPr>
          <w:w w:val="105"/>
          <w:sz w:val="20"/>
        </w:rPr>
        <w:t>symptoms</w:t>
      </w:r>
      <w:r>
        <w:rPr>
          <w:spacing w:val="-3"/>
          <w:w w:val="105"/>
          <w:sz w:val="20"/>
        </w:rPr>
        <w:t xml:space="preserve"> </w:t>
      </w:r>
      <w:r>
        <w:rPr>
          <w:w w:val="105"/>
          <w:sz w:val="20"/>
        </w:rPr>
        <w:t>elicited</w:t>
      </w:r>
      <w:r>
        <w:rPr>
          <w:spacing w:val="-4"/>
          <w:w w:val="105"/>
          <w:sz w:val="20"/>
        </w:rPr>
        <w:t xml:space="preserve"> </w:t>
      </w:r>
      <w:r>
        <w:rPr>
          <w:w w:val="105"/>
          <w:sz w:val="20"/>
        </w:rPr>
        <w:t>by</w:t>
      </w:r>
      <w:r>
        <w:rPr>
          <w:spacing w:val="-20"/>
          <w:w w:val="105"/>
          <w:sz w:val="20"/>
        </w:rPr>
        <w:t xml:space="preserve"> </w:t>
      </w:r>
      <w:r>
        <w:rPr>
          <w:w w:val="105"/>
          <w:sz w:val="20"/>
        </w:rPr>
        <w:t>history,</w:t>
      </w:r>
      <w:r>
        <w:rPr>
          <w:spacing w:val="-6"/>
          <w:w w:val="105"/>
          <w:sz w:val="20"/>
        </w:rPr>
        <w:t xml:space="preserve"> </w:t>
      </w:r>
      <w:r>
        <w:rPr>
          <w:w w:val="105"/>
          <w:sz w:val="20"/>
        </w:rPr>
        <w:t>or</w:t>
      </w:r>
      <w:r>
        <w:rPr>
          <w:spacing w:val="-24"/>
          <w:w w:val="105"/>
          <w:sz w:val="20"/>
        </w:rPr>
        <w:t xml:space="preserve"> </w:t>
      </w:r>
      <w:r>
        <w:rPr>
          <w:w w:val="105"/>
          <w:sz w:val="20"/>
        </w:rPr>
        <w:t>findings</w:t>
      </w:r>
      <w:r>
        <w:rPr>
          <w:spacing w:val="-6"/>
          <w:w w:val="105"/>
          <w:sz w:val="20"/>
        </w:rPr>
        <w:t xml:space="preserve"> </w:t>
      </w:r>
      <w:r>
        <w:rPr>
          <w:w w:val="105"/>
          <w:sz w:val="20"/>
        </w:rPr>
        <w:t>noted during physical examination, that may be of diagnostic significance but that are not essential to the diagnosis-for example, dental erosion in Bulimia Nervosa. Also</w:t>
      </w:r>
      <w:r>
        <w:rPr>
          <w:spacing w:val="12"/>
          <w:w w:val="105"/>
          <w:sz w:val="20"/>
        </w:rPr>
        <w:t xml:space="preserve"> </w:t>
      </w:r>
      <w:r>
        <w:rPr>
          <w:w w:val="105"/>
          <w:sz w:val="20"/>
        </w:rPr>
        <w:t>included</w:t>
      </w:r>
      <w:r>
        <w:rPr>
          <w:spacing w:val="23"/>
          <w:w w:val="105"/>
          <w:sz w:val="20"/>
        </w:rPr>
        <w:t xml:space="preserve"> </w:t>
      </w:r>
      <w:r>
        <w:rPr>
          <w:w w:val="105"/>
          <w:sz w:val="20"/>
        </w:rPr>
        <w:t>are</w:t>
      </w:r>
      <w:r>
        <w:rPr>
          <w:spacing w:val="12"/>
          <w:w w:val="105"/>
          <w:sz w:val="20"/>
        </w:rPr>
        <w:t xml:space="preserve"> </w:t>
      </w:r>
      <w:r>
        <w:rPr>
          <w:w w:val="105"/>
          <w:sz w:val="20"/>
        </w:rPr>
        <w:t>those</w:t>
      </w:r>
      <w:r>
        <w:rPr>
          <w:spacing w:val="12"/>
          <w:w w:val="105"/>
          <w:sz w:val="20"/>
        </w:rPr>
        <w:t xml:space="preserve"> </w:t>
      </w:r>
      <w:r>
        <w:rPr>
          <w:w w:val="105"/>
          <w:sz w:val="20"/>
        </w:rPr>
        <w:t>disorders</w:t>
      </w:r>
      <w:r>
        <w:rPr>
          <w:spacing w:val="14"/>
          <w:w w:val="105"/>
          <w:sz w:val="20"/>
        </w:rPr>
        <w:t xml:space="preserve"> </w:t>
      </w:r>
      <w:r>
        <w:rPr>
          <w:w w:val="105"/>
          <w:sz w:val="20"/>
        </w:rPr>
        <w:t>that</w:t>
      </w:r>
      <w:r>
        <w:rPr>
          <w:spacing w:val="15"/>
          <w:w w:val="105"/>
          <w:sz w:val="20"/>
        </w:rPr>
        <w:t xml:space="preserve"> </w:t>
      </w:r>
      <w:r>
        <w:rPr>
          <w:w w:val="105"/>
          <w:sz w:val="20"/>
        </w:rPr>
        <w:t>are</w:t>
      </w:r>
      <w:r>
        <w:rPr>
          <w:spacing w:val="7"/>
          <w:w w:val="105"/>
          <w:sz w:val="20"/>
        </w:rPr>
        <w:t xml:space="preserve"> </w:t>
      </w:r>
      <w:r>
        <w:rPr>
          <w:w w:val="105"/>
          <w:sz w:val="20"/>
        </w:rPr>
        <w:t>coded</w:t>
      </w:r>
      <w:r>
        <w:rPr>
          <w:spacing w:val="14"/>
          <w:w w:val="105"/>
          <w:sz w:val="20"/>
        </w:rPr>
        <w:t xml:space="preserve"> </w:t>
      </w:r>
      <w:r>
        <w:rPr>
          <w:w w:val="105"/>
          <w:sz w:val="20"/>
        </w:rPr>
        <w:t>outside</w:t>
      </w:r>
      <w:r>
        <w:rPr>
          <w:spacing w:val="11"/>
          <w:w w:val="105"/>
          <w:sz w:val="20"/>
        </w:rPr>
        <w:t xml:space="preserve"> </w:t>
      </w:r>
      <w:r>
        <w:rPr>
          <w:w w:val="105"/>
          <w:sz w:val="20"/>
        </w:rPr>
        <w:t>the</w:t>
      </w:r>
      <w:r>
        <w:rPr>
          <w:spacing w:val="5"/>
          <w:w w:val="105"/>
          <w:sz w:val="20"/>
        </w:rPr>
        <w:t xml:space="preserve"> </w:t>
      </w:r>
      <w:r>
        <w:rPr>
          <w:w w:val="105"/>
          <w:sz w:val="20"/>
        </w:rPr>
        <w:t>"Mental</w:t>
      </w:r>
      <w:r>
        <w:rPr>
          <w:spacing w:val="18"/>
          <w:w w:val="105"/>
          <w:sz w:val="20"/>
        </w:rPr>
        <w:t xml:space="preserve"> </w:t>
      </w:r>
      <w:r>
        <w:rPr>
          <w:w w:val="105"/>
          <w:sz w:val="20"/>
        </w:rPr>
        <w:t>and</w:t>
      </w:r>
    </w:p>
    <w:p w:rsidR="00E675F0" w:rsidRDefault="00E675F0" w:rsidP="00E675F0">
      <w:pPr>
        <w:spacing w:line="254" w:lineRule="auto"/>
        <w:jc w:val="both"/>
        <w:rPr>
          <w:sz w:val="20"/>
        </w:rPr>
        <w:sectPr w:rsidR="00E675F0">
          <w:pgSz w:w="8960" w:h="14260"/>
          <w:pgMar w:top="1400" w:right="620" w:bottom="280" w:left="600" w:header="699" w:footer="0" w:gutter="0"/>
          <w:cols w:space="720"/>
        </w:sectPr>
      </w:pPr>
    </w:p>
    <w:p w:rsidR="00E675F0" w:rsidRDefault="00E675F0" w:rsidP="00E675F0">
      <w:pPr>
        <w:pStyle w:val="BodyText"/>
        <w:spacing w:before="122" w:line="252" w:lineRule="auto"/>
        <w:ind w:left="713" w:right="127" w:firstLine="4"/>
        <w:jc w:val="both"/>
      </w:pPr>
      <w:r>
        <w:rPr>
          <w:w w:val="105"/>
        </w:rPr>
        <w:lastRenderedPageBreak/>
        <w:t>Behavioural</w:t>
      </w:r>
      <w:r>
        <w:rPr>
          <w:spacing w:val="3"/>
          <w:w w:val="105"/>
        </w:rPr>
        <w:t xml:space="preserve"> </w:t>
      </w:r>
      <w:r>
        <w:rPr>
          <w:w w:val="105"/>
        </w:rPr>
        <w:t>Disorders"</w:t>
      </w:r>
      <w:r>
        <w:rPr>
          <w:spacing w:val="1"/>
          <w:w w:val="105"/>
        </w:rPr>
        <w:t xml:space="preserve"> </w:t>
      </w:r>
      <w:r>
        <w:rPr>
          <w:w w:val="105"/>
        </w:rPr>
        <w:t>chapter</w:t>
      </w:r>
      <w:r>
        <w:rPr>
          <w:spacing w:val="-8"/>
          <w:w w:val="105"/>
        </w:rPr>
        <w:t xml:space="preserve"> </w:t>
      </w:r>
      <w:r>
        <w:rPr>
          <w:w w:val="105"/>
        </w:rPr>
        <w:t>of</w:t>
      </w:r>
      <w:r>
        <w:rPr>
          <w:spacing w:val="-3"/>
          <w:w w:val="105"/>
        </w:rPr>
        <w:t xml:space="preserve"> </w:t>
      </w:r>
      <w:r>
        <w:rPr>
          <w:w w:val="105"/>
        </w:rPr>
        <w:t>ICD</w:t>
      </w:r>
      <w:r>
        <w:rPr>
          <w:spacing w:val="-5"/>
          <w:w w:val="105"/>
        </w:rPr>
        <w:t xml:space="preserve"> </w:t>
      </w:r>
      <w:r>
        <w:rPr>
          <w:w w:val="105"/>
        </w:rPr>
        <w:t>that</w:t>
      </w:r>
      <w:r>
        <w:rPr>
          <w:spacing w:val="-8"/>
          <w:w w:val="105"/>
        </w:rPr>
        <w:t xml:space="preserve"> </w:t>
      </w:r>
      <w:r>
        <w:rPr>
          <w:w w:val="105"/>
        </w:rPr>
        <w:t>are</w:t>
      </w:r>
      <w:r>
        <w:rPr>
          <w:spacing w:val="-12"/>
          <w:w w:val="105"/>
        </w:rPr>
        <w:t xml:space="preserve"> </w:t>
      </w:r>
      <w:r>
        <w:rPr>
          <w:w w:val="105"/>
        </w:rPr>
        <w:t>associated</w:t>
      </w:r>
      <w:r>
        <w:rPr>
          <w:spacing w:val="5"/>
          <w:w w:val="105"/>
        </w:rPr>
        <w:t xml:space="preserve"> </w:t>
      </w:r>
      <w:r>
        <w:rPr>
          <w:w w:val="105"/>
        </w:rPr>
        <w:t>with</w:t>
      </w:r>
      <w:r>
        <w:rPr>
          <w:spacing w:val="-4"/>
          <w:w w:val="105"/>
        </w:rPr>
        <w:t xml:space="preserve"> </w:t>
      </w:r>
      <w:r>
        <w:rPr>
          <w:w w:val="105"/>
        </w:rPr>
        <w:t>the</w:t>
      </w:r>
      <w:r>
        <w:rPr>
          <w:spacing w:val="-16"/>
          <w:w w:val="105"/>
        </w:rPr>
        <w:t xml:space="preserve"> </w:t>
      </w:r>
      <w:r>
        <w:rPr>
          <w:w w:val="105"/>
        </w:rPr>
        <w:t>disorder</w:t>
      </w:r>
      <w:r>
        <w:rPr>
          <w:spacing w:val="-2"/>
          <w:w w:val="105"/>
        </w:rPr>
        <w:t xml:space="preserve"> </w:t>
      </w:r>
      <w:r>
        <w:rPr>
          <w:w w:val="105"/>
        </w:rPr>
        <w:t>being discussed. As is done for associated mental disorders, the type of association (i.e., precedes, co-occurs with, is a consequence oD is specified if  known-for example, that cirrhosis is a consequence of Alcohol</w:t>
      </w:r>
      <w:r>
        <w:rPr>
          <w:spacing w:val="18"/>
          <w:w w:val="105"/>
        </w:rPr>
        <w:t xml:space="preserve"> </w:t>
      </w:r>
      <w:r>
        <w:rPr>
          <w:w w:val="105"/>
        </w:rPr>
        <w:t>Dependence.</w:t>
      </w:r>
    </w:p>
    <w:p w:rsidR="00E675F0" w:rsidRDefault="00E675F0" w:rsidP="00E675F0">
      <w:pPr>
        <w:pStyle w:val="BodyText"/>
        <w:spacing w:before="8"/>
        <w:rPr>
          <w:sz w:val="24"/>
        </w:rPr>
      </w:pPr>
    </w:p>
    <w:p w:rsidR="00E675F0" w:rsidRDefault="00E675F0" w:rsidP="00E675F0">
      <w:pPr>
        <w:pStyle w:val="BodyText"/>
        <w:spacing w:line="254" w:lineRule="auto"/>
        <w:ind w:left="112" w:right="124" w:hanging="4"/>
        <w:jc w:val="both"/>
      </w:pPr>
      <w:r>
        <w:rPr>
          <w:b/>
          <w:w w:val="105"/>
        </w:rPr>
        <w:t xml:space="preserve">Specific Culture, Age, and Gender Features.  </w:t>
      </w:r>
      <w:r>
        <w:rPr>
          <w:w w:val="105"/>
        </w:rPr>
        <w:t>This  section  provides  guidance  for the clinician concerning variations in the presentation of the disorder that may be attributable to the individual's cultural setting, developmental stage (e.g., infancy, childhood, adolescence, adulthood, late life), or gender. This section also includes information on differential prevalence rates related to culture, age, and gender (e.g., sex ratio).</w:t>
      </w:r>
    </w:p>
    <w:p w:rsidR="00E675F0" w:rsidRDefault="00E675F0" w:rsidP="00E675F0">
      <w:pPr>
        <w:pStyle w:val="BodyText"/>
        <w:spacing w:before="1"/>
        <w:rPr>
          <w:sz w:val="24"/>
        </w:rPr>
      </w:pPr>
    </w:p>
    <w:p w:rsidR="00E675F0" w:rsidRDefault="00E675F0" w:rsidP="00E675F0">
      <w:pPr>
        <w:pStyle w:val="BodyText"/>
        <w:spacing w:line="254" w:lineRule="auto"/>
        <w:ind w:left="112" w:right="144" w:hanging="3"/>
        <w:jc w:val="both"/>
      </w:pPr>
      <w:r>
        <w:rPr>
          <w:b/>
          <w:w w:val="105"/>
        </w:rPr>
        <w:t xml:space="preserve">Prevalence. </w:t>
      </w:r>
      <w:r>
        <w:rPr>
          <w:w w:val="105"/>
        </w:rPr>
        <w:t>This section provides available data on point and lifetime prevalence, incidence, and lifetime risk. These data are provided for different settings (e.g., community, primary care, outpatient mental health clinics, and inpatient psychiatric settings) when this information is known.</w:t>
      </w:r>
    </w:p>
    <w:p w:rsidR="00E675F0" w:rsidRDefault="00E675F0" w:rsidP="00E675F0">
      <w:pPr>
        <w:pStyle w:val="BodyText"/>
        <w:spacing w:before="10"/>
        <w:rPr>
          <w:sz w:val="23"/>
        </w:rPr>
      </w:pPr>
    </w:p>
    <w:p w:rsidR="00E675F0" w:rsidRDefault="00E675F0" w:rsidP="00E675F0">
      <w:pPr>
        <w:spacing w:line="254" w:lineRule="auto"/>
        <w:ind w:left="109" w:right="114" w:firstLine="6"/>
        <w:jc w:val="both"/>
        <w:rPr>
          <w:sz w:val="20"/>
        </w:rPr>
      </w:pPr>
      <w:r>
        <w:rPr>
          <w:b/>
          <w:w w:val="105"/>
          <w:sz w:val="20"/>
        </w:rPr>
        <w:t xml:space="preserve">Course. </w:t>
      </w:r>
      <w:r>
        <w:rPr>
          <w:w w:val="105"/>
          <w:sz w:val="20"/>
        </w:rPr>
        <w:t xml:space="preserve">This section describes the typical lifetime patterns of presentation  and evolution of the disorder. </w:t>
      </w:r>
      <w:r>
        <w:rPr>
          <w:rFonts w:ascii="Arial"/>
          <w:w w:val="105"/>
          <w:sz w:val="18"/>
        </w:rPr>
        <w:t xml:space="preserve">It </w:t>
      </w:r>
      <w:r>
        <w:rPr>
          <w:w w:val="105"/>
          <w:sz w:val="20"/>
        </w:rPr>
        <w:t xml:space="preserve">contains information on typical </w:t>
      </w:r>
      <w:r>
        <w:rPr>
          <w:i/>
          <w:w w:val="105"/>
          <w:sz w:val="20"/>
        </w:rPr>
        <w:t xml:space="preserve">age at onset </w:t>
      </w:r>
      <w:r>
        <w:rPr>
          <w:w w:val="105"/>
          <w:sz w:val="20"/>
        </w:rPr>
        <w:t xml:space="preserve">and </w:t>
      </w:r>
      <w:r>
        <w:rPr>
          <w:i/>
          <w:w w:val="105"/>
          <w:sz w:val="20"/>
        </w:rPr>
        <w:t xml:space="preserve">mode of onset(e.g., </w:t>
      </w:r>
      <w:r>
        <w:rPr>
          <w:w w:val="105"/>
          <w:sz w:val="20"/>
        </w:rPr>
        <w:t xml:space="preserve">abrupt or insidious) of the disorder; </w:t>
      </w:r>
      <w:r>
        <w:rPr>
          <w:i/>
          <w:w w:val="105"/>
          <w:sz w:val="20"/>
        </w:rPr>
        <w:t xml:space="preserve">episodic </w:t>
      </w:r>
      <w:r>
        <w:rPr>
          <w:w w:val="105"/>
          <w:sz w:val="20"/>
        </w:rPr>
        <w:t xml:space="preserve">versus </w:t>
      </w:r>
      <w:r>
        <w:rPr>
          <w:i/>
          <w:w w:val="105"/>
          <w:sz w:val="20"/>
        </w:rPr>
        <w:t xml:space="preserve">continuous course; single episode </w:t>
      </w:r>
      <w:r>
        <w:rPr>
          <w:w w:val="105"/>
          <w:sz w:val="20"/>
        </w:rPr>
        <w:t xml:space="preserve">versus </w:t>
      </w:r>
      <w:r>
        <w:rPr>
          <w:i/>
          <w:w w:val="105"/>
          <w:sz w:val="20"/>
        </w:rPr>
        <w:t xml:space="preserve">recurrent; duration, </w:t>
      </w:r>
      <w:r>
        <w:rPr>
          <w:w w:val="105"/>
          <w:sz w:val="20"/>
        </w:rPr>
        <w:t xml:space="preserve">characterizing the typical length of  the illness and its episodes; and </w:t>
      </w:r>
      <w:r>
        <w:rPr>
          <w:i/>
          <w:w w:val="105"/>
          <w:sz w:val="20"/>
        </w:rPr>
        <w:t xml:space="preserve">progression, </w:t>
      </w:r>
      <w:r>
        <w:rPr>
          <w:w w:val="105"/>
          <w:sz w:val="20"/>
        </w:rPr>
        <w:t>describing the general trend of the disorder over time (e.g., stable, worsening,</w:t>
      </w:r>
      <w:r>
        <w:rPr>
          <w:spacing w:val="-11"/>
          <w:w w:val="105"/>
          <w:sz w:val="20"/>
        </w:rPr>
        <w:t xml:space="preserve"> </w:t>
      </w:r>
      <w:r>
        <w:rPr>
          <w:w w:val="105"/>
          <w:sz w:val="20"/>
        </w:rPr>
        <w:t>improving).</w:t>
      </w:r>
    </w:p>
    <w:p w:rsidR="00E675F0" w:rsidRDefault="00E675F0" w:rsidP="00E675F0">
      <w:pPr>
        <w:pStyle w:val="BodyText"/>
        <w:spacing w:before="2"/>
        <w:rPr>
          <w:sz w:val="24"/>
        </w:rPr>
      </w:pPr>
    </w:p>
    <w:p w:rsidR="00E675F0" w:rsidRDefault="00E675F0" w:rsidP="00E675F0">
      <w:pPr>
        <w:pStyle w:val="BodyText"/>
        <w:spacing w:line="256" w:lineRule="auto"/>
        <w:ind w:left="107" w:right="133" w:firstLine="3"/>
        <w:jc w:val="both"/>
      </w:pPr>
      <w:r>
        <w:rPr>
          <w:b/>
          <w:w w:val="105"/>
        </w:rPr>
        <w:t xml:space="preserve">Familial Pattern. </w:t>
      </w:r>
      <w:r>
        <w:rPr>
          <w:w w:val="105"/>
        </w:rPr>
        <w:t xml:space="preserve">This section describes data on the frequency of the disorder among first-degree biological relatives of those with the disorder compared with the frequency in the general population. </w:t>
      </w:r>
      <w:r>
        <w:rPr>
          <w:rFonts w:ascii="Arial"/>
          <w:w w:val="105"/>
          <w:sz w:val="18"/>
        </w:rPr>
        <w:t xml:space="preserve">It </w:t>
      </w:r>
      <w:r>
        <w:rPr>
          <w:w w:val="105"/>
        </w:rPr>
        <w:t>also indicates other disorders that tend to occur more frequently in family members of those with the</w:t>
      </w:r>
      <w:r>
        <w:rPr>
          <w:spacing w:val="51"/>
          <w:w w:val="105"/>
        </w:rPr>
        <w:t xml:space="preserve"> </w:t>
      </w:r>
      <w:r>
        <w:rPr>
          <w:w w:val="105"/>
        </w:rPr>
        <w:t>disorder.</w:t>
      </w:r>
    </w:p>
    <w:p w:rsidR="00E675F0" w:rsidRDefault="00E675F0" w:rsidP="00E675F0">
      <w:pPr>
        <w:pStyle w:val="BodyText"/>
        <w:spacing w:before="10"/>
        <w:rPr>
          <w:sz w:val="23"/>
        </w:rPr>
      </w:pPr>
    </w:p>
    <w:p w:rsidR="00E675F0" w:rsidRDefault="00E675F0" w:rsidP="00E675F0">
      <w:pPr>
        <w:pStyle w:val="BodyText"/>
        <w:ind w:left="117" w:right="138" w:hanging="1"/>
        <w:jc w:val="both"/>
      </w:pPr>
      <w:r>
        <w:rPr>
          <w:b/>
          <w:w w:val="105"/>
        </w:rPr>
        <w:t xml:space="preserve">Differential Diagnosis. </w:t>
      </w:r>
      <w:r>
        <w:rPr>
          <w:w w:val="105"/>
        </w:rPr>
        <w:t>This section discusses how to differentiate this disorder from other disorders that have some similar</w:t>
      </w:r>
      <w:r>
        <w:rPr>
          <w:spacing w:val="-10"/>
          <w:w w:val="105"/>
        </w:rPr>
        <w:t xml:space="preserve"> </w:t>
      </w:r>
      <w:r>
        <w:rPr>
          <w:w w:val="105"/>
        </w:rPr>
        <w:t>presenting characteristics.</w:t>
      </w:r>
    </w:p>
    <w:p w:rsidR="00E675F0" w:rsidRDefault="00E675F0" w:rsidP="00E675F0">
      <w:pPr>
        <w:pStyle w:val="BodyText"/>
        <w:spacing w:before="2"/>
        <w:rPr>
          <w:sz w:val="24"/>
        </w:rPr>
      </w:pPr>
    </w:p>
    <w:p w:rsidR="00E675F0" w:rsidRDefault="00E675F0" w:rsidP="00E675F0">
      <w:pPr>
        <w:ind w:left="113" w:right="119"/>
        <w:jc w:val="center"/>
        <w:rPr>
          <w:b/>
          <w:sz w:val="27"/>
        </w:rPr>
      </w:pPr>
      <w:r>
        <w:rPr>
          <w:b/>
          <w:w w:val="105"/>
          <w:sz w:val="27"/>
        </w:rPr>
        <w:t>DSM-IV Organizational</w:t>
      </w:r>
      <w:r>
        <w:rPr>
          <w:b/>
          <w:spacing w:val="-47"/>
          <w:w w:val="105"/>
          <w:sz w:val="27"/>
        </w:rPr>
        <w:t xml:space="preserve"> </w:t>
      </w:r>
      <w:r>
        <w:rPr>
          <w:b/>
          <w:w w:val="105"/>
          <w:sz w:val="27"/>
        </w:rPr>
        <w:t>Plan</w:t>
      </w:r>
    </w:p>
    <w:p w:rsidR="00E675F0" w:rsidRDefault="00E675F0" w:rsidP="00E675F0">
      <w:pPr>
        <w:pStyle w:val="BodyText"/>
        <w:spacing w:before="216" w:line="252" w:lineRule="auto"/>
        <w:ind w:left="111" w:right="140" w:hanging="8"/>
        <w:jc w:val="both"/>
      </w:pPr>
      <w:r>
        <w:rPr>
          <w:w w:val="105"/>
        </w:rPr>
        <w:t>The DSM-IV disorders are grouped into 16 major diagnostic classes (e.g., Substance­ Related Disorders, Mood Disorders, Anxiety Disorders) and one additional section, "Other Conditions That May Be a Focus of Clinical Attention."</w:t>
      </w:r>
    </w:p>
    <w:p w:rsidR="00E675F0" w:rsidRDefault="00E675F0" w:rsidP="00E675F0">
      <w:pPr>
        <w:pStyle w:val="BodyText"/>
        <w:spacing w:before="6" w:line="254" w:lineRule="auto"/>
        <w:ind w:left="107" w:right="123" w:firstLine="357"/>
        <w:jc w:val="both"/>
      </w:pPr>
      <w:r>
        <w:rPr>
          <w:w w:val="105"/>
        </w:rPr>
        <w:t>The first section is devoted to "Disorders Usually First Diagnosed in Infancy, Childhood, or Adolescence." This division of the Classification according to age at presentation is for convenience only and is not absolute. Although disorders in this section are usually first evident in childhood and adolescence, some individuals diagnosed with disorders located in this section (e.g., Attention-Deficit/Hyperactivity Disorder) may not present for clinical attention until adulthood. In addition, it is not uncommon for the age at onset for many disorders placed in other sections to be during childhood or adolescence (e.g., Major Depressive Disorder, Schizophrenia, Generalized Anxiety Disorder). Clinicians who work primarily with children and adolescents should therefore be familiar with the entire manual, and those who work primarily with adults should also be familiar with this section.</w:t>
      </w:r>
    </w:p>
    <w:p w:rsidR="00E675F0" w:rsidRDefault="00E675F0" w:rsidP="00E675F0">
      <w:pPr>
        <w:spacing w:line="254" w:lineRule="auto"/>
        <w:jc w:val="both"/>
        <w:sectPr w:rsidR="00E675F0">
          <w:pgSz w:w="8960" w:h="14260"/>
          <w:pgMar w:top="1400" w:right="620" w:bottom="280" w:left="620" w:header="685" w:footer="0" w:gutter="0"/>
          <w:cols w:space="720"/>
        </w:sectPr>
      </w:pPr>
    </w:p>
    <w:p w:rsidR="00E675F0" w:rsidRDefault="00E675F0" w:rsidP="00E675F0">
      <w:pPr>
        <w:pStyle w:val="BodyText"/>
        <w:spacing w:before="124" w:line="254" w:lineRule="auto"/>
        <w:ind w:left="110" w:right="118" w:firstLine="358"/>
        <w:jc w:val="both"/>
      </w:pPr>
      <w:r>
        <w:rPr>
          <w:w w:val="105"/>
        </w:rPr>
        <w:lastRenderedPageBreak/>
        <w:t>The next three sections-"Delirium, Dementia, and Amnestic and Other Cognitive Disorders"; "Mental Disorders Due to a General Medical Condition"; and "Substance­ Related Disorders"-were grouped together in DSM-III-R under the single heading of "Organic Mental Syndromes and Disorders." The term "organic mental disorder" is no longer used in DSM-IV because it incorrectly implies that the other mental disorders in the manual do not have a biological basis. As in DSM-IIIcR, these sections are placed before the remaining disorders in the manual because of their priority in differential diagnosis (e.g., substance-related causes of depressed mood must be ruled out before making a diagnosis of Major Depressive Disorder). To facilitate differential diagnosis, complete lists of Mental Disorders Due to a General Medical Condition and Substance­ Related Disorders appear in these sections, whereas the text and criteria for these disorders are placed in the diagnostic sections with disorders with which they share phenomenology. For example, the text and criteria for Substance-Induced Mood Disorder and Mood Disorder Due to a General Medical Condition are included in the Mood Disorders</w:t>
      </w:r>
      <w:r>
        <w:rPr>
          <w:spacing w:val="23"/>
          <w:w w:val="105"/>
        </w:rPr>
        <w:t xml:space="preserve"> </w:t>
      </w:r>
      <w:r>
        <w:rPr>
          <w:w w:val="105"/>
        </w:rPr>
        <w:t>section.</w:t>
      </w:r>
    </w:p>
    <w:p w:rsidR="00E675F0" w:rsidRDefault="00E675F0" w:rsidP="00E675F0">
      <w:pPr>
        <w:pStyle w:val="BodyText"/>
        <w:spacing w:before="1" w:line="254" w:lineRule="auto"/>
        <w:ind w:left="111" w:right="112" w:firstLine="357"/>
        <w:jc w:val="both"/>
      </w:pPr>
      <w:r>
        <w:rPr>
          <w:w w:val="105"/>
        </w:rPr>
        <w:t xml:space="preserve">The organizing principle for all the remaining sections (except for Adjustment Disorders) is to group disorders based on their shared phenomenological features in order </w:t>
      </w:r>
      <w:r>
        <w:rPr>
          <w:w w:val="105"/>
          <w:sz w:val="18"/>
        </w:rPr>
        <w:t xml:space="preserve">to </w:t>
      </w:r>
      <w:r>
        <w:rPr>
          <w:w w:val="105"/>
        </w:rPr>
        <w:t>facilitate differential diagnosis. The "Adjustment Disorders" section is organized differently in that these disorders are grouped based on their common etiology (e.g., maladaptive</w:t>
      </w:r>
      <w:r>
        <w:rPr>
          <w:spacing w:val="-3"/>
          <w:w w:val="105"/>
        </w:rPr>
        <w:t xml:space="preserve"> </w:t>
      </w:r>
      <w:r>
        <w:rPr>
          <w:w w:val="105"/>
        </w:rPr>
        <w:t>reaction</w:t>
      </w:r>
      <w:r>
        <w:rPr>
          <w:spacing w:val="-5"/>
          <w:w w:val="105"/>
        </w:rPr>
        <w:t xml:space="preserve"> </w:t>
      </w:r>
      <w:r>
        <w:rPr>
          <w:w w:val="105"/>
        </w:rPr>
        <w:t>to</w:t>
      </w:r>
      <w:r>
        <w:rPr>
          <w:spacing w:val="-19"/>
          <w:w w:val="105"/>
        </w:rPr>
        <w:t xml:space="preserve"> </w:t>
      </w:r>
      <w:r>
        <w:rPr>
          <w:w w:val="105"/>
        </w:rPr>
        <w:t>a</w:t>
      </w:r>
      <w:r>
        <w:rPr>
          <w:spacing w:val="-22"/>
          <w:w w:val="105"/>
        </w:rPr>
        <w:t xml:space="preserve"> </w:t>
      </w:r>
      <w:r>
        <w:rPr>
          <w:w w:val="105"/>
        </w:rPr>
        <w:t>stressor).</w:t>
      </w:r>
      <w:r>
        <w:rPr>
          <w:spacing w:val="-10"/>
          <w:w w:val="105"/>
        </w:rPr>
        <w:t xml:space="preserve"> </w:t>
      </w:r>
      <w:r>
        <w:rPr>
          <w:w w:val="105"/>
        </w:rPr>
        <w:t>Therefore,</w:t>
      </w:r>
      <w:r>
        <w:rPr>
          <w:spacing w:val="7"/>
          <w:w w:val="105"/>
        </w:rPr>
        <w:t xml:space="preserve"> </w:t>
      </w:r>
      <w:r>
        <w:rPr>
          <w:w w:val="105"/>
        </w:rPr>
        <w:t>the</w:t>
      </w:r>
      <w:r>
        <w:rPr>
          <w:spacing w:val="-16"/>
          <w:w w:val="105"/>
        </w:rPr>
        <w:t xml:space="preserve"> </w:t>
      </w:r>
      <w:r>
        <w:rPr>
          <w:w w:val="105"/>
        </w:rPr>
        <w:t>Adjustment</w:t>
      </w:r>
      <w:r>
        <w:rPr>
          <w:spacing w:val="1"/>
          <w:w w:val="105"/>
        </w:rPr>
        <w:t xml:space="preserve"> </w:t>
      </w:r>
      <w:r>
        <w:rPr>
          <w:w w:val="105"/>
        </w:rPr>
        <w:t>Disorders</w:t>
      </w:r>
      <w:r>
        <w:rPr>
          <w:spacing w:val="-4"/>
          <w:w w:val="105"/>
        </w:rPr>
        <w:t xml:space="preserve"> </w:t>
      </w:r>
      <w:r>
        <w:rPr>
          <w:w w:val="105"/>
        </w:rPr>
        <w:t>include</w:t>
      </w:r>
      <w:r>
        <w:rPr>
          <w:spacing w:val="-9"/>
          <w:w w:val="105"/>
        </w:rPr>
        <w:t xml:space="preserve"> </w:t>
      </w:r>
      <w:r>
        <w:rPr>
          <w:w w:val="105"/>
        </w:rPr>
        <w:t>a</w:t>
      </w:r>
      <w:r>
        <w:rPr>
          <w:spacing w:val="-14"/>
          <w:w w:val="105"/>
        </w:rPr>
        <w:t xml:space="preserve"> </w:t>
      </w:r>
      <w:r>
        <w:rPr>
          <w:w w:val="105"/>
        </w:rPr>
        <w:t>variety of heterogeneous clinical presentations (e.g., Adjustment Disorder With Depressed Mood, Adjustment Disorder With Anxiety, Adjustment Disorder With Disturbance of Conduct).</w:t>
      </w:r>
    </w:p>
    <w:p w:rsidR="00E675F0" w:rsidRDefault="00E675F0" w:rsidP="00E675F0">
      <w:pPr>
        <w:pStyle w:val="BodyText"/>
        <w:spacing w:before="2" w:line="256" w:lineRule="auto"/>
        <w:ind w:left="116" w:right="120" w:firstLine="365"/>
        <w:jc w:val="both"/>
      </w:pPr>
      <w:r>
        <w:rPr>
          <w:w w:val="105"/>
        </w:rPr>
        <w:t>Finally, DSM-IV includes a section for "Other Conditions That May Be a Focus of Clinical Attention."</w:t>
      </w:r>
    </w:p>
    <w:p w:rsidR="00E675F0" w:rsidRDefault="00E675F0" w:rsidP="00E675F0">
      <w:pPr>
        <w:pStyle w:val="BodyText"/>
        <w:spacing w:line="228" w:lineRule="exact"/>
        <w:ind w:left="476"/>
        <w:jc w:val="both"/>
      </w:pPr>
      <w:r>
        <w:rPr>
          <w:w w:val="105"/>
        </w:rPr>
        <w:t>DSM-IV includes 10 appendixes:</w:t>
      </w:r>
    </w:p>
    <w:p w:rsidR="00E675F0" w:rsidRDefault="00E675F0" w:rsidP="00E675F0">
      <w:pPr>
        <w:pStyle w:val="BodyText"/>
        <w:spacing w:before="9"/>
        <w:rPr>
          <w:sz w:val="31"/>
        </w:rPr>
      </w:pPr>
    </w:p>
    <w:p w:rsidR="00E675F0" w:rsidRDefault="00E675F0" w:rsidP="00E675F0">
      <w:pPr>
        <w:pStyle w:val="BodyText"/>
        <w:spacing w:line="252" w:lineRule="auto"/>
        <w:ind w:left="111" w:right="112" w:firstLine="1"/>
        <w:jc w:val="both"/>
      </w:pPr>
      <w:r>
        <w:rPr>
          <w:b/>
          <w:w w:val="105"/>
        </w:rPr>
        <w:t xml:space="preserve">Appendix  A:  Decision Trees for  Differential  Diagnosis.  </w:t>
      </w:r>
      <w:r>
        <w:rPr>
          <w:w w:val="105"/>
        </w:rPr>
        <w:t>This appendix  contains six decision trees (for Mental Disorders Due to a General Medical Condition, Substance­ Induced Disorders, Psychotic Disorders, Mood Disorders, Anxiety Disorders, and Somatoform Disorders). Their purpose is to aid the clinician in differential diagnosis and in understanding the hierarchical structure of the DSM-IV</w:t>
      </w:r>
      <w:r>
        <w:rPr>
          <w:spacing w:val="17"/>
          <w:w w:val="105"/>
        </w:rPr>
        <w:t xml:space="preserve"> </w:t>
      </w:r>
      <w:r>
        <w:rPr>
          <w:w w:val="105"/>
        </w:rPr>
        <w:t>Classification.</w:t>
      </w:r>
    </w:p>
    <w:p w:rsidR="00E675F0" w:rsidRDefault="00E675F0" w:rsidP="00E675F0">
      <w:pPr>
        <w:pStyle w:val="BodyText"/>
        <w:spacing w:before="3"/>
        <w:rPr>
          <w:sz w:val="31"/>
        </w:rPr>
      </w:pPr>
    </w:p>
    <w:p w:rsidR="00E675F0" w:rsidRDefault="00E675F0" w:rsidP="00E675F0">
      <w:pPr>
        <w:pStyle w:val="BodyText"/>
        <w:spacing w:line="254" w:lineRule="auto"/>
        <w:ind w:left="111" w:right="106" w:firstLine="1"/>
        <w:jc w:val="both"/>
      </w:pPr>
      <w:r>
        <w:rPr>
          <w:b/>
          <w:w w:val="105"/>
        </w:rPr>
        <w:t xml:space="preserve">Appendix B:   Criteria Sets and Axes Provided for Further Study.    </w:t>
      </w:r>
      <w:r>
        <w:rPr>
          <w:w w:val="105"/>
        </w:rPr>
        <w:t>This  appen­  dix</w:t>
      </w:r>
      <w:r>
        <w:rPr>
          <w:spacing w:val="-18"/>
          <w:w w:val="105"/>
        </w:rPr>
        <w:t xml:space="preserve"> </w:t>
      </w:r>
      <w:r>
        <w:rPr>
          <w:w w:val="105"/>
        </w:rPr>
        <w:t>contains</w:t>
      </w:r>
      <w:r>
        <w:rPr>
          <w:spacing w:val="-9"/>
          <w:w w:val="105"/>
        </w:rPr>
        <w:t xml:space="preserve"> </w:t>
      </w:r>
      <w:r>
        <w:rPr>
          <w:w w:val="105"/>
        </w:rPr>
        <w:t>a</w:t>
      </w:r>
      <w:r>
        <w:rPr>
          <w:spacing w:val="-9"/>
          <w:w w:val="105"/>
        </w:rPr>
        <w:t xml:space="preserve"> </w:t>
      </w:r>
      <w:r>
        <w:rPr>
          <w:w w:val="105"/>
        </w:rPr>
        <w:t>number</w:t>
      </w:r>
      <w:r>
        <w:rPr>
          <w:spacing w:val="-12"/>
          <w:w w:val="105"/>
        </w:rPr>
        <w:t xml:space="preserve"> </w:t>
      </w:r>
      <w:r>
        <w:rPr>
          <w:w w:val="105"/>
        </w:rPr>
        <w:t>of</w:t>
      </w:r>
      <w:r>
        <w:rPr>
          <w:spacing w:val="-2"/>
          <w:w w:val="105"/>
        </w:rPr>
        <w:t xml:space="preserve"> </w:t>
      </w:r>
      <w:r>
        <w:rPr>
          <w:w w:val="105"/>
        </w:rPr>
        <w:t>proposals</w:t>
      </w:r>
      <w:r>
        <w:rPr>
          <w:spacing w:val="-11"/>
          <w:w w:val="105"/>
        </w:rPr>
        <w:t xml:space="preserve"> </w:t>
      </w:r>
      <w:r>
        <w:rPr>
          <w:w w:val="105"/>
        </w:rPr>
        <w:t>that</w:t>
      </w:r>
      <w:r>
        <w:rPr>
          <w:spacing w:val="-13"/>
          <w:w w:val="105"/>
        </w:rPr>
        <w:t xml:space="preserve"> </w:t>
      </w:r>
      <w:r>
        <w:rPr>
          <w:w w:val="105"/>
        </w:rPr>
        <w:t>were</w:t>
      </w:r>
      <w:r>
        <w:rPr>
          <w:spacing w:val="-17"/>
          <w:w w:val="105"/>
        </w:rPr>
        <w:t xml:space="preserve"> </w:t>
      </w:r>
      <w:r>
        <w:rPr>
          <w:w w:val="105"/>
        </w:rPr>
        <w:t>suggested</w:t>
      </w:r>
      <w:r>
        <w:rPr>
          <w:spacing w:val="-2"/>
          <w:w w:val="105"/>
        </w:rPr>
        <w:t xml:space="preserve"> </w:t>
      </w:r>
      <w:r>
        <w:rPr>
          <w:w w:val="105"/>
        </w:rPr>
        <w:t>for</w:t>
      </w:r>
      <w:r>
        <w:rPr>
          <w:spacing w:val="-12"/>
          <w:w w:val="105"/>
        </w:rPr>
        <w:t xml:space="preserve"> </w:t>
      </w:r>
      <w:r>
        <w:rPr>
          <w:w w:val="105"/>
        </w:rPr>
        <w:t>possible</w:t>
      </w:r>
      <w:r>
        <w:rPr>
          <w:spacing w:val="-8"/>
          <w:w w:val="105"/>
        </w:rPr>
        <w:t xml:space="preserve"> </w:t>
      </w:r>
      <w:r>
        <w:rPr>
          <w:w w:val="105"/>
        </w:rPr>
        <w:t>inclusion</w:t>
      </w:r>
      <w:r>
        <w:rPr>
          <w:spacing w:val="-13"/>
          <w:w w:val="105"/>
        </w:rPr>
        <w:t xml:space="preserve"> </w:t>
      </w:r>
      <w:r>
        <w:rPr>
          <w:w w:val="105"/>
        </w:rPr>
        <w:t>in</w:t>
      </w:r>
      <w:r>
        <w:rPr>
          <w:spacing w:val="-15"/>
          <w:w w:val="105"/>
        </w:rPr>
        <w:t xml:space="preserve"> </w:t>
      </w:r>
      <w:r>
        <w:rPr>
          <w:w w:val="105"/>
        </w:rPr>
        <w:t>DSM-IV. Brief texts and research criteria sets are provided for the following: postconcussional disorder, mild neurocognitive disorder, caffeine withdrawal, postpsychotic depressive disorder of Schizophrenia, simple deteriorative disorder, premenstrual dysphoric disor­ der, minor depressive disorder, recurrent brief depressive disorder, mixed anxiety­ depressive disorder, factitious disorder by proxy, dissociative trance disorder, binge-eating disorder, depressive personality disorder, passive-aggressive personality disorder, Neuroleptic-Induced Parkinsonism, Neuroleptic Malignant Syndrome, Neuro­ leptic-Induced Acute Dystonia, Neuroleptic-Induced Acute Akathisia, Neuroleptic­ Induced Tardive Dyskinesia, and Medication-Induced Postural Tremor. In addition, alternative dimensional descriptors for Schizophrenia and an alternative Criterion B for Dysthymic Disorder are included. Finally, three proposed axes (Defensive Functioning Scale, Global Assessment of Relational Functioning [GARF] Scale, and Social and Occupational Functioning Assessment Scale [SOFAS]) are</w:t>
      </w:r>
      <w:r>
        <w:rPr>
          <w:spacing w:val="10"/>
          <w:w w:val="105"/>
        </w:rPr>
        <w:t xml:space="preserve"> </w:t>
      </w:r>
      <w:r>
        <w:rPr>
          <w:w w:val="105"/>
        </w:rPr>
        <w:t>provided.</w:t>
      </w:r>
    </w:p>
    <w:p w:rsidR="00E675F0" w:rsidRDefault="00E675F0" w:rsidP="00E675F0">
      <w:pPr>
        <w:spacing w:line="254" w:lineRule="auto"/>
        <w:jc w:val="both"/>
        <w:sectPr w:rsidR="00E675F0">
          <w:pgSz w:w="8960" w:h="14260"/>
          <w:pgMar w:top="1400" w:right="620" w:bottom="280" w:left="620" w:header="699" w:footer="0" w:gutter="0"/>
          <w:cols w:space="720"/>
        </w:sectPr>
      </w:pPr>
    </w:p>
    <w:p w:rsidR="00E675F0" w:rsidRDefault="00E675F0" w:rsidP="00E675F0">
      <w:pPr>
        <w:spacing w:before="128" w:line="261" w:lineRule="auto"/>
        <w:ind w:left="112" w:right="124" w:hanging="7"/>
        <w:jc w:val="both"/>
        <w:rPr>
          <w:sz w:val="19"/>
        </w:rPr>
      </w:pPr>
      <w:r>
        <w:rPr>
          <w:b/>
          <w:w w:val="110"/>
          <w:sz w:val="20"/>
        </w:rPr>
        <w:lastRenderedPageBreak/>
        <w:t xml:space="preserve">Appendix C: Glossary of Technical Terms. </w:t>
      </w:r>
      <w:r>
        <w:rPr>
          <w:w w:val="110"/>
          <w:sz w:val="19"/>
        </w:rPr>
        <w:t>This appendix contains glossary def­ initions of selected terms to assist users of the manual in the application of the criteria sets.</w:t>
      </w:r>
    </w:p>
    <w:p w:rsidR="00E675F0" w:rsidRDefault="00E675F0" w:rsidP="00E675F0">
      <w:pPr>
        <w:pStyle w:val="BodyText"/>
        <w:spacing w:before="9"/>
      </w:pPr>
    </w:p>
    <w:p w:rsidR="00E675F0" w:rsidRDefault="00E675F0" w:rsidP="00E675F0">
      <w:pPr>
        <w:spacing w:line="266" w:lineRule="auto"/>
        <w:ind w:left="115" w:right="137" w:hanging="10"/>
        <w:jc w:val="both"/>
        <w:rPr>
          <w:sz w:val="19"/>
        </w:rPr>
      </w:pPr>
      <w:r>
        <w:rPr>
          <w:b/>
          <w:w w:val="110"/>
          <w:sz w:val="20"/>
        </w:rPr>
        <w:t xml:space="preserve">Appendix D: Annotated Listing of Changes in DSM-IV. </w:t>
      </w:r>
      <w:r>
        <w:rPr>
          <w:w w:val="110"/>
          <w:sz w:val="19"/>
        </w:rPr>
        <w:t>This appendix indicates the major changes from DSM-III-R that have been included in the DSM-IV terms and categories.</w:t>
      </w:r>
    </w:p>
    <w:p w:rsidR="00E675F0" w:rsidRDefault="00E675F0" w:rsidP="00E675F0">
      <w:pPr>
        <w:pStyle w:val="BodyText"/>
        <w:spacing w:before="5"/>
      </w:pPr>
    </w:p>
    <w:p w:rsidR="00E675F0" w:rsidRDefault="00E675F0" w:rsidP="00E675F0">
      <w:pPr>
        <w:spacing w:line="266" w:lineRule="auto"/>
        <w:ind w:left="115" w:right="113" w:hanging="5"/>
        <w:jc w:val="both"/>
        <w:rPr>
          <w:sz w:val="19"/>
        </w:rPr>
      </w:pPr>
      <w:r>
        <w:rPr>
          <w:b/>
          <w:w w:val="110"/>
          <w:sz w:val="20"/>
        </w:rPr>
        <w:t xml:space="preserve">Appendix E: Alphabetical Listing of DSM-IV Diagnoses and Codes. </w:t>
      </w:r>
      <w:r>
        <w:rPr>
          <w:w w:val="110"/>
          <w:sz w:val="19"/>
        </w:rPr>
        <w:t xml:space="preserve">This ap­ pendix lists the DSM-IV disorders and conditions (with their ICD-9-CM codes) in alphabetical order. </w:t>
      </w:r>
      <w:r>
        <w:rPr>
          <w:rFonts w:ascii="Arial" w:hAnsi="Arial"/>
          <w:w w:val="110"/>
          <w:sz w:val="18"/>
        </w:rPr>
        <w:t xml:space="preserve">It </w:t>
      </w:r>
      <w:r>
        <w:rPr>
          <w:w w:val="110"/>
          <w:sz w:val="19"/>
        </w:rPr>
        <w:t>has been included to facilitate the selection of diagnostic codes.</w:t>
      </w:r>
    </w:p>
    <w:p w:rsidR="00E675F0" w:rsidRDefault="00E675F0" w:rsidP="00E675F0">
      <w:pPr>
        <w:pStyle w:val="BodyText"/>
        <w:spacing w:before="11"/>
      </w:pPr>
    </w:p>
    <w:p w:rsidR="00E675F0" w:rsidRDefault="00E675F0" w:rsidP="00E675F0">
      <w:pPr>
        <w:spacing w:line="266" w:lineRule="auto"/>
        <w:ind w:left="120" w:right="130" w:hanging="5"/>
        <w:jc w:val="both"/>
        <w:rPr>
          <w:sz w:val="19"/>
        </w:rPr>
      </w:pPr>
      <w:r>
        <w:rPr>
          <w:b/>
          <w:w w:val="110"/>
          <w:sz w:val="20"/>
        </w:rPr>
        <w:t xml:space="preserve">Appendix F: Numerical Listing of DSM-IV Diagnoses and Codes. </w:t>
      </w:r>
      <w:r>
        <w:rPr>
          <w:w w:val="110"/>
          <w:sz w:val="19"/>
        </w:rPr>
        <w:t xml:space="preserve">This appen­ dix lists the DSM-IV disorders and conditions (with their ICD-9-CM codes) in numerical order by code. </w:t>
      </w:r>
      <w:r>
        <w:rPr>
          <w:rFonts w:ascii="Arial" w:hAnsi="Arial"/>
          <w:w w:val="110"/>
          <w:sz w:val="18"/>
        </w:rPr>
        <w:t xml:space="preserve">It </w:t>
      </w:r>
      <w:r>
        <w:rPr>
          <w:w w:val="110"/>
          <w:sz w:val="19"/>
        </w:rPr>
        <w:t>has been included to facilitate recording of diagnostic</w:t>
      </w:r>
      <w:r>
        <w:rPr>
          <w:spacing w:val="-14"/>
          <w:w w:val="110"/>
          <w:sz w:val="19"/>
        </w:rPr>
        <w:t xml:space="preserve"> </w:t>
      </w:r>
      <w:r>
        <w:rPr>
          <w:w w:val="110"/>
          <w:sz w:val="19"/>
        </w:rPr>
        <w:t>terms.</w:t>
      </w:r>
    </w:p>
    <w:p w:rsidR="00E675F0" w:rsidRDefault="00E675F0" w:rsidP="00E675F0">
      <w:pPr>
        <w:pStyle w:val="BodyText"/>
        <w:spacing w:before="10"/>
      </w:pPr>
    </w:p>
    <w:p w:rsidR="00E675F0" w:rsidRDefault="00E675F0" w:rsidP="00E675F0">
      <w:pPr>
        <w:spacing w:line="266" w:lineRule="auto"/>
        <w:ind w:left="114" w:right="132" w:hanging="4"/>
        <w:jc w:val="both"/>
        <w:rPr>
          <w:sz w:val="19"/>
        </w:rPr>
      </w:pPr>
      <w:r>
        <w:rPr>
          <w:b/>
          <w:w w:val="110"/>
          <w:sz w:val="20"/>
        </w:rPr>
        <w:t xml:space="preserve">Appendix G: ICD-9-CM Codes for Selected General Medical Conditions and Medication-Induced Disorders.  </w:t>
      </w:r>
      <w:r>
        <w:rPr>
          <w:w w:val="110"/>
          <w:sz w:val="19"/>
        </w:rPr>
        <w:t>This appendix contains a list of ICD-9-CM codes</w:t>
      </w:r>
      <w:r>
        <w:rPr>
          <w:spacing w:val="52"/>
          <w:w w:val="110"/>
          <w:sz w:val="19"/>
        </w:rPr>
        <w:t xml:space="preserve"> </w:t>
      </w:r>
      <w:r>
        <w:rPr>
          <w:w w:val="110"/>
          <w:sz w:val="19"/>
        </w:rPr>
        <w:t>for selected general medical conditions and has been provided to facilitate coding on Axis III. This appendix also provides ICD-9-CM E-codes for selected medications, prescribed at therapeutic dose levels, that cause Substance-Induced Disorders. The E-codes may optionally be coded on Axis I immediately following the related disorder (e.g., 292.39 Oral Contraceptive-Induced Mood Disorder, With Depressive Features; E932.2 oral</w:t>
      </w:r>
      <w:r>
        <w:rPr>
          <w:spacing w:val="17"/>
          <w:w w:val="110"/>
          <w:sz w:val="19"/>
        </w:rPr>
        <w:t xml:space="preserve"> </w:t>
      </w:r>
      <w:r>
        <w:rPr>
          <w:w w:val="110"/>
          <w:sz w:val="19"/>
        </w:rPr>
        <w:t>contraceptives).</w:t>
      </w:r>
    </w:p>
    <w:p w:rsidR="00E675F0" w:rsidRDefault="00E675F0" w:rsidP="00E675F0">
      <w:pPr>
        <w:pStyle w:val="BodyText"/>
        <w:spacing w:before="1"/>
      </w:pPr>
    </w:p>
    <w:p w:rsidR="00E675F0" w:rsidRDefault="00E675F0" w:rsidP="00E675F0">
      <w:pPr>
        <w:spacing w:line="264" w:lineRule="auto"/>
        <w:ind w:left="111" w:right="131" w:hanging="1"/>
        <w:jc w:val="both"/>
        <w:rPr>
          <w:sz w:val="19"/>
        </w:rPr>
      </w:pPr>
      <w:r>
        <w:rPr>
          <w:b/>
          <w:w w:val="105"/>
          <w:sz w:val="20"/>
        </w:rPr>
        <w:t xml:space="preserve">Appendix H: DSM-IV Classification With ICD-10 Codes.  </w:t>
      </w:r>
      <w:r>
        <w:rPr>
          <w:w w:val="105"/>
          <w:sz w:val="19"/>
        </w:rPr>
        <w:t xml:space="preserve">As of the  publication of this manual (in early 1994), the official coding system in use in the United States is the </w:t>
      </w:r>
      <w:r>
        <w:rPr>
          <w:i/>
          <w:w w:val="105"/>
          <w:sz w:val="19"/>
        </w:rPr>
        <w:t xml:space="preserve">International Classification of Diseases, </w:t>
      </w:r>
      <w:r>
        <w:rPr>
          <w:w w:val="105"/>
          <w:sz w:val="19"/>
        </w:rPr>
        <w:t>Ninth Revision, Clinical Modification</w:t>
      </w:r>
      <w:r>
        <w:rPr>
          <w:spacing w:val="49"/>
          <w:w w:val="105"/>
          <w:sz w:val="19"/>
        </w:rPr>
        <w:t xml:space="preserve"> </w:t>
      </w:r>
      <w:r>
        <w:rPr>
          <w:w w:val="105"/>
          <w:sz w:val="19"/>
        </w:rPr>
        <w:t xml:space="preserve">(ICD-9- CM). At some point within the next several years, the U.S. Department of Health  and Human Services will require for reporting purposes in the United States the use of codes from the </w:t>
      </w:r>
      <w:r>
        <w:rPr>
          <w:i/>
          <w:w w:val="105"/>
          <w:sz w:val="19"/>
        </w:rPr>
        <w:t xml:space="preserve">International Statistical Classification Qf Diseases and Related Health Problems, </w:t>
      </w:r>
      <w:r>
        <w:rPr>
          <w:w w:val="105"/>
          <w:sz w:val="19"/>
        </w:rPr>
        <w:t>Tenth Revision (ICD-10). To facilitate this transition process, this appendix contains the complete DSM-IV Classification with ICD-10 diagnostic</w:t>
      </w:r>
      <w:r>
        <w:rPr>
          <w:spacing w:val="23"/>
          <w:w w:val="105"/>
          <w:sz w:val="19"/>
        </w:rPr>
        <w:t xml:space="preserve"> </w:t>
      </w:r>
      <w:r>
        <w:rPr>
          <w:w w:val="105"/>
          <w:sz w:val="19"/>
        </w:rPr>
        <w:t>codes.</w:t>
      </w:r>
    </w:p>
    <w:p w:rsidR="00E675F0" w:rsidRDefault="00E675F0" w:rsidP="00E675F0">
      <w:pPr>
        <w:pStyle w:val="BodyText"/>
        <w:spacing w:before="7"/>
      </w:pPr>
    </w:p>
    <w:p w:rsidR="00E675F0" w:rsidRDefault="00E675F0" w:rsidP="00E675F0">
      <w:pPr>
        <w:spacing w:line="261" w:lineRule="auto"/>
        <w:ind w:left="111" w:right="131" w:hanging="1"/>
        <w:jc w:val="both"/>
        <w:rPr>
          <w:sz w:val="19"/>
        </w:rPr>
      </w:pPr>
      <w:r>
        <w:rPr>
          <w:b/>
          <w:w w:val="110"/>
          <w:sz w:val="20"/>
        </w:rPr>
        <w:t xml:space="preserve">Appendix I: Outline for Cultural Formulation and Glossary of Culture-Bound Syndromes. </w:t>
      </w:r>
      <w:r>
        <w:rPr>
          <w:w w:val="110"/>
          <w:sz w:val="19"/>
        </w:rPr>
        <w:t>This appendix is divided into two sections. The first provides an outline  for cultural formulation designed to assist the clinician in systematically evaluating and reporting the impact of the individual's cultural context. The second is a glossary of culture-bound</w:t>
      </w:r>
      <w:r>
        <w:rPr>
          <w:spacing w:val="14"/>
          <w:w w:val="110"/>
          <w:sz w:val="19"/>
        </w:rPr>
        <w:t xml:space="preserve"> </w:t>
      </w:r>
      <w:r>
        <w:rPr>
          <w:w w:val="110"/>
          <w:sz w:val="19"/>
        </w:rPr>
        <w:t>syndromes.</w:t>
      </w:r>
    </w:p>
    <w:p w:rsidR="00E675F0" w:rsidRDefault="00E675F0" w:rsidP="00E675F0">
      <w:pPr>
        <w:pStyle w:val="BodyText"/>
        <w:spacing w:before="4"/>
        <w:rPr>
          <w:sz w:val="21"/>
        </w:rPr>
      </w:pPr>
    </w:p>
    <w:p w:rsidR="00E675F0" w:rsidRDefault="00E675F0" w:rsidP="00E675F0">
      <w:pPr>
        <w:spacing w:line="264" w:lineRule="auto"/>
        <w:ind w:left="115" w:right="123" w:hanging="5"/>
        <w:jc w:val="both"/>
        <w:rPr>
          <w:sz w:val="19"/>
        </w:rPr>
      </w:pPr>
      <w:r>
        <w:rPr>
          <w:b/>
          <w:w w:val="110"/>
          <w:sz w:val="20"/>
        </w:rPr>
        <w:t xml:space="preserve">AppendixJ: DSM-IV Contributors. </w:t>
      </w:r>
      <w:r>
        <w:rPr>
          <w:w w:val="110"/>
          <w:sz w:val="19"/>
        </w:rPr>
        <w:t>This appendix lists the names of the  advisers and field-trial participants and other individuals and organizations  that contributed  to the development of</w:t>
      </w:r>
      <w:r>
        <w:rPr>
          <w:spacing w:val="7"/>
          <w:w w:val="110"/>
          <w:sz w:val="19"/>
        </w:rPr>
        <w:t xml:space="preserve"> </w:t>
      </w:r>
      <w:r>
        <w:rPr>
          <w:w w:val="110"/>
          <w:sz w:val="19"/>
        </w:rPr>
        <w:t>DSM-IV.</w:t>
      </w:r>
    </w:p>
    <w:p w:rsidR="00E675F0" w:rsidRDefault="00E675F0" w:rsidP="00E675F0">
      <w:pPr>
        <w:spacing w:line="264" w:lineRule="auto"/>
        <w:jc w:val="both"/>
        <w:rPr>
          <w:sz w:val="19"/>
        </w:rPr>
        <w:sectPr w:rsidR="00E675F0">
          <w:pgSz w:w="8960" w:h="14260"/>
          <w:pgMar w:top="1400" w:right="620" w:bottom="280" w:left="620" w:header="685" w:footer="0" w:gutter="0"/>
          <w:cols w:space="720"/>
        </w:sectPr>
      </w:pPr>
    </w:p>
    <w:p w:rsidR="00E675F0" w:rsidRDefault="00E675F0" w:rsidP="00E675F0">
      <w:pPr>
        <w:pStyle w:val="BodyText"/>
      </w:pPr>
    </w:p>
    <w:p w:rsidR="00E675F0" w:rsidRDefault="00E675F0" w:rsidP="00E675F0">
      <w:pPr>
        <w:pStyle w:val="BodyText"/>
      </w:pPr>
    </w:p>
    <w:p w:rsidR="00E675F0" w:rsidRDefault="00E675F0" w:rsidP="00E675F0">
      <w:pPr>
        <w:pStyle w:val="BodyText"/>
      </w:pPr>
    </w:p>
    <w:p w:rsidR="00E675F0" w:rsidRDefault="00E675F0" w:rsidP="00E675F0">
      <w:pPr>
        <w:pStyle w:val="BodyText"/>
      </w:pPr>
    </w:p>
    <w:p w:rsidR="00E675F0" w:rsidRDefault="00E675F0" w:rsidP="00E675F0">
      <w:pPr>
        <w:pStyle w:val="BodyText"/>
      </w:pPr>
    </w:p>
    <w:p w:rsidR="00E675F0" w:rsidRDefault="00E675F0" w:rsidP="00E675F0">
      <w:pPr>
        <w:pStyle w:val="BodyText"/>
      </w:pPr>
    </w:p>
    <w:p w:rsidR="00E675F0" w:rsidRDefault="00E675F0" w:rsidP="00E675F0">
      <w:pPr>
        <w:pStyle w:val="BodyText"/>
      </w:pPr>
    </w:p>
    <w:p w:rsidR="00E675F0" w:rsidRDefault="00E675F0" w:rsidP="00E675F0">
      <w:pPr>
        <w:pStyle w:val="BodyText"/>
      </w:pPr>
    </w:p>
    <w:p w:rsidR="00E675F0" w:rsidRDefault="00E675F0" w:rsidP="00E675F0">
      <w:pPr>
        <w:pStyle w:val="BodyText"/>
        <w:spacing w:before="4" w:after="1"/>
        <w:rPr>
          <w:sz w:val="23"/>
        </w:rPr>
      </w:pPr>
    </w:p>
    <w:p w:rsidR="00E675F0" w:rsidRDefault="00E675F0" w:rsidP="00E675F0">
      <w:pPr>
        <w:pStyle w:val="BodyText"/>
        <w:spacing w:line="220" w:lineRule="exact"/>
        <w:ind w:left="1660"/>
      </w:pPr>
      <w:r>
        <w:rPr>
          <w:noProof/>
          <w:position w:val="-3"/>
        </w:rPr>
        <w:drawing>
          <wp:inline distT="0" distB="0" distL="0" distR="0" wp14:anchorId="375557F5" wp14:editId="601C2339">
            <wp:extent cx="2008632" cy="140207"/>
            <wp:effectExtent l="0" t="0" r="0" b="0"/>
            <wp:docPr id="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pic:cNvPicPr/>
                  </pic:nvPicPr>
                  <pic:blipFill>
                    <a:blip r:embed="rId8" cstate="print"/>
                    <a:stretch>
                      <a:fillRect/>
                    </a:stretch>
                  </pic:blipFill>
                  <pic:spPr>
                    <a:xfrm>
                      <a:off x="0" y="0"/>
                      <a:ext cx="2008632" cy="140207"/>
                    </a:xfrm>
                    <a:prstGeom prst="rect">
                      <a:avLst/>
                    </a:prstGeom>
                  </pic:spPr>
                </pic:pic>
              </a:graphicData>
            </a:graphic>
          </wp:inline>
        </w:drawing>
      </w:r>
    </w:p>
    <w:p w:rsidR="00E675F0" w:rsidRDefault="00E675F0" w:rsidP="00E675F0">
      <w:pPr>
        <w:spacing w:line="220" w:lineRule="exact"/>
        <w:sectPr w:rsidR="00E675F0">
          <w:headerReference w:type="default" r:id="rId40"/>
          <w:pgSz w:w="8960" w:h="14260"/>
          <w:pgMar w:top="1320" w:right="1240" w:bottom="280" w:left="1240" w:header="0" w:footer="0" w:gutter="0"/>
          <w:cols w:space="720"/>
        </w:sectPr>
      </w:pPr>
    </w:p>
    <w:p w:rsidR="00E675F0" w:rsidRDefault="00E675F0" w:rsidP="00E675F0">
      <w:pPr>
        <w:pStyle w:val="BodyText"/>
      </w:pPr>
    </w:p>
    <w:p w:rsidR="00E675F0" w:rsidRDefault="00E675F0" w:rsidP="00E675F0">
      <w:pPr>
        <w:pStyle w:val="BodyText"/>
        <w:spacing w:before="1"/>
        <w:rPr>
          <w:sz w:val="24"/>
        </w:rPr>
      </w:pPr>
    </w:p>
    <w:bookmarkStart w:id="19" w:name="DSM-IV_Classification"/>
    <w:bookmarkStart w:id="20" w:name="_bookmark8"/>
    <w:bookmarkEnd w:id="19"/>
    <w:bookmarkEnd w:id="20"/>
    <w:p w:rsidR="00E675F0" w:rsidRDefault="00E675F0" w:rsidP="00E675F0">
      <w:pPr>
        <w:spacing w:before="76"/>
        <w:ind w:left="1175" w:right="1186"/>
        <w:jc w:val="center"/>
        <w:rPr>
          <w:b/>
          <w:sz w:val="56"/>
        </w:rPr>
      </w:pPr>
      <w:r>
        <w:fldChar w:fldCharType="begin"/>
      </w:r>
      <w:r>
        <w:instrText xml:space="preserve"> HYPERLINK \l "_bookmark0" </w:instrText>
      </w:r>
      <w:r>
        <w:fldChar w:fldCharType="separate"/>
      </w:r>
      <w:r>
        <w:rPr>
          <w:b/>
          <w:color w:val="050505"/>
          <w:sz w:val="58"/>
        </w:rPr>
        <w:t xml:space="preserve">DSM IV </w:t>
      </w:r>
      <w:r>
        <w:rPr>
          <w:b/>
          <w:color w:val="050505"/>
          <w:sz w:val="56"/>
        </w:rPr>
        <w:t>Classification</w:t>
      </w:r>
      <w:r>
        <w:rPr>
          <w:b/>
          <w:color w:val="050505"/>
          <w:sz w:val="56"/>
        </w:rPr>
        <w:fldChar w:fldCharType="end"/>
      </w:r>
    </w:p>
    <w:p w:rsidR="00E675F0" w:rsidRDefault="00E675F0" w:rsidP="00E675F0">
      <w:pPr>
        <w:pStyle w:val="BodyText"/>
        <w:rPr>
          <w:b/>
        </w:rPr>
      </w:pPr>
    </w:p>
    <w:p w:rsidR="00E675F0" w:rsidRDefault="00E675F0" w:rsidP="00E675F0">
      <w:pPr>
        <w:pStyle w:val="BodyText"/>
        <w:rPr>
          <w:b/>
        </w:rPr>
      </w:pPr>
    </w:p>
    <w:p w:rsidR="00E675F0" w:rsidRDefault="00E675F0" w:rsidP="00E675F0">
      <w:pPr>
        <w:pStyle w:val="BodyText"/>
        <w:rPr>
          <w:b/>
        </w:rPr>
      </w:pPr>
    </w:p>
    <w:p w:rsidR="00E675F0" w:rsidRDefault="00E675F0" w:rsidP="00E675F0">
      <w:pPr>
        <w:pStyle w:val="BodyText"/>
        <w:rPr>
          <w:b/>
        </w:rPr>
      </w:pPr>
    </w:p>
    <w:p w:rsidR="00E675F0" w:rsidRDefault="00E675F0" w:rsidP="00E675F0">
      <w:pPr>
        <w:pStyle w:val="BodyText"/>
        <w:rPr>
          <w:b/>
        </w:rPr>
      </w:pPr>
    </w:p>
    <w:p w:rsidR="00E675F0" w:rsidRDefault="00E675F0" w:rsidP="00E675F0">
      <w:pPr>
        <w:pStyle w:val="BodyText"/>
        <w:rPr>
          <w:b/>
        </w:rPr>
      </w:pPr>
    </w:p>
    <w:p w:rsidR="00E675F0" w:rsidRDefault="00E675F0" w:rsidP="00E675F0">
      <w:pPr>
        <w:pStyle w:val="BodyText"/>
        <w:spacing w:before="11"/>
        <w:rPr>
          <w:b/>
          <w:sz w:val="15"/>
        </w:rPr>
      </w:pPr>
    </w:p>
    <w:p w:rsidR="00E675F0" w:rsidRDefault="00E675F0" w:rsidP="00E675F0">
      <w:pPr>
        <w:rPr>
          <w:sz w:val="15"/>
        </w:rPr>
        <w:sectPr w:rsidR="00E675F0">
          <w:headerReference w:type="even" r:id="rId41"/>
          <w:pgSz w:w="8960" w:h="14260"/>
          <w:pgMar w:top="1340" w:right="520" w:bottom="280" w:left="580" w:header="0" w:footer="0" w:gutter="0"/>
          <w:cols w:space="720"/>
        </w:sectPr>
      </w:pPr>
    </w:p>
    <w:p w:rsidR="00E675F0" w:rsidRDefault="00E675F0" w:rsidP="00E675F0">
      <w:pPr>
        <w:spacing w:before="94"/>
        <w:ind w:left="179"/>
        <w:jc w:val="both"/>
        <w:rPr>
          <w:rFonts w:ascii="Arial"/>
          <w:sz w:val="19"/>
        </w:rPr>
      </w:pPr>
      <w:r>
        <w:rPr>
          <w:rFonts w:ascii="Arial"/>
          <w:color w:val="161616"/>
          <w:w w:val="105"/>
          <w:sz w:val="19"/>
        </w:rPr>
        <w:t xml:space="preserve">NOS= </w:t>
      </w:r>
      <w:r>
        <w:rPr>
          <w:rFonts w:ascii="Arial"/>
          <w:color w:val="050505"/>
          <w:w w:val="105"/>
          <w:sz w:val="19"/>
        </w:rPr>
        <w:t>Not Otherwise Specified</w:t>
      </w:r>
    </w:p>
    <w:p w:rsidR="00E675F0" w:rsidRDefault="00E675F0" w:rsidP="00E675F0">
      <w:pPr>
        <w:pStyle w:val="BodyText"/>
        <w:spacing w:before="7"/>
        <w:rPr>
          <w:rFonts w:ascii="Arial"/>
          <w:sz w:val="23"/>
        </w:rPr>
      </w:pPr>
    </w:p>
    <w:p w:rsidR="00E675F0" w:rsidRDefault="00E675F0" w:rsidP="00E675F0">
      <w:pPr>
        <w:spacing w:line="266" w:lineRule="auto"/>
        <w:ind w:left="177" w:right="38" w:firstLine="3"/>
        <w:jc w:val="both"/>
        <w:rPr>
          <w:rFonts w:ascii="Arial" w:hAnsi="Arial"/>
          <w:sz w:val="19"/>
        </w:rPr>
      </w:pPr>
      <w:r>
        <w:rPr>
          <w:rFonts w:ascii="Arial" w:hAnsi="Arial"/>
          <w:color w:val="050505"/>
          <w:sz w:val="19"/>
        </w:rPr>
        <w:t xml:space="preserve">An </w:t>
      </w:r>
      <w:r>
        <w:rPr>
          <w:rFonts w:ascii="Arial" w:hAnsi="Arial"/>
          <w:i/>
          <w:color w:val="161616"/>
          <w:sz w:val="19"/>
        </w:rPr>
        <w:t xml:space="preserve">x </w:t>
      </w:r>
      <w:r>
        <w:rPr>
          <w:rFonts w:ascii="Arial" w:hAnsi="Arial"/>
          <w:color w:val="161616"/>
          <w:sz w:val="19"/>
        </w:rPr>
        <w:t xml:space="preserve">appearing </w:t>
      </w:r>
      <w:r>
        <w:rPr>
          <w:rFonts w:ascii="Arial" w:hAnsi="Arial"/>
          <w:color w:val="050505"/>
          <w:sz w:val="19"/>
        </w:rPr>
        <w:t xml:space="preserve">in a diagnostic </w:t>
      </w:r>
      <w:r>
        <w:rPr>
          <w:rFonts w:ascii="Arial" w:hAnsi="Arial"/>
          <w:color w:val="161616"/>
          <w:sz w:val="19"/>
        </w:rPr>
        <w:t xml:space="preserve">code indi­ cates </w:t>
      </w:r>
      <w:r>
        <w:rPr>
          <w:rFonts w:ascii="Arial" w:hAnsi="Arial"/>
          <w:color w:val="050505"/>
          <w:sz w:val="19"/>
        </w:rPr>
        <w:t xml:space="preserve">that </w:t>
      </w:r>
      <w:r>
        <w:rPr>
          <w:rFonts w:ascii="Arial" w:hAnsi="Arial"/>
          <w:color w:val="161616"/>
          <w:sz w:val="19"/>
        </w:rPr>
        <w:t xml:space="preserve">a specific </w:t>
      </w:r>
      <w:r>
        <w:rPr>
          <w:rFonts w:ascii="Arial" w:hAnsi="Arial"/>
          <w:color w:val="050505"/>
          <w:sz w:val="19"/>
        </w:rPr>
        <w:t xml:space="preserve">code </w:t>
      </w:r>
      <w:r>
        <w:rPr>
          <w:rFonts w:ascii="Arial" w:hAnsi="Arial"/>
          <w:color w:val="161616"/>
          <w:sz w:val="19"/>
        </w:rPr>
        <w:t>number is re­ quired</w:t>
      </w:r>
    </w:p>
    <w:p w:rsidR="00E675F0" w:rsidRDefault="00E675F0" w:rsidP="00E675F0">
      <w:pPr>
        <w:spacing w:before="128" w:line="276" w:lineRule="auto"/>
        <w:ind w:left="358" w:right="264" w:firstLine="4"/>
        <w:rPr>
          <w:rFonts w:ascii="Arial"/>
        </w:rPr>
      </w:pPr>
      <w:r>
        <w:br w:type="column"/>
      </w:r>
      <w:r>
        <w:rPr>
          <w:rFonts w:ascii="Arial"/>
          <w:b/>
          <w:color w:val="2F2F2F"/>
          <w:w w:val="105"/>
          <w:sz w:val="21"/>
        </w:rPr>
        <w:t>D</w:t>
      </w:r>
      <w:r>
        <w:rPr>
          <w:rFonts w:ascii="Arial"/>
          <w:b/>
          <w:color w:val="4F4F4F"/>
          <w:w w:val="105"/>
          <w:sz w:val="21"/>
        </w:rPr>
        <w:t>i</w:t>
      </w:r>
      <w:r>
        <w:rPr>
          <w:rFonts w:ascii="Arial"/>
          <w:b/>
          <w:color w:val="2F2F2F"/>
          <w:w w:val="105"/>
          <w:sz w:val="21"/>
        </w:rPr>
        <w:t>sorders Usually First Diagnosed in Infancy</w:t>
      </w:r>
      <w:r>
        <w:rPr>
          <w:rFonts w:ascii="Arial"/>
          <w:b/>
          <w:color w:val="4F4F4F"/>
          <w:w w:val="105"/>
          <w:sz w:val="21"/>
        </w:rPr>
        <w:t xml:space="preserve">, </w:t>
      </w:r>
      <w:r>
        <w:rPr>
          <w:rFonts w:ascii="Arial"/>
          <w:b/>
          <w:color w:val="2F2F2F"/>
          <w:w w:val="105"/>
          <w:sz w:val="21"/>
        </w:rPr>
        <w:t>Childhood</w:t>
      </w:r>
      <w:r>
        <w:rPr>
          <w:rFonts w:ascii="Arial"/>
          <w:b/>
          <w:color w:val="4F4F4F"/>
          <w:w w:val="105"/>
          <w:sz w:val="21"/>
        </w:rPr>
        <w:t xml:space="preserve">, </w:t>
      </w:r>
      <w:r>
        <w:rPr>
          <w:rFonts w:ascii="Arial"/>
          <w:b/>
          <w:color w:val="2F2F2F"/>
          <w:w w:val="105"/>
          <w:sz w:val="21"/>
        </w:rPr>
        <w:t xml:space="preserve">or Adolescence </w:t>
      </w:r>
      <w:r>
        <w:rPr>
          <w:rFonts w:ascii="Arial"/>
          <w:color w:val="7C7C7C"/>
          <w:w w:val="105"/>
        </w:rPr>
        <w:t>&lt;rl</w:t>
      </w:r>
    </w:p>
    <w:p w:rsidR="00E675F0" w:rsidRDefault="00E675F0" w:rsidP="00E675F0">
      <w:pPr>
        <w:spacing w:before="192"/>
        <w:ind w:left="177"/>
        <w:rPr>
          <w:sz w:val="20"/>
        </w:rPr>
      </w:pPr>
      <w:r>
        <w:rPr>
          <w:b/>
          <w:color w:val="050505"/>
          <w:w w:val="105"/>
          <w:sz w:val="18"/>
        </w:rPr>
        <w:t xml:space="preserve">MENTAL RETARDATION </w:t>
      </w:r>
      <w:r>
        <w:rPr>
          <w:color w:val="161616"/>
          <w:w w:val="105"/>
          <w:sz w:val="20"/>
        </w:rPr>
        <w:t>(39)</w:t>
      </w:r>
    </w:p>
    <w:p w:rsidR="00E675F0" w:rsidRDefault="00E675F0" w:rsidP="00E675F0">
      <w:pPr>
        <w:rPr>
          <w:sz w:val="20"/>
        </w:rPr>
        <w:sectPr w:rsidR="00E675F0">
          <w:type w:val="continuous"/>
          <w:pgSz w:w="8960" w:h="14260"/>
          <w:pgMar w:top="640" w:right="520" w:bottom="0" w:left="580" w:header="720" w:footer="720" w:gutter="0"/>
          <w:cols w:num="2" w:space="720" w:equalWidth="0">
            <w:col w:w="3768" w:space="143"/>
            <w:col w:w="3949"/>
          </w:cols>
        </w:sectPr>
      </w:pPr>
    </w:p>
    <w:p w:rsidR="00E675F0" w:rsidRDefault="00E675F0" w:rsidP="00E675F0">
      <w:pPr>
        <w:spacing w:before="168" w:line="266" w:lineRule="auto"/>
        <w:ind w:left="181" w:right="38" w:firstLine="3"/>
        <w:jc w:val="both"/>
        <w:rPr>
          <w:rFonts w:ascii="Arial" w:hAnsi="Arial"/>
          <w:sz w:val="19"/>
        </w:rPr>
      </w:pPr>
      <w:r>
        <w:rPr>
          <w:rFonts w:ascii="Arial" w:hAnsi="Arial"/>
          <w:color w:val="161616"/>
          <w:w w:val="105"/>
          <w:sz w:val="19"/>
        </w:rPr>
        <w:t xml:space="preserve">An ellipsis ( </w:t>
      </w:r>
      <w:r>
        <w:rPr>
          <w:rFonts w:ascii="Arial" w:hAnsi="Arial"/>
          <w:color w:val="2F2F2F"/>
          <w:w w:val="105"/>
          <w:sz w:val="19"/>
        </w:rPr>
        <w:t xml:space="preserve">... </w:t>
      </w:r>
      <w:r>
        <w:rPr>
          <w:rFonts w:ascii="Arial" w:hAnsi="Arial"/>
          <w:color w:val="161616"/>
          <w:w w:val="105"/>
          <w:sz w:val="19"/>
        </w:rPr>
        <w:t xml:space="preserve">) is used </w:t>
      </w:r>
      <w:r>
        <w:rPr>
          <w:rFonts w:ascii="Arial" w:hAnsi="Arial"/>
          <w:color w:val="050505"/>
          <w:w w:val="105"/>
          <w:sz w:val="19"/>
        </w:rPr>
        <w:t xml:space="preserve">in the </w:t>
      </w:r>
      <w:r>
        <w:rPr>
          <w:rFonts w:ascii="Arial" w:hAnsi="Arial"/>
          <w:color w:val="161616"/>
          <w:w w:val="105"/>
          <w:sz w:val="19"/>
        </w:rPr>
        <w:t>names of certain</w:t>
      </w:r>
      <w:r>
        <w:rPr>
          <w:rFonts w:ascii="Arial" w:hAnsi="Arial"/>
          <w:color w:val="161616"/>
          <w:spacing w:val="-33"/>
          <w:w w:val="105"/>
          <w:sz w:val="19"/>
        </w:rPr>
        <w:t xml:space="preserve"> </w:t>
      </w:r>
      <w:r>
        <w:rPr>
          <w:rFonts w:ascii="Arial" w:hAnsi="Arial"/>
          <w:color w:val="050505"/>
          <w:w w:val="105"/>
          <w:sz w:val="19"/>
        </w:rPr>
        <w:t>disorders</w:t>
      </w:r>
      <w:r>
        <w:rPr>
          <w:rFonts w:ascii="Arial" w:hAnsi="Arial"/>
          <w:color w:val="050505"/>
          <w:spacing w:val="-29"/>
          <w:w w:val="105"/>
          <w:sz w:val="19"/>
        </w:rPr>
        <w:t xml:space="preserve"> </w:t>
      </w:r>
      <w:r>
        <w:rPr>
          <w:rFonts w:ascii="Arial" w:hAnsi="Arial"/>
          <w:color w:val="050505"/>
          <w:w w:val="105"/>
          <w:sz w:val="19"/>
        </w:rPr>
        <w:t>to</w:t>
      </w:r>
      <w:r>
        <w:rPr>
          <w:rFonts w:ascii="Arial" w:hAnsi="Arial"/>
          <w:color w:val="050505"/>
          <w:spacing w:val="-27"/>
          <w:w w:val="105"/>
          <w:sz w:val="19"/>
        </w:rPr>
        <w:t xml:space="preserve"> </w:t>
      </w:r>
      <w:r>
        <w:rPr>
          <w:rFonts w:ascii="Arial" w:hAnsi="Arial"/>
          <w:color w:val="050505"/>
          <w:w w:val="105"/>
          <w:sz w:val="19"/>
        </w:rPr>
        <w:t>indicate</w:t>
      </w:r>
      <w:r>
        <w:rPr>
          <w:rFonts w:ascii="Arial" w:hAnsi="Arial"/>
          <w:color w:val="050505"/>
          <w:spacing w:val="-30"/>
          <w:w w:val="105"/>
          <w:sz w:val="19"/>
        </w:rPr>
        <w:t xml:space="preserve"> </w:t>
      </w:r>
      <w:r>
        <w:rPr>
          <w:rFonts w:ascii="Arial" w:hAnsi="Arial"/>
          <w:color w:val="161616"/>
          <w:w w:val="105"/>
          <w:sz w:val="19"/>
        </w:rPr>
        <w:t>that</w:t>
      </w:r>
      <w:r>
        <w:rPr>
          <w:rFonts w:ascii="Arial" w:hAnsi="Arial"/>
          <w:color w:val="161616"/>
          <w:spacing w:val="-32"/>
          <w:w w:val="105"/>
          <w:sz w:val="19"/>
        </w:rPr>
        <w:t xml:space="preserve"> </w:t>
      </w:r>
      <w:r>
        <w:rPr>
          <w:rFonts w:ascii="Arial" w:hAnsi="Arial"/>
          <w:color w:val="161616"/>
          <w:w w:val="105"/>
          <w:sz w:val="19"/>
        </w:rPr>
        <w:t>the</w:t>
      </w:r>
      <w:r>
        <w:rPr>
          <w:rFonts w:ascii="Arial" w:hAnsi="Arial"/>
          <w:color w:val="161616"/>
          <w:spacing w:val="-35"/>
          <w:w w:val="105"/>
          <w:sz w:val="19"/>
        </w:rPr>
        <w:t xml:space="preserve"> </w:t>
      </w:r>
      <w:r>
        <w:rPr>
          <w:rFonts w:ascii="Arial" w:hAnsi="Arial"/>
          <w:color w:val="050505"/>
          <w:w w:val="105"/>
          <w:sz w:val="19"/>
        </w:rPr>
        <w:t xml:space="preserve">name </w:t>
      </w:r>
      <w:r>
        <w:rPr>
          <w:rFonts w:ascii="Arial" w:hAnsi="Arial"/>
          <w:color w:val="161616"/>
          <w:w w:val="105"/>
          <w:sz w:val="19"/>
        </w:rPr>
        <w:t xml:space="preserve">of a specific </w:t>
      </w:r>
      <w:r>
        <w:rPr>
          <w:rFonts w:ascii="Arial" w:hAnsi="Arial"/>
          <w:color w:val="050505"/>
          <w:w w:val="105"/>
          <w:sz w:val="19"/>
        </w:rPr>
        <w:t xml:space="preserve">mental </w:t>
      </w:r>
      <w:r>
        <w:rPr>
          <w:rFonts w:ascii="Arial" w:hAnsi="Arial"/>
          <w:color w:val="161616"/>
          <w:w w:val="105"/>
          <w:sz w:val="19"/>
        </w:rPr>
        <w:t>disorder or general medical condition should be inserted when</w:t>
      </w:r>
      <w:r>
        <w:rPr>
          <w:rFonts w:ascii="Arial" w:hAnsi="Arial"/>
          <w:color w:val="161616"/>
          <w:spacing w:val="-20"/>
          <w:w w:val="105"/>
          <w:sz w:val="19"/>
        </w:rPr>
        <w:t xml:space="preserve"> </w:t>
      </w:r>
      <w:r>
        <w:rPr>
          <w:rFonts w:ascii="Arial" w:hAnsi="Arial"/>
          <w:color w:val="050505"/>
          <w:w w:val="105"/>
          <w:sz w:val="19"/>
        </w:rPr>
        <w:t>recording</w:t>
      </w:r>
      <w:r>
        <w:rPr>
          <w:rFonts w:ascii="Arial" w:hAnsi="Arial"/>
          <w:color w:val="050505"/>
          <w:spacing w:val="-24"/>
          <w:w w:val="105"/>
          <w:sz w:val="19"/>
        </w:rPr>
        <w:t xml:space="preserve"> </w:t>
      </w:r>
      <w:r>
        <w:rPr>
          <w:rFonts w:ascii="Arial" w:hAnsi="Arial"/>
          <w:color w:val="161616"/>
          <w:w w:val="105"/>
          <w:sz w:val="19"/>
        </w:rPr>
        <w:t>the</w:t>
      </w:r>
      <w:r>
        <w:rPr>
          <w:rFonts w:ascii="Arial" w:hAnsi="Arial"/>
          <w:color w:val="161616"/>
          <w:spacing w:val="-27"/>
          <w:w w:val="105"/>
          <w:sz w:val="19"/>
        </w:rPr>
        <w:t xml:space="preserve"> </w:t>
      </w:r>
      <w:r>
        <w:rPr>
          <w:rFonts w:ascii="Arial" w:hAnsi="Arial"/>
          <w:color w:val="050505"/>
          <w:w w:val="105"/>
          <w:sz w:val="19"/>
        </w:rPr>
        <w:t>name</w:t>
      </w:r>
      <w:r>
        <w:rPr>
          <w:rFonts w:ascii="Arial" w:hAnsi="Arial"/>
          <w:color w:val="050505"/>
          <w:spacing w:val="-21"/>
          <w:w w:val="105"/>
          <w:sz w:val="19"/>
        </w:rPr>
        <w:t xml:space="preserve"> </w:t>
      </w:r>
      <w:r>
        <w:rPr>
          <w:rFonts w:ascii="Arial" w:hAnsi="Arial"/>
          <w:color w:val="161616"/>
          <w:w w:val="105"/>
          <w:sz w:val="19"/>
        </w:rPr>
        <w:t>(e.g.,</w:t>
      </w:r>
      <w:r>
        <w:rPr>
          <w:rFonts w:ascii="Arial" w:hAnsi="Arial"/>
          <w:color w:val="161616"/>
          <w:spacing w:val="-18"/>
          <w:w w:val="105"/>
          <w:sz w:val="19"/>
        </w:rPr>
        <w:t xml:space="preserve"> </w:t>
      </w:r>
      <w:r>
        <w:rPr>
          <w:color w:val="161616"/>
          <w:w w:val="105"/>
          <w:sz w:val="20"/>
        </w:rPr>
        <w:t>293.0</w:t>
      </w:r>
      <w:r>
        <w:rPr>
          <w:color w:val="161616"/>
          <w:spacing w:val="-19"/>
          <w:w w:val="105"/>
          <w:sz w:val="20"/>
        </w:rPr>
        <w:t xml:space="preserve"> </w:t>
      </w:r>
      <w:r>
        <w:rPr>
          <w:rFonts w:ascii="Arial" w:hAnsi="Arial"/>
          <w:color w:val="161616"/>
          <w:w w:val="105"/>
          <w:sz w:val="19"/>
        </w:rPr>
        <w:t>De­ lirium Due to</w:t>
      </w:r>
      <w:r>
        <w:rPr>
          <w:rFonts w:ascii="Arial" w:hAnsi="Arial"/>
          <w:color w:val="161616"/>
          <w:spacing w:val="-12"/>
          <w:w w:val="105"/>
          <w:sz w:val="19"/>
        </w:rPr>
        <w:t xml:space="preserve"> </w:t>
      </w:r>
      <w:r>
        <w:rPr>
          <w:rFonts w:ascii="Arial" w:hAnsi="Arial"/>
          <w:color w:val="050505"/>
          <w:w w:val="105"/>
          <w:sz w:val="19"/>
        </w:rPr>
        <w:t>Hypothyroidism)</w:t>
      </w:r>
    </w:p>
    <w:p w:rsidR="00E675F0" w:rsidRDefault="00E675F0" w:rsidP="00E675F0">
      <w:pPr>
        <w:spacing w:before="34"/>
        <w:ind w:left="181"/>
        <w:rPr>
          <w:rFonts w:ascii="TimesNewRomanPS-BoldItalicMT"/>
          <w:b/>
          <w:i/>
          <w:sz w:val="18"/>
        </w:rPr>
      </w:pPr>
      <w:r>
        <w:br w:type="column"/>
      </w:r>
      <w:r>
        <w:rPr>
          <w:rFonts w:ascii="TimesNewRomanPS-BoldItalicMT"/>
          <w:b/>
          <w:i/>
          <w:color w:val="050505"/>
          <w:spacing w:val="-1"/>
          <w:w w:val="120"/>
          <w:sz w:val="18"/>
        </w:rPr>
        <w:t>Note:</w:t>
      </w:r>
    </w:p>
    <w:p w:rsidR="00E675F0" w:rsidRDefault="00E675F0" w:rsidP="00E675F0">
      <w:pPr>
        <w:pStyle w:val="BodyText"/>
        <w:spacing w:before="25"/>
        <w:ind w:left="192"/>
      </w:pPr>
      <w:r>
        <w:rPr>
          <w:color w:val="161616"/>
        </w:rPr>
        <w:t>317</w:t>
      </w:r>
    </w:p>
    <w:p w:rsidR="00E675F0" w:rsidRDefault="00E675F0" w:rsidP="00E675F0">
      <w:pPr>
        <w:pStyle w:val="BodyText"/>
        <w:spacing w:before="15"/>
        <w:ind w:left="192"/>
      </w:pPr>
      <w:r>
        <w:rPr>
          <w:color w:val="161616"/>
        </w:rPr>
        <w:t>318.0</w:t>
      </w:r>
    </w:p>
    <w:p w:rsidR="00E675F0" w:rsidRDefault="00E675F0" w:rsidP="00E675F0">
      <w:pPr>
        <w:pStyle w:val="BodyText"/>
        <w:spacing w:before="15"/>
        <w:ind w:left="187"/>
      </w:pPr>
      <w:r>
        <w:rPr>
          <w:color w:val="161616"/>
        </w:rPr>
        <w:t>318.1</w:t>
      </w:r>
    </w:p>
    <w:p w:rsidR="00E675F0" w:rsidRDefault="00E675F0" w:rsidP="00E675F0">
      <w:pPr>
        <w:pStyle w:val="BodyText"/>
        <w:spacing w:before="15"/>
        <w:ind w:left="187"/>
      </w:pPr>
      <w:r>
        <w:rPr>
          <w:color w:val="161616"/>
        </w:rPr>
        <w:t>318.2</w:t>
      </w:r>
    </w:p>
    <w:p w:rsidR="00E675F0" w:rsidRDefault="00E675F0" w:rsidP="00E675F0">
      <w:pPr>
        <w:pStyle w:val="BodyText"/>
        <w:spacing w:before="25"/>
        <w:ind w:left="187"/>
      </w:pPr>
      <w:r>
        <w:rPr>
          <w:color w:val="161616"/>
        </w:rPr>
        <w:t>319</w:t>
      </w:r>
    </w:p>
    <w:p w:rsidR="00E675F0" w:rsidRDefault="00E675F0" w:rsidP="00E675F0">
      <w:pPr>
        <w:spacing w:before="16"/>
        <w:ind w:left="129"/>
        <w:rPr>
          <w:i/>
          <w:sz w:val="20"/>
        </w:rPr>
      </w:pPr>
      <w:r>
        <w:br w:type="column"/>
      </w:r>
      <w:r>
        <w:rPr>
          <w:i/>
          <w:color w:val="161616"/>
          <w:sz w:val="20"/>
        </w:rPr>
        <w:t xml:space="preserve">These are </w:t>
      </w:r>
      <w:r>
        <w:rPr>
          <w:i/>
          <w:color w:val="2F2F2F"/>
          <w:sz w:val="20"/>
        </w:rPr>
        <w:t xml:space="preserve">coded on </w:t>
      </w:r>
      <w:r>
        <w:rPr>
          <w:i/>
          <w:color w:val="161616"/>
          <w:sz w:val="20"/>
        </w:rPr>
        <w:t xml:space="preserve">Axis </w:t>
      </w:r>
      <w:r>
        <w:rPr>
          <w:i/>
          <w:color w:val="050505"/>
          <w:sz w:val="20"/>
        </w:rPr>
        <w:t>II</w:t>
      </w:r>
    </w:p>
    <w:p w:rsidR="00E675F0" w:rsidRDefault="00E675F0" w:rsidP="00E675F0">
      <w:pPr>
        <w:pStyle w:val="BodyText"/>
        <w:spacing w:before="15" w:line="256" w:lineRule="auto"/>
        <w:ind w:left="193" w:right="149" w:firstLine="4"/>
      </w:pPr>
      <w:r>
        <w:rPr>
          <w:color w:val="161616"/>
          <w:w w:val="105"/>
        </w:rPr>
        <w:t xml:space="preserve">Mild Mental Retardation (41) Moderate Mental Retardation </w:t>
      </w:r>
      <w:r>
        <w:rPr>
          <w:color w:val="2F2F2F"/>
          <w:w w:val="105"/>
        </w:rPr>
        <w:t xml:space="preserve">(41) </w:t>
      </w:r>
      <w:r>
        <w:rPr>
          <w:color w:val="161616"/>
          <w:w w:val="105"/>
        </w:rPr>
        <w:t xml:space="preserve">Severe Mental </w:t>
      </w:r>
      <w:r>
        <w:rPr>
          <w:color w:val="050505"/>
          <w:w w:val="105"/>
        </w:rPr>
        <w:t xml:space="preserve">Retardation </w:t>
      </w:r>
      <w:r>
        <w:rPr>
          <w:color w:val="161616"/>
          <w:w w:val="105"/>
        </w:rPr>
        <w:t xml:space="preserve">(41) Profound Mental </w:t>
      </w:r>
      <w:r>
        <w:rPr>
          <w:color w:val="050505"/>
          <w:w w:val="105"/>
        </w:rPr>
        <w:t xml:space="preserve">Retardation </w:t>
      </w:r>
      <w:r>
        <w:rPr>
          <w:color w:val="161616"/>
          <w:w w:val="105"/>
        </w:rPr>
        <w:t>(41) Mental Retardation, Severity Unspecified (42)</w:t>
      </w:r>
    </w:p>
    <w:p w:rsidR="00E675F0" w:rsidRDefault="00E675F0" w:rsidP="00E675F0">
      <w:pPr>
        <w:spacing w:line="256" w:lineRule="auto"/>
        <w:sectPr w:rsidR="00E675F0">
          <w:type w:val="continuous"/>
          <w:pgSz w:w="8960" w:h="14260"/>
          <w:pgMar w:top="640" w:right="520" w:bottom="0" w:left="580" w:header="720" w:footer="720" w:gutter="0"/>
          <w:cols w:num="3" w:space="720" w:equalWidth="0">
            <w:col w:w="3771" w:space="130"/>
            <w:col w:w="671" w:space="39"/>
            <w:col w:w="3249"/>
          </w:cols>
        </w:sectPr>
      </w:pPr>
    </w:p>
    <w:p w:rsidR="00E675F0" w:rsidRDefault="00E675F0" w:rsidP="00E675F0">
      <w:pPr>
        <w:spacing w:before="147" w:line="264" w:lineRule="auto"/>
        <w:ind w:left="181" w:hanging="2"/>
        <w:rPr>
          <w:rFonts w:ascii="Arial"/>
          <w:sz w:val="19"/>
        </w:rPr>
      </w:pPr>
      <w:r>
        <w:rPr>
          <w:rFonts w:ascii="Arial"/>
          <w:color w:val="161616"/>
          <w:sz w:val="19"/>
        </w:rPr>
        <w:t xml:space="preserve">Numbers in </w:t>
      </w:r>
      <w:r>
        <w:rPr>
          <w:rFonts w:ascii="Arial"/>
          <w:color w:val="050505"/>
          <w:sz w:val="19"/>
        </w:rPr>
        <w:t xml:space="preserve">parentheses </w:t>
      </w:r>
      <w:r>
        <w:rPr>
          <w:rFonts w:ascii="Arial"/>
          <w:color w:val="161616"/>
          <w:sz w:val="19"/>
        </w:rPr>
        <w:t>are page numbers.</w:t>
      </w:r>
    </w:p>
    <w:p w:rsidR="00E675F0" w:rsidRDefault="00E675F0" w:rsidP="00E675F0">
      <w:pPr>
        <w:pStyle w:val="BodyText"/>
        <w:spacing w:before="8"/>
        <w:rPr>
          <w:rFonts w:ascii="Arial"/>
          <w:sz w:val="21"/>
        </w:rPr>
      </w:pPr>
    </w:p>
    <w:p w:rsidR="00E675F0" w:rsidRDefault="00E675F0" w:rsidP="00E675F0">
      <w:pPr>
        <w:spacing w:line="264" w:lineRule="auto"/>
        <w:ind w:left="177" w:right="38" w:hanging="2"/>
        <w:jc w:val="both"/>
        <w:rPr>
          <w:rFonts w:ascii="Arial"/>
          <w:sz w:val="19"/>
        </w:rPr>
      </w:pPr>
      <w:r>
        <w:rPr>
          <w:rFonts w:ascii="Arial"/>
          <w:color w:val="050505"/>
          <w:sz w:val="19"/>
        </w:rPr>
        <w:t xml:space="preserve">If </w:t>
      </w:r>
      <w:r>
        <w:rPr>
          <w:rFonts w:ascii="Arial"/>
          <w:color w:val="161616"/>
          <w:sz w:val="19"/>
        </w:rPr>
        <w:t xml:space="preserve">criteria are currently </w:t>
      </w:r>
      <w:r>
        <w:rPr>
          <w:rFonts w:ascii="Arial"/>
          <w:color w:val="050505"/>
          <w:sz w:val="19"/>
        </w:rPr>
        <w:t xml:space="preserve">met, </w:t>
      </w:r>
      <w:r>
        <w:rPr>
          <w:rFonts w:ascii="Arial"/>
          <w:color w:val="161616"/>
          <w:sz w:val="19"/>
        </w:rPr>
        <w:t xml:space="preserve">one of the following severity specifiers may be </w:t>
      </w:r>
      <w:r>
        <w:rPr>
          <w:rFonts w:ascii="Arial"/>
          <w:color w:val="050505"/>
          <w:sz w:val="19"/>
        </w:rPr>
        <w:t xml:space="preserve">noted </w:t>
      </w:r>
      <w:r>
        <w:rPr>
          <w:rFonts w:ascii="Arial"/>
          <w:color w:val="161616"/>
          <w:sz w:val="19"/>
        </w:rPr>
        <w:t>after the diagnosis:</w:t>
      </w:r>
    </w:p>
    <w:p w:rsidR="00E675F0" w:rsidRDefault="00E675F0" w:rsidP="00E675F0">
      <w:pPr>
        <w:spacing w:before="63" w:line="266" w:lineRule="auto"/>
        <w:ind w:left="492" w:right="2454" w:firstLine="4"/>
        <w:rPr>
          <w:rFonts w:ascii="Arial"/>
          <w:sz w:val="19"/>
        </w:rPr>
      </w:pPr>
      <w:r>
        <w:rPr>
          <w:rFonts w:ascii="Arial"/>
          <w:color w:val="161616"/>
          <w:sz w:val="19"/>
        </w:rPr>
        <w:t xml:space="preserve">Mild Moderate </w:t>
      </w:r>
      <w:r>
        <w:rPr>
          <w:rFonts w:ascii="Arial"/>
          <w:color w:val="050505"/>
          <w:sz w:val="19"/>
        </w:rPr>
        <w:t>Severe</w:t>
      </w:r>
    </w:p>
    <w:p w:rsidR="00E675F0" w:rsidRDefault="00E675F0" w:rsidP="00E675F0">
      <w:pPr>
        <w:spacing w:before="153"/>
        <w:ind w:left="180"/>
        <w:rPr>
          <w:sz w:val="20"/>
        </w:rPr>
      </w:pPr>
      <w:r>
        <w:br w:type="column"/>
      </w:r>
      <w:r>
        <w:rPr>
          <w:b/>
          <w:color w:val="050505"/>
          <w:w w:val="105"/>
          <w:sz w:val="18"/>
        </w:rPr>
        <w:t>LEARNING DISORDERS</w:t>
      </w:r>
      <w:r>
        <w:rPr>
          <w:b/>
          <w:color w:val="050505"/>
          <w:spacing w:val="-20"/>
          <w:w w:val="105"/>
          <w:sz w:val="18"/>
        </w:rPr>
        <w:t xml:space="preserve"> </w:t>
      </w:r>
      <w:r>
        <w:rPr>
          <w:color w:val="161616"/>
          <w:spacing w:val="3"/>
          <w:w w:val="105"/>
          <w:sz w:val="18"/>
        </w:rPr>
        <w:t>(</w:t>
      </w:r>
      <w:r>
        <w:rPr>
          <w:color w:val="161616"/>
          <w:spacing w:val="3"/>
          <w:w w:val="105"/>
          <w:sz w:val="20"/>
        </w:rPr>
        <w:t>46)</w:t>
      </w:r>
    </w:p>
    <w:p w:rsidR="00E675F0" w:rsidRDefault="00E675F0" w:rsidP="00E675F0">
      <w:pPr>
        <w:pStyle w:val="BodyText"/>
        <w:spacing w:before="15"/>
        <w:ind w:left="185"/>
      </w:pPr>
      <w:r>
        <w:rPr>
          <w:color w:val="161616"/>
        </w:rPr>
        <w:t xml:space="preserve">315.00    </w:t>
      </w:r>
      <w:r>
        <w:rPr>
          <w:color w:val="050505"/>
        </w:rPr>
        <w:t>Rea din</w:t>
      </w:r>
      <w:r>
        <w:rPr>
          <w:color w:val="2F2F2F"/>
        </w:rPr>
        <w:t xml:space="preserve">g </w:t>
      </w:r>
      <w:r>
        <w:rPr>
          <w:color w:val="161616"/>
        </w:rPr>
        <w:t>Disorder</w:t>
      </w:r>
      <w:r>
        <w:rPr>
          <w:color w:val="161616"/>
          <w:spacing w:val="5"/>
        </w:rPr>
        <w:t xml:space="preserve"> </w:t>
      </w:r>
      <w:r>
        <w:rPr>
          <w:color w:val="161616"/>
        </w:rPr>
        <w:t>(48)</w:t>
      </w:r>
    </w:p>
    <w:p w:rsidR="00E675F0" w:rsidRDefault="00E675F0" w:rsidP="003048D3">
      <w:pPr>
        <w:pStyle w:val="ListParagraph"/>
        <w:numPr>
          <w:ilvl w:val="1"/>
          <w:numId w:val="134"/>
        </w:numPr>
        <w:tabs>
          <w:tab w:val="left" w:pos="897"/>
          <w:tab w:val="left" w:pos="898"/>
        </w:tabs>
        <w:spacing w:before="10"/>
        <w:ind w:hanging="718"/>
        <w:rPr>
          <w:sz w:val="20"/>
        </w:rPr>
      </w:pPr>
      <w:r>
        <w:rPr>
          <w:color w:val="161616"/>
          <w:w w:val="105"/>
          <w:sz w:val="20"/>
        </w:rPr>
        <w:t>Mathematics Disorder</w:t>
      </w:r>
      <w:r>
        <w:rPr>
          <w:color w:val="161616"/>
          <w:spacing w:val="24"/>
          <w:w w:val="105"/>
          <w:sz w:val="20"/>
        </w:rPr>
        <w:t xml:space="preserve"> </w:t>
      </w:r>
      <w:r>
        <w:rPr>
          <w:color w:val="161616"/>
          <w:w w:val="105"/>
          <w:sz w:val="20"/>
        </w:rPr>
        <w:t>(50)</w:t>
      </w:r>
    </w:p>
    <w:p w:rsidR="00E675F0" w:rsidRDefault="00E675F0" w:rsidP="003048D3">
      <w:pPr>
        <w:pStyle w:val="ListParagraph"/>
        <w:numPr>
          <w:ilvl w:val="1"/>
          <w:numId w:val="134"/>
        </w:numPr>
        <w:tabs>
          <w:tab w:val="left" w:pos="902"/>
          <w:tab w:val="left" w:pos="903"/>
        </w:tabs>
        <w:spacing w:before="15"/>
        <w:ind w:left="902" w:hanging="723"/>
        <w:rPr>
          <w:sz w:val="20"/>
        </w:rPr>
      </w:pPr>
      <w:r>
        <w:rPr>
          <w:color w:val="161616"/>
          <w:sz w:val="20"/>
        </w:rPr>
        <w:t>Disorder of Written Expression</w:t>
      </w:r>
      <w:r>
        <w:rPr>
          <w:color w:val="161616"/>
          <w:spacing w:val="32"/>
          <w:sz w:val="20"/>
        </w:rPr>
        <w:t xml:space="preserve"> </w:t>
      </w:r>
      <w:r>
        <w:rPr>
          <w:color w:val="2F2F2F"/>
          <w:sz w:val="20"/>
        </w:rPr>
        <w:t>(51)</w:t>
      </w:r>
    </w:p>
    <w:p w:rsidR="00E675F0" w:rsidRDefault="00E675F0" w:rsidP="00E675F0">
      <w:pPr>
        <w:pStyle w:val="BodyText"/>
        <w:tabs>
          <w:tab w:val="left" w:pos="901"/>
        </w:tabs>
        <w:spacing w:before="15"/>
        <w:ind w:left="180"/>
      </w:pPr>
      <w:r>
        <w:rPr>
          <w:color w:val="161616"/>
        </w:rPr>
        <w:t>315.9</w:t>
      </w:r>
      <w:r>
        <w:rPr>
          <w:color w:val="161616"/>
        </w:rPr>
        <w:tab/>
        <w:t xml:space="preserve">Learning Disorder </w:t>
      </w:r>
      <w:r>
        <w:rPr>
          <w:color w:val="2F2F2F"/>
        </w:rPr>
        <w:t>NOS</w:t>
      </w:r>
      <w:r>
        <w:rPr>
          <w:color w:val="2F2F2F"/>
          <w:spacing w:val="10"/>
        </w:rPr>
        <w:t xml:space="preserve"> </w:t>
      </w:r>
      <w:r>
        <w:rPr>
          <w:color w:val="161616"/>
        </w:rPr>
        <w:t>(53)</w:t>
      </w:r>
    </w:p>
    <w:p w:rsidR="00E675F0" w:rsidRDefault="00E675F0" w:rsidP="00E675F0">
      <w:pPr>
        <w:spacing w:before="183"/>
        <w:ind w:left="180"/>
        <w:rPr>
          <w:b/>
          <w:sz w:val="18"/>
        </w:rPr>
      </w:pPr>
      <w:r>
        <w:rPr>
          <w:b/>
          <w:color w:val="050505"/>
          <w:w w:val="105"/>
          <w:sz w:val="18"/>
        </w:rPr>
        <w:t>MOTOR SKILLS DISORDER</w:t>
      </w:r>
    </w:p>
    <w:p w:rsidR="00E675F0" w:rsidRDefault="00E675F0" w:rsidP="00E675F0">
      <w:pPr>
        <w:pStyle w:val="BodyText"/>
        <w:tabs>
          <w:tab w:val="left" w:pos="906"/>
        </w:tabs>
        <w:spacing w:before="15" w:line="249" w:lineRule="auto"/>
        <w:ind w:left="902" w:right="581" w:hanging="722"/>
      </w:pPr>
      <w:r>
        <w:rPr>
          <w:color w:val="161616"/>
          <w:w w:val="105"/>
        </w:rPr>
        <w:t>315.4</w:t>
      </w:r>
      <w:r>
        <w:rPr>
          <w:color w:val="161616"/>
          <w:w w:val="105"/>
        </w:rPr>
        <w:tab/>
      </w:r>
      <w:r>
        <w:rPr>
          <w:color w:val="161616"/>
          <w:w w:val="105"/>
        </w:rPr>
        <w:tab/>
        <w:t>Developmental Coordination Disorder</w:t>
      </w:r>
      <w:r>
        <w:rPr>
          <w:color w:val="161616"/>
          <w:spacing w:val="10"/>
          <w:w w:val="105"/>
        </w:rPr>
        <w:t xml:space="preserve"> </w:t>
      </w:r>
      <w:r>
        <w:rPr>
          <w:color w:val="2F2F2F"/>
          <w:w w:val="105"/>
        </w:rPr>
        <w:t>(53)</w:t>
      </w:r>
    </w:p>
    <w:p w:rsidR="00E675F0" w:rsidRDefault="00E675F0" w:rsidP="00E675F0">
      <w:pPr>
        <w:spacing w:before="166"/>
        <w:ind w:left="176"/>
        <w:rPr>
          <w:sz w:val="20"/>
        </w:rPr>
      </w:pPr>
      <w:r>
        <w:rPr>
          <w:b/>
          <w:color w:val="050505"/>
          <w:w w:val="105"/>
          <w:sz w:val="18"/>
        </w:rPr>
        <w:t xml:space="preserve">COMMUNICATION DISORDERS </w:t>
      </w:r>
      <w:r>
        <w:rPr>
          <w:color w:val="161616"/>
          <w:w w:val="105"/>
          <w:sz w:val="20"/>
        </w:rPr>
        <w:t>(55)</w:t>
      </w:r>
    </w:p>
    <w:p w:rsidR="00E675F0" w:rsidRDefault="00E675F0" w:rsidP="00E675F0">
      <w:pPr>
        <w:rPr>
          <w:sz w:val="20"/>
        </w:rPr>
        <w:sectPr w:rsidR="00E675F0">
          <w:type w:val="continuous"/>
          <w:pgSz w:w="8960" w:h="14260"/>
          <w:pgMar w:top="640" w:right="520" w:bottom="0" w:left="580" w:header="720" w:footer="720" w:gutter="0"/>
          <w:cols w:num="2" w:space="720" w:equalWidth="0">
            <w:col w:w="3769" w:space="138"/>
            <w:col w:w="3953"/>
          </w:cols>
        </w:sectPr>
      </w:pPr>
    </w:p>
    <w:tbl>
      <w:tblPr>
        <w:tblW w:w="0" w:type="auto"/>
        <w:tblInd w:w="124" w:type="dxa"/>
        <w:tblLayout w:type="fixed"/>
        <w:tblCellMar>
          <w:left w:w="0" w:type="dxa"/>
          <w:right w:w="0" w:type="dxa"/>
        </w:tblCellMar>
        <w:tblLook w:val="01E0" w:firstRow="1" w:lastRow="1" w:firstColumn="1" w:lastColumn="1" w:noHBand="0" w:noVBand="0"/>
      </w:tblPr>
      <w:tblGrid>
        <w:gridCol w:w="3786"/>
        <w:gridCol w:w="819"/>
        <w:gridCol w:w="2534"/>
      </w:tblGrid>
      <w:tr w:rsidR="00E675F0" w:rsidTr="00A330E1">
        <w:trPr>
          <w:trHeight w:val="493"/>
        </w:trPr>
        <w:tc>
          <w:tcPr>
            <w:tcW w:w="3786" w:type="dxa"/>
          </w:tcPr>
          <w:p w:rsidR="00E675F0" w:rsidRDefault="00E675F0" w:rsidP="00A330E1">
            <w:pPr>
              <w:pStyle w:val="TableParagraph"/>
              <w:spacing w:line="264" w:lineRule="auto"/>
              <w:ind w:left="66" w:hanging="16"/>
              <w:rPr>
                <w:rFonts w:ascii="Arial"/>
                <w:sz w:val="19"/>
              </w:rPr>
            </w:pPr>
            <w:r>
              <w:rPr>
                <w:rFonts w:ascii="Arial"/>
                <w:color w:val="161616"/>
                <w:w w:val="105"/>
                <w:sz w:val="19"/>
              </w:rPr>
              <w:t xml:space="preserve">If criteria are no </w:t>
            </w:r>
            <w:r>
              <w:rPr>
                <w:rFonts w:ascii="Arial"/>
                <w:color w:val="050505"/>
                <w:w w:val="105"/>
                <w:sz w:val="19"/>
              </w:rPr>
              <w:t xml:space="preserve">longer met, </w:t>
            </w:r>
            <w:r>
              <w:rPr>
                <w:rFonts w:ascii="Arial"/>
                <w:color w:val="161616"/>
                <w:w w:val="105"/>
                <w:sz w:val="19"/>
              </w:rPr>
              <w:t xml:space="preserve">one </w:t>
            </w:r>
            <w:r>
              <w:rPr>
                <w:rFonts w:ascii="Arial"/>
                <w:color w:val="2F2F2F"/>
                <w:w w:val="105"/>
                <w:sz w:val="19"/>
              </w:rPr>
              <w:t xml:space="preserve">of </w:t>
            </w:r>
            <w:r>
              <w:rPr>
                <w:rFonts w:ascii="Arial"/>
                <w:color w:val="161616"/>
                <w:w w:val="105"/>
                <w:sz w:val="19"/>
              </w:rPr>
              <w:t xml:space="preserve">the following specifiers </w:t>
            </w:r>
            <w:r>
              <w:rPr>
                <w:rFonts w:ascii="Arial"/>
                <w:color w:val="050505"/>
                <w:w w:val="105"/>
                <w:sz w:val="19"/>
              </w:rPr>
              <w:t xml:space="preserve">may </w:t>
            </w:r>
            <w:r>
              <w:rPr>
                <w:rFonts w:ascii="Arial"/>
                <w:color w:val="161616"/>
                <w:w w:val="105"/>
                <w:sz w:val="19"/>
              </w:rPr>
              <w:t xml:space="preserve">be </w:t>
            </w:r>
            <w:r>
              <w:rPr>
                <w:rFonts w:ascii="Arial"/>
                <w:color w:val="050505"/>
                <w:w w:val="105"/>
                <w:sz w:val="19"/>
              </w:rPr>
              <w:t>noted</w:t>
            </w:r>
          </w:p>
        </w:tc>
        <w:tc>
          <w:tcPr>
            <w:tcW w:w="819" w:type="dxa"/>
          </w:tcPr>
          <w:p w:rsidR="00E675F0" w:rsidRDefault="00E675F0" w:rsidP="00A330E1">
            <w:pPr>
              <w:pStyle w:val="TableParagraph"/>
              <w:spacing w:before="10"/>
              <w:ind w:left="184"/>
              <w:rPr>
                <w:sz w:val="20"/>
              </w:rPr>
            </w:pPr>
            <w:r>
              <w:rPr>
                <w:color w:val="050505"/>
                <w:sz w:val="20"/>
              </w:rPr>
              <w:t>315.31</w:t>
            </w:r>
          </w:p>
        </w:tc>
        <w:tc>
          <w:tcPr>
            <w:tcW w:w="2534" w:type="dxa"/>
          </w:tcPr>
          <w:p w:rsidR="00E675F0" w:rsidRDefault="00E675F0" w:rsidP="00A330E1">
            <w:pPr>
              <w:pStyle w:val="TableParagraph"/>
              <w:spacing w:line="240" w:lineRule="atLeast"/>
              <w:ind w:left="91" w:right="13" w:hanging="1"/>
              <w:rPr>
                <w:sz w:val="20"/>
              </w:rPr>
            </w:pPr>
            <w:r>
              <w:rPr>
                <w:color w:val="161616"/>
                <w:sz w:val="20"/>
              </w:rPr>
              <w:t xml:space="preserve">Expressive Language </w:t>
            </w:r>
            <w:r>
              <w:rPr>
                <w:color w:val="161616"/>
                <w:w w:val="105"/>
                <w:sz w:val="20"/>
              </w:rPr>
              <w:t xml:space="preserve">Disorder </w:t>
            </w:r>
            <w:r>
              <w:rPr>
                <w:color w:val="2F2F2F"/>
                <w:w w:val="105"/>
                <w:sz w:val="20"/>
              </w:rPr>
              <w:t>(55)</w:t>
            </w:r>
          </w:p>
        </w:tc>
      </w:tr>
      <w:tr w:rsidR="00E675F0" w:rsidTr="00A330E1">
        <w:trPr>
          <w:trHeight w:val="748"/>
        </w:trPr>
        <w:tc>
          <w:tcPr>
            <w:tcW w:w="3786" w:type="dxa"/>
          </w:tcPr>
          <w:p w:rsidR="00E675F0" w:rsidRDefault="00E675F0" w:rsidP="00A330E1">
            <w:pPr>
              <w:pStyle w:val="TableParagraph"/>
              <w:spacing w:before="17" w:line="240" w:lineRule="atLeast"/>
              <w:ind w:left="372" w:right="1695" w:firstLine="9"/>
              <w:rPr>
                <w:rFonts w:ascii="Arial"/>
                <w:sz w:val="19"/>
              </w:rPr>
            </w:pPr>
            <w:r>
              <w:rPr>
                <w:rFonts w:ascii="Arial"/>
                <w:color w:val="161616"/>
                <w:sz w:val="19"/>
              </w:rPr>
              <w:t xml:space="preserve">In Partial Remission </w:t>
            </w:r>
            <w:r>
              <w:rPr>
                <w:rFonts w:ascii="Arial"/>
                <w:color w:val="050505"/>
                <w:sz w:val="19"/>
              </w:rPr>
              <w:t xml:space="preserve">In </w:t>
            </w:r>
            <w:r>
              <w:rPr>
                <w:rFonts w:ascii="Arial"/>
                <w:color w:val="161616"/>
                <w:sz w:val="19"/>
              </w:rPr>
              <w:t xml:space="preserve">Full Remission </w:t>
            </w:r>
            <w:r>
              <w:rPr>
                <w:rFonts w:ascii="Arial"/>
                <w:color w:val="050505"/>
                <w:sz w:val="19"/>
              </w:rPr>
              <w:t xml:space="preserve">Prior </w:t>
            </w:r>
            <w:r>
              <w:rPr>
                <w:rFonts w:ascii="Arial"/>
                <w:color w:val="161616"/>
                <w:sz w:val="19"/>
              </w:rPr>
              <w:t>History</w:t>
            </w:r>
          </w:p>
        </w:tc>
        <w:tc>
          <w:tcPr>
            <w:tcW w:w="819" w:type="dxa"/>
          </w:tcPr>
          <w:p w:rsidR="00E675F0" w:rsidRDefault="00E675F0" w:rsidP="00A330E1">
            <w:pPr>
              <w:pStyle w:val="TableParagraph"/>
              <w:spacing w:before="1"/>
              <w:ind w:left="184"/>
              <w:rPr>
                <w:sz w:val="20"/>
              </w:rPr>
            </w:pPr>
            <w:r>
              <w:rPr>
                <w:color w:val="161616"/>
                <w:sz w:val="20"/>
              </w:rPr>
              <w:t>315.31</w:t>
            </w:r>
          </w:p>
          <w:p w:rsidR="00E675F0" w:rsidRDefault="00E675F0" w:rsidP="00A330E1">
            <w:pPr>
              <w:pStyle w:val="TableParagraph"/>
              <w:spacing w:before="1"/>
              <w:rPr>
                <w:sz w:val="23"/>
              </w:rPr>
            </w:pPr>
          </w:p>
          <w:p w:rsidR="00E675F0" w:rsidRDefault="00E675F0" w:rsidP="00A330E1">
            <w:pPr>
              <w:pStyle w:val="TableParagraph"/>
              <w:ind w:left="179"/>
              <w:rPr>
                <w:sz w:val="20"/>
              </w:rPr>
            </w:pPr>
            <w:r>
              <w:rPr>
                <w:color w:val="161616"/>
                <w:sz w:val="20"/>
              </w:rPr>
              <w:t>315.39</w:t>
            </w:r>
          </w:p>
        </w:tc>
        <w:tc>
          <w:tcPr>
            <w:tcW w:w="2534" w:type="dxa"/>
          </w:tcPr>
          <w:p w:rsidR="00E675F0" w:rsidRDefault="00E675F0" w:rsidP="00A330E1">
            <w:pPr>
              <w:pStyle w:val="TableParagraph"/>
              <w:spacing w:line="256" w:lineRule="auto"/>
              <w:ind w:left="91" w:right="13" w:hanging="4"/>
              <w:rPr>
                <w:sz w:val="20"/>
              </w:rPr>
            </w:pPr>
            <w:r>
              <w:rPr>
                <w:color w:val="161616"/>
                <w:sz w:val="20"/>
              </w:rPr>
              <w:t xml:space="preserve">Mixed Receptive-Expressive </w:t>
            </w:r>
            <w:r>
              <w:rPr>
                <w:color w:val="161616"/>
                <w:w w:val="105"/>
                <w:sz w:val="20"/>
              </w:rPr>
              <w:t>Language Disorder (58)</w:t>
            </w:r>
          </w:p>
          <w:p w:rsidR="00E675F0" w:rsidRDefault="00E675F0" w:rsidP="00A330E1">
            <w:pPr>
              <w:pStyle w:val="TableParagraph"/>
              <w:spacing w:line="228" w:lineRule="exact"/>
              <w:ind w:left="86"/>
              <w:rPr>
                <w:sz w:val="20"/>
              </w:rPr>
            </w:pPr>
            <w:r>
              <w:rPr>
                <w:color w:val="161616"/>
                <w:w w:val="105"/>
                <w:sz w:val="20"/>
              </w:rPr>
              <w:t>Phonological Disorder (61)</w:t>
            </w:r>
          </w:p>
        </w:tc>
      </w:tr>
      <w:tr w:rsidR="00E675F0" w:rsidTr="00A330E1">
        <w:trPr>
          <w:trHeight w:val="232"/>
        </w:trPr>
        <w:tc>
          <w:tcPr>
            <w:tcW w:w="3786" w:type="dxa"/>
          </w:tcPr>
          <w:p w:rsidR="00E675F0" w:rsidRDefault="00E675F0" w:rsidP="00A330E1">
            <w:pPr>
              <w:pStyle w:val="TableParagraph"/>
              <w:rPr>
                <w:sz w:val="16"/>
              </w:rPr>
            </w:pPr>
          </w:p>
        </w:tc>
        <w:tc>
          <w:tcPr>
            <w:tcW w:w="819" w:type="dxa"/>
          </w:tcPr>
          <w:p w:rsidR="00E675F0" w:rsidRDefault="00E675F0" w:rsidP="00A330E1">
            <w:pPr>
              <w:pStyle w:val="TableParagraph"/>
              <w:spacing w:line="212" w:lineRule="exact"/>
              <w:ind w:left="179"/>
              <w:rPr>
                <w:sz w:val="20"/>
              </w:rPr>
            </w:pPr>
            <w:r>
              <w:rPr>
                <w:color w:val="161616"/>
                <w:sz w:val="20"/>
              </w:rPr>
              <w:t>307.0</w:t>
            </w:r>
          </w:p>
        </w:tc>
        <w:tc>
          <w:tcPr>
            <w:tcW w:w="2534" w:type="dxa"/>
          </w:tcPr>
          <w:p w:rsidR="00E675F0" w:rsidRDefault="00E675F0" w:rsidP="00A330E1">
            <w:pPr>
              <w:pStyle w:val="TableParagraph"/>
              <w:spacing w:line="212" w:lineRule="exact"/>
              <w:ind w:left="77"/>
              <w:rPr>
                <w:sz w:val="20"/>
              </w:rPr>
            </w:pPr>
            <w:r>
              <w:rPr>
                <w:color w:val="161616"/>
                <w:w w:val="105"/>
                <w:sz w:val="20"/>
              </w:rPr>
              <w:t xml:space="preserve">Stuttering </w:t>
            </w:r>
            <w:r>
              <w:rPr>
                <w:color w:val="2F2F2F"/>
                <w:w w:val="105"/>
                <w:sz w:val="20"/>
              </w:rPr>
              <w:t>(63)</w:t>
            </w:r>
          </w:p>
        </w:tc>
      </w:tr>
      <w:tr w:rsidR="00E675F0" w:rsidTr="00A330E1">
        <w:trPr>
          <w:trHeight w:val="248"/>
        </w:trPr>
        <w:tc>
          <w:tcPr>
            <w:tcW w:w="3786" w:type="dxa"/>
          </w:tcPr>
          <w:p w:rsidR="00E675F0" w:rsidRDefault="00E675F0" w:rsidP="00A330E1">
            <w:pPr>
              <w:pStyle w:val="TableParagraph"/>
              <w:rPr>
                <w:sz w:val="18"/>
              </w:rPr>
            </w:pPr>
          </w:p>
        </w:tc>
        <w:tc>
          <w:tcPr>
            <w:tcW w:w="819" w:type="dxa"/>
          </w:tcPr>
          <w:p w:rsidR="00E675F0" w:rsidRDefault="00E675F0" w:rsidP="00A330E1">
            <w:pPr>
              <w:pStyle w:val="TableParagraph"/>
              <w:spacing w:before="1" w:line="227" w:lineRule="exact"/>
              <w:ind w:left="179"/>
              <w:rPr>
                <w:sz w:val="20"/>
              </w:rPr>
            </w:pPr>
            <w:r>
              <w:rPr>
                <w:color w:val="161616"/>
                <w:sz w:val="20"/>
              </w:rPr>
              <w:t>307.9</w:t>
            </w:r>
          </w:p>
        </w:tc>
        <w:tc>
          <w:tcPr>
            <w:tcW w:w="2534" w:type="dxa"/>
          </w:tcPr>
          <w:p w:rsidR="00E675F0" w:rsidRDefault="00E675F0" w:rsidP="00A330E1">
            <w:pPr>
              <w:pStyle w:val="TableParagraph"/>
              <w:spacing w:line="227" w:lineRule="exact"/>
              <w:ind w:left="82"/>
              <w:rPr>
                <w:sz w:val="20"/>
              </w:rPr>
            </w:pPr>
            <w:r>
              <w:rPr>
                <w:color w:val="161616"/>
                <w:w w:val="105"/>
                <w:sz w:val="20"/>
              </w:rPr>
              <w:t>Communication Disorder</w:t>
            </w:r>
          </w:p>
        </w:tc>
      </w:tr>
      <w:tr w:rsidR="00E675F0" w:rsidTr="00A330E1">
        <w:trPr>
          <w:trHeight w:val="224"/>
        </w:trPr>
        <w:tc>
          <w:tcPr>
            <w:tcW w:w="3786" w:type="dxa"/>
          </w:tcPr>
          <w:p w:rsidR="00E675F0" w:rsidRDefault="00E675F0" w:rsidP="00A330E1">
            <w:pPr>
              <w:pStyle w:val="TableParagraph"/>
              <w:rPr>
                <w:sz w:val="16"/>
              </w:rPr>
            </w:pPr>
          </w:p>
        </w:tc>
        <w:tc>
          <w:tcPr>
            <w:tcW w:w="819" w:type="dxa"/>
          </w:tcPr>
          <w:p w:rsidR="00E675F0" w:rsidRDefault="00E675F0" w:rsidP="00A330E1">
            <w:pPr>
              <w:pStyle w:val="TableParagraph"/>
              <w:rPr>
                <w:sz w:val="16"/>
              </w:rPr>
            </w:pPr>
          </w:p>
        </w:tc>
        <w:tc>
          <w:tcPr>
            <w:tcW w:w="2534" w:type="dxa"/>
          </w:tcPr>
          <w:p w:rsidR="00E675F0" w:rsidRDefault="00E675F0" w:rsidP="00A330E1">
            <w:pPr>
              <w:pStyle w:val="TableParagraph"/>
              <w:spacing w:before="2" w:line="203" w:lineRule="exact"/>
              <w:ind w:left="75"/>
              <w:rPr>
                <w:sz w:val="18"/>
              </w:rPr>
            </w:pPr>
            <w:r>
              <w:rPr>
                <w:rFonts w:ascii="Arial"/>
                <w:color w:val="161616"/>
                <w:w w:val="105"/>
                <w:sz w:val="19"/>
              </w:rPr>
              <w:t xml:space="preserve">NOS </w:t>
            </w:r>
            <w:r>
              <w:rPr>
                <w:color w:val="2F2F2F"/>
                <w:w w:val="105"/>
                <w:sz w:val="18"/>
              </w:rPr>
              <w:t>(65)</w:t>
            </w:r>
          </w:p>
        </w:tc>
      </w:tr>
    </w:tbl>
    <w:p w:rsidR="00E675F0" w:rsidRDefault="00E675F0" w:rsidP="00E675F0">
      <w:pPr>
        <w:pStyle w:val="BodyText"/>
        <w:spacing w:before="6"/>
        <w:rPr>
          <w:sz w:val="8"/>
        </w:rPr>
      </w:pPr>
    </w:p>
    <w:p w:rsidR="00E675F0" w:rsidRDefault="00E675F0" w:rsidP="00E675F0">
      <w:pPr>
        <w:spacing w:before="93" w:line="283" w:lineRule="auto"/>
        <w:ind w:left="4083" w:firstLine="2"/>
        <w:rPr>
          <w:sz w:val="18"/>
        </w:rPr>
      </w:pPr>
      <w:r>
        <w:rPr>
          <w:b/>
          <w:color w:val="050505"/>
          <w:sz w:val="18"/>
        </w:rPr>
        <w:t xml:space="preserve">PERVASIVE DEVELOPMENTAL </w:t>
      </w:r>
      <w:r>
        <w:rPr>
          <w:b/>
          <w:color w:val="050505"/>
          <w:w w:val="110"/>
          <w:sz w:val="18"/>
        </w:rPr>
        <w:t xml:space="preserve">DISORDERS </w:t>
      </w:r>
      <w:r>
        <w:rPr>
          <w:color w:val="2F2F2F"/>
          <w:w w:val="110"/>
          <w:sz w:val="18"/>
        </w:rPr>
        <w:t>(65)</w:t>
      </w:r>
    </w:p>
    <w:p w:rsidR="00E675F0" w:rsidRDefault="00E675F0" w:rsidP="00E675F0">
      <w:pPr>
        <w:pStyle w:val="BodyText"/>
        <w:spacing w:line="213" w:lineRule="exact"/>
        <w:ind w:left="4091"/>
      </w:pPr>
      <w:r>
        <w:rPr>
          <w:color w:val="050505"/>
        </w:rPr>
        <w:t xml:space="preserve">299.00 </w:t>
      </w:r>
      <w:r>
        <w:rPr>
          <w:color w:val="161616"/>
        </w:rPr>
        <w:t>Autistic Disorder (66)</w:t>
      </w:r>
    </w:p>
    <w:p w:rsidR="00E675F0" w:rsidRDefault="00E675F0" w:rsidP="00E675F0">
      <w:pPr>
        <w:pStyle w:val="BodyText"/>
        <w:spacing w:before="15"/>
        <w:ind w:left="4096"/>
      </w:pPr>
      <w:r>
        <w:rPr>
          <w:color w:val="161616"/>
        </w:rPr>
        <w:t xml:space="preserve">299.80 Rett's Disorder </w:t>
      </w:r>
      <w:r>
        <w:rPr>
          <w:color w:val="2F2F2F"/>
        </w:rPr>
        <w:t>(71)</w:t>
      </w:r>
    </w:p>
    <w:p w:rsidR="00E675F0" w:rsidRDefault="00E675F0" w:rsidP="00E675F0">
      <w:pPr>
        <w:pStyle w:val="BodyText"/>
        <w:spacing w:before="9"/>
        <w:rPr>
          <w:sz w:val="18"/>
        </w:rPr>
      </w:pPr>
      <w:r>
        <w:rPr>
          <w:noProof/>
        </w:rPr>
        <mc:AlternateContent>
          <mc:Choice Requires="wps">
            <w:drawing>
              <wp:anchor distT="0" distB="0" distL="0" distR="0" simplePos="0" relativeHeight="251823104" behindDoc="1" locked="0" layoutInCell="1" allowOverlap="1" wp14:anchorId="32803E04" wp14:editId="7CD7E00A">
                <wp:simplePos x="0" y="0"/>
                <wp:positionH relativeFrom="page">
                  <wp:posOffset>488950</wp:posOffset>
                </wp:positionH>
                <wp:positionV relativeFrom="paragraph">
                  <wp:posOffset>165100</wp:posOffset>
                </wp:positionV>
                <wp:extent cx="4722495" cy="1270"/>
                <wp:effectExtent l="0" t="0" r="1905" b="0"/>
                <wp:wrapTopAndBottom/>
                <wp:docPr id="1708" name="Freeform 16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22495" cy="1270"/>
                        </a:xfrm>
                        <a:custGeom>
                          <a:avLst/>
                          <a:gdLst>
                            <a:gd name="T0" fmla="+- 0 770 770"/>
                            <a:gd name="T1" fmla="*/ T0 w 7437"/>
                            <a:gd name="T2" fmla="+- 0 8206 770"/>
                            <a:gd name="T3" fmla="*/ T2 w 7437"/>
                          </a:gdLst>
                          <a:ahLst/>
                          <a:cxnLst>
                            <a:cxn ang="0">
                              <a:pos x="T1" y="0"/>
                            </a:cxn>
                            <a:cxn ang="0">
                              <a:pos x="T3" y="0"/>
                            </a:cxn>
                          </a:cxnLst>
                          <a:rect l="0" t="0" r="r" b="b"/>
                          <a:pathLst>
                            <a:path w="7437">
                              <a:moveTo>
                                <a:pt x="0" y="0"/>
                              </a:moveTo>
                              <a:lnTo>
                                <a:pt x="7436" y="0"/>
                              </a:lnTo>
                            </a:path>
                          </a:pathLst>
                        </a:custGeom>
                        <a:noFill/>
                        <a:ln w="61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0FAFA4" id="Freeform 1664" o:spid="_x0000_s1026" style="position:absolute;margin-left:38.5pt;margin-top:13pt;width:371.85pt;height:.1pt;z-index:-251493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43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" path="m,l7436,e" filled="f" strokeweight=".16956mm">
                <v:path arrowok="t" o:connecttype="custom" o:connectlocs="0,0;4721860,0" o:connectangles="0,0"/>
                <w10:wrap type="topAndBottom" anchorx="page"/>
              </v:shape>
            </w:pict>
          </mc:Fallback>
        </mc:AlternateContent>
      </w:r>
    </w:p>
    <w:p w:rsidR="00E675F0" w:rsidRDefault="00E675F0" w:rsidP="00E675F0">
      <w:pPr>
        <w:spacing w:before="27"/>
        <w:ind w:left="1167" w:right="1186"/>
        <w:jc w:val="center"/>
        <w:rPr>
          <w:rFonts w:ascii="Courier New"/>
          <w:b/>
          <w:sz w:val="25"/>
        </w:rPr>
      </w:pPr>
      <w:r>
        <w:rPr>
          <w:rFonts w:ascii="Courier New"/>
          <w:b/>
          <w:color w:val="050505"/>
          <w:w w:val="95"/>
          <w:sz w:val="25"/>
        </w:rPr>
        <w:t>13</w:t>
      </w:r>
    </w:p>
    <w:p w:rsidR="00E675F0" w:rsidRDefault="00E675F0" w:rsidP="00E675F0">
      <w:pPr>
        <w:jc w:val="center"/>
        <w:rPr>
          <w:rFonts w:ascii="Courier New"/>
          <w:sz w:val="25"/>
        </w:rPr>
        <w:sectPr w:rsidR="00E675F0">
          <w:type w:val="continuous"/>
          <w:pgSz w:w="8960" w:h="14260"/>
          <w:pgMar w:top="640" w:right="520" w:bottom="0" w:left="580" w:header="720" w:footer="720" w:gutter="0"/>
          <w:cols w:space="720"/>
        </w:sectPr>
      </w:pPr>
    </w:p>
    <w:p w:rsidR="00E675F0" w:rsidRDefault="00E675F0" w:rsidP="00E675F0">
      <w:pPr>
        <w:pStyle w:val="BodyText"/>
        <w:spacing w:before="7"/>
        <w:rPr>
          <w:rFonts w:ascii="Courier New"/>
          <w:b/>
          <w:sz w:val="13"/>
        </w:rPr>
      </w:pPr>
    </w:p>
    <w:tbl>
      <w:tblPr>
        <w:tblW w:w="0" w:type="auto"/>
        <w:tblInd w:w="114" w:type="dxa"/>
        <w:tblLayout w:type="fixed"/>
        <w:tblCellMar>
          <w:left w:w="0" w:type="dxa"/>
          <w:right w:w="0" w:type="dxa"/>
        </w:tblCellMar>
        <w:tblLook w:val="01E0" w:firstRow="1" w:lastRow="1" w:firstColumn="1" w:lastColumn="1" w:noHBand="0" w:noVBand="0"/>
      </w:tblPr>
      <w:tblGrid>
        <w:gridCol w:w="685"/>
        <w:gridCol w:w="2299"/>
      </w:tblGrid>
      <w:tr w:rsidR="00E675F0" w:rsidTr="00A330E1">
        <w:trPr>
          <w:trHeight w:val="470"/>
        </w:trPr>
        <w:tc>
          <w:tcPr>
            <w:tcW w:w="685" w:type="dxa"/>
          </w:tcPr>
          <w:p w:rsidR="00E675F0" w:rsidRDefault="00E675F0" w:rsidP="00A330E1">
            <w:pPr>
              <w:pStyle w:val="TableParagraph"/>
              <w:spacing w:line="211" w:lineRule="exact"/>
              <w:ind w:left="29" w:right="61"/>
              <w:jc w:val="center"/>
              <w:rPr>
                <w:sz w:val="19"/>
              </w:rPr>
            </w:pPr>
            <w:r>
              <w:rPr>
                <w:w w:val="105"/>
                <w:sz w:val="19"/>
              </w:rPr>
              <w:t>299.10</w:t>
            </w:r>
          </w:p>
        </w:tc>
        <w:tc>
          <w:tcPr>
            <w:tcW w:w="2299" w:type="dxa"/>
          </w:tcPr>
          <w:p w:rsidR="00E675F0" w:rsidRDefault="00E675F0" w:rsidP="00A330E1">
            <w:pPr>
              <w:pStyle w:val="TableParagraph"/>
              <w:spacing w:line="211" w:lineRule="exact"/>
              <w:ind w:left="88"/>
              <w:rPr>
                <w:sz w:val="19"/>
              </w:rPr>
            </w:pPr>
            <w:r>
              <w:rPr>
                <w:w w:val="110"/>
                <w:sz w:val="19"/>
              </w:rPr>
              <w:t>Childhood Disintegrative</w:t>
            </w:r>
          </w:p>
          <w:p w:rsidR="00E675F0" w:rsidRDefault="00E675F0" w:rsidP="00A330E1">
            <w:pPr>
              <w:pStyle w:val="TableParagraph"/>
              <w:spacing w:before="22" w:line="218" w:lineRule="exact"/>
              <w:ind w:left="87"/>
              <w:rPr>
                <w:sz w:val="19"/>
              </w:rPr>
            </w:pPr>
            <w:r>
              <w:rPr>
                <w:w w:val="110"/>
                <w:sz w:val="19"/>
              </w:rPr>
              <w:t>Disorder (73)</w:t>
            </w:r>
          </w:p>
        </w:tc>
      </w:tr>
      <w:tr w:rsidR="00E675F0" w:rsidTr="00A330E1">
        <w:trPr>
          <w:trHeight w:val="247"/>
        </w:trPr>
        <w:tc>
          <w:tcPr>
            <w:tcW w:w="685" w:type="dxa"/>
          </w:tcPr>
          <w:p w:rsidR="00E675F0" w:rsidRDefault="00E675F0" w:rsidP="00A330E1">
            <w:pPr>
              <w:pStyle w:val="TableParagraph"/>
              <w:spacing w:before="11" w:line="216" w:lineRule="exact"/>
              <w:ind w:left="29" w:right="62"/>
              <w:jc w:val="center"/>
              <w:rPr>
                <w:sz w:val="19"/>
              </w:rPr>
            </w:pPr>
            <w:r>
              <w:rPr>
                <w:w w:val="105"/>
                <w:sz w:val="19"/>
              </w:rPr>
              <w:t>299.80</w:t>
            </w:r>
          </w:p>
        </w:tc>
        <w:tc>
          <w:tcPr>
            <w:tcW w:w="2299" w:type="dxa"/>
          </w:tcPr>
          <w:p w:rsidR="00E675F0" w:rsidRDefault="00E675F0" w:rsidP="00A330E1">
            <w:pPr>
              <w:pStyle w:val="TableParagraph"/>
              <w:spacing w:before="11" w:line="216" w:lineRule="exact"/>
              <w:ind w:left="84"/>
              <w:rPr>
                <w:sz w:val="19"/>
              </w:rPr>
            </w:pPr>
            <w:r>
              <w:rPr>
                <w:w w:val="110"/>
                <w:sz w:val="19"/>
              </w:rPr>
              <w:t>Asperger's Disorder (75)</w:t>
            </w:r>
          </w:p>
        </w:tc>
      </w:tr>
      <w:tr w:rsidR="00E675F0" w:rsidTr="00A330E1">
        <w:trPr>
          <w:trHeight w:val="468"/>
        </w:trPr>
        <w:tc>
          <w:tcPr>
            <w:tcW w:w="685" w:type="dxa"/>
          </w:tcPr>
          <w:p w:rsidR="00E675F0" w:rsidRDefault="00E675F0" w:rsidP="00A330E1">
            <w:pPr>
              <w:pStyle w:val="TableParagraph"/>
              <w:spacing w:before="9"/>
              <w:ind w:left="26" w:right="64"/>
              <w:jc w:val="center"/>
              <w:rPr>
                <w:sz w:val="19"/>
              </w:rPr>
            </w:pPr>
            <w:r>
              <w:rPr>
                <w:w w:val="105"/>
                <w:sz w:val="19"/>
              </w:rPr>
              <w:t>299.80</w:t>
            </w:r>
          </w:p>
        </w:tc>
        <w:tc>
          <w:tcPr>
            <w:tcW w:w="2299" w:type="dxa"/>
          </w:tcPr>
          <w:p w:rsidR="00E675F0" w:rsidRDefault="00E675F0" w:rsidP="00A330E1">
            <w:pPr>
              <w:pStyle w:val="TableParagraph"/>
              <w:spacing w:before="9"/>
              <w:ind w:left="87"/>
              <w:rPr>
                <w:sz w:val="19"/>
              </w:rPr>
            </w:pPr>
            <w:r>
              <w:rPr>
                <w:w w:val="110"/>
                <w:sz w:val="19"/>
              </w:rPr>
              <w:t>Pervasive Developmental</w:t>
            </w:r>
          </w:p>
          <w:p w:rsidR="00E675F0" w:rsidRDefault="00E675F0" w:rsidP="00A330E1">
            <w:pPr>
              <w:pStyle w:val="TableParagraph"/>
              <w:spacing w:before="22" w:line="199" w:lineRule="exact"/>
              <w:ind w:left="87"/>
              <w:rPr>
                <w:sz w:val="19"/>
              </w:rPr>
            </w:pPr>
            <w:r>
              <w:rPr>
                <w:w w:val="110"/>
                <w:sz w:val="19"/>
              </w:rPr>
              <w:t>Disorder NOS (77)</w:t>
            </w:r>
          </w:p>
        </w:tc>
      </w:tr>
    </w:tbl>
    <w:p w:rsidR="00E675F0" w:rsidRDefault="00E675F0" w:rsidP="00E675F0">
      <w:pPr>
        <w:pStyle w:val="BodyText"/>
        <w:spacing w:before="8"/>
        <w:rPr>
          <w:rFonts w:ascii="Courier New"/>
          <w:b/>
          <w:sz w:val="19"/>
        </w:rPr>
      </w:pPr>
    </w:p>
    <w:p w:rsidR="00E675F0" w:rsidRDefault="00E675F0" w:rsidP="00E675F0">
      <w:pPr>
        <w:spacing w:line="278" w:lineRule="auto"/>
        <w:ind w:left="148" w:right="348" w:hanging="4"/>
        <w:rPr>
          <w:sz w:val="19"/>
        </w:rPr>
      </w:pPr>
      <w:r>
        <w:rPr>
          <w:b/>
          <w:w w:val="105"/>
          <w:sz w:val="18"/>
        </w:rPr>
        <w:t xml:space="preserve">ATIENTION-DEFICIT AND DISRUPTIVE BEHAVIOR DISORDERS </w:t>
      </w:r>
      <w:r>
        <w:rPr>
          <w:w w:val="105"/>
          <w:sz w:val="19"/>
        </w:rPr>
        <w:t>(78)</w:t>
      </w:r>
    </w:p>
    <w:p w:rsidR="00E675F0" w:rsidRDefault="00E675F0" w:rsidP="00E675F0">
      <w:pPr>
        <w:spacing w:line="264" w:lineRule="auto"/>
        <w:ind w:left="879" w:right="348" w:hanging="726"/>
        <w:rPr>
          <w:sz w:val="19"/>
        </w:rPr>
      </w:pPr>
      <w:r>
        <w:rPr>
          <w:w w:val="110"/>
          <w:sz w:val="19"/>
        </w:rPr>
        <w:t>314.xx Attention-Deficit/Hyperactivity Disorder (78)</w:t>
      </w:r>
    </w:p>
    <w:p w:rsidR="00E675F0" w:rsidRDefault="00E675F0" w:rsidP="00E675F0">
      <w:pPr>
        <w:tabs>
          <w:tab w:val="left" w:pos="1178"/>
        </w:tabs>
        <w:spacing w:before="2"/>
        <w:ind w:left="469"/>
        <w:rPr>
          <w:sz w:val="19"/>
        </w:rPr>
      </w:pPr>
      <w:r>
        <w:rPr>
          <w:w w:val="110"/>
          <w:sz w:val="19"/>
        </w:rPr>
        <w:t>.01</w:t>
      </w:r>
      <w:r>
        <w:rPr>
          <w:w w:val="110"/>
          <w:sz w:val="19"/>
        </w:rPr>
        <w:tab/>
        <w:t>Combined</w:t>
      </w:r>
      <w:r>
        <w:rPr>
          <w:spacing w:val="19"/>
          <w:w w:val="110"/>
          <w:sz w:val="19"/>
        </w:rPr>
        <w:t xml:space="preserve"> </w:t>
      </w:r>
      <w:r>
        <w:rPr>
          <w:w w:val="110"/>
          <w:sz w:val="19"/>
        </w:rPr>
        <w:t>Type</w:t>
      </w:r>
    </w:p>
    <w:p w:rsidR="00E675F0" w:rsidRDefault="00E675F0" w:rsidP="003048D3">
      <w:pPr>
        <w:pStyle w:val="ListParagraph"/>
        <w:numPr>
          <w:ilvl w:val="0"/>
          <w:numId w:val="133"/>
        </w:numPr>
        <w:tabs>
          <w:tab w:val="left" w:pos="1182"/>
          <w:tab w:val="left" w:pos="1183"/>
        </w:tabs>
        <w:spacing w:before="27"/>
        <w:ind w:hanging="714"/>
        <w:rPr>
          <w:sz w:val="19"/>
        </w:rPr>
      </w:pPr>
      <w:r>
        <w:rPr>
          <w:w w:val="105"/>
          <w:sz w:val="19"/>
        </w:rPr>
        <w:t>Predominantly  Inattentive</w:t>
      </w:r>
      <w:r>
        <w:rPr>
          <w:spacing w:val="-5"/>
          <w:w w:val="105"/>
          <w:sz w:val="19"/>
        </w:rPr>
        <w:t xml:space="preserve"> </w:t>
      </w:r>
      <w:r>
        <w:rPr>
          <w:w w:val="105"/>
          <w:sz w:val="19"/>
        </w:rPr>
        <w:t>Type</w:t>
      </w:r>
    </w:p>
    <w:p w:rsidR="00E675F0" w:rsidRDefault="00E675F0" w:rsidP="003048D3">
      <w:pPr>
        <w:pStyle w:val="ListParagraph"/>
        <w:numPr>
          <w:ilvl w:val="0"/>
          <w:numId w:val="133"/>
        </w:numPr>
        <w:tabs>
          <w:tab w:val="left" w:pos="1182"/>
          <w:tab w:val="left" w:pos="1183"/>
        </w:tabs>
        <w:spacing w:before="21"/>
        <w:ind w:hanging="714"/>
        <w:rPr>
          <w:sz w:val="19"/>
        </w:rPr>
      </w:pPr>
      <w:r>
        <w:rPr>
          <w:w w:val="110"/>
          <w:sz w:val="19"/>
        </w:rPr>
        <w:t>Predominantly</w:t>
      </w:r>
    </w:p>
    <w:p w:rsidR="00E675F0" w:rsidRDefault="00E675F0" w:rsidP="00E675F0">
      <w:pPr>
        <w:spacing w:before="27"/>
        <w:ind w:left="1182"/>
        <w:rPr>
          <w:sz w:val="19"/>
        </w:rPr>
      </w:pPr>
      <w:r>
        <w:rPr>
          <w:w w:val="105"/>
          <w:sz w:val="19"/>
        </w:rPr>
        <w:t>Hyperactive-Impulsive Type</w:t>
      </w:r>
    </w:p>
    <w:p w:rsidR="00E675F0" w:rsidRDefault="00E675F0" w:rsidP="00E675F0">
      <w:pPr>
        <w:tabs>
          <w:tab w:val="left" w:pos="875"/>
        </w:tabs>
        <w:spacing w:before="12" w:line="266" w:lineRule="auto"/>
        <w:ind w:left="879" w:right="291" w:hanging="726"/>
        <w:rPr>
          <w:sz w:val="19"/>
        </w:rPr>
      </w:pPr>
      <w:r>
        <w:rPr>
          <w:w w:val="110"/>
          <w:sz w:val="19"/>
        </w:rPr>
        <w:t>314</w:t>
      </w:r>
      <w:r>
        <w:rPr>
          <w:rFonts w:ascii="Arial"/>
          <w:i/>
          <w:w w:val="110"/>
          <w:sz w:val="20"/>
        </w:rPr>
        <w:t>.9</w:t>
      </w:r>
      <w:r>
        <w:rPr>
          <w:rFonts w:ascii="Arial"/>
          <w:i/>
          <w:w w:val="110"/>
          <w:sz w:val="20"/>
        </w:rPr>
        <w:tab/>
      </w:r>
      <w:r>
        <w:rPr>
          <w:spacing w:val="-1"/>
          <w:w w:val="110"/>
          <w:sz w:val="19"/>
        </w:rPr>
        <w:t xml:space="preserve">Attention-Deficit/Hyperactivity </w:t>
      </w:r>
      <w:r>
        <w:rPr>
          <w:w w:val="110"/>
          <w:sz w:val="19"/>
        </w:rPr>
        <w:t>Disorder NOS</w:t>
      </w:r>
      <w:r>
        <w:rPr>
          <w:spacing w:val="-20"/>
          <w:w w:val="110"/>
          <w:sz w:val="19"/>
        </w:rPr>
        <w:t xml:space="preserve"> </w:t>
      </w:r>
      <w:r>
        <w:rPr>
          <w:w w:val="110"/>
          <w:sz w:val="19"/>
        </w:rPr>
        <w:t>(85)</w:t>
      </w:r>
    </w:p>
    <w:p w:rsidR="00E675F0" w:rsidRDefault="00E675F0" w:rsidP="00E675F0">
      <w:pPr>
        <w:tabs>
          <w:tab w:val="left" w:pos="880"/>
        </w:tabs>
        <w:spacing w:before="7"/>
        <w:ind w:left="153"/>
        <w:rPr>
          <w:sz w:val="19"/>
        </w:rPr>
      </w:pPr>
      <w:r>
        <w:rPr>
          <w:w w:val="110"/>
          <w:sz w:val="19"/>
        </w:rPr>
        <w:t>312.8</w:t>
      </w:r>
      <w:r>
        <w:rPr>
          <w:w w:val="110"/>
          <w:sz w:val="19"/>
        </w:rPr>
        <w:tab/>
        <w:t>Conduct Disorder</w:t>
      </w:r>
      <w:r>
        <w:rPr>
          <w:spacing w:val="-14"/>
          <w:w w:val="110"/>
          <w:sz w:val="19"/>
        </w:rPr>
        <w:t xml:space="preserve"> </w:t>
      </w:r>
      <w:r>
        <w:rPr>
          <w:w w:val="110"/>
          <w:sz w:val="19"/>
        </w:rPr>
        <w:t>(85)</w:t>
      </w:r>
    </w:p>
    <w:p w:rsidR="00E675F0" w:rsidRDefault="00E675F0" w:rsidP="00E675F0">
      <w:pPr>
        <w:spacing w:before="7" w:line="249" w:lineRule="auto"/>
        <w:ind w:left="876" w:right="370" w:firstLine="9"/>
        <w:rPr>
          <w:sz w:val="16"/>
        </w:rPr>
      </w:pPr>
      <w:r>
        <w:rPr>
          <w:i/>
          <w:w w:val="110"/>
          <w:sz w:val="15"/>
        </w:rPr>
        <w:t xml:space="preserve">Spec/fy type: </w:t>
      </w:r>
      <w:r>
        <w:rPr>
          <w:w w:val="110"/>
          <w:sz w:val="16"/>
        </w:rPr>
        <w:t>Childhood-Onset Type/ Adolescent-Onset Type</w:t>
      </w:r>
    </w:p>
    <w:p w:rsidR="00E675F0" w:rsidRDefault="00E675F0" w:rsidP="00E675F0">
      <w:pPr>
        <w:spacing w:before="22" w:line="268" w:lineRule="auto"/>
        <w:ind w:left="879" w:right="570" w:hanging="726"/>
        <w:rPr>
          <w:sz w:val="19"/>
        </w:rPr>
      </w:pPr>
      <w:r>
        <w:rPr>
          <w:w w:val="110"/>
          <w:sz w:val="19"/>
        </w:rPr>
        <w:t>313.81 Oppositional Defiant Disorder (91)</w:t>
      </w:r>
    </w:p>
    <w:p w:rsidR="00E675F0" w:rsidRDefault="00E675F0" w:rsidP="00E675F0">
      <w:pPr>
        <w:tabs>
          <w:tab w:val="left" w:pos="883"/>
        </w:tabs>
        <w:spacing w:line="264" w:lineRule="auto"/>
        <w:ind w:left="889" w:right="427" w:hanging="737"/>
        <w:rPr>
          <w:sz w:val="19"/>
        </w:rPr>
      </w:pPr>
      <w:r>
        <w:rPr>
          <w:w w:val="110"/>
          <w:sz w:val="19"/>
        </w:rPr>
        <w:t>312.9</w:t>
      </w:r>
      <w:r>
        <w:rPr>
          <w:w w:val="110"/>
          <w:sz w:val="19"/>
        </w:rPr>
        <w:tab/>
        <w:t>Disruptive Behavior Disorder NOS</w:t>
      </w:r>
      <w:r>
        <w:rPr>
          <w:spacing w:val="3"/>
          <w:w w:val="110"/>
          <w:sz w:val="19"/>
        </w:rPr>
        <w:t xml:space="preserve"> </w:t>
      </w:r>
      <w:r>
        <w:rPr>
          <w:w w:val="110"/>
          <w:sz w:val="19"/>
        </w:rPr>
        <w:t>(94)</w:t>
      </w:r>
    </w:p>
    <w:p w:rsidR="00E675F0" w:rsidRDefault="00E675F0" w:rsidP="00E675F0">
      <w:pPr>
        <w:pStyle w:val="BodyText"/>
        <w:spacing w:before="6"/>
        <w:rPr>
          <w:sz w:val="17"/>
        </w:rPr>
      </w:pPr>
    </w:p>
    <w:p w:rsidR="00E675F0" w:rsidRDefault="00E675F0" w:rsidP="00E675F0">
      <w:pPr>
        <w:spacing w:before="1" w:line="276" w:lineRule="auto"/>
        <w:ind w:left="148" w:right="348" w:hanging="2"/>
        <w:rPr>
          <w:sz w:val="19"/>
        </w:rPr>
      </w:pPr>
      <w:r>
        <w:rPr>
          <w:b/>
          <w:w w:val="105"/>
          <w:sz w:val="18"/>
        </w:rPr>
        <w:t xml:space="preserve">FEEDING AND EATING DISORDERS OF INFANCY OR EARLY CHILDHOOD </w:t>
      </w:r>
      <w:r>
        <w:rPr>
          <w:w w:val="105"/>
          <w:sz w:val="19"/>
        </w:rPr>
        <w:t>(94)</w:t>
      </w:r>
    </w:p>
    <w:p w:rsidR="00E675F0" w:rsidRDefault="00E675F0" w:rsidP="003048D3">
      <w:pPr>
        <w:pStyle w:val="ListParagraph"/>
        <w:numPr>
          <w:ilvl w:val="1"/>
          <w:numId w:val="132"/>
        </w:numPr>
        <w:tabs>
          <w:tab w:val="left" w:pos="880"/>
        </w:tabs>
        <w:spacing w:line="208" w:lineRule="exact"/>
        <w:rPr>
          <w:sz w:val="19"/>
        </w:rPr>
      </w:pPr>
      <w:r>
        <w:rPr>
          <w:w w:val="110"/>
          <w:sz w:val="19"/>
        </w:rPr>
        <w:t>Pica</w:t>
      </w:r>
      <w:r>
        <w:rPr>
          <w:spacing w:val="17"/>
          <w:w w:val="110"/>
          <w:sz w:val="19"/>
        </w:rPr>
        <w:t xml:space="preserve"> </w:t>
      </w:r>
      <w:r>
        <w:rPr>
          <w:w w:val="110"/>
          <w:sz w:val="19"/>
        </w:rPr>
        <w:t>(95)</w:t>
      </w:r>
    </w:p>
    <w:p w:rsidR="00E675F0" w:rsidRDefault="00E675F0" w:rsidP="003048D3">
      <w:pPr>
        <w:pStyle w:val="ListParagraph"/>
        <w:numPr>
          <w:ilvl w:val="1"/>
          <w:numId w:val="132"/>
        </w:numPr>
        <w:tabs>
          <w:tab w:val="left" w:pos="884"/>
        </w:tabs>
        <w:spacing w:before="21"/>
        <w:ind w:left="883" w:hanging="731"/>
        <w:rPr>
          <w:sz w:val="19"/>
        </w:rPr>
      </w:pPr>
      <w:r>
        <w:rPr>
          <w:w w:val="110"/>
          <w:sz w:val="19"/>
        </w:rPr>
        <w:t>Rumination Disorder</w:t>
      </w:r>
      <w:r>
        <w:rPr>
          <w:spacing w:val="-22"/>
          <w:w w:val="110"/>
          <w:sz w:val="19"/>
        </w:rPr>
        <w:t xml:space="preserve"> </w:t>
      </w:r>
      <w:r>
        <w:rPr>
          <w:w w:val="110"/>
          <w:sz w:val="19"/>
        </w:rPr>
        <w:t>(96)</w:t>
      </w:r>
    </w:p>
    <w:p w:rsidR="00E675F0" w:rsidRDefault="00E675F0" w:rsidP="00E675F0">
      <w:pPr>
        <w:spacing w:before="22" w:line="259" w:lineRule="auto"/>
        <w:ind w:left="883" w:right="348" w:hanging="726"/>
        <w:rPr>
          <w:sz w:val="19"/>
        </w:rPr>
      </w:pPr>
      <w:r>
        <w:rPr>
          <w:w w:val="110"/>
          <w:sz w:val="19"/>
        </w:rPr>
        <w:t>307.59 Feeding Disorder of Infancy or Early Childhood (98)</w:t>
      </w:r>
    </w:p>
    <w:p w:rsidR="00E675F0" w:rsidRDefault="00E675F0" w:rsidP="00E675F0">
      <w:pPr>
        <w:pStyle w:val="BodyText"/>
        <w:spacing w:before="7"/>
        <w:rPr>
          <w:sz w:val="16"/>
        </w:rPr>
      </w:pPr>
    </w:p>
    <w:p w:rsidR="00E675F0" w:rsidRDefault="00E675F0" w:rsidP="00E675F0">
      <w:pPr>
        <w:spacing w:before="1"/>
        <w:ind w:left="149"/>
        <w:rPr>
          <w:sz w:val="19"/>
        </w:rPr>
      </w:pPr>
      <w:r>
        <w:rPr>
          <w:b/>
          <w:w w:val="105"/>
          <w:sz w:val="18"/>
        </w:rPr>
        <w:t xml:space="preserve">TIC DISORDERS </w:t>
      </w:r>
      <w:r>
        <w:rPr>
          <w:w w:val="105"/>
          <w:sz w:val="19"/>
        </w:rPr>
        <w:t>(100)</w:t>
      </w:r>
    </w:p>
    <w:p w:rsidR="00E675F0" w:rsidRDefault="00E675F0" w:rsidP="00E675F0">
      <w:pPr>
        <w:spacing w:before="21"/>
        <w:ind w:left="157"/>
        <w:rPr>
          <w:sz w:val="19"/>
        </w:rPr>
      </w:pPr>
      <w:r>
        <w:rPr>
          <w:w w:val="110"/>
          <w:sz w:val="19"/>
        </w:rPr>
        <w:t>307.23 Tourette's Disorder (101)</w:t>
      </w:r>
    </w:p>
    <w:p w:rsidR="00E675F0" w:rsidRDefault="00E675F0" w:rsidP="00E675F0">
      <w:pPr>
        <w:spacing w:before="22" w:line="264" w:lineRule="auto"/>
        <w:ind w:left="883" w:right="348" w:hanging="726"/>
        <w:rPr>
          <w:sz w:val="19"/>
        </w:rPr>
      </w:pPr>
      <w:r>
        <w:rPr>
          <w:w w:val="105"/>
          <w:sz w:val="19"/>
        </w:rPr>
        <w:t>307.22 Chronic Motor or Vocal Tic Disorder (103)</w:t>
      </w:r>
    </w:p>
    <w:p w:rsidR="00E675F0" w:rsidRDefault="00E675F0" w:rsidP="00E675F0">
      <w:pPr>
        <w:spacing w:before="5" w:line="203" w:lineRule="exact"/>
        <w:ind w:left="157"/>
        <w:rPr>
          <w:sz w:val="19"/>
        </w:rPr>
      </w:pPr>
      <w:r>
        <w:rPr>
          <w:w w:val="110"/>
          <w:sz w:val="19"/>
        </w:rPr>
        <w:t>307.21 Transient Tic Disorder (104)</w:t>
      </w:r>
    </w:p>
    <w:p w:rsidR="00E675F0" w:rsidRDefault="00E675F0" w:rsidP="00E675F0">
      <w:pPr>
        <w:spacing w:line="214" w:lineRule="exact"/>
        <w:ind w:left="890"/>
        <w:rPr>
          <w:sz w:val="16"/>
        </w:rPr>
      </w:pPr>
      <w:r>
        <w:rPr>
          <w:i/>
          <w:w w:val="105"/>
          <w:sz w:val="15"/>
        </w:rPr>
        <w:t xml:space="preserve">Specijy </w:t>
      </w:r>
      <w:r>
        <w:rPr>
          <w:rFonts w:ascii="Arial"/>
          <w:i/>
          <w:w w:val="105"/>
          <w:sz w:val="20"/>
        </w:rPr>
        <w:t xml:space="preserve">if </w:t>
      </w:r>
      <w:r>
        <w:rPr>
          <w:w w:val="105"/>
          <w:sz w:val="16"/>
        </w:rPr>
        <w:t>Single Episode/Recurrent</w:t>
      </w:r>
    </w:p>
    <w:p w:rsidR="00E675F0" w:rsidRDefault="00E675F0" w:rsidP="00E675F0">
      <w:pPr>
        <w:spacing w:before="21"/>
        <w:ind w:left="157"/>
        <w:rPr>
          <w:sz w:val="19"/>
        </w:rPr>
      </w:pPr>
      <w:r>
        <w:rPr>
          <w:w w:val="110"/>
          <w:sz w:val="19"/>
        </w:rPr>
        <w:t>307.20 Tic Disorder NOS (105)</w:t>
      </w:r>
    </w:p>
    <w:p w:rsidR="00E675F0" w:rsidRDefault="00E675F0" w:rsidP="00E675F0">
      <w:pPr>
        <w:pStyle w:val="BodyText"/>
        <w:spacing w:before="7"/>
        <w:rPr>
          <w:sz w:val="18"/>
        </w:rPr>
      </w:pPr>
    </w:p>
    <w:p w:rsidR="00E675F0" w:rsidRDefault="00E675F0" w:rsidP="00E675F0">
      <w:pPr>
        <w:ind w:left="157"/>
        <w:rPr>
          <w:sz w:val="19"/>
        </w:rPr>
      </w:pPr>
      <w:r>
        <w:rPr>
          <w:b/>
          <w:w w:val="105"/>
          <w:sz w:val="18"/>
        </w:rPr>
        <w:t xml:space="preserve">ELIMINATION DISORDERS </w:t>
      </w:r>
      <w:r>
        <w:rPr>
          <w:w w:val="105"/>
          <w:sz w:val="19"/>
        </w:rPr>
        <w:t>(106)</w:t>
      </w:r>
    </w:p>
    <w:p w:rsidR="00E675F0" w:rsidRDefault="00E675F0" w:rsidP="00E675F0">
      <w:pPr>
        <w:spacing w:before="22"/>
        <w:ind w:left="888"/>
        <w:rPr>
          <w:sz w:val="19"/>
        </w:rPr>
      </w:pPr>
      <w:r>
        <w:rPr>
          <w:w w:val="110"/>
          <w:sz w:val="19"/>
        </w:rPr>
        <w:t>Encopresis (106)</w:t>
      </w:r>
    </w:p>
    <w:p w:rsidR="00E675F0" w:rsidRDefault="00E675F0" w:rsidP="00E675F0">
      <w:pPr>
        <w:tabs>
          <w:tab w:val="left" w:pos="1024"/>
        </w:tabs>
        <w:spacing w:before="31"/>
        <w:ind w:right="724"/>
        <w:jc w:val="right"/>
        <w:rPr>
          <w:sz w:val="19"/>
        </w:rPr>
      </w:pPr>
      <w:r>
        <w:rPr>
          <w:w w:val="105"/>
          <w:sz w:val="19"/>
        </w:rPr>
        <w:t>787.6</w:t>
      </w:r>
      <w:r>
        <w:rPr>
          <w:w w:val="105"/>
          <w:sz w:val="19"/>
        </w:rPr>
        <w:tab/>
        <w:t>With Constipation</w:t>
      </w:r>
      <w:r>
        <w:rPr>
          <w:spacing w:val="39"/>
          <w:w w:val="105"/>
          <w:sz w:val="19"/>
        </w:rPr>
        <w:t xml:space="preserve"> </w:t>
      </w:r>
      <w:r>
        <w:rPr>
          <w:w w:val="105"/>
          <w:sz w:val="19"/>
        </w:rPr>
        <w:t>and</w:t>
      </w:r>
    </w:p>
    <w:p w:rsidR="00E675F0" w:rsidRDefault="00E675F0" w:rsidP="00E675F0">
      <w:pPr>
        <w:spacing w:before="27"/>
        <w:ind w:right="671"/>
        <w:jc w:val="right"/>
        <w:rPr>
          <w:sz w:val="19"/>
        </w:rPr>
      </w:pPr>
      <w:r>
        <w:rPr>
          <w:w w:val="110"/>
          <w:sz w:val="19"/>
        </w:rPr>
        <w:t>Overflow Incontinence</w:t>
      </w:r>
    </w:p>
    <w:p w:rsidR="00E675F0" w:rsidRDefault="00E675F0" w:rsidP="00E675F0">
      <w:pPr>
        <w:tabs>
          <w:tab w:val="left" w:pos="1182"/>
        </w:tabs>
        <w:spacing w:before="31"/>
        <w:ind w:left="157"/>
        <w:rPr>
          <w:sz w:val="19"/>
        </w:rPr>
      </w:pPr>
      <w:r>
        <w:rPr>
          <w:w w:val="110"/>
          <w:sz w:val="19"/>
        </w:rPr>
        <w:t>307.7</w:t>
      </w:r>
      <w:r>
        <w:rPr>
          <w:w w:val="110"/>
          <w:sz w:val="19"/>
        </w:rPr>
        <w:tab/>
        <w:t>Without Constipation</w:t>
      </w:r>
      <w:r>
        <w:rPr>
          <w:spacing w:val="-9"/>
          <w:w w:val="110"/>
          <w:sz w:val="19"/>
        </w:rPr>
        <w:t xml:space="preserve"> </w:t>
      </w:r>
      <w:r>
        <w:rPr>
          <w:w w:val="110"/>
          <w:sz w:val="19"/>
        </w:rPr>
        <w:t>and</w:t>
      </w:r>
    </w:p>
    <w:p w:rsidR="00E675F0" w:rsidRDefault="00E675F0" w:rsidP="00E675F0">
      <w:pPr>
        <w:spacing w:before="22"/>
        <w:ind w:left="1183"/>
        <w:rPr>
          <w:sz w:val="19"/>
        </w:rPr>
      </w:pPr>
      <w:r>
        <w:rPr>
          <w:w w:val="110"/>
          <w:sz w:val="19"/>
        </w:rPr>
        <w:t>Overflow Incontinence</w:t>
      </w:r>
    </w:p>
    <w:p w:rsidR="00E675F0" w:rsidRDefault="00E675F0" w:rsidP="00E675F0">
      <w:pPr>
        <w:tabs>
          <w:tab w:val="left" w:pos="883"/>
        </w:tabs>
        <w:spacing w:before="22" w:line="254" w:lineRule="auto"/>
        <w:ind w:left="881" w:right="223" w:hanging="724"/>
        <w:rPr>
          <w:sz w:val="16"/>
        </w:rPr>
      </w:pPr>
      <w:r>
        <w:rPr>
          <w:w w:val="110"/>
          <w:sz w:val="19"/>
        </w:rPr>
        <w:t>307.6</w:t>
      </w:r>
      <w:r>
        <w:rPr>
          <w:w w:val="110"/>
          <w:sz w:val="19"/>
        </w:rPr>
        <w:tab/>
      </w:r>
      <w:r>
        <w:rPr>
          <w:w w:val="110"/>
          <w:sz w:val="19"/>
        </w:rPr>
        <w:tab/>
        <w:t xml:space="preserve">Enuresis (Not Due to a General Medical Condition) (108) </w:t>
      </w:r>
      <w:r>
        <w:rPr>
          <w:i/>
          <w:w w:val="110"/>
          <w:sz w:val="15"/>
        </w:rPr>
        <w:t xml:space="preserve">Spec/fytype: </w:t>
      </w:r>
      <w:r>
        <w:rPr>
          <w:w w:val="110"/>
          <w:sz w:val="16"/>
        </w:rPr>
        <w:t>Nocturnal Only/Diurnal Only/Nocturnal and</w:t>
      </w:r>
      <w:r>
        <w:rPr>
          <w:spacing w:val="-4"/>
          <w:w w:val="110"/>
          <w:sz w:val="16"/>
        </w:rPr>
        <w:t xml:space="preserve"> </w:t>
      </w:r>
      <w:r>
        <w:rPr>
          <w:w w:val="110"/>
          <w:sz w:val="16"/>
        </w:rPr>
        <w:t>Diurnal</w:t>
      </w:r>
    </w:p>
    <w:p w:rsidR="00E675F0" w:rsidRDefault="00E675F0" w:rsidP="00E675F0">
      <w:pPr>
        <w:spacing w:before="151" w:line="283" w:lineRule="auto"/>
        <w:ind w:left="144" w:firstLine="5"/>
        <w:rPr>
          <w:b/>
          <w:sz w:val="18"/>
        </w:rPr>
      </w:pPr>
      <w:r>
        <w:br w:type="column"/>
      </w:r>
      <w:r>
        <w:rPr>
          <w:b/>
          <w:w w:val="105"/>
          <w:sz w:val="18"/>
        </w:rPr>
        <w:t>OTHER DISORDERS OF INFANCY, CHILDHOOD, OR ADOLESCENCE</w:t>
      </w:r>
    </w:p>
    <w:p w:rsidR="00E675F0" w:rsidRDefault="00E675F0" w:rsidP="00E675F0">
      <w:pPr>
        <w:spacing w:line="200" w:lineRule="exact"/>
        <w:ind w:left="154"/>
        <w:rPr>
          <w:sz w:val="19"/>
        </w:rPr>
      </w:pPr>
      <w:r>
        <w:rPr>
          <w:w w:val="110"/>
          <w:sz w:val="19"/>
        </w:rPr>
        <w:t>309.21 Separation Anxiety Disorder (110)</w:t>
      </w:r>
    </w:p>
    <w:p w:rsidR="00E675F0" w:rsidRDefault="00E675F0" w:rsidP="00E675F0">
      <w:pPr>
        <w:spacing w:line="215" w:lineRule="exact"/>
        <w:ind w:left="887"/>
        <w:rPr>
          <w:sz w:val="16"/>
        </w:rPr>
      </w:pPr>
      <w:r>
        <w:rPr>
          <w:i/>
          <w:w w:val="105"/>
          <w:sz w:val="15"/>
        </w:rPr>
        <w:t xml:space="preserve">Spec/fy </w:t>
      </w:r>
      <w:r>
        <w:rPr>
          <w:i/>
          <w:w w:val="105"/>
          <w:sz w:val="20"/>
        </w:rPr>
        <w:t xml:space="preserve">!l </w:t>
      </w:r>
      <w:r>
        <w:rPr>
          <w:w w:val="105"/>
          <w:sz w:val="16"/>
        </w:rPr>
        <w:t>Early Onset</w:t>
      </w:r>
    </w:p>
    <w:p w:rsidR="00E675F0" w:rsidRDefault="00E675F0" w:rsidP="00E675F0">
      <w:pPr>
        <w:spacing w:before="20"/>
        <w:ind w:left="154"/>
        <w:rPr>
          <w:sz w:val="19"/>
        </w:rPr>
      </w:pPr>
      <w:r>
        <w:rPr>
          <w:w w:val="105"/>
          <w:sz w:val="19"/>
        </w:rPr>
        <w:t>313.23 Selective Mutism (114)</w:t>
      </w:r>
    </w:p>
    <w:p w:rsidR="00E675F0" w:rsidRDefault="00E675F0" w:rsidP="00E675F0">
      <w:pPr>
        <w:spacing w:before="27" w:line="268" w:lineRule="auto"/>
        <w:ind w:left="871" w:right="522" w:hanging="718"/>
        <w:rPr>
          <w:sz w:val="19"/>
        </w:rPr>
      </w:pPr>
      <w:r>
        <w:rPr>
          <w:w w:val="105"/>
          <w:sz w:val="19"/>
        </w:rPr>
        <w:t>313.89 Reactive Attachment</w:t>
      </w:r>
      <w:r>
        <w:rPr>
          <w:spacing w:val="49"/>
          <w:w w:val="105"/>
          <w:sz w:val="19"/>
        </w:rPr>
        <w:t xml:space="preserve"> </w:t>
      </w:r>
      <w:r>
        <w:rPr>
          <w:w w:val="105"/>
          <w:sz w:val="19"/>
        </w:rPr>
        <w:t>Disorder of Infancy or</w:t>
      </w:r>
      <w:r>
        <w:rPr>
          <w:spacing w:val="16"/>
          <w:w w:val="105"/>
          <w:sz w:val="19"/>
        </w:rPr>
        <w:t xml:space="preserve"> </w:t>
      </w:r>
      <w:r>
        <w:rPr>
          <w:w w:val="105"/>
          <w:sz w:val="19"/>
        </w:rPr>
        <w:t>Early</w:t>
      </w:r>
    </w:p>
    <w:p w:rsidR="00E675F0" w:rsidRDefault="00E675F0" w:rsidP="00E675F0">
      <w:pPr>
        <w:ind w:left="876"/>
        <w:rPr>
          <w:sz w:val="19"/>
        </w:rPr>
      </w:pPr>
      <w:r>
        <w:rPr>
          <w:w w:val="110"/>
          <w:sz w:val="19"/>
        </w:rPr>
        <w:t>Childhood (116)</w:t>
      </w:r>
    </w:p>
    <w:p w:rsidR="00E675F0" w:rsidRDefault="00E675F0" w:rsidP="00E675F0">
      <w:pPr>
        <w:spacing w:before="7" w:line="249" w:lineRule="auto"/>
        <w:ind w:left="880" w:right="522" w:firstLine="6"/>
        <w:rPr>
          <w:sz w:val="16"/>
        </w:rPr>
      </w:pPr>
      <w:r>
        <w:rPr>
          <w:i/>
          <w:w w:val="105"/>
          <w:sz w:val="15"/>
        </w:rPr>
        <w:t xml:space="preserve">SpeciJ.y type: </w:t>
      </w:r>
      <w:r>
        <w:rPr>
          <w:w w:val="105"/>
          <w:sz w:val="16"/>
        </w:rPr>
        <w:t>Inhibited Type/ Disinhibited</w:t>
      </w:r>
      <w:r>
        <w:rPr>
          <w:spacing w:val="8"/>
          <w:w w:val="105"/>
          <w:sz w:val="16"/>
        </w:rPr>
        <w:t xml:space="preserve"> </w:t>
      </w:r>
      <w:r>
        <w:rPr>
          <w:w w:val="105"/>
          <w:sz w:val="16"/>
        </w:rPr>
        <w:t>Type</w:t>
      </w:r>
    </w:p>
    <w:p w:rsidR="00E675F0" w:rsidRDefault="00E675F0" w:rsidP="00E675F0">
      <w:pPr>
        <w:tabs>
          <w:tab w:val="left" w:pos="871"/>
        </w:tabs>
        <w:spacing w:before="27" w:line="259" w:lineRule="auto"/>
        <w:ind w:left="880" w:right="1138" w:hanging="726"/>
        <w:rPr>
          <w:sz w:val="19"/>
        </w:rPr>
      </w:pPr>
      <w:r>
        <w:rPr>
          <w:w w:val="110"/>
          <w:sz w:val="19"/>
        </w:rPr>
        <w:t>307.3</w:t>
      </w:r>
      <w:r>
        <w:rPr>
          <w:w w:val="110"/>
          <w:sz w:val="19"/>
        </w:rPr>
        <w:tab/>
        <w:t>Stereotypic</w:t>
      </w:r>
      <w:r>
        <w:rPr>
          <w:spacing w:val="-17"/>
          <w:w w:val="110"/>
          <w:sz w:val="19"/>
        </w:rPr>
        <w:t xml:space="preserve"> </w:t>
      </w:r>
      <w:r>
        <w:rPr>
          <w:w w:val="110"/>
          <w:sz w:val="19"/>
        </w:rPr>
        <w:t>Movement Disorder</w:t>
      </w:r>
      <w:r>
        <w:rPr>
          <w:spacing w:val="7"/>
          <w:w w:val="110"/>
          <w:sz w:val="19"/>
        </w:rPr>
        <w:t xml:space="preserve"> </w:t>
      </w:r>
      <w:r>
        <w:rPr>
          <w:w w:val="110"/>
          <w:sz w:val="19"/>
        </w:rPr>
        <w:t>(118)</w:t>
      </w:r>
    </w:p>
    <w:p w:rsidR="00E675F0" w:rsidRDefault="00E675F0" w:rsidP="00E675F0">
      <w:pPr>
        <w:spacing w:line="180" w:lineRule="exact"/>
        <w:ind w:left="887"/>
        <w:rPr>
          <w:sz w:val="16"/>
        </w:rPr>
      </w:pPr>
      <w:r>
        <w:rPr>
          <w:i/>
          <w:sz w:val="15"/>
        </w:rPr>
        <w:t xml:space="preserve">Spec/fy </w:t>
      </w:r>
      <w:r>
        <w:rPr>
          <w:rFonts w:ascii="Arial"/>
          <w:i/>
          <w:sz w:val="20"/>
        </w:rPr>
        <w:t xml:space="preserve">if </w:t>
      </w:r>
      <w:r>
        <w:rPr>
          <w:sz w:val="16"/>
        </w:rPr>
        <w:t>With Self-Injurious Behavior</w:t>
      </w:r>
    </w:p>
    <w:p w:rsidR="00E675F0" w:rsidRDefault="00E675F0" w:rsidP="00E675F0">
      <w:pPr>
        <w:pStyle w:val="BodyText"/>
        <w:spacing w:before="1"/>
        <w:rPr>
          <w:sz w:val="23"/>
        </w:rPr>
      </w:pPr>
    </w:p>
    <w:p w:rsidR="00E675F0" w:rsidRDefault="00E675F0" w:rsidP="00E675F0">
      <w:pPr>
        <w:tabs>
          <w:tab w:val="left" w:pos="884"/>
        </w:tabs>
        <w:spacing w:line="264" w:lineRule="auto"/>
        <w:ind w:left="876" w:right="316" w:hanging="718"/>
        <w:rPr>
          <w:sz w:val="19"/>
        </w:rPr>
      </w:pPr>
      <w:r>
        <w:rPr>
          <w:w w:val="110"/>
          <w:sz w:val="19"/>
        </w:rPr>
        <w:t>313.9</w:t>
      </w:r>
      <w:r>
        <w:rPr>
          <w:w w:val="110"/>
          <w:sz w:val="19"/>
        </w:rPr>
        <w:tab/>
      </w:r>
      <w:r>
        <w:rPr>
          <w:w w:val="110"/>
          <w:sz w:val="19"/>
        </w:rPr>
        <w:tab/>
        <w:t>Disorder of Infancy, Childhood, or Adolescence NOS</w:t>
      </w:r>
      <w:r>
        <w:rPr>
          <w:spacing w:val="-13"/>
          <w:w w:val="110"/>
          <w:sz w:val="19"/>
        </w:rPr>
        <w:t xml:space="preserve"> </w:t>
      </w:r>
      <w:r>
        <w:rPr>
          <w:w w:val="110"/>
          <w:sz w:val="19"/>
        </w:rPr>
        <w:t>(121)</w:t>
      </w:r>
    </w:p>
    <w:p w:rsidR="00E675F0" w:rsidRDefault="00E675F0" w:rsidP="00E675F0">
      <w:pPr>
        <w:pStyle w:val="BodyText"/>
      </w:pPr>
    </w:p>
    <w:p w:rsidR="00E675F0" w:rsidRDefault="00E675F0" w:rsidP="00E675F0">
      <w:pPr>
        <w:pStyle w:val="BodyText"/>
        <w:spacing w:before="5"/>
        <w:rPr>
          <w:sz w:val="28"/>
        </w:rPr>
      </w:pPr>
    </w:p>
    <w:p w:rsidR="00E675F0" w:rsidRDefault="00E675F0" w:rsidP="00E675F0">
      <w:pPr>
        <w:spacing w:line="280" w:lineRule="auto"/>
        <w:ind w:left="339" w:right="522" w:firstLine="3"/>
        <w:rPr>
          <w:sz w:val="18"/>
        </w:rPr>
      </w:pPr>
      <w:r>
        <w:rPr>
          <w:rFonts w:ascii="Arial"/>
          <w:b/>
          <w:color w:val="161616"/>
          <w:sz w:val="21"/>
        </w:rPr>
        <w:t xml:space="preserve">Delirium, Dementia, and Amnestic and Other Cognitive Disorders </w:t>
      </w:r>
      <w:r>
        <w:rPr>
          <w:rFonts w:ascii="Arial"/>
          <w:color w:val="5D5D5D"/>
          <w:sz w:val="21"/>
        </w:rPr>
        <w:t xml:space="preserve">( </w:t>
      </w:r>
      <w:r>
        <w:rPr>
          <w:color w:val="161616"/>
          <w:sz w:val="18"/>
        </w:rPr>
        <w:t xml:space="preserve">1 </w:t>
      </w:r>
      <w:r>
        <w:rPr>
          <w:color w:val="5D5D5D"/>
          <w:sz w:val="18"/>
        </w:rPr>
        <w:t>23)</w:t>
      </w:r>
    </w:p>
    <w:p w:rsidR="00E675F0" w:rsidRDefault="00E675F0" w:rsidP="00E675F0">
      <w:pPr>
        <w:pStyle w:val="BodyText"/>
        <w:spacing w:before="7"/>
        <w:rPr>
          <w:sz w:val="26"/>
        </w:rPr>
      </w:pPr>
    </w:p>
    <w:p w:rsidR="00E675F0" w:rsidRDefault="00E675F0" w:rsidP="00E675F0">
      <w:pPr>
        <w:ind w:left="154"/>
        <w:rPr>
          <w:sz w:val="19"/>
        </w:rPr>
      </w:pPr>
      <w:r>
        <w:rPr>
          <w:b/>
          <w:w w:val="105"/>
          <w:sz w:val="18"/>
        </w:rPr>
        <w:t xml:space="preserve">DELIRIUM </w:t>
      </w:r>
      <w:r>
        <w:rPr>
          <w:w w:val="105"/>
          <w:sz w:val="19"/>
        </w:rPr>
        <w:t>(124)</w:t>
      </w:r>
    </w:p>
    <w:p w:rsidR="00E675F0" w:rsidRDefault="00E675F0" w:rsidP="00E675F0">
      <w:pPr>
        <w:tabs>
          <w:tab w:val="left" w:pos="889"/>
        </w:tabs>
        <w:spacing w:before="18" w:line="249" w:lineRule="auto"/>
        <w:ind w:left="889" w:right="522" w:hanging="727"/>
        <w:rPr>
          <w:sz w:val="19"/>
        </w:rPr>
      </w:pPr>
      <w:r>
        <w:rPr>
          <w:w w:val="105"/>
          <w:sz w:val="19"/>
        </w:rPr>
        <w:t>293.0</w:t>
      </w:r>
      <w:r>
        <w:rPr>
          <w:w w:val="105"/>
          <w:sz w:val="19"/>
        </w:rPr>
        <w:tab/>
        <w:t xml:space="preserve">Delirium Due to ... </w:t>
      </w:r>
      <w:r>
        <w:rPr>
          <w:i/>
          <w:w w:val="105"/>
          <w:sz w:val="20"/>
        </w:rPr>
        <w:t>[Indicate the General Medical Condition}</w:t>
      </w:r>
      <w:r>
        <w:rPr>
          <w:i/>
          <w:spacing w:val="35"/>
          <w:w w:val="105"/>
          <w:sz w:val="20"/>
        </w:rPr>
        <w:t xml:space="preserve"> </w:t>
      </w:r>
      <w:r>
        <w:rPr>
          <w:w w:val="105"/>
          <w:sz w:val="19"/>
        </w:rPr>
        <w:t>(127)</w:t>
      </w:r>
    </w:p>
    <w:p w:rsidR="00E675F0" w:rsidRDefault="00E675F0" w:rsidP="00E675F0">
      <w:pPr>
        <w:spacing w:before="22"/>
        <w:ind w:left="876"/>
        <w:rPr>
          <w:sz w:val="19"/>
        </w:rPr>
      </w:pPr>
      <w:r>
        <w:rPr>
          <w:w w:val="110"/>
          <w:sz w:val="19"/>
        </w:rPr>
        <w:t>Substance Intoxication Delirium</w:t>
      </w:r>
    </w:p>
    <w:p w:rsidR="00E675F0" w:rsidRDefault="00E675F0" w:rsidP="00E675F0">
      <w:pPr>
        <w:spacing w:before="3" w:line="254" w:lineRule="auto"/>
        <w:ind w:left="892" w:right="288" w:hanging="13"/>
        <w:rPr>
          <w:i/>
          <w:sz w:val="20"/>
        </w:rPr>
      </w:pPr>
      <w:r>
        <w:rPr>
          <w:w w:val="105"/>
          <w:sz w:val="19"/>
        </w:rPr>
        <w:t xml:space="preserve">(129) </w:t>
      </w:r>
      <w:r>
        <w:rPr>
          <w:i/>
          <w:w w:val="105"/>
          <w:sz w:val="20"/>
        </w:rPr>
        <w:t>(refer to Substance­ Related</w:t>
      </w:r>
      <w:r>
        <w:rPr>
          <w:i/>
          <w:spacing w:val="-13"/>
          <w:w w:val="105"/>
          <w:sz w:val="20"/>
        </w:rPr>
        <w:t xml:space="preserve"> </w:t>
      </w:r>
      <w:r>
        <w:rPr>
          <w:i/>
          <w:w w:val="105"/>
          <w:sz w:val="20"/>
        </w:rPr>
        <w:t>Disorders</w:t>
      </w:r>
      <w:r>
        <w:rPr>
          <w:i/>
          <w:spacing w:val="-23"/>
          <w:w w:val="105"/>
          <w:sz w:val="20"/>
        </w:rPr>
        <w:t xml:space="preserve"> </w:t>
      </w:r>
      <w:r>
        <w:rPr>
          <w:i/>
          <w:w w:val="105"/>
          <w:sz w:val="20"/>
        </w:rPr>
        <w:t>for</w:t>
      </w:r>
      <w:r>
        <w:rPr>
          <w:i/>
          <w:spacing w:val="-31"/>
          <w:w w:val="105"/>
          <w:sz w:val="20"/>
        </w:rPr>
        <w:t xml:space="preserve"> </w:t>
      </w:r>
      <w:r>
        <w:rPr>
          <w:i/>
          <w:w w:val="105"/>
          <w:sz w:val="20"/>
        </w:rPr>
        <w:t>substance­ specific</w:t>
      </w:r>
      <w:r>
        <w:rPr>
          <w:i/>
          <w:spacing w:val="-1"/>
          <w:w w:val="105"/>
          <w:sz w:val="20"/>
        </w:rPr>
        <w:t xml:space="preserve"> </w:t>
      </w:r>
      <w:r>
        <w:rPr>
          <w:i/>
          <w:w w:val="105"/>
          <w:sz w:val="20"/>
        </w:rPr>
        <w:t>codes)</w:t>
      </w:r>
    </w:p>
    <w:p w:rsidR="00E675F0" w:rsidRDefault="00E675F0" w:rsidP="00E675F0">
      <w:pPr>
        <w:spacing w:before="4"/>
        <w:ind w:left="876"/>
        <w:rPr>
          <w:sz w:val="19"/>
        </w:rPr>
      </w:pPr>
      <w:r>
        <w:rPr>
          <w:w w:val="110"/>
          <w:sz w:val="19"/>
        </w:rPr>
        <w:t>Substance Withdrawal Delirium</w:t>
      </w:r>
    </w:p>
    <w:p w:rsidR="00E675F0" w:rsidRDefault="00E675F0" w:rsidP="00E675F0">
      <w:pPr>
        <w:spacing w:before="12" w:line="249" w:lineRule="auto"/>
        <w:ind w:left="889" w:right="288" w:hanging="10"/>
        <w:rPr>
          <w:i/>
          <w:sz w:val="20"/>
        </w:rPr>
      </w:pPr>
      <w:r>
        <w:rPr>
          <w:w w:val="105"/>
          <w:sz w:val="19"/>
        </w:rPr>
        <w:t xml:space="preserve">(129) </w:t>
      </w:r>
      <w:r>
        <w:rPr>
          <w:i/>
          <w:w w:val="105"/>
          <w:sz w:val="20"/>
        </w:rPr>
        <w:t>(refer to Substance­ Related</w:t>
      </w:r>
      <w:r>
        <w:rPr>
          <w:i/>
          <w:spacing w:val="-15"/>
          <w:w w:val="105"/>
          <w:sz w:val="20"/>
        </w:rPr>
        <w:t xml:space="preserve"> </w:t>
      </w:r>
      <w:r>
        <w:rPr>
          <w:i/>
          <w:w w:val="105"/>
          <w:sz w:val="20"/>
        </w:rPr>
        <w:t>Disorders</w:t>
      </w:r>
      <w:r>
        <w:rPr>
          <w:i/>
          <w:spacing w:val="-24"/>
          <w:w w:val="105"/>
          <w:sz w:val="20"/>
        </w:rPr>
        <w:t xml:space="preserve"> </w:t>
      </w:r>
      <w:r>
        <w:rPr>
          <w:i/>
          <w:w w:val="105"/>
          <w:sz w:val="20"/>
        </w:rPr>
        <w:t>for</w:t>
      </w:r>
      <w:r>
        <w:rPr>
          <w:i/>
          <w:spacing w:val="-30"/>
          <w:w w:val="105"/>
          <w:sz w:val="20"/>
        </w:rPr>
        <w:t xml:space="preserve"> </w:t>
      </w:r>
      <w:r>
        <w:rPr>
          <w:i/>
          <w:w w:val="105"/>
          <w:sz w:val="20"/>
        </w:rPr>
        <w:t>substance­ specific</w:t>
      </w:r>
      <w:r>
        <w:rPr>
          <w:i/>
          <w:spacing w:val="3"/>
          <w:w w:val="105"/>
          <w:sz w:val="20"/>
        </w:rPr>
        <w:t xml:space="preserve"> </w:t>
      </w:r>
      <w:r>
        <w:rPr>
          <w:i/>
          <w:w w:val="105"/>
          <w:sz w:val="20"/>
        </w:rPr>
        <w:t>codes)</w:t>
      </w:r>
    </w:p>
    <w:p w:rsidR="00E675F0" w:rsidRDefault="00E675F0" w:rsidP="00E675F0">
      <w:pPr>
        <w:spacing w:before="18" w:line="254" w:lineRule="auto"/>
        <w:ind w:left="884" w:right="522"/>
        <w:rPr>
          <w:sz w:val="19"/>
        </w:rPr>
      </w:pPr>
      <w:r>
        <w:rPr>
          <w:w w:val="105"/>
          <w:sz w:val="19"/>
        </w:rPr>
        <w:t xml:space="preserve">Delirium Due to Multiple Etiologies </w:t>
      </w:r>
      <w:r>
        <w:rPr>
          <w:i/>
          <w:w w:val="105"/>
          <w:sz w:val="19"/>
        </w:rPr>
        <w:t xml:space="preserve">( </w:t>
      </w:r>
      <w:r>
        <w:rPr>
          <w:i/>
          <w:w w:val="105"/>
          <w:sz w:val="20"/>
        </w:rPr>
        <w:t xml:space="preserve">code each of the specific etiologies) </w:t>
      </w:r>
      <w:r>
        <w:rPr>
          <w:w w:val="105"/>
          <w:sz w:val="19"/>
        </w:rPr>
        <w:t>(132)</w:t>
      </w:r>
    </w:p>
    <w:p w:rsidR="00E675F0" w:rsidRDefault="00E675F0" w:rsidP="00E675F0">
      <w:pPr>
        <w:spacing w:before="16"/>
        <w:ind w:left="159"/>
        <w:rPr>
          <w:sz w:val="19"/>
        </w:rPr>
      </w:pPr>
      <w:r>
        <w:rPr>
          <w:w w:val="110"/>
          <w:sz w:val="19"/>
        </w:rPr>
        <w:t>780.09 Delirium NOS 033)</w:t>
      </w:r>
    </w:p>
    <w:p w:rsidR="00E675F0" w:rsidRDefault="00E675F0" w:rsidP="00E675F0">
      <w:pPr>
        <w:pStyle w:val="BodyText"/>
        <w:spacing w:before="10"/>
        <w:rPr>
          <w:sz w:val="24"/>
        </w:rPr>
      </w:pPr>
    </w:p>
    <w:p w:rsidR="00E675F0" w:rsidRDefault="00E675F0" w:rsidP="00E675F0">
      <w:pPr>
        <w:ind w:left="159"/>
        <w:rPr>
          <w:sz w:val="19"/>
        </w:rPr>
      </w:pPr>
      <w:r>
        <w:rPr>
          <w:b/>
          <w:w w:val="115"/>
          <w:sz w:val="18"/>
        </w:rPr>
        <w:t xml:space="preserve">DEMENTIA </w:t>
      </w:r>
      <w:r>
        <w:rPr>
          <w:w w:val="115"/>
          <w:sz w:val="19"/>
        </w:rPr>
        <w:t>033)</w:t>
      </w:r>
    </w:p>
    <w:p w:rsidR="00E675F0" w:rsidRDefault="00E675F0" w:rsidP="00E675F0">
      <w:pPr>
        <w:spacing w:before="22" w:line="256" w:lineRule="auto"/>
        <w:ind w:left="877" w:right="381" w:hanging="711"/>
        <w:rPr>
          <w:sz w:val="19"/>
        </w:rPr>
      </w:pPr>
      <w:r>
        <w:rPr>
          <w:w w:val="105"/>
          <w:sz w:val="19"/>
        </w:rPr>
        <w:t xml:space="preserve">290.xx Dementia of the Alzheimer's Type, With Early Onset </w:t>
      </w:r>
      <w:r>
        <w:rPr>
          <w:i/>
          <w:w w:val="105"/>
          <w:sz w:val="20"/>
        </w:rPr>
        <w:t>(also code 331.0 Alzheimer's disease on Axis III)</w:t>
      </w:r>
      <w:r>
        <w:rPr>
          <w:i/>
          <w:spacing w:val="7"/>
          <w:w w:val="105"/>
          <w:sz w:val="20"/>
        </w:rPr>
        <w:t xml:space="preserve"> </w:t>
      </w:r>
      <w:r>
        <w:rPr>
          <w:w w:val="105"/>
          <w:sz w:val="19"/>
        </w:rPr>
        <w:t>(139)</w:t>
      </w:r>
    </w:p>
    <w:p w:rsidR="00E675F0" w:rsidRDefault="00E675F0" w:rsidP="003048D3">
      <w:pPr>
        <w:pStyle w:val="ListParagraph"/>
        <w:numPr>
          <w:ilvl w:val="0"/>
          <w:numId w:val="131"/>
        </w:numPr>
        <w:tabs>
          <w:tab w:val="left" w:pos="1180"/>
          <w:tab w:val="left" w:pos="1181"/>
        </w:tabs>
        <w:spacing w:before="13"/>
        <w:ind w:hanging="711"/>
        <w:rPr>
          <w:sz w:val="19"/>
        </w:rPr>
      </w:pPr>
      <w:r>
        <w:rPr>
          <w:w w:val="110"/>
          <w:sz w:val="19"/>
        </w:rPr>
        <w:t>Uncomplicated</w:t>
      </w:r>
    </w:p>
    <w:p w:rsidR="00E675F0" w:rsidRDefault="00E675F0" w:rsidP="003048D3">
      <w:pPr>
        <w:pStyle w:val="ListParagraph"/>
        <w:numPr>
          <w:ilvl w:val="0"/>
          <w:numId w:val="131"/>
        </w:numPr>
        <w:tabs>
          <w:tab w:val="left" w:pos="1174"/>
          <w:tab w:val="left" w:pos="1175"/>
        </w:tabs>
        <w:spacing w:before="22"/>
        <w:ind w:left="1174" w:hanging="705"/>
        <w:rPr>
          <w:sz w:val="19"/>
        </w:rPr>
      </w:pPr>
      <w:r>
        <w:rPr>
          <w:w w:val="105"/>
          <w:sz w:val="19"/>
        </w:rPr>
        <w:t>With</w:t>
      </w:r>
      <w:r>
        <w:rPr>
          <w:spacing w:val="21"/>
          <w:w w:val="105"/>
          <w:sz w:val="19"/>
        </w:rPr>
        <w:t xml:space="preserve"> </w:t>
      </w:r>
      <w:r>
        <w:rPr>
          <w:w w:val="105"/>
          <w:sz w:val="19"/>
        </w:rPr>
        <w:t>Delirium</w:t>
      </w:r>
    </w:p>
    <w:p w:rsidR="00E675F0" w:rsidRDefault="00E675F0" w:rsidP="003048D3">
      <w:pPr>
        <w:pStyle w:val="ListParagraph"/>
        <w:numPr>
          <w:ilvl w:val="0"/>
          <w:numId w:val="131"/>
        </w:numPr>
        <w:tabs>
          <w:tab w:val="left" w:pos="1174"/>
          <w:tab w:val="left" w:pos="1175"/>
        </w:tabs>
        <w:spacing w:before="27"/>
        <w:ind w:left="1174" w:hanging="705"/>
        <w:rPr>
          <w:sz w:val="19"/>
        </w:rPr>
      </w:pPr>
      <w:r>
        <w:rPr>
          <w:w w:val="110"/>
          <w:sz w:val="19"/>
        </w:rPr>
        <w:t>With</w:t>
      </w:r>
      <w:r>
        <w:rPr>
          <w:spacing w:val="17"/>
          <w:w w:val="110"/>
          <w:sz w:val="19"/>
        </w:rPr>
        <w:t xml:space="preserve"> </w:t>
      </w:r>
      <w:r>
        <w:rPr>
          <w:w w:val="110"/>
          <w:sz w:val="19"/>
        </w:rPr>
        <w:t>Delusions</w:t>
      </w:r>
    </w:p>
    <w:p w:rsidR="00E675F0" w:rsidRDefault="00E675F0" w:rsidP="003048D3">
      <w:pPr>
        <w:pStyle w:val="ListParagraph"/>
        <w:numPr>
          <w:ilvl w:val="0"/>
          <w:numId w:val="131"/>
        </w:numPr>
        <w:tabs>
          <w:tab w:val="left" w:pos="1174"/>
          <w:tab w:val="left" w:pos="1175"/>
        </w:tabs>
        <w:spacing w:before="31" w:line="200" w:lineRule="exact"/>
        <w:ind w:left="1174" w:hanging="705"/>
        <w:rPr>
          <w:sz w:val="19"/>
        </w:rPr>
      </w:pPr>
      <w:r>
        <w:rPr>
          <w:w w:val="110"/>
          <w:sz w:val="19"/>
        </w:rPr>
        <w:t>With Depressed</w:t>
      </w:r>
      <w:r>
        <w:rPr>
          <w:spacing w:val="42"/>
          <w:w w:val="110"/>
          <w:sz w:val="19"/>
        </w:rPr>
        <w:t xml:space="preserve"> </w:t>
      </w:r>
      <w:r>
        <w:rPr>
          <w:w w:val="110"/>
          <w:sz w:val="19"/>
        </w:rPr>
        <w:t>Mood</w:t>
      </w:r>
    </w:p>
    <w:p w:rsidR="00E675F0" w:rsidRDefault="00E675F0" w:rsidP="00E675F0">
      <w:pPr>
        <w:spacing w:line="212" w:lineRule="exact"/>
        <w:ind w:left="891"/>
        <w:rPr>
          <w:sz w:val="16"/>
        </w:rPr>
      </w:pPr>
      <w:r>
        <w:rPr>
          <w:i/>
          <w:sz w:val="15"/>
        </w:rPr>
        <w:t xml:space="preserve">Specify </w:t>
      </w:r>
      <w:r>
        <w:rPr>
          <w:rFonts w:ascii="Arial"/>
          <w:i/>
          <w:sz w:val="20"/>
        </w:rPr>
        <w:t xml:space="preserve">if </w:t>
      </w:r>
      <w:r>
        <w:rPr>
          <w:sz w:val="16"/>
        </w:rPr>
        <w:t>With Behavioral Disturbance</w:t>
      </w:r>
    </w:p>
    <w:p w:rsidR="00E675F0" w:rsidRDefault="00E675F0" w:rsidP="00E675F0">
      <w:pPr>
        <w:spacing w:line="212" w:lineRule="exact"/>
        <w:rPr>
          <w:sz w:val="16"/>
        </w:rPr>
        <w:sectPr w:rsidR="00E675F0">
          <w:headerReference w:type="even" r:id="rId42"/>
          <w:headerReference w:type="default" r:id="rId43"/>
          <w:pgSz w:w="8960" w:h="14260"/>
          <w:pgMar w:top="1400" w:right="540" w:bottom="280" w:left="580" w:header="711" w:footer="0" w:gutter="0"/>
          <w:pgNumType w:start="14"/>
          <w:cols w:num="2" w:space="720" w:equalWidth="0">
            <w:col w:w="3821" w:space="103"/>
            <w:col w:w="3916"/>
          </w:cols>
        </w:sectPr>
      </w:pPr>
    </w:p>
    <w:p w:rsidR="00E675F0" w:rsidRDefault="00E675F0" w:rsidP="00E675F0">
      <w:pPr>
        <w:pStyle w:val="BodyText"/>
        <w:tabs>
          <w:tab w:val="left" w:pos="4790"/>
        </w:tabs>
        <w:spacing w:before="145"/>
        <w:ind w:left="171"/>
      </w:pPr>
      <w:r>
        <w:rPr>
          <w:color w:val="181818"/>
          <w:w w:val="105"/>
        </w:rPr>
        <w:lastRenderedPageBreak/>
        <w:t xml:space="preserve">290.xx   </w:t>
      </w:r>
      <w:r>
        <w:rPr>
          <w:color w:val="030303"/>
          <w:w w:val="105"/>
        </w:rPr>
        <w:t xml:space="preserve">Dementia </w:t>
      </w:r>
      <w:r>
        <w:rPr>
          <w:color w:val="181818"/>
          <w:w w:val="105"/>
        </w:rPr>
        <w:t xml:space="preserve">of </w:t>
      </w:r>
      <w:r>
        <w:rPr>
          <w:color w:val="030303"/>
          <w:w w:val="105"/>
        </w:rPr>
        <w:t>the</w:t>
      </w:r>
      <w:r>
        <w:rPr>
          <w:color w:val="030303"/>
          <w:spacing w:val="-40"/>
          <w:w w:val="105"/>
        </w:rPr>
        <w:t xml:space="preserve"> </w:t>
      </w:r>
      <w:r>
        <w:rPr>
          <w:color w:val="030303"/>
          <w:w w:val="105"/>
        </w:rPr>
        <w:t>Alzheimer</w:t>
      </w:r>
      <w:r>
        <w:rPr>
          <w:color w:val="030303"/>
          <w:spacing w:val="9"/>
          <w:w w:val="105"/>
        </w:rPr>
        <w:t xml:space="preserve"> </w:t>
      </w:r>
      <w:r>
        <w:rPr>
          <w:color w:val="2F2F2F"/>
          <w:w w:val="105"/>
        </w:rPr>
        <w:t>'s</w:t>
      </w:r>
      <w:r>
        <w:rPr>
          <w:color w:val="2F2F2F"/>
          <w:w w:val="105"/>
        </w:rPr>
        <w:tab/>
      </w:r>
      <w:r>
        <w:rPr>
          <w:color w:val="181818"/>
          <w:w w:val="105"/>
        </w:rPr>
        <w:t>Substance-Induced</w:t>
      </w:r>
      <w:r>
        <w:rPr>
          <w:color w:val="181818"/>
          <w:spacing w:val="-11"/>
          <w:w w:val="105"/>
        </w:rPr>
        <w:t xml:space="preserve"> </w:t>
      </w:r>
      <w:r>
        <w:rPr>
          <w:color w:val="030303"/>
          <w:w w:val="105"/>
        </w:rPr>
        <w:t>Persisting</w:t>
      </w:r>
    </w:p>
    <w:p w:rsidR="00E675F0" w:rsidRDefault="00E675F0" w:rsidP="00E675F0">
      <w:pPr>
        <w:tabs>
          <w:tab w:val="left" w:pos="4804"/>
        </w:tabs>
        <w:spacing w:before="10" w:line="254" w:lineRule="auto"/>
        <w:ind w:left="906" w:right="312" w:hanging="20"/>
        <w:rPr>
          <w:sz w:val="20"/>
        </w:rPr>
      </w:pPr>
      <w:r>
        <w:rPr>
          <w:color w:val="030303"/>
          <w:w w:val="105"/>
          <w:sz w:val="20"/>
        </w:rPr>
        <w:t>Type, With Late</w:t>
      </w:r>
      <w:r>
        <w:rPr>
          <w:color w:val="030303"/>
          <w:spacing w:val="23"/>
          <w:w w:val="105"/>
          <w:sz w:val="20"/>
        </w:rPr>
        <w:t xml:space="preserve"> </w:t>
      </w:r>
      <w:r>
        <w:rPr>
          <w:color w:val="030303"/>
          <w:w w:val="105"/>
          <w:sz w:val="20"/>
        </w:rPr>
        <w:t xml:space="preserve">Onset </w:t>
      </w:r>
      <w:r>
        <w:rPr>
          <w:color w:val="030303"/>
          <w:spacing w:val="14"/>
          <w:w w:val="105"/>
          <w:sz w:val="20"/>
        </w:rPr>
        <w:t xml:space="preserve"> </w:t>
      </w:r>
      <w:r>
        <w:rPr>
          <w:i/>
          <w:color w:val="181818"/>
          <w:w w:val="105"/>
          <w:sz w:val="20"/>
        </w:rPr>
        <w:t>(also</w:t>
      </w:r>
      <w:r>
        <w:rPr>
          <w:i/>
          <w:color w:val="181818"/>
          <w:w w:val="105"/>
          <w:sz w:val="20"/>
        </w:rPr>
        <w:tab/>
      </w:r>
      <w:r>
        <w:rPr>
          <w:color w:val="030303"/>
          <w:w w:val="105"/>
          <w:sz w:val="20"/>
        </w:rPr>
        <w:t xml:space="preserve">Dementia </w:t>
      </w:r>
      <w:r>
        <w:rPr>
          <w:i/>
          <w:color w:val="181818"/>
          <w:w w:val="105"/>
          <w:sz w:val="20"/>
        </w:rPr>
        <w:t xml:space="preserve">(refer to </w:t>
      </w:r>
      <w:r>
        <w:rPr>
          <w:i/>
          <w:color w:val="030303"/>
          <w:w w:val="105"/>
          <w:sz w:val="20"/>
        </w:rPr>
        <w:t xml:space="preserve">Substance- </w:t>
      </w:r>
      <w:r>
        <w:rPr>
          <w:i/>
          <w:color w:val="181818"/>
          <w:w w:val="105"/>
          <w:sz w:val="20"/>
        </w:rPr>
        <w:t>code 331.</w:t>
      </w:r>
      <w:r>
        <w:rPr>
          <w:i/>
          <w:color w:val="030303"/>
          <w:w w:val="105"/>
          <w:sz w:val="20"/>
        </w:rPr>
        <w:t>0</w:t>
      </w:r>
      <w:r>
        <w:rPr>
          <w:i/>
          <w:color w:val="030303"/>
          <w:spacing w:val="-9"/>
          <w:w w:val="105"/>
          <w:sz w:val="20"/>
        </w:rPr>
        <w:t xml:space="preserve"> </w:t>
      </w:r>
      <w:r>
        <w:rPr>
          <w:i/>
          <w:color w:val="030303"/>
          <w:w w:val="105"/>
          <w:sz w:val="20"/>
        </w:rPr>
        <w:t>Alzheimer</w:t>
      </w:r>
      <w:r>
        <w:rPr>
          <w:i/>
          <w:color w:val="424242"/>
          <w:w w:val="105"/>
          <w:sz w:val="20"/>
        </w:rPr>
        <w:t>'</w:t>
      </w:r>
      <w:r>
        <w:rPr>
          <w:i/>
          <w:color w:val="181818"/>
          <w:w w:val="105"/>
          <w:sz w:val="20"/>
        </w:rPr>
        <w:t>s</w:t>
      </w:r>
      <w:r>
        <w:rPr>
          <w:i/>
          <w:color w:val="181818"/>
          <w:spacing w:val="-5"/>
          <w:w w:val="105"/>
          <w:sz w:val="20"/>
        </w:rPr>
        <w:t xml:space="preserve"> </w:t>
      </w:r>
      <w:r>
        <w:rPr>
          <w:i/>
          <w:color w:val="181818"/>
          <w:w w:val="105"/>
          <w:sz w:val="20"/>
        </w:rPr>
        <w:t>disease</w:t>
      </w:r>
      <w:r>
        <w:rPr>
          <w:i/>
          <w:color w:val="181818"/>
          <w:w w:val="105"/>
          <w:sz w:val="20"/>
        </w:rPr>
        <w:tab/>
      </w:r>
      <w:r>
        <w:rPr>
          <w:i/>
          <w:color w:val="030303"/>
          <w:w w:val="105"/>
          <w:sz w:val="20"/>
        </w:rPr>
        <w:t>Related</w:t>
      </w:r>
      <w:r>
        <w:rPr>
          <w:i/>
          <w:color w:val="030303"/>
          <w:spacing w:val="-14"/>
          <w:w w:val="105"/>
          <w:sz w:val="20"/>
        </w:rPr>
        <w:t xml:space="preserve"> </w:t>
      </w:r>
      <w:r>
        <w:rPr>
          <w:i/>
          <w:color w:val="030303"/>
          <w:w w:val="105"/>
          <w:sz w:val="20"/>
        </w:rPr>
        <w:t>Disorders</w:t>
      </w:r>
      <w:r>
        <w:rPr>
          <w:i/>
          <w:color w:val="030303"/>
          <w:spacing w:val="-24"/>
          <w:w w:val="105"/>
          <w:sz w:val="20"/>
        </w:rPr>
        <w:t xml:space="preserve"> </w:t>
      </w:r>
      <w:r>
        <w:rPr>
          <w:i/>
          <w:color w:val="030303"/>
          <w:w w:val="105"/>
          <w:sz w:val="20"/>
        </w:rPr>
        <w:t>for</w:t>
      </w:r>
      <w:r>
        <w:rPr>
          <w:i/>
          <w:color w:val="030303"/>
          <w:spacing w:val="-27"/>
          <w:w w:val="105"/>
          <w:sz w:val="20"/>
        </w:rPr>
        <w:t xml:space="preserve"> </w:t>
      </w:r>
      <w:r>
        <w:rPr>
          <w:i/>
          <w:color w:val="030303"/>
          <w:w w:val="105"/>
          <w:sz w:val="20"/>
        </w:rPr>
        <w:t xml:space="preserve">substance- </w:t>
      </w:r>
      <w:r>
        <w:rPr>
          <w:i/>
          <w:color w:val="181818"/>
          <w:w w:val="105"/>
          <w:sz w:val="20"/>
        </w:rPr>
        <w:t>on  Axis</w:t>
      </w:r>
      <w:r>
        <w:rPr>
          <w:i/>
          <w:color w:val="181818"/>
          <w:spacing w:val="-22"/>
          <w:w w:val="105"/>
          <w:sz w:val="20"/>
        </w:rPr>
        <w:t xml:space="preserve"> </w:t>
      </w:r>
      <w:r>
        <w:rPr>
          <w:i/>
          <w:color w:val="030303"/>
          <w:w w:val="105"/>
          <w:sz w:val="20"/>
        </w:rPr>
        <w:t xml:space="preserve">III) </w:t>
      </w:r>
      <w:r>
        <w:rPr>
          <w:i/>
          <w:color w:val="030303"/>
          <w:spacing w:val="15"/>
          <w:w w:val="105"/>
          <w:sz w:val="20"/>
        </w:rPr>
        <w:t xml:space="preserve"> </w:t>
      </w:r>
      <w:r>
        <w:rPr>
          <w:color w:val="030303"/>
          <w:w w:val="105"/>
          <w:sz w:val="20"/>
        </w:rPr>
        <w:t>039)</w:t>
      </w:r>
      <w:r>
        <w:rPr>
          <w:color w:val="030303"/>
          <w:w w:val="105"/>
          <w:sz w:val="20"/>
        </w:rPr>
        <w:tab/>
      </w:r>
      <w:r>
        <w:rPr>
          <w:i/>
          <w:color w:val="030303"/>
          <w:w w:val="105"/>
          <w:sz w:val="20"/>
        </w:rPr>
        <w:t xml:space="preserve">specific </w:t>
      </w:r>
      <w:r>
        <w:rPr>
          <w:i/>
          <w:color w:val="181818"/>
          <w:w w:val="105"/>
          <w:sz w:val="20"/>
        </w:rPr>
        <w:t>codes)</w:t>
      </w:r>
      <w:r>
        <w:rPr>
          <w:i/>
          <w:color w:val="181818"/>
          <w:spacing w:val="11"/>
          <w:w w:val="105"/>
          <w:sz w:val="20"/>
        </w:rPr>
        <w:t xml:space="preserve"> </w:t>
      </w:r>
      <w:r>
        <w:rPr>
          <w:color w:val="030303"/>
          <w:w w:val="105"/>
          <w:sz w:val="20"/>
        </w:rPr>
        <w:t>052)</w:t>
      </w:r>
    </w:p>
    <w:p w:rsidR="00E675F0" w:rsidRDefault="00E675F0" w:rsidP="00E675F0">
      <w:pPr>
        <w:pStyle w:val="BodyText"/>
        <w:tabs>
          <w:tab w:val="left" w:pos="1199"/>
          <w:tab w:val="left" w:pos="4804"/>
        </w:tabs>
        <w:spacing w:before="4"/>
        <w:ind w:left="486"/>
      </w:pPr>
      <w:r>
        <w:rPr>
          <w:rFonts w:ascii="Arial"/>
          <w:color w:val="030303"/>
          <w:w w:val="105"/>
          <w:sz w:val="18"/>
        </w:rPr>
        <w:t>.0</w:t>
      </w:r>
      <w:r>
        <w:rPr>
          <w:rFonts w:ascii="Arial"/>
          <w:color w:val="030303"/>
          <w:w w:val="105"/>
          <w:sz w:val="18"/>
        </w:rPr>
        <w:tab/>
      </w:r>
      <w:r>
        <w:rPr>
          <w:color w:val="181818"/>
          <w:w w:val="105"/>
        </w:rPr>
        <w:t>Uncomplicated</w:t>
      </w:r>
      <w:r>
        <w:rPr>
          <w:color w:val="181818"/>
          <w:w w:val="105"/>
        </w:rPr>
        <w:tab/>
      </w:r>
      <w:r>
        <w:rPr>
          <w:color w:val="030303"/>
          <w:w w:val="105"/>
        </w:rPr>
        <w:t xml:space="preserve">Dementia </w:t>
      </w:r>
      <w:r>
        <w:rPr>
          <w:color w:val="181818"/>
          <w:w w:val="105"/>
        </w:rPr>
        <w:t xml:space="preserve">Due </w:t>
      </w:r>
      <w:r>
        <w:rPr>
          <w:color w:val="030303"/>
          <w:w w:val="105"/>
        </w:rPr>
        <w:t>to</w:t>
      </w:r>
      <w:r>
        <w:rPr>
          <w:color w:val="030303"/>
          <w:spacing w:val="-20"/>
          <w:w w:val="105"/>
        </w:rPr>
        <w:t xml:space="preserve"> </w:t>
      </w:r>
      <w:r>
        <w:rPr>
          <w:color w:val="030303"/>
          <w:w w:val="105"/>
        </w:rPr>
        <w:t>Multiple</w:t>
      </w:r>
    </w:p>
    <w:p w:rsidR="00E675F0" w:rsidRDefault="00E675F0" w:rsidP="00E675F0">
      <w:pPr>
        <w:tabs>
          <w:tab w:val="left" w:pos="1188"/>
          <w:tab w:val="left" w:pos="4804"/>
        </w:tabs>
        <w:spacing w:before="10"/>
        <w:ind w:left="484"/>
        <w:rPr>
          <w:i/>
          <w:sz w:val="20"/>
        </w:rPr>
      </w:pPr>
      <w:r>
        <w:rPr>
          <w:color w:val="030303"/>
          <w:w w:val="105"/>
          <w:sz w:val="20"/>
        </w:rPr>
        <w:t>.3</w:t>
      </w:r>
      <w:r>
        <w:rPr>
          <w:color w:val="030303"/>
          <w:w w:val="105"/>
          <w:sz w:val="20"/>
        </w:rPr>
        <w:tab/>
      </w:r>
      <w:r>
        <w:rPr>
          <w:color w:val="181818"/>
          <w:w w:val="105"/>
          <w:position w:val="1"/>
          <w:sz w:val="20"/>
        </w:rPr>
        <w:t>With</w:t>
      </w:r>
      <w:r>
        <w:rPr>
          <w:color w:val="181818"/>
          <w:spacing w:val="-1"/>
          <w:w w:val="105"/>
          <w:position w:val="1"/>
          <w:sz w:val="20"/>
        </w:rPr>
        <w:t xml:space="preserve"> </w:t>
      </w:r>
      <w:r>
        <w:rPr>
          <w:color w:val="030303"/>
          <w:w w:val="105"/>
          <w:position w:val="1"/>
          <w:sz w:val="20"/>
        </w:rPr>
        <w:t>Delirium</w:t>
      </w:r>
      <w:r>
        <w:rPr>
          <w:color w:val="030303"/>
          <w:w w:val="105"/>
          <w:position w:val="1"/>
          <w:sz w:val="20"/>
        </w:rPr>
        <w:tab/>
      </w:r>
      <w:r>
        <w:rPr>
          <w:color w:val="181818"/>
          <w:w w:val="105"/>
          <w:sz w:val="20"/>
        </w:rPr>
        <w:t xml:space="preserve">Etiologies </w:t>
      </w:r>
      <w:r>
        <w:rPr>
          <w:i/>
          <w:color w:val="181818"/>
          <w:w w:val="105"/>
          <w:sz w:val="20"/>
        </w:rPr>
        <w:t xml:space="preserve">(code each </w:t>
      </w:r>
      <w:r>
        <w:rPr>
          <w:i/>
          <w:color w:val="030303"/>
          <w:w w:val="105"/>
          <w:sz w:val="20"/>
        </w:rPr>
        <w:t>of</w:t>
      </w:r>
      <w:r>
        <w:rPr>
          <w:i/>
          <w:color w:val="030303"/>
          <w:spacing w:val="-33"/>
          <w:w w:val="105"/>
          <w:sz w:val="20"/>
        </w:rPr>
        <w:t xml:space="preserve"> </w:t>
      </w:r>
      <w:r>
        <w:rPr>
          <w:i/>
          <w:color w:val="030303"/>
          <w:w w:val="105"/>
          <w:sz w:val="20"/>
        </w:rPr>
        <w:t>the</w:t>
      </w:r>
    </w:p>
    <w:p w:rsidR="00E675F0" w:rsidRDefault="00E675F0" w:rsidP="003048D3">
      <w:pPr>
        <w:pStyle w:val="ListParagraph"/>
        <w:numPr>
          <w:ilvl w:val="0"/>
          <w:numId w:val="130"/>
        </w:numPr>
        <w:tabs>
          <w:tab w:val="left" w:pos="1192"/>
          <w:tab w:val="left" w:pos="1193"/>
          <w:tab w:val="left" w:pos="4814"/>
        </w:tabs>
        <w:spacing w:before="11"/>
        <w:rPr>
          <w:sz w:val="20"/>
        </w:rPr>
      </w:pPr>
      <w:r>
        <w:rPr>
          <w:color w:val="181818"/>
          <w:sz w:val="20"/>
        </w:rPr>
        <w:t>With</w:t>
      </w:r>
      <w:r>
        <w:rPr>
          <w:color w:val="181818"/>
          <w:spacing w:val="37"/>
          <w:sz w:val="20"/>
        </w:rPr>
        <w:t xml:space="preserve"> </w:t>
      </w:r>
      <w:r>
        <w:rPr>
          <w:color w:val="030303"/>
          <w:sz w:val="20"/>
        </w:rPr>
        <w:t>Delusions</w:t>
      </w:r>
      <w:r>
        <w:rPr>
          <w:color w:val="030303"/>
          <w:sz w:val="20"/>
        </w:rPr>
        <w:tab/>
      </w:r>
      <w:r>
        <w:rPr>
          <w:i/>
          <w:color w:val="181818"/>
          <w:sz w:val="20"/>
        </w:rPr>
        <w:t xml:space="preserve">specific etiologies) </w:t>
      </w:r>
      <w:r>
        <w:rPr>
          <w:color w:val="181818"/>
          <w:sz w:val="17"/>
        </w:rPr>
        <w:t>(l</w:t>
      </w:r>
      <w:r>
        <w:rPr>
          <w:color w:val="181818"/>
          <w:spacing w:val="-3"/>
          <w:sz w:val="17"/>
        </w:rPr>
        <w:t xml:space="preserve"> </w:t>
      </w:r>
      <w:r>
        <w:rPr>
          <w:color w:val="181818"/>
          <w:sz w:val="20"/>
        </w:rPr>
        <w:t>54)</w:t>
      </w:r>
    </w:p>
    <w:p w:rsidR="00E675F0" w:rsidRDefault="00E675F0" w:rsidP="003048D3">
      <w:pPr>
        <w:pStyle w:val="ListParagraph"/>
        <w:numPr>
          <w:ilvl w:val="0"/>
          <w:numId w:val="130"/>
        </w:numPr>
        <w:tabs>
          <w:tab w:val="left" w:pos="1192"/>
          <w:tab w:val="left" w:pos="1193"/>
          <w:tab w:val="left" w:pos="4087"/>
          <w:tab w:val="left" w:pos="4804"/>
        </w:tabs>
        <w:spacing w:before="15" w:line="213" w:lineRule="exact"/>
        <w:ind w:hanging="709"/>
        <w:rPr>
          <w:sz w:val="20"/>
        </w:rPr>
      </w:pPr>
      <w:r>
        <w:rPr>
          <w:color w:val="181818"/>
          <w:w w:val="105"/>
          <w:sz w:val="20"/>
        </w:rPr>
        <w:t>With</w:t>
      </w:r>
      <w:r>
        <w:rPr>
          <w:color w:val="181818"/>
          <w:spacing w:val="11"/>
          <w:w w:val="105"/>
          <w:sz w:val="20"/>
        </w:rPr>
        <w:t xml:space="preserve"> </w:t>
      </w:r>
      <w:r>
        <w:rPr>
          <w:color w:val="030303"/>
          <w:w w:val="105"/>
          <w:sz w:val="20"/>
        </w:rPr>
        <w:t>Depressed</w:t>
      </w:r>
      <w:r>
        <w:rPr>
          <w:color w:val="030303"/>
          <w:spacing w:val="12"/>
          <w:w w:val="105"/>
          <w:sz w:val="20"/>
        </w:rPr>
        <w:t xml:space="preserve"> </w:t>
      </w:r>
      <w:r>
        <w:rPr>
          <w:color w:val="181818"/>
          <w:w w:val="105"/>
          <w:sz w:val="20"/>
        </w:rPr>
        <w:t>Mood</w:t>
      </w:r>
      <w:r>
        <w:rPr>
          <w:color w:val="181818"/>
          <w:w w:val="105"/>
          <w:sz w:val="20"/>
        </w:rPr>
        <w:tab/>
        <w:t>294.8</w:t>
      </w:r>
      <w:r>
        <w:rPr>
          <w:color w:val="181818"/>
          <w:w w:val="105"/>
          <w:sz w:val="20"/>
        </w:rPr>
        <w:tab/>
      </w:r>
      <w:r>
        <w:rPr>
          <w:color w:val="030303"/>
          <w:w w:val="105"/>
          <w:sz w:val="20"/>
        </w:rPr>
        <w:t xml:space="preserve">Dementia </w:t>
      </w:r>
      <w:r>
        <w:rPr>
          <w:color w:val="181818"/>
          <w:w w:val="105"/>
          <w:sz w:val="20"/>
        </w:rPr>
        <w:t>NOS</w:t>
      </w:r>
      <w:r>
        <w:rPr>
          <w:color w:val="181818"/>
          <w:spacing w:val="-10"/>
          <w:w w:val="105"/>
          <w:sz w:val="20"/>
        </w:rPr>
        <w:t xml:space="preserve"> </w:t>
      </w:r>
      <w:r>
        <w:rPr>
          <w:color w:val="181818"/>
          <w:w w:val="105"/>
          <w:sz w:val="20"/>
        </w:rPr>
        <w:t>055)</w:t>
      </w:r>
    </w:p>
    <w:p w:rsidR="00E675F0" w:rsidRDefault="00E675F0" w:rsidP="00E675F0">
      <w:pPr>
        <w:spacing w:line="213" w:lineRule="exact"/>
        <w:ind w:left="905"/>
        <w:rPr>
          <w:sz w:val="16"/>
        </w:rPr>
      </w:pPr>
      <w:r>
        <w:rPr>
          <w:i/>
          <w:color w:val="181818"/>
          <w:sz w:val="17"/>
        </w:rPr>
        <w:t xml:space="preserve">Specify </w:t>
      </w:r>
      <w:r>
        <w:rPr>
          <w:rFonts w:ascii="Arial"/>
          <w:i/>
          <w:color w:val="181818"/>
          <w:sz w:val="20"/>
        </w:rPr>
        <w:t xml:space="preserve">if </w:t>
      </w:r>
      <w:r>
        <w:rPr>
          <w:color w:val="181818"/>
          <w:sz w:val="16"/>
        </w:rPr>
        <w:t>With Behavioral Disturbance</w:t>
      </w:r>
    </w:p>
    <w:p w:rsidR="00E675F0" w:rsidRDefault="00E675F0" w:rsidP="00E675F0">
      <w:pPr>
        <w:pStyle w:val="BodyText"/>
        <w:spacing w:before="11" w:line="216" w:lineRule="exact"/>
        <w:ind w:left="186"/>
      </w:pPr>
      <w:r>
        <w:rPr>
          <w:color w:val="181818"/>
        </w:rPr>
        <w:t>290</w:t>
      </w:r>
      <w:r>
        <w:rPr>
          <w:color w:val="424242"/>
        </w:rPr>
        <w:t>.</w:t>
      </w:r>
      <w:r>
        <w:rPr>
          <w:color w:val="181818"/>
        </w:rPr>
        <w:t xml:space="preserve">xx </w:t>
      </w:r>
      <w:r>
        <w:rPr>
          <w:color w:val="181818"/>
          <w:position w:val="1"/>
        </w:rPr>
        <w:t xml:space="preserve">Vascular </w:t>
      </w:r>
      <w:r>
        <w:rPr>
          <w:color w:val="030303"/>
          <w:position w:val="1"/>
        </w:rPr>
        <w:t xml:space="preserve">Dementia </w:t>
      </w:r>
      <w:r>
        <w:rPr>
          <w:color w:val="181818"/>
          <w:position w:val="1"/>
        </w:rPr>
        <w:t>(143)</w:t>
      </w:r>
    </w:p>
    <w:p w:rsidR="00E675F0" w:rsidRDefault="00E675F0" w:rsidP="003048D3">
      <w:pPr>
        <w:pStyle w:val="ListParagraph"/>
        <w:numPr>
          <w:ilvl w:val="0"/>
          <w:numId w:val="129"/>
        </w:numPr>
        <w:tabs>
          <w:tab w:val="left" w:pos="1204"/>
          <w:tab w:val="left" w:pos="1205"/>
          <w:tab w:val="left" w:pos="4080"/>
        </w:tabs>
        <w:spacing w:line="192" w:lineRule="auto"/>
        <w:ind w:hanging="712"/>
        <w:rPr>
          <w:color w:val="2F2F2F"/>
          <w:sz w:val="20"/>
        </w:rPr>
      </w:pPr>
      <w:r>
        <w:rPr>
          <w:color w:val="030303"/>
          <w:w w:val="105"/>
          <w:position w:val="-5"/>
          <w:sz w:val="20"/>
        </w:rPr>
        <w:t>Uncomplicated</w:t>
      </w:r>
      <w:r>
        <w:rPr>
          <w:color w:val="030303"/>
          <w:w w:val="105"/>
          <w:position w:val="-5"/>
          <w:sz w:val="20"/>
        </w:rPr>
        <w:tab/>
      </w:r>
      <w:r>
        <w:rPr>
          <w:b/>
          <w:color w:val="030303"/>
          <w:w w:val="105"/>
          <w:sz w:val="18"/>
        </w:rPr>
        <w:t>AMNESTIC DISORDERS</w:t>
      </w:r>
      <w:r>
        <w:rPr>
          <w:b/>
          <w:color w:val="030303"/>
          <w:spacing w:val="23"/>
          <w:w w:val="105"/>
          <w:sz w:val="18"/>
        </w:rPr>
        <w:t xml:space="preserve"> </w:t>
      </w:r>
      <w:r>
        <w:rPr>
          <w:color w:val="181818"/>
          <w:w w:val="105"/>
          <w:sz w:val="20"/>
        </w:rPr>
        <w:t>(156)</w:t>
      </w:r>
    </w:p>
    <w:p w:rsidR="00E675F0" w:rsidRDefault="00E675F0" w:rsidP="003048D3">
      <w:pPr>
        <w:pStyle w:val="ListParagraph"/>
        <w:numPr>
          <w:ilvl w:val="0"/>
          <w:numId w:val="129"/>
        </w:numPr>
        <w:tabs>
          <w:tab w:val="left" w:pos="1192"/>
          <w:tab w:val="left" w:pos="1193"/>
          <w:tab w:val="left" w:pos="4096"/>
          <w:tab w:val="left" w:pos="4806"/>
        </w:tabs>
        <w:spacing w:before="10" w:line="180" w:lineRule="auto"/>
        <w:ind w:left="1192" w:hanging="700"/>
        <w:rPr>
          <w:color w:val="2F2F2F"/>
          <w:sz w:val="20"/>
        </w:rPr>
      </w:pPr>
      <w:r>
        <w:rPr>
          <w:color w:val="181818"/>
          <w:w w:val="105"/>
          <w:position w:val="-5"/>
          <w:sz w:val="20"/>
        </w:rPr>
        <w:t xml:space="preserve">With </w:t>
      </w:r>
      <w:r>
        <w:rPr>
          <w:color w:val="030303"/>
          <w:w w:val="105"/>
          <w:position w:val="-5"/>
          <w:sz w:val="20"/>
        </w:rPr>
        <w:t>Delirium</w:t>
      </w:r>
      <w:r>
        <w:rPr>
          <w:color w:val="030303"/>
          <w:w w:val="105"/>
          <w:position w:val="-5"/>
          <w:sz w:val="20"/>
        </w:rPr>
        <w:tab/>
      </w:r>
      <w:r>
        <w:rPr>
          <w:color w:val="030303"/>
          <w:w w:val="105"/>
          <w:sz w:val="20"/>
        </w:rPr>
        <w:t>294.0</w:t>
      </w:r>
      <w:r>
        <w:rPr>
          <w:color w:val="030303"/>
          <w:w w:val="105"/>
          <w:sz w:val="20"/>
        </w:rPr>
        <w:tab/>
      </w:r>
      <w:r>
        <w:rPr>
          <w:color w:val="181818"/>
          <w:w w:val="105"/>
          <w:sz w:val="20"/>
        </w:rPr>
        <w:t xml:space="preserve">Amnestic Disorder </w:t>
      </w:r>
      <w:r>
        <w:rPr>
          <w:color w:val="030303"/>
          <w:w w:val="105"/>
          <w:sz w:val="20"/>
        </w:rPr>
        <w:t>Due to</w:t>
      </w:r>
      <w:r>
        <w:rPr>
          <w:color w:val="030303"/>
          <w:spacing w:val="43"/>
          <w:w w:val="105"/>
          <w:sz w:val="20"/>
        </w:rPr>
        <w:t xml:space="preserve"> </w:t>
      </w:r>
      <w:r>
        <w:rPr>
          <w:color w:val="181818"/>
          <w:w w:val="105"/>
          <w:sz w:val="20"/>
        </w:rPr>
        <w:t>...</w:t>
      </w:r>
    </w:p>
    <w:p w:rsidR="00E675F0" w:rsidRDefault="00E675F0" w:rsidP="003048D3">
      <w:pPr>
        <w:pStyle w:val="ListParagraph"/>
        <w:numPr>
          <w:ilvl w:val="0"/>
          <w:numId w:val="129"/>
        </w:numPr>
        <w:tabs>
          <w:tab w:val="left" w:pos="1192"/>
          <w:tab w:val="left" w:pos="1193"/>
          <w:tab w:val="left" w:pos="4799"/>
        </w:tabs>
        <w:spacing w:before="2" w:line="189" w:lineRule="auto"/>
        <w:ind w:left="1192" w:hanging="700"/>
        <w:rPr>
          <w:i/>
          <w:color w:val="030303"/>
          <w:sz w:val="20"/>
        </w:rPr>
      </w:pPr>
      <w:r>
        <w:rPr>
          <w:color w:val="030303"/>
          <w:w w:val="105"/>
          <w:position w:val="-5"/>
          <w:sz w:val="20"/>
        </w:rPr>
        <w:t>With</w:t>
      </w:r>
      <w:r>
        <w:rPr>
          <w:color w:val="030303"/>
          <w:spacing w:val="5"/>
          <w:w w:val="105"/>
          <w:position w:val="-5"/>
          <w:sz w:val="20"/>
        </w:rPr>
        <w:t xml:space="preserve"> </w:t>
      </w:r>
      <w:r>
        <w:rPr>
          <w:color w:val="030303"/>
          <w:w w:val="105"/>
          <w:position w:val="-5"/>
          <w:sz w:val="20"/>
        </w:rPr>
        <w:t>Delusions</w:t>
      </w:r>
      <w:r>
        <w:rPr>
          <w:color w:val="030303"/>
          <w:w w:val="105"/>
          <w:position w:val="-5"/>
          <w:sz w:val="20"/>
        </w:rPr>
        <w:tab/>
      </w:r>
      <w:r>
        <w:rPr>
          <w:i/>
          <w:color w:val="181818"/>
          <w:w w:val="105"/>
          <w:sz w:val="20"/>
        </w:rPr>
        <w:t>(Indicate the General</w:t>
      </w:r>
      <w:r>
        <w:rPr>
          <w:i/>
          <w:color w:val="181818"/>
          <w:spacing w:val="-30"/>
          <w:w w:val="105"/>
          <w:sz w:val="20"/>
        </w:rPr>
        <w:t xml:space="preserve"> </w:t>
      </w:r>
      <w:r>
        <w:rPr>
          <w:i/>
          <w:color w:val="030303"/>
          <w:w w:val="105"/>
          <w:sz w:val="20"/>
        </w:rPr>
        <w:t>Medical</w:t>
      </w:r>
    </w:p>
    <w:p w:rsidR="00E675F0" w:rsidRDefault="00E675F0" w:rsidP="003048D3">
      <w:pPr>
        <w:pStyle w:val="ListParagraph"/>
        <w:numPr>
          <w:ilvl w:val="0"/>
          <w:numId w:val="129"/>
        </w:numPr>
        <w:tabs>
          <w:tab w:val="left" w:pos="1192"/>
          <w:tab w:val="left" w:pos="1193"/>
          <w:tab w:val="left" w:pos="4814"/>
        </w:tabs>
        <w:spacing w:line="232" w:lineRule="exact"/>
        <w:ind w:left="1192" w:hanging="695"/>
        <w:rPr>
          <w:color w:val="030303"/>
          <w:sz w:val="20"/>
        </w:rPr>
      </w:pPr>
      <w:r>
        <w:rPr>
          <w:color w:val="181818"/>
          <w:w w:val="105"/>
          <w:sz w:val="20"/>
        </w:rPr>
        <w:t>With</w:t>
      </w:r>
      <w:r>
        <w:rPr>
          <w:color w:val="181818"/>
          <w:spacing w:val="9"/>
          <w:w w:val="105"/>
          <w:sz w:val="20"/>
        </w:rPr>
        <w:t xml:space="preserve"> </w:t>
      </w:r>
      <w:r>
        <w:rPr>
          <w:color w:val="030303"/>
          <w:w w:val="105"/>
          <w:sz w:val="20"/>
        </w:rPr>
        <w:t>Depressed</w:t>
      </w:r>
      <w:r>
        <w:rPr>
          <w:color w:val="030303"/>
          <w:spacing w:val="15"/>
          <w:w w:val="105"/>
          <w:sz w:val="20"/>
        </w:rPr>
        <w:t xml:space="preserve"> </w:t>
      </w:r>
      <w:r>
        <w:rPr>
          <w:color w:val="181818"/>
          <w:w w:val="105"/>
          <w:sz w:val="20"/>
        </w:rPr>
        <w:t>Mood</w:t>
      </w:r>
      <w:r>
        <w:rPr>
          <w:color w:val="181818"/>
          <w:w w:val="105"/>
          <w:sz w:val="20"/>
        </w:rPr>
        <w:tab/>
      </w:r>
      <w:r>
        <w:rPr>
          <w:i/>
          <w:color w:val="181818"/>
          <w:w w:val="105"/>
          <w:position w:val="7"/>
          <w:sz w:val="20"/>
        </w:rPr>
        <w:t>Condition}</w:t>
      </w:r>
      <w:r>
        <w:rPr>
          <w:i/>
          <w:color w:val="181818"/>
          <w:spacing w:val="43"/>
          <w:w w:val="105"/>
          <w:position w:val="7"/>
          <w:sz w:val="20"/>
        </w:rPr>
        <w:t xml:space="preserve"> </w:t>
      </w:r>
      <w:r>
        <w:rPr>
          <w:color w:val="181818"/>
          <w:w w:val="105"/>
          <w:position w:val="7"/>
          <w:sz w:val="20"/>
        </w:rPr>
        <w:t>(158)</w:t>
      </w:r>
    </w:p>
    <w:p w:rsidR="00E675F0" w:rsidRDefault="00E675F0" w:rsidP="00E675F0">
      <w:pPr>
        <w:tabs>
          <w:tab w:val="left" w:pos="4821"/>
        </w:tabs>
        <w:spacing w:line="214" w:lineRule="exact"/>
        <w:ind w:left="910"/>
        <w:rPr>
          <w:sz w:val="16"/>
        </w:rPr>
      </w:pPr>
      <w:r>
        <w:rPr>
          <w:i/>
          <w:color w:val="181818"/>
          <w:sz w:val="17"/>
        </w:rPr>
        <w:t xml:space="preserve">Specify </w:t>
      </w:r>
      <w:r>
        <w:rPr>
          <w:rFonts w:ascii="Arial"/>
          <w:i/>
          <w:color w:val="030303"/>
          <w:sz w:val="20"/>
        </w:rPr>
        <w:t xml:space="preserve">if   </w:t>
      </w:r>
      <w:r>
        <w:rPr>
          <w:color w:val="030303"/>
          <w:sz w:val="16"/>
        </w:rPr>
        <w:t>With</w:t>
      </w:r>
      <w:r>
        <w:rPr>
          <w:color w:val="030303"/>
          <w:spacing w:val="-21"/>
          <w:sz w:val="16"/>
        </w:rPr>
        <w:t xml:space="preserve"> </w:t>
      </w:r>
      <w:r>
        <w:rPr>
          <w:color w:val="030303"/>
          <w:sz w:val="16"/>
        </w:rPr>
        <w:t>Behavioral</w:t>
      </w:r>
      <w:r>
        <w:rPr>
          <w:color w:val="030303"/>
          <w:spacing w:val="14"/>
          <w:sz w:val="16"/>
        </w:rPr>
        <w:t xml:space="preserve"> </w:t>
      </w:r>
      <w:r>
        <w:rPr>
          <w:color w:val="181818"/>
          <w:sz w:val="16"/>
        </w:rPr>
        <w:t>Disturbance</w:t>
      </w:r>
      <w:r>
        <w:rPr>
          <w:color w:val="181818"/>
          <w:sz w:val="16"/>
        </w:rPr>
        <w:tab/>
      </w:r>
      <w:r>
        <w:rPr>
          <w:i/>
          <w:color w:val="181818"/>
          <w:position w:val="5"/>
          <w:sz w:val="17"/>
        </w:rPr>
        <w:t xml:space="preserve">Specify </w:t>
      </w:r>
      <w:r>
        <w:rPr>
          <w:rFonts w:ascii="Arial"/>
          <w:i/>
          <w:color w:val="181818"/>
          <w:position w:val="5"/>
          <w:sz w:val="20"/>
        </w:rPr>
        <w:t>if</w:t>
      </w:r>
      <w:r>
        <w:rPr>
          <w:rFonts w:ascii="Arial"/>
          <w:i/>
          <w:color w:val="181818"/>
          <w:spacing w:val="35"/>
          <w:position w:val="5"/>
          <w:sz w:val="20"/>
        </w:rPr>
        <w:t xml:space="preserve"> </w:t>
      </w:r>
      <w:r>
        <w:rPr>
          <w:color w:val="030303"/>
          <w:position w:val="5"/>
          <w:sz w:val="16"/>
        </w:rPr>
        <w:t>Tr</w:t>
      </w:r>
      <w:r>
        <w:rPr>
          <w:color w:val="2F2F2F"/>
          <w:position w:val="5"/>
          <w:sz w:val="16"/>
        </w:rPr>
        <w:t>ansient/C</w:t>
      </w:r>
      <w:r>
        <w:rPr>
          <w:color w:val="030303"/>
          <w:position w:val="5"/>
          <w:sz w:val="16"/>
        </w:rPr>
        <w:t>hronic</w:t>
      </w:r>
    </w:p>
    <w:p w:rsidR="00E675F0" w:rsidRDefault="00E675F0" w:rsidP="00E675F0">
      <w:pPr>
        <w:tabs>
          <w:tab w:val="left" w:pos="903"/>
          <w:tab w:val="left" w:pos="4800"/>
        </w:tabs>
        <w:spacing w:before="8" w:line="204" w:lineRule="auto"/>
        <w:ind w:left="912" w:right="330" w:hanging="722"/>
        <w:rPr>
          <w:sz w:val="20"/>
        </w:rPr>
      </w:pPr>
      <w:r>
        <w:rPr>
          <w:color w:val="181818"/>
          <w:w w:val="105"/>
          <w:sz w:val="20"/>
        </w:rPr>
        <w:t>294</w:t>
      </w:r>
      <w:r>
        <w:rPr>
          <w:color w:val="181818"/>
          <w:spacing w:val="-38"/>
          <w:w w:val="105"/>
          <w:sz w:val="20"/>
        </w:rPr>
        <w:t xml:space="preserve"> </w:t>
      </w:r>
      <w:r>
        <w:rPr>
          <w:color w:val="424242"/>
          <w:spacing w:val="-5"/>
          <w:w w:val="105"/>
          <w:sz w:val="20"/>
        </w:rPr>
        <w:t>.</w:t>
      </w:r>
      <w:r>
        <w:rPr>
          <w:color w:val="181818"/>
          <w:spacing w:val="-5"/>
          <w:w w:val="105"/>
          <w:sz w:val="20"/>
        </w:rPr>
        <w:t>9</w:t>
      </w:r>
      <w:r>
        <w:rPr>
          <w:color w:val="181818"/>
          <w:spacing w:val="-5"/>
          <w:w w:val="105"/>
          <w:sz w:val="20"/>
        </w:rPr>
        <w:tab/>
      </w:r>
      <w:r>
        <w:rPr>
          <w:color w:val="181818"/>
          <w:w w:val="105"/>
          <w:sz w:val="20"/>
        </w:rPr>
        <w:t xml:space="preserve">Dementia </w:t>
      </w:r>
      <w:r>
        <w:rPr>
          <w:color w:val="030303"/>
          <w:w w:val="105"/>
          <w:sz w:val="20"/>
        </w:rPr>
        <w:t>Due to</w:t>
      </w:r>
      <w:r>
        <w:rPr>
          <w:color w:val="030303"/>
          <w:spacing w:val="22"/>
          <w:w w:val="105"/>
          <w:sz w:val="20"/>
        </w:rPr>
        <w:t xml:space="preserve"> </w:t>
      </w:r>
      <w:r>
        <w:rPr>
          <w:color w:val="030303"/>
          <w:w w:val="105"/>
          <w:sz w:val="20"/>
        </w:rPr>
        <w:t>HIV</w:t>
      </w:r>
      <w:r>
        <w:rPr>
          <w:color w:val="030303"/>
          <w:spacing w:val="2"/>
          <w:w w:val="105"/>
          <w:sz w:val="20"/>
        </w:rPr>
        <w:t xml:space="preserve"> </w:t>
      </w:r>
      <w:r>
        <w:rPr>
          <w:color w:val="181818"/>
          <w:w w:val="105"/>
          <w:sz w:val="20"/>
        </w:rPr>
        <w:t>Disease</w:t>
      </w:r>
      <w:r>
        <w:rPr>
          <w:color w:val="181818"/>
          <w:w w:val="105"/>
          <w:sz w:val="20"/>
        </w:rPr>
        <w:tab/>
      </w:r>
      <w:r>
        <w:rPr>
          <w:color w:val="030303"/>
          <w:w w:val="105"/>
          <w:position w:val="6"/>
          <w:sz w:val="20"/>
        </w:rPr>
        <w:t>Substance-Induced Persisting</w:t>
      </w:r>
      <w:r>
        <w:rPr>
          <w:color w:val="181818"/>
          <w:w w:val="105"/>
          <w:sz w:val="20"/>
        </w:rPr>
        <w:t xml:space="preserve"> </w:t>
      </w:r>
      <w:r>
        <w:rPr>
          <w:i/>
          <w:color w:val="181818"/>
          <w:w w:val="105"/>
          <w:sz w:val="20"/>
        </w:rPr>
        <w:t xml:space="preserve">(also code </w:t>
      </w:r>
      <w:r>
        <w:rPr>
          <w:i/>
          <w:color w:val="030303"/>
          <w:w w:val="105"/>
          <w:sz w:val="20"/>
        </w:rPr>
        <w:t>043.1</w:t>
      </w:r>
      <w:r>
        <w:rPr>
          <w:i/>
          <w:color w:val="030303"/>
          <w:spacing w:val="-1"/>
          <w:w w:val="105"/>
          <w:sz w:val="20"/>
        </w:rPr>
        <w:t xml:space="preserve"> </w:t>
      </w:r>
      <w:r>
        <w:rPr>
          <w:i/>
          <w:color w:val="181818"/>
          <w:w w:val="105"/>
          <w:sz w:val="20"/>
        </w:rPr>
        <w:t>HIV</w:t>
      </w:r>
      <w:r>
        <w:rPr>
          <w:i/>
          <w:color w:val="181818"/>
          <w:spacing w:val="3"/>
          <w:w w:val="105"/>
          <w:sz w:val="20"/>
        </w:rPr>
        <w:t xml:space="preserve"> </w:t>
      </w:r>
      <w:r>
        <w:rPr>
          <w:i/>
          <w:color w:val="181818"/>
          <w:w w:val="105"/>
          <w:sz w:val="20"/>
        </w:rPr>
        <w:t>infection</w:t>
      </w:r>
      <w:r>
        <w:rPr>
          <w:i/>
          <w:color w:val="181818"/>
          <w:w w:val="105"/>
          <w:sz w:val="20"/>
        </w:rPr>
        <w:tab/>
      </w:r>
      <w:r>
        <w:rPr>
          <w:color w:val="181818"/>
          <w:w w:val="105"/>
          <w:position w:val="5"/>
          <w:sz w:val="20"/>
        </w:rPr>
        <w:t xml:space="preserve">Amnestic Disorder </w:t>
      </w:r>
      <w:r>
        <w:rPr>
          <w:i/>
          <w:color w:val="181818"/>
          <w:w w:val="105"/>
          <w:position w:val="5"/>
          <w:sz w:val="20"/>
        </w:rPr>
        <w:t>(refer to</w:t>
      </w:r>
      <w:r>
        <w:rPr>
          <w:i/>
          <w:color w:val="181818"/>
          <w:w w:val="105"/>
          <w:position w:val="-4"/>
          <w:sz w:val="20"/>
        </w:rPr>
        <w:t xml:space="preserve"> affecting central</w:t>
      </w:r>
      <w:r>
        <w:rPr>
          <w:i/>
          <w:color w:val="181818"/>
          <w:spacing w:val="6"/>
          <w:w w:val="105"/>
          <w:position w:val="-4"/>
          <w:sz w:val="20"/>
        </w:rPr>
        <w:t xml:space="preserve"> </w:t>
      </w:r>
      <w:r>
        <w:rPr>
          <w:i/>
          <w:color w:val="181818"/>
          <w:w w:val="105"/>
          <w:position w:val="-4"/>
          <w:sz w:val="20"/>
        </w:rPr>
        <w:t>neroous</w:t>
      </w:r>
      <w:r>
        <w:rPr>
          <w:i/>
          <w:color w:val="181818"/>
          <w:spacing w:val="-9"/>
          <w:w w:val="105"/>
          <w:position w:val="-4"/>
          <w:sz w:val="20"/>
        </w:rPr>
        <w:t xml:space="preserve"> </w:t>
      </w:r>
      <w:r>
        <w:rPr>
          <w:i/>
          <w:color w:val="181818"/>
          <w:w w:val="105"/>
          <w:position w:val="-4"/>
          <w:sz w:val="20"/>
        </w:rPr>
        <w:t>system</w:t>
      </w:r>
      <w:r>
        <w:rPr>
          <w:i/>
          <w:color w:val="181818"/>
          <w:w w:val="105"/>
          <w:position w:val="-4"/>
          <w:sz w:val="20"/>
        </w:rPr>
        <w:tab/>
      </w:r>
      <w:r>
        <w:rPr>
          <w:i/>
          <w:color w:val="181818"/>
          <w:w w:val="105"/>
          <w:sz w:val="20"/>
        </w:rPr>
        <w:t>Substance-Related</w:t>
      </w:r>
      <w:r>
        <w:rPr>
          <w:i/>
          <w:color w:val="181818"/>
          <w:spacing w:val="-27"/>
          <w:w w:val="105"/>
          <w:sz w:val="20"/>
        </w:rPr>
        <w:t xml:space="preserve"> </w:t>
      </w:r>
      <w:r>
        <w:rPr>
          <w:i/>
          <w:color w:val="030303"/>
          <w:w w:val="105"/>
          <w:sz w:val="20"/>
        </w:rPr>
        <w:t>Disorders</w:t>
      </w:r>
      <w:r>
        <w:rPr>
          <w:i/>
          <w:color w:val="030303"/>
          <w:spacing w:val="-25"/>
          <w:w w:val="105"/>
          <w:sz w:val="20"/>
        </w:rPr>
        <w:t xml:space="preserve"> </w:t>
      </w:r>
      <w:r>
        <w:rPr>
          <w:i/>
          <w:color w:val="181818"/>
          <w:w w:val="105"/>
          <w:sz w:val="20"/>
        </w:rPr>
        <w:t>for</w:t>
      </w:r>
      <w:r>
        <w:rPr>
          <w:i/>
          <w:color w:val="181818"/>
          <w:w w:val="105"/>
          <w:position w:val="-4"/>
          <w:sz w:val="20"/>
        </w:rPr>
        <w:t xml:space="preserve"> on Axis III)</w:t>
      </w:r>
      <w:r>
        <w:rPr>
          <w:i/>
          <w:color w:val="181818"/>
          <w:spacing w:val="46"/>
          <w:w w:val="105"/>
          <w:position w:val="-4"/>
          <w:sz w:val="20"/>
        </w:rPr>
        <w:t xml:space="preserve"> </w:t>
      </w:r>
      <w:r>
        <w:rPr>
          <w:color w:val="181818"/>
          <w:w w:val="105"/>
          <w:position w:val="-4"/>
          <w:sz w:val="20"/>
        </w:rPr>
        <w:t>(148)</w:t>
      </w:r>
      <w:r>
        <w:rPr>
          <w:color w:val="181818"/>
          <w:w w:val="105"/>
          <w:position w:val="-4"/>
          <w:sz w:val="20"/>
        </w:rPr>
        <w:tab/>
      </w:r>
      <w:r>
        <w:rPr>
          <w:i/>
          <w:color w:val="181818"/>
          <w:w w:val="105"/>
          <w:sz w:val="20"/>
        </w:rPr>
        <w:t>substance-specific codes)</w:t>
      </w:r>
      <w:r>
        <w:rPr>
          <w:i/>
          <w:color w:val="181818"/>
          <w:spacing w:val="7"/>
          <w:w w:val="105"/>
          <w:sz w:val="20"/>
        </w:rPr>
        <w:t xml:space="preserve"> </w:t>
      </w:r>
      <w:r>
        <w:rPr>
          <w:color w:val="181818"/>
          <w:w w:val="105"/>
          <w:sz w:val="20"/>
        </w:rPr>
        <w:t>061)</w:t>
      </w:r>
    </w:p>
    <w:p w:rsidR="00E675F0" w:rsidRDefault="00E675F0" w:rsidP="00E675F0">
      <w:pPr>
        <w:pStyle w:val="BodyText"/>
        <w:tabs>
          <w:tab w:val="left" w:pos="903"/>
          <w:tab w:val="left" w:pos="4096"/>
          <w:tab w:val="left" w:pos="4806"/>
        </w:tabs>
        <w:spacing w:line="184" w:lineRule="auto"/>
        <w:ind w:left="186"/>
      </w:pPr>
      <w:r>
        <w:rPr>
          <w:color w:val="181818"/>
          <w:w w:val="105"/>
          <w:position w:val="-5"/>
        </w:rPr>
        <w:t>294</w:t>
      </w:r>
      <w:r>
        <w:rPr>
          <w:color w:val="575757"/>
          <w:w w:val="105"/>
          <w:position w:val="-5"/>
        </w:rPr>
        <w:t>.</w:t>
      </w:r>
      <w:r>
        <w:rPr>
          <w:color w:val="181818"/>
          <w:w w:val="105"/>
          <w:position w:val="-5"/>
        </w:rPr>
        <w:t>1</w:t>
      </w:r>
      <w:r>
        <w:rPr>
          <w:color w:val="181818"/>
          <w:w w:val="105"/>
          <w:position w:val="-5"/>
        </w:rPr>
        <w:tab/>
      </w:r>
      <w:r>
        <w:rPr>
          <w:color w:val="030303"/>
          <w:w w:val="105"/>
          <w:position w:val="-4"/>
        </w:rPr>
        <w:t>Dementia  Due to</w:t>
      </w:r>
      <w:r>
        <w:rPr>
          <w:color w:val="030303"/>
          <w:spacing w:val="-17"/>
          <w:w w:val="105"/>
          <w:position w:val="-4"/>
        </w:rPr>
        <w:t xml:space="preserve"> </w:t>
      </w:r>
      <w:r>
        <w:rPr>
          <w:color w:val="030303"/>
          <w:w w:val="105"/>
          <w:position w:val="-4"/>
        </w:rPr>
        <w:t>Head</w:t>
      </w:r>
      <w:r>
        <w:rPr>
          <w:color w:val="030303"/>
          <w:spacing w:val="10"/>
          <w:w w:val="105"/>
          <w:position w:val="-4"/>
        </w:rPr>
        <w:t xml:space="preserve"> </w:t>
      </w:r>
      <w:r>
        <w:rPr>
          <w:color w:val="030303"/>
          <w:w w:val="105"/>
          <w:position w:val="-4"/>
        </w:rPr>
        <w:t>Trauma</w:t>
      </w:r>
      <w:r>
        <w:rPr>
          <w:color w:val="030303"/>
          <w:w w:val="105"/>
          <w:position w:val="-4"/>
        </w:rPr>
        <w:tab/>
      </w:r>
      <w:r>
        <w:rPr>
          <w:color w:val="181818"/>
          <w:w w:val="105"/>
        </w:rPr>
        <w:t>294.8</w:t>
      </w:r>
      <w:r>
        <w:rPr>
          <w:color w:val="181818"/>
          <w:w w:val="105"/>
        </w:rPr>
        <w:tab/>
        <w:t xml:space="preserve">Amnestic </w:t>
      </w:r>
      <w:r>
        <w:rPr>
          <w:color w:val="030303"/>
          <w:w w:val="105"/>
        </w:rPr>
        <w:t>Disorder NOS</w:t>
      </w:r>
      <w:r>
        <w:rPr>
          <w:color w:val="030303"/>
          <w:spacing w:val="-33"/>
          <w:w w:val="105"/>
        </w:rPr>
        <w:t xml:space="preserve"> </w:t>
      </w:r>
      <w:r>
        <w:rPr>
          <w:color w:val="181818"/>
          <w:w w:val="105"/>
        </w:rPr>
        <w:t>(163)</w:t>
      </w:r>
    </w:p>
    <w:p w:rsidR="00E675F0" w:rsidRDefault="00E675F0" w:rsidP="00E675F0">
      <w:pPr>
        <w:spacing w:before="17"/>
        <w:ind w:left="907"/>
        <w:rPr>
          <w:i/>
          <w:sz w:val="20"/>
        </w:rPr>
      </w:pPr>
      <w:r>
        <w:rPr>
          <w:i/>
          <w:color w:val="181818"/>
          <w:w w:val="110"/>
          <w:sz w:val="20"/>
        </w:rPr>
        <w:t>(also code 854.00 head injury</w:t>
      </w:r>
    </w:p>
    <w:p w:rsidR="00E675F0" w:rsidRDefault="00E675F0" w:rsidP="00E675F0">
      <w:pPr>
        <w:tabs>
          <w:tab w:val="left" w:pos="4089"/>
        </w:tabs>
        <w:spacing w:before="17" w:line="277" w:lineRule="exact"/>
        <w:ind w:left="915"/>
        <w:rPr>
          <w:sz w:val="20"/>
        </w:rPr>
      </w:pPr>
      <w:r>
        <w:rPr>
          <w:i/>
          <w:color w:val="181818"/>
          <w:w w:val="105"/>
          <w:position w:val="8"/>
          <w:sz w:val="20"/>
        </w:rPr>
        <w:t>on Axis</w:t>
      </w:r>
      <w:r>
        <w:rPr>
          <w:i/>
          <w:color w:val="181818"/>
          <w:spacing w:val="18"/>
          <w:w w:val="105"/>
          <w:position w:val="8"/>
          <w:sz w:val="20"/>
        </w:rPr>
        <w:t xml:space="preserve"> </w:t>
      </w:r>
      <w:r>
        <w:rPr>
          <w:i/>
          <w:color w:val="030303"/>
          <w:w w:val="105"/>
          <w:position w:val="8"/>
          <w:sz w:val="20"/>
        </w:rPr>
        <w:t xml:space="preserve">III) </w:t>
      </w:r>
      <w:r>
        <w:rPr>
          <w:i/>
          <w:color w:val="030303"/>
          <w:spacing w:val="15"/>
          <w:w w:val="105"/>
          <w:position w:val="8"/>
          <w:sz w:val="20"/>
        </w:rPr>
        <w:t xml:space="preserve"> </w:t>
      </w:r>
      <w:r>
        <w:rPr>
          <w:color w:val="030303"/>
          <w:w w:val="105"/>
          <w:position w:val="8"/>
          <w:sz w:val="20"/>
        </w:rPr>
        <w:t>048)</w:t>
      </w:r>
      <w:r>
        <w:rPr>
          <w:color w:val="030303"/>
          <w:w w:val="105"/>
          <w:position w:val="8"/>
          <w:sz w:val="20"/>
        </w:rPr>
        <w:tab/>
      </w:r>
      <w:r>
        <w:rPr>
          <w:b/>
          <w:color w:val="030303"/>
          <w:w w:val="105"/>
          <w:sz w:val="18"/>
        </w:rPr>
        <w:t>OTHER COGNITIVE DISORDERS</w:t>
      </w:r>
      <w:r>
        <w:rPr>
          <w:b/>
          <w:color w:val="030303"/>
          <w:spacing w:val="18"/>
          <w:w w:val="105"/>
          <w:sz w:val="18"/>
        </w:rPr>
        <w:t xml:space="preserve"> </w:t>
      </w:r>
      <w:r>
        <w:rPr>
          <w:color w:val="181818"/>
          <w:w w:val="105"/>
          <w:sz w:val="20"/>
        </w:rPr>
        <w:t>(163)</w:t>
      </w:r>
    </w:p>
    <w:p w:rsidR="00E675F0" w:rsidRDefault="00E675F0" w:rsidP="00E675F0">
      <w:pPr>
        <w:pStyle w:val="BodyText"/>
        <w:tabs>
          <w:tab w:val="left" w:pos="903"/>
          <w:tab w:val="left" w:pos="4096"/>
          <w:tab w:val="left" w:pos="4810"/>
        </w:tabs>
        <w:spacing w:before="25" w:line="165" w:lineRule="auto"/>
        <w:ind w:left="903" w:right="476" w:hanging="718"/>
        <w:rPr>
          <w:i/>
        </w:rPr>
      </w:pPr>
      <w:r>
        <w:rPr>
          <w:color w:val="181818"/>
          <w:w w:val="105"/>
          <w:position w:val="8"/>
        </w:rPr>
        <w:t>294.1</w:t>
      </w:r>
      <w:r>
        <w:rPr>
          <w:color w:val="181818"/>
          <w:w w:val="105"/>
          <w:position w:val="8"/>
        </w:rPr>
        <w:tab/>
      </w:r>
      <w:r>
        <w:rPr>
          <w:color w:val="181818"/>
          <w:w w:val="105"/>
          <w:position w:val="9"/>
        </w:rPr>
        <w:t xml:space="preserve">Dementia  </w:t>
      </w:r>
      <w:r>
        <w:rPr>
          <w:color w:val="030303"/>
          <w:w w:val="105"/>
          <w:position w:val="9"/>
        </w:rPr>
        <w:t>Due</w:t>
      </w:r>
      <w:r>
        <w:rPr>
          <w:color w:val="030303"/>
          <w:spacing w:val="-18"/>
          <w:w w:val="105"/>
          <w:position w:val="9"/>
        </w:rPr>
        <w:t xml:space="preserve"> </w:t>
      </w:r>
      <w:r>
        <w:rPr>
          <w:color w:val="030303"/>
          <w:w w:val="105"/>
          <w:position w:val="9"/>
        </w:rPr>
        <w:t>to</w:t>
      </w:r>
      <w:r>
        <w:rPr>
          <w:color w:val="030303"/>
          <w:spacing w:val="1"/>
          <w:w w:val="105"/>
          <w:position w:val="9"/>
        </w:rPr>
        <w:t xml:space="preserve"> </w:t>
      </w:r>
      <w:r>
        <w:rPr>
          <w:color w:val="181818"/>
          <w:w w:val="105"/>
          <w:position w:val="9"/>
        </w:rPr>
        <w:t>Parkinson's</w:t>
      </w:r>
      <w:r>
        <w:rPr>
          <w:color w:val="181818"/>
          <w:w w:val="105"/>
          <w:position w:val="9"/>
        </w:rPr>
        <w:tab/>
      </w:r>
      <w:r>
        <w:rPr>
          <w:color w:val="030303"/>
          <w:w w:val="105"/>
        </w:rPr>
        <w:t>294.9</w:t>
      </w:r>
      <w:r>
        <w:rPr>
          <w:color w:val="030303"/>
          <w:w w:val="105"/>
        </w:rPr>
        <w:tab/>
      </w:r>
      <w:r>
        <w:rPr>
          <w:color w:val="181818"/>
          <w:w w:val="105"/>
        </w:rPr>
        <w:t xml:space="preserve">Cognitive Disorder </w:t>
      </w:r>
      <w:r>
        <w:rPr>
          <w:color w:val="030303"/>
          <w:w w:val="105"/>
        </w:rPr>
        <w:t>NOS</w:t>
      </w:r>
      <w:r>
        <w:rPr>
          <w:color w:val="030303"/>
          <w:spacing w:val="-34"/>
          <w:w w:val="105"/>
        </w:rPr>
        <w:t xml:space="preserve"> </w:t>
      </w:r>
      <w:r>
        <w:rPr>
          <w:color w:val="030303"/>
          <w:w w:val="105"/>
        </w:rPr>
        <w:t>(163)</w:t>
      </w:r>
      <w:r>
        <w:rPr>
          <w:color w:val="181818"/>
          <w:w w:val="105"/>
        </w:rPr>
        <w:t xml:space="preserve"> Disease </w:t>
      </w:r>
      <w:r>
        <w:rPr>
          <w:i/>
          <w:color w:val="030303"/>
          <w:w w:val="105"/>
        </w:rPr>
        <w:t>(also code</w:t>
      </w:r>
      <w:r>
        <w:rPr>
          <w:i/>
          <w:color w:val="030303"/>
          <w:spacing w:val="-5"/>
          <w:w w:val="105"/>
        </w:rPr>
        <w:t xml:space="preserve"> </w:t>
      </w:r>
      <w:r>
        <w:rPr>
          <w:i/>
          <w:color w:val="181818"/>
          <w:w w:val="105"/>
        </w:rPr>
        <w:t>332.0</w:t>
      </w:r>
    </w:p>
    <w:p w:rsidR="00E675F0" w:rsidRDefault="00E675F0" w:rsidP="00E675F0">
      <w:pPr>
        <w:spacing w:before="33"/>
        <w:ind w:left="916"/>
        <w:rPr>
          <w:i/>
          <w:sz w:val="20"/>
        </w:rPr>
      </w:pPr>
      <w:r>
        <w:rPr>
          <w:i/>
          <w:color w:val="181818"/>
          <w:w w:val="105"/>
          <w:sz w:val="20"/>
        </w:rPr>
        <w:t xml:space="preserve">Parkinson's </w:t>
      </w:r>
      <w:r>
        <w:rPr>
          <w:i/>
          <w:color w:val="030303"/>
          <w:w w:val="105"/>
          <w:sz w:val="20"/>
        </w:rPr>
        <w:t xml:space="preserve">disease </w:t>
      </w:r>
      <w:r>
        <w:rPr>
          <w:i/>
          <w:color w:val="181818"/>
          <w:w w:val="105"/>
          <w:sz w:val="20"/>
        </w:rPr>
        <w:t>on</w:t>
      </w:r>
    </w:p>
    <w:p w:rsidR="00E675F0" w:rsidRDefault="00E675F0" w:rsidP="00E675F0">
      <w:pPr>
        <w:tabs>
          <w:tab w:val="left" w:pos="4263"/>
        </w:tabs>
        <w:spacing w:before="15"/>
        <w:ind w:left="916"/>
        <w:rPr>
          <w:rFonts w:ascii="Arial"/>
          <w:b/>
        </w:rPr>
      </w:pPr>
      <w:r>
        <w:rPr>
          <w:i/>
          <w:color w:val="181818"/>
          <w:w w:val="105"/>
          <w:position w:val="2"/>
          <w:sz w:val="20"/>
        </w:rPr>
        <w:t xml:space="preserve">Axis </w:t>
      </w:r>
      <w:r>
        <w:rPr>
          <w:i/>
          <w:color w:val="030303"/>
          <w:w w:val="105"/>
          <w:position w:val="2"/>
          <w:sz w:val="20"/>
        </w:rPr>
        <w:t>II/)</w:t>
      </w:r>
      <w:r>
        <w:rPr>
          <w:i/>
          <w:color w:val="030303"/>
          <w:spacing w:val="39"/>
          <w:w w:val="105"/>
          <w:position w:val="2"/>
          <w:sz w:val="20"/>
        </w:rPr>
        <w:t xml:space="preserve"> </w:t>
      </w:r>
      <w:r>
        <w:rPr>
          <w:color w:val="030303"/>
          <w:w w:val="105"/>
          <w:position w:val="2"/>
          <w:sz w:val="20"/>
        </w:rPr>
        <w:t>0</w:t>
      </w:r>
      <w:r>
        <w:rPr>
          <w:color w:val="030303"/>
          <w:spacing w:val="14"/>
          <w:w w:val="105"/>
          <w:position w:val="2"/>
          <w:sz w:val="20"/>
        </w:rPr>
        <w:t xml:space="preserve"> </w:t>
      </w:r>
      <w:r>
        <w:rPr>
          <w:color w:val="030303"/>
          <w:w w:val="105"/>
          <w:position w:val="2"/>
          <w:sz w:val="20"/>
        </w:rPr>
        <w:t>48)</w:t>
      </w:r>
      <w:r>
        <w:rPr>
          <w:color w:val="030303"/>
          <w:w w:val="105"/>
          <w:position w:val="2"/>
          <w:sz w:val="20"/>
        </w:rPr>
        <w:tab/>
      </w:r>
      <w:r>
        <w:rPr>
          <w:rFonts w:ascii="Arial"/>
          <w:b/>
          <w:color w:val="181818"/>
          <w:w w:val="105"/>
        </w:rPr>
        <w:t xml:space="preserve">Mental Disorders </w:t>
      </w:r>
      <w:r>
        <w:rPr>
          <w:rFonts w:ascii="Arial"/>
          <w:b/>
          <w:color w:val="030303"/>
          <w:w w:val="105"/>
        </w:rPr>
        <w:t xml:space="preserve">Due </w:t>
      </w:r>
      <w:r>
        <w:rPr>
          <w:rFonts w:ascii="Arial"/>
          <w:b/>
          <w:color w:val="181818"/>
          <w:w w:val="105"/>
        </w:rPr>
        <w:t>to</w:t>
      </w:r>
      <w:r>
        <w:rPr>
          <w:rFonts w:ascii="Arial"/>
          <w:b/>
          <w:color w:val="181818"/>
          <w:spacing w:val="8"/>
          <w:w w:val="105"/>
        </w:rPr>
        <w:t xml:space="preserve"> </w:t>
      </w:r>
      <w:r>
        <w:rPr>
          <w:rFonts w:ascii="Arial"/>
          <w:b/>
          <w:color w:val="181818"/>
          <w:w w:val="105"/>
        </w:rPr>
        <w:t>a</w:t>
      </w:r>
    </w:p>
    <w:p w:rsidR="00E675F0" w:rsidRDefault="00E675F0" w:rsidP="00E675F0">
      <w:pPr>
        <w:tabs>
          <w:tab w:val="left" w:pos="903"/>
          <w:tab w:val="left" w:pos="4263"/>
        </w:tabs>
        <w:spacing w:before="2" w:line="262" w:lineRule="exact"/>
        <w:ind w:left="186"/>
        <w:rPr>
          <w:rFonts w:ascii="Arial"/>
          <w:b/>
        </w:rPr>
      </w:pPr>
      <w:r>
        <w:rPr>
          <w:color w:val="181818"/>
          <w:w w:val="105"/>
          <w:sz w:val="20"/>
        </w:rPr>
        <w:t>294.l</w:t>
      </w:r>
      <w:r>
        <w:rPr>
          <w:color w:val="181818"/>
          <w:w w:val="105"/>
          <w:sz w:val="20"/>
        </w:rPr>
        <w:tab/>
        <w:t xml:space="preserve">Dementia  </w:t>
      </w:r>
      <w:r>
        <w:rPr>
          <w:color w:val="030303"/>
          <w:w w:val="105"/>
          <w:sz w:val="20"/>
        </w:rPr>
        <w:t>Due to</w:t>
      </w:r>
      <w:r>
        <w:rPr>
          <w:color w:val="030303"/>
          <w:spacing w:val="-26"/>
          <w:w w:val="105"/>
          <w:sz w:val="20"/>
        </w:rPr>
        <w:t xml:space="preserve"> </w:t>
      </w:r>
      <w:r>
        <w:rPr>
          <w:color w:val="181818"/>
          <w:w w:val="105"/>
          <w:sz w:val="20"/>
        </w:rPr>
        <w:t>Huntington</w:t>
      </w:r>
      <w:r>
        <w:rPr>
          <w:color w:val="181818"/>
          <w:spacing w:val="-14"/>
          <w:w w:val="105"/>
          <w:sz w:val="20"/>
        </w:rPr>
        <w:t xml:space="preserve"> </w:t>
      </w:r>
      <w:r>
        <w:rPr>
          <w:color w:val="424242"/>
          <w:w w:val="105"/>
          <w:sz w:val="20"/>
        </w:rPr>
        <w:t>'</w:t>
      </w:r>
      <w:r>
        <w:rPr>
          <w:color w:val="181818"/>
          <w:w w:val="105"/>
          <w:sz w:val="20"/>
        </w:rPr>
        <w:t>s</w:t>
      </w:r>
      <w:r>
        <w:rPr>
          <w:color w:val="181818"/>
          <w:w w:val="105"/>
          <w:sz w:val="20"/>
        </w:rPr>
        <w:tab/>
      </w:r>
      <w:r>
        <w:rPr>
          <w:rFonts w:ascii="Arial"/>
          <w:b/>
          <w:color w:val="181818"/>
          <w:w w:val="105"/>
          <w:position w:val="-4"/>
        </w:rPr>
        <w:t>General Medical</w:t>
      </w:r>
      <w:r>
        <w:rPr>
          <w:rFonts w:ascii="Arial"/>
          <w:b/>
          <w:color w:val="181818"/>
          <w:spacing w:val="-2"/>
          <w:w w:val="105"/>
          <w:position w:val="-4"/>
        </w:rPr>
        <w:t xml:space="preserve"> </w:t>
      </w:r>
      <w:r>
        <w:rPr>
          <w:rFonts w:ascii="Arial"/>
          <w:b/>
          <w:color w:val="181818"/>
          <w:w w:val="105"/>
          <w:position w:val="-4"/>
        </w:rPr>
        <w:t>Condition</w:t>
      </w:r>
    </w:p>
    <w:p w:rsidR="00E675F0" w:rsidRDefault="00E675F0" w:rsidP="00E675F0">
      <w:pPr>
        <w:tabs>
          <w:tab w:val="left" w:pos="4267"/>
        </w:tabs>
        <w:spacing w:line="260" w:lineRule="exact"/>
        <w:ind w:left="908"/>
        <w:rPr>
          <w:sz w:val="20"/>
        </w:rPr>
      </w:pPr>
      <w:r>
        <w:rPr>
          <w:color w:val="181818"/>
          <w:position w:val="9"/>
          <w:sz w:val="20"/>
        </w:rPr>
        <w:t xml:space="preserve">Disease  </w:t>
      </w:r>
      <w:r>
        <w:rPr>
          <w:i/>
          <w:color w:val="181818"/>
          <w:position w:val="9"/>
          <w:sz w:val="20"/>
        </w:rPr>
        <w:t>(also</w:t>
      </w:r>
      <w:r>
        <w:rPr>
          <w:i/>
          <w:color w:val="181818"/>
          <w:spacing w:val="17"/>
          <w:position w:val="9"/>
          <w:sz w:val="20"/>
        </w:rPr>
        <w:t xml:space="preserve"> </w:t>
      </w:r>
      <w:r>
        <w:rPr>
          <w:i/>
          <w:color w:val="181818"/>
          <w:position w:val="9"/>
          <w:sz w:val="20"/>
        </w:rPr>
        <w:t>code</w:t>
      </w:r>
      <w:r>
        <w:rPr>
          <w:i/>
          <w:color w:val="181818"/>
          <w:spacing w:val="-1"/>
          <w:position w:val="9"/>
          <w:sz w:val="20"/>
        </w:rPr>
        <w:t xml:space="preserve"> </w:t>
      </w:r>
      <w:r>
        <w:rPr>
          <w:i/>
          <w:color w:val="2F2F2F"/>
          <w:position w:val="9"/>
          <w:sz w:val="20"/>
        </w:rPr>
        <w:t>333.4</w:t>
      </w:r>
      <w:r>
        <w:rPr>
          <w:i/>
          <w:color w:val="2F2F2F"/>
          <w:position w:val="9"/>
          <w:sz w:val="20"/>
        </w:rPr>
        <w:tab/>
      </w:r>
      <w:r>
        <w:rPr>
          <w:rFonts w:ascii="Arial"/>
          <w:b/>
          <w:color w:val="181818"/>
        </w:rPr>
        <w:t xml:space="preserve">Not Elsewhere Classified </w:t>
      </w:r>
      <w:r>
        <w:rPr>
          <w:color w:val="696969"/>
          <w:sz w:val="17"/>
        </w:rPr>
        <w:t>c</w:t>
      </w:r>
      <w:r>
        <w:rPr>
          <w:color w:val="696969"/>
          <w:spacing w:val="36"/>
          <w:sz w:val="17"/>
        </w:rPr>
        <w:t xml:space="preserve"> </w:t>
      </w:r>
      <w:r>
        <w:rPr>
          <w:color w:val="575757"/>
          <w:sz w:val="20"/>
        </w:rPr>
        <w:t>t6'i&gt;</w:t>
      </w:r>
    </w:p>
    <w:p w:rsidR="00E675F0" w:rsidRDefault="00E675F0" w:rsidP="00E675F0">
      <w:pPr>
        <w:spacing w:line="188" w:lineRule="exact"/>
        <w:ind w:left="912"/>
        <w:rPr>
          <w:i/>
          <w:sz w:val="20"/>
        </w:rPr>
      </w:pPr>
      <w:r>
        <w:rPr>
          <w:i/>
          <w:color w:val="181818"/>
          <w:w w:val="105"/>
          <w:sz w:val="20"/>
        </w:rPr>
        <w:t xml:space="preserve">Huntington </w:t>
      </w:r>
      <w:r>
        <w:rPr>
          <w:i/>
          <w:color w:val="424242"/>
          <w:w w:val="105"/>
          <w:sz w:val="20"/>
        </w:rPr>
        <w:t>'</w:t>
      </w:r>
      <w:r>
        <w:rPr>
          <w:i/>
          <w:color w:val="181818"/>
          <w:w w:val="105"/>
          <w:sz w:val="20"/>
        </w:rPr>
        <w:t>s disease on</w:t>
      </w:r>
    </w:p>
    <w:p w:rsidR="00E675F0" w:rsidRDefault="00E675F0" w:rsidP="00E675F0">
      <w:pPr>
        <w:pStyle w:val="BodyText"/>
        <w:tabs>
          <w:tab w:val="left" w:pos="4101"/>
        </w:tabs>
        <w:spacing w:before="15"/>
        <w:ind w:left="921"/>
      </w:pPr>
      <w:r>
        <w:rPr>
          <w:i/>
          <w:color w:val="181818"/>
          <w:w w:val="105"/>
          <w:position w:val="1"/>
        </w:rPr>
        <w:t>Axis</w:t>
      </w:r>
      <w:r>
        <w:rPr>
          <w:i/>
          <w:color w:val="181818"/>
          <w:spacing w:val="-3"/>
          <w:w w:val="105"/>
          <w:position w:val="1"/>
        </w:rPr>
        <w:t xml:space="preserve"> </w:t>
      </w:r>
      <w:r>
        <w:rPr>
          <w:i/>
          <w:color w:val="181818"/>
          <w:w w:val="105"/>
          <w:position w:val="1"/>
        </w:rPr>
        <w:t>III)</w:t>
      </w:r>
      <w:r>
        <w:rPr>
          <w:i/>
          <w:color w:val="181818"/>
          <w:spacing w:val="31"/>
          <w:w w:val="105"/>
          <w:position w:val="1"/>
        </w:rPr>
        <w:t xml:space="preserve"> </w:t>
      </w:r>
      <w:r>
        <w:rPr>
          <w:color w:val="181818"/>
          <w:w w:val="105"/>
          <w:position w:val="1"/>
        </w:rPr>
        <w:t>(149)</w:t>
      </w:r>
      <w:r>
        <w:rPr>
          <w:color w:val="181818"/>
          <w:w w:val="105"/>
          <w:position w:val="1"/>
        </w:rPr>
        <w:tab/>
      </w:r>
      <w:r>
        <w:rPr>
          <w:color w:val="181818"/>
          <w:w w:val="105"/>
        </w:rPr>
        <w:t xml:space="preserve">293.89 </w:t>
      </w:r>
      <w:r>
        <w:rPr>
          <w:color w:val="181818"/>
          <w:w w:val="105"/>
          <w:position w:val="1"/>
        </w:rPr>
        <w:t xml:space="preserve">Catatonic </w:t>
      </w:r>
      <w:r>
        <w:rPr>
          <w:color w:val="030303"/>
          <w:w w:val="105"/>
          <w:position w:val="1"/>
        </w:rPr>
        <w:t xml:space="preserve">Disorder Due </w:t>
      </w:r>
      <w:r>
        <w:rPr>
          <w:color w:val="181818"/>
          <w:w w:val="105"/>
          <w:position w:val="1"/>
        </w:rPr>
        <w:t>to</w:t>
      </w:r>
      <w:r>
        <w:rPr>
          <w:color w:val="181818"/>
          <w:spacing w:val="42"/>
          <w:w w:val="105"/>
          <w:position w:val="1"/>
        </w:rPr>
        <w:t xml:space="preserve"> </w:t>
      </w:r>
      <w:r>
        <w:rPr>
          <w:color w:val="2F2F2F"/>
          <w:w w:val="105"/>
          <w:position w:val="1"/>
        </w:rPr>
        <w:t>...</w:t>
      </w:r>
    </w:p>
    <w:p w:rsidR="00E675F0" w:rsidRDefault="00E675F0" w:rsidP="00E675F0">
      <w:pPr>
        <w:tabs>
          <w:tab w:val="left" w:pos="4808"/>
        </w:tabs>
        <w:spacing w:before="10"/>
        <w:ind w:left="912" w:right="511" w:hanging="722"/>
        <w:rPr>
          <w:sz w:val="20"/>
        </w:rPr>
      </w:pPr>
      <w:r>
        <w:rPr>
          <w:color w:val="181818"/>
          <w:w w:val="105"/>
          <w:sz w:val="20"/>
        </w:rPr>
        <w:t xml:space="preserve">290.10   Dementia </w:t>
      </w:r>
      <w:r>
        <w:rPr>
          <w:color w:val="030303"/>
          <w:w w:val="105"/>
          <w:sz w:val="20"/>
        </w:rPr>
        <w:t>Due to</w:t>
      </w:r>
      <w:r>
        <w:rPr>
          <w:color w:val="030303"/>
          <w:spacing w:val="17"/>
          <w:w w:val="105"/>
          <w:sz w:val="20"/>
        </w:rPr>
        <w:t xml:space="preserve"> </w:t>
      </w:r>
      <w:r>
        <w:rPr>
          <w:color w:val="030303"/>
          <w:w w:val="105"/>
          <w:sz w:val="20"/>
        </w:rPr>
        <w:t>Pick</w:t>
      </w:r>
      <w:r>
        <w:rPr>
          <w:color w:val="575757"/>
          <w:w w:val="105"/>
          <w:sz w:val="20"/>
        </w:rPr>
        <w:t>'</w:t>
      </w:r>
      <w:r>
        <w:rPr>
          <w:color w:val="181818"/>
          <w:w w:val="105"/>
          <w:sz w:val="20"/>
        </w:rPr>
        <w:t>s</w:t>
      </w:r>
      <w:r>
        <w:rPr>
          <w:color w:val="181818"/>
          <w:spacing w:val="7"/>
          <w:w w:val="105"/>
          <w:sz w:val="20"/>
        </w:rPr>
        <w:t xml:space="preserve"> </w:t>
      </w:r>
      <w:r>
        <w:rPr>
          <w:color w:val="181818"/>
          <w:w w:val="105"/>
          <w:sz w:val="20"/>
        </w:rPr>
        <w:t>Disease</w:t>
      </w:r>
      <w:r>
        <w:rPr>
          <w:color w:val="181818"/>
          <w:w w:val="105"/>
          <w:sz w:val="20"/>
        </w:rPr>
        <w:tab/>
      </w:r>
      <w:r>
        <w:rPr>
          <w:i/>
          <w:color w:val="181818"/>
          <w:w w:val="105"/>
          <w:sz w:val="20"/>
        </w:rPr>
        <w:t>(Indicate the General</w:t>
      </w:r>
      <w:r>
        <w:rPr>
          <w:i/>
          <w:color w:val="181818"/>
          <w:spacing w:val="-23"/>
          <w:w w:val="105"/>
          <w:sz w:val="20"/>
        </w:rPr>
        <w:t xml:space="preserve"> </w:t>
      </w:r>
      <w:r>
        <w:rPr>
          <w:i/>
          <w:color w:val="181818"/>
          <w:w w:val="105"/>
          <w:sz w:val="20"/>
        </w:rPr>
        <w:t xml:space="preserve">Medical (also code </w:t>
      </w:r>
      <w:r>
        <w:rPr>
          <w:i/>
          <w:color w:val="030303"/>
          <w:w w:val="105"/>
          <w:sz w:val="20"/>
        </w:rPr>
        <w:t>331.1</w:t>
      </w:r>
      <w:r>
        <w:rPr>
          <w:i/>
          <w:color w:val="030303"/>
          <w:spacing w:val="-15"/>
          <w:w w:val="105"/>
          <w:sz w:val="20"/>
        </w:rPr>
        <w:t xml:space="preserve"> </w:t>
      </w:r>
      <w:r>
        <w:rPr>
          <w:i/>
          <w:color w:val="030303"/>
          <w:w w:val="105"/>
          <w:sz w:val="20"/>
        </w:rPr>
        <w:t>Pick</w:t>
      </w:r>
      <w:r>
        <w:rPr>
          <w:i/>
          <w:color w:val="424242"/>
          <w:w w:val="105"/>
          <w:sz w:val="20"/>
        </w:rPr>
        <w:t>'s</w:t>
      </w:r>
      <w:r>
        <w:rPr>
          <w:i/>
          <w:color w:val="424242"/>
          <w:spacing w:val="-14"/>
          <w:w w:val="105"/>
          <w:sz w:val="20"/>
        </w:rPr>
        <w:t xml:space="preserve"> </w:t>
      </w:r>
      <w:r>
        <w:rPr>
          <w:i/>
          <w:color w:val="181818"/>
          <w:w w:val="105"/>
          <w:sz w:val="20"/>
        </w:rPr>
        <w:t>disease</w:t>
      </w:r>
      <w:r>
        <w:rPr>
          <w:i/>
          <w:color w:val="181818"/>
          <w:w w:val="105"/>
          <w:sz w:val="20"/>
        </w:rPr>
        <w:tab/>
        <w:t>Condition}</w:t>
      </w:r>
      <w:r>
        <w:rPr>
          <w:i/>
          <w:color w:val="181818"/>
          <w:spacing w:val="39"/>
          <w:w w:val="105"/>
          <w:sz w:val="20"/>
        </w:rPr>
        <w:t xml:space="preserve"> </w:t>
      </w:r>
      <w:r>
        <w:rPr>
          <w:color w:val="181818"/>
          <w:w w:val="105"/>
          <w:sz w:val="20"/>
        </w:rPr>
        <w:t>(169)</w:t>
      </w:r>
    </w:p>
    <w:p w:rsidR="00E675F0" w:rsidRDefault="00E675F0" w:rsidP="00E675F0">
      <w:pPr>
        <w:tabs>
          <w:tab w:val="left" w:pos="3172"/>
          <w:tab w:val="left" w:pos="3898"/>
        </w:tabs>
        <w:spacing w:before="6"/>
        <w:ind w:right="423"/>
        <w:jc w:val="right"/>
        <w:rPr>
          <w:sz w:val="20"/>
        </w:rPr>
      </w:pPr>
      <w:r>
        <w:rPr>
          <w:i/>
          <w:color w:val="181818"/>
          <w:w w:val="105"/>
          <w:position w:val="1"/>
          <w:sz w:val="20"/>
        </w:rPr>
        <w:t>on Axis</w:t>
      </w:r>
      <w:r>
        <w:rPr>
          <w:i/>
          <w:color w:val="181818"/>
          <w:spacing w:val="2"/>
          <w:w w:val="105"/>
          <w:position w:val="1"/>
          <w:sz w:val="20"/>
        </w:rPr>
        <w:t xml:space="preserve"> </w:t>
      </w:r>
      <w:r>
        <w:rPr>
          <w:i/>
          <w:color w:val="030303"/>
          <w:w w:val="105"/>
          <w:position w:val="1"/>
          <w:sz w:val="20"/>
        </w:rPr>
        <w:t>III)</w:t>
      </w:r>
      <w:r>
        <w:rPr>
          <w:i/>
          <w:color w:val="030303"/>
          <w:spacing w:val="40"/>
          <w:w w:val="105"/>
          <w:position w:val="1"/>
          <w:sz w:val="20"/>
        </w:rPr>
        <w:t xml:space="preserve"> </w:t>
      </w:r>
      <w:r>
        <w:rPr>
          <w:color w:val="030303"/>
          <w:w w:val="105"/>
          <w:position w:val="1"/>
          <w:sz w:val="20"/>
        </w:rPr>
        <w:t>(149)</w:t>
      </w:r>
      <w:r>
        <w:rPr>
          <w:color w:val="030303"/>
          <w:w w:val="105"/>
          <w:position w:val="1"/>
          <w:sz w:val="20"/>
        </w:rPr>
        <w:tab/>
      </w:r>
      <w:r>
        <w:rPr>
          <w:color w:val="030303"/>
          <w:w w:val="105"/>
          <w:sz w:val="20"/>
        </w:rPr>
        <w:t>310.1</w:t>
      </w:r>
      <w:r>
        <w:rPr>
          <w:color w:val="030303"/>
          <w:w w:val="105"/>
          <w:sz w:val="20"/>
        </w:rPr>
        <w:tab/>
      </w:r>
      <w:r>
        <w:rPr>
          <w:color w:val="030303"/>
          <w:w w:val="105"/>
          <w:position w:val="1"/>
          <w:sz w:val="20"/>
        </w:rPr>
        <w:t xml:space="preserve">Personality </w:t>
      </w:r>
      <w:r>
        <w:rPr>
          <w:color w:val="181818"/>
          <w:w w:val="105"/>
          <w:position w:val="1"/>
          <w:sz w:val="20"/>
        </w:rPr>
        <w:t xml:space="preserve">Change </w:t>
      </w:r>
      <w:r>
        <w:rPr>
          <w:color w:val="030303"/>
          <w:w w:val="105"/>
          <w:position w:val="1"/>
          <w:sz w:val="20"/>
        </w:rPr>
        <w:t xml:space="preserve">Due to . </w:t>
      </w:r>
      <w:r>
        <w:rPr>
          <w:color w:val="2F2F2F"/>
          <w:w w:val="105"/>
          <w:position w:val="1"/>
          <w:sz w:val="20"/>
        </w:rPr>
        <w:t>.</w:t>
      </w:r>
      <w:r>
        <w:rPr>
          <w:color w:val="2F2F2F"/>
          <w:spacing w:val="-31"/>
          <w:w w:val="105"/>
          <w:position w:val="1"/>
          <w:sz w:val="20"/>
        </w:rPr>
        <w:t xml:space="preserve"> </w:t>
      </w:r>
      <w:r>
        <w:rPr>
          <w:color w:val="2F2F2F"/>
          <w:w w:val="105"/>
          <w:position w:val="1"/>
          <w:sz w:val="20"/>
        </w:rPr>
        <w:t>.</w:t>
      </w:r>
    </w:p>
    <w:p w:rsidR="00E675F0" w:rsidRDefault="00E675F0" w:rsidP="00E675F0">
      <w:pPr>
        <w:tabs>
          <w:tab w:val="left" w:pos="4622"/>
        </w:tabs>
        <w:spacing w:before="5"/>
        <w:ind w:right="502"/>
        <w:jc w:val="right"/>
        <w:rPr>
          <w:i/>
          <w:sz w:val="20"/>
        </w:rPr>
      </w:pPr>
      <w:r>
        <w:rPr>
          <w:color w:val="181818"/>
          <w:w w:val="105"/>
          <w:sz w:val="20"/>
        </w:rPr>
        <w:t>290.10   Dementia</w:t>
      </w:r>
      <w:r>
        <w:rPr>
          <w:color w:val="181818"/>
          <w:spacing w:val="27"/>
          <w:w w:val="105"/>
          <w:sz w:val="20"/>
        </w:rPr>
        <w:t xml:space="preserve"> </w:t>
      </w:r>
      <w:r>
        <w:rPr>
          <w:color w:val="030303"/>
          <w:w w:val="105"/>
          <w:sz w:val="20"/>
        </w:rPr>
        <w:t>Due</w:t>
      </w:r>
      <w:r>
        <w:rPr>
          <w:color w:val="030303"/>
          <w:spacing w:val="7"/>
          <w:w w:val="105"/>
          <w:sz w:val="20"/>
        </w:rPr>
        <w:t xml:space="preserve"> </w:t>
      </w:r>
      <w:r>
        <w:rPr>
          <w:color w:val="030303"/>
          <w:w w:val="105"/>
          <w:sz w:val="20"/>
        </w:rPr>
        <w:t>to</w:t>
      </w:r>
      <w:r>
        <w:rPr>
          <w:color w:val="030303"/>
          <w:w w:val="105"/>
          <w:sz w:val="20"/>
        </w:rPr>
        <w:tab/>
      </w:r>
      <w:r>
        <w:rPr>
          <w:i/>
          <w:color w:val="030303"/>
          <w:w w:val="105"/>
          <w:sz w:val="20"/>
        </w:rPr>
        <w:t>(Indicat</w:t>
      </w:r>
      <w:r>
        <w:rPr>
          <w:i/>
          <w:color w:val="030303"/>
          <w:spacing w:val="-8"/>
          <w:w w:val="105"/>
          <w:sz w:val="20"/>
        </w:rPr>
        <w:t xml:space="preserve"> </w:t>
      </w:r>
      <w:r>
        <w:rPr>
          <w:i/>
          <w:color w:val="2F2F2F"/>
          <w:w w:val="105"/>
          <w:sz w:val="20"/>
        </w:rPr>
        <w:t>e</w:t>
      </w:r>
      <w:r>
        <w:rPr>
          <w:i/>
          <w:color w:val="2F2F2F"/>
          <w:spacing w:val="-21"/>
          <w:w w:val="105"/>
          <w:sz w:val="20"/>
        </w:rPr>
        <w:t xml:space="preserve"> </w:t>
      </w:r>
      <w:r>
        <w:rPr>
          <w:i/>
          <w:color w:val="181818"/>
          <w:w w:val="105"/>
          <w:sz w:val="20"/>
        </w:rPr>
        <w:t>the</w:t>
      </w:r>
      <w:r>
        <w:rPr>
          <w:i/>
          <w:color w:val="181818"/>
          <w:spacing w:val="-24"/>
          <w:w w:val="105"/>
          <w:sz w:val="20"/>
        </w:rPr>
        <w:t xml:space="preserve"> </w:t>
      </w:r>
      <w:r>
        <w:rPr>
          <w:i/>
          <w:color w:val="181818"/>
          <w:w w:val="105"/>
          <w:sz w:val="20"/>
        </w:rPr>
        <w:t>General</w:t>
      </w:r>
      <w:r>
        <w:rPr>
          <w:i/>
          <w:color w:val="181818"/>
          <w:spacing w:val="-15"/>
          <w:w w:val="105"/>
          <w:sz w:val="20"/>
        </w:rPr>
        <w:t xml:space="preserve"> </w:t>
      </w:r>
      <w:r>
        <w:rPr>
          <w:i/>
          <w:color w:val="030303"/>
          <w:w w:val="105"/>
          <w:sz w:val="20"/>
        </w:rPr>
        <w:t>Medical</w:t>
      </w:r>
    </w:p>
    <w:p w:rsidR="00E675F0" w:rsidRDefault="00E675F0" w:rsidP="00E675F0">
      <w:pPr>
        <w:tabs>
          <w:tab w:val="left" w:pos="4828"/>
        </w:tabs>
        <w:spacing w:before="11" w:line="223" w:lineRule="exact"/>
        <w:ind w:left="904"/>
        <w:rPr>
          <w:sz w:val="20"/>
        </w:rPr>
      </w:pPr>
      <w:r>
        <w:rPr>
          <w:color w:val="181818"/>
          <w:w w:val="105"/>
          <w:sz w:val="20"/>
        </w:rPr>
        <w:t>Creutzfeldt-Jakob</w:t>
      </w:r>
      <w:r>
        <w:rPr>
          <w:color w:val="181818"/>
          <w:spacing w:val="-4"/>
          <w:w w:val="105"/>
          <w:sz w:val="20"/>
        </w:rPr>
        <w:t xml:space="preserve"> </w:t>
      </w:r>
      <w:r>
        <w:rPr>
          <w:color w:val="181818"/>
          <w:w w:val="105"/>
          <w:sz w:val="20"/>
        </w:rPr>
        <w:t>Disease</w:t>
      </w:r>
      <w:r>
        <w:rPr>
          <w:color w:val="181818"/>
          <w:spacing w:val="10"/>
          <w:w w:val="105"/>
          <w:sz w:val="20"/>
        </w:rPr>
        <w:t xml:space="preserve"> </w:t>
      </w:r>
      <w:r>
        <w:rPr>
          <w:i/>
          <w:color w:val="181818"/>
          <w:w w:val="105"/>
          <w:sz w:val="20"/>
        </w:rPr>
        <w:t>(also</w:t>
      </w:r>
      <w:r>
        <w:rPr>
          <w:i/>
          <w:color w:val="181818"/>
          <w:w w:val="105"/>
          <w:sz w:val="20"/>
        </w:rPr>
        <w:tab/>
        <w:t>Condition}</w:t>
      </w:r>
      <w:r>
        <w:rPr>
          <w:i/>
          <w:color w:val="181818"/>
          <w:spacing w:val="46"/>
          <w:w w:val="105"/>
          <w:sz w:val="20"/>
        </w:rPr>
        <w:t xml:space="preserve"> </w:t>
      </w:r>
      <w:r>
        <w:rPr>
          <w:color w:val="181818"/>
          <w:w w:val="105"/>
          <w:sz w:val="20"/>
        </w:rPr>
        <w:t>(171)</w:t>
      </w:r>
    </w:p>
    <w:p w:rsidR="00E675F0" w:rsidRDefault="00E675F0" w:rsidP="00E675F0">
      <w:pPr>
        <w:tabs>
          <w:tab w:val="left" w:pos="4826"/>
        </w:tabs>
        <w:spacing w:before="23" w:line="182" w:lineRule="auto"/>
        <w:ind w:left="4813" w:right="355" w:hanging="3893"/>
        <w:rPr>
          <w:sz w:val="16"/>
        </w:rPr>
      </w:pPr>
      <w:r>
        <w:rPr>
          <w:noProof/>
        </w:rPr>
        <mc:AlternateContent>
          <mc:Choice Requires="wps">
            <w:drawing>
              <wp:anchor distT="0" distB="0" distL="114300" distR="114300" simplePos="0" relativeHeight="251741184" behindDoc="1" locked="0" layoutInCell="1" allowOverlap="1" wp14:anchorId="00BACF81" wp14:editId="19B742AF">
                <wp:simplePos x="0" y="0"/>
                <wp:positionH relativeFrom="page">
                  <wp:posOffset>938530</wp:posOffset>
                </wp:positionH>
                <wp:positionV relativeFrom="paragraph">
                  <wp:posOffset>168910</wp:posOffset>
                </wp:positionV>
                <wp:extent cx="1332230" cy="140970"/>
                <wp:effectExtent l="0" t="0" r="0" b="0"/>
                <wp:wrapNone/>
                <wp:docPr id="1707" name="Text Box 1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3223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5F0" w:rsidRDefault="00E675F0" w:rsidP="00E675F0">
                            <w:pPr>
                              <w:spacing w:line="222" w:lineRule="exact"/>
                              <w:rPr>
                                <w:sz w:val="20"/>
                              </w:rPr>
                            </w:pPr>
                            <w:r>
                              <w:rPr>
                                <w:i/>
                                <w:color w:val="181818"/>
                                <w:w w:val="105"/>
                                <w:sz w:val="20"/>
                              </w:rPr>
                              <w:t xml:space="preserve">disease </w:t>
                            </w:r>
                            <w:r>
                              <w:rPr>
                                <w:i/>
                                <w:color w:val="030303"/>
                                <w:w w:val="105"/>
                                <w:sz w:val="20"/>
                              </w:rPr>
                              <w:t>on Axis III)</w:t>
                            </w:r>
                            <w:r>
                              <w:rPr>
                                <w:i/>
                                <w:color w:val="030303"/>
                                <w:spacing w:val="-35"/>
                                <w:w w:val="105"/>
                                <w:sz w:val="20"/>
                              </w:rPr>
                              <w:t xml:space="preserve"> </w:t>
                            </w:r>
                            <w:r>
                              <w:rPr>
                                <w:color w:val="181818"/>
                                <w:spacing w:val="-4"/>
                                <w:w w:val="105"/>
                                <w:sz w:val="20"/>
                              </w:rPr>
                              <w:t>(150)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ACF81" id="Text Box 1663" o:spid="_x0000_s1043" type="#_x0000_t202" style="position:absolute;left:0;text-align:left;margin-left:73.9pt;margin-top:13.3pt;width:104.9pt;height:11.1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" filled="f" stroked="f">
                <v:path arrowok="t"/>
                <v:textbox inset="0,0,0,0">
                  <w:txbxContent>
                    <w:p w:rsidR="00E675F0" w:rsidRDefault="00E675F0" w:rsidP="00E675F0">
                      <w:pPr>
                        <w:spacing w:line="222" w:lineRule="exact"/>
                        <w:rPr>
                          <w:sz w:val="20"/>
                        </w:rPr>
                      </w:pPr>
                      <w:r>
                        <w:rPr>
                          <w:i/>
                          <w:color w:val="181818"/>
                          <w:w w:val="105"/>
                          <w:sz w:val="20"/>
                        </w:rPr>
                        <w:t xml:space="preserve">disease </w:t>
                      </w:r>
                      <w:r>
                        <w:rPr>
                          <w:i/>
                          <w:color w:val="030303"/>
                          <w:w w:val="105"/>
                          <w:sz w:val="20"/>
                        </w:rPr>
                        <w:t>on Axis III)</w:t>
                      </w:r>
                      <w:r>
                        <w:rPr>
                          <w:i/>
                          <w:color w:val="030303"/>
                          <w:spacing w:val="-35"/>
                          <w:w w:val="105"/>
                          <w:sz w:val="20"/>
                        </w:rPr>
                        <w:t xml:space="preserve"> </w:t>
                      </w:r>
                      <w:r>
                        <w:rPr>
                          <w:color w:val="181818"/>
                          <w:spacing w:val="-4"/>
                          <w:w w:val="105"/>
                          <w:sz w:val="20"/>
                        </w:rPr>
                        <w:t>(150)</w:t>
                      </w:r>
                    </w:p>
                  </w:txbxContent>
                </v:textbox>
                <w10:wrap anchorx="page"/>
              </v:shape>
            </w:pict>
          </mc:Fallback>
        </mc:AlternateContent>
      </w:r>
      <w:r>
        <w:rPr>
          <w:i/>
          <w:color w:val="2F2F2F"/>
          <w:w w:val="105"/>
          <w:position w:val="-5"/>
          <w:sz w:val="20"/>
        </w:rPr>
        <w:t>code</w:t>
      </w:r>
      <w:r>
        <w:rPr>
          <w:i/>
          <w:color w:val="2F2F2F"/>
          <w:spacing w:val="-7"/>
          <w:w w:val="105"/>
          <w:position w:val="-5"/>
          <w:sz w:val="20"/>
        </w:rPr>
        <w:t xml:space="preserve"> </w:t>
      </w:r>
      <w:r>
        <w:rPr>
          <w:i/>
          <w:color w:val="030303"/>
          <w:w w:val="105"/>
          <w:position w:val="-5"/>
          <w:sz w:val="20"/>
        </w:rPr>
        <w:t>046.1</w:t>
      </w:r>
      <w:r>
        <w:rPr>
          <w:i/>
          <w:color w:val="030303"/>
          <w:spacing w:val="-6"/>
          <w:w w:val="105"/>
          <w:position w:val="-5"/>
          <w:sz w:val="20"/>
        </w:rPr>
        <w:t xml:space="preserve"> </w:t>
      </w:r>
      <w:r>
        <w:rPr>
          <w:i/>
          <w:color w:val="030303"/>
          <w:w w:val="105"/>
          <w:position w:val="-5"/>
          <w:sz w:val="20"/>
        </w:rPr>
        <w:t>Creutzfeldt-Jakob</w:t>
      </w:r>
      <w:r>
        <w:rPr>
          <w:i/>
          <w:color w:val="030303"/>
          <w:w w:val="105"/>
          <w:position w:val="-5"/>
          <w:sz w:val="20"/>
        </w:rPr>
        <w:tab/>
      </w:r>
      <w:r>
        <w:rPr>
          <w:i/>
          <w:color w:val="030303"/>
          <w:w w:val="105"/>
          <w:position w:val="-5"/>
          <w:sz w:val="20"/>
        </w:rPr>
        <w:tab/>
      </w:r>
      <w:r>
        <w:rPr>
          <w:i/>
          <w:color w:val="181818"/>
          <w:w w:val="105"/>
          <w:sz w:val="17"/>
        </w:rPr>
        <w:t>Specify typ</w:t>
      </w:r>
      <w:r>
        <w:rPr>
          <w:i/>
          <w:color w:val="424242"/>
          <w:w w:val="105"/>
          <w:sz w:val="17"/>
        </w:rPr>
        <w:t xml:space="preserve">e: </w:t>
      </w:r>
      <w:r>
        <w:rPr>
          <w:color w:val="2F2F2F"/>
          <w:w w:val="105"/>
          <w:sz w:val="16"/>
        </w:rPr>
        <w:t xml:space="preserve">Labile </w:t>
      </w:r>
      <w:r>
        <w:rPr>
          <w:color w:val="030303"/>
          <w:w w:val="105"/>
          <w:sz w:val="16"/>
        </w:rPr>
        <w:t xml:space="preserve">Type/Disinhibited </w:t>
      </w:r>
      <w:r>
        <w:rPr>
          <w:color w:val="181818"/>
          <w:w w:val="105"/>
          <w:sz w:val="16"/>
        </w:rPr>
        <w:t>Type</w:t>
      </w:r>
      <w:r>
        <w:rPr>
          <w:color w:val="575757"/>
          <w:w w:val="105"/>
          <w:sz w:val="16"/>
        </w:rPr>
        <w:t>/</w:t>
      </w:r>
      <w:r>
        <w:rPr>
          <w:color w:val="181818"/>
          <w:w w:val="105"/>
          <w:sz w:val="16"/>
        </w:rPr>
        <w:t>Aggre</w:t>
      </w:r>
      <w:r>
        <w:rPr>
          <w:color w:val="424242"/>
          <w:w w:val="105"/>
          <w:sz w:val="16"/>
        </w:rPr>
        <w:t>ss</w:t>
      </w:r>
      <w:r>
        <w:rPr>
          <w:color w:val="424242"/>
          <w:spacing w:val="-33"/>
          <w:w w:val="105"/>
          <w:sz w:val="16"/>
        </w:rPr>
        <w:t xml:space="preserve"> </w:t>
      </w:r>
      <w:r>
        <w:rPr>
          <w:color w:val="181818"/>
          <w:w w:val="105"/>
          <w:sz w:val="16"/>
        </w:rPr>
        <w:t>ive</w:t>
      </w:r>
      <w:r>
        <w:rPr>
          <w:color w:val="181818"/>
          <w:spacing w:val="-10"/>
          <w:w w:val="105"/>
          <w:sz w:val="16"/>
        </w:rPr>
        <w:t xml:space="preserve"> </w:t>
      </w:r>
      <w:r>
        <w:rPr>
          <w:color w:val="181818"/>
          <w:w w:val="105"/>
          <w:sz w:val="16"/>
        </w:rPr>
        <w:t>Type</w:t>
      </w:r>
      <w:r>
        <w:rPr>
          <w:color w:val="424242"/>
          <w:w w:val="105"/>
          <w:sz w:val="16"/>
        </w:rPr>
        <w:t>/</w:t>
      </w:r>
      <w:r>
        <w:rPr>
          <w:color w:val="424242"/>
          <w:spacing w:val="-32"/>
          <w:w w:val="105"/>
          <w:sz w:val="16"/>
        </w:rPr>
        <w:t xml:space="preserve"> </w:t>
      </w:r>
      <w:r>
        <w:rPr>
          <w:color w:val="181818"/>
          <w:w w:val="105"/>
          <w:sz w:val="16"/>
        </w:rPr>
        <w:t>Apathetic</w:t>
      </w:r>
      <w:r>
        <w:rPr>
          <w:color w:val="181818"/>
          <w:spacing w:val="-17"/>
          <w:w w:val="105"/>
          <w:sz w:val="16"/>
        </w:rPr>
        <w:t xml:space="preserve"> </w:t>
      </w:r>
      <w:r>
        <w:rPr>
          <w:color w:val="030303"/>
          <w:spacing w:val="3"/>
          <w:w w:val="105"/>
          <w:sz w:val="16"/>
        </w:rPr>
        <w:t>Typ</w:t>
      </w:r>
      <w:r>
        <w:rPr>
          <w:color w:val="2F2F2F"/>
          <w:spacing w:val="3"/>
          <w:w w:val="105"/>
          <w:sz w:val="16"/>
        </w:rPr>
        <w:t>e</w:t>
      </w:r>
      <w:r>
        <w:rPr>
          <w:color w:val="575757"/>
          <w:spacing w:val="3"/>
          <w:w w:val="105"/>
          <w:sz w:val="16"/>
        </w:rPr>
        <w:t>/</w:t>
      </w:r>
    </w:p>
    <w:p w:rsidR="00E675F0" w:rsidRDefault="00E675F0" w:rsidP="00E675F0">
      <w:pPr>
        <w:spacing w:before="17" w:line="148" w:lineRule="exact"/>
        <w:ind w:left="4824"/>
        <w:rPr>
          <w:sz w:val="16"/>
        </w:rPr>
      </w:pPr>
      <w:r>
        <w:rPr>
          <w:color w:val="181818"/>
          <w:w w:val="105"/>
          <w:sz w:val="16"/>
        </w:rPr>
        <w:t>Paranoid Type</w:t>
      </w:r>
      <w:r>
        <w:rPr>
          <w:color w:val="575757"/>
          <w:w w:val="105"/>
          <w:sz w:val="16"/>
        </w:rPr>
        <w:t xml:space="preserve">/ </w:t>
      </w:r>
      <w:r>
        <w:rPr>
          <w:color w:val="181818"/>
          <w:w w:val="105"/>
          <w:sz w:val="16"/>
        </w:rPr>
        <w:t xml:space="preserve">Other </w:t>
      </w:r>
      <w:r>
        <w:rPr>
          <w:color w:val="030303"/>
          <w:w w:val="105"/>
          <w:sz w:val="16"/>
        </w:rPr>
        <w:t>Type</w:t>
      </w:r>
      <w:r>
        <w:rPr>
          <w:color w:val="424242"/>
          <w:w w:val="105"/>
          <w:sz w:val="16"/>
        </w:rPr>
        <w:t>/</w:t>
      </w:r>
      <w:r>
        <w:rPr>
          <w:color w:val="181818"/>
          <w:w w:val="105"/>
          <w:sz w:val="16"/>
        </w:rPr>
        <w:t>Combined</w:t>
      </w:r>
    </w:p>
    <w:p w:rsidR="00E675F0" w:rsidRDefault="00E675F0" w:rsidP="00E675F0">
      <w:pPr>
        <w:tabs>
          <w:tab w:val="left" w:pos="908"/>
          <w:tab w:val="left" w:pos="4813"/>
        </w:tabs>
        <w:spacing w:line="216" w:lineRule="exact"/>
        <w:ind w:left="186"/>
        <w:rPr>
          <w:sz w:val="16"/>
        </w:rPr>
      </w:pPr>
      <w:r>
        <w:rPr>
          <w:color w:val="181818"/>
          <w:w w:val="105"/>
          <w:sz w:val="20"/>
        </w:rPr>
        <w:t>294.1</w:t>
      </w:r>
      <w:r>
        <w:rPr>
          <w:color w:val="181818"/>
          <w:w w:val="105"/>
          <w:sz w:val="20"/>
        </w:rPr>
        <w:tab/>
      </w:r>
      <w:r>
        <w:rPr>
          <w:color w:val="181818"/>
          <w:w w:val="105"/>
          <w:position w:val="1"/>
          <w:sz w:val="20"/>
        </w:rPr>
        <w:t xml:space="preserve">Dementia  </w:t>
      </w:r>
      <w:r>
        <w:rPr>
          <w:color w:val="030303"/>
          <w:w w:val="105"/>
          <w:position w:val="1"/>
          <w:sz w:val="20"/>
        </w:rPr>
        <w:t xml:space="preserve">Due </w:t>
      </w:r>
      <w:r>
        <w:rPr>
          <w:color w:val="181818"/>
          <w:w w:val="105"/>
          <w:position w:val="1"/>
          <w:sz w:val="18"/>
        </w:rPr>
        <w:t>to</w:t>
      </w:r>
      <w:r>
        <w:rPr>
          <w:color w:val="181818"/>
          <w:spacing w:val="16"/>
          <w:w w:val="105"/>
          <w:position w:val="1"/>
          <w:sz w:val="18"/>
        </w:rPr>
        <w:t xml:space="preserve"> </w:t>
      </w:r>
      <w:r>
        <w:rPr>
          <w:color w:val="181818"/>
          <w:w w:val="105"/>
          <w:position w:val="1"/>
          <w:sz w:val="18"/>
        </w:rPr>
        <w:t xml:space="preserve">...  </w:t>
      </w:r>
      <w:r>
        <w:rPr>
          <w:color w:val="181818"/>
          <w:spacing w:val="12"/>
          <w:w w:val="105"/>
          <w:position w:val="1"/>
          <w:sz w:val="18"/>
        </w:rPr>
        <w:t xml:space="preserve"> </w:t>
      </w:r>
      <w:r>
        <w:rPr>
          <w:i/>
          <w:color w:val="181818"/>
          <w:w w:val="105"/>
          <w:position w:val="1"/>
          <w:sz w:val="20"/>
        </w:rPr>
        <w:t>(Indicate</w:t>
      </w:r>
      <w:r>
        <w:rPr>
          <w:i/>
          <w:color w:val="181818"/>
          <w:w w:val="105"/>
          <w:position w:val="1"/>
          <w:sz w:val="20"/>
        </w:rPr>
        <w:tab/>
      </w:r>
      <w:r>
        <w:rPr>
          <w:color w:val="181818"/>
          <w:w w:val="105"/>
          <w:position w:val="-2"/>
          <w:sz w:val="16"/>
        </w:rPr>
        <w:t>Type</w:t>
      </w:r>
      <w:r>
        <w:rPr>
          <w:color w:val="696969"/>
          <w:w w:val="105"/>
          <w:position w:val="-2"/>
          <w:sz w:val="16"/>
        </w:rPr>
        <w:t xml:space="preserve">/ </w:t>
      </w:r>
      <w:r>
        <w:rPr>
          <w:color w:val="181818"/>
          <w:w w:val="105"/>
          <w:position w:val="-2"/>
          <w:sz w:val="16"/>
        </w:rPr>
        <w:t xml:space="preserve">Unspe </w:t>
      </w:r>
      <w:r>
        <w:rPr>
          <w:color w:val="424242"/>
          <w:w w:val="105"/>
          <w:position w:val="-2"/>
          <w:sz w:val="16"/>
        </w:rPr>
        <w:t>c</w:t>
      </w:r>
      <w:r>
        <w:rPr>
          <w:color w:val="181818"/>
          <w:w w:val="105"/>
          <w:position w:val="-2"/>
          <w:sz w:val="16"/>
        </w:rPr>
        <w:t>ified</w:t>
      </w:r>
      <w:r>
        <w:rPr>
          <w:color w:val="181818"/>
          <w:spacing w:val="1"/>
          <w:w w:val="105"/>
          <w:position w:val="-2"/>
          <w:sz w:val="16"/>
        </w:rPr>
        <w:t xml:space="preserve"> </w:t>
      </w:r>
      <w:r>
        <w:rPr>
          <w:color w:val="181818"/>
          <w:w w:val="105"/>
          <w:position w:val="-2"/>
          <w:sz w:val="16"/>
        </w:rPr>
        <w:t>Type</w:t>
      </w:r>
    </w:p>
    <w:p w:rsidR="00E675F0" w:rsidRDefault="00E675F0" w:rsidP="00E675F0">
      <w:pPr>
        <w:tabs>
          <w:tab w:val="left" w:pos="4101"/>
          <w:tab w:val="left" w:pos="4819"/>
        </w:tabs>
        <w:spacing w:line="255" w:lineRule="exact"/>
        <w:ind w:left="918"/>
        <w:rPr>
          <w:sz w:val="20"/>
        </w:rPr>
      </w:pPr>
      <w:r>
        <w:rPr>
          <w:i/>
          <w:color w:val="181818"/>
          <w:w w:val="105"/>
          <w:position w:val="5"/>
          <w:sz w:val="20"/>
        </w:rPr>
        <w:t>the General</w:t>
      </w:r>
      <w:r>
        <w:rPr>
          <w:i/>
          <w:color w:val="181818"/>
          <w:spacing w:val="-8"/>
          <w:w w:val="105"/>
          <w:position w:val="5"/>
          <w:sz w:val="20"/>
        </w:rPr>
        <w:t xml:space="preserve"> </w:t>
      </w:r>
      <w:r>
        <w:rPr>
          <w:i/>
          <w:color w:val="181818"/>
          <w:w w:val="105"/>
          <w:position w:val="5"/>
          <w:sz w:val="20"/>
        </w:rPr>
        <w:t>Medical</w:t>
      </w:r>
      <w:r>
        <w:rPr>
          <w:i/>
          <w:color w:val="181818"/>
          <w:spacing w:val="-4"/>
          <w:w w:val="105"/>
          <w:position w:val="5"/>
          <w:sz w:val="20"/>
        </w:rPr>
        <w:t xml:space="preserve"> </w:t>
      </w:r>
      <w:r>
        <w:rPr>
          <w:i/>
          <w:color w:val="181818"/>
          <w:w w:val="105"/>
          <w:position w:val="5"/>
          <w:sz w:val="20"/>
        </w:rPr>
        <w:t>Condition</w:t>
      </w:r>
      <w:r>
        <w:rPr>
          <w:i/>
          <w:color w:val="181818"/>
          <w:w w:val="105"/>
          <w:position w:val="5"/>
          <w:sz w:val="20"/>
        </w:rPr>
        <w:tab/>
      </w:r>
      <w:r>
        <w:rPr>
          <w:color w:val="181818"/>
          <w:w w:val="105"/>
          <w:sz w:val="20"/>
        </w:rPr>
        <w:t>293.9</w:t>
      </w:r>
      <w:r>
        <w:rPr>
          <w:color w:val="181818"/>
          <w:w w:val="105"/>
          <w:sz w:val="20"/>
        </w:rPr>
        <w:tab/>
      </w:r>
      <w:r>
        <w:rPr>
          <w:color w:val="181818"/>
          <w:w w:val="105"/>
          <w:position w:val="1"/>
          <w:sz w:val="20"/>
        </w:rPr>
        <w:t xml:space="preserve">Mental Disorder NOS </w:t>
      </w:r>
      <w:r>
        <w:rPr>
          <w:color w:val="030303"/>
          <w:w w:val="105"/>
          <w:position w:val="1"/>
          <w:sz w:val="20"/>
        </w:rPr>
        <w:t>Due to</w:t>
      </w:r>
      <w:r>
        <w:rPr>
          <w:color w:val="030303"/>
          <w:spacing w:val="-13"/>
          <w:w w:val="105"/>
          <w:position w:val="1"/>
          <w:sz w:val="20"/>
        </w:rPr>
        <w:t xml:space="preserve"> </w:t>
      </w:r>
      <w:r>
        <w:rPr>
          <w:color w:val="181818"/>
          <w:w w:val="105"/>
          <w:position w:val="1"/>
          <w:sz w:val="20"/>
        </w:rPr>
        <w:t>...</w:t>
      </w:r>
    </w:p>
    <w:p w:rsidR="00E675F0" w:rsidRDefault="00E675F0" w:rsidP="00E675F0">
      <w:pPr>
        <w:tabs>
          <w:tab w:val="left" w:pos="4813"/>
        </w:tabs>
        <w:spacing w:line="241" w:lineRule="exact"/>
        <w:ind w:left="927"/>
        <w:rPr>
          <w:i/>
          <w:sz w:val="20"/>
        </w:rPr>
      </w:pPr>
      <w:r>
        <w:rPr>
          <w:i/>
          <w:color w:val="181818"/>
          <w:w w:val="105"/>
          <w:sz w:val="20"/>
        </w:rPr>
        <w:t xml:space="preserve">not </w:t>
      </w:r>
      <w:r>
        <w:rPr>
          <w:i/>
          <w:color w:val="030303"/>
          <w:w w:val="105"/>
          <w:sz w:val="20"/>
        </w:rPr>
        <w:t xml:space="preserve">listed </w:t>
      </w:r>
      <w:r>
        <w:rPr>
          <w:i/>
          <w:color w:val="181818"/>
          <w:w w:val="105"/>
          <w:sz w:val="20"/>
        </w:rPr>
        <w:t>above} (also</w:t>
      </w:r>
      <w:r>
        <w:rPr>
          <w:i/>
          <w:color w:val="181818"/>
          <w:spacing w:val="-33"/>
          <w:w w:val="105"/>
          <w:sz w:val="20"/>
        </w:rPr>
        <w:t xml:space="preserve"> </w:t>
      </w:r>
      <w:r>
        <w:rPr>
          <w:i/>
          <w:color w:val="181818"/>
          <w:w w:val="105"/>
          <w:sz w:val="20"/>
        </w:rPr>
        <w:t>code</w:t>
      </w:r>
      <w:r>
        <w:rPr>
          <w:i/>
          <w:color w:val="181818"/>
          <w:spacing w:val="-11"/>
          <w:w w:val="105"/>
          <w:sz w:val="20"/>
        </w:rPr>
        <w:t xml:space="preserve"> </w:t>
      </w:r>
      <w:r>
        <w:rPr>
          <w:i/>
          <w:color w:val="181818"/>
          <w:w w:val="105"/>
          <w:sz w:val="20"/>
        </w:rPr>
        <w:t>the</w:t>
      </w:r>
      <w:r>
        <w:rPr>
          <w:i/>
          <w:color w:val="181818"/>
          <w:w w:val="105"/>
          <w:sz w:val="20"/>
        </w:rPr>
        <w:tab/>
      </w:r>
      <w:r>
        <w:rPr>
          <w:i/>
          <w:color w:val="030303"/>
          <w:w w:val="105"/>
          <w:position w:val="-3"/>
          <w:sz w:val="20"/>
        </w:rPr>
        <w:t xml:space="preserve">(Indicat </w:t>
      </w:r>
      <w:r>
        <w:rPr>
          <w:i/>
          <w:color w:val="424242"/>
          <w:w w:val="105"/>
          <w:position w:val="-3"/>
          <w:sz w:val="20"/>
        </w:rPr>
        <w:t xml:space="preserve">e </w:t>
      </w:r>
      <w:r>
        <w:rPr>
          <w:i/>
          <w:color w:val="181818"/>
          <w:w w:val="105"/>
          <w:position w:val="-3"/>
          <w:sz w:val="20"/>
        </w:rPr>
        <w:t>the General</w:t>
      </w:r>
      <w:r>
        <w:rPr>
          <w:i/>
          <w:color w:val="181818"/>
          <w:spacing w:val="-32"/>
          <w:w w:val="105"/>
          <w:position w:val="-3"/>
          <w:sz w:val="20"/>
        </w:rPr>
        <w:t xml:space="preserve"> </w:t>
      </w:r>
      <w:r>
        <w:rPr>
          <w:i/>
          <w:color w:val="181818"/>
          <w:w w:val="105"/>
          <w:position w:val="-3"/>
          <w:sz w:val="20"/>
        </w:rPr>
        <w:t>Medical</w:t>
      </w:r>
    </w:p>
    <w:p w:rsidR="00E675F0" w:rsidRDefault="00E675F0" w:rsidP="00E675F0">
      <w:pPr>
        <w:tabs>
          <w:tab w:val="left" w:pos="4828"/>
        </w:tabs>
        <w:spacing w:line="235" w:lineRule="exact"/>
        <w:ind w:left="912"/>
        <w:rPr>
          <w:sz w:val="20"/>
        </w:rPr>
      </w:pPr>
      <w:r>
        <w:rPr>
          <w:i/>
          <w:color w:val="181818"/>
          <w:w w:val="105"/>
          <w:sz w:val="20"/>
        </w:rPr>
        <w:t>general medical</w:t>
      </w:r>
      <w:r>
        <w:rPr>
          <w:i/>
          <w:color w:val="181818"/>
          <w:spacing w:val="31"/>
          <w:w w:val="105"/>
          <w:sz w:val="20"/>
        </w:rPr>
        <w:t xml:space="preserve"> </w:t>
      </w:r>
      <w:r>
        <w:rPr>
          <w:i/>
          <w:color w:val="181818"/>
          <w:w w:val="105"/>
          <w:sz w:val="20"/>
        </w:rPr>
        <w:t>condition</w:t>
      </w:r>
      <w:r>
        <w:rPr>
          <w:i/>
          <w:color w:val="181818"/>
          <w:spacing w:val="10"/>
          <w:w w:val="105"/>
          <w:sz w:val="20"/>
        </w:rPr>
        <w:t xml:space="preserve"> </w:t>
      </w:r>
      <w:r>
        <w:rPr>
          <w:i/>
          <w:color w:val="181818"/>
          <w:w w:val="105"/>
          <w:sz w:val="20"/>
        </w:rPr>
        <w:t>on</w:t>
      </w:r>
      <w:r>
        <w:rPr>
          <w:i/>
          <w:color w:val="181818"/>
          <w:w w:val="105"/>
          <w:sz w:val="20"/>
        </w:rPr>
        <w:tab/>
      </w:r>
      <w:r>
        <w:rPr>
          <w:i/>
          <w:color w:val="181818"/>
          <w:w w:val="105"/>
          <w:position w:val="-2"/>
          <w:sz w:val="20"/>
        </w:rPr>
        <w:t>Condition}</w:t>
      </w:r>
      <w:r>
        <w:rPr>
          <w:i/>
          <w:color w:val="181818"/>
          <w:spacing w:val="43"/>
          <w:w w:val="105"/>
          <w:position w:val="-2"/>
          <w:sz w:val="20"/>
        </w:rPr>
        <w:t xml:space="preserve"> </w:t>
      </w:r>
      <w:r>
        <w:rPr>
          <w:color w:val="181818"/>
          <w:w w:val="105"/>
          <w:position w:val="-2"/>
          <w:sz w:val="20"/>
        </w:rPr>
        <w:t>(174)</w:t>
      </w:r>
    </w:p>
    <w:p w:rsidR="00E675F0" w:rsidRDefault="00E675F0" w:rsidP="00E675F0">
      <w:pPr>
        <w:spacing w:line="218" w:lineRule="exact"/>
        <w:ind w:left="921"/>
        <w:rPr>
          <w:sz w:val="20"/>
        </w:rPr>
      </w:pPr>
      <w:r>
        <w:rPr>
          <w:i/>
          <w:color w:val="181818"/>
          <w:w w:val="105"/>
          <w:sz w:val="20"/>
        </w:rPr>
        <w:t xml:space="preserve">Axis </w:t>
      </w:r>
      <w:r>
        <w:rPr>
          <w:i/>
          <w:color w:val="030303"/>
          <w:w w:val="105"/>
          <w:sz w:val="20"/>
        </w:rPr>
        <w:t xml:space="preserve">III) </w:t>
      </w:r>
      <w:r>
        <w:rPr>
          <w:color w:val="030303"/>
          <w:w w:val="105"/>
          <w:sz w:val="20"/>
        </w:rPr>
        <w:t>(151)</w:t>
      </w:r>
    </w:p>
    <w:p w:rsidR="00E675F0" w:rsidRDefault="00E675F0" w:rsidP="00E675F0">
      <w:pPr>
        <w:spacing w:line="218" w:lineRule="exact"/>
        <w:rPr>
          <w:sz w:val="20"/>
        </w:rPr>
        <w:sectPr w:rsidR="00E675F0">
          <w:pgSz w:w="8960" w:h="14260"/>
          <w:pgMar w:top="1400" w:right="540" w:bottom="280" w:left="560" w:header="688" w:footer="0" w:gutter="0"/>
          <w:cols w:space="720"/>
        </w:sectPr>
      </w:pPr>
    </w:p>
    <w:p w:rsidR="00E675F0" w:rsidRDefault="00E675F0" w:rsidP="00E675F0">
      <w:pPr>
        <w:pStyle w:val="BodyText"/>
        <w:spacing w:before="2"/>
        <w:rPr>
          <w:sz w:val="6"/>
        </w:rPr>
      </w:pPr>
    </w:p>
    <w:p w:rsidR="00E675F0" w:rsidRDefault="00E675F0" w:rsidP="00E675F0">
      <w:pPr>
        <w:pStyle w:val="BodyText"/>
        <w:spacing w:line="20" w:lineRule="exact"/>
        <w:ind w:left="2650"/>
        <w:rPr>
          <w:sz w:val="2"/>
        </w:rPr>
      </w:pPr>
      <w:r>
        <w:rPr>
          <w:noProof/>
          <w:sz w:val="2"/>
        </w:rPr>
        <mc:AlternateContent>
          <mc:Choice Requires="wpg">
            <w:drawing>
              <wp:inline distT="0" distB="0" distL="0" distR="0" wp14:anchorId="2685FD9B" wp14:editId="7D5EF3F7">
                <wp:extent cx="675640" cy="3175"/>
                <wp:effectExtent l="0" t="0" r="0" b="0"/>
                <wp:docPr id="1705" name="Group 1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640" cy="3175"/>
                          <a:chOff x="0" y="0"/>
                          <a:chExt cx="1064" cy="5"/>
                        </a:xfrm>
                      </wpg:grpSpPr>
                      <wps:wsp>
                        <wps:cNvPr id="1706" name="Line 1662"/>
                        <wps:cNvCnPr>
                          <a:cxnSpLocks/>
                        </wps:cNvCnPr>
                        <wps:spPr bwMode="auto">
                          <a:xfrm>
                            <a:off x="0" y="2"/>
                            <a:ext cx="1063" cy="0"/>
                          </a:xfrm>
                          <a:prstGeom prst="line">
                            <a:avLst/>
                          </a:prstGeom>
                          <a:noFill/>
                          <a:ln w="305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7A210A8" id="Group 1661" o:spid="_x0000_s1026" style="width:53.2pt;height:.25pt;mso-position-horizontal-relative:char;mso-position-vertical-relative:line" coordsize="106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">
                <v:line id="Line 1662" o:spid="_x0000_s1027" style="position:absolute;visibility:visible;mso-wrap-style:square" from="0,2" to="106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" strokeweight=".08478mm">
                  <o:lock v:ext="edit" shapetype="f"/>
                </v:line>
                <w10:anchorlock/>
              </v:group>
            </w:pict>
          </mc:Fallback>
        </mc:AlternateContent>
      </w:r>
    </w:p>
    <w:p w:rsidR="00E675F0" w:rsidRDefault="00E675F0" w:rsidP="00E675F0">
      <w:pPr>
        <w:spacing w:before="84" w:line="218" w:lineRule="auto"/>
        <w:ind w:left="352" w:right="408" w:firstLine="8"/>
        <w:rPr>
          <w:sz w:val="20"/>
        </w:rPr>
      </w:pPr>
      <w:r>
        <w:rPr>
          <w:rFonts w:ascii="Arial"/>
          <w:b/>
          <w:color w:val="0F0F0F"/>
          <w:spacing w:val="-1"/>
        </w:rPr>
        <w:t xml:space="preserve">Substance-Related </w:t>
      </w:r>
      <w:r>
        <w:rPr>
          <w:rFonts w:ascii="Arial"/>
          <w:b/>
          <w:w w:val="105"/>
        </w:rPr>
        <w:t xml:space="preserve">Disorders </w:t>
      </w:r>
      <w:r>
        <w:rPr>
          <w:color w:val="4B4B4B"/>
          <w:w w:val="105"/>
          <w:sz w:val="29"/>
        </w:rPr>
        <w:t>o</w:t>
      </w:r>
      <w:r>
        <w:rPr>
          <w:color w:val="4B4B4B"/>
          <w:spacing w:val="-53"/>
          <w:w w:val="105"/>
          <w:sz w:val="29"/>
        </w:rPr>
        <w:t xml:space="preserve"> </w:t>
      </w:r>
      <w:r>
        <w:rPr>
          <w:color w:val="606060"/>
          <w:w w:val="105"/>
          <w:sz w:val="20"/>
        </w:rPr>
        <w:t>75)</w:t>
      </w:r>
    </w:p>
    <w:p w:rsidR="00E675F0" w:rsidRDefault="00E675F0" w:rsidP="00E675F0">
      <w:pPr>
        <w:spacing w:before="159" w:line="261" w:lineRule="auto"/>
        <w:ind w:left="184" w:right="37" w:hanging="75"/>
        <w:rPr>
          <w:i/>
          <w:sz w:val="20"/>
        </w:rPr>
      </w:pPr>
      <w:r>
        <w:rPr>
          <w:rFonts w:ascii="Arial"/>
          <w:w w:val="105"/>
          <w:sz w:val="14"/>
        </w:rPr>
        <w:t>a</w:t>
      </w:r>
      <w:r>
        <w:rPr>
          <w:rFonts w:ascii="Arial"/>
          <w:spacing w:val="21"/>
          <w:w w:val="105"/>
          <w:sz w:val="14"/>
        </w:rPr>
        <w:t xml:space="preserve"> </w:t>
      </w:r>
      <w:r>
        <w:rPr>
          <w:i/>
          <w:w w:val="105"/>
          <w:sz w:val="20"/>
        </w:rPr>
        <w:t>The</w:t>
      </w:r>
      <w:r>
        <w:rPr>
          <w:i/>
          <w:spacing w:val="-26"/>
          <w:w w:val="105"/>
          <w:sz w:val="20"/>
        </w:rPr>
        <w:t xml:space="preserve"> </w:t>
      </w:r>
      <w:r>
        <w:rPr>
          <w:i/>
          <w:w w:val="105"/>
          <w:sz w:val="20"/>
        </w:rPr>
        <w:t>following</w:t>
      </w:r>
      <w:r>
        <w:rPr>
          <w:i/>
          <w:spacing w:val="-13"/>
          <w:w w:val="105"/>
          <w:sz w:val="20"/>
        </w:rPr>
        <w:t xml:space="preserve"> </w:t>
      </w:r>
      <w:r>
        <w:rPr>
          <w:i/>
          <w:w w:val="105"/>
          <w:sz w:val="20"/>
        </w:rPr>
        <w:t>specifiers</w:t>
      </w:r>
      <w:r>
        <w:rPr>
          <w:i/>
          <w:spacing w:val="-17"/>
          <w:w w:val="105"/>
          <w:sz w:val="20"/>
        </w:rPr>
        <w:t xml:space="preserve"> </w:t>
      </w:r>
      <w:r>
        <w:rPr>
          <w:i/>
          <w:w w:val="105"/>
          <w:sz w:val="20"/>
        </w:rPr>
        <w:t>may</w:t>
      </w:r>
      <w:r>
        <w:rPr>
          <w:i/>
          <w:spacing w:val="6"/>
          <w:w w:val="105"/>
          <w:sz w:val="20"/>
        </w:rPr>
        <w:t xml:space="preserve"> </w:t>
      </w:r>
      <w:r>
        <w:rPr>
          <w:i/>
          <w:w w:val="105"/>
          <w:sz w:val="20"/>
        </w:rPr>
        <w:t>be</w:t>
      </w:r>
      <w:r>
        <w:rPr>
          <w:i/>
          <w:spacing w:val="-31"/>
          <w:w w:val="105"/>
          <w:sz w:val="20"/>
        </w:rPr>
        <w:t xml:space="preserve"> </w:t>
      </w:r>
      <w:r>
        <w:rPr>
          <w:i/>
          <w:w w:val="105"/>
          <w:sz w:val="20"/>
        </w:rPr>
        <w:t>applied</w:t>
      </w:r>
      <w:r>
        <w:rPr>
          <w:i/>
          <w:spacing w:val="-9"/>
          <w:w w:val="105"/>
          <w:sz w:val="20"/>
        </w:rPr>
        <w:t xml:space="preserve"> </w:t>
      </w:r>
      <w:r>
        <w:rPr>
          <w:i/>
          <w:w w:val="105"/>
          <w:sz w:val="20"/>
        </w:rPr>
        <w:t>to Substance</w:t>
      </w:r>
      <w:r>
        <w:rPr>
          <w:i/>
          <w:spacing w:val="5"/>
          <w:w w:val="105"/>
          <w:sz w:val="20"/>
        </w:rPr>
        <w:t xml:space="preserve"> </w:t>
      </w:r>
      <w:r>
        <w:rPr>
          <w:i/>
          <w:w w:val="105"/>
          <w:sz w:val="20"/>
        </w:rPr>
        <w:t>Dependence:</w:t>
      </w:r>
    </w:p>
    <w:p w:rsidR="00E675F0" w:rsidRDefault="00E675F0" w:rsidP="00E675F0">
      <w:pPr>
        <w:spacing w:before="46" w:line="249" w:lineRule="auto"/>
        <w:ind w:left="654" w:right="408" w:hanging="241"/>
        <w:rPr>
          <w:sz w:val="16"/>
        </w:rPr>
      </w:pPr>
      <w:r>
        <w:rPr>
          <w:w w:val="105"/>
          <w:sz w:val="16"/>
        </w:rPr>
        <w:t>With Physiological Dependence/Without Physiological Dependence</w:t>
      </w:r>
    </w:p>
    <w:p w:rsidR="00E675F0" w:rsidRDefault="00E675F0" w:rsidP="00E675F0">
      <w:pPr>
        <w:pStyle w:val="BodyText"/>
        <w:spacing w:before="10"/>
        <w:rPr>
          <w:sz w:val="16"/>
        </w:rPr>
      </w:pPr>
    </w:p>
    <w:p w:rsidR="00E675F0" w:rsidRDefault="00E675F0" w:rsidP="00E675F0">
      <w:pPr>
        <w:spacing w:line="249" w:lineRule="auto"/>
        <w:ind w:left="406" w:right="408" w:firstLine="11"/>
        <w:rPr>
          <w:sz w:val="16"/>
        </w:rPr>
      </w:pPr>
      <w:r>
        <w:rPr>
          <w:sz w:val="16"/>
        </w:rPr>
        <w:t>Early Full Remission/Early Partial Remission Sustained Full Remission/Sustained Partial</w:t>
      </w:r>
    </w:p>
    <w:p w:rsidR="00E675F0" w:rsidRDefault="00E675F0" w:rsidP="00E675F0">
      <w:pPr>
        <w:spacing w:before="2"/>
        <w:ind w:left="654"/>
        <w:rPr>
          <w:sz w:val="16"/>
        </w:rPr>
      </w:pPr>
      <w:r>
        <w:rPr>
          <w:sz w:val="16"/>
        </w:rPr>
        <w:t>Remission</w:t>
      </w:r>
    </w:p>
    <w:p w:rsidR="00E675F0" w:rsidRDefault="00E675F0" w:rsidP="00E675F0">
      <w:pPr>
        <w:spacing w:before="13" w:line="256" w:lineRule="auto"/>
        <w:ind w:left="648" w:right="408" w:hanging="239"/>
        <w:rPr>
          <w:sz w:val="16"/>
        </w:rPr>
      </w:pPr>
      <w:r>
        <w:rPr>
          <w:w w:val="105"/>
          <w:sz w:val="16"/>
        </w:rPr>
        <w:t>On Agonist Therapy/In a Controlled Environment</w:t>
      </w:r>
    </w:p>
    <w:p w:rsidR="00E675F0" w:rsidRDefault="00E675F0" w:rsidP="00E675F0">
      <w:pPr>
        <w:spacing w:before="156" w:line="261" w:lineRule="auto"/>
        <w:ind w:left="109" w:right="272" w:firstLine="2"/>
        <w:rPr>
          <w:sz w:val="20"/>
        </w:rPr>
      </w:pPr>
      <w:r>
        <w:br w:type="column"/>
      </w:r>
      <w:r>
        <w:rPr>
          <w:b/>
          <w:w w:val="105"/>
          <w:sz w:val="18"/>
        </w:rPr>
        <w:t xml:space="preserve">AMPHETAMINE (OR AMPHETAMINE­ LIKE}-REIATED DISORDERS </w:t>
      </w:r>
      <w:r>
        <w:rPr>
          <w:w w:val="105"/>
          <w:sz w:val="20"/>
        </w:rPr>
        <w:t>(204)</w:t>
      </w:r>
    </w:p>
    <w:p w:rsidR="00E675F0" w:rsidRDefault="00E675F0" w:rsidP="00E675F0">
      <w:pPr>
        <w:spacing w:before="77"/>
        <w:ind w:left="111"/>
        <w:rPr>
          <w:b/>
          <w:sz w:val="20"/>
        </w:rPr>
      </w:pPr>
      <w:r>
        <w:rPr>
          <w:b/>
          <w:w w:val="110"/>
          <w:sz w:val="20"/>
        </w:rPr>
        <w:t>Amphetamine Use Disorders</w:t>
      </w:r>
    </w:p>
    <w:p w:rsidR="00E675F0" w:rsidRDefault="00E675F0" w:rsidP="00E675F0">
      <w:pPr>
        <w:pStyle w:val="BodyText"/>
        <w:spacing w:before="10"/>
        <w:ind w:left="119"/>
      </w:pPr>
      <w:r>
        <w:rPr>
          <w:w w:val="105"/>
        </w:rPr>
        <w:t>304.40 Amphetamine Dependencea (206)</w:t>
      </w:r>
    </w:p>
    <w:p w:rsidR="00E675F0" w:rsidRDefault="00E675F0" w:rsidP="00E675F0">
      <w:pPr>
        <w:pStyle w:val="BodyText"/>
        <w:spacing w:before="20"/>
        <w:ind w:left="114"/>
      </w:pPr>
      <w:r>
        <w:rPr>
          <w:w w:val="105"/>
        </w:rPr>
        <w:t>305.70 Amphetamine Abuse (206)</w:t>
      </w:r>
    </w:p>
    <w:p w:rsidR="00E675F0" w:rsidRDefault="00E675F0" w:rsidP="00E675F0">
      <w:pPr>
        <w:pStyle w:val="BodyText"/>
        <w:spacing w:before="7"/>
        <w:rPr>
          <w:sz w:val="22"/>
        </w:rPr>
      </w:pPr>
    </w:p>
    <w:p w:rsidR="00E675F0" w:rsidRDefault="00E675F0" w:rsidP="00E675F0">
      <w:pPr>
        <w:spacing w:before="1"/>
        <w:ind w:left="111"/>
        <w:rPr>
          <w:b/>
          <w:sz w:val="20"/>
        </w:rPr>
      </w:pPr>
      <w:r>
        <w:rPr>
          <w:b/>
          <w:w w:val="110"/>
          <w:sz w:val="20"/>
        </w:rPr>
        <w:t>Amphetamine-Induced Disorders</w:t>
      </w:r>
    </w:p>
    <w:p w:rsidR="00E675F0" w:rsidRDefault="00E675F0" w:rsidP="00E675F0">
      <w:pPr>
        <w:pStyle w:val="BodyText"/>
        <w:spacing w:before="15" w:line="220" w:lineRule="exact"/>
        <w:ind w:left="123"/>
      </w:pPr>
      <w:r>
        <w:rPr>
          <w:w w:val="105"/>
        </w:rPr>
        <w:t>292.89 Amphetamine Intoxication (207)</w:t>
      </w:r>
    </w:p>
    <w:p w:rsidR="00E675F0" w:rsidRDefault="00E675F0" w:rsidP="00E675F0">
      <w:pPr>
        <w:spacing w:line="197" w:lineRule="exact"/>
        <w:ind w:left="847"/>
        <w:rPr>
          <w:sz w:val="16"/>
        </w:rPr>
      </w:pPr>
      <w:r>
        <w:rPr>
          <w:i/>
          <w:sz w:val="16"/>
        </w:rPr>
        <w:t xml:space="preserve">Specify </w:t>
      </w:r>
      <w:r>
        <w:rPr>
          <w:rFonts w:ascii="Arial"/>
          <w:i/>
          <w:sz w:val="18"/>
        </w:rPr>
        <w:t xml:space="preserve">if </w:t>
      </w:r>
      <w:r>
        <w:rPr>
          <w:sz w:val="16"/>
        </w:rPr>
        <w:t>With Perceptual Disturbances</w:t>
      </w:r>
    </w:p>
    <w:p w:rsidR="00E675F0" w:rsidRDefault="00E675F0" w:rsidP="00E675F0">
      <w:pPr>
        <w:pStyle w:val="BodyText"/>
        <w:tabs>
          <w:tab w:val="left" w:pos="837"/>
        </w:tabs>
        <w:spacing w:before="20"/>
        <w:ind w:left="123"/>
      </w:pPr>
      <w:r>
        <w:rPr>
          <w:w w:val="105"/>
        </w:rPr>
        <w:t>292.0</w:t>
      </w:r>
      <w:r>
        <w:rPr>
          <w:w w:val="105"/>
        </w:rPr>
        <w:tab/>
        <w:t>Amphetamine Withdrawal</w:t>
      </w:r>
      <w:r>
        <w:rPr>
          <w:spacing w:val="20"/>
          <w:w w:val="105"/>
        </w:rPr>
        <w:t xml:space="preserve"> </w:t>
      </w:r>
      <w:r>
        <w:rPr>
          <w:w w:val="105"/>
        </w:rPr>
        <w:t>(208)</w:t>
      </w:r>
    </w:p>
    <w:p w:rsidR="00E675F0" w:rsidRDefault="00E675F0" w:rsidP="00E675F0">
      <w:pPr>
        <w:pStyle w:val="BodyText"/>
        <w:spacing w:before="15" w:line="256" w:lineRule="auto"/>
        <w:ind w:left="840" w:right="272" w:hanging="718"/>
      </w:pPr>
      <w:r>
        <w:rPr>
          <w:w w:val="105"/>
        </w:rPr>
        <w:t>292.81 Amphetamine Intoxication Delirium (129)</w:t>
      </w:r>
    </w:p>
    <w:p w:rsidR="00E675F0" w:rsidRDefault="00E675F0" w:rsidP="00E675F0">
      <w:pPr>
        <w:spacing w:line="256" w:lineRule="auto"/>
        <w:sectPr w:rsidR="00E675F0">
          <w:pgSz w:w="8960" w:h="14260"/>
          <w:pgMar w:top="1400" w:right="540" w:bottom="280" w:left="560" w:header="711" w:footer="0" w:gutter="0"/>
          <w:cols w:num="2" w:space="720" w:equalWidth="0">
            <w:col w:w="3790" w:space="193"/>
            <w:col w:w="3877"/>
          </w:cols>
        </w:sectPr>
      </w:pPr>
    </w:p>
    <w:p w:rsidR="00E675F0" w:rsidRDefault="00E675F0" w:rsidP="00E675F0">
      <w:pPr>
        <w:spacing w:before="51" w:line="256" w:lineRule="auto"/>
        <w:ind w:left="184" w:right="237" w:firstLine="1"/>
        <w:rPr>
          <w:i/>
          <w:sz w:val="20"/>
        </w:rPr>
      </w:pPr>
      <w:r>
        <w:rPr>
          <w:i/>
          <w:w w:val="105"/>
          <w:sz w:val="20"/>
        </w:rPr>
        <w:t>The following specifiers apply to Substance-Induced Disorders as noted:</w:t>
      </w:r>
    </w:p>
    <w:p w:rsidR="00E675F0" w:rsidRDefault="00E675F0" w:rsidP="00E675F0">
      <w:pPr>
        <w:spacing w:before="35" w:line="264" w:lineRule="auto"/>
        <w:ind w:left="654" w:hanging="250"/>
        <w:rPr>
          <w:sz w:val="16"/>
        </w:rPr>
      </w:pPr>
      <w:r>
        <w:rPr>
          <w:rFonts w:ascii="Arial"/>
          <w:w w:val="105"/>
          <w:sz w:val="16"/>
          <w:vertAlign w:val="superscript"/>
        </w:rPr>
        <w:t>1</w:t>
      </w:r>
      <w:r>
        <w:rPr>
          <w:w w:val="105"/>
          <w:sz w:val="16"/>
        </w:rPr>
        <w:t>With Onset During Intoxication/wWith Onset During Withdrawal</w:t>
      </w:r>
    </w:p>
    <w:p w:rsidR="00E675F0" w:rsidRDefault="00E675F0" w:rsidP="00E675F0">
      <w:pPr>
        <w:pStyle w:val="BodyText"/>
        <w:spacing w:before="3"/>
        <w:rPr>
          <w:sz w:val="21"/>
        </w:rPr>
      </w:pPr>
    </w:p>
    <w:p w:rsidR="00E675F0" w:rsidRDefault="00E675F0" w:rsidP="00E675F0">
      <w:pPr>
        <w:spacing w:before="1"/>
        <w:ind w:left="164"/>
        <w:rPr>
          <w:sz w:val="20"/>
        </w:rPr>
      </w:pPr>
      <w:r>
        <w:rPr>
          <w:b/>
          <w:w w:val="105"/>
          <w:sz w:val="18"/>
        </w:rPr>
        <w:t xml:space="preserve">ALCOHOL-REIATED DISORDERS </w:t>
      </w:r>
      <w:r>
        <w:rPr>
          <w:w w:val="105"/>
          <w:sz w:val="20"/>
        </w:rPr>
        <w:t>(194)</w:t>
      </w:r>
    </w:p>
    <w:p w:rsidR="00E675F0" w:rsidRDefault="00E675F0" w:rsidP="00E675F0">
      <w:pPr>
        <w:pStyle w:val="BodyText"/>
        <w:spacing w:before="3"/>
        <w:ind w:right="22"/>
        <w:jc w:val="right"/>
      </w:pPr>
      <w:r>
        <w:br w:type="column"/>
      </w:r>
      <w:r>
        <w:rPr>
          <w:spacing w:val="-1"/>
        </w:rPr>
        <w:t>292.xx</w:t>
      </w:r>
    </w:p>
    <w:p w:rsidR="00E675F0" w:rsidRDefault="00E675F0" w:rsidP="00E675F0">
      <w:pPr>
        <w:pStyle w:val="BodyText"/>
        <w:spacing w:before="9"/>
        <w:rPr>
          <w:sz w:val="23"/>
        </w:rPr>
      </w:pPr>
    </w:p>
    <w:p w:rsidR="00E675F0" w:rsidRDefault="00E675F0" w:rsidP="00E675F0">
      <w:pPr>
        <w:ind w:left="470"/>
        <w:rPr>
          <w:rFonts w:ascii="Arial"/>
          <w:sz w:val="18"/>
        </w:rPr>
      </w:pPr>
      <w:r>
        <w:rPr>
          <w:rFonts w:ascii="Arial"/>
          <w:spacing w:val="-1"/>
          <w:w w:val="105"/>
          <w:sz w:val="18"/>
        </w:rPr>
        <w:t>.11</w:t>
      </w:r>
    </w:p>
    <w:p w:rsidR="00E675F0" w:rsidRDefault="00E675F0" w:rsidP="00E675F0">
      <w:pPr>
        <w:pStyle w:val="BodyText"/>
        <w:spacing w:before="20"/>
        <w:ind w:right="18"/>
        <w:jc w:val="right"/>
      </w:pPr>
      <w:r>
        <w:rPr>
          <w:w w:val="95"/>
        </w:rPr>
        <w:t>.12</w:t>
      </w:r>
    </w:p>
    <w:p w:rsidR="00E675F0" w:rsidRDefault="00E675F0" w:rsidP="00E675F0">
      <w:pPr>
        <w:pStyle w:val="BodyText"/>
        <w:spacing w:before="15"/>
        <w:ind w:right="27"/>
        <w:jc w:val="right"/>
      </w:pPr>
      <w:r>
        <w:rPr>
          <w:w w:val="95"/>
        </w:rPr>
        <w:t>292.84</w:t>
      </w:r>
    </w:p>
    <w:p w:rsidR="00E675F0" w:rsidRDefault="00E675F0" w:rsidP="00E675F0">
      <w:pPr>
        <w:pStyle w:val="BodyText"/>
        <w:spacing w:line="249" w:lineRule="auto"/>
        <w:ind w:left="102" w:right="904" w:hanging="4"/>
      </w:pPr>
      <w:r>
        <w:br w:type="column"/>
      </w:r>
      <w:r>
        <w:rPr>
          <w:w w:val="105"/>
        </w:rPr>
        <w:t>Amphetamine-Induced Psychotic Disorder (310)</w:t>
      </w:r>
    </w:p>
    <w:p w:rsidR="00E675F0" w:rsidRDefault="00E675F0" w:rsidP="00E675F0">
      <w:pPr>
        <w:pStyle w:val="BodyText"/>
        <w:spacing w:before="5"/>
        <w:ind w:left="391"/>
      </w:pPr>
      <w:r>
        <w:t xml:space="preserve">With Delusions </w:t>
      </w:r>
      <w:r>
        <w:rPr>
          <w:vertAlign w:val="superscript"/>
        </w:rPr>
        <w:t>1</w:t>
      </w:r>
    </w:p>
    <w:p w:rsidR="00E675F0" w:rsidRDefault="00E675F0" w:rsidP="00E675F0">
      <w:pPr>
        <w:pStyle w:val="BodyText"/>
        <w:spacing w:before="20" w:line="249" w:lineRule="auto"/>
        <w:ind w:left="98" w:right="516" w:firstLine="292"/>
      </w:pPr>
      <w:r>
        <w:t xml:space="preserve">With Hallucinations </w:t>
      </w:r>
      <w:r>
        <w:rPr>
          <w:vertAlign w:val="superscript"/>
        </w:rPr>
        <w:t>1</w:t>
      </w:r>
      <w:r>
        <w:t xml:space="preserve"> Amphetamine-Induced Mood Disorder</w:t>
      </w:r>
      <w:r>
        <w:rPr>
          <w:vertAlign w:val="superscript"/>
        </w:rPr>
        <w:t>1</w:t>
      </w:r>
      <w:r>
        <w:rPr>
          <w:sz w:val="19"/>
        </w:rPr>
        <w:t xml:space="preserve">·w </w:t>
      </w:r>
      <w:r>
        <w:t>(370)</w:t>
      </w:r>
    </w:p>
    <w:p w:rsidR="00E675F0" w:rsidRDefault="00E675F0" w:rsidP="00E675F0">
      <w:pPr>
        <w:spacing w:line="249" w:lineRule="auto"/>
        <w:sectPr w:rsidR="00E675F0">
          <w:type w:val="continuous"/>
          <w:pgSz w:w="8960" w:h="14260"/>
          <w:pgMar w:top="640" w:right="540" w:bottom="0" w:left="560" w:header="720" w:footer="720" w:gutter="0"/>
          <w:cols w:num="3" w:space="720" w:equalWidth="0">
            <w:col w:w="3749" w:space="193"/>
            <w:col w:w="741" w:space="39"/>
            <w:col w:w="3138"/>
          </w:cols>
        </w:sectPr>
      </w:pPr>
    </w:p>
    <w:p w:rsidR="00E675F0" w:rsidRDefault="00E675F0" w:rsidP="00E675F0">
      <w:pPr>
        <w:spacing w:before="96"/>
        <w:ind w:left="164"/>
        <w:rPr>
          <w:b/>
          <w:sz w:val="20"/>
        </w:rPr>
      </w:pPr>
      <w:r>
        <w:rPr>
          <w:b/>
          <w:w w:val="115"/>
          <w:sz w:val="20"/>
        </w:rPr>
        <w:t>Alcohol Use Disorders</w:t>
      </w:r>
    </w:p>
    <w:p w:rsidR="00E675F0" w:rsidRDefault="00E675F0" w:rsidP="00E675F0">
      <w:pPr>
        <w:pStyle w:val="BodyText"/>
        <w:spacing w:before="20"/>
        <w:ind w:left="167"/>
      </w:pPr>
      <w:r>
        <w:rPr>
          <w:w w:val="110"/>
        </w:rPr>
        <w:t>303.90 Alcohol Dependencea 095)</w:t>
      </w:r>
    </w:p>
    <w:p w:rsidR="00E675F0" w:rsidRDefault="00E675F0" w:rsidP="00E675F0">
      <w:pPr>
        <w:pStyle w:val="BodyText"/>
        <w:spacing w:before="20"/>
        <w:ind w:left="167"/>
      </w:pPr>
      <w:r>
        <w:rPr>
          <w:w w:val="105"/>
        </w:rPr>
        <w:t>305.00 Alcohol Abuse (196)</w:t>
      </w:r>
    </w:p>
    <w:p w:rsidR="00E675F0" w:rsidRDefault="00E675F0" w:rsidP="00E675F0">
      <w:pPr>
        <w:pStyle w:val="BodyText"/>
        <w:spacing w:before="3"/>
        <w:rPr>
          <w:sz w:val="22"/>
        </w:rPr>
      </w:pPr>
    </w:p>
    <w:p w:rsidR="00E675F0" w:rsidRDefault="00E675F0" w:rsidP="00E675F0">
      <w:pPr>
        <w:ind w:left="159"/>
        <w:rPr>
          <w:b/>
          <w:sz w:val="20"/>
        </w:rPr>
      </w:pPr>
      <w:r>
        <w:rPr>
          <w:b/>
          <w:w w:val="110"/>
          <w:sz w:val="20"/>
        </w:rPr>
        <w:t>Alcohol-Induced Disorders</w:t>
      </w:r>
    </w:p>
    <w:p w:rsidR="00E675F0" w:rsidRDefault="00E675F0" w:rsidP="00E675F0">
      <w:pPr>
        <w:pStyle w:val="BodyText"/>
        <w:spacing w:before="10" w:line="256" w:lineRule="auto"/>
        <w:ind w:left="882" w:hanging="723"/>
      </w:pPr>
      <w:r>
        <w:br w:type="column"/>
      </w:r>
      <w:r>
        <w:rPr>
          <w:w w:val="105"/>
        </w:rPr>
        <w:t>292.89 Amphetamine-Induced Anxiety Disorder</w:t>
      </w:r>
      <w:r>
        <w:rPr>
          <w:w w:val="105"/>
          <w:vertAlign w:val="superscript"/>
        </w:rPr>
        <w:t>1</w:t>
      </w:r>
      <w:r>
        <w:rPr>
          <w:w w:val="105"/>
        </w:rPr>
        <w:t xml:space="preserve"> </w:t>
      </w:r>
      <w:r>
        <w:rPr>
          <w:w w:val="105"/>
          <w:sz w:val="12"/>
        </w:rPr>
        <w:t xml:space="preserve">( </w:t>
      </w:r>
      <w:r>
        <w:rPr>
          <w:w w:val="105"/>
        </w:rPr>
        <w:t>439)</w:t>
      </w:r>
    </w:p>
    <w:p w:rsidR="00E675F0" w:rsidRDefault="00E675F0" w:rsidP="00E675F0">
      <w:pPr>
        <w:pStyle w:val="BodyText"/>
        <w:spacing w:before="3" w:line="261" w:lineRule="auto"/>
        <w:ind w:left="882" w:hanging="723"/>
      </w:pPr>
      <w:r>
        <w:rPr>
          <w:w w:val="105"/>
        </w:rPr>
        <w:t>292.89 Amphetamine-Induced Sexual Dysfunction</w:t>
      </w:r>
      <w:r>
        <w:rPr>
          <w:w w:val="105"/>
          <w:vertAlign w:val="superscript"/>
        </w:rPr>
        <w:t>1</w:t>
      </w:r>
      <w:r>
        <w:rPr>
          <w:w w:val="105"/>
        </w:rPr>
        <w:t xml:space="preserve"> (519)</w:t>
      </w:r>
    </w:p>
    <w:p w:rsidR="00E675F0" w:rsidRDefault="00E675F0" w:rsidP="00E675F0">
      <w:pPr>
        <w:pStyle w:val="BodyText"/>
        <w:ind w:left="882" w:hanging="723"/>
      </w:pPr>
      <w:r>
        <w:rPr>
          <w:noProof/>
        </w:rPr>
        <mc:AlternateContent>
          <mc:Choice Requires="wps">
            <w:drawing>
              <wp:anchor distT="0" distB="0" distL="114300" distR="114300" simplePos="0" relativeHeight="251666432" behindDoc="0" locked="0" layoutInCell="1" allowOverlap="1" wp14:anchorId="3EC24C52" wp14:editId="3EF6B224">
                <wp:simplePos x="0" y="0"/>
                <wp:positionH relativeFrom="page">
                  <wp:posOffset>433705</wp:posOffset>
                </wp:positionH>
                <wp:positionV relativeFrom="paragraph">
                  <wp:posOffset>212725</wp:posOffset>
                </wp:positionV>
                <wp:extent cx="2470785" cy="723900"/>
                <wp:effectExtent l="0" t="0" r="0" b="0"/>
                <wp:wrapNone/>
                <wp:docPr id="1704" name="Text Box 1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70785"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685"/>
                              <w:gridCol w:w="3206"/>
                            </w:tblGrid>
                            <w:tr w:rsidR="00E675F0">
                              <w:trPr>
                                <w:trHeight w:val="231"/>
                              </w:trPr>
                              <w:tc>
                                <w:tcPr>
                                  <w:tcW w:w="685" w:type="dxa"/>
                                </w:tcPr>
                                <w:p w:rsidR="00E675F0" w:rsidRDefault="00E675F0">
                                  <w:pPr>
                                    <w:pStyle w:val="TableParagraph"/>
                                    <w:spacing w:line="211" w:lineRule="exact"/>
                                    <w:ind w:left="50"/>
                                    <w:rPr>
                                      <w:sz w:val="20"/>
                                    </w:rPr>
                                  </w:pPr>
                                  <w:r>
                                    <w:rPr>
                                      <w:sz w:val="20"/>
                                    </w:rPr>
                                    <w:t>303.00</w:t>
                                  </w:r>
                                </w:p>
                              </w:tc>
                              <w:tc>
                                <w:tcPr>
                                  <w:tcW w:w="3206" w:type="dxa"/>
                                </w:tcPr>
                                <w:p w:rsidR="00E675F0" w:rsidRDefault="00E675F0">
                                  <w:pPr>
                                    <w:pStyle w:val="TableParagraph"/>
                                    <w:spacing w:line="211" w:lineRule="exact"/>
                                    <w:ind w:left="88"/>
                                    <w:rPr>
                                      <w:sz w:val="20"/>
                                    </w:rPr>
                                  </w:pPr>
                                  <w:r>
                                    <w:rPr>
                                      <w:w w:val="105"/>
                                      <w:sz w:val="20"/>
                                    </w:rPr>
                                    <w:t>Alcohol Intoxication (196)</w:t>
                                  </w:r>
                                </w:p>
                              </w:tc>
                            </w:tr>
                            <w:tr w:rsidR="00E675F0">
                              <w:trPr>
                                <w:trHeight w:val="432"/>
                              </w:trPr>
                              <w:tc>
                                <w:tcPr>
                                  <w:tcW w:w="685" w:type="dxa"/>
                                </w:tcPr>
                                <w:p w:rsidR="00E675F0" w:rsidRDefault="00E675F0">
                                  <w:pPr>
                                    <w:pStyle w:val="TableParagraph"/>
                                    <w:spacing w:before="1"/>
                                    <w:ind w:left="53"/>
                                    <w:rPr>
                                      <w:sz w:val="20"/>
                                    </w:rPr>
                                  </w:pPr>
                                  <w:r>
                                    <w:rPr>
                                      <w:sz w:val="20"/>
                                    </w:rPr>
                                    <w:t>291.8</w:t>
                                  </w:r>
                                </w:p>
                              </w:tc>
                              <w:tc>
                                <w:tcPr>
                                  <w:tcW w:w="3206" w:type="dxa"/>
                                </w:tcPr>
                                <w:p w:rsidR="00E675F0" w:rsidRDefault="00E675F0">
                                  <w:pPr>
                                    <w:pStyle w:val="TableParagraph"/>
                                    <w:spacing w:before="1" w:line="220" w:lineRule="exact"/>
                                    <w:ind w:left="88"/>
                                    <w:rPr>
                                      <w:sz w:val="20"/>
                                    </w:rPr>
                                  </w:pPr>
                                  <w:r>
                                    <w:rPr>
                                      <w:w w:val="105"/>
                                      <w:sz w:val="20"/>
                                    </w:rPr>
                                    <w:t>Alcohol Withdrawal (197)</w:t>
                                  </w:r>
                                </w:p>
                                <w:p w:rsidR="00E675F0" w:rsidRDefault="00E675F0">
                                  <w:pPr>
                                    <w:pStyle w:val="TableParagraph"/>
                                    <w:spacing w:line="191" w:lineRule="exact"/>
                                    <w:ind w:left="98"/>
                                    <w:rPr>
                                      <w:sz w:val="16"/>
                                    </w:rPr>
                                  </w:pPr>
                                  <w:r>
                                    <w:rPr>
                                      <w:i/>
                                      <w:sz w:val="16"/>
                                    </w:rPr>
                                    <w:t xml:space="preserve">Spec/fy </w:t>
                                  </w:r>
                                  <w:r>
                                    <w:rPr>
                                      <w:rFonts w:ascii="Arial"/>
                                      <w:i/>
                                      <w:sz w:val="18"/>
                                    </w:rPr>
                                    <w:t xml:space="preserve">if </w:t>
                                  </w:r>
                                  <w:r>
                                    <w:rPr>
                                      <w:sz w:val="16"/>
                                    </w:rPr>
                                    <w:t>With Perceptual Disturbances</w:t>
                                  </w:r>
                                </w:p>
                              </w:tc>
                            </w:tr>
                            <w:tr w:rsidR="00E675F0">
                              <w:trPr>
                                <w:trHeight w:val="245"/>
                              </w:trPr>
                              <w:tc>
                                <w:tcPr>
                                  <w:tcW w:w="685" w:type="dxa"/>
                                </w:tcPr>
                                <w:p w:rsidR="00E675F0" w:rsidRDefault="00E675F0">
                                  <w:pPr>
                                    <w:pStyle w:val="TableParagraph"/>
                                    <w:spacing w:before="15" w:line="210" w:lineRule="exact"/>
                                    <w:ind w:left="53"/>
                                    <w:rPr>
                                      <w:sz w:val="20"/>
                                    </w:rPr>
                                  </w:pPr>
                                  <w:r>
                                    <w:rPr>
                                      <w:sz w:val="20"/>
                                    </w:rPr>
                                    <w:t>291.0</w:t>
                                  </w:r>
                                </w:p>
                              </w:tc>
                              <w:tc>
                                <w:tcPr>
                                  <w:tcW w:w="3206" w:type="dxa"/>
                                </w:tcPr>
                                <w:p w:rsidR="00E675F0" w:rsidRDefault="00E675F0">
                                  <w:pPr>
                                    <w:pStyle w:val="TableParagraph"/>
                                    <w:spacing w:before="6" w:line="219" w:lineRule="exact"/>
                                    <w:ind w:left="83"/>
                                    <w:rPr>
                                      <w:sz w:val="20"/>
                                    </w:rPr>
                                  </w:pPr>
                                  <w:r>
                                    <w:rPr>
                                      <w:w w:val="105"/>
                                      <w:sz w:val="20"/>
                                    </w:rPr>
                                    <w:t>Alcohol Intoxication Delirium (129)</w:t>
                                  </w:r>
                                </w:p>
                              </w:tc>
                            </w:tr>
                            <w:tr w:rsidR="00E675F0">
                              <w:trPr>
                                <w:trHeight w:val="231"/>
                              </w:trPr>
                              <w:tc>
                                <w:tcPr>
                                  <w:tcW w:w="685" w:type="dxa"/>
                                </w:tcPr>
                                <w:p w:rsidR="00E675F0" w:rsidRDefault="00E675F0">
                                  <w:pPr>
                                    <w:pStyle w:val="TableParagraph"/>
                                    <w:spacing w:before="1" w:line="210" w:lineRule="exact"/>
                                    <w:ind w:left="58"/>
                                    <w:rPr>
                                      <w:sz w:val="20"/>
                                    </w:rPr>
                                  </w:pPr>
                                  <w:r>
                                    <w:rPr>
                                      <w:sz w:val="20"/>
                                    </w:rPr>
                                    <w:t>291.0</w:t>
                                  </w:r>
                                </w:p>
                              </w:tc>
                              <w:tc>
                                <w:tcPr>
                                  <w:tcW w:w="3206" w:type="dxa"/>
                                </w:tcPr>
                                <w:p w:rsidR="00E675F0" w:rsidRDefault="00E675F0">
                                  <w:pPr>
                                    <w:pStyle w:val="TableParagraph"/>
                                    <w:spacing w:line="211" w:lineRule="exact"/>
                                    <w:ind w:left="88"/>
                                    <w:rPr>
                                      <w:sz w:val="20"/>
                                    </w:rPr>
                                  </w:pPr>
                                  <w:r>
                                    <w:rPr>
                                      <w:w w:val="105"/>
                                      <w:sz w:val="20"/>
                                    </w:rPr>
                                    <w:t>Alcohol Withdrawal Delirium (129)</w:t>
                                  </w:r>
                                </w:p>
                              </w:tc>
                            </w:tr>
                          </w:tbl>
                          <w:p w:rsidR="00E675F0" w:rsidRDefault="00E675F0" w:rsidP="00E675F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24C52" id="Text Box 1660" o:spid="_x0000_s1044" type="#_x0000_t202" style="position:absolute;left:0;text-align:left;margin-left:34.15pt;margin-top:16.75pt;width:194.55pt;height:57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" filled="f" stroked="f">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685"/>
                        <w:gridCol w:w="3206"/>
                      </w:tblGrid>
                      <w:tr w:rsidR="00E675F0">
                        <w:trPr>
                          <w:trHeight w:val="231"/>
                        </w:trPr>
                        <w:tc>
                          <w:tcPr>
                            <w:tcW w:w="685" w:type="dxa"/>
                          </w:tcPr>
                          <w:p w:rsidR="00E675F0" w:rsidRDefault="00E675F0">
                            <w:pPr>
                              <w:pStyle w:val="TableParagraph"/>
                              <w:spacing w:line="211" w:lineRule="exact"/>
                              <w:ind w:left="50"/>
                              <w:rPr>
                                <w:sz w:val="20"/>
                              </w:rPr>
                            </w:pPr>
                            <w:r>
                              <w:rPr>
                                <w:sz w:val="20"/>
                              </w:rPr>
                              <w:t>303.00</w:t>
                            </w:r>
                          </w:p>
                        </w:tc>
                        <w:tc>
                          <w:tcPr>
                            <w:tcW w:w="3206" w:type="dxa"/>
                          </w:tcPr>
                          <w:p w:rsidR="00E675F0" w:rsidRDefault="00E675F0">
                            <w:pPr>
                              <w:pStyle w:val="TableParagraph"/>
                              <w:spacing w:line="211" w:lineRule="exact"/>
                              <w:ind w:left="88"/>
                              <w:rPr>
                                <w:sz w:val="20"/>
                              </w:rPr>
                            </w:pPr>
                            <w:r>
                              <w:rPr>
                                <w:w w:val="105"/>
                                <w:sz w:val="20"/>
                              </w:rPr>
                              <w:t>Alcohol Intoxication (196)</w:t>
                            </w:r>
                          </w:p>
                        </w:tc>
                      </w:tr>
                      <w:tr w:rsidR="00E675F0">
                        <w:trPr>
                          <w:trHeight w:val="432"/>
                        </w:trPr>
                        <w:tc>
                          <w:tcPr>
                            <w:tcW w:w="685" w:type="dxa"/>
                          </w:tcPr>
                          <w:p w:rsidR="00E675F0" w:rsidRDefault="00E675F0">
                            <w:pPr>
                              <w:pStyle w:val="TableParagraph"/>
                              <w:spacing w:before="1"/>
                              <w:ind w:left="53"/>
                              <w:rPr>
                                <w:sz w:val="20"/>
                              </w:rPr>
                            </w:pPr>
                            <w:r>
                              <w:rPr>
                                <w:sz w:val="20"/>
                              </w:rPr>
                              <w:t>291.8</w:t>
                            </w:r>
                          </w:p>
                        </w:tc>
                        <w:tc>
                          <w:tcPr>
                            <w:tcW w:w="3206" w:type="dxa"/>
                          </w:tcPr>
                          <w:p w:rsidR="00E675F0" w:rsidRDefault="00E675F0">
                            <w:pPr>
                              <w:pStyle w:val="TableParagraph"/>
                              <w:spacing w:before="1" w:line="220" w:lineRule="exact"/>
                              <w:ind w:left="88"/>
                              <w:rPr>
                                <w:sz w:val="20"/>
                              </w:rPr>
                            </w:pPr>
                            <w:r>
                              <w:rPr>
                                <w:w w:val="105"/>
                                <w:sz w:val="20"/>
                              </w:rPr>
                              <w:t>Alcohol Withdrawal (197)</w:t>
                            </w:r>
                          </w:p>
                          <w:p w:rsidR="00E675F0" w:rsidRDefault="00E675F0">
                            <w:pPr>
                              <w:pStyle w:val="TableParagraph"/>
                              <w:spacing w:line="191" w:lineRule="exact"/>
                              <w:ind w:left="98"/>
                              <w:rPr>
                                <w:sz w:val="16"/>
                              </w:rPr>
                            </w:pPr>
                            <w:r>
                              <w:rPr>
                                <w:i/>
                                <w:sz w:val="16"/>
                              </w:rPr>
                              <w:t xml:space="preserve">Spec/fy </w:t>
                            </w:r>
                            <w:r>
                              <w:rPr>
                                <w:rFonts w:ascii="Arial"/>
                                <w:i/>
                                <w:sz w:val="18"/>
                              </w:rPr>
                              <w:t xml:space="preserve">if </w:t>
                            </w:r>
                            <w:r>
                              <w:rPr>
                                <w:sz w:val="16"/>
                              </w:rPr>
                              <w:t>With Perceptual Disturbances</w:t>
                            </w:r>
                          </w:p>
                        </w:tc>
                      </w:tr>
                      <w:tr w:rsidR="00E675F0">
                        <w:trPr>
                          <w:trHeight w:val="245"/>
                        </w:trPr>
                        <w:tc>
                          <w:tcPr>
                            <w:tcW w:w="685" w:type="dxa"/>
                          </w:tcPr>
                          <w:p w:rsidR="00E675F0" w:rsidRDefault="00E675F0">
                            <w:pPr>
                              <w:pStyle w:val="TableParagraph"/>
                              <w:spacing w:before="15" w:line="210" w:lineRule="exact"/>
                              <w:ind w:left="53"/>
                              <w:rPr>
                                <w:sz w:val="20"/>
                              </w:rPr>
                            </w:pPr>
                            <w:r>
                              <w:rPr>
                                <w:sz w:val="20"/>
                              </w:rPr>
                              <w:t>291.0</w:t>
                            </w:r>
                          </w:p>
                        </w:tc>
                        <w:tc>
                          <w:tcPr>
                            <w:tcW w:w="3206" w:type="dxa"/>
                          </w:tcPr>
                          <w:p w:rsidR="00E675F0" w:rsidRDefault="00E675F0">
                            <w:pPr>
                              <w:pStyle w:val="TableParagraph"/>
                              <w:spacing w:before="6" w:line="219" w:lineRule="exact"/>
                              <w:ind w:left="83"/>
                              <w:rPr>
                                <w:sz w:val="20"/>
                              </w:rPr>
                            </w:pPr>
                            <w:r>
                              <w:rPr>
                                <w:w w:val="105"/>
                                <w:sz w:val="20"/>
                              </w:rPr>
                              <w:t>Alcohol Intoxication Delirium (129)</w:t>
                            </w:r>
                          </w:p>
                        </w:tc>
                      </w:tr>
                      <w:tr w:rsidR="00E675F0">
                        <w:trPr>
                          <w:trHeight w:val="231"/>
                        </w:trPr>
                        <w:tc>
                          <w:tcPr>
                            <w:tcW w:w="685" w:type="dxa"/>
                          </w:tcPr>
                          <w:p w:rsidR="00E675F0" w:rsidRDefault="00E675F0">
                            <w:pPr>
                              <w:pStyle w:val="TableParagraph"/>
                              <w:spacing w:before="1" w:line="210" w:lineRule="exact"/>
                              <w:ind w:left="58"/>
                              <w:rPr>
                                <w:sz w:val="20"/>
                              </w:rPr>
                            </w:pPr>
                            <w:r>
                              <w:rPr>
                                <w:sz w:val="20"/>
                              </w:rPr>
                              <w:t>291.0</w:t>
                            </w:r>
                          </w:p>
                        </w:tc>
                        <w:tc>
                          <w:tcPr>
                            <w:tcW w:w="3206" w:type="dxa"/>
                          </w:tcPr>
                          <w:p w:rsidR="00E675F0" w:rsidRDefault="00E675F0">
                            <w:pPr>
                              <w:pStyle w:val="TableParagraph"/>
                              <w:spacing w:line="211" w:lineRule="exact"/>
                              <w:ind w:left="88"/>
                              <w:rPr>
                                <w:sz w:val="20"/>
                              </w:rPr>
                            </w:pPr>
                            <w:r>
                              <w:rPr>
                                <w:w w:val="105"/>
                                <w:sz w:val="20"/>
                              </w:rPr>
                              <w:t>Alcohol Withdrawal Delirium (129)</w:t>
                            </w:r>
                          </w:p>
                        </w:tc>
                      </w:tr>
                    </w:tbl>
                    <w:p w:rsidR="00E675F0" w:rsidRDefault="00E675F0" w:rsidP="00E675F0">
                      <w:pPr>
                        <w:pStyle w:val="BodyText"/>
                      </w:pPr>
                    </w:p>
                  </w:txbxContent>
                </v:textbox>
                <w10:wrap anchorx="page"/>
              </v:shape>
            </w:pict>
          </mc:Fallback>
        </mc:AlternateContent>
      </w:r>
      <w:r>
        <w:rPr>
          <w:w w:val="105"/>
        </w:rPr>
        <w:t xml:space="preserve">292.89 Amphetamine-Induced Sleep Disorder </w:t>
      </w:r>
      <w:r>
        <w:rPr>
          <w:w w:val="105"/>
          <w:vertAlign w:val="superscript"/>
        </w:rPr>
        <w:t>1</w:t>
      </w:r>
      <w:r>
        <w:rPr>
          <w:w w:val="105"/>
          <w:sz w:val="19"/>
        </w:rPr>
        <w:t xml:space="preserve">·w </w:t>
      </w:r>
      <w:r>
        <w:rPr>
          <w:w w:val="105"/>
        </w:rPr>
        <w:t>(601)</w:t>
      </w:r>
    </w:p>
    <w:p w:rsidR="00E675F0" w:rsidRDefault="00E675F0" w:rsidP="00E675F0">
      <w:pPr>
        <w:pStyle w:val="BodyText"/>
        <w:spacing w:before="9"/>
        <w:rPr>
          <w:sz w:val="18"/>
        </w:rPr>
      </w:pPr>
    </w:p>
    <w:p w:rsidR="00E675F0" w:rsidRDefault="00E675F0" w:rsidP="00E675F0">
      <w:pPr>
        <w:pStyle w:val="BodyText"/>
        <w:tabs>
          <w:tab w:val="left" w:pos="879"/>
        </w:tabs>
        <w:spacing w:line="244" w:lineRule="auto"/>
        <w:ind w:left="888" w:right="341" w:hanging="729"/>
      </w:pPr>
      <w:r>
        <w:rPr>
          <w:w w:val="105"/>
        </w:rPr>
        <w:t>292.9</w:t>
      </w:r>
      <w:r>
        <w:rPr>
          <w:w w:val="105"/>
        </w:rPr>
        <w:tab/>
        <w:t>Amphetamine-Related Disorder NOS</w:t>
      </w:r>
      <w:r>
        <w:rPr>
          <w:spacing w:val="2"/>
          <w:w w:val="105"/>
        </w:rPr>
        <w:t xml:space="preserve"> </w:t>
      </w:r>
      <w:r>
        <w:rPr>
          <w:w w:val="105"/>
        </w:rPr>
        <w:t>(211)</w:t>
      </w:r>
    </w:p>
    <w:p w:rsidR="00E675F0" w:rsidRDefault="00E675F0" w:rsidP="00E675F0">
      <w:pPr>
        <w:spacing w:line="244" w:lineRule="auto"/>
        <w:sectPr w:rsidR="00E675F0">
          <w:type w:val="continuous"/>
          <w:pgSz w:w="8960" w:h="14260"/>
          <w:pgMar w:top="640" w:right="540" w:bottom="0" w:left="560" w:header="720" w:footer="720" w:gutter="0"/>
          <w:cols w:num="2" w:space="720" w:equalWidth="0">
            <w:col w:w="3337" w:space="610"/>
            <w:col w:w="3913"/>
          </w:cols>
        </w:sectPr>
      </w:pPr>
    </w:p>
    <w:p w:rsidR="00E675F0" w:rsidRDefault="00E675F0" w:rsidP="00E675F0">
      <w:pPr>
        <w:pStyle w:val="BodyText"/>
        <w:spacing w:before="3"/>
        <w:rPr>
          <w:sz w:val="12"/>
        </w:rPr>
      </w:pPr>
    </w:p>
    <w:p w:rsidR="00E675F0" w:rsidRDefault="00E675F0" w:rsidP="00E675F0">
      <w:pPr>
        <w:rPr>
          <w:sz w:val="12"/>
        </w:rPr>
        <w:sectPr w:rsidR="00E675F0">
          <w:type w:val="continuous"/>
          <w:pgSz w:w="8960" w:h="14260"/>
          <w:pgMar w:top="640" w:right="540" w:bottom="0" w:left="560" w:header="720" w:footer="720" w:gutter="0"/>
          <w:cols w:space="720"/>
        </w:sectPr>
      </w:pPr>
    </w:p>
    <w:p w:rsidR="00E675F0" w:rsidRDefault="00E675F0" w:rsidP="00E675F0">
      <w:pPr>
        <w:pStyle w:val="BodyText"/>
        <w:spacing w:before="188"/>
        <w:ind w:left="181"/>
      </w:pPr>
      <w:r>
        <w:t>291.2</w:t>
      </w:r>
    </w:p>
    <w:p w:rsidR="00E675F0" w:rsidRDefault="00E675F0" w:rsidP="00E675F0">
      <w:pPr>
        <w:pStyle w:val="BodyText"/>
        <w:spacing w:before="183" w:line="249" w:lineRule="auto"/>
        <w:ind w:left="189" w:right="17" w:hanging="8"/>
      </w:pPr>
      <w:r>
        <w:br w:type="column"/>
      </w:r>
      <w:r>
        <w:rPr>
          <w:w w:val="105"/>
        </w:rPr>
        <w:t>Alcohol-Induced Persisting Dementia (152)</w:t>
      </w:r>
    </w:p>
    <w:p w:rsidR="00E675F0" w:rsidRDefault="00E675F0" w:rsidP="00E675F0">
      <w:pPr>
        <w:spacing w:before="92"/>
        <w:ind w:left="182"/>
        <w:rPr>
          <w:sz w:val="20"/>
        </w:rPr>
      </w:pPr>
      <w:r>
        <w:br w:type="column"/>
      </w:r>
      <w:r>
        <w:rPr>
          <w:b/>
          <w:w w:val="105"/>
          <w:sz w:val="18"/>
        </w:rPr>
        <w:t xml:space="preserve">CAFFEINE-REIATED DISORDERS </w:t>
      </w:r>
      <w:r>
        <w:rPr>
          <w:w w:val="105"/>
          <w:sz w:val="20"/>
        </w:rPr>
        <w:t>(212)</w:t>
      </w:r>
    </w:p>
    <w:p w:rsidR="00E675F0" w:rsidRDefault="00E675F0" w:rsidP="00E675F0">
      <w:pPr>
        <w:spacing w:before="92"/>
        <w:ind w:left="181"/>
        <w:rPr>
          <w:b/>
          <w:sz w:val="20"/>
        </w:rPr>
      </w:pPr>
      <w:r>
        <w:rPr>
          <w:b/>
          <w:w w:val="110"/>
          <w:sz w:val="20"/>
        </w:rPr>
        <w:t>Caffeine-Induced Disorders</w:t>
      </w:r>
    </w:p>
    <w:p w:rsidR="00E675F0" w:rsidRDefault="00E675F0" w:rsidP="00E675F0">
      <w:pPr>
        <w:rPr>
          <w:sz w:val="20"/>
        </w:rPr>
        <w:sectPr w:rsidR="00E675F0">
          <w:type w:val="continuous"/>
          <w:pgSz w:w="8960" w:h="14260"/>
          <w:pgMar w:top="640" w:right="540" w:bottom="0" w:left="560" w:header="720" w:footer="720" w:gutter="0"/>
          <w:cols w:num="3" w:space="720" w:equalWidth="0">
            <w:col w:w="668" w:space="46"/>
            <w:col w:w="2522" w:space="680"/>
            <w:col w:w="3944"/>
          </w:cols>
        </w:sectPr>
      </w:pPr>
    </w:p>
    <w:p w:rsidR="00E675F0" w:rsidRDefault="00E675F0" w:rsidP="00E675F0">
      <w:pPr>
        <w:pStyle w:val="BodyText"/>
        <w:tabs>
          <w:tab w:val="left" w:pos="895"/>
        </w:tabs>
        <w:spacing w:before="7" w:line="244" w:lineRule="auto"/>
        <w:ind w:left="895" w:right="38" w:hanging="715"/>
      </w:pPr>
      <w:r>
        <w:rPr>
          <w:w w:val="105"/>
        </w:rPr>
        <w:t>291.1</w:t>
      </w:r>
      <w:r>
        <w:rPr>
          <w:w w:val="105"/>
        </w:rPr>
        <w:tab/>
        <w:t>Alcohol-Induced</w:t>
      </w:r>
      <w:r>
        <w:rPr>
          <w:spacing w:val="-18"/>
          <w:w w:val="105"/>
        </w:rPr>
        <w:t xml:space="preserve"> </w:t>
      </w:r>
      <w:r>
        <w:rPr>
          <w:w w:val="105"/>
        </w:rPr>
        <w:t>Persisting Amnestic Disorder</w:t>
      </w:r>
      <w:r>
        <w:rPr>
          <w:spacing w:val="11"/>
          <w:w w:val="105"/>
        </w:rPr>
        <w:t xml:space="preserve"> </w:t>
      </w:r>
      <w:r>
        <w:rPr>
          <w:w w:val="105"/>
        </w:rPr>
        <w:t>(161)</w:t>
      </w:r>
    </w:p>
    <w:p w:rsidR="00E675F0" w:rsidRDefault="00E675F0" w:rsidP="00E675F0">
      <w:pPr>
        <w:pStyle w:val="BodyText"/>
        <w:tabs>
          <w:tab w:val="left" w:pos="895"/>
        </w:tabs>
        <w:spacing w:before="12" w:line="244" w:lineRule="auto"/>
        <w:ind w:left="903" w:right="182" w:hanging="723"/>
      </w:pPr>
      <w:r>
        <w:t>291.x</w:t>
      </w:r>
      <w:r>
        <w:tab/>
        <w:t>Alcohol-Induced</w:t>
      </w:r>
      <w:r>
        <w:rPr>
          <w:spacing w:val="-33"/>
        </w:rPr>
        <w:t xml:space="preserve"> </w:t>
      </w:r>
      <w:r>
        <w:t>Psychotic Disorder</w:t>
      </w:r>
      <w:r>
        <w:rPr>
          <w:spacing w:val="10"/>
        </w:rPr>
        <w:t xml:space="preserve"> </w:t>
      </w:r>
      <w:r>
        <w:t>(310)</w:t>
      </w:r>
    </w:p>
    <w:p w:rsidR="00E675F0" w:rsidRDefault="00E675F0" w:rsidP="00E675F0">
      <w:pPr>
        <w:pStyle w:val="BodyText"/>
        <w:spacing w:line="223" w:lineRule="exact"/>
        <w:ind w:left="181"/>
      </w:pPr>
      <w:r>
        <w:br w:type="column"/>
      </w:r>
      <w:r>
        <w:t>305.90 Caffeine Intoxication (212)</w:t>
      </w:r>
    </w:p>
    <w:p w:rsidR="00E675F0" w:rsidRDefault="00E675F0" w:rsidP="00E675F0">
      <w:pPr>
        <w:pStyle w:val="BodyText"/>
        <w:spacing w:before="15" w:line="249" w:lineRule="auto"/>
        <w:ind w:left="907" w:right="316" w:hanging="723"/>
      </w:pPr>
      <w:r>
        <w:t>292.89 Caffeine-Induced Anxiety Disorder</w:t>
      </w:r>
      <w:r>
        <w:rPr>
          <w:vertAlign w:val="superscript"/>
        </w:rPr>
        <w:t>1</w:t>
      </w:r>
      <w:r>
        <w:t xml:space="preserve"> </w:t>
      </w:r>
      <w:r>
        <w:rPr>
          <w:sz w:val="12"/>
        </w:rPr>
        <w:t xml:space="preserve">( </w:t>
      </w:r>
      <w:r>
        <w:t>439)</w:t>
      </w:r>
    </w:p>
    <w:p w:rsidR="00E675F0" w:rsidRDefault="00E675F0" w:rsidP="00E675F0">
      <w:pPr>
        <w:pStyle w:val="BodyText"/>
        <w:spacing w:before="2"/>
        <w:ind w:left="185"/>
      </w:pPr>
      <w:r>
        <w:rPr>
          <w:w w:val="105"/>
        </w:rPr>
        <w:t>292.89 Caffeine-Induced Sleep</w:t>
      </w:r>
    </w:p>
    <w:p w:rsidR="00E675F0" w:rsidRDefault="00E675F0" w:rsidP="00E675F0">
      <w:pPr>
        <w:sectPr w:rsidR="00E675F0">
          <w:type w:val="continuous"/>
          <w:pgSz w:w="8960" w:h="14260"/>
          <w:pgMar w:top="640" w:right="540" w:bottom="0" w:left="560" w:header="720" w:footer="720" w:gutter="0"/>
          <w:cols w:num="2" w:space="720" w:equalWidth="0">
            <w:col w:w="3237" w:space="684"/>
            <w:col w:w="3939"/>
          </w:cols>
        </w:sectPr>
      </w:pPr>
    </w:p>
    <w:p w:rsidR="00E675F0" w:rsidRDefault="00E675F0" w:rsidP="00E675F0">
      <w:pPr>
        <w:spacing w:before="16"/>
        <w:ind w:right="1"/>
        <w:jc w:val="right"/>
        <w:rPr>
          <w:sz w:val="21"/>
        </w:rPr>
      </w:pPr>
      <w:r>
        <w:rPr>
          <w:w w:val="95"/>
          <w:sz w:val="21"/>
        </w:rPr>
        <w:t>.5</w:t>
      </w:r>
    </w:p>
    <w:p w:rsidR="00E675F0" w:rsidRDefault="00E675F0" w:rsidP="00E675F0">
      <w:pPr>
        <w:pStyle w:val="BodyText"/>
        <w:spacing w:before="8"/>
        <w:jc w:val="right"/>
        <w:rPr>
          <w:rFonts w:ascii="Arial"/>
        </w:rPr>
      </w:pPr>
      <w:r>
        <w:rPr>
          <w:rFonts w:ascii="Arial"/>
          <w:spacing w:val="-2"/>
          <w:w w:val="95"/>
        </w:rPr>
        <w:t>.3</w:t>
      </w:r>
    </w:p>
    <w:p w:rsidR="00E675F0" w:rsidRDefault="00E675F0" w:rsidP="00E675F0">
      <w:pPr>
        <w:pStyle w:val="BodyText"/>
        <w:spacing w:before="11"/>
        <w:ind w:right="14"/>
        <w:jc w:val="right"/>
      </w:pPr>
      <w:r>
        <w:t>291.8</w:t>
      </w:r>
    </w:p>
    <w:p w:rsidR="00E675F0" w:rsidRDefault="00E675F0" w:rsidP="00E675F0">
      <w:pPr>
        <w:pStyle w:val="BodyText"/>
        <w:spacing w:before="5" w:line="256" w:lineRule="auto"/>
        <w:ind w:left="478" w:right="38"/>
        <w:rPr>
          <w:sz w:val="19"/>
        </w:rPr>
      </w:pPr>
      <w:r>
        <w:br w:type="column"/>
      </w:r>
      <w:r>
        <w:t xml:space="preserve">With Delusions </w:t>
      </w:r>
      <w:r>
        <w:rPr>
          <w:rFonts w:ascii="Arial" w:hAnsi="Arial"/>
          <w:spacing w:val="-11"/>
          <w:vertAlign w:val="superscript"/>
        </w:rPr>
        <w:t>1</w:t>
      </w:r>
      <w:r>
        <w:rPr>
          <w:spacing w:val="-11"/>
          <w:sz w:val="19"/>
        </w:rPr>
        <w:t xml:space="preserve">·w </w:t>
      </w:r>
      <w:r>
        <w:t>With Hallu</w:t>
      </w:r>
      <w:r>
        <w:rPr>
          <w:spacing w:val="-7"/>
        </w:rPr>
        <w:t xml:space="preserve"> </w:t>
      </w:r>
      <w:r>
        <w:t>cinations</w:t>
      </w:r>
      <w:r>
        <w:rPr>
          <w:vertAlign w:val="superscript"/>
        </w:rPr>
        <w:t>1</w:t>
      </w:r>
      <w:r>
        <w:rPr>
          <w:sz w:val="19"/>
        </w:rPr>
        <w:t>·w</w:t>
      </w:r>
    </w:p>
    <w:p w:rsidR="00E675F0" w:rsidRDefault="00E675F0" w:rsidP="00E675F0">
      <w:pPr>
        <w:pStyle w:val="BodyText"/>
        <w:spacing w:before="3" w:line="244" w:lineRule="auto"/>
        <w:ind w:left="189" w:right="285" w:hanging="13"/>
      </w:pPr>
      <w:r>
        <w:rPr>
          <w:w w:val="105"/>
        </w:rPr>
        <w:t xml:space="preserve">Alcohol-Induced Mood Disorder </w:t>
      </w:r>
      <w:r>
        <w:rPr>
          <w:w w:val="105"/>
          <w:vertAlign w:val="superscript"/>
        </w:rPr>
        <w:t>1</w:t>
      </w:r>
      <w:r>
        <w:rPr>
          <w:w w:val="105"/>
          <w:sz w:val="19"/>
        </w:rPr>
        <w:t xml:space="preserve">·w </w:t>
      </w:r>
      <w:r>
        <w:rPr>
          <w:w w:val="105"/>
        </w:rPr>
        <w:t>(370)</w:t>
      </w:r>
    </w:p>
    <w:p w:rsidR="00E675F0" w:rsidRDefault="00E675F0" w:rsidP="00E675F0">
      <w:pPr>
        <w:pStyle w:val="BodyText"/>
        <w:spacing w:line="227" w:lineRule="exact"/>
        <w:ind w:left="898"/>
      </w:pPr>
      <w:r>
        <w:br w:type="column"/>
      </w:r>
      <w:r>
        <w:t xml:space="preserve">Disorder </w:t>
      </w:r>
      <w:r>
        <w:rPr>
          <w:rFonts w:ascii="Arial"/>
          <w:vertAlign w:val="superscript"/>
        </w:rPr>
        <w:t>1</w:t>
      </w:r>
      <w:r>
        <w:rPr>
          <w:rFonts w:ascii="Arial"/>
        </w:rPr>
        <w:t xml:space="preserve"> </w:t>
      </w:r>
      <w:r>
        <w:t>(601)</w:t>
      </w:r>
    </w:p>
    <w:p w:rsidR="00E675F0" w:rsidRDefault="00E675F0" w:rsidP="00E675F0">
      <w:pPr>
        <w:pStyle w:val="BodyText"/>
        <w:spacing w:before="10"/>
        <w:rPr>
          <w:sz w:val="18"/>
        </w:rPr>
      </w:pPr>
    </w:p>
    <w:p w:rsidR="00E675F0" w:rsidRDefault="00E675F0" w:rsidP="00E675F0">
      <w:pPr>
        <w:pStyle w:val="BodyText"/>
        <w:tabs>
          <w:tab w:val="left" w:pos="894"/>
        </w:tabs>
        <w:spacing w:line="244" w:lineRule="auto"/>
        <w:ind w:left="905" w:right="839" w:hanging="729"/>
      </w:pPr>
      <w:r>
        <w:t>292.9</w:t>
      </w:r>
      <w:r>
        <w:tab/>
        <w:t>Caffeine-Related Disorder NOS</w:t>
      </w:r>
      <w:r>
        <w:rPr>
          <w:spacing w:val="10"/>
        </w:rPr>
        <w:t xml:space="preserve"> </w:t>
      </w:r>
      <w:r>
        <w:t>(215)</w:t>
      </w:r>
    </w:p>
    <w:p w:rsidR="00E675F0" w:rsidRDefault="00E675F0" w:rsidP="00E675F0">
      <w:pPr>
        <w:spacing w:line="244" w:lineRule="auto"/>
        <w:sectPr w:rsidR="00E675F0">
          <w:type w:val="continuous"/>
          <w:pgSz w:w="8960" w:h="14260"/>
          <w:pgMar w:top="640" w:right="540" w:bottom="0" w:left="560" w:header="720" w:footer="720" w:gutter="0"/>
          <w:cols w:num="3" w:space="720" w:equalWidth="0">
            <w:col w:w="649" w:space="71"/>
            <w:col w:w="2459" w:space="751"/>
            <w:col w:w="3930"/>
          </w:cols>
        </w:sectPr>
      </w:pPr>
    </w:p>
    <w:p w:rsidR="00E675F0" w:rsidRDefault="00E675F0" w:rsidP="00E675F0">
      <w:pPr>
        <w:pStyle w:val="BodyText"/>
        <w:tabs>
          <w:tab w:val="left" w:pos="895"/>
        </w:tabs>
        <w:spacing w:before="17" w:line="244" w:lineRule="auto"/>
        <w:ind w:left="903" w:right="45" w:hanging="728"/>
      </w:pPr>
      <w:r>
        <w:rPr>
          <w:w w:val="105"/>
        </w:rPr>
        <w:t>291.8</w:t>
      </w:r>
      <w:r>
        <w:rPr>
          <w:w w:val="105"/>
        </w:rPr>
        <w:tab/>
        <w:t>Alcohol-Induced</w:t>
      </w:r>
      <w:r>
        <w:rPr>
          <w:spacing w:val="-16"/>
          <w:w w:val="105"/>
        </w:rPr>
        <w:t xml:space="preserve"> </w:t>
      </w:r>
      <w:r>
        <w:rPr>
          <w:w w:val="105"/>
        </w:rPr>
        <w:t xml:space="preserve">Anxiety Disorder </w:t>
      </w:r>
      <w:r>
        <w:rPr>
          <w:spacing w:val="-7"/>
          <w:w w:val="105"/>
          <w:vertAlign w:val="superscript"/>
        </w:rPr>
        <w:t>1</w:t>
      </w:r>
      <w:r>
        <w:rPr>
          <w:spacing w:val="-7"/>
          <w:w w:val="105"/>
          <w:sz w:val="19"/>
        </w:rPr>
        <w:t>·w</w:t>
      </w:r>
      <w:r>
        <w:rPr>
          <w:spacing w:val="3"/>
          <w:w w:val="105"/>
          <w:sz w:val="19"/>
        </w:rPr>
        <w:t xml:space="preserve"> </w:t>
      </w:r>
      <w:r>
        <w:rPr>
          <w:spacing w:val="2"/>
          <w:w w:val="105"/>
          <w:sz w:val="19"/>
        </w:rPr>
        <w:t>(</w:t>
      </w:r>
      <w:r>
        <w:rPr>
          <w:spacing w:val="2"/>
          <w:w w:val="105"/>
        </w:rPr>
        <w:t>439)</w:t>
      </w:r>
    </w:p>
    <w:p w:rsidR="00E675F0" w:rsidRDefault="00E675F0" w:rsidP="00E675F0">
      <w:pPr>
        <w:pStyle w:val="BodyText"/>
        <w:tabs>
          <w:tab w:val="left" w:pos="895"/>
        </w:tabs>
        <w:spacing w:before="21" w:line="249" w:lineRule="auto"/>
        <w:ind w:left="903" w:right="142" w:hanging="728"/>
      </w:pPr>
      <w:r>
        <w:rPr>
          <w:w w:val="105"/>
        </w:rPr>
        <w:t>291.8</w:t>
      </w:r>
      <w:r>
        <w:rPr>
          <w:w w:val="105"/>
        </w:rPr>
        <w:tab/>
        <w:t>Alcohol-Induced Sexual Dysfunction</w:t>
      </w:r>
      <w:r>
        <w:rPr>
          <w:spacing w:val="-36"/>
          <w:w w:val="105"/>
        </w:rPr>
        <w:t xml:space="preserve"> </w:t>
      </w:r>
      <w:r>
        <w:rPr>
          <w:rFonts w:ascii="Arial"/>
          <w:w w:val="105"/>
          <w:vertAlign w:val="superscript"/>
        </w:rPr>
        <w:t>1</w:t>
      </w:r>
      <w:r>
        <w:rPr>
          <w:rFonts w:ascii="Arial"/>
          <w:spacing w:val="-18"/>
          <w:w w:val="105"/>
        </w:rPr>
        <w:t xml:space="preserve"> </w:t>
      </w:r>
      <w:r>
        <w:rPr>
          <w:w w:val="105"/>
        </w:rPr>
        <w:t>(519)</w:t>
      </w:r>
    </w:p>
    <w:p w:rsidR="00E675F0" w:rsidRDefault="00E675F0" w:rsidP="003048D3">
      <w:pPr>
        <w:pStyle w:val="ListParagraph"/>
        <w:numPr>
          <w:ilvl w:val="1"/>
          <w:numId w:val="128"/>
        </w:numPr>
        <w:tabs>
          <w:tab w:val="left" w:pos="895"/>
          <w:tab w:val="left" w:pos="896"/>
        </w:tabs>
        <w:spacing w:before="11"/>
        <w:ind w:right="307" w:hanging="728"/>
        <w:rPr>
          <w:sz w:val="20"/>
        </w:rPr>
      </w:pPr>
      <w:r>
        <w:rPr>
          <w:sz w:val="20"/>
        </w:rPr>
        <w:t>Alcohol-Induced Sleep Disorder</w:t>
      </w:r>
      <w:r>
        <w:rPr>
          <w:sz w:val="20"/>
          <w:vertAlign w:val="superscript"/>
        </w:rPr>
        <w:t>1</w:t>
      </w:r>
      <w:r>
        <w:rPr>
          <w:sz w:val="19"/>
        </w:rPr>
        <w:t>·w</w:t>
      </w:r>
      <w:r>
        <w:rPr>
          <w:spacing w:val="-2"/>
          <w:sz w:val="19"/>
        </w:rPr>
        <w:t xml:space="preserve"> </w:t>
      </w:r>
      <w:r>
        <w:rPr>
          <w:sz w:val="20"/>
        </w:rPr>
        <w:t>(601)</w:t>
      </w:r>
    </w:p>
    <w:p w:rsidR="00E675F0" w:rsidRDefault="00E675F0" w:rsidP="00E675F0">
      <w:pPr>
        <w:pStyle w:val="BodyText"/>
        <w:spacing w:before="4"/>
        <w:rPr>
          <w:sz w:val="19"/>
        </w:rPr>
      </w:pPr>
    </w:p>
    <w:p w:rsidR="00E675F0" w:rsidRDefault="00E675F0" w:rsidP="003048D3">
      <w:pPr>
        <w:pStyle w:val="ListParagraph"/>
        <w:numPr>
          <w:ilvl w:val="1"/>
          <w:numId w:val="128"/>
        </w:numPr>
        <w:tabs>
          <w:tab w:val="left" w:pos="895"/>
          <w:tab w:val="left" w:pos="896"/>
        </w:tabs>
        <w:spacing w:line="249" w:lineRule="auto"/>
        <w:ind w:left="905" w:right="38" w:hanging="729"/>
        <w:rPr>
          <w:sz w:val="20"/>
        </w:rPr>
      </w:pPr>
      <w:r>
        <w:rPr>
          <w:w w:val="105"/>
          <w:sz w:val="20"/>
        </w:rPr>
        <w:t>Alcohol-Related</w:t>
      </w:r>
      <w:r>
        <w:rPr>
          <w:spacing w:val="-29"/>
          <w:w w:val="105"/>
          <w:sz w:val="20"/>
        </w:rPr>
        <w:t xml:space="preserve"> </w:t>
      </w:r>
      <w:r>
        <w:rPr>
          <w:w w:val="105"/>
          <w:sz w:val="20"/>
        </w:rPr>
        <w:t xml:space="preserve">Disorder </w:t>
      </w:r>
      <w:r>
        <w:rPr>
          <w:w w:val="105"/>
          <w:sz w:val="20"/>
        </w:rPr>
        <w:t>NOS</w:t>
      </w:r>
      <w:r>
        <w:rPr>
          <w:spacing w:val="2"/>
          <w:w w:val="105"/>
          <w:sz w:val="20"/>
        </w:rPr>
        <w:t xml:space="preserve"> </w:t>
      </w:r>
      <w:r>
        <w:rPr>
          <w:w w:val="105"/>
          <w:sz w:val="20"/>
        </w:rPr>
        <w:t>(204)</w:t>
      </w:r>
    </w:p>
    <w:p w:rsidR="00E675F0" w:rsidRDefault="00E675F0" w:rsidP="00E675F0">
      <w:pPr>
        <w:spacing w:before="190"/>
        <w:ind w:left="182"/>
        <w:rPr>
          <w:sz w:val="20"/>
        </w:rPr>
      </w:pPr>
      <w:r>
        <w:br w:type="column"/>
      </w:r>
      <w:r>
        <w:rPr>
          <w:b/>
          <w:sz w:val="18"/>
        </w:rPr>
        <w:lastRenderedPageBreak/>
        <w:t xml:space="preserve">CANNABIS-REIATED DISORDERS </w:t>
      </w:r>
      <w:r>
        <w:rPr>
          <w:sz w:val="20"/>
        </w:rPr>
        <w:t>(215)</w:t>
      </w:r>
    </w:p>
    <w:p w:rsidR="00E675F0" w:rsidRDefault="00E675F0" w:rsidP="00E675F0">
      <w:pPr>
        <w:spacing w:before="97"/>
        <w:ind w:left="181"/>
        <w:rPr>
          <w:b/>
          <w:sz w:val="20"/>
        </w:rPr>
      </w:pPr>
      <w:r>
        <w:rPr>
          <w:b/>
          <w:w w:val="110"/>
          <w:sz w:val="20"/>
        </w:rPr>
        <w:t>Cannabis Use Disorders</w:t>
      </w:r>
    </w:p>
    <w:p w:rsidR="00E675F0" w:rsidRDefault="00E675F0" w:rsidP="00E675F0">
      <w:pPr>
        <w:pStyle w:val="BodyText"/>
        <w:spacing w:before="10"/>
        <w:ind w:left="186"/>
      </w:pPr>
      <w:r>
        <w:rPr>
          <w:w w:val="105"/>
        </w:rPr>
        <w:t>304.30 Cannabis Dependencea (216)</w:t>
      </w:r>
    </w:p>
    <w:p w:rsidR="00E675F0" w:rsidRDefault="00E675F0" w:rsidP="00E675F0">
      <w:pPr>
        <w:pStyle w:val="BodyText"/>
        <w:spacing w:before="20"/>
        <w:ind w:left="186"/>
      </w:pPr>
      <w:r>
        <w:t>305.20 Cannabis Abuse (217)</w:t>
      </w:r>
    </w:p>
    <w:p w:rsidR="00E675F0" w:rsidRDefault="00E675F0" w:rsidP="00E675F0">
      <w:pPr>
        <w:pStyle w:val="BodyText"/>
        <w:spacing w:before="4"/>
        <w:rPr>
          <w:sz w:val="21"/>
        </w:rPr>
      </w:pPr>
    </w:p>
    <w:p w:rsidR="00E675F0" w:rsidRDefault="00E675F0" w:rsidP="00E675F0">
      <w:pPr>
        <w:ind w:left="176"/>
        <w:rPr>
          <w:b/>
          <w:sz w:val="20"/>
        </w:rPr>
      </w:pPr>
      <w:r>
        <w:rPr>
          <w:b/>
          <w:w w:val="110"/>
          <w:sz w:val="20"/>
        </w:rPr>
        <w:t>Cannabis-Induced Disorders</w:t>
      </w:r>
    </w:p>
    <w:p w:rsidR="00E675F0" w:rsidRDefault="00E675F0" w:rsidP="00E675F0">
      <w:pPr>
        <w:pStyle w:val="BodyText"/>
        <w:spacing w:before="20" w:line="222" w:lineRule="exact"/>
        <w:ind w:left="190"/>
      </w:pPr>
      <w:r>
        <w:t>292.89 Cannabis Intoxication (217)</w:t>
      </w:r>
    </w:p>
    <w:p w:rsidR="00E675F0" w:rsidRDefault="00E675F0" w:rsidP="00E675F0">
      <w:pPr>
        <w:spacing w:line="199" w:lineRule="exact"/>
        <w:ind w:left="914"/>
        <w:rPr>
          <w:sz w:val="16"/>
        </w:rPr>
      </w:pPr>
      <w:r>
        <w:rPr>
          <w:i/>
          <w:sz w:val="16"/>
        </w:rPr>
        <w:t xml:space="preserve">Spec/fy </w:t>
      </w:r>
      <w:r>
        <w:rPr>
          <w:rFonts w:ascii="Arial"/>
          <w:i/>
          <w:sz w:val="18"/>
        </w:rPr>
        <w:t xml:space="preserve">if </w:t>
      </w:r>
      <w:r>
        <w:rPr>
          <w:sz w:val="16"/>
        </w:rPr>
        <w:t>With Perceptual Disturbances</w:t>
      </w:r>
    </w:p>
    <w:p w:rsidR="00E675F0" w:rsidRDefault="00E675F0" w:rsidP="00E675F0">
      <w:pPr>
        <w:pStyle w:val="BodyText"/>
        <w:spacing w:before="20" w:line="249" w:lineRule="auto"/>
        <w:ind w:left="912" w:right="692" w:hanging="723"/>
      </w:pPr>
      <w:r>
        <w:t>292.81 Cannabis Intoxication Delirium (129)</w:t>
      </w:r>
    </w:p>
    <w:p w:rsidR="00E675F0" w:rsidRDefault="00E675F0" w:rsidP="00E675F0">
      <w:pPr>
        <w:spacing w:line="249" w:lineRule="auto"/>
        <w:sectPr w:rsidR="00E675F0">
          <w:type w:val="continuous"/>
          <w:pgSz w:w="8960" w:h="14260"/>
          <w:pgMar w:top="640" w:right="540" w:bottom="0" w:left="560" w:header="720" w:footer="720" w:gutter="0"/>
          <w:cols w:num="2" w:space="720" w:equalWidth="0">
            <w:col w:w="3092" w:space="824"/>
            <w:col w:w="3944"/>
          </w:cols>
        </w:sectPr>
      </w:pPr>
    </w:p>
    <w:p w:rsidR="00E675F0" w:rsidRDefault="00E675F0" w:rsidP="00E675F0">
      <w:pPr>
        <w:pStyle w:val="BodyText"/>
        <w:spacing w:before="4"/>
        <w:rPr>
          <w:sz w:val="11"/>
        </w:rPr>
      </w:pPr>
    </w:p>
    <w:tbl>
      <w:tblPr>
        <w:tblW w:w="0" w:type="auto"/>
        <w:tblInd w:w="126" w:type="dxa"/>
        <w:tblLayout w:type="fixed"/>
        <w:tblCellMar>
          <w:left w:w="0" w:type="dxa"/>
          <w:right w:w="0" w:type="dxa"/>
        </w:tblCellMar>
        <w:tblLook w:val="01E0" w:firstRow="1" w:lastRow="1" w:firstColumn="1" w:lastColumn="1" w:noHBand="0" w:noVBand="0"/>
      </w:tblPr>
      <w:tblGrid>
        <w:gridCol w:w="695"/>
        <w:gridCol w:w="2835"/>
        <w:gridCol w:w="1084"/>
        <w:gridCol w:w="2896"/>
      </w:tblGrid>
      <w:tr w:rsidR="00E675F0" w:rsidTr="00A330E1">
        <w:trPr>
          <w:trHeight w:val="225"/>
        </w:trPr>
        <w:tc>
          <w:tcPr>
            <w:tcW w:w="695" w:type="dxa"/>
          </w:tcPr>
          <w:p w:rsidR="00E675F0" w:rsidRDefault="00E675F0" w:rsidP="00A330E1">
            <w:pPr>
              <w:pStyle w:val="TableParagraph"/>
              <w:spacing w:before="15" w:line="190" w:lineRule="exact"/>
              <w:ind w:left="54"/>
              <w:rPr>
                <w:sz w:val="19"/>
              </w:rPr>
            </w:pPr>
            <w:r>
              <w:rPr>
                <w:w w:val="105"/>
                <w:sz w:val="19"/>
              </w:rPr>
              <w:t>292.xx</w:t>
            </w:r>
          </w:p>
        </w:tc>
        <w:tc>
          <w:tcPr>
            <w:tcW w:w="2835" w:type="dxa"/>
          </w:tcPr>
          <w:p w:rsidR="00E675F0" w:rsidRDefault="00E675F0" w:rsidP="00A330E1">
            <w:pPr>
              <w:pStyle w:val="TableParagraph"/>
              <w:spacing w:before="15" w:line="190" w:lineRule="exact"/>
              <w:ind w:left="73"/>
              <w:rPr>
                <w:sz w:val="19"/>
              </w:rPr>
            </w:pPr>
            <w:r>
              <w:rPr>
                <w:w w:val="105"/>
                <w:sz w:val="19"/>
              </w:rPr>
              <w:t>Cannabis-Induced Psychotic</w:t>
            </w:r>
          </w:p>
        </w:tc>
        <w:tc>
          <w:tcPr>
            <w:tcW w:w="1084" w:type="dxa"/>
          </w:tcPr>
          <w:p w:rsidR="00E675F0" w:rsidRDefault="00E675F0" w:rsidP="00A330E1">
            <w:pPr>
              <w:pStyle w:val="TableParagraph"/>
              <w:spacing w:before="15" w:line="190" w:lineRule="exact"/>
              <w:ind w:right="100"/>
              <w:jc w:val="right"/>
              <w:rPr>
                <w:sz w:val="19"/>
              </w:rPr>
            </w:pPr>
            <w:r>
              <w:rPr>
                <w:sz w:val="19"/>
              </w:rPr>
              <w:t>292.81</w:t>
            </w:r>
          </w:p>
        </w:tc>
        <w:tc>
          <w:tcPr>
            <w:tcW w:w="2896" w:type="dxa"/>
          </w:tcPr>
          <w:p w:rsidR="00E675F0" w:rsidRDefault="00E675F0" w:rsidP="00A330E1">
            <w:pPr>
              <w:pStyle w:val="TableParagraph"/>
              <w:spacing w:before="15" w:line="190" w:lineRule="exact"/>
              <w:ind w:left="70"/>
              <w:rPr>
                <w:sz w:val="19"/>
              </w:rPr>
            </w:pPr>
            <w:r>
              <w:rPr>
                <w:w w:val="110"/>
                <w:sz w:val="19"/>
              </w:rPr>
              <w:t>Hallucinogen Intoxication</w:t>
            </w:r>
          </w:p>
        </w:tc>
      </w:tr>
      <w:tr w:rsidR="00E675F0" w:rsidTr="00A330E1">
        <w:trPr>
          <w:trHeight w:val="233"/>
        </w:trPr>
        <w:tc>
          <w:tcPr>
            <w:tcW w:w="695" w:type="dxa"/>
          </w:tcPr>
          <w:p w:rsidR="00E675F0" w:rsidRDefault="00E675F0" w:rsidP="00A330E1">
            <w:pPr>
              <w:pStyle w:val="TableParagraph"/>
              <w:rPr>
                <w:sz w:val="16"/>
              </w:rPr>
            </w:pPr>
          </w:p>
        </w:tc>
        <w:tc>
          <w:tcPr>
            <w:tcW w:w="2835" w:type="dxa"/>
          </w:tcPr>
          <w:p w:rsidR="00E675F0" w:rsidRDefault="00E675F0" w:rsidP="00A330E1">
            <w:pPr>
              <w:pStyle w:val="TableParagraph"/>
              <w:spacing w:before="30" w:line="183" w:lineRule="exact"/>
              <w:ind w:left="77"/>
              <w:rPr>
                <w:sz w:val="19"/>
              </w:rPr>
            </w:pPr>
            <w:r>
              <w:rPr>
                <w:w w:val="105"/>
                <w:sz w:val="19"/>
              </w:rPr>
              <w:t>Disorder (310)</w:t>
            </w:r>
          </w:p>
        </w:tc>
        <w:tc>
          <w:tcPr>
            <w:tcW w:w="1084" w:type="dxa"/>
          </w:tcPr>
          <w:p w:rsidR="00E675F0" w:rsidRDefault="00E675F0" w:rsidP="00A330E1">
            <w:pPr>
              <w:pStyle w:val="TableParagraph"/>
              <w:rPr>
                <w:sz w:val="16"/>
              </w:rPr>
            </w:pPr>
          </w:p>
        </w:tc>
        <w:tc>
          <w:tcPr>
            <w:tcW w:w="2896" w:type="dxa"/>
          </w:tcPr>
          <w:p w:rsidR="00E675F0" w:rsidRDefault="00E675F0" w:rsidP="00A330E1">
            <w:pPr>
              <w:pStyle w:val="TableParagraph"/>
              <w:spacing w:before="30" w:line="183" w:lineRule="exact"/>
              <w:ind w:left="70"/>
              <w:rPr>
                <w:sz w:val="19"/>
              </w:rPr>
            </w:pPr>
            <w:r>
              <w:rPr>
                <w:w w:val="110"/>
                <w:sz w:val="19"/>
              </w:rPr>
              <w:t>Delirium (129)</w:t>
            </w:r>
          </w:p>
        </w:tc>
      </w:tr>
      <w:tr w:rsidR="00E675F0" w:rsidTr="00A330E1">
        <w:trPr>
          <w:trHeight w:val="246"/>
        </w:trPr>
        <w:tc>
          <w:tcPr>
            <w:tcW w:w="695" w:type="dxa"/>
          </w:tcPr>
          <w:p w:rsidR="00E675F0" w:rsidRDefault="00E675F0" w:rsidP="00A330E1">
            <w:pPr>
              <w:pStyle w:val="TableParagraph"/>
              <w:spacing w:before="55" w:line="171" w:lineRule="exact"/>
              <w:ind w:right="67"/>
              <w:jc w:val="right"/>
              <w:rPr>
                <w:rFonts w:ascii="Arial"/>
                <w:sz w:val="18"/>
              </w:rPr>
            </w:pPr>
            <w:r>
              <w:rPr>
                <w:rFonts w:ascii="Arial"/>
                <w:w w:val="105"/>
                <w:sz w:val="18"/>
              </w:rPr>
              <w:t>.11</w:t>
            </w:r>
          </w:p>
        </w:tc>
        <w:tc>
          <w:tcPr>
            <w:tcW w:w="2835" w:type="dxa"/>
          </w:tcPr>
          <w:p w:rsidR="00E675F0" w:rsidRDefault="00E675F0" w:rsidP="00A330E1">
            <w:pPr>
              <w:pStyle w:val="TableParagraph"/>
              <w:spacing w:before="42" w:line="184" w:lineRule="exact"/>
              <w:ind w:left="371"/>
              <w:rPr>
                <w:sz w:val="19"/>
              </w:rPr>
            </w:pPr>
            <w:r>
              <w:rPr>
                <w:w w:val="105"/>
                <w:sz w:val="19"/>
              </w:rPr>
              <w:t>With Delusio ns</w:t>
            </w:r>
            <w:r>
              <w:rPr>
                <w:w w:val="105"/>
                <w:sz w:val="19"/>
                <w:vertAlign w:val="superscript"/>
              </w:rPr>
              <w:t>1</w:t>
            </w:r>
          </w:p>
        </w:tc>
        <w:tc>
          <w:tcPr>
            <w:tcW w:w="1084" w:type="dxa"/>
          </w:tcPr>
          <w:p w:rsidR="00E675F0" w:rsidRDefault="00E675F0" w:rsidP="00A330E1">
            <w:pPr>
              <w:pStyle w:val="TableParagraph"/>
              <w:spacing w:before="47" w:line="180" w:lineRule="exact"/>
              <w:ind w:right="94"/>
              <w:jc w:val="right"/>
              <w:rPr>
                <w:sz w:val="19"/>
              </w:rPr>
            </w:pPr>
            <w:r>
              <w:rPr>
                <w:w w:val="105"/>
                <w:sz w:val="19"/>
              </w:rPr>
              <w:t>292.xx</w:t>
            </w:r>
          </w:p>
        </w:tc>
        <w:tc>
          <w:tcPr>
            <w:tcW w:w="2896" w:type="dxa"/>
          </w:tcPr>
          <w:p w:rsidR="00E675F0" w:rsidRDefault="00E675F0" w:rsidP="00A330E1">
            <w:pPr>
              <w:pStyle w:val="TableParagraph"/>
              <w:spacing w:before="47" w:line="180" w:lineRule="exact"/>
              <w:ind w:left="70"/>
              <w:rPr>
                <w:sz w:val="19"/>
              </w:rPr>
            </w:pPr>
            <w:r>
              <w:rPr>
                <w:w w:val="110"/>
                <w:sz w:val="19"/>
              </w:rPr>
              <w:t>Hallucinogen-Induced Psychotic</w:t>
            </w:r>
          </w:p>
        </w:tc>
      </w:tr>
      <w:tr w:rsidR="00E675F0" w:rsidTr="00A330E1">
        <w:trPr>
          <w:trHeight w:val="238"/>
        </w:trPr>
        <w:tc>
          <w:tcPr>
            <w:tcW w:w="695" w:type="dxa"/>
          </w:tcPr>
          <w:p w:rsidR="00E675F0" w:rsidRDefault="00E675F0" w:rsidP="00A330E1">
            <w:pPr>
              <w:pStyle w:val="TableParagraph"/>
              <w:spacing w:before="36" w:line="183" w:lineRule="exact"/>
              <w:ind w:right="84"/>
              <w:jc w:val="right"/>
              <w:rPr>
                <w:sz w:val="19"/>
              </w:rPr>
            </w:pPr>
            <w:r>
              <w:rPr>
                <w:w w:val="105"/>
                <w:sz w:val="19"/>
              </w:rPr>
              <w:t>.12</w:t>
            </w:r>
          </w:p>
        </w:tc>
        <w:tc>
          <w:tcPr>
            <w:tcW w:w="2835" w:type="dxa"/>
          </w:tcPr>
          <w:p w:rsidR="00E675F0" w:rsidRDefault="00E675F0" w:rsidP="00A330E1">
            <w:pPr>
              <w:pStyle w:val="TableParagraph"/>
              <w:spacing w:before="35" w:line="184" w:lineRule="exact"/>
              <w:ind w:left="371"/>
              <w:rPr>
                <w:rFonts w:ascii="Arial"/>
                <w:sz w:val="19"/>
              </w:rPr>
            </w:pPr>
            <w:r>
              <w:rPr>
                <w:w w:val="105"/>
                <w:sz w:val="19"/>
              </w:rPr>
              <w:t>With Hallu cinatio ns</w:t>
            </w:r>
            <w:r>
              <w:rPr>
                <w:rFonts w:ascii="Arial"/>
                <w:w w:val="105"/>
                <w:sz w:val="19"/>
                <w:vertAlign w:val="superscript"/>
              </w:rPr>
              <w:t>1</w:t>
            </w:r>
          </w:p>
        </w:tc>
        <w:tc>
          <w:tcPr>
            <w:tcW w:w="1084" w:type="dxa"/>
          </w:tcPr>
          <w:p w:rsidR="00E675F0" w:rsidRDefault="00E675F0" w:rsidP="00A330E1">
            <w:pPr>
              <w:pStyle w:val="TableParagraph"/>
              <w:rPr>
                <w:sz w:val="16"/>
              </w:rPr>
            </w:pPr>
          </w:p>
        </w:tc>
        <w:tc>
          <w:tcPr>
            <w:tcW w:w="2896" w:type="dxa"/>
          </w:tcPr>
          <w:p w:rsidR="00E675F0" w:rsidRDefault="00E675F0" w:rsidP="00A330E1">
            <w:pPr>
              <w:pStyle w:val="TableParagraph"/>
              <w:spacing w:before="36" w:line="183" w:lineRule="exact"/>
              <w:ind w:left="70"/>
              <w:rPr>
                <w:sz w:val="19"/>
              </w:rPr>
            </w:pPr>
            <w:r>
              <w:rPr>
                <w:w w:val="110"/>
                <w:sz w:val="19"/>
              </w:rPr>
              <w:t>Disorder (310)</w:t>
            </w:r>
          </w:p>
        </w:tc>
      </w:tr>
      <w:tr w:rsidR="00E675F0" w:rsidTr="00A330E1">
        <w:trPr>
          <w:trHeight w:val="243"/>
        </w:trPr>
        <w:tc>
          <w:tcPr>
            <w:tcW w:w="695" w:type="dxa"/>
          </w:tcPr>
          <w:p w:rsidR="00E675F0" w:rsidRDefault="00E675F0" w:rsidP="00A330E1">
            <w:pPr>
              <w:pStyle w:val="TableParagraph"/>
              <w:spacing w:before="47" w:line="176" w:lineRule="exact"/>
              <w:ind w:left="50"/>
              <w:rPr>
                <w:sz w:val="19"/>
              </w:rPr>
            </w:pPr>
            <w:r>
              <w:rPr>
                <w:w w:val="105"/>
                <w:sz w:val="19"/>
              </w:rPr>
              <w:t>292.89</w:t>
            </w:r>
          </w:p>
        </w:tc>
        <w:tc>
          <w:tcPr>
            <w:tcW w:w="2835" w:type="dxa"/>
          </w:tcPr>
          <w:p w:rsidR="00E675F0" w:rsidRDefault="00E675F0" w:rsidP="00A330E1">
            <w:pPr>
              <w:pStyle w:val="TableParagraph"/>
              <w:spacing w:before="42" w:line="181" w:lineRule="exact"/>
              <w:ind w:left="73"/>
              <w:rPr>
                <w:sz w:val="19"/>
              </w:rPr>
            </w:pPr>
            <w:r>
              <w:rPr>
                <w:w w:val="110"/>
                <w:sz w:val="19"/>
              </w:rPr>
              <w:t>Cannabis-Induced Anxiety</w:t>
            </w:r>
          </w:p>
        </w:tc>
        <w:tc>
          <w:tcPr>
            <w:tcW w:w="1084" w:type="dxa"/>
          </w:tcPr>
          <w:p w:rsidR="00E675F0" w:rsidRDefault="00E675F0" w:rsidP="00A330E1">
            <w:pPr>
              <w:pStyle w:val="TableParagraph"/>
              <w:spacing w:before="50" w:line="172" w:lineRule="exact"/>
              <w:ind w:right="69"/>
              <w:jc w:val="right"/>
              <w:rPr>
                <w:rFonts w:ascii="Arial"/>
                <w:sz w:val="18"/>
              </w:rPr>
            </w:pPr>
            <w:r>
              <w:rPr>
                <w:rFonts w:ascii="Arial"/>
                <w:w w:val="105"/>
                <w:sz w:val="18"/>
              </w:rPr>
              <w:t>.11</w:t>
            </w:r>
          </w:p>
        </w:tc>
        <w:tc>
          <w:tcPr>
            <w:tcW w:w="2896" w:type="dxa"/>
          </w:tcPr>
          <w:p w:rsidR="00E675F0" w:rsidRDefault="00E675F0" w:rsidP="00A330E1">
            <w:pPr>
              <w:pStyle w:val="TableParagraph"/>
              <w:spacing w:before="42" w:line="181" w:lineRule="exact"/>
              <w:ind w:left="364"/>
              <w:rPr>
                <w:sz w:val="19"/>
              </w:rPr>
            </w:pPr>
            <w:r>
              <w:rPr>
                <w:w w:val="105"/>
                <w:sz w:val="19"/>
              </w:rPr>
              <w:t>With Delusions</w:t>
            </w:r>
            <w:r>
              <w:rPr>
                <w:w w:val="105"/>
                <w:sz w:val="19"/>
                <w:vertAlign w:val="superscript"/>
              </w:rPr>
              <w:t>1</w:t>
            </w:r>
          </w:p>
        </w:tc>
      </w:tr>
      <w:tr w:rsidR="00E675F0" w:rsidTr="00A330E1">
        <w:trPr>
          <w:trHeight w:val="259"/>
        </w:trPr>
        <w:tc>
          <w:tcPr>
            <w:tcW w:w="695" w:type="dxa"/>
          </w:tcPr>
          <w:p w:rsidR="00E675F0" w:rsidRDefault="00E675F0" w:rsidP="00A330E1">
            <w:pPr>
              <w:pStyle w:val="TableParagraph"/>
              <w:rPr>
                <w:sz w:val="18"/>
              </w:rPr>
            </w:pPr>
          </w:p>
        </w:tc>
        <w:tc>
          <w:tcPr>
            <w:tcW w:w="2835" w:type="dxa"/>
          </w:tcPr>
          <w:p w:rsidR="00E675F0" w:rsidRDefault="00E675F0" w:rsidP="00A330E1">
            <w:pPr>
              <w:pStyle w:val="TableParagraph"/>
              <w:spacing w:before="44" w:line="195" w:lineRule="exact"/>
              <w:ind w:left="72"/>
              <w:rPr>
                <w:sz w:val="19"/>
              </w:rPr>
            </w:pPr>
            <w:r>
              <w:rPr>
                <w:w w:val="105"/>
                <w:sz w:val="19"/>
              </w:rPr>
              <w:t>Disorde r</w:t>
            </w:r>
            <w:r>
              <w:rPr>
                <w:w w:val="105"/>
                <w:sz w:val="19"/>
                <w:vertAlign w:val="superscript"/>
              </w:rPr>
              <w:t>1</w:t>
            </w:r>
            <w:r>
              <w:rPr>
                <w:w w:val="105"/>
                <w:sz w:val="19"/>
              </w:rPr>
              <w:t xml:space="preserve"> </w:t>
            </w:r>
            <w:r>
              <w:rPr>
                <w:w w:val="105"/>
                <w:sz w:val="12"/>
              </w:rPr>
              <w:t xml:space="preserve">( </w:t>
            </w:r>
            <w:r>
              <w:rPr>
                <w:w w:val="105"/>
                <w:sz w:val="19"/>
              </w:rPr>
              <w:t>439)</w:t>
            </w:r>
          </w:p>
        </w:tc>
        <w:tc>
          <w:tcPr>
            <w:tcW w:w="1084" w:type="dxa"/>
          </w:tcPr>
          <w:p w:rsidR="00E675F0" w:rsidRDefault="00E675F0" w:rsidP="00A330E1">
            <w:pPr>
              <w:pStyle w:val="TableParagraph"/>
              <w:spacing w:before="44" w:line="195" w:lineRule="exact"/>
              <w:ind w:right="95"/>
              <w:jc w:val="right"/>
              <w:rPr>
                <w:sz w:val="19"/>
              </w:rPr>
            </w:pPr>
            <w:r>
              <w:rPr>
                <w:sz w:val="19"/>
              </w:rPr>
              <w:t>.12</w:t>
            </w:r>
          </w:p>
        </w:tc>
        <w:tc>
          <w:tcPr>
            <w:tcW w:w="2896" w:type="dxa"/>
          </w:tcPr>
          <w:p w:rsidR="00E675F0" w:rsidRDefault="00E675F0" w:rsidP="00A330E1">
            <w:pPr>
              <w:pStyle w:val="TableParagraph"/>
              <w:spacing w:before="44" w:line="195" w:lineRule="exact"/>
              <w:ind w:left="369"/>
              <w:rPr>
                <w:sz w:val="19"/>
              </w:rPr>
            </w:pPr>
            <w:r>
              <w:rPr>
                <w:w w:val="105"/>
                <w:sz w:val="19"/>
              </w:rPr>
              <w:t>With Hallucinations</w:t>
            </w:r>
            <w:r>
              <w:rPr>
                <w:w w:val="105"/>
                <w:sz w:val="19"/>
                <w:vertAlign w:val="superscript"/>
              </w:rPr>
              <w:t>1</w:t>
            </w:r>
          </w:p>
        </w:tc>
      </w:tr>
      <w:tr w:rsidR="00E675F0" w:rsidTr="00A330E1">
        <w:trPr>
          <w:trHeight w:val="475"/>
        </w:trPr>
        <w:tc>
          <w:tcPr>
            <w:tcW w:w="695" w:type="dxa"/>
          </w:tcPr>
          <w:p w:rsidR="00E675F0" w:rsidRDefault="00E675F0" w:rsidP="00A330E1">
            <w:pPr>
              <w:pStyle w:val="TableParagraph"/>
              <w:spacing w:before="2"/>
              <w:rPr>
                <w:sz w:val="20"/>
              </w:rPr>
            </w:pPr>
          </w:p>
          <w:p w:rsidR="00E675F0" w:rsidRDefault="00E675F0" w:rsidP="00A330E1">
            <w:pPr>
              <w:pStyle w:val="TableParagraph"/>
              <w:ind w:left="50"/>
              <w:rPr>
                <w:sz w:val="19"/>
              </w:rPr>
            </w:pPr>
            <w:r>
              <w:rPr>
                <w:w w:val="105"/>
                <w:sz w:val="19"/>
              </w:rPr>
              <w:t>292.9</w:t>
            </w:r>
          </w:p>
        </w:tc>
        <w:tc>
          <w:tcPr>
            <w:tcW w:w="2835" w:type="dxa"/>
          </w:tcPr>
          <w:p w:rsidR="00E675F0" w:rsidRDefault="00E675F0" w:rsidP="00A330E1">
            <w:pPr>
              <w:pStyle w:val="TableParagraph"/>
              <w:spacing w:before="8"/>
              <w:rPr>
                <w:sz w:val="19"/>
              </w:rPr>
            </w:pPr>
          </w:p>
          <w:p w:rsidR="00E675F0" w:rsidRDefault="00E675F0" w:rsidP="00A330E1">
            <w:pPr>
              <w:pStyle w:val="TableParagraph"/>
              <w:spacing w:before="1"/>
              <w:ind w:left="68"/>
              <w:rPr>
                <w:sz w:val="19"/>
              </w:rPr>
            </w:pPr>
            <w:r>
              <w:rPr>
                <w:w w:val="110"/>
                <w:sz w:val="19"/>
              </w:rPr>
              <w:t>Cannabis-Related Disorder</w:t>
            </w:r>
          </w:p>
        </w:tc>
        <w:tc>
          <w:tcPr>
            <w:tcW w:w="1084" w:type="dxa"/>
          </w:tcPr>
          <w:p w:rsidR="00E675F0" w:rsidRDefault="00E675F0" w:rsidP="00A330E1">
            <w:pPr>
              <w:pStyle w:val="TableParagraph"/>
              <w:spacing w:before="35"/>
              <w:ind w:right="100"/>
              <w:jc w:val="right"/>
              <w:rPr>
                <w:sz w:val="19"/>
              </w:rPr>
            </w:pPr>
            <w:r>
              <w:rPr>
                <w:sz w:val="19"/>
              </w:rPr>
              <w:t>292.84</w:t>
            </w:r>
          </w:p>
        </w:tc>
        <w:tc>
          <w:tcPr>
            <w:tcW w:w="2896" w:type="dxa"/>
          </w:tcPr>
          <w:p w:rsidR="00E675F0" w:rsidRDefault="00E675F0" w:rsidP="00A330E1">
            <w:pPr>
              <w:pStyle w:val="TableParagraph"/>
              <w:spacing w:before="13" w:line="240" w:lineRule="atLeast"/>
              <w:ind w:left="70"/>
              <w:rPr>
                <w:sz w:val="19"/>
              </w:rPr>
            </w:pPr>
            <w:r>
              <w:rPr>
                <w:w w:val="110"/>
                <w:sz w:val="19"/>
              </w:rPr>
              <w:t xml:space="preserve">Hallucinogen-Induced Mood Disorder </w:t>
            </w:r>
            <w:r>
              <w:rPr>
                <w:rFonts w:ascii="Arial"/>
                <w:w w:val="110"/>
                <w:sz w:val="19"/>
                <w:vertAlign w:val="superscript"/>
              </w:rPr>
              <w:t>1</w:t>
            </w:r>
            <w:r>
              <w:rPr>
                <w:rFonts w:ascii="Arial"/>
                <w:w w:val="110"/>
                <w:sz w:val="19"/>
              </w:rPr>
              <w:t xml:space="preserve"> </w:t>
            </w:r>
            <w:r>
              <w:rPr>
                <w:w w:val="110"/>
                <w:sz w:val="19"/>
              </w:rPr>
              <w:t>(370)</w:t>
            </w:r>
          </w:p>
        </w:tc>
      </w:tr>
    </w:tbl>
    <w:p w:rsidR="00E675F0" w:rsidRDefault="00E675F0" w:rsidP="00E675F0">
      <w:pPr>
        <w:spacing w:line="240" w:lineRule="atLeast"/>
        <w:rPr>
          <w:sz w:val="19"/>
        </w:rPr>
        <w:sectPr w:rsidR="00E675F0">
          <w:pgSz w:w="8960" w:h="14260"/>
          <w:pgMar w:top="1400" w:right="660" w:bottom="280" w:left="560" w:header="688" w:footer="0" w:gutter="0"/>
          <w:cols w:space="720"/>
        </w:sectPr>
      </w:pPr>
    </w:p>
    <w:p w:rsidR="00E675F0" w:rsidRDefault="00E675F0" w:rsidP="00E675F0">
      <w:pPr>
        <w:spacing w:line="211" w:lineRule="exact"/>
        <w:ind w:left="897"/>
        <w:rPr>
          <w:sz w:val="19"/>
        </w:rPr>
      </w:pPr>
      <w:r>
        <w:rPr>
          <w:w w:val="105"/>
          <w:sz w:val="19"/>
        </w:rPr>
        <w:t>NOS (221)</w:t>
      </w:r>
    </w:p>
    <w:p w:rsidR="00E675F0" w:rsidRDefault="00E675F0" w:rsidP="00E675F0">
      <w:pPr>
        <w:pStyle w:val="BodyText"/>
        <w:spacing w:before="4"/>
        <w:rPr>
          <w:sz w:val="27"/>
        </w:rPr>
      </w:pPr>
    </w:p>
    <w:p w:rsidR="00E675F0" w:rsidRDefault="00E675F0" w:rsidP="00E675F0">
      <w:pPr>
        <w:ind w:left="156"/>
        <w:rPr>
          <w:sz w:val="19"/>
        </w:rPr>
      </w:pPr>
      <w:r>
        <w:rPr>
          <w:b/>
          <w:w w:val="105"/>
          <w:sz w:val="18"/>
        </w:rPr>
        <w:t xml:space="preserve">COCAINE-REIATED DISORDERS </w:t>
      </w:r>
      <w:r>
        <w:rPr>
          <w:w w:val="105"/>
          <w:sz w:val="19"/>
        </w:rPr>
        <w:t>(221)</w:t>
      </w:r>
    </w:p>
    <w:p w:rsidR="00E675F0" w:rsidRDefault="00E675F0" w:rsidP="00E675F0">
      <w:pPr>
        <w:spacing w:before="109"/>
        <w:ind w:left="160"/>
        <w:rPr>
          <w:b/>
          <w:sz w:val="20"/>
        </w:rPr>
      </w:pPr>
      <w:r>
        <w:rPr>
          <w:b/>
          <w:w w:val="110"/>
          <w:sz w:val="20"/>
        </w:rPr>
        <w:t>Cocaine Use Disorders</w:t>
      </w:r>
    </w:p>
    <w:p w:rsidR="00E675F0" w:rsidRDefault="00E675F0" w:rsidP="00E675F0">
      <w:pPr>
        <w:spacing w:before="20"/>
        <w:ind w:left="160"/>
        <w:rPr>
          <w:sz w:val="19"/>
        </w:rPr>
      </w:pPr>
      <w:r>
        <w:rPr>
          <w:w w:val="110"/>
          <w:sz w:val="19"/>
        </w:rPr>
        <w:t>304.20 Cocaine Dependence" (222)</w:t>
      </w:r>
    </w:p>
    <w:p w:rsidR="00E675F0" w:rsidRDefault="00E675F0" w:rsidP="00E675F0">
      <w:pPr>
        <w:spacing w:before="26"/>
        <w:ind w:left="165"/>
        <w:rPr>
          <w:sz w:val="19"/>
        </w:rPr>
      </w:pPr>
      <w:r>
        <w:rPr>
          <w:w w:val="110"/>
          <w:sz w:val="19"/>
        </w:rPr>
        <w:t>305.60   Cocaine Abuse</w:t>
      </w:r>
      <w:r>
        <w:rPr>
          <w:spacing w:val="-7"/>
          <w:w w:val="110"/>
          <w:sz w:val="19"/>
        </w:rPr>
        <w:t xml:space="preserve"> </w:t>
      </w:r>
      <w:r>
        <w:rPr>
          <w:w w:val="110"/>
          <w:sz w:val="19"/>
        </w:rPr>
        <w:t>(223)</w:t>
      </w:r>
    </w:p>
    <w:p w:rsidR="00E675F0" w:rsidRDefault="00E675F0" w:rsidP="00E675F0">
      <w:pPr>
        <w:pStyle w:val="BodyText"/>
        <w:spacing w:before="9"/>
        <w:rPr>
          <w:sz w:val="25"/>
        </w:rPr>
      </w:pPr>
    </w:p>
    <w:p w:rsidR="00E675F0" w:rsidRDefault="00E675F0" w:rsidP="00E675F0">
      <w:pPr>
        <w:ind w:left="160"/>
        <w:rPr>
          <w:b/>
          <w:sz w:val="20"/>
        </w:rPr>
      </w:pPr>
      <w:r>
        <w:rPr>
          <w:b/>
          <w:w w:val="110"/>
          <w:sz w:val="20"/>
        </w:rPr>
        <w:t>Cocaine-Induced</w:t>
      </w:r>
      <w:r>
        <w:rPr>
          <w:b/>
          <w:spacing w:val="-28"/>
          <w:w w:val="110"/>
          <w:sz w:val="20"/>
        </w:rPr>
        <w:t xml:space="preserve"> </w:t>
      </w:r>
      <w:r>
        <w:rPr>
          <w:b/>
          <w:w w:val="110"/>
          <w:sz w:val="20"/>
        </w:rPr>
        <w:t>Disorders</w:t>
      </w:r>
    </w:p>
    <w:p w:rsidR="00E675F0" w:rsidRDefault="00E675F0" w:rsidP="00E675F0">
      <w:pPr>
        <w:spacing w:before="29" w:line="200" w:lineRule="exact"/>
        <w:ind w:left="173"/>
        <w:rPr>
          <w:sz w:val="19"/>
        </w:rPr>
      </w:pPr>
      <w:r>
        <w:rPr>
          <w:w w:val="110"/>
          <w:sz w:val="19"/>
        </w:rPr>
        <w:t>292.89 Cocaine Intoxication (223)</w:t>
      </w:r>
    </w:p>
    <w:p w:rsidR="00E675F0" w:rsidRDefault="00E675F0" w:rsidP="00E675F0">
      <w:pPr>
        <w:spacing w:line="212" w:lineRule="exact"/>
        <w:ind w:left="898"/>
        <w:rPr>
          <w:sz w:val="16"/>
        </w:rPr>
      </w:pPr>
      <w:r>
        <w:rPr>
          <w:i/>
          <w:sz w:val="16"/>
        </w:rPr>
        <w:t xml:space="preserve">Specify </w:t>
      </w:r>
      <w:r>
        <w:rPr>
          <w:rFonts w:ascii="Arial"/>
          <w:i/>
          <w:sz w:val="20"/>
        </w:rPr>
        <w:t xml:space="preserve">!f </w:t>
      </w:r>
      <w:r>
        <w:rPr>
          <w:sz w:val="16"/>
        </w:rPr>
        <w:t>With Perceptual Disturbances</w:t>
      </w:r>
    </w:p>
    <w:p w:rsidR="00E675F0" w:rsidRDefault="00E675F0" w:rsidP="00E675F0">
      <w:pPr>
        <w:tabs>
          <w:tab w:val="left" w:pos="887"/>
        </w:tabs>
        <w:spacing w:before="21"/>
        <w:ind w:left="168"/>
        <w:rPr>
          <w:sz w:val="19"/>
        </w:rPr>
      </w:pPr>
      <w:r>
        <w:rPr>
          <w:w w:val="110"/>
          <w:sz w:val="19"/>
        </w:rPr>
        <w:t>292.0</w:t>
      </w:r>
      <w:r>
        <w:rPr>
          <w:w w:val="110"/>
          <w:sz w:val="19"/>
        </w:rPr>
        <w:tab/>
        <w:t>Cocaine Withdrawal</w:t>
      </w:r>
      <w:r>
        <w:rPr>
          <w:spacing w:val="26"/>
          <w:w w:val="110"/>
          <w:sz w:val="19"/>
        </w:rPr>
        <w:t xml:space="preserve"> </w:t>
      </w:r>
      <w:r>
        <w:rPr>
          <w:w w:val="110"/>
          <w:sz w:val="19"/>
        </w:rPr>
        <w:t>(225)</w:t>
      </w:r>
    </w:p>
    <w:p w:rsidR="00E675F0" w:rsidRDefault="00E675F0" w:rsidP="00E675F0">
      <w:pPr>
        <w:spacing w:before="31" w:line="268" w:lineRule="auto"/>
        <w:ind w:left="891" w:right="440" w:hanging="718"/>
        <w:rPr>
          <w:sz w:val="19"/>
        </w:rPr>
      </w:pPr>
      <w:r>
        <w:rPr>
          <w:w w:val="110"/>
          <w:sz w:val="19"/>
        </w:rPr>
        <w:t>292.81 Cocaine Intoxication Delirium 029)</w:t>
      </w:r>
    </w:p>
    <w:p w:rsidR="00E675F0" w:rsidRDefault="00E675F0" w:rsidP="00E675F0">
      <w:pPr>
        <w:spacing w:before="50" w:line="268" w:lineRule="auto"/>
        <w:ind w:left="883" w:right="299" w:hanging="718"/>
        <w:rPr>
          <w:sz w:val="19"/>
        </w:rPr>
      </w:pPr>
      <w:r>
        <w:br w:type="column"/>
      </w:r>
      <w:r>
        <w:rPr>
          <w:w w:val="110"/>
          <w:sz w:val="19"/>
        </w:rPr>
        <w:t xml:space="preserve">292.89 Hallucinogen-Induced Anxiety Disorder </w:t>
      </w:r>
      <w:r>
        <w:rPr>
          <w:rFonts w:ascii="Arial"/>
          <w:w w:val="110"/>
          <w:sz w:val="19"/>
          <w:vertAlign w:val="superscript"/>
        </w:rPr>
        <w:t>1</w:t>
      </w:r>
      <w:r>
        <w:rPr>
          <w:rFonts w:ascii="Arial"/>
          <w:w w:val="110"/>
          <w:sz w:val="19"/>
        </w:rPr>
        <w:t xml:space="preserve"> </w:t>
      </w:r>
      <w:r>
        <w:rPr>
          <w:w w:val="110"/>
          <w:sz w:val="19"/>
        </w:rPr>
        <w:t>(439)</w:t>
      </w:r>
    </w:p>
    <w:p w:rsidR="00E675F0" w:rsidRDefault="00E675F0" w:rsidP="00E675F0">
      <w:pPr>
        <w:tabs>
          <w:tab w:val="left" w:pos="883"/>
        </w:tabs>
        <w:spacing w:before="197" w:line="264" w:lineRule="auto"/>
        <w:ind w:left="894" w:right="299" w:hanging="729"/>
        <w:rPr>
          <w:sz w:val="19"/>
        </w:rPr>
      </w:pPr>
      <w:r>
        <w:rPr>
          <w:w w:val="110"/>
          <w:sz w:val="19"/>
        </w:rPr>
        <w:t>292.9</w:t>
      </w:r>
      <w:r>
        <w:rPr>
          <w:w w:val="110"/>
          <w:sz w:val="19"/>
        </w:rPr>
        <w:tab/>
        <w:t>Hallucinogen-Related Disorder NOS</w:t>
      </w:r>
      <w:r>
        <w:rPr>
          <w:spacing w:val="2"/>
          <w:w w:val="110"/>
          <w:sz w:val="19"/>
        </w:rPr>
        <w:t xml:space="preserve"> </w:t>
      </w:r>
      <w:r>
        <w:rPr>
          <w:w w:val="110"/>
          <w:sz w:val="19"/>
        </w:rPr>
        <w:t>(236)</w:t>
      </w:r>
    </w:p>
    <w:p w:rsidR="00E675F0" w:rsidRDefault="00E675F0" w:rsidP="00E675F0">
      <w:pPr>
        <w:spacing w:before="144"/>
        <w:ind w:left="161"/>
        <w:rPr>
          <w:sz w:val="19"/>
        </w:rPr>
      </w:pPr>
      <w:r>
        <w:rPr>
          <w:b/>
          <w:w w:val="105"/>
          <w:sz w:val="18"/>
        </w:rPr>
        <w:t xml:space="preserve">INHALANT-REIATED DISORDERS </w:t>
      </w:r>
      <w:r>
        <w:rPr>
          <w:w w:val="105"/>
          <w:sz w:val="19"/>
        </w:rPr>
        <w:t>(236)</w:t>
      </w:r>
    </w:p>
    <w:p w:rsidR="00E675F0" w:rsidRDefault="00E675F0" w:rsidP="00E675F0">
      <w:pPr>
        <w:spacing w:before="75"/>
        <w:ind w:left="156"/>
        <w:rPr>
          <w:b/>
          <w:sz w:val="20"/>
        </w:rPr>
      </w:pPr>
      <w:r>
        <w:rPr>
          <w:b/>
          <w:w w:val="110"/>
          <w:sz w:val="20"/>
        </w:rPr>
        <w:t>Inhalant Use Disorders</w:t>
      </w:r>
    </w:p>
    <w:p w:rsidR="00E675F0" w:rsidRDefault="00E675F0" w:rsidP="00E675F0">
      <w:pPr>
        <w:spacing w:before="24"/>
        <w:ind w:left="162"/>
        <w:rPr>
          <w:sz w:val="19"/>
        </w:rPr>
      </w:pPr>
      <w:r>
        <w:rPr>
          <w:w w:val="110"/>
          <w:sz w:val="19"/>
        </w:rPr>
        <w:t>304.60 Inhalant Dependencea (238)</w:t>
      </w:r>
    </w:p>
    <w:p w:rsidR="00E675F0" w:rsidRDefault="00E675F0" w:rsidP="00E675F0">
      <w:pPr>
        <w:spacing w:before="27"/>
        <w:ind w:left="162"/>
        <w:rPr>
          <w:sz w:val="19"/>
        </w:rPr>
      </w:pPr>
      <w:r>
        <w:rPr>
          <w:w w:val="110"/>
          <w:sz w:val="19"/>
        </w:rPr>
        <w:t>305.90 Inhalant Abuse (238)</w:t>
      </w:r>
    </w:p>
    <w:p w:rsidR="00E675F0" w:rsidRDefault="00E675F0" w:rsidP="00E675F0">
      <w:pPr>
        <w:spacing w:before="162"/>
        <w:ind w:left="160"/>
        <w:rPr>
          <w:b/>
          <w:sz w:val="20"/>
        </w:rPr>
      </w:pPr>
      <w:r>
        <w:rPr>
          <w:b/>
          <w:w w:val="110"/>
          <w:sz w:val="20"/>
        </w:rPr>
        <w:t>Inhalant-Induced Disorders</w:t>
      </w:r>
    </w:p>
    <w:p w:rsidR="00E675F0" w:rsidRDefault="00E675F0" w:rsidP="00E675F0">
      <w:pPr>
        <w:spacing w:before="24"/>
        <w:ind w:left="165"/>
        <w:rPr>
          <w:sz w:val="19"/>
        </w:rPr>
      </w:pPr>
      <w:r>
        <w:rPr>
          <w:w w:val="110"/>
          <w:sz w:val="19"/>
        </w:rPr>
        <w:t>292.89 Inhalant Intoxication (239)</w:t>
      </w:r>
    </w:p>
    <w:p w:rsidR="00E675F0" w:rsidRDefault="00E675F0" w:rsidP="003048D3">
      <w:pPr>
        <w:pStyle w:val="ListParagraph"/>
        <w:numPr>
          <w:ilvl w:val="1"/>
          <w:numId w:val="127"/>
        </w:numPr>
        <w:tabs>
          <w:tab w:val="left" w:pos="887"/>
        </w:tabs>
        <w:spacing w:before="27"/>
        <w:rPr>
          <w:sz w:val="19"/>
        </w:rPr>
      </w:pPr>
      <w:r>
        <w:rPr>
          <w:w w:val="110"/>
          <w:sz w:val="19"/>
        </w:rPr>
        <w:t>Inhalant</w:t>
      </w:r>
      <w:r>
        <w:rPr>
          <w:spacing w:val="10"/>
          <w:w w:val="110"/>
          <w:sz w:val="19"/>
        </w:rPr>
        <w:t xml:space="preserve"> </w:t>
      </w:r>
      <w:r>
        <w:rPr>
          <w:w w:val="110"/>
          <w:sz w:val="19"/>
        </w:rPr>
        <w:t>Intoxication</w:t>
      </w:r>
    </w:p>
    <w:p w:rsidR="00E675F0" w:rsidRDefault="00E675F0" w:rsidP="00E675F0">
      <w:pPr>
        <w:rPr>
          <w:sz w:val="19"/>
        </w:rPr>
        <w:sectPr w:rsidR="00E675F0">
          <w:type w:val="continuous"/>
          <w:pgSz w:w="8960" w:h="14260"/>
          <w:pgMar w:top="640" w:right="660" w:bottom="0" w:left="560" w:header="720" w:footer="720" w:gutter="0"/>
          <w:cols w:num="2" w:space="720" w:equalWidth="0">
            <w:col w:w="3722" w:space="198"/>
            <w:col w:w="3820"/>
          </w:cols>
        </w:sectPr>
      </w:pPr>
    </w:p>
    <w:p w:rsidR="00E675F0" w:rsidRDefault="00E675F0" w:rsidP="00E675F0">
      <w:pPr>
        <w:spacing w:before="6"/>
        <w:ind w:left="173"/>
        <w:rPr>
          <w:sz w:val="19"/>
        </w:rPr>
      </w:pPr>
      <w:r>
        <w:rPr>
          <w:w w:val="105"/>
          <w:sz w:val="19"/>
        </w:rPr>
        <w:t>292.xx</w:t>
      </w:r>
    </w:p>
    <w:p w:rsidR="00E675F0" w:rsidRDefault="00E675F0" w:rsidP="00E675F0">
      <w:pPr>
        <w:pStyle w:val="BodyText"/>
        <w:spacing w:before="2"/>
        <w:rPr>
          <w:sz w:val="23"/>
        </w:rPr>
      </w:pPr>
    </w:p>
    <w:p w:rsidR="00E675F0" w:rsidRDefault="00E675F0" w:rsidP="00E675F0">
      <w:pPr>
        <w:spacing w:before="1"/>
        <w:ind w:left="481"/>
        <w:rPr>
          <w:sz w:val="19"/>
        </w:rPr>
      </w:pPr>
      <w:r>
        <w:rPr>
          <w:w w:val="105"/>
          <w:sz w:val="19"/>
        </w:rPr>
        <w:t>.11</w:t>
      </w:r>
    </w:p>
    <w:p w:rsidR="00E675F0" w:rsidRDefault="00E675F0" w:rsidP="00E675F0">
      <w:pPr>
        <w:spacing w:before="26"/>
        <w:ind w:left="481"/>
        <w:rPr>
          <w:sz w:val="19"/>
        </w:rPr>
      </w:pPr>
      <w:r>
        <w:rPr>
          <w:w w:val="105"/>
          <w:sz w:val="19"/>
        </w:rPr>
        <w:t>.12</w:t>
      </w:r>
    </w:p>
    <w:p w:rsidR="00E675F0" w:rsidRDefault="00E675F0" w:rsidP="00E675F0">
      <w:pPr>
        <w:spacing w:before="1" w:line="268" w:lineRule="auto"/>
        <w:ind w:left="117" w:firstLine="1"/>
        <w:rPr>
          <w:sz w:val="19"/>
        </w:rPr>
      </w:pPr>
      <w:r>
        <w:br w:type="column"/>
      </w:r>
      <w:r>
        <w:rPr>
          <w:w w:val="110"/>
          <w:sz w:val="19"/>
        </w:rPr>
        <w:t>Cocaine-Induced Psychotic Disorder (310)</w:t>
      </w:r>
    </w:p>
    <w:p w:rsidR="00E675F0" w:rsidRDefault="00E675F0" w:rsidP="00E675F0">
      <w:pPr>
        <w:spacing w:before="1"/>
        <w:ind w:left="411"/>
        <w:rPr>
          <w:sz w:val="19"/>
        </w:rPr>
      </w:pPr>
      <w:r>
        <w:rPr>
          <w:w w:val="105"/>
          <w:sz w:val="19"/>
        </w:rPr>
        <w:t>With Delusions</w:t>
      </w:r>
      <w:r>
        <w:rPr>
          <w:w w:val="105"/>
          <w:sz w:val="19"/>
          <w:vertAlign w:val="superscript"/>
        </w:rPr>
        <w:t>1</w:t>
      </w:r>
    </w:p>
    <w:p w:rsidR="00E675F0" w:rsidRDefault="00E675F0" w:rsidP="00E675F0">
      <w:pPr>
        <w:spacing w:before="27"/>
        <w:ind w:left="411"/>
        <w:rPr>
          <w:sz w:val="19"/>
        </w:rPr>
      </w:pPr>
      <w:r>
        <w:rPr>
          <w:sz w:val="19"/>
        </w:rPr>
        <w:t xml:space="preserve">With Hallucinations </w:t>
      </w:r>
      <w:r>
        <w:rPr>
          <w:sz w:val="19"/>
          <w:vertAlign w:val="superscript"/>
        </w:rPr>
        <w:t>1</w:t>
      </w:r>
    </w:p>
    <w:p w:rsidR="00E675F0" w:rsidRDefault="00E675F0" w:rsidP="00E675F0">
      <w:pPr>
        <w:spacing w:line="206" w:lineRule="exact"/>
        <w:ind w:left="896"/>
        <w:rPr>
          <w:sz w:val="19"/>
        </w:rPr>
      </w:pPr>
      <w:r>
        <w:br w:type="column"/>
      </w:r>
      <w:r>
        <w:rPr>
          <w:w w:val="105"/>
          <w:sz w:val="19"/>
        </w:rPr>
        <w:t>Delirium (129)</w:t>
      </w:r>
    </w:p>
    <w:p w:rsidR="00E675F0" w:rsidRDefault="00E675F0" w:rsidP="003048D3">
      <w:pPr>
        <w:pStyle w:val="ListParagraph"/>
        <w:numPr>
          <w:ilvl w:val="1"/>
          <w:numId w:val="127"/>
        </w:numPr>
        <w:tabs>
          <w:tab w:val="left" w:pos="895"/>
        </w:tabs>
        <w:spacing w:before="31" w:line="264" w:lineRule="auto"/>
        <w:ind w:left="896" w:right="596" w:hanging="718"/>
        <w:rPr>
          <w:sz w:val="19"/>
        </w:rPr>
      </w:pPr>
      <w:r>
        <w:rPr>
          <w:w w:val="110"/>
          <w:sz w:val="19"/>
        </w:rPr>
        <w:t>Inhalant-Induced Persisting Dementia</w:t>
      </w:r>
      <w:r>
        <w:rPr>
          <w:spacing w:val="20"/>
          <w:w w:val="110"/>
          <w:sz w:val="19"/>
        </w:rPr>
        <w:t xml:space="preserve"> </w:t>
      </w:r>
      <w:r>
        <w:rPr>
          <w:w w:val="110"/>
          <w:sz w:val="19"/>
        </w:rPr>
        <w:t>(152)</w:t>
      </w:r>
    </w:p>
    <w:p w:rsidR="00E675F0" w:rsidRDefault="00E675F0" w:rsidP="00E675F0">
      <w:pPr>
        <w:spacing w:before="10"/>
        <w:ind w:left="173"/>
        <w:rPr>
          <w:sz w:val="19"/>
        </w:rPr>
      </w:pPr>
      <w:r>
        <w:rPr>
          <w:w w:val="110"/>
          <w:sz w:val="19"/>
        </w:rPr>
        <w:t>292.xx Inhalant-Induced Psychotic</w:t>
      </w:r>
    </w:p>
    <w:p w:rsidR="00E675F0" w:rsidRDefault="00E675F0" w:rsidP="00E675F0">
      <w:pPr>
        <w:rPr>
          <w:sz w:val="19"/>
        </w:rPr>
        <w:sectPr w:rsidR="00E675F0">
          <w:type w:val="continuous"/>
          <w:pgSz w:w="8960" w:h="14260"/>
          <w:pgMar w:top="640" w:right="660" w:bottom="0" w:left="560" w:header="720" w:footer="720" w:gutter="0"/>
          <w:cols w:num="3" w:space="720" w:equalWidth="0">
            <w:col w:w="735" w:space="40"/>
            <w:col w:w="2478" w:space="659"/>
            <w:col w:w="3828"/>
          </w:cols>
        </w:sectPr>
      </w:pPr>
    </w:p>
    <w:p w:rsidR="00E675F0" w:rsidRDefault="00E675F0" w:rsidP="00E675F0">
      <w:pPr>
        <w:pStyle w:val="BodyText"/>
      </w:pPr>
    </w:p>
    <w:p w:rsidR="00E675F0" w:rsidRDefault="00E675F0" w:rsidP="00E675F0">
      <w:pPr>
        <w:pStyle w:val="BodyText"/>
        <w:rPr>
          <w:sz w:val="12"/>
        </w:rPr>
      </w:pPr>
    </w:p>
    <w:p w:rsidR="00E675F0" w:rsidRDefault="00E675F0" w:rsidP="00E675F0">
      <w:pPr>
        <w:pStyle w:val="BodyText"/>
        <w:spacing w:before="9"/>
        <w:rPr>
          <w:sz w:val="9"/>
        </w:rPr>
      </w:pPr>
    </w:p>
    <w:p w:rsidR="00E675F0" w:rsidRDefault="00E675F0" w:rsidP="00E675F0">
      <w:pPr>
        <w:spacing w:before="1"/>
        <w:ind w:right="886"/>
        <w:jc w:val="right"/>
        <w:rPr>
          <w:sz w:val="12"/>
        </w:rPr>
      </w:pPr>
      <w:r>
        <w:rPr>
          <w:noProof/>
        </w:rPr>
        <mc:AlternateContent>
          <mc:Choice Requires="wps">
            <w:drawing>
              <wp:anchor distT="0" distB="0" distL="114300" distR="114300" simplePos="0" relativeHeight="251667456" behindDoc="0" locked="0" layoutInCell="1" allowOverlap="1" wp14:anchorId="191CEC71" wp14:editId="05A76AF8">
                <wp:simplePos x="0" y="0"/>
                <wp:positionH relativeFrom="page">
                  <wp:posOffset>434340</wp:posOffset>
                </wp:positionH>
                <wp:positionV relativeFrom="paragraph">
                  <wp:posOffset>-292100</wp:posOffset>
                </wp:positionV>
                <wp:extent cx="4198620" cy="451485"/>
                <wp:effectExtent l="0" t="0" r="0" b="0"/>
                <wp:wrapNone/>
                <wp:docPr id="1703" name="Text Box 1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98620"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677"/>
                              <w:gridCol w:w="2922"/>
                              <w:gridCol w:w="1011"/>
                              <w:gridCol w:w="2004"/>
                            </w:tblGrid>
                            <w:tr w:rsidR="00E675F0">
                              <w:trPr>
                                <w:trHeight w:val="224"/>
                              </w:trPr>
                              <w:tc>
                                <w:tcPr>
                                  <w:tcW w:w="677" w:type="dxa"/>
                                </w:tcPr>
                                <w:p w:rsidR="00E675F0" w:rsidRDefault="00E675F0">
                                  <w:pPr>
                                    <w:pStyle w:val="TableParagraph"/>
                                    <w:spacing w:before="6" w:line="198" w:lineRule="exact"/>
                                    <w:ind w:left="50"/>
                                    <w:rPr>
                                      <w:sz w:val="19"/>
                                    </w:rPr>
                                  </w:pPr>
                                  <w:r>
                                    <w:rPr>
                                      <w:w w:val="105"/>
                                      <w:sz w:val="19"/>
                                    </w:rPr>
                                    <w:t>292.84</w:t>
                                  </w:r>
                                </w:p>
                              </w:tc>
                              <w:tc>
                                <w:tcPr>
                                  <w:tcW w:w="2922" w:type="dxa"/>
                                </w:tcPr>
                                <w:p w:rsidR="00E675F0" w:rsidRDefault="00E675F0">
                                  <w:pPr>
                                    <w:pStyle w:val="TableParagraph"/>
                                    <w:spacing w:before="6" w:line="198" w:lineRule="exact"/>
                                    <w:ind w:left="86"/>
                                    <w:rPr>
                                      <w:sz w:val="19"/>
                                    </w:rPr>
                                  </w:pPr>
                                  <w:r>
                                    <w:rPr>
                                      <w:w w:val="110"/>
                                      <w:sz w:val="19"/>
                                    </w:rPr>
                                    <w:t>Cocaine-Induced Mood</w:t>
                                  </w:r>
                                </w:p>
                              </w:tc>
                              <w:tc>
                                <w:tcPr>
                                  <w:tcW w:w="1011" w:type="dxa"/>
                                </w:tcPr>
                                <w:p w:rsidR="00E675F0" w:rsidRDefault="00E675F0">
                                  <w:pPr>
                                    <w:pStyle w:val="TableParagraph"/>
                                    <w:rPr>
                                      <w:sz w:val="16"/>
                                    </w:rPr>
                                  </w:pPr>
                                </w:p>
                              </w:tc>
                              <w:tc>
                                <w:tcPr>
                                  <w:tcW w:w="2004" w:type="dxa"/>
                                </w:tcPr>
                                <w:p w:rsidR="00E675F0" w:rsidRDefault="00E675F0">
                                  <w:pPr>
                                    <w:pStyle w:val="TableParagraph"/>
                                    <w:spacing w:line="205" w:lineRule="exact"/>
                                    <w:ind w:left="74"/>
                                    <w:rPr>
                                      <w:sz w:val="19"/>
                                    </w:rPr>
                                  </w:pPr>
                                  <w:r>
                                    <w:rPr>
                                      <w:w w:val="110"/>
                                      <w:sz w:val="19"/>
                                    </w:rPr>
                                    <w:t>Disorder (310)</w:t>
                                  </w:r>
                                </w:p>
                              </w:tc>
                            </w:tr>
                            <w:tr w:rsidR="00E675F0">
                              <w:trPr>
                                <w:trHeight w:val="246"/>
                              </w:trPr>
                              <w:tc>
                                <w:tcPr>
                                  <w:tcW w:w="677" w:type="dxa"/>
                                </w:tcPr>
                                <w:p w:rsidR="00E675F0" w:rsidRDefault="00E675F0">
                                  <w:pPr>
                                    <w:pStyle w:val="TableParagraph"/>
                                    <w:rPr>
                                      <w:sz w:val="16"/>
                                    </w:rPr>
                                  </w:pPr>
                                </w:p>
                              </w:tc>
                              <w:tc>
                                <w:tcPr>
                                  <w:tcW w:w="2922" w:type="dxa"/>
                                </w:tcPr>
                                <w:p w:rsidR="00E675F0" w:rsidRDefault="00E675F0">
                                  <w:pPr>
                                    <w:pStyle w:val="TableParagraph"/>
                                    <w:spacing w:before="12" w:line="213" w:lineRule="exact"/>
                                    <w:ind w:left="90"/>
                                    <w:rPr>
                                      <w:sz w:val="19"/>
                                    </w:rPr>
                                  </w:pPr>
                                  <w:r>
                                    <w:rPr>
                                      <w:w w:val="105"/>
                                      <w:sz w:val="19"/>
                                    </w:rPr>
                                    <w:t xml:space="preserve">Disorder </w:t>
                                  </w:r>
                                  <w:r>
                                    <w:rPr>
                                      <w:w w:val="105"/>
                                      <w:sz w:val="19"/>
                                      <w:vertAlign w:val="superscript"/>
                                    </w:rPr>
                                    <w:t>1</w:t>
                                  </w:r>
                                  <w:r>
                                    <w:rPr>
                                      <w:w w:val="105"/>
                                      <w:sz w:val="19"/>
                                    </w:rPr>
                                    <w:t>·w (370)</w:t>
                                  </w:r>
                                </w:p>
                              </w:tc>
                              <w:tc>
                                <w:tcPr>
                                  <w:tcW w:w="1011" w:type="dxa"/>
                                </w:tcPr>
                                <w:p w:rsidR="00E675F0" w:rsidRDefault="00E675F0">
                                  <w:pPr>
                                    <w:pStyle w:val="TableParagraph"/>
                                    <w:spacing w:before="8" w:line="218" w:lineRule="exact"/>
                                    <w:ind w:right="75"/>
                                    <w:jc w:val="right"/>
                                    <w:rPr>
                                      <w:sz w:val="19"/>
                                    </w:rPr>
                                  </w:pPr>
                                  <w:r>
                                    <w:rPr>
                                      <w:w w:val="105"/>
                                      <w:sz w:val="19"/>
                                    </w:rPr>
                                    <w:t>.11</w:t>
                                  </w:r>
                                </w:p>
                              </w:tc>
                              <w:tc>
                                <w:tcPr>
                                  <w:tcW w:w="2004" w:type="dxa"/>
                                </w:tcPr>
                                <w:p w:rsidR="00E675F0" w:rsidRDefault="00E675F0">
                                  <w:pPr>
                                    <w:pStyle w:val="TableParagraph"/>
                                    <w:spacing w:before="7" w:line="219" w:lineRule="exact"/>
                                    <w:ind w:left="368"/>
                                    <w:rPr>
                                      <w:rFonts w:ascii="Arial"/>
                                      <w:sz w:val="19"/>
                                    </w:rPr>
                                  </w:pPr>
                                  <w:r>
                                    <w:rPr>
                                      <w:w w:val="105"/>
                                      <w:sz w:val="19"/>
                                    </w:rPr>
                                    <w:t>With Delusions</w:t>
                                  </w:r>
                                  <w:r>
                                    <w:rPr>
                                      <w:rFonts w:ascii="Arial"/>
                                      <w:w w:val="105"/>
                                      <w:sz w:val="19"/>
                                      <w:vertAlign w:val="superscript"/>
                                    </w:rPr>
                                    <w:t>1</w:t>
                                  </w:r>
                                </w:p>
                              </w:tc>
                            </w:tr>
                            <w:tr w:rsidR="00E675F0">
                              <w:trPr>
                                <w:trHeight w:val="239"/>
                              </w:trPr>
                              <w:tc>
                                <w:tcPr>
                                  <w:tcW w:w="677" w:type="dxa"/>
                                </w:tcPr>
                                <w:p w:rsidR="00E675F0" w:rsidRDefault="00E675F0">
                                  <w:pPr>
                                    <w:pStyle w:val="TableParagraph"/>
                                    <w:spacing w:before="21" w:line="199" w:lineRule="exact"/>
                                    <w:ind w:left="50"/>
                                    <w:rPr>
                                      <w:sz w:val="19"/>
                                    </w:rPr>
                                  </w:pPr>
                                  <w:r>
                                    <w:rPr>
                                      <w:w w:val="105"/>
                                      <w:sz w:val="19"/>
                                    </w:rPr>
                                    <w:t>292.89</w:t>
                                  </w:r>
                                </w:p>
                              </w:tc>
                              <w:tc>
                                <w:tcPr>
                                  <w:tcW w:w="2922" w:type="dxa"/>
                                </w:tcPr>
                                <w:p w:rsidR="00E675F0" w:rsidRDefault="00E675F0">
                                  <w:pPr>
                                    <w:pStyle w:val="TableParagraph"/>
                                    <w:spacing w:before="21" w:line="199" w:lineRule="exact"/>
                                    <w:ind w:left="86"/>
                                    <w:rPr>
                                      <w:sz w:val="19"/>
                                    </w:rPr>
                                  </w:pPr>
                                  <w:r>
                                    <w:rPr>
                                      <w:w w:val="110"/>
                                      <w:sz w:val="19"/>
                                    </w:rPr>
                                    <w:t>Cocaine-Induced Anxiety</w:t>
                                  </w:r>
                                </w:p>
                              </w:tc>
                              <w:tc>
                                <w:tcPr>
                                  <w:tcW w:w="1011" w:type="dxa"/>
                                </w:tcPr>
                                <w:p w:rsidR="00E675F0" w:rsidRDefault="00E675F0">
                                  <w:pPr>
                                    <w:pStyle w:val="TableParagraph"/>
                                    <w:spacing w:before="7" w:line="213" w:lineRule="exact"/>
                                    <w:ind w:right="87"/>
                                    <w:jc w:val="right"/>
                                    <w:rPr>
                                      <w:sz w:val="19"/>
                                    </w:rPr>
                                  </w:pPr>
                                  <w:r>
                                    <w:rPr>
                                      <w:w w:val="105"/>
                                      <w:sz w:val="19"/>
                                    </w:rPr>
                                    <w:t>.12</w:t>
                                  </w:r>
                                </w:p>
                              </w:tc>
                              <w:tc>
                                <w:tcPr>
                                  <w:tcW w:w="2004" w:type="dxa"/>
                                </w:tcPr>
                                <w:p w:rsidR="00E675F0" w:rsidRDefault="00E675F0">
                                  <w:pPr>
                                    <w:pStyle w:val="TableParagraph"/>
                                    <w:spacing w:before="7" w:line="213" w:lineRule="exact"/>
                                    <w:ind w:left="368"/>
                                    <w:rPr>
                                      <w:sz w:val="19"/>
                                    </w:rPr>
                                  </w:pPr>
                                  <w:r>
                                    <w:rPr>
                                      <w:sz w:val="19"/>
                                    </w:rPr>
                                    <w:t>With Hallucinations</w:t>
                                  </w:r>
                                </w:p>
                              </w:tc>
                            </w:tr>
                          </w:tbl>
                          <w:p w:rsidR="00E675F0" w:rsidRDefault="00E675F0" w:rsidP="00E675F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CEC71" id="Text Box 1659" o:spid="_x0000_s1045" type="#_x0000_t202" style="position:absolute;left:0;text-align:left;margin-left:34.2pt;margin-top:-23pt;width:330.6pt;height:35.5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" filled="f" stroked="f">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677"/>
                        <w:gridCol w:w="2922"/>
                        <w:gridCol w:w="1011"/>
                        <w:gridCol w:w="2004"/>
                      </w:tblGrid>
                      <w:tr w:rsidR="00E675F0">
                        <w:trPr>
                          <w:trHeight w:val="224"/>
                        </w:trPr>
                        <w:tc>
                          <w:tcPr>
                            <w:tcW w:w="677" w:type="dxa"/>
                          </w:tcPr>
                          <w:p w:rsidR="00E675F0" w:rsidRDefault="00E675F0">
                            <w:pPr>
                              <w:pStyle w:val="TableParagraph"/>
                              <w:spacing w:before="6" w:line="198" w:lineRule="exact"/>
                              <w:ind w:left="50"/>
                              <w:rPr>
                                <w:sz w:val="19"/>
                              </w:rPr>
                            </w:pPr>
                            <w:r>
                              <w:rPr>
                                <w:w w:val="105"/>
                                <w:sz w:val="19"/>
                              </w:rPr>
                              <w:t>292.84</w:t>
                            </w:r>
                          </w:p>
                        </w:tc>
                        <w:tc>
                          <w:tcPr>
                            <w:tcW w:w="2922" w:type="dxa"/>
                          </w:tcPr>
                          <w:p w:rsidR="00E675F0" w:rsidRDefault="00E675F0">
                            <w:pPr>
                              <w:pStyle w:val="TableParagraph"/>
                              <w:spacing w:before="6" w:line="198" w:lineRule="exact"/>
                              <w:ind w:left="86"/>
                              <w:rPr>
                                <w:sz w:val="19"/>
                              </w:rPr>
                            </w:pPr>
                            <w:r>
                              <w:rPr>
                                <w:w w:val="110"/>
                                <w:sz w:val="19"/>
                              </w:rPr>
                              <w:t>Cocaine-Induced Mood</w:t>
                            </w:r>
                          </w:p>
                        </w:tc>
                        <w:tc>
                          <w:tcPr>
                            <w:tcW w:w="1011" w:type="dxa"/>
                          </w:tcPr>
                          <w:p w:rsidR="00E675F0" w:rsidRDefault="00E675F0">
                            <w:pPr>
                              <w:pStyle w:val="TableParagraph"/>
                              <w:rPr>
                                <w:sz w:val="16"/>
                              </w:rPr>
                            </w:pPr>
                          </w:p>
                        </w:tc>
                        <w:tc>
                          <w:tcPr>
                            <w:tcW w:w="2004" w:type="dxa"/>
                          </w:tcPr>
                          <w:p w:rsidR="00E675F0" w:rsidRDefault="00E675F0">
                            <w:pPr>
                              <w:pStyle w:val="TableParagraph"/>
                              <w:spacing w:line="205" w:lineRule="exact"/>
                              <w:ind w:left="74"/>
                              <w:rPr>
                                <w:sz w:val="19"/>
                              </w:rPr>
                            </w:pPr>
                            <w:r>
                              <w:rPr>
                                <w:w w:val="110"/>
                                <w:sz w:val="19"/>
                              </w:rPr>
                              <w:t>Disorder (310)</w:t>
                            </w:r>
                          </w:p>
                        </w:tc>
                      </w:tr>
                      <w:tr w:rsidR="00E675F0">
                        <w:trPr>
                          <w:trHeight w:val="246"/>
                        </w:trPr>
                        <w:tc>
                          <w:tcPr>
                            <w:tcW w:w="677" w:type="dxa"/>
                          </w:tcPr>
                          <w:p w:rsidR="00E675F0" w:rsidRDefault="00E675F0">
                            <w:pPr>
                              <w:pStyle w:val="TableParagraph"/>
                              <w:rPr>
                                <w:sz w:val="16"/>
                              </w:rPr>
                            </w:pPr>
                          </w:p>
                        </w:tc>
                        <w:tc>
                          <w:tcPr>
                            <w:tcW w:w="2922" w:type="dxa"/>
                          </w:tcPr>
                          <w:p w:rsidR="00E675F0" w:rsidRDefault="00E675F0">
                            <w:pPr>
                              <w:pStyle w:val="TableParagraph"/>
                              <w:spacing w:before="12" w:line="213" w:lineRule="exact"/>
                              <w:ind w:left="90"/>
                              <w:rPr>
                                <w:sz w:val="19"/>
                              </w:rPr>
                            </w:pPr>
                            <w:r>
                              <w:rPr>
                                <w:w w:val="105"/>
                                <w:sz w:val="19"/>
                              </w:rPr>
                              <w:t xml:space="preserve">Disorder </w:t>
                            </w:r>
                            <w:r>
                              <w:rPr>
                                <w:w w:val="105"/>
                                <w:sz w:val="19"/>
                                <w:vertAlign w:val="superscript"/>
                              </w:rPr>
                              <w:t>1</w:t>
                            </w:r>
                            <w:r>
                              <w:rPr>
                                <w:w w:val="105"/>
                                <w:sz w:val="19"/>
                              </w:rPr>
                              <w:t>·w (370)</w:t>
                            </w:r>
                          </w:p>
                        </w:tc>
                        <w:tc>
                          <w:tcPr>
                            <w:tcW w:w="1011" w:type="dxa"/>
                          </w:tcPr>
                          <w:p w:rsidR="00E675F0" w:rsidRDefault="00E675F0">
                            <w:pPr>
                              <w:pStyle w:val="TableParagraph"/>
                              <w:spacing w:before="8" w:line="218" w:lineRule="exact"/>
                              <w:ind w:right="75"/>
                              <w:jc w:val="right"/>
                              <w:rPr>
                                <w:sz w:val="19"/>
                              </w:rPr>
                            </w:pPr>
                            <w:r>
                              <w:rPr>
                                <w:w w:val="105"/>
                                <w:sz w:val="19"/>
                              </w:rPr>
                              <w:t>.11</w:t>
                            </w:r>
                          </w:p>
                        </w:tc>
                        <w:tc>
                          <w:tcPr>
                            <w:tcW w:w="2004" w:type="dxa"/>
                          </w:tcPr>
                          <w:p w:rsidR="00E675F0" w:rsidRDefault="00E675F0">
                            <w:pPr>
                              <w:pStyle w:val="TableParagraph"/>
                              <w:spacing w:before="7" w:line="219" w:lineRule="exact"/>
                              <w:ind w:left="368"/>
                              <w:rPr>
                                <w:rFonts w:ascii="Arial"/>
                                <w:sz w:val="19"/>
                              </w:rPr>
                            </w:pPr>
                            <w:r>
                              <w:rPr>
                                <w:w w:val="105"/>
                                <w:sz w:val="19"/>
                              </w:rPr>
                              <w:t>With Delusions</w:t>
                            </w:r>
                            <w:r>
                              <w:rPr>
                                <w:rFonts w:ascii="Arial"/>
                                <w:w w:val="105"/>
                                <w:sz w:val="19"/>
                                <w:vertAlign w:val="superscript"/>
                              </w:rPr>
                              <w:t>1</w:t>
                            </w:r>
                          </w:p>
                        </w:tc>
                      </w:tr>
                      <w:tr w:rsidR="00E675F0">
                        <w:trPr>
                          <w:trHeight w:val="239"/>
                        </w:trPr>
                        <w:tc>
                          <w:tcPr>
                            <w:tcW w:w="677" w:type="dxa"/>
                          </w:tcPr>
                          <w:p w:rsidR="00E675F0" w:rsidRDefault="00E675F0">
                            <w:pPr>
                              <w:pStyle w:val="TableParagraph"/>
                              <w:spacing w:before="21" w:line="199" w:lineRule="exact"/>
                              <w:ind w:left="50"/>
                              <w:rPr>
                                <w:sz w:val="19"/>
                              </w:rPr>
                            </w:pPr>
                            <w:r>
                              <w:rPr>
                                <w:w w:val="105"/>
                                <w:sz w:val="19"/>
                              </w:rPr>
                              <w:t>292.89</w:t>
                            </w:r>
                          </w:p>
                        </w:tc>
                        <w:tc>
                          <w:tcPr>
                            <w:tcW w:w="2922" w:type="dxa"/>
                          </w:tcPr>
                          <w:p w:rsidR="00E675F0" w:rsidRDefault="00E675F0">
                            <w:pPr>
                              <w:pStyle w:val="TableParagraph"/>
                              <w:spacing w:before="21" w:line="199" w:lineRule="exact"/>
                              <w:ind w:left="86"/>
                              <w:rPr>
                                <w:sz w:val="19"/>
                              </w:rPr>
                            </w:pPr>
                            <w:r>
                              <w:rPr>
                                <w:w w:val="110"/>
                                <w:sz w:val="19"/>
                              </w:rPr>
                              <w:t>Cocaine-Induced Anxiety</w:t>
                            </w:r>
                          </w:p>
                        </w:tc>
                        <w:tc>
                          <w:tcPr>
                            <w:tcW w:w="1011" w:type="dxa"/>
                          </w:tcPr>
                          <w:p w:rsidR="00E675F0" w:rsidRDefault="00E675F0">
                            <w:pPr>
                              <w:pStyle w:val="TableParagraph"/>
                              <w:spacing w:before="7" w:line="213" w:lineRule="exact"/>
                              <w:ind w:right="87"/>
                              <w:jc w:val="right"/>
                              <w:rPr>
                                <w:sz w:val="19"/>
                              </w:rPr>
                            </w:pPr>
                            <w:r>
                              <w:rPr>
                                <w:w w:val="105"/>
                                <w:sz w:val="19"/>
                              </w:rPr>
                              <w:t>.12</w:t>
                            </w:r>
                          </w:p>
                        </w:tc>
                        <w:tc>
                          <w:tcPr>
                            <w:tcW w:w="2004" w:type="dxa"/>
                          </w:tcPr>
                          <w:p w:rsidR="00E675F0" w:rsidRDefault="00E675F0">
                            <w:pPr>
                              <w:pStyle w:val="TableParagraph"/>
                              <w:spacing w:before="7" w:line="213" w:lineRule="exact"/>
                              <w:ind w:left="368"/>
                              <w:rPr>
                                <w:sz w:val="19"/>
                              </w:rPr>
                            </w:pPr>
                            <w:r>
                              <w:rPr>
                                <w:sz w:val="19"/>
                              </w:rPr>
                              <w:t>With Hallucinations</w:t>
                            </w:r>
                          </w:p>
                        </w:tc>
                      </w:tr>
                    </w:tbl>
                    <w:p w:rsidR="00E675F0" w:rsidRDefault="00E675F0" w:rsidP="00E675F0">
                      <w:pPr>
                        <w:pStyle w:val="BodyText"/>
                      </w:pPr>
                    </w:p>
                  </w:txbxContent>
                </v:textbox>
                <w10:wrap anchorx="page"/>
              </v:shape>
            </w:pict>
          </mc:Fallback>
        </mc:AlternateContent>
      </w:r>
      <w:r>
        <w:rPr>
          <w:w w:val="105"/>
          <w:sz w:val="12"/>
        </w:rPr>
        <w:t>1</w:t>
      </w:r>
    </w:p>
    <w:p w:rsidR="00E675F0" w:rsidRDefault="00E675F0" w:rsidP="00E675F0">
      <w:pPr>
        <w:pStyle w:val="BodyText"/>
        <w:spacing w:before="6"/>
        <w:rPr>
          <w:sz w:val="10"/>
        </w:rPr>
      </w:pPr>
    </w:p>
    <w:tbl>
      <w:tblPr>
        <w:tblW w:w="0" w:type="auto"/>
        <w:tblInd w:w="126" w:type="dxa"/>
        <w:tblLayout w:type="fixed"/>
        <w:tblCellMar>
          <w:left w:w="0" w:type="dxa"/>
          <w:right w:w="0" w:type="dxa"/>
        </w:tblCellMar>
        <w:tblLook w:val="01E0" w:firstRow="1" w:lastRow="1" w:firstColumn="1" w:lastColumn="1" w:noHBand="0" w:noVBand="0"/>
      </w:tblPr>
      <w:tblGrid>
        <w:gridCol w:w="682"/>
        <w:gridCol w:w="2779"/>
        <w:gridCol w:w="1140"/>
        <w:gridCol w:w="2325"/>
      </w:tblGrid>
      <w:tr w:rsidR="00E675F0" w:rsidTr="00A330E1">
        <w:trPr>
          <w:trHeight w:val="713"/>
        </w:trPr>
        <w:tc>
          <w:tcPr>
            <w:tcW w:w="682" w:type="dxa"/>
          </w:tcPr>
          <w:p w:rsidR="00E675F0" w:rsidRDefault="00E675F0" w:rsidP="00A330E1">
            <w:pPr>
              <w:pStyle w:val="TableParagraph"/>
              <w:spacing w:before="3"/>
            </w:pPr>
          </w:p>
          <w:p w:rsidR="00E675F0" w:rsidRDefault="00E675F0" w:rsidP="00A330E1">
            <w:pPr>
              <w:pStyle w:val="TableParagraph"/>
              <w:ind w:left="54"/>
              <w:rPr>
                <w:sz w:val="19"/>
              </w:rPr>
            </w:pPr>
            <w:r>
              <w:rPr>
                <w:w w:val="105"/>
                <w:sz w:val="19"/>
              </w:rPr>
              <w:t>292.89</w:t>
            </w:r>
          </w:p>
        </w:tc>
        <w:tc>
          <w:tcPr>
            <w:tcW w:w="2779" w:type="dxa"/>
          </w:tcPr>
          <w:p w:rsidR="00E675F0" w:rsidRDefault="00E675F0" w:rsidP="00A330E1">
            <w:pPr>
              <w:pStyle w:val="TableParagraph"/>
              <w:spacing w:before="2"/>
              <w:ind w:left="95"/>
              <w:rPr>
                <w:sz w:val="19"/>
              </w:rPr>
            </w:pPr>
            <w:r>
              <w:rPr>
                <w:sz w:val="19"/>
              </w:rPr>
              <w:t>Disor de r</w:t>
            </w:r>
            <w:r>
              <w:rPr>
                <w:sz w:val="19"/>
                <w:vertAlign w:val="superscript"/>
              </w:rPr>
              <w:t>1</w:t>
            </w:r>
            <w:r>
              <w:rPr>
                <w:sz w:val="19"/>
              </w:rPr>
              <w:t>·w (439)</w:t>
            </w:r>
          </w:p>
          <w:p w:rsidR="00E675F0" w:rsidRDefault="00E675F0" w:rsidP="00A330E1">
            <w:pPr>
              <w:pStyle w:val="TableParagraph"/>
              <w:spacing w:before="14" w:line="240" w:lineRule="atLeast"/>
              <w:ind w:left="90" w:hanging="4"/>
              <w:rPr>
                <w:sz w:val="19"/>
              </w:rPr>
            </w:pPr>
            <w:r>
              <w:rPr>
                <w:w w:val="110"/>
                <w:sz w:val="19"/>
              </w:rPr>
              <w:t>Cocaine-Induced Sexual Dysfunction</w:t>
            </w:r>
            <w:r>
              <w:rPr>
                <w:w w:val="110"/>
                <w:sz w:val="19"/>
                <w:vertAlign w:val="superscript"/>
              </w:rPr>
              <w:t>1</w:t>
            </w:r>
            <w:r>
              <w:rPr>
                <w:w w:val="110"/>
                <w:sz w:val="19"/>
              </w:rPr>
              <w:t xml:space="preserve"> (519)</w:t>
            </w:r>
          </w:p>
        </w:tc>
        <w:tc>
          <w:tcPr>
            <w:tcW w:w="1140" w:type="dxa"/>
          </w:tcPr>
          <w:p w:rsidR="00E675F0" w:rsidRDefault="00E675F0" w:rsidP="00A330E1">
            <w:pPr>
              <w:pStyle w:val="TableParagraph"/>
              <w:spacing w:before="2"/>
              <w:ind w:left="510"/>
              <w:rPr>
                <w:sz w:val="19"/>
              </w:rPr>
            </w:pPr>
            <w:r>
              <w:rPr>
                <w:w w:val="105"/>
                <w:sz w:val="19"/>
              </w:rPr>
              <w:t>292.84</w:t>
            </w:r>
          </w:p>
          <w:p w:rsidR="00E675F0" w:rsidRDefault="00E675F0" w:rsidP="00A330E1">
            <w:pPr>
              <w:pStyle w:val="TableParagraph"/>
              <w:spacing w:before="2"/>
              <w:rPr>
                <w:sz w:val="23"/>
              </w:rPr>
            </w:pPr>
          </w:p>
          <w:p w:rsidR="00E675F0" w:rsidRDefault="00E675F0" w:rsidP="00A330E1">
            <w:pPr>
              <w:pStyle w:val="TableParagraph"/>
              <w:spacing w:line="206" w:lineRule="exact"/>
              <w:ind w:left="510"/>
              <w:rPr>
                <w:sz w:val="19"/>
              </w:rPr>
            </w:pPr>
            <w:r>
              <w:rPr>
                <w:w w:val="105"/>
                <w:sz w:val="19"/>
              </w:rPr>
              <w:t>292.89</w:t>
            </w:r>
          </w:p>
        </w:tc>
        <w:tc>
          <w:tcPr>
            <w:tcW w:w="2325" w:type="dxa"/>
          </w:tcPr>
          <w:p w:rsidR="00E675F0" w:rsidRDefault="00E675F0" w:rsidP="00A330E1">
            <w:pPr>
              <w:pStyle w:val="TableParagraph"/>
              <w:spacing w:line="268" w:lineRule="auto"/>
              <w:ind w:left="88" w:hanging="2"/>
              <w:rPr>
                <w:sz w:val="19"/>
              </w:rPr>
            </w:pPr>
            <w:r>
              <w:rPr>
                <w:w w:val="110"/>
                <w:sz w:val="19"/>
              </w:rPr>
              <w:t xml:space="preserve">Inhalant-Induced Mood Disorder </w:t>
            </w:r>
            <w:r>
              <w:rPr>
                <w:w w:val="110"/>
                <w:sz w:val="19"/>
                <w:vertAlign w:val="superscript"/>
              </w:rPr>
              <w:t>1</w:t>
            </w:r>
            <w:r>
              <w:rPr>
                <w:w w:val="110"/>
                <w:sz w:val="19"/>
              </w:rPr>
              <w:t xml:space="preserve"> (370)</w:t>
            </w:r>
          </w:p>
          <w:p w:rsidR="00E675F0" w:rsidRDefault="00E675F0" w:rsidP="00A330E1">
            <w:pPr>
              <w:pStyle w:val="TableParagraph"/>
              <w:spacing w:line="206" w:lineRule="exact"/>
              <w:ind w:left="87"/>
              <w:rPr>
                <w:sz w:val="19"/>
              </w:rPr>
            </w:pPr>
            <w:r>
              <w:rPr>
                <w:w w:val="110"/>
                <w:sz w:val="19"/>
              </w:rPr>
              <w:t>Inhalant-Induced Anxiety</w:t>
            </w:r>
          </w:p>
        </w:tc>
      </w:tr>
      <w:tr w:rsidR="00E675F0" w:rsidTr="00A330E1">
        <w:trPr>
          <w:trHeight w:val="246"/>
        </w:trPr>
        <w:tc>
          <w:tcPr>
            <w:tcW w:w="682" w:type="dxa"/>
          </w:tcPr>
          <w:p w:rsidR="00E675F0" w:rsidRDefault="00E675F0" w:rsidP="00A330E1">
            <w:pPr>
              <w:pStyle w:val="TableParagraph"/>
              <w:spacing w:before="22" w:line="204" w:lineRule="exact"/>
              <w:ind w:left="50"/>
              <w:rPr>
                <w:sz w:val="19"/>
              </w:rPr>
            </w:pPr>
            <w:r>
              <w:rPr>
                <w:w w:val="105"/>
                <w:sz w:val="19"/>
              </w:rPr>
              <w:t>292.89</w:t>
            </w:r>
          </w:p>
        </w:tc>
        <w:tc>
          <w:tcPr>
            <w:tcW w:w="2779" w:type="dxa"/>
          </w:tcPr>
          <w:p w:rsidR="00E675F0" w:rsidRDefault="00E675F0" w:rsidP="00A330E1">
            <w:pPr>
              <w:pStyle w:val="TableParagraph"/>
              <w:spacing w:before="22" w:line="204" w:lineRule="exact"/>
              <w:ind w:left="86"/>
              <w:rPr>
                <w:sz w:val="19"/>
              </w:rPr>
            </w:pPr>
            <w:r>
              <w:rPr>
                <w:w w:val="110"/>
                <w:sz w:val="19"/>
              </w:rPr>
              <w:t>Cocaine-Induced Sleep</w:t>
            </w:r>
          </w:p>
        </w:tc>
        <w:tc>
          <w:tcPr>
            <w:tcW w:w="1140" w:type="dxa"/>
          </w:tcPr>
          <w:p w:rsidR="00E675F0" w:rsidRDefault="00E675F0" w:rsidP="00A330E1">
            <w:pPr>
              <w:pStyle w:val="TableParagraph"/>
              <w:rPr>
                <w:sz w:val="16"/>
              </w:rPr>
            </w:pPr>
          </w:p>
        </w:tc>
        <w:tc>
          <w:tcPr>
            <w:tcW w:w="2325" w:type="dxa"/>
          </w:tcPr>
          <w:p w:rsidR="00E675F0" w:rsidRDefault="00E675F0" w:rsidP="00A330E1">
            <w:pPr>
              <w:pStyle w:val="TableParagraph"/>
              <w:spacing w:before="8" w:line="218" w:lineRule="exact"/>
              <w:ind w:left="88"/>
              <w:rPr>
                <w:sz w:val="19"/>
              </w:rPr>
            </w:pPr>
            <w:r>
              <w:rPr>
                <w:w w:val="105"/>
                <w:sz w:val="19"/>
              </w:rPr>
              <w:t xml:space="preserve">Disorder </w:t>
            </w:r>
            <w:r>
              <w:rPr>
                <w:w w:val="105"/>
                <w:sz w:val="19"/>
                <w:vertAlign w:val="superscript"/>
              </w:rPr>
              <w:t>1</w:t>
            </w:r>
            <w:r>
              <w:rPr>
                <w:w w:val="105"/>
                <w:sz w:val="19"/>
              </w:rPr>
              <w:t xml:space="preserve"> (439)</w:t>
            </w:r>
          </w:p>
        </w:tc>
      </w:tr>
      <w:tr w:rsidR="00E675F0" w:rsidTr="00A330E1">
        <w:trPr>
          <w:trHeight w:val="427"/>
        </w:trPr>
        <w:tc>
          <w:tcPr>
            <w:tcW w:w="682" w:type="dxa"/>
          </w:tcPr>
          <w:p w:rsidR="00E675F0" w:rsidRDefault="00E675F0" w:rsidP="00A330E1">
            <w:pPr>
              <w:pStyle w:val="TableParagraph"/>
              <w:rPr>
                <w:sz w:val="18"/>
              </w:rPr>
            </w:pPr>
          </w:p>
        </w:tc>
        <w:tc>
          <w:tcPr>
            <w:tcW w:w="2779" w:type="dxa"/>
          </w:tcPr>
          <w:p w:rsidR="00E675F0" w:rsidRDefault="00E675F0" w:rsidP="00A330E1">
            <w:pPr>
              <w:pStyle w:val="TableParagraph"/>
              <w:spacing w:before="7"/>
              <w:ind w:left="90"/>
              <w:rPr>
                <w:sz w:val="19"/>
              </w:rPr>
            </w:pPr>
            <w:r>
              <w:rPr>
                <w:w w:val="105"/>
                <w:sz w:val="19"/>
              </w:rPr>
              <w:t>Disorde r</w:t>
            </w:r>
            <w:r>
              <w:rPr>
                <w:w w:val="105"/>
                <w:sz w:val="19"/>
                <w:vertAlign w:val="superscript"/>
              </w:rPr>
              <w:t>1</w:t>
            </w:r>
            <w:r>
              <w:rPr>
                <w:w w:val="105"/>
                <w:sz w:val="19"/>
              </w:rPr>
              <w:t>·w (601)</w:t>
            </w:r>
          </w:p>
        </w:tc>
        <w:tc>
          <w:tcPr>
            <w:tcW w:w="1140" w:type="dxa"/>
          </w:tcPr>
          <w:p w:rsidR="00E675F0" w:rsidRDefault="00E675F0" w:rsidP="00A330E1">
            <w:pPr>
              <w:pStyle w:val="TableParagraph"/>
              <w:spacing w:before="3"/>
              <w:rPr>
                <w:sz w:val="17"/>
              </w:rPr>
            </w:pPr>
          </w:p>
          <w:p w:rsidR="00E675F0" w:rsidRDefault="00E675F0" w:rsidP="00A330E1">
            <w:pPr>
              <w:pStyle w:val="TableParagraph"/>
              <w:spacing w:line="209" w:lineRule="exact"/>
              <w:ind w:left="506"/>
              <w:rPr>
                <w:sz w:val="19"/>
              </w:rPr>
            </w:pPr>
            <w:r>
              <w:rPr>
                <w:w w:val="105"/>
                <w:sz w:val="19"/>
              </w:rPr>
              <w:t>292.9</w:t>
            </w:r>
          </w:p>
        </w:tc>
        <w:tc>
          <w:tcPr>
            <w:tcW w:w="2325" w:type="dxa"/>
          </w:tcPr>
          <w:p w:rsidR="00E675F0" w:rsidRDefault="00E675F0" w:rsidP="00A330E1">
            <w:pPr>
              <w:pStyle w:val="TableParagraph"/>
              <w:spacing w:before="3"/>
              <w:rPr>
                <w:sz w:val="17"/>
              </w:rPr>
            </w:pPr>
          </w:p>
          <w:p w:rsidR="00E675F0" w:rsidRDefault="00E675F0" w:rsidP="00A330E1">
            <w:pPr>
              <w:pStyle w:val="TableParagraph"/>
              <w:spacing w:line="209" w:lineRule="exact"/>
              <w:ind w:left="87"/>
              <w:rPr>
                <w:sz w:val="19"/>
              </w:rPr>
            </w:pPr>
            <w:r>
              <w:rPr>
                <w:w w:val="110"/>
                <w:sz w:val="19"/>
              </w:rPr>
              <w:t>Inhalant-Related Disorder</w:t>
            </w:r>
          </w:p>
        </w:tc>
      </w:tr>
      <w:tr w:rsidR="00E675F0" w:rsidTr="00A330E1">
        <w:trPr>
          <w:trHeight w:val="239"/>
        </w:trPr>
        <w:tc>
          <w:tcPr>
            <w:tcW w:w="682" w:type="dxa"/>
          </w:tcPr>
          <w:p w:rsidR="00E675F0" w:rsidRDefault="00E675F0" w:rsidP="00A330E1">
            <w:pPr>
              <w:pStyle w:val="TableParagraph"/>
              <w:spacing w:before="21" w:line="199" w:lineRule="exact"/>
              <w:ind w:left="54"/>
              <w:rPr>
                <w:sz w:val="19"/>
              </w:rPr>
            </w:pPr>
            <w:r>
              <w:rPr>
                <w:w w:val="105"/>
                <w:sz w:val="19"/>
              </w:rPr>
              <w:t>292.9</w:t>
            </w:r>
          </w:p>
        </w:tc>
        <w:tc>
          <w:tcPr>
            <w:tcW w:w="2779" w:type="dxa"/>
          </w:tcPr>
          <w:p w:rsidR="00E675F0" w:rsidRDefault="00E675F0" w:rsidP="00A330E1">
            <w:pPr>
              <w:pStyle w:val="TableParagraph"/>
              <w:spacing w:before="21" w:line="199" w:lineRule="exact"/>
              <w:ind w:left="86"/>
              <w:rPr>
                <w:sz w:val="19"/>
              </w:rPr>
            </w:pPr>
            <w:r>
              <w:rPr>
                <w:w w:val="110"/>
                <w:sz w:val="19"/>
              </w:rPr>
              <w:t>Cocaine-Related Disorder</w:t>
            </w:r>
          </w:p>
        </w:tc>
        <w:tc>
          <w:tcPr>
            <w:tcW w:w="1140" w:type="dxa"/>
          </w:tcPr>
          <w:p w:rsidR="00E675F0" w:rsidRDefault="00E675F0" w:rsidP="00A330E1">
            <w:pPr>
              <w:pStyle w:val="TableParagraph"/>
              <w:rPr>
                <w:sz w:val="16"/>
              </w:rPr>
            </w:pPr>
          </w:p>
        </w:tc>
        <w:tc>
          <w:tcPr>
            <w:tcW w:w="2325" w:type="dxa"/>
          </w:tcPr>
          <w:p w:rsidR="00E675F0" w:rsidRDefault="00E675F0" w:rsidP="00A330E1">
            <w:pPr>
              <w:pStyle w:val="TableParagraph"/>
              <w:spacing w:before="2" w:line="218" w:lineRule="exact"/>
              <w:ind w:left="99"/>
              <w:rPr>
                <w:sz w:val="19"/>
              </w:rPr>
            </w:pPr>
            <w:r>
              <w:rPr>
                <w:w w:val="105"/>
                <w:sz w:val="19"/>
              </w:rPr>
              <w:t>NOS (242)</w:t>
            </w:r>
          </w:p>
        </w:tc>
      </w:tr>
    </w:tbl>
    <w:p w:rsidR="00E675F0" w:rsidRDefault="00E675F0" w:rsidP="00E675F0">
      <w:pPr>
        <w:spacing w:line="218" w:lineRule="exact"/>
        <w:rPr>
          <w:sz w:val="19"/>
        </w:rPr>
        <w:sectPr w:rsidR="00E675F0">
          <w:type w:val="continuous"/>
          <w:pgSz w:w="8960" w:h="14260"/>
          <w:pgMar w:top="640" w:right="660" w:bottom="0" w:left="560" w:header="720" w:footer="720" w:gutter="0"/>
          <w:cols w:space="720"/>
        </w:sectPr>
      </w:pPr>
    </w:p>
    <w:p w:rsidR="00E675F0" w:rsidRDefault="00E675F0" w:rsidP="00E675F0">
      <w:pPr>
        <w:spacing w:before="22"/>
        <w:ind w:left="892"/>
        <w:rPr>
          <w:sz w:val="19"/>
        </w:rPr>
      </w:pPr>
      <w:r>
        <w:rPr>
          <w:w w:val="105"/>
          <w:sz w:val="19"/>
        </w:rPr>
        <w:t>NOS</w:t>
      </w:r>
      <w:r>
        <w:rPr>
          <w:spacing w:val="8"/>
          <w:w w:val="105"/>
          <w:sz w:val="19"/>
        </w:rPr>
        <w:t xml:space="preserve"> </w:t>
      </w:r>
      <w:r>
        <w:rPr>
          <w:w w:val="105"/>
          <w:sz w:val="19"/>
        </w:rPr>
        <w:t>(229)</w:t>
      </w:r>
    </w:p>
    <w:p w:rsidR="00E675F0" w:rsidRDefault="00E675F0" w:rsidP="00E675F0">
      <w:pPr>
        <w:pStyle w:val="BodyText"/>
        <w:spacing w:before="10"/>
        <w:rPr>
          <w:sz w:val="26"/>
        </w:rPr>
      </w:pPr>
    </w:p>
    <w:p w:rsidR="00E675F0" w:rsidRDefault="00E675F0" w:rsidP="00E675F0">
      <w:pPr>
        <w:spacing w:before="1" w:line="268" w:lineRule="auto"/>
        <w:ind w:left="160" w:right="186" w:hanging="2"/>
        <w:rPr>
          <w:sz w:val="19"/>
        </w:rPr>
      </w:pPr>
      <w:r>
        <w:rPr>
          <w:b/>
          <w:spacing w:val="-1"/>
          <w:w w:val="105"/>
          <w:sz w:val="18"/>
        </w:rPr>
        <w:t xml:space="preserve">HALLUCINOGEN-REIATED </w:t>
      </w:r>
      <w:r>
        <w:rPr>
          <w:b/>
          <w:w w:val="105"/>
          <w:sz w:val="18"/>
        </w:rPr>
        <w:t>DISORDERS</w:t>
      </w:r>
      <w:r>
        <w:rPr>
          <w:b/>
          <w:spacing w:val="15"/>
          <w:w w:val="105"/>
          <w:sz w:val="18"/>
        </w:rPr>
        <w:t xml:space="preserve"> </w:t>
      </w:r>
      <w:r>
        <w:rPr>
          <w:w w:val="105"/>
          <w:sz w:val="19"/>
        </w:rPr>
        <w:t>(229)</w:t>
      </w:r>
    </w:p>
    <w:p w:rsidR="00E675F0" w:rsidRDefault="00E675F0" w:rsidP="00E675F0">
      <w:pPr>
        <w:spacing w:before="144"/>
        <w:ind w:left="159"/>
        <w:rPr>
          <w:b/>
          <w:sz w:val="20"/>
        </w:rPr>
      </w:pPr>
      <w:r>
        <w:rPr>
          <w:b/>
          <w:w w:val="110"/>
          <w:sz w:val="20"/>
        </w:rPr>
        <w:t>Hallucinogen Use Disorders</w:t>
      </w:r>
    </w:p>
    <w:p w:rsidR="00E675F0" w:rsidRDefault="00E675F0" w:rsidP="00E675F0">
      <w:pPr>
        <w:spacing w:before="19"/>
        <w:ind w:left="165"/>
        <w:rPr>
          <w:sz w:val="19"/>
        </w:rPr>
      </w:pPr>
      <w:r>
        <w:rPr>
          <w:w w:val="110"/>
          <w:sz w:val="19"/>
        </w:rPr>
        <w:t>304.50 Hallucinogen Dependence• (230)</w:t>
      </w:r>
    </w:p>
    <w:p w:rsidR="00E675F0" w:rsidRDefault="00E675F0" w:rsidP="00E675F0">
      <w:pPr>
        <w:spacing w:before="32"/>
        <w:ind w:left="165"/>
        <w:rPr>
          <w:sz w:val="19"/>
        </w:rPr>
      </w:pPr>
      <w:r>
        <w:rPr>
          <w:w w:val="110"/>
          <w:sz w:val="19"/>
        </w:rPr>
        <w:t>305.30 Hallucinogen Abuse (231)</w:t>
      </w:r>
    </w:p>
    <w:p w:rsidR="00E675F0" w:rsidRDefault="00E675F0" w:rsidP="00E675F0">
      <w:pPr>
        <w:pStyle w:val="BodyText"/>
        <w:spacing w:before="2"/>
        <w:rPr>
          <w:sz w:val="26"/>
        </w:rPr>
      </w:pPr>
    </w:p>
    <w:p w:rsidR="00E675F0" w:rsidRDefault="00E675F0" w:rsidP="00E675F0">
      <w:pPr>
        <w:ind w:left="159"/>
        <w:rPr>
          <w:b/>
          <w:sz w:val="20"/>
        </w:rPr>
      </w:pPr>
      <w:r>
        <w:rPr>
          <w:b/>
          <w:w w:val="110"/>
          <w:sz w:val="20"/>
        </w:rPr>
        <w:t>Hallucinogen-Induced Disorders</w:t>
      </w:r>
    </w:p>
    <w:p w:rsidR="00E675F0" w:rsidRDefault="00E675F0" w:rsidP="00E675F0">
      <w:pPr>
        <w:spacing w:before="24"/>
        <w:ind w:left="173"/>
        <w:rPr>
          <w:sz w:val="19"/>
        </w:rPr>
      </w:pPr>
      <w:r>
        <w:rPr>
          <w:w w:val="110"/>
          <w:sz w:val="19"/>
        </w:rPr>
        <w:t>292.89 Hallucinogen Intoxication (232)</w:t>
      </w:r>
    </w:p>
    <w:p w:rsidR="00E675F0" w:rsidRDefault="00E675F0" w:rsidP="00E675F0">
      <w:pPr>
        <w:spacing w:before="32" w:line="266" w:lineRule="auto"/>
        <w:ind w:left="891" w:right="186" w:hanging="718"/>
        <w:rPr>
          <w:sz w:val="19"/>
        </w:rPr>
      </w:pPr>
      <w:r>
        <w:rPr>
          <w:w w:val="110"/>
          <w:sz w:val="19"/>
        </w:rPr>
        <w:t>292.89 Hallucinogen Persisting Perception Disorder (Flashbacks) (233)</w:t>
      </w:r>
    </w:p>
    <w:p w:rsidR="00E675F0" w:rsidRDefault="00E675F0" w:rsidP="00E675F0">
      <w:pPr>
        <w:spacing w:before="146"/>
        <w:ind w:left="164"/>
        <w:rPr>
          <w:sz w:val="19"/>
        </w:rPr>
      </w:pPr>
      <w:r>
        <w:br w:type="column"/>
      </w:r>
      <w:r>
        <w:rPr>
          <w:b/>
          <w:w w:val="105"/>
          <w:sz w:val="18"/>
        </w:rPr>
        <w:lastRenderedPageBreak/>
        <w:t xml:space="preserve">NICOTINE-REIATED DISORDERS </w:t>
      </w:r>
      <w:r>
        <w:rPr>
          <w:w w:val="105"/>
          <w:sz w:val="19"/>
        </w:rPr>
        <w:t>(242)</w:t>
      </w:r>
    </w:p>
    <w:p w:rsidR="00E675F0" w:rsidRDefault="00E675F0" w:rsidP="00E675F0">
      <w:pPr>
        <w:spacing w:before="75"/>
        <w:ind w:left="164"/>
        <w:rPr>
          <w:b/>
          <w:sz w:val="20"/>
        </w:rPr>
      </w:pPr>
      <w:r>
        <w:rPr>
          <w:b/>
          <w:w w:val="110"/>
          <w:sz w:val="20"/>
        </w:rPr>
        <w:t>Nicotine Use Disorder</w:t>
      </w:r>
    </w:p>
    <w:p w:rsidR="00E675F0" w:rsidRDefault="00E675F0" w:rsidP="00E675F0">
      <w:pPr>
        <w:spacing w:before="20"/>
        <w:ind w:left="163"/>
        <w:rPr>
          <w:sz w:val="19"/>
        </w:rPr>
      </w:pPr>
      <w:r>
        <w:rPr>
          <w:w w:val="110"/>
          <w:sz w:val="19"/>
        </w:rPr>
        <w:t>305.10 Nicotine Dependencea (243)</w:t>
      </w:r>
    </w:p>
    <w:p w:rsidR="00E675F0" w:rsidRDefault="00E675F0" w:rsidP="00E675F0">
      <w:pPr>
        <w:spacing w:before="162"/>
        <w:ind w:left="164"/>
        <w:rPr>
          <w:b/>
          <w:sz w:val="20"/>
        </w:rPr>
      </w:pPr>
      <w:r>
        <w:rPr>
          <w:b/>
          <w:w w:val="110"/>
          <w:sz w:val="20"/>
        </w:rPr>
        <w:t>Nicotine-Induced Disorder</w:t>
      </w:r>
    </w:p>
    <w:p w:rsidR="00E675F0" w:rsidRDefault="00E675F0" w:rsidP="00E675F0">
      <w:pPr>
        <w:tabs>
          <w:tab w:val="left" w:pos="890"/>
        </w:tabs>
        <w:spacing w:before="19"/>
        <w:ind w:left="167"/>
        <w:rPr>
          <w:sz w:val="19"/>
        </w:rPr>
      </w:pPr>
      <w:r>
        <w:rPr>
          <w:w w:val="105"/>
          <w:sz w:val="19"/>
        </w:rPr>
        <w:t>292.0</w:t>
      </w:r>
      <w:r>
        <w:rPr>
          <w:w w:val="105"/>
          <w:sz w:val="19"/>
        </w:rPr>
        <w:tab/>
        <w:t>Nicotine Withdrawal</w:t>
      </w:r>
      <w:r>
        <w:rPr>
          <w:spacing w:val="-5"/>
          <w:w w:val="105"/>
          <w:sz w:val="19"/>
        </w:rPr>
        <w:t xml:space="preserve"> </w:t>
      </w:r>
      <w:r>
        <w:rPr>
          <w:w w:val="105"/>
          <w:sz w:val="19"/>
        </w:rPr>
        <w:t>(244)</w:t>
      </w:r>
    </w:p>
    <w:p w:rsidR="00E675F0" w:rsidRDefault="00E675F0" w:rsidP="00E675F0">
      <w:pPr>
        <w:pStyle w:val="BodyText"/>
        <w:spacing w:before="1"/>
        <w:rPr>
          <w:sz w:val="19"/>
        </w:rPr>
      </w:pPr>
    </w:p>
    <w:p w:rsidR="00E675F0" w:rsidRDefault="00E675F0" w:rsidP="00E675F0">
      <w:pPr>
        <w:tabs>
          <w:tab w:val="left" w:pos="890"/>
        </w:tabs>
        <w:spacing w:line="268" w:lineRule="auto"/>
        <w:ind w:left="890" w:right="720" w:hanging="724"/>
        <w:rPr>
          <w:sz w:val="19"/>
        </w:rPr>
      </w:pPr>
      <w:r>
        <w:rPr>
          <w:w w:val="105"/>
          <w:sz w:val="19"/>
        </w:rPr>
        <w:t>292.9</w:t>
      </w:r>
      <w:r>
        <w:rPr>
          <w:w w:val="105"/>
          <w:sz w:val="19"/>
        </w:rPr>
        <w:tab/>
        <w:t>Nicotine-Related Disorder NOS</w:t>
      </w:r>
      <w:r>
        <w:rPr>
          <w:spacing w:val="16"/>
          <w:w w:val="105"/>
          <w:sz w:val="19"/>
        </w:rPr>
        <w:t xml:space="preserve"> </w:t>
      </w:r>
      <w:r>
        <w:rPr>
          <w:w w:val="105"/>
          <w:sz w:val="19"/>
        </w:rPr>
        <w:t>(247)</w:t>
      </w:r>
    </w:p>
    <w:p w:rsidR="00E675F0" w:rsidRDefault="00E675F0" w:rsidP="00E675F0">
      <w:pPr>
        <w:spacing w:before="150"/>
        <w:ind w:left="159"/>
        <w:rPr>
          <w:sz w:val="19"/>
        </w:rPr>
      </w:pPr>
      <w:r>
        <w:rPr>
          <w:b/>
          <w:w w:val="110"/>
          <w:sz w:val="18"/>
        </w:rPr>
        <w:t xml:space="preserve">OPIOID-REIATED DISORDERS </w:t>
      </w:r>
      <w:r>
        <w:rPr>
          <w:w w:val="110"/>
          <w:sz w:val="19"/>
        </w:rPr>
        <w:t>(247)</w:t>
      </w:r>
    </w:p>
    <w:p w:rsidR="00E675F0" w:rsidRDefault="00E675F0" w:rsidP="00E675F0">
      <w:pPr>
        <w:spacing w:before="75"/>
        <w:ind w:left="159"/>
        <w:rPr>
          <w:b/>
          <w:sz w:val="20"/>
        </w:rPr>
      </w:pPr>
      <w:r>
        <w:rPr>
          <w:b/>
          <w:w w:val="110"/>
          <w:sz w:val="20"/>
        </w:rPr>
        <w:t>Opioid Use Disorders</w:t>
      </w:r>
    </w:p>
    <w:p w:rsidR="00E675F0" w:rsidRDefault="00E675F0" w:rsidP="00E675F0">
      <w:pPr>
        <w:spacing w:before="19"/>
        <w:ind w:left="163"/>
        <w:rPr>
          <w:sz w:val="19"/>
        </w:rPr>
      </w:pPr>
      <w:r>
        <w:rPr>
          <w:w w:val="110"/>
          <w:sz w:val="19"/>
        </w:rPr>
        <w:t>304.00 Opioid Dependence• (248)</w:t>
      </w:r>
    </w:p>
    <w:p w:rsidR="00E675F0" w:rsidRDefault="00E675F0" w:rsidP="00E675F0">
      <w:pPr>
        <w:spacing w:before="32"/>
        <w:ind w:left="163"/>
        <w:rPr>
          <w:sz w:val="19"/>
        </w:rPr>
      </w:pPr>
      <w:r>
        <w:rPr>
          <w:w w:val="110"/>
          <w:sz w:val="19"/>
        </w:rPr>
        <w:t>305.50 Opioid Abuse (249)</w:t>
      </w:r>
    </w:p>
    <w:p w:rsidR="00E675F0" w:rsidRDefault="00E675F0" w:rsidP="00E675F0">
      <w:pPr>
        <w:rPr>
          <w:sz w:val="19"/>
        </w:rPr>
        <w:sectPr w:rsidR="00E675F0">
          <w:type w:val="continuous"/>
          <w:pgSz w:w="8960" w:h="14260"/>
          <w:pgMar w:top="640" w:right="660" w:bottom="0" w:left="560" w:header="720" w:footer="720" w:gutter="0"/>
          <w:cols w:num="2" w:space="720" w:equalWidth="0">
            <w:col w:w="3803" w:space="120"/>
            <w:col w:w="3817"/>
          </w:cols>
        </w:sectPr>
      </w:pPr>
    </w:p>
    <w:p w:rsidR="00E675F0" w:rsidRDefault="00E675F0" w:rsidP="00E675F0">
      <w:pPr>
        <w:spacing w:before="126"/>
        <w:ind w:left="146"/>
        <w:rPr>
          <w:b/>
          <w:sz w:val="20"/>
        </w:rPr>
      </w:pPr>
      <w:r>
        <w:rPr>
          <w:b/>
          <w:w w:val="110"/>
          <w:sz w:val="20"/>
        </w:rPr>
        <w:lastRenderedPageBreak/>
        <w:t>Opioid-Induced Disorders</w:t>
      </w:r>
    </w:p>
    <w:p w:rsidR="00E675F0" w:rsidRDefault="00E675F0" w:rsidP="00E675F0">
      <w:pPr>
        <w:spacing w:before="25"/>
        <w:ind w:left="159"/>
        <w:rPr>
          <w:sz w:val="19"/>
        </w:rPr>
      </w:pPr>
      <w:r>
        <w:rPr>
          <w:w w:val="110"/>
          <w:sz w:val="19"/>
        </w:rPr>
        <w:t>292.89 Opioid Intoxication (249)</w:t>
      </w:r>
    </w:p>
    <w:p w:rsidR="00E675F0" w:rsidRDefault="00E675F0" w:rsidP="00E675F0">
      <w:pPr>
        <w:spacing w:before="6"/>
        <w:ind w:left="894"/>
        <w:rPr>
          <w:sz w:val="16"/>
        </w:rPr>
      </w:pPr>
      <w:r>
        <w:rPr>
          <w:i/>
          <w:sz w:val="16"/>
        </w:rPr>
        <w:t xml:space="preserve">Specify if </w:t>
      </w:r>
      <w:r>
        <w:rPr>
          <w:sz w:val="16"/>
        </w:rPr>
        <w:t>With Perceptual Disturbances</w:t>
      </w:r>
    </w:p>
    <w:p w:rsidR="00E675F0" w:rsidRDefault="00E675F0" w:rsidP="00E675F0">
      <w:pPr>
        <w:spacing w:before="140" w:line="264" w:lineRule="auto"/>
        <w:ind w:left="864" w:hanging="719"/>
        <w:rPr>
          <w:sz w:val="19"/>
        </w:rPr>
      </w:pPr>
      <w:r>
        <w:br w:type="column"/>
      </w:r>
      <w:r>
        <w:rPr>
          <w:w w:val="110"/>
          <w:sz w:val="19"/>
        </w:rPr>
        <w:t>305.40 Sedative, Hypnotic, or Anxiolytic Abuse (263)</w:t>
      </w:r>
    </w:p>
    <w:p w:rsidR="00E675F0" w:rsidRDefault="00E675F0" w:rsidP="00E675F0">
      <w:pPr>
        <w:spacing w:line="264" w:lineRule="auto"/>
        <w:rPr>
          <w:sz w:val="19"/>
        </w:rPr>
        <w:sectPr w:rsidR="00E675F0">
          <w:headerReference w:type="even" r:id="rId44"/>
          <w:headerReference w:type="default" r:id="rId45"/>
          <w:pgSz w:w="8960" w:h="14260"/>
          <w:pgMar w:top="1400" w:right="600" w:bottom="280" w:left="580" w:header="695" w:footer="0" w:gutter="0"/>
          <w:pgNumType w:start="18"/>
          <w:cols w:num="2" w:space="720" w:equalWidth="0">
            <w:col w:w="3640" w:space="295"/>
            <w:col w:w="3845"/>
          </w:cols>
        </w:sectPr>
      </w:pPr>
    </w:p>
    <w:p w:rsidR="00E675F0" w:rsidRDefault="00E675F0" w:rsidP="00E675F0">
      <w:pPr>
        <w:spacing w:before="33"/>
        <w:ind w:left="159"/>
        <w:rPr>
          <w:sz w:val="19"/>
        </w:rPr>
      </w:pPr>
      <w:r>
        <w:rPr>
          <w:w w:val="105"/>
          <w:sz w:val="19"/>
        </w:rPr>
        <w:t>292.0</w:t>
      </w:r>
    </w:p>
    <w:p w:rsidR="00E675F0" w:rsidRDefault="00E675F0" w:rsidP="00E675F0">
      <w:pPr>
        <w:spacing w:before="27"/>
        <w:ind w:left="159"/>
        <w:rPr>
          <w:sz w:val="19"/>
        </w:rPr>
      </w:pPr>
      <w:r>
        <w:rPr>
          <w:w w:val="105"/>
          <w:sz w:val="19"/>
        </w:rPr>
        <w:t>292.81</w:t>
      </w:r>
    </w:p>
    <w:p w:rsidR="00E675F0" w:rsidRDefault="00E675F0" w:rsidP="00E675F0">
      <w:pPr>
        <w:spacing w:before="31"/>
        <w:ind w:left="159"/>
        <w:rPr>
          <w:sz w:val="19"/>
        </w:rPr>
      </w:pPr>
      <w:r>
        <w:rPr>
          <w:w w:val="105"/>
          <w:sz w:val="19"/>
        </w:rPr>
        <w:t>292.xx</w:t>
      </w:r>
    </w:p>
    <w:p w:rsidR="00E675F0" w:rsidRDefault="00E675F0" w:rsidP="00E675F0">
      <w:pPr>
        <w:pStyle w:val="BodyText"/>
        <w:spacing w:before="3"/>
        <w:rPr>
          <w:sz w:val="23"/>
        </w:rPr>
      </w:pPr>
    </w:p>
    <w:p w:rsidR="00E675F0" w:rsidRDefault="00E675F0" w:rsidP="00E675F0">
      <w:pPr>
        <w:ind w:left="472"/>
        <w:rPr>
          <w:sz w:val="19"/>
        </w:rPr>
      </w:pPr>
      <w:r>
        <w:rPr>
          <w:w w:val="105"/>
          <w:sz w:val="19"/>
        </w:rPr>
        <w:t>.11</w:t>
      </w:r>
    </w:p>
    <w:p w:rsidR="00E675F0" w:rsidRDefault="00E675F0" w:rsidP="00E675F0">
      <w:pPr>
        <w:spacing w:before="33"/>
        <w:ind w:left="113"/>
        <w:rPr>
          <w:sz w:val="19"/>
        </w:rPr>
      </w:pPr>
      <w:r>
        <w:br w:type="column"/>
      </w:r>
      <w:r>
        <w:rPr>
          <w:w w:val="110"/>
          <w:sz w:val="19"/>
        </w:rPr>
        <w:t>Opioid Withdrawal (250)</w:t>
      </w:r>
    </w:p>
    <w:p w:rsidR="00E675F0" w:rsidRDefault="00E675F0" w:rsidP="00E675F0">
      <w:pPr>
        <w:spacing w:before="27" w:line="268" w:lineRule="auto"/>
        <w:ind w:left="112" w:hanging="4"/>
        <w:rPr>
          <w:sz w:val="19"/>
        </w:rPr>
      </w:pPr>
      <w:r>
        <w:rPr>
          <w:w w:val="110"/>
          <w:sz w:val="19"/>
        </w:rPr>
        <w:t>Opioid Intoxication Delirium (129) Opioid-Induced</w:t>
      </w:r>
      <w:r>
        <w:rPr>
          <w:spacing w:val="52"/>
          <w:w w:val="110"/>
          <w:sz w:val="19"/>
        </w:rPr>
        <w:t xml:space="preserve"> </w:t>
      </w:r>
      <w:r>
        <w:rPr>
          <w:w w:val="110"/>
          <w:sz w:val="19"/>
        </w:rPr>
        <w:t>Psychotic Disorder</w:t>
      </w:r>
      <w:r>
        <w:rPr>
          <w:spacing w:val="12"/>
          <w:w w:val="110"/>
          <w:sz w:val="19"/>
        </w:rPr>
        <w:t xml:space="preserve"> </w:t>
      </w:r>
      <w:r>
        <w:rPr>
          <w:w w:val="110"/>
          <w:sz w:val="19"/>
        </w:rPr>
        <w:t>(310)</w:t>
      </w:r>
    </w:p>
    <w:p w:rsidR="00E675F0" w:rsidRDefault="00E675F0" w:rsidP="00E675F0">
      <w:pPr>
        <w:spacing w:before="5"/>
        <w:ind w:left="411"/>
        <w:rPr>
          <w:rFonts w:ascii="Arial"/>
          <w:sz w:val="19"/>
        </w:rPr>
      </w:pPr>
      <w:r>
        <w:rPr>
          <w:w w:val="105"/>
          <w:sz w:val="19"/>
        </w:rPr>
        <w:t xml:space="preserve">With Delusions </w:t>
      </w:r>
      <w:r>
        <w:rPr>
          <w:rFonts w:ascii="Arial"/>
          <w:w w:val="105"/>
          <w:sz w:val="19"/>
          <w:vertAlign w:val="superscript"/>
        </w:rPr>
        <w:t>1</w:t>
      </w:r>
    </w:p>
    <w:p w:rsidR="00E675F0" w:rsidRDefault="00E675F0" w:rsidP="00E675F0">
      <w:pPr>
        <w:spacing w:before="14" w:line="256" w:lineRule="auto"/>
        <w:ind w:left="151" w:right="908"/>
        <w:rPr>
          <w:b/>
          <w:sz w:val="20"/>
        </w:rPr>
      </w:pPr>
      <w:r>
        <w:br w:type="column"/>
      </w:r>
      <w:r>
        <w:rPr>
          <w:b/>
          <w:w w:val="110"/>
          <w:sz w:val="20"/>
        </w:rPr>
        <w:t>Sedative-, Hypnotic-, or Anxiolytic-Induced Disorders</w:t>
      </w:r>
    </w:p>
    <w:p w:rsidR="00E675F0" w:rsidRDefault="00E675F0" w:rsidP="00E675F0">
      <w:pPr>
        <w:spacing w:before="13" w:line="264" w:lineRule="auto"/>
        <w:ind w:left="883" w:hanging="721"/>
        <w:rPr>
          <w:sz w:val="19"/>
        </w:rPr>
      </w:pPr>
      <w:r>
        <w:rPr>
          <w:w w:val="110"/>
          <w:sz w:val="19"/>
        </w:rPr>
        <w:t>292.89 Sedative, Hypnotic, or Anxiolytic Intoxication (263)</w:t>
      </w:r>
    </w:p>
    <w:p w:rsidR="00E675F0" w:rsidRDefault="00E675F0" w:rsidP="00E675F0">
      <w:pPr>
        <w:tabs>
          <w:tab w:val="left" w:pos="876"/>
        </w:tabs>
        <w:spacing w:before="9"/>
        <w:ind w:left="167"/>
        <w:rPr>
          <w:sz w:val="19"/>
        </w:rPr>
      </w:pPr>
      <w:r>
        <w:rPr>
          <w:w w:val="105"/>
          <w:sz w:val="19"/>
        </w:rPr>
        <w:t>292.0</w:t>
      </w:r>
      <w:r>
        <w:rPr>
          <w:w w:val="105"/>
          <w:sz w:val="19"/>
        </w:rPr>
        <w:tab/>
        <w:t>Sedative, Hypnotic, or</w:t>
      </w:r>
      <w:r>
        <w:rPr>
          <w:spacing w:val="-20"/>
          <w:w w:val="105"/>
          <w:sz w:val="19"/>
        </w:rPr>
        <w:t xml:space="preserve"> </w:t>
      </w:r>
      <w:r>
        <w:rPr>
          <w:w w:val="105"/>
          <w:sz w:val="19"/>
        </w:rPr>
        <w:t>Anxiolytic</w:t>
      </w:r>
    </w:p>
    <w:p w:rsidR="00E675F0" w:rsidRDefault="00E675F0" w:rsidP="00E675F0">
      <w:pPr>
        <w:rPr>
          <w:sz w:val="19"/>
        </w:rPr>
        <w:sectPr w:rsidR="00E675F0">
          <w:type w:val="continuous"/>
          <w:pgSz w:w="8960" w:h="14260"/>
          <w:pgMar w:top="640" w:right="600" w:bottom="0" w:left="580" w:header="720" w:footer="720" w:gutter="0"/>
          <w:cols w:num="3" w:space="720" w:equalWidth="0">
            <w:col w:w="730" w:space="40"/>
            <w:col w:w="3114" w:space="39"/>
            <w:col w:w="3857"/>
          </w:cols>
        </w:sectPr>
      </w:pPr>
    </w:p>
    <w:p w:rsidR="00E675F0" w:rsidRDefault="00E675F0" w:rsidP="00E675F0">
      <w:pPr>
        <w:tabs>
          <w:tab w:val="left" w:pos="1181"/>
        </w:tabs>
        <w:spacing w:before="22"/>
        <w:ind w:left="472"/>
        <w:rPr>
          <w:sz w:val="19"/>
        </w:rPr>
      </w:pPr>
      <w:r>
        <w:rPr>
          <w:noProof/>
        </w:rPr>
        <mc:AlternateContent>
          <mc:Choice Requires="wps">
            <w:drawing>
              <wp:anchor distT="0" distB="0" distL="114300" distR="114300" simplePos="0" relativeHeight="251668480" behindDoc="0" locked="0" layoutInCell="1" allowOverlap="1" wp14:anchorId="02BF5D40" wp14:editId="026919B9">
                <wp:simplePos x="0" y="0"/>
                <wp:positionH relativeFrom="page">
                  <wp:posOffset>434975</wp:posOffset>
                </wp:positionH>
                <wp:positionV relativeFrom="paragraph">
                  <wp:posOffset>174625</wp:posOffset>
                </wp:positionV>
                <wp:extent cx="2475865" cy="1186815"/>
                <wp:effectExtent l="0" t="0" r="0" b="0"/>
                <wp:wrapNone/>
                <wp:docPr id="1702" name="Text Box 1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75865" cy="1186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689"/>
                              <w:gridCol w:w="3209"/>
                            </w:tblGrid>
                            <w:tr w:rsidR="00E675F0">
                              <w:trPr>
                                <w:trHeight w:val="218"/>
                              </w:trPr>
                              <w:tc>
                                <w:tcPr>
                                  <w:tcW w:w="689" w:type="dxa"/>
                                </w:tcPr>
                                <w:p w:rsidR="00E675F0" w:rsidRDefault="00E675F0">
                                  <w:pPr>
                                    <w:pStyle w:val="TableParagraph"/>
                                    <w:spacing w:line="198" w:lineRule="exact"/>
                                    <w:ind w:left="50"/>
                                    <w:rPr>
                                      <w:sz w:val="19"/>
                                    </w:rPr>
                                  </w:pPr>
                                  <w:r>
                                    <w:rPr>
                                      <w:w w:val="105"/>
                                      <w:sz w:val="19"/>
                                    </w:rPr>
                                    <w:t>292.84</w:t>
                                  </w:r>
                                </w:p>
                              </w:tc>
                              <w:tc>
                                <w:tcPr>
                                  <w:tcW w:w="3209" w:type="dxa"/>
                                </w:tcPr>
                                <w:p w:rsidR="00E675F0" w:rsidRDefault="00E675F0">
                                  <w:pPr>
                                    <w:pStyle w:val="TableParagraph"/>
                                    <w:spacing w:line="198" w:lineRule="exact"/>
                                    <w:ind w:left="84"/>
                                    <w:rPr>
                                      <w:sz w:val="19"/>
                                    </w:rPr>
                                  </w:pPr>
                                  <w:r>
                                    <w:rPr>
                                      <w:w w:val="110"/>
                                      <w:sz w:val="19"/>
                                    </w:rPr>
                                    <w:t>Opioid-Induced Mood</w:t>
                                  </w:r>
                                </w:p>
                              </w:tc>
                            </w:tr>
                            <w:tr w:rsidR="00E675F0">
                              <w:trPr>
                                <w:trHeight w:val="249"/>
                              </w:trPr>
                              <w:tc>
                                <w:tcPr>
                                  <w:tcW w:w="689" w:type="dxa"/>
                                </w:tcPr>
                                <w:p w:rsidR="00E675F0" w:rsidRDefault="00E675F0">
                                  <w:pPr>
                                    <w:pStyle w:val="TableParagraph"/>
                                    <w:rPr>
                                      <w:sz w:val="18"/>
                                    </w:rPr>
                                  </w:pPr>
                                </w:p>
                              </w:tc>
                              <w:tc>
                                <w:tcPr>
                                  <w:tcW w:w="3209" w:type="dxa"/>
                                </w:tcPr>
                                <w:p w:rsidR="00E675F0" w:rsidRDefault="00E675F0">
                                  <w:pPr>
                                    <w:pStyle w:val="TableParagraph"/>
                                    <w:spacing w:before="14" w:line="216" w:lineRule="exact"/>
                                    <w:ind w:left="88"/>
                                    <w:rPr>
                                      <w:sz w:val="19"/>
                                    </w:rPr>
                                  </w:pPr>
                                  <w:r>
                                    <w:rPr>
                                      <w:w w:val="105"/>
                                      <w:sz w:val="19"/>
                                    </w:rPr>
                                    <w:t xml:space="preserve">Disor der </w:t>
                                  </w:r>
                                  <w:r>
                                    <w:rPr>
                                      <w:w w:val="105"/>
                                      <w:sz w:val="19"/>
                                      <w:vertAlign w:val="superscript"/>
                                    </w:rPr>
                                    <w:t>1</w:t>
                                  </w:r>
                                  <w:r>
                                    <w:rPr>
                                      <w:w w:val="105"/>
                                      <w:sz w:val="19"/>
                                    </w:rPr>
                                    <w:t xml:space="preserve"> (370)</w:t>
                                  </w:r>
                                </w:p>
                              </w:tc>
                            </w:tr>
                            <w:tr w:rsidR="00E675F0">
                              <w:trPr>
                                <w:trHeight w:val="490"/>
                              </w:trPr>
                              <w:tc>
                                <w:tcPr>
                                  <w:tcW w:w="689" w:type="dxa"/>
                                </w:tcPr>
                                <w:p w:rsidR="00E675F0" w:rsidRDefault="00E675F0">
                                  <w:pPr>
                                    <w:pStyle w:val="TableParagraph"/>
                                    <w:spacing w:before="9"/>
                                    <w:ind w:left="54"/>
                                    <w:rPr>
                                      <w:sz w:val="19"/>
                                    </w:rPr>
                                  </w:pPr>
                                  <w:r>
                                    <w:rPr>
                                      <w:w w:val="105"/>
                                      <w:sz w:val="19"/>
                                    </w:rPr>
                                    <w:t>292.89</w:t>
                                  </w:r>
                                </w:p>
                              </w:tc>
                              <w:tc>
                                <w:tcPr>
                                  <w:tcW w:w="3209" w:type="dxa"/>
                                </w:tcPr>
                                <w:p w:rsidR="00E675F0" w:rsidRDefault="00E675F0">
                                  <w:pPr>
                                    <w:pStyle w:val="TableParagraph"/>
                                    <w:spacing w:before="9"/>
                                    <w:ind w:left="84"/>
                                    <w:rPr>
                                      <w:sz w:val="19"/>
                                    </w:rPr>
                                  </w:pPr>
                                  <w:r>
                                    <w:rPr>
                                      <w:w w:val="110"/>
                                      <w:sz w:val="19"/>
                                    </w:rPr>
                                    <w:t>Opioid-Induced Sexual</w:t>
                                  </w:r>
                                </w:p>
                                <w:p w:rsidR="00E675F0" w:rsidRDefault="00E675F0">
                                  <w:pPr>
                                    <w:pStyle w:val="TableParagraph"/>
                                    <w:spacing w:before="27" w:line="216" w:lineRule="exact"/>
                                    <w:ind w:left="88"/>
                                    <w:rPr>
                                      <w:sz w:val="19"/>
                                    </w:rPr>
                                  </w:pPr>
                                  <w:r>
                                    <w:rPr>
                                      <w:w w:val="105"/>
                                      <w:sz w:val="19"/>
                                    </w:rPr>
                                    <w:t>Dysfunctio n</w:t>
                                  </w:r>
                                  <w:r>
                                    <w:rPr>
                                      <w:w w:val="105"/>
                                      <w:sz w:val="19"/>
                                      <w:vertAlign w:val="superscript"/>
                                    </w:rPr>
                                    <w:t>1</w:t>
                                  </w:r>
                                  <w:r>
                                    <w:rPr>
                                      <w:w w:val="105"/>
                                      <w:sz w:val="19"/>
                                    </w:rPr>
                                    <w:t xml:space="preserve"> (519)</w:t>
                                  </w:r>
                                </w:p>
                              </w:tc>
                            </w:tr>
                            <w:tr w:rsidR="00E675F0">
                              <w:trPr>
                                <w:trHeight w:val="581"/>
                              </w:trPr>
                              <w:tc>
                                <w:tcPr>
                                  <w:tcW w:w="689" w:type="dxa"/>
                                </w:tcPr>
                                <w:p w:rsidR="00E675F0" w:rsidRDefault="00E675F0">
                                  <w:pPr>
                                    <w:pStyle w:val="TableParagraph"/>
                                    <w:spacing w:before="9"/>
                                    <w:ind w:left="54"/>
                                    <w:rPr>
                                      <w:sz w:val="19"/>
                                    </w:rPr>
                                  </w:pPr>
                                  <w:r>
                                    <w:rPr>
                                      <w:w w:val="105"/>
                                      <w:sz w:val="19"/>
                                    </w:rPr>
                                    <w:t>292.89</w:t>
                                  </w:r>
                                </w:p>
                              </w:tc>
                              <w:tc>
                                <w:tcPr>
                                  <w:tcW w:w="3209" w:type="dxa"/>
                                </w:tcPr>
                                <w:p w:rsidR="00E675F0" w:rsidRDefault="00E675F0">
                                  <w:pPr>
                                    <w:pStyle w:val="TableParagraph"/>
                                    <w:spacing w:before="9" w:line="259" w:lineRule="auto"/>
                                    <w:ind w:left="88" w:right="643" w:hanging="4"/>
                                    <w:rPr>
                                      <w:sz w:val="19"/>
                                    </w:rPr>
                                  </w:pPr>
                                  <w:r>
                                    <w:rPr>
                                      <w:w w:val="110"/>
                                      <w:sz w:val="19"/>
                                    </w:rPr>
                                    <w:t>Opioid-Induced Sleep Disorde r</w:t>
                                  </w:r>
                                  <w:r>
                                    <w:rPr>
                                      <w:w w:val="110"/>
                                      <w:sz w:val="19"/>
                                      <w:vertAlign w:val="superscript"/>
                                    </w:rPr>
                                    <w:t>1</w:t>
                                  </w:r>
                                  <w:r>
                                    <w:rPr>
                                      <w:w w:val="110"/>
                                      <w:sz w:val="19"/>
                                    </w:rPr>
                                    <w:t>·w (601)</w:t>
                                  </w:r>
                                </w:p>
                              </w:tc>
                            </w:tr>
                            <w:tr w:rsidR="00E675F0">
                              <w:trPr>
                                <w:trHeight w:val="328"/>
                              </w:trPr>
                              <w:tc>
                                <w:tcPr>
                                  <w:tcW w:w="689" w:type="dxa"/>
                                </w:tcPr>
                                <w:p w:rsidR="00E675F0" w:rsidRDefault="00E675F0">
                                  <w:pPr>
                                    <w:pStyle w:val="TableParagraph"/>
                                    <w:spacing w:before="110" w:line="199" w:lineRule="exact"/>
                                    <w:ind w:left="54"/>
                                    <w:rPr>
                                      <w:sz w:val="19"/>
                                    </w:rPr>
                                  </w:pPr>
                                  <w:r>
                                    <w:rPr>
                                      <w:w w:val="105"/>
                                      <w:sz w:val="19"/>
                                    </w:rPr>
                                    <w:t>292.9</w:t>
                                  </w:r>
                                </w:p>
                              </w:tc>
                              <w:tc>
                                <w:tcPr>
                                  <w:tcW w:w="3209" w:type="dxa"/>
                                </w:tcPr>
                                <w:p w:rsidR="00E675F0" w:rsidRDefault="00E675F0">
                                  <w:pPr>
                                    <w:pStyle w:val="TableParagraph"/>
                                    <w:spacing w:before="110" w:line="199" w:lineRule="exact"/>
                                    <w:ind w:left="84"/>
                                    <w:rPr>
                                      <w:sz w:val="19"/>
                                    </w:rPr>
                                  </w:pPr>
                                  <w:r>
                                    <w:rPr>
                                      <w:w w:val="110"/>
                                      <w:sz w:val="19"/>
                                    </w:rPr>
                                    <w:t>Opioid-Related Disorder NOS (255)</w:t>
                                  </w:r>
                                </w:p>
                              </w:tc>
                            </w:tr>
                          </w:tbl>
                          <w:p w:rsidR="00E675F0" w:rsidRDefault="00E675F0" w:rsidP="00E675F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F5D40" id="Text Box 1658" o:spid="_x0000_s1046" type="#_x0000_t202" style="position:absolute;left:0;text-align:left;margin-left:34.25pt;margin-top:13.75pt;width:194.95pt;height:93.4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" filled="f" stroked="f">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689"/>
                        <w:gridCol w:w="3209"/>
                      </w:tblGrid>
                      <w:tr w:rsidR="00E675F0">
                        <w:trPr>
                          <w:trHeight w:val="218"/>
                        </w:trPr>
                        <w:tc>
                          <w:tcPr>
                            <w:tcW w:w="689" w:type="dxa"/>
                          </w:tcPr>
                          <w:p w:rsidR="00E675F0" w:rsidRDefault="00E675F0">
                            <w:pPr>
                              <w:pStyle w:val="TableParagraph"/>
                              <w:spacing w:line="198" w:lineRule="exact"/>
                              <w:ind w:left="50"/>
                              <w:rPr>
                                <w:sz w:val="19"/>
                              </w:rPr>
                            </w:pPr>
                            <w:r>
                              <w:rPr>
                                <w:w w:val="105"/>
                                <w:sz w:val="19"/>
                              </w:rPr>
                              <w:t>292.84</w:t>
                            </w:r>
                          </w:p>
                        </w:tc>
                        <w:tc>
                          <w:tcPr>
                            <w:tcW w:w="3209" w:type="dxa"/>
                          </w:tcPr>
                          <w:p w:rsidR="00E675F0" w:rsidRDefault="00E675F0">
                            <w:pPr>
                              <w:pStyle w:val="TableParagraph"/>
                              <w:spacing w:line="198" w:lineRule="exact"/>
                              <w:ind w:left="84"/>
                              <w:rPr>
                                <w:sz w:val="19"/>
                              </w:rPr>
                            </w:pPr>
                            <w:r>
                              <w:rPr>
                                <w:w w:val="110"/>
                                <w:sz w:val="19"/>
                              </w:rPr>
                              <w:t>Opioid-Induced Mood</w:t>
                            </w:r>
                          </w:p>
                        </w:tc>
                      </w:tr>
                      <w:tr w:rsidR="00E675F0">
                        <w:trPr>
                          <w:trHeight w:val="249"/>
                        </w:trPr>
                        <w:tc>
                          <w:tcPr>
                            <w:tcW w:w="689" w:type="dxa"/>
                          </w:tcPr>
                          <w:p w:rsidR="00E675F0" w:rsidRDefault="00E675F0">
                            <w:pPr>
                              <w:pStyle w:val="TableParagraph"/>
                              <w:rPr>
                                <w:sz w:val="18"/>
                              </w:rPr>
                            </w:pPr>
                          </w:p>
                        </w:tc>
                        <w:tc>
                          <w:tcPr>
                            <w:tcW w:w="3209" w:type="dxa"/>
                          </w:tcPr>
                          <w:p w:rsidR="00E675F0" w:rsidRDefault="00E675F0">
                            <w:pPr>
                              <w:pStyle w:val="TableParagraph"/>
                              <w:spacing w:before="14" w:line="216" w:lineRule="exact"/>
                              <w:ind w:left="88"/>
                              <w:rPr>
                                <w:sz w:val="19"/>
                              </w:rPr>
                            </w:pPr>
                            <w:r>
                              <w:rPr>
                                <w:w w:val="105"/>
                                <w:sz w:val="19"/>
                              </w:rPr>
                              <w:t xml:space="preserve">Disor der </w:t>
                            </w:r>
                            <w:r>
                              <w:rPr>
                                <w:w w:val="105"/>
                                <w:sz w:val="19"/>
                                <w:vertAlign w:val="superscript"/>
                              </w:rPr>
                              <w:t>1</w:t>
                            </w:r>
                            <w:r>
                              <w:rPr>
                                <w:w w:val="105"/>
                                <w:sz w:val="19"/>
                              </w:rPr>
                              <w:t xml:space="preserve"> (370)</w:t>
                            </w:r>
                          </w:p>
                        </w:tc>
                      </w:tr>
                      <w:tr w:rsidR="00E675F0">
                        <w:trPr>
                          <w:trHeight w:val="490"/>
                        </w:trPr>
                        <w:tc>
                          <w:tcPr>
                            <w:tcW w:w="689" w:type="dxa"/>
                          </w:tcPr>
                          <w:p w:rsidR="00E675F0" w:rsidRDefault="00E675F0">
                            <w:pPr>
                              <w:pStyle w:val="TableParagraph"/>
                              <w:spacing w:before="9"/>
                              <w:ind w:left="54"/>
                              <w:rPr>
                                <w:sz w:val="19"/>
                              </w:rPr>
                            </w:pPr>
                            <w:r>
                              <w:rPr>
                                <w:w w:val="105"/>
                                <w:sz w:val="19"/>
                              </w:rPr>
                              <w:t>292.89</w:t>
                            </w:r>
                          </w:p>
                        </w:tc>
                        <w:tc>
                          <w:tcPr>
                            <w:tcW w:w="3209" w:type="dxa"/>
                          </w:tcPr>
                          <w:p w:rsidR="00E675F0" w:rsidRDefault="00E675F0">
                            <w:pPr>
                              <w:pStyle w:val="TableParagraph"/>
                              <w:spacing w:before="9"/>
                              <w:ind w:left="84"/>
                              <w:rPr>
                                <w:sz w:val="19"/>
                              </w:rPr>
                            </w:pPr>
                            <w:r>
                              <w:rPr>
                                <w:w w:val="110"/>
                                <w:sz w:val="19"/>
                              </w:rPr>
                              <w:t>Opioid-Induced Sexual</w:t>
                            </w:r>
                          </w:p>
                          <w:p w:rsidR="00E675F0" w:rsidRDefault="00E675F0">
                            <w:pPr>
                              <w:pStyle w:val="TableParagraph"/>
                              <w:spacing w:before="27" w:line="216" w:lineRule="exact"/>
                              <w:ind w:left="88"/>
                              <w:rPr>
                                <w:sz w:val="19"/>
                              </w:rPr>
                            </w:pPr>
                            <w:r>
                              <w:rPr>
                                <w:w w:val="105"/>
                                <w:sz w:val="19"/>
                              </w:rPr>
                              <w:t>Dysfunctio n</w:t>
                            </w:r>
                            <w:r>
                              <w:rPr>
                                <w:w w:val="105"/>
                                <w:sz w:val="19"/>
                                <w:vertAlign w:val="superscript"/>
                              </w:rPr>
                              <w:t>1</w:t>
                            </w:r>
                            <w:r>
                              <w:rPr>
                                <w:w w:val="105"/>
                                <w:sz w:val="19"/>
                              </w:rPr>
                              <w:t xml:space="preserve"> (519)</w:t>
                            </w:r>
                          </w:p>
                        </w:tc>
                      </w:tr>
                      <w:tr w:rsidR="00E675F0">
                        <w:trPr>
                          <w:trHeight w:val="581"/>
                        </w:trPr>
                        <w:tc>
                          <w:tcPr>
                            <w:tcW w:w="689" w:type="dxa"/>
                          </w:tcPr>
                          <w:p w:rsidR="00E675F0" w:rsidRDefault="00E675F0">
                            <w:pPr>
                              <w:pStyle w:val="TableParagraph"/>
                              <w:spacing w:before="9"/>
                              <w:ind w:left="54"/>
                              <w:rPr>
                                <w:sz w:val="19"/>
                              </w:rPr>
                            </w:pPr>
                            <w:r>
                              <w:rPr>
                                <w:w w:val="105"/>
                                <w:sz w:val="19"/>
                              </w:rPr>
                              <w:t>292.89</w:t>
                            </w:r>
                          </w:p>
                        </w:tc>
                        <w:tc>
                          <w:tcPr>
                            <w:tcW w:w="3209" w:type="dxa"/>
                          </w:tcPr>
                          <w:p w:rsidR="00E675F0" w:rsidRDefault="00E675F0">
                            <w:pPr>
                              <w:pStyle w:val="TableParagraph"/>
                              <w:spacing w:before="9" w:line="259" w:lineRule="auto"/>
                              <w:ind w:left="88" w:right="643" w:hanging="4"/>
                              <w:rPr>
                                <w:sz w:val="19"/>
                              </w:rPr>
                            </w:pPr>
                            <w:r>
                              <w:rPr>
                                <w:w w:val="110"/>
                                <w:sz w:val="19"/>
                              </w:rPr>
                              <w:t>Opioid-Induced Sleep Disorde r</w:t>
                            </w:r>
                            <w:r>
                              <w:rPr>
                                <w:w w:val="110"/>
                                <w:sz w:val="19"/>
                                <w:vertAlign w:val="superscript"/>
                              </w:rPr>
                              <w:t>1</w:t>
                            </w:r>
                            <w:r>
                              <w:rPr>
                                <w:w w:val="110"/>
                                <w:sz w:val="19"/>
                              </w:rPr>
                              <w:t>·w (601)</w:t>
                            </w:r>
                          </w:p>
                        </w:tc>
                      </w:tr>
                      <w:tr w:rsidR="00E675F0">
                        <w:trPr>
                          <w:trHeight w:val="328"/>
                        </w:trPr>
                        <w:tc>
                          <w:tcPr>
                            <w:tcW w:w="689" w:type="dxa"/>
                          </w:tcPr>
                          <w:p w:rsidR="00E675F0" w:rsidRDefault="00E675F0">
                            <w:pPr>
                              <w:pStyle w:val="TableParagraph"/>
                              <w:spacing w:before="110" w:line="199" w:lineRule="exact"/>
                              <w:ind w:left="54"/>
                              <w:rPr>
                                <w:sz w:val="19"/>
                              </w:rPr>
                            </w:pPr>
                            <w:r>
                              <w:rPr>
                                <w:w w:val="105"/>
                                <w:sz w:val="19"/>
                              </w:rPr>
                              <w:t>292.9</w:t>
                            </w:r>
                          </w:p>
                        </w:tc>
                        <w:tc>
                          <w:tcPr>
                            <w:tcW w:w="3209" w:type="dxa"/>
                          </w:tcPr>
                          <w:p w:rsidR="00E675F0" w:rsidRDefault="00E675F0">
                            <w:pPr>
                              <w:pStyle w:val="TableParagraph"/>
                              <w:spacing w:before="110" w:line="199" w:lineRule="exact"/>
                              <w:ind w:left="84"/>
                              <w:rPr>
                                <w:sz w:val="19"/>
                              </w:rPr>
                            </w:pPr>
                            <w:r>
                              <w:rPr>
                                <w:w w:val="110"/>
                                <w:sz w:val="19"/>
                              </w:rPr>
                              <w:t>Opioid-Related Disorder NOS (255)</w:t>
                            </w:r>
                          </w:p>
                        </w:tc>
                      </w:tr>
                    </w:tbl>
                    <w:p w:rsidR="00E675F0" w:rsidRDefault="00E675F0" w:rsidP="00E675F0">
                      <w:pPr>
                        <w:pStyle w:val="BodyText"/>
                      </w:pPr>
                    </w:p>
                  </w:txbxContent>
                </v:textbox>
                <w10:wrap anchorx="page"/>
              </v:shape>
            </w:pict>
          </mc:Fallback>
        </mc:AlternateContent>
      </w:r>
      <w:r>
        <w:rPr>
          <w:w w:val="110"/>
          <w:sz w:val="19"/>
        </w:rPr>
        <w:t>.12</w:t>
      </w:r>
      <w:r>
        <w:rPr>
          <w:w w:val="110"/>
          <w:sz w:val="19"/>
        </w:rPr>
        <w:tab/>
        <w:t>With</w:t>
      </w:r>
      <w:r>
        <w:rPr>
          <w:spacing w:val="20"/>
          <w:w w:val="110"/>
          <w:sz w:val="19"/>
        </w:rPr>
        <w:t xml:space="preserve"> </w:t>
      </w:r>
      <w:r>
        <w:rPr>
          <w:w w:val="110"/>
          <w:sz w:val="19"/>
        </w:rPr>
        <w:t>Hallucinations'</w:t>
      </w:r>
    </w:p>
    <w:p w:rsidR="00E675F0" w:rsidRDefault="00E675F0" w:rsidP="00E675F0">
      <w:pPr>
        <w:pStyle w:val="BodyText"/>
      </w:pPr>
    </w:p>
    <w:p w:rsidR="00E675F0" w:rsidRDefault="00E675F0" w:rsidP="00E675F0">
      <w:pPr>
        <w:pStyle w:val="BodyText"/>
      </w:pPr>
    </w:p>
    <w:p w:rsidR="00E675F0" w:rsidRDefault="00E675F0" w:rsidP="00E675F0">
      <w:pPr>
        <w:pStyle w:val="BodyText"/>
      </w:pPr>
    </w:p>
    <w:p w:rsidR="00E675F0" w:rsidRDefault="00E675F0" w:rsidP="00E675F0">
      <w:pPr>
        <w:pStyle w:val="BodyText"/>
      </w:pPr>
    </w:p>
    <w:p w:rsidR="00E675F0" w:rsidRDefault="00E675F0" w:rsidP="00E675F0">
      <w:pPr>
        <w:pStyle w:val="BodyText"/>
      </w:pPr>
    </w:p>
    <w:p w:rsidR="00E675F0" w:rsidRDefault="00E675F0" w:rsidP="00E675F0">
      <w:pPr>
        <w:pStyle w:val="BodyText"/>
      </w:pPr>
    </w:p>
    <w:p w:rsidR="00E675F0" w:rsidRDefault="00E675F0" w:rsidP="00E675F0">
      <w:pPr>
        <w:pStyle w:val="BodyText"/>
      </w:pPr>
    </w:p>
    <w:p w:rsidR="00E675F0" w:rsidRDefault="00E675F0" w:rsidP="00E675F0">
      <w:pPr>
        <w:pStyle w:val="BodyText"/>
      </w:pPr>
    </w:p>
    <w:p w:rsidR="00E675F0" w:rsidRDefault="00E675F0" w:rsidP="00E675F0">
      <w:pPr>
        <w:pStyle w:val="BodyText"/>
        <w:spacing w:before="2"/>
        <w:rPr>
          <w:sz w:val="29"/>
        </w:rPr>
      </w:pPr>
    </w:p>
    <w:p w:rsidR="00E675F0" w:rsidRDefault="00E675F0" w:rsidP="00E675F0">
      <w:pPr>
        <w:spacing w:line="256" w:lineRule="auto"/>
        <w:ind w:left="149" w:right="1134"/>
        <w:rPr>
          <w:sz w:val="19"/>
        </w:rPr>
      </w:pPr>
      <w:r>
        <w:rPr>
          <w:b/>
          <w:sz w:val="20"/>
        </w:rPr>
        <w:t xml:space="preserve">PHENCYCLIDINE (OR PHENCYCLIDINE-LIKE)­ </w:t>
      </w:r>
      <w:r>
        <w:rPr>
          <w:b/>
          <w:w w:val="95"/>
          <w:sz w:val="20"/>
        </w:rPr>
        <w:t xml:space="preserve">RELATED DISORDERS </w:t>
      </w:r>
      <w:r>
        <w:rPr>
          <w:w w:val="95"/>
          <w:sz w:val="19"/>
        </w:rPr>
        <w:t>(255)</w:t>
      </w:r>
    </w:p>
    <w:p w:rsidR="00E675F0" w:rsidRDefault="00E675F0" w:rsidP="00E675F0">
      <w:pPr>
        <w:spacing w:before="84"/>
        <w:ind w:left="149"/>
        <w:rPr>
          <w:b/>
          <w:sz w:val="20"/>
        </w:rPr>
      </w:pPr>
      <w:r>
        <w:rPr>
          <w:b/>
          <w:w w:val="110"/>
          <w:sz w:val="20"/>
        </w:rPr>
        <w:t>Phencyclidine Use Disorders</w:t>
      </w:r>
    </w:p>
    <w:p w:rsidR="00E675F0" w:rsidRDefault="00E675F0" w:rsidP="00E675F0">
      <w:pPr>
        <w:spacing w:before="20"/>
        <w:ind w:left="156"/>
        <w:rPr>
          <w:sz w:val="19"/>
        </w:rPr>
      </w:pPr>
      <w:r>
        <w:rPr>
          <w:w w:val="110"/>
          <w:sz w:val="19"/>
        </w:rPr>
        <w:t>304.90 Phencyclidine Dependencea (256)</w:t>
      </w:r>
    </w:p>
    <w:p w:rsidR="00E675F0" w:rsidRDefault="00E675F0" w:rsidP="00E675F0">
      <w:pPr>
        <w:spacing w:before="31"/>
        <w:ind w:left="151"/>
        <w:rPr>
          <w:sz w:val="19"/>
        </w:rPr>
      </w:pPr>
      <w:r>
        <w:rPr>
          <w:w w:val="110"/>
          <w:sz w:val="19"/>
        </w:rPr>
        <w:t>305.90 Phencyclidine Abuse (257)</w:t>
      </w:r>
    </w:p>
    <w:p w:rsidR="00E675F0" w:rsidRDefault="00E675F0" w:rsidP="00E675F0">
      <w:pPr>
        <w:pStyle w:val="BodyText"/>
        <w:spacing w:before="3"/>
        <w:rPr>
          <w:sz w:val="23"/>
        </w:rPr>
      </w:pPr>
    </w:p>
    <w:p w:rsidR="00E675F0" w:rsidRDefault="00E675F0" w:rsidP="00E675F0">
      <w:pPr>
        <w:ind w:left="149"/>
        <w:rPr>
          <w:b/>
          <w:sz w:val="20"/>
        </w:rPr>
      </w:pPr>
      <w:r>
        <w:rPr>
          <w:b/>
          <w:w w:val="110"/>
          <w:sz w:val="20"/>
        </w:rPr>
        <w:t>Phencyclidine-Induced Disorders</w:t>
      </w:r>
    </w:p>
    <w:p w:rsidR="00E675F0" w:rsidRDefault="00E675F0" w:rsidP="00E675F0">
      <w:pPr>
        <w:spacing w:before="20" w:line="214" w:lineRule="exact"/>
        <w:ind w:left="159"/>
        <w:rPr>
          <w:sz w:val="19"/>
        </w:rPr>
      </w:pPr>
      <w:r>
        <w:rPr>
          <w:w w:val="110"/>
          <w:sz w:val="19"/>
        </w:rPr>
        <w:t>292.89 Phencyclidine Intoxication (257)</w:t>
      </w:r>
    </w:p>
    <w:p w:rsidR="00E675F0" w:rsidRDefault="00E675F0" w:rsidP="00E675F0">
      <w:pPr>
        <w:spacing w:line="203" w:lineRule="exact"/>
        <w:ind w:left="889"/>
        <w:rPr>
          <w:sz w:val="16"/>
        </w:rPr>
      </w:pPr>
      <w:r>
        <w:rPr>
          <w:i/>
          <w:sz w:val="16"/>
        </w:rPr>
        <w:t xml:space="preserve">Specify </w:t>
      </w:r>
      <w:r>
        <w:rPr>
          <w:rFonts w:ascii="Arial"/>
          <w:i/>
          <w:sz w:val="18"/>
        </w:rPr>
        <w:t xml:space="preserve">if </w:t>
      </w:r>
      <w:r>
        <w:rPr>
          <w:sz w:val="16"/>
        </w:rPr>
        <w:t>With Perceptual Disturbances</w:t>
      </w:r>
    </w:p>
    <w:p w:rsidR="00E675F0" w:rsidRDefault="00E675F0" w:rsidP="00E675F0">
      <w:pPr>
        <w:spacing w:line="240" w:lineRule="exact"/>
        <w:ind w:left="882" w:right="90" w:hanging="723"/>
        <w:rPr>
          <w:sz w:val="19"/>
        </w:rPr>
      </w:pPr>
      <w:r>
        <w:rPr>
          <w:w w:val="110"/>
          <w:sz w:val="19"/>
        </w:rPr>
        <w:t>292.81 Phencyclidine Intoxication Delirium (129)</w:t>
      </w:r>
    </w:p>
    <w:p w:rsidR="00E675F0" w:rsidRDefault="00E675F0" w:rsidP="00E675F0">
      <w:pPr>
        <w:spacing w:before="13" w:line="210" w:lineRule="exact"/>
        <w:ind w:left="862"/>
        <w:rPr>
          <w:sz w:val="19"/>
        </w:rPr>
      </w:pPr>
      <w:r>
        <w:br w:type="column"/>
      </w:r>
      <w:r>
        <w:rPr>
          <w:w w:val="110"/>
          <w:sz w:val="19"/>
        </w:rPr>
        <w:t>Withdrawal (264)</w:t>
      </w:r>
    </w:p>
    <w:p w:rsidR="00E675F0" w:rsidRDefault="00E675F0" w:rsidP="00E675F0">
      <w:pPr>
        <w:spacing w:line="198" w:lineRule="exact"/>
        <w:ind w:left="878"/>
        <w:rPr>
          <w:sz w:val="16"/>
        </w:rPr>
      </w:pPr>
      <w:r>
        <w:rPr>
          <w:i/>
          <w:sz w:val="16"/>
        </w:rPr>
        <w:t xml:space="preserve">Specify </w:t>
      </w:r>
      <w:r>
        <w:rPr>
          <w:rFonts w:ascii="Arial"/>
          <w:i/>
          <w:sz w:val="18"/>
        </w:rPr>
        <w:t xml:space="preserve">!f </w:t>
      </w:r>
      <w:r>
        <w:rPr>
          <w:sz w:val="16"/>
        </w:rPr>
        <w:t>With Perceptual Disturbances</w:t>
      </w:r>
    </w:p>
    <w:p w:rsidR="00E675F0" w:rsidRDefault="00E675F0" w:rsidP="00E675F0">
      <w:pPr>
        <w:spacing w:before="29" w:line="264" w:lineRule="auto"/>
        <w:ind w:left="865" w:hanging="712"/>
        <w:rPr>
          <w:sz w:val="19"/>
        </w:rPr>
      </w:pPr>
      <w:r>
        <w:rPr>
          <w:w w:val="110"/>
          <w:sz w:val="19"/>
        </w:rPr>
        <w:t>292.81 Sedative, Hypnotic, or Anxiolytic Intoxication Delirium (129)</w:t>
      </w:r>
    </w:p>
    <w:p w:rsidR="00E675F0" w:rsidRDefault="00E675F0" w:rsidP="003048D3">
      <w:pPr>
        <w:pStyle w:val="ListParagraph"/>
        <w:numPr>
          <w:ilvl w:val="1"/>
          <w:numId w:val="126"/>
        </w:numPr>
        <w:tabs>
          <w:tab w:val="left" w:pos="864"/>
        </w:tabs>
        <w:spacing w:before="5" w:line="268" w:lineRule="auto"/>
        <w:ind w:right="151" w:hanging="709"/>
        <w:rPr>
          <w:sz w:val="19"/>
        </w:rPr>
      </w:pPr>
      <w:r>
        <w:rPr>
          <w:w w:val="110"/>
          <w:sz w:val="19"/>
        </w:rPr>
        <w:t>Sedative, Hypnotic, or Anxiolytic Withdrawal Delirium</w:t>
      </w:r>
      <w:r>
        <w:rPr>
          <w:spacing w:val="32"/>
          <w:w w:val="110"/>
          <w:sz w:val="19"/>
        </w:rPr>
        <w:t xml:space="preserve"> </w:t>
      </w:r>
      <w:r>
        <w:rPr>
          <w:w w:val="110"/>
          <w:sz w:val="19"/>
        </w:rPr>
        <w:t>(129)</w:t>
      </w:r>
    </w:p>
    <w:p w:rsidR="00E675F0" w:rsidRDefault="00E675F0" w:rsidP="003048D3">
      <w:pPr>
        <w:pStyle w:val="ListParagraph"/>
        <w:numPr>
          <w:ilvl w:val="1"/>
          <w:numId w:val="126"/>
        </w:numPr>
        <w:tabs>
          <w:tab w:val="left" w:pos="864"/>
        </w:tabs>
        <w:spacing w:before="1" w:line="268" w:lineRule="auto"/>
        <w:ind w:left="863" w:right="476" w:hanging="715"/>
        <w:rPr>
          <w:sz w:val="19"/>
        </w:rPr>
      </w:pPr>
      <w:r>
        <w:rPr>
          <w:w w:val="110"/>
          <w:sz w:val="19"/>
        </w:rPr>
        <w:t>Sedative-, Hypnotic-, or Anxiolytic-Induced</w:t>
      </w:r>
      <w:r>
        <w:rPr>
          <w:spacing w:val="-28"/>
          <w:w w:val="110"/>
          <w:sz w:val="19"/>
        </w:rPr>
        <w:t xml:space="preserve"> </w:t>
      </w:r>
      <w:r>
        <w:rPr>
          <w:w w:val="110"/>
          <w:sz w:val="19"/>
        </w:rPr>
        <w:t>Persisting Dementia</w:t>
      </w:r>
      <w:r>
        <w:rPr>
          <w:spacing w:val="14"/>
          <w:w w:val="110"/>
          <w:sz w:val="19"/>
        </w:rPr>
        <w:t xml:space="preserve"> </w:t>
      </w:r>
      <w:r>
        <w:rPr>
          <w:w w:val="110"/>
          <w:sz w:val="19"/>
        </w:rPr>
        <w:t>(152)</w:t>
      </w:r>
    </w:p>
    <w:p w:rsidR="00E675F0" w:rsidRDefault="00E675F0" w:rsidP="003048D3">
      <w:pPr>
        <w:pStyle w:val="ListParagraph"/>
        <w:numPr>
          <w:ilvl w:val="1"/>
          <w:numId w:val="126"/>
        </w:numPr>
        <w:tabs>
          <w:tab w:val="left" w:pos="864"/>
        </w:tabs>
        <w:spacing w:before="6" w:line="266" w:lineRule="auto"/>
        <w:ind w:left="863" w:right="476" w:hanging="715"/>
        <w:rPr>
          <w:sz w:val="19"/>
        </w:rPr>
      </w:pPr>
      <w:r>
        <w:rPr>
          <w:w w:val="110"/>
          <w:sz w:val="19"/>
        </w:rPr>
        <w:t>Sedative-, Hypnotic-, or Anxiolytic-Induced</w:t>
      </w:r>
      <w:r>
        <w:rPr>
          <w:spacing w:val="-28"/>
          <w:w w:val="110"/>
          <w:sz w:val="19"/>
        </w:rPr>
        <w:t xml:space="preserve"> </w:t>
      </w:r>
      <w:r>
        <w:rPr>
          <w:w w:val="110"/>
          <w:sz w:val="19"/>
        </w:rPr>
        <w:t>Persisting Amnestic Disorder</w:t>
      </w:r>
      <w:r>
        <w:rPr>
          <w:spacing w:val="10"/>
          <w:w w:val="110"/>
          <w:sz w:val="19"/>
        </w:rPr>
        <w:t xml:space="preserve"> </w:t>
      </w:r>
      <w:r>
        <w:rPr>
          <w:w w:val="110"/>
          <w:sz w:val="19"/>
        </w:rPr>
        <w:t>(161)</w:t>
      </w:r>
    </w:p>
    <w:p w:rsidR="00E675F0" w:rsidRDefault="00E675F0" w:rsidP="00E675F0">
      <w:pPr>
        <w:spacing w:before="8" w:line="266" w:lineRule="auto"/>
        <w:ind w:left="868" w:right="437" w:hanging="715"/>
        <w:rPr>
          <w:sz w:val="19"/>
        </w:rPr>
      </w:pPr>
      <w:r>
        <w:rPr>
          <w:w w:val="110"/>
          <w:sz w:val="19"/>
        </w:rPr>
        <w:t>292.xx Sedative-, Hypnotic-, or Anxiolytic-Induced Psychotic Disorder (310)</w:t>
      </w:r>
    </w:p>
    <w:p w:rsidR="00E675F0" w:rsidRDefault="00E675F0" w:rsidP="003048D3">
      <w:pPr>
        <w:pStyle w:val="ListParagraph"/>
        <w:numPr>
          <w:ilvl w:val="0"/>
          <w:numId w:val="125"/>
        </w:numPr>
        <w:tabs>
          <w:tab w:val="left" w:pos="1160"/>
          <w:tab w:val="left" w:pos="1161"/>
        </w:tabs>
        <w:spacing w:line="217" w:lineRule="exact"/>
        <w:rPr>
          <w:sz w:val="19"/>
        </w:rPr>
      </w:pPr>
      <w:r>
        <w:rPr>
          <w:w w:val="105"/>
          <w:sz w:val="19"/>
        </w:rPr>
        <w:t>With Delusions</w:t>
      </w:r>
      <w:r>
        <w:rPr>
          <w:spacing w:val="-11"/>
          <w:w w:val="105"/>
          <w:sz w:val="19"/>
        </w:rPr>
        <w:t xml:space="preserve"> </w:t>
      </w:r>
      <w:r>
        <w:rPr>
          <w:rFonts w:ascii="Arial" w:hAnsi="Arial"/>
          <w:spacing w:val="-12"/>
          <w:w w:val="105"/>
          <w:sz w:val="19"/>
          <w:vertAlign w:val="superscript"/>
        </w:rPr>
        <w:t>1</w:t>
      </w:r>
      <w:r>
        <w:rPr>
          <w:spacing w:val="-12"/>
          <w:w w:val="105"/>
          <w:sz w:val="19"/>
        </w:rPr>
        <w:t>·w</w:t>
      </w:r>
    </w:p>
    <w:p w:rsidR="00E675F0" w:rsidRDefault="00E675F0" w:rsidP="003048D3">
      <w:pPr>
        <w:pStyle w:val="ListParagraph"/>
        <w:numPr>
          <w:ilvl w:val="0"/>
          <w:numId w:val="125"/>
        </w:numPr>
        <w:tabs>
          <w:tab w:val="left" w:pos="1160"/>
          <w:tab w:val="left" w:pos="1161"/>
        </w:tabs>
        <w:spacing w:before="17"/>
        <w:ind w:hanging="699"/>
        <w:rPr>
          <w:sz w:val="19"/>
        </w:rPr>
      </w:pPr>
      <w:r>
        <w:rPr>
          <w:w w:val="105"/>
          <w:sz w:val="19"/>
        </w:rPr>
        <w:t>With</w:t>
      </w:r>
      <w:r>
        <w:rPr>
          <w:spacing w:val="18"/>
          <w:w w:val="105"/>
          <w:sz w:val="19"/>
        </w:rPr>
        <w:t xml:space="preserve"> </w:t>
      </w:r>
      <w:r>
        <w:rPr>
          <w:w w:val="105"/>
          <w:sz w:val="19"/>
        </w:rPr>
        <w:t>Hallucinations1.w</w:t>
      </w:r>
    </w:p>
    <w:p w:rsidR="00E675F0" w:rsidRDefault="00E675F0" w:rsidP="003048D3">
      <w:pPr>
        <w:pStyle w:val="ListParagraph"/>
        <w:numPr>
          <w:ilvl w:val="1"/>
          <w:numId w:val="126"/>
        </w:numPr>
        <w:tabs>
          <w:tab w:val="left" w:pos="864"/>
        </w:tabs>
        <w:spacing w:before="36" w:line="264" w:lineRule="auto"/>
        <w:ind w:left="868" w:right="786" w:hanging="720"/>
        <w:rPr>
          <w:sz w:val="19"/>
        </w:rPr>
      </w:pPr>
      <w:r>
        <w:rPr>
          <w:w w:val="110"/>
          <w:sz w:val="19"/>
        </w:rPr>
        <w:t>Sedative-, Hypnotic-, or Anxiolytic-Induced</w:t>
      </w:r>
      <w:r>
        <w:rPr>
          <w:spacing w:val="-19"/>
          <w:w w:val="110"/>
          <w:sz w:val="19"/>
        </w:rPr>
        <w:t xml:space="preserve"> </w:t>
      </w:r>
      <w:r>
        <w:rPr>
          <w:w w:val="110"/>
          <w:sz w:val="19"/>
        </w:rPr>
        <w:t>Mood Disorder</w:t>
      </w:r>
      <w:r>
        <w:rPr>
          <w:spacing w:val="-41"/>
          <w:w w:val="110"/>
          <w:sz w:val="19"/>
        </w:rPr>
        <w:t xml:space="preserve"> </w:t>
      </w:r>
      <w:r>
        <w:rPr>
          <w:spacing w:val="-7"/>
          <w:w w:val="110"/>
          <w:sz w:val="19"/>
          <w:vertAlign w:val="superscript"/>
        </w:rPr>
        <w:t>1</w:t>
      </w:r>
      <w:r>
        <w:rPr>
          <w:spacing w:val="-7"/>
          <w:w w:val="110"/>
          <w:sz w:val="19"/>
        </w:rPr>
        <w:t xml:space="preserve">·w </w:t>
      </w:r>
      <w:r>
        <w:rPr>
          <w:w w:val="110"/>
          <w:sz w:val="19"/>
        </w:rPr>
        <w:t>(370)</w:t>
      </w:r>
    </w:p>
    <w:p w:rsidR="00E675F0" w:rsidRDefault="00E675F0" w:rsidP="00E675F0">
      <w:pPr>
        <w:spacing w:before="5" w:line="264" w:lineRule="auto"/>
        <w:ind w:left="868" w:right="583" w:hanging="715"/>
        <w:rPr>
          <w:sz w:val="19"/>
        </w:rPr>
      </w:pPr>
      <w:r>
        <w:rPr>
          <w:w w:val="110"/>
          <w:sz w:val="19"/>
        </w:rPr>
        <w:t>292.89 Sedative-, Hypnotic-, or Anxiolytic-Induced Anxiety</w:t>
      </w:r>
    </w:p>
    <w:p w:rsidR="00E675F0" w:rsidRDefault="00E675F0" w:rsidP="00E675F0">
      <w:pPr>
        <w:spacing w:line="264" w:lineRule="auto"/>
        <w:rPr>
          <w:sz w:val="19"/>
        </w:rPr>
        <w:sectPr w:rsidR="00E675F0">
          <w:type w:val="continuous"/>
          <w:pgSz w:w="8960" w:h="14260"/>
          <w:pgMar w:top="640" w:right="600" w:bottom="0" w:left="580" w:header="720" w:footer="720" w:gutter="0"/>
          <w:cols w:num="2" w:space="720" w:equalWidth="0">
            <w:col w:w="3857" w:space="80"/>
            <w:col w:w="3843"/>
          </w:cols>
        </w:sectPr>
      </w:pPr>
    </w:p>
    <w:p w:rsidR="00E675F0" w:rsidRDefault="00E675F0" w:rsidP="00E675F0">
      <w:pPr>
        <w:spacing w:before="20"/>
        <w:ind w:left="159"/>
        <w:rPr>
          <w:sz w:val="19"/>
        </w:rPr>
      </w:pPr>
      <w:r>
        <w:rPr>
          <w:w w:val="105"/>
          <w:sz w:val="19"/>
        </w:rPr>
        <w:t>292.xx</w:t>
      </w:r>
    </w:p>
    <w:p w:rsidR="00E675F0" w:rsidRDefault="00E675F0" w:rsidP="00E675F0">
      <w:pPr>
        <w:pStyle w:val="BodyText"/>
        <w:spacing w:before="9"/>
        <w:rPr>
          <w:sz w:val="22"/>
        </w:rPr>
      </w:pPr>
    </w:p>
    <w:p w:rsidR="00E675F0" w:rsidRDefault="00E675F0" w:rsidP="00E675F0">
      <w:pPr>
        <w:ind w:left="472"/>
        <w:rPr>
          <w:sz w:val="19"/>
        </w:rPr>
      </w:pPr>
      <w:r>
        <w:rPr>
          <w:w w:val="105"/>
          <w:sz w:val="19"/>
        </w:rPr>
        <w:t>.11</w:t>
      </w:r>
    </w:p>
    <w:p w:rsidR="00E675F0" w:rsidRDefault="00E675F0" w:rsidP="00E675F0">
      <w:pPr>
        <w:spacing w:before="18"/>
        <w:ind w:left="477"/>
        <w:rPr>
          <w:b/>
          <w:sz w:val="19"/>
        </w:rPr>
      </w:pPr>
      <w:r>
        <w:rPr>
          <w:noProof/>
        </w:rPr>
        <mc:AlternateContent>
          <mc:Choice Requires="wps">
            <w:drawing>
              <wp:anchor distT="0" distB="0" distL="114300" distR="114300" simplePos="0" relativeHeight="251669504" behindDoc="0" locked="0" layoutInCell="1" allowOverlap="1" wp14:anchorId="150C8DE7" wp14:editId="1DAC8A2B">
                <wp:simplePos x="0" y="0"/>
                <wp:positionH relativeFrom="page">
                  <wp:posOffset>438150</wp:posOffset>
                </wp:positionH>
                <wp:positionV relativeFrom="paragraph">
                  <wp:posOffset>168910</wp:posOffset>
                </wp:positionV>
                <wp:extent cx="2231390" cy="1028700"/>
                <wp:effectExtent l="0" t="0" r="0" b="0"/>
                <wp:wrapNone/>
                <wp:docPr id="1701" name="Text Box 1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3139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686"/>
                              <w:gridCol w:w="2827"/>
                            </w:tblGrid>
                            <w:tr w:rsidR="00E675F0">
                              <w:trPr>
                                <w:trHeight w:val="218"/>
                              </w:trPr>
                              <w:tc>
                                <w:tcPr>
                                  <w:tcW w:w="686" w:type="dxa"/>
                                </w:tcPr>
                                <w:p w:rsidR="00E675F0" w:rsidRDefault="00E675F0">
                                  <w:pPr>
                                    <w:pStyle w:val="TableParagraph"/>
                                    <w:spacing w:line="198" w:lineRule="exact"/>
                                    <w:ind w:left="50"/>
                                    <w:rPr>
                                      <w:sz w:val="19"/>
                                    </w:rPr>
                                  </w:pPr>
                                  <w:r>
                                    <w:rPr>
                                      <w:w w:val="105"/>
                                      <w:sz w:val="19"/>
                                    </w:rPr>
                                    <w:t>292.84</w:t>
                                  </w:r>
                                </w:p>
                              </w:tc>
                              <w:tc>
                                <w:tcPr>
                                  <w:tcW w:w="2827" w:type="dxa"/>
                                </w:tcPr>
                                <w:p w:rsidR="00E675F0" w:rsidRDefault="00E675F0">
                                  <w:pPr>
                                    <w:pStyle w:val="TableParagraph"/>
                                    <w:spacing w:line="198" w:lineRule="exact"/>
                                    <w:ind w:left="91"/>
                                    <w:rPr>
                                      <w:sz w:val="19"/>
                                    </w:rPr>
                                  </w:pPr>
                                  <w:r>
                                    <w:rPr>
                                      <w:w w:val="110"/>
                                      <w:sz w:val="19"/>
                                    </w:rPr>
                                    <w:t>Phencyclidine-Induced Mood</w:t>
                                  </w:r>
                                </w:p>
                              </w:tc>
                            </w:tr>
                            <w:tr w:rsidR="00E675F0">
                              <w:trPr>
                                <w:trHeight w:val="249"/>
                              </w:trPr>
                              <w:tc>
                                <w:tcPr>
                                  <w:tcW w:w="686" w:type="dxa"/>
                                </w:tcPr>
                                <w:p w:rsidR="00E675F0" w:rsidRDefault="00E675F0">
                                  <w:pPr>
                                    <w:pStyle w:val="TableParagraph"/>
                                    <w:rPr>
                                      <w:sz w:val="18"/>
                                    </w:rPr>
                                  </w:pPr>
                                </w:p>
                              </w:tc>
                              <w:tc>
                                <w:tcPr>
                                  <w:tcW w:w="2827" w:type="dxa"/>
                                </w:tcPr>
                                <w:p w:rsidR="00E675F0" w:rsidRDefault="00E675F0">
                                  <w:pPr>
                                    <w:pStyle w:val="TableParagraph"/>
                                    <w:spacing w:before="14" w:line="216" w:lineRule="exact"/>
                                    <w:ind w:left="91"/>
                                    <w:rPr>
                                      <w:sz w:val="19"/>
                                    </w:rPr>
                                  </w:pPr>
                                  <w:r>
                                    <w:rPr>
                                      <w:w w:val="105"/>
                                      <w:sz w:val="19"/>
                                    </w:rPr>
                                    <w:t xml:space="preserve">Disorder </w:t>
                                  </w:r>
                                  <w:r>
                                    <w:rPr>
                                      <w:w w:val="105"/>
                                      <w:sz w:val="19"/>
                                      <w:vertAlign w:val="superscript"/>
                                    </w:rPr>
                                    <w:t>1</w:t>
                                  </w:r>
                                  <w:r>
                                    <w:rPr>
                                      <w:w w:val="105"/>
                                      <w:sz w:val="19"/>
                                    </w:rPr>
                                    <w:t xml:space="preserve"> (370)</w:t>
                                  </w:r>
                                </w:p>
                              </w:tc>
                            </w:tr>
                            <w:tr w:rsidR="00E675F0">
                              <w:trPr>
                                <w:trHeight w:val="586"/>
                              </w:trPr>
                              <w:tc>
                                <w:tcPr>
                                  <w:tcW w:w="686" w:type="dxa"/>
                                </w:tcPr>
                                <w:p w:rsidR="00E675F0" w:rsidRDefault="00E675F0">
                                  <w:pPr>
                                    <w:pStyle w:val="TableParagraph"/>
                                    <w:spacing w:before="14"/>
                                    <w:ind w:left="54"/>
                                    <w:rPr>
                                      <w:sz w:val="19"/>
                                    </w:rPr>
                                  </w:pPr>
                                  <w:r>
                                    <w:rPr>
                                      <w:w w:val="105"/>
                                      <w:sz w:val="19"/>
                                    </w:rPr>
                                    <w:t>292.89</w:t>
                                  </w:r>
                                </w:p>
                              </w:tc>
                              <w:tc>
                                <w:tcPr>
                                  <w:tcW w:w="2827" w:type="dxa"/>
                                </w:tcPr>
                                <w:p w:rsidR="00E675F0" w:rsidRDefault="00E675F0">
                                  <w:pPr>
                                    <w:pStyle w:val="TableParagraph"/>
                                    <w:spacing w:before="9" w:line="268" w:lineRule="auto"/>
                                    <w:ind w:left="91" w:right="63"/>
                                    <w:rPr>
                                      <w:sz w:val="19"/>
                                    </w:rPr>
                                  </w:pPr>
                                  <w:r>
                                    <w:rPr>
                                      <w:w w:val="110"/>
                                      <w:sz w:val="19"/>
                                    </w:rPr>
                                    <w:t xml:space="preserve">Phencyclidine-Induced Anxiety Disorder </w:t>
                                  </w:r>
                                  <w:r>
                                    <w:rPr>
                                      <w:w w:val="110"/>
                                      <w:sz w:val="19"/>
                                      <w:vertAlign w:val="superscript"/>
                                    </w:rPr>
                                    <w:t>1</w:t>
                                  </w:r>
                                  <w:r>
                                    <w:rPr>
                                      <w:w w:val="110"/>
                                      <w:sz w:val="19"/>
                                    </w:rPr>
                                    <w:t xml:space="preserve"> (439)</w:t>
                                  </w:r>
                                </w:p>
                              </w:tc>
                            </w:tr>
                            <w:tr w:rsidR="00E675F0">
                              <w:trPr>
                                <w:trHeight w:val="341"/>
                              </w:trPr>
                              <w:tc>
                                <w:tcPr>
                                  <w:tcW w:w="686" w:type="dxa"/>
                                </w:tcPr>
                                <w:p w:rsidR="00E675F0" w:rsidRDefault="00E675F0">
                                  <w:pPr>
                                    <w:pStyle w:val="TableParagraph"/>
                                    <w:spacing w:before="110" w:line="211" w:lineRule="exact"/>
                                    <w:ind w:left="50"/>
                                    <w:rPr>
                                      <w:sz w:val="19"/>
                                    </w:rPr>
                                  </w:pPr>
                                  <w:r>
                                    <w:rPr>
                                      <w:w w:val="105"/>
                                      <w:sz w:val="19"/>
                                    </w:rPr>
                                    <w:t>292.9</w:t>
                                  </w:r>
                                </w:p>
                              </w:tc>
                              <w:tc>
                                <w:tcPr>
                                  <w:tcW w:w="2827" w:type="dxa"/>
                                </w:tcPr>
                                <w:p w:rsidR="00E675F0" w:rsidRDefault="00E675F0">
                                  <w:pPr>
                                    <w:pStyle w:val="TableParagraph"/>
                                    <w:spacing w:before="105" w:line="216" w:lineRule="exact"/>
                                    <w:ind w:left="86"/>
                                    <w:rPr>
                                      <w:sz w:val="19"/>
                                    </w:rPr>
                                  </w:pPr>
                                  <w:r>
                                    <w:rPr>
                                      <w:w w:val="110"/>
                                      <w:sz w:val="19"/>
                                    </w:rPr>
                                    <w:t>Phencyclidine-Related Disorder</w:t>
                                  </w:r>
                                </w:p>
                              </w:tc>
                            </w:tr>
                            <w:tr w:rsidR="00E675F0">
                              <w:trPr>
                                <w:trHeight w:val="223"/>
                              </w:trPr>
                              <w:tc>
                                <w:tcPr>
                                  <w:tcW w:w="686" w:type="dxa"/>
                                </w:tcPr>
                                <w:p w:rsidR="00E675F0" w:rsidRDefault="00E675F0">
                                  <w:pPr>
                                    <w:pStyle w:val="TableParagraph"/>
                                    <w:rPr>
                                      <w:sz w:val="14"/>
                                    </w:rPr>
                                  </w:pPr>
                                </w:p>
                              </w:tc>
                              <w:tc>
                                <w:tcPr>
                                  <w:tcW w:w="2827" w:type="dxa"/>
                                </w:tcPr>
                                <w:p w:rsidR="00E675F0" w:rsidRDefault="00E675F0">
                                  <w:pPr>
                                    <w:pStyle w:val="TableParagraph"/>
                                    <w:spacing w:before="4" w:line="199" w:lineRule="exact"/>
                                    <w:ind w:left="97"/>
                                    <w:rPr>
                                      <w:sz w:val="19"/>
                                    </w:rPr>
                                  </w:pPr>
                                  <w:r>
                                    <w:rPr>
                                      <w:w w:val="105"/>
                                      <w:sz w:val="19"/>
                                    </w:rPr>
                                    <w:t>NOS (261)</w:t>
                                  </w:r>
                                </w:p>
                              </w:tc>
                            </w:tr>
                          </w:tbl>
                          <w:p w:rsidR="00E675F0" w:rsidRDefault="00E675F0" w:rsidP="00E675F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C8DE7" id="Text Box 1657" o:spid="_x0000_s1047" type="#_x0000_t202" style="position:absolute;left:0;text-align:left;margin-left:34.5pt;margin-top:13.3pt;width:175.7pt;height:81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" filled="f" stroked="f">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686"/>
                        <w:gridCol w:w="2827"/>
                      </w:tblGrid>
                      <w:tr w:rsidR="00E675F0">
                        <w:trPr>
                          <w:trHeight w:val="218"/>
                        </w:trPr>
                        <w:tc>
                          <w:tcPr>
                            <w:tcW w:w="686" w:type="dxa"/>
                          </w:tcPr>
                          <w:p w:rsidR="00E675F0" w:rsidRDefault="00E675F0">
                            <w:pPr>
                              <w:pStyle w:val="TableParagraph"/>
                              <w:spacing w:line="198" w:lineRule="exact"/>
                              <w:ind w:left="50"/>
                              <w:rPr>
                                <w:sz w:val="19"/>
                              </w:rPr>
                            </w:pPr>
                            <w:r>
                              <w:rPr>
                                <w:w w:val="105"/>
                                <w:sz w:val="19"/>
                              </w:rPr>
                              <w:t>292.84</w:t>
                            </w:r>
                          </w:p>
                        </w:tc>
                        <w:tc>
                          <w:tcPr>
                            <w:tcW w:w="2827" w:type="dxa"/>
                          </w:tcPr>
                          <w:p w:rsidR="00E675F0" w:rsidRDefault="00E675F0">
                            <w:pPr>
                              <w:pStyle w:val="TableParagraph"/>
                              <w:spacing w:line="198" w:lineRule="exact"/>
                              <w:ind w:left="91"/>
                              <w:rPr>
                                <w:sz w:val="19"/>
                              </w:rPr>
                            </w:pPr>
                            <w:r>
                              <w:rPr>
                                <w:w w:val="110"/>
                                <w:sz w:val="19"/>
                              </w:rPr>
                              <w:t>Phencyclidine-Induced Mood</w:t>
                            </w:r>
                          </w:p>
                        </w:tc>
                      </w:tr>
                      <w:tr w:rsidR="00E675F0">
                        <w:trPr>
                          <w:trHeight w:val="249"/>
                        </w:trPr>
                        <w:tc>
                          <w:tcPr>
                            <w:tcW w:w="686" w:type="dxa"/>
                          </w:tcPr>
                          <w:p w:rsidR="00E675F0" w:rsidRDefault="00E675F0">
                            <w:pPr>
                              <w:pStyle w:val="TableParagraph"/>
                              <w:rPr>
                                <w:sz w:val="18"/>
                              </w:rPr>
                            </w:pPr>
                          </w:p>
                        </w:tc>
                        <w:tc>
                          <w:tcPr>
                            <w:tcW w:w="2827" w:type="dxa"/>
                          </w:tcPr>
                          <w:p w:rsidR="00E675F0" w:rsidRDefault="00E675F0">
                            <w:pPr>
                              <w:pStyle w:val="TableParagraph"/>
                              <w:spacing w:before="14" w:line="216" w:lineRule="exact"/>
                              <w:ind w:left="91"/>
                              <w:rPr>
                                <w:sz w:val="19"/>
                              </w:rPr>
                            </w:pPr>
                            <w:r>
                              <w:rPr>
                                <w:w w:val="105"/>
                                <w:sz w:val="19"/>
                              </w:rPr>
                              <w:t xml:space="preserve">Disorder </w:t>
                            </w:r>
                            <w:r>
                              <w:rPr>
                                <w:w w:val="105"/>
                                <w:sz w:val="19"/>
                                <w:vertAlign w:val="superscript"/>
                              </w:rPr>
                              <w:t>1</w:t>
                            </w:r>
                            <w:r>
                              <w:rPr>
                                <w:w w:val="105"/>
                                <w:sz w:val="19"/>
                              </w:rPr>
                              <w:t xml:space="preserve"> (370)</w:t>
                            </w:r>
                          </w:p>
                        </w:tc>
                      </w:tr>
                      <w:tr w:rsidR="00E675F0">
                        <w:trPr>
                          <w:trHeight w:val="586"/>
                        </w:trPr>
                        <w:tc>
                          <w:tcPr>
                            <w:tcW w:w="686" w:type="dxa"/>
                          </w:tcPr>
                          <w:p w:rsidR="00E675F0" w:rsidRDefault="00E675F0">
                            <w:pPr>
                              <w:pStyle w:val="TableParagraph"/>
                              <w:spacing w:before="14"/>
                              <w:ind w:left="54"/>
                              <w:rPr>
                                <w:sz w:val="19"/>
                              </w:rPr>
                            </w:pPr>
                            <w:r>
                              <w:rPr>
                                <w:w w:val="105"/>
                                <w:sz w:val="19"/>
                              </w:rPr>
                              <w:t>292.89</w:t>
                            </w:r>
                          </w:p>
                        </w:tc>
                        <w:tc>
                          <w:tcPr>
                            <w:tcW w:w="2827" w:type="dxa"/>
                          </w:tcPr>
                          <w:p w:rsidR="00E675F0" w:rsidRDefault="00E675F0">
                            <w:pPr>
                              <w:pStyle w:val="TableParagraph"/>
                              <w:spacing w:before="9" w:line="268" w:lineRule="auto"/>
                              <w:ind w:left="91" w:right="63"/>
                              <w:rPr>
                                <w:sz w:val="19"/>
                              </w:rPr>
                            </w:pPr>
                            <w:r>
                              <w:rPr>
                                <w:w w:val="110"/>
                                <w:sz w:val="19"/>
                              </w:rPr>
                              <w:t xml:space="preserve">Phencyclidine-Induced Anxiety Disorder </w:t>
                            </w:r>
                            <w:r>
                              <w:rPr>
                                <w:w w:val="110"/>
                                <w:sz w:val="19"/>
                                <w:vertAlign w:val="superscript"/>
                              </w:rPr>
                              <w:t>1</w:t>
                            </w:r>
                            <w:r>
                              <w:rPr>
                                <w:w w:val="110"/>
                                <w:sz w:val="19"/>
                              </w:rPr>
                              <w:t xml:space="preserve"> (439)</w:t>
                            </w:r>
                          </w:p>
                        </w:tc>
                      </w:tr>
                      <w:tr w:rsidR="00E675F0">
                        <w:trPr>
                          <w:trHeight w:val="341"/>
                        </w:trPr>
                        <w:tc>
                          <w:tcPr>
                            <w:tcW w:w="686" w:type="dxa"/>
                          </w:tcPr>
                          <w:p w:rsidR="00E675F0" w:rsidRDefault="00E675F0">
                            <w:pPr>
                              <w:pStyle w:val="TableParagraph"/>
                              <w:spacing w:before="110" w:line="211" w:lineRule="exact"/>
                              <w:ind w:left="50"/>
                              <w:rPr>
                                <w:sz w:val="19"/>
                              </w:rPr>
                            </w:pPr>
                            <w:r>
                              <w:rPr>
                                <w:w w:val="105"/>
                                <w:sz w:val="19"/>
                              </w:rPr>
                              <w:t>292.9</w:t>
                            </w:r>
                          </w:p>
                        </w:tc>
                        <w:tc>
                          <w:tcPr>
                            <w:tcW w:w="2827" w:type="dxa"/>
                          </w:tcPr>
                          <w:p w:rsidR="00E675F0" w:rsidRDefault="00E675F0">
                            <w:pPr>
                              <w:pStyle w:val="TableParagraph"/>
                              <w:spacing w:before="105" w:line="216" w:lineRule="exact"/>
                              <w:ind w:left="86"/>
                              <w:rPr>
                                <w:sz w:val="19"/>
                              </w:rPr>
                            </w:pPr>
                            <w:r>
                              <w:rPr>
                                <w:w w:val="110"/>
                                <w:sz w:val="19"/>
                              </w:rPr>
                              <w:t>Phencyclidine-Related Disorder</w:t>
                            </w:r>
                          </w:p>
                        </w:tc>
                      </w:tr>
                      <w:tr w:rsidR="00E675F0">
                        <w:trPr>
                          <w:trHeight w:val="223"/>
                        </w:trPr>
                        <w:tc>
                          <w:tcPr>
                            <w:tcW w:w="686" w:type="dxa"/>
                          </w:tcPr>
                          <w:p w:rsidR="00E675F0" w:rsidRDefault="00E675F0">
                            <w:pPr>
                              <w:pStyle w:val="TableParagraph"/>
                              <w:rPr>
                                <w:sz w:val="14"/>
                              </w:rPr>
                            </w:pPr>
                          </w:p>
                        </w:tc>
                        <w:tc>
                          <w:tcPr>
                            <w:tcW w:w="2827" w:type="dxa"/>
                          </w:tcPr>
                          <w:p w:rsidR="00E675F0" w:rsidRDefault="00E675F0">
                            <w:pPr>
                              <w:pStyle w:val="TableParagraph"/>
                              <w:spacing w:before="4" w:line="199" w:lineRule="exact"/>
                              <w:ind w:left="97"/>
                              <w:rPr>
                                <w:sz w:val="19"/>
                              </w:rPr>
                            </w:pPr>
                            <w:r>
                              <w:rPr>
                                <w:w w:val="105"/>
                                <w:sz w:val="19"/>
                              </w:rPr>
                              <w:t>NOS (261)</w:t>
                            </w:r>
                          </w:p>
                        </w:tc>
                      </w:tr>
                    </w:tbl>
                    <w:p w:rsidR="00E675F0" w:rsidRDefault="00E675F0" w:rsidP="00E675F0">
                      <w:pPr>
                        <w:pStyle w:val="BodyText"/>
                      </w:pPr>
                    </w:p>
                  </w:txbxContent>
                </v:textbox>
                <w10:wrap anchorx="page"/>
              </v:shape>
            </w:pict>
          </mc:Fallback>
        </mc:AlternateContent>
      </w:r>
      <w:r>
        <w:rPr>
          <w:b/>
          <w:w w:val="105"/>
          <w:sz w:val="19"/>
        </w:rPr>
        <w:t>.12</w:t>
      </w:r>
    </w:p>
    <w:p w:rsidR="00E675F0" w:rsidRDefault="00E675F0" w:rsidP="00E675F0">
      <w:pPr>
        <w:spacing w:before="20" w:line="259" w:lineRule="auto"/>
        <w:ind w:left="112"/>
        <w:rPr>
          <w:sz w:val="19"/>
        </w:rPr>
      </w:pPr>
      <w:r>
        <w:br w:type="column"/>
      </w:r>
      <w:r>
        <w:rPr>
          <w:w w:val="110"/>
          <w:sz w:val="19"/>
        </w:rPr>
        <w:t>Phencyclidine-Induced Psychotic Disorder (310)</w:t>
      </w:r>
    </w:p>
    <w:p w:rsidR="00E675F0" w:rsidRDefault="00E675F0" w:rsidP="00E675F0">
      <w:pPr>
        <w:spacing w:before="9"/>
        <w:ind w:left="406"/>
        <w:rPr>
          <w:sz w:val="19"/>
        </w:rPr>
      </w:pPr>
      <w:r>
        <w:rPr>
          <w:w w:val="105"/>
          <w:sz w:val="19"/>
        </w:rPr>
        <w:t xml:space="preserve">With Delusions </w:t>
      </w:r>
      <w:r>
        <w:rPr>
          <w:w w:val="105"/>
          <w:sz w:val="19"/>
          <w:vertAlign w:val="superscript"/>
        </w:rPr>
        <w:t>1</w:t>
      </w:r>
    </w:p>
    <w:p w:rsidR="00E675F0" w:rsidRDefault="00E675F0" w:rsidP="00E675F0">
      <w:pPr>
        <w:spacing w:before="21"/>
        <w:ind w:left="406"/>
        <w:rPr>
          <w:rFonts w:ascii="Arial"/>
          <w:sz w:val="19"/>
        </w:rPr>
      </w:pPr>
      <w:r>
        <w:rPr>
          <w:w w:val="105"/>
          <w:sz w:val="19"/>
        </w:rPr>
        <w:t>With Hallucina tions</w:t>
      </w:r>
      <w:r>
        <w:rPr>
          <w:rFonts w:ascii="Arial"/>
          <w:w w:val="105"/>
          <w:sz w:val="19"/>
          <w:vertAlign w:val="superscript"/>
        </w:rPr>
        <w:t>1</w:t>
      </w:r>
    </w:p>
    <w:p w:rsidR="00E675F0" w:rsidRDefault="00E675F0" w:rsidP="00E675F0">
      <w:pPr>
        <w:spacing w:line="162" w:lineRule="exact"/>
        <w:ind w:left="877"/>
        <w:rPr>
          <w:sz w:val="19"/>
        </w:rPr>
      </w:pPr>
      <w:r>
        <w:br w:type="column"/>
      </w:r>
      <w:r>
        <w:rPr>
          <w:w w:val="110"/>
          <w:sz w:val="19"/>
        </w:rPr>
        <w:t>Disorderw (439)</w:t>
      </w:r>
    </w:p>
    <w:p w:rsidR="00E675F0" w:rsidRDefault="00E675F0" w:rsidP="00E675F0">
      <w:pPr>
        <w:spacing w:before="31" w:line="261" w:lineRule="auto"/>
        <w:ind w:left="874" w:right="681" w:hanging="715"/>
        <w:rPr>
          <w:sz w:val="19"/>
        </w:rPr>
      </w:pPr>
      <w:r>
        <w:rPr>
          <w:w w:val="110"/>
          <w:sz w:val="19"/>
        </w:rPr>
        <w:t>292.89 Sedative-, Hypnotic-, or Anxiolytic-Induced Sexual Dysfunction</w:t>
      </w:r>
      <w:r>
        <w:rPr>
          <w:w w:val="110"/>
          <w:sz w:val="19"/>
          <w:vertAlign w:val="superscript"/>
        </w:rPr>
        <w:t>1</w:t>
      </w:r>
      <w:r>
        <w:rPr>
          <w:w w:val="110"/>
          <w:sz w:val="19"/>
        </w:rPr>
        <w:t xml:space="preserve"> (519)</w:t>
      </w:r>
    </w:p>
    <w:p w:rsidR="00E675F0" w:rsidRDefault="00E675F0" w:rsidP="00E675F0">
      <w:pPr>
        <w:spacing w:before="7" w:line="259" w:lineRule="auto"/>
        <w:ind w:left="874" w:right="816" w:hanging="715"/>
        <w:rPr>
          <w:sz w:val="19"/>
        </w:rPr>
      </w:pPr>
      <w:r>
        <w:rPr>
          <w:w w:val="110"/>
          <w:sz w:val="19"/>
        </w:rPr>
        <w:t xml:space="preserve">292.89 Sedative-, Hypnotic-, or Anxiolytic-Induced Sleep Disorder </w:t>
      </w:r>
      <w:r>
        <w:rPr>
          <w:w w:val="110"/>
          <w:sz w:val="19"/>
          <w:vertAlign w:val="superscript"/>
        </w:rPr>
        <w:t>1</w:t>
      </w:r>
      <w:r>
        <w:rPr>
          <w:w w:val="110"/>
          <w:sz w:val="19"/>
        </w:rPr>
        <w:t>·w (601)</w:t>
      </w:r>
    </w:p>
    <w:p w:rsidR="00E675F0" w:rsidRDefault="00E675F0" w:rsidP="00E675F0">
      <w:pPr>
        <w:pStyle w:val="BodyText"/>
        <w:spacing w:before="8"/>
        <w:rPr>
          <w:sz w:val="18"/>
        </w:rPr>
      </w:pPr>
    </w:p>
    <w:p w:rsidR="00E675F0" w:rsidRDefault="00E675F0" w:rsidP="00E675F0">
      <w:pPr>
        <w:tabs>
          <w:tab w:val="left" w:pos="873"/>
        </w:tabs>
        <w:spacing w:line="268" w:lineRule="auto"/>
        <w:ind w:left="869" w:right="946" w:hanging="710"/>
        <w:rPr>
          <w:sz w:val="19"/>
        </w:rPr>
      </w:pPr>
      <w:r>
        <w:rPr>
          <w:w w:val="105"/>
          <w:sz w:val="19"/>
        </w:rPr>
        <w:t>292.9</w:t>
      </w:r>
      <w:r>
        <w:rPr>
          <w:w w:val="105"/>
          <w:sz w:val="19"/>
        </w:rPr>
        <w:tab/>
      </w:r>
      <w:r>
        <w:rPr>
          <w:w w:val="105"/>
          <w:sz w:val="19"/>
        </w:rPr>
        <w:tab/>
        <w:t>Sedative-, Hypnotic-, or Anxiolytic-Related Disorder NOS</w:t>
      </w:r>
      <w:r>
        <w:rPr>
          <w:spacing w:val="-12"/>
          <w:w w:val="105"/>
          <w:sz w:val="19"/>
        </w:rPr>
        <w:t xml:space="preserve"> </w:t>
      </w:r>
      <w:r>
        <w:rPr>
          <w:w w:val="105"/>
          <w:sz w:val="19"/>
        </w:rPr>
        <w:t>(269)</w:t>
      </w:r>
    </w:p>
    <w:p w:rsidR="00E675F0" w:rsidRDefault="00E675F0" w:rsidP="00E675F0">
      <w:pPr>
        <w:spacing w:line="268" w:lineRule="auto"/>
        <w:rPr>
          <w:sz w:val="19"/>
        </w:rPr>
        <w:sectPr w:rsidR="00E675F0">
          <w:type w:val="continuous"/>
          <w:pgSz w:w="8960" w:h="14260"/>
          <w:pgMar w:top="640" w:right="600" w:bottom="0" w:left="580" w:header="720" w:footer="720" w:gutter="0"/>
          <w:cols w:num="3" w:space="720" w:equalWidth="0">
            <w:col w:w="730" w:space="40"/>
            <w:col w:w="2991" w:space="170"/>
            <w:col w:w="3849"/>
          </w:cols>
        </w:sectPr>
      </w:pPr>
    </w:p>
    <w:p w:rsidR="00E675F0" w:rsidRDefault="00E675F0" w:rsidP="00E675F0">
      <w:pPr>
        <w:pStyle w:val="BodyText"/>
        <w:spacing w:before="10"/>
        <w:rPr>
          <w:sz w:val="26"/>
        </w:rPr>
      </w:pPr>
    </w:p>
    <w:p w:rsidR="00E675F0" w:rsidRDefault="00E675F0" w:rsidP="00E675F0">
      <w:pPr>
        <w:spacing w:line="254" w:lineRule="auto"/>
        <w:ind w:left="151" w:right="971" w:hanging="3"/>
        <w:rPr>
          <w:sz w:val="19"/>
        </w:rPr>
      </w:pPr>
      <w:r>
        <w:rPr>
          <w:b/>
          <w:w w:val="95"/>
          <w:sz w:val="20"/>
        </w:rPr>
        <w:t xml:space="preserve">SEDATIVE-, HYPNOTIC-, OR </w:t>
      </w:r>
      <w:r>
        <w:rPr>
          <w:b/>
          <w:sz w:val="20"/>
        </w:rPr>
        <w:t xml:space="preserve">ANXIOLYTIC-RELATED DISORDERS </w:t>
      </w:r>
      <w:r>
        <w:rPr>
          <w:sz w:val="19"/>
        </w:rPr>
        <w:t>(261)</w:t>
      </w:r>
    </w:p>
    <w:p w:rsidR="00E675F0" w:rsidRDefault="00E675F0" w:rsidP="00E675F0">
      <w:pPr>
        <w:spacing w:before="86" w:line="252" w:lineRule="auto"/>
        <w:ind w:left="147" w:right="971" w:hanging="5"/>
        <w:rPr>
          <w:b/>
          <w:sz w:val="20"/>
        </w:rPr>
      </w:pPr>
      <w:r>
        <w:rPr>
          <w:b/>
          <w:w w:val="115"/>
          <w:sz w:val="20"/>
        </w:rPr>
        <w:t xml:space="preserve">Sedative,Hypnotic,or </w:t>
      </w:r>
      <w:r>
        <w:rPr>
          <w:b/>
          <w:w w:val="110"/>
          <w:sz w:val="20"/>
        </w:rPr>
        <w:t>Anxiolytic Use Disorders</w:t>
      </w:r>
    </w:p>
    <w:p w:rsidR="00E675F0" w:rsidRDefault="00E675F0" w:rsidP="00E675F0">
      <w:pPr>
        <w:spacing w:before="16" w:line="259" w:lineRule="auto"/>
        <w:ind w:left="877" w:hanging="727"/>
        <w:rPr>
          <w:sz w:val="19"/>
        </w:rPr>
      </w:pPr>
      <w:r>
        <w:rPr>
          <w:w w:val="110"/>
          <w:sz w:val="19"/>
        </w:rPr>
        <w:t xml:space="preserve">304.10 Sedative, Hypnotic, or Anxiolytic </w:t>
      </w:r>
      <w:r>
        <w:rPr>
          <w:w w:val="110"/>
          <w:sz w:val="19"/>
        </w:rPr>
        <w:t>Dependence" (262)</w:t>
      </w:r>
    </w:p>
    <w:p w:rsidR="00E675F0" w:rsidRDefault="00E675F0" w:rsidP="00E675F0">
      <w:pPr>
        <w:spacing w:before="174" w:line="256" w:lineRule="auto"/>
        <w:ind w:left="146" w:right="1089" w:hanging="3"/>
        <w:rPr>
          <w:b/>
          <w:sz w:val="20"/>
        </w:rPr>
      </w:pPr>
      <w:r>
        <w:br w:type="column"/>
      </w:r>
      <w:r>
        <w:rPr>
          <w:b/>
          <w:w w:val="90"/>
          <w:sz w:val="20"/>
        </w:rPr>
        <w:lastRenderedPageBreak/>
        <w:t xml:space="preserve">POLYSUBSTANCE-RELATED </w:t>
      </w:r>
      <w:r>
        <w:rPr>
          <w:b/>
          <w:sz w:val="20"/>
        </w:rPr>
        <w:t>DISORDER</w:t>
      </w:r>
    </w:p>
    <w:p w:rsidR="00E675F0" w:rsidRDefault="00E675F0" w:rsidP="00E675F0">
      <w:pPr>
        <w:spacing w:before="13"/>
        <w:ind w:left="145"/>
        <w:rPr>
          <w:sz w:val="19"/>
        </w:rPr>
      </w:pPr>
      <w:r>
        <w:rPr>
          <w:w w:val="105"/>
          <w:sz w:val="19"/>
        </w:rPr>
        <w:t>304.80 Polysubstance Dependence" (270)</w:t>
      </w:r>
    </w:p>
    <w:p w:rsidR="00E675F0" w:rsidRDefault="00E675F0" w:rsidP="00E675F0">
      <w:pPr>
        <w:rPr>
          <w:sz w:val="19"/>
        </w:rPr>
        <w:sectPr w:rsidR="00E675F0">
          <w:type w:val="continuous"/>
          <w:pgSz w:w="8960" w:h="14260"/>
          <w:pgMar w:top="640" w:right="600" w:bottom="0" w:left="580" w:header="720" w:footer="720" w:gutter="0"/>
          <w:cols w:num="2" w:space="720" w:equalWidth="0">
            <w:col w:w="3747" w:space="189"/>
            <w:col w:w="3844"/>
          </w:cols>
        </w:sectPr>
      </w:pPr>
    </w:p>
    <w:p w:rsidR="00E675F0" w:rsidRDefault="00E675F0" w:rsidP="00E675F0">
      <w:pPr>
        <w:spacing w:before="127" w:line="264" w:lineRule="auto"/>
        <w:ind w:left="116" w:right="1242" w:firstLine="2"/>
        <w:rPr>
          <w:sz w:val="19"/>
        </w:rPr>
      </w:pPr>
      <w:r>
        <w:rPr>
          <w:b/>
          <w:w w:val="105"/>
          <w:sz w:val="19"/>
        </w:rPr>
        <w:lastRenderedPageBreak/>
        <w:t xml:space="preserve">OTHER (OR UNKNOWN) SUBSTANCE-REIATED DISORDERS </w:t>
      </w:r>
      <w:r>
        <w:rPr>
          <w:w w:val="105"/>
          <w:sz w:val="19"/>
        </w:rPr>
        <w:t>(270)</w:t>
      </w:r>
    </w:p>
    <w:p w:rsidR="00E675F0" w:rsidRDefault="00E675F0" w:rsidP="00E675F0">
      <w:pPr>
        <w:spacing w:before="97" w:line="256" w:lineRule="auto"/>
        <w:ind w:left="121" w:right="333" w:hanging="3"/>
        <w:rPr>
          <w:b/>
          <w:sz w:val="20"/>
        </w:rPr>
      </w:pPr>
      <w:r>
        <w:rPr>
          <w:b/>
          <w:w w:val="110"/>
          <w:sz w:val="20"/>
        </w:rPr>
        <w:t>Other (or Unknown) Substance Use Disorders</w:t>
      </w:r>
    </w:p>
    <w:p w:rsidR="00E675F0" w:rsidRDefault="00E675F0" w:rsidP="00E675F0">
      <w:pPr>
        <w:spacing w:before="7" w:line="252" w:lineRule="auto"/>
        <w:ind w:left="859" w:hanging="731"/>
        <w:rPr>
          <w:sz w:val="19"/>
        </w:rPr>
      </w:pPr>
      <w:r>
        <w:rPr>
          <w:w w:val="110"/>
          <w:sz w:val="19"/>
        </w:rPr>
        <w:t xml:space="preserve">304.90 Other (or Unknown) Substance Dependencea </w:t>
      </w:r>
      <w:r>
        <w:rPr>
          <w:rFonts w:ascii="Arial"/>
          <w:w w:val="110"/>
          <w:sz w:val="20"/>
        </w:rPr>
        <w:t>O</w:t>
      </w:r>
      <w:r>
        <w:rPr>
          <w:w w:val="110"/>
          <w:sz w:val="19"/>
        </w:rPr>
        <w:t>76)</w:t>
      </w:r>
    </w:p>
    <w:p w:rsidR="00E675F0" w:rsidRDefault="00E675F0" w:rsidP="00E675F0">
      <w:pPr>
        <w:spacing w:before="20" w:line="264" w:lineRule="auto"/>
        <w:ind w:left="851" w:hanging="723"/>
        <w:rPr>
          <w:sz w:val="19"/>
        </w:rPr>
      </w:pPr>
      <w:r>
        <w:rPr>
          <w:w w:val="110"/>
          <w:sz w:val="19"/>
        </w:rPr>
        <w:t>305.90 Other (or Unknown) Substance Abuse</w:t>
      </w:r>
      <w:r>
        <w:rPr>
          <w:spacing w:val="16"/>
          <w:w w:val="110"/>
          <w:sz w:val="19"/>
        </w:rPr>
        <w:t xml:space="preserve"> </w:t>
      </w:r>
      <w:r>
        <w:rPr>
          <w:w w:val="110"/>
          <w:sz w:val="19"/>
        </w:rPr>
        <w:t>(182)</w:t>
      </w:r>
    </w:p>
    <w:p w:rsidR="00E675F0" w:rsidRDefault="00E675F0" w:rsidP="00E675F0">
      <w:pPr>
        <w:pStyle w:val="BodyText"/>
        <w:spacing w:before="5"/>
        <w:rPr>
          <w:sz w:val="25"/>
        </w:rPr>
      </w:pPr>
    </w:p>
    <w:p w:rsidR="00E675F0" w:rsidRDefault="00E675F0" w:rsidP="00E675F0">
      <w:pPr>
        <w:spacing w:before="1" w:line="256" w:lineRule="auto"/>
        <w:ind w:left="131" w:right="333" w:hanging="4"/>
        <w:rPr>
          <w:b/>
          <w:sz w:val="20"/>
        </w:rPr>
      </w:pPr>
      <w:r>
        <w:rPr>
          <w:b/>
          <w:w w:val="110"/>
          <w:sz w:val="20"/>
        </w:rPr>
        <w:t>Other (or Unknown) Substance­ Induced</w:t>
      </w:r>
      <w:r>
        <w:rPr>
          <w:b/>
          <w:spacing w:val="-4"/>
          <w:w w:val="110"/>
          <w:sz w:val="20"/>
        </w:rPr>
        <w:t xml:space="preserve"> </w:t>
      </w:r>
      <w:r>
        <w:rPr>
          <w:b/>
          <w:w w:val="110"/>
          <w:sz w:val="20"/>
        </w:rPr>
        <w:t>Disorders</w:t>
      </w:r>
    </w:p>
    <w:p w:rsidR="00E675F0" w:rsidRDefault="00E675F0" w:rsidP="00E675F0">
      <w:pPr>
        <w:spacing w:before="2" w:line="268" w:lineRule="auto"/>
        <w:ind w:left="857" w:hanging="721"/>
        <w:rPr>
          <w:sz w:val="19"/>
        </w:rPr>
      </w:pPr>
      <w:r>
        <w:rPr>
          <w:w w:val="110"/>
          <w:sz w:val="19"/>
        </w:rPr>
        <w:t>292.89 Other (or Unknown) Substance Intoxication (183)</w:t>
      </w:r>
    </w:p>
    <w:p w:rsidR="00E675F0" w:rsidRDefault="00E675F0" w:rsidP="00E675F0">
      <w:pPr>
        <w:spacing w:line="165" w:lineRule="exact"/>
        <w:ind w:left="870"/>
        <w:rPr>
          <w:sz w:val="16"/>
        </w:rPr>
      </w:pPr>
      <w:r>
        <w:rPr>
          <w:i/>
          <w:sz w:val="15"/>
        </w:rPr>
        <w:t xml:space="preserve">Specify </w:t>
      </w:r>
      <w:r>
        <w:rPr>
          <w:i/>
          <w:sz w:val="16"/>
        </w:rPr>
        <w:t xml:space="preserve">(f </w:t>
      </w:r>
      <w:r>
        <w:rPr>
          <w:sz w:val="16"/>
        </w:rPr>
        <w:t>With Perceptual Disturbances</w:t>
      </w:r>
    </w:p>
    <w:p w:rsidR="00E675F0" w:rsidRDefault="00E675F0" w:rsidP="00E675F0">
      <w:pPr>
        <w:tabs>
          <w:tab w:val="left" w:pos="860"/>
        </w:tabs>
        <w:spacing w:before="12" w:line="240" w:lineRule="atLeast"/>
        <w:ind w:left="854" w:right="145" w:hanging="714"/>
        <w:rPr>
          <w:sz w:val="19"/>
        </w:rPr>
      </w:pPr>
      <w:r>
        <w:rPr>
          <w:w w:val="110"/>
          <w:sz w:val="19"/>
        </w:rPr>
        <w:t>292.0</w:t>
      </w:r>
      <w:r>
        <w:rPr>
          <w:w w:val="110"/>
          <w:sz w:val="19"/>
        </w:rPr>
        <w:tab/>
      </w:r>
      <w:r>
        <w:rPr>
          <w:w w:val="110"/>
          <w:sz w:val="19"/>
        </w:rPr>
        <w:tab/>
        <w:t>Other (or Unknown) Substance Withdrawal</w:t>
      </w:r>
      <w:r>
        <w:rPr>
          <w:spacing w:val="16"/>
          <w:w w:val="110"/>
          <w:sz w:val="19"/>
        </w:rPr>
        <w:t xml:space="preserve"> </w:t>
      </w:r>
      <w:r>
        <w:rPr>
          <w:w w:val="110"/>
          <w:sz w:val="19"/>
        </w:rPr>
        <w:t>(184)</w:t>
      </w:r>
    </w:p>
    <w:p w:rsidR="00E675F0" w:rsidRDefault="00E675F0" w:rsidP="00E675F0">
      <w:pPr>
        <w:spacing w:line="203" w:lineRule="exact"/>
        <w:ind w:left="870"/>
        <w:rPr>
          <w:sz w:val="16"/>
        </w:rPr>
      </w:pPr>
      <w:r>
        <w:rPr>
          <w:i/>
          <w:sz w:val="15"/>
        </w:rPr>
        <w:t xml:space="preserve">Specify </w:t>
      </w:r>
      <w:r>
        <w:rPr>
          <w:rFonts w:ascii="Arial"/>
          <w:i/>
          <w:sz w:val="20"/>
        </w:rPr>
        <w:t xml:space="preserve">if </w:t>
      </w:r>
      <w:r>
        <w:rPr>
          <w:sz w:val="16"/>
        </w:rPr>
        <w:t>With Perceptual Disturbances</w:t>
      </w:r>
    </w:p>
    <w:p w:rsidR="00E675F0" w:rsidRDefault="00E675F0" w:rsidP="003048D3">
      <w:pPr>
        <w:pStyle w:val="ListParagraph"/>
        <w:numPr>
          <w:ilvl w:val="1"/>
          <w:numId w:val="124"/>
        </w:numPr>
        <w:tabs>
          <w:tab w:val="left" w:pos="861"/>
        </w:tabs>
        <w:spacing w:before="20" w:line="268" w:lineRule="auto"/>
        <w:ind w:right="38" w:hanging="721"/>
        <w:rPr>
          <w:sz w:val="19"/>
        </w:rPr>
      </w:pPr>
      <w:r>
        <w:rPr>
          <w:w w:val="110"/>
          <w:sz w:val="19"/>
        </w:rPr>
        <w:t>Other (or Unknown) Substance­ Induced Delirium</w:t>
      </w:r>
      <w:r>
        <w:rPr>
          <w:spacing w:val="-13"/>
          <w:w w:val="110"/>
          <w:sz w:val="19"/>
        </w:rPr>
        <w:t xml:space="preserve"> </w:t>
      </w:r>
      <w:r>
        <w:rPr>
          <w:w w:val="110"/>
          <w:sz w:val="19"/>
        </w:rPr>
        <w:t>(129)</w:t>
      </w:r>
    </w:p>
    <w:p w:rsidR="00E675F0" w:rsidRDefault="00E675F0" w:rsidP="003048D3">
      <w:pPr>
        <w:pStyle w:val="ListParagraph"/>
        <w:numPr>
          <w:ilvl w:val="1"/>
          <w:numId w:val="124"/>
        </w:numPr>
        <w:tabs>
          <w:tab w:val="left" w:pos="861"/>
        </w:tabs>
        <w:spacing w:before="1" w:line="268" w:lineRule="auto"/>
        <w:ind w:left="855" w:right="326" w:hanging="714"/>
        <w:rPr>
          <w:sz w:val="19"/>
        </w:rPr>
      </w:pPr>
      <w:r>
        <w:rPr>
          <w:w w:val="115"/>
          <w:sz w:val="19"/>
        </w:rPr>
        <w:t xml:space="preserve">Other (or Unknown) </w:t>
      </w:r>
      <w:r>
        <w:rPr>
          <w:w w:val="110"/>
          <w:sz w:val="19"/>
        </w:rPr>
        <w:t xml:space="preserve">Substance-Induced Persisting </w:t>
      </w:r>
      <w:r>
        <w:rPr>
          <w:w w:val="115"/>
          <w:sz w:val="19"/>
        </w:rPr>
        <w:t>Dementia</w:t>
      </w:r>
      <w:r>
        <w:rPr>
          <w:spacing w:val="14"/>
          <w:w w:val="115"/>
          <w:sz w:val="19"/>
        </w:rPr>
        <w:t xml:space="preserve"> </w:t>
      </w:r>
      <w:r>
        <w:rPr>
          <w:w w:val="115"/>
          <w:sz w:val="19"/>
        </w:rPr>
        <w:t>(152)</w:t>
      </w:r>
    </w:p>
    <w:p w:rsidR="00E675F0" w:rsidRDefault="00E675F0" w:rsidP="003048D3">
      <w:pPr>
        <w:pStyle w:val="ListParagraph"/>
        <w:numPr>
          <w:ilvl w:val="1"/>
          <w:numId w:val="124"/>
        </w:numPr>
        <w:tabs>
          <w:tab w:val="left" w:pos="861"/>
        </w:tabs>
        <w:spacing w:before="2" w:line="266" w:lineRule="auto"/>
        <w:ind w:left="856" w:right="334" w:hanging="715"/>
        <w:rPr>
          <w:sz w:val="19"/>
        </w:rPr>
      </w:pPr>
      <w:r>
        <w:rPr>
          <w:w w:val="110"/>
          <w:sz w:val="19"/>
        </w:rPr>
        <w:t>Other (or Unknown) Substance-Induced Persisting Amnestic Disorder</w:t>
      </w:r>
      <w:r>
        <w:rPr>
          <w:spacing w:val="19"/>
          <w:w w:val="110"/>
          <w:sz w:val="19"/>
        </w:rPr>
        <w:t xml:space="preserve"> </w:t>
      </w:r>
      <w:r>
        <w:rPr>
          <w:w w:val="110"/>
          <w:sz w:val="19"/>
        </w:rPr>
        <w:t>(161)</w:t>
      </w:r>
    </w:p>
    <w:p w:rsidR="00E675F0" w:rsidRDefault="00E675F0" w:rsidP="00E675F0">
      <w:pPr>
        <w:spacing w:before="3" w:line="264" w:lineRule="auto"/>
        <w:ind w:left="855" w:right="333" w:hanging="709"/>
        <w:rPr>
          <w:sz w:val="19"/>
        </w:rPr>
      </w:pPr>
      <w:r>
        <w:rPr>
          <w:w w:val="115"/>
          <w:sz w:val="19"/>
        </w:rPr>
        <w:t xml:space="preserve">292.xx Other (or Unknown) </w:t>
      </w:r>
      <w:r>
        <w:rPr>
          <w:w w:val="110"/>
          <w:sz w:val="19"/>
        </w:rPr>
        <w:t>Substance-Induced Psychotic</w:t>
      </w:r>
    </w:p>
    <w:p w:rsidR="00E675F0" w:rsidRDefault="00E675F0" w:rsidP="00E675F0">
      <w:pPr>
        <w:spacing w:before="4" w:line="174" w:lineRule="exact"/>
        <w:ind w:left="863"/>
        <w:rPr>
          <w:sz w:val="19"/>
        </w:rPr>
      </w:pPr>
      <w:r>
        <w:rPr>
          <w:w w:val="110"/>
          <w:sz w:val="19"/>
        </w:rPr>
        <w:t>Disorder (310)</w:t>
      </w:r>
    </w:p>
    <w:p w:rsidR="00E675F0" w:rsidRDefault="00E675F0" w:rsidP="00E675F0">
      <w:pPr>
        <w:spacing w:before="127" w:line="268" w:lineRule="auto"/>
        <w:ind w:left="311" w:right="187" w:hanging="7"/>
        <w:rPr>
          <w:sz w:val="19"/>
        </w:rPr>
      </w:pPr>
      <w:r>
        <w:br w:type="column"/>
      </w:r>
      <w:r>
        <w:rPr>
          <w:rFonts w:ascii="Arial"/>
          <w:b/>
          <w:color w:val="1F1F1F"/>
        </w:rPr>
        <w:t>Schizophrenia and O</w:t>
      </w:r>
      <w:r>
        <w:rPr>
          <w:rFonts w:ascii="Arial"/>
          <w:b/>
        </w:rPr>
        <w:t>t</w:t>
      </w:r>
      <w:r>
        <w:rPr>
          <w:rFonts w:ascii="Arial"/>
          <w:b/>
          <w:color w:val="1F1F1F"/>
        </w:rPr>
        <w:t xml:space="preserve">her Psychotic Disorders </w:t>
      </w:r>
      <w:r>
        <w:rPr>
          <w:color w:val="696969"/>
          <w:sz w:val="19"/>
        </w:rPr>
        <w:t>(273)</w:t>
      </w:r>
    </w:p>
    <w:p w:rsidR="00E675F0" w:rsidRDefault="00E675F0" w:rsidP="00E675F0">
      <w:pPr>
        <w:spacing w:before="121"/>
        <w:ind w:left="116"/>
        <w:jc w:val="both"/>
        <w:rPr>
          <w:sz w:val="19"/>
        </w:rPr>
      </w:pPr>
      <w:r>
        <w:rPr>
          <w:noProof/>
        </w:rPr>
        <mc:AlternateContent>
          <mc:Choice Requires="wps">
            <w:drawing>
              <wp:anchor distT="0" distB="0" distL="114300" distR="114300" simplePos="0" relativeHeight="251670528" behindDoc="0" locked="0" layoutInCell="1" allowOverlap="1" wp14:anchorId="7F3D48C3" wp14:editId="6D1D50DB">
                <wp:simplePos x="0" y="0"/>
                <wp:positionH relativeFrom="page">
                  <wp:posOffset>5205095</wp:posOffset>
                </wp:positionH>
                <wp:positionV relativeFrom="paragraph">
                  <wp:posOffset>27940</wp:posOffset>
                </wp:positionV>
                <wp:extent cx="0" cy="0"/>
                <wp:effectExtent l="0" t="0" r="0" b="0"/>
                <wp:wrapNone/>
                <wp:docPr id="1700" name="Line 16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814480" id="Line 1656" o:spid="_x0000_s1026" style="position:absolute;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9.85pt,2.2pt" to="409.85pt,2.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" strokeweight=".16969mm">
                <o:lock v:ext="edit" shapetype="f"/>
                <w10:wrap anchorx="page"/>
              </v:line>
            </w:pict>
          </mc:Fallback>
        </mc:AlternateContent>
      </w:r>
      <w:r>
        <w:rPr>
          <w:w w:val="110"/>
          <w:sz w:val="19"/>
        </w:rPr>
        <w:t>295.xx Schizophrenia (274)</w:t>
      </w:r>
    </w:p>
    <w:p w:rsidR="00E675F0" w:rsidRDefault="00E675F0" w:rsidP="00E675F0">
      <w:pPr>
        <w:spacing w:before="75" w:line="259" w:lineRule="auto"/>
        <w:ind w:left="118" w:right="100" w:firstLine="7"/>
        <w:jc w:val="both"/>
        <w:rPr>
          <w:i/>
          <w:sz w:val="20"/>
        </w:rPr>
      </w:pPr>
      <w:r>
        <w:rPr>
          <w:i/>
          <w:w w:val="105"/>
          <w:sz w:val="20"/>
        </w:rPr>
        <w:t>The following Classification of Longitudi­ nal</w:t>
      </w:r>
      <w:r>
        <w:rPr>
          <w:i/>
          <w:spacing w:val="-18"/>
          <w:w w:val="105"/>
          <w:sz w:val="20"/>
        </w:rPr>
        <w:t xml:space="preserve"> </w:t>
      </w:r>
      <w:r>
        <w:rPr>
          <w:i/>
          <w:w w:val="105"/>
          <w:sz w:val="20"/>
        </w:rPr>
        <w:t>Course</w:t>
      </w:r>
      <w:r>
        <w:rPr>
          <w:i/>
          <w:spacing w:val="-30"/>
          <w:w w:val="105"/>
          <w:sz w:val="20"/>
        </w:rPr>
        <w:t xml:space="preserve"> </w:t>
      </w:r>
      <w:r>
        <w:rPr>
          <w:i/>
          <w:w w:val="105"/>
          <w:sz w:val="20"/>
        </w:rPr>
        <w:t>applies</w:t>
      </w:r>
      <w:r>
        <w:rPr>
          <w:i/>
          <w:spacing w:val="-29"/>
          <w:w w:val="105"/>
          <w:sz w:val="20"/>
        </w:rPr>
        <w:t xml:space="preserve"> </w:t>
      </w:r>
      <w:r>
        <w:rPr>
          <w:i/>
          <w:w w:val="105"/>
          <w:sz w:val="20"/>
        </w:rPr>
        <w:t>to</w:t>
      </w:r>
      <w:r>
        <w:rPr>
          <w:i/>
          <w:spacing w:val="-36"/>
          <w:w w:val="105"/>
          <w:sz w:val="20"/>
        </w:rPr>
        <w:t xml:space="preserve"> </w:t>
      </w:r>
      <w:r>
        <w:rPr>
          <w:i/>
          <w:w w:val="105"/>
          <w:sz w:val="20"/>
        </w:rPr>
        <w:t>all</w:t>
      </w:r>
      <w:r>
        <w:rPr>
          <w:i/>
          <w:spacing w:val="-33"/>
          <w:w w:val="105"/>
          <w:sz w:val="20"/>
        </w:rPr>
        <w:t xml:space="preserve"> </w:t>
      </w:r>
      <w:r>
        <w:rPr>
          <w:i/>
          <w:w w:val="105"/>
          <w:sz w:val="20"/>
        </w:rPr>
        <w:t>subtypes</w:t>
      </w:r>
      <w:r>
        <w:rPr>
          <w:i/>
          <w:spacing w:val="-24"/>
          <w:w w:val="105"/>
          <w:sz w:val="20"/>
        </w:rPr>
        <w:t xml:space="preserve"> </w:t>
      </w:r>
      <w:r>
        <w:rPr>
          <w:i/>
          <w:w w:val="105"/>
          <w:sz w:val="20"/>
        </w:rPr>
        <w:t>of</w:t>
      </w:r>
      <w:r>
        <w:rPr>
          <w:i/>
          <w:spacing w:val="-28"/>
          <w:w w:val="105"/>
          <w:sz w:val="20"/>
        </w:rPr>
        <w:t xml:space="preserve"> </w:t>
      </w:r>
      <w:r>
        <w:rPr>
          <w:i/>
          <w:w w:val="105"/>
          <w:sz w:val="20"/>
        </w:rPr>
        <w:t>Schizo­ phrenia:</w:t>
      </w:r>
    </w:p>
    <w:p w:rsidR="00E675F0" w:rsidRDefault="00E675F0" w:rsidP="00E675F0">
      <w:pPr>
        <w:spacing w:before="53" w:line="223" w:lineRule="auto"/>
        <w:ind w:left="586" w:right="187" w:hanging="229"/>
        <w:rPr>
          <w:sz w:val="16"/>
        </w:rPr>
      </w:pPr>
      <w:r>
        <w:rPr>
          <w:w w:val="105"/>
          <w:sz w:val="16"/>
        </w:rPr>
        <w:t xml:space="preserve">Episodic With lnterepisode Residual Symptoms </w:t>
      </w:r>
      <w:r>
        <w:rPr>
          <w:i/>
          <w:w w:val="105"/>
          <w:sz w:val="15"/>
        </w:rPr>
        <w:t xml:space="preserve">(spec/fy </w:t>
      </w:r>
      <w:r>
        <w:rPr>
          <w:rFonts w:ascii="Arial"/>
          <w:i/>
          <w:w w:val="105"/>
          <w:sz w:val="20"/>
        </w:rPr>
        <w:t xml:space="preserve">if </w:t>
      </w:r>
      <w:r>
        <w:rPr>
          <w:w w:val="105"/>
          <w:sz w:val="16"/>
        </w:rPr>
        <w:t xml:space="preserve">With Prominent Negative Symptoms)/Episodic With No Interepisode Residual Symptoms/Continuous </w:t>
      </w:r>
      <w:r>
        <w:rPr>
          <w:i/>
          <w:w w:val="105"/>
          <w:sz w:val="15"/>
        </w:rPr>
        <w:t xml:space="preserve">(specify </w:t>
      </w:r>
      <w:r>
        <w:rPr>
          <w:rFonts w:ascii="Arial"/>
          <w:i/>
          <w:w w:val="105"/>
          <w:sz w:val="20"/>
        </w:rPr>
        <w:t xml:space="preserve">if </w:t>
      </w:r>
      <w:r>
        <w:rPr>
          <w:w w:val="105"/>
          <w:sz w:val="16"/>
        </w:rPr>
        <w:t>With Prominent Negative Symptoms)</w:t>
      </w:r>
    </w:p>
    <w:p w:rsidR="00E675F0" w:rsidRDefault="00E675F0" w:rsidP="00E675F0">
      <w:pPr>
        <w:spacing w:before="10" w:line="192" w:lineRule="exact"/>
        <w:ind w:left="589" w:right="155" w:hanging="239"/>
        <w:rPr>
          <w:sz w:val="16"/>
        </w:rPr>
      </w:pPr>
      <w:r>
        <w:rPr>
          <w:w w:val="105"/>
          <w:sz w:val="16"/>
        </w:rPr>
        <w:t xml:space="preserve">Single Episode In Partial Remission </w:t>
      </w:r>
      <w:r>
        <w:rPr>
          <w:i/>
          <w:w w:val="105"/>
          <w:sz w:val="15"/>
        </w:rPr>
        <w:t xml:space="preserve">(specify </w:t>
      </w:r>
      <w:r>
        <w:rPr>
          <w:rFonts w:ascii="Arial"/>
          <w:i/>
          <w:w w:val="105"/>
          <w:sz w:val="20"/>
        </w:rPr>
        <w:t xml:space="preserve">if </w:t>
      </w:r>
      <w:r>
        <w:rPr>
          <w:w w:val="105"/>
          <w:sz w:val="16"/>
        </w:rPr>
        <w:t>With Prominent Negative Symptoms)/Single Episode In Full</w:t>
      </w:r>
      <w:r>
        <w:rPr>
          <w:spacing w:val="36"/>
          <w:w w:val="105"/>
          <w:sz w:val="16"/>
        </w:rPr>
        <w:t xml:space="preserve"> </w:t>
      </w:r>
      <w:r>
        <w:rPr>
          <w:w w:val="105"/>
          <w:sz w:val="16"/>
        </w:rPr>
        <w:t>Remission</w:t>
      </w:r>
    </w:p>
    <w:p w:rsidR="00E675F0" w:rsidRDefault="00E675F0" w:rsidP="00E675F0">
      <w:pPr>
        <w:spacing w:before="5"/>
        <w:ind w:left="355"/>
        <w:rPr>
          <w:sz w:val="16"/>
        </w:rPr>
      </w:pPr>
      <w:r>
        <w:rPr>
          <w:w w:val="105"/>
          <w:sz w:val="16"/>
        </w:rPr>
        <w:t>Other or Unspecified</w:t>
      </w:r>
      <w:r>
        <w:rPr>
          <w:spacing w:val="12"/>
          <w:w w:val="105"/>
          <w:sz w:val="16"/>
        </w:rPr>
        <w:t xml:space="preserve"> </w:t>
      </w:r>
      <w:r>
        <w:rPr>
          <w:w w:val="105"/>
          <w:sz w:val="16"/>
        </w:rPr>
        <w:t>Pattern</w:t>
      </w:r>
    </w:p>
    <w:p w:rsidR="00E675F0" w:rsidRDefault="00E675F0" w:rsidP="00E675F0">
      <w:pPr>
        <w:pStyle w:val="BodyText"/>
        <w:spacing w:before="2"/>
        <w:rPr>
          <w:sz w:val="24"/>
        </w:rPr>
      </w:pPr>
    </w:p>
    <w:p w:rsidR="00E675F0" w:rsidRDefault="00E675F0" w:rsidP="00E675F0">
      <w:pPr>
        <w:tabs>
          <w:tab w:val="left" w:pos="1141"/>
        </w:tabs>
        <w:ind w:left="434"/>
        <w:rPr>
          <w:sz w:val="19"/>
        </w:rPr>
      </w:pPr>
      <w:r>
        <w:rPr>
          <w:w w:val="110"/>
          <w:sz w:val="19"/>
        </w:rPr>
        <w:t>.30</w:t>
      </w:r>
      <w:r>
        <w:rPr>
          <w:w w:val="110"/>
          <w:sz w:val="19"/>
        </w:rPr>
        <w:tab/>
        <w:t>Paranoid Type</w:t>
      </w:r>
      <w:r>
        <w:rPr>
          <w:spacing w:val="27"/>
          <w:w w:val="110"/>
          <w:sz w:val="19"/>
        </w:rPr>
        <w:t xml:space="preserve"> </w:t>
      </w:r>
      <w:r>
        <w:rPr>
          <w:w w:val="110"/>
          <w:sz w:val="19"/>
        </w:rPr>
        <w:t>(287)</w:t>
      </w:r>
    </w:p>
    <w:p w:rsidR="00E675F0" w:rsidRDefault="00E675F0" w:rsidP="00E675F0">
      <w:pPr>
        <w:tabs>
          <w:tab w:val="left" w:pos="1136"/>
        </w:tabs>
        <w:spacing w:before="32"/>
        <w:ind w:left="429"/>
        <w:rPr>
          <w:sz w:val="19"/>
        </w:rPr>
      </w:pPr>
      <w:r>
        <w:rPr>
          <w:w w:val="110"/>
          <w:sz w:val="19"/>
        </w:rPr>
        <w:t>.10</w:t>
      </w:r>
      <w:r>
        <w:rPr>
          <w:w w:val="110"/>
          <w:sz w:val="19"/>
        </w:rPr>
        <w:tab/>
        <w:t>Disorganized Type</w:t>
      </w:r>
      <w:r>
        <w:rPr>
          <w:spacing w:val="-22"/>
          <w:w w:val="110"/>
          <w:sz w:val="19"/>
        </w:rPr>
        <w:t xml:space="preserve"> </w:t>
      </w:r>
      <w:r>
        <w:rPr>
          <w:w w:val="110"/>
          <w:sz w:val="19"/>
        </w:rPr>
        <w:t>(287)</w:t>
      </w:r>
    </w:p>
    <w:p w:rsidR="00E675F0" w:rsidRDefault="00E675F0" w:rsidP="00E675F0">
      <w:pPr>
        <w:tabs>
          <w:tab w:val="left" w:pos="1137"/>
        </w:tabs>
        <w:spacing w:before="26"/>
        <w:ind w:left="434"/>
        <w:rPr>
          <w:sz w:val="19"/>
        </w:rPr>
      </w:pPr>
      <w:r>
        <w:rPr>
          <w:w w:val="110"/>
          <w:sz w:val="19"/>
        </w:rPr>
        <w:t>.20</w:t>
      </w:r>
      <w:r>
        <w:rPr>
          <w:w w:val="110"/>
          <w:sz w:val="19"/>
        </w:rPr>
        <w:tab/>
        <w:t>Catatonic Type</w:t>
      </w:r>
      <w:r>
        <w:rPr>
          <w:spacing w:val="18"/>
          <w:w w:val="110"/>
          <w:sz w:val="19"/>
        </w:rPr>
        <w:t xml:space="preserve"> </w:t>
      </w:r>
      <w:r>
        <w:rPr>
          <w:w w:val="110"/>
          <w:sz w:val="19"/>
        </w:rPr>
        <w:t>(288)</w:t>
      </w:r>
    </w:p>
    <w:p w:rsidR="00E675F0" w:rsidRDefault="00E675F0" w:rsidP="00E675F0">
      <w:pPr>
        <w:tabs>
          <w:tab w:val="left" w:pos="1143"/>
        </w:tabs>
        <w:spacing w:before="27"/>
        <w:ind w:left="434"/>
        <w:rPr>
          <w:sz w:val="19"/>
        </w:rPr>
      </w:pPr>
      <w:r>
        <w:rPr>
          <w:w w:val="110"/>
          <w:sz w:val="19"/>
        </w:rPr>
        <w:t>.90</w:t>
      </w:r>
      <w:r>
        <w:rPr>
          <w:w w:val="110"/>
          <w:sz w:val="19"/>
        </w:rPr>
        <w:tab/>
        <w:t>Undifferentiated Type</w:t>
      </w:r>
      <w:r>
        <w:rPr>
          <w:spacing w:val="7"/>
          <w:w w:val="110"/>
          <w:sz w:val="19"/>
        </w:rPr>
        <w:t xml:space="preserve"> </w:t>
      </w:r>
      <w:r>
        <w:rPr>
          <w:w w:val="110"/>
          <w:sz w:val="19"/>
        </w:rPr>
        <w:t>(289)</w:t>
      </w:r>
    </w:p>
    <w:p w:rsidR="00E675F0" w:rsidRDefault="00E675F0" w:rsidP="00E675F0">
      <w:pPr>
        <w:tabs>
          <w:tab w:val="left" w:pos="1141"/>
        </w:tabs>
        <w:spacing w:before="27"/>
        <w:ind w:left="429"/>
        <w:rPr>
          <w:sz w:val="19"/>
        </w:rPr>
      </w:pPr>
      <w:r>
        <w:rPr>
          <w:w w:val="110"/>
          <w:sz w:val="19"/>
        </w:rPr>
        <w:t>.60</w:t>
      </w:r>
      <w:r>
        <w:rPr>
          <w:w w:val="110"/>
          <w:sz w:val="19"/>
        </w:rPr>
        <w:tab/>
        <w:t>Residual Type</w:t>
      </w:r>
      <w:r>
        <w:rPr>
          <w:spacing w:val="-29"/>
          <w:w w:val="110"/>
          <w:sz w:val="19"/>
        </w:rPr>
        <w:t xml:space="preserve"> </w:t>
      </w:r>
      <w:r>
        <w:rPr>
          <w:w w:val="110"/>
          <w:sz w:val="19"/>
        </w:rPr>
        <w:t>(289)</w:t>
      </w:r>
    </w:p>
    <w:p w:rsidR="00E675F0" w:rsidRDefault="00E675F0" w:rsidP="00E675F0">
      <w:pPr>
        <w:pStyle w:val="BodyText"/>
        <w:spacing w:before="6"/>
        <w:rPr>
          <w:sz w:val="19"/>
        </w:rPr>
      </w:pPr>
    </w:p>
    <w:p w:rsidR="00E675F0" w:rsidRDefault="00E675F0" w:rsidP="00E675F0">
      <w:pPr>
        <w:spacing w:line="225" w:lineRule="auto"/>
        <w:ind w:left="844" w:right="155" w:hanging="723"/>
        <w:rPr>
          <w:sz w:val="16"/>
        </w:rPr>
      </w:pPr>
      <w:r>
        <w:rPr>
          <w:w w:val="105"/>
          <w:sz w:val="19"/>
        </w:rPr>
        <w:t xml:space="preserve">295.40 Schizophreniform Disorder (290) </w:t>
      </w:r>
      <w:r>
        <w:rPr>
          <w:i/>
          <w:w w:val="105"/>
          <w:sz w:val="15"/>
        </w:rPr>
        <w:t xml:space="preserve">Spec/fy </w:t>
      </w:r>
      <w:r>
        <w:rPr>
          <w:rFonts w:ascii="Arial"/>
          <w:i/>
          <w:w w:val="105"/>
          <w:sz w:val="19"/>
        </w:rPr>
        <w:t xml:space="preserve">if </w:t>
      </w:r>
      <w:r>
        <w:rPr>
          <w:w w:val="105"/>
          <w:sz w:val="16"/>
        </w:rPr>
        <w:t>Without Good Prognostic Features/With Good Prognostic Features</w:t>
      </w:r>
    </w:p>
    <w:p w:rsidR="00E675F0" w:rsidRDefault="00E675F0" w:rsidP="00E675F0">
      <w:pPr>
        <w:spacing w:before="35" w:line="247" w:lineRule="auto"/>
        <w:ind w:left="844" w:right="407" w:hanging="718"/>
        <w:rPr>
          <w:sz w:val="16"/>
        </w:rPr>
      </w:pPr>
      <w:r>
        <w:rPr>
          <w:w w:val="105"/>
          <w:sz w:val="19"/>
        </w:rPr>
        <w:t xml:space="preserve">295.70 Schizoaffective Disorder (292) </w:t>
      </w:r>
      <w:r>
        <w:rPr>
          <w:i/>
          <w:w w:val="105"/>
          <w:sz w:val="15"/>
        </w:rPr>
        <w:t xml:space="preserve">Specify type: </w:t>
      </w:r>
      <w:r>
        <w:rPr>
          <w:w w:val="105"/>
          <w:sz w:val="16"/>
        </w:rPr>
        <w:t>Bipolar Type/ Depressive Type</w:t>
      </w:r>
    </w:p>
    <w:p w:rsidR="00E675F0" w:rsidRDefault="00E675F0" w:rsidP="00E675F0">
      <w:pPr>
        <w:tabs>
          <w:tab w:val="left" w:pos="843"/>
        </w:tabs>
        <w:spacing w:before="21" w:line="249" w:lineRule="auto"/>
        <w:ind w:left="837" w:right="713" w:hanging="712"/>
        <w:rPr>
          <w:sz w:val="16"/>
        </w:rPr>
      </w:pPr>
      <w:r>
        <w:rPr>
          <w:w w:val="110"/>
          <w:sz w:val="19"/>
        </w:rPr>
        <w:t>297.1</w:t>
      </w:r>
      <w:r>
        <w:rPr>
          <w:w w:val="110"/>
          <w:sz w:val="19"/>
        </w:rPr>
        <w:tab/>
      </w:r>
      <w:r>
        <w:rPr>
          <w:w w:val="110"/>
          <w:sz w:val="19"/>
        </w:rPr>
        <w:tab/>
        <w:t xml:space="preserve">Delusional Disorder (296) </w:t>
      </w:r>
      <w:r>
        <w:rPr>
          <w:i/>
          <w:w w:val="110"/>
          <w:sz w:val="15"/>
        </w:rPr>
        <w:t xml:space="preserve">Specify type: </w:t>
      </w:r>
      <w:r>
        <w:rPr>
          <w:w w:val="110"/>
          <w:sz w:val="16"/>
        </w:rPr>
        <w:t>Erotomanic Type/Grandiose</w:t>
      </w:r>
      <w:r>
        <w:rPr>
          <w:spacing w:val="-23"/>
          <w:w w:val="110"/>
          <w:sz w:val="16"/>
        </w:rPr>
        <w:t xml:space="preserve"> </w:t>
      </w:r>
      <w:r>
        <w:rPr>
          <w:w w:val="110"/>
          <w:sz w:val="16"/>
        </w:rPr>
        <w:t>Type/Jealous</w:t>
      </w:r>
    </w:p>
    <w:p w:rsidR="00E675F0" w:rsidRDefault="00E675F0" w:rsidP="00E675F0">
      <w:pPr>
        <w:spacing w:line="249" w:lineRule="auto"/>
        <w:rPr>
          <w:sz w:val="16"/>
        </w:rPr>
        <w:sectPr w:rsidR="00E675F0">
          <w:pgSz w:w="8960" w:h="14260"/>
          <w:pgMar w:top="1400" w:right="640" w:bottom="280" w:left="600" w:header="692" w:footer="0" w:gutter="0"/>
          <w:cols w:num="2" w:space="720" w:equalWidth="0">
            <w:col w:w="3717" w:space="219"/>
            <w:col w:w="3784"/>
          </w:cols>
        </w:sectPr>
      </w:pPr>
    </w:p>
    <w:p w:rsidR="00E675F0" w:rsidRDefault="00E675F0" w:rsidP="00E675F0">
      <w:pPr>
        <w:spacing w:before="80"/>
        <w:ind w:left="451"/>
        <w:rPr>
          <w:rFonts w:ascii="Arial"/>
          <w:sz w:val="18"/>
        </w:rPr>
      </w:pPr>
      <w:r>
        <w:rPr>
          <w:rFonts w:ascii="Arial"/>
          <w:spacing w:val="-1"/>
          <w:w w:val="105"/>
          <w:sz w:val="18"/>
        </w:rPr>
        <w:t>.11</w:t>
      </w:r>
    </w:p>
    <w:p w:rsidR="00E675F0" w:rsidRDefault="00E675F0" w:rsidP="00E675F0">
      <w:pPr>
        <w:spacing w:before="30"/>
        <w:ind w:right="15"/>
        <w:jc w:val="right"/>
        <w:rPr>
          <w:sz w:val="19"/>
        </w:rPr>
      </w:pPr>
      <w:r>
        <w:rPr>
          <w:w w:val="105"/>
          <w:sz w:val="19"/>
        </w:rPr>
        <w:t>.12</w:t>
      </w:r>
    </w:p>
    <w:p w:rsidR="00E675F0" w:rsidRDefault="00E675F0" w:rsidP="003048D3">
      <w:pPr>
        <w:pStyle w:val="ListParagraph"/>
        <w:numPr>
          <w:ilvl w:val="1"/>
          <w:numId w:val="124"/>
        </w:numPr>
        <w:tabs>
          <w:tab w:val="left" w:pos="546"/>
        </w:tabs>
        <w:spacing w:before="22"/>
        <w:ind w:left="687" w:right="33" w:hanging="688"/>
        <w:jc w:val="right"/>
        <w:rPr>
          <w:sz w:val="19"/>
        </w:rPr>
      </w:pPr>
    </w:p>
    <w:p w:rsidR="00E675F0" w:rsidRDefault="00E675F0" w:rsidP="00E675F0">
      <w:pPr>
        <w:pStyle w:val="BodyText"/>
        <w:spacing w:before="2"/>
        <w:rPr>
          <w:sz w:val="23"/>
        </w:rPr>
      </w:pPr>
    </w:p>
    <w:p w:rsidR="00E675F0" w:rsidRDefault="00E675F0" w:rsidP="00E675F0">
      <w:pPr>
        <w:ind w:right="33"/>
        <w:jc w:val="right"/>
        <w:rPr>
          <w:sz w:val="19"/>
        </w:rPr>
      </w:pPr>
      <w:r>
        <w:rPr>
          <w:sz w:val="19"/>
        </w:rPr>
        <w:t>292.89</w:t>
      </w:r>
    </w:p>
    <w:p w:rsidR="00E675F0" w:rsidRDefault="00E675F0" w:rsidP="00E675F0">
      <w:pPr>
        <w:pStyle w:val="BodyText"/>
      </w:pPr>
    </w:p>
    <w:p w:rsidR="00E675F0" w:rsidRDefault="00E675F0" w:rsidP="00E675F0">
      <w:pPr>
        <w:pStyle w:val="BodyText"/>
        <w:spacing w:before="3"/>
        <w:rPr>
          <w:sz w:val="23"/>
        </w:rPr>
      </w:pPr>
    </w:p>
    <w:p w:rsidR="00E675F0" w:rsidRDefault="00E675F0" w:rsidP="00E675F0">
      <w:pPr>
        <w:ind w:right="28"/>
        <w:jc w:val="right"/>
        <w:rPr>
          <w:sz w:val="19"/>
        </w:rPr>
      </w:pPr>
      <w:r>
        <w:rPr>
          <w:spacing w:val="-1"/>
          <w:w w:val="105"/>
          <w:sz w:val="19"/>
        </w:rPr>
        <w:t>292.89</w:t>
      </w:r>
    </w:p>
    <w:p w:rsidR="00E675F0" w:rsidRDefault="00E675F0" w:rsidP="00E675F0">
      <w:pPr>
        <w:pStyle w:val="BodyText"/>
      </w:pPr>
    </w:p>
    <w:p w:rsidR="00E675F0" w:rsidRDefault="00E675F0" w:rsidP="00E675F0">
      <w:pPr>
        <w:pStyle w:val="BodyText"/>
        <w:spacing w:before="6"/>
        <w:rPr>
          <w:sz w:val="24"/>
        </w:rPr>
      </w:pPr>
    </w:p>
    <w:p w:rsidR="00E675F0" w:rsidRDefault="00E675F0" w:rsidP="00E675F0">
      <w:pPr>
        <w:ind w:right="28"/>
        <w:jc w:val="right"/>
        <w:rPr>
          <w:sz w:val="19"/>
        </w:rPr>
      </w:pPr>
      <w:r>
        <w:rPr>
          <w:sz w:val="19"/>
        </w:rPr>
        <w:t>292.89</w:t>
      </w:r>
    </w:p>
    <w:p w:rsidR="00E675F0" w:rsidRDefault="00E675F0" w:rsidP="00E675F0">
      <w:pPr>
        <w:spacing w:before="67" w:line="259" w:lineRule="auto"/>
        <w:ind w:left="400" w:right="617" w:hanging="5"/>
        <w:jc w:val="both"/>
        <w:rPr>
          <w:sz w:val="20"/>
        </w:rPr>
      </w:pPr>
      <w:r>
        <w:br w:type="column"/>
      </w:r>
      <w:r>
        <w:rPr>
          <w:w w:val="105"/>
          <w:sz w:val="19"/>
        </w:rPr>
        <w:t>With Delusions</w:t>
      </w:r>
      <w:r>
        <w:rPr>
          <w:w w:val="105"/>
          <w:sz w:val="19"/>
          <w:vertAlign w:val="superscript"/>
        </w:rPr>
        <w:t>1</w:t>
      </w:r>
      <w:r>
        <w:rPr>
          <w:w w:val="105"/>
          <w:sz w:val="19"/>
        </w:rPr>
        <w:t>·w With Hallucinations</w:t>
      </w:r>
      <w:r>
        <w:rPr>
          <w:spacing w:val="19"/>
          <w:w w:val="105"/>
          <w:sz w:val="19"/>
        </w:rPr>
        <w:t xml:space="preserve"> </w:t>
      </w:r>
      <w:r>
        <w:rPr>
          <w:spacing w:val="-11"/>
          <w:w w:val="105"/>
          <w:sz w:val="19"/>
          <w:vertAlign w:val="superscript"/>
        </w:rPr>
        <w:t>1</w:t>
      </w:r>
      <w:r>
        <w:rPr>
          <w:spacing w:val="-11"/>
          <w:w w:val="105"/>
          <w:sz w:val="20"/>
        </w:rPr>
        <w:t>·w</w:t>
      </w:r>
    </w:p>
    <w:p w:rsidR="00E675F0" w:rsidRDefault="00E675F0" w:rsidP="00E675F0">
      <w:pPr>
        <w:spacing w:before="1" w:line="264" w:lineRule="auto"/>
        <w:ind w:left="98" w:right="46"/>
        <w:jc w:val="both"/>
        <w:rPr>
          <w:sz w:val="19"/>
        </w:rPr>
      </w:pPr>
      <w:r>
        <w:rPr>
          <w:w w:val="110"/>
          <w:sz w:val="19"/>
        </w:rPr>
        <w:t>Other (or Unknown) Substance­ Induced</w:t>
      </w:r>
      <w:r>
        <w:rPr>
          <w:spacing w:val="-5"/>
          <w:w w:val="110"/>
          <w:sz w:val="19"/>
        </w:rPr>
        <w:t xml:space="preserve"> </w:t>
      </w:r>
      <w:r>
        <w:rPr>
          <w:w w:val="110"/>
          <w:sz w:val="19"/>
        </w:rPr>
        <w:t>Mood</w:t>
      </w:r>
      <w:r>
        <w:rPr>
          <w:spacing w:val="-4"/>
          <w:w w:val="110"/>
          <w:sz w:val="19"/>
        </w:rPr>
        <w:t xml:space="preserve"> </w:t>
      </w:r>
      <w:r>
        <w:rPr>
          <w:w w:val="110"/>
          <w:sz w:val="19"/>
        </w:rPr>
        <w:t>Diso</w:t>
      </w:r>
      <w:r>
        <w:rPr>
          <w:spacing w:val="-20"/>
          <w:w w:val="110"/>
          <w:sz w:val="19"/>
        </w:rPr>
        <w:t xml:space="preserve"> </w:t>
      </w:r>
      <w:r>
        <w:rPr>
          <w:w w:val="110"/>
          <w:sz w:val="19"/>
        </w:rPr>
        <w:t>rde</w:t>
      </w:r>
      <w:r>
        <w:rPr>
          <w:spacing w:val="-36"/>
          <w:w w:val="110"/>
          <w:sz w:val="19"/>
        </w:rPr>
        <w:t xml:space="preserve"> </w:t>
      </w:r>
      <w:r>
        <w:rPr>
          <w:spacing w:val="-3"/>
          <w:w w:val="110"/>
          <w:sz w:val="19"/>
        </w:rPr>
        <w:t>r</w:t>
      </w:r>
      <w:r>
        <w:rPr>
          <w:spacing w:val="-3"/>
          <w:w w:val="110"/>
          <w:sz w:val="19"/>
          <w:vertAlign w:val="superscript"/>
        </w:rPr>
        <w:t>1</w:t>
      </w:r>
      <w:r>
        <w:rPr>
          <w:spacing w:val="-3"/>
          <w:w w:val="110"/>
          <w:sz w:val="19"/>
        </w:rPr>
        <w:t>·w</w:t>
      </w:r>
      <w:r>
        <w:rPr>
          <w:spacing w:val="-26"/>
          <w:w w:val="110"/>
          <w:sz w:val="19"/>
        </w:rPr>
        <w:t xml:space="preserve"> </w:t>
      </w:r>
      <w:r>
        <w:rPr>
          <w:w w:val="110"/>
          <w:sz w:val="19"/>
        </w:rPr>
        <w:t>(370) Other (or</w:t>
      </w:r>
      <w:r>
        <w:rPr>
          <w:spacing w:val="33"/>
          <w:w w:val="110"/>
          <w:sz w:val="19"/>
        </w:rPr>
        <w:t xml:space="preserve"> </w:t>
      </w:r>
      <w:r>
        <w:rPr>
          <w:w w:val="110"/>
          <w:sz w:val="19"/>
        </w:rPr>
        <w:t>Unknown)</w:t>
      </w:r>
    </w:p>
    <w:p w:rsidR="00E675F0" w:rsidRDefault="00E675F0" w:rsidP="00E675F0">
      <w:pPr>
        <w:spacing w:line="254" w:lineRule="auto"/>
        <w:ind w:left="102" w:right="525" w:hanging="9"/>
        <w:rPr>
          <w:sz w:val="19"/>
        </w:rPr>
      </w:pPr>
      <w:r>
        <w:rPr>
          <w:w w:val="105"/>
          <w:sz w:val="19"/>
        </w:rPr>
        <w:t>Substance-Induced Anxiety Disor de r</w:t>
      </w:r>
      <w:r>
        <w:rPr>
          <w:w w:val="105"/>
          <w:sz w:val="19"/>
          <w:vertAlign w:val="superscript"/>
        </w:rPr>
        <w:t>1</w:t>
      </w:r>
      <w:r>
        <w:rPr>
          <w:w w:val="105"/>
          <w:sz w:val="19"/>
        </w:rPr>
        <w:t>·w (439)</w:t>
      </w:r>
    </w:p>
    <w:p w:rsidR="00E675F0" w:rsidRDefault="00E675F0" w:rsidP="00E675F0">
      <w:pPr>
        <w:spacing w:before="12" w:line="266" w:lineRule="auto"/>
        <w:ind w:left="93" w:right="525" w:firstLine="9"/>
        <w:rPr>
          <w:sz w:val="19"/>
        </w:rPr>
      </w:pPr>
      <w:r>
        <w:rPr>
          <w:w w:val="115"/>
          <w:sz w:val="19"/>
        </w:rPr>
        <w:t>Other (or Unknown) Substance-Induced Sexual Dysfunction</w:t>
      </w:r>
      <w:r>
        <w:rPr>
          <w:rFonts w:ascii="Arial"/>
          <w:w w:val="115"/>
          <w:sz w:val="19"/>
          <w:vertAlign w:val="superscript"/>
        </w:rPr>
        <w:t>1</w:t>
      </w:r>
      <w:r>
        <w:rPr>
          <w:rFonts w:ascii="Arial"/>
          <w:w w:val="115"/>
          <w:sz w:val="19"/>
        </w:rPr>
        <w:t xml:space="preserve"> </w:t>
      </w:r>
      <w:r>
        <w:rPr>
          <w:w w:val="115"/>
          <w:sz w:val="19"/>
        </w:rPr>
        <w:t>(519)</w:t>
      </w:r>
    </w:p>
    <w:p w:rsidR="00E675F0" w:rsidRDefault="00E675F0" w:rsidP="00E675F0">
      <w:pPr>
        <w:spacing w:before="3" w:line="264" w:lineRule="auto"/>
        <w:ind w:left="100" w:right="23" w:hanging="2"/>
        <w:rPr>
          <w:sz w:val="19"/>
        </w:rPr>
      </w:pPr>
      <w:r>
        <w:rPr>
          <w:w w:val="110"/>
          <w:sz w:val="19"/>
        </w:rPr>
        <w:t>Other (or Unknown) Substance­ Induced Sleep Disorde r</w:t>
      </w:r>
      <w:r>
        <w:rPr>
          <w:w w:val="110"/>
          <w:sz w:val="19"/>
          <w:vertAlign w:val="superscript"/>
        </w:rPr>
        <w:t>1</w:t>
      </w:r>
      <w:r>
        <w:rPr>
          <w:w w:val="110"/>
          <w:sz w:val="19"/>
        </w:rPr>
        <w:t>·w (601)</w:t>
      </w:r>
    </w:p>
    <w:p w:rsidR="00E675F0" w:rsidRDefault="00E675F0" w:rsidP="00E675F0">
      <w:pPr>
        <w:spacing w:line="249" w:lineRule="auto"/>
        <w:ind w:left="852" w:firstLine="4"/>
        <w:rPr>
          <w:sz w:val="16"/>
        </w:rPr>
      </w:pPr>
      <w:r>
        <w:br w:type="column"/>
      </w:r>
      <w:r>
        <w:rPr>
          <w:w w:val="105"/>
          <w:sz w:val="16"/>
        </w:rPr>
        <w:t>Type/Persecutory Type/Somatic Type/Mixed Type/Unspecified Type</w:t>
      </w:r>
    </w:p>
    <w:p w:rsidR="00E675F0" w:rsidRDefault="00E675F0" w:rsidP="00E675F0">
      <w:pPr>
        <w:tabs>
          <w:tab w:val="left" w:pos="859"/>
        </w:tabs>
        <w:spacing w:before="16" w:line="200" w:lineRule="exact"/>
        <w:ind w:left="141"/>
        <w:rPr>
          <w:sz w:val="19"/>
        </w:rPr>
      </w:pPr>
      <w:r>
        <w:rPr>
          <w:w w:val="110"/>
          <w:sz w:val="19"/>
        </w:rPr>
        <w:t>298.8</w:t>
      </w:r>
      <w:r>
        <w:rPr>
          <w:w w:val="110"/>
          <w:sz w:val="19"/>
        </w:rPr>
        <w:tab/>
        <w:t>Brief Psychotic Disorder</w:t>
      </w:r>
      <w:r>
        <w:rPr>
          <w:spacing w:val="22"/>
          <w:w w:val="110"/>
          <w:sz w:val="19"/>
        </w:rPr>
        <w:t xml:space="preserve"> </w:t>
      </w:r>
      <w:r>
        <w:rPr>
          <w:w w:val="110"/>
          <w:sz w:val="19"/>
        </w:rPr>
        <w:t>(302)</w:t>
      </w:r>
    </w:p>
    <w:p w:rsidR="00E675F0" w:rsidRDefault="00E675F0" w:rsidP="00E675F0">
      <w:pPr>
        <w:spacing w:line="228" w:lineRule="auto"/>
        <w:ind w:left="857" w:right="1019" w:firstLine="16"/>
        <w:rPr>
          <w:sz w:val="16"/>
        </w:rPr>
      </w:pPr>
      <w:r>
        <w:rPr>
          <w:i/>
          <w:w w:val="105"/>
          <w:sz w:val="15"/>
        </w:rPr>
        <w:t xml:space="preserve">spec/f'y </w:t>
      </w:r>
      <w:r>
        <w:rPr>
          <w:rFonts w:ascii="Arial"/>
          <w:i/>
          <w:w w:val="105"/>
          <w:sz w:val="20"/>
        </w:rPr>
        <w:t xml:space="preserve">if </w:t>
      </w:r>
      <w:r>
        <w:rPr>
          <w:w w:val="105"/>
          <w:sz w:val="16"/>
        </w:rPr>
        <w:t>With Marked Stressor(s)/Without Marked</w:t>
      </w:r>
    </w:p>
    <w:p w:rsidR="00E675F0" w:rsidRDefault="00E675F0" w:rsidP="00E675F0">
      <w:pPr>
        <w:spacing w:before="1" w:line="256" w:lineRule="auto"/>
        <w:ind w:left="861" w:right="1019" w:hanging="10"/>
        <w:rPr>
          <w:sz w:val="16"/>
        </w:rPr>
      </w:pPr>
      <w:r>
        <w:rPr>
          <w:w w:val="105"/>
          <w:sz w:val="16"/>
        </w:rPr>
        <w:t>Stressor(s)/With Postpartum Onset</w:t>
      </w:r>
    </w:p>
    <w:p w:rsidR="00E675F0" w:rsidRDefault="00E675F0" w:rsidP="00E675F0">
      <w:pPr>
        <w:tabs>
          <w:tab w:val="left" w:pos="855"/>
        </w:tabs>
        <w:spacing w:before="11"/>
        <w:ind w:left="141"/>
        <w:rPr>
          <w:sz w:val="19"/>
        </w:rPr>
      </w:pPr>
      <w:r>
        <w:rPr>
          <w:w w:val="110"/>
          <w:sz w:val="19"/>
        </w:rPr>
        <w:t>297.3</w:t>
      </w:r>
      <w:r>
        <w:rPr>
          <w:w w:val="110"/>
          <w:sz w:val="19"/>
        </w:rPr>
        <w:tab/>
        <w:t>Shared Psychotic Disorder</w:t>
      </w:r>
      <w:r>
        <w:rPr>
          <w:spacing w:val="30"/>
          <w:w w:val="110"/>
          <w:sz w:val="19"/>
        </w:rPr>
        <w:t xml:space="preserve"> </w:t>
      </w:r>
      <w:r>
        <w:rPr>
          <w:w w:val="110"/>
          <w:sz w:val="19"/>
        </w:rPr>
        <w:t>(305)</w:t>
      </w:r>
    </w:p>
    <w:p w:rsidR="00E675F0" w:rsidRDefault="00E675F0" w:rsidP="00E675F0">
      <w:pPr>
        <w:spacing w:before="22" w:line="249" w:lineRule="auto"/>
        <w:ind w:left="865" w:hanging="720"/>
        <w:rPr>
          <w:sz w:val="19"/>
        </w:rPr>
      </w:pPr>
      <w:r>
        <w:rPr>
          <w:w w:val="105"/>
          <w:sz w:val="19"/>
        </w:rPr>
        <w:t xml:space="preserve">293.xx Psychotic Disorder Due to ... </w:t>
      </w:r>
      <w:r>
        <w:rPr>
          <w:i/>
          <w:w w:val="105"/>
          <w:sz w:val="20"/>
        </w:rPr>
        <w:t xml:space="preserve">[Indicate the General Medical Condition} </w:t>
      </w:r>
      <w:r>
        <w:rPr>
          <w:w w:val="105"/>
          <w:sz w:val="19"/>
        </w:rPr>
        <w:t>(306)</w:t>
      </w:r>
    </w:p>
    <w:p w:rsidR="00E675F0" w:rsidRDefault="00E675F0" w:rsidP="003048D3">
      <w:pPr>
        <w:pStyle w:val="ListParagraph"/>
        <w:numPr>
          <w:ilvl w:val="0"/>
          <w:numId w:val="123"/>
        </w:numPr>
        <w:tabs>
          <w:tab w:val="left" w:pos="1157"/>
          <w:tab w:val="left" w:pos="1158"/>
        </w:tabs>
        <w:spacing w:before="20"/>
        <w:rPr>
          <w:sz w:val="19"/>
        </w:rPr>
      </w:pPr>
      <w:r>
        <w:rPr>
          <w:w w:val="110"/>
          <w:sz w:val="19"/>
        </w:rPr>
        <w:t>With</w:t>
      </w:r>
      <w:r>
        <w:rPr>
          <w:spacing w:val="17"/>
          <w:w w:val="110"/>
          <w:sz w:val="19"/>
        </w:rPr>
        <w:t xml:space="preserve"> </w:t>
      </w:r>
      <w:r>
        <w:rPr>
          <w:w w:val="110"/>
          <w:sz w:val="19"/>
        </w:rPr>
        <w:t>Delusions</w:t>
      </w:r>
    </w:p>
    <w:p w:rsidR="00E675F0" w:rsidRDefault="00E675F0" w:rsidP="003048D3">
      <w:pPr>
        <w:pStyle w:val="ListParagraph"/>
        <w:numPr>
          <w:ilvl w:val="0"/>
          <w:numId w:val="123"/>
        </w:numPr>
        <w:tabs>
          <w:tab w:val="left" w:pos="1162"/>
          <w:tab w:val="left" w:pos="1163"/>
        </w:tabs>
        <w:spacing w:before="27" w:line="268" w:lineRule="auto"/>
        <w:ind w:left="860" w:right="447" w:hanging="401"/>
        <w:rPr>
          <w:sz w:val="19"/>
        </w:rPr>
      </w:pPr>
      <w:r>
        <w:tab/>
      </w:r>
      <w:r>
        <w:rPr>
          <w:w w:val="110"/>
          <w:sz w:val="19"/>
        </w:rPr>
        <w:t>With Hallucinations Substance-Induced</w:t>
      </w:r>
      <w:r>
        <w:rPr>
          <w:spacing w:val="3"/>
          <w:w w:val="110"/>
          <w:sz w:val="19"/>
        </w:rPr>
        <w:t xml:space="preserve"> </w:t>
      </w:r>
      <w:r>
        <w:rPr>
          <w:w w:val="110"/>
          <w:sz w:val="19"/>
        </w:rPr>
        <w:t>Psychotic</w:t>
      </w:r>
    </w:p>
    <w:p w:rsidR="00E675F0" w:rsidRDefault="00E675F0" w:rsidP="00E675F0">
      <w:pPr>
        <w:spacing w:line="268" w:lineRule="auto"/>
        <w:rPr>
          <w:sz w:val="19"/>
        </w:rPr>
        <w:sectPr w:rsidR="00E675F0">
          <w:type w:val="continuous"/>
          <w:pgSz w:w="8960" w:h="14260"/>
          <w:pgMar w:top="640" w:right="640" w:bottom="0" w:left="600" w:header="720" w:footer="720" w:gutter="0"/>
          <w:cols w:num="3" w:space="720" w:equalWidth="0">
            <w:col w:w="722" w:space="40"/>
            <w:col w:w="2960" w:space="199"/>
            <w:col w:w="3799"/>
          </w:cols>
        </w:sectPr>
      </w:pPr>
    </w:p>
    <w:p w:rsidR="00E675F0" w:rsidRDefault="00E675F0" w:rsidP="00E675F0">
      <w:pPr>
        <w:tabs>
          <w:tab w:val="left" w:pos="860"/>
        </w:tabs>
        <w:spacing w:before="68" w:line="259" w:lineRule="auto"/>
        <w:ind w:left="868" w:right="38" w:hanging="728"/>
        <w:rPr>
          <w:sz w:val="19"/>
        </w:rPr>
      </w:pPr>
      <w:r>
        <w:rPr>
          <w:w w:val="110"/>
          <w:sz w:val="19"/>
        </w:rPr>
        <w:t>292.9</w:t>
      </w:r>
      <w:r>
        <w:rPr>
          <w:w w:val="110"/>
          <w:sz w:val="19"/>
        </w:rPr>
        <w:tab/>
      </w:r>
      <w:r>
        <w:rPr>
          <w:w w:val="110"/>
          <w:position w:val="1"/>
          <w:sz w:val="19"/>
        </w:rPr>
        <w:t>Other (or Unknown) Substance­</w:t>
      </w:r>
      <w:r>
        <w:rPr>
          <w:w w:val="110"/>
          <w:sz w:val="19"/>
        </w:rPr>
        <w:t xml:space="preserve"> Related Disorder NOS</w:t>
      </w:r>
      <w:r>
        <w:rPr>
          <w:spacing w:val="-24"/>
          <w:w w:val="110"/>
          <w:sz w:val="19"/>
        </w:rPr>
        <w:t xml:space="preserve"> </w:t>
      </w:r>
      <w:r>
        <w:rPr>
          <w:w w:val="110"/>
          <w:sz w:val="19"/>
        </w:rPr>
        <w:t>(272)</w:t>
      </w:r>
    </w:p>
    <w:p w:rsidR="00E675F0" w:rsidRDefault="00E675F0" w:rsidP="00E675F0">
      <w:pPr>
        <w:spacing w:line="256" w:lineRule="auto"/>
        <w:ind w:left="866" w:right="121" w:hanging="13"/>
        <w:rPr>
          <w:sz w:val="19"/>
        </w:rPr>
      </w:pPr>
      <w:r>
        <w:br w:type="column"/>
      </w:r>
      <w:r>
        <w:rPr>
          <w:w w:val="105"/>
          <w:sz w:val="19"/>
        </w:rPr>
        <w:t xml:space="preserve">Disorder </w:t>
      </w:r>
      <w:r>
        <w:rPr>
          <w:i/>
          <w:w w:val="105"/>
          <w:sz w:val="19"/>
        </w:rPr>
        <w:t xml:space="preserve">( </w:t>
      </w:r>
      <w:r>
        <w:rPr>
          <w:i/>
          <w:w w:val="105"/>
          <w:sz w:val="20"/>
        </w:rPr>
        <w:t xml:space="preserve">refer to Substance­ Related Disorders for substance­ pecific codes) </w:t>
      </w:r>
      <w:r>
        <w:rPr>
          <w:w w:val="105"/>
          <w:sz w:val="19"/>
        </w:rPr>
        <w:t>(310)</w:t>
      </w:r>
    </w:p>
    <w:p w:rsidR="00E675F0" w:rsidRDefault="00E675F0" w:rsidP="00E675F0">
      <w:pPr>
        <w:spacing w:line="176" w:lineRule="exact"/>
        <w:ind w:left="866"/>
        <w:rPr>
          <w:sz w:val="16"/>
        </w:rPr>
      </w:pPr>
      <w:r>
        <w:rPr>
          <w:i/>
          <w:w w:val="105"/>
          <w:sz w:val="15"/>
        </w:rPr>
        <w:t xml:space="preserve">Spec!fY </w:t>
      </w:r>
      <w:r>
        <w:rPr>
          <w:rFonts w:ascii="Arial"/>
          <w:i/>
          <w:w w:val="105"/>
          <w:sz w:val="19"/>
        </w:rPr>
        <w:t xml:space="preserve">if </w:t>
      </w:r>
      <w:r>
        <w:rPr>
          <w:w w:val="105"/>
          <w:sz w:val="16"/>
        </w:rPr>
        <w:t>With Onset During</w:t>
      </w:r>
    </w:p>
    <w:p w:rsidR="00E675F0" w:rsidRDefault="00E675F0" w:rsidP="00E675F0">
      <w:pPr>
        <w:spacing w:line="244" w:lineRule="auto"/>
        <w:ind w:left="850" w:right="408" w:firstLine="3"/>
        <w:rPr>
          <w:sz w:val="16"/>
        </w:rPr>
      </w:pPr>
      <w:r>
        <w:rPr>
          <w:w w:val="105"/>
          <w:sz w:val="16"/>
        </w:rPr>
        <w:t>Intoxication/With Onset During Withdrawal</w:t>
      </w:r>
    </w:p>
    <w:p w:rsidR="00E675F0" w:rsidRDefault="00E675F0" w:rsidP="00E675F0">
      <w:pPr>
        <w:tabs>
          <w:tab w:val="left" w:pos="859"/>
        </w:tabs>
        <w:spacing w:before="23"/>
        <w:ind w:left="141"/>
        <w:rPr>
          <w:sz w:val="19"/>
        </w:rPr>
      </w:pPr>
      <w:r>
        <w:rPr>
          <w:w w:val="110"/>
          <w:sz w:val="19"/>
        </w:rPr>
        <w:t>298.9</w:t>
      </w:r>
      <w:r>
        <w:rPr>
          <w:w w:val="110"/>
          <w:sz w:val="19"/>
        </w:rPr>
        <w:tab/>
        <w:t>Psychotic Disorder NOS</w:t>
      </w:r>
      <w:r>
        <w:rPr>
          <w:spacing w:val="-33"/>
          <w:w w:val="110"/>
          <w:sz w:val="19"/>
        </w:rPr>
        <w:t xml:space="preserve"> </w:t>
      </w:r>
      <w:r>
        <w:rPr>
          <w:w w:val="110"/>
          <w:sz w:val="19"/>
        </w:rPr>
        <w:t>(315)</w:t>
      </w:r>
    </w:p>
    <w:p w:rsidR="00E675F0" w:rsidRDefault="00E675F0" w:rsidP="00E675F0">
      <w:pPr>
        <w:rPr>
          <w:sz w:val="19"/>
        </w:rPr>
        <w:sectPr w:rsidR="00E675F0">
          <w:type w:val="continuous"/>
          <w:pgSz w:w="8960" w:h="14260"/>
          <w:pgMar w:top="640" w:right="640" w:bottom="0" w:left="600" w:header="720" w:footer="720" w:gutter="0"/>
          <w:cols w:num="2" w:space="720" w:equalWidth="0">
            <w:col w:w="3713" w:space="217"/>
            <w:col w:w="3790"/>
          </w:cols>
        </w:sectPr>
      </w:pPr>
    </w:p>
    <w:p w:rsidR="00E675F0" w:rsidRDefault="00E675F0" w:rsidP="00E675F0">
      <w:pPr>
        <w:pStyle w:val="BodyText"/>
        <w:spacing w:before="2"/>
        <w:rPr>
          <w:sz w:val="6"/>
        </w:rPr>
      </w:pPr>
    </w:p>
    <w:p w:rsidR="00E675F0" w:rsidRDefault="00E675F0" w:rsidP="00E675F0">
      <w:pPr>
        <w:pStyle w:val="BodyText"/>
        <w:spacing w:line="20" w:lineRule="exact"/>
        <w:ind w:left="2764" w:right="-15"/>
        <w:rPr>
          <w:sz w:val="2"/>
        </w:rPr>
      </w:pPr>
      <w:r>
        <w:rPr>
          <w:noProof/>
          <w:sz w:val="2"/>
        </w:rPr>
        <mc:AlternateContent>
          <mc:Choice Requires="wpg">
            <w:drawing>
              <wp:inline distT="0" distB="0" distL="0" distR="0" wp14:anchorId="18B3D0AE" wp14:editId="45596513">
                <wp:extent cx="586740" cy="3175"/>
                <wp:effectExtent l="0" t="0" r="0" b="0"/>
                <wp:docPr id="1698" name="Group 1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740" cy="3175"/>
                          <a:chOff x="0" y="0"/>
                          <a:chExt cx="924" cy="5"/>
                        </a:xfrm>
                      </wpg:grpSpPr>
                      <wps:wsp>
                        <wps:cNvPr id="1699" name="Line 1655"/>
                        <wps:cNvCnPr>
                          <a:cxnSpLocks/>
                        </wps:cNvCnPr>
                        <wps:spPr bwMode="auto">
                          <a:xfrm>
                            <a:off x="0" y="2"/>
                            <a:ext cx="924" cy="0"/>
                          </a:xfrm>
                          <a:prstGeom prst="line">
                            <a:avLst/>
                          </a:prstGeom>
                          <a:noFill/>
                          <a:ln w="305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F5776FF" id="Group 1654" o:spid="_x0000_s1026" style="width:46.2pt;height:.25pt;mso-position-horizontal-relative:char;mso-position-vertical-relative:line" coordsize="92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">
                <v:line id="Line 1655" o:spid="_x0000_s1027" style="position:absolute;visibility:visible;mso-wrap-style:square" from="0,2" to="92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" strokeweight=".08478mm">
                  <o:lock v:ext="edit" shapetype="f"/>
                </v:line>
                <w10:anchorlock/>
              </v:group>
            </w:pict>
          </mc:Fallback>
        </mc:AlternateContent>
      </w:r>
    </w:p>
    <w:p w:rsidR="00E675F0" w:rsidRDefault="00E675F0" w:rsidP="00E675F0">
      <w:pPr>
        <w:spacing w:before="65"/>
        <w:ind w:left="289"/>
        <w:rPr>
          <w:sz w:val="18"/>
        </w:rPr>
      </w:pPr>
      <w:r>
        <w:rPr>
          <w:rFonts w:ascii="Arial"/>
          <w:b/>
          <w:color w:val="131313"/>
          <w:w w:val="110"/>
          <w:sz w:val="21"/>
        </w:rPr>
        <w:t xml:space="preserve">Mood Disorders </w:t>
      </w:r>
      <w:r>
        <w:rPr>
          <w:color w:val="545454"/>
          <w:w w:val="110"/>
          <w:sz w:val="18"/>
        </w:rPr>
        <w:t>(3</w:t>
      </w:r>
      <w:r>
        <w:rPr>
          <w:color w:val="131313"/>
          <w:w w:val="110"/>
          <w:sz w:val="18"/>
        </w:rPr>
        <w:t>1</w:t>
      </w:r>
      <w:r>
        <w:rPr>
          <w:color w:val="545454"/>
          <w:w w:val="110"/>
          <w:sz w:val="18"/>
        </w:rPr>
        <w:t>7)</w:t>
      </w:r>
    </w:p>
    <w:p w:rsidR="00E675F0" w:rsidRDefault="00E675F0" w:rsidP="00E675F0">
      <w:pPr>
        <w:spacing w:before="163" w:line="256" w:lineRule="auto"/>
        <w:ind w:left="142" w:right="38" w:hanging="1"/>
        <w:jc w:val="both"/>
        <w:rPr>
          <w:i/>
          <w:sz w:val="20"/>
        </w:rPr>
      </w:pPr>
      <w:r>
        <w:rPr>
          <w:i/>
          <w:sz w:val="20"/>
        </w:rPr>
        <w:t>Code current state of Major Depressive Disorder or Bipolar I Disorder in fifth digit:</w:t>
      </w:r>
    </w:p>
    <w:p w:rsidR="00E675F0" w:rsidRDefault="00E675F0" w:rsidP="00E675F0">
      <w:pPr>
        <w:spacing w:before="45"/>
        <w:ind w:left="372"/>
        <w:rPr>
          <w:sz w:val="16"/>
        </w:rPr>
      </w:pPr>
      <w:r>
        <w:rPr>
          <w:w w:val="105"/>
          <w:sz w:val="16"/>
        </w:rPr>
        <w:t>1 =Mild</w:t>
      </w:r>
    </w:p>
    <w:p w:rsidR="00E675F0" w:rsidRDefault="00E675F0" w:rsidP="00E675F0">
      <w:pPr>
        <w:spacing w:before="8"/>
        <w:ind w:left="377"/>
        <w:rPr>
          <w:sz w:val="16"/>
        </w:rPr>
      </w:pPr>
      <w:r>
        <w:rPr>
          <w:sz w:val="16"/>
        </w:rPr>
        <w:t>2 = Moderate</w:t>
      </w:r>
    </w:p>
    <w:p w:rsidR="00E675F0" w:rsidRDefault="00E675F0" w:rsidP="00E675F0">
      <w:pPr>
        <w:spacing w:before="21" w:line="228" w:lineRule="auto"/>
        <w:ind w:left="373" w:right="759"/>
        <w:rPr>
          <w:sz w:val="16"/>
        </w:rPr>
      </w:pPr>
      <w:r>
        <w:rPr>
          <w:sz w:val="16"/>
        </w:rPr>
        <w:t xml:space="preserve">3 = Severe Without Psychotic  Features 4 </w:t>
      </w:r>
      <w:r>
        <w:rPr>
          <w:sz w:val="18"/>
        </w:rPr>
        <w:t xml:space="preserve">= </w:t>
      </w:r>
      <w:r>
        <w:rPr>
          <w:sz w:val="16"/>
        </w:rPr>
        <w:t>Severe With Psychotic</w:t>
      </w:r>
      <w:r>
        <w:rPr>
          <w:spacing w:val="4"/>
          <w:sz w:val="16"/>
        </w:rPr>
        <w:t xml:space="preserve"> </w:t>
      </w:r>
      <w:r>
        <w:rPr>
          <w:sz w:val="16"/>
        </w:rPr>
        <w:t>Features</w:t>
      </w:r>
    </w:p>
    <w:p w:rsidR="00E675F0" w:rsidRDefault="00E675F0" w:rsidP="00E675F0">
      <w:pPr>
        <w:spacing w:before="5" w:line="249" w:lineRule="auto"/>
        <w:ind w:left="854" w:right="278" w:firstLine="11"/>
        <w:rPr>
          <w:sz w:val="16"/>
        </w:rPr>
      </w:pPr>
      <w:r>
        <w:rPr>
          <w:i/>
          <w:w w:val="105"/>
          <w:sz w:val="15"/>
        </w:rPr>
        <w:t xml:space="preserve">Specify: </w:t>
      </w:r>
      <w:r>
        <w:rPr>
          <w:w w:val="105"/>
          <w:sz w:val="16"/>
        </w:rPr>
        <w:t>Mood-Congment Psychotic Features/Mood-Incongment Psychotic Features</w:t>
      </w:r>
    </w:p>
    <w:p w:rsidR="00E675F0" w:rsidRDefault="00E675F0" w:rsidP="00E675F0">
      <w:pPr>
        <w:spacing w:before="4" w:line="218" w:lineRule="auto"/>
        <w:ind w:left="364" w:right="1741" w:firstLine="8"/>
        <w:rPr>
          <w:sz w:val="16"/>
        </w:rPr>
      </w:pPr>
      <w:r>
        <w:rPr>
          <w:sz w:val="16"/>
        </w:rPr>
        <w:t xml:space="preserve">5 </w:t>
      </w:r>
      <w:r>
        <w:rPr>
          <w:sz w:val="18"/>
        </w:rPr>
        <w:t xml:space="preserve">= </w:t>
      </w:r>
      <w:r>
        <w:rPr>
          <w:sz w:val="16"/>
        </w:rPr>
        <w:t xml:space="preserve">In Partial Remission 6 </w:t>
      </w:r>
      <w:r>
        <w:rPr>
          <w:sz w:val="18"/>
        </w:rPr>
        <w:t xml:space="preserve">= </w:t>
      </w:r>
      <w:r>
        <w:rPr>
          <w:sz w:val="16"/>
        </w:rPr>
        <w:t>In Full Remission</w:t>
      </w:r>
    </w:p>
    <w:p w:rsidR="00E675F0" w:rsidRDefault="00E675F0" w:rsidP="00E675F0">
      <w:pPr>
        <w:spacing w:before="12"/>
        <w:ind w:left="365"/>
        <w:rPr>
          <w:sz w:val="16"/>
        </w:rPr>
      </w:pPr>
      <w:r>
        <w:rPr>
          <w:sz w:val="16"/>
        </w:rPr>
        <w:t>0 = Unspecified</w:t>
      </w:r>
    </w:p>
    <w:p w:rsidR="00E675F0" w:rsidRDefault="00E675F0" w:rsidP="00E675F0">
      <w:pPr>
        <w:pStyle w:val="BodyText"/>
        <w:spacing w:before="4"/>
        <w:rPr>
          <w:sz w:val="18"/>
        </w:rPr>
      </w:pPr>
    </w:p>
    <w:p w:rsidR="00E675F0" w:rsidRDefault="00E675F0" w:rsidP="00E675F0">
      <w:pPr>
        <w:spacing w:line="256" w:lineRule="auto"/>
        <w:ind w:left="136" w:right="41" w:firstLine="5"/>
        <w:jc w:val="both"/>
        <w:rPr>
          <w:i/>
          <w:sz w:val="20"/>
        </w:rPr>
      </w:pPr>
      <w:r>
        <w:rPr>
          <w:i/>
          <w:w w:val="105"/>
          <w:sz w:val="20"/>
        </w:rPr>
        <w:t>The following specifiers apply (for</w:t>
      </w:r>
      <w:r>
        <w:rPr>
          <w:i/>
          <w:spacing w:val="-39"/>
          <w:w w:val="105"/>
          <w:sz w:val="20"/>
        </w:rPr>
        <w:t xml:space="preserve"> </w:t>
      </w:r>
      <w:r>
        <w:rPr>
          <w:i/>
          <w:w w:val="105"/>
          <w:sz w:val="20"/>
        </w:rPr>
        <w:t>current or</w:t>
      </w:r>
      <w:r>
        <w:rPr>
          <w:i/>
          <w:spacing w:val="-19"/>
          <w:w w:val="105"/>
          <w:sz w:val="20"/>
        </w:rPr>
        <w:t xml:space="preserve"> </w:t>
      </w:r>
      <w:r>
        <w:rPr>
          <w:i/>
          <w:w w:val="105"/>
          <w:sz w:val="20"/>
        </w:rPr>
        <w:t>most</w:t>
      </w:r>
      <w:r>
        <w:rPr>
          <w:i/>
          <w:spacing w:val="-6"/>
          <w:w w:val="105"/>
          <w:sz w:val="20"/>
        </w:rPr>
        <w:t xml:space="preserve"> </w:t>
      </w:r>
      <w:r>
        <w:rPr>
          <w:i/>
          <w:w w:val="105"/>
          <w:sz w:val="20"/>
        </w:rPr>
        <w:t>recent</w:t>
      </w:r>
      <w:r>
        <w:rPr>
          <w:i/>
          <w:spacing w:val="-12"/>
          <w:w w:val="105"/>
          <w:sz w:val="20"/>
        </w:rPr>
        <w:t xml:space="preserve"> </w:t>
      </w:r>
      <w:r>
        <w:rPr>
          <w:i/>
          <w:w w:val="105"/>
          <w:sz w:val="20"/>
        </w:rPr>
        <w:t>episode)</w:t>
      </w:r>
      <w:r>
        <w:rPr>
          <w:i/>
          <w:spacing w:val="-16"/>
          <w:w w:val="105"/>
          <w:sz w:val="20"/>
        </w:rPr>
        <w:t xml:space="preserve"> </w:t>
      </w:r>
      <w:r>
        <w:rPr>
          <w:i/>
          <w:w w:val="105"/>
          <w:sz w:val="20"/>
        </w:rPr>
        <w:t>to</w:t>
      </w:r>
      <w:r>
        <w:rPr>
          <w:i/>
          <w:spacing w:val="-25"/>
          <w:w w:val="105"/>
          <w:sz w:val="20"/>
        </w:rPr>
        <w:t xml:space="preserve"> </w:t>
      </w:r>
      <w:r>
        <w:rPr>
          <w:i/>
          <w:w w:val="105"/>
          <w:sz w:val="20"/>
        </w:rPr>
        <w:t>Mood</w:t>
      </w:r>
      <w:r>
        <w:rPr>
          <w:i/>
          <w:spacing w:val="-5"/>
          <w:w w:val="105"/>
          <w:sz w:val="20"/>
        </w:rPr>
        <w:t xml:space="preserve"> </w:t>
      </w:r>
      <w:r>
        <w:rPr>
          <w:i/>
          <w:w w:val="105"/>
          <w:sz w:val="20"/>
        </w:rPr>
        <w:t>Disorders as</w:t>
      </w:r>
      <w:r>
        <w:rPr>
          <w:i/>
          <w:spacing w:val="-2"/>
          <w:w w:val="105"/>
          <w:sz w:val="20"/>
        </w:rPr>
        <w:t xml:space="preserve"> </w:t>
      </w:r>
      <w:r>
        <w:rPr>
          <w:i/>
          <w:w w:val="105"/>
          <w:sz w:val="20"/>
        </w:rPr>
        <w:t>noted:</w:t>
      </w:r>
    </w:p>
    <w:p w:rsidR="00E675F0" w:rsidRDefault="00E675F0" w:rsidP="00E675F0">
      <w:pPr>
        <w:spacing w:before="44" w:line="249" w:lineRule="auto"/>
        <w:ind w:left="361" w:right="278" w:hanging="1"/>
        <w:rPr>
          <w:sz w:val="16"/>
        </w:rPr>
      </w:pPr>
      <w:r>
        <w:rPr>
          <w:w w:val="105"/>
          <w:sz w:val="16"/>
        </w:rPr>
        <w:t>"Severity/Psychotic/Remission Specifiersl'Chronic/With Catatonic Features/With Melancholic Features/'With Atypical Features/With Postpartum Onset</w:t>
      </w:r>
    </w:p>
    <w:p w:rsidR="00E675F0" w:rsidRDefault="00E675F0" w:rsidP="00E675F0">
      <w:pPr>
        <w:pStyle w:val="BodyText"/>
        <w:rPr>
          <w:sz w:val="18"/>
        </w:rPr>
      </w:pPr>
    </w:p>
    <w:p w:rsidR="00E675F0" w:rsidRDefault="00E675F0" w:rsidP="00E675F0">
      <w:pPr>
        <w:spacing w:line="256" w:lineRule="auto"/>
        <w:ind w:left="132" w:right="291" w:firstLine="8"/>
        <w:rPr>
          <w:i/>
          <w:sz w:val="20"/>
        </w:rPr>
      </w:pPr>
      <w:r>
        <w:rPr>
          <w:i/>
          <w:w w:val="105"/>
          <w:sz w:val="20"/>
        </w:rPr>
        <w:t>The following specifiers apply to Mood Disorders as noted:</w:t>
      </w:r>
    </w:p>
    <w:p w:rsidR="00E675F0" w:rsidRDefault="00E675F0" w:rsidP="00E675F0">
      <w:pPr>
        <w:spacing w:before="40" w:line="249" w:lineRule="auto"/>
        <w:ind w:left="365" w:right="254" w:hanging="4"/>
        <w:rPr>
          <w:sz w:val="16"/>
        </w:rPr>
      </w:pPr>
      <w:r>
        <w:rPr>
          <w:w w:val="105"/>
          <w:sz w:val="16"/>
        </w:rPr>
        <w:t>gWith or Without Full Interepisode Recovery/ hWith Seasonal PatterniWith Rapid Cycling</w:t>
      </w:r>
    </w:p>
    <w:p w:rsidR="00E675F0" w:rsidRDefault="00E675F0" w:rsidP="00E675F0">
      <w:pPr>
        <w:pStyle w:val="BodyText"/>
        <w:spacing w:before="9"/>
        <w:rPr>
          <w:sz w:val="17"/>
        </w:rPr>
      </w:pPr>
    </w:p>
    <w:p w:rsidR="00E675F0" w:rsidRDefault="00E675F0" w:rsidP="00E675F0">
      <w:pPr>
        <w:ind w:left="124"/>
        <w:rPr>
          <w:b/>
          <w:sz w:val="18"/>
        </w:rPr>
      </w:pPr>
      <w:r>
        <w:rPr>
          <w:b/>
          <w:w w:val="105"/>
          <w:sz w:val="18"/>
        </w:rPr>
        <w:t>DEPRESSIVE DISORDERS</w:t>
      </w:r>
    </w:p>
    <w:p w:rsidR="00E675F0" w:rsidRDefault="00E675F0" w:rsidP="00E675F0">
      <w:pPr>
        <w:spacing w:before="29" w:line="215" w:lineRule="exact"/>
        <w:ind w:left="127"/>
        <w:rPr>
          <w:sz w:val="19"/>
        </w:rPr>
      </w:pPr>
      <w:r>
        <w:rPr>
          <w:w w:val="110"/>
          <w:sz w:val="19"/>
        </w:rPr>
        <w:t>296.xx Major Depressive Disorder, (339)</w:t>
      </w:r>
    </w:p>
    <w:p w:rsidR="00E675F0" w:rsidRDefault="00E675F0" w:rsidP="00E675F0">
      <w:pPr>
        <w:tabs>
          <w:tab w:val="left" w:pos="1143"/>
        </w:tabs>
        <w:spacing w:line="214" w:lineRule="exact"/>
        <w:ind w:left="439"/>
        <w:rPr>
          <w:sz w:val="19"/>
        </w:rPr>
      </w:pPr>
      <w:r>
        <w:rPr>
          <w:sz w:val="19"/>
        </w:rPr>
        <w:t>.2x</w:t>
      </w:r>
      <w:r>
        <w:rPr>
          <w:sz w:val="19"/>
        </w:rPr>
        <w:tab/>
        <w:t>Single</w:t>
      </w:r>
      <w:r>
        <w:rPr>
          <w:spacing w:val="17"/>
          <w:sz w:val="19"/>
        </w:rPr>
        <w:t xml:space="preserve"> </w:t>
      </w:r>
      <w:r>
        <w:rPr>
          <w:sz w:val="19"/>
        </w:rPr>
        <w:t>Episode,h,c,d,e,f</w:t>
      </w:r>
    </w:p>
    <w:p w:rsidR="00E675F0" w:rsidRDefault="00E675F0" w:rsidP="00E675F0">
      <w:pPr>
        <w:tabs>
          <w:tab w:val="left" w:pos="1147"/>
        </w:tabs>
        <w:spacing w:line="217" w:lineRule="exact"/>
        <w:ind w:left="435"/>
        <w:rPr>
          <w:sz w:val="19"/>
        </w:rPr>
      </w:pPr>
      <w:r>
        <w:rPr>
          <w:sz w:val="19"/>
        </w:rPr>
        <w:t>.3x</w:t>
      </w:r>
      <w:r>
        <w:rPr>
          <w:sz w:val="19"/>
        </w:rPr>
        <w:tab/>
        <w:t>Recurrenta,b,c,d,e,f,g,h</w:t>
      </w:r>
    </w:p>
    <w:p w:rsidR="00E675F0" w:rsidRDefault="00E675F0" w:rsidP="00E675F0">
      <w:pPr>
        <w:tabs>
          <w:tab w:val="left" w:pos="844"/>
        </w:tabs>
        <w:spacing w:before="74" w:line="244" w:lineRule="auto"/>
        <w:ind w:left="856" w:right="543" w:hanging="738"/>
        <w:rPr>
          <w:sz w:val="16"/>
        </w:rPr>
      </w:pPr>
      <w:r>
        <w:rPr>
          <w:w w:val="105"/>
          <w:sz w:val="19"/>
        </w:rPr>
        <w:t>300.4</w:t>
      </w:r>
      <w:r>
        <w:rPr>
          <w:w w:val="105"/>
          <w:sz w:val="19"/>
        </w:rPr>
        <w:tab/>
        <w:t xml:space="preserve">Dysthyrnic Disorder (345) </w:t>
      </w:r>
      <w:r>
        <w:rPr>
          <w:i/>
          <w:w w:val="105"/>
          <w:sz w:val="15"/>
        </w:rPr>
        <w:t xml:space="preserve">Specify </w:t>
      </w:r>
      <w:r>
        <w:rPr>
          <w:i/>
          <w:w w:val="105"/>
          <w:sz w:val="16"/>
        </w:rPr>
        <w:t xml:space="preserve">if </w:t>
      </w:r>
      <w:r>
        <w:rPr>
          <w:w w:val="105"/>
          <w:sz w:val="16"/>
        </w:rPr>
        <w:t xml:space="preserve">Early Onset/Late Onset </w:t>
      </w:r>
      <w:r>
        <w:rPr>
          <w:i/>
          <w:w w:val="105"/>
          <w:sz w:val="15"/>
        </w:rPr>
        <w:t xml:space="preserve">Specify: </w:t>
      </w:r>
      <w:r>
        <w:rPr>
          <w:w w:val="105"/>
          <w:sz w:val="16"/>
        </w:rPr>
        <w:t>With Atypical</w:t>
      </w:r>
      <w:r>
        <w:rPr>
          <w:spacing w:val="22"/>
          <w:w w:val="105"/>
          <w:sz w:val="16"/>
        </w:rPr>
        <w:t xml:space="preserve"> </w:t>
      </w:r>
      <w:r>
        <w:rPr>
          <w:w w:val="105"/>
          <w:sz w:val="16"/>
        </w:rPr>
        <w:t>Features</w:t>
      </w:r>
    </w:p>
    <w:p w:rsidR="00E675F0" w:rsidRDefault="00E675F0" w:rsidP="00E675F0">
      <w:pPr>
        <w:tabs>
          <w:tab w:val="left" w:pos="849"/>
        </w:tabs>
        <w:spacing w:before="22"/>
        <w:ind w:left="118"/>
        <w:rPr>
          <w:sz w:val="19"/>
        </w:rPr>
      </w:pPr>
      <w:r>
        <w:rPr>
          <w:w w:val="110"/>
          <w:sz w:val="19"/>
        </w:rPr>
        <w:t>311</w:t>
      </w:r>
      <w:r>
        <w:rPr>
          <w:w w:val="110"/>
          <w:sz w:val="19"/>
        </w:rPr>
        <w:tab/>
        <w:t>Depressive Disorder NOS</w:t>
      </w:r>
      <w:r>
        <w:rPr>
          <w:spacing w:val="26"/>
          <w:w w:val="110"/>
          <w:sz w:val="19"/>
        </w:rPr>
        <w:t xml:space="preserve"> </w:t>
      </w:r>
      <w:r>
        <w:rPr>
          <w:w w:val="110"/>
          <w:sz w:val="19"/>
        </w:rPr>
        <w:t>(350)</w:t>
      </w:r>
    </w:p>
    <w:p w:rsidR="00E675F0" w:rsidRDefault="00E675F0" w:rsidP="00E675F0">
      <w:pPr>
        <w:pStyle w:val="BodyText"/>
        <w:spacing w:before="6"/>
        <w:rPr>
          <w:sz w:val="16"/>
        </w:rPr>
      </w:pPr>
    </w:p>
    <w:p w:rsidR="00E675F0" w:rsidRDefault="00E675F0" w:rsidP="00E675F0">
      <w:pPr>
        <w:spacing w:line="200" w:lineRule="exact"/>
        <w:ind w:left="117"/>
        <w:rPr>
          <w:b/>
          <w:sz w:val="18"/>
        </w:rPr>
      </w:pPr>
      <w:r>
        <w:rPr>
          <w:b/>
          <w:w w:val="105"/>
          <w:sz w:val="18"/>
        </w:rPr>
        <w:t>BIPOLAR DISORDERS</w:t>
      </w:r>
    </w:p>
    <w:p w:rsidR="00E675F0" w:rsidRDefault="00E675F0" w:rsidP="00E675F0">
      <w:pPr>
        <w:spacing w:before="142"/>
        <w:ind w:left="127"/>
        <w:rPr>
          <w:sz w:val="19"/>
        </w:rPr>
      </w:pPr>
      <w:r>
        <w:br w:type="column"/>
      </w:r>
      <w:r>
        <w:rPr>
          <w:w w:val="110"/>
          <w:sz w:val="19"/>
        </w:rPr>
        <w:t>301.13  Cyclothyrnic Disorder</w:t>
      </w:r>
      <w:r>
        <w:rPr>
          <w:spacing w:val="10"/>
          <w:w w:val="110"/>
          <w:sz w:val="19"/>
        </w:rPr>
        <w:t xml:space="preserve"> </w:t>
      </w:r>
      <w:r>
        <w:rPr>
          <w:w w:val="110"/>
          <w:sz w:val="19"/>
        </w:rPr>
        <w:t>(363)</w:t>
      </w:r>
    </w:p>
    <w:p w:rsidR="00E675F0" w:rsidRDefault="00E675F0" w:rsidP="00E675F0">
      <w:pPr>
        <w:spacing w:before="26"/>
        <w:ind w:left="135"/>
        <w:rPr>
          <w:sz w:val="19"/>
        </w:rPr>
      </w:pPr>
      <w:r>
        <w:rPr>
          <w:w w:val="105"/>
          <w:sz w:val="19"/>
        </w:rPr>
        <w:t>296.80    Bipolar Disorder  NOS</w:t>
      </w:r>
      <w:r>
        <w:rPr>
          <w:spacing w:val="6"/>
          <w:w w:val="105"/>
          <w:sz w:val="19"/>
        </w:rPr>
        <w:t xml:space="preserve"> </w:t>
      </w:r>
      <w:r>
        <w:rPr>
          <w:w w:val="105"/>
          <w:sz w:val="19"/>
        </w:rPr>
        <w:t>(366)</w:t>
      </w:r>
    </w:p>
    <w:p w:rsidR="00E675F0" w:rsidRDefault="00E675F0" w:rsidP="00E675F0">
      <w:pPr>
        <w:pStyle w:val="BodyText"/>
        <w:spacing w:before="6"/>
        <w:rPr>
          <w:sz w:val="19"/>
        </w:rPr>
      </w:pPr>
    </w:p>
    <w:p w:rsidR="00E675F0" w:rsidRDefault="00E675F0" w:rsidP="00E675F0">
      <w:pPr>
        <w:spacing w:line="254" w:lineRule="auto"/>
        <w:ind w:left="855" w:right="459" w:hanging="725"/>
        <w:rPr>
          <w:sz w:val="19"/>
        </w:rPr>
      </w:pPr>
      <w:r>
        <w:rPr>
          <w:w w:val="105"/>
          <w:sz w:val="19"/>
        </w:rPr>
        <w:t xml:space="preserve">293.83 Mood Disorder Due to ... </w:t>
      </w:r>
      <w:r>
        <w:rPr>
          <w:i/>
          <w:w w:val="105"/>
          <w:sz w:val="20"/>
        </w:rPr>
        <w:t xml:space="preserve">[Indicate the General Medical Condition} </w:t>
      </w:r>
      <w:r>
        <w:rPr>
          <w:w w:val="105"/>
          <w:sz w:val="19"/>
        </w:rPr>
        <w:t>(366)</w:t>
      </w:r>
    </w:p>
    <w:p w:rsidR="00E675F0" w:rsidRDefault="00E675F0" w:rsidP="00E675F0">
      <w:pPr>
        <w:spacing w:line="249" w:lineRule="auto"/>
        <w:ind w:left="849" w:right="523" w:firstLine="10"/>
        <w:rPr>
          <w:sz w:val="16"/>
        </w:rPr>
      </w:pPr>
      <w:r>
        <w:rPr>
          <w:i/>
          <w:w w:val="105"/>
          <w:sz w:val="15"/>
        </w:rPr>
        <w:t xml:space="preserve">Specify type: </w:t>
      </w:r>
      <w:r>
        <w:rPr>
          <w:w w:val="105"/>
          <w:sz w:val="16"/>
        </w:rPr>
        <w:t>With Depressive Features/With Major Depressive-Like Episode/With Manic Features/With Mixed Features</w:t>
      </w:r>
    </w:p>
    <w:p w:rsidR="00E675F0" w:rsidRDefault="00E675F0" w:rsidP="00E675F0">
      <w:pPr>
        <w:spacing w:before="20" w:line="254" w:lineRule="auto"/>
        <w:ind w:left="853" w:right="357" w:hanging="9"/>
        <w:rPr>
          <w:sz w:val="19"/>
        </w:rPr>
      </w:pPr>
      <w:r>
        <w:rPr>
          <w:w w:val="105"/>
          <w:sz w:val="19"/>
        </w:rPr>
        <w:t xml:space="preserve">Substance-Induced Mood Disorder </w:t>
      </w:r>
      <w:r>
        <w:rPr>
          <w:i/>
          <w:w w:val="105"/>
          <w:sz w:val="20"/>
        </w:rPr>
        <w:t>(rf!fer to Substance­ Related</w:t>
      </w:r>
      <w:r>
        <w:rPr>
          <w:i/>
          <w:spacing w:val="-14"/>
          <w:w w:val="105"/>
          <w:sz w:val="20"/>
        </w:rPr>
        <w:t xml:space="preserve"> </w:t>
      </w:r>
      <w:r>
        <w:rPr>
          <w:i/>
          <w:w w:val="105"/>
          <w:sz w:val="20"/>
        </w:rPr>
        <w:t>Disorders</w:t>
      </w:r>
      <w:r>
        <w:rPr>
          <w:i/>
          <w:spacing w:val="-24"/>
          <w:w w:val="105"/>
          <w:sz w:val="20"/>
        </w:rPr>
        <w:t xml:space="preserve"> </w:t>
      </w:r>
      <w:r>
        <w:rPr>
          <w:i/>
          <w:w w:val="105"/>
          <w:sz w:val="20"/>
        </w:rPr>
        <w:t>for</w:t>
      </w:r>
      <w:r>
        <w:rPr>
          <w:i/>
          <w:spacing w:val="-29"/>
          <w:w w:val="105"/>
          <w:sz w:val="20"/>
        </w:rPr>
        <w:t xml:space="preserve"> </w:t>
      </w:r>
      <w:r>
        <w:rPr>
          <w:i/>
          <w:w w:val="105"/>
          <w:sz w:val="20"/>
        </w:rPr>
        <w:t>substance­ specific codes)</w:t>
      </w:r>
      <w:r>
        <w:rPr>
          <w:i/>
          <w:spacing w:val="39"/>
          <w:w w:val="105"/>
          <w:sz w:val="20"/>
        </w:rPr>
        <w:t xml:space="preserve"> </w:t>
      </w:r>
      <w:r>
        <w:rPr>
          <w:w w:val="105"/>
          <w:sz w:val="19"/>
        </w:rPr>
        <w:t>(370)</w:t>
      </w:r>
    </w:p>
    <w:p w:rsidR="00E675F0" w:rsidRDefault="00E675F0" w:rsidP="00E675F0">
      <w:pPr>
        <w:spacing w:line="254" w:lineRule="auto"/>
        <w:ind w:left="849" w:right="264" w:firstLine="6"/>
        <w:rPr>
          <w:sz w:val="16"/>
        </w:rPr>
      </w:pPr>
      <w:r>
        <w:rPr>
          <w:i/>
          <w:w w:val="105"/>
          <w:sz w:val="15"/>
        </w:rPr>
        <w:t xml:space="preserve">Specify type: </w:t>
      </w:r>
      <w:r>
        <w:rPr>
          <w:w w:val="105"/>
          <w:sz w:val="16"/>
        </w:rPr>
        <w:t>With Depressive Features/With Manic Features/With Mixed Features</w:t>
      </w:r>
    </w:p>
    <w:p w:rsidR="00E675F0" w:rsidRDefault="00E675F0" w:rsidP="00E675F0">
      <w:pPr>
        <w:spacing w:line="254" w:lineRule="auto"/>
        <w:ind w:left="844" w:right="264" w:firstLine="15"/>
        <w:rPr>
          <w:sz w:val="16"/>
        </w:rPr>
      </w:pPr>
      <w:r>
        <w:rPr>
          <w:i/>
          <w:w w:val="105"/>
          <w:sz w:val="15"/>
        </w:rPr>
        <w:t xml:space="preserve">Specify if </w:t>
      </w:r>
      <w:r>
        <w:rPr>
          <w:w w:val="105"/>
          <w:sz w:val="16"/>
        </w:rPr>
        <w:t>With Onset During Intoxication/With Onset During Withdrawal</w:t>
      </w:r>
    </w:p>
    <w:p w:rsidR="00E675F0" w:rsidRDefault="00E675F0" w:rsidP="00E675F0">
      <w:pPr>
        <w:pStyle w:val="BodyText"/>
        <w:spacing w:before="2"/>
        <w:rPr>
          <w:sz w:val="22"/>
        </w:rPr>
      </w:pPr>
    </w:p>
    <w:p w:rsidR="00E675F0" w:rsidRDefault="00E675F0" w:rsidP="00E675F0">
      <w:pPr>
        <w:ind w:left="131"/>
        <w:rPr>
          <w:sz w:val="19"/>
        </w:rPr>
      </w:pPr>
      <w:r>
        <w:rPr>
          <w:w w:val="105"/>
          <w:sz w:val="19"/>
        </w:rPr>
        <w:t>296.90 Mood Disorder NOS (375)</w:t>
      </w:r>
    </w:p>
    <w:p w:rsidR="00E675F0" w:rsidRDefault="00E675F0" w:rsidP="00E675F0">
      <w:pPr>
        <w:pStyle w:val="BodyText"/>
      </w:pPr>
    </w:p>
    <w:p w:rsidR="00E675F0" w:rsidRDefault="00E675F0" w:rsidP="00E675F0">
      <w:pPr>
        <w:pStyle w:val="BodyText"/>
        <w:spacing w:before="2"/>
        <w:rPr>
          <w:sz w:val="24"/>
        </w:rPr>
      </w:pPr>
      <w:r>
        <w:rPr>
          <w:noProof/>
        </w:rPr>
        <mc:AlternateContent>
          <mc:Choice Requires="wps">
            <w:drawing>
              <wp:anchor distT="0" distB="0" distL="0" distR="0" simplePos="0" relativeHeight="251824128" behindDoc="1" locked="0" layoutInCell="1" allowOverlap="1" wp14:anchorId="118756C8" wp14:editId="1018F812">
                <wp:simplePos x="0" y="0"/>
                <wp:positionH relativeFrom="page">
                  <wp:posOffset>4789805</wp:posOffset>
                </wp:positionH>
                <wp:positionV relativeFrom="paragraph">
                  <wp:posOffset>207010</wp:posOffset>
                </wp:positionV>
                <wp:extent cx="427990" cy="1270"/>
                <wp:effectExtent l="0" t="0" r="3810" b="0"/>
                <wp:wrapTopAndBottom/>
                <wp:docPr id="1697" name="Freeform 16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7990" cy="1270"/>
                        </a:xfrm>
                        <a:custGeom>
                          <a:avLst/>
                          <a:gdLst>
                            <a:gd name="T0" fmla="+- 0 7543 7543"/>
                            <a:gd name="T1" fmla="*/ T0 w 674"/>
                            <a:gd name="T2" fmla="+- 0 8216 7543"/>
                            <a:gd name="T3" fmla="*/ T2 w 674"/>
                          </a:gdLst>
                          <a:ahLst/>
                          <a:cxnLst>
                            <a:cxn ang="0">
                              <a:pos x="T1" y="0"/>
                            </a:cxn>
                            <a:cxn ang="0">
                              <a:pos x="T3" y="0"/>
                            </a:cxn>
                          </a:cxnLst>
                          <a:rect l="0" t="0" r="r" b="b"/>
                          <a:pathLst>
                            <a:path w="674">
                              <a:moveTo>
                                <a:pt x="0" y="0"/>
                              </a:moveTo>
                              <a:lnTo>
                                <a:pt x="673" y="0"/>
                              </a:lnTo>
                            </a:path>
                          </a:pathLst>
                        </a:custGeom>
                        <a:noFill/>
                        <a:ln w="915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55EEF" id="Freeform 1653" o:spid="_x0000_s1026" style="position:absolute;margin-left:377.15pt;margin-top:16.3pt;width:33.7pt;height:.1pt;z-index:-251492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74,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" path="m,l673,e" filled="f" strokeweight=".25433mm">
                <v:path arrowok="t" o:connecttype="custom" o:connectlocs="0,0;427355,0" o:connectangles="0,0"/>
                <w10:wrap type="topAndBottom" anchorx="page"/>
              </v:shape>
            </w:pict>
          </mc:Fallback>
        </mc:AlternateContent>
      </w:r>
    </w:p>
    <w:p w:rsidR="00E675F0" w:rsidRDefault="00E675F0" w:rsidP="00E675F0">
      <w:pPr>
        <w:spacing w:before="30"/>
        <w:ind w:left="298"/>
        <w:rPr>
          <w:sz w:val="19"/>
        </w:rPr>
      </w:pPr>
      <w:r>
        <w:rPr>
          <w:rFonts w:ascii="Arial"/>
          <w:b/>
          <w:color w:val="131313"/>
          <w:w w:val="105"/>
          <w:sz w:val="21"/>
        </w:rPr>
        <w:t xml:space="preserve">Anxiety Disorders </w:t>
      </w:r>
      <w:r>
        <w:rPr>
          <w:color w:val="545454"/>
          <w:w w:val="105"/>
          <w:sz w:val="19"/>
        </w:rPr>
        <w:t>(393)</w:t>
      </w:r>
    </w:p>
    <w:p w:rsidR="00E675F0" w:rsidRDefault="00E675F0" w:rsidP="00E675F0">
      <w:pPr>
        <w:pStyle w:val="BodyText"/>
      </w:pPr>
    </w:p>
    <w:p w:rsidR="00E675F0" w:rsidRDefault="00E675F0" w:rsidP="00E675F0">
      <w:pPr>
        <w:spacing w:line="264" w:lineRule="auto"/>
        <w:ind w:left="840" w:right="264" w:hanging="719"/>
        <w:rPr>
          <w:sz w:val="19"/>
        </w:rPr>
      </w:pPr>
      <w:r>
        <w:rPr>
          <w:w w:val="110"/>
          <w:sz w:val="19"/>
        </w:rPr>
        <w:t>300.01 Panic Disorder Without Agoraphobia</w:t>
      </w:r>
      <w:r>
        <w:rPr>
          <w:spacing w:val="23"/>
          <w:w w:val="110"/>
          <w:sz w:val="19"/>
        </w:rPr>
        <w:t xml:space="preserve"> </w:t>
      </w:r>
      <w:r>
        <w:rPr>
          <w:w w:val="110"/>
          <w:sz w:val="19"/>
        </w:rPr>
        <w:t>(397)</w:t>
      </w:r>
    </w:p>
    <w:p w:rsidR="00E675F0" w:rsidRDefault="00E675F0" w:rsidP="003048D3">
      <w:pPr>
        <w:pStyle w:val="ListParagraph"/>
        <w:numPr>
          <w:ilvl w:val="1"/>
          <w:numId w:val="122"/>
        </w:numPr>
        <w:tabs>
          <w:tab w:val="left" w:pos="844"/>
        </w:tabs>
        <w:spacing w:before="10" w:line="259" w:lineRule="auto"/>
        <w:ind w:right="1370" w:hanging="728"/>
        <w:rPr>
          <w:sz w:val="19"/>
        </w:rPr>
      </w:pPr>
      <w:r>
        <w:rPr>
          <w:w w:val="110"/>
          <w:sz w:val="19"/>
        </w:rPr>
        <w:t>Panic Disorder With Agoraphobia</w:t>
      </w:r>
      <w:r>
        <w:rPr>
          <w:spacing w:val="12"/>
          <w:w w:val="110"/>
          <w:sz w:val="19"/>
        </w:rPr>
        <w:t xml:space="preserve"> </w:t>
      </w:r>
      <w:r>
        <w:rPr>
          <w:w w:val="110"/>
          <w:sz w:val="19"/>
        </w:rPr>
        <w:t>(397)</w:t>
      </w:r>
    </w:p>
    <w:p w:rsidR="00E675F0" w:rsidRDefault="00E675F0" w:rsidP="003048D3">
      <w:pPr>
        <w:pStyle w:val="ListParagraph"/>
        <w:numPr>
          <w:ilvl w:val="1"/>
          <w:numId w:val="122"/>
        </w:numPr>
        <w:tabs>
          <w:tab w:val="left" w:pos="846"/>
        </w:tabs>
        <w:spacing w:before="4" w:line="264" w:lineRule="auto"/>
        <w:ind w:left="843" w:right="334" w:hanging="722"/>
        <w:rPr>
          <w:sz w:val="19"/>
        </w:rPr>
      </w:pPr>
      <w:r>
        <w:rPr>
          <w:w w:val="110"/>
          <w:sz w:val="19"/>
        </w:rPr>
        <w:t>Agoraphobia Without History of Panic Disorder</w:t>
      </w:r>
      <w:r>
        <w:rPr>
          <w:spacing w:val="17"/>
          <w:w w:val="110"/>
          <w:sz w:val="19"/>
        </w:rPr>
        <w:t xml:space="preserve"> </w:t>
      </w:r>
      <w:r>
        <w:rPr>
          <w:w w:val="110"/>
          <w:sz w:val="19"/>
        </w:rPr>
        <w:t>(403)</w:t>
      </w:r>
    </w:p>
    <w:p w:rsidR="00E675F0" w:rsidRDefault="00E675F0" w:rsidP="00E675F0">
      <w:pPr>
        <w:spacing w:line="215" w:lineRule="exact"/>
        <w:ind w:left="122"/>
        <w:rPr>
          <w:sz w:val="19"/>
        </w:rPr>
      </w:pPr>
      <w:r>
        <w:rPr>
          <w:w w:val="110"/>
          <w:sz w:val="19"/>
        </w:rPr>
        <w:t>300.29 Specific Phobia (405)</w:t>
      </w:r>
    </w:p>
    <w:p w:rsidR="00E675F0" w:rsidRDefault="00E675F0" w:rsidP="00E675F0">
      <w:pPr>
        <w:spacing w:line="249" w:lineRule="auto"/>
        <w:ind w:left="842" w:right="264" w:firstLine="12"/>
        <w:rPr>
          <w:sz w:val="16"/>
        </w:rPr>
      </w:pPr>
      <w:r>
        <w:rPr>
          <w:i/>
          <w:w w:val="105"/>
          <w:sz w:val="15"/>
        </w:rPr>
        <w:t xml:space="preserve">Specify type: </w:t>
      </w:r>
      <w:r>
        <w:rPr>
          <w:w w:val="105"/>
          <w:sz w:val="16"/>
        </w:rPr>
        <w:t>Animal Type/Natural Environment Type/ Blood-Injection­ Injury Type/Situational Type/Other Type</w:t>
      </w:r>
    </w:p>
    <w:p w:rsidR="00E675F0" w:rsidRDefault="00E675F0" w:rsidP="00E675F0">
      <w:pPr>
        <w:spacing w:line="249" w:lineRule="auto"/>
        <w:rPr>
          <w:sz w:val="16"/>
        </w:rPr>
        <w:sectPr w:rsidR="00E675F0">
          <w:pgSz w:w="8960" w:h="14260"/>
          <w:pgMar w:top="1400" w:right="480" w:bottom="280" w:left="600" w:header="695" w:footer="0" w:gutter="0"/>
          <w:cols w:num="2" w:space="720" w:equalWidth="0">
            <w:col w:w="3747" w:space="184"/>
            <w:col w:w="3949"/>
          </w:cols>
        </w:sectPr>
      </w:pPr>
    </w:p>
    <w:p w:rsidR="00E675F0" w:rsidRDefault="00E675F0" w:rsidP="00E675F0">
      <w:pPr>
        <w:tabs>
          <w:tab w:val="right" w:pos="4608"/>
        </w:tabs>
        <w:spacing w:before="5"/>
        <w:ind w:left="127"/>
        <w:rPr>
          <w:sz w:val="19"/>
        </w:rPr>
      </w:pPr>
      <w:r>
        <w:rPr>
          <w:w w:val="110"/>
          <w:sz w:val="19"/>
        </w:rPr>
        <w:t>296.xx Bipolar I</w:t>
      </w:r>
      <w:r>
        <w:rPr>
          <w:spacing w:val="20"/>
          <w:w w:val="110"/>
          <w:sz w:val="19"/>
        </w:rPr>
        <w:t xml:space="preserve"> </w:t>
      </w:r>
      <w:r>
        <w:rPr>
          <w:w w:val="110"/>
          <w:sz w:val="19"/>
        </w:rPr>
        <w:t>Disorder,</w:t>
      </w:r>
      <w:r>
        <w:rPr>
          <w:spacing w:val="18"/>
          <w:w w:val="110"/>
          <w:sz w:val="19"/>
        </w:rPr>
        <w:t xml:space="preserve"> </w:t>
      </w:r>
      <w:r>
        <w:rPr>
          <w:w w:val="110"/>
          <w:sz w:val="19"/>
        </w:rPr>
        <w:t>(350)</w:t>
      </w:r>
      <w:r>
        <w:rPr>
          <w:w w:val="110"/>
          <w:sz w:val="19"/>
        </w:rPr>
        <w:tab/>
      </w:r>
      <w:r>
        <w:rPr>
          <w:w w:val="110"/>
          <w:position w:val="3"/>
          <w:sz w:val="19"/>
        </w:rPr>
        <w:t>300.23</w:t>
      </w:r>
    </w:p>
    <w:p w:rsidR="00E675F0" w:rsidRDefault="00E675F0" w:rsidP="00E675F0">
      <w:pPr>
        <w:tabs>
          <w:tab w:val="left" w:pos="1139"/>
        </w:tabs>
        <w:spacing w:before="12" w:line="198" w:lineRule="exact"/>
        <w:ind w:left="439"/>
        <w:rPr>
          <w:sz w:val="19"/>
        </w:rPr>
      </w:pPr>
      <w:r>
        <w:rPr>
          <w:sz w:val="19"/>
        </w:rPr>
        <w:t>.Ox</w:t>
      </w:r>
      <w:r>
        <w:rPr>
          <w:sz w:val="19"/>
        </w:rPr>
        <w:tab/>
      </w:r>
      <w:r>
        <w:rPr>
          <w:position w:val="1"/>
          <w:sz w:val="19"/>
        </w:rPr>
        <w:t>Single Manic</w:t>
      </w:r>
      <w:r>
        <w:rPr>
          <w:spacing w:val="-8"/>
          <w:position w:val="1"/>
          <w:sz w:val="19"/>
        </w:rPr>
        <w:t xml:space="preserve"> </w:t>
      </w:r>
      <w:r>
        <w:rPr>
          <w:position w:val="1"/>
          <w:sz w:val="19"/>
        </w:rPr>
        <w:t>Episodea,c.f</w:t>
      </w:r>
    </w:p>
    <w:p w:rsidR="00E675F0" w:rsidRDefault="00E675F0" w:rsidP="00E675F0">
      <w:pPr>
        <w:tabs>
          <w:tab w:val="right" w:pos="4507"/>
        </w:tabs>
        <w:spacing w:line="231" w:lineRule="exact"/>
        <w:ind w:left="861"/>
        <w:rPr>
          <w:sz w:val="19"/>
        </w:rPr>
      </w:pPr>
      <w:r>
        <w:rPr>
          <w:i/>
          <w:sz w:val="15"/>
        </w:rPr>
        <w:t>Specify</w:t>
      </w:r>
      <w:r>
        <w:rPr>
          <w:i/>
          <w:spacing w:val="7"/>
          <w:sz w:val="15"/>
        </w:rPr>
        <w:t xml:space="preserve"> </w:t>
      </w:r>
      <w:r>
        <w:rPr>
          <w:rFonts w:ascii="Arial"/>
          <w:i/>
          <w:sz w:val="21"/>
        </w:rPr>
        <w:t>if:</w:t>
      </w:r>
      <w:r>
        <w:rPr>
          <w:rFonts w:ascii="Arial"/>
          <w:i/>
          <w:spacing w:val="57"/>
          <w:sz w:val="21"/>
        </w:rPr>
        <w:t xml:space="preserve"> </w:t>
      </w:r>
      <w:r>
        <w:rPr>
          <w:sz w:val="16"/>
        </w:rPr>
        <w:t>Mixed</w:t>
      </w:r>
      <w:r>
        <w:rPr>
          <w:sz w:val="16"/>
        </w:rPr>
        <w:tab/>
      </w:r>
      <w:r>
        <w:rPr>
          <w:position w:val="4"/>
          <w:sz w:val="19"/>
        </w:rPr>
        <w:t>300.3</w:t>
      </w:r>
    </w:p>
    <w:p w:rsidR="00E675F0" w:rsidRDefault="00E675F0" w:rsidP="00E675F0">
      <w:pPr>
        <w:tabs>
          <w:tab w:val="left" w:pos="1147"/>
        </w:tabs>
        <w:spacing w:before="29" w:line="232" w:lineRule="auto"/>
        <w:ind w:left="1147" w:right="1675" w:hanging="708"/>
        <w:rPr>
          <w:sz w:val="19"/>
        </w:rPr>
      </w:pPr>
      <w:r>
        <w:rPr>
          <w:w w:val="105"/>
          <w:sz w:val="19"/>
        </w:rPr>
        <w:t>.40</w:t>
      </w:r>
      <w:r>
        <w:rPr>
          <w:w w:val="105"/>
          <w:sz w:val="19"/>
        </w:rPr>
        <w:tab/>
        <w:t>Most Recent Episode Hypornanicg,h,i</w:t>
      </w:r>
    </w:p>
    <w:p w:rsidR="00E675F0" w:rsidRDefault="00E675F0" w:rsidP="00E675F0">
      <w:pPr>
        <w:spacing w:line="261" w:lineRule="auto"/>
        <w:ind w:left="122" w:right="1155" w:hanging="6"/>
        <w:rPr>
          <w:sz w:val="19"/>
        </w:rPr>
      </w:pPr>
      <w:r>
        <w:br w:type="column"/>
      </w:r>
      <w:r>
        <w:rPr>
          <w:w w:val="110"/>
          <w:sz w:val="19"/>
        </w:rPr>
        <w:t xml:space="preserve">Social Phobia (411) </w:t>
      </w:r>
      <w:r>
        <w:rPr>
          <w:i/>
          <w:w w:val="110"/>
          <w:sz w:val="15"/>
        </w:rPr>
        <w:t xml:space="preserve">Specify </w:t>
      </w:r>
      <w:r>
        <w:rPr>
          <w:i/>
          <w:w w:val="110"/>
          <w:sz w:val="16"/>
        </w:rPr>
        <w:t xml:space="preserve">if </w:t>
      </w:r>
      <w:r>
        <w:rPr>
          <w:w w:val="110"/>
          <w:sz w:val="16"/>
        </w:rPr>
        <w:t xml:space="preserve">Generalized </w:t>
      </w:r>
      <w:r>
        <w:rPr>
          <w:w w:val="110"/>
          <w:sz w:val="19"/>
        </w:rPr>
        <w:t>Obsessive-Compulsive</w:t>
      </w:r>
    </w:p>
    <w:p w:rsidR="00E675F0" w:rsidRDefault="00E675F0" w:rsidP="00E675F0">
      <w:pPr>
        <w:spacing w:line="200" w:lineRule="exact"/>
        <w:ind w:left="125"/>
        <w:rPr>
          <w:sz w:val="19"/>
        </w:rPr>
      </w:pPr>
      <w:r>
        <w:rPr>
          <w:w w:val="110"/>
          <w:sz w:val="19"/>
        </w:rPr>
        <w:t>Disorder (417)</w:t>
      </w:r>
    </w:p>
    <w:p w:rsidR="00E675F0" w:rsidRDefault="00E675F0" w:rsidP="00E675F0">
      <w:pPr>
        <w:spacing w:line="223" w:lineRule="exact"/>
        <w:ind w:left="132"/>
        <w:rPr>
          <w:sz w:val="16"/>
        </w:rPr>
      </w:pPr>
      <w:r>
        <w:rPr>
          <w:i/>
          <w:sz w:val="15"/>
        </w:rPr>
        <w:t xml:space="preserve">Spec/fy </w:t>
      </w:r>
      <w:r>
        <w:rPr>
          <w:rFonts w:ascii="Arial"/>
          <w:i/>
          <w:sz w:val="21"/>
        </w:rPr>
        <w:t xml:space="preserve">if: </w:t>
      </w:r>
      <w:r>
        <w:rPr>
          <w:sz w:val="16"/>
        </w:rPr>
        <w:t>With Poor Insight</w:t>
      </w:r>
    </w:p>
    <w:p w:rsidR="00E675F0" w:rsidRDefault="00E675F0" w:rsidP="00E675F0">
      <w:pPr>
        <w:spacing w:line="223" w:lineRule="exact"/>
        <w:rPr>
          <w:sz w:val="16"/>
        </w:rPr>
        <w:sectPr w:rsidR="00E675F0">
          <w:type w:val="continuous"/>
          <w:pgSz w:w="8960" w:h="14260"/>
          <w:pgMar w:top="640" w:right="480" w:bottom="0" w:left="600" w:header="720" w:footer="720" w:gutter="0"/>
          <w:cols w:num="2" w:space="720" w:equalWidth="0">
            <w:col w:w="4610" w:space="40"/>
            <w:col w:w="3230"/>
          </w:cols>
        </w:sectPr>
      </w:pPr>
    </w:p>
    <w:p w:rsidR="00E675F0" w:rsidRDefault="00E675F0" w:rsidP="00E675F0">
      <w:pPr>
        <w:tabs>
          <w:tab w:val="left" w:pos="1147"/>
        </w:tabs>
        <w:spacing w:before="89" w:line="201" w:lineRule="auto"/>
        <w:ind w:left="1143" w:right="38" w:hanging="704"/>
        <w:rPr>
          <w:sz w:val="19"/>
        </w:rPr>
      </w:pPr>
      <w:r>
        <w:rPr>
          <w:sz w:val="19"/>
        </w:rPr>
        <w:t>.4x</w:t>
      </w:r>
      <w:r>
        <w:rPr>
          <w:sz w:val="19"/>
        </w:rPr>
        <w:tab/>
      </w:r>
      <w:r>
        <w:rPr>
          <w:sz w:val="19"/>
        </w:rPr>
        <w:tab/>
        <w:t>Most Recent Episode Manica,c,f,g,h,i</w:t>
      </w:r>
    </w:p>
    <w:p w:rsidR="00E675F0" w:rsidRDefault="00E675F0" w:rsidP="00E675F0">
      <w:pPr>
        <w:spacing w:line="193" w:lineRule="exact"/>
        <w:ind w:left="439"/>
        <w:rPr>
          <w:sz w:val="19"/>
        </w:rPr>
      </w:pPr>
      <w:r>
        <w:br w:type="column"/>
      </w:r>
      <w:r>
        <w:rPr>
          <w:w w:val="105"/>
          <w:sz w:val="19"/>
        </w:rPr>
        <w:t>309.81</w:t>
      </w:r>
    </w:p>
    <w:p w:rsidR="00E675F0" w:rsidRDefault="00E675F0" w:rsidP="00E675F0">
      <w:pPr>
        <w:spacing w:line="172" w:lineRule="exact"/>
        <w:ind w:left="126"/>
        <w:rPr>
          <w:sz w:val="19"/>
        </w:rPr>
      </w:pPr>
      <w:r>
        <w:br w:type="column"/>
      </w:r>
      <w:r>
        <w:rPr>
          <w:w w:val="110"/>
          <w:sz w:val="19"/>
        </w:rPr>
        <w:t>Posttraumatic Stress Disorder (424)</w:t>
      </w:r>
    </w:p>
    <w:p w:rsidR="00E675F0" w:rsidRDefault="00E675F0" w:rsidP="00E675F0">
      <w:pPr>
        <w:spacing w:line="195" w:lineRule="exact"/>
        <w:ind w:left="137"/>
        <w:rPr>
          <w:sz w:val="16"/>
        </w:rPr>
      </w:pPr>
      <w:r>
        <w:rPr>
          <w:i/>
          <w:w w:val="105"/>
          <w:sz w:val="15"/>
        </w:rPr>
        <w:t xml:space="preserve">Specify </w:t>
      </w:r>
      <w:r>
        <w:rPr>
          <w:rFonts w:ascii="Arial"/>
          <w:i/>
          <w:w w:val="105"/>
          <w:sz w:val="20"/>
        </w:rPr>
        <w:t xml:space="preserve">!f </w:t>
      </w:r>
      <w:r>
        <w:rPr>
          <w:w w:val="105"/>
          <w:sz w:val="16"/>
        </w:rPr>
        <w:t>Acute/Chronic</w:t>
      </w:r>
    </w:p>
    <w:p w:rsidR="00E675F0" w:rsidRDefault="00E675F0" w:rsidP="00E675F0">
      <w:pPr>
        <w:spacing w:line="191" w:lineRule="exact"/>
        <w:ind w:left="142"/>
        <w:rPr>
          <w:sz w:val="16"/>
        </w:rPr>
      </w:pPr>
      <w:r>
        <w:rPr>
          <w:i/>
          <w:sz w:val="15"/>
        </w:rPr>
        <w:t xml:space="preserve">Specify </w:t>
      </w:r>
      <w:r>
        <w:rPr>
          <w:rFonts w:ascii="Arial"/>
          <w:i/>
          <w:sz w:val="20"/>
        </w:rPr>
        <w:t xml:space="preserve">if: </w:t>
      </w:r>
      <w:r>
        <w:rPr>
          <w:sz w:val="16"/>
        </w:rPr>
        <w:t>With Delayed Onset</w:t>
      </w:r>
    </w:p>
    <w:p w:rsidR="00E675F0" w:rsidRDefault="00E675F0" w:rsidP="00E675F0">
      <w:pPr>
        <w:spacing w:line="191" w:lineRule="exact"/>
        <w:rPr>
          <w:sz w:val="16"/>
        </w:rPr>
        <w:sectPr w:rsidR="00E675F0">
          <w:type w:val="continuous"/>
          <w:pgSz w:w="8960" w:h="14260"/>
          <w:pgMar w:top="640" w:right="480" w:bottom="0" w:left="600" w:header="720" w:footer="720" w:gutter="0"/>
          <w:cols w:num="3" w:space="720" w:equalWidth="0">
            <w:col w:w="2972" w:space="636"/>
            <w:col w:w="995" w:space="40"/>
            <w:col w:w="3237"/>
          </w:cols>
        </w:sectPr>
      </w:pPr>
    </w:p>
    <w:p w:rsidR="00E675F0" w:rsidRDefault="00E675F0" w:rsidP="00E675F0">
      <w:pPr>
        <w:tabs>
          <w:tab w:val="left" w:pos="1143"/>
          <w:tab w:val="right" w:pos="4506"/>
        </w:tabs>
        <w:spacing w:line="223" w:lineRule="exact"/>
        <w:ind w:left="435"/>
        <w:rPr>
          <w:sz w:val="19"/>
        </w:rPr>
      </w:pPr>
      <w:r>
        <w:rPr>
          <w:w w:val="105"/>
          <w:sz w:val="19"/>
        </w:rPr>
        <w:t>.6x</w:t>
      </w:r>
      <w:r>
        <w:rPr>
          <w:w w:val="105"/>
          <w:sz w:val="19"/>
        </w:rPr>
        <w:tab/>
        <w:t>Most</w:t>
      </w:r>
      <w:r>
        <w:rPr>
          <w:spacing w:val="28"/>
          <w:w w:val="105"/>
          <w:sz w:val="19"/>
        </w:rPr>
        <w:t xml:space="preserve"> </w:t>
      </w:r>
      <w:r>
        <w:rPr>
          <w:w w:val="105"/>
          <w:sz w:val="19"/>
        </w:rPr>
        <w:t>Recent</w:t>
      </w:r>
      <w:r>
        <w:rPr>
          <w:spacing w:val="27"/>
          <w:w w:val="105"/>
          <w:sz w:val="19"/>
        </w:rPr>
        <w:t xml:space="preserve"> </w:t>
      </w:r>
      <w:r>
        <w:rPr>
          <w:w w:val="105"/>
          <w:sz w:val="19"/>
        </w:rPr>
        <w:t>Episode</w:t>
      </w:r>
      <w:r>
        <w:rPr>
          <w:w w:val="105"/>
          <w:sz w:val="19"/>
        </w:rPr>
        <w:tab/>
      </w:r>
      <w:r>
        <w:rPr>
          <w:w w:val="105"/>
          <w:position w:val="-5"/>
          <w:sz w:val="19"/>
        </w:rPr>
        <w:t>308.3</w:t>
      </w:r>
    </w:p>
    <w:p w:rsidR="00E675F0" w:rsidRDefault="00E675F0" w:rsidP="00E675F0">
      <w:pPr>
        <w:tabs>
          <w:tab w:val="right" w:pos="4593"/>
        </w:tabs>
        <w:spacing w:line="172" w:lineRule="auto"/>
        <w:ind w:left="1143"/>
        <w:rPr>
          <w:sz w:val="19"/>
        </w:rPr>
      </w:pPr>
      <w:r>
        <w:rPr>
          <w:sz w:val="19"/>
        </w:rPr>
        <w:t>Mixeda,c,f,g,h,i</w:t>
      </w:r>
      <w:r>
        <w:rPr>
          <w:sz w:val="19"/>
        </w:rPr>
        <w:tab/>
      </w:r>
      <w:r>
        <w:rPr>
          <w:position w:val="-11"/>
          <w:sz w:val="19"/>
        </w:rPr>
        <w:t>300.02</w:t>
      </w:r>
    </w:p>
    <w:p w:rsidR="00E675F0" w:rsidRDefault="00E675F0" w:rsidP="00E675F0">
      <w:pPr>
        <w:tabs>
          <w:tab w:val="left" w:pos="1138"/>
        </w:tabs>
        <w:spacing w:line="201" w:lineRule="exact"/>
        <w:ind w:left="430"/>
        <w:rPr>
          <w:sz w:val="19"/>
        </w:rPr>
      </w:pPr>
      <w:r>
        <w:rPr>
          <w:w w:val="105"/>
          <w:sz w:val="19"/>
        </w:rPr>
        <w:t>.5x</w:t>
      </w:r>
      <w:r>
        <w:rPr>
          <w:w w:val="105"/>
          <w:sz w:val="19"/>
        </w:rPr>
        <w:tab/>
        <w:t>Most Recent</w:t>
      </w:r>
      <w:r>
        <w:rPr>
          <w:spacing w:val="16"/>
          <w:w w:val="105"/>
          <w:sz w:val="19"/>
        </w:rPr>
        <w:t xml:space="preserve"> </w:t>
      </w:r>
      <w:r>
        <w:rPr>
          <w:w w:val="105"/>
          <w:sz w:val="19"/>
        </w:rPr>
        <w:t>Episode</w:t>
      </w:r>
    </w:p>
    <w:p w:rsidR="00E675F0" w:rsidRDefault="00E675F0" w:rsidP="00E675F0">
      <w:pPr>
        <w:tabs>
          <w:tab w:val="right" w:pos="4597"/>
        </w:tabs>
        <w:spacing w:line="211" w:lineRule="auto"/>
        <w:ind w:left="1147"/>
        <w:rPr>
          <w:sz w:val="19"/>
        </w:rPr>
      </w:pPr>
      <w:r>
        <w:rPr>
          <w:sz w:val="19"/>
        </w:rPr>
        <w:t>Depresseda,h,c,d,e,f,g,h,i</w:t>
      </w:r>
      <w:r>
        <w:rPr>
          <w:sz w:val="19"/>
        </w:rPr>
        <w:tab/>
      </w:r>
      <w:r>
        <w:rPr>
          <w:position w:val="-11"/>
          <w:sz w:val="19"/>
        </w:rPr>
        <w:t>293.89</w:t>
      </w:r>
    </w:p>
    <w:p w:rsidR="00E675F0" w:rsidRDefault="00E675F0" w:rsidP="00E675F0">
      <w:pPr>
        <w:tabs>
          <w:tab w:val="left" w:pos="1143"/>
        </w:tabs>
        <w:spacing w:line="197" w:lineRule="exact"/>
        <w:ind w:left="430"/>
        <w:rPr>
          <w:sz w:val="19"/>
        </w:rPr>
      </w:pPr>
      <w:r>
        <w:rPr>
          <w:w w:val="105"/>
          <w:sz w:val="19"/>
        </w:rPr>
        <w:t>.7</w:t>
      </w:r>
      <w:r>
        <w:rPr>
          <w:w w:val="105"/>
          <w:sz w:val="19"/>
        </w:rPr>
        <w:tab/>
        <w:t>Most Recent</w:t>
      </w:r>
      <w:r>
        <w:rPr>
          <w:spacing w:val="2"/>
          <w:w w:val="105"/>
          <w:sz w:val="19"/>
        </w:rPr>
        <w:t xml:space="preserve"> </w:t>
      </w:r>
      <w:r>
        <w:rPr>
          <w:w w:val="105"/>
          <w:sz w:val="19"/>
        </w:rPr>
        <w:t>Episode</w:t>
      </w:r>
    </w:p>
    <w:p w:rsidR="00E675F0" w:rsidRDefault="00E675F0" w:rsidP="00E675F0">
      <w:pPr>
        <w:spacing w:line="215" w:lineRule="exact"/>
        <w:ind w:left="1144"/>
        <w:rPr>
          <w:sz w:val="19"/>
        </w:rPr>
      </w:pPr>
      <w:r>
        <w:rPr>
          <w:sz w:val="19"/>
        </w:rPr>
        <w:t>Unspecifiedg,h,i</w:t>
      </w:r>
    </w:p>
    <w:p w:rsidR="00E675F0" w:rsidRDefault="00E675F0" w:rsidP="00E675F0">
      <w:pPr>
        <w:ind w:left="117"/>
        <w:rPr>
          <w:sz w:val="19"/>
        </w:rPr>
      </w:pPr>
      <w:r>
        <w:rPr>
          <w:position w:val="-3"/>
          <w:sz w:val="19"/>
        </w:rPr>
        <w:t xml:space="preserve">296.89 </w:t>
      </w:r>
      <w:r>
        <w:rPr>
          <w:sz w:val="19"/>
        </w:rPr>
        <w:t>Bipolar II Disorder"·h,c,d,e,f,g,h,i (359)</w:t>
      </w:r>
    </w:p>
    <w:p w:rsidR="00E675F0" w:rsidRDefault="00E675F0" w:rsidP="00E675F0">
      <w:pPr>
        <w:spacing w:line="261" w:lineRule="auto"/>
        <w:ind w:left="843" w:right="1064" w:firstLine="3"/>
        <w:rPr>
          <w:sz w:val="16"/>
        </w:rPr>
      </w:pPr>
      <w:r>
        <w:rPr>
          <w:i/>
          <w:w w:val="110"/>
          <w:sz w:val="15"/>
        </w:rPr>
        <w:t xml:space="preserve">Specify ( current or most recent </w:t>
      </w:r>
      <w:r>
        <w:rPr>
          <w:i/>
          <w:w w:val="110"/>
          <w:sz w:val="15"/>
        </w:rPr>
        <w:t xml:space="preserve">episode): </w:t>
      </w:r>
      <w:r>
        <w:rPr>
          <w:w w:val="110"/>
          <w:sz w:val="16"/>
        </w:rPr>
        <w:t>Hypomanic/Depressed</w:t>
      </w:r>
    </w:p>
    <w:p w:rsidR="00E675F0" w:rsidRDefault="00E675F0" w:rsidP="00E675F0">
      <w:pPr>
        <w:spacing w:before="45" w:line="266" w:lineRule="auto"/>
        <w:ind w:left="121" w:right="754" w:hanging="4"/>
        <w:rPr>
          <w:sz w:val="19"/>
        </w:rPr>
      </w:pPr>
      <w:r>
        <w:br w:type="column"/>
      </w:r>
      <w:r>
        <w:rPr>
          <w:w w:val="110"/>
          <w:sz w:val="19"/>
        </w:rPr>
        <w:lastRenderedPageBreak/>
        <w:t>Acute Stress Disorder (429) Generalized Anxiety Disorder (432)</w:t>
      </w:r>
    </w:p>
    <w:p w:rsidR="00E675F0" w:rsidRDefault="00E675F0" w:rsidP="00E675F0">
      <w:pPr>
        <w:spacing w:before="8" w:line="252" w:lineRule="auto"/>
        <w:ind w:left="123" w:right="186" w:hanging="6"/>
        <w:rPr>
          <w:sz w:val="20"/>
        </w:rPr>
      </w:pPr>
      <w:r>
        <w:rPr>
          <w:w w:val="105"/>
          <w:sz w:val="19"/>
        </w:rPr>
        <w:t xml:space="preserve">Anxiety Disorder Due to ... </w:t>
      </w:r>
      <w:r>
        <w:rPr>
          <w:i/>
          <w:w w:val="105"/>
          <w:sz w:val="20"/>
        </w:rPr>
        <w:t xml:space="preserve">[Indicate the General Medical Condition} </w:t>
      </w:r>
      <w:r>
        <w:rPr>
          <w:w w:val="105"/>
          <w:sz w:val="20"/>
        </w:rPr>
        <w:t>(436)</w:t>
      </w:r>
    </w:p>
    <w:p w:rsidR="00E675F0" w:rsidRDefault="00E675F0" w:rsidP="00E675F0">
      <w:pPr>
        <w:spacing w:line="188" w:lineRule="exact"/>
        <w:ind w:left="128"/>
        <w:rPr>
          <w:sz w:val="16"/>
        </w:rPr>
      </w:pPr>
      <w:r>
        <w:rPr>
          <w:i/>
          <w:sz w:val="15"/>
        </w:rPr>
        <w:t xml:space="preserve">Spec/fy </w:t>
      </w:r>
      <w:r>
        <w:rPr>
          <w:rFonts w:ascii="Arial"/>
          <w:i/>
          <w:sz w:val="20"/>
        </w:rPr>
        <w:t xml:space="preserve">if: </w:t>
      </w:r>
      <w:r>
        <w:rPr>
          <w:sz w:val="16"/>
        </w:rPr>
        <w:t>With Generalized Anxiety/</w:t>
      </w:r>
    </w:p>
    <w:p w:rsidR="00E675F0" w:rsidRDefault="00E675F0" w:rsidP="00E675F0">
      <w:pPr>
        <w:spacing w:line="256" w:lineRule="auto"/>
        <w:ind w:left="118" w:right="186" w:hanging="2"/>
        <w:rPr>
          <w:sz w:val="16"/>
        </w:rPr>
      </w:pPr>
      <w:r>
        <w:rPr>
          <w:w w:val="105"/>
          <w:sz w:val="16"/>
        </w:rPr>
        <w:t>With Panic Attacks/With Obsessive­ Compulsive Symptoms</w:t>
      </w:r>
    </w:p>
    <w:p w:rsidR="00E675F0" w:rsidRDefault="00E675F0" w:rsidP="00E675F0">
      <w:pPr>
        <w:spacing w:line="256" w:lineRule="auto"/>
        <w:rPr>
          <w:sz w:val="16"/>
        </w:rPr>
        <w:sectPr w:rsidR="00E675F0">
          <w:type w:val="continuous"/>
          <w:pgSz w:w="8960" w:h="14260"/>
          <w:pgMar w:top="640" w:right="480" w:bottom="0" w:left="600" w:header="720" w:footer="720" w:gutter="0"/>
          <w:cols w:num="2" w:space="720" w:equalWidth="0">
            <w:col w:w="4598" w:space="51"/>
            <w:col w:w="3231"/>
          </w:cols>
        </w:sectPr>
      </w:pPr>
    </w:p>
    <w:p w:rsidR="00E675F0" w:rsidRDefault="00E675F0" w:rsidP="00E675F0">
      <w:pPr>
        <w:spacing w:before="120" w:line="240" w:lineRule="atLeast"/>
        <w:ind w:left="884" w:right="-12" w:hanging="9"/>
        <w:rPr>
          <w:i/>
          <w:sz w:val="20"/>
        </w:rPr>
      </w:pPr>
      <w:r>
        <w:rPr>
          <w:w w:val="110"/>
          <w:sz w:val="19"/>
        </w:rPr>
        <w:lastRenderedPageBreak/>
        <w:t>Substance-Induced Anxiety Disorder</w:t>
      </w:r>
      <w:r>
        <w:rPr>
          <w:spacing w:val="-13"/>
          <w:w w:val="110"/>
          <w:sz w:val="19"/>
        </w:rPr>
        <w:t xml:space="preserve"> </w:t>
      </w:r>
      <w:r>
        <w:rPr>
          <w:i/>
          <w:w w:val="110"/>
          <w:sz w:val="20"/>
        </w:rPr>
        <w:t>(refer</w:t>
      </w:r>
      <w:r>
        <w:rPr>
          <w:i/>
          <w:spacing w:val="-31"/>
          <w:w w:val="110"/>
          <w:sz w:val="20"/>
        </w:rPr>
        <w:t xml:space="preserve"> </w:t>
      </w:r>
      <w:r>
        <w:rPr>
          <w:i/>
          <w:w w:val="110"/>
          <w:sz w:val="20"/>
        </w:rPr>
        <w:t>to</w:t>
      </w:r>
      <w:r>
        <w:rPr>
          <w:i/>
          <w:spacing w:val="-29"/>
          <w:w w:val="110"/>
          <w:sz w:val="20"/>
        </w:rPr>
        <w:t xml:space="preserve"> </w:t>
      </w:r>
      <w:r>
        <w:rPr>
          <w:i/>
          <w:w w:val="110"/>
          <w:sz w:val="20"/>
        </w:rPr>
        <w:t>Substance­</w:t>
      </w:r>
    </w:p>
    <w:p w:rsidR="00E675F0" w:rsidRDefault="00E675F0" w:rsidP="00E675F0">
      <w:pPr>
        <w:spacing w:before="147"/>
        <w:ind w:left="859"/>
        <w:rPr>
          <w:sz w:val="17"/>
        </w:rPr>
      </w:pPr>
      <w:r>
        <w:br w:type="column"/>
      </w:r>
      <w:r>
        <w:rPr>
          <w:rFonts w:ascii="Arial"/>
          <w:b/>
          <w:color w:val="1A1A1A"/>
        </w:rPr>
        <w:t xml:space="preserve">Dissociative Disorders </w:t>
      </w:r>
      <w:r>
        <w:rPr>
          <w:color w:val="626262"/>
          <w:sz w:val="17"/>
        </w:rPr>
        <w:t>(4</w:t>
      </w:r>
    </w:p>
    <w:p w:rsidR="00E675F0" w:rsidRDefault="00E675F0" w:rsidP="00E675F0">
      <w:pPr>
        <w:rPr>
          <w:sz w:val="17"/>
        </w:rPr>
        <w:sectPr w:rsidR="00E675F0">
          <w:pgSz w:w="8960" w:h="14260"/>
          <w:pgMar w:top="1400" w:right="500" w:bottom="280" w:left="560" w:header="692" w:footer="0" w:gutter="0"/>
          <w:cols w:num="2" w:space="720" w:equalWidth="0">
            <w:col w:w="3350" w:space="40"/>
            <w:col w:w="4510"/>
          </w:cols>
        </w:sectPr>
      </w:pPr>
    </w:p>
    <w:p w:rsidR="00E675F0" w:rsidRDefault="00E675F0" w:rsidP="00E675F0">
      <w:pPr>
        <w:spacing w:before="18" w:line="249" w:lineRule="auto"/>
        <w:ind w:left="889" w:right="-5" w:firstLine="2"/>
        <w:rPr>
          <w:sz w:val="19"/>
        </w:rPr>
      </w:pPr>
      <w:r>
        <w:rPr>
          <w:i/>
          <w:w w:val="105"/>
          <w:sz w:val="20"/>
        </w:rPr>
        <w:t>Related</w:t>
      </w:r>
      <w:r>
        <w:rPr>
          <w:i/>
          <w:spacing w:val="-16"/>
          <w:w w:val="105"/>
          <w:sz w:val="20"/>
        </w:rPr>
        <w:t xml:space="preserve"> </w:t>
      </w:r>
      <w:r>
        <w:rPr>
          <w:i/>
          <w:w w:val="105"/>
          <w:sz w:val="20"/>
        </w:rPr>
        <w:t>Disorders</w:t>
      </w:r>
      <w:r>
        <w:rPr>
          <w:i/>
          <w:spacing w:val="-25"/>
          <w:w w:val="105"/>
          <w:sz w:val="20"/>
        </w:rPr>
        <w:t xml:space="preserve"> </w:t>
      </w:r>
      <w:r>
        <w:rPr>
          <w:i/>
          <w:w w:val="105"/>
          <w:sz w:val="20"/>
        </w:rPr>
        <w:t>for</w:t>
      </w:r>
      <w:r>
        <w:rPr>
          <w:i/>
          <w:spacing w:val="-30"/>
          <w:w w:val="105"/>
          <w:sz w:val="20"/>
        </w:rPr>
        <w:t xml:space="preserve"> </w:t>
      </w:r>
      <w:r>
        <w:rPr>
          <w:i/>
          <w:w w:val="105"/>
          <w:sz w:val="20"/>
        </w:rPr>
        <w:t>substance­ specific codes)</w:t>
      </w:r>
      <w:r>
        <w:rPr>
          <w:i/>
          <w:spacing w:val="2"/>
          <w:w w:val="105"/>
          <w:sz w:val="20"/>
        </w:rPr>
        <w:t xml:space="preserve"> </w:t>
      </w:r>
      <w:r>
        <w:rPr>
          <w:w w:val="105"/>
          <w:sz w:val="20"/>
        </w:rPr>
        <w:t>(</w:t>
      </w:r>
      <w:r>
        <w:rPr>
          <w:w w:val="105"/>
          <w:sz w:val="19"/>
        </w:rPr>
        <w:t>439)</w:t>
      </w:r>
    </w:p>
    <w:p w:rsidR="00E675F0" w:rsidRDefault="00E675F0" w:rsidP="00E675F0">
      <w:pPr>
        <w:spacing w:line="184" w:lineRule="exact"/>
        <w:ind w:left="891"/>
        <w:rPr>
          <w:sz w:val="16"/>
        </w:rPr>
      </w:pPr>
      <w:r>
        <w:rPr>
          <w:i/>
          <w:w w:val="105"/>
          <w:sz w:val="15"/>
        </w:rPr>
        <w:t xml:space="preserve">Spec(fy </w:t>
      </w:r>
      <w:r>
        <w:rPr>
          <w:rFonts w:ascii="Arial"/>
          <w:i/>
          <w:w w:val="105"/>
          <w:sz w:val="18"/>
        </w:rPr>
        <w:t xml:space="preserve">if </w:t>
      </w:r>
      <w:r>
        <w:rPr>
          <w:w w:val="105"/>
          <w:sz w:val="16"/>
        </w:rPr>
        <w:t>With Generalized</w:t>
      </w:r>
    </w:p>
    <w:p w:rsidR="00E675F0" w:rsidRDefault="00E675F0" w:rsidP="00E675F0">
      <w:pPr>
        <w:spacing w:before="5" w:line="249" w:lineRule="auto"/>
        <w:ind w:left="876" w:right="383"/>
        <w:rPr>
          <w:sz w:val="16"/>
        </w:rPr>
      </w:pPr>
      <w:r>
        <w:rPr>
          <w:w w:val="105"/>
          <w:sz w:val="16"/>
        </w:rPr>
        <w:t>Anxiety/With Panic Attacks/With Obsessive-Compulsive Symptoms/ With Phobic Symptoms</w:t>
      </w:r>
    </w:p>
    <w:p w:rsidR="00E675F0" w:rsidRDefault="00E675F0" w:rsidP="00E675F0">
      <w:pPr>
        <w:spacing w:line="195" w:lineRule="exact"/>
        <w:ind w:left="891"/>
        <w:rPr>
          <w:sz w:val="16"/>
        </w:rPr>
      </w:pPr>
      <w:r>
        <w:rPr>
          <w:i/>
          <w:w w:val="105"/>
          <w:sz w:val="15"/>
        </w:rPr>
        <w:t xml:space="preserve">Specify </w:t>
      </w:r>
      <w:r>
        <w:rPr>
          <w:rFonts w:ascii="Arial"/>
          <w:i/>
          <w:w w:val="105"/>
          <w:sz w:val="18"/>
        </w:rPr>
        <w:t xml:space="preserve">!f </w:t>
      </w:r>
      <w:r>
        <w:rPr>
          <w:w w:val="105"/>
          <w:sz w:val="16"/>
        </w:rPr>
        <w:t>With Onset During</w:t>
      </w:r>
    </w:p>
    <w:p w:rsidR="00E675F0" w:rsidRDefault="00E675F0" w:rsidP="00E675F0">
      <w:pPr>
        <w:spacing w:before="9" w:line="123" w:lineRule="exact"/>
        <w:ind w:left="883"/>
        <w:rPr>
          <w:sz w:val="16"/>
        </w:rPr>
      </w:pPr>
      <w:r>
        <w:rPr>
          <w:w w:val="105"/>
          <w:sz w:val="16"/>
        </w:rPr>
        <w:t>Intoxication/With Onset During</w:t>
      </w:r>
    </w:p>
    <w:p w:rsidR="00E675F0" w:rsidRDefault="00E675F0" w:rsidP="00E675F0">
      <w:pPr>
        <w:spacing w:line="174" w:lineRule="exact"/>
        <w:ind w:left="416"/>
        <w:rPr>
          <w:sz w:val="19"/>
        </w:rPr>
      </w:pPr>
      <w:r>
        <w:br w:type="column"/>
      </w:r>
      <w:r>
        <w:rPr>
          <w:w w:val="105"/>
          <w:sz w:val="19"/>
        </w:rPr>
        <w:t>300.12</w:t>
      </w:r>
    </w:p>
    <w:p w:rsidR="00E675F0" w:rsidRDefault="00E675F0" w:rsidP="00E675F0">
      <w:pPr>
        <w:spacing w:before="26"/>
        <w:ind w:left="412"/>
        <w:rPr>
          <w:sz w:val="19"/>
        </w:rPr>
      </w:pPr>
      <w:r>
        <w:rPr>
          <w:w w:val="105"/>
          <w:sz w:val="19"/>
        </w:rPr>
        <w:t>300.13</w:t>
      </w:r>
    </w:p>
    <w:p w:rsidR="00E675F0" w:rsidRDefault="00E675F0" w:rsidP="00E675F0">
      <w:pPr>
        <w:spacing w:before="22"/>
        <w:ind w:left="416"/>
        <w:rPr>
          <w:sz w:val="19"/>
        </w:rPr>
      </w:pPr>
      <w:r>
        <w:rPr>
          <w:w w:val="105"/>
          <w:sz w:val="19"/>
        </w:rPr>
        <w:t>300.14</w:t>
      </w:r>
    </w:p>
    <w:p w:rsidR="00E675F0" w:rsidRDefault="00E675F0" w:rsidP="00E675F0">
      <w:pPr>
        <w:spacing w:before="27"/>
        <w:ind w:left="416"/>
        <w:rPr>
          <w:sz w:val="19"/>
        </w:rPr>
      </w:pPr>
      <w:r>
        <w:rPr>
          <w:w w:val="105"/>
          <w:sz w:val="19"/>
        </w:rPr>
        <w:t>300.6</w:t>
      </w:r>
    </w:p>
    <w:p w:rsidR="00E675F0" w:rsidRDefault="00E675F0" w:rsidP="00E675F0">
      <w:pPr>
        <w:spacing w:before="31"/>
        <w:ind w:left="416"/>
        <w:rPr>
          <w:sz w:val="19"/>
        </w:rPr>
      </w:pPr>
      <w:r>
        <w:rPr>
          <w:w w:val="105"/>
          <w:sz w:val="19"/>
        </w:rPr>
        <w:t>300.15</w:t>
      </w:r>
    </w:p>
    <w:p w:rsidR="00E675F0" w:rsidRDefault="00E675F0" w:rsidP="00E675F0">
      <w:pPr>
        <w:spacing w:line="164" w:lineRule="exact"/>
        <w:ind w:left="130"/>
        <w:rPr>
          <w:sz w:val="19"/>
        </w:rPr>
      </w:pPr>
      <w:r>
        <w:br w:type="column"/>
      </w:r>
      <w:r>
        <w:rPr>
          <w:w w:val="105"/>
          <w:sz w:val="19"/>
        </w:rPr>
        <w:t>Dissociative Amnesia (478)</w:t>
      </w:r>
    </w:p>
    <w:p w:rsidR="00E675F0" w:rsidRDefault="00E675F0" w:rsidP="00E675F0">
      <w:pPr>
        <w:spacing w:before="26" w:line="268" w:lineRule="auto"/>
        <w:ind w:left="125"/>
        <w:rPr>
          <w:sz w:val="19"/>
        </w:rPr>
      </w:pPr>
      <w:r>
        <w:rPr>
          <w:w w:val="110"/>
          <w:sz w:val="19"/>
        </w:rPr>
        <w:t>Dissociative Fugue (481) Dissociative Identity Disorder (484) Depersonalization Disorder (488) Dissociative Disorder NOS (490)</w:t>
      </w:r>
    </w:p>
    <w:p w:rsidR="00E675F0" w:rsidRDefault="00E675F0" w:rsidP="00E675F0">
      <w:pPr>
        <w:spacing w:line="268" w:lineRule="auto"/>
        <w:rPr>
          <w:sz w:val="19"/>
        </w:rPr>
        <w:sectPr w:rsidR="00E675F0">
          <w:type w:val="continuous"/>
          <w:pgSz w:w="8960" w:h="14260"/>
          <w:pgMar w:top="640" w:right="500" w:bottom="0" w:left="560" w:header="720" w:footer="720" w:gutter="0"/>
          <w:cols w:num="3" w:space="720" w:equalWidth="0">
            <w:col w:w="3618" w:space="40"/>
            <w:col w:w="973" w:space="39"/>
            <w:col w:w="3230"/>
          </w:cols>
        </w:sectPr>
      </w:pPr>
    </w:p>
    <w:p w:rsidR="00E675F0" w:rsidRDefault="00E675F0" w:rsidP="00E675F0">
      <w:pPr>
        <w:spacing w:before="65"/>
        <w:ind w:left="876"/>
        <w:rPr>
          <w:sz w:val="16"/>
        </w:rPr>
      </w:pPr>
      <w:r>
        <w:rPr>
          <w:w w:val="105"/>
          <w:sz w:val="16"/>
        </w:rPr>
        <w:t>Withdrawal</w:t>
      </w:r>
    </w:p>
    <w:p w:rsidR="00E675F0" w:rsidRDefault="00E675F0" w:rsidP="00E675F0">
      <w:pPr>
        <w:spacing w:before="28"/>
        <w:ind w:left="158"/>
        <w:rPr>
          <w:sz w:val="19"/>
        </w:rPr>
      </w:pPr>
      <w:r>
        <w:rPr>
          <w:w w:val="105"/>
          <w:sz w:val="19"/>
        </w:rPr>
        <w:t>300.00   Anxiety Disorder  NOS</w:t>
      </w:r>
      <w:r>
        <w:rPr>
          <w:spacing w:val="49"/>
          <w:w w:val="105"/>
          <w:sz w:val="19"/>
        </w:rPr>
        <w:t xml:space="preserve"> </w:t>
      </w:r>
      <w:r>
        <w:rPr>
          <w:w w:val="105"/>
          <w:sz w:val="19"/>
        </w:rPr>
        <w:t>(444)</w:t>
      </w:r>
    </w:p>
    <w:p w:rsidR="00E675F0" w:rsidRDefault="00E675F0" w:rsidP="00E675F0">
      <w:pPr>
        <w:pStyle w:val="BodyText"/>
      </w:pPr>
    </w:p>
    <w:p w:rsidR="00E675F0" w:rsidRDefault="00E675F0" w:rsidP="00E675F0">
      <w:pPr>
        <w:pStyle w:val="BodyText"/>
      </w:pPr>
    </w:p>
    <w:p w:rsidR="00E675F0" w:rsidRDefault="00E675F0" w:rsidP="00E675F0">
      <w:pPr>
        <w:pStyle w:val="BodyText"/>
        <w:spacing w:before="8"/>
        <w:rPr>
          <w:sz w:val="23"/>
        </w:rPr>
      </w:pPr>
    </w:p>
    <w:p w:rsidR="00E675F0" w:rsidRDefault="00E675F0" w:rsidP="00E675F0">
      <w:pPr>
        <w:tabs>
          <w:tab w:val="left" w:pos="3159"/>
        </w:tabs>
        <w:spacing w:before="1"/>
        <w:ind w:left="365"/>
        <w:rPr>
          <w:sz w:val="18"/>
        </w:rPr>
      </w:pPr>
      <w:r>
        <w:rPr>
          <w:rFonts w:ascii="Arial"/>
          <w:b/>
          <w:color w:val="1A1A1A"/>
        </w:rPr>
        <w:t>Somatoform</w:t>
      </w:r>
      <w:r>
        <w:rPr>
          <w:rFonts w:ascii="Arial"/>
          <w:b/>
          <w:color w:val="1A1A1A"/>
          <w:spacing w:val="37"/>
        </w:rPr>
        <w:t xml:space="preserve"> </w:t>
      </w:r>
      <w:r>
        <w:rPr>
          <w:rFonts w:ascii="Arial"/>
          <w:b/>
          <w:color w:val="1A1A1A"/>
        </w:rPr>
        <w:t>Disorders</w:t>
      </w:r>
      <w:r>
        <w:rPr>
          <w:rFonts w:ascii="Arial"/>
          <w:b/>
          <w:color w:val="1A1A1A"/>
          <w:spacing w:val="-2"/>
        </w:rPr>
        <w:t xml:space="preserve"> </w:t>
      </w:r>
      <w:r>
        <w:rPr>
          <w:rFonts w:ascii="Arial"/>
          <w:color w:val="626262"/>
        </w:rPr>
        <w:t>(</w:t>
      </w:r>
      <w:r>
        <w:rPr>
          <w:rFonts w:ascii="Arial"/>
          <w:color w:val="626262"/>
        </w:rPr>
        <w:tab/>
      </w:r>
      <w:r>
        <w:rPr>
          <w:color w:val="626262"/>
          <w:sz w:val="18"/>
        </w:rPr>
        <w:t>5)</w:t>
      </w:r>
    </w:p>
    <w:p w:rsidR="00E675F0" w:rsidRDefault="00E675F0" w:rsidP="00E675F0">
      <w:pPr>
        <w:pStyle w:val="BodyText"/>
        <w:spacing w:before="3"/>
        <w:rPr>
          <w:sz w:val="22"/>
        </w:rPr>
      </w:pPr>
    </w:p>
    <w:p w:rsidR="00E675F0" w:rsidRDefault="00E675F0" w:rsidP="00E675F0">
      <w:pPr>
        <w:ind w:left="158"/>
        <w:rPr>
          <w:sz w:val="19"/>
        </w:rPr>
      </w:pPr>
      <w:r>
        <w:rPr>
          <w:w w:val="110"/>
          <w:sz w:val="19"/>
        </w:rPr>
        <w:t>300.81   Somatization Disorder</w:t>
      </w:r>
      <w:r>
        <w:rPr>
          <w:spacing w:val="-15"/>
          <w:w w:val="110"/>
          <w:sz w:val="19"/>
        </w:rPr>
        <w:t xml:space="preserve"> </w:t>
      </w:r>
      <w:r>
        <w:rPr>
          <w:w w:val="110"/>
          <w:sz w:val="19"/>
        </w:rPr>
        <w:t>(446)</w:t>
      </w:r>
    </w:p>
    <w:p w:rsidR="00E675F0" w:rsidRDefault="00E675F0" w:rsidP="00E675F0">
      <w:pPr>
        <w:spacing w:before="32" w:line="264" w:lineRule="auto"/>
        <w:ind w:left="884" w:hanging="726"/>
        <w:rPr>
          <w:sz w:val="19"/>
        </w:rPr>
      </w:pPr>
      <w:r>
        <w:rPr>
          <w:w w:val="110"/>
          <w:sz w:val="19"/>
        </w:rPr>
        <w:t>300.81 Undifferentiated Somatoform Disorder (450)</w:t>
      </w:r>
    </w:p>
    <w:p w:rsidR="00E675F0" w:rsidRDefault="00E675F0" w:rsidP="00E675F0">
      <w:pPr>
        <w:spacing w:before="5" w:line="249" w:lineRule="auto"/>
        <w:ind w:left="881" w:right="68" w:hanging="724"/>
        <w:rPr>
          <w:sz w:val="16"/>
        </w:rPr>
      </w:pPr>
      <w:r>
        <w:rPr>
          <w:w w:val="105"/>
          <w:sz w:val="19"/>
        </w:rPr>
        <w:t>300.11 Conversion</w:t>
      </w:r>
      <w:r>
        <w:rPr>
          <w:spacing w:val="49"/>
          <w:w w:val="105"/>
          <w:sz w:val="19"/>
        </w:rPr>
        <w:t xml:space="preserve"> </w:t>
      </w:r>
      <w:r>
        <w:rPr>
          <w:w w:val="105"/>
          <w:sz w:val="19"/>
        </w:rPr>
        <w:t xml:space="preserve">Disorder  (452) </w:t>
      </w:r>
      <w:r>
        <w:rPr>
          <w:i/>
          <w:w w:val="105"/>
          <w:sz w:val="15"/>
        </w:rPr>
        <w:t xml:space="preserve">Spec/fy (ype: </w:t>
      </w:r>
      <w:r>
        <w:rPr>
          <w:w w:val="105"/>
          <w:sz w:val="16"/>
        </w:rPr>
        <w:t>With Motor Symptom or Deficit/With Sensory Symptom or Deficit/With Seizures or Convulsions/With</w:t>
      </w:r>
      <w:r>
        <w:rPr>
          <w:spacing w:val="-5"/>
          <w:w w:val="105"/>
          <w:sz w:val="16"/>
        </w:rPr>
        <w:t xml:space="preserve"> </w:t>
      </w:r>
      <w:r>
        <w:rPr>
          <w:w w:val="105"/>
          <w:sz w:val="16"/>
        </w:rPr>
        <w:t>Mixed</w:t>
      </w:r>
    </w:p>
    <w:p w:rsidR="00E675F0" w:rsidRDefault="00E675F0" w:rsidP="00E675F0">
      <w:pPr>
        <w:spacing w:before="1"/>
        <w:ind w:left="885"/>
        <w:rPr>
          <w:sz w:val="16"/>
        </w:rPr>
      </w:pPr>
      <w:r>
        <w:rPr>
          <w:w w:val="105"/>
          <w:sz w:val="16"/>
        </w:rPr>
        <w:t>Presentation</w:t>
      </w:r>
    </w:p>
    <w:p w:rsidR="00E675F0" w:rsidRDefault="00E675F0" w:rsidP="00E675F0">
      <w:pPr>
        <w:spacing w:before="33"/>
        <w:ind w:left="158"/>
        <w:rPr>
          <w:sz w:val="19"/>
        </w:rPr>
      </w:pPr>
      <w:r>
        <w:rPr>
          <w:w w:val="110"/>
          <w:sz w:val="19"/>
        </w:rPr>
        <w:t>307.xx Pain Disorder (458)</w:t>
      </w:r>
    </w:p>
    <w:p w:rsidR="00E675F0" w:rsidRDefault="00E675F0" w:rsidP="00E675F0">
      <w:pPr>
        <w:spacing w:line="264" w:lineRule="auto"/>
        <w:ind w:left="351" w:right="1181" w:hanging="3"/>
        <w:rPr>
          <w:sz w:val="21"/>
        </w:rPr>
      </w:pPr>
      <w:r>
        <w:br w:type="column"/>
      </w:r>
      <w:r>
        <w:rPr>
          <w:rFonts w:ascii="Arial"/>
          <w:b/>
          <w:color w:val="1A1A1A"/>
        </w:rPr>
        <w:t xml:space="preserve">Sexual and Gender Identity Disorders </w:t>
      </w:r>
      <w:r>
        <w:rPr>
          <w:color w:val="626262"/>
          <w:sz w:val="21"/>
        </w:rPr>
        <w:t>(493&gt;</w:t>
      </w:r>
    </w:p>
    <w:p w:rsidR="00E675F0" w:rsidRDefault="00E675F0" w:rsidP="00E675F0">
      <w:pPr>
        <w:spacing w:before="182"/>
        <w:ind w:left="158"/>
        <w:rPr>
          <w:sz w:val="21"/>
        </w:rPr>
      </w:pPr>
      <w:r>
        <w:rPr>
          <w:noProof/>
        </w:rPr>
        <mc:AlternateContent>
          <mc:Choice Requires="wpg">
            <w:drawing>
              <wp:anchor distT="0" distB="0" distL="114300" distR="114300" simplePos="0" relativeHeight="251742208" behindDoc="1" locked="0" layoutInCell="1" allowOverlap="1" wp14:anchorId="28F193F8" wp14:editId="56C66B3B">
                <wp:simplePos x="0" y="0"/>
                <wp:positionH relativeFrom="page">
                  <wp:posOffset>4520565</wp:posOffset>
                </wp:positionH>
                <wp:positionV relativeFrom="paragraph">
                  <wp:posOffset>-407035</wp:posOffset>
                </wp:positionV>
                <wp:extent cx="672465" cy="427355"/>
                <wp:effectExtent l="0" t="0" r="635" b="4445"/>
                <wp:wrapNone/>
                <wp:docPr id="1694" name="Group 1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465" cy="427355"/>
                          <a:chOff x="7119" y="-641"/>
                          <a:chExt cx="1059" cy="673"/>
                        </a:xfrm>
                      </wpg:grpSpPr>
                      <wps:wsp>
                        <wps:cNvPr id="1695" name="Line 1652"/>
                        <wps:cNvCnPr>
                          <a:cxnSpLocks/>
                        </wps:cNvCnPr>
                        <wps:spPr bwMode="auto">
                          <a:xfrm>
                            <a:off x="8158" y="32"/>
                            <a:ext cx="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6" name="Line 1651"/>
                        <wps:cNvCnPr>
                          <a:cxnSpLocks/>
                        </wps:cNvCnPr>
                        <wps:spPr bwMode="auto">
                          <a:xfrm>
                            <a:off x="7119" y="-626"/>
                            <a:ext cx="1058" cy="0"/>
                          </a:xfrm>
                          <a:prstGeom prst="line">
                            <a:avLst/>
                          </a:prstGeom>
                          <a:noFill/>
                          <a:ln w="305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CD5EDD" id="Group 1650" o:spid="_x0000_s1026" style="position:absolute;margin-left:355.95pt;margin-top:-32.05pt;width:52.95pt;height:33.65pt;z-index:-251574272;mso-position-horizontal-relative:page" coordorigin="7119,-641" coordsize="1059,67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">
                <v:line id="Line 1652" o:spid="_x0000_s1027" style="position:absolute;visibility:visible;mso-wrap-style:square" from="8158,32" to="8158,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" strokeweight=".16969mm">
                  <o:lock v:ext="edit" shapetype="f"/>
                </v:line>
                <v:line id="Line 1651" o:spid="_x0000_s1028" style="position:absolute;visibility:visible;mso-wrap-style:square" from="7119,-626" to="8177,-6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" strokeweight=".08478mm">
                  <o:lock v:ext="edit" shapetype="f"/>
                </v:line>
                <w10:wrap anchorx="page"/>
              </v:group>
            </w:pict>
          </mc:Fallback>
        </mc:AlternateContent>
      </w:r>
      <w:r>
        <w:rPr>
          <w:b/>
          <w:sz w:val="20"/>
        </w:rPr>
        <w:t xml:space="preserve">SEXUAL DYSFUNCTIONS </w:t>
      </w:r>
      <w:r>
        <w:rPr>
          <w:sz w:val="20"/>
        </w:rPr>
        <w:t>(</w:t>
      </w:r>
      <w:r>
        <w:rPr>
          <w:sz w:val="21"/>
        </w:rPr>
        <w:t>493)</w:t>
      </w:r>
    </w:p>
    <w:p w:rsidR="00E675F0" w:rsidRDefault="00E675F0" w:rsidP="00E675F0">
      <w:pPr>
        <w:spacing w:before="13" w:line="256" w:lineRule="auto"/>
        <w:ind w:left="172" w:right="760" w:firstLine="7"/>
        <w:rPr>
          <w:i/>
          <w:sz w:val="20"/>
        </w:rPr>
      </w:pPr>
      <w:r>
        <w:rPr>
          <w:i/>
          <w:w w:val="105"/>
          <w:sz w:val="20"/>
        </w:rPr>
        <w:t>Tbe following specifiers apply to all primary Sexual Dyifunctions:</w:t>
      </w:r>
    </w:p>
    <w:p w:rsidR="00E675F0" w:rsidRDefault="00E675F0" w:rsidP="00E675F0">
      <w:pPr>
        <w:spacing w:before="50" w:line="254" w:lineRule="auto"/>
        <w:ind w:left="403" w:right="963" w:firstLine="2"/>
        <w:rPr>
          <w:sz w:val="16"/>
        </w:rPr>
      </w:pPr>
      <w:r>
        <w:rPr>
          <w:w w:val="105"/>
          <w:sz w:val="16"/>
        </w:rPr>
        <w:t>Lifelong Type/Acquired Type Generalized Type/Situational Type Due to Psychological Factors/Due to Combined Factors</w:t>
      </w:r>
    </w:p>
    <w:p w:rsidR="00E675F0" w:rsidRDefault="00E675F0" w:rsidP="00E675F0">
      <w:pPr>
        <w:pStyle w:val="BodyText"/>
        <w:spacing w:before="11"/>
        <w:rPr>
          <w:sz w:val="17"/>
        </w:rPr>
      </w:pPr>
    </w:p>
    <w:p w:rsidR="00E675F0" w:rsidRDefault="00E675F0" w:rsidP="00E675F0">
      <w:pPr>
        <w:ind w:left="158"/>
        <w:rPr>
          <w:b/>
          <w:sz w:val="20"/>
        </w:rPr>
      </w:pPr>
      <w:r>
        <w:rPr>
          <w:b/>
          <w:w w:val="110"/>
          <w:sz w:val="20"/>
        </w:rPr>
        <w:t>Sexual Desire Disorders</w:t>
      </w:r>
    </w:p>
    <w:p w:rsidR="00E675F0" w:rsidRDefault="00E675F0" w:rsidP="00E675F0">
      <w:pPr>
        <w:spacing w:before="25" w:line="264" w:lineRule="auto"/>
        <w:ind w:left="892" w:right="760" w:hanging="726"/>
        <w:rPr>
          <w:sz w:val="19"/>
        </w:rPr>
      </w:pPr>
      <w:r>
        <w:rPr>
          <w:w w:val="110"/>
          <w:sz w:val="19"/>
        </w:rPr>
        <w:t>302.71 Hypoactive Sexual Desire Disorder (496)</w:t>
      </w:r>
    </w:p>
    <w:p w:rsidR="00E675F0" w:rsidRDefault="00E675F0" w:rsidP="00E675F0">
      <w:pPr>
        <w:spacing w:before="9"/>
        <w:ind w:left="166"/>
        <w:rPr>
          <w:sz w:val="19"/>
        </w:rPr>
      </w:pPr>
      <w:r>
        <w:rPr>
          <w:w w:val="110"/>
          <w:sz w:val="19"/>
        </w:rPr>
        <w:t>302.79 Sexual Aversion Disorder (499)</w:t>
      </w:r>
    </w:p>
    <w:p w:rsidR="00E675F0" w:rsidRDefault="00E675F0" w:rsidP="00E675F0">
      <w:pPr>
        <w:pStyle w:val="BodyText"/>
        <w:spacing w:before="7"/>
        <w:rPr>
          <w:sz w:val="18"/>
        </w:rPr>
      </w:pPr>
    </w:p>
    <w:p w:rsidR="00E675F0" w:rsidRDefault="00E675F0" w:rsidP="00E675F0">
      <w:pPr>
        <w:spacing w:before="1"/>
        <w:ind w:left="163"/>
        <w:rPr>
          <w:b/>
          <w:sz w:val="20"/>
        </w:rPr>
      </w:pPr>
      <w:r>
        <w:rPr>
          <w:b/>
          <w:w w:val="110"/>
          <w:sz w:val="20"/>
        </w:rPr>
        <w:t>Sexual Arousal Disorders</w:t>
      </w:r>
    </w:p>
    <w:p w:rsidR="00E675F0" w:rsidRDefault="00E675F0" w:rsidP="00E675F0">
      <w:pPr>
        <w:rPr>
          <w:sz w:val="20"/>
        </w:rPr>
        <w:sectPr w:rsidR="00E675F0">
          <w:type w:val="continuous"/>
          <w:pgSz w:w="8960" w:h="14260"/>
          <w:pgMar w:top="640" w:right="500" w:bottom="0" w:left="560" w:header="720" w:footer="720" w:gutter="0"/>
          <w:cols w:num="2" w:space="720" w:equalWidth="0">
            <w:col w:w="3527" w:space="386"/>
            <w:col w:w="3987"/>
          </w:cols>
        </w:sectPr>
      </w:pPr>
    </w:p>
    <w:p w:rsidR="00E675F0" w:rsidRDefault="00E675F0" w:rsidP="00E675F0">
      <w:pPr>
        <w:pStyle w:val="BodyText"/>
        <w:rPr>
          <w:b/>
        </w:rPr>
      </w:pPr>
    </w:p>
    <w:p w:rsidR="00E675F0" w:rsidRDefault="00E675F0" w:rsidP="00E675F0">
      <w:pPr>
        <w:pStyle w:val="BodyText"/>
        <w:rPr>
          <w:b/>
        </w:rPr>
      </w:pPr>
    </w:p>
    <w:p w:rsidR="00E675F0" w:rsidRDefault="00E675F0" w:rsidP="00E675F0">
      <w:pPr>
        <w:pStyle w:val="BodyText"/>
        <w:rPr>
          <w:b/>
        </w:rPr>
      </w:pPr>
    </w:p>
    <w:p w:rsidR="00E675F0" w:rsidRDefault="00E675F0" w:rsidP="00E675F0">
      <w:pPr>
        <w:pStyle w:val="BodyText"/>
        <w:rPr>
          <w:b/>
        </w:rPr>
      </w:pPr>
    </w:p>
    <w:p w:rsidR="00E675F0" w:rsidRDefault="00E675F0" w:rsidP="00E675F0">
      <w:pPr>
        <w:pStyle w:val="BodyText"/>
        <w:rPr>
          <w:b/>
        </w:rPr>
      </w:pPr>
    </w:p>
    <w:p w:rsidR="00E675F0" w:rsidRDefault="00E675F0" w:rsidP="00E675F0">
      <w:pPr>
        <w:pStyle w:val="BodyText"/>
        <w:rPr>
          <w:b/>
        </w:rPr>
      </w:pPr>
    </w:p>
    <w:p w:rsidR="00E675F0" w:rsidRDefault="00E675F0" w:rsidP="00E675F0">
      <w:pPr>
        <w:pStyle w:val="BodyText"/>
        <w:rPr>
          <w:b/>
        </w:rPr>
      </w:pPr>
    </w:p>
    <w:p w:rsidR="00E675F0" w:rsidRDefault="00E675F0" w:rsidP="00E675F0">
      <w:pPr>
        <w:sectPr w:rsidR="00E675F0">
          <w:type w:val="continuous"/>
          <w:pgSz w:w="8960" w:h="14260"/>
          <w:pgMar w:top="640" w:right="500" w:bottom="0" w:left="560" w:header="720" w:footer="720" w:gutter="0"/>
          <w:cols w:space="720"/>
        </w:sectPr>
      </w:pPr>
    </w:p>
    <w:p w:rsidR="00E675F0" w:rsidRDefault="00E675F0" w:rsidP="00E675F0">
      <w:pPr>
        <w:pStyle w:val="BodyText"/>
        <w:spacing w:before="1"/>
        <w:rPr>
          <w:b/>
        </w:rPr>
      </w:pPr>
    </w:p>
    <w:p w:rsidR="00E675F0" w:rsidRDefault="00E675F0" w:rsidP="00E675F0">
      <w:pPr>
        <w:tabs>
          <w:tab w:val="left" w:pos="889"/>
        </w:tabs>
        <w:ind w:left="158"/>
        <w:rPr>
          <w:sz w:val="19"/>
        </w:rPr>
      </w:pPr>
      <w:r>
        <w:rPr>
          <w:noProof/>
        </w:rPr>
        <mc:AlternateContent>
          <mc:Choice Requires="wps">
            <w:drawing>
              <wp:anchor distT="0" distB="0" distL="114300" distR="114300" simplePos="0" relativeHeight="251671552" behindDoc="0" locked="0" layoutInCell="1" allowOverlap="1" wp14:anchorId="150CA3FB" wp14:editId="20FB9D17">
                <wp:simplePos x="0" y="0"/>
                <wp:positionH relativeFrom="page">
                  <wp:posOffset>427990</wp:posOffset>
                </wp:positionH>
                <wp:positionV relativeFrom="paragraph">
                  <wp:posOffset>-1163955</wp:posOffset>
                </wp:positionV>
                <wp:extent cx="4782185" cy="1199515"/>
                <wp:effectExtent l="0" t="0" r="0" b="0"/>
                <wp:wrapNone/>
                <wp:docPr id="1693" name="Text Box 1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82185" cy="1199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696"/>
                              <w:gridCol w:w="3012"/>
                              <w:gridCol w:w="901"/>
                              <w:gridCol w:w="2922"/>
                            </w:tblGrid>
                            <w:tr w:rsidR="00E675F0">
                              <w:trPr>
                                <w:trHeight w:val="482"/>
                              </w:trPr>
                              <w:tc>
                                <w:tcPr>
                                  <w:tcW w:w="696" w:type="dxa"/>
                                </w:tcPr>
                                <w:p w:rsidR="00E675F0" w:rsidRDefault="00E675F0">
                                  <w:pPr>
                                    <w:pStyle w:val="TableParagraph"/>
                                    <w:spacing w:line="211" w:lineRule="exact"/>
                                    <w:ind w:right="80"/>
                                    <w:jc w:val="right"/>
                                    <w:rPr>
                                      <w:sz w:val="19"/>
                                    </w:rPr>
                                  </w:pPr>
                                  <w:r>
                                    <w:rPr>
                                      <w:sz w:val="19"/>
                                    </w:rPr>
                                    <w:t>.80</w:t>
                                  </w:r>
                                </w:p>
                              </w:tc>
                              <w:tc>
                                <w:tcPr>
                                  <w:tcW w:w="3012" w:type="dxa"/>
                                </w:tcPr>
                                <w:p w:rsidR="00E675F0" w:rsidRDefault="00E675F0">
                                  <w:pPr>
                                    <w:pStyle w:val="TableParagraph"/>
                                    <w:spacing w:line="211" w:lineRule="exact"/>
                                    <w:ind w:left="375"/>
                                    <w:rPr>
                                      <w:sz w:val="19"/>
                                    </w:rPr>
                                  </w:pPr>
                                  <w:r>
                                    <w:rPr>
                                      <w:w w:val="105"/>
                                      <w:sz w:val="19"/>
                                    </w:rPr>
                                    <w:t>Associated With</w:t>
                                  </w:r>
                                </w:p>
                                <w:p w:rsidR="00E675F0" w:rsidRDefault="00E675F0">
                                  <w:pPr>
                                    <w:pStyle w:val="TableParagraph"/>
                                    <w:spacing w:before="26"/>
                                    <w:ind w:left="378"/>
                                    <w:rPr>
                                      <w:sz w:val="19"/>
                                    </w:rPr>
                                  </w:pPr>
                                  <w:r>
                                    <w:rPr>
                                      <w:w w:val="105"/>
                                      <w:sz w:val="19"/>
                                    </w:rPr>
                                    <w:t>Psychological Factors</w:t>
                                  </w:r>
                                </w:p>
                              </w:tc>
                              <w:tc>
                                <w:tcPr>
                                  <w:tcW w:w="901" w:type="dxa"/>
                                </w:tcPr>
                                <w:p w:rsidR="00E675F0" w:rsidRDefault="00E675F0">
                                  <w:pPr>
                                    <w:pStyle w:val="TableParagraph"/>
                                    <w:spacing w:before="16"/>
                                    <w:ind w:right="92"/>
                                    <w:jc w:val="right"/>
                                    <w:rPr>
                                      <w:sz w:val="19"/>
                                    </w:rPr>
                                  </w:pPr>
                                  <w:r>
                                    <w:rPr>
                                      <w:sz w:val="19"/>
                                    </w:rPr>
                                    <w:t>302.72</w:t>
                                  </w:r>
                                </w:p>
                              </w:tc>
                              <w:tc>
                                <w:tcPr>
                                  <w:tcW w:w="2922" w:type="dxa"/>
                                </w:tcPr>
                                <w:p w:rsidR="00E675F0" w:rsidRDefault="00E675F0">
                                  <w:pPr>
                                    <w:pStyle w:val="TableParagraph"/>
                                    <w:spacing w:before="1" w:line="240" w:lineRule="exact"/>
                                    <w:ind w:left="82" w:right="178"/>
                                    <w:rPr>
                                      <w:sz w:val="19"/>
                                    </w:rPr>
                                  </w:pPr>
                                  <w:r>
                                    <w:rPr>
                                      <w:w w:val="110"/>
                                      <w:sz w:val="19"/>
                                    </w:rPr>
                                    <w:t>Female Sexual Arousal Disorder (500)</w:t>
                                  </w:r>
                                </w:p>
                              </w:tc>
                            </w:tr>
                            <w:tr w:rsidR="00E675F0">
                              <w:trPr>
                                <w:trHeight w:val="245"/>
                              </w:trPr>
                              <w:tc>
                                <w:tcPr>
                                  <w:tcW w:w="696" w:type="dxa"/>
                                </w:tcPr>
                                <w:p w:rsidR="00E675F0" w:rsidRDefault="00E675F0">
                                  <w:pPr>
                                    <w:pStyle w:val="TableParagraph"/>
                                    <w:spacing w:line="218" w:lineRule="exact"/>
                                    <w:ind w:right="77"/>
                                    <w:jc w:val="right"/>
                                    <w:rPr>
                                      <w:sz w:val="19"/>
                                    </w:rPr>
                                  </w:pPr>
                                  <w:r>
                                    <w:rPr>
                                      <w:sz w:val="19"/>
                                    </w:rPr>
                                    <w:t>.89</w:t>
                                  </w:r>
                                </w:p>
                              </w:tc>
                              <w:tc>
                                <w:tcPr>
                                  <w:tcW w:w="3012" w:type="dxa"/>
                                </w:tcPr>
                                <w:p w:rsidR="00E675F0" w:rsidRDefault="00E675F0">
                                  <w:pPr>
                                    <w:pStyle w:val="TableParagraph"/>
                                    <w:spacing w:line="218" w:lineRule="exact"/>
                                    <w:ind w:left="375"/>
                                    <w:rPr>
                                      <w:sz w:val="19"/>
                                    </w:rPr>
                                  </w:pPr>
                                  <w:r>
                                    <w:rPr>
                                      <w:w w:val="105"/>
                                      <w:sz w:val="19"/>
                                    </w:rPr>
                                    <w:t>Associated With Both</w:t>
                                  </w:r>
                                </w:p>
                              </w:tc>
                              <w:tc>
                                <w:tcPr>
                                  <w:tcW w:w="901" w:type="dxa"/>
                                </w:tcPr>
                                <w:p w:rsidR="00E675F0" w:rsidRDefault="00E675F0">
                                  <w:pPr>
                                    <w:pStyle w:val="TableParagraph"/>
                                    <w:spacing w:before="19" w:line="206" w:lineRule="exact"/>
                                    <w:ind w:right="86"/>
                                    <w:jc w:val="right"/>
                                    <w:rPr>
                                      <w:sz w:val="19"/>
                                    </w:rPr>
                                  </w:pPr>
                                  <w:r>
                                    <w:rPr>
                                      <w:w w:val="105"/>
                                      <w:sz w:val="19"/>
                                    </w:rPr>
                                    <w:t>302.72</w:t>
                                  </w:r>
                                </w:p>
                              </w:tc>
                              <w:tc>
                                <w:tcPr>
                                  <w:tcW w:w="2922" w:type="dxa"/>
                                </w:tcPr>
                                <w:p w:rsidR="00E675F0" w:rsidRDefault="00E675F0">
                                  <w:pPr>
                                    <w:pStyle w:val="TableParagraph"/>
                                    <w:spacing w:before="19" w:line="206" w:lineRule="exact"/>
                                    <w:ind w:left="78"/>
                                    <w:rPr>
                                      <w:sz w:val="19"/>
                                    </w:rPr>
                                  </w:pPr>
                                  <w:r>
                                    <w:rPr>
                                      <w:w w:val="105"/>
                                      <w:sz w:val="19"/>
                                    </w:rPr>
                                    <w:t>Male Erectile Disorder (502)</w:t>
                                  </w:r>
                                </w:p>
                              </w:tc>
                            </w:tr>
                            <w:tr w:rsidR="00E675F0">
                              <w:trPr>
                                <w:trHeight w:val="218"/>
                              </w:trPr>
                              <w:tc>
                                <w:tcPr>
                                  <w:tcW w:w="696" w:type="dxa"/>
                                </w:tcPr>
                                <w:p w:rsidR="00E675F0" w:rsidRDefault="00E675F0">
                                  <w:pPr>
                                    <w:pStyle w:val="TableParagraph"/>
                                    <w:rPr>
                                      <w:sz w:val="14"/>
                                    </w:rPr>
                                  </w:pPr>
                                </w:p>
                              </w:tc>
                              <w:tc>
                                <w:tcPr>
                                  <w:tcW w:w="3012" w:type="dxa"/>
                                </w:tcPr>
                                <w:p w:rsidR="00E675F0" w:rsidRDefault="00E675F0">
                                  <w:pPr>
                                    <w:pStyle w:val="TableParagraph"/>
                                    <w:spacing w:line="198" w:lineRule="exact"/>
                                    <w:ind w:left="378"/>
                                    <w:rPr>
                                      <w:sz w:val="19"/>
                                    </w:rPr>
                                  </w:pPr>
                                  <w:r>
                                    <w:rPr>
                                      <w:w w:val="105"/>
                                      <w:sz w:val="19"/>
                                    </w:rPr>
                                    <w:t>Psychological Factors and a</w:t>
                                  </w:r>
                                </w:p>
                              </w:tc>
                              <w:tc>
                                <w:tcPr>
                                  <w:tcW w:w="901" w:type="dxa"/>
                                </w:tcPr>
                                <w:p w:rsidR="00E675F0" w:rsidRDefault="00E675F0">
                                  <w:pPr>
                                    <w:pStyle w:val="TableParagraph"/>
                                    <w:rPr>
                                      <w:sz w:val="14"/>
                                    </w:rPr>
                                  </w:pPr>
                                </w:p>
                              </w:tc>
                              <w:tc>
                                <w:tcPr>
                                  <w:tcW w:w="2922" w:type="dxa"/>
                                </w:tcPr>
                                <w:p w:rsidR="00E675F0" w:rsidRDefault="00E675F0">
                                  <w:pPr>
                                    <w:pStyle w:val="TableParagraph"/>
                                    <w:rPr>
                                      <w:sz w:val="14"/>
                                    </w:rPr>
                                  </w:pPr>
                                </w:p>
                              </w:tc>
                            </w:tr>
                            <w:tr w:rsidR="00E675F0">
                              <w:trPr>
                                <w:trHeight w:val="245"/>
                              </w:trPr>
                              <w:tc>
                                <w:tcPr>
                                  <w:tcW w:w="7531" w:type="dxa"/>
                                  <w:gridSpan w:val="4"/>
                                </w:tcPr>
                                <w:p w:rsidR="00E675F0" w:rsidRDefault="00E675F0">
                                  <w:pPr>
                                    <w:pStyle w:val="TableParagraph"/>
                                    <w:tabs>
                                      <w:tab w:val="left" w:pos="3965"/>
                                    </w:tabs>
                                    <w:spacing w:line="225" w:lineRule="exact"/>
                                    <w:ind w:left="1070"/>
                                    <w:rPr>
                                      <w:b/>
                                      <w:sz w:val="20"/>
                                    </w:rPr>
                                  </w:pPr>
                                  <w:r>
                                    <w:rPr>
                                      <w:w w:val="110"/>
                                      <w:sz w:val="19"/>
                                    </w:rPr>
                                    <w:t>General</w:t>
                                  </w:r>
                                  <w:r>
                                    <w:rPr>
                                      <w:spacing w:val="5"/>
                                      <w:w w:val="110"/>
                                      <w:sz w:val="19"/>
                                    </w:rPr>
                                    <w:t xml:space="preserve"> </w:t>
                                  </w:r>
                                  <w:r>
                                    <w:rPr>
                                      <w:w w:val="110"/>
                                      <w:sz w:val="19"/>
                                    </w:rPr>
                                    <w:t>Medical</w:t>
                                  </w:r>
                                  <w:r>
                                    <w:rPr>
                                      <w:spacing w:val="7"/>
                                      <w:w w:val="110"/>
                                      <w:sz w:val="19"/>
                                    </w:rPr>
                                    <w:t xml:space="preserve"> </w:t>
                                  </w:r>
                                  <w:r>
                                    <w:rPr>
                                      <w:w w:val="110"/>
                                      <w:sz w:val="19"/>
                                    </w:rPr>
                                    <w:t>Condition</w:t>
                                  </w:r>
                                  <w:r>
                                    <w:rPr>
                                      <w:w w:val="110"/>
                                      <w:sz w:val="19"/>
                                    </w:rPr>
                                    <w:tab/>
                                  </w:r>
                                  <w:r>
                                    <w:rPr>
                                      <w:b/>
                                      <w:w w:val="110"/>
                                      <w:position w:val="2"/>
                                      <w:sz w:val="20"/>
                                    </w:rPr>
                                    <w:t>Orgasmic</w:t>
                                  </w:r>
                                  <w:r>
                                    <w:rPr>
                                      <w:b/>
                                      <w:spacing w:val="-1"/>
                                      <w:w w:val="110"/>
                                      <w:position w:val="2"/>
                                      <w:sz w:val="20"/>
                                    </w:rPr>
                                    <w:t xml:space="preserve"> </w:t>
                                  </w:r>
                                  <w:r>
                                    <w:rPr>
                                      <w:b/>
                                      <w:w w:val="110"/>
                                      <w:position w:val="2"/>
                                      <w:sz w:val="20"/>
                                    </w:rPr>
                                    <w:t>Disorders</w:t>
                                  </w:r>
                                </w:p>
                              </w:tc>
                            </w:tr>
                            <w:tr w:rsidR="00E675F0">
                              <w:trPr>
                                <w:trHeight w:val="216"/>
                              </w:trPr>
                              <w:tc>
                                <w:tcPr>
                                  <w:tcW w:w="696" w:type="dxa"/>
                                </w:tcPr>
                                <w:p w:rsidR="00E675F0" w:rsidRDefault="00E675F0">
                                  <w:pPr>
                                    <w:pStyle w:val="TableParagraph"/>
                                    <w:rPr>
                                      <w:sz w:val="16"/>
                                    </w:rPr>
                                  </w:pPr>
                                </w:p>
                              </w:tc>
                              <w:tc>
                                <w:tcPr>
                                  <w:tcW w:w="3012" w:type="dxa"/>
                                </w:tcPr>
                                <w:p w:rsidR="00E675F0" w:rsidRDefault="00E675F0">
                                  <w:pPr>
                                    <w:pStyle w:val="TableParagraph"/>
                                    <w:spacing w:line="201" w:lineRule="exact"/>
                                    <w:ind w:left="91"/>
                                    <w:rPr>
                                      <w:sz w:val="16"/>
                                    </w:rPr>
                                  </w:pPr>
                                  <w:r>
                                    <w:rPr>
                                      <w:i/>
                                      <w:w w:val="105"/>
                                      <w:sz w:val="15"/>
                                    </w:rPr>
                                    <w:t xml:space="preserve">Specify </w:t>
                                  </w:r>
                                  <w:r>
                                    <w:rPr>
                                      <w:rFonts w:ascii="Arial"/>
                                      <w:i/>
                                      <w:w w:val="105"/>
                                      <w:sz w:val="18"/>
                                    </w:rPr>
                                    <w:t xml:space="preserve">!f </w:t>
                                  </w:r>
                                  <w:r>
                                    <w:rPr>
                                      <w:w w:val="105"/>
                                      <w:sz w:val="16"/>
                                    </w:rPr>
                                    <w:t>Acute/Chronic</w:t>
                                  </w:r>
                                </w:p>
                              </w:tc>
                              <w:tc>
                                <w:tcPr>
                                  <w:tcW w:w="901" w:type="dxa"/>
                                </w:tcPr>
                                <w:p w:rsidR="00E675F0" w:rsidRDefault="00E675F0">
                                  <w:pPr>
                                    <w:pStyle w:val="TableParagraph"/>
                                    <w:spacing w:before="14" w:line="194" w:lineRule="exact"/>
                                    <w:ind w:right="76"/>
                                    <w:jc w:val="right"/>
                                    <w:rPr>
                                      <w:sz w:val="19"/>
                                    </w:rPr>
                                  </w:pPr>
                                  <w:r>
                                    <w:rPr>
                                      <w:w w:val="105"/>
                                      <w:sz w:val="19"/>
                                    </w:rPr>
                                    <w:t>302.73</w:t>
                                  </w:r>
                                </w:p>
                              </w:tc>
                              <w:tc>
                                <w:tcPr>
                                  <w:tcW w:w="2922" w:type="dxa"/>
                                </w:tcPr>
                                <w:p w:rsidR="00E675F0" w:rsidRDefault="00E675F0">
                                  <w:pPr>
                                    <w:pStyle w:val="TableParagraph"/>
                                    <w:spacing w:before="14" w:line="194" w:lineRule="exact"/>
                                    <w:ind w:left="87"/>
                                    <w:rPr>
                                      <w:sz w:val="19"/>
                                    </w:rPr>
                                  </w:pPr>
                                  <w:r>
                                    <w:rPr>
                                      <w:w w:val="110"/>
                                      <w:sz w:val="19"/>
                                    </w:rPr>
                                    <w:t>Female Orgasmic Disorder (505)</w:t>
                                  </w:r>
                                </w:p>
                              </w:tc>
                            </w:tr>
                            <w:tr w:rsidR="00E675F0">
                              <w:trPr>
                                <w:trHeight w:val="239"/>
                              </w:trPr>
                              <w:tc>
                                <w:tcPr>
                                  <w:tcW w:w="696" w:type="dxa"/>
                                </w:tcPr>
                                <w:p w:rsidR="00E675F0" w:rsidRDefault="00E675F0">
                                  <w:pPr>
                                    <w:pStyle w:val="TableParagraph"/>
                                    <w:spacing w:line="216" w:lineRule="exact"/>
                                    <w:ind w:left="50"/>
                                    <w:rPr>
                                      <w:sz w:val="19"/>
                                    </w:rPr>
                                  </w:pPr>
                                  <w:r>
                                    <w:rPr>
                                      <w:w w:val="105"/>
                                      <w:sz w:val="19"/>
                                    </w:rPr>
                                    <w:t>300.7</w:t>
                                  </w:r>
                                </w:p>
                              </w:tc>
                              <w:tc>
                                <w:tcPr>
                                  <w:tcW w:w="3012" w:type="dxa"/>
                                </w:tcPr>
                                <w:p w:rsidR="00E675F0" w:rsidRDefault="00E675F0">
                                  <w:pPr>
                                    <w:pStyle w:val="TableParagraph"/>
                                    <w:spacing w:line="206" w:lineRule="exact"/>
                                    <w:ind w:left="79"/>
                                    <w:rPr>
                                      <w:sz w:val="19"/>
                                    </w:rPr>
                                  </w:pPr>
                                  <w:r>
                                    <w:rPr>
                                      <w:w w:val="110"/>
                                      <w:sz w:val="19"/>
                                    </w:rPr>
                                    <w:t>Hypochondriasis (462)</w:t>
                                  </w:r>
                                </w:p>
                              </w:tc>
                              <w:tc>
                                <w:tcPr>
                                  <w:tcW w:w="901" w:type="dxa"/>
                                </w:tcPr>
                                <w:p w:rsidR="00E675F0" w:rsidRDefault="00E675F0">
                                  <w:pPr>
                                    <w:pStyle w:val="TableParagraph"/>
                                    <w:spacing w:before="21" w:line="199" w:lineRule="exact"/>
                                    <w:ind w:right="86"/>
                                    <w:jc w:val="right"/>
                                    <w:rPr>
                                      <w:sz w:val="19"/>
                                    </w:rPr>
                                  </w:pPr>
                                  <w:r>
                                    <w:rPr>
                                      <w:w w:val="105"/>
                                      <w:sz w:val="19"/>
                                    </w:rPr>
                                    <w:t>302.74</w:t>
                                  </w:r>
                                </w:p>
                              </w:tc>
                              <w:tc>
                                <w:tcPr>
                                  <w:tcW w:w="2922" w:type="dxa"/>
                                </w:tcPr>
                                <w:p w:rsidR="00E675F0" w:rsidRDefault="00E675F0">
                                  <w:pPr>
                                    <w:pStyle w:val="TableParagraph"/>
                                    <w:spacing w:before="21" w:line="199" w:lineRule="exact"/>
                                    <w:ind w:left="82"/>
                                    <w:rPr>
                                      <w:sz w:val="19"/>
                                    </w:rPr>
                                  </w:pPr>
                                  <w:r>
                                    <w:rPr>
                                      <w:w w:val="110"/>
                                      <w:sz w:val="19"/>
                                    </w:rPr>
                                    <w:t>Male Orgasmic Disorder (507)</w:t>
                                  </w:r>
                                </w:p>
                              </w:tc>
                            </w:tr>
                            <w:tr w:rsidR="00E675F0">
                              <w:trPr>
                                <w:trHeight w:val="240"/>
                              </w:trPr>
                              <w:tc>
                                <w:tcPr>
                                  <w:tcW w:w="696" w:type="dxa"/>
                                </w:tcPr>
                                <w:p w:rsidR="00E675F0" w:rsidRDefault="00E675F0">
                                  <w:pPr>
                                    <w:pStyle w:val="TableParagraph"/>
                                    <w:rPr>
                                      <w:sz w:val="16"/>
                                    </w:rPr>
                                  </w:pPr>
                                </w:p>
                              </w:tc>
                              <w:tc>
                                <w:tcPr>
                                  <w:tcW w:w="3012" w:type="dxa"/>
                                </w:tcPr>
                                <w:p w:rsidR="00E675F0" w:rsidRDefault="00E675F0">
                                  <w:pPr>
                                    <w:pStyle w:val="TableParagraph"/>
                                    <w:spacing w:line="160" w:lineRule="exact"/>
                                    <w:ind w:left="91"/>
                                    <w:rPr>
                                      <w:sz w:val="16"/>
                                    </w:rPr>
                                  </w:pPr>
                                  <w:r>
                                    <w:rPr>
                                      <w:i/>
                                      <w:w w:val="105"/>
                                      <w:sz w:val="15"/>
                                    </w:rPr>
                                    <w:t xml:space="preserve">Specify </w:t>
                                  </w:r>
                                  <w:r>
                                    <w:rPr>
                                      <w:rFonts w:ascii="Arial"/>
                                      <w:i/>
                                      <w:w w:val="105"/>
                                      <w:sz w:val="18"/>
                                    </w:rPr>
                                    <w:t xml:space="preserve">if </w:t>
                                  </w:r>
                                  <w:r>
                                    <w:rPr>
                                      <w:w w:val="105"/>
                                      <w:sz w:val="16"/>
                                    </w:rPr>
                                    <w:t>With Poor Insight</w:t>
                                  </w:r>
                                </w:p>
                              </w:tc>
                              <w:tc>
                                <w:tcPr>
                                  <w:tcW w:w="901" w:type="dxa"/>
                                </w:tcPr>
                                <w:p w:rsidR="00E675F0" w:rsidRDefault="00E675F0">
                                  <w:pPr>
                                    <w:pStyle w:val="TableParagraph"/>
                                    <w:spacing w:before="21" w:line="199" w:lineRule="exact"/>
                                    <w:ind w:right="81"/>
                                    <w:jc w:val="right"/>
                                    <w:rPr>
                                      <w:sz w:val="19"/>
                                    </w:rPr>
                                  </w:pPr>
                                  <w:r>
                                    <w:rPr>
                                      <w:w w:val="105"/>
                                      <w:sz w:val="19"/>
                                    </w:rPr>
                                    <w:t>302.75</w:t>
                                  </w:r>
                                </w:p>
                              </w:tc>
                              <w:tc>
                                <w:tcPr>
                                  <w:tcW w:w="2922" w:type="dxa"/>
                                </w:tcPr>
                                <w:p w:rsidR="00E675F0" w:rsidRDefault="00E675F0">
                                  <w:pPr>
                                    <w:pStyle w:val="TableParagraph"/>
                                    <w:spacing w:before="21" w:line="199" w:lineRule="exact"/>
                                    <w:ind w:left="87"/>
                                    <w:rPr>
                                      <w:sz w:val="19"/>
                                    </w:rPr>
                                  </w:pPr>
                                  <w:r>
                                    <w:rPr>
                                      <w:w w:val="110"/>
                                      <w:sz w:val="19"/>
                                    </w:rPr>
                                    <w:t>Premature Ejaculation (509)</w:t>
                                  </w:r>
                                </w:p>
                              </w:tc>
                            </w:tr>
                          </w:tbl>
                          <w:p w:rsidR="00E675F0" w:rsidRDefault="00E675F0" w:rsidP="00E675F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CA3FB" id="Text Box 1649" o:spid="_x0000_s1048" type="#_x0000_t202" style="position:absolute;left:0;text-align:left;margin-left:33.7pt;margin-top:-91.65pt;width:376.55pt;height:94.4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" filled="f" stroked="f">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696"/>
                        <w:gridCol w:w="3012"/>
                        <w:gridCol w:w="901"/>
                        <w:gridCol w:w="2922"/>
                      </w:tblGrid>
                      <w:tr w:rsidR="00E675F0">
                        <w:trPr>
                          <w:trHeight w:val="482"/>
                        </w:trPr>
                        <w:tc>
                          <w:tcPr>
                            <w:tcW w:w="696" w:type="dxa"/>
                          </w:tcPr>
                          <w:p w:rsidR="00E675F0" w:rsidRDefault="00E675F0">
                            <w:pPr>
                              <w:pStyle w:val="TableParagraph"/>
                              <w:spacing w:line="211" w:lineRule="exact"/>
                              <w:ind w:right="80"/>
                              <w:jc w:val="right"/>
                              <w:rPr>
                                <w:sz w:val="19"/>
                              </w:rPr>
                            </w:pPr>
                            <w:r>
                              <w:rPr>
                                <w:sz w:val="19"/>
                              </w:rPr>
                              <w:t>.80</w:t>
                            </w:r>
                          </w:p>
                        </w:tc>
                        <w:tc>
                          <w:tcPr>
                            <w:tcW w:w="3012" w:type="dxa"/>
                          </w:tcPr>
                          <w:p w:rsidR="00E675F0" w:rsidRDefault="00E675F0">
                            <w:pPr>
                              <w:pStyle w:val="TableParagraph"/>
                              <w:spacing w:line="211" w:lineRule="exact"/>
                              <w:ind w:left="375"/>
                              <w:rPr>
                                <w:sz w:val="19"/>
                              </w:rPr>
                            </w:pPr>
                            <w:r>
                              <w:rPr>
                                <w:w w:val="105"/>
                                <w:sz w:val="19"/>
                              </w:rPr>
                              <w:t>Associated With</w:t>
                            </w:r>
                          </w:p>
                          <w:p w:rsidR="00E675F0" w:rsidRDefault="00E675F0">
                            <w:pPr>
                              <w:pStyle w:val="TableParagraph"/>
                              <w:spacing w:before="26"/>
                              <w:ind w:left="378"/>
                              <w:rPr>
                                <w:sz w:val="19"/>
                              </w:rPr>
                            </w:pPr>
                            <w:r>
                              <w:rPr>
                                <w:w w:val="105"/>
                                <w:sz w:val="19"/>
                              </w:rPr>
                              <w:t>Psychological Factors</w:t>
                            </w:r>
                          </w:p>
                        </w:tc>
                        <w:tc>
                          <w:tcPr>
                            <w:tcW w:w="901" w:type="dxa"/>
                          </w:tcPr>
                          <w:p w:rsidR="00E675F0" w:rsidRDefault="00E675F0">
                            <w:pPr>
                              <w:pStyle w:val="TableParagraph"/>
                              <w:spacing w:before="16"/>
                              <w:ind w:right="92"/>
                              <w:jc w:val="right"/>
                              <w:rPr>
                                <w:sz w:val="19"/>
                              </w:rPr>
                            </w:pPr>
                            <w:r>
                              <w:rPr>
                                <w:sz w:val="19"/>
                              </w:rPr>
                              <w:t>302.72</w:t>
                            </w:r>
                          </w:p>
                        </w:tc>
                        <w:tc>
                          <w:tcPr>
                            <w:tcW w:w="2922" w:type="dxa"/>
                          </w:tcPr>
                          <w:p w:rsidR="00E675F0" w:rsidRDefault="00E675F0">
                            <w:pPr>
                              <w:pStyle w:val="TableParagraph"/>
                              <w:spacing w:before="1" w:line="240" w:lineRule="exact"/>
                              <w:ind w:left="82" w:right="178"/>
                              <w:rPr>
                                <w:sz w:val="19"/>
                              </w:rPr>
                            </w:pPr>
                            <w:r>
                              <w:rPr>
                                <w:w w:val="110"/>
                                <w:sz w:val="19"/>
                              </w:rPr>
                              <w:t>Female Sexual Arousal Disorder (500)</w:t>
                            </w:r>
                          </w:p>
                        </w:tc>
                      </w:tr>
                      <w:tr w:rsidR="00E675F0">
                        <w:trPr>
                          <w:trHeight w:val="245"/>
                        </w:trPr>
                        <w:tc>
                          <w:tcPr>
                            <w:tcW w:w="696" w:type="dxa"/>
                          </w:tcPr>
                          <w:p w:rsidR="00E675F0" w:rsidRDefault="00E675F0">
                            <w:pPr>
                              <w:pStyle w:val="TableParagraph"/>
                              <w:spacing w:line="218" w:lineRule="exact"/>
                              <w:ind w:right="77"/>
                              <w:jc w:val="right"/>
                              <w:rPr>
                                <w:sz w:val="19"/>
                              </w:rPr>
                            </w:pPr>
                            <w:r>
                              <w:rPr>
                                <w:sz w:val="19"/>
                              </w:rPr>
                              <w:t>.89</w:t>
                            </w:r>
                          </w:p>
                        </w:tc>
                        <w:tc>
                          <w:tcPr>
                            <w:tcW w:w="3012" w:type="dxa"/>
                          </w:tcPr>
                          <w:p w:rsidR="00E675F0" w:rsidRDefault="00E675F0">
                            <w:pPr>
                              <w:pStyle w:val="TableParagraph"/>
                              <w:spacing w:line="218" w:lineRule="exact"/>
                              <w:ind w:left="375"/>
                              <w:rPr>
                                <w:sz w:val="19"/>
                              </w:rPr>
                            </w:pPr>
                            <w:r>
                              <w:rPr>
                                <w:w w:val="105"/>
                                <w:sz w:val="19"/>
                              </w:rPr>
                              <w:t>Associated With Both</w:t>
                            </w:r>
                          </w:p>
                        </w:tc>
                        <w:tc>
                          <w:tcPr>
                            <w:tcW w:w="901" w:type="dxa"/>
                          </w:tcPr>
                          <w:p w:rsidR="00E675F0" w:rsidRDefault="00E675F0">
                            <w:pPr>
                              <w:pStyle w:val="TableParagraph"/>
                              <w:spacing w:before="19" w:line="206" w:lineRule="exact"/>
                              <w:ind w:right="86"/>
                              <w:jc w:val="right"/>
                              <w:rPr>
                                <w:sz w:val="19"/>
                              </w:rPr>
                            </w:pPr>
                            <w:r>
                              <w:rPr>
                                <w:w w:val="105"/>
                                <w:sz w:val="19"/>
                              </w:rPr>
                              <w:t>302.72</w:t>
                            </w:r>
                          </w:p>
                        </w:tc>
                        <w:tc>
                          <w:tcPr>
                            <w:tcW w:w="2922" w:type="dxa"/>
                          </w:tcPr>
                          <w:p w:rsidR="00E675F0" w:rsidRDefault="00E675F0">
                            <w:pPr>
                              <w:pStyle w:val="TableParagraph"/>
                              <w:spacing w:before="19" w:line="206" w:lineRule="exact"/>
                              <w:ind w:left="78"/>
                              <w:rPr>
                                <w:sz w:val="19"/>
                              </w:rPr>
                            </w:pPr>
                            <w:r>
                              <w:rPr>
                                <w:w w:val="105"/>
                                <w:sz w:val="19"/>
                              </w:rPr>
                              <w:t>Male Erectile Disorder (502)</w:t>
                            </w:r>
                          </w:p>
                        </w:tc>
                      </w:tr>
                      <w:tr w:rsidR="00E675F0">
                        <w:trPr>
                          <w:trHeight w:val="218"/>
                        </w:trPr>
                        <w:tc>
                          <w:tcPr>
                            <w:tcW w:w="696" w:type="dxa"/>
                          </w:tcPr>
                          <w:p w:rsidR="00E675F0" w:rsidRDefault="00E675F0">
                            <w:pPr>
                              <w:pStyle w:val="TableParagraph"/>
                              <w:rPr>
                                <w:sz w:val="14"/>
                              </w:rPr>
                            </w:pPr>
                          </w:p>
                        </w:tc>
                        <w:tc>
                          <w:tcPr>
                            <w:tcW w:w="3012" w:type="dxa"/>
                          </w:tcPr>
                          <w:p w:rsidR="00E675F0" w:rsidRDefault="00E675F0">
                            <w:pPr>
                              <w:pStyle w:val="TableParagraph"/>
                              <w:spacing w:line="198" w:lineRule="exact"/>
                              <w:ind w:left="378"/>
                              <w:rPr>
                                <w:sz w:val="19"/>
                              </w:rPr>
                            </w:pPr>
                            <w:r>
                              <w:rPr>
                                <w:w w:val="105"/>
                                <w:sz w:val="19"/>
                              </w:rPr>
                              <w:t>Psychological Factors and a</w:t>
                            </w:r>
                          </w:p>
                        </w:tc>
                        <w:tc>
                          <w:tcPr>
                            <w:tcW w:w="901" w:type="dxa"/>
                          </w:tcPr>
                          <w:p w:rsidR="00E675F0" w:rsidRDefault="00E675F0">
                            <w:pPr>
                              <w:pStyle w:val="TableParagraph"/>
                              <w:rPr>
                                <w:sz w:val="14"/>
                              </w:rPr>
                            </w:pPr>
                          </w:p>
                        </w:tc>
                        <w:tc>
                          <w:tcPr>
                            <w:tcW w:w="2922" w:type="dxa"/>
                          </w:tcPr>
                          <w:p w:rsidR="00E675F0" w:rsidRDefault="00E675F0">
                            <w:pPr>
                              <w:pStyle w:val="TableParagraph"/>
                              <w:rPr>
                                <w:sz w:val="14"/>
                              </w:rPr>
                            </w:pPr>
                          </w:p>
                        </w:tc>
                      </w:tr>
                      <w:tr w:rsidR="00E675F0">
                        <w:trPr>
                          <w:trHeight w:val="245"/>
                        </w:trPr>
                        <w:tc>
                          <w:tcPr>
                            <w:tcW w:w="7531" w:type="dxa"/>
                            <w:gridSpan w:val="4"/>
                          </w:tcPr>
                          <w:p w:rsidR="00E675F0" w:rsidRDefault="00E675F0">
                            <w:pPr>
                              <w:pStyle w:val="TableParagraph"/>
                              <w:tabs>
                                <w:tab w:val="left" w:pos="3965"/>
                              </w:tabs>
                              <w:spacing w:line="225" w:lineRule="exact"/>
                              <w:ind w:left="1070"/>
                              <w:rPr>
                                <w:b/>
                                <w:sz w:val="20"/>
                              </w:rPr>
                            </w:pPr>
                            <w:r>
                              <w:rPr>
                                <w:w w:val="110"/>
                                <w:sz w:val="19"/>
                              </w:rPr>
                              <w:t>General</w:t>
                            </w:r>
                            <w:r>
                              <w:rPr>
                                <w:spacing w:val="5"/>
                                <w:w w:val="110"/>
                                <w:sz w:val="19"/>
                              </w:rPr>
                              <w:t xml:space="preserve"> </w:t>
                            </w:r>
                            <w:r>
                              <w:rPr>
                                <w:w w:val="110"/>
                                <w:sz w:val="19"/>
                              </w:rPr>
                              <w:t>Medical</w:t>
                            </w:r>
                            <w:r>
                              <w:rPr>
                                <w:spacing w:val="7"/>
                                <w:w w:val="110"/>
                                <w:sz w:val="19"/>
                              </w:rPr>
                              <w:t xml:space="preserve"> </w:t>
                            </w:r>
                            <w:r>
                              <w:rPr>
                                <w:w w:val="110"/>
                                <w:sz w:val="19"/>
                              </w:rPr>
                              <w:t>Condition</w:t>
                            </w:r>
                            <w:r>
                              <w:rPr>
                                <w:w w:val="110"/>
                                <w:sz w:val="19"/>
                              </w:rPr>
                              <w:tab/>
                            </w:r>
                            <w:r>
                              <w:rPr>
                                <w:b/>
                                <w:w w:val="110"/>
                                <w:position w:val="2"/>
                                <w:sz w:val="20"/>
                              </w:rPr>
                              <w:t>Orgasmic</w:t>
                            </w:r>
                            <w:r>
                              <w:rPr>
                                <w:b/>
                                <w:spacing w:val="-1"/>
                                <w:w w:val="110"/>
                                <w:position w:val="2"/>
                                <w:sz w:val="20"/>
                              </w:rPr>
                              <w:t xml:space="preserve"> </w:t>
                            </w:r>
                            <w:r>
                              <w:rPr>
                                <w:b/>
                                <w:w w:val="110"/>
                                <w:position w:val="2"/>
                                <w:sz w:val="20"/>
                              </w:rPr>
                              <w:t>Disorders</w:t>
                            </w:r>
                          </w:p>
                        </w:tc>
                      </w:tr>
                      <w:tr w:rsidR="00E675F0">
                        <w:trPr>
                          <w:trHeight w:val="216"/>
                        </w:trPr>
                        <w:tc>
                          <w:tcPr>
                            <w:tcW w:w="696" w:type="dxa"/>
                          </w:tcPr>
                          <w:p w:rsidR="00E675F0" w:rsidRDefault="00E675F0">
                            <w:pPr>
                              <w:pStyle w:val="TableParagraph"/>
                              <w:rPr>
                                <w:sz w:val="16"/>
                              </w:rPr>
                            </w:pPr>
                          </w:p>
                        </w:tc>
                        <w:tc>
                          <w:tcPr>
                            <w:tcW w:w="3012" w:type="dxa"/>
                          </w:tcPr>
                          <w:p w:rsidR="00E675F0" w:rsidRDefault="00E675F0">
                            <w:pPr>
                              <w:pStyle w:val="TableParagraph"/>
                              <w:spacing w:line="201" w:lineRule="exact"/>
                              <w:ind w:left="91"/>
                              <w:rPr>
                                <w:sz w:val="16"/>
                              </w:rPr>
                            </w:pPr>
                            <w:r>
                              <w:rPr>
                                <w:i/>
                                <w:w w:val="105"/>
                                <w:sz w:val="15"/>
                              </w:rPr>
                              <w:t xml:space="preserve">Specify </w:t>
                            </w:r>
                            <w:r>
                              <w:rPr>
                                <w:rFonts w:ascii="Arial"/>
                                <w:i/>
                                <w:w w:val="105"/>
                                <w:sz w:val="18"/>
                              </w:rPr>
                              <w:t xml:space="preserve">!f </w:t>
                            </w:r>
                            <w:r>
                              <w:rPr>
                                <w:w w:val="105"/>
                                <w:sz w:val="16"/>
                              </w:rPr>
                              <w:t>Acute/Chronic</w:t>
                            </w:r>
                          </w:p>
                        </w:tc>
                        <w:tc>
                          <w:tcPr>
                            <w:tcW w:w="901" w:type="dxa"/>
                          </w:tcPr>
                          <w:p w:rsidR="00E675F0" w:rsidRDefault="00E675F0">
                            <w:pPr>
                              <w:pStyle w:val="TableParagraph"/>
                              <w:spacing w:before="14" w:line="194" w:lineRule="exact"/>
                              <w:ind w:right="76"/>
                              <w:jc w:val="right"/>
                              <w:rPr>
                                <w:sz w:val="19"/>
                              </w:rPr>
                            </w:pPr>
                            <w:r>
                              <w:rPr>
                                <w:w w:val="105"/>
                                <w:sz w:val="19"/>
                              </w:rPr>
                              <w:t>302.73</w:t>
                            </w:r>
                          </w:p>
                        </w:tc>
                        <w:tc>
                          <w:tcPr>
                            <w:tcW w:w="2922" w:type="dxa"/>
                          </w:tcPr>
                          <w:p w:rsidR="00E675F0" w:rsidRDefault="00E675F0">
                            <w:pPr>
                              <w:pStyle w:val="TableParagraph"/>
                              <w:spacing w:before="14" w:line="194" w:lineRule="exact"/>
                              <w:ind w:left="87"/>
                              <w:rPr>
                                <w:sz w:val="19"/>
                              </w:rPr>
                            </w:pPr>
                            <w:r>
                              <w:rPr>
                                <w:w w:val="110"/>
                                <w:sz w:val="19"/>
                              </w:rPr>
                              <w:t>Female Orgasmic Disorder (505)</w:t>
                            </w:r>
                          </w:p>
                        </w:tc>
                      </w:tr>
                      <w:tr w:rsidR="00E675F0">
                        <w:trPr>
                          <w:trHeight w:val="239"/>
                        </w:trPr>
                        <w:tc>
                          <w:tcPr>
                            <w:tcW w:w="696" w:type="dxa"/>
                          </w:tcPr>
                          <w:p w:rsidR="00E675F0" w:rsidRDefault="00E675F0">
                            <w:pPr>
                              <w:pStyle w:val="TableParagraph"/>
                              <w:spacing w:line="216" w:lineRule="exact"/>
                              <w:ind w:left="50"/>
                              <w:rPr>
                                <w:sz w:val="19"/>
                              </w:rPr>
                            </w:pPr>
                            <w:r>
                              <w:rPr>
                                <w:w w:val="105"/>
                                <w:sz w:val="19"/>
                              </w:rPr>
                              <w:t>300.7</w:t>
                            </w:r>
                          </w:p>
                        </w:tc>
                        <w:tc>
                          <w:tcPr>
                            <w:tcW w:w="3012" w:type="dxa"/>
                          </w:tcPr>
                          <w:p w:rsidR="00E675F0" w:rsidRDefault="00E675F0">
                            <w:pPr>
                              <w:pStyle w:val="TableParagraph"/>
                              <w:spacing w:line="206" w:lineRule="exact"/>
                              <w:ind w:left="79"/>
                              <w:rPr>
                                <w:sz w:val="19"/>
                              </w:rPr>
                            </w:pPr>
                            <w:r>
                              <w:rPr>
                                <w:w w:val="110"/>
                                <w:sz w:val="19"/>
                              </w:rPr>
                              <w:t>Hypochondriasis (462)</w:t>
                            </w:r>
                          </w:p>
                        </w:tc>
                        <w:tc>
                          <w:tcPr>
                            <w:tcW w:w="901" w:type="dxa"/>
                          </w:tcPr>
                          <w:p w:rsidR="00E675F0" w:rsidRDefault="00E675F0">
                            <w:pPr>
                              <w:pStyle w:val="TableParagraph"/>
                              <w:spacing w:before="21" w:line="199" w:lineRule="exact"/>
                              <w:ind w:right="86"/>
                              <w:jc w:val="right"/>
                              <w:rPr>
                                <w:sz w:val="19"/>
                              </w:rPr>
                            </w:pPr>
                            <w:r>
                              <w:rPr>
                                <w:w w:val="105"/>
                                <w:sz w:val="19"/>
                              </w:rPr>
                              <w:t>302.74</w:t>
                            </w:r>
                          </w:p>
                        </w:tc>
                        <w:tc>
                          <w:tcPr>
                            <w:tcW w:w="2922" w:type="dxa"/>
                          </w:tcPr>
                          <w:p w:rsidR="00E675F0" w:rsidRDefault="00E675F0">
                            <w:pPr>
                              <w:pStyle w:val="TableParagraph"/>
                              <w:spacing w:before="21" w:line="199" w:lineRule="exact"/>
                              <w:ind w:left="82"/>
                              <w:rPr>
                                <w:sz w:val="19"/>
                              </w:rPr>
                            </w:pPr>
                            <w:r>
                              <w:rPr>
                                <w:w w:val="110"/>
                                <w:sz w:val="19"/>
                              </w:rPr>
                              <w:t>Male Orgasmic Disorder (507)</w:t>
                            </w:r>
                          </w:p>
                        </w:tc>
                      </w:tr>
                      <w:tr w:rsidR="00E675F0">
                        <w:trPr>
                          <w:trHeight w:val="240"/>
                        </w:trPr>
                        <w:tc>
                          <w:tcPr>
                            <w:tcW w:w="696" w:type="dxa"/>
                          </w:tcPr>
                          <w:p w:rsidR="00E675F0" w:rsidRDefault="00E675F0">
                            <w:pPr>
                              <w:pStyle w:val="TableParagraph"/>
                              <w:rPr>
                                <w:sz w:val="16"/>
                              </w:rPr>
                            </w:pPr>
                          </w:p>
                        </w:tc>
                        <w:tc>
                          <w:tcPr>
                            <w:tcW w:w="3012" w:type="dxa"/>
                          </w:tcPr>
                          <w:p w:rsidR="00E675F0" w:rsidRDefault="00E675F0">
                            <w:pPr>
                              <w:pStyle w:val="TableParagraph"/>
                              <w:spacing w:line="160" w:lineRule="exact"/>
                              <w:ind w:left="91"/>
                              <w:rPr>
                                <w:sz w:val="16"/>
                              </w:rPr>
                            </w:pPr>
                            <w:r>
                              <w:rPr>
                                <w:i/>
                                <w:w w:val="105"/>
                                <w:sz w:val="15"/>
                              </w:rPr>
                              <w:t xml:space="preserve">Specify </w:t>
                            </w:r>
                            <w:r>
                              <w:rPr>
                                <w:rFonts w:ascii="Arial"/>
                                <w:i/>
                                <w:w w:val="105"/>
                                <w:sz w:val="18"/>
                              </w:rPr>
                              <w:t xml:space="preserve">if </w:t>
                            </w:r>
                            <w:r>
                              <w:rPr>
                                <w:w w:val="105"/>
                                <w:sz w:val="16"/>
                              </w:rPr>
                              <w:t>With Poor Insight</w:t>
                            </w:r>
                          </w:p>
                        </w:tc>
                        <w:tc>
                          <w:tcPr>
                            <w:tcW w:w="901" w:type="dxa"/>
                          </w:tcPr>
                          <w:p w:rsidR="00E675F0" w:rsidRDefault="00E675F0">
                            <w:pPr>
                              <w:pStyle w:val="TableParagraph"/>
                              <w:spacing w:before="21" w:line="199" w:lineRule="exact"/>
                              <w:ind w:right="81"/>
                              <w:jc w:val="right"/>
                              <w:rPr>
                                <w:sz w:val="19"/>
                              </w:rPr>
                            </w:pPr>
                            <w:r>
                              <w:rPr>
                                <w:w w:val="105"/>
                                <w:sz w:val="19"/>
                              </w:rPr>
                              <w:t>302.75</w:t>
                            </w:r>
                          </w:p>
                        </w:tc>
                        <w:tc>
                          <w:tcPr>
                            <w:tcW w:w="2922" w:type="dxa"/>
                          </w:tcPr>
                          <w:p w:rsidR="00E675F0" w:rsidRDefault="00E675F0">
                            <w:pPr>
                              <w:pStyle w:val="TableParagraph"/>
                              <w:spacing w:before="21" w:line="199" w:lineRule="exact"/>
                              <w:ind w:left="87"/>
                              <w:rPr>
                                <w:sz w:val="19"/>
                              </w:rPr>
                            </w:pPr>
                            <w:r>
                              <w:rPr>
                                <w:w w:val="110"/>
                                <w:sz w:val="19"/>
                              </w:rPr>
                              <w:t>Premature Ejaculation (509)</w:t>
                            </w:r>
                          </w:p>
                        </w:tc>
                      </w:tr>
                    </w:tbl>
                    <w:p w:rsidR="00E675F0" w:rsidRDefault="00E675F0" w:rsidP="00E675F0">
                      <w:pPr>
                        <w:pStyle w:val="BodyText"/>
                      </w:pPr>
                    </w:p>
                  </w:txbxContent>
                </v:textbox>
                <w10:wrap anchorx="page"/>
              </v:shape>
            </w:pict>
          </mc:Fallback>
        </mc:AlternateContent>
      </w:r>
      <w:r>
        <w:rPr>
          <w:w w:val="110"/>
          <w:sz w:val="19"/>
        </w:rPr>
        <w:t>300.7</w:t>
      </w:r>
      <w:r>
        <w:rPr>
          <w:w w:val="110"/>
          <w:sz w:val="19"/>
        </w:rPr>
        <w:tab/>
        <w:t>Body Dysmorphic Disorder</w:t>
      </w:r>
      <w:r>
        <w:rPr>
          <w:spacing w:val="26"/>
          <w:w w:val="110"/>
          <w:sz w:val="19"/>
        </w:rPr>
        <w:t xml:space="preserve"> </w:t>
      </w:r>
      <w:r>
        <w:rPr>
          <w:w w:val="110"/>
          <w:sz w:val="19"/>
        </w:rPr>
        <w:t>(466)</w:t>
      </w:r>
    </w:p>
    <w:p w:rsidR="00E675F0" w:rsidRDefault="00E675F0" w:rsidP="00E675F0">
      <w:pPr>
        <w:spacing w:before="17"/>
        <w:ind w:left="163"/>
        <w:rPr>
          <w:sz w:val="19"/>
        </w:rPr>
      </w:pPr>
      <w:r>
        <w:rPr>
          <w:w w:val="105"/>
          <w:sz w:val="19"/>
        </w:rPr>
        <w:t>300.81 Somatoform Disorder NOS (468)</w:t>
      </w:r>
    </w:p>
    <w:p w:rsidR="00E675F0" w:rsidRDefault="00E675F0" w:rsidP="00E675F0">
      <w:pPr>
        <w:pStyle w:val="BodyText"/>
        <w:rPr>
          <w:sz w:val="22"/>
        </w:rPr>
      </w:pPr>
    </w:p>
    <w:p w:rsidR="00E675F0" w:rsidRDefault="00E675F0" w:rsidP="00E675F0">
      <w:pPr>
        <w:pStyle w:val="BodyText"/>
        <w:rPr>
          <w:sz w:val="22"/>
        </w:rPr>
      </w:pPr>
    </w:p>
    <w:p w:rsidR="00E675F0" w:rsidRDefault="00E675F0" w:rsidP="00E675F0">
      <w:pPr>
        <w:pStyle w:val="BodyText"/>
        <w:spacing w:before="8"/>
        <w:rPr>
          <w:sz w:val="17"/>
        </w:rPr>
      </w:pPr>
    </w:p>
    <w:p w:rsidR="00E675F0" w:rsidRDefault="00E675F0" w:rsidP="00E675F0">
      <w:pPr>
        <w:ind w:left="337"/>
        <w:rPr>
          <w:sz w:val="19"/>
        </w:rPr>
      </w:pPr>
      <w:r>
        <w:rPr>
          <w:rFonts w:ascii="Arial"/>
          <w:b/>
          <w:color w:val="1A1A1A"/>
          <w:w w:val="105"/>
        </w:rPr>
        <w:t>Factitious</w:t>
      </w:r>
      <w:r>
        <w:rPr>
          <w:rFonts w:ascii="Arial"/>
          <w:b/>
          <w:color w:val="1A1A1A"/>
          <w:spacing w:val="-33"/>
          <w:w w:val="105"/>
        </w:rPr>
        <w:t xml:space="preserve"> </w:t>
      </w:r>
      <w:r>
        <w:rPr>
          <w:rFonts w:ascii="Arial"/>
          <w:b/>
          <w:color w:val="1A1A1A"/>
          <w:w w:val="105"/>
        </w:rPr>
        <w:t>Disorders</w:t>
      </w:r>
      <w:r>
        <w:rPr>
          <w:rFonts w:ascii="Arial"/>
          <w:b/>
          <w:color w:val="1A1A1A"/>
          <w:spacing w:val="-38"/>
          <w:w w:val="105"/>
        </w:rPr>
        <w:t xml:space="preserve"> </w:t>
      </w:r>
      <w:r>
        <w:rPr>
          <w:color w:val="626262"/>
          <w:w w:val="105"/>
          <w:sz w:val="19"/>
        </w:rPr>
        <w:t>(471)</w:t>
      </w:r>
    </w:p>
    <w:p w:rsidR="00E675F0" w:rsidRDefault="00E675F0" w:rsidP="00E675F0">
      <w:pPr>
        <w:pStyle w:val="BodyText"/>
        <w:spacing w:before="3"/>
        <w:rPr>
          <w:sz w:val="22"/>
        </w:rPr>
      </w:pPr>
    </w:p>
    <w:p w:rsidR="00E675F0" w:rsidRDefault="00E675F0" w:rsidP="00E675F0">
      <w:pPr>
        <w:ind w:left="163"/>
        <w:rPr>
          <w:sz w:val="19"/>
        </w:rPr>
      </w:pPr>
      <w:r>
        <w:rPr>
          <w:w w:val="110"/>
          <w:sz w:val="19"/>
        </w:rPr>
        <w:t>300.xx   Factitious Disorder</w:t>
      </w:r>
      <w:r>
        <w:rPr>
          <w:spacing w:val="-13"/>
          <w:w w:val="110"/>
          <w:sz w:val="19"/>
        </w:rPr>
        <w:t xml:space="preserve"> </w:t>
      </w:r>
      <w:r>
        <w:rPr>
          <w:w w:val="110"/>
          <w:sz w:val="19"/>
        </w:rPr>
        <w:t>(471)</w:t>
      </w:r>
    </w:p>
    <w:p w:rsidR="00E675F0" w:rsidRDefault="00E675F0" w:rsidP="00E675F0">
      <w:pPr>
        <w:tabs>
          <w:tab w:val="left" w:pos="1188"/>
        </w:tabs>
        <w:spacing w:before="32"/>
        <w:ind w:left="484"/>
        <w:rPr>
          <w:sz w:val="19"/>
        </w:rPr>
      </w:pPr>
      <w:r>
        <w:rPr>
          <w:w w:val="105"/>
          <w:sz w:val="19"/>
        </w:rPr>
        <w:t>.16</w:t>
      </w:r>
      <w:r>
        <w:rPr>
          <w:w w:val="105"/>
          <w:sz w:val="19"/>
        </w:rPr>
        <w:tab/>
        <w:t>With</w:t>
      </w:r>
      <w:r>
        <w:rPr>
          <w:spacing w:val="28"/>
          <w:w w:val="105"/>
          <w:sz w:val="19"/>
        </w:rPr>
        <w:t xml:space="preserve"> </w:t>
      </w:r>
      <w:r>
        <w:rPr>
          <w:w w:val="105"/>
          <w:sz w:val="19"/>
        </w:rPr>
        <w:t>Predominantly</w:t>
      </w:r>
    </w:p>
    <w:p w:rsidR="00E675F0" w:rsidRDefault="00E675F0" w:rsidP="00E675F0">
      <w:pPr>
        <w:pStyle w:val="BodyText"/>
        <w:rPr>
          <w:sz w:val="22"/>
        </w:rPr>
      </w:pPr>
      <w:r>
        <w:br w:type="column"/>
      </w:r>
    </w:p>
    <w:p w:rsidR="00E675F0" w:rsidRDefault="00E675F0" w:rsidP="00E675F0">
      <w:pPr>
        <w:pStyle w:val="BodyText"/>
        <w:spacing w:before="8"/>
      </w:pPr>
    </w:p>
    <w:p w:rsidR="00E675F0" w:rsidRDefault="00E675F0" w:rsidP="00E675F0">
      <w:pPr>
        <w:ind w:left="158"/>
        <w:rPr>
          <w:b/>
          <w:sz w:val="20"/>
        </w:rPr>
      </w:pPr>
      <w:r>
        <w:rPr>
          <w:b/>
          <w:w w:val="110"/>
          <w:sz w:val="20"/>
        </w:rPr>
        <w:t>Sexual Pain Disorders</w:t>
      </w:r>
    </w:p>
    <w:p w:rsidR="00E675F0" w:rsidRDefault="00E675F0" w:rsidP="00E675F0">
      <w:pPr>
        <w:spacing w:before="15" w:line="259" w:lineRule="auto"/>
        <w:ind w:left="884" w:right="317" w:hanging="723"/>
        <w:rPr>
          <w:sz w:val="19"/>
        </w:rPr>
      </w:pPr>
      <w:r>
        <w:rPr>
          <w:w w:val="105"/>
          <w:sz w:val="19"/>
        </w:rPr>
        <w:t>302.76 Dyspareunia (Not Due</w:t>
      </w:r>
      <w:r>
        <w:rPr>
          <w:spacing w:val="49"/>
          <w:w w:val="105"/>
          <w:sz w:val="19"/>
        </w:rPr>
        <w:t xml:space="preserve"> </w:t>
      </w:r>
      <w:r>
        <w:rPr>
          <w:w w:val="105"/>
          <w:sz w:val="19"/>
        </w:rPr>
        <w:t>to  a General Medical Condition)</w:t>
      </w:r>
      <w:r>
        <w:rPr>
          <w:spacing w:val="19"/>
          <w:w w:val="105"/>
          <w:sz w:val="19"/>
        </w:rPr>
        <w:t xml:space="preserve"> </w:t>
      </w:r>
      <w:r>
        <w:rPr>
          <w:w w:val="105"/>
          <w:sz w:val="19"/>
        </w:rPr>
        <w:t>(511)</w:t>
      </w:r>
    </w:p>
    <w:p w:rsidR="00E675F0" w:rsidRDefault="00E675F0" w:rsidP="00E675F0">
      <w:pPr>
        <w:spacing w:before="9" w:line="259" w:lineRule="auto"/>
        <w:ind w:left="888" w:right="312" w:hanging="728"/>
        <w:rPr>
          <w:sz w:val="19"/>
        </w:rPr>
      </w:pPr>
      <w:r>
        <w:rPr>
          <w:w w:val="105"/>
          <w:sz w:val="19"/>
        </w:rPr>
        <w:t>306.51 Vaginismus (Not</w:t>
      </w:r>
      <w:r>
        <w:rPr>
          <w:spacing w:val="49"/>
          <w:w w:val="105"/>
          <w:sz w:val="19"/>
        </w:rPr>
        <w:t xml:space="preserve"> </w:t>
      </w:r>
      <w:r>
        <w:rPr>
          <w:w w:val="105"/>
          <w:sz w:val="19"/>
        </w:rPr>
        <w:t>Due  to  a General Medical Condition)</w:t>
      </w:r>
      <w:r>
        <w:rPr>
          <w:spacing w:val="19"/>
          <w:w w:val="105"/>
          <w:sz w:val="19"/>
        </w:rPr>
        <w:t xml:space="preserve"> </w:t>
      </w:r>
      <w:r>
        <w:rPr>
          <w:w w:val="105"/>
          <w:sz w:val="19"/>
        </w:rPr>
        <w:t>(513)</w:t>
      </w:r>
    </w:p>
    <w:p w:rsidR="00E675F0" w:rsidRDefault="00E675F0" w:rsidP="00E675F0">
      <w:pPr>
        <w:pStyle w:val="BodyText"/>
        <w:spacing w:before="10"/>
        <w:rPr>
          <w:sz w:val="17"/>
        </w:rPr>
      </w:pPr>
    </w:p>
    <w:p w:rsidR="00E675F0" w:rsidRDefault="00E675F0" w:rsidP="00E675F0">
      <w:pPr>
        <w:spacing w:line="256" w:lineRule="auto"/>
        <w:ind w:left="165" w:right="334" w:hanging="7"/>
        <w:rPr>
          <w:sz w:val="19"/>
        </w:rPr>
      </w:pPr>
      <w:r>
        <w:rPr>
          <w:b/>
          <w:w w:val="110"/>
          <w:sz w:val="20"/>
        </w:rPr>
        <w:t xml:space="preserve">Sexual Dysfunction Due to a General Medical Condition </w:t>
      </w:r>
      <w:r>
        <w:rPr>
          <w:w w:val="110"/>
          <w:sz w:val="19"/>
        </w:rPr>
        <w:t>(515)</w:t>
      </w:r>
    </w:p>
    <w:p w:rsidR="00E675F0" w:rsidRDefault="00E675F0" w:rsidP="00E675F0">
      <w:pPr>
        <w:spacing w:line="256" w:lineRule="auto"/>
        <w:rPr>
          <w:sz w:val="19"/>
        </w:rPr>
        <w:sectPr w:rsidR="00E675F0">
          <w:type w:val="continuous"/>
          <w:pgSz w:w="8960" w:h="14260"/>
          <w:pgMar w:top="640" w:right="500" w:bottom="0" w:left="560" w:header="720" w:footer="720" w:gutter="0"/>
          <w:cols w:num="2" w:space="720" w:equalWidth="0">
            <w:col w:w="3799" w:space="124"/>
            <w:col w:w="3977"/>
          </w:cols>
        </w:sectPr>
      </w:pPr>
    </w:p>
    <w:tbl>
      <w:tblPr>
        <w:tblW w:w="0" w:type="auto"/>
        <w:tblInd w:w="130" w:type="dxa"/>
        <w:tblLayout w:type="fixed"/>
        <w:tblCellMar>
          <w:left w:w="0" w:type="dxa"/>
          <w:right w:w="0" w:type="dxa"/>
        </w:tblCellMar>
        <w:tblLook w:val="01E0" w:firstRow="1" w:lastRow="1" w:firstColumn="1" w:lastColumn="1" w:noHBand="0" w:noVBand="0"/>
      </w:tblPr>
      <w:tblGrid>
        <w:gridCol w:w="691"/>
        <w:gridCol w:w="3109"/>
        <w:gridCol w:w="799"/>
        <w:gridCol w:w="2673"/>
      </w:tblGrid>
      <w:tr w:rsidR="00E675F0" w:rsidTr="00A330E1">
        <w:trPr>
          <w:trHeight w:val="230"/>
        </w:trPr>
        <w:tc>
          <w:tcPr>
            <w:tcW w:w="691" w:type="dxa"/>
            <w:vMerge w:val="restart"/>
          </w:tcPr>
          <w:p w:rsidR="00E675F0" w:rsidRDefault="00E675F0" w:rsidP="00A330E1">
            <w:pPr>
              <w:pStyle w:val="TableParagraph"/>
              <w:rPr>
                <w:sz w:val="18"/>
              </w:rPr>
            </w:pPr>
          </w:p>
        </w:tc>
        <w:tc>
          <w:tcPr>
            <w:tcW w:w="3109" w:type="dxa"/>
          </w:tcPr>
          <w:p w:rsidR="00E675F0" w:rsidRDefault="00E675F0" w:rsidP="00A330E1">
            <w:pPr>
              <w:pStyle w:val="TableParagraph"/>
              <w:spacing w:line="210" w:lineRule="exact"/>
              <w:ind w:left="378"/>
              <w:rPr>
                <w:sz w:val="19"/>
              </w:rPr>
            </w:pPr>
            <w:r>
              <w:rPr>
                <w:w w:val="105"/>
                <w:sz w:val="19"/>
              </w:rPr>
              <w:t>Psychological Signs and</w:t>
            </w:r>
          </w:p>
        </w:tc>
        <w:tc>
          <w:tcPr>
            <w:tcW w:w="799" w:type="dxa"/>
          </w:tcPr>
          <w:p w:rsidR="00E675F0" w:rsidRDefault="00E675F0" w:rsidP="00A330E1">
            <w:pPr>
              <w:pStyle w:val="TableParagraph"/>
              <w:spacing w:line="210" w:lineRule="exact"/>
              <w:ind w:left="160"/>
              <w:rPr>
                <w:sz w:val="19"/>
              </w:rPr>
            </w:pPr>
            <w:r>
              <w:rPr>
                <w:w w:val="105"/>
                <w:sz w:val="19"/>
              </w:rPr>
              <w:t>625.8</w:t>
            </w:r>
          </w:p>
        </w:tc>
        <w:tc>
          <w:tcPr>
            <w:tcW w:w="2673" w:type="dxa"/>
          </w:tcPr>
          <w:p w:rsidR="00E675F0" w:rsidRDefault="00E675F0" w:rsidP="00A330E1">
            <w:pPr>
              <w:pStyle w:val="TableParagraph"/>
              <w:spacing w:line="210" w:lineRule="exact"/>
              <w:ind w:left="92"/>
              <w:rPr>
                <w:sz w:val="19"/>
              </w:rPr>
            </w:pPr>
            <w:r>
              <w:rPr>
                <w:w w:val="110"/>
                <w:sz w:val="19"/>
              </w:rPr>
              <w:t>Female Hypoactive Sexual</w:t>
            </w:r>
          </w:p>
        </w:tc>
      </w:tr>
      <w:tr w:rsidR="00E675F0" w:rsidTr="00A330E1">
        <w:trPr>
          <w:trHeight w:val="240"/>
        </w:trPr>
        <w:tc>
          <w:tcPr>
            <w:tcW w:w="691" w:type="dxa"/>
            <w:vMerge/>
            <w:tcBorders>
              <w:top w:val="nil"/>
            </w:tcBorders>
          </w:tcPr>
          <w:p w:rsidR="00E675F0" w:rsidRDefault="00E675F0" w:rsidP="00A330E1">
            <w:pPr>
              <w:rPr>
                <w:sz w:val="2"/>
                <w:szCs w:val="2"/>
              </w:rPr>
            </w:pPr>
          </w:p>
        </w:tc>
        <w:tc>
          <w:tcPr>
            <w:tcW w:w="3109" w:type="dxa"/>
          </w:tcPr>
          <w:p w:rsidR="00E675F0" w:rsidRDefault="00E675F0" w:rsidP="00A330E1">
            <w:pPr>
              <w:pStyle w:val="TableParagraph"/>
              <w:spacing w:before="11" w:line="209" w:lineRule="exact"/>
              <w:ind w:left="369"/>
              <w:rPr>
                <w:sz w:val="19"/>
              </w:rPr>
            </w:pPr>
            <w:r>
              <w:rPr>
                <w:w w:val="110"/>
                <w:sz w:val="19"/>
              </w:rPr>
              <w:t>Symptoms</w:t>
            </w:r>
          </w:p>
        </w:tc>
        <w:tc>
          <w:tcPr>
            <w:tcW w:w="799" w:type="dxa"/>
          </w:tcPr>
          <w:p w:rsidR="00E675F0" w:rsidRDefault="00E675F0" w:rsidP="00A330E1">
            <w:pPr>
              <w:pStyle w:val="TableParagraph"/>
              <w:rPr>
                <w:sz w:val="16"/>
              </w:rPr>
            </w:pPr>
          </w:p>
        </w:tc>
        <w:tc>
          <w:tcPr>
            <w:tcW w:w="2673" w:type="dxa"/>
          </w:tcPr>
          <w:p w:rsidR="00E675F0" w:rsidRDefault="00E675F0" w:rsidP="00A330E1">
            <w:pPr>
              <w:pStyle w:val="TableParagraph"/>
              <w:spacing w:before="7" w:line="214" w:lineRule="exact"/>
              <w:ind w:left="92"/>
              <w:rPr>
                <w:sz w:val="19"/>
              </w:rPr>
            </w:pPr>
            <w:r>
              <w:rPr>
                <w:w w:val="110"/>
                <w:sz w:val="19"/>
              </w:rPr>
              <w:t>Desire Disorder Due to ...</w:t>
            </w:r>
          </w:p>
        </w:tc>
      </w:tr>
      <w:tr w:rsidR="00E675F0" w:rsidTr="00A330E1">
        <w:trPr>
          <w:trHeight w:val="242"/>
        </w:trPr>
        <w:tc>
          <w:tcPr>
            <w:tcW w:w="691" w:type="dxa"/>
          </w:tcPr>
          <w:p w:rsidR="00E675F0" w:rsidRDefault="00E675F0" w:rsidP="00A330E1">
            <w:pPr>
              <w:pStyle w:val="TableParagraph"/>
              <w:spacing w:before="16" w:line="206" w:lineRule="exact"/>
              <w:ind w:right="77"/>
              <w:jc w:val="right"/>
              <w:rPr>
                <w:sz w:val="19"/>
              </w:rPr>
            </w:pPr>
            <w:r>
              <w:rPr>
                <w:w w:val="105"/>
                <w:sz w:val="19"/>
              </w:rPr>
              <w:t>.19</w:t>
            </w:r>
          </w:p>
        </w:tc>
        <w:tc>
          <w:tcPr>
            <w:tcW w:w="3109" w:type="dxa"/>
          </w:tcPr>
          <w:p w:rsidR="00E675F0" w:rsidRDefault="00E675F0" w:rsidP="00A330E1">
            <w:pPr>
              <w:pStyle w:val="TableParagraph"/>
              <w:spacing w:before="16" w:line="206" w:lineRule="exact"/>
              <w:ind w:left="374"/>
              <w:rPr>
                <w:sz w:val="19"/>
              </w:rPr>
            </w:pPr>
            <w:r>
              <w:rPr>
                <w:w w:val="105"/>
                <w:sz w:val="19"/>
              </w:rPr>
              <w:t>With Predominantly Physical</w:t>
            </w:r>
          </w:p>
        </w:tc>
        <w:tc>
          <w:tcPr>
            <w:tcW w:w="799" w:type="dxa"/>
          </w:tcPr>
          <w:p w:rsidR="00E675F0" w:rsidRDefault="00E675F0" w:rsidP="00A330E1">
            <w:pPr>
              <w:pStyle w:val="TableParagraph"/>
              <w:rPr>
                <w:sz w:val="16"/>
              </w:rPr>
            </w:pPr>
          </w:p>
        </w:tc>
        <w:tc>
          <w:tcPr>
            <w:tcW w:w="2673" w:type="dxa"/>
          </w:tcPr>
          <w:p w:rsidR="00E675F0" w:rsidRDefault="00E675F0" w:rsidP="00A330E1">
            <w:pPr>
              <w:pStyle w:val="TableParagraph"/>
              <w:spacing w:before="2" w:line="221" w:lineRule="exact"/>
              <w:ind w:left="82"/>
              <w:rPr>
                <w:i/>
                <w:sz w:val="20"/>
              </w:rPr>
            </w:pPr>
            <w:r>
              <w:rPr>
                <w:i/>
                <w:w w:val="105"/>
                <w:sz w:val="20"/>
              </w:rPr>
              <w:t>(Indicate the General Medical</w:t>
            </w:r>
          </w:p>
        </w:tc>
      </w:tr>
      <w:tr w:rsidR="00E675F0" w:rsidTr="00A330E1">
        <w:trPr>
          <w:trHeight w:val="249"/>
        </w:trPr>
        <w:tc>
          <w:tcPr>
            <w:tcW w:w="691" w:type="dxa"/>
          </w:tcPr>
          <w:p w:rsidR="00E675F0" w:rsidRDefault="00E675F0" w:rsidP="00A330E1">
            <w:pPr>
              <w:pStyle w:val="TableParagraph"/>
              <w:rPr>
                <w:sz w:val="18"/>
              </w:rPr>
            </w:pPr>
          </w:p>
        </w:tc>
        <w:tc>
          <w:tcPr>
            <w:tcW w:w="3109" w:type="dxa"/>
          </w:tcPr>
          <w:p w:rsidR="00E675F0" w:rsidRDefault="00E675F0" w:rsidP="00A330E1">
            <w:pPr>
              <w:pStyle w:val="TableParagraph"/>
              <w:spacing w:before="18" w:line="211" w:lineRule="exact"/>
              <w:ind w:left="374"/>
              <w:rPr>
                <w:sz w:val="19"/>
              </w:rPr>
            </w:pPr>
            <w:r>
              <w:rPr>
                <w:w w:val="105"/>
                <w:sz w:val="19"/>
              </w:rPr>
              <w:t>Signs and Symptoms</w:t>
            </w:r>
          </w:p>
        </w:tc>
        <w:tc>
          <w:tcPr>
            <w:tcW w:w="799" w:type="dxa"/>
          </w:tcPr>
          <w:p w:rsidR="00E675F0" w:rsidRDefault="00E675F0" w:rsidP="00A330E1">
            <w:pPr>
              <w:pStyle w:val="TableParagraph"/>
              <w:rPr>
                <w:sz w:val="18"/>
              </w:rPr>
            </w:pPr>
          </w:p>
        </w:tc>
        <w:tc>
          <w:tcPr>
            <w:tcW w:w="2673" w:type="dxa"/>
          </w:tcPr>
          <w:p w:rsidR="00E675F0" w:rsidRDefault="00E675F0" w:rsidP="00A330E1">
            <w:pPr>
              <w:pStyle w:val="TableParagraph"/>
              <w:spacing w:line="230" w:lineRule="exact"/>
              <w:ind w:left="101"/>
              <w:rPr>
                <w:sz w:val="19"/>
              </w:rPr>
            </w:pPr>
            <w:r>
              <w:rPr>
                <w:i/>
                <w:w w:val="105"/>
                <w:sz w:val="20"/>
              </w:rPr>
              <w:t xml:space="preserve">Condition} </w:t>
            </w:r>
            <w:r>
              <w:rPr>
                <w:w w:val="105"/>
                <w:sz w:val="19"/>
              </w:rPr>
              <w:t>(515)</w:t>
            </w:r>
          </w:p>
        </w:tc>
      </w:tr>
      <w:tr w:rsidR="00E675F0" w:rsidTr="00A330E1">
        <w:trPr>
          <w:trHeight w:val="240"/>
        </w:trPr>
        <w:tc>
          <w:tcPr>
            <w:tcW w:w="691" w:type="dxa"/>
          </w:tcPr>
          <w:p w:rsidR="00E675F0" w:rsidRDefault="00E675F0" w:rsidP="00A330E1">
            <w:pPr>
              <w:pStyle w:val="TableParagraph"/>
              <w:spacing w:before="9" w:line="211" w:lineRule="exact"/>
              <w:ind w:right="77"/>
              <w:jc w:val="right"/>
              <w:rPr>
                <w:sz w:val="19"/>
              </w:rPr>
            </w:pPr>
            <w:r>
              <w:rPr>
                <w:w w:val="105"/>
                <w:sz w:val="19"/>
              </w:rPr>
              <w:t>.19</w:t>
            </w:r>
          </w:p>
        </w:tc>
        <w:tc>
          <w:tcPr>
            <w:tcW w:w="3109" w:type="dxa"/>
          </w:tcPr>
          <w:p w:rsidR="00E675F0" w:rsidRDefault="00E675F0" w:rsidP="00A330E1">
            <w:pPr>
              <w:pStyle w:val="TableParagraph"/>
              <w:spacing w:before="9" w:line="211" w:lineRule="exact"/>
              <w:ind w:left="374"/>
              <w:rPr>
                <w:sz w:val="19"/>
              </w:rPr>
            </w:pPr>
            <w:r>
              <w:rPr>
                <w:w w:val="110"/>
                <w:sz w:val="19"/>
              </w:rPr>
              <w:t>With Combined Psychological</w:t>
            </w:r>
          </w:p>
        </w:tc>
        <w:tc>
          <w:tcPr>
            <w:tcW w:w="799" w:type="dxa"/>
          </w:tcPr>
          <w:p w:rsidR="00E675F0" w:rsidRDefault="00E675F0" w:rsidP="00A330E1">
            <w:pPr>
              <w:pStyle w:val="TableParagraph"/>
              <w:spacing w:before="4" w:line="216" w:lineRule="exact"/>
              <w:ind w:left="160"/>
              <w:rPr>
                <w:sz w:val="19"/>
              </w:rPr>
            </w:pPr>
            <w:r>
              <w:rPr>
                <w:w w:val="105"/>
                <w:sz w:val="19"/>
              </w:rPr>
              <w:t>608.89</w:t>
            </w:r>
          </w:p>
        </w:tc>
        <w:tc>
          <w:tcPr>
            <w:tcW w:w="2673" w:type="dxa"/>
          </w:tcPr>
          <w:p w:rsidR="00E675F0" w:rsidRDefault="00E675F0" w:rsidP="00A330E1">
            <w:pPr>
              <w:pStyle w:val="TableParagraph"/>
              <w:spacing w:before="4" w:line="216" w:lineRule="exact"/>
              <w:ind w:left="92"/>
              <w:rPr>
                <w:sz w:val="19"/>
              </w:rPr>
            </w:pPr>
            <w:r>
              <w:rPr>
                <w:w w:val="105"/>
                <w:sz w:val="19"/>
              </w:rPr>
              <w:t>Male Hypoactive Sexual</w:t>
            </w:r>
          </w:p>
        </w:tc>
      </w:tr>
      <w:tr w:rsidR="00E675F0" w:rsidTr="00A330E1">
        <w:trPr>
          <w:trHeight w:val="240"/>
        </w:trPr>
        <w:tc>
          <w:tcPr>
            <w:tcW w:w="691" w:type="dxa"/>
          </w:tcPr>
          <w:p w:rsidR="00E675F0" w:rsidRDefault="00E675F0" w:rsidP="00A330E1">
            <w:pPr>
              <w:pStyle w:val="TableParagraph"/>
              <w:rPr>
                <w:sz w:val="16"/>
              </w:rPr>
            </w:pPr>
          </w:p>
        </w:tc>
        <w:tc>
          <w:tcPr>
            <w:tcW w:w="3109" w:type="dxa"/>
          </w:tcPr>
          <w:p w:rsidR="00E675F0" w:rsidRDefault="00E675F0" w:rsidP="00A330E1">
            <w:pPr>
              <w:pStyle w:val="TableParagraph"/>
              <w:spacing w:before="14" w:line="206" w:lineRule="exact"/>
              <w:ind w:left="374"/>
              <w:rPr>
                <w:sz w:val="19"/>
              </w:rPr>
            </w:pPr>
            <w:r>
              <w:rPr>
                <w:w w:val="105"/>
                <w:sz w:val="19"/>
              </w:rPr>
              <w:t>and Physical Signs and</w:t>
            </w:r>
          </w:p>
        </w:tc>
        <w:tc>
          <w:tcPr>
            <w:tcW w:w="799" w:type="dxa"/>
          </w:tcPr>
          <w:p w:rsidR="00E675F0" w:rsidRDefault="00E675F0" w:rsidP="00A330E1">
            <w:pPr>
              <w:pStyle w:val="TableParagraph"/>
              <w:rPr>
                <w:sz w:val="16"/>
              </w:rPr>
            </w:pPr>
          </w:p>
        </w:tc>
        <w:tc>
          <w:tcPr>
            <w:tcW w:w="2673" w:type="dxa"/>
          </w:tcPr>
          <w:p w:rsidR="00E675F0" w:rsidRDefault="00E675F0" w:rsidP="00A330E1">
            <w:pPr>
              <w:pStyle w:val="TableParagraph"/>
              <w:spacing w:before="4" w:line="216" w:lineRule="exact"/>
              <w:ind w:left="92"/>
              <w:rPr>
                <w:sz w:val="19"/>
              </w:rPr>
            </w:pPr>
            <w:r>
              <w:rPr>
                <w:w w:val="110"/>
                <w:sz w:val="19"/>
              </w:rPr>
              <w:t>Desire Disorder Due to ...</w:t>
            </w:r>
          </w:p>
        </w:tc>
      </w:tr>
      <w:tr w:rsidR="00E675F0" w:rsidTr="00A330E1">
        <w:trPr>
          <w:trHeight w:val="245"/>
        </w:trPr>
        <w:tc>
          <w:tcPr>
            <w:tcW w:w="691" w:type="dxa"/>
          </w:tcPr>
          <w:p w:rsidR="00E675F0" w:rsidRDefault="00E675F0" w:rsidP="00A330E1">
            <w:pPr>
              <w:pStyle w:val="TableParagraph"/>
              <w:rPr>
                <w:sz w:val="16"/>
              </w:rPr>
            </w:pPr>
          </w:p>
        </w:tc>
        <w:tc>
          <w:tcPr>
            <w:tcW w:w="3109" w:type="dxa"/>
          </w:tcPr>
          <w:p w:rsidR="00E675F0" w:rsidRDefault="00E675F0" w:rsidP="00A330E1">
            <w:pPr>
              <w:pStyle w:val="TableParagraph"/>
              <w:spacing w:before="18" w:line="206" w:lineRule="exact"/>
              <w:ind w:left="374"/>
              <w:rPr>
                <w:sz w:val="19"/>
              </w:rPr>
            </w:pPr>
            <w:r>
              <w:rPr>
                <w:w w:val="110"/>
                <w:sz w:val="19"/>
              </w:rPr>
              <w:t>Symptoms</w:t>
            </w:r>
          </w:p>
        </w:tc>
        <w:tc>
          <w:tcPr>
            <w:tcW w:w="799" w:type="dxa"/>
          </w:tcPr>
          <w:p w:rsidR="00E675F0" w:rsidRDefault="00E675F0" w:rsidP="00A330E1">
            <w:pPr>
              <w:pStyle w:val="TableParagraph"/>
              <w:rPr>
                <w:sz w:val="16"/>
              </w:rPr>
            </w:pPr>
          </w:p>
        </w:tc>
        <w:tc>
          <w:tcPr>
            <w:tcW w:w="2673" w:type="dxa"/>
          </w:tcPr>
          <w:p w:rsidR="00E675F0" w:rsidRDefault="00E675F0" w:rsidP="00A330E1">
            <w:pPr>
              <w:pStyle w:val="TableParagraph"/>
              <w:spacing w:line="225" w:lineRule="exact"/>
              <w:ind w:left="86"/>
              <w:rPr>
                <w:i/>
                <w:sz w:val="20"/>
              </w:rPr>
            </w:pPr>
            <w:r>
              <w:rPr>
                <w:i/>
                <w:w w:val="105"/>
                <w:sz w:val="20"/>
              </w:rPr>
              <w:t>(Indicate the General Medical</w:t>
            </w:r>
          </w:p>
        </w:tc>
      </w:tr>
      <w:tr w:rsidR="00E675F0" w:rsidTr="00A330E1">
        <w:trPr>
          <w:trHeight w:val="237"/>
        </w:trPr>
        <w:tc>
          <w:tcPr>
            <w:tcW w:w="691" w:type="dxa"/>
          </w:tcPr>
          <w:p w:rsidR="00E675F0" w:rsidRDefault="00E675F0" w:rsidP="00A330E1">
            <w:pPr>
              <w:pStyle w:val="TableParagraph"/>
              <w:spacing w:before="18" w:line="199" w:lineRule="exact"/>
              <w:ind w:right="89"/>
              <w:jc w:val="right"/>
              <w:rPr>
                <w:sz w:val="19"/>
              </w:rPr>
            </w:pPr>
            <w:r>
              <w:rPr>
                <w:w w:val="105"/>
                <w:sz w:val="19"/>
              </w:rPr>
              <w:t>300.19</w:t>
            </w:r>
          </w:p>
        </w:tc>
        <w:tc>
          <w:tcPr>
            <w:tcW w:w="3109" w:type="dxa"/>
          </w:tcPr>
          <w:p w:rsidR="00E675F0" w:rsidRDefault="00E675F0" w:rsidP="00A330E1">
            <w:pPr>
              <w:pStyle w:val="TableParagraph"/>
              <w:spacing w:before="18" w:line="199" w:lineRule="exact"/>
              <w:ind w:left="80"/>
              <w:rPr>
                <w:sz w:val="19"/>
              </w:rPr>
            </w:pPr>
            <w:r>
              <w:rPr>
                <w:w w:val="105"/>
                <w:sz w:val="19"/>
              </w:rPr>
              <w:t>Factitious Disorder NOS (475)</w:t>
            </w:r>
          </w:p>
        </w:tc>
        <w:tc>
          <w:tcPr>
            <w:tcW w:w="799" w:type="dxa"/>
          </w:tcPr>
          <w:p w:rsidR="00E675F0" w:rsidRDefault="00E675F0" w:rsidP="00A330E1">
            <w:pPr>
              <w:pStyle w:val="TableParagraph"/>
              <w:rPr>
                <w:sz w:val="16"/>
              </w:rPr>
            </w:pPr>
          </w:p>
        </w:tc>
        <w:tc>
          <w:tcPr>
            <w:tcW w:w="2673" w:type="dxa"/>
          </w:tcPr>
          <w:p w:rsidR="00E675F0" w:rsidRDefault="00E675F0" w:rsidP="00A330E1">
            <w:pPr>
              <w:pStyle w:val="TableParagraph"/>
              <w:spacing w:line="217" w:lineRule="exact"/>
              <w:ind w:left="101"/>
              <w:rPr>
                <w:sz w:val="19"/>
              </w:rPr>
            </w:pPr>
            <w:r>
              <w:rPr>
                <w:i/>
                <w:w w:val="105"/>
                <w:sz w:val="20"/>
              </w:rPr>
              <w:t xml:space="preserve">Condition} </w:t>
            </w:r>
            <w:r>
              <w:rPr>
                <w:w w:val="105"/>
                <w:sz w:val="19"/>
              </w:rPr>
              <w:t>(515)</w:t>
            </w:r>
          </w:p>
        </w:tc>
      </w:tr>
    </w:tbl>
    <w:p w:rsidR="00E675F0" w:rsidRDefault="00E675F0" w:rsidP="00E675F0">
      <w:pPr>
        <w:spacing w:line="217" w:lineRule="exact"/>
        <w:rPr>
          <w:sz w:val="19"/>
        </w:rPr>
        <w:sectPr w:rsidR="00E675F0">
          <w:type w:val="continuous"/>
          <w:pgSz w:w="8960" w:h="14260"/>
          <w:pgMar w:top="640" w:right="500" w:bottom="0" w:left="560" w:header="720" w:footer="720" w:gutter="0"/>
          <w:cols w:space="720"/>
        </w:sectPr>
      </w:pPr>
    </w:p>
    <w:p w:rsidR="00E675F0" w:rsidRDefault="00E675F0" w:rsidP="00E675F0">
      <w:pPr>
        <w:spacing w:before="132" w:line="256" w:lineRule="auto"/>
        <w:ind w:left="896" w:right="182" w:hanging="724"/>
        <w:rPr>
          <w:sz w:val="19"/>
        </w:rPr>
      </w:pPr>
      <w:r>
        <w:rPr>
          <w:w w:val="105"/>
          <w:sz w:val="19"/>
        </w:rPr>
        <w:lastRenderedPageBreak/>
        <w:t xml:space="preserve">607.84 Male Erectile Disorder Due to ... </w:t>
      </w:r>
      <w:r>
        <w:rPr>
          <w:i/>
          <w:w w:val="105"/>
          <w:sz w:val="20"/>
        </w:rPr>
        <w:t>[Indicate the General Medical Condition]</w:t>
      </w:r>
      <w:r>
        <w:rPr>
          <w:i/>
          <w:spacing w:val="50"/>
          <w:w w:val="105"/>
          <w:sz w:val="20"/>
        </w:rPr>
        <w:t xml:space="preserve"> </w:t>
      </w:r>
      <w:r>
        <w:rPr>
          <w:w w:val="105"/>
          <w:sz w:val="19"/>
        </w:rPr>
        <w:t>(515)</w:t>
      </w:r>
    </w:p>
    <w:p w:rsidR="00E675F0" w:rsidRDefault="00E675F0" w:rsidP="00E675F0">
      <w:pPr>
        <w:tabs>
          <w:tab w:val="left" w:pos="899"/>
        </w:tabs>
        <w:spacing w:before="10" w:line="254" w:lineRule="auto"/>
        <w:ind w:left="901" w:right="182" w:hanging="734"/>
        <w:rPr>
          <w:sz w:val="19"/>
        </w:rPr>
      </w:pPr>
      <w:r>
        <w:rPr>
          <w:w w:val="110"/>
          <w:sz w:val="19"/>
        </w:rPr>
        <w:t>625.0</w:t>
      </w:r>
      <w:r>
        <w:rPr>
          <w:w w:val="110"/>
          <w:sz w:val="19"/>
        </w:rPr>
        <w:tab/>
        <w:t xml:space="preserve">Female Dyspareunia Due to ... </w:t>
      </w:r>
      <w:r>
        <w:rPr>
          <w:i/>
          <w:w w:val="110"/>
          <w:sz w:val="20"/>
        </w:rPr>
        <w:t>[Indicate</w:t>
      </w:r>
      <w:r>
        <w:rPr>
          <w:i/>
          <w:spacing w:val="-31"/>
          <w:w w:val="110"/>
          <w:sz w:val="20"/>
        </w:rPr>
        <w:t xml:space="preserve"> </w:t>
      </w:r>
      <w:r>
        <w:rPr>
          <w:i/>
          <w:w w:val="110"/>
          <w:sz w:val="20"/>
        </w:rPr>
        <w:t>the</w:t>
      </w:r>
      <w:r>
        <w:rPr>
          <w:i/>
          <w:spacing w:val="-37"/>
          <w:w w:val="110"/>
          <w:sz w:val="20"/>
        </w:rPr>
        <w:t xml:space="preserve"> </w:t>
      </w:r>
      <w:r>
        <w:rPr>
          <w:i/>
          <w:w w:val="110"/>
          <w:sz w:val="20"/>
        </w:rPr>
        <w:t>General</w:t>
      </w:r>
      <w:r>
        <w:rPr>
          <w:i/>
          <w:spacing w:val="-35"/>
          <w:w w:val="110"/>
          <w:sz w:val="20"/>
        </w:rPr>
        <w:t xml:space="preserve"> </w:t>
      </w:r>
      <w:r>
        <w:rPr>
          <w:i/>
          <w:w w:val="110"/>
          <w:sz w:val="20"/>
        </w:rPr>
        <w:t>Medical Condition]</w:t>
      </w:r>
      <w:r>
        <w:rPr>
          <w:i/>
          <w:spacing w:val="38"/>
          <w:w w:val="110"/>
          <w:sz w:val="20"/>
        </w:rPr>
        <w:t xml:space="preserve"> </w:t>
      </w:r>
      <w:r>
        <w:rPr>
          <w:w w:val="110"/>
          <w:sz w:val="19"/>
        </w:rPr>
        <w:t>(515)</w:t>
      </w:r>
    </w:p>
    <w:p w:rsidR="00E675F0" w:rsidRDefault="00E675F0" w:rsidP="00E675F0">
      <w:pPr>
        <w:spacing w:before="132"/>
        <w:ind w:left="168"/>
        <w:rPr>
          <w:sz w:val="19"/>
        </w:rPr>
      </w:pPr>
      <w:r>
        <w:br w:type="column"/>
      </w:r>
      <w:r>
        <w:rPr>
          <w:b/>
          <w:w w:val="105"/>
          <w:sz w:val="18"/>
        </w:rPr>
        <w:t>GENDER IDENTITY DISORDERS</w:t>
      </w:r>
      <w:r>
        <w:rPr>
          <w:b/>
          <w:spacing w:val="40"/>
          <w:w w:val="105"/>
          <w:sz w:val="18"/>
        </w:rPr>
        <w:t xml:space="preserve"> </w:t>
      </w:r>
      <w:r>
        <w:rPr>
          <w:w w:val="105"/>
          <w:sz w:val="19"/>
        </w:rPr>
        <w:t>(532)</w:t>
      </w:r>
    </w:p>
    <w:p w:rsidR="00E675F0" w:rsidRDefault="00E675F0" w:rsidP="00E675F0">
      <w:pPr>
        <w:spacing w:before="32"/>
        <w:ind w:left="167"/>
        <w:rPr>
          <w:sz w:val="19"/>
        </w:rPr>
      </w:pPr>
      <w:r>
        <w:rPr>
          <w:w w:val="110"/>
          <w:sz w:val="19"/>
        </w:rPr>
        <w:t>302.xx   Gender Identity Disorder</w:t>
      </w:r>
      <w:r>
        <w:rPr>
          <w:spacing w:val="34"/>
          <w:w w:val="110"/>
          <w:sz w:val="19"/>
        </w:rPr>
        <w:t xml:space="preserve"> </w:t>
      </w:r>
      <w:r>
        <w:rPr>
          <w:w w:val="110"/>
          <w:sz w:val="19"/>
        </w:rPr>
        <w:t>(532)</w:t>
      </w:r>
    </w:p>
    <w:p w:rsidR="00E675F0" w:rsidRDefault="00E675F0" w:rsidP="00E675F0">
      <w:pPr>
        <w:tabs>
          <w:tab w:val="left" w:pos="1194"/>
        </w:tabs>
        <w:spacing w:before="7"/>
        <w:ind w:left="473"/>
        <w:rPr>
          <w:sz w:val="19"/>
        </w:rPr>
      </w:pPr>
      <w:r>
        <w:rPr>
          <w:rFonts w:ascii="Arial"/>
          <w:w w:val="105"/>
          <w:sz w:val="21"/>
        </w:rPr>
        <w:t>.6</w:t>
      </w:r>
      <w:r>
        <w:rPr>
          <w:rFonts w:ascii="Arial"/>
          <w:w w:val="105"/>
          <w:sz w:val="21"/>
        </w:rPr>
        <w:tab/>
      </w:r>
      <w:r>
        <w:rPr>
          <w:w w:val="105"/>
          <w:sz w:val="19"/>
        </w:rPr>
        <w:t>in</w:t>
      </w:r>
      <w:r>
        <w:rPr>
          <w:spacing w:val="16"/>
          <w:w w:val="105"/>
          <w:sz w:val="19"/>
        </w:rPr>
        <w:t xml:space="preserve"> </w:t>
      </w:r>
      <w:r>
        <w:rPr>
          <w:w w:val="105"/>
          <w:sz w:val="19"/>
        </w:rPr>
        <w:t>Children</w:t>
      </w:r>
    </w:p>
    <w:p w:rsidR="00E675F0" w:rsidRDefault="00E675F0" w:rsidP="00E675F0">
      <w:pPr>
        <w:tabs>
          <w:tab w:val="left" w:pos="1194"/>
        </w:tabs>
        <w:spacing w:before="25" w:line="237" w:lineRule="auto"/>
        <w:ind w:left="887" w:right="182" w:hanging="403"/>
        <w:rPr>
          <w:sz w:val="16"/>
        </w:rPr>
      </w:pPr>
      <w:r>
        <w:rPr>
          <w:noProof/>
        </w:rPr>
        <mc:AlternateContent>
          <mc:Choice Requires="wps">
            <w:drawing>
              <wp:anchor distT="0" distB="0" distL="114300" distR="114300" simplePos="0" relativeHeight="251672576" behindDoc="0" locked="0" layoutInCell="1" allowOverlap="1" wp14:anchorId="6FC64B14" wp14:editId="253B224C">
                <wp:simplePos x="0" y="0"/>
                <wp:positionH relativeFrom="page">
                  <wp:posOffset>430530</wp:posOffset>
                </wp:positionH>
                <wp:positionV relativeFrom="paragraph">
                  <wp:posOffset>480695</wp:posOffset>
                </wp:positionV>
                <wp:extent cx="4492625" cy="1068070"/>
                <wp:effectExtent l="0" t="0" r="0" b="0"/>
                <wp:wrapNone/>
                <wp:docPr id="1692" name="Text Box 1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92625" cy="1068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692"/>
                              <w:gridCol w:w="3128"/>
                              <w:gridCol w:w="746"/>
                              <w:gridCol w:w="2507"/>
                            </w:tblGrid>
                            <w:tr w:rsidR="00E675F0">
                              <w:trPr>
                                <w:trHeight w:val="482"/>
                              </w:trPr>
                              <w:tc>
                                <w:tcPr>
                                  <w:tcW w:w="692" w:type="dxa"/>
                                </w:tcPr>
                                <w:p w:rsidR="00E675F0" w:rsidRDefault="00E675F0">
                                  <w:pPr>
                                    <w:pStyle w:val="TableParagraph"/>
                                    <w:spacing w:line="211" w:lineRule="exact"/>
                                    <w:ind w:left="50"/>
                                    <w:rPr>
                                      <w:sz w:val="19"/>
                                    </w:rPr>
                                  </w:pPr>
                                  <w:r>
                                    <w:rPr>
                                      <w:w w:val="105"/>
                                      <w:sz w:val="19"/>
                                    </w:rPr>
                                    <w:t>608.89</w:t>
                                  </w:r>
                                </w:p>
                              </w:tc>
                              <w:tc>
                                <w:tcPr>
                                  <w:tcW w:w="3128" w:type="dxa"/>
                                </w:tcPr>
                                <w:p w:rsidR="00E675F0" w:rsidRDefault="00E675F0">
                                  <w:pPr>
                                    <w:pStyle w:val="TableParagraph"/>
                                    <w:spacing w:line="211" w:lineRule="exact"/>
                                    <w:ind w:left="84"/>
                                    <w:rPr>
                                      <w:sz w:val="19"/>
                                    </w:rPr>
                                  </w:pPr>
                                  <w:r>
                                    <w:rPr>
                                      <w:w w:val="110"/>
                                      <w:sz w:val="19"/>
                                    </w:rPr>
                                    <w:t>Male Dyspareunia Due to ...</w:t>
                                  </w:r>
                                </w:p>
                                <w:p w:rsidR="00E675F0" w:rsidRDefault="00E675F0">
                                  <w:pPr>
                                    <w:pStyle w:val="TableParagraph"/>
                                    <w:spacing w:before="12"/>
                                    <w:ind w:left="91"/>
                                    <w:rPr>
                                      <w:i/>
                                      <w:sz w:val="20"/>
                                    </w:rPr>
                                  </w:pPr>
                                  <w:r>
                                    <w:rPr>
                                      <w:i/>
                                      <w:w w:val="105"/>
                                      <w:sz w:val="20"/>
                                    </w:rPr>
                                    <w:t>[Indicate the General Medical</w:t>
                                  </w:r>
                                </w:p>
                              </w:tc>
                              <w:tc>
                                <w:tcPr>
                                  <w:tcW w:w="746" w:type="dxa"/>
                                </w:tcPr>
                                <w:p w:rsidR="00E675F0" w:rsidRDefault="00E675F0">
                                  <w:pPr>
                                    <w:pStyle w:val="TableParagraph"/>
                                    <w:spacing w:before="11"/>
                                    <w:rPr>
                                      <w:sz w:val="23"/>
                                    </w:rPr>
                                  </w:pPr>
                                </w:p>
                                <w:p w:rsidR="00E675F0" w:rsidRDefault="00E675F0">
                                  <w:pPr>
                                    <w:pStyle w:val="TableParagraph"/>
                                    <w:spacing w:line="187" w:lineRule="exact"/>
                                    <w:ind w:left="160"/>
                                    <w:rPr>
                                      <w:sz w:val="19"/>
                                    </w:rPr>
                                  </w:pPr>
                                  <w:r>
                                    <w:rPr>
                                      <w:w w:val="105"/>
                                      <w:sz w:val="19"/>
                                    </w:rPr>
                                    <w:t>302.6</w:t>
                                  </w:r>
                                </w:p>
                              </w:tc>
                              <w:tc>
                                <w:tcPr>
                                  <w:tcW w:w="2507" w:type="dxa"/>
                                </w:tcPr>
                                <w:p w:rsidR="00E675F0" w:rsidRDefault="00E675F0">
                                  <w:pPr>
                                    <w:pStyle w:val="TableParagraph"/>
                                    <w:spacing w:before="58"/>
                                    <w:ind w:left="141"/>
                                    <w:rPr>
                                      <w:sz w:val="16"/>
                                    </w:rPr>
                                  </w:pPr>
                                  <w:r>
                                    <w:rPr>
                                      <w:sz w:val="16"/>
                                    </w:rPr>
                                    <w:t>Neither</w:t>
                                  </w:r>
                                </w:p>
                                <w:p w:rsidR="00E675F0" w:rsidRDefault="00E675F0">
                                  <w:pPr>
                                    <w:pStyle w:val="TableParagraph"/>
                                    <w:spacing w:before="33" w:line="187" w:lineRule="exact"/>
                                    <w:ind w:left="137"/>
                                    <w:rPr>
                                      <w:sz w:val="19"/>
                                    </w:rPr>
                                  </w:pPr>
                                  <w:r>
                                    <w:rPr>
                                      <w:w w:val="110"/>
                                      <w:sz w:val="19"/>
                                    </w:rPr>
                                    <w:t>Gender Identity Disorder</w:t>
                                  </w:r>
                                </w:p>
                              </w:tc>
                            </w:tr>
                            <w:tr w:rsidR="00E675F0">
                              <w:trPr>
                                <w:trHeight w:val="483"/>
                              </w:trPr>
                              <w:tc>
                                <w:tcPr>
                                  <w:tcW w:w="692" w:type="dxa"/>
                                </w:tcPr>
                                <w:p w:rsidR="00E675F0" w:rsidRDefault="00E675F0">
                                  <w:pPr>
                                    <w:pStyle w:val="TableParagraph"/>
                                    <w:spacing w:before="9"/>
                                    <w:rPr>
                                      <w:sz w:val="20"/>
                                    </w:rPr>
                                  </w:pPr>
                                </w:p>
                                <w:p w:rsidR="00E675F0" w:rsidRDefault="00E675F0">
                                  <w:pPr>
                                    <w:pStyle w:val="TableParagraph"/>
                                    <w:ind w:left="50"/>
                                    <w:rPr>
                                      <w:sz w:val="19"/>
                                    </w:rPr>
                                  </w:pPr>
                                  <w:r>
                                    <w:rPr>
                                      <w:w w:val="110"/>
                                      <w:sz w:val="19"/>
                                    </w:rPr>
                                    <w:t>625.8</w:t>
                                  </w:r>
                                </w:p>
                              </w:tc>
                              <w:tc>
                                <w:tcPr>
                                  <w:tcW w:w="3128" w:type="dxa"/>
                                </w:tcPr>
                                <w:p w:rsidR="00E675F0" w:rsidRDefault="00E675F0">
                                  <w:pPr>
                                    <w:pStyle w:val="TableParagraph"/>
                                    <w:spacing w:line="210" w:lineRule="exact"/>
                                    <w:ind w:left="103"/>
                                    <w:rPr>
                                      <w:sz w:val="19"/>
                                    </w:rPr>
                                  </w:pPr>
                                  <w:r>
                                    <w:rPr>
                                      <w:i/>
                                      <w:w w:val="105"/>
                                      <w:sz w:val="20"/>
                                    </w:rPr>
                                    <w:t xml:space="preserve">Condition} </w:t>
                                  </w:r>
                                  <w:r>
                                    <w:rPr>
                                      <w:w w:val="105"/>
                                      <w:sz w:val="19"/>
                                    </w:rPr>
                                    <w:t>(515)</w:t>
                                  </w:r>
                                </w:p>
                                <w:p w:rsidR="00E675F0" w:rsidRDefault="00E675F0">
                                  <w:pPr>
                                    <w:pStyle w:val="TableParagraph"/>
                                    <w:spacing w:before="29"/>
                                    <w:ind w:left="85"/>
                                    <w:rPr>
                                      <w:sz w:val="19"/>
                                    </w:rPr>
                                  </w:pPr>
                                  <w:r>
                                    <w:rPr>
                                      <w:w w:val="110"/>
                                      <w:sz w:val="19"/>
                                    </w:rPr>
                                    <w:t>Other Female Sexual Dysfunction</w:t>
                                  </w:r>
                                </w:p>
                              </w:tc>
                              <w:tc>
                                <w:tcPr>
                                  <w:tcW w:w="746" w:type="dxa"/>
                                </w:tcPr>
                                <w:p w:rsidR="00E675F0" w:rsidRDefault="00E675F0">
                                  <w:pPr>
                                    <w:pStyle w:val="TableParagraph"/>
                                    <w:rPr>
                                      <w:sz w:val="18"/>
                                    </w:rPr>
                                  </w:pPr>
                                </w:p>
                              </w:tc>
                              <w:tc>
                                <w:tcPr>
                                  <w:tcW w:w="2507" w:type="dxa"/>
                                </w:tcPr>
                                <w:p w:rsidR="00E675F0" w:rsidRDefault="00E675F0">
                                  <w:pPr>
                                    <w:pStyle w:val="TableParagraph"/>
                                    <w:spacing w:before="38"/>
                                    <w:ind w:left="141"/>
                                    <w:rPr>
                                      <w:sz w:val="19"/>
                                    </w:rPr>
                                  </w:pPr>
                                  <w:r>
                                    <w:rPr>
                                      <w:w w:val="105"/>
                                      <w:sz w:val="19"/>
                                    </w:rPr>
                                    <w:t>NOS (538)</w:t>
                                  </w:r>
                                </w:p>
                              </w:tc>
                            </w:tr>
                            <w:tr w:rsidR="00E675F0">
                              <w:trPr>
                                <w:trHeight w:val="486"/>
                              </w:trPr>
                              <w:tc>
                                <w:tcPr>
                                  <w:tcW w:w="692" w:type="dxa"/>
                                </w:tcPr>
                                <w:p w:rsidR="00E675F0" w:rsidRDefault="00E675F0">
                                  <w:pPr>
                                    <w:pStyle w:val="TableParagraph"/>
                                    <w:rPr>
                                      <w:sz w:val="18"/>
                                    </w:rPr>
                                  </w:pPr>
                                </w:p>
                              </w:tc>
                              <w:tc>
                                <w:tcPr>
                                  <w:tcW w:w="3128" w:type="dxa"/>
                                </w:tcPr>
                                <w:p w:rsidR="00E675F0" w:rsidRDefault="00E675F0">
                                  <w:pPr>
                                    <w:pStyle w:val="TableParagraph"/>
                                    <w:spacing w:before="24" w:line="230" w:lineRule="auto"/>
                                    <w:ind w:left="87" w:firstLine="1"/>
                                    <w:rPr>
                                      <w:sz w:val="19"/>
                                    </w:rPr>
                                  </w:pPr>
                                  <w:r>
                                    <w:rPr>
                                      <w:w w:val="110"/>
                                      <w:sz w:val="19"/>
                                    </w:rPr>
                                    <w:t xml:space="preserve">Due to ... </w:t>
                                  </w:r>
                                  <w:r>
                                    <w:rPr>
                                      <w:i/>
                                      <w:w w:val="110"/>
                                      <w:sz w:val="20"/>
                                    </w:rPr>
                                    <w:t xml:space="preserve">!Indicate the General Medical Condition] </w:t>
                                  </w:r>
                                  <w:r>
                                    <w:rPr>
                                      <w:w w:val="110"/>
                                      <w:sz w:val="19"/>
                                    </w:rPr>
                                    <w:t>(515)</w:t>
                                  </w:r>
                                </w:p>
                              </w:tc>
                              <w:tc>
                                <w:tcPr>
                                  <w:tcW w:w="746" w:type="dxa"/>
                                </w:tcPr>
                                <w:p w:rsidR="00E675F0" w:rsidRDefault="00E675F0">
                                  <w:pPr>
                                    <w:pStyle w:val="TableParagraph"/>
                                    <w:spacing w:before="26"/>
                                    <w:ind w:left="155"/>
                                    <w:rPr>
                                      <w:sz w:val="19"/>
                                    </w:rPr>
                                  </w:pPr>
                                  <w:r>
                                    <w:rPr>
                                      <w:w w:val="105"/>
                                      <w:sz w:val="19"/>
                                    </w:rPr>
                                    <w:t>302.9</w:t>
                                  </w:r>
                                </w:p>
                              </w:tc>
                              <w:tc>
                                <w:tcPr>
                                  <w:tcW w:w="2507" w:type="dxa"/>
                                </w:tcPr>
                                <w:p w:rsidR="00E675F0" w:rsidRDefault="00E675F0">
                                  <w:pPr>
                                    <w:pStyle w:val="TableParagraph"/>
                                    <w:spacing w:before="26"/>
                                    <w:ind w:left="131"/>
                                    <w:rPr>
                                      <w:sz w:val="19"/>
                                    </w:rPr>
                                  </w:pPr>
                                  <w:r>
                                    <w:rPr>
                                      <w:w w:val="110"/>
                                      <w:sz w:val="19"/>
                                    </w:rPr>
                                    <w:t>Sexual Disorder NOS (538)</w:t>
                                  </w:r>
                                </w:p>
                              </w:tc>
                            </w:tr>
                            <w:tr w:rsidR="00E675F0">
                              <w:trPr>
                                <w:trHeight w:val="229"/>
                              </w:trPr>
                              <w:tc>
                                <w:tcPr>
                                  <w:tcW w:w="692" w:type="dxa"/>
                                </w:tcPr>
                                <w:p w:rsidR="00E675F0" w:rsidRDefault="00E675F0">
                                  <w:pPr>
                                    <w:pStyle w:val="TableParagraph"/>
                                    <w:spacing w:before="10" w:line="199" w:lineRule="exact"/>
                                    <w:ind w:left="50"/>
                                    <w:rPr>
                                      <w:sz w:val="19"/>
                                    </w:rPr>
                                  </w:pPr>
                                  <w:r>
                                    <w:rPr>
                                      <w:w w:val="105"/>
                                      <w:sz w:val="19"/>
                                    </w:rPr>
                                    <w:t>608.89</w:t>
                                  </w:r>
                                </w:p>
                              </w:tc>
                              <w:tc>
                                <w:tcPr>
                                  <w:tcW w:w="3128" w:type="dxa"/>
                                </w:tcPr>
                                <w:p w:rsidR="00E675F0" w:rsidRDefault="00E675F0">
                                  <w:pPr>
                                    <w:pStyle w:val="TableParagraph"/>
                                    <w:spacing w:before="10" w:line="199" w:lineRule="exact"/>
                                    <w:ind w:left="81"/>
                                    <w:rPr>
                                      <w:sz w:val="19"/>
                                    </w:rPr>
                                  </w:pPr>
                                  <w:r>
                                    <w:rPr>
                                      <w:w w:val="110"/>
                                      <w:sz w:val="19"/>
                                    </w:rPr>
                                    <w:t>Other Male Sexual Dysfunction</w:t>
                                  </w:r>
                                </w:p>
                              </w:tc>
                              <w:tc>
                                <w:tcPr>
                                  <w:tcW w:w="746" w:type="dxa"/>
                                </w:tcPr>
                                <w:p w:rsidR="00E675F0" w:rsidRDefault="00E675F0">
                                  <w:pPr>
                                    <w:pStyle w:val="TableParagraph"/>
                                    <w:rPr>
                                      <w:sz w:val="16"/>
                                    </w:rPr>
                                  </w:pPr>
                                </w:p>
                              </w:tc>
                              <w:tc>
                                <w:tcPr>
                                  <w:tcW w:w="2507" w:type="dxa"/>
                                </w:tcPr>
                                <w:p w:rsidR="00E675F0" w:rsidRDefault="00E675F0">
                                  <w:pPr>
                                    <w:pStyle w:val="TableParagraph"/>
                                    <w:rPr>
                                      <w:sz w:val="16"/>
                                    </w:rPr>
                                  </w:pPr>
                                </w:p>
                              </w:tc>
                            </w:tr>
                          </w:tbl>
                          <w:p w:rsidR="00E675F0" w:rsidRDefault="00E675F0" w:rsidP="00E675F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64B14" id="Text Box 1648" o:spid="_x0000_s1049" type="#_x0000_t202" style="position:absolute;left:0;text-align:left;margin-left:33.9pt;margin-top:37.85pt;width:353.75pt;height:84.1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" filled="f" stroked="f">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692"/>
                        <w:gridCol w:w="3128"/>
                        <w:gridCol w:w="746"/>
                        <w:gridCol w:w="2507"/>
                      </w:tblGrid>
                      <w:tr w:rsidR="00E675F0">
                        <w:trPr>
                          <w:trHeight w:val="482"/>
                        </w:trPr>
                        <w:tc>
                          <w:tcPr>
                            <w:tcW w:w="692" w:type="dxa"/>
                          </w:tcPr>
                          <w:p w:rsidR="00E675F0" w:rsidRDefault="00E675F0">
                            <w:pPr>
                              <w:pStyle w:val="TableParagraph"/>
                              <w:spacing w:line="211" w:lineRule="exact"/>
                              <w:ind w:left="50"/>
                              <w:rPr>
                                <w:sz w:val="19"/>
                              </w:rPr>
                            </w:pPr>
                            <w:r>
                              <w:rPr>
                                <w:w w:val="105"/>
                                <w:sz w:val="19"/>
                              </w:rPr>
                              <w:t>608.89</w:t>
                            </w:r>
                          </w:p>
                        </w:tc>
                        <w:tc>
                          <w:tcPr>
                            <w:tcW w:w="3128" w:type="dxa"/>
                          </w:tcPr>
                          <w:p w:rsidR="00E675F0" w:rsidRDefault="00E675F0">
                            <w:pPr>
                              <w:pStyle w:val="TableParagraph"/>
                              <w:spacing w:line="211" w:lineRule="exact"/>
                              <w:ind w:left="84"/>
                              <w:rPr>
                                <w:sz w:val="19"/>
                              </w:rPr>
                            </w:pPr>
                            <w:r>
                              <w:rPr>
                                <w:w w:val="110"/>
                                <w:sz w:val="19"/>
                              </w:rPr>
                              <w:t>Male Dyspareunia Due to ...</w:t>
                            </w:r>
                          </w:p>
                          <w:p w:rsidR="00E675F0" w:rsidRDefault="00E675F0">
                            <w:pPr>
                              <w:pStyle w:val="TableParagraph"/>
                              <w:spacing w:before="12"/>
                              <w:ind w:left="91"/>
                              <w:rPr>
                                <w:i/>
                                <w:sz w:val="20"/>
                              </w:rPr>
                            </w:pPr>
                            <w:r>
                              <w:rPr>
                                <w:i/>
                                <w:w w:val="105"/>
                                <w:sz w:val="20"/>
                              </w:rPr>
                              <w:t>[Indicate the General Medical</w:t>
                            </w:r>
                          </w:p>
                        </w:tc>
                        <w:tc>
                          <w:tcPr>
                            <w:tcW w:w="746" w:type="dxa"/>
                          </w:tcPr>
                          <w:p w:rsidR="00E675F0" w:rsidRDefault="00E675F0">
                            <w:pPr>
                              <w:pStyle w:val="TableParagraph"/>
                              <w:spacing w:before="11"/>
                              <w:rPr>
                                <w:sz w:val="23"/>
                              </w:rPr>
                            </w:pPr>
                          </w:p>
                          <w:p w:rsidR="00E675F0" w:rsidRDefault="00E675F0">
                            <w:pPr>
                              <w:pStyle w:val="TableParagraph"/>
                              <w:spacing w:line="187" w:lineRule="exact"/>
                              <w:ind w:left="160"/>
                              <w:rPr>
                                <w:sz w:val="19"/>
                              </w:rPr>
                            </w:pPr>
                            <w:r>
                              <w:rPr>
                                <w:w w:val="105"/>
                                <w:sz w:val="19"/>
                              </w:rPr>
                              <w:t>302.6</w:t>
                            </w:r>
                          </w:p>
                        </w:tc>
                        <w:tc>
                          <w:tcPr>
                            <w:tcW w:w="2507" w:type="dxa"/>
                          </w:tcPr>
                          <w:p w:rsidR="00E675F0" w:rsidRDefault="00E675F0">
                            <w:pPr>
                              <w:pStyle w:val="TableParagraph"/>
                              <w:spacing w:before="58"/>
                              <w:ind w:left="141"/>
                              <w:rPr>
                                <w:sz w:val="16"/>
                              </w:rPr>
                            </w:pPr>
                            <w:r>
                              <w:rPr>
                                <w:sz w:val="16"/>
                              </w:rPr>
                              <w:t>Neither</w:t>
                            </w:r>
                          </w:p>
                          <w:p w:rsidR="00E675F0" w:rsidRDefault="00E675F0">
                            <w:pPr>
                              <w:pStyle w:val="TableParagraph"/>
                              <w:spacing w:before="33" w:line="187" w:lineRule="exact"/>
                              <w:ind w:left="137"/>
                              <w:rPr>
                                <w:sz w:val="19"/>
                              </w:rPr>
                            </w:pPr>
                            <w:r>
                              <w:rPr>
                                <w:w w:val="110"/>
                                <w:sz w:val="19"/>
                              </w:rPr>
                              <w:t>Gender Identity Disorder</w:t>
                            </w:r>
                          </w:p>
                        </w:tc>
                      </w:tr>
                      <w:tr w:rsidR="00E675F0">
                        <w:trPr>
                          <w:trHeight w:val="483"/>
                        </w:trPr>
                        <w:tc>
                          <w:tcPr>
                            <w:tcW w:w="692" w:type="dxa"/>
                          </w:tcPr>
                          <w:p w:rsidR="00E675F0" w:rsidRDefault="00E675F0">
                            <w:pPr>
                              <w:pStyle w:val="TableParagraph"/>
                              <w:spacing w:before="9"/>
                              <w:rPr>
                                <w:sz w:val="20"/>
                              </w:rPr>
                            </w:pPr>
                          </w:p>
                          <w:p w:rsidR="00E675F0" w:rsidRDefault="00E675F0">
                            <w:pPr>
                              <w:pStyle w:val="TableParagraph"/>
                              <w:ind w:left="50"/>
                              <w:rPr>
                                <w:sz w:val="19"/>
                              </w:rPr>
                            </w:pPr>
                            <w:r>
                              <w:rPr>
                                <w:w w:val="110"/>
                                <w:sz w:val="19"/>
                              </w:rPr>
                              <w:t>625.8</w:t>
                            </w:r>
                          </w:p>
                        </w:tc>
                        <w:tc>
                          <w:tcPr>
                            <w:tcW w:w="3128" w:type="dxa"/>
                          </w:tcPr>
                          <w:p w:rsidR="00E675F0" w:rsidRDefault="00E675F0">
                            <w:pPr>
                              <w:pStyle w:val="TableParagraph"/>
                              <w:spacing w:line="210" w:lineRule="exact"/>
                              <w:ind w:left="103"/>
                              <w:rPr>
                                <w:sz w:val="19"/>
                              </w:rPr>
                            </w:pPr>
                            <w:r>
                              <w:rPr>
                                <w:i/>
                                <w:w w:val="105"/>
                                <w:sz w:val="20"/>
                              </w:rPr>
                              <w:t xml:space="preserve">Condition} </w:t>
                            </w:r>
                            <w:r>
                              <w:rPr>
                                <w:w w:val="105"/>
                                <w:sz w:val="19"/>
                              </w:rPr>
                              <w:t>(515)</w:t>
                            </w:r>
                          </w:p>
                          <w:p w:rsidR="00E675F0" w:rsidRDefault="00E675F0">
                            <w:pPr>
                              <w:pStyle w:val="TableParagraph"/>
                              <w:spacing w:before="29"/>
                              <w:ind w:left="85"/>
                              <w:rPr>
                                <w:sz w:val="19"/>
                              </w:rPr>
                            </w:pPr>
                            <w:r>
                              <w:rPr>
                                <w:w w:val="110"/>
                                <w:sz w:val="19"/>
                              </w:rPr>
                              <w:t>Other Female Sexual Dysfunction</w:t>
                            </w:r>
                          </w:p>
                        </w:tc>
                        <w:tc>
                          <w:tcPr>
                            <w:tcW w:w="746" w:type="dxa"/>
                          </w:tcPr>
                          <w:p w:rsidR="00E675F0" w:rsidRDefault="00E675F0">
                            <w:pPr>
                              <w:pStyle w:val="TableParagraph"/>
                              <w:rPr>
                                <w:sz w:val="18"/>
                              </w:rPr>
                            </w:pPr>
                          </w:p>
                        </w:tc>
                        <w:tc>
                          <w:tcPr>
                            <w:tcW w:w="2507" w:type="dxa"/>
                          </w:tcPr>
                          <w:p w:rsidR="00E675F0" w:rsidRDefault="00E675F0">
                            <w:pPr>
                              <w:pStyle w:val="TableParagraph"/>
                              <w:spacing w:before="38"/>
                              <w:ind w:left="141"/>
                              <w:rPr>
                                <w:sz w:val="19"/>
                              </w:rPr>
                            </w:pPr>
                            <w:r>
                              <w:rPr>
                                <w:w w:val="105"/>
                                <w:sz w:val="19"/>
                              </w:rPr>
                              <w:t>NOS (538)</w:t>
                            </w:r>
                          </w:p>
                        </w:tc>
                      </w:tr>
                      <w:tr w:rsidR="00E675F0">
                        <w:trPr>
                          <w:trHeight w:val="486"/>
                        </w:trPr>
                        <w:tc>
                          <w:tcPr>
                            <w:tcW w:w="692" w:type="dxa"/>
                          </w:tcPr>
                          <w:p w:rsidR="00E675F0" w:rsidRDefault="00E675F0">
                            <w:pPr>
                              <w:pStyle w:val="TableParagraph"/>
                              <w:rPr>
                                <w:sz w:val="18"/>
                              </w:rPr>
                            </w:pPr>
                          </w:p>
                        </w:tc>
                        <w:tc>
                          <w:tcPr>
                            <w:tcW w:w="3128" w:type="dxa"/>
                          </w:tcPr>
                          <w:p w:rsidR="00E675F0" w:rsidRDefault="00E675F0">
                            <w:pPr>
                              <w:pStyle w:val="TableParagraph"/>
                              <w:spacing w:before="24" w:line="230" w:lineRule="auto"/>
                              <w:ind w:left="87" w:firstLine="1"/>
                              <w:rPr>
                                <w:sz w:val="19"/>
                              </w:rPr>
                            </w:pPr>
                            <w:r>
                              <w:rPr>
                                <w:w w:val="110"/>
                                <w:sz w:val="19"/>
                              </w:rPr>
                              <w:t xml:space="preserve">Due to ... </w:t>
                            </w:r>
                            <w:r>
                              <w:rPr>
                                <w:i/>
                                <w:w w:val="110"/>
                                <w:sz w:val="20"/>
                              </w:rPr>
                              <w:t xml:space="preserve">!Indicate the General Medical Condition] </w:t>
                            </w:r>
                            <w:r>
                              <w:rPr>
                                <w:w w:val="110"/>
                                <w:sz w:val="19"/>
                              </w:rPr>
                              <w:t>(515)</w:t>
                            </w:r>
                          </w:p>
                        </w:tc>
                        <w:tc>
                          <w:tcPr>
                            <w:tcW w:w="746" w:type="dxa"/>
                          </w:tcPr>
                          <w:p w:rsidR="00E675F0" w:rsidRDefault="00E675F0">
                            <w:pPr>
                              <w:pStyle w:val="TableParagraph"/>
                              <w:spacing w:before="26"/>
                              <w:ind w:left="155"/>
                              <w:rPr>
                                <w:sz w:val="19"/>
                              </w:rPr>
                            </w:pPr>
                            <w:r>
                              <w:rPr>
                                <w:w w:val="105"/>
                                <w:sz w:val="19"/>
                              </w:rPr>
                              <w:t>302.9</w:t>
                            </w:r>
                          </w:p>
                        </w:tc>
                        <w:tc>
                          <w:tcPr>
                            <w:tcW w:w="2507" w:type="dxa"/>
                          </w:tcPr>
                          <w:p w:rsidR="00E675F0" w:rsidRDefault="00E675F0">
                            <w:pPr>
                              <w:pStyle w:val="TableParagraph"/>
                              <w:spacing w:before="26"/>
                              <w:ind w:left="131"/>
                              <w:rPr>
                                <w:sz w:val="19"/>
                              </w:rPr>
                            </w:pPr>
                            <w:r>
                              <w:rPr>
                                <w:w w:val="110"/>
                                <w:sz w:val="19"/>
                              </w:rPr>
                              <w:t>Sexual Disorder NOS (538)</w:t>
                            </w:r>
                          </w:p>
                        </w:tc>
                      </w:tr>
                      <w:tr w:rsidR="00E675F0">
                        <w:trPr>
                          <w:trHeight w:val="229"/>
                        </w:trPr>
                        <w:tc>
                          <w:tcPr>
                            <w:tcW w:w="692" w:type="dxa"/>
                          </w:tcPr>
                          <w:p w:rsidR="00E675F0" w:rsidRDefault="00E675F0">
                            <w:pPr>
                              <w:pStyle w:val="TableParagraph"/>
                              <w:spacing w:before="10" w:line="199" w:lineRule="exact"/>
                              <w:ind w:left="50"/>
                              <w:rPr>
                                <w:sz w:val="19"/>
                              </w:rPr>
                            </w:pPr>
                            <w:r>
                              <w:rPr>
                                <w:w w:val="105"/>
                                <w:sz w:val="19"/>
                              </w:rPr>
                              <w:t>608.89</w:t>
                            </w:r>
                          </w:p>
                        </w:tc>
                        <w:tc>
                          <w:tcPr>
                            <w:tcW w:w="3128" w:type="dxa"/>
                          </w:tcPr>
                          <w:p w:rsidR="00E675F0" w:rsidRDefault="00E675F0">
                            <w:pPr>
                              <w:pStyle w:val="TableParagraph"/>
                              <w:spacing w:before="10" w:line="199" w:lineRule="exact"/>
                              <w:ind w:left="81"/>
                              <w:rPr>
                                <w:sz w:val="19"/>
                              </w:rPr>
                            </w:pPr>
                            <w:r>
                              <w:rPr>
                                <w:w w:val="110"/>
                                <w:sz w:val="19"/>
                              </w:rPr>
                              <w:t>Other Male Sexual Dysfunction</w:t>
                            </w:r>
                          </w:p>
                        </w:tc>
                        <w:tc>
                          <w:tcPr>
                            <w:tcW w:w="746" w:type="dxa"/>
                          </w:tcPr>
                          <w:p w:rsidR="00E675F0" w:rsidRDefault="00E675F0">
                            <w:pPr>
                              <w:pStyle w:val="TableParagraph"/>
                              <w:rPr>
                                <w:sz w:val="16"/>
                              </w:rPr>
                            </w:pPr>
                          </w:p>
                        </w:tc>
                        <w:tc>
                          <w:tcPr>
                            <w:tcW w:w="2507" w:type="dxa"/>
                          </w:tcPr>
                          <w:p w:rsidR="00E675F0" w:rsidRDefault="00E675F0">
                            <w:pPr>
                              <w:pStyle w:val="TableParagraph"/>
                              <w:rPr>
                                <w:sz w:val="16"/>
                              </w:rPr>
                            </w:pPr>
                          </w:p>
                        </w:tc>
                      </w:tr>
                    </w:tbl>
                    <w:p w:rsidR="00E675F0" w:rsidRDefault="00E675F0" w:rsidP="00E675F0">
                      <w:pPr>
                        <w:pStyle w:val="BodyText"/>
                      </w:pPr>
                    </w:p>
                  </w:txbxContent>
                </v:textbox>
                <w10:wrap anchorx="page"/>
              </v:shape>
            </w:pict>
          </mc:Fallback>
        </mc:AlternateContent>
      </w:r>
      <w:r>
        <w:rPr>
          <w:w w:val="105"/>
          <w:sz w:val="19"/>
        </w:rPr>
        <w:t>.85</w:t>
      </w:r>
      <w:r>
        <w:rPr>
          <w:w w:val="105"/>
          <w:sz w:val="19"/>
        </w:rPr>
        <w:tab/>
      </w:r>
      <w:r>
        <w:rPr>
          <w:w w:val="105"/>
          <w:sz w:val="19"/>
        </w:rPr>
        <w:tab/>
        <w:t xml:space="preserve">in Adolescents or Adults </w:t>
      </w:r>
      <w:r>
        <w:rPr>
          <w:i/>
          <w:w w:val="105"/>
          <w:sz w:val="15"/>
        </w:rPr>
        <w:t xml:space="preserve">Spec/fy </w:t>
      </w:r>
      <w:r>
        <w:rPr>
          <w:rFonts w:ascii="Arial"/>
          <w:i/>
          <w:w w:val="105"/>
          <w:sz w:val="18"/>
        </w:rPr>
        <w:t xml:space="preserve">if </w:t>
      </w:r>
      <w:r>
        <w:rPr>
          <w:w w:val="105"/>
          <w:sz w:val="16"/>
        </w:rPr>
        <w:t>Sexually Attracted to Males/ Sexually Attracted to Females/Sexually Attracted to Both/Sexually Attracted</w:t>
      </w:r>
      <w:r>
        <w:rPr>
          <w:spacing w:val="-15"/>
          <w:w w:val="105"/>
          <w:sz w:val="16"/>
        </w:rPr>
        <w:t xml:space="preserve"> </w:t>
      </w:r>
      <w:r>
        <w:rPr>
          <w:w w:val="105"/>
          <w:sz w:val="16"/>
        </w:rPr>
        <w:t>to</w:t>
      </w:r>
    </w:p>
    <w:p w:rsidR="00E675F0" w:rsidRDefault="00E675F0" w:rsidP="00E675F0">
      <w:pPr>
        <w:spacing w:line="237" w:lineRule="auto"/>
        <w:rPr>
          <w:sz w:val="16"/>
        </w:rPr>
        <w:sectPr w:rsidR="00E675F0">
          <w:pgSz w:w="8960" w:h="14260"/>
          <w:pgMar w:top="1400" w:right="720" w:bottom="280" w:left="560" w:header="695" w:footer="0" w:gutter="0"/>
          <w:cols w:num="2" w:space="720" w:equalWidth="0">
            <w:col w:w="3708" w:space="218"/>
            <w:col w:w="3754"/>
          </w:cols>
        </w:sectPr>
      </w:pPr>
    </w:p>
    <w:p w:rsidR="00E675F0" w:rsidRDefault="00E675F0" w:rsidP="00E675F0">
      <w:pPr>
        <w:pStyle w:val="BodyText"/>
      </w:pPr>
    </w:p>
    <w:p w:rsidR="00E675F0" w:rsidRDefault="00E675F0" w:rsidP="00E675F0">
      <w:pPr>
        <w:pStyle w:val="BodyText"/>
      </w:pPr>
    </w:p>
    <w:p w:rsidR="00E675F0" w:rsidRDefault="00E675F0" w:rsidP="00E675F0">
      <w:pPr>
        <w:pStyle w:val="BodyText"/>
      </w:pPr>
    </w:p>
    <w:p w:rsidR="00E675F0" w:rsidRDefault="00E675F0" w:rsidP="00E675F0">
      <w:pPr>
        <w:pStyle w:val="BodyText"/>
      </w:pPr>
    </w:p>
    <w:p w:rsidR="00E675F0" w:rsidRDefault="00E675F0" w:rsidP="00E675F0">
      <w:pPr>
        <w:pStyle w:val="BodyText"/>
      </w:pPr>
    </w:p>
    <w:p w:rsidR="00E675F0" w:rsidRDefault="00E675F0" w:rsidP="00E675F0">
      <w:pPr>
        <w:pStyle w:val="BodyText"/>
      </w:pPr>
    </w:p>
    <w:p w:rsidR="00E675F0" w:rsidRDefault="00E675F0" w:rsidP="00E675F0">
      <w:pPr>
        <w:sectPr w:rsidR="00E675F0">
          <w:type w:val="continuous"/>
          <w:pgSz w:w="8960" w:h="14260"/>
          <w:pgMar w:top="640" w:right="720" w:bottom="0" w:left="560" w:header="720" w:footer="720" w:gutter="0"/>
          <w:cols w:space="720"/>
        </w:sectPr>
      </w:pPr>
    </w:p>
    <w:p w:rsidR="00E675F0" w:rsidRDefault="00E675F0" w:rsidP="00E675F0">
      <w:pPr>
        <w:pStyle w:val="BodyText"/>
        <w:rPr>
          <w:sz w:val="23"/>
        </w:rPr>
      </w:pPr>
    </w:p>
    <w:p w:rsidR="00E675F0" w:rsidRDefault="00E675F0" w:rsidP="00E675F0">
      <w:pPr>
        <w:spacing w:line="256" w:lineRule="auto"/>
        <w:ind w:left="897" w:right="10" w:hanging="3"/>
        <w:rPr>
          <w:sz w:val="19"/>
        </w:rPr>
      </w:pPr>
      <w:r>
        <w:rPr>
          <w:w w:val="105"/>
          <w:sz w:val="19"/>
        </w:rPr>
        <w:t xml:space="preserve">Due to ... </w:t>
      </w:r>
      <w:r>
        <w:rPr>
          <w:i/>
          <w:w w:val="105"/>
          <w:sz w:val="20"/>
        </w:rPr>
        <w:t xml:space="preserve">[Indicate the General Medical Condition] </w:t>
      </w:r>
      <w:r>
        <w:rPr>
          <w:w w:val="105"/>
          <w:sz w:val="19"/>
        </w:rPr>
        <w:t>(515)</w:t>
      </w:r>
    </w:p>
    <w:p w:rsidR="00E675F0" w:rsidRDefault="00E675F0" w:rsidP="00E675F0">
      <w:pPr>
        <w:pStyle w:val="BodyText"/>
        <w:spacing w:before="5"/>
        <w:rPr>
          <w:sz w:val="17"/>
        </w:rPr>
      </w:pPr>
    </w:p>
    <w:p w:rsidR="00E675F0" w:rsidRDefault="00E675F0" w:rsidP="00E675F0">
      <w:pPr>
        <w:spacing w:line="254" w:lineRule="auto"/>
        <w:ind w:left="894" w:right="10" w:hanging="4"/>
        <w:rPr>
          <w:sz w:val="19"/>
        </w:rPr>
      </w:pPr>
      <w:r>
        <w:rPr>
          <w:w w:val="105"/>
          <w:sz w:val="19"/>
        </w:rPr>
        <w:t xml:space="preserve">Substance-Induced Sexual Dysfunction </w:t>
      </w:r>
      <w:r>
        <w:rPr>
          <w:i/>
          <w:w w:val="105"/>
          <w:sz w:val="20"/>
        </w:rPr>
        <w:t xml:space="preserve">(refer to Substance­ Related Disorders for substance­ specific codes) </w:t>
      </w:r>
      <w:r>
        <w:rPr>
          <w:w w:val="105"/>
          <w:sz w:val="19"/>
        </w:rPr>
        <w:t>(519)</w:t>
      </w:r>
    </w:p>
    <w:p w:rsidR="00E675F0" w:rsidRDefault="00E675F0" w:rsidP="00E675F0">
      <w:pPr>
        <w:spacing w:line="180" w:lineRule="exact"/>
        <w:ind w:left="906"/>
        <w:rPr>
          <w:sz w:val="16"/>
        </w:rPr>
      </w:pPr>
      <w:r>
        <w:rPr>
          <w:i/>
          <w:w w:val="105"/>
          <w:sz w:val="15"/>
        </w:rPr>
        <w:t xml:space="preserve">Specify </w:t>
      </w:r>
      <w:r>
        <w:rPr>
          <w:rFonts w:ascii="Arial"/>
          <w:i/>
          <w:w w:val="105"/>
          <w:sz w:val="18"/>
        </w:rPr>
        <w:t xml:space="preserve">if </w:t>
      </w:r>
      <w:r>
        <w:rPr>
          <w:w w:val="105"/>
          <w:sz w:val="16"/>
        </w:rPr>
        <w:t>With Impaired Desire/</w:t>
      </w:r>
    </w:p>
    <w:p w:rsidR="00E675F0" w:rsidRDefault="00E675F0" w:rsidP="00E675F0">
      <w:pPr>
        <w:spacing w:line="249" w:lineRule="auto"/>
        <w:ind w:left="891" w:right="203" w:firstLine="3"/>
        <w:rPr>
          <w:sz w:val="16"/>
        </w:rPr>
      </w:pPr>
      <w:r>
        <w:rPr>
          <w:w w:val="105"/>
          <w:sz w:val="16"/>
        </w:rPr>
        <w:t>With Impaired Arousal/With Impaired Orgasm/With Sexual Pain</w:t>
      </w:r>
    </w:p>
    <w:p w:rsidR="00E675F0" w:rsidRDefault="00E675F0" w:rsidP="00E675F0">
      <w:pPr>
        <w:spacing w:before="2" w:line="192" w:lineRule="exact"/>
        <w:ind w:left="893" w:right="203" w:firstLine="12"/>
        <w:rPr>
          <w:sz w:val="16"/>
        </w:rPr>
      </w:pPr>
      <w:r>
        <w:rPr>
          <w:i/>
          <w:w w:val="105"/>
          <w:sz w:val="15"/>
        </w:rPr>
        <w:t xml:space="preserve">Specify </w:t>
      </w:r>
      <w:r>
        <w:rPr>
          <w:rFonts w:ascii="Arial"/>
          <w:i/>
          <w:w w:val="105"/>
          <w:sz w:val="18"/>
        </w:rPr>
        <w:t xml:space="preserve">if </w:t>
      </w:r>
      <w:r>
        <w:rPr>
          <w:w w:val="105"/>
          <w:sz w:val="16"/>
        </w:rPr>
        <w:t>With Onset During Intoxication</w:t>
      </w:r>
    </w:p>
    <w:p w:rsidR="00E675F0" w:rsidRDefault="00E675F0" w:rsidP="00E675F0">
      <w:pPr>
        <w:pStyle w:val="BodyText"/>
        <w:spacing w:before="3"/>
        <w:rPr>
          <w:sz w:val="19"/>
        </w:rPr>
      </w:pPr>
    </w:p>
    <w:p w:rsidR="00E675F0" w:rsidRDefault="00E675F0" w:rsidP="00E675F0">
      <w:pPr>
        <w:ind w:left="168"/>
        <w:rPr>
          <w:sz w:val="19"/>
        </w:rPr>
      </w:pPr>
      <w:r>
        <w:rPr>
          <w:w w:val="105"/>
          <w:sz w:val="19"/>
        </w:rPr>
        <w:t>302.70 Sexual Dysfunction NOS (522)</w:t>
      </w:r>
    </w:p>
    <w:p w:rsidR="00E675F0" w:rsidRDefault="00E675F0" w:rsidP="00E675F0">
      <w:pPr>
        <w:pStyle w:val="BodyText"/>
      </w:pPr>
    </w:p>
    <w:p w:rsidR="00E675F0" w:rsidRDefault="00E675F0" w:rsidP="00E675F0">
      <w:pPr>
        <w:spacing w:before="153"/>
        <w:ind w:left="166"/>
        <w:rPr>
          <w:sz w:val="19"/>
        </w:rPr>
      </w:pPr>
      <w:r>
        <w:rPr>
          <w:b/>
          <w:w w:val="105"/>
          <w:sz w:val="18"/>
        </w:rPr>
        <w:t xml:space="preserve">PARAPHILIAS </w:t>
      </w:r>
      <w:r>
        <w:rPr>
          <w:w w:val="105"/>
          <w:sz w:val="19"/>
        </w:rPr>
        <w:t>(522)</w:t>
      </w:r>
    </w:p>
    <w:p w:rsidR="00E675F0" w:rsidRDefault="00E675F0" w:rsidP="00E675F0">
      <w:pPr>
        <w:tabs>
          <w:tab w:val="left" w:pos="898"/>
        </w:tabs>
        <w:spacing w:before="22"/>
        <w:ind w:left="168"/>
        <w:rPr>
          <w:sz w:val="19"/>
        </w:rPr>
      </w:pPr>
      <w:r>
        <w:rPr>
          <w:w w:val="105"/>
          <w:sz w:val="19"/>
        </w:rPr>
        <w:t>302.4</w:t>
      </w:r>
      <w:r>
        <w:rPr>
          <w:w w:val="105"/>
          <w:sz w:val="19"/>
        </w:rPr>
        <w:tab/>
        <w:t>Exhibitionism</w:t>
      </w:r>
      <w:r>
        <w:rPr>
          <w:spacing w:val="30"/>
          <w:w w:val="105"/>
          <w:sz w:val="19"/>
        </w:rPr>
        <w:t xml:space="preserve"> </w:t>
      </w:r>
      <w:r>
        <w:rPr>
          <w:w w:val="105"/>
          <w:sz w:val="19"/>
        </w:rPr>
        <w:t>(525)</w:t>
      </w:r>
    </w:p>
    <w:p w:rsidR="00E675F0" w:rsidRDefault="00E675F0" w:rsidP="00E675F0">
      <w:pPr>
        <w:spacing w:before="21"/>
        <w:ind w:left="173"/>
        <w:rPr>
          <w:sz w:val="19"/>
        </w:rPr>
      </w:pPr>
      <w:r>
        <w:rPr>
          <w:w w:val="110"/>
          <w:sz w:val="19"/>
        </w:rPr>
        <w:t>302.81 Fetishism (526)</w:t>
      </w:r>
    </w:p>
    <w:p w:rsidR="00E675F0" w:rsidRDefault="00E675F0" w:rsidP="00E675F0">
      <w:pPr>
        <w:spacing w:before="27"/>
        <w:ind w:left="173"/>
        <w:rPr>
          <w:sz w:val="19"/>
        </w:rPr>
      </w:pPr>
      <w:r>
        <w:rPr>
          <w:w w:val="110"/>
          <w:sz w:val="19"/>
        </w:rPr>
        <w:t>302.89 Frotteurism (527)</w:t>
      </w:r>
    </w:p>
    <w:p w:rsidR="00E675F0" w:rsidRDefault="00E675F0" w:rsidP="00E675F0">
      <w:pPr>
        <w:tabs>
          <w:tab w:val="left" w:pos="899"/>
        </w:tabs>
        <w:spacing w:before="17"/>
        <w:ind w:left="168"/>
        <w:rPr>
          <w:sz w:val="19"/>
        </w:rPr>
      </w:pPr>
      <w:r>
        <w:rPr>
          <w:w w:val="110"/>
          <w:sz w:val="19"/>
        </w:rPr>
        <w:t>302.2</w:t>
      </w:r>
      <w:r>
        <w:rPr>
          <w:w w:val="110"/>
          <w:sz w:val="19"/>
        </w:rPr>
        <w:tab/>
        <w:t>Pedophilia</w:t>
      </w:r>
      <w:r>
        <w:rPr>
          <w:spacing w:val="24"/>
          <w:w w:val="110"/>
          <w:sz w:val="19"/>
        </w:rPr>
        <w:t xml:space="preserve"> </w:t>
      </w:r>
      <w:r>
        <w:rPr>
          <w:w w:val="110"/>
          <w:sz w:val="19"/>
        </w:rPr>
        <w:t>(527)</w:t>
      </w:r>
    </w:p>
    <w:p w:rsidR="00E675F0" w:rsidRDefault="00E675F0" w:rsidP="00E675F0">
      <w:pPr>
        <w:spacing w:before="2" w:line="247" w:lineRule="auto"/>
        <w:ind w:left="892" w:right="261" w:firstLine="13"/>
        <w:rPr>
          <w:sz w:val="16"/>
        </w:rPr>
      </w:pPr>
      <w:r>
        <w:rPr>
          <w:i/>
          <w:w w:val="105"/>
          <w:sz w:val="15"/>
        </w:rPr>
        <w:t xml:space="preserve">Specify if </w:t>
      </w:r>
      <w:r>
        <w:rPr>
          <w:w w:val="105"/>
          <w:sz w:val="16"/>
        </w:rPr>
        <w:t>Sexually Attracted to Males/Sexually Attracted to Females/ Sexually Attracted to Both</w:t>
      </w:r>
    </w:p>
    <w:p w:rsidR="00E675F0" w:rsidRDefault="00E675F0" w:rsidP="00E675F0">
      <w:pPr>
        <w:spacing w:line="191" w:lineRule="exact"/>
        <w:ind w:left="910"/>
        <w:rPr>
          <w:sz w:val="16"/>
        </w:rPr>
      </w:pPr>
      <w:r>
        <w:rPr>
          <w:i/>
          <w:w w:val="105"/>
          <w:sz w:val="15"/>
        </w:rPr>
        <w:t xml:space="preserve">Specify </w:t>
      </w:r>
      <w:r>
        <w:rPr>
          <w:rFonts w:ascii="Arial"/>
          <w:i/>
          <w:w w:val="105"/>
          <w:sz w:val="18"/>
        </w:rPr>
        <w:t xml:space="preserve">if </w:t>
      </w:r>
      <w:r>
        <w:rPr>
          <w:w w:val="105"/>
          <w:sz w:val="16"/>
        </w:rPr>
        <w:t>Limited to Incest</w:t>
      </w:r>
    </w:p>
    <w:p w:rsidR="00E675F0" w:rsidRDefault="00E675F0" w:rsidP="00E675F0">
      <w:pPr>
        <w:spacing w:before="9" w:line="249" w:lineRule="auto"/>
        <w:ind w:left="904" w:right="10" w:firstLine="6"/>
        <w:rPr>
          <w:sz w:val="16"/>
        </w:rPr>
      </w:pPr>
      <w:r>
        <w:rPr>
          <w:i/>
          <w:w w:val="105"/>
          <w:sz w:val="15"/>
        </w:rPr>
        <w:t xml:space="preserve">Specify tvpe: </w:t>
      </w:r>
      <w:r>
        <w:rPr>
          <w:w w:val="105"/>
          <w:sz w:val="16"/>
        </w:rPr>
        <w:t>Exclusive Type/ Nonexclusive Type</w:t>
      </w:r>
    </w:p>
    <w:p w:rsidR="00E675F0" w:rsidRDefault="00E675F0" w:rsidP="00E675F0">
      <w:pPr>
        <w:pStyle w:val="BodyText"/>
        <w:spacing w:before="6"/>
        <w:rPr>
          <w:sz w:val="22"/>
        </w:rPr>
      </w:pPr>
      <w:r>
        <w:br w:type="column"/>
      </w:r>
    </w:p>
    <w:p w:rsidR="00E675F0" w:rsidRDefault="00E675F0" w:rsidP="00E675F0">
      <w:pPr>
        <w:spacing w:before="1"/>
        <w:ind w:left="343"/>
        <w:rPr>
          <w:sz w:val="19"/>
        </w:rPr>
      </w:pPr>
      <w:r>
        <w:rPr>
          <w:rFonts w:ascii="Arial"/>
          <w:b/>
          <w:color w:val="111111"/>
          <w:w w:val="105"/>
          <w:sz w:val="21"/>
        </w:rPr>
        <w:t>Eating Disorders</w:t>
      </w:r>
      <w:r>
        <w:rPr>
          <w:rFonts w:ascii="Arial"/>
          <w:b/>
          <w:color w:val="111111"/>
          <w:spacing w:val="40"/>
          <w:w w:val="105"/>
          <w:sz w:val="21"/>
        </w:rPr>
        <w:t xml:space="preserve"> </w:t>
      </w:r>
      <w:r>
        <w:rPr>
          <w:color w:val="4B4B4B"/>
          <w:w w:val="105"/>
          <w:sz w:val="19"/>
        </w:rPr>
        <w:t>(539)</w:t>
      </w:r>
    </w:p>
    <w:p w:rsidR="00E675F0" w:rsidRDefault="00E675F0" w:rsidP="00E675F0">
      <w:pPr>
        <w:tabs>
          <w:tab w:val="left" w:pos="891"/>
        </w:tabs>
        <w:spacing w:before="181" w:line="247" w:lineRule="auto"/>
        <w:ind w:left="894" w:right="774" w:hanging="727"/>
        <w:rPr>
          <w:sz w:val="16"/>
        </w:rPr>
      </w:pPr>
      <w:r>
        <w:rPr>
          <w:w w:val="105"/>
          <w:sz w:val="19"/>
        </w:rPr>
        <w:t>307.1</w:t>
      </w:r>
      <w:r>
        <w:rPr>
          <w:w w:val="105"/>
          <w:sz w:val="19"/>
        </w:rPr>
        <w:tab/>
        <w:t xml:space="preserve">Anorexia Nervosa (539) </w:t>
      </w:r>
      <w:r>
        <w:rPr>
          <w:i/>
          <w:w w:val="105"/>
          <w:sz w:val="15"/>
        </w:rPr>
        <w:t xml:space="preserve">Specify type: </w:t>
      </w:r>
      <w:r>
        <w:rPr>
          <w:w w:val="105"/>
          <w:sz w:val="16"/>
        </w:rPr>
        <w:t>Restricting Type; Binge-Eating/Purging</w:t>
      </w:r>
      <w:r>
        <w:rPr>
          <w:spacing w:val="-15"/>
          <w:w w:val="105"/>
          <w:sz w:val="16"/>
        </w:rPr>
        <w:t xml:space="preserve"> </w:t>
      </w:r>
      <w:r>
        <w:rPr>
          <w:w w:val="105"/>
          <w:sz w:val="16"/>
        </w:rPr>
        <w:t>Type</w:t>
      </w:r>
    </w:p>
    <w:p w:rsidR="00E675F0" w:rsidRDefault="00E675F0" w:rsidP="00E675F0">
      <w:pPr>
        <w:spacing w:before="26" w:line="247" w:lineRule="auto"/>
        <w:ind w:left="899" w:right="929" w:hanging="732"/>
        <w:jc w:val="both"/>
        <w:rPr>
          <w:sz w:val="16"/>
        </w:rPr>
      </w:pPr>
      <w:r>
        <w:rPr>
          <w:w w:val="105"/>
          <w:sz w:val="19"/>
        </w:rPr>
        <w:t xml:space="preserve">307.51 Bulimia Nervosa (545) </w:t>
      </w:r>
      <w:r>
        <w:rPr>
          <w:i/>
          <w:w w:val="105"/>
          <w:sz w:val="15"/>
        </w:rPr>
        <w:t xml:space="preserve">Specify type: </w:t>
      </w:r>
      <w:r>
        <w:rPr>
          <w:w w:val="105"/>
          <w:sz w:val="16"/>
        </w:rPr>
        <w:t>Purging Type/ Nonpurging Type</w:t>
      </w:r>
    </w:p>
    <w:p w:rsidR="00E675F0" w:rsidRDefault="00E675F0" w:rsidP="00E675F0">
      <w:pPr>
        <w:spacing w:before="26"/>
        <w:ind w:left="168"/>
        <w:jc w:val="both"/>
        <w:rPr>
          <w:sz w:val="19"/>
        </w:rPr>
      </w:pPr>
      <w:r>
        <w:rPr>
          <w:w w:val="105"/>
          <w:sz w:val="19"/>
        </w:rPr>
        <w:t>307.50 Eating Disorder NOS (550)</w:t>
      </w:r>
    </w:p>
    <w:p w:rsidR="00E675F0" w:rsidRDefault="00E675F0" w:rsidP="00E675F0">
      <w:pPr>
        <w:pStyle w:val="BodyText"/>
      </w:pPr>
    </w:p>
    <w:p w:rsidR="00E675F0" w:rsidRDefault="00E675F0" w:rsidP="00E675F0">
      <w:pPr>
        <w:pStyle w:val="BodyText"/>
        <w:spacing w:before="8"/>
      </w:pPr>
    </w:p>
    <w:p w:rsidR="00E675F0" w:rsidRDefault="00E675F0" w:rsidP="00E675F0">
      <w:pPr>
        <w:ind w:left="341"/>
        <w:rPr>
          <w:sz w:val="19"/>
        </w:rPr>
      </w:pPr>
      <w:r>
        <w:rPr>
          <w:rFonts w:ascii="Arial"/>
          <w:b/>
          <w:color w:val="111111"/>
          <w:w w:val="110"/>
          <w:sz w:val="21"/>
        </w:rPr>
        <w:t xml:space="preserve">Sleep Disorders </w:t>
      </w:r>
      <w:r>
        <w:rPr>
          <w:color w:val="4B4B4B"/>
          <w:w w:val="110"/>
          <w:sz w:val="19"/>
        </w:rPr>
        <w:t>(551)</w:t>
      </w:r>
    </w:p>
    <w:p w:rsidR="00E675F0" w:rsidRDefault="00E675F0" w:rsidP="00E675F0">
      <w:pPr>
        <w:pStyle w:val="BodyText"/>
        <w:spacing w:before="1"/>
        <w:rPr>
          <w:sz w:val="22"/>
        </w:rPr>
      </w:pPr>
    </w:p>
    <w:p w:rsidR="00E675F0" w:rsidRDefault="00E675F0" w:rsidP="00E675F0">
      <w:pPr>
        <w:ind w:left="166"/>
        <w:rPr>
          <w:sz w:val="19"/>
        </w:rPr>
      </w:pPr>
      <w:r>
        <w:rPr>
          <w:b/>
          <w:w w:val="105"/>
          <w:sz w:val="18"/>
        </w:rPr>
        <w:t xml:space="preserve">PRIMARY SLEEP DISORDERS </w:t>
      </w:r>
      <w:r>
        <w:rPr>
          <w:w w:val="105"/>
          <w:sz w:val="19"/>
        </w:rPr>
        <w:t>(553)</w:t>
      </w:r>
    </w:p>
    <w:p w:rsidR="00E675F0" w:rsidRDefault="00E675F0" w:rsidP="00E675F0">
      <w:pPr>
        <w:spacing w:before="99"/>
        <w:ind w:left="168"/>
        <w:rPr>
          <w:sz w:val="19"/>
        </w:rPr>
      </w:pPr>
      <w:r>
        <w:rPr>
          <w:noProof/>
        </w:rPr>
        <mc:AlternateContent>
          <mc:Choice Requires="wps">
            <w:drawing>
              <wp:anchor distT="0" distB="0" distL="114300" distR="114300" simplePos="0" relativeHeight="251673600" behindDoc="0" locked="0" layoutInCell="1" allowOverlap="1" wp14:anchorId="689F83F7" wp14:editId="4A968A13">
                <wp:simplePos x="0" y="0"/>
                <wp:positionH relativeFrom="page">
                  <wp:posOffset>2923540</wp:posOffset>
                </wp:positionH>
                <wp:positionV relativeFrom="paragraph">
                  <wp:posOffset>217170</wp:posOffset>
                </wp:positionV>
                <wp:extent cx="2118995" cy="1696720"/>
                <wp:effectExtent l="0" t="0" r="0" b="0"/>
                <wp:wrapNone/>
                <wp:docPr id="1691" name="Text Box 1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18995" cy="169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692"/>
                              <w:gridCol w:w="2644"/>
                            </w:tblGrid>
                            <w:tr w:rsidR="00E675F0">
                              <w:trPr>
                                <w:trHeight w:val="225"/>
                              </w:trPr>
                              <w:tc>
                                <w:tcPr>
                                  <w:tcW w:w="692" w:type="dxa"/>
                                </w:tcPr>
                                <w:p w:rsidR="00E675F0" w:rsidRDefault="00E675F0">
                                  <w:pPr>
                                    <w:pStyle w:val="TableParagraph"/>
                                    <w:spacing w:line="206" w:lineRule="exact"/>
                                    <w:ind w:left="59"/>
                                    <w:rPr>
                                      <w:sz w:val="19"/>
                                    </w:rPr>
                                  </w:pPr>
                                  <w:r>
                                    <w:rPr>
                                      <w:w w:val="105"/>
                                      <w:sz w:val="19"/>
                                    </w:rPr>
                                    <w:t>307.42</w:t>
                                  </w:r>
                                </w:p>
                              </w:tc>
                              <w:tc>
                                <w:tcPr>
                                  <w:tcW w:w="2644" w:type="dxa"/>
                                </w:tcPr>
                                <w:p w:rsidR="00E675F0" w:rsidRDefault="00E675F0">
                                  <w:pPr>
                                    <w:pStyle w:val="TableParagraph"/>
                                    <w:spacing w:line="206" w:lineRule="exact"/>
                                    <w:ind w:left="88"/>
                                    <w:rPr>
                                      <w:sz w:val="19"/>
                                    </w:rPr>
                                  </w:pPr>
                                  <w:r>
                                    <w:rPr>
                                      <w:w w:val="110"/>
                                      <w:sz w:val="19"/>
                                    </w:rPr>
                                    <w:t>Primary Insomnia (553)</w:t>
                                  </w:r>
                                </w:p>
                              </w:tc>
                            </w:tr>
                            <w:tr w:rsidR="00E675F0">
                              <w:trPr>
                                <w:trHeight w:val="424"/>
                              </w:trPr>
                              <w:tc>
                                <w:tcPr>
                                  <w:tcW w:w="692" w:type="dxa"/>
                                </w:tcPr>
                                <w:p w:rsidR="00E675F0" w:rsidRDefault="00E675F0">
                                  <w:pPr>
                                    <w:pStyle w:val="TableParagraph"/>
                                    <w:spacing w:before="7"/>
                                    <w:ind w:left="54"/>
                                    <w:rPr>
                                      <w:sz w:val="19"/>
                                    </w:rPr>
                                  </w:pPr>
                                  <w:r>
                                    <w:rPr>
                                      <w:w w:val="105"/>
                                      <w:sz w:val="19"/>
                                    </w:rPr>
                                    <w:t>307.44</w:t>
                                  </w:r>
                                </w:p>
                              </w:tc>
                              <w:tc>
                                <w:tcPr>
                                  <w:tcW w:w="2644" w:type="dxa"/>
                                </w:tcPr>
                                <w:p w:rsidR="00E675F0" w:rsidRDefault="00E675F0">
                                  <w:pPr>
                                    <w:pStyle w:val="TableParagraph"/>
                                    <w:spacing w:before="7" w:line="217" w:lineRule="exact"/>
                                    <w:ind w:left="88"/>
                                    <w:rPr>
                                      <w:sz w:val="19"/>
                                    </w:rPr>
                                  </w:pPr>
                                  <w:r>
                                    <w:rPr>
                                      <w:w w:val="110"/>
                                      <w:sz w:val="19"/>
                                    </w:rPr>
                                    <w:t>Primary Hypersomnia (557)</w:t>
                                  </w:r>
                                </w:p>
                                <w:p w:rsidR="00E675F0" w:rsidRDefault="00E675F0">
                                  <w:pPr>
                                    <w:pStyle w:val="TableParagraph"/>
                                    <w:spacing w:line="181" w:lineRule="exact"/>
                                    <w:ind w:left="99"/>
                                    <w:rPr>
                                      <w:sz w:val="16"/>
                                    </w:rPr>
                                  </w:pPr>
                                  <w:r>
                                    <w:rPr>
                                      <w:i/>
                                      <w:sz w:val="15"/>
                                    </w:rPr>
                                    <w:t xml:space="preserve">Specify </w:t>
                                  </w:r>
                                  <w:r>
                                    <w:rPr>
                                      <w:i/>
                                      <w:sz w:val="16"/>
                                    </w:rPr>
                                    <w:t xml:space="preserve">if: </w:t>
                                  </w:r>
                                  <w:r>
                                    <w:rPr>
                                      <w:sz w:val="16"/>
                                    </w:rPr>
                                    <w:t>Recurrent</w:t>
                                  </w:r>
                                </w:p>
                              </w:tc>
                            </w:tr>
                            <w:tr w:rsidR="00E675F0">
                              <w:trPr>
                                <w:trHeight w:val="245"/>
                              </w:trPr>
                              <w:tc>
                                <w:tcPr>
                                  <w:tcW w:w="692" w:type="dxa"/>
                                </w:tcPr>
                                <w:p w:rsidR="00E675F0" w:rsidRDefault="00E675F0">
                                  <w:pPr>
                                    <w:pStyle w:val="TableParagraph"/>
                                    <w:spacing w:before="10" w:line="216" w:lineRule="exact"/>
                                    <w:ind w:left="54"/>
                                    <w:rPr>
                                      <w:sz w:val="19"/>
                                    </w:rPr>
                                  </w:pPr>
                                  <w:r>
                                    <w:rPr>
                                      <w:w w:val="105"/>
                                      <w:sz w:val="19"/>
                                    </w:rPr>
                                    <w:t>347</w:t>
                                  </w:r>
                                </w:p>
                              </w:tc>
                              <w:tc>
                                <w:tcPr>
                                  <w:tcW w:w="2644" w:type="dxa"/>
                                </w:tcPr>
                                <w:p w:rsidR="00E675F0" w:rsidRDefault="00E675F0">
                                  <w:pPr>
                                    <w:pStyle w:val="TableParagraph"/>
                                    <w:spacing w:before="10" w:line="216" w:lineRule="exact"/>
                                    <w:ind w:left="93"/>
                                    <w:rPr>
                                      <w:sz w:val="19"/>
                                    </w:rPr>
                                  </w:pPr>
                                  <w:r>
                                    <w:rPr>
                                      <w:w w:val="110"/>
                                      <w:sz w:val="19"/>
                                    </w:rPr>
                                    <w:t>Narcolepsy (562)</w:t>
                                  </w:r>
                                </w:p>
                              </w:tc>
                            </w:tr>
                            <w:tr w:rsidR="00E675F0">
                              <w:trPr>
                                <w:trHeight w:val="240"/>
                              </w:trPr>
                              <w:tc>
                                <w:tcPr>
                                  <w:tcW w:w="692" w:type="dxa"/>
                                </w:tcPr>
                                <w:p w:rsidR="00E675F0" w:rsidRDefault="00E675F0">
                                  <w:pPr>
                                    <w:pStyle w:val="TableParagraph"/>
                                    <w:spacing w:before="9" w:line="211" w:lineRule="exact"/>
                                    <w:ind w:left="50"/>
                                    <w:rPr>
                                      <w:sz w:val="19"/>
                                    </w:rPr>
                                  </w:pPr>
                                  <w:r>
                                    <w:rPr>
                                      <w:w w:val="105"/>
                                      <w:sz w:val="19"/>
                                    </w:rPr>
                                    <w:t>780.59</w:t>
                                  </w:r>
                                </w:p>
                              </w:tc>
                              <w:tc>
                                <w:tcPr>
                                  <w:tcW w:w="2644" w:type="dxa"/>
                                </w:tcPr>
                                <w:p w:rsidR="00E675F0" w:rsidRDefault="00E675F0">
                                  <w:pPr>
                                    <w:pStyle w:val="TableParagraph"/>
                                    <w:spacing w:before="9" w:line="211" w:lineRule="exact"/>
                                    <w:ind w:left="88"/>
                                    <w:rPr>
                                      <w:sz w:val="19"/>
                                    </w:rPr>
                                  </w:pPr>
                                  <w:r>
                                    <w:rPr>
                                      <w:w w:val="110"/>
                                      <w:sz w:val="19"/>
                                    </w:rPr>
                                    <w:t>Breathing-Related Sleep</w:t>
                                  </w:r>
                                </w:p>
                              </w:tc>
                            </w:tr>
                            <w:tr w:rsidR="00E675F0">
                              <w:trPr>
                                <w:trHeight w:val="240"/>
                              </w:trPr>
                              <w:tc>
                                <w:tcPr>
                                  <w:tcW w:w="692" w:type="dxa"/>
                                </w:tcPr>
                                <w:p w:rsidR="00E675F0" w:rsidRDefault="00E675F0">
                                  <w:pPr>
                                    <w:pStyle w:val="TableParagraph"/>
                                    <w:rPr>
                                      <w:sz w:val="16"/>
                                    </w:rPr>
                                  </w:pPr>
                                </w:p>
                              </w:tc>
                              <w:tc>
                                <w:tcPr>
                                  <w:tcW w:w="2644" w:type="dxa"/>
                                </w:tcPr>
                                <w:p w:rsidR="00E675F0" w:rsidRDefault="00E675F0">
                                  <w:pPr>
                                    <w:pStyle w:val="TableParagraph"/>
                                    <w:spacing w:before="4" w:line="216" w:lineRule="exact"/>
                                    <w:ind w:left="88"/>
                                    <w:rPr>
                                      <w:sz w:val="19"/>
                                    </w:rPr>
                                  </w:pPr>
                                  <w:r>
                                    <w:rPr>
                                      <w:w w:val="110"/>
                                      <w:sz w:val="19"/>
                                    </w:rPr>
                                    <w:t>Disorder (567)</w:t>
                                  </w:r>
                                </w:p>
                              </w:tc>
                            </w:tr>
                            <w:tr w:rsidR="00E675F0">
                              <w:trPr>
                                <w:trHeight w:val="240"/>
                              </w:trPr>
                              <w:tc>
                                <w:tcPr>
                                  <w:tcW w:w="692" w:type="dxa"/>
                                </w:tcPr>
                                <w:p w:rsidR="00E675F0" w:rsidRDefault="00E675F0">
                                  <w:pPr>
                                    <w:pStyle w:val="TableParagraph"/>
                                    <w:spacing w:before="9" w:line="211" w:lineRule="exact"/>
                                    <w:ind w:left="54"/>
                                    <w:rPr>
                                      <w:sz w:val="19"/>
                                    </w:rPr>
                                  </w:pPr>
                                  <w:r>
                                    <w:rPr>
                                      <w:w w:val="105"/>
                                      <w:sz w:val="19"/>
                                    </w:rPr>
                                    <w:t>307.45</w:t>
                                  </w:r>
                                </w:p>
                              </w:tc>
                              <w:tc>
                                <w:tcPr>
                                  <w:tcW w:w="2644" w:type="dxa"/>
                                </w:tcPr>
                                <w:p w:rsidR="00E675F0" w:rsidRDefault="00E675F0">
                                  <w:pPr>
                                    <w:pStyle w:val="TableParagraph"/>
                                    <w:spacing w:before="9" w:line="211" w:lineRule="exact"/>
                                    <w:ind w:left="84"/>
                                    <w:rPr>
                                      <w:sz w:val="19"/>
                                    </w:rPr>
                                  </w:pPr>
                                  <w:r>
                                    <w:rPr>
                                      <w:w w:val="110"/>
                                      <w:sz w:val="19"/>
                                    </w:rPr>
                                    <w:t>Circadian Rhythm Sleep</w:t>
                                  </w:r>
                                </w:p>
                              </w:tc>
                            </w:tr>
                            <w:tr w:rsidR="00E675F0">
                              <w:trPr>
                                <w:trHeight w:val="229"/>
                              </w:trPr>
                              <w:tc>
                                <w:tcPr>
                                  <w:tcW w:w="692" w:type="dxa"/>
                                </w:tcPr>
                                <w:p w:rsidR="00E675F0" w:rsidRDefault="00E675F0">
                                  <w:pPr>
                                    <w:pStyle w:val="TableParagraph"/>
                                    <w:rPr>
                                      <w:sz w:val="16"/>
                                    </w:rPr>
                                  </w:pPr>
                                </w:p>
                              </w:tc>
                              <w:tc>
                                <w:tcPr>
                                  <w:tcW w:w="2644" w:type="dxa"/>
                                </w:tcPr>
                                <w:p w:rsidR="00E675F0" w:rsidRDefault="00E675F0">
                                  <w:pPr>
                                    <w:pStyle w:val="TableParagraph"/>
                                    <w:spacing w:before="4" w:line="205" w:lineRule="exact"/>
                                    <w:ind w:left="88"/>
                                    <w:rPr>
                                      <w:sz w:val="19"/>
                                    </w:rPr>
                                  </w:pPr>
                                  <w:r>
                                    <w:rPr>
                                      <w:w w:val="110"/>
                                      <w:sz w:val="19"/>
                                    </w:rPr>
                                    <w:t>Disorder (573)</w:t>
                                  </w:r>
                                </w:p>
                              </w:tc>
                            </w:tr>
                            <w:tr w:rsidR="00E675F0">
                              <w:trPr>
                                <w:trHeight w:val="193"/>
                              </w:trPr>
                              <w:tc>
                                <w:tcPr>
                                  <w:tcW w:w="692" w:type="dxa"/>
                                </w:tcPr>
                                <w:p w:rsidR="00E675F0" w:rsidRDefault="00E675F0">
                                  <w:pPr>
                                    <w:pStyle w:val="TableParagraph"/>
                                    <w:rPr>
                                      <w:sz w:val="12"/>
                                    </w:rPr>
                                  </w:pPr>
                                </w:p>
                              </w:tc>
                              <w:tc>
                                <w:tcPr>
                                  <w:tcW w:w="2644" w:type="dxa"/>
                                </w:tcPr>
                                <w:p w:rsidR="00E675F0" w:rsidRDefault="00E675F0">
                                  <w:pPr>
                                    <w:pStyle w:val="TableParagraph"/>
                                    <w:spacing w:line="174" w:lineRule="exact"/>
                                    <w:ind w:left="95"/>
                                    <w:rPr>
                                      <w:sz w:val="16"/>
                                    </w:rPr>
                                  </w:pPr>
                                  <w:r>
                                    <w:rPr>
                                      <w:i/>
                                      <w:w w:val="105"/>
                                      <w:sz w:val="15"/>
                                    </w:rPr>
                                    <w:t xml:space="preserve">Specify type: </w:t>
                                  </w:r>
                                  <w:r>
                                    <w:rPr>
                                      <w:w w:val="105"/>
                                      <w:sz w:val="16"/>
                                    </w:rPr>
                                    <w:t>Delayed Sleep Phase</w:t>
                                  </w:r>
                                </w:p>
                              </w:tc>
                            </w:tr>
                            <w:tr w:rsidR="00E675F0">
                              <w:trPr>
                                <w:trHeight w:val="192"/>
                              </w:trPr>
                              <w:tc>
                                <w:tcPr>
                                  <w:tcW w:w="692" w:type="dxa"/>
                                </w:tcPr>
                                <w:p w:rsidR="00E675F0" w:rsidRDefault="00E675F0">
                                  <w:pPr>
                                    <w:pStyle w:val="TableParagraph"/>
                                    <w:rPr>
                                      <w:sz w:val="12"/>
                                    </w:rPr>
                                  </w:pPr>
                                </w:p>
                              </w:tc>
                              <w:tc>
                                <w:tcPr>
                                  <w:tcW w:w="2644" w:type="dxa"/>
                                </w:tcPr>
                                <w:p w:rsidR="00E675F0" w:rsidRDefault="00E675F0">
                                  <w:pPr>
                                    <w:pStyle w:val="TableParagraph"/>
                                    <w:spacing w:before="3" w:line="169" w:lineRule="exact"/>
                                    <w:ind w:left="81"/>
                                    <w:rPr>
                                      <w:sz w:val="16"/>
                                    </w:rPr>
                                  </w:pPr>
                                  <w:r>
                                    <w:rPr>
                                      <w:w w:val="105"/>
                                      <w:sz w:val="16"/>
                                    </w:rPr>
                                    <w:t>Type/Jet Lag Type/Shift Work Type/</w:t>
                                  </w:r>
                                </w:p>
                              </w:tc>
                            </w:tr>
                            <w:tr w:rsidR="00E675F0">
                              <w:trPr>
                                <w:trHeight w:val="205"/>
                              </w:trPr>
                              <w:tc>
                                <w:tcPr>
                                  <w:tcW w:w="692" w:type="dxa"/>
                                </w:tcPr>
                                <w:p w:rsidR="00E675F0" w:rsidRDefault="00E675F0">
                                  <w:pPr>
                                    <w:pStyle w:val="TableParagraph"/>
                                    <w:rPr>
                                      <w:sz w:val="14"/>
                                    </w:rPr>
                                  </w:pPr>
                                </w:p>
                              </w:tc>
                              <w:tc>
                                <w:tcPr>
                                  <w:tcW w:w="2644" w:type="dxa"/>
                                </w:tcPr>
                                <w:p w:rsidR="00E675F0" w:rsidRDefault="00E675F0">
                                  <w:pPr>
                                    <w:pStyle w:val="TableParagraph"/>
                                    <w:spacing w:line="182" w:lineRule="exact"/>
                                    <w:ind w:left="90"/>
                                    <w:rPr>
                                      <w:sz w:val="16"/>
                                    </w:rPr>
                                  </w:pPr>
                                  <w:r>
                                    <w:rPr>
                                      <w:w w:val="105"/>
                                      <w:sz w:val="16"/>
                                    </w:rPr>
                                    <w:t>Unspecified Type</w:t>
                                  </w:r>
                                </w:p>
                              </w:tc>
                            </w:tr>
                            <w:tr w:rsidR="00E675F0">
                              <w:trPr>
                                <w:trHeight w:val="233"/>
                              </w:trPr>
                              <w:tc>
                                <w:tcPr>
                                  <w:tcW w:w="692" w:type="dxa"/>
                                </w:tcPr>
                                <w:p w:rsidR="00E675F0" w:rsidRDefault="00E675F0">
                                  <w:pPr>
                                    <w:pStyle w:val="TableParagraph"/>
                                    <w:spacing w:before="15" w:line="199" w:lineRule="exact"/>
                                    <w:ind w:left="54"/>
                                    <w:rPr>
                                      <w:sz w:val="19"/>
                                    </w:rPr>
                                  </w:pPr>
                                  <w:r>
                                    <w:rPr>
                                      <w:w w:val="105"/>
                                      <w:sz w:val="19"/>
                                    </w:rPr>
                                    <w:t>307.47</w:t>
                                  </w:r>
                                </w:p>
                              </w:tc>
                              <w:tc>
                                <w:tcPr>
                                  <w:tcW w:w="2644" w:type="dxa"/>
                                </w:tcPr>
                                <w:p w:rsidR="00E675F0" w:rsidRDefault="00E675F0">
                                  <w:pPr>
                                    <w:pStyle w:val="TableParagraph"/>
                                    <w:spacing w:before="15" w:line="199" w:lineRule="exact"/>
                                    <w:ind w:left="88"/>
                                    <w:rPr>
                                      <w:sz w:val="19"/>
                                    </w:rPr>
                                  </w:pPr>
                                  <w:r>
                                    <w:rPr>
                                      <w:w w:val="105"/>
                                      <w:sz w:val="19"/>
                                    </w:rPr>
                                    <w:t>Dyssomnia NOS (579)</w:t>
                                  </w:r>
                                </w:p>
                              </w:tc>
                            </w:tr>
                          </w:tbl>
                          <w:p w:rsidR="00E675F0" w:rsidRDefault="00E675F0" w:rsidP="00E675F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F83F7" id="Text Box 1647" o:spid="_x0000_s1050" type="#_x0000_t202" style="position:absolute;left:0;text-align:left;margin-left:230.2pt;margin-top:17.1pt;width:166.85pt;height:133.6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" filled="f" stroked="f">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692"/>
                        <w:gridCol w:w="2644"/>
                      </w:tblGrid>
                      <w:tr w:rsidR="00E675F0">
                        <w:trPr>
                          <w:trHeight w:val="225"/>
                        </w:trPr>
                        <w:tc>
                          <w:tcPr>
                            <w:tcW w:w="692" w:type="dxa"/>
                          </w:tcPr>
                          <w:p w:rsidR="00E675F0" w:rsidRDefault="00E675F0">
                            <w:pPr>
                              <w:pStyle w:val="TableParagraph"/>
                              <w:spacing w:line="206" w:lineRule="exact"/>
                              <w:ind w:left="59"/>
                              <w:rPr>
                                <w:sz w:val="19"/>
                              </w:rPr>
                            </w:pPr>
                            <w:r>
                              <w:rPr>
                                <w:w w:val="105"/>
                                <w:sz w:val="19"/>
                              </w:rPr>
                              <w:t>307.42</w:t>
                            </w:r>
                          </w:p>
                        </w:tc>
                        <w:tc>
                          <w:tcPr>
                            <w:tcW w:w="2644" w:type="dxa"/>
                          </w:tcPr>
                          <w:p w:rsidR="00E675F0" w:rsidRDefault="00E675F0">
                            <w:pPr>
                              <w:pStyle w:val="TableParagraph"/>
                              <w:spacing w:line="206" w:lineRule="exact"/>
                              <w:ind w:left="88"/>
                              <w:rPr>
                                <w:sz w:val="19"/>
                              </w:rPr>
                            </w:pPr>
                            <w:r>
                              <w:rPr>
                                <w:w w:val="110"/>
                                <w:sz w:val="19"/>
                              </w:rPr>
                              <w:t>Primary Insomnia (553)</w:t>
                            </w:r>
                          </w:p>
                        </w:tc>
                      </w:tr>
                      <w:tr w:rsidR="00E675F0">
                        <w:trPr>
                          <w:trHeight w:val="424"/>
                        </w:trPr>
                        <w:tc>
                          <w:tcPr>
                            <w:tcW w:w="692" w:type="dxa"/>
                          </w:tcPr>
                          <w:p w:rsidR="00E675F0" w:rsidRDefault="00E675F0">
                            <w:pPr>
                              <w:pStyle w:val="TableParagraph"/>
                              <w:spacing w:before="7"/>
                              <w:ind w:left="54"/>
                              <w:rPr>
                                <w:sz w:val="19"/>
                              </w:rPr>
                            </w:pPr>
                            <w:r>
                              <w:rPr>
                                <w:w w:val="105"/>
                                <w:sz w:val="19"/>
                              </w:rPr>
                              <w:t>307.44</w:t>
                            </w:r>
                          </w:p>
                        </w:tc>
                        <w:tc>
                          <w:tcPr>
                            <w:tcW w:w="2644" w:type="dxa"/>
                          </w:tcPr>
                          <w:p w:rsidR="00E675F0" w:rsidRDefault="00E675F0">
                            <w:pPr>
                              <w:pStyle w:val="TableParagraph"/>
                              <w:spacing w:before="7" w:line="217" w:lineRule="exact"/>
                              <w:ind w:left="88"/>
                              <w:rPr>
                                <w:sz w:val="19"/>
                              </w:rPr>
                            </w:pPr>
                            <w:r>
                              <w:rPr>
                                <w:w w:val="110"/>
                                <w:sz w:val="19"/>
                              </w:rPr>
                              <w:t>Primary Hypersomnia (557)</w:t>
                            </w:r>
                          </w:p>
                          <w:p w:rsidR="00E675F0" w:rsidRDefault="00E675F0">
                            <w:pPr>
                              <w:pStyle w:val="TableParagraph"/>
                              <w:spacing w:line="181" w:lineRule="exact"/>
                              <w:ind w:left="99"/>
                              <w:rPr>
                                <w:sz w:val="16"/>
                              </w:rPr>
                            </w:pPr>
                            <w:r>
                              <w:rPr>
                                <w:i/>
                                <w:sz w:val="15"/>
                              </w:rPr>
                              <w:t xml:space="preserve">Specify </w:t>
                            </w:r>
                            <w:r>
                              <w:rPr>
                                <w:i/>
                                <w:sz w:val="16"/>
                              </w:rPr>
                              <w:t xml:space="preserve">if: </w:t>
                            </w:r>
                            <w:r>
                              <w:rPr>
                                <w:sz w:val="16"/>
                              </w:rPr>
                              <w:t>Recurrent</w:t>
                            </w:r>
                          </w:p>
                        </w:tc>
                      </w:tr>
                      <w:tr w:rsidR="00E675F0">
                        <w:trPr>
                          <w:trHeight w:val="245"/>
                        </w:trPr>
                        <w:tc>
                          <w:tcPr>
                            <w:tcW w:w="692" w:type="dxa"/>
                          </w:tcPr>
                          <w:p w:rsidR="00E675F0" w:rsidRDefault="00E675F0">
                            <w:pPr>
                              <w:pStyle w:val="TableParagraph"/>
                              <w:spacing w:before="10" w:line="216" w:lineRule="exact"/>
                              <w:ind w:left="54"/>
                              <w:rPr>
                                <w:sz w:val="19"/>
                              </w:rPr>
                            </w:pPr>
                            <w:r>
                              <w:rPr>
                                <w:w w:val="105"/>
                                <w:sz w:val="19"/>
                              </w:rPr>
                              <w:t>347</w:t>
                            </w:r>
                          </w:p>
                        </w:tc>
                        <w:tc>
                          <w:tcPr>
                            <w:tcW w:w="2644" w:type="dxa"/>
                          </w:tcPr>
                          <w:p w:rsidR="00E675F0" w:rsidRDefault="00E675F0">
                            <w:pPr>
                              <w:pStyle w:val="TableParagraph"/>
                              <w:spacing w:before="10" w:line="216" w:lineRule="exact"/>
                              <w:ind w:left="93"/>
                              <w:rPr>
                                <w:sz w:val="19"/>
                              </w:rPr>
                            </w:pPr>
                            <w:r>
                              <w:rPr>
                                <w:w w:val="110"/>
                                <w:sz w:val="19"/>
                              </w:rPr>
                              <w:t>Narcolepsy (562)</w:t>
                            </w:r>
                          </w:p>
                        </w:tc>
                      </w:tr>
                      <w:tr w:rsidR="00E675F0">
                        <w:trPr>
                          <w:trHeight w:val="240"/>
                        </w:trPr>
                        <w:tc>
                          <w:tcPr>
                            <w:tcW w:w="692" w:type="dxa"/>
                          </w:tcPr>
                          <w:p w:rsidR="00E675F0" w:rsidRDefault="00E675F0">
                            <w:pPr>
                              <w:pStyle w:val="TableParagraph"/>
                              <w:spacing w:before="9" w:line="211" w:lineRule="exact"/>
                              <w:ind w:left="50"/>
                              <w:rPr>
                                <w:sz w:val="19"/>
                              </w:rPr>
                            </w:pPr>
                            <w:r>
                              <w:rPr>
                                <w:w w:val="105"/>
                                <w:sz w:val="19"/>
                              </w:rPr>
                              <w:t>780.59</w:t>
                            </w:r>
                          </w:p>
                        </w:tc>
                        <w:tc>
                          <w:tcPr>
                            <w:tcW w:w="2644" w:type="dxa"/>
                          </w:tcPr>
                          <w:p w:rsidR="00E675F0" w:rsidRDefault="00E675F0">
                            <w:pPr>
                              <w:pStyle w:val="TableParagraph"/>
                              <w:spacing w:before="9" w:line="211" w:lineRule="exact"/>
                              <w:ind w:left="88"/>
                              <w:rPr>
                                <w:sz w:val="19"/>
                              </w:rPr>
                            </w:pPr>
                            <w:r>
                              <w:rPr>
                                <w:w w:val="110"/>
                                <w:sz w:val="19"/>
                              </w:rPr>
                              <w:t>Breathing-Related Sleep</w:t>
                            </w:r>
                          </w:p>
                        </w:tc>
                      </w:tr>
                      <w:tr w:rsidR="00E675F0">
                        <w:trPr>
                          <w:trHeight w:val="240"/>
                        </w:trPr>
                        <w:tc>
                          <w:tcPr>
                            <w:tcW w:w="692" w:type="dxa"/>
                          </w:tcPr>
                          <w:p w:rsidR="00E675F0" w:rsidRDefault="00E675F0">
                            <w:pPr>
                              <w:pStyle w:val="TableParagraph"/>
                              <w:rPr>
                                <w:sz w:val="16"/>
                              </w:rPr>
                            </w:pPr>
                          </w:p>
                        </w:tc>
                        <w:tc>
                          <w:tcPr>
                            <w:tcW w:w="2644" w:type="dxa"/>
                          </w:tcPr>
                          <w:p w:rsidR="00E675F0" w:rsidRDefault="00E675F0">
                            <w:pPr>
                              <w:pStyle w:val="TableParagraph"/>
                              <w:spacing w:before="4" w:line="216" w:lineRule="exact"/>
                              <w:ind w:left="88"/>
                              <w:rPr>
                                <w:sz w:val="19"/>
                              </w:rPr>
                            </w:pPr>
                            <w:r>
                              <w:rPr>
                                <w:w w:val="110"/>
                                <w:sz w:val="19"/>
                              </w:rPr>
                              <w:t>Disorder (567)</w:t>
                            </w:r>
                          </w:p>
                        </w:tc>
                      </w:tr>
                      <w:tr w:rsidR="00E675F0">
                        <w:trPr>
                          <w:trHeight w:val="240"/>
                        </w:trPr>
                        <w:tc>
                          <w:tcPr>
                            <w:tcW w:w="692" w:type="dxa"/>
                          </w:tcPr>
                          <w:p w:rsidR="00E675F0" w:rsidRDefault="00E675F0">
                            <w:pPr>
                              <w:pStyle w:val="TableParagraph"/>
                              <w:spacing w:before="9" w:line="211" w:lineRule="exact"/>
                              <w:ind w:left="54"/>
                              <w:rPr>
                                <w:sz w:val="19"/>
                              </w:rPr>
                            </w:pPr>
                            <w:r>
                              <w:rPr>
                                <w:w w:val="105"/>
                                <w:sz w:val="19"/>
                              </w:rPr>
                              <w:t>307.45</w:t>
                            </w:r>
                          </w:p>
                        </w:tc>
                        <w:tc>
                          <w:tcPr>
                            <w:tcW w:w="2644" w:type="dxa"/>
                          </w:tcPr>
                          <w:p w:rsidR="00E675F0" w:rsidRDefault="00E675F0">
                            <w:pPr>
                              <w:pStyle w:val="TableParagraph"/>
                              <w:spacing w:before="9" w:line="211" w:lineRule="exact"/>
                              <w:ind w:left="84"/>
                              <w:rPr>
                                <w:sz w:val="19"/>
                              </w:rPr>
                            </w:pPr>
                            <w:r>
                              <w:rPr>
                                <w:w w:val="110"/>
                                <w:sz w:val="19"/>
                              </w:rPr>
                              <w:t>Circadian Rhythm Sleep</w:t>
                            </w:r>
                          </w:p>
                        </w:tc>
                      </w:tr>
                      <w:tr w:rsidR="00E675F0">
                        <w:trPr>
                          <w:trHeight w:val="229"/>
                        </w:trPr>
                        <w:tc>
                          <w:tcPr>
                            <w:tcW w:w="692" w:type="dxa"/>
                          </w:tcPr>
                          <w:p w:rsidR="00E675F0" w:rsidRDefault="00E675F0">
                            <w:pPr>
                              <w:pStyle w:val="TableParagraph"/>
                              <w:rPr>
                                <w:sz w:val="16"/>
                              </w:rPr>
                            </w:pPr>
                          </w:p>
                        </w:tc>
                        <w:tc>
                          <w:tcPr>
                            <w:tcW w:w="2644" w:type="dxa"/>
                          </w:tcPr>
                          <w:p w:rsidR="00E675F0" w:rsidRDefault="00E675F0">
                            <w:pPr>
                              <w:pStyle w:val="TableParagraph"/>
                              <w:spacing w:before="4" w:line="205" w:lineRule="exact"/>
                              <w:ind w:left="88"/>
                              <w:rPr>
                                <w:sz w:val="19"/>
                              </w:rPr>
                            </w:pPr>
                            <w:r>
                              <w:rPr>
                                <w:w w:val="110"/>
                                <w:sz w:val="19"/>
                              </w:rPr>
                              <w:t>Disorder (573)</w:t>
                            </w:r>
                          </w:p>
                        </w:tc>
                      </w:tr>
                      <w:tr w:rsidR="00E675F0">
                        <w:trPr>
                          <w:trHeight w:val="193"/>
                        </w:trPr>
                        <w:tc>
                          <w:tcPr>
                            <w:tcW w:w="692" w:type="dxa"/>
                          </w:tcPr>
                          <w:p w:rsidR="00E675F0" w:rsidRDefault="00E675F0">
                            <w:pPr>
                              <w:pStyle w:val="TableParagraph"/>
                              <w:rPr>
                                <w:sz w:val="12"/>
                              </w:rPr>
                            </w:pPr>
                          </w:p>
                        </w:tc>
                        <w:tc>
                          <w:tcPr>
                            <w:tcW w:w="2644" w:type="dxa"/>
                          </w:tcPr>
                          <w:p w:rsidR="00E675F0" w:rsidRDefault="00E675F0">
                            <w:pPr>
                              <w:pStyle w:val="TableParagraph"/>
                              <w:spacing w:line="174" w:lineRule="exact"/>
                              <w:ind w:left="95"/>
                              <w:rPr>
                                <w:sz w:val="16"/>
                              </w:rPr>
                            </w:pPr>
                            <w:r>
                              <w:rPr>
                                <w:i/>
                                <w:w w:val="105"/>
                                <w:sz w:val="15"/>
                              </w:rPr>
                              <w:t xml:space="preserve">Specify type: </w:t>
                            </w:r>
                            <w:r>
                              <w:rPr>
                                <w:w w:val="105"/>
                                <w:sz w:val="16"/>
                              </w:rPr>
                              <w:t>Delayed Sleep Phase</w:t>
                            </w:r>
                          </w:p>
                        </w:tc>
                      </w:tr>
                      <w:tr w:rsidR="00E675F0">
                        <w:trPr>
                          <w:trHeight w:val="192"/>
                        </w:trPr>
                        <w:tc>
                          <w:tcPr>
                            <w:tcW w:w="692" w:type="dxa"/>
                          </w:tcPr>
                          <w:p w:rsidR="00E675F0" w:rsidRDefault="00E675F0">
                            <w:pPr>
                              <w:pStyle w:val="TableParagraph"/>
                              <w:rPr>
                                <w:sz w:val="12"/>
                              </w:rPr>
                            </w:pPr>
                          </w:p>
                        </w:tc>
                        <w:tc>
                          <w:tcPr>
                            <w:tcW w:w="2644" w:type="dxa"/>
                          </w:tcPr>
                          <w:p w:rsidR="00E675F0" w:rsidRDefault="00E675F0">
                            <w:pPr>
                              <w:pStyle w:val="TableParagraph"/>
                              <w:spacing w:before="3" w:line="169" w:lineRule="exact"/>
                              <w:ind w:left="81"/>
                              <w:rPr>
                                <w:sz w:val="16"/>
                              </w:rPr>
                            </w:pPr>
                            <w:r>
                              <w:rPr>
                                <w:w w:val="105"/>
                                <w:sz w:val="16"/>
                              </w:rPr>
                              <w:t>Type/Jet Lag Type/Shift Work Type/</w:t>
                            </w:r>
                          </w:p>
                        </w:tc>
                      </w:tr>
                      <w:tr w:rsidR="00E675F0">
                        <w:trPr>
                          <w:trHeight w:val="205"/>
                        </w:trPr>
                        <w:tc>
                          <w:tcPr>
                            <w:tcW w:w="692" w:type="dxa"/>
                          </w:tcPr>
                          <w:p w:rsidR="00E675F0" w:rsidRDefault="00E675F0">
                            <w:pPr>
                              <w:pStyle w:val="TableParagraph"/>
                              <w:rPr>
                                <w:sz w:val="14"/>
                              </w:rPr>
                            </w:pPr>
                          </w:p>
                        </w:tc>
                        <w:tc>
                          <w:tcPr>
                            <w:tcW w:w="2644" w:type="dxa"/>
                          </w:tcPr>
                          <w:p w:rsidR="00E675F0" w:rsidRDefault="00E675F0">
                            <w:pPr>
                              <w:pStyle w:val="TableParagraph"/>
                              <w:spacing w:line="182" w:lineRule="exact"/>
                              <w:ind w:left="90"/>
                              <w:rPr>
                                <w:sz w:val="16"/>
                              </w:rPr>
                            </w:pPr>
                            <w:r>
                              <w:rPr>
                                <w:w w:val="105"/>
                                <w:sz w:val="16"/>
                              </w:rPr>
                              <w:t>Unspecified Type</w:t>
                            </w:r>
                          </w:p>
                        </w:tc>
                      </w:tr>
                      <w:tr w:rsidR="00E675F0">
                        <w:trPr>
                          <w:trHeight w:val="233"/>
                        </w:trPr>
                        <w:tc>
                          <w:tcPr>
                            <w:tcW w:w="692" w:type="dxa"/>
                          </w:tcPr>
                          <w:p w:rsidR="00E675F0" w:rsidRDefault="00E675F0">
                            <w:pPr>
                              <w:pStyle w:val="TableParagraph"/>
                              <w:spacing w:before="15" w:line="199" w:lineRule="exact"/>
                              <w:ind w:left="54"/>
                              <w:rPr>
                                <w:sz w:val="19"/>
                              </w:rPr>
                            </w:pPr>
                            <w:r>
                              <w:rPr>
                                <w:w w:val="105"/>
                                <w:sz w:val="19"/>
                              </w:rPr>
                              <w:t>307.47</w:t>
                            </w:r>
                          </w:p>
                        </w:tc>
                        <w:tc>
                          <w:tcPr>
                            <w:tcW w:w="2644" w:type="dxa"/>
                          </w:tcPr>
                          <w:p w:rsidR="00E675F0" w:rsidRDefault="00E675F0">
                            <w:pPr>
                              <w:pStyle w:val="TableParagraph"/>
                              <w:spacing w:before="15" w:line="199" w:lineRule="exact"/>
                              <w:ind w:left="88"/>
                              <w:rPr>
                                <w:sz w:val="19"/>
                              </w:rPr>
                            </w:pPr>
                            <w:r>
                              <w:rPr>
                                <w:w w:val="105"/>
                                <w:sz w:val="19"/>
                              </w:rPr>
                              <w:t>Dyssomnia NOS (579)</w:t>
                            </w:r>
                          </w:p>
                        </w:tc>
                      </w:tr>
                    </w:tbl>
                    <w:p w:rsidR="00E675F0" w:rsidRDefault="00E675F0" w:rsidP="00E675F0">
                      <w:pPr>
                        <w:pStyle w:val="BodyText"/>
                      </w:pPr>
                    </w:p>
                  </w:txbxContent>
                </v:textbox>
                <w10:wrap anchorx="page"/>
              </v:shape>
            </w:pict>
          </mc:Fallback>
        </mc:AlternateContent>
      </w:r>
      <w:r>
        <w:rPr>
          <w:b/>
          <w:w w:val="115"/>
          <w:sz w:val="19"/>
        </w:rPr>
        <w:t xml:space="preserve">Dyssomnias </w:t>
      </w:r>
      <w:r>
        <w:rPr>
          <w:w w:val="115"/>
          <w:sz w:val="19"/>
        </w:rPr>
        <w:t>(553)</w:t>
      </w:r>
    </w:p>
    <w:p w:rsidR="00E675F0" w:rsidRDefault="00E675F0" w:rsidP="00E675F0">
      <w:pPr>
        <w:rPr>
          <w:sz w:val="19"/>
        </w:rPr>
        <w:sectPr w:rsidR="00E675F0">
          <w:type w:val="continuous"/>
          <w:pgSz w:w="8960" w:h="14260"/>
          <w:pgMar w:top="640" w:right="720" w:bottom="0" w:left="560" w:header="720" w:footer="720" w:gutter="0"/>
          <w:cols w:num="2" w:space="720" w:equalWidth="0">
            <w:col w:w="3707" w:space="223"/>
            <w:col w:w="3750"/>
          </w:cols>
        </w:sectPr>
      </w:pPr>
    </w:p>
    <w:p w:rsidR="00E675F0" w:rsidRDefault="00E675F0" w:rsidP="00E675F0">
      <w:pPr>
        <w:spacing w:before="32"/>
        <w:ind w:left="173"/>
        <w:rPr>
          <w:sz w:val="19"/>
        </w:rPr>
      </w:pPr>
      <w:r>
        <w:rPr>
          <w:w w:val="105"/>
          <w:sz w:val="19"/>
        </w:rPr>
        <w:t>302.83</w:t>
      </w:r>
    </w:p>
    <w:p w:rsidR="00E675F0" w:rsidRDefault="00E675F0" w:rsidP="00E675F0">
      <w:pPr>
        <w:spacing w:before="22"/>
        <w:ind w:left="177"/>
        <w:rPr>
          <w:sz w:val="19"/>
        </w:rPr>
      </w:pPr>
      <w:r>
        <w:rPr>
          <w:w w:val="105"/>
          <w:sz w:val="19"/>
        </w:rPr>
        <w:t>302.84</w:t>
      </w:r>
    </w:p>
    <w:p w:rsidR="00E675F0" w:rsidRDefault="00E675F0" w:rsidP="00E675F0">
      <w:pPr>
        <w:spacing w:before="31"/>
        <w:ind w:left="177"/>
        <w:rPr>
          <w:sz w:val="19"/>
        </w:rPr>
      </w:pPr>
      <w:r>
        <w:rPr>
          <w:w w:val="105"/>
          <w:sz w:val="19"/>
        </w:rPr>
        <w:t>302.3</w:t>
      </w:r>
    </w:p>
    <w:p w:rsidR="00E675F0" w:rsidRDefault="00E675F0" w:rsidP="00E675F0">
      <w:pPr>
        <w:pStyle w:val="BodyText"/>
        <w:spacing w:before="2"/>
        <w:rPr>
          <w:sz w:val="18"/>
        </w:rPr>
      </w:pPr>
    </w:p>
    <w:p w:rsidR="00E675F0" w:rsidRDefault="00E675F0" w:rsidP="00E675F0">
      <w:pPr>
        <w:spacing w:before="1"/>
        <w:ind w:left="173"/>
        <w:rPr>
          <w:sz w:val="19"/>
        </w:rPr>
      </w:pPr>
      <w:r>
        <w:rPr>
          <w:w w:val="105"/>
          <w:sz w:val="19"/>
        </w:rPr>
        <w:t>302.82</w:t>
      </w:r>
    </w:p>
    <w:p w:rsidR="00E675F0" w:rsidRDefault="00E675F0" w:rsidP="00E675F0">
      <w:pPr>
        <w:spacing w:before="31"/>
        <w:ind w:left="173"/>
        <w:rPr>
          <w:sz w:val="19"/>
        </w:rPr>
      </w:pPr>
      <w:r>
        <w:rPr>
          <w:w w:val="105"/>
          <w:sz w:val="19"/>
        </w:rPr>
        <w:t>302.9</w:t>
      </w:r>
    </w:p>
    <w:p w:rsidR="00E675F0" w:rsidRDefault="00E675F0" w:rsidP="00E675F0">
      <w:pPr>
        <w:spacing w:before="27"/>
        <w:ind w:left="116"/>
        <w:rPr>
          <w:sz w:val="19"/>
        </w:rPr>
      </w:pPr>
      <w:r>
        <w:br w:type="column"/>
      </w:r>
      <w:r>
        <w:rPr>
          <w:w w:val="110"/>
          <w:sz w:val="19"/>
        </w:rPr>
        <w:t>Sexual Masochism (529)</w:t>
      </w:r>
    </w:p>
    <w:p w:rsidR="00E675F0" w:rsidRDefault="00E675F0" w:rsidP="00E675F0">
      <w:pPr>
        <w:spacing w:before="27"/>
        <w:ind w:left="121"/>
        <w:rPr>
          <w:sz w:val="19"/>
        </w:rPr>
      </w:pPr>
      <w:r>
        <w:rPr>
          <w:w w:val="110"/>
          <w:sz w:val="19"/>
        </w:rPr>
        <w:t>Sexual Sadism (530)</w:t>
      </w:r>
    </w:p>
    <w:p w:rsidR="00E675F0" w:rsidRDefault="00E675F0" w:rsidP="00E675F0">
      <w:pPr>
        <w:spacing w:before="26" w:line="210" w:lineRule="exact"/>
        <w:ind w:left="113"/>
        <w:rPr>
          <w:sz w:val="19"/>
        </w:rPr>
      </w:pPr>
      <w:r>
        <w:rPr>
          <w:w w:val="110"/>
          <w:sz w:val="19"/>
        </w:rPr>
        <w:t>Transvestic Fetishism (530)</w:t>
      </w:r>
    </w:p>
    <w:p w:rsidR="00E675F0" w:rsidRDefault="00E675F0" w:rsidP="00E675F0">
      <w:pPr>
        <w:spacing w:line="198" w:lineRule="exact"/>
        <w:ind w:left="132"/>
        <w:rPr>
          <w:sz w:val="16"/>
        </w:rPr>
      </w:pPr>
      <w:r>
        <w:rPr>
          <w:i/>
          <w:w w:val="105"/>
          <w:sz w:val="15"/>
        </w:rPr>
        <w:t xml:space="preserve">Specify </w:t>
      </w:r>
      <w:r>
        <w:rPr>
          <w:rFonts w:ascii="Arial"/>
          <w:i/>
          <w:w w:val="105"/>
          <w:sz w:val="18"/>
        </w:rPr>
        <w:t xml:space="preserve">!f </w:t>
      </w:r>
      <w:r>
        <w:rPr>
          <w:w w:val="105"/>
          <w:sz w:val="16"/>
        </w:rPr>
        <w:t>With Gender Dysphoria</w:t>
      </w:r>
    </w:p>
    <w:p w:rsidR="00E675F0" w:rsidRDefault="00E675F0" w:rsidP="00E675F0">
      <w:pPr>
        <w:spacing w:before="25"/>
        <w:ind w:left="117"/>
        <w:rPr>
          <w:sz w:val="19"/>
        </w:rPr>
      </w:pPr>
      <w:r>
        <w:rPr>
          <w:w w:val="110"/>
          <w:sz w:val="19"/>
        </w:rPr>
        <w:t>Voyeurism (532)</w:t>
      </w:r>
    </w:p>
    <w:p w:rsidR="00E675F0" w:rsidRDefault="00E675F0" w:rsidP="00E675F0">
      <w:pPr>
        <w:spacing w:before="27"/>
        <w:ind w:left="115"/>
        <w:rPr>
          <w:sz w:val="19"/>
        </w:rPr>
      </w:pPr>
      <w:r>
        <w:rPr>
          <w:w w:val="110"/>
          <w:sz w:val="19"/>
        </w:rPr>
        <w:t>Paraphilia NOS (532)</w:t>
      </w:r>
    </w:p>
    <w:p w:rsidR="00E675F0" w:rsidRDefault="00E675F0" w:rsidP="00E675F0">
      <w:pPr>
        <w:pStyle w:val="BodyText"/>
      </w:pPr>
      <w:r>
        <w:br w:type="column"/>
      </w:r>
    </w:p>
    <w:p w:rsidR="00E675F0" w:rsidRDefault="00E675F0" w:rsidP="00E675F0">
      <w:pPr>
        <w:pStyle w:val="BodyText"/>
        <w:spacing w:before="7"/>
        <w:rPr>
          <w:sz w:val="29"/>
        </w:rPr>
      </w:pPr>
    </w:p>
    <w:p w:rsidR="00E675F0" w:rsidRDefault="00E675F0" w:rsidP="00E675F0">
      <w:pPr>
        <w:ind w:left="173"/>
        <w:rPr>
          <w:sz w:val="19"/>
        </w:rPr>
      </w:pPr>
      <w:r>
        <w:rPr>
          <w:b/>
          <w:w w:val="115"/>
          <w:sz w:val="19"/>
        </w:rPr>
        <w:t xml:space="preserve">Parasomnias </w:t>
      </w:r>
      <w:r>
        <w:rPr>
          <w:w w:val="115"/>
          <w:sz w:val="19"/>
        </w:rPr>
        <w:t>(579)</w:t>
      </w:r>
    </w:p>
    <w:p w:rsidR="00E675F0" w:rsidRDefault="00E675F0" w:rsidP="00E675F0">
      <w:pPr>
        <w:spacing w:before="27"/>
        <w:ind w:left="175"/>
        <w:rPr>
          <w:sz w:val="19"/>
        </w:rPr>
      </w:pPr>
      <w:r>
        <w:rPr>
          <w:w w:val="110"/>
          <w:sz w:val="19"/>
        </w:rPr>
        <w:t>307.47 Nightmare Disorder (580)</w:t>
      </w:r>
    </w:p>
    <w:p w:rsidR="00E675F0" w:rsidRDefault="00E675F0" w:rsidP="00E675F0">
      <w:pPr>
        <w:spacing w:before="26"/>
        <w:ind w:left="175"/>
        <w:rPr>
          <w:sz w:val="19"/>
        </w:rPr>
      </w:pPr>
      <w:r>
        <w:rPr>
          <w:w w:val="110"/>
          <w:sz w:val="19"/>
        </w:rPr>
        <w:t>307.46 Sleep Terror Disorder (583)</w:t>
      </w:r>
    </w:p>
    <w:p w:rsidR="00E675F0" w:rsidRDefault="00E675F0" w:rsidP="003048D3">
      <w:pPr>
        <w:pStyle w:val="ListParagraph"/>
        <w:numPr>
          <w:ilvl w:val="1"/>
          <w:numId w:val="121"/>
        </w:numPr>
        <w:tabs>
          <w:tab w:val="left" w:pos="893"/>
        </w:tabs>
        <w:spacing w:before="22"/>
        <w:rPr>
          <w:sz w:val="19"/>
        </w:rPr>
      </w:pPr>
      <w:r>
        <w:rPr>
          <w:w w:val="110"/>
          <w:sz w:val="19"/>
        </w:rPr>
        <w:t>Sleepwalking Disorder</w:t>
      </w:r>
      <w:r>
        <w:rPr>
          <w:spacing w:val="-17"/>
          <w:w w:val="110"/>
          <w:sz w:val="19"/>
        </w:rPr>
        <w:t xml:space="preserve"> </w:t>
      </w:r>
      <w:r>
        <w:rPr>
          <w:w w:val="110"/>
          <w:sz w:val="19"/>
        </w:rPr>
        <w:t>(587)</w:t>
      </w:r>
    </w:p>
    <w:p w:rsidR="00E675F0" w:rsidRDefault="00E675F0" w:rsidP="003048D3">
      <w:pPr>
        <w:pStyle w:val="ListParagraph"/>
        <w:numPr>
          <w:ilvl w:val="1"/>
          <w:numId w:val="121"/>
        </w:numPr>
        <w:tabs>
          <w:tab w:val="left" w:pos="902"/>
        </w:tabs>
        <w:spacing w:before="27"/>
        <w:ind w:left="901" w:hanging="727"/>
        <w:rPr>
          <w:sz w:val="19"/>
        </w:rPr>
      </w:pPr>
      <w:r>
        <w:rPr>
          <w:w w:val="110"/>
          <w:sz w:val="19"/>
        </w:rPr>
        <w:t>Parasomnia NOS</w:t>
      </w:r>
      <w:r>
        <w:rPr>
          <w:spacing w:val="-22"/>
          <w:w w:val="110"/>
          <w:sz w:val="19"/>
        </w:rPr>
        <w:t xml:space="preserve"> </w:t>
      </w:r>
      <w:r>
        <w:rPr>
          <w:w w:val="110"/>
          <w:sz w:val="19"/>
        </w:rPr>
        <w:t>(592)</w:t>
      </w:r>
    </w:p>
    <w:p w:rsidR="00E675F0" w:rsidRDefault="00E675F0" w:rsidP="00E675F0">
      <w:pPr>
        <w:rPr>
          <w:sz w:val="19"/>
        </w:rPr>
        <w:sectPr w:rsidR="00E675F0">
          <w:type w:val="continuous"/>
          <w:pgSz w:w="8960" w:h="14260"/>
          <w:pgMar w:top="640" w:right="720" w:bottom="0" w:left="560" w:header="720" w:footer="720" w:gutter="0"/>
          <w:cols w:num="3" w:space="720" w:equalWidth="0">
            <w:col w:w="739" w:space="40"/>
            <w:col w:w="2550" w:space="594"/>
            <w:col w:w="3757"/>
          </w:cols>
        </w:sectPr>
      </w:pPr>
    </w:p>
    <w:p w:rsidR="00E675F0" w:rsidRDefault="00E675F0" w:rsidP="00E675F0">
      <w:pPr>
        <w:pStyle w:val="BodyText"/>
        <w:spacing w:line="20" w:lineRule="exact"/>
        <w:ind w:left="166"/>
        <w:rPr>
          <w:sz w:val="2"/>
        </w:rPr>
      </w:pPr>
      <w:r>
        <w:rPr>
          <w:noProof/>
          <w:sz w:val="2"/>
        </w:rPr>
        <w:lastRenderedPageBreak/>
        <mc:AlternateContent>
          <mc:Choice Requires="wpg">
            <w:drawing>
              <wp:inline distT="0" distB="0" distL="0" distR="0" wp14:anchorId="0C3BD199" wp14:editId="6DE49420">
                <wp:extent cx="4752975" cy="6350"/>
                <wp:effectExtent l="0" t="0" r="0" b="0"/>
                <wp:docPr id="1689" name="Group 1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2975" cy="6350"/>
                          <a:chOff x="0" y="0"/>
                          <a:chExt cx="7485" cy="10"/>
                        </a:xfrm>
                      </wpg:grpSpPr>
                      <wps:wsp>
                        <wps:cNvPr id="1690" name="Line 1646"/>
                        <wps:cNvCnPr>
                          <a:cxnSpLocks/>
                        </wps:cNvCnPr>
                        <wps:spPr bwMode="auto">
                          <a:xfrm>
                            <a:off x="0" y="5"/>
                            <a:ext cx="7485" cy="0"/>
                          </a:xfrm>
                          <a:prstGeom prst="line">
                            <a:avLst/>
                          </a:prstGeom>
                          <a:noFill/>
                          <a:ln w="610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EA27C3F" id="Group 1645" o:spid="_x0000_s1026" style="width:374.25pt;height:.5pt;mso-position-horizontal-relative:char;mso-position-vertical-relative:line" coordsize="7485,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">
                <v:line id="Line 1646" o:spid="_x0000_s1027" style="position:absolute;visibility:visible;mso-wrap-style:square" from="0,5" to="748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" strokeweight=".16956mm">
                  <o:lock v:ext="edit" shapetype="f"/>
                </v:line>
                <w10:anchorlock/>
              </v:group>
            </w:pict>
          </mc:Fallback>
        </mc:AlternateContent>
      </w:r>
    </w:p>
    <w:p w:rsidR="00E675F0" w:rsidRDefault="00E675F0" w:rsidP="00E675F0">
      <w:pPr>
        <w:pStyle w:val="BodyText"/>
      </w:pPr>
    </w:p>
    <w:p w:rsidR="00E675F0" w:rsidRDefault="00E675F0" w:rsidP="00E675F0">
      <w:pPr>
        <w:pStyle w:val="BodyText"/>
        <w:spacing w:before="3"/>
      </w:pPr>
    </w:p>
    <w:p w:rsidR="00E675F0" w:rsidRDefault="00E675F0" w:rsidP="00E675F0">
      <w:pPr>
        <w:sectPr w:rsidR="00E675F0">
          <w:headerReference w:type="even" r:id="rId46"/>
          <w:headerReference w:type="default" r:id="rId47"/>
          <w:pgSz w:w="8960" w:h="14260"/>
          <w:pgMar w:top="960" w:right="460" w:bottom="280" w:left="560" w:header="692" w:footer="0" w:gutter="0"/>
          <w:cols w:space="720"/>
        </w:sectPr>
      </w:pPr>
    </w:p>
    <w:p w:rsidR="00E675F0" w:rsidRDefault="00E675F0" w:rsidP="00E675F0">
      <w:pPr>
        <w:spacing w:before="104" w:line="261" w:lineRule="auto"/>
        <w:ind w:left="160" w:right="30" w:firstLine="6"/>
        <w:rPr>
          <w:sz w:val="20"/>
        </w:rPr>
      </w:pPr>
      <w:r>
        <w:rPr>
          <w:b/>
          <w:w w:val="105"/>
          <w:sz w:val="18"/>
        </w:rPr>
        <w:t xml:space="preserve">SLEEP DISORDERS RELATED TO ANOTHER MENTAL DISORDER </w:t>
      </w:r>
      <w:r>
        <w:rPr>
          <w:w w:val="105"/>
          <w:sz w:val="20"/>
        </w:rPr>
        <w:t>(592)</w:t>
      </w:r>
    </w:p>
    <w:p w:rsidR="00E675F0" w:rsidRDefault="00E675F0" w:rsidP="00E675F0">
      <w:pPr>
        <w:spacing w:before="94"/>
        <w:ind w:left="160"/>
        <w:rPr>
          <w:rFonts w:ascii="Arial"/>
          <w:sz w:val="18"/>
        </w:rPr>
      </w:pPr>
      <w:r>
        <w:br w:type="column"/>
      </w:r>
      <w:r>
        <w:rPr>
          <w:rFonts w:ascii="Arial"/>
          <w:b/>
          <w:color w:val="242424"/>
          <w:w w:val="105"/>
          <w:sz w:val="21"/>
        </w:rPr>
        <w:t xml:space="preserve">Personality Disorders </w:t>
      </w:r>
      <w:r>
        <w:rPr>
          <w:rFonts w:ascii="Arial"/>
          <w:color w:val="707070"/>
          <w:w w:val="105"/>
          <w:sz w:val="18"/>
        </w:rPr>
        <w:t>(629)</w:t>
      </w:r>
    </w:p>
    <w:p w:rsidR="00E675F0" w:rsidRDefault="00E675F0" w:rsidP="00E675F0">
      <w:pPr>
        <w:rPr>
          <w:rFonts w:ascii="Arial"/>
          <w:sz w:val="18"/>
        </w:rPr>
        <w:sectPr w:rsidR="00E675F0">
          <w:type w:val="continuous"/>
          <w:pgSz w:w="8960" w:h="14260"/>
          <w:pgMar w:top="640" w:right="460" w:bottom="0" w:left="560" w:header="720" w:footer="720" w:gutter="0"/>
          <w:cols w:num="2" w:space="720" w:equalWidth="0">
            <w:col w:w="3590" w:space="500"/>
            <w:col w:w="3850"/>
          </w:cols>
        </w:sectPr>
      </w:pPr>
    </w:p>
    <w:p w:rsidR="00E675F0" w:rsidRDefault="00E675F0" w:rsidP="00E675F0">
      <w:pPr>
        <w:spacing w:line="249" w:lineRule="auto"/>
        <w:ind w:left="908" w:hanging="741"/>
        <w:rPr>
          <w:sz w:val="20"/>
        </w:rPr>
      </w:pPr>
      <w:r>
        <w:rPr>
          <w:w w:val="105"/>
          <w:sz w:val="20"/>
        </w:rPr>
        <w:t xml:space="preserve">307.42 Insomnia Related to ... </w:t>
      </w:r>
      <w:r>
        <w:rPr>
          <w:i/>
          <w:w w:val="105"/>
          <w:sz w:val="20"/>
        </w:rPr>
        <w:t>[Indicate the Axis I or Axis II Disorder}</w:t>
      </w:r>
      <w:r>
        <w:rPr>
          <w:i/>
          <w:spacing w:val="43"/>
          <w:w w:val="105"/>
          <w:sz w:val="20"/>
        </w:rPr>
        <w:t xml:space="preserve"> </w:t>
      </w:r>
      <w:r>
        <w:rPr>
          <w:w w:val="105"/>
          <w:sz w:val="20"/>
        </w:rPr>
        <w:t>(592)</w:t>
      </w:r>
    </w:p>
    <w:p w:rsidR="00E675F0" w:rsidRDefault="00E675F0" w:rsidP="00E675F0">
      <w:pPr>
        <w:spacing w:before="3" w:line="254" w:lineRule="auto"/>
        <w:ind w:left="896" w:right="94" w:hanging="729"/>
        <w:rPr>
          <w:sz w:val="20"/>
        </w:rPr>
      </w:pPr>
      <w:r>
        <w:rPr>
          <w:w w:val="105"/>
          <w:sz w:val="20"/>
        </w:rPr>
        <w:t xml:space="preserve">307.44 Hypersomnia Related to ... </w:t>
      </w:r>
      <w:r>
        <w:rPr>
          <w:i/>
          <w:w w:val="105"/>
          <w:sz w:val="20"/>
        </w:rPr>
        <w:t>[Indicate</w:t>
      </w:r>
      <w:r>
        <w:rPr>
          <w:i/>
          <w:spacing w:val="1"/>
          <w:w w:val="105"/>
          <w:sz w:val="20"/>
        </w:rPr>
        <w:t xml:space="preserve"> </w:t>
      </w:r>
      <w:r>
        <w:rPr>
          <w:i/>
          <w:w w:val="105"/>
          <w:sz w:val="20"/>
        </w:rPr>
        <w:t>the</w:t>
      </w:r>
      <w:r>
        <w:rPr>
          <w:i/>
          <w:spacing w:val="-7"/>
          <w:w w:val="105"/>
          <w:sz w:val="20"/>
        </w:rPr>
        <w:t xml:space="preserve"> </w:t>
      </w:r>
      <w:r>
        <w:rPr>
          <w:i/>
          <w:w w:val="105"/>
          <w:sz w:val="20"/>
        </w:rPr>
        <w:t>Axis</w:t>
      </w:r>
      <w:r>
        <w:rPr>
          <w:i/>
          <w:spacing w:val="-10"/>
          <w:w w:val="105"/>
          <w:sz w:val="20"/>
        </w:rPr>
        <w:t xml:space="preserve"> </w:t>
      </w:r>
      <w:r>
        <w:rPr>
          <w:i/>
          <w:w w:val="105"/>
          <w:sz w:val="20"/>
        </w:rPr>
        <w:t>I</w:t>
      </w:r>
      <w:r>
        <w:rPr>
          <w:i/>
          <w:spacing w:val="-13"/>
          <w:w w:val="105"/>
          <w:sz w:val="20"/>
        </w:rPr>
        <w:t xml:space="preserve"> </w:t>
      </w:r>
      <w:r>
        <w:rPr>
          <w:i/>
          <w:w w:val="105"/>
          <w:sz w:val="20"/>
        </w:rPr>
        <w:t>or</w:t>
      </w:r>
      <w:r>
        <w:rPr>
          <w:i/>
          <w:spacing w:val="-12"/>
          <w:w w:val="105"/>
          <w:sz w:val="20"/>
        </w:rPr>
        <w:t xml:space="preserve"> </w:t>
      </w:r>
      <w:r>
        <w:rPr>
          <w:i/>
          <w:w w:val="105"/>
          <w:sz w:val="20"/>
        </w:rPr>
        <w:t>Axis</w:t>
      </w:r>
      <w:r>
        <w:rPr>
          <w:i/>
          <w:spacing w:val="-3"/>
          <w:w w:val="105"/>
          <w:sz w:val="20"/>
        </w:rPr>
        <w:t xml:space="preserve"> </w:t>
      </w:r>
      <w:r>
        <w:rPr>
          <w:i/>
          <w:w w:val="105"/>
          <w:sz w:val="20"/>
        </w:rPr>
        <w:t>II Disorder}</w:t>
      </w:r>
      <w:r>
        <w:rPr>
          <w:i/>
          <w:spacing w:val="36"/>
          <w:w w:val="105"/>
          <w:sz w:val="20"/>
        </w:rPr>
        <w:t xml:space="preserve"> </w:t>
      </w:r>
      <w:r>
        <w:rPr>
          <w:w w:val="105"/>
          <w:sz w:val="20"/>
        </w:rPr>
        <w:t>(592)</w:t>
      </w:r>
    </w:p>
    <w:p w:rsidR="00E675F0" w:rsidRDefault="00E675F0" w:rsidP="00E675F0">
      <w:pPr>
        <w:spacing w:before="177"/>
        <w:ind w:left="169"/>
        <w:rPr>
          <w:b/>
          <w:sz w:val="18"/>
        </w:rPr>
      </w:pPr>
      <w:r>
        <w:rPr>
          <w:b/>
          <w:w w:val="105"/>
          <w:sz w:val="18"/>
        </w:rPr>
        <w:t>OTHER SLEEP DISORDERS</w:t>
      </w:r>
    </w:p>
    <w:p w:rsidR="00E675F0" w:rsidRDefault="00E675F0" w:rsidP="00E675F0">
      <w:pPr>
        <w:spacing w:line="158" w:lineRule="exact"/>
        <w:ind w:left="167"/>
        <w:rPr>
          <w:rFonts w:ascii="TimesNewRomanPS-BoldItalicMT"/>
          <w:b/>
          <w:i/>
          <w:sz w:val="18"/>
        </w:rPr>
      </w:pPr>
      <w:r>
        <w:br w:type="column"/>
      </w:r>
      <w:r>
        <w:rPr>
          <w:rFonts w:ascii="TimesNewRomanPS-BoldItalicMT"/>
          <w:b/>
          <w:i/>
          <w:w w:val="120"/>
          <w:sz w:val="18"/>
        </w:rPr>
        <w:t>Note:</w:t>
      </w:r>
    </w:p>
    <w:p w:rsidR="00E675F0" w:rsidRDefault="00E675F0" w:rsidP="00E675F0">
      <w:pPr>
        <w:pStyle w:val="BodyText"/>
        <w:spacing w:before="14"/>
        <w:ind w:left="178"/>
      </w:pPr>
      <w:r>
        <w:t>301.0</w:t>
      </w:r>
    </w:p>
    <w:p w:rsidR="00E675F0" w:rsidRDefault="00E675F0" w:rsidP="00E675F0">
      <w:pPr>
        <w:pStyle w:val="BodyText"/>
        <w:spacing w:before="16"/>
        <w:ind w:left="182"/>
      </w:pPr>
      <w:r>
        <w:t>301.20</w:t>
      </w:r>
    </w:p>
    <w:p w:rsidR="00E675F0" w:rsidRDefault="00E675F0" w:rsidP="00E675F0">
      <w:pPr>
        <w:pStyle w:val="BodyText"/>
        <w:spacing w:before="15"/>
        <w:ind w:left="178"/>
      </w:pPr>
      <w:r>
        <w:t>301.22</w:t>
      </w:r>
    </w:p>
    <w:p w:rsidR="00E675F0" w:rsidRDefault="00E675F0" w:rsidP="00E675F0">
      <w:pPr>
        <w:pStyle w:val="BodyText"/>
        <w:rPr>
          <w:sz w:val="23"/>
        </w:rPr>
      </w:pPr>
    </w:p>
    <w:p w:rsidR="00E675F0" w:rsidRDefault="00E675F0" w:rsidP="00E675F0">
      <w:pPr>
        <w:pStyle w:val="BodyText"/>
        <w:ind w:left="178"/>
      </w:pPr>
      <w:r>
        <w:t>301.7</w:t>
      </w:r>
    </w:p>
    <w:p w:rsidR="00E675F0" w:rsidRDefault="00E675F0" w:rsidP="00E675F0">
      <w:pPr>
        <w:pStyle w:val="BodyText"/>
        <w:spacing w:before="15"/>
        <w:ind w:left="182"/>
      </w:pPr>
      <w:r>
        <w:t>301.83</w:t>
      </w:r>
    </w:p>
    <w:p w:rsidR="00E675F0" w:rsidRDefault="00E675F0" w:rsidP="00E675F0">
      <w:pPr>
        <w:spacing w:line="163" w:lineRule="exact"/>
        <w:ind w:left="67"/>
        <w:jc w:val="both"/>
        <w:rPr>
          <w:i/>
          <w:sz w:val="20"/>
        </w:rPr>
      </w:pPr>
      <w:r>
        <w:br w:type="column"/>
      </w:r>
      <w:r>
        <w:rPr>
          <w:rFonts w:ascii="Arial"/>
          <w:w w:val="105"/>
          <w:sz w:val="16"/>
        </w:rPr>
        <w:t xml:space="preserve">These </w:t>
      </w:r>
      <w:r>
        <w:rPr>
          <w:i/>
          <w:w w:val="105"/>
          <w:sz w:val="20"/>
        </w:rPr>
        <w:t>are coded on Axis II.</w:t>
      </w:r>
    </w:p>
    <w:p w:rsidR="00E675F0" w:rsidRDefault="00E675F0" w:rsidP="00E675F0">
      <w:pPr>
        <w:pStyle w:val="BodyText"/>
        <w:spacing w:before="5" w:line="256" w:lineRule="auto"/>
        <w:ind w:left="121" w:right="141" w:firstLine="9"/>
        <w:jc w:val="both"/>
      </w:pPr>
      <w:r>
        <w:t>Paranoid Personality Disorder (634) Schizoid Personality Disorder (638) Schizotypal Personality</w:t>
      </w:r>
    </w:p>
    <w:p w:rsidR="00E675F0" w:rsidRDefault="00E675F0" w:rsidP="00E675F0">
      <w:pPr>
        <w:pStyle w:val="BodyText"/>
        <w:spacing w:line="227" w:lineRule="exact"/>
        <w:ind w:left="130"/>
        <w:jc w:val="both"/>
      </w:pPr>
      <w:r>
        <w:rPr>
          <w:w w:val="105"/>
        </w:rPr>
        <w:t>Disorder (641)</w:t>
      </w:r>
    </w:p>
    <w:p w:rsidR="00E675F0" w:rsidRDefault="00E675F0" w:rsidP="00E675F0">
      <w:pPr>
        <w:pStyle w:val="BodyText"/>
        <w:spacing w:before="15" w:line="261" w:lineRule="auto"/>
        <w:ind w:left="130" w:right="117" w:hanging="3"/>
        <w:jc w:val="both"/>
      </w:pPr>
      <w:r>
        <w:t>Antisocial Personality Disorder (645) Borderline Personality</w:t>
      </w:r>
    </w:p>
    <w:p w:rsidR="00E675F0" w:rsidRDefault="00E675F0" w:rsidP="00E675F0">
      <w:pPr>
        <w:pStyle w:val="BodyText"/>
        <w:spacing w:line="219" w:lineRule="exact"/>
        <w:ind w:left="134"/>
        <w:jc w:val="both"/>
      </w:pPr>
      <w:r>
        <w:rPr>
          <w:w w:val="105"/>
        </w:rPr>
        <w:t>Disorder (650)</w:t>
      </w:r>
    </w:p>
    <w:p w:rsidR="00E675F0" w:rsidRDefault="00E675F0" w:rsidP="00E675F0">
      <w:pPr>
        <w:spacing w:line="219" w:lineRule="exact"/>
        <w:jc w:val="both"/>
        <w:sectPr w:rsidR="00E675F0">
          <w:type w:val="continuous"/>
          <w:pgSz w:w="8960" w:h="14260"/>
          <w:pgMar w:top="640" w:right="460" w:bottom="0" w:left="560" w:header="720" w:footer="720" w:gutter="0"/>
          <w:cols w:num="3" w:space="720" w:equalWidth="0">
            <w:col w:w="3427" w:space="479"/>
            <w:col w:w="735" w:space="39"/>
            <w:col w:w="3260"/>
          </w:cols>
        </w:sectPr>
      </w:pPr>
    </w:p>
    <w:tbl>
      <w:tblPr>
        <w:tblW w:w="0" w:type="auto"/>
        <w:tblInd w:w="126" w:type="dxa"/>
        <w:tblLayout w:type="fixed"/>
        <w:tblCellMar>
          <w:left w:w="0" w:type="dxa"/>
          <w:right w:w="0" w:type="dxa"/>
        </w:tblCellMar>
        <w:tblLook w:val="01E0" w:firstRow="1" w:lastRow="1" w:firstColumn="1" w:lastColumn="1" w:noHBand="0" w:noVBand="0"/>
      </w:tblPr>
      <w:tblGrid>
        <w:gridCol w:w="695"/>
        <w:gridCol w:w="3151"/>
        <w:gridCol w:w="760"/>
        <w:gridCol w:w="3055"/>
      </w:tblGrid>
      <w:tr w:rsidR="00E675F0" w:rsidTr="00A330E1">
        <w:trPr>
          <w:trHeight w:val="250"/>
        </w:trPr>
        <w:tc>
          <w:tcPr>
            <w:tcW w:w="695" w:type="dxa"/>
          </w:tcPr>
          <w:p w:rsidR="00E675F0" w:rsidRDefault="00E675F0" w:rsidP="00A330E1">
            <w:pPr>
              <w:pStyle w:val="TableParagraph"/>
              <w:spacing w:line="217" w:lineRule="exact"/>
              <w:ind w:right="86"/>
              <w:jc w:val="right"/>
              <w:rPr>
                <w:sz w:val="20"/>
              </w:rPr>
            </w:pPr>
            <w:r>
              <w:rPr>
                <w:sz w:val="20"/>
              </w:rPr>
              <w:t>780.xx</w:t>
            </w:r>
          </w:p>
        </w:tc>
        <w:tc>
          <w:tcPr>
            <w:tcW w:w="3151" w:type="dxa"/>
          </w:tcPr>
          <w:p w:rsidR="00E675F0" w:rsidRDefault="00E675F0" w:rsidP="00A330E1">
            <w:pPr>
              <w:pStyle w:val="TableParagraph"/>
              <w:spacing w:line="217" w:lineRule="exact"/>
              <w:ind w:left="76"/>
              <w:rPr>
                <w:sz w:val="20"/>
              </w:rPr>
            </w:pPr>
            <w:r>
              <w:rPr>
                <w:w w:val="105"/>
                <w:sz w:val="20"/>
              </w:rPr>
              <w:t>Sleep Disorder Due to ...</w:t>
            </w:r>
          </w:p>
        </w:tc>
        <w:tc>
          <w:tcPr>
            <w:tcW w:w="760" w:type="dxa"/>
          </w:tcPr>
          <w:p w:rsidR="00E675F0" w:rsidRDefault="00E675F0" w:rsidP="00A330E1">
            <w:pPr>
              <w:pStyle w:val="TableParagraph"/>
              <w:spacing w:before="20" w:line="210" w:lineRule="exact"/>
              <w:ind w:left="123"/>
              <w:rPr>
                <w:sz w:val="20"/>
              </w:rPr>
            </w:pPr>
            <w:r>
              <w:rPr>
                <w:sz w:val="20"/>
              </w:rPr>
              <w:t>301.50</w:t>
            </w:r>
          </w:p>
        </w:tc>
        <w:tc>
          <w:tcPr>
            <w:tcW w:w="3055" w:type="dxa"/>
          </w:tcPr>
          <w:p w:rsidR="00E675F0" w:rsidRDefault="00E675F0" w:rsidP="00A330E1">
            <w:pPr>
              <w:pStyle w:val="TableParagraph"/>
              <w:spacing w:before="20" w:line="210" w:lineRule="exact"/>
              <w:ind w:left="85"/>
              <w:rPr>
                <w:sz w:val="20"/>
              </w:rPr>
            </w:pPr>
            <w:r>
              <w:rPr>
                <w:w w:val="105"/>
                <w:sz w:val="20"/>
              </w:rPr>
              <w:t>Histrionic Personality</w:t>
            </w:r>
          </w:p>
        </w:tc>
      </w:tr>
      <w:tr w:rsidR="00E675F0" w:rsidTr="00A330E1">
        <w:trPr>
          <w:trHeight w:val="242"/>
        </w:trPr>
        <w:tc>
          <w:tcPr>
            <w:tcW w:w="695" w:type="dxa"/>
          </w:tcPr>
          <w:p w:rsidR="00E675F0" w:rsidRDefault="00E675F0" w:rsidP="00A330E1">
            <w:pPr>
              <w:pStyle w:val="TableParagraph"/>
              <w:rPr>
                <w:sz w:val="16"/>
              </w:rPr>
            </w:pPr>
          </w:p>
        </w:tc>
        <w:tc>
          <w:tcPr>
            <w:tcW w:w="3151" w:type="dxa"/>
          </w:tcPr>
          <w:p w:rsidR="00E675F0" w:rsidRDefault="00E675F0" w:rsidP="00A330E1">
            <w:pPr>
              <w:pStyle w:val="TableParagraph"/>
              <w:spacing w:line="212" w:lineRule="exact"/>
              <w:ind w:left="87"/>
              <w:rPr>
                <w:i/>
                <w:sz w:val="20"/>
              </w:rPr>
            </w:pPr>
            <w:r>
              <w:rPr>
                <w:i/>
                <w:w w:val="105"/>
                <w:sz w:val="20"/>
              </w:rPr>
              <w:t>[Indicate the General Medical</w:t>
            </w:r>
          </w:p>
        </w:tc>
        <w:tc>
          <w:tcPr>
            <w:tcW w:w="760" w:type="dxa"/>
          </w:tcPr>
          <w:p w:rsidR="00E675F0" w:rsidRDefault="00E675F0" w:rsidP="00A330E1">
            <w:pPr>
              <w:pStyle w:val="TableParagraph"/>
              <w:rPr>
                <w:sz w:val="16"/>
              </w:rPr>
            </w:pPr>
          </w:p>
        </w:tc>
        <w:tc>
          <w:tcPr>
            <w:tcW w:w="3055" w:type="dxa"/>
          </w:tcPr>
          <w:p w:rsidR="00E675F0" w:rsidRDefault="00E675F0" w:rsidP="00A330E1">
            <w:pPr>
              <w:pStyle w:val="TableParagraph"/>
              <w:spacing w:before="15" w:line="207" w:lineRule="exact"/>
              <w:ind w:left="89"/>
              <w:rPr>
                <w:sz w:val="20"/>
              </w:rPr>
            </w:pPr>
            <w:r>
              <w:rPr>
                <w:w w:val="105"/>
                <w:sz w:val="20"/>
              </w:rPr>
              <w:t>Disorder (655)</w:t>
            </w:r>
          </w:p>
        </w:tc>
      </w:tr>
      <w:tr w:rsidR="00E675F0" w:rsidTr="00A330E1">
        <w:trPr>
          <w:trHeight w:val="247"/>
        </w:trPr>
        <w:tc>
          <w:tcPr>
            <w:tcW w:w="695" w:type="dxa"/>
          </w:tcPr>
          <w:p w:rsidR="00E675F0" w:rsidRDefault="00E675F0" w:rsidP="00A330E1">
            <w:pPr>
              <w:pStyle w:val="TableParagraph"/>
              <w:rPr>
                <w:sz w:val="18"/>
              </w:rPr>
            </w:pPr>
          </w:p>
        </w:tc>
        <w:tc>
          <w:tcPr>
            <w:tcW w:w="3151" w:type="dxa"/>
          </w:tcPr>
          <w:p w:rsidR="00E675F0" w:rsidRDefault="00E675F0" w:rsidP="00A330E1">
            <w:pPr>
              <w:pStyle w:val="TableParagraph"/>
              <w:spacing w:line="209" w:lineRule="exact"/>
              <w:ind w:left="89"/>
              <w:rPr>
                <w:sz w:val="20"/>
              </w:rPr>
            </w:pPr>
            <w:r>
              <w:rPr>
                <w:i/>
                <w:w w:val="105"/>
                <w:sz w:val="20"/>
              </w:rPr>
              <w:t xml:space="preserve">Condition} </w:t>
            </w:r>
            <w:r>
              <w:rPr>
                <w:w w:val="105"/>
                <w:sz w:val="20"/>
              </w:rPr>
              <w:t>(597)</w:t>
            </w:r>
          </w:p>
        </w:tc>
        <w:tc>
          <w:tcPr>
            <w:tcW w:w="760" w:type="dxa"/>
          </w:tcPr>
          <w:p w:rsidR="00E675F0" w:rsidRDefault="00E675F0" w:rsidP="00A330E1">
            <w:pPr>
              <w:pStyle w:val="TableParagraph"/>
              <w:spacing w:before="18" w:line="210" w:lineRule="exact"/>
              <w:ind w:left="123"/>
              <w:rPr>
                <w:sz w:val="20"/>
              </w:rPr>
            </w:pPr>
            <w:r>
              <w:rPr>
                <w:sz w:val="20"/>
              </w:rPr>
              <w:t>301.81</w:t>
            </w:r>
          </w:p>
        </w:tc>
        <w:tc>
          <w:tcPr>
            <w:tcW w:w="3055" w:type="dxa"/>
          </w:tcPr>
          <w:p w:rsidR="00E675F0" w:rsidRDefault="00E675F0" w:rsidP="00A330E1">
            <w:pPr>
              <w:pStyle w:val="TableParagraph"/>
              <w:spacing w:before="18" w:line="210" w:lineRule="exact"/>
              <w:ind w:left="91"/>
              <w:rPr>
                <w:sz w:val="20"/>
              </w:rPr>
            </w:pPr>
            <w:r>
              <w:rPr>
                <w:sz w:val="20"/>
              </w:rPr>
              <w:t>Narcissistic Personality</w:t>
            </w:r>
          </w:p>
        </w:tc>
      </w:tr>
      <w:tr w:rsidR="00E675F0" w:rsidTr="00A330E1">
        <w:trPr>
          <w:trHeight w:val="240"/>
        </w:trPr>
        <w:tc>
          <w:tcPr>
            <w:tcW w:w="695" w:type="dxa"/>
          </w:tcPr>
          <w:p w:rsidR="00E675F0" w:rsidRDefault="00E675F0" w:rsidP="00A330E1">
            <w:pPr>
              <w:pStyle w:val="TableParagraph"/>
              <w:spacing w:line="212" w:lineRule="exact"/>
              <w:ind w:right="74"/>
              <w:jc w:val="right"/>
              <w:rPr>
                <w:sz w:val="20"/>
              </w:rPr>
            </w:pPr>
            <w:r>
              <w:rPr>
                <w:w w:val="95"/>
                <w:sz w:val="20"/>
              </w:rPr>
              <w:t>.52</w:t>
            </w:r>
          </w:p>
        </w:tc>
        <w:tc>
          <w:tcPr>
            <w:tcW w:w="3151" w:type="dxa"/>
          </w:tcPr>
          <w:p w:rsidR="00E675F0" w:rsidRDefault="00E675F0" w:rsidP="00A330E1">
            <w:pPr>
              <w:pStyle w:val="TableParagraph"/>
              <w:spacing w:line="212" w:lineRule="exact"/>
              <w:ind w:left="381"/>
              <w:rPr>
                <w:sz w:val="20"/>
              </w:rPr>
            </w:pPr>
            <w:r>
              <w:rPr>
                <w:w w:val="105"/>
                <w:sz w:val="20"/>
              </w:rPr>
              <w:t>Insomnia Type</w:t>
            </w:r>
          </w:p>
        </w:tc>
        <w:tc>
          <w:tcPr>
            <w:tcW w:w="760" w:type="dxa"/>
          </w:tcPr>
          <w:p w:rsidR="00E675F0" w:rsidRDefault="00E675F0" w:rsidP="00A330E1">
            <w:pPr>
              <w:pStyle w:val="TableParagraph"/>
              <w:rPr>
                <w:sz w:val="16"/>
              </w:rPr>
            </w:pPr>
          </w:p>
        </w:tc>
        <w:tc>
          <w:tcPr>
            <w:tcW w:w="3055" w:type="dxa"/>
          </w:tcPr>
          <w:p w:rsidR="00E675F0" w:rsidRDefault="00E675F0" w:rsidP="00A330E1">
            <w:pPr>
              <w:pStyle w:val="TableParagraph"/>
              <w:spacing w:before="10" w:line="210" w:lineRule="exact"/>
              <w:ind w:left="89"/>
              <w:rPr>
                <w:sz w:val="20"/>
              </w:rPr>
            </w:pPr>
            <w:r>
              <w:rPr>
                <w:w w:val="105"/>
                <w:sz w:val="20"/>
              </w:rPr>
              <w:t>Disorder (658)</w:t>
            </w:r>
          </w:p>
        </w:tc>
      </w:tr>
      <w:tr w:rsidR="00E675F0" w:rsidTr="00A330E1">
        <w:trPr>
          <w:trHeight w:val="249"/>
        </w:trPr>
        <w:tc>
          <w:tcPr>
            <w:tcW w:w="695" w:type="dxa"/>
          </w:tcPr>
          <w:p w:rsidR="00E675F0" w:rsidRDefault="00E675F0" w:rsidP="00A330E1">
            <w:pPr>
              <w:pStyle w:val="TableParagraph"/>
              <w:spacing w:line="212" w:lineRule="exact"/>
              <w:ind w:right="74"/>
              <w:jc w:val="right"/>
              <w:rPr>
                <w:sz w:val="20"/>
              </w:rPr>
            </w:pPr>
            <w:r>
              <w:rPr>
                <w:w w:val="95"/>
                <w:sz w:val="20"/>
              </w:rPr>
              <w:t>.54</w:t>
            </w:r>
          </w:p>
        </w:tc>
        <w:tc>
          <w:tcPr>
            <w:tcW w:w="3151" w:type="dxa"/>
          </w:tcPr>
          <w:p w:rsidR="00E675F0" w:rsidRDefault="00E675F0" w:rsidP="00A330E1">
            <w:pPr>
              <w:pStyle w:val="TableParagraph"/>
              <w:spacing w:line="212" w:lineRule="exact"/>
              <w:ind w:left="383"/>
              <w:rPr>
                <w:sz w:val="20"/>
              </w:rPr>
            </w:pPr>
            <w:r>
              <w:rPr>
                <w:w w:val="105"/>
                <w:sz w:val="20"/>
              </w:rPr>
              <w:t>Hypersomnia Type</w:t>
            </w:r>
          </w:p>
        </w:tc>
        <w:tc>
          <w:tcPr>
            <w:tcW w:w="760" w:type="dxa"/>
          </w:tcPr>
          <w:p w:rsidR="00E675F0" w:rsidRDefault="00E675F0" w:rsidP="00A330E1">
            <w:pPr>
              <w:pStyle w:val="TableParagraph"/>
              <w:spacing w:before="20" w:line="210" w:lineRule="exact"/>
              <w:ind w:left="123"/>
              <w:rPr>
                <w:sz w:val="20"/>
              </w:rPr>
            </w:pPr>
            <w:r>
              <w:rPr>
                <w:sz w:val="20"/>
              </w:rPr>
              <w:t>301.82</w:t>
            </w:r>
          </w:p>
        </w:tc>
        <w:tc>
          <w:tcPr>
            <w:tcW w:w="3055" w:type="dxa"/>
          </w:tcPr>
          <w:p w:rsidR="00E675F0" w:rsidRDefault="00E675F0" w:rsidP="00A330E1">
            <w:pPr>
              <w:pStyle w:val="TableParagraph"/>
              <w:spacing w:before="20" w:line="210" w:lineRule="exact"/>
              <w:ind w:left="86"/>
              <w:rPr>
                <w:sz w:val="20"/>
              </w:rPr>
            </w:pPr>
            <w:r>
              <w:rPr>
                <w:sz w:val="20"/>
              </w:rPr>
              <w:t>Avoidant Personality</w:t>
            </w:r>
          </w:p>
        </w:tc>
      </w:tr>
      <w:tr w:rsidR="00E675F0" w:rsidTr="00A330E1">
        <w:trPr>
          <w:trHeight w:val="242"/>
        </w:trPr>
        <w:tc>
          <w:tcPr>
            <w:tcW w:w="695" w:type="dxa"/>
          </w:tcPr>
          <w:p w:rsidR="00E675F0" w:rsidRDefault="00E675F0" w:rsidP="00A330E1">
            <w:pPr>
              <w:pStyle w:val="TableParagraph"/>
              <w:spacing w:line="212" w:lineRule="exact"/>
              <w:ind w:right="74"/>
              <w:jc w:val="right"/>
              <w:rPr>
                <w:sz w:val="20"/>
              </w:rPr>
            </w:pPr>
            <w:r>
              <w:rPr>
                <w:w w:val="95"/>
                <w:sz w:val="20"/>
              </w:rPr>
              <w:t>.59</w:t>
            </w:r>
          </w:p>
        </w:tc>
        <w:tc>
          <w:tcPr>
            <w:tcW w:w="3151" w:type="dxa"/>
          </w:tcPr>
          <w:p w:rsidR="00E675F0" w:rsidRDefault="00E675F0" w:rsidP="00A330E1">
            <w:pPr>
              <w:pStyle w:val="TableParagraph"/>
              <w:spacing w:line="212" w:lineRule="exact"/>
              <w:ind w:left="383"/>
              <w:rPr>
                <w:sz w:val="20"/>
              </w:rPr>
            </w:pPr>
            <w:r>
              <w:rPr>
                <w:w w:val="105"/>
                <w:sz w:val="20"/>
              </w:rPr>
              <w:t>Parasomnia Type</w:t>
            </w:r>
          </w:p>
        </w:tc>
        <w:tc>
          <w:tcPr>
            <w:tcW w:w="760" w:type="dxa"/>
          </w:tcPr>
          <w:p w:rsidR="00E675F0" w:rsidRDefault="00E675F0" w:rsidP="00A330E1">
            <w:pPr>
              <w:pStyle w:val="TableParagraph"/>
              <w:rPr>
                <w:sz w:val="16"/>
              </w:rPr>
            </w:pPr>
          </w:p>
        </w:tc>
        <w:tc>
          <w:tcPr>
            <w:tcW w:w="3055" w:type="dxa"/>
          </w:tcPr>
          <w:p w:rsidR="00E675F0" w:rsidRDefault="00E675F0" w:rsidP="00A330E1">
            <w:pPr>
              <w:pStyle w:val="TableParagraph"/>
              <w:spacing w:before="10" w:line="212" w:lineRule="exact"/>
              <w:ind w:left="89"/>
              <w:rPr>
                <w:sz w:val="20"/>
              </w:rPr>
            </w:pPr>
            <w:r>
              <w:rPr>
                <w:w w:val="105"/>
                <w:sz w:val="20"/>
              </w:rPr>
              <w:t>Disorder (662)</w:t>
            </w:r>
          </w:p>
        </w:tc>
      </w:tr>
      <w:tr w:rsidR="00E675F0" w:rsidTr="00A330E1">
        <w:trPr>
          <w:trHeight w:val="245"/>
        </w:trPr>
        <w:tc>
          <w:tcPr>
            <w:tcW w:w="695" w:type="dxa"/>
          </w:tcPr>
          <w:p w:rsidR="00E675F0" w:rsidRDefault="00E675F0" w:rsidP="00A330E1">
            <w:pPr>
              <w:pStyle w:val="TableParagraph"/>
              <w:spacing w:line="214" w:lineRule="exact"/>
              <w:ind w:right="74"/>
              <w:jc w:val="right"/>
              <w:rPr>
                <w:sz w:val="20"/>
              </w:rPr>
            </w:pPr>
            <w:r>
              <w:rPr>
                <w:w w:val="95"/>
                <w:sz w:val="20"/>
              </w:rPr>
              <w:t>.59</w:t>
            </w:r>
          </w:p>
        </w:tc>
        <w:tc>
          <w:tcPr>
            <w:tcW w:w="3151" w:type="dxa"/>
          </w:tcPr>
          <w:p w:rsidR="00E675F0" w:rsidRDefault="00E675F0" w:rsidP="00A330E1">
            <w:pPr>
              <w:pStyle w:val="TableParagraph"/>
              <w:spacing w:line="214" w:lineRule="exact"/>
              <w:ind w:left="384"/>
              <w:rPr>
                <w:sz w:val="20"/>
              </w:rPr>
            </w:pPr>
            <w:r>
              <w:rPr>
                <w:sz w:val="20"/>
              </w:rPr>
              <w:t>Mixed Type</w:t>
            </w:r>
          </w:p>
        </w:tc>
        <w:tc>
          <w:tcPr>
            <w:tcW w:w="760" w:type="dxa"/>
          </w:tcPr>
          <w:p w:rsidR="00E675F0" w:rsidRDefault="00E675F0" w:rsidP="00A330E1">
            <w:pPr>
              <w:pStyle w:val="TableParagraph"/>
              <w:spacing w:before="18" w:line="207" w:lineRule="exact"/>
              <w:ind w:left="123"/>
              <w:rPr>
                <w:sz w:val="20"/>
              </w:rPr>
            </w:pPr>
            <w:r>
              <w:rPr>
                <w:sz w:val="20"/>
              </w:rPr>
              <w:t>301.6</w:t>
            </w:r>
          </w:p>
        </w:tc>
        <w:tc>
          <w:tcPr>
            <w:tcW w:w="3055" w:type="dxa"/>
          </w:tcPr>
          <w:p w:rsidR="00E675F0" w:rsidRDefault="00E675F0" w:rsidP="00A330E1">
            <w:pPr>
              <w:pStyle w:val="TableParagraph"/>
              <w:spacing w:before="18" w:line="207" w:lineRule="exact"/>
              <w:ind w:left="85"/>
              <w:rPr>
                <w:sz w:val="20"/>
              </w:rPr>
            </w:pPr>
            <w:r>
              <w:rPr>
                <w:w w:val="105"/>
                <w:sz w:val="20"/>
              </w:rPr>
              <w:t>Dependent Personality</w:t>
            </w:r>
          </w:p>
        </w:tc>
      </w:tr>
      <w:tr w:rsidR="00E675F0" w:rsidTr="00A330E1">
        <w:trPr>
          <w:trHeight w:val="240"/>
        </w:trPr>
        <w:tc>
          <w:tcPr>
            <w:tcW w:w="695" w:type="dxa"/>
          </w:tcPr>
          <w:p w:rsidR="00E675F0" w:rsidRDefault="00E675F0" w:rsidP="00A330E1">
            <w:pPr>
              <w:pStyle w:val="TableParagraph"/>
              <w:rPr>
                <w:sz w:val="16"/>
              </w:rPr>
            </w:pPr>
          </w:p>
        </w:tc>
        <w:tc>
          <w:tcPr>
            <w:tcW w:w="3151" w:type="dxa"/>
          </w:tcPr>
          <w:p w:rsidR="00E675F0" w:rsidRDefault="00E675F0" w:rsidP="00A330E1">
            <w:pPr>
              <w:pStyle w:val="TableParagraph"/>
              <w:spacing w:line="209" w:lineRule="exact"/>
              <w:ind w:left="81"/>
              <w:rPr>
                <w:sz w:val="20"/>
              </w:rPr>
            </w:pPr>
            <w:r>
              <w:rPr>
                <w:w w:val="105"/>
                <w:sz w:val="20"/>
              </w:rPr>
              <w:t>Substance-Induced Sleep Disorder</w:t>
            </w:r>
          </w:p>
        </w:tc>
        <w:tc>
          <w:tcPr>
            <w:tcW w:w="760" w:type="dxa"/>
          </w:tcPr>
          <w:p w:rsidR="00E675F0" w:rsidRDefault="00E675F0" w:rsidP="00A330E1">
            <w:pPr>
              <w:pStyle w:val="TableParagraph"/>
              <w:rPr>
                <w:sz w:val="16"/>
              </w:rPr>
            </w:pPr>
          </w:p>
        </w:tc>
        <w:tc>
          <w:tcPr>
            <w:tcW w:w="3055" w:type="dxa"/>
          </w:tcPr>
          <w:p w:rsidR="00E675F0" w:rsidRDefault="00E675F0" w:rsidP="00A330E1">
            <w:pPr>
              <w:pStyle w:val="TableParagraph"/>
              <w:spacing w:before="13" w:line="207" w:lineRule="exact"/>
              <w:ind w:left="89"/>
              <w:rPr>
                <w:sz w:val="20"/>
              </w:rPr>
            </w:pPr>
            <w:r>
              <w:rPr>
                <w:w w:val="105"/>
                <w:sz w:val="20"/>
              </w:rPr>
              <w:t>Disorder (665)</w:t>
            </w:r>
          </w:p>
        </w:tc>
      </w:tr>
      <w:tr w:rsidR="00E675F0" w:rsidTr="00A330E1">
        <w:trPr>
          <w:trHeight w:val="245"/>
        </w:trPr>
        <w:tc>
          <w:tcPr>
            <w:tcW w:w="695" w:type="dxa"/>
          </w:tcPr>
          <w:p w:rsidR="00E675F0" w:rsidRDefault="00E675F0" w:rsidP="00A330E1">
            <w:pPr>
              <w:pStyle w:val="TableParagraph"/>
              <w:rPr>
                <w:sz w:val="16"/>
              </w:rPr>
            </w:pPr>
          </w:p>
        </w:tc>
        <w:tc>
          <w:tcPr>
            <w:tcW w:w="3151" w:type="dxa"/>
          </w:tcPr>
          <w:p w:rsidR="00E675F0" w:rsidRDefault="00E675F0" w:rsidP="00A330E1">
            <w:pPr>
              <w:pStyle w:val="TableParagraph"/>
              <w:spacing w:line="209" w:lineRule="exact"/>
              <w:ind w:left="94"/>
              <w:rPr>
                <w:i/>
                <w:sz w:val="20"/>
              </w:rPr>
            </w:pPr>
            <w:r>
              <w:rPr>
                <w:i/>
                <w:w w:val="105"/>
                <w:sz w:val="20"/>
              </w:rPr>
              <w:t>(refer to Substance-Related</w:t>
            </w:r>
          </w:p>
        </w:tc>
        <w:tc>
          <w:tcPr>
            <w:tcW w:w="760" w:type="dxa"/>
          </w:tcPr>
          <w:p w:rsidR="00E675F0" w:rsidRDefault="00E675F0" w:rsidP="00A330E1">
            <w:pPr>
              <w:pStyle w:val="TableParagraph"/>
              <w:spacing w:before="18" w:line="207" w:lineRule="exact"/>
              <w:ind w:left="128"/>
              <w:rPr>
                <w:sz w:val="20"/>
              </w:rPr>
            </w:pPr>
            <w:r>
              <w:rPr>
                <w:sz w:val="20"/>
              </w:rPr>
              <w:t>301.4</w:t>
            </w:r>
          </w:p>
        </w:tc>
        <w:tc>
          <w:tcPr>
            <w:tcW w:w="3055" w:type="dxa"/>
          </w:tcPr>
          <w:p w:rsidR="00E675F0" w:rsidRDefault="00E675F0" w:rsidP="00A330E1">
            <w:pPr>
              <w:pStyle w:val="TableParagraph"/>
              <w:spacing w:before="18" w:line="207" w:lineRule="exact"/>
              <w:ind w:left="86"/>
              <w:rPr>
                <w:sz w:val="20"/>
              </w:rPr>
            </w:pPr>
            <w:r>
              <w:rPr>
                <w:w w:val="105"/>
                <w:sz w:val="20"/>
              </w:rPr>
              <w:t>Obsessive-Compulsive Personality</w:t>
            </w:r>
          </w:p>
        </w:tc>
      </w:tr>
      <w:tr w:rsidR="00E675F0" w:rsidTr="00A330E1">
        <w:trPr>
          <w:trHeight w:val="245"/>
        </w:trPr>
        <w:tc>
          <w:tcPr>
            <w:tcW w:w="695" w:type="dxa"/>
          </w:tcPr>
          <w:p w:rsidR="00E675F0" w:rsidRDefault="00E675F0" w:rsidP="00A330E1">
            <w:pPr>
              <w:pStyle w:val="TableParagraph"/>
              <w:rPr>
                <w:sz w:val="16"/>
              </w:rPr>
            </w:pPr>
          </w:p>
        </w:tc>
        <w:tc>
          <w:tcPr>
            <w:tcW w:w="3151" w:type="dxa"/>
          </w:tcPr>
          <w:p w:rsidR="00E675F0" w:rsidRDefault="00E675F0" w:rsidP="00A330E1">
            <w:pPr>
              <w:pStyle w:val="TableParagraph"/>
              <w:spacing w:line="209" w:lineRule="exact"/>
              <w:ind w:left="99"/>
              <w:rPr>
                <w:i/>
                <w:sz w:val="20"/>
              </w:rPr>
            </w:pPr>
            <w:r>
              <w:rPr>
                <w:i/>
                <w:w w:val="105"/>
                <w:sz w:val="20"/>
              </w:rPr>
              <w:t>Disorders for substance-specific</w:t>
            </w:r>
          </w:p>
        </w:tc>
        <w:tc>
          <w:tcPr>
            <w:tcW w:w="760" w:type="dxa"/>
          </w:tcPr>
          <w:p w:rsidR="00E675F0" w:rsidRDefault="00E675F0" w:rsidP="00A330E1">
            <w:pPr>
              <w:pStyle w:val="TableParagraph"/>
              <w:rPr>
                <w:sz w:val="16"/>
              </w:rPr>
            </w:pPr>
          </w:p>
        </w:tc>
        <w:tc>
          <w:tcPr>
            <w:tcW w:w="3055" w:type="dxa"/>
          </w:tcPr>
          <w:p w:rsidR="00E675F0" w:rsidRDefault="00E675F0" w:rsidP="00A330E1">
            <w:pPr>
              <w:pStyle w:val="TableParagraph"/>
              <w:spacing w:before="18" w:line="207" w:lineRule="exact"/>
              <w:ind w:left="89"/>
              <w:rPr>
                <w:sz w:val="20"/>
              </w:rPr>
            </w:pPr>
            <w:r>
              <w:rPr>
                <w:w w:val="105"/>
                <w:sz w:val="20"/>
              </w:rPr>
              <w:t>Disorder (669)</w:t>
            </w:r>
          </w:p>
        </w:tc>
      </w:tr>
      <w:tr w:rsidR="00E675F0" w:rsidTr="00A330E1">
        <w:trPr>
          <w:trHeight w:val="241"/>
        </w:trPr>
        <w:tc>
          <w:tcPr>
            <w:tcW w:w="695" w:type="dxa"/>
          </w:tcPr>
          <w:p w:rsidR="00E675F0" w:rsidRDefault="00E675F0" w:rsidP="00A330E1">
            <w:pPr>
              <w:pStyle w:val="TableParagraph"/>
              <w:rPr>
                <w:sz w:val="16"/>
              </w:rPr>
            </w:pPr>
          </w:p>
        </w:tc>
        <w:tc>
          <w:tcPr>
            <w:tcW w:w="3151" w:type="dxa"/>
          </w:tcPr>
          <w:p w:rsidR="00E675F0" w:rsidRDefault="00E675F0" w:rsidP="00A330E1">
            <w:pPr>
              <w:pStyle w:val="TableParagraph"/>
              <w:spacing w:line="209" w:lineRule="exact"/>
              <w:ind w:left="97"/>
              <w:rPr>
                <w:sz w:val="20"/>
              </w:rPr>
            </w:pPr>
            <w:r>
              <w:rPr>
                <w:i/>
                <w:w w:val="105"/>
                <w:sz w:val="20"/>
              </w:rPr>
              <w:t xml:space="preserve">codes) </w:t>
            </w:r>
            <w:r>
              <w:rPr>
                <w:w w:val="105"/>
                <w:sz w:val="20"/>
              </w:rPr>
              <w:t>(601)</w:t>
            </w:r>
          </w:p>
        </w:tc>
        <w:tc>
          <w:tcPr>
            <w:tcW w:w="760" w:type="dxa"/>
          </w:tcPr>
          <w:p w:rsidR="00E675F0" w:rsidRDefault="00E675F0" w:rsidP="00A330E1">
            <w:pPr>
              <w:pStyle w:val="TableParagraph"/>
              <w:spacing w:before="18" w:line="203" w:lineRule="exact"/>
              <w:ind w:left="128"/>
              <w:rPr>
                <w:sz w:val="20"/>
              </w:rPr>
            </w:pPr>
            <w:r>
              <w:rPr>
                <w:sz w:val="20"/>
              </w:rPr>
              <w:t>301.9</w:t>
            </w:r>
          </w:p>
        </w:tc>
        <w:tc>
          <w:tcPr>
            <w:tcW w:w="3055" w:type="dxa"/>
          </w:tcPr>
          <w:p w:rsidR="00E675F0" w:rsidRDefault="00E675F0" w:rsidP="00A330E1">
            <w:pPr>
              <w:pStyle w:val="TableParagraph"/>
              <w:spacing w:before="18" w:line="203" w:lineRule="exact"/>
              <w:ind w:left="90"/>
              <w:rPr>
                <w:sz w:val="20"/>
              </w:rPr>
            </w:pPr>
            <w:r>
              <w:rPr>
                <w:sz w:val="20"/>
              </w:rPr>
              <w:t>Personality Disorder NOS (673)</w:t>
            </w:r>
          </w:p>
        </w:tc>
      </w:tr>
      <w:tr w:rsidR="00E675F0" w:rsidTr="00A330E1">
        <w:trPr>
          <w:trHeight w:val="175"/>
        </w:trPr>
        <w:tc>
          <w:tcPr>
            <w:tcW w:w="695" w:type="dxa"/>
          </w:tcPr>
          <w:p w:rsidR="00E675F0" w:rsidRDefault="00E675F0" w:rsidP="00A330E1">
            <w:pPr>
              <w:pStyle w:val="TableParagraph"/>
              <w:rPr>
                <w:sz w:val="10"/>
              </w:rPr>
            </w:pPr>
          </w:p>
        </w:tc>
        <w:tc>
          <w:tcPr>
            <w:tcW w:w="3151" w:type="dxa"/>
          </w:tcPr>
          <w:p w:rsidR="00E675F0" w:rsidRDefault="00E675F0" w:rsidP="00A330E1">
            <w:pPr>
              <w:pStyle w:val="TableParagraph"/>
              <w:spacing w:line="156" w:lineRule="exact"/>
              <w:ind w:left="97"/>
              <w:rPr>
                <w:sz w:val="16"/>
              </w:rPr>
            </w:pPr>
            <w:r>
              <w:rPr>
                <w:i/>
                <w:sz w:val="16"/>
              </w:rPr>
              <w:t xml:space="preserve">Specify zype.- </w:t>
            </w:r>
            <w:r>
              <w:rPr>
                <w:sz w:val="16"/>
              </w:rPr>
              <w:t>Insomnia Type/</w:t>
            </w:r>
          </w:p>
        </w:tc>
        <w:tc>
          <w:tcPr>
            <w:tcW w:w="760" w:type="dxa"/>
          </w:tcPr>
          <w:p w:rsidR="00E675F0" w:rsidRDefault="00E675F0" w:rsidP="00A330E1">
            <w:pPr>
              <w:pStyle w:val="TableParagraph"/>
              <w:rPr>
                <w:sz w:val="10"/>
              </w:rPr>
            </w:pPr>
          </w:p>
        </w:tc>
        <w:tc>
          <w:tcPr>
            <w:tcW w:w="3055" w:type="dxa"/>
          </w:tcPr>
          <w:p w:rsidR="00E675F0" w:rsidRDefault="00E675F0" w:rsidP="00A330E1">
            <w:pPr>
              <w:pStyle w:val="TableParagraph"/>
              <w:rPr>
                <w:sz w:val="10"/>
              </w:rPr>
            </w:pPr>
          </w:p>
        </w:tc>
      </w:tr>
      <w:tr w:rsidR="00E675F0" w:rsidTr="00A330E1">
        <w:trPr>
          <w:trHeight w:val="194"/>
        </w:trPr>
        <w:tc>
          <w:tcPr>
            <w:tcW w:w="695" w:type="dxa"/>
          </w:tcPr>
          <w:p w:rsidR="00E675F0" w:rsidRDefault="00E675F0" w:rsidP="00A330E1">
            <w:pPr>
              <w:pStyle w:val="TableParagraph"/>
              <w:rPr>
                <w:sz w:val="12"/>
              </w:rPr>
            </w:pPr>
          </w:p>
        </w:tc>
        <w:tc>
          <w:tcPr>
            <w:tcW w:w="3151" w:type="dxa"/>
          </w:tcPr>
          <w:p w:rsidR="00E675F0" w:rsidRDefault="00E675F0" w:rsidP="00A330E1">
            <w:pPr>
              <w:pStyle w:val="TableParagraph"/>
              <w:spacing w:line="175" w:lineRule="exact"/>
              <w:ind w:left="90"/>
              <w:rPr>
                <w:sz w:val="16"/>
              </w:rPr>
            </w:pPr>
            <w:r>
              <w:rPr>
                <w:w w:val="105"/>
                <w:sz w:val="16"/>
              </w:rPr>
              <w:t>Hypersomnia Type/Parasomnia Type/</w:t>
            </w:r>
          </w:p>
        </w:tc>
        <w:tc>
          <w:tcPr>
            <w:tcW w:w="760" w:type="dxa"/>
          </w:tcPr>
          <w:p w:rsidR="00E675F0" w:rsidRDefault="00E675F0" w:rsidP="00A330E1">
            <w:pPr>
              <w:pStyle w:val="TableParagraph"/>
              <w:rPr>
                <w:sz w:val="12"/>
              </w:rPr>
            </w:pPr>
          </w:p>
        </w:tc>
        <w:tc>
          <w:tcPr>
            <w:tcW w:w="3055" w:type="dxa"/>
          </w:tcPr>
          <w:p w:rsidR="00E675F0" w:rsidRDefault="00E675F0" w:rsidP="00A330E1">
            <w:pPr>
              <w:pStyle w:val="TableParagraph"/>
              <w:rPr>
                <w:sz w:val="12"/>
              </w:rPr>
            </w:pPr>
          </w:p>
        </w:tc>
      </w:tr>
      <w:tr w:rsidR="00E675F0" w:rsidTr="00A330E1">
        <w:trPr>
          <w:trHeight w:val="976"/>
        </w:trPr>
        <w:tc>
          <w:tcPr>
            <w:tcW w:w="7661" w:type="dxa"/>
            <w:gridSpan w:val="4"/>
          </w:tcPr>
          <w:p w:rsidR="00E675F0" w:rsidRDefault="00E675F0" w:rsidP="00A330E1">
            <w:pPr>
              <w:pStyle w:val="TableParagraph"/>
              <w:spacing w:line="138" w:lineRule="exact"/>
              <w:ind w:left="781"/>
              <w:rPr>
                <w:sz w:val="16"/>
              </w:rPr>
            </w:pPr>
            <w:r>
              <w:rPr>
                <w:w w:val="105"/>
                <w:sz w:val="16"/>
              </w:rPr>
              <w:t>Mixed Type</w:t>
            </w:r>
          </w:p>
          <w:p w:rsidR="00E675F0" w:rsidRDefault="00E675F0" w:rsidP="00A330E1">
            <w:pPr>
              <w:pStyle w:val="TableParagraph"/>
              <w:tabs>
                <w:tab w:val="left" w:pos="4146"/>
              </w:tabs>
              <w:spacing w:line="243" w:lineRule="exact"/>
              <w:ind w:left="792"/>
              <w:rPr>
                <w:rFonts w:ascii="Arial"/>
                <w:b/>
                <w:sz w:val="21"/>
              </w:rPr>
            </w:pPr>
            <w:r>
              <w:rPr>
                <w:i/>
                <w:w w:val="105"/>
                <w:sz w:val="16"/>
              </w:rPr>
              <w:t xml:space="preserve">Specify </w:t>
            </w:r>
            <w:r>
              <w:rPr>
                <w:rFonts w:ascii="Arial"/>
                <w:i/>
                <w:w w:val="105"/>
                <w:sz w:val="18"/>
              </w:rPr>
              <w:t xml:space="preserve">if   </w:t>
            </w:r>
            <w:r>
              <w:rPr>
                <w:w w:val="105"/>
                <w:sz w:val="16"/>
              </w:rPr>
              <w:t>With</w:t>
            </w:r>
            <w:r>
              <w:rPr>
                <w:spacing w:val="-19"/>
                <w:w w:val="105"/>
                <w:sz w:val="16"/>
              </w:rPr>
              <w:t xml:space="preserve"> </w:t>
            </w:r>
            <w:r>
              <w:rPr>
                <w:w w:val="105"/>
                <w:sz w:val="16"/>
              </w:rPr>
              <w:t>Onset</w:t>
            </w:r>
            <w:r>
              <w:rPr>
                <w:spacing w:val="4"/>
                <w:w w:val="105"/>
                <w:sz w:val="16"/>
              </w:rPr>
              <w:t xml:space="preserve"> </w:t>
            </w:r>
            <w:r>
              <w:rPr>
                <w:w w:val="105"/>
                <w:sz w:val="16"/>
              </w:rPr>
              <w:t>During</w:t>
            </w:r>
            <w:r>
              <w:rPr>
                <w:w w:val="105"/>
                <w:sz w:val="16"/>
              </w:rPr>
              <w:tab/>
            </w:r>
            <w:r>
              <w:rPr>
                <w:rFonts w:ascii="Arial"/>
                <w:b/>
                <w:color w:val="242424"/>
                <w:w w:val="105"/>
                <w:position w:val="5"/>
                <w:sz w:val="21"/>
              </w:rPr>
              <w:t>Other Conditions That</w:t>
            </w:r>
            <w:r>
              <w:rPr>
                <w:rFonts w:ascii="Arial"/>
                <w:b/>
                <w:color w:val="242424"/>
                <w:spacing w:val="36"/>
                <w:w w:val="105"/>
                <w:position w:val="5"/>
                <w:sz w:val="21"/>
              </w:rPr>
              <w:t xml:space="preserve"> </w:t>
            </w:r>
            <w:r>
              <w:rPr>
                <w:rFonts w:ascii="Arial"/>
                <w:b/>
                <w:color w:val="242424"/>
                <w:w w:val="105"/>
                <w:position w:val="5"/>
                <w:sz w:val="21"/>
              </w:rPr>
              <w:t>May</w:t>
            </w:r>
          </w:p>
          <w:p w:rsidR="00E675F0" w:rsidRDefault="00E675F0" w:rsidP="00A330E1">
            <w:pPr>
              <w:pStyle w:val="TableParagraph"/>
              <w:tabs>
                <w:tab w:val="left" w:pos="4149"/>
              </w:tabs>
              <w:spacing w:line="220" w:lineRule="exact"/>
              <w:ind w:left="779"/>
              <w:rPr>
                <w:rFonts w:ascii="Arial"/>
                <w:b/>
                <w:sz w:val="21"/>
              </w:rPr>
            </w:pPr>
            <w:r>
              <w:rPr>
                <w:w w:val="105"/>
                <w:sz w:val="16"/>
              </w:rPr>
              <w:t>Intoxication/With</w:t>
            </w:r>
            <w:r>
              <w:rPr>
                <w:spacing w:val="5"/>
                <w:w w:val="105"/>
                <w:sz w:val="16"/>
              </w:rPr>
              <w:t xml:space="preserve"> </w:t>
            </w:r>
            <w:r>
              <w:rPr>
                <w:w w:val="105"/>
                <w:sz w:val="16"/>
              </w:rPr>
              <w:t>Onset</w:t>
            </w:r>
            <w:r>
              <w:rPr>
                <w:spacing w:val="9"/>
                <w:w w:val="105"/>
                <w:sz w:val="16"/>
              </w:rPr>
              <w:t xml:space="preserve"> </w:t>
            </w:r>
            <w:r>
              <w:rPr>
                <w:w w:val="105"/>
                <w:sz w:val="16"/>
              </w:rPr>
              <w:t>During</w:t>
            </w:r>
            <w:r>
              <w:rPr>
                <w:w w:val="105"/>
                <w:sz w:val="16"/>
              </w:rPr>
              <w:tab/>
            </w:r>
            <w:r>
              <w:rPr>
                <w:rFonts w:ascii="Arial"/>
                <w:b/>
                <w:color w:val="242424"/>
                <w:w w:val="105"/>
                <w:position w:val="-4"/>
                <w:sz w:val="21"/>
              </w:rPr>
              <w:t>Be a Focus of</w:t>
            </w:r>
            <w:r>
              <w:rPr>
                <w:rFonts w:ascii="Arial"/>
                <w:b/>
                <w:color w:val="242424"/>
                <w:spacing w:val="27"/>
                <w:w w:val="105"/>
                <w:position w:val="-4"/>
                <w:sz w:val="21"/>
              </w:rPr>
              <w:t xml:space="preserve"> </w:t>
            </w:r>
            <w:r>
              <w:rPr>
                <w:rFonts w:ascii="Arial"/>
                <w:b/>
                <w:color w:val="242424"/>
                <w:w w:val="105"/>
                <w:position w:val="-4"/>
                <w:sz w:val="21"/>
              </w:rPr>
              <w:t>Clinical</w:t>
            </w:r>
          </w:p>
          <w:p w:rsidR="00E675F0" w:rsidRDefault="00E675F0" w:rsidP="00A330E1">
            <w:pPr>
              <w:pStyle w:val="TableParagraph"/>
              <w:tabs>
                <w:tab w:val="left" w:pos="4146"/>
              </w:tabs>
              <w:spacing w:line="310" w:lineRule="exact"/>
              <w:ind w:left="776"/>
              <w:rPr>
                <w:sz w:val="20"/>
              </w:rPr>
            </w:pPr>
            <w:r>
              <w:rPr>
                <w:w w:val="105"/>
                <w:position w:val="14"/>
                <w:sz w:val="16"/>
              </w:rPr>
              <w:t>Withdrawal</w:t>
            </w:r>
            <w:r>
              <w:rPr>
                <w:w w:val="105"/>
                <w:position w:val="14"/>
                <w:sz w:val="16"/>
              </w:rPr>
              <w:tab/>
            </w:r>
            <w:r>
              <w:rPr>
                <w:rFonts w:ascii="Arial"/>
                <w:b/>
                <w:color w:val="242424"/>
                <w:w w:val="105"/>
                <w:sz w:val="21"/>
              </w:rPr>
              <w:t>Attention</w:t>
            </w:r>
            <w:r>
              <w:rPr>
                <w:rFonts w:ascii="Arial"/>
                <w:b/>
                <w:color w:val="242424"/>
                <w:spacing w:val="24"/>
                <w:w w:val="105"/>
                <w:sz w:val="21"/>
              </w:rPr>
              <w:t xml:space="preserve"> </w:t>
            </w:r>
            <w:r>
              <w:rPr>
                <w:color w:val="606060"/>
                <w:w w:val="105"/>
                <w:sz w:val="20"/>
              </w:rPr>
              <w:t>t675)</w:t>
            </w:r>
          </w:p>
        </w:tc>
      </w:tr>
    </w:tbl>
    <w:p w:rsidR="00E675F0" w:rsidRDefault="00E675F0" w:rsidP="00E675F0">
      <w:pPr>
        <w:pStyle w:val="BodyText"/>
        <w:spacing w:before="8"/>
        <w:rPr>
          <w:sz w:val="10"/>
        </w:rPr>
      </w:pPr>
    </w:p>
    <w:p w:rsidR="00E675F0" w:rsidRDefault="00E675F0" w:rsidP="00E675F0">
      <w:pPr>
        <w:rPr>
          <w:sz w:val="10"/>
        </w:rPr>
        <w:sectPr w:rsidR="00E675F0">
          <w:type w:val="continuous"/>
          <w:pgSz w:w="8960" w:h="14260"/>
          <w:pgMar w:top="640" w:right="460" w:bottom="0" w:left="560" w:header="720" w:footer="720" w:gutter="0"/>
          <w:cols w:space="720"/>
        </w:sectPr>
      </w:pPr>
    </w:p>
    <w:p w:rsidR="00E675F0" w:rsidRDefault="00E675F0" w:rsidP="00E675F0">
      <w:pPr>
        <w:spacing w:before="93" w:line="276" w:lineRule="auto"/>
        <w:ind w:left="353" w:hanging="4"/>
        <w:rPr>
          <w:sz w:val="20"/>
        </w:rPr>
      </w:pPr>
      <w:r>
        <w:rPr>
          <w:noProof/>
        </w:rPr>
        <mc:AlternateContent>
          <mc:Choice Requires="wps">
            <w:drawing>
              <wp:anchor distT="0" distB="0" distL="114300" distR="114300" simplePos="0" relativeHeight="251743232" behindDoc="1" locked="0" layoutInCell="1" allowOverlap="1" wp14:anchorId="75137CA5" wp14:editId="07A1AAE0">
                <wp:simplePos x="0" y="0"/>
                <wp:positionH relativeFrom="page">
                  <wp:posOffset>4777105</wp:posOffset>
                </wp:positionH>
                <wp:positionV relativeFrom="paragraph">
                  <wp:posOffset>-688975</wp:posOffset>
                </wp:positionV>
                <wp:extent cx="427990" cy="622935"/>
                <wp:effectExtent l="0" t="0" r="3810" b="0"/>
                <wp:wrapNone/>
                <wp:docPr id="1688" name="AutoShape 16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7990" cy="622935"/>
                        </a:xfrm>
                        <a:custGeom>
                          <a:avLst/>
                          <a:gdLst>
                            <a:gd name="T0" fmla="+- 0 8173 7523"/>
                            <a:gd name="T1" fmla="*/ T0 w 674"/>
                            <a:gd name="T2" fmla="+- 0 -104 -1085"/>
                            <a:gd name="T3" fmla="*/ -104 h 981"/>
                            <a:gd name="T4" fmla="+- 0 8173 7523"/>
                            <a:gd name="T5" fmla="*/ T4 w 674"/>
                            <a:gd name="T6" fmla="+- 0 -1085 -1085"/>
                            <a:gd name="T7" fmla="*/ -1085 h 981"/>
                            <a:gd name="T8" fmla="+- 0 7523 7523"/>
                            <a:gd name="T9" fmla="*/ T8 w 674"/>
                            <a:gd name="T10" fmla="+- 0 -128 -1085"/>
                            <a:gd name="T11" fmla="*/ -128 h 981"/>
                            <a:gd name="T12" fmla="+- 0 8197 7523"/>
                            <a:gd name="T13" fmla="*/ T12 w 674"/>
                            <a:gd name="T14" fmla="+- 0 -128 -1085"/>
                            <a:gd name="T15" fmla="*/ -128 h 981"/>
                          </a:gdLst>
                          <a:ahLst/>
                          <a:cxnLst>
                            <a:cxn ang="0">
                              <a:pos x="T1" y="T3"/>
                            </a:cxn>
                            <a:cxn ang="0">
                              <a:pos x="T5" y="T7"/>
                            </a:cxn>
                            <a:cxn ang="0">
                              <a:pos x="T9" y="T11"/>
                            </a:cxn>
                            <a:cxn ang="0">
                              <a:pos x="T13" y="T15"/>
                            </a:cxn>
                          </a:cxnLst>
                          <a:rect l="0" t="0" r="r" b="b"/>
                          <a:pathLst>
                            <a:path w="674" h="981">
                              <a:moveTo>
                                <a:pt x="650" y="981"/>
                              </a:moveTo>
                              <a:lnTo>
                                <a:pt x="650" y="0"/>
                              </a:lnTo>
                              <a:moveTo>
                                <a:pt x="0" y="957"/>
                              </a:moveTo>
                              <a:lnTo>
                                <a:pt x="674" y="957"/>
                              </a:lnTo>
                            </a:path>
                          </a:pathLst>
                        </a:custGeom>
                        <a:noFill/>
                        <a:ln w="305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3579A" id="AutoShape 1644" o:spid="_x0000_s1026" style="position:absolute;margin-left:376.15pt;margin-top:-54.25pt;width:33.7pt;height:49.05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74,9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" path="m650,981l650,m,957r674,e" filled="f" strokeweight=".08481mm">
                <v:path arrowok="t" o:connecttype="custom" o:connectlocs="412750,-66040;412750,-688975;0,-81280;427990,-81280" o:connectangles="0,0,0,0"/>
                <w10:wrap anchorx="page"/>
              </v:shape>
            </w:pict>
          </mc:Fallback>
        </mc:AlternateContent>
      </w:r>
      <w:r>
        <w:rPr>
          <w:rFonts w:ascii="Arial"/>
          <w:b/>
          <w:color w:val="242424"/>
          <w:w w:val="105"/>
          <w:sz w:val="21"/>
        </w:rPr>
        <w:t xml:space="preserve">Impulse-Control Disorders Not Elsewhere Classified </w:t>
      </w:r>
      <w:r>
        <w:rPr>
          <w:color w:val="707070"/>
          <w:w w:val="105"/>
          <w:sz w:val="20"/>
        </w:rPr>
        <w:t>(609)</w:t>
      </w:r>
    </w:p>
    <w:p w:rsidR="00E675F0" w:rsidRDefault="00E675F0" w:rsidP="00E675F0">
      <w:pPr>
        <w:pStyle w:val="BodyText"/>
        <w:spacing w:before="138"/>
        <w:ind w:left="177"/>
      </w:pPr>
      <w:r>
        <w:t>312.34 Intermittent Explosive Disorder (609)</w:t>
      </w:r>
    </w:p>
    <w:p w:rsidR="00E675F0" w:rsidRDefault="00E675F0" w:rsidP="003048D3">
      <w:pPr>
        <w:pStyle w:val="ListParagraph"/>
        <w:numPr>
          <w:ilvl w:val="1"/>
          <w:numId w:val="120"/>
        </w:numPr>
        <w:tabs>
          <w:tab w:val="left" w:pos="904"/>
        </w:tabs>
        <w:rPr>
          <w:sz w:val="20"/>
        </w:rPr>
      </w:pPr>
      <w:r>
        <w:rPr>
          <w:w w:val="105"/>
          <w:sz w:val="20"/>
        </w:rPr>
        <w:t>Kleptomania</w:t>
      </w:r>
      <w:r>
        <w:rPr>
          <w:spacing w:val="23"/>
          <w:w w:val="105"/>
          <w:sz w:val="20"/>
        </w:rPr>
        <w:t xml:space="preserve"> </w:t>
      </w:r>
      <w:r>
        <w:rPr>
          <w:w w:val="105"/>
          <w:sz w:val="20"/>
        </w:rPr>
        <w:t>(612)</w:t>
      </w:r>
    </w:p>
    <w:p w:rsidR="00E675F0" w:rsidRDefault="00E675F0" w:rsidP="003048D3">
      <w:pPr>
        <w:pStyle w:val="ListParagraph"/>
        <w:numPr>
          <w:ilvl w:val="1"/>
          <w:numId w:val="120"/>
        </w:numPr>
        <w:tabs>
          <w:tab w:val="left" w:pos="904"/>
        </w:tabs>
        <w:spacing w:before="11"/>
        <w:rPr>
          <w:sz w:val="20"/>
        </w:rPr>
      </w:pPr>
      <w:r>
        <w:rPr>
          <w:w w:val="105"/>
          <w:sz w:val="20"/>
        </w:rPr>
        <w:t>Pyromania</w:t>
      </w:r>
      <w:r>
        <w:rPr>
          <w:spacing w:val="23"/>
          <w:w w:val="105"/>
          <w:sz w:val="20"/>
        </w:rPr>
        <w:t xml:space="preserve"> </w:t>
      </w:r>
      <w:r>
        <w:rPr>
          <w:w w:val="105"/>
          <w:sz w:val="20"/>
        </w:rPr>
        <w:t>(614)</w:t>
      </w:r>
    </w:p>
    <w:p w:rsidR="00E675F0" w:rsidRDefault="00E675F0" w:rsidP="00E675F0">
      <w:pPr>
        <w:pStyle w:val="BodyText"/>
        <w:spacing w:before="10"/>
        <w:ind w:left="177"/>
      </w:pPr>
      <w:r>
        <w:rPr>
          <w:w w:val="105"/>
        </w:rPr>
        <w:t>312.31 Pathological Gambling (615)</w:t>
      </w:r>
    </w:p>
    <w:p w:rsidR="00E675F0" w:rsidRDefault="00E675F0" w:rsidP="00E675F0">
      <w:pPr>
        <w:pStyle w:val="BodyText"/>
        <w:spacing w:before="15"/>
        <w:ind w:left="177"/>
      </w:pPr>
      <w:r>
        <w:rPr>
          <w:w w:val="105"/>
        </w:rPr>
        <w:t>312.39 Trichotillomania (618)</w:t>
      </w:r>
    </w:p>
    <w:p w:rsidR="00E675F0" w:rsidRDefault="00E675F0" w:rsidP="00E675F0">
      <w:pPr>
        <w:pStyle w:val="BodyText"/>
        <w:spacing w:before="10"/>
        <w:ind w:left="177"/>
      </w:pPr>
      <w:r>
        <w:t>312.30 Impulse-Control Disorder NOS (621)</w:t>
      </w:r>
    </w:p>
    <w:p w:rsidR="00E675F0" w:rsidRDefault="00E675F0" w:rsidP="00E675F0">
      <w:pPr>
        <w:pStyle w:val="BodyText"/>
        <w:rPr>
          <w:sz w:val="22"/>
        </w:rPr>
      </w:pPr>
    </w:p>
    <w:p w:rsidR="00E675F0" w:rsidRDefault="00E675F0" w:rsidP="00E675F0">
      <w:pPr>
        <w:spacing w:before="161"/>
        <w:ind w:left="358"/>
        <w:rPr>
          <w:sz w:val="18"/>
        </w:rPr>
      </w:pPr>
      <w:r>
        <w:rPr>
          <w:rFonts w:ascii="Arial"/>
          <w:b/>
          <w:color w:val="242424"/>
          <w:sz w:val="21"/>
        </w:rPr>
        <w:t xml:space="preserve">Adjustment Disorders </w:t>
      </w:r>
      <w:r>
        <w:rPr>
          <w:color w:val="707070"/>
          <w:sz w:val="18"/>
        </w:rPr>
        <w:t>C(123J</w:t>
      </w:r>
    </w:p>
    <w:p w:rsidR="00E675F0" w:rsidRDefault="00E675F0" w:rsidP="00E675F0">
      <w:pPr>
        <w:spacing w:before="98" w:line="271" w:lineRule="auto"/>
        <w:ind w:left="170" w:right="688" w:firstLine="6"/>
        <w:rPr>
          <w:sz w:val="20"/>
        </w:rPr>
      </w:pPr>
      <w:r>
        <w:br w:type="column"/>
      </w:r>
      <w:r>
        <w:rPr>
          <w:b/>
          <w:sz w:val="18"/>
        </w:rPr>
        <w:t xml:space="preserve">PSYCHOLOGICAL FACTORS </w:t>
      </w:r>
      <w:r>
        <w:rPr>
          <w:b/>
          <w:w w:val="105"/>
          <w:sz w:val="18"/>
        </w:rPr>
        <w:t xml:space="preserve">AFFECTING MEDICAL CONDITION </w:t>
      </w:r>
      <w:r>
        <w:rPr>
          <w:w w:val="105"/>
          <w:sz w:val="20"/>
        </w:rPr>
        <w:t>(675)</w:t>
      </w:r>
    </w:p>
    <w:p w:rsidR="00E675F0" w:rsidRDefault="00E675F0" w:rsidP="00E675F0">
      <w:pPr>
        <w:tabs>
          <w:tab w:val="left" w:pos="903"/>
        </w:tabs>
        <w:spacing w:line="214" w:lineRule="exact"/>
        <w:ind w:left="178"/>
        <w:rPr>
          <w:i/>
          <w:sz w:val="20"/>
        </w:rPr>
      </w:pPr>
      <w:r>
        <w:rPr>
          <w:sz w:val="20"/>
        </w:rPr>
        <w:t>316</w:t>
      </w:r>
      <w:r>
        <w:rPr>
          <w:sz w:val="20"/>
        </w:rPr>
        <w:tab/>
        <w:t xml:space="preserve">... </w:t>
      </w:r>
      <w:r>
        <w:rPr>
          <w:i/>
          <w:sz w:val="20"/>
        </w:rPr>
        <w:t>[Specified Psychological</w:t>
      </w:r>
      <w:r>
        <w:rPr>
          <w:i/>
          <w:spacing w:val="8"/>
          <w:sz w:val="20"/>
        </w:rPr>
        <w:t xml:space="preserve"> </w:t>
      </w:r>
      <w:r>
        <w:rPr>
          <w:i/>
          <w:sz w:val="20"/>
        </w:rPr>
        <w:t>Factor}</w:t>
      </w:r>
    </w:p>
    <w:p w:rsidR="00E675F0" w:rsidRDefault="00E675F0" w:rsidP="00E675F0">
      <w:pPr>
        <w:spacing w:before="6" w:line="252" w:lineRule="auto"/>
        <w:ind w:left="913" w:right="316" w:hanging="12"/>
        <w:rPr>
          <w:i/>
          <w:sz w:val="20"/>
        </w:rPr>
      </w:pPr>
      <w:r>
        <w:rPr>
          <w:sz w:val="20"/>
        </w:rPr>
        <w:t xml:space="preserve">Affecting ...   </w:t>
      </w:r>
      <w:r>
        <w:rPr>
          <w:i/>
          <w:sz w:val="20"/>
        </w:rPr>
        <w:t xml:space="preserve">(Indicate the General Medical Condition} </w:t>
      </w:r>
      <w:r>
        <w:rPr>
          <w:sz w:val="20"/>
        </w:rPr>
        <w:t xml:space="preserve">(675) </w:t>
      </w:r>
      <w:r>
        <w:rPr>
          <w:i/>
          <w:sz w:val="20"/>
        </w:rPr>
        <w:t xml:space="preserve">Choose name based on nature </w:t>
      </w:r>
      <w:r>
        <w:rPr>
          <w:i/>
          <w:spacing w:val="-6"/>
          <w:sz w:val="20"/>
        </w:rPr>
        <w:t xml:space="preserve">of </w:t>
      </w:r>
      <w:r>
        <w:rPr>
          <w:i/>
          <w:sz w:val="20"/>
        </w:rPr>
        <w:t>factors:</w:t>
      </w:r>
    </w:p>
    <w:p w:rsidR="00E675F0" w:rsidRDefault="00E675F0" w:rsidP="00E675F0">
      <w:pPr>
        <w:pStyle w:val="BodyText"/>
        <w:spacing w:line="249" w:lineRule="auto"/>
        <w:ind w:left="1203" w:hanging="299"/>
      </w:pPr>
      <w:r>
        <w:t>Mental Disorder Affecting Medical Condition</w:t>
      </w:r>
    </w:p>
    <w:p w:rsidR="00E675F0" w:rsidRDefault="00E675F0" w:rsidP="00E675F0">
      <w:pPr>
        <w:pStyle w:val="BodyText"/>
        <w:spacing w:line="249" w:lineRule="auto"/>
        <w:ind w:left="1207" w:hanging="304"/>
      </w:pPr>
      <w:r>
        <w:t>Psychological Symptoms Affecting Medical Condition</w:t>
      </w:r>
    </w:p>
    <w:p w:rsidR="00E675F0" w:rsidRDefault="00E675F0" w:rsidP="00E675F0">
      <w:pPr>
        <w:spacing w:line="249" w:lineRule="auto"/>
        <w:sectPr w:rsidR="00E675F0">
          <w:type w:val="continuous"/>
          <w:pgSz w:w="8960" w:h="14260"/>
          <w:pgMar w:top="640" w:right="460" w:bottom="0" w:left="560" w:header="720" w:footer="720" w:gutter="0"/>
          <w:cols w:num="2" w:space="720" w:equalWidth="0">
            <w:col w:w="3875" w:space="40"/>
            <w:col w:w="4025"/>
          </w:cols>
        </w:sectPr>
      </w:pPr>
    </w:p>
    <w:p w:rsidR="00E675F0" w:rsidRDefault="00E675F0" w:rsidP="00E675F0">
      <w:pPr>
        <w:pStyle w:val="BodyText"/>
        <w:spacing w:before="62"/>
        <w:ind w:left="177"/>
      </w:pPr>
      <w:r>
        <w:t>309.xx</w:t>
      </w:r>
    </w:p>
    <w:p w:rsidR="00E675F0" w:rsidRDefault="00E675F0" w:rsidP="00E675F0">
      <w:pPr>
        <w:spacing w:before="28"/>
        <w:ind w:left="491"/>
        <w:rPr>
          <w:rFonts w:ascii="Arial"/>
          <w:sz w:val="18"/>
        </w:rPr>
      </w:pPr>
      <w:r>
        <w:rPr>
          <w:rFonts w:ascii="Arial"/>
          <w:w w:val="110"/>
          <w:sz w:val="18"/>
        </w:rPr>
        <w:t>.0</w:t>
      </w:r>
    </w:p>
    <w:p w:rsidR="00E675F0" w:rsidRDefault="00E675F0" w:rsidP="00E675F0">
      <w:pPr>
        <w:pStyle w:val="BodyText"/>
        <w:spacing w:before="21"/>
        <w:ind w:left="493"/>
      </w:pPr>
      <w:r>
        <w:t>.24</w:t>
      </w:r>
    </w:p>
    <w:p w:rsidR="00E675F0" w:rsidRDefault="00E675F0" w:rsidP="00E675F0">
      <w:pPr>
        <w:pStyle w:val="BodyText"/>
        <w:spacing w:before="15"/>
        <w:ind w:left="493"/>
      </w:pPr>
      <w:r>
        <w:t>.28</w:t>
      </w:r>
    </w:p>
    <w:p w:rsidR="00E675F0" w:rsidRDefault="00E675F0" w:rsidP="00E675F0">
      <w:pPr>
        <w:pStyle w:val="BodyText"/>
        <w:spacing w:before="4"/>
        <w:rPr>
          <w:sz w:val="23"/>
        </w:rPr>
      </w:pPr>
    </w:p>
    <w:p w:rsidR="00E675F0" w:rsidRDefault="00E675F0" w:rsidP="00E675F0">
      <w:pPr>
        <w:pStyle w:val="BodyText"/>
        <w:ind w:left="489"/>
        <w:rPr>
          <w:rFonts w:ascii="Arial"/>
        </w:rPr>
      </w:pPr>
      <w:r>
        <w:rPr>
          <w:rFonts w:ascii="Arial"/>
        </w:rPr>
        <w:t>.3</w:t>
      </w:r>
    </w:p>
    <w:p w:rsidR="00E675F0" w:rsidRDefault="00E675F0" w:rsidP="00E675F0">
      <w:pPr>
        <w:pStyle w:val="BodyText"/>
        <w:spacing w:before="11"/>
        <w:ind w:left="493"/>
      </w:pPr>
      <w:r>
        <w:t>.4</w:t>
      </w:r>
    </w:p>
    <w:p w:rsidR="00E675F0" w:rsidRDefault="00E675F0" w:rsidP="00E675F0">
      <w:pPr>
        <w:pStyle w:val="BodyText"/>
        <w:spacing w:before="9"/>
        <w:rPr>
          <w:sz w:val="23"/>
        </w:rPr>
      </w:pPr>
    </w:p>
    <w:p w:rsidR="00E675F0" w:rsidRDefault="00E675F0" w:rsidP="00E675F0">
      <w:pPr>
        <w:spacing w:before="1"/>
        <w:ind w:left="490"/>
        <w:rPr>
          <w:rFonts w:ascii="Arial"/>
          <w:sz w:val="19"/>
        </w:rPr>
      </w:pPr>
      <w:r>
        <w:rPr>
          <w:rFonts w:ascii="Arial"/>
          <w:w w:val="105"/>
          <w:sz w:val="19"/>
        </w:rPr>
        <w:t>.9</w:t>
      </w:r>
    </w:p>
    <w:p w:rsidR="00E675F0" w:rsidRDefault="00E675F0" w:rsidP="00E675F0">
      <w:pPr>
        <w:pStyle w:val="BodyText"/>
        <w:spacing w:before="52" w:line="259" w:lineRule="auto"/>
        <w:ind w:left="406" w:right="572" w:hanging="298"/>
        <w:jc w:val="both"/>
      </w:pPr>
      <w:r>
        <w:br w:type="column"/>
      </w:r>
      <w:r>
        <w:t>Adjustment Disorder (623) With Depressed Mood With Anxiety</w:t>
      </w:r>
    </w:p>
    <w:p w:rsidR="00E675F0" w:rsidRDefault="00E675F0" w:rsidP="00E675F0">
      <w:pPr>
        <w:pStyle w:val="BodyText"/>
        <w:spacing w:line="256" w:lineRule="auto"/>
        <w:ind w:left="410" w:hanging="5"/>
      </w:pPr>
      <w:r>
        <w:rPr>
          <w:w w:val="105"/>
        </w:rPr>
        <w:t>With Mixed Anxiety and Depressed Mood</w:t>
      </w:r>
    </w:p>
    <w:p w:rsidR="00E675F0" w:rsidRDefault="00E675F0" w:rsidP="00E675F0">
      <w:pPr>
        <w:pStyle w:val="BodyText"/>
        <w:spacing w:line="256" w:lineRule="auto"/>
        <w:ind w:left="406"/>
      </w:pPr>
      <w:r>
        <w:t>With Disturbance of Conduct With Mixed Disturbance of Emotions and Conduct Unspecified</w:t>
      </w:r>
    </w:p>
    <w:p w:rsidR="00E675F0" w:rsidRDefault="00E675F0" w:rsidP="00E675F0">
      <w:pPr>
        <w:spacing w:line="177" w:lineRule="exact"/>
        <w:ind w:left="123"/>
        <w:rPr>
          <w:sz w:val="16"/>
        </w:rPr>
      </w:pPr>
      <w:r>
        <w:rPr>
          <w:i/>
          <w:sz w:val="16"/>
        </w:rPr>
        <w:t xml:space="preserve">Spec/fr </w:t>
      </w:r>
      <w:r>
        <w:rPr>
          <w:rFonts w:ascii="Arial"/>
          <w:i/>
          <w:sz w:val="20"/>
        </w:rPr>
        <w:t xml:space="preserve">!f </w:t>
      </w:r>
      <w:r>
        <w:rPr>
          <w:sz w:val="16"/>
        </w:rPr>
        <w:t>Acute/Chronic</w:t>
      </w:r>
    </w:p>
    <w:p w:rsidR="00E675F0" w:rsidRDefault="00E675F0" w:rsidP="00E675F0">
      <w:pPr>
        <w:pStyle w:val="BodyText"/>
        <w:spacing w:before="4" w:line="256" w:lineRule="auto"/>
        <w:ind w:left="481" w:right="222" w:hanging="296"/>
      </w:pPr>
      <w:r>
        <w:br w:type="column"/>
      </w:r>
      <w:r>
        <w:rPr>
          <w:w w:val="105"/>
        </w:rPr>
        <w:lastRenderedPageBreak/>
        <w:t>Personality Traits or Coping</w:t>
      </w:r>
      <w:r>
        <w:rPr>
          <w:spacing w:val="-33"/>
          <w:w w:val="105"/>
        </w:rPr>
        <w:t xml:space="preserve"> </w:t>
      </w:r>
      <w:r>
        <w:rPr>
          <w:w w:val="105"/>
        </w:rPr>
        <w:t>Style Affecting Medical</w:t>
      </w:r>
      <w:r>
        <w:rPr>
          <w:spacing w:val="-9"/>
          <w:w w:val="105"/>
        </w:rPr>
        <w:t xml:space="preserve"> </w:t>
      </w:r>
      <w:r>
        <w:rPr>
          <w:w w:val="105"/>
        </w:rPr>
        <w:t>Condition</w:t>
      </w:r>
    </w:p>
    <w:p w:rsidR="00E675F0" w:rsidRDefault="00E675F0" w:rsidP="00E675F0">
      <w:pPr>
        <w:pStyle w:val="BodyText"/>
        <w:spacing w:line="256" w:lineRule="auto"/>
        <w:ind w:left="486" w:right="222" w:hanging="305"/>
      </w:pPr>
      <w:r>
        <w:t>Mala</w:t>
      </w:r>
      <w:r>
        <w:t>daptive Health Behaviors Affecting Medical</w:t>
      </w:r>
      <w:r>
        <w:rPr>
          <w:spacing w:val="33"/>
        </w:rPr>
        <w:t xml:space="preserve"> </w:t>
      </w:r>
      <w:r>
        <w:t>Condition</w:t>
      </w:r>
    </w:p>
    <w:p w:rsidR="00E675F0" w:rsidRDefault="00E675F0" w:rsidP="00E675F0">
      <w:pPr>
        <w:pStyle w:val="BodyText"/>
        <w:spacing w:line="259" w:lineRule="auto"/>
        <w:ind w:left="480" w:right="222" w:hanging="304"/>
      </w:pPr>
      <w:r>
        <w:t>Stress-Related Physiological Response Affecting Medical Condition</w:t>
      </w:r>
    </w:p>
    <w:p w:rsidR="00E675F0" w:rsidRDefault="00E675F0" w:rsidP="00E675F0">
      <w:pPr>
        <w:pStyle w:val="BodyText"/>
        <w:spacing w:line="249" w:lineRule="auto"/>
        <w:ind w:left="485" w:right="222" w:hanging="298"/>
      </w:pPr>
      <w:r>
        <w:rPr>
          <w:w w:val="105"/>
        </w:rPr>
        <w:t xml:space="preserve">Other or Unspecified Psychological Factors </w:t>
      </w:r>
      <w:r>
        <w:t>Affecting Medical Condition</w:t>
      </w:r>
    </w:p>
    <w:p w:rsidR="00E675F0" w:rsidRDefault="00E675F0" w:rsidP="00E675F0">
      <w:pPr>
        <w:spacing w:line="249" w:lineRule="auto"/>
        <w:sectPr w:rsidR="00E675F0">
          <w:type w:val="continuous"/>
          <w:pgSz w:w="8960" w:h="14260"/>
          <w:pgMar w:top="640" w:right="460" w:bottom="0" w:left="560" w:header="720" w:footer="720" w:gutter="0"/>
          <w:cols w:num="3" w:space="720" w:equalWidth="0">
            <w:col w:w="752" w:space="40"/>
            <w:col w:w="2957" w:space="888"/>
            <w:col w:w="3303"/>
          </w:cols>
        </w:sectPr>
      </w:pPr>
    </w:p>
    <w:p w:rsidR="00E675F0" w:rsidRDefault="00E675F0" w:rsidP="00E675F0">
      <w:pPr>
        <w:spacing w:before="161" w:line="261" w:lineRule="auto"/>
        <w:ind w:left="147" w:firstLine="4"/>
        <w:rPr>
          <w:sz w:val="20"/>
        </w:rPr>
      </w:pPr>
      <w:r>
        <w:rPr>
          <w:b/>
          <w:color w:val="0E0E0E"/>
          <w:w w:val="105"/>
          <w:sz w:val="18"/>
        </w:rPr>
        <w:lastRenderedPageBreak/>
        <w:t xml:space="preserve">MEDICATION-INDUCED MOVEMENT DISORDERS </w:t>
      </w:r>
      <w:r>
        <w:rPr>
          <w:color w:val="0E0E0E"/>
          <w:w w:val="105"/>
          <w:sz w:val="20"/>
        </w:rPr>
        <w:t>(678)</w:t>
      </w:r>
    </w:p>
    <w:p w:rsidR="00E675F0" w:rsidRDefault="00E675F0" w:rsidP="00E675F0">
      <w:pPr>
        <w:pStyle w:val="BodyText"/>
        <w:tabs>
          <w:tab w:val="left" w:pos="884"/>
        </w:tabs>
        <w:spacing w:line="249" w:lineRule="auto"/>
        <w:ind w:left="879" w:right="566" w:hanging="727"/>
      </w:pPr>
      <w:r>
        <w:rPr>
          <w:color w:val="0E0E0E"/>
          <w:w w:val="105"/>
        </w:rPr>
        <w:t>332.1</w:t>
      </w:r>
      <w:r>
        <w:rPr>
          <w:color w:val="0E0E0E"/>
          <w:w w:val="105"/>
        </w:rPr>
        <w:tab/>
      </w:r>
      <w:r>
        <w:rPr>
          <w:color w:val="0E0E0E"/>
          <w:w w:val="105"/>
        </w:rPr>
        <w:tab/>
      </w:r>
      <w:r>
        <w:rPr>
          <w:color w:val="0E0E0E"/>
          <w:spacing w:val="-1"/>
          <w:w w:val="105"/>
        </w:rPr>
        <w:t xml:space="preserve">Neuroleptic-Induced </w:t>
      </w:r>
      <w:r>
        <w:rPr>
          <w:color w:val="0E0E0E"/>
          <w:w w:val="105"/>
        </w:rPr>
        <w:t>Parkinsonism</w:t>
      </w:r>
      <w:r>
        <w:rPr>
          <w:color w:val="0E0E0E"/>
          <w:spacing w:val="11"/>
          <w:w w:val="105"/>
        </w:rPr>
        <w:t xml:space="preserve"> </w:t>
      </w:r>
      <w:r>
        <w:rPr>
          <w:color w:val="0E0E0E"/>
          <w:w w:val="105"/>
        </w:rPr>
        <w:t>(679)</w:t>
      </w:r>
    </w:p>
    <w:p w:rsidR="00E675F0" w:rsidRDefault="00E675F0" w:rsidP="00E675F0">
      <w:pPr>
        <w:pStyle w:val="BodyText"/>
        <w:spacing w:before="12" w:line="249" w:lineRule="auto"/>
        <w:ind w:left="874" w:hanging="722"/>
      </w:pPr>
      <w:r>
        <w:rPr>
          <w:color w:val="0E0E0E"/>
        </w:rPr>
        <w:t>333.92 Neuroleptic Malignant Syndrome (679)</w:t>
      </w:r>
    </w:p>
    <w:p w:rsidR="00E675F0" w:rsidRDefault="00E675F0" w:rsidP="00E675F0">
      <w:pPr>
        <w:pStyle w:val="BodyText"/>
        <w:tabs>
          <w:tab w:val="left" w:pos="884"/>
        </w:tabs>
        <w:spacing w:before="12" w:line="256" w:lineRule="auto"/>
        <w:ind w:left="883" w:right="38" w:hanging="731"/>
      </w:pPr>
      <w:r>
        <w:rPr>
          <w:color w:val="0E0E0E"/>
          <w:w w:val="105"/>
        </w:rPr>
        <w:t>333</w:t>
      </w:r>
      <w:r>
        <w:rPr>
          <w:color w:val="464646"/>
          <w:w w:val="105"/>
        </w:rPr>
        <w:t>.</w:t>
      </w:r>
      <w:r>
        <w:rPr>
          <w:color w:val="232323"/>
          <w:w w:val="105"/>
        </w:rPr>
        <w:t>7</w:t>
      </w:r>
      <w:r>
        <w:rPr>
          <w:color w:val="232323"/>
          <w:w w:val="105"/>
        </w:rPr>
        <w:tab/>
      </w:r>
      <w:r>
        <w:rPr>
          <w:color w:val="232323"/>
          <w:w w:val="105"/>
        </w:rPr>
        <w:tab/>
      </w:r>
      <w:r>
        <w:rPr>
          <w:color w:val="0E0E0E"/>
          <w:w w:val="105"/>
        </w:rPr>
        <w:t>Neuroleptic-Induced Acute Dystonia</w:t>
      </w:r>
      <w:r>
        <w:rPr>
          <w:color w:val="0E0E0E"/>
          <w:spacing w:val="18"/>
          <w:w w:val="105"/>
        </w:rPr>
        <w:t xml:space="preserve"> </w:t>
      </w:r>
      <w:r>
        <w:rPr>
          <w:color w:val="232323"/>
          <w:w w:val="105"/>
        </w:rPr>
        <w:t>(679)</w:t>
      </w:r>
    </w:p>
    <w:p w:rsidR="00E675F0" w:rsidRDefault="00E675F0" w:rsidP="00E675F0">
      <w:pPr>
        <w:pStyle w:val="BodyText"/>
        <w:spacing w:before="3"/>
        <w:ind w:left="157"/>
      </w:pPr>
      <w:r>
        <w:rPr>
          <w:color w:val="0E0E0E"/>
          <w:w w:val="105"/>
        </w:rPr>
        <w:t xml:space="preserve">333.99 </w:t>
      </w:r>
      <w:r>
        <w:rPr>
          <w:color w:val="232323"/>
          <w:w w:val="105"/>
        </w:rPr>
        <w:t>Neuroleptic-Induced Acute</w:t>
      </w:r>
    </w:p>
    <w:p w:rsidR="00E675F0" w:rsidRDefault="00E675F0" w:rsidP="00E675F0">
      <w:pPr>
        <w:spacing w:before="156" w:line="273" w:lineRule="auto"/>
        <w:ind w:left="148" w:right="415"/>
        <w:rPr>
          <w:sz w:val="20"/>
        </w:rPr>
      </w:pPr>
      <w:r>
        <w:br w:type="column"/>
      </w:r>
      <w:r>
        <w:rPr>
          <w:b/>
          <w:color w:val="0E0E0E"/>
          <w:w w:val="105"/>
          <w:sz w:val="18"/>
        </w:rPr>
        <w:t xml:space="preserve">ADDffiONAL CONDITIONS TIIAT MAY BE A FOCUS OF CLINICAL ATTENTION </w:t>
      </w:r>
      <w:r>
        <w:rPr>
          <w:color w:val="232323"/>
          <w:w w:val="105"/>
          <w:sz w:val="20"/>
        </w:rPr>
        <w:t>(683)</w:t>
      </w:r>
    </w:p>
    <w:p w:rsidR="00E675F0" w:rsidRDefault="00E675F0" w:rsidP="00E675F0">
      <w:pPr>
        <w:pStyle w:val="BodyText"/>
        <w:spacing w:line="213" w:lineRule="exact"/>
        <w:ind w:left="147"/>
      </w:pPr>
      <w:r>
        <w:rPr>
          <w:color w:val="0E0E0E"/>
        </w:rPr>
        <w:t>V15.81 Noncompliance With</w:t>
      </w:r>
    </w:p>
    <w:p w:rsidR="00E675F0" w:rsidRDefault="00E675F0" w:rsidP="00E675F0">
      <w:pPr>
        <w:pStyle w:val="BodyText"/>
        <w:spacing w:before="15"/>
        <w:ind w:left="865"/>
      </w:pPr>
      <w:r>
        <w:rPr>
          <w:color w:val="0E0E0E"/>
          <w:w w:val="105"/>
        </w:rPr>
        <w:t xml:space="preserve">Treatment </w:t>
      </w:r>
      <w:r>
        <w:rPr>
          <w:color w:val="232323"/>
          <w:w w:val="105"/>
        </w:rPr>
        <w:t>(683)</w:t>
      </w:r>
    </w:p>
    <w:p w:rsidR="00E675F0" w:rsidRDefault="00E675F0" w:rsidP="00E675F0">
      <w:pPr>
        <w:pStyle w:val="BodyText"/>
        <w:tabs>
          <w:tab w:val="left" w:pos="872"/>
        </w:tabs>
        <w:spacing w:before="15"/>
        <w:ind w:left="147"/>
      </w:pPr>
      <w:r>
        <w:rPr>
          <w:color w:val="0E0E0E"/>
        </w:rPr>
        <w:t>V65.2</w:t>
      </w:r>
      <w:r>
        <w:rPr>
          <w:color w:val="0E0E0E"/>
        </w:rPr>
        <w:tab/>
        <w:t>Malingering</w:t>
      </w:r>
      <w:r>
        <w:rPr>
          <w:color w:val="0E0E0E"/>
          <w:spacing w:val="17"/>
        </w:rPr>
        <w:t xml:space="preserve"> </w:t>
      </w:r>
      <w:r>
        <w:rPr>
          <w:color w:val="232323"/>
        </w:rPr>
        <w:t>(683)</w:t>
      </w:r>
    </w:p>
    <w:p w:rsidR="00E675F0" w:rsidRDefault="00E675F0" w:rsidP="00E675F0">
      <w:pPr>
        <w:pStyle w:val="BodyText"/>
        <w:spacing w:before="20" w:line="261" w:lineRule="auto"/>
        <w:ind w:left="152" w:right="312" w:hanging="5"/>
      </w:pPr>
      <w:r>
        <w:rPr>
          <w:color w:val="0E0E0E"/>
        </w:rPr>
        <w:t xml:space="preserve">V71.01 Adult Antisocial Behavior (683) V71.02 Child </w:t>
      </w:r>
      <w:r>
        <w:rPr>
          <w:color w:val="232323"/>
        </w:rPr>
        <w:t xml:space="preserve">or </w:t>
      </w:r>
      <w:r>
        <w:rPr>
          <w:color w:val="0E0E0E"/>
        </w:rPr>
        <w:t>Adolescent Antisocial</w:t>
      </w:r>
    </w:p>
    <w:p w:rsidR="00E675F0" w:rsidRDefault="00E675F0" w:rsidP="00E675F0">
      <w:pPr>
        <w:pStyle w:val="BodyText"/>
        <w:spacing w:line="219" w:lineRule="exact"/>
        <w:ind w:left="877"/>
      </w:pPr>
      <w:r>
        <w:rPr>
          <w:color w:val="0E0E0E"/>
          <w:w w:val="105"/>
        </w:rPr>
        <w:t xml:space="preserve">Behavior </w:t>
      </w:r>
      <w:r>
        <w:rPr>
          <w:color w:val="232323"/>
          <w:w w:val="105"/>
        </w:rPr>
        <w:t>(684)</w:t>
      </w:r>
    </w:p>
    <w:p w:rsidR="00E675F0" w:rsidRDefault="00E675F0" w:rsidP="00E675F0">
      <w:pPr>
        <w:spacing w:line="219" w:lineRule="exact"/>
        <w:sectPr w:rsidR="00E675F0">
          <w:pgSz w:w="8960" w:h="14260"/>
          <w:pgMar w:top="1400" w:right="480" w:bottom="280" w:left="580" w:header="702" w:footer="0" w:gutter="0"/>
          <w:cols w:num="2" w:space="720" w:equalWidth="0">
            <w:col w:w="3228" w:space="695"/>
            <w:col w:w="3977"/>
          </w:cols>
        </w:sectPr>
      </w:pPr>
    </w:p>
    <w:p w:rsidR="00E675F0" w:rsidRDefault="00E675F0" w:rsidP="00E675F0">
      <w:pPr>
        <w:pStyle w:val="BodyText"/>
        <w:spacing w:before="10"/>
        <w:ind w:left="880"/>
      </w:pPr>
      <w:r>
        <w:rPr>
          <w:color w:val="232323"/>
        </w:rPr>
        <w:t xml:space="preserve">Akathisia </w:t>
      </w:r>
      <w:r>
        <w:rPr>
          <w:color w:val="0E0E0E"/>
        </w:rPr>
        <w:t>(679)</w:t>
      </w:r>
    </w:p>
    <w:p w:rsidR="00E675F0" w:rsidRDefault="00E675F0" w:rsidP="00E675F0">
      <w:pPr>
        <w:pStyle w:val="BodyText"/>
        <w:spacing w:before="15" w:line="256" w:lineRule="auto"/>
        <w:ind w:left="883" w:hanging="727"/>
      </w:pPr>
      <w:r>
        <w:rPr>
          <w:color w:val="232323"/>
          <w:w w:val="105"/>
        </w:rPr>
        <w:t xml:space="preserve">333.82 </w:t>
      </w:r>
      <w:r>
        <w:rPr>
          <w:color w:val="0E0E0E"/>
          <w:w w:val="105"/>
        </w:rPr>
        <w:t>Neuroleptic-Induced Tardive Dyskinesia (679)</w:t>
      </w:r>
    </w:p>
    <w:p w:rsidR="00E675F0" w:rsidRDefault="00E675F0" w:rsidP="00E675F0">
      <w:pPr>
        <w:pStyle w:val="BodyText"/>
        <w:tabs>
          <w:tab w:val="left" w:pos="884"/>
        </w:tabs>
        <w:spacing w:line="249" w:lineRule="auto"/>
        <w:ind w:left="876" w:right="262" w:hanging="719"/>
      </w:pPr>
      <w:r>
        <w:rPr>
          <w:color w:val="0E0E0E"/>
          <w:w w:val="105"/>
        </w:rPr>
        <w:t>333.1</w:t>
      </w:r>
      <w:r>
        <w:rPr>
          <w:color w:val="0E0E0E"/>
          <w:w w:val="105"/>
        </w:rPr>
        <w:tab/>
      </w:r>
      <w:r>
        <w:rPr>
          <w:color w:val="0E0E0E"/>
          <w:w w:val="105"/>
        </w:rPr>
        <w:tab/>
        <w:t>Medication-Induced Postural Tremor</w:t>
      </w:r>
      <w:r>
        <w:rPr>
          <w:color w:val="0E0E0E"/>
          <w:spacing w:val="11"/>
          <w:w w:val="105"/>
        </w:rPr>
        <w:t xml:space="preserve"> </w:t>
      </w:r>
      <w:r>
        <w:rPr>
          <w:color w:val="0E0E0E"/>
          <w:w w:val="105"/>
        </w:rPr>
        <w:t>(680)</w:t>
      </w:r>
    </w:p>
    <w:p w:rsidR="00E675F0" w:rsidRDefault="00E675F0" w:rsidP="00E675F0">
      <w:pPr>
        <w:pStyle w:val="BodyText"/>
        <w:spacing w:before="10" w:line="249" w:lineRule="auto"/>
        <w:ind w:left="883" w:hanging="727"/>
      </w:pPr>
      <w:r>
        <w:rPr>
          <w:color w:val="0E0E0E"/>
          <w:w w:val="105"/>
        </w:rPr>
        <w:t>333.90 Medication-Induced Movement Disorder NOS (680)</w:t>
      </w:r>
    </w:p>
    <w:p w:rsidR="00E675F0" w:rsidRDefault="00E675F0" w:rsidP="00E675F0">
      <w:pPr>
        <w:pStyle w:val="BodyText"/>
        <w:spacing w:before="11"/>
        <w:rPr>
          <w:sz w:val="18"/>
        </w:rPr>
      </w:pPr>
    </w:p>
    <w:p w:rsidR="00E675F0" w:rsidRDefault="00E675F0" w:rsidP="00E675F0">
      <w:pPr>
        <w:spacing w:line="290" w:lineRule="auto"/>
        <w:ind w:left="163" w:hanging="10"/>
        <w:rPr>
          <w:b/>
          <w:sz w:val="18"/>
        </w:rPr>
      </w:pPr>
      <w:r>
        <w:rPr>
          <w:b/>
          <w:color w:val="0E0E0E"/>
          <w:w w:val="105"/>
          <w:sz w:val="18"/>
        </w:rPr>
        <w:t>OTHER MEDICATION-INDUCED DISORDER</w:t>
      </w:r>
    </w:p>
    <w:p w:rsidR="00E675F0" w:rsidRDefault="00E675F0" w:rsidP="00E675F0">
      <w:pPr>
        <w:pStyle w:val="BodyText"/>
        <w:tabs>
          <w:tab w:val="left" w:pos="885"/>
        </w:tabs>
        <w:spacing w:line="205" w:lineRule="exact"/>
        <w:ind w:left="157"/>
      </w:pPr>
      <w:r>
        <w:rPr>
          <w:color w:val="0E0E0E"/>
        </w:rPr>
        <w:t>995.2</w:t>
      </w:r>
      <w:r>
        <w:rPr>
          <w:color w:val="0E0E0E"/>
        </w:rPr>
        <w:tab/>
        <w:t>Adverse Effects of</w:t>
      </w:r>
      <w:r>
        <w:rPr>
          <w:color w:val="0E0E0E"/>
          <w:spacing w:val="5"/>
        </w:rPr>
        <w:t xml:space="preserve"> </w:t>
      </w:r>
      <w:r>
        <w:rPr>
          <w:color w:val="0E0E0E"/>
        </w:rPr>
        <w:t>Medication</w:t>
      </w:r>
    </w:p>
    <w:p w:rsidR="00E675F0" w:rsidRDefault="00E675F0" w:rsidP="00E675F0">
      <w:pPr>
        <w:pStyle w:val="BodyText"/>
        <w:spacing w:before="10"/>
        <w:ind w:left="894"/>
      </w:pPr>
      <w:r>
        <w:rPr>
          <w:color w:val="0E0E0E"/>
        </w:rPr>
        <w:t xml:space="preserve">NOS </w:t>
      </w:r>
      <w:r>
        <w:rPr>
          <w:color w:val="232323"/>
        </w:rPr>
        <w:t>(680)</w:t>
      </w:r>
    </w:p>
    <w:p w:rsidR="00E675F0" w:rsidRDefault="00E675F0" w:rsidP="00E675F0">
      <w:pPr>
        <w:pStyle w:val="BodyText"/>
        <w:spacing w:before="10"/>
        <w:ind w:left="154"/>
      </w:pPr>
      <w:r>
        <w:br w:type="column"/>
      </w:r>
      <w:r>
        <w:rPr>
          <w:color w:val="0E0E0E"/>
          <w:w w:val="95"/>
        </w:rPr>
        <w:t>V62.89</w:t>
      </w:r>
    </w:p>
    <w:p w:rsidR="00E675F0" w:rsidRDefault="00E675F0" w:rsidP="00E675F0">
      <w:pPr>
        <w:pStyle w:val="BodyText"/>
        <w:rPr>
          <w:sz w:val="22"/>
        </w:rPr>
      </w:pPr>
    </w:p>
    <w:p w:rsidR="00E675F0" w:rsidRDefault="00E675F0" w:rsidP="00E675F0">
      <w:pPr>
        <w:pStyle w:val="BodyText"/>
        <w:spacing w:before="9"/>
        <w:rPr>
          <w:sz w:val="17"/>
        </w:rPr>
      </w:pPr>
    </w:p>
    <w:p w:rsidR="00E675F0" w:rsidRDefault="00E675F0" w:rsidP="00E675F0">
      <w:pPr>
        <w:pStyle w:val="BodyText"/>
        <w:ind w:left="153"/>
      </w:pPr>
      <w:r>
        <w:rPr>
          <w:color w:val="0E0E0E"/>
        </w:rPr>
        <w:t>780.9</w:t>
      </w:r>
    </w:p>
    <w:p w:rsidR="00E675F0" w:rsidRDefault="00E675F0" w:rsidP="00E675F0">
      <w:pPr>
        <w:pStyle w:val="BodyText"/>
        <w:spacing w:before="10" w:line="256" w:lineRule="auto"/>
        <w:ind w:left="158" w:right="-20" w:hanging="4"/>
      </w:pPr>
      <w:r>
        <w:rPr>
          <w:color w:val="0E0E0E"/>
          <w:w w:val="95"/>
        </w:rPr>
        <w:t xml:space="preserve">V62.82 </w:t>
      </w:r>
      <w:r>
        <w:rPr>
          <w:color w:val="0E0E0E"/>
        </w:rPr>
        <w:t>V62.3 V62.2 313.82 V62</w:t>
      </w:r>
      <w:r>
        <w:rPr>
          <w:color w:val="464646"/>
        </w:rPr>
        <w:t>.</w:t>
      </w:r>
      <w:r>
        <w:rPr>
          <w:color w:val="0E0E0E"/>
        </w:rPr>
        <w:t xml:space="preserve">89 V62.4 </w:t>
      </w:r>
      <w:r>
        <w:rPr>
          <w:color w:val="0E0E0E"/>
          <w:w w:val="95"/>
        </w:rPr>
        <w:t>V62.89</w:t>
      </w:r>
    </w:p>
    <w:p w:rsidR="00E675F0" w:rsidRDefault="00E675F0" w:rsidP="00E675F0">
      <w:pPr>
        <w:pStyle w:val="BodyText"/>
        <w:spacing w:before="5" w:line="249" w:lineRule="auto"/>
        <w:ind w:left="87" w:right="345" w:firstLine="4"/>
      </w:pPr>
      <w:r>
        <w:br w:type="column"/>
      </w:r>
      <w:r>
        <w:rPr>
          <w:color w:val="0E0E0E"/>
        </w:rPr>
        <w:t xml:space="preserve">Borderline Intellectual Functioning </w:t>
      </w:r>
      <w:r>
        <w:rPr>
          <w:color w:val="232323"/>
        </w:rPr>
        <w:t>(684)</w:t>
      </w:r>
    </w:p>
    <w:p w:rsidR="00E675F0" w:rsidRDefault="00E675F0" w:rsidP="00E675F0">
      <w:pPr>
        <w:spacing w:line="187" w:lineRule="exact"/>
        <w:ind w:left="75"/>
        <w:rPr>
          <w:i/>
          <w:sz w:val="16"/>
        </w:rPr>
      </w:pPr>
      <w:r>
        <w:rPr>
          <w:rFonts w:ascii="TimesNewRomanPS-BoldItalicMT"/>
          <w:b/>
          <w:i/>
          <w:color w:val="0E0E0E"/>
          <w:w w:val="105"/>
          <w:sz w:val="15"/>
        </w:rPr>
        <w:t xml:space="preserve">Note: </w:t>
      </w:r>
      <w:r>
        <w:rPr>
          <w:i/>
          <w:color w:val="232323"/>
          <w:w w:val="105"/>
          <w:sz w:val="16"/>
        </w:rPr>
        <w:t xml:space="preserve">7bis </w:t>
      </w:r>
      <w:r>
        <w:rPr>
          <w:i/>
          <w:color w:val="232323"/>
          <w:w w:val="105"/>
          <w:sz w:val="17"/>
        </w:rPr>
        <w:t xml:space="preserve">is </w:t>
      </w:r>
      <w:r>
        <w:rPr>
          <w:i/>
          <w:color w:val="232323"/>
          <w:w w:val="105"/>
          <w:sz w:val="16"/>
        </w:rPr>
        <w:t xml:space="preserve">coded on </w:t>
      </w:r>
      <w:r>
        <w:rPr>
          <w:i/>
          <w:color w:val="0E0E0E"/>
          <w:w w:val="105"/>
          <w:sz w:val="16"/>
        </w:rPr>
        <w:t>Axis II.</w:t>
      </w:r>
    </w:p>
    <w:p w:rsidR="00E675F0" w:rsidRDefault="00E675F0" w:rsidP="00E675F0">
      <w:pPr>
        <w:pStyle w:val="BodyText"/>
        <w:spacing w:before="22" w:line="249" w:lineRule="auto"/>
        <w:ind w:left="91" w:hanging="8"/>
      </w:pPr>
      <w:r>
        <w:rPr>
          <w:color w:val="0E0E0E"/>
        </w:rPr>
        <w:t xml:space="preserve">Age-Related Cognitive Decline (684) Bereavement </w:t>
      </w:r>
      <w:r>
        <w:rPr>
          <w:color w:val="232323"/>
        </w:rPr>
        <w:t>(684)</w:t>
      </w:r>
    </w:p>
    <w:p w:rsidR="00E675F0" w:rsidRDefault="00E675F0" w:rsidP="00E675F0">
      <w:pPr>
        <w:pStyle w:val="BodyText"/>
        <w:spacing w:before="7"/>
        <w:ind w:left="83"/>
      </w:pPr>
      <w:r>
        <w:rPr>
          <w:color w:val="0E0E0E"/>
          <w:w w:val="105"/>
        </w:rPr>
        <w:t>Academic Problem (685)</w:t>
      </w:r>
    </w:p>
    <w:p w:rsidR="00E675F0" w:rsidRDefault="00E675F0" w:rsidP="00E675F0">
      <w:pPr>
        <w:pStyle w:val="BodyText"/>
        <w:spacing w:before="15"/>
        <w:ind w:left="88"/>
      </w:pPr>
      <w:r>
        <w:rPr>
          <w:color w:val="0E0E0E"/>
          <w:w w:val="105"/>
        </w:rPr>
        <w:t>Occupational Problem (685)</w:t>
      </w:r>
    </w:p>
    <w:p w:rsidR="00E675F0" w:rsidRDefault="00E675F0" w:rsidP="00E675F0">
      <w:pPr>
        <w:pStyle w:val="BodyText"/>
        <w:spacing w:before="20"/>
        <w:ind w:left="90"/>
      </w:pPr>
      <w:r>
        <w:rPr>
          <w:color w:val="0E0E0E"/>
          <w:w w:val="105"/>
        </w:rPr>
        <w:t>Identity Problem (685)</w:t>
      </w:r>
    </w:p>
    <w:p w:rsidR="00E675F0" w:rsidRDefault="00E675F0" w:rsidP="00E675F0">
      <w:pPr>
        <w:pStyle w:val="BodyText"/>
        <w:spacing w:before="15" w:line="256" w:lineRule="auto"/>
        <w:ind w:left="83" w:right="159" w:firstLine="3"/>
      </w:pPr>
      <w:r>
        <w:rPr>
          <w:color w:val="0E0E0E"/>
        </w:rPr>
        <w:t xml:space="preserve">Religious </w:t>
      </w:r>
      <w:r>
        <w:rPr>
          <w:color w:val="232323"/>
        </w:rPr>
        <w:t xml:space="preserve">or Spiritual </w:t>
      </w:r>
      <w:r>
        <w:rPr>
          <w:color w:val="0E0E0E"/>
        </w:rPr>
        <w:t xml:space="preserve">Problem </w:t>
      </w:r>
      <w:r>
        <w:rPr>
          <w:color w:val="232323"/>
        </w:rPr>
        <w:t xml:space="preserve">(685) </w:t>
      </w:r>
      <w:r>
        <w:rPr>
          <w:color w:val="0E0E0E"/>
        </w:rPr>
        <w:t xml:space="preserve">Acculturation  Problem   (685) Phase </w:t>
      </w:r>
      <w:r>
        <w:rPr>
          <w:color w:val="232323"/>
        </w:rPr>
        <w:t xml:space="preserve">of </w:t>
      </w:r>
      <w:r>
        <w:rPr>
          <w:color w:val="0E0E0E"/>
        </w:rPr>
        <w:t>Life Problem</w:t>
      </w:r>
      <w:r>
        <w:rPr>
          <w:color w:val="0E0E0E"/>
          <w:spacing w:val="-22"/>
        </w:rPr>
        <w:t xml:space="preserve"> </w:t>
      </w:r>
      <w:r>
        <w:rPr>
          <w:color w:val="232323"/>
        </w:rPr>
        <w:t>(685)</w:t>
      </w:r>
    </w:p>
    <w:p w:rsidR="00E675F0" w:rsidRDefault="00E675F0" w:rsidP="00E675F0">
      <w:pPr>
        <w:spacing w:line="256" w:lineRule="auto"/>
        <w:sectPr w:rsidR="00E675F0">
          <w:type w:val="continuous"/>
          <w:pgSz w:w="8960" w:h="14260"/>
          <w:pgMar w:top="640" w:right="480" w:bottom="0" w:left="580" w:header="720" w:footer="720" w:gutter="0"/>
          <w:cols w:num="3" w:space="720" w:equalWidth="0">
            <w:col w:w="3594" w:space="326"/>
            <w:col w:w="753" w:space="39"/>
            <w:col w:w="3188"/>
          </w:cols>
        </w:sectPr>
      </w:pPr>
    </w:p>
    <w:p w:rsidR="00E675F0" w:rsidRDefault="00E675F0" w:rsidP="00E675F0">
      <w:pPr>
        <w:pStyle w:val="BodyText"/>
        <w:spacing w:before="6" w:after="1"/>
        <w:rPr>
          <w:sz w:val="13"/>
        </w:rPr>
      </w:pPr>
    </w:p>
    <w:p w:rsidR="00E675F0" w:rsidRDefault="00E675F0" w:rsidP="00E675F0">
      <w:pPr>
        <w:pStyle w:val="BodyText"/>
        <w:spacing w:line="20" w:lineRule="exact"/>
        <w:ind w:left="6382"/>
        <w:rPr>
          <w:sz w:val="2"/>
        </w:rPr>
      </w:pPr>
      <w:r>
        <w:rPr>
          <w:noProof/>
          <w:sz w:val="2"/>
        </w:rPr>
        <mc:AlternateContent>
          <mc:Choice Requires="wpg">
            <w:drawing>
              <wp:inline distT="0" distB="0" distL="0" distR="0" wp14:anchorId="6024FA43" wp14:editId="05A1C099">
                <wp:extent cx="782320" cy="3175"/>
                <wp:effectExtent l="0" t="0" r="5080" b="0"/>
                <wp:docPr id="1686" name="Group 1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320" cy="3175"/>
                          <a:chOff x="0" y="0"/>
                          <a:chExt cx="1232" cy="5"/>
                        </a:xfrm>
                      </wpg:grpSpPr>
                      <wps:wsp>
                        <wps:cNvPr id="1687" name="Line 1643"/>
                        <wps:cNvCnPr>
                          <a:cxnSpLocks/>
                        </wps:cNvCnPr>
                        <wps:spPr bwMode="auto">
                          <a:xfrm>
                            <a:off x="0" y="2"/>
                            <a:ext cx="1231" cy="0"/>
                          </a:xfrm>
                          <a:prstGeom prst="line">
                            <a:avLst/>
                          </a:prstGeom>
                          <a:noFill/>
                          <a:ln w="305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6C7F2F2" id="Group 1642" o:spid="_x0000_s1026" style="width:61.6pt;height:.25pt;mso-position-horizontal-relative:char;mso-position-vertical-relative:line" coordsize="123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">
                <v:line id="Line 1643" o:spid="_x0000_s1027" style="position:absolute;visibility:visible;mso-wrap-style:square" from="0,2" to="123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" strokeweight=".08478mm">
                  <o:lock v:ext="edit" shapetype="f"/>
                </v:line>
                <w10:anchorlock/>
              </v:group>
            </w:pict>
          </mc:Fallback>
        </mc:AlternateContent>
      </w:r>
    </w:p>
    <w:p w:rsidR="00E675F0" w:rsidRDefault="00E675F0" w:rsidP="00E675F0">
      <w:pPr>
        <w:spacing w:line="20" w:lineRule="exact"/>
        <w:rPr>
          <w:sz w:val="2"/>
        </w:rPr>
        <w:sectPr w:rsidR="00E675F0">
          <w:type w:val="continuous"/>
          <w:pgSz w:w="8960" w:h="14260"/>
          <w:pgMar w:top="640" w:right="480" w:bottom="0" w:left="580" w:header="720" w:footer="720" w:gutter="0"/>
          <w:cols w:space="720"/>
        </w:sectPr>
      </w:pPr>
    </w:p>
    <w:p w:rsidR="00E675F0" w:rsidRDefault="00E675F0" w:rsidP="00E675F0">
      <w:pPr>
        <w:spacing w:before="22"/>
        <w:ind w:left="157"/>
        <w:rPr>
          <w:sz w:val="20"/>
        </w:rPr>
      </w:pPr>
      <w:r>
        <w:rPr>
          <w:b/>
          <w:color w:val="0E0E0E"/>
          <w:sz w:val="18"/>
        </w:rPr>
        <w:t xml:space="preserve">RELATIONAL PROBLEMS </w:t>
      </w:r>
      <w:r>
        <w:rPr>
          <w:color w:val="0E0E0E"/>
          <w:sz w:val="20"/>
        </w:rPr>
        <w:t>(680)</w:t>
      </w:r>
    </w:p>
    <w:p w:rsidR="00E675F0" w:rsidRDefault="00E675F0" w:rsidP="00E675F0">
      <w:pPr>
        <w:spacing w:before="65"/>
        <w:ind w:left="157"/>
        <w:rPr>
          <w:rFonts w:ascii="Arial"/>
          <w:b/>
        </w:rPr>
      </w:pPr>
      <w:r>
        <w:br w:type="column"/>
      </w:r>
      <w:r>
        <w:rPr>
          <w:rFonts w:ascii="Arial"/>
          <w:b/>
          <w:color w:val="0E0E0E"/>
        </w:rPr>
        <w:t>Additional Codes</w:t>
      </w:r>
    </w:p>
    <w:p w:rsidR="00E675F0" w:rsidRDefault="00E675F0" w:rsidP="00E675F0">
      <w:pPr>
        <w:rPr>
          <w:rFonts w:ascii="Arial"/>
        </w:rPr>
        <w:sectPr w:rsidR="00E675F0">
          <w:type w:val="continuous"/>
          <w:pgSz w:w="8960" w:h="14260"/>
          <w:pgMar w:top="640" w:right="480" w:bottom="0" w:left="580" w:header="720" w:footer="720" w:gutter="0"/>
          <w:cols w:num="2" w:space="720" w:equalWidth="0">
            <w:col w:w="3017" w:space="1080"/>
            <w:col w:w="3803"/>
          </w:cols>
        </w:sectPr>
      </w:pPr>
    </w:p>
    <w:tbl>
      <w:tblPr>
        <w:tblW w:w="0" w:type="auto"/>
        <w:tblInd w:w="116" w:type="dxa"/>
        <w:tblLayout w:type="fixed"/>
        <w:tblCellMar>
          <w:left w:w="0" w:type="dxa"/>
          <w:right w:w="0" w:type="dxa"/>
        </w:tblCellMar>
        <w:tblLook w:val="01E0" w:firstRow="1" w:lastRow="1" w:firstColumn="1" w:lastColumn="1" w:noHBand="0" w:noVBand="0"/>
      </w:tblPr>
      <w:tblGrid>
        <w:gridCol w:w="707"/>
        <w:gridCol w:w="3072"/>
        <w:gridCol w:w="843"/>
        <w:gridCol w:w="3059"/>
      </w:tblGrid>
      <w:tr w:rsidR="00E675F0" w:rsidTr="00A330E1">
        <w:trPr>
          <w:trHeight w:val="456"/>
        </w:trPr>
        <w:tc>
          <w:tcPr>
            <w:tcW w:w="707" w:type="dxa"/>
          </w:tcPr>
          <w:p w:rsidR="00E675F0" w:rsidRDefault="00E675F0" w:rsidP="00A330E1">
            <w:pPr>
              <w:pStyle w:val="TableParagraph"/>
              <w:spacing w:line="184" w:lineRule="exact"/>
              <w:ind w:left="22" w:right="141"/>
              <w:jc w:val="center"/>
              <w:rPr>
                <w:sz w:val="20"/>
              </w:rPr>
            </w:pPr>
            <w:r>
              <w:rPr>
                <w:color w:val="0E0E0E"/>
                <w:sz w:val="20"/>
              </w:rPr>
              <w:t>V61.9</w:t>
            </w:r>
          </w:p>
        </w:tc>
        <w:tc>
          <w:tcPr>
            <w:tcW w:w="3072" w:type="dxa"/>
          </w:tcPr>
          <w:p w:rsidR="00E675F0" w:rsidRDefault="00E675F0" w:rsidP="00A330E1">
            <w:pPr>
              <w:pStyle w:val="TableParagraph"/>
              <w:spacing w:line="184" w:lineRule="exact"/>
              <w:ind w:left="72"/>
              <w:rPr>
                <w:sz w:val="20"/>
              </w:rPr>
            </w:pPr>
            <w:r>
              <w:rPr>
                <w:color w:val="0E0E0E"/>
                <w:w w:val="105"/>
                <w:sz w:val="20"/>
              </w:rPr>
              <w:t>Relational Problem Related to</w:t>
            </w:r>
          </w:p>
          <w:p w:rsidR="00E675F0" w:rsidRDefault="00E675F0" w:rsidP="00A330E1">
            <w:pPr>
              <w:pStyle w:val="TableParagraph"/>
              <w:spacing w:before="10" w:line="225" w:lineRule="exact"/>
              <w:ind w:left="69"/>
              <w:rPr>
                <w:sz w:val="20"/>
              </w:rPr>
            </w:pPr>
            <w:r>
              <w:rPr>
                <w:color w:val="0E0E0E"/>
                <w:w w:val="105"/>
                <w:sz w:val="20"/>
              </w:rPr>
              <w:t>a Mental Disorder or General</w:t>
            </w:r>
          </w:p>
        </w:tc>
        <w:tc>
          <w:tcPr>
            <w:tcW w:w="843" w:type="dxa"/>
          </w:tcPr>
          <w:p w:rsidR="00E675F0" w:rsidRDefault="00E675F0" w:rsidP="00A330E1">
            <w:pPr>
              <w:pStyle w:val="TableParagraph"/>
              <w:spacing w:before="175"/>
              <w:ind w:left="194"/>
              <w:rPr>
                <w:sz w:val="20"/>
              </w:rPr>
            </w:pPr>
            <w:r>
              <w:rPr>
                <w:color w:val="0E0E0E"/>
                <w:sz w:val="20"/>
              </w:rPr>
              <w:t>300.9</w:t>
            </w:r>
          </w:p>
        </w:tc>
        <w:tc>
          <w:tcPr>
            <w:tcW w:w="3059" w:type="dxa"/>
          </w:tcPr>
          <w:p w:rsidR="00E675F0" w:rsidRDefault="00E675F0" w:rsidP="00A330E1">
            <w:pPr>
              <w:pStyle w:val="TableParagraph"/>
              <w:spacing w:before="165"/>
              <w:ind w:left="80"/>
              <w:rPr>
                <w:sz w:val="20"/>
              </w:rPr>
            </w:pPr>
            <w:r>
              <w:rPr>
                <w:color w:val="0E0E0E"/>
                <w:sz w:val="20"/>
              </w:rPr>
              <w:t>Unspecified Mental Disorder</w:t>
            </w:r>
          </w:p>
        </w:tc>
      </w:tr>
      <w:tr w:rsidR="00E675F0" w:rsidTr="00A330E1">
        <w:trPr>
          <w:trHeight w:val="247"/>
        </w:trPr>
        <w:tc>
          <w:tcPr>
            <w:tcW w:w="707" w:type="dxa"/>
          </w:tcPr>
          <w:p w:rsidR="00E675F0" w:rsidRDefault="00E675F0" w:rsidP="00A330E1">
            <w:pPr>
              <w:pStyle w:val="TableParagraph"/>
              <w:rPr>
                <w:sz w:val="18"/>
              </w:rPr>
            </w:pPr>
          </w:p>
        </w:tc>
        <w:tc>
          <w:tcPr>
            <w:tcW w:w="3072" w:type="dxa"/>
          </w:tcPr>
          <w:p w:rsidR="00E675F0" w:rsidRDefault="00E675F0" w:rsidP="00A330E1">
            <w:pPr>
              <w:pStyle w:val="TableParagraph"/>
              <w:spacing w:line="210" w:lineRule="exact"/>
              <w:ind w:left="68"/>
              <w:rPr>
                <w:sz w:val="20"/>
              </w:rPr>
            </w:pPr>
            <w:r>
              <w:rPr>
                <w:color w:val="0E0E0E"/>
                <w:w w:val="105"/>
                <w:sz w:val="20"/>
              </w:rPr>
              <w:t>Medical Condition (681)</w:t>
            </w:r>
          </w:p>
        </w:tc>
        <w:tc>
          <w:tcPr>
            <w:tcW w:w="843" w:type="dxa"/>
          </w:tcPr>
          <w:p w:rsidR="00E675F0" w:rsidRDefault="00E675F0" w:rsidP="00A330E1">
            <w:pPr>
              <w:pStyle w:val="TableParagraph"/>
              <w:rPr>
                <w:sz w:val="18"/>
              </w:rPr>
            </w:pPr>
          </w:p>
        </w:tc>
        <w:tc>
          <w:tcPr>
            <w:tcW w:w="3059" w:type="dxa"/>
          </w:tcPr>
          <w:p w:rsidR="00E675F0" w:rsidRDefault="00E675F0" w:rsidP="00A330E1">
            <w:pPr>
              <w:pStyle w:val="TableParagraph"/>
              <w:spacing w:line="179" w:lineRule="exact"/>
              <w:ind w:left="73"/>
              <w:rPr>
                <w:sz w:val="20"/>
              </w:rPr>
            </w:pPr>
            <w:r>
              <w:rPr>
                <w:color w:val="0E0E0E"/>
                <w:w w:val="105"/>
                <w:sz w:val="20"/>
              </w:rPr>
              <w:t>(nonpsychotic) (687)</w:t>
            </w:r>
          </w:p>
        </w:tc>
      </w:tr>
      <w:tr w:rsidR="00E675F0" w:rsidTr="00A330E1">
        <w:trPr>
          <w:trHeight w:val="242"/>
        </w:trPr>
        <w:tc>
          <w:tcPr>
            <w:tcW w:w="707" w:type="dxa"/>
          </w:tcPr>
          <w:p w:rsidR="00E675F0" w:rsidRDefault="00E675F0" w:rsidP="00A330E1">
            <w:pPr>
              <w:pStyle w:val="TableParagraph"/>
              <w:spacing w:line="205" w:lineRule="exact"/>
              <w:ind w:left="11" w:right="38"/>
              <w:jc w:val="center"/>
              <w:rPr>
                <w:sz w:val="20"/>
              </w:rPr>
            </w:pPr>
            <w:r>
              <w:rPr>
                <w:color w:val="0E0E0E"/>
                <w:sz w:val="20"/>
              </w:rPr>
              <w:t>V61.20</w:t>
            </w:r>
          </w:p>
        </w:tc>
        <w:tc>
          <w:tcPr>
            <w:tcW w:w="3072" w:type="dxa"/>
          </w:tcPr>
          <w:p w:rsidR="00E675F0" w:rsidRDefault="00E675F0" w:rsidP="00A330E1">
            <w:pPr>
              <w:pStyle w:val="TableParagraph"/>
              <w:spacing w:line="205" w:lineRule="exact"/>
              <w:ind w:left="72"/>
              <w:rPr>
                <w:sz w:val="20"/>
              </w:rPr>
            </w:pPr>
            <w:r>
              <w:rPr>
                <w:color w:val="0E0E0E"/>
                <w:sz w:val="20"/>
              </w:rPr>
              <w:t>Parent-Child Relational</w:t>
            </w:r>
          </w:p>
        </w:tc>
        <w:tc>
          <w:tcPr>
            <w:tcW w:w="843" w:type="dxa"/>
          </w:tcPr>
          <w:p w:rsidR="00E675F0" w:rsidRDefault="00E675F0" w:rsidP="00A330E1">
            <w:pPr>
              <w:pStyle w:val="TableParagraph"/>
              <w:spacing w:line="186" w:lineRule="exact"/>
              <w:ind w:left="191"/>
              <w:rPr>
                <w:sz w:val="20"/>
              </w:rPr>
            </w:pPr>
            <w:r>
              <w:rPr>
                <w:color w:val="0E0E0E"/>
                <w:sz w:val="20"/>
              </w:rPr>
              <w:t>V71.09</w:t>
            </w:r>
          </w:p>
        </w:tc>
        <w:tc>
          <w:tcPr>
            <w:tcW w:w="3059" w:type="dxa"/>
          </w:tcPr>
          <w:p w:rsidR="00E675F0" w:rsidRDefault="00E675F0" w:rsidP="00A330E1">
            <w:pPr>
              <w:pStyle w:val="TableParagraph"/>
              <w:spacing w:line="181" w:lineRule="exact"/>
              <w:ind w:left="79"/>
              <w:rPr>
                <w:sz w:val="20"/>
              </w:rPr>
            </w:pPr>
            <w:r>
              <w:rPr>
                <w:color w:val="232323"/>
                <w:w w:val="105"/>
                <w:sz w:val="20"/>
              </w:rPr>
              <w:t xml:space="preserve">No </w:t>
            </w:r>
            <w:r>
              <w:rPr>
                <w:color w:val="0E0E0E"/>
                <w:w w:val="105"/>
                <w:sz w:val="20"/>
              </w:rPr>
              <w:t xml:space="preserve">Diagnosis </w:t>
            </w:r>
            <w:r>
              <w:rPr>
                <w:color w:val="232323"/>
                <w:w w:val="105"/>
                <w:sz w:val="20"/>
              </w:rPr>
              <w:t xml:space="preserve">or </w:t>
            </w:r>
            <w:r>
              <w:rPr>
                <w:color w:val="0E0E0E"/>
                <w:w w:val="105"/>
                <w:sz w:val="20"/>
              </w:rPr>
              <w:t>Condition on</w:t>
            </w:r>
          </w:p>
        </w:tc>
      </w:tr>
      <w:tr w:rsidR="00E675F0" w:rsidTr="00A330E1">
        <w:trPr>
          <w:trHeight w:val="240"/>
        </w:trPr>
        <w:tc>
          <w:tcPr>
            <w:tcW w:w="707" w:type="dxa"/>
          </w:tcPr>
          <w:p w:rsidR="00E675F0" w:rsidRDefault="00E675F0" w:rsidP="00A330E1">
            <w:pPr>
              <w:pStyle w:val="TableParagraph"/>
              <w:rPr>
                <w:sz w:val="16"/>
              </w:rPr>
            </w:pPr>
          </w:p>
        </w:tc>
        <w:tc>
          <w:tcPr>
            <w:tcW w:w="3072" w:type="dxa"/>
          </w:tcPr>
          <w:p w:rsidR="00E675F0" w:rsidRDefault="00E675F0" w:rsidP="00A330E1">
            <w:pPr>
              <w:pStyle w:val="TableParagraph"/>
              <w:spacing w:line="203" w:lineRule="exact"/>
              <w:ind w:left="72"/>
              <w:rPr>
                <w:sz w:val="20"/>
              </w:rPr>
            </w:pPr>
            <w:r>
              <w:rPr>
                <w:color w:val="0E0E0E"/>
                <w:w w:val="105"/>
                <w:sz w:val="20"/>
              </w:rPr>
              <w:t>Problem (681)</w:t>
            </w:r>
          </w:p>
        </w:tc>
        <w:tc>
          <w:tcPr>
            <w:tcW w:w="843" w:type="dxa"/>
          </w:tcPr>
          <w:p w:rsidR="00E675F0" w:rsidRDefault="00E675F0" w:rsidP="00A330E1">
            <w:pPr>
              <w:pStyle w:val="TableParagraph"/>
              <w:rPr>
                <w:sz w:val="16"/>
              </w:rPr>
            </w:pPr>
          </w:p>
        </w:tc>
        <w:tc>
          <w:tcPr>
            <w:tcW w:w="3059" w:type="dxa"/>
          </w:tcPr>
          <w:p w:rsidR="00E675F0" w:rsidRDefault="00E675F0" w:rsidP="00A330E1">
            <w:pPr>
              <w:pStyle w:val="TableParagraph"/>
              <w:spacing w:line="179" w:lineRule="exact"/>
              <w:ind w:left="70"/>
              <w:rPr>
                <w:sz w:val="20"/>
              </w:rPr>
            </w:pPr>
            <w:r>
              <w:rPr>
                <w:color w:val="0E0E0E"/>
                <w:sz w:val="20"/>
              </w:rPr>
              <w:t xml:space="preserve">Axis I </w:t>
            </w:r>
            <w:r>
              <w:rPr>
                <w:color w:val="232323"/>
                <w:sz w:val="20"/>
              </w:rPr>
              <w:t>(687)</w:t>
            </w:r>
          </w:p>
        </w:tc>
      </w:tr>
      <w:tr w:rsidR="00E675F0" w:rsidTr="00A330E1">
        <w:trPr>
          <w:trHeight w:val="240"/>
        </w:trPr>
        <w:tc>
          <w:tcPr>
            <w:tcW w:w="707" w:type="dxa"/>
          </w:tcPr>
          <w:p w:rsidR="00E675F0" w:rsidRDefault="00E675F0" w:rsidP="00A330E1">
            <w:pPr>
              <w:pStyle w:val="TableParagraph"/>
              <w:spacing w:line="203" w:lineRule="exact"/>
              <w:ind w:left="22" w:right="141"/>
              <w:jc w:val="center"/>
              <w:rPr>
                <w:sz w:val="20"/>
              </w:rPr>
            </w:pPr>
            <w:r>
              <w:rPr>
                <w:color w:val="0E0E0E"/>
                <w:sz w:val="20"/>
              </w:rPr>
              <w:t>V61.1</w:t>
            </w:r>
          </w:p>
        </w:tc>
        <w:tc>
          <w:tcPr>
            <w:tcW w:w="3072" w:type="dxa"/>
          </w:tcPr>
          <w:p w:rsidR="00E675F0" w:rsidRDefault="00E675F0" w:rsidP="00A330E1">
            <w:pPr>
              <w:pStyle w:val="TableParagraph"/>
              <w:spacing w:line="203" w:lineRule="exact"/>
              <w:ind w:left="77"/>
              <w:rPr>
                <w:sz w:val="20"/>
              </w:rPr>
            </w:pPr>
            <w:r>
              <w:rPr>
                <w:color w:val="0E0E0E"/>
                <w:w w:val="105"/>
                <w:sz w:val="20"/>
              </w:rPr>
              <w:t xml:space="preserve">Partner Relational Problem </w:t>
            </w:r>
            <w:r>
              <w:rPr>
                <w:color w:val="232323"/>
                <w:w w:val="105"/>
                <w:sz w:val="20"/>
              </w:rPr>
              <w:t>(681)</w:t>
            </w:r>
          </w:p>
        </w:tc>
        <w:tc>
          <w:tcPr>
            <w:tcW w:w="843" w:type="dxa"/>
          </w:tcPr>
          <w:p w:rsidR="00E675F0" w:rsidRDefault="00E675F0" w:rsidP="00A330E1">
            <w:pPr>
              <w:pStyle w:val="TableParagraph"/>
              <w:spacing w:line="193" w:lineRule="exact"/>
              <w:ind w:left="195"/>
              <w:rPr>
                <w:sz w:val="20"/>
              </w:rPr>
            </w:pPr>
            <w:r>
              <w:rPr>
                <w:color w:val="232323"/>
                <w:sz w:val="20"/>
              </w:rPr>
              <w:t>799.9</w:t>
            </w:r>
          </w:p>
        </w:tc>
        <w:tc>
          <w:tcPr>
            <w:tcW w:w="3059" w:type="dxa"/>
          </w:tcPr>
          <w:p w:rsidR="00E675F0" w:rsidRDefault="00E675F0" w:rsidP="00A330E1">
            <w:pPr>
              <w:pStyle w:val="TableParagraph"/>
              <w:spacing w:line="179" w:lineRule="exact"/>
              <w:ind w:left="78"/>
              <w:rPr>
                <w:sz w:val="20"/>
              </w:rPr>
            </w:pPr>
            <w:r>
              <w:rPr>
                <w:color w:val="0E0E0E"/>
                <w:w w:val="105"/>
                <w:sz w:val="20"/>
              </w:rPr>
              <w:t xml:space="preserve">Diagnosis </w:t>
            </w:r>
            <w:r>
              <w:rPr>
                <w:color w:val="232323"/>
                <w:w w:val="105"/>
                <w:sz w:val="20"/>
              </w:rPr>
              <w:t xml:space="preserve">or Condition </w:t>
            </w:r>
            <w:r>
              <w:rPr>
                <w:color w:val="0E0E0E"/>
                <w:w w:val="105"/>
                <w:sz w:val="20"/>
              </w:rPr>
              <w:t>Deferred</w:t>
            </w:r>
          </w:p>
        </w:tc>
      </w:tr>
      <w:tr w:rsidR="00E675F0" w:rsidTr="00A330E1">
        <w:trPr>
          <w:trHeight w:val="242"/>
        </w:trPr>
        <w:tc>
          <w:tcPr>
            <w:tcW w:w="707" w:type="dxa"/>
          </w:tcPr>
          <w:p w:rsidR="00E675F0" w:rsidRDefault="00E675F0" w:rsidP="00A330E1">
            <w:pPr>
              <w:pStyle w:val="TableParagraph"/>
              <w:spacing w:line="205" w:lineRule="exact"/>
              <w:ind w:left="22" w:right="136"/>
              <w:jc w:val="center"/>
              <w:rPr>
                <w:sz w:val="20"/>
              </w:rPr>
            </w:pPr>
            <w:r>
              <w:rPr>
                <w:color w:val="0E0E0E"/>
                <w:sz w:val="20"/>
              </w:rPr>
              <w:t>V61.8</w:t>
            </w:r>
          </w:p>
        </w:tc>
        <w:tc>
          <w:tcPr>
            <w:tcW w:w="3072" w:type="dxa"/>
          </w:tcPr>
          <w:p w:rsidR="00E675F0" w:rsidRDefault="00E675F0" w:rsidP="00A330E1">
            <w:pPr>
              <w:pStyle w:val="TableParagraph"/>
              <w:spacing w:line="205" w:lineRule="exact"/>
              <w:ind w:left="63"/>
              <w:rPr>
                <w:sz w:val="20"/>
              </w:rPr>
            </w:pPr>
            <w:r>
              <w:rPr>
                <w:color w:val="232323"/>
                <w:w w:val="105"/>
                <w:sz w:val="20"/>
              </w:rPr>
              <w:t xml:space="preserve">Sibling </w:t>
            </w:r>
            <w:r>
              <w:rPr>
                <w:color w:val="0E0E0E"/>
                <w:w w:val="105"/>
                <w:sz w:val="20"/>
              </w:rPr>
              <w:t>Relational Problem (681)</w:t>
            </w:r>
          </w:p>
        </w:tc>
        <w:tc>
          <w:tcPr>
            <w:tcW w:w="843" w:type="dxa"/>
          </w:tcPr>
          <w:p w:rsidR="00E675F0" w:rsidRDefault="00E675F0" w:rsidP="00A330E1">
            <w:pPr>
              <w:pStyle w:val="TableParagraph"/>
              <w:rPr>
                <w:sz w:val="16"/>
              </w:rPr>
            </w:pPr>
          </w:p>
        </w:tc>
        <w:tc>
          <w:tcPr>
            <w:tcW w:w="3059" w:type="dxa"/>
          </w:tcPr>
          <w:p w:rsidR="00E675F0" w:rsidRDefault="00E675F0" w:rsidP="00A330E1">
            <w:pPr>
              <w:pStyle w:val="TableParagraph"/>
              <w:spacing w:line="179" w:lineRule="exact"/>
              <w:ind w:left="74"/>
              <w:rPr>
                <w:sz w:val="20"/>
              </w:rPr>
            </w:pPr>
            <w:r>
              <w:rPr>
                <w:color w:val="0E0E0E"/>
                <w:sz w:val="20"/>
              </w:rPr>
              <w:t xml:space="preserve">on Axis I </w:t>
            </w:r>
            <w:r>
              <w:rPr>
                <w:color w:val="232323"/>
                <w:sz w:val="20"/>
              </w:rPr>
              <w:t>(687)</w:t>
            </w:r>
          </w:p>
        </w:tc>
      </w:tr>
      <w:tr w:rsidR="00E675F0" w:rsidTr="00A330E1">
        <w:trPr>
          <w:trHeight w:val="242"/>
        </w:trPr>
        <w:tc>
          <w:tcPr>
            <w:tcW w:w="707" w:type="dxa"/>
          </w:tcPr>
          <w:p w:rsidR="00E675F0" w:rsidRDefault="00E675F0" w:rsidP="00A330E1">
            <w:pPr>
              <w:pStyle w:val="TableParagraph"/>
              <w:spacing w:line="205" w:lineRule="exact"/>
              <w:ind w:left="22" w:right="27"/>
              <w:jc w:val="center"/>
              <w:rPr>
                <w:sz w:val="20"/>
              </w:rPr>
            </w:pPr>
            <w:r>
              <w:rPr>
                <w:color w:val="232323"/>
                <w:sz w:val="20"/>
              </w:rPr>
              <w:t>V62.81</w:t>
            </w:r>
          </w:p>
        </w:tc>
        <w:tc>
          <w:tcPr>
            <w:tcW w:w="3072" w:type="dxa"/>
          </w:tcPr>
          <w:p w:rsidR="00E675F0" w:rsidRDefault="00E675F0" w:rsidP="00A330E1">
            <w:pPr>
              <w:pStyle w:val="TableParagraph"/>
              <w:spacing w:line="205" w:lineRule="exact"/>
              <w:ind w:left="77"/>
              <w:rPr>
                <w:sz w:val="20"/>
              </w:rPr>
            </w:pPr>
            <w:r>
              <w:rPr>
                <w:color w:val="0E0E0E"/>
                <w:sz w:val="20"/>
              </w:rPr>
              <w:t xml:space="preserve">Relational Problem </w:t>
            </w:r>
            <w:r>
              <w:rPr>
                <w:color w:val="232323"/>
                <w:sz w:val="20"/>
              </w:rPr>
              <w:t>NOS (681)</w:t>
            </w:r>
          </w:p>
        </w:tc>
        <w:tc>
          <w:tcPr>
            <w:tcW w:w="843" w:type="dxa"/>
          </w:tcPr>
          <w:p w:rsidR="00E675F0" w:rsidRDefault="00E675F0" w:rsidP="00A330E1">
            <w:pPr>
              <w:pStyle w:val="TableParagraph"/>
              <w:spacing w:line="186" w:lineRule="exact"/>
              <w:ind w:left="196"/>
              <w:rPr>
                <w:sz w:val="20"/>
              </w:rPr>
            </w:pPr>
            <w:r>
              <w:rPr>
                <w:color w:val="0E0E0E"/>
                <w:sz w:val="20"/>
              </w:rPr>
              <w:t>V71.09</w:t>
            </w:r>
          </w:p>
        </w:tc>
        <w:tc>
          <w:tcPr>
            <w:tcW w:w="3059" w:type="dxa"/>
          </w:tcPr>
          <w:p w:rsidR="00E675F0" w:rsidRDefault="00E675F0" w:rsidP="00A330E1">
            <w:pPr>
              <w:pStyle w:val="TableParagraph"/>
              <w:spacing w:line="177" w:lineRule="exact"/>
              <w:ind w:left="84"/>
              <w:rPr>
                <w:sz w:val="20"/>
              </w:rPr>
            </w:pPr>
            <w:r>
              <w:rPr>
                <w:color w:val="232323"/>
                <w:sz w:val="20"/>
              </w:rPr>
              <w:t xml:space="preserve">No </w:t>
            </w:r>
            <w:r>
              <w:rPr>
                <w:color w:val="0E0E0E"/>
                <w:sz w:val="20"/>
              </w:rPr>
              <w:t xml:space="preserve">Diagnosis </w:t>
            </w:r>
            <w:r>
              <w:rPr>
                <w:color w:val="232323"/>
                <w:sz w:val="20"/>
              </w:rPr>
              <w:t xml:space="preserve">on </w:t>
            </w:r>
            <w:r>
              <w:rPr>
                <w:color w:val="0E0E0E"/>
                <w:sz w:val="20"/>
              </w:rPr>
              <w:t xml:space="preserve">Axis II </w:t>
            </w:r>
            <w:r>
              <w:rPr>
                <w:color w:val="232323"/>
                <w:sz w:val="20"/>
              </w:rPr>
              <w:t>(687)</w:t>
            </w:r>
          </w:p>
        </w:tc>
      </w:tr>
      <w:tr w:rsidR="00E675F0" w:rsidTr="00A330E1">
        <w:trPr>
          <w:trHeight w:val="226"/>
        </w:trPr>
        <w:tc>
          <w:tcPr>
            <w:tcW w:w="707" w:type="dxa"/>
          </w:tcPr>
          <w:p w:rsidR="00E675F0" w:rsidRDefault="00E675F0" w:rsidP="00A330E1">
            <w:pPr>
              <w:pStyle w:val="TableParagraph"/>
              <w:rPr>
                <w:sz w:val="16"/>
              </w:rPr>
            </w:pPr>
          </w:p>
        </w:tc>
        <w:tc>
          <w:tcPr>
            <w:tcW w:w="3072" w:type="dxa"/>
          </w:tcPr>
          <w:p w:rsidR="00E675F0" w:rsidRDefault="00E675F0" w:rsidP="00A330E1">
            <w:pPr>
              <w:pStyle w:val="TableParagraph"/>
              <w:rPr>
                <w:sz w:val="16"/>
              </w:rPr>
            </w:pPr>
          </w:p>
        </w:tc>
        <w:tc>
          <w:tcPr>
            <w:tcW w:w="843" w:type="dxa"/>
          </w:tcPr>
          <w:p w:rsidR="00E675F0" w:rsidRDefault="00E675F0" w:rsidP="00A330E1">
            <w:pPr>
              <w:pStyle w:val="TableParagraph"/>
              <w:spacing w:line="189" w:lineRule="exact"/>
              <w:ind w:left="195"/>
              <w:rPr>
                <w:sz w:val="20"/>
              </w:rPr>
            </w:pPr>
            <w:r>
              <w:rPr>
                <w:color w:val="0E0E0E"/>
                <w:sz w:val="20"/>
              </w:rPr>
              <w:t>799.9</w:t>
            </w:r>
          </w:p>
        </w:tc>
        <w:tc>
          <w:tcPr>
            <w:tcW w:w="3059" w:type="dxa"/>
          </w:tcPr>
          <w:p w:rsidR="00E675F0" w:rsidRDefault="00E675F0" w:rsidP="00A330E1">
            <w:pPr>
              <w:pStyle w:val="TableParagraph"/>
              <w:spacing w:line="179" w:lineRule="exact"/>
              <w:ind w:left="78"/>
              <w:rPr>
                <w:sz w:val="20"/>
              </w:rPr>
            </w:pPr>
            <w:r>
              <w:rPr>
                <w:color w:val="0E0E0E"/>
                <w:sz w:val="20"/>
              </w:rPr>
              <w:t xml:space="preserve">Diagnosis Deferred on Axis II </w:t>
            </w:r>
            <w:r>
              <w:rPr>
                <w:color w:val="232323"/>
                <w:sz w:val="20"/>
              </w:rPr>
              <w:t>(687)</w:t>
            </w:r>
          </w:p>
        </w:tc>
      </w:tr>
    </w:tbl>
    <w:p w:rsidR="00E675F0" w:rsidRDefault="00E675F0" w:rsidP="00E675F0">
      <w:pPr>
        <w:pStyle w:val="BodyText"/>
        <w:spacing w:before="1"/>
        <w:rPr>
          <w:rFonts w:ascii="Arial"/>
          <w:b/>
          <w:sz w:val="6"/>
        </w:rPr>
      </w:pPr>
    </w:p>
    <w:p w:rsidR="00E675F0" w:rsidRDefault="00E675F0" w:rsidP="00E675F0">
      <w:pPr>
        <w:rPr>
          <w:rFonts w:ascii="Arial"/>
          <w:sz w:val="6"/>
        </w:rPr>
        <w:sectPr w:rsidR="00E675F0">
          <w:type w:val="continuous"/>
          <w:pgSz w:w="8960" w:h="14260"/>
          <w:pgMar w:top="640" w:right="480" w:bottom="0" w:left="580" w:header="720" w:footer="720" w:gutter="0"/>
          <w:cols w:space="720"/>
        </w:sectPr>
      </w:pPr>
    </w:p>
    <w:p w:rsidR="00E675F0" w:rsidRDefault="00E675F0" w:rsidP="00E675F0">
      <w:pPr>
        <w:spacing w:before="60" w:line="252" w:lineRule="auto"/>
        <w:ind w:left="163" w:right="392" w:hanging="3"/>
        <w:rPr>
          <w:sz w:val="20"/>
        </w:rPr>
      </w:pPr>
      <w:r>
        <w:rPr>
          <w:b/>
          <w:color w:val="0E0E0E"/>
          <w:w w:val="105"/>
          <w:sz w:val="18"/>
        </w:rPr>
        <w:t>PROBLEMS REIATED TO ABUSE OR NEGLECT</w:t>
      </w:r>
      <w:r>
        <w:rPr>
          <w:b/>
          <w:color w:val="0E0E0E"/>
          <w:spacing w:val="22"/>
          <w:w w:val="105"/>
          <w:sz w:val="18"/>
        </w:rPr>
        <w:t xml:space="preserve"> </w:t>
      </w:r>
      <w:r>
        <w:rPr>
          <w:color w:val="0E0E0E"/>
          <w:w w:val="105"/>
          <w:sz w:val="20"/>
        </w:rPr>
        <w:t>(682)</w:t>
      </w:r>
    </w:p>
    <w:p w:rsidR="00E675F0" w:rsidRDefault="00E675F0" w:rsidP="00E675F0">
      <w:pPr>
        <w:spacing w:before="8" w:line="228" w:lineRule="auto"/>
        <w:ind w:left="902" w:right="133" w:hanging="739"/>
        <w:rPr>
          <w:i/>
          <w:sz w:val="20"/>
        </w:rPr>
      </w:pPr>
      <w:r>
        <w:rPr>
          <w:color w:val="0E0E0E"/>
          <w:w w:val="105"/>
          <w:sz w:val="20"/>
        </w:rPr>
        <w:t xml:space="preserve">V61.21 Physical Abuse of Child </w:t>
      </w:r>
      <w:r>
        <w:rPr>
          <w:color w:val="232323"/>
          <w:w w:val="105"/>
          <w:sz w:val="20"/>
        </w:rPr>
        <w:t xml:space="preserve">(682) </w:t>
      </w:r>
      <w:r>
        <w:rPr>
          <w:i/>
          <w:color w:val="232323"/>
          <w:w w:val="105"/>
          <w:sz w:val="20"/>
        </w:rPr>
        <w:t xml:space="preserve">(code </w:t>
      </w:r>
      <w:r>
        <w:rPr>
          <w:i/>
          <w:color w:val="0E0E0E"/>
          <w:w w:val="105"/>
          <w:sz w:val="20"/>
        </w:rPr>
        <w:t xml:space="preserve">995.5 </w:t>
      </w:r>
      <w:r>
        <w:rPr>
          <w:rFonts w:ascii="Arial"/>
          <w:i/>
          <w:color w:val="0E0E0E"/>
          <w:w w:val="105"/>
          <w:sz w:val="25"/>
        </w:rPr>
        <w:t xml:space="preserve">if </w:t>
      </w:r>
      <w:r>
        <w:rPr>
          <w:i/>
          <w:color w:val="0E0E0E"/>
          <w:w w:val="105"/>
          <w:sz w:val="20"/>
        </w:rPr>
        <w:t xml:space="preserve">focus of attention is </w:t>
      </w:r>
      <w:r>
        <w:rPr>
          <w:i/>
          <w:color w:val="232323"/>
          <w:w w:val="105"/>
          <w:sz w:val="20"/>
        </w:rPr>
        <w:t>on</w:t>
      </w:r>
      <w:r>
        <w:rPr>
          <w:i/>
          <w:color w:val="232323"/>
          <w:spacing w:val="11"/>
          <w:w w:val="105"/>
          <w:sz w:val="20"/>
        </w:rPr>
        <w:t xml:space="preserve"> </w:t>
      </w:r>
      <w:r>
        <w:rPr>
          <w:i/>
          <w:color w:val="0E0E0E"/>
          <w:w w:val="105"/>
          <w:sz w:val="20"/>
        </w:rPr>
        <w:t>victim)</w:t>
      </w:r>
    </w:p>
    <w:p w:rsidR="00E675F0" w:rsidRDefault="00E675F0" w:rsidP="00E675F0">
      <w:pPr>
        <w:spacing w:before="25" w:line="228" w:lineRule="auto"/>
        <w:ind w:left="897" w:right="185" w:hanging="730"/>
        <w:rPr>
          <w:i/>
          <w:sz w:val="20"/>
        </w:rPr>
      </w:pPr>
      <w:r>
        <w:rPr>
          <w:color w:val="0E0E0E"/>
          <w:sz w:val="20"/>
        </w:rPr>
        <w:t xml:space="preserve">V61.21 </w:t>
      </w:r>
      <w:r>
        <w:rPr>
          <w:color w:val="232323"/>
          <w:sz w:val="20"/>
        </w:rPr>
        <w:t xml:space="preserve">Sexual </w:t>
      </w:r>
      <w:r>
        <w:rPr>
          <w:color w:val="0E0E0E"/>
          <w:sz w:val="20"/>
        </w:rPr>
        <w:t xml:space="preserve">Abuse of Child  </w:t>
      </w:r>
      <w:r>
        <w:rPr>
          <w:color w:val="232323"/>
          <w:sz w:val="20"/>
        </w:rPr>
        <w:t xml:space="preserve">(682) </w:t>
      </w:r>
      <w:r>
        <w:rPr>
          <w:i/>
          <w:color w:val="232323"/>
          <w:sz w:val="20"/>
        </w:rPr>
        <w:t xml:space="preserve">(code </w:t>
      </w:r>
      <w:r>
        <w:rPr>
          <w:i/>
          <w:color w:val="0E0E0E"/>
          <w:sz w:val="20"/>
        </w:rPr>
        <w:t xml:space="preserve">995.5 </w:t>
      </w:r>
      <w:r>
        <w:rPr>
          <w:rFonts w:ascii="Arial"/>
          <w:i/>
          <w:color w:val="0E0E0E"/>
          <w:sz w:val="25"/>
        </w:rPr>
        <w:t xml:space="preserve">if </w:t>
      </w:r>
      <w:r>
        <w:rPr>
          <w:i/>
          <w:color w:val="0E0E0E"/>
          <w:sz w:val="20"/>
        </w:rPr>
        <w:t xml:space="preserve">focus </w:t>
      </w:r>
      <w:r>
        <w:rPr>
          <w:i/>
          <w:color w:val="232323"/>
          <w:sz w:val="20"/>
        </w:rPr>
        <w:t xml:space="preserve">of </w:t>
      </w:r>
      <w:r>
        <w:rPr>
          <w:i/>
          <w:color w:val="0E0E0E"/>
          <w:sz w:val="20"/>
        </w:rPr>
        <w:t xml:space="preserve">attention </w:t>
      </w:r>
      <w:r>
        <w:rPr>
          <w:rFonts w:ascii="Arial"/>
          <w:i/>
          <w:color w:val="0E0E0E"/>
          <w:sz w:val="17"/>
        </w:rPr>
        <w:t xml:space="preserve">is </w:t>
      </w:r>
      <w:r>
        <w:rPr>
          <w:i/>
          <w:color w:val="232323"/>
          <w:sz w:val="20"/>
        </w:rPr>
        <w:t>on</w:t>
      </w:r>
      <w:r>
        <w:rPr>
          <w:i/>
          <w:color w:val="232323"/>
          <w:spacing w:val="27"/>
          <w:sz w:val="20"/>
        </w:rPr>
        <w:t xml:space="preserve"> </w:t>
      </w:r>
      <w:r>
        <w:rPr>
          <w:i/>
          <w:color w:val="232323"/>
          <w:sz w:val="20"/>
        </w:rPr>
        <w:t>victim)</w:t>
      </w:r>
    </w:p>
    <w:p w:rsidR="00E675F0" w:rsidRDefault="00E675F0" w:rsidP="00E675F0">
      <w:pPr>
        <w:pStyle w:val="BodyText"/>
        <w:spacing w:before="16" w:line="218" w:lineRule="exact"/>
        <w:ind w:left="168"/>
      </w:pPr>
      <w:r>
        <w:rPr>
          <w:color w:val="232323"/>
        </w:rPr>
        <w:t xml:space="preserve">V61.21 Neglect </w:t>
      </w:r>
      <w:r>
        <w:rPr>
          <w:color w:val="0E0E0E"/>
        </w:rPr>
        <w:t xml:space="preserve">of Child </w:t>
      </w:r>
      <w:r>
        <w:rPr>
          <w:color w:val="232323"/>
        </w:rPr>
        <w:t>(682)</w:t>
      </w:r>
    </w:p>
    <w:p w:rsidR="00E675F0" w:rsidRDefault="00E675F0" w:rsidP="00E675F0">
      <w:pPr>
        <w:ind w:left="905" w:right="133" w:hanging="4"/>
        <w:rPr>
          <w:i/>
          <w:sz w:val="20"/>
        </w:rPr>
      </w:pPr>
      <w:r>
        <w:rPr>
          <w:i/>
          <w:color w:val="232323"/>
          <w:w w:val="110"/>
          <w:sz w:val="20"/>
        </w:rPr>
        <w:t>(code</w:t>
      </w:r>
      <w:r>
        <w:rPr>
          <w:i/>
          <w:color w:val="232323"/>
          <w:spacing w:val="-20"/>
          <w:w w:val="110"/>
          <w:sz w:val="20"/>
        </w:rPr>
        <w:t xml:space="preserve"> </w:t>
      </w:r>
      <w:r>
        <w:rPr>
          <w:i/>
          <w:color w:val="0E0E0E"/>
          <w:w w:val="110"/>
          <w:sz w:val="20"/>
        </w:rPr>
        <w:t>995.5</w:t>
      </w:r>
      <w:r>
        <w:rPr>
          <w:i/>
          <w:color w:val="0E0E0E"/>
          <w:spacing w:val="-16"/>
          <w:w w:val="110"/>
          <w:sz w:val="20"/>
        </w:rPr>
        <w:t xml:space="preserve"> </w:t>
      </w:r>
      <w:r>
        <w:rPr>
          <w:rFonts w:ascii="Arial"/>
          <w:i/>
          <w:color w:val="0E0E0E"/>
          <w:w w:val="110"/>
          <w:sz w:val="25"/>
        </w:rPr>
        <w:t>if</w:t>
      </w:r>
      <w:r>
        <w:rPr>
          <w:rFonts w:ascii="Arial"/>
          <w:i/>
          <w:color w:val="0E0E0E"/>
          <w:spacing w:val="-43"/>
          <w:w w:val="110"/>
          <w:sz w:val="25"/>
        </w:rPr>
        <w:t xml:space="preserve"> </w:t>
      </w:r>
      <w:r>
        <w:rPr>
          <w:i/>
          <w:color w:val="0E0E0E"/>
          <w:w w:val="110"/>
          <w:sz w:val="20"/>
        </w:rPr>
        <w:t>focus</w:t>
      </w:r>
      <w:r>
        <w:rPr>
          <w:i/>
          <w:color w:val="0E0E0E"/>
          <w:spacing w:val="-13"/>
          <w:w w:val="110"/>
          <w:sz w:val="20"/>
        </w:rPr>
        <w:t xml:space="preserve"> </w:t>
      </w:r>
      <w:r>
        <w:rPr>
          <w:i/>
          <w:color w:val="0E0E0E"/>
          <w:w w:val="110"/>
          <w:sz w:val="20"/>
        </w:rPr>
        <w:t>of</w:t>
      </w:r>
      <w:r>
        <w:rPr>
          <w:i/>
          <w:color w:val="0E0E0E"/>
          <w:spacing w:val="-15"/>
          <w:w w:val="110"/>
          <w:sz w:val="20"/>
        </w:rPr>
        <w:t xml:space="preserve"> </w:t>
      </w:r>
      <w:r>
        <w:rPr>
          <w:i/>
          <w:color w:val="0E0E0E"/>
          <w:w w:val="110"/>
          <w:sz w:val="20"/>
        </w:rPr>
        <w:t>attention is on</w:t>
      </w:r>
      <w:r>
        <w:rPr>
          <w:i/>
          <w:color w:val="0E0E0E"/>
          <w:spacing w:val="-6"/>
          <w:w w:val="110"/>
          <w:sz w:val="20"/>
        </w:rPr>
        <w:t xml:space="preserve"> </w:t>
      </w:r>
      <w:r>
        <w:rPr>
          <w:i/>
          <w:color w:val="0E0E0E"/>
          <w:w w:val="110"/>
          <w:sz w:val="20"/>
        </w:rPr>
        <w:t>victim)</w:t>
      </w:r>
    </w:p>
    <w:p w:rsidR="00E675F0" w:rsidRDefault="00E675F0" w:rsidP="00E675F0">
      <w:pPr>
        <w:tabs>
          <w:tab w:val="left" w:pos="893"/>
        </w:tabs>
        <w:spacing w:before="16" w:line="225" w:lineRule="auto"/>
        <w:ind w:left="902" w:right="38" w:hanging="739"/>
        <w:rPr>
          <w:i/>
          <w:sz w:val="20"/>
        </w:rPr>
      </w:pPr>
      <w:r>
        <w:rPr>
          <w:color w:val="0E0E0E"/>
          <w:w w:val="105"/>
          <w:sz w:val="20"/>
        </w:rPr>
        <w:t>V61.l</w:t>
      </w:r>
      <w:r>
        <w:rPr>
          <w:color w:val="0E0E0E"/>
          <w:w w:val="105"/>
          <w:sz w:val="20"/>
        </w:rPr>
        <w:tab/>
        <w:t xml:space="preserve">Physical Abuse of Adult </w:t>
      </w:r>
      <w:r>
        <w:rPr>
          <w:color w:val="232323"/>
          <w:w w:val="105"/>
          <w:sz w:val="20"/>
        </w:rPr>
        <w:t xml:space="preserve">(682) </w:t>
      </w:r>
      <w:r>
        <w:rPr>
          <w:i/>
          <w:color w:val="232323"/>
          <w:w w:val="105"/>
          <w:sz w:val="20"/>
        </w:rPr>
        <w:t xml:space="preserve">(code </w:t>
      </w:r>
      <w:r>
        <w:rPr>
          <w:i/>
          <w:color w:val="0E0E0E"/>
          <w:w w:val="105"/>
          <w:sz w:val="20"/>
        </w:rPr>
        <w:t xml:space="preserve">995.81 </w:t>
      </w:r>
      <w:r>
        <w:rPr>
          <w:rFonts w:ascii="Arial"/>
          <w:i/>
          <w:color w:val="0E0E0E"/>
          <w:w w:val="105"/>
          <w:sz w:val="25"/>
        </w:rPr>
        <w:t xml:space="preserve">if </w:t>
      </w:r>
      <w:r>
        <w:rPr>
          <w:i/>
          <w:color w:val="0E0E0E"/>
          <w:w w:val="105"/>
          <w:sz w:val="20"/>
        </w:rPr>
        <w:t xml:space="preserve">focus </w:t>
      </w:r>
      <w:r>
        <w:rPr>
          <w:i/>
          <w:color w:val="232323"/>
          <w:w w:val="105"/>
          <w:sz w:val="20"/>
        </w:rPr>
        <w:t xml:space="preserve">of </w:t>
      </w:r>
      <w:r>
        <w:rPr>
          <w:i/>
          <w:color w:val="0E0E0E"/>
          <w:w w:val="105"/>
          <w:sz w:val="20"/>
        </w:rPr>
        <w:t xml:space="preserve">attention </w:t>
      </w:r>
      <w:r>
        <w:rPr>
          <w:i/>
          <w:color w:val="232323"/>
          <w:w w:val="105"/>
          <w:sz w:val="20"/>
        </w:rPr>
        <w:t>is on</w:t>
      </w:r>
      <w:r>
        <w:rPr>
          <w:i/>
          <w:color w:val="232323"/>
          <w:spacing w:val="10"/>
          <w:w w:val="105"/>
          <w:sz w:val="20"/>
        </w:rPr>
        <w:t xml:space="preserve"> </w:t>
      </w:r>
      <w:r>
        <w:rPr>
          <w:i/>
          <w:color w:val="0E0E0E"/>
          <w:w w:val="105"/>
          <w:sz w:val="20"/>
        </w:rPr>
        <w:t>victim)</w:t>
      </w:r>
    </w:p>
    <w:p w:rsidR="00E675F0" w:rsidRDefault="00E675F0" w:rsidP="00E675F0">
      <w:pPr>
        <w:tabs>
          <w:tab w:val="left" w:pos="889"/>
        </w:tabs>
        <w:spacing w:before="21" w:line="228" w:lineRule="auto"/>
        <w:ind w:left="902" w:right="38" w:hanging="739"/>
        <w:rPr>
          <w:i/>
          <w:sz w:val="20"/>
        </w:rPr>
      </w:pPr>
      <w:r>
        <w:rPr>
          <w:color w:val="0E0E0E"/>
          <w:w w:val="105"/>
          <w:sz w:val="20"/>
        </w:rPr>
        <w:t>V61.1</w:t>
      </w:r>
      <w:r>
        <w:rPr>
          <w:color w:val="0E0E0E"/>
          <w:w w:val="105"/>
          <w:sz w:val="20"/>
        </w:rPr>
        <w:tab/>
        <w:t xml:space="preserve">Sexual Abuse of Adult </w:t>
      </w:r>
      <w:r>
        <w:rPr>
          <w:color w:val="232323"/>
          <w:w w:val="105"/>
          <w:sz w:val="20"/>
        </w:rPr>
        <w:t xml:space="preserve">(682) </w:t>
      </w:r>
      <w:r>
        <w:rPr>
          <w:i/>
          <w:color w:val="232323"/>
          <w:w w:val="105"/>
          <w:sz w:val="20"/>
        </w:rPr>
        <w:t xml:space="preserve">(code </w:t>
      </w:r>
      <w:r>
        <w:rPr>
          <w:i/>
          <w:color w:val="0E0E0E"/>
          <w:w w:val="105"/>
          <w:sz w:val="20"/>
        </w:rPr>
        <w:t xml:space="preserve">995 </w:t>
      </w:r>
      <w:r>
        <w:rPr>
          <w:i/>
          <w:color w:val="464646"/>
          <w:spacing w:val="-4"/>
          <w:w w:val="105"/>
          <w:sz w:val="20"/>
        </w:rPr>
        <w:t>.</w:t>
      </w:r>
      <w:r>
        <w:rPr>
          <w:i/>
          <w:color w:val="0E0E0E"/>
          <w:spacing w:val="-4"/>
          <w:w w:val="105"/>
          <w:sz w:val="20"/>
        </w:rPr>
        <w:t xml:space="preserve">81 </w:t>
      </w:r>
      <w:r>
        <w:rPr>
          <w:rFonts w:ascii="Arial"/>
          <w:i/>
          <w:color w:val="0E0E0E"/>
          <w:w w:val="105"/>
          <w:sz w:val="25"/>
        </w:rPr>
        <w:t xml:space="preserve">if </w:t>
      </w:r>
      <w:r>
        <w:rPr>
          <w:i/>
          <w:color w:val="0E0E0E"/>
          <w:w w:val="105"/>
          <w:sz w:val="20"/>
        </w:rPr>
        <w:t>focus of</w:t>
      </w:r>
      <w:r>
        <w:rPr>
          <w:i/>
          <w:color w:val="0E0E0E"/>
          <w:spacing w:val="-20"/>
          <w:w w:val="105"/>
          <w:sz w:val="20"/>
        </w:rPr>
        <w:t xml:space="preserve"> </w:t>
      </w:r>
      <w:r>
        <w:rPr>
          <w:i/>
          <w:color w:val="0E0E0E"/>
          <w:w w:val="105"/>
          <w:sz w:val="20"/>
        </w:rPr>
        <w:t xml:space="preserve">attention </w:t>
      </w:r>
      <w:r>
        <w:rPr>
          <w:i/>
          <w:color w:val="0E0E0E"/>
          <w:w w:val="105"/>
          <w:sz w:val="20"/>
        </w:rPr>
        <w:t xml:space="preserve">is </w:t>
      </w:r>
      <w:r>
        <w:rPr>
          <w:i/>
          <w:color w:val="232323"/>
          <w:w w:val="105"/>
          <w:sz w:val="20"/>
        </w:rPr>
        <w:t>on</w:t>
      </w:r>
      <w:r>
        <w:rPr>
          <w:i/>
          <w:color w:val="232323"/>
          <w:spacing w:val="5"/>
          <w:w w:val="105"/>
          <w:sz w:val="20"/>
        </w:rPr>
        <w:t xml:space="preserve"> </w:t>
      </w:r>
      <w:r>
        <w:rPr>
          <w:i/>
          <w:color w:val="232323"/>
          <w:w w:val="105"/>
          <w:sz w:val="20"/>
        </w:rPr>
        <w:t>victim)</w:t>
      </w:r>
    </w:p>
    <w:p w:rsidR="00E675F0" w:rsidRDefault="00E675F0" w:rsidP="00E675F0">
      <w:pPr>
        <w:pStyle w:val="BodyText"/>
        <w:spacing w:before="6" w:after="40"/>
        <w:rPr>
          <w:i/>
          <w:sz w:val="18"/>
        </w:rPr>
      </w:pPr>
      <w:r>
        <w:br w:type="column"/>
      </w:r>
    </w:p>
    <w:p w:rsidR="00E675F0" w:rsidRDefault="00E675F0" w:rsidP="00E675F0">
      <w:pPr>
        <w:pStyle w:val="BodyText"/>
        <w:spacing w:line="20" w:lineRule="exact"/>
        <w:ind w:left="2481"/>
        <w:rPr>
          <w:sz w:val="2"/>
        </w:rPr>
      </w:pPr>
      <w:r>
        <w:rPr>
          <w:noProof/>
          <w:sz w:val="2"/>
        </w:rPr>
        <mc:AlternateContent>
          <mc:Choice Requires="wpg">
            <w:drawing>
              <wp:inline distT="0" distB="0" distL="0" distR="0" wp14:anchorId="29666268" wp14:editId="57DA0BCB">
                <wp:extent cx="779145" cy="6350"/>
                <wp:effectExtent l="0" t="0" r="0" b="0"/>
                <wp:docPr id="1684" name="Group 1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145" cy="6350"/>
                          <a:chOff x="0" y="0"/>
                          <a:chExt cx="1227" cy="10"/>
                        </a:xfrm>
                      </wpg:grpSpPr>
                      <wps:wsp>
                        <wps:cNvPr id="1685" name="Line 1641"/>
                        <wps:cNvCnPr>
                          <a:cxnSpLocks/>
                        </wps:cNvCnPr>
                        <wps:spPr bwMode="auto">
                          <a:xfrm>
                            <a:off x="0" y="5"/>
                            <a:ext cx="1227" cy="0"/>
                          </a:xfrm>
                          <a:prstGeom prst="line">
                            <a:avLst/>
                          </a:prstGeom>
                          <a:noFill/>
                          <a:ln w="610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1A19D70" id="Group 1640" o:spid="_x0000_s1026" style="width:61.35pt;height:.5pt;mso-position-horizontal-relative:char;mso-position-vertical-relative:line" coordsize="1227,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">
                <v:line id="Line 1641" o:spid="_x0000_s1027" style="position:absolute;visibility:visible;mso-wrap-style:square" from="0,5" to="122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" strokeweight=".16956mm">
                  <o:lock v:ext="edit" shapetype="f"/>
                </v:line>
                <w10:anchorlock/>
              </v:group>
            </w:pict>
          </mc:Fallback>
        </mc:AlternateContent>
      </w:r>
    </w:p>
    <w:p w:rsidR="00E675F0" w:rsidRDefault="00E675F0" w:rsidP="00E675F0">
      <w:pPr>
        <w:spacing w:before="62"/>
        <w:ind w:left="339"/>
        <w:rPr>
          <w:rFonts w:ascii="Arial"/>
          <w:b/>
        </w:rPr>
      </w:pPr>
      <w:r>
        <w:rPr>
          <w:rFonts w:ascii="Arial"/>
          <w:b/>
          <w:color w:val="0E0E0E"/>
          <w:w w:val="105"/>
        </w:rPr>
        <w:t>Multiaxial System</w:t>
      </w:r>
    </w:p>
    <w:p w:rsidR="00E675F0" w:rsidRDefault="00E675F0" w:rsidP="00E675F0">
      <w:pPr>
        <w:pStyle w:val="BodyText"/>
        <w:spacing w:before="2"/>
        <w:rPr>
          <w:rFonts w:ascii="Arial"/>
          <w:b/>
          <w:sz w:val="3"/>
        </w:rPr>
      </w:pPr>
    </w:p>
    <w:p w:rsidR="00E675F0" w:rsidRDefault="00E675F0" w:rsidP="00E675F0">
      <w:pPr>
        <w:pStyle w:val="BodyText"/>
        <w:spacing w:line="20" w:lineRule="exact"/>
        <w:ind w:left="2670"/>
        <w:rPr>
          <w:rFonts w:ascii="Arial"/>
          <w:sz w:val="2"/>
        </w:rPr>
      </w:pPr>
      <w:r>
        <w:rPr>
          <w:rFonts w:ascii="Arial"/>
          <w:noProof/>
          <w:sz w:val="2"/>
        </w:rPr>
        <mc:AlternateContent>
          <mc:Choice Requires="wpg">
            <w:drawing>
              <wp:inline distT="0" distB="0" distL="0" distR="0" wp14:anchorId="630346AE" wp14:editId="0FBB7C8C">
                <wp:extent cx="654050" cy="3175"/>
                <wp:effectExtent l="0" t="0" r="0" b="0"/>
                <wp:docPr id="1682" name="Group 1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0" cy="3175"/>
                          <a:chOff x="0" y="0"/>
                          <a:chExt cx="1030" cy="5"/>
                        </a:xfrm>
                      </wpg:grpSpPr>
                      <wps:wsp>
                        <wps:cNvPr id="1683" name="Line 1639"/>
                        <wps:cNvCnPr>
                          <a:cxnSpLocks/>
                        </wps:cNvCnPr>
                        <wps:spPr bwMode="auto">
                          <a:xfrm>
                            <a:off x="0" y="2"/>
                            <a:ext cx="1029" cy="0"/>
                          </a:xfrm>
                          <a:prstGeom prst="line">
                            <a:avLst/>
                          </a:prstGeom>
                          <a:noFill/>
                          <a:ln w="305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9184849" id="Group 1638" o:spid="_x0000_s1026" style="width:51.5pt;height:.25pt;mso-position-horizontal-relative:char;mso-position-vertical-relative:line" coordsize="1030,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">
                <v:line id="Line 1639" o:spid="_x0000_s1027" style="position:absolute;visibility:visible;mso-wrap-style:square" from="0,2" to="102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" strokeweight=".08478mm">
                  <o:lock v:ext="edit" shapetype="f"/>
                </v:line>
                <w10:anchorlock/>
              </v:group>
            </w:pict>
          </mc:Fallback>
        </mc:AlternateContent>
      </w:r>
    </w:p>
    <w:p w:rsidR="00E675F0" w:rsidRDefault="00E675F0" w:rsidP="00E675F0">
      <w:pPr>
        <w:pStyle w:val="BodyText"/>
        <w:tabs>
          <w:tab w:val="left" w:pos="886"/>
        </w:tabs>
        <w:spacing w:before="119"/>
        <w:ind w:left="161"/>
      </w:pPr>
      <w:r>
        <w:rPr>
          <w:color w:val="0E0E0E"/>
        </w:rPr>
        <w:t>Axis</w:t>
      </w:r>
      <w:r>
        <w:rPr>
          <w:color w:val="0E0E0E"/>
          <w:spacing w:val="5"/>
        </w:rPr>
        <w:t xml:space="preserve"> </w:t>
      </w:r>
      <w:r>
        <w:rPr>
          <w:color w:val="0E0E0E"/>
        </w:rPr>
        <w:t>I</w:t>
      </w:r>
      <w:r>
        <w:rPr>
          <w:color w:val="0E0E0E"/>
        </w:rPr>
        <w:tab/>
        <w:t>Clinical</w:t>
      </w:r>
      <w:r>
        <w:rPr>
          <w:color w:val="0E0E0E"/>
          <w:spacing w:val="21"/>
        </w:rPr>
        <w:t xml:space="preserve"> </w:t>
      </w:r>
      <w:r>
        <w:rPr>
          <w:color w:val="0E0E0E"/>
        </w:rPr>
        <w:t>Disorders</w:t>
      </w:r>
    </w:p>
    <w:p w:rsidR="00E675F0" w:rsidRDefault="00E675F0" w:rsidP="00E675F0">
      <w:pPr>
        <w:pStyle w:val="BodyText"/>
        <w:spacing w:before="15" w:line="256" w:lineRule="auto"/>
        <w:ind w:left="885" w:hanging="4"/>
      </w:pPr>
      <w:r>
        <w:rPr>
          <w:color w:val="0E0E0E"/>
          <w:w w:val="105"/>
        </w:rPr>
        <w:t xml:space="preserve">Other </w:t>
      </w:r>
      <w:r>
        <w:rPr>
          <w:color w:val="232323"/>
          <w:w w:val="105"/>
        </w:rPr>
        <w:t xml:space="preserve">Conditions </w:t>
      </w:r>
      <w:r>
        <w:rPr>
          <w:color w:val="0E0E0E"/>
          <w:w w:val="105"/>
        </w:rPr>
        <w:t xml:space="preserve">That May Be </w:t>
      </w:r>
      <w:r>
        <w:rPr>
          <w:color w:val="232323"/>
          <w:w w:val="105"/>
        </w:rPr>
        <w:t xml:space="preserve">a </w:t>
      </w:r>
      <w:r>
        <w:rPr>
          <w:color w:val="0E0E0E"/>
          <w:w w:val="105"/>
        </w:rPr>
        <w:t xml:space="preserve">Focus </w:t>
      </w:r>
      <w:r>
        <w:rPr>
          <w:color w:val="232323"/>
          <w:w w:val="105"/>
        </w:rPr>
        <w:t xml:space="preserve">of Clinical </w:t>
      </w:r>
      <w:r>
        <w:rPr>
          <w:color w:val="0E0E0E"/>
          <w:w w:val="105"/>
        </w:rPr>
        <w:t>Attention</w:t>
      </w:r>
    </w:p>
    <w:p w:rsidR="00E675F0" w:rsidRDefault="00E675F0" w:rsidP="00E675F0">
      <w:pPr>
        <w:pStyle w:val="BodyText"/>
        <w:spacing w:before="56" w:line="256" w:lineRule="auto"/>
        <w:ind w:left="886" w:right="929" w:hanging="725"/>
      </w:pPr>
      <w:r>
        <w:rPr>
          <w:color w:val="0E0E0E"/>
        </w:rPr>
        <w:t>Axis II Personality Disorders Mental Retardation</w:t>
      </w:r>
    </w:p>
    <w:p w:rsidR="00E675F0" w:rsidRDefault="00E675F0" w:rsidP="00E675F0">
      <w:pPr>
        <w:pStyle w:val="BodyText"/>
        <w:spacing w:before="5" w:line="308" w:lineRule="exact"/>
        <w:ind w:left="165" w:right="354"/>
      </w:pPr>
      <w:r>
        <w:rPr>
          <w:color w:val="0E0E0E"/>
        </w:rPr>
        <w:t>Axis III  General  Medical  Conditions Axis IV Psychosocial and</w:t>
      </w:r>
      <w:r>
        <w:rPr>
          <w:color w:val="0E0E0E"/>
          <w:spacing w:val="-19"/>
        </w:rPr>
        <w:t xml:space="preserve"> </w:t>
      </w:r>
      <w:r>
        <w:rPr>
          <w:color w:val="0E0E0E"/>
        </w:rPr>
        <w:t>Environmental</w:t>
      </w:r>
    </w:p>
    <w:p w:rsidR="00E675F0" w:rsidRDefault="00E675F0" w:rsidP="00E675F0">
      <w:pPr>
        <w:pStyle w:val="BodyText"/>
        <w:spacing w:line="226" w:lineRule="exact"/>
        <w:ind w:left="890"/>
      </w:pPr>
      <w:r>
        <w:rPr>
          <w:color w:val="0E0E0E"/>
          <w:w w:val="105"/>
        </w:rPr>
        <w:t>Problems</w:t>
      </w:r>
    </w:p>
    <w:p w:rsidR="00E675F0" w:rsidRDefault="00E675F0" w:rsidP="00E675F0">
      <w:pPr>
        <w:pStyle w:val="BodyText"/>
        <w:spacing w:before="73"/>
        <w:ind w:left="161"/>
      </w:pPr>
      <w:r>
        <w:rPr>
          <w:color w:val="0E0E0E"/>
        </w:rPr>
        <w:t>Axis V Global Assessment of Functioning</w:t>
      </w:r>
    </w:p>
    <w:p w:rsidR="00E675F0" w:rsidRDefault="00E675F0" w:rsidP="00E675F0">
      <w:pPr>
        <w:sectPr w:rsidR="00E675F0">
          <w:type w:val="continuous"/>
          <w:pgSz w:w="8960" w:h="14260"/>
          <w:pgMar w:top="640" w:right="480" w:bottom="0" w:left="580" w:header="720" w:footer="720" w:gutter="0"/>
          <w:cols w:num="2" w:space="720" w:equalWidth="0">
            <w:col w:w="3783" w:space="141"/>
            <w:col w:w="3976"/>
          </w:cols>
        </w:sectPr>
      </w:pPr>
    </w:p>
    <w:p w:rsidR="00E675F0" w:rsidRDefault="00E675F0" w:rsidP="00E675F0">
      <w:pPr>
        <w:pStyle w:val="BodyText"/>
      </w:pPr>
    </w:p>
    <w:p w:rsidR="00E675F0" w:rsidRDefault="00E675F0" w:rsidP="00E675F0">
      <w:pPr>
        <w:pStyle w:val="BodyText"/>
        <w:spacing w:before="11"/>
        <w:rPr>
          <w:sz w:val="25"/>
        </w:rPr>
      </w:pPr>
    </w:p>
    <w:bookmarkStart w:id="21" w:name="Multiaxial_Assessment"/>
    <w:bookmarkStart w:id="22" w:name="_bookmark9"/>
    <w:bookmarkEnd w:id="21"/>
    <w:bookmarkEnd w:id="22"/>
    <w:p w:rsidR="00E675F0" w:rsidRDefault="00E675F0" w:rsidP="00E675F0">
      <w:pPr>
        <w:pStyle w:val="Heading2"/>
        <w:ind w:left="882" w:right="941"/>
        <w:jc w:val="center"/>
      </w:pPr>
      <w:r>
        <w:fldChar w:fldCharType="begin"/>
      </w:r>
      <w:r>
        <w:instrText xml:space="preserve"> HYPERLINK \l "_bookmark0" </w:instrText>
      </w:r>
      <w:r>
        <w:fldChar w:fldCharType="separate"/>
      </w:r>
      <w:r>
        <w:rPr>
          <w:w w:val="105"/>
        </w:rPr>
        <w:t>Multiaxial Assessment</w:t>
      </w:r>
      <w:r>
        <w:rPr>
          <w:w w:val="105"/>
        </w:rPr>
        <w:fldChar w:fldCharType="end"/>
      </w:r>
    </w:p>
    <w:p w:rsidR="00E675F0" w:rsidRDefault="00E675F0" w:rsidP="00E675F0">
      <w:pPr>
        <w:pStyle w:val="BodyText"/>
        <w:rPr>
          <w:b/>
        </w:rPr>
      </w:pPr>
    </w:p>
    <w:p w:rsidR="00E675F0" w:rsidRDefault="00E675F0" w:rsidP="00E675F0">
      <w:pPr>
        <w:pStyle w:val="BodyText"/>
        <w:rPr>
          <w:b/>
        </w:rPr>
      </w:pPr>
    </w:p>
    <w:p w:rsidR="00E675F0" w:rsidRDefault="00E675F0" w:rsidP="00E675F0">
      <w:pPr>
        <w:pStyle w:val="BodyText"/>
        <w:rPr>
          <w:b/>
        </w:rPr>
      </w:pPr>
    </w:p>
    <w:p w:rsidR="00E675F0" w:rsidRDefault="00E675F0" w:rsidP="00E675F0">
      <w:pPr>
        <w:pStyle w:val="BodyText"/>
        <w:rPr>
          <w:b/>
        </w:rPr>
      </w:pPr>
    </w:p>
    <w:p w:rsidR="00E675F0" w:rsidRDefault="00E675F0" w:rsidP="00E675F0">
      <w:pPr>
        <w:pStyle w:val="BodyText"/>
        <w:rPr>
          <w:b/>
        </w:rPr>
      </w:pPr>
    </w:p>
    <w:p w:rsidR="00E675F0" w:rsidRDefault="00E675F0" w:rsidP="00E675F0">
      <w:pPr>
        <w:pStyle w:val="BodyText"/>
        <w:rPr>
          <w:b/>
        </w:rPr>
      </w:pPr>
    </w:p>
    <w:p w:rsidR="00E675F0" w:rsidRDefault="00E675F0" w:rsidP="00E675F0">
      <w:pPr>
        <w:pStyle w:val="BodyText"/>
        <w:rPr>
          <w:b/>
        </w:rPr>
      </w:pPr>
    </w:p>
    <w:p w:rsidR="00E675F0" w:rsidRDefault="00E675F0" w:rsidP="00E675F0">
      <w:pPr>
        <w:pStyle w:val="BodyText"/>
        <w:spacing w:before="2"/>
        <w:rPr>
          <w:b/>
          <w:sz w:val="17"/>
        </w:rPr>
      </w:pPr>
    </w:p>
    <w:p w:rsidR="00E675F0" w:rsidRDefault="00E675F0" w:rsidP="00E675F0">
      <w:pPr>
        <w:pStyle w:val="BodyText"/>
        <w:spacing w:before="92" w:line="256" w:lineRule="auto"/>
        <w:ind w:left="617" w:right="130" w:firstLine="5"/>
      </w:pPr>
      <w:r>
        <w:rPr>
          <w:noProof/>
        </w:rPr>
        <mc:AlternateContent>
          <mc:Choice Requires="wps">
            <w:drawing>
              <wp:anchor distT="0" distB="0" distL="114300" distR="114300" simplePos="0" relativeHeight="251744256" behindDoc="1" locked="0" layoutInCell="1" allowOverlap="1" wp14:anchorId="26A5B996" wp14:editId="3ECD8835">
                <wp:simplePos x="0" y="0"/>
                <wp:positionH relativeFrom="page">
                  <wp:posOffset>486410</wp:posOffset>
                </wp:positionH>
                <wp:positionV relativeFrom="paragraph">
                  <wp:posOffset>-73025</wp:posOffset>
                </wp:positionV>
                <wp:extent cx="307975" cy="504825"/>
                <wp:effectExtent l="0" t="0" r="0" b="0"/>
                <wp:wrapNone/>
                <wp:docPr id="1681" name="Text Box 1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7975"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5F0" w:rsidRDefault="00E675F0" w:rsidP="00E675F0">
                            <w:pPr>
                              <w:spacing w:line="794" w:lineRule="exact"/>
                              <w:rPr>
                                <w:rFonts w:ascii="Arial"/>
                                <w:sz w:val="71"/>
                              </w:rPr>
                            </w:pPr>
                            <w:r>
                              <w:rPr>
                                <w:rFonts w:ascii="Arial"/>
                                <w:w w:val="102"/>
                                <w:sz w:val="71"/>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5B996" id="Text Box 1637" o:spid="_x0000_s1051" type="#_x0000_t202" style="position:absolute;left:0;text-align:left;margin-left:38.3pt;margin-top:-5.75pt;width:24.25pt;height:39.75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" filled="f" stroked="f">
                <v:path arrowok="t"/>
                <v:textbox inset="0,0,0,0">
                  <w:txbxContent>
                    <w:p w:rsidR="00E675F0" w:rsidRDefault="00E675F0" w:rsidP="00E675F0">
                      <w:pPr>
                        <w:spacing w:line="794" w:lineRule="exact"/>
                        <w:rPr>
                          <w:rFonts w:ascii="Arial"/>
                          <w:sz w:val="71"/>
                        </w:rPr>
                      </w:pPr>
                      <w:r>
                        <w:rPr>
                          <w:rFonts w:ascii="Arial"/>
                          <w:w w:val="102"/>
                          <w:sz w:val="71"/>
                        </w:rPr>
                        <w:t>A</w:t>
                      </w:r>
                    </w:p>
                  </w:txbxContent>
                </v:textbox>
                <w10:wrap anchorx="page"/>
              </v:shape>
            </w:pict>
          </mc:Fallback>
        </mc:AlternateContent>
      </w:r>
      <w:r>
        <w:rPr>
          <w:w w:val="105"/>
        </w:rPr>
        <w:t>multiaxial system involves an assessment on several axes, each of which refers to a</w:t>
      </w:r>
      <w:r>
        <w:rPr>
          <w:spacing w:val="11"/>
          <w:w w:val="105"/>
        </w:rPr>
        <w:t xml:space="preserve"> </w:t>
      </w:r>
      <w:r>
        <w:rPr>
          <w:w w:val="105"/>
        </w:rPr>
        <w:t>different</w:t>
      </w:r>
      <w:r>
        <w:rPr>
          <w:spacing w:val="18"/>
          <w:w w:val="105"/>
        </w:rPr>
        <w:t xml:space="preserve"> </w:t>
      </w:r>
      <w:r>
        <w:rPr>
          <w:w w:val="105"/>
        </w:rPr>
        <w:t>domain</w:t>
      </w:r>
      <w:r>
        <w:rPr>
          <w:spacing w:val="17"/>
          <w:w w:val="105"/>
        </w:rPr>
        <w:t xml:space="preserve"> </w:t>
      </w:r>
      <w:r>
        <w:rPr>
          <w:w w:val="105"/>
        </w:rPr>
        <w:t>of</w:t>
      </w:r>
      <w:r>
        <w:rPr>
          <w:spacing w:val="16"/>
          <w:w w:val="105"/>
        </w:rPr>
        <w:t xml:space="preserve"> </w:t>
      </w:r>
      <w:r>
        <w:rPr>
          <w:w w:val="105"/>
        </w:rPr>
        <w:t>information</w:t>
      </w:r>
      <w:r>
        <w:rPr>
          <w:spacing w:val="24"/>
          <w:w w:val="105"/>
        </w:rPr>
        <w:t xml:space="preserve"> </w:t>
      </w:r>
      <w:r>
        <w:rPr>
          <w:w w:val="105"/>
        </w:rPr>
        <w:t>that</w:t>
      </w:r>
      <w:r>
        <w:rPr>
          <w:spacing w:val="17"/>
          <w:w w:val="105"/>
        </w:rPr>
        <w:t xml:space="preserve"> </w:t>
      </w:r>
      <w:r>
        <w:rPr>
          <w:w w:val="105"/>
        </w:rPr>
        <w:t>may</w:t>
      </w:r>
      <w:r>
        <w:rPr>
          <w:spacing w:val="15"/>
          <w:w w:val="105"/>
        </w:rPr>
        <w:t xml:space="preserve"> </w:t>
      </w:r>
      <w:r>
        <w:rPr>
          <w:w w:val="105"/>
        </w:rPr>
        <w:t>help</w:t>
      </w:r>
      <w:r>
        <w:rPr>
          <w:spacing w:val="14"/>
          <w:w w:val="105"/>
        </w:rPr>
        <w:t xml:space="preserve"> </w:t>
      </w:r>
      <w:r>
        <w:rPr>
          <w:w w:val="105"/>
        </w:rPr>
        <w:t>the</w:t>
      </w:r>
      <w:r>
        <w:rPr>
          <w:spacing w:val="12"/>
          <w:w w:val="105"/>
        </w:rPr>
        <w:t xml:space="preserve"> </w:t>
      </w:r>
      <w:r>
        <w:rPr>
          <w:w w:val="105"/>
        </w:rPr>
        <w:t>clinician</w:t>
      </w:r>
      <w:r>
        <w:rPr>
          <w:spacing w:val="24"/>
          <w:w w:val="105"/>
        </w:rPr>
        <w:t xml:space="preserve"> </w:t>
      </w:r>
      <w:r>
        <w:rPr>
          <w:w w:val="105"/>
        </w:rPr>
        <w:t>plan</w:t>
      </w:r>
      <w:r>
        <w:rPr>
          <w:spacing w:val="10"/>
          <w:w w:val="105"/>
        </w:rPr>
        <w:t xml:space="preserve"> </w:t>
      </w:r>
      <w:r>
        <w:rPr>
          <w:w w:val="105"/>
        </w:rPr>
        <w:t>treatment</w:t>
      </w:r>
      <w:r>
        <w:rPr>
          <w:spacing w:val="17"/>
          <w:w w:val="105"/>
        </w:rPr>
        <w:t xml:space="preserve"> </w:t>
      </w:r>
      <w:r>
        <w:rPr>
          <w:w w:val="105"/>
        </w:rPr>
        <w:t>and</w:t>
      </w:r>
    </w:p>
    <w:p w:rsidR="00E675F0" w:rsidRDefault="00E675F0" w:rsidP="00E675F0">
      <w:pPr>
        <w:pStyle w:val="BodyText"/>
        <w:spacing w:line="228" w:lineRule="exact"/>
        <w:ind w:left="135"/>
      </w:pPr>
      <w:r>
        <w:rPr>
          <w:w w:val="105"/>
        </w:rPr>
        <w:t>predict outcome. There are five axes included in the DSM-IV multiaxial classification:</w:t>
      </w:r>
    </w:p>
    <w:p w:rsidR="00E675F0" w:rsidRDefault="00E675F0" w:rsidP="00E675F0">
      <w:pPr>
        <w:pStyle w:val="BodyText"/>
        <w:spacing w:before="7"/>
        <w:rPr>
          <w:sz w:val="17"/>
        </w:rPr>
      </w:pPr>
    </w:p>
    <w:p w:rsidR="00E675F0" w:rsidRDefault="00E675F0" w:rsidP="00E675F0">
      <w:pPr>
        <w:pStyle w:val="BodyText"/>
        <w:tabs>
          <w:tab w:val="left" w:pos="1810"/>
        </w:tabs>
        <w:ind w:left="964"/>
      </w:pPr>
      <w:r>
        <w:t>Axis</w:t>
      </w:r>
      <w:r>
        <w:rPr>
          <w:spacing w:val="7"/>
        </w:rPr>
        <w:t xml:space="preserve"> </w:t>
      </w:r>
      <w:r>
        <w:t>I</w:t>
      </w:r>
      <w:r>
        <w:tab/>
        <w:t>Clinical</w:t>
      </w:r>
      <w:r>
        <w:rPr>
          <w:spacing w:val="16"/>
        </w:rPr>
        <w:t xml:space="preserve"> </w:t>
      </w:r>
      <w:r>
        <w:t>Disorders</w:t>
      </w:r>
    </w:p>
    <w:p w:rsidR="00E675F0" w:rsidRDefault="00E675F0" w:rsidP="00E675F0">
      <w:pPr>
        <w:pStyle w:val="BodyText"/>
        <w:tabs>
          <w:tab w:val="left" w:pos="1809"/>
        </w:tabs>
        <w:spacing w:before="10" w:line="256" w:lineRule="auto"/>
        <w:ind w:left="964" w:right="781" w:firstLine="846"/>
      </w:pPr>
      <w:r>
        <w:rPr>
          <w:w w:val="105"/>
        </w:rPr>
        <w:t>Other Conditions That May Be a Focus of Clinical Attention Axis</w:t>
      </w:r>
      <w:r>
        <w:rPr>
          <w:spacing w:val="-9"/>
          <w:w w:val="105"/>
        </w:rPr>
        <w:t xml:space="preserve"> </w:t>
      </w:r>
      <w:r>
        <w:rPr>
          <w:w w:val="105"/>
        </w:rPr>
        <w:t>II</w:t>
      </w:r>
      <w:r>
        <w:rPr>
          <w:w w:val="105"/>
        </w:rPr>
        <w:tab/>
        <w:t>Personality</w:t>
      </w:r>
      <w:r>
        <w:rPr>
          <w:spacing w:val="13"/>
          <w:w w:val="105"/>
        </w:rPr>
        <w:t xml:space="preserve"> </w:t>
      </w:r>
      <w:r>
        <w:rPr>
          <w:w w:val="105"/>
        </w:rPr>
        <w:t>Disorders</w:t>
      </w:r>
    </w:p>
    <w:p w:rsidR="00E675F0" w:rsidRDefault="00E675F0" w:rsidP="00E675F0">
      <w:pPr>
        <w:pStyle w:val="BodyText"/>
        <w:spacing w:before="3"/>
        <w:ind w:left="69" w:right="2548"/>
        <w:jc w:val="center"/>
      </w:pPr>
      <w:r>
        <w:t>Mental Retardation</w:t>
      </w:r>
    </w:p>
    <w:p w:rsidR="00E675F0" w:rsidRDefault="00E675F0" w:rsidP="00E675F0">
      <w:pPr>
        <w:pStyle w:val="BodyText"/>
        <w:tabs>
          <w:tab w:val="left" w:pos="841"/>
        </w:tabs>
        <w:spacing w:before="15"/>
        <w:ind w:right="2548"/>
        <w:jc w:val="center"/>
      </w:pPr>
      <w:r>
        <w:t>Axis</w:t>
      </w:r>
      <w:r>
        <w:rPr>
          <w:spacing w:val="3"/>
        </w:rPr>
        <w:t xml:space="preserve"> </w:t>
      </w:r>
      <w:r>
        <w:t>III</w:t>
      </w:r>
      <w:r>
        <w:tab/>
        <w:t>General Medical</w:t>
      </w:r>
      <w:r>
        <w:rPr>
          <w:spacing w:val="-5"/>
        </w:rPr>
        <w:t xml:space="preserve"> </w:t>
      </w:r>
      <w:r>
        <w:t>Conditions</w:t>
      </w:r>
    </w:p>
    <w:p w:rsidR="00E675F0" w:rsidRDefault="00E675F0" w:rsidP="00E675F0">
      <w:pPr>
        <w:pStyle w:val="BodyText"/>
        <w:tabs>
          <w:tab w:val="left" w:pos="1809"/>
        </w:tabs>
        <w:spacing w:before="16" w:line="256" w:lineRule="auto"/>
        <w:ind w:left="969" w:right="2259" w:hanging="5"/>
      </w:pPr>
      <w:r>
        <w:t>Axis</w:t>
      </w:r>
      <w:r>
        <w:rPr>
          <w:spacing w:val="-3"/>
        </w:rPr>
        <w:t xml:space="preserve"> </w:t>
      </w:r>
      <w:r>
        <w:t>IV</w:t>
      </w:r>
      <w:r>
        <w:tab/>
        <w:t>Psychosocial and Environmental Problems Axis</w:t>
      </w:r>
      <w:r>
        <w:rPr>
          <w:spacing w:val="-2"/>
        </w:rPr>
        <w:t xml:space="preserve"> </w:t>
      </w:r>
      <w:r>
        <w:t>V</w:t>
      </w:r>
      <w:r>
        <w:tab/>
        <w:t>Global Assessment of</w:t>
      </w:r>
      <w:r>
        <w:rPr>
          <w:spacing w:val="-27"/>
        </w:rPr>
        <w:t xml:space="preserve"> </w:t>
      </w:r>
      <w:r>
        <w:t>Functioning</w:t>
      </w:r>
    </w:p>
    <w:p w:rsidR="00E675F0" w:rsidRDefault="00E675F0" w:rsidP="00E675F0">
      <w:pPr>
        <w:pStyle w:val="BodyText"/>
        <w:spacing w:before="185" w:line="252" w:lineRule="auto"/>
        <w:ind w:left="124" w:right="118" w:firstLine="359"/>
        <w:jc w:val="right"/>
      </w:pPr>
      <w:r>
        <w:rPr>
          <w:w w:val="105"/>
        </w:rPr>
        <w:t>The</w:t>
      </w:r>
      <w:r>
        <w:rPr>
          <w:spacing w:val="-15"/>
          <w:w w:val="105"/>
        </w:rPr>
        <w:t xml:space="preserve"> </w:t>
      </w:r>
      <w:r>
        <w:rPr>
          <w:w w:val="105"/>
        </w:rPr>
        <w:t>use</w:t>
      </w:r>
      <w:r>
        <w:rPr>
          <w:spacing w:val="-17"/>
          <w:w w:val="105"/>
        </w:rPr>
        <w:t xml:space="preserve"> </w:t>
      </w:r>
      <w:r>
        <w:rPr>
          <w:w w:val="105"/>
        </w:rPr>
        <w:t>of</w:t>
      </w:r>
      <w:r>
        <w:rPr>
          <w:spacing w:val="-7"/>
          <w:w w:val="105"/>
        </w:rPr>
        <w:t xml:space="preserve"> </w:t>
      </w:r>
      <w:r>
        <w:rPr>
          <w:w w:val="105"/>
        </w:rPr>
        <w:t>the</w:t>
      </w:r>
      <w:r>
        <w:rPr>
          <w:spacing w:val="-17"/>
          <w:w w:val="105"/>
        </w:rPr>
        <w:t xml:space="preserve"> </w:t>
      </w:r>
      <w:r>
        <w:rPr>
          <w:w w:val="105"/>
        </w:rPr>
        <w:t>multiaxial</w:t>
      </w:r>
      <w:r>
        <w:rPr>
          <w:spacing w:val="-9"/>
          <w:w w:val="105"/>
        </w:rPr>
        <w:t xml:space="preserve"> </w:t>
      </w:r>
      <w:r>
        <w:rPr>
          <w:w w:val="105"/>
        </w:rPr>
        <w:t>system</w:t>
      </w:r>
      <w:r>
        <w:rPr>
          <w:spacing w:val="-21"/>
          <w:w w:val="105"/>
        </w:rPr>
        <w:t xml:space="preserve"> </w:t>
      </w:r>
      <w:r>
        <w:rPr>
          <w:w w:val="105"/>
        </w:rPr>
        <w:t>facilitates</w:t>
      </w:r>
      <w:r>
        <w:rPr>
          <w:spacing w:val="-11"/>
          <w:w w:val="105"/>
        </w:rPr>
        <w:t xml:space="preserve"> </w:t>
      </w:r>
      <w:r>
        <w:rPr>
          <w:w w:val="105"/>
        </w:rPr>
        <w:t>comprehensive</w:t>
      </w:r>
      <w:r>
        <w:rPr>
          <w:spacing w:val="-3"/>
          <w:w w:val="105"/>
        </w:rPr>
        <w:t xml:space="preserve"> </w:t>
      </w:r>
      <w:r>
        <w:rPr>
          <w:w w:val="105"/>
        </w:rPr>
        <w:t>and</w:t>
      </w:r>
      <w:r>
        <w:rPr>
          <w:spacing w:val="-18"/>
          <w:w w:val="105"/>
        </w:rPr>
        <w:t xml:space="preserve"> </w:t>
      </w:r>
      <w:r>
        <w:rPr>
          <w:w w:val="105"/>
        </w:rPr>
        <w:t>systematic</w:t>
      </w:r>
      <w:r>
        <w:rPr>
          <w:spacing w:val="-8"/>
          <w:w w:val="105"/>
        </w:rPr>
        <w:t xml:space="preserve"> </w:t>
      </w:r>
      <w:r>
        <w:rPr>
          <w:w w:val="105"/>
        </w:rPr>
        <w:t>evaluation</w:t>
      </w:r>
      <w:r>
        <w:rPr>
          <w:spacing w:val="-1"/>
          <w:w w:val="105"/>
        </w:rPr>
        <w:t xml:space="preserve"> </w:t>
      </w:r>
      <w:r>
        <w:rPr>
          <w:w w:val="105"/>
        </w:rPr>
        <w:t>with attention to the various mental disorders and general medical</w:t>
      </w:r>
      <w:r>
        <w:rPr>
          <w:spacing w:val="21"/>
          <w:w w:val="105"/>
        </w:rPr>
        <w:t xml:space="preserve"> </w:t>
      </w:r>
      <w:r>
        <w:rPr>
          <w:w w:val="105"/>
        </w:rPr>
        <w:t>conditions,</w:t>
      </w:r>
      <w:r>
        <w:rPr>
          <w:spacing w:val="37"/>
          <w:w w:val="105"/>
        </w:rPr>
        <w:t xml:space="preserve"> </w:t>
      </w:r>
      <w:r>
        <w:rPr>
          <w:w w:val="105"/>
        </w:rPr>
        <w:t>psycho­ social and environmental problems, and level of functioning that  might</w:t>
      </w:r>
      <w:r>
        <w:rPr>
          <w:spacing w:val="4"/>
          <w:w w:val="105"/>
        </w:rPr>
        <w:t xml:space="preserve"> </w:t>
      </w:r>
      <w:r>
        <w:rPr>
          <w:w w:val="105"/>
        </w:rPr>
        <w:t>be</w:t>
      </w:r>
      <w:r>
        <w:rPr>
          <w:spacing w:val="24"/>
          <w:w w:val="105"/>
        </w:rPr>
        <w:t xml:space="preserve"> </w:t>
      </w:r>
      <w:r>
        <w:rPr>
          <w:w w:val="105"/>
        </w:rPr>
        <w:t>overlooked</w:t>
      </w:r>
      <w:r>
        <w:rPr>
          <w:w w:val="107"/>
        </w:rPr>
        <w:t xml:space="preserve"> </w:t>
      </w:r>
      <w:r>
        <w:rPr>
          <w:w w:val="105"/>
        </w:rPr>
        <w:t>if</w:t>
      </w:r>
      <w:r>
        <w:rPr>
          <w:spacing w:val="-6"/>
          <w:w w:val="105"/>
        </w:rPr>
        <w:t xml:space="preserve"> </w:t>
      </w:r>
      <w:r>
        <w:rPr>
          <w:w w:val="105"/>
        </w:rPr>
        <w:t>the</w:t>
      </w:r>
      <w:r>
        <w:rPr>
          <w:spacing w:val="-14"/>
          <w:w w:val="105"/>
        </w:rPr>
        <w:t xml:space="preserve"> </w:t>
      </w:r>
      <w:r>
        <w:rPr>
          <w:w w:val="105"/>
        </w:rPr>
        <w:t>focus</w:t>
      </w:r>
      <w:r>
        <w:rPr>
          <w:spacing w:val="-7"/>
          <w:w w:val="105"/>
        </w:rPr>
        <w:t xml:space="preserve"> </w:t>
      </w:r>
      <w:r>
        <w:rPr>
          <w:w w:val="105"/>
        </w:rPr>
        <w:t>were</w:t>
      </w:r>
      <w:r>
        <w:rPr>
          <w:spacing w:val="-7"/>
          <w:w w:val="105"/>
        </w:rPr>
        <w:t xml:space="preserve"> </w:t>
      </w:r>
      <w:r>
        <w:rPr>
          <w:w w:val="105"/>
        </w:rPr>
        <w:t>on</w:t>
      </w:r>
      <w:r>
        <w:rPr>
          <w:spacing w:val="-4"/>
          <w:w w:val="105"/>
        </w:rPr>
        <w:t xml:space="preserve"> </w:t>
      </w:r>
      <w:r>
        <w:rPr>
          <w:w w:val="105"/>
        </w:rPr>
        <w:t>assessing</w:t>
      </w:r>
      <w:r>
        <w:rPr>
          <w:spacing w:val="-1"/>
          <w:w w:val="105"/>
        </w:rPr>
        <w:t xml:space="preserve"> </w:t>
      </w:r>
      <w:r>
        <w:rPr>
          <w:w w:val="105"/>
        </w:rPr>
        <w:t>a</w:t>
      </w:r>
      <w:r>
        <w:rPr>
          <w:spacing w:val="-12"/>
          <w:w w:val="105"/>
        </w:rPr>
        <w:t xml:space="preserve"> </w:t>
      </w:r>
      <w:r>
        <w:rPr>
          <w:w w:val="105"/>
        </w:rPr>
        <w:t>single</w:t>
      </w:r>
      <w:r>
        <w:rPr>
          <w:spacing w:val="-1"/>
          <w:w w:val="105"/>
        </w:rPr>
        <w:t xml:space="preserve"> </w:t>
      </w:r>
      <w:r>
        <w:rPr>
          <w:w w:val="105"/>
        </w:rPr>
        <w:t>presenting</w:t>
      </w:r>
      <w:r>
        <w:rPr>
          <w:spacing w:val="8"/>
          <w:w w:val="105"/>
        </w:rPr>
        <w:t xml:space="preserve"> </w:t>
      </w:r>
      <w:r>
        <w:rPr>
          <w:w w:val="105"/>
        </w:rPr>
        <w:t>problem.</w:t>
      </w:r>
      <w:r>
        <w:rPr>
          <w:spacing w:val="-1"/>
          <w:w w:val="105"/>
        </w:rPr>
        <w:t xml:space="preserve"> </w:t>
      </w:r>
      <w:r>
        <w:rPr>
          <w:w w:val="105"/>
        </w:rPr>
        <w:t>A</w:t>
      </w:r>
      <w:r>
        <w:rPr>
          <w:spacing w:val="-11"/>
          <w:w w:val="105"/>
        </w:rPr>
        <w:t xml:space="preserve"> </w:t>
      </w:r>
      <w:r>
        <w:rPr>
          <w:w w:val="105"/>
        </w:rPr>
        <w:t>multiaxial</w:t>
      </w:r>
      <w:r>
        <w:rPr>
          <w:spacing w:val="-1"/>
          <w:w w:val="105"/>
        </w:rPr>
        <w:t xml:space="preserve"> </w:t>
      </w:r>
      <w:r>
        <w:rPr>
          <w:w w:val="105"/>
        </w:rPr>
        <w:t>system provides a</w:t>
      </w:r>
      <w:r>
        <w:rPr>
          <w:spacing w:val="-22"/>
          <w:w w:val="105"/>
        </w:rPr>
        <w:t xml:space="preserve"> </w:t>
      </w:r>
      <w:r>
        <w:rPr>
          <w:w w:val="105"/>
        </w:rPr>
        <w:t>convenient</w:t>
      </w:r>
      <w:r>
        <w:rPr>
          <w:spacing w:val="-15"/>
          <w:w w:val="105"/>
        </w:rPr>
        <w:t xml:space="preserve"> </w:t>
      </w:r>
      <w:r>
        <w:rPr>
          <w:w w:val="105"/>
        </w:rPr>
        <w:t>format</w:t>
      </w:r>
      <w:r>
        <w:rPr>
          <w:spacing w:val="-19"/>
          <w:w w:val="105"/>
        </w:rPr>
        <w:t xml:space="preserve"> </w:t>
      </w:r>
      <w:r>
        <w:rPr>
          <w:w w:val="105"/>
        </w:rPr>
        <w:t>for</w:t>
      </w:r>
      <w:r>
        <w:rPr>
          <w:spacing w:val="-23"/>
          <w:w w:val="105"/>
        </w:rPr>
        <w:t xml:space="preserve"> </w:t>
      </w:r>
      <w:r>
        <w:rPr>
          <w:w w:val="105"/>
        </w:rPr>
        <w:t>organizing</w:t>
      </w:r>
      <w:r>
        <w:rPr>
          <w:spacing w:val="-14"/>
          <w:w w:val="105"/>
        </w:rPr>
        <w:t xml:space="preserve"> </w:t>
      </w:r>
      <w:r>
        <w:rPr>
          <w:w w:val="105"/>
        </w:rPr>
        <w:t>and</w:t>
      </w:r>
      <w:r>
        <w:rPr>
          <w:spacing w:val="-15"/>
          <w:w w:val="105"/>
        </w:rPr>
        <w:t xml:space="preserve"> </w:t>
      </w:r>
      <w:r>
        <w:rPr>
          <w:w w:val="105"/>
        </w:rPr>
        <w:t>communicating</w:t>
      </w:r>
      <w:r>
        <w:rPr>
          <w:spacing w:val="-3"/>
          <w:w w:val="105"/>
        </w:rPr>
        <w:t xml:space="preserve"> </w:t>
      </w:r>
      <w:r>
        <w:rPr>
          <w:w w:val="105"/>
        </w:rPr>
        <w:t>clinical</w:t>
      </w:r>
      <w:r>
        <w:rPr>
          <w:spacing w:val="-13"/>
          <w:w w:val="105"/>
        </w:rPr>
        <w:t xml:space="preserve"> </w:t>
      </w:r>
      <w:r>
        <w:rPr>
          <w:w w:val="105"/>
        </w:rPr>
        <w:t>information,</w:t>
      </w:r>
      <w:r>
        <w:rPr>
          <w:spacing w:val="-15"/>
          <w:w w:val="105"/>
        </w:rPr>
        <w:t xml:space="preserve"> </w:t>
      </w:r>
      <w:r>
        <w:rPr>
          <w:w w:val="105"/>
        </w:rPr>
        <w:t>for</w:t>
      </w:r>
      <w:r>
        <w:rPr>
          <w:spacing w:val="-23"/>
          <w:w w:val="105"/>
        </w:rPr>
        <w:t xml:space="preserve"> </w:t>
      </w:r>
      <w:r>
        <w:rPr>
          <w:w w:val="105"/>
        </w:rPr>
        <w:t>capturing</w:t>
      </w:r>
      <w:r>
        <w:rPr>
          <w:spacing w:val="-1"/>
          <w:w w:val="105"/>
        </w:rPr>
        <w:t xml:space="preserve"> </w:t>
      </w:r>
      <w:r>
        <w:rPr>
          <w:w w:val="105"/>
        </w:rPr>
        <w:t>the complexity of clinical situations, and for describing the heterogeneity</w:t>
      </w:r>
      <w:r>
        <w:rPr>
          <w:spacing w:val="25"/>
          <w:w w:val="105"/>
        </w:rPr>
        <w:t xml:space="preserve"> </w:t>
      </w:r>
      <w:r>
        <w:rPr>
          <w:w w:val="105"/>
        </w:rPr>
        <w:t>of</w:t>
      </w:r>
      <w:r>
        <w:rPr>
          <w:spacing w:val="6"/>
          <w:w w:val="105"/>
        </w:rPr>
        <w:t xml:space="preserve"> </w:t>
      </w:r>
      <w:r>
        <w:rPr>
          <w:w w:val="105"/>
        </w:rPr>
        <w:t>individuals</w:t>
      </w:r>
      <w:r>
        <w:rPr>
          <w:spacing w:val="-1"/>
          <w:w w:val="103"/>
        </w:rPr>
        <w:t xml:space="preserve"> </w:t>
      </w:r>
      <w:r>
        <w:rPr>
          <w:w w:val="105"/>
        </w:rPr>
        <w:t>presenting with the same diagnosis. In addition, the multiaxial system</w:t>
      </w:r>
      <w:r>
        <w:rPr>
          <w:spacing w:val="-6"/>
          <w:w w:val="105"/>
        </w:rPr>
        <w:t xml:space="preserve"> </w:t>
      </w:r>
      <w:r>
        <w:rPr>
          <w:w w:val="105"/>
        </w:rPr>
        <w:t>promotes</w:t>
      </w:r>
      <w:r>
        <w:rPr>
          <w:spacing w:val="43"/>
          <w:w w:val="105"/>
        </w:rPr>
        <w:t xml:space="preserve"> </w:t>
      </w:r>
      <w:r>
        <w:rPr>
          <w:w w:val="105"/>
        </w:rPr>
        <w:t>the</w:t>
      </w:r>
      <w:r>
        <w:rPr>
          <w:spacing w:val="-1"/>
          <w:w w:val="108"/>
        </w:rPr>
        <w:t xml:space="preserve"> </w:t>
      </w:r>
      <w:r>
        <w:rPr>
          <w:w w:val="105"/>
        </w:rPr>
        <w:t>application of the biopsychosocial model in clinical, educational, and</w:t>
      </w:r>
      <w:r>
        <w:rPr>
          <w:spacing w:val="11"/>
          <w:w w:val="105"/>
        </w:rPr>
        <w:t xml:space="preserve"> </w:t>
      </w:r>
      <w:r>
        <w:rPr>
          <w:w w:val="105"/>
        </w:rPr>
        <w:t>research</w:t>
      </w:r>
      <w:r>
        <w:rPr>
          <w:spacing w:val="11"/>
          <w:w w:val="105"/>
        </w:rPr>
        <w:t xml:space="preserve"> </w:t>
      </w:r>
      <w:r>
        <w:rPr>
          <w:w w:val="105"/>
        </w:rPr>
        <w:t>settings.</w:t>
      </w:r>
      <w:r>
        <w:rPr>
          <w:spacing w:val="-1"/>
          <w:w w:val="103"/>
        </w:rPr>
        <w:t xml:space="preserve"> </w:t>
      </w:r>
      <w:r>
        <w:rPr>
          <w:w w:val="105"/>
        </w:rPr>
        <w:t>The rest of this section provides a description of each of the DSM-IV axes.</w:t>
      </w:r>
      <w:r>
        <w:rPr>
          <w:spacing w:val="50"/>
          <w:w w:val="105"/>
        </w:rPr>
        <w:t xml:space="preserve"> </w:t>
      </w:r>
      <w:r>
        <w:rPr>
          <w:w w:val="105"/>
        </w:rPr>
        <w:t>In</w:t>
      </w:r>
      <w:r>
        <w:rPr>
          <w:spacing w:val="-8"/>
          <w:w w:val="105"/>
        </w:rPr>
        <w:t xml:space="preserve"> </w:t>
      </w:r>
      <w:r>
        <w:rPr>
          <w:w w:val="105"/>
        </w:rPr>
        <w:t>some</w:t>
      </w:r>
      <w:r>
        <w:rPr>
          <w:spacing w:val="-1"/>
          <w:w w:val="108"/>
        </w:rPr>
        <w:t xml:space="preserve"> </w:t>
      </w:r>
      <w:r>
        <w:rPr>
          <w:w w:val="105"/>
        </w:rPr>
        <w:t>settings or situations, clinicians may prefer not to use the multiaxial system.</w:t>
      </w:r>
      <w:r>
        <w:rPr>
          <w:spacing w:val="-15"/>
          <w:w w:val="105"/>
        </w:rPr>
        <w:t xml:space="preserve"> </w:t>
      </w:r>
      <w:r>
        <w:rPr>
          <w:w w:val="105"/>
        </w:rPr>
        <w:t>For</w:t>
      </w:r>
      <w:r>
        <w:rPr>
          <w:spacing w:val="20"/>
          <w:w w:val="105"/>
        </w:rPr>
        <w:t xml:space="preserve"> </w:t>
      </w:r>
      <w:r>
        <w:rPr>
          <w:w w:val="105"/>
        </w:rPr>
        <w:t>this</w:t>
      </w:r>
      <w:r>
        <w:rPr>
          <w:spacing w:val="-1"/>
          <w:w w:val="103"/>
        </w:rPr>
        <w:t xml:space="preserve"> </w:t>
      </w:r>
      <w:r>
        <w:rPr>
          <w:w w:val="105"/>
        </w:rPr>
        <w:t>reason, guidelines for reporting the results of a DSM-IV assessment without</w:t>
      </w:r>
      <w:r>
        <w:rPr>
          <w:spacing w:val="4"/>
          <w:w w:val="105"/>
        </w:rPr>
        <w:t xml:space="preserve"> </w:t>
      </w:r>
      <w:r>
        <w:rPr>
          <w:w w:val="105"/>
        </w:rPr>
        <w:t>applying</w:t>
      </w:r>
    </w:p>
    <w:p w:rsidR="00E675F0" w:rsidRDefault="00E675F0" w:rsidP="00E675F0">
      <w:pPr>
        <w:pStyle w:val="BodyText"/>
        <w:spacing w:before="2"/>
        <w:ind w:left="127"/>
      </w:pPr>
      <w:r>
        <w:rPr>
          <w:w w:val="105"/>
        </w:rPr>
        <w:t>the formal multiaxial system are provided at the end of this section.</w:t>
      </w:r>
    </w:p>
    <w:p w:rsidR="00E675F0" w:rsidRDefault="00E675F0" w:rsidP="00E675F0">
      <w:pPr>
        <w:pStyle w:val="BodyText"/>
        <w:rPr>
          <w:sz w:val="22"/>
        </w:rPr>
      </w:pPr>
    </w:p>
    <w:p w:rsidR="00E675F0" w:rsidRDefault="00E675F0" w:rsidP="00E675F0">
      <w:pPr>
        <w:spacing w:before="129"/>
        <w:ind w:left="104"/>
        <w:rPr>
          <w:rFonts w:ascii="TimesNewRomanPS-BoldItalicMT" w:hAnsi="TimesNewRomanPS-BoldItalicMT"/>
          <w:b/>
          <w:i/>
          <w:sz w:val="24"/>
        </w:rPr>
      </w:pPr>
      <w:r>
        <w:rPr>
          <w:rFonts w:ascii="TimesNewRomanPS-BoldItalicMT" w:hAnsi="TimesNewRomanPS-BoldItalicMT"/>
          <w:b/>
          <w:i/>
          <w:w w:val="110"/>
          <w:sz w:val="24"/>
        </w:rPr>
        <w:t xml:space="preserve">Axis </w:t>
      </w:r>
      <w:r>
        <w:rPr>
          <w:rFonts w:ascii="TimesNewRomanPS-BoldItalicMT" w:hAnsi="TimesNewRomanPS-BoldItalicMT"/>
          <w:b/>
          <w:i/>
          <w:w w:val="105"/>
          <w:sz w:val="24"/>
        </w:rPr>
        <w:t xml:space="preserve">L· </w:t>
      </w:r>
      <w:r>
        <w:rPr>
          <w:rFonts w:ascii="TimesNewRomanPS-BoldItalicMT" w:hAnsi="TimesNewRomanPS-BoldItalicMT"/>
          <w:b/>
          <w:i/>
          <w:w w:val="110"/>
          <w:sz w:val="24"/>
        </w:rPr>
        <w:t>Clinical Disorders</w:t>
      </w:r>
    </w:p>
    <w:p w:rsidR="00E675F0" w:rsidRDefault="00E675F0" w:rsidP="00E675F0">
      <w:pPr>
        <w:spacing w:before="17"/>
        <w:ind w:left="895"/>
        <w:rPr>
          <w:rFonts w:ascii="TimesNewRomanPS-BoldItalicMT"/>
          <w:b/>
          <w:i/>
          <w:sz w:val="24"/>
        </w:rPr>
      </w:pPr>
      <w:r>
        <w:rPr>
          <w:rFonts w:ascii="TimesNewRomanPS-BoldItalicMT"/>
          <w:b/>
          <w:i/>
          <w:w w:val="110"/>
          <w:sz w:val="24"/>
        </w:rPr>
        <w:t xml:space="preserve">Other Conditions That May </w:t>
      </w:r>
      <w:r>
        <w:rPr>
          <w:rFonts w:ascii="TimesNewRomanPS-BoldItalicMT"/>
          <w:b/>
          <w:i/>
          <w:w w:val="110"/>
          <w:sz w:val="21"/>
        </w:rPr>
        <w:t xml:space="preserve">Be </w:t>
      </w:r>
      <w:r>
        <w:rPr>
          <w:rFonts w:ascii="TimesNewRomanPS-BoldItalicMT"/>
          <w:b/>
          <w:i/>
          <w:w w:val="110"/>
          <w:sz w:val="24"/>
        </w:rPr>
        <w:t>a Focus of Clinical Attention</w:t>
      </w:r>
    </w:p>
    <w:p w:rsidR="00E675F0" w:rsidRDefault="00E675F0" w:rsidP="00E675F0">
      <w:pPr>
        <w:pStyle w:val="BodyText"/>
        <w:spacing w:before="131" w:line="256" w:lineRule="auto"/>
        <w:ind w:left="123" w:right="119" w:hanging="1"/>
        <w:jc w:val="both"/>
      </w:pPr>
      <w:r>
        <w:t xml:space="preserve">Axis I is for reporting all the various disorders  or conditions  in  the Classification except for the Personality Disorders and Mental  Retardation  (which  are  reported  on  Axis  </w:t>
      </w:r>
      <w:r>
        <w:rPr>
          <w:sz w:val="17"/>
        </w:rPr>
        <w:t xml:space="preserve">II). </w:t>
      </w:r>
      <w:r>
        <w:t>The major groups of disorders to be reported on Axis I are listed in the box below. Also reported on Axis I are Other Conditions That May Be a Focus of</w:t>
      </w:r>
      <w:r>
        <w:rPr>
          <w:spacing w:val="3"/>
        </w:rPr>
        <w:t xml:space="preserve"> </w:t>
      </w:r>
      <w:r>
        <w:t>Clinical Attention.</w:t>
      </w:r>
    </w:p>
    <w:p w:rsidR="00E675F0" w:rsidRDefault="00E675F0" w:rsidP="00E675F0">
      <w:pPr>
        <w:pStyle w:val="BodyText"/>
        <w:spacing w:line="256" w:lineRule="auto"/>
        <w:ind w:left="125" w:right="110" w:firstLine="361"/>
        <w:jc w:val="both"/>
      </w:pPr>
      <w:r>
        <w:rPr>
          <w:w w:val="105"/>
        </w:rPr>
        <w:t>When</w:t>
      </w:r>
      <w:r>
        <w:rPr>
          <w:spacing w:val="-8"/>
          <w:w w:val="105"/>
        </w:rPr>
        <w:t xml:space="preserve"> </w:t>
      </w:r>
      <w:r>
        <w:rPr>
          <w:w w:val="105"/>
        </w:rPr>
        <w:t>an</w:t>
      </w:r>
      <w:r>
        <w:rPr>
          <w:spacing w:val="-15"/>
          <w:w w:val="105"/>
        </w:rPr>
        <w:t xml:space="preserve"> </w:t>
      </w:r>
      <w:r>
        <w:rPr>
          <w:w w:val="105"/>
        </w:rPr>
        <w:t>individual</w:t>
      </w:r>
      <w:r>
        <w:rPr>
          <w:spacing w:val="-5"/>
          <w:w w:val="105"/>
        </w:rPr>
        <w:t xml:space="preserve"> </w:t>
      </w:r>
      <w:r>
        <w:rPr>
          <w:w w:val="105"/>
        </w:rPr>
        <w:t>has</w:t>
      </w:r>
      <w:r>
        <w:rPr>
          <w:spacing w:val="-11"/>
          <w:w w:val="105"/>
        </w:rPr>
        <w:t xml:space="preserve"> </w:t>
      </w:r>
      <w:r>
        <w:rPr>
          <w:w w:val="105"/>
        </w:rPr>
        <w:t>more</w:t>
      </w:r>
      <w:r>
        <w:rPr>
          <w:spacing w:val="-10"/>
          <w:w w:val="105"/>
        </w:rPr>
        <w:t xml:space="preserve"> </w:t>
      </w:r>
      <w:r>
        <w:rPr>
          <w:w w:val="105"/>
        </w:rPr>
        <w:t>than</w:t>
      </w:r>
      <w:r>
        <w:rPr>
          <w:spacing w:val="-13"/>
          <w:w w:val="105"/>
        </w:rPr>
        <w:t xml:space="preserve"> </w:t>
      </w:r>
      <w:r>
        <w:rPr>
          <w:w w:val="105"/>
        </w:rPr>
        <w:t>one</w:t>
      </w:r>
      <w:r>
        <w:rPr>
          <w:spacing w:val="-6"/>
          <w:w w:val="105"/>
        </w:rPr>
        <w:t xml:space="preserve"> </w:t>
      </w:r>
      <w:r>
        <w:rPr>
          <w:w w:val="105"/>
        </w:rPr>
        <w:t>Axis</w:t>
      </w:r>
      <w:r>
        <w:rPr>
          <w:spacing w:val="-17"/>
          <w:w w:val="105"/>
        </w:rPr>
        <w:t xml:space="preserve"> </w:t>
      </w:r>
      <w:r>
        <w:rPr>
          <w:w w:val="105"/>
        </w:rPr>
        <w:t>I</w:t>
      </w:r>
      <w:r>
        <w:rPr>
          <w:spacing w:val="-15"/>
          <w:w w:val="105"/>
        </w:rPr>
        <w:t xml:space="preserve"> </w:t>
      </w:r>
      <w:r>
        <w:rPr>
          <w:w w:val="105"/>
        </w:rPr>
        <w:t>disorder,</w:t>
      </w:r>
      <w:r>
        <w:rPr>
          <w:spacing w:val="-7"/>
          <w:w w:val="105"/>
        </w:rPr>
        <w:t xml:space="preserve"> </w:t>
      </w:r>
      <w:r>
        <w:rPr>
          <w:w w:val="105"/>
        </w:rPr>
        <w:t>all</w:t>
      </w:r>
      <w:r>
        <w:rPr>
          <w:spacing w:val="-13"/>
          <w:w w:val="105"/>
        </w:rPr>
        <w:t xml:space="preserve"> </w:t>
      </w:r>
      <w:r>
        <w:rPr>
          <w:w w:val="105"/>
        </w:rPr>
        <w:t>of</w:t>
      </w:r>
      <w:r>
        <w:rPr>
          <w:spacing w:val="-8"/>
          <w:w w:val="105"/>
        </w:rPr>
        <w:t xml:space="preserve"> </w:t>
      </w:r>
      <w:r>
        <w:rPr>
          <w:w w:val="105"/>
        </w:rPr>
        <w:t>these</w:t>
      </w:r>
      <w:r>
        <w:rPr>
          <w:spacing w:val="-16"/>
          <w:w w:val="105"/>
        </w:rPr>
        <w:t xml:space="preserve"> </w:t>
      </w:r>
      <w:r>
        <w:rPr>
          <w:w w:val="105"/>
        </w:rPr>
        <w:t>should</w:t>
      </w:r>
      <w:r>
        <w:rPr>
          <w:spacing w:val="-4"/>
          <w:w w:val="105"/>
        </w:rPr>
        <w:t xml:space="preserve"> </w:t>
      </w:r>
      <w:r>
        <w:rPr>
          <w:w w:val="105"/>
        </w:rPr>
        <w:t>be</w:t>
      </w:r>
      <w:r>
        <w:rPr>
          <w:spacing w:val="-2"/>
          <w:w w:val="105"/>
        </w:rPr>
        <w:t xml:space="preserve"> </w:t>
      </w:r>
      <w:r>
        <w:rPr>
          <w:w w:val="105"/>
        </w:rPr>
        <w:t>reported (for examples, see p. 33). If more than one Axis I disorder is present, the principal diagnosis</w:t>
      </w:r>
      <w:r>
        <w:rPr>
          <w:spacing w:val="20"/>
          <w:w w:val="105"/>
        </w:rPr>
        <w:t xml:space="preserve"> </w:t>
      </w:r>
      <w:r>
        <w:rPr>
          <w:w w:val="105"/>
        </w:rPr>
        <w:t>or</w:t>
      </w:r>
      <w:r>
        <w:rPr>
          <w:spacing w:val="17"/>
          <w:w w:val="105"/>
        </w:rPr>
        <w:t xml:space="preserve"> </w:t>
      </w:r>
      <w:r>
        <w:rPr>
          <w:w w:val="105"/>
        </w:rPr>
        <w:t>the</w:t>
      </w:r>
      <w:r>
        <w:rPr>
          <w:spacing w:val="19"/>
          <w:w w:val="105"/>
        </w:rPr>
        <w:t xml:space="preserve"> </w:t>
      </w:r>
      <w:r>
        <w:rPr>
          <w:w w:val="105"/>
        </w:rPr>
        <w:t>reason</w:t>
      </w:r>
      <w:r>
        <w:rPr>
          <w:spacing w:val="20"/>
          <w:w w:val="105"/>
        </w:rPr>
        <w:t xml:space="preserve"> </w:t>
      </w:r>
      <w:r>
        <w:rPr>
          <w:w w:val="105"/>
        </w:rPr>
        <w:t>for</w:t>
      </w:r>
      <w:r>
        <w:rPr>
          <w:spacing w:val="11"/>
          <w:w w:val="105"/>
        </w:rPr>
        <w:t xml:space="preserve"> </w:t>
      </w:r>
      <w:r>
        <w:rPr>
          <w:w w:val="105"/>
        </w:rPr>
        <w:t>visit</w:t>
      </w:r>
      <w:r>
        <w:rPr>
          <w:spacing w:val="18"/>
          <w:w w:val="105"/>
        </w:rPr>
        <w:t xml:space="preserve"> </w:t>
      </w:r>
      <w:r>
        <w:rPr>
          <w:w w:val="105"/>
        </w:rPr>
        <w:t>(see</w:t>
      </w:r>
      <w:r>
        <w:rPr>
          <w:spacing w:val="21"/>
          <w:w w:val="105"/>
        </w:rPr>
        <w:t xml:space="preserve"> </w:t>
      </w:r>
      <w:r>
        <w:rPr>
          <w:w w:val="105"/>
        </w:rPr>
        <w:t>p.</w:t>
      </w:r>
      <w:r>
        <w:rPr>
          <w:spacing w:val="12"/>
          <w:w w:val="105"/>
        </w:rPr>
        <w:t xml:space="preserve"> </w:t>
      </w:r>
      <w:r>
        <w:rPr>
          <w:w w:val="105"/>
        </w:rPr>
        <w:t>3)</w:t>
      </w:r>
      <w:r>
        <w:rPr>
          <w:spacing w:val="6"/>
          <w:w w:val="105"/>
        </w:rPr>
        <w:t xml:space="preserve"> </w:t>
      </w:r>
      <w:r>
        <w:rPr>
          <w:w w:val="105"/>
        </w:rPr>
        <w:t>should</w:t>
      </w:r>
      <w:r>
        <w:rPr>
          <w:spacing w:val="23"/>
          <w:w w:val="105"/>
        </w:rPr>
        <w:t xml:space="preserve"> </w:t>
      </w:r>
      <w:r>
        <w:rPr>
          <w:w w:val="105"/>
        </w:rPr>
        <w:t>be</w:t>
      </w:r>
      <w:r>
        <w:rPr>
          <w:spacing w:val="15"/>
          <w:w w:val="105"/>
        </w:rPr>
        <w:t xml:space="preserve"> </w:t>
      </w:r>
      <w:r>
        <w:rPr>
          <w:w w:val="105"/>
        </w:rPr>
        <w:t>indicated</w:t>
      </w:r>
      <w:r>
        <w:rPr>
          <w:spacing w:val="29"/>
          <w:w w:val="105"/>
        </w:rPr>
        <w:t xml:space="preserve"> </w:t>
      </w:r>
      <w:r>
        <w:rPr>
          <w:w w:val="105"/>
        </w:rPr>
        <w:t>by</w:t>
      </w:r>
      <w:r>
        <w:rPr>
          <w:spacing w:val="10"/>
          <w:w w:val="105"/>
        </w:rPr>
        <w:t xml:space="preserve"> </w:t>
      </w:r>
      <w:r>
        <w:rPr>
          <w:w w:val="105"/>
        </w:rPr>
        <w:t>listing</w:t>
      </w:r>
      <w:r>
        <w:rPr>
          <w:spacing w:val="23"/>
          <w:w w:val="105"/>
        </w:rPr>
        <w:t xml:space="preserve"> </w:t>
      </w:r>
      <w:r>
        <w:rPr>
          <w:w w:val="105"/>
        </w:rPr>
        <w:t>it</w:t>
      </w:r>
      <w:r>
        <w:rPr>
          <w:spacing w:val="8"/>
          <w:w w:val="105"/>
        </w:rPr>
        <w:t xml:space="preserve"> </w:t>
      </w:r>
      <w:r>
        <w:rPr>
          <w:w w:val="105"/>
        </w:rPr>
        <w:t>first.</w:t>
      </w:r>
      <w:r>
        <w:rPr>
          <w:spacing w:val="14"/>
          <w:w w:val="105"/>
        </w:rPr>
        <w:t xml:space="preserve"> </w:t>
      </w:r>
      <w:r>
        <w:rPr>
          <w:w w:val="105"/>
        </w:rPr>
        <w:t>When</w:t>
      </w:r>
    </w:p>
    <w:p w:rsidR="00E675F0" w:rsidRDefault="00E675F0" w:rsidP="00E675F0">
      <w:pPr>
        <w:pStyle w:val="BodyText"/>
        <w:spacing w:before="3"/>
        <w:rPr>
          <w:sz w:val="17"/>
        </w:rPr>
      </w:pPr>
      <w:r>
        <w:rPr>
          <w:noProof/>
        </w:rPr>
        <mc:AlternateContent>
          <mc:Choice Requires="wps">
            <w:drawing>
              <wp:anchor distT="0" distB="0" distL="0" distR="0" simplePos="0" relativeHeight="251825152" behindDoc="1" locked="0" layoutInCell="1" allowOverlap="1" wp14:anchorId="6DEF357D" wp14:editId="0CE3ED41">
                <wp:simplePos x="0" y="0"/>
                <wp:positionH relativeFrom="page">
                  <wp:posOffset>482600</wp:posOffset>
                </wp:positionH>
                <wp:positionV relativeFrom="paragraph">
                  <wp:posOffset>154305</wp:posOffset>
                </wp:positionV>
                <wp:extent cx="4741545" cy="1270"/>
                <wp:effectExtent l="0" t="0" r="0" b="0"/>
                <wp:wrapTopAndBottom/>
                <wp:docPr id="1680" name="Freeform 16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41545" cy="1270"/>
                        </a:xfrm>
                        <a:custGeom>
                          <a:avLst/>
                          <a:gdLst>
                            <a:gd name="T0" fmla="+- 0 760 760"/>
                            <a:gd name="T1" fmla="*/ T0 w 7467"/>
                            <a:gd name="T2" fmla="+- 0 8226 760"/>
                            <a:gd name="T3" fmla="*/ T2 w 7467"/>
                          </a:gdLst>
                          <a:ahLst/>
                          <a:cxnLst>
                            <a:cxn ang="0">
                              <a:pos x="T1" y="0"/>
                            </a:cxn>
                            <a:cxn ang="0">
                              <a:pos x="T3" y="0"/>
                            </a:cxn>
                          </a:cxnLst>
                          <a:rect l="0" t="0" r="r" b="b"/>
                          <a:pathLst>
                            <a:path w="7467">
                              <a:moveTo>
                                <a:pt x="0" y="0"/>
                              </a:moveTo>
                              <a:lnTo>
                                <a:pt x="7466" y="0"/>
                              </a:lnTo>
                            </a:path>
                          </a:pathLst>
                        </a:custGeom>
                        <a:noFill/>
                        <a:ln w="6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EDAB3" id="Freeform 1636" o:spid="_x0000_s1026" style="position:absolute;margin-left:38pt;margin-top:12.15pt;width:373.35pt;height:.1pt;z-index:-251491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4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" path="m,l7466,e" filled="f" strokeweight=".16958mm">
                <v:path arrowok="t" o:connecttype="custom" o:connectlocs="0,0;4740910,0" o:connectangles="0,0"/>
                <w10:wrap type="topAndBottom" anchorx="page"/>
              </v:shape>
            </w:pict>
          </mc:Fallback>
        </mc:AlternateContent>
      </w:r>
    </w:p>
    <w:p w:rsidR="00E675F0" w:rsidRDefault="00E675F0" w:rsidP="00E675F0">
      <w:pPr>
        <w:spacing w:before="22"/>
        <w:ind w:left="882" w:right="846"/>
        <w:jc w:val="center"/>
        <w:rPr>
          <w:rFonts w:ascii="Courier New"/>
          <w:b/>
          <w:sz w:val="25"/>
        </w:rPr>
      </w:pPr>
      <w:r>
        <w:rPr>
          <w:rFonts w:ascii="Courier New"/>
          <w:b/>
          <w:w w:val="90"/>
          <w:sz w:val="25"/>
        </w:rPr>
        <w:t>25</w:t>
      </w:r>
    </w:p>
    <w:p w:rsidR="00E675F0" w:rsidRDefault="00E675F0" w:rsidP="00E675F0">
      <w:pPr>
        <w:jc w:val="center"/>
        <w:rPr>
          <w:rFonts w:ascii="Courier New"/>
          <w:sz w:val="25"/>
        </w:rPr>
        <w:sectPr w:rsidR="00E675F0">
          <w:headerReference w:type="even" r:id="rId48"/>
          <w:pgSz w:w="8960" w:h="14260"/>
          <w:pgMar w:top="1340" w:right="620" w:bottom="280" w:left="640" w:header="0" w:footer="0" w:gutter="0"/>
          <w:cols w:space="720"/>
        </w:sectPr>
      </w:pPr>
    </w:p>
    <w:p w:rsidR="00E675F0" w:rsidRDefault="00E675F0" w:rsidP="00E675F0">
      <w:pPr>
        <w:pStyle w:val="BodyText"/>
        <w:spacing w:before="162" w:line="254" w:lineRule="auto"/>
        <w:ind w:left="136" w:right="114" w:firstLine="2"/>
        <w:jc w:val="both"/>
      </w:pPr>
      <w:r>
        <w:rPr>
          <w:w w:val="105"/>
        </w:rPr>
        <w:lastRenderedPageBreak/>
        <w:t xml:space="preserve">an individual has both an Axis I and an Axis II disorder, the principal diagnosis or the reason for visit will be assumed to be on Axis I unless the Axis II diagnosis is followed by the qualifying phrase "(Principal Diagnosis)" or "(Reason for Visit)." </w:t>
      </w:r>
      <w:r>
        <w:rPr>
          <w:rFonts w:ascii="Arial"/>
          <w:w w:val="105"/>
        </w:rPr>
        <w:t xml:space="preserve">If </w:t>
      </w:r>
      <w:r>
        <w:rPr>
          <w:w w:val="105"/>
        </w:rPr>
        <w:t xml:space="preserve">no Axis I disorder is present, this should be coded as V71.09. </w:t>
      </w:r>
      <w:r>
        <w:rPr>
          <w:rFonts w:ascii="Arial"/>
          <w:w w:val="105"/>
        </w:rPr>
        <w:t xml:space="preserve">If </w:t>
      </w:r>
      <w:r>
        <w:rPr>
          <w:w w:val="105"/>
        </w:rPr>
        <w:t>an Axis I diagnosis is deferred, pending the gathering of additional information, this should be coded as 799.9.</w:t>
      </w:r>
    </w:p>
    <w:p w:rsidR="00E675F0" w:rsidRDefault="00E675F0" w:rsidP="00E675F0">
      <w:pPr>
        <w:pStyle w:val="BodyText"/>
        <w:rPr>
          <w:sz w:val="22"/>
        </w:rPr>
      </w:pPr>
    </w:p>
    <w:p w:rsidR="00E675F0" w:rsidRDefault="00E675F0" w:rsidP="00E675F0">
      <w:pPr>
        <w:pStyle w:val="BodyText"/>
        <w:rPr>
          <w:sz w:val="22"/>
        </w:rPr>
      </w:pPr>
    </w:p>
    <w:p w:rsidR="00E675F0" w:rsidRDefault="00E675F0" w:rsidP="00E675F0">
      <w:pPr>
        <w:pStyle w:val="BodyText"/>
        <w:rPr>
          <w:sz w:val="22"/>
        </w:rPr>
      </w:pPr>
    </w:p>
    <w:p w:rsidR="00E675F0" w:rsidRDefault="00E675F0" w:rsidP="00E675F0">
      <w:pPr>
        <w:pStyle w:val="BodyText"/>
        <w:spacing w:before="8"/>
        <w:rPr>
          <w:sz w:val="17"/>
        </w:rPr>
      </w:pPr>
    </w:p>
    <w:p w:rsidR="00E675F0" w:rsidRDefault="00E675F0" w:rsidP="003048D3">
      <w:pPr>
        <w:numPr>
          <w:ilvl w:val="0"/>
          <w:numId w:val="119"/>
        </w:numPr>
        <w:tabs>
          <w:tab w:val="left" w:pos="482"/>
          <w:tab w:val="left" w:pos="1383"/>
          <w:tab w:val="left" w:pos="3579"/>
        </w:tabs>
        <w:spacing w:line="302" w:lineRule="exact"/>
        <w:ind w:hanging="3548"/>
        <w:rPr>
          <w:rFonts w:ascii="Arial" w:hAnsi="Arial"/>
          <w:sz w:val="27"/>
        </w:rPr>
      </w:pPr>
      <w:r>
        <w:rPr>
          <w:noProof/>
        </w:rPr>
        <mc:AlternateContent>
          <mc:Choice Requires="wps">
            <w:drawing>
              <wp:anchor distT="0" distB="0" distL="114300" distR="114300" simplePos="0" relativeHeight="251745280" behindDoc="1" locked="0" layoutInCell="1" allowOverlap="1" wp14:anchorId="1F119F5F" wp14:editId="021BC14E">
                <wp:simplePos x="0" y="0"/>
                <wp:positionH relativeFrom="page">
                  <wp:posOffset>474345</wp:posOffset>
                </wp:positionH>
                <wp:positionV relativeFrom="paragraph">
                  <wp:posOffset>-184150</wp:posOffset>
                </wp:positionV>
                <wp:extent cx="4765675" cy="3577590"/>
                <wp:effectExtent l="0" t="0" r="0" b="3810"/>
                <wp:wrapNone/>
                <wp:docPr id="1679" name="AutoShape 16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5675" cy="3577590"/>
                        </a:xfrm>
                        <a:custGeom>
                          <a:avLst/>
                          <a:gdLst>
                            <a:gd name="T0" fmla="+- 0 756 747"/>
                            <a:gd name="T1" fmla="*/ T0 w 7505"/>
                            <a:gd name="T2" fmla="+- 0 5344 -290"/>
                            <a:gd name="T3" fmla="*/ 5344 h 5634"/>
                            <a:gd name="T4" fmla="+- 0 756 747"/>
                            <a:gd name="T5" fmla="*/ T4 w 7505"/>
                            <a:gd name="T6" fmla="+- 0 -290 -290"/>
                            <a:gd name="T7" fmla="*/ -290 h 5634"/>
                            <a:gd name="T8" fmla="+- 0 8227 747"/>
                            <a:gd name="T9" fmla="*/ T8 w 7505"/>
                            <a:gd name="T10" fmla="+- 0 5344 -290"/>
                            <a:gd name="T11" fmla="*/ 5344 h 5634"/>
                            <a:gd name="T12" fmla="+- 0 8227 747"/>
                            <a:gd name="T13" fmla="*/ T12 w 7505"/>
                            <a:gd name="T14" fmla="+- 0 -290 -290"/>
                            <a:gd name="T15" fmla="*/ -290 h 5634"/>
                            <a:gd name="T16" fmla="+- 0 747 747"/>
                            <a:gd name="T17" fmla="*/ T16 w 7505"/>
                            <a:gd name="T18" fmla="+- 0 -285 -290"/>
                            <a:gd name="T19" fmla="*/ -285 h 5634"/>
                            <a:gd name="T20" fmla="+- 0 8251 747"/>
                            <a:gd name="T21" fmla="*/ T20 w 7505"/>
                            <a:gd name="T22" fmla="+- 0 -285 -290"/>
                            <a:gd name="T23" fmla="*/ -285 h 5634"/>
                            <a:gd name="T24" fmla="+- 0 747 747"/>
                            <a:gd name="T25" fmla="*/ T24 w 7505"/>
                            <a:gd name="T26" fmla="+- 0 5320 -290"/>
                            <a:gd name="T27" fmla="*/ 5320 h 5634"/>
                            <a:gd name="T28" fmla="+- 0 8251 747"/>
                            <a:gd name="T29" fmla="*/ T28 w 7505"/>
                            <a:gd name="T30" fmla="+- 0 5320 -290"/>
                            <a:gd name="T31" fmla="*/ 5320 h 563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505" h="5634">
                              <a:moveTo>
                                <a:pt x="9" y="5634"/>
                              </a:moveTo>
                              <a:lnTo>
                                <a:pt x="9" y="0"/>
                              </a:lnTo>
                              <a:moveTo>
                                <a:pt x="7480" y="5634"/>
                              </a:moveTo>
                              <a:lnTo>
                                <a:pt x="7480" y="0"/>
                              </a:lnTo>
                              <a:moveTo>
                                <a:pt x="0" y="5"/>
                              </a:moveTo>
                              <a:lnTo>
                                <a:pt x="7504" y="5"/>
                              </a:lnTo>
                              <a:moveTo>
                                <a:pt x="0" y="5610"/>
                              </a:moveTo>
                              <a:lnTo>
                                <a:pt x="7504" y="5610"/>
                              </a:lnTo>
                            </a:path>
                          </a:pathLst>
                        </a:custGeom>
                        <a:noFill/>
                        <a:ln w="6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1B3EA" id="AutoShape 1635" o:spid="_x0000_s1026" style="position:absolute;margin-left:37.35pt;margin-top:-14.5pt;width:375.25pt;height:281.7pt;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05,563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" path="m9,5634l9,m7480,5634l7480,m,5r7504,m,5610r7504,e" filled="f" strokeweight=".16964mm">
                <v:path arrowok="t" o:connecttype="custom" o:connectlocs="5715,3393440;5715,-184150;4749800,3393440;4749800,-184150;0,-180975;4765040,-180975;0,3378200;4765040,3378200" o:connectangles="0,0,0,0,0,0,0,0"/>
                <w10:wrap anchorx="page"/>
              </v:shape>
            </w:pict>
          </mc:Fallback>
        </mc:AlternateContent>
      </w:r>
      <w:r>
        <w:rPr>
          <w:b/>
          <w:spacing w:val="-1"/>
          <w:w w:val="115"/>
        </w:rPr>
        <w:t>Axisl</w:t>
      </w:r>
      <w:r>
        <w:rPr>
          <w:b/>
          <w:spacing w:val="-1"/>
          <w:w w:val="115"/>
        </w:rPr>
        <w:tab/>
      </w:r>
      <w:r>
        <w:rPr>
          <w:rFonts w:ascii="Arial" w:hAnsi="Arial"/>
          <w:w w:val="115"/>
          <w:sz w:val="27"/>
        </w:rPr>
        <w:t>■</w:t>
      </w:r>
    </w:p>
    <w:p w:rsidR="00E675F0" w:rsidRDefault="00E675F0" w:rsidP="00E675F0">
      <w:pPr>
        <w:spacing w:line="244" w:lineRule="exact"/>
        <w:ind w:left="33" w:right="11"/>
        <w:jc w:val="center"/>
        <w:rPr>
          <w:b/>
        </w:rPr>
      </w:pPr>
      <w:r>
        <w:rPr>
          <w:b/>
          <w:w w:val="110"/>
        </w:rPr>
        <w:t>Clinical Disorders</w:t>
      </w:r>
    </w:p>
    <w:p w:rsidR="00E675F0" w:rsidRDefault="00E675F0" w:rsidP="00E675F0">
      <w:pPr>
        <w:spacing w:before="7"/>
        <w:ind w:left="33" w:right="26"/>
        <w:jc w:val="center"/>
        <w:rPr>
          <w:b/>
        </w:rPr>
      </w:pPr>
      <w:r>
        <w:rPr>
          <w:b/>
          <w:w w:val="110"/>
        </w:rPr>
        <w:t>Other Conditions That May Be a Focus of Clinical Attention</w:t>
      </w:r>
    </w:p>
    <w:p w:rsidR="00E675F0" w:rsidRDefault="00E675F0" w:rsidP="00E675F0">
      <w:pPr>
        <w:pStyle w:val="BodyText"/>
        <w:spacing w:before="136"/>
        <w:ind w:left="378"/>
      </w:pPr>
      <w:r>
        <w:rPr>
          <w:w w:val="105"/>
        </w:rPr>
        <w:t>Disorders Usually First Diagnosed in Infancy, Childhood, or Adolescence</w:t>
      </w:r>
    </w:p>
    <w:p w:rsidR="00E675F0" w:rsidRDefault="00E675F0" w:rsidP="00E675F0">
      <w:pPr>
        <w:spacing w:before="15" w:line="254" w:lineRule="auto"/>
        <w:ind w:left="373" w:right="1443" w:firstLine="403"/>
        <w:rPr>
          <w:sz w:val="20"/>
        </w:rPr>
      </w:pPr>
      <w:r>
        <w:rPr>
          <w:i/>
          <w:w w:val="105"/>
          <w:sz w:val="20"/>
        </w:rPr>
        <w:t xml:space="preserve">(excluding Mental Retardation, which is diagnosed on Axis </w:t>
      </w:r>
      <w:r>
        <w:rPr>
          <w:i/>
          <w:w w:val="105"/>
          <w:sz w:val="17"/>
        </w:rPr>
        <w:t xml:space="preserve">II) </w:t>
      </w:r>
      <w:r>
        <w:rPr>
          <w:w w:val="105"/>
          <w:sz w:val="20"/>
        </w:rPr>
        <w:t>Delirium, Dementia, and Amnestic and Other Cognitive Disorders Mental Disorders Due to a General Medical Condition</w:t>
      </w:r>
    </w:p>
    <w:p w:rsidR="00E675F0" w:rsidRDefault="00E675F0" w:rsidP="00E675F0">
      <w:pPr>
        <w:pStyle w:val="BodyText"/>
        <w:spacing w:line="229" w:lineRule="exact"/>
        <w:ind w:left="369"/>
      </w:pPr>
      <w:r>
        <w:rPr>
          <w:w w:val="105"/>
        </w:rPr>
        <w:t>Substance-Related Disorders</w:t>
      </w:r>
    </w:p>
    <w:p w:rsidR="00E675F0" w:rsidRDefault="00E675F0" w:rsidP="00E675F0">
      <w:pPr>
        <w:pStyle w:val="BodyText"/>
        <w:spacing w:before="15" w:line="261" w:lineRule="auto"/>
        <w:ind w:left="373" w:right="3424" w:hanging="5"/>
      </w:pPr>
      <w:r>
        <w:rPr>
          <w:w w:val="105"/>
        </w:rPr>
        <w:t>Schizophrenia and Other Psychotic Disorders Mood Disorders</w:t>
      </w:r>
    </w:p>
    <w:p w:rsidR="00E675F0" w:rsidRDefault="00E675F0" w:rsidP="00E675F0">
      <w:pPr>
        <w:pStyle w:val="BodyText"/>
        <w:spacing w:line="256" w:lineRule="auto"/>
        <w:ind w:left="369" w:right="5432" w:firstLine="1"/>
      </w:pPr>
      <w:r>
        <w:rPr>
          <w:w w:val="105"/>
        </w:rPr>
        <w:t>Anxiety Disorders Somatoform Disorders Factitious Disorders Dissociative Disorders</w:t>
      </w:r>
    </w:p>
    <w:p w:rsidR="00E675F0" w:rsidRDefault="00E675F0" w:rsidP="00E675F0">
      <w:pPr>
        <w:pStyle w:val="BodyText"/>
        <w:spacing w:line="252" w:lineRule="auto"/>
        <w:ind w:left="377" w:right="3967" w:hanging="9"/>
      </w:pPr>
      <w:r>
        <w:rPr>
          <w:w w:val="105"/>
        </w:rPr>
        <w:t>Sexual and Gender Identity Disorders Eating Disorders</w:t>
      </w:r>
    </w:p>
    <w:p w:rsidR="00E675F0" w:rsidRDefault="00E675F0" w:rsidP="00E675F0">
      <w:pPr>
        <w:pStyle w:val="BodyText"/>
        <w:spacing w:line="228" w:lineRule="exact"/>
        <w:ind w:left="369"/>
      </w:pPr>
      <w:r>
        <w:rPr>
          <w:w w:val="105"/>
        </w:rPr>
        <w:t>Sleep Disorders</w:t>
      </w:r>
    </w:p>
    <w:p w:rsidR="00E675F0" w:rsidRDefault="00E675F0" w:rsidP="00E675F0">
      <w:pPr>
        <w:pStyle w:val="BodyText"/>
        <w:spacing w:line="252" w:lineRule="auto"/>
        <w:ind w:left="370" w:right="2904" w:firstLine="1"/>
      </w:pPr>
      <w:r>
        <w:rPr>
          <w:w w:val="105"/>
        </w:rPr>
        <w:t>Impulse-Control Disorders Not Elsewhere Classified Adjustment Disorders</w:t>
      </w:r>
    </w:p>
    <w:p w:rsidR="00E675F0" w:rsidRDefault="00E675F0" w:rsidP="00E675F0">
      <w:pPr>
        <w:pStyle w:val="BodyText"/>
        <w:spacing w:line="228" w:lineRule="exact"/>
        <w:ind w:left="374"/>
      </w:pPr>
      <w:r>
        <w:rPr>
          <w:w w:val="105"/>
        </w:rPr>
        <w:t>Other Conditions That May Be a Focus of Clinical Attention</w:t>
      </w:r>
    </w:p>
    <w:p w:rsidR="00E675F0" w:rsidRDefault="00E675F0" w:rsidP="00E675F0">
      <w:pPr>
        <w:pStyle w:val="BodyText"/>
        <w:rPr>
          <w:sz w:val="22"/>
        </w:rPr>
      </w:pPr>
    </w:p>
    <w:p w:rsidR="00E675F0" w:rsidRDefault="00E675F0" w:rsidP="00E675F0">
      <w:pPr>
        <w:pStyle w:val="BodyText"/>
        <w:rPr>
          <w:sz w:val="22"/>
        </w:rPr>
      </w:pPr>
    </w:p>
    <w:p w:rsidR="00E675F0" w:rsidRDefault="00E675F0" w:rsidP="00E675F0">
      <w:pPr>
        <w:pStyle w:val="BodyText"/>
        <w:spacing w:before="7"/>
        <w:rPr>
          <w:sz w:val="25"/>
        </w:rPr>
      </w:pPr>
    </w:p>
    <w:p w:rsidR="00E675F0" w:rsidRDefault="00E675F0" w:rsidP="00E675F0">
      <w:pPr>
        <w:spacing w:line="247" w:lineRule="auto"/>
        <w:ind w:left="991" w:right="3424" w:hanging="880"/>
        <w:rPr>
          <w:rFonts w:ascii="TimesNewRomanPS-BoldItalicMT"/>
          <w:b/>
          <w:i/>
          <w:sz w:val="24"/>
        </w:rPr>
      </w:pPr>
      <w:r>
        <w:rPr>
          <w:rFonts w:ascii="TimesNewRomanPS-BoldItalicMT"/>
          <w:b/>
          <w:i/>
          <w:w w:val="115"/>
          <w:sz w:val="24"/>
        </w:rPr>
        <w:t>Axis II: Personality Disorders Mental Retardation</w:t>
      </w:r>
    </w:p>
    <w:p w:rsidR="00E675F0" w:rsidRDefault="00E675F0" w:rsidP="00E675F0">
      <w:pPr>
        <w:pStyle w:val="BodyText"/>
        <w:spacing w:before="156" w:line="254" w:lineRule="auto"/>
        <w:ind w:left="128" w:right="116" w:firstLine="1"/>
        <w:jc w:val="both"/>
      </w:pPr>
      <w:r>
        <w:rPr>
          <w:w w:val="105"/>
        </w:rPr>
        <w:t>Axis</w:t>
      </w:r>
      <w:r>
        <w:rPr>
          <w:spacing w:val="-12"/>
          <w:w w:val="105"/>
        </w:rPr>
        <w:t xml:space="preserve"> </w:t>
      </w:r>
      <w:r>
        <w:rPr>
          <w:w w:val="105"/>
        </w:rPr>
        <w:t>II</w:t>
      </w:r>
      <w:r>
        <w:rPr>
          <w:spacing w:val="-10"/>
          <w:w w:val="105"/>
        </w:rPr>
        <w:t xml:space="preserve"> </w:t>
      </w:r>
      <w:r>
        <w:rPr>
          <w:w w:val="105"/>
        </w:rPr>
        <w:t>is</w:t>
      </w:r>
      <w:r>
        <w:rPr>
          <w:spacing w:val="-17"/>
          <w:w w:val="105"/>
        </w:rPr>
        <w:t xml:space="preserve"> </w:t>
      </w:r>
      <w:r>
        <w:rPr>
          <w:w w:val="105"/>
        </w:rPr>
        <w:t>for</w:t>
      </w:r>
      <w:r>
        <w:rPr>
          <w:spacing w:val="-8"/>
          <w:w w:val="105"/>
        </w:rPr>
        <w:t xml:space="preserve"> </w:t>
      </w:r>
      <w:r>
        <w:rPr>
          <w:w w:val="105"/>
        </w:rPr>
        <w:t>reporting Personality</w:t>
      </w:r>
      <w:r>
        <w:rPr>
          <w:spacing w:val="2"/>
          <w:w w:val="105"/>
        </w:rPr>
        <w:t xml:space="preserve"> </w:t>
      </w:r>
      <w:r>
        <w:rPr>
          <w:w w:val="105"/>
        </w:rPr>
        <w:t>Disorders</w:t>
      </w:r>
      <w:r>
        <w:rPr>
          <w:spacing w:val="-6"/>
          <w:w w:val="105"/>
        </w:rPr>
        <w:t xml:space="preserve"> </w:t>
      </w:r>
      <w:r>
        <w:rPr>
          <w:w w:val="105"/>
        </w:rPr>
        <w:t>and</w:t>
      </w:r>
      <w:r>
        <w:rPr>
          <w:spacing w:val="5"/>
          <w:w w:val="105"/>
        </w:rPr>
        <w:t xml:space="preserve"> </w:t>
      </w:r>
      <w:r>
        <w:rPr>
          <w:w w:val="105"/>
        </w:rPr>
        <w:t>Mental</w:t>
      </w:r>
      <w:r>
        <w:rPr>
          <w:spacing w:val="-4"/>
          <w:w w:val="105"/>
        </w:rPr>
        <w:t xml:space="preserve"> </w:t>
      </w:r>
      <w:r>
        <w:rPr>
          <w:w w:val="105"/>
        </w:rPr>
        <w:t>Retardation.</w:t>
      </w:r>
      <w:r>
        <w:rPr>
          <w:spacing w:val="7"/>
          <w:w w:val="105"/>
        </w:rPr>
        <w:t xml:space="preserve"> </w:t>
      </w:r>
      <w:r>
        <w:rPr>
          <w:w w:val="105"/>
          <w:sz w:val="18"/>
        </w:rPr>
        <w:t>It</w:t>
      </w:r>
      <w:r>
        <w:rPr>
          <w:spacing w:val="-6"/>
          <w:w w:val="105"/>
          <w:sz w:val="18"/>
        </w:rPr>
        <w:t xml:space="preserve"> </w:t>
      </w:r>
      <w:r>
        <w:rPr>
          <w:w w:val="105"/>
        </w:rPr>
        <w:t>may</w:t>
      </w:r>
      <w:r>
        <w:rPr>
          <w:spacing w:val="-9"/>
          <w:w w:val="105"/>
        </w:rPr>
        <w:t xml:space="preserve"> </w:t>
      </w:r>
      <w:r>
        <w:rPr>
          <w:w w:val="105"/>
        </w:rPr>
        <w:t>also</w:t>
      </w:r>
      <w:r>
        <w:rPr>
          <w:spacing w:val="-8"/>
          <w:w w:val="105"/>
        </w:rPr>
        <w:t xml:space="preserve"> </w:t>
      </w:r>
      <w:r>
        <w:rPr>
          <w:w w:val="105"/>
        </w:rPr>
        <w:t>be</w:t>
      </w:r>
      <w:r>
        <w:rPr>
          <w:spacing w:val="-5"/>
          <w:w w:val="105"/>
        </w:rPr>
        <w:t xml:space="preserve"> </w:t>
      </w:r>
      <w:r>
        <w:rPr>
          <w:w w:val="105"/>
        </w:rPr>
        <w:t xml:space="preserve">used for noting prominent maladaptive personality features and defense mechanisms. The listing of Personality Disorders and Mental Retardation on a separate axis ensures that consideration will be given to the possible presence of Personality Disorders and Mental Retardation that might otherwise be overlooked when attention is directed to the usually more florid Axis I disorders. The coding of Personality Disorders on Axis II should not be taken to imply that their pathogenesis or range of appropriate treatment is funda­ mentally different from that for the disorders coded on Axis </w:t>
      </w:r>
      <w:r>
        <w:rPr>
          <w:w w:val="105"/>
          <w:sz w:val="19"/>
        </w:rPr>
        <w:t xml:space="preserve">I. </w:t>
      </w:r>
      <w:r>
        <w:rPr>
          <w:w w:val="105"/>
        </w:rPr>
        <w:t>The disorders to be reported on Axis II are listed in the box</w:t>
      </w:r>
      <w:r>
        <w:rPr>
          <w:spacing w:val="15"/>
          <w:w w:val="105"/>
        </w:rPr>
        <w:t xml:space="preserve"> </w:t>
      </w:r>
      <w:r>
        <w:rPr>
          <w:w w:val="105"/>
        </w:rPr>
        <w:t>below.</w:t>
      </w:r>
    </w:p>
    <w:p w:rsidR="00E675F0" w:rsidRDefault="00E675F0" w:rsidP="00E675F0">
      <w:pPr>
        <w:pStyle w:val="BodyText"/>
        <w:spacing w:before="12" w:line="254" w:lineRule="auto"/>
        <w:ind w:left="133" w:right="114" w:firstLine="358"/>
        <w:jc w:val="both"/>
      </w:pPr>
      <w:r>
        <w:rPr>
          <w:w w:val="105"/>
        </w:rPr>
        <w:t>In the common situation in which an individual has more than one Axis II diagnosis, all should be reported (for examples, seep. 33). When an individual has both an Axis I and an Axis II diagnosis and the Axis II diagnosis is the principal diagnosis or the reason for visit, this should be indicated by adding the qualifying phrase "(Principal Diagnosis)"</w:t>
      </w:r>
    </w:p>
    <w:p w:rsidR="00E675F0" w:rsidRDefault="00E675F0" w:rsidP="00E675F0">
      <w:pPr>
        <w:spacing w:line="254" w:lineRule="auto"/>
        <w:jc w:val="both"/>
        <w:sectPr w:rsidR="00E675F0">
          <w:headerReference w:type="even" r:id="rId49"/>
          <w:headerReference w:type="default" r:id="rId50"/>
          <w:pgSz w:w="8960" w:h="14260"/>
          <w:pgMar w:top="1400" w:right="600" w:bottom="280" w:left="620" w:header="718" w:footer="0" w:gutter="0"/>
          <w:pgNumType w:start="26"/>
          <w:cols w:space="720"/>
        </w:sectPr>
      </w:pPr>
    </w:p>
    <w:p w:rsidR="00E675F0" w:rsidRDefault="00E675F0" w:rsidP="00E675F0">
      <w:pPr>
        <w:spacing w:before="127" w:line="264" w:lineRule="auto"/>
        <w:ind w:left="107" w:right="131" w:firstLine="2"/>
        <w:jc w:val="both"/>
        <w:rPr>
          <w:sz w:val="19"/>
        </w:rPr>
      </w:pPr>
      <w:r>
        <w:rPr>
          <w:w w:val="110"/>
          <w:sz w:val="19"/>
        </w:rPr>
        <w:lastRenderedPageBreak/>
        <w:t xml:space="preserve">or "(Reason for Visit)" after the Axis II diagnosis. </w:t>
      </w:r>
      <w:r>
        <w:rPr>
          <w:rFonts w:ascii="Arial"/>
          <w:w w:val="110"/>
          <w:sz w:val="19"/>
        </w:rPr>
        <w:t xml:space="preserve">If </w:t>
      </w:r>
      <w:r>
        <w:rPr>
          <w:w w:val="110"/>
          <w:sz w:val="19"/>
        </w:rPr>
        <w:t xml:space="preserve">no Axis II disorder is present, this should be coded as V71.09. </w:t>
      </w:r>
      <w:r>
        <w:rPr>
          <w:rFonts w:ascii="Arial"/>
          <w:w w:val="110"/>
          <w:sz w:val="19"/>
        </w:rPr>
        <w:t xml:space="preserve">If </w:t>
      </w:r>
      <w:r>
        <w:rPr>
          <w:w w:val="110"/>
          <w:sz w:val="19"/>
        </w:rPr>
        <w:t>an Axis II diagnosis is deferred, pending the gathering of additional information, this should be coded as 799.9.</w:t>
      </w:r>
    </w:p>
    <w:p w:rsidR="00E675F0" w:rsidRDefault="00E675F0" w:rsidP="00E675F0">
      <w:pPr>
        <w:spacing w:before="4" w:line="268" w:lineRule="auto"/>
        <w:ind w:left="115" w:right="127" w:firstLine="360"/>
        <w:jc w:val="both"/>
        <w:rPr>
          <w:sz w:val="19"/>
        </w:rPr>
      </w:pPr>
      <w:r>
        <w:rPr>
          <w:w w:val="115"/>
          <w:sz w:val="19"/>
        </w:rPr>
        <w:t>Axis</w:t>
      </w:r>
      <w:r>
        <w:rPr>
          <w:spacing w:val="-27"/>
          <w:w w:val="115"/>
          <w:sz w:val="19"/>
        </w:rPr>
        <w:t xml:space="preserve"> </w:t>
      </w:r>
      <w:r>
        <w:rPr>
          <w:w w:val="115"/>
          <w:sz w:val="19"/>
        </w:rPr>
        <w:t>II</w:t>
      </w:r>
      <w:r>
        <w:rPr>
          <w:spacing w:val="-24"/>
          <w:w w:val="115"/>
          <w:sz w:val="19"/>
        </w:rPr>
        <w:t xml:space="preserve"> </w:t>
      </w:r>
      <w:r>
        <w:rPr>
          <w:w w:val="115"/>
          <w:sz w:val="19"/>
        </w:rPr>
        <w:t>may</w:t>
      </w:r>
      <w:r>
        <w:rPr>
          <w:spacing w:val="-26"/>
          <w:w w:val="115"/>
          <w:sz w:val="19"/>
        </w:rPr>
        <w:t xml:space="preserve"> </w:t>
      </w:r>
      <w:r>
        <w:rPr>
          <w:w w:val="115"/>
          <w:sz w:val="19"/>
        </w:rPr>
        <w:t>also</w:t>
      </w:r>
      <w:r>
        <w:rPr>
          <w:spacing w:val="-28"/>
          <w:w w:val="115"/>
          <w:sz w:val="19"/>
        </w:rPr>
        <w:t xml:space="preserve"> </w:t>
      </w:r>
      <w:r>
        <w:rPr>
          <w:w w:val="115"/>
          <w:sz w:val="19"/>
        </w:rPr>
        <w:t>be</w:t>
      </w:r>
      <w:r>
        <w:rPr>
          <w:spacing w:val="-19"/>
          <w:w w:val="115"/>
          <w:sz w:val="19"/>
        </w:rPr>
        <w:t xml:space="preserve"> </w:t>
      </w:r>
      <w:r>
        <w:rPr>
          <w:w w:val="115"/>
          <w:sz w:val="19"/>
        </w:rPr>
        <w:t>used</w:t>
      </w:r>
      <w:r>
        <w:rPr>
          <w:spacing w:val="-23"/>
          <w:w w:val="115"/>
          <w:sz w:val="19"/>
        </w:rPr>
        <w:t xml:space="preserve"> </w:t>
      </w:r>
      <w:r>
        <w:rPr>
          <w:w w:val="115"/>
          <w:sz w:val="19"/>
        </w:rPr>
        <w:t>to</w:t>
      </w:r>
      <w:r>
        <w:rPr>
          <w:spacing w:val="-25"/>
          <w:w w:val="115"/>
          <w:sz w:val="19"/>
        </w:rPr>
        <w:t xml:space="preserve"> </w:t>
      </w:r>
      <w:r>
        <w:rPr>
          <w:w w:val="115"/>
          <w:sz w:val="19"/>
        </w:rPr>
        <w:t>indicate</w:t>
      </w:r>
      <w:r>
        <w:rPr>
          <w:spacing w:val="-16"/>
          <w:w w:val="115"/>
          <w:sz w:val="19"/>
        </w:rPr>
        <w:t xml:space="preserve"> </w:t>
      </w:r>
      <w:r>
        <w:rPr>
          <w:w w:val="115"/>
          <w:sz w:val="19"/>
        </w:rPr>
        <w:t>prominent</w:t>
      </w:r>
      <w:r>
        <w:rPr>
          <w:spacing w:val="-18"/>
          <w:w w:val="115"/>
          <w:sz w:val="19"/>
        </w:rPr>
        <w:t xml:space="preserve"> </w:t>
      </w:r>
      <w:r>
        <w:rPr>
          <w:w w:val="115"/>
          <w:sz w:val="19"/>
        </w:rPr>
        <w:t>maladaptive</w:t>
      </w:r>
      <w:r>
        <w:rPr>
          <w:spacing w:val="-15"/>
          <w:w w:val="115"/>
          <w:sz w:val="19"/>
        </w:rPr>
        <w:t xml:space="preserve"> </w:t>
      </w:r>
      <w:r>
        <w:rPr>
          <w:w w:val="115"/>
          <w:sz w:val="19"/>
        </w:rPr>
        <w:t>personality</w:t>
      </w:r>
      <w:r>
        <w:rPr>
          <w:spacing w:val="-22"/>
          <w:w w:val="115"/>
          <w:sz w:val="19"/>
        </w:rPr>
        <w:t xml:space="preserve"> </w:t>
      </w:r>
      <w:r>
        <w:rPr>
          <w:w w:val="115"/>
          <w:sz w:val="19"/>
        </w:rPr>
        <w:t>features</w:t>
      </w:r>
      <w:r>
        <w:rPr>
          <w:spacing w:val="-28"/>
          <w:w w:val="115"/>
          <w:sz w:val="19"/>
        </w:rPr>
        <w:t xml:space="preserve"> </w:t>
      </w:r>
      <w:r>
        <w:rPr>
          <w:w w:val="115"/>
          <w:sz w:val="19"/>
        </w:rPr>
        <w:t>that do</w:t>
      </w:r>
      <w:r>
        <w:rPr>
          <w:spacing w:val="-14"/>
          <w:w w:val="115"/>
          <w:sz w:val="19"/>
        </w:rPr>
        <w:t xml:space="preserve"> </w:t>
      </w:r>
      <w:r>
        <w:rPr>
          <w:w w:val="115"/>
          <w:sz w:val="19"/>
        </w:rPr>
        <w:t>not</w:t>
      </w:r>
      <w:r>
        <w:rPr>
          <w:spacing w:val="-15"/>
          <w:w w:val="115"/>
          <w:sz w:val="19"/>
        </w:rPr>
        <w:t xml:space="preserve"> </w:t>
      </w:r>
      <w:r>
        <w:rPr>
          <w:w w:val="115"/>
          <w:sz w:val="19"/>
        </w:rPr>
        <w:t>meet</w:t>
      </w:r>
      <w:r>
        <w:rPr>
          <w:spacing w:val="-21"/>
          <w:w w:val="115"/>
          <w:sz w:val="19"/>
        </w:rPr>
        <w:t xml:space="preserve"> </w:t>
      </w:r>
      <w:r>
        <w:rPr>
          <w:w w:val="115"/>
          <w:sz w:val="19"/>
        </w:rPr>
        <w:t>the</w:t>
      </w:r>
      <w:r>
        <w:rPr>
          <w:spacing w:val="-18"/>
          <w:w w:val="115"/>
          <w:sz w:val="19"/>
        </w:rPr>
        <w:t xml:space="preserve"> </w:t>
      </w:r>
      <w:r>
        <w:rPr>
          <w:w w:val="115"/>
          <w:sz w:val="19"/>
        </w:rPr>
        <w:t>threshold</w:t>
      </w:r>
      <w:r>
        <w:rPr>
          <w:spacing w:val="-14"/>
          <w:w w:val="115"/>
          <w:sz w:val="19"/>
        </w:rPr>
        <w:t xml:space="preserve"> </w:t>
      </w:r>
      <w:r>
        <w:rPr>
          <w:w w:val="115"/>
          <w:sz w:val="19"/>
        </w:rPr>
        <w:t>for</w:t>
      </w:r>
      <w:r>
        <w:rPr>
          <w:spacing w:val="-23"/>
          <w:w w:val="115"/>
          <w:sz w:val="19"/>
        </w:rPr>
        <w:t xml:space="preserve"> </w:t>
      </w:r>
      <w:r>
        <w:rPr>
          <w:w w:val="115"/>
          <w:sz w:val="19"/>
        </w:rPr>
        <w:t>a</w:t>
      </w:r>
      <w:r>
        <w:rPr>
          <w:spacing w:val="-18"/>
          <w:w w:val="115"/>
          <w:sz w:val="19"/>
        </w:rPr>
        <w:t xml:space="preserve"> </w:t>
      </w:r>
      <w:r>
        <w:rPr>
          <w:w w:val="115"/>
          <w:sz w:val="19"/>
        </w:rPr>
        <w:t>Personality</w:t>
      </w:r>
      <w:r>
        <w:rPr>
          <w:spacing w:val="-13"/>
          <w:w w:val="115"/>
          <w:sz w:val="19"/>
        </w:rPr>
        <w:t xml:space="preserve"> </w:t>
      </w:r>
      <w:r>
        <w:rPr>
          <w:w w:val="115"/>
          <w:sz w:val="19"/>
        </w:rPr>
        <w:t>Disorder</w:t>
      </w:r>
      <w:r>
        <w:rPr>
          <w:spacing w:val="-19"/>
          <w:w w:val="115"/>
          <w:sz w:val="19"/>
        </w:rPr>
        <w:t xml:space="preserve"> </w:t>
      </w:r>
      <w:r>
        <w:rPr>
          <w:w w:val="115"/>
          <w:sz w:val="19"/>
        </w:rPr>
        <w:t>(in</w:t>
      </w:r>
      <w:r>
        <w:rPr>
          <w:spacing w:val="-18"/>
          <w:w w:val="115"/>
          <w:sz w:val="19"/>
        </w:rPr>
        <w:t xml:space="preserve"> </w:t>
      </w:r>
      <w:r>
        <w:rPr>
          <w:w w:val="115"/>
          <w:sz w:val="19"/>
        </w:rPr>
        <w:t>such</w:t>
      </w:r>
      <w:r>
        <w:rPr>
          <w:spacing w:val="-17"/>
          <w:w w:val="115"/>
          <w:sz w:val="19"/>
        </w:rPr>
        <w:t xml:space="preserve"> </w:t>
      </w:r>
      <w:r>
        <w:rPr>
          <w:w w:val="115"/>
          <w:sz w:val="19"/>
        </w:rPr>
        <w:t>instances,</w:t>
      </w:r>
      <w:r>
        <w:rPr>
          <w:spacing w:val="-7"/>
          <w:w w:val="115"/>
          <w:sz w:val="19"/>
        </w:rPr>
        <w:t xml:space="preserve"> </w:t>
      </w:r>
      <w:r>
        <w:rPr>
          <w:w w:val="115"/>
          <w:sz w:val="19"/>
        </w:rPr>
        <w:t>no</w:t>
      </w:r>
      <w:r>
        <w:rPr>
          <w:spacing w:val="-18"/>
          <w:w w:val="115"/>
          <w:sz w:val="19"/>
        </w:rPr>
        <w:t xml:space="preserve"> </w:t>
      </w:r>
      <w:r>
        <w:rPr>
          <w:w w:val="115"/>
          <w:sz w:val="19"/>
        </w:rPr>
        <w:t>code</w:t>
      </w:r>
      <w:r>
        <w:rPr>
          <w:spacing w:val="-17"/>
          <w:w w:val="115"/>
          <w:sz w:val="19"/>
        </w:rPr>
        <w:t xml:space="preserve"> </w:t>
      </w:r>
      <w:r>
        <w:rPr>
          <w:w w:val="115"/>
          <w:sz w:val="19"/>
        </w:rPr>
        <w:t>number should be used-see Example 3 on p. 33). The habitual use of maladaptive defense mechanisms</w:t>
      </w:r>
      <w:r>
        <w:rPr>
          <w:spacing w:val="-1"/>
          <w:w w:val="115"/>
          <w:sz w:val="19"/>
        </w:rPr>
        <w:t xml:space="preserve"> </w:t>
      </w:r>
      <w:r>
        <w:rPr>
          <w:w w:val="115"/>
          <w:sz w:val="19"/>
        </w:rPr>
        <w:t>may</w:t>
      </w:r>
      <w:r>
        <w:rPr>
          <w:spacing w:val="-9"/>
          <w:w w:val="115"/>
          <w:sz w:val="19"/>
        </w:rPr>
        <w:t xml:space="preserve"> </w:t>
      </w:r>
      <w:r>
        <w:rPr>
          <w:w w:val="115"/>
          <w:sz w:val="19"/>
        </w:rPr>
        <w:t>also</w:t>
      </w:r>
      <w:r>
        <w:rPr>
          <w:spacing w:val="-4"/>
          <w:w w:val="115"/>
          <w:sz w:val="19"/>
        </w:rPr>
        <w:t xml:space="preserve"> </w:t>
      </w:r>
      <w:r>
        <w:rPr>
          <w:w w:val="115"/>
          <w:sz w:val="19"/>
        </w:rPr>
        <w:t>be</w:t>
      </w:r>
      <w:r>
        <w:rPr>
          <w:spacing w:val="-3"/>
          <w:w w:val="115"/>
          <w:sz w:val="19"/>
        </w:rPr>
        <w:t xml:space="preserve"> </w:t>
      </w:r>
      <w:r>
        <w:rPr>
          <w:w w:val="115"/>
          <w:sz w:val="19"/>
        </w:rPr>
        <w:t>indicated</w:t>
      </w:r>
      <w:r>
        <w:rPr>
          <w:spacing w:val="-4"/>
          <w:w w:val="115"/>
          <w:sz w:val="19"/>
        </w:rPr>
        <w:t xml:space="preserve"> </w:t>
      </w:r>
      <w:r>
        <w:rPr>
          <w:w w:val="115"/>
          <w:sz w:val="19"/>
        </w:rPr>
        <w:t>on</w:t>
      </w:r>
      <w:r>
        <w:rPr>
          <w:spacing w:val="-4"/>
          <w:w w:val="115"/>
          <w:sz w:val="19"/>
        </w:rPr>
        <w:t xml:space="preserve"> </w:t>
      </w:r>
      <w:r>
        <w:rPr>
          <w:w w:val="115"/>
          <w:sz w:val="19"/>
        </w:rPr>
        <w:t>Axis</w:t>
      </w:r>
      <w:r>
        <w:rPr>
          <w:spacing w:val="-7"/>
          <w:w w:val="115"/>
          <w:sz w:val="19"/>
        </w:rPr>
        <w:t xml:space="preserve"> </w:t>
      </w:r>
      <w:r>
        <w:rPr>
          <w:w w:val="115"/>
          <w:sz w:val="19"/>
        </w:rPr>
        <w:t>II</w:t>
      </w:r>
      <w:r>
        <w:rPr>
          <w:spacing w:val="-10"/>
          <w:w w:val="115"/>
          <w:sz w:val="19"/>
        </w:rPr>
        <w:t xml:space="preserve"> </w:t>
      </w:r>
      <w:r>
        <w:rPr>
          <w:w w:val="115"/>
          <w:sz w:val="19"/>
        </w:rPr>
        <w:t>(see</w:t>
      </w:r>
      <w:r>
        <w:rPr>
          <w:spacing w:val="-9"/>
          <w:w w:val="115"/>
          <w:sz w:val="19"/>
        </w:rPr>
        <w:t xml:space="preserve"> </w:t>
      </w:r>
      <w:r>
        <w:rPr>
          <w:w w:val="115"/>
          <w:sz w:val="19"/>
        </w:rPr>
        <w:t>Appendix</w:t>
      </w:r>
      <w:r>
        <w:rPr>
          <w:spacing w:val="-3"/>
          <w:w w:val="115"/>
          <w:sz w:val="19"/>
        </w:rPr>
        <w:t xml:space="preserve"> </w:t>
      </w:r>
      <w:r>
        <w:rPr>
          <w:w w:val="115"/>
          <w:sz w:val="19"/>
        </w:rPr>
        <w:t>B,</w:t>
      </w:r>
      <w:r>
        <w:rPr>
          <w:spacing w:val="-1"/>
          <w:w w:val="115"/>
          <w:sz w:val="19"/>
        </w:rPr>
        <w:t xml:space="preserve"> </w:t>
      </w:r>
      <w:r>
        <w:rPr>
          <w:w w:val="115"/>
          <w:sz w:val="19"/>
        </w:rPr>
        <w:t>p.</w:t>
      </w:r>
      <w:r>
        <w:rPr>
          <w:spacing w:val="-1"/>
          <w:w w:val="115"/>
          <w:sz w:val="19"/>
        </w:rPr>
        <w:t xml:space="preserve"> </w:t>
      </w:r>
      <w:r>
        <w:rPr>
          <w:w w:val="115"/>
          <w:sz w:val="19"/>
        </w:rPr>
        <w:t>751,</w:t>
      </w:r>
      <w:r>
        <w:rPr>
          <w:spacing w:val="-9"/>
          <w:w w:val="115"/>
          <w:sz w:val="19"/>
        </w:rPr>
        <w:t xml:space="preserve"> </w:t>
      </w:r>
      <w:r>
        <w:rPr>
          <w:w w:val="115"/>
          <w:sz w:val="19"/>
        </w:rPr>
        <w:t>for</w:t>
      </w:r>
      <w:r>
        <w:rPr>
          <w:spacing w:val="-7"/>
          <w:w w:val="115"/>
          <w:sz w:val="19"/>
        </w:rPr>
        <w:t xml:space="preserve"> </w:t>
      </w:r>
      <w:r>
        <w:rPr>
          <w:w w:val="115"/>
          <w:sz w:val="19"/>
        </w:rPr>
        <w:t>definitions and Example 1 on p.</w:t>
      </w:r>
      <w:r>
        <w:rPr>
          <w:spacing w:val="-21"/>
          <w:w w:val="115"/>
          <w:sz w:val="19"/>
        </w:rPr>
        <w:t xml:space="preserve"> </w:t>
      </w:r>
      <w:r>
        <w:rPr>
          <w:w w:val="115"/>
          <w:sz w:val="19"/>
        </w:rPr>
        <w:t>33).</w:t>
      </w:r>
    </w:p>
    <w:p w:rsidR="00E675F0" w:rsidRDefault="00E675F0" w:rsidP="00E675F0">
      <w:pPr>
        <w:pStyle w:val="BodyText"/>
      </w:pPr>
    </w:p>
    <w:p w:rsidR="00E675F0" w:rsidRDefault="00E675F0" w:rsidP="00E675F0">
      <w:pPr>
        <w:pStyle w:val="BodyText"/>
      </w:pPr>
    </w:p>
    <w:p w:rsidR="00E675F0" w:rsidRDefault="00E675F0" w:rsidP="00E675F0">
      <w:pPr>
        <w:pStyle w:val="BodyText"/>
        <w:spacing w:before="10"/>
      </w:pPr>
    </w:p>
    <w:p w:rsidR="00E675F0" w:rsidRDefault="00E675F0" w:rsidP="003048D3">
      <w:pPr>
        <w:pStyle w:val="ListParagraph"/>
        <w:numPr>
          <w:ilvl w:val="0"/>
          <w:numId w:val="118"/>
        </w:numPr>
        <w:tabs>
          <w:tab w:val="left" w:pos="446"/>
          <w:tab w:val="left" w:pos="1423"/>
          <w:tab w:val="left" w:pos="3509"/>
        </w:tabs>
        <w:spacing w:line="294" w:lineRule="exact"/>
        <w:ind w:right="13" w:hanging="3509"/>
        <w:rPr>
          <w:rFonts w:ascii="Arial" w:hAnsi="Arial"/>
          <w:sz w:val="26"/>
        </w:rPr>
      </w:pPr>
      <w:r>
        <w:rPr>
          <w:noProof/>
        </w:rPr>
        <mc:AlternateContent>
          <mc:Choice Requires="wps">
            <w:drawing>
              <wp:anchor distT="0" distB="0" distL="114300" distR="114300" simplePos="0" relativeHeight="251746304" behindDoc="1" locked="0" layoutInCell="1" allowOverlap="1" wp14:anchorId="7DD36CE1" wp14:editId="3304DFA3">
                <wp:simplePos x="0" y="0"/>
                <wp:positionH relativeFrom="page">
                  <wp:posOffset>464820</wp:posOffset>
                </wp:positionH>
                <wp:positionV relativeFrom="paragraph">
                  <wp:posOffset>-177800</wp:posOffset>
                </wp:positionV>
                <wp:extent cx="4753610" cy="2185670"/>
                <wp:effectExtent l="0" t="0" r="0" b="0"/>
                <wp:wrapNone/>
                <wp:docPr id="1678" name="AutoShape 16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53610" cy="2185670"/>
                        </a:xfrm>
                        <a:custGeom>
                          <a:avLst/>
                          <a:gdLst>
                            <a:gd name="T0" fmla="+- 0 742 732"/>
                            <a:gd name="T1" fmla="*/ T0 w 7486"/>
                            <a:gd name="T2" fmla="+- 0 3162 -280"/>
                            <a:gd name="T3" fmla="*/ 3162 h 3442"/>
                            <a:gd name="T4" fmla="+- 0 742 732"/>
                            <a:gd name="T5" fmla="*/ T4 w 7486"/>
                            <a:gd name="T6" fmla="+- 0 -280 -280"/>
                            <a:gd name="T7" fmla="*/ -280 h 3442"/>
                            <a:gd name="T8" fmla="+- 0 8193 732"/>
                            <a:gd name="T9" fmla="*/ T8 w 7486"/>
                            <a:gd name="T10" fmla="+- 0 3162 -280"/>
                            <a:gd name="T11" fmla="*/ 3162 h 3442"/>
                            <a:gd name="T12" fmla="+- 0 8193 732"/>
                            <a:gd name="T13" fmla="*/ T12 w 7486"/>
                            <a:gd name="T14" fmla="+- 0 -280 -280"/>
                            <a:gd name="T15" fmla="*/ -280 h 3442"/>
                            <a:gd name="T16" fmla="+- 0 732 732"/>
                            <a:gd name="T17" fmla="*/ T16 w 7486"/>
                            <a:gd name="T18" fmla="+- 0 -275 -280"/>
                            <a:gd name="T19" fmla="*/ -275 h 3442"/>
                            <a:gd name="T20" fmla="+- 0 8218 732"/>
                            <a:gd name="T21" fmla="*/ T20 w 7486"/>
                            <a:gd name="T22" fmla="+- 0 -275 -280"/>
                            <a:gd name="T23" fmla="*/ -275 h 3442"/>
                            <a:gd name="T24" fmla="+- 0 732 732"/>
                            <a:gd name="T25" fmla="*/ T24 w 7486"/>
                            <a:gd name="T26" fmla="+- 0 3138 -280"/>
                            <a:gd name="T27" fmla="*/ 3138 h 3442"/>
                            <a:gd name="T28" fmla="+- 0 8218 732"/>
                            <a:gd name="T29" fmla="*/ T28 w 7486"/>
                            <a:gd name="T30" fmla="+- 0 3138 -280"/>
                            <a:gd name="T31" fmla="*/ 3138 h 344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486" h="3442">
                              <a:moveTo>
                                <a:pt x="10" y="3442"/>
                              </a:moveTo>
                              <a:lnTo>
                                <a:pt x="10" y="0"/>
                              </a:lnTo>
                              <a:moveTo>
                                <a:pt x="7461" y="3442"/>
                              </a:moveTo>
                              <a:lnTo>
                                <a:pt x="7461" y="0"/>
                              </a:lnTo>
                              <a:moveTo>
                                <a:pt x="0" y="5"/>
                              </a:moveTo>
                              <a:lnTo>
                                <a:pt x="7486" y="5"/>
                              </a:lnTo>
                              <a:moveTo>
                                <a:pt x="0" y="3418"/>
                              </a:moveTo>
                              <a:lnTo>
                                <a:pt x="7486" y="3418"/>
                              </a:lnTo>
                            </a:path>
                          </a:pathLst>
                        </a:custGeom>
                        <a:noFill/>
                        <a:ln w="6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C0FF0" id="AutoShape 1634" o:spid="_x0000_s1026" style="position:absolute;margin-left:36.6pt;margin-top:-14pt;width:374.3pt;height:172.1pt;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486,344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" path="m10,3442l10,m7461,3442l7461,m,5r7486,m,3418r7486,e" filled="f" strokeweight=".16964mm">
                <v:path arrowok="t" o:connecttype="custom" o:connectlocs="6350,2007870;6350,-177800;4737735,2007870;4737735,-177800;0,-174625;4753610,-174625;0,1992630;4753610,1992630" o:connectangles="0,0,0,0,0,0,0,0"/>
                <w10:wrap anchorx="page"/>
              </v:shape>
            </w:pict>
          </mc:Fallback>
        </mc:AlternateContent>
      </w:r>
      <w:r>
        <w:rPr>
          <w:rFonts w:ascii="Arial" w:hAnsi="Arial"/>
          <w:w w:val="115"/>
          <w:sz w:val="20"/>
        </w:rPr>
        <w:t>Axis</w:t>
      </w:r>
      <w:r>
        <w:rPr>
          <w:rFonts w:ascii="Arial" w:hAnsi="Arial"/>
          <w:spacing w:val="21"/>
          <w:w w:val="115"/>
          <w:sz w:val="20"/>
        </w:rPr>
        <w:t xml:space="preserve"> </w:t>
      </w:r>
      <w:r>
        <w:rPr>
          <w:w w:val="115"/>
          <w:sz w:val="20"/>
        </w:rPr>
        <w:t>II</w:t>
      </w:r>
      <w:r>
        <w:rPr>
          <w:w w:val="115"/>
          <w:sz w:val="20"/>
        </w:rPr>
        <w:tab/>
      </w:r>
      <w:r>
        <w:rPr>
          <w:rFonts w:ascii="Arial" w:hAnsi="Arial"/>
          <w:w w:val="115"/>
          <w:sz w:val="26"/>
        </w:rPr>
        <w:t>■</w:t>
      </w:r>
    </w:p>
    <w:p w:rsidR="00E675F0" w:rsidRDefault="00E675F0" w:rsidP="00E675F0">
      <w:pPr>
        <w:spacing w:line="252" w:lineRule="auto"/>
        <w:ind w:left="2718" w:right="2746"/>
        <w:jc w:val="center"/>
        <w:rPr>
          <w:b/>
        </w:rPr>
      </w:pPr>
      <w:r>
        <w:rPr>
          <w:b/>
          <w:w w:val="110"/>
        </w:rPr>
        <w:t>Personality Disorders Mental Retardation</w:t>
      </w:r>
    </w:p>
    <w:p w:rsidR="00E675F0" w:rsidRDefault="00E675F0" w:rsidP="00E675F0">
      <w:pPr>
        <w:spacing w:line="252" w:lineRule="auto"/>
        <w:jc w:val="center"/>
        <w:sectPr w:rsidR="00E675F0">
          <w:pgSz w:w="8960" w:h="14260"/>
          <w:pgMar w:top="1400" w:right="620" w:bottom="280" w:left="620" w:header="679" w:footer="0" w:gutter="0"/>
          <w:cols w:space="720"/>
        </w:sectPr>
      </w:pPr>
    </w:p>
    <w:p w:rsidR="00E675F0" w:rsidRDefault="00E675F0" w:rsidP="00E675F0">
      <w:pPr>
        <w:spacing w:before="121" w:line="268" w:lineRule="auto"/>
        <w:ind w:left="360" w:right="34" w:firstLine="8"/>
        <w:rPr>
          <w:sz w:val="19"/>
        </w:rPr>
      </w:pPr>
      <w:r>
        <w:rPr>
          <w:w w:val="110"/>
          <w:sz w:val="19"/>
        </w:rPr>
        <w:t>Paranoid Personality Disorder Schizoid Personality Disorder Schizotypal Personality Disorder Antisocial Personality Disorder Borderline Personality Disorder Histrionic Personality Disorder Narcissistic Personality Disorder Avoidant Personality Disorder</w:t>
      </w:r>
    </w:p>
    <w:p w:rsidR="00E675F0" w:rsidRDefault="00E675F0" w:rsidP="00E675F0">
      <w:pPr>
        <w:spacing w:before="121" w:line="268" w:lineRule="auto"/>
        <w:ind w:left="361" w:right="821" w:firstLine="3"/>
        <w:rPr>
          <w:sz w:val="19"/>
        </w:rPr>
      </w:pPr>
      <w:r>
        <w:br w:type="column"/>
      </w:r>
      <w:r>
        <w:rPr>
          <w:w w:val="110"/>
          <w:sz w:val="19"/>
        </w:rPr>
        <w:t>Dependent Personality Disorder Obsessive-Compulsive Personality</w:t>
      </w:r>
    </w:p>
    <w:p w:rsidR="00E675F0" w:rsidRDefault="00E675F0" w:rsidP="00E675F0">
      <w:pPr>
        <w:spacing w:before="1"/>
        <w:ind w:left="600"/>
        <w:rPr>
          <w:sz w:val="19"/>
        </w:rPr>
      </w:pPr>
      <w:r>
        <w:rPr>
          <w:w w:val="110"/>
          <w:sz w:val="19"/>
        </w:rPr>
        <w:t>Disorder</w:t>
      </w:r>
    </w:p>
    <w:p w:rsidR="00E675F0" w:rsidRDefault="00E675F0" w:rsidP="00E675F0">
      <w:pPr>
        <w:spacing w:before="27" w:line="268" w:lineRule="auto"/>
        <w:ind w:left="601" w:hanging="237"/>
        <w:rPr>
          <w:sz w:val="19"/>
        </w:rPr>
      </w:pPr>
      <w:r>
        <w:rPr>
          <w:w w:val="110"/>
          <w:sz w:val="19"/>
        </w:rPr>
        <w:t>Personality Disorder Not Otherwise Specified</w:t>
      </w:r>
    </w:p>
    <w:p w:rsidR="00E675F0" w:rsidRDefault="00E675F0" w:rsidP="00E675F0">
      <w:pPr>
        <w:pStyle w:val="BodyText"/>
        <w:spacing w:before="4"/>
        <w:rPr>
          <w:sz w:val="16"/>
        </w:rPr>
      </w:pPr>
    </w:p>
    <w:p w:rsidR="00E675F0" w:rsidRDefault="00E675F0" w:rsidP="00E675F0">
      <w:pPr>
        <w:ind w:left="360"/>
        <w:rPr>
          <w:sz w:val="19"/>
        </w:rPr>
      </w:pPr>
      <w:r>
        <w:rPr>
          <w:w w:val="110"/>
          <w:sz w:val="19"/>
        </w:rPr>
        <w:t>Mental Retardation</w:t>
      </w:r>
    </w:p>
    <w:p w:rsidR="00E675F0" w:rsidRDefault="00E675F0" w:rsidP="00E675F0">
      <w:pPr>
        <w:rPr>
          <w:sz w:val="19"/>
        </w:rPr>
        <w:sectPr w:rsidR="00E675F0">
          <w:type w:val="continuous"/>
          <w:pgSz w:w="8960" w:h="14260"/>
          <w:pgMar w:top="640" w:right="620" w:bottom="0" w:left="620" w:header="720" w:footer="720" w:gutter="0"/>
          <w:cols w:num="2" w:space="720" w:equalWidth="0">
            <w:col w:w="3177" w:space="435"/>
            <w:col w:w="4108"/>
          </w:cols>
        </w:sectPr>
      </w:pPr>
    </w:p>
    <w:p w:rsidR="00E675F0" w:rsidRDefault="00E675F0" w:rsidP="00E675F0">
      <w:pPr>
        <w:pStyle w:val="BodyText"/>
      </w:pPr>
    </w:p>
    <w:p w:rsidR="00E675F0" w:rsidRDefault="00E675F0" w:rsidP="00E675F0">
      <w:pPr>
        <w:pStyle w:val="BodyText"/>
      </w:pPr>
    </w:p>
    <w:p w:rsidR="00E675F0" w:rsidRDefault="00E675F0" w:rsidP="00E675F0">
      <w:pPr>
        <w:pStyle w:val="BodyText"/>
        <w:spacing w:before="1"/>
        <w:rPr>
          <w:sz w:val="23"/>
        </w:rPr>
      </w:pPr>
    </w:p>
    <w:p w:rsidR="00E675F0" w:rsidRDefault="00E675F0" w:rsidP="00E675F0">
      <w:pPr>
        <w:spacing w:before="91"/>
        <w:ind w:left="100"/>
        <w:jc w:val="both"/>
        <w:rPr>
          <w:rFonts w:ascii="TimesNewRomanPS-BoldItalicMT" w:hAnsi="TimesNewRomanPS-BoldItalicMT"/>
          <w:b/>
          <w:i/>
          <w:sz w:val="21"/>
        </w:rPr>
      </w:pPr>
      <w:r>
        <w:rPr>
          <w:rFonts w:ascii="TimesNewRomanPS-BoldItalicMT" w:hAnsi="TimesNewRomanPS-BoldItalicMT"/>
          <w:b/>
          <w:i/>
          <w:w w:val="125"/>
          <w:sz w:val="21"/>
        </w:rPr>
        <w:t>Axis /IL· General Medical Conditions</w:t>
      </w:r>
    </w:p>
    <w:p w:rsidR="00E675F0" w:rsidRDefault="00E675F0" w:rsidP="00E675F0">
      <w:pPr>
        <w:pStyle w:val="BodyText"/>
        <w:spacing w:before="11"/>
        <w:rPr>
          <w:rFonts w:ascii="TimesNewRomanPS-BoldItalicMT"/>
          <w:b/>
          <w:i/>
          <w:sz w:val="19"/>
        </w:rPr>
      </w:pPr>
    </w:p>
    <w:p w:rsidR="00E675F0" w:rsidRDefault="00E675F0" w:rsidP="00E675F0">
      <w:pPr>
        <w:spacing w:line="264" w:lineRule="auto"/>
        <w:ind w:left="119" w:right="127" w:firstLine="5"/>
        <w:jc w:val="both"/>
        <w:rPr>
          <w:sz w:val="19"/>
        </w:rPr>
      </w:pPr>
      <w:r>
        <w:rPr>
          <w:w w:val="110"/>
          <w:sz w:val="19"/>
        </w:rPr>
        <w:t>Axis III is for reporting current general medical conditions that are potentially  relevant to the understanding or management of the individual's mental disorder. These conditions</w:t>
      </w:r>
      <w:r>
        <w:rPr>
          <w:spacing w:val="-12"/>
          <w:w w:val="110"/>
          <w:sz w:val="19"/>
        </w:rPr>
        <w:t xml:space="preserve"> </w:t>
      </w:r>
      <w:r>
        <w:rPr>
          <w:w w:val="110"/>
          <w:sz w:val="19"/>
        </w:rPr>
        <w:t>are</w:t>
      </w:r>
      <w:r>
        <w:rPr>
          <w:spacing w:val="-19"/>
          <w:w w:val="110"/>
          <w:sz w:val="19"/>
        </w:rPr>
        <w:t xml:space="preserve"> </w:t>
      </w:r>
      <w:r>
        <w:rPr>
          <w:w w:val="110"/>
          <w:sz w:val="19"/>
        </w:rPr>
        <w:t>classified</w:t>
      </w:r>
      <w:r>
        <w:rPr>
          <w:spacing w:val="-13"/>
          <w:w w:val="110"/>
          <w:sz w:val="19"/>
        </w:rPr>
        <w:t xml:space="preserve"> </w:t>
      </w:r>
      <w:r>
        <w:rPr>
          <w:w w:val="110"/>
          <w:sz w:val="19"/>
        </w:rPr>
        <w:t>outside</w:t>
      </w:r>
      <w:r>
        <w:rPr>
          <w:spacing w:val="-11"/>
          <w:w w:val="110"/>
          <w:sz w:val="19"/>
        </w:rPr>
        <w:t xml:space="preserve"> </w:t>
      </w:r>
      <w:r>
        <w:rPr>
          <w:w w:val="110"/>
          <w:sz w:val="19"/>
        </w:rPr>
        <w:t>the</w:t>
      </w:r>
      <w:r>
        <w:rPr>
          <w:spacing w:val="-17"/>
          <w:w w:val="110"/>
          <w:sz w:val="19"/>
        </w:rPr>
        <w:t xml:space="preserve"> </w:t>
      </w:r>
      <w:r>
        <w:rPr>
          <w:w w:val="110"/>
          <w:sz w:val="19"/>
        </w:rPr>
        <w:t>"Mental</w:t>
      </w:r>
      <w:r>
        <w:rPr>
          <w:spacing w:val="-13"/>
          <w:w w:val="110"/>
          <w:sz w:val="19"/>
        </w:rPr>
        <w:t xml:space="preserve"> </w:t>
      </w:r>
      <w:r>
        <w:rPr>
          <w:w w:val="110"/>
          <w:sz w:val="19"/>
        </w:rPr>
        <w:t>Disorders"</w:t>
      </w:r>
      <w:r>
        <w:rPr>
          <w:spacing w:val="-11"/>
          <w:w w:val="110"/>
          <w:sz w:val="19"/>
        </w:rPr>
        <w:t xml:space="preserve"> </w:t>
      </w:r>
      <w:r>
        <w:rPr>
          <w:w w:val="110"/>
          <w:sz w:val="19"/>
        </w:rPr>
        <w:t>chapter</w:t>
      </w:r>
      <w:r>
        <w:rPr>
          <w:spacing w:val="-17"/>
          <w:w w:val="110"/>
          <w:sz w:val="19"/>
        </w:rPr>
        <w:t xml:space="preserve"> </w:t>
      </w:r>
      <w:r>
        <w:rPr>
          <w:w w:val="110"/>
          <w:sz w:val="19"/>
        </w:rPr>
        <w:t>ofICD-9-CM</w:t>
      </w:r>
      <w:r>
        <w:rPr>
          <w:spacing w:val="-12"/>
          <w:w w:val="110"/>
          <w:sz w:val="19"/>
        </w:rPr>
        <w:t xml:space="preserve"> </w:t>
      </w:r>
      <w:r>
        <w:rPr>
          <w:w w:val="110"/>
          <w:sz w:val="19"/>
        </w:rPr>
        <w:t>(and</w:t>
      </w:r>
      <w:r>
        <w:rPr>
          <w:spacing w:val="-19"/>
          <w:w w:val="110"/>
          <w:sz w:val="19"/>
        </w:rPr>
        <w:t xml:space="preserve"> </w:t>
      </w:r>
      <w:r>
        <w:rPr>
          <w:w w:val="110"/>
          <w:sz w:val="19"/>
        </w:rPr>
        <w:t>outside Chapter V of ICD-10). A listing of the broad categories of general medical conditions is given in the box below. (For a more detailed listing including the specific ICD-9-CM codes, refer to Appendix</w:t>
      </w:r>
      <w:r>
        <w:rPr>
          <w:spacing w:val="11"/>
          <w:w w:val="110"/>
          <w:sz w:val="19"/>
        </w:rPr>
        <w:t xml:space="preserve"> </w:t>
      </w:r>
      <w:r>
        <w:rPr>
          <w:w w:val="110"/>
          <w:sz w:val="19"/>
        </w:rPr>
        <w:t>G.)</w:t>
      </w:r>
    </w:p>
    <w:p w:rsidR="00E675F0" w:rsidRDefault="00E675F0" w:rsidP="00E675F0">
      <w:pPr>
        <w:spacing w:line="266" w:lineRule="auto"/>
        <w:ind w:left="119" w:right="122" w:firstLine="365"/>
        <w:jc w:val="right"/>
        <w:rPr>
          <w:sz w:val="19"/>
        </w:rPr>
      </w:pPr>
      <w:r>
        <w:rPr>
          <w:w w:val="110"/>
          <w:sz w:val="19"/>
        </w:rPr>
        <w:t>As discussed in the "Introduction," the multiaxial distinction among Axis I,</w:t>
      </w:r>
      <w:r>
        <w:rPr>
          <w:spacing w:val="11"/>
          <w:w w:val="110"/>
          <w:sz w:val="19"/>
        </w:rPr>
        <w:t xml:space="preserve"> </w:t>
      </w:r>
      <w:r>
        <w:rPr>
          <w:w w:val="110"/>
          <w:sz w:val="19"/>
        </w:rPr>
        <w:t>II,</w:t>
      </w:r>
      <w:r>
        <w:rPr>
          <w:spacing w:val="8"/>
          <w:w w:val="110"/>
          <w:sz w:val="19"/>
        </w:rPr>
        <w:t xml:space="preserve"> </w:t>
      </w:r>
      <w:r>
        <w:rPr>
          <w:w w:val="110"/>
          <w:sz w:val="19"/>
        </w:rPr>
        <w:t>and</w:t>
      </w:r>
      <w:r>
        <w:rPr>
          <w:spacing w:val="-1"/>
          <w:sz w:val="19"/>
        </w:rPr>
        <w:t xml:space="preserve"> </w:t>
      </w:r>
      <w:r>
        <w:rPr>
          <w:w w:val="110"/>
          <w:sz w:val="19"/>
        </w:rPr>
        <w:t>III disorders does not imply that there are fundamental</w:t>
      </w:r>
      <w:r>
        <w:rPr>
          <w:spacing w:val="42"/>
          <w:w w:val="110"/>
          <w:sz w:val="19"/>
        </w:rPr>
        <w:t xml:space="preserve"> </w:t>
      </w:r>
      <w:r>
        <w:rPr>
          <w:w w:val="110"/>
          <w:sz w:val="19"/>
        </w:rPr>
        <w:t>differences in their</w:t>
      </w:r>
      <w:r>
        <w:rPr>
          <w:spacing w:val="10"/>
          <w:w w:val="110"/>
          <w:sz w:val="19"/>
        </w:rPr>
        <w:t xml:space="preserve"> </w:t>
      </w:r>
      <w:r>
        <w:rPr>
          <w:w w:val="110"/>
          <w:sz w:val="19"/>
        </w:rPr>
        <w:t>conceptual­</w:t>
      </w:r>
      <w:r>
        <w:rPr>
          <w:spacing w:val="-1"/>
          <w:w w:val="112"/>
          <w:sz w:val="19"/>
        </w:rPr>
        <w:t xml:space="preserve"> </w:t>
      </w:r>
      <w:r>
        <w:rPr>
          <w:w w:val="110"/>
          <w:sz w:val="19"/>
        </w:rPr>
        <w:t>ization, that mental disorders are unrelated to physical or biological factors</w:t>
      </w:r>
      <w:r>
        <w:rPr>
          <w:spacing w:val="34"/>
          <w:w w:val="110"/>
          <w:sz w:val="19"/>
        </w:rPr>
        <w:t xml:space="preserve"> </w:t>
      </w:r>
      <w:r>
        <w:rPr>
          <w:w w:val="110"/>
          <w:sz w:val="19"/>
        </w:rPr>
        <w:t>or</w:t>
      </w:r>
      <w:r>
        <w:rPr>
          <w:spacing w:val="11"/>
          <w:w w:val="110"/>
          <w:sz w:val="19"/>
        </w:rPr>
        <w:t xml:space="preserve"> </w:t>
      </w:r>
      <w:r>
        <w:rPr>
          <w:w w:val="110"/>
          <w:sz w:val="19"/>
        </w:rPr>
        <w:t>processes,</w:t>
      </w:r>
      <w:r>
        <w:rPr>
          <w:w w:val="111"/>
          <w:sz w:val="19"/>
        </w:rPr>
        <w:t xml:space="preserve"> </w:t>
      </w:r>
      <w:r>
        <w:rPr>
          <w:w w:val="110"/>
          <w:sz w:val="19"/>
        </w:rPr>
        <w:t>or that general medical conditions are unrelated  to behavioral  or</w:t>
      </w:r>
      <w:r>
        <w:rPr>
          <w:spacing w:val="45"/>
          <w:w w:val="110"/>
          <w:sz w:val="19"/>
        </w:rPr>
        <w:t xml:space="preserve"> </w:t>
      </w:r>
      <w:r>
        <w:rPr>
          <w:w w:val="110"/>
          <w:sz w:val="19"/>
        </w:rPr>
        <w:t>psychosocial</w:t>
      </w:r>
      <w:r>
        <w:rPr>
          <w:spacing w:val="34"/>
          <w:w w:val="110"/>
          <w:sz w:val="19"/>
        </w:rPr>
        <w:t xml:space="preserve"> </w:t>
      </w:r>
      <w:r>
        <w:rPr>
          <w:w w:val="110"/>
          <w:sz w:val="19"/>
        </w:rPr>
        <w:t>factors</w:t>
      </w:r>
      <w:r>
        <w:rPr>
          <w:w w:val="109"/>
          <w:sz w:val="19"/>
        </w:rPr>
        <w:t xml:space="preserve"> </w:t>
      </w:r>
      <w:r>
        <w:rPr>
          <w:w w:val="110"/>
          <w:sz w:val="19"/>
        </w:rPr>
        <w:t>or processes. The purpose of distinguishing general medical conditions is</w:t>
      </w:r>
      <w:r>
        <w:rPr>
          <w:spacing w:val="7"/>
          <w:w w:val="110"/>
          <w:sz w:val="19"/>
        </w:rPr>
        <w:t xml:space="preserve"> </w:t>
      </w:r>
      <w:r>
        <w:rPr>
          <w:w w:val="110"/>
          <w:sz w:val="19"/>
        </w:rPr>
        <w:t>to</w:t>
      </w:r>
      <w:r>
        <w:rPr>
          <w:spacing w:val="18"/>
          <w:w w:val="110"/>
          <w:sz w:val="19"/>
        </w:rPr>
        <w:t xml:space="preserve"> </w:t>
      </w:r>
      <w:r>
        <w:rPr>
          <w:w w:val="110"/>
          <w:sz w:val="19"/>
        </w:rPr>
        <w:t>encourage</w:t>
      </w:r>
      <w:r>
        <w:rPr>
          <w:spacing w:val="-1"/>
          <w:w w:val="114"/>
          <w:sz w:val="19"/>
        </w:rPr>
        <w:t xml:space="preserve"> </w:t>
      </w:r>
      <w:r>
        <w:rPr>
          <w:w w:val="110"/>
          <w:sz w:val="19"/>
        </w:rPr>
        <w:t>thoroughness in evaluation and to enhance communication among health</w:t>
      </w:r>
      <w:r>
        <w:rPr>
          <w:spacing w:val="29"/>
          <w:w w:val="110"/>
          <w:sz w:val="19"/>
        </w:rPr>
        <w:t xml:space="preserve"> </w:t>
      </w:r>
      <w:r>
        <w:rPr>
          <w:w w:val="110"/>
          <w:sz w:val="19"/>
        </w:rPr>
        <w:t>care</w:t>
      </w:r>
      <w:r>
        <w:rPr>
          <w:spacing w:val="-2"/>
          <w:w w:val="110"/>
          <w:sz w:val="19"/>
        </w:rPr>
        <w:t xml:space="preserve"> </w:t>
      </w:r>
      <w:r>
        <w:rPr>
          <w:w w:val="110"/>
          <w:sz w:val="19"/>
        </w:rPr>
        <w:t>providers. General medical conditions can be related to mental disorders in a variety of</w:t>
      </w:r>
      <w:r>
        <w:rPr>
          <w:spacing w:val="43"/>
          <w:w w:val="110"/>
          <w:sz w:val="19"/>
        </w:rPr>
        <w:t xml:space="preserve"> </w:t>
      </w:r>
      <w:r>
        <w:rPr>
          <w:w w:val="110"/>
          <w:sz w:val="19"/>
        </w:rPr>
        <w:t>ways.</w:t>
      </w:r>
    </w:p>
    <w:p w:rsidR="00E675F0" w:rsidRDefault="00E675F0" w:rsidP="00E675F0">
      <w:pPr>
        <w:spacing w:before="4" w:line="268" w:lineRule="auto"/>
        <w:ind w:left="121" w:right="117" w:firstLine="4"/>
        <w:jc w:val="both"/>
        <w:rPr>
          <w:sz w:val="19"/>
        </w:rPr>
      </w:pPr>
      <w:r>
        <w:rPr>
          <w:w w:val="110"/>
          <w:sz w:val="19"/>
        </w:rPr>
        <w:t>In some cases it is dear that the general medical condition is directly etiological to the development or worsening of mental symptoms and  that the  mechanism for this effect is physiological. When a mental disorder is judged to be a direct physiological consequence of the general medical condition, a Mental Disorder Due to a General Medical Condition should be diagnosed on Axis I and the general medical condition should be recorded on  both Axis I and  Axis III. For example,  when hypothyroidism is a</w:t>
      </w:r>
      <w:r>
        <w:rPr>
          <w:spacing w:val="-15"/>
          <w:w w:val="110"/>
          <w:sz w:val="19"/>
        </w:rPr>
        <w:t xml:space="preserve"> </w:t>
      </w:r>
      <w:r>
        <w:rPr>
          <w:w w:val="110"/>
          <w:sz w:val="19"/>
        </w:rPr>
        <w:t>direct</w:t>
      </w:r>
      <w:r>
        <w:rPr>
          <w:spacing w:val="-14"/>
          <w:w w:val="110"/>
          <w:sz w:val="19"/>
        </w:rPr>
        <w:t xml:space="preserve"> </w:t>
      </w:r>
      <w:r>
        <w:rPr>
          <w:w w:val="110"/>
          <w:sz w:val="19"/>
        </w:rPr>
        <w:t>cause</w:t>
      </w:r>
      <w:r>
        <w:rPr>
          <w:spacing w:val="-13"/>
          <w:w w:val="110"/>
          <w:sz w:val="19"/>
        </w:rPr>
        <w:t xml:space="preserve"> </w:t>
      </w:r>
      <w:r>
        <w:rPr>
          <w:w w:val="110"/>
          <w:sz w:val="19"/>
        </w:rPr>
        <w:t>of</w:t>
      </w:r>
      <w:r>
        <w:rPr>
          <w:spacing w:val="-7"/>
          <w:w w:val="110"/>
          <w:sz w:val="19"/>
        </w:rPr>
        <w:t xml:space="preserve"> </w:t>
      </w:r>
      <w:r>
        <w:rPr>
          <w:w w:val="110"/>
          <w:sz w:val="19"/>
        </w:rPr>
        <w:t>depressive</w:t>
      </w:r>
      <w:r>
        <w:rPr>
          <w:spacing w:val="-8"/>
          <w:w w:val="110"/>
          <w:sz w:val="19"/>
        </w:rPr>
        <w:t xml:space="preserve"> </w:t>
      </w:r>
      <w:r>
        <w:rPr>
          <w:w w:val="110"/>
          <w:sz w:val="19"/>
        </w:rPr>
        <w:t>symptoms,</w:t>
      </w:r>
      <w:r>
        <w:rPr>
          <w:spacing w:val="-4"/>
          <w:w w:val="110"/>
          <w:sz w:val="19"/>
        </w:rPr>
        <w:t xml:space="preserve"> </w:t>
      </w:r>
      <w:r>
        <w:rPr>
          <w:w w:val="110"/>
          <w:sz w:val="19"/>
        </w:rPr>
        <w:t>the</w:t>
      </w:r>
      <w:r>
        <w:rPr>
          <w:spacing w:val="-7"/>
          <w:w w:val="110"/>
          <w:sz w:val="19"/>
        </w:rPr>
        <w:t xml:space="preserve"> </w:t>
      </w:r>
      <w:r>
        <w:rPr>
          <w:w w:val="110"/>
          <w:sz w:val="19"/>
        </w:rPr>
        <w:t>designation</w:t>
      </w:r>
      <w:r>
        <w:rPr>
          <w:spacing w:val="-2"/>
          <w:w w:val="110"/>
          <w:sz w:val="19"/>
        </w:rPr>
        <w:t xml:space="preserve"> </w:t>
      </w:r>
      <w:r>
        <w:rPr>
          <w:w w:val="110"/>
          <w:sz w:val="19"/>
        </w:rPr>
        <w:t>on</w:t>
      </w:r>
      <w:r>
        <w:rPr>
          <w:spacing w:val="-3"/>
          <w:w w:val="110"/>
          <w:sz w:val="19"/>
        </w:rPr>
        <w:t xml:space="preserve"> </w:t>
      </w:r>
      <w:r>
        <w:rPr>
          <w:w w:val="110"/>
          <w:sz w:val="19"/>
        </w:rPr>
        <w:t>Axis</w:t>
      </w:r>
      <w:r>
        <w:rPr>
          <w:spacing w:val="-17"/>
          <w:w w:val="110"/>
          <w:sz w:val="19"/>
        </w:rPr>
        <w:t xml:space="preserve"> </w:t>
      </w:r>
      <w:r>
        <w:rPr>
          <w:w w:val="110"/>
          <w:sz w:val="19"/>
        </w:rPr>
        <w:t>I</w:t>
      </w:r>
      <w:r>
        <w:rPr>
          <w:spacing w:val="-14"/>
          <w:w w:val="110"/>
          <w:sz w:val="19"/>
        </w:rPr>
        <w:t xml:space="preserve"> </w:t>
      </w:r>
      <w:r>
        <w:rPr>
          <w:w w:val="110"/>
          <w:sz w:val="19"/>
        </w:rPr>
        <w:t>is</w:t>
      </w:r>
      <w:r>
        <w:rPr>
          <w:spacing w:val="-12"/>
          <w:w w:val="110"/>
          <w:sz w:val="19"/>
        </w:rPr>
        <w:t xml:space="preserve"> </w:t>
      </w:r>
      <w:r>
        <w:rPr>
          <w:w w:val="110"/>
          <w:sz w:val="19"/>
        </w:rPr>
        <w:t>293.83</w:t>
      </w:r>
      <w:r>
        <w:rPr>
          <w:spacing w:val="-23"/>
          <w:w w:val="110"/>
          <w:sz w:val="19"/>
        </w:rPr>
        <w:t xml:space="preserve"> </w:t>
      </w:r>
      <w:r>
        <w:rPr>
          <w:w w:val="110"/>
          <w:sz w:val="19"/>
        </w:rPr>
        <w:t>Mood</w:t>
      </w:r>
      <w:r>
        <w:rPr>
          <w:spacing w:val="-1"/>
          <w:w w:val="110"/>
          <w:sz w:val="19"/>
        </w:rPr>
        <w:t xml:space="preserve"> </w:t>
      </w:r>
      <w:r>
        <w:rPr>
          <w:w w:val="110"/>
          <w:sz w:val="19"/>
        </w:rPr>
        <w:t>Disorder Due to Hypothyroidism, With Depressive Features, and the hypothyroidism is</w:t>
      </w:r>
      <w:r>
        <w:rPr>
          <w:spacing w:val="13"/>
          <w:w w:val="110"/>
          <w:sz w:val="19"/>
        </w:rPr>
        <w:t xml:space="preserve"> </w:t>
      </w:r>
      <w:r>
        <w:rPr>
          <w:w w:val="110"/>
          <w:sz w:val="19"/>
        </w:rPr>
        <w:t>listed</w:t>
      </w:r>
    </w:p>
    <w:p w:rsidR="00E675F0" w:rsidRDefault="00E675F0" w:rsidP="00E675F0">
      <w:pPr>
        <w:spacing w:line="268" w:lineRule="auto"/>
        <w:jc w:val="both"/>
        <w:rPr>
          <w:sz w:val="19"/>
        </w:rPr>
        <w:sectPr w:rsidR="00E675F0">
          <w:type w:val="continuous"/>
          <w:pgSz w:w="8960" w:h="14260"/>
          <w:pgMar w:top="640" w:right="620" w:bottom="0" w:left="620" w:header="720" w:footer="720" w:gutter="0"/>
          <w:cols w:space="720"/>
        </w:sectPr>
      </w:pPr>
    </w:p>
    <w:p w:rsidR="00E675F0" w:rsidRDefault="00E675F0" w:rsidP="00E675F0">
      <w:pPr>
        <w:spacing w:before="139" w:line="273" w:lineRule="auto"/>
        <w:ind w:left="120" w:right="123" w:firstLine="7"/>
        <w:jc w:val="both"/>
        <w:rPr>
          <w:sz w:val="19"/>
        </w:rPr>
      </w:pPr>
      <w:r>
        <w:rPr>
          <w:w w:val="115"/>
          <w:sz w:val="19"/>
        </w:rPr>
        <w:lastRenderedPageBreak/>
        <w:t>again and coded on Axis III as 244.9 (see Example 3, p. 33). For a further discussion, seep. 165.</w:t>
      </w:r>
    </w:p>
    <w:p w:rsidR="00E675F0" w:rsidRDefault="00E675F0" w:rsidP="00E675F0">
      <w:pPr>
        <w:spacing w:line="268" w:lineRule="auto"/>
        <w:ind w:left="126" w:right="114" w:firstLine="363"/>
        <w:jc w:val="both"/>
        <w:rPr>
          <w:sz w:val="19"/>
        </w:rPr>
      </w:pPr>
      <w:r>
        <w:rPr>
          <w:w w:val="110"/>
          <w:sz w:val="19"/>
        </w:rPr>
        <w:t>In those instances in which the etiological relationship between the general medical condition and the mental symptoms is insufficiently clear to warrant an Axis I diagnosis of Mental Disorder Due to a General Medical Condition, the appropriate mental disorder (e.g., Major Depressive Disorder) should be listed and coded on Axis I; the general medical condition should only be coded on Axis III.</w:t>
      </w:r>
    </w:p>
    <w:p w:rsidR="00E675F0" w:rsidRDefault="00E675F0" w:rsidP="00E675F0">
      <w:pPr>
        <w:spacing w:line="268" w:lineRule="auto"/>
        <w:ind w:left="123" w:right="113" w:firstLine="361"/>
        <w:jc w:val="both"/>
        <w:rPr>
          <w:sz w:val="19"/>
        </w:rPr>
      </w:pPr>
      <w:r>
        <w:rPr>
          <w:w w:val="110"/>
          <w:sz w:val="19"/>
        </w:rPr>
        <w:t xml:space="preserve">There are other situations in which general medical conditions are recorded on Axis III because of their importance to the overall understanding or treatment of the individual with the mental disorder. An Axis I disorder may be a psychological reaction to an Axis Ill general medical condition (e.g., the development of 309.0 Adjustment Disorder With Depressed Mood as a reaction to the diagnosis of carcinoma of the breast). Some general medical conditions may not he directly related to the mental disorder but nonetheless have important  prognostic or treatment  implications  (e.g., when the diagnosis on  Axis I is 296.2 Major Depressive Disorder and on Axis </w:t>
      </w:r>
      <w:r>
        <w:rPr>
          <w:w w:val="110"/>
          <w:sz w:val="18"/>
        </w:rPr>
        <w:t xml:space="preserve">Ill </w:t>
      </w:r>
      <w:r>
        <w:rPr>
          <w:w w:val="110"/>
          <w:sz w:val="19"/>
        </w:rPr>
        <w:t>is 427.9 arrhythmia, the choice of pharmacotherapy is influenced by the general medical condition; or when a person with diabetes mellitus is admitted to the hospital for an exacerbation of Schizophrenia and insulin management must be</w:t>
      </w:r>
      <w:r>
        <w:rPr>
          <w:spacing w:val="-12"/>
          <w:w w:val="110"/>
          <w:sz w:val="19"/>
        </w:rPr>
        <w:t xml:space="preserve"> </w:t>
      </w:r>
      <w:r>
        <w:rPr>
          <w:w w:val="110"/>
          <w:sz w:val="19"/>
        </w:rPr>
        <w:t>monitored).</w:t>
      </w:r>
    </w:p>
    <w:p w:rsidR="00E675F0" w:rsidRDefault="00E675F0" w:rsidP="00E675F0">
      <w:pPr>
        <w:spacing w:line="268" w:lineRule="auto"/>
        <w:ind w:left="115" w:right="109" w:firstLine="367"/>
        <w:jc w:val="both"/>
        <w:rPr>
          <w:sz w:val="19"/>
        </w:rPr>
      </w:pPr>
      <w:r>
        <w:rPr>
          <w:w w:val="110"/>
          <w:sz w:val="19"/>
        </w:rPr>
        <w:t xml:space="preserve">When an individual has more than one clinically relevant Axis III diagnosis, all should be reported. For examples, see p. 33. </w:t>
      </w:r>
      <w:r>
        <w:rPr>
          <w:rFonts w:ascii="Arial"/>
          <w:w w:val="110"/>
          <w:sz w:val="19"/>
        </w:rPr>
        <w:t xml:space="preserve">If </w:t>
      </w:r>
      <w:r>
        <w:rPr>
          <w:w w:val="110"/>
          <w:sz w:val="19"/>
        </w:rPr>
        <w:t xml:space="preserve">no Axis III disorder is present, this should be indicated by the notation "Axis </w:t>
      </w:r>
      <w:r>
        <w:rPr>
          <w:w w:val="110"/>
          <w:sz w:val="18"/>
        </w:rPr>
        <w:t xml:space="preserve">Ill: </w:t>
      </w:r>
      <w:r>
        <w:rPr>
          <w:w w:val="110"/>
          <w:sz w:val="19"/>
        </w:rPr>
        <w:t xml:space="preserve">None." </w:t>
      </w:r>
      <w:r>
        <w:rPr>
          <w:rFonts w:ascii="Arial"/>
          <w:w w:val="110"/>
          <w:sz w:val="19"/>
        </w:rPr>
        <w:t xml:space="preserve">If </w:t>
      </w:r>
      <w:r>
        <w:rPr>
          <w:w w:val="110"/>
          <w:sz w:val="19"/>
        </w:rPr>
        <w:t>an Axis III diagnosis is deferred, pending the gathering of additional information, this should be indicated by the notation "Axis III: Deferred."</w:t>
      </w:r>
    </w:p>
    <w:p w:rsidR="00E675F0" w:rsidRDefault="00E675F0" w:rsidP="00E675F0">
      <w:pPr>
        <w:pStyle w:val="BodyText"/>
      </w:pPr>
    </w:p>
    <w:p w:rsidR="00E675F0" w:rsidRDefault="00E675F0" w:rsidP="00E675F0">
      <w:pPr>
        <w:pStyle w:val="BodyText"/>
      </w:pPr>
    </w:p>
    <w:p w:rsidR="00E675F0" w:rsidRDefault="00E675F0" w:rsidP="00E675F0">
      <w:pPr>
        <w:pStyle w:val="BodyText"/>
      </w:pPr>
    </w:p>
    <w:p w:rsidR="00E675F0" w:rsidRDefault="00E675F0" w:rsidP="00E675F0">
      <w:pPr>
        <w:pStyle w:val="BodyText"/>
        <w:spacing w:before="3"/>
      </w:pPr>
    </w:p>
    <w:p w:rsidR="00E675F0" w:rsidRDefault="00E675F0" w:rsidP="003048D3">
      <w:pPr>
        <w:pStyle w:val="ListParagraph"/>
        <w:numPr>
          <w:ilvl w:val="0"/>
          <w:numId w:val="118"/>
        </w:numPr>
        <w:tabs>
          <w:tab w:val="left" w:pos="3485"/>
          <w:tab w:val="left" w:pos="3486"/>
          <w:tab w:val="left" w:pos="4545"/>
        </w:tabs>
        <w:spacing w:line="302" w:lineRule="exact"/>
        <w:ind w:left="3485" w:hanging="452"/>
        <w:rPr>
          <w:rFonts w:ascii="Arial" w:hAnsi="Arial"/>
          <w:sz w:val="27"/>
        </w:rPr>
      </w:pPr>
      <w:r>
        <w:rPr>
          <w:noProof/>
        </w:rPr>
        <mc:AlternateContent>
          <mc:Choice Requires="wps">
            <w:drawing>
              <wp:anchor distT="0" distB="0" distL="114300" distR="114300" simplePos="0" relativeHeight="251747328" behindDoc="1" locked="0" layoutInCell="1" allowOverlap="1" wp14:anchorId="5D045059" wp14:editId="098B41E6">
                <wp:simplePos x="0" y="0"/>
                <wp:positionH relativeFrom="page">
                  <wp:posOffset>450850</wp:posOffset>
                </wp:positionH>
                <wp:positionV relativeFrom="paragraph">
                  <wp:posOffset>-180975</wp:posOffset>
                </wp:positionV>
                <wp:extent cx="4765675" cy="3418840"/>
                <wp:effectExtent l="0" t="0" r="0" b="0"/>
                <wp:wrapNone/>
                <wp:docPr id="1677" name="AutoShape 16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5675" cy="3418840"/>
                        </a:xfrm>
                        <a:custGeom>
                          <a:avLst/>
                          <a:gdLst>
                            <a:gd name="T0" fmla="+- 0 725 710"/>
                            <a:gd name="T1" fmla="*/ T0 w 7505"/>
                            <a:gd name="T2" fmla="+- 0 5079 -285"/>
                            <a:gd name="T3" fmla="*/ 5079 h 5384"/>
                            <a:gd name="T4" fmla="+- 0 725 710"/>
                            <a:gd name="T5" fmla="*/ T4 w 7505"/>
                            <a:gd name="T6" fmla="+- 0 -266 -285"/>
                            <a:gd name="T7" fmla="*/ -266 h 5384"/>
                            <a:gd name="T8" fmla="+- 0 8196 710"/>
                            <a:gd name="T9" fmla="*/ T8 w 7505"/>
                            <a:gd name="T10" fmla="+- 0 5098 -285"/>
                            <a:gd name="T11" fmla="*/ 5098 h 5384"/>
                            <a:gd name="T12" fmla="+- 0 8196 710"/>
                            <a:gd name="T13" fmla="*/ T12 w 7505"/>
                            <a:gd name="T14" fmla="+- 0 -285 -285"/>
                            <a:gd name="T15" fmla="*/ -285 h 5384"/>
                            <a:gd name="T16" fmla="+- 0 710 710"/>
                            <a:gd name="T17" fmla="*/ T16 w 7505"/>
                            <a:gd name="T18" fmla="+- 0 -266 -285"/>
                            <a:gd name="T19" fmla="*/ -266 h 5384"/>
                            <a:gd name="T20" fmla="+- 0 8215 710"/>
                            <a:gd name="T21" fmla="*/ T20 w 7505"/>
                            <a:gd name="T22" fmla="+- 0 -266 -285"/>
                            <a:gd name="T23" fmla="*/ -266 h 5384"/>
                            <a:gd name="T24" fmla="+- 0 710 710"/>
                            <a:gd name="T25" fmla="*/ T24 w 7505"/>
                            <a:gd name="T26" fmla="+- 0 5070 -285"/>
                            <a:gd name="T27" fmla="*/ 5070 h 5384"/>
                            <a:gd name="T28" fmla="+- 0 8215 710"/>
                            <a:gd name="T29" fmla="*/ T28 w 7505"/>
                            <a:gd name="T30" fmla="+- 0 5070 -285"/>
                            <a:gd name="T31" fmla="*/ 5070 h 53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505" h="5384">
                              <a:moveTo>
                                <a:pt x="15" y="5364"/>
                              </a:moveTo>
                              <a:lnTo>
                                <a:pt x="15" y="19"/>
                              </a:lnTo>
                              <a:moveTo>
                                <a:pt x="7486" y="5383"/>
                              </a:moveTo>
                              <a:lnTo>
                                <a:pt x="7486" y="0"/>
                              </a:lnTo>
                              <a:moveTo>
                                <a:pt x="0" y="19"/>
                              </a:moveTo>
                              <a:lnTo>
                                <a:pt x="7505" y="19"/>
                              </a:lnTo>
                              <a:moveTo>
                                <a:pt x="0" y="5355"/>
                              </a:moveTo>
                              <a:lnTo>
                                <a:pt x="7505" y="5355"/>
                              </a:lnTo>
                            </a:path>
                          </a:pathLst>
                        </a:custGeom>
                        <a:noFill/>
                        <a:ln w="6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A30003" id="AutoShape 1633" o:spid="_x0000_s1026" style="position:absolute;margin-left:35.5pt;margin-top:-14.25pt;width:375.25pt;height:269.2pt;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05,53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" path="m15,5364l15,19m7486,5383l7486,m,19r7505,m,5355r7505,e" filled="f" strokeweight=".16964mm">
                <v:path arrowok="t" o:connecttype="custom" o:connectlocs="9525,3225165;9525,-168910;4753610,3237230;4753610,-180975;0,-168910;4765675,-168910;0,3219450;4765675,3219450" o:connectangles="0,0,0,0,0,0,0,0"/>
                <w10:wrap anchorx="page"/>
              </v:shape>
            </w:pict>
          </mc:Fallback>
        </mc:AlternateContent>
      </w:r>
      <w:r>
        <w:rPr>
          <w:w w:val="110"/>
          <w:sz w:val="21"/>
        </w:rPr>
        <w:t>Axis</w:t>
      </w:r>
      <w:r>
        <w:rPr>
          <w:spacing w:val="42"/>
          <w:w w:val="110"/>
          <w:sz w:val="21"/>
        </w:rPr>
        <w:t xml:space="preserve"> </w:t>
      </w:r>
      <w:r>
        <w:rPr>
          <w:w w:val="110"/>
          <w:sz w:val="20"/>
        </w:rPr>
        <w:t>III</w:t>
      </w:r>
      <w:r>
        <w:rPr>
          <w:w w:val="110"/>
          <w:sz w:val="20"/>
        </w:rPr>
        <w:tab/>
      </w:r>
      <w:r>
        <w:rPr>
          <w:rFonts w:ascii="Arial" w:hAnsi="Arial"/>
          <w:w w:val="110"/>
          <w:sz w:val="27"/>
        </w:rPr>
        <w:t>■</w:t>
      </w:r>
    </w:p>
    <w:p w:rsidR="00E675F0" w:rsidRDefault="00E675F0" w:rsidP="00E675F0">
      <w:pPr>
        <w:spacing w:line="233" w:lineRule="exact"/>
        <w:ind w:left="135" w:right="119"/>
        <w:jc w:val="center"/>
        <w:rPr>
          <w:b/>
          <w:sz w:val="21"/>
        </w:rPr>
      </w:pPr>
      <w:r>
        <w:rPr>
          <w:b/>
          <w:w w:val="115"/>
          <w:sz w:val="21"/>
        </w:rPr>
        <w:t>General Medical Conditions (with ICD-9-CM codes)</w:t>
      </w:r>
    </w:p>
    <w:p w:rsidR="00E675F0" w:rsidRDefault="00E675F0" w:rsidP="00E675F0">
      <w:pPr>
        <w:spacing w:before="143" w:line="264" w:lineRule="auto"/>
        <w:ind w:left="372" w:right="3657" w:hanging="8"/>
        <w:jc w:val="both"/>
        <w:rPr>
          <w:sz w:val="19"/>
        </w:rPr>
      </w:pPr>
      <w:r>
        <w:rPr>
          <w:w w:val="110"/>
          <w:sz w:val="19"/>
        </w:rPr>
        <w:t>Infectious and Parasitic Diseases (001-139) Neoplasms (140-239)</w:t>
      </w:r>
    </w:p>
    <w:p w:rsidR="00E675F0" w:rsidRDefault="00E675F0" w:rsidP="00E675F0">
      <w:pPr>
        <w:spacing w:line="259" w:lineRule="auto"/>
        <w:ind w:left="756" w:right="1172" w:hanging="391"/>
        <w:jc w:val="both"/>
        <w:rPr>
          <w:sz w:val="19"/>
        </w:rPr>
      </w:pPr>
      <w:r>
        <w:rPr>
          <w:w w:val="110"/>
          <w:sz w:val="19"/>
        </w:rPr>
        <w:t>Endocrine, Nutritional, and Metabolic Diseases and Immunity Disorders (240-279)</w:t>
      </w:r>
    </w:p>
    <w:p w:rsidR="00E675F0" w:rsidRDefault="00E675F0" w:rsidP="00E675F0">
      <w:pPr>
        <w:spacing w:before="4" w:line="268" w:lineRule="auto"/>
        <w:ind w:left="366" w:right="2089"/>
        <w:jc w:val="both"/>
        <w:rPr>
          <w:sz w:val="19"/>
        </w:rPr>
      </w:pPr>
      <w:r>
        <w:rPr>
          <w:w w:val="110"/>
          <w:sz w:val="19"/>
        </w:rPr>
        <w:t>Diseases of the Blood and Blood-Forming Organs (280-289) Diseases of the Nervous System and Sense Organs (320-389) Diseases of the Circulatory System (390-459)</w:t>
      </w:r>
    </w:p>
    <w:p w:rsidR="00E675F0" w:rsidRDefault="00E675F0" w:rsidP="00E675F0">
      <w:pPr>
        <w:spacing w:before="1" w:line="268" w:lineRule="auto"/>
        <w:ind w:left="366" w:right="3250"/>
        <w:rPr>
          <w:sz w:val="19"/>
        </w:rPr>
      </w:pPr>
      <w:r>
        <w:rPr>
          <w:w w:val="110"/>
          <w:sz w:val="19"/>
        </w:rPr>
        <w:t>Diseases of the Respiratory System (460-519) Diseases of the Digestive System (520-579) Diseases of the Genitourinary System (580-629)</w:t>
      </w:r>
    </w:p>
    <w:p w:rsidR="00E675F0" w:rsidRDefault="00E675F0" w:rsidP="00E675F0">
      <w:pPr>
        <w:spacing w:before="2" w:line="268" w:lineRule="auto"/>
        <w:ind w:left="366" w:right="689" w:hanging="4"/>
        <w:rPr>
          <w:sz w:val="19"/>
        </w:rPr>
      </w:pPr>
      <w:r>
        <w:rPr>
          <w:w w:val="110"/>
          <w:sz w:val="19"/>
        </w:rPr>
        <w:t>Complications of Pregnancy, Childbirth, and the Puerperium (630-676) Diseases of the Skin and Subcutaneous Tissue (680-709)</w:t>
      </w:r>
    </w:p>
    <w:p w:rsidR="00E675F0" w:rsidRDefault="00E675F0" w:rsidP="00E675F0">
      <w:pPr>
        <w:spacing w:line="264" w:lineRule="auto"/>
        <w:ind w:left="362" w:right="689" w:firstLine="3"/>
        <w:rPr>
          <w:sz w:val="19"/>
        </w:rPr>
      </w:pPr>
      <w:r>
        <w:rPr>
          <w:w w:val="110"/>
          <w:sz w:val="19"/>
        </w:rPr>
        <w:t>Diseases of the Musculoskeletal System and Connective Tissue (710-739) Congenital Anomalies (740-759)</w:t>
      </w:r>
    </w:p>
    <w:p w:rsidR="00E675F0" w:rsidRDefault="00E675F0" w:rsidP="00E675F0">
      <w:pPr>
        <w:spacing w:line="268" w:lineRule="auto"/>
        <w:ind w:left="358" w:right="1392" w:firstLine="4"/>
        <w:rPr>
          <w:sz w:val="19"/>
        </w:rPr>
      </w:pPr>
      <w:r>
        <w:rPr>
          <w:w w:val="110"/>
          <w:sz w:val="19"/>
        </w:rPr>
        <w:t>Certain Conditions Originating in the Perinatal Period (760-779) Symptoms, Signs, and Ill-Defined Conditions (780-799)</w:t>
      </w:r>
    </w:p>
    <w:p w:rsidR="00E675F0" w:rsidRDefault="00E675F0" w:rsidP="00E675F0">
      <w:pPr>
        <w:spacing w:before="1"/>
        <w:ind w:left="365"/>
        <w:rPr>
          <w:sz w:val="19"/>
        </w:rPr>
      </w:pPr>
      <w:r>
        <w:rPr>
          <w:w w:val="110"/>
          <w:sz w:val="19"/>
        </w:rPr>
        <w:t>Injury and Poisoning (800-999)</w:t>
      </w:r>
    </w:p>
    <w:p w:rsidR="00E675F0" w:rsidRDefault="00E675F0" w:rsidP="00E675F0">
      <w:pPr>
        <w:rPr>
          <w:sz w:val="19"/>
        </w:rPr>
        <w:sectPr w:rsidR="00E675F0">
          <w:pgSz w:w="8960" w:h="14260"/>
          <w:pgMar w:top="1400" w:right="640" w:bottom="280" w:left="600" w:header="718" w:footer="0" w:gutter="0"/>
          <w:cols w:space="720"/>
        </w:sectPr>
      </w:pPr>
    </w:p>
    <w:p w:rsidR="00E675F0" w:rsidRDefault="00E675F0" w:rsidP="00E675F0">
      <w:pPr>
        <w:spacing w:before="127"/>
        <w:ind w:left="110"/>
        <w:jc w:val="both"/>
        <w:rPr>
          <w:rFonts w:ascii="TimesNewRomanPS-BoldItalicMT"/>
          <w:b/>
          <w:i/>
          <w:sz w:val="24"/>
        </w:rPr>
      </w:pPr>
      <w:r>
        <w:rPr>
          <w:rFonts w:ascii="TimesNewRomanPS-BoldItalicMT"/>
          <w:b/>
          <w:i/>
          <w:w w:val="110"/>
          <w:sz w:val="24"/>
        </w:rPr>
        <w:lastRenderedPageBreak/>
        <w:t>Axis IV: Psychosocial and Environmental Problems</w:t>
      </w:r>
    </w:p>
    <w:p w:rsidR="00E675F0" w:rsidRDefault="00E675F0" w:rsidP="00E675F0">
      <w:pPr>
        <w:pStyle w:val="BodyText"/>
        <w:spacing w:before="1"/>
        <w:rPr>
          <w:rFonts w:ascii="TimesNewRomanPS-BoldItalicMT"/>
          <w:b/>
          <w:i/>
          <w:sz w:val="36"/>
        </w:rPr>
      </w:pPr>
    </w:p>
    <w:p w:rsidR="00E675F0" w:rsidRDefault="00E675F0" w:rsidP="00E675F0">
      <w:pPr>
        <w:pStyle w:val="BodyText"/>
        <w:spacing w:line="254" w:lineRule="auto"/>
        <w:ind w:left="123" w:right="110"/>
        <w:jc w:val="both"/>
      </w:pPr>
      <w:r>
        <w:rPr>
          <w:w w:val="110"/>
        </w:rPr>
        <w:t>Axis</w:t>
      </w:r>
      <w:r>
        <w:rPr>
          <w:spacing w:val="-10"/>
          <w:w w:val="110"/>
        </w:rPr>
        <w:t xml:space="preserve"> </w:t>
      </w:r>
      <w:r>
        <w:rPr>
          <w:w w:val="110"/>
        </w:rPr>
        <w:t>IV</w:t>
      </w:r>
      <w:r>
        <w:rPr>
          <w:spacing w:val="-12"/>
          <w:w w:val="110"/>
        </w:rPr>
        <w:t xml:space="preserve"> </w:t>
      </w:r>
      <w:r>
        <w:rPr>
          <w:w w:val="110"/>
        </w:rPr>
        <w:t>is</w:t>
      </w:r>
      <w:r>
        <w:rPr>
          <w:spacing w:val="-15"/>
          <w:w w:val="110"/>
        </w:rPr>
        <w:t xml:space="preserve"> </w:t>
      </w:r>
      <w:r>
        <w:rPr>
          <w:w w:val="110"/>
        </w:rPr>
        <w:t>for</w:t>
      </w:r>
      <w:r>
        <w:rPr>
          <w:spacing w:val="-8"/>
          <w:w w:val="110"/>
        </w:rPr>
        <w:t xml:space="preserve"> </w:t>
      </w:r>
      <w:r>
        <w:rPr>
          <w:w w:val="110"/>
        </w:rPr>
        <w:t>reporting</w:t>
      </w:r>
      <w:r>
        <w:rPr>
          <w:spacing w:val="-3"/>
          <w:w w:val="110"/>
        </w:rPr>
        <w:t xml:space="preserve"> </w:t>
      </w:r>
      <w:r>
        <w:rPr>
          <w:w w:val="110"/>
        </w:rPr>
        <w:t>psychosocial</w:t>
      </w:r>
      <w:r>
        <w:rPr>
          <w:spacing w:val="1"/>
          <w:w w:val="110"/>
        </w:rPr>
        <w:t xml:space="preserve"> </w:t>
      </w:r>
      <w:r>
        <w:rPr>
          <w:w w:val="110"/>
        </w:rPr>
        <w:t>and</w:t>
      </w:r>
      <w:r>
        <w:rPr>
          <w:spacing w:val="-9"/>
          <w:w w:val="110"/>
        </w:rPr>
        <w:t xml:space="preserve"> </w:t>
      </w:r>
      <w:r>
        <w:rPr>
          <w:w w:val="110"/>
        </w:rPr>
        <w:t>environmental</w:t>
      </w:r>
      <w:r>
        <w:rPr>
          <w:spacing w:val="5"/>
          <w:w w:val="110"/>
        </w:rPr>
        <w:t xml:space="preserve"> </w:t>
      </w:r>
      <w:r>
        <w:rPr>
          <w:w w:val="110"/>
        </w:rPr>
        <w:t>problems</w:t>
      </w:r>
      <w:r>
        <w:rPr>
          <w:spacing w:val="-5"/>
          <w:w w:val="110"/>
        </w:rPr>
        <w:t xml:space="preserve"> </w:t>
      </w:r>
      <w:r>
        <w:rPr>
          <w:w w:val="110"/>
        </w:rPr>
        <w:t>that</w:t>
      </w:r>
      <w:r>
        <w:rPr>
          <w:spacing w:val="-7"/>
          <w:w w:val="110"/>
        </w:rPr>
        <w:t xml:space="preserve"> </w:t>
      </w:r>
      <w:r>
        <w:rPr>
          <w:w w:val="110"/>
        </w:rPr>
        <w:t>may</w:t>
      </w:r>
      <w:r>
        <w:rPr>
          <w:spacing w:val="-11"/>
          <w:w w:val="110"/>
        </w:rPr>
        <w:t xml:space="preserve"> </w:t>
      </w:r>
      <w:r>
        <w:rPr>
          <w:w w:val="110"/>
        </w:rPr>
        <w:t>affect</w:t>
      </w:r>
      <w:r>
        <w:rPr>
          <w:spacing w:val="-3"/>
          <w:w w:val="110"/>
        </w:rPr>
        <w:t xml:space="preserve"> </w:t>
      </w:r>
      <w:r>
        <w:rPr>
          <w:w w:val="110"/>
        </w:rPr>
        <w:t>the diagnosis,</w:t>
      </w:r>
      <w:r>
        <w:rPr>
          <w:spacing w:val="-9"/>
          <w:w w:val="110"/>
        </w:rPr>
        <w:t xml:space="preserve"> </w:t>
      </w:r>
      <w:r>
        <w:rPr>
          <w:w w:val="110"/>
        </w:rPr>
        <w:t>treatment,</w:t>
      </w:r>
      <w:r>
        <w:rPr>
          <w:spacing w:val="-10"/>
          <w:w w:val="110"/>
        </w:rPr>
        <w:t xml:space="preserve"> </w:t>
      </w:r>
      <w:r>
        <w:rPr>
          <w:w w:val="110"/>
        </w:rPr>
        <w:t>and</w:t>
      </w:r>
      <w:r>
        <w:rPr>
          <w:spacing w:val="-12"/>
          <w:w w:val="110"/>
        </w:rPr>
        <w:t xml:space="preserve"> </w:t>
      </w:r>
      <w:r>
        <w:rPr>
          <w:w w:val="110"/>
        </w:rPr>
        <w:t>prognosis</w:t>
      </w:r>
      <w:r>
        <w:rPr>
          <w:spacing w:val="-18"/>
          <w:w w:val="110"/>
        </w:rPr>
        <w:t xml:space="preserve"> </w:t>
      </w:r>
      <w:r>
        <w:rPr>
          <w:w w:val="110"/>
        </w:rPr>
        <w:t>of</w:t>
      </w:r>
      <w:r>
        <w:rPr>
          <w:spacing w:val="-12"/>
          <w:w w:val="110"/>
        </w:rPr>
        <w:t xml:space="preserve"> </w:t>
      </w:r>
      <w:r>
        <w:rPr>
          <w:w w:val="110"/>
        </w:rPr>
        <w:t>mental</w:t>
      </w:r>
      <w:r>
        <w:rPr>
          <w:spacing w:val="-16"/>
          <w:w w:val="110"/>
        </w:rPr>
        <w:t xml:space="preserve"> </w:t>
      </w:r>
      <w:r>
        <w:rPr>
          <w:w w:val="110"/>
        </w:rPr>
        <w:t>disorders</w:t>
      </w:r>
      <w:r>
        <w:rPr>
          <w:spacing w:val="-14"/>
          <w:w w:val="110"/>
        </w:rPr>
        <w:t xml:space="preserve"> </w:t>
      </w:r>
      <w:r>
        <w:rPr>
          <w:w w:val="110"/>
        </w:rPr>
        <w:t>(Axes</w:t>
      </w:r>
      <w:r>
        <w:rPr>
          <w:spacing w:val="-19"/>
          <w:w w:val="110"/>
        </w:rPr>
        <w:t xml:space="preserve"> </w:t>
      </w:r>
      <w:r>
        <w:rPr>
          <w:w w:val="110"/>
        </w:rPr>
        <w:t>I</w:t>
      </w:r>
      <w:r>
        <w:rPr>
          <w:spacing w:val="-20"/>
          <w:w w:val="110"/>
        </w:rPr>
        <w:t xml:space="preserve"> </w:t>
      </w:r>
      <w:r>
        <w:rPr>
          <w:w w:val="110"/>
        </w:rPr>
        <w:t>and</w:t>
      </w:r>
      <w:r>
        <w:rPr>
          <w:spacing w:val="-15"/>
          <w:w w:val="110"/>
        </w:rPr>
        <w:t xml:space="preserve"> </w:t>
      </w:r>
      <w:r>
        <w:rPr>
          <w:w w:val="110"/>
          <w:sz w:val="17"/>
        </w:rPr>
        <w:t>II).</w:t>
      </w:r>
      <w:r>
        <w:rPr>
          <w:spacing w:val="-13"/>
          <w:w w:val="110"/>
          <w:sz w:val="17"/>
        </w:rPr>
        <w:t xml:space="preserve"> </w:t>
      </w:r>
      <w:r>
        <w:rPr>
          <w:w w:val="110"/>
        </w:rPr>
        <w:t>A</w:t>
      </w:r>
      <w:r>
        <w:rPr>
          <w:spacing w:val="-16"/>
          <w:w w:val="110"/>
        </w:rPr>
        <w:t xml:space="preserve"> </w:t>
      </w:r>
      <w:r>
        <w:rPr>
          <w:w w:val="110"/>
        </w:rPr>
        <w:t>psychosocial or</w:t>
      </w:r>
      <w:r>
        <w:rPr>
          <w:spacing w:val="-10"/>
          <w:w w:val="110"/>
        </w:rPr>
        <w:t xml:space="preserve"> </w:t>
      </w:r>
      <w:r>
        <w:rPr>
          <w:w w:val="110"/>
        </w:rPr>
        <w:t>environmental problem</w:t>
      </w:r>
      <w:r>
        <w:rPr>
          <w:spacing w:val="-7"/>
          <w:w w:val="110"/>
        </w:rPr>
        <w:t xml:space="preserve"> </w:t>
      </w:r>
      <w:r>
        <w:rPr>
          <w:w w:val="110"/>
        </w:rPr>
        <w:t>may</w:t>
      </w:r>
      <w:r>
        <w:rPr>
          <w:spacing w:val="-12"/>
          <w:w w:val="110"/>
        </w:rPr>
        <w:t xml:space="preserve"> </w:t>
      </w:r>
      <w:r>
        <w:rPr>
          <w:w w:val="110"/>
        </w:rPr>
        <w:t>be</w:t>
      </w:r>
      <w:r>
        <w:rPr>
          <w:spacing w:val="-18"/>
          <w:w w:val="110"/>
        </w:rPr>
        <w:t xml:space="preserve"> </w:t>
      </w:r>
      <w:r>
        <w:rPr>
          <w:w w:val="110"/>
        </w:rPr>
        <w:t>a</w:t>
      </w:r>
      <w:r>
        <w:rPr>
          <w:spacing w:val="-13"/>
          <w:w w:val="110"/>
        </w:rPr>
        <w:t xml:space="preserve"> </w:t>
      </w:r>
      <w:r>
        <w:rPr>
          <w:w w:val="110"/>
        </w:rPr>
        <w:t>negative</w:t>
      </w:r>
      <w:r>
        <w:rPr>
          <w:spacing w:val="-10"/>
          <w:w w:val="110"/>
        </w:rPr>
        <w:t xml:space="preserve"> </w:t>
      </w:r>
      <w:r>
        <w:rPr>
          <w:w w:val="110"/>
        </w:rPr>
        <w:t>life</w:t>
      </w:r>
      <w:r>
        <w:rPr>
          <w:spacing w:val="-17"/>
          <w:w w:val="110"/>
        </w:rPr>
        <w:t xml:space="preserve"> </w:t>
      </w:r>
      <w:r>
        <w:rPr>
          <w:w w:val="110"/>
        </w:rPr>
        <w:t>event,</w:t>
      </w:r>
      <w:r>
        <w:rPr>
          <w:spacing w:val="-8"/>
          <w:w w:val="110"/>
        </w:rPr>
        <w:t xml:space="preserve"> </w:t>
      </w:r>
      <w:r>
        <w:rPr>
          <w:w w:val="110"/>
        </w:rPr>
        <w:t>an</w:t>
      </w:r>
      <w:r>
        <w:rPr>
          <w:spacing w:val="-16"/>
          <w:w w:val="110"/>
        </w:rPr>
        <w:t xml:space="preserve"> </w:t>
      </w:r>
      <w:r>
        <w:rPr>
          <w:w w:val="110"/>
        </w:rPr>
        <w:t>environmental</w:t>
      </w:r>
      <w:r>
        <w:rPr>
          <w:spacing w:val="-4"/>
          <w:w w:val="110"/>
        </w:rPr>
        <w:t xml:space="preserve"> </w:t>
      </w:r>
      <w:r>
        <w:rPr>
          <w:w w:val="110"/>
        </w:rPr>
        <w:t>difficulty</w:t>
      </w:r>
      <w:r>
        <w:rPr>
          <w:spacing w:val="-10"/>
          <w:w w:val="110"/>
        </w:rPr>
        <w:t xml:space="preserve"> </w:t>
      </w:r>
      <w:r>
        <w:rPr>
          <w:w w:val="110"/>
        </w:rPr>
        <w:t>or deficiency, a familial or other interpersonal stress, an inadequacy of social</w:t>
      </w:r>
      <w:r>
        <w:rPr>
          <w:spacing w:val="-40"/>
          <w:w w:val="110"/>
        </w:rPr>
        <w:t xml:space="preserve"> </w:t>
      </w:r>
      <w:r>
        <w:rPr>
          <w:w w:val="110"/>
        </w:rPr>
        <w:t>support or personal resources, or other problem relating to the context in which a person's difficulties</w:t>
      </w:r>
      <w:r>
        <w:rPr>
          <w:spacing w:val="-13"/>
          <w:w w:val="110"/>
        </w:rPr>
        <w:t xml:space="preserve"> </w:t>
      </w:r>
      <w:r>
        <w:rPr>
          <w:w w:val="110"/>
        </w:rPr>
        <w:t>have</w:t>
      </w:r>
      <w:r>
        <w:rPr>
          <w:spacing w:val="-23"/>
          <w:w w:val="110"/>
        </w:rPr>
        <w:t xml:space="preserve"> </w:t>
      </w:r>
      <w:r>
        <w:rPr>
          <w:w w:val="110"/>
        </w:rPr>
        <w:t>developed.</w:t>
      </w:r>
      <w:r>
        <w:rPr>
          <w:spacing w:val="-23"/>
          <w:w w:val="110"/>
        </w:rPr>
        <w:t xml:space="preserve"> </w:t>
      </w:r>
      <w:r>
        <w:rPr>
          <w:w w:val="110"/>
        </w:rPr>
        <w:t>So-called</w:t>
      </w:r>
      <w:r>
        <w:rPr>
          <w:spacing w:val="-14"/>
          <w:w w:val="110"/>
        </w:rPr>
        <w:t xml:space="preserve"> </w:t>
      </w:r>
      <w:r>
        <w:rPr>
          <w:w w:val="110"/>
        </w:rPr>
        <w:t>positive</w:t>
      </w:r>
      <w:r>
        <w:rPr>
          <w:spacing w:val="-20"/>
          <w:w w:val="110"/>
        </w:rPr>
        <w:t xml:space="preserve"> </w:t>
      </w:r>
      <w:r>
        <w:rPr>
          <w:w w:val="110"/>
        </w:rPr>
        <w:t>stressors,</w:t>
      </w:r>
      <w:r>
        <w:rPr>
          <w:spacing w:val="-20"/>
          <w:w w:val="110"/>
        </w:rPr>
        <w:t xml:space="preserve"> </w:t>
      </w:r>
      <w:r>
        <w:rPr>
          <w:w w:val="110"/>
        </w:rPr>
        <w:t>such</w:t>
      </w:r>
      <w:r>
        <w:rPr>
          <w:spacing w:val="-20"/>
          <w:w w:val="110"/>
        </w:rPr>
        <w:t xml:space="preserve"> </w:t>
      </w:r>
      <w:r>
        <w:rPr>
          <w:w w:val="110"/>
        </w:rPr>
        <w:t>as</w:t>
      </w:r>
      <w:r>
        <w:rPr>
          <w:spacing w:val="-14"/>
          <w:w w:val="110"/>
        </w:rPr>
        <w:t xml:space="preserve"> </w:t>
      </w:r>
      <w:r>
        <w:rPr>
          <w:w w:val="110"/>
        </w:rPr>
        <w:t>job</w:t>
      </w:r>
      <w:r>
        <w:rPr>
          <w:spacing w:val="-20"/>
          <w:w w:val="110"/>
        </w:rPr>
        <w:t xml:space="preserve"> </w:t>
      </w:r>
      <w:r>
        <w:rPr>
          <w:w w:val="110"/>
        </w:rPr>
        <w:t>promotion,</w:t>
      </w:r>
      <w:r>
        <w:rPr>
          <w:spacing w:val="-18"/>
          <w:w w:val="110"/>
        </w:rPr>
        <w:t xml:space="preserve"> </w:t>
      </w:r>
      <w:r>
        <w:rPr>
          <w:w w:val="110"/>
        </w:rPr>
        <w:t>should be listed only if they constitute or lead to a problem, as when a person has difficulty adapting to the new situation. In addition to playing a role in the initiation or exacerbation of a mental disorder, psychosocial problems may also develop as a consequence</w:t>
      </w:r>
      <w:r>
        <w:rPr>
          <w:spacing w:val="-9"/>
          <w:w w:val="110"/>
        </w:rPr>
        <w:t xml:space="preserve"> </w:t>
      </w:r>
      <w:r>
        <w:rPr>
          <w:w w:val="110"/>
        </w:rPr>
        <w:t>of</w:t>
      </w:r>
      <w:r>
        <w:rPr>
          <w:spacing w:val="-11"/>
          <w:w w:val="110"/>
        </w:rPr>
        <w:t xml:space="preserve"> </w:t>
      </w:r>
      <w:r>
        <w:rPr>
          <w:w w:val="110"/>
        </w:rPr>
        <w:t>a</w:t>
      </w:r>
      <w:r>
        <w:rPr>
          <w:spacing w:val="-12"/>
          <w:w w:val="110"/>
        </w:rPr>
        <w:t xml:space="preserve"> </w:t>
      </w:r>
      <w:r>
        <w:rPr>
          <w:w w:val="110"/>
        </w:rPr>
        <w:t>person's</w:t>
      </w:r>
      <w:r>
        <w:rPr>
          <w:spacing w:val="-13"/>
          <w:w w:val="110"/>
        </w:rPr>
        <w:t xml:space="preserve"> </w:t>
      </w:r>
      <w:r>
        <w:rPr>
          <w:w w:val="110"/>
        </w:rPr>
        <w:t>psychopathology</w:t>
      </w:r>
      <w:r>
        <w:rPr>
          <w:spacing w:val="-21"/>
          <w:w w:val="110"/>
        </w:rPr>
        <w:t xml:space="preserve"> </w:t>
      </w:r>
      <w:r>
        <w:rPr>
          <w:w w:val="110"/>
        </w:rPr>
        <w:t>or</w:t>
      </w:r>
      <w:r>
        <w:rPr>
          <w:spacing w:val="-15"/>
          <w:w w:val="110"/>
        </w:rPr>
        <w:t xml:space="preserve"> </w:t>
      </w:r>
      <w:r>
        <w:rPr>
          <w:w w:val="110"/>
        </w:rPr>
        <w:t>may</w:t>
      </w:r>
      <w:r>
        <w:rPr>
          <w:spacing w:val="-16"/>
          <w:w w:val="110"/>
        </w:rPr>
        <w:t xml:space="preserve"> </w:t>
      </w:r>
      <w:r>
        <w:rPr>
          <w:w w:val="110"/>
        </w:rPr>
        <w:t>constitute</w:t>
      </w:r>
      <w:r>
        <w:rPr>
          <w:spacing w:val="-7"/>
          <w:w w:val="110"/>
        </w:rPr>
        <w:t xml:space="preserve"> </w:t>
      </w:r>
      <w:r>
        <w:rPr>
          <w:w w:val="110"/>
        </w:rPr>
        <w:t>problems</w:t>
      </w:r>
      <w:r>
        <w:rPr>
          <w:spacing w:val="-8"/>
          <w:w w:val="110"/>
        </w:rPr>
        <w:t xml:space="preserve"> </w:t>
      </w:r>
      <w:r>
        <w:rPr>
          <w:w w:val="110"/>
        </w:rPr>
        <w:t>that</w:t>
      </w:r>
      <w:r>
        <w:rPr>
          <w:spacing w:val="-19"/>
          <w:w w:val="110"/>
        </w:rPr>
        <w:t xml:space="preserve"> </w:t>
      </w:r>
      <w:r>
        <w:rPr>
          <w:w w:val="110"/>
        </w:rPr>
        <w:t>should</w:t>
      </w:r>
      <w:r>
        <w:rPr>
          <w:spacing w:val="-5"/>
          <w:w w:val="110"/>
        </w:rPr>
        <w:t xml:space="preserve"> </w:t>
      </w:r>
      <w:r>
        <w:rPr>
          <w:w w:val="110"/>
        </w:rPr>
        <w:t>be considered in the overall management</w:t>
      </w:r>
      <w:r>
        <w:rPr>
          <w:spacing w:val="28"/>
          <w:w w:val="110"/>
        </w:rPr>
        <w:t xml:space="preserve"> </w:t>
      </w:r>
      <w:r>
        <w:rPr>
          <w:w w:val="110"/>
        </w:rPr>
        <w:t>plan.</w:t>
      </w:r>
    </w:p>
    <w:p w:rsidR="00E675F0" w:rsidRDefault="00E675F0" w:rsidP="00E675F0">
      <w:pPr>
        <w:pStyle w:val="BodyText"/>
        <w:spacing w:before="1" w:line="256" w:lineRule="auto"/>
        <w:ind w:left="128" w:right="120" w:firstLine="365"/>
        <w:jc w:val="both"/>
      </w:pPr>
      <w:r>
        <w:rPr>
          <w:w w:val="105"/>
        </w:rPr>
        <w:t>When an individual has multiple psychosocial or environmental problems, the clinician may note as many as are judged to be relevant. In general, the clinician should note only those psychosocial and environmental problems that have been present during the year preceding the current evaluation. However, the clinician may choose to note psychosocial and environmental problems occurring prior to the previous year if these clearly contribute to the mental disorder or have become a focus of treatment-for example, previous combat experiences leading to Posttraumatic Stress Disorder.</w:t>
      </w:r>
    </w:p>
    <w:p w:rsidR="00E675F0" w:rsidRDefault="00E675F0" w:rsidP="00E675F0">
      <w:pPr>
        <w:pStyle w:val="BodyText"/>
        <w:spacing w:line="254" w:lineRule="auto"/>
        <w:ind w:left="125" w:right="125" w:firstLine="365"/>
        <w:jc w:val="both"/>
      </w:pPr>
      <w:r>
        <w:rPr>
          <w:w w:val="105"/>
        </w:rPr>
        <w:t>In practice, most psychosocial and environmental problems will be indicated on Axis IV. However, when a psychosocial or environmental problem is the primary focus of clinical attention, it should also be recorded on Axis I, with a code derived from the section on Other Conditions That May Be a Focus of Clinical Attention (see p. 675).</w:t>
      </w:r>
    </w:p>
    <w:p w:rsidR="00E675F0" w:rsidRDefault="00E675F0" w:rsidP="00E675F0">
      <w:pPr>
        <w:pStyle w:val="BodyText"/>
        <w:ind w:left="493"/>
        <w:jc w:val="both"/>
      </w:pPr>
      <w:r>
        <w:rPr>
          <w:w w:val="105"/>
        </w:rPr>
        <w:t>For convenience, the problems are grouped together in the following categories:</w:t>
      </w:r>
    </w:p>
    <w:p w:rsidR="00E675F0" w:rsidRDefault="00E675F0" w:rsidP="00E675F0">
      <w:pPr>
        <w:pStyle w:val="BodyText"/>
        <w:spacing w:before="10"/>
        <w:rPr>
          <w:sz w:val="25"/>
        </w:rPr>
      </w:pPr>
    </w:p>
    <w:p w:rsidR="00E675F0" w:rsidRDefault="00E675F0" w:rsidP="003048D3">
      <w:pPr>
        <w:pStyle w:val="ListParagraph"/>
        <w:numPr>
          <w:ilvl w:val="0"/>
          <w:numId w:val="117"/>
        </w:numPr>
        <w:tabs>
          <w:tab w:val="left" w:pos="733"/>
        </w:tabs>
        <w:spacing w:line="252" w:lineRule="auto"/>
        <w:ind w:right="129" w:hanging="221"/>
        <w:jc w:val="both"/>
        <w:rPr>
          <w:sz w:val="20"/>
        </w:rPr>
      </w:pPr>
      <w:r>
        <w:rPr>
          <w:b/>
          <w:w w:val="105"/>
          <w:sz w:val="20"/>
        </w:rPr>
        <w:t xml:space="preserve">Problems with primary support group-e.g., </w:t>
      </w:r>
      <w:r>
        <w:rPr>
          <w:w w:val="105"/>
          <w:sz w:val="20"/>
        </w:rPr>
        <w:t>death of  a  family  member; health problems in family; disruption of family by separation, divorce, or estrangement; removal from the home; remarriage of parent; sexual or physical abuse; parental overprotection; neglect of child; inadequate discipline; discord with siblings; birth of a</w:t>
      </w:r>
      <w:r>
        <w:rPr>
          <w:spacing w:val="-33"/>
          <w:w w:val="105"/>
          <w:sz w:val="20"/>
        </w:rPr>
        <w:t xml:space="preserve"> </w:t>
      </w:r>
      <w:r>
        <w:rPr>
          <w:w w:val="105"/>
          <w:sz w:val="20"/>
        </w:rPr>
        <w:t>sibling</w:t>
      </w:r>
    </w:p>
    <w:p w:rsidR="00E675F0" w:rsidRDefault="00E675F0" w:rsidP="003048D3">
      <w:pPr>
        <w:pStyle w:val="ListParagraph"/>
        <w:numPr>
          <w:ilvl w:val="0"/>
          <w:numId w:val="117"/>
        </w:numPr>
        <w:tabs>
          <w:tab w:val="left" w:pos="733"/>
        </w:tabs>
        <w:spacing w:line="247" w:lineRule="auto"/>
        <w:ind w:left="735" w:right="122" w:hanging="226"/>
        <w:jc w:val="both"/>
        <w:rPr>
          <w:sz w:val="20"/>
        </w:rPr>
      </w:pPr>
      <w:r>
        <w:rPr>
          <w:b/>
          <w:w w:val="105"/>
          <w:sz w:val="20"/>
        </w:rPr>
        <w:t xml:space="preserve">Problems related to the social environment-e.g., </w:t>
      </w:r>
      <w:r>
        <w:rPr>
          <w:w w:val="105"/>
          <w:sz w:val="20"/>
        </w:rPr>
        <w:t>death or loss of friend; inadequate social support; living alone; difficulty with acculturation; discrimina­ tion; adjustment to life-cycle transition (such as</w:t>
      </w:r>
      <w:r>
        <w:rPr>
          <w:spacing w:val="1"/>
          <w:w w:val="105"/>
          <w:sz w:val="20"/>
        </w:rPr>
        <w:t xml:space="preserve"> </w:t>
      </w:r>
      <w:r>
        <w:rPr>
          <w:w w:val="105"/>
          <w:sz w:val="20"/>
        </w:rPr>
        <w:t>retirement)</w:t>
      </w:r>
    </w:p>
    <w:p w:rsidR="00E675F0" w:rsidRDefault="00E675F0" w:rsidP="003048D3">
      <w:pPr>
        <w:pStyle w:val="ListParagraph"/>
        <w:numPr>
          <w:ilvl w:val="0"/>
          <w:numId w:val="117"/>
        </w:numPr>
        <w:tabs>
          <w:tab w:val="left" w:pos="729"/>
        </w:tabs>
        <w:spacing w:line="252" w:lineRule="auto"/>
        <w:ind w:right="121" w:hanging="225"/>
        <w:jc w:val="both"/>
        <w:rPr>
          <w:sz w:val="20"/>
        </w:rPr>
      </w:pPr>
      <w:r>
        <w:rPr>
          <w:b/>
          <w:w w:val="105"/>
          <w:sz w:val="20"/>
        </w:rPr>
        <w:t xml:space="preserve">Educational problems-e.g., </w:t>
      </w:r>
      <w:r>
        <w:rPr>
          <w:w w:val="105"/>
          <w:sz w:val="20"/>
        </w:rPr>
        <w:t>illiteracy; academic problems; discord with teach­ ers or classmates; inadequate school</w:t>
      </w:r>
      <w:r>
        <w:rPr>
          <w:spacing w:val="6"/>
          <w:w w:val="105"/>
          <w:sz w:val="20"/>
        </w:rPr>
        <w:t xml:space="preserve"> </w:t>
      </w:r>
      <w:r>
        <w:rPr>
          <w:w w:val="105"/>
          <w:sz w:val="20"/>
        </w:rPr>
        <w:t>environment</w:t>
      </w:r>
    </w:p>
    <w:p w:rsidR="00E675F0" w:rsidRDefault="00E675F0" w:rsidP="003048D3">
      <w:pPr>
        <w:pStyle w:val="ListParagraph"/>
        <w:numPr>
          <w:ilvl w:val="0"/>
          <w:numId w:val="117"/>
        </w:numPr>
        <w:tabs>
          <w:tab w:val="left" w:pos="730"/>
        </w:tabs>
        <w:spacing w:line="256" w:lineRule="auto"/>
        <w:ind w:left="727" w:right="120" w:hanging="218"/>
        <w:jc w:val="both"/>
        <w:rPr>
          <w:sz w:val="20"/>
        </w:rPr>
      </w:pPr>
      <w:r>
        <w:rPr>
          <w:b/>
          <w:w w:val="105"/>
          <w:sz w:val="20"/>
        </w:rPr>
        <w:t xml:space="preserve">Occupational problems-e.g., </w:t>
      </w:r>
      <w:r>
        <w:rPr>
          <w:w w:val="105"/>
          <w:sz w:val="20"/>
        </w:rPr>
        <w:t>unemployment; threat of job loss; stressful work schedule; difficult work conditions; job dissatisfaction; job change; discord with boss or</w:t>
      </w:r>
      <w:r>
        <w:rPr>
          <w:spacing w:val="8"/>
          <w:w w:val="105"/>
          <w:sz w:val="20"/>
        </w:rPr>
        <w:t xml:space="preserve"> </w:t>
      </w:r>
      <w:r>
        <w:rPr>
          <w:w w:val="105"/>
          <w:sz w:val="20"/>
        </w:rPr>
        <w:t>co-workers</w:t>
      </w:r>
    </w:p>
    <w:p w:rsidR="00E675F0" w:rsidRDefault="00E675F0" w:rsidP="003048D3">
      <w:pPr>
        <w:pStyle w:val="ListParagraph"/>
        <w:numPr>
          <w:ilvl w:val="0"/>
          <w:numId w:val="117"/>
        </w:numPr>
        <w:tabs>
          <w:tab w:val="left" w:pos="729"/>
        </w:tabs>
        <w:spacing w:line="261" w:lineRule="auto"/>
        <w:ind w:left="740" w:right="120" w:hanging="236"/>
        <w:jc w:val="both"/>
        <w:rPr>
          <w:sz w:val="20"/>
        </w:rPr>
      </w:pPr>
      <w:r>
        <w:rPr>
          <w:b/>
          <w:w w:val="105"/>
          <w:sz w:val="20"/>
        </w:rPr>
        <w:t xml:space="preserve">Housingproblems-e.g., </w:t>
      </w:r>
      <w:r>
        <w:rPr>
          <w:w w:val="105"/>
          <w:sz w:val="20"/>
        </w:rPr>
        <w:t>homelessness; inadequate housing; unsafe neighbor­ hood; discord with neighbors or</w:t>
      </w:r>
      <w:r>
        <w:rPr>
          <w:spacing w:val="24"/>
          <w:w w:val="105"/>
          <w:sz w:val="20"/>
        </w:rPr>
        <w:t xml:space="preserve"> </w:t>
      </w:r>
      <w:r>
        <w:rPr>
          <w:w w:val="105"/>
          <w:sz w:val="20"/>
        </w:rPr>
        <w:t>landlord</w:t>
      </w:r>
    </w:p>
    <w:p w:rsidR="00E675F0" w:rsidRDefault="00E675F0" w:rsidP="003048D3">
      <w:pPr>
        <w:pStyle w:val="ListParagraph"/>
        <w:numPr>
          <w:ilvl w:val="0"/>
          <w:numId w:val="117"/>
        </w:numPr>
        <w:tabs>
          <w:tab w:val="left" w:pos="729"/>
        </w:tabs>
        <w:spacing w:line="261" w:lineRule="auto"/>
        <w:ind w:left="731" w:right="132" w:hanging="227"/>
        <w:jc w:val="both"/>
        <w:rPr>
          <w:sz w:val="20"/>
        </w:rPr>
      </w:pPr>
      <w:r>
        <w:rPr>
          <w:b/>
          <w:w w:val="110"/>
          <w:sz w:val="20"/>
        </w:rPr>
        <w:t xml:space="preserve">Economic problems-e.g., </w:t>
      </w:r>
      <w:r>
        <w:rPr>
          <w:w w:val="110"/>
          <w:sz w:val="20"/>
        </w:rPr>
        <w:t>extreme poverty; inadequate finances; insufficient welfare</w:t>
      </w:r>
      <w:r>
        <w:rPr>
          <w:spacing w:val="8"/>
          <w:w w:val="110"/>
          <w:sz w:val="20"/>
        </w:rPr>
        <w:t xml:space="preserve"> </w:t>
      </w:r>
      <w:r>
        <w:rPr>
          <w:w w:val="110"/>
          <w:sz w:val="20"/>
        </w:rPr>
        <w:t>support</w:t>
      </w:r>
    </w:p>
    <w:p w:rsidR="00E675F0" w:rsidRDefault="00E675F0" w:rsidP="003048D3">
      <w:pPr>
        <w:pStyle w:val="ListParagraph"/>
        <w:numPr>
          <w:ilvl w:val="0"/>
          <w:numId w:val="117"/>
        </w:numPr>
        <w:tabs>
          <w:tab w:val="left" w:pos="728"/>
        </w:tabs>
        <w:spacing w:line="254" w:lineRule="auto"/>
        <w:ind w:left="727" w:right="116"/>
        <w:jc w:val="both"/>
        <w:rPr>
          <w:sz w:val="20"/>
        </w:rPr>
      </w:pPr>
      <w:r>
        <w:rPr>
          <w:b/>
          <w:w w:val="110"/>
          <w:sz w:val="20"/>
        </w:rPr>
        <w:t xml:space="preserve">Problems with access to health care services-e.g., </w:t>
      </w:r>
      <w:r>
        <w:rPr>
          <w:w w:val="110"/>
          <w:sz w:val="20"/>
        </w:rPr>
        <w:t>inadequate health care services; transportation to health care facilities unavailable; inadequate health insurance</w:t>
      </w:r>
    </w:p>
    <w:p w:rsidR="00E675F0" w:rsidRDefault="00E675F0" w:rsidP="003048D3">
      <w:pPr>
        <w:pStyle w:val="ListParagraph"/>
        <w:numPr>
          <w:ilvl w:val="0"/>
          <w:numId w:val="117"/>
        </w:numPr>
        <w:tabs>
          <w:tab w:val="left" w:pos="728"/>
        </w:tabs>
        <w:spacing w:line="256" w:lineRule="auto"/>
        <w:ind w:left="735" w:right="124" w:hanging="232"/>
        <w:jc w:val="both"/>
        <w:rPr>
          <w:sz w:val="20"/>
        </w:rPr>
      </w:pPr>
      <w:r>
        <w:rPr>
          <w:b/>
          <w:w w:val="110"/>
          <w:sz w:val="20"/>
        </w:rPr>
        <w:t xml:space="preserve">Problems related to interaction with the legal system/crime-e.g., </w:t>
      </w:r>
      <w:r>
        <w:rPr>
          <w:w w:val="110"/>
          <w:sz w:val="20"/>
        </w:rPr>
        <w:t>arrest; incarceration; litigation; victim of</w:t>
      </w:r>
      <w:r>
        <w:rPr>
          <w:spacing w:val="24"/>
          <w:w w:val="110"/>
          <w:sz w:val="20"/>
        </w:rPr>
        <w:t xml:space="preserve"> </w:t>
      </w:r>
      <w:r>
        <w:rPr>
          <w:w w:val="110"/>
          <w:sz w:val="20"/>
        </w:rPr>
        <w:t>crime</w:t>
      </w:r>
    </w:p>
    <w:p w:rsidR="00E675F0" w:rsidRDefault="00E675F0" w:rsidP="00E675F0">
      <w:pPr>
        <w:spacing w:line="256" w:lineRule="auto"/>
        <w:jc w:val="both"/>
        <w:rPr>
          <w:sz w:val="20"/>
        </w:rPr>
        <w:sectPr w:rsidR="00E675F0">
          <w:pgSz w:w="8960" w:h="14260"/>
          <w:pgMar w:top="1400" w:right="620" w:bottom="280" w:left="620" w:header="679" w:footer="0" w:gutter="0"/>
          <w:cols w:space="720"/>
        </w:sectPr>
      </w:pPr>
    </w:p>
    <w:p w:rsidR="00E675F0" w:rsidRDefault="00E675F0" w:rsidP="003048D3">
      <w:pPr>
        <w:pStyle w:val="ListParagraph"/>
        <w:numPr>
          <w:ilvl w:val="0"/>
          <w:numId w:val="117"/>
        </w:numPr>
        <w:tabs>
          <w:tab w:val="left" w:pos="726"/>
        </w:tabs>
        <w:spacing w:before="127" w:line="266" w:lineRule="auto"/>
        <w:ind w:left="724" w:right="129" w:hanging="219"/>
        <w:jc w:val="both"/>
        <w:rPr>
          <w:sz w:val="19"/>
        </w:rPr>
      </w:pPr>
      <w:r>
        <w:rPr>
          <w:b/>
          <w:w w:val="110"/>
          <w:sz w:val="20"/>
        </w:rPr>
        <w:lastRenderedPageBreak/>
        <w:t xml:space="preserve">Other psychosocial and environmental problems-e.g., </w:t>
      </w:r>
      <w:r>
        <w:rPr>
          <w:w w:val="110"/>
          <w:sz w:val="19"/>
        </w:rPr>
        <w:t>exposure to disas­ ters, war, other hostilities; discord with nonfamily caregivers such as counselor, social worker, or physician; unavailability of social service</w:t>
      </w:r>
      <w:r>
        <w:rPr>
          <w:spacing w:val="-9"/>
          <w:w w:val="110"/>
          <w:sz w:val="19"/>
        </w:rPr>
        <w:t xml:space="preserve"> </w:t>
      </w:r>
      <w:r>
        <w:rPr>
          <w:w w:val="110"/>
          <w:sz w:val="19"/>
        </w:rPr>
        <w:t>agencies</w:t>
      </w:r>
    </w:p>
    <w:p w:rsidR="00E675F0" w:rsidRDefault="00E675F0" w:rsidP="00E675F0">
      <w:pPr>
        <w:pStyle w:val="BodyText"/>
      </w:pPr>
    </w:p>
    <w:p w:rsidR="00E675F0" w:rsidRDefault="00E675F0" w:rsidP="00E675F0">
      <w:pPr>
        <w:pStyle w:val="BodyText"/>
        <w:spacing w:before="2"/>
        <w:rPr>
          <w:sz w:val="22"/>
        </w:rPr>
      </w:pPr>
    </w:p>
    <w:p w:rsidR="00E675F0" w:rsidRDefault="00E675F0" w:rsidP="00E675F0">
      <w:pPr>
        <w:spacing w:line="266" w:lineRule="auto"/>
        <w:ind w:left="125" w:right="134" w:firstLine="360"/>
        <w:jc w:val="both"/>
        <w:rPr>
          <w:sz w:val="19"/>
        </w:rPr>
      </w:pPr>
      <w:r>
        <w:rPr>
          <w:w w:val="110"/>
          <w:sz w:val="19"/>
        </w:rPr>
        <w:t xml:space="preserve">When using the Multiaxial Evaluation Report Form (see p. 34), the clinician should identify the relevant categories of psychosocial and environmental problems and indicate the specific factors involved. </w:t>
      </w:r>
      <w:r>
        <w:rPr>
          <w:w w:val="110"/>
          <w:sz w:val="20"/>
        </w:rPr>
        <w:t xml:space="preserve">If </w:t>
      </w:r>
      <w:r>
        <w:rPr>
          <w:w w:val="110"/>
          <w:sz w:val="19"/>
        </w:rPr>
        <w:t>a recording form with a checklist of problem categories is</w:t>
      </w:r>
      <w:r>
        <w:rPr>
          <w:spacing w:val="-13"/>
          <w:w w:val="110"/>
          <w:sz w:val="19"/>
        </w:rPr>
        <w:t xml:space="preserve"> </w:t>
      </w:r>
      <w:r>
        <w:rPr>
          <w:w w:val="110"/>
          <w:sz w:val="19"/>
        </w:rPr>
        <w:t>not</w:t>
      </w:r>
      <w:r>
        <w:rPr>
          <w:spacing w:val="9"/>
          <w:w w:val="110"/>
          <w:sz w:val="19"/>
        </w:rPr>
        <w:t xml:space="preserve"> </w:t>
      </w:r>
      <w:r>
        <w:rPr>
          <w:w w:val="110"/>
          <w:sz w:val="19"/>
        </w:rPr>
        <w:t>used,</w:t>
      </w:r>
      <w:r>
        <w:rPr>
          <w:spacing w:val="-2"/>
          <w:w w:val="110"/>
          <w:sz w:val="19"/>
        </w:rPr>
        <w:t xml:space="preserve"> </w:t>
      </w:r>
      <w:r>
        <w:rPr>
          <w:w w:val="110"/>
          <w:sz w:val="19"/>
        </w:rPr>
        <w:t>the</w:t>
      </w:r>
      <w:r>
        <w:rPr>
          <w:spacing w:val="-4"/>
          <w:w w:val="110"/>
          <w:sz w:val="19"/>
        </w:rPr>
        <w:t xml:space="preserve"> </w:t>
      </w:r>
      <w:r>
        <w:rPr>
          <w:w w:val="110"/>
          <w:sz w:val="19"/>
        </w:rPr>
        <w:t>clinician</w:t>
      </w:r>
      <w:r>
        <w:rPr>
          <w:spacing w:val="3"/>
          <w:w w:val="110"/>
          <w:sz w:val="19"/>
        </w:rPr>
        <w:t xml:space="preserve"> </w:t>
      </w:r>
      <w:r>
        <w:rPr>
          <w:w w:val="110"/>
          <w:sz w:val="19"/>
        </w:rPr>
        <w:t>may</w:t>
      </w:r>
      <w:r>
        <w:rPr>
          <w:spacing w:val="-15"/>
          <w:w w:val="110"/>
          <w:sz w:val="19"/>
        </w:rPr>
        <w:t xml:space="preserve"> </w:t>
      </w:r>
      <w:r>
        <w:rPr>
          <w:w w:val="110"/>
          <w:sz w:val="19"/>
        </w:rPr>
        <w:t>simply</w:t>
      </w:r>
      <w:r>
        <w:rPr>
          <w:spacing w:val="-11"/>
          <w:w w:val="110"/>
          <w:sz w:val="19"/>
        </w:rPr>
        <w:t xml:space="preserve"> </w:t>
      </w:r>
      <w:r>
        <w:rPr>
          <w:w w:val="110"/>
          <w:sz w:val="19"/>
        </w:rPr>
        <w:t>list</w:t>
      </w:r>
      <w:r>
        <w:rPr>
          <w:spacing w:val="-4"/>
          <w:w w:val="110"/>
          <w:sz w:val="19"/>
        </w:rPr>
        <w:t xml:space="preserve"> </w:t>
      </w:r>
      <w:r>
        <w:rPr>
          <w:w w:val="110"/>
          <w:sz w:val="19"/>
        </w:rPr>
        <w:t>the</w:t>
      </w:r>
      <w:r>
        <w:rPr>
          <w:spacing w:val="5"/>
          <w:w w:val="110"/>
          <w:sz w:val="19"/>
        </w:rPr>
        <w:t xml:space="preserve"> </w:t>
      </w:r>
      <w:r>
        <w:rPr>
          <w:w w:val="110"/>
          <w:sz w:val="19"/>
        </w:rPr>
        <w:t>specific</w:t>
      </w:r>
      <w:r>
        <w:rPr>
          <w:spacing w:val="-3"/>
          <w:w w:val="110"/>
          <w:sz w:val="19"/>
        </w:rPr>
        <w:t xml:space="preserve"> </w:t>
      </w:r>
      <w:r>
        <w:rPr>
          <w:w w:val="110"/>
          <w:sz w:val="19"/>
        </w:rPr>
        <w:t>problems</w:t>
      </w:r>
      <w:r>
        <w:rPr>
          <w:spacing w:val="-5"/>
          <w:w w:val="110"/>
          <w:sz w:val="19"/>
        </w:rPr>
        <w:t xml:space="preserve"> </w:t>
      </w:r>
      <w:r>
        <w:rPr>
          <w:w w:val="110"/>
          <w:sz w:val="19"/>
        </w:rPr>
        <w:t>on</w:t>
      </w:r>
      <w:r>
        <w:rPr>
          <w:spacing w:val="-9"/>
          <w:w w:val="110"/>
          <w:sz w:val="19"/>
        </w:rPr>
        <w:t xml:space="preserve"> </w:t>
      </w:r>
      <w:r>
        <w:rPr>
          <w:w w:val="110"/>
          <w:sz w:val="19"/>
        </w:rPr>
        <w:t>Axis</w:t>
      </w:r>
      <w:r>
        <w:rPr>
          <w:spacing w:val="-7"/>
          <w:w w:val="110"/>
          <w:sz w:val="19"/>
        </w:rPr>
        <w:t xml:space="preserve"> </w:t>
      </w:r>
      <w:r>
        <w:rPr>
          <w:w w:val="110"/>
          <w:sz w:val="19"/>
        </w:rPr>
        <w:t>IV.</w:t>
      </w:r>
      <w:r>
        <w:rPr>
          <w:spacing w:val="-4"/>
          <w:w w:val="110"/>
          <w:sz w:val="19"/>
        </w:rPr>
        <w:t xml:space="preserve"> </w:t>
      </w:r>
      <w:r>
        <w:rPr>
          <w:w w:val="110"/>
          <w:sz w:val="19"/>
        </w:rPr>
        <w:t>(See</w:t>
      </w:r>
      <w:r>
        <w:rPr>
          <w:spacing w:val="-13"/>
          <w:w w:val="110"/>
          <w:sz w:val="19"/>
        </w:rPr>
        <w:t xml:space="preserve"> </w:t>
      </w:r>
      <w:r>
        <w:rPr>
          <w:w w:val="110"/>
          <w:sz w:val="19"/>
        </w:rPr>
        <w:t>examples on p.</w:t>
      </w:r>
      <w:r>
        <w:rPr>
          <w:spacing w:val="-13"/>
          <w:w w:val="110"/>
          <w:sz w:val="19"/>
        </w:rPr>
        <w:t xml:space="preserve"> </w:t>
      </w:r>
      <w:r>
        <w:rPr>
          <w:w w:val="110"/>
          <w:sz w:val="19"/>
        </w:rPr>
        <w:t>33.)</w:t>
      </w:r>
    </w:p>
    <w:p w:rsidR="00E675F0" w:rsidRDefault="00E675F0" w:rsidP="00E675F0">
      <w:pPr>
        <w:pStyle w:val="BodyText"/>
      </w:pPr>
    </w:p>
    <w:p w:rsidR="00E675F0" w:rsidRDefault="00E675F0" w:rsidP="00E675F0">
      <w:pPr>
        <w:pStyle w:val="BodyText"/>
        <w:spacing w:before="3"/>
        <w:rPr>
          <w:sz w:val="11"/>
        </w:rPr>
      </w:pPr>
      <w:r>
        <w:rPr>
          <w:noProof/>
        </w:rPr>
        <mc:AlternateContent>
          <mc:Choice Requires="wpg">
            <w:drawing>
              <wp:anchor distT="0" distB="0" distL="0" distR="0" simplePos="0" relativeHeight="251826176" behindDoc="1" locked="0" layoutInCell="1" allowOverlap="1" wp14:anchorId="3E6BC6AF" wp14:editId="47B1EEE8">
                <wp:simplePos x="0" y="0"/>
                <wp:positionH relativeFrom="page">
                  <wp:posOffset>465455</wp:posOffset>
                </wp:positionH>
                <wp:positionV relativeFrom="paragraph">
                  <wp:posOffset>110490</wp:posOffset>
                </wp:positionV>
                <wp:extent cx="4765675" cy="2197735"/>
                <wp:effectExtent l="0" t="0" r="9525" b="0"/>
                <wp:wrapTopAndBottom/>
                <wp:docPr id="1673" name="Group 1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5675" cy="2197735"/>
                          <a:chOff x="733" y="174"/>
                          <a:chExt cx="7505" cy="3461"/>
                        </a:xfrm>
                      </wpg:grpSpPr>
                      <wps:wsp>
                        <wps:cNvPr id="1674" name="AutoShape 1632"/>
                        <wps:cNvSpPr>
                          <a:spLocks/>
                        </wps:cNvSpPr>
                        <wps:spPr bwMode="auto">
                          <a:xfrm>
                            <a:off x="732" y="174"/>
                            <a:ext cx="7505" cy="3461"/>
                          </a:xfrm>
                          <a:custGeom>
                            <a:avLst/>
                            <a:gdLst>
                              <a:gd name="T0" fmla="+- 0 747 733"/>
                              <a:gd name="T1" fmla="*/ T0 w 7505"/>
                              <a:gd name="T2" fmla="+- 0 3635 174"/>
                              <a:gd name="T3" fmla="*/ 3635 h 3461"/>
                              <a:gd name="T4" fmla="+- 0 747 733"/>
                              <a:gd name="T5" fmla="*/ T4 w 7505"/>
                              <a:gd name="T6" fmla="+- 0 174 174"/>
                              <a:gd name="T7" fmla="*/ 174 h 3461"/>
                              <a:gd name="T8" fmla="+- 0 8223 733"/>
                              <a:gd name="T9" fmla="*/ T8 w 7505"/>
                              <a:gd name="T10" fmla="+- 0 3635 174"/>
                              <a:gd name="T11" fmla="*/ 3635 h 3461"/>
                              <a:gd name="T12" fmla="+- 0 8223 733"/>
                              <a:gd name="T13" fmla="*/ T12 w 7505"/>
                              <a:gd name="T14" fmla="+- 0 174 174"/>
                              <a:gd name="T15" fmla="*/ 174 h 3461"/>
                              <a:gd name="T16" fmla="+- 0 733 733"/>
                              <a:gd name="T17" fmla="*/ T16 w 7505"/>
                              <a:gd name="T18" fmla="+- 0 189 174"/>
                              <a:gd name="T19" fmla="*/ 189 h 3461"/>
                              <a:gd name="T20" fmla="+- 0 8238 733"/>
                              <a:gd name="T21" fmla="*/ T20 w 7505"/>
                              <a:gd name="T22" fmla="+- 0 189 174"/>
                              <a:gd name="T23" fmla="*/ 189 h 3461"/>
                            </a:gdLst>
                            <a:ahLst/>
                            <a:cxnLst>
                              <a:cxn ang="0">
                                <a:pos x="T1" y="T3"/>
                              </a:cxn>
                              <a:cxn ang="0">
                                <a:pos x="T5" y="T7"/>
                              </a:cxn>
                              <a:cxn ang="0">
                                <a:pos x="T9" y="T11"/>
                              </a:cxn>
                              <a:cxn ang="0">
                                <a:pos x="T13" y="T15"/>
                              </a:cxn>
                              <a:cxn ang="0">
                                <a:pos x="T17" y="T19"/>
                              </a:cxn>
                              <a:cxn ang="0">
                                <a:pos x="T21" y="T23"/>
                              </a:cxn>
                            </a:cxnLst>
                            <a:rect l="0" t="0" r="r" b="b"/>
                            <a:pathLst>
                              <a:path w="7505" h="3461">
                                <a:moveTo>
                                  <a:pt x="14" y="3461"/>
                                </a:moveTo>
                                <a:lnTo>
                                  <a:pt x="14" y="0"/>
                                </a:lnTo>
                                <a:moveTo>
                                  <a:pt x="7490" y="3461"/>
                                </a:moveTo>
                                <a:lnTo>
                                  <a:pt x="7490" y="0"/>
                                </a:lnTo>
                                <a:moveTo>
                                  <a:pt x="0" y="15"/>
                                </a:moveTo>
                                <a:lnTo>
                                  <a:pt x="7505" y="15"/>
                                </a:lnTo>
                              </a:path>
                            </a:pathLst>
                          </a:custGeom>
                          <a:noFill/>
                          <a:ln w="6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5" name="Line 1631"/>
                        <wps:cNvCnPr>
                          <a:cxnSpLocks/>
                        </wps:cNvCnPr>
                        <wps:spPr bwMode="auto">
                          <a:xfrm>
                            <a:off x="733" y="3611"/>
                            <a:ext cx="7505" cy="0"/>
                          </a:xfrm>
                          <a:prstGeom prst="line">
                            <a:avLst/>
                          </a:prstGeom>
                          <a:noFill/>
                          <a:ln w="305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6" name="Text Box 1630"/>
                        <wps:cNvSpPr txBox="1">
                          <a:spLocks/>
                        </wps:cNvSpPr>
                        <wps:spPr bwMode="auto">
                          <a:xfrm>
                            <a:off x="752" y="193"/>
                            <a:ext cx="7467" cy="3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5F0" w:rsidRDefault="00E675F0" w:rsidP="00E675F0">
                              <w:pPr>
                                <w:spacing w:before="11"/>
                                <w:rPr>
                                  <w:sz w:val="23"/>
                                </w:rPr>
                              </w:pPr>
                            </w:p>
                            <w:p w:rsidR="00E675F0" w:rsidRDefault="00E675F0" w:rsidP="003048D3">
                              <w:pPr>
                                <w:numPr>
                                  <w:ilvl w:val="0"/>
                                  <w:numId w:val="116"/>
                                </w:numPr>
                                <w:tabs>
                                  <w:tab w:val="left" w:pos="3370"/>
                                  <w:tab w:val="left" w:pos="3371"/>
                                  <w:tab w:val="left" w:pos="4406"/>
                                </w:tabs>
                                <w:spacing w:line="302" w:lineRule="exact"/>
                                <w:rPr>
                                  <w:rFonts w:ascii="Arial" w:hAnsi="Arial"/>
                                  <w:sz w:val="27"/>
                                </w:rPr>
                              </w:pPr>
                              <w:r>
                                <w:rPr>
                                  <w:b/>
                                  <w:w w:val="120"/>
                                  <w:sz w:val="21"/>
                                </w:rPr>
                                <w:t>AxisN</w:t>
                              </w:r>
                              <w:r>
                                <w:rPr>
                                  <w:b/>
                                  <w:w w:val="120"/>
                                  <w:sz w:val="21"/>
                                </w:rPr>
                                <w:tab/>
                              </w:r>
                              <w:r>
                                <w:rPr>
                                  <w:rFonts w:ascii="Arial" w:hAnsi="Arial"/>
                                  <w:w w:val="120"/>
                                  <w:sz w:val="27"/>
                                </w:rPr>
                                <w:t>■</w:t>
                              </w:r>
                            </w:p>
                            <w:p w:rsidR="00E675F0" w:rsidRDefault="00E675F0" w:rsidP="00E675F0">
                              <w:pPr>
                                <w:spacing w:line="244" w:lineRule="exact"/>
                                <w:ind w:left="1511" w:right="1499"/>
                                <w:jc w:val="center"/>
                                <w:rPr>
                                  <w:b/>
                                </w:rPr>
                              </w:pPr>
                              <w:r>
                                <w:rPr>
                                  <w:b/>
                                  <w:w w:val="110"/>
                                </w:rPr>
                                <w:t>Psychosocial and Environmental Problems</w:t>
                              </w:r>
                            </w:p>
                            <w:p w:rsidR="00E675F0" w:rsidRDefault="00E675F0" w:rsidP="00E675F0">
                              <w:pPr>
                                <w:spacing w:before="140" w:line="268" w:lineRule="auto"/>
                                <w:ind w:left="236" w:right="3315"/>
                                <w:rPr>
                                  <w:sz w:val="19"/>
                                </w:rPr>
                              </w:pPr>
                              <w:r>
                                <w:rPr>
                                  <w:w w:val="110"/>
                                  <w:sz w:val="19"/>
                                </w:rPr>
                                <w:t>Problems with primary support group Problems related to the social environment Educational problems</w:t>
                              </w:r>
                            </w:p>
                            <w:p w:rsidR="00E675F0" w:rsidRDefault="00E675F0" w:rsidP="00E675F0">
                              <w:pPr>
                                <w:spacing w:line="268" w:lineRule="auto"/>
                                <w:ind w:left="236" w:right="4865" w:hanging="3"/>
                                <w:rPr>
                                  <w:sz w:val="19"/>
                                </w:rPr>
                              </w:pPr>
                              <w:r>
                                <w:rPr>
                                  <w:w w:val="110"/>
                                  <w:sz w:val="19"/>
                                </w:rPr>
                                <w:t>Occupational problems Housing problems Economic problems</w:t>
                              </w:r>
                            </w:p>
                            <w:p w:rsidR="00E675F0" w:rsidRDefault="00E675F0" w:rsidP="00E675F0">
                              <w:pPr>
                                <w:ind w:left="237"/>
                                <w:rPr>
                                  <w:sz w:val="19"/>
                                </w:rPr>
                              </w:pPr>
                              <w:r>
                                <w:rPr>
                                  <w:w w:val="110"/>
                                  <w:sz w:val="19"/>
                                </w:rPr>
                                <w:t>Problems with access to health care services</w:t>
                              </w:r>
                            </w:p>
                            <w:p w:rsidR="00E675F0" w:rsidRDefault="00E675F0" w:rsidP="00E675F0">
                              <w:pPr>
                                <w:spacing w:before="25" w:line="268" w:lineRule="auto"/>
                                <w:ind w:left="233" w:right="1847" w:firstLine="3"/>
                                <w:rPr>
                                  <w:sz w:val="19"/>
                                </w:rPr>
                              </w:pPr>
                              <w:r>
                                <w:rPr>
                                  <w:w w:val="110"/>
                                  <w:sz w:val="19"/>
                                </w:rPr>
                                <w:t>Problems related to interaction with the legal system/crime Other psychosocial and environmental problems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6BC6AF" id="Group 1629" o:spid="_x0000_s1052" style="position:absolute;margin-left:36.65pt;margin-top:8.7pt;width:375.25pt;height:173.05pt;z-index:-251490304;mso-wrap-distance-left:0;mso-wrap-distance-right:0;mso-position-horizontal-relative:page;mso-position-vertical-relative:text" coordorigin="733,174" coordsize="7505,34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">
                <v:shape id="AutoShape 1632" o:spid="_x0000_s1053" style="position:absolute;left:732;top:174;width:7505;height:3461;visibility:visible;mso-wrap-style:square;v-text-anchor:top" coordsize="7505,34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" path="m14,3461l14,m7490,3461l7490,m,15r7505,e" filled="f" strokeweight=".16964mm">
                  <v:path arrowok="t" o:connecttype="custom" o:connectlocs="14,3635;14,174;7490,3635;7490,174;0,189;7505,189" o:connectangles="0,0,0,0,0,0"/>
                </v:shape>
                <v:line id="Line 1631" o:spid="_x0000_s1054" style="position:absolute;visibility:visible;mso-wrap-style:square" from="733,3611" to="8238,36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" strokeweight=".08478mm">
                  <o:lock v:ext="edit" shapetype="f"/>
                </v:line>
                <v:shape id="Text Box 1630" o:spid="_x0000_s1055" type="#_x0000_t202" style="position:absolute;left:752;top:193;width:7467;height:34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" filled="f" stroked="f">
                  <v:path arrowok="t"/>
                  <v:textbox inset="0,0,0,0">
                    <w:txbxContent>
                      <w:p w:rsidR="00E675F0" w:rsidRDefault="00E675F0" w:rsidP="00E675F0">
                        <w:pPr>
                          <w:spacing w:before="11"/>
                          <w:rPr>
                            <w:sz w:val="23"/>
                          </w:rPr>
                        </w:pPr>
                      </w:p>
                      <w:p w:rsidR="00E675F0" w:rsidRDefault="00E675F0" w:rsidP="003048D3">
                        <w:pPr>
                          <w:numPr>
                            <w:ilvl w:val="0"/>
                            <w:numId w:val="116"/>
                          </w:numPr>
                          <w:tabs>
                            <w:tab w:val="left" w:pos="3370"/>
                            <w:tab w:val="left" w:pos="3371"/>
                            <w:tab w:val="left" w:pos="4406"/>
                          </w:tabs>
                          <w:spacing w:line="302" w:lineRule="exact"/>
                          <w:rPr>
                            <w:rFonts w:ascii="Arial" w:hAnsi="Arial"/>
                            <w:sz w:val="27"/>
                          </w:rPr>
                        </w:pPr>
                        <w:r>
                          <w:rPr>
                            <w:b/>
                            <w:w w:val="120"/>
                            <w:sz w:val="21"/>
                          </w:rPr>
                          <w:t>AxisN</w:t>
                        </w:r>
                        <w:r>
                          <w:rPr>
                            <w:b/>
                            <w:w w:val="120"/>
                            <w:sz w:val="21"/>
                          </w:rPr>
                          <w:tab/>
                        </w:r>
                        <w:r>
                          <w:rPr>
                            <w:rFonts w:ascii="Arial" w:hAnsi="Arial"/>
                            <w:w w:val="120"/>
                            <w:sz w:val="27"/>
                          </w:rPr>
                          <w:t>■</w:t>
                        </w:r>
                      </w:p>
                      <w:p w:rsidR="00E675F0" w:rsidRDefault="00E675F0" w:rsidP="00E675F0">
                        <w:pPr>
                          <w:spacing w:line="244" w:lineRule="exact"/>
                          <w:ind w:left="1511" w:right="1499"/>
                          <w:jc w:val="center"/>
                          <w:rPr>
                            <w:b/>
                          </w:rPr>
                        </w:pPr>
                        <w:r>
                          <w:rPr>
                            <w:b/>
                            <w:w w:val="110"/>
                          </w:rPr>
                          <w:t>Psychosocial and Environmental Problems</w:t>
                        </w:r>
                      </w:p>
                      <w:p w:rsidR="00E675F0" w:rsidRDefault="00E675F0" w:rsidP="00E675F0">
                        <w:pPr>
                          <w:spacing w:before="140" w:line="268" w:lineRule="auto"/>
                          <w:ind w:left="236" w:right="3315"/>
                          <w:rPr>
                            <w:sz w:val="19"/>
                          </w:rPr>
                        </w:pPr>
                        <w:r>
                          <w:rPr>
                            <w:w w:val="110"/>
                            <w:sz w:val="19"/>
                          </w:rPr>
                          <w:t>Problems with primary support group Problems related to the social environment Educational problems</w:t>
                        </w:r>
                      </w:p>
                      <w:p w:rsidR="00E675F0" w:rsidRDefault="00E675F0" w:rsidP="00E675F0">
                        <w:pPr>
                          <w:spacing w:line="268" w:lineRule="auto"/>
                          <w:ind w:left="236" w:right="4865" w:hanging="3"/>
                          <w:rPr>
                            <w:sz w:val="19"/>
                          </w:rPr>
                        </w:pPr>
                        <w:r>
                          <w:rPr>
                            <w:w w:val="110"/>
                            <w:sz w:val="19"/>
                          </w:rPr>
                          <w:t>Occupational problems Housing problems Economic problems</w:t>
                        </w:r>
                      </w:p>
                      <w:p w:rsidR="00E675F0" w:rsidRDefault="00E675F0" w:rsidP="00E675F0">
                        <w:pPr>
                          <w:ind w:left="237"/>
                          <w:rPr>
                            <w:sz w:val="19"/>
                          </w:rPr>
                        </w:pPr>
                        <w:r>
                          <w:rPr>
                            <w:w w:val="110"/>
                            <w:sz w:val="19"/>
                          </w:rPr>
                          <w:t>Problems with access to health care services</w:t>
                        </w:r>
                      </w:p>
                      <w:p w:rsidR="00E675F0" w:rsidRDefault="00E675F0" w:rsidP="00E675F0">
                        <w:pPr>
                          <w:spacing w:before="25" w:line="268" w:lineRule="auto"/>
                          <w:ind w:left="233" w:right="1847" w:firstLine="3"/>
                          <w:rPr>
                            <w:sz w:val="19"/>
                          </w:rPr>
                        </w:pPr>
                        <w:r>
                          <w:rPr>
                            <w:w w:val="110"/>
                            <w:sz w:val="19"/>
                          </w:rPr>
                          <w:t>Problems related to interaction with the legal system/crime Other psychosocial and environmental problems</w:t>
                        </w:r>
                      </w:p>
                    </w:txbxContent>
                  </v:textbox>
                </v:shape>
                <w10:wrap type="topAndBottom" anchorx="page"/>
              </v:group>
            </w:pict>
          </mc:Fallback>
        </mc:AlternateContent>
      </w:r>
    </w:p>
    <w:p w:rsidR="00E675F0" w:rsidRDefault="00E675F0" w:rsidP="00E675F0">
      <w:pPr>
        <w:pStyle w:val="BodyText"/>
      </w:pPr>
    </w:p>
    <w:p w:rsidR="00E675F0" w:rsidRDefault="00E675F0" w:rsidP="00E675F0">
      <w:pPr>
        <w:pStyle w:val="BodyText"/>
        <w:spacing w:before="10"/>
        <w:rPr>
          <w:sz w:val="21"/>
        </w:rPr>
      </w:pPr>
    </w:p>
    <w:p w:rsidR="00E675F0" w:rsidRDefault="00E675F0" w:rsidP="00E675F0">
      <w:pPr>
        <w:ind w:left="107"/>
        <w:jc w:val="both"/>
        <w:rPr>
          <w:rFonts w:ascii="TimesNewRomanPS-BoldItalicMT" w:hAnsi="TimesNewRomanPS-BoldItalicMT"/>
          <w:b/>
          <w:i/>
          <w:sz w:val="24"/>
        </w:rPr>
      </w:pPr>
      <w:r>
        <w:rPr>
          <w:rFonts w:ascii="TimesNewRomanPS-BoldItalicMT" w:hAnsi="TimesNewRomanPS-BoldItalicMT"/>
          <w:b/>
          <w:i/>
          <w:w w:val="110"/>
          <w:sz w:val="24"/>
        </w:rPr>
        <w:t xml:space="preserve">Axis </w:t>
      </w:r>
      <w:r>
        <w:rPr>
          <w:rFonts w:ascii="TimesNewRomanPS-BoldItalicMT" w:hAnsi="TimesNewRomanPS-BoldItalicMT"/>
          <w:b/>
          <w:i/>
          <w:w w:val="110"/>
          <w:sz w:val="23"/>
        </w:rPr>
        <w:t xml:space="preserve">V.· </w:t>
      </w:r>
      <w:r>
        <w:rPr>
          <w:rFonts w:ascii="TimesNewRomanPS-BoldItalicMT" w:hAnsi="TimesNewRomanPS-BoldItalicMT"/>
          <w:b/>
          <w:i/>
          <w:w w:val="110"/>
          <w:sz w:val="24"/>
        </w:rPr>
        <w:t>Global Assessment of Functioning</w:t>
      </w:r>
    </w:p>
    <w:p w:rsidR="00E675F0" w:rsidRDefault="00E675F0" w:rsidP="00E675F0">
      <w:pPr>
        <w:spacing w:before="204" w:line="264" w:lineRule="auto"/>
        <w:ind w:left="129" w:right="130" w:hanging="4"/>
        <w:jc w:val="both"/>
        <w:rPr>
          <w:sz w:val="19"/>
        </w:rPr>
      </w:pPr>
      <w:r>
        <w:rPr>
          <w:w w:val="110"/>
          <w:sz w:val="19"/>
        </w:rPr>
        <w:t xml:space="preserve">Axis </w:t>
      </w:r>
      <w:r>
        <w:rPr>
          <w:w w:val="110"/>
          <w:sz w:val="18"/>
        </w:rPr>
        <w:t xml:space="preserve">V </w:t>
      </w:r>
      <w:r>
        <w:rPr>
          <w:w w:val="110"/>
          <w:sz w:val="19"/>
        </w:rPr>
        <w:t>is for reporting the clinician's judgment of the individual's overall level of functioning. This information is useful in planning treatment and measuring its impact, and in predicting outcome.</w:t>
      </w:r>
    </w:p>
    <w:p w:rsidR="00E675F0" w:rsidRDefault="00E675F0" w:rsidP="00E675F0">
      <w:pPr>
        <w:spacing w:before="5" w:line="268" w:lineRule="auto"/>
        <w:ind w:left="129" w:right="110" w:firstLine="357"/>
        <w:jc w:val="both"/>
        <w:rPr>
          <w:sz w:val="19"/>
        </w:rPr>
      </w:pPr>
      <w:r>
        <w:rPr>
          <w:w w:val="110"/>
          <w:sz w:val="19"/>
        </w:rPr>
        <w:t xml:space="preserve">The reporting of overall functioning on Axis </w:t>
      </w:r>
      <w:r>
        <w:rPr>
          <w:w w:val="110"/>
          <w:sz w:val="18"/>
        </w:rPr>
        <w:t xml:space="preserve">V </w:t>
      </w:r>
      <w:r>
        <w:rPr>
          <w:w w:val="110"/>
          <w:sz w:val="19"/>
        </w:rPr>
        <w:t>can be done using the Global Assessment of Functioning (GAF) Scale. The GAF Scale may be particularly useful in tracking the clinical progress of individuals in global terms, using a single measure. The GAF Scale is to be rated with respect only to psychological, social, and occupational functioning. The instructions specify, "Do not include impairment in functioning due to physical (or environmental) limitations." In most instances, ratings on the GAF Scale should</w:t>
      </w:r>
      <w:r>
        <w:rPr>
          <w:spacing w:val="-10"/>
          <w:w w:val="110"/>
          <w:sz w:val="19"/>
        </w:rPr>
        <w:t xml:space="preserve"> </w:t>
      </w:r>
      <w:r>
        <w:rPr>
          <w:w w:val="110"/>
          <w:sz w:val="19"/>
        </w:rPr>
        <w:t>be</w:t>
      </w:r>
      <w:r>
        <w:rPr>
          <w:spacing w:val="-11"/>
          <w:w w:val="110"/>
          <w:sz w:val="19"/>
        </w:rPr>
        <w:t xml:space="preserve"> </w:t>
      </w:r>
      <w:r>
        <w:rPr>
          <w:w w:val="110"/>
          <w:sz w:val="19"/>
        </w:rPr>
        <w:t>for</w:t>
      </w:r>
      <w:r>
        <w:rPr>
          <w:spacing w:val="-23"/>
          <w:w w:val="110"/>
          <w:sz w:val="19"/>
        </w:rPr>
        <w:t xml:space="preserve"> </w:t>
      </w:r>
      <w:r>
        <w:rPr>
          <w:w w:val="110"/>
          <w:sz w:val="19"/>
        </w:rPr>
        <w:t>the</w:t>
      </w:r>
      <w:r>
        <w:rPr>
          <w:spacing w:val="-16"/>
          <w:w w:val="110"/>
          <w:sz w:val="19"/>
        </w:rPr>
        <w:t xml:space="preserve"> </w:t>
      </w:r>
      <w:r>
        <w:rPr>
          <w:w w:val="110"/>
          <w:sz w:val="19"/>
        </w:rPr>
        <w:t>current</w:t>
      </w:r>
      <w:r>
        <w:rPr>
          <w:spacing w:val="4"/>
          <w:w w:val="110"/>
          <w:sz w:val="19"/>
        </w:rPr>
        <w:t xml:space="preserve"> </w:t>
      </w:r>
      <w:r>
        <w:rPr>
          <w:w w:val="110"/>
          <w:sz w:val="19"/>
        </w:rPr>
        <w:t>period</w:t>
      </w:r>
      <w:r>
        <w:rPr>
          <w:spacing w:val="-9"/>
          <w:w w:val="110"/>
          <w:sz w:val="19"/>
        </w:rPr>
        <w:t xml:space="preserve"> </w:t>
      </w:r>
      <w:r>
        <w:rPr>
          <w:w w:val="110"/>
          <w:sz w:val="19"/>
        </w:rPr>
        <w:t>(i.e.,</w:t>
      </w:r>
      <w:r>
        <w:rPr>
          <w:spacing w:val="-9"/>
          <w:w w:val="110"/>
          <w:sz w:val="19"/>
        </w:rPr>
        <w:t xml:space="preserve"> </w:t>
      </w:r>
      <w:r>
        <w:rPr>
          <w:w w:val="110"/>
          <w:sz w:val="19"/>
        </w:rPr>
        <w:t>the</w:t>
      </w:r>
      <w:r>
        <w:rPr>
          <w:spacing w:val="2"/>
          <w:w w:val="110"/>
          <w:sz w:val="19"/>
        </w:rPr>
        <w:t xml:space="preserve"> </w:t>
      </w:r>
      <w:r>
        <w:rPr>
          <w:w w:val="110"/>
          <w:sz w:val="19"/>
        </w:rPr>
        <w:t>level</w:t>
      </w:r>
      <w:r>
        <w:rPr>
          <w:spacing w:val="-13"/>
          <w:w w:val="110"/>
          <w:sz w:val="19"/>
        </w:rPr>
        <w:t xml:space="preserve"> </w:t>
      </w:r>
      <w:r>
        <w:rPr>
          <w:w w:val="110"/>
          <w:sz w:val="19"/>
        </w:rPr>
        <w:t>of</w:t>
      </w:r>
      <w:r>
        <w:rPr>
          <w:spacing w:val="-6"/>
          <w:w w:val="110"/>
          <w:sz w:val="19"/>
        </w:rPr>
        <w:t xml:space="preserve"> </w:t>
      </w:r>
      <w:r>
        <w:rPr>
          <w:w w:val="110"/>
          <w:sz w:val="19"/>
        </w:rPr>
        <w:t>functioning</w:t>
      </w:r>
      <w:r>
        <w:rPr>
          <w:spacing w:val="-10"/>
          <w:w w:val="110"/>
          <w:sz w:val="19"/>
        </w:rPr>
        <w:t xml:space="preserve"> </w:t>
      </w:r>
      <w:r>
        <w:rPr>
          <w:w w:val="110"/>
          <w:sz w:val="19"/>
        </w:rPr>
        <w:t>at</w:t>
      </w:r>
      <w:r>
        <w:rPr>
          <w:spacing w:val="-12"/>
          <w:w w:val="110"/>
          <w:sz w:val="19"/>
        </w:rPr>
        <w:t xml:space="preserve"> </w:t>
      </w:r>
      <w:r>
        <w:rPr>
          <w:w w:val="110"/>
          <w:sz w:val="19"/>
        </w:rPr>
        <w:t>the</w:t>
      </w:r>
      <w:r>
        <w:rPr>
          <w:spacing w:val="-1"/>
          <w:w w:val="110"/>
          <w:sz w:val="19"/>
        </w:rPr>
        <w:t xml:space="preserve"> </w:t>
      </w:r>
      <w:r>
        <w:rPr>
          <w:w w:val="110"/>
          <w:sz w:val="19"/>
        </w:rPr>
        <w:t>time</w:t>
      </w:r>
      <w:r>
        <w:rPr>
          <w:spacing w:val="-15"/>
          <w:w w:val="110"/>
          <w:sz w:val="19"/>
        </w:rPr>
        <w:t xml:space="preserve"> </w:t>
      </w:r>
      <w:r>
        <w:rPr>
          <w:w w:val="110"/>
          <w:sz w:val="19"/>
        </w:rPr>
        <w:t>of</w:t>
      </w:r>
      <w:r>
        <w:rPr>
          <w:spacing w:val="-6"/>
          <w:w w:val="110"/>
          <w:sz w:val="19"/>
        </w:rPr>
        <w:t xml:space="preserve"> </w:t>
      </w:r>
      <w:r>
        <w:rPr>
          <w:w w:val="110"/>
          <w:sz w:val="19"/>
        </w:rPr>
        <w:t>the</w:t>
      </w:r>
      <w:r>
        <w:rPr>
          <w:spacing w:val="20"/>
          <w:w w:val="110"/>
          <w:sz w:val="19"/>
        </w:rPr>
        <w:t xml:space="preserve"> </w:t>
      </w:r>
      <w:r>
        <w:rPr>
          <w:w w:val="110"/>
          <w:sz w:val="19"/>
        </w:rPr>
        <w:t xml:space="preserve">evaluation) because ratings of current functioning will generally reflect the need for treatment or care. In some settings, it may be useful to note the GAF Scale rating both at time of admission and at time of discharge. The GAF Scale may also be rated for other time periods (e.g., the highest level of functioning for at least a few months during the past year). The GAF Scale is reported on Axis </w:t>
      </w:r>
      <w:r>
        <w:rPr>
          <w:w w:val="110"/>
          <w:sz w:val="18"/>
        </w:rPr>
        <w:t xml:space="preserve">V </w:t>
      </w:r>
      <w:r>
        <w:rPr>
          <w:w w:val="110"/>
          <w:sz w:val="19"/>
        </w:rPr>
        <w:t xml:space="preserve">as follows: "GAF </w:t>
      </w:r>
      <w:r>
        <w:rPr>
          <w:w w:val="110"/>
          <w:sz w:val="18"/>
        </w:rPr>
        <w:t xml:space="preserve">= ," </w:t>
      </w:r>
      <w:r>
        <w:rPr>
          <w:w w:val="110"/>
          <w:sz w:val="19"/>
        </w:rPr>
        <w:t>followed by the GAF rating from 1 to 100, followed by the time period reflected in the rating in parentheses­ for example, "(current)," "(highest level in  past  year)," "(at discharge)." See examples on p.</w:t>
      </w:r>
      <w:r>
        <w:rPr>
          <w:spacing w:val="-12"/>
          <w:w w:val="110"/>
          <w:sz w:val="19"/>
        </w:rPr>
        <w:t xml:space="preserve"> </w:t>
      </w:r>
      <w:r>
        <w:rPr>
          <w:w w:val="110"/>
          <w:sz w:val="19"/>
        </w:rPr>
        <w:t>33.</w:t>
      </w:r>
    </w:p>
    <w:p w:rsidR="00E675F0" w:rsidRDefault="00E675F0" w:rsidP="00E675F0">
      <w:pPr>
        <w:spacing w:line="216" w:lineRule="exact"/>
        <w:ind w:left="493"/>
        <w:jc w:val="both"/>
        <w:rPr>
          <w:sz w:val="19"/>
        </w:rPr>
      </w:pPr>
      <w:r>
        <w:rPr>
          <w:w w:val="110"/>
          <w:sz w:val="19"/>
        </w:rPr>
        <w:t>In some settings, it may be useful to assess social and occupational disability and</w:t>
      </w:r>
    </w:p>
    <w:p w:rsidR="00E675F0" w:rsidRDefault="00E675F0" w:rsidP="00E675F0">
      <w:pPr>
        <w:spacing w:line="216" w:lineRule="exact"/>
        <w:jc w:val="both"/>
        <w:rPr>
          <w:sz w:val="19"/>
        </w:rPr>
        <w:sectPr w:rsidR="00E675F0">
          <w:pgSz w:w="8960" w:h="14260"/>
          <w:pgMar w:top="1400" w:right="600" w:bottom="280" w:left="620" w:header="718" w:footer="0" w:gutter="0"/>
          <w:cols w:space="720"/>
        </w:sectPr>
      </w:pPr>
    </w:p>
    <w:p w:rsidR="00E675F0" w:rsidRDefault="00E675F0" w:rsidP="00E675F0">
      <w:pPr>
        <w:pStyle w:val="BodyText"/>
        <w:spacing w:before="129" w:line="252" w:lineRule="auto"/>
        <w:ind w:left="100" w:right="98" w:firstLine="7"/>
        <w:jc w:val="both"/>
      </w:pPr>
      <w:r>
        <w:rPr>
          <w:w w:val="105"/>
        </w:rPr>
        <w:lastRenderedPageBreak/>
        <w:t xml:space="preserve">to track progress in rehabilitation independent of the severity of the psychological symptoms. For this purpose, a proposed Social and Occupational Functioning Assess­ ment Scale (SOFAS) (see p. 760) is included in Appendix </w:t>
      </w:r>
      <w:r>
        <w:rPr>
          <w:w w:val="105"/>
          <w:sz w:val="18"/>
        </w:rPr>
        <w:t xml:space="preserve">B. </w:t>
      </w:r>
      <w:r>
        <w:rPr>
          <w:w w:val="105"/>
        </w:rPr>
        <w:t>Two additional proposed scales-Global Assessment of Relational Functioning (GARF) Scale (see p. 758) and Defensive Functioning Scale (seep. 751)-that may be useful in some settings are also included in Appendix B.</w:t>
      </w:r>
    </w:p>
    <w:p w:rsidR="00E675F0" w:rsidRDefault="00E675F0" w:rsidP="00E675F0">
      <w:pPr>
        <w:spacing w:line="252" w:lineRule="auto"/>
        <w:jc w:val="both"/>
        <w:sectPr w:rsidR="00E675F0">
          <w:pgSz w:w="8960" w:h="14260"/>
          <w:pgMar w:top="1400" w:right="660" w:bottom="280" w:left="620" w:header="679" w:footer="0" w:gutter="0"/>
          <w:cols w:space="720"/>
        </w:sectPr>
      </w:pPr>
    </w:p>
    <w:p w:rsidR="00E675F0" w:rsidRDefault="00E675F0" w:rsidP="00E675F0">
      <w:pPr>
        <w:spacing w:before="145"/>
        <w:ind w:left="127" w:right="119"/>
        <w:jc w:val="center"/>
        <w:rPr>
          <w:rFonts w:ascii="Arial"/>
          <w:b/>
          <w:sz w:val="25"/>
        </w:rPr>
      </w:pPr>
      <w:bookmarkStart w:id="23" w:name="_bookmark10"/>
      <w:bookmarkEnd w:id="23"/>
      <w:r>
        <w:rPr>
          <w:rFonts w:ascii="Arial"/>
          <w:b/>
          <w:w w:val="105"/>
          <w:sz w:val="25"/>
        </w:rPr>
        <w:lastRenderedPageBreak/>
        <w:t>Global Assessment of Functioning (GAF) Scale</w:t>
      </w:r>
    </w:p>
    <w:p w:rsidR="00E675F0" w:rsidRDefault="00E675F0" w:rsidP="00E675F0">
      <w:pPr>
        <w:pStyle w:val="BodyText"/>
        <w:spacing w:before="2"/>
        <w:rPr>
          <w:rFonts w:ascii="Arial"/>
          <w:b/>
          <w:sz w:val="22"/>
        </w:rPr>
      </w:pPr>
    </w:p>
    <w:p w:rsidR="00E675F0" w:rsidRDefault="00E675F0" w:rsidP="00E675F0">
      <w:pPr>
        <w:spacing w:line="266" w:lineRule="auto"/>
        <w:ind w:left="120" w:right="115"/>
        <w:jc w:val="both"/>
        <w:rPr>
          <w:sz w:val="19"/>
        </w:rPr>
      </w:pPr>
      <w:r>
        <w:rPr>
          <w:w w:val="105"/>
          <w:sz w:val="19"/>
        </w:rPr>
        <w:t>Consider psychological, social, and occupational functioning on a hypothetical  continuum</w:t>
      </w:r>
      <w:r>
        <w:rPr>
          <w:spacing w:val="49"/>
          <w:w w:val="105"/>
          <w:sz w:val="19"/>
        </w:rPr>
        <w:t xml:space="preserve"> </w:t>
      </w:r>
      <w:r>
        <w:rPr>
          <w:w w:val="105"/>
          <w:sz w:val="19"/>
        </w:rPr>
        <w:t>of mental health-illness. Do not include impairment in functioning due to physical (or environmental)</w:t>
      </w:r>
      <w:r>
        <w:rPr>
          <w:spacing w:val="-17"/>
          <w:w w:val="105"/>
          <w:sz w:val="19"/>
        </w:rPr>
        <w:t xml:space="preserve"> </w:t>
      </w:r>
      <w:r>
        <w:rPr>
          <w:w w:val="105"/>
          <w:sz w:val="19"/>
        </w:rPr>
        <w:t>limitations.</w:t>
      </w:r>
    </w:p>
    <w:p w:rsidR="00E675F0" w:rsidRDefault="00E675F0" w:rsidP="00E675F0">
      <w:pPr>
        <w:pStyle w:val="BodyText"/>
        <w:spacing w:before="1"/>
        <w:rPr>
          <w:sz w:val="10"/>
        </w:rPr>
      </w:pPr>
    </w:p>
    <w:p w:rsidR="00E675F0" w:rsidRDefault="00E675F0" w:rsidP="00E675F0">
      <w:pPr>
        <w:rPr>
          <w:sz w:val="10"/>
        </w:rPr>
        <w:sectPr w:rsidR="00E675F0">
          <w:pgSz w:w="8960" w:h="14260"/>
          <w:pgMar w:top="1400" w:right="640" w:bottom="280" w:left="600" w:header="718" w:footer="0" w:gutter="0"/>
          <w:cols w:space="720"/>
        </w:sectPr>
      </w:pPr>
    </w:p>
    <w:p w:rsidR="00E675F0" w:rsidRDefault="00E675F0" w:rsidP="00E675F0">
      <w:pPr>
        <w:spacing w:before="98"/>
        <w:ind w:right="12"/>
        <w:jc w:val="right"/>
        <w:rPr>
          <w:b/>
          <w:sz w:val="16"/>
        </w:rPr>
      </w:pPr>
      <w:r>
        <w:rPr>
          <w:b/>
          <w:spacing w:val="-1"/>
          <w:w w:val="105"/>
          <w:sz w:val="16"/>
        </w:rPr>
        <w:t>Code</w:t>
      </w:r>
    </w:p>
    <w:p w:rsidR="00E675F0" w:rsidRDefault="00E675F0" w:rsidP="00E675F0">
      <w:pPr>
        <w:pStyle w:val="BodyText"/>
        <w:spacing w:before="9"/>
        <w:rPr>
          <w:b/>
          <w:sz w:val="15"/>
        </w:rPr>
      </w:pPr>
    </w:p>
    <w:p w:rsidR="00E675F0" w:rsidRDefault="00E675F0" w:rsidP="00E675F0">
      <w:pPr>
        <w:ind w:right="6"/>
        <w:jc w:val="right"/>
        <w:rPr>
          <w:sz w:val="16"/>
        </w:rPr>
      </w:pPr>
      <w:r>
        <w:rPr>
          <w:sz w:val="16"/>
        </w:rPr>
        <w:t>100</w:t>
      </w:r>
    </w:p>
    <w:p w:rsidR="00E675F0" w:rsidRDefault="00E675F0" w:rsidP="00E675F0">
      <w:pPr>
        <w:spacing w:before="3" w:line="203" w:lineRule="exact"/>
        <w:ind w:right="48"/>
        <w:jc w:val="right"/>
        <w:rPr>
          <w:rFonts w:ascii="Arial"/>
          <w:sz w:val="19"/>
        </w:rPr>
      </w:pPr>
      <w:r>
        <w:rPr>
          <w:rFonts w:ascii="Arial"/>
          <w:w w:val="78"/>
          <w:sz w:val="19"/>
        </w:rPr>
        <w:t>I</w:t>
      </w:r>
    </w:p>
    <w:p w:rsidR="00E675F0" w:rsidRDefault="00E675F0" w:rsidP="00E675F0">
      <w:pPr>
        <w:spacing w:line="168" w:lineRule="exact"/>
        <w:ind w:left="438"/>
        <w:rPr>
          <w:sz w:val="16"/>
        </w:rPr>
      </w:pPr>
      <w:r>
        <w:rPr>
          <w:w w:val="105"/>
          <w:sz w:val="16"/>
        </w:rPr>
        <w:t>91</w:t>
      </w:r>
    </w:p>
    <w:p w:rsidR="00E675F0" w:rsidRDefault="00E675F0" w:rsidP="00E675F0">
      <w:pPr>
        <w:pStyle w:val="BodyText"/>
        <w:spacing w:before="7"/>
        <w:rPr>
          <w:sz w:val="16"/>
        </w:rPr>
      </w:pPr>
    </w:p>
    <w:p w:rsidR="00E675F0" w:rsidRDefault="00E675F0" w:rsidP="00E675F0">
      <w:pPr>
        <w:ind w:right="11"/>
        <w:jc w:val="right"/>
        <w:rPr>
          <w:sz w:val="16"/>
        </w:rPr>
      </w:pPr>
      <w:r>
        <w:rPr>
          <w:w w:val="105"/>
          <w:sz w:val="16"/>
        </w:rPr>
        <w:t>90</w:t>
      </w:r>
    </w:p>
    <w:p w:rsidR="00E675F0" w:rsidRDefault="00E675F0" w:rsidP="00E675F0">
      <w:pPr>
        <w:spacing w:before="73" w:line="314" w:lineRule="exact"/>
        <w:ind w:left="457"/>
        <w:rPr>
          <w:rFonts w:ascii="Arial"/>
          <w:sz w:val="29"/>
        </w:rPr>
      </w:pPr>
      <w:r>
        <w:rPr>
          <w:rFonts w:ascii="Arial"/>
          <w:w w:val="9"/>
          <w:sz w:val="29"/>
        </w:rPr>
        <w:t>I</w:t>
      </w:r>
    </w:p>
    <w:p w:rsidR="00E675F0" w:rsidRDefault="00E675F0" w:rsidP="00E675F0">
      <w:pPr>
        <w:spacing w:line="153" w:lineRule="exact"/>
        <w:ind w:left="431"/>
        <w:rPr>
          <w:sz w:val="15"/>
        </w:rPr>
      </w:pPr>
      <w:r>
        <w:rPr>
          <w:w w:val="20"/>
          <w:sz w:val="15"/>
        </w:rPr>
        <w:t>81</w:t>
      </w:r>
    </w:p>
    <w:p w:rsidR="00E675F0" w:rsidRDefault="00E675F0" w:rsidP="00E675F0">
      <w:pPr>
        <w:pStyle w:val="BodyText"/>
        <w:spacing w:before="4"/>
        <w:rPr>
          <w:sz w:val="17"/>
        </w:rPr>
      </w:pPr>
    </w:p>
    <w:p w:rsidR="00E675F0" w:rsidRDefault="00E675F0" w:rsidP="00E675F0">
      <w:pPr>
        <w:spacing w:before="1" w:line="171" w:lineRule="exact"/>
        <w:ind w:left="422"/>
        <w:rPr>
          <w:rFonts w:ascii="Courier New"/>
          <w:sz w:val="16"/>
        </w:rPr>
      </w:pPr>
      <w:r>
        <w:rPr>
          <w:rFonts w:ascii="Courier New"/>
          <w:spacing w:val="-1"/>
          <w:sz w:val="16"/>
        </w:rPr>
        <w:t>80</w:t>
      </w:r>
    </w:p>
    <w:p w:rsidR="00E675F0" w:rsidRDefault="00E675F0" w:rsidP="00E675F0">
      <w:pPr>
        <w:spacing w:line="193" w:lineRule="exact"/>
        <w:ind w:right="48"/>
        <w:jc w:val="right"/>
        <w:rPr>
          <w:rFonts w:ascii="Arial"/>
          <w:sz w:val="19"/>
        </w:rPr>
      </w:pPr>
      <w:r>
        <w:rPr>
          <w:rFonts w:ascii="Arial"/>
          <w:w w:val="78"/>
          <w:sz w:val="19"/>
        </w:rPr>
        <w:t>I</w:t>
      </w:r>
    </w:p>
    <w:p w:rsidR="00E675F0" w:rsidRDefault="00E675F0" w:rsidP="00E675F0">
      <w:pPr>
        <w:spacing w:line="168" w:lineRule="exact"/>
        <w:ind w:left="434"/>
        <w:rPr>
          <w:sz w:val="16"/>
        </w:rPr>
      </w:pPr>
      <w:r>
        <w:rPr>
          <w:w w:val="110"/>
          <w:sz w:val="16"/>
        </w:rPr>
        <w:t>71</w:t>
      </w:r>
    </w:p>
    <w:p w:rsidR="00E675F0" w:rsidRDefault="00E675F0" w:rsidP="00E675F0">
      <w:pPr>
        <w:pStyle w:val="BodyText"/>
        <w:spacing w:before="8"/>
        <w:rPr>
          <w:sz w:val="15"/>
        </w:rPr>
      </w:pPr>
    </w:p>
    <w:p w:rsidR="00E675F0" w:rsidRDefault="00E675F0" w:rsidP="00E675F0">
      <w:pPr>
        <w:spacing w:line="158" w:lineRule="exact"/>
        <w:ind w:left="434"/>
        <w:rPr>
          <w:sz w:val="16"/>
        </w:rPr>
      </w:pPr>
      <w:r>
        <w:rPr>
          <w:w w:val="105"/>
          <w:sz w:val="16"/>
        </w:rPr>
        <w:t>70</w:t>
      </w:r>
    </w:p>
    <w:p w:rsidR="00E675F0" w:rsidRDefault="00E675F0" w:rsidP="00E675F0">
      <w:pPr>
        <w:spacing w:line="243" w:lineRule="exact"/>
        <w:ind w:left="517"/>
        <w:rPr>
          <w:rFonts w:ascii="Arial"/>
          <w:sz w:val="26"/>
        </w:rPr>
      </w:pPr>
      <w:r>
        <w:rPr>
          <w:rFonts w:ascii="Arial"/>
          <w:w w:val="76"/>
          <w:sz w:val="26"/>
        </w:rPr>
        <w:t>I</w:t>
      </w:r>
    </w:p>
    <w:p w:rsidR="00E675F0" w:rsidRDefault="00E675F0" w:rsidP="00E675F0">
      <w:pPr>
        <w:spacing w:line="154" w:lineRule="exact"/>
        <w:ind w:left="433"/>
        <w:rPr>
          <w:sz w:val="16"/>
        </w:rPr>
      </w:pPr>
      <w:r>
        <w:rPr>
          <w:w w:val="110"/>
          <w:sz w:val="16"/>
        </w:rPr>
        <w:t>61</w:t>
      </w:r>
    </w:p>
    <w:p w:rsidR="00E675F0" w:rsidRDefault="00E675F0" w:rsidP="00E675F0">
      <w:pPr>
        <w:pStyle w:val="BodyText"/>
        <w:spacing w:before="2"/>
        <w:rPr>
          <w:sz w:val="16"/>
        </w:rPr>
      </w:pPr>
    </w:p>
    <w:p w:rsidR="00E675F0" w:rsidRDefault="00E675F0" w:rsidP="00E675F0">
      <w:pPr>
        <w:spacing w:before="1" w:line="183" w:lineRule="exact"/>
        <w:ind w:left="438"/>
        <w:rPr>
          <w:sz w:val="16"/>
        </w:rPr>
      </w:pPr>
      <w:r>
        <w:rPr>
          <w:w w:val="105"/>
          <w:sz w:val="16"/>
        </w:rPr>
        <w:t>60</w:t>
      </w:r>
    </w:p>
    <w:p w:rsidR="00E675F0" w:rsidRDefault="00E675F0" w:rsidP="00E675F0">
      <w:pPr>
        <w:spacing w:line="202" w:lineRule="exact"/>
        <w:ind w:right="48"/>
        <w:jc w:val="right"/>
        <w:rPr>
          <w:rFonts w:ascii="Arial"/>
          <w:sz w:val="19"/>
        </w:rPr>
      </w:pPr>
      <w:r>
        <w:rPr>
          <w:rFonts w:ascii="Arial"/>
          <w:w w:val="78"/>
          <w:sz w:val="19"/>
        </w:rPr>
        <w:t>I</w:t>
      </w:r>
    </w:p>
    <w:p w:rsidR="00E675F0" w:rsidRDefault="00E675F0" w:rsidP="00E675F0">
      <w:pPr>
        <w:spacing w:line="188" w:lineRule="exact"/>
        <w:ind w:left="432"/>
        <w:rPr>
          <w:rFonts w:ascii="Courier New"/>
          <w:sz w:val="18"/>
        </w:rPr>
      </w:pPr>
      <w:r>
        <w:rPr>
          <w:rFonts w:ascii="Courier New"/>
          <w:w w:val="80"/>
          <w:sz w:val="18"/>
        </w:rPr>
        <w:t>51</w:t>
      </w:r>
    </w:p>
    <w:p w:rsidR="00E675F0" w:rsidRDefault="00E675F0" w:rsidP="00E675F0">
      <w:pPr>
        <w:spacing w:before="94" w:line="265" w:lineRule="exact"/>
        <w:ind w:left="418"/>
        <w:rPr>
          <w:rFonts w:ascii="Courier New"/>
          <w:sz w:val="26"/>
        </w:rPr>
      </w:pPr>
      <w:r>
        <w:rPr>
          <w:rFonts w:ascii="Courier New"/>
          <w:w w:val="60"/>
          <w:sz w:val="26"/>
        </w:rPr>
        <w:t>so</w:t>
      </w:r>
    </w:p>
    <w:p w:rsidR="00E675F0" w:rsidRDefault="00E675F0" w:rsidP="00E675F0">
      <w:pPr>
        <w:spacing w:line="176" w:lineRule="exact"/>
        <w:ind w:right="48"/>
        <w:jc w:val="right"/>
        <w:rPr>
          <w:rFonts w:ascii="Arial"/>
          <w:sz w:val="19"/>
        </w:rPr>
      </w:pPr>
      <w:r>
        <w:rPr>
          <w:rFonts w:ascii="Arial"/>
          <w:w w:val="78"/>
          <w:sz w:val="19"/>
        </w:rPr>
        <w:t>I</w:t>
      </w:r>
    </w:p>
    <w:p w:rsidR="00E675F0" w:rsidRDefault="00E675F0" w:rsidP="00E675F0">
      <w:pPr>
        <w:spacing w:line="171" w:lineRule="exact"/>
        <w:ind w:left="437"/>
        <w:rPr>
          <w:sz w:val="16"/>
        </w:rPr>
      </w:pPr>
      <w:r>
        <w:rPr>
          <w:w w:val="105"/>
          <w:sz w:val="16"/>
        </w:rPr>
        <w:t>41</w:t>
      </w:r>
    </w:p>
    <w:p w:rsidR="00E675F0" w:rsidRDefault="00E675F0" w:rsidP="00E675F0">
      <w:pPr>
        <w:pStyle w:val="BodyText"/>
        <w:spacing w:before="2"/>
        <w:rPr>
          <w:sz w:val="16"/>
        </w:rPr>
      </w:pPr>
    </w:p>
    <w:p w:rsidR="00E675F0" w:rsidRDefault="00E675F0" w:rsidP="00E675F0">
      <w:pPr>
        <w:spacing w:before="1"/>
        <w:ind w:right="12"/>
        <w:jc w:val="right"/>
        <w:rPr>
          <w:sz w:val="16"/>
        </w:rPr>
      </w:pPr>
      <w:r>
        <w:rPr>
          <w:spacing w:val="-1"/>
          <w:sz w:val="16"/>
        </w:rPr>
        <w:t>40</w:t>
      </w:r>
    </w:p>
    <w:p w:rsidR="00E675F0" w:rsidRDefault="00E675F0" w:rsidP="00E675F0">
      <w:pPr>
        <w:pStyle w:val="Heading8"/>
        <w:spacing w:line="307" w:lineRule="exact"/>
        <w:ind w:left="519"/>
        <w:rPr>
          <w:rFonts w:ascii="Arial"/>
        </w:rPr>
      </w:pPr>
      <w:r>
        <w:rPr>
          <w:rFonts w:ascii="Arial"/>
          <w:w w:val="68"/>
        </w:rPr>
        <w:t>I</w:t>
      </w:r>
    </w:p>
    <w:p w:rsidR="00E675F0" w:rsidRDefault="00E675F0" w:rsidP="00E675F0">
      <w:pPr>
        <w:spacing w:line="158" w:lineRule="exact"/>
        <w:ind w:left="443"/>
        <w:rPr>
          <w:sz w:val="16"/>
        </w:rPr>
      </w:pPr>
      <w:r>
        <w:rPr>
          <w:w w:val="105"/>
          <w:sz w:val="16"/>
        </w:rPr>
        <w:t>31</w:t>
      </w:r>
    </w:p>
    <w:p w:rsidR="00E675F0" w:rsidRDefault="00E675F0" w:rsidP="00E675F0">
      <w:pPr>
        <w:pStyle w:val="BodyText"/>
        <w:spacing w:before="4"/>
        <w:rPr>
          <w:sz w:val="15"/>
        </w:rPr>
      </w:pPr>
    </w:p>
    <w:p w:rsidR="00E675F0" w:rsidRDefault="00E675F0" w:rsidP="00E675F0">
      <w:pPr>
        <w:ind w:right="6"/>
        <w:jc w:val="right"/>
        <w:rPr>
          <w:sz w:val="16"/>
        </w:rPr>
      </w:pPr>
      <w:r>
        <w:rPr>
          <w:w w:val="105"/>
          <w:sz w:val="16"/>
        </w:rPr>
        <w:t>30</w:t>
      </w:r>
    </w:p>
    <w:p w:rsidR="00E675F0" w:rsidRDefault="00E675F0" w:rsidP="00E675F0">
      <w:pPr>
        <w:pStyle w:val="BodyText"/>
        <w:spacing w:before="1"/>
        <w:rPr>
          <w:sz w:val="14"/>
        </w:rPr>
      </w:pPr>
    </w:p>
    <w:p w:rsidR="00E675F0" w:rsidRDefault="00E675F0" w:rsidP="00E675F0">
      <w:pPr>
        <w:spacing w:line="203" w:lineRule="exact"/>
        <w:ind w:right="116"/>
        <w:jc w:val="right"/>
        <w:rPr>
          <w:rFonts w:ascii="Arial"/>
          <w:sz w:val="19"/>
        </w:rPr>
      </w:pPr>
      <w:r>
        <w:rPr>
          <w:rFonts w:ascii="Arial"/>
          <w:w w:val="11"/>
          <w:sz w:val="19"/>
        </w:rPr>
        <w:t>I</w:t>
      </w:r>
    </w:p>
    <w:p w:rsidR="00E675F0" w:rsidRDefault="00E675F0" w:rsidP="00E675F0">
      <w:pPr>
        <w:spacing w:line="168" w:lineRule="exact"/>
        <w:ind w:left="446"/>
        <w:rPr>
          <w:sz w:val="16"/>
        </w:rPr>
      </w:pPr>
      <w:r>
        <w:rPr>
          <w:w w:val="105"/>
          <w:sz w:val="16"/>
        </w:rPr>
        <w:t>21</w:t>
      </w:r>
    </w:p>
    <w:p w:rsidR="00E675F0" w:rsidRDefault="00E675F0" w:rsidP="00E675F0">
      <w:pPr>
        <w:pStyle w:val="BodyText"/>
        <w:spacing w:before="4"/>
        <w:rPr>
          <w:sz w:val="15"/>
        </w:rPr>
      </w:pPr>
    </w:p>
    <w:p w:rsidR="00E675F0" w:rsidRDefault="00E675F0" w:rsidP="00E675F0">
      <w:pPr>
        <w:ind w:right="6"/>
        <w:jc w:val="right"/>
        <w:rPr>
          <w:sz w:val="16"/>
        </w:rPr>
      </w:pPr>
      <w:r>
        <w:rPr>
          <w:sz w:val="16"/>
        </w:rPr>
        <w:t>20</w:t>
      </w:r>
    </w:p>
    <w:p w:rsidR="00E675F0" w:rsidRDefault="00E675F0" w:rsidP="00E675F0">
      <w:pPr>
        <w:pStyle w:val="BodyText"/>
        <w:spacing w:before="7"/>
        <w:rPr>
          <w:sz w:val="16"/>
        </w:rPr>
      </w:pPr>
    </w:p>
    <w:p w:rsidR="00E675F0" w:rsidRDefault="00E675F0" w:rsidP="00E675F0">
      <w:pPr>
        <w:spacing w:line="200" w:lineRule="exact"/>
        <w:ind w:right="116"/>
        <w:jc w:val="right"/>
        <w:rPr>
          <w:rFonts w:ascii="Arial"/>
          <w:sz w:val="19"/>
        </w:rPr>
      </w:pPr>
      <w:r>
        <w:rPr>
          <w:rFonts w:ascii="Arial"/>
          <w:w w:val="11"/>
          <w:sz w:val="19"/>
        </w:rPr>
        <w:t>I</w:t>
      </w:r>
    </w:p>
    <w:p w:rsidR="00E675F0" w:rsidRDefault="00E675F0" w:rsidP="00E675F0">
      <w:pPr>
        <w:spacing w:line="154" w:lineRule="exact"/>
        <w:ind w:left="442"/>
        <w:rPr>
          <w:sz w:val="15"/>
        </w:rPr>
      </w:pPr>
      <w:r>
        <w:rPr>
          <w:w w:val="20"/>
          <w:sz w:val="15"/>
        </w:rPr>
        <w:t>11</w:t>
      </w:r>
    </w:p>
    <w:p w:rsidR="00E675F0" w:rsidRDefault="00E675F0" w:rsidP="00E675F0">
      <w:pPr>
        <w:pStyle w:val="BodyText"/>
        <w:spacing w:before="4"/>
        <w:rPr>
          <w:sz w:val="16"/>
        </w:rPr>
      </w:pPr>
    </w:p>
    <w:p w:rsidR="00E675F0" w:rsidRDefault="00E675F0" w:rsidP="00E675F0">
      <w:pPr>
        <w:spacing w:line="181" w:lineRule="exact"/>
        <w:ind w:left="441"/>
        <w:rPr>
          <w:sz w:val="16"/>
        </w:rPr>
      </w:pPr>
      <w:r>
        <w:rPr>
          <w:w w:val="110"/>
          <w:sz w:val="16"/>
        </w:rPr>
        <w:t>10</w:t>
      </w:r>
    </w:p>
    <w:p w:rsidR="00E675F0" w:rsidRDefault="00E675F0" w:rsidP="00E675F0">
      <w:pPr>
        <w:spacing w:line="205" w:lineRule="exact"/>
        <w:ind w:right="44"/>
        <w:jc w:val="right"/>
        <w:rPr>
          <w:rFonts w:ascii="Arial"/>
          <w:sz w:val="19"/>
        </w:rPr>
      </w:pPr>
      <w:r>
        <w:rPr>
          <w:rFonts w:ascii="Arial"/>
          <w:w w:val="78"/>
          <w:sz w:val="19"/>
        </w:rPr>
        <w:t>I</w:t>
      </w:r>
    </w:p>
    <w:p w:rsidR="00E675F0" w:rsidRDefault="00E675F0" w:rsidP="00E675F0">
      <w:pPr>
        <w:spacing w:line="162" w:lineRule="exact"/>
        <w:ind w:left="524"/>
        <w:rPr>
          <w:sz w:val="15"/>
        </w:rPr>
      </w:pPr>
      <w:r>
        <w:rPr>
          <w:w w:val="78"/>
          <w:sz w:val="15"/>
        </w:rPr>
        <w:t>1</w:t>
      </w:r>
    </w:p>
    <w:p w:rsidR="00E675F0" w:rsidRDefault="00E675F0" w:rsidP="00E675F0">
      <w:pPr>
        <w:pStyle w:val="BodyText"/>
        <w:spacing w:before="6"/>
        <w:rPr>
          <w:sz w:val="17"/>
        </w:rPr>
      </w:pPr>
    </w:p>
    <w:p w:rsidR="00E675F0" w:rsidRDefault="00E675F0" w:rsidP="00E675F0">
      <w:pPr>
        <w:ind w:left="530"/>
        <w:rPr>
          <w:rFonts w:ascii="Arial"/>
          <w:sz w:val="14"/>
        </w:rPr>
      </w:pPr>
      <w:r>
        <w:rPr>
          <w:rFonts w:ascii="Arial"/>
          <w:w w:val="108"/>
          <w:sz w:val="14"/>
        </w:rPr>
        <w:t>0</w:t>
      </w:r>
    </w:p>
    <w:p w:rsidR="00E675F0" w:rsidRDefault="00E675F0" w:rsidP="00E675F0">
      <w:pPr>
        <w:spacing w:before="93"/>
        <w:ind w:left="129"/>
        <w:jc w:val="both"/>
        <w:rPr>
          <w:sz w:val="16"/>
        </w:rPr>
      </w:pPr>
      <w:r>
        <w:br w:type="column"/>
      </w:r>
      <w:r>
        <w:rPr>
          <w:b/>
          <w:w w:val="105"/>
          <w:sz w:val="16"/>
        </w:rPr>
        <w:t xml:space="preserve">(Note: </w:t>
      </w:r>
      <w:r>
        <w:rPr>
          <w:w w:val="105"/>
          <w:sz w:val="16"/>
        </w:rPr>
        <w:t>Use intennediate codes when appropriate, e.g., 45, 68, 72.)</w:t>
      </w:r>
    </w:p>
    <w:p w:rsidR="00E675F0" w:rsidRDefault="00E675F0" w:rsidP="00E675F0">
      <w:pPr>
        <w:pStyle w:val="BodyText"/>
        <w:spacing w:before="9"/>
        <w:rPr>
          <w:sz w:val="15"/>
        </w:rPr>
      </w:pPr>
    </w:p>
    <w:p w:rsidR="00E675F0" w:rsidRDefault="00E675F0" w:rsidP="00E675F0">
      <w:pPr>
        <w:spacing w:line="244" w:lineRule="auto"/>
        <w:ind w:left="125" w:right="109" w:hanging="3"/>
        <w:jc w:val="both"/>
        <w:rPr>
          <w:b/>
          <w:sz w:val="16"/>
        </w:rPr>
      </w:pPr>
      <w:r>
        <w:rPr>
          <w:b/>
          <w:w w:val="115"/>
          <w:sz w:val="16"/>
        </w:rPr>
        <w:t>Superior functioning in a wide range of activities, life's problems never seem to get out of hand, is sought out by others because of his or her many positive qualities. No symptoms.</w:t>
      </w:r>
    </w:p>
    <w:p w:rsidR="00E675F0" w:rsidRDefault="00E675F0" w:rsidP="00E675F0">
      <w:pPr>
        <w:pStyle w:val="BodyText"/>
        <w:spacing w:before="5"/>
        <w:rPr>
          <w:b/>
          <w:sz w:val="15"/>
        </w:rPr>
      </w:pPr>
    </w:p>
    <w:p w:rsidR="00E675F0" w:rsidRDefault="00E675F0" w:rsidP="00E675F0">
      <w:pPr>
        <w:ind w:left="120" w:right="104" w:firstLine="4"/>
        <w:jc w:val="both"/>
        <w:rPr>
          <w:sz w:val="16"/>
        </w:rPr>
      </w:pPr>
      <w:r>
        <w:rPr>
          <w:b/>
          <w:w w:val="115"/>
          <w:sz w:val="16"/>
        </w:rPr>
        <w:t>Absentorminimalsymptoms(e.g.,</w:t>
      </w:r>
      <w:r>
        <w:rPr>
          <w:b/>
          <w:spacing w:val="-23"/>
          <w:w w:val="115"/>
          <w:sz w:val="16"/>
        </w:rPr>
        <w:t xml:space="preserve"> </w:t>
      </w:r>
      <w:r>
        <w:rPr>
          <w:w w:val="115"/>
          <w:sz w:val="16"/>
        </w:rPr>
        <w:t>mild</w:t>
      </w:r>
      <w:r>
        <w:rPr>
          <w:spacing w:val="-25"/>
          <w:w w:val="115"/>
          <w:sz w:val="16"/>
        </w:rPr>
        <w:t xml:space="preserve"> </w:t>
      </w:r>
      <w:r>
        <w:rPr>
          <w:w w:val="115"/>
          <w:sz w:val="16"/>
        </w:rPr>
        <w:t>anxiety</w:t>
      </w:r>
      <w:r>
        <w:rPr>
          <w:spacing w:val="-25"/>
          <w:w w:val="115"/>
          <w:sz w:val="16"/>
        </w:rPr>
        <w:t xml:space="preserve"> </w:t>
      </w:r>
      <w:r>
        <w:rPr>
          <w:w w:val="115"/>
          <w:sz w:val="16"/>
        </w:rPr>
        <w:t>before</w:t>
      </w:r>
      <w:r>
        <w:rPr>
          <w:spacing w:val="-24"/>
          <w:w w:val="115"/>
          <w:sz w:val="16"/>
        </w:rPr>
        <w:t xml:space="preserve"> </w:t>
      </w:r>
      <w:r>
        <w:rPr>
          <w:w w:val="115"/>
          <w:sz w:val="16"/>
        </w:rPr>
        <w:t>an</w:t>
      </w:r>
      <w:r>
        <w:rPr>
          <w:spacing w:val="-24"/>
          <w:w w:val="115"/>
          <w:sz w:val="16"/>
        </w:rPr>
        <w:t xml:space="preserve"> </w:t>
      </w:r>
      <w:r>
        <w:rPr>
          <w:w w:val="115"/>
          <w:sz w:val="16"/>
        </w:rPr>
        <w:t>exam),</w:t>
      </w:r>
      <w:r>
        <w:rPr>
          <w:spacing w:val="-22"/>
          <w:w w:val="115"/>
          <w:sz w:val="16"/>
        </w:rPr>
        <w:t xml:space="preserve"> </w:t>
      </w:r>
      <w:r>
        <w:rPr>
          <w:b/>
          <w:w w:val="115"/>
          <w:sz w:val="16"/>
        </w:rPr>
        <w:t>goodfunctioninginallareas, interested</w:t>
      </w:r>
      <w:r>
        <w:rPr>
          <w:b/>
          <w:spacing w:val="-8"/>
          <w:w w:val="115"/>
          <w:sz w:val="16"/>
        </w:rPr>
        <w:t xml:space="preserve"> </w:t>
      </w:r>
      <w:r>
        <w:rPr>
          <w:b/>
          <w:w w:val="115"/>
          <w:sz w:val="16"/>
        </w:rPr>
        <w:t>and</w:t>
      </w:r>
      <w:r>
        <w:rPr>
          <w:b/>
          <w:spacing w:val="-13"/>
          <w:w w:val="115"/>
          <w:sz w:val="16"/>
        </w:rPr>
        <w:t xml:space="preserve"> </w:t>
      </w:r>
      <w:r>
        <w:rPr>
          <w:b/>
          <w:w w:val="115"/>
          <w:sz w:val="16"/>
        </w:rPr>
        <w:t>involved</w:t>
      </w:r>
      <w:r>
        <w:rPr>
          <w:b/>
          <w:spacing w:val="-5"/>
          <w:w w:val="115"/>
          <w:sz w:val="16"/>
        </w:rPr>
        <w:t xml:space="preserve"> </w:t>
      </w:r>
      <w:r>
        <w:rPr>
          <w:b/>
          <w:w w:val="115"/>
          <w:sz w:val="16"/>
        </w:rPr>
        <w:t>in</w:t>
      </w:r>
      <w:r>
        <w:rPr>
          <w:b/>
          <w:spacing w:val="-3"/>
          <w:w w:val="115"/>
          <w:sz w:val="16"/>
        </w:rPr>
        <w:t xml:space="preserve"> </w:t>
      </w:r>
      <w:r>
        <w:rPr>
          <w:b/>
          <w:w w:val="115"/>
          <w:sz w:val="16"/>
        </w:rPr>
        <w:t>a</w:t>
      </w:r>
      <w:r>
        <w:rPr>
          <w:b/>
          <w:spacing w:val="-16"/>
          <w:w w:val="115"/>
          <w:sz w:val="16"/>
        </w:rPr>
        <w:t xml:space="preserve"> </w:t>
      </w:r>
      <w:r>
        <w:rPr>
          <w:b/>
          <w:w w:val="115"/>
          <w:sz w:val="16"/>
        </w:rPr>
        <w:t>wide</w:t>
      </w:r>
      <w:r>
        <w:rPr>
          <w:b/>
          <w:spacing w:val="-11"/>
          <w:w w:val="115"/>
          <w:sz w:val="16"/>
        </w:rPr>
        <w:t xml:space="preserve"> </w:t>
      </w:r>
      <w:r>
        <w:rPr>
          <w:b/>
          <w:w w:val="115"/>
          <w:sz w:val="16"/>
        </w:rPr>
        <w:t>range</w:t>
      </w:r>
      <w:r>
        <w:rPr>
          <w:b/>
          <w:spacing w:val="-13"/>
          <w:w w:val="115"/>
          <w:sz w:val="16"/>
        </w:rPr>
        <w:t xml:space="preserve"> </w:t>
      </w:r>
      <w:r>
        <w:rPr>
          <w:b/>
          <w:w w:val="115"/>
          <w:sz w:val="16"/>
        </w:rPr>
        <w:t>of</w:t>
      </w:r>
      <w:r>
        <w:rPr>
          <w:b/>
          <w:spacing w:val="-4"/>
          <w:w w:val="115"/>
          <w:sz w:val="16"/>
        </w:rPr>
        <w:t xml:space="preserve"> </w:t>
      </w:r>
      <w:r>
        <w:rPr>
          <w:b/>
          <w:w w:val="115"/>
          <w:sz w:val="16"/>
        </w:rPr>
        <w:t>activities,</w:t>
      </w:r>
      <w:r>
        <w:rPr>
          <w:b/>
          <w:spacing w:val="-9"/>
          <w:w w:val="115"/>
          <w:sz w:val="16"/>
        </w:rPr>
        <w:t xml:space="preserve"> </w:t>
      </w:r>
      <w:r>
        <w:rPr>
          <w:b/>
          <w:w w:val="115"/>
          <w:sz w:val="16"/>
        </w:rPr>
        <w:t>socially</w:t>
      </w:r>
      <w:r>
        <w:rPr>
          <w:b/>
          <w:spacing w:val="-11"/>
          <w:w w:val="115"/>
          <w:sz w:val="16"/>
        </w:rPr>
        <w:t xml:space="preserve"> </w:t>
      </w:r>
      <w:r>
        <w:rPr>
          <w:b/>
          <w:w w:val="115"/>
          <w:sz w:val="16"/>
        </w:rPr>
        <w:t>effective,</w:t>
      </w:r>
      <w:r>
        <w:rPr>
          <w:b/>
          <w:spacing w:val="-8"/>
          <w:w w:val="115"/>
          <w:sz w:val="16"/>
        </w:rPr>
        <w:t xml:space="preserve"> </w:t>
      </w:r>
      <w:r>
        <w:rPr>
          <w:b/>
          <w:w w:val="115"/>
          <w:sz w:val="16"/>
        </w:rPr>
        <w:t>generally</w:t>
      </w:r>
      <w:r>
        <w:rPr>
          <w:b/>
          <w:spacing w:val="-17"/>
          <w:w w:val="115"/>
          <w:sz w:val="16"/>
        </w:rPr>
        <w:t xml:space="preserve"> </w:t>
      </w:r>
      <w:r>
        <w:rPr>
          <w:b/>
          <w:w w:val="115"/>
          <w:sz w:val="16"/>
        </w:rPr>
        <w:t>satisfied with</w:t>
      </w:r>
      <w:r>
        <w:rPr>
          <w:b/>
          <w:spacing w:val="-12"/>
          <w:w w:val="115"/>
          <w:sz w:val="16"/>
        </w:rPr>
        <w:t xml:space="preserve"> </w:t>
      </w:r>
      <w:r>
        <w:rPr>
          <w:b/>
          <w:w w:val="115"/>
          <w:sz w:val="16"/>
        </w:rPr>
        <w:t>life,</w:t>
      </w:r>
      <w:r>
        <w:rPr>
          <w:b/>
          <w:spacing w:val="-8"/>
          <w:w w:val="115"/>
          <w:sz w:val="16"/>
        </w:rPr>
        <w:t xml:space="preserve"> </w:t>
      </w:r>
      <w:r>
        <w:rPr>
          <w:b/>
          <w:w w:val="115"/>
          <w:sz w:val="16"/>
        </w:rPr>
        <w:t>no more</w:t>
      </w:r>
      <w:r>
        <w:rPr>
          <w:b/>
          <w:spacing w:val="-8"/>
          <w:w w:val="115"/>
          <w:sz w:val="16"/>
        </w:rPr>
        <w:t xml:space="preserve"> </w:t>
      </w:r>
      <w:r>
        <w:rPr>
          <w:b/>
          <w:w w:val="115"/>
          <w:sz w:val="16"/>
        </w:rPr>
        <w:t>than</w:t>
      </w:r>
      <w:r>
        <w:rPr>
          <w:b/>
          <w:spacing w:val="-12"/>
          <w:w w:val="115"/>
          <w:sz w:val="16"/>
        </w:rPr>
        <w:t xml:space="preserve"> </w:t>
      </w:r>
      <w:r>
        <w:rPr>
          <w:b/>
          <w:w w:val="115"/>
          <w:sz w:val="16"/>
        </w:rPr>
        <w:t>everyday</w:t>
      </w:r>
      <w:r>
        <w:rPr>
          <w:b/>
          <w:spacing w:val="-6"/>
          <w:w w:val="115"/>
          <w:sz w:val="16"/>
        </w:rPr>
        <w:t xml:space="preserve"> </w:t>
      </w:r>
      <w:r>
        <w:rPr>
          <w:b/>
          <w:w w:val="115"/>
          <w:sz w:val="16"/>
        </w:rPr>
        <w:t>problems</w:t>
      </w:r>
      <w:r>
        <w:rPr>
          <w:b/>
          <w:spacing w:val="-11"/>
          <w:w w:val="115"/>
          <w:sz w:val="16"/>
        </w:rPr>
        <w:t xml:space="preserve"> </w:t>
      </w:r>
      <w:r>
        <w:rPr>
          <w:b/>
          <w:w w:val="115"/>
          <w:sz w:val="16"/>
        </w:rPr>
        <w:t>or</w:t>
      </w:r>
      <w:r>
        <w:rPr>
          <w:b/>
          <w:spacing w:val="-5"/>
          <w:w w:val="115"/>
          <w:sz w:val="16"/>
        </w:rPr>
        <w:t xml:space="preserve"> </w:t>
      </w:r>
      <w:r>
        <w:rPr>
          <w:b/>
          <w:w w:val="115"/>
          <w:sz w:val="16"/>
        </w:rPr>
        <w:t>concerns</w:t>
      </w:r>
      <w:r>
        <w:rPr>
          <w:b/>
          <w:spacing w:val="-9"/>
          <w:w w:val="115"/>
          <w:sz w:val="16"/>
        </w:rPr>
        <w:t xml:space="preserve"> </w:t>
      </w:r>
      <w:r>
        <w:rPr>
          <w:w w:val="115"/>
          <w:sz w:val="16"/>
        </w:rPr>
        <w:t>(e.g.,</w:t>
      </w:r>
      <w:r>
        <w:rPr>
          <w:spacing w:val="-7"/>
          <w:w w:val="115"/>
          <w:sz w:val="16"/>
        </w:rPr>
        <w:t xml:space="preserve"> </w:t>
      </w:r>
      <w:r>
        <w:rPr>
          <w:w w:val="115"/>
          <w:sz w:val="16"/>
        </w:rPr>
        <w:t>an</w:t>
      </w:r>
      <w:r>
        <w:rPr>
          <w:spacing w:val="-1"/>
          <w:w w:val="115"/>
          <w:sz w:val="16"/>
        </w:rPr>
        <w:t xml:space="preserve"> </w:t>
      </w:r>
      <w:r>
        <w:rPr>
          <w:w w:val="115"/>
          <w:sz w:val="16"/>
        </w:rPr>
        <w:t>occasional</w:t>
      </w:r>
      <w:r>
        <w:rPr>
          <w:spacing w:val="1"/>
          <w:w w:val="115"/>
          <w:sz w:val="16"/>
        </w:rPr>
        <w:t xml:space="preserve"> </w:t>
      </w:r>
      <w:r>
        <w:rPr>
          <w:w w:val="115"/>
          <w:sz w:val="16"/>
        </w:rPr>
        <w:t>argument</w:t>
      </w:r>
      <w:r>
        <w:rPr>
          <w:spacing w:val="2"/>
          <w:w w:val="115"/>
          <w:sz w:val="16"/>
        </w:rPr>
        <w:t xml:space="preserve"> </w:t>
      </w:r>
      <w:r>
        <w:rPr>
          <w:w w:val="115"/>
          <w:sz w:val="16"/>
        </w:rPr>
        <w:t>with family members).</w:t>
      </w:r>
    </w:p>
    <w:p w:rsidR="00E675F0" w:rsidRDefault="00E675F0" w:rsidP="00E675F0">
      <w:pPr>
        <w:pStyle w:val="BodyText"/>
        <w:spacing w:before="9"/>
        <w:rPr>
          <w:sz w:val="15"/>
        </w:rPr>
      </w:pPr>
    </w:p>
    <w:p w:rsidR="00E675F0" w:rsidRDefault="00E675F0" w:rsidP="00E675F0">
      <w:pPr>
        <w:ind w:left="124" w:right="112" w:firstLine="6"/>
        <w:jc w:val="both"/>
        <w:rPr>
          <w:sz w:val="16"/>
        </w:rPr>
      </w:pPr>
      <w:r>
        <w:rPr>
          <w:rFonts w:ascii="TimesNewRomanPS-BoldItalicMT"/>
          <w:b/>
          <w:i/>
          <w:w w:val="110"/>
          <w:sz w:val="16"/>
        </w:rPr>
        <w:t xml:space="preserve">H </w:t>
      </w:r>
      <w:r>
        <w:rPr>
          <w:b/>
          <w:w w:val="110"/>
          <w:sz w:val="16"/>
        </w:rPr>
        <w:t>symptoms are present, they are transient and expectable reactions to psychosocial stressors</w:t>
      </w:r>
      <w:r>
        <w:rPr>
          <w:b/>
          <w:spacing w:val="-11"/>
          <w:w w:val="110"/>
          <w:sz w:val="16"/>
        </w:rPr>
        <w:t xml:space="preserve"> </w:t>
      </w:r>
      <w:r>
        <w:rPr>
          <w:w w:val="110"/>
          <w:sz w:val="16"/>
        </w:rPr>
        <w:t>(e.g.,</w:t>
      </w:r>
      <w:r>
        <w:rPr>
          <w:spacing w:val="-3"/>
          <w:w w:val="110"/>
          <w:sz w:val="16"/>
        </w:rPr>
        <w:t xml:space="preserve"> </w:t>
      </w:r>
      <w:r>
        <w:rPr>
          <w:w w:val="110"/>
          <w:sz w:val="16"/>
        </w:rPr>
        <w:t>difficulty</w:t>
      </w:r>
      <w:r>
        <w:rPr>
          <w:spacing w:val="-5"/>
          <w:w w:val="110"/>
          <w:sz w:val="16"/>
        </w:rPr>
        <w:t xml:space="preserve"> </w:t>
      </w:r>
      <w:r>
        <w:rPr>
          <w:w w:val="110"/>
          <w:sz w:val="16"/>
        </w:rPr>
        <w:t>concentrating</w:t>
      </w:r>
      <w:r>
        <w:rPr>
          <w:spacing w:val="-2"/>
          <w:w w:val="110"/>
          <w:sz w:val="16"/>
        </w:rPr>
        <w:t xml:space="preserve"> </w:t>
      </w:r>
      <w:r>
        <w:rPr>
          <w:w w:val="110"/>
          <w:sz w:val="16"/>
        </w:rPr>
        <w:t>after</w:t>
      </w:r>
      <w:r>
        <w:rPr>
          <w:spacing w:val="-13"/>
          <w:w w:val="110"/>
          <w:sz w:val="16"/>
        </w:rPr>
        <w:t xml:space="preserve"> </w:t>
      </w:r>
      <w:r>
        <w:rPr>
          <w:w w:val="110"/>
          <w:sz w:val="16"/>
        </w:rPr>
        <w:t>family</w:t>
      </w:r>
      <w:r>
        <w:rPr>
          <w:spacing w:val="-9"/>
          <w:w w:val="110"/>
          <w:sz w:val="16"/>
        </w:rPr>
        <w:t xml:space="preserve"> </w:t>
      </w:r>
      <w:r>
        <w:rPr>
          <w:w w:val="110"/>
          <w:sz w:val="16"/>
        </w:rPr>
        <w:t>argument);</w:t>
      </w:r>
      <w:r>
        <w:rPr>
          <w:spacing w:val="-8"/>
          <w:w w:val="110"/>
          <w:sz w:val="16"/>
        </w:rPr>
        <w:t xml:space="preserve"> </w:t>
      </w:r>
      <w:r>
        <w:rPr>
          <w:b/>
          <w:w w:val="110"/>
          <w:sz w:val="16"/>
        </w:rPr>
        <w:t>no more</w:t>
      </w:r>
      <w:r>
        <w:rPr>
          <w:b/>
          <w:spacing w:val="-14"/>
          <w:w w:val="110"/>
          <w:sz w:val="16"/>
        </w:rPr>
        <w:t xml:space="preserve"> </w:t>
      </w:r>
      <w:r>
        <w:rPr>
          <w:b/>
          <w:w w:val="110"/>
          <w:sz w:val="16"/>
        </w:rPr>
        <w:t>than</w:t>
      </w:r>
      <w:r>
        <w:rPr>
          <w:b/>
          <w:spacing w:val="-25"/>
          <w:w w:val="110"/>
          <w:sz w:val="16"/>
        </w:rPr>
        <w:t xml:space="preserve"> </w:t>
      </w:r>
      <w:r>
        <w:rPr>
          <w:b/>
          <w:w w:val="110"/>
          <w:sz w:val="16"/>
        </w:rPr>
        <w:t>slight</w:t>
      </w:r>
      <w:r>
        <w:rPr>
          <w:b/>
          <w:spacing w:val="-16"/>
          <w:w w:val="110"/>
          <w:sz w:val="16"/>
        </w:rPr>
        <w:t xml:space="preserve"> </w:t>
      </w:r>
      <w:r>
        <w:rPr>
          <w:b/>
          <w:w w:val="110"/>
          <w:sz w:val="16"/>
        </w:rPr>
        <w:t xml:space="preserve">hnpairment in social, occupational, or school functioning </w:t>
      </w:r>
      <w:r>
        <w:rPr>
          <w:w w:val="110"/>
          <w:sz w:val="16"/>
        </w:rPr>
        <w:t>(e.g., temporarily falling behind in</w:t>
      </w:r>
      <w:r>
        <w:rPr>
          <w:spacing w:val="-10"/>
          <w:w w:val="110"/>
          <w:sz w:val="16"/>
        </w:rPr>
        <w:t xml:space="preserve"> </w:t>
      </w:r>
      <w:r>
        <w:rPr>
          <w:w w:val="110"/>
          <w:sz w:val="16"/>
        </w:rPr>
        <w:t>schoolwork).</w:t>
      </w:r>
    </w:p>
    <w:p w:rsidR="00E675F0" w:rsidRDefault="00E675F0" w:rsidP="00E675F0">
      <w:pPr>
        <w:pStyle w:val="BodyText"/>
        <w:spacing w:before="6"/>
        <w:rPr>
          <w:sz w:val="15"/>
        </w:rPr>
      </w:pPr>
    </w:p>
    <w:p w:rsidR="00E675F0" w:rsidRDefault="00E675F0" w:rsidP="00E675F0">
      <w:pPr>
        <w:spacing w:before="1" w:line="242" w:lineRule="auto"/>
        <w:ind w:left="120" w:right="109" w:firstLine="2"/>
        <w:jc w:val="both"/>
        <w:rPr>
          <w:b/>
          <w:sz w:val="16"/>
        </w:rPr>
      </w:pPr>
      <w:r>
        <w:rPr>
          <w:b/>
          <w:w w:val="110"/>
          <w:sz w:val="16"/>
        </w:rPr>
        <w:t xml:space="preserve">Some mild symptoms </w:t>
      </w:r>
      <w:r>
        <w:rPr>
          <w:w w:val="110"/>
          <w:sz w:val="16"/>
        </w:rPr>
        <w:t xml:space="preserve">(e.g., depressed mood and mild insomnia) </w:t>
      </w:r>
      <w:r>
        <w:rPr>
          <w:b/>
          <w:w w:val="110"/>
          <w:sz w:val="16"/>
        </w:rPr>
        <w:t>OR some difficulty in social, occupational,</w:t>
      </w:r>
      <w:r>
        <w:rPr>
          <w:b/>
          <w:spacing w:val="-10"/>
          <w:w w:val="110"/>
          <w:sz w:val="16"/>
        </w:rPr>
        <w:t xml:space="preserve"> </w:t>
      </w:r>
      <w:r>
        <w:rPr>
          <w:b/>
          <w:w w:val="110"/>
          <w:sz w:val="16"/>
        </w:rPr>
        <w:t>or</w:t>
      </w:r>
      <w:r>
        <w:rPr>
          <w:b/>
          <w:spacing w:val="-17"/>
          <w:w w:val="110"/>
          <w:sz w:val="16"/>
        </w:rPr>
        <w:t xml:space="preserve"> </w:t>
      </w:r>
      <w:r>
        <w:rPr>
          <w:b/>
          <w:w w:val="110"/>
          <w:sz w:val="16"/>
        </w:rPr>
        <w:t>school</w:t>
      </w:r>
      <w:r>
        <w:rPr>
          <w:b/>
          <w:spacing w:val="-25"/>
          <w:w w:val="110"/>
          <w:sz w:val="16"/>
        </w:rPr>
        <w:t xml:space="preserve"> </w:t>
      </w:r>
      <w:r>
        <w:rPr>
          <w:b/>
          <w:w w:val="110"/>
          <w:sz w:val="16"/>
        </w:rPr>
        <w:t>functioning</w:t>
      </w:r>
      <w:r>
        <w:rPr>
          <w:b/>
          <w:spacing w:val="-16"/>
          <w:w w:val="110"/>
          <w:sz w:val="16"/>
        </w:rPr>
        <w:t xml:space="preserve"> </w:t>
      </w:r>
      <w:r>
        <w:rPr>
          <w:w w:val="110"/>
          <w:sz w:val="16"/>
        </w:rPr>
        <w:t>(e.g.,</w:t>
      </w:r>
      <w:r>
        <w:rPr>
          <w:spacing w:val="-12"/>
          <w:w w:val="110"/>
          <w:sz w:val="16"/>
        </w:rPr>
        <w:t xml:space="preserve"> </w:t>
      </w:r>
      <w:r>
        <w:rPr>
          <w:w w:val="110"/>
          <w:sz w:val="16"/>
        </w:rPr>
        <w:t>occasional</w:t>
      </w:r>
      <w:r>
        <w:rPr>
          <w:spacing w:val="-3"/>
          <w:w w:val="110"/>
          <w:sz w:val="16"/>
        </w:rPr>
        <w:t xml:space="preserve"> </w:t>
      </w:r>
      <w:r>
        <w:rPr>
          <w:w w:val="110"/>
          <w:sz w:val="16"/>
        </w:rPr>
        <w:t>truancy,</w:t>
      </w:r>
      <w:r>
        <w:rPr>
          <w:spacing w:val="-5"/>
          <w:w w:val="110"/>
          <w:sz w:val="16"/>
        </w:rPr>
        <w:t xml:space="preserve"> </w:t>
      </w:r>
      <w:r>
        <w:rPr>
          <w:w w:val="110"/>
          <w:sz w:val="16"/>
        </w:rPr>
        <w:t>or</w:t>
      </w:r>
      <w:r>
        <w:rPr>
          <w:spacing w:val="-7"/>
          <w:w w:val="110"/>
          <w:sz w:val="16"/>
        </w:rPr>
        <w:t xml:space="preserve"> </w:t>
      </w:r>
      <w:r>
        <w:rPr>
          <w:w w:val="110"/>
          <w:sz w:val="16"/>
        </w:rPr>
        <w:t>theft</w:t>
      </w:r>
      <w:r>
        <w:rPr>
          <w:spacing w:val="-10"/>
          <w:w w:val="110"/>
          <w:sz w:val="16"/>
        </w:rPr>
        <w:t xml:space="preserve"> </w:t>
      </w:r>
      <w:r>
        <w:rPr>
          <w:w w:val="110"/>
          <w:sz w:val="16"/>
        </w:rPr>
        <w:t>within</w:t>
      </w:r>
      <w:r>
        <w:rPr>
          <w:spacing w:val="-10"/>
          <w:w w:val="110"/>
          <w:sz w:val="16"/>
        </w:rPr>
        <w:t xml:space="preserve"> </w:t>
      </w:r>
      <w:r>
        <w:rPr>
          <w:w w:val="110"/>
          <w:sz w:val="16"/>
        </w:rPr>
        <w:t>the</w:t>
      </w:r>
      <w:r>
        <w:rPr>
          <w:spacing w:val="3"/>
          <w:w w:val="110"/>
          <w:sz w:val="16"/>
        </w:rPr>
        <w:t xml:space="preserve"> </w:t>
      </w:r>
      <w:r>
        <w:rPr>
          <w:w w:val="110"/>
          <w:sz w:val="16"/>
        </w:rPr>
        <w:t>household),</w:t>
      </w:r>
      <w:r>
        <w:rPr>
          <w:spacing w:val="-8"/>
          <w:w w:val="110"/>
          <w:sz w:val="16"/>
        </w:rPr>
        <w:t xml:space="preserve"> </w:t>
      </w:r>
      <w:r>
        <w:rPr>
          <w:b/>
          <w:w w:val="110"/>
          <w:sz w:val="16"/>
        </w:rPr>
        <w:t>but generally functioning pretty well, has some meaningful interpersonal</w:t>
      </w:r>
      <w:r>
        <w:rPr>
          <w:b/>
          <w:spacing w:val="-2"/>
          <w:w w:val="110"/>
          <w:sz w:val="16"/>
        </w:rPr>
        <w:t xml:space="preserve"> </w:t>
      </w:r>
      <w:r>
        <w:rPr>
          <w:b/>
          <w:w w:val="110"/>
          <w:sz w:val="16"/>
        </w:rPr>
        <w:t>relationships.</w:t>
      </w:r>
    </w:p>
    <w:p w:rsidR="00E675F0" w:rsidRDefault="00E675F0" w:rsidP="00E675F0">
      <w:pPr>
        <w:pStyle w:val="BodyText"/>
        <w:spacing w:before="10"/>
        <w:rPr>
          <w:b/>
          <w:sz w:val="15"/>
        </w:rPr>
      </w:pPr>
    </w:p>
    <w:p w:rsidR="00E675F0" w:rsidRDefault="00E675F0" w:rsidP="00E675F0">
      <w:pPr>
        <w:spacing w:line="242" w:lineRule="auto"/>
        <w:ind w:left="124" w:right="108" w:firstLine="2"/>
        <w:jc w:val="both"/>
        <w:rPr>
          <w:sz w:val="16"/>
        </w:rPr>
      </w:pPr>
      <w:r>
        <w:rPr>
          <w:b/>
          <w:w w:val="110"/>
          <w:sz w:val="16"/>
        </w:rPr>
        <w:t xml:space="preserve">Moderate symptoms </w:t>
      </w:r>
      <w:r>
        <w:rPr>
          <w:w w:val="110"/>
          <w:sz w:val="16"/>
        </w:rPr>
        <w:t xml:space="preserve">(e.g., flat affect and circumstantial speech, occasional panic attacks) </w:t>
      </w:r>
      <w:r>
        <w:rPr>
          <w:b/>
          <w:w w:val="110"/>
          <w:sz w:val="16"/>
        </w:rPr>
        <w:t xml:space="preserve">OR moderate difficulty in social, occupational, or school functioning </w:t>
      </w:r>
      <w:r>
        <w:rPr>
          <w:w w:val="110"/>
          <w:sz w:val="16"/>
        </w:rPr>
        <w:t>(e.g., few friends, conflicts with peers or co-workers).</w:t>
      </w:r>
    </w:p>
    <w:p w:rsidR="00E675F0" w:rsidRDefault="00E675F0" w:rsidP="00E675F0">
      <w:pPr>
        <w:pStyle w:val="BodyText"/>
        <w:rPr>
          <w:sz w:val="15"/>
        </w:rPr>
      </w:pPr>
    </w:p>
    <w:p w:rsidR="00E675F0" w:rsidRDefault="00E675F0" w:rsidP="00E675F0">
      <w:pPr>
        <w:spacing w:before="1"/>
        <w:ind w:left="124" w:right="114" w:hanging="7"/>
        <w:jc w:val="both"/>
        <w:rPr>
          <w:sz w:val="16"/>
        </w:rPr>
      </w:pPr>
      <w:r>
        <w:rPr>
          <w:b/>
          <w:w w:val="110"/>
          <w:sz w:val="16"/>
        </w:rPr>
        <w:t>Serious</w:t>
      </w:r>
      <w:r>
        <w:rPr>
          <w:b/>
          <w:spacing w:val="-25"/>
          <w:w w:val="110"/>
          <w:sz w:val="16"/>
        </w:rPr>
        <w:t xml:space="preserve"> </w:t>
      </w:r>
      <w:r>
        <w:rPr>
          <w:b/>
          <w:w w:val="110"/>
          <w:sz w:val="16"/>
        </w:rPr>
        <w:t>symptoms</w:t>
      </w:r>
      <w:r>
        <w:rPr>
          <w:b/>
          <w:spacing w:val="-22"/>
          <w:w w:val="110"/>
          <w:sz w:val="16"/>
        </w:rPr>
        <w:t xml:space="preserve"> </w:t>
      </w:r>
      <w:r>
        <w:rPr>
          <w:w w:val="110"/>
          <w:sz w:val="16"/>
        </w:rPr>
        <w:t>(e.g.,</w:t>
      </w:r>
      <w:r>
        <w:rPr>
          <w:spacing w:val="-23"/>
          <w:w w:val="110"/>
          <w:sz w:val="16"/>
        </w:rPr>
        <w:t xml:space="preserve"> </w:t>
      </w:r>
      <w:r>
        <w:rPr>
          <w:w w:val="110"/>
          <w:sz w:val="16"/>
        </w:rPr>
        <w:t>suicidal</w:t>
      </w:r>
      <w:r>
        <w:rPr>
          <w:spacing w:val="-21"/>
          <w:w w:val="110"/>
          <w:sz w:val="16"/>
        </w:rPr>
        <w:t xml:space="preserve"> </w:t>
      </w:r>
      <w:r>
        <w:rPr>
          <w:w w:val="110"/>
          <w:sz w:val="16"/>
        </w:rPr>
        <w:t>ideation,</w:t>
      </w:r>
      <w:r>
        <w:rPr>
          <w:spacing w:val="-20"/>
          <w:w w:val="110"/>
          <w:sz w:val="16"/>
        </w:rPr>
        <w:t xml:space="preserve"> </w:t>
      </w:r>
      <w:r>
        <w:rPr>
          <w:w w:val="110"/>
          <w:sz w:val="16"/>
        </w:rPr>
        <w:t>severe</w:t>
      </w:r>
      <w:r>
        <w:rPr>
          <w:spacing w:val="-21"/>
          <w:w w:val="110"/>
          <w:sz w:val="16"/>
        </w:rPr>
        <w:t xml:space="preserve"> </w:t>
      </w:r>
      <w:r>
        <w:rPr>
          <w:w w:val="110"/>
          <w:sz w:val="16"/>
        </w:rPr>
        <w:t>obsessional</w:t>
      </w:r>
      <w:r>
        <w:rPr>
          <w:spacing w:val="-14"/>
          <w:w w:val="110"/>
          <w:sz w:val="16"/>
        </w:rPr>
        <w:t xml:space="preserve"> </w:t>
      </w:r>
      <w:r>
        <w:rPr>
          <w:w w:val="110"/>
          <w:sz w:val="16"/>
        </w:rPr>
        <w:t>rituals,</w:t>
      </w:r>
      <w:r>
        <w:rPr>
          <w:spacing w:val="-21"/>
          <w:w w:val="110"/>
          <w:sz w:val="16"/>
        </w:rPr>
        <w:t xml:space="preserve"> </w:t>
      </w:r>
      <w:r>
        <w:rPr>
          <w:w w:val="110"/>
          <w:sz w:val="16"/>
        </w:rPr>
        <w:t>frequent</w:t>
      </w:r>
      <w:r>
        <w:rPr>
          <w:spacing w:val="-21"/>
          <w:w w:val="110"/>
          <w:sz w:val="16"/>
        </w:rPr>
        <w:t xml:space="preserve"> </w:t>
      </w:r>
      <w:r>
        <w:rPr>
          <w:w w:val="110"/>
          <w:sz w:val="16"/>
        </w:rPr>
        <w:t>shoplifting)</w:t>
      </w:r>
      <w:r>
        <w:rPr>
          <w:spacing w:val="-19"/>
          <w:w w:val="110"/>
          <w:sz w:val="16"/>
        </w:rPr>
        <w:t xml:space="preserve"> </w:t>
      </w:r>
      <w:r>
        <w:rPr>
          <w:b/>
          <w:w w:val="110"/>
          <w:sz w:val="16"/>
        </w:rPr>
        <w:t>OR</w:t>
      </w:r>
      <w:r>
        <w:rPr>
          <w:b/>
          <w:spacing w:val="-29"/>
          <w:w w:val="110"/>
          <w:sz w:val="16"/>
        </w:rPr>
        <w:t xml:space="preserve"> </w:t>
      </w:r>
      <w:r>
        <w:rPr>
          <w:b/>
          <w:w w:val="110"/>
          <w:sz w:val="16"/>
        </w:rPr>
        <w:t xml:space="preserve">any serious hnpairment in social, occupational, or school functioning </w:t>
      </w:r>
      <w:r>
        <w:rPr>
          <w:w w:val="110"/>
          <w:sz w:val="16"/>
        </w:rPr>
        <w:t>(e.g., no friends, unable to keep a</w:t>
      </w:r>
      <w:r>
        <w:rPr>
          <w:spacing w:val="28"/>
          <w:w w:val="110"/>
          <w:sz w:val="16"/>
        </w:rPr>
        <w:t xml:space="preserve"> </w:t>
      </w:r>
      <w:r>
        <w:rPr>
          <w:w w:val="110"/>
          <w:sz w:val="16"/>
        </w:rPr>
        <w:t>job).</w:t>
      </w:r>
    </w:p>
    <w:p w:rsidR="00E675F0" w:rsidRDefault="00E675F0" w:rsidP="00E675F0">
      <w:pPr>
        <w:pStyle w:val="BodyText"/>
        <w:spacing w:before="5"/>
        <w:rPr>
          <w:sz w:val="16"/>
        </w:rPr>
      </w:pPr>
    </w:p>
    <w:p w:rsidR="00E675F0" w:rsidRDefault="00E675F0" w:rsidP="00E675F0">
      <w:pPr>
        <w:spacing w:line="230" w:lineRule="auto"/>
        <w:ind w:left="125" w:right="107" w:hanging="3"/>
        <w:jc w:val="both"/>
        <w:rPr>
          <w:sz w:val="16"/>
        </w:rPr>
      </w:pPr>
      <w:r>
        <w:rPr>
          <w:b/>
          <w:w w:val="110"/>
          <w:sz w:val="16"/>
        </w:rPr>
        <w:t>Some</w:t>
      </w:r>
      <w:r>
        <w:rPr>
          <w:b/>
          <w:spacing w:val="-29"/>
          <w:w w:val="110"/>
          <w:sz w:val="16"/>
        </w:rPr>
        <w:t xml:space="preserve"> </w:t>
      </w:r>
      <w:r>
        <w:rPr>
          <w:b/>
          <w:w w:val="110"/>
          <w:sz w:val="16"/>
        </w:rPr>
        <w:t>hnpairment</w:t>
      </w:r>
      <w:r>
        <w:rPr>
          <w:b/>
          <w:spacing w:val="-16"/>
          <w:w w:val="110"/>
          <w:sz w:val="16"/>
        </w:rPr>
        <w:t xml:space="preserve"> </w:t>
      </w:r>
      <w:r>
        <w:rPr>
          <w:b/>
          <w:w w:val="110"/>
          <w:sz w:val="16"/>
        </w:rPr>
        <w:t>in</w:t>
      </w:r>
      <w:r>
        <w:rPr>
          <w:b/>
          <w:spacing w:val="-19"/>
          <w:w w:val="110"/>
          <w:sz w:val="16"/>
        </w:rPr>
        <w:t xml:space="preserve"> </w:t>
      </w:r>
      <w:r>
        <w:rPr>
          <w:b/>
          <w:w w:val="110"/>
          <w:sz w:val="16"/>
        </w:rPr>
        <w:t>reality</w:t>
      </w:r>
      <w:r>
        <w:rPr>
          <w:b/>
          <w:spacing w:val="-24"/>
          <w:w w:val="110"/>
          <w:sz w:val="16"/>
        </w:rPr>
        <w:t xml:space="preserve"> </w:t>
      </w:r>
      <w:r>
        <w:rPr>
          <w:b/>
          <w:w w:val="110"/>
          <w:sz w:val="16"/>
        </w:rPr>
        <w:t>testing</w:t>
      </w:r>
      <w:r>
        <w:rPr>
          <w:b/>
          <w:spacing w:val="-29"/>
          <w:w w:val="110"/>
          <w:sz w:val="16"/>
        </w:rPr>
        <w:t xml:space="preserve"> </w:t>
      </w:r>
      <w:r>
        <w:rPr>
          <w:b/>
          <w:w w:val="110"/>
          <w:sz w:val="16"/>
        </w:rPr>
        <w:t>or</w:t>
      </w:r>
      <w:r>
        <w:rPr>
          <w:b/>
          <w:spacing w:val="-24"/>
          <w:w w:val="110"/>
          <w:sz w:val="16"/>
        </w:rPr>
        <w:t xml:space="preserve"> </w:t>
      </w:r>
      <w:r>
        <w:rPr>
          <w:b/>
          <w:w w:val="110"/>
          <w:sz w:val="16"/>
        </w:rPr>
        <w:t>communication</w:t>
      </w:r>
      <w:r>
        <w:rPr>
          <w:b/>
          <w:spacing w:val="-15"/>
          <w:w w:val="110"/>
          <w:sz w:val="16"/>
        </w:rPr>
        <w:t xml:space="preserve"> </w:t>
      </w:r>
      <w:r>
        <w:rPr>
          <w:w w:val="110"/>
          <w:sz w:val="16"/>
        </w:rPr>
        <w:t>(e.g.,</w:t>
      </w:r>
      <w:r>
        <w:rPr>
          <w:spacing w:val="-22"/>
          <w:w w:val="110"/>
          <w:sz w:val="16"/>
        </w:rPr>
        <w:t xml:space="preserve"> </w:t>
      </w:r>
      <w:r>
        <w:rPr>
          <w:w w:val="110"/>
          <w:sz w:val="16"/>
        </w:rPr>
        <w:t>speech</w:t>
      </w:r>
      <w:r>
        <w:rPr>
          <w:spacing w:val="-11"/>
          <w:w w:val="110"/>
          <w:sz w:val="16"/>
        </w:rPr>
        <w:t xml:space="preserve"> </w:t>
      </w:r>
      <w:r>
        <w:rPr>
          <w:w w:val="110"/>
          <w:sz w:val="16"/>
        </w:rPr>
        <w:t>is</w:t>
      </w:r>
      <w:r>
        <w:rPr>
          <w:spacing w:val="-24"/>
          <w:w w:val="110"/>
          <w:sz w:val="16"/>
        </w:rPr>
        <w:t xml:space="preserve"> </w:t>
      </w:r>
      <w:r>
        <w:rPr>
          <w:w w:val="110"/>
          <w:sz w:val="16"/>
        </w:rPr>
        <w:t>at</w:t>
      </w:r>
      <w:r>
        <w:rPr>
          <w:spacing w:val="-1"/>
          <w:w w:val="110"/>
          <w:sz w:val="16"/>
        </w:rPr>
        <w:t xml:space="preserve"> </w:t>
      </w:r>
      <w:r>
        <w:rPr>
          <w:w w:val="110"/>
          <w:sz w:val="16"/>
        </w:rPr>
        <w:t>times</w:t>
      </w:r>
      <w:r>
        <w:rPr>
          <w:spacing w:val="-16"/>
          <w:w w:val="110"/>
          <w:sz w:val="16"/>
        </w:rPr>
        <w:t xml:space="preserve"> </w:t>
      </w:r>
      <w:r>
        <w:rPr>
          <w:w w:val="110"/>
          <w:sz w:val="16"/>
        </w:rPr>
        <w:t>illogical,</w:t>
      </w:r>
      <w:r>
        <w:rPr>
          <w:spacing w:val="-13"/>
          <w:w w:val="110"/>
          <w:sz w:val="16"/>
        </w:rPr>
        <w:t xml:space="preserve"> </w:t>
      </w:r>
      <w:r>
        <w:rPr>
          <w:w w:val="110"/>
          <w:sz w:val="16"/>
        </w:rPr>
        <w:t>obscure, or</w:t>
      </w:r>
      <w:r>
        <w:rPr>
          <w:spacing w:val="1"/>
          <w:w w:val="110"/>
          <w:sz w:val="16"/>
        </w:rPr>
        <w:t xml:space="preserve"> </w:t>
      </w:r>
      <w:r>
        <w:rPr>
          <w:w w:val="110"/>
          <w:sz w:val="16"/>
        </w:rPr>
        <w:t>irrelevant)</w:t>
      </w:r>
      <w:r>
        <w:rPr>
          <w:spacing w:val="-1"/>
          <w:w w:val="110"/>
          <w:sz w:val="16"/>
        </w:rPr>
        <w:t xml:space="preserve"> </w:t>
      </w:r>
      <w:r>
        <w:rPr>
          <w:b/>
          <w:w w:val="110"/>
          <w:sz w:val="16"/>
        </w:rPr>
        <w:t>OR</w:t>
      </w:r>
      <w:r>
        <w:rPr>
          <w:b/>
          <w:spacing w:val="-16"/>
          <w:w w:val="110"/>
          <w:sz w:val="16"/>
        </w:rPr>
        <w:t xml:space="preserve"> </w:t>
      </w:r>
      <w:r>
        <w:rPr>
          <w:b/>
          <w:w w:val="110"/>
          <w:sz w:val="16"/>
        </w:rPr>
        <w:t>major</w:t>
      </w:r>
      <w:r>
        <w:rPr>
          <w:b/>
          <w:spacing w:val="-12"/>
          <w:w w:val="110"/>
          <w:sz w:val="16"/>
        </w:rPr>
        <w:t xml:space="preserve"> </w:t>
      </w:r>
      <w:r>
        <w:rPr>
          <w:b/>
          <w:w w:val="110"/>
          <w:sz w:val="16"/>
        </w:rPr>
        <w:t>impairment</w:t>
      </w:r>
      <w:r>
        <w:rPr>
          <w:b/>
          <w:spacing w:val="-7"/>
          <w:w w:val="110"/>
          <w:sz w:val="16"/>
        </w:rPr>
        <w:t xml:space="preserve"> </w:t>
      </w:r>
      <w:r>
        <w:rPr>
          <w:b/>
          <w:w w:val="110"/>
          <w:sz w:val="16"/>
        </w:rPr>
        <w:t>in</w:t>
      </w:r>
      <w:r>
        <w:rPr>
          <w:b/>
          <w:spacing w:val="-10"/>
          <w:w w:val="110"/>
          <w:sz w:val="16"/>
        </w:rPr>
        <w:t xml:space="preserve"> </w:t>
      </w:r>
      <w:r>
        <w:rPr>
          <w:b/>
          <w:w w:val="110"/>
          <w:sz w:val="16"/>
        </w:rPr>
        <w:t>several</w:t>
      </w:r>
      <w:r>
        <w:rPr>
          <w:b/>
          <w:spacing w:val="-23"/>
          <w:w w:val="110"/>
          <w:sz w:val="16"/>
        </w:rPr>
        <w:t xml:space="preserve"> </w:t>
      </w:r>
      <w:r>
        <w:rPr>
          <w:b/>
          <w:w w:val="110"/>
          <w:sz w:val="16"/>
        </w:rPr>
        <w:t>areas,</w:t>
      </w:r>
      <w:r>
        <w:rPr>
          <w:b/>
          <w:spacing w:val="-18"/>
          <w:w w:val="110"/>
          <w:sz w:val="16"/>
        </w:rPr>
        <w:t xml:space="preserve"> </w:t>
      </w:r>
      <w:r>
        <w:rPr>
          <w:b/>
          <w:w w:val="110"/>
          <w:sz w:val="16"/>
        </w:rPr>
        <w:t>suchas</w:t>
      </w:r>
      <w:r>
        <w:rPr>
          <w:b/>
          <w:spacing w:val="-24"/>
          <w:w w:val="110"/>
          <w:sz w:val="16"/>
        </w:rPr>
        <w:t xml:space="preserve"> </w:t>
      </w:r>
      <w:r>
        <w:rPr>
          <w:b/>
          <w:w w:val="110"/>
          <w:sz w:val="16"/>
        </w:rPr>
        <w:t>work</w:t>
      </w:r>
      <w:r>
        <w:rPr>
          <w:b/>
          <w:spacing w:val="-21"/>
          <w:w w:val="110"/>
          <w:sz w:val="16"/>
        </w:rPr>
        <w:t xml:space="preserve"> </w:t>
      </w:r>
      <w:r>
        <w:rPr>
          <w:b/>
          <w:w w:val="110"/>
          <w:sz w:val="16"/>
        </w:rPr>
        <w:t>or</w:t>
      </w:r>
      <w:r>
        <w:rPr>
          <w:b/>
          <w:spacing w:val="-14"/>
          <w:w w:val="110"/>
          <w:sz w:val="16"/>
        </w:rPr>
        <w:t xml:space="preserve"> </w:t>
      </w:r>
      <w:r>
        <w:rPr>
          <w:b/>
          <w:w w:val="110"/>
          <w:sz w:val="16"/>
        </w:rPr>
        <w:t>school,</w:t>
      </w:r>
      <w:r>
        <w:rPr>
          <w:b/>
          <w:spacing w:val="-13"/>
          <w:w w:val="110"/>
          <w:sz w:val="16"/>
        </w:rPr>
        <w:t xml:space="preserve"> </w:t>
      </w:r>
      <w:r>
        <w:rPr>
          <w:b/>
          <w:w w:val="110"/>
          <w:sz w:val="16"/>
        </w:rPr>
        <w:t>family</w:t>
      </w:r>
      <w:r>
        <w:rPr>
          <w:b/>
          <w:spacing w:val="-21"/>
          <w:w w:val="110"/>
          <w:sz w:val="16"/>
        </w:rPr>
        <w:t xml:space="preserve"> </w:t>
      </w:r>
      <w:r>
        <w:rPr>
          <w:b/>
          <w:w w:val="110"/>
          <w:sz w:val="16"/>
        </w:rPr>
        <w:t>relations, judgment,</w:t>
      </w:r>
      <w:r>
        <w:rPr>
          <w:b/>
          <w:spacing w:val="-7"/>
          <w:w w:val="110"/>
          <w:sz w:val="16"/>
        </w:rPr>
        <w:t xml:space="preserve"> </w:t>
      </w:r>
      <w:r>
        <w:rPr>
          <w:b/>
          <w:w w:val="110"/>
          <w:sz w:val="16"/>
        </w:rPr>
        <w:t>thinking,</w:t>
      </w:r>
      <w:r>
        <w:rPr>
          <w:b/>
          <w:spacing w:val="-7"/>
          <w:w w:val="110"/>
          <w:sz w:val="16"/>
        </w:rPr>
        <w:t xml:space="preserve"> </w:t>
      </w:r>
      <w:r>
        <w:rPr>
          <w:b/>
          <w:w w:val="110"/>
          <w:sz w:val="16"/>
        </w:rPr>
        <w:t>or</w:t>
      </w:r>
      <w:r>
        <w:rPr>
          <w:b/>
          <w:spacing w:val="-11"/>
          <w:w w:val="110"/>
          <w:sz w:val="16"/>
        </w:rPr>
        <w:t xml:space="preserve"> </w:t>
      </w:r>
      <w:r>
        <w:rPr>
          <w:b/>
          <w:w w:val="110"/>
          <w:sz w:val="16"/>
        </w:rPr>
        <w:t>mood</w:t>
      </w:r>
      <w:r>
        <w:rPr>
          <w:b/>
          <w:spacing w:val="-15"/>
          <w:w w:val="110"/>
          <w:sz w:val="16"/>
        </w:rPr>
        <w:t xml:space="preserve"> </w:t>
      </w:r>
      <w:r>
        <w:rPr>
          <w:w w:val="110"/>
          <w:sz w:val="16"/>
        </w:rPr>
        <w:t>(e.g.,</w:t>
      </w:r>
      <w:r>
        <w:rPr>
          <w:spacing w:val="-6"/>
          <w:w w:val="110"/>
          <w:sz w:val="16"/>
        </w:rPr>
        <w:t xml:space="preserve"> </w:t>
      </w:r>
      <w:r>
        <w:rPr>
          <w:w w:val="110"/>
          <w:sz w:val="16"/>
        </w:rPr>
        <w:t>depressed</w:t>
      </w:r>
      <w:r>
        <w:rPr>
          <w:spacing w:val="-2"/>
          <w:w w:val="110"/>
          <w:sz w:val="16"/>
        </w:rPr>
        <w:t xml:space="preserve"> </w:t>
      </w:r>
      <w:r>
        <w:rPr>
          <w:w w:val="110"/>
          <w:sz w:val="16"/>
        </w:rPr>
        <w:t>man</w:t>
      </w:r>
      <w:r>
        <w:rPr>
          <w:spacing w:val="-7"/>
          <w:w w:val="110"/>
          <w:sz w:val="16"/>
        </w:rPr>
        <w:t xml:space="preserve"> </w:t>
      </w:r>
      <w:r>
        <w:rPr>
          <w:w w:val="110"/>
          <w:sz w:val="16"/>
        </w:rPr>
        <w:t>avoids</w:t>
      </w:r>
      <w:r>
        <w:rPr>
          <w:spacing w:val="-7"/>
          <w:w w:val="110"/>
          <w:sz w:val="16"/>
        </w:rPr>
        <w:t xml:space="preserve"> </w:t>
      </w:r>
      <w:r>
        <w:rPr>
          <w:w w:val="110"/>
          <w:sz w:val="16"/>
        </w:rPr>
        <w:t>friends,</w:t>
      </w:r>
      <w:r>
        <w:rPr>
          <w:spacing w:val="1"/>
          <w:w w:val="110"/>
          <w:sz w:val="16"/>
        </w:rPr>
        <w:t xml:space="preserve"> </w:t>
      </w:r>
      <w:r>
        <w:rPr>
          <w:w w:val="110"/>
          <w:sz w:val="16"/>
        </w:rPr>
        <w:t>neglects</w:t>
      </w:r>
      <w:r>
        <w:rPr>
          <w:spacing w:val="-10"/>
          <w:w w:val="110"/>
          <w:sz w:val="16"/>
        </w:rPr>
        <w:t xml:space="preserve"> </w:t>
      </w:r>
      <w:r>
        <w:rPr>
          <w:w w:val="110"/>
          <w:sz w:val="16"/>
        </w:rPr>
        <w:t>family,</w:t>
      </w:r>
      <w:r>
        <w:rPr>
          <w:spacing w:val="-4"/>
          <w:w w:val="110"/>
          <w:sz w:val="16"/>
        </w:rPr>
        <w:t xml:space="preserve"> </w:t>
      </w:r>
      <w:r>
        <w:rPr>
          <w:w w:val="110"/>
          <w:sz w:val="16"/>
        </w:rPr>
        <w:t>and</w:t>
      </w:r>
      <w:r>
        <w:rPr>
          <w:spacing w:val="16"/>
          <w:w w:val="110"/>
          <w:sz w:val="16"/>
        </w:rPr>
        <w:t xml:space="preserve"> </w:t>
      </w:r>
      <w:r>
        <w:rPr>
          <w:w w:val="110"/>
          <w:sz w:val="16"/>
        </w:rPr>
        <w:t>is</w:t>
      </w:r>
      <w:r>
        <w:rPr>
          <w:spacing w:val="-9"/>
          <w:w w:val="110"/>
          <w:sz w:val="16"/>
        </w:rPr>
        <w:t xml:space="preserve"> </w:t>
      </w:r>
      <w:r>
        <w:rPr>
          <w:w w:val="110"/>
          <w:sz w:val="16"/>
        </w:rPr>
        <w:t>unable to</w:t>
      </w:r>
      <w:r>
        <w:rPr>
          <w:spacing w:val="-8"/>
          <w:w w:val="110"/>
          <w:sz w:val="16"/>
        </w:rPr>
        <w:t xml:space="preserve"> </w:t>
      </w:r>
      <w:r>
        <w:rPr>
          <w:w w:val="110"/>
          <w:sz w:val="16"/>
        </w:rPr>
        <w:t>work;</w:t>
      </w:r>
      <w:r>
        <w:rPr>
          <w:spacing w:val="-6"/>
          <w:w w:val="110"/>
          <w:sz w:val="16"/>
        </w:rPr>
        <w:t xml:space="preserve"> </w:t>
      </w:r>
      <w:r>
        <w:rPr>
          <w:w w:val="110"/>
          <w:sz w:val="16"/>
        </w:rPr>
        <w:t>child</w:t>
      </w:r>
      <w:r>
        <w:rPr>
          <w:spacing w:val="-7"/>
          <w:w w:val="110"/>
          <w:sz w:val="16"/>
        </w:rPr>
        <w:t xml:space="preserve"> </w:t>
      </w:r>
      <w:r>
        <w:rPr>
          <w:w w:val="110"/>
          <w:sz w:val="16"/>
        </w:rPr>
        <w:t>frequently beats</w:t>
      </w:r>
      <w:r>
        <w:rPr>
          <w:spacing w:val="-3"/>
          <w:w w:val="110"/>
          <w:sz w:val="16"/>
        </w:rPr>
        <w:t xml:space="preserve"> </w:t>
      </w:r>
      <w:r>
        <w:rPr>
          <w:w w:val="110"/>
          <w:sz w:val="16"/>
        </w:rPr>
        <w:t>up</w:t>
      </w:r>
      <w:r>
        <w:rPr>
          <w:spacing w:val="-2"/>
          <w:w w:val="110"/>
          <w:sz w:val="16"/>
        </w:rPr>
        <w:t xml:space="preserve"> </w:t>
      </w:r>
      <w:r>
        <w:rPr>
          <w:w w:val="110"/>
          <w:sz w:val="16"/>
        </w:rPr>
        <w:t>younger</w:t>
      </w:r>
      <w:r>
        <w:rPr>
          <w:spacing w:val="-8"/>
          <w:w w:val="110"/>
          <w:sz w:val="16"/>
        </w:rPr>
        <w:t xml:space="preserve"> </w:t>
      </w:r>
      <w:r>
        <w:rPr>
          <w:w w:val="110"/>
          <w:sz w:val="16"/>
        </w:rPr>
        <w:t>children,</w:t>
      </w:r>
      <w:r>
        <w:rPr>
          <w:spacing w:val="-1"/>
          <w:w w:val="110"/>
          <w:sz w:val="16"/>
        </w:rPr>
        <w:t xml:space="preserve"> </w:t>
      </w:r>
      <w:r>
        <w:rPr>
          <w:w w:val="110"/>
          <w:sz w:val="16"/>
        </w:rPr>
        <w:t>is</w:t>
      </w:r>
      <w:r>
        <w:rPr>
          <w:spacing w:val="-11"/>
          <w:w w:val="110"/>
          <w:sz w:val="16"/>
        </w:rPr>
        <w:t xml:space="preserve"> </w:t>
      </w:r>
      <w:r>
        <w:rPr>
          <w:w w:val="110"/>
          <w:sz w:val="16"/>
        </w:rPr>
        <w:t>defiant</w:t>
      </w:r>
      <w:r>
        <w:rPr>
          <w:spacing w:val="-5"/>
          <w:w w:val="110"/>
          <w:sz w:val="16"/>
        </w:rPr>
        <w:t xml:space="preserve"> </w:t>
      </w:r>
      <w:r>
        <w:rPr>
          <w:w w:val="110"/>
          <w:sz w:val="16"/>
        </w:rPr>
        <w:t>at</w:t>
      </w:r>
      <w:r>
        <w:rPr>
          <w:spacing w:val="-7"/>
          <w:w w:val="110"/>
          <w:sz w:val="16"/>
        </w:rPr>
        <w:t xml:space="preserve"> </w:t>
      </w:r>
      <w:r>
        <w:rPr>
          <w:w w:val="110"/>
          <w:sz w:val="16"/>
        </w:rPr>
        <w:t>home,</w:t>
      </w:r>
      <w:r>
        <w:rPr>
          <w:spacing w:val="-5"/>
          <w:w w:val="110"/>
          <w:sz w:val="16"/>
        </w:rPr>
        <w:t xml:space="preserve"> </w:t>
      </w:r>
      <w:r>
        <w:rPr>
          <w:w w:val="110"/>
          <w:sz w:val="16"/>
        </w:rPr>
        <w:t>and</w:t>
      </w:r>
      <w:r>
        <w:rPr>
          <w:spacing w:val="3"/>
          <w:w w:val="110"/>
          <w:sz w:val="16"/>
        </w:rPr>
        <w:t xml:space="preserve"> </w:t>
      </w:r>
      <w:r>
        <w:rPr>
          <w:w w:val="110"/>
          <w:sz w:val="16"/>
        </w:rPr>
        <w:t>is</w:t>
      </w:r>
      <w:r>
        <w:rPr>
          <w:spacing w:val="-15"/>
          <w:w w:val="110"/>
          <w:sz w:val="16"/>
        </w:rPr>
        <w:t xml:space="preserve"> </w:t>
      </w:r>
      <w:r>
        <w:rPr>
          <w:w w:val="110"/>
          <w:sz w:val="16"/>
        </w:rPr>
        <w:t>failing</w:t>
      </w:r>
      <w:r>
        <w:rPr>
          <w:spacing w:val="-10"/>
          <w:w w:val="110"/>
          <w:sz w:val="16"/>
        </w:rPr>
        <w:t xml:space="preserve"> </w:t>
      </w:r>
      <w:r>
        <w:rPr>
          <w:w w:val="110"/>
          <w:sz w:val="16"/>
        </w:rPr>
        <w:t>at</w:t>
      </w:r>
      <w:r>
        <w:rPr>
          <w:spacing w:val="-12"/>
          <w:w w:val="110"/>
          <w:sz w:val="16"/>
        </w:rPr>
        <w:t xml:space="preserve"> </w:t>
      </w:r>
      <w:r>
        <w:rPr>
          <w:w w:val="110"/>
          <w:sz w:val="16"/>
        </w:rPr>
        <w:t>school).</w:t>
      </w:r>
    </w:p>
    <w:p w:rsidR="00E675F0" w:rsidRDefault="00E675F0" w:rsidP="00E675F0">
      <w:pPr>
        <w:pStyle w:val="BodyText"/>
        <w:spacing w:before="7"/>
        <w:rPr>
          <w:sz w:val="15"/>
        </w:rPr>
      </w:pPr>
    </w:p>
    <w:p w:rsidR="00E675F0" w:rsidRDefault="00E675F0" w:rsidP="00E675F0">
      <w:pPr>
        <w:spacing w:line="235" w:lineRule="auto"/>
        <w:ind w:left="132" w:right="110" w:hanging="1"/>
        <w:jc w:val="both"/>
        <w:rPr>
          <w:sz w:val="16"/>
        </w:rPr>
      </w:pPr>
      <w:r>
        <w:rPr>
          <w:b/>
          <w:w w:val="110"/>
          <w:sz w:val="16"/>
        </w:rPr>
        <w:t>Behavior is considerably influenced by delusions or hallucinations OR serious impairment in</w:t>
      </w:r>
      <w:r>
        <w:rPr>
          <w:b/>
          <w:spacing w:val="-22"/>
          <w:w w:val="110"/>
          <w:sz w:val="16"/>
        </w:rPr>
        <w:t xml:space="preserve"> </w:t>
      </w:r>
      <w:r>
        <w:rPr>
          <w:b/>
          <w:w w:val="110"/>
          <w:sz w:val="16"/>
        </w:rPr>
        <w:t>communication</w:t>
      </w:r>
      <w:r>
        <w:rPr>
          <w:b/>
          <w:spacing w:val="-23"/>
          <w:w w:val="110"/>
          <w:sz w:val="16"/>
        </w:rPr>
        <w:t xml:space="preserve"> </w:t>
      </w:r>
      <w:r>
        <w:rPr>
          <w:b/>
          <w:w w:val="110"/>
          <w:sz w:val="16"/>
        </w:rPr>
        <w:t>or</w:t>
      </w:r>
      <w:r>
        <w:rPr>
          <w:b/>
          <w:spacing w:val="-22"/>
          <w:w w:val="110"/>
          <w:sz w:val="16"/>
        </w:rPr>
        <w:t xml:space="preserve"> </w:t>
      </w:r>
      <w:r>
        <w:rPr>
          <w:b/>
          <w:w w:val="110"/>
          <w:sz w:val="16"/>
        </w:rPr>
        <w:t>judgment</w:t>
      </w:r>
      <w:r>
        <w:rPr>
          <w:b/>
          <w:spacing w:val="-19"/>
          <w:w w:val="110"/>
          <w:sz w:val="16"/>
        </w:rPr>
        <w:t xml:space="preserve"> </w:t>
      </w:r>
      <w:r>
        <w:rPr>
          <w:w w:val="110"/>
          <w:sz w:val="16"/>
        </w:rPr>
        <w:t>(e.g.,</w:t>
      </w:r>
      <w:r>
        <w:rPr>
          <w:spacing w:val="-22"/>
          <w:w w:val="110"/>
          <w:sz w:val="16"/>
        </w:rPr>
        <w:t xml:space="preserve"> </w:t>
      </w:r>
      <w:r>
        <w:rPr>
          <w:w w:val="110"/>
          <w:sz w:val="16"/>
        </w:rPr>
        <w:t>sometimes</w:t>
      </w:r>
      <w:r>
        <w:rPr>
          <w:spacing w:val="-16"/>
          <w:w w:val="110"/>
          <w:sz w:val="16"/>
        </w:rPr>
        <w:t xml:space="preserve"> </w:t>
      </w:r>
      <w:r>
        <w:rPr>
          <w:w w:val="110"/>
          <w:sz w:val="16"/>
        </w:rPr>
        <w:t>incoherent,</w:t>
      </w:r>
      <w:r>
        <w:rPr>
          <w:spacing w:val="-19"/>
          <w:w w:val="110"/>
          <w:sz w:val="16"/>
        </w:rPr>
        <w:t xml:space="preserve"> </w:t>
      </w:r>
      <w:r>
        <w:rPr>
          <w:w w:val="110"/>
          <w:sz w:val="16"/>
        </w:rPr>
        <w:t>acts</w:t>
      </w:r>
      <w:r>
        <w:rPr>
          <w:spacing w:val="-21"/>
          <w:w w:val="110"/>
          <w:sz w:val="16"/>
        </w:rPr>
        <w:t xml:space="preserve"> </w:t>
      </w:r>
      <w:r>
        <w:rPr>
          <w:w w:val="110"/>
          <w:sz w:val="16"/>
        </w:rPr>
        <w:t>grossly</w:t>
      </w:r>
      <w:r>
        <w:rPr>
          <w:spacing w:val="-18"/>
          <w:w w:val="110"/>
          <w:sz w:val="16"/>
        </w:rPr>
        <w:t xml:space="preserve"> </w:t>
      </w:r>
      <w:r>
        <w:rPr>
          <w:w w:val="110"/>
          <w:sz w:val="16"/>
        </w:rPr>
        <w:t>inappropriately,</w:t>
      </w:r>
      <w:r>
        <w:rPr>
          <w:spacing w:val="-27"/>
          <w:w w:val="110"/>
          <w:sz w:val="16"/>
        </w:rPr>
        <w:t xml:space="preserve"> </w:t>
      </w:r>
      <w:r>
        <w:rPr>
          <w:w w:val="110"/>
          <w:sz w:val="16"/>
        </w:rPr>
        <w:t xml:space="preserve">suicidal preoccupation) </w:t>
      </w:r>
      <w:r>
        <w:rPr>
          <w:b/>
          <w:w w:val="110"/>
          <w:sz w:val="16"/>
        </w:rPr>
        <w:t xml:space="preserve">OR inability </w:t>
      </w:r>
      <w:r>
        <w:rPr>
          <w:rFonts w:ascii="Arial"/>
          <w:b/>
          <w:w w:val="110"/>
          <w:sz w:val="13"/>
        </w:rPr>
        <w:t xml:space="preserve">to </w:t>
      </w:r>
      <w:r>
        <w:rPr>
          <w:b/>
          <w:w w:val="110"/>
          <w:sz w:val="16"/>
        </w:rPr>
        <w:t xml:space="preserve">function in almost all areas </w:t>
      </w:r>
      <w:r>
        <w:rPr>
          <w:w w:val="110"/>
          <w:sz w:val="16"/>
        </w:rPr>
        <w:t>(e.g., stays in bed all day; no job, home, or</w:t>
      </w:r>
      <w:r>
        <w:rPr>
          <w:spacing w:val="8"/>
          <w:w w:val="110"/>
          <w:sz w:val="16"/>
        </w:rPr>
        <w:t xml:space="preserve"> </w:t>
      </w:r>
      <w:r>
        <w:rPr>
          <w:w w:val="110"/>
          <w:sz w:val="16"/>
        </w:rPr>
        <w:t>friends).</w:t>
      </w:r>
    </w:p>
    <w:p w:rsidR="00E675F0" w:rsidRDefault="00E675F0" w:rsidP="00E675F0">
      <w:pPr>
        <w:pStyle w:val="BodyText"/>
        <w:rPr>
          <w:sz w:val="16"/>
        </w:rPr>
      </w:pPr>
    </w:p>
    <w:p w:rsidR="00E675F0" w:rsidRDefault="00E675F0" w:rsidP="00E675F0">
      <w:pPr>
        <w:spacing w:line="232" w:lineRule="auto"/>
        <w:ind w:left="130" w:right="107" w:hanging="3"/>
        <w:jc w:val="both"/>
        <w:rPr>
          <w:sz w:val="16"/>
        </w:rPr>
      </w:pPr>
      <w:r>
        <w:rPr>
          <w:b/>
          <w:w w:val="110"/>
          <w:sz w:val="16"/>
        </w:rPr>
        <w:t>Some</w:t>
      </w:r>
      <w:r>
        <w:rPr>
          <w:b/>
          <w:spacing w:val="-20"/>
          <w:w w:val="110"/>
          <w:sz w:val="16"/>
        </w:rPr>
        <w:t xml:space="preserve"> </w:t>
      </w:r>
      <w:r>
        <w:rPr>
          <w:b/>
          <w:w w:val="110"/>
          <w:sz w:val="16"/>
        </w:rPr>
        <w:t>danger</w:t>
      </w:r>
      <w:r>
        <w:rPr>
          <w:b/>
          <w:spacing w:val="-11"/>
          <w:w w:val="110"/>
          <w:sz w:val="16"/>
        </w:rPr>
        <w:t xml:space="preserve"> </w:t>
      </w:r>
      <w:r>
        <w:rPr>
          <w:b/>
          <w:w w:val="110"/>
          <w:sz w:val="16"/>
        </w:rPr>
        <w:t>of</w:t>
      </w:r>
      <w:r>
        <w:rPr>
          <w:b/>
          <w:spacing w:val="-5"/>
          <w:w w:val="110"/>
          <w:sz w:val="16"/>
        </w:rPr>
        <w:t xml:space="preserve"> </w:t>
      </w:r>
      <w:r>
        <w:rPr>
          <w:b/>
          <w:w w:val="110"/>
          <w:sz w:val="16"/>
        </w:rPr>
        <w:t>hurting</w:t>
      </w:r>
      <w:r>
        <w:rPr>
          <w:b/>
          <w:spacing w:val="-12"/>
          <w:w w:val="110"/>
          <w:sz w:val="16"/>
        </w:rPr>
        <w:t xml:space="preserve"> </w:t>
      </w:r>
      <w:r>
        <w:rPr>
          <w:b/>
          <w:w w:val="110"/>
          <w:sz w:val="16"/>
        </w:rPr>
        <w:t>self</w:t>
      </w:r>
      <w:r>
        <w:rPr>
          <w:b/>
          <w:spacing w:val="-17"/>
          <w:w w:val="110"/>
          <w:sz w:val="16"/>
        </w:rPr>
        <w:t xml:space="preserve"> </w:t>
      </w:r>
      <w:r>
        <w:rPr>
          <w:b/>
          <w:w w:val="110"/>
          <w:sz w:val="16"/>
        </w:rPr>
        <w:t>or</w:t>
      </w:r>
      <w:r>
        <w:rPr>
          <w:b/>
          <w:spacing w:val="-15"/>
          <w:w w:val="110"/>
          <w:sz w:val="16"/>
        </w:rPr>
        <w:t xml:space="preserve"> </w:t>
      </w:r>
      <w:r>
        <w:rPr>
          <w:b/>
          <w:w w:val="110"/>
          <w:sz w:val="16"/>
        </w:rPr>
        <w:t>others</w:t>
      </w:r>
      <w:r>
        <w:rPr>
          <w:b/>
          <w:spacing w:val="-15"/>
          <w:w w:val="110"/>
          <w:sz w:val="16"/>
        </w:rPr>
        <w:t xml:space="preserve"> </w:t>
      </w:r>
      <w:r>
        <w:rPr>
          <w:w w:val="110"/>
          <w:sz w:val="16"/>
        </w:rPr>
        <w:t>(e.g.,</w:t>
      </w:r>
      <w:r>
        <w:rPr>
          <w:spacing w:val="-8"/>
          <w:w w:val="110"/>
          <w:sz w:val="16"/>
        </w:rPr>
        <w:t xml:space="preserve"> </w:t>
      </w:r>
      <w:r>
        <w:rPr>
          <w:w w:val="110"/>
          <w:sz w:val="16"/>
        </w:rPr>
        <w:t>suicide</w:t>
      </w:r>
      <w:r>
        <w:rPr>
          <w:spacing w:val="-4"/>
          <w:w w:val="110"/>
          <w:sz w:val="16"/>
        </w:rPr>
        <w:t xml:space="preserve"> </w:t>
      </w:r>
      <w:r>
        <w:rPr>
          <w:w w:val="110"/>
          <w:sz w:val="16"/>
        </w:rPr>
        <w:t>attempts</w:t>
      </w:r>
      <w:r>
        <w:rPr>
          <w:spacing w:val="1"/>
          <w:w w:val="110"/>
          <w:sz w:val="16"/>
        </w:rPr>
        <w:t xml:space="preserve"> </w:t>
      </w:r>
      <w:r>
        <w:rPr>
          <w:w w:val="110"/>
          <w:sz w:val="16"/>
        </w:rPr>
        <w:t>without</w:t>
      </w:r>
      <w:r>
        <w:rPr>
          <w:spacing w:val="-1"/>
          <w:w w:val="110"/>
          <w:sz w:val="16"/>
        </w:rPr>
        <w:t xml:space="preserve"> </w:t>
      </w:r>
      <w:r>
        <w:rPr>
          <w:w w:val="110"/>
          <w:sz w:val="16"/>
        </w:rPr>
        <w:t>clear</w:t>
      </w:r>
      <w:r>
        <w:rPr>
          <w:spacing w:val="-6"/>
          <w:w w:val="110"/>
          <w:sz w:val="16"/>
        </w:rPr>
        <w:t xml:space="preserve"> </w:t>
      </w:r>
      <w:r>
        <w:rPr>
          <w:w w:val="110"/>
          <w:sz w:val="16"/>
        </w:rPr>
        <w:t>expectation</w:t>
      </w:r>
      <w:r>
        <w:rPr>
          <w:spacing w:val="2"/>
          <w:w w:val="110"/>
          <w:sz w:val="16"/>
        </w:rPr>
        <w:t xml:space="preserve"> </w:t>
      </w:r>
      <w:r>
        <w:rPr>
          <w:w w:val="110"/>
          <w:sz w:val="16"/>
        </w:rPr>
        <w:t>of</w:t>
      </w:r>
      <w:r>
        <w:rPr>
          <w:spacing w:val="-5"/>
          <w:w w:val="110"/>
          <w:sz w:val="16"/>
        </w:rPr>
        <w:t xml:space="preserve"> </w:t>
      </w:r>
      <w:r>
        <w:rPr>
          <w:w w:val="110"/>
          <w:sz w:val="16"/>
        </w:rPr>
        <w:t xml:space="preserve">death; frequently violent; manic excitement) </w:t>
      </w:r>
      <w:r>
        <w:rPr>
          <w:b/>
          <w:w w:val="110"/>
          <w:sz w:val="16"/>
        </w:rPr>
        <w:t xml:space="preserve">OR occasionally </w:t>
      </w:r>
      <w:r>
        <w:rPr>
          <w:b/>
          <w:w w:val="110"/>
          <w:sz w:val="17"/>
        </w:rPr>
        <w:t xml:space="preserve">fails </w:t>
      </w:r>
      <w:r>
        <w:rPr>
          <w:b/>
          <w:w w:val="110"/>
          <w:sz w:val="16"/>
        </w:rPr>
        <w:t xml:space="preserve">to maintain minimal personal hygiene </w:t>
      </w:r>
      <w:r>
        <w:rPr>
          <w:w w:val="110"/>
          <w:sz w:val="16"/>
        </w:rPr>
        <w:t xml:space="preserve">(e.g., smears feces) </w:t>
      </w:r>
      <w:r>
        <w:rPr>
          <w:b/>
          <w:w w:val="110"/>
          <w:sz w:val="16"/>
        </w:rPr>
        <w:t xml:space="preserve">OR gross hnpairment in communication </w:t>
      </w:r>
      <w:r>
        <w:rPr>
          <w:w w:val="110"/>
          <w:sz w:val="16"/>
        </w:rPr>
        <w:t>(e.g., largely incoherent or</w:t>
      </w:r>
      <w:r>
        <w:rPr>
          <w:spacing w:val="4"/>
          <w:w w:val="110"/>
          <w:sz w:val="16"/>
        </w:rPr>
        <w:t xml:space="preserve"> </w:t>
      </w:r>
      <w:r>
        <w:rPr>
          <w:w w:val="110"/>
          <w:sz w:val="16"/>
        </w:rPr>
        <w:t>mute).</w:t>
      </w:r>
    </w:p>
    <w:p w:rsidR="00E675F0" w:rsidRDefault="00E675F0" w:rsidP="00E675F0">
      <w:pPr>
        <w:pStyle w:val="BodyText"/>
        <w:rPr>
          <w:sz w:val="16"/>
        </w:rPr>
      </w:pPr>
    </w:p>
    <w:p w:rsidR="00E675F0" w:rsidRDefault="00E675F0" w:rsidP="00E675F0">
      <w:pPr>
        <w:spacing w:line="242" w:lineRule="auto"/>
        <w:ind w:left="132" w:right="114" w:hanging="1"/>
        <w:jc w:val="both"/>
        <w:rPr>
          <w:b/>
          <w:sz w:val="16"/>
        </w:rPr>
      </w:pPr>
      <w:r>
        <w:rPr>
          <w:b/>
          <w:w w:val="115"/>
          <w:sz w:val="16"/>
        </w:rPr>
        <w:t>Persistent</w:t>
      </w:r>
      <w:r>
        <w:rPr>
          <w:b/>
          <w:spacing w:val="-13"/>
          <w:w w:val="115"/>
          <w:sz w:val="16"/>
        </w:rPr>
        <w:t xml:space="preserve"> </w:t>
      </w:r>
      <w:r>
        <w:rPr>
          <w:b/>
          <w:w w:val="115"/>
          <w:sz w:val="16"/>
        </w:rPr>
        <w:t>danger</w:t>
      </w:r>
      <w:r>
        <w:rPr>
          <w:b/>
          <w:spacing w:val="-17"/>
          <w:w w:val="115"/>
          <w:sz w:val="16"/>
        </w:rPr>
        <w:t xml:space="preserve"> </w:t>
      </w:r>
      <w:r>
        <w:rPr>
          <w:b/>
          <w:w w:val="115"/>
          <w:sz w:val="16"/>
        </w:rPr>
        <w:t>of</w:t>
      </w:r>
      <w:r>
        <w:rPr>
          <w:b/>
          <w:spacing w:val="-12"/>
          <w:w w:val="115"/>
          <w:sz w:val="16"/>
        </w:rPr>
        <w:t xml:space="preserve"> </w:t>
      </w:r>
      <w:r>
        <w:rPr>
          <w:b/>
          <w:w w:val="115"/>
          <w:sz w:val="16"/>
        </w:rPr>
        <w:t>severely</w:t>
      </w:r>
      <w:r>
        <w:rPr>
          <w:b/>
          <w:spacing w:val="-19"/>
          <w:w w:val="115"/>
          <w:sz w:val="16"/>
        </w:rPr>
        <w:t xml:space="preserve"> </w:t>
      </w:r>
      <w:r>
        <w:rPr>
          <w:b/>
          <w:w w:val="115"/>
          <w:sz w:val="16"/>
        </w:rPr>
        <w:t>hurting</w:t>
      </w:r>
      <w:r>
        <w:rPr>
          <w:b/>
          <w:spacing w:val="-19"/>
          <w:w w:val="115"/>
          <w:sz w:val="16"/>
        </w:rPr>
        <w:t xml:space="preserve"> </w:t>
      </w:r>
      <w:r>
        <w:rPr>
          <w:b/>
          <w:w w:val="115"/>
          <w:sz w:val="16"/>
        </w:rPr>
        <w:t>self</w:t>
      </w:r>
      <w:r>
        <w:rPr>
          <w:b/>
          <w:spacing w:val="-19"/>
          <w:w w:val="115"/>
          <w:sz w:val="16"/>
        </w:rPr>
        <w:t xml:space="preserve"> </w:t>
      </w:r>
      <w:r>
        <w:rPr>
          <w:b/>
          <w:w w:val="115"/>
          <w:sz w:val="16"/>
        </w:rPr>
        <w:t>or</w:t>
      </w:r>
      <w:r>
        <w:rPr>
          <w:b/>
          <w:spacing w:val="-20"/>
          <w:w w:val="115"/>
          <w:sz w:val="16"/>
        </w:rPr>
        <w:t xml:space="preserve"> </w:t>
      </w:r>
      <w:r>
        <w:rPr>
          <w:b/>
          <w:w w:val="115"/>
          <w:sz w:val="16"/>
        </w:rPr>
        <w:t>others</w:t>
      </w:r>
      <w:r>
        <w:rPr>
          <w:b/>
          <w:spacing w:val="-13"/>
          <w:w w:val="115"/>
          <w:sz w:val="16"/>
        </w:rPr>
        <w:t xml:space="preserve"> </w:t>
      </w:r>
      <w:r>
        <w:rPr>
          <w:w w:val="115"/>
          <w:sz w:val="16"/>
        </w:rPr>
        <w:t>(e.g.,</w:t>
      </w:r>
      <w:r>
        <w:rPr>
          <w:spacing w:val="-5"/>
          <w:w w:val="115"/>
          <w:sz w:val="16"/>
        </w:rPr>
        <w:t xml:space="preserve"> </w:t>
      </w:r>
      <w:r>
        <w:rPr>
          <w:w w:val="115"/>
          <w:sz w:val="16"/>
        </w:rPr>
        <w:t>recurrent</w:t>
      </w:r>
      <w:r>
        <w:rPr>
          <w:spacing w:val="-7"/>
          <w:w w:val="115"/>
          <w:sz w:val="16"/>
        </w:rPr>
        <w:t xml:space="preserve"> </w:t>
      </w:r>
      <w:r>
        <w:rPr>
          <w:w w:val="115"/>
          <w:sz w:val="16"/>
        </w:rPr>
        <w:t>violence)</w:t>
      </w:r>
      <w:r>
        <w:rPr>
          <w:spacing w:val="-13"/>
          <w:w w:val="115"/>
          <w:sz w:val="16"/>
        </w:rPr>
        <w:t xml:space="preserve"> </w:t>
      </w:r>
      <w:r>
        <w:rPr>
          <w:b/>
          <w:w w:val="115"/>
          <w:sz w:val="16"/>
        </w:rPr>
        <w:t>OR</w:t>
      </w:r>
      <w:r>
        <w:rPr>
          <w:b/>
          <w:spacing w:val="-16"/>
          <w:w w:val="115"/>
          <w:sz w:val="16"/>
        </w:rPr>
        <w:t xml:space="preserve"> </w:t>
      </w:r>
      <w:r>
        <w:rPr>
          <w:b/>
          <w:w w:val="115"/>
          <w:sz w:val="16"/>
        </w:rPr>
        <w:t>persistent inability</w:t>
      </w:r>
      <w:r>
        <w:rPr>
          <w:b/>
          <w:spacing w:val="-23"/>
          <w:w w:val="115"/>
          <w:sz w:val="16"/>
        </w:rPr>
        <w:t xml:space="preserve"> </w:t>
      </w:r>
      <w:r>
        <w:rPr>
          <w:b/>
          <w:w w:val="115"/>
          <w:sz w:val="16"/>
        </w:rPr>
        <w:t>to</w:t>
      </w:r>
      <w:r>
        <w:rPr>
          <w:b/>
          <w:spacing w:val="-17"/>
          <w:w w:val="115"/>
          <w:sz w:val="16"/>
        </w:rPr>
        <w:t xml:space="preserve"> </w:t>
      </w:r>
      <w:r>
        <w:rPr>
          <w:b/>
          <w:w w:val="115"/>
          <w:sz w:val="16"/>
        </w:rPr>
        <w:t>maintain</w:t>
      </w:r>
      <w:r>
        <w:rPr>
          <w:b/>
          <w:spacing w:val="-22"/>
          <w:w w:val="115"/>
          <w:sz w:val="16"/>
        </w:rPr>
        <w:t xml:space="preserve"> </w:t>
      </w:r>
      <w:r>
        <w:rPr>
          <w:b/>
          <w:w w:val="115"/>
          <w:sz w:val="16"/>
        </w:rPr>
        <w:t>minimal</w:t>
      </w:r>
      <w:r>
        <w:rPr>
          <w:b/>
          <w:spacing w:val="-20"/>
          <w:w w:val="115"/>
          <w:sz w:val="16"/>
        </w:rPr>
        <w:t xml:space="preserve"> </w:t>
      </w:r>
      <w:r>
        <w:rPr>
          <w:b/>
          <w:w w:val="115"/>
          <w:sz w:val="16"/>
        </w:rPr>
        <w:t>personal</w:t>
      </w:r>
      <w:r>
        <w:rPr>
          <w:b/>
          <w:spacing w:val="-20"/>
          <w:w w:val="115"/>
          <w:sz w:val="16"/>
        </w:rPr>
        <w:t xml:space="preserve"> </w:t>
      </w:r>
      <w:r>
        <w:rPr>
          <w:b/>
          <w:w w:val="115"/>
          <w:sz w:val="16"/>
        </w:rPr>
        <w:t>hygiene</w:t>
      </w:r>
      <w:r>
        <w:rPr>
          <w:b/>
          <w:spacing w:val="-21"/>
          <w:w w:val="115"/>
          <w:sz w:val="16"/>
        </w:rPr>
        <w:t xml:space="preserve"> </w:t>
      </w:r>
      <w:r>
        <w:rPr>
          <w:b/>
          <w:w w:val="115"/>
          <w:sz w:val="16"/>
        </w:rPr>
        <w:t>OR</w:t>
      </w:r>
      <w:r>
        <w:rPr>
          <w:b/>
          <w:spacing w:val="-25"/>
          <w:w w:val="115"/>
          <w:sz w:val="16"/>
        </w:rPr>
        <w:t xml:space="preserve"> </w:t>
      </w:r>
      <w:r>
        <w:rPr>
          <w:b/>
          <w:w w:val="115"/>
          <w:sz w:val="16"/>
        </w:rPr>
        <w:t>serious</w:t>
      </w:r>
      <w:r>
        <w:rPr>
          <w:b/>
          <w:spacing w:val="-24"/>
          <w:w w:val="115"/>
          <w:sz w:val="16"/>
        </w:rPr>
        <w:t xml:space="preserve"> </w:t>
      </w:r>
      <w:r>
        <w:rPr>
          <w:b/>
          <w:w w:val="115"/>
          <w:sz w:val="16"/>
        </w:rPr>
        <w:t>suicidal</w:t>
      </w:r>
      <w:r>
        <w:rPr>
          <w:b/>
          <w:spacing w:val="-23"/>
          <w:w w:val="115"/>
          <w:sz w:val="16"/>
        </w:rPr>
        <w:t xml:space="preserve"> </w:t>
      </w:r>
      <w:r>
        <w:rPr>
          <w:b/>
          <w:w w:val="115"/>
          <w:sz w:val="16"/>
        </w:rPr>
        <w:t>act</w:t>
      </w:r>
      <w:r>
        <w:rPr>
          <w:b/>
          <w:spacing w:val="-29"/>
          <w:w w:val="115"/>
          <w:sz w:val="16"/>
        </w:rPr>
        <w:t xml:space="preserve"> </w:t>
      </w:r>
      <w:r>
        <w:rPr>
          <w:b/>
          <w:w w:val="115"/>
          <w:sz w:val="16"/>
        </w:rPr>
        <w:t>with</w:t>
      </w:r>
      <w:r>
        <w:rPr>
          <w:b/>
          <w:spacing w:val="-29"/>
          <w:w w:val="115"/>
          <w:sz w:val="16"/>
        </w:rPr>
        <w:t xml:space="preserve"> </w:t>
      </w:r>
      <w:r>
        <w:rPr>
          <w:b/>
          <w:w w:val="115"/>
          <w:sz w:val="16"/>
        </w:rPr>
        <w:t>clear</w:t>
      </w:r>
      <w:r>
        <w:rPr>
          <w:b/>
          <w:spacing w:val="-26"/>
          <w:w w:val="115"/>
          <w:sz w:val="16"/>
        </w:rPr>
        <w:t xml:space="preserve"> </w:t>
      </w:r>
      <w:r>
        <w:rPr>
          <w:b/>
          <w:w w:val="115"/>
          <w:sz w:val="16"/>
        </w:rPr>
        <w:t>expecta­ tion of</w:t>
      </w:r>
      <w:r>
        <w:rPr>
          <w:b/>
          <w:spacing w:val="-22"/>
          <w:w w:val="115"/>
          <w:sz w:val="16"/>
        </w:rPr>
        <w:t xml:space="preserve"> </w:t>
      </w:r>
      <w:r>
        <w:rPr>
          <w:b/>
          <w:w w:val="115"/>
          <w:sz w:val="16"/>
        </w:rPr>
        <w:t>death.</w:t>
      </w:r>
    </w:p>
    <w:p w:rsidR="00E675F0" w:rsidRDefault="00E675F0" w:rsidP="00E675F0">
      <w:pPr>
        <w:pStyle w:val="BodyText"/>
        <w:spacing w:before="5"/>
        <w:rPr>
          <w:b/>
          <w:sz w:val="15"/>
        </w:rPr>
      </w:pPr>
    </w:p>
    <w:p w:rsidR="00E675F0" w:rsidRDefault="00E675F0" w:rsidP="00E675F0">
      <w:pPr>
        <w:spacing w:before="1"/>
        <w:ind w:left="136"/>
        <w:jc w:val="both"/>
        <w:rPr>
          <w:sz w:val="16"/>
        </w:rPr>
      </w:pPr>
      <w:r>
        <w:rPr>
          <w:w w:val="105"/>
          <w:sz w:val="16"/>
        </w:rPr>
        <w:t>Inadequate information.</w:t>
      </w:r>
    </w:p>
    <w:p w:rsidR="00E675F0" w:rsidRDefault="00E675F0" w:rsidP="00E675F0">
      <w:pPr>
        <w:jc w:val="both"/>
        <w:rPr>
          <w:sz w:val="16"/>
        </w:rPr>
        <w:sectPr w:rsidR="00E675F0">
          <w:type w:val="continuous"/>
          <w:pgSz w:w="8960" w:h="14260"/>
          <w:pgMar w:top="640" w:right="640" w:bottom="0" w:left="600" w:header="720" w:footer="720" w:gutter="0"/>
          <w:cols w:num="2" w:space="720" w:equalWidth="0">
            <w:col w:w="621" w:space="40"/>
            <w:col w:w="7059"/>
          </w:cols>
        </w:sectPr>
      </w:pPr>
    </w:p>
    <w:p w:rsidR="00E675F0" w:rsidRDefault="00E675F0" w:rsidP="00E675F0">
      <w:pPr>
        <w:pStyle w:val="BodyText"/>
        <w:spacing w:before="3"/>
        <w:rPr>
          <w:sz w:val="28"/>
        </w:rPr>
      </w:pPr>
    </w:p>
    <w:p w:rsidR="00E675F0" w:rsidRDefault="00E675F0" w:rsidP="00E675F0">
      <w:pPr>
        <w:pStyle w:val="BodyText"/>
        <w:spacing w:line="20" w:lineRule="exact"/>
        <w:ind w:left="117"/>
        <w:rPr>
          <w:sz w:val="2"/>
        </w:rPr>
      </w:pPr>
      <w:r>
        <w:rPr>
          <w:noProof/>
          <w:sz w:val="2"/>
        </w:rPr>
        <mc:AlternateContent>
          <mc:Choice Requires="wpg">
            <w:drawing>
              <wp:inline distT="0" distB="0" distL="0" distR="0" wp14:anchorId="10271120" wp14:editId="45C8C01B">
                <wp:extent cx="623570" cy="6350"/>
                <wp:effectExtent l="0" t="0" r="0" b="0"/>
                <wp:docPr id="1671" name="Group 1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570" cy="6350"/>
                          <a:chOff x="0" y="0"/>
                          <a:chExt cx="982" cy="10"/>
                        </a:xfrm>
                      </wpg:grpSpPr>
                      <wps:wsp>
                        <wps:cNvPr id="1672" name="Line 1628"/>
                        <wps:cNvCnPr>
                          <a:cxnSpLocks/>
                        </wps:cNvCnPr>
                        <wps:spPr bwMode="auto">
                          <a:xfrm>
                            <a:off x="0" y="5"/>
                            <a:ext cx="981" cy="0"/>
                          </a:xfrm>
                          <a:prstGeom prst="line">
                            <a:avLst/>
                          </a:prstGeom>
                          <a:noFill/>
                          <a:ln w="610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E9A3546" id="Group 1627" o:spid="_x0000_s1026" style="width:49.1pt;height:.5pt;mso-position-horizontal-relative:char;mso-position-vertical-relative:line" coordsize="982,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">
                <v:line id="Line 1628" o:spid="_x0000_s1027" style="position:absolute;visibility:visible;mso-wrap-style:square" from="0,5" to="98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" strokeweight=".16958mm">
                  <o:lock v:ext="edit" shapetype="f"/>
                </v:line>
                <w10:anchorlock/>
              </v:group>
            </w:pict>
          </mc:Fallback>
        </mc:AlternateContent>
      </w:r>
    </w:p>
    <w:p w:rsidR="00E675F0" w:rsidRDefault="00E675F0" w:rsidP="00E675F0">
      <w:pPr>
        <w:spacing w:before="71"/>
        <w:ind w:left="120" w:right="220" w:hanging="3"/>
        <w:rPr>
          <w:i/>
          <w:sz w:val="16"/>
        </w:rPr>
      </w:pPr>
      <w:r>
        <w:rPr>
          <w:w w:val="105"/>
          <w:sz w:val="16"/>
        </w:rPr>
        <w:t xml:space="preserve">The rating of overall psychological functioning on a scale of 0-100 was operationalized by Luborsky in the Health-Sickness Rating Scale (Luborsky L: "Clinicians' Judgments of Mental Health." </w:t>
      </w:r>
      <w:r>
        <w:rPr>
          <w:i/>
          <w:w w:val="105"/>
          <w:sz w:val="16"/>
        </w:rPr>
        <w:t>Archives of General</w:t>
      </w:r>
    </w:p>
    <w:p w:rsidR="00E675F0" w:rsidRDefault="00E675F0" w:rsidP="00E675F0">
      <w:pPr>
        <w:spacing w:before="20" w:line="211" w:lineRule="auto"/>
        <w:ind w:left="113" w:right="439" w:firstLine="18"/>
        <w:rPr>
          <w:i/>
          <w:sz w:val="16"/>
        </w:rPr>
      </w:pPr>
      <w:r>
        <w:rPr>
          <w:i/>
          <w:w w:val="105"/>
          <w:sz w:val="16"/>
        </w:rPr>
        <w:t xml:space="preserve">Psychiatry </w:t>
      </w:r>
      <w:r>
        <w:rPr>
          <w:w w:val="105"/>
          <w:sz w:val="16"/>
        </w:rPr>
        <w:t xml:space="preserve">7:407-417, 1962). Spitzer and colleagues developed a revision of the Health-Sickness Rating Scale called the Global Assessment Scale (GAS) (Endicott J, Spitzer RL, Pleiss JL, Cohen </w:t>
      </w:r>
      <w:r>
        <w:rPr>
          <w:w w:val="105"/>
          <w:sz w:val="20"/>
        </w:rPr>
        <w:t xml:space="preserve">J: </w:t>
      </w:r>
      <w:r>
        <w:rPr>
          <w:w w:val="105"/>
          <w:sz w:val="16"/>
        </w:rPr>
        <w:t xml:space="preserve">"The Global Assessment Scale: A Procedure for Measuring Overall Severity of Psychiatric Disturbance." </w:t>
      </w:r>
      <w:r>
        <w:rPr>
          <w:i/>
          <w:w w:val="105"/>
          <w:sz w:val="16"/>
        </w:rPr>
        <w:t>Archives of</w:t>
      </w:r>
    </w:p>
    <w:p w:rsidR="00E675F0" w:rsidRDefault="00E675F0" w:rsidP="00E675F0">
      <w:pPr>
        <w:spacing w:before="8" w:line="232" w:lineRule="auto"/>
        <w:ind w:left="122" w:right="220" w:firstLine="4"/>
        <w:rPr>
          <w:sz w:val="16"/>
        </w:rPr>
      </w:pPr>
      <w:r>
        <w:rPr>
          <w:i/>
          <w:w w:val="105"/>
          <w:sz w:val="16"/>
        </w:rPr>
        <w:t>General</w:t>
      </w:r>
      <w:r>
        <w:rPr>
          <w:i/>
          <w:spacing w:val="-19"/>
          <w:w w:val="105"/>
          <w:sz w:val="16"/>
        </w:rPr>
        <w:t xml:space="preserve"> </w:t>
      </w:r>
      <w:r>
        <w:rPr>
          <w:i/>
          <w:w w:val="105"/>
          <w:sz w:val="16"/>
        </w:rPr>
        <w:t>Psychiatry</w:t>
      </w:r>
      <w:r>
        <w:rPr>
          <w:i/>
          <w:spacing w:val="-14"/>
          <w:w w:val="105"/>
          <w:sz w:val="16"/>
        </w:rPr>
        <w:t xml:space="preserve"> </w:t>
      </w:r>
      <w:r>
        <w:rPr>
          <w:w w:val="105"/>
          <w:sz w:val="16"/>
        </w:rPr>
        <w:t>33:766--771,</w:t>
      </w:r>
      <w:r>
        <w:rPr>
          <w:spacing w:val="-4"/>
          <w:w w:val="105"/>
          <w:sz w:val="16"/>
        </w:rPr>
        <w:t xml:space="preserve"> </w:t>
      </w:r>
      <w:r>
        <w:rPr>
          <w:w w:val="105"/>
          <w:sz w:val="16"/>
        </w:rPr>
        <w:t>1976).</w:t>
      </w:r>
      <w:r>
        <w:rPr>
          <w:spacing w:val="-11"/>
          <w:w w:val="105"/>
          <w:sz w:val="16"/>
        </w:rPr>
        <w:t xml:space="preserve"> </w:t>
      </w:r>
      <w:r>
        <w:rPr>
          <w:w w:val="105"/>
          <w:sz w:val="16"/>
        </w:rPr>
        <w:t>A</w:t>
      </w:r>
      <w:r>
        <w:rPr>
          <w:spacing w:val="-10"/>
          <w:w w:val="105"/>
          <w:sz w:val="16"/>
        </w:rPr>
        <w:t xml:space="preserve"> </w:t>
      </w:r>
      <w:r>
        <w:rPr>
          <w:w w:val="105"/>
          <w:sz w:val="16"/>
        </w:rPr>
        <w:t>modified</w:t>
      </w:r>
      <w:r>
        <w:rPr>
          <w:spacing w:val="-3"/>
          <w:w w:val="105"/>
          <w:sz w:val="16"/>
        </w:rPr>
        <w:t xml:space="preserve"> </w:t>
      </w:r>
      <w:r>
        <w:rPr>
          <w:w w:val="105"/>
          <w:sz w:val="16"/>
        </w:rPr>
        <w:t>version</w:t>
      </w:r>
      <w:r>
        <w:rPr>
          <w:spacing w:val="-7"/>
          <w:w w:val="105"/>
          <w:sz w:val="16"/>
        </w:rPr>
        <w:t xml:space="preserve"> </w:t>
      </w:r>
      <w:r>
        <w:rPr>
          <w:w w:val="105"/>
          <w:sz w:val="16"/>
        </w:rPr>
        <w:t>of</w:t>
      </w:r>
      <w:r>
        <w:rPr>
          <w:spacing w:val="-8"/>
          <w:w w:val="105"/>
          <w:sz w:val="16"/>
        </w:rPr>
        <w:t xml:space="preserve"> </w:t>
      </w:r>
      <w:r>
        <w:rPr>
          <w:w w:val="105"/>
          <w:sz w:val="16"/>
        </w:rPr>
        <w:t>the</w:t>
      </w:r>
      <w:r>
        <w:rPr>
          <w:spacing w:val="-12"/>
          <w:w w:val="105"/>
          <w:sz w:val="16"/>
        </w:rPr>
        <w:t xml:space="preserve"> </w:t>
      </w:r>
      <w:r>
        <w:rPr>
          <w:w w:val="105"/>
          <w:sz w:val="16"/>
        </w:rPr>
        <w:t>GAS</w:t>
      </w:r>
      <w:r>
        <w:rPr>
          <w:spacing w:val="-12"/>
          <w:w w:val="105"/>
          <w:sz w:val="16"/>
        </w:rPr>
        <w:t xml:space="preserve"> </w:t>
      </w:r>
      <w:r>
        <w:rPr>
          <w:w w:val="105"/>
          <w:sz w:val="16"/>
        </w:rPr>
        <w:t>was</w:t>
      </w:r>
      <w:r>
        <w:rPr>
          <w:spacing w:val="-12"/>
          <w:w w:val="105"/>
          <w:sz w:val="16"/>
        </w:rPr>
        <w:t xml:space="preserve"> </w:t>
      </w:r>
      <w:r>
        <w:rPr>
          <w:w w:val="105"/>
          <w:sz w:val="16"/>
        </w:rPr>
        <w:t>included</w:t>
      </w:r>
      <w:r>
        <w:rPr>
          <w:spacing w:val="-2"/>
          <w:w w:val="105"/>
          <w:sz w:val="16"/>
        </w:rPr>
        <w:t xml:space="preserve"> </w:t>
      </w:r>
      <w:r>
        <w:rPr>
          <w:w w:val="105"/>
          <w:sz w:val="16"/>
        </w:rPr>
        <w:t>in</w:t>
      </w:r>
      <w:r>
        <w:rPr>
          <w:spacing w:val="-7"/>
          <w:w w:val="105"/>
          <w:sz w:val="16"/>
        </w:rPr>
        <w:t xml:space="preserve"> </w:t>
      </w:r>
      <w:r>
        <w:rPr>
          <w:w w:val="105"/>
          <w:sz w:val="16"/>
        </w:rPr>
        <w:t>DSM-IIJ-R</w:t>
      </w:r>
      <w:r>
        <w:rPr>
          <w:spacing w:val="-2"/>
          <w:w w:val="105"/>
          <w:sz w:val="16"/>
        </w:rPr>
        <w:t xml:space="preserve"> </w:t>
      </w:r>
      <w:r>
        <w:rPr>
          <w:w w:val="105"/>
          <w:sz w:val="16"/>
        </w:rPr>
        <w:t>as</w:t>
      </w:r>
      <w:r>
        <w:rPr>
          <w:spacing w:val="-10"/>
          <w:w w:val="105"/>
          <w:sz w:val="16"/>
        </w:rPr>
        <w:t xml:space="preserve"> </w:t>
      </w:r>
      <w:r>
        <w:rPr>
          <w:w w:val="105"/>
          <w:sz w:val="16"/>
        </w:rPr>
        <w:t>the Global Assessment of Functioning (GAF) Scale.</w:t>
      </w:r>
    </w:p>
    <w:p w:rsidR="00E675F0" w:rsidRDefault="00E675F0" w:rsidP="00E675F0">
      <w:pPr>
        <w:spacing w:line="232" w:lineRule="auto"/>
        <w:rPr>
          <w:sz w:val="16"/>
        </w:rPr>
        <w:sectPr w:rsidR="00E675F0">
          <w:type w:val="continuous"/>
          <w:pgSz w:w="8960" w:h="14260"/>
          <w:pgMar w:top="640" w:right="640" w:bottom="0" w:left="600" w:header="720" w:footer="720" w:gutter="0"/>
          <w:cols w:space="720"/>
        </w:sectPr>
      </w:pPr>
    </w:p>
    <w:p w:rsidR="00E675F0" w:rsidRDefault="00E675F0" w:rsidP="00E675F0">
      <w:pPr>
        <w:spacing w:before="139"/>
        <w:ind w:left="1269" w:right="1179" w:firstLine="842"/>
        <w:rPr>
          <w:rFonts w:ascii="Arial"/>
          <w:b/>
          <w:sz w:val="26"/>
        </w:rPr>
      </w:pPr>
      <w:r>
        <w:rPr>
          <w:rFonts w:ascii="Arial"/>
          <w:b/>
          <w:sz w:val="26"/>
        </w:rPr>
        <w:lastRenderedPageBreak/>
        <w:t>Examples of How to Record Results of a DSM.-IV Multiaxial</w:t>
      </w:r>
      <w:r>
        <w:rPr>
          <w:rFonts w:ascii="Arial"/>
          <w:b/>
          <w:spacing w:val="64"/>
          <w:sz w:val="26"/>
        </w:rPr>
        <w:t xml:space="preserve"> </w:t>
      </w:r>
      <w:r>
        <w:rPr>
          <w:rFonts w:ascii="Arial"/>
          <w:b/>
          <w:sz w:val="26"/>
        </w:rPr>
        <w:t>Evaluation</w:t>
      </w:r>
    </w:p>
    <w:p w:rsidR="00E675F0" w:rsidRDefault="00E675F0" w:rsidP="00E675F0">
      <w:pPr>
        <w:pStyle w:val="BodyText"/>
        <w:spacing w:before="1"/>
        <w:rPr>
          <w:rFonts w:ascii="Arial"/>
          <w:b/>
          <w:sz w:val="26"/>
        </w:rPr>
      </w:pPr>
    </w:p>
    <w:p w:rsidR="00E675F0" w:rsidRDefault="00E675F0" w:rsidP="00E675F0">
      <w:pPr>
        <w:rPr>
          <w:rFonts w:ascii="Arial"/>
          <w:sz w:val="26"/>
        </w:rPr>
        <w:sectPr w:rsidR="00E675F0">
          <w:pgSz w:w="8960" w:h="14260"/>
          <w:pgMar w:top="1400" w:right="680" w:bottom="280" w:left="560" w:header="679" w:footer="0" w:gutter="0"/>
          <w:cols w:space="720"/>
        </w:sectPr>
      </w:pPr>
    </w:p>
    <w:p w:rsidR="00E675F0" w:rsidRDefault="00E675F0" w:rsidP="00E675F0">
      <w:pPr>
        <w:spacing w:before="92"/>
        <w:ind w:left="181"/>
        <w:rPr>
          <w:i/>
          <w:sz w:val="20"/>
        </w:rPr>
      </w:pPr>
      <w:r>
        <w:rPr>
          <w:i/>
          <w:sz w:val="20"/>
        </w:rPr>
        <w:t>Example 1:</w:t>
      </w:r>
    </w:p>
    <w:p w:rsidR="00E675F0" w:rsidRDefault="00E675F0" w:rsidP="00E675F0">
      <w:pPr>
        <w:pStyle w:val="BodyText"/>
        <w:tabs>
          <w:tab w:val="left" w:pos="1024"/>
        </w:tabs>
        <w:spacing w:before="15"/>
        <w:ind w:left="170"/>
      </w:pPr>
      <w:r>
        <w:t>Axis</w:t>
      </w:r>
      <w:r>
        <w:rPr>
          <w:spacing w:val="7"/>
        </w:rPr>
        <w:t xml:space="preserve"> </w:t>
      </w:r>
      <w:r>
        <w:t>I</w:t>
      </w:r>
      <w:r>
        <w:tab/>
        <w:t>296.23</w:t>
      </w:r>
    </w:p>
    <w:p w:rsidR="00E675F0" w:rsidRDefault="00E675F0" w:rsidP="00E675F0">
      <w:pPr>
        <w:pStyle w:val="BodyText"/>
        <w:spacing w:before="10"/>
        <w:rPr>
          <w:sz w:val="28"/>
        </w:rPr>
      </w:pPr>
      <w:r>
        <w:br w:type="column"/>
      </w:r>
    </w:p>
    <w:p w:rsidR="00E675F0" w:rsidRDefault="00E675F0" w:rsidP="00E675F0">
      <w:pPr>
        <w:pStyle w:val="BodyText"/>
        <w:spacing w:line="256" w:lineRule="auto"/>
        <w:ind w:left="319" w:right="763" w:hanging="149"/>
      </w:pPr>
      <w:r>
        <w:rPr>
          <w:w w:val="105"/>
        </w:rPr>
        <w:t>Major Depressive Disorder, Single Episode, Severe Without Psychotic Features</w:t>
      </w:r>
    </w:p>
    <w:p w:rsidR="00E675F0" w:rsidRDefault="00E675F0" w:rsidP="00E675F0">
      <w:pPr>
        <w:spacing w:line="256" w:lineRule="auto"/>
        <w:sectPr w:rsidR="00E675F0">
          <w:type w:val="continuous"/>
          <w:pgSz w:w="8960" w:h="14260"/>
          <w:pgMar w:top="640" w:right="680" w:bottom="0" w:left="560" w:header="720" w:footer="720" w:gutter="0"/>
          <w:cols w:num="2" w:space="720" w:equalWidth="0">
            <w:col w:w="1617" w:space="76"/>
            <w:col w:w="6027"/>
          </w:cols>
        </w:sectPr>
      </w:pPr>
    </w:p>
    <w:tbl>
      <w:tblPr>
        <w:tblW w:w="0" w:type="auto"/>
        <w:tblInd w:w="123" w:type="dxa"/>
        <w:tblLayout w:type="fixed"/>
        <w:tblCellMar>
          <w:left w:w="0" w:type="dxa"/>
          <w:right w:w="0" w:type="dxa"/>
        </w:tblCellMar>
        <w:tblLook w:val="01E0" w:firstRow="1" w:lastRow="1" w:firstColumn="1" w:lastColumn="1" w:noHBand="0" w:noVBand="0"/>
      </w:tblPr>
      <w:tblGrid>
        <w:gridCol w:w="790"/>
        <w:gridCol w:w="939"/>
        <w:gridCol w:w="5767"/>
      </w:tblGrid>
      <w:tr w:rsidR="00E675F0" w:rsidTr="00A330E1">
        <w:trPr>
          <w:trHeight w:val="235"/>
        </w:trPr>
        <w:tc>
          <w:tcPr>
            <w:tcW w:w="790" w:type="dxa"/>
          </w:tcPr>
          <w:p w:rsidR="00E675F0" w:rsidRDefault="00E675F0" w:rsidP="00A330E1">
            <w:pPr>
              <w:pStyle w:val="TableParagraph"/>
              <w:rPr>
                <w:sz w:val="16"/>
              </w:rPr>
            </w:pPr>
          </w:p>
        </w:tc>
        <w:tc>
          <w:tcPr>
            <w:tcW w:w="939" w:type="dxa"/>
          </w:tcPr>
          <w:p w:rsidR="00E675F0" w:rsidRDefault="00E675F0" w:rsidP="00A330E1">
            <w:pPr>
              <w:pStyle w:val="TableParagraph"/>
              <w:spacing w:line="216" w:lineRule="exact"/>
              <w:ind w:left="114"/>
              <w:rPr>
                <w:sz w:val="20"/>
              </w:rPr>
            </w:pPr>
            <w:r>
              <w:rPr>
                <w:sz w:val="20"/>
              </w:rPr>
              <w:t>305.00</w:t>
            </w:r>
          </w:p>
        </w:tc>
        <w:tc>
          <w:tcPr>
            <w:tcW w:w="5767" w:type="dxa"/>
          </w:tcPr>
          <w:p w:rsidR="00E675F0" w:rsidRDefault="00E675F0" w:rsidP="00A330E1">
            <w:pPr>
              <w:pStyle w:val="TableParagraph"/>
              <w:spacing w:line="216" w:lineRule="exact"/>
              <w:ind w:left="14"/>
              <w:rPr>
                <w:sz w:val="20"/>
              </w:rPr>
            </w:pPr>
            <w:r>
              <w:rPr>
                <w:w w:val="105"/>
                <w:sz w:val="20"/>
              </w:rPr>
              <w:t>Alcohol Abuse</w:t>
            </w:r>
          </w:p>
        </w:tc>
      </w:tr>
      <w:tr w:rsidR="00E675F0" w:rsidTr="00A330E1">
        <w:trPr>
          <w:trHeight w:val="245"/>
        </w:trPr>
        <w:tc>
          <w:tcPr>
            <w:tcW w:w="790" w:type="dxa"/>
          </w:tcPr>
          <w:p w:rsidR="00E675F0" w:rsidRDefault="00E675F0" w:rsidP="00A330E1">
            <w:pPr>
              <w:pStyle w:val="TableParagraph"/>
              <w:spacing w:before="1" w:line="224" w:lineRule="exact"/>
              <w:ind w:left="54"/>
              <w:rPr>
                <w:rFonts w:ascii="Arial"/>
                <w:sz w:val="18"/>
              </w:rPr>
            </w:pPr>
            <w:r>
              <w:rPr>
                <w:sz w:val="20"/>
              </w:rPr>
              <w:t xml:space="preserve">Axis </w:t>
            </w:r>
            <w:r>
              <w:rPr>
                <w:rFonts w:ascii="Arial"/>
                <w:sz w:val="18"/>
              </w:rPr>
              <w:t>II</w:t>
            </w:r>
          </w:p>
        </w:tc>
        <w:tc>
          <w:tcPr>
            <w:tcW w:w="939" w:type="dxa"/>
          </w:tcPr>
          <w:p w:rsidR="00E675F0" w:rsidRDefault="00E675F0" w:rsidP="00A330E1">
            <w:pPr>
              <w:pStyle w:val="TableParagraph"/>
              <w:spacing w:before="6" w:line="219" w:lineRule="exact"/>
              <w:ind w:left="114"/>
              <w:rPr>
                <w:sz w:val="20"/>
              </w:rPr>
            </w:pPr>
            <w:r>
              <w:rPr>
                <w:sz w:val="20"/>
              </w:rPr>
              <w:t>301.6</w:t>
            </w:r>
          </w:p>
        </w:tc>
        <w:tc>
          <w:tcPr>
            <w:tcW w:w="5767" w:type="dxa"/>
          </w:tcPr>
          <w:p w:rsidR="00E675F0" w:rsidRDefault="00E675F0" w:rsidP="00A330E1">
            <w:pPr>
              <w:pStyle w:val="TableParagraph"/>
              <w:spacing w:before="1" w:line="224" w:lineRule="exact"/>
              <w:ind w:left="22"/>
              <w:rPr>
                <w:sz w:val="20"/>
              </w:rPr>
            </w:pPr>
            <w:r>
              <w:rPr>
                <w:w w:val="105"/>
                <w:sz w:val="20"/>
              </w:rPr>
              <w:t>Dependent Personality Disorder</w:t>
            </w:r>
          </w:p>
        </w:tc>
      </w:tr>
      <w:tr w:rsidR="00E675F0" w:rsidTr="00A330E1">
        <w:trPr>
          <w:trHeight w:val="242"/>
        </w:trPr>
        <w:tc>
          <w:tcPr>
            <w:tcW w:w="790" w:type="dxa"/>
          </w:tcPr>
          <w:p w:rsidR="00E675F0" w:rsidRDefault="00E675F0" w:rsidP="00A330E1">
            <w:pPr>
              <w:pStyle w:val="TableParagraph"/>
              <w:rPr>
                <w:sz w:val="16"/>
              </w:rPr>
            </w:pPr>
          </w:p>
        </w:tc>
        <w:tc>
          <w:tcPr>
            <w:tcW w:w="939" w:type="dxa"/>
          </w:tcPr>
          <w:p w:rsidR="00E675F0" w:rsidRDefault="00E675F0" w:rsidP="00A330E1">
            <w:pPr>
              <w:pStyle w:val="TableParagraph"/>
              <w:rPr>
                <w:sz w:val="16"/>
              </w:rPr>
            </w:pPr>
          </w:p>
        </w:tc>
        <w:tc>
          <w:tcPr>
            <w:tcW w:w="5767" w:type="dxa"/>
          </w:tcPr>
          <w:p w:rsidR="00E675F0" w:rsidRDefault="00E675F0" w:rsidP="00A330E1">
            <w:pPr>
              <w:pStyle w:val="TableParagraph"/>
              <w:spacing w:before="1" w:line="222" w:lineRule="exact"/>
              <w:ind w:left="22"/>
              <w:rPr>
                <w:sz w:val="20"/>
              </w:rPr>
            </w:pPr>
            <w:r>
              <w:rPr>
                <w:w w:val="105"/>
                <w:sz w:val="20"/>
              </w:rPr>
              <w:t>Frequent use of denial</w:t>
            </w:r>
          </w:p>
        </w:tc>
      </w:tr>
      <w:tr w:rsidR="00E675F0" w:rsidTr="00A330E1">
        <w:trPr>
          <w:trHeight w:val="247"/>
        </w:trPr>
        <w:tc>
          <w:tcPr>
            <w:tcW w:w="790" w:type="dxa"/>
          </w:tcPr>
          <w:p w:rsidR="00E675F0" w:rsidRDefault="00E675F0" w:rsidP="00A330E1">
            <w:pPr>
              <w:pStyle w:val="TableParagraph"/>
              <w:spacing w:before="3" w:line="224" w:lineRule="exact"/>
              <w:ind w:left="54"/>
              <w:rPr>
                <w:sz w:val="20"/>
              </w:rPr>
            </w:pPr>
            <w:r>
              <w:rPr>
                <w:sz w:val="20"/>
              </w:rPr>
              <w:t>Axis III</w:t>
            </w:r>
          </w:p>
        </w:tc>
        <w:tc>
          <w:tcPr>
            <w:tcW w:w="939" w:type="dxa"/>
          </w:tcPr>
          <w:p w:rsidR="00E675F0" w:rsidRDefault="00E675F0" w:rsidP="00A330E1">
            <w:pPr>
              <w:pStyle w:val="TableParagraph"/>
              <w:rPr>
                <w:sz w:val="18"/>
              </w:rPr>
            </w:pPr>
          </w:p>
        </w:tc>
        <w:tc>
          <w:tcPr>
            <w:tcW w:w="5767" w:type="dxa"/>
          </w:tcPr>
          <w:p w:rsidR="00E675F0" w:rsidRDefault="00E675F0" w:rsidP="00A330E1">
            <w:pPr>
              <w:pStyle w:val="TableParagraph"/>
              <w:spacing w:before="8" w:line="219" w:lineRule="exact"/>
              <w:ind w:left="28"/>
              <w:rPr>
                <w:sz w:val="20"/>
              </w:rPr>
            </w:pPr>
            <w:r>
              <w:rPr>
                <w:w w:val="105"/>
                <w:sz w:val="20"/>
              </w:rPr>
              <w:t>None</w:t>
            </w:r>
          </w:p>
        </w:tc>
      </w:tr>
      <w:tr w:rsidR="00E675F0" w:rsidTr="00A330E1">
        <w:trPr>
          <w:trHeight w:val="245"/>
        </w:trPr>
        <w:tc>
          <w:tcPr>
            <w:tcW w:w="790" w:type="dxa"/>
          </w:tcPr>
          <w:p w:rsidR="00E675F0" w:rsidRDefault="00E675F0" w:rsidP="00A330E1">
            <w:pPr>
              <w:pStyle w:val="TableParagraph"/>
              <w:spacing w:before="1" w:line="224" w:lineRule="exact"/>
              <w:ind w:left="54"/>
              <w:rPr>
                <w:sz w:val="20"/>
              </w:rPr>
            </w:pPr>
            <w:r>
              <w:rPr>
                <w:sz w:val="20"/>
              </w:rPr>
              <w:t>Axis IV</w:t>
            </w:r>
          </w:p>
        </w:tc>
        <w:tc>
          <w:tcPr>
            <w:tcW w:w="939" w:type="dxa"/>
          </w:tcPr>
          <w:p w:rsidR="00E675F0" w:rsidRDefault="00E675F0" w:rsidP="00A330E1">
            <w:pPr>
              <w:pStyle w:val="TableParagraph"/>
              <w:rPr>
                <w:sz w:val="16"/>
              </w:rPr>
            </w:pPr>
          </w:p>
        </w:tc>
        <w:tc>
          <w:tcPr>
            <w:tcW w:w="5767" w:type="dxa"/>
          </w:tcPr>
          <w:p w:rsidR="00E675F0" w:rsidRDefault="00E675F0" w:rsidP="00A330E1">
            <w:pPr>
              <w:pStyle w:val="TableParagraph"/>
              <w:spacing w:before="6" w:line="219" w:lineRule="exact"/>
              <w:ind w:left="10"/>
              <w:rPr>
                <w:sz w:val="20"/>
              </w:rPr>
            </w:pPr>
            <w:r>
              <w:rPr>
                <w:w w:val="105"/>
                <w:sz w:val="20"/>
              </w:rPr>
              <w:t>Threat of job loss</w:t>
            </w:r>
          </w:p>
        </w:tc>
      </w:tr>
      <w:tr w:rsidR="00E675F0" w:rsidTr="00A330E1">
        <w:trPr>
          <w:trHeight w:val="231"/>
        </w:trPr>
        <w:tc>
          <w:tcPr>
            <w:tcW w:w="790" w:type="dxa"/>
          </w:tcPr>
          <w:p w:rsidR="00E675F0" w:rsidRDefault="00E675F0" w:rsidP="00A330E1">
            <w:pPr>
              <w:pStyle w:val="TableParagraph"/>
              <w:spacing w:before="1" w:line="210" w:lineRule="exact"/>
              <w:ind w:left="54"/>
              <w:rPr>
                <w:sz w:val="20"/>
              </w:rPr>
            </w:pPr>
            <w:r>
              <w:rPr>
                <w:sz w:val="20"/>
              </w:rPr>
              <w:t>Axis V</w:t>
            </w:r>
          </w:p>
        </w:tc>
        <w:tc>
          <w:tcPr>
            <w:tcW w:w="939" w:type="dxa"/>
          </w:tcPr>
          <w:p w:rsidR="00E675F0" w:rsidRDefault="00E675F0" w:rsidP="00A330E1">
            <w:pPr>
              <w:pStyle w:val="TableParagraph"/>
              <w:spacing w:before="1" w:line="210" w:lineRule="exact"/>
              <w:ind w:left="111"/>
              <w:rPr>
                <w:sz w:val="20"/>
              </w:rPr>
            </w:pPr>
            <w:r>
              <w:rPr>
                <w:sz w:val="20"/>
              </w:rPr>
              <w:t>GAF = 35</w:t>
            </w:r>
          </w:p>
        </w:tc>
        <w:tc>
          <w:tcPr>
            <w:tcW w:w="5767" w:type="dxa"/>
          </w:tcPr>
          <w:p w:rsidR="00E675F0" w:rsidRDefault="00E675F0" w:rsidP="00A330E1">
            <w:pPr>
              <w:pStyle w:val="TableParagraph"/>
              <w:spacing w:before="1" w:line="210" w:lineRule="exact"/>
              <w:ind w:left="32"/>
              <w:rPr>
                <w:sz w:val="20"/>
              </w:rPr>
            </w:pPr>
            <w:r>
              <w:rPr>
                <w:w w:val="105"/>
                <w:sz w:val="20"/>
              </w:rPr>
              <w:t>(current)</w:t>
            </w:r>
          </w:p>
        </w:tc>
      </w:tr>
      <w:tr w:rsidR="00E675F0" w:rsidTr="00A330E1">
        <w:trPr>
          <w:trHeight w:val="490"/>
        </w:trPr>
        <w:tc>
          <w:tcPr>
            <w:tcW w:w="7496" w:type="dxa"/>
            <w:gridSpan w:val="3"/>
          </w:tcPr>
          <w:p w:rsidR="00E675F0" w:rsidRDefault="00E675F0" w:rsidP="00A330E1">
            <w:pPr>
              <w:pStyle w:val="TableParagraph"/>
              <w:spacing w:before="7"/>
            </w:pPr>
          </w:p>
          <w:p w:rsidR="00E675F0" w:rsidRDefault="00E675F0" w:rsidP="00A330E1">
            <w:pPr>
              <w:pStyle w:val="TableParagraph"/>
              <w:spacing w:line="210" w:lineRule="exact"/>
              <w:ind w:left="70"/>
              <w:rPr>
                <w:i/>
                <w:sz w:val="20"/>
              </w:rPr>
            </w:pPr>
            <w:r>
              <w:rPr>
                <w:i/>
                <w:w w:val="105"/>
                <w:sz w:val="20"/>
              </w:rPr>
              <w:t>Example 2:</w:t>
            </w:r>
          </w:p>
        </w:tc>
      </w:tr>
      <w:tr w:rsidR="00E675F0" w:rsidTr="00A330E1">
        <w:trPr>
          <w:trHeight w:val="256"/>
        </w:trPr>
        <w:tc>
          <w:tcPr>
            <w:tcW w:w="790" w:type="dxa"/>
          </w:tcPr>
          <w:p w:rsidR="00E675F0" w:rsidRDefault="00E675F0" w:rsidP="00A330E1">
            <w:pPr>
              <w:pStyle w:val="TableParagraph"/>
              <w:spacing w:line="218" w:lineRule="exact"/>
              <w:ind w:left="59"/>
              <w:rPr>
                <w:sz w:val="20"/>
              </w:rPr>
            </w:pPr>
            <w:r>
              <w:rPr>
                <w:sz w:val="20"/>
              </w:rPr>
              <w:t>Axis I</w:t>
            </w:r>
          </w:p>
        </w:tc>
        <w:tc>
          <w:tcPr>
            <w:tcW w:w="939" w:type="dxa"/>
          </w:tcPr>
          <w:p w:rsidR="00E675F0" w:rsidRDefault="00E675F0" w:rsidP="00A330E1">
            <w:pPr>
              <w:pStyle w:val="TableParagraph"/>
              <w:spacing w:line="218" w:lineRule="exact"/>
              <w:ind w:left="114"/>
              <w:rPr>
                <w:sz w:val="20"/>
              </w:rPr>
            </w:pPr>
            <w:r>
              <w:rPr>
                <w:sz w:val="20"/>
              </w:rPr>
              <w:t>300.4</w:t>
            </w:r>
          </w:p>
        </w:tc>
        <w:tc>
          <w:tcPr>
            <w:tcW w:w="5767" w:type="dxa"/>
          </w:tcPr>
          <w:p w:rsidR="00E675F0" w:rsidRDefault="00E675F0" w:rsidP="00A330E1">
            <w:pPr>
              <w:pStyle w:val="TableParagraph"/>
              <w:spacing w:line="218" w:lineRule="exact"/>
              <w:ind w:left="22"/>
              <w:rPr>
                <w:sz w:val="20"/>
              </w:rPr>
            </w:pPr>
            <w:r>
              <w:rPr>
                <w:w w:val="105"/>
                <w:sz w:val="20"/>
              </w:rPr>
              <w:t>Dysthymic Disorder</w:t>
            </w:r>
          </w:p>
        </w:tc>
      </w:tr>
      <w:tr w:rsidR="00E675F0" w:rsidTr="00A330E1">
        <w:trPr>
          <w:trHeight w:val="242"/>
        </w:trPr>
        <w:tc>
          <w:tcPr>
            <w:tcW w:w="790" w:type="dxa"/>
          </w:tcPr>
          <w:p w:rsidR="00E675F0" w:rsidRDefault="00E675F0" w:rsidP="00A330E1">
            <w:pPr>
              <w:pStyle w:val="TableParagraph"/>
              <w:rPr>
                <w:sz w:val="16"/>
              </w:rPr>
            </w:pPr>
          </w:p>
        </w:tc>
        <w:tc>
          <w:tcPr>
            <w:tcW w:w="939" w:type="dxa"/>
          </w:tcPr>
          <w:p w:rsidR="00E675F0" w:rsidRDefault="00E675F0" w:rsidP="00A330E1">
            <w:pPr>
              <w:pStyle w:val="TableParagraph"/>
              <w:spacing w:before="3" w:line="219" w:lineRule="exact"/>
              <w:ind w:left="110"/>
              <w:rPr>
                <w:sz w:val="20"/>
              </w:rPr>
            </w:pPr>
            <w:r>
              <w:rPr>
                <w:sz w:val="20"/>
              </w:rPr>
              <w:t>315.00</w:t>
            </w:r>
          </w:p>
        </w:tc>
        <w:tc>
          <w:tcPr>
            <w:tcW w:w="5767" w:type="dxa"/>
          </w:tcPr>
          <w:p w:rsidR="00E675F0" w:rsidRDefault="00E675F0" w:rsidP="00A330E1">
            <w:pPr>
              <w:pStyle w:val="TableParagraph"/>
              <w:spacing w:before="3" w:line="219" w:lineRule="exact"/>
              <w:ind w:left="17"/>
              <w:rPr>
                <w:sz w:val="20"/>
              </w:rPr>
            </w:pPr>
            <w:r>
              <w:rPr>
                <w:w w:val="105"/>
                <w:sz w:val="20"/>
              </w:rPr>
              <w:t>Reading Disorder</w:t>
            </w:r>
          </w:p>
        </w:tc>
      </w:tr>
      <w:tr w:rsidR="00E675F0" w:rsidTr="00A330E1">
        <w:trPr>
          <w:trHeight w:val="245"/>
        </w:trPr>
        <w:tc>
          <w:tcPr>
            <w:tcW w:w="790" w:type="dxa"/>
          </w:tcPr>
          <w:p w:rsidR="00E675F0" w:rsidRDefault="00E675F0" w:rsidP="00A330E1">
            <w:pPr>
              <w:pStyle w:val="TableParagraph"/>
              <w:spacing w:before="1" w:line="224" w:lineRule="exact"/>
              <w:ind w:left="54"/>
              <w:rPr>
                <w:rFonts w:ascii="Arial"/>
                <w:sz w:val="18"/>
              </w:rPr>
            </w:pPr>
            <w:r>
              <w:rPr>
                <w:sz w:val="20"/>
              </w:rPr>
              <w:t xml:space="preserve">Axis </w:t>
            </w:r>
            <w:r>
              <w:rPr>
                <w:rFonts w:ascii="Arial"/>
                <w:sz w:val="18"/>
              </w:rPr>
              <w:t>II</w:t>
            </w:r>
          </w:p>
        </w:tc>
        <w:tc>
          <w:tcPr>
            <w:tcW w:w="939" w:type="dxa"/>
          </w:tcPr>
          <w:p w:rsidR="00E675F0" w:rsidRDefault="00E675F0" w:rsidP="00A330E1">
            <w:pPr>
              <w:pStyle w:val="TableParagraph"/>
              <w:spacing w:before="6" w:line="219" w:lineRule="exact"/>
              <w:ind w:left="111"/>
              <w:rPr>
                <w:sz w:val="20"/>
              </w:rPr>
            </w:pPr>
            <w:r>
              <w:rPr>
                <w:sz w:val="20"/>
              </w:rPr>
              <w:t>V71.09</w:t>
            </w:r>
          </w:p>
        </w:tc>
        <w:tc>
          <w:tcPr>
            <w:tcW w:w="5767" w:type="dxa"/>
          </w:tcPr>
          <w:p w:rsidR="00E675F0" w:rsidRDefault="00E675F0" w:rsidP="00A330E1">
            <w:pPr>
              <w:pStyle w:val="TableParagraph"/>
              <w:spacing w:before="6" w:line="219" w:lineRule="exact"/>
              <w:ind w:left="28"/>
              <w:rPr>
                <w:sz w:val="20"/>
              </w:rPr>
            </w:pPr>
            <w:r>
              <w:rPr>
                <w:w w:val="105"/>
                <w:sz w:val="20"/>
              </w:rPr>
              <w:t>No diagnosis</w:t>
            </w:r>
          </w:p>
        </w:tc>
      </w:tr>
      <w:tr w:rsidR="00E675F0" w:rsidTr="00A330E1">
        <w:trPr>
          <w:trHeight w:val="242"/>
        </w:trPr>
        <w:tc>
          <w:tcPr>
            <w:tcW w:w="790" w:type="dxa"/>
          </w:tcPr>
          <w:p w:rsidR="00E675F0" w:rsidRDefault="00E675F0" w:rsidP="00A330E1">
            <w:pPr>
              <w:pStyle w:val="TableParagraph"/>
              <w:spacing w:before="1" w:line="222" w:lineRule="exact"/>
              <w:ind w:left="50"/>
              <w:rPr>
                <w:sz w:val="18"/>
              </w:rPr>
            </w:pPr>
            <w:r>
              <w:rPr>
                <w:sz w:val="20"/>
              </w:rPr>
              <w:t xml:space="preserve">Axis </w:t>
            </w:r>
            <w:r>
              <w:rPr>
                <w:sz w:val="18"/>
              </w:rPr>
              <w:t>III</w:t>
            </w:r>
          </w:p>
        </w:tc>
        <w:tc>
          <w:tcPr>
            <w:tcW w:w="939" w:type="dxa"/>
          </w:tcPr>
          <w:p w:rsidR="00E675F0" w:rsidRDefault="00E675F0" w:rsidP="00A330E1">
            <w:pPr>
              <w:pStyle w:val="TableParagraph"/>
              <w:spacing w:before="1" w:line="222" w:lineRule="exact"/>
              <w:ind w:left="110"/>
              <w:rPr>
                <w:sz w:val="20"/>
              </w:rPr>
            </w:pPr>
            <w:r>
              <w:rPr>
                <w:sz w:val="20"/>
              </w:rPr>
              <w:t>382.9</w:t>
            </w:r>
          </w:p>
        </w:tc>
        <w:tc>
          <w:tcPr>
            <w:tcW w:w="5767" w:type="dxa"/>
          </w:tcPr>
          <w:p w:rsidR="00E675F0" w:rsidRDefault="00E675F0" w:rsidP="00A330E1">
            <w:pPr>
              <w:pStyle w:val="TableParagraph"/>
              <w:spacing w:before="1" w:line="222" w:lineRule="exact"/>
              <w:ind w:left="19"/>
              <w:rPr>
                <w:sz w:val="20"/>
              </w:rPr>
            </w:pPr>
            <w:r>
              <w:rPr>
                <w:w w:val="105"/>
                <w:sz w:val="20"/>
              </w:rPr>
              <w:t>Otitis media, recurrent</w:t>
            </w:r>
          </w:p>
        </w:tc>
      </w:tr>
      <w:tr w:rsidR="00E675F0" w:rsidTr="00A330E1">
        <w:trPr>
          <w:trHeight w:val="245"/>
        </w:trPr>
        <w:tc>
          <w:tcPr>
            <w:tcW w:w="790" w:type="dxa"/>
          </w:tcPr>
          <w:p w:rsidR="00E675F0" w:rsidRDefault="00E675F0" w:rsidP="00A330E1">
            <w:pPr>
              <w:pStyle w:val="TableParagraph"/>
              <w:spacing w:before="3" w:line="222" w:lineRule="exact"/>
              <w:ind w:left="54"/>
              <w:rPr>
                <w:sz w:val="20"/>
              </w:rPr>
            </w:pPr>
            <w:r>
              <w:rPr>
                <w:sz w:val="20"/>
              </w:rPr>
              <w:t>Axis IV</w:t>
            </w:r>
          </w:p>
        </w:tc>
        <w:tc>
          <w:tcPr>
            <w:tcW w:w="939" w:type="dxa"/>
          </w:tcPr>
          <w:p w:rsidR="00E675F0" w:rsidRDefault="00E675F0" w:rsidP="00A330E1">
            <w:pPr>
              <w:pStyle w:val="TableParagraph"/>
              <w:rPr>
                <w:sz w:val="16"/>
              </w:rPr>
            </w:pPr>
          </w:p>
        </w:tc>
        <w:tc>
          <w:tcPr>
            <w:tcW w:w="5767" w:type="dxa"/>
          </w:tcPr>
          <w:p w:rsidR="00E675F0" w:rsidRDefault="00E675F0" w:rsidP="00A330E1">
            <w:pPr>
              <w:pStyle w:val="TableParagraph"/>
              <w:spacing w:before="3" w:line="222" w:lineRule="exact"/>
              <w:ind w:left="14"/>
              <w:rPr>
                <w:sz w:val="20"/>
              </w:rPr>
            </w:pPr>
            <w:r>
              <w:rPr>
                <w:sz w:val="20"/>
              </w:rPr>
              <w:t>Victim of child neglect</w:t>
            </w:r>
          </w:p>
        </w:tc>
      </w:tr>
      <w:tr w:rsidR="00E675F0" w:rsidTr="00A330E1">
        <w:trPr>
          <w:trHeight w:val="233"/>
        </w:trPr>
        <w:tc>
          <w:tcPr>
            <w:tcW w:w="790" w:type="dxa"/>
          </w:tcPr>
          <w:p w:rsidR="00E675F0" w:rsidRDefault="00E675F0" w:rsidP="00A330E1">
            <w:pPr>
              <w:pStyle w:val="TableParagraph"/>
              <w:spacing w:before="3" w:line="210" w:lineRule="exact"/>
              <w:ind w:left="59"/>
              <w:rPr>
                <w:sz w:val="20"/>
              </w:rPr>
            </w:pPr>
            <w:r>
              <w:rPr>
                <w:sz w:val="20"/>
              </w:rPr>
              <w:t>Axis V</w:t>
            </w:r>
          </w:p>
        </w:tc>
        <w:tc>
          <w:tcPr>
            <w:tcW w:w="939" w:type="dxa"/>
          </w:tcPr>
          <w:p w:rsidR="00E675F0" w:rsidRDefault="00E675F0" w:rsidP="00A330E1">
            <w:pPr>
              <w:pStyle w:val="TableParagraph"/>
              <w:spacing w:before="3" w:line="210" w:lineRule="exact"/>
              <w:ind w:left="115"/>
              <w:rPr>
                <w:sz w:val="20"/>
              </w:rPr>
            </w:pPr>
            <w:r>
              <w:rPr>
                <w:sz w:val="20"/>
              </w:rPr>
              <w:t>GAF = 53</w:t>
            </w:r>
          </w:p>
        </w:tc>
        <w:tc>
          <w:tcPr>
            <w:tcW w:w="5767" w:type="dxa"/>
          </w:tcPr>
          <w:p w:rsidR="00E675F0" w:rsidRDefault="00E675F0" w:rsidP="00A330E1">
            <w:pPr>
              <w:pStyle w:val="TableParagraph"/>
              <w:spacing w:before="3" w:line="210" w:lineRule="exact"/>
              <w:ind w:left="37"/>
              <w:rPr>
                <w:sz w:val="20"/>
              </w:rPr>
            </w:pPr>
            <w:r>
              <w:rPr>
                <w:w w:val="105"/>
                <w:sz w:val="20"/>
              </w:rPr>
              <w:t>(current)</w:t>
            </w:r>
          </w:p>
        </w:tc>
      </w:tr>
      <w:tr w:rsidR="00E675F0" w:rsidTr="00A330E1">
        <w:trPr>
          <w:trHeight w:val="495"/>
        </w:trPr>
        <w:tc>
          <w:tcPr>
            <w:tcW w:w="7496" w:type="dxa"/>
            <w:gridSpan w:val="3"/>
          </w:tcPr>
          <w:p w:rsidR="00E675F0" w:rsidRDefault="00E675F0" w:rsidP="00A330E1">
            <w:pPr>
              <w:pStyle w:val="TableParagraph"/>
              <w:rPr>
                <w:sz w:val="23"/>
              </w:rPr>
            </w:pPr>
          </w:p>
          <w:p w:rsidR="00E675F0" w:rsidRDefault="00E675F0" w:rsidP="00A330E1">
            <w:pPr>
              <w:pStyle w:val="TableParagraph"/>
              <w:spacing w:line="210" w:lineRule="exact"/>
              <w:ind w:left="75"/>
              <w:rPr>
                <w:i/>
                <w:sz w:val="20"/>
              </w:rPr>
            </w:pPr>
            <w:r>
              <w:rPr>
                <w:i/>
                <w:w w:val="105"/>
                <w:sz w:val="20"/>
              </w:rPr>
              <w:t>Example 3:</w:t>
            </w:r>
          </w:p>
        </w:tc>
      </w:tr>
      <w:tr w:rsidR="00E675F0" w:rsidTr="00A330E1">
        <w:trPr>
          <w:trHeight w:val="252"/>
        </w:trPr>
        <w:tc>
          <w:tcPr>
            <w:tcW w:w="790" w:type="dxa"/>
          </w:tcPr>
          <w:p w:rsidR="00E675F0" w:rsidRDefault="00E675F0" w:rsidP="00A330E1">
            <w:pPr>
              <w:pStyle w:val="TableParagraph"/>
              <w:spacing w:line="213" w:lineRule="exact"/>
              <w:ind w:left="54"/>
              <w:rPr>
                <w:sz w:val="18"/>
              </w:rPr>
            </w:pPr>
            <w:r>
              <w:rPr>
                <w:sz w:val="20"/>
              </w:rPr>
              <w:t xml:space="preserve">Axis </w:t>
            </w:r>
            <w:r>
              <w:rPr>
                <w:sz w:val="18"/>
              </w:rPr>
              <w:t>I</w:t>
            </w:r>
          </w:p>
        </w:tc>
        <w:tc>
          <w:tcPr>
            <w:tcW w:w="939" w:type="dxa"/>
          </w:tcPr>
          <w:p w:rsidR="00E675F0" w:rsidRDefault="00E675F0" w:rsidP="00A330E1">
            <w:pPr>
              <w:pStyle w:val="TableParagraph"/>
              <w:spacing w:line="213" w:lineRule="exact"/>
              <w:ind w:left="118"/>
              <w:rPr>
                <w:sz w:val="20"/>
              </w:rPr>
            </w:pPr>
            <w:r>
              <w:rPr>
                <w:sz w:val="20"/>
              </w:rPr>
              <w:t>293.83</w:t>
            </w:r>
          </w:p>
        </w:tc>
        <w:tc>
          <w:tcPr>
            <w:tcW w:w="5767" w:type="dxa"/>
          </w:tcPr>
          <w:p w:rsidR="00E675F0" w:rsidRDefault="00E675F0" w:rsidP="00A330E1">
            <w:pPr>
              <w:pStyle w:val="TableParagraph"/>
              <w:spacing w:line="213" w:lineRule="exact"/>
              <w:ind w:left="13"/>
              <w:rPr>
                <w:sz w:val="20"/>
              </w:rPr>
            </w:pPr>
            <w:r>
              <w:rPr>
                <w:w w:val="105"/>
                <w:sz w:val="20"/>
              </w:rPr>
              <w:t>Mood Disorder Due to Hypothyroidism, With Depressive</w:t>
            </w:r>
            <w:r>
              <w:rPr>
                <w:spacing w:val="51"/>
                <w:w w:val="105"/>
                <w:sz w:val="20"/>
              </w:rPr>
              <w:t xml:space="preserve"> </w:t>
            </w:r>
            <w:r>
              <w:rPr>
                <w:w w:val="105"/>
                <w:sz w:val="20"/>
              </w:rPr>
              <w:t>Features</w:t>
            </w:r>
          </w:p>
        </w:tc>
      </w:tr>
      <w:tr w:rsidR="00E675F0" w:rsidTr="00A330E1">
        <w:trPr>
          <w:trHeight w:val="245"/>
        </w:trPr>
        <w:tc>
          <w:tcPr>
            <w:tcW w:w="790" w:type="dxa"/>
          </w:tcPr>
          <w:p w:rsidR="00E675F0" w:rsidRDefault="00E675F0" w:rsidP="00A330E1">
            <w:pPr>
              <w:pStyle w:val="TableParagraph"/>
              <w:spacing w:before="3" w:line="222" w:lineRule="exact"/>
              <w:ind w:left="54"/>
              <w:rPr>
                <w:rFonts w:ascii="Arial"/>
                <w:sz w:val="18"/>
              </w:rPr>
            </w:pPr>
            <w:r>
              <w:rPr>
                <w:sz w:val="20"/>
              </w:rPr>
              <w:t xml:space="preserve">Axis </w:t>
            </w:r>
            <w:r>
              <w:rPr>
                <w:rFonts w:ascii="Arial"/>
                <w:sz w:val="18"/>
              </w:rPr>
              <w:t>II</w:t>
            </w:r>
          </w:p>
        </w:tc>
        <w:tc>
          <w:tcPr>
            <w:tcW w:w="939" w:type="dxa"/>
          </w:tcPr>
          <w:p w:rsidR="00E675F0" w:rsidRDefault="00E675F0" w:rsidP="00A330E1">
            <w:pPr>
              <w:pStyle w:val="TableParagraph"/>
              <w:spacing w:before="8" w:line="217" w:lineRule="exact"/>
              <w:ind w:left="111"/>
              <w:rPr>
                <w:sz w:val="20"/>
              </w:rPr>
            </w:pPr>
            <w:r>
              <w:rPr>
                <w:sz w:val="20"/>
              </w:rPr>
              <w:t>V71.09</w:t>
            </w:r>
          </w:p>
        </w:tc>
        <w:tc>
          <w:tcPr>
            <w:tcW w:w="5767" w:type="dxa"/>
          </w:tcPr>
          <w:p w:rsidR="00E675F0" w:rsidRDefault="00E675F0" w:rsidP="00A330E1">
            <w:pPr>
              <w:pStyle w:val="TableParagraph"/>
              <w:spacing w:before="3" w:line="222" w:lineRule="exact"/>
              <w:ind w:left="28"/>
              <w:rPr>
                <w:sz w:val="20"/>
              </w:rPr>
            </w:pPr>
            <w:r>
              <w:rPr>
                <w:w w:val="105"/>
                <w:sz w:val="20"/>
              </w:rPr>
              <w:t>No diagnosis, histrionic personality features</w:t>
            </w:r>
          </w:p>
        </w:tc>
      </w:tr>
      <w:tr w:rsidR="00E675F0" w:rsidTr="00A330E1">
        <w:trPr>
          <w:trHeight w:val="242"/>
        </w:trPr>
        <w:tc>
          <w:tcPr>
            <w:tcW w:w="790" w:type="dxa"/>
          </w:tcPr>
          <w:p w:rsidR="00E675F0" w:rsidRDefault="00E675F0" w:rsidP="00A330E1">
            <w:pPr>
              <w:pStyle w:val="TableParagraph"/>
              <w:spacing w:line="223" w:lineRule="exact"/>
              <w:ind w:left="59"/>
              <w:rPr>
                <w:sz w:val="18"/>
              </w:rPr>
            </w:pPr>
            <w:r>
              <w:rPr>
                <w:sz w:val="20"/>
              </w:rPr>
              <w:t xml:space="preserve">Axis </w:t>
            </w:r>
            <w:r>
              <w:rPr>
                <w:sz w:val="18"/>
              </w:rPr>
              <w:t>III</w:t>
            </w:r>
          </w:p>
        </w:tc>
        <w:tc>
          <w:tcPr>
            <w:tcW w:w="939" w:type="dxa"/>
          </w:tcPr>
          <w:p w:rsidR="00E675F0" w:rsidRDefault="00E675F0" w:rsidP="00A330E1">
            <w:pPr>
              <w:pStyle w:val="TableParagraph"/>
              <w:spacing w:before="3" w:line="219" w:lineRule="exact"/>
              <w:ind w:left="123"/>
              <w:rPr>
                <w:sz w:val="20"/>
              </w:rPr>
            </w:pPr>
            <w:r>
              <w:rPr>
                <w:sz w:val="20"/>
              </w:rPr>
              <w:t>244.9</w:t>
            </w:r>
          </w:p>
        </w:tc>
        <w:tc>
          <w:tcPr>
            <w:tcW w:w="5767" w:type="dxa"/>
          </w:tcPr>
          <w:p w:rsidR="00E675F0" w:rsidRDefault="00E675F0" w:rsidP="00A330E1">
            <w:pPr>
              <w:pStyle w:val="TableParagraph"/>
              <w:spacing w:line="223" w:lineRule="exact"/>
              <w:ind w:left="22"/>
              <w:rPr>
                <w:sz w:val="20"/>
              </w:rPr>
            </w:pPr>
            <w:r>
              <w:rPr>
                <w:w w:val="105"/>
                <w:sz w:val="20"/>
              </w:rPr>
              <w:t>Hypothyroidism</w:t>
            </w:r>
          </w:p>
        </w:tc>
      </w:tr>
      <w:tr w:rsidR="00E675F0" w:rsidTr="00A330E1">
        <w:trPr>
          <w:trHeight w:val="245"/>
        </w:trPr>
        <w:tc>
          <w:tcPr>
            <w:tcW w:w="790" w:type="dxa"/>
          </w:tcPr>
          <w:p w:rsidR="00E675F0" w:rsidRDefault="00E675F0" w:rsidP="00A330E1">
            <w:pPr>
              <w:pStyle w:val="TableParagraph"/>
              <w:rPr>
                <w:sz w:val="16"/>
              </w:rPr>
            </w:pPr>
          </w:p>
        </w:tc>
        <w:tc>
          <w:tcPr>
            <w:tcW w:w="939" w:type="dxa"/>
          </w:tcPr>
          <w:p w:rsidR="00E675F0" w:rsidRDefault="00E675F0" w:rsidP="00A330E1">
            <w:pPr>
              <w:pStyle w:val="TableParagraph"/>
              <w:spacing w:before="10" w:line="215" w:lineRule="exact"/>
              <w:ind w:left="114"/>
              <w:rPr>
                <w:sz w:val="20"/>
              </w:rPr>
            </w:pPr>
            <w:r>
              <w:rPr>
                <w:sz w:val="20"/>
              </w:rPr>
              <w:t>365.23</w:t>
            </w:r>
          </w:p>
        </w:tc>
        <w:tc>
          <w:tcPr>
            <w:tcW w:w="5767" w:type="dxa"/>
          </w:tcPr>
          <w:p w:rsidR="00E675F0" w:rsidRDefault="00E675F0" w:rsidP="00A330E1">
            <w:pPr>
              <w:pStyle w:val="TableParagraph"/>
              <w:spacing w:before="1" w:line="224" w:lineRule="exact"/>
              <w:ind w:left="18"/>
              <w:rPr>
                <w:sz w:val="20"/>
              </w:rPr>
            </w:pPr>
            <w:r>
              <w:rPr>
                <w:w w:val="105"/>
                <w:sz w:val="20"/>
              </w:rPr>
              <w:t>Chronic angle-closure glaucoma</w:t>
            </w:r>
          </w:p>
        </w:tc>
      </w:tr>
      <w:tr w:rsidR="00E675F0" w:rsidTr="00A330E1">
        <w:trPr>
          <w:trHeight w:val="237"/>
        </w:trPr>
        <w:tc>
          <w:tcPr>
            <w:tcW w:w="790" w:type="dxa"/>
          </w:tcPr>
          <w:p w:rsidR="00E675F0" w:rsidRDefault="00E675F0" w:rsidP="00A330E1">
            <w:pPr>
              <w:pStyle w:val="TableParagraph"/>
              <w:spacing w:line="218" w:lineRule="exact"/>
              <w:ind w:left="59"/>
              <w:rPr>
                <w:sz w:val="20"/>
              </w:rPr>
            </w:pPr>
            <w:r>
              <w:rPr>
                <w:sz w:val="20"/>
              </w:rPr>
              <w:t>Axis IV</w:t>
            </w:r>
          </w:p>
        </w:tc>
        <w:tc>
          <w:tcPr>
            <w:tcW w:w="939" w:type="dxa"/>
          </w:tcPr>
          <w:p w:rsidR="00E675F0" w:rsidRDefault="00E675F0" w:rsidP="00A330E1">
            <w:pPr>
              <w:pStyle w:val="TableParagraph"/>
              <w:rPr>
                <w:sz w:val="16"/>
              </w:rPr>
            </w:pPr>
          </w:p>
        </w:tc>
        <w:tc>
          <w:tcPr>
            <w:tcW w:w="5767" w:type="dxa"/>
          </w:tcPr>
          <w:p w:rsidR="00E675F0" w:rsidRDefault="00E675F0" w:rsidP="00A330E1">
            <w:pPr>
              <w:pStyle w:val="TableParagraph"/>
              <w:spacing w:before="1" w:line="217" w:lineRule="exact"/>
              <w:ind w:left="28"/>
              <w:rPr>
                <w:sz w:val="20"/>
              </w:rPr>
            </w:pPr>
            <w:r>
              <w:rPr>
                <w:w w:val="105"/>
                <w:sz w:val="20"/>
              </w:rPr>
              <w:t>None</w:t>
            </w:r>
          </w:p>
        </w:tc>
      </w:tr>
      <w:tr w:rsidR="00E675F0" w:rsidTr="00A330E1">
        <w:trPr>
          <w:trHeight w:val="240"/>
        </w:trPr>
        <w:tc>
          <w:tcPr>
            <w:tcW w:w="790" w:type="dxa"/>
          </w:tcPr>
          <w:p w:rsidR="00E675F0" w:rsidRDefault="00E675F0" w:rsidP="00A330E1">
            <w:pPr>
              <w:pStyle w:val="TableParagraph"/>
              <w:spacing w:line="220" w:lineRule="exact"/>
              <w:ind w:left="54"/>
              <w:rPr>
                <w:sz w:val="20"/>
              </w:rPr>
            </w:pPr>
            <w:r>
              <w:rPr>
                <w:sz w:val="20"/>
              </w:rPr>
              <w:t>Axis V</w:t>
            </w:r>
          </w:p>
        </w:tc>
        <w:tc>
          <w:tcPr>
            <w:tcW w:w="939" w:type="dxa"/>
          </w:tcPr>
          <w:p w:rsidR="00E675F0" w:rsidRDefault="00E675F0" w:rsidP="00A330E1">
            <w:pPr>
              <w:pStyle w:val="TableParagraph"/>
              <w:spacing w:line="220" w:lineRule="exact"/>
              <w:ind w:left="115"/>
              <w:rPr>
                <w:sz w:val="20"/>
              </w:rPr>
            </w:pPr>
            <w:r>
              <w:rPr>
                <w:w w:val="105"/>
                <w:sz w:val="20"/>
              </w:rPr>
              <w:t>GAF= 45</w:t>
            </w:r>
          </w:p>
        </w:tc>
        <w:tc>
          <w:tcPr>
            <w:tcW w:w="5767" w:type="dxa"/>
          </w:tcPr>
          <w:p w:rsidR="00E675F0" w:rsidRDefault="00E675F0" w:rsidP="00A330E1">
            <w:pPr>
              <w:pStyle w:val="TableParagraph"/>
              <w:spacing w:line="220" w:lineRule="exact"/>
              <w:ind w:left="32"/>
              <w:rPr>
                <w:sz w:val="20"/>
              </w:rPr>
            </w:pPr>
            <w:r>
              <w:rPr>
                <w:w w:val="105"/>
                <w:sz w:val="20"/>
              </w:rPr>
              <w:t>(on admission)</w:t>
            </w:r>
          </w:p>
        </w:tc>
      </w:tr>
      <w:tr w:rsidR="00E675F0" w:rsidTr="00A330E1">
        <w:trPr>
          <w:trHeight w:val="233"/>
        </w:trPr>
        <w:tc>
          <w:tcPr>
            <w:tcW w:w="790" w:type="dxa"/>
          </w:tcPr>
          <w:p w:rsidR="00E675F0" w:rsidRDefault="00E675F0" w:rsidP="00A330E1">
            <w:pPr>
              <w:pStyle w:val="TableParagraph"/>
              <w:rPr>
                <w:sz w:val="16"/>
              </w:rPr>
            </w:pPr>
          </w:p>
        </w:tc>
        <w:tc>
          <w:tcPr>
            <w:tcW w:w="939" w:type="dxa"/>
          </w:tcPr>
          <w:p w:rsidR="00E675F0" w:rsidRDefault="00E675F0" w:rsidP="00A330E1">
            <w:pPr>
              <w:pStyle w:val="TableParagraph"/>
              <w:spacing w:before="3" w:line="210" w:lineRule="exact"/>
              <w:ind w:left="111"/>
              <w:rPr>
                <w:sz w:val="20"/>
              </w:rPr>
            </w:pPr>
            <w:r>
              <w:rPr>
                <w:sz w:val="20"/>
              </w:rPr>
              <w:t>GAF = 65</w:t>
            </w:r>
          </w:p>
        </w:tc>
        <w:tc>
          <w:tcPr>
            <w:tcW w:w="5767" w:type="dxa"/>
          </w:tcPr>
          <w:p w:rsidR="00E675F0" w:rsidRDefault="00E675F0" w:rsidP="00A330E1">
            <w:pPr>
              <w:pStyle w:val="TableParagraph"/>
              <w:spacing w:before="3" w:line="210" w:lineRule="exact"/>
              <w:ind w:left="32"/>
              <w:rPr>
                <w:sz w:val="20"/>
              </w:rPr>
            </w:pPr>
            <w:r>
              <w:rPr>
                <w:w w:val="105"/>
                <w:sz w:val="20"/>
              </w:rPr>
              <w:t>(at discharge)</w:t>
            </w:r>
          </w:p>
        </w:tc>
      </w:tr>
      <w:tr w:rsidR="00E675F0" w:rsidTr="00A330E1">
        <w:trPr>
          <w:trHeight w:val="480"/>
        </w:trPr>
        <w:tc>
          <w:tcPr>
            <w:tcW w:w="7496" w:type="dxa"/>
            <w:gridSpan w:val="3"/>
          </w:tcPr>
          <w:p w:rsidR="00E675F0" w:rsidRDefault="00E675F0" w:rsidP="00A330E1">
            <w:pPr>
              <w:pStyle w:val="TableParagraph"/>
              <w:spacing w:before="9"/>
              <w:rPr>
                <w:sz w:val="21"/>
              </w:rPr>
            </w:pPr>
          </w:p>
          <w:p w:rsidR="00E675F0" w:rsidRDefault="00E675F0" w:rsidP="00A330E1">
            <w:pPr>
              <w:pStyle w:val="TableParagraph"/>
              <w:spacing w:line="210" w:lineRule="exact"/>
              <w:ind w:left="70"/>
              <w:rPr>
                <w:i/>
                <w:sz w:val="20"/>
              </w:rPr>
            </w:pPr>
            <w:r>
              <w:rPr>
                <w:i/>
                <w:w w:val="105"/>
                <w:sz w:val="20"/>
              </w:rPr>
              <w:t>Example 4:</w:t>
            </w:r>
          </w:p>
        </w:tc>
      </w:tr>
      <w:tr w:rsidR="00E675F0" w:rsidTr="00A330E1">
        <w:trPr>
          <w:trHeight w:val="249"/>
        </w:trPr>
        <w:tc>
          <w:tcPr>
            <w:tcW w:w="790" w:type="dxa"/>
          </w:tcPr>
          <w:p w:rsidR="00E675F0" w:rsidRDefault="00E675F0" w:rsidP="00A330E1">
            <w:pPr>
              <w:pStyle w:val="TableParagraph"/>
              <w:spacing w:line="211" w:lineRule="exact"/>
              <w:ind w:left="54"/>
              <w:rPr>
                <w:sz w:val="20"/>
              </w:rPr>
            </w:pPr>
            <w:r>
              <w:rPr>
                <w:sz w:val="20"/>
              </w:rPr>
              <w:t>Axis I</w:t>
            </w:r>
          </w:p>
        </w:tc>
        <w:tc>
          <w:tcPr>
            <w:tcW w:w="939" w:type="dxa"/>
          </w:tcPr>
          <w:p w:rsidR="00E675F0" w:rsidRDefault="00E675F0" w:rsidP="00A330E1">
            <w:pPr>
              <w:pStyle w:val="TableParagraph"/>
              <w:spacing w:line="211" w:lineRule="exact"/>
              <w:ind w:left="111"/>
              <w:rPr>
                <w:sz w:val="20"/>
              </w:rPr>
            </w:pPr>
            <w:r>
              <w:rPr>
                <w:w w:val="105"/>
                <w:sz w:val="20"/>
              </w:rPr>
              <w:t>V61.l</w:t>
            </w:r>
          </w:p>
        </w:tc>
        <w:tc>
          <w:tcPr>
            <w:tcW w:w="5767" w:type="dxa"/>
          </w:tcPr>
          <w:p w:rsidR="00E675F0" w:rsidRDefault="00E675F0" w:rsidP="00A330E1">
            <w:pPr>
              <w:pStyle w:val="TableParagraph"/>
              <w:spacing w:line="211" w:lineRule="exact"/>
              <w:ind w:left="18"/>
              <w:rPr>
                <w:sz w:val="20"/>
              </w:rPr>
            </w:pPr>
            <w:r>
              <w:rPr>
                <w:w w:val="105"/>
                <w:sz w:val="20"/>
              </w:rPr>
              <w:t>Partner Relational Problem</w:t>
            </w:r>
          </w:p>
        </w:tc>
      </w:tr>
      <w:tr w:rsidR="00E675F0" w:rsidTr="00A330E1">
        <w:trPr>
          <w:trHeight w:val="240"/>
        </w:trPr>
        <w:tc>
          <w:tcPr>
            <w:tcW w:w="790" w:type="dxa"/>
          </w:tcPr>
          <w:p w:rsidR="00E675F0" w:rsidRDefault="00E675F0" w:rsidP="00A330E1">
            <w:pPr>
              <w:pStyle w:val="TableParagraph"/>
              <w:spacing w:before="1" w:line="219" w:lineRule="exact"/>
              <w:ind w:left="50"/>
              <w:rPr>
                <w:sz w:val="20"/>
              </w:rPr>
            </w:pPr>
            <w:r>
              <w:rPr>
                <w:sz w:val="20"/>
              </w:rPr>
              <w:t>Axis II</w:t>
            </w:r>
          </w:p>
        </w:tc>
        <w:tc>
          <w:tcPr>
            <w:tcW w:w="939" w:type="dxa"/>
          </w:tcPr>
          <w:p w:rsidR="00E675F0" w:rsidRDefault="00E675F0" w:rsidP="00A330E1">
            <w:pPr>
              <w:pStyle w:val="TableParagraph"/>
              <w:spacing w:before="1" w:line="219" w:lineRule="exact"/>
              <w:ind w:left="111"/>
              <w:rPr>
                <w:sz w:val="20"/>
              </w:rPr>
            </w:pPr>
            <w:r>
              <w:rPr>
                <w:sz w:val="20"/>
              </w:rPr>
              <w:t>V71.09</w:t>
            </w:r>
          </w:p>
        </w:tc>
        <w:tc>
          <w:tcPr>
            <w:tcW w:w="5767" w:type="dxa"/>
          </w:tcPr>
          <w:p w:rsidR="00E675F0" w:rsidRDefault="00E675F0" w:rsidP="00A330E1">
            <w:pPr>
              <w:pStyle w:val="TableParagraph"/>
              <w:spacing w:before="1" w:line="219" w:lineRule="exact"/>
              <w:ind w:left="24"/>
              <w:rPr>
                <w:sz w:val="20"/>
              </w:rPr>
            </w:pPr>
            <w:r>
              <w:rPr>
                <w:w w:val="105"/>
                <w:sz w:val="20"/>
              </w:rPr>
              <w:t>No diagnosis</w:t>
            </w:r>
          </w:p>
        </w:tc>
      </w:tr>
      <w:tr w:rsidR="00E675F0" w:rsidTr="00A330E1">
        <w:trPr>
          <w:trHeight w:val="240"/>
        </w:trPr>
        <w:tc>
          <w:tcPr>
            <w:tcW w:w="790" w:type="dxa"/>
          </w:tcPr>
          <w:p w:rsidR="00E675F0" w:rsidRDefault="00E675F0" w:rsidP="00A330E1">
            <w:pPr>
              <w:pStyle w:val="TableParagraph"/>
              <w:spacing w:before="1" w:line="219" w:lineRule="exact"/>
              <w:ind w:left="54"/>
              <w:rPr>
                <w:sz w:val="20"/>
              </w:rPr>
            </w:pPr>
            <w:r>
              <w:rPr>
                <w:sz w:val="20"/>
              </w:rPr>
              <w:t>Axis III</w:t>
            </w:r>
          </w:p>
        </w:tc>
        <w:tc>
          <w:tcPr>
            <w:tcW w:w="939" w:type="dxa"/>
          </w:tcPr>
          <w:p w:rsidR="00E675F0" w:rsidRDefault="00E675F0" w:rsidP="00A330E1">
            <w:pPr>
              <w:pStyle w:val="TableParagraph"/>
              <w:rPr>
                <w:sz w:val="16"/>
              </w:rPr>
            </w:pPr>
          </w:p>
        </w:tc>
        <w:tc>
          <w:tcPr>
            <w:tcW w:w="5767" w:type="dxa"/>
          </w:tcPr>
          <w:p w:rsidR="00E675F0" w:rsidRDefault="00E675F0" w:rsidP="00A330E1">
            <w:pPr>
              <w:pStyle w:val="TableParagraph"/>
              <w:spacing w:before="1" w:line="219" w:lineRule="exact"/>
              <w:ind w:left="24"/>
              <w:rPr>
                <w:sz w:val="20"/>
              </w:rPr>
            </w:pPr>
            <w:r>
              <w:rPr>
                <w:w w:val="105"/>
                <w:sz w:val="20"/>
              </w:rPr>
              <w:t>None</w:t>
            </w:r>
          </w:p>
        </w:tc>
      </w:tr>
      <w:tr w:rsidR="00E675F0" w:rsidTr="00A330E1">
        <w:trPr>
          <w:trHeight w:val="242"/>
        </w:trPr>
        <w:tc>
          <w:tcPr>
            <w:tcW w:w="790" w:type="dxa"/>
          </w:tcPr>
          <w:p w:rsidR="00E675F0" w:rsidRDefault="00E675F0" w:rsidP="00A330E1">
            <w:pPr>
              <w:pStyle w:val="TableParagraph"/>
              <w:spacing w:before="1" w:line="222" w:lineRule="exact"/>
              <w:ind w:left="54"/>
              <w:rPr>
                <w:sz w:val="20"/>
              </w:rPr>
            </w:pPr>
            <w:r>
              <w:rPr>
                <w:sz w:val="20"/>
              </w:rPr>
              <w:t>Axis IV</w:t>
            </w:r>
          </w:p>
        </w:tc>
        <w:tc>
          <w:tcPr>
            <w:tcW w:w="939" w:type="dxa"/>
          </w:tcPr>
          <w:p w:rsidR="00E675F0" w:rsidRDefault="00E675F0" w:rsidP="00A330E1">
            <w:pPr>
              <w:pStyle w:val="TableParagraph"/>
              <w:rPr>
                <w:sz w:val="16"/>
              </w:rPr>
            </w:pPr>
          </w:p>
        </w:tc>
        <w:tc>
          <w:tcPr>
            <w:tcW w:w="5767" w:type="dxa"/>
          </w:tcPr>
          <w:p w:rsidR="00E675F0" w:rsidRDefault="00E675F0" w:rsidP="00A330E1">
            <w:pPr>
              <w:pStyle w:val="TableParagraph"/>
              <w:spacing w:before="6" w:line="217" w:lineRule="exact"/>
              <w:ind w:left="24"/>
              <w:rPr>
                <w:sz w:val="20"/>
              </w:rPr>
            </w:pPr>
            <w:r>
              <w:rPr>
                <w:w w:val="105"/>
                <w:sz w:val="20"/>
              </w:rPr>
              <w:t>Unemployment</w:t>
            </w:r>
          </w:p>
        </w:tc>
      </w:tr>
      <w:tr w:rsidR="00E675F0" w:rsidTr="00A330E1">
        <w:trPr>
          <w:trHeight w:val="228"/>
        </w:trPr>
        <w:tc>
          <w:tcPr>
            <w:tcW w:w="790" w:type="dxa"/>
          </w:tcPr>
          <w:p w:rsidR="00E675F0" w:rsidRDefault="00E675F0" w:rsidP="00A330E1">
            <w:pPr>
              <w:pStyle w:val="TableParagraph"/>
              <w:spacing w:line="209" w:lineRule="exact"/>
              <w:ind w:left="50"/>
              <w:rPr>
                <w:sz w:val="20"/>
              </w:rPr>
            </w:pPr>
            <w:r>
              <w:rPr>
                <w:sz w:val="20"/>
              </w:rPr>
              <w:t>Axis V</w:t>
            </w:r>
          </w:p>
        </w:tc>
        <w:tc>
          <w:tcPr>
            <w:tcW w:w="939" w:type="dxa"/>
          </w:tcPr>
          <w:p w:rsidR="00E675F0" w:rsidRDefault="00E675F0" w:rsidP="00A330E1">
            <w:pPr>
              <w:pStyle w:val="TableParagraph"/>
              <w:spacing w:line="209" w:lineRule="exact"/>
              <w:ind w:left="111"/>
              <w:rPr>
                <w:sz w:val="20"/>
              </w:rPr>
            </w:pPr>
            <w:r>
              <w:rPr>
                <w:sz w:val="20"/>
              </w:rPr>
              <w:t>GAF = 83</w:t>
            </w:r>
          </w:p>
        </w:tc>
        <w:tc>
          <w:tcPr>
            <w:tcW w:w="5767" w:type="dxa"/>
          </w:tcPr>
          <w:p w:rsidR="00E675F0" w:rsidRDefault="00E675F0" w:rsidP="00A330E1">
            <w:pPr>
              <w:pStyle w:val="TableParagraph"/>
              <w:spacing w:line="209" w:lineRule="exact"/>
              <w:ind w:left="32"/>
              <w:rPr>
                <w:sz w:val="20"/>
              </w:rPr>
            </w:pPr>
            <w:r>
              <w:rPr>
                <w:w w:val="105"/>
                <w:sz w:val="20"/>
              </w:rPr>
              <w:t>(highest level past year)</w:t>
            </w:r>
          </w:p>
        </w:tc>
      </w:tr>
    </w:tbl>
    <w:p w:rsidR="00E675F0" w:rsidRDefault="00E675F0" w:rsidP="00E675F0">
      <w:pPr>
        <w:spacing w:line="209" w:lineRule="exact"/>
        <w:rPr>
          <w:sz w:val="20"/>
        </w:rPr>
        <w:sectPr w:rsidR="00E675F0">
          <w:type w:val="continuous"/>
          <w:pgSz w:w="8960" w:h="14260"/>
          <w:pgMar w:top="640" w:right="680" w:bottom="0" w:left="560" w:header="720" w:footer="720" w:gutter="0"/>
          <w:cols w:space="720"/>
        </w:sectPr>
      </w:pPr>
    </w:p>
    <w:p w:rsidR="00E675F0" w:rsidRDefault="00E675F0" w:rsidP="00E675F0">
      <w:pPr>
        <w:spacing w:before="120"/>
        <w:ind w:left="1326" w:right="915"/>
        <w:jc w:val="center"/>
        <w:rPr>
          <w:b/>
          <w:sz w:val="27"/>
        </w:rPr>
      </w:pPr>
      <w:r>
        <w:rPr>
          <w:b/>
          <w:w w:val="105"/>
          <w:sz w:val="27"/>
        </w:rPr>
        <w:lastRenderedPageBreak/>
        <w:t>Multiaxial Evaluation Report</w:t>
      </w:r>
      <w:r>
        <w:rPr>
          <w:b/>
          <w:spacing w:val="56"/>
          <w:w w:val="105"/>
          <w:sz w:val="27"/>
        </w:rPr>
        <w:t xml:space="preserve"> </w:t>
      </w:r>
      <w:r>
        <w:rPr>
          <w:b/>
          <w:w w:val="105"/>
          <w:sz w:val="27"/>
        </w:rPr>
        <w:t>Form</w:t>
      </w:r>
    </w:p>
    <w:p w:rsidR="00E675F0" w:rsidRDefault="00E675F0" w:rsidP="00E675F0">
      <w:pPr>
        <w:pStyle w:val="BodyText"/>
        <w:spacing w:before="264" w:line="254" w:lineRule="auto"/>
        <w:ind w:left="646" w:right="224" w:hanging="6"/>
        <w:jc w:val="both"/>
      </w:pPr>
      <w:r>
        <w:rPr>
          <w:w w:val="105"/>
        </w:rPr>
        <w:t>The following form is offered as one possibility for reporting multiaxial evaluations. In some settings, this form may be used exactly as is; in other settings, the form may be adapted to satisfy special needs.</w:t>
      </w:r>
    </w:p>
    <w:p w:rsidR="00E675F0" w:rsidRDefault="00E675F0" w:rsidP="00E675F0">
      <w:pPr>
        <w:spacing w:before="134"/>
        <w:ind w:left="628"/>
        <w:rPr>
          <w:rFonts w:ascii="TimesNewRomanPS-BoldItalicMT" w:hAnsi="TimesNewRomanPS-BoldItalicMT"/>
          <w:b/>
          <w:i/>
          <w:sz w:val="20"/>
        </w:rPr>
      </w:pPr>
      <w:r>
        <w:rPr>
          <w:rFonts w:ascii="TimesNewRomanPS-BoldItalicMT" w:hAnsi="TimesNewRomanPS-BoldItalicMT"/>
          <w:b/>
          <w:i/>
          <w:w w:val="105"/>
          <w:sz w:val="20"/>
        </w:rPr>
        <w:t>AXIS L· Clinical Disorders</w:t>
      </w:r>
    </w:p>
    <w:p w:rsidR="00E675F0" w:rsidRDefault="00E675F0" w:rsidP="00E675F0">
      <w:pPr>
        <w:spacing w:before="20"/>
        <w:ind w:left="1326" w:right="1507"/>
        <w:jc w:val="center"/>
        <w:rPr>
          <w:rFonts w:ascii="TimesNewRomanPS-BoldItalicMT"/>
          <w:b/>
          <w:i/>
          <w:sz w:val="20"/>
        </w:rPr>
      </w:pPr>
      <w:r>
        <w:rPr>
          <w:rFonts w:ascii="TimesNewRomanPS-BoldItalicMT"/>
          <w:b/>
          <w:i/>
          <w:w w:val="110"/>
          <w:sz w:val="20"/>
        </w:rPr>
        <w:t xml:space="preserve">Other Conditions That May </w:t>
      </w:r>
      <w:r>
        <w:rPr>
          <w:rFonts w:ascii="TimesNewRomanPS-BoldItalicMT"/>
          <w:b/>
          <w:i/>
          <w:w w:val="110"/>
          <w:sz w:val="18"/>
        </w:rPr>
        <w:t xml:space="preserve">Be </w:t>
      </w:r>
      <w:r>
        <w:rPr>
          <w:rFonts w:ascii="TimesNewRomanPS-BoldItalicMT"/>
          <w:b/>
          <w:i/>
          <w:w w:val="110"/>
          <w:sz w:val="20"/>
        </w:rPr>
        <w:t>a Focus of Clinical</w:t>
      </w:r>
      <w:r>
        <w:rPr>
          <w:rFonts w:ascii="TimesNewRomanPS-BoldItalicMT"/>
          <w:b/>
          <w:i/>
          <w:spacing w:val="8"/>
          <w:w w:val="110"/>
          <w:sz w:val="20"/>
        </w:rPr>
        <w:t xml:space="preserve"> </w:t>
      </w:r>
      <w:r>
        <w:rPr>
          <w:rFonts w:ascii="TimesNewRomanPS-BoldItalicMT"/>
          <w:b/>
          <w:i/>
          <w:w w:val="110"/>
          <w:sz w:val="20"/>
        </w:rPr>
        <w:t>Attention</w:t>
      </w:r>
    </w:p>
    <w:p w:rsidR="00E675F0" w:rsidRDefault="00E675F0" w:rsidP="00E675F0">
      <w:pPr>
        <w:pStyle w:val="BodyText"/>
        <w:tabs>
          <w:tab w:val="left" w:pos="3062"/>
        </w:tabs>
        <w:spacing w:before="78"/>
        <w:ind w:left="652"/>
      </w:pPr>
      <w:r>
        <w:rPr>
          <w:w w:val="105"/>
        </w:rPr>
        <w:t>Diagnostic</w:t>
      </w:r>
      <w:r>
        <w:rPr>
          <w:spacing w:val="13"/>
          <w:w w:val="105"/>
        </w:rPr>
        <w:t xml:space="preserve"> </w:t>
      </w:r>
      <w:r>
        <w:rPr>
          <w:w w:val="105"/>
        </w:rPr>
        <w:t>code</w:t>
      </w:r>
      <w:r>
        <w:rPr>
          <w:w w:val="105"/>
        </w:rPr>
        <w:tab/>
        <w:t>DSM-IV</w:t>
      </w:r>
      <w:r>
        <w:rPr>
          <w:spacing w:val="14"/>
          <w:w w:val="105"/>
        </w:rPr>
        <w:t xml:space="preserve"> </w:t>
      </w:r>
      <w:r>
        <w:rPr>
          <w:w w:val="105"/>
        </w:rPr>
        <w:t>name</w:t>
      </w:r>
    </w:p>
    <w:p w:rsidR="00E675F0" w:rsidRDefault="00E675F0" w:rsidP="00E675F0">
      <w:pPr>
        <w:pStyle w:val="BodyText"/>
        <w:spacing w:before="4"/>
        <w:rPr>
          <w:sz w:val="15"/>
        </w:rPr>
      </w:pPr>
      <w:r>
        <w:rPr>
          <w:noProof/>
        </w:rPr>
        <mc:AlternateContent>
          <mc:Choice Requires="wps">
            <w:drawing>
              <wp:anchor distT="0" distB="0" distL="0" distR="0" simplePos="0" relativeHeight="251827200" behindDoc="1" locked="0" layoutInCell="1" allowOverlap="1" wp14:anchorId="417EB096" wp14:editId="34495019">
                <wp:simplePos x="0" y="0"/>
                <wp:positionH relativeFrom="page">
                  <wp:posOffset>1998345</wp:posOffset>
                </wp:positionH>
                <wp:positionV relativeFrom="paragraph">
                  <wp:posOffset>140335</wp:posOffset>
                </wp:positionV>
                <wp:extent cx="3262630" cy="1270"/>
                <wp:effectExtent l="0" t="0" r="1270" b="0"/>
                <wp:wrapTopAndBottom/>
                <wp:docPr id="1670" name="Freeform 16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62630" cy="1270"/>
                        </a:xfrm>
                        <a:custGeom>
                          <a:avLst/>
                          <a:gdLst>
                            <a:gd name="T0" fmla="+- 0 3147 3147"/>
                            <a:gd name="T1" fmla="*/ T0 w 5138"/>
                            <a:gd name="T2" fmla="+- 0 8285 3147"/>
                            <a:gd name="T3" fmla="*/ T2 w 5138"/>
                          </a:gdLst>
                          <a:ahLst/>
                          <a:cxnLst>
                            <a:cxn ang="0">
                              <a:pos x="T1" y="0"/>
                            </a:cxn>
                            <a:cxn ang="0">
                              <a:pos x="T3" y="0"/>
                            </a:cxn>
                          </a:cxnLst>
                          <a:rect l="0" t="0" r="r" b="b"/>
                          <a:pathLst>
                            <a:path w="5138">
                              <a:moveTo>
                                <a:pt x="0" y="0"/>
                              </a:moveTo>
                              <a:lnTo>
                                <a:pt x="5138" y="0"/>
                              </a:lnTo>
                            </a:path>
                          </a:pathLst>
                        </a:custGeom>
                        <a:noFill/>
                        <a:ln w="6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075EE" id="Freeform 1626" o:spid="_x0000_s1026" style="position:absolute;margin-left:157.35pt;margin-top:11.05pt;width:256.9pt;height:.1pt;z-index:-251489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38,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" path="m,l5138,e" filled="f" strokeweight=".16958mm">
                <v:path arrowok="t" o:connecttype="custom" o:connectlocs="0,0;3262630,0" o:connectangles="0,0"/>
                <w10:wrap type="topAndBottom" anchorx="page"/>
              </v:shape>
            </w:pict>
          </mc:Fallback>
        </mc:AlternateContent>
      </w:r>
      <w:r>
        <w:rPr>
          <w:noProof/>
        </w:rPr>
        <mc:AlternateContent>
          <mc:Choice Requires="wps">
            <w:drawing>
              <wp:anchor distT="0" distB="0" distL="0" distR="0" simplePos="0" relativeHeight="251828224" behindDoc="1" locked="0" layoutInCell="1" allowOverlap="1" wp14:anchorId="7B928E3E" wp14:editId="4067E572">
                <wp:simplePos x="0" y="0"/>
                <wp:positionH relativeFrom="page">
                  <wp:posOffset>1998345</wp:posOffset>
                </wp:positionH>
                <wp:positionV relativeFrom="paragraph">
                  <wp:posOffset>335915</wp:posOffset>
                </wp:positionV>
                <wp:extent cx="3262630" cy="1270"/>
                <wp:effectExtent l="0" t="0" r="1270" b="0"/>
                <wp:wrapTopAndBottom/>
                <wp:docPr id="1669" name="Freeform 16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62630" cy="1270"/>
                        </a:xfrm>
                        <a:custGeom>
                          <a:avLst/>
                          <a:gdLst>
                            <a:gd name="T0" fmla="+- 0 3147 3147"/>
                            <a:gd name="T1" fmla="*/ T0 w 5138"/>
                            <a:gd name="T2" fmla="+- 0 8285 3147"/>
                            <a:gd name="T3" fmla="*/ T2 w 5138"/>
                          </a:gdLst>
                          <a:ahLst/>
                          <a:cxnLst>
                            <a:cxn ang="0">
                              <a:pos x="T1" y="0"/>
                            </a:cxn>
                            <a:cxn ang="0">
                              <a:pos x="T3" y="0"/>
                            </a:cxn>
                          </a:cxnLst>
                          <a:rect l="0" t="0" r="r" b="b"/>
                          <a:pathLst>
                            <a:path w="5138">
                              <a:moveTo>
                                <a:pt x="0" y="0"/>
                              </a:moveTo>
                              <a:lnTo>
                                <a:pt x="5138" y="0"/>
                              </a:lnTo>
                            </a:path>
                          </a:pathLst>
                        </a:custGeom>
                        <a:noFill/>
                        <a:ln w="6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D6750" id="Freeform 1625" o:spid="_x0000_s1026" style="position:absolute;margin-left:157.35pt;margin-top:26.45pt;width:256.9pt;height:.1pt;z-index:-251488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38,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" path="m,l5138,e" filled="f" strokeweight=".16958mm">
                <v:path arrowok="t" o:connecttype="custom" o:connectlocs="0,0;3262630,0" o:connectangles="0,0"/>
                <w10:wrap type="topAndBottom" anchorx="page"/>
              </v:shape>
            </w:pict>
          </mc:Fallback>
        </mc:AlternateContent>
      </w:r>
      <w:r>
        <w:rPr>
          <w:noProof/>
        </w:rPr>
        <mc:AlternateContent>
          <mc:Choice Requires="wps">
            <w:drawing>
              <wp:anchor distT="0" distB="0" distL="0" distR="0" simplePos="0" relativeHeight="251829248" behindDoc="1" locked="0" layoutInCell="1" allowOverlap="1" wp14:anchorId="6CDA293E" wp14:editId="086D1FC5">
                <wp:simplePos x="0" y="0"/>
                <wp:positionH relativeFrom="page">
                  <wp:posOffset>1998345</wp:posOffset>
                </wp:positionH>
                <wp:positionV relativeFrom="paragraph">
                  <wp:posOffset>528320</wp:posOffset>
                </wp:positionV>
                <wp:extent cx="3262630" cy="1270"/>
                <wp:effectExtent l="0" t="0" r="1270" b="0"/>
                <wp:wrapTopAndBottom/>
                <wp:docPr id="1668" name="Freeform 16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62630" cy="1270"/>
                        </a:xfrm>
                        <a:custGeom>
                          <a:avLst/>
                          <a:gdLst>
                            <a:gd name="T0" fmla="+- 0 3147 3147"/>
                            <a:gd name="T1" fmla="*/ T0 w 5138"/>
                            <a:gd name="T2" fmla="+- 0 8285 3147"/>
                            <a:gd name="T3" fmla="*/ T2 w 5138"/>
                          </a:gdLst>
                          <a:ahLst/>
                          <a:cxnLst>
                            <a:cxn ang="0">
                              <a:pos x="T1" y="0"/>
                            </a:cxn>
                            <a:cxn ang="0">
                              <a:pos x="T3" y="0"/>
                            </a:cxn>
                          </a:cxnLst>
                          <a:rect l="0" t="0" r="r" b="b"/>
                          <a:pathLst>
                            <a:path w="5138">
                              <a:moveTo>
                                <a:pt x="0" y="0"/>
                              </a:moveTo>
                              <a:lnTo>
                                <a:pt x="5138" y="0"/>
                              </a:lnTo>
                            </a:path>
                          </a:pathLst>
                        </a:custGeom>
                        <a:noFill/>
                        <a:ln w="6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74EA0" id="Freeform 1624" o:spid="_x0000_s1026" style="position:absolute;margin-left:157.35pt;margin-top:41.6pt;width:256.9pt;height:.1pt;z-index:-251487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38,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" path="m,l5138,e" filled="f" strokeweight=".16958mm">
                <v:path arrowok="t" o:connecttype="custom" o:connectlocs="0,0;3262630,0" o:connectangles="0,0"/>
                <w10:wrap type="topAndBottom" anchorx="page"/>
              </v:shape>
            </w:pict>
          </mc:Fallback>
        </mc:AlternateContent>
      </w:r>
    </w:p>
    <w:p w:rsidR="00E675F0" w:rsidRDefault="00E675F0" w:rsidP="00E675F0">
      <w:pPr>
        <w:pStyle w:val="BodyText"/>
        <w:spacing w:before="11"/>
        <w:rPr>
          <w:sz w:val="19"/>
        </w:rPr>
      </w:pPr>
    </w:p>
    <w:p w:rsidR="00E675F0" w:rsidRDefault="00E675F0" w:rsidP="00E675F0">
      <w:pPr>
        <w:pStyle w:val="BodyText"/>
        <w:spacing w:before="6"/>
        <w:rPr>
          <w:sz w:val="19"/>
        </w:rPr>
      </w:pPr>
    </w:p>
    <w:p w:rsidR="00E675F0" w:rsidRDefault="00E675F0" w:rsidP="00E675F0">
      <w:pPr>
        <w:spacing w:before="139" w:line="261" w:lineRule="auto"/>
        <w:ind w:left="1360" w:right="4208" w:hanging="734"/>
        <w:rPr>
          <w:rFonts w:ascii="TimesNewRomanPS-BoldItalicMT"/>
          <w:b/>
          <w:i/>
          <w:sz w:val="20"/>
        </w:rPr>
      </w:pPr>
      <w:r>
        <w:rPr>
          <w:i/>
          <w:w w:val="115"/>
          <w:sz w:val="20"/>
        </w:rPr>
        <w:t xml:space="preserve">AXIS II: </w:t>
      </w:r>
      <w:r>
        <w:rPr>
          <w:rFonts w:ascii="TimesNewRomanPS-BoldItalicMT"/>
          <w:b/>
          <w:i/>
          <w:w w:val="115"/>
          <w:sz w:val="20"/>
        </w:rPr>
        <w:t>Personality Disorders Mental Retardation</w:t>
      </w:r>
    </w:p>
    <w:p w:rsidR="00E675F0" w:rsidRDefault="00E675F0" w:rsidP="00E675F0">
      <w:pPr>
        <w:pStyle w:val="BodyText"/>
        <w:tabs>
          <w:tab w:val="left" w:pos="3067"/>
        </w:tabs>
        <w:spacing w:before="57"/>
        <w:ind w:left="647"/>
      </w:pPr>
      <w:r>
        <w:rPr>
          <w:w w:val="105"/>
        </w:rPr>
        <w:t>Diagnostic</w:t>
      </w:r>
      <w:r>
        <w:rPr>
          <w:spacing w:val="17"/>
          <w:w w:val="105"/>
        </w:rPr>
        <w:t xml:space="preserve"> </w:t>
      </w:r>
      <w:r>
        <w:rPr>
          <w:w w:val="105"/>
        </w:rPr>
        <w:t>code</w:t>
      </w:r>
      <w:r>
        <w:rPr>
          <w:w w:val="105"/>
        </w:rPr>
        <w:tab/>
        <w:t>DSM-IV</w:t>
      </w:r>
      <w:r>
        <w:rPr>
          <w:spacing w:val="21"/>
          <w:w w:val="105"/>
        </w:rPr>
        <w:t xml:space="preserve"> </w:t>
      </w:r>
      <w:r>
        <w:rPr>
          <w:w w:val="105"/>
        </w:rPr>
        <w:t>name</w:t>
      </w:r>
    </w:p>
    <w:p w:rsidR="00E675F0" w:rsidRDefault="00E675F0" w:rsidP="00E675F0">
      <w:pPr>
        <w:pStyle w:val="BodyText"/>
        <w:spacing w:before="4"/>
        <w:rPr>
          <w:sz w:val="15"/>
        </w:rPr>
      </w:pPr>
      <w:r>
        <w:rPr>
          <w:noProof/>
        </w:rPr>
        <mc:AlternateContent>
          <mc:Choice Requires="wps">
            <w:drawing>
              <wp:anchor distT="0" distB="0" distL="0" distR="0" simplePos="0" relativeHeight="251830272" behindDoc="1" locked="0" layoutInCell="1" allowOverlap="1" wp14:anchorId="5D687FF0" wp14:editId="0D00FCF2">
                <wp:simplePos x="0" y="0"/>
                <wp:positionH relativeFrom="page">
                  <wp:posOffset>1998345</wp:posOffset>
                </wp:positionH>
                <wp:positionV relativeFrom="paragraph">
                  <wp:posOffset>140335</wp:posOffset>
                </wp:positionV>
                <wp:extent cx="3262630" cy="1270"/>
                <wp:effectExtent l="0" t="0" r="1270" b="0"/>
                <wp:wrapTopAndBottom/>
                <wp:docPr id="1667" name="Freeform 1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62630" cy="1270"/>
                        </a:xfrm>
                        <a:custGeom>
                          <a:avLst/>
                          <a:gdLst>
                            <a:gd name="T0" fmla="+- 0 3147 3147"/>
                            <a:gd name="T1" fmla="*/ T0 w 5138"/>
                            <a:gd name="T2" fmla="+- 0 8285 3147"/>
                            <a:gd name="T3" fmla="*/ T2 w 5138"/>
                          </a:gdLst>
                          <a:ahLst/>
                          <a:cxnLst>
                            <a:cxn ang="0">
                              <a:pos x="T1" y="0"/>
                            </a:cxn>
                            <a:cxn ang="0">
                              <a:pos x="T3" y="0"/>
                            </a:cxn>
                          </a:cxnLst>
                          <a:rect l="0" t="0" r="r" b="b"/>
                          <a:pathLst>
                            <a:path w="5138">
                              <a:moveTo>
                                <a:pt x="0" y="0"/>
                              </a:moveTo>
                              <a:lnTo>
                                <a:pt x="5138" y="0"/>
                              </a:lnTo>
                            </a:path>
                          </a:pathLst>
                        </a:custGeom>
                        <a:noFill/>
                        <a:ln w="6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F8B24" id="Freeform 1623" o:spid="_x0000_s1026" style="position:absolute;margin-left:157.35pt;margin-top:11.05pt;width:256.9pt;height:.1pt;z-index:-251486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38,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" path="m,l5138,e" filled="f" strokeweight=".16958mm">
                <v:path arrowok="t" o:connecttype="custom" o:connectlocs="0,0;3262630,0" o:connectangles="0,0"/>
                <w10:wrap type="topAndBottom" anchorx="page"/>
              </v:shape>
            </w:pict>
          </mc:Fallback>
        </mc:AlternateContent>
      </w:r>
      <w:r>
        <w:rPr>
          <w:noProof/>
        </w:rPr>
        <mc:AlternateContent>
          <mc:Choice Requires="wps">
            <w:drawing>
              <wp:anchor distT="0" distB="0" distL="0" distR="0" simplePos="0" relativeHeight="251831296" behindDoc="1" locked="0" layoutInCell="1" allowOverlap="1" wp14:anchorId="79F492D2" wp14:editId="36B18A5C">
                <wp:simplePos x="0" y="0"/>
                <wp:positionH relativeFrom="page">
                  <wp:posOffset>1998345</wp:posOffset>
                </wp:positionH>
                <wp:positionV relativeFrom="paragraph">
                  <wp:posOffset>335915</wp:posOffset>
                </wp:positionV>
                <wp:extent cx="3262630" cy="1270"/>
                <wp:effectExtent l="0" t="0" r="1270" b="0"/>
                <wp:wrapTopAndBottom/>
                <wp:docPr id="1666" name="Freeform 16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62630" cy="1270"/>
                        </a:xfrm>
                        <a:custGeom>
                          <a:avLst/>
                          <a:gdLst>
                            <a:gd name="T0" fmla="+- 0 3147 3147"/>
                            <a:gd name="T1" fmla="*/ T0 w 5138"/>
                            <a:gd name="T2" fmla="+- 0 8285 3147"/>
                            <a:gd name="T3" fmla="*/ T2 w 5138"/>
                          </a:gdLst>
                          <a:ahLst/>
                          <a:cxnLst>
                            <a:cxn ang="0">
                              <a:pos x="T1" y="0"/>
                            </a:cxn>
                            <a:cxn ang="0">
                              <a:pos x="T3" y="0"/>
                            </a:cxn>
                          </a:cxnLst>
                          <a:rect l="0" t="0" r="r" b="b"/>
                          <a:pathLst>
                            <a:path w="5138">
                              <a:moveTo>
                                <a:pt x="0" y="0"/>
                              </a:moveTo>
                              <a:lnTo>
                                <a:pt x="5138" y="0"/>
                              </a:lnTo>
                            </a:path>
                          </a:pathLst>
                        </a:custGeom>
                        <a:noFill/>
                        <a:ln w="6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D75EE" id="Freeform 1622" o:spid="_x0000_s1026" style="position:absolute;margin-left:157.35pt;margin-top:26.45pt;width:256.9pt;height:.1pt;z-index:-251485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38,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" path="m,l5138,e" filled="f" strokeweight=".16958mm">
                <v:path arrowok="t" o:connecttype="custom" o:connectlocs="0,0;3262630,0" o:connectangles="0,0"/>
                <w10:wrap type="topAndBottom" anchorx="page"/>
              </v:shape>
            </w:pict>
          </mc:Fallback>
        </mc:AlternateContent>
      </w:r>
    </w:p>
    <w:p w:rsidR="00E675F0" w:rsidRDefault="00E675F0" w:rsidP="00E675F0">
      <w:pPr>
        <w:pStyle w:val="BodyText"/>
        <w:spacing w:before="11"/>
        <w:rPr>
          <w:sz w:val="19"/>
        </w:rPr>
      </w:pPr>
    </w:p>
    <w:p w:rsidR="00E675F0" w:rsidRDefault="00E675F0" w:rsidP="00E675F0">
      <w:pPr>
        <w:spacing w:before="139"/>
        <w:ind w:left="628"/>
        <w:rPr>
          <w:rFonts w:ascii="TimesNewRomanPS-BoldItalicMT" w:hAnsi="TimesNewRomanPS-BoldItalicMT"/>
          <w:b/>
          <w:i/>
          <w:sz w:val="20"/>
        </w:rPr>
      </w:pPr>
      <w:r>
        <w:rPr>
          <w:rFonts w:ascii="TimesNewRomanPS-BoldItalicMT" w:hAnsi="TimesNewRomanPS-BoldItalicMT"/>
          <w:b/>
          <w:i/>
          <w:w w:val="105"/>
          <w:sz w:val="20"/>
        </w:rPr>
        <w:t>AXIS IIL· General Medical Conditions</w:t>
      </w:r>
    </w:p>
    <w:p w:rsidR="00E675F0" w:rsidRDefault="00E675F0" w:rsidP="00E675F0">
      <w:pPr>
        <w:pStyle w:val="BodyText"/>
        <w:tabs>
          <w:tab w:val="left" w:pos="3065"/>
        </w:tabs>
        <w:spacing w:before="83"/>
        <w:ind w:left="646"/>
      </w:pPr>
      <w:r>
        <w:t>ICD-9-CM</w:t>
      </w:r>
      <w:r>
        <w:rPr>
          <w:spacing w:val="18"/>
        </w:rPr>
        <w:t xml:space="preserve"> </w:t>
      </w:r>
      <w:r>
        <w:t>code</w:t>
      </w:r>
      <w:r>
        <w:tab/>
        <w:t>ICD-9-CM</w:t>
      </w:r>
      <w:r>
        <w:rPr>
          <w:spacing w:val="25"/>
        </w:rPr>
        <w:t xml:space="preserve"> </w:t>
      </w:r>
      <w:r>
        <w:t>name</w:t>
      </w:r>
    </w:p>
    <w:p w:rsidR="00E675F0" w:rsidRDefault="00E675F0" w:rsidP="00E675F0">
      <w:pPr>
        <w:pStyle w:val="BodyText"/>
        <w:rPr>
          <w:sz w:val="15"/>
        </w:rPr>
      </w:pPr>
      <w:r>
        <w:rPr>
          <w:noProof/>
        </w:rPr>
        <mc:AlternateContent>
          <mc:Choice Requires="wps">
            <w:drawing>
              <wp:anchor distT="0" distB="0" distL="0" distR="0" simplePos="0" relativeHeight="251832320" behindDoc="1" locked="0" layoutInCell="1" allowOverlap="1" wp14:anchorId="5415BFDD" wp14:editId="616E7652">
                <wp:simplePos x="0" y="0"/>
                <wp:positionH relativeFrom="page">
                  <wp:posOffset>1998345</wp:posOffset>
                </wp:positionH>
                <wp:positionV relativeFrom="paragraph">
                  <wp:posOffset>137795</wp:posOffset>
                </wp:positionV>
                <wp:extent cx="3262630" cy="1270"/>
                <wp:effectExtent l="0" t="0" r="1270" b="0"/>
                <wp:wrapTopAndBottom/>
                <wp:docPr id="1665" name="Freeform 16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62630" cy="1270"/>
                        </a:xfrm>
                        <a:custGeom>
                          <a:avLst/>
                          <a:gdLst>
                            <a:gd name="T0" fmla="+- 0 3147 3147"/>
                            <a:gd name="T1" fmla="*/ T0 w 5138"/>
                            <a:gd name="T2" fmla="+- 0 8285 3147"/>
                            <a:gd name="T3" fmla="*/ T2 w 5138"/>
                          </a:gdLst>
                          <a:ahLst/>
                          <a:cxnLst>
                            <a:cxn ang="0">
                              <a:pos x="T1" y="0"/>
                            </a:cxn>
                            <a:cxn ang="0">
                              <a:pos x="T3" y="0"/>
                            </a:cxn>
                          </a:cxnLst>
                          <a:rect l="0" t="0" r="r" b="b"/>
                          <a:pathLst>
                            <a:path w="5138">
                              <a:moveTo>
                                <a:pt x="0" y="0"/>
                              </a:moveTo>
                              <a:lnTo>
                                <a:pt x="5138" y="0"/>
                              </a:lnTo>
                            </a:path>
                          </a:pathLst>
                        </a:custGeom>
                        <a:noFill/>
                        <a:ln w="6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AB269" id="Freeform 1621" o:spid="_x0000_s1026" style="position:absolute;margin-left:157.35pt;margin-top:10.85pt;width:256.9pt;height:.1pt;z-index:-251484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38,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" path="m,l5138,e" filled="f" strokeweight=".16958mm">
                <v:path arrowok="t" o:connecttype="custom" o:connectlocs="0,0;3262630,0" o:connectangles="0,0"/>
                <w10:wrap type="topAndBottom" anchorx="page"/>
              </v:shape>
            </w:pict>
          </mc:Fallback>
        </mc:AlternateContent>
      </w:r>
      <w:r>
        <w:rPr>
          <w:noProof/>
        </w:rPr>
        <mc:AlternateContent>
          <mc:Choice Requires="wps">
            <w:drawing>
              <wp:anchor distT="0" distB="0" distL="0" distR="0" simplePos="0" relativeHeight="251833344" behindDoc="1" locked="0" layoutInCell="1" allowOverlap="1" wp14:anchorId="65BE1D59" wp14:editId="4978DF4F">
                <wp:simplePos x="0" y="0"/>
                <wp:positionH relativeFrom="page">
                  <wp:posOffset>2010410</wp:posOffset>
                </wp:positionH>
                <wp:positionV relativeFrom="paragraph">
                  <wp:posOffset>329565</wp:posOffset>
                </wp:positionV>
                <wp:extent cx="3250565" cy="1270"/>
                <wp:effectExtent l="0" t="0" r="635" b="0"/>
                <wp:wrapTopAndBottom/>
                <wp:docPr id="1664" name="Freeform 16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50565" cy="1270"/>
                        </a:xfrm>
                        <a:custGeom>
                          <a:avLst/>
                          <a:gdLst>
                            <a:gd name="T0" fmla="+- 0 3166 3166"/>
                            <a:gd name="T1" fmla="*/ T0 w 5119"/>
                            <a:gd name="T2" fmla="+- 0 8285 3166"/>
                            <a:gd name="T3" fmla="*/ T2 w 5119"/>
                          </a:gdLst>
                          <a:ahLst/>
                          <a:cxnLst>
                            <a:cxn ang="0">
                              <a:pos x="T1" y="0"/>
                            </a:cxn>
                            <a:cxn ang="0">
                              <a:pos x="T3" y="0"/>
                            </a:cxn>
                          </a:cxnLst>
                          <a:rect l="0" t="0" r="r" b="b"/>
                          <a:pathLst>
                            <a:path w="5119">
                              <a:moveTo>
                                <a:pt x="0" y="0"/>
                              </a:moveTo>
                              <a:lnTo>
                                <a:pt x="5119" y="0"/>
                              </a:lnTo>
                            </a:path>
                          </a:pathLst>
                        </a:custGeom>
                        <a:noFill/>
                        <a:ln w="6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E26B7" id="Freeform 1620" o:spid="_x0000_s1026" style="position:absolute;margin-left:158.3pt;margin-top:25.95pt;width:255.95pt;height:.1pt;z-index:-251483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19,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" path="m,l5119,e" filled="f" strokeweight=".16958mm">
                <v:path arrowok="t" o:connecttype="custom" o:connectlocs="0,0;3250565,0" o:connectangles="0,0"/>
                <w10:wrap type="topAndBottom" anchorx="page"/>
              </v:shape>
            </w:pict>
          </mc:Fallback>
        </mc:AlternateContent>
      </w:r>
      <w:r>
        <w:rPr>
          <w:noProof/>
        </w:rPr>
        <mc:AlternateContent>
          <mc:Choice Requires="wps">
            <w:drawing>
              <wp:anchor distT="0" distB="0" distL="0" distR="0" simplePos="0" relativeHeight="251834368" behindDoc="1" locked="0" layoutInCell="1" allowOverlap="1" wp14:anchorId="3D1BBCD4" wp14:editId="6C27F6C4">
                <wp:simplePos x="0" y="0"/>
                <wp:positionH relativeFrom="page">
                  <wp:posOffset>2010410</wp:posOffset>
                </wp:positionH>
                <wp:positionV relativeFrom="paragraph">
                  <wp:posOffset>521970</wp:posOffset>
                </wp:positionV>
                <wp:extent cx="3262630" cy="1270"/>
                <wp:effectExtent l="0" t="0" r="1270" b="0"/>
                <wp:wrapTopAndBottom/>
                <wp:docPr id="1663" name="Freeform 16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62630" cy="1270"/>
                        </a:xfrm>
                        <a:custGeom>
                          <a:avLst/>
                          <a:gdLst>
                            <a:gd name="T0" fmla="+- 0 3166 3166"/>
                            <a:gd name="T1" fmla="*/ T0 w 5138"/>
                            <a:gd name="T2" fmla="+- 0 8304 3166"/>
                            <a:gd name="T3" fmla="*/ T2 w 5138"/>
                          </a:gdLst>
                          <a:ahLst/>
                          <a:cxnLst>
                            <a:cxn ang="0">
                              <a:pos x="T1" y="0"/>
                            </a:cxn>
                            <a:cxn ang="0">
                              <a:pos x="T3" y="0"/>
                            </a:cxn>
                          </a:cxnLst>
                          <a:rect l="0" t="0" r="r" b="b"/>
                          <a:pathLst>
                            <a:path w="5138">
                              <a:moveTo>
                                <a:pt x="0" y="0"/>
                              </a:moveTo>
                              <a:lnTo>
                                <a:pt x="5138" y="0"/>
                              </a:lnTo>
                            </a:path>
                          </a:pathLst>
                        </a:custGeom>
                        <a:noFill/>
                        <a:ln w="6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BCC86" id="Freeform 1619" o:spid="_x0000_s1026" style="position:absolute;margin-left:158.3pt;margin-top:41.1pt;width:256.9pt;height:.1pt;z-index:-251482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38,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" path="m,l5138,e" filled="f" strokeweight=".16958mm">
                <v:path arrowok="t" o:connecttype="custom" o:connectlocs="0,0;3262630,0" o:connectangles="0,0"/>
                <w10:wrap type="topAndBottom" anchorx="page"/>
              </v:shape>
            </w:pict>
          </mc:Fallback>
        </mc:AlternateContent>
      </w:r>
    </w:p>
    <w:p w:rsidR="00E675F0" w:rsidRDefault="00E675F0" w:rsidP="00E675F0">
      <w:pPr>
        <w:pStyle w:val="BodyText"/>
        <w:spacing w:before="6"/>
        <w:rPr>
          <w:sz w:val="19"/>
        </w:rPr>
      </w:pPr>
    </w:p>
    <w:p w:rsidR="00E675F0" w:rsidRDefault="00E675F0" w:rsidP="00E675F0">
      <w:pPr>
        <w:pStyle w:val="BodyText"/>
        <w:spacing w:before="6"/>
        <w:rPr>
          <w:sz w:val="19"/>
        </w:rPr>
      </w:pPr>
    </w:p>
    <w:p w:rsidR="00E675F0" w:rsidRDefault="00E675F0" w:rsidP="00E675F0">
      <w:pPr>
        <w:spacing w:before="139"/>
        <w:ind w:left="628"/>
        <w:rPr>
          <w:rFonts w:ascii="TimesNewRomanPS-BoldItalicMT"/>
          <w:b/>
          <w:i/>
          <w:sz w:val="20"/>
        </w:rPr>
      </w:pPr>
      <w:r>
        <w:rPr>
          <w:rFonts w:ascii="TimesNewRomanPS-BoldItalicMT"/>
          <w:b/>
          <w:i/>
          <w:w w:val="110"/>
          <w:sz w:val="20"/>
        </w:rPr>
        <w:t>AXIS /Vi Psychosocial and Environmental Problems</w:t>
      </w:r>
    </w:p>
    <w:p w:rsidR="00E675F0" w:rsidRDefault="00E675F0" w:rsidP="00E675F0">
      <w:pPr>
        <w:spacing w:before="87" w:line="204" w:lineRule="exact"/>
        <w:ind w:left="657"/>
        <w:rPr>
          <w:i/>
          <w:sz w:val="19"/>
        </w:rPr>
      </w:pPr>
      <w:r>
        <w:rPr>
          <w:i/>
          <w:w w:val="105"/>
          <w:sz w:val="19"/>
        </w:rPr>
        <w:t>Check:</w:t>
      </w:r>
    </w:p>
    <w:p w:rsidR="00E675F0" w:rsidRDefault="00E675F0" w:rsidP="00E675F0">
      <w:pPr>
        <w:tabs>
          <w:tab w:val="left" w:pos="7897"/>
        </w:tabs>
        <w:spacing w:line="250" w:lineRule="exact"/>
        <w:ind w:left="642"/>
        <w:rPr>
          <w:sz w:val="19"/>
        </w:rPr>
      </w:pPr>
      <w:r>
        <w:rPr>
          <w:w w:val="115"/>
          <w:sz w:val="23"/>
        </w:rPr>
        <w:t>D</w:t>
      </w:r>
      <w:r>
        <w:rPr>
          <w:spacing w:val="21"/>
          <w:w w:val="115"/>
          <w:sz w:val="23"/>
        </w:rPr>
        <w:t xml:space="preserve"> </w:t>
      </w:r>
      <w:r>
        <w:rPr>
          <w:b/>
          <w:w w:val="115"/>
          <w:sz w:val="20"/>
        </w:rPr>
        <w:t>Problems</w:t>
      </w:r>
      <w:r>
        <w:rPr>
          <w:b/>
          <w:spacing w:val="-19"/>
          <w:w w:val="115"/>
          <w:sz w:val="20"/>
        </w:rPr>
        <w:t xml:space="preserve"> </w:t>
      </w:r>
      <w:r>
        <w:rPr>
          <w:b/>
          <w:w w:val="115"/>
          <w:sz w:val="20"/>
        </w:rPr>
        <w:t>with</w:t>
      </w:r>
      <w:r>
        <w:rPr>
          <w:b/>
          <w:spacing w:val="-27"/>
          <w:w w:val="115"/>
          <w:sz w:val="20"/>
        </w:rPr>
        <w:t xml:space="preserve"> </w:t>
      </w:r>
      <w:r>
        <w:rPr>
          <w:b/>
          <w:w w:val="115"/>
          <w:sz w:val="20"/>
        </w:rPr>
        <w:t>primary</w:t>
      </w:r>
      <w:r>
        <w:rPr>
          <w:b/>
          <w:spacing w:val="-23"/>
          <w:w w:val="115"/>
          <w:sz w:val="20"/>
        </w:rPr>
        <w:t xml:space="preserve"> </w:t>
      </w:r>
      <w:r>
        <w:rPr>
          <w:b/>
          <w:w w:val="115"/>
          <w:sz w:val="20"/>
        </w:rPr>
        <w:t>support</w:t>
      </w:r>
      <w:r>
        <w:rPr>
          <w:b/>
          <w:spacing w:val="-21"/>
          <w:w w:val="115"/>
          <w:sz w:val="20"/>
        </w:rPr>
        <w:t xml:space="preserve"> </w:t>
      </w:r>
      <w:r>
        <w:rPr>
          <w:b/>
          <w:w w:val="115"/>
          <w:sz w:val="20"/>
        </w:rPr>
        <w:t>group</w:t>
      </w:r>
      <w:r>
        <w:rPr>
          <w:b/>
          <w:spacing w:val="51"/>
          <w:w w:val="115"/>
          <w:sz w:val="20"/>
        </w:rPr>
        <w:t xml:space="preserve"> </w:t>
      </w:r>
      <w:r>
        <w:rPr>
          <w:i/>
          <w:w w:val="115"/>
          <w:sz w:val="19"/>
        </w:rPr>
        <w:t>Specify:</w:t>
      </w:r>
      <w:r>
        <w:rPr>
          <w:i/>
          <w:w w:val="115"/>
          <w:sz w:val="19"/>
          <w:u w:val="single"/>
        </w:rPr>
        <w:t xml:space="preserve"> </w:t>
      </w:r>
      <w:r>
        <w:rPr>
          <w:i/>
          <w:w w:val="115"/>
          <w:sz w:val="19"/>
          <w:u w:val="single"/>
        </w:rPr>
        <w:tab/>
      </w:r>
      <w:r>
        <w:rPr>
          <w:w w:val="220"/>
          <w:sz w:val="19"/>
        </w:rPr>
        <w:t>_</w:t>
      </w:r>
    </w:p>
    <w:p w:rsidR="00E675F0" w:rsidRDefault="00E675F0" w:rsidP="00E675F0">
      <w:pPr>
        <w:spacing w:before="77"/>
        <w:ind w:left="642"/>
        <w:rPr>
          <w:sz w:val="19"/>
        </w:rPr>
      </w:pPr>
      <w:r>
        <w:rPr>
          <w:spacing w:val="-73"/>
          <w:w w:val="249"/>
          <w:sz w:val="21"/>
        </w:rPr>
        <w:t>D</w:t>
      </w:r>
      <w:r>
        <w:rPr>
          <w:b/>
          <w:spacing w:val="-1"/>
          <w:w w:val="110"/>
          <w:sz w:val="20"/>
        </w:rPr>
        <w:t>Problem</w:t>
      </w:r>
      <w:r>
        <w:rPr>
          <w:b/>
          <w:w w:val="110"/>
          <w:sz w:val="20"/>
        </w:rPr>
        <w:t>s</w:t>
      </w:r>
      <w:r>
        <w:rPr>
          <w:b/>
          <w:spacing w:val="17"/>
          <w:sz w:val="20"/>
        </w:rPr>
        <w:t xml:space="preserve"> </w:t>
      </w:r>
      <w:r>
        <w:rPr>
          <w:b/>
          <w:spacing w:val="-1"/>
          <w:w w:val="110"/>
          <w:sz w:val="20"/>
        </w:rPr>
        <w:t>relate</w:t>
      </w:r>
      <w:r>
        <w:rPr>
          <w:b/>
          <w:w w:val="110"/>
          <w:sz w:val="20"/>
        </w:rPr>
        <w:t>d</w:t>
      </w:r>
      <w:r>
        <w:rPr>
          <w:b/>
          <w:spacing w:val="-5"/>
          <w:sz w:val="20"/>
        </w:rPr>
        <w:t xml:space="preserve"> </w:t>
      </w:r>
      <w:r>
        <w:rPr>
          <w:b/>
          <w:w w:val="110"/>
          <w:sz w:val="20"/>
        </w:rPr>
        <w:t>to</w:t>
      </w:r>
      <w:r>
        <w:rPr>
          <w:b/>
          <w:spacing w:val="16"/>
          <w:sz w:val="20"/>
        </w:rPr>
        <w:t xml:space="preserve"> </w:t>
      </w:r>
      <w:r>
        <w:rPr>
          <w:b/>
          <w:w w:val="110"/>
          <w:sz w:val="20"/>
        </w:rPr>
        <w:t>the</w:t>
      </w:r>
      <w:r>
        <w:rPr>
          <w:b/>
          <w:spacing w:val="7"/>
          <w:sz w:val="20"/>
        </w:rPr>
        <w:t xml:space="preserve"> </w:t>
      </w:r>
      <w:r>
        <w:rPr>
          <w:b/>
          <w:spacing w:val="-1"/>
          <w:w w:val="116"/>
          <w:sz w:val="20"/>
        </w:rPr>
        <w:t>socia</w:t>
      </w:r>
      <w:r>
        <w:rPr>
          <w:b/>
          <w:w w:val="116"/>
          <w:sz w:val="20"/>
        </w:rPr>
        <w:t>l</w:t>
      </w:r>
      <w:r>
        <w:rPr>
          <w:b/>
          <w:spacing w:val="-9"/>
          <w:sz w:val="20"/>
        </w:rPr>
        <w:t xml:space="preserve"> </w:t>
      </w:r>
      <w:r>
        <w:rPr>
          <w:b/>
          <w:spacing w:val="-1"/>
          <w:w w:val="114"/>
          <w:sz w:val="20"/>
        </w:rPr>
        <w:t>environmen</w:t>
      </w:r>
      <w:r>
        <w:rPr>
          <w:b/>
          <w:w w:val="114"/>
          <w:sz w:val="20"/>
        </w:rPr>
        <w:t>t</w:t>
      </w:r>
      <w:r>
        <w:rPr>
          <w:b/>
          <w:sz w:val="20"/>
        </w:rPr>
        <w:t xml:space="preserve">  </w:t>
      </w:r>
      <w:r>
        <w:rPr>
          <w:b/>
          <w:spacing w:val="24"/>
          <w:sz w:val="20"/>
        </w:rPr>
        <w:t xml:space="preserve"> </w:t>
      </w:r>
      <w:r>
        <w:rPr>
          <w:i/>
          <w:w w:val="103"/>
          <w:sz w:val="19"/>
        </w:rPr>
        <w:t>Specify:</w:t>
      </w:r>
      <w:r>
        <w:rPr>
          <w:i/>
          <w:spacing w:val="-3"/>
          <w:sz w:val="19"/>
        </w:rPr>
        <w:t xml:space="preserve"> </w:t>
      </w:r>
      <w:r>
        <w:rPr>
          <w:w w:val="393"/>
          <w:sz w:val="19"/>
        </w:rPr>
        <w:t>---------</w:t>
      </w:r>
    </w:p>
    <w:p w:rsidR="00E675F0" w:rsidRDefault="00E675F0" w:rsidP="00E675F0">
      <w:pPr>
        <w:tabs>
          <w:tab w:val="left" w:pos="8247"/>
        </w:tabs>
        <w:spacing w:before="32"/>
        <w:ind w:left="100"/>
        <w:rPr>
          <w:i/>
          <w:sz w:val="19"/>
        </w:rPr>
      </w:pPr>
      <w:r>
        <w:rPr>
          <w:spacing w:val="-832"/>
          <w:w w:val="393"/>
          <w:sz w:val="21"/>
        </w:rPr>
        <w:t>D</w:t>
      </w:r>
      <w:r>
        <w:rPr>
          <w:b/>
          <w:spacing w:val="-1"/>
          <w:w w:val="107"/>
          <w:sz w:val="20"/>
        </w:rPr>
        <w:t>Educationa</w:t>
      </w:r>
      <w:r>
        <w:rPr>
          <w:b/>
          <w:w w:val="107"/>
          <w:sz w:val="20"/>
        </w:rPr>
        <w:t>l</w:t>
      </w:r>
      <w:r>
        <w:rPr>
          <w:b/>
          <w:spacing w:val="22"/>
          <w:sz w:val="20"/>
        </w:rPr>
        <w:t xml:space="preserve"> </w:t>
      </w:r>
      <w:r>
        <w:rPr>
          <w:b/>
          <w:spacing w:val="-1"/>
          <w:w w:val="112"/>
          <w:sz w:val="20"/>
        </w:rPr>
        <w:t>problem</w:t>
      </w:r>
      <w:r>
        <w:rPr>
          <w:b/>
          <w:w w:val="112"/>
          <w:sz w:val="20"/>
        </w:rPr>
        <w:t>s</w:t>
      </w:r>
      <w:r>
        <w:rPr>
          <w:b/>
          <w:sz w:val="20"/>
        </w:rPr>
        <w:t xml:space="preserve">  </w:t>
      </w:r>
      <w:r>
        <w:rPr>
          <w:b/>
          <w:spacing w:val="22"/>
          <w:sz w:val="20"/>
        </w:rPr>
        <w:t xml:space="preserve"> </w:t>
      </w:r>
      <w:r>
        <w:rPr>
          <w:i/>
          <w:w w:val="103"/>
          <w:sz w:val="19"/>
        </w:rPr>
        <w:t>Specify:</w:t>
      </w:r>
      <w:r>
        <w:rPr>
          <w:i/>
          <w:spacing w:val="11"/>
          <w:sz w:val="19"/>
        </w:rPr>
        <w:t xml:space="preserve"> </w:t>
      </w:r>
      <w:r>
        <w:rPr>
          <w:i/>
          <w:sz w:val="19"/>
          <w:u w:val="single"/>
        </w:rPr>
        <w:t xml:space="preserve"> </w:t>
      </w:r>
      <w:r>
        <w:rPr>
          <w:i/>
          <w:sz w:val="19"/>
          <w:u w:val="single"/>
        </w:rPr>
        <w:tab/>
      </w:r>
    </w:p>
    <w:p w:rsidR="00E675F0" w:rsidRDefault="00E675F0" w:rsidP="00E675F0">
      <w:pPr>
        <w:tabs>
          <w:tab w:val="left" w:pos="7955"/>
        </w:tabs>
        <w:spacing w:before="57"/>
        <w:ind w:left="642"/>
        <w:rPr>
          <w:i/>
          <w:sz w:val="19"/>
        </w:rPr>
      </w:pPr>
      <w:r>
        <w:rPr>
          <w:spacing w:val="-80"/>
          <w:w w:val="252"/>
          <w:sz w:val="21"/>
        </w:rPr>
        <w:t>D</w:t>
      </w:r>
      <w:r>
        <w:rPr>
          <w:b/>
          <w:spacing w:val="-1"/>
          <w:w w:val="110"/>
          <w:sz w:val="20"/>
        </w:rPr>
        <w:t>Occupationa</w:t>
      </w:r>
      <w:r>
        <w:rPr>
          <w:b/>
          <w:w w:val="110"/>
          <w:sz w:val="20"/>
        </w:rPr>
        <w:t>l</w:t>
      </w:r>
      <w:r>
        <w:rPr>
          <w:b/>
          <w:spacing w:val="12"/>
          <w:sz w:val="20"/>
        </w:rPr>
        <w:t xml:space="preserve"> </w:t>
      </w:r>
      <w:r>
        <w:rPr>
          <w:b/>
          <w:spacing w:val="-1"/>
          <w:w w:val="112"/>
          <w:sz w:val="20"/>
        </w:rPr>
        <w:t>problem</w:t>
      </w:r>
      <w:r>
        <w:rPr>
          <w:b/>
          <w:w w:val="112"/>
          <w:sz w:val="20"/>
        </w:rPr>
        <w:t>s</w:t>
      </w:r>
      <w:r>
        <w:rPr>
          <w:b/>
          <w:sz w:val="20"/>
        </w:rPr>
        <w:t xml:space="preserve">  </w:t>
      </w:r>
      <w:r>
        <w:rPr>
          <w:b/>
          <w:spacing w:val="17"/>
          <w:sz w:val="20"/>
        </w:rPr>
        <w:t xml:space="preserve"> </w:t>
      </w:r>
      <w:r>
        <w:rPr>
          <w:i/>
          <w:w w:val="103"/>
          <w:sz w:val="19"/>
        </w:rPr>
        <w:t>Specify:</w:t>
      </w:r>
      <w:r>
        <w:rPr>
          <w:i/>
          <w:spacing w:val="16"/>
          <w:sz w:val="19"/>
        </w:rPr>
        <w:t xml:space="preserve"> </w:t>
      </w:r>
      <w:r>
        <w:rPr>
          <w:i/>
          <w:sz w:val="19"/>
          <w:u w:val="single"/>
        </w:rPr>
        <w:t xml:space="preserve"> </w:t>
      </w:r>
      <w:r>
        <w:rPr>
          <w:i/>
          <w:sz w:val="19"/>
          <w:u w:val="single"/>
        </w:rPr>
        <w:tab/>
      </w:r>
      <w:r>
        <w:rPr>
          <w:i/>
          <w:w w:val="242"/>
          <w:sz w:val="19"/>
        </w:rPr>
        <w:t>_</w:t>
      </w:r>
    </w:p>
    <w:p w:rsidR="00E675F0" w:rsidRDefault="00E675F0" w:rsidP="00E675F0">
      <w:pPr>
        <w:tabs>
          <w:tab w:val="left" w:pos="7955"/>
        </w:tabs>
        <w:spacing w:before="76"/>
        <w:ind w:left="647"/>
        <w:rPr>
          <w:sz w:val="19"/>
        </w:rPr>
      </w:pPr>
      <w:r>
        <w:rPr>
          <w:spacing w:val="-66"/>
          <w:w w:val="242"/>
          <w:sz w:val="21"/>
        </w:rPr>
        <w:t>D</w:t>
      </w:r>
      <w:r>
        <w:rPr>
          <w:b/>
          <w:spacing w:val="-1"/>
          <w:w w:val="111"/>
          <w:sz w:val="20"/>
        </w:rPr>
        <w:t>Housin</w:t>
      </w:r>
      <w:r>
        <w:rPr>
          <w:b/>
          <w:w w:val="111"/>
          <w:sz w:val="20"/>
        </w:rPr>
        <w:t>g</w:t>
      </w:r>
      <w:r>
        <w:rPr>
          <w:b/>
          <w:spacing w:val="11"/>
          <w:sz w:val="20"/>
        </w:rPr>
        <w:t xml:space="preserve"> </w:t>
      </w:r>
      <w:r>
        <w:rPr>
          <w:b/>
          <w:spacing w:val="-1"/>
          <w:w w:val="112"/>
          <w:sz w:val="20"/>
        </w:rPr>
        <w:t>problem</w:t>
      </w:r>
      <w:r>
        <w:rPr>
          <w:b/>
          <w:w w:val="112"/>
          <w:sz w:val="20"/>
        </w:rPr>
        <w:t>s</w:t>
      </w:r>
      <w:r>
        <w:rPr>
          <w:b/>
          <w:sz w:val="20"/>
        </w:rPr>
        <w:t xml:space="preserve">  </w:t>
      </w:r>
      <w:r>
        <w:rPr>
          <w:b/>
          <w:spacing w:val="22"/>
          <w:sz w:val="20"/>
        </w:rPr>
        <w:t xml:space="preserve"> </w:t>
      </w:r>
      <w:r>
        <w:rPr>
          <w:i/>
          <w:w w:val="103"/>
          <w:sz w:val="19"/>
        </w:rPr>
        <w:t>Specify:</w:t>
      </w:r>
      <w:r>
        <w:rPr>
          <w:i/>
          <w:spacing w:val="16"/>
          <w:sz w:val="19"/>
        </w:rPr>
        <w:t xml:space="preserve"> </w:t>
      </w:r>
      <w:r>
        <w:rPr>
          <w:i/>
          <w:sz w:val="19"/>
          <w:u w:val="single"/>
        </w:rPr>
        <w:t xml:space="preserve"> </w:t>
      </w:r>
      <w:r>
        <w:rPr>
          <w:i/>
          <w:sz w:val="19"/>
          <w:u w:val="single"/>
        </w:rPr>
        <w:tab/>
      </w:r>
      <w:r>
        <w:rPr>
          <w:w w:val="242"/>
          <w:sz w:val="19"/>
        </w:rPr>
        <w:t>_</w:t>
      </w:r>
    </w:p>
    <w:p w:rsidR="00E675F0" w:rsidRDefault="00E675F0" w:rsidP="00E675F0">
      <w:pPr>
        <w:tabs>
          <w:tab w:val="left" w:pos="8074"/>
        </w:tabs>
        <w:spacing w:before="51"/>
        <w:ind w:left="647"/>
        <w:rPr>
          <w:i/>
          <w:sz w:val="19"/>
        </w:rPr>
      </w:pPr>
      <w:r>
        <w:rPr>
          <w:spacing w:val="-66"/>
          <w:w w:val="242"/>
          <w:sz w:val="21"/>
        </w:rPr>
        <w:t>D</w:t>
      </w:r>
      <w:r>
        <w:rPr>
          <w:b/>
          <w:spacing w:val="-1"/>
          <w:w w:val="111"/>
          <w:sz w:val="20"/>
        </w:rPr>
        <w:t>Economi</w:t>
      </w:r>
      <w:r>
        <w:rPr>
          <w:b/>
          <w:w w:val="111"/>
          <w:sz w:val="20"/>
        </w:rPr>
        <w:t>c</w:t>
      </w:r>
      <w:r>
        <w:rPr>
          <w:b/>
          <w:spacing w:val="18"/>
          <w:sz w:val="20"/>
        </w:rPr>
        <w:t xml:space="preserve"> </w:t>
      </w:r>
      <w:r>
        <w:rPr>
          <w:b/>
          <w:spacing w:val="-1"/>
          <w:w w:val="112"/>
          <w:sz w:val="20"/>
        </w:rPr>
        <w:t>problem</w:t>
      </w:r>
      <w:r>
        <w:rPr>
          <w:b/>
          <w:w w:val="112"/>
          <w:sz w:val="20"/>
        </w:rPr>
        <w:t>s</w:t>
      </w:r>
      <w:r>
        <w:rPr>
          <w:b/>
          <w:sz w:val="20"/>
        </w:rPr>
        <w:t xml:space="preserve">  </w:t>
      </w:r>
      <w:r>
        <w:rPr>
          <w:b/>
          <w:spacing w:val="22"/>
          <w:sz w:val="20"/>
        </w:rPr>
        <w:t xml:space="preserve"> </w:t>
      </w:r>
      <w:r>
        <w:rPr>
          <w:i/>
          <w:w w:val="103"/>
          <w:sz w:val="19"/>
        </w:rPr>
        <w:t>Specify:</w:t>
      </w:r>
      <w:r>
        <w:rPr>
          <w:i/>
          <w:spacing w:val="11"/>
          <w:sz w:val="19"/>
        </w:rPr>
        <w:t xml:space="preserve"> </w:t>
      </w:r>
      <w:r>
        <w:rPr>
          <w:i/>
          <w:sz w:val="19"/>
          <w:u w:val="single"/>
        </w:rPr>
        <w:t xml:space="preserve"> </w:t>
      </w:r>
      <w:r>
        <w:rPr>
          <w:i/>
          <w:sz w:val="19"/>
          <w:u w:val="single"/>
        </w:rPr>
        <w:tab/>
      </w:r>
    </w:p>
    <w:p w:rsidR="00E675F0" w:rsidRDefault="00E675F0" w:rsidP="00E675F0">
      <w:pPr>
        <w:tabs>
          <w:tab w:val="left" w:pos="7839"/>
        </w:tabs>
        <w:spacing w:before="71" w:line="195" w:lineRule="exact"/>
        <w:ind w:left="642"/>
        <w:rPr>
          <w:sz w:val="19"/>
        </w:rPr>
      </w:pPr>
      <w:r>
        <w:rPr>
          <w:spacing w:val="-77"/>
          <w:w w:val="252"/>
          <w:sz w:val="21"/>
        </w:rPr>
        <w:t>D</w:t>
      </w:r>
      <w:r>
        <w:rPr>
          <w:b/>
          <w:spacing w:val="-1"/>
          <w:w w:val="110"/>
          <w:sz w:val="20"/>
        </w:rPr>
        <w:t>Problem</w:t>
      </w:r>
      <w:r>
        <w:rPr>
          <w:b/>
          <w:w w:val="110"/>
          <w:sz w:val="20"/>
        </w:rPr>
        <w:t>s</w:t>
      </w:r>
      <w:r>
        <w:rPr>
          <w:b/>
          <w:spacing w:val="13"/>
          <w:sz w:val="20"/>
        </w:rPr>
        <w:t xml:space="preserve"> </w:t>
      </w:r>
      <w:r>
        <w:rPr>
          <w:b/>
          <w:spacing w:val="-1"/>
          <w:w w:val="116"/>
          <w:sz w:val="20"/>
        </w:rPr>
        <w:t>wit</w:t>
      </w:r>
      <w:r>
        <w:rPr>
          <w:b/>
          <w:w w:val="116"/>
          <w:sz w:val="20"/>
        </w:rPr>
        <w:t>h</w:t>
      </w:r>
      <w:r>
        <w:rPr>
          <w:b/>
          <w:spacing w:val="-6"/>
          <w:sz w:val="20"/>
        </w:rPr>
        <w:t xml:space="preserve"> </w:t>
      </w:r>
      <w:r>
        <w:rPr>
          <w:b/>
          <w:w w:val="114"/>
          <w:sz w:val="20"/>
        </w:rPr>
        <w:t>access</w:t>
      </w:r>
      <w:r>
        <w:rPr>
          <w:b/>
          <w:spacing w:val="3"/>
          <w:sz w:val="20"/>
        </w:rPr>
        <w:t xml:space="preserve"> </w:t>
      </w:r>
      <w:r>
        <w:rPr>
          <w:b/>
          <w:w w:val="114"/>
          <w:sz w:val="20"/>
        </w:rPr>
        <w:t>to</w:t>
      </w:r>
      <w:r>
        <w:rPr>
          <w:b/>
          <w:spacing w:val="6"/>
          <w:sz w:val="20"/>
        </w:rPr>
        <w:t xml:space="preserve"> </w:t>
      </w:r>
      <w:r>
        <w:rPr>
          <w:b/>
          <w:spacing w:val="-1"/>
          <w:w w:val="113"/>
          <w:sz w:val="20"/>
        </w:rPr>
        <w:t>healt</w:t>
      </w:r>
      <w:r>
        <w:rPr>
          <w:b/>
          <w:w w:val="113"/>
          <w:sz w:val="20"/>
        </w:rPr>
        <w:t>h</w:t>
      </w:r>
      <w:r>
        <w:rPr>
          <w:b/>
          <w:spacing w:val="-5"/>
          <w:sz w:val="20"/>
        </w:rPr>
        <w:t xml:space="preserve"> </w:t>
      </w:r>
      <w:r>
        <w:rPr>
          <w:b/>
          <w:spacing w:val="-1"/>
          <w:w w:val="113"/>
          <w:sz w:val="20"/>
        </w:rPr>
        <w:t>car</w:t>
      </w:r>
      <w:r>
        <w:rPr>
          <w:b/>
          <w:w w:val="113"/>
          <w:sz w:val="20"/>
        </w:rPr>
        <w:t>e</w:t>
      </w:r>
      <w:r>
        <w:rPr>
          <w:b/>
          <w:spacing w:val="-4"/>
          <w:sz w:val="20"/>
        </w:rPr>
        <w:t xml:space="preserve"> </w:t>
      </w:r>
      <w:r>
        <w:rPr>
          <w:b/>
          <w:spacing w:val="-1"/>
          <w:w w:val="113"/>
          <w:sz w:val="20"/>
        </w:rPr>
        <w:t>service</w:t>
      </w:r>
      <w:r>
        <w:rPr>
          <w:b/>
          <w:w w:val="113"/>
          <w:sz w:val="20"/>
        </w:rPr>
        <w:t>s</w:t>
      </w:r>
      <w:r>
        <w:rPr>
          <w:b/>
          <w:sz w:val="20"/>
        </w:rPr>
        <w:t xml:space="preserve">  </w:t>
      </w:r>
      <w:r>
        <w:rPr>
          <w:b/>
          <w:spacing w:val="16"/>
          <w:sz w:val="20"/>
        </w:rPr>
        <w:t xml:space="preserve"> </w:t>
      </w:r>
      <w:r>
        <w:rPr>
          <w:i/>
          <w:w w:val="102"/>
          <w:sz w:val="19"/>
        </w:rPr>
        <w:t>Specify:</w:t>
      </w:r>
      <w:r>
        <w:rPr>
          <w:i/>
          <w:spacing w:val="17"/>
          <w:sz w:val="19"/>
        </w:rPr>
        <w:t xml:space="preserve"> </w:t>
      </w:r>
      <w:r>
        <w:rPr>
          <w:i/>
          <w:sz w:val="19"/>
          <w:u w:val="single"/>
        </w:rPr>
        <w:t xml:space="preserve"> </w:t>
      </w:r>
      <w:r>
        <w:rPr>
          <w:i/>
          <w:sz w:val="19"/>
          <w:u w:val="single"/>
        </w:rPr>
        <w:tab/>
      </w:r>
      <w:r>
        <w:rPr>
          <w:w w:val="238"/>
          <w:sz w:val="19"/>
        </w:rPr>
        <w:t>_</w:t>
      </w:r>
    </w:p>
    <w:p w:rsidR="00E675F0" w:rsidRDefault="00E675F0" w:rsidP="00E675F0">
      <w:pPr>
        <w:tabs>
          <w:tab w:val="left" w:pos="7897"/>
        </w:tabs>
        <w:spacing w:line="381" w:lineRule="exact"/>
        <w:ind w:left="626"/>
        <w:rPr>
          <w:sz w:val="19"/>
        </w:rPr>
      </w:pPr>
      <w:r>
        <w:rPr>
          <w:rFonts w:ascii="Arial" w:hAnsi="Arial"/>
          <w:w w:val="115"/>
          <w:sz w:val="34"/>
        </w:rPr>
        <w:t>□</w:t>
      </w:r>
      <w:r>
        <w:rPr>
          <w:rFonts w:ascii="Arial" w:hAnsi="Arial"/>
          <w:spacing w:val="-27"/>
          <w:w w:val="115"/>
          <w:sz w:val="34"/>
        </w:rPr>
        <w:t xml:space="preserve"> </w:t>
      </w:r>
      <w:r>
        <w:rPr>
          <w:b/>
          <w:w w:val="115"/>
          <w:sz w:val="20"/>
        </w:rPr>
        <w:t>Problems</w:t>
      </w:r>
      <w:r>
        <w:rPr>
          <w:b/>
          <w:spacing w:val="-11"/>
          <w:w w:val="115"/>
          <w:sz w:val="20"/>
        </w:rPr>
        <w:t xml:space="preserve"> </w:t>
      </w:r>
      <w:r>
        <w:rPr>
          <w:b/>
          <w:w w:val="115"/>
          <w:sz w:val="20"/>
        </w:rPr>
        <w:t>related</w:t>
      </w:r>
      <w:r>
        <w:rPr>
          <w:b/>
          <w:spacing w:val="-22"/>
          <w:w w:val="115"/>
          <w:sz w:val="20"/>
        </w:rPr>
        <w:t xml:space="preserve"> </w:t>
      </w:r>
      <w:r>
        <w:rPr>
          <w:b/>
          <w:w w:val="115"/>
          <w:sz w:val="20"/>
        </w:rPr>
        <w:t>to</w:t>
      </w:r>
      <w:r>
        <w:rPr>
          <w:b/>
          <w:spacing w:val="-16"/>
          <w:w w:val="115"/>
          <w:sz w:val="20"/>
        </w:rPr>
        <w:t xml:space="preserve"> </w:t>
      </w:r>
      <w:r>
        <w:rPr>
          <w:b/>
          <w:w w:val="115"/>
          <w:sz w:val="20"/>
        </w:rPr>
        <w:t>interaction</w:t>
      </w:r>
      <w:r>
        <w:rPr>
          <w:b/>
          <w:spacing w:val="-17"/>
          <w:w w:val="115"/>
          <w:sz w:val="20"/>
        </w:rPr>
        <w:t xml:space="preserve"> </w:t>
      </w:r>
      <w:r>
        <w:rPr>
          <w:b/>
          <w:w w:val="115"/>
          <w:sz w:val="20"/>
        </w:rPr>
        <w:t>with</w:t>
      </w:r>
      <w:r>
        <w:rPr>
          <w:b/>
          <w:spacing w:val="-22"/>
          <w:w w:val="115"/>
          <w:sz w:val="20"/>
        </w:rPr>
        <w:t xml:space="preserve"> </w:t>
      </w:r>
      <w:r>
        <w:rPr>
          <w:b/>
          <w:w w:val="115"/>
          <w:sz w:val="20"/>
        </w:rPr>
        <w:t>the</w:t>
      </w:r>
      <w:r>
        <w:rPr>
          <w:b/>
          <w:spacing w:val="-25"/>
          <w:w w:val="115"/>
          <w:sz w:val="20"/>
        </w:rPr>
        <w:t xml:space="preserve"> </w:t>
      </w:r>
      <w:r>
        <w:rPr>
          <w:b/>
          <w:w w:val="115"/>
          <w:sz w:val="20"/>
        </w:rPr>
        <w:t>legal</w:t>
      </w:r>
      <w:r>
        <w:rPr>
          <w:b/>
          <w:spacing w:val="-22"/>
          <w:w w:val="115"/>
          <w:sz w:val="20"/>
        </w:rPr>
        <w:t xml:space="preserve"> </w:t>
      </w:r>
      <w:r>
        <w:rPr>
          <w:b/>
          <w:w w:val="115"/>
          <w:sz w:val="20"/>
        </w:rPr>
        <w:t>system/crime</w:t>
      </w:r>
      <w:r>
        <w:rPr>
          <w:b/>
          <w:spacing w:val="54"/>
          <w:w w:val="115"/>
          <w:sz w:val="20"/>
        </w:rPr>
        <w:t xml:space="preserve"> </w:t>
      </w:r>
      <w:r>
        <w:rPr>
          <w:i/>
          <w:w w:val="115"/>
          <w:sz w:val="19"/>
        </w:rPr>
        <w:t>Specify:</w:t>
      </w:r>
      <w:r>
        <w:rPr>
          <w:i/>
          <w:w w:val="115"/>
          <w:sz w:val="19"/>
          <w:u w:val="single"/>
        </w:rPr>
        <w:t xml:space="preserve"> </w:t>
      </w:r>
      <w:r>
        <w:rPr>
          <w:i/>
          <w:w w:val="115"/>
          <w:sz w:val="19"/>
        </w:rPr>
        <w:tab/>
      </w:r>
      <w:r>
        <w:rPr>
          <w:w w:val="115"/>
          <w:sz w:val="19"/>
        </w:rPr>
        <w:t>_</w:t>
      </w:r>
    </w:p>
    <w:p w:rsidR="00E675F0" w:rsidRDefault="00E675F0" w:rsidP="00E675F0">
      <w:pPr>
        <w:tabs>
          <w:tab w:val="left" w:pos="7858"/>
        </w:tabs>
        <w:spacing w:before="16"/>
        <w:ind w:left="647"/>
        <w:rPr>
          <w:sz w:val="19"/>
        </w:rPr>
      </w:pPr>
      <w:r>
        <w:rPr>
          <w:w w:val="115"/>
          <w:sz w:val="23"/>
        </w:rPr>
        <w:t>D</w:t>
      </w:r>
      <w:r>
        <w:rPr>
          <w:spacing w:val="21"/>
          <w:w w:val="115"/>
          <w:sz w:val="23"/>
        </w:rPr>
        <w:t xml:space="preserve"> </w:t>
      </w:r>
      <w:r>
        <w:rPr>
          <w:b/>
          <w:w w:val="115"/>
          <w:sz w:val="20"/>
        </w:rPr>
        <w:t>Other</w:t>
      </w:r>
      <w:r>
        <w:rPr>
          <w:b/>
          <w:spacing w:val="-19"/>
          <w:w w:val="115"/>
          <w:sz w:val="20"/>
        </w:rPr>
        <w:t xml:space="preserve"> </w:t>
      </w:r>
      <w:r>
        <w:rPr>
          <w:b/>
          <w:w w:val="115"/>
          <w:sz w:val="20"/>
        </w:rPr>
        <w:t>psychosocial</w:t>
      </w:r>
      <w:r>
        <w:rPr>
          <w:b/>
          <w:spacing w:val="-18"/>
          <w:w w:val="115"/>
          <w:sz w:val="20"/>
        </w:rPr>
        <w:t xml:space="preserve"> </w:t>
      </w:r>
      <w:r>
        <w:rPr>
          <w:b/>
          <w:w w:val="115"/>
          <w:sz w:val="20"/>
        </w:rPr>
        <w:t>and</w:t>
      </w:r>
      <w:r>
        <w:rPr>
          <w:b/>
          <w:spacing w:val="-30"/>
          <w:w w:val="115"/>
          <w:sz w:val="20"/>
        </w:rPr>
        <w:t xml:space="preserve"> </w:t>
      </w:r>
      <w:r>
        <w:rPr>
          <w:b/>
          <w:w w:val="115"/>
          <w:sz w:val="20"/>
        </w:rPr>
        <w:t>environmental</w:t>
      </w:r>
      <w:r>
        <w:rPr>
          <w:b/>
          <w:spacing w:val="-11"/>
          <w:w w:val="115"/>
          <w:sz w:val="20"/>
        </w:rPr>
        <w:t xml:space="preserve"> </w:t>
      </w:r>
      <w:r>
        <w:rPr>
          <w:b/>
          <w:w w:val="115"/>
          <w:sz w:val="20"/>
        </w:rPr>
        <w:t xml:space="preserve">problems  </w:t>
      </w:r>
      <w:r>
        <w:rPr>
          <w:i/>
          <w:w w:val="115"/>
          <w:sz w:val="19"/>
        </w:rPr>
        <w:t>Specify:</w:t>
      </w:r>
      <w:r>
        <w:rPr>
          <w:i/>
          <w:w w:val="115"/>
          <w:sz w:val="19"/>
          <w:u w:val="single"/>
        </w:rPr>
        <w:t xml:space="preserve"> </w:t>
      </w:r>
      <w:r>
        <w:rPr>
          <w:i/>
          <w:w w:val="115"/>
          <w:sz w:val="19"/>
          <w:u w:val="single"/>
        </w:rPr>
        <w:tab/>
      </w:r>
      <w:r>
        <w:rPr>
          <w:w w:val="210"/>
          <w:sz w:val="19"/>
        </w:rPr>
        <w:t>_</w:t>
      </w:r>
    </w:p>
    <w:p w:rsidR="00E675F0" w:rsidRDefault="00E675F0" w:rsidP="00E675F0">
      <w:pPr>
        <w:tabs>
          <w:tab w:val="left" w:pos="5595"/>
        </w:tabs>
        <w:spacing w:before="210"/>
        <w:ind w:left="633"/>
        <w:rPr>
          <w:rFonts w:ascii="TimesNewRomanPS-BoldItalicMT" w:hAnsi="TimesNewRomanPS-BoldItalicMT"/>
          <w:b/>
          <w:i/>
          <w:sz w:val="20"/>
        </w:rPr>
      </w:pPr>
      <w:r>
        <w:rPr>
          <w:rFonts w:ascii="TimesNewRomanPS-BoldItalicMT" w:hAnsi="TimesNewRomanPS-BoldItalicMT"/>
          <w:b/>
          <w:i/>
          <w:w w:val="105"/>
          <w:sz w:val="20"/>
        </w:rPr>
        <w:t xml:space="preserve">AXIS </w:t>
      </w:r>
      <w:r>
        <w:rPr>
          <w:rFonts w:ascii="TimesNewRomanPS-BoldItalicMT" w:hAnsi="TimesNewRomanPS-BoldItalicMT"/>
          <w:b/>
          <w:i/>
          <w:w w:val="105"/>
          <w:sz w:val="19"/>
        </w:rPr>
        <w:t xml:space="preserve">V.· </w:t>
      </w:r>
      <w:r>
        <w:rPr>
          <w:rFonts w:ascii="TimesNewRomanPS-BoldItalicMT" w:hAnsi="TimesNewRomanPS-BoldItalicMT"/>
          <w:b/>
          <w:i/>
          <w:w w:val="105"/>
          <w:sz w:val="20"/>
        </w:rPr>
        <w:t>Global Assessment  of</w:t>
      </w:r>
      <w:r>
        <w:rPr>
          <w:rFonts w:ascii="TimesNewRomanPS-BoldItalicMT" w:hAnsi="TimesNewRomanPS-BoldItalicMT"/>
          <w:b/>
          <w:i/>
          <w:spacing w:val="24"/>
          <w:w w:val="105"/>
          <w:sz w:val="20"/>
        </w:rPr>
        <w:t xml:space="preserve"> </w:t>
      </w:r>
      <w:r>
        <w:rPr>
          <w:rFonts w:ascii="TimesNewRomanPS-BoldItalicMT" w:hAnsi="TimesNewRomanPS-BoldItalicMT"/>
          <w:b/>
          <w:i/>
          <w:w w:val="105"/>
          <w:sz w:val="20"/>
        </w:rPr>
        <w:t>Functioning</w:t>
      </w:r>
      <w:r>
        <w:rPr>
          <w:rFonts w:ascii="TimesNewRomanPS-BoldItalicMT" w:hAnsi="TimesNewRomanPS-BoldItalicMT"/>
          <w:b/>
          <w:i/>
          <w:spacing w:val="46"/>
          <w:w w:val="105"/>
          <w:sz w:val="20"/>
        </w:rPr>
        <w:t xml:space="preserve"> </w:t>
      </w:r>
      <w:r>
        <w:rPr>
          <w:rFonts w:ascii="TimesNewRomanPS-BoldItalicMT" w:hAnsi="TimesNewRomanPS-BoldItalicMT"/>
          <w:b/>
          <w:i/>
          <w:w w:val="105"/>
          <w:sz w:val="20"/>
        </w:rPr>
        <w:t>Scale</w:t>
      </w:r>
      <w:r>
        <w:rPr>
          <w:rFonts w:ascii="TimesNewRomanPS-BoldItalicMT" w:hAnsi="TimesNewRomanPS-BoldItalicMT"/>
          <w:b/>
          <w:i/>
          <w:w w:val="105"/>
          <w:sz w:val="20"/>
        </w:rPr>
        <w:tab/>
        <w:t>Score:</w:t>
      </w:r>
    </w:p>
    <w:p w:rsidR="00E675F0" w:rsidRDefault="00E675F0" w:rsidP="00E675F0">
      <w:pPr>
        <w:pStyle w:val="BodyText"/>
        <w:spacing w:before="1"/>
        <w:rPr>
          <w:rFonts w:ascii="TimesNewRomanPS-BoldItalicMT"/>
          <w:b/>
          <w:i/>
          <w:sz w:val="23"/>
        </w:rPr>
      </w:pPr>
    </w:p>
    <w:p w:rsidR="00E675F0" w:rsidRDefault="00E675F0" w:rsidP="00E675F0">
      <w:pPr>
        <w:tabs>
          <w:tab w:val="left" w:pos="8114"/>
        </w:tabs>
        <w:ind w:left="5546"/>
        <w:rPr>
          <w:rFonts w:ascii="TimesNewRomanPS-BoldItalicMT"/>
          <w:b/>
          <w:i/>
          <w:sz w:val="20"/>
        </w:rPr>
      </w:pPr>
      <w:r>
        <w:rPr>
          <w:rFonts w:ascii="TimesNewRomanPS-BoldItalicMT"/>
          <w:b/>
          <w:i/>
          <w:w w:val="110"/>
          <w:sz w:val="20"/>
        </w:rPr>
        <w:t>Time</w:t>
      </w:r>
      <w:r>
        <w:rPr>
          <w:rFonts w:ascii="TimesNewRomanPS-BoldItalicMT"/>
          <w:b/>
          <w:i/>
          <w:spacing w:val="10"/>
          <w:w w:val="110"/>
          <w:sz w:val="20"/>
        </w:rPr>
        <w:t xml:space="preserve"> </w:t>
      </w:r>
      <w:r>
        <w:rPr>
          <w:rFonts w:ascii="TimesNewRomanPS-BoldItalicMT"/>
          <w:b/>
          <w:i/>
          <w:w w:val="110"/>
          <w:sz w:val="20"/>
        </w:rPr>
        <w:t>frame:</w:t>
      </w:r>
      <w:r>
        <w:rPr>
          <w:rFonts w:ascii="TimesNewRomanPS-BoldItalicMT"/>
          <w:b/>
          <w:i/>
          <w:sz w:val="20"/>
        </w:rPr>
        <w:t xml:space="preserve">  </w:t>
      </w:r>
      <w:r>
        <w:rPr>
          <w:rFonts w:ascii="TimesNewRomanPS-BoldItalicMT"/>
          <w:b/>
          <w:i/>
          <w:spacing w:val="16"/>
          <w:sz w:val="20"/>
        </w:rPr>
        <w:t xml:space="preserve"> </w:t>
      </w:r>
      <w:r>
        <w:rPr>
          <w:rFonts w:ascii="TimesNewRomanPS-BoldItalicMT"/>
          <w:b/>
          <w:i/>
          <w:sz w:val="20"/>
          <w:u w:val="single"/>
        </w:rPr>
        <w:t xml:space="preserve"> </w:t>
      </w:r>
      <w:r>
        <w:rPr>
          <w:rFonts w:ascii="TimesNewRomanPS-BoldItalicMT"/>
          <w:b/>
          <w:i/>
          <w:sz w:val="20"/>
          <w:u w:val="single"/>
        </w:rPr>
        <w:tab/>
      </w:r>
    </w:p>
    <w:p w:rsidR="00E675F0" w:rsidRDefault="00E675F0" w:rsidP="00E675F0">
      <w:pPr>
        <w:rPr>
          <w:rFonts w:ascii="TimesNewRomanPS-BoldItalicMT"/>
          <w:sz w:val="20"/>
        </w:rPr>
        <w:sectPr w:rsidR="00E675F0">
          <w:pgSz w:w="8960" w:h="14260"/>
          <w:pgMar w:top="1400" w:right="500" w:bottom="280" w:left="100" w:header="718" w:footer="0" w:gutter="0"/>
          <w:cols w:space="720"/>
        </w:sectPr>
      </w:pPr>
    </w:p>
    <w:p w:rsidR="00E675F0" w:rsidRDefault="00E675F0" w:rsidP="00E675F0">
      <w:pPr>
        <w:spacing w:before="143"/>
        <w:ind w:left="1205" w:right="1171"/>
        <w:jc w:val="center"/>
        <w:rPr>
          <w:rFonts w:ascii="Arial"/>
          <w:b/>
          <w:sz w:val="25"/>
        </w:rPr>
      </w:pPr>
      <w:r>
        <w:rPr>
          <w:rFonts w:ascii="Arial"/>
          <w:b/>
          <w:w w:val="105"/>
          <w:sz w:val="25"/>
        </w:rPr>
        <w:lastRenderedPageBreak/>
        <w:t>Nonaxial Format</w:t>
      </w:r>
    </w:p>
    <w:p w:rsidR="00E675F0" w:rsidRDefault="00E675F0" w:rsidP="00E675F0">
      <w:pPr>
        <w:spacing w:before="251" w:line="268" w:lineRule="auto"/>
        <w:ind w:left="160" w:right="116" w:hanging="1"/>
        <w:jc w:val="both"/>
        <w:rPr>
          <w:sz w:val="19"/>
        </w:rPr>
      </w:pPr>
      <w:r>
        <w:rPr>
          <w:w w:val="110"/>
          <w:sz w:val="19"/>
        </w:rPr>
        <w:t>Clinicians who do not wish to use the multiaxial format may simply list the appropriate diagnoses. Those choosing this option should follow the general rule of recording as many coexisting mental disorders, general medical conditions, and other factors as are relevant to the care and treatment of the individual. The Principal Diagnosis or the Reason for Visit should be listed first.</w:t>
      </w:r>
    </w:p>
    <w:p w:rsidR="00E675F0" w:rsidRDefault="00E675F0" w:rsidP="00E675F0">
      <w:pPr>
        <w:spacing w:line="268" w:lineRule="auto"/>
        <w:ind w:left="166" w:right="107" w:firstLine="350"/>
        <w:jc w:val="both"/>
        <w:rPr>
          <w:sz w:val="19"/>
        </w:rPr>
      </w:pPr>
      <w:r>
        <w:rPr>
          <w:w w:val="110"/>
          <w:sz w:val="19"/>
        </w:rPr>
        <w:t>The examples below illustrate the reporting of diagnoses in a format that does not use the multiaxial</w:t>
      </w:r>
      <w:r>
        <w:rPr>
          <w:spacing w:val="25"/>
          <w:w w:val="110"/>
          <w:sz w:val="19"/>
        </w:rPr>
        <w:t xml:space="preserve"> </w:t>
      </w:r>
      <w:r>
        <w:rPr>
          <w:w w:val="110"/>
          <w:sz w:val="19"/>
        </w:rPr>
        <w:t>system.</w:t>
      </w:r>
    </w:p>
    <w:p w:rsidR="00E675F0" w:rsidRDefault="00E675F0" w:rsidP="00E675F0">
      <w:pPr>
        <w:pStyle w:val="BodyText"/>
        <w:spacing w:before="4"/>
      </w:pPr>
    </w:p>
    <w:p w:rsidR="00E675F0" w:rsidRDefault="00E675F0" w:rsidP="00E675F0">
      <w:pPr>
        <w:ind w:left="176"/>
        <w:jc w:val="both"/>
        <w:rPr>
          <w:i/>
          <w:sz w:val="20"/>
        </w:rPr>
      </w:pPr>
      <w:r>
        <w:rPr>
          <w:i/>
          <w:sz w:val="20"/>
        </w:rPr>
        <w:t>Example 1:</w:t>
      </w:r>
    </w:p>
    <w:p w:rsidR="00E675F0" w:rsidRDefault="00E675F0" w:rsidP="00E675F0">
      <w:pPr>
        <w:tabs>
          <w:tab w:val="left" w:pos="1015"/>
        </w:tabs>
        <w:spacing w:before="24" w:line="268" w:lineRule="auto"/>
        <w:ind w:left="1159" w:right="787" w:hanging="988"/>
        <w:rPr>
          <w:sz w:val="19"/>
        </w:rPr>
      </w:pPr>
      <w:r>
        <w:rPr>
          <w:w w:val="110"/>
          <w:sz w:val="19"/>
        </w:rPr>
        <w:t>296.23</w:t>
      </w:r>
      <w:r>
        <w:rPr>
          <w:w w:val="110"/>
          <w:sz w:val="19"/>
        </w:rPr>
        <w:tab/>
        <w:t>Major Depressive Disorder, Single Episode, Severe Without Psychotic Features</w:t>
      </w:r>
    </w:p>
    <w:p w:rsidR="00E675F0" w:rsidRDefault="00E675F0" w:rsidP="00E675F0">
      <w:pPr>
        <w:tabs>
          <w:tab w:val="left" w:pos="1011"/>
        </w:tabs>
        <w:spacing w:before="6"/>
        <w:ind w:left="168"/>
        <w:rPr>
          <w:sz w:val="19"/>
        </w:rPr>
      </w:pPr>
      <w:r>
        <w:rPr>
          <w:w w:val="105"/>
          <w:sz w:val="19"/>
        </w:rPr>
        <w:t>305.00</w:t>
      </w:r>
      <w:r>
        <w:rPr>
          <w:w w:val="105"/>
          <w:sz w:val="19"/>
        </w:rPr>
        <w:tab/>
        <w:t>Alcohol</w:t>
      </w:r>
      <w:r>
        <w:rPr>
          <w:spacing w:val="16"/>
          <w:w w:val="105"/>
          <w:sz w:val="19"/>
        </w:rPr>
        <w:t xml:space="preserve"> </w:t>
      </w:r>
      <w:r>
        <w:rPr>
          <w:w w:val="105"/>
          <w:sz w:val="19"/>
        </w:rPr>
        <w:t>Abuse</w:t>
      </w:r>
    </w:p>
    <w:p w:rsidR="00E675F0" w:rsidRDefault="00E675F0" w:rsidP="00E675F0">
      <w:pPr>
        <w:tabs>
          <w:tab w:val="left" w:pos="1015"/>
        </w:tabs>
        <w:spacing w:before="22" w:line="264" w:lineRule="auto"/>
        <w:ind w:left="1164" w:right="3991" w:hanging="996"/>
        <w:rPr>
          <w:sz w:val="19"/>
        </w:rPr>
      </w:pPr>
      <w:r>
        <w:rPr>
          <w:w w:val="110"/>
          <w:sz w:val="19"/>
        </w:rPr>
        <w:t>301.6</w:t>
      </w:r>
      <w:r>
        <w:rPr>
          <w:w w:val="110"/>
          <w:sz w:val="19"/>
        </w:rPr>
        <w:tab/>
        <w:t>Dependent Personality Disorder Frequent use of</w:t>
      </w:r>
      <w:r>
        <w:rPr>
          <w:spacing w:val="3"/>
          <w:w w:val="110"/>
          <w:sz w:val="19"/>
        </w:rPr>
        <w:t xml:space="preserve"> </w:t>
      </w:r>
      <w:r>
        <w:rPr>
          <w:w w:val="110"/>
          <w:sz w:val="19"/>
        </w:rPr>
        <w:t>denial</w:t>
      </w:r>
    </w:p>
    <w:p w:rsidR="00E675F0" w:rsidRDefault="00E675F0" w:rsidP="00E675F0">
      <w:pPr>
        <w:pStyle w:val="BodyText"/>
        <w:spacing w:before="7"/>
        <w:rPr>
          <w:sz w:val="21"/>
        </w:rPr>
      </w:pPr>
    </w:p>
    <w:tbl>
      <w:tblPr>
        <w:tblW w:w="0" w:type="auto"/>
        <w:tblInd w:w="126" w:type="dxa"/>
        <w:tblLayout w:type="fixed"/>
        <w:tblCellMar>
          <w:left w:w="0" w:type="dxa"/>
          <w:right w:w="0" w:type="dxa"/>
        </w:tblCellMar>
        <w:tblLook w:val="01E0" w:firstRow="1" w:lastRow="1" w:firstColumn="1" w:lastColumn="1" w:noHBand="0" w:noVBand="0"/>
      </w:tblPr>
      <w:tblGrid>
        <w:gridCol w:w="751"/>
        <w:gridCol w:w="5893"/>
      </w:tblGrid>
      <w:tr w:rsidR="00E675F0" w:rsidTr="00A330E1">
        <w:trPr>
          <w:trHeight w:val="254"/>
        </w:trPr>
        <w:tc>
          <w:tcPr>
            <w:tcW w:w="6644" w:type="dxa"/>
            <w:gridSpan w:val="2"/>
          </w:tcPr>
          <w:p w:rsidR="00E675F0" w:rsidRDefault="00E675F0" w:rsidP="00A330E1">
            <w:pPr>
              <w:pStyle w:val="TableParagraph"/>
              <w:spacing w:line="222" w:lineRule="exact"/>
              <w:ind w:left="62"/>
              <w:rPr>
                <w:i/>
                <w:sz w:val="20"/>
              </w:rPr>
            </w:pPr>
            <w:r>
              <w:rPr>
                <w:i/>
                <w:w w:val="105"/>
                <w:sz w:val="20"/>
              </w:rPr>
              <w:t>Example 2:</w:t>
            </w:r>
          </w:p>
        </w:tc>
      </w:tr>
      <w:tr w:rsidR="00E675F0" w:rsidTr="00A330E1">
        <w:trPr>
          <w:trHeight w:val="230"/>
        </w:trPr>
        <w:tc>
          <w:tcPr>
            <w:tcW w:w="751" w:type="dxa"/>
          </w:tcPr>
          <w:p w:rsidR="00E675F0" w:rsidRDefault="00E675F0" w:rsidP="00A330E1">
            <w:pPr>
              <w:pStyle w:val="TableParagraph"/>
              <w:spacing w:line="210" w:lineRule="exact"/>
              <w:ind w:left="50"/>
              <w:rPr>
                <w:sz w:val="19"/>
              </w:rPr>
            </w:pPr>
            <w:r>
              <w:rPr>
                <w:w w:val="105"/>
                <w:sz w:val="19"/>
              </w:rPr>
              <w:t>300.4</w:t>
            </w:r>
          </w:p>
        </w:tc>
        <w:tc>
          <w:tcPr>
            <w:tcW w:w="5893" w:type="dxa"/>
          </w:tcPr>
          <w:p w:rsidR="00E675F0" w:rsidRDefault="00E675F0" w:rsidP="00A330E1">
            <w:pPr>
              <w:pStyle w:val="TableParagraph"/>
              <w:spacing w:line="210" w:lineRule="exact"/>
              <w:ind w:left="145"/>
              <w:rPr>
                <w:sz w:val="19"/>
              </w:rPr>
            </w:pPr>
            <w:r>
              <w:rPr>
                <w:w w:val="110"/>
                <w:sz w:val="19"/>
              </w:rPr>
              <w:t>Dysthymic Disorder</w:t>
            </w:r>
          </w:p>
        </w:tc>
      </w:tr>
      <w:tr w:rsidR="00E675F0" w:rsidTr="00A330E1">
        <w:trPr>
          <w:trHeight w:val="247"/>
        </w:trPr>
        <w:tc>
          <w:tcPr>
            <w:tcW w:w="751" w:type="dxa"/>
          </w:tcPr>
          <w:p w:rsidR="00E675F0" w:rsidRDefault="00E675F0" w:rsidP="00A330E1">
            <w:pPr>
              <w:pStyle w:val="TableParagraph"/>
              <w:spacing w:before="11" w:line="216" w:lineRule="exact"/>
              <w:ind w:left="50"/>
              <w:rPr>
                <w:sz w:val="19"/>
              </w:rPr>
            </w:pPr>
            <w:r>
              <w:rPr>
                <w:w w:val="105"/>
                <w:sz w:val="19"/>
              </w:rPr>
              <w:t>315.00</w:t>
            </w:r>
          </w:p>
        </w:tc>
        <w:tc>
          <w:tcPr>
            <w:tcW w:w="5893" w:type="dxa"/>
          </w:tcPr>
          <w:p w:rsidR="00E675F0" w:rsidRDefault="00E675F0" w:rsidP="00A330E1">
            <w:pPr>
              <w:pStyle w:val="TableParagraph"/>
              <w:spacing w:before="11" w:line="216" w:lineRule="exact"/>
              <w:ind w:left="145"/>
              <w:rPr>
                <w:sz w:val="19"/>
              </w:rPr>
            </w:pPr>
            <w:r>
              <w:rPr>
                <w:w w:val="110"/>
                <w:sz w:val="19"/>
              </w:rPr>
              <w:t>Reading Disorder</w:t>
            </w:r>
          </w:p>
        </w:tc>
      </w:tr>
      <w:tr w:rsidR="00E675F0" w:rsidTr="00A330E1">
        <w:trPr>
          <w:trHeight w:val="227"/>
        </w:trPr>
        <w:tc>
          <w:tcPr>
            <w:tcW w:w="751" w:type="dxa"/>
          </w:tcPr>
          <w:p w:rsidR="00E675F0" w:rsidRDefault="00E675F0" w:rsidP="00A330E1">
            <w:pPr>
              <w:pStyle w:val="TableParagraph"/>
              <w:spacing w:before="9" w:line="199" w:lineRule="exact"/>
              <w:ind w:left="50"/>
              <w:rPr>
                <w:sz w:val="19"/>
              </w:rPr>
            </w:pPr>
            <w:r>
              <w:rPr>
                <w:w w:val="105"/>
                <w:sz w:val="19"/>
              </w:rPr>
              <w:t>382.9</w:t>
            </w:r>
          </w:p>
        </w:tc>
        <w:tc>
          <w:tcPr>
            <w:tcW w:w="5893" w:type="dxa"/>
          </w:tcPr>
          <w:p w:rsidR="00E675F0" w:rsidRDefault="00E675F0" w:rsidP="00A330E1">
            <w:pPr>
              <w:pStyle w:val="TableParagraph"/>
              <w:spacing w:before="9" w:line="199" w:lineRule="exact"/>
              <w:ind w:left="141"/>
              <w:rPr>
                <w:sz w:val="19"/>
              </w:rPr>
            </w:pPr>
            <w:r>
              <w:rPr>
                <w:w w:val="110"/>
                <w:sz w:val="19"/>
              </w:rPr>
              <w:t>Otitis media, recurrent</w:t>
            </w:r>
          </w:p>
        </w:tc>
      </w:tr>
      <w:tr w:rsidR="00E675F0" w:rsidTr="00A330E1">
        <w:trPr>
          <w:trHeight w:val="487"/>
        </w:trPr>
        <w:tc>
          <w:tcPr>
            <w:tcW w:w="6644" w:type="dxa"/>
            <w:gridSpan w:val="2"/>
          </w:tcPr>
          <w:p w:rsidR="00E675F0" w:rsidRDefault="00E675F0" w:rsidP="00A330E1">
            <w:pPr>
              <w:pStyle w:val="TableParagraph"/>
              <w:spacing w:before="4"/>
            </w:pPr>
          </w:p>
          <w:p w:rsidR="00E675F0" w:rsidRDefault="00E675F0" w:rsidP="00A330E1">
            <w:pPr>
              <w:pStyle w:val="TableParagraph"/>
              <w:spacing w:line="210" w:lineRule="exact"/>
              <w:ind w:left="62"/>
              <w:rPr>
                <w:i/>
                <w:sz w:val="20"/>
              </w:rPr>
            </w:pPr>
            <w:r>
              <w:rPr>
                <w:i/>
                <w:w w:val="105"/>
                <w:sz w:val="20"/>
              </w:rPr>
              <w:t>Example 3:</w:t>
            </w:r>
          </w:p>
        </w:tc>
      </w:tr>
      <w:tr w:rsidR="00E675F0" w:rsidTr="00A330E1">
        <w:trPr>
          <w:trHeight w:val="255"/>
        </w:trPr>
        <w:tc>
          <w:tcPr>
            <w:tcW w:w="751" w:type="dxa"/>
          </w:tcPr>
          <w:p w:rsidR="00E675F0" w:rsidRDefault="00E675F0" w:rsidP="00A330E1">
            <w:pPr>
              <w:pStyle w:val="TableParagraph"/>
              <w:spacing w:before="19" w:line="216" w:lineRule="exact"/>
              <w:ind w:left="58"/>
              <w:rPr>
                <w:sz w:val="19"/>
              </w:rPr>
            </w:pPr>
            <w:r>
              <w:rPr>
                <w:w w:val="105"/>
                <w:sz w:val="19"/>
              </w:rPr>
              <w:t>293.83</w:t>
            </w:r>
          </w:p>
        </w:tc>
        <w:tc>
          <w:tcPr>
            <w:tcW w:w="5893" w:type="dxa"/>
          </w:tcPr>
          <w:p w:rsidR="00E675F0" w:rsidRDefault="00E675F0" w:rsidP="00A330E1">
            <w:pPr>
              <w:pStyle w:val="TableParagraph"/>
              <w:spacing w:before="19" w:line="216" w:lineRule="exact"/>
              <w:ind w:left="140"/>
              <w:rPr>
                <w:sz w:val="19"/>
              </w:rPr>
            </w:pPr>
            <w:r>
              <w:rPr>
                <w:w w:val="110"/>
                <w:sz w:val="19"/>
              </w:rPr>
              <w:t>Mood Disorder Due to Hypothyroidism, With Depressive Features</w:t>
            </w:r>
          </w:p>
        </w:tc>
      </w:tr>
      <w:tr w:rsidR="00E675F0" w:rsidTr="00A330E1">
        <w:trPr>
          <w:trHeight w:val="245"/>
        </w:trPr>
        <w:tc>
          <w:tcPr>
            <w:tcW w:w="751" w:type="dxa"/>
          </w:tcPr>
          <w:p w:rsidR="00E675F0" w:rsidRDefault="00E675F0" w:rsidP="00A330E1">
            <w:pPr>
              <w:pStyle w:val="TableParagraph"/>
              <w:spacing w:before="9" w:line="216" w:lineRule="exact"/>
              <w:ind w:left="58"/>
              <w:rPr>
                <w:sz w:val="19"/>
              </w:rPr>
            </w:pPr>
            <w:r>
              <w:rPr>
                <w:w w:val="105"/>
                <w:sz w:val="19"/>
              </w:rPr>
              <w:t>244.9</w:t>
            </w:r>
          </w:p>
        </w:tc>
        <w:tc>
          <w:tcPr>
            <w:tcW w:w="5893" w:type="dxa"/>
          </w:tcPr>
          <w:p w:rsidR="00E675F0" w:rsidRDefault="00E675F0" w:rsidP="00A330E1">
            <w:pPr>
              <w:pStyle w:val="TableParagraph"/>
              <w:spacing w:before="9" w:line="216" w:lineRule="exact"/>
              <w:ind w:left="145"/>
              <w:rPr>
                <w:sz w:val="19"/>
              </w:rPr>
            </w:pPr>
            <w:r>
              <w:rPr>
                <w:w w:val="110"/>
                <w:sz w:val="19"/>
              </w:rPr>
              <w:t>Hypothyroidism</w:t>
            </w:r>
          </w:p>
        </w:tc>
      </w:tr>
      <w:tr w:rsidR="00E675F0" w:rsidTr="00A330E1">
        <w:trPr>
          <w:trHeight w:val="468"/>
        </w:trPr>
        <w:tc>
          <w:tcPr>
            <w:tcW w:w="751" w:type="dxa"/>
          </w:tcPr>
          <w:p w:rsidR="00E675F0" w:rsidRDefault="00E675F0" w:rsidP="00A330E1">
            <w:pPr>
              <w:pStyle w:val="TableParagraph"/>
              <w:spacing w:before="9"/>
              <w:ind w:left="50"/>
              <w:rPr>
                <w:sz w:val="19"/>
              </w:rPr>
            </w:pPr>
            <w:r>
              <w:rPr>
                <w:w w:val="105"/>
                <w:sz w:val="19"/>
              </w:rPr>
              <w:t>365.23</w:t>
            </w:r>
          </w:p>
        </w:tc>
        <w:tc>
          <w:tcPr>
            <w:tcW w:w="5893" w:type="dxa"/>
          </w:tcPr>
          <w:p w:rsidR="00E675F0" w:rsidRDefault="00E675F0" w:rsidP="00A330E1">
            <w:pPr>
              <w:pStyle w:val="TableParagraph"/>
              <w:spacing w:before="9"/>
              <w:ind w:left="146"/>
              <w:rPr>
                <w:sz w:val="19"/>
              </w:rPr>
            </w:pPr>
            <w:r>
              <w:rPr>
                <w:w w:val="110"/>
                <w:sz w:val="19"/>
              </w:rPr>
              <w:t>Chronic angle-closure glaucoma</w:t>
            </w:r>
          </w:p>
          <w:p w:rsidR="00E675F0" w:rsidRDefault="00E675F0" w:rsidP="00A330E1">
            <w:pPr>
              <w:pStyle w:val="TableParagraph"/>
              <w:spacing w:before="22" w:line="199" w:lineRule="exact"/>
              <w:ind w:left="150"/>
              <w:rPr>
                <w:sz w:val="19"/>
              </w:rPr>
            </w:pPr>
            <w:r>
              <w:rPr>
                <w:w w:val="110"/>
                <w:sz w:val="19"/>
              </w:rPr>
              <w:t>Histrionic personality features</w:t>
            </w:r>
          </w:p>
        </w:tc>
      </w:tr>
    </w:tbl>
    <w:p w:rsidR="00E675F0" w:rsidRDefault="00E675F0" w:rsidP="00E675F0">
      <w:pPr>
        <w:pStyle w:val="BodyText"/>
        <w:spacing w:before="9"/>
        <w:rPr>
          <w:sz w:val="22"/>
        </w:rPr>
      </w:pPr>
    </w:p>
    <w:p w:rsidR="00E675F0" w:rsidRDefault="00E675F0" w:rsidP="00E675F0">
      <w:pPr>
        <w:ind w:left="190"/>
        <w:rPr>
          <w:i/>
          <w:sz w:val="20"/>
        </w:rPr>
      </w:pPr>
      <w:r>
        <w:rPr>
          <w:i/>
          <w:sz w:val="20"/>
        </w:rPr>
        <w:t>Example 4:</w:t>
      </w:r>
    </w:p>
    <w:p w:rsidR="00E675F0" w:rsidRDefault="00E675F0" w:rsidP="00E675F0">
      <w:pPr>
        <w:tabs>
          <w:tab w:val="left" w:pos="1024"/>
        </w:tabs>
        <w:spacing w:before="25"/>
        <w:ind w:left="174"/>
        <w:rPr>
          <w:sz w:val="19"/>
        </w:rPr>
      </w:pPr>
      <w:r>
        <w:rPr>
          <w:w w:val="110"/>
          <w:sz w:val="19"/>
        </w:rPr>
        <w:t>V61.1</w:t>
      </w:r>
      <w:r>
        <w:rPr>
          <w:w w:val="110"/>
          <w:sz w:val="19"/>
        </w:rPr>
        <w:tab/>
        <w:t>Partner Relational</w:t>
      </w:r>
      <w:r>
        <w:rPr>
          <w:spacing w:val="30"/>
          <w:w w:val="110"/>
          <w:sz w:val="19"/>
        </w:rPr>
        <w:t xml:space="preserve"> </w:t>
      </w:r>
      <w:r>
        <w:rPr>
          <w:w w:val="110"/>
          <w:sz w:val="19"/>
        </w:rPr>
        <w:t>Problem</w:t>
      </w:r>
    </w:p>
    <w:p w:rsidR="00E675F0" w:rsidRDefault="00E675F0" w:rsidP="00E675F0">
      <w:pPr>
        <w:rPr>
          <w:sz w:val="19"/>
        </w:rPr>
        <w:sectPr w:rsidR="00E675F0">
          <w:pgSz w:w="8960" w:h="14260"/>
          <w:pgMar w:top="1400" w:right="640" w:bottom="280" w:left="560" w:header="679" w:footer="0" w:gutter="0"/>
          <w:cols w:space="720"/>
        </w:sectPr>
      </w:pPr>
    </w:p>
    <w:p w:rsidR="00E675F0" w:rsidRDefault="00E675F0" w:rsidP="00E675F0">
      <w:pPr>
        <w:pStyle w:val="BodyText"/>
      </w:pPr>
    </w:p>
    <w:p w:rsidR="00E675F0" w:rsidRDefault="00E675F0" w:rsidP="00E675F0">
      <w:pPr>
        <w:pStyle w:val="BodyText"/>
      </w:pPr>
    </w:p>
    <w:p w:rsidR="00E675F0" w:rsidRDefault="00E675F0" w:rsidP="00E675F0">
      <w:pPr>
        <w:pStyle w:val="BodyText"/>
      </w:pPr>
    </w:p>
    <w:p w:rsidR="00E675F0" w:rsidRDefault="00E675F0" w:rsidP="00E675F0">
      <w:pPr>
        <w:pStyle w:val="BodyText"/>
      </w:pPr>
    </w:p>
    <w:p w:rsidR="00E675F0" w:rsidRDefault="00E675F0" w:rsidP="00E675F0">
      <w:pPr>
        <w:pStyle w:val="BodyText"/>
      </w:pPr>
    </w:p>
    <w:p w:rsidR="00E675F0" w:rsidRDefault="00E675F0" w:rsidP="00E675F0">
      <w:pPr>
        <w:pStyle w:val="BodyText"/>
      </w:pPr>
    </w:p>
    <w:p w:rsidR="00E675F0" w:rsidRDefault="00E675F0" w:rsidP="00E675F0">
      <w:pPr>
        <w:pStyle w:val="BodyText"/>
      </w:pPr>
    </w:p>
    <w:p w:rsidR="00E675F0" w:rsidRDefault="00E675F0" w:rsidP="00E675F0">
      <w:pPr>
        <w:pStyle w:val="BodyText"/>
      </w:pPr>
    </w:p>
    <w:p w:rsidR="00E675F0" w:rsidRDefault="00E675F0" w:rsidP="00E675F0">
      <w:pPr>
        <w:pStyle w:val="BodyText"/>
        <w:spacing w:before="4" w:after="1"/>
        <w:rPr>
          <w:sz w:val="23"/>
        </w:rPr>
      </w:pPr>
    </w:p>
    <w:p w:rsidR="00E675F0" w:rsidRDefault="00E675F0" w:rsidP="00E675F0">
      <w:pPr>
        <w:pStyle w:val="BodyText"/>
        <w:spacing w:line="220" w:lineRule="exact"/>
        <w:ind w:left="1660"/>
      </w:pPr>
      <w:r>
        <w:rPr>
          <w:noProof/>
          <w:position w:val="-3"/>
        </w:rPr>
        <w:drawing>
          <wp:inline distT="0" distB="0" distL="0" distR="0" wp14:anchorId="5432B0AB" wp14:editId="37B06684">
            <wp:extent cx="2008632" cy="140207"/>
            <wp:effectExtent l="0" t="0" r="0" b="0"/>
            <wp:docPr id="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png"/>
                    <pic:cNvPicPr/>
                  </pic:nvPicPr>
                  <pic:blipFill>
                    <a:blip r:embed="rId8" cstate="print"/>
                    <a:stretch>
                      <a:fillRect/>
                    </a:stretch>
                  </pic:blipFill>
                  <pic:spPr>
                    <a:xfrm>
                      <a:off x="0" y="0"/>
                      <a:ext cx="2008632" cy="140207"/>
                    </a:xfrm>
                    <a:prstGeom prst="rect">
                      <a:avLst/>
                    </a:prstGeom>
                  </pic:spPr>
                </pic:pic>
              </a:graphicData>
            </a:graphic>
          </wp:inline>
        </w:drawing>
      </w:r>
    </w:p>
    <w:p w:rsidR="00E675F0" w:rsidRDefault="00E675F0" w:rsidP="00E675F0">
      <w:pPr>
        <w:spacing w:line="220" w:lineRule="exact"/>
        <w:sectPr w:rsidR="00E675F0">
          <w:headerReference w:type="default" r:id="rId51"/>
          <w:pgSz w:w="8960" w:h="14260"/>
          <w:pgMar w:top="1320" w:right="1240" w:bottom="280" w:left="1240" w:header="0" w:footer="0" w:gutter="0"/>
          <w:cols w:space="720"/>
        </w:sectPr>
      </w:pPr>
    </w:p>
    <w:p w:rsidR="00E675F0" w:rsidRDefault="00E675F0" w:rsidP="00E675F0">
      <w:pPr>
        <w:pStyle w:val="BodyText"/>
      </w:pPr>
    </w:p>
    <w:p w:rsidR="00E675F0" w:rsidRDefault="00E675F0" w:rsidP="00E675F0">
      <w:pPr>
        <w:pStyle w:val="BodyText"/>
      </w:pPr>
    </w:p>
    <w:p w:rsidR="00E675F0" w:rsidRDefault="00E675F0" w:rsidP="00E675F0">
      <w:pPr>
        <w:pStyle w:val="BodyText"/>
        <w:spacing w:before="8"/>
        <w:rPr>
          <w:sz w:val="15"/>
        </w:rPr>
      </w:pPr>
    </w:p>
    <w:bookmarkStart w:id="24" w:name="Disorders_Usually_First_Diagnosed_in_Inf"/>
    <w:bookmarkStart w:id="25" w:name="_bookmark11"/>
    <w:bookmarkStart w:id="26" w:name="_bookmark12"/>
    <w:bookmarkEnd w:id="24"/>
    <w:bookmarkEnd w:id="25"/>
    <w:bookmarkEnd w:id="26"/>
    <w:p w:rsidR="00E675F0" w:rsidRDefault="00E675F0" w:rsidP="00E675F0">
      <w:pPr>
        <w:spacing w:before="84" w:line="288" w:lineRule="auto"/>
        <w:ind w:left="281" w:right="381" w:firstLine="38"/>
        <w:jc w:val="center"/>
        <w:rPr>
          <w:rFonts w:ascii="Arial"/>
          <w:b/>
          <w:sz w:val="53"/>
        </w:rPr>
      </w:pPr>
      <w:r>
        <w:fldChar w:fldCharType="begin"/>
      </w:r>
      <w:r>
        <w:instrText xml:space="preserve"> HYPERLINK \l "_bookmark0" </w:instrText>
      </w:r>
      <w:r>
        <w:fldChar w:fldCharType="separate"/>
      </w:r>
      <w:r>
        <w:rPr>
          <w:rFonts w:ascii="Arial"/>
          <w:b/>
          <w:sz w:val="53"/>
        </w:rPr>
        <w:t>Disorders Usually First Diagnosed in Infancy, Childhood, or Adolescence</w:t>
      </w:r>
      <w:r>
        <w:rPr>
          <w:rFonts w:ascii="Arial"/>
          <w:b/>
          <w:sz w:val="53"/>
        </w:rPr>
        <w:fldChar w:fldCharType="end"/>
      </w:r>
    </w:p>
    <w:p w:rsidR="00E675F0" w:rsidRDefault="00E675F0" w:rsidP="00E675F0">
      <w:pPr>
        <w:pStyle w:val="BodyText"/>
        <w:rPr>
          <w:rFonts w:ascii="Arial"/>
          <w:b/>
        </w:rPr>
      </w:pPr>
    </w:p>
    <w:p w:rsidR="00E675F0" w:rsidRDefault="00E675F0" w:rsidP="00E675F0">
      <w:pPr>
        <w:pStyle w:val="BodyText"/>
        <w:rPr>
          <w:rFonts w:ascii="Arial"/>
          <w:b/>
        </w:rPr>
      </w:pPr>
    </w:p>
    <w:p w:rsidR="00E675F0" w:rsidRDefault="00E675F0" w:rsidP="00E675F0">
      <w:pPr>
        <w:pStyle w:val="BodyText"/>
        <w:rPr>
          <w:rFonts w:ascii="Arial"/>
          <w:b/>
        </w:rPr>
      </w:pPr>
    </w:p>
    <w:p w:rsidR="00E675F0" w:rsidRDefault="00E675F0" w:rsidP="00E675F0">
      <w:pPr>
        <w:pStyle w:val="BodyText"/>
        <w:rPr>
          <w:rFonts w:ascii="Arial"/>
          <w:b/>
        </w:rPr>
      </w:pPr>
    </w:p>
    <w:p w:rsidR="00E675F0" w:rsidRDefault="00E675F0" w:rsidP="00E675F0">
      <w:pPr>
        <w:pStyle w:val="BodyText"/>
        <w:rPr>
          <w:rFonts w:ascii="Arial"/>
          <w:b/>
        </w:rPr>
      </w:pPr>
    </w:p>
    <w:p w:rsidR="00E675F0" w:rsidRDefault="00E675F0" w:rsidP="00E675F0">
      <w:pPr>
        <w:pStyle w:val="BodyText"/>
        <w:rPr>
          <w:rFonts w:ascii="Arial"/>
          <w:b/>
        </w:rPr>
      </w:pPr>
    </w:p>
    <w:p w:rsidR="00E675F0" w:rsidRDefault="00E675F0" w:rsidP="00E675F0">
      <w:pPr>
        <w:pStyle w:val="BodyText"/>
        <w:spacing w:before="9"/>
        <w:rPr>
          <w:rFonts w:ascii="Arial"/>
          <w:b/>
          <w:sz w:val="18"/>
        </w:rPr>
      </w:pPr>
    </w:p>
    <w:p w:rsidR="00E675F0" w:rsidRDefault="00E675F0" w:rsidP="00E675F0">
      <w:pPr>
        <w:pStyle w:val="BodyText"/>
        <w:spacing w:before="92" w:line="252" w:lineRule="auto"/>
        <w:ind w:left="118" w:right="132" w:firstLine="455"/>
        <w:jc w:val="right"/>
      </w:pPr>
      <w:r>
        <w:rPr>
          <w:noProof/>
        </w:rPr>
        <mc:AlternateContent>
          <mc:Choice Requires="wps">
            <w:drawing>
              <wp:anchor distT="0" distB="0" distL="114300" distR="114300" simplePos="0" relativeHeight="251748352" behindDoc="1" locked="0" layoutInCell="1" allowOverlap="1" wp14:anchorId="055999FE" wp14:editId="5975560D">
                <wp:simplePos x="0" y="0"/>
                <wp:positionH relativeFrom="page">
                  <wp:posOffset>451485</wp:posOffset>
                </wp:positionH>
                <wp:positionV relativeFrom="paragraph">
                  <wp:posOffset>-83820</wp:posOffset>
                </wp:positionV>
                <wp:extent cx="296545" cy="521335"/>
                <wp:effectExtent l="0" t="0" r="0" b="0"/>
                <wp:wrapNone/>
                <wp:docPr id="1662" name="Text Box 1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6545" cy="52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5F0" w:rsidRDefault="00E675F0" w:rsidP="00E675F0">
                            <w:pPr>
                              <w:spacing w:line="820" w:lineRule="exact"/>
                              <w:rPr>
                                <w:sz w:val="74"/>
                              </w:rPr>
                            </w:pPr>
                            <w:r>
                              <w:rPr>
                                <w:w w:val="103"/>
                                <w:sz w:val="74"/>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999FE" id="Text Box 1618" o:spid="_x0000_s1056" type="#_x0000_t202" style="position:absolute;left:0;text-align:left;margin-left:35.55pt;margin-top:-6.6pt;width:23.35pt;height:41.05pt;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" filled="f" stroked="f">
                <v:path arrowok="t"/>
                <v:textbox inset="0,0,0,0">
                  <w:txbxContent>
                    <w:p w:rsidR="00E675F0" w:rsidRDefault="00E675F0" w:rsidP="00E675F0">
                      <w:pPr>
                        <w:spacing w:line="820" w:lineRule="exact"/>
                        <w:rPr>
                          <w:sz w:val="74"/>
                        </w:rPr>
                      </w:pPr>
                      <w:r>
                        <w:rPr>
                          <w:w w:val="103"/>
                          <w:sz w:val="74"/>
                        </w:rPr>
                        <w:t>T</w:t>
                      </w:r>
                    </w:p>
                  </w:txbxContent>
                </v:textbox>
                <w10:wrap anchorx="page"/>
              </v:shape>
            </w:pict>
          </mc:Fallback>
        </mc:AlternateContent>
      </w:r>
      <w:r>
        <w:rPr>
          <w:w w:val="105"/>
        </w:rPr>
        <w:t>he provision of a separate section for disorders that are usually first</w:t>
      </w:r>
      <w:r>
        <w:rPr>
          <w:spacing w:val="-11"/>
          <w:w w:val="105"/>
        </w:rPr>
        <w:t xml:space="preserve"> </w:t>
      </w:r>
      <w:r>
        <w:rPr>
          <w:w w:val="105"/>
        </w:rPr>
        <w:t>diagnosed</w:t>
      </w:r>
      <w:r>
        <w:rPr>
          <w:spacing w:val="25"/>
          <w:w w:val="105"/>
        </w:rPr>
        <w:t xml:space="preserve"> </w:t>
      </w:r>
      <w:r>
        <w:rPr>
          <w:w w:val="105"/>
        </w:rPr>
        <w:t>in</w:t>
      </w:r>
      <w:r>
        <w:rPr>
          <w:spacing w:val="-1"/>
          <w:w w:val="102"/>
        </w:rPr>
        <w:t xml:space="preserve"> </w:t>
      </w:r>
      <w:r>
        <w:rPr>
          <w:w w:val="105"/>
        </w:rPr>
        <w:t>infancy, childhood, or adolescence is for convenience only and is not</w:t>
      </w:r>
      <w:r>
        <w:rPr>
          <w:spacing w:val="-20"/>
          <w:w w:val="105"/>
        </w:rPr>
        <w:t xml:space="preserve"> </w:t>
      </w:r>
      <w:r>
        <w:rPr>
          <w:w w:val="105"/>
        </w:rPr>
        <w:t>meant</w:t>
      </w:r>
      <w:r>
        <w:rPr>
          <w:spacing w:val="37"/>
          <w:w w:val="105"/>
        </w:rPr>
        <w:t xml:space="preserve"> </w:t>
      </w:r>
      <w:r>
        <w:rPr>
          <w:w w:val="105"/>
        </w:rPr>
        <w:t>to</w:t>
      </w:r>
      <w:r>
        <w:rPr>
          <w:spacing w:val="-1"/>
          <w:w w:val="105"/>
        </w:rPr>
        <w:t xml:space="preserve"> </w:t>
      </w:r>
      <w:r>
        <w:rPr>
          <w:w w:val="105"/>
        </w:rPr>
        <w:t>suggest that there is any clear distinction between "childhood" and</w:t>
      </w:r>
      <w:r>
        <w:rPr>
          <w:spacing w:val="23"/>
          <w:w w:val="105"/>
        </w:rPr>
        <w:t xml:space="preserve"> </w:t>
      </w:r>
      <w:r>
        <w:rPr>
          <w:w w:val="105"/>
        </w:rPr>
        <w:t>"adult"</w:t>
      </w:r>
      <w:r>
        <w:rPr>
          <w:spacing w:val="23"/>
          <w:w w:val="105"/>
        </w:rPr>
        <w:t xml:space="preserve"> </w:t>
      </w:r>
      <w:r>
        <w:rPr>
          <w:w w:val="105"/>
        </w:rPr>
        <w:t>disorders. Although most individuals with these disorders present for clinical</w:t>
      </w:r>
      <w:r>
        <w:rPr>
          <w:spacing w:val="21"/>
          <w:w w:val="105"/>
        </w:rPr>
        <w:t xml:space="preserve"> </w:t>
      </w:r>
      <w:r>
        <w:rPr>
          <w:w w:val="105"/>
        </w:rPr>
        <w:t>attention</w:t>
      </w:r>
      <w:r>
        <w:rPr>
          <w:spacing w:val="46"/>
          <w:w w:val="105"/>
        </w:rPr>
        <w:t xml:space="preserve"> </w:t>
      </w:r>
      <w:r>
        <w:rPr>
          <w:w w:val="105"/>
        </w:rPr>
        <w:t>during</w:t>
      </w:r>
      <w:r>
        <w:rPr>
          <w:w w:val="106"/>
        </w:rPr>
        <w:t xml:space="preserve"> </w:t>
      </w:r>
      <w:r>
        <w:rPr>
          <w:w w:val="105"/>
        </w:rPr>
        <w:t>childhood or adolescence, the disorders sometimes are not diagnosed</w:t>
      </w:r>
      <w:r>
        <w:rPr>
          <w:spacing w:val="1"/>
          <w:w w:val="105"/>
        </w:rPr>
        <w:t xml:space="preserve"> </w:t>
      </w:r>
      <w:r>
        <w:rPr>
          <w:w w:val="105"/>
        </w:rPr>
        <w:t>until</w:t>
      </w:r>
      <w:r>
        <w:rPr>
          <w:spacing w:val="21"/>
          <w:w w:val="105"/>
        </w:rPr>
        <w:t xml:space="preserve"> </w:t>
      </w:r>
      <w:r>
        <w:rPr>
          <w:w w:val="105"/>
        </w:rPr>
        <w:t>adulthood.</w:t>
      </w:r>
      <w:r>
        <w:rPr>
          <w:spacing w:val="-1"/>
          <w:w w:val="108"/>
        </w:rPr>
        <w:t xml:space="preserve"> </w:t>
      </w:r>
      <w:r>
        <w:rPr>
          <w:w w:val="105"/>
        </w:rPr>
        <w:t>Moreover, many disorders included in other sections of the manual often have</w:t>
      </w:r>
      <w:r>
        <w:rPr>
          <w:spacing w:val="3"/>
          <w:w w:val="105"/>
        </w:rPr>
        <w:t xml:space="preserve"> </w:t>
      </w:r>
      <w:r>
        <w:rPr>
          <w:w w:val="105"/>
        </w:rPr>
        <w:t>an</w:t>
      </w:r>
      <w:r>
        <w:rPr>
          <w:spacing w:val="1"/>
          <w:w w:val="105"/>
        </w:rPr>
        <w:t xml:space="preserve"> </w:t>
      </w:r>
      <w:r>
        <w:rPr>
          <w:w w:val="105"/>
        </w:rPr>
        <w:t>onset</w:t>
      </w:r>
      <w:r>
        <w:rPr>
          <w:w w:val="108"/>
        </w:rPr>
        <w:t xml:space="preserve"> </w:t>
      </w:r>
      <w:r>
        <w:rPr>
          <w:w w:val="105"/>
        </w:rPr>
        <w:t>during childhood or adolescence. In evaluating an infant, child, or</w:t>
      </w:r>
      <w:r>
        <w:rPr>
          <w:spacing w:val="44"/>
          <w:w w:val="105"/>
        </w:rPr>
        <w:t xml:space="preserve"> </w:t>
      </w:r>
      <w:r>
        <w:rPr>
          <w:w w:val="105"/>
        </w:rPr>
        <w:t>adolescent,</w:t>
      </w:r>
      <w:r>
        <w:rPr>
          <w:spacing w:val="8"/>
          <w:w w:val="105"/>
        </w:rPr>
        <w:t xml:space="preserve"> </w:t>
      </w:r>
      <w:r>
        <w:rPr>
          <w:w w:val="105"/>
        </w:rPr>
        <w:t>the</w:t>
      </w:r>
      <w:r>
        <w:rPr>
          <w:spacing w:val="-1"/>
          <w:w w:val="108"/>
        </w:rPr>
        <w:t xml:space="preserve"> </w:t>
      </w:r>
      <w:r>
        <w:rPr>
          <w:w w:val="105"/>
        </w:rPr>
        <w:t>clinician should consider the diagnoses included in this section but also should</w:t>
      </w:r>
      <w:r>
        <w:rPr>
          <w:spacing w:val="27"/>
          <w:w w:val="105"/>
        </w:rPr>
        <w:t xml:space="preserve"> </w:t>
      </w:r>
      <w:r>
        <w:rPr>
          <w:w w:val="105"/>
        </w:rPr>
        <w:t>refer</w:t>
      </w:r>
      <w:r>
        <w:rPr>
          <w:spacing w:val="14"/>
          <w:w w:val="105"/>
        </w:rPr>
        <w:t xml:space="preserve"> </w:t>
      </w:r>
      <w:r>
        <w:rPr>
          <w:w w:val="105"/>
        </w:rPr>
        <w:t>to</w:t>
      </w:r>
      <w:r>
        <w:rPr>
          <w:spacing w:val="-1"/>
          <w:w w:val="109"/>
        </w:rPr>
        <w:t xml:space="preserve"> </w:t>
      </w:r>
      <w:r>
        <w:rPr>
          <w:w w:val="105"/>
        </w:rPr>
        <w:t>the</w:t>
      </w:r>
      <w:r>
        <w:rPr>
          <w:spacing w:val="19"/>
          <w:w w:val="105"/>
        </w:rPr>
        <w:t xml:space="preserve"> </w:t>
      </w:r>
      <w:r>
        <w:rPr>
          <w:w w:val="105"/>
        </w:rPr>
        <w:t>disorders</w:t>
      </w:r>
      <w:r>
        <w:rPr>
          <w:spacing w:val="25"/>
          <w:w w:val="105"/>
        </w:rPr>
        <w:t xml:space="preserve"> </w:t>
      </w:r>
      <w:r>
        <w:rPr>
          <w:w w:val="105"/>
        </w:rPr>
        <w:t>described</w:t>
      </w:r>
      <w:r>
        <w:rPr>
          <w:spacing w:val="29"/>
          <w:w w:val="105"/>
        </w:rPr>
        <w:t xml:space="preserve"> </w:t>
      </w:r>
      <w:r>
        <w:rPr>
          <w:w w:val="105"/>
        </w:rPr>
        <w:t>elsewhere</w:t>
      </w:r>
      <w:r>
        <w:rPr>
          <w:spacing w:val="31"/>
          <w:w w:val="105"/>
        </w:rPr>
        <w:t xml:space="preserve"> </w:t>
      </w:r>
      <w:r>
        <w:rPr>
          <w:w w:val="105"/>
        </w:rPr>
        <w:t>in</w:t>
      </w:r>
      <w:r>
        <w:rPr>
          <w:spacing w:val="23"/>
          <w:w w:val="105"/>
        </w:rPr>
        <w:t xml:space="preserve"> </w:t>
      </w:r>
      <w:r>
        <w:rPr>
          <w:w w:val="105"/>
        </w:rPr>
        <w:t>this</w:t>
      </w:r>
      <w:r>
        <w:rPr>
          <w:spacing w:val="25"/>
          <w:w w:val="105"/>
        </w:rPr>
        <w:t xml:space="preserve"> </w:t>
      </w:r>
      <w:r>
        <w:rPr>
          <w:w w:val="105"/>
        </w:rPr>
        <w:t>manual.</w:t>
      </w:r>
      <w:r>
        <w:rPr>
          <w:spacing w:val="25"/>
          <w:w w:val="105"/>
        </w:rPr>
        <w:t xml:space="preserve"> </w:t>
      </w:r>
      <w:r>
        <w:rPr>
          <w:w w:val="105"/>
        </w:rPr>
        <w:t>Adults</w:t>
      </w:r>
      <w:r>
        <w:rPr>
          <w:spacing w:val="32"/>
          <w:w w:val="105"/>
        </w:rPr>
        <w:t xml:space="preserve"> </w:t>
      </w:r>
      <w:r>
        <w:rPr>
          <w:w w:val="105"/>
        </w:rPr>
        <w:t>may</w:t>
      </w:r>
      <w:r>
        <w:rPr>
          <w:spacing w:val="20"/>
          <w:w w:val="105"/>
        </w:rPr>
        <w:t xml:space="preserve"> </w:t>
      </w:r>
      <w:r>
        <w:rPr>
          <w:w w:val="105"/>
        </w:rPr>
        <w:t>also</w:t>
      </w:r>
      <w:r>
        <w:rPr>
          <w:spacing w:val="22"/>
          <w:w w:val="105"/>
        </w:rPr>
        <w:t xml:space="preserve"> </w:t>
      </w:r>
      <w:r>
        <w:rPr>
          <w:w w:val="105"/>
        </w:rPr>
        <w:t>be</w:t>
      </w:r>
      <w:r>
        <w:rPr>
          <w:spacing w:val="20"/>
          <w:w w:val="105"/>
        </w:rPr>
        <w:t xml:space="preserve"> </w:t>
      </w:r>
      <w:r>
        <w:rPr>
          <w:w w:val="105"/>
        </w:rPr>
        <w:t>diagnosed</w:t>
      </w:r>
      <w:r>
        <w:rPr>
          <w:spacing w:val="24"/>
          <w:w w:val="105"/>
        </w:rPr>
        <w:t xml:space="preserve"> </w:t>
      </w:r>
      <w:r>
        <w:rPr>
          <w:w w:val="105"/>
        </w:rPr>
        <w:t>with</w:t>
      </w:r>
      <w:r>
        <w:rPr>
          <w:spacing w:val="-1"/>
          <w:w w:val="105"/>
        </w:rPr>
        <w:t xml:space="preserve"> </w:t>
      </w:r>
      <w:r>
        <w:rPr>
          <w:w w:val="105"/>
        </w:rPr>
        <w:t>disorders included in this section for Disorders Usually First Diagnosed</w:t>
      </w:r>
      <w:r>
        <w:rPr>
          <w:spacing w:val="14"/>
          <w:w w:val="105"/>
        </w:rPr>
        <w:t xml:space="preserve"> </w:t>
      </w:r>
      <w:r>
        <w:rPr>
          <w:w w:val="105"/>
        </w:rPr>
        <w:t>in</w:t>
      </w:r>
      <w:r>
        <w:rPr>
          <w:spacing w:val="30"/>
          <w:w w:val="105"/>
        </w:rPr>
        <w:t xml:space="preserve"> </w:t>
      </w:r>
      <w:r>
        <w:rPr>
          <w:w w:val="105"/>
        </w:rPr>
        <w:t>Infancy,</w:t>
      </w:r>
      <w:r>
        <w:rPr>
          <w:w w:val="102"/>
        </w:rPr>
        <w:t xml:space="preserve"> </w:t>
      </w:r>
      <w:r>
        <w:rPr>
          <w:w w:val="105"/>
        </w:rPr>
        <w:t>Childhood,</w:t>
      </w:r>
      <w:r>
        <w:rPr>
          <w:spacing w:val="-7"/>
          <w:w w:val="105"/>
        </w:rPr>
        <w:t xml:space="preserve"> </w:t>
      </w:r>
      <w:r>
        <w:rPr>
          <w:w w:val="105"/>
        </w:rPr>
        <w:t>or</w:t>
      </w:r>
      <w:r>
        <w:rPr>
          <w:spacing w:val="-11"/>
          <w:w w:val="105"/>
        </w:rPr>
        <w:t xml:space="preserve"> </w:t>
      </w:r>
      <w:r>
        <w:rPr>
          <w:w w:val="105"/>
        </w:rPr>
        <w:t>Adolescence</w:t>
      </w:r>
      <w:r>
        <w:rPr>
          <w:spacing w:val="-7"/>
          <w:w w:val="105"/>
        </w:rPr>
        <w:t xml:space="preserve"> </w:t>
      </w:r>
      <w:r>
        <w:rPr>
          <w:w w:val="105"/>
        </w:rPr>
        <w:t>if</w:t>
      </w:r>
      <w:r>
        <w:rPr>
          <w:spacing w:val="-14"/>
          <w:w w:val="105"/>
        </w:rPr>
        <w:t xml:space="preserve"> </w:t>
      </w:r>
      <w:r>
        <w:rPr>
          <w:w w:val="105"/>
        </w:rPr>
        <w:t>their</w:t>
      </w:r>
      <w:r>
        <w:rPr>
          <w:spacing w:val="-17"/>
          <w:w w:val="105"/>
        </w:rPr>
        <w:t xml:space="preserve"> </w:t>
      </w:r>
      <w:r>
        <w:rPr>
          <w:w w:val="105"/>
        </w:rPr>
        <w:t>clinical</w:t>
      </w:r>
      <w:r>
        <w:rPr>
          <w:spacing w:val="-6"/>
          <w:w w:val="105"/>
        </w:rPr>
        <w:t xml:space="preserve"> </w:t>
      </w:r>
      <w:r>
        <w:rPr>
          <w:w w:val="105"/>
        </w:rPr>
        <w:t>presentation meets</w:t>
      </w:r>
      <w:r>
        <w:rPr>
          <w:spacing w:val="-9"/>
          <w:w w:val="105"/>
        </w:rPr>
        <w:t xml:space="preserve"> </w:t>
      </w:r>
      <w:r>
        <w:rPr>
          <w:w w:val="105"/>
        </w:rPr>
        <w:t>relevant</w:t>
      </w:r>
      <w:r>
        <w:rPr>
          <w:spacing w:val="-13"/>
          <w:w w:val="105"/>
        </w:rPr>
        <w:t xml:space="preserve"> </w:t>
      </w:r>
      <w:r>
        <w:rPr>
          <w:w w:val="105"/>
        </w:rPr>
        <w:t>diagnostic</w:t>
      </w:r>
      <w:r>
        <w:rPr>
          <w:spacing w:val="-7"/>
          <w:w w:val="105"/>
        </w:rPr>
        <w:t xml:space="preserve"> </w:t>
      </w:r>
      <w:r>
        <w:rPr>
          <w:w w:val="105"/>
        </w:rPr>
        <w:t>criteria</w:t>
      </w:r>
      <w:r>
        <w:rPr>
          <w:spacing w:val="-1"/>
        </w:rPr>
        <w:t xml:space="preserve"> </w:t>
      </w:r>
      <w:r>
        <w:rPr>
          <w:w w:val="105"/>
        </w:rPr>
        <w:t>(e.g.,</w:t>
      </w:r>
      <w:r>
        <w:rPr>
          <w:spacing w:val="-16"/>
          <w:w w:val="105"/>
        </w:rPr>
        <w:t xml:space="preserve"> </w:t>
      </w:r>
      <w:r>
        <w:rPr>
          <w:w w:val="105"/>
        </w:rPr>
        <w:t>Stuttering,</w:t>
      </w:r>
      <w:r>
        <w:rPr>
          <w:spacing w:val="-4"/>
          <w:w w:val="105"/>
        </w:rPr>
        <w:t xml:space="preserve"> </w:t>
      </w:r>
      <w:r>
        <w:rPr>
          <w:w w:val="105"/>
        </w:rPr>
        <w:t>Pica).</w:t>
      </w:r>
      <w:r>
        <w:rPr>
          <w:spacing w:val="-10"/>
          <w:w w:val="105"/>
        </w:rPr>
        <w:t xml:space="preserve"> </w:t>
      </w:r>
      <w:r>
        <w:rPr>
          <w:w w:val="105"/>
        </w:rPr>
        <w:t>Moreover,</w:t>
      </w:r>
      <w:r>
        <w:rPr>
          <w:spacing w:val="-2"/>
          <w:w w:val="105"/>
        </w:rPr>
        <w:t xml:space="preserve"> </w:t>
      </w:r>
      <w:r>
        <w:rPr>
          <w:w w:val="105"/>
        </w:rPr>
        <w:t>if</w:t>
      </w:r>
      <w:r>
        <w:rPr>
          <w:spacing w:val="-11"/>
          <w:w w:val="105"/>
        </w:rPr>
        <w:t xml:space="preserve"> </w:t>
      </w:r>
      <w:r>
        <w:rPr>
          <w:w w:val="105"/>
        </w:rPr>
        <w:t>an</w:t>
      </w:r>
      <w:r>
        <w:rPr>
          <w:spacing w:val="-15"/>
          <w:w w:val="105"/>
        </w:rPr>
        <w:t xml:space="preserve"> </w:t>
      </w:r>
      <w:r>
        <w:rPr>
          <w:w w:val="105"/>
        </w:rPr>
        <w:t>adult</w:t>
      </w:r>
      <w:r>
        <w:rPr>
          <w:spacing w:val="-8"/>
          <w:w w:val="105"/>
        </w:rPr>
        <w:t xml:space="preserve"> </w:t>
      </w:r>
      <w:r>
        <w:rPr>
          <w:w w:val="105"/>
        </w:rPr>
        <w:t>had</w:t>
      </w:r>
      <w:r>
        <w:rPr>
          <w:spacing w:val="-18"/>
          <w:w w:val="105"/>
        </w:rPr>
        <w:t xml:space="preserve"> </w:t>
      </w:r>
      <w:r>
        <w:rPr>
          <w:w w:val="105"/>
        </w:rPr>
        <w:t>symptoms</w:t>
      </w:r>
      <w:r>
        <w:rPr>
          <w:spacing w:val="-10"/>
          <w:w w:val="105"/>
        </w:rPr>
        <w:t xml:space="preserve"> </w:t>
      </w:r>
      <w:r>
        <w:rPr>
          <w:w w:val="105"/>
        </w:rPr>
        <w:t>as</w:t>
      </w:r>
      <w:r>
        <w:rPr>
          <w:spacing w:val="-20"/>
          <w:w w:val="105"/>
        </w:rPr>
        <w:t xml:space="preserve"> </w:t>
      </w:r>
      <w:r>
        <w:rPr>
          <w:w w:val="105"/>
        </w:rPr>
        <w:t>a</w:t>
      </w:r>
      <w:r>
        <w:rPr>
          <w:spacing w:val="-15"/>
          <w:w w:val="105"/>
        </w:rPr>
        <w:t xml:space="preserve"> </w:t>
      </w:r>
      <w:r>
        <w:rPr>
          <w:w w:val="105"/>
        </w:rPr>
        <w:t>child</w:t>
      </w:r>
      <w:r>
        <w:rPr>
          <w:spacing w:val="-13"/>
          <w:w w:val="105"/>
        </w:rPr>
        <w:t xml:space="preserve"> </w:t>
      </w:r>
      <w:r>
        <w:rPr>
          <w:w w:val="105"/>
        </w:rPr>
        <w:t>that</w:t>
      </w:r>
      <w:r>
        <w:rPr>
          <w:spacing w:val="-11"/>
          <w:w w:val="105"/>
        </w:rPr>
        <w:t xml:space="preserve"> </w:t>
      </w:r>
      <w:r>
        <w:rPr>
          <w:w w:val="105"/>
        </w:rPr>
        <w:t>met</w:t>
      </w:r>
      <w:r>
        <w:rPr>
          <w:spacing w:val="-16"/>
          <w:w w:val="105"/>
        </w:rPr>
        <w:t xml:space="preserve"> </w:t>
      </w:r>
      <w:r>
        <w:rPr>
          <w:w w:val="105"/>
        </w:rPr>
        <w:t>full</w:t>
      </w:r>
      <w:r>
        <w:rPr>
          <w:spacing w:val="-19"/>
          <w:w w:val="105"/>
        </w:rPr>
        <w:t xml:space="preserve"> </w:t>
      </w:r>
      <w:r>
        <w:rPr>
          <w:w w:val="105"/>
        </w:rPr>
        <w:t>criteria</w:t>
      </w:r>
      <w:r>
        <w:rPr>
          <w:spacing w:val="-1"/>
          <w:w w:val="101"/>
        </w:rPr>
        <w:t xml:space="preserve"> </w:t>
      </w:r>
      <w:r>
        <w:rPr>
          <w:w w:val="105"/>
        </w:rPr>
        <w:t>for a disorder, but now presents with an attenuated or residual form, the</w:t>
      </w:r>
      <w:r>
        <w:rPr>
          <w:spacing w:val="36"/>
          <w:w w:val="105"/>
        </w:rPr>
        <w:t xml:space="preserve"> </w:t>
      </w:r>
      <w:r>
        <w:rPr>
          <w:w w:val="105"/>
        </w:rPr>
        <w:t>In</w:t>
      </w:r>
      <w:r>
        <w:rPr>
          <w:spacing w:val="34"/>
          <w:w w:val="105"/>
        </w:rPr>
        <w:t xml:space="preserve"> </w:t>
      </w:r>
      <w:r>
        <w:rPr>
          <w:w w:val="105"/>
        </w:rPr>
        <w:t>Partial</w:t>
      </w:r>
      <w:r>
        <w:rPr>
          <w:spacing w:val="-1"/>
          <w:w w:val="101"/>
        </w:rPr>
        <w:t xml:space="preserve"> </w:t>
      </w:r>
      <w:r>
        <w:rPr>
          <w:w w:val="105"/>
        </w:rPr>
        <w:t>Remission specifier may be indicated (e.g.,</w:t>
      </w:r>
      <w:r>
        <w:rPr>
          <w:spacing w:val="25"/>
          <w:w w:val="105"/>
        </w:rPr>
        <w:t xml:space="preserve"> </w:t>
      </w:r>
      <w:r>
        <w:rPr>
          <w:w w:val="105"/>
        </w:rPr>
        <w:t>Attention-Deficit/Hyperactivity</w:t>
      </w:r>
      <w:r>
        <w:rPr>
          <w:spacing w:val="24"/>
          <w:w w:val="105"/>
        </w:rPr>
        <w:t xml:space="preserve"> </w:t>
      </w:r>
      <w:r>
        <w:rPr>
          <w:w w:val="105"/>
        </w:rPr>
        <w:t>Disorder,</w:t>
      </w:r>
      <w:r>
        <w:rPr>
          <w:spacing w:val="-1"/>
          <w:w w:val="103"/>
        </w:rPr>
        <w:t xml:space="preserve"> </w:t>
      </w:r>
      <w:r>
        <w:rPr>
          <w:w w:val="105"/>
        </w:rPr>
        <w:t>Combined</w:t>
      </w:r>
      <w:r>
        <w:rPr>
          <w:spacing w:val="-11"/>
          <w:w w:val="105"/>
        </w:rPr>
        <w:t xml:space="preserve"> </w:t>
      </w:r>
      <w:r>
        <w:rPr>
          <w:w w:val="105"/>
        </w:rPr>
        <w:t>Type,</w:t>
      </w:r>
      <w:r>
        <w:rPr>
          <w:spacing w:val="-7"/>
          <w:w w:val="105"/>
        </w:rPr>
        <w:t xml:space="preserve"> </w:t>
      </w:r>
      <w:r>
        <w:rPr>
          <w:w w:val="105"/>
        </w:rPr>
        <w:t>In</w:t>
      </w:r>
      <w:r>
        <w:rPr>
          <w:spacing w:val="-11"/>
          <w:w w:val="105"/>
        </w:rPr>
        <w:t xml:space="preserve"> </w:t>
      </w:r>
      <w:r>
        <w:rPr>
          <w:w w:val="105"/>
        </w:rPr>
        <w:t>Partial</w:t>
      </w:r>
      <w:r>
        <w:rPr>
          <w:spacing w:val="-4"/>
          <w:w w:val="105"/>
        </w:rPr>
        <w:t xml:space="preserve"> </w:t>
      </w:r>
      <w:r>
        <w:rPr>
          <w:w w:val="105"/>
        </w:rPr>
        <w:t>Remission).</w:t>
      </w:r>
      <w:r>
        <w:rPr>
          <w:spacing w:val="6"/>
          <w:w w:val="105"/>
        </w:rPr>
        <w:t xml:space="preserve"> </w:t>
      </w:r>
      <w:r>
        <w:rPr>
          <w:w w:val="105"/>
        </w:rPr>
        <w:t>For</w:t>
      </w:r>
      <w:r>
        <w:rPr>
          <w:spacing w:val="-10"/>
          <w:w w:val="105"/>
        </w:rPr>
        <w:t xml:space="preserve"> </w:t>
      </w:r>
      <w:r>
        <w:rPr>
          <w:w w:val="105"/>
        </w:rPr>
        <w:t>most</w:t>
      </w:r>
      <w:r>
        <w:rPr>
          <w:spacing w:val="-14"/>
          <w:w w:val="105"/>
        </w:rPr>
        <w:t xml:space="preserve"> </w:t>
      </w:r>
      <w:r>
        <w:rPr>
          <w:w w:val="105"/>
        </w:rPr>
        <w:t>(but</w:t>
      </w:r>
      <w:r>
        <w:rPr>
          <w:spacing w:val="-7"/>
          <w:w w:val="105"/>
        </w:rPr>
        <w:t xml:space="preserve"> </w:t>
      </w:r>
      <w:r>
        <w:rPr>
          <w:w w:val="105"/>
        </w:rPr>
        <w:t>not</w:t>
      </w:r>
      <w:r>
        <w:rPr>
          <w:spacing w:val="-10"/>
          <w:w w:val="105"/>
        </w:rPr>
        <w:t xml:space="preserve"> </w:t>
      </w:r>
      <w:r>
        <w:rPr>
          <w:w w:val="105"/>
        </w:rPr>
        <w:t>all)</w:t>
      </w:r>
      <w:r>
        <w:rPr>
          <w:spacing w:val="-10"/>
          <w:w w:val="105"/>
        </w:rPr>
        <w:t xml:space="preserve"> </w:t>
      </w:r>
      <w:r>
        <w:rPr>
          <w:w w:val="105"/>
        </w:rPr>
        <w:t>DSM-IV</w:t>
      </w:r>
      <w:r>
        <w:rPr>
          <w:spacing w:val="-8"/>
          <w:w w:val="105"/>
        </w:rPr>
        <w:t xml:space="preserve"> </w:t>
      </w:r>
      <w:r>
        <w:rPr>
          <w:w w:val="105"/>
        </w:rPr>
        <w:t>disorders,</w:t>
      </w:r>
      <w:r>
        <w:rPr>
          <w:spacing w:val="-3"/>
          <w:w w:val="105"/>
        </w:rPr>
        <w:t xml:space="preserve"> </w:t>
      </w:r>
      <w:r>
        <w:rPr>
          <w:w w:val="105"/>
        </w:rPr>
        <w:t>a</w:t>
      </w:r>
      <w:r>
        <w:rPr>
          <w:spacing w:val="-16"/>
          <w:w w:val="105"/>
        </w:rPr>
        <w:t xml:space="preserve"> </w:t>
      </w:r>
      <w:r>
        <w:rPr>
          <w:w w:val="105"/>
        </w:rPr>
        <w:t>single</w:t>
      </w:r>
      <w:r>
        <w:rPr>
          <w:spacing w:val="-1"/>
          <w:w w:val="104"/>
        </w:rPr>
        <w:t xml:space="preserve"> </w:t>
      </w:r>
      <w:r>
        <w:rPr>
          <w:w w:val="105"/>
        </w:rPr>
        <w:t>criteria set is provided that applies to children, adolescents, and adults (e.g.,  if</w:t>
      </w:r>
      <w:r>
        <w:rPr>
          <w:spacing w:val="32"/>
          <w:w w:val="105"/>
        </w:rPr>
        <w:t xml:space="preserve"> </w:t>
      </w:r>
      <w:r>
        <w:rPr>
          <w:w w:val="105"/>
        </w:rPr>
        <w:t>a</w:t>
      </w:r>
      <w:r>
        <w:rPr>
          <w:spacing w:val="12"/>
          <w:w w:val="105"/>
        </w:rPr>
        <w:t xml:space="preserve"> </w:t>
      </w:r>
      <w:r>
        <w:rPr>
          <w:w w:val="105"/>
        </w:rPr>
        <w:t>child</w:t>
      </w:r>
      <w:r>
        <w:rPr>
          <w:spacing w:val="-1"/>
          <w:w w:val="104"/>
        </w:rPr>
        <w:t xml:space="preserve"> </w:t>
      </w:r>
      <w:r>
        <w:rPr>
          <w:w w:val="105"/>
        </w:rPr>
        <w:t>or adolescent has symptoms that meet the criteria for Major Depressive</w:t>
      </w:r>
      <w:r>
        <w:rPr>
          <w:spacing w:val="-7"/>
          <w:w w:val="105"/>
        </w:rPr>
        <w:t xml:space="preserve"> </w:t>
      </w:r>
      <w:r>
        <w:rPr>
          <w:w w:val="105"/>
        </w:rPr>
        <w:t>Disorder,</w:t>
      </w:r>
      <w:r>
        <w:rPr>
          <w:spacing w:val="22"/>
          <w:w w:val="105"/>
        </w:rPr>
        <w:t xml:space="preserve"> </w:t>
      </w:r>
      <w:r>
        <w:rPr>
          <w:w w:val="105"/>
        </w:rPr>
        <w:t>this</w:t>
      </w:r>
      <w:r>
        <w:rPr>
          <w:spacing w:val="-1"/>
          <w:w w:val="103"/>
        </w:rPr>
        <w:t xml:space="preserve"> </w:t>
      </w:r>
      <w:r>
        <w:rPr>
          <w:w w:val="105"/>
        </w:rPr>
        <w:t>diagnosis should be given, regardless of the individual's age). The variations</w:t>
      </w:r>
      <w:r>
        <w:rPr>
          <w:spacing w:val="48"/>
          <w:w w:val="105"/>
        </w:rPr>
        <w:t xml:space="preserve"> </w:t>
      </w:r>
      <w:r>
        <w:rPr>
          <w:w w:val="105"/>
        </w:rPr>
        <w:t>in</w:t>
      </w:r>
      <w:r>
        <w:rPr>
          <w:spacing w:val="33"/>
          <w:w w:val="105"/>
        </w:rPr>
        <w:t xml:space="preserve"> </w:t>
      </w:r>
      <w:r>
        <w:rPr>
          <w:w w:val="105"/>
        </w:rPr>
        <w:t>the</w:t>
      </w:r>
      <w:r>
        <w:rPr>
          <w:spacing w:val="-1"/>
          <w:w w:val="110"/>
        </w:rPr>
        <w:t xml:space="preserve"> </w:t>
      </w:r>
      <w:r>
        <w:rPr>
          <w:w w:val="105"/>
        </w:rPr>
        <w:t xml:space="preserve">presentation of a disorder that are attributable to an individual's </w:t>
      </w:r>
      <w:r>
        <w:rPr>
          <w:spacing w:val="32"/>
          <w:w w:val="105"/>
        </w:rPr>
        <w:t xml:space="preserve"> </w:t>
      </w:r>
      <w:r>
        <w:rPr>
          <w:w w:val="105"/>
        </w:rPr>
        <w:t>developmental</w:t>
      </w:r>
      <w:r>
        <w:rPr>
          <w:spacing w:val="43"/>
          <w:w w:val="105"/>
        </w:rPr>
        <w:t xml:space="preserve"> </w:t>
      </w:r>
      <w:r>
        <w:rPr>
          <w:w w:val="105"/>
        </w:rPr>
        <w:t>stage</w:t>
      </w:r>
      <w:r>
        <w:rPr>
          <w:spacing w:val="-1"/>
          <w:w w:val="106"/>
        </w:rPr>
        <w:t xml:space="preserve"> </w:t>
      </w:r>
      <w:r>
        <w:rPr>
          <w:w w:val="105"/>
        </w:rPr>
        <w:t>are described in a section in the text titled "Specific Culture, Age, and</w:t>
      </w:r>
      <w:r>
        <w:rPr>
          <w:spacing w:val="-37"/>
          <w:w w:val="105"/>
        </w:rPr>
        <w:t xml:space="preserve"> </w:t>
      </w:r>
      <w:r>
        <w:rPr>
          <w:w w:val="105"/>
        </w:rPr>
        <w:t>Gender Features."</w:t>
      </w:r>
    </w:p>
    <w:p w:rsidR="00E675F0" w:rsidRDefault="00E675F0" w:rsidP="00E675F0">
      <w:pPr>
        <w:pStyle w:val="BodyText"/>
        <w:spacing w:before="20" w:line="261" w:lineRule="auto"/>
        <w:ind w:left="130" w:right="132" w:hanging="6"/>
        <w:jc w:val="both"/>
      </w:pPr>
      <w:r>
        <w:rPr>
          <w:w w:val="105"/>
        </w:rPr>
        <w:t>Specific</w:t>
      </w:r>
      <w:r>
        <w:rPr>
          <w:spacing w:val="-8"/>
          <w:w w:val="105"/>
        </w:rPr>
        <w:t xml:space="preserve"> </w:t>
      </w:r>
      <w:r>
        <w:rPr>
          <w:w w:val="105"/>
        </w:rPr>
        <w:t>issues</w:t>
      </w:r>
      <w:r>
        <w:rPr>
          <w:spacing w:val="-7"/>
          <w:w w:val="105"/>
        </w:rPr>
        <w:t xml:space="preserve"> </w:t>
      </w:r>
      <w:r>
        <w:rPr>
          <w:w w:val="105"/>
        </w:rPr>
        <w:t>related</w:t>
      </w:r>
      <w:r>
        <w:rPr>
          <w:spacing w:val="-5"/>
          <w:w w:val="105"/>
        </w:rPr>
        <w:t xml:space="preserve"> </w:t>
      </w:r>
      <w:r>
        <w:rPr>
          <w:w w:val="105"/>
        </w:rPr>
        <w:t>to</w:t>
      </w:r>
      <w:r>
        <w:rPr>
          <w:spacing w:val="-10"/>
          <w:w w:val="105"/>
        </w:rPr>
        <w:t xml:space="preserve"> </w:t>
      </w:r>
      <w:r>
        <w:rPr>
          <w:w w:val="105"/>
        </w:rPr>
        <w:t>the</w:t>
      </w:r>
      <w:r>
        <w:rPr>
          <w:spacing w:val="-17"/>
          <w:w w:val="105"/>
        </w:rPr>
        <w:t xml:space="preserve"> </w:t>
      </w:r>
      <w:r>
        <w:rPr>
          <w:w w:val="105"/>
        </w:rPr>
        <w:t>diagnosis</w:t>
      </w:r>
      <w:r>
        <w:rPr>
          <w:spacing w:val="-7"/>
          <w:w w:val="105"/>
        </w:rPr>
        <w:t xml:space="preserve"> </w:t>
      </w:r>
      <w:r>
        <w:rPr>
          <w:w w:val="105"/>
        </w:rPr>
        <w:t>of</w:t>
      </w:r>
      <w:r>
        <w:rPr>
          <w:spacing w:val="-7"/>
          <w:w w:val="105"/>
        </w:rPr>
        <w:t xml:space="preserve"> </w:t>
      </w:r>
      <w:r>
        <w:rPr>
          <w:w w:val="105"/>
        </w:rPr>
        <w:t>Personality</w:t>
      </w:r>
      <w:r>
        <w:rPr>
          <w:spacing w:val="-1"/>
          <w:w w:val="105"/>
        </w:rPr>
        <w:t xml:space="preserve"> </w:t>
      </w:r>
      <w:r>
        <w:rPr>
          <w:w w:val="105"/>
        </w:rPr>
        <w:t>Disorders</w:t>
      </w:r>
      <w:r>
        <w:rPr>
          <w:spacing w:val="-5"/>
          <w:w w:val="105"/>
        </w:rPr>
        <w:t xml:space="preserve"> </w:t>
      </w:r>
      <w:r>
        <w:rPr>
          <w:w w:val="105"/>
        </w:rPr>
        <w:t>in</w:t>
      </w:r>
      <w:r>
        <w:rPr>
          <w:spacing w:val="-19"/>
          <w:w w:val="105"/>
        </w:rPr>
        <w:t xml:space="preserve"> </w:t>
      </w:r>
      <w:r>
        <w:rPr>
          <w:w w:val="105"/>
        </w:rPr>
        <w:t>children</w:t>
      </w:r>
      <w:r>
        <w:rPr>
          <w:spacing w:val="-3"/>
          <w:w w:val="105"/>
        </w:rPr>
        <w:t xml:space="preserve"> </w:t>
      </w:r>
      <w:r>
        <w:rPr>
          <w:w w:val="105"/>
        </w:rPr>
        <w:t>or</w:t>
      </w:r>
      <w:r>
        <w:rPr>
          <w:spacing w:val="-13"/>
          <w:w w:val="105"/>
        </w:rPr>
        <w:t xml:space="preserve"> </w:t>
      </w:r>
      <w:r>
        <w:rPr>
          <w:w w:val="105"/>
        </w:rPr>
        <w:t>adolescents are discussed on p.</w:t>
      </w:r>
      <w:r>
        <w:rPr>
          <w:spacing w:val="2"/>
          <w:w w:val="105"/>
        </w:rPr>
        <w:t xml:space="preserve"> </w:t>
      </w:r>
      <w:r>
        <w:rPr>
          <w:w w:val="105"/>
        </w:rPr>
        <w:t>631.</w:t>
      </w:r>
    </w:p>
    <w:p w:rsidR="00E675F0" w:rsidRDefault="00E675F0" w:rsidP="00E675F0">
      <w:pPr>
        <w:pStyle w:val="BodyText"/>
        <w:spacing w:line="224" w:lineRule="exact"/>
        <w:ind w:left="482"/>
      </w:pPr>
      <w:r>
        <w:rPr>
          <w:w w:val="105"/>
        </w:rPr>
        <w:t>The following disorders are included in this section:</w:t>
      </w:r>
    </w:p>
    <w:p w:rsidR="00E675F0" w:rsidRDefault="00E675F0" w:rsidP="00E675F0">
      <w:pPr>
        <w:pStyle w:val="BodyText"/>
        <w:spacing w:before="8"/>
        <w:rPr>
          <w:sz w:val="24"/>
        </w:rPr>
      </w:pPr>
    </w:p>
    <w:p w:rsidR="00E675F0" w:rsidRDefault="00E675F0" w:rsidP="00E675F0">
      <w:pPr>
        <w:spacing w:before="1" w:line="254" w:lineRule="auto"/>
        <w:ind w:left="130" w:right="130" w:hanging="2"/>
        <w:jc w:val="both"/>
        <w:rPr>
          <w:b/>
          <w:sz w:val="20"/>
        </w:rPr>
      </w:pPr>
      <w:r>
        <w:rPr>
          <w:b/>
          <w:w w:val="105"/>
          <w:sz w:val="20"/>
        </w:rPr>
        <w:t xml:space="preserve">Mental Retardation. </w:t>
      </w:r>
      <w:r>
        <w:rPr>
          <w:w w:val="105"/>
          <w:sz w:val="20"/>
        </w:rPr>
        <w:t xml:space="preserve">This disorder is characterized by significantly subaverage intel­ lectual functioning (an IQ of approximately 70 or below) with onset before age 18 years and concurrent deficits or impairments in adaptive functioning. Separate codes are provided for </w:t>
      </w:r>
      <w:r>
        <w:rPr>
          <w:b/>
          <w:w w:val="105"/>
          <w:sz w:val="20"/>
        </w:rPr>
        <w:t xml:space="preserve">Mild, Moderate, Severe, </w:t>
      </w:r>
      <w:r>
        <w:rPr>
          <w:w w:val="105"/>
          <w:sz w:val="20"/>
        </w:rPr>
        <w:t xml:space="preserve">and </w:t>
      </w:r>
      <w:r>
        <w:rPr>
          <w:b/>
          <w:w w:val="105"/>
          <w:sz w:val="20"/>
        </w:rPr>
        <w:t xml:space="preserve">Profound Mental Retardation </w:t>
      </w:r>
      <w:r>
        <w:rPr>
          <w:w w:val="105"/>
          <w:sz w:val="20"/>
        </w:rPr>
        <w:t xml:space="preserve">and for </w:t>
      </w:r>
      <w:r>
        <w:rPr>
          <w:b/>
          <w:w w:val="105"/>
          <w:sz w:val="20"/>
        </w:rPr>
        <w:t>Mental Retardation, Severity</w:t>
      </w:r>
      <w:r>
        <w:rPr>
          <w:b/>
          <w:spacing w:val="3"/>
          <w:w w:val="105"/>
          <w:sz w:val="20"/>
        </w:rPr>
        <w:t xml:space="preserve"> </w:t>
      </w:r>
      <w:r>
        <w:rPr>
          <w:b/>
          <w:w w:val="105"/>
          <w:sz w:val="20"/>
        </w:rPr>
        <w:t>Unspecified.</w:t>
      </w:r>
    </w:p>
    <w:p w:rsidR="00E675F0" w:rsidRDefault="00E675F0" w:rsidP="00E675F0">
      <w:pPr>
        <w:pStyle w:val="BodyText"/>
        <w:spacing w:before="6"/>
        <w:rPr>
          <w:b/>
          <w:sz w:val="17"/>
        </w:rPr>
      </w:pPr>
      <w:r>
        <w:rPr>
          <w:noProof/>
        </w:rPr>
        <mc:AlternateContent>
          <mc:Choice Requires="wps">
            <w:drawing>
              <wp:anchor distT="0" distB="0" distL="0" distR="0" simplePos="0" relativeHeight="251835392" behindDoc="1" locked="0" layoutInCell="1" allowOverlap="1" wp14:anchorId="05731415" wp14:editId="2AD61790">
                <wp:simplePos x="0" y="0"/>
                <wp:positionH relativeFrom="page">
                  <wp:posOffset>465455</wp:posOffset>
                </wp:positionH>
                <wp:positionV relativeFrom="paragraph">
                  <wp:posOffset>156210</wp:posOffset>
                </wp:positionV>
                <wp:extent cx="4753610" cy="1270"/>
                <wp:effectExtent l="0" t="0" r="0" b="0"/>
                <wp:wrapTopAndBottom/>
                <wp:docPr id="1661" name="Freeform 16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53610" cy="1270"/>
                        </a:xfrm>
                        <a:custGeom>
                          <a:avLst/>
                          <a:gdLst>
                            <a:gd name="T0" fmla="+- 0 733 733"/>
                            <a:gd name="T1" fmla="*/ T0 w 7486"/>
                            <a:gd name="T2" fmla="+- 0 8218 733"/>
                            <a:gd name="T3" fmla="*/ T2 w 7486"/>
                          </a:gdLst>
                          <a:ahLst/>
                          <a:cxnLst>
                            <a:cxn ang="0">
                              <a:pos x="T1" y="0"/>
                            </a:cxn>
                            <a:cxn ang="0">
                              <a:pos x="T3" y="0"/>
                            </a:cxn>
                          </a:cxnLst>
                          <a:rect l="0" t="0" r="r" b="b"/>
                          <a:pathLst>
                            <a:path w="7486">
                              <a:moveTo>
                                <a:pt x="0" y="0"/>
                              </a:moveTo>
                              <a:lnTo>
                                <a:pt x="7485" y="0"/>
                              </a:lnTo>
                            </a:path>
                          </a:pathLst>
                        </a:custGeom>
                        <a:noFill/>
                        <a:ln w="6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E1C7AD" id="Freeform 1617" o:spid="_x0000_s1026" style="position:absolute;margin-left:36.65pt;margin-top:12.3pt;width:374.3pt;height:.1pt;z-index:-251481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486,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" path="m,l7485,e" filled="f" strokeweight=".16958mm">
                <v:path arrowok="t" o:connecttype="custom" o:connectlocs="0,0;4752975,0" o:connectangles="0,0"/>
                <w10:wrap type="topAndBottom" anchorx="page"/>
              </v:shape>
            </w:pict>
          </mc:Fallback>
        </mc:AlternateContent>
      </w:r>
    </w:p>
    <w:p w:rsidR="00E675F0" w:rsidRDefault="00E675F0" w:rsidP="00E675F0">
      <w:pPr>
        <w:spacing w:before="33"/>
        <w:ind w:left="33" w:right="7"/>
        <w:jc w:val="center"/>
        <w:rPr>
          <w:rFonts w:ascii="Arial"/>
          <w:b/>
        </w:rPr>
      </w:pPr>
      <w:r>
        <w:rPr>
          <w:rFonts w:ascii="Arial"/>
          <w:b/>
          <w:w w:val="105"/>
        </w:rPr>
        <w:t>37</w:t>
      </w:r>
    </w:p>
    <w:p w:rsidR="00E675F0" w:rsidRDefault="00E675F0" w:rsidP="00E675F0">
      <w:pPr>
        <w:jc w:val="center"/>
        <w:rPr>
          <w:rFonts w:ascii="Arial"/>
        </w:rPr>
        <w:sectPr w:rsidR="00E675F0">
          <w:headerReference w:type="even" r:id="rId52"/>
          <w:pgSz w:w="8960" w:h="14260"/>
          <w:pgMar w:top="1340" w:right="620" w:bottom="280" w:left="600" w:header="0" w:footer="0" w:gutter="0"/>
          <w:cols w:space="720"/>
        </w:sectPr>
      </w:pPr>
    </w:p>
    <w:p w:rsidR="00E675F0" w:rsidRDefault="00E675F0" w:rsidP="00E675F0">
      <w:pPr>
        <w:spacing w:before="127" w:line="256" w:lineRule="auto"/>
        <w:ind w:left="119" w:right="129" w:firstLine="4"/>
        <w:jc w:val="both"/>
        <w:rPr>
          <w:b/>
          <w:sz w:val="20"/>
        </w:rPr>
      </w:pPr>
      <w:r>
        <w:rPr>
          <w:b/>
          <w:w w:val="110"/>
          <w:sz w:val="20"/>
        </w:rPr>
        <w:lastRenderedPageBreak/>
        <w:t>Learning</w:t>
      </w:r>
      <w:r>
        <w:rPr>
          <w:b/>
          <w:spacing w:val="-19"/>
          <w:w w:val="110"/>
          <w:sz w:val="20"/>
        </w:rPr>
        <w:t xml:space="preserve"> </w:t>
      </w:r>
      <w:r>
        <w:rPr>
          <w:b/>
          <w:w w:val="110"/>
          <w:sz w:val="20"/>
        </w:rPr>
        <w:t>Disorders.</w:t>
      </w:r>
      <w:r>
        <w:rPr>
          <w:b/>
          <w:spacing w:val="54"/>
          <w:w w:val="110"/>
          <w:sz w:val="20"/>
        </w:rPr>
        <w:t xml:space="preserve"> </w:t>
      </w:r>
      <w:r>
        <w:rPr>
          <w:w w:val="110"/>
          <w:sz w:val="20"/>
        </w:rPr>
        <w:t>These</w:t>
      </w:r>
      <w:r>
        <w:rPr>
          <w:spacing w:val="-22"/>
          <w:w w:val="110"/>
          <w:sz w:val="20"/>
        </w:rPr>
        <w:t xml:space="preserve"> </w:t>
      </w:r>
      <w:r>
        <w:rPr>
          <w:w w:val="110"/>
          <w:sz w:val="20"/>
        </w:rPr>
        <w:t>disorders</w:t>
      </w:r>
      <w:r>
        <w:rPr>
          <w:spacing w:val="-22"/>
          <w:w w:val="110"/>
          <w:sz w:val="20"/>
        </w:rPr>
        <w:t xml:space="preserve"> </w:t>
      </w:r>
      <w:r>
        <w:rPr>
          <w:w w:val="110"/>
          <w:sz w:val="20"/>
        </w:rPr>
        <w:t>are</w:t>
      </w:r>
      <w:r>
        <w:rPr>
          <w:spacing w:val="-23"/>
          <w:w w:val="110"/>
          <w:sz w:val="20"/>
        </w:rPr>
        <w:t xml:space="preserve"> </w:t>
      </w:r>
      <w:r>
        <w:rPr>
          <w:w w:val="110"/>
          <w:sz w:val="20"/>
        </w:rPr>
        <w:t>characterized</w:t>
      </w:r>
      <w:r>
        <w:rPr>
          <w:spacing w:val="-8"/>
          <w:w w:val="110"/>
          <w:sz w:val="20"/>
        </w:rPr>
        <w:t xml:space="preserve"> </w:t>
      </w:r>
      <w:r>
        <w:rPr>
          <w:w w:val="110"/>
          <w:sz w:val="20"/>
        </w:rPr>
        <w:t>by</w:t>
      </w:r>
      <w:r>
        <w:rPr>
          <w:spacing w:val="-27"/>
          <w:w w:val="110"/>
          <w:sz w:val="20"/>
        </w:rPr>
        <w:t xml:space="preserve"> </w:t>
      </w:r>
      <w:r>
        <w:rPr>
          <w:w w:val="110"/>
          <w:sz w:val="20"/>
        </w:rPr>
        <w:t>academic</w:t>
      </w:r>
      <w:r>
        <w:rPr>
          <w:spacing w:val="-22"/>
          <w:w w:val="110"/>
          <w:sz w:val="20"/>
        </w:rPr>
        <w:t xml:space="preserve"> </w:t>
      </w:r>
      <w:r>
        <w:rPr>
          <w:w w:val="110"/>
          <w:sz w:val="20"/>
        </w:rPr>
        <w:t>functioning</w:t>
      </w:r>
      <w:r>
        <w:rPr>
          <w:spacing w:val="-13"/>
          <w:w w:val="110"/>
          <w:sz w:val="20"/>
        </w:rPr>
        <w:t xml:space="preserve"> </w:t>
      </w:r>
      <w:r>
        <w:rPr>
          <w:w w:val="110"/>
          <w:sz w:val="20"/>
        </w:rPr>
        <w:t>that is substantially below that expected given the person's chronological age, measured intelligence, and age-appropriate education. The specific disorders included in this section</w:t>
      </w:r>
      <w:r>
        <w:rPr>
          <w:spacing w:val="-19"/>
          <w:w w:val="110"/>
          <w:sz w:val="20"/>
        </w:rPr>
        <w:t xml:space="preserve"> </w:t>
      </w:r>
      <w:r>
        <w:rPr>
          <w:w w:val="110"/>
          <w:sz w:val="20"/>
        </w:rPr>
        <w:t>are</w:t>
      </w:r>
      <w:r>
        <w:rPr>
          <w:spacing w:val="-23"/>
          <w:w w:val="110"/>
          <w:sz w:val="20"/>
        </w:rPr>
        <w:t xml:space="preserve"> </w:t>
      </w:r>
      <w:r>
        <w:rPr>
          <w:b/>
          <w:w w:val="110"/>
          <w:sz w:val="20"/>
        </w:rPr>
        <w:t>Reading</w:t>
      </w:r>
      <w:r>
        <w:rPr>
          <w:b/>
          <w:spacing w:val="-29"/>
          <w:w w:val="110"/>
          <w:sz w:val="20"/>
        </w:rPr>
        <w:t xml:space="preserve"> </w:t>
      </w:r>
      <w:r>
        <w:rPr>
          <w:b/>
          <w:w w:val="110"/>
          <w:sz w:val="20"/>
        </w:rPr>
        <w:t>Disorder,</w:t>
      </w:r>
      <w:r>
        <w:rPr>
          <w:b/>
          <w:spacing w:val="-21"/>
          <w:w w:val="110"/>
          <w:sz w:val="20"/>
        </w:rPr>
        <w:t xml:space="preserve"> </w:t>
      </w:r>
      <w:r>
        <w:rPr>
          <w:b/>
          <w:w w:val="110"/>
          <w:sz w:val="20"/>
        </w:rPr>
        <w:t>Mathematics</w:t>
      </w:r>
      <w:r>
        <w:rPr>
          <w:b/>
          <w:spacing w:val="-17"/>
          <w:w w:val="110"/>
          <w:sz w:val="20"/>
        </w:rPr>
        <w:t xml:space="preserve"> </w:t>
      </w:r>
      <w:r>
        <w:rPr>
          <w:b/>
          <w:w w:val="110"/>
          <w:sz w:val="20"/>
        </w:rPr>
        <w:t>Disorder,</w:t>
      </w:r>
      <w:r>
        <w:rPr>
          <w:b/>
          <w:spacing w:val="-19"/>
          <w:w w:val="110"/>
          <w:sz w:val="20"/>
        </w:rPr>
        <w:t xml:space="preserve"> </w:t>
      </w:r>
      <w:r>
        <w:rPr>
          <w:b/>
          <w:w w:val="110"/>
          <w:sz w:val="20"/>
        </w:rPr>
        <w:t>Disorder</w:t>
      </w:r>
      <w:r>
        <w:rPr>
          <w:b/>
          <w:spacing w:val="-30"/>
          <w:w w:val="110"/>
          <w:sz w:val="20"/>
        </w:rPr>
        <w:t xml:space="preserve"> </w:t>
      </w:r>
      <w:r>
        <w:rPr>
          <w:b/>
          <w:w w:val="110"/>
          <w:sz w:val="20"/>
        </w:rPr>
        <w:t>of</w:t>
      </w:r>
      <w:r>
        <w:rPr>
          <w:b/>
          <w:spacing w:val="-23"/>
          <w:w w:val="110"/>
          <w:sz w:val="20"/>
        </w:rPr>
        <w:t xml:space="preserve"> </w:t>
      </w:r>
      <w:r>
        <w:rPr>
          <w:b/>
          <w:w w:val="110"/>
          <w:sz w:val="20"/>
        </w:rPr>
        <w:t>Written</w:t>
      </w:r>
      <w:r>
        <w:rPr>
          <w:b/>
          <w:spacing w:val="-30"/>
          <w:w w:val="110"/>
          <w:sz w:val="20"/>
        </w:rPr>
        <w:t xml:space="preserve"> </w:t>
      </w:r>
      <w:r>
        <w:rPr>
          <w:b/>
          <w:w w:val="110"/>
          <w:sz w:val="20"/>
        </w:rPr>
        <w:t xml:space="preserve">Expres­ sion, </w:t>
      </w:r>
      <w:r>
        <w:rPr>
          <w:w w:val="110"/>
          <w:sz w:val="20"/>
        </w:rPr>
        <w:t xml:space="preserve">and </w:t>
      </w:r>
      <w:r>
        <w:rPr>
          <w:b/>
          <w:w w:val="110"/>
          <w:sz w:val="20"/>
        </w:rPr>
        <w:t>Learning Disorder Not Otherwise</w:t>
      </w:r>
      <w:r>
        <w:rPr>
          <w:b/>
          <w:spacing w:val="-19"/>
          <w:w w:val="110"/>
          <w:sz w:val="20"/>
        </w:rPr>
        <w:t xml:space="preserve"> </w:t>
      </w:r>
      <w:r>
        <w:rPr>
          <w:b/>
          <w:w w:val="110"/>
          <w:sz w:val="20"/>
        </w:rPr>
        <w:t>Specified.</w:t>
      </w:r>
    </w:p>
    <w:p w:rsidR="00E675F0" w:rsidRDefault="00E675F0" w:rsidP="00E675F0">
      <w:pPr>
        <w:pStyle w:val="BodyText"/>
        <w:spacing w:before="10"/>
        <w:rPr>
          <w:b/>
          <w:sz w:val="23"/>
        </w:rPr>
      </w:pPr>
    </w:p>
    <w:p w:rsidR="00E675F0" w:rsidRDefault="00E675F0" w:rsidP="00E675F0">
      <w:pPr>
        <w:spacing w:line="256" w:lineRule="auto"/>
        <w:ind w:left="120" w:right="136" w:hanging="3"/>
        <w:jc w:val="both"/>
        <w:rPr>
          <w:sz w:val="20"/>
        </w:rPr>
      </w:pPr>
      <w:r>
        <w:rPr>
          <w:b/>
          <w:w w:val="105"/>
          <w:sz w:val="20"/>
        </w:rPr>
        <w:t xml:space="preserve">Motor Skills Disorder. </w:t>
      </w:r>
      <w:r>
        <w:rPr>
          <w:w w:val="105"/>
          <w:sz w:val="20"/>
        </w:rPr>
        <w:t xml:space="preserve">This  includes  </w:t>
      </w:r>
      <w:r>
        <w:rPr>
          <w:b/>
          <w:w w:val="105"/>
          <w:sz w:val="20"/>
        </w:rPr>
        <w:t xml:space="preserve">Developmental  Coordination  Disorder, </w:t>
      </w:r>
      <w:r>
        <w:rPr>
          <w:w w:val="105"/>
          <w:sz w:val="20"/>
        </w:rPr>
        <w:t>which is characterized by motor coordination that is substantially below that expected given the person's chronological age and measured</w:t>
      </w:r>
      <w:r>
        <w:rPr>
          <w:spacing w:val="11"/>
          <w:w w:val="105"/>
          <w:sz w:val="20"/>
        </w:rPr>
        <w:t xml:space="preserve"> </w:t>
      </w:r>
      <w:r>
        <w:rPr>
          <w:w w:val="105"/>
          <w:sz w:val="20"/>
        </w:rPr>
        <w:t>intelligence.</w:t>
      </w:r>
    </w:p>
    <w:p w:rsidR="00E675F0" w:rsidRDefault="00E675F0" w:rsidP="00E675F0">
      <w:pPr>
        <w:pStyle w:val="BodyText"/>
        <w:rPr>
          <w:sz w:val="24"/>
        </w:rPr>
      </w:pPr>
    </w:p>
    <w:p w:rsidR="00E675F0" w:rsidRDefault="00E675F0" w:rsidP="00E675F0">
      <w:pPr>
        <w:spacing w:line="256" w:lineRule="auto"/>
        <w:ind w:left="120" w:right="123" w:hanging="1"/>
        <w:jc w:val="both"/>
        <w:rPr>
          <w:b/>
          <w:sz w:val="20"/>
        </w:rPr>
      </w:pPr>
      <w:r>
        <w:rPr>
          <w:b/>
          <w:w w:val="110"/>
          <w:sz w:val="20"/>
        </w:rPr>
        <w:t xml:space="preserve">Communication Disorders. </w:t>
      </w:r>
      <w:r>
        <w:rPr>
          <w:w w:val="110"/>
          <w:sz w:val="20"/>
        </w:rPr>
        <w:t xml:space="preserve">These disorders are characterized by difficulties in speech or language and include </w:t>
      </w:r>
      <w:r>
        <w:rPr>
          <w:b/>
          <w:w w:val="110"/>
          <w:sz w:val="20"/>
        </w:rPr>
        <w:t xml:space="preserve">Expressive Language Disorder, Mixed Receptive­ Expressive Language Disorder, Phonological Disorder, Stuttering, </w:t>
      </w:r>
      <w:r>
        <w:rPr>
          <w:w w:val="110"/>
          <w:sz w:val="20"/>
        </w:rPr>
        <w:t xml:space="preserve">and </w:t>
      </w:r>
      <w:r>
        <w:rPr>
          <w:b/>
          <w:w w:val="110"/>
          <w:sz w:val="20"/>
        </w:rPr>
        <w:t>Commu­ nication Disorder Not Otherwise Specified.</w:t>
      </w:r>
    </w:p>
    <w:p w:rsidR="00E675F0" w:rsidRDefault="00E675F0" w:rsidP="00E675F0">
      <w:pPr>
        <w:pStyle w:val="BodyText"/>
        <w:spacing w:before="10"/>
        <w:rPr>
          <w:b/>
          <w:sz w:val="23"/>
        </w:rPr>
      </w:pPr>
    </w:p>
    <w:p w:rsidR="00E675F0" w:rsidRDefault="00E675F0" w:rsidP="00E675F0">
      <w:pPr>
        <w:spacing w:line="254" w:lineRule="auto"/>
        <w:ind w:left="119" w:right="124" w:firstLine="2"/>
        <w:jc w:val="both"/>
        <w:rPr>
          <w:b/>
          <w:sz w:val="20"/>
        </w:rPr>
      </w:pPr>
      <w:r>
        <w:rPr>
          <w:b/>
          <w:w w:val="105"/>
          <w:sz w:val="20"/>
        </w:rPr>
        <w:t xml:space="preserve">Pervasive Developmental Disorders. </w:t>
      </w:r>
      <w:r>
        <w:rPr>
          <w:w w:val="105"/>
          <w:sz w:val="20"/>
        </w:rPr>
        <w:t xml:space="preserve">These disorders are characterized by severe deficits and pervasive impairment in multiple areas of development. These include impairment in reciprocal social interaction, impairment in communication, and the presence of stereotyped behavior, interests, and activities. The specific disorders included in this section are </w:t>
      </w:r>
      <w:r>
        <w:rPr>
          <w:b/>
          <w:w w:val="105"/>
          <w:sz w:val="20"/>
        </w:rPr>
        <w:t xml:space="preserve">Autistic Disorder, Rett's Disorder, Childhood Disinte­ grative Disorder, Asperger's Disorder,  </w:t>
      </w:r>
      <w:r>
        <w:rPr>
          <w:w w:val="105"/>
          <w:sz w:val="20"/>
        </w:rPr>
        <w:t xml:space="preserve">and  </w:t>
      </w:r>
      <w:r>
        <w:rPr>
          <w:b/>
          <w:w w:val="105"/>
          <w:sz w:val="20"/>
        </w:rPr>
        <w:t>Pervasive  Developmental  Disorder Not Otherwise</w:t>
      </w:r>
      <w:r>
        <w:rPr>
          <w:b/>
          <w:spacing w:val="-8"/>
          <w:w w:val="105"/>
          <w:sz w:val="20"/>
        </w:rPr>
        <w:t xml:space="preserve"> </w:t>
      </w:r>
      <w:r>
        <w:rPr>
          <w:b/>
          <w:w w:val="105"/>
          <w:sz w:val="20"/>
        </w:rPr>
        <w:t>Specified.</w:t>
      </w:r>
    </w:p>
    <w:p w:rsidR="00E675F0" w:rsidRDefault="00E675F0" w:rsidP="00E675F0">
      <w:pPr>
        <w:pStyle w:val="BodyText"/>
        <w:spacing w:before="3"/>
        <w:rPr>
          <w:b/>
          <w:sz w:val="24"/>
        </w:rPr>
      </w:pPr>
    </w:p>
    <w:p w:rsidR="00E675F0" w:rsidRDefault="00E675F0" w:rsidP="00E675F0">
      <w:pPr>
        <w:spacing w:line="252" w:lineRule="auto"/>
        <w:ind w:left="122" w:right="115" w:hanging="7"/>
        <w:jc w:val="both"/>
        <w:rPr>
          <w:b/>
          <w:sz w:val="20"/>
        </w:rPr>
      </w:pPr>
      <w:r>
        <w:rPr>
          <w:b/>
          <w:w w:val="110"/>
          <w:sz w:val="20"/>
        </w:rPr>
        <w:t xml:space="preserve">Attention-Deficit and Disruptive Behavior Disorders. </w:t>
      </w:r>
      <w:r>
        <w:rPr>
          <w:w w:val="110"/>
          <w:sz w:val="20"/>
        </w:rPr>
        <w:t xml:space="preserve">This section includes </w:t>
      </w:r>
      <w:r>
        <w:rPr>
          <w:b/>
          <w:w w:val="110"/>
          <w:sz w:val="20"/>
        </w:rPr>
        <w:t xml:space="preserve">At­ tention-Deficit/Hyperactivity Disorder, </w:t>
      </w:r>
      <w:r>
        <w:rPr>
          <w:w w:val="110"/>
          <w:sz w:val="20"/>
        </w:rPr>
        <w:t>which is</w:t>
      </w:r>
      <w:r>
        <w:rPr>
          <w:spacing w:val="-41"/>
          <w:w w:val="110"/>
          <w:sz w:val="20"/>
        </w:rPr>
        <w:t xml:space="preserve"> </w:t>
      </w:r>
      <w:r>
        <w:rPr>
          <w:w w:val="110"/>
          <w:sz w:val="20"/>
        </w:rPr>
        <w:t>characterized by prominent symp­ toms of inattention and/or hyperactivity-impulsivity. Subtypes are provided for specifying</w:t>
      </w:r>
      <w:r>
        <w:rPr>
          <w:spacing w:val="-19"/>
          <w:w w:val="110"/>
          <w:sz w:val="20"/>
        </w:rPr>
        <w:t xml:space="preserve"> </w:t>
      </w:r>
      <w:r>
        <w:rPr>
          <w:w w:val="110"/>
          <w:sz w:val="20"/>
        </w:rPr>
        <w:t>the</w:t>
      </w:r>
      <w:r>
        <w:rPr>
          <w:spacing w:val="-20"/>
          <w:w w:val="110"/>
          <w:sz w:val="20"/>
        </w:rPr>
        <w:t xml:space="preserve"> </w:t>
      </w:r>
      <w:r>
        <w:rPr>
          <w:w w:val="110"/>
          <w:sz w:val="20"/>
        </w:rPr>
        <w:t>predominant</w:t>
      </w:r>
      <w:r>
        <w:rPr>
          <w:spacing w:val="-15"/>
          <w:w w:val="110"/>
          <w:sz w:val="20"/>
        </w:rPr>
        <w:t xml:space="preserve"> </w:t>
      </w:r>
      <w:r>
        <w:rPr>
          <w:w w:val="110"/>
          <w:sz w:val="20"/>
        </w:rPr>
        <w:t>symptom</w:t>
      </w:r>
      <w:r>
        <w:rPr>
          <w:spacing w:val="-10"/>
          <w:w w:val="110"/>
          <w:sz w:val="20"/>
        </w:rPr>
        <w:t xml:space="preserve"> </w:t>
      </w:r>
      <w:r>
        <w:rPr>
          <w:w w:val="110"/>
          <w:sz w:val="20"/>
        </w:rPr>
        <w:t>presentation:</w:t>
      </w:r>
      <w:r>
        <w:rPr>
          <w:spacing w:val="-14"/>
          <w:w w:val="110"/>
          <w:sz w:val="20"/>
        </w:rPr>
        <w:t xml:space="preserve"> </w:t>
      </w:r>
      <w:r>
        <w:rPr>
          <w:b/>
          <w:w w:val="110"/>
          <w:sz w:val="20"/>
        </w:rPr>
        <w:t>Predominantly</w:t>
      </w:r>
      <w:r>
        <w:rPr>
          <w:b/>
          <w:spacing w:val="-28"/>
          <w:w w:val="110"/>
          <w:sz w:val="20"/>
        </w:rPr>
        <w:t xml:space="preserve"> </w:t>
      </w:r>
      <w:r>
        <w:rPr>
          <w:b/>
          <w:w w:val="110"/>
          <w:sz w:val="20"/>
        </w:rPr>
        <w:t>Inattentive</w:t>
      </w:r>
      <w:r>
        <w:rPr>
          <w:b/>
          <w:spacing w:val="-30"/>
          <w:w w:val="110"/>
          <w:sz w:val="20"/>
        </w:rPr>
        <w:t xml:space="preserve"> </w:t>
      </w:r>
      <w:r>
        <w:rPr>
          <w:b/>
          <w:w w:val="110"/>
          <w:sz w:val="20"/>
        </w:rPr>
        <w:t xml:space="preserve">Type, Predominantly Hyperactive-Impulsive Type, </w:t>
      </w:r>
      <w:r>
        <w:rPr>
          <w:w w:val="110"/>
          <w:sz w:val="20"/>
        </w:rPr>
        <w:t xml:space="preserve">and </w:t>
      </w:r>
      <w:r>
        <w:rPr>
          <w:b/>
          <w:w w:val="110"/>
          <w:sz w:val="20"/>
        </w:rPr>
        <w:t xml:space="preserve">Combined Type. </w:t>
      </w:r>
      <w:r>
        <w:rPr>
          <w:w w:val="110"/>
          <w:sz w:val="20"/>
        </w:rPr>
        <w:t>Also included in</w:t>
      </w:r>
      <w:r>
        <w:rPr>
          <w:spacing w:val="-38"/>
          <w:w w:val="110"/>
          <w:sz w:val="20"/>
        </w:rPr>
        <w:t xml:space="preserve"> </w:t>
      </w:r>
      <w:r>
        <w:rPr>
          <w:w w:val="110"/>
          <w:sz w:val="20"/>
        </w:rPr>
        <w:t>this</w:t>
      </w:r>
      <w:r>
        <w:rPr>
          <w:spacing w:val="-40"/>
          <w:w w:val="110"/>
          <w:sz w:val="20"/>
        </w:rPr>
        <w:t xml:space="preserve"> </w:t>
      </w:r>
      <w:r>
        <w:rPr>
          <w:w w:val="110"/>
          <w:sz w:val="20"/>
        </w:rPr>
        <w:t>section</w:t>
      </w:r>
      <w:r>
        <w:rPr>
          <w:spacing w:val="-36"/>
          <w:w w:val="110"/>
          <w:sz w:val="20"/>
        </w:rPr>
        <w:t xml:space="preserve"> </w:t>
      </w:r>
      <w:r>
        <w:rPr>
          <w:w w:val="110"/>
          <w:sz w:val="20"/>
        </w:rPr>
        <w:t>are</w:t>
      </w:r>
      <w:r>
        <w:rPr>
          <w:spacing w:val="-38"/>
          <w:w w:val="110"/>
          <w:sz w:val="20"/>
        </w:rPr>
        <w:t xml:space="preserve"> </w:t>
      </w:r>
      <w:r>
        <w:rPr>
          <w:w w:val="110"/>
          <w:sz w:val="20"/>
        </w:rPr>
        <w:t>the</w:t>
      </w:r>
      <w:r>
        <w:rPr>
          <w:spacing w:val="-38"/>
          <w:w w:val="110"/>
          <w:sz w:val="20"/>
        </w:rPr>
        <w:t xml:space="preserve"> </w:t>
      </w:r>
      <w:r>
        <w:rPr>
          <w:w w:val="110"/>
          <w:sz w:val="20"/>
        </w:rPr>
        <w:t>Disruptive</w:t>
      </w:r>
      <w:r>
        <w:rPr>
          <w:spacing w:val="-30"/>
          <w:w w:val="110"/>
          <w:sz w:val="20"/>
        </w:rPr>
        <w:t xml:space="preserve"> </w:t>
      </w:r>
      <w:r>
        <w:rPr>
          <w:w w:val="110"/>
          <w:sz w:val="20"/>
        </w:rPr>
        <w:t>Behavior</w:t>
      </w:r>
      <w:r>
        <w:rPr>
          <w:spacing w:val="-34"/>
          <w:w w:val="110"/>
          <w:sz w:val="20"/>
        </w:rPr>
        <w:t xml:space="preserve"> </w:t>
      </w:r>
      <w:r>
        <w:rPr>
          <w:w w:val="110"/>
          <w:sz w:val="20"/>
        </w:rPr>
        <w:t>Disorders:</w:t>
      </w:r>
      <w:r>
        <w:rPr>
          <w:spacing w:val="-34"/>
          <w:w w:val="110"/>
          <w:sz w:val="20"/>
        </w:rPr>
        <w:t xml:space="preserve"> </w:t>
      </w:r>
      <w:r>
        <w:rPr>
          <w:b/>
          <w:w w:val="110"/>
          <w:sz w:val="20"/>
        </w:rPr>
        <w:t>Conduct</w:t>
      </w:r>
      <w:r>
        <w:rPr>
          <w:b/>
          <w:spacing w:val="-41"/>
          <w:w w:val="110"/>
          <w:sz w:val="20"/>
        </w:rPr>
        <w:t xml:space="preserve"> </w:t>
      </w:r>
      <w:r>
        <w:rPr>
          <w:b/>
          <w:w w:val="110"/>
          <w:sz w:val="20"/>
        </w:rPr>
        <w:t>Disorder</w:t>
      </w:r>
      <w:r>
        <w:rPr>
          <w:b/>
          <w:spacing w:val="-34"/>
          <w:w w:val="110"/>
          <w:sz w:val="20"/>
        </w:rPr>
        <w:t xml:space="preserve"> </w:t>
      </w:r>
      <w:r>
        <w:rPr>
          <w:w w:val="110"/>
          <w:sz w:val="20"/>
        </w:rPr>
        <w:t>is</w:t>
      </w:r>
      <w:r>
        <w:rPr>
          <w:spacing w:val="-40"/>
          <w:w w:val="110"/>
          <w:sz w:val="20"/>
        </w:rPr>
        <w:t xml:space="preserve"> </w:t>
      </w:r>
      <w:r>
        <w:rPr>
          <w:w w:val="110"/>
          <w:sz w:val="20"/>
        </w:rPr>
        <w:t>characterized by</w:t>
      </w:r>
      <w:r>
        <w:rPr>
          <w:spacing w:val="-19"/>
          <w:w w:val="110"/>
          <w:sz w:val="20"/>
        </w:rPr>
        <w:t xml:space="preserve"> </w:t>
      </w:r>
      <w:r>
        <w:rPr>
          <w:w w:val="110"/>
          <w:sz w:val="20"/>
        </w:rPr>
        <w:t>a</w:t>
      </w:r>
      <w:r>
        <w:rPr>
          <w:spacing w:val="-11"/>
          <w:w w:val="110"/>
          <w:sz w:val="20"/>
        </w:rPr>
        <w:t xml:space="preserve"> </w:t>
      </w:r>
      <w:r>
        <w:rPr>
          <w:w w:val="110"/>
          <w:sz w:val="20"/>
        </w:rPr>
        <w:t>pattern</w:t>
      </w:r>
      <w:r>
        <w:rPr>
          <w:spacing w:val="-14"/>
          <w:w w:val="110"/>
          <w:sz w:val="20"/>
        </w:rPr>
        <w:t xml:space="preserve"> </w:t>
      </w:r>
      <w:r>
        <w:rPr>
          <w:w w:val="110"/>
          <w:sz w:val="20"/>
        </w:rPr>
        <w:t>of</w:t>
      </w:r>
      <w:r>
        <w:rPr>
          <w:spacing w:val="-9"/>
          <w:w w:val="110"/>
          <w:sz w:val="20"/>
        </w:rPr>
        <w:t xml:space="preserve"> </w:t>
      </w:r>
      <w:r>
        <w:rPr>
          <w:w w:val="110"/>
          <w:sz w:val="20"/>
        </w:rPr>
        <w:t>behavior</w:t>
      </w:r>
      <w:r>
        <w:rPr>
          <w:spacing w:val="-13"/>
          <w:w w:val="110"/>
          <w:sz w:val="20"/>
        </w:rPr>
        <w:t xml:space="preserve"> </w:t>
      </w:r>
      <w:r>
        <w:rPr>
          <w:w w:val="110"/>
          <w:sz w:val="20"/>
        </w:rPr>
        <w:t>that</w:t>
      </w:r>
      <w:r>
        <w:rPr>
          <w:spacing w:val="-15"/>
          <w:w w:val="110"/>
          <w:sz w:val="20"/>
        </w:rPr>
        <w:t xml:space="preserve"> </w:t>
      </w:r>
      <w:r>
        <w:rPr>
          <w:w w:val="110"/>
          <w:sz w:val="20"/>
        </w:rPr>
        <w:t>violates</w:t>
      </w:r>
      <w:r>
        <w:rPr>
          <w:spacing w:val="-15"/>
          <w:w w:val="110"/>
          <w:sz w:val="20"/>
        </w:rPr>
        <w:t xml:space="preserve"> </w:t>
      </w:r>
      <w:r>
        <w:rPr>
          <w:w w:val="110"/>
          <w:sz w:val="20"/>
        </w:rPr>
        <w:t>the</w:t>
      </w:r>
      <w:r>
        <w:rPr>
          <w:spacing w:val="-18"/>
          <w:w w:val="110"/>
          <w:sz w:val="20"/>
        </w:rPr>
        <w:t xml:space="preserve"> </w:t>
      </w:r>
      <w:r>
        <w:rPr>
          <w:w w:val="110"/>
          <w:sz w:val="20"/>
        </w:rPr>
        <w:t>basic</w:t>
      </w:r>
      <w:r>
        <w:rPr>
          <w:spacing w:val="-17"/>
          <w:w w:val="110"/>
          <w:sz w:val="20"/>
        </w:rPr>
        <w:t xml:space="preserve"> </w:t>
      </w:r>
      <w:r>
        <w:rPr>
          <w:w w:val="110"/>
          <w:sz w:val="20"/>
        </w:rPr>
        <w:t>rights</w:t>
      </w:r>
      <w:r>
        <w:rPr>
          <w:spacing w:val="-19"/>
          <w:w w:val="110"/>
          <w:sz w:val="20"/>
        </w:rPr>
        <w:t xml:space="preserve"> </w:t>
      </w:r>
      <w:r>
        <w:rPr>
          <w:w w:val="110"/>
          <w:sz w:val="20"/>
        </w:rPr>
        <w:t>of</w:t>
      </w:r>
      <w:r>
        <w:rPr>
          <w:spacing w:val="-14"/>
          <w:w w:val="110"/>
          <w:sz w:val="20"/>
        </w:rPr>
        <w:t xml:space="preserve"> </w:t>
      </w:r>
      <w:r>
        <w:rPr>
          <w:w w:val="110"/>
          <w:sz w:val="20"/>
        </w:rPr>
        <w:t>others</w:t>
      </w:r>
      <w:r>
        <w:rPr>
          <w:spacing w:val="-19"/>
          <w:w w:val="110"/>
          <w:sz w:val="20"/>
        </w:rPr>
        <w:t xml:space="preserve"> </w:t>
      </w:r>
      <w:r>
        <w:rPr>
          <w:w w:val="110"/>
          <w:sz w:val="20"/>
        </w:rPr>
        <w:t>or</w:t>
      </w:r>
      <w:r>
        <w:rPr>
          <w:spacing w:val="-14"/>
          <w:w w:val="110"/>
          <w:sz w:val="20"/>
        </w:rPr>
        <w:t xml:space="preserve"> </w:t>
      </w:r>
      <w:r>
        <w:rPr>
          <w:w w:val="110"/>
          <w:sz w:val="20"/>
        </w:rPr>
        <w:t>major</w:t>
      </w:r>
      <w:r>
        <w:rPr>
          <w:spacing w:val="-19"/>
          <w:w w:val="110"/>
          <w:sz w:val="20"/>
        </w:rPr>
        <w:t xml:space="preserve"> </w:t>
      </w:r>
      <w:r>
        <w:rPr>
          <w:w w:val="110"/>
          <w:sz w:val="20"/>
        </w:rPr>
        <w:t xml:space="preserve">age-appropriate societal norms or rules; </w:t>
      </w:r>
      <w:r>
        <w:rPr>
          <w:b/>
          <w:w w:val="110"/>
          <w:sz w:val="20"/>
        </w:rPr>
        <w:t xml:space="preserve">Oppositional Defiant Disorder </w:t>
      </w:r>
      <w:r>
        <w:rPr>
          <w:w w:val="110"/>
          <w:sz w:val="20"/>
        </w:rPr>
        <w:t>is characterized by a pattern of negativistic, hostile, and defiant behavior. This section also includes two Not Otherwise</w:t>
      </w:r>
      <w:r>
        <w:rPr>
          <w:spacing w:val="-16"/>
          <w:w w:val="110"/>
          <w:sz w:val="20"/>
        </w:rPr>
        <w:t xml:space="preserve"> </w:t>
      </w:r>
      <w:r>
        <w:rPr>
          <w:w w:val="110"/>
          <w:sz w:val="20"/>
        </w:rPr>
        <w:t>Specified</w:t>
      </w:r>
      <w:r>
        <w:rPr>
          <w:spacing w:val="-8"/>
          <w:w w:val="110"/>
          <w:sz w:val="20"/>
        </w:rPr>
        <w:t xml:space="preserve"> </w:t>
      </w:r>
      <w:r>
        <w:rPr>
          <w:w w:val="110"/>
          <w:sz w:val="20"/>
        </w:rPr>
        <w:t>categories:</w:t>
      </w:r>
      <w:r>
        <w:rPr>
          <w:spacing w:val="-17"/>
          <w:w w:val="110"/>
          <w:sz w:val="20"/>
        </w:rPr>
        <w:t xml:space="preserve"> </w:t>
      </w:r>
      <w:r>
        <w:rPr>
          <w:b/>
          <w:w w:val="110"/>
          <w:sz w:val="20"/>
        </w:rPr>
        <w:t>Attention-Deficit/Hyperactivity</w:t>
      </w:r>
      <w:r>
        <w:rPr>
          <w:b/>
          <w:spacing w:val="-35"/>
          <w:w w:val="110"/>
          <w:sz w:val="20"/>
        </w:rPr>
        <w:t xml:space="preserve"> </w:t>
      </w:r>
      <w:r>
        <w:rPr>
          <w:b/>
          <w:w w:val="110"/>
          <w:sz w:val="20"/>
        </w:rPr>
        <w:t>Disorder</w:t>
      </w:r>
      <w:r>
        <w:rPr>
          <w:b/>
          <w:spacing w:val="-22"/>
          <w:w w:val="110"/>
          <w:sz w:val="20"/>
        </w:rPr>
        <w:t xml:space="preserve"> </w:t>
      </w:r>
      <w:r>
        <w:rPr>
          <w:b/>
          <w:w w:val="110"/>
          <w:sz w:val="20"/>
        </w:rPr>
        <w:t>Not</w:t>
      </w:r>
      <w:r>
        <w:rPr>
          <w:b/>
          <w:spacing w:val="-26"/>
          <w:w w:val="110"/>
          <w:sz w:val="20"/>
        </w:rPr>
        <w:t xml:space="preserve"> </w:t>
      </w:r>
      <w:r>
        <w:rPr>
          <w:b/>
          <w:w w:val="110"/>
          <w:sz w:val="20"/>
        </w:rPr>
        <w:t xml:space="preserve">Oth­ erwise Specified </w:t>
      </w:r>
      <w:r>
        <w:rPr>
          <w:w w:val="110"/>
          <w:sz w:val="20"/>
        </w:rPr>
        <w:t xml:space="preserve">and </w:t>
      </w:r>
      <w:r>
        <w:rPr>
          <w:b/>
          <w:w w:val="110"/>
          <w:sz w:val="20"/>
        </w:rPr>
        <w:t>Disruptive Behavior Disorder Not Otherwise</w:t>
      </w:r>
      <w:r>
        <w:rPr>
          <w:b/>
          <w:spacing w:val="-8"/>
          <w:w w:val="110"/>
          <w:sz w:val="20"/>
        </w:rPr>
        <w:t xml:space="preserve"> </w:t>
      </w:r>
      <w:r>
        <w:rPr>
          <w:b/>
          <w:w w:val="110"/>
          <w:sz w:val="20"/>
        </w:rPr>
        <w:t>Specified.</w:t>
      </w:r>
    </w:p>
    <w:p w:rsidR="00E675F0" w:rsidRDefault="00E675F0" w:rsidP="00E675F0">
      <w:pPr>
        <w:pStyle w:val="BodyText"/>
        <w:rPr>
          <w:b/>
          <w:sz w:val="24"/>
        </w:rPr>
      </w:pPr>
    </w:p>
    <w:p w:rsidR="00E675F0" w:rsidRDefault="00E675F0" w:rsidP="00E675F0">
      <w:pPr>
        <w:spacing w:line="256" w:lineRule="auto"/>
        <w:ind w:left="130" w:right="120" w:firstLine="1"/>
        <w:jc w:val="both"/>
        <w:rPr>
          <w:sz w:val="20"/>
        </w:rPr>
      </w:pPr>
      <w:r>
        <w:rPr>
          <w:b/>
          <w:w w:val="105"/>
          <w:sz w:val="20"/>
        </w:rPr>
        <w:t xml:space="preserve">Feeding and  Eating  Disorders of  Infancy or  Early Childhood.  </w:t>
      </w:r>
      <w:r>
        <w:rPr>
          <w:w w:val="105"/>
          <w:sz w:val="20"/>
        </w:rPr>
        <w:t xml:space="preserve">These  disorders are characterized by persistent disturbances in feeding and eating. The specific disorders included are </w:t>
      </w:r>
      <w:r>
        <w:rPr>
          <w:b/>
          <w:w w:val="105"/>
          <w:sz w:val="20"/>
        </w:rPr>
        <w:t xml:space="preserve">Pica, Rumination Disorder, </w:t>
      </w:r>
      <w:r>
        <w:rPr>
          <w:w w:val="105"/>
          <w:sz w:val="20"/>
        </w:rPr>
        <w:t xml:space="preserve">and </w:t>
      </w:r>
      <w:r>
        <w:rPr>
          <w:b/>
          <w:w w:val="105"/>
          <w:sz w:val="20"/>
        </w:rPr>
        <w:t>Feeding Disorder oflnfancy or Early Childhood.</w:t>
      </w:r>
      <w:r>
        <w:rPr>
          <w:b/>
          <w:spacing w:val="-3"/>
          <w:w w:val="105"/>
          <w:sz w:val="20"/>
        </w:rPr>
        <w:t xml:space="preserve"> </w:t>
      </w:r>
      <w:r>
        <w:rPr>
          <w:w w:val="105"/>
          <w:sz w:val="20"/>
        </w:rPr>
        <w:t>Note</w:t>
      </w:r>
      <w:r>
        <w:rPr>
          <w:spacing w:val="-19"/>
          <w:w w:val="105"/>
          <w:sz w:val="20"/>
        </w:rPr>
        <w:t xml:space="preserve"> </w:t>
      </w:r>
      <w:r>
        <w:rPr>
          <w:w w:val="105"/>
          <w:sz w:val="20"/>
        </w:rPr>
        <w:t>that</w:t>
      </w:r>
      <w:r>
        <w:rPr>
          <w:spacing w:val="-20"/>
          <w:w w:val="105"/>
          <w:sz w:val="20"/>
        </w:rPr>
        <w:t xml:space="preserve"> </w:t>
      </w:r>
      <w:r>
        <w:rPr>
          <w:w w:val="105"/>
          <w:sz w:val="20"/>
        </w:rPr>
        <w:t>Anorexia</w:t>
      </w:r>
      <w:r>
        <w:rPr>
          <w:spacing w:val="2"/>
          <w:w w:val="105"/>
          <w:sz w:val="20"/>
        </w:rPr>
        <w:t xml:space="preserve"> </w:t>
      </w:r>
      <w:r>
        <w:rPr>
          <w:w w:val="105"/>
          <w:sz w:val="20"/>
        </w:rPr>
        <w:t>Nervosa</w:t>
      </w:r>
      <w:r>
        <w:rPr>
          <w:spacing w:val="-6"/>
          <w:w w:val="105"/>
          <w:sz w:val="20"/>
        </w:rPr>
        <w:t xml:space="preserve"> </w:t>
      </w:r>
      <w:r>
        <w:rPr>
          <w:w w:val="105"/>
          <w:sz w:val="20"/>
        </w:rPr>
        <w:t>and</w:t>
      </w:r>
      <w:r>
        <w:rPr>
          <w:spacing w:val="7"/>
          <w:w w:val="105"/>
          <w:sz w:val="20"/>
        </w:rPr>
        <w:t xml:space="preserve"> </w:t>
      </w:r>
      <w:r>
        <w:rPr>
          <w:w w:val="105"/>
          <w:sz w:val="20"/>
        </w:rPr>
        <w:t>Bulimia Nervosa</w:t>
      </w:r>
      <w:r>
        <w:rPr>
          <w:spacing w:val="-10"/>
          <w:w w:val="105"/>
          <w:sz w:val="20"/>
        </w:rPr>
        <w:t xml:space="preserve"> </w:t>
      </w:r>
      <w:r>
        <w:rPr>
          <w:w w:val="105"/>
          <w:sz w:val="20"/>
        </w:rPr>
        <w:t>are</w:t>
      </w:r>
      <w:r>
        <w:rPr>
          <w:spacing w:val="-15"/>
          <w:w w:val="105"/>
          <w:sz w:val="20"/>
        </w:rPr>
        <w:t xml:space="preserve"> </w:t>
      </w:r>
      <w:r>
        <w:rPr>
          <w:w w:val="105"/>
          <w:sz w:val="20"/>
        </w:rPr>
        <w:t>included</w:t>
      </w:r>
      <w:r>
        <w:rPr>
          <w:spacing w:val="-13"/>
          <w:w w:val="105"/>
          <w:sz w:val="20"/>
        </w:rPr>
        <w:t xml:space="preserve"> </w:t>
      </w:r>
      <w:r>
        <w:rPr>
          <w:w w:val="105"/>
          <w:sz w:val="20"/>
        </w:rPr>
        <w:t>in</w:t>
      </w:r>
      <w:r>
        <w:rPr>
          <w:spacing w:val="-17"/>
          <w:w w:val="105"/>
          <w:sz w:val="20"/>
        </w:rPr>
        <w:t xml:space="preserve"> </w:t>
      </w:r>
      <w:r>
        <w:rPr>
          <w:w w:val="105"/>
          <w:sz w:val="20"/>
        </w:rPr>
        <w:t>the</w:t>
      </w:r>
      <w:r>
        <w:rPr>
          <w:spacing w:val="-22"/>
          <w:w w:val="105"/>
          <w:sz w:val="20"/>
        </w:rPr>
        <w:t xml:space="preserve"> </w:t>
      </w:r>
      <w:r>
        <w:rPr>
          <w:w w:val="105"/>
          <w:sz w:val="20"/>
        </w:rPr>
        <w:t>"Eating Disorders" section presented later in the manual (seep.</w:t>
      </w:r>
      <w:r>
        <w:rPr>
          <w:spacing w:val="-25"/>
          <w:w w:val="105"/>
          <w:sz w:val="20"/>
        </w:rPr>
        <w:t xml:space="preserve"> </w:t>
      </w:r>
      <w:r>
        <w:rPr>
          <w:w w:val="105"/>
          <w:sz w:val="20"/>
        </w:rPr>
        <w:t>539).</w:t>
      </w:r>
    </w:p>
    <w:p w:rsidR="00E675F0" w:rsidRDefault="00E675F0" w:rsidP="00E675F0">
      <w:pPr>
        <w:pStyle w:val="BodyText"/>
        <w:spacing w:before="9"/>
        <w:rPr>
          <w:sz w:val="23"/>
        </w:rPr>
      </w:pPr>
    </w:p>
    <w:p w:rsidR="00E675F0" w:rsidRDefault="00E675F0" w:rsidP="00E675F0">
      <w:pPr>
        <w:spacing w:before="1" w:line="254" w:lineRule="auto"/>
        <w:ind w:left="126" w:right="116" w:firstLine="2"/>
        <w:jc w:val="both"/>
        <w:rPr>
          <w:b/>
          <w:sz w:val="20"/>
        </w:rPr>
      </w:pPr>
      <w:r>
        <w:rPr>
          <w:b/>
          <w:w w:val="105"/>
          <w:sz w:val="20"/>
        </w:rPr>
        <w:t xml:space="preserve">Tic Disorders. </w:t>
      </w:r>
      <w:r>
        <w:rPr>
          <w:w w:val="105"/>
          <w:sz w:val="20"/>
        </w:rPr>
        <w:t xml:space="preserve">These disorders are characterized by vocal and/or motor tics. The specific disorders included are </w:t>
      </w:r>
      <w:r>
        <w:rPr>
          <w:b/>
          <w:w w:val="105"/>
          <w:sz w:val="20"/>
        </w:rPr>
        <w:t xml:space="preserve">Tourette's Disorder, Chronic Motor or Vocal Tic Disorder, Transient Tic Disorder, </w:t>
      </w:r>
      <w:r>
        <w:rPr>
          <w:w w:val="105"/>
          <w:sz w:val="20"/>
        </w:rPr>
        <w:t xml:space="preserve">and </w:t>
      </w:r>
      <w:r>
        <w:rPr>
          <w:b/>
          <w:w w:val="105"/>
          <w:sz w:val="20"/>
        </w:rPr>
        <w:t>Tic Disorder Not Otherwise</w:t>
      </w:r>
      <w:r>
        <w:rPr>
          <w:b/>
          <w:spacing w:val="-20"/>
          <w:w w:val="105"/>
          <w:sz w:val="20"/>
        </w:rPr>
        <w:t xml:space="preserve"> </w:t>
      </w:r>
      <w:r>
        <w:rPr>
          <w:b/>
          <w:w w:val="105"/>
          <w:sz w:val="20"/>
        </w:rPr>
        <w:t>Specified.</w:t>
      </w:r>
    </w:p>
    <w:p w:rsidR="00E675F0" w:rsidRDefault="00E675F0" w:rsidP="00E675F0">
      <w:pPr>
        <w:pStyle w:val="BodyText"/>
        <w:spacing w:before="2"/>
        <w:rPr>
          <w:b/>
          <w:sz w:val="24"/>
        </w:rPr>
      </w:pPr>
    </w:p>
    <w:p w:rsidR="00E675F0" w:rsidRDefault="00E675F0" w:rsidP="00E675F0">
      <w:pPr>
        <w:spacing w:line="254" w:lineRule="auto"/>
        <w:ind w:left="129" w:right="117" w:hanging="2"/>
        <w:jc w:val="both"/>
        <w:rPr>
          <w:sz w:val="20"/>
        </w:rPr>
      </w:pPr>
      <w:r>
        <w:rPr>
          <w:b/>
          <w:w w:val="105"/>
          <w:sz w:val="20"/>
        </w:rPr>
        <w:t xml:space="preserve">Elimination Disorders.   </w:t>
      </w:r>
      <w:r>
        <w:rPr>
          <w:w w:val="105"/>
          <w:sz w:val="20"/>
        </w:rPr>
        <w:t xml:space="preserve">This  grouping  includes  </w:t>
      </w:r>
      <w:r>
        <w:rPr>
          <w:b/>
          <w:w w:val="105"/>
          <w:sz w:val="20"/>
        </w:rPr>
        <w:t xml:space="preserve">Encopresis,  </w:t>
      </w:r>
      <w:r>
        <w:rPr>
          <w:w w:val="105"/>
          <w:sz w:val="20"/>
        </w:rPr>
        <w:t xml:space="preserve">the  repeated  passage of feces into inappropriate places, and </w:t>
      </w:r>
      <w:r>
        <w:rPr>
          <w:b/>
          <w:w w:val="105"/>
          <w:sz w:val="20"/>
        </w:rPr>
        <w:t xml:space="preserve">Enuresis, </w:t>
      </w:r>
      <w:r>
        <w:rPr>
          <w:w w:val="105"/>
          <w:sz w:val="20"/>
        </w:rPr>
        <w:t>the repeated voiding of urine into inappropriate</w:t>
      </w:r>
      <w:r>
        <w:rPr>
          <w:spacing w:val="23"/>
          <w:w w:val="105"/>
          <w:sz w:val="20"/>
        </w:rPr>
        <w:t xml:space="preserve"> </w:t>
      </w:r>
      <w:r>
        <w:rPr>
          <w:w w:val="105"/>
          <w:sz w:val="20"/>
        </w:rPr>
        <w:t>places.</w:t>
      </w:r>
    </w:p>
    <w:p w:rsidR="00E675F0" w:rsidRDefault="00E675F0" w:rsidP="00E675F0">
      <w:pPr>
        <w:spacing w:line="254" w:lineRule="auto"/>
        <w:jc w:val="both"/>
        <w:rPr>
          <w:sz w:val="20"/>
        </w:rPr>
        <w:sectPr w:rsidR="00E675F0">
          <w:headerReference w:type="even" r:id="rId53"/>
          <w:headerReference w:type="default" r:id="rId54"/>
          <w:pgSz w:w="8960" w:h="14260"/>
          <w:pgMar w:top="1400" w:right="620" w:bottom="280" w:left="600" w:header="692" w:footer="0" w:gutter="0"/>
          <w:pgNumType w:start="38"/>
          <w:cols w:space="720"/>
        </w:sectPr>
      </w:pPr>
    </w:p>
    <w:p w:rsidR="00E675F0" w:rsidRDefault="00E675F0" w:rsidP="00E675F0">
      <w:pPr>
        <w:spacing w:before="118" w:line="254" w:lineRule="auto"/>
        <w:ind w:left="121" w:right="113" w:hanging="4"/>
        <w:jc w:val="both"/>
        <w:rPr>
          <w:sz w:val="20"/>
        </w:rPr>
      </w:pPr>
      <w:bookmarkStart w:id="27" w:name="_bookmark13"/>
      <w:bookmarkEnd w:id="27"/>
      <w:r>
        <w:rPr>
          <w:b/>
          <w:w w:val="105"/>
          <w:sz w:val="20"/>
        </w:rPr>
        <w:lastRenderedPageBreak/>
        <w:t xml:space="preserve">Other Disorders of Infancy, Childhood, or Adolescence. </w:t>
      </w:r>
      <w:r>
        <w:rPr>
          <w:w w:val="105"/>
          <w:sz w:val="20"/>
        </w:rPr>
        <w:t xml:space="preserve">This grouping is for disorders that are not covered in the sections listed above. </w:t>
      </w:r>
      <w:r>
        <w:rPr>
          <w:b/>
          <w:w w:val="105"/>
          <w:sz w:val="20"/>
        </w:rPr>
        <w:t xml:space="preserve">Separation  Anxiety Disorder </w:t>
      </w:r>
      <w:r>
        <w:rPr>
          <w:w w:val="105"/>
          <w:sz w:val="20"/>
        </w:rPr>
        <w:t xml:space="preserve">is characterized by developmentally inappropriate and excessive anxiety concerning separation from home or from those to whom the child is attached. </w:t>
      </w:r>
      <w:r>
        <w:rPr>
          <w:b/>
          <w:w w:val="105"/>
          <w:sz w:val="20"/>
        </w:rPr>
        <w:t xml:space="preserve">Selective Mutism </w:t>
      </w:r>
      <w:r>
        <w:rPr>
          <w:w w:val="105"/>
          <w:sz w:val="20"/>
        </w:rPr>
        <w:t xml:space="preserve">is characterized by a consistent failure to speak in specific social situations despite speaking in other situations. </w:t>
      </w:r>
      <w:r>
        <w:rPr>
          <w:b/>
          <w:w w:val="105"/>
          <w:sz w:val="20"/>
        </w:rPr>
        <w:t xml:space="preserve">Reactive Attachment Disorder of Infancy or Early Childhood </w:t>
      </w:r>
      <w:r>
        <w:rPr>
          <w:w w:val="105"/>
          <w:sz w:val="20"/>
        </w:rPr>
        <w:t xml:space="preserve">is characterized by markedly disturbed and developmentally inap­ propriate social relatedness that occurs in most contexts and is associated with grossly pathogenic care. </w:t>
      </w:r>
      <w:r>
        <w:rPr>
          <w:b/>
          <w:w w:val="105"/>
          <w:sz w:val="20"/>
        </w:rPr>
        <w:t xml:space="preserve">Stereotypic Movement Disorder </w:t>
      </w:r>
      <w:r>
        <w:rPr>
          <w:w w:val="105"/>
          <w:sz w:val="20"/>
        </w:rPr>
        <w:t xml:space="preserve">is characterized by repetitive, seemingly driven, and nonfunctional motor behavior that markedly interferes with normal activities and at times may result in bodily injury. </w:t>
      </w:r>
      <w:r>
        <w:rPr>
          <w:b/>
          <w:w w:val="105"/>
          <w:sz w:val="20"/>
        </w:rPr>
        <w:t xml:space="preserve">Disorder of Infancy, Childhood, or Adolescence Not Otherwise Specified </w:t>
      </w:r>
      <w:r>
        <w:rPr>
          <w:w w:val="105"/>
          <w:sz w:val="20"/>
        </w:rPr>
        <w:t>is a residual category for coding disorders with onset in infancy, childhood, or adolescence that do not meet criteria for any specific disorder in the</w:t>
      </w:r>
      <w:r>
        <w:rPr>
          <w:spacing w:val="42"/>
          <w:w w:val="105"/>
          <w:sz w:val="20"/>
        </w:rPr>
        <w:t xml:space="preserve"> </w:t>
      </w:r>
      <w:r>
        <w:rPr>
          <w:w w:val="105"/>
          <w:sz w:val="20"/>
        </w:rPr>
        <w:t>Classification.</w:t>
      </w:r>
    </w:p>
    <w:p w:rsidR="00E675F0" w:rsidRDefault="00E675F0" w:rsidP="00E675F0">
      <w:pPr>
        <w:pStyle w:val="BodyText"/>
        <w:spacing w:before="187" w:line="254" w:lineRule="auto"/>
        <w:ind w:left="131" w:right="121" w:firstLine="361"/>
        <w:jc w:val="both"/>
      </w:pPr>
      <w:r>
        <w:rPr>
          <w:w w:val="105"/>
        </w:rPr>
        <w:t>Children or adolescents may present with problems requiring clinical attention that are</w:t>
      </w:r>
      <w:r>
        <w:rPr>
          <w:spacing w:val="-17"/>
          <w:w w:val="105"/>
        </w:rPr>
        <w:t xml:space="preserve"> </w:t>
      </w:r>
      <w:r>
        <w:rPr>
          <w:w w:val="105"/>
        </w:rPr>
        <w:t>not</w:t>
      </w:r>
      <w:r>
        <w:rPr>
          <w:spacing w:val="-15"/>
          <w:w w:val="105"/>
        </w:rPr>
        <w:t xml:space="preserve"> </w:t>
      </w:r>
      <w:r>
        <w:rPr>
          <w:w w:val="105"/>
        </w:rPr>
        <w:t>defined</w:t>
      </w:r>
      <w:r>
        <w:rPr>
          <w:spacing w:val="-7"/>
          <w:w w:val="105"/>
        </w:rPr>
        <w:t xml:space="preserve"> </w:t>
      </w:r>
      <w:r>
        <w:rPr>
          <w:w w:val="105"/>
        </w:rPr>
        <w:t>as</w:t>
      </w:r>
      <w:r>
        <w:rPr>
          <w:spacing w:val="-20"/>
          <w:w w:val="105"/>
        </w:rPr>
        <w:t xml:space="preserve"> </w:t>
      </w:r>
      <w:r>
        <w:rPr>
          <w:w w:val="105"/>
        </w:rPr>
        <w:t>mental</w:t>
      </w:r>
      <w:r>
        <w:rPr>
          <w:spacing w:val="-14"/>
          <w:w w:val="105"/>
        </w:rPr>
        <w:t xml:space="preserve"> </w:t>
      </w:r>
      <w:r>
        <w:rPr>
          <w:w w:val="105"/>
        </w:rPr>
        <w:t>disorders</w:t>
      </w:r>
      <w:r>
        <w:rPr>
          <w:spacing w:val="-15"/>
          <w:w w:val="105"/>
        </w:rPr>
        <w:t xml:space="preserve"> </w:t>
      </w:r>
      <w:r>
        <w:rPr>
          <w:w w:val="105"/>
        </w:rPr>
        <w:t>(e.g.,</w:t>
      </w:r>
      <w:r>
        <w:rPr>
          <w:spacing w:val="-11"/>
          <w:w w:val="105"/>
        </w:rPr>
        <w:t xml:space="preserve"> </w:t>
      </w:r>
      <w:r>
        <w:rPr>
          <w:w w:val="105"/>
        </w:rPr>
        <w:t>Relational</w:t>
      </w:r>
      <w:r>
        <w:rPr>
          <w:spacing w:val="-8"/>
          <w:w w:val="105"/>
        </w:rPr>
        <w:t xml:space="preserve"> </w:t>
      </w:r>
      <w:r>
        <w:rPr>
          <w:w w:val="105"/>
        </w:rPr>
        <w:t>Problems,</w:t>
      </w:r>
      <w:r>
        <w:rPr>
          <w:spacing w:val="-10"/>
          <w:w w:val="105"/>
        </w:rPr>
        <w:t xml:space="preserve"> </w:t>
      </w:r>
      <w:r>
        <w:rPr>
          <w:w w:val="105"/>
        </w:rPr>
        <w:t>Problems</w:t>
      </w:r>
      <w:r>
        <w:rPr>
          <w:spacing w:val="-11"/>
          <w:w w:val="105"/>
        </w:rPr>
        <w:t xml:space="preserve"> </w:t>
      </w:r>
      <w:r>
        <w:rPr>
          <w:w w:val="105"/>
        </w:rPr>
        <w:t>Related</w:t>
      </w:r>
      <w:r>
        <w:rPr>
          <w:spacing w:val="-6"/>
          <w:w w:val="105"/>
        </w:rPr>
        <w:t xml:space="preserve"> </w:t>
      </w:r>
      <w:r>
        <w:rPr>
          <w:w w:val="105"/>
        </w:rPr>
        <w:t>to</w:t>
      </w:r>
      <w:r>
        <w:rPr>
          <w:spacing w:val="-24"/>
          <w:w w:val="105"/>
        </w:rPr>
        <w:t xml:space="preserve"> </w:t>
      </w:r>
      <w:r>
        <w:rPr>
          <w:w w:val="105"/>
        </w:rPr>
        <w:t>Abuse or Neglect, Bereavement, Borderline Intellectual Functioning, Academic Problem, Child or Adolescent Antisocial Behavior, Identity Problem). These are listed at the end of the manual in the section "Other Conditions That May Be a Focus of Clinical Attention" (see p.</w:t>
      </w:r>
      <w:r>
        <w:rPr>
          <w:spacing w:val="-27"/>
          <w:w w:val="105"/>
        </w:rPr>
        <w:t xml:space="preserve"> </w:t>
      </w:r>
      <w:r>
        <w:rPr>
          <w:w w:val="105"/>
        </w:rPr>
        <w:t>675).</w:t>
      </w:r>
    </w:p>
    <w:p w:rsidR="00E675F0" w:rsidRDefault="00E675F0" w:rsidP="00E675F0">
      <w:pPr>
        <w:pStyle w:val="BodyText"/>
        <w:spacing w:before="4" w:line="254" w:lineRule="auto"/>
        <w:ind w:left="130" w:right="125" w:firstLine="367"/>
        <w:jc w:val="both"/>
      </w:pPr>
      <w:r>
        <w:rPr>
          <w:w w:val="105"/>
        </w:rPr>
        <w:t>DSM-lll-R included two anxiety disorders specific to children and adolescents, Overanxious</w:t>
      </w:r>
      <w:r>
        <w:rPr>
          <w:spacing w:val="-4"/>
          <w:w w:val="105"/>
        </w:rPr>
        <w:t xml:space="preserve"> </w:t>
      </w:r>
      <w:r>
        <w:rPr>
          <w:w w:val="105"/>
        </w:rPr>
        <w:t>Disorder</w:t>
      </w:r>
      <w:r>
        <w:rPr>
          <w:spacing w:val="-6"/>
          <w:w w:val="105"/>
        </w:rPr>
        <w:t xml:space="preserve"> </w:t>
      </w:r>
      <w:r>
        <w:rPr>
          <w:w w:val="105"/>
        </w:rPr>
        <w:t>of</w:t>
      </w:r>
      <w:r>
        <w:rPr>
          <w:spacing w:val="-11"/>
          <w:w w:val="105"/>
        </w:rPr>
        <w:t xml:space="preserve"> </w:t>
      </w:r>
      <w:r>
        <w:rPr>
          <w:w w:val="105"/>
        </w:rPr>
        <w:t>Childhood</w:t>
      </w:r>
      <w:r>
        <w:rPr>
          <w:spacing w:val="-2"/>
          <w:w w:val="105"/>
        </w:rPr>
        <w:t xml:space="preserve"> </w:t>
      </w:r>
      <w:r>
        <w:rPr>
          <w:w w:val="105"/>
        </w:rPr>
        <w:t>and</w:t>
      </w:r>
      <w:r>
        <w:rPr>
          <w:spacing w:val="-17"/>
          <w:w w:val="105"/>
        </w:rPr>
        <w:t xml:space="preserve"> </w:t>
      </w:r>
      <w:r>
        <w:rPr>
          <w:w w:val="105"/>
        </w:rPr>
        <w:t>Avoidant</w:t>
      </w:r>
      <w:r>
        <w:rPr>
          <w:spacing w:val="-2"/>
          <w:w w:val="105"/>
        </w:rPr>
        <w:t xml:space="preserve"> </w:t>
      </w:r>
      <w:r>
        <w:rPr>
          <w:w w:val="105"/>
        </w:rPr>
        <w:t>Disorder</w:t>
      </w:r>
      <w:r>
        <w:rPr>
          <w:spacing w:val="-11"/>
          <w:w w:val="105"/>
        </w:rPr>
        <w:t xml:space="preserve"> </w:t>
      </w:r>
      <w:r>
        <w:rPr>
          <w:w w:val="105"/>
        </w:rPr>
        <w:t>of</w:t>
      </w:r>
      <w:r>
        <w:rPr>
          <w:spacing w:val="-6"/>
          <w:w w:val="105"/>
        </w:rPr>
        <w:t xml:space="preserve"> </w:t>
      </w:r>
      <w:r>
        <w:rPr>
          <w:w w:val="105"/>
        </w:rPr>
        <w:t>Childhood,</w:t>
      </w:r>
      <w:r>
        <w:rPr>
          <w:spacing w:val="-1"/>
          <w:w w:val="105"/>
        </w:rPr>
        <w:t xml:space="preserve"> </w:t>
      </w:r>
      <w:r>
        <w:rPr>
          <w:w w:val="105"/>
        </w:rPr>
        <w:t>that</w:t>
      </w:r>
      <w:r>
        <w:rPr>
          <w:spacing w:val="-8"/>
          <w:w w:val="105"/>
        </w:rPr>
        <w:t xml:space="preserve"> </w:t>
      </w:r>
      <w:r>
        <w:rPr>
          <w:w w:val="105"/>
        </w:rPr>
        <w:t>have</w:t>
      </w:r>
      <w:r>
        <w:rPr>
          <w:spacing w:val="-13"/>
          <w:w w:val="105"/>
        </w:rPr>
        <w:t xml:space="preserve"> </w:t>
      </w:r>
      <w:r>
        <w:rPr>
          <w:w w:val="105"/>
        </w:rPr>
        <w:t>been subsumed under Generalized Anxiety Disorder and Social Phobia, respectively, because of similarities in essential</w:t>
      </w:r>
      <w:r>
        <w:rPr>
          <w:spacing w:val="48"/>
          <w:w w:val="105"/>
        </w:rPr>
        <w:t xml:space="preserve"> </w:t>
      </w:r>
      <w:r>
        <w:rPr>
          <w:w w:val="105"/>
        </w:rPr>
        <w:t>features.</w:t>
      </w:r>
    </w:p>
    <w:p w:rsidR="00E675F0" w:rsidRDefault="00E675F0" w:rsidP="00E675F0">
      <w:pPr>
        <w:pStyle w:val="BodyText"/>
      </w:pPr>
    </w:p>
    <w:p w:rsidR="00E675F0" w:rsidRDefault="00E675F0" w:rsidP="00E675F0">
      <w:pPr>
        <w:pStyle w:val="BodyText"/>
        <w:spacing w:before="6"/>
        <w:rPr>
          <w:sz w:val="23"/>
        </w:rPr>
      </w:pPr>
      <w:r>
        <w:rPr>
          <w:noProof/>
        </w:rPr>
        <mc:AlternateContent>
          <mc:Choice Requires="wps">
            <w:drawing>
              <wp:anchor distT="0" distB="0" distL="0" distR="0" simplePos="0" relativeHeight="251836416" behindDoc="1" locked="0" layoutInCell="1" allowOverlap="1" wp14:anchorId="7252B00C" wp14:editId="6938BA29">
                <wp:simplePos x="0" y="0"/>
                <wp:positionH relativeFrom="page">
                  <wp:posOffset>488950</wp:posOffset>
                </wp:positionH>
                <wp:positionV relativeFrom="paragraph">
                  <wp:posOffset>201930</wp:posOffset>
                </wp:positionV>
                <wp:extent cx="1405255" cy="1270"/>
                <wp:effectExtent l="0" t="0" r="4445" b="0"/>
                <wp:wrapTopAndBottom/>
                <wp:docPr id="1660" name="Freeform 16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5255" cy="1270"/>
                        </a:xfrm>
                        <a:custGeom>
                          <a:avLst/>
                          <a:gdLst>
                            <a:gd name="T0" fmla="+- 0 770 770"/>
                            <a:gd name="T1" fmla="*/ T0 w 2213"/>
                            <a:gd name="T2" fmla="+- 0 2982 770"/>
                            <a:gd name="T3" fmla="*/ T2 w 2213"/>
                          </a:gdLst>
                          <a:ahLst/>
                          <a:cxnLst>
                            <a:cxn ang="0">
                              <a:pos x="T1" y="0"/>
                            </a:cxn>
                            <a:cxn ang="0">
                              <a:pos x="T3" y="0"/>
                            </a:cxn>
                          </a:cxnLst>
                          <a:rect l="0" t="0" r="r" b="b"/>
                          <a:pathLst>
                            <a:path w="2213">
                              <a:moveTo>
                                <a:pt x="0" y="0"/>
                              </a:moveTo>
                              <a:lnTo>
                                <a:pt x="2212" y="0"/>
                              </a:lnTo>
                            </a:path>
                          </a:pathLst>
                        </a:custGeom>
                        <a:noFill/>
                        <a:ln w="915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709B2" id="Freeform 1616" o:spid="_x0000_s1026" style="position:absolute;margin-left:38.5pt;margin-top:15.9pt;width:110.65pt;height:.1pt;z-index:-251480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13,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" path="m,l2212,e" filled="f" strokeweight=".25433mm">
                <v:path arrowok="t" o:connecttype="custom" o:connectlocs="0,0;1404620,0" o:connectangles="0,0"/>
                <w10:wrap type="topAndBottom" anchorx="page"/>
              </v:shape>
            </w:pict>
          </mc:Fallback>
        </mc:AlternateContent>
      </w:r>
      <w:r>
        <w:rPr>
          <w:noProof/>
        </w:rPr>
        <mc:AlternateContent>
          <mc:Choice Requires="wps">
            <w:drawing>
              <wp:anchor distT="0" distB="0" distL="0" distR="0" simplePos="0" relativeHeight="251837440" behindDoc="1" locked="0" layoutInCell="1" allowOverlap="1" wp14:anchorId="404AB633" wp14:editId="0D3C8D4F">
                <wp:simplePos x="0" y="0"/>
                <wp:positionH relativeFrom="page">
                  <wp:posOffset>3653155</wp:posOffset>
                </wp:positionH>
                <wp:positionV relativeFrom="paragraph">
                  <wp:posOffset>201930</wp:posOffset>
                </wp:positionV>
                <wp:extent cx="1576705" cy="1270"/>
                <wp:effectExtent l="0" t="0" r="0" b="0"/>
                <wp:wrapTopAndBottom/>
                <wp:docPr id="1659" name="Freeform 16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6705" cy="1270"/>
                        </a:xfrm>
                        <a:custGeom>
                          <a:avLst/>
                          <a:gdLst>
                            <a:gd name="T0" fmla="+- 0 5753 5753"/>
                            <a:gd name="T1" fmla="*/ T0 w 2483"/>
                            <a:gd name="T2" fmla="+- 0 8235 5753"/>
                            <a:gd name="T3" fmla="*/ T2 w 2483"/>
                          </a:gdLst>
                          <a:ahLst/>
                          <a:cxnLst>
                            <a:cxn ang="0">
                              <a:pos x="T1" y="0"/>
                            </a:cxn>
                            <a:cxn ang="0">
                              <a:pos x="T3" y="0"/>
                            </a:cxn>
                          </a:cxnLst>
                          <a:rect l="0" t="0" r="r" b="b"/>
                          <a:pathLst>
                            <a:path w="2483">
                              <a:moveTo>
                                <a:pt x="0" y="0"/>
                              </a:moveTo>
                              <a:lnTo>
                                <a:pt x="2482" y="0"/>
                              </a:lnTo>
                            </a:path>
                          </a:pathLst>
                        </a:custGeom>
                        <a:noFill/>
                        <a:ln w="915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CE162" id="Freeform 1615" o:spid="_x0000_s1026" style="position:absolute;margin-left:287.65pt;margin-top:15.9pt;width:124.15pt;height:.1pt;z-index:-251479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483,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" path="m,l2482,e" filled="f" strokeweight=".25433mm">
                <v:path arrowok="t" o:connecttype="custom" o:connectlocs="0,0;1576070,0" o:connectangles="0,0"/>
                <w10:wrap type="topAndBottom" anchorx="page"/>
              </v:shape>
            </w:pict>
          </mc:Fallback>
        </mc:AlternateContent>
      </w:r>
    </w:p>
    <w:p w:rsidR="00E675F0" w:rsidRDefault="00E675F0" w:rsidP="00E675F0">
      <w:pPr>
        <w:spacing w:before="93" w:after="65"/>
        <w:ind w:left="136" w:right="103"/>
        <w:jc w:val="center"/>
        <w:rPr>
          <w:rFonts w:ascii="Arial"/>
          <w:b/>
          <w:sz w:val="25"/>
        </w:rPr>
      </w:pPr>
      <w:r>
        <w:rPr>
          <w:rFonts w:ascii="Arial"/>
          <w:b/>
          <w:color w:val="232323"/>
          <w:w w:val="110"/>
          <w:sz w:val="25"/>
        </w:rPr>
        <w:t>Mental Retardation</w:t>
      </w:r>
    </w:p>
    <w:p w:rsidR="00E675F0" w:rsidRDefault="00E675F0" w:rsidP="00E675F0">
      <w:pPr>
        <w:tabs>
          <w:tab w:val="left" w:pos="5243"/>
        </w:tabs>
        <w:spacing w:line="20" w:lineRule="exact"/>
        <w:ind w:left="141"/>
        <w:rPr>
          <w:rFonts w:ascii="Arial"/>
          <w:sz w:val="2"/>
        </w:rPr>
      </w:pPr>
      <w:r>
        <w:rPr>
          <w:rFonts w:ascii="Arial"/>
          <w:noProof/>
          <w:sz w:val="2"/>
        </w:rPr>
        <mc:AlternateContent>
          <mc:Choice Requires="wpg">
            <w:drawing>
              <wp:inline distT="0" distB="0" distL="0" distR="0" wp14:anchorId="6705CDD0" wp14:editId="64B594A7">
                <wp:extent cx="1393190" cy="9525"/>
                <wp:effectExtent l="0" t="0" r="3810" b="0"/>
                <wp:docPr id="1657" name="Group 1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3190" cy="9525"/>
                          <a:chOff x="0" y="0"/>
                          <a:chExt cx="2194" cy="15"/>
                        </a:xfrm>
                      </wpg:grpSpPr>
                      <wps:wsp>
                        <wps:cNvPr id="1658" name="Line 1614"/>
                        <wps:cNvCnPr>
                          <a:cxnSpLocks/>
                        </wps:cNvCnPr>
                        <wps:spPr bwMode="auto">
                          <a:xfrm>
                            <a:off x="0" y="7"/>
                            <a:ext cx="2193" cy="0"/>
                          </a:xfrm>
                          <a:prstGeom prst="line">
                            <a:avLst/>
                          </a:prstGeom>
                          <a:noFill/>
                          <a:ln w="915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2288BD9" id="Group 1613" o:spid="_x0000_s1026" style="width:109.7pt;height:.75pt;mso-position-horizontal-relative:char;mso-position-vertical-relative:line" coordsize="2194,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">
                <v:line id="Line 1614" o:spid="_x0000_s1027" style="position:absolute;visibility:visible;mso-wrap-style:square" from="0,7" to="219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" strokeweight=".25433mm">
                  <o:lock v:ext="edit" shapetype="f"/>
                </v:line>
                <w10:anchorlock/>
              </v:group>
            </w:pict>
          </mc:Fallback>
        </mc:AlternateContent>
      </w:r>
      <w:r>
        <w:rPr>
          <w:rFonts w:ascii="Arial"/>
          <w:sz w:val="2"/>
        </w:rPr>
        <w:tab/>
      </w:r>
      <w:r>
        <w:rPr>
          <w:rFonts w:ascii="Arial"/>
          <w:noProof/>
          <w:sz w:val="2"/>
        </w:rPr>
        <mc:AlternateContent>
          <mc:Choice Requires="wpg">
            <w:drawing>
              <wp:inline distT="0" distB="0" distL="0" distR="0" wp14:anchorId="2514C0AF" wp14:editId="2830B046">
                <wp:extent cx="1503045" cy="6350"/>
                <wp:effectExtent l="0" t="0" r="0" b="0"/>
                <wp:docPr id="1655" name="Group 1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3045" cy="6350"/>
                          <a:chOff x="0" y="0"/>
                          <a:chExt cx="2367" cy="10"/>
                        </a:xfrm>
                      </wpg:grpSpPr>
                      <wps:wsp>
                        <wps:cNvPr id="1656" name="Line 1612"/>
                        <wps:cNvCnPr>
                          <a:cxnSpLocks/>
                        </wps:cNvCnPr>
                        <wps:spPr bwMode="auto">
                          <a:xfrm>
                            <a:off x="0" y="5"/>
                            <a:ext cx="2367" cy="0"/>
                          </a:xfrm>
                          <a:prstGeom prst="line">
                            <a:avLst/>
                          </a:prstGeom>
                          <a:noFill/>
                          <a:ln w="610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72C7728" id="Group 1611" o:spid="_x0000_s1026" style="width:118.35pt;height:.5pt;mso-position-horizontal-relative:char;mso-position-vertical-relative:line" coordsize="2367,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">
                <v:line id="Line 1612" o:spid="_x0000_s1027" style="position:absolute;visibility:visible;mso-wrap-style:square" from="0,5" to="236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" strokeweight=".16956mm">
                  <o:lock v:ext="edit" shapetype="f"/>
                </v:line>
                <w10:anchorlock/>
              </v:group>
            </w:pict>
          </mc:Fallback>
        </mc:AlternateContent>
      </w:r>
    </w:p>
    <w:p w:rsidR="00E675F0" w:rsidRDefault="00E675F0" w:rsidP="00E675F0">
      <w:pPr>
        <w:pStyle w:val="BodyText"/>
        <w:spacing w:before="1"/>
        <w:rPr>
          <w:rFonts w:ascii="Arial"/>
          <w:b/>
          <w:sz w:val="29"/>
        </w:rPr>
      </w:pPr>
    </w:p>
    <w:p w:rsidR="00E675F0" w:rsidRDefault="00E675F0" w:rsidP="00E675F0">
      <w:pPr>
        <w:ind w:left="118"/>
        <w:jc w:val="both"/>
        <w:rPr>
          <w:rFonts w:ascii="TimesNewRomanPS-BoldItalicMT"/>
          <w:b/>
          <w:i/>
          <w:sz w:val="21"/>
        </w:rPr>
      </w:pPr>
      <w:r>
        <w:rPr>
          <w:rFonts w:ascii="TimesNewRomanPS-BoldItalicMT"/>
          <w:b/>
          <w:i/>
          <w:w w:val="125"/>
          <w:sz w:val="21"/>
        </w:rPr>
        <w:t>Di-agnostic Features</w:t>
      </w:r>
    </w:p>
    <w:p w:rsidR="00E675F0" w:rsidRDefault="00E675F0" w:rsidP="00E675F0">
      <w:pPr>
        <w:pStyle w:val="BodyText"/>
        <w:spacing w:before="129" w:line="252" w:lineRule="auto"/>
        <w:ind w:left="132" w:right="110" w:hanging="4"/>
        <w:jc w:val="both"/>
      </w:pPr>
      <w:r>
        <w:rPr>
          <w:w w:val="105"/>
        </w:rPr>
        <w:t>The</w:t>
      </w:r>
      <w:r>
        <w:rPr>
          <w:spacing w:val="-26"/>
          <w:w w:val="105"/>
        </w:rPr>
        <w:t xml:space="preserve"> </w:t>
      </w:r>
      <w:r>
        <w:rPr>
          <w:w w:val="105"/>
        </w:rPr>
        <w:t>essential</w:t>
      </w:r>
      <w:r>
        <w:rPr>
          <w:spacing w:val="-12"/>
          <w:w w:val="105"/>
        </w:rPr>
        <w:t xml:space="preserve"> </w:t>
      </w:r>
      <w:r>
        <w:rPr>
          <w:w w:val="105"/>
        </w:rPr>
        <w:t>feature</w:t>
      </w:r>
      <w:r>
        <w:rPr>
          <w:spacing w:val="-17"/>
          <w:w w:val="105"/>
        </w:rPr>
        <w:t xml:space="preserve"> </w:t>
      </w:r>
      <w:r>
        <w:rPr>
          <w:w w:val="105"/>
        </w:rPr>
        <w:t>of</w:t>
      </w:r>
      <w:r>
        <w:rPr>
          <w:spacing w:val="-17"/>
          <w:w w:val="105"/>
        </w:rPr>
        <w:t xml:space="preserve"> </w:t>
      </w:r>
      <w:r>
        <w:rPr>
          <w:w w:val="105"/>
        </w:rPr>
        <w:t>Mental</w:t>
      </w:r>
      <w:r>
        <w:rPr>
          <w:spacing w:val="-17"/>
          <w:w w:val="105"/>
        </w:rPr>
        <w:t xml:space="preserve"> </w:t>
      </w:r>
      <w:r>
        <w:rPr>
          <w:w w:val="105"/>
        </w:rPr>
        <w:t>Retardation</w:t>
      </w:r>
      <w:r>
        <w:rPr>
          <w:spacing w:val="-9"/>
          <w:w w:val="105"/>
        </w:rPr>
        <w:t xml:space="preserve"> </w:t>
      </w:r>
      <w:r>
        <w:rPr>
          <w:w w:val="105"/>
        </w:rPr>
        <w:t>is</w:t>
      </w:r>
      <w:r>
        <w:rPr>
          <w:spacing w:val="-26"/>
          <w:w w:val="105"/>
        </w:rPr>
        <w:t xml:space="preserve"> </w:t>
      </w:r>
      <w:r>
        <w:rPr>
          <w:w w:val="105"/>
        </w:rPr>
        <w:t>significantly</w:t>
      </w:r>
      <w:r>
        <w:rPr>
          <w:spacing w:val="-13"/>
          <w:w w:val="105"/>
        </w:rPr>
        <w:t xml:space="preserve"> </w:t>
      </w:r>
      <w:r>
        <w:rPr>
          <w:w w:val="105"/>
        </w:rPr>
        <w:t>subaverage</w:t>
      </w:r>
      <w:r>
        <w:rPr>
          <w:spacing w:val="-18"/>
          <w:w w:val="105"/>
        </w:rPr>
        <w:t xml:space="preserve"> </w:t>
      </w:r>
      <w:r>
        <w:rPr>
          <w:w w:val="105"/>
        </w:rPr>
        <w:t>general</w:t>
      </w:r>
      <w:r>
        <w:rPr>
          <w:spacing w:val="-16"/>
          <w:w w:val="105"/>
        </w:rPr>
        <w:t xml:space="preserve"> </w:t>
      </w:r>
      <w:r>
        <w:rPr>
          <w:w w:val="105"/>
        </w:rPr>
        <w:t>intellectual functioning (Criterion A) that is accompanied by significant limitations in adaptive functioning in at least two of the following skill areas: communication, self-care, home living, social/interpersonal skills, use of community resources, self-direction, functional academic skills, work, leisure, health, and safety (Criterion B). The onset must occur before age 18 years (Criterion C). Mental Retardation has many different etiologies and may be seen as a final common pathway of various pathological  processes that affect the functioning of the central nervous system.</w:t>
      </w:r>
    </w:p>
    <w:p w:rsidR="00E675F0" w:rsidRDefault="00E675F0" w:rsidP="00E675F0">
      <w:pPr>
        <w:pStyle w:val="BodyText"/>
        <w:spacing w:before="5" w:line="254" w:lineRule="auto"/>
        <w:ind w:left="130" w:right="109" w:firstLine="376"/>
        <w:jc w:val="both"/>
      </w:pPr>
      <w:r>
        <w:rPr>
          <w:i/>
          <w:w w:val="105"/>
        </w:rPr>
        <w:t xml:space="preserve">General intellectual functioning </w:t>
      </w:r>
      <w:r>
        <w:rPr>
          <w:w w:val="105"/>
        </w:rPr>
        <w:t xml:space="preserve">is defined by the intelligence quotient (IQ or IQ-equivalent) obtained by assessment with one or more of the standardized, individ­ ually administered intelligence tests (e.g., Wechsler Intelligence Scales for Children­ Revised, Stanford-Binet, Kaufman Assessment Battery for Children). Significantly subaverage intellectual functioning is defined as an IQ of about 70 or below (approxi­ mately 2 standard deviations below the mean). </w:t>
      </w:r>
      <w:r>
        <w:rPr>
          <w:w w:val="105"/>
          <w:sz w:val="18"/>
        </w:rPr>
        <w:t xml:space="preserve">It </w:t>
      </w:r>
      <w:r>
        <w:rPr>
          <w:w w:val="105"/>
        </w:rPr>
        <w:t>should be noted that there is a measurement error of approximately 5 points in assessing IQ, although this may vary from instrument to instrument (e.g., a Wechsler IQ of 70 is considered to represent a range of 65-75). Thus, it is possible to diagnose Mental Retardation in individuals with</w:t>
      </w:r>
    </w:p>
    <w:p w:rsidR="00E675F0" w:rsidRDefault="00E675F0" w:rsidP="00E675F0">
      <w:pPr>
        <w:spacing w:line="254" w:lineRule="auto"/>
        <w:jc w:val="both"/>
        <w:sectPr w:rsidR="00E675F0">
          <w:pgSz w:w="8960" w:h="14260"/>
          <w:pgMar w:top="1400" w:right="620" w:bottom="280" w:left="620" w:header="683" w:footer="0" w:gutter="0"/>
          <w:cols w:space="720"/>
        </w:sectPr>
      </w:pPr>
    </w:p>
    <w:p w:rsidR="00E675F0" w:rsidRDefault="00E675F0" w:rsidP="00E675F0">
      <w:pPr>
        <w:pStyle w:val="BodyText"/>
        <w:spacing w:before="136" w:line="254" w:lineRule="auto"/>
        <w:ind w:left="107" w:right="122" w:firstLine="4"/>
        <w:jc w:val="both"/>
      </w:pPr>
      <w:r>
        <w:rPr>
          <w:w w:val="105"/>
        </w:rPr>
        <w:lastRenderedPageBreak/>
        <w:t>IQs between 70 and 75 who exhibit significant deficits in adaptive behavior. Conversely, Mental Retardation would not be diagnosed  in an individual  with an  IQ lower than 70 if there are no significant deficits or impairments in adaptive functioning. The choice of testing instruments and interpretation of results should take into account factors that  may limit test performance (e.g., the individual's sociocultural background, native language, and associated communicative, motor,  and  sensory handicaps).  When there is significant scatter in the subtest scores, the profile of strengths and weaknesses, rather than the mathematically derived full-scale IQ, will more accurately reflect the person's learning abilities. When there is a marked discrepancy across verbal and performance scores, averaging to obtain a full-scale IQ score can be</w:t>
      </w:r>
      <w:r>
        <w:rPr>
          <w:spacing w:val="14"/>
          <w:w w:val="105"/>
        </w:rPr>
        <w:t xml:space="preserve"> </w:t>
      </w:r>
      <w:r>
        <w:rPr>
          <w:w w:val="105"/>
        </w:rPr>
        <w:t>misleading.</w:t>
      </w:r>
    </w:p>
    <w:p w:rsidR="00E675F0" w:rsidRDefault="00E675F0" w:rsidP="00E675F0">
      <w:pPr>
        <w:pStyle w:val="BodyText"/>
        <w:spacing w:before="4" w:line="254" w:lineRule="auto"/>
        <w:ind w:left="107" w:right="121" w:firstLine="365"/>
        <w:jc w:val="both"/>
      </w:pPr>
      <w:r>
        <w:rPr>
          <w:w w:val="105"/>
        </w:rPr>
        <w:t xml:space="preserve">Impairments in adaptive functioning, rather than a low IQ, are usually the presenting symptoms in individuals with Mental Retardation. </w:t>
      </w:r>
      <w:r>
        <w:rPr>
          <w:i/>
          <w:w w:val="105"/>
          <w:sz w:val="21"/>
        </w:rPr>
        <w:t xml:space="preserve">Adaptive functioning </w:t>
      </w:r>
      <w:r>
        <w:rPr>
          <w:w w:val="105"/>
        </w:rPr>
        <w:t>refers to how effectively individuals cope with common life demands and how well they meet the standards of personal independence expected of someone in their particular age group, sociocultural background, and community setting. Adaptive functioning may be influ­ enced by various factors, including education, motivation, personality characteristics, social and vocational opportunities, and the mental disorders and general medical conditions that may coexist with Mental Retardation. Problems in adaptation are more likely to improve with remedial efforts  than is the cognitive IQ, which tends  to remain a more stable</w:t>
      </w:r>
      <w:r>
        <w:rPr>
          <w:spacing w:val="-17"/>
          <w:w w:val="105"/>
        </w:rPr>
        <w:t xml:space="preserve"> </w:t>
      </w:r>
      <w:r>
        <w:rPr>
          <w:w w:val="105"/>
        </w:rPr>
        <w:t>attribute.</w:t>
      </w:r>
    </w:p>
    <w:p w:rsidR="00E675F0" w:rsidRDefault="00E675F0" w:rsidP="00E675F0">
      <w:pPr>
        <w:pStyle w:val="BodyText"/>
        <w:spacing w:line="217" w:lineRule="exact"/>
        <w:ind w:left="465"/>
        <w:jc w:val="both"/>
      </w:pPr>
      <w:r>
        <w:rPr>
          <w:rFonts w:ascii="Arial"/>
          <w:w w:val="105"/>
          <w:sz w:val="18"/>
        </w:rPr>
        <w:t xml:space="preserve">It </w:t>
      </w:r>
      <w:r>
        <w:rPr>
          <w:w w:val="105"/>
        </w:rPr>
        <w:t>is useful to gather evidence for deficits in adaptive functioning from one or more</w:t>
      </w:r>
    </w:p>
    <w:p w:rsidR="00E675F0" w:rsidRDefault="00E675F0" w:rsidP="00E675F0">
      <w:pPr>
        <w:pStyle w:val="BodyText"/>
        <w:spacing w:before="16" w:line="252" w:lineRule="auto"/>
        <w:ind w:left="107" w:right="117" w:firstLine="8"/>
        <w:jc w:val="both"/>
      </w:pPr>
      <w:r>
        <w:rPr>
          <w:w w:val="105"/>
        </w:rPr>
        <w:t>reliable independent sources (e.g., teacher evaluation and educational, developmental, and medical history). Several scales have also been designed to measure adaptive functioning or behavior (e.g., the Vineland Adaptive Behavior Scales and the American Association on Mental Retardation Adaptive Behavior Scale). These scales generally provide</w:t>
      </w:r>
      <w:r>
        <w:rPr>
          <w:spacing w:val="-5"/>
          <w:w w:val="105"/>
        </w:rPr>
        <w:t xml:space="preserve"> </w:t>
      </w:r>
      <w:r>
        <w:rPr>
          <w:w w:val="105"/>
        </w:rPr>
        <w:t>a</w:t>
      </w:r>
      <w:r>
        <w:rPr>
          <w:spacing w:val="-11"/>
          <w:w w:val="105"/>
        </w:rPr>
        <w:t xml:space="preserve"> </w:t>
      </w:r>
      <w:r>
        <w:rPr>
          <w:w w:val="105"/>
        </w:rPr>
        <w:t>clinical</w:t>
      </w:r>
      <w:r>
        <w:rPr>
          <w:spacing w:val="1"/>
          <w:w w:val="105"/>
        </w:rPr>
        <w:t xml:space="preserve"> </w:t>
      </w:r>
      <w:r>
        <w:rPr>
          <w:w w:val="105"/>
        </w:rPr>
        <w:t>cutoff</w:t>
      </w:r>
      <w:r>
        <w:rPr>
          <w:spacing w:val="-6"/>
          <w:w w:val="105"/>
        </w:rPr>
        <w:t xml:space="preserve"> </w:t>
      </w:r>
      <w:r>
        <w:rPr>
          <w:w w:val="105"/>
        </w:rPr>
        <w:t>score</w:t>
      </w:r>
      <w:r>
        <w:rPr>
          <w:spacing w:val="-7"/>
          <w:w w:val="105"/>
        </w:rPr>
        <w:t xml:space="preserve"> </w:t>
      </w:r>
      <w:r>
        <w:rPr>
          <w:w w:val="105"/>
        </w:rPr>
        <w:t>that</w:t>
      </w:r>
      <w:r>
        <w:rPr>
          <w:spacing w:val="-4"/>
          <w:w w:val="105"/>
        </w:rPr>
        <w:t xml:space="preserve"> </w:t>
      </w:r>
      <w:r>
        <w:rPr>
          <w:w w:val="105"/>
        </w:rPr>
        <w:t>is</w:t>
      </w:r>
      <w:r>
        <w:rPr>
          <w:spacing w:val="-19"/>
          <w:w w:val="105"/>
        </w:rPr>
        <w:t xml:space="preserve"> </w:t>
      </w:r>
      <w:r>
        <w:rPr>
          <w:w w:val="105"/>
        </w:rPr>
        <w:t>a</w:t>
      </w:r>
      <w:r>
        <w:rPr>
          <w:spacing w:val="-12"/>
          <w:w w:val="105"/>
        </w:rPr>
        <w:t xml:space="preserve"> </w:t>
      </w:r>
      <w:r>
        <w:rPr>
          <w:w w:val="105"/>
        </w:rPr>
        <w:t>composite</w:t>
      </w:r>
      <w:r>
        <w:rPr>
          <w:spacing w:val="-5"/>
          <w:w w:val="105"/>
        </w:rPr>
        <w:t xml:space="preserve"> </w:t>
      </w:r>
      <w:r>
        <w:rPr>
          <w:w w:val="105"/>
        </w:rPr>
        <w:t>of</w:t>
      </w:r>
      <w:r>
        <w:rPr>
          <w:spacing w:val="-1"/>
          <w:w w:val="105"/>
        </w:rPr>
        <w:t xml:space="preserve"> </w:t>
      </w:r>
      <w:r>
        <w:rPr>
          <w:w w:val="105"/>
        </w:rPr>
        <w:t>performance</w:t>
      </w:r>
      <w:r>
        <w:rPr>
          <w:spacing w:val="2"/>
          <w:w w:val="105"/>
        </w:rPr>
        <w:t xml:space="preserve"> </w:t>
      </w:r>
      <w:r>
        <w:rPr>
          <w:w w:val="105"/>
        </w:rPr>
        <w:t>in</w:t>
      </w:r>
      <w:r>
        <w:rPr>
          <w:spacing w:val="-11"/>
          <w:w w:val="105"/>
        </w:rPr>
        <w:t xml:space="preserve"> </w:t>
      </w:r>
      <w:r>
        <w:rPr>
          <w:w w:val="105"/>
        </w:rPr>
        <w:t>a</w:t>
      </w:r>
      <w:r>
        <w:rPr>
          <w:spacing w:val="-7"/>
          <w:w w:val="105"/>
        </w:rPr>
        <w:t xml:space="preserve"> </w:t>
      </w:r>
      <w:r>
        <w:rPr>
          <w:w w:val="105"/>
        </w:rPr>
        <w:t>number</w:t>
      </w:r>
      <w:r>
        <w:rPr>
          <w:spacing w:val="-2"/>
          <w:w w:val="105"/>
        </w:rPr>
        <w:t xml:space="preserve"> </w:t>
      </w:r>
      <w:r>
        <w:rPr>
          <w:w w:val="105"/>
        </w:rPr>
        <w:t>of</w:t>
      </w:r>
      <w:r>
        <w:rPr>
          <w:spacing w:val="-2"/>
          <w:w w:val="105"/>
        </w:rPr>
        <w:t xml:space="preserve"> </w:t>
      </w:r>
      <w:r>
        <w:rPr>
          <w:w w:val="105"/>
        </w:rPr>
        <w:t xml:space="preserve">adaptive skill domains. </w:t>
      </w:r>
      <w:r>
        <w:rPr>
          <w:rFonts w:ascii="Arial"/>
          <w:w w:val="105"/>
          <w:sz w:val="18"/>
        </w:rPr>
        <w:t xml:space="preserve">It </w:t>
      </w:r>
      <w:r>
        <w:rPr>
          <w:w w:val="105"/>
        </w:rPr>
        <w:t>should be noted that scores for certain individual domains are not included in some of these instruments and that individual domain scores may vary considerably in reliability. As in the assessment of intellectual functioning, consideration should be given to the suitability of the instrument to the person's sociocultural background, education, associated handicaps, motivation, and cooperation. For instance, the presence of significant handicaps invalidates many adaptive scale norms. In addition, behaviors that would normally be considered maladaptive (e.g., dependency, passivity) may be evidence of good adaptation in the context of a particular individual's life (e.g., in some institutional</w:t>
      </w:r>
      <w:r>
        <w:rPr>
          <w:spacing w:val="32"/>
          <w:w w:val="105"/>
        </w:rPr>
        <w:t xml:space="preserve"> </w:t>
      </w:r>
      <w:r>
        <w:rPr>
          <w:w w:val="105"/>
        </w:rPr>
        <w:t>settings).</w:t>
      </w:r>
    </w:p>
    <w:p w:rsidR="00E675F0" w:rsidRDefault="00E675F0" w:rsidP="00E675F0">
      <w:pPr>
        <w:pStyle w:val="BodyText"/>
        <w:rPr>
          <w:sz w:val="22"/>
        </w:rPr>
      </w:pPr>
    </w:p>
    <w:p w:rsidR="00E675F0" w:rsidRDefault="00E675F0" w:rsidP="00E675F0">
      <w:pPr>
        <w:pStyle w:val="BodyText"/>
        <w:spacing w:before="8"/>
        <w:rPr>
          <w:sz w:val="19"/>
        </w:rPr>
      </w:pPr>
    </w:p>
    <w:p w:rsidR="00E675F0" w:rsidRDefault="00E675F0" w:rsidP="00E675F0">
      <w:pPr>
        <w:spacing w:before="1"/>
        <w:ind w:left="102"/>
        <w:jc w:val="both"/>
        <w:rPr>
          <w:rFonts w:ascii="TimesNewRomanPS-BoldItalicMT"/>
          <w:b/>
          <w:i/>
          <w:sz w:val="25"/>
        </w:rPr>
      </w:pPr>
      <w:r>
        <w:rPr>
          <w:rFonts w:ascii="TimesNewRomanPS-BoldItalicMT"/>
          <w:b/>
          <w:i/>
          <w:w w:val="110"/>
          <w:sz w:val="25"/>
        </w:rPr>
        <w:t>Degrees of Severity of Mental</w:t>
      </w:r>
      <w:r>
        <w:rPr>
          <w:rFonts w:ascii="TimesNewRomanPS-BoldItalicMT"/>
          <w:b/>
          <w:i/>
          <w:spacing w:val="51"/>
          <w:w w:val="110"/>
          <w:sz w:val="25"/>
        </w:rPr>
        <w:t xml:space="preserve"> </w:t>
      </w:r>
      <w:r>
        <w:rPr>
          <w:rFonts w:ascii="TimesNewRomanPS-BoldItalicMT"/>
          <w:b/>
          <w:i/>
          <w:w w:val="110"/>
          <w:sz w:val="25"/>
        </w:rPr>
        <w:t>Retardation</w:t>
      </w:r>
    </w:p>
    <w:p w:rsidR="00E675F0" w:rsidRDefault="00E675F0" w:rsidP="00E675F0">
      <w:pPr>
        <w:pStyle w:val="BodyText"/>
        <w:spacing w:before="158" w:line="252" w:lineRule="auto"/>
        <w:ind w:left="118" w:right="130" w:hanging="1"/>
        <w:jc w:val="both"/>
      </w:pPr>
      <w:r>
        <w:rPr>
          <w:w w:val="105"/>
        </w:rPr>
        <w:t>Four degrees of severity can be specified, reflecting the level of intellectual impairment: Mild, Moderate, Severe, and Profound.</w:t>
      </w:r>
    </w:p>
    <w:p w:rsidR="00E675F0" w:rsidRDefault="00E675F0" w:rsidP="00E675F0">
      <w:pPr>
        <w:spacing w:line="252" w:lineRule="auto"/>
        <w:jc w:val="both"/>
        <w:sectPr w:rsidR="00E675F0">
          <w:pgSz w:w="8960" w:h="14260"/>
          <w:pgMar w:top="1400" w:right="620" w:bottom="280" w:left="620" w:header="692" w:footer="0" w:gutter="0"/>
          <w:cols w:space="720"/>
        </w:sectPr>
      </w:pPr>
    </w:p>
    <w:p w:rsidR="00E675F0" w:rsidRDefault="00E675F0" w:rsidP="00E675F0">
      <w:pPr>
        <w:tabs>
          <w:tab w:val="left" w:pos="1383"/>
        </w:tabs>
        <w:spacing w:before="70"/>
        <w:ind w:left="729"/>
        <w:rPr>
          <w:b/>
          <w:sz w:val="20"/>
        </w:rPr>
      </w:pPr>
      <w:r>
        <w:rPr>
          <w:b/>
          <w:w w:val="105"/>
          <w:sz w:val="20"/>
        </w:rPr>
        <w:t>317</w:t>
      </w:r>
      <w:r>
        <w:rPr>
          <w:b/>
          <w:w w:val="105"/>
          <w:sz w:val="20"/>
        </w:rPr>
        <w:tab/>
        <w:t>Mild Mental</w:t>
      </w:r>
      <w:r>
        <w:rPr>
          <w:b/>
          <w:spacing w:val="-5"/>
          <w:w w:val="105"/>
          <w:sz w:val="20"/>
        </w:rPr>
        <w:t xml:space="preserve"> </w:t>
      </w:r>
      <w:r>
        <w:rPr>
          <w:b/>
          <w:w w:val="105"/>
          <w:sz w:val="20"/>
        </w:rPr>
        <w:t>Retardation:</w:t>
      </w:r>
    </w:p>
    <w:p w:rsidR="00E675F0" w:rsidRDefault="00E675F0" w:rsidP="003048D3">
      <w:pPr>
        <w:pStyle w:val="ListParagraph"/>
        <w:numPr>
          <w:ilvl w:val="1"/>
          <w:numId w:val="115"/>
        </w:numPr>
        <w:tabs>
          <w:tab w:val="left" w:pos="1374"/>
        </w:tabs>
        <w:spacing w:before="15"/>
        <w:ind w:hanging="645"/>
        <w:rPr>
          <w:b/>
          <w:sz w:val="20"/>
        </w:rPr>
      </w:pPr>
      <w:r>
        <w:rPr>
          <w:b/>
          <w:w w:val="105"/>
          <w:sz w:val="20"/>
        </w:rPr>
        <w:t>Moderate</w:t>
      </w:r>
      <w:r>
        <w:rPr>
          <w:b/>
          <w:spacing w:val="-5"/>
          <w:w w:val="105"/>
          <w:sz w:val="20"/>
        </w:rPr>
        <w:t xml:space="preserve"> </w:t>
      </w:r>
      <w:r>
        <w:rPr>
          <w:b/>
          <w:w w:val="105"/>
          <w:sz w:val="20"/>
        </w:rPr>
        <w:t>Retardation:</w:t>
      </w:r>
    </w:p>
    <w:p w:rsidR="00E675F0" w:rsidRDefault="00E675F0" w:rsidP="003048D3">
      <w:pPr>
        <w:numPr>
          <w:ilvl w:val="1"/>
          <w:numId w:val="115"/>
        </w:numPr>
        <w:tabs>
          <w:tab w:val="left" w:pos="1368"/>
        </w:tabs>
        <w:spacing w:before="10"/>
        <w:ind w:left="1367"/>
        <w:rPr>
          <w:b/>
          <w:sz w:val="20"/>
        </w:rPr>
      </w:pPr>
      <w:r>
        <w:rPr>
          <w:b/>
          <w:w w:val="105"/>
          <w:sz w:val="20"/>
        </w:rPr>
        <w:t>Severe Mental</w:t>
      </w:r>
      <w:r>
        <w:rPr>
          <w:b/>
          <w:spacing w:val="17"/>
          <w:w w:val="105"/>
          <w:sz w:val="20"/>
        </w:rPr>
        <w:t xml:space="preserve"> </w:t>
      </w:r>
      <w:r>
        <w:rPr>
          <w:b/>
          <w:w w:val="105"/>
          <w:sz w:val="20"/>
        </w:rPr>
        <w:t>Retardation:</w:t>
      </w:r>
    </w:p>
    <w:p w:rsidR="00E675F0" w:rsidRDefault="00E675F0" w:rsidP="003048D3">
      <w:pPr>
        <w:pStyle w:val="ListParagraph"/>
        <w:numPr>
          <w:ilvl w:val="1"/>
          <w:numId w:val="115"/>
        </w:numPr>
        <w:tabs>
          <w:tab w:val="left" w:pos="1373"/>
        </w:tabs>
        <w:spacing w:before="15"/>
        <w:ind w:left="1372"/>
        <w:rPr>
          <w:b/>
          <w:sz w:val="20"/>
        </w:rPr>
      </w:pPr>
      <w:r>
        <w:rPr>
          <w:b/>
          <w:w w:val="105"/>
          <w:sz w:val="20"/>
        </w:rPr>
        <w:t>Profound Mental</w:t>
      </w:r>
      <w:r>
        <w:rPr>
          <w:b/>
          <w:spacing w:val="32"/>
          <w:w w:val="105"/>
          <w:sz w:val="20"/>
        </w:rPr>
        <w:t xml:space="preserve"> </w:t>
      </w:r>
      <w:r>
        <w:rPr>
          <w:b/>
          <w:w w:val="105"/>
          <w:sz w:val="20"/>
        </w:rPr>
        <w:t>Retardation:</w:t>
      </w:r>
    </w:p>
    <w:p w:rsidR="00E675F0" w:rsidRDefault="00E675F0" w:rsidP="00E675F0">
      <w:pPr>
        <w:pStyle w:val="BodyText"/>
        <w:spacing w:before="74"/>
        <w:ind w:left="182"/>
      </w:pPr>
      <w:r>
        <w:br w:type="column"/>
      </w:r>
      <w:r>
        <w:rPr>
          <w:w w:val="105"/>
        </w:rPr>
        <w:t>IQ level 50-55 to approximately 70</w:t>
      </w:r>
    </w:p>
    <w:p w:rsidR="00E675F0" w:rsidRDefault="00E675F0" w:rsidP="00E675F0">
      <w:pPr>
        <w:pStyle w:val="BodyText"/>
        <w:spacing w:before="16"/>
        <w:ind w:left="177"/>
      </w:pPr>
      <w:r>
        <w:rPr>
          <w:w w:val="110"/>
        </w:rPr>
        <w:t>IQ level 35-40 to 50-55</w:t>
      </w:r>
    </w:p>
    <w:p w:rsidR="00E675F0" w:rsidRDefault="00E675F0" w:rsidP="00E675F0">
      <w:pPr>
        <w:pStyle w:val="BodyText"/>
        <w:spacing w:before="10"/>
        <w:ind w:left="177"/>
      </w:pPr>
      <w:r>
        <w:rPr>
          <w:w w:val="105"/>
        </w:rPr>
        <w:t>IQ level  20-25 to</w:t>
      </w:r>
      <w:r>
        <w:rPr>
          <w:spacing w:val="9"/>
          <w:w w:val="105"/>
        </w:rPr>
        <w:t xml:space="preserve"> </w:t>
      </w:r>
      <w:r>
        <w:rPr>
          <w:w w:val="105"/>
        </w:rPr>
        <w:t>35-40</w:t>
      </w:r>
    </w:p>
    <w:p w:rsidR="00E675F0" w:rsidRDefault="00E675F0" w:rsidP="00E675F0">
      <w:pPr>
        <w:pStyle w:val="BodyText"/>
        <w:spacing w:before="10"/>
        <w:ind w:left="182"/>
      </w:pPr>
      <w:r>
        <w:rPr>
          <w:w w:val="105"/>
        </w:rPr>
        <w:t xml:space="preserve">IQ level below 20 or </w:t>
      </w:r>
      <w:r>
        <w:rPr>
          <w:spacing w:val="1"/>
          <w:w w:val="105"/>
        </w:rPr>
        <w:t xml:space="preserve"> </w:t>
      </w:r>
      <w:r>
        <w:rPr>
          <w:w w:val="105"/>
        </w:rPr>
        <w:t>25</w:t>
      </w:r>
    </w:p>
    <w:p w:rsidR="00E675F0" w:rsidRDefault="00E675F0" w:rsidP="00E675F0">
      <w:pPr>
        <w:sectPr w:rsidR="00E675F0">
          <w:type w:val="continuous"/>
          <w:pgSz w:w="8960" w:h="14260"/>
          <w:pgMar w:top="640" w:right="620" w:bottom="0" w:left="620" w:header="720" w:footer="720" w:gutter="0"/>
          <w:cols w:num="2" w:space="720" w:equalWidth="0">
            <w:col w:w="4186" w:space="40"/>
            <w:col w:w="3494"/>
          </w:cols>
        </w:sectPr>
      </w:pPr>
    </w:p>
    <w:p w:rsidR="00E675F0" w:rsidRDefault="00E675F0" w:rsidP="00E675F0">
      <w:pPr>
        <w:pStyle w:val="BodyText"/>
        <w:spacing w:before="8"/>
        <w:rPr>
          <w:sz w:val="14"/>
        </w:rPr>
      </w:pPr>
    </w:p>
    <w:p w:rsidR="00E675F0" w:rsidRDefault="00E675F0" w:rsidP="00E675F0">
      <w:pPr>
        <w:pStyle w:val="BodyText"/>
        <w:spacing w:before="92" w:line="256" w:lineRule="auto"/>
        <w:ind w:left="112" w:right="114" w:firstLine="372"/>
        <w:jc w:val="both"/>
      </w:pPr>
      <w:r>
        <w:rPr>
          <w:b/>
          <w:w w:val="105"/>
        </w:rPr>
        <w:t xml:space="preserve">319 Mental Retardation, Severity Unspecified, </w:t>
      </w:r>
      <w:r>
        <w:rPr>
          <w:w w:val="105"/>
        </w:rPr>
        <w:t>can be used when there  is  a strong presumption of Mental Retardation but the person's intelligence is untestable by standard tests (e.g., with individuals too impaired or uncooperative, or with</w:t>
      </w:r>
      <w:r>
        <w:rPr>
          <w:spacing w:val="18"/>
          <w:w w:val="105"/>
        </w:rPr>
        <w:t xml:space="preserve"> </w:t>
      </w:r>
      <w:r>
        <w:rPr>
          <w:w w:val="105"/>
        </w:rPr>
        <w:t>infants).</w:t>
      </w:r>
    </w:p>
    <w:p w:rsidR="00E675F0" w:rsidRDefault="00E675F0" w:rsidP="00E675F0">
      <w:pPr>
        <w:spacing w:line="256" w:lineRule="auto"/>
        <w:jc w:val="both"/>
        <w:sectPr w:rsidR="00E675F0">
          <w:type w:val="continuous"/>
          <w:pgSz w:w="8960" w:h="14260"/>
          <w:pgMar w:top="640" w:right="620" w:bottom="0" w:left="620" w:header="720" w:footer="720" w:gutter="0"/>
          <w:cols w:space="720"/>
        </w:sectPr>
      </w:pPr>
    </w:p>
    <w:p w:rsidR="00E675F0" w:rsidRDefault="00E675F0" w:rsidP="00E675F0">
      <w:pPr>
        <w:tabs>
          <w:tab w:val="left" w:pos="674"/>
        </w:tabs>
        <w:spacing w:before="158"/>
        <w:ind w:right="5"/>
        <w:jc w:val="center"/>
        <w:rPr>
          <w:rFonts w:ascii="Arial"/>
          <w:b/>
          <w:sz w:val="25"/>
        </w:rPr>
      </w:pPr>
      <w:bookmarkStart w:id="28" w:name="_bookmark14"/>
      <w:bookmarkEnd w:id="28"/>
      <w:r>
        <w:rPr>
          <w:rFonts w:ascii="Arial"/>
          <w:b/>
          <w:spacing w:val="10"/>
          <w:w w:val="110"/>
          <w:sz w:val="25"/>
        </w:rPr>
        <w:lastRenderedPageBreak/>
        <w:t>3I</w:t>
      </w:r>
      <w:r>
        <w:rPr>
          <w:rFonts w:ascii="Arial"/>
          <w:b/>
          <w:spacing w:val="-13"/>
          <w:w w:val="110"/>
          <w:sz w:val="25"/>
        </w:rPr>
        <w:t xml:space="preserve"> </w:t>
      </w:r>
      <w:r>
        <w:rPr>
          <w:rFonts w:ascii="Arial"/>
          <w:b/>
          <w:w w:val="110"/>
          <w:sz w:val="25"/>
        </w:rPr>
        <w:t>7</w:t>
      </w:r>
      <w:r>
        <w:rPr>
          <w:rFonts w:ascii="Arial"/>
          <w:b/>
          <w:w w:val="110"/>
          <w:sz w:val="25"/>
        </w:rPr>
        <w:tab/>
        <w:t>Mild Mental</w:t>
      </w:r>
      <w:r>
        <w:rPr>
          <w:rFonts w:ascii="Arial"/>
          <w:b/>
          <w:spacing w:val="-39"/>
          <w:w w:val="110"/>
          <w:sz w:val="25"/>
        </w:rPr>
        <w:t xml:space="preserve"> </w:t>
      </w:r>
      <w:r>
        <w:rPr>
          <w:rFonts w:ascii="Arial"/>
          <w:b/>
          <w:w w:val="110"/>
          <w:sz w:val="25"/>
        </w:rPr>
        <w:t>Retardation</w:t>
      </w:r>
    </w:p>
    <w:p w:rsidR="00E675F0" w:rsidRDefault="00E675F0" w:rsidP="00E675F0">
      <w:pPr>
        <w:pStyle w:val="BodyText"/>
        <w:spacing w:before="227" w:line="254" w:lineRule="auto"/>
        <w:ind w:left="111" w:right="119" w:firstLine="3"/>
        <w:jc w:val="both"/>
      </w:pPr>
      <w:r>
        <w:rPr>
          <w:w w:val="105"/>
        </w:rPr>
        <w:t xml:space="preserve">Mild Mental Retardation is roughly equivalent to what used to be referred to as the educational category of "educable." This group constitutes the largest segment (about </w:t>
      </w:r>
      <w:r>
        <w:rPr>
          <w:w w:val="105"/>
          <w:sz w:val="19"/>
        </w:rPr>
        <w:t xml:space="preserve">85%) </w:t>
      </w:r>
      <w:r>
        <w:rPr>
          <w:w w:val="105"/>
        </w:rPr>
        <w:t xml:space="preserve">of those with the disorder. As a group, people with this level of Mental Retardation typically develop social and communication skills during  the  preschool  years  (ages </w:t>
      </w:r>
      <w:r>
        <w:rPr>
          <w:w w:val="105"/>
          <w:sz w:val="21"/>
        </w:rPr>
        <w:t xml:space="preserve">0-5 </w:t>
      </w:r>
      <w:r>
        <w:rPr>
          <w:w w:val="105"/>
        </w:rPr>
        <w:t>years), have minimal impairment in sensorimotor areas, and often are not distin­ guishable from children without Mental Retardation until a later age. By their late teens, they can acquire academic skills up to approximately the sixth-grade level. During their adult years, they usually achieve social and vocational skills adequate for minimum self-support, but may need supervision, guidance, and assistance, especially when under unusual social or economic stress. With appropriate supports, individuals with Mild Mental Retardation can usually live successfully in the community, either independently or in supervised</w:t>
      </w:r>
      <w:r>
        <w:rPr>
          <w:spacing w:val="34"/>
          <w:w w:val="105"/>
        </w:rPr>
        <w:t xml:space="preserve"> </w:t>
      </w:r>
      <w:r>
        <w:rPr>
          <w:w w:val="105"/>
        </w:rPr>
        <w:t>settings.</w:t>
      </w:r>
    </w:p>
    <w:p w:rsidR="00E675F0" w:rsidRDefault="00E675F0" w:rsidP="00E675F0">
      <w:pPr>
        <w:pStyle w:val="BodyText"/>
        <w:spacing w:before="9"/>
        <w:rPr>
          <w:sz w:val="23"/>
        </w:rPr>
      </w:pPr>
    </w:p>
    <w:p w:rsidR="00E675F0" w:rsidRDefault="00E675F0" w:rsidP="00E675F0">
      <w:pPr>
        <w:tabs>
          <w:tab w:val="left" w:pos="915"/>
        </w:tabs>
        <w:jc w:val="center"/>
        <w:rPr>
          <w:rFonts w:ascii="Arial"/>
          <w:b/>
          <w:sz w:val="25"/>
        </w:rPr>
      </w:pPr>
      <w:r>
        <w:rPr>
          <w:rFonts w:ascii="Arial"/>
          <w:b/>
          <w:w w:val="110"/>
          <w:sz w:val="25"/>
        </w:rPr>
        <w:t>3</w:t>
      </w:r>
      <w:r>
        <w:rPr>
          <w:rFonts w:ascii="Arial"/>
          <w:b/>
          <w:spacing w:val="-56"/>
          <w:w w:val="110"/>
          <w:sz w:val="25"/>
        </w:rPr>
        <w:t xml:space="preserve"> </w:t>
      </w:r>
      <w:r>
        <w:rPr>
          <w:rFonts w:ascii="Arial"/>
          <w:b/>
          <w:w w:val="110"/>
          <w:sz w:val="25"/>
        </w:rPr>
        <w:t>I</w:t>
      </w:r>
      <w:r>
        <w:rPr>
          <w:rFonts w:ascii="Arial"/>
          <w:b/>
          <w:spacing w:val="-17"/>
          <w:w w:val="110"/>
          <w:sz w:val="25"/>
        </w:rPr>
        <w:t xml:space="preserve"> </w:t>
      </w:r>
      <w:r>
        <w:rPr>
          <w:rFonts w:ascii="Arial"/>
          <w:b/>
          <w:w w:val="110"/>
          <w:sz w:val="25"/>
        </w:rPr>
        <w:t>8.0</w:t>
      </w:r>
      <w:r>
        <w:rPr>
          <w:rFonts w:ascii="Arial"/>
          <w:b/>
          <w:w w:val="110"/>
          <w:sz w:val="25"/>
        </w:rPr>
        <w:tab/>
        <w:t>Moderate Mental</w:t>
      </w:r>
      <w:r>
        <w:rPr>
          <w:rFonts w:ascii="Arial"/>
          <w:b/>
          <w:spacing w:val="-7"/>
          <w:w w:val="110"/>
          <w:sz w:val="25"/>
        </w:rPr>
        <w:t xml:space="preserve"> </w:t>
      </w:r>
      <w:r>
        <w:rPr>
          <w:rFonts w:ascii="Arial"/>
          <w:b/>
          <w:w w:val="110"/>
          <w:sz w:val="25"/>
        </w:rPr>
        <w:t>Retardation</w:t>
      </w:r>
    </w:p>
    <w:p w:rsidR="00E675F0" w:rsidRDefault="00E675F0" w:rsidP="00E675F0">
      <w:pPr>
        <w:pStyle w:val="BodyText"/>
        <w:spacing w:before="227" w:line="254" w:lineRule="auto"/>
        <w:ind w:left="121" w:right="121" w:firstLine="7"/>
        <w:jc w:val="both"/>
      </w:pPr>
      <w:r>
        <w:rPr>
          <w:w w:val="105"/>
        </w:rPr>
        <w:t>Moderate Mental Retardation is roughly equivalent to what used to be referred to as the educational category of "trainable." This outdated term should not be used because it wrongly implies that people with Moderate Mental Retardation cannot benefit from educational programs. This group constitutes about 10% of the entire population of people with Mental Retardation. Most of the individuals with this level of Mental Retardation acquire</w:t>
      </w:r>
      <w:r>
        <w:rPr>
          <w:spacing w:val="-5"/>
          <w:w w:val="105"/>
        </w:rPr>
        <w:t xml:space="preserve"> </w:t>
      </w:r>
      <w:r>
        <w:rPr>
          <w:w w:val="105"/>
        </w:rPr>
        <w:t>communication</w:t>
      </w:r>
      <w:r>
        <w:rPr>
          <w:spacing w:val="5"/>
          <w:w w:val="105"/>
        </w:rPr>
        <w:t xml:space="preserve"> </w:t>
      </w:r>
      <w:r>
        <w:rPr>
          <w:w w:val="105"/>
        </w:rPr>
        <w:t>skills</w:t>
      </w:r>
      <w:r>
        <w:rPr>
          <w:spacing w:val="-10"/>
          <w:w w:val="105"/>
        </w:rPr>
        <w:t xml:space="preserve"> </w:t>
      </w:r>
      <w:r>
        <w:rPr>
          <w:w w:val="105"/>
        </w:rPr>
        <w:t>during</w:t>
      </w:r>
      <w:r>
        <w:rPr>
          <w:spacing w:val="-12"/>
          <w:w w:val="105"/>
        </w:rPr>
        <w:t xml:space="preserve"> </w:t>
      </w:r>
      <w:r>
        <w:rPr>
          <w:w w:val="105"/>
        </w:rPr>
        <w:t>early</w:t>
      </w:r>
      <w:r>
        <w:rPr>
          <w:spacing w:val="-11"/>
          <w:w w:val="105"/>
        </w:rPr>
        <w:t xml:space="preserve"> </w:t>
      </w:r>
      <w:r>
        <w:rPr>
          <w:w w:val="105"/>
        </w:rPr>
        <w:t>childhood</w:t>
      </w:r>
      <w:r>
        <w:rPr>
          <w:spacing w:val="-8"/>
          <w:w w:val="105"/>
        </w:rPr>
        <w:t xml:space="preserve"> </w:t>
      </w:r>
      <w:r>
        <w:rPr>
          <w:w w:val="105"/>
        </w:rPr>
        <w:t>years.</w:t>
      </w:r>
      <w:r>
        <w:rPr>
          <w:spacing w:val="-11"/>
          <w:w w:val="105"/>
        </w:rPr>
        <w:t xml:space="preserve"> </w:t>
      </w:r>
      <w:r>
        <w:rPr>
          <w:w w:val="105"/>
        </w:rPr>
        <w:t>They</w:t>
      </w:r>
      <w:r>
        <w:rPr>
          <w:spacing w:val="-3"/>
          <w:w w:val="105"/>
        </w:rPr>
        <w:t xml:space="preserve"> </w:t>
      </w:r>
      <w:r>
        <w:rPr>
          <w:w w:val="105"/>
        </w:rPr>
        <w:t>profit</w:t>
      </w:r>
      <w:r>
        <w:rPr>
          <w:spacing w:val="-12"/>
          <w:w w:val="105"/>
        </w:rPr>
        <w:t xml:space="preserve"> </w:t>
      </w:r>
      <w:r>
        <w:rPr>
          <w:w w:val="105"/>
        </w:rPr>
        <w:t>from vocational training and, with moderate supervision, can attend to their personal care. They can also benefit from training in social and occupational skills but are unlikely to progress beyond the second-grade level in academic subjects. They may learn to travel independently in familiar places. During adolescence, their difficulties in recognizing social</w:t>
      </w:r>
      <w:r>
        <w:rPr>
          <w:spacing w:val="-7"/>
          <w:w w:val="105"/>
        </w:rPr>
        <w:t xml:space="preserve"> </w:t>
      </w:r>
      <w:r>
        <w:rPr>
          <w:w w:val="105"/>
        </w:rPr>
        <w:t>conventions</w:t>
      </w:r>
      <w:r>
        <w:rPr>
          <w:spacing w:val="9"/>
          <w:w w:val="105"/>
        </w:rPr>
        <w:t xml:space="preserve"> </w:t>
      </w:r>
      <w:r>
        <w:rPr>
          <w:w w:val="105"/>
        </w:rPr>
        <w:t>may</w:t>
      </w:r>
      <w:r>
        <w:rPr>
          <w:spacing w:val="-8"/>
          <w:w w:val="105"/>
        </w:rPr>
        <w:t xml:space="preserve"> </w:t>
      </w:r>
      <w:r>
        <w:rPr>
          <w:w w:val="105"/>
        </w:rPr>
        <w:t>interfere</w:t>
      </w:r>
      <w:r>
        <w:rPr>
          <w:spacing w:val="-7"/>
          <w:w w:val="105"/>
        </w:rPr>
        <w:t xml:space="preserve"> </w:t>
      </w:r>
      <w:r>
        <w:rPr>
          <w:w w:val="105"/>
        </w:rPr>
        <w:t>with</w:t>
      </w:r>
      <w:r>
        <w:rPr>
          <w:spacing w:val="2"/>
          <w:w w:val="105"/>
        </w:rPr>
        <w:t xml:space="preserve"> </w:t>
      </w:r>
      <w:r>
        <w:rPr>
          <w:w w:val="105"/>
        </w:rPr>
        <w:t>peer</w:t>
      </w:r>
      <w:r>
        <w:rPr>
          <w:spacing w:val="-11"/>
          <w:w w:val="105"/>
        </w:rPr>
        <w:t xml:space="preserve"> </w:t>
      </w:r>
      <w:r>
        <w:rPr>
          <w:w w:val="105"/>
        </w:rPr>
        <w:t>relationships.</w:t>
      </w:r>
      <w:r>
        <w:rPr>
          <w:spacing w:val="-16"/>
          <w:w w:val="105"/>
        </w:rPr>
        <w:t xml:space="preserve"> </w:t>
      </w:r>
      <w:r>
        <w:rPr>
          <w:w w:val="105"/>
        </w:rPr>
        <w:t>In</w:t>
      </w:r>
      <w:r>
        <w:rPr>
          <w:spacing w:val="-14"/>
          <w:w w:val="105"/>
        </w:rPr>
        <w:t xml:space="preserve"> </w:t>
      </w:r>
      <w:r>
        <w:rPr>
          <w:w w:val="105"/>
        </w:rPr>
        <w:t>their</w:t>
      </w:r>
      <w:r>
        <w:rPr>
          <w:spacing w:val="-12"/>
          <w:w w:val="105"/>
        </w:rPr>
        <w:t xml:space="preserve"> </w:t>
      </w:r>
      <w:r>
        <w:rPr>
          <w:w w:val="105"/>
        </w:rPr>
        <w:t>adult</w:t>
      </w:r>
      <w:r>
        <w:rPr>
          <w:spacing w:val="-9"/>
          <w:w w:val="105"/>
        </w:rPr>
        <w:t xml:space="preserve"> </w:t>
      </w:r>
      <w:r>
        <w:rPr>
          <w:w w:val="105"/>
        </w:rPr>
        <w:t>years,</w:t>
      </w:r>
      <w:r>
        <w:rPr>
          <w:spacing w:val="-7"/>
          <w:w w:val="105"/>
        </w:rPr>
        <w:t xml:space="preserve"> </w:t>
      </w:r>
      <w:r>
        <w:rPr>
          <w:w w:val="105"/>
        </w:rPr>
        <w:t>the</w:t>
      </w:r>
      <w:r>
        <w:rPr>
          <w:spacing w:val="-13"/>
          <w:w w:val="105"/>
        </w:rPr>
        <w:t xml:space="preserve"> </w:t>
      </w:r>
      <w:r>
        <w:rPr>
          <w:w w:val="105"/>
        </w:rPr>
        <w:t>majority are able to perform unskilled or semiskilled work under supervision in sheltered workshops or in the general work force. They adapt well to life in the community, usually in supervised</w:t>
      </w:r>
      <w:r>
        <w:rPr>
          <w:spacing w:val="-15"/>
          <w:w w:val="105"/>
        </w:rPr>
        <w:t xml:space="preserve"> </w:t>
      </w:r>
      <w:r>
        <w:rPr>
          <w:w w:val="105"/>
        </w:rPr>
        <w:t>settings.</w:t>
      </w:r>
    </w:p>
    <w:p w:rsidR="00E675F0" w:rsidRDefault="00E675F0" w:rsidP="00E675F0">
      <w:pPr>
        <w:pStyle w:val="BodyText"/>
        <w:spacing w:before="4"/>
        <w:rPr>
          <w:sz w:val="23"/>
        </w:rPr>
      </w:pPr>
    </w:p>
    <w:p w:rsidR="00E675F0" w:rsidRDefault="00E675F0" w:rsidP="00E675F0">
      <w:pPr>
        <w:tabs>
          <w:tab w:val="left" w:pos="936"/>
        </w:tabs>
        <w:spacing w:before="1"/>
        <w:ind w:left="16"/>
        <w:jc w:val="center"/>
        <w:rPr>
          <w:rFonts w:ascii="Arial"/>
          <w:b/>
          <w:sz w:val="25"/>
        </w:rPr>
      </w:pPr>
      <w:r>
        <w:rPr>
          <w:rFonts w:ascii="Arial"/>
          <w:b/>
          <w:w w:val="110"/>
          <w:sz w:val="25"/>
        </w:rPr>
        <w:t>3</w:t>
      </w:r>
      <w:r>
        <w:rPr>
          <w:rFonts w:ascii="Arial"/>
          <w:b/>
          <w:spacing w:val="-51"/>
          <w:w w:val="110"/>
          <w:sz w:val="25"/>
        </w:rPr>
        <w:t xml:space="preserve"> </w:t>
      </w:r>
      <w:r>
        <w:rPr>
          <w:rFonts w:ascii="Arial"/>
          <w:b/>
          <w:w w:val="110"/>
          <w:sz w:val="25"/>
        </w:rPr>
        <w:t>I</w:t>
      </w:r>
      <w:r>
        <w:rPr>
          <w:rFonts w:ascii="Arial"/>
          <w:b/>
          <w:spacing w:val="-24"/>
          <w:w w:val="110"/>
          <w:sz w:val="25"/>
        </w:rPr>
        <w:t xml:space="preserve"> </w:t>
      </w:r>
      <w:r>
        <w:rPr>
          <w:rFonts w:ascii="Arial"/>
          <w:b/>
          <w:w w:val="110"/>
          <w:sz w:val="25"/>
        </w:rPr>
        <w:t>8.</w:t>
      </w:r>
      <w:r>
        <w:rPr>
          <w:rFonts w:ascii="Arial"/>
          <w:b/>
          <w:spacing w:val="-40"/>
          <w:w w:val="110"/>
          <w:sz w:val="25"/>
        </w:rPr>
        <w:t xml:space="preserve"> </w:t>
      </w:r>
      <w:r>
        <w:rPr>
          <w:rFonts w:ascii="Arial"/>
          <w:b/>
          <w:w w:val="110"/>
          <w:sz w:val="25"/>
        </w:rPr>
        <w:t>I</w:t>
      </w:r>
      <w:r>
        <w:rPr>
          <w:rFonts w:ascii="Arial"/>
          <w:b/>
          <w:w w:val="110"/>
          <w:sz w:val="25"/>
        </w:rPr>
        <w:tab/>
        <w:t>Severe Mental</w:t>
      </w:r>
      <w:r>
        <w:rPr>
          <w:rFonts w:ascii="Arial"/>
          <w:b/>
          <w:spacing w:val="-13"/>
          <w:w w:val="110"/>
          <w:sz w:val="25"/>
        </w:rPr>
        <w:t xml:space="preserve"> </w:t>
      </w:r>
      <w:r>
        <w:rPr>
          <w:rFonts w:ascii="Arial"/>
          <w:b/>
          <w:w w:val="110"/>
          <w:sz w:val="25"/>
        </w:rPr>
        <w:t>Retardation</w:t>
      </w:r>
    </w:p>
    <w:p w:rsidR="00E675F0" w:rsidRDefault="00E675F0" w:rsidP="00E675F0">
      <w:pPr>
        <w:pStyle w:val="BodyText"/>
        <w:spacing w:before="216" w:line="254" w:lineRule="auto"/>
        <w:ind w:left="122" w:right="112" w:firstLine="3"/>
        <w:jc w:val="both"/>
      </w:pPr>
      <w:r>
        <w:rPr>
          <w:w w:val="105"/>
        </w:rPr>
        <w:t>The</w:t>
      </w:r>
      <w:r>
        <w:rPr>
          <w:spacing w:val="-15"/>
          <w:w w:val="105"/>
        </w:rPr>
        <w:t xml:space="preserve"> </w:t>
      </w:r>
      <w:r>
        <w:rPr>
          <w:w w:val="105"/>
        </w:rPr>
        <w:t>group</w:t>
      </w:r>
      <w:r>
        <w:rPr>
          <w:spacing w:val="-8"/>
          <w:w w:val="105"/>
        </w:rPr>
        <w:t xml:space="preserve"> </w:t>
      </w:r>
      <w:r>
        <w:rPr>
          <w:w w:val="105"/>
        </w:rPr>
        <w:t>with</w:t>
      </w:r>
      <w:r>
        <w:rPr>
          <w:spacing w:val="-10"/>
          <w:w w:val="105"/>
        </w:rPr>
        <w:t xml:space="preserve"> </w:t>
      </w:r>
      <w:r>
        <w:rPr>
          <w:w w:val="105"/>
        </w:rPr>
        <w:t>Severe</w:t>
      </w:r>
      <w:r>
        <w:rPr>
          <w:spacing w:val="-9"/>
          <w:w w:val="105"/>
        </w:rPr>
        <w:t xml:space="preserve"> </w:t>
      </w:r>
      <w:r>
        <w:rPr>
          <w:w w:val="105"/>
        </w:rPr>
        <w:t>Mental Retardation</w:t>
      </w:r>
      <w:r>
        <w:rPr>
          <w:spacing w:val="4"/>
          <w:w w:val="105"/>
        </w:rPr>
        <w:t xml:space="preserve"> </w:t>
      </w:r>
      <w:r>
        <w:rPr>
          <w:w w:val="105"/>
        </w:rPr>
        <w:t xml:space="preserve">constitutes </w:t>
      </w:r>
      <w:r>
        <w:rPr>
          <w:w w:val="105"/>
          <w:sz w:val="19"/>
        </w:rPr>
        <w:t>3%-4%</w:t>
      </w:r>
      <w:r>
        <w:rPr>
          <w:spacing w:val="-8"/>
          <w:w w:val="105"/>
          <w:sz w:val="19"/>
        </w:rPr>
        <w:t xml:space="preserve"> </w:t>
      </w:r>
      <w:r>
        <w:rPr>
          <w:w w:val="105"/>
        </w:rPr>
        <w:t>of</w:t>
      </w:r>
      <w:r>
        <w:rPr>
          <w:spacing w:val="-5"/>
          <w:w w:val="105"/>
        </w:rPr>
        <w:t xml:space="preserve"> </w:t>
      </w:r>
      <w:r>
        <w:rPr>
          <w:w w:val="105"/>
        </w:rPr>
        <w:t>individuals</w:t>
      </w:r>
      <w:r>
        <w:rPr>
          <w:spacing w:val="-2"/>
          <w:w w:val="105"/>
        </w:rPr>
        <w:t xml:space="preserve"> </w:t>
      </w:r>
      <w:r>
        <w:rPr>
          <w:w w:val="105"/>
        </w:rPr>
        <w:t>with</w:t>
      </w:r>
      <w:r>
        <w:rPr>
          <w:spacing w:val="-7"/>
          <w:w w:val="105"/>
        </w:rPr>
        <w:t xml:space="preserve"> </w:t>
      </w:r>
      <w:r>
        <w:rPr>
          <w:w w:val="105"/>
        </w:rPr>
        <w:t>Mental Retardation. During the early childhood years, they acquire little or no communicative speech. During the school-age period, they may learn to talk and can be trained in elementary self-care skills. They profit to only a limited extent from instruction in pre-academic subjects, such as familiarity with the alphabet and simple counting, but can master skills such as learning sight reading of some "survival" words. In their adult years, they may be able to perform simple tasks in closely supervised settings. Most adapt well to life in the community, in group homes or with their families, unless they have an associated handicap that requires specialized nursing or other</w:t>
      </w:r>
      <w:r>
        <w:rPr>
          <w:spacing w:val="22"/>
          <w:w w:val="105"/>
        </w:rPr>
        <w:t xml:space="preserve"> </w:t>
      </w:r>
      <w:r>
        <w:rPr>
          <w:w w:val="105"/>
        </w:rPr>
        <w:t>care.</w:t>
      </w:r>
    </w:p>
    <w:p w:rsidR="00E675F0" w:rsidRDefault="00E675F0" w:rsidP="00E675F0">
      <w:pPr>
        <w:pStyle w:val="BodyText"/>
        <w:spacing w:before="11"/>
        <w:rPr>
          <w:sz w:val="24"/>
        </w:rPr>
      </w:pPr>
    </w:p>
    <w:p w:rsidR="00E675F0" w:rsidRDefault="00E675F0" w:rsidP="00E675F0">
      <w:pPr>
        <w:tabs>
          <w:tab w:val="left" w:pos="931"/>
        </w:tabs>
        <w:ind w:left="11"/>
        <w:jc w:val="center"/>
        <w:rPr>
          <w:rFonts w:ascii="Arial"/>
          <w:b/>
          <w:sz w:val="25"/>
        </w:rPr>
      </w:pPr>
      <w:r>
        <w:rPr>
          <w:rFonts w:ascii="Arial"/>
          <w:b/>
          <w:w w:val="110"/>
          <w:sz w:val="25"/>
        </w:rPr>
        <w:t>3</w:t>
      </w:r>
      <w:r>
        <w:rPr>
          <w:rFonts w:ascii="Arial"/>
          <w:b/>
          <w:spacing w:val="-47"/>
          <w:w w:val="110"/>
          <w:sz w:val="25"/>
        </w:rPr>
        <w:t xml:space="preserve"> </w:t>
      </w:r>
      <w:r>
        <w:rPr>
          <w:rFonts w:ascii="Arial"/>
          <w:b/>
          <w:w w:val="110"/>
          <w:sz w:val="25"/>
        </w:rPr>
        <w:t>I</w:t>
      </w:r>
      <w:r>
        <w:rPr>
          <w:rFonts w:ascii="Arial"/>
          <w:b/>
          <w:spacing w:val="-22"/>
          <w:w w:val="110"/>
          <w:sz w:val="25"/>
        </w:rPr>
        <w:t xml:space="preserve"> </w:t>
      </w:r>
      <w:r>
        <w:rPr>
          <w:rFonts w:ascii="Arial"/>
          <w:b/>
          <w:w w:val="110"/>
          <w:sz w:val="25"/>
        </w:rPr>
        <w:t>8.2</w:t>
      </w:r>
      <w:r>
        <w:rPr>
          <w:rFonts w:ascii="Arial"/>
          <w:b/>
          <w:w w:val="110"/>
          <w:sz w:val="25"/>
        </w:rPr>
        <w:tab/>
        <w:t>Profound Mental</w:t>
      </w:r>
      <w:r>
        <w:rPr>
          <w:rFonts w:ascii="Arial"/>
          <w:b/>
          <w:spacing w:val="-27"/>
          <w:w w:val="110"/>
          <w:sz w:val="25"/>
        </w:rPr>
        <w:t xml:space="preserve"> </w:t>
      </w:r>
      <w:r>
        <w:rPr>
          <w:rFonts w:ascii="Arial"/>
          <w:b/>
          <w:w w:val="110"/>
          <w:sz w:val="25"/>
        </w:rPr>
        <w:t>Retardation</w:t>
      </w:r>
    </w:p>
    <w:p w:rsidR="00E675F0" w:rsidRDefault="00E675F0" w:rsidP="00E675F0">
      <w:pPr>
        <w:pStyle w:val="BodyText"/>
        <w:spacing w:before="227" w:line="261" w:lineRule="auto"/>
        <w:ind w:left="135" w:right="120" w:hanging="10"/>
        <w:jc w:val="both"/>
      </w:pPr>
      <w:r>
        <w:rPr>
          <w:w w:val="105"/>
        </w:rPr>
        <w:t>The</w:t>
      </w:r>
      <w:r>
        <w:rPr>
          <w:spacing w:val="-19"/>
          <w:w w:val="105"/>
        </w:rPr>
        <w:t xml:space="preserve"> </w:t>
      </w:r>
      <w:r>
        <w:rPr>
          <w:w w:val="105"/>
        </w:rPr>
        <w:t>group</w:t>
      </w:r>
      <w:r>
        <w:rPr>
          <w:spacing w:val="-17"/>
          <w:w w:val="105"/>
        </w:rPr>
        <w:t xml:space="preserve"> </w:t>
      </w:r>
      <w:r>
        <w:rPr>
          <w:w w:val="105"/>
        </w:rPr>
        <w:t>with</w:t>
      </w:r>
      <w:r>
        <w:rPr>
          <w:spacing w:val="-10"/>
          <w:w w:val="105"/>
        </w:rPr>
        <w:t xml:space="preserve"> </w:t>
      </w:r>
      <w:r>
        <w:rPr>
          <w:w w:val="105"/>
        </w:rPr>
        <w:t>Profound</w:t>
      </w:r>
      <w:r>
        <w:rPr>
          <w:spacing w:val="-9"/>
          <w:w w:val="105"/>
        </w:rPr>
        <w:t xml:space="preserve"> </w:t>
      </w:r>
      <w:r>
        <w:rPr>
          <w:w w:val="105"/>
        </w:rPr>
        <w:t>Mental</w:t>
      </w:r>
      <w:r>
        <w:rPr>
          <w:spacing w:val="-4"/>
          <w:w w:val="105"/>
        </w:rPr>
        <w:t xml:space="preserve"> </w:t>
      </w:r>
      <w:r>
        <w:rPr>
          <w:w w:val="105"/>
        </w:rPr>
        <w:t>Retardation</w:t>
      </w:r>
      <w:r>
        <w:rPr>
          <w:spacing w:val="-6"/>
          <w:w w:val="105"/>
        </w:rPr>
        <w:t xml:space="preserve"> </w:t>
      </w:r>
      <w:r>
        <w:rPr>
          <w:w w:val="105"/>
        </w:rPr>
        <w:t>constitutes</w:t>
      </w:r>
      <w:r>
        <w:rPr>
          <w:spacing w:val="-3"/>
          <w:w w:val="105"/>
        </w:rPr>
        <w:t xml:space="preserve"> </w:t>
      </w:r>
      <w:r>
        <w:rPr>
          <w:w w:val="105"/>
        </w:rPr>
        <w:t>approximately</w:t>
      </w:r>
      <w:r>
        <w:rPr>
          <w:spacing w:val="-2"/>
          <w:w w:val="105"/>
        </w:rPr>
        <w:t xml:space="preserve"> </w:t>
      </w:r>
      <w:r>
        <w:rPr>
          <w:w w:val="105"/>
        </w:rPr>
        <w:t>1</w:t>
      </w:r>
      <w:r>
        <w:rPr>
          <w:w w:val="105"/>
          <w:sz w:val="19"/>
        </w:rPr>
        <w:t>%-2%</w:t>
      </w:r>
      <w:r>
        <w:rPr>
          <w:spacing w:val="-19"/>
          <w:w w:val="105"/>
          <w:sz w:val="19"/>
        </w:rPr>
        <w:t xml:space="preserve"> </w:t>
      </w:r>
      <w:r>
        <w:rPr>
          <w:w w:val="105"/>
        </w:rPr>
        <w:t>of</w:t>
      </w:r>
      <w:r>
        <w:rPr>
          <w:spacing w:val="-4"/>
          <w:w w:val="105"/>
        </w:rPr>
        <w:t xml:space="preserve"> </w:t>
      </w:r>
      <w:r>
        <w:rPr>
          <w:w w:val="105"/>
        </w:rPr>
        <w:t>people with Mental Retardation. Most individuals with this diagnosis have an</w:t>
      </w:r>
      <w:r>
        <w:rPr>
          <w:spacing w:val="16"/>
          <w:w w:val="105"/>
        </w:rPr>
        <w:t xml:space="preserve"> </w:t>
      </w:r>
      <w:r>
        <w:rPr>
          <w:w w:val="105"/>
        </w:rPr>
        <w:t>identified</w:t>
      </w:r>
    </w:p>
    <w:p w:rsidR="00E675F0" w:rsidRDefault="00E675F0" w:rsidP="00E675F0">
      <w:pPr>
        <w:spacing w:line="261" w:lineRule="auto"/>
        <w:jc w:val="both"/>
        <w:sectPr w:rsidR="00E675F0">
          <w:pgSz w:w="8960" w:h="14260"/>
          <w:pgMar w:top="1400" w:right="640" w:bottom="280" w:left="600" w:header="683" w:footer="0" w:gutter="0"/>
          <w:cols w:space="720"/>
        </w:sectPr>
      </w:pPr>
    </w:p>
    <w:p w:rsidR="00E675F0" w:rsidRDefault="00E675F0" w:rsidP="00E675F0">
      <w:pPr>
        <w:pStyle w:val="BodyText"/>
        <w:spacing w:before="145" w:line="254" w:lineRule="auto"/>
        <w:ind w:left="110" w:right="142" w:firstLine="6"/>
        <w:jc w:val="both"/>
      </w:pPr>
      <w:bookmarkStart w:id="29" w:name="_bookmark15"/>
      <w:bookmarkEnd w:id="29"/>
      <w:r>
        <w:rPr>
          <w:w w:val="105"/>
        </w:rPr>
        <w:lastRenderedPageBreak/>
        <w:t>neurological condition that accounts for their Mental Retardation. During the early childhood years, they display considerable impairments in sensorimotor functioning. Optimal development may occur in a highly structured environment with constant aid and supervision and an individualized relationship with a caregiver. Motor development and self-care and communication skills may improve if appropriate training is provided. Some can perform simple tasks in closely supervised and sheltered settings.</w:t>
      </w:r>
    </w:p>
    <w:p w:rsidR="00E675F0" w:rsidRDefault="00E675F0" w:rsidP="00E675F0">
      <w:pPr>
        <w:pStyle w:val="BodyText"/>
        <w:rPr>
          <w:sz w:val="22"/>
        </w:rPr>
      </w:pPr>
    </w:p>
    <w:p w:rsidR="00E675F0" w:rsidRDefault="00E675F0" w:rsidP="00E675F0">
      <w:pPr>
        <w:pStyle w:val="BodyText"/>
        <w:spacing w:before="1"/>
      </w:pPr>
    </w:p>
    <w:p w:rsidR="00E675F0" w:rsidRDefault="00E675F0" w:rsidP="00E675F0">
      <w:pPr>
        <w:tabs>
          <w:tab w:val="left" w:pos="1581"/>
        </w:tabs>
        <w:ind w:left="897"/>
        <w:rPr>
          <w:rFonts w:ascii="Arial"/>
          <w:b/>
          <w:sz w:val="26"/>
        </w:rPr>
      </w:pPr>
      <w:r>
        <w:rPr>
          <w:rFonts w:ascii="Arial"/>
          <w:b/>
          <w:w w:val="105"/>
          <w:sz w:val="26"/>
        </w:rPr>
        <w:t>319</w:t>
      </w:r>
      <w:r>
        <w:rPr>
          <w:rFonts w:ascii="Arial"/>
          <w:b/>
          <w:w w:val="105"/>
          <w:sz w:val="26"/>
        </w:rPr>
        <w:tab/>
        <w:t>Mental Retardation, Severity</w:t>
      </w:r>
      <w:r>
        <w:rPr>
          <w:rFonts w:ascii="Arial"/>
          <w:b/>
          <w:spacing w:val="-20"/>
          <w:w w:val="105"/>
          <w:sz w:val="26"/>
        </w:rPr>
        <w:t xml:space="preserve"> </w:t>
      </w:r>
      <w:r>
        <w:rPr>
          <w:rFonts w:ascii="Arial"/>
          <w:b/>
          <w:w w:val="105"/>
          <w:sz w:val="26"/>
        </w:rPr>
        <w:t>Unspecified</w:t>
      </w:r>
    </w:p>
    <w:p w:rsidR="00E675F0" w:rsidRDefault="00E675F0" w:rsidP="00E675F0">
      <w:pPr>
        <w:pStyle w:val="BodyText"/>
        <w:spacing w:before="8"/>
        <w:rPr>
          <w:rFonts w:ascii="Arial"/>
          <w:b/>
          <w:sz w:val="23"/>
        </w:rPr>
      </w:pPr>
    </w:p>
    <w:p w:rsidR="00E675F0" w:rsidRDefault="00E675F0" w:rsidP="00E675F0">
      <w:pPr>
        <w:pStyle w:val="BodyText"/>
        <w:spacing w:line="254" w:lineRule="auto"/>
        <w:ind w:left="115" w:right="131" w:hanging="9"/>
        <w:jc w:val="both"/>
      </w:pPr>
      <w:r>
        <w:rPr>
          <w:w w:val="105"/>
        </w:rPr>
        <w:t>The diagnosis of Mental Retardation, Severity  Unspecified, should be used when there is a strong presumption of Mental Retardation but the person cannot be successfully tested by standard intelligence  tests. This may be the case when children,  adolescents, or adults are too impaired  or uncooperative  to be tested or, with  infants, when  there is a clinical judgment of significantly subaverage intellectual functioning, but the available tests (e.g., the Bayley Scales of Infant Development, Cattell Infant Intelligence Scales, and others) do not yield IQ values.  In general,  the younger  the age,  the more difficult it is to assess for the presence of Mental Retardation except in those with profound impairment.</w:t>
      </w:r>
    </w:p>
    <w:p w:rsidR="00E675F0" w:rsidRDefault="00E675F0" w:rsidP="00E675F0">
      <w:pPr>
        <w:pStyle w:val="BodyText"/>
        <w:rPr>
          <w:sz w:val="22"/>
        </w:rPr>
      </w:pPr>
    </w:p>
    <w:p w:rsidR="00E675F0" w:rsidRDefault="00E675F0" w:rsidP="00E675F0">
      <w:pPr>
        <w:spacing w:before="145"/>
        <w:ind w:left="101"/>
        <w:jc w:val="both"/>
        <w:rPr>
          <w:rFonts w:ascii="TimesNewRomanPS-BoldItalicMT"/>
          <w:b/>
          <w:i/>
          <w:sz w:val="24"/>
        </w:rPr>
      </w:pPr>
      <w:r>
        <w:rPr>
          <w:rFonts w:ascii="TimesNewRomanPS-BoldItalicMT"/>
          <w:b/>
          <w:i/>
          <w:w w:val="115"/>
          <w:sz w:val="24"/>
        </w:rPr>
        <w:t>Recording Procedures</w:t>
      </w:r>
    </w:p>
    <w:p w:rsidR="00E675F0" w:rsidRDefault="00E675F0" w:rsidP="00E675F0">
      <w:pPr>
        <w:pStyle w:val="BodyText"/>
        <w:spacing w:before="132" w:line="252" w:lineRule="auto"/>
        <w:ind w:left="117" w:right="121" w:hanging="6"/>
        <w:jc w:val="both"/>
        <w:rPr>
          <w:rFonts w:ascii="Arial"/>
          <w:sz w:val="16"/>
        </w:rPr>
      </w:pPr>
      <w:r>
        <w:rPr>
          <w:w w:val="105"/>
        </w:rPr>
        <w:t xml:space="preserve">The specific diagnostic code for Mental Retardation is selected based on the level of severity as indicated above and is coded on Axis II. </w:t>
      </w:r>
      <w:r>
        <w:rPr>
          <w:rFonts w:ascii="Arial"/>
          <w:w w:val="105"/>
        </w:rPr>
        <w:t xml:space="preserve">If </w:t>
      </w:r>
      <w:r>
        <w:rPr>
          <w:w w:val="105"/>
        </w:rPr>
        <w:t xml:space="preserve">Mental Retardation is associated with another mental disorder (e.g., Autistic Disorder), the additional mental disorder is coded on Axis </w:t>
      </w:r>
      <w:r>
        <w:rPr>
          <w:w w:val="105"/>
          <w:sz w:val="19"/>
        </w:rPr>
        <w:t xml:space="preserve">I. </w:t>
      </w:r>
      <w:r>
        <w:rPr>
          <w:rFonts w:ascii="Arial"/>
          <w:w w:val="105"/>
        </w:rPr>
        <w:t xml:space="preserve">If </w:t>
      </w:r>
      <w:r>
        <w:rPr>
          <w:w w:val="105"/>
        </w:rPr>
        <w:t xml:space="preserve">Mental Retardation is associated with a general medical condition (e.g., Down's syndrome), the general medical condition is coded on Axis </w:t>
      </w:r>
      <w:r>
        <w:rPr>
          <w:rFonts w:ascii="Arial"/>
          <w:w w:val="120"/>
          <w:sz w:val="16"/>
        </w:rPr>
        <w:t>III.</w:t>
      </w:r>
    </w:p>
    <w:p w:rsidR="00E675F0" w:rsidRDefault="00E675F0" w:rsidP="00E675F0">
      <w:pPr>
        <w:pStyle w:val="BodyText"/>
        <w:rPr>
          <w:rFonts w:ascii="Arial"/>
          <w:sz w:val="22"/>
        </w:rPr>
      </w:pPr>
    </w:p>
    <w:p w:rsidR="00E675F0" w:rsidRDefault="00E675F0" w:rsidP="00E675F0">
      <w:pPr>
        <w:spacing w:before="130"/>
        <w:ind w:left="107"/>
        <w:jc w:val="both"/>
        <w:rPr>
          <w:rFonts w:ascii="TimesNewRomanPS-BoldItalicMT"/>
          <w:b/>
          <w:i/>
          <w:sz w:val="24"/>
        </w:rPr>
      </w:pPr>
      <w:r>
        <w:rPr>
          <w:rFonts w:ascii="TimesNewRomanPS-BoldItalicMT"/>
          <w:b/>
          <w:i/>
          <w:w w:val="115"/>
          <w:sz w:val="24"/>
        </w:rPr>
        <w:t>Associated Features and D/,Sorders</w:t>
      </w:r>
    </w:p>
    <w:p w:rsidR="00E675F0" w:rsidRDefault="00E675F0" w:rsidP="00E675F0">
      <w:pPr>
        <w:pStyle w:val="BodyText"/>
        <w:spacing w:before="151" w:line="254" w:lineRule="auto"/>
        <w:ind w:left="129" w:right="117" w:hanging="9"/>
        <w:jc w:val="both"/>
      </w:pPr>
      <w:r>
        <w:rPr>
          <w:b/>
          <w:w w:val="105"/>
        </w:rPr>
        <w:t xml:space="preserve">Associated descriptive  features and  mental disorders.   </w:t>
      </w:r>
      <w:r>
        <w:rPr>
          <w:w w:val="105"/>
        </w:rPr>
        <w:t>No   specific   personality and behavioral features are uniquely associated with Mental Retardation. Some individ­ uals with Mental Retardation are passive, placid, and dependent, whereas others can be aggressive and impulsive. Lack of communication skills may predispose to disruptive and aggressive behaviors that substitute for communicative language. Some general medical conditions associated with Mental Retardation are characterized by certain behavioral symptoms (e.g., the intractable self-injurious behavior associated with Lesch-Nyhan syndrome). Individuals with Mental Retardation may be vulnerable to exploitation by others (e.g., being physically and sexually abused) or being denied rights and</w:t>
      </w:r>
      <w:r>
        <w:rPr>
          <w:spacing w:val="25"/>
          <w:w w:val="105"/>
        </w:rPr>
        <w:t xml:space="preserve"> </w:t>
      </w:r>
      <w:r>
        <w:rPr>
          <w:w w:val="105"/>
        </w:rPr>
        <w:t>opportunities.</w:t>
      </w:r>
    </w:p>
    <w:p w:rsidR="00E675F0" w:rsidRDefault="00E675F0" w:rsidP="00E675F0">
      <w:pPr>
        <w:pStyle w:val="BodyText"/>
        <w:spacing w:line="256" w:lineRule="auto"/>
        <w:ind w:left="130" w:right="118" w:firstLine="367"/>
        <w:jc w:val="both"/>
      </w:pPr>
      <w:r>
        <w:rPr>
          <w:w w:val="105"/>
        </w:rPr>
        <w:t>Individuals</w:t>
      </w:r>
      <w:r>
        <w:rPr>
          <w:spacing w:val="-6"/>
          <w:w w:val="105"/>
        </w:rPr>
        <w:t xml:space="preserve"> </w:t>
      </w:r>
      <w:r>
        <w:rPr>
          <w:w w:val="105"/>
        </w:rPr>
        <w:t>with</w:t>
      </w:r>
      <w:r>
        <w:rPr>
          <w:spacing w:val="-11"/>
          <w:w w:val="105"/>
        </w:rPr>
        <w:t xml:space="preserve"> </w:t>
      </w:r>
      <w:r>
        <w:rPr>
          <w:w w:val="105"/>
        </w:rPr>
        <w:t>Mental</w:t>
      </w:r>
      <w:r>
        <w:rPr>
          <w:spacing w:val="-6"/>
          <w:w w:val="105"/>
        </w:rPr>
        <w:t xml:space="preserve"> </w:t>
      </w:r>
      <w:r>
        <w:rPr>
          <w:w w:val="105"/>
        </w:rPr>
        <w:t>Retardation</w:t>
      </w:r>
      <w:r>
        <w:rPr>
          <w:spacing w:val="6"/>
          <w:w w:val="105"/>
        </w:rPr>
        <w:t xml:space="preserve"> </w:t>
      </w:r>
      <w:r>
        <w:rPr>
          <w:w w:val="105"/>
        </w:rPr>
        <w:t>have</w:t>
      </w:r>
      <w:r>
        <w:rPr>
          <w:spacing w:val="-15"/>
          <w:w w:val="105"/>
        </w:rPr>
        <w:t xml:space="preserve"> </w:t>
      </w:r>
      <w:r>
        <w:rPr>
          <w:w w:val="105"/>
        </w:rPr>
        <w:t>a</w:t>
      </w:r>
      <w:r>
        <w:rPr>
          <w:spacing w:val="-9"/>
          <w:w w:val="105"/>
        </w:rPr>
        <w:t xml:space="preserve"> </w:t>
      </w:r>
      <w:r>
        <w:rPr>
          <w:w w:val="105"/>
        </w:rPr>
        <w:t>prevalence</w:t>
      </w:r>
      <w:r>
        <w:rPr>
          <w:spacing w:val="-5"/>
          <w:w w:val="105"/>
        </w:rPr>
        <w:t xml:space="preserve"> </w:t>
      </w:r>
      <w:r>
        <w:rPr>
          <w:w w:val="105"/>
        </w:rPr>
        <w:t>of</w:t>
      </w:r>
      <w:r>
        <w:rPr>
          <w:spacing w:val="-7"/>
          <w:w w:val="105"/>
        </w:rPr>
        <w:t xml:space="preserve"> </w:t>
      </w:r>
      <w:r>
        <w:rPr>
          <w:w w:val="105"/>
        </w:rPr>
        <w:t>comorbid</w:t>
      </w:r>
      <w:r>
        <w:rPr>
          <w:spacing w:val="6"/>
          <w:w w:val="105"/>
        </w:rPr>
        <w:t xml:space="preserve"> </w:t>
      </w:r>
      <w:r>
        <w:rPr>
          <w:w w:val="105"/>
        </w:rPr>
        <w:t>mental</w:t>
      </w:r>
      <w:r>
        <w:rPr>
          <w:spacing w:val="-8"/>
          <w:w w:val="105"/>
        </w:rPr>
        <w:t xml:space="preserve"> </w:t>
      </w:r>
      <w:r>
        <w:rPr>
          <w:w w:val="105"/>
        </w:rPr>
        <w:t>disorders that is estimated to be three to four times greater than in the general population. In some cases, this may result from a shared etiology that is common to Mental Retardation and the associated mental disorder (e.g., head trauma may result in Mental Retardation and in Personality Change Due to Head Trauma). All types of mental disorders may be seen, and there is no evidence that the nature of a given mental disorder is different in individuals who have Mental Retardation. The diagnosis of comorbid mental disorders is, however, often complicated by the fact that the clinical presentation may be</w:t>
      </w:r>
      <w:r>
        <w:rPr>
          <w:spacing w:val="12"/>
          <w:w w:val="105"/>
        </w:rPr>
        <w:t xml:space="preserve"> </w:t>
      </w:r>
      <w:r>
        <w:rPr>
          <w:w w:val="105"/>
        </w:rPr>
        <w:t>modified</w:t>
      </w:r>
    </w:p>
    <w:p w:rsidR="00E675F0" w:rsidRDefault="00E675F0" w:rsidP="00E675F0">
      <w:pPr>
        <w:spacing w:line="256" w:lineRule="auto"/>
        <w:jc w:val="both"/>
        <w:sectPr w:rsidR="00E675F0">
          <w:headerReference w:type="even" r:id="rId55"/>
          <w:headerReference w:type="default" r:id="rId56"/>
          <w:pgSz w:w="8960" w:h="14260"/>
          <w:pgMar w:top="1400" w:right="600" w:bottom="280" w:left="620" w:header="696" w:footer="0" w:gutter="0"/>
          <w:pgNumType w:start="42"/>
          <w:cols w:space="720"/>
        </w:sectPr>
      </w:pPr>
    </w:p>
    <w:p w:rsidR="00E675F0" w:rsidRDefault="00E675F0" w:rsidP="00E675F0">
      <w:pPr>
        <w:pStyle w:val="BodyText"/>
        <w:spacing w:before="139" w:line="254" w:lineRule="auto"/>
        <w:ind w:left="119" w:right="119" w:firstLine="3"/>
        <w:jc w:val="both"/>
      </w:pPr>
      <w:r>
        <w:rPr>
          <w:w w:val="105"/>
        </w:rPr>
        <w:lastRenderedPageBreak/>
        <w:t>by the severity of the Mental Retardation and associated handicaps. Deficits in commu­ nication</w:t>
      </w:r>
      <w:r>
        <w:rPr>
          <w:spacing w:val="-10"/>
          <w:w w:val="105"/>
        </w:rPr>
        <w:t xml:space="preserve"> </w:t>
      </w:r>
      <w:r>
        <w:rPr>
          <w:w w:val="105"/>
        </w:rPr>
        <w:t>skills</w:t>
      </w:r>
      <w:r>
        <w:rPr>
          <w:spacing w:val="-6"/>
          <w:w w:val="105"/>
        </w:rPr>
        <w:t xml:space="preserve"> </w:t>
      </w:r>
      <w:r>
        <w:rPr>
          <w:w w:val="105"/>
        </w:rPr>
        <w:t>may</w:t>
      </w:r>
      <w:r>
        <w:rPr>
          <w:spacing w:val="-5"/>
          <w:w w:val="105"/>
        </w:rPr>
        <w:t xml:space="preserve"> </w:t>
      </w:r>
      <w:r>
        <w:rPr>
          <w:w w:val="105"/>
        </w:rPr>
        <w:t>result</w:t>
      </w:r>
      <w:r>
        <w:rPr>
          <w:spacing w:val="-7"/>
          <w:w w:val="105"/>
        </w:rPr>
        <w:t xml:space="preserve"> </w:t>
      </w:r>
      <w:r>
        <w:rPr>
          <w:w w:val="105"/>
        </w:rPr>
        <w:t>in</w:t>
      </w:r>
      <w:r>
        <w:rPr>
          <w:spacing w:val="-16"/>
          <w:w w:val="105"/>
        </w:rPr>
        <w:t xml:space="preserve"> </w:t>
      </w:r>
      <w:r>
        <w:rPr>
          <w:w w:val="105"/>
        </w:rPr>
        <w:t>an</w:t>
      </w:r>
      <w:r>
        <w:rPr>
          <w:spacing w:val="-1"/>
          <w:w w:val="105"/>
        </w:rPr>
        <w:t xml:space="preserve"> </w:t>
      </w:r>
      <w:r>
        <w:rPr>
          <w:w w:val="105"/>
        </w:rPr>
        <w:t>inability</w:t>
      </w:r>
      <w:r>
        <w:rPr>
          <w:spacing w:val="-3"/>
          <w:w w:val="105"/>
        </w:rPr>
        <w:t xml:space="preserve"> </w:t>
      </w:r>
      <w:r>
        <w:rPr>
          <w:w w:val="105"/>
        </w:rPr>
        <w:t>to</w:t>
      </w:r>
      <w:r>
        <w:rPr>
          <w:spacing w:val="-9"/>
          <w:w w:val="105"/>
        </w:rPr>
        <w:t xml:space="preserve"> </w:t>
      </w:r>
      <w:r>
        <w:rPr>
          <w:w w:val="105"/>
        </w:rPr>
        <w:t>provide</w:t>
      </w:r>
      <w:r>
        <w:rPr>
          <w:spacing w:val="-10"/>
          <w:w w:val="105"/>
        </w:rPr>
        <w:t xml:space="preserve"> </w:t>
      </w:r>
      <w:r>
        <w:rPr>
          <w:w w:val="105"/>
        </w:rPr>
        <w:t>an</w:t>
      </w:r>
      <w:r>
        <w:rPr>
          <w:spacing w:val="-10"/>
          <w:w w:val="105"/>
        </w:rPr>
        <w:t xml:space="preserve"> </w:t>
      </w:r>
      <w:r>
        <w:rPr>
          <w:w w:val="105"/>
        </w:rPr>
        <w:t>adequate</w:t>
      </w:r>
      <w:r>
        <w:rPr>
          <w:spacing w:val="-7"/>
          <w:w w:val="105"/>
        </w:rPr>
        <w:t xml:space="preserve"> </w:t>
      </w:r>
      <w:r>
        <w:rPr>
          <w:w w:val="105"/>
        </w:rPr>
        <w:t>history</w:t>
      </w:r>
      <w:r>
        <w:rPr>
          <w:spacing w:val="-14"/>
          <w:w w:val="105"/>
        </w:rPr>
        <w:t xml:space="preserve"> </w:t>
      </w:r>
      <w:r>
        <w:rPr>
          <w:w w:val="105"/>
        </w:rPr>
        <w:t>(e.g.,</w:t>
      </w:r>
      <w:r>
        <w:rPr>
          <w:spacing w:val="-6"/>
          <w:w w:val="105"/>
        </w:rPr>
        <w:t xml:space="preserve"> </w:t>
      </w:r>
      <w:r>
        <w:rPr>
          <w:w w:val="105"/>
        </w:rPr>
        <w:t>the</w:t>
      </w:r>
      <w:r>
        <w:rPr>
          <w:spacing w:val="-14"/>
          <w:w w:val="105"/>
        </w:rPr>
        <w:t xml:space="preserve"> </w:t>
      </w:r>
      <w:r>
        <w:rPr>
          <w:w w:val="105"/>
        </w:rPr>
        <w:t>diagnosis of</w:t>
      </w:r>
      <w:r>
        <w:rPr>
          <w:spacing w:val="-8"/>
          <w:w w:val="105"/>
        </w:rPr>
        <w:t xml:space="preserve"> </w:t>
      </w:r>
      <w:r>
        <w:rPr>
          <w:w w:val="105"/>
        </w:rPr>
        <w:t>Major</w:t>
      </w:r>
      <w:r>
        <w:rPr>
          <w:spacing w:val="-12"/>
          <w:w w:val="105"/>
        </w:rPr>
        <w:t xml:space="preserve"> </w:t>
      </w:r>
      <w:r>
        <w:rPr>
          <w:w w:val="105"/>
        </w:rPr>
        <w:t>Depressive</w:t>
      </w:r>
      <w:r>
        <w:rPr>
          <w:spacing w:val="-4"/>
          <w:w w:val="105"/>
        </w:rPr>
        <w:t xml:space="preserve"> </w:t>
      </w:r>
      <w:r>
        <w:rPr>
          <w:w w:val="105"/>
        </w:rPr>
        <w:t>Disorder</w:t>
      </w:r>
      <w:r>
        <w:rPr>
          <w:spacing w:val="-4"/>
          <w:w w:val="105"/>
        </w:rPr>
        <w:t xml:space="preserve"> </w:t>
      </w:r>
      <w:r>
        <w:rPr>
          <w:w w:val="105"/>
        </w:rPr>
        <w:t>in</w:t>
      </w:r>
      <w:r>
        <w:rPr>
          <w:spacing w:val="-17"/>
          <w:w w:val="105"/>
        </w:rPr>
        <w:t xml:space="preserve"> </w:t>
      </w:r>
      <w:r>
        <w:rPr>
          <w:w w:val="105"/>
        </w:rPr>
        <w:t>a</w:t>
      </w:r>
      <w:r>
        <w:rPr>
          <w:spacing w:val="-13"/>
          <w:w w:val="105"/>
        </w:rPr>
        <w:t xml:space="preserve"> </w:t>
      </w:r>
      <w:r>
        <w:rPr>
          <w:w w:val="105"/>
        </w:rPr>
        <w:t>nonverbal</w:t>
      </w:r>
      <w:r>
        <w:rPr>
          <w:spacing w:val="-9"/>
          <w:w w:val="105"/>
        </w:rPr>
        <w:t xml:space="preserve"> </w:t>
      </w:r>
      <w:r>
        <w:rPr>
          <w:w w:val="105"/>
        </w:rPr>
        <w:t>adult</w:t>
      </w:r>
      <w:r>
        <w:rPr>
          <w:spacing w:val="-16"/>
          <w:w w:val="105"/>
        </w:rPr>
        <w:t xml:space="preserve"> </w:t>
      </w:r>
      <w:r>
        <w:rPr>
          <w:w w:val="105"/>
        </w:rPr>
        <w:t>with</w:t>
      </w:r>
      <w:r>
        <w:rPr>
          <w:spacing w:val="-9"/>
          <w:w w:val="105"/>
        </w:rPr>
        <w:t xml:space="preserve"> </w:t>
      </w:r>
      <w:r>
        <w:rPr>
          <w:w w:val="105"/>
        </w:rPr>
        <w:t>Mental</w:t>
      </w:r>
      <w:r>
        <w:rPr>
          <w:spacing w:val="-4"/>
          <w:w w:val="105"/>
        </w:rPr>
        <w:t xml:space="preserve"> </w:t>
      </w:r>
      <w:r>
        <w:rPr>
          <w:w w:val="105"/>
        </w:rPr>
        <w:t>Retardation</w:t>
      </w:r>
      <w:r>
        <w:rPr>
          <w:spacing w:val="-1"/>
          <w:w w:val="105"/>
        </w:rPr>
        <w:t xml:space="preserve"> </w:t>
      </w:r>
      <w:r>
        <w:rPr>
          <w:w w:val="105"/>
        </w:rPr>
        <w:t>is</w:t>
      </w:r>
      <w:r>
        <w:rPr>
          <w:spacing w:val="-18"/>
          <w:w w:val="105"/>
        </w:rPr>
        <w:t xml:space="preserve"> </w:t>
      </w:r>
      <w:r>
        <w:rPr>
          <w:w w:val="105"/>
        </w:rPr>
        <w:t>often</w:t>
      </w:r>
      <w:r>
        <w:rPr>
          <w:spacing w:val="-12"/>
          <w:w w:val="105"/>
        </w:rPr>
        <w:t xml:space="preserve"> </w:t>
      </w:r>
      <w:r>
        <w:rPr>
          <w:w w:val="105"/>
        </w:rPr>
        <w:t>based primarily on manifestations such as depressed mood, irritability, anorexia, or insomnia that are observed by others). More often than is the case in individuals without Mental Retardation, it may be difficult to choose a specific diagnosis and in such cases the appropriate Not Otherwise Specified category can be used (e.g., Depressive Disorder Not Otherwise Specified). The most common associated mental disorders are Attention­ Deficit/Hyperactivity Disorder, Mood Disorders, Pervasive Developmental Disorders, Stereotypic Movement Disorder, and Mental Disorders Due to a General Medical Condition (e.g., Dementia Due to Head Trauma). Individuals who have Mental Retar­ dation due to Down's syndrome may be at higher risk for developing Dementia of the Alzheimer's Type. Pathological changes in the brain associated with this disorder usually develop by the time these individuals are in their early 40s, although the clinical symptoms of dementia are not evident until</w:t>
      </w:r>
      <w:r>
        <w:rPr>
          <w:spacing w:val="7"/>
          <w:w w:val="105"/>
        </w:rPr>
        <w:t xml:space="preserve"> </w:t>
      </w:r>
      <w:r>
        <w:rPr>
          <w:w w:val="105"/>
        </w:rPr>
        <w:t>later.</w:t>
      </w:r>
    </w:p>
    <w:p w:rsidR="00E675F0" w:rsidRDefault="00E675F0" w:rsidP="00E675F0">
      <w:pPr>
        <w:pStyle w:val="BodyText"/>
        <w:rPr>
          <w:sz w:val="21"/>
        </w:rPr>
      </w:pPr>
    </w:p>
    <w:p w:rsidR="00E675F0" w:rsidRDefault="00E675F0" w:rsidP="00E675F0">
      <w:pPr>
        <w:pStyle w:val="BodyText"/>
        <w:spacing w:line="254" w:lineRule="auto"/>
        <w:ind w:left="126" w:right="132" w:hanging="5"/>
        <w:jc w:val="both"/>
      </w:pPr>
      <w:r>
        <w:rPr>
          <w:b/>
          <w:w w:val="105"/>
        </w:rPr>
        <w:t xml:space="preserve">Predisposing factors. </w:t>
      </w:r>
      <w:r>
        <w:rPr>
          <w:w w:val="105"/>
        </w:rPr>
        <w:t>Etiological factors may be primarily biological or primarily psychosocial, or some combination of both. In approximately 30%---40% of individuals seen in clinical settings, no clear etiology for the Mental Retardation can be determined despite extensive evaluation efforts. The major predisposing factors</w:t>
      </w:r>
      <w:r>
        <w:rPr>
          <w:spacing w:val="51"/>
          <w:w w:val="105"/>
        </w:rPr>
        <w:t xml:space="preserve"> </w:t>
      </w:r>
      <w:r>
        <w:rPr>
          <w:w w:val="105"/>
        </w:rPr>
        <w:t>include:</w:t>
      </w:r>
    </w:p>
    <w:p w:rsidR="00E675F0" w:rsidRDefault="00E675F0" w:rsidP="00E675F0">
      <w:pPr>
        <w:pStyle w:val="BodyText"/>
        <w:spacing w:before="1" w:line="256" w:lineRule="auto"/>
        <w:ind w:left="126" w:right="128" w:firstLine="375"/>
        <w:jc w:val="both"/>
      </w:pPr>
      <w:r>
        <w:rPr>
          <w:i/>
          <w:w w:val="105"/>
        </w:rPr>
        <w:t xml:space="preserve">Heredity </w:t>
      </w:r>
      <w:r>
        <w:rPr>
          <w:w w:val="105"/>
        </w:rPr>
        <w:t>(approximately 5%): These factors include inborn errors of metabolism inherited mostly through autosomal recessive mechanisms (e.g., Tay-Sachs disease), other single-gene abnormalities with Mendelian inheritance and variable expression (e.g., tuberous sclerosis), and chromosomal aberrations (e.g., translocation Down's syndrome, fragile X syndrome).</w:t>
      </w:r>
    </w:p>
    <w:p w:rsidR="00E675F0" w:rsidRDefault="00E675F0" w:rsidP="00E675F0">
      <w:pPr>
        <w:pStyle w:val="BodyText"/>
        <w:spacing w:line="254" w:lineRule="auto"/>
        <w:ind w:left="129" w:right="129" w:firstLine="376"/>
        <w:jc w:val="both"/>
      </w:pPr>
      <w:r>
        <w:rPr>
          <w:i/>
          <w:w w:val="105"/>
        </w:rPr>
        <w:t xml:space="preserve">Early alterations of embryonic development </w:t>
      </w:r>
      <w:r>
        <w:rPr>
          <w:w w:val="105"/>
        </w:rPr>
        <w:t>(approximately 30%): These factors include chromosomal changes (e.g., Down's syndrome due to trisomy 21) or prenatal damage due to toxins (e.g., maternal alcohol consumption, infections).</w:t>
      </w:r>
    </w:p>
    <w:p w:rsidR="00E675F0" w:rsidRDefault="00E675F0" w:rsidP="00E675F0">
      <w:pPr>
        <w:spacing w:line="256" w:lineRule="auto"/>
        <w:ind w:left="134" w:right="125" w:firstLine="372"/>
        <w:jc w:val="both"/>
        <w:rPr>
          <w:sz w:val="20"/>
        </w:rPr>
      </w:pPr>
      <w:r>
        <w:rPr>
          <w:i/>
          <w:w w:val="105"/>
          <w:sz w:val="20"/>
        </w:rPr>
        <w:t>Pregnancy</w:t>
      </w:r>
      <w:r>
        <w:rPr>
          <w:i/>
          <w:spacing w:val="-13"/>
          <w:w w:val="105"/>
          <w:sz w:val="20"/>
        </w:rPr>
        <w:t xml:space="preserve"> </w:t>
      </w:r>
      <w:r>
        <w:rPr>
          <w:i/>
          <w:w w:val="105"/>
          <w:sz w:val="20"/>
        </w:rPr>
        <w:t>and</w:t>
      </w:r>
      <w:r>
        <w:rPr>
          <w:i/>
          <w:spacing w:val="11"/>
          <w:w w:val="105"/>
          <w:sz w:val="20"/>
        </w:rPr>
        <w:t xml:space="preserve"> </w:t>
      </w:r>
      <w:r>
        <w:rPr>
          <w:i/>
          <w:w w:val="105"/>
          <w:sz w:val="20"/>
        </w:rPr>
        <w:t>perinatal</w:t>
      </w:r>
      <w:r>
        <w:rPr>
          <w:i/>
          <w:spacing w:val="-8"/>
          <w:w w:val="105"/>
          <w:sz w:val="20"/>
        </w:rPr>
        <w:t xml:space="preserve"> </w:t>
      </w:r>
      <w:r>
        <w:rPr>
          <w:i/>
          <w:w w:val="105"/>
          <w:sz w:val="20"/>
        </w:rPr>
        <w:t>problems</w:t>
      </w:r>
      <w:r>
        <w:rPr>
          <w:i/>
          <w:spacing w:val="-17"/>
          <w:w w:val="105"/>
          <w:sz w:val="20"/>
        </w:rPr>
        <w:t xml:space="preserve"> </w:t>
      </w:r>
      <w:r>
        <w:rPr>
          <w:w w:val="105"/>
          <w:sz w:val="20"/>
        </w:rPr>
        <w:t>(approximately</w:t>
      </w:r>
      <w:r>
        <w:rPr>
          <w:spacing w:val="-20"/>
          <w:w w:val="105"/>
          <w:sz w:val="20"/>
        </w:rPr>
        <w:t xml:space="preserve"> </w:t>
      </w:r>
      <w:r>
        <w:rPr>
          <w:w w:val="105"/>
          <w:sz w:val="20"/>
        </w:rPr>
        <w:t>10%):</w:t>
      </w:r>
      <w:r>
        <w:rPr>
          <w:spacing w:val="-4"/>
          <w:w w:val="105"/>
          <w:sz w:val="20"/>
        </w:rPr>
        <w:t xml:space="preserve"> </w:t>
      </w:r>
      <w:r>
        <w:rPr>
          <w:w w:val="105"/>
          <w:sz w:val="20"/>
        </w:rPr>
        <w:t>These</w:t>
      </w:r>
      <w:r>
        <w:rPr>
          <w:spacing w:val="-3"/>
          <w:w w:val="105"/>
          <w:sz w:val="20"/>
        </w:rPr>
        <w:t xml:space="preserve"> </w:t>
      </w:r>
      <w:r>
        <w:rPr>
          <w:w w:val="105"/>
          <w:sz w:val="20"/>
        </w:rPr>
        <w:t>factors</w:t>
      </w:r>
      <w:r>
        <w:rPr>
          <w:spacing w:val="-1"/>
          <w:w w:val="105"/>
          <w:sz w:val="20"/>
        </w:rPr>
        <w:t xml:space="preserve"> </w:t>
      </w:r>
      <w:r>
        <w:rPr>
          <w:w w:val="105"/>
          <w:sz w:val="20"/>
        </w:rPr>
        <w:t>include</w:t>
      </w:r>
      <w:r>
        <w:rPr>
          <w:spacing w:val="2"/>
          <w:w w:val="105"/>
          <w:sz w:val="20"/>
        </w:rPr>
        <w:t xml:space="preserve"> </w:t>
      </w:r>
      <w:r>
        <w:rPr>
          <w:w w:val="105"/>
          <w:sz w:val="20"/>
        </w:rPr>
        <w:t>fetal malnutrition, prematurity, hypoxia, viral and other infections, and</w:t>
      </w:r>
      <w:r>
        <w:rPr>
          <w:spacing w:val="31"/>
          <w:w w:val="105"/>
          <w:sz w:val="20"/>
        </w:rPr>
        <w:t xml:space="preserve"> </w:t>
      </w:r>
      <w:r>
        <w:rPr>
          <w:w w:val="105"/>
          <w:sz w:val="20"/>
        </w:rPr>
        <w:t>trauma.</w:t>
      </w:r>
    </w:p>
    <w:p w:rsidR="00E675F0" w:rsidRDefault="00E675F0" w:rsidP="00E675F0">
      <w:pPr>
        <w:spacing w:line="244" w:lineRule="auto"/>
        <w:ind w:left="120" w:right="126" w:firstLine="381"/>
        <w:jc w:val="both"/>
        <w:rPr>
          <w:sz w:val="20"/>
        </w:rPr>
      </w:pPr>
      <w:r>
        <w:rPr>
          <w:i/>
          <w:w w:val="105"/>
          <w:sz w:val="20"/>
        </w:rPr>
        <w:t xml:space="preserve">General medical conditions acquired in infancy or childhood </w:t>
      </w:r>
      <w:r>
        <w:rPr>
          <w:w w:val="105"/>
          <w:sz w:val="20"/>
        </w:rPr>
        <w:t>(approximately 5%): These factors include infections, traumas, and poisoning (e.g., due to lead).</w:t>
      </w:r>
    </w:p>
    <w:p w:rsidR="00E675F0" w:rsidRDefault="00E675F0" w:rsidP="00E675F0">
      <w:pPr>
        <w:spacing w:line="247" w:lineRule="auto"/>
        <w:ind w:left="125" w:right="116" w:firstLine="376"/>
        <w:jc w:val="both"/>
        <w:rPr>
          <w:sz w:val="20"/>
        </w:rPr>
      </w:pPr>
      <w:r>
        <w:rPr>
          <w:i/>
          <w:w w:val="105"/>
          <w:sz w:val="20"/>
        </w:rPr>
        <w:t xml:space="preserve">Environmental influences and other mental disorders </w:t>
      </w:r>
      <w:r>
        <w:rPr>
          <w:w w:val="105"/>
          <w:sz w:val="20"/>
        </w:rPr>
        <w:t>(approximately 15%---20%): These factors include deprivation of nurturance and of social, linguistic, and other stimulation, and severe mental disorders (e.g., Autistic Disorder).</w:t>
      </w:r>
    </w:p>
    <w:p w:rsidR="00E675F0" w:rsidRDefault="00E675F0" w:rsidP="00E675F0">
      <w:pPr>
        <w:pStyle w:val="BodyText"/>
        <w:spacing w:before="4"/>
        <w:rPr>
          <w:sz w:val="21"/>
        </w:rPr>
      </w:pPr>
    </w:p>
    <w:p w:rsidR="00E675F0" w:rsidRDefault="00E675F0" w:rsidP="00E675F0">
      <w:pPr>
        <w:pStyle w:val="BodyText"/>
        <w:spacing w:line="254" w:lineRule="auto"/>
        <w:ind w:left="129" w:right="110" w:hanging="5"/>
        <w:jc w:val="both"/>
      </w:pPr>
      <w:r>
        <w:rPr>
          <w:b/>
          <w:w w:val="105"/>
        </w:rPr>
        <w:t xml:space="preserve">Associated laboratory findings. </w:t>
      </w:r>
      <w:r>
        <w:rPr>
          <w:w w:val="105"/>
        </w:rPr>
        <w:t>Other than the  results of  psychological  and adap­ tive behavior tests that are necessary for the diagnosis of Mental Retardation, there are no laboratory findings that are uniquely associated with Mental Retardation. Diagnostic laboratory findings may be associated with a specific accompanying general medical condition (e.g., chromosomal findings in various genetic conditions, high blood phenyl­ alanine in phenylketonuria, or abnormalities on central nervous system</w:t>
      </w:r>
      <w:r>
        <w:rPr>
          <w:spacing w:val="-1"/>
          <w:w w:val="105"/>
        </w:rPr>
        <w:t xml:space="preserve"> </w:t>
      </w:r>
      <w:r>
        <w:rPr>
          <w:w w:val="105"/>
        </w:rPr>
        <w:t>imaging).</w:t>
      </w:r>
    </w:p>
    <w:p w:rsidR="00E675F0" w:rsidRDefault="00E675F0" w:rsidP="00E675F0">
      <w:pPr>
        <w:pStyle w:val="BodyText"/>
        <w:spacing w:before="9"/>
      </w:pPr>
    </w:p>
    <w:p w:rsidR="00E675F0" w:rsidRDefault="00E675F0" w:rsidP="00E675F0">
      <w:pPr>
        <w:pStyle w:val="BodyText"/>
        <w:spacing w:line="256" w:lineRule="auto"/>
        <w:ind w:left="130" w:right="110" w:hanging="1"/>
        <w:jc w:val="both"/>
      </w:pPr>
      <w:r>
        <w:rPr>
          <w:b/>
          <w:w w:val="105"/>
        </w:rPr>
        <w:t xml:space="preserve">Associated  physical  examination  findings  and  general  medical   conditions. </w:t>
      </w:r>
      <w:r>
        <w:rPr>
          <w:w w:val="105"/>
        </w:rPr>
        <w:t>There</w:t>
      </w:r>
      <w:r>
        <w:rPr>
          <w:spacing w:val="-6"/>
          <w:w w:val="105"/>
        </w:rPr>
        <w:t xml:space="preserve"> </w:t>
      </w:r>
      <w:r>
        <w:rPr>
          <w:w w:val="105"/>
        </w:rPr>
        <w:t>are</w:t>
      </w:r>
      <w:r>
        <w:rPr>
          <w:spacing w:val="-5"/>
          <w:w w:val="105"/>
        </w:rPr>
        <w:t xml:space="preserve"> </w:t>
      </w:r>
      <w:r>
        <w:rPr>
          <w:w w:val="105"/>
        </w:rPr>
        <w:t>no</w:t>
      </w:r>
      <w:r>
        <w:rPr>
          <w:spacing w:val="-10"/>
          <w:w w:val="105"/>
        </w:rPr>
        <w:t xml:space="preserve"> </w:t>
      </w:r>
      <w:r>
        <w:rPr>
          <w:w w:val="105"/>
        </w:rPr>
        <w:t>specific</w:t>
      </w:r>
      <w:r>
        <w:rPr>
          <w:spacing w:val="1"/>
          <w:w w:val="105"/>
        </w:rPr>
        <w:t xml:space="preserve"> </w:t>
      </w:r>
      <w:r>
        <w:rPr>
          <w:w w:val="105"/>
        </w:rPr>
        <w:t>physical</w:t>
      </w:r>
      <w:r>
        <w:rPr>
          <w:spacing w:val="-9"/>
          <w:w w:val="105"/>
        </w:rPr>
        <w:t xml:space="preserve"> </w:t>
      </w:r>
      <w:r>
        <w:rPr>
          <w:w w:val="105"/>
        </w:rPr>
        <w:t>features</w:t>
      </w:r>
      <w:r>
        <w:rPr>
          <w:spacing w:val="-8"/>
          <w:w w:val="105"/>
        </w:rPr>
        <w:t xml:space="preserve"> </w:t>
      </w:r>
      <w:r>
        <w:rPr>
          <w:w w:val="105"/>
        </w:rPr>
        <w:t>associated</w:t>
      </w:r>
      <w:r>
        <w:rPr>
          <w:spacing w:val="-3"/>
          <w:w w:val="105"/>
        </w:rPr>
        <w:t xml:space="preserve"> </w:t>
      </w:r>
      <w:r>
        <w:rPr>
          <w:w w:val="105"/>
        </w:rPr>
        <w:t>with</w:t>
      </w:r>
      <w:r>
        <w:rPr>
          <w:spacing w:val="-7"/>
          <w:w w:val="105"/>
        </w:rPr>
        <w:t xml:space="preserve"> </w:t>
      </w:r>
      <w:r>
        <w:rPr>
          <w:w w:val="105"/>
        </w:rPr>
        <w:t>Mental</w:t>
      </w:r>
      <w:r>
        <w:rPr>
          <w:spacing w:val="-7"/>
          <w:w w:val="105"/>
        </w:rPr>
        <w:t xml:space="preserve"> </w:t>
      </w:r>
      <w:r>
        <w:rPr>
          <w:w w:val="105"/>
        </w:rPr>
        <w:t>Retardation.</w:t>
      </w:r>
      <w:r>
        <w:rPr>
          <w:spacing w:val="-4"/>
          <w:w w:val="105"/>
        </w:rPr>
        <w:t xml:space="preserve"> </w:t>
      </w:r>
      <w:r>
        <w:rPr>
          <w:w w:val="105"/>
        </w:rPr>
        <w:t>When</w:t>
      </w:r>
      <w:r>
        <w:rPr>
          <w:spacing w:val="-9"/>
          <w:w w:val="105"/>
        </w:rPr>
        <w:t xml:space="preserve"> </w:t>
      </w:r>
      <w:r>
        <w:rPr>
          <w:w w:val="105"/>
        </w:rPr>
        <w:t>Mental Retardation is part of a specific syndrome, the clinical features of that syndrome will be present (e.g., the physical features of Down's syndrome). The more severe the Mental Retardation</w:t>
      </w:r>
      <w:r>
        <w:rPr>
          <w:spacing w:val="-17"/>
          <w:w w:val="105"/>
        </w:rPr>
        <w:t xml:space="preserve"> </w:t>
      </w:r>
      <w:r>
        <w:rPr>
          <w:w w:val="105"/>
        </w:rPr>
        <w:t>(especially</w:t>
      </w:r>
      <w:r>
        <w:rPr>
          <w:spacing w:val="-19"/>
          <w:w w:val="105"/>
        </w:rPr>
        <w:t xml:space="preserve"> </w:t>
      </w:r>
      <w:r>
        <w:rPr>
          <w:w w:val="105"/>
        </w:rPr>
        <w:t>if</w:t>
      </w:r>
      <w:r>
        <w:rPr>
          <w:spacing w:val="-20"/>
          <w:w w:val="105"/>
        </w:rPr>
        <w:t xml:space="preserve"> </w:t>
      </w:r>
      <w:r>
        <w:rPr>
          <w:w w:val="105"/>
        </w:rPr>
        <w:t>it</w:t>
      </w:r>
      <w:r>
        <w:rPr>
          <w:spacing w:val="-27"/>
          <w:w w:val="105"/>
        </w:rPr>
        <w:t xml:space="preserve"> </w:t>
      </w:r>
      <w:r>
        <w:rPr>
          <w:w w:val="105"/>
        </w:rPr>
        <w:t>is</w:t>
      </w:r>
      <w:r>
        <w:rPr>
          <w:spacing w:val="-31"/>
          <w:w w:val="105"/>
        </w:rPr>
        <w:t xml:space="preserve"> </w:t>
      </w:r>
      <w:r>
        <w:rPr>
          <w:w w:val="105"/>
        </w:rPr>
        <w:t>severe</w:t>
      </w:r>
      <w:r>
        <w:rPr>
          <w:spacing w:val="-26"/>
          <w:w w:val="105"/>
        </w:rPr>
        <w:t xml:space="preserve"> </w:t>
      </w:r>
      <w:r>
        <w:rPr>
          <w:w w:val="105"/>
        </w:rPr>
        <w:t>or</w:t>
      </w:r>
      <w:r>
        <w:rPr>
          <w:spacing w:val="-25"/>
          <w:w w:val="105"/>
        </w:rPr>
        <w:t xml:space="preserve"> </w:t>
      </w:r>
      <w:r>
        <w:rPr>
          <w:w w:val="105"/>
        </w:rPr>
        <w:t>profound),</w:t>
      </w:r>
      <w:r>
        <w:rPr>
          <w:spacing w:val="-11"/>
          <w:w w:val="105"/>
        </w:rPr>
        <w:t xml:space="preserve"> </w:t>
      </w:r>
      <w:r>
        <w:rPr>
          <w:w w:val="105"/>
        </w:rPr>
        <w:t>the</w:t>
      </w:r>
      <w:r>
        <w:rPr>
          <w:spacing w:val="-25"/>
          <w:w w:val="105"/>
        </w:rPr>
        <w:t xml:space="preserve"> </w:t>
      </w:r>
      <w:r>
        <w:rPr>
          <w:w w:val="105"/>
        </w:rPr>
        <w:t>greater</w:t>
      </w:r>
      <w:r>
        <w:rPr>
          <w:spacing w:val="-25"/>
          <w:w w:val="105"/>
        </w:rPr>
        <w:t xml:space="preserve"> </w:t>
      </w:r>
      <w:r>
        <w:rPr>
          <w:w w:val="105"/>
        </w:rPr>
        <w:t>the</w:t>
      </w:r>
      <w:r>
        <w:rPr>
          <w:spacing w:val="-28"/>
          <w:w w:val="105"/>
        </w:rPr>
        <w:t xml:space="preserve"> </w:t>
      </w:r>
      <w:r>
        <w:rPr>
          <w:w w:val="105"/>
        </w:rPr>
        <w:t>likelihood</w:t>
      </w:r>
      <w:r>
        <w:rPr>
          <w:spacing w:val="-18"/>
          <w:w w:val="105"/>
        </w:rPr>
        <w:t xml:space="preserve"> </w:t>
      </w:r>
      <w:r>
        <w:rPr>
          <w:w w:val="105"/>
        </w:rPr>
        <w:t>of</w:t>
      </w:r>
      <w:r>
        <w:rPr>
          <w:spacing w:val="-21"/>
          <w:w w:val="105"/>
        </w:rPr>
        <w:t xml:space="preserve"> </w:t>
      </w:r>
      <w:r>
        <w:rPr>
          <w:w w:val="105"/>
        </w:rPr>
        <w:t>neurological (e.g.,</w:t>
      </w:r>
      <w:r>
        <w:rPr>
          <w:spacing w:val="-7"/>
          <w:w w:val="105"/>
        </w:rPr>
        <w:t xml:space="preserve"> </w:t>
      </w:r>
      <w:r>
        <w:rPr>
          <w:w w:val="105"/>
        </w:rPr>
        <w:t>seizures),</w:t>
      </w:r>
      <w:r>
        <w:rPr>
          <w:spacing w:val="3"/>
          <w:w w:val="105"/>
        </w:rPr>
        <w:t xml:space="preserve"> </w:t>
      </w:r>
      <w:r>
        <w:rPr>
          <w:w w:val="105"/>
        </w:rPr>
        <w:t>neuromuscular,</w:t>
      </w:r>
      <w:r>
        <w:rPr>
          <w:spacing w:val="-15"/>
          <w:w w:val="105"/>
        </w:rPr>
        <w:t xml:space="preserve"> </w:t>
      </w:r>
      <w:r>
        <w:rPr>
          <w:w w:val="105"/>
        </w:rPr>
        <w:t>visual,</w:t>
      </w:r>
      <w:r>
        <w:rPr>
          <w:spacing w:val="-4"/>
          <w:w w:val="105"/>
        </w:rPr>
        <w:t xml:space="preserve"> </w:t>
      </w:r>
      <w:r>
        <w:rPr>
          <w:w w:val="105"/>
        </w:rPr>
        <w:t>auditory,</w:t>
      </w:r>
      <w:r>
        <w:rPr>
          <w:spacing w:val="-8"/>
          <w:w w:val="105"/>
        </w:rPr>
        <w:t xml:space="preserve"> </w:t>
      </w:r>
      <w:r>
        <w:rPr>
          <w:w w:val="105"/>
        </w:rPr>
        <w:t>cardiovascular,</w:t>
      </w:r>
      <w:r>
        <w:rPr>
          <w:spacing w:val="-10"/>
          <w:w w:val="105"/>
        </w:rPr>
        <w:t xml:space="preserve"> </w:t>
      </w:r>
      <w:r>
        <w:rPr>
          <w:w w:val="105"/>
        </w:rPr>
        <w:t>and</w:t>
      </w:r>
      <w:r>
        <w:rPr>
          <w:spacing w:val="-9"/>
          <w:w w:val="105"/>
        </w:rPr>
        <w:t xml:space="preserve"> </w:t>
      </w:r>
      <w:r>
        <w:rPr>
          <w:w w:val="105"/>
        </w:rPr>
        <w:t>other</w:t>
      </w:r>
      <w:r>
        <w:rPr>
          <w:spacing w:val="-8"/>
          <w:w w:val="105"/>
        </w:rPr>
        <w:t xml:space="preserve"> </w:t>
      </w:r>
      <w:r>
        <w:rPr>
          <w:w w:val="105"/>
        </w:rPr>
        <w:t>conditions.</w:t>
      </w:r>
    </w:p>
    <w:p w:rsidR="00E675F0" w:rsidRDefault="00E675F0" w:rsidP="00E675F0">
      <w:pPr>
        <w:spacing w:line="256" w:lineRule="auto"/>
        <w:jc w:val="both"/>
        <w:sectPr w:rsidR="00E675F0">
          <w:pgSz w:w="8960" w:h="14260"/>
          <w:pgMar w:top="1400" w:right="640" w:bottom="280" w:left="600" w:header="701" w:footer="0" w:gutter="0"/>
          <w:cols w:space="720"/>
        </w:sectPr>
      </w:pPr>
    </w:p>
    <w:p w:rsidR="00E675F0" w:rsidRDefault="00E675F0" w:rsidP="00E675F0">
      <w:pPr>
        <w:spacing w:before="155"/>
        <w:ind w:left="131"/>
        <w:rPr>
          <w:rFonts w:ascii="TimesNewRomanPS-BoldItalicMT"/>
          <w:b/>
          <w:i/>
          <w:sz w:val="24"/>
        </w:rPr>
      </w:pPr>
      <w:r>
        <w:rPr>
          <w:rFonts w:ascii="TimesNewRomanPS-BoldItalicMT"/>
          <w:b/>
          <w:i/>
          <w:w w:val="115"/>
          <w:sz w:val="24"/>
        </w:rPr>
        <w:lastRenderedPageBreak/>
        <w:t>Specific Culture, Age, and Gender Features</w:t>
      </w:r>
    </w:p>
    <w:p w:rsidR="00E675F0" w:rsidRDefault="00E675F0" w:rsidP="00E675F0">
      <w:pPr>
        <w:pStyle w:val="BodyText"/>
        <w:spacing w:before="141" w:line="254" w:lineRule="auto"/>
        <w:ind w:left="133" w:right="106" w:firstLine="9"/>
        <w:jc w:val="both"/>
      </w:pPr>
      <w:r>
        <w:rPr>
          <w:w w:val="105"/>
        </w:rPr>
        <w:t>Care should be taken to ensure that intellectual testing procedures reflect adequate attention to the individual's ethnic or cultural background. This is usually accomplished by using tests in which the individual's relevant characteristics are represented in the standardization sample of the test or by employing an examiner who is familiar with aspects of the individual's ethnic or cultural background. Individualized testing is always required to make the diagnosis of Mental Retardation. The prevalence of Mental Retardation due to known biological factors is similar among children of upper and lower socioeconomic classes, except that certain etiological factors are linked to lower socioeconomic status (e.g., lead poisoning and premature births). In cases in which no specific biological causation can be identified, lower socioeconomic classes are over­ represented</w:t>
      </w:r>
      <w:r>
        <w:rPr>
          <w:spacing w:val="1"/>
          <w:w w:val="105"/>
        </w:rPr>
        <w:t xml:space="preserve"> </w:t>
      </w:r>
      <w:r>
        <w:rPr>
          <w:w w:val="105"/>
        </w:rPr>
        <w:t>and</w:t>
      </w:r>
      <w:r>
        <w:rPr>
          <w:spacing w:val="-9"/>
          <w:w w:val="105"/>
        </w:rPr>
        <w:t xml:space="preserve"> </w:t>
      </w:r>
      <w:r>
        <w:rPr>
          <w:w w:val="105"/>
        </w:rPr>
        <w:t>the</w:t>
      </w:r>
      <w:r>
        <w:rPr>
          <w:spacing w:val="-14"/>
          <w:w w:val="105"/>
        </w:rPr>
        <w:t xml:space="preserve"> </w:t>
      </w:r>
      <w:r>
        <w:rPr>
          <w:w w:val="105"/>
        </w:rPr>
        <w:t>Mental Retardation</w:t>
      </w:r>
      <w:r>
        <w:rPr>
          <w:spacing w:val="7"/>
          <w:w w:val="105"/>
        </w:rPr>
        <w:t xml:space="preserve"> </w:t>
      </w:r>
      <w:r>
        <w:rPr>
          <w:w w:val="105"/>
        </w:rPr>
        <w:t>is</w:t>
      </w:r>
      <w:r>
        <w:rPr>
          <w:spacing w:val="-12"/>
          <w:w w:val="105"/>
        </w:rPr>
        <w:t xml:space="preserve"> </w:t>
      </w:r>
      <w:r>
        <w:rPr>
          <w:w w:val="105"/>
        </w:rPr>
        <w:t>usually</w:t>
      </w:r>
      <w:r>
        <w:rPr>
          <w:spacing w:val="-12"/>
          <w:w w:val="105"/>
        </w:rPr>
        <w:t xml:space="preserve"> </w:t>
      </w:r>
      <w:r>
        <w:rPr>
          <w:w w:val="105"/>
        </w:rPr>
        <w:t>milder,</w:t>
      </w:r>
      <w:r>
        <w:rPr>
          <w:spacing w:val="-2"/>
          <w:w w:val="105"/>
        </w:rPr>
        <w:t xml:space="preserve"> </w:t>
      </w:r>
      <w:r>
        <w:rPr>
          <w:w w:val="105"/>
        </w:rPr>
        <w:t>although</w:t>
      </w:r>
      <w:r>
        <w:rPr>
          <w:spacing w:val="-1"/>
          <w:w w:val="105"/>
        </w:rPr>
        <w:t xml:space="preserve"> </w:t>
      </w:r>
      <w:r>
        <w:rPr>
          <w:w w:val="105"/>
        </w:rPr>
        <w:t>all</w:t>
      </w:r>
      <w:r>
        <w:rPr>
          <w:spacing w:val="-16"/>
          <w:w w:val="105"/>
        </w:rPr>
        <w:t xml:space="preserve"> </w:t>
      </w:r>
      <w:r>
        <w:rPr>
          <w:w w:val="105"/>
        </w:rPr>
        <w:t>degrees</w:t>
      </w:r>
      <w:r>
        <w:rPr>
          <w:spacing w:val="-7"/>
          <w:w w:val="105"/>
        </w:rPr>
        <w:t xml:space="preserve"> </w:t>
      </w:r>
      <w:r>
        <w:rPr>
          <w:w w:val="105"/>
        </w:rPr>
        <w:t>of</w:t>
      </w:r>
      <w:r>
        <w:rPr>
          <w:spacing w:val="-13"/>
          <w:w w:val="105"/>
        </w:rPr>
        <w:t xml:space="preserve"> </w:t>
      </w:r>
      <w:r>
        <w:rPr>
          <w:w w:val="105"/>
        </w:rPr>
        <w:t>severity are represented. Developmental considerations should be taken into account in evalu­ ating impairment in adaptive skills because certain of the skill areas are less relevant at different ages (e.g., use of community resources or employment in school-age children). Mental Retardation is more common among males, with a male-to-female ratio of approximately</w:t>
      </w:r>
      <w:r>
        <w:rPr>
          <w:spacing w:val="7"/>
          <w:w w:val="105"/>
        </w:rPr>
        <w:t xml:space="preserve"> </w:t>
      </w:r>
      <w:r>
        <w:rPr>
          <w:w w:val="105"/>
        </w:rPr>
        <w:t>1.5:1.</w:t>
      </w:r>
    </w:p>
    <w:p w:rsidR="00E675F0" w:rsidRDefault="00E675F0" w:rsidP="00E675F0">
      <w:pPr>
        <w:pStyle w:val="BodyText"/>
        <w:rPr>
          <w:sz w:val="30"/>
        </w:rPr>
      </w:pPr>
    </w:p>
    <w:p w:rsidR="00E675F0" w:rsidRDefault="00E675F0" w:rsidP="00E675F0">
      <w:pPr>
        <w:ind w:left="123"/>
        <w:rPr>
          <w:rFonts w:ascii="TimesNewRomanPS-BoldItalicMT"/>
          <w:b/>
          <w:i/>
          <w:sz w:val="24"/>
        </w:rPr>
      </w:pPr>
      <w:r>
        <w:rPr>
          <w:rFonts w:ascii="TimesNewRomanPS-BoldItalicMT"/>
          <w:b/>
          <w:i/>
          <w:w w:val="115"/>
          <w:sz w:val="24"/>
        </w:rPr>
        <w:t>Prevalence</w:t>
      </w:r>
    </w:p>
    <w:p w:rsidR="00E675F0" w:rsidRDefault="00E675F0" w:rsidP="00E675F0">
      <w:pPr>
        <w:pStyle w:val="BodyText"/>
        <w:spacing w:before="146" w:line="256" w:lineRule="auto"/>
        <w:ind w:left="136" w:right="113" w:hanging="8"/>
        <w:jc w:val="both"/>
      </w:pPr>
      <w:r>
        <w:rPr>
          <w:w w:val="105"/>
        </w:rPr>
        <w:t>The prevalence rate of Mental Retardation has been estimated at approximately 1</w:t>
      </w:r>
      <w:r>
        <w:rPr>
          <w:w w:val="105"/>
          <w:sz w:val="18"/>
        </w:rPr>
        <w:t xml:space="preserve">%. </w:t>
      </w:r>
      <w:r>
        <w:rPr>
          <w:w w:val="105"/>
        </w:rPr>
        <w:t>However, different studies have reported different rates depending on definitions used, methods of ascertainment, and population studied.</w:t>
      </w:r>
    </w:p>
    <w:p w:rsidR="00E675F0" w:rsidRDefault="00E675F0" w:rsidP="00E675F0">
      <w:pPr>
        <w:pStyle w:val="BodyText"/>
        <w:spacing w:before="10"/>
        <w:rPr>
          <w:sz w:val="27"/>
        </w:rPr>
      </w:pPr>
    </w:p>
    <w:p w:rsidR="00E675F0" w:rsidRDefault="00E675F0" w:rsidP="00E675F0">
      <w:pPr>
        <w:ind w:left="114"/>
        <w:rPr>
          <w:rFonts w:ascii="TimesNewRomanPS-BoldItalicMT"/>
          <w:b/>
          <w:i/>
          <w:sz w:val="24"/>
        </w:rPr>
      </w:pPr>
      <w:r>
        <w:rPr>
          <w:rFonts w:ascii="TimesNewRomanPS-BoldItalicMT"/>
          <w:b/>
          <w:i/>
          <w:w w:val="115"/>
          <w:sz w:val="24"/>
        </w:rPr>
        <w:t>Course</w:t>
      </w:r>
    </w:p>
    <w:p w:rsidR="00E675F0" w:rsidRDefault="00E675F0" w:rsidP="00E675F0">
      <w:pPr>
        <w:pStyle w:val="BodyText"/>
        <w:spacing w:before="136" w:line="254" w:lineRule="auto"/>
        <w:ind w:left="137" w:right="106" w:hanging="3"/>
        <w:jc w:val="both"/>
      </w:pPr>
      <w:r>
        <w:rPr>
          <w:w w:val="105"/>
        </w:rPr>
        <w:t>The diagnosis of Mental Retardation requires that the onset of  the disorder  be before age 18 years. The age and mode of onset depend on the etiology and severity of the Mental</w:t>
      </w:r>
      <w:r>
        <w:rPr>
          <w:spacing w:val="-15"/>
          <w:w w:val="105"/>
        </w:rPr>
        <w:t xml:space="preserve"> </w:t>
      </w:r>
      <w:r>
        <w:rPr>
          <w:w w:val="105"/>
        </w:rPr>
        <w:t>Retardation.</w:t>
      </w:r>
      <w:r>
        <w:rPr>
          <w:spacing w:val="-7"/>
          <w:w w:val="105"/>
        </w:rPr>
        <w:t xml:space="preserve"> </w:t>
      </w:r>
      <w:r>
        <w:rPr>
          <w:w w:val="105"/>
        </w:rPr>
        <w:t>More</w:t>
      </w:r>
      <w:r>
        <w:rPr>
          <w:spacing w:val="-21"/>
          <w:w w:val="105"/>
        </w:rPr>
        <w:t xml:space="preserve"> </w:t>
      </w:r>
      <w:r>
        <w:rPr>
          <w:w w:val="105"/>
        </w:rPr>
        <w:t>severe</w:t>
      </w:r>
      <w:r>
        <w:rPr>
          <w:spacing w:val="-18"/>
          <w:w w:val="105"/>
        </w:rPr>
        <w:t xml:space="preserve"> </w:t>
      </w:r>
      <w:r>
        <w:rPr>
          <w:w w:val="105"/>
        </w:rPr>
        <w:t>retardation,</w:t>
      </w:r>
      <w:r>
        <w:rPr>
          <w:spacing w:val="-12"/>
          <w:w w:val="105"/>
        </w:rPr>
        <w:t xml:space="preserve"> </w:t>
      </w:r>
      <w:r>
        <w:rPr>
          <w:w w:val="105"/>
        </w:rPr>
        <w:t>especially</w:t>
      </w:r>
      <w:r>
        <w:rPr>
          <w:spacing w:val="-7"/>
          <w:w w:val="105"/>
        </w:rPr>
        <w:t xml:space="preserve"> </w:t>
      </w:r>
      <w:r>
        <w:rPr>
          <w:w w:val="105"/>
        </w:rPr>
        <w:t>when</w:t>
      </w:r>
      <w:r>
        <w:rPr>
          <w:spacing w:val="-16"/>
          <w:w w:val="105"/>
        </w:rPr>
        <w:t xml:space="preserve"> </w:t>
      </w:r>
      <w:r>
        <w:rPr>
          <w:w w:val="105"/>
        </w:rPr>
        <w:t>associated</w:t>
      </w:r>
      <w:r>
        <w:rPr>
          <w:spacing w:val="-1"/>
          <w:w w:val="105"/>
        </w:rPr>
        <w:t xml:space="preserve"> </w:t>
      </w:r>
      <w:r>
        <w:rPr>
          <w:w w:val="105"/>
        </w:rPr>
        <w:t>with</w:t>
      </w:r>
      <w:r>
        <w:rPr>
          <w:spacing w:val="-15"/>
          <w:w w:val="105"/>
        </w:rPr>
        <w:t xml:space="preserve"> </w:t>
      </w:r>
      <w:r>
        <w:rPr>
          <w:w w:val="105"/>
        </w:rPr>
        <w:t>a</w:t>
      </w:r>
      <w:r>
        <w:rPr>
          <w:spacing w:val="-17"/>
          <w:w w:val="105"/>
        </w:rPr>
        <w:t xml:space="preserve"> </w:t>
      </w:r>
      <w:r>
        <w:rPr>
          <w:w w:val="105"/>
        </w:rPr>
        <w:t>syndrome with a characteristic phenotype, tends  to be  recognized  early (e.g.,  Down's syndrome is</w:t>
      </w:r>
      <w:r>
        <w:rPr>
          <w:spacing w:val="-24"/>
          <w:w w:val="105"/>
        </w:rPr>
        <w:t xml:space="preserve"> </w:t>
      </w:r>
      <w:r>
        <w:rPr>
          <w:w w:val="105"/>
        </w:rPr>
        <w:t>usually</w:t>
      </w:r>
      <w:r>
        <w:rPr>
          <w:spacing w:val="-16"/>
          <w:w w:val="105"/>
        </w:rPr>
        <w:t xml:space="preserve"> </w:t>
      </w:r>
      <w:r>
        <w:rPr>
          <w:w w:val="105"/>
        </w:rPr>
        <w:t>diagnosed</w:t>
      </w:r>
      <w:r>
        <w:rPr>
          <w:spacing w:val="-8"/>
          <w:w w:val="105"/>
        </w:rPr>
        <w:t xml:space="preserve"> </w:t>
      </w:r>
      <w:r>
        <w:rPr>
          <w:w w:val="105"/>
        </w:rPr>
        <w:t>at</w:t>
      </w:r>
      <w:r>
        <w:rPr>
          <w:spacing w:val="-15"/>
          <w:w w:val="105"/>
        </w:rPr>
        <w:t xml:space="preserve"> </w:t>
      </w:r>
      <w:r>
        <w:rPr>
          <w:w w:val="105"/>
        </w:rPr>
        <w:t>birth).</w:t>
      </w:r>
      <w:r>
        <w:rPr>
          <w:spacing w:val="-12"/>
          <w:w w:val="105"/>
        </w:rPr>
        <w:t xml:space="preserve"> </w:t>
      </w:r>
      <w:r>
        <w:rPr>
          <w:w w:val="105"/>
        </w:rPr>
        <w:t>In</w:t>
      </w:r>
      <w:r>
        <w:rPr>
          <w:spacing w:val="-19"/>
          <w:w w:val="105"/>
        </w:rPr>
        <w:t xml:space="preserve"> </w:t>
      </w:r>
      <w:r>
        <w:rPr>
          <w:w w:val="105"/>
        </w:rPr>
        <w:t>contrast,</w:t>
      </w:r>
      <w:r>
        <w:rPr>
          <w:spacing w:val="-7"/>
          <w:w w:val="105"/>
        </w:rPr>
        <w:t xml:space="preserve"> </w:t>
      </w:r>
      <w:r>
        <w:rPr>
          <w:w w:val="105"/>
        </w:rPr>
        <w:t>Mild</w:t>
      </w:r>
      <w:r>
        <w:rPr>
          <w:spacing w:val="-14"/>
          <w:w w:val="105"/>
        </w:rPr>
        <w:t xml:space="preserve"> </w:t>
      </w:r>
      <w:r>
        <w:rPr>
          <w:w w:val="105"/>
        </w:rPr>
        <w:t>Retardation</w:t>
      </w:r>
      <w:r>
        <w:rPr>
          <w:spacing w:val="-4"/>
          <w:w w:val="105"/>
        </w:rPr>
        <w:t xml:space="preserve"> </w:t>
      </w:r>
      <w:r>
        <w:rPr>
          <w:w w:val="105"/>
        </w:rPr>
        <w:t>of</w:t>
      </w:r>
      <w:r>
        <w:rPr>
          <w:spacing w:val="-9"/>
          <w:w w:val="105"/>
        </w:rPr>
        <w:t xml:space="preserve"> </w:t>
      </w:r>
      <w:r>
        <w:rPr>
          <w:w w:val="105"/>
        </w:rPr>
        <w:t>unknown</w:t>
      </w:r>
      <w:r>
        <w:rPr>
          <w:spacing w:val="-6"/>
          <w:w w:val="105"/>
        </w:rPr>
        <w:t xml:space="preserve"> </w:t>
      </w:r>
      <w:r>
        <w:rPr>
          <w:w w:val="105"/>
        </w:rPr>
        <w:t>origin</w:t>
      </w:r>
      <w:r>
        <w:rPr>
          <w:spacing w:val="-7"/>
          <w:w w:val="105"/>
        </w:rPr>
        <w:t xml:space="preserve"> </w:t>
      </w:r>
      <w:r>
        <w:rPr>
          <w:w w:val="105"/>
        </w:rPr>
        <w:t>is</w:t>
      </w:r>
      <w:r>
        <w:rPr>
          <w:spacing w:val="-24"/>
          <w:w w:val="105"/>
        </w:rPr>
        <w:t xml:space="preserve"> </w:t>
      </w:r>
      <w:r>
        <w:rPr>
          <w:w w:val="105"/>
        </w:rPr>
        <w:t>generally noticed</w:t>
      </w:r>
      <w:r>
        <w:rPr>
          <w:spacing w:val="-6"/>
          <w:w w:val="105"/>
        </w:rPr>
        <w:t xml:space="preserve"> </w:t>
      </w:r>
      <w:r>
        <w:rPr>
          <w:w w:val="105"/>
        </w:rPr>
        <w:t>later.</w:t>
      </w:r>
      <w:r>
        <w:rPr>
          <w:spacing w:val="-10"/>
          <w:w w:val="105"/>
        </w:rPr>
        <w:t xml:space="preserve"> </w:t>
      </w:r>
      <w:r>
        <w:rPr>
          <w:w w:val="105"/>
        </w:rPr>
        <w:t>In</w:t>
      </w:r>
      <w:r>
        <w:rPr>
          <w:spacing w:val="-10"/>
          <w:w w:val="105"/>
        </w:rPr>
        <w:t xml:space="preserve"> </w:t>
      </w:r>
      <w:r>
        <w:rPr>
          <w:w w:val="105"/>
        </w:rPr>
        <w:t>more</w:t>
      </w:r>
      <w:r>
        <w:rPr>
          <w:spacing w:val="-14"/>
          <w:w w:val="105"/>
        </w:rPr>
        <w:t xml:space="preserve"> </w:t>
      </w:r>
      <w:r>
        <w:rPr>
          <w:w w:val="105"/>
        </w:rPr>
        <w:t>severe</w:t>
      </w:r>
      <w:r>
        <w:rPr>
          <w:spacing w:val="-5"/>
          <w:w w:val="105"/>
        </w:rPr>
        <w:t xml:space="preserve"> </w:t>
      </w:r>
      <w:r>
        <w:rPr>
          <w:w w:val="105"/>
        </w:rPr>
        <w:t>retardation</w:t>
      </w:r>
      <w:r>
        <w:rPr>
          <w:spacing w:val="8"/>
          <w:w w:val="105"/>
        </w:rPr>
        <w:t xml:space="preserve"> </w:t>
      </w:r>
      <w:r>
        <w:rPr>
          <w:w w:val="105"/>
        </w:rPr>
        <w:t>resulting</w:t>
      </w:r>
      <w:r>
        <w:rPr>
          <w:spacing w:val="-9"/>
          <w:w w:val="105"/>
        </w:rPr>
        <w:t xml:space="preserve"> </w:t>
      </w:r>
      <w:r>
        <w:rPr>
          <w:w w:val="105"/>
        </w:rPr>
        <w:t>from</w:t>
      </w:r>
      <w:r>
        <w:rPr>
          <w:spacing w:val="-6"/>
          <w:w w:val="105"/>
        </w:rPr>
        <w:t xml:space="preserve"> </w:t>
      </w:r>
      <w:r>
        <w:rPr>
          <w:w w:val="105"/>
        </w:rPr>
        <w:t>an</w:t>
      </w:r>
      <w:r>
        <w:rPr>
          <w:spacing w:val="-9"/>
          <w:w w:val="105"/>
        </w:rPr>
        <w:t xml:space="preserve"> </w:t>
      </w:r>
      <w:r>
        <w:rPr>
          <w:w w:val="105"/>
        </w:rPr>
        <w:t>acquired</w:t>
      </w:r>
      <w:r>
        <w:rPr>
          <w:spacing w:val="-3"/>
          <w:w w:val="105"/>
        </w:rPr>
        <w:t xml:space="preserve"> </w:t>
      </w:r>
      <w:r>
        <w:rPr>
          <w:w w:val="105"/>
        </w:rPr>
        <w:t>cause,</w:t>
      </w:r>
      <w:r>
        <w:rPr>
          <w:spacing w:val="-4"/>
          <w:w w:val="105"/>
        </w:rPr>
        <w:t xml:space="preserve"> </w:t>
      </w:r>
      <w:r>
        <w:rPr>
          <w:w w:val="105"/>
        </w:rPr>
        <w:t>the</w:t>
      </w:r>
      <w:r>
        <w:rPr>
          <w:spacing w:val="-14"/>
          <w:w w:val="105"/>
        </w:rPr>
        <w:t xml:space="preserve"> </w:t>
      </w:r>
      <w:r>
        <w:rPr>
          <w:w w:val="105"/>
        </w:rPr>
        <w:t>intellectual impairment will develop more abruptly (e.g., retardation following an encephalitis). The course of Mental Retardation is influenced by the course of underlying general medical conditions and by environmental factors (e.g., educational and ocher opportunities, environmental stimulation, and appropriateness of management). If an underlying general medical condition is static, the course is more likely to be variable and to depend on environmental factors. Mental Retardation is not necessarily a lifelong disorder. Individuals who had Mild Mental Retardation earlier in their lives manifested by failure in academic learning tasks may, with appropriate training and opportunities, develop good adaptive skills in other domains and may no longer have the level of impairment required for a diagnosis of Mental</w:t>
      </w:r>
      <w:r>
        <w:rPr>
          <w:spacing w:val="20"/>
          <w:w w:val="105"/>
        </w:rPr>
        <w:t xml:space="preserve"> </w:t>
      </w:r>
      <w:r>
        <w:rPr>
          <w:w w:val="105"/>
        </w:rPr>
        <w:t>Retardation.</w:t>
      </w:r>
    </w:p>
    <w:p w:rsidR="00E675F0" w:rsidRDefault="00E675F0" w:rsidP="00E675F0">
      <w:pPr>
        <w:pStyle w:val="BodyText"/>
        <w:spacing w:before="5"/>
        <w:rPr>
          <w:sz w:val="27"/>
        </w:rPr>
      </w:pPr>
    </w:p>
    <w:p w:rsidR="00E675F0" w:rsidRDefault="00E675F0" w:rsidP="00E675F0">
      <w:pPr>
        <w:spacing w:before="1"/>
        <w:ind w:left="115"/>
        <w:rPr>
          <w:rFonts w:ascii="TimesNewRomanPS-BoldItalicMT"/>
          <w:b/>
          <w:i/>
          <w:sz w:val="24"/>
        </w:rPr>
      </w:pPr>
      <w:r>
        <w:rPr>
          <w:rFonts w:ascii="TimesNewRomanPS-BoldItalicMT"/>
          <w:b/>
          <w:i/>
          <w:w w:val="115"/>
          <w:sz w:val="24"/>
        </w:rPr>
        <w:t>Familial Pattern</w:t>
      </w:r>
    </w:p>
    <w:p w:rsidR="00E675F0" w:rsidRDefault="00E675F0" w:rsidP="00E675F0">
      <w:pPr>
        <w:pStyle w:val="BodyText"/>
        <w:spacing w:before="150" w:line="252" w:lineRule="auto"/>
        <w:ind w:left="139" w:right="121" w:hanging="4"/>
        <w:jc w:val="both"/>
      </w:pPr>
      <w:r>
        <w:rPr>
          <w:w w:val="105"/>
        </w:rPr>
        <w:t>Because of its heterogeneous etiology, no familial pattern is applicable to Mental Retardation as a general category. The heritability of Mental Retardation is discussed under "Predisposing Factors" (seep. 43).</w:t>
      </w:r>
    </w:p>
    <w:p w:rsidR="00E675F0" w:rsidRDefault="00E675F0" w:rsidP="00E675F0">
      <w:pPr>
        <w:spacing w:line="252" w:lineRule="auto"/>
        <w:jc w:val="both"/>
        <w:sectPr w:rsidR="00E675F0">
          <w:headerReference w:type="even" r:id="rId57"/>
          <w:headerReference w:type="default" r:id="rId58"/>
          <w:pgSz w:w="8960" w:h="14260"/>
          <w:pgMar w:top="1400" w:right="620" w:bottom="280" w:left="600" w:header="700" w:footer="0" w:gutter="0"/>
          <w:pgNumType w:start="44"/>
          <w:cols w:space="720"/>
        </w:sectPr>
      </w:pPr>
    </w:p>
    <w:p w:rsidR="00E675F0" w:rsidRDefault="00E675F0" w:rsidP="00E675F0">
      <w:pPr>
        <w:spacing w:before="157"/>
        <w:ind w:left="119"/>
        <w:jc w:val="both"/>
        <w:rPr>
          <w:rFonts w:ascii="TimesNewRomanPS-BoldItalicMT"/>
          <w:b/>
          <w:i/>
          <w:sz w:val="24"/>
        </w:rPr>
      </w:pPr>
      <w:r>
        <w:rPr>
          <w:rFonts w:ascii="TimesNewRomanPS-BoldItalicMT"/>
          <w:b/>
          <w:i/>
          <w:w w:val="115"/>
          <w:sz w:val="24"/>
        </w:rPr>
        <w:lastRenderedPageBreak/>
        <w:t>Differential Diagnosis</w:t>
      </w:r>
    </w:p>
    <w:p w:rsidR="00E675F0" w:rsidRDefault="00E675F0" w:rsidP="00E675F0">
      <w:pPr>
        <w:spacing w:before="146" w:line="264" w:lineRule="auto"/>
        <w:ind w:left="133" w:right="108" w:hanging="4"/>
        <w:jc w:val="both"/>
        <w:rPr>
          <w:sz w:val="19"/>
        </w:rPr>
      </w:pPr>
      <w:r>
        <w:rPr>
          <w:w w:val="110"/>
          <w:sz w:val="19"/>
        </w:rPr>
        <w:t>The diagnostic criteria for Mental Retardation do not include an exclusion criterion; therefore, the diagnosis should be made whenever the diagnostic criteria are met, regardless</w:t>
      </w:r>
      <w:r>
        <w:rPr>
          <w:spacing w:val="-10"/>
          <w:w w:val="110"/>
          <w:sz w:val="19"/>
        </w:rPr>
        <w:t xml:space="preserve"> </w:t>
      </w:r>
      <w:r>
        <w:rPr>
          <w:w w:val="110"/>
          <w:sz w:val="19"/>
        </w:rPr>
        <w:t>of</w:t>
      </w:r>
      <w:r>
        <w:rPr>
          <w:spacing w:val="-2"/>
          <w:w w:val="110"/>
          <w:sz w:val="19"/>
        </w:rPr>
        <w:t xml:space="preserve"> </w:t>
      </w:r>
      <w:r>
        <w:rPr>
          <w:w w:val="110"/>
          <w:sz w:val="19"/>
        </w:rPr>
        <w:t>and</w:t>
      </w:r>
      <w:r>
        <w:rPr>
          <w:spacing w:val="22"/>
          <w:w w:val="110"/>
          <w:sz w:val="19"/>
        </w:rPr>
        <w:t xml:space="preserve"> </w:t>
      </w:r>
      <w:r>
        <w:rPr>
          <w:w w:val="110"/>
          <w:sz w:val="19"/>
        </w:rPr>
        <w:t>in</w:t>
      </w:r>
      <w:r>
        <w:rPr>
          <w:spacing w:val="-9"/>
          <w:w w:val="110"/>
          <w:sz w:val="19"/>
        </w:rPr>
        <w:t xml:space="preserve"> </w:t>
      </w:r>
      <w:r>
        <w:rPr>
          <w:w w:val="110"/>
          <w:sz w:val="19"/>
        </w:rPr>
        <w:t>addition</w:t>
      </w:r>
      <w:r>
        <w:rPr>
          <w:spacing w:val="2"/>
          <w:w w:val="110"/>
          <w:sz w:val="19"/>
        </w:rPr>
        <w:t xml:space="preserve"> </w:t>
      </w:r>
      <w:r>
        <w:rPr>
          <w:w w:val="110"/>
          <w:sz w:val="19"/>
        </w:rPr>
        <w:t>to</w:t>
      </w:r>
      <w:r>
        <w:rPr>
          <w:spacing w:val="-5"/>
          <w:w w:val="110"/>
          <w:sz w:val="19"/>
        </w:rPr>
        <w:t xml:space="preserve"> </w:t>
      </w:r>
      <w:r>
        <w:rPr>
          <w:w w:val="110"/>
          <w:sz w:val="19"/>
        </w:rPr>
        <w:t>the</w:t>
      </w:r>
      <w:r>
        <w:rPr>
          <w:spacing w:val="-4"/>
          <w:w w:val="110"/>
          <w:sz w:val="19"/>
        </w:rPr>
        <w:t xml:space="preserve"> </w:t>
      </w:r>
      <w:r>
        <w:rPr>
          <w:w w:val="110"/>
          <w:sz w:val="19"/>
        </w:rPr>
        <w:t>presence</w:t>
      </w:r>
      <w:r>
        <w:rPr>
          <w:spacing w:val="-6"/>
          <w:w w:val="110"/>
          <w:sz w:val="19"/>
        </w:rPr>
        <w:t xml:space="preserve"> </w:t>
      </w:r>
      <w:r>
        <w:rPr>
          <w:w w:val="110"/>
          <w:sz w:val="19"/>
        </w:rPr>
        <w:t>of</w:t>
      </w:r>
      <w:r>
        <w:rPr>
          <w:spacing w:val="-7"/>
          <w:w w:val="110"/>
          <w:sz w:val="19"/>
        </w:rPr>
        <w:t xml:space="preserve"> </w:t>
      </w:r>
      <w:r>
        <w:rPr>
          <w:w w:val="110"/>
          <w:sz w:val="19"/>
        </w:rPr>
        <w:t>another</w:t>
      </w:r>
      <w:r>
        <w:rPr>
          <w:spacing w:val="-14"/>
          <w:w w:val="110"/>
          <w:sz w:val="19"/>
        </w:rPr>
        <w:t xml:space="preserve"> </w:t>
      </w:r>
      <w:r>
        <w:rPr>
          <w:w w:val="110"/>
          <w:sz w:val="19"/>
        </w:rPr>
        <w:t>disorder.</w:t>
      </w:r>
      <w:r>
        <w:rPr>
          <w:spacing w:val="-4"/>
          <w:w w:val="110"/>
          <w:sz w:val="19"/>
        </w:rPr>
        <w:t xml:space="preserve"> </w:t>
      </w:r>
      <w:r>
        <w:rPr>
          <w:w w:val="110"/>
          <w:sz w:val="19"/>
        </w:rPr>
        <w:t>In</w:t>
      </w:r>
      <w:r>
        <w:rPr>
          <w:spacing w:val="-17"/>
          <w:w w:val="110"/>
          <w:sz w:val="19"/>
        </w:rPr>
        <w:t xml:space="preserve"> </w:t>
      </w:r>
      <w:r>
        <w:rPr>
          <w:b/>
          <w:w w:val="110"/>
          <w:sz w:val="20"/>
        </w:rPr>
        <w:t>Learning</w:t>
      </w:r>
      <w:r>
        <w:rPr>
          <w:b/>
          <w:spacing w:val="-22"/>
          <w:w w:val="110"/>
          <w:sz w:val="20"/>
        </w:rPr>
        <w:t xml:space="preserve"> </w:t>
      </w:r>
      <w:r>
        <w:rPr>
          <w:b/>
          <w:w w:val="110"/>
          <w:sz w:val="20"/>
        </w:rPr>
        <w:t xml:space="preserve">Disorders </w:t>
      </w:r>
      <w:r>
        <w:rPr>
          <w:w w:val="110"/>
          <w:sz w:val="19"/>
        </w:rPr>
        <w:t xml:space="preserve">or </w:t>
      </w:r>
      <w:r>
        <w:rPr>
          <w:b/>
          <w:w w:val="110"/>
          <w:sz w:val="20"/>
        </w:rPr>
        <w:t xml:space="preserve">Communication Disorders </w:t>
      </w:r>
      <w:r>
        <w:rPr>
          <w:w w:val="110"/>
          <w:sz w:val="19"/>
        </w:rPr>
        <w:t xml:space="preserve">(unassociated with Mental Retardation), the develop­ ment in a specific area (e.g., reading, expressive language) is impaired but there is no generalized impairment in intellectual development and adaptive functioning. A Learn­ ing Disorder or Communication Disorder can be diagnosed in an individual with Mental Retardation if the specific deficit is out of proportion to the severity of the Mental Retardation. In </w:t>
      </w:r>
      <w:r>
        <w:rPr>
          <w:b/>
          <w:w w:val="110"/>
          <w:sz w:val="20"/>
        </w:rPr>
        <w:t xml:space="preserve">Pervasive Developmental Disorders, </w:t>
      </w:r>
      <w:r>
        <w:rPr>
          <w:w w:val="110"/>
          <w:sz w:val="19"/>
        </w:rPr>
        <w:t>there is qualitative impairment in the development of reciprocal social interaction and in the  development  of verbal  and nonverbal social communication skills. Mental Retardation often accompanies Pervasive Developmental Disorders (75%-80% of individuals with a Pervasive Develop­ mental Disorder also have Mental</w:t>
      </w:r>
      <w:r>
        <w:rPr>
          <w:spacing w:val="11"/>
          <w:w w:val="110"/>
          <w:sz w:val="19"/>
        </w:rPr>
        <w:t xml:space="preserve"> </w:t>
      </w:r>
      <w:r>
        <w:rPr>
          <w:w w:val="110"/>
          <w:sz w:val="19"/>
        </w:rPr>
        <w:t>Retardation).</w:t>
      </w:r>
    </w:p>
    <w:p w:rsidR="00E675F0" w:rsidRDefault="00E675F0" w:rsidP="00E675F0">
      <w:pPr>
        <w:spacing w:before="5" w:line="266" w:lineRule="auto"/>
        <w:ind w:left="130" w:right="116" w:firstLine="367"/>
        <w:jc w:val="both"/>
        <w:rPr>
          <w:sz w:val="19"/>
        </w:rPr>
      </w:pPr>
      <w:r>
        <w:rPr>
          <w:w w:val="110"/>
          <w:sz w:val="19"/>
        </w:rPr>
        <w:t xml:space="preserve">Some cases of Mental Retardation have their onset after a period of normal functioning and may qualify for the additional diagnosis of </w:t>
      </w:r>
      <w:r>
        <w:rPr>
          <w:b/>
          <w:w w:val="110"/>
          <w:sz w:val="20"/>
        </w:rPr>
        <w:t xml:space="preserve">dementia. </w:t>
      </w:r>
      <w:r>
        <w:rPr>
          <w:w w:val="110"/>
          <w:sz w:val="19"/>
        </w:rPr>
        <w:t>A diagnosis of dementia requires that the memory impairment and other cognitive deficits represent a significant decline from a previously higher level of functioning. Because it may be difficult to determine the previous level of functioning in very young children, the diagnosis  of dementia  may not  be  appropriate  until the  child  is between ages 4 and</w:t>
      </w:r>
      <w:r>
        <w:rPr>
          <w:spacing w:val="52"/>
          <w:w w:val="110"/>
          <w:sz w:val="19"/>
        </w:rPr>
        <w:t xml:space="preserve"> </w:t>
      </w:r>
      <w:r>
        <w:rPr>
          <w:w w:val="110"/>
          <w:sz w:val="19"/>
        </w:rPr>
        <w:t>6 years. In general, for individuals under age 18 years, the diagnosis of dementia is made only when the condition is not characterized satisfactorily by the diagnosis of Mental Retardation</w:t>
      </w:r>
      <w:r>
        <w:rPr>
          <w:spacing w:val="16"/>
          <w:w w:val="110"/>
          <w:sz w:val="19"/>
        </w:rPr>
        <w:t xml:space="preserve"> </w:t>
      </w:r>
      <w:r>
        <w:rPr>
          <w:w w:val="110"/>
          <w:sz w:val="19"/>
        </w:rPr>
        <w:t>alone.</w:t>
      </w:r>
    </w:p>
    <w:p w:rsidR="00E675F0" w:rsidRDefault="00E675F0" w:rsidP="00E675F0">
      <w:pPr>
        <w:spacing w:line="266" w:lineRule="auto"/>
        <w:ind w:left="130" w:right="113" w:firstLine="361"/>
        <w:jc w:val="both"/>
        <w:rPr>
          <w:sz w:val="19"/>
        </w:rPr>
      </w:pPr>
      <w:r>
        <w:rPr>
          <w:b/>
          <w:w w:val="105"/>
          <w:sz w:val="20"/>
        </w:rPr>
        <w:t xml:space="preserve">Borderline Intellectual Functioning </w:t>
      </w:r>
      <w:r>
        <w:rPr>
          <w:w w:val="105"/>
          <w:sz w:val="19"/>
        </w:rPr>
        <w:t>(see p. 684) describes an IQ range</w:t>
      </w:r>
      <w:r>
        <w:rPr>
          <w:spacing w:val="49"/>
          <w:w w:val="105"/>
          <w:sz w:val="19"/>
        </w:rPr>
        <w:t xml:space="preserve"> </w:t>
      </w:r>
      <w:r>
        <w:rPr>
          <w:w w:val="105"/>
          <w:sz w:val="19"/>
        </w:rPr>
        <w:t>that  is higher than that for Mental Retardation (generally 71-84). As discussed earlier, an IQ score may involve a measurement error of approximately 5 points, depending on the testing instrument. Thus, it is possible to diagnose Mental Retardation in  individuals  with  IQ scores between 71 and 75 if they have significant  deficits in adaptive  behavior  that meet the criteria for Mental Retardation. Differentiating Mild Mental Retardation from Borderline Intellectual Functioning requires careful consideration of all available</w:t>
      </w:r>
      <w:r>
        <w:rPr>
          <w:spacing w:val="-16"/>
          <w:w w:val="105"/>
          <w:sz w:val="19"/>
        </w:rPr>
        <w:t xml:space="preserve"> </w:t>
      </w:r>
      <w:r>
        <w:rPr>
          <w:w w:val="105"/>
          <w:sz w:val="19"/>
        </w:rPr>
        <w:t>information.</w:t>
      </w:r>
    </w:p>
    <w:p w:rsidR="00E675F0" w:rsidRDefault="00E675F0" w:rsidP="00E675F0">
      <w:pPr>
        <w:pStyle w:val="BodyText"/>
        <w:spacing w:before="1"/>
        <w:rPr>
          <w:sz w:val="27"/>
        </w:rPr>
      </w:pPr>
    </w:p>
    <w:p w:rsidR="00E675F0" w:rsidRDefault="00E675F0" w:rsidP="00E675F0">
      <w:pPr>
        <w:spacing w:line="242" w:lineRule="auto"/>
        <w:ind w:left="119" w:right="2324" w:hanging="1"/>
        <w:rPr>
          <w:rFonts w:ascii="TimesNewRomanPS-BoldItalicMT"/>
          <w:b/>
          <w:i/>
          <w:sz w:val="24"/>
        </w:rPr>
      </w:pPr>
      <w:r>
        <w:rPr>
          <w:rFonts w:ascii="TimesNewRomanPS-BoldItalicMT"/>
          <w:b/>
          <w:i/>
          <w:w w:val="115"/>
          <w:sz w:val="24"/>
        </w:rPr>
        <w:t>Relationship to Other Classifications of Mental Retardation</w:t>
      </w:r>
    </w:p>
    <w:p w:rsidR="00E675F0" w:rsidRDefault="00E675F0" w:rsidP="00E675F0">
      <w:pPr>
        <w:spacing w:before="143" w:line="266" w:lineRule="auto"/>
        <w:ind w:left="130" w:right="103" w:hanging="2"/>
        <w:jc w:val="both"/>
        <w:rPr>
          <w:sz w:val="19"/>
        </w:rPr>
      </w:pPr>
      <w:r>
        <w:rPr>
          <w:w w:val="110"/>
          <w:sz w:val="19"/>
        </w:rPr>
        <w:t>The classification system of the American Association on Mental Retardation (AAMR) includes the same three criteria (i.e., significantly subaverage intelJectual functioning, limitations</w:t>
      </w:r>
      <w:r>
        <w:rPr>
          <w:spacing w:val="-12"/>
          <w:w w:val="110"/>
          <w:sz w:val="19"/>
        </w:rPr>
        <w:t xml:space="preserve"> </w:t>
      </w:r>
      <w:r>
        <w:rPr>
          <w:w w:val="110"/>
          <w:sz w:val="19"/>
        </w:rPr>
        <w:t>in</w:t>
      </w:r>
      <w:r>
        <w:rPr>
          <w:spacing w:val="-14"/>
          <w:w w:val="110"/>
          <w:sz w:val="19"/>
        </w:rPr>
        <w:t xml:space="preserve"> </w:t>
      </w:r>
      <w:r>
        <w:rPr>
          <w:w w:val="110"/>
          <w:sz w:val="19"/>
        </w:rPr>
        <w:t>adaptive</w:t>
      </w:r>
      <w:r>
        <w:rPr>
          <w:spacing w:val="-8"/>
          <w:w w:val="110"/>
          <w:sz w:val="19"/>
        </w:rPr>
        <w:t xml:space="preserve"> </w:t>
      </w:r>
      <w:r>
        <w:rPr>
          <w:w w:val="110"/>
          <w:sz w:val="19"/>
        </w:rPr>
        <w:t>skills,</w:t>
      </w:r>
      <w:r>
        <w:rPr>
          <w:spacing w:val="-8"/>
          <w:w w:val="110"/>
          <w:sz w:val="19"/>
        </w:rPr>
        <w:t xml:space="preserve"> </w:t>
      </w:r>
      <w:r>
        <w:rPr>
          <w:w w:val="110"/>
          <w:sz w:val="19"/>
        </w:rPr>
        <w:t>and</w:t>
      </w:r>
      <w:r>
        <w:rPr>
          <w:spacing w:val="8"/>
          <w:w w:val="110"/>
          <w:sz w:val="19"/>
        </w:rPr>
        <w:t xml:space="preserve"> </w:t>
      </w:r>
      <w:r>
        <w:rPr>
          <w:w w:val="110"/>
          <w:sz w:val="19"/>
        </w:rPr>
        <w:t>onset</w:t>
      </w:r>
      <w:r>
        <w:rPr>
          <w:spacing w:val="-8"/>
          <w:w w:val="110"/>
          <w:sz w:val="19"/>
        </w:rPr>
        <w:t xml:space="preserve"> </w:t>
      </w:r>
      <w:r>
        <w:rPr>
          <w:w w:val="110"/>
          <w:sz w:val="19"/>
        </w:rPr>
        <w:t>prior</w:t>
      </w:r>
      <w:r>
        <w:rPr>
          <w:spacing w:val="-15"/>
          <w:w w:val="110"/>
          <w:sz w:val="19"/>
        </w:rPr>
        <w:t xml:space="preserve"> </w:t>
      </w:r>
      <w:r>
        <w:rPr>
          <w:w w:val="110"/>
          <w:sz w:val="19"/>
        </w:rPr>
        <w:t>to</w:t>
      </w:r>
      <w:r>
        <w:rPr>
          <w:spacing w:val="-15"/>
          <w:w w:val="110"/>
          <w:sz w:val="19"/>
        </w:rPr>
        <w:t xml:space="preserve"> </w:t>
      </w:r>
      <w:r>
        <w:rPr>
          <w:w w:val="110"/>
          <w:sz w:val="19"/>
        </w:rPr>
        <w:t>age</w:t>
      </w:r>
      <w:r>
        <w:rPr>
          <w:spacing w:val="-15"/>
          <w:w w:val="110"/>
          <w:sz w:val="19"/>
        </w:rPr>
        <w:t xml:space="preserve"> </w:t>
      </w:r>
      <w:r>
        <w:rPr>
          <w:w w:val="110"/>
          <w:sz w:val="19"/>
        </w:rPr>
        <w:t>18</w:t>
      </w:r>
      <w:r>
        <w:rPr>
          <w:spacing w:val="-20"/>
          <w:w w:val="110"/>
          <w:sz w:val="19"/>
        </w:rPr>
        <w:t xml:space="preserve"> </w:t>
      </w:r>
      <w:r>
        <w:rPr>
          <w:w w:val="110"/>
          <w:sz w:val="19"/>
        </w:rPr>
        <w:t>years).</w:t>
      </w:r>
      <w:r>
        <w:rPr>
          <w:spacing w:val="-7"/>
          <w:w w:val="110"/>
          <w:sz w:val="19"/>
        </w:rPr>
        <w:t xml:space="preserve"> </w:t>
      </w:r>
      <w:r>
        <w:rPr>
          <w:w w:val="110"/>
          <w:sz w:val="19"/>
        </w:rPr>
        <w:t>In</w:t>
      </w:r>
      <w:r>
        <w:rPr>
          <w:spacing w:val="-13"/>
          <w:w w:val="110"/>
          <w:sz w:val="19"/>
        </w:rPr>
        <w:t xml:space="preserve"> </w:t>
      </w:r>
      <w:r>
        <w:rPr>
          <w:w w:val="110"/>
          <w:sz w:val="19"/>
        </w:rPr>
        <w:t>the</w:t>
      </w:r>
      <w:r>
        <w:rPr>
          <w:spacing w:val="-10"/>
          <w:w w:val="110"/>
          <w:sz w:val="19"/>
        </w:rPr>
        <w:t xml:space="preserve"> </w:t>
      </w:r>
      <w:r>
        <w:rPr>
          <w:w w:val="110"/>
          <w:sz w:val="19"/>
        </w:rPr>
        <w:t>AAMR</w:t>
      </w:r>
      <w:r>
        <w:rPr>
          <w:spacing w:val="-9"/>
          <w:w w:val="110"/>
          <w:sz w:val="19"/>
        </w:rPr>
        <w:t xml:space="preserve"> </w:t>
      </w:r>
      <w:r>
        <w:rPr>
          <w:w w:val="110"/>
          <w:sz w:val="19"/>
        </w:rPr>
        <w:t xml:space="preserve">classification, the criterion of significantly subaverage intellectual functioning refers to a standard score of approximately 70-75 or below (which takes into account the potential measurement error of plus or minus 5 points in IQ testing). Furthermore, DSM-IV specifies levels of severity, whereas the AAMR 1992 classification system specifies "Patterns and Intensity of Supports Needed" (i.e., "Intermittent, Limited, Extensive, and Pervasive"), which are not directly comparable with the degrees of severity in DSM-IV. The definition of developmental disabilities in Public Law 95-602 0978) is not limited </w:t>
      </w:r>
      <w:r>
        <w:rPr>
          <w:w w:val="110"/>
          <w:sz w:val="18"/>
        </w:rPr>
        <w:t xml:space="preserve">to </w:t>
      </w:r>
      <w:r>
        <w:rPr>
          <w:w w:val="110"/>
          <w:sz w:val="19"/>
        </w:rPr>
        <w:t>Mental Retardation</w:t>
      </w:r>
      <w:r>
        <w:rPr>
          <w:spacing w:val="-3"/>
          <w:w w:val="110"/>
          <w:sz w:val="19"/>
        </w:rPr>
        <w:t xml:space="preserve"> </w:t>
      </w:r>
      <w:r>
        <w:rPr>
          <w:w w:val="110"/>
          <w:sz w:val="19"/>
        </w:rPr>
        <w:t>and</w:t>
      </w:r>
      <w:r>
        <w:rPr>
          <w:spacing w:val="4"/>
          <w:w w:val="110"/>
          <w:sz w:val="19"/>
        </w:rPr>
        <w:t xml:space="preserve"> </w:t>
      </w:r>
      <w:r>
        <w:rPr>
          <w:w w:val="110"/>
          <w:sz w:val="19"/>
        </w:rPr>
        <w:t>is</w:t>
      </w:r>
      <w:r>
        <w:rPr>
          <w:spacing w:val="-11"/>
          <w:w w:val="110"/>
          <w:sz w:val="19"/>
        </w:rPr>
        <w:t xml:space="preserve"> </w:t>
      </w:r>
      <w:r>
        <w:rPr>
          <w:w w:val="110"/>
          <w:sz w:val="19"/>
        </w:rPr>
        <w:t>based</w:t>
      </w:r>
      <w:r>
        <w:rPr>
          <w:spacing w:val="-6"/>
          <w:w w:val="110"/>
          <w:sz w:val="19"/>
        </w:rPr>
        <w:t xml:space="preserve"> </w:t>
      </w:r>
      <w:r>
        <w:rPr>
          <w:w w:val="110"/>
          <w:sz w:val="19"/>
        </w:rPr>
        <w:t>on</w:t>
      </w:r>
      <w:r>
        <w:rPr>
          <w:spacing w:val="-7"/>
          <w:w w:val="110"/>
          <w:sz w:val="19"/>
        </w:rPr>
        <w:t xml:space="preserve"> </w:t>
      </w:r>
      <w:r>
        <w:rPr>
          <w:w w:val="110"/>
          <w:sz w:val="19"/>
        </w:rPr>
        <w:t>functional</w:t>
      </w:r>
      <w:r>
        <w:rPr>
          <w:spacing w:val="-12"/>
          <w:w w:val="110"/>
          <w:sz w:val="19"/>
        </w:rPr>
        <w:t xml:space="preserve"> </w:t>
      </w:r>
      <w:r>
        <w:rPr>
          <w:w w:val="110"/>
          <w:sz w:val="19"/>
        </w:rPr>
        <w:t>criteria.</w:t>
      </w:r>
      <w:r>
        <w:rPr>
          <w:spacing w:val="-14"/>
          <w:w w:val="110"/>
          <w:sz w:val="19"/>
        </w:rPr>
        <w:t xml:space="preserve"> </w:t>
      </w:r>
      <w:r>
        <w:rPr>
          <w:w w:val="110"/>
          <w:sz w:val="19"/>
        </w:rPr>
        <w:t>This</w:t>
      </w:r>
      <w:r>
        <w:rPr>
          <w:spacing w:val="-15"/>
          <w:w w:val="110"/>
          <w:sz w:val="19"/>
        </w:rPr>
        <w:t xml:space="preserve"> </w:t>
      </w:r>
      <w:r>
        <w:rPr>
          <w:w w:val="110"/>
          <w:sz w:val="19"/>
        </w:rPr>
        <w:t>law</w:t>
      </w:r>
      <w:r>
        <w:rPr>
          <w:spacing w:val="-9"/>
          <w:w w:val="110"/>
          <w:sz w:val="19"/>
        </w:rPr>
        <w:t xml:space="preserve"> </w:t>
      </w:r>
      <w:r>
        <w:rPr>
          <w:w w:val="110"/>
          <w:sz w:val="19"/>
        </w:rPr>
        <w:t>defines</w:t>
      </w:r>
      <w:r>
        <w:rPr>
          <w:spacing w:val="2"/>
          <w:w w:val="110"/>
          <w:sz w:val="19"/>
        </w:rPr>
        <w:t xml:space="preserve"> </w:t>
      </w:r>
      <w:r>
        <w:rPr>
          <w:i/>
          <w:w w:val="110"/>
          <w:sz w:val="20"/>
        </w:rPr>
        <w:t>developmental</w:t>
      </w:r>
      <w:r>
        <w:rPr>
          <w:i/>
          <w:spacing w:val="-24"/>
          <w:w w:val="110"/>
          <w:sz w:val="20"/>
        </w:rPr>
        <w:t xml:space="preserve"> </w:t>
      </w:r>
      <w:r>
        <w:rPr>
          <w:i/>
          <w:w w:val="110"/>
          <w:sz w:val="20"/>
        </w:rPr>
        <w:t xml:space="preserve">disability </w:t>
      </w:r>
      <w:r>
        <w:rPr>
          <w:w w:val="110"/>
          <w:sz w:val="19"/>
        </w:rPr>
        <w:t>as a disability attributable to a mental or  physical  impairment,  manifested  before age 22 years, likely to continue indefinitely, resulting in substantial limitation in three or more specified areas of functioning, and requiring specific and lifelong or extended</w:t>
      </w:r>
      <w:r>
        <w:rPr>
          <w:spacing w:val="-18"/>
          <w:w w:val="110"/>
          <w:sz w:val="19"/>
        </w:rPr>
        <w:t xml:space="preserve"> </w:t>
      </w:r>
      <w:r>
        <w:rPr>
          <w:w w:val="110"/>
          <w:sz w:val="19"/>
        </w:rPr>
        <w:t>care.</w:t>
      </w:r>
    </w:p>
    <w:p w:rsidR="00E675F0" w:rsidRDefault="00E675F0" w:rsidP="00E675F0">
      <w:pPr>
        <w:spacing w:line="266" w:lineRule="auto"/>
        <w:jc w:val="both"/>
        <w:rPr>
          <w:sz w:val="19"/>
        </w:rPr>
        <w:sectPr w:rsidR="00E675F0">
          <w:pgSz w:w="8960" w:h="14260"/>
          <w:pgMar w:top="1400" w:right="620" w:bottom="280" w:left="620" w:header="702" w:footer="0" w:gutter="0"/>
          <w:cols w:space="720"/>
        </w:sectPr>
      </w:pPr>
    </w:p>
    <w:p w:rsidR="00E675F0" w:rsidRDefault="00E675F0" w:rsidP="00E675F0">
      <w:pPr>
        <w:pStyle w:val="BodyText"/>
        <w:spacing w:before="7"/>
        <w:rPr>
          <w:sz w:val="10"/>
        </w:rPr>
      </w:pPr>
    </w:p>
    <w:tbl>
      <w:tblPr>
        <w:tblW w:w="0" w:type="auto"/>
        <w:tblInd w:w="216"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7321"/>
      </w:tblGrid>
      <w:tr w:rsidR="00E675F0" w:rsidTr="00A330E1">
        <w:trPr>
          <w:trHeight w:val="5784"/>
        </w:trPr>
        <w:tc>
          <w:tcPr>
            <w:tcW w:w="7321" w:type="dxa"/>
          </w:tcPr>
          <w:p w:rsidR="00E675F0" w:rsidRDefault="00E675F0" w:rsidP="003048D3">
            <w:pPr>
              <w:pStyle w:val="TableParagraph"/>
              <w:numPr>
                <w:ilvl w:val="0"/>
                <w:numId w:val="114"/>
              </w:numPr>
              <w:tabs>
                <w:tab w:val="left" w:pos="630"/>
              </w:tabs>
              <w:spacing w:line="533" w:lineRule="exact"/>
              <w:ind w:hanging="381"/>
              <w:rPr>
                <w:rFonts w:ascii="Arial" w:hAnsi="Arial"/>
                <w:b/>
                <w:sz w:val="23"/>
              </w:rPr>
            </w:pPr>
            <w:bookmarkStart w:id="30" w:name="_bookmark16"/>
            <w:bookmarkEnd w:id="30"/>
            <w:r>
              <w:rPr>
                <w:rFonts w:ascii="Arial" w:hAnsi="Arial"/>
                <w:b/>
                <w:w w:val="110"/>
                <w:sz w:val="23"/>
              </w:rPr>
              <w:t>Diagnostic criteria for Mental</w:t>
            </w:r>
            <w:r>
              <w:rPr>
                <w:rFonts w:ascii="Arial" w:hAnsi="Arial"/>
                <w:b/>
                <w:spacing w:val="-12"/>
                <w:w w:val="110"/>
                <w:sz w:val="23"/>
              </w:rPr>
              <w:t xml:space="preserve"> </w:t>
            </w:r>
            <w:r>
              <w:rPr>
                <w:rFonts w:ascii="Arial" w:hAnsi="Arial"/>
                <w:b/>
                <w:w w:val="110"/>
                <w:sz w:val="23"/>
              </w:rPr>
              <w:t>Retardation</w:t>
            </w:r>
          </w:p>
          <w:p w:rsidR="00E675F0" w:rsidRDefault="00E675F0" w:rsidP="003048D3">
            <w:pPr>
              <w:pStyle w:val="TableParagraph"/>
              <w:numPr>
                <w:ilvl w:val="1"/>
                <w:numId w:val="114"/>
              </w:numPr>
              <w:tabs>
                <w:tab w:val="left" w:pos="951"/>
              </w:tabs>
              <w:spacing w:before="111" w:line="259" w:lineRule="auto"/>
              <w:ind w:right="235" w:hanging="302"/>
              <w:jc w:val="both"/>
              <w:rPr>
                <w:sz w:val="18"/>
              </w:rPr>
            </w:pPr>
            <w:r>
              <w:rPr>
                <w:w w:val="105"/>
                <w:sz w:val="20"/>
              </w:rPr>
              <w:t>Significantly</w:t>
            </w:r>
            <w:r>
              <w:rPr>
                <w:spacing w:val="-11"/>
                <w:w w:val="105"/>
                <w:sz w:val="20"/>
              </w:rPr>
              <w:t xml:space="preserve"> </w:t>
            </w:r>
            <w:r>
              <w:rPr>
                <w:w w:val="105"/>
                <w:sz w:val="20"/>
              </w:rPr>
              <w:t>subaverage</w:t>
            </w:r>
            <w:r>
              <w:rPr>
                <w:spacing w:val="-13"/>
                <w:w w:val="105"/>
                <w:sz w:val="20"/>
              </w:rPr>
              <w:t xml:space="preserve"> </w:t>
            </w:r>
            <w:r>
              <w:rPr>
                <w:w w:val="105"/>
                <w:sz w:val="20"/>
              </w:rPr>
              <w:t>intellectual</w:t>
            </w:r>
            <w:r>
              <w:rPr>
                <w:spacing w:val="-24"/>
                <w:w w:val="105"/>
                <w:sz w:val="20"/>
              </w:rPr>
              <w:t xml:space="preserve"> </w:t>
            </w:r>
            <w:r>
              <w:rPr>
                <w:w w:val="105"/>
                <w:sz w:val="20"/>
              </w:rPr>
              <w:t>functioning:</w:t>
            </w:r>
            <w:r>
              <w:rPr>
                <w:spacing w:val="-18"/>
                <w:w w:val="105"/>
                <w:sz w:val="20"/>
              </w:rPr>
              <w:t xml:space="preserve"> </w:t>
            </w:r>
            <w:r>
              <w:rPr>
                <w:w w:val="105"/>
                <w:sz w:val="20"/>
              </w:rPr>
              <w:t>an</w:t>
            </w:r>
            <w:r>
              <w:rPr>
                <w:spacing w:val="-14"/>
                <w:w w:val="105"/>
                <w:sz w:val="20"/>
              </w:rPr>
              <w:t xml:space="preserve"> </w:t>
            </w:r>
            <w:r>
              <w:rPr>
                <w:w w:val="105"/>
                <w:sz w:val="20"/>
              </w:rPr>
              <w:t>IQ</w:t>
            </w:r>
            <w:r>
              <w:rPr>
                <w:spacing w:val="-27"/>
                <w:w w:val="105"/>
                <w:sz w:val="20"/>
              </w:rPr>
              <w:t xml:space="preserve"> </w:t>
            </w:r>
            <w:r>
              <w:rPr>
                <w:w w:val="105"/>
                <w:sz w:val="20"/>
              </w:rPr>
              <w:t>of</w:t>
            </w:r>
            <w:r>
              <w:rPr>
                <w:spacing w:val="-19"/>
                <w:w w:val="105"/>
                <w:sz w:val="20"/>
              </w:rPr>
              <w:t xml:space="preserve"> </w:t>
            </w:r>
            <w:r>
              <w:rPr>
                <w:w w:val="105"/>
                <w:sz w:val="20"/>
              </w:rPr>
              <w:t>approximately 70</w:t>
            </w:r>
            <w:r>
              <w:rPr>
                <w:spacing w:val="-21"/>
                <w:w w:val="105"/>
                <w:sz w:val="20"/>
              </w:rPr>
              <w:t xml:space="preserve"> </w:t>
            </w:r>
            <w:r>
              <w:rPr>
                <w:w w:val="105"/>
                <w:sz w:val="20"/>
              </w:rPr>
              <w:t>or</w:t>
            </w:r>
            <w:r>
              <w:rPr>
                <w:spacing w:val="-15"/>
                <w:w w:val="105"/>
                <w:sz w:val="20"/>
              </w:rPr>
              <w:t xml:space="preserve"> </w:t>
            </w:r>
            <w:r>
              <w:rPr>
                <w:w w:val="105"/>
                <w:sz w:val="20"/>
              </w:rPr>
              <w:t>below</w:t>
            </w:r>
            <w:r>
              <w:rPr>
                <w:spacing w:val="-13"/>
                <w:w w:val="105"/>
                <w:sz w:val="20"/>
              </w:rPr>
              <w:t xml:space="preserve"> </w:t>
            </w:r>
            <w:r>
              <w:rPr>
                <w:w w:val="105"/>
                <w:sz w:val="20"/>
              </w:rPr>
              <w:t>on</w:t>
            </w:r>
            <w:r>
              <w:rPr>
                <w:spacing w:val="-14"/>
                <w:w w:val="105"/>
                <w:sz w:val="20"/>
              </w:rPr>
              <w:t xml:space="preserve"> </w:t>
            </w:r>
            <w:r>
              <w:rPr>
                <w:w w:val="105"/>
                <w:sz w:val="20"/>
              </w:rPr>
              <w:t>an</w:t>
            </w:r>
            <w:r>
              <w:rPr>
                <w:spacing w:val="-20"/>
                <w:w w:val="105"/>
                <w:sz w:val="20"/>
              </w:rPr>
              <w:t xml:space="preserve"> </w:t>
            </w:r>
            <w:r>
              <w:rPr>
                <w:w w:val="105"/>
                <w:sz w:val="20"/>
              </w:rPr>
              <w:t>individually</w:t>
            </w:r>
            <w:r>
              <w:rPr>
                <w:spacing w:val="-3"/>
                <w:w w:val="105"/>
                <w:sz w:val="20"/>
              </w:rPr>
              <w:t xml:space="preserve"> </w:t>
            </w:r>
            <w:r>
              <w:rPr>
                <w:w w:val="105"/>
                <w:sz w:val="20"/>
              </w:rPr>
              <w:t>administered</w:t>
            </w:r>
            <w:r>
              <w:rPr>
                <w:spacing w:val="-3"/>
                <w:w w:val="105"/>
                <w:sz w:val="20"/>
              </w:rPr>
              <w:t xml:space="preserve"> </w:t>
            </w:r>
            <w:r>
              <w:rPr>
                <w:w w:val="105"/>
                <w:sz w:val="20"/>
              </w:rPr>
              <w:t>IQ</w:t>
            </w:r>
            <w:r>
              <w:rPr>
                <w:spacing w:val="-16"/>
                <w:w w:val="105"/>
                <w:sz w:val="20"/>
              </w:rPr>
              <w:t xml:space="preserve"> </w:t>
            </w:r>
            <w:r>
              <w:rPr>
                <w:w w:val="105"/>
                <w:sz w:val="20"/>
              </w:rPr>
              <w:t>test</w:t>
            </w:r>
            <w:r>
              <w:rPr>
                <w:spacing w:val="-17"/>
                <w:w w:val="105"/>
                <w:sz w:val="20"/>
              </w:rPr>
              <w:t xml:space="preserve"> </w:t>
            </w:r>
            <w:r>
              <w:rPr>
                <w:w w:val="105"/>
                <w:sz w:val="20"/>
              </w:rPr>
              <w:t>(for</w:t>
            </w:r>
            <w:r>
              <w:rPr>
                <w:spacing w:val="-15"/>
                <w:w w:val="105"/>
                <w:sz w:val="20"/>
              </w:rPr>
              <w:t xml:space="preserve"> </w:t>
            </w:r>
            <w:r>
              <w:rPr>
                <w:w w:val="105"/>
                <w:sz w:val="20"/>
              </w:rPr>
              <w:t>infants,</w:t>
            </w:r>
            <w:r>
              <w:rPr>
                <w:spacing w:val="-13"/>
                <w:w w:val="105"/>
                <w:sz w:val="20"/>
              </w:rPr>
              <w:t xml:space="preserve"> </w:t>
            </w:r>
            <w:r>
              <w:rPr>
                <w:w w:val="105"/>
                <w:sz w:val="20"/>
              </w:rPr>
              <w:t>a</w:t>
            </w:r>
            <w:r>
              <w:rPr>
                <w:spacing w:val="-16"/>
                <w:w w:val="105"/>
                <w:sz w:val="20"/>
              </w:rPr>
              <w:t xml:space="preserve"> </w:t>
            </w:r>
            <w:r>
              <w:rPr>
                <w:w w:val="105"/>
                <w:sz w:val="20"/>
              </w:rPr>
              <w:t>clinical judgment of significantly subaverage intellectual functioning).</w:t>
            </w:r>
          </w:p>
          <w:p w:rsidR="00E675F0" w:rsidRDefault="00E675F0" w:rsidP="003048D3">
            <w:pPr>
              <w:pStyle w:val="TableParagraph"/>
              <w:numPr>
                <w:ilvl w:val="1"/>
                <w:numId w:val="114"/>
              </w:numPr>
              <w:tabs>
                <w:tab w:val="left" w:pos="961"/>
              </w:tabs>
              <w:spacing w:before="173" w:line="256" w:lineRule="auto"/>
              <w:ind w:left="956" w:right="223" w:hanging="300"/>
              <w:jc w:val="both"/>
              <w:rPr>
                <w:sz w:val="18"/>
              </w:rPr>
            </w:pPr>
            <w:r>
              <w:rPr>
                <w:w w:val="105"/>
                <w:sz w:val="20"/>
              </w:rPr>
              <w:t>Concurrent deficits or impairments in present adaptive functioning (i.e., the person's effectiveness in meeting the standards expected for his or her age by his or her cultural group) in at least two of the following areas:</w:t>
            </w:r>
            <w:r>
              <w:rPr>
                <w:spacing w:val="-9"/>
                <w:w w:val="105"/>
                <w:sz w:val="20"/>
              </w:rPr>
              <w:t xml:space="preserve"> </w:t>
            </w:r>
            <w:r>
              <w:rPr>
                <w:w w:val="105"/>
                <w:sz w:val="20"/>
              </w:rPr>
              <w:t>communication,</w:t>
            </w:r>
            <w:r>
              <w:rPr>
                <w:spacing w:val="-21"/>
                <w:w w:val="105"/>
                <w:sz w:val="20"/>
              </w:rPr>
              <w:t xml:space="preserve"> </w:t>
            </w:r>
            <w:r>
              <w:rPr>
                <w:w w:val="105"/>
                <w:sz w:val="20"/>
              </w:rPr>
              <w:t>self-care,</w:t>
            </w:r>
            <w:r>
              <w:rPr>
                <w:spacing w:val="2"/>
                <w:w w:val="105"/>
                <w:sz w:val="20"/>
              </w:rPr>
              <w:t xml:space="preserve"> </w:t>
            </w:r>
            <w:r>
              <w:rPr>
                <w:w w:val="105"/>
                <w:sz w:val="20"/>
              </w:rPr>
              <w:t>home</w:t>
            </w:r>
            <w:r>
              <w:rPr>
                <w:spacing w:val="-9"/>
                <w:w w:val="105"/>
                <w:sz w:val="20"/>
              </w:rPr>
              <w:t xml:space="preserve"> </w:t>
            </w:r>
            <w:r>
              <w:rPr>
                <w:w w:val="105"/>
                <w:sz w:val="20"/>
              </w:rPr>
              <w:t>living,</w:t>
            </w:r>
            <w:r>
              <w:rPr>
                <w:spacing w:val="-10"/>
                <w:w w:val="105"/>
                <w:sz w:val="20"/>
              </w:rPr>
              <w:t xml:space="preserve"> </w:t>
            </w:r>
            <w:r>
              <w:rPr>
                <w:w w:val="105"/>
                <w:sz w:val="20"/>
              </w:rPr>
              <w:t>social/interpersonal</w:t>
            </w:r>
            <w:r>
              <w:rPr>
                <w:spacing w:val="-19"/>
                <w:w w:val="105"/>
                <w:sz w:val="20"/>
              </w:rPr>
              <w:t xml:space="preserve"> </w:t>
            </w:r>
            <w:r>
              <w:rPr>
                <w:w w:val="105"/>
                <w:sz w:val="20"/>
              </w:rPr>
              <w:t>skills, use of community resources, self-direction, functional academic skills, work, leisure, health, and</w:t>
            </w:r>
            <w:r>
              <w:rPr>
                <w:spacing w:val="11"/>
                <w:w w:val="105"/>
                <w:sz w:val="20"/>
              </w:rPr>
              <w:t xml:space="preserve"> </w:t>
            </w:r>
            <w:r>
              <w:rPr>
                <w:w w:val="105"/>
                <w:sz w:val="20"/>
              </w:rPr>
              <w:t>safety.</w:t>
            </w:r>
          </w:p>
          <w:p w:rsidR="00E675F0" w:rsidRDefault="00E675F0" w:rsidP="003048D3">
            <w:pPr>
              <w:pStyle w:val="TableParagraph"/>
              <w:numPr>
                <w:ilvl w:val="1"/>
                <w:numId w:val="114"/>
              </w:numPr>
              <w:tabs>
                <w:tab w:val="left" w:pos="958"/>
              </w:tabs>
              <w:spacing w:before="177"/>
              <w:ind w:left="957" w:hanging="301"/>
              <w:rPr>
                <w:sz w:val="20"/>
              </w:rPr>
            </w:pPr>
            <w:r>
              <w:rPr>
                <w:w w:val="105"/>
                <w:sz w:val="20"/>
              </w:rPr>
              <w:t>The onset is before age 18</w:t>
            </w:r>
            <w:r>
              <w:rPr>
                <w:spacing w:val="3"/>
                <w:w w:val="105"/>
                <w:sz w:val="20"/>
              </w:rPr>
              <w:t xml:space="preserve"> </w:t>
            </w:r>
            <w:r>
              <w:rPr>
                <w:w w:val="105"/>
                <w:sz w:val="20"/>
              </w:rPr>
              <w:t>years.</w:t>
            </w:r>
          </w:p>
          <w:p w:rsidR="00E675F0" w:rsidRDefault="00E675F0" w:rsidP="00A330E1">
            <w:pPr>
              <w:pStyle w:val="TableParagraph"/>
              <w:spacing w:before="178"/>
              <w:ind w:left="411"/>
              <w:rPr>
                <w:sz w:val="20"/>
              </w:rPr>
            </w:pPr>
            <w:r>
              <w:rPr>
                <w:i/>
                <w:sz w:val="20"/>
              </w:rPr>
              <w:t xml:space="preserve">Code </w:t>
            </w:r>
            <w:r>
              <w:rPr>
                <w:sz w:val="20"/>
              </w:rPr>
              <w:t>based on degree of severity reflecting level of intellectual impairment:</w:t>
            </w:r>
          </w:p>
          <w:p w:rsidR="00E675F0" w:rsidRDefault="00E675F0" w:rsidP="00A330E1">
            <w:pPr>
              <w:pStyle w:val="TableParagraph"/>
              <w:tabs>
                <w:tab w:val="left" w:pos="1281"/>
                <w:tab w:val="left" w:pos="4137"/>
              </w:tabs>
              <w:spacing w:before="15"/>
              <w:ind w:left="661"/>
              <w:rPr>
                <w:sz w:val="20"/>
              </w:rPr>
            </w:pPr>
            <w:r>
              <w:rPr>
                <w:b/>
                <w:w w:val="105"/>
                <w:sz w:val="20"/>
              </w:rPr>
              <w:t>317</w:t>
            </w:r>
            <w:r>
              <w:rPr>
                <w:b/>
                <w:w w:val="105"/>
                <w:sz w:val="20"/>
              </w:rPr>
              <w:tab/>
              <w:t>Mild</w:t>
            </w:r>
            <w:r>
              <w:rPr>
                <w:b/>
                <w:spacing w:val="-11"/>
                <w:w w:val="105"/>
                <w:sz w:val="20"/>
              </w:rPr>
              <w:t xml:space="preserve"> </w:t>
            </w:r>
            <w:r>
              <w:rPr>
                <w:b/>
                <w:w w:val="105"/>
                <w:sz w:val="20"/>
              </w:rPr>
              <w:t>Mental</w:t>
            </w:r>
            <w:r>
              <w:rPr>
                <w:b/>
                <w:spacing w:val="-11"/>
                <w:w w:val="105"/>
                <w:sz w:val="20"/>
              </w:rPr>
              <w:t xml:space="preserve"> </w:t>
            </w:r>
            <w:r>
              <w:rPr>
                <w:b/>
                <w:w w:val="105"/>
                <w:sz w:val="20"/>
              </w:rPr>
              <w:t>Retardation:</w:t>
            </w:r>
            <w:r>
              <w:rPr>
                <w:b/>
                <w:w w:val="105"/>
                <w:sz w:val="20"/>
              </w:rPr>
              <w:tab/>
            </w:r>
            <w:r>
              <w:rPr>
                <w:w w:val="105"/>
                <w:sz w:val="20"/>
              </w:rPr>
              <w:t>IQ level 50-55 to approximately</w:t>
            </w:r>
            <w:r>
              <w:rPr>
                <w:spacing w:val="-33"/>
                <w:w w:val="105"/>
                <w:sz w:val="20"/>
              </w:rPr>
              <w:t xml:space="preserve"> </w:t>
            </w:r>
            <w:r>
              <w:rPr>
                <w:w w:val="105"/>
                <w:sz w:val="20"/>
              </w:rPr>
              <w:t>70</w:t>
            </w:r>
          </w:p>
          <w:p w:rsidR="00E675F0" w:rsidRDefault="00E675F0" w:rsidP="003048D3">
            <w:pPr>
              <w:pStyle w:val="TableParagraph"/>
              <w:numPr>
                <w:ilvl w:val="1"/>
                <w:numId w:val="113"/>
              </w:numPr>
              <w:tabs>
                <w:tab w:val="left" w:pos="1277"/>
              </w:tabs>
              <w:spacing w:before="20"/>
              <w:rPr>
                <w:sz w:val="20"/>
              </w:rPr>
            </w:pPr>
            <w:r>
              <w:rPr>
                <w:b/>
                <w:w w:val="105"/>
                <w:sz w:val="20"/>
              </w:rPr>
              <w:t xml:space="preserve">Moderate Mental Retardation: </w:t>
            </w:r>
            <w:r>
              <w:rPr>
                <w:w w:val="105"/>
                <w:sz w:val="20"/>
              </w:rPr>
              <w:t>IQ level 35-40 to</w:t>
            </w:r>
            <w:r>
              <w:rPr>
                <w:spacing w:val="27"/>
                <w:w w:val="105"/>
                <w:sz w:val="20"/>
              </w:rPr>
              <w:t xml:space="preserve"> </w:t>
            </w:r>
            <w:r>
              <w:rPr>
                <w:w w:val="105"/>
                <w:sz w:val="20"/>
              </w:rPr>
              <w:t>50-55</w:t>
            </w:r>
          </w:p>
          <w:p w:rsidR="00E675F0" w:rsidRDefault="00E675F0" w:rsidP="003048D3">
            <w:pPr>
              <w:pStyle w:val="TableParagraph"/>
              <w:numPr>
                <w:ilvl w:val="1"/>
                <w:numId w:val="113"/>
              </w:numPr>
              <w:tabs>
                <w:tab w:val="left" w:pos="1271"/>
                <w:tab w:val="left" w:pos="4157"/>
              </w:tabs>
              <w:spacing w:before="15"/>
              <w:ind w:left="1270" w:hanging="610"/>
              <w:rPr>
                <w:sz w:val="20"/>
              </w:rPr>
            </w:pPr>
            <w:r>
              <w:rPr>
                <w:b/>
                <w:w w:val="105"/>
                <w:sz w:val="20"/>
              </w:rPr>
              <w:t>Severe</w:t>
            </w:r>
            <w:r>
              <w:rPr>
                <w:b/>
                <w:spacing w:val="-2"/>
                <w:w w:val="105"/>
                <w:sz w:val="20"/>
              </w:rPr>
              <w:t xml:space="preserve"> </w:t>
            </w:r>
            <w:r>
              <w:rPr>
                <w:b/>
                <w:w w:val="105"/>
                <w:sz w:val="20"/>
              </w:rPr>
              <w:t>Mental</w:t>
            </w:r>
            <w:r>
              <w:rPr>
                <w:b/>
                <w:spacing w:val="8"/>
                <w:w w:val="105"/>
                <w:sz w:val="20"/>
              </w:rPr>
              <w:t xml:space="preserve"> </w:t>
            </w:r>
            <w:r>
              <w:rPr>
                <w:b/>
                <w:w w:val="105"/>
                <w:sz w:val="20"/>
              </w:rPr>
              <w:t>Retardation:</w:t>
            </w:r>
            <w:r>
              <w:rPr>
                <w:b/>
                <w:w w:val="105"/>
                <w:sz w:val="20"/>
              </w:rPr>
              <w:tab/>
            </w:r>
            <w:r>
              <w:rPr>
                <w:w w:val="105"/>
                <w:sz w:val="20"/>
              </w:rPr>
              <w:t>IQ level 20-25 to</w:t>
            </w:r>
            <w:r>
              <w:rPr>
                <w:spacing w:val="-7"/>
                <w:w w:val="105"/>
                <w:sz w:val="20"/>
              </w:rPr>
              <w:t xml:space="preserve"> </w:t>
            </w:r>
            <w:r>
              <w:rPr>
                <w:w w:val="105"/>
                <w:sz w:val="20"/>
              </w:rPr>
              <w:t>35-40</w:t>
            </w:r>
          </w:p>
          <w:p w:rsidR="00E675F0" w:rsidRDefault="00E675F0" w:rsidP="003048D3">
            <w:pPr>
              <w:pStyle w:val="TableParagraph"/>
              <w:numPr>
                <w:ilvl w:val="1"/>
                <w:numId w:val="113"/>
              </w:numPr>
              <w:tabs>
                <w:tab w:val="left" w:pos="1276"/>
              </w:tabs>
              <w:spacing w:before="16"/>
              <w:ind w:left="1275" w:hanging="615"/>
              <w:rPr>
                <w:sz w:val="20"/>
              </w:rPr>
            </w:pPr>
            <w:r>
              <w:rPr>
                <w:b/>
                <w:w w:val="105"/>
                <w:sz w:val="20"/>
              </w:rPr>
              <w:t xml:space="preserve">Profound Mental Retardation: </w:t>
            </w:r>
            <w:r>
              <w:rPr>
                <w:w w:val="105"/>
                <w:sz w:val="20"/>
              </w:rPr>
              <w:t>IQ level below 20 or</w:t>
            </w:r>
            <w:r>
              <w:rPr>
                <w:spacing w:val="38"/>
                <w:w w:val="105"/>
                <w:sz w:val="20"/>
              </w:rPr>
              <w:t xml:space="preserve"> </w:t>
            </w:r>
            <w:r>
              <w:rPr>
                <w:w w:val="105"/>
                <w:sz w:val="20"/>
              </w:rPr>
              <w:t>25</w:t>
            </w:r>
          </w:p>
          <w:p w:rsidR="00E675F0" w:rsidRDefault="00E675F0" w:rsidP="00A330E1">
            <w:pPr>
              <w:pStyle w:val="TableParagraph"/>
              <w:tabs>
                <w:tab w:val="left" w:pos="1262"/>
              </w:tabs>
              <w:spacing w:before="15" w:line="249" w:lineRule="auto"/>
              <w:ind w:left="1270" w:right="248" w:hanging="610"/>
              <w:rPr>
                <w:sz w:val="20"/>
              </w:rPr>
            </w:pPr>
            <w:r>
              <w:rPr>
                <w:b/>
                <w:w w:val="105"/>
                <w:sz w:val="20"/>
              </w:rPr>
              <w:t>319</w:t>
            </w:r>
            <w:r>
              <w:rPr>
                <w:b/>
                <w:w w:val="105"/>
                <w:sz w:val="20"/>
              </w:rPr>
              <w:tab/>
              <w:t xml:space="preserve">Mental Retardation, Severity Unspecified: </w:t>
            </w:r>
            <w:r>
              <w:rPr>
                <w:w w:val="105"/>
                <w:sz w:val="20"/>
              </w:rPr>
              <w:t>when there is strong presumption of Mental Retardation but the person's intelligence is untestable by standard</w:t>
            </w:r>
            <w:r>
              <w:rPr>
                <w:spacing w:val="2"/>
                <w:w w:val="105"/>
                <w:sz w:val="20"/>
              </w:rPr>
              <w:t xml:space="preserve"> </w:t>
            </w:r>
            <w:r>
              <w:rPr>
                <w:w w:val="105"/>
                <w:sz w:val="20"/>
              </w:rPr>
              <w:t>tests</w:t>
            </w:r>
          </w:p>
        </w:tc>
      </w:tr>
    </w:tbl>
    <w:p w:rsidR="00E675F0" w:rsidRDefault="00E675F0" w:rsidP="00E675F0">
      <w:pPr>
        <w:pStyle w:val="BodyText"/>
      </w:pPr>
    </w:p>
    <w:p w:rsidR="00E675F0" w:rsidRDefault="00E675F0" w:rsidP="00E675F0">
      <w:pPr>
        <w:pStyle w:val="BodyText"/>
      </w:pPr>
    </w:p>
    <w:p w:rsidR="00E675F0" w:rsidRDefault="00E675F0" w:rsidP="00E675F0">
      <w:pPr>
        <w:pStyle w:val="BodyText"/>
        <w:spacing w:before="3"/>
        <w:rPr>
          <w:sz w:val="27"/>
        </w:rPr>
      </w:pPr>
    </w:p>
    <w:p w:rsidR="00E675F0" w:rsidRDefault="00E675F0" w:rsidP="00E675F0">
      <w:pPr>
        <w:spacing w:before="92"/>
        <w:ind w:left="136" w:right="111"/>
        <w:jc w:val="center"/>
        <w:rPr>
          <w:rFonts w:ascii="Arial"/>
          <w:b/>
          <w:sz w:val="25"/>
        </w:rPr>
      </w:pPr>
      <w:r>
        <w:rPr>
          <w:noProof/>
        </w:rPr>
        <mc:AlternateContent>
          <mc:Choice Requires="wpg">
            <w:drawing>
              <wp:anchor distT="0" distB="0" distL="114300" distR="114300" simplePos="0" relativeHeight="251749376" behindDoc="1" locked="0" layoutInCell="1" allowOverlap="1" wp14:anchorId="6EE737D5" wp14:editId="3755CE61">
                <wp:simplePos x="0" y="0"/>
                <wp:positionH relativeFrom="page">
                  <wp:posOffset>476250</wp:posOffset>
                </wp:positionH>
                <wp:positionV relativeFrom="paragraph">
                  <wp:posOffset>-27940</wp:posOffset>
                </wp:positionV>
                <wp:extent cx="1527810" cy="491490"/>
                <wp:effectExtent l="0" t="0" r="8890" b="3810"/>
                <wp:wrapNone/>
                <wp:docPr id="1652" name="Group 1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7810" cy="491490"/>
                          <a:chOff x="750" y="-44"/>
                          <a:chExt cx="2406" cy="774"/>
                        </a:xfrm>
                      </wpg:grpSpPr>
                      <wps:wsp>
                        <wps:cNvPr id="1653" name="Line 1610"/>
                        <wps:cNvCnPr>
                          <a:cxnSpLocks/>
                        </wps:cNvCnPr>
                        <wps:spPr bwMode="auto">
                          <a:xfrm>
                            <a:off x="774" y="730"/>
                            <a:ext cx="0" cy="0"/>
                          </a:xfrm>
                          <a:prstGeom prst="line">
                            <a:avLst/>
                          </a:prstGeom>
                          <a:noFill/>
                          <a:ln w="1527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4" name="Line 1609"/>
                        <wps:cNvCnPr>
                          <a:cxnSpLocks/>
                        </wps:cNvCnPr>
                        <wps:spPr bwMode="auto">
                          <a:xfrm>
                            <a:off x="750" y="-34"/>
                            <a:ext cx="2406" cy="0"/>
                          </a:xfrm>
                          <a:prstGeom prst="line">
                            <a:avLst/>
                          </a:prstGeom>
                          <a:noFill/>
                          <a:ln w="1220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373B94" id="Group 1608" o:spid="_x0000_s1026" style="position:absolute;margin-left:37.5pt;margin-top:-2.2pt;width:120.3pt;height:38.7pt;z-index:-251567104;mso-position-horizontal-relative:page" coordorigin="750,-44" coordsize="2406,77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">
                <v:line id="Line 1610" o:spid="_x0000_s1027" style="position:absolute;visibility:visible;mso-wrap-style:square" from="774,730" to="774,7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" strokeweight=".42425mm">
                  <o:lock v:ext="edit" shapetype="f"/>
                </v:line>
                <v:line id="Line 1609" o:spid="_x0000_s1028" style="position:absolute;visibility:visible;mso-wrap-style:square" from="750,-34" to="3156,-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" strokeweight=".33911mm">
                  <o:lock v:ext="edit" shapetype="f"/>
                </v:line>
                <w10:wrap anchorx="page"/>
              </v:group>
            </w:pict>
          </mc:Fallback>
        </mc:AlternateContent>
      </w:r>
      <w:r>
        <w:rPr>
          <w:noProof/>
        </w:rPr>
        <mc:AlternateContent>
          <mc:Choice Requires="wpg">
            <w:drawing>
              <wp:anchor distT="0" distB="0" distL="114300" distR="114300" simplePos="0" relativeHeight="251750400" behindDoc="1" locked="0" layoutInCell="1" allowOverlap="1" wp14:anchorId="71DB3D92" wp14:editId="02D5FE2F">
                <wp:simplePos x="0" y="0"/>
                <wp:positionH relativeFrom="page">
                  <wp:posOffset>464185</wp:posOffset>
                </wp:positionH>
                <wp:positionV relativeFrom="paragraph">
                  <wp:posOffset>-4272915</wp:posOffset>
                </wp:positionV>
                <wp:extent cx="4752975" cy="3821430"/>
                <wp:effectExtent l="0" t="0" r="22225" b="0"/>
                <wp:wrapNone/>
                <wp:docPr id="1649" name="Group 1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2975" cy="3821430"/>
                          <a:chOff x="731" y="-6729"/>
                          <a:chExt cx="7485" cy="6018"/>
                        </a:xfrm>
                      </wpg:grpSpPr>
                      <wps:wsp>
                        <wps:cNvPr id="1650" name="Line 1607"/>
                        <wps:cNvCnPr>
                          <a:cxnSpLocks/>
                        </wps:cNvCnPr>
                        <wps:spPr bwMode="auto">
                          <a:xfrm>
                            <a:off x="8125" y="-712"/>
                            <a:ext cx="0" cy="0"/>
                          </a:xfrm>
                          <a:prstGeom prst="line">
                            <a:avLst/>
                          </a:prstGeom>
                          <a:noFill/>
                          <a:ln w="305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1" name="Line 1606"/>
                        <wps:cNvCnPr>
                          <a:cxnSpLocks/>
                        </wps:cNvCnPr>
                        <wps:spPr bwMode="auto">
                          <a:xfrm>
                            <a:off x="731" y="-803"/>
                            <a:ext cx="7485" cy="0"/>
                          </a:xfrm>
                          <a:prstGeom prst="line">
                            <a:avLst/>
                          </a:prstGeom>
                          <a:noFill/>
                          <a:ln w="366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9515C3" id="Group 1605" o:spid="_x0000_s1026" style="position:absolute;margin-left:36.55pt;margin-top:-336.45pt;width:374.25pt;height:300.9pt;z-index:-251566080;mso-position-horizontal-relative:page" coordorigin="731,-6729" coordsize="7485,60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">
                <v:line id="Line 1607" o:spid="_x0000_s1027" style="position:absolute;visibility:visible;mso-wrap-style:square" from="8125,-712" to="8125,-7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" strokeweight=".84847mm">
                  <o:lock v:ext="edit" shapetype="f"/>
                </v:line>
                <v:line id="Line 1606" o:spid="_x0000_s1028" style="position:absolute;visibility:visible;mso-wrap-style:square" from="731,-803" to="8216,-8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" strokeweight="1.0174mm">
                  <o:lock v:ext="edit" shapetype="f"/>
                </v:line>
                <w10:wrap anchorx="page"/>
              </v:group>
            </w:pict>
          </mc:Fallback>
        </mc:AlternateContent>
      </w:r>
      <w:r>
        <w:rPr>
          <w:noProof/>
        </w:rPr>
        <mc:AlternateContent>
          <mc:Choice Requires="wpg">
            <w:drawing>
              <wp:anchor distT="0" distB="0" distL="114300" distR="114300" simplePos="0" relativeHeight="251751424" behindDoc="1" locked="0" layoutInCell="1" allowOverlap="1" wp14:anchorId="6684F32A" wp14:editId="157184E7">
                <wp:simplePos x="0" y="0"/>
                <wp:positionH relativeFrom="page">
                  <wp:posOffset>3811905</wp:posOffset>
                </wp:positionH>
                <wp:positionV relativeFrom="paragraph">
                  <wp:posOffset>-27940</wp:posOffset>
                </wp:positionV>
                <wp:extent cx="1393190" cy="504190"/>
                <wp:effectExtent l="0" t="0" r="3810" b="3810"/>
                <wp:wrapNone/>
                <wp:docPr id="1646" name="Group 1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3190" cy="504190"/>
                          <a:chOff x="6003" y="-44"/>
                          <a:chExt cx="2194" cy="794"/>
                        </a:xfrm>
                      </wpg:grpSpPr>
                      <wps:wsp>
                        <wps:cNvPr id="1647" name="Line 1604"/>
                        <wps:cNvCnPr>
                          <a:cxnSpLocks/>
                        </wps:cNvCnPr>
                        <wps:spPr bwMode="auto">
                          <a:xfrm>
                            <a:off x="8177" y="749"/>
                            <a:ext cx="0" cy="0"/>
                          </a:xfrm>
                          <a:prstGeom prst="line">
                            <a:avLst/>
                          </a:prstGeom>
                          <a:noFill/>
                          <a:ln w="91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8" name="Line 1603"/>
                        <wps:cNvCnPr>
                          <a:cxnSpLocks/>
                        </wps:cNvCnPr>
                        <wps:spPr bwMode="auto">
                          <a:xfrm>
                            <a:off x="6003" y="-34"/>
                            <a:ext cx="2194" cy="0"/>
                          </a:xfrm>
                          <a:prstGeom prst="line">
                            <a:avLst/>
                          </a:prstGeom>
                          <a:noFill/>
                          <a:ln w="1220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FA06E2" id="Group 1602" o:spid="_x0000_s1026" style="position:absolute;margin-left:300.15pt;margin-top:-2.2pt;width:109.7pt;height:39.7pt;z-index:-251565056;mso-position-horizontal-relative:page" coordorigin="6003,-44" coordsize="2194,79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">
                <v:line id="Line 1604" o:spid="_x0000_s1027" style="position:absolute;visibility:visible;mso-wrap-style:square" from="8177,749" to="8177,7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" strokeweight=".25456mm">
                  <o:lock v:ext="edit" shapetype="f"/>
                </v:line>
                <v:line id="Line 1603" o:spid="_x0000_s1028" style="position:absolute;visibility:visible;mso-wrap-style:square" from="6003,-34" to="8197,-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" strokeweight=".33911mm">
                  <o:lock v:ext="edit" shapetype="f"/>
                </v:line>
                <w10:wrap anchorx="page"/>
              </v:group>
            </w:pict>
          </mc:Fallback>
        </mc:AlternateContent>
      </w:r>
      <w:r>
        <w:rPr>
          <w:rFonts w:ascii="Arial"/>
          <w:b/>
          <w:color w:val="262626"/>
          <w:w w:val="105"/>
          <w:sz w:val="25"/>
        </w:rPr>
        <w:t xml:space="preserve">Learning </w:t>
      </w:r>
      <w:r>
        <w:rPr>
          <w:rFonts w:ascii="Arial"/>
          <w:b/>
          <w:color w:val="161616"/>
          <w:w w:val="105"/>
          <w:sz w:val="25"/>
        </w:rPr>
        <w:t>Disorders</w:t>
      </w:r>
    </w:p>
    <w:p w:rsidR="00E675F0" w:rsidRDefault="00E675F0" w:rsidP="00E675F0">
      <w:pPr>
        <w:spacing w:before="11"/>
        <w:ind w:left="136" w:right="117"/>
        <w:jc w:val="center"/>
        <w:rPr>
          <w:rFonts w:ascii="Arial"/>
          <w:b/>
          <w:sz w:val="25"/>
        </w:rPr>
      </w:pPr>
      <w:r>
        <w:rPr>
          <w:rFonts w:ascii="TimesNewRomanPS-BoldItalicMT"/>
          <w:b/>
          <w:i/>
          <w:color w:val="161616"/>
          <w:w w:val="105"/>
          <w:sz w:val="25"/>
        </w:rPr>
        <w:t xml:space="preserve">(formerly </w:t>
      </w:r>
      <w:r>
        <w:rPr>
          <w:rFonts w:ascii="Arial"/>
          <w:b/>
          <w:color w:val="161616"/>
          <w:w w:val="105"/>
          <w:sz w:val="25"/>
        </w:rPr>
        <w:t>Academic Skills Disorders)</w:t>
      </w:r>
    </w:p>
    <w:p w:rsidR="00E675F0" w:rsidRDefault="00E675F0" w:rsidP="00E675F0">
      <w:pPr>
        <w:pStyle w:val="BodyText"/>
        <w:spacing w:before="10"/>
        <w:rPr>
          <w:rFonts w:ascii="Arial"/>
          <w:b/>
          <w:sz w:val="25"/>
        </w:rPr>
      </w:pPr>
    </w:p>
    <w:p w:rsidR="00E675F0" w:rsidRDefault="00E675F0" w:rsidP="00E675F0">
      <w:pPr>
        <w:pStyle w:val="BodyText"/>
        <w:spacing w:line="249" w:lineRule="auto"/>
        <w:ind w:left="126" w:right="134" w:hanging="8"/>
        <w:jc w:val="both"/>
      </w:pPr>
      <w:r>
        <w:rPr>
          <w:w w:val="105"/>
        </w:rPr>
        <w:t>The section on Learning Disorders includes Reading Disorder, Mathematics Disorder, Disorder of Written Expression, and Learning Disorder Not Otherwise Specified.</w:t>
      </w:r>
    </w:p>
    <w:p w:rsidR="00E675F0" w:rsidRDefault="00E675F0" w:rsidP="00E675F0">
      <w:pPr>
        <w:pStyle w:val="BodyText"/>
        <w:rPr>
          <w:sz w:val="22"/>
        </w:rPr>
      </w:pPr>
    </w:p>
    <w:p w:rsidR="00E675F0" w:rsidRDefault="00E675F0" w:rsidP="00E675F0">
      <w:pPr>
        <w:pStyle w:val="BodyText"/>
        <w:spacing w:before="7"/>
        <w:rPr>
          <w:sz w:val="17"/>
        </w:rPr>
      </w:pPr>
    </w:p>
    <w:p w:rsidR="00E675F0" w:rsidRDefault="00E675F0" w:rsidP="00E675F0">
      <w:pPr>
        <w:ind w:left="110"/>
        <w:jc w:val="both"/>
        <w:rPr>
          <w:rFonts w:ascii="TimesNewRomanPS-BoldItalicMT"/>
          <w:b/>
          <w:i/>
          <w:sz w:val="25"/>
        </w:rPr>
      </w:pPr>
      <w:r>
        <w:rPr>
          <w:rFonts w:ascii="TimesNewRomanPS-BoldItalicMT"/>
          <w:b/>
          <w:i/>
          <w:w w:val="110"/>
          <w:sz w:val="25"/>
        </w:rPr>
        <w:t>Diagnostic Features</w:t>
      </w:r>
    </w:p>
    <w:p w:rsidR="00E675F0" w:rsidRDefault="00E675F0" w:rsidP="00E675F0">
      <w:pPr>
        <w:pStyle w:val="BodyText"/>
        <w:spacing w:before="153" w:line="254" w:lineRule="auto"/>
        <w:ind w:left="121" w:right="114" w:firstLine="4"/>
        <w:jc w:val="both"/>
      </w:pPr>
      <w:r>
        <w:rPr>
          <w:w w:val="105"/>
        </w:rPr>
        <w:t>Learning Disorders are diagnosed when the individual's achievement on individually administered, standardized tests in reading, mathematics, or written expression is substantially below that expected for age, schooling, and level of intelligence. The learning</w:t>
      </w:r>
      <w:r>
        <w:rPr>
          <w:spacing w:val="-3"/>
          <w:w w:val="105"/>
        </w:rPr>
        <w:t xml:space="preserve"> </w:t>
      </w:r>
      <w:r>
        <w:rPr>
          <w:w w:val="105"/>
        </w:rPr>
        <w:t>problems</w:t>
      </w:r>
      <w:r>
        <w:rPr>
          <w:spacing w:val="-17"/>
          <w:w w:val="105"/>
        </w:rPr>
        <w:t xml:space="preserve"> </w:t>
      </w:r>
      <w:r>
        <w:rPr>
          <w:w w:val="105"/>
        </w:rPr>
        <w:t>significantly</w:t>
      </w:r>
      <w:r>
        <w:rPr>
          <w:spacing w:val="-6"/>
          <w:w w:val="105"/>
        </w:rPr>
        <w:t xml:space="preserve"> </w:t>
      </w:r>
      <w:r>
        <w:rPr>
          <w:w w:val="105"/>
        </w:rPr>
        <w:t>interfere</w:t>
      </w:r>
      <w:r>
        <w:rPr>
          <w:spacing w:val="-6"/>
          <w:w w:val="105"/>
        </w:rPr>
        <w:t xml:space="preserve"> </w:t>
      </w:r>
      <w:r>
        <w:rPr>
          <w:w w:val="105"/>
        </w:rPr>
        <w:t>with</w:t>
      </w:r>
      <w:r>
        <w:rPr>
          <w:spacing w:val="-11"/>
          <w:w w:val="105"/>
        </w:rPr>
        <w:t xml:space="preserve"> </w:t>
      </w:r>
      <w:r>
        <w:rPr>
          <w:w w:val="105"/>
        </w:rPr>
        <w:t>academic</w:t>
      </w:r>
      <w:r>
        <w:rPr>
          <w:spacing w:val="-10"/>
          <w:w w:val="105"/>
        </w:rPr>
        <w:t xml:space="preserve"> </w:t>
      </w:r>
      <w:r>
        <w:rPr>
          <w:w w:val="105"/>
        </w:rPr>
        <w:t>achievement</w:t>
      </w:r>
      <w:r>
        <w:rPr>
          <w:spacing w:val="-3"/>
          <w:w w:val="105"/>
        </w:rPr>
        <w:t xml:space="preserve"> </w:t>
      </w:r>
      <w:r>
        <w:rPr>
          <w:w w:val="105"/>
        </w:rPr>
        <w:t>or</w:t>
      </w:r>
      <w:r>
        <w:rPr>
          <w:spacing w:val="-19"/>
          <w:w w:val="105"/>
        </w:rPr>
        <w:t xml:space="preserve"> </w:t>
      </w:r>
      <w:r>
        <w:rPr>
          <w:w w:val="105"/>
        </w:rPr>
        <w:t>activities</w:t>
      </w:r>
      <w:r>
        <w:rPr>
          <w:spacing w:val="-10"/>
          <w:w w:val="105"/>
        </w:rPr>
        <w:t xml:space="preserve"> </w:t>
      </w:r>
      <w:r>
        <w:rPr>
          <w:w w:val="105"/>
        </w:rPr>
        <w:t>of</w:t>
      </w:r>
      <w:r>
        <w:rPr>
          <w:spacing w:val="-9"/>
          <w:w w:val="105"/>
        </w:rPr>
        <w:t xml:space="preserve"> </w:t>
      </w:r>
      <w:r>
        <w:rPr>
          <w:w w:val="105"/>
        </w:rPr>
        <w:t xml:space="preserve">daily living that require reading, mathematical, or writing skills. A variety of statistical approaches can be used to establish that a discrepancy is significant. </w:t>
      </w:r>
      <w:r>
        <w:rPr>
          <w:i/>
          <w:w w:val="105"/>
        </w:rPr>
        <w:t xml:space="preserve">Substantially below </w:t>
      </w:r>
      <w:r>
        <w:rPr>
          <w:w w:val="105"/>
        </w:rPr>
        <w:t>is usually defined as a discrepancy of more than 2 standard deviations between achievement and IQ. A smaller discrepancy between achievement and IQ (i.e., between 1 and 2 standard deviations) is sometimes used, especially in cases where an individual's performance on an IQ test may have been compromised by an associated disorder in cognitive processing, a comorbid mental disorder or general medical condition, or the individual's ethnic or cultural background. If a sensory deficit is present, the</w:t>
      </w:r>
      <w:r>
        <w:rPr>
          <w:spacing w:val="28"/>
          <w:w w:val="105"/>
        </w:rPr>
        <w:t xml:space="preserve"> </w:t>
      </w:r>
      <w:r>
        <w:rPr>
          <w:w w:val="105"/>
        </w:rPr>
        <w:t>learning</w:t>
      </w:r>
    </w:p>
    <w:p w:rsidR="00E675F0" w:rsidRDefault="00E675F0" w:rsidP="00E675F0">
      <w:pPr>
        <w:spacing w:line="254" w:lineRule="auto"/>
        <w:jc w:val="both"/>
        <w:sectPr w:rsidR="00E675F0">
          <w:pgSz w:w="8960" w:h="14260"/>
          <w:pgMar w:top="1400" w:right="620" w:bottom="280" w:left="620" w:header="700" w:footer="0" w:gutter="0"/>
          <w:cols w:space="720"/>
        </w:sectPr>
      </w:pPr>
    </w:p>
    <w:p w:rsidR="00E675F0" w:rsidRDefault="00E675F0" w:rsidP="00E675F0">
      <w:pPr>
        <w:pStyle w:val="BodyText"/>
        <w:spacing w:before="136" w:line="252" w:lineRule="auto"/>
        <w:ind w:left="130" w:right="127" w:hanging="4"/>
        <w:jc w:val="both"/>
      </w:pPr>
      <w:r>
        <w:rPr>
          <w:w w:val="105"/>
        </w:rPr>
        <w:lastRenderedPageBreak/>
        <w:t>difficulties must be in excess of those usually associated with the deficit. Learning Disorders may persist into adulthood.</w:t>
      </w:r>
    </w:p>
    <w:p w:rsidR="00E675F0" w:rsidRDefault="00E675F0" w:rsidP="00E675F0">
      <w:pPr>
        <w:pStyle w:val="BodyText"/>
        <w:spacing w:before="1"/>
        <w:rPr>
          <w:sz w:val="32"/>
        </w:rPr>
      </w:pPr>
    </w:p>
    <w:p w:rsidR="00E675F0" w:rsidRDefault="00E675F0" w:rsidP="00E675F0">
      <w:pPr>
        <w:spacing w:before="1"/>
        <w:ind w:left="114"/>
        <w:rPr>
          <w:rFonts w:ascii="TimesNewRomanPS-BoldItalicMT"/>
          <w:b/>
          <w:i/>
          <w:sz w:val="25"/>
        </w:rPr>
      </w:pPr>
      <w:r>
        <w:rPr>
          <w:rFonts w:ascii="TimesNewRomanPS-BoldItalicMT"/>
          <w:b/>
          <w:i/>
          <w:w w:val="110"/>
          <w:sz w:val="25"/>
        </w:rPr>
        <w:t>Associated Features and Di-Sorders</w:t>
      </w:r>
    </w:p>
    <w:p w:rsidR="00E675F0" w:rsidRDefault="00E675F0" w:rsidP="00E675F0">
      <w:pPr>
        <w:pStyle w:val="BodyText"/>
        <w:spacing w:before="134" w:line="256" w:lineRule="auto"/>
        <w:ind w:left="132" w:right="122" w:firstLine="2"/>
        <w:jc w:val="both"/>
      </w:pPr>
      <w:r>
        <w:rPr>
          <w:w w:val="105"/>
        </w:rPr>
        <w:t xml:space="preserve">Demoralization, low self-esteem, and deficits in social skills may be associated with Learning Disorders. The school drop-out rate for children or adolescents with Learning Disorders is reported at nearly </w:t>
      </w:r>
      <w:r>
        <w:rPr>
          <w:w w:val="105"/>
          <w:sz w:val="19"/>
        </w:rPr>
        <w:t xml:space="preserve">40% </w:t>
      </w:r>
      <w:r>
        <w:rPr>
          <w:w w:val="105"/>
        </w:rPr>
        <w:t xml:space="preserve">(or approximately 1.5 times the average). Adults with Learning Disorders may have significant difficulties in employment or social adjustment. Many individuals </w:t>
      </w:r>
      <w:r>
        <w:rPr>
          <w:w w:val="105"/>
          <w:sz w:val="19"/>
        </w:rPr>
        <w:t xml:space="preserve">(10%-25%) </w:t>
      </w:r>
      <w:r>
        <w:rPr>
          <w:w w:val="105"/>
        </w:rPr>
        <w:t>with Conduct Disorder, Oppositional Defiant Disorder, Attention-Deficit/Hyperactivity Disorder, Major Depressive Disorder, or Dys­ thymic Disorder also have Learning Disorders. There is evidence that developmental delays in language may occur in association with Learning Disorders (particularly Reading Disorder), although these delays may not be sufficiently severe to warrant the separate diagnosis of a Communication Disorder. Learning Disorders may also be associated with a higher rate of Developmental Coordination</w:t>
      </w:r>
      <w:r>
        <w:rPr>
          <w:spacing w:val="-16"/>
          <w:w w:val="105"/>
        </w:rPr>
        <w:t xml:space="preserve"> </w:t>
      </w:r>
      <w:r>
        <w:rPr>
          <w:w w:val="105"/>
        </w:rPr>
        <w:t>Disorder.</w:t>
      </w:r>
    </w:p>
    <w:p w:rsidR="00E675F0" w:rsidRDefault="00E675F0" w:rsidP="00E675F0">
      <w:pPr>
        <w:pStyle w:val="BodyText"/>
        <w:spacing w:line="254" w:lineRule="auto"/>
        <w:ind w:left="140" w:right="119" w:firstLine="352"/>
        <w:jc w:val="both"/>
      </w:pPr>
      <w:r>
        <w:rPr>
          <w:w w:val="105"/>
        </w:rPr>
        <w:t>There may be underlying abnormalities in cognitive processing (e.g., deficits in visual perception, linguistic processes, attention, or memory, or a combination of these) that often precede or are associated with Learning Disorders. Standardized tests to measure these processes are generally less reliable and valid than other psychoeduca­ tional tests. Although genetic predisposition, perinatal injury, and various neurological or</w:t>
      </w:r>
      <w:r>
        <w:rPr>
          <w:spacing w:val="-15"/>
          <w:w w:val="105"/>
        </w:rPr>
        <w:t xml:space="preserve"> </w:t>
      </w:r>
      <w:r>
        <w:rPr>
          <w:w w:val="105"/>
        </w:rPr>
        <w:t>other</w:t>
      </w:r>
      <w:r>
        <w:rPr>
          <w:spacing w:val="-9"/>
          <w:w w:val="105"/>
        </w:rPr>
        <w:t xml:space="preserve"> </w:t>
      </w:r>
      <w:r>
        <w:rPr>
          <w:w w:val="105"/>
        </w:rPr>
        <w:t>general</w:t>
      </w:r>
      <w:r>
        <w:rPr>
          <w:spacing w:val="2"/>
          <w:w w:val="105"/>
        </w:rPr>
        <w:t xml:space="preserve"> </w:t>
      </w:r>
      <w:r>
        <w:rPr>
          <w:w w:val="105"/>
        </w:rPr>
        <w:t>medical</w:t>
      </w:r>
      <w:r>
        <w:rPr>
          <w:spacing w:val="-6"/>
          <w:w w:val="105"/>
        </w:rPr>
        <w:t xml:space="preserve"> </w:t>
      </w:r>
      <w:r>
        <w:rPr>
          <w:w w:val="105"/>
        </w:rPr>
        <w:t>conditions</w:t>
      </w:r>
      <w:r>
        <w:rPr>
          <w:spacing w:val="3"/>
          <w:w w:val="105"/>
        </w:rPr>
        <w:t xml:space="preserve"> </w:t>
      </w:r>
      <w:r>
        <w:rPr>
          <w:w w:val="105"/>
        </w:rPr>
        <w:t>may</w:t>
      </w:r>
      <w:r>
        <w:rPr>
          <w:spacing w:val="-10"/>
          <w:w w:val="105"/>
        </w:rPr>
        <w:t xml:space="preserve"> </w:t>
      </w:r>
      <w:r>
        <w:rPr>
          <w:w w:val="105"/>
        </w:rPr>
        <w:t>be</w:t>
      </w:r>
      <w:r>
        <w:rPr>
          <w:spacing w:val="4"/>
          <w:w w:val="105"/>
        </w:rPr>
        <w:t xml:space="preserve"> </w:t>
      </w:r>
      <w:r>
        <w:rPr>
          <w:w w:val="105"/>
        </w:rPr>
        <w:t>associated</w:t>
      </w:r>
      <w:r>
        <w:rPr>
          <w:spacing w:val="-4"/>
          <w:w w:val="105"/>
        </w:rPr>
        <w:t xml:space="preserve"> </w:t>
      </w:r>
      <w:r>
        <w:rPr>
          <w:w w:val="105"/>
        </w:rPr>
        <w:t>with</w:t>
      </w:r>
      <w:r>
        <w:rPr>
          <w:spacing w:val="-7"/>
          <w:w w:val="105"/>
        </w:rPr>
        <w:t xml:space="preserve"> </w:t>
      </w:r>
      <w:r>
        <w:rPr>
          <w:w w:val="105"/>
        </w:rPr>
        <w:t>the</w:t>
      </w:r>
      <w:r>
        <w:rPr>
          <w:spacing w:val="-16"/>
          <w:w w:val="105"/>
        </w:rPr>
        <w:t xml:space="preserve"> </w:t>
      </w:r>
      <w:r>
        <w:rPr>
          <w:w w:val="105"/>
        </w:rPr>
        <w:t>development</w:t>
      </w:r>
      <w:r>
        <w:rPr>
          <w:spacing w:val="1"/>
          <w:w w:val="105"/>
        </w:rPr>
        <w:t xml:space="preserve"> </w:t>
      </w:r>
      <w:r>
        <w:rPr>
          <w:w w:val="105"/>
        </w:rPr>
        <w:t>of</w:t>
      </w:r>
      <w:r>
        <w:rPr>
          <w:spacing w:val="-2"/>
          <w:w w:val="105"/>
        </w:rPr>
        <w:t xml:space="preserve"> </w:t>
      </w:r>
      <w:r>
        <w:rPr>
          <w:w w:val="105"/>
        </w:rPr>
        <w:t>Learning Disorders, the presence of such conditions does not invariably predict an eventual Learning Disorder, and there are many individuals with Learning Disorders who have no such history. Learning Disorders are, however, frequently found in association with  a variety of general medical conditions (e.g., lead poisoning, fetal alcohol syndrome, or fragile X</w:t>
      </w:r>
      <w:r>
        <w:rPr>
          <w:spacing w:val="10"/>
          <w:w w:val="105"/>
        </w:rPr>
        <w:t xml:space="preserve"> </w:t>
      </w:r>
      <w:r>
        <w:rPr>
          <w:w w:val="105"/>
        </w:rPr>
        <w:t>syndrome).</w:t>
      </w:r>
    </w:p>
    <w:p w:rsidR="00E675F0" w:rsidRDefault="00E675F0" w:rsidP="00E675F0">
      <w:pPr>
        <w:pStyle w:val="BodyText"/>
        <w:spacing w:before="8"/>
        <w:rPr>
          <w:sz w:val="32"/>
        </w:rPr>
      </w:pPr>
    </w:p>
    <w:p w:rsidR="00E675F0" w:rsidRDefault="00E675F0" w:rsidP="00E675F0">
      <w:pPr>
        <w:ind w:left="134"/>
        <w:rPr>
          <w:rFonts w:ascii="TimesNewRomanPS-BoldItalicMT"/>
          <w:b/>
          <w:i/>
          <w:sz w:val="25"/>
        </w:rPr>
      </w:pPr>
      <w:r>
        <w:rPr>
          <w:rFonts w:ascii="TimesNewRomanPS-BoldItalicMT"/>
          <w:b/>
          <w:i/>
          <w:w w:val="110"/>
          <w:sz w:val="25"/>
        </w:rPr>
        <w:t>Specific Culture Features</w:t>
      </w:r>
    </w:p>
    <w:p w:rsidR="00E675F0" w:rsidRDefault="00E675F0" w:rsidP="00E675F0">
      <w:pPr>
        <w:pStyle w:val="BodyText"/>
        <w:spacing w:before="120" w:line="252" w:lineRule="auto"/>
        <w:ind w:left="138" w:right="111" w:firstLine="2"/>
        <w:jc w:val="both"/>
      </w:pPr>
      <w:r>
        <w:rPr>
          <w:w w:val="105"/>
        </w:rPr>
        <w:t>Care should be taken to ensure that intelligence testing procedures reflect adequate attention to the individual's ethnic or cultural background. This is usually accomplished by using tests in which the individual's relevant characteristics are represented in the standardization sample of the test or by employing an examiner who is familiar with aspects of the individual's ethnic or cultural background. Individualized testing is always required to make the diagnosis of a Learning Disorder.</w:t>
      </w:r>
    </w:p>
    <w:p w:rsidR="00E675F0" w:rsidRDefault="00E675F0" w:rsidP="00E675F0">
      <w:pPr>
        <w:pStyle w:val="BodyText"/>
        <w:spacing w:before="1"/>
        <w:rPr>
          <w:sz w:val="32"/>
        </w:rPr>
      </w:pPr>
    </w:p>
    <w:p w:rsidR="00E675F0" w:rsidRDefault="00E675F0" w:rsidP="00E675F0">
      <w:pPr>
        <w:ind w:left="131"/>
        <w:rPr>
          <w:rFonts w:ascii="TimesNewRomanPS-BoldItalicMT"/>
          <w:b/>
          <w:i/>
          <w:sz w:val="25"/>
        </w:rPr>
      </w:pPr>
      <w:r>
        <w:rPr>
          <w:rFonts w:ascii="TimesNewRomanPS-BoldItalicMT"/>
          <w:b/>
          <w:i/>
          <w:w w:val="110"/>
          <w:sz w:val="25"/>
        </w:rPr>
        <w:t>Prevalence</w:t>
      </w:r>
    </w:p>
    <w:p w:rsidR="00E675F0" w:rsidRDefault="00E675F0" w:rsidP="00E675F0">
      <w:pPr>
        <w:pStyle w:val="BodyText"/>
        <w:spacing w:before="130" w:line="256" w:lineRule="auto"/>
        <w:ind w:left="146" w:right="119" w:hanging="2"/>
        <w:jc w:val="both"/>
      </w:pPr>
      <w:r>
        <w:rPr>
          <w:w w:val="105"/>
        </w:rPr>
        <w:t xml:space="preserve">Estimates of the prevalence of Learning Disorders range from </w:t>
      </w:r>
      <w:r>
        <w:rPr>
          <w:w w:val="105"/>
          <w:sz w:val="19"/>
        </w:rPr>
        <w:t xml:space="preserve">2% </w:t>
      </w:r>
      <w:r>
        <w:rPr>
          <w:w w:val="105"/>
        </w:rPr>
        <w:t xml:space="preserve">to </w:t>
      </w:r>
      <w:r>
        <w:rPr>
          <w:w w:val="105"/>
          <w:sz w:val="19"/>
        </w:rPr>
        <w:t xml:space="preserve">10% </w:t>
      </w:r>
      <w:r>
        <w:rPr>
          <w:w w:val="105"/>
        </w:rPr>
        <w:t xml:space="preserve">depending on the nature of ascertainment and the definitions applied. Approximately  </w:t>
      </w:r>
      <w:r>
        <w:rPr>
          <w:w w:val="105"/>
          <w:sz w:val="19"/>
        </w:rPr>
        <w:t xml:space="preserve">5% </w:t>
      </w:r>
      <w:r>
        <w:rPr>
          <w:w w:val="105"/>
        </w:rPr>
        <w:t>of students in public schools in the United States are identified as having a Learning</w:t>
      </w:r>
      <w:r>
        <w:rPr>
          <w:spacing w:val="20"/>
          <w:w w:val="105"/>
        </w:rPr>
        <w:t xml:space="preserve"> </w:t>
      </w:r>
      <w:r>
        <w:rPr>
          <w:w w:val="105"/>
        </w:rPr>
        <w:t>Disorder.</w:t>
      </w:r>
    </w:p>
    <w:p w:rsidR="00E675F0" w:rsidRDefault="00E675F0" w:rsidP="00E675F0">
      <w:pPr>
        <w:pStyle w:val="BodyText"/>
        <w:rPr>
          <w:sz w:val="22"/>
        </w:rPr>
      </w:pPr>
    </w:p>
    <w:p w:rsidR="00E675F0" w:rsidRDefault="00E675F0" w:rsidP="00E675F0">
      <w:pPr>
        <w:spacing w:before="130"/>
        <w:ind w:left="133"/>
        <w:rPr>
          <w:rFonts w:ascii="TimesNewRomanPS-BoldItalicMT"/>
          <w:b/>
          <w:i/>
          <w:sz w:val="25"/>
        </w:rPr>
      </w:pPr>
      <w:r>
        <w:rPr>
          <w:rFonts w:ascii="TimesNewRomanPS-BoldItalicMT"/>
          <w:b/>
          <w:i/>
          <w:w w:val="110"/>
          <w:sz w:val="25"/>
        </w:rPr>
        <w:t>Differential Diagnosis</w:t>
      </w:r>
    </w:p>
    <w:p w:rsidR="00E675F0" w:rsidRDefault="00E675F0" w:rsidP="00E675F0">
      <w:pPr>
        <w:spacing w:before="129" w:line="254" w:lineRule="auto"/>
        <w:ind w:left="144" w:right="112" w:firstLine="5"/>
        <w:jc w:val="both"/>
        <w:rPr>
          <w:sz w:val="20"/>
        </w:rPr>
      </w:pPr>
      <w:r>
        <w:rPr>
          <w:w w:val="105"/>
          <w:sz w:val="20"/>
        </w:rPr>
        <w:t xml:space="preserve">Learning Disorders must be differentiated from </w:t>
      </w:r>
      <w:r>
        <w:rPr>
          <w:b/>
          <w:w w:val="105"/>
          <w:sz w:val="20"/>
        </w:rPr>
        <w:t xml:space="preserve">normal variations </w:t>
      </w:r>
      <w:r>
        <w:rPr>
          <w:b/>
          <w:w w:val="105"/>
          <w:sz w:val="19"/>
        </w:rPr>
        <w:t xml:space="preserve">in </w:t>
      </w:r>
      <w:r>
        <w:rPr>
          <w:b/>
          <w:w w:val="105"/>
          <w:sz w:val="20"/>
        </w:rPr>
        <w:t xml:space="preserve">academic attainment </w:t>
      </w:r>
      <w:r>
        <w:rPr>
          <w:w w:val="105"/>
          <w:sz w:val="20"/>
        </w:rPr>
        <w:t xml:space="preserve">and from scholastic difficulties due to </w:t>
      </w:r>
      <w:r>
        <w:rPr>
          <w:b/>
          <w:w w:val="105"/>
          <w:sz w:val="20"/>
        </w:rPr>
        <w:t xml:space="preserve">lack of opportunity, poor teachlng, </w:t>
      </w:r>
      <w:r>
        <w:rPr>
          <w:w w:val="105"/>
          <w:sz w:val="20"/>
        </w:rPr>
        <w:t xml:space="preserve">or </w:t>
      </w:r>
      <w:r>
        <w:rPr>
          <w:b/>
          <w:w w:val="105"/>
          <w:sz w:val="20"/>
        </w:rPr>
        <w:t xml:space="preserve">cultural factors. </w:t>
      </w:r>
      <w:r>
        <w:rPr>
          <w:w w:val="105"/>
          <w:sz w:val="20"/>
        </w:rPr>
        <w:t>Inadequate schooling can result in poor performance on standard-</w:t>
      </w:r>
    </w:p>
    <w:p w:rsidR="00E675F0" w:rsidRDefault="00E675F0" w:rsidP="00E675F0">
      <w:pPr>
        <w:spacing w:line="254" w:lineRule="auto"/>
        <w:jc w:val="both"/>
        <w:rPr>
          <w:sz w:val="20"/>
        </w:rPr>
        <w:sectPr w:rsidR="00E675F0">
          <w:headerReference w:type="even" r:id="rId59"/>
          <w:headerReference w:type="default" r:id="rId60"/>
          <w:pgSz w:w="8960" w:h="14260"/>
          <w:pgMar w:top="1400" w:right="620" w:bottom="280" w:left="620" w:header="697" w:footer="0" w:gutter="0"/>
          <w:cols w:space="720"/>
        </w:sectPr>
      </w:pPr>
    </w:p>
    <w:p w:rsidR="00E675F0" w:rsidRDefault="00E675F0" w:rsidP="00E675F0">
      <w:pPr>
        <w:pStyle w:val="BodyText"/>
        <w:spacing w:before="138" w:line="256" w:lineRule="auto"/>
        <w:ind w:left="122" w:right="118" w:firstLine="4"/>
        <w:jc w:val="both"/>
      </w:pPr>
      <w:bookmarkStart w:id="31" w:name="_bookmark17"/>
      <w:bookmarkEnd w:id="31"/>
      <w:r>
        <w:rPr>
          <w:w w:val="105"/>
        </w:rPr>
        <w:lastRenderedPageBreak/>
        <w:t>ized achievement tests. Children from ethnic or cultural backgrounds different from the prevailing school culture or in which English is not the primary language and children who have attended class in schools where teaching has been inadequate may score poorly on achievement tests. Children from these same backgrounds may also be at greater risk for absenteeism due to more frequent illnesses or impoverished or chaotic living</w:t>
      </w:r>
      <w:r>
        <w:rPr>
          <w:spacing w:val="3"/>
          <w:w w:val="105"/>
        </w:rPr>
        <w:t xml:space="preserve"> </w:t>
      </w:r>
      <w:r>
        <w:rPr>
          <w:w w:val="105"/>
        </w:rPr>
        <w:t>environments.</w:t>
      </w:r>
    </w:p>
    <w:p w:rsidR="00E675F0" w:rsidRDefault="00E675F0" w:rsidP="00E675F0">
      <w:pPr>
        <w:pStyle w:val="BodyText"/>
        <w:spacing w:line="254" w:lineRule="auto"/>
        <w:ind w:left="130" w:right="117" w:firstLine="358"/>
        <w:jc w:val="both"/>
      </w:pPr>
      <w:r>
        <w:rPr>
          <w:b/>
          <w:w w:val="105"/>
        </w:rPr>
        <w:t xml:space="preserve">Impaired vision or hearing </w:t>
      </w:r>
      <w:r>
        <w:rPr>
          <w:w w:val="105"/>
        </w:rPr>
        <w:t>may affect learning ability and should be investigated through audiometric or visual screening tests. A Learning Disorder may be diagnosed in the presence of such sensory deficits only if the learning difficulties are in excess of those usually associated with these deficits. Accompanying neurological or other general medical conditions should be coded on Axis III.</w:t>
      </w:r>
    </w:p>
    <w:p w:rsidR="00E675F0" w:rsidRDefault="00E675F0" w:rsidP="00E675F0">
      <w:pPr>
        <w:pStyle w:val="BodyText"/>
        <w:spacing w:before="1" w:line="256" w:lineRule="auto"/>
        <w:ind w:left="125" w:right="115" w:firstLine="368"/>
        <w:jc w:val="both"/>
      </w:pPr>
      <w:r>
        <w:rPr>
          <w:w w:val="105"/>
        </w:rPr>
        <w:t>In</w:t>
      </w:r>
      <w:r>
        <w:rPr>
          <w:spacing w:val="-16"/>
          <w:w w:val="105"/>
        </w:rPr>
        <w:t xml:space="preserve"> </w:t>
      </w:r>
      <w:r>
        <w:rPr>
          <w:b/>
          <w:w w:val="105"/>
        </w:rPr>
        <w:t>Mental</w:t>
      </w:r>
      <w:r>
        <w:rPr>
          <w:b/>
          <w:spacing w:val="-24"/>
          <w:w w:val="105"/>
        </w:rPr>
        <w:t xml:space="preserve"> </w:t>
      </w:r>
      <w:r>
        <w:rPr>
          <w:b/>
          <w:w w:val="105"/>
        </w:rPr>
        <w:t>Retardation,</w:t>
      </w:r>
      <w:r>
        <w:rPr>
          <w:b/>
          <w:spacing w:val="12"/>
          <w:w w:val="105"/>
        </w:rPr>
        <w:t xml:space="preserve"> </w:t>
      </w:r>
      <w:r>
        <w:rPr>
          <w:w w:val="105"/>
        </w:rPr>
        <w:t>learning</w:t>
      </w:r>
      <w:r>
        <w:rPr>
          <w:spacing w:val="-4"/>
          <w:w w:val="105"/>
        </w:rPr>
        <w:t xml:space="preserve"> </w:t>
      </w:r>
      <w:r>
        <w:rPr>
          <w:w w:val="105"/>
        </w:rPr>
        <w:t>difficulties</w:t>
      </w:r>
      <w:r>
        <w:rPr>
          <w:spacing w:val="-1"/>
          <w:w w:val="105"/>
        </w:rPr>
        <w:t xml:space="preserve"> </w:t>
      </w:r>
      <w:r>
        <w:rPr>
          <w:w w:val="105"/>
        </w:rPr>
        <w:t>are</w:t>
      </w:r>
      <w:r>
        <w:rPr>
          <w:spacing w:val="-11"/>
          <w:w w:val="105"/>
        </w:rPr>
        <w:t xml:space="preserve"> </w:t>
      </w:r>
      <w:r>
        <w:rPr>
          <w:w w:val="105"/>
        </w:rPr>
        <w:t>commensurate</w:t>
      </w:r>
      <w:r>
        <w:rPr>
          <w:spacing w:val="6"/>
          <w:w w:val="105"/>
        </w:rPr>
        <w:t xml:space="preserve"> </w:t>
      </w:r>
      <w:r>
        <w:rPr>
          <w:w w:val="105"/>
        </w:rPr>
        <w:t>with</w:t>
      </w:r>
      <w:r>
        <w:rPr>
          <w:spacing w:val="-8"/>
          <w:w w:val="105"/>
        </w:rPr>
        <w:t xml:space="preserve"> </w:t>
      </w:r>
      <w:r>
        <w:rPr>
          <w:w w:val="105"/>
        </w:rPr>
        <w:t>general</w:t>
      </w:r>
      <w:r>
        <w:rPr>
          <w:spacing w:val="-4"/>
          <w:w w:val="105"/>
        </w:rPr>
        <w:t xml:space="preserve"> </w:t>
      </w:r>
      <w:r>
        <w:rPr>
          <w:w w:val="105"/>
        </w:rPr>
        <w:t>impair­ ment</w:t>
      </w:r>
      <w:r>
        <w:rPr>
          <w:spacing w:val="-5"/>
          <w:w w:val="105"/>
        </w:rPr>
        <w:t xml:space="preserve"> </w:t>
      </w:r>
      <w:r>
        <w:rPr>
          <w:w w:val="105"/>
        </w:rPr>
        <w:t>in</w:t>
      </w:r>
      <w:r>
        <w:rPr>
          <w:spacing w:val="-13"/>
          <w:w w:val="105"/>
        </w:rPr>
        <w:t xml:space="preserve"> </w:t>
      </w:r>
      <w:r>
        <w:rPr>
          <w:w w:val="105"/>
        </w:rPr>
        <w:t>intellectual</w:t>
      </w:r>
      <w:r>
        <w:rPr>
          <w:spacing w:val="-6"/>
          <w:w w:val="105"/>
        </w:rPr>
        <w:t xml:space="preserve"> </w:t>
      </w:r>
      <w:r>
        <w:rPr>
          <w:w w:val="105"/>
        </w:rPr>
        <w:t>functioning.</w:t>
      </w:r>
      <w:r>
        <w:rPr>
          <w:spacing w:val="-4"/>
          <w:w w:val="105"/>
        </w:rPr>
        <w:t xml:space="preserve"> </w:t>
      </w:r>
      <w:r>
        <w:rPr>
          <w:w w:val="105"/>
        </w:rPr>
        <w:t>However,</w:t>
      </w:r>
      <w:r>
        <w:rPr>
          <w:spacing w:val="4"/>
          <w:w w:val="105"/>
        </w:rPr>
        <w:t xml:space="preserve"> </w:t>
      </w:r>
      <w:r>
        <w:rPr>
          <w:w w:val="105"/>
        </w:rPr>
        <w:t>in</w:t>
      </w:r>
      <w:r>
        <w:rPr>
          <w:spacing w:val="-16"/>
          <w:w w:val="105"/>
        </w:rPr>
        <w:t xml:space="preserve"> </w:t>
      </w:r>
      <w:r>
        <w:rPr>
          <w:w w:val="105"/>
        </w:rPr>
        <w:t>some</w:t>
      </w:r>
      <w:r>
        <w:rPr>
          <w:spacing w:val="-10"/>
          <w:w w:val="105"/>
        </w:rPr>
        <w:t xml:space="preserve"> </w:t>
      </w:r>
      <w:r>
        <w:rPr>
          <w:w w:val="105"/>
        </w:rPr>
        <w:t>cases</w:t>
      </w:r>
      <w:r>
        <w:rPr>
          <w:spacing w:val="-9"/>
          <w:w w:val="105"/>
        </w:rPr>
        <w:t xml:space="preserve"> </w:t>
      </w:r>
      <w:r>
        <w:rPr>
          <w:w w:val="105"/>
        </w:rPr>
        <w:t>of</w:t>
      </w:r>
      <w:r>
        <w:rPr>
          <w:spacing w:val="-11"/>
          <w:w w:val="105"/>
        </w:rPr>
        <w:t xml:space="preserve"> </w:t>
      </w:r>
      <w:r>
        <w:rPr>
          <w:w w:val="105"/>
        </w:rPr>
        <w:t>Mild</w:t>
      </w:r>
      <w:r>
        <w:rPr>
          <w:spacing w:val="-8"/>
          <w:w w:val="105"/>
        </w:rPr>
        <w:t xml:space="preserve"> </w:t>
      </w:r>
      <w:r>
        <w:rPr>
          <w:w w:val="105"/>
        </w:rPr>
        <w:t>Mental Retardation,</w:t>
      </w:r>
      <w:r>
        <w:rPr>
          <w:spacing w:val="-2"/>
          <w:w w:val="105"/>
        </w:rPr>
        <w:t xml:space="preserve"> </w:t>
      </w:r>
      <w:r>
        <w:rPr>
          <w:w w:val="105"/>
        </w:rPr>
        <w:t>the level</w:t>
      </w:r>
      <w:r>
        <w:rPr>
          <w:spacing w:val="-15"/>
          <w:w w:val="105"/>
        </w:rPr>
        <w:t xml:space="preserve"> </w:t>
      </w:r>
      <w:r>
        <w:rPr>
          <w:w w:val="105"/>
        </w:rPr>
        <w:t>of</w:t>
      </w:r>
      <w:r>
        <w:rPr>
          <w:spacing w:val="-14"/>
          <w:w w:val="105"/>
        </w:rPr>
        <w:t xml:space="preserve"> </w:t>
      </w:r>
      <w:r>
        <w:rPr>
          <w:w w:val="105"/>
        </w:rPr>
        <w:t>achievement</w:t>
      </w:r>
      <w:r>
        <w:rPr>
          <w:spacing w:val="-3"/>
          <w:w w:val="105"/>
        </w:rPr>
        <w:t xml:space="preserve"> </w:t>
      </w:r>
      <w:r>
        <w:rPr>
          <w:w w:val="105"/>
        </w:rPr>
        <w:t>in</w:t>
      </w:r>
      <w:r>
        <w:rPr>
          <w:spacing w:val="-17"/>
          <w:w w:val="105"/>
        </w:rPr>
        <w:t xml:space="preserve"> </w:t>
      </w:r>
      <w:r>
        <w:rPr>
          <w:w w:val="105"/>
        </w:rPr>
        <w:t>reading,</w:t>
      </w:r>
      <w:r>
        <w:rPr>
          <w:spacing w:val="-4"/>
          <w:w w:val="105"/>
        </w:rPr>
        <w:t xml:space="preserve"> </w:t>
      </w:r>
      <w:r>
        <w:rPr>
          <w:w w:val="105"/>
        </w:rPr>
        <w:t>mathematics,</w:t>
      </w:r>
      <w:r>
        <w:rPr>
          <w:spacing w:val="2"/>
          <w:w w:val="105"/>
        </w:rPr>
        <w:t xml:space="preserve"> </w:t>
      </w:r>
      <w:r>
        <w:rPr>
          <w:w w:val="105"/>
        </w:rPr>
        <w:t>or</w:t>
      </w:r>
      <w:r>
        <w:rPr>
          <w:spacing w:val="-11"/>
          <w:w w:val="105"/>
        </w:rPr>
        <w:t xml:space="preserve"> </w:t>
      </w:r>
      <w:r>
        <w:rPr>
          <w:w w:val="105"/>
        </w:rPr>
        <w:t>written</w:t>
      </w:r>
      <w:r>
        <w:rPr>
          <w:spacing w:val="-16"/>
          <w:w w:val="105"/>
        </w:rPr>
        <w:t xml:space="preserve"> </w:t>
      </w:r>
      <w:r>
        <w:rPr>
          <w:w w:val="105"/>
        </w:rPr>
        <w:t>expression</w:t>
      </w:r>
      <w:r>
        <w:rPr>
          <w:spacing w:val="-9"/>
          <w:w w:val="105"/>
        </w:rPr>
        <w:t xml:space="preserve"> </w:t>
      </w:r>
      <w:r>
        <w:rPr>
          <w:w w:val="105"/>
        </w:rPr>
        <w:t>is</w:t>
      </w:r>
      <w:r>
        <w:rPr>
          <w:spacing w:val="-30"/>
          <w:w w:val="105"/>
        </w:rPr>
        <w:t xml:space="preserve"> </w:t>
      </w:r>
      <w:r>
        <w:rPr>
          <w:w w:val="105"/>
        </w:rPr>
        <w:t>significantly</w:t>
      </w:r>
      <w:r>
        <w:rPr>
          <w:spacing w:val="-4"/>
          <w:w w:val="105"/>
        </w:rPr>
        <w:t xml:space="preserve"> </w:t>
      </w:r>
      <w:r>
        <w:rPr>
          <w:w w:val="105"/>
        </w:rPr>
        <w:t>below expected levels given the person's schooling and severity of Mental Retardation. In such cases, the additional diagnosis of the appropriate Learning Disorder should be</w:t>
      </w:r>
      <w:r>
        <w:rPr>
          <w:spacing w:val="-29"/>
          <w:w w:val="105"/>
        </w:rPr>
        <w:t xml:space="preserve"> </w:t>
      </w:r>
      <w:r>
        <w:rPr>
          <w:w w:val="105"/>
        </w:rPr>
        <w:t>made.</w:t>
      </w:r>
    </w:p>
    <w:p w:rsidR="00E675F0" w:rsidRDefault="00E675F0" w:rsidP="00E675F0">
      <w:pPr>
        <w:pStyle w:val="BodyText"/>
        <w:spacing w:line="254" w:lineRule="auto"/>
        <w:ind w:left="125" w:right="109" w:firstLine="361"/>
        <w:jc w:val="both"/>
      </w:pPr>
      <w:r>
        <w:rPr>
          <w:w w:val="105"/>
        </w:rPr>
        <w:t xml:space="preserve">An additional Learning Disorder diagnosis should be made in the context of a </w:t>
      </w:r>
      <w:r>
        <w:rPr>
          <w:b/>
          <w:w w:val="105"/>
        </w:rPr>
        <w:t xml:space="preserve">Pervasive Developmental Disorder </w:t>
      </w:r>
      <w:r>
        <w:rPr>
          <w:w w:val="105"/>
        </w:rPr>
        <w:t xml:space="preserve">only when academic impairment is significantly below expected levels given the individual's intellectual functioning and schooling. In individuals with </w:t>
      </w:r>
      <w:r>
        <w:rPr>
          <w:b/>
          <w:w w:val="105"/>
        </w:rPr>
        <w:t xml:space="preserve">Communication Disorders, </w:t>
      </w:r>
      <w:r>
        <w:rPr>
          <w:w w:val="105"/>
        </w:rPr>
        <w:t>intellectual functioning may have to be assessed using standardized measures of nonverbal intellectual capacity. In cases in which academic achievement is significantly below this measured capacity, the appro­ priate Learning Disorder should be diagnosed.</w:t>
      </w:r>
    </w:p>
    <w:p w:rsidR="00E675F0" w:rsidRDefault="00E675F0" w:rsidP="00E675F0">
      <w:pPr>
        <w:spacing w:line="254" w:lineRule="auto"/>
        <w:ind w:left="125" w:right="123" w:firstLine="363"/>
        <w:jc w:val="both"/>
        <w:rPr>
          <w:sz w:val="20"/>
        </w:rPr>
      </w:pPr>
      <w:r>
        <w:rPr>
          <w:b/>
          <w:w w:val="105"/>
          <w:sz w:val="20"/>
        </w:rPr>
        <w:t xml:space="preserve">Mathematics Disorder </w:t>
      </w:r>
      <w:r>
        <w:rPr>
          <w:w w:val="105"/>
          <w:sz w:val="20"/>
        </w:rPr>
        <w:t xml:space="preserve">and </w:t>
      </w:r>
      <w:r>
        <w:rPr>
          <w:b/>
          <w:w w:val="105"/>
          <w:sz w:val="20"/>
        </w:rPr>
        <w:t xml:space="preserve">Disorder of Written Expression </w:t>
      </w:r>
      <w:r>
        <w:rPr>
          <w:w w:val="105"/>
          <w:sz w:val="20"/>
        </w:rPr>
        <w:t xml:space="preserve">most commonly occur in combination with </w:t>
      </w:r>
      <w:r>
        <w:rPr>
          <w:b/>
          <w:w w:val="105"/>
          <w:sz w:val="20"/>
        </w:rPr>
        <w:t xml:space="preserve">Reading Disorder. </w:t>
      </w:r>
      <w:r>
        <w:rPr>
          <w:w w:val="105"/>
          <w:sz w:val="20"/>
        </w:rPr>
        <w:t>When criteria are met for more than one Learning Disorder, all should be diagnosed.</w:t>
      </w:r>
    </w:p>
    <w:p w:rsidR="00E675F0" w:rsidRDefault="00E675F0" w:rsidP="00E675F0">
      <w:pPr>
        <w:pStyle w:val="BodyText"/>
        <w:rPr>
          <w:sz w:val="22"/>
        </w:rPr>
      </w:pPr>
    </w:p>
    <w:p w:rsidR="00E675F0" w:rsidRDefault="00E675F0" w:rsidP="00E675F0">
      <w:pPr>
        <w:pStyle w:val="BodyText"/>
        <w:rPr>
          <w:sz w:val="22"/>
        </w:rPr>
      </w:pPr>
    </w:p>
    <w:p w:rsidR="00E675F0" w:rsidRDefault="00E675F0" w:rsidP="00E675F0">
      <w:pPr>
        <w:pStyle w:val="BodyText"/>
        <w:spacing w:before="4"/>
        <w:rPr>
          <w:sz w:val="17"/>
        </w:rPr>
      </w:pPr>
    </w:p>
    <w:p w:rsidR="00E675F0" w:rsidRDefault="00E675F0" w:rsidP="00E675F0">
      <w:pPr>
        <w:tabs>
          <w:tab w:val="left" w:pos="1080"/>
        </w:tabs>
        <w:spacing w:before="1"/>
        <w:ind w:left="16"/>
        <w:jc w:val="center"/>
        <w:rPr>
          <w:rFonts w:ascii="Arial"/>
          <w:b/>
          <w:sz w:val="25"/>
        </w:rPr>
      </w:pPr>
      <w:r>
        <w:rPr>
          <w:rFonts w:ascii="Arial"/>
          <w:b/>
          <w:w w:val="110"/>
          <w:sz w:val="25"/>
        </w:rPr>
        <w:t>315.00</w:t>
      </w:r>
      <w:r>
        <w:rPr>
          <w:rFonts w:ascii="Arial"/>
          <w:b/>
          <w:w w:val="110"/>
          <w:sz w:val="25"/>
        </w:rPr>
        <w:tab/>
        <w:t>Reading</w:t>
      </w:r>
      <w:r>
        <w:rPr>
          <w:rFonts w:ascii="Arial"/>
          <w:b/>
          <w:spacing w:val="-12"/>
          <w:w w:val="110"/>
          <w:sz w:val="25"/>
        </w:rPr>
        <w:t xml:space="preserve"> </w:t>
      </w:r>
      <w:r>
        <w:rPr>
          <w:rFonts w:ascii="Arial"/>
          <w:b/>
          <w:w w:val="110"/>
          <w:sz w:val="25"/>
        </w:rPr>
        <w:t>Disorder</w:t>
      </w:r>
    </w:p>
    <w:p w:rsidR="00E675F0" w:rsidRDefault="00E675F0" w:rsidP="00E675F0">
      <w:pPr>
        <w:spacing w:before="251"/>
        <w:ind w:left="117"/>
        <w:jc w:val="both"/>
        <w:rPr>
          <w:rFonts w:ascii="TimesNewRomanPS-BoldItalicMT"/>
          <w:b/>
          <w:i/>
          <w:sz w:val="24"/>
        </w:rPr>
      </w:pPr>
      <w:r>
        <w:rPr>
          <w:rFonts w:ascii="TimesNewRomanPS-BoldItalicMT"/>
          <w:b/>
          <w:i/>
          <w:w w:val="115"/>
          <w:sz w:val="24"/>
        </w:rPr>
        <w:t>Diagnostic Features</w:t>
      </w:r>
    </w:p>
    <w:p w:rsidR="00E675F0" w:rsidRDefault="00E675F0" w:rsidP="00E675F0">
      <w:pPr>
        <w:pStyle w:val="BodyText"/>
        <w:spacing w:before="127" w:line="254" w:lineRule="auto"/>
        <w:ind w:left="125" w:right="112" w:firstLine="1"/>
        <w:jc w:val="both"/>
      </w:pPr>
      <w:r>
        <w:rPr>
          <w:w w:val="110"/>
        </w:rPr>
        <w:t>The</w:t>
      </w:r>
      <w:r>
        <w:rPr>
          <w:spacing w:val="-37"/>
          <w:w w:val="110"/>
        </w:rPr>
        <w:t xml:space="preserve"> </w:t>
      </w:r>
      <w:r>
        <w:rPr>
          <w:w w:val="110"/>
        </w:rPr>
        <w:t>essential</w:t>
      </w:r>
      <w:r>
        <w:rPr>
          <w:spacing w:val="-32"/>
          <w:w w:val="110"/>
        </w:rPr>
        <w:t xml:space="preserve"> </w:t>
      </w:r>
      <w:r>
        <w:rPr>
          <w:w w:val="110"/>
        </w:rPr>
        <w:t>feature</w:t>
      </w:r>
      <w:r>
        <w:rPr>
          <w:spacing w:val="-35"/>
          <w:w w:val="110"/>
        </w:rPr>
        <w:t xml:space="preserve"> </w:t>
      </w:r>
      <w:r>
        <w:rPr>
          <w:w w:val="110"/>
        </w:rPr>
        <w:t>of</w:t>
      </w:r>
      <w:r>
        <w:rPr>
          <w:spacing w:val="-33"/>
          <w:w w:val="110"/>
        </w:rPr>
        <w:t xml:space="preserve"> </w:t>
      </w:r>
      <w:r>
        <w:rPr>
          <w:w w:val="110"/>
        </w:rPr>
        <w:t>Reading</w:t>
      </w:r>
      <w:r>
        <w:rPr>
          <w:spacing w:val="-30"/>
          <w:w w:val="110"/>
        </w:rPr>
        <w:t xml:space="preserve"> </w:t>
      </w:r>
      <w:r>
        <w:rPr>
          <w:w w:val="110"/>
        </w:rPr>
        <w:t>Disorder</w:t>
      </w:r>
      <w:r>
        <w:rPr>
          <w:spacing w:val="-31"/>
          <w:w w:val="110"/>
        </w:rPr>
        <w:t xml:space="preserve"> </w:t>
      </w:r>
      <w:r>
        <w:rPr>
          <w:w w:val="110"/>
        </w:rPr>
        <w:t>is</w:t>
      </w:r>
      <w:r>
        <w:rPr>
          <w:spacing w:val="-36"/>
          <w:w w:val="110"/>
        </w:rPr>
        <w:t xml:space="preserve"> </w:t>
      </w:r>
      <w:r>
        <w:rPr>
          <w:w w:val="110"/>
        </w:rPr>
        <w:t>reading</w:t>
      </w:r>
      <w:r>
        <w:rPr>
          <w:spacing w:val="-33"/>
          <w:w w:val="110"/>
        </w:rPr>
        <w:t xml:space="preserve"> </w:t>
      </w:r>
      <w:r>
        <w:rPr>
          <w:w w:val="110"/>
        </w:rPr>
        <w:t>achievement</w:t>
      </w:r>
      <w:r>
        <w:rPr>
          <w:spacing w:val="-31"/>
          <w:w w:val="110"/>
        </w:rPr>
        <w:t xml:space="preserve"> </w:t>
      </w:r>
      <w:r>
        <w:rPr>
          <w:w w:val="110"/>
        </w:rPr>
        <w:t>(i.e.,</w:t>
      </w:r>
      <w:r>
        <w:rPr>
          <w:spacing w:val="-31"/>
          <w:w w:val="110"/>
        </w:rPr>
        <w:t xml:space="preserve"> </w:t>
      </w:r>
      <w:r>
        <w:rPr>
          <w:w w:val="110"/>
        </w:rPr>
        <w:t>reading</w:t>
      </w:r>
      <w:r>
        <w:rPr>
          <w:spacing w:val="-32"/>
          <w:w w:val="110"/>
        </w:rPr>
        <w:t xml:space="preserve"> </w:t>
      </w:r>
      <w:r>
        <w:rPr>
          <w:w w:val="110"/>
        </w:rPr>
        <w:t>accuracy, speed,</w:t>
      </w:r>
      <w:r>
        <w:rPr>
          <w:spacing w:val="-21"/>
          <w:w w:val="110"/>
        </w:rPr>
        <w:t xml:space="preserve"> </w:t>
      </w:r>
      <w:r>
        <w:rPr>
          <w:w w:val="110"/>
        </w:rPr>
        <w:t>or</w:t>
      </w:r>
      <w:r>
        <w:rPr>
          <w:spacing w:val="-23"/>
          <w:w w:val="110"/>
        </w:rPr>
        <w:t xml:space="preserve"> </w:t>
      </w:r>
      <w:r>
        <w:rPr>
          <w:w w:val="110"/>
        </w:rPr>
        <w:t>comprehension</w:t>
      </w:r>
      <w:r>
        <w:rPr>
          <w:spacing w:val="-13"/>
          <w:w w:val="110"/>
        </w:rPr>
        <w:t xml:space="preserve"> </w:t>
      </w:r>
      <w:r>
        <w:rPr>
          <w:w w:val="110"/>
        </w:rPr>
        <w:t>as</w:t>
      </w:r>
      <w:r>
        <w:rPr>
          <w:spacing w:val="-24"/>
          <w:w w:val="110"/>
        </w:rPr>
        <w:t xml:space="preserve"> </w:t>
      </w:r>
      <w:r>
        <w:rPr>
          <w:w w:val="110"/>
        </w:rPr>
        <w:t>measured</w:t>
      </w:r>
      <w:r>
        <w:rPr>
          <w:spacing w:val="-14"/>
          <w:w w:val="110"/>
        </w:rPr>
        <w:t xml:space="preserve"> </w:t>
      </w:r>
      <w:r>
        <w:rPr>
          <w:w w:val="110"/>
        </w:rPr>
        <w:t>by</w:t>
      </w:r>
      <w:r>
        <w:rPr>
          <w:spacing w:val="-24"/>
          <w:w w:val="110"/>
        </w:rPr>
        <w:t xml:space="preserve"> </w:t>
      </w:r>
      <w:r>
        <w:rPr>
          <w:w w:val="110"/>
        </w:rPr>
        <w:t>individually</w:t>
      </w:r>
      <w:r>
        <w:rPr>
          <w:spacing w:val="-14"/>
          <w:w w:val="110"/>
        </w:rPr>
        <w:t xml:space="preserve"> </w:t>
      </w:r>
      <w:r>
        <w:rPr>
          <w:w w:val="110"/>
        </w:rPr>
        <w:t>administered</w:t>
      </w:r>
      <w:r>
        <w:rPr>
          <w:spacing w:val="-15"/>
          <w:w w:val="110"/>
        </w:rPr>
        <w:t xml:space="preserve"> </w:t>
      </w:r>
      <w:r>
        <w:rPr>
          <w:w w:val="110"/>
        </w:rPr>
        <w:t>standardized</w:t>
      </w:r>
      <w:r>
        <w:rPr>
          <w:spacing w:val="-10"/>
          <w:w w:val="110"/>
        </w:rPr>
        <w:t xml:space="preserve"> </w:t>
      </w:r>
      <w:r>
        <w:rPr>
          <w:w w:val="110"/>
        </w:rPr>
        <w:t>tests) that falls substantially below that expected given the individual's chronological age, measured</w:t>
      </w:r>
      <w:r>
        <w:rPr>
          <w:spacing w:val="-20"/>
          <w:w w:val="110"/>
        </w:rPr>
        <w:t xml:space="preserve"> </w:t>
      </w:r>
      <w:r>
        <w:rPr>
          <w:w w:val="110"/>
        </w:rPr>
        <w:t>intelligence,</w:t>
      </w:r>
      <w:r>
        <w:rPr>
          <w:spacing w:val="-18"/>
          <w:w w:val="110"/>
        </w:rPr>
        <w:t xml:space="preserve"> </w:t>
      </w:r>
      <w:r>
        <w:rPr>
          <w:w w:val="110"/>
        </w:rPr>
        <w:t>and</w:t>
      </w:r>
      <w:r>
        <w:rPr>
          <w:spacing w:val="-26"/>
          <w:w w:val="110"/>
        </w:rPr>
        <w:t xml:space="preserve"> </w:t>
      </w:r>
      <w:r>
        <w:rPr>
          <w:w w:val="110"/>
        </w:rPr>
        <w:t>age-appropriate</w:t>
      </w:r>
      <w:r>
        <w:rPr>
          <w:spacing w:val="-27"/>
          <w:w w:val="110"/>
        </w:rPr>
        <w:t xml:space="preserve"> </w:t>
      </w:r>
      <w:r>
        <w:rPr>
          <w:w w:val="110"/>
        </w:rPr>
        <w:t>education</w:t>
      </w:r>
      <w:r>
        <w:rPr>
          <w:spacing w:val="-18"/>
          <w:w w:val="110"/>
        </w:rPr>
        <w:t xml:space="preserve"> </w:t>
      </w:r>
      <w:r>
        <w:rPr>
          <w:w w:val="110"/>
        </w:rPr>
        <w:t>(Criterion</w:t>
      </w:r>
      <w:r>
        <w:rPr>
          <w:spacing w:val="-23"/>
          <w:w w:val="110"/>
        </w:rPr>
        <w:t xml:space="preserve"> </w:t>
      </w:r>
      <w:r>
        <w:rPr>
          <w:w w:val="110"/>
        </w:rPr>
        <w:t>A).</w:t>
      </w:r>
      <w:r>
        <w:rPr>
          <w:spacing w:val="-26"/>
          <w:w w:val="110"/>
        </w:rPr>
        <w:t xml:space="preserve"> </w:t>
      </w:r>
      <w:r>
        <w:rPr>
          <w:w w:val="110"/>
        </w:rPr>
        <w:t>The</w:t>
      </w:r>
      <w:r>
        <w:rPr>
          <w:spacing w:val="-27"/>
          <w:w w:val="110"/>
        </w:rPr>
        <w:t xml:space="preserve"> </w:t>
      </w:r>
      <w:r>
        <w:rPr>
          <w:w w:val="110"/>
        </w:rPr>
        <w:t>disturbance</w:t>
      </w:r>
      <w:r>
        <w:rPr>
          <w:spacing w:val="-20"/>
          <w:w w:val="110"/>
        </w:rPr>
        <w:t xml:space="preserve"> </w:t>
      </w:r>
      <w:r>
        <w:rPr>
          <w:w w:val="110"/>
        </w:rPr>
        <w:t>in reading significantly interferes with academic achievement or with activities of daily living</w:t>
      </w:r>
      <w:r>
        <w:rPr>
          <w:spacing w:val="-21"/>
          <w:w w:val="110"/>
        </w:rPr>
        <w:t xml:space="preserve"> </w:t>
      </w:r>
      <w:r>
        <w:rPr>
          <w:w w:val="110"/>
        </w:rPr>
        <w:t>that</w:t>
      </w:r>
      <w:r>
        <w:rPr>
          <w:spacing w:val="-20"/>
          <w:w w:val="110"/>
        </w:rPr>
        <w:t xml:space="preserve"> </w:t>
      </w:r>
      <w:r>
        <w:rPr>
          <w:w w:val="110"/>
        </w:rPr>
        <w:t>require</w:t>
      </w:r>
      <w:r>
        <w:rPr>
          <w:spacing w:val="-18"/>
          <w:w w:val="110"/>
        </w:rPr>
        <w:t xml:space="preserve"> </w:t>
      </w:r>
      <w:r>
        <w:rPr>
          <w:w w:val="110"/>
        </w:rPr>
        <w:t>reading</w:t>
      </w:r>
      <w:r>
        <w:rPr>
          <w:spacing w:val="-24"/>
          <w:w w:val="110"/>
        </w:rPr>
        <w:t xml:space="preserve"> </w:t>
      </w:r>
      <w:r>
        <w:rPr>
          <w:w w:val="110"/>
        </w:rPr>
        <w:t>skills</w:t>
      </w:r>
      <w:r>
        <w:rPr>
          <w:spacing w:val="-24"/>
          <w:w w:val="110"/>
        </w:rPr>
        <w:t xml:space="preserve"> </w:t>
      </w:r>
      <w:r>
        <w:rPr>
          <w:w w:val="110"/>
        </w:rPr>
        <w:t>(Criterion</w:t>
      </w:r>
      <w:r>
        <w:rPr>
          <w:spacing w:val="-17"/>
          <w:w w:val="110"/>
        </w:rPr>
        <w:t xml:space="preserve"> </w:t>
      </w:r>
      <w:r>
        <w:rPr>
          <w:w w:val="110"/>
        </w:rPr>
        <w:t>B).</w:t>
      </w:r>
      <w:r>
        <w:rPr>
          <w:spacing w:val="-23"/>
          <w:w w:val="110"/>
        </w:rPr>
        <w:t xml:space="preserve"> </w:t>
      </w:r>
      <w:r>
        <w:rPr>
          <w:w w:val="110"/>
          <w:sz w:val="21"/>
        </w:rPr>
        <w:t>If</w:t>
      </w:r>
      <w:r>
        <w:rPr>
          <w:spacing w:val="-24"/>
          <w:w w:val="110"/>
          <w:sz w:val="21"/>
        </w:rPr>
        <w:t xml:space="preserve"> </w:t>
      </w:r>
      <w:r>
        <w:rPr>
          <w:w w:val="110"/>
        </w:rPr>
        <w:t>a</w:t>
      </w:r>
      <w:r>
        <w:rPr>
          <w:spacing w:val="-26"/>
          <w:w w:val="110"/>
        </w:rPr>
        <w:t xml:space="preserve"> </w:t>
      </w:r>
      <w:r>
        <w:rPr>
          <w:w w:val="110"/>
        </w:rPr>
        <w:t>sensory</w:t>
      </w:r>
      <w:r>
        <w:rPr>
          <w:spacing w:val="-24"/>
          <w:w w:val="110"/>
        </w:rPr>
        <w:t xml:space="preserve"> </w:t>
      </w:r>
      <w:r>
        <w:rPr>
          <w:w w:val="110"/>
        </w:rPr>
        <w:t>deficit</w:t>
      </w:r>
      <w:r>
        <w:rPr>
          <w:spacing w:val="-22"/>
          <w:w w:val="110"/>
        </w:rPr>
        <w:t xml:space="preserve"> </w:t>
      </w:r>
      <w:r>
        <w:rPr>
          <w:w w:val="110"/>
        </w:rPr>
        <w:t>is</w:t>
      </w:r>
      <w:r>
        <w:rPr>
          <w:spacing w:val="-22"/>
          <w:w w:val="110"/>
        </w:rPr>
        <w:t xml:space="preserve"> </w:t>
      </w:r>
      <w:r>
        <w:rPr>
          <w:w w:val="110"/>
        </w:rPr>
        <w:t>present,</w:t>
      </w:r>
      <w:r>
        <w:rPr>
          <w:spacing w:val="-15"/>
          <w:w w:val="110"/>
        </w:rPr>
        <w:t xml:space="preserve"> </w:t>
      </w:r>
      <w:r>
        <w:rPr>
          <w:w w:val="110"/>
        </w:rPr>
        <w:t>the</w:t>
      </w:r>
      <w:r>
        <w:rPr>
          <w:spacing w:val="-22"/>
          <w:w w:val="110"/>
        </w:rPr>
        <w:t xml:space="preserve"> </w:t>
      </w:r>
      <w:r>
        <w:rPr>
          <w:w w:val="110"/>
        </w:rPr>
        <w:t>reading difficulties</w:t>
      </w:r>
      <w:r>
        <w:rPr>
          <w:spacing w:val="-33"/>
          <w:w w:val="110"/>
        </w:rPr>
        <w:t xml:space="preserve"> </w:t>
      </w:r>
      <w:r>
        <w:rPr>
          <w:w w:val="110"/>
        </w:rPr>
        <w:t>are</w:t>
      </w:r>
      <w:r>
        <w:rPr>
          <w:spacing w:val="-34"/>
          <w:w w:val="110"/>
        </w:rPr>
        <w:t xml:space="preserve"> </w:t>
      </w:r>
      <w:r>
        <w:rPr>
          <w:w w:val="110"/>
        </w:rPr>
        <w:t>in</w:t>
      </w:r>
      <w:r>
        <w:rPr>
          <w:spacing w:val="-36"/>
          <w:w w:val="110"/>
        </w:rPr>
        <w:t xml:space="preserve"> </w:t>
      </w:r>
      <w:r>
        <w:rPr>
          <w:w w:val="110"/>
        </w:rPr>
        <w:t>excess</w:t>
      </w:r>
      <w:r>
        <w:rPr>
          <w:spacing w:val="-36"/>
          <w:w w:val="110"/>
        </w:rPr>
        <w:t xml:space="preserve"> </w:t>
      </w:r>
      <w:r>
        <w:rPr>
          <w:w w:val="110"/>
        </w:rPr>
        <w:t>of</w:t>
      </w:r>
      <w:r>
        <w:rPr>
          <w:spacing w:val="-31"/>
          <w:w w:val="110"/>
        </w:rPr>
        <w:t xml:space="preserve"> </w:t>
      </w:r>
      <w:r>
        <w:rPr>
          <w:w w:val="110"/>
        </w:rPr>
        <w:t>those</w:t>
      </w:r>
      <w:r>
        <w:rPr>
          <w:spacing w:val="-35"/>
          <w:w w:val="110"/>
        </w:rPr>
        <w:t xml:space="preserve"> </w:t>
      </w:r>
      <w:r>
        <w:rPr>
          <w:w w:val="110"/>
        </w:rPr>
        <w:t>usually</w:t>
      </w:r>
      <w:r>
        <w:rPr>
          <w:spacing w:val="-34"/>
          <w:w w:val="110"/>
        </w:rPr>
        <w:t xml:space="preserve"> </w:t>
      </w:r>
      <w:r>
        <w:rPr>
          <w:w w:val="110"/>
        </w:rPr>
        <w:t>associated</w:t>
      </w:r>
      <w:r>
        <w:rPr>
          <w:spacing w:val="-30"/>
          <w:w w:val="110"/>
        </w:rPr>
        <w:t xml:space="preserve"> </w:t>
      </w:r>
      <w:r>
        <w:rPr>
          <w:w w:val="110"/>
        </w:rPr>
        <w:t>with</w:t>
      </w:r>
      <w:r>
        <w:rPr>
          <w:spacing w:val="-34"/>
          <w:w w:val="110"/>
        </w:rPr>
        <w:t xml:space="preserve"> </w:t>
      </w:r>
      <w:r>
        <w:rPr>
          <w:w w:val="110"/>
        </w:rPr>
        <w:t>it</w:t>
      </w:r>
      <w:r>
        <w:rPr>
          <w:spacing w:val="-36"/>
          <w:w w:val="110"/>
        </w:rPr>
        <w:t xml:space="preserve"> </w:t>
      </w:r>
      <w:r>
        <w:rPr>
          <w:w w:val="110"/>
        </w:rPr>
        <w:t>(Criterion</w:t>
      </w:r>
      <w:r>
        <w:rPr>
          <w:spacing w:val="-28"/>
          <w:w w:val="110"/>
        </w:rPr>
        <w:t xml:space="preserve"> </w:t>
      </w:r>
      <w:r>
        <w:rPr>
          <w:w w:val="110"/>
        </w:rPr>
        <w:t>C).</w:t>
      </w:r>
      <w:r>
        <w:rPr>
          <w:spacing w:val="-35"/>
          <w:w w:val="110"/>
        </w:rPr>
        <w:t xml:space="preserve"> </w:t>
      </w:r>
      <w:r>
        <w:rPr>
          <w:w w:val="110"/>
        </w:rPr>
        <w:t>If</w:t>
      </w:r>
      <w:r>
        <w:rPr>
          <w:spacing w:val="-32"/>
          <w:w w:val="110"/>
        </w:rPr>
        <w:t xml:space="preserve"> </w:t>
      </w:r>
      <w:r>
        <w:rPr>
          <w:w w:val="110"/>
        </w:rPr>
        <w:t>a</w:t>
      </w:r>
      <w:r>
        <w:rPr>
          <w:spacing w:val="-33"/>
          <w:w w:val="110"/>
        </w:rPr>
        <w:t xml:space="preserve"> </w:t>
      </w:r>
      <w:r>
        <w:rPr>
          <w:w w:val="110"/>
        </w:rPr>
        <w:t>neurological or</w:t>
      </w:r>
      <w:r>
        <w:rPr>
          <w:spacing w:val="-1"/>
          <w:w w:val="110"/>
        </w:rPr>
        <w:t xml:space="preserve"> </w:t>
      </w:r>
      <w:r>
        <w:rPr>
          <w:w w:val="110"/>
        </w:rPr>
        <w:t>other</w:t>
      </w:r>
      <w:r>
        <w:rPr>
          <w:spacing w:val="-11"/>
          <w:w w:val="110"/>
        </w:rPr>
        <w:t xml:space="preserve"> </w:t>
      </w:r>
      <w:r>
        <w:rPr>
          <w:w w:val="110"/>
        </w:rPr>
        <w:t>general</w:t>
      </w:r>
      <w:r>
        <w:rPr>
          <w:spacing w:val="-6"/>
          <w:w w:val="110"/>
        </w:rPr>
        <w:t xml:space="preserve"> </w:t>
      </w:r>
      <w:r>
        <w:rPr>
          <w:w w:val="110"/>
        </w:rPr>
        <w:t>medical</w:t>
      </w:r>
      <w:r>
        <w:rPr>
          <w:spacing w:val="-5"/>
          <w:w w:val="110"/>
        </w:rPr>
        <w:t xml:space="preserve"> </w:t>
      </w:r>
      <w:r>
        <w:rPr>
          <w:w w:val="110"/>
        </w:rPr>
        <w:t>condition</w:t>
      </w:r>
      <w:r>
        <w:rPr>
          <w:spacing w:val="-1"/>
          <w:w w:val="110"/>
        </w:rPr>
        <w:t xml:space="preserve"> </w:t>
      </w:r>
      <w:r>
        <w:rPr>
          <w:w w:val="110"/>
        </w:rPr>
        <w:t>or</w:t>
      </w:r>
      <w:r>
        <w:rPr>
          <w:spacing w:val="-7"/>
          <w:w w:val="110"/>
        </w:rPr>
        <w:t xml:space="preserve"> </w:t>
      </w:r>
      <w:r>
        <w:rPr>
          <w:w w:val="110"/>
        </w:rPr>
        <w:t>sensory</w:t>
      </w:r>
      <w:r>
        <w:rPr>
          <w:spacing w:val="-6"/>
          <w:w w:val="110"/>
        </w:rPr>
        <w:t xml:space="preserve"> </w:t>
      </w:r>
      <w:r>
        <w:rPr>
          <w:w w:val="110"/>
        </w:rPr>
        <w:t>deficit</w:t>
      </w:r>
      <w:r>
        <w:rPr>
          <w:spacing w:val="3"/>
          <w:w w:val="110"/>
        </w:rPr>
        <w:t xml:space="preserve"> </w:t>
      </w:r>
      <w:r>
        <w:rPr>
          <w:w w:val="110"/>
        </w:rPr>
        <w:t>is</w:t>
      </w:r>
      <w:r>
        <w:rPr>
          <w:spacing w:val="-3"/>
          <w:w w:val="110"/>
        </w:rPr>
        <w:t xml:space="preserve"> </w:t>
      </w:r>
      <w:r>
        <w:rPr>
          <w:w w:val="110"/>
        </w:rPr>
        <w:t>present,</w:t>
      </w:r>
      <w:r>
        <w:rPr>
          <w:spacing w:val="3"/>
          <w:w w:val="110"/>
        </w:rPr>
        <w:t xml:space="preserve"> </w:t>
      </w:r>
      <w:r>
        <w:rPr>
          <w:w w:val="110"/>
        </w:rPr>
        <w:t>it</w:t>
      </w:r>
      <w:r>
        <w:rPr>
          <w:spacing w:val="-9"/>
          <w:w w:val="110"/>
        </w:rPr>
        <w:t xml:space="preserve"> </w:t>
      </w:r>
      <w:r>
        <w:rPr>
          <w:w w:val="110"/>
        </w:rPr>
        <w:t>should</w:t>
      </w:r>
      <w:r>
        <w:rPr>
          <w:spacing w:val="1"/>
          <w:w w:val="110"/>
        </w:rPr>
        <w:t xml:space="preserve"> </w:t>
      </w:r>
      <w:r>
        <w:rPr>
          <w:w w:val="110"/>
        </w:rPr>
        <w:t>be</w:t>
      </w:r>
      <w:r>
        <w:rPr>
          <w:spacing w:val="-7"/>
          <w:w w:val="110"/>
        </w:rPr>
        <w:t xml:space="preserve"> </w:t>
      </w:r>
      <w:r>
        <w:rPr>
          <w:w w:val="110"/>
        </w:rPr>
        <w:t>coded</w:t>
      </w:r>
      <w:r>
        <w:rPr>
          <w:spacing w:val="-1"/>
          <w:w w:val="110"/>
        </w:rPr>
        <w:t xml:space="preserve"> </w:t>
      </w:r>
      <w:r>
        <w:rPr>
          <w:w w:val="110"/>
        </w:rPr>
        <w:t>on Axis</w:t>
      </w:r>
      <w:r>
        <w:rPr>
          <w:spacing w:val="-20"/>
          <w:w w:val="110"/>
        </w:rPr>
        <w:t xml:space="preserve"> </w:t>
      </w:r>
      <w:r>
        <w:rPr>
          <w:w w:val="110"/>
        </w:rPr>
        <w:t>III.</w:t>
      </w:r>
      <w:r>
        <w:rPr>
          <w:spacing w:val="-17"/>
          <w:w w:val="110"/>
        </w:rPr>
        <w:t xml:space="preserve"> </w:t>
      </w:r>
      <w:r>
        <w:rPr>
          <w:w w:val="110"/>
        </w:rPr>
        <w:t>In</w:t>
      </w:r>
      <w:r>
        <w:rPr>
          <w:spacing w:val="-20"/>
          <w:w w:val="110"/>
        </w:rPr>
        <w:t xml:space="preserve"> </w:t>
      </w:r>
      <w:r>
        <w:rPr>
          <w:w w:val="110"/>
        </w:rPr>
        <w:t>individuals</w:t>
      </w:r>
      <w:r>
        <w:rPr>
          <w:spacing w:val="-15"/>
          <w:w w:val="110"/>
        </w:rPr>
        <w:t xml:space="preserve"> </w:t>
      </w:r>
      <w:r>
        <w:rPr>
          <w:w w:val="110"/>
        </w:rPr>
        <w:t>with</w:t>
      </w:r>
      <w:r>
        <w:rPr>
          <w:spacing w:val="-18"/>
          <w:w w:val="110"/>
        </w:rPr>
        <w:t xml:space="preserve"> </w:t>
      </w:r>
      <w:r>
        <w:rPr>
          <w:w w:val="110"/>
        </w:rPr>
        <w:t>Reading</w:t>
      </w:r>
      <w:r>
        <w:rPr>
          <w:spacing w:val="-14"/>
          <w:w w:val="110"/>
        </w:rPr>
        <w:t xml:space="preserve"> </w:t>
      </w:r>
      <w:r>
        <w:rPr>
          <w:w w:val="110"/>
        </w:rPr>
        <w:t>Disorder</w:t>
      </w:r>
      <w:r>
        <w:rPr>
          <w:spacing w:val="-19"/>
          <w:w w:val="110"/>
        </w:rPr>
        <w:t xml:space="preserve"> </w:t>
      </w:r>
      <w:r>
        <w:rPr>
          <w:w w:val="110"/>
        </w:rPr>
        <w:t>(which</w:t>
      </w:r>
      <w:r>
        <w:rPr>
          <w:spacing w:val="-16"/>
          <w:w w:val="110"/>
        </w:rPr>
        <w:t xml:space="preserve"> </w:t>
      </w:r>
      <w:r>
        <w:rPr>
          <w:w w:val="110"/>
        </w:rPr>
        <w:t>has</w:t>
      </w:r>
      <w:r>
        <w:rPr>
          <w:spacing w:val="-20"/>
          <w:w w:val="110"/>
        </w:rPr>
        <w:t xml:space="preserve"> </w:t>
      </w:r>
      <w:r>
        <w:rPr>
          <w:w w:val="110"/>
        </w:rPr>
        <w:t>also</w:t>
      </w:r>
      <w:r>
        <w:rPr>
          <w:spacing w:val="-16"/>
          <w:w w:val="110"/>
        </w:rPr>
        <w:t xml:space="preserve"> </w:t>
      </w:r>
      <w:r>
        <w:rPr>
          <w:w w:val="110"/>
        </w:rPr>
        <w:t>been</w:t>
      </w:r>
      <w:r>
        <w:rPr>
          <w:spacing w:val="-18"/>
          <w:w w:val="110"/>
        </w:rPr>
        <w:t xml:space="preserve"> </w:t>
      </w:r>
      <w:r>
        <w:rPr>
          <w:w w:val="110"/>
        </w:rPr>
        <w:t>called</w:t>
      </w:r>
      <w:r>
        <w:rPr>
          <w:spacing w:val="-16"/>
          <w:w w:val="110"/>
        </w:rPr>
        <w:t xml:space="preserve"> </w:t>
      </w:r>
      <w:r>
        <w:rPr>
          <w:w w:val="110"/>
        </w:rPr>
        <w:t>"dyslexia"), oral reading is characterized by distortions, substitutions, or omissions; both oral and silent reading are characterized by slowness and errors in</w:t>
      </w:r>
      <w:r>
        <w:rPr>
          <w:spacing w:val="21"/>
          <w:w w:val="110"/>
        </w:rPr>
        <w:t xml:space="preserve"> </w:t>
      </w:r>
      <w:r>
        <w:rPr>
          <w:w w:val="110"/>
        </w:rPr>
        <w:t>comprehension.</w:t>
      </w:r>
    </w:p>
    <w:p w:rsidR="00E675F0" w:rsidRDefault="00E675F0" w:rsidP="00E675F0">
      <w:pPr>
        <w:pStyle w:val="BodyText"/>
        <w:spacing w:before="3"/>
        <w:rPr>
          <w:sz w:val="31"/>
        </w:rPr>
      </w:pPr>
    </w:p>
    <w:p w:rsidR="00E675F0" w:rsidRDefault="00E675F0" w:rsidP="00E675F0">
      <w:pPr>
        <w:ind w:left="108"/>
        <w:jc w:val="both"/>
        <w:rPr>
          <w:rFonts w:ascii="TimesNewRomanPS-BoldItalicMT"/>
          <w:b/>
          <w:i/>
          <w:sz w:val="24"/>
        </w:rPr>
      </w:pPr>
      <w:r>
        <w:rPr>
          <w:rFonts w:ascii="TimesNewRomanPS-BoldItalicMT"/>
          <w:b/>
          <w:i/>
          <w:w w:val="115"/>
          <w:sz w:val="24"/>
        </w:rPr>
        <w:t>Associated Features and Disorders</w:t>
      </w:r>
    </w:p>
    <w:p w:rsidR="00E675F0" w:rsidRDefault="00E675F0" w:rsidP="00E675F0">
      <w:pPr>
        <w:pStyle w:val="BodyText"/>
        <w:spacing w:before="136" w:line="256" w:lineRule="auto"/>
        <w:ind w:left="129" w:right="115" w:hanging="5"/>
        <w:jc w:val="both"/>
      </w:pPr>
      <w:r>
        <w:rPr>
          <w:w w:val="105"/>
        </w:rPr>
        <w:t>See the "Associated Features and Disorders" section for Learning Disorders (p. 47). Mathematics</w:t>
      </w:r>
      <w:r>
        <w:rPr>
          <w:spacing w:val="-8"/>
          <w:w w:val="105"/>
        </w:rPr>
        <w:t xml:space="preserve"> </w:t>
      </w:r>
      <w:r>
        <w:rPr>
          <w:w w:val="105"/>
        </w:rPr>
        <w:t>Disorder</w:t>
      </w:r>
      <w:r>
        <w:rPr>
          <w:spacing w:val="-10"/>
          <w:w w:val="105"/>
        </w:rPr>
        <w:t xml:space="preserve"> </w:t>
      </w:r>
      <w:r>
        <w:rPr>
          <w:w w:val="105"/>
        </w:rPr>
        <w:t>and</w:t>
      </w:r>
      <w:r>
        <w:rPr>
          <w:spacing w:val="-13"/>
          <w:w w:val="105"/>
        </w:rPr>
        <w:t xml:space="preserve"> </w:t>
      </w:r>
      <w:r>
        <w:rPr>
          <w:w w:val="105"/>
        </w:rPr>
        <w:t>Disorder</w:t>
      </w:r>
      <w:r>
        <w:rPr>
          <w:spacing w:val="-11"/>
          <w:w w:val="105"/>
        </w:rPr>
        <w:t xml:space="preserve"> </w:t>
      </w:r>
      <w:r>
        <w:rPr>
          <w:w w:val="105"/>
        </w:rPr>
        <w:t>of</w:t>
      </w:r>
      <w:r>
        <w:rPr>
          <w:spacing w:val="-12"/>
          <w:w w:val="105"/>
        </w:rPr>
        <w:t xml:space="preserve"> </w:t>
      </w:r>
      <w:r>
        <w:rPr>
          <w:w w:val="105"/>
        </w:rPr>
        <w:t>Written</w:t>
      </w:r>
      <w:r>
        <w:rPr>
          <w:spacing w:val="-10"/>
          <w:w w:val="105"/>
        </w:rPr>
        <w:t xml:space="preserve"> </w:t>
      </w:r>
      <w:r>
        <w:rPr>
          <w:w w:val="105"/>
        </w:rPr>
        <w:t>Expression</w:t>
      </w:r>
      <w:r>
        <w:rPr>
          <w:spacing w:val="-2"/>
          <w:w w:val="105"/>
        </w:rPr>
        <w:t xml:space="preserve"> </w:t>
      </w:r>
      <w:r>
        <w:rPr>
          <w:w w:val="105"/>
        </w:rPr>
        <w:t>are</w:t>
      </w:r>
      <w:r>
        <w:rPr>
          <w:spacing w:val="-21"/>
          <w:w w:val="105"/>
        </w:rPr>
        <w:t xml:space="preserve"> </w:t>
      </w:r>
      <w:r>
        <w:rPr>
          <w:w w:val="105"/>
        </w:rPr>
        <w:t>commonly</w:t>
      </w:r>
      <w:r>
        <w:rPr>
          <w:spacing w:val="-10"/>
          <w:w w:val="105"/>
        </w:rPr>
        <w:t xml:space="preserve"> </w:t>
      </w:r>
      <w:r>
        <w:rPr>
          <w:w w:val="105"/>
        </w:rPr>
        <w:t>associated</w:t>
      </w:r>
      <w:r>
        <w:rPr>
          <w:spacing w:val="-11"/>
          <w:w w:val="105"/>
        </w:rPr>
        <w:t xml:space="preserve"> </w:t>
      </w:r>
      <w:r>
        <w:rPr>
          <w:w w:val="105"/>
        </w:rPr>
        <w:t>with</w:t>
      </w:r>
    </w:p>
    <w:p w:rsidR="00E675F0" w:rsidRDefault="00E675F0" w:rsidP="00E675F0">
      <w:pPr>
        <w:spacing w:line="256" w:lineRule="auto"/>
        <w:jc w:val="both"/>
        <w:sectPr w:rsidR="00E675F0">
          <w:pgSz w:w="8960" w:h="14260"/>
          <w:pgMar w:top="1400" w:right="620" w:bottom="280" w:left="620" w:header="703" w:footer="0" w:gutter="0"/>
          <w:cols w:space="720"/>
        </w:sectPr>
      </w:pPr>
    </w:p>
    <w:p w:rsidR="00E675F0" w:rsidRDefault="00E675F0" w:rsidP="00E675F0">
      <w:pPr>
        <w:pStyle w:val="BodyText"/>
        <w:spacing w:before="122" w:line="256" w:lineRule="auto"/>
        <w:ind w:left="111" w:right="122" w:hanging="2"/>
        <w:jc w:val="both"/>
      </w:pPr>
      <w:r>
        <w:rPr>
          <w:w w:val="105"/>
        </w:rPr>
        <w:lastRenderedPageBreak/>
        <w:t>Reading Disorder, and it is relatively rare for either of these disorders to be found in the absence of Reading Disorder.</w:t>
      </w:r>
    </w:p>
    <w:p w:rsidR="00E675F0" w:rsidRDefault="00E675F0" w:rsidP="00E675F0">
      <w:pPr>
        <w:pStyle w:val="BodyText"/>
        <w:rPr>
          <w:sz w:val="22"/>
        </w:rPr>
      </w:pPr>
    </w:p>
    <w:p w:rsidR="00E675F0" w:rsidRDefault="00E675F0" w:rsidP="00E675F0">
      <w:pPr>
        <w:spacing w:before="189"/>
        <w:ind w:left="104"/>
        <w:rPr>
          <w:rFonts w:ascii="TimesNewRomanPS-BoldItalicMT"/>
          <w:b/>
          <w:i/>
          <w:sz w:val="25"/>
        </w:rPr>
      </w:pPr>
      <w:r>
        <w:rPr>
          <w:rFonts w:ascii="TimesNewRomanPS-BoldItalicMT"/>
          <w:b/>
          <w:i/>
          <w:w w:val="110"/>
          <w:sz w:val="25"/>
        </w:rPr>
        <w:t>Specific Gender Features</w:t>
      </w:r>
    </w:p>
    <w:p w:rsidR="00E675F0" w:rsidRDefault="00E675F0" w:rsidP="00E675F0">
      <w:pPr>
        <w:pStyle w:val="BodyText"/>
        <w:spacing w:before="201" w:line="254" w:lineRule="auto"/>
        <w:ind w:left="116" w:right="121" w:firstLine="3"/>
        <w:jc w:val="both"/>
      </w:pPr>
      <w:r>
        <w:rPr>
          <w:w w:val="105"/>
        </w:rPr>
        <w:t>From 60% to 80% of individuals diagnosed with Reading Disorder are males. Referral procedures may often be biased toward identifying males, because they more frequently display disruptive behaviors in association with Learning Disorders. The disorder has been found to occur at more equal rates in males and females when careful diagnostic ascertainment and stringent criteria are used rather than traditional school-based referral and diagnostic procedures.</w:t>
      </w:r>
    </w:p>
    <w:p w:rsidR="00E675F0" w:rsidRDefault="00E675F0" w:rsidP="00E675F0">
      <w:pPr>
        <w:pStyle w:val="BodyText"/>
        <w:rPr>
          <w:sz w:val="22"/>
        </w:rPr>
      </w:pPr>
    </w:p>
    <w:p w:rsidR="00E675F0" w:rsidRDefault="00E675F0" w:rsidP="00E675F0">
      <w:pPr>
        <w:pStyle w:val="BodyText"/>
        <w:spacing w:before="8"/>
        <w:rPr>
          <w:sz w:val="27"/>
        </w:rPr>
      </w:pPr>
    </w:p>
    <w:p w:rsidR="00E675F0" w:rsidRDefault="00E675F0" w:rsidP="00E675F0">
      <w:pPr>
        <w:spacing w:before="1"/>
        <w:ind w:left="106"/>
        <w:rPr>
          <w:rFonts w:ascii="TimesNewRomanPS-BoldItalicMT"/>
          <w:b/>
          <w:i/>
          <w:sz w:val="25"/>
        </w:rPr>
      </w:pPr>
      <w:r>
        <w:rPr>
          <w:rFonts w:ascii="TimesNewRomanPS-BoldItalicMT"/>
          <w:b/>
          <w:i/>
          <w:w w:val="110"/>
          <w:sz w:val="25"/>
        </w:rPr>
        <w:t>Prevalence</w:t>
      </w:r>
    </w:p>
    <w:p w:rsidR="00E675F0" w:rsidRDefault="00E675F0" w:rsidP="00E675F0">
      <w:pPr>
        <w:pStyle w:val="BodyText"/>
        <w:spacing w:before="196" w:line="254" w:lineRule="auto"/>
        <w:ind w:left="118" w:right="124" w:hanging="6"/>
        <w:jc w:val="both"/>
      </w:pPr>
      <w:r>
        <w:rPr>
          <w:w w:val="105"/>
        </w:rPr>
        <w:t>The prevalence of Reading Disorder is difficult to establish because many studies focus on</w:t>
      </w:r>
      <w:r>
        <w:rPr>
          <w:spacing w:val="-17"/>
          <w:w w:val="105"/>
        </w:rPr>
        <w:t xml:space="preserve"> </w:t>
      </w:r>
      <w:r>
        <w:rPr>
          <w:w w:val="105"/>
        </w:rPr>
        <w:t>the</w:t>
      </w:r>
      <w:r>
        <w:rPr>
          <w:spacing w:val="-10"/>
          <w:w w:val="105"/>
        </w:rPr>
        <w:t xml:space="preserve"> </w:t>
      </w:r>
      <w:r>
        <w:rPr>
          <w:w w:val="105"/>
        </w:rPr>
        <w:t>prevalence</w:t>
      </w:r>
      <w:r>
        <w:rPr>
          <w:spacing w:val="-13"/>
          <w:w w:val="105"/>
        </w:rPr>
        <w:t xml:space="preserve"> </w:t>
      </w:r>
      <w:r>
        <w:rPr>
          <w:w w:val="105"/>
        </w:rPr>
        <w:t>of</w:t>
      </w:r>
      <w:r>
        <w:rPr>
          <w:spacing w:val="-12"/>
          <w:w w:val="105"/>
        </w:rPr>
        <w:t xml:space="preserve"> </w:t>
      </w:r>
      <w:r>
        <w:rPr>
          <w:w w:val="105"/>
        </w:rPr>
        <w:t>Learning</w:t>
      </w:r>
      <w:r>
        <w:rPr>
          <w:spacing w:val="-7"/>
          <w:w w:val="105"/>
        </w:rPr>
        <w:t xml:space="preserve"> </w:t>
      </w:r>
      <w:r>
        <w:rPr>
          <w:w w:val="105"/>
        </w:rPr>
        <w:t>Disorders</w:t>
      </w:r>
      <w:r>
        <w:rPr>
          <w:spacing w:val="-13"/>
          <w:w w:val="105"/>
        </w:rPr>
        <w:t xml:space="preserve"> </w:t>
      </w:r>
      <w:r>
        <w:rPr>
          <w:w w:val="105"/>
        </w:rPr>
        <w:t>without</w:t>
      </w:r>
      <w:r>
        <w:rPr>
          <w:spacing w:val="-14"/>
          <w:w w:val="105"/>
        </w:rPr>
        <w:t xml:space="preserve"> </w:t>
      </w:r>
      <w:r>
        <w:rPr>
          <w:w w:val="105"/>
        </w:rPr>
        <w:t>careful</w:t>
      </w:r>
      <w:r>
        <w:rPr>
          <w:spacing w:val="-11"/>
          <w:w w:val="105"/>
        </w:rPr>
        <w:t xml:space="preserve"> </w:t>
      </w:r>
      <w:r>
        <w:rPr>
          <w:w w:val="105"/>
        </w:rPr>
        <w:t>separation</w:t>
      </w:r>
      <w:r>
        <w:rPr>
          <w:spacing w:val="-10"/>
          <w:w w:val="105"/>
        </w:rPr>
        <w:t xml:space="preserve"> </w:t>
      </w:r>
      <w:r>
        <w:rPr>
          <w:w w:val="105"/>
        </w:rPr>
        <w:t>into</w:t>
      </w:r>
      <w:r>
        <w:rPr>
          <w:spacing w:val="-22"/>
          <w:w w:val="105"/>
        </w:rPr>
        <w:t xml:space="preserve"> </w:t>
      </w:r>
      <w:r>
        <w:rPr>
          <w:w w:val="105"/>
        </w:rPr>
        <w:t>specific</w:t>
      </w:r>
      <w:r>
        <w:rPr>
          <w:spacing w:val="-12"/>
          <w:w w:val="105"/>
        </w:rPr>
        <w:t xml:space="preserve"> </w:t>
      </w:r>
      <w:r>
        <w:rPr>
          <w:w w:val="105"/>
        </w:rPr>
        <w:t>disorders of Reading, Mathematics, or Written Expression. Reading Disorder, alone or in combi­ nation with Mathematics Disorder or Disorder of Written Expression, accounts for approximately four of every five cases of Learning Disorder. The prevalence of Reading Disorder</w:t>
      </w:r>
      <w:r>
        <w:rPr>
          <w:spacing w:val="-2"/>
          <w:w w:val="105"/>
        </w:rPr>
        <w:t xml:space="preserve"> </w:t>
      </w:r>
      <w:r>
        <w:rPr>
          <w:w w:val="105"/>
        </w:rPr>
        <w:t>in</w:t>
      </w:r>
      <w:r>
        <w:rPr>
          <w:spacing w:val="-8"/>
          <w:w w:val="105"/>
        </w:rPr>
        <w:t xml:space="preserve"> </w:t>
      </w:r>
      <w:r>
        <w:rPr>
          <w:w w:val="105"/>
        </w:rPr>
        <w:t>the</w:t>
      </w:r>
      <w:r>
        <w:rPr>
          <w:spacing w:val="-7"/>
          <w:w w:val="105"/>
        </w:rPr>
        <w:t xml:space="preserve"> </w:t>
      </w:r>
      <w:r>
        <w:rPr>
          <w:w w:val="105"/>
        </w:rPr>
        <w:t>United</w:t>
      </w:r>
      <w:r>
        <w:rPr>
          <w:spacing w:val="-5"/>
          <w:w w:val="105"/>
        </w:rPr>
        <w:t xml:space="preserve"> </w:t>
      </w:r>
      <w:r>
        <w:rPr>
          <w:w w:val="105"/>
        </w:rPr>
        <w:t>States</w:t>
      </w:r>
      <w:r>
        <w:rPr>
          <w:spacing w:val="-5"/>
          <w:w w:val="105"/>
        </w:rPr>
        <w:t xml:space="preserve"> </w:t>
      </w:r>
      <w:r>
        <w:rPr>
          <w:w w:val="105"/>
        </w:rPr>
        <w:t>is</w:t>
      </w:r>
      <w:r>
        <w:rPr>
          <w:spacing w:val="-15"/>
          <w:w w:val="105"/>
        </w:rPr>
        <w:t xml:space="preserve"> </w:t>
      </w:r>
      <w:r>
        <w:rPr>
          <w:w w:val="105"/>
        </w:rPr>
        <w:t>estimated</w:t>
      </w:r>
      <w:r>
        <w:rPr>
          <w:spacing w:val="-1"/>
          <w:w w:val="105"/>
        </w:rPr>
        <w:t xml:space="preserve"> </w:t>
      </w:r>
      <w:r>
        <w:rPr>
          <w:w w:val="105"/>
        </w:rPr>
        <w:t>at</w:t>
      </w:r>
      <w:r>
        <w:rPr>
          <w:spacing w:val="-9"/>
          <w:w w:val="105"/>
        </w:rPr>
        <w:t xml:space="preserve"> </w:t>
      </w:r>
      <w:r>
        <w:rPr>
          <w:w w:val="105"/>
        </w:rPr>
        <w:t>4%</w:t>
      </w:r>
      <w:r>
        <w:rPr>
          <w:spacing w:val="-14"/>
          <w:w w:val="105"/>
        </w:rPr>
        <w:t xml:space="preserve"> </w:t>
      </w:r>
      <w:r>
        <w:rPr>
          <w:w w:val="105"/>
        </w:rPr>
        <w:t>of</w:t>
      </w:r>
      <w:r>
        <w:rPr>
          <w:spacing w:val="-8"/>
          <w:w w:val="105"/>
        </w:rPr>
        <w:t xml:space="preserve"> </w:t>
      </w:r>
      <w:r>
        <w:rPr>
          <w:w w:val="105"/>
        </w:rPr>
        <w:t>school-age</w:t>
      </w:r>
      <w:r>
        <w:rPr>
          <w:spacing w:val="1"/>
          <w:w w:val="105"/>
        </w:rPr>
        <w:t xml:space="preserve"> </w:t>
      </w:r>
      <w:r>
        <w:rPr>
          <w:w w:val="105"/>
        </w:rPr>
        <w:t>children.</w:t>
      </w:r>
      <w:r>
        <w:rPr>
          <w:spacing w:val="-2"/>
          <w:w w:val="105"/>
        </w:rPr>
        <w:t xml:space="preserve"> </w:t>
      </w:r>
      <w:r>
        <w:rPr>
          <w:w w:val="105"/>
        </w:rPr>
        <w:t>Lower</w:t>
      </w:r>
      <w:r>
        <w:rPr>
          <w:spacing w:val="-4"/>
          <w:w w:val="105"/>
        </w:rPr>
        <w:t xml:space="preserve"> </w:t>
      </w:r>
      <w:r>
        <w:rPr>
          <w:w w:val="105"/>
        </w:rPr>
        <w:t>incidence and prevalence figures for Reac!ing Disorder may be found in other countries in which stricter criteria are</w:t>
      </w:r>
      <w:r>
        <w:rPr>
          <w:spacing w:val="-15"/>
          <w:w w:val="105"/>
        </w:rPr>
        <w:t xml:space="preserve"> </w:t>
      </w:r>
      <w:r>
        <w:rPr>
          <w:w w:val="105"/>
        </w:rPr>
        <w:t>used.</w:t>
      </w:r>
    </w:p>
    <w:p w:rsidR="00E675F0" w:rsidRDefault="00E675F0" w:rsidP="00E675F0">
      <w:pPr>
        <w:pStyle w:val="BodyText"/>
        <w:rPr>
          <w:sz w:val="22"/>
        </w:rPr>
      </w:pPr>
    </w:p>
    <w:p w:rsidR="00E675F0" w:rsidRDefault="00E675F0" w:rsidP="00E675F0">
      <w:pPr>
        <w:pStyle w:val="BodyText"/>
        <w:spacing w:before="6"/>
        <w:rPr>
          <w:sz w:val="27"/>
        </w:rPr>
      </w:pPr>
    </w:p>
    <w:p w:rsidR="00E675F0" w:rsidRDefault="00E675F0" w:rsidP="00E675F0">
      <w:pPr>
        <w:spacing w:before="1"/>
        <w:ind w:left="102"/>
        <w:rPr>
          <w:rFonts w:ascii="TimesNewRomanPS-BoldItalicMT"/>
          <w:b/>
          <w:i/>
          <w:sz w:val="25"/>
        </w:rPr>
      </w:pPr>
      <w:r>
        <w:rPr>
          <w:rFonts w:ascii="TimesNewRomanPS-BoldItalicMT"/>
          <w:b/>
          <w:i/>
          <w:w w:val="110"/>
          <w:sz w:val="25"/>
        </w:rPr>
        <w:t>Course</w:t>
      </w:r>
    </w:p>
    <w:p w:rsidR="00E675F0" w:rsidRDefault="00E675F0" w:rsidP="00E675F0">
      <w:pPr>
        <w:pStyle w:val="BodyText"/>
        <w:spacing w:before="201" w:line="252" w:lineRule="auto"/>
        <w:ind w:left="121" w:right="116" w:hanging="5"/>
        <w:jc w:val="both"/>
      </w:pPr>
      <w:r>
        <w:rPr>
          <w:w w:val="105"/>
        </w:rPr>
        <w:t>Although symptoms of reading difficulty (e.g., inability to distinguish among common letters or to associate common phonemes with letter symbols) may occur as early as kindergarten, Reading Disorder is seldom diagnosed before the end of kindergarten or the beginning of first grade because formal reading instruction usually does not begin until this point in most school settings. Particularly when Reading Disorder is associated with high IQ, the child may function at or near grade level in the early grades, and the Reading Disorder may not be fully apparent until the fourth grade or later. With early identification</w:t>
      </w:r>
      <w:r>
        <w:rPr>
          <w:spacing w:val="-16"/>
          <w:w w:val="105"/>
        </w:rPr>
        <w:t xml:space="preserve"> </w:t>
      </w:r>
      <w:r>
        <w:rPr>
          <w:w w:val="105"/>
        </w:rPr>
        <w:t>and</w:t>
      </w:r>
      <w:r>
        <w:rPr>
          <w:spacing w:val="-6"/>
          <w:w w:val="105"/>
        </w:rPr>
        <w:t xml:space="preserve"> </w:t>
      </w:r>
      <w:r>
        <w:rPr>
          <w:w w:val="105"/>
        </w:rPr>
        <w:t>intervention,</w:t>
      </w:r>
      <w:r>
        <w:rPr>
          <w:spacing w:val="2"/>
          <w:w w:val="105"/>
        </w:rPr>
        <w:t xml:space="preserve"> </w:t>
      </w:r>
      <w:r>
        <w:rPr>
          <w:w w:val="105"/>
        </w:rPr>
        <w:t>the</w:t>
      </w:r>
      <w:r>
        <w:rPr>
          <w:spacing w:val="-8"/>
          <w:w w:val="105"/>
        </w:rPr>
        <w:t xml:space="preserve"> </w:t>
      </w:r>
      <w:r>
        <w:rPr>
          <w:w w:val="105"/>
        </w:rPr>
        <w:t>prognosis</w:t>
      </w:r>
      <w:r>
        <w:rPr>
          <w:spacing w:val="-2"/>
          <w:w w:val="105"/>
        </w:rPr>
        <w:t xml:space="preserve"> </w:t>
      </w:r>
      <w:r>
        <w:rPr>
          <w:w w:val="105"/>
        </w:rPr>
        <w:t>is</w:t>
      </w:r>
      <w:r>
        <w:rPr>
          <w:spacing w:val="-17"/>
          <w:w w:val="105"/>
        </w:rPr>
        <w:t xml:space="preserve"> </w:t>
      </w:r>
      <w:r>
        <w:rPr>
          <w:w w:val="105"/>
        </w:rPr>
        <w:t>good</w:t>
      </w:r>
      <w:r>
        <w:rPr>
          <w:spacing w:val="-5"/>
          <w:w w:val="105"/>
        </w:rPr>
        <w:t xml:space="preserve"> </w:t>
      </w:r>
      <w:r>
        <w:rPr>
          <w:w w:val="105"/>
        </w:rPr>
        <w:t>in</w:t>
      </w:r>
      <w:r>
        <w:rPr>
          <w:spacing w:val="-12"/>
          <w:w w:val="105"/>
        </w:rPr>
        <w:t xml:space="preserve"> </w:t>
      </w:r>
      <w:r>
        <w:rPr>
          <w:w w:val="105"/>
        </w:rPr>
        <w:t>a</w:t>
      </w:r>
      <w:r>
        <w:rPr>
          <w:spacing w:val="-10"/>
          <w:w w:val="105"/>
        </w:rPr>
        <w:t xml:space="preserve"> </w:t>
      </w:r>
      <w:r>
        <w:rPr>
          <w:w w:val="105"/>
        </w:rPr>
        <w:t>significant</w:t>
      </w:r>
      <w:r>
        <w:rPr>
          <w:spacing w:val="6"/>
          <w:w w:val="105"/>
        </w:rPr>
        <w:t xml:space="preserve"> </w:t>
      </w:r>
      <w:r>
        <w:rPr>
          <w:w w:val="105"/>
        </w:rPr>
        <w:t>percentage</w:t>
      </w:r>
      <w:r>
        <w:rPr>
          <w:spacing w:val="3"/>
          <w:w w:val="105"/>
        </w:rPr>
        <w:t xml:space="preserve"> </w:t>
      </w:r>
      <w:r>
        <w:rPr>
          <w:w w:val="105"/>
        </w:rPr>
        <w:t>of</w:t>
      </w:r>
      <w:r>
        <w:rPr>
          <w:spacing w:val="-5"/>
          <w:w w:val="105"/>
        </w:rPr>
        <w:t xml:space="preserve"> </w:t>
      </w:r>
      <w:r>
        <w:rPr>
          <w:w w:val="105"/>
        </w:rPr>
        <w:t>cases. Reading Disorder may</w:t>
      </w:r>
      <w:r>
        <w:rPr>
          <w:spacing w:val="-7"/>
          <w:w w:val="105"/>
        </w:rPr>
        <w:t xml:space="preserve"> </w:t>
      </w:r>
      <w:r>
        <w:rPr>
          <w:w w:val="105"/>
        </w:rPr>
        <w:t>persist into adult life.</w:t>
      </w:r>
    </w:p>
    <w:p w:rsidR="00E675F0" w:rsidRDefault="00E675F0" w:rsidP="00E675F0">
      <w:pPr>
        <w:pStyle w:val="BodyText"/>
        <w:rPr>
          <w:sz w:val="22"/>
        </w:rPr>
      </w:pPr>
    </w:p>
    <w:p w:rsidR="00E675F0" w:rsidRDefault="00E675F0" w:rsidP="00E675F0">
      <w:pPr>
        <w:pStyle w:val="BodyText"/>
        <w:spacing w:before="6"/>
        <w:rPr>
          <w:sz w:val="26"/>
        </w:rPr>
      </w:pPr>
    </w:p>
    <w:p w:rsidR="00E675F0" w:rsidRDefault="00E675F0" w:rsidP="00E675F0">
      <w:pPr>
        <w:ind w:left="103"/>
        <w:rPr>
          <w:rFonts w:ascii="TimesNewRomanPS-BoldItalicMT"/>
          <w:b/>
          <w:i/>
          <w:sz w:val="25"/>
        </w:rPr>
      </w:pPr>
      <w:r>
        <w:rPr>
          <w:rFonts w:ascii="TimesNewRomanPS-BoldItalicMT"/>
          <w:b/>
          <w:i/>
          <w:w w:val="110"/>
          <w:sz w:val="25"/>
        </w:rPr>
        <w:t>Familial Pattern</w:t>
      </w:r>
    </w:p>
    <w:p w:rsidR="00E675F0" w:rsidRDefault="00E675F0" w:rsidP="00E675F0">
      <w:pPr>
        <w:pStyle w:val="BodyText"/>
        <w:spacing w:before="202" w:line="256" w:lineRule="auto"/>
        <w:ind w:left="128" w:right="133" w:hanging="4"/>
        <w:jc w:val="both"/>
      </w:pPr>
      <w:r>
        <w:rPr>
          <w:w w:val="105"/>
        </w:rPr>
        <w:t>Reading Disorder aggregates familially and is more prevalent among first-degree biological relatives of individuals with Learning Disorders.</w:t>
      </w:r>
    </w:p>
    <w:p w:rsidR="00E675F0" w:rsidRDefault="00E675F0" w:rsidP="00E675F0">
      <w:pPr>
        <w:pStyle w:val="BodyText"/>
        <w:rPr>
          <w:sz w:val="22"/>
        </w:rPr>
      </w:pPr>
    </w:p>
    <w:p w:rsidR="00E675F0" w:rsidRDefault="00E675F0" w:rsidP="00E675F0">
      <w:pPr>
        <w:pStyle w:val="BodyText"/>
        <w:spacing w:before="5"/>
        <w:rPr>
          <w:sz w:val="26"/>
        </w:rPr>
      </w:pPr>
    </w:p>
    <w:p w:rsidR="00E675F0" w:rsidRDefault="00E675F0" w:rsidP="00E675F0">
      <w:pPr>
        <w:ind w:left="113"/>
        <w:rPr>
          <w:rFonts w:ascii="TimesNewRomanPS-BoldItalicMT"/>
          <w:b/>
          <w:i/>
          <w:sz w:val="25"/>
        </w:rPr>
      </w:pPr>
      <w:r>
        <w:rPr>
          <w:rFonts w:ascii="TimesNewRomanPS-BoldItalicMT"/>
          <w:b/>
          <w:i/>
          <w:w w:val="110"/>
          <w:sz w:val="25"/>
        </w:rPr>
        <w:t>Di,fferential magnosis</w:t>
      </w:r>
    </w:p>
    <w:p w:rsidR="00E675F0" w:rsidRDefault="00E675F0" w:rsidP="00E675F0">
      <w:pPr>
        <w:pStyle w:val="BodyText"/>
        <w:spacing w:before="201"/>
        <w:ind w:left="120"/>
        <w:jc w:val="both"/>
      </w:pPr>
      <w:r>
        <w:rPr>
          <w:w w:val="105"/>
        </w:rPr>
        <w:t>See the "Differential Diagnosis" section for Learning Disorders (p. 47).</w:t>
      </w:r>
    </w:p>
    <w:p w:rsidR="00E675F0" w:rsidRDefault="00E675F0" w:rsidP="00E675F0">
      <w:pPr>
        <w:jc w:val="both"/>
        <w:sectPr w:rsidR="00E675F0">
          <w:headerReference w:type="even" r:id="rId61"/>
          <w:headerReference w:type="default" r:id="rId62"/>
          <w:pgSz w:w="8960" w:h="14260"/>
          <w:pgMar w:top="1400" w:right="640" w:bottom="280" w:left="620" w:header="697" w:footer="0" w:gutter="0"/>
          <w:cols w:space="720"/>
        </w:sectPr>
      </w:pPr>
    </w:p>
    <w:p w:rsidR="00E675F0" w:rsidRDefault="00E675F0" w:rsidP="00E675F0">
      <w:pPr>
        <w:pStyle w:val="BodyText"/>
        <w:spacing w:before="7"/>
        <w:rPr>
          <w:sz w:val="2"/>
        </w:rPr>
      </w:pPr>
    </w:p>
    <w:p w:rsidR="00E675F0" w:rsidRDefault="00E675F0" w:rsidP="00E675F0">
      <w:pPr>
        <w:pStyle w:val="BodyText"/>
        <w:ind w:left="93"/>
      </w:pPr>
      <w:r>
        <w:rPr>
          <w:noProof/>
        </w:rPr>
        <mc:AlternateContent>
          <mc:Choice Requires="wpg">
            <w:drawing>
              <wp:inline distT="0" distB="0" distL="0" distR="0" wp14:anchorId="3F0458F3" wp14:editId="24D5439C">
                <wp:extent cx="4765675" cy="2503170"/>
                <wp:effectExtent l="0" t="0" r="9525" b="0"/>
                <wp:docPr id="1639" name="Group 1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5675" cy="2503170"/>
                          <a:chOff x="0" y="0"/>
                          <a:chExt cx="7505" cy="3942"/>
                        </a:xfrm>
                      </wpg:grpSpPr>
                      <wps:wsp>
                        <wps:cNvPr id="1640" name="Line 1601"/>
                        <wps:cNvCnPr>
                          <a:cxnSpLocks/>
                        </wps:cNvCnPr>
                        <wps:spPr bwMode="auto">
                          <a:xfrm>
                            <a:off x="10" y="3942"/>
                            <a:ext cx="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1" name="Line 1600"/>
                        <wps:cNvCnPr>
                          <a:cxnSpLocks/>
                        </wps:cNvCnPr>
                        <wps:spPr bwMode="auto">
                          <a:xfrm>
                            <a:off x="96" y="3865"/>
                            <a:ext cx="0" cy="0"/>
                          </a:xfrm>
                          <a:prstGeom prst="line">
                            <a:avLst/>
                          </a:prstGeom>
                          <a:noFill/>
                          <a:ln w="2443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2" name="Line 1599"/>
                        <wps:cNvCnPr>
                          <a:cxnSpLocks/>
                        </wps:cNvCnPr>
                        <wps:spPr bwMode="auto">
                          <a:xfrm>
                            <a:off x="7404" y="3942"/>
                            <a:ext cx="0" cy="0"/>
                          </a:xfrm>
                          <a:prstGeom prst="line">
                            <a:avLst/>
                          </a:prstGeom>
                          <a:noFill/>
                          <a:ln w="3054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3" name="Line 1598"/>
                        <wps:cNvCnPr>
                          <a:cxnSpLocks/>
                        </wps:cNvCnPr>
                        <wps:spPr bwMode="auto">
                          <a:xfrm>
                            <a:off x="0" y="77"/>
                            <a:ext cx="7485" cy="0"/>
                          </a:xfrm>
                          <a:prstGeom prst="line">
                            <a:avLst/>
                          </a:prstGeom>
                          <a:noFill/>
                          <a:ln w="366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4" name="Line 1597"/>
                        <wps:cNvCnPr>
                          <a:cxnSpLocks/>
                        </wps:cNvCnPr>
                        <wps:spPr bwMode="auto">
                          <a:xfrm>
                            <a:off x="0" y="3850"/>
                            <a:ext cx="7505" cy="0"/>
                          </a:xfrm>
                          <a:prstGeom prst="line">
                            <a:avLst/>
                          </a:prstGeom>
                          <a:noFill/>
                          <a:ln w="305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5" name="Text Box 1596"/>
                        <wps:cNvSpPr txBox="1">
                          <a:spLocks/>
                        </wps:cNvSpPr>
                        <wps:spPr bwMode="auto">
                          <a:xfrm>
                            <a:off x="115" y="105"/>
                            <a:ext cx="7264" cy="3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5F0" w:rsidRDefault="00E675F0" w:rsidP="003048D3">
                              <w:pPr>
                                <w:numPr>
                                  <w:ilvl w:val="0"/>
                                  <w:numId w:val="112"/>
                                </w:numPr>
                                <w:tabs>
                                  <w:tab w:val="left" w:pos="594"/>
                                </w:tabs>
                                <w:spacing w:line="543" w:lineRule="exact"/>
                                <w:ind w:hanging="380"/>
                                <w:rPr>
                                  <w:rFonts w:ascii="Arial"/>
                                  <w:b/>
                                  <w:sz w:val="24"/>
                                </w:rPr>
                              </w:pPr>
                              <w:bookmarkStart w:id="32" w:name="_bookmark18"/>
                              <w:bookmarkEnd w:id="32"/>
                              <w:r>
                                <w:rPr>
                                  <w:rFonts w:ascii="Arial"/>
                                  <w:b/>
                                  <w:w w:val="105"/>
                                  <w:sz w:val="24"/>
                                </w:rPr>
                                <w:t xml:space="preserve">Diagnostic criteria for </w:t>
                              </w:r>
                              <w:r>
                                <w:rPr>
                                  <w:rFonts w:ascii="Arial"/>
                                  <w:b/>
                                  <w:spacing w:val="11"/>
                                  <w:w w:val="105"/>
                                  <w:sz w:val="24"/>
                                </w:rPr>
                                <w:t xml:space="preserve">3I </w:t>
                              </w:r>
                              <w:r>
                                <w:rPr>
                                  <w:rFonts w:ascii="Arial"/>
                                  <w:b/>
                                  <w:w w:val="105"/>
                                  <w:sz w:val="24"/>
                                </w:rPr>
                                <w:t>5.00 Reading</w:t>
                              </w:r>
                              <w:r>
                                <w:rPr>
                                  <w:rFonts w:ascii="Arial"/>
                                  <w:b/>
                                  <w:spacing w:val="-27"/>
                                  <w:w w:val="105"/>
                                  <w:sz w:val="24"/>
                                </w:rPr>
                                <w:t xml:space="preserve"> </w:t>
                              </w:r>
                              <w:r>
                                <w:rPr>
                                  <w:rFonts w:ascii="Arial"/>
                                  <w:b/>
                                  <w:w w:val="105"/>
                                  <w:sz w:val="24"/>
                                </w:rPr>
                                <w:t>Disorder</w:t>
                              </w:r>
                            </w:p>
                            <w:p w:rsidR="00E675F0" w:rsidRDefault="00E675F0" w:rsidP="003048D3">
                              <w:pPr>
                                <w:numPr>
                                  <w:ilvl w:val="1"/>
                                  <w:numId w:val="112"/>
                                </w:numPr>
                                <w:tabs>
                                  <w:tab w:val="left" w:pos="926"/>
                                </w:tabs>
                                <w:spacing w:before="82" w:line="256" w:lineRule="auto"/>
                                <w:ind w:right="250" w:hanging="308"/>
                                <w:jc w:val="both"/>
                                <w:rPr>
                                  <w:sz w:val="20"/>
                                </w:rPr>
                              </w:pPr>
                              <w:r>
                                <w:rPr>
                                  <w:w w:val="105"/>
                                  <w:sz w:val="20"/>
                                </w:rPr>
                                <w:t>Reading achievement, as measured by individually administered stan­ dardized tests of reading accuracy or comprehension, is substantially below that expected given the person's chronological age, measured intelligence, and age-appropriate</w:t>
                              </w:r>
                              <w:r>
                                <w:rPr>
                                  <w:spacing w:val="31"/>
                                  <w:w w:val="105"/>
                                  <w:sz w:val="20"/>
                                </w:rPr>
                                <w:t xml:space="preserve"> </w:t>
                              </w:r>
                              <w:r>
                                <w:rPr>
                                  <w:w w:val="105"/>
                                  <w:sz w:val="20"/>
                                </w:rPr>
                                <w:t>education.</w:t>
                              </w:r>
                            </w:p>
                            <w:p w:rsidR="00E675F0" w:rsidRDefault="00E675F0" w:rsidP="003048D3">
                              <w:pPr>
                                <w:numPr>
                                  <w:ilvl w:val="1"/>
                                  <w:numId w:val="112"/>
                                </w:numPr>
                                <w:tabs>
                                  <w:tab w:val="left" w:pos="918"/>
                                </w:tabs>
                                <w:spacing w:before="174" w:line="256" w:lineRule="auto"/>
                                <w:ind w:left="926" w:right="253" w:hanging="305"/>
                                <w:jc w:val="both"/>
                                <w:rPr>
                                  <w:sz w:val="20"/>
                                </w:rPr>
                              </w:pPr>
                              <w:r>
                                <w:rPr>
                                  <w:sz w:val="20"/>
                                </w:rPr>
                                <w:t>The disturbance in Criterion A significantly interferes with academic achievement or activities of daily living that require reading</w:t>
                              </w:r>
                              <w:r>
                                <w:rPr>
                                  <w:spacing w:val="4"/>
                                  <w:sz w:val="20"/>
                                </w:rPr>
                                <w:t xml:space="preserve"> </w:t>
                              </w:r>
                              <w:r>
                                <w:rPr>
                                  <w:sz w:val="20"/>
                                </w:rPr>
                                <w:t>skills.</w:t>
                              </w:r>
                            </w:p>
                            <w:p w:rsidR="00E675F0" w:rsidRDefault="00E675F0" w:rsidP="003048D3">
                              <w:pPr>
                                <w:numPr>
                                  <w:ilvl w:val="1"/>
                                  <w:numId w:val="112"/>
                                </w:numPr>
                                <w:tabs>
                                  <w:tab w:val="left" w:pos="911"/>
                                </w:tabs>
                                <w:spacing w:before="181" w:line="256" w:lineRule="auto"/>
                                <w:ind w:left="926" w:right="253" w:hanging="309"/>
                                <w:jc w:val="both"/>
                                <w:rPr>
                                  <w:sz w:val="20"/>
                                </w:rPr>
                              </w:pPr>
                              <w:r>
                                <w:rPr>
                                  <w:rFonts w:ascii="Arial"/>
                                  <w:w w:val="105"/>
                                  <w:sz w:val="19"/>
                                </w:rPr>
                                <w:t xml:space="preserve">If </w:t>
                              </w:r>
                              <w:r>
                                <w:rPr>
                                  <w:w w:val="105"/>
                                  <w:sz w:val="20"/>
                                </w:rPr>
                                <w:t>a sensory deficit is present, the reading difficulties are in excess of those usually associated with</w:t>
                              </w:r>
                              <w:r>
                                <w:rPr>
                                  <w:spacing w:val="12"/>
                                  <w:w w:val="105"/>
                                  <w:sz w:val="20"/>
                                </w:rPr>
                                <w:t xml:space="preserve"> </w:t>
                              </w:r>
                              <w:r>
                                <w:rPr>
                                  <w:w w:val="105"/>
                                  <w:sz w:val="20"/>
                                </w:rPr>
                                <w:t>it.</w:t>
                              </w:r>
                            </w:p>
                            <w:p w:rsidR="00E675F0" w:rsidRDefault="00E675F0" w:rsidP="00E675F0">
                              <w:pPr>
                                <w:spacing w:before="108" w:line="247" w:lineRule="auto"/>
                                <w:ind w:left="619" w:right="312" w:hanging="7"/>
                                <w:rPr>
                                  <w:sz w:val="18"/>
                                </w:rPr>
                              </w:pPr>
                              <w:r>
                                <w:rPr>
                                  <w:b/>
                                  <w:w w:val="105"/>
                                  <w:sz w:val="18"/>
                                </w:rPr>
                                <w:t xml:space="preserve">Coding note: </w:t>
                              </w:r>
                              <w:r>
                                <w:rPr>
                                  <w:w w:val="105"/>
                                  <w:sz w:val="19"/>
                                </w:rPr>
                                <w:t xml:space="preserve">If </w:t>
                              </w:r>
                              <w:r>
                                <w:rPr>
                                  <w:w w:val="105"/>
                                  <w:sz w:val="18"/>
                                </w:rPr>
                                <w:t>a general medical (e.g., neurological) condition or sensory deficit  is present, code the condition on Axis</w:t>
                              </w:r>
                              <w:r>
                                <w:rPr>
                                  <w:spacing w:val="11"/>
                                  <w:w w:val="105"/>
                                  <w:sz w:val="18"/>
                                </w:rPr>
                                <w:t xml:space="preserve"> </w:t>
                              </w:r>
                              <w:r>
                                <w:rPr>
                                  <w:w w:val="105"/>
                                  <w:sz w:val="18"/>
                                </w:rPr>
                                <w:t>III.</w:t>
                              </w:r>
                            </w:p>
                          </w:txbxContent>
                        </wps:txbx>
                        <wps:bodyPr rot="0" vert="horz" wrap="square" lIns="0" tIns="0" rIns="0" bIns="0" anchor="t" anchorCtr="0" upright="1">
                          <a:noAutofit/>
                        </wps:bodyPr>
                      </wps:wsp>
                    </wpg:wgp>
                  </a:graphicData>
                </a:graphic>
              </wp:inline>
            </w:drawing>
          </mc:Choice>
          <mc:Fallback>
            <w:pict>
              <v:group w14:anchorId="3F0458F3" id="Group 1595" o:spid="_x0000_s1057" style="width:375.25pt;height:197.1pt;mso-position-horizontal-relative:char;mso-position-vertical-relative:line" coordsize="7505,394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">
                <v:line id="Line 1601" o:spid="_x0000_s1058" style="position:absolute;visibility:visible;mso-wrap-style:square" from="10,3942" to="10,39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" strokeweight=".16969mm">
                  <o:lock v:ext="edit" shapetype="f"/>
                </v:line>
                <v:line id="Line 1600" o:spid="_x0000_s1059" style="position:absolute;visibility:visible;mso-wrap-style:square" from="96,3865" to="96,38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" strokeweight=".67883mm">
                  <o:lock v:ext="edit" shapetype="f"/>
                </v:line>
                <v:line id="Line 1599" o:spid="_x0000_s1060" style="position:absolute;visibility:visible;mso-wrap-style:square" from="7404,3942" to="7404,39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" strokeweight=".84853mm">
                  <o:lock v:ext="edit" shapetype="f"/>
                </v:line>
                <v:line id="Line 1598" o:spid="_x0000_s1061" style="position:absolute;visibility:visible;mso-wrap-style:square" from="0,77" to="7485,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" strokeweight="1.0174mm">
                  <o:lock v:ext="edit" shapetype="f"/>
                </v:line>
                <v:line id="Line 1597" o:spid="_x0000_s1062" style="position:absolute;visibility:visible;mso-wrap-style:square" from="0,3850" to="7505,38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" strokeweight=".84786mm">
                  <o:lock v:ext="edit" shapetype="f"/>
                </v:line>
                <v:shape id="Text Box 1596" o:spid="_x0000_s1063" type="#_x0000_t202" style="position:absolute;left:115;top:105;width:7264;height:37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" filled="f" stroked="f">
                  <v:path arrowok="t"/>
                  <v:textbox inset="0,0,0,0">
                    <w:txbxContent>
                      <w:p w:rsidR="00E675F0" w:rsidRDefault="00E675F0" w:rsidP="003048D3">
                        <w:pPr>
                          <w:numPr>
                            <w:ilvl w:val="0"/>
                            <w:numId w:val="112"/>
                          </w:numPr>
                          <w:tabs>
                            <w:tab w:val="left" w:pos="594"/>
                          </w:tabs>
                          <w:spacing w:line="543" w:lineRule="exact"/>
                          <w:ind w:hanging="380"/>
                          <w:rPr>
                            <w:rFonts w:ascii="Arial"/>
                            <w:b/>
                            <w:sz w:val="24"/>
                          </w:rPr>
                        </w:pPr>
                        <w:bookmarkStart w:id="33" w:name="_bookmark18"/>
                        <w:bookmarkEnd w:id="33"/>
                        <w:r>
                          <w:rPr>
                            <w:rFonts w:ascii="Arial"/>
                            <w:b/>
                            <w:w w:val="105"/>
                            <w:sz w:val="24"/>
                          </w:rPr>
                          <w:t xml:space="preserve">Diagnostic criteria for </w:t>
                        </w:r>
                        <w:r>
                          <w:rPr>
                            <w:rFonts w:ascii="Arial"/>
                            <w:b/>
                            <w:spacing w:val="11"/>
                            <w:w w:val="105"/>
                            <w:sz w:val="24"/>
                          </w:rPr>
                          <w:t xml:space="preserve">3I </w:t>
                        </w:r>
                        <w:r>
                          <w:rPr>
                            <w:rFonts w:ascii="Arial"/>
                            <w:b/>
                            <w:w w:val="105"/>
                            <w:sz w:val="24"/>
                          </w:rPr>
                          <w:t>5.00 Reading</w:t>
                        </w:r>
                        <w:r>
                          <w:rPr>
                            <w:rFonts w:ascii="Arial"/>
                            <w:b/>
                            <w:spacing w:val="-27"/>
                            <w:w w:val="105"/>
                            <w:sz w:val="24"/>
                          </w:rPr>
                          <w:t xml:space="preserve"> </w:t>
                        </w:r>
                        <w:r>
                          <w:rPr>
                            <w:rFonts w:ascii="Arial"/>
                            <w:b/>
                            <w:w w:val="105"/>
                            <w:sz w:val="24"/>
                          </w:rPr>
                          <w:t>Disorder</w:t>
                        </w:r>
                      </w:p>
                      <w:p w:rsidR="00E675F0" w:rsidRDefault="00E675F0" w:rsidP="003048D3">
                        <w:pPr>
                          <w:numPr>
                            <w:ilvl w:val="1"/>
                            <w:numId w:val="112"/>
                          </w:numPr>
                          <w:tabs>
                            <w:tab w:val="left" w:pos="926"/>
                          </w:tabs>
                          <w:spacing w:before="82" w:line="256" w:lineRule="auto"/>
                          <w:ind w:right="250" w:hanging="308"/>
                          <w:jc w:val="both"/>
                          <w:rPr>
                            <w:sz w:val="20"/>
                          </w:rPr>
                        </w:pPr>
                        <w:r>
                          <w:rPr>
                            <w:w w:val="105"/>
                            <w:sz w:val="20"/>
                          </w:rPr>
                          <w:t>Reading achievement, as measured by individually administered stan­ dardized tests of reading accuracy or comprehension, is substantially below that expected given the person's chronological age, measured intelligence, and age-appropriate</w:t>
                        </w:r>
                        <w:r>
                          <w:rPr>
                            <w:spacing w:val="31"/>
                            <w:w w:val="105"/>
                            <w:sz w:val="20"/>
                          </w:rPr>
                          <w:t xml:space="preserve"> </w:t>
                        </w:r>
                        <w:r>
                          <w:rPr>
                            <w:w w:val="105"/>
                            <w:sz w:val="20"/>
                          </w:rPr>
                          <w:t>education.</w:t>
                        </w:r>
                      </w:p>
                      <w:p w:rsidR="00E675F0" w:rsidRDefault="00E675F0" w:rsidP="003048D3">
                        <w:pPr>
                          <w:numPr>
                            <w:ilvl w:val="1"/>
                            <w:numId w:val="112"/>
                          </w:numPr>
                          <w:tabs>
                            <w:tab w:val="left" w:pos="918"/>
                          </w:tabs>
                          <w:spacing w:before="174" w:line="256" w:lineRule="auto"/>
                          <w:ind w:left="926" w:right="253" w:hanging="305"/>
                          <w:jc w:val="both"/>
                          <w:rPr>
                            <w:sz w:val="20"/>
                          </w:rPr>
                        </w:pPr>
                        <w:r>
                          <w:rPr>
                            <w:sz w:val="20"/>
                          </w:rPr>
                          <w:t>The disturbance in Criterion A significantly interferes with academic achievement or activities of daily living that require reading</w:t>
                        </w:r>
                        <w:r>
                          <w:rPr>
                            <w:spacing w:val="4"/>
                            <w:sz w:val="20"/>
                          </w:rPr>
                          <w:t xml:space="preserve"> </w:t>
                        </w:r>
                        <w:r>
                          <w:rPr>
                            <w:sz w:val="20"/>
                          </w:rPr>
                          <w:t>skills.</w:t>
                        </w:r>
                      </w:p>
                      <w:p w:rsidR="00E675F0" w:rsidRDefault="00E675F0" w:rsidP="003048D3">
                        <w:pPr>
                          <w:numPr>
                            <w:ilvl w:val="1"/>
                            <w:numId w:val="112"/>
                          </w:numPr>
                          <w:tabs>
                            <w:tab w:val="left" w:pos="911"/>
                          </w:tabs>
                          <w:spacing w:before="181" w:line="256" w:lineRule="auto"/>
                          <w:ind w:left="926" w:right="253" w:hanging="309"/>
                          <w:jc w:val="both"/>
                          <w:rPr>
                            <w:sz w:val="20"/>
                          </w:rPr>
                        </w:pPr>
                        <w:r>
                          <w:rPr>
                            <w:rFonts w:ascii="Arial"/>
                            <w:w w:val="105"/>
                            <w:sz w:val="19"/>
                          </w:rPr>
                          <w:t xml:space="preserve">If </w:t>
                        </w:r>
                        <w:r>
                          <w:rPr>
                            <w:w w:val="105"/>
                            <w:sz w:val="20"/>
                          </w:rPr>
                          <w:t>a sensory deficit is present, the reading difficulties are in excess of those usually associated with</w:t>
                        </w:r>
                        <w:r>
                          <w:rPr>
                            <w:spacing w:val="12"/>
                            <w:w w:val="105"/>
                            <w:sz w:val="20"/>
                          </w:rPr>
                          <w:t xml:space="preserve"> </w:t>
                        </w:r>
                        <w:r>
                          <w:rPr>
                            <w:w w:val="105"/>
                            <w:sz w:val="20"/>
                          </w:rPr>
                          <w:t>it.</w:t>
                        </w:r>
                      </w:p>
                      <w:p w:rsidR="00E675F0" w:rsidRDefault="00E675F0" w:rsidP="00E675F0">
                        <w:pPr>
                          <w:spacing w:before="108" w:line="247" w:lineRule="auto"/>
                          <w:ind w:left="619" w:right="312" w:hanging="7"/>
                          <w:rPr>
                            <w:sz w:val="18"/>
                          </w:rPr>
                        </w:pPr>
                        <w:r>
                          <w:rPr>
                            <w:b/>
                            <w:w w:val="105"/>
                            <w:sz w:val="18"/>
                          </w:rPr>
                          <w:t xml:space="preserve">Coding note: </w:t>
                        </w:r>
                        <w:r>
                          <w:rPr>
                            <w:w w:val="105"/>
                            <w:sz w:val="19"/>
                          </w:rPr>
                          <w:t xml:space="preserve">If </w:t>
                        </w:r>
                        <w:r>
                          <w:rPr>
                            <w:w w:val="105"/>
                            <w:sz w:val="18"/>
                          </w:rPr>
                          <w:t>a general medical (e.g., neurological) condition or sensory deficit  is present, code the condition on Axis</w:t>
                        </w:r>
                        <w:r>
                          <w:rPr>
                            <w:spacing w:val="11"/>
                            <w:w w:val="105"/>
                            <w:sz w:val="18"/>
                          </w:rPr>
                          <w:t xml:space="preserve"> </w:t>
                        </w:r>
                        <w:r>
                          <w:rPr>
                            <w:w w:val="105"/>
                            <w:sz w:val="18"/>
                          </w:rPr>
                          <w:t>III.</w:t>
                        </w:r>
                      </w:p>
                    </w:txbxContent>
                  </v:textbox>
                </v:shape>
                <w10:anchorlock/>
              </v:group>
            </w:pict>
          </mc:Fallback>
        </mc:AlternateContent>
      </w:r>
    </w:p>
    <w:p w:rsidR="00E675F0" w:rsidRDefault="00E675F0" w:rsidP="00E675F0">
      <w:pPr>
        <w:pStyle w:val="BodyText"/>
      </w:pPr>
    </w:p>
    <w:p w:rsidR="00E675F0" w:rsidRDefault="00E675F0" w:rsidP="00E675F0">
      <w:pPr>
        <w:pStyle w:val="BodyText"/>
        <w:spacing w:before="10"/>
        <w:rPr>
          <w:sz w:val="21"/>
        </w:rPr>
      </w:pPr>
    </w:p>
    <w:p w:rsidR="00E675F0" w:rsidRDefault="00E675F0" w:rsidP="003048D3">
      <w:pPr>
        <w:numPr>
          <w:ilvl w:val="1"/>
          <w:numId w:val="111"/>
        </w:numPr>
        <w:tabs>
          <w:tab w:val="left" w:pos="914"/>
          <w:tab w:val="left" w:pos="2924"/>
        </w:tabs>
        <w:ind w:hanging="2924"/>
        <w:jc w:val="left"/>
        <w:rPr>
          <w:rFonts w:ascii="Arial"/>
          <w:b/>
          <w:sz w:val="26"/>
        </w:rPr>
      </w:pPr>
      <w:r>
        <w:rPr>
          <w:rFonts w:ascii="Arial"/>
          <w:b/>
          <w:w w:val="105"/>
          <w:sz w:val="26"/>
        </w:rPr>
        <w:t>Mathematics</w:t>
      </w:r>
      <w:r>
        <w:rPr>
          <w:rFonts w:ascii="Arial"/>
          <w:b/>
          <w:spacing w:val="7"/>
          <w:w w:val="105"/>
          <w:sz w:val="26"/>
        </w:rPr>
        <w:t xml:space="preserve"> </w:t>
      </w:r>
      <w:r>
        <w:rPr>
          <w:rFonts w:ascii="Arial"/>
          <w:b/>
          <w:w w:val="105"/>
          <w:sz w:val="26"/>
        </w:rPr>
        <w:t>Disorder</w:t>
      </w:r>
    </w:p>
    <w:p w:rsidR="00E675F0" w:rsidRDefault="00E675F0" w:rsidP="00E675F0">
      <w:pPr>
        <w:pStyle w:val="BodyText"/>
        <w:spacing w:before="7"/>
        <w:rPr>
          <w:rFonts w:ascii="Arial"/>
          <w:b/>
          <w:sz w:val="24"/>
        </w:rPr>
      </w:pPr>
    </w:p>
    <w:p w:rsidR="00E675F0" w:rsidRDefault="00E675F0" w:rsidP="00E675F0">
      <w:pPr>
        <w:spacing w:before="1"/>
        <w:ind w:left="106"/>
        <w:rPr>
          <w:rFonts w:ascii="TimesNewRomanPS-BoldItalicMT"/>
          <w:b/>
          <w:i/>
          <w:sz w:val="24"/>
        </w:rPr>
      </w:pPr>
      <w:r>
        <w:rPr>
          <w:rFonts w:ascii="TimesNewRomanPS-BoldItalicMT"/>
          <w:b/>
          <w:i/>
          <w:w w:val="120"/>
          <w:sz w:val="24"/>
        </w:rPr>
        <w:t>magnostic Features</w:t>
      </w:r>
    </w:p>
    <w:p w:rsidR="00E675F0" w:rsidRDefault="00E675F0" w:rsidP="00E675F0">
      <w:pPr>
        <w:pStyle w:val="BodyText"/>
        <w:spacing w:before="126" w:line="252" w:lineRule="auto"/>
        <w:ind w:left="130" w:right="116" w:hanging="5"/>
        <w:jc w:val="both"/>
      </w:pPr>
      <w:r>
        <w:rPr>
          <w:w w:val="105"/>
        </w:rPr>
        <w:t>The essential feature of Mathematics Disorder is mathematical ability (as measured by individually administered standardized tests of mathematical calculation or reasoning) that falls substantially below that expected for the individual's chronological age, measured intelligence, and age-appropriate education (Criterion A). The disturbance in mathematics</w:t>
      </w:r>
      <w:r>
        <w:rPr>
          <w:spacing w:val="-10"/>
          <w:w w:val="105"/>
        </w:rPr>
        <w:t xml:space="preserve"> </w:t>
      </w:r>
      <w:r>
        <w:rPr>
          <w:w w:val="105"/>
        </w:rPr>
        <w:t>significantly</w:t>
      </w:r>
      <w:r>
        <w:rPr>
          <w:spacing w:val="-6"/>
          <w:w w:val="105"/>
        </w:rPr>
        <w:t xml:space="preserve"> </w:t>
      </w:r>
      <w:r>
        <w:rPr>
          <w:w w:val="105"/>
        </w:rPr>
        <w:t>interferes</w:t>
      </w:r>
      <w:r>
        <w:rPr>
          <w:spacing w:val="-12"/>
          <w:w w:val="105"/>
        </w:rPr>
        <w:t xml:space="preserve"> </w:t>
      </w:r>
      <w:r>
        <w:rPr>
          <w:w w:val="105"/>
        </w:rPr>
        <w:t>with</w:t>
      </w:r>
      <w:r>
        <w:rPr>
          <w:spacing w:val="-19"/>
          <w:w w:val="105"/>
        </w:rPr>
        <w:t xml:space="preserve"> </w:t>
      </w:r>
      <w:r>
        <w:rPr>
          <w:w w:val="105"/>
        </w:rPr>
        <w:t>academic</w:t>
      </w:r>
      <w:r>
        <w:rPr>
          <w:spacing w:val="-9"/>
          <w:w w:val="105"/>
        </w:rPr>
        <w:t xml:space="preserve"> </w:t>
      </w:r>
      <w:r>
        <w:rPr>
          <w:w w:val="105"/>
        </w:rPr>
        <w:t>achievement</w:t>
      </w:r>
      <w:r>
        <w:rPr>
          <w:spacing w:val="-8"/>
          <w:w w:val="105"/>
        </w:rPr>
        <w:t xml:space="preserve"> </w:t>
      </w:r>
      <w:r>
        <w:rPr>
          <w:w w:val="105"/>
        </w:rPr>
        <w:t>or</w:t>
      </w:r>
      <w:r>
        <w:rPr>
          <w:spacing w:val="-19"/>
          <w:w w:val="105"/>
        </w:rPr>
        <w:t xml:space="preserve"> </w:t>
      </w:r>
      <w:r>
        <w:rPr>
          <w:w w:val="105"/>
        </w:rPr>
        <w:t>with</w:t>
      </w:r>
      <w:r>
        <w:rPr>
          <w:spacing w:val="-15"/>
          <w:w w:val="105"/>
        </w:rPr>
        <w:t xml:space="preserve"> </w:t>
      </w:r>
      <w:r>
        <w:rPr>
          <w:w w:val="105"/>
        </w:rPr>
        <w:t>activities</w:t>
      </w:r>
      <w:r>
        <w:rPr>
          <w:spacing w:val="-14"/>
          <w:w w:val="105"/>
        </w:rPr>
        <w:t xml:space="preserve"> </w:t>
      </w:r>
      <w:r>
        <w:rPr>
          <w:w w:val="105"/>
        </w:rPr>
        <w:t>of</w:t>
      </w:r>
      <w:r>
        <w:rPr>
          <w:spacing w:val="-12"/>
          <w:w w:val="105"/>
        </w:rPr>
        <w:t xml:space="preserve"> </w:t>
      </w:r>
      <w:r>
        <w:rPr>
          <w:w w:val="105"/>
        </w:rPr>
        <w:t xml:space="preserve">daily living that require mathematical skills (Criterion B). </w:t>
      </w:r>
      <w:r>
        <w:rPr>
          <w:w w:val="105"/>
          <w:sz w:val="19"/>
        </w:rPr>
        <w:t xml:space="preserve">If </w:t>
      </w:r>
      <w:r>
        <w:rPr>
          <w:w w:val="105"/>
        </w:rPr>
        <w:t xml:space="preserve">a sensory deficit is present, the difficulties in mathematical ability are in excess of those usually associated with it (Criterion C). </w:t>
      </w:r>
      <w:r>
        <w:rPr>
          <w:rFonts w:ascii="Arial"/>
          <w:w w:val="105"/>
          <w:sz w:val="19"/>
        </w:rPr>
        <w:t xml:space="preserve">If </w:t>
      </w:r>
      <w:r>
        <w:rPr>
          <w:w w:val="105"/>
        </w:rPr>
        <w:t>a neurological or other general medical condition or sensory deficit is present, it should be coded on Axis III. A number of different skills may be impaired in Mathematics Disorder, including "linguistic" skills (e.g., understanding or naming mathematical terms, operations, or concepts, and decoding written problems into mathematical symbols), "perceptual" skills (e.g., recognizing or reading numerical symbols or arithmetic signs, and clustering objects into groups), "attention" skills (e.g., copying numbers or figures correctly, remembering to add in "carried" numbers, and observing operational signs), and "mathematical" skills (e.g., following sequences of mathematical steps, counting objects, and learning multiplication</w:t>
      </w:r>
      <w:r>
        <w:rPr>
          <w:spacing w:val="2"/>
          <w:w w:val="105"/>
        </w:rPr>
        <w:t xml:space="preserve"> </w:t>
      </w:r>
      <w:r>
        <w:rPr>
          <w:w w:val="105"/>
        </w:rPr>
        <w:t>tables).</w:t>
      </w:r>
    </w:p>
    <w:p w:rsidR="00E675F0" w:rsidRDefault="00E675F0" w:rsidP="00E675F0">
      <w:pPr>
        <w:pStyle w:val="BodyText"/>
        <w:spacing w:before="7"/>
        <w:rPr>
          <w:sz w:val="28"/>
        </w:rPr>
      </w:pPr>
    </w:p>
    <w:p w:rsidR="00E675F0" w:rsidRDefault="00E675F0" w:rsidP="00E675F0">
      <w:pPr>
        <w:ind w:left="117"/>
        <w:rPr>
          <w:rFonts w:ascii="TimesNewRomanPS-BoldItalicMT"/>
          <w:b/>
          <w:i/>
          <w:sz w:val="24"/>
        </w:rPr>
      </w:pPr>
      <w:r>
        <w:rPr>
          <w:rFonts w:ascii="TimesNewRomanPS-BoldItalicMT"/>
          <w:b/>
          <w:i/>
          <w:w w:val="120"/>
          <w:sz w:val="24"/>
        </w:rPr>
        <w:t>Associated Features and msorders</w:t>
      </w:r>
    </w:p>
    <w:p w:rsidR="00E675F0" w:rsidRDefault="00E675F0" w:rsidP="00E675F0">
      <w:pPr>
        <w:pStyle w:val="BodyText"/>
        <w:spacing w:before="137" w:line="254" w:lineRule="auto"/>
        <w:ind w:left="138" w:right="116" w:hanging="5"/>
        <w:jc w:val="both"/>
      </w:pPr>
      <w:r>
        <w:rPr>
          <w:w w:val="105"/>
        </w:rPr>
        <w:t>See the "Associated Features and Disorders" section for Learning Disorders (p. 47). Mathematics Disorder is commonly found in combination with Reading Disorder or Disorder of Written Expression.</w:t>
      </w:r>
    </w:p>
    <w:p w:rsidR="00E675F0" w:rsidRDefault="00E675F0" w:rsidP="00E675F0">
      <w:pPr>
        <w:pStyle w:val="BodyText"/>
        <w:spacing w:before="4"/>
        <w:rPr>
          <w:sz w:val="26"/>
        </w:rPr>
      </w:pPr>
    </w:p>
    <w:p w:rsidR="00E675F0" w:rsidRDefault="00E675F0" w:rsidP="00E675F0">
      <w:pPr>
        <w:ind w:left="125"/>
        <w:rPr>
          <w:rFonts w:ascii="TimesNewRomanPS-BoldItalicMT"/>
          <w:b/>
          <w:i/>
          <w:sz w:val="24"/>
        </w:rPr>
      </w:pPr>
      <w:r>
        <w:rPr>
          <w:rFonts w:ascii="TimesNewRomanPS-BoldItalicMT"/>
          <w:b/>
          <w:i/>
          <w:w w:val="115"/>
          <w:sz w:val="24"/>
        </w:rPr>
        <w:t>Prevalence</w:t>
      </w:r>
    </w:p>
    <w:p w:rsidR="00E675F0" w:rsidRDefault="00E675F0" w:rsidP="00E675F0">
      <w:pPr>
        <w:pStyle w:val="BodyText"/>
        <w:spacing w:before="141" w:line="256" w:lineRule="auto"/>
        <w:ind w:left="134" w:right="118" w:hanging="4"/>
        <w:jc w:val="both"/>
      </w:pPr>
      <w:r>
        <w:rPr>
          <w:w w:val="105"/>
        </w:rPr>
        <w:t>The prevalence of Mathematics Disorder is difficult to establish because many studies focus on the prevalence of Learning Disorders without careful separation into specific</w:t>
      </w:r>
    </w:p>
    <w:p w:rsidR="00E675F0" w:rsidRDefault="00E675F0" w:rsidP="00E675F0">
      <w:pPr>
        <w:spacing w:line="256" w:lineRule="auto"/>
        <w:jc w:val="both"/>
        <w:sectPr w:rsidR="00E675F0">
          <w:pgSz w:w="8960" w:h="14260"/>
          <w:pgMar w:top="1400" w:right="620" w:bottom="280" w:left="600" w:header="684" w:footer="0" w:gutter="0"/>
          <w:cols w:space="720"/>
        </w:sectPr>
      </w:pPr>
    </w:p>
    <w:p w:rsidR="00E675F0" w:rsidRDefault="00E675F0" w:rsidP="00E675F0">
      <w:pPr>
        <w:pStyle w:val="BodyText"/>
        <w:spacing w:before="110" w:line="254" w:lineRule="auto"/>
        <w:ind w:left="116" w:right="114"/>
        <w:jc w:val="both"/>
      </w:pPr>
      <w:bookmarkStart w:id="34" w:name="_bookmark19"/>
      <w:bookmarkEnd w:id="34"/>
      <w:r>
        <w:rPr>
          <w:w w:val="105"/>
        </w:rPr>
        <w:lastRenderedPageBreak/>
        <w:t>disorders</w:t>
      </w:r>
      <w:r>
        <w:rPr>
          <w:spacing w:val="-13"/>
          <w:w w:val="105"/>
        </w:rPr>
        <w:t xml:space="preserve"> </w:t>
      </w:r>
      <w:r>
        <w:rPr>
          <w:w w:val="105"/>
        </w:rPr>
        <w:t>of</w:t>
      </w:r>
      <w:r>
        <w:rPr>
          <w:spacing w:val="-2"/>
          <w:w w:val="105"/>
        </w:rPr>
        <w:t xml:space="preserve"> </w:t>
      </w:r>
      <w:r>
        <w:rPr>
          <w:w w:val="105"/>
        </w:rPr>
        <w:t>Reading,</w:t>
      </w:r>
      <w:r>
        <w:rPr>
          <w:spacing w:val="-2"/>
          <w:w w:val="105"/>
        </w:rPr>
        <w:t xml:space="preserve"> </w:t>
      </w:r>
      <w:r>
        <w:rPr>
          <w:w w:val="105"/>
        </w:rPr>
        <w:t>Mathematics,</w:t>
      </w:r>
      <w:r>
        <w:rPr>
          <w:spacing w:val="-2"/>
          <w:w w:val="105"/>
        </w:rPr>
        <w:t xml:space="preserve"> </w:t>
      </w:r>
      <w:r>
        <w:rPr>
          <w:w w:val="105"/>
        </w:rPr>
        <w:t>or</w:t>
      </w:r>
      <w:r>
        <w:rPr>
          <w:spacing w:val="-17"/>
          <w:w w:val="105"/>
        </w:rPr>
        <w:t xml:space="preserve"> </w:t>
      </w:r>
      <w:r>
        <w:rPr>
          <w:w w:val="105"/>
        </w:rPr>
        <w:t>Written</w:t>
      </w:r>
      <w:r>
        <w:rPr>
          <w:spacing w:val="-2"/>
          <w:w w:val="105"/>
        </w:rPr>
        <w:t xml:space="preserve"> </w:t>
      </w:r>
      <w:r>
        <w:rPr>
          <w:w w:val="105"/>
        </w:rPr>
        <w:t>Expression.</w:t>
      </w:r>
      <w:r>
        <w:rPr>
          <w:spacing w:val="-5"/>
          <w:w w:val="105"/>
        </w:rPr>
        <w:t xml:space="preserve"> </w:t>
      </w:r>
      <w:r>
        <w:rPr>
          <w:w w:val="105"/>
        </w:rPr>
        <w:t>The</w:t>
      </w:r>
      <w:r>
        <w:rPr>
          <w:spacing w:val="-6"/>
          <w:w w:val="105"/>
        </w:rPr>
        <w:t xml:space="preserve"> </w:t>
      </w:r>
      <w:r>
        <w:rPr>
          <w:w w:val="105"/>
        </w:rPr>
        <w:t>prevalence</w:t>
      </w:r>
      <w:r>
        <w:rPr>
          <w:spacing w:val="-2"/>
          <w:w w:val="105"/>
        </w:rPr>
        <w:t xml:space="preserve"> </w:t>
      </w:r>
      <w:r>
        <w:rPr>
          <w:w w:val="105"/>
        </w:rPr>
        <w:t>of</w:t>
      </w:r>
      <w:r>
        <w:rPr>
          <w:spacing w:val="-5"/>
          <w:w w:val="105"/>
        </w:rPr>
        <w:t xml:space="preserve"> </w:t>
      </w:r>
      <w:r>
        <w:rPr>
          <w:w w:val="105"/>
        </w:rPr>
        <w:t xml:space="preserve">Mathemat­ ics Disorder alone (i.e., when not found in association with other Learning Disorders) has been estimated at approximately one in every five cases of Learning Disorder. </w:t>
      </w:r>
      <w:r>
        <w:rPr>
          <w:w w:val="105"/>
          <w:sz w:val="18"/>
        </w:rPr>
        <w:t xml:space="preserve">It </w:t>
      </w:r>
      <w:r>
        <w:rPr>
          <w:w w:val="105"/>
        </w:rPr>
        <w:t>is estimated that 1</w:t>
      </w:r>
      <w:r>
        <w:rPr>
          <w:w w:val="105"/>
          <w:sz w:val="18"/>
        </w:rPr>
        <w:t xml:space="preserve">% </w:t>
      </w:r>
      <w:r>
        <w:rPr>
          <w:w w:val="105"/>
        </w:rPr>
        <w:t>of school-age children have Mathematics</w:t>
      </w:r>
      <w:r>
        <w:rPr>
          <w:spacing w:val="-5"/>
          <w:w w:val="105"/>
        </w:rPr>
        <w:t xml:space="preserve"> </w:t>
      </w:r>
      <w:r>
        <w:rPr>
          <w:w w:val="105"/>
        </w:rPr>
        <w:t>Disorder.</w:t>
      </w:r>
    </w:p>
    <w:p w:rsidR="00E675F0" w:rsidRDefault="00E675F0" w:rsidP="00E675F0">
      <w:pPr>
        <w:pStyle w:val="BodyText"/>
        <w:rPr>
          <w:sz w:val="22"/>
        </w:rPr>
      </w:pPr>
    </w:p>
    <w:p w:rsidR="00E675F0" w:rsidRDefault="00E675F0" w:rsidP="00E675F0">
      <w:pPr>
        <w:spacing w:before="142"/>
        <w:ind w:left="100"/>
        <w:rPr>
          <w:rFonts w:ascii="TimesNewRomanPS-BoldItalicMT"/>
          <w:b/>
          <w:i/>
          <w:sz w:val="21"/>
        </w:rPr>
      </w:pPr>
      <w:r>
        <w:rPr>
          <w:rFonts w:ascii="TimesNewRomanPS-BoldItalicMT"/>
          <w:b/>
          <w:i/>
          <w:w w:val="130"/>
          <w:sz w:val="21"/>
        </w:rPr>
        <w:t>Course</w:t>
      </w:r>
    </w:p>
    <w:p w:rsidR="00E675F0" w:rsidRDefault="00E675F0" w:rsidP="00E675F0">
      <w:pPr>
        <w:pStyle w:val="BodyText"/>
        <w:spacing w:before="129" w:line="256" w:lineRule="auto"/>
        <w:ind w:left="119" w:right="129" w:firstLine="3"/>
        <w:jc w:val="both"/>
      </w:pPr>
      <w:r>
        <w:rPr>
          <w:w w:val="105"/>
        </w:rPr>
        <w:t>Although symptoms of difficulty in mathematics (e.g., confusion in number concepts or inability to count accurately) may appear as early as kindergarten or first grade, Mathematics Disorder is seldom diagnosed before the end of first grade because sufficient</w:t>
      </w:r>
      <w:r>
        <w:rPr>
          <w:spacing w:val="-6"/>
          <w:w w:val="105"/>
        </w:rPr>
        <w:t xml:space="preserve"> </w:t>
      </w:r>
      <w:r>
        <w:rPr>
          <w:w w:val="105"/>
        </w:rPr>
        <w:t>formal</w:t>
      </w:r>
      <w:r>
        <w:rPr>
          <w:spacing w:val="-8"/>
          <w:w w:val="105"/>
        </w:rPr>
        <w:t xml:space="preserve"> </w:t>
      </w:r>
      <w:r>
        <w:rPr>
          <w:w w:val="105"/>
        </w:rPr>
        <w:t>mathematics</w:t>
      </w:r>
      <w:r>
        <w:rPr>
          <w:spacing w:val="1"/>
          <w:w w:val="105"/>
        </w:rPr>
        <w:t xml:space="preserve"> </w:t>
      </w:r>
      <w:r>
        <w:rPr>
          <w:w w:val="105"/>
        </w:rPr>
        <w:t>instruction</w:t>
      </w:r>
      <w:r>
        <w:rPr>
          <w:spacing w:val="2"/>
          <w:w w:val="105"/>
        </w:rPr>
        <w:t xml:space="preserve"> </w:t>
      </w:r>
      <w:r>
        <w:rPr>
          <w:w w:val="105"/>
        </w:rPr>
        <w:t>has</w:t>
      </w:r>
      <w:r>
        <w:rPr>
          <w:spacing w:val="-13"/>
          <w:w w:val="105"/>
        </w:rPr>
        <w:t xml:space="preserve"> </w:t>
      </w:r>
      <w:r>
        <w:rPr>
          <w:w w:val="105"/>
        </w:rPr>
        <w:t>usually</w:t>
      </w:r>
      <w:r>
        <w:rPr>
          <w:spacing w:val="-7"/>
          <w:w w:val="105"/>
        </w:rPr>
        <w:t xml:space="preserve"> </w:t>
      </w:r>
      <w:r>
        <w:rPr>
          <w:w w:val="105"/>
        </w:rPr>
        <w:t>not</w:t>
      </w:r>
      <w:r>
        <w:rPr>
          <w:spacing w:val="-11"/>
          <w:w w:val="105"/>
        </w:rPr>
        <w:t xml:space="preserve"> </w:t>
      </w:r>
      <w:r>
        <w:rPr>
          <w:w w:val="105"/>
        </w:rPr>
        <w:t>occurred</w:t>
      </w:r>
      <w:r>
        <w:rPr>
          <w:spacing w:val="-4"/>
          <w:w w:val="105"/>
        </w:rPr>
        <w:t xml:space="preserve"> </w:t>
      </w:r>
      <w:r>
        <w:rPr>
          <w:w w:val="105"/>
        </w:rPr>
        <w:t>until</w:t>
      </w:r>
      <w:r>
        <w:rPr>
          <w:spacing w:val="-11"/>
          <w:w w:val="105"/>
        </w:rPr>
        <w:t xml:space="preserve"> </w:t>
      </w:r>
      <w:r>
        <w:rPr>
          <w:w w:val="105"/>
        </w:rPr>
        <w:t>this</w:t>
      </w:r>
      <w:r>
        <w:rPr>
          <w:spacing w:val="-10"/>
          <w:w w:val="105"/>
        </w:rPr>
        <w:t xml:space="preserve"> </w:t>
      </w:r>
      <w:r>
        <w:rPr>
          <w:w w:val="105"/>
        </w:rPr>
        <w:t>point</w:t>
      </w:r>
      <w:r>
        <w:rPr>
          <w:spacing w:val="-7"/>
          <w:w w:val="105"/>
        </w:rPr>
        <w:t xml:space="preserve"> </w:t>
      </w:r>
      <w:r>
        <w:rPr>
          <w:w w:val="105"/>
        </w:rPr>
        <w:t>in</w:t>
      </w:r>
      <w:r>
        <w:rPr>
          <w:spacing w:val="-16"/>
          <w:w w:val="105"/>
        </w:rPr>
        <w:t xml:space="preserve"> </w:t>
      </w:r>
      <w:r>
        <w:rPr>
          <w:w w:val="105"/>
        </w:rPr>
        <w:t xml:space="preserve">most school settings. </w:t>
      </w:r>
      <w:r>
        <w:rPr>
          <w:w w:val="105"/>
          <w:sz w:val="18"/>
        </w:rPr>
        <w:t xml:space="preserve">It </w:t>
      </w:r>
      <w:r>
        <w:rPr>
          <w:w w:val="105"/>
        </w:rPr>
        <w:t>usually becomes apparent during second or third grade. Particularly when</w:t>
      </w:r>
      <w:r>
        <w:rPr>
          <w:spacing w:val="-2"/>
          <w:w w:val="105"/>
        </w:rPr>
        <w:t xml:space="preserve"> </w:t>
      </w:r>
      <w:r>
        <w:rPr>
          <w:w w:val="105"/>
        </w:rPr>
        <w:t>Mathematics</w:t>
      </w:r>
      <w:r>
        <w:rPr>
          <w:spacing w:val="-1"/>
          <w:w w:val="105"/>
        </w:rPr>
        <w:t xml:space="preserve"> </w:t>
      </w:r>
      <w:r>
        <w:rPr>
          <w:w w:val="105"/>
        </w:rPr>
        <w:t>Disorder</w:t>
      </w:r>
      <w:r>
        <w:rPr>
          <w:spacing w:val="-2"/>
          <w:w w:val="105"/>
        </w:rPr>
        <w:t xml:space="preserve"> </w:t>
      </w:r>
      <w:r>
        <w:rPr>
          <w:w w:val="105"/>
        </w:rPr>
        <w:t>is</w:t>
      </w:r>
      <w:r>
        <w:rPr>
          <w:spacing w:val="-15"/>
          <w:w w:val="105"/>
        </w:rPr>
        <w:t xml:space="preserve"> </w:t>
      </w:r>
      <w:r>
        <w:rPr>
          <w:w w:val="105"/>
        </w:rPr>
        <w:t>associated with</w:t>
      </w:r>
      <w:r>
        <w:rPr>
          <w:spacing w:val="-2"/>
          <w:w w:val="105"/>
        </w:rPr>
        <w:t xml:space="preserve"> </w:t>
      </w:r>
      <w:r>
        <w:rPr>
          <w:w w:val="105"/>
        </w:rPr>
        <w:t>high</w:t>
      </w:r>
      <w:r>
        <w:rPr>
          <w:spacing w:val="-6"/>
          <w:w w:val="105"/>
        </w:rPr>
        <w:t xml:space="preserve"> </w:t>
      </w:r>
      <w:r>
        <w:rPr>
          <w:w w:val="105"/>
        </w:rPr>
        <w:t>IQ,</w:t>
      </w:r>
      <w:r>
        <w:rPr>
          <w:spacing w:val="-5"/>
          <w:w w:val="105"/>
        </w:rPr>
        <w:t xml:space="preserve"> </w:t>
      </w:r>
      <w:r>
        <w:rPr>
          <w:w w:val="105"/>
        </w:rPr>
        <w:t>the</w:t>
      </w:r>
      <w:r>
        <w:rPr>
          <w:spacing w:val="-7"/>
          <w:w w:val="105"/>
        </w:rPr>
        <w:t xml:space="preserve"> </w:t>
      </w:r>
      <w:r>
        <w:rPr>
          <w:w w:val="105"/>
        </w:rPr>
        <w:t>child</w:t>
      </w:r>
      <w:r>
        <w:rPr>
          <w:spacing w:val="3"/>
          <w:w w:val="105"/>
        </w:rPr>
        <w:t xml:space="preserve"> </w:t>
      </w:r>
      <w:r>
        <w:rPr>
          <w:w w:val="105"/>
        </w:rPr>
        <w:t>may</w:t>
      </w:r>
      <w:r>
        <w:rPr>
          <w:spacing w:val="-2"/>
          <w:w w:val="105"/>
        </w:rPr>
        <w:t xml:space="preserve"> </w:t>
      </w:r>
      <w:r>
        <w:rPr>
          <w:w w:val="105"/>
        </w:rPr>
        <w:t>be</w:t>
      </w:r>
      <w:r>
        <w:rPr>
          <w:spacing w:val="-11"/>
          <w:w w:val="105"/>
        </w:rPr>
        <w:t xml:space="preserve"> </w:t>
      </w:r>
      <w:r>
        <w:rPr>
          <w:w w:val="105"/>
        </w:rPr>
        <w:t>able</w:t>
      </w:r>
      <w:r>
        <w:rPr>
          <w:spacing w:val="-8"/>
          <w:w w:val="105"/>
        </w:rPr>
        <w:t xml:space="preserve"> </w:t>
      </w:r>
      <w:r>
        <w:rPr>
          <w:w w:val="105"/>
        </w:rPr>
        <w:t>to</w:t>
      </w:r>
      <w:r>
        <w:rPr>
          <w:spacing w:val="-14"/>
          <w:w w:val="105"/>
        </w:rPr>
        <w:t xml:space="preserve"> </w:t>
      </w:r>
      <w:r>
        <w:rPr>
          <w:w w:val="105"/>
        </w:rPr>
        <w:t>function at or near grade level in the early grades, and Mathematics Disorder may not be apparent until the fifth grade or</w:t>
      </w:r>
      <w:r>
        <w:rPr>
          <w:spacing w:val="38"/>
          <w:w w:val="105"/>
        </w:rPr>
        <w:t xml:space="preserve"> </w:t>
      </w:r>
      <w:r>
        <w:rPr>
          <w:w w:val="105"/>
        </w:rPr>
        <w:t>later.</w:t>
      </w:r>
    </w:p>
    <w:p w:rsidR="00E675F0" w:rsidRDefault="00E675F0" w:rsidP="00E675F0">
      <w:pPr>
        <w:pStyle w:val="BodyText"/>
        <w:rPr>
          <w:sz w:val="22"/>
        </w:rPr>
      </w:pPr>
    </w:p>
    <w:p w:rsidR="00E675F0" w:rsidRDefault="00E675F0" w:rsidP="00E675F0">
      <w:pPr>
        <w:spacing w:before="139"/>
        <w:ind w:left="112"/>
        <w:rPr>
          <w:rFonts w:ascii="TimesNewRomanPS-BoldItalicMT"/>
          <w:b/>
          <w:i/>
          <w:sz w:val="21"/>
        </w:rPr>
      </w:pPr>
      <w:r>
        <w:rPr>
          <w:rFonts w:ascii="TimesNewRomanPS-BoldItalicMT"/>
          <w:b/>
          <w:i/>
          <w:w w:val="120"/>
          <w:sz w:val="21"/>
        </w:rPr>
        <w:t>Di-.[ferential Di-agnosis</w:t>
      </w:r>
    </w:p>
    <w:p w:rsidR="00E675F0" w:rsidRDefault="00E675F0" w:rsidP="00E675F0">
      <w:pPr>
        <w:pStyle w:val="BodyText"/>
        <w:spacing w:before="123"/>
        <w:ind w:left="121"/>
        <w:jc w:val="both"/>
      </w:pPr>
      <w:r>
        <w:rPr>
          <w:w w:val="105"/>
        </w:rPr>
        <w:t>See the "Differential Diagnosis" section for Learning Disorders (p. 47).</w:t>
      </w:r>
    </w:p>
    <w:p w:rsidR="00E675F0" w:rsidRDefault="00E675F0" w:rsidP="00E675F0">
      <w:pPr>
        <w:pStyle w:val="BodyText"/>
      </w:pPr>
    </w:p>
    <w:p w:rsidR="00E675F0" w:rsidRDefault="00E675F0" w:rsidP="00E675F0">
      <w:pPr>
        <w:pStyle w:val="BodyText"/>
      </w:pPr>
    </w:p>
    <w:p w:rsidR="00E675F0" w:rsidRDefault="00E675F0" w:rsidP="00E675F0">
      <w:pPr>
        <w:pStyle w:val="BodyText"/>
        <w:spacing w:before="4"/>
        <w:rPr>
          <w:sz w:val="14"/>
        </w:rPr>
      </w:pPr>
    </w:p>
    <w:tbl>
      <w:tblPr>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31"/>
      </w:tblGrid>
      <w:tr w:rsidR="00E675F0" w:rsidTr="00A330E1">
        <w:trPr>
          <w:trHeight w:val="3767"/>
        </w:trPr>
        <w:tc>
          <w:tcPr>
            <w:tcW w:w="7331" w:type="dxa"/>
            <w:tcBorders>
              <w:left w:val="single" w:sz="24" w:space="0" w:color="000000"/>
              <w:bottom w:val="single" w:sz="24" w:space="0" w:color="000000"/>
              <w:right w:val="single" w:sz="24" w:space="0" w:color="000000"/>
            </w:tcBorders>
          </w:tcPr>
          <w:p w:rsidR="00E675F0" w:rsidRDefault="00E675F0" w:rsidP="003048D3">
            <w:pPr>
              <w:pStyle w:val="TableParagraph"/>
              <w:numPr>
                <w:ilvl w:val="0"/>
                <w:numId w:val="110"/>
              </w:numPr>
              <w:tabs>
                <w:tab w:val="left" w:pos="629"/>
              </w:tabs>
              <w:spacing w:before="64"/>
              <w:ind w:hanging="375"/>
              <w:rPr>
                <w:rFonts w:ascii="Arial" w:hAnsi="Arial"/>
                <w:b/>
                <w:sz w:val="24"/>
              </w:rPr>
            </w:pPr>
            <w:r>
              <w:rPr>
                <w:rFonts w:ascii="Arial" w:hAnsi="Arial"/>
                <w:b/>
                <w:w w:val="105"/>
                <w:sz w:val="24"/>
              </w:rPr>
              <w:t xml:space="preserve">Diagnostic criteria for </w:t>
            </w:r>
            <w:r>
              <w:rPr>
                <w:rFonts w:ascii="Arial" w:hAnsi="Arial"/>
                <w:b/>
                <w:spacing w:val="9"/>
                <w:w w:val="105"/>
                <w:sz w:val="24"/>
              </w:rPr>
              <w:t xml:space="preserve">3I </w:t>
            </w:r>
            <w:r>
              <w:rPr>
                <w:rFonts w:ascii="Arial" w:hAnsi="Arial"/>
                <w:b/>
                <w:spacing w:val="3"/>
                <w:w w:val="105"/>
                <w:sz w:val="24"/>
              </w:rPr>
              <w:t xml:space="preserve">5.I </w:t>
            </w:r>
            <w:r>
              <w:rPr>
                <w:rFonts w:ascii="Arial" w:hAnsi="Arial"/>
                <w:b/>
                <w:w w:val="105"/>
                <w:sz w:val="24"/>
              </w:rPr>
              <w:t>Mathematics</w:t>
            </w:r>
            <w:r>
              <w:rPr>
                <w:rFonts w:ascii="Arial" w:hAnsi="Arial"/>
                <w:b/>
                <w:spacing w:val="19"/>
                <w:w w:val="105"/>
                <w:sz w:val="24"/>
              </w:rPr>
              <w:t xml:space="preserve"> </w:t>
            </w:r>
            <w:r>
              <w:rPr>
                <w:rFonts w:ascii="Arial" w:hAnsi="Arial"/>
                <w:b/>
                <w:w w:val="105"/>
                <w:sz w:val="24"/>
              </w:rPr>
              <w:t>Disorder</w:t>
            </w:r>
          </w:p>
          <w:p w:rsidR="00E675F0" w:rsidRDefault="00E675F0" w:rsidP="003048D3">
            <w:pPr>
              <w:pStyle w:val="TableParagraph"/>
              <w:numPr>
                <w:ilvl w:val="1"/>
                <w:numId w:val="110"/>
              </w:numPr>
              <w:tabs>
                <w:tab w:val="left" w:pos="956"/>
              </w:tabs>
              <w:spacing w:before="89" w:line="256" w:lineRule="auto"/>
              <w:ind w:right="226" w:hanging="308"/>
              <w:jc w:val="both"/>
              <w:rPr>
                <w:sz w:val="18"/>
              </w:rPr>
            </w:pPr>
            <w:r>
              <w:rPr>
                <w:w w:val="105"/>
                <w:sz w:val="20"/>
              </w:rPr>
              <w:t>Mathematical ability, as measured by individually administered stan­ dardized tests, is substantially below that expected given the person's chronological age, measured intelligence, and age-appropriate edu­ cation.</w:t>
            </w:r>
          </w:p>
          <w:p w:rsidR="00E675F0" w:rsidRDefault="00E675F0" w:rsidP="003048D3">
            <w:pPr>
              <w:pStyle w:val="TableParagraph"/>
              <w:numPr>
                <w:ilvl w:val="1"/>
                <w:numId w:val="110"/>
              </w:numPr>
              <w:tabs>
                <w:tab w:val="left" w:pos="953"/>
              </w:tabs>
              <w:spacing w:before="179" w:line="244" w:lineRule="auto"/>
              <w:ind w:left="961" w:right="225" w:hanging="300"/>
              <w:jc w:val="both"/>
              <w:rPr>
                <w:sz w:val="20"/>
              </w:rPr>
            </w:pPr>
            <w:r>
              <w:rPr>
                <w:w w:val="105"/>
                <w:sz w:val="20"/>
              </w:rPr>
              <w:t>The disturbance in Criterion A significantly interferes with academic achievement</w:t>
            </w:r>
            <w:r>
              <w:rPr>
                <w:spacing w:val="-13"/>
                <w:w w:val="105"/>
                <w:sz w:val="20"/>
              </w:rPr>
              <w:t xml:space="preserve"> </w:t>
            </w:r>
            <w:r>
              <w:rPr>
                <w:w w:val="105"/>
                <w:sz w:val="20"/>
              </w:rPr>
              <w:t>or</w:t>
            </w:r>
            <w:r>
              <w:rPr>
                <w:spacing w:val="-16"/>
                <w:w w:val="105"/>
                <w:sz w:val="20"/>
              </w:rPr>
              <w:t xml:space="preserve"> </w:t>
            </w:r>
            <w:r>
              <w:rPr>
                <w:w w:val="105"/>
                <w:sz w:val="20"/>
              </w:rPr>
              <w:t>activities</w:t>
            </w:r>
            <w:r>
              <w:rPr>
                <w:spacing w:val="-15"/>
                <w:w w:val="105"/>
                <w:sz w:val="20"/>
              </w:rPr>
              <w:t xml:space="preserve"> </w:t>
            </w:r>
            <w:r>
              <w:rPr>
                <w:w w:val="105"/>
                <w:sz w:val="20"/>
              </w:rPr>
              <w:t>of</w:t>
            </w:r>
            <w:r>
              <w:rPr>
                <w:spacing w:val="-15"/>
                <w:w w:val="105"/>
                <w:sz w:val="20"/>
              </w:rPr>
              <w:t xml:space="preserve"> </w:t>
            </w:r>
            <w:r>
              <w:rPr>
                <w:w w:val="105"/>
                <w:sz w:val="20"/>
              </w:rPr>
              <w:t>daily</w:t>
            </w:r>
            <w:r>
              <w:rPr>
                <w:spacing w:val="-16"/>
                <w:w w:val="105"/>
                <w:sz w:val="20"/>
              </w:rPr>
              <w:t xml:space="preserve"> </w:t>
            </w:r>
            <w:r>
              <w:rPr>
                <w:w w:val="105"/>
                <w:sz w:val="20"/>
              </w:rPr>
              <w:t>living</w:t>
            </w:r>
            <w:r>
              <w:rPr>
                <w:spacing w:val="-17"/>
                <w:w w:val="105"/>
                <w:sz w:val="20"/>
              </w:rPr>
              <w:t xml:space="preserve"> </w:t>
            </w:r>
            <w:r>
              <w:rPr>
                <w:w w:val="105"/>
                <w:sz w:val="20"/>
              </w:rPr>
              <w:t>that</w:t>
            </w:r>
            <w:r>
              <w:rPr>
                <w:spacing w:val="-17"/>
                <w:w w:val="105"/>
                <w:sz w:val="20"/>
              </w:rPr>
              <w:t xml:space="preserve"> </w:t>
            </w:r>
            <w:r>
              <w:rPr>
                <w:w w:val="105"/>
                <w:sz w:val="20"/>
              </w:rPr>
              <w:t>require</w:t>
            </w:r>
            <w:r>
              <w:rPr>
                <w:spacing w:val="-13"/>
                <w:w w:val="105"/>
                <w:sz w:val="20"/>
              </w:rPr>
              <w:t xml:space="preserve"> </w:t>
            </w:r>
            <w:r>
              <w:rPr>
                <w:w w:val="105"/>
                <w:sz w:val="20"/>
              </w:rPr>
              <w:t>mathematical</w:t>
            </w:r>
            <w:r>
              <w:rPr>
                <w:spacing w:val="-10"/>
                <w:w w:val="105"/>
                <w:sz w:val="20"/>
              </w:rPr>
              <w:t xml:space="preserve"> </w:t>
            </w:r>
            <w:r>
              <w:rPr>
                <w:w w:val="105"/>
                <w:sz w:val="20"/>
              </w:rPr>
              <w:t>ability.</w:t>
            </w:r>
          </w:p>
          <w:p w:rsidR="00E675F0" w:rsidRDefault="00E675F0" w:rsidP="003048D3">
            <w:pPr>
              <w:pStyle w:val="TableParagraph"/>
              <w:numPr>
                <w:ilvl w:val="1"/>
                <w:numId w:val="110"/>
              </w:numPr>
              <w:tabs>
                <w:tab w:val="left" w:pos="959"/>
              </w:tabs>
              <w:spacing w:before="180" w:line="252" w:lineRule="auto"/>
              <w:ind w:left="957" w:right="218" w:hanging="306"/>
              <w:jc w:val="both"/>
              <w:rPr>
                <w:rFonts w:ascii="Arial"/>
                <w:sz w:val="16"/>
              </w:rPr>
            </w:pPr>
            <w:r>
              <w:rPr>
                <w:w w:val="105"/>
                <w:sz w:val="19"/>
              </w:rPr>
              <w:t xml:space="preserve">If </w:t>
            </w:r>
            <w:r>
              <w:rPr>
                <w:w w:val="105"/>
                <w:sz w:val="20"/>
              </w:rPr>
              <w:t>a sensory deficit is present, the difficulties in mathematical ability are in excess of those usually associated with</w:t>
            </w:r>
            <w:r>
              <w:rPr>
                <w:spacing w:val="5"/>
                <w:w w:val="105"/>
                <w:sz w:val="20"/>
              </w:rPr>
              <w:t xml:space="preserve"> </w:t>
            </w:r>
            <w:r>
              <w:rPr>
                <w:w w:val="105"/>
                <w:sz w:val="20"/>
              </w:rPr>
              <w:t>it.</w:t>
            </w:r>
          </w:p>
          <w:p w:rsidR="00E675F0" w:rsidRDefault="00E675F0" w:rsidP="00A330E1">
            <w:pPr>
              <w:pStyle w:val="TableParagraph"/>
              <w:spacing w:before="117" w:line="256" w:lineRule="auto"/>
              <w:ind w:left="660" w:right="296" w:hanging="12"/>
              <w:rPr>
                <w:sz w:val="17"/>
              </w:rPr>
            </w:pPr>
            <w:r>
              <w:rPr>
                <w:b/>
                <w:w w:val="110"/>
                <w:sz w:val="18"/>
              </w:rPr>
              <w:t xml:space="preserve">Coding note: </w:t>
            </w:r>
            <w:r>
              <w:rPr>
                <w:w w:val="110"/>
                <w:sz w:val="17"/>
              </w:rPr>
              <w:t>If a general medical (e.g., neurological) condition or sensory deficit  is present, code the condition on Axis</w:t>
            </w:r>
            <w:r>
              <w:rPr>
                <w:spacing w:val="-22"/>
                <w:w w:val="110"/>
                <w:sz w:val="17"/>
              </w:rPr>
              <w:t xml:space="preserve"> </w:t>
            </w:r>
            <w:r>
              <w:rPr>
                <w:w w:val="110"/>
                <w:sz w:val="17"/>
              </w:rPr>
              <w:t>III.</w:t>
            </w:r>
          </w:p>
        </w:tc>
      </w:tr>
    </w:tbl>
    <w:p w:rsidR="00E675F0" w:rsidRDefault="00E675F0" w:rsidP="00E675F0">
      <w:pPr>
        <w:pStyle w:val="BodyText"/>
      </w:pPr>
    </w:p>
    <w:p w:rsidR="00E675F0" w:rsidRDefault="00E675F0" w:rsidP="00E675F0">
      <w:pPr>
        <w:pStyle w:val="BodyText"/>
        <w:spacing w:before="6"/>
        <w:rPr>
          <w:sz w:val="24"/>
        </w:rPr>
      </w:pPr>
    </w:p>
    <w:p w:rsidR="00E675F0" w:rsidRDefault="00E675F0" w:rsidP="003048D3">
      <w:pPr>
        <w:numPr>
          <w:ilvl w:val="1"/>
          <w:numId w:val="111"/>
        </w:numPr>
        <w:tabs>
          <w:tab w:val="left" w:pos="924"/>
          <w:tab w:val="left" w:pos="2386"/>
        </w:tabs>
        <w:spacing w:before="92"/>
        <w:ind w:left="2385" w:hanging="2376"/>
        <w:jc w:val="left"/>
        <w:rPr>
          <w:rFonts w:ascii="Arial"/>
          <w:b/>
          <w:sz w:val="26"/>
        </w:rPr>
      </w:pPr>
      <w:r>
        <w:rPr>
          <w:noProof/>
        </w:rPr>
        <mc:AlternateContent>
          <mc:Choice Requires="wpg">
            <w:drawing>
              <wp:anchor distT="0" distB="0" distL="114300" distR="114300" simplePos="0" relativeHeight="251752448" behindDoc="1" locked="0" layoutInCell="1" allowOverlap="1" wp14:anchorId="248F8FA4" wp14:editId="3286437F">
                <wp:simplePos x="0" y="0"/>
                <wp:positionH relativeFrom="page">
                  <wp:posOffset>450850</wp:posOffset>
                </wp:positionH>
                <wp:positionV relativeFrom="paragraph">
                  <wp:posOffset>-2762885</wp:posOffset>
                </wp:positionV>
                <wp:extent cx="4765675" cy="2479040"/>
                <wp:effectExtent l="0" t="0" r="22225" b="0"/>
                <wp:wrapNone/>
                <wp:docPr id="1635" name="Group 1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5675" cy="2479040"/>
                          <a:chOff x="710" y="-4351"/>
                          <a:chExt cx="7505" cy="3904"/>
                        </a:xfrm>
                      </wpg:grpSpPr>
                      <wps:wsp>
                        <wps:cNvPr id="1636" name="Line 1594"/>
                        <wps:cNvCnPr>
                          <a:cxnSpLocks/>
                        </wps:cNvCnPr>
                        <wps:spPr bwMode="auto">
                          <a:xfrm>
                            <a:off x="792" y="-448"/>
                            <a:ext cx="0" cy="0"/>
                          </a:xfrm>
                          <a:prstGeom prst="line">
                            <a:avLst/>
                          </a:prstGeom>
                          <a:noFill/>
                          <a:ln w="3360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7" name="Line 1593"/>
                        <wps:cNvCnPr>
                          <a:cxnSpLocks/>
                        </wps:cNvCnPr>
                        <wps:spPr bwMode="auto">
                          <a:xfrm>
                            <a:off x="8123" y="-448"/>
                            <a:ext cx="0" cy="0"/>
                          </a:xfrm>
                          <a:prstGeom prst="line">
                            <a:avLst/>
                          </a:prstGeom>
                          <a:noFill/>
                          <a:ln w="305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8" name="Line 1592"/>
                        <wps:cNvCnPr>
                          <a:cxnSpLocks/>
                        </wps:cNvCnPr>
                        <wps:spPr bwMode="auto">
                          <a:xfrm>
                            <a:off x="710" y="-539"/>
                            <a:ext cx="7504" cy="0"/>
                          </a:xfrm>
                          <a:prstGeom prst="line">
                            <a:avLst/>
                          </a:prstGeom>
                          <a:noFill/>
                          <a:ln w="335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CF41B2" id="Group 1591" o:spid="_x0000_s1026" style="position:absolute;margin-left:35.5pt;margin-top:-217.55pt;width:375.25pt;height:195.2pt;z-index:-251564032;mso-position-horizontal-relative:page" coordorigin="710,-4351" coordsize="7505,39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">
                <v:line id="Line 1594" o:spid="_x0000_s1027" style="position:absolute;visibility:visible;mso-wrap-style:square" from="792,-448" to="792,-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" strokeweight=".93339mm">
                  <o:lock v:ext="edit" shapetype="f"/>
                </v:line>
                <v:line id="Line 1593" o:spid="_x0000_s1028" style="position:absolute;visibility:visible;mso-wrap-style:square" from="8123,-448" to="8123,-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" strokeweight=".84856mm">
                  <o:lock v:ext="edit" shapetype="f"/>
                </v:line>
                <v:line id="Line 1592" o:spid="_x0000_s1029" style="position:absolute;visibility:visible;mso-wrap-style:square" from="710,-539" to="8214,-5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" strokeweight=".93264mm">
                  <o:lock v:ext="edit" shapetype="f"/>
                </v:line>
                <w10:wrap anchorx="page"/>
              </v:group>
            </w:pict>
          </mc:Fallback>
        </mc:AlternateContent>
      </w:r>
      <w:r>
        <w:rPr>
          <w:rFonts w:ascii="Arial"/>
          <w:b/>
          <w:sz w:val="26"/>
        </w:rPr>
        <w:t>Disorder of Written</w:t>
      </w:r>
      <w:r>
        <w:rPr>
          <w:rFonts w:ascii="Arial"/>
          <w:b/>
          <w:spacing w:val="26"/>
          <w:sz w:val="26"/>
        </w:rPr>
        <w:t xml:space="preserve"> </w:t>
      </w:r>
      <w:r>
        <w:rPr>
          <w:rFonts w:ascii="Arial"/>
          <w:b/>
          <w:sz w:val="26"/>
        </w:rPr>
        <w:t>Expression</w:t>
      </w:r>
    </w:p>
    <w:p w:rsidR="00E675F0" w:rsidRDefault="00E675F0" w:rsidP="00E675F0">
      <w:pPr>
        <w:pStyle w:val="BodyText"/>
        <w:spacing w:before="5"/>
        <w:rPr>
          <w:rFonts w:ascii="Arial"/>
          <w:b/>
          <w:sz w:val="25"/>
        </w:rPr>
      </w:pPr>
    </w:p>
    <w:p w:rsidR="00E675F0" w:rsidRDefault="00E675F0" w:rsidP="00E675F0">
      <w:pPr>
        <w:ind w:left="117"/>
        <w:jc w:val="both"/>
        <w:rPr>
          <w:rFonts w:ascii="TimesNewRomanPS-BoldItalicMT"/>
          <w:b/>
          <w:i/>
          <w:sz w:val="21"/>
        </w:rPr>
      </w:pPr>
      <w:r>
        <w:rPr>
          <w:rFonts w:ascii="TimesNewRomanPS-BoldItalicMT"/>
          <w:b/>
          <w:i/>
          <w:w w:val="125"/>
          <w:sz w:val="21"/>
        </w:rPr>
        <w:t>Di-agnostic Features</w:t>
      </w:r>
    </w:p>
    <w:p w:rsidR="00E675F0" w:rsidRDefault="00E675F0" w:rsidP="00E675F0">
      <w:pPr>
        <w:pStyle w:val="BodyText"/>
        <w:spacing w:before="133" w:line="256" w:lineRule="auto"/>
        <w:ind w:left="131" w:right="108" w:hanging="4"/>
        <w:jc w:val="both"/>
      </w:pPr>
      <w:r>
        <w:rPr>
          <w:w w:val="105"/>
        </w:rPr>
        <w:t>The essential feature of Disorder of Written Expression is writing skills (as measured by an individually administered standardized test or functional assessment of writing skills) that fall substantially below those expected given the individual's chronological age, measured intelligence, and age-appropriate education (Criterion A). The disturbance in written expression significantly interferes with academic achievement or with activities</w:t>
      </w:r>
    </w:p>
    <w:p w:rsidR="00E675F0" w:rsidRDefault="00E675F0" w:rsidP="00E675F0">
      <w:pPr>
        <w:spacing w:line="256" w:lineRule="auto"/>
        <w:jc w:val="both"/>
        <w:sectPr w:rsidR="00E675F0">
          <w:headerReference w:type="even" r:id="rId63"/>
          <w:headerReference w:type="default" r:id="rId64"/>
          <w:pgSz w:w="8960" w:h="14260"/>
          <w:pgMar w:top="1400" w:right="640" w:bottom="280" w:left="600" w:header="675" w:footer="0" w:gutter="0"/>
          <w:cols w:space="720"/>
        </w:sectPr>
      </w:pPr>
    </w:p>
    <w:p w:rsidR="00E675F0" w:rsidRDefault="00E675F0" w:rsidP="00E675F0">
      <w:pPr>
        <w:pStyle w:val="BodyText"/>
        <w:spacing w:before="131" w:line="254" w:lineRule="auto"/>
        <w:ind w:left="110" w:right="104" w:firstLine="20"/>
        <w:jc w:val="both"/>
      </w:pPr>
      <w:r>
        <w:rPr>
          <w:w w:val="105"/>
        </w:rPr>
        <w:lastRenderedPageBreak/>
        <w:t xml:space="preserve">of daily living that require writing skills (Criterion B). </w:t>
      </w:r>
      <w:r>
        <w:rPr>
          <w:rFonts w:ascii="Arial"/>
          <w:w w:val="105"/>
          <w:sz w:val="19"/>
        </w:rPr>
        <w:t xml:space="preserve">If </w:t>
      </w:r>
      <w:r>
        <w:rPr>
          <w:w w:val="105"/>
        </w:rPr>
        <w:t xml:space="preserve">a sensory deficit is present, the difficulties in writing skills are in excess of those usually associated with it (Criterion C). </w:t>
      </w:r>
      <w:r>
        <w:rPr>
          <w:rFonts w:ascii="Arial"/>
          <w:w w:val="105"/>
          <w:sz w:val="19"/>
        </w:rPr>
        <w:t xml:space="preserve">If </w:t>
      </w:r>
      <w:r>
        <w:rPr>
          <w:w w:val="105"/>
        </w:rPr>
        <w:t>a neurological or other general medical condition or sensory deficit is present, it should be coded on Axis III. There is generally a combination of difficulties in the individual's ability to compose written texts evidenced by grammatical or punctuation errors within sentences, poor paragraph organization, multiple spelling errors, and excessively poor handwriting. This diagnosis is generally not given if there are only spelling errors or poor handwriting in the absence of other impairment in written expression. Compared with other Learning Disorders, relatively less is known about Disorders of Written Expression</w:t>
      </w:r>
      <w:r>
        <w:rPr>
          <w:spacing w:val="-10"/>
          <w:w w:val="105"/>
        </w:rPr>
        <w:t xml:space="preserve"> </w:t>
      </w:r>
      <w:r>
        <w:rPr>
          <w:w w:val="105"/>
        </w:rPr>
        <w:t>and</w:t>
      </w:r>
      <w:r>
        <w:rPr>
          <w:spacing w:val="9"/>
          <w:w w:val="105"/>
        </w:rPr>
        <w:t xml:space="preserve"> </w:t>
      </w:r>
      <w:r>
        <w:rPr>
          <w:w w:val="105"/>
        </w:rPr>
        <w:t>their</w:t>
      </w:r>
      <w:r>
        <w:rPr>
          <w:spacing w:val="-13"/>
          <w:w w:val="105"/>
        </w:rPr>
        <w:t xml:space="preserve"> </w:t>
      </w:r>
      <w:r>
        <w:rPr>
          <w:w w:val="105"/>
        </w:rPr>
        <w:t>remediation,</w:t>
      </w:r>
      <w:r>
        <w:rPr>
          <w:spacing w:val="11"/>
          <w:w w:val="105"/>
        </w:rPr>
        <w:t xml:space="preserve"> </w:t>
      </w:r>
      <w:r>
        <w:rPr>
          <w:w w:val="105"/>
        </w:rPr>
        <w:t>particularly</w:t>
      </w:r>
      <w:r>
        <w:rPr>
          <w:spacing w:val="-6"/>
          <w:w w:val="105"/>
        </w:rPr>
        <w:t xml:space="preserve"> </w:t>
      </w:r>
      <w:r>
        <w:rPr>
          <w:w w:val="105"/>
        </w:rPr>
        <w:t>when</w:t>
      </w:r>
      <w:r>
        <w:rPr>
          <w:spacing w:val="-8"/>
          <w:w w:val="105"/>
        </w:rPr>
        <w:t xml:space="preserve"> </w:t>
      </w:r>
      <w:r>
        <w:rPr>
          <w:w w:val="105"/>
        </w:rPr>
        <w:t>they</w:t>
      </w:r>
      <w:r>
        <w:rPr>
          <w:spacing w:val="-16"/>
          <w:w w:val="105"/>
        </w:rPr>
        <w:t xml:space="preserve"> </w:t>
      </w:r>
      <w:r>
        <w:rPr>
          <w:w w:val="105"/>
        </w:rPr>
        <w:t>occur</w:t>
      </w:r>
      <w:r>
        <w:rPr>
          <w:spacing w:val="-10"/>
          <w:w w:val="105"/>
        </w:rPr>
        <w:t xml:space="preserve"> </w:t>
      </w:r>
      <w:r>
        <w:rPr>
          <w:w w:val="105"/>
        </w:rPr>
        <w:t>in</w:t>
      </w:r>
      <w:r>
        <w:rPr>
          <w:spacing w:val="-16"/>
          <w:w w:val="105"/>
        </w:rPr>
        <w:t xml:space="preserve"> </w:t>
      </w:r>
      <w:r>
        <w:rPr>
          <w:w w:val="105"/>
        </w:rPr>
        <w:t>the</w:t>
      </w:r>
      <w:r>
        <w:rPr>
          <w:spacing w:val="-15"/>
          <w:w w:val="105"/>
        </w:rPr>
        <w:t xml:space="preserve"> </w:t>
      </w:r>
      <w:r>
        <w:rPr>
          <w:w w:val="105"/>
        </w:rPr>
        <w:t>absence</w:t>
      </w:r>
      <w:r>
        <w:rPr>
          <w:spacing w:val="-6"/>
          <w:w w:val="105"/>
        </w:rPr>
        <w:t xml:space="preserve"> </w:t>
      </w:r>
      <w:r>
        <w:rPr>
          <w:w w:val="105"/>
        </w:rPr>
        <w:t>of</w:t>
      </w:r>
      <w:r>
        <w:rPr>
          <w:spacing w:val="-5"/>
          <w:w w:val="105"/>
        </w:rPr>
        <w:t xml:space="preserve"> </w:t>
      </w:r>
      <w:r>
        <w:rPr>
          <w:w w:val="105"/>
        </w:rPr>
        <w:t>Reading Disorder. Except for spelling, standardized tests in this area are less well developed than tests</w:t>
      </w:r>
      <w:r>
        <w:rPr>
          <w:spacing w:val="-16"/>
          <w:w w:val="105"/>
        </w:rPr>
        <w:t xml:space="preserve"> </w:t>
      </w:r>
      <w:r>
        <w:rPr>
          <w:w w:val="105"/>
        </w:rPr>
        <w:t>of</w:t>
      </w:r>
      <w:r>
        <w:rPr>
          <w:spacing w:val="-8"/>
          <w:w w:val="105"/>
        </w:rPr>
        <w:t xml:space="preserve"> </w:t>
      </w:r>
      <w:r>
        <w:rPr>
          <w:w w:val="105"/>
        </w:rPr>
        <w:t>reading</w:t>
      </w:r>
      <w:r>
        <w:rPr>
          <w:spacing w:val="-9"/>
          <w:w w:val="105"/>
        </w:rPr>
        <w:t xml:space="preserve"> </w:t>
      </w:r>
      <w:r>
        <w:rPr>
          <w:w w:val="105"/>
        </w:rPr>
        <w:t>or</w:t>
      </w:r>
      <w:r>
        <w:rPr>
          <w:spacing w:val="-6"/>
          <w:w w:val="105"/>
        </w:rPr>
        <w:t xml:space="preserve"> </w:t>
      </w:r>
      <w:r>
        <w:rPr>
          <w:w w:val="105"/>
        </w:rPr>
        <w:t>mathematical</w:t>
      </w:r>
      <w:r>
        <w:rPr>
          <w:spacing w:val="3"/>
          <w:w w:val="105"/>
        </w:rPr>
        <w:t xml:space="preserve"> </w:t>
      </w:r>
      <w:r>
        <w:rPr>
          <w:w w:val="105"/>
        </w:rPr>
        <w:t>ability,</w:t>
      </w:r>
      <w:r>
        <w:rPr>
          <w:spacing w:val="-7"/>
          <w:w w:val="105"/>
        </w:rPr>
        <w:t xml:space="preserve"> </w:t>
      </w:r>
      <w:r>
        <w:rPr>
          <w:w w:val="105"/>
        </w:rPr>
        <w:t>and</w:t>
      </w:r>
      <w:r>
        <w:rPr>
          <w:spacing w:val="-7"/>
          <w:w w:val="105"/>
        </w:rPr>
        <w:t xml:space="preserve"> </w:t>
      </w:r>
      <w:r>
        <w:rPr>
          <w:w w:val="105"/>
        </w:rPr>
        <w:t>the</w:t>
      </w:r>
      <w:r>
        <w:rPr>
          <w:spacing w:val="-15"/>
          <w:w w:val="105"/>
        </w:rPr>
        <w:t xml:space="preserve"> </w:t>
      </w:r>
      <w:r>
        <w:rPr>
          <w:w w:val="105"/>
        </w:rPr>
        <w:t>evaluation</w:t>
      </w:r>
      <w:r>
        <w:rPr>
          <w:spacing w:val="-6"/>
          <w:w w:val="105"/>
        </w:rPr>
        <w:t xml:space="preserve"> </w:t>
      </w:r>
      <w:r>
        <w:rPr>
          <w:w w:val="105"/>
        </w:rPr>
        <w:t>of</w:t>
      </w:r>
      <w:r>
        <w:rPr>
          <w:spacing w:val="-7"/>
          <w:w w:val="105"/>
        </w:rPr>
        <w:t xml:space="preserve"> </w:t>
      </w:r>
      <w:r>
        <w:rPr>
          <w:w w:val="105"/>
        </w:rPr>
        <w:t>impairment</w:t>
      </w:r>
      <w:r>
        <w:rPr>
          <w:spacing w:val="-4"/>
          <w:w w:val="105"/>
        </w:rPr>
        <w:t xml:space="preserve"> </w:t>
      </w:r>
      <w:r>
        <w:rPr>
          <w:w w:val="105"/>
        </w:rPr>
        <w:t>in</w:t>
      </w:r>
      <w:r>
        <w:rPr>
          <w:spacing w:val="-15"/>
          <w:w w:val="105"/>
        </w:rPr>
        <w:t xml:space="preserve"> </w:t>
      </w:r>
      <w:r>
        <w:rPr>
          <w:w w:val="105"/>
        </w:rPr>
        <w:t>written</w:t>
      </w:r>
      <w:r>
        <w:rPr>
          <w:spacing w:val="-9"/>
          <w:w w:val="105"/>
        </w:rPr>
        <w:t xml:space="preserve"> </w:t>
      </w:r>
      <w:r>
        <w:rPr>
          <w:w w:val="105"/>
        </w:rPr>
        <w:t>skills may require a comparison between extensive samples of the individual's written schoolwork and expected performance for age and IQ. This is especially the case for young children in the early elementary grades. Tasks in which the child is asked to copy, write to dictation, and write spontaneously may all be necessary to establish the presence and extent of this disorder.</w:t>
      </w:r>
    </w:p>
    <w:p w:rsidR="00E675F0" w:rsidRDefault="00E675F0" w:rsidP="00E675F0">
      <w:pPr>
        <w:pStyle w:val="BodyText"/>
        <w:spacing w:before="3"/>
        <w:rPr>
          <w:sz w:val="29"/>
        </w:rPr>
      </w:pPr>
    </w:p>
    <w:p w:rsidR="00E675F0" w:rsidRDefault="00E675F0" w:rsidP="00E675F0">
      <w:pPr>
        <w:ind w:left="103"/>
        <w:rPr>
          <w:rFonts w:ascii="TimesNewRomanPS-BoldItalicMT"/>
          <w:b/>
          <w:i/>
          <w:sz w:val="24"/>
        </w:rPr>
      </w:pPr>
      <w:r>
        <w:rPr>
          <w:rFonts w:ascii="TimesNewRomanPS-BoldItalicMT"/>
          <w:b/>
          <w:i/>
          <w:w w:val="115"/>
          <w:sz w:val="24"/>
        </w:rPr>
        <w:t>Associated Features and Disorders</w:t>
      </w:r>
    </w:p>
    <w:p w:rsidR="00E675F0" w:rsidRDefault="00E675F0" w:rsidP="00E675F0">
      <w:pPr>
        <w:pStyle w:val="BodyText"/>
        <w:spacing w:before="142" w:line="256" w:lineRule="auto"/>
        <w:ind w:left="124" w:right="111" w:hanging="5"/>
        <w:jc w:val="both"/>
      </w:pPr>
      <w:r>
        <w:rPr>
          <w:w w:val="105"/>
        </w:rPr>
        <w:t>See the "Associated Features and Disorders" section for Learning Disorders (p. 47). Disorder of Written Expression is commonly found in combination with Reading Disorder or Mathematics Disorder. There is some evidence that language and percep­ tual-motor deficits may accompany this disorder.</w:t>
      </w:r>
    </w:p>
    <w:p w:rsidR="00E675F0" w:rsidRDefault="00E675F0" w:rsidP="00E675F0">
      <w:pPr>
        <w:pStyle w:val="BodyText"/>
        <w:spacing w:before="3"/>
        <w:rPr>
          <w:sz w:val="27"/>
        </w:rPr>
      </w:pPr>
    </w:p>
    <w:p w:rsidR="00E675F0" w:rsidRDefault="00E675F0" w:rsidP="00E675F0">
      <w:pPr>
        <w:spacing w:before="1"/>
        <w:ind w:left="110"/>
        <w:rPr>
          <w:rFonts w:ascii="TimesNewRomanPS-BoldItalicMT"/>
          <w:b/>
          <w:i/>
          <w:sz w:val="24"/>
        </w:rPr>
      </w:pPr>
      <w:r>
        <w:rPr>
          <w:rFonts w:ascii="TimesNewRomanPS-BoldItalicMT"/>
          <w:b/>
          <w:i/>
          <w:w w:val="115"/>
          <w:sz w:val="24"/>
        </w:rPr>
        <w:t>Prevalence</w:t>
      </w:r>
    </w:p>
    <w:p w:rsidR="00E675F0" w:rsidRDefault="00E675F0" w:rsidP="00E675F0">
      <w:pPr>
        <w:pStyle w:val="BodyText"/>
        <w:spacing w:before="131" w:line="249" w:lineRule="auto"/>
        <w:ind w:left="127" w:right="103" w:hanging="6"/>
        <w:jc w:val="both"/>
      </w:pPr>
      <w:r>
        <w:rPr>
          <w:w w:val="105"/>
        </w:rPr>
        <w:t>The prevalence of Disorder of Written Expression is difficult to establish because many studies focus on the prevalence of Learning Disorders in general without careful separation into specific disorders of reading, mathematics, or written expression. Disorder</w:t>
      </w:r>
      <w:r>
        <w:rPr>
          <w:spacing w:val="-19"/>
          <w:w w:val="105"/>
        </w:rPr>
        <w:t xml:space="preserve"> </w:t>
      </w:r>
      <w:r>
        <w:rPr>
          <w:w w:val="105"/>
        </w:rPr>
        <w:t>of</w:t>
      </w:r>
      <w:r>
        <w:rPr>
          <w:spacing w:val="-17"/>
          <w:w w:val="105"/>
        </w:rPr>
        <w:t xml:space="preserve"> </w:t>
      </w:r>
      <w:r>
        <w:rPr>
          <w:w w:val="105"/>
        </w:rPr>
        <w:t>Written</w:t>
      </w:r>
      <w:r>
        <w:rPr>
          <w:spacing w:val="-16"/>
          <w:w w:val="105"/>
        </w:rPr>
        <w:t xml:space="preserve"> </w:t>
      </w:r>
      <w:r>
        <w:rPr>
          <w:w w:val="105"/>
        </w:rPr>
        <w:t>Expression</w:t>
      </w:r>
      <w:r>
        <w:rPr>
          <w:spacing w:val="-10"/>
          <w:w w:val="105"/>
        </w:rPr>
        <w:t xml:space="preserve"> </w:t>
      </w:r>
      <w:r>
        <w:rPr>
          <w:w w:val="105"/>
        </w:rPr>
        <w:t>is</w:t>
      </w:r>
      <w:r>
        <w:rPr>
          <w:spacing w:val="-21"/>
          <w:w w:val="105"/>
        </w:rPr>
        <w:t xml:space="preserve"> </w:t>
      </w:r>
      <w:r>
        <w:rPr>
          <w:w w:val="105"/>
        </w:rPr>
        <w:t>rare</w:t>
      </w:r>
      <w:r>
        <w:rPr>
          <w:spacing w:val="-21"/>
          <w:w w:val="105"/>
        </w:rPr>
        <w:t xml:space="preserve"> </w:t>
      </w:r>
      <w:r>
        <w:rPr>
          <w:w w:val="105"/>
        </w:rPr>
        <w:t>when</w:t>
      </w:r>
      <w:r>
        <w:rPr>
          <w:spacing w:val="-8"/>
          <w:w w:val="105"/>
        </w:rPr>
        <w:t xml:space="preserve"> </w:t>
      </w:r>
      <w:r>
        <w:rPr>
          <w:w w:val="105"/>
        </w:rPr>
        <w:t>not</w:t>
      </w:r>
      <w:r>
        <w:rPr>
          <w:spacing w:val="-16"/>
          <w:w w:val="105"/>
        </w:rPr>
        <w:t xml:space="preserve"> </w:t>
      </w:r>
      <w:r>
        <w:rPr>
          <w:w w:val="105"/>
        </w:rPr>
        <w:t>associated</w:t>
      </w:r>
      <w:r>
        <w:rPr>
          <w:spacing w:val="-8"/>
          <w:w w:val="105"/>
        </w:rPr>
        <w:t xml:space="preserve"> </w:t>
      </w:r>
      <w:r>
        <w:rPr>
          <w:w w:val="105"/>
        </w:rPr>
        <w:t>with</w:t>
      </w:r>
      <w:r>
        <w:rPr>
          <w:spacing w:val="-13"/>
          <w:w w:val="105"/>
        </w:rPr>
        <w:t xml:space="preserve"> </w:t>
      </w:r>
      <w:r>
        <w:rPr>
          <w:w w:val="105"/>
        </w:rPr>
        <w:t>other</w:t>
      </w:r>
      <w:r>
        <w:rPr>
          <w:spacing w:val="-18"/>
          <w:w w:val="105"/>
        </w:rPr>
        <w:t xml:space="preserve"> </w:t>
      </w:r>
      <w:r>
        <w:rPr>
          <w:w w:val="105"/>
        </w:rPr>
        <w:t>Learning</w:t>
      </w:r>
      <w:r>
        <w:rPr>
          <w:spacing w:val="-15"/>
          <w:w w:val="105"/>
        </w:rPr>
        <w:t xml:space="preserve"> </w:t>
      </w:r>
      <w:r>
        <w:rPr>
          <w:w w:val="105"/>
        </w:rPr>
        <w:t>Disorders.</w:t>
      </w:r>
    </w:p>
    <w:p w:rsidR="00E675F0" w:rsidRDefault="00E675F0" w:rsidP="00E675F0">
      <w:pPr>
        <w:pStyle w:val="BodyText"/>
        <w:spacing w:before="10"/>
        <w:rPr>
          <w:sz w:val="26"/>
        </w:rPr>
      </w:pPr>
    </w:p>
    <w:p w:rsidR="00E675F0" w:rsidRDefault="00E675F0" w:rsidP="00E675F0">
      <w:pPr>
        <w:ind w:left="107"/>
        <w:rPr>
          <w:rFonts w:ascii="TimesNewRomanPS-BoldItalicMT"/>
          <w:b/>
          <w:i/>
          <w:sz w:val="24"/>
        </w:rPr>
      </w:pPr>
      <w:r>
        <w:rPr>
          <w:rFonts w:ascii="TimesNewRomanPS-BoldItalicMT"/>
          <w:b/>
          <w:i/>
          <w:w w:val="115"/>
          <w:sz w:val="24"/>
        </w:rPr>
        <w:t>Course</w:t>
      </w:r>
    </w:p>
    <w:p w:rsidR="00E675F0" w:rsidRDefault="00E675F0" w:rsidP="00E675F0">
      <w:pPr>
        <w:pStyle w:val="BodyText"/>
        <w:spacing w:before="141" w:line="254" w:lineRule="auto"/>
        <w:ind w:left="124" w:right="101" w:hanging="4"/>
        <w:jc w:val="both"/>
      </w:pPr>
      <w:r>
        <w:rPr>
          <w:w w:val="105"/>
        </w:rPr>
        <w:t>Although difficulty in writing (e.g., particularly poor handwriting or copying ability or inability to remember letter sequences in common words) may appear  as early as the first grade, Disorder of Written Expression is seldom diagnosed before the end of first grade because sufficient formal writing instruction has usually not occurred until this point in most school settings. The disorder is usually apparent by second grade. Disorder of Written Expression may occasionally be seen in older children or adults, and little is known about its long-term prognosis.</w:t>
      </w:r>
    </w:p>
    <w:p w:rsidR="00E675F0" w:rsidRDefault="00E675F0" w:rsidP="00E675F0">
      <w:pPr>
        <w:pStyle w:val="BodyText"/>
        <w:spacing w:before="7"/>
        <w:rPr>
          <w:sz w:val="27"/>
        </w:rPr>
      </w:pPr>
    </w:p>
    <w:p w:rsidR="00E675F0" w:rsidRDefault="00E675F0" w:rsidP="00E675F0">
      <w:pPr>
        <w:spacing w:before="1"/>
        <w:ind w:left="116"/>
        <w:rPr>
          <w:rFonts w:ascii="TimesNewRomanPS-BoldItalicMT"/>
          <w:b/>
          <w:i/>
          <w:sz w:val="24"/>
        </w:rPr>
      </w:pPr>
      <w:r>
        <w:rPr>
          <w:rFonts w:ascii="TimesNewRomanPS-BoldItalicMT"/>
          <w:b/>
          <w:i/>
          <w:w w:val="115"/>
          <w:sz w:val="24"/>
        </w:rPr>
        <w:t>Infferential Inagnosis</w:t>
      </w:r>
    </w:p>
    <w:p w:rsidR="00E675F0" w:rsidRDefault="00E675F0" w:rsidP="00E675F0">
      <w:pPr>
        <w:pStyle w:val="BodyText"/>
        <w:spacing w:before="141" w:line="249" w:lineRule="auto"/>
        <w:ind w:left="114" w:right="107" w:firstLine="10"/>
        <w:jc w:val="both"/>
      </w:pPr>
      <w:r>
        <w:rPr>
          <w:w w:val="105"/>
        </w:rPr>
        <w:t xml:space="preserve">See the "Differential Diagnosis" section for Learning Disorders (p. 47). A disorder in spelling or handwriting alone, in the absence of other difficulties of written expression, generally does not qualify for a diagnosis of Disorder of Written Expression. </w:t>
      </w:r>
      <w:r>
        <w:rPr>
          <w:rFonts w:ascii="Arial"/>
          <w:w w:val="105"/>
          <w:sz w:val="19"/>
        </w:rPr>
        <w:t xml:space="preserve">If </w:t>
      </w:r>
      <w:r>
        <w:rPr>
          <w:w w:val="105"/>
        </w:rPr>
        <w:t xml:space="preserve">poor handwriting is due to impairment in motor coordination, a diagnosis of </w:t>
      </w:r>
      <w:r>
        <w:rPr>
          <w:b/>
          <w:w w:val="105"/>
          <w:sz w:val="21"/>
        </w:rPr>
        <w:t xml:space="preserve">Developmental Coordination Disorder </w:t>
      </w:r>
      <w:r>
        <w:rPr>
          <w:w w:val="105"/>
        </w:rPr>
        <w:t>should be considered.</w:t>
      </w:r>
    </w:p>
    <w:p w:rsidR="00E675F0" w:rsidRDefault="00E675F0" w:rsidP="00E675F0">
      <w:pPr>
        <w:spacing w:line="249" w:lineRule="auto"/>
        <w:jc w:val="both"/>
        <w:sectPr w:rsidR="00E675F0">
          <w:pgSz w:w="8960" w:h="14260"/>
          <w:pgMar w:top="1400" w:right="640" w:bottom="280" w:left="600" w:header="682" w:footer="0" w:gutter="0"/>
          <w:cols w:space="720"/>
        </w:sectPr>
      </w:pPr>
    </w:p>
    <w:p w:rsidR="00E675F0" w:rsidRDefault="00E675F0" w:rsidP="00E675F0">
      <w:pPr>
        <w:pStyle w:val="BodyText"/>
        <w:spacing w:before="2"/>
        <w:rPr>
          <w:sz w:val="10"/>
        </w:rPr>
      </w:pPr>
      <w:r>
        <w:rPr>
          <w:noProof/>
        </w:rPr>
        <w:lastRenderedPageBreak/>
        <mc:AlternateContent>
          <mc:Choice Requires="wps">
            <w:drawing>
              <wp:anchor distT="0" distB="0" distL="114300" distR="114300" simplePos="0" relativeHeight="251674624" behindDoc="0" locked="0" layoutInCell="1" allowOverlap="1" wp14:anchorId="63D82C76" wp14:editId="772E9616">
                <wp:simplePos x="0" y="0"/>
                <wp:positionH relativeFrom="page">
                  <wp:posOffset>464185</wp:posOffset>
                </wp:positionH>
                <wp:positionV relativeFrom="page">
                  <wp:posOffset>988695</wp:posOffset>
                </wp:positionV>
                <wp:extent cx="4752975" cy="0"/>
                <wp:effectExtent l="0" t="12700" r="9525" b="0"/>
                <wp:wrapNone/>
                <wp:docPr id="1634" name="Line 15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752975" cy="0"/>
                        </a:xfrm>
                        <a:prstGeom prst="line">
                          <a:avLst/>
                        </a:prstGeom>
                        <a:noFill/>
                        <a:ln w="305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151E72" id="Line 1590" o:spid="_x0000_s1026" style="position:absolute;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55pt,77.85pt" to="410.8pt,77.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" strokeweight=".84781mm">
                <o:lock v:ext="edit" shapetype="f"/>
                <w10:wrap anchorx="page" anchory="page"/>
              </v:line>
            </w:pict>
          </mc:Fallback>
        </mc:AlternateContent>
      </w:r>
    </w:p>
    <w:tbl>
      <w:tblPr>
        <w:tblW w:w="0" w:type="auto"/>
        <w:tblInd w:w="239"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7321"/>
      </w:tblGrid>
      <w:tr w:rsidR="00E675F0" w:rsidTr="00A330E1">
        <w:trPr>
          <w:trHeight w:val="4554"/>
        </w:trPr>
        <w:tc>
          <w:tcPr>
            <w:tcW w:w="7321" w:type="dxa"/>
          </w:tcPr>
          <w:p w:rsidR="00E675F0" w:rsidRDefault="00E675F0" w:rsidP="003048D3">
            <w:pPr>
              <w:pStyle w:val="TableParagraph"/>
              <w:numPr>
                <w:ilvl w:val="0"/>
                <w:numId w:val="109"/>
              </w:numPr>
              <w:tabs>
                <w:tab w:val="left" w:pos="622"/>
              </w:tabs>
              <w:spacing w:before="36" w:line="206" w:lineRule="auto"/>
              <w:ind w:right="1013"/>
              <w:rPr>
                <w:rFonts w:ascii="Arial" w:hAnsi="Arial"/>
                <w:b/>
                <w:sz w:val="24"/>
              </w:rPr>
            </w:pPr>
            <w:bookmarkStart w:id="35" w:name="_bookmark20"/>
            <w:bookmarkEnd w:id="35"/>
            <w:r>
              <w:rPr>
                <w:rFonts w:ascii="Arial" w:hAnsi="Arial"/>
                <w:b/>
                <w:w w:val="105"/>
                <w:sz w:val="24"/>
              </w:rPr>
              <w:t>Diagnostic</w:t>
            </w:r>
            <w:r>
              <w:rPr>
                <w:rFonts w:ascii="Arial" w:hAnsi="Arial"/>
                <w:b/>
                <w:spacing w:val="-8"/>
                <w:w w:val="105"/>
                <w:sz w:val="24"/>
              </w:rPr>
              <w:t xml:space="preserve"> </w:t>
            </w:r>
            <w:r>
              <w:rPr>
                <w:rFonts w:ascii="Arial" w:hAnsi="Arial"/>
                <w:b/>
                <w:w w:val="105"/>
                <w:sz w:val="24"/>
              </w:rPr>
              <w:t>criteria</w:t>
            </w:r>
            <w:r>
              <w:rPr>
                <w:rFonts w:ascii="Arial" w:hAnsi="Arial"/>
                <w:b/>
                <w:spacing w:val="-16"/>
                <w:w w:val="105"/>
                <w:sz w:val="24"/>
              </w:rPr>
              <w:t xml:space="preserve"> </w:t>
            </w:r>
            <w:r>
              <w:rPr>
                <w:rFonts w:ascii="Arial" w:hAnsi="Arial"/>
                <w:b/>
                <w:w w:val="105"/>
                <w:sz w:val="24"/>
              </w:rPr>
              <w:t>for</w:t>
            </w:r>
            <w:r>
              <w:rPr>
                <w:rFonts w:ascii="Arial" w:hAnsi="Arial"/>
                <w:b/>
                <w:spacing w:val="-10"/>
                <w:w w:val="105"/>
                <w:sz w:val="24"/>
              </w:rPr>
              <w:t xml:space="preserve"> </w:t>
            </w:r>
            <w:r>
              <w:rPr>
                <w:rFonts w:ascii="Arial" w:hAnsi="Arial"/>
                <w:b/>
                <w:w w:val="105"/>
                <w:sz w:val="24"/>
              </w:rPr>
              <w:t>315.2</w:t>
            </w:r>
            <w:r>
              <w:rPr>
                <w:rFonts w:ascii="Arial" w:hAnsi="Arial"/>
                <w:b/>
                <w:spacing w:val="-10"/>
                <w:w w:val="105"/>
                <w:sz w:val="24"/>
              </w:rPr>
              <w:t xml:space="preserve"> </w:t>
            </w:r>
            <w:r>
              <w:rPr>
                <w:rFonts w:ascii="Arial" w:hAnsi="Arial"/>
                <w:b/>
                <w:w w:val="105"/>
                <w:sz w:val="24"/>
              </w:rPr>
              <w:t>Disorder</w:t>
            </w:r>
            <w:r>
              <w:rPr>
                <w:rFonts w:ascii="Arial" w:hAnsi="Arial"/>
                <w:b/>
                <w:spacing w:val="-2"/>
                <w:w w:val="105"/>
                <w:sz w:val="24"/>
              </w:rPr>
              <w:t xml:space="preserve"> </w:t>
            </w:r>
            <w:r>
              <w:rPr>
                <w:rFonts w:ascii="Arial" w:hAnsi="Arial"/>
                <w:b/>
                <w:w w:val="105"/>
                <w:sz w:val="24"/>
              </w:rPr>
              <w:t>of</w:t>
            </w:r>
            <w:r>
              <w:rPr>
                <w:rFonts w:ascii="Arial" w:hAnsi="Arial"/>
                <w:b/>
                <w:spacing w:val="-16"/>
                <w:w w:val="105"/>
                <w:sz w:val="24"/>
              </w:rPr>
              <w:t xml:space="preserve"> </w:t>
            </w:r>
            <w:r>
              <w:rPr>
                <w:rFonts w:ascii="Arial" w:hAnsi="Arial"/>
                <w:b/>
                <w:w w:val="105"/>
                <w:sz w:val="24"/>
              </w:rPr>
              <w:t>Written Expression</w:t>
            </w:r>
          </w:p>
          <w:p w:rsidR="00E675F0" w:rsidRDefault="00E675F0" w:rsidP="003048D3">
            <w:pPr>
              <w:pStyle w:val="TableParagraph"/>
              <w:numPr>
                <w:ilvl w:val="1"/>
                <w:numId w:val="109"/>
              </w:numPr>
              <w:tabs>
                <w:tab w:val="left" w:pos="949"/>
              </w:tabs>
              <w:spacing w:before="183" w:line="254" w:lineRule="auto"/>
              <w:ind w:right="222" w:hanging="304"/>
              <w:jc w:val="both"/>
              <w:rPr>
                <w:sz w:val="18"/>
              </w:rPr>
            </w:pPr>
            <w:r>
              <w:rPr>
                <w:w w:val="105"/>
                <w:sz w:val="20"/>
              </w:rPr>
              <w:t>Writing skills, as measured by individually administered standardized tests</w:t>
            </w:r>
            <w:r>
              <w:rPr>
                <w:spacing w:val="-14"/>
                <w:w w:val="105"/>
                <w:sz w:val="20"/>
              </w:rPr>
              <w:t xml:space="preserve"> </w:t>
            </w:r>
            <w:r>
              <w:rPr>
                <w:w w:val="105"/>
                <w:sz w:val="20"/>
              </w:rPr>
              <w:t>(or</w:t>
            </w:r>
            <w:r>
              <w:rPr>
                <w:spacing w:val="-12"/>
                <w:w w:val="105"/>
                <w:sz w:val="20"/>
              </w:rPr>
              <w:t xml:space="preserve"> </w:t>
            </w:r>
            <w:r>
              <w:rPr>
                <w:w w:val="105"/>
                <w:sz w:val="20"/>
              </w:rPr>
              <w:t>functional</w:t>
            </w:r>
            <w:r>
              <w:rPr>
                <w:spacing w:val="-1"/>
                <w:w w:val="105"/>
                <w:sz w:val="20"/>
              </w:rPr>
              <w:t xml:space="preserve"> </w:t>
            </w:r>
            <w:r>
              <w:rPr>
                <w:w w:val="105"/>
                <w:sz w:val="20"/>
              </w:rPr>
              <w:t>assessments</w:t>
            </w:r>
            <w:r>
              <w:rPr>
                <w:spacing w:val="-3"/>
                <w:w w:val="105"/>
                <w:sz w:val="20"/>
              </w:rPr>
              <w:t xml:space="preserve"> </w:t>
            </w:r>
            <w:r>
              <w:rPr>
                <w:w w:val="105"/>
                <w:sz w:val="20"/>
              </w:rPr>
              <w:t>of</w:t>
            </w:r>
            <w:r>
              <w:rPr>
                <w:spacing w:val="-11"/>
                <w:w w:val="105"/>
                <w:sz w:val="20"/>
              </w:rPr>
              <w:t xml:space="preserve"> </w:t>
            </w:r>
            <w:r>
              <w:rPr>
                <w:w w:val="105"/>
                <w:sz w:val="20"/>
              </w:rPr>
              <w:t>writing</w:t>
            </w:r>
            <w:r>
              <w:rPr>
                <w:spacing w:val="-14"/>
                <w:w w:val="105"/>
                <w:sz w:val="20"/>
              </w:rPr>
              <w:t xml:space="preserve"> </w:t>
            </w:r>
            <w:r>
              <w:rPr>
                <w:w w:val="105"/>
                <w:sz w:val="20"/>
              </w:rPr>
              <w:t>skills),</w:t>
            </w:r>
            <w:r>
              <w:rPr>
                <w:spacing w:val="-11"/>
                <w:w w:val="105"/>
                <w:sz w:val="20"/>
              </w:rPr>
              <w:t xml:space="preserve"> </w:t>
            </w:r>
            <w:r>
              <w:rPr>
                <w:w w:val="105"/>
                <w:sz w:val="20"/>
              </w:rPr>
              <w:t>are</w:t>
            </w:r>
            <w:r>
              <w:rPr>
                <w:spacing w:val="-17"/>
                <w:w w:val="105"/>
                <w:sz w:val="20"/>
              </w:rPr>
              <w:t xml:space="preserve"> </w:t>
            </w:r>
            <w:r>
              <w:rPr>
                <w:w w:val="105"/>
                <w:sz w:val="20"/>
              </w:rPr>
              <w:t>substantially</w:t>
            </w:r>
            <w:r>
              <w:rPr>
                <w:spacing w:val="-6"/>
                <w:w w:val="105"/>
                <w:sz w:val="20"/>
              </w:rPr>
              <w:t xml:space="preserve"> </w:t>
            </w:r>
            <w:r>
              <w:rPr>
                <w:w w:val="105"/>
                <w:sz w:val="20"/>
              </w:rPr>
              <w:t>below those expected given the person's chronological age, measured intelli­ gence, and age-appropriate</w:t>
            </w:r>
            <w:r>
              <w:rPr>
                <w:spacing w:val="29"/>
                <w:w w:val="105"/>
                <w:sz w:val="20"/>
              </w:rPr>
              <w:t xml:space="preserve"> </w:t>
            </w:r>
            <w:r>
              <w:rPr>
                <w:w w:val="105"/>
                <w:sz w:val="20"/>
              </w:rPr>
              <w:t>education.</w:t>
            </w:r>
          </w:p>
          <w:p w:rsidR="00E675F0" w:rsidRDefault="00E675F0" w:rsidP="003048D3">
            <w:pPr>
              <w:pStyle w:val="TableParagraph"/>
              <w:numPr>
                <w:ilvl w:val="1"/>
                <w:numId w:val="109"/>
              </w:numPr>
              <w:tabs>
                <w:tab w:val="left" w:pos="946"/>
              </w:tabs>
              <w:spacing w:before="179" w:line="256" w:lineRule="auto"/>
              <w:ind w:right="227" w:hanging="296"/>
              <w:jc w:val="both"/>
              <w:rPr>
                <w:sz w:val="20"/>
              </w:rPr>
            </w:pPr>
            <w:r>
              <w:rPr>
                <w:w w:val="105"/>
                <w:sz w:val="20"/>
              </w:rPr>
              <w:t>The disturbance in Criterion A significantly interferes with academic achievement or activities of daily living that require the composition of written texts (e.g., writing grammatically correct sentences and organ­ ized</w:t>
            </w:r>
            <w:r>
              <w:rPr>
                <w:spacing w:val="16"/>
                <w:w w:val="105"/>
                <w:sz w:val="20"/>
              </w:rPr>
              <w:t xml:space="preserve"> </w:t>
            </w:r>
            <w:r>
              <w:rPr>
                <w:w w:val="105"/>
                <w:sz w:val="20"/>
              </w:rPr>
              <w:t>paragraphs).</w:t>
            </w:r>
          </w:p>
          <w:p w:rsidR="00E675F0" w:rsidRDefault="00E675F0" w:rsidP="003048D3">
            <w:pPr>
              <w:pStyle w:val="TableParagraph"/>
              <w:numPr>
                <w:ilvl w:val="1"/>
                <w:numId w:val="109"/>
              </w:numPr>
              <w:tabs>
                <w:tab w:val="left" w:pos="944"/>
              </w:tabs>
              <w:spacing w:before="184" w:line="256" w:lineRule="auto"/>
              <w:ind w:left="949" w:right="224" w:hanging="299"/>
              <w:jc w:val="both"/>
              <w:rPr>
                <w:sz w:val="20"/>
              </w:rPr>
            </w:pPr>
            <w:r>
              <w:rPr>
                <w:rFonts w:ascii="Arial"/>
                <w:w w:val="105"/>
                <w:sz w:val="19"/>
              </w:rPr>
              <w:t>If</w:t>
            </w:r>
            <w:r>
              <w:rPr>
                <w:rFonts w:ascii="Arial"/>
                <w:spacing w:val="10"/>
                <w:w w:val="105"/>
                <w:sz w:val="19"/>
              </w:rPr>
              <w:t xml:space="preserve"> </w:t>
            </w:r>
            <w:r>
              <w:rPr>
                <w:w w:val="105"/>
                <w:sz w:val="20"/>
              </w:rPr>
              <w:t>a</w:t>
            </w:r>
            <w:r>
              <w:rPr>
                <w:spacing w:val="-19"/>
                <w:w w:val="105"/>
                <w:sz w:val="20"/>
              </w:rPr>
              <w:t xml:space="preserve"> </w:t>
            </w:r>
            <w:r>
              <w:rPr>
                <w:w w:val="105"/>
                <w:sz w:val="20"/>
              </w:rPr>
              <w:t>sensory</w:t>
            </w:r>
            <w:r>
              <w:rPr>
                <w:spacing w:val="-10"/>
                <w:w w:val="105"/>
                <w:sz w:val="20"/>
              </w:rPr>
              <w:t xml:space="preserve"> </w:t>
            </w:r>
            <w:r>
              <w:rPr>
                <w:w w:val="105"/>
                <w:sz w:val="20"/>
              </w:rPr>
              <w:t>deficit</w:t>
            </w:r>
            <w:r>
              <w:rPr>
                <w:spacing w:val="-7"/>
                <w:w w:val="105"/>
                <w:sz w:val="20"/>
              </w:rPr>
              <w:t xml:space="preserve"> </w:t>
            </w:r>
            <w:r>
              <w:rPr>
                <w:w w:val="105"/>
                <w:sz w:val="20"/>
              </w:rPr>
              <w:t>is</w:t>
            </w:r>
            <w:r>
              <w:rPr>
                <w:spacing w:val="-13"/>
                <w:w w:val="105"/>
                <w:sz w:val="20"/>
              </w:rPr>
              <w:t xml:space="preserve"> </w:t>
            </w:r>
            <w:r>
              <w:rPr>
                <w:w w:val="105"/>
                <w:sz w:val="20"/>
              </w:rPr>
              <w:t>present,</w:t>
            </w:r>
            <w:r>
              <w:rPr>
                <w:spacing w:val="-8"/>
                <w:w w:val="105"/>
                <w:sz w:val="20"/>
              </w:rPr>
              <w:t xml:space="preserve"> </w:t>
            </w:r>
            <w:r>
              <w:rPr>
                <w:w w:val="105"/>
                <w:sz w:val="20"/>
              </w:rPr>
              <w:t>the</w:t>
            </w:r>
            <w:r>
              <w:rPr>
                <w:spacing w:val="-17"/>
                <w:w w:val="105"/>
                <w:sz w:val="20"/>
              </w:rPr>
              <w:t xml:space="preserve"> </w:t>
            </w:r>
            <w:r>
              <w:rPr>
                <w:w w:val="105"/>
                <w:sz w:val="20"/>
              </w:rPr>
              <w:t>difficulties</w:t>
            </w:r>
            <w:r>
              <w:rPr>
                <w:spacing w:val="-11"/>
                <w:w w:val="105"/>
                <w:sz w:val="20"/>
              </w:rPr>
              <w:t xml:space="preserve"> </w:t>
            </w:r>
            <w:r>
              <w:rPr>
                <w:w w:val="105"/>
                <w:sz w:val="20"/>
              </w:rPr>
              <w:t>in</w:t>
            </w:r>
            <w:r>
              <w:rPr>
                <w:spacing w:val="-13"/>
                <w:w w:val="105"/>
                <w:sz w:val="20"/>
              </w:rPr>
              <w:t xml:space="preserve"> </w:t>
            </w:r>
            <w:r>
              <w:rPr>
                <w:w w:val="105"/>
                <w:sz w:val="20"/>
              </w:rPr>
              <w:t>writing</w:t>
            </w:r>
            <w:r>
              <w:rPr>
                <w:spacing w:val="-13"/>
                <w:w w:val="105"/>
                <w:sz w:val="20"/>
              </w:rPr>
              <w:t xml:space="preserve"> </w:t>
            </w:r>
            <w:r>
              <w:rPr>
                <w:w w:val="105"/>
                <w:sz w:val="20"/>
              </w:rPr>
              <w:t>skills</w:t>
            </w:r>
            <w:r>
              <w:rPr>
                <w:spacing w:val="-16"/>
                <w:w w:val="105"/>
                <w:sz w:val="20"/>
              </w:rPr>
              <w:t xml:space="preserve"> </w:t>
            </w:r>
            <w:r>
              <w:rPr>
                <w:w w:val="105"/>
                <w:sz w:val="20"/>
              </w:rPr>
              <w:t>are</w:t>
            </w:r>
            <w:r>
              <w:rPr>
                <w:spacing w:val="-13"/>
                <w:w w:val="105"/>
                <w:sz w:val="20"/>
              </w:rPr>
              <w:t xml:space="preserve"> </w:t>
            </w:r>
            <w:r>
              <w:rPr>
                <w:w w:val="105"/>
                <w:sz w:val="20"/>
              </w:rPr>
              <w:t>in</w:t>
            </w:r>
            <w:r>
              <w:rPr>
                <w:spacing w:val="-23"/>
                <w:w w:val="105"/>
                <w:sz w:val="20"/>
              </w:rPr>
              <w:t xml:space="preserve"> </w:t>
            </w:r>
            <w:r>
              <w:rPr>
                <w:w w:val="105"/>
                <w:sz w:val="20"/>
              </w:rPr>
              <w:t>excess of those usually associated with</w:t>
            </w:r>
            <w:r>
              <w:rPr>
                <w:spacing w:val="28"/>
                <w:w w:val="105"/>
                <w:sz w:val="20"/>
              </w:rPr>
              <w:t xml:space="preserve"> </w:t>
            </w:r>
            <w:r>
              <w:rPr>
                <w:w w:val="105"/>
                <w:sz w:val="20"/>
              </w:rPr>
              <w:t>it.</w:t>
            </w:r>
          </w:p>
          <w:p w:rsidR="00E675F0" w:rsidRDefault="00E675F0" w:rsidP="00A330E1">
            <w:pPr>
              <w:pStyle w:val="TableParagraph"/>
              <w:spacing w:before="151" w:line="249" w:lineRule="auto"/>
              <w:ind w:left="652" w:right="248" w:hanging="12"/>
              <w:rPr>
                <w:sz w:val="18"/>
              </w:rPr>
            </w:pPr>
            <w:r>
              <w:rPr>
                <w:b/>
                <w:w w:val="105"/>
                <w:sz w:val="18"/>
              </w:rPr>
              <w:t xml:space="preserve">Coding note: </w:t>
            </w:r>
            <w:r>
              <w:rPr>
                <w:w w:val="105"/>
                <w:sz w:val="18"/>
              </w:rPr>
              <w:t>If a general</w:t>
            </w:r>
            <w:r>
              <w:rPr>
                <w:spacing w:val="47"/>
                <w:w w:val="105"/>
                <w:sz w:val="18"/>
              </w:rPr>
              <w:t xml:space="preserve"> </w:t>
            </w:r>
            <w:r>
              <w:rPr>
                <w:w w:val="105"/>
                <w:sz w:val="18"/>
              </w:rPr>
              <w:t>medical (e.g., neurological) condition or sensory deficit is present, code the condition on Axis</w:t>
            </w:r>
            <w:r>
              <w:rPr>
                <w:spacing w:val="-28"/>
                <w:w w:val="105"/>
                <w:sz w:val="18"/>
              </w:rPr>
              <w:t xml:space="preserve"> </w:t>
            </w:r>
            <w:r>
              <w:rPr>
                <w:w w:val="105"/>
                <w:sz w:val="18"/>
              </w:rPr>
              <w:t>III.</w:t>
            </w:r>
          </w:p>
        </w:tc>
      </w:tr>
    </w:tbl>
    <w:p w:rsidR="00E675F0" w:rsidRDefault="00E675F0" w:rsidP="00E675F0">
      <w:pPr>
        <w:pStyle w:val="BodyText"/>
      </w:pPr>
    </w:p>
    <w:p w:rsidR="00E675F0" w:rsidRDefault="00E675F0" w:rsidP="00E675F0">
      <w:pPr>
        <w:pStyle w:val="BodyText"/>
        <w:spacing w:before="8"/>
        <w:rPr>
          <w:sz w:val="22"/>
        </w:rPr>
      </w:pPr>
    </w:p>
    <w:p w:rsidR="00E675F0" w:rsidRDefault="00E675F0" w:rsidP="00E675F0">
      <w:pPr>
        <w:tabs>
          <w:tab w:val="left" w:pos="1593"/>
        </w:tabs>
        <w:ind w:left="679"/>
        <w:rPr>
          <w:rFonts w:ascii="Arial"/>
          <w:b/>
          <w:sz w:val="25"/>
        </w:rPr>
      </w:pPr>
      <w:r>
        <w:rPr>
          <w:rFonts w:ascii="Arial"/>
          <w:b/>
          <w:w w:val="110"/>
          <w:sz w:val="25"/>
        </w:rPr>
        <w:t>315.9</w:t>
      </w:r>
      <w:r>
        <w:rPr>
          <w:rFonts w:ascii="Arial"/>
          <w:b/>
          <w:w w:val="110"/>
          <w:sz w:val="25"/>
        </w:rPr>
        <w:tab/>
        <w:t>Learning Disorder Not Otherwise</w:t>
      </w:r>
      <w:r>
        <w:rPr>
          <w:rFonts w:ascii="Arial"/>
          <w:b/>
          <w:spacing w:val="-46"/>
          <w:w w:val="110"/>
          <w:sz w:val="25"/>
        </w:rPr>
        <w:t xml:space="preserve"> </w:t>
      </w:r>
      <w:r>
        <w:rPr>
          <w:rFonts w:ascii="Arial"/>
          <w:b/>
          <w:w w:val="110"/>
          <w:sz w:val="25"/>
        </w:rPr>
        <w:t>Specified</w:t>
      </w:r>
    </w:p>
    <w:p w:rsidR="00E675F0" w:rsidRDefault="00E675F0" w:rsidP="00E675F0">
      <w:pPr>
        <w:pStyle w:val="BodyText"/>
        <w:spacing w:before="251" w:line="254" w:lineRule="auto"/>
        <w:ind w:left="133" w:right="121" w:hanging="4"/>
        <w:jc w:val="both"/>
      </w:pPr>
      <w:r>
        <w:rPr>
          <w:w w:val="105"/>
        </w:rPr>
        <w:t>This</w:t>
      </w:r>
      <w:r>
        <w:rPr>
          <w:spacing w:val="-18"/>
          <w:w w:val="105"/>
        </w:rPr>
        <w:t xml:space="preserve"> </w:t>
      </w:r>
      <w:r>
        <w:rPr>
          <w:w w:val="105"/>
        </w:rPr>
        <w:t>category</w:t>
      </w:r>
      <w:r>
        <w:rPr>
          <w:spacing w:val="-11"/>
          <w:w w:val="105"/>
        </w:rPr>
        <w:t xml:space="preserve"> </w:t>
      </w:r>
      <w:r>
        <w:rPr>
          <w:w w:val="105"/>
        </w:rPr>
        <w:t>is</w:t>
      </w:r>
      <w:r>
        <w:rPr>
          <w:spacing w:val="-21"/>
          <w:w w:val="105"/>
        </w:rPr>
        <w:t xml:space="preserve"> </w:t>
      </w:r>
      <w:r>
        <w:rPr>
          <w:w w:val="105"/>
        </w:rPr>
        <w:t>for</w:t>
      </w:r>
      <w:r>
        <w:rPr>
          <w:spacing w:val="-24"/>
          <w:w w:val="105"/>
        </w:rPr>
        <w:t xml:space="preserve"> </w:t>
      </w:r>
      <w:r>
        <w:rPr>
          <w:w w:val="105"/>
        </w:rPr>
        <w:t>disorders</w:t>
      </w:r>
      <w:r>
        <w:rPr>
          <w:spacing w:val="-12"/>
          <w:w w:val="105"/>
        </w:rPr>
        <w:t xml:space="preserve"> </w:t>
      </w:r>
      <w:r>
        <w:rPr>
          <w:w w:val="105"/>
        </w:rPr>
        <w:t>in</w:t>
      </w:r>
      <w:r>
        <w:rPr>
          <w:spacing w:val="-16"/>
          <w:w w:val="105"/>
        </w:rPr>
        <w:t xml:space="preserve"> </w:t>
      </w:r>
      <w:r>
        <w:rPr>
          <w:w w:val="105"/>
        </w:rPr>
        <w:t>learning</w:t>
      </w:r>
      <w:r>
        <w:rPr>
          <w:spacing w:val="-7"/>
          <w:w w:val="105"/>
        </w:rPr>
        <w:t xml:space="preserve"> </w:t>
      </w:r>
      <w:r>
        <w:rPr>
          <w:w w:val="105"/>
        </w:rPr>
        <w:t>that</w:t>
      </w:r>
      <w:r>
        <w:rPr>
          <w:spacing w:val="-14"/>
          <w:w w:val="105"/>
        </w:rPr>
        <w:t xml:space="preserve"> </w:t>
      </w:r>
      <w:r>
        <w:rPr>
          <w:w w:val="105"/>
        </w:rPr>
        <w:t>do</w:t>
      </w:r>
      <w:r>
        <w:rPr>
          <w:spacing w:val="-3"/>
          <w:w w:val="105"/>
        </w:rPr>
        <w:t xml:space="preserve"> </w:t>
      </w:r>
      <w:r>
        <w:rPr>
          <w:w w:val="105"/>
        </w:rPr>
        <w:t>not</w:t>
      </w:r>
      <w:r>
        <w:rPr>
          <w:spacing w:val="-15"/>
          <w:w w:val="105"/>
        </w:rPr>
        <w:t xml:space="preserve"> </w:t>
      </w:r>
      <w:r>
        <w:rPr>
          <w:w w:val="105"/>
        </w:rPr>
        <w:t>meet</w:t>
      </w:r>
      <w:r>
        <w:rPr>
          <w:spacing w:val="-17"/>
          <w:w w:val="105"/>
        </w:rPr>
        <w:t xml:space="preserve"> </w:t>
      </w:r>
      <w:r>
        <w:rPr>
          <w:w w:val="105"/>
        </w:rPr>
        <w:t>criteria</w:t>
      </w:r>
      <w:r>
        <w:rPr>
          <w:spacing w:val="-7"/>
          <w:w w:val="105"/>
        </w:rPr>
        <w:t xml:space="preserve"> </w:t>
      </w:r>
      <w:r>
        <w:rPr>
          <w:w w:val="105"/>
        </w:rPr>
        <w:t>for</w:t>
      </w:r>
      <w:r>
        <w:rPr>
          <w:spacing w:val="-25"/>
          <w:w w:val="105"/>
        </w:rPr>
        <w:t xml:space="preserve"> </w:t>
      </w:r>
      <w:r>
        <w:rPr>
          <w:w w:val="105"/>
        </w:rPr>
        <w:t>any</w:t>
      </w:r>
      <w:r>
        <w:rPr>
          <w:spacing w:val="-25"/>
          <w:w w:val="105"/>
        </w:rPr>
        <w:t xml:space="preserve"> </w:t>
      </w:r>
      <w:r>
        <w:rPr>
          <w:w w:val="105"/>
        </w:rPr>
        <w:t>specific</w:t>
      </w:r>
      <w:r>
        <w:rPr>
          <w:spacing w:val="-17"/>
          <w:w w:val="105"/>
        </w:rPr>
        <w:t xml:space="preserve"> </w:t>
      </w:r>
      <w:r>
        <w:rPr>
          <w:w w:val="105"/>
        </w:rPr>
        <w:t>Learning Disorder. This category might include problems in all three areas (reading, mathematics, written expression) that together significantly interfere with academic achievement even though performance on tests measuring each individual skill is not substantially below that expected given the person's chronological age, measured intelligence, and age­ appropriate</w:t>
      </w:r>
      <w:r>
        <w:rPr>
          <w:spacing w:val="16"/>
          <w:w w:val="105"/>
        </w:rPr>
        <w:t xml:space="preserve"> </w:t>
      </w:r>
      <w:r>
        <w:rPr>
          <w:w w:val="105"/>
        </w:rPr>
        <w:t>education.</w:t>
      </w:r>
    </w:p>
    <w:p w:rsidR="00E675F0" w:rsidRDefault="00E675F0" w:rsidP="00E675F0">
      <w:pPr>
        <w:pStyle w:val="BodyText"/>
      </w:pPr>
    </w:p>
    <w:p w:rsidR="00E675F0" w:rsidRDefault="00E675F0" w:rsidP="00E675F0">
      <w:pPr>
        <w:pStyle w:val="BodyText"/>
        <w:spacing w:before="7"/>
        <w:rPr>
          <w:sz w:val="19"/>
        </w:rPr>
      </w:pPr>
      <w:r>
        <w:rPr>
          <w:noProof/>
        </w:rPr>
        <mc:AlternateContent>
          <mc:Choice Requires="wps">
            <w:drawing>
              <wp:anchor distT="0" distB="0" distL="0" distR="0" simplePos="0" relativeHeight="251838464" behindDoc="1" locked="0" layoutInCell="1" allowOverlap="1" wp14:anchorId="5140C76C" wp14:editId="3D2F56C5">
                <wp:simplePos x="0" y="0"/>
                <wp:positionH relativeFrom="page">
                  <wp:posOffset>452120</wp:posOffset>
                </wp:positionH>
                <wp:positionV relativeFrom="paragraph">
                  <wp:posOffset>170180</wp:posOffset>
                </wp:positionV>
                <wp:extent cx="1332230" cy="1270"/>
                <wp:effectExtent l="0" t="0" r="1270" b="0"/>
                <wp:wrapTopAndBottom/>
                <wp:docPr id="1633" name="Freeform 1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2230" cy="1270"/>
                        </a:xfrm>
                        <a:custGeom>
                          <a:avLst/>
                          <a:gdLst>
                            <a:gd name="T0" fmla="+- 0 712 712"/>
                            <a:gd name="T1" fmla="*/ T0 w 2098"/>
                            <a:gd name="T2" fmla="+- 0 2809 712"/>
                            <a:gd name="T3" fmla="*/ T2 w 2098"/>
                          </a:gdLst>
                          <a:ahLst/>
                          <a:cxnLst>
                            <a:cxn ang="0">
                              <a:pos x="T1" y="0"/>
                            </a:cxn>
                            <a:cxn ang="0">
                              <a:pos x="T3" y="0"/>
                            </a:cxn>
                          </a:cxnLst>
                          <a:rect l="0" t="0" r="r" b="b"/>
                          <a:pathLst>
                            <a:path w="2098">
                              <a:moveTo>
                                <a:pt x="0" y="0"/>
                              </a:moveTo>
                              <a:lnTo>
                                <a:pt x="2097" y="0"/>
                              </a:lnTo>
                            </a:path>
                          </a:pathLst>
                        </a:custGeom>
                        <a:noFill/>
                        <a:ln w="305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75CF6" id="Freeform 1589" o:spid="_x0000_s1026" style="position:absolute;margin-left:35.6pt;margin-top:13.4pt;width:104.9pt;height:.1pt;z-index:-251478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98,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" path="m,l2097,e" filled="f" strokeweight=".08478mm">
                <v:path arrowok="t" o:connecttype="custom" o:connectlocs="0,0;1331595,0" o:connectangles="0,0"/>
                <w10:wrap type="topAndBottom" anchorx="page"/>
              </v:shape>
            </w:pict>
          </mc:Fallback>
        </mc:AlternateContent>
      </w:r>
      <w:r>
        <w:rPr>
          <w:noProof/>
        </w:rPr>
        <mc:AlternateContent>
          <mc:Choice Requires="wps">
            <w:drawing>
              <wp:anchor distT="0" distB="0" distL="0" distR="0" simplePos="0" relativeHeight="251839488" behindDoc="1" locked="0" layoutInCell="1" allowOverlap="1" wp14:anchorId="5C20A9EB" wp14:editId="6C237ADA">
                <wp:simplePos x="0" y="0"/>
                <wp:positionH relativeFrom="page">
                  <wp:posOffset>3897630</wp:posOffset>
                </wp:positionH>
                <wp:positionV relativeFrom="paragraph">
                  <wp:posOffset>170180</wp:posOffset>
                </wp:positionV>
                <wp:extent cx="1307465" cy="1270"/>
                <wp:effectExtent l="0" t="0" r="635" b="0"/>
                <wp:wrapTopAndBottom/>
                <wp:docPr id="1632" name="Freeform 15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7465" cy="1270"/>
                        </a:xfrm>
                        <a:custGeom>
                          <a:avLst/>
                          <a:gdLst>
                            <a:gd name="T0" fmla="+- 0 6138 6138"/>
                            <a:gd name="T1" fmla="*/ T0 w 2059"/>
                            <a:gd name="T2" fmla="+- 0 8197 6138"/>
                            <a:gd name="T3" fmla="*/ T2 w 2059"/>
                          </a:gdLst>
                          <a:ahLst/>
                          <a:cxnLst>
                            <a:cxn ang="0">
                              <a:pos x="T1" y="0"/>
                            </a:cxn>
                            <a:cxn ang="0">
                              <a:pos x="T3" y="0"/>
                            </a:cxn>
                          </a:cxnLst>
                          <a:rect l="0" t="0" r="r" b="b"/>
                          <a:pathLst>
                            <a:path w="2059">
                              <a:moveTo>
                                <a:pt x="0" y="0"/>
                              </a:moveTo>
                              <a:lnTo>
                                <a:pt x="2059" y="0"/>
                              </a:lnTo>
                            </a:path>
                          </a:pathLst>
                        </a:custGeom>
                        <a:noFill/>
                        <a:ln w="305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305D6" id="Freeform 1588" o:spid="_x0000_s1026" style="position:absolute;margin-left:306.9pt;margin-top:13.4pt;width:102.95pt;height:.1pt;z-index:-251476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59,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" path="m,l2059,e" filled="f" strokeweight=".08478mm">
                <v:path arrowok="t" o:connecttype="custom" o:connectlocs="0,0;1307465,0" o:connectangles="0,0"/>
                <w10:wrap type="topAndBottom" anchorx="page"/>
              </v:shape>
            </w:pict>
          </mc:Fallback>
        </mc:AlternateContent>
      </w:r>
    </w:p>
    <w:p w:rsidR="00E675F0" w:rsidRDefault="00E675F0" w:rsidP="00E675F0">
      <w:pPr>
        <w:spacing w:before="118" w:after="79"/>
        <w:ind w:left="111" w:right="119"/>
        <w:jc w:val="center"/>
        <w:rPr>
          <w:rFonts w:ascii="Arial"/>
          <w:b/>
          <w:sz w:val="25"/>
        </w:rPr>
      </w:pPr>
      <w:r>
        <w:rPr>
          <w:rFonts w:ascii="Arial"/>
          <w:b/>
          <w:color w:val="161616"/>
          <w:w w:val="105"/>
          <w:sz w:val="25"/>
        </w:rPr>
        <w:t>Motor Skills Disorder</w:t>
      </w:r>
    </w:p>
    <w:p w:rsidR="00E675F0" w:rsidRDefault="00E675F0" w:rsidP="00E675F0">
      <w:pPr>
        <w:tabs>
          <w:tab w:val="left" w:pos="5534"/>
        </w:tabs>
        <w:spacing w:line="20" w:lineRule="exact"/>
        <w:ind w:left="108"/>
        <w:rPr>
          <w:rFonts w:ascii="Arial"/>
          <w:sz w:val="2"/>
        </w:rPr>
      </w:pPr>
      <w:r>
        <w:rPr>
          <w:rFonts w:ascii="Arial"/>
          <w:noProof/>
          <w:sz w:val="2"/>
        </w:rPr>
        <mc:AlternateContent>
          <mc:Choice Requires="wpg">
            <w:drawing>
              <wp:inline distT="0" distB="0" distL="0" distR="0" wp14:anchorId="282CFF46" wp14:editId="6149E07E">
                <wp:extent cx="1332230" cy="3175"/>
                <wp:effectExtent l="0" t="0" r="1270" b="0"/>
                <wp:docPr id="1630" name="Group 1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3175"/>
                          <a:chOff x="0" y="0"/>
                          <a:chExt cx="2098" cy="5"/>
                        </a:xfrm>
                      </wpg:grpSpPr>
                      <wps:wsp>
                        <wps:cNvPr id="1631" name="Line 1587"/>
                        <wps:cNvCnPr>
                          <a:cxnSpLocks/>
                        </wps:cNvCnPr>
                        <wps:spPr bwMode="auto">
                          <a:xfrm>
                            <a:off x="0" y="2"/>
                            <a:ext cx="2097" cy="0"/>
                          </a:xfrm>
                          <a:prstGeom prst="line">
                            <a:avLst/>
                          </a:prstGeom>
                          <a:noFill/>
                          <a:ln w="305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C2BF7FA" id="Group 1586" o:spid="_x0000_s1026" style="width:104.9pt;height:.25pt;mso-position-horizontal-relative:char;mso-position-vertical-relative:line" coordsize="209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">
                <v:line id="Line 1587" o:spid="_x0000_s1027" style="position:absolute;visibility:visible;mso-wrap-style:square" from="0,2" to="209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" strokeweight=".08478mm">
                  <o:lock v:ext="edit" shapetype="f"/>
                </v:line>
                <w10:anchorlock/>
              </v:group>
            </w:pict>
          </mc:Fallback>
        </mc:AlternateContent>
      </w:r>
      <w:r>
        <w:rPr>
          <w:rFonts w:ascii="Arial"/>
          <w:sz w:val="2"/>
        </w:rPr>
        <w:tab/>
      </w:r>
      <w:r>
        <w:rPr>
          <w:rFonts w:ascii="Arial"/>
          <w:noProof/>
          <w:sz w:val="2"/>
        </w:rPr>
        <mc:AlternateContent>
          <mc:Choice Requires="wpg">
            <w:drawing>
              <wp:inline distT="0" distB="0" distL="0" distR="0" wp14:anchorId="6A362739" wp14:editId="3A8BB3AA">
                <wp:extent cx="1307465" cy="3175"/>
                <wp:effectExtent l="0" t="0" r="635" b="0"/>
                <wp:docPr id="1628" name="Group 1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7465" cy="3175"/>
                          <a:chOff x="0" y="0"/>
                          <a:chExt cx="2059" cy="5"/>
                        </a:xfrm>
                      </wpg:grpSpPr>
                      <wps:wsp>
                        <wps:cNvPr id="1629" name="Line 1585"/>
                        <wps:cNvCnPr>
                          <a:cxnSpLocks/>
                        </wps:cNvCnPr>
                        <wps:spPr bwMode="auto">
                          <a:xfrm>
                            <a:off x="0" y="2"/>
                            <a:ext cx="2059" cy="0"/>
                          </a:xfrm>
                          <a:prstGeom prst="line">
                            <a:avLst/>
                          </a:prstGeom>
                          <a:noFill/>
                          <a:ln w="305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15300E0" id="Group 1584" o:spid="_x0000_s1026" style="width:102.95pt;height:.25pt;mso-position-horizontal-relative:char;mso-position-vertical-relative:line" coordsize="205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">
                <v:line id="Line 1585" o:spid="_x0000_s1027" style="position:absolute;visibility:visible;mso-wrap-style:square" from="0,2" to="205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" strokeweight=".08478mm">
                  <o:lock v:ext="edit" shapetype="f"/>
                </v:line>
                <w10:anchorlock/>
              </v:group>
            </w:pict>
          </mc:Fallback>
        </mc:AlternateContent>
      </w:r>
    </w:p>
    <w:p w:rsidR="00E675F0" w:rsidRDefault="00E675F0" w:rsidP="00E675F0">
      <w:pPr>
        <w:pStyle w:val="BodyText"/>
        <w:rPr>
          <w:rFonts w:ascii="Arial"/>
          <w:b/>
          <w:sz w:val="32"/>
        </w:rPr>
      </w:pPr>
    </w:p>
    <w:p w:rsidR="00E675F0" w:rsidRDefault="00E675F0" w:rsidP="00E675F0">
      <w:pPr>
        <w:tabs>
          <w:tab w:val="left" w:pos="906"/>
        </w:tabs>
        <w:ind w:left="1"/>
        <w:jc w:val="center"/>
        <w:rPr>
          <w:rFonts w:ascii="Arial"/>
          <w:b/>
          <w:sz w:val="25"/>
        </w:rPr>
      </w:pPr>
      <w:r>
        <w:rPr>
          <w:rFonts w:ascii="Arial"/>
          <w:b/>
          <w:w w:val="105"/>
          <w:sz w:val="25"/>
        </w:rPr>
        <w:t>315.4</w:t>
      </w:r>
      <w:r>
        <w:rPr>
          <w:rFonts w:ascii="Arial"/>
          <w:b/>
          <w:w w:val="105"/>
          <w:sz w:val="25"/>
        </w:rPr>
        <w:tab/>
        <w:t>Developmental Coordination</w:t>
      </w:r>
      <w:r>
        <w:rPr>
          <w:rFonts w:ascii="Arial"/>
          <w:b/>
          <w:spacing w:val="25"/>
          <w:w w:val="105"/>
          <w:sz w:val="25"/>
        </w:rPr>
        <w:t xml:space="preserve"> </w:t>
      </w:r>
      <w:r>
        <w:rPr>
          <w:rFonts w:ascii="Arial"/>
          <w:b/>
          <w:w w:val="105"/>
          <w:sz w:val="25"/>
        </w:rPr>
        <w:t>Disorder</w:t>
      </w:r>
    </w:p>
    <w:p w:rsidR="00E675F0" w:rsidRDefault="00E675F0" w:rsidP="00E675F0">
      <w:pPr>
        <w:spacing w:before="247"/>
        <w:ind w:left="116"/>
        <w:jc w:val="both"/>
        <w:rPr>
          <w:rFonts w:ascii="TimesNewRomanPS-BoldItalicMT"/>
          <w:b/>
          <w:i/>
          <w:sz w:val="25"/>
        </w:rPr>
      </w:pPr>
      <w:r>
        <w:rPr>
          <w:rFonts w:ascii="TimesNewRomanPS-BoldItalicMT"/>
          <w:b/>
          <w:i/>
          <w:w w:val="110"/>
          <w:sz w:val="25"/>
        </w:rPr>
        <w:t>Diagnostic Features</w:t>
      </w:r>
    </w:p>
    <w:p w:rsidR="00E675F0" w:rsidRDefault="00E675F0" w:rsidP="00E675F0">
      <w:pPr>
        <w:pStyle w:val="BodyText"/>
        <w:spacing w:before="120" w:line="254" w:lineRule="auto"/>
        <w:ind w:left="128" w:right="118" w:firstLine="1"/>
        <w:jc w:val="both"/>
      </w:pPr>
      <w:r>
        <w:rPr>
          <w:w w:val="105"/>
        </w:rPr>
        <w:t>The essential feature of Developmental Coordination Disorder is a marked impairment in the development of motor coordination (Criterion A). The diagnosis is made only if this impairment significantly interferes with academic achievement or activities of daily living (Criterion B). The diagnosis is made if the coordination difficulties are not due to a general medical condition (e.g., cerebral palsy, hemiplegia, or muscular dystrophy) and</w:t>
      </w:r>
      <w:r>
        <w:rPr>
          <w:spacing w:val="-13"/>
          <w:w w:val="105"/>
        </w:rPr>
        <w:t xml:space="preserve"> </w:t>
      </w:r>
      <w:r>
        <w:rPr>
          <w:w w:val="105"/>
        </w:rPr>
        <w:t>the</w:t>
      </w:r>
      <w:r>
        <w:rPr>
          <w:spacing w:val="-16"/>
          <w:w w:val="105"/>
        </w:rPr>
        <w:t xml:space="preserve"> </w:t>
      </w:r>
      <w:r>
        <w:rPr>
          <w:w w:val="105"/>
        </w:rPr>
        <w:t>criteria</w:t>
      </w:r>
      <w:r>
        <w:rPr>
          <w:spacing w:val="-7"/>
          <w:w w:val="105"/>
        </w:rPr>
        <w:t xml:space="preserve"> </w:t>
      </w:r>
      <w:r>
        <w:rPr>
          <w:w w:val="105"/>
        </w:rPr>
        <w:t>are</w:t>
      </w:r>
      <w:r>
        <w:rPr>
          <w:spacing w:val="-15"/>
          <w:w w:val="105"/>
        </w:rPr>
        <w:t xml:space="preserve"> </w:t>
      </w:r>
      <w:r>
        <w:rPr>
          <w:w w:val="105"/>
        </w:rPr>
        <w:t>not</w:t>
      </w:r>
      <w:r>
        <w:rPr>
          <w:spacing w:val="-13"/>
          <w:w w:val="105"/>
        </w:rPr>
        <w:t xml:space="preserve"> </w:t>
      </w:r>
      <w:r>
        <w:rPr>
          <w:w w:val="105"/>
        </w:rPr>
        <w:t>met</w:t>
      </w:r>
      <w:r>
        <w:rPr>
          <w:spacing w:val="-17"/>
          <w:w w:val="105"/>
        </w:rPr>
        <w:t xml:space="preserve"> </w:t>
      </w:r>
      <w:r>
        <w:rPr>
          <w:w w:val="105"/>
        </w:rPr>
        <w:t>for</w:t>
      </w:r>
      <w:r>
        <w:rPr>
          <w:spacing w:val="-15"/>
          <w:w w:val="105"/>
        </w:rPr>
        <w:t xml:space="preserve"> </w:t>
      </w:r>
      <w:r>
        <w:rPr>
          <w:w w:val="105"/>
        </w:rPr>
        <w:t>Pervasive</w:t>
      </w:r>
      <w:r>
        <w:rPr>
          <w:spacing w:val="-4"/>
          <w:w w:val="105"/>
        </w:rPr>
        <w:t xml:space="preserve"> </w:t>
      </w:r>
      <w:r>
        <w:rPr>
          <w:w w:val="105"/>
        </w:rPr>
        <w:t>Developmental</w:t>
      </w:r>
      <w:r>
        <w:rPr>
          <w:spacing w:val="-3"/>
          <w:w w:val="105"/>
        </w:rPr>
        <w:t xml:space="preserve"> </w:t>
      </w:r>
      <w:r>
        <w:rPr>
          <w:w w:val="105"/>
        </w:rPr>
        <w:t>Disorder</w:t>
      </w:r>
      <w:r>
        <w:rPr>
          <w:spacing w:val="-16"/>
          <w:w w:val="105"/>
        </w:rPr>
        <w:t xml:space="preserve"> </w:t>
      </w:r>
      <w:r>
        <w:rPr>
          <w:w w:val="105"/>
        </w:rPr>
        <w:t>(Criterion</w:t>
      </w:r>
      <w:r>
        <w:rPr>
          <w:spacing w:val="-4"/>
          <w:w w:val="105"/>
        </w:rPr>
        <w:t xml:space="preserve"> </w:t>
      </w:r>
      <w:r>
        <w:rPr>
          <w:w w:val="105"/>
        </w:rPr>
        <w:t>C).</w:t>
      </w:r>
      <w:r>
        <w:rPr>
          <w:spacing w:val="-27"/>
          <w:w w:val="105"/>
        </w:rPr>
        <w:t xml:space="preserve"> </w:t>
      </w:r>
      <w:r>
        <w:rPr>
          <w:rFonts w:ascii="Arial"/>
          <w:w w:val="105"/>
          <w:sz w:val="19"/>
        </w:rPr>
        <w:t>If</w:t>
      </w:r>
      <w:r>
        <w:rPr>
          <w:rFonts w:ascii="Arial"/>
          <w:spacing w:val="7"/>
          <w:w w:val="105"/>
          <w:sz w:val="19"/>
        </w:rPr>
        <w:t xml:space="preserve"> </w:t>
      </w:r>
      <w:r>
        <w:rPr>
          <w:w w:val="105"/>
        </w:rPr>
        <w:t>Mental Retardation is present, the motor difficulties are in excess of those usually associated with it (Criterion D). The manifestations of this disorder vary with age and development. For example, younger children may display clumsiness and delays in achieving developmental motor milestones (e.g., wa1king, crawling, sitting, tying</w:t>
      </w:r>
      <w:r>
        <w:rPr>
          <w:spacing w:val="24"/>
          <w:w w:val="105"/>
        </w:rPr>
        <w:t xml:space="preserve"> </w:t>
      </w:r>
      <w:r>
        <w:rPr>
          <w:w w:val="105"/>
        </w:rPr>
        <w:t>shoelaces,</w:t>
      </w:r>
    </w:p>
    <w:p w:rsidR="00E675F0" w:rsidRDefault="00E675F0" w:rsidP="00E675F0">
      <w:pPr>
        <w:spacing w:line="254" w:lineRule="auto"/>
        <w:jc w:val="both"/>
        <w:sectPr w:rsidR="00E675F0">
          <w:headerReference w:type="even" r:id="rId65"/>
          <w:headerReference w:type="default" r:id="rId66"/>
          <w:pgSz w:w="8960" w:h="14260"/>
          <w:pgMar w:top="1400" w:right="640" w:bottom="280" w:left="600" w:header="683" w:footer="0" w:gutter="0"/>
          <w:pgNumType w:start="53"/>
          <w:cols w:space="720"/>
        </w:sectPr>
      </w:pPr>
    </w:p>
    <w:p w:rsidR="00E675F0" w:rsidRDefault="00E675F0" w:rsidP="00E675F0">
      <w:pPr>
        <w:pStyle w:val="BodyText"/>
        <w:spacing w:before="132" w:line="256" w:lineRule="auto"/>
        <w:ind w:left="134" w:right="127" w:firstLine="7"/>
        <w:jc w:val="both"/>
      </w:pPr>
      <w:bookmarkStart w:id="36" w:name="_bookmark21"/>
      <w:bookmarkEnd w:id="36"/>
      <w:r>
        <w:lastRenderedPageBreak/>
        <w:t>buttoning shirts, zipping pants). Older children may display difficulties with the motor aspects of assembling puzzles, building models, playing ball, and printing or handwriting.</w:t>
      </w:r>
    </w:p>
    <w:p w:rsidR="00E675F0" w:rsidRDefault="00E675F0" w:rsidP="00E675F0">
      <w:pPr>
        <w:pStyle w:val="BodyText"/>
        <w:spacing w:before="1"/>
        <w:rPr>
          <w:sz w:val="27"/>
        </w:rPr>
      </w:pPr>
    </w:p>
    <w:p w:rsidR="00E675F0" w:rsidRDefault="00E675F0" w:rsidP="00E675F0">
      <w:pPr>
        <w:ind w:left="112"/>
        <w:rPr>
          <w:rFonts w:ascii="TimesNewRomanPS-BoldItalicMT"/>
          <w:b/>
          <w:i/>
          <w:sz w:val="24"/>
        </w:rPr>
      </w:pPr>
      <w:r>
        <w:rPr>
          <w:rFonts w:ascii="TimesNewRomanPS-BoldItalicMT"/>
          <w:b/>
          <w:i/>
          <w:w w:val="115"/>
          <w:sz w:val="24"/>
        </w:rPr>
        <w:t>Associated Features and Disorders</w:t>
      </w:r>
    </w:p>
    <w:p w:rsidR="00E675F0" w:rsidRDefault="00E675F0" w:rsidP="00E675F0">
      <w:pPr>
        <w:pStyle w:val="BodyText"/>
        <w:spacing w:before="136" w:line="256" w:lineRule="auto"/>
        <w:ind w:left="135" w:right="129" w:firstLine="3"/>
        <w:jc w:val="both"/>
      </w:pPr>
      <w:r>
        <w:rPr>
          <w:w w:val="105"/>
        </w:rPr>
        <w:t>Problems commonly associated with Developmental Coordination Disorder include delays in other nonmotor milestones. Associated disorders may include Phonological Disorder, Expressive Language Disorder, and Mixed Receptive-Expressive Language Disorder.</w:t>
      </w:r>
    </w:p>
    <w:p w:rsidR="00E675F0" w:rsidRDefault="00E675F0" w:rsidP="00E675F0">
      <w:pPr>
        <w:pStyle w:val="BodyText"/>
        <w:spacing w:before="9"/>
        <w:rPr>
          <w:sz w:val="27"/>
        </w:rPr>
      </w:pPr>
    </w:p>
    <w:p w:rsidR="00E675F0" w:rsidRDefault="00E675F0" w:rsidP="00E675F0">
      <w:pPr>
        <w:ind w:left="120"/>
        <w:rPr>
          <w:rFonts w:ascii="TimesNewRomanPS-BoldItalicMT"/>
          <w:b/>
          <w:i/>
          <w:sz w:val="24"/>
        </w:rPr>
      </w:pPr>
      <w:r>
        <w:rPr>
          <w:rFonts w:ascii="TimesNewRomanPS-BoldItalicMT"/>
          <w:b/>
          <w:i/>
          <w:w w:val="115"/>
          <w:sz w:val="24"/>
        </w:rPr>
        <w:t>Prevalence</w:t>
      </w:r>
    </w:p>
    <w:p w:rsidR="00E675F0" w:rsidRDefault="00E675F0" w:rsidP="00E675F0">
      <w:pPr>
        <w:pStyle w:val="BodyText"/>
        <w:spacing w:before="132" w:line="256" w:lineRule="auto"/>
        <w:ind w:left="134" w:right="119" w:firstLine="3"/>
        <w:jc w:val="both"/>
      </w:pPr>
      <w:r>
        <w:rPr>
          <w:w w:val="105"/>
        </w:rPr>
        <w:t xml:space="preserve">Prevalence of Developmental Coordination Disorder  has been estimated to be as high  as 6% for children in the age range of </w:t>
      </w:r>
      <w:r>
        <w:rPr>
          <w:w w:val="105"/>
          <w:sz w:val="19"/>
        </w:rPr>
        <w:t>5-11</w:t>
      </w:r>
      <w:r>
        <w:rPr>
          <w:spacing w:val="12"/>
          <w:w w:val="105"/>
          <w:sz w:val="19"/>
        </w:rPr>
        <w:t xml:space="preserve"> </w:t>
      </w:r>
      <w:r>
        <w:rPr>
          <w:w w:val="105"/>
        </w:rPr>
        <w:t>years.</w:t>
      </w:r>
    </w:p>
    <w:p w:rsidR="00E675F0" w:rsidRDefault="00E675F0" w:rsidP="00E675F0">
      <w:pPr>
        <w:pStyle w:val="BodyText"/>
        <w:spacing w:before="1"/>
        <w:rPr>
          <w:sz w:val="27"/>
        </w:rPr>
      </w:pPr>
    </w:p>
    <w:p w:rsidR="00E675F0" w:rsidRDefault="00E675F0" w:rsidP="00E675F0">
      <w:pPr>
        <w:ind w:left="111"/>
        <w:rPr>
          <w:rFonts w:ascii="TimesNewRomanPS-BoldItalicMT"/>
          <w:b/>
          <w:i/>
          <w:sz w:val="24"/>
        </w:rPr>
      </w:pPr>
      <w:r>
        <w:rPr>
          <w:rFonts w:ascii="TimesNewRomanPS-BoldItalicMT"/>
          <w:b/>
          <w:i/>
          <w:w w:val="115"/>
          <w:sz w:val="24"/>
        </w:rPr>
        <w:t>Course</w:t>
      </w:r>
    </w:p>
    <w:p w:rsidR="00E675F0" w:rsidRDefault="00E675F0" w:rsidP="00E675F0">
      <w:pPr>
        <w:pStyle w:val="BodyText"/>
        <w:spacing w:before="141" w:line="256" w:lineRule="auto"/>
        <w:ind w:left="134" w:right="114" w:firstLine="3"/>
        <w:jc w:val="both"/>
      </w:pPr>
      <w:r>
        <w:rPr>
          <w:w w:val="105"/>
        </w:rPr>
        <w:t>Recognition of Developmental Coordination Disorder usually occurs when the child first attempts such tasks as running, holding a knife and fork, buttoning clothes, or playing ball games. The course is variable. In some cases, lack of coordination continues through adolescence and adulthood.</w:t>
      </w:r>
    </w:p>
    <w:p w:rsidR="00E675F0" w:rsidRDefault="00E675F0" w:rsidP="00E675F0">
      <w:pPr>
        <w:pStyle w:val="BodyText"/>
        <w:spacing w:before="4"/>
        <w:rPr>
          <w:sz w:val="27"/>
        </w:rPr>
      </w:pPr>
    </w:p>
    <w:p w:rsidR="00E675F0" w:rsidRDefault="00E675F0" w:rsidP="00E675F0">
      <w:pPr>
        <w:ind w:left="126"/>
        <w:rPr>
          <w:rFonts w:ascii="TimesNewRomanPS-BoldItalicMT"/>
          <w:b/>
          <w:i/>
          <w:sz w:val="24"/>
        </w:rPr>
      </w:pPr>
      <w:r>
        <w:rPr>
          <w:rFonts w:ascii="TimesNewRomanPS-BoldItalicMT"/>
          <w:b/>
          <w:i/>
          <w:w w:val="115"/>
          <w:sz w:val="24"/>
        </w:rPr>
        <w:t>Differential Diagnosis</w:t>
      </w:r>
    </w:p>
    <w:p w:rsidR="00E675F0" w:rsidRDefault="00E675F0" w:rsidP="00E675F0">
      <w:pPr>
        <w:pStyle w:val="BodyText"/>
        <w:spacing w:before="136" w:line="252" w:lineRule="auto"/>
        <w:ind w:left="139" w:right="109" w:hanging="2"/>
        <w:jc w:val="both"/>
      </w:pPr>
      <w:r>
        <w:rPr>
          <w:noProof/>
        </w:rPr>
        <mc:AlternateContent>
          <mc:Choice Requires="wps">
            <w:drawing>
              <wp:anchor distT="0" distB="0" distL="114300" distR="114300" simplePos="0" relativeHeight="251753472" behindDoc="1" locked="0" layoutInCell="1" allowOverlap="1" wp14:anchorId="1C784133" wp14:editId="4C69FD18">
                <wp:simplePos x="0" y="0"/>
                <wp:positionH relativeFrom="page">
                  <wp:posOffset>5191125</wp:posOffset>
                </wp:positionH>
                <wp:positionV relativeFrom="paragraph">
                  <wp:posOffset>3919855</wp:posOffset>
                </wp:positionV>
                <wp:extent cx="0" cy="0"/>
                <wp:effectExtent l="0" t="0" r="0" b="0"/>
                <wp:wrapNone/>
                <wp:docPr id="1627" name="Line 15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3665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0326B4" id="Line 1583" o:spid="_x0000_s1026" style="position:absolute;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8.75pt,308.65pt" to="408.75pt,308.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" strokeweight="1.01825mm">
                <o:lock v:ext="edit" shapetype="f"/>
                <w10:wrap anchorx="page"/>
              </v:line>
            </w:pict>
          </mc:Fallback>
        </mc:AlternateContent>
      </w:r>
      <w:r>
        <w:rPr>
          <w:w w:val="110"/>
        </w:rPr>
        <w:t>Developmental</w:t>
      </w:r>
      <w:r>
        <w:rPr>
          <w:spacing w:val="-8"/>
          <w:w w:val="110"/>
        </w:rPr>
        <w:t xml:space="preserve"> </w:t>
      </w:r>
      <w:r>
        <w:rPr>
          <w:w w:val="110"/>
        </w:rPr>
        <w:t>Coordination</w:t>
      </w:r>
      <w:r>
        <w:rPr>
          <w:spacing w:val="-13"/>
          <w:w w:val="110"/>
        </w:rPr>
        <w:t xml:space="preserve"> </w:t>
      </w:r>
      <w:r>
        <w:rPr>
          <w:w w:val="110"/>
        </w:rPr>
        <w:t>Disorder</w:t>
      </w:r>
      <w:r>
        <w:rPr>
          <w:spacing w:val="-13"/>
          <w:w w:val="110"/>
        </w:rPr>
        <w:t xml:space="preserve"> </w:t>
      </w:r>
      <w:r>
        <w:rPr>
          <w:w w:val="110"/>
        </w:rPr>
        <w:t>must</w:t>
      </w:r>
      <w:r>
        <w:rPr>
          <w:spacing w:val="-18"/>
          <w:w w:val="110"/>
        </w:rPr>
        <w:t xml:space="preserve"> </w:t>
      </w:r>
      <w:r>
        <w:rPr>
          <w:w w:val="110"/>
        </w:rPr>
        <w:t>be</w:t>
      </w:r>
      <w:r>
        <w:rPr>
          <w:spacing w:val="-16"/>
          <w:w w:val="110"/>
        </w:rPr>
        <w:t xml:space="preserve"> </w:t>
      </w:r>
      <w:r>
        <w:rPr>
          <w:w w:val="110"/>
        </w:rPr>
        <w:t>distinguished</w:t>
      </w:r>
      <w:r>
        <w:rPr>
          <w:spacing w:val="-15"/>
          <w:w w:val="110"/>
        </w:rPr>
        <w:t xml:space="preserve"> </w:t>
      </w:r>
      <w:r>
        <w:rPr>
          <w:w w:val="110"/>
        </w:rPr>
        <w:t>from</w:t>
      </w:r>
      <w:r>
        <w:rPr>
          <w:spacing w:val="-17"/>
          <w:w w:val="110"/>
        </w:rPr>
        <w:t xml:space="preserve"> </w:t>
      </w:r>
      <w:r>
        <w:rPr>
          <w:w w:val="110"/>
        </w:rPr>
        <w:t>motor</w:t>
      </w:r>
      <w:r>
        <w:rPr>
          <w:spacing w:val="-17"/>
          <w:w w:val="110"/>
        </w:rPr>
        <w:t xml:space="preserve"> </w:t>
      </w:r>
      <w:r>
        <w:rPr>
          <w:w w:val="110"/>
        </w:rPr>
        <w:t>impairments that</w:t>
      </w:r>
      <w:r>
        <w:rPr>
          <w:spacing w:val="-27"/>
          <w:w w:val="110"/>
        </w:rPr>
        <w:t xml:space="preserve"> </w:t>
      </w:r>
      <w:r>
        <w:rPr>
          <w:w w:val="110"/>
        </w:rPr>
        <w:t>are</w:t>
      </w:r>
      <w:r>
        <w:rPr>
          <w:spacing w:val="-27"/>
          <w:w w:val="110"/>
        </w:rPr>
        <w:t xml:space="preserve"> </w:t>
      </w:r>
      <w:r>
        <w:rPr>
          <w:w w:val="110"/>
        </w:rPr>
        <w:t>due</w:t>
      </w:r>
      <w:r>
        <w:rPr>
          <w:spacing w:val="-17"/>
          <w:w w:val="110"/>
        </w:rPr>
        <w:t xml:space="preserve"> </w:t>
      </w:r>
      <w:r>
        <w:rPr>
          <w:w w:val="110"/>
        </w:rPr>
        <w:t>to</w:t>
      </w:r>
      <w:r>
        <w:rPr>
          <w:spacing w:val="-27"/>
          <w:w w:val="110"/>
        </w:rPr>
        <w:t xml:space="preserve"> </w:t>
      </w:r>
      <w:r>
        <w:rPr>
          <w:w w:val="110"/>
        </w:rPr>
        <w:t>a</w:t>
      </w:r>
      <w:r>
        <w:rPr>
          <w:spacing w:val="-23"/>
          <w:w w:val="110"/>
        </w:rPr>
        <w:t xml:space="preserve"> </w:t>
      </w:r>
      <w:r>
        <w:rPr>
          <w:w w:val="110"/>
        </w:rPr>
        <w:t>general</w:t>
      </w:r>
      <w:r>
        <w:rPr>
          <w:spacing w:val="-19"/>
          <w:w w:val="110"/>
        </w:rPr>
        <w:t xml:space="preserve"> </w:t>
      </w:r>
      <w:r>
        <w:rPr>
          <w:w w:val="110"/>
        </w:rPr>
        <w:t>medical</w:t>
      </w:r>
      <w:r>
        <w:rPr>
          <w:spacing w:val="-22"/>
          <w:w w:val="110"/>
        </w:rPr>
        <w:t xml:space="preserve"> </w:t>
      </w:r>
      <w:r>
        <w:rPr>
          <w:w w:val="110"/>
        </w:rPr>
        <w:t>condition.</w:t>
      </w:r>
      <w:r>
        <w:rPr>
          <w:spacing w:val="-18"/>
          <w:w w:val="110"/>
        </w:rPr>
        <w:t xml:space="preserve"> </w:t>
      </w:r>
      <w:r>
        <w:rPr>
          <w:w w:val="110"/>
        </w:rPr>
        <w:t>Problems</w:t>
      </w:r>
      <w:r>
        <w:rPr>
          <w:spacing w:val="-21"/>
          <w:w w:val="110"/>
        </w:rPr>
        <w:t xml:space="preserve"> </w:t>
      </w:r>
      <w:r>
        <w:rPr>
          <w:w w:val="110"/>
        </w:rPr>
        <w:t>in</w:t>
      </w:r>
      <w:r>
        <w:rPr>
          <w:spacing w:val="-29"/>
          <w:w w:val="110"/>
        </w:rPr>
        <w:t xml:space="preserve"> </w:t>
      </w:r>
      <w:r>
        <w:rPr>
          <w:w w:val="110"/>
        </w:rPr>
        <w:t>coordination</w:t>
      </w:r>
      <w:r>
        <w:rPr>
          <w:spacing w:val="-12"/>
          <w:w w:val="110"/>
        </w:rPr>
        <w:t xml:space="preserve"> </w:t>
      </w:r>
      <w:r>
        <w:rPr>
          <w:w w:val="110"/>
        </w:rPr>
        <w:t>may</w:t>
      </w:r>
      <w:r>
        <w:rPr>
          <w:spacing w:val="-23"/>
          <w:w w:val="110"/>
        </w:rPr>
        <w:t xml:space="preserve"> </w:t>
      </w:r>
      <w:r>
        <w:rPr>
          <w:w w:val="110"/>
        </w:rPr>
        <w:t>be</w:t>
      </w:r>
      <w:r>
        <w:rPr>
          <w:spacing w:val="-25"/>
          <w:w w:val="110"/>
        </w:rPr>
        <w:t xml:space="preserve"> </w:t>
      </w:r>
      <w:r>
        <w:rPr>
          <w:w w:val="110"/>
        </w:rPr>
        <w:t xml:space="preserve">associated with </w:t>
      </w:r>
      <w:r>
        <w:rPr>
          <w:b/>
          <w:w w:val="110"/>
        </w:rPr>
        <w:t xml:space="preserve">specific neurological disorders </w:t>
      </w:r>
      <w:r>
        <w:rPr>
          <w:w w:val="110"/>
        </w:rPr>
        <w:t>(e.g., cerebral palsy, progressive lesions of the cerebellum), but in these cases there is definite neural damage</w:t>
      </w:r>
      <w:r>
        <w:rPr>
          <w:spacing w:val="-41"/>
          <w:w w:val="110"/>
        </w:rPr>
        <w:t xml:space="preserve"> </w:t>
      </w:r>
      <w:r>
        <w:rPr>
          <w:w w:val="110"/>
        </w:rPr>
        <w:t>and abnormal findings on</w:t>
      </w:r>
      <w:r>
        <w:rPr>
          <w:spacing w:val="-14"/>
          <w:w w:val="110"/>
        </w:rPr>
        <w:t xml:space="preserve"> </w:t>
      </w:r>
      <w:r>
        <w:rPr>
          <w:w w:val="110"/>
        </w:rPr>
        <w:t>neurological</w:t>
      </w:r>
      <w:r>
        <w:rPr>
          <w:spacing w:val="-7"/>
          <w:w w:val="110"/>
        </w:rPr>
        <w:t xml:space="preserve"> </w:t>
      </w:r>
      <w:r>
        <w:rPr>
          <w:w w:val="110"/>
        </w:rPr>
        <w:t>examination.</w:t>
      </w:r>
      <w:r>
        <w:rPr>
          <w:spacing w:val="-12"/>
          <w:w w:val="110"/>
        </w:rPr>
        <w:t xml:space="preserve"> </w:t>
      </w:r>
      <w:r>
        <w:rPr>
          <w:rFonts w:ascii="Arial" w:hAnsi="Arial"/>
          <w:w w:val="110"/>
          <w:sz w:val="19"/>
        </w:rPr>
        <w:t>If</w:t>
      </w:r>
      <w:r>
        <w:rPr>
          <w:rFonts w:ascii="Arial" w:hAnsi="Arial"/>
          <w:spacing w:val="-10"/>
          <w:w w:val="110"/>
          <w:sz w:val="19"/>
        </w:rPr>
        <w:t xml:space="preserve"> </w:t>
      </w:r>
      <w:r>
        <w:rPr>
          <w:b/>
          <w:w w:val="110"/>
        </w:rPr>
        <w:t>Mental</w:t>
      </w:r>
      <w:r>
        <w:rPr>
          <w:b/>
          <w:spacing w:val="-28"/>
          <w:w w:val="110"/>
        </w:rPr>
        <w:t xml:space="preserve"> </w:t>
      </w:r>
      <w:r>
        <w:rPr>
          <w:b/>
          <w:w w:val="110"/>
        </w:rPr>
        <w:t>Retardation</w:t>
      </w:r>
      <w:r>
        <w:rPr>
          <w:b/>
          <w:spacing w:val="-14"/>
          <w:w w:val="110"/>
        </w:rPr>
        <w:t xml:space="preserve"> </w:t>
      </w:r>
      <w:r>
        <w:rPr>
          <w:w w:val="110"/>
        </w:rPr>
        <w:t>is</w:t>
      </w:r>
      <w:r>
        <w:rPr>
          <w:spacing w:val="-20"/>
          <w:w w:val="110"/>
        </w:rPr>
        <w:t xml:space="preserve"> </w:t>
      </w:r>
      <w:r>
        <w:rPr>
          <w:w w:val="110"/>
        </w:rPr>
        <w:t>present,</w:t>
      </w:r>
      <w:r>
        <w:rPr>
          <w:spacing w:val="-10"/>
          <w:w w:val="110"/>
        </w:rPr>
        <w:t xml:space="preserve"> </w:t>
      </w:r>
      <w:r>
        <w:rPr>
          <w:w w:val="110"/>
        </w:rPr>
        <w:t>Developmental</w:t>
      </w:r>
      <w:r>
        <w:rPr>
          <w:spacing w:val="-4"/>
          <w:w w:val="110"/>
        </w:rPr>
        <w:t xml:space="preserve"> </w:t>
      </w:r>
      <w:r>
        <w:rPr>
          <w:w w:val="110"/>
        </w:rPr>
        <w:t>Coor­ dination</w:t>
      </w:r>
      <w:r>
        <w:rPr>
          <w:spacing w:val="-7"/>
          <w:w w:val="110"/>
        </w:rPr>
        <w:t xml:space="preserve"> </w:t>
      </w:r>
      <w:r>
        <w:rPr>
          <w:w w:val="110"/>
        </w:rPr>
        <w:t>Disorder</w:t>
      </w:r>
      <w:r>
        <w:rPr>
          <w:spacing w:val="-9"/>
          <w:w w:val="110"/>
        </w:rPr>
        <w:t xml:space="preserve"> </w:t>
      </w:r>
      <w:r>
        <w:rPr>
          <w:w w:val="110"/>
        </w:rPr>
        <w:t>can</w:t>
      </w:r>
      <w:r>
        <w:rPr>
          <w:spacing w:val="-10"/>
          <w:w w:val="110"/>
        </w:rPr>
        <w:t xml:space="preserve"> </w:t>
      </w:r>
      <w:r>
        <w:rPr>
          <w:w w:val="110"/>
        </w:rPr>
        <w:t>be</w:t>
      </w:r>
      <w:r>
        <w:rPr>
          <w:spacing w:val="-15"/>
          <w:w w:val="110"/>
        </w:rPr>
        <w:t xml:space="preserve"> </w:t>
      </w:r>
      <w:r>
        <w:rPr>
          <w:w w:val="110"/>
        </w:rPr>
        <w:t>diagnosed</w:t>
      </w:r>
      <w:r>
        <w:rPr>
          <w:spacing w:val="-2"/>
          <w:w w:val="110"/>
        </w:rPr>
        <w:t xml:space="preserve"> </w:t>
      </w:r>
      <w:r>
        <w:rPr>
          <w:w w:val="110"/>
        </w:rPr>
        <w:t>only</w:t>
      </w:r>
      <w:r>
        <w:rPr>
          <w:spacing w:val="-11"/>
          <w:w w:val="110"/>
        </w:rPr>
        <w:t xml:space="preserve"> </w:t>
      </w:r>
      <w:r>
        <w:rPr>
          <w:w w:val="110"/>
        </w:rPr>
        <w:t>if</w:t>
      </w:r>
      <w:r>
        <w:rPr>
          <w:spacing w:val="-5"/>
          <w:w w:val="110"/>
        </w:rPr>
        <w:t xml:space="preserve"> </w:t>
      </w:r>
      <w:r>
        <w:rPr>
          <w:w w:val="110"/>
        </w:rPr>
        <w:t>the</w:t>
      </w:r>
      <w:r>
        <w:rPr>
          <w:spacing w:val="-9"/>
          <w:w w:val="110"/>
        </w:rPr>
        <w:t xml:space="preserve"> </w:t>
      </w:r>
      <w:r>
        <w:rPr>
          <w:w w:val="110"/>
        </w:rPr>
        <w:t>motor</w:t>
      </w:r>
      <w:r>
        <w:rPr>
          <w:spacing w:val="-13"/>
          <w:w w:val="110"/>
        </w:rPr>
        <w:t xml:space="preserve"> </w:t>
      </w:r>
      <w:r>
        <w:rPr>
          <w:w w:val="110"/>
        </w:rPr>
        <w:t>difficulties</w:t>
      </w:r>
      <w:r>
        <w:rPr>
          <w:spacing w:val="-11"/>
          <w:w w:val="110"/>
        </w:rPr>
        <w:t xml:space="preserve"> </w:t>
      </w:r>
      <w:r>
        <w:rPr>
          <w:w w:val="110"/>
        </w:rPr>
        <w:t>are</w:t>
      </w:r>
      <w:r>
        <w:rPr>
          <w:spacing w:val="-11"/>
          <w:w w:val="110"/>
        </w:rPr>
        <w:t xml:space="preserve"> </w:t>
      </w:r>
      <w:r>
        <w:rPr>
          <w:w w:val="110"/>
        </w:rPr>
        <w:t>in</w:t>
      </w:r>
      <w:r>
        <w:rPr>
          <w:spacing w:val="-16"/>
          <w:w w:val="110"/>
        </w:rPr>
        <w:t xml:space="preserve"> </w:t>
      </w:r>
      <w:r>
        <w:rPr>
          <w:w w:val="110"/>
        </w:rPr>
        <w:t>excess</w:t>
      </w:r>
      <w:r>
        <w:rPr>
          <w:spacing w:val="-13"/>
          <w:w w:val="110"/>
        </w:rPr>
        <w:t xml:space="preserve"> </w:t>
      </w:r>
      <w:r>
        <w:rPr>
          <w:w w:val="110"/>
        </w:rPr>
        <w:t>of</w:t>
      </w:r>
      <w:r>
        <w:rPr>
          <w:spacing w:val="-7"/>
          <w:w w:val="110"/>
        </w:rPr>
        <w:t xml:space="preserve"> </w:t>
      </w:r>
      <w:r>
        <w:rPr>
          <w:w w:val="110"/>
        </w:rPr>
        <w:t>those usually</w:t>
      </w:r>
      <w:r>
        <w:rPr>
          <w:spacing w:val="-20"/>
          <w:w w:val="110"/>
        </w:rPr>
        <w:t xml:space="preserve"> </w:t>
      </w:r>
      <w:r>
        <w:rPr>
          <w:w w:val="110"/>
        </w:rPr>
        <w:t>associated</w:t>
      </w:r>
      <w:r>
        <w:rPr>
          <w:spacing w:val="-17"/>
          <w:w w:val="110"/>
        </w:rPr>
        <w:t xml:space="preserve"> </w:t>
      </w:r>
      <w:r>
        <w:rPr>
          <w:w w:val="110"/>
        </w:rPr>
        <w:t>with</w:t>
      </w:r>
      <w:r>
        <w:rPr>
          <w:spacing w:val="-21"/>
          <w:w w:val="110"/>
        </w:rPr>
        <w:t xml:space="preserve"> </w:t>
      </w:r>
      <w:r>
        <w:rPr>
          <w:w w:val="110"/>
        </w:rPr>
        <w:t>the</w:t>
      </w:r>
      <w:r>
        <w:rPr>
          <w:spacing w:val="-17"/>
          <w:w w:val="110"/>
        </w:rPr>
        <w:t xml:space="preserve"> </w:t>
      </w:r>
      <w:r>
        <w:rPr>
          <w:w w:val="110"/>
        </w:rPr>
        <w:t>Mental</w:t>
      </w:r>
      <w:r>
        <w:rPr>
          <w:spacing w:val="-21"/>
          <w:w w:val="110"/>
        </w:rPr>
        <w:t xml:space="preserve"> </w:t>
      </w:r>
      <w:r>
        <w:rPr>
          <w:w w:val="110"/>
        </w:rPr>
        <w:t>Retardation.</w:t>
      </w:r>
      <w:r>
        <w:rPr>
          <w:spacing w:val="-18"/>
          <w:w w:val="110"/>
        </w:rPr>
        <w:t xml:space="preserve"> </w:t>
      </w:r>
      <w:r>
        <w:rPr>
          <w:w w:val="110"/>
        </w:rPr>
        <w:t>A</w:t>
      </w:r>
      <w:r>
        <w:rPr>
          <w:spacing w:val="-26"/>
          <w:w w:val="110"/>
        </w:rPr>
        <w:t xml:space="preserve"> </w:t>
      </w:r>
      <w:r>
        <w:rPr>
          <w:w w:val="110"/>
        </w:rPr>
        <w:t>diagnosis</w:t>
      </w:r>
      <w:r>
        <w:rPr>
          <w:spacing w:val="-21"/>
          <w:w w:val="110"/>
        </w:rPr>
        <w:t xml:space="preserve"> </w:t>
      </w:r>
      <w:r>
        <w:rPr>
          <w:w w:val="110"/>
        </w:rPr>
        <w:t>of</w:t>
      </w:r>
      <w:r>
        <w:rPr>
          <w:spacing w:val="-18"/>
          <w:w w:val="110"/>
        </w:rPr>
        <w:t xml:space="preserve"> </w:t>
      </w:r>
      <w:r>
        <w:rPr>
          <w:w w:val="110"/>
        </w:rPr>
        <w:t>Developmental</w:t>
      </w:r>
      <w:r>
        <w:rPr>
          <w:spacing w:val="-16"/>
          <w:w w:val="110"/>
        </w:rPr>
        <w:t xml:space="preserve"> </w:t>
      </w:r>
      <w:r>
        <w:rPr>
          <w:w w:val="110"/>
        </w:rPr>
        <w:t xml:space="preserve">Coordi­ nation Disorder is not given if the criteria are met for a </w:t>
      </w:r>
      <w:r>
        <w:rPr>
          <w:b/>
          <w:w w:val="110"/>
        </w:rPr>
        <w:t>Pervasive Developmental Disorder.</w:t>
      </w:r>
      <w:r>
        <w:rPr>
          <w:b/>
          <w:spacing w:val="-24"/>
          <w:w w:val="110"/>
        </w:rPr>
        <w:t xml:space="preserve"> </w:t>
      </w:r>
      <w:r>
        <w:rPr>
          <w:w w:val="110"/>
        </w:rPr>
        <w:t>Individuals</w:t>
      </w:r>
      <w:r>
        <w:rPr>
          <w:spacing w:val="-21"/>
          <w:w w:val="110"/>
        </w:rPr>
        <w:t xml:space="preserve"> </w:t>
      </w:r>
      <w:r>
        <w:rPr>
          <w:w w:val="110"/>
        </w:rPr>
        <w:t>with</w:t>
      </w:r>
      <w:r>
        <w:rPr>
          <w:spacing w:val="-29"/>
          <w:w w:val="110"/>
        </w:rPr>
        <w:t xml:space="preserve"> </w:t>
      </w:r>
      <w:r>
        <w:rPr>
          <w:b/>
          <w:w w:val="110"/>
        </w:rPr>
        <w:t>Attention-Deficit/HyperactivityDisorder</w:t>
      </w:r>
      <w:r>
        <w:rPr>
          <w:b/>
          <w:spacing w:val="-23"/>
          <w:w w:val="110"/>
        </w:rPr>
        <w:t xml:space="preserve"> </w:t>
      </w:r>
      <w:r>
        <w:rPr>
          <w:w w:val="110"/>
        </w:rPr>
        <w:t>may</w:t>
      </w:r>
      <w:r>
        <w:rPr>
          <w:spacing w:val="-31"/>
          <w:w w:val="110"/>
        </w:rPr>
        <w:t xml:space="preserve"> </w:t>
      </w:r>
      <w:r>
        <w:rPr>
          <w:w w:val="110"/>
        </w:rPr>
        <w:t>fall,</w:t>
      </w:r>
      <w:r>
        <w:rPr>
          <w:spacing w:val="-20"/>
          <w:w w:val="110"/>
        </w:rPr>
        <w:t xml:space="preserve"> </w:t>
      </w:r>
      <w:r>
        <w:rPr>
          <w:w w:val="110"/>
        </w:rPr>
        <w:t>bump into</w:t>
      </w:r>
      <w:r>
        <w:rPr>
          <w:spacing w:val="-20"/>
          <w:w w:val="110"/>
        </w:rPr>
        <w:t xml:space="preserve"> </w:t>
      </w:r>
      <w:r>
        <w:rPr>
          <w:w w:val="110"/>
        </w:rPr>
        <w:t>things,</w:t>
      </w:r>
      <w:r>
        <w:rPr>
          <w:spacing w:val="-15"/>
          <w:w w:val="110"/>
        </w:rPr>
        <w:t xml:space="preserve"> </w:t>
      </w:r>
      <w:r>
        <w:rPr>
          <w:w w:val="110"/>
        </w:rPr>
        <w:t>or</w:t>
      </w:r>
      <w:r>
        <w:rPr>
          <w:spacing w:val="-14"/>
          <w:w w:val="110"/>
        </w:rPr>
        <w:t xml:space="preserve"> </w:t>
      </w:r>
      <w:r>
        <w:rPr>
          <w:w w:val="110"/>
        </w:rPr>
        <w:t>knock</w:t>
      </w:r>
      <w:r>
        <w:rPr>
          <w:spacing w:val="-14"/>
          <w:w w:val="110"/>
        </w:rPr>
        <w:t xml:space="preserve"> </w:t>
      </w:r>
      <w:r>
        <w:rPr>
          <w:w w:val="110"/>
        </w:rPr>
        <w:t>things</w:t>
      </w:r>
      <w:r>
        <w:rPr>
          <w:spacing w:val="-19"/>
          <w:w w:val="110"/>
        </w:rPr>
        <w:t xml:space="preserve"> </w:t>
      </w:r>
      <w:r>
        <w:rPr>
          <w:w w:val="110"/>
        </w:rPr>
        <w:t>over,</w:t>
      </w:r>
      <w:r>
        <w:rPr>
          <w:spacing w:val="-17"/>
          <w:w w:val="110"/>
        </w:rPr>
        <w:t xml:space="preserve"> </w:t>
      </w:r>
      <w:r>
        <w:rPr>
          <w:w w:val="110"/>
        </w:rPr>
        <w:t>but</w:t>
      </w:r>
      <w:r>
        <w:rPr>
          <w:spacing w:val="-16"/>
          <w:w w:val="110"/>
        </w:rPr>
        <w:t xml:space="preserve"> </w:t>
      </w:r>
      <w:r>
        <w:rPr>
          <w:w w:val="110"/>
        </w:rPr>
        <w:t>this</w:t>
      </w:r>
      <w:r>
        <w:rPr>
          <w:spacing w:val="-19"/>
          <w:w w:val="110"/>
        </w:rPr>
        <w:t xml:space="preserve"> </w:t>
      </w:r>
      <w:r>
        <w:rPr>
          <w:w w:val="110"/>
        </w:rPr>
        <w:t>is</w:t>
      </w:r>
      <w:r>
        <w:rPr>
          <w:spacing w:val="-23"/>
          <w:w w:val="110"/>
        </w:rPr>
        <w:t xml:space="preserve"> </w:t>
      </w:r>
      <w:r>
        <w:rPr>
          <w:w w:val="110"/>
        </w:rPr>
        <w:t>usually</w:t>
      </w:r>
      <w:r>
        <w:rPr>
          <w:spacing w:val="-18"/>
          <w:w w:val="110"/>
        </w:rPr>
        <w:t xml:space="preserve"> </w:t>
      </w:r>
      <w:r>
        <w:rPr>
          <w:w w:val="110"/>
        </w:rPr>
        <w:t>due</w:t>
      </w:r>
      <w:r>
        <w:rPr>
          <w:spacing w:val="-7"/>
          <w:w w:val="110"/>
        </w:rPr>
        <w:t xml:space="preserve"> </w:t>
      </w:r>
      <w:r>
        <w:rPr>
          <w:w w:val="110"/>
        </w:rPr>
        <w:t>to</w:t>
      </w:r>
      <w:r>
        <w:rPr>
          <w:spacing w:val="-23"/>
          <w:w w:val="110"/>
        </w:rPr>
        <w:t xml:space="preserve"> </w:t>
      </w:r>
      <w:r>
        <w:rPr>
          <w:w w:val="110"/>
        </w:rPr>
        <w:t>distractibility</w:t>
      </w:r>
      <w:r>
        <w:rPr>
          <w:spacing w:val="-29"/>
          <w:w w:val="110"/>
        </w:rPr>
        <w:t xml:space="preserve"> </w:t>
      </w:r>
      <w:r>
        <w:rPr>
          <w:w w:val="110"/>
        </w:rPr>
        <w:t>and</w:t>
      </w:r>
      <w:r>
        <w:rPr>
          <w:spacing w:val="-19"/>
          <w:w w:val="110"/>
        </w:rPr>
        <w:t xml:space="preserve"> </w:t>
      </w:r>
      <w:r>
        <w:rPr>
          <w:w w:val="110"/>
        </w:rPr>
        <w:t xml:space="preserve">impulsive­ ness, rather than to a motor impairment. </w:t>
      </w:r>
      <w:r>
        <w:rPr>
          <w:rFonts w:ascii="Arial" w:hAnsi="Arial"/>
          <w:w w:val="110"/>
          <w:sz w:val="19"/>
        </w:rPr>
        <w:t xml:space="preserve">If </w:t>
      </w:r>
      <w:r>
        <w:rPr>
          <w:w w:val="110"/>
        </w:rPr>
        <w:t>criteria for both disorders are met, both diagnoses can be</w:t>
      </w:r>
      <w:r>
        <w:rPr>
          <w:spacing w:val="29"/>
          <w:w w:val="110"/>
        </w:rPr>
        <w:t xml:space="preserve"> </w:t>
      </w:r>
      <w:r>
        <w:rPr>
          <w:w w:val="110"/>
        </w:rPr>
        <w:t>given.</w:t>
      </w:r>
    </w:p>
    <w:p w:rsidR="00E675F0" w:rsidRDefault="00E675F0" w:rsidP="00E675F0">
      <w:pPr>
        <w:pStyle w:val="BodyText"/>
      </w:pPr>
    </w:p>
    <w:p w:rsidR="00E675F0" w:rsidRDefault="00E675F0" w:rsidP="00E675F0">
      <w:pPr>
        <w:pStyle w:val="BodyText"/>
        <w:rPr>
          <w:sz w:val="21"/>
        </w:rPr>
      </w:pPr>
    </w:p>
    <w:tbl>
      <w:tblPr>
        <w:tblW w:w="0" w:type="auto"/>
        <w:tblInd w:w="247"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7341"/>
      </w:tblGrid>
      <w:tr w:rsidR="00E675F0" w:rsidTr="00A330E1">
        <w:trPr>
          <w:trHeight w:val="2487"/>
        </w:trPr>
        <w:tc>
          <w:tcPr>
            <w:tcW w:w="7341" w:type="dxa"/>
          </w:tcPr>
          <w:p w:rsidR="00E675F0" w:rsidRDefault="00E675F0" w:rsidP="003048D3">
            <w:pPr>
              <w:pStyle w:val="TableParagraph"/>
              <w:numPr>
                <w:ilvl w:val="0"/>
                <w:numId w:val="108"/>
              </w:numPr>
              <w:tabs>
                <w:tab w:val="left" w:pos="629"/>
              </w:tabs>
              <w:spacing w:before="27" w:line="211" w:lineRule="auto"/>
              <w:ind w:right="1499" w:hanging="380"/>
              <w:rPr>
                <w:rFonts w:ascii="Arial" w:hAnsi="Arial"/>
                <w:b/>
                <w:sz w:val="24"/>
              </w:rPr>
            </w:pPr>
            <w:r>
              <w:rPr>
                <w:rFonts w:ascii="Arial" w:hAnsi="Arial"/>
                <w:b/>
                <w:w w:val="105"/>
                <w:sz w:val="24"/>
              </w:rPr>
              <w:t xml:space="preserve">Diagnostic criteria for </w:t>
            </w:r>
            <w:r>
              <w:rPr>
                <w:rFonts w:ascii="Arial" w:hAnsi="Arial"/>
                <w:b/>
                <w:spacing w:val="11"/>
                <w:w w:val="105"/>
                <w:sz w:val="24"/>
              </w:rPr>
              <w:t>3I</w:t>
            </w:r>
            <w:r>
              <w:rPr>
                <w:rFonts w:ascii="Arial" w:hAnsi="Arial"/>
                <w:b/>
                <w:spacing w:val="-53"/>
                <w:w w:val="105"/>
                <w:sz w:val="24"/>
              </w:rPr>
              <w:t xml:space="preserve"> </w:t>
            </w:r>
            <w:r>
              <w:rPr>
                <w:rFonts w:ascii="Arial" w:hAnsi="Arial"/>
                <w:b/>
                <w:w w:val="105"/>
                <w:sz w:val="24"/>
              </w:rPr>
              <w:t>5</w:t>
            </w:r>
            <w:r>
              <w:rPr>
                <w:rFonts w:ascii="Arial" w:hAnsi="Arial"/>
                <w:b/>
                <w:w w:val="105"/>
                <w:sz w:val="23"/>
              </w:rPr>
              <w:t xml:space="preserve">.4 </w:t>
            </w:r>
            <w:r>
              <w:rPr>
                <w:rFonts w:ascii="Arial" w:hAnsi="Arial"/>
                <w:b/>
                <w:w w:val="105"/>
                <w:sz w:val="24"/>
              </w:rPr>
              <w:t>Developmental Coordination</w:t>
            </w:r>
            <w:r>
              <w:rPr>
                <w:rFonts w:ascii="Arial" w:hAnsi="Arial"/>
                <w:b/>
                <w:spacing w:val="6"/>
                <w:w w:val="105"/>
                <w:sz w:val="24"/>
              </w:rPr>
              <w:t xml:space="preserve"> </w:t>
            </w:r>
            <w:r>
              <w:rPr>
                <w:rFonts w:ascii="Arial" w:hAnsi="Arial"/>
                <w:b/>
                <w:w w:val="105"/>
                <w:sz w:val="24"/>
              </w:rPr>
              <w:t>Disorder</w:t>
            </w:r>
          </w:p>
          <w:p w:rsidR="00E675F0" w:rsidRDefault="00E675F0" w:rsidP="00A330E1">
            <w:pPr>
              <w:pStyle w:val="TableParagraph"/>
              <w:spacing w:before="171" w:line="256" w:lineRule="auto"/>
              <w:ind w:left="958" w:right="217" w:hanging="300"/>
              <w:jc w:val="both"/>
              <w:rPr>
                <w:sz w:val="20"/>
              </w:rPr>
            </w:pPr>
            <w:r>
              <w:rPr>
                <w:w w:val="105"/>
                <w:sz w:val="18"/>
              </w:rPr>
              <w:t xml:space="preserve">A. </w:t>
            </w:r>
            <w:r>
              <w:rPr>
                <w:w w:val="105"/>
                <w:sz w:val="20"/>
              </w:rPr>
              <w:t>Performance in daily activities that require motor coordination is sub­ stantially below that expected given the person's chronological age and measured intelligence. This may be manifested by marked delays in achieving motor milestones (e.g., walking, crawling, sitting), dropping things, "clumsiness," poor performance in sports, or poor handwriting.</w:t>
            </w:r>
          </w:p>
          <w:p w:rsidR="00E675F0" w:rsidRDefault="00E675F0" w:rsidP="00A330E1">
            <w:pPr>
              <w:pStyle w:val="TableParagraph"/>
              <w:spacing w:line="225" w:lineRule="exact"/>
              <w:ind w:right="206"/>
              <w:jc w:val="right"/>
              <w:rPr>
                <w:i/>
                <w:sz w:val="20"/>
              </w:rPr>
            </w:pPr>
            <w:r>
              <w:rPr>
                <w:i/>
                <w:w w:val="110"/>
                <w:sz w:val="20"/>
              </w:rPr>
              <w:t>(continued)</w:t>
            </w:r>
          </w:p>
        </w:tc>
      </w:tr>
    </w:tbl>
    <w:p w:rsidR="00E675F0" w:rsidRDefault="00E675F0" w:rsidP="00E675F0">
      <w:pPr>
        <w:spacing w:line="225" w:lineRule="exact"/>
        <w:jc w:val="right"/>
        <w:rPr>
          <w:sz w:val="20"/>
        </w:rPr>
        <w:sectPr w:rsidR="00E675F0">
          <w:pgSz w:w="8960" w:h="14260"/>
          <w:pgMar w:top="1400" w:right="600" w:bottom="280" w:left="620" w:header="692" w:footer="0" w:gutter="0"/>
          <w:cols w:space="720"/>
        </w:sectPr>
      </w:pPr>
    </w:p>
    <w:p w:rsidR="00E675F0" w:rsidRDefault="00E675F0" w:rsidP="00E675F0">
      <w:pPr>
        <w:pStyle w:val="BodyText"/>
        <w:spacing w:before="2"/>
        <w:rPr>
          <w:sz w:val="9"/>
        </w:rPr>
      </w:pPr>
      <w:r>
        <w:rPr>
          <w:noProof/>
        </w:rPr>
        <w:lastRenderedPageBreak/>
        <mc:AlternateContent>
          <mc:Choice Requires="wps">
            <w:drawing>
              <wp:anchor distT="0" distB="0" distL="114300" distR="114300" simplePos="0" relativeHeight="251675648" behindDoc="0" locked="0" layoutInCell="1" allowOverlap="1" wp14:anchorId="191F6B12" wp14:editId="655B53D9">
                <wp:simplePos x="0" y="0"/>
                <wp:positionH relativeFrom="page">
                  <wp:posOffset>464185</wp:posOffset>
                </wp:positionH>
                <wp:positionV relativeFrom="page">
                  <wp:posOffset>982980</wp:posOffset>
                </wp:positionV>
                <wp:extent cx="4765040" cy="0"/>
                <wp:effectExtent l="0" t="12700" r="22860" b="12700"/>
                <wp:wrapNone/>
                <wp:docPr id="1626" name="Line 15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765040" cy="0"/>
                        </a:xfrm>
                        <a:prstGeom prst="line">
                          <a:avLst/>
                        </a:prstGeom>
                        <a:noFill/>
                        <a:ln w="3357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5F74FB" id="Line 1582" o:spid="_x0000_s1026" style="position:absolute;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55pt,77.4pt" to="411.75pt,77.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" strokeweight=".93258mm">
                <o:lock v:ext="edit" shapetype="f"/>
                <w10:wrap anchorx="page" anchory="page"/>
              </v:line>
            </w:pict>
          </mc:Fallback>
        </mc:AlternateContent>
      </w:r>
    </w:p>
    <w:tbl>
      <w:tblPr>
        <w:tblW w:w="0" w:type="auto"/>
        <w:tblInd w:w="231"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7321"/>
      </w:tblGrid>
      <w:tr w:rsidR="00E675F0" w:rsidTr="00A330E1">
        <w:trPr>
          <w:trHeight w:val="3814"/>
        </w:trPr>
        <w:tc>
          <w:tcPr>
            <w:tcW w:w="7321" w:type="dxa"/>
          </w:tcPr>
          <w:p w:rsidR="00E675F0" w:rsidRDefault="00E675F0" w:rsidP="003048D3">
            <w:pPr>
              <w:pStyle w:val="TableParagraph"/>
              <w:numPr>
                <w:ilvl w:val="0"/>
                <w:numId w:val="107"/>
              </w:numPr>
              <w:tabs>
                <w:tab w:val="left" w:pos="592"/>
              </w:tabs>
              <w:spacing w:before="108" w:line="216" w:lineRule="auto"/>
              <w:ind w:right="476" w:hanging="328"/>
              <w:rPr>
                <w:rFonts w:ascii="Arial" w:hAnsi="Arial"/>
                <w:i/>
                <w:sz w:val="21"/>
              </w:rPr>
            </w:pPr>
            <w:bookmarkStart w:id="37" w:name="_bookmark22"/>
            <w:bookmarkEnd w:id="37"/>
            <w:r>
              <w:rPr>
                <w:rFonts w:ascii="Arial" w:hAnsi="Arial"/>
                <w:b/>
                <w:w w:val="105"/>
              </w:rPr>
              <w:t>Diagnostic</w:t>
            </w:r>
            <w:r>
              <w:rPr>
                <w:rFonts w:ascii="Arial" w:hAnsi="Arial"/>
                <w:b/>
                <w:spacing w:val="-12"/>
                <w:w w:val="105"/>
              </w:rPr>
              <w:t xml:space="preserve"> </w:t>
            </w:r>
            <w:r>
              <w:rPr>
                <w:rFonts w:ascii="Arial" w:hAnsi="Arial"/>
                <w:b/>
                <w:w w:val="105"/>
              </w:rPr>
              <w:t>criteria</w:t>
            </w:r>
            <w:r>
              <w:rPr>
                <w:rFonts w:ascii="Arial" w:hAnsi="Arial"/>
                <w:b/>
                <w:spacing w:val="-22"/>
                <w:w w:val="105"/>
              </w:rPr>
              <w:t xml:space="preserve"> </w:t>
            </w:r>
            <w:r>
              <w:rPr>
                <w:rFonts w:ascii="Arial" w:hAnsi="Arial"/>
                <w:b/>
                <w:w w:val="105"/>
              </w:rPr>
              <w:t>for</w:t>
            </w:r>
            <w:r>
              <w:rPr>
                <w:rFonts w:ascii="Arial" w:hAnsi="Arial"/>
                <w:b/>
                <w:spacing w:val="-14"/>
                <w:w w:val="105"/>
              </w:rPr>
              <w:t xml:space="preserve"> </w:t>
            </w:r>
            <w:r>
              <w:rPr>
                <w:rFonts w:ascii="Arial" w:hAnsi="Arial"/>
                <w:b/>
                <w:w w:val="105"/>
              </w:rPr>
              <w:t>315.4</w:t>
            </w:r>
            <w:r>
              <w:rPr>
                <w:rFonts w:ascii="Arial" w:hAnsi="Arial"/>
                <w:b/>
                <w:spacing w:val="-19"/>
                <w:w w:val="105"/>
              </w:rPr>
              <w:t xml:space="preserve"> </w:t>
            </w:r>
            <w:r>
              <w:rPr>
                <w:rFonts w:ascii="Arial" w:hAnsi="Arial"/>
                <w:b/>
                <w:w w:val="105"/>
              </w:rPr>
              <w:t>Developmental</w:t>
            </w:r>
            <w:r>
              <w:rPr>
                <w:rFonts w:ascii="Arial" w:hAnsi="Arial"/>
                <w:b/>
                <w:spacing w:val="-11"/>
                <w:w w:val="105"/>
              </w:rPr>
              <w:t xml:space="preserve"> </w:t>
            </w:r>
            <w:r>
              <w:rPr>
                <w:rFonts w:ascii="Arial" w:hAnsi="Arial"/>
                <w:b/>
                <w:w w:val="105"/>
              </w:rPr>
              <w:t>Coordination Disorder</w:t>
            </w:r>
            <w:r>
              <w:rPr>
                <w:rFonts w:ascii="Arial" w:hAnsi="Arial"/>
                <w:b/>
                <w:spacing w:val="17"/>
                <w:w w:val="105"/>
              </w:rPr>
              <w:t xml:space="preserve"> </w:t>
            </w:r>
            <w:r>
              <w:rPr>
                <w:rFonts w:ascii="Arial" w:hAnsi="Arial"/>
                <w:i/>
                <w:w w:val="105"/>
                <w:sz w:val="21"/>
              </w:rPr>
              <w:t>(continued)</w:t>
            </w:r>
          </w:p>
          <w:p w:rsidR="00E675F0" w:rsidRDefault="00E675F0" w:rsidP="00A330E1">
            <w:pPr>
              <w:pStyle w:val="TableParagraph"/>
              <w:rPr>
                <w:sz w:val="19"/>
              </w:rPr>
            </w:pPr>
          </w:p>
          <w:p w:rsidR="00E675F0" w:rsidRDefault="00E675F0" w:rsidP="003048D3">
            <w:pPr>
              <w:pStyle w:val="TableParagraph"/>
              <w:numPr>
                <w:ilvl w:val="1"/>
                <w:numId w:val="107"/>
              </w:numPr>
              <w:tabs>
                <w:tab w:val="left" w:pos="958"/>
              </w:tabs>
              <w:spacing w:line="249" w:lineRule="auto"/>
              <w:ind w:right="220" w:hanging="300"/>
              <w:jc w:val="both"/>
              <w:rPr>
                <w:sz w:val="20"/>
              </w:rPr>
            </w:pPr>
            <w:r>
              <w:rPr>
                <w:sz w:val="20"/>
              </w:rPr>
              <w:t>The disturbance in Criterion A significantly interferes with academic achievement or activities of daily</w:t>
            </w:r>
            <w:r>
              <w:rPr>
                <w:spacing w:val="-4"/>
                <w:sz w:val="20"/>
              </w:rPr>
              <w:t xml:space="preserve"> </w:t>
            </w:r>
            <w:r>
              <w:rPr>
                <w:sz w:val="20"/>
              </w:rPr>
              <w:t>living.</w:t>
            </w:r>
          </w:p>
          <w:p w:rsidR="00E675F0" w:rsidRDefault="00E675F0" w:rsidP="003048D3">
            <w:pPr>
              <w:pStyle w:val="TableParagraph"/>
              <w:numPr>
                <w:ilvl w:val="1"/>
                <w:numId w:val="107"/>
              </w:numPr>
              <w:tabs>
                <w:tab w:val="left" w:pos="953"/>
              </w:tabs>
              <w:spacing w:before="195" w:line="254" w:lineRule="auto"/>
              <w:ind w:left="955" w:right="223" w:hanging="303"/>
              <w:jc w:val="both"/>
              <w:rPr>
                <w:sz w:val="20"/>
              </w:rPr>
            </w:pPr>
            <w:r>
              <w:rPr>
                <w:w w:val="105"/>
                <w:sz w:val="20"/>
              </w:rPr>
              <w:t>The disturbance is not due to a general medical condition (e.g., cerebral palsy, hemiplegia, or muscular dystrophy) and does not meet criteria  for a Pervasive Developmental</w:t>
            </w:r>
            <w:r>
              <w:rPr>
                <w:spacing w:val="12"/>
                <w:w w:val="105"/>
                <w:sz w:val="20"/>
              </w:rPr>
              <w:t xml:space="preserve"> </w:t>
            </w:r>
            <w:r>
              <w:rPr>
                <w:w w:val="105"/>
                <w:sz w:val="20"/>
              </w:rPr>
              <w:t>Disorder.</w:t>
            </w:r>
          </w:p>
          <w:p w:rsidR="00E675F0" w:rsidRDefault="00E675F0" w:rsidP="003048D3">
            <w:pPr>
              <w:pStyle w:val="TableParagraph"/>
              <w:numPr>
                <w:ilvl w:val="1"/>
                <w:numId w:val="107"/>
              </w:numPr>
              <w:tabs>
                <w:tab w:val="left" w:pos="945"/>
              </w:tabs>
              <w:spacing w:before="181" w:line="256" w:lineRule="auto"/>
              <w:ind w:left="966" w:right="224" w:hanging="310"/>
              <w:jc w:val="both"/>
              <w:rPr>
                <w:sz w:val="20"/>
              </w:rPr>
            </w:pPr>
            <w:r>
              <w:rPr>
                <w:rFonts w:ascii="Arial"/>
                <w:w w:val="105"/>
                <w:sz w:val="20"/>
              </w:rPr>
              <w:t xml:space="preserve">If </w:t>
            </w:r>
            <w:r>
              <w:rPr>
                <w:w w:val="105"/>
                <w:sz w:val="20"/>
              </w:rPr>
              <w:t>Mental Retardation is present, the motor difficulties are in excess of those usually associated with</w:t>
            </w:r>
            <w:r>
              <w:rPr>
                <w:spacing w:val="10"/>
                <w:w w:val="105"/>
                <w:sz w:val="20"/>
              </w:rPr>
              <w:t xml:space="preserve"> </w:t>
            </w:r>
            <w:r>
              <w:rPr>
                <w:w w:val="105"/>
                <w:sz w:val="20"/>
              </w:rPr>
              <w:t>it.</w:t>
            </w:r>
          </w:p>
          <w:p w:rsidR="00E675F0" w:rsidRDefault="00E675F0" w:rsidP="00A330E1">
            <w:pPr>
              <w:pStyle w:val="TableParagraph"/>
              <w:spacing w:before="166" w:line="261" w:lineRule="auto"/>
              <w:ind w:left="659" w:right="248" w:hanging="7"/>
              <w:rPr>
                <w:sz w:val="17"/>
              </w:rPr>
            </w:pPr>
            <w:r>
              <w:rPr>
                <w:b/>
                <w:w w:val="105"/>
                <w:sz w:val="18"/>
              </w:rPr>
              <w:t xml:space="preserve">Coding note: </w:t>
            </w:r>
            <w:r>
              <w:rPr>
                <w:w w:val="105"/>
                <w:sz w:val="18"/>
              </w:rPr>
              <w:t xml:space="preserve">If </w:t>
            </w:r>
            <w:r>
              <w:rPr>
                <w:w w:val="105"/>
                <w:sz w:val="17"/>
              </w:rPr>
              <w:t>a</w:t>
            </w:r>
            <w:r>
              <w:rPr>
                <w:spacing w:val="44"/>
                <w:w w:val="105"/>
                <w:sz w:val="17"/>
              </w:rPr>
              <w:t xml:space="preserve"> </w:t>
            </w:r>
            <w:r>
              <w:rPr>
                <w:w w:val="105"/>
                <w:sz w:val="17"/>
              </w:rPr>
              <w:t>general  medical  (e.g.,  neurological)  condition  or sensory  deficit is present, code the condition on Axis III.</w:t>
            </w:r>
          </w:p>
        </w:tc>
      </w:tr>
    </w:tbl>
    <w:p w:rsidR="00E675F0" w:rsidRDefault="00E675F0" w:rsidP="00E675F0">
      <w:pPr>
        <w:pStyle w:val="BodyText"/>
      </w:pPr>
    </w:p>
    <w:p w:rsidR="00E675F0" w:rsidRDefault="00E675F0" w:rsidP="00E675F0">
      <w:pPr>
        <w:pStyle w:val="BodyText"/>
      </w:pPr>
    </w:p>
    <w:p w:rsidR="00E675F0" w:rsidRDefault="00E675F0" w:rsidP="00E675F0">
      <w:pPr>
        <w:pStyle w:val="BodyText"/>
        <w:spacing w:before="10"/>
        <w:rPr>
          <w:sz w:val="19"/>
        </w:rPr>
      </w:pPr>
      <w:r>
        <w:rPr>
          <w:noProof/>
        </w:rPr>
        <mc:AlternateContent>
          <mc:Choice Requires="wps">
            <w:drawing>
              <wp:anchor distT="0" distB="0" distL="0" distR="0" simplePos="0" relativeHeight="251840512" behindDoc="1" locked="0" layoutInCell="1" allowOverlap="1" wp14:anchorId="7BACA284" wp14:editId="28E3975E">
                <wp:simplePos x="0" y="0"/>
                <wp:positionH relativeFrom="page">
                  <wp:posOffset>501015</wp:posOffset>
                </wp:positionH>
                <wp:positionV relativeFrom="paragraph">
                  <wp:posOffset>173355</wp:posOffset>
                </wp:positionV>
                <wp:extent cx="1197610" cy="1270"/>
                <wp:effectExtent l="0" t="0" r="0" b="0"/>
                <wp:wrapTopAndBottom/>
                <wp:docPr id="1625" name="Freeform 1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7610" cy="1270"/>
                        </a:xfrm>
                        <a:custGeom>
                          <a:avLst/>
                          <a:gdLst>
                            <a:gd name="T0" fmla="+- 0 789 789"/>
                            <a:gd name="T1" fmla="*/ T0 w 1886"/>
                            <a:gd name="T2" fmla="+- 0 2675 789"/>
                            <a:gd name="T3" fmla="*/ T2 w 1886"/>
                          </a:gdLst>
                          <a:ahLst/>
                          <a:cxnLst>
                            <a:cxn ang="0">
                              <a:pos x="T1" y="0"/>
                            </a:cxn>
                            <a:cxn ang="0">
                              <a:pos x="T3" y="0"/>
                            </a:cxn>
                          </a:cxnLst>
                          <a:rect l="0" t="0" r="r" b="b"/>
                          <a:pathLst>
                            <a:path w="1886">
                              <a:moveTo>
                                <a:pt x="0" y="0"/>
                              </a:moveTo>
                              <a:lnTo>
                                <a:pt x="1886" y="0"/>
                              </a:lnTo>
                            </a:path>
                          </a:pathLst>
                        </a:custGeom>
                        <a:noFill/>
                        <a:ln w="61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5DD66" id="Freeform 1581" o:spid="_x0000_s1026" style="position:absolute;margin-left:39.45pt;margin-top:13.65pt;width:94.3pt;height:.1pt;z-index:-251475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86,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" path="m,l1886,e" filled="f" strokeweight=".16956mm">
                <v:path arrowok="t" o:connecttype="custom" o:connectlocs="0,0;1197610,0" o:connectangles="0,0"/>
                <w10:wrap type="topAndBottom" anchorx="page"/>
              </v:shape>
            </w:pict>
          </mc:Fallback>
        </mc:AlternateContent>
      </w:r>
      <w:r>
        <w:rPr>
          <w:noProof/>
        </w:rPr>
        <mc:AlternateContent>
          <mc:Choice Requires="wps">
            <w:drawing>
              <wp:anchor distT="0" distB="0" distL="0" distR="0" simplePos="0" relativeHeight="251841536" behindDoc="1" locked="0" layoutInCell="1" allowOverlap="1" wp14:anchorId="3E32BCE7" wp14:editId="3B85B5E5">
                <wp:simplePos x="0" y="0"/>
                <wp:positionH relativeFrom="page">
                  <wp:posOffset>4093210</wp:posOffset>
                </wp:positionH>
                <wp:positionV relativeFrom="paragraph">
                  <wp:posOffset>173355</wp:posOffset>
                </wp:positionV>
                <wp:extent cx="1111885" cy="1270"/>
                <wp:effectExtent l="0" t="0" r="5715" b="0"/>
                <wp:wrapTopAndBottom/>
                <wp:docPr id="1624" name="Freeform 15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1885" cy="1270"/>
                        </a:xfrm>
                        <a:custGeom>
                          <a:avLst/>
                          <a:gdLst>
                            <a:gd name="T0" fmla="+- 0 6446 6446"/>
                            <a:gd name="T1" fmla="*/ T0 w 1751"/>
                            <a:gd name="T2" fmla="+- 0 8197 6446"/>
                            <a:gd name="T3" fmla="*/ T2 w 1751"/>
                          </a:gdLst>
                          <a:ahLst/>
                          <a:cxnLst>
                            <a:cxn ang="0">
                              <a:pos x="T1" y="0"/>
                            </a:cxn>
                            <a:cxn ang="0">
                              <a:pos x="T3" y="0"/>
                            </a:cxn>
                          </a:cxnLst>
                          <a:rect l="0" t="0" r="r" b="b"/>
                          <a:pathLst>
                            <a:path w="1751">
                              <a:moveTo>
                                <a:pt x="0" y="0"/>
                              </a:moveTo>
                              <a:lnTo>
                                <a:pt x="1751" y="0"/>
                              </a:lnTo>
                            </a:path>
                          </a:pathLst>
                        </a:custGeom>
                        <a:noFill/>
                        <a:ln w="305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9ABB2" id="Freeform 1580" o:spid="_x0000_s1026" style="position:absolute;margin-left:322.3pt;margin-top:13.65pt;width:87.55pt;height:.1pt;z-index:-251474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5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" path="m,l1751,e" filled="f" strokeweight=".08478mm">
                <v:path arrowok="t" o:connecttype="custom" o:connectlocs="0,0;1111885,0" o:connectangles="0,0"/>
                <w10:wrap type="topAndBottom" anchorx="page"/>
              </v:shape>
            </w:pict>
          </mc:Fallback>
        </mc:AlternateContent>
      </w:r>
    </w:p>
    <w:p w:rsidR="00E675F0" w:rsidRDefault="00E675F0" w:rsidP="00E675F0">
      <w:pPr>
        <w:spacing w:before="111"/>
        <w:ind w:left="136" w:right="101"/>
        <w:jc w:val="center"/>
        <w:rPr>
          <w:rFonts w:ascii="Arial"/>
          <w:b/>
          <w:sz w:val="25"/>
        </w:rPr>
      </w:pPr>
      <w:r>
        <w:rPr>
          <w:rFonts w:ascii="Arial"/>
          <w:b/>
          <w:color w:val="262626"/>
          <w:w w:val="105"/>
          <w:sz w:val="25"/>
        </w:rPr>
        <w:t>Communication Disorders</w:t>
      </w:r>
    </w:p>
    <w:p w:rsidR="00E675F0" w:rsidRDefault="00E675F0" w:rsidP="00E675F0">
      <w:pPr>
        <w:pStyle w:val="BodyText"/>
        <w:spacing w:before="7"/>
        <w:rPr>
          <w:rFonts w:ascii="Arial"/>
          <w:b/>
          <w:sz w:val="22"/>
        </w:rPr>
      </w:pPr>
    </w:p>
    <w:p w:rsidR="00E675F0" w:rsidRDefault="00E675F0" w:rsidP="00E675F0">
      <w:pPr>
        <w:pStyle w:val="BodyText"/>
        <w:spacing w:line="254" w:lineRule="auto"/>
        <w:ind w:left="133" w:right="121" w:hanging="4"/>
        <w:jc w:val="both"/>
      </w:pPr>
      <w:r>
        <w:rPr>
          <w:w w:val="105"/>
        </w:rPr>
        <w:t>The following Communication Disorders are included in this section: Expressive Language Disorder, Mixed Receptive-Expressive Language Disorder, Phonological Dis­ order, Stuttering, and Communication Disorder Not Otherwise Specified. They are included in this classification to familiarize clinicians with the ways in which Commu­ nication Disorders present and to facilitate their differential diagnosis.</w:t>
      </w:r>
    </w:p>
    <w:p w:rsidR="00E675F0" w:rsidRDefault="00E675F0" w:rsidP="00E675F0">
      <w:pPr>
        <w:pStyle w:val="BodyText"/>
        <w:rPr>
          <w:sz w:val="22"/>
        </w:rPr>
      </w:pPr>
    </w:p>
    <w:p w:rsidR="00E675F0" w:rsidRDefault="00E675F0" w:rsidP="00E675F0">
      <w:pPr>
        <w:pStyle w:val="BodyText"/>
        <w:spacing w:before="9"/>
      </w:pPr>
    </w:p>
    <w:p w:rsidR="00E675F0" w:rsidRDefault="00E675F0" w:rsidP="00E675F0">
      <w:pPr>
        <w:tabs>
          <w:tab w:val="left" w:pos="1079"/>
        </w:tabs>
        <w:spacing w:before="1"/>
        <w:ind w:left="10"/>
        <w:jc w:val="center"/>
        <w:rPr>
          <w:rFonts w:ascii="Arial"/>
          <w:b/>
          <w:sz w:val="25"/>
        </w:rPr>
      </w:pPr>
      <w:r>
        <w:rPr>
          <w:rFonts w:ascii="Arial"/>
          <w:b/>
          <w:w w:val="105"/>
          <w:sz w:val="25"/>
        </w:rPr>
        <w:t>315.31</w:t>
      </w:r>
      <w:r>
        <w:rPr>
          <w:rFonts w:ascii="Arial"/>
          <w:b/>
          <w:w w:val="105"/>
          <w:sz w:val="25"/>
        </w:rPr>
        <w:tab/>
        <w:t>Expressive Language</w:t>
      </w:r>
      <w:r>
        <w:rPr>
          <w:rFonts w:ascii="Arial"/>
          <w:b/>
          <w:spacing w:val="28"/>
          <w:w w:val="105"/>
          <w:sz w:val="25"/>
        </w:rPr>
        <w:t xml:space="preserve"> </w:t>
      </w:r>
      <w:r>
        <w:rPr>
          <w:rFonts w:ascii="Arial"/>
          <w:b/>
          <w:w w:val="105"/>
          <w:sz w:val="25"/>
        </w:rPr>
        <w:t>Disorder</w:t>
      </w:r>
    </w:p>
    <w:p w:rsidR="00E675F0" w:rsidRDefault="00E675F0" w:rsidP="00E675F0">
      <w:pPr>
        <w:pStyle w:val="BodyText"/>
        <w:spacing w:before="9"/>
        <w:rPr>
          <w:rFonts w:ascii="Arial"/>
          <w:b/>
          <w:sz w:val="24"/>
        </w:rPr>
      </w:pPr>
    </w:p>
    <w:p w:rsidR="00E675F0" w:rsidRDefault="00E675F0" w:rsidP="00E675F0">
      <w:pPr>
        <w:ind w:left="119"/>
        <w:jc w:val="both"/>
        <w:rPr>
          <w:rFonts w:ascii="TimesNewRomanPS-BoldItalicMT"/>
          <w:b/>
          <w:i/>
          <w:sz w:val="24"/>
        </w:rPr>
      </w:pPr>
      <w:r>
        <w:rPr>
          <w:rFonts w:ascii="TimesNewRomanPS-BoldItalicMT"/>
          <w:b/>
          <w:i/>
          <w:w w:val="115"/>
          <w:sz w:val="24"/>
        </w:rPr>
        <w:t>Diagnostic Features</w:t>
      </w:r>
    </w:p>
    <w:p w:rsidR="00E675F0" w:rsidRDefault="00E675F0" w:rsidP="00E675F0">
      <w:pPr>
        <w:pStyle w:val="BodyText"/>
        <w:spacing w:before="127" w:line="254" w:lineRule="auto"/>
        <w:ind w:left="129" w:right="110"/>
        <w:jc w:val="both"/>
      </w:pPr>
      <w:r>
        <w:rPr>
          <w:w w:val="105"/>
        </w:rPr>
        <w:t xml:space="preserve">The essential feature of Expressive Language Disorder is an impairment in expressive language development as demonstrated by scores on standardized individually admin­ istered measures of expressive language development substantially below those ob­ tained from standardized measures of both nonverbal intellectual capacity and receptive language development (Criterion </w:t>
      </w:r>
      <w:r>
        <w:rPr>
          <w:w w:val="105"/>
          <w:sz w:val="17"/>
        </w:rPr>
        <w:t xml:space="preserve">A). </w:t>
      </w:r>
      <w:r>
        <w:rPr>
          <w:w w:val="105"/>
        </w:rPr>
        <w:t xml:space="preserve">The difficulties may occur in communication involving both verbal language and sign language. The language difficulties interfere with academic or occupational achievement or with social communication (Criterion </w:t>
      </w:r>
      <w:r>
        <w:rPr>
          <w:rFonts w:ascii="Arial" w:hAnsi="Arial"/>
          <w:w w:val="105"/>
          <w:sz w:val="17"/>
        </w:rPr>
        <w:t xml:space="preserve">B). </w:t>
      </w:r>
      <w:r>
        <w:rPr>
          <w:w w:val="105"/>
        </w:rPr>
        <w:t xml:space="preserve">The symptoms do not meet criteria for Mixed Receptive-Expressive Language Disorder or a Pervasive Developmental Disorder (Criterion C). </w:t>
      </w:r>
      <w:r>
        <w:rPr>
          <w:rFonts w:ascii="Arial" w:hAnsi="Arial"/>
          <w:w w:val="105"/>
        </w:rPr>
        <w:t xml:space="preserve">If </w:t>
      </w:r>
      <w:r>
        <w:rPr>
          <w:w w:val="105"/>
        </w:rPr>
        <w:t>Mental Retardation, a speech­ motor</w:t>
      </w:r>
      <w:r>
        <w:rPr>
          <w:spacing w:val="-13"/>
          <w:w w:val="105"/>
        </w:rPr>
        <w:t xml:space="preserve"> </w:t>
      </w:r>
      <w:r>
        <w:rPr>
          <w:w w:val="105"/>
        </w:rPr>
        <w:t>or</w:t>
      </w:r>
      <w:r>
        <w:rPr>
          <w:spacing w:val="-20"/>
          <w:w w:val="105"/>
        </w:rPr>
        <w:t xml:space="preserve"> </w:t>
      </w:r>
      <w:r>
        <w:rPr>
          <w:w w:val="105"/>
        </w:rPr>
        <w:t>sensory</w:t>
      </w:r>
      <w:r>
        <w:rPr>
          <w:spacing w:val="-18"/>
          <w:w w:val="105"/>
        </w:rPr>
        <w:t xml:space="preserve"> </w:t>
      </w:r>
      <w:r>
        <w:rPr>
          <w:w w:val="105"/>
        </w:rPr>
        <w:t>deficit,</w:t>
      </w:r>
      <w:r>
        <w:rPr>
          <w:spacing w:val="-7"/>
          <w:w w:val="105"/>
        </w:rPr>
        <w:t xml:space="preserve"> </w:t>
      </w:r>
      <w:r>
        <w:rPr>
          <w:w w:val="105"/>
        </w:rPr>
        <w:t>or</w:t>
      </w:r>
      <w:r>
        <w:rPr>
          <w:spacing w:val="-19"/>
          <w:w w:val="105"/>
        </w:rPr>
        <w:t xml:space="preserve"> </w:t>
      </w:r>
      <w:r>
        <w:rPr>
          <w:w w:val="105"/>
        </w:rPr>
        <w:t>environmental</w:t>
      </w:r>
      <w:r>
        <w:rPr>
          <w:spacing w:val="-8"/>
          <w:w w:val="105"/>
        </w:rPr>
        <w:t xml:space="preserve"> </w:t>
      </w:r>
      <w:r>
        <w:rPr>
          <w:w w:val="105"/>
        </w:rPr>
        <w:t>deprivation</w:t>
      </w:r>
      <w:r>
        <w:rPr>
          <w:spacing w:val="3"/>
          <w:w w:val="105"/>
        </w:rPr>
        <w:t xml:space="preserve"> </w:t>
      </w:r>
      <w:r>
        <w:rPr>
          <w:w w:val="105"/>
        </w:rPr>
        <w:t>is</w:t>
      </w:r>
      <w:r>
        <w:rPr>
          <w:spacing w:val="-15"/>
          <w:w w:val="105"/>
        </w:rPr>
        <w:t xml:space="preserve"> </w:t>
      </w:r>
      <w:r>
        <w:rPr>
          <w:w w:val="105"/>
        </w:rPr>
        <w:t>present,</w:t>
      </w:r>
      <w:r>
        <w:rPr>
          <w:spacing w:val="-2"/>
          <w:w w:val="105"/>
        </w:rPr>
        <w:t xml:space="preserve"> </w:t>
      </w:r>
      <w:r>
        <w:rPr>
          <w:w w:val="105"/>
        </w:rPr>
        <w:t>the</w:t>
      </w:r>
      <w:r>
        <w:rPr>
          <w:spacing w:val="-19"/>
          <w:w w:val="105"/>
        </w:rPr>
        <w:t xml:space="preserve"> </w:t>
      </w:r>
      <w:r>
        <w:rPr>
          <w:w w:val="105"/>
        </w:rPr>
        <w:t>language</w:t>
      </w:r>
      <w:r>
        <w:rPr>
          <w:spacing w:val="-8"/>
          <w:w w:val="105"/>
        </w:rPr>
        <w:t xml:space="preserve"> </w:t>
      </w:r>
      <w:r>
        <w:rPr>
          <w:w w:val="105"/>
        </w:rPr>
        <w:t xml:space="preserve">difficulties are in excess of those usually associated with these problems (Criterion </w:t>
      </w:r>
      <w:r>
        <w:rPr>
          <w:rFonts w:ascii="Arial" w:hAnsi="Arial"/>
          <w:w w:val="105"/>
          <w:sz w:val="17"/>
        </w:rPr>
        <w:t xml:space="preserve">D). </w:t>
      </w:r>
      <w:r>
        <w:rPr>
          <w:rFonts w:ascii="Arial" w:hAnsi="Arial"/>
          <w:w w:val="105"/>
        </w:rPr>
        <w:t xml:space="preserve">If </w:t>
      </w:r>
      <w:r>
        <w:rPr>
          <w:w w:val="105"/>
        </w:rPr>
        <w:t>a speech-motor or sensory deficit or neurological condition is present, it should be coded on Axis</w:t>
      </w:r>
      <w:r>
        <w:rPr>
          <w:spacing w:val="26"/>
          <w:w w:val="105"/>
        </w:rPr>
        <w:t xml:space="preserve"> </w:t>
      </w:r>
      <w:r>
        <w:rPr>
          <w:w w:val="105"/>
        </w:rPr>
        <w:t>III.</w:t>
      </w:r>
    </w:p>
    <w:p w:rsidR="00E675F0" w:rsidRDefault="00E675F0" w:rsidP="00E675F0">
      <w:pPr>
        <w:pStyle w:val="BodyText"/>
        <w:spacing w:line="254" w:lineRule="auto"/>
        <w:ind w:left="138" w:right="119" w:firstLine="356"/>
        <w:jc w:val="both"/>
      </w:pPr>
      <w:r>
        <w:rPr>
          <w:w w:val="105"/>
        </w:rPr>
        <w:t>The linguistic features of the disorder vary depending on its severity and the age of the</w:t>
      </w:r>
      <w:r>
        <w:rPr>
          <w:spacing w:val="-20"/>
          <w:w w:val="105"/>
        </w:rPr>
        <w:t xml:space="preserve"> </w:t>
      </w:r>
      <w:r>
        <w:rPr>
          <w:w w:val="105"/>
        </w:rPr>
        <w:t>child.</w:t>
      </w:r>
      <w:r>
        <w:rPr>
          <w:spacing w:val="-11"/>
          <w:w w:val="105"/>
        </w:rPr>
        <w:t xml:space="preserve"> </w:t>
      </w:r>
      <w:r>
        <w:rPr>
          <w:w w:val="105"/>
        </w:rPr>
        <w:t>These</w:t>
      </w:r>
      <w:r>
        <w:rPr>
          <w:spacing w:val="-8"/>
          <w:w w:val="105"/>
        </w:rPr>
        <w:t xml:space="preserve"> </w:t>
      </w:r>
      <w:r>
        <w:rPr>
          <w:w w:val="105"/>
        </w:rPr>
        <w:t>features</w:t>
      </w:r>
      <w:r>
        <w:rPr>
          <w:spacing w:val="-7"/>
          <w:w w:val="105"/>
        </w:rPr>
        <w:t xml:space="preserve"> </w:t>
      </w:r>
      <w:r>
        <w:rPr>
          <w:w w:val="105"/>
        </w:rPr>
        <w:t>include</w:t>
      </w:r>
      <w:r>
        <w:rPr>
          <w:spacing w:val="-4"/>
          <w:w w:val="105"/>
        </w:rPr>
        <w:t xml:space="preserve"> </w:t>
      </w:r>
      <w:r>
        <w:rPr>
          <w:w w:val="105"/>
        </w:rPr>
        <w:t>a</w:t>
      </w:r>
      <w:r>
        <w:rPr>
          <w:spacing w:val="-15"/>
          <w:w w:val="105"/>
        </w:rPr>
        <w:t xml:space="preserve"> </w:t>
      </w:r>
      <w:r>
        <w:rPr>
          <w:w w:val="105"/>
        </w:rPr>
        <w:t>limited</w:t>
      </w:r>
      <w:r>
        <w:rPr>
          <w:spacing w:val="-8"/>
          <w:w w:val="105"/>
        </w:rPr>
        <w:t xml:space="preserve"> </w:t>
      </w:r>
      <w:r>
        <w:rPr>
          <w:w w:val="105"/>
        </w:rPr>
        <w:t>amount</w:t>
      </w:r>
      <w:r>
        <w:rPr>
          <w:spacing w:val="-3"/>
          <w:w w:val="105"/>
        </w:rPr>
        <w:t xml:space="preserve"> </w:t>
      </w:r>
      <w:r>
        <w:rPr>
          <w:w w:val="105"/>
        </w:rPr>
        <w:t>of</w:t>
      </w:r>
      <w:r>
        <w:rPr>
          <w:spacing w:val="-10"/>
          <w:w w:val="105"/>
        </w:rPr>
        <w:t xml:space="preserve"> </w:t>
      </w:r>
      <w:r>
        <w:rPr>
          <w:w w:val="105"/>
        </w:rPr>
        <w:t>speech,</w:t>
      </w:r>
      <w:r>
        <w:rPr>
          <w:spacing w:val="-6"/>
          <w:w w:val="105"/>
        </w:rPr>
        <w:t xml:space="preserve"> </w:t>
      </w:r>
      <w:r>
        <w:rPr>
          <w:w w:val="105"/>
        </w:rPr>
        <w:t>limited</w:t>
      </w:r>
      <w:r>
        <w:rPr>
          <w:spacing w:val="-6"/>
          <w:w w:val="105"/>
        </w:rPr>
        <w:t xml:space="preserve"> </w:t>
      </w:r>
      <w:r>
        <w:rPr>
          <w:w w:val="105"/>
        </w:rPr>
        <w:t>range</w:t>
      </w:r>
      <w:r>
        <w:rPr>
          <w:spacing w:val="-16"/>
          <w:w w:val="105"/>
        </w:rPr>
        <w:t xml:space="preserve"> </w:t>
      </w:r>
      <w:r>
        <w:rPr>
          <w:w w:val="105"/>
        </w:rPr>
        <w:t>of</w:t>
      </w:r>
      <w:r>
        <w:rPr>
          <w:spacing w:val="-12"/>
          <w:w w:val="105"/>
        </w:rPr>
        <w:t xml:space="preserve"> </w:t>
      </w:r>
      <w:r>
        <w:rPr>
          <w:w w:val="105"/>
        </w:rPr>
        <w:t>vocabulary, difficulty acquiring new words, word-finding or vocabulary errors, shortened</w:t>
      </w:r>
      <w:r>
        <w:rPr>
          <w:spacing w:val="16"/>
          <w:w w:val="105"/>
        </w:rPr>
        <w:t xml:space="preserve"> </w:t>
      </w:r>
      <w:r>
        <w:rPr>
          <w:w w:val="105"/>
        </w:rPr>
        <w:t>sentences,</w:t>
      </w:r>
    </w:p>
    <w:p w:rsidR="00E675F0" w:rsidRDefault="00E675F0" w:rsidP="00E675F0">
      <w:pPr>
        <w:spacing w:line="254" w:lineRule="auto"/>
        <w:jc w:val="both"/>
        <w:sectPr w:rsidR="00E675F0">
          <w:headerReference w:type="even" r:id="rId67"/>
          <w:headerReference w:type="default" r:id="rId68"/>
          <w:pgSz w:w="8960" w:h="14260"/>
          <w:pgMar w:top="1400" w:right="620" w:bottom="280" w:left="620" w:header="683" w:footer="0" w:gutter="0"/>
          <w:pgNumType w:start="55"/>
          <w:cols w:space="720"/>
        </w:sectPr>
      </w:pPr>
    </w:p>
    <w:p w:rsidR="00E675F0" w:rsidRDefault="00E675F0" w:rsidP="00E675F0">
      <w:pPr>
        <w:pStyle w:val="BodyText"/>
        <w:spacing w:before="140" w:line="254" w:lineRule="auto"/>
        <w:ind w:left="129" w:right="100" w:firstLine="2"/>
        <w:jc w:val="both"/>
      </w:pPr>
      <w:r>
        <w:rPr>
          <w:w w:val="105"/>
        </w:rPr>
        <w:lastRenderedPageBreak/>
        <w:t>simplified grammatical structures, limited varieties of grammatical structures (e.g., verb forms), limited varieties of sentence types (e.g., imperatives, questions), omissions of critical parts of sentences, use of unusual word order, and slow rate of language development. Nonlinguistic functioning (as measured by performance intelligence tests) and language comprehension skills are usually within normal limits. Expressive Lan­ guage Disorder may be either acquired or developmental. In the acquired type, an impairment in expressive language occurs after a period of normal development as a result of a neurological or other general medical condition (e.g., encephalitis, head trauma, irradiation). In the developmental type, there is an impairment in expressive language that is not associated with a neurological insult of known origin. Children with this type often begin speaking late and progress more slowly than usual through the various stages of expressive language development.</w:t>
      </w:r>
    </w:p>
    <w:p w:rsidR="00E675F0" w:rsidRDefault="00E675F0" w:rsidP="00E675F0">
      <w:pPr>
        <w:pStyle w:val="BodyText"/>
        <w:rPr>
          <w:sz w:val="22"/>
        </w:rPr>
      </w:pPr>
    </w:p>
    <w:p w:rsidR="00E675F0" w:rsidRDefault="00E675F0" w:rsidP="00E675F0">
      <w:pPr>
        <w:pStyle w:val="BodyText"/>
        <w:spacing w:before="10"/>
        <w:rPr>
          <w:sz w:val="23"/>
        </w:rPr>
      </w:pPr>
    </w:p>
    <w:p w:rsidR="00E675F0" w:rsidRDefault="00E675F0" w:rsidP="00E675F0">
      <w:pPr>
        <w:ind w:left="111"/>
        <w:rPr>
          <w:rFonts w:ascii="TimesNewRomanPS-BoldItalicMT"/>
          <w:b/>
          <w:i/>
          <w:sz w:val="24"/>
        </w:rPr>
      </w:pPr>
      <w:r>
        <w:rPr>
          <w:rFonts w:ascii="TimesNewRomanPS-BoldItalicMT"/>
          <w:b/>
          <w:i/>
          <w:w w:val="120"/>
          <w:sz w:val="24"/>
        </w:rPr>
        <w:t>Associated Features and Disorders</w:t>
      </w:r>
    </w:p>
    <w:p w:rsidR="00E675F0" w:rsidRDefault="00E675F0" w:rsidP="00E675F0">
      <w:pPr>
        <w:pStyle w:val="BodyText"/>
        <w:spacing w:before="179" w:line="254" w:lineRule="auto"/>
        <w:ind w:left="126" w:right="100" w:hanging="1"/>
        <w:jc w:val="both"/>
      </w:pPr>
      <w:r>
        <w:rPr>
          <w:w w:val="105"/>
        </w:rPr>
        <w:t>The most common associated feature of Expressive Language Disorder in younger children is Phonological Disorder. There may also be a disturbance in fluency and language formulation involving an abnormally rapid rate and erratic rhythm of speech and disturbances in language structure ("cluttering"). When Expressive Language Disorder is acquired, additional speech difficulties are also common and may include motor articulation problems, phonological errors, slow speech, syllable repetitions, and monotonous intonation and stress patterns. Among school-age children, school and learning problems (e.g., writing to dictation, copying sentences, and spelling) that sometimes meet criteria for Learning Disorders are often associated with Expressive Language Disorder. There may also be some mild impairment in receptive language skills, but when this is significant, a diagnosis of Mixed Receptive-Expressive Language Disorder should be made. A history of delay in reaching some motor milestones, Developmental Coordination Disorder, and Enuresis are not uncommon. Social with­ drawal and some mental disorders such as Attention-Deficit/Hyperactivity Disorder are also commonly associated. Expressive Language Disorder may be accompanied by EEG abnormalities, abnormal findings on neuroimaging, dysarthric or apraxic behaviors, or other neurological signs.</w:t>
      </w:r>
    </w:p>
    <w:p w:rsidR="00E675F0" w:rsidRDefault="00E675F0" w:rsidP="00E675F0">
      <w:pPr>
        <w:pStyle w:val="BodyText"/>
        <w:rPr>
          <w:sz w:val="22"/>
        </w:rPr>
      </w:pPr>
    </w:p>
    <w:p w:rsidR="00E675F0" w:rsidRDefault="00E675F0" w:rsidP="00E675F0">
      <w:pPr>
        <w:pStyle w:val="BodyText"/>
        <w:spacing w:before="1"/>
        <w:rPr>
          <w:sz w:val="21"/>
        </w:rPr>
      </w:pPr>
    </w:p>
    <w:p w:rsidR="00E675F0" w:rsidRDefault="00E675F0" w:rsidP="00E675F0">
      <w:pPr>
        <w:ind w:left="132"/>
        <w:rPr>
          <w:rFonts w:ascii="TimesNewRomanPS-BoldItalicMT"/>
          <w:b/>
          <w:i/>
          <w:sz w:val="24"/>
        </w:rPr>
      </w:pPr>
      <w:r>
        <w:rPr>
          <w:rFonts w:ascii="TimesNewRomanPS-BoldItalicMT"/>
          <w:b/>
          <w:i/>
          <w:w w:val="115"/>
          <w:sz w:val="24"/>
        </w:rPr>
        <w:t>Specific Culture and Gender Features</w:t>
      </w:r>
    </w:p>
    <w:p w:rsidR="00E675F0" w:rsidRDefault="00E675F0" w:rsidP="00E675F0">
      <w:pPr>
        <w:pStyle w:val="BodyText"/>
        <w:spacing w:before="180" w:line="256" w:lineRule="auto"/>
        <w:ind w:left="130" w:right="99" w:firstLine="4"/>
        <w:jc w:val="both"/>
      </w:pPr>
      <w:r>
        <w:rPr>
          <w:w w:val="105"/>
        </w:rPr>
        <w:t>Assessments of the development of communication abilities must take into account the individual's cultural and language context, particularly for individuals growing up in bilingual environments. The standardized measures of language development and of nonverbal intellectual capacity must be relevant for the cultural and linguistic  group. The developmental type of Expressive Language Disorder is more common in males than in</w:t>
      </w:r>
      <w:r>
        <w:rPr>
          <w:spacing w:val="21"/>
          <w:w w:val="105"/>
        </w:rPr>
        <w:t xml:space="preserve"> </w:t>
      </w:r>
      <w:r>
        <w:rPr>
          <w:w w:val="105"/>
        </w:rPr>
        <w:t>females.</w:t>
      </w:r>
    </w:p>
    <w:p w:rsidR="00E675F0" w:rsidRDefault="00E675F0" w:rsidP="00E675F0">
      <w:pPr>
        <w:pStyle w:val="BodyText"/>
        <w:rPr>
          <w:sz w:val="22"/>
        </w:rPr>
      </w:pPr>
    </w:p>
    <w:p w:rsidR="00E675F0" w:rsidRDefault="00E675F0" w:rsidP="00E675F0">
      <w:pPr>
        <w:pStyle w:val="BodyText"/>
        <w:spacing w:before="8"/>
        <w:rPr>
          <w:sz w:val="22"/>
        </w:rPr>
      </w:pPr>
    </w:p>
    <w:p w:rsidR="00E675F0" w:rsidRDefault="00E675F0" w:rsidP="00E675F0">
      <w:pPr>
        <w:spacing w:before="1"/>
        <w:ind w:left="124"/>
        <w:rPr>
          <w:rFonts w:ascii="TimesNewRomanPS-BoldItalicMT"/>
          <w:b/>
          <w:i/>
          <w:sz w:val="24"/>
        </w:rPr>
      </w:pPr>
      <w:r>
        <w:rPr>
          <w:rFonts w:ascii="TimesNewRomanPS-BoldItalicMT"/>
          <w:b/>
          <w:i/>
          <w:w w:val="115"/>
          <w:sz w:val="24"/>
        </w:rPr>
        <w:t>Prevalence</w:t>
      </w:r>
    </w:p>
    <w:p w:rsidR="00E675F0" w:rsidRDefault="00E675F0" w:rsidP="00E675F0">
      <w:pPr>
        <w:pStyle w:val="BodyText"/>
        <w:spacing w:before="179" w:line="256" w:lineRule="auto"/>
        <w:ind w:left="139" w:right="104" w:hanging="2"/>
        <w:jc w:val="both"/>
      </w:pPr>
      <w:r>
        <w:rPr>
          <w:w w:val="105"/>
        </w:rPr>
        <w:t>Estimates suggest that 3%--5% of children may be affected by the developmental  type of Expressive Language Disorder. The acquired type is less common.</w:t>
      </w:r>
    </w:p>
    <w:p w:rsidR="00E675F0" w:rsidRDefault="00E675F0" w:rsidP="00E675F0">
      <w:pPr>
        <w:spacing w:line="256" w:lineRule="auto"/>
        <w:jc w:val="both"/>
        <w:sectPr w:rsidR="00E675F0">
          <w:pgSz w:w="8960" w:h="14260"/>
          <w:pgMar w:top="1400" w:right="620" w:bottom="280" w:left="620" w:header="705" w:footer="0" w:gutter="0"/>
          <w:cols w:space="720"/>
        </w:sectPr>
      </w:pPr>
    </w:p>
    <w:p w:rsidR="00E675F0" w:rsidRDefault="00E675F0" w:rsidP="00E675F0">
      <w:pPr>
        <w:spacing w:before="125"/>
        <w:ind w:left="116"/>
        <w:rPr>
          <w:rFonts w:ascii="TimesNewRomanPS-BoldItalicMT"/>
          <w:b/>
          <w:i/>
          <w:sz w:val="24"/>
        </w:rPr>
      </w:pPr>
      <w:r>
        <w:rPr>
          <w:rFonts w:ascii="TimesNewRomanPS-BoldItalicMT"/>
          <w:b/>
          <w:i/>
          <w:w w:val="115"/>
          <w:sz w:val="24"/>
        </w:rPr>
        <w:lastRenderedPageBreak/>
        <w:t>Course</w:t>
      </w:r>
    </w:p>
    <w:p w:rsidR="00E675F0" w:rsidRDefault="00E675F0" w:rsidP="00E675F0">
      <w:pPr>
        <w:pStyle w:val="BodyText"/>
        <w:spacing w:before="127" w:line="254" w:lineRule="auto"/>
        <w:ind w:left="138" w:right="108" w:hanging="3"/>
        <w:jc w:val="both"/>
      </w:pPr>
      <w:r>
        <w:rPr>
          <w:w w:val="105"/>
        </w:rPr>
        <w:t xml:space="preserve">The developmental type of Expressive Language Disorder is usually recognized  by age 3 years, although milder forms of the disorder may not become apparent until early adolescence, when language ordinarily becomes more complex. The acquired type of Expressive Language Disorder due to brain lesions, head trauma, or stroke may occur at any age, and the onset is sudden. The outcome of the developmental type of Expressive Language Disorder </w:t>
      </w:r>
      <w:r>
        <w:rPr>
          <w:w w:val="105"/>
          <w:sz w:val="18"/>
        </w:rPr>
        <w:t xml:space="preserve">is </w:t>
      </w:r>
      <w:r>
        <w:rPr>
          <w:w w:val="105"/>
        </w:rPr>
        <w:t>variable. Approximately one-half of the children with this disorder appear</w:t>
      </w:r>
      <w:r>
        <w:rPr>
          <w:spacing w:val="-7"/>
          <w:w w:val="105"/>
        </w:rPr>
        <w:t xml:space="preserve"> </w:t>
      </w:r>
      <w:r>
        <w:rPr>
          <w:w w:val="105"/>
        </w:rPr>
        <w:t>to</w:t>
      </w:r>
      <w:r>
        <w:rPr>
          <w:spacing w:val="-13"/>
          <w:w w:val="105"/>
        </w:rPr>
        <w:t xml:space="preserve"> </w:t>
      </w:r>
      <w:r>
        <w:rPr>
          <w:w w:val="105"/>
        </w:rPr>
        <w:t>outgrow</w:t>
      </w:r>
      <w:r>
        <w:rPr>
          <w:spacing w:val="-3"/>
          <w:w w:val="105"/>
        </w:rPr>
        <w:t xml:space="preserve"> </w:t>
      </w:r>
      <w:r>
        <w:rPr>
          <w:w w:val="105"/>
        </w:rPr>
        <w:t>it,</w:t>
      </w:r>
      <w:r>
        <w:rPr>
          <w:spacing w:val="-13"/>
          <w:w w:val="105"/>
        </w:rPr>
        <w:t xml:space="preserve"> </w:t>
      </w:r>
      <w:r>
        <w:rPr>
          <w:w w:val="105"/>
        </w:rPr>
        <w:t>whereas</w:t>
      </w:r>
      <w:r>
        <w:rPr>
          <w:spacing w:val="-9"/>
          <w:w w:val="105"/>
        </w:rPr>
        <w:t xml:space="preserve"> </w:t>
      </w:r>
      <w:r>
        <w:rPr>
          <w:w w:val="105"/>
        </w:rPr>
        <w:t>one-half appear</w:t>
      </w:r>
      <w:r>
        <w:rPr>
          <w:spacing w:val="-6"/>
          <w:w w:val="105"/>
        </w:rPr>
        <w:t xml:space="preserve"> </w:t>
      </w:r>
      <w:r>
        <w:rPr>
          <w:w w:val="105"/>
        </w:rPr>
        <w:t>to</w:t>
      </w:r>
      <w:r>
        <w:rPr>
          <w:spacing w:val="-15"/>
          <w:w w:val="105"/>
        </w:rPr>
        <w:t xml:space="preserve"> </w:t>
      </w:r>
      <w:r>
        <w:rPr>
          <w:w w:val="105"/>
        </w:rPr>
        <w:t>have</w:t>
      </w:r>
      <w:r>
        <w:rPr>
          <w:spacing w:val="-8"/>
          <w:w w:val="105"/>
        </w:rPr>
        <w:t xml:space="preserve"> </w:t>
      </w:r>
      <w:r>
        <w:rPr>
          <w:w w:val="105"/>
        </w:rPr>
        <w:t>more</w:t>
      </w:r>
      <w:r>
        <w:rPr>
          <w:spacing w:val="-12"/>
          <w:w w:val="105"/>
        </w:rPr>
        <w:t xml:space="preserve"> </w:t>
      </w:r>
      <w:r>
        <w:rPr>
          <w:w w:val="105"/>
        </w:rPr>
        <w:t>long-lasting</w:t>
      </w:r>
      <w:r>
        <w:rPr>
          <w:spacing w:val="-10"/>
          <w:w w:val="105"/>
        </w:rPr>
        <w:t xml:space="preserve"> </w:t>
      </w:r>
      <w:r>
        <w:rPr>
          <w:w w:val="105"/>
        </w:rPr>
        <w:t>difficulties.</w:t>
      </w:r>
      <w:r>
        <w:rPr>
          <w:spacing w:val="-7"/>
          <w:w w:val="105"/>
        </w:rPr>
        <w:t xml:space="preserve"> </w:t>
      </w:r>
      <w:r>
        <w:rPr>
          <w:w w:val="105"/>
        </w:rPr>
        <w:t>Most children ultimately acquire more or less normal language abilities by late adolescence, although</w:t>
      </w:r>
      <w:r>
        <w:rPr>
          <w:spacing w:val="-19"/>
          <w:w w:val="105"/>
        </w:rPr>
        <w:t xml:space="preserve"> </w:t>
      </w:r>
      <w:r>
        <w:rPr>
          <w:w w:val="105"/>
        </w:rPr>
        <w:t>subtle</w:t>
      </w:r>
      <w:r>
        <w:rPr>
          <w:spacing w:val="-20"/>
          <w:w w:val="105"/>
        </w:rPr>
        <w:t xml:space="preserve"> </w:t>
      </w:r>
      <w:r>
        <w:rPr>
          <w:w w:val="105"/>
        </w:rPr>
        <w:t>deficits</w:t>
      </w:r>
      <w:r>
        <w:rPr>
          <w:spacing w:val="-18"/>
          <w:w w:val="105"/>
        </w:rPr>
        <w:t xml:space="preserve"> </w:t>
      </w:r>
      <w:r>
        <w:rPr>
          <w:w w:val="105"/>
        </w:rPr>
        <w:t>may</w:t>
      </w:r>
      <w:r>
        <w:rPr>
          <w:spacing w:val="-16"/>
          <w:w w:val="105"/>
        </w:rPr>
        <w:t xml:space="preserve"> </w:t>
      </w:r>
      <w:r>
        <w:rPr>
          <w:w w:val="105"/>
        </w:rPr>
        <w:t>persist.</w:t>
      </w:r>
      <w:r>
        <w:rPr>
          <w:spacing w:val="-18"/>
          <w:w w:val="105"/>
        </w:rPr>
        <w:t xml:space="preserve"> </w:t>
      </w:r>
      <w:r>
        <w:rPr>
          <w:w w:val="105"/>
        </w:rPr>
        <w:t>In</w:t>
      </w:r>
      <w:r>
        <w:rPr>
          <w:spacing w:val="-24"/>
          <w:w w:val="105"/>
        </w:rPr>
        <w:t xml:space="preserve"> </w:t>
      </w:r>
      <w:r>
        <w:rPr>
          <w:w w:val="105"/>
        </w:rPr>
        <w:t>the</w:t>
      </w:r>
      <w:r>
        <w:rPr>
          <w:spacing w:val="-23"/>
          <w:w w:val="105"/>
        </w:rPr>
        <w:t xml:space="preserve"> </w:t>
      </w:r>
      <w:r>
        <w:rPr>
          <w:w w:val="105"/>
        </w:rPr>
        <w:t>acquired</w:t>
      </w:r>
      <w:r>
        <w:rPr>
          <w:spacing w:val="-17"/>
          <w:w w:val="105"/>
        </w:rPr>
        <w:t xml:space="preserve"> </w:t>
      </w:r>
      <w:r>
        <w:rPr>
          <w:w w:val="105"/>
        </w:rPr>
        <w:t>type</w:t>
      </w:r>
      <w:r>
        <w:rPr>
          <w:spacing w:val="-22"/>
          <w:w w:val="105"/>
        </w:rPr>
        <w:t xml:space="preserve"> </w:t>
      </w:r>
      <w:r>
        <w:rPr>
          <w:w w:val="105"/>
        </w:rPr>
        <w:t>of</w:t>
      </w:r>
      <w:r>
        <w:rPr>
          <w:spacing w:val="-20"/>
          <w:w w:val="105"/>
        </w:rPr>
        <w:t xml:space="preserve"> </w:t>
      </w:r>
      <w:r>
        <w:rPr>
          <w:w w:val="105"/>
        </w:rPr>
        <w:t>Expressive</w:t>
      </w:r>
      <w:r>
        <w:rPr>
          <w:spacing w:val="-13"/>
          <w:w w:val="105"/>
        </w:rPr>
        <w:t xml:space="preserve"> </w:t>
      </w:r>
      <w:r>
        <w:rPr>
          <w:w w:val="105"/>
        </w:rPr>
        <w:t>Language</w:t>
      </w:r>
      <w:r>
        <w:rPr>
          <w:spacing w:val="-16"/>
          <w:w w:val="105"/>
        </w:rPr>
        <w:t xml:space="preserve"> </w:t>
      </w:r>
      <w:r>
        <w:rPr>
          <w:w w:val="105"/>
        </w:rPr>
        <w:t>Disorder, the</w:t>
      </w:r>
      <w:r>
        <w:rPr>
          <w:spacing w:val="-20"/>
          <w:w w:val="105"/>
        </w:rPr>
        <w:t xml:space="preserve"> </w:t>
      </w:r>
      <w:r>
        <w:rPr>
          <w:w w:val="105"/>
        </w:rPr>
        <w:t>course</w:t>
      </w:r>
      <w:r>
        <w:rPr>
          <w:spacing w:val="-12"/>
          <w:w w:val="105"/>
        </w:rPr>
        <w:t xml:space="preserve"> </w:t>
      </w:r>
      <w:r>
        <w:rPr>
          <w:w w:val="105"/>
        </w:rPr>
        <w:t>and</w:t>
      </w:r>
      <w:r>
        <w:rPr>
          <w:spacing w:val="-12"/>
          <w:w w:val="105"/>
        </w:rPr>
        <w:t xml:space="preserve"> </w:t>
      </w:r>
      <w:r>
        <w:rPr>
          <w:w w:val="105"/>
        </w:rPr>
        <w:t>prognosis</w:t>
      </w:r>
      <w:r>
        <w:rPr>
          <w:spacing w:val="-13"/>
          <w:w w:val="105"/>
        </w:rPr>
        <w:t xml:space="preserve"> </w:t>
      </w:r>
      <w:r>
        <w:rPr>
          <w:w w:val="105"/>
        </w:rPr>
        <w:t>are</w:t>
      </w:r>
      <w:r>
        <w:rPr>
          <w:spacing w:val="-15"/>
          <w:w w:val="105"/>
        </w:rPr>
        <w:t xml:space="preserve"> </w:t>
      </w:r>
      <w:r>
        <w:rPr>
          <w:w w:val="105"/>
        </w:rPr>
        <w:t>related</w:t>
      </w:r>
      <w:r>
        <w:rPr>
          <w:spacing w:val="-11"/>
          <w:w w:val="105"/>
        </w:rPr>
        <w:t xml:space="preserve"> </w:t>
      </w:r>
      <w:r>
        <w:rPr>
          <w:w w:val="105"/>
        </w:rPr>
        <w:t>to</w:t>
      </w:r>
      <w:r>
        <w:rPr>
          <w:spacing w:val="-8"/>
          <w:w w:val="105"/>
        </w:rPr>
        <w:t xml:space="preserve"> </w:t>
      </w:r>
      <w:r>
        <w:rPr>
          <w:w w:val="105"/>
        </w:rPr>
        <w:t>the</w:t>
      </w:r>
      <w:r>
        <w:rPr>
          <w:spacing w:val="-22"/>
          <w:w w:val="105"/>
        </w:rPr>
        <w:t xml:space="preserve"> </w:t>
      </w:r>
      <w:r>
        <w:rPr>
          <w:w w:val="105"/>
        </w:rPr>
        <w:t>severity</w:t>
      </w:r>
      <w:r>
        <w:rPr>
          <w:spacing w:val="-11"/>
          <w:w w:val="105"/>
        </w:rPr>
        <w:t xml:space="preserve"> </w:t>
      </w:r>
      <w:r>
        <w:rPr>
          <w:w w:val="105"/>
        </w:rPr>
        <w:t>and</w:t>
      </w:r>
      <w:r>
        <w:rPr>
          <w:spacing w:val="-17"/>
          <w:w w:val="105"/>
        </w:rPr>
        <w:t xml:space="preserve"> </w:t>
      </w:r>
      <w:r>
        <w:rPr>
          <w:w w:val="105"/>
        </w:rPr>
        <w:t>location</w:t>
      </w:r>
      <w:r>
        <w:rPr>
          <w:spacing w:val="-11"/>
          <w:w w:val="105"/>
        </w:rPr>
        <w:t xml:space="preserve"> </w:t>
      </w:r>
      <w:r>
        <w:rPr>
          <w:w w:val="105"/>
        </w:rPr>
        <w:t>of</w:t>
      </w:r>
      <w:r>
        <w:rPr>
          <w:spacing w:val="-8"/>
          <w:w w:val="105"/>
        </w:rPr>
        <w:t xml:space="preserve"> </w:t>
      </w:r>
      <w:r>
        <w:rPr>
          <w:w w:val="105"/>
        </w:rPr>
        <w:t>brain</w:t>
      </w:r>
      <w:r>
        <w:rPr>
          <w:spacing w:val="-8"/>
          <w:w w:val="105"/>
        </w:rPr>
        <w:t xml:space="preserve"> </w:t>
      </w:r>
      <w:r>
        <w:rPr>
          <w:w w:val="105"/>
        </w:rPr>
        <w:t>pathology,</w:t>
      </w:r>
      <w:r>
        <w:rPr>
          <w:spacing w:val="-1"/>
          <w:w w:val="105"/>
        </w:rPr>
        <w:t xml:space="preserve"> </w:t>
      </w:r>
      <w:r>
        <w:rPr>
          <w:w w:val="105"/>
        </w:rPr>
        <w:t>as</w:t>
      </w:r>
      <w:r>
        <w:rPr>
          <w:spacing w:val="-24"/>
          <w:w w:val="105"/>
        </w:rPr>
        <w:t xml:space="preserve"> </w:t>
      </w:r>
      <w:r>
        <w:rPr>
          <w:w w:val="105"/>
        </w:rPr>
        <w:t>well as to the age of the child and the extent of language development at the time the disorder is acquired. Clinical improvement in language abilities is sometimes rapid and complete, whereas in other instances there may be incomplete recovery or progressive</w:t>
      </w:r>
      <w:r>
        <w:rPr>
          <w:spacing w:val="4"/>
          <w:w w:val="105"/>
        </w:rPr>
        <w:t xml:space="preserve"> </w:t>
      </w:r>
      <w:r>
        <w:rPr>
          <w:w w:val="105"/>
        </w:rPr>
        <w:t>deficit.</w:t>
      </w:r>
    </w:p>
    <w:p w:rsidR="00E675F0" w:rsidRDefault="00E675F0" w:rsidP="00E675F0">
      <w:pPr>
        <w:pStyle w:val="BodyText"/>
        <w:spacing w:before="8"/>
        <w:rPr>
          <w:sz w:val="31"/>
        </w:rPr>
      </w:pPr>
    </w:p>
    <w:p w:rsidR="00E675F0" w:rsidRDefault="00E675F0" w:rsidP="00E675F0">
      <w:pPr>
        <w:spacing w:before="1"/>
        <w:ind w:left="121"/>
        <w:rPr>
          <w:rFonts w:ascii="TimesNewRomanPS-BoldItalicMT"/>
          <w:b/>
          <w:i/>
          <w:sz w:val="24"/>
        </w:rPr>
      </w:pPr>
      <w:r>
        <w:rPr>
          <w:rFonts w:ascii="TimesNewRomanPS-BoldItalicMT"/>
          <w:b/>
          <w:i/>
          <w:w w:val="115"/>
          <w:sz w:val="24"/>
        </w:rPr>
        <w:t>Familial Pattern</w:t>
      </w:r>
    </w:p>
    <w:p w:rsidR="00E675F0" w:rsidRDefault="00E675F0" w:rsidP="00E675F0">
      <w:pPr>
        <w:pStyle w:val="BodyText"/>
        <w:spacing w:before="131" w:line="256" w:lineRule="auto"/>
        <w:ind w:left="143" w:right="122" w:hanging="2"/>
        <w:jc w:val="both"/>
      </w:pPr>
      <w:r>
        <w:rPr>
          <w:w w:val="105"/>
          <w:sz w:val="19"/>
        </w:rPr>
        <w:t xml:space="preserve">It </w:t>
      </w:r>
      <w:r>
        <w:rPr>
          <w:w w:val="105"/>
        </w:rPr>
        <w:t>appears that the developmental type of Expressive Language Disorder is more likely to occur in individuals who have a family history of Communication or Learning Disorders. There is no evidence of familial aggregation in the acquired</w:t>
      </w:r>
      <w:r>
        <w:rPr>
          <w:spacing w:val="-2"/>
          <w:w w:val="105"/>
        </w:rPr>
        <w:t xml:space="preserve"> </w:t>
      </w:r>
      <w:r>
        <w:rPr>
          <w:w w:val="105"/>
        </w:rPr>
        <w:t>type.</w:t>
      </w:r>
    </w:p>
    <w:p w:rsidR="00E675F0" w:rsidRDefault="00E675F0" w:rsidP="00E675F0">
      <w:pPr>
        <w:pStyle w:val="BodyText"/>
        <w:spacing w:before="7"/>
        <w:rPr>
          <w:sz w:val="31"/>
        </w:rPr>
      </w:pPr>
    </w:p>
    <w:p w:rsidR="00E675F0" w:rsidRDefault="00E675F0" w:rsidP="00E675F0">
      <w:pPr>
        <w:ind w:left="126"/>
        <w:rPr>
          <w:rFonts w:ascii="TimesNewRomanPS-BoldItalicMT"/>
          <w:b/>
          <w:i/>
          <w:sz w:val="24"/>
        </w:rPr>
      </w:pPr>
      <w:r>
        <w:rPr>
          <w:rFonts w:ascii="TimesNewRomanPS-BoldItalicMT"/>
          <w:b/>
          <w:i/>
          <w:w w:val="115"/>
          <w:sz w:val="24"/>
        </w:rPr>
        <w:t>Differential Diagnosis</w:t>
      </w:r>
    </w:p>
    <w:p w:rsidR="00E675F0" w:rsidRDefault="00E675F0" w:rsidP="00E675F0">
      <w:pPr>
        <w:pStyle w:val="BodyText"/>
        <w:spacing w:before="132" w:line="254" w:lineRule="auto"/>
        <w:ind w:left="136" w:right="111" w:firstLine="5"/>
        <w:jc w:val="both"/>
      </w:pPr>
      <w:r>
        <w:rPr>
          <w:w w:val="105"/>
        </w:rPr>
        <w:t xml:space="preserve">Expressive Language Disorder is distinguished from </w:t>
      </w:r>
      <w:r>
        <w:rPr>
          <w:b/>
          <w:w w:val="105"/>
        </w:rPr>
        <w:t xml:space="preserve">Mixed Receptive-Expressive Language Disorder </w:t>
      </w:r>
      <w:r>
        <w:rPr>
          <w:w w:val="105"/>
        </w:rPr>
        <w:t xml:space="preserve">by the presence in the latter of significant impairment in receptive language. Expressive Language Disorder is not diagnosed if the criteria are met for Autistic Disorder or another Pervasive Developmental Disorder. </w:t>
      </w:r>
      <w:r>
        <w:rPr>
          <w:b/>
          <w:w w:val="105"/>
        </w:rPr>
        <w:t xml:space="preserve">Autistic Disorder </w:t>
      </w:r>
      <w:r>
        <w:rPr>
          <w:w w:val="105"/>
        </w:rPr>
        <w:t xml:space="preserve">also involves expressive language impairment but may be distinguished from Expressive and Mixed Receptive-Expressive Language Disorders by the characteristics of the communi­ cation impairment (e.g., stereotyped use oflanguage) and by the presence of a qualitative impairment in social interaction and restricted, repetitive, and stereotyped patterns of behavior. Expressive and receptive language development may be impaired due to </w:t>
      </w:r>
      <w:r>
        <w:rPr>
          <w:b/>
          <w:w w:val="105"/>
        </w:rPr>
        <w:t xml:space="preserve">Mental Retardation, </w:t>
      </w:r>
      <w:r>
        <w:rPr>
          <w:rFonts w:ascii="Arial" w:hAnsi="Arial"/>
          <w:b/>
          <w:w w:val="105"/>
          <w:sz w:val="17"/>
        </w:rPr>
        <w:t xml:space="preserve">a </w:t>
      </w:r>
      <w:r>
        <w:rPr>
          <w:b/>
          <w:w w:val="105"/>
        </w:rPr>
        <w:t xml:space="preserve">hearing impairment </w:t>
      </w:r>
      <w:r>
        <w:rPr>
          <w:rFonts w:ascii="Arial" w:hAnsi="Arial"/>
          <w:b/>
          <w:w w:val="105"/>
          <w:sz w:val="17"/>
        </w:rPr>
        <w:t xml:space="preserve">or </w:t>
      </w:r>
      <w:r>
        <w:rPr>
          <w:b/>
          <w:w w:val="105"/>
        </w:rPr>
        <w:t xml:space="preserve">other sensory deficit, </w:t>
      </w:r>
      <w:r>
        <w:rPr>
          <w:rFonts w:ascii="Arial" w:hAnsi="Arial"/>
          <w:b/>
          <w:w w:val="105"/>
          <w:sz w:val="17"/>
        </w:rPr>
        <w:t xml:space="preserve">a </w:t>
      </w:r>
      <w:r>
        <w:rPr>
          <w:b/>
          <w:w w:val="105"/>
        </w:rPr>
        <w:t xml:space="preserve">speech­ motordeficit, </w:t>
      </w:r>
      <w:r>
        <w:rPr>
          <w:rFonts w:ascii="Arial" w:hAnsi="Arial"/>
          <w:b/>
          <w:w w:val="105"/>
          <w:sz w:val="17"/>
        </w:rPr>
        <w:t xml:space="preserve">or </w:t>
      </w:r>
      <w:r>
        <w:rPr>
          <w:b/>
          <w:w w:val="105"/>
        </w:rPr>
        <w:t xml:space="preserve">severeenvironmentaldeprivation. </w:t>
      </w:r>
      <w:r>
        <w:rPr>
          <w:w w:val="105"/>
        </w:rPr>
        <w:t xml:space="preserve">The presence of these problems may be established by intelligence testing, audiometric testing, neurological testing, and history. </w:t>
      </w:r>
      <w:r>
        <w:rPr>
          <w:w w:val="105"/>
          <w:sz w:val="19"/>
        </w:rPr>
        <w:t xml:space="preserve">If </w:t>
      </w:r>
      <w:r>
        <w:rPr>
          <w:w w:val="105"/>
        </w:rPr>
        <w:t>the language difficulties are in excess of those usually associated with these problems,</w:t>
      </w:r>
      <w:r>
        <w:rPr>
          <w:spacing w:val="-10"/>
          <w:w w:val="105"/>
        </w:rPr>
        <w:t xml:space="preserve"> </w:t>
      </w:r>
      <w:r>
        <w:rPr>
          <w:w w:val="105"/>
        </w:rPr>
        <w:t>a</w:t>
      </w:r>
      <w:r>
        <w:rPr>
          <w:spacing w:val="-19"/>
          <w:w w:val="105"/>
        </w:rPr>
        <w:t xml:space="preserve"> </w:t>
      </w:r>
      <w:r>
        <w:rPr>
          <w:w w:val="105"/>
        </w:rPr>
        <w:t>concurrent</w:t>
      </w:r>
      <w:r>
        <w:rPr>
          <w:spacing w:val="-12"/>
          <w:w w:val="105"/>
        </w:rPr>
        <w:t xml:space="preserve"> </w:t>
      </w:r>
      <w:r>
        <w:rPr>
          <w:w w:val="105"/>
        </w:rPr>
        <w:t>diagnosis</w:t>
      </w:r>
      <w:r>
        <w:rPr>
          <w:spacing w:val="-16"/>
          <w:w w:val="105"/>
        </w:rPr>
        <w:t xml:space="preserve"> </w:t>
      </w:r>
      <w:r>
        <w:rPr>
          <w:w w:val="105"/>
        </w:rPr>
        <w:t>of</w:t>
      </w:r>
      <w:r>
        <w:rPr>
          <w:spacing w:val="-12"/>
          <w:w w:val="105"/>
        </w:rPr>
        <w:t xml:space="preserve"> </w:t>
      </w:r>
      <w:r>
        <w:rPr>
          <w:w w:val="105"/>
        </w:rPr>
        <w:t>Expressive</w:t>
      </w:r>
      <w:r>
        <w:rPr>
          <w:spacing w:val="-8"/>
          <w:w w:val="105"/>
        </w:rPr>
        <w:t xml:space="preserve"> </w:t>
      </w:r>
      <w:r>
        <w:rPr>
          <w:w w:val="105"/>
        </w:rPr>
        <w:t>Language</w:t>
      </w:r>
      <w:r>
        <w:rPr>
          <w:spacing w:val="-13"/>
          <w:w w:val="105"/>
        </w:rPr>
        <w:t xml:space="preserve"> </w:t>
      </w:r>
      <w:r>
        <w:rPr>
          <w:w w:val="105"/>
        </w:rPr>
        <w:t>or</w:t>
      </w:r>
      <w:r>
        <w:rPr>
          <w:spacing w:val="-21"/>
          <w:w w:val="105"/>
        </w:rPr>
        <w:t xml:space="preserve"> </w:t>
      </w:r>
      <w:r>
        <w:rPr>
          <w:w w:val="105"/>
        </w:rPr>
        <w:t>Mixed</w:t>
      </w:r>
      <w:r>
        <w:rPr>
          <w:spacing w:val="-18"/>
          <w:w w:val="105"/>
        </w:rPr>
        <w:t xml:space="preserve"> </w:t>
      </w:r>
      <w:r>
        <w:rPr>
          <w:w w:val="105"/>
        </w:rPr>
        <w:t xml:space="preserve">Receptive-Expressive Language Disorder may be made. Children with expressive language delays due to environmental deprivation may show rapid gains once the environmental problems are ameliorated. In </w:t>
      </w:r>
      <w:r>
        <w:rPr>
          <w:b/>
          <w:w w:val="105"/>
        </w:rPr>
        <w:t xml:space="preserve">Disorder of Written Expression, </w:t>
      </w:r>
      <w:r>
        <w:rPr>
          <w:w w:val="105"/>
        </w:rPr>
        <w:t>there is a disturbance in  writing skills.</w:t>
      </w:r>
      <w:r>
        <w:rPr>
          <w:spacing w:val="-2"/>
          <w:w w:val="105"/>
        </w:rPr>
        <w:t xml:space="preserve"> </w:t>
      </w:r>
      <w:r>
        <w:rPr>
          <w:w w:val="105"/>
        </w:rPr>
        <w:t>If</w:t>
      </w:r>
      <w:r>
        <w:rPr>
          <w:spacing w:val="-5"/>
          <w:w w:val="105"/>
        </w:rPr>
        <w:t xml:space="preserve"> </w:t>
      </w:r>
      <w:r>
        <w:rPr>
          <w:w w:val="105"/>
        </w:rPr>
        <w:t>deficits</w:t>
      </w:r>
      <w:r>
        <w:rPr>
          <w:spacing w:val="-1"/>
          <w:w w:val="105"/>
        </w:rPr>
        <w:t xml:space="preserve"> </w:t>
      </w:r>
      <w:r>
        <w:rPr>
          <w:w w:val="105"/>
        </w:rPr>
        <w:t>in</w:t>
      </w:r>
      <w:r>
        <w:rPr>
          <w:spacing w:val="-10"/>
          <w:w w:val="105"/>
        </w:rPr>
        <w:t xml:space="preserve"> </w:t>
      </w:r>
      <w:r>
        <w:rPr>
          <w:w w:val="105"/>
        </w:rPr>
        <w:t>oral</w:t>
      </w:r>
      <w:r>
        <w:rPr>
          <w:spacing w:val="-10"/>
          <w:w w:val="105"/>
        </w:rPr>
        <w:t xml:space="preserve"> </w:t>
      </w:r>
      <w:r>
        <w:rPr>
          <w:w w:val="105"/>
        </w:rPr>
        <w:t>expression</w:t>
      </w:r>
      <w:r>
        <w:rPr>
          <w:spacing w:val="2"/>
          <w:w w:val="105"/>
        </w:rPr>
        <w:t xml:space="preserve"> </w:t>
      </w:r>
      <w:r>
        <w:rPr>
          <w:w w:val="105"/>
        </w:rPr>
        <w:t>are</w:t>
      </w:r>
      <w:r>
        <w:rPr>
          <w:spacing w:val="-13"/>
          <w:w w:val="105"/>
        </w:rPr>
        <w:t xml:space="preserve"> </w:t>
      </w:r>
      <w:r>
        <w:rPr>
          <w:w w:val="105"/>
        </w:rPr>
        <w:t>also</w:t>
      </w:r>
      <w:r>
        <w:rPr>
          <w:spacing w:val="-10"/>
          <w:w w:val="105"/>
        </w:rPr>
        <w:t xml:space="preserve"> </w:t>
      </w:r>
      <w:r>
        <w:rPr>
          <w:w w:val="105"/>
        </w:rPr>
        <w:t>present,</w:t>
      </w:r>
      <w:r>
        <w:rPr>
          <w:spacing w:val="-3"/>
          <w:w w:val="105"/>
        </w:rPr>
        <w:t xml:space="preserve"> </w:t>
      </w:r>
      <w:r>
        <w:rPr>
          <w:w w:val="105"/>
        </w:rPr>
        <w:t>an</w:t>
      </w:r>
      <w:r>
        <w:rPr>
          <w:spacing w:val="-5"/>
          <w:w w:val="105"/>
        </w:rPr>
        <w:t xml:space="preserve"> </w:t>
      </w:r>
      <w:r>
        <w:rPr>
          <w:w w:val="105"/>
        </w:rPr>
        <w:t>additional</w:t>
      </w:r>
      <w:r>
        <w:rPr>
          <w:spacing w:val="-7"/>
          <w:w w:val="105"/>
        </w:rPr>
        <w:t xml:space="preserve"> </w:t>
      </w:r>
      <w:r>
        <w:rPr>
          <w:w w:val="105"/>
        </w:rPr>
        <w:t>diagnosis</w:t>
      </w:r>
      <w:r>
        <w:rPr>
          <w:spacing w:val="-2"/>
          <w:w w:val="105"/>
        </w:rPr>
        <w:t xml:space="preserve"> </w:t>
      </w:r>
      <w:r>
        <w:rPr>
          <w:w w:val="105"/>
        </w:rPr>
        <w:t>of</w:t>
      </w:r>
      <w:r>
        <w:rPr>
          <w:spacing w:val="-3"/>
          <w:w w:val="105"/>
        </w:rPr>
        <w:t xml:space="preserve"> </w:t>
      </w:r>
      <w:r>
        <w:rPr>
          <w:w w:val="105"/>
        </w:rPr>
        <w:t xml:space="preserve">Expressive Language Disorder may be appropriate. </w:t>
      </w:r>
      <w:r>
        <w:rPr>
          <w:b/>
          <w:w w:val="105"/>
        </w:rPr>
        <w:t xml:space="preserve">Selective Mutism </w:t>
      </w:r>
      <w:r>
        <w:rPr>
          <w:w w:val="105"/>
        </w:rPr>
        <w:t xml:space="preserve">involves limited expressive output that may mimic Expressive or Mixed Receptive-Expressive Language Disorder; careful history and observation are necessary to determine the presence of normal language in some settings. </w:t>
      </w:r>
      <w:r>
        <w:rPr>
          <w:b/>
          <w:w w:val="105"/>
        </w:rPr>
        <w:t xml:space="preserve">Acquired aphasia </w:t>
      </w:r>
      <w:r>
        <w:rPr>
          <w:w w:val="105"/>
        </w:rPr>
        <w:t>associated with a general medical condition in childhood is often transient. A diagnosis of Expressive Language Disorder is appropriate only if the language disturbance persists beyond the acute recovery period for the etiological general medical condition (e.g., head trauma, viral</w:t>
      </w:r>
      <w:r>
        <w:rPr>
          <w:spacing w:val="30"/>
          <w:w w:val="105"/>
        </w:rPr>
        <w:t xml:space="preserve"> </w:t>
      </w:r>
      <w:r>
        <w:rPr>
          <w:w w:val="105"/>
        </w:rPr>
        <w:t>infection).</w:t>
      </w:r>
    </w:p>
    <w:p w:rsidR="00E675F0" w:rsidRDefault="00E675F0" w:rsidP="00E675F0">
      <w:pPr>
        <w:spacing w:line="254" w:lineRule="auto"/>
        <w:jc w:val="both"/>
        <w:sectPr w:rsidR="00E675F0">
          <w:pgSz w:w="8960" w:h="14260"/>
          <w:pgMar w:top="1400" w:right="620" w:bottom="280" w:left="600" w:header="683" w:footer="0" w:gutter="0"/>
          <w:cols w:space="720"/>
        </w:sectPr>
      </w:pPr>
    </w:p>
    <w:p w:rsidR="00E675F0" w:rsidRDefault="00E675F0" w:rsidP="003048D3">
      <w:pPr>
        <w:pStyle w:val="ListParagraph"/>
        <w:numPr>
          <w:ilvl w:val="0"/>
          <w:numId w:val="106"/>
        </w:numPr>
        <w:tabs>
          <w:tab w:val="left" w:pos="816"/>
        </w:tabs>
        <w:spacing w:before="198" w:line="211" w:lineRule="auto"/>
        <w:ind w:right="910" w:hanging="379"/>
        <w:rPr>
          <w:rFonts w:ascii="Arial" w:hAnsi="Arial"/>
          <w:b/>
          <w:sz w:val="24"/>
        </w:rPr>
      </w:pPr>
      <w:r>
        <w:rPr>
          <w:noProof/>
        </w:rPr>
        <w:lastRenderedPageBreak/>
        <mc:AlternateContent>
          <mc:Choice Requires="wpg">
            <w:drawing>
              <wp:anchor distT="0" distB="0" distL="114300" distR="114300" simplePos="0" relativeHeight="251754496" behindDoc="1" locked="0" layoutInCell="1" allowOverlap="1" wp14:anchorId="139FF314" wp14:editId="7A3CF46B">
                <wp:simplePos x="0" y="0"/>
                <wp:positionH relativeFrom="page">
                  <wp:posOffset>464185</wp:posOffset>
                </wp:positionH>
                <wp:positionV relativeFrom="paragraph">
                  <wp:posOffset>40640</wp:posOffset>
                </wp:positionV>
                <wp:extent cx="4765675" cy="3895090"/>
                <wp:effectExtent l="0" t="0" r="9525" b="3810"/>
                <wp:wrapNone/>
                <wp:docPr id="1618" name="Group 1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5675" cy="3895090"/>
                          <a:chOff x="731" y="64"/>
                          <a:chExt cx="7505" cy="6134"/>
                        </a:xfrm>
                      </wpg:grpSpPr>
                      <wps:wsp>
                        <wps:cNvPr id="1619" name="Line 1579"/>
                        <wps:cNvCnPr>
                          <a:cxnSpLocks/>
                        </wps:cNvCnPr>
                        <wps:spPr bwMode="auto">
                          <a:xfrm>
                            <a:off x="736" y="6197"/>
                            <a:ext cx="0" cy="0"/>
                          </a:xfrm>
                          <a:prstGeom prst="line">
                            <a:avLst/>
                          </a:prstGeom>
                          <a:noFill/>
                          <a:ln w="61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0" name="Line 1578"/>
                        <wps:cNvCnPr>
                          <a:cxnSpLocks/>
                        </wps:cNvCnPr>
                        <wps:spPr bwMode="auto">
                          <a:xfrm>
                            <a:off x="823" y="6121"/>
                            <a:ext cx="0" cy="0"/>
                          </a:xfrm>
                          <a:prstGeom prst="line">
                            <a:avLst/>
                          </a:prstGeom>
                          <a:noFill/>
                          <a:ln w="2443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1" name="Line 1577"/>
                        <wps:cNvCnPr>
                          <a:cxnSpLocks/>
                        </wps:cNvCnPr>
                        <wps:spPr bwMode="auto">
                          <a:xfrm>
                            <a:off x="8140" y="6197"/>
                            <a:ext cx="0" cy="0"/>
                          </a:xfrm>
                          <a:prstGeom prst="line">
                            <a:avLst/>
                          </a:prstGeom>
                          <a:noFill/>
                          <a:ln w="3054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2" name="Line 1576"/>
                        <wps:cNvCnPr>
                          <a:cxnSpLocks/>
                        </wps:cNvCnPr>
                        <wps:spPr bwMode="auto">
                          <a:xfrm>
                            <a:off x="731" y="74"/>
                            <a:ext cx="7486" cy="0"/>
                          </a:xfrm>
                          <a:prstGeom prst="line">
                            <a:avLst/>
                          </a:prstGeom>
                          <a:noFill/>
                          <a:ln w="61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3" name="Line 1575"/>
                        <wps:cNvCnPr>
                          <a:cxnSpLocks/>
                        </wps:cNvCnPr>
                        <wps:spPr bwMode="auto">
                          <a:xfrm>
                            <a:off x="731" y="6106"/>
                            <a:ext cx="7505" cy="0"/>
                          </a:xfrm>
                          <a:prstGeom prst="line">
                            <a:avLst/>
                          </a:prstGeom>
                          <a:noFill/>
                          <a:ln w="3662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8C9B8BA" id="Group 1574" o:spid="_x0000_s1026" style="position:absolute;margin-left:36.55pt;margin-top:3.2pt;width:375.25pt;height:306.7pt;z-index:-251561984;mso-position-horizontal-relative:page" coordorigin="731,64" coordsize="7505,613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">
                <v:line id="Line 1579" o:spid="_x0000_s1027" style="position:absolute;visibility:visible;mso-wrap-style:square" from="736,6197" to="736,61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" strokeweight=".16972mm">
                  <o:lock v:ext="edit" shapetype="f"/>
                </v:line>
                <v:line id="Line 1578" o:spid="_x0000_s1028" style="position:absolute;visibility:visible;mso-wrap-style:square" from="823,6121" to="823,61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" strokeweight=".67883mm">
                  <o:lock v:ext="edit" shapetype="f"/>
                </v:line>
                <v:line id="Line 1577" o:spid="_x0000_s1029" style="position:absolute;visibility:visible;mso-wrap-style:square" from="8140,6197" to="8140,61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" strokeweight=".84853mm">
                  <o:lock v:ext="edit" shapetype="f"/>
                </v:line>
                <v:line id="Line 1576" o:spid="_x0000_s1030" style="position:absolute;visibility:visible;mso-wrap-style:square" from="731,74" to="8217,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" strokeweight=".16958mm">
                  <o:lock v:ext="edit" shapetype="f"/>
                </v:line>
                <v:line id="Line 1575" o:spid="_x0000_s1031" style="position:absolute;visibility:visible;mso-wrap-style:square" from="731,6106" to="8236,61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" strokeweight="1.0174mm">
                  <o:lock v:ext="edit" shapetype="f"/>
                </v:line>
                <w10:wrap anchorx="page"/>
              </v:group>
            </w:pict>
          </mc:Fallback>
        </mc:AlternateContent>
      </w:r>
      <w:bookmarkStart w:id="38" w:name="_bookmark23"/>
      <w:bookmarkEnd w:id="38"/>
      <w:r>
        <w:rPr>
          <w:rFonts w:ascii="Arial" w:hAnsi="Arial"/>
          <w:b/>
          <w:w w:val="105"/>
          <w:sz w:val="24"/>
        </w:rPr>
        <w:t>Diagnostic</w:t>
      </w:r>
      <w:r>
        <w:rPr>
          <w:rFonts w:ascii="Arial" w:hAnsi="Arial"/>
          <w:b/>
          <w:spacing w:val="-24"/>
          <w:w w:val="105"/>
          <w:sz w:val="24"/>
        </w:rPr>
        <w:t xml:space="preserve"> </w:t>
      </w:r>
      <w:r>
        <w:rPr>
          <w:rFonts w:ascii="Arial" w:hAnsi="Arial"/>
          <w:b/>
          <w:w w:val="105"/>
          <w:sz w:val="24"/>
        </w:rPr>
        <w:t>criteria</w:t>
      </w:r>
      <w:r>
        <w:rPr>
          <w:rFonts w:ascii="Arial" w:hAnsi="Arial"/>
          <w:b/>
          <w:spacing w:val="-30"/>
          <w:w w:val="105"/>
          <w:sz w:val="24"/>
        </w:rPr>
        <w:t xml:space="preserve"> </w:t>
      </w:r>
      <w:r>
        <w:rPr>
          <w:rFonts w:ascii="Arial" w:hAnsi="Arial"/>
          <w:b/>
          <w:w w:val="105"/>
          <w:sz w:val="24"/>
        </w:rPr>
        <w:t>for</w:t>
      </w:r>
      <w:r>
        <w:rPr>
          <w:rFonts w:ascii="Arial" w:hAnsi="Arial"/>
          <w:b/>
          <w:spacing w:val="-29"/>
          <w:w w:val="105"/>
          <w:sz w:val="24"/>
        </w:rPr>
        <w:t xml:space="preserve"> </w:t>
      </w:r>
      <w:r>
        <w:rPr>
          <w:rFonts w:ascii="Arial" w:hAnsi="Arial"/>
          <w:b/>
          <w:w w:val="105"/>
          <w:sz w:val="24"/>
        </w:rPr>
        <w:t>315.31</w:t>
      </w:r>
      <w:r>
        <w:rPr>
          <w:rFonts w:ascii="Arial" w:hAnsi="Arial"/>
          <w:b/>
          <w:spacing w:val="-29"/>
          <w:w w:val="105"/>
          <w:sz w:val="24"/>
        </w:rPr>
        <w:t xml:space="preserve"> </w:t>
      </w:r>
      <w:r>
        <w:rPr>
          <w:rFonts w:ascii="Arial" w:hAnsi="Arial"/>
          <w:b/>
          <w:w w:val="105"/>
          <w:sz w:val="24"/>
        </w:rPr>
        <w:t>Expressive</w:t>
      </w:r>
      <w:r>
        <w:rPr>
          <w:rFonts w:ascii="Arial" w:hAnsi="Arial"/>
          <w:b/>
          <w:spacing w:val="-24"/>
          <w:w w:val="105"/>
          <w:sz w:val="24"/>
        </w:rPr>
        <w:t xml:space="preserve"> </w:t>
      </w:r>
      <w:r>
        <w:rPr>
          <w:rFonts w:ascii="Arial" w:hAnsi="Arial"/>
          <w:b/>
          <w:w w:val="105"/>
          <w:sz w:val="24"/>
        </w:rPr>
        <w:t>Language Disorder</w:t>
      </w:r>
    </w:p>
    <w:p w:rsidR="00E675F0" w:rsidRDefault="00E675F0" w:rsidP="003048D3">
      <w:pPr>
        <w:pStyle w:val="ListParagraph"/>
        <w:numPr>
          <w:ilvl w:val="0"/>
          <w:numId w:val="105"/>
        </w:numPr>
        <w:tabs>
          <w:tab w:val="left" w:pos="1140"/>
        </w:tabs>
        <w:spacing w:before="152" w:line="254" w:lineRule="auto"/>
        <w:ind w:right="472" w:hanging="308"/>
        <w:jc w:val="both"/>
        <w:rPr>
          <w:sz w:val="18"/>
        </w:rPr>
      </w:pPr>
      <w:r>
        <w:rPr>
          <w:w w:val="105"/>
          <w:sz w:val="20"/>
        </w:rPr>
        <w:t>The scores obtained from standardized individually administered mea­ sures of expressive language development are substantially below those obtained from standardized measures of both nonverbal intellectual capacity and receptive language development. The disturbance may be manifest clinically by symptoms that include having a markedly limited vocabulary, making errors in tense, or having difficulty recalling words or producing sentences with developmentally appropriate length or complexity.</w:t>
      </w:r>
    </w:p>
    <w:p w:rsidR="00E675F0" w:rsidRDefault="00E675F0" w:rsidP="003048D3">
      <w:pPr>
        <w:pStyle w:val="ListParagraph"/>
        <w:numPr>
          <w:ilvl w:val="0"/>
          <w:numId w:val="105"/>
        </w:numPr>
        <w:tabs>
          <w:tab w:val="left" w:pos="1140"/>
        </w:tabs>
        <w:spacing w:before="184" w:line="252" w:lineRule="auto"/>
        <w:ind w:left="1148" w:right="469" w:hanging="305"/>
        <w:jc w:val="both"/>
        <w:rPr>
          <w:sz w:val="20"/>
        </w:rPr>
      </w:pPr>
      <w:r>
        <w:rPr>
          <w:w w:val="105"/>
          <w:sz w:val="20"/>
        </w:rPr>
        <w:t>The difficulties with expressive language interfere with academic or occupational achievement or with social</w:t>
      </w:r>
      <w:r>
        <w:rPr>
          <w:spacing w:val="-17"/>
          <w:w w:val="105"/>
          <w:sz w:val="20"/>
        </w:rPr>
        <w:t xml:space="preserve"> </w:t>
      </w:r>
      <w:r>
        <w:rPr>
          <w:w w:val="105"/>
          <w:sz w:val="20"/>
        </w:rPr>
        <w:t>communication.</w:t>
      </w:r>
    </w:p>
    <w:p w:rsidR="00E675F0" w:rsidRDefault="00E675F0" w:rsidP="003048D3">
      <w:pPr>
        <w:pStyle w:val="ListParagraph"/>
        <w:numPr>
          <w:ilvl w:val="0"/>
          <w:numId w:val="105"/>
        </w:numPr>
        <w:tabs>
          <w:tab w:val="left" w:pos="1148"/>
        </w:tabs>
        <w:spacing w:before="195" w:line="256" w:lineRule="auto"/>
        <w:ind w:left="1148" w:right="479" w:hanging="310"/>
        <w:jc w:val="both"/>
        <w:rPr>
          <w:rFonts w:ascii="Arial"/>
          <w:sz w:val="18"/>
        </w:rPr>
      </w:pPr>
      <w:r>
        <w:rPr>
          <w:w w:val="105"/>
          <w:sz w:val="20"/>
        </w:rPr>
        <w:t>Criteria are not met for Mixed Receptive-Expressive Language Disorder or a Pervasive Developmental</w:t>
      </w:r>
      <w:r>
        <w:rPr>
          <w:spacing w:val="15"/>
          <w:w w:val="105"/>
          <w:sz w:val="20"/>
        </w:rPr>
        <w:t xml:space="preserve"> </w:t>
      </w:r>
      <w:r>
        <w:rPr>
          <w:w w:val="105"/>
          <w:sz w:val="20"/>
        </w:rPr>
        <w:t>Disorder.</w:t>
      </w:r>
    </w:p>
    <w:p w:rsidR="00E675F0" w:rsidRDefault="00E675F0" w:rsidP="003048D3">
      <w:pPr>
        <w:pStyle w:val="ListParagraph"/>
        <w:numPr>
          <w:ilvl w:val="0"/>
          <w:numId w:val="105"/>
        </w:numPr>
        <w:tabs>
          <w:tab w:val="left" w:pos="1137"/>
        </w:tabs>
        <w:spacing w:before="175" w:line="256" w:lineRule="auto"/>
        <w:ind w:left="1150" w:right="472" w:hanging="302"/>
        <w:jc w:val="both"/>
        <w:rPr>
          <w:sz w:val="20"/>
        </w:rPr>
      </w:pPr>
      <w:r>
        <w:rPr>
          <w:rFonts w:ascii="Arial" w:hAnsi="Arial"/>
          <w:w w:val="105"/>
          <w:sz w:val="20"/>
        </w:rPr>
        <w:t>If</w:t>
      </w:r>
      <w:r>
        <w:rPr>
          <w:rFonts w:ascii="Arial" w:hAnsi="Arial"/>
          <w:spacing w:val="2"/>
          <w:w w:val="105"/>
          <w:sz w:val="20"/>
        </w:rPr>
        <w:t xml:space="preserve"> </w:t>
      </w:r>
      <w:r>
        <w:rPr>
          <w:w w:val="105"/>
          <w:sz w:val="20"/>
        </w:rPr>
        <w:t>Mental</w:t>
      </w:r>
      <w:r>
        <w:rPr>
          <w:spacing w:val="-6"/>
          <w:w w:val="105"/>
          <w:sz w:val="20"/>
        </w:rPr>
        <w:t xml:space="preserve"> </w:t>
      </w:r>
      <w:r>
        <w:rPr>
          <w:w w:val="105"/>
          <w:sz w:val="20"/>
        </w:rPr>
        <w:t>Retardation,</w:t>
      </w:r>
      <w:r>
        <w:rPr>
          <w:spacing w:val="-1"/>
          <w:w w:val="105"/>
          <w:sz w:val="20"/>
        </w:rPr>
        <w:t xml:space="preserve"> </w:t>
      </w:r>
      <w:r>
        <w:rPr>
          <w:w w:val="105"/>
          <w:sz w:val="20"/>
        </w:rPr>
        <w:t>a</w:t>
      </w:r>
      <w:r>
        <w:rPr>
          <w:spacing w:val="-18"/>
          <w:w w:val="105"/>
          <w:sz w:val="20"/>
        </w:rPr>
        <w:t xml:space="preserve"> </w:t>
      </w:r>
      <w:r>
        <w:rPr>
          <w:w w:val="105"/>
          <w:sz w:val="20"/>
        </w:rPr>
        <w:t>speech-motor</w:t>
      </w:r>
      <w:r>
        <w:rPr>
          <w:spacing w:val="-1"/>
          <w:w w:val="105"/>
          <w:sz w:val="20"/>
        </w:rPr>
        <w:t xml:space="preserve"> </w:t>
      </w:r>
      <w:r>
        <w:rPr>
          <w:w w:val="105"/>
          <w:sz w:val="20"/>
        </w:rPr>
        <w:t>or</w:t>
      </w:r>
      <w:r>
        <w:rPr>
          <w:spacing w:val="-23"/>
          <w:w w:val="105"/>
          <w:sz w:val="20"/>
        </w:rPr>
        <w:t xml:space="preserve"> </w:t>
      </w:r>
      <w:r>
        <w:rPr>
          <w:w w:val="105"/>
          <w:sz w:val="20"/>
        </w:rPr>
        <w:t>sensory</w:t>
      </w:r>
      <w:r>
        <w:rPr>
          <w:spacing w:val="-12"/>
          <w:w w:val="105"/>
          <w:sz w:val="20"/>
        </w:rPr>
        <w:t xml:space="preserve"> </w:t>
      </w:r>
      <w:r>
        <w:rPr>
          <w:w w:val="105"/>
          <w:sz w:val="20"/>
        </w:rPr>
        <w:t>deficit,</w:t>
      </w:r>
      <w:r>
        <w:rPr>
          <w:spacing w:val="-4"/>
          <w:w w:val="105"/>
          <w:sz w:val="20"/>
        </w:rPr>
        <w:t xml:space="preserve"> </w:t>
      </w:r>
      <w:r>
        <w:rPr>
          <w:w w:val="105"/>
          <w:sz w:val="20"/>
        </w:rPr>
        <w:t>or</w:t>
      </w:r>
      <w:r>
        <w:rPr>
          <w:spacing w:val="1"/>
          <w:w w:val="105"/>
          <w:sz w:val="20"/>
        </w:rPr>
        <w:t xml:space="preserve"> </w:t>
      </w:r>
      <w:r>
        <w:rPr>
          <w:w w:val="105"/>
          <w:sz w:val="20"/>
        </w:rPr>
        <w:t>environmen­ tal deprivation is present, the language difficulties are in excess of those usually associated with these</w:t>
      </w:r>
      <w:r>
        <w:rPr>
          <w:spacing w:val="9"/>
          <w:w w:val="105"/>
          <w:sz w:val="20"/>
        </w:rPr>
        <w:t xml:space="preserve"> </w:t>
      </w:r>
      <w:r>
        <w:rPr>
          <w:w w:val="105"/>
          <w:sz w:val="20"/>
        </w:rPr>
        <w:t>problems.</w:t>
      </w:r>
    </w:p>
    <w:p w:rsidR="00E675F0" w:rsidRDefault="00E675F0" w:rsidP="00E675F0">
      <w:pPr>
        <w:spacing w:before="117" w:line="242" w:lineRule="auto"/>
        <w:ind w:left="848" w:right="465" w:hanging="8"/>
        <w:jc w:val="both"/>
        <w:rPr>
          <w:sz w:val="18"/>
        </w:rPr>
      </w:pPr>
      <w:r>
        <w:rPr>
          <w:b/>
          <w:w w:val="105"/>
          <w:sz w:val="18"/>
        </w:rPr>
        <w:t xml:space="preserve">Coding note: </w:t>
      </w:r>
      <w:r>
        <w:rPr>
          <w:w w:val="105"/>
          <w:sz w:val="19"/>
        </w:rPr>
        <w:t xml:space="preserve">If </w:t>
      </w:r>
      <w:r>
        <w:rPr>
          <w:w w:val="105"/>
          <w:sz w:val="18"/>
        </w:rPr>
        <w:t>a speech-motor or sensoiy deficit or a neurological condition is present, code the condition on Axis III.</w:t>
      </w:r>
    </w:p>
    <w:p w:rsidR="00E675F0" w:rsidRDefault="00E675F0" w:rsidP="00E675F0">
      <w:pPr>
        <w:pStyle w:val="BodyText"/>
      </w:pPr>
    </w:p>
    <w:p w:rsidR="00E675F0" w:rsidRDefault="00E675F0" w:rsidP="00E675F0">
      <w:pPr>
        <w:pStyle w:val="BodyText"/>
      </w:pPr>
    </w:p>
    <w:p w:rsidR="00E675F0" w:rsidRDefault="00E675F0" w:rsidP="00E675F0">
      <w:pPr>
        <w:pStyle w:val="BodyText"/>
      </w:pPr>
    </w:p>
    <w:p w:rsidR="00E675F0" w:rsidRDefault="00E675F0" w:rsidP="00E675F0">
      <w:pPr>
        <w:pStyle w:val="BodyText"/>
        <w:spacing w:before="4"/>
        <w:rPr>
          <w:sz w:val="16"/>
        </w:rPr>
      </w:pPr>
    </w:p>
    <w:p w:rsidR="00E675F0" w:rsidRDefault="00E675F0" w:rsidP="00E675F0">
      <w:pPr>
        <w:tabs>
          <w:tab w:val="left" w:pos="1353"/>
        </w:tabs>
        <w:ind w:left="285"/>
        <w:rPr>
          <w:rFonts w:ascii="Arial"/>
          <w:b/>
          <w:sz w:val="25"/>
        </w:rPr>
      </w:pPr>
      <w:r>
        <w:rPr>
          <w:rFonts w:ascii="Arial"/>
          <w:b/>
          <w:w w:val="105"/>
          <w:sz w:val="24"/>
        </w:rPr>
        <w:t>315</w:t>
      </w:r>
      <w:r>
        <w:rPr>
          <w:rFonts w:ascii="Arial"/>
          <w:b/>
          <w:spacing w:val="-12"/>
          <w:w w:val="105"/>
          <w:sz w:val="24"/>
        </w:rPr>
        <w:t xml:space="preserve"> </w:t>
      </w:r>
      <w:r>
        <w:rPr>
          <w:rFonts w:ascii="Arial"/>
          <w:b/>
          <w:w w:val="105"/>
          <w:sz w:val="24"/>
        </w:rPr>
        <w:t>.31</w:t>
      </w:r>
      <w:r>
        <w:rPr>
          <w:rFonts w:ascii="Arial"/>
          <w:b/>
          <w:w w:val="105"/>
          <w:sz w:val="24"/>
        </w:rPr>
        <w:tab/>
      </w:r>
      <w:r>
        <w:rPr>
          <w:rFonts w:ascii="Arial"/>
          <w:b/>
          <w:w w:val="105"/>
          <w:sz w:val="25"/>
        </w:rPr>
        <w:t>Mixed Receptive--Expressive Language</w:t>
      </w:r>
      <w:r>
        <w:rPr>
          <w:rFonts w:ascii="Arial"/>
          <w:b/>
          <w:spacing w:val="-24"/>
          <w:w w:val="105"/>
          <w:sz w:val="25"/>
        </w:rPr>
        <w:t xml:space="preserve"> </w:t>
      </w:r>
      <w:r>
        <w:rPr>
          <w:rFonts w:ascii="Arial"/>
          <w:b/>
          <w:w w:val="105"/>
          <w:sz w:val="25"/>
        </w:rPr>
        <w:t>Disorder</w:t>
      </w:r>
    </w:p>
    <w:p w:rsidR="00E675F0" w:rsidRDefault="00E675F0" w:rsidP="00E675F0">
      <w:pPr>
        <w:pStyle w:val="BodyText"/>
        <w:spacing w:before="4"/>
        <w:rPr>
          <w:rFonts w:ascii="Arial"/>
          <w:b/>
          <w:sz w:val="22"/>
        </w:rPr>
      </w:pPr>
    </w:p>
    <w:p w:rsidR="00E675F0" w:rsidRDefault="00E675F0" w:rsidP="00E675F0">
      <w:pPr>
        <w:ind w:left="110"/>
        <w:jc w:val="both"/>
        <w:rPr>
          <w:rFonts w:ascii="TimesNewRomanPS-BoldItalicMT"/>
          <w:b/>
          <w:i/>
          <w:sz w:val="24"/>
        </w:rPr>
      </w:pPr>
      <w:r>
        <w:rPr>
          <w:rFonts w:ascii="TimesNewRomanPS-BoldItalicMT"/>
          <w:b/>
          <w:i/>
          <w:w w:val="115"/>
          <w:sz w:val="24"/>
        </w:rPr>
        <w:t>Diagnostic Features</w:t>
      </w:r>
    </w:p>
    <w:p w:rsidR="00E675F0" w:rsidRDefault="00E675F0" w:rsidP="00E675F0">
      <w:pPr>
        <w:pStyle w:val="BodyText"/>
        <w:spacing w:before="132" w:line="254" w:lineRule="auto"/>
        <w:ind w:left="120" w:right="106" w:hanging="6"/>
        <w:jc w:val="both"/>
      </w:pPr>
      <w:r>
        <w:rPr>
          <w:w w:val="105"/>
        </w:rPr>
        <w:t>The</w:t>
      </w:r>
      <w:r>
        <w:rPr>
          <w:spacing w:val="-20"/>
          <w:w w:val="105"/>
        </w:rPr>
        <w:t xml:space="preserve"> </w:t>
      </w:r>
      <w:r>
        <w:rPr>
          <w:w w:val="105"/>
        </w:rPr>
        <w:t>essential</w:t>
      </w:r>
      <w:r>
        <w:rPr>
          <w:spacing w:val="-9"/>
          <w:w w:val="105"/>
        </w:rPr>
        <w:t xml:space="preserve"> </w:t>
      </w:r>
      <w:r>
        <w:rPr>
          <w:w w:val="105"/>
        </w:rPr>
        <w:t>feature</w:t>
      </w:r>
      <w:r>
        <w:rPr>
          <w:spacing w:val="-14"/>
          <w:w w:val="105"/>
        </w:rPr>
        <w:t xml:space="preserve"> </w:t>
      </w:r>
      <w:r>
        <w:rPr>
          <w:w w:val="105"/>
        </w:rPr>
        <w:t>of</w:t>
      </w:r>
      <w:r>
        <w:rPr>
          <w:spacing w:val="-15"/>
          <w:w w:val="105"/>
        </w:rPr>
        <w:t xml:space="preserve"> </w:t>
      </w:r>
      <w:r>
        <w:rPr>
          <w:w w:val="105"/>
        </w:rPr>
        <w:t>Mixed</w:t>
      </w:r>
      <w:r>
        <w:rPr>
          <w:spacing w:val="-11"/>
          <w:w w:val="105"/>
        </w:rPr>
        <w:t xml:space="preserve"> </w:t>
      </w:r>
      <w:r>
        <w:rPr>
          <w:w w:val="105"/>
        </w:rPr>
        <w:t>Receptive-Expressive</w:t>
      </w:r>
      <w:r>
        <w:rPr>
          <w:spacing w:val="-17"/>
          <w:w w:val="105"/>
        </w:rPr>
        <w:t xml:space="preserve"> </w:t>
      </w:r>
      <w:r>
        <w:rPr>
          <w:w w:val="105"/>
        </w:rPr>
        <w:t>Language</w:t>
      </w:r>
      <w:r>
        <w:rPr>
          <w:spacing w:val="-12"/>
          <w:w w:val="105"/>
        </w:rPr>
        <w:t xml:space="preserve"> </w:t>
      </w:r>
      <w:r>
        <w:rPr>
          <w:w w:val="105"/>
        </w:rPr>
        <w:t>Disorder</w:t>
      </w:r>
      <w:r>
        <w:rPr>
          <w:spacing w:val="-10"/>
          <w:w w:val="105"/>
        </w:rPr>
        <w:t xml:space="preserve"> </w:t>
      </w:r>
      <w:r>
        <w:rPr>
          <w:w w:val="105"/>
        </w:rPr>
        <w:t>is</w:t>
      </w:r>
      <w:r>
        <w:rPr>
          <w:spacing w:val="-23"/>
          <w:w w:val="105"/>
        </w:rPr>
        <w:t xml:space="preserve"> </w:t>
      </w:r>
      <w:r>
        <w:rPr>
          <w:w w:val="105"/>
        </w:rPr>
        <w:t>an</w:t>
      </w:r>
      <w:r>
        <w:rPr>
          <w:spacing w:val="-16"/>
          <w:w w:val="105"/>
        </w:rPr>
        <w:t xml:space="preserve"> </w:t>
      </w:r>
      <w:r>
        <w:rPr>
          <w:w w:val="105"/>
        </w:rPr>
        <w:t>impairment in both receptive and expressive language development as demonstrated by scores on standardized individually administered measures of both receptive and expressive language development that are substantially below those obtained from standardized measures of nonverbal intellectual capacity (Criterion A). The difficulties may occur in communication involving both verbal language and sign language. The language difficulties interfere with academic or occupational achievement or with social commu­ nication (Criterion B), and the symptoms do not meet criteria for a Pervasive Develop­ mental Disorder (Criterion C). If Mental Retardation, a speech-motor or sensory deficit, or environmental deprivation is present, the language difficulties are in excess of those usually</w:t>
      </w:r>
      <w:r>
        <w:rPr>
          <w:spacing w:val="-13"/>
          <w:w w:val="105"/>
        </w:rPr>
        <w:t xml:space="preserve"> </w:t>
      </w:r>
      <w:r>
        <w:rPr>
          <w:w w:val="105"/>
        </w:rPr>
        <w:t>associated with</w:t>
      </w:r>
      <w:r>
        <w:rPr>
          <w:spacing w:val="-4"/>
          <w:w w:val="105"/>
        </w:rPr>
        <w:t xml:space="preserve"> </w:t>
      </w:r>
      <w:r>
        <w:rPr>
          <w:w w:val="105"/>
        </w:rPr>
        <w:t>these</w:t>
      </w:r>
      <w:r>
        <w:rPr>
          <w:spacing w:val="1"/>
          <w:w w:val="105"/>
        </w:rPr>
        <w:t xml:space="preserve"> </w:t>
      </w:r>
      <w:r>
        <w:rPr>
          <w:w w:val="105"/>
        </w:rPr>
        <w:t>problems</w:t>
      </w:r>
      <w:r>
        <w:rPr>
          <w:spacing w:val="-6"/>
          <w:w w:val="105"/>
        </w:rPr>
        <w:t xml:space="preserve"> </w:t>
      </w:r>
      <w:r>
        <w:rPr>
          <w:w w:val="105"/>
        </w:rPr>
        <w:t>(Criterion</w:t>
      </w:r>
      <w:r>
        <w:rPr>
          <w:spacing w:val="5"/>
          <w:w w:val="105"/>
        </w:rPr>
        <w:t xml:space="preserve"> </w:t>
      </w:r>
      <w:r>
        <w:rPr>
          <w:w w:val="105"/>
        </w:rPr>
        <w:t>D).</w:t>
      </w:r>
      <w:r>
        <w:rPr>
          <w:spacing w:val="-24"/>
          <w:w w:val="105"/>
        </w:rPr>
        <w:t xml:space="preserve"> </w:t>
      </w:r>
      <w:r>
        <w:rPr>
          <w:rFonts w:ascii="Arial" w:hAnsi="Arial"/>
          <w:w w:val="105"/>
        </w:rPr>
        <w:t>If</w:t>
      </w:r>
      <w:r>
        <w:rPr>
          <w:rFonts w:ascii="Arial" w:hAnsi="Arial"/>
          <w:spacing w:val="6"/>
          <w:w w:val="105"/>
        </w:rPr>
        <w:t xml:space="preserve"> </w:t>
      </w:r>
      <w:r>
        <w:rPr>
          <w:w w:val="105"/>
        </w:rPr>
        <w:t>a</w:t>
      </w:r>
      <w:r>
        <w:rPr>
          <w:spacing w:val="-15"/>
          <w:w w:val="105"/>
        </w:rPr>
        <w:t xml:space="preserve"> </w:t>
      </w:r>
      <w:r>
        <w:rPr>
          <w:w w:val="105"/>
        </w:rPr>
        <w:t>speech-motor</w:t>
      </w:r>
      <w:r>
        <w:rPr>
          <w:spacing w:val="1"/>
          <w:w w:val="105"/>
        </w:rPr>
        <w:t xml:space="preserve"> </w:t>
      </w:r>
      <w:r>
        <w:rPr>
          <w:w w:val="105"/>
        </w:rPr>
        <w:t>or</w:t>
      </w:r>
      <w:r>
        <w:rPr>
          <w:spacing w:val="-15"/>
          <w:w w:val="105"/>
        </w:rPr>
        <w:t xml:space="preserve"> </w:t>
      </w:r>
      <w:r>
        <w:rPr>
          <w:w w:val="105"/>
        </w:rPr>
        <w:t>sensory</w:t>
      </w:r>
      <w:r>
        <w:rPr>
          <w:spacing w:val="-7"/>
          <w:w w:val="105"/>
        </w:rPr>
        <w:t xml:space="preserve"> </w:t>
      </w:r>
      <w:r>
        <w:rPr>
          <w:w w:val="105"/>
        </w:rPr>
        <w:t>deficit or neurological condition is present, it should</w:t>
      </w:r>
      <w:r>
        <w:rPr>
          <w:spacing w:val="1"/>
          <w:w w:val="105"/>
        </w:rPr>
        <w:t xml:space="preserve"> </w:t>
      </w:r>
      <w:r>
        <w:rPr>
          <w:w w:val="105"/>
        </w:rPr>
        <w:t>be coded on Axis III.</w:t>
      </w:r>
    </w:p>
    <w:p w:rsidR="00E675F0" w:rsidRDefault="00E675F0" w:rsidP="00E675F0">
      <w:pPr>
        <w:pStyle w:val="BodyText"/>
        <w:spacing w:line="254" w:lineRule="auto"/>
        <w:ind w:left="123" w:right="111" w:firstLine="366"/>
        <w:jc w:val="both"/>
      </w:pPr>
      <w:r>
        <w:rPr>
          <w:w w:val="105"/>
        </w:rPr>
        <w:t>An individual with this disorder has the difficulties associated with Expressive Language Disorder (e.g., a markedly limited vocabulary, errors in tense, difficulty recalling words or producing sentences with developmentally appropriate length or complexity,</w:t>
      </w:r>
      <w:r>
        <w:rPr>
          <w:spacing w:val="6"/>
          <w:w w:val="105"/>
        </w:rPr>
        <w:t xml:space="preserve"> </w:t>
      </w:r>
      <w:r>
        <w:rPr>
          <w:w w:val="105"/>
        </w:rPr>
        <w:t>and</w:t>
      </w:r>
      <w:r>
        <w:rPr>
          <w:spacing w:val="-10"/>
          <w:w w:val="105"/>
        </w:rPr>
        <w:t xml:space="preserve"> </w:t>
      </w:r>
      <w:r>
        <w:rPr>
          <w:w w:val="105"/>
        </w:rPr>
        <w:t>general</w:t>
      </w:r>
      <w:r>
        <w:rPr>
          <w:spacing w:val="-8"/>
          <w:w w:val="105"/>
        </w:rPr>
        <w:t xml:space="preserve"> </w:t>
      </w:r>
      <w:r>
        <w:rPr>
          <w:w w:val="105"/>
        </w:rPr>
        <w:t>difficulty</w:t>
      </w:r>
      <w:r>
        <w:rPr>
          <w:spacing w:val="-11"/>
          <w:w w:val="105"/>
        </w:rPr>
        <w:t xml:space="preserve"> </w:t>
      </w:r>
      <w:r>
        <w:rPr>
          <w:w w:val="105"/>
        </w:rPr>
        <w:t>expressing</w:t>
      </w:r>
      <w:r>
        <w:rPr>
          <w:spacing w:val="-2"/>
          <w:w w:val="105"/>
        </w:rPr>
        <w:t xml:space="preserve"> </w:t>
      </w:r>
      <w:r>
        <w:rPr>
          <w:w w:val="105"/>
        </w:rPr>
        <w:t>ideas)</w:t>
      </w:r>
      <w:r>
        <w:rPr>
          <w:spacing w:val="-8"/>
          <w:w w:val="105"/>
        </w:rPr>
        <w:t xml:space="preserve"> </w:t>
      </w:r>
      <w:r>
        <w:rPr>
          <w:w w:val="105"/>
        </w:rPr>
        <w:t>and</w:t>
      </w:r>
      <w:r>
        <w:rPr>
          <w:spacing w:val="-11"/>
          <w:w w:val="105"/>
        </w:rPr>
        <w:t xml:space="preserve"> </w:t>
      </w:r>
      <w:r>
        <w:rPr>
          <w:w w:val="105"/>
        </w:rPr>
        <w:t>also</w:t>
      </w:r>
      <w:r>
        <w:rPr>
          <w:spacing w:val="-7"/>
          <w:w w:val="105"/>
        </w:rPr>
        <w:t xml:space="preserve"> </w:t>
      </w:r>
      <w:r>
        <w:rPr>
          <w:w w:val="105"/>
        </w:rPr>
        <w:t>has</w:t>
      </w:r>
      <w:r>
        <w:rPr>
          <w:spacing w:val="-15"/>
          <w:w w:val="105"/>
        </w:rPr>
        <w:t xml:space="preserve"> </w:t>
      </w:r>
      <w:r>
        <w:rPr>
          <w:w w:val="105"/>
        </w:rPr>
        <w:t>impairment</w:t>
      </w:r>
      <w:r>
        <w:rPr>
          <w:spacing w:val="6"/>
          <w:w w:val="105"/>
        </w:rPr>
        <w:t xml:space="preserve"> </w:t>
      </w:r>
      <w:r>
        <w:rPr>
          <w:w w:val="105"/>
        </w:rPr>
        <w:t>in</w:t>
      </w:r>
      <w:r>
        <w:rPr>
          <w:spacing w:val="-6"/>
          <w:w w:val="105"/>
        </w:rPr>
        <w:t xml:space="preserve"> </w:t>
      </w:r>
      <w:r>
        <w:rPr>
          <w:w w:val="105"/>
        </w:rPr>
        <w:t>receptive language development (e.g., difficulty understanding words, sentences, or specific types of words). In mild cases, there may be difficulties only in understanding particular</w:t>
      </w:r>
      <w:r>
        <w:rPr>
          <w:spacing w:val="37"/>
          <w:w w:val="105"/>
        </w:rPr>
        <w:t xml:space="preserve"> </w:t>
      </w:r>
      <w:r>
        <w:rPr>
          <w:w w:val="105"/>
        </w:rPr>
        <w:t>types</w:t>
      </w:r>
    </w:p>
    <w:p w:rsidR="00E675F0" w:rsidRDefault="00E675F0" w:rsidP="00E675F0">
      <w:pPr>
        <w:spacing w:line="254" w:lineRule="auto"/>
        <w:jc w:val="both"/>
        <w:sectPr w:rsidR="00E675F0">
          <w:headerReference w:type="even" r:id="rId69"/>
          <w:headerReference w:type="default" r:id="rId70"/>
          <w:pgSz w:w="8960" w:h="14260"/>
          <w:pgMar w:top="1400" w:right="620" w:bottom="280" w:left="620" w:header="697" w:footer="0" w:gutter="0"/>
          <w:pgNumType w:start="58"/>
          <w:cols w:space="720"/>
        </w:sectPr>
      </w:pPr>
    </w:p>
    <w:p w:rsidR="00E675F0" w:rsidRDefault="00E675F0" w:rsidP="00E675F0">
      <w:pPr>
        <w:pStyle w:val="BodyText"/>
        <w:spacing w:before="120" w:line="252" w:lineRule="auto"/>
        <w:ind w:left="111" w:right="118" w:firstLine="2"/>
        <w:jc w:val="both"/>
      </w:pPr>
      <w:r>
        <w:rPr>
          <w:w w:val="105"/>
        </w:rPr>
        <w:lastRenderedPageBreak/>
        <w:t>of words (e.g., spatial terms) or statements (e.g., complex "if-then" sentences). In more severe</w:t>
      </w:r>
      <w:r>
        <w:rPr>
          <w:spacing w:val="-9"/>
          <w:w w:val="105"/>
        </w:rPr>
        <w:t xml:space="preserve"> </w:t>
      </w:r>
      <w:r>
        <w:rPr>
          <w:w w:val="105"/>
        </w:rPr>
        <w:t>cases,</w:t>
      </w:r>
      <w:r>
        <w:rPr>
          <w:spacing w:val="-4"/>
          <w:w w:val="105"/>
        </w:rPr>
        <w:t xml:space="preserve"> </w:t>
      </w:r>
      <w:r>
        <w:rPr>
          <w:w w:val="105"/>
        </w:rPr>
        <w:t>there</w:t>
      </w:r>
      <w:r>
        <w:rPr>
          <w:spacing w:val="-7"/>
          <w:w w:val="105"/>
        </w:rPr>
        <w:t xml:space="preserve"> </w:t>
      </w:r>
      <w:r>
        <w:rPr>
          <w:w w:val="105"/>
        </w:rPr>
        <w:t>may</w:t>
      </w:r>
      <w:r>
        <w:rPr>
          <w:spacing w:val="-9"/>
          <w:w w:val="105"/>
        </w:rPr>
        <w:t xml:space="preserve"> </w:t>
      </w:r>
      <w:r>
        <w:rPr>
          <w:w w:val="105"/>
        </w:rPr>
        <w:t>be</w:t>
      </w:r>
      <w:r>
        <w:rPr>
          <w:spacing w:val="-11"/>
          <w:w w:val="105"/>
        </w:rPr>
        <w:t xml:space="preserve"> </w:t>
      </w:r>
      <w:r>
        <w:rPr>
          <w:w w:val="105"/>
        </w:rPr>
        <w:t>multiple</w:t>
      </w:r>
      <w:r>
        <w:rPr>
          <w:spacing w:val="-9"/>
          <w:w w:val="105"/>
        </w:rPr>
        <w:t xml:space="preserve"> </w:t>
      </w:r>
      <w:r>
        <w:rPr>
          <w:w w:val="105"/>
        </w:rPr>
        <w:t>disabilities,</w:t>
      </w:r>
      <w:r>
        <w:rPr>
          <w:spacing w:val="3"/>
          <w:w w:val="105"/>
        </w:rPr>
        <w:t xml:space="preserve"> </w:t>
      </w:r>
      <w:r>
        <w:rPr>
          <w:w w:val="105"/>
        </w:rPr>
        <w:t>including</w:t>
      </w:r>
      <w:r>
        <w:rPr>
          <w:spacing w:val="-2"/>
          <w:w w:val="105"/>
        </w:rPr>
        <w:t xml:space="preserve"> </w:t>
      </w:r>
      <w:r>
        <w:rPr>
          <w:w w:val="105"/>
        </w:rPr>
        <w:t>an</w:t>
      </w:r>
      <w:r>
        <w:rPr>
          <w:spacing w:val="-13"/>
          <w:w w:val="105"/>
        </w:rPr>
        <w:t xml:space="preserve"> </w:t>
      </w:r>
      <w:r>
        <w:rPr>
          <w:w w:val="105"/>
        </w:rPr>
        <w:t>inability</w:t>
      </w:r>
      <w:r>
        <w:rPr>
          <w:spacing w:val="-10"/>
          <w:w w:val="105"/>
        </w:rPr>
        <w:t xml:space="preserve"> </w:t>
      </w:r>
      <w:r>
        <w:rPr>
          <w:w w:val="105"/>
        </w:rPr>
        <w:t>to</w:t>
      </w:r>
      <w:r>
        <w:rPr>
          <w:spacing w:val="-2"/>
          <w:w w:val="105"/>
        </w:rPr>
        <w:t xml:space="preserve"> </w:t>
      </w:r>
      <w:r>
        <w:rPr>
          <w:w w:val="105"/>
        </w:rPr>
        <w:t>understand</w:t>
      </w:r>
      <w:r>
        <w:rPr>
          <w:spacing w:val="8"/>
          <w:w w:val="105"/>
        </w:rPr>
        <w:t xml:space="preserve"> </w:t>
      </w:r>
      <w:r>
        <w:rPr>
          <w:w w:val="105"/>
        </w:rPr>
        <w:t>basic vocabulary or simple sentences, and deficits in various areas of auditory processing (e.g., discrimination of sounds, association of sounds and symbols, storage, recall, and sequencing). Because the development of expressive language  in childhood  relies on the acquisition of receptive skills, a pure receptive language disorder (analogous to a Wernicke's aphasia in adults) is virtually never</w:t>
      </w:r>
      <w:r>
        <w:rPr>
          <w:spacing w:val="-4"/>
          <w:w w:val="105"/>
        </w:rPr>
        <w:t xml:space="preserve"> </w:t>
      </w:r>
      <w:r>
        <w:rPr>
          <w:w w:val="105"/>
        </w:rPr>
        <w:t>seen.</w:t>
      </w:r>
    </w:p>
    <w:p w:rsidR="00E675F0" w:rsidRDefault="00E675F0" w:rsidP="00E675F0">
      <w:pPr>
        <w:pStyle w:val="BodyText"/>
        <w:spacing w:before="6" w:line="254" w:lineRule="auto"/>
        <w:ind w:left="114" w:right="124" w:firstLine="364"/>
        <w:jc w:val="both"/>
      </w:pPr>
      <w:r>
        <w:rPr>
          <w:w w:val="105"/>
        </w:rPr>
        <w:t>Mixed Receptive-Expressive Language Disorder may be either acquired or develop­ mental. In the acquired type, an impairment in receptive and expressive language occurs after a period of normal development as a result of a neurological or other general medical condition (e.g., encephalitis, head trauma, irradiation). In the developmental type, there is an impairment in receptive and expressive language that is not associated with a neurological insult of known origin. This type is characterized by a slow rate of language development in which speech may begin late and advance slowly through the stages of language development.</w:t>
      </w:r>
    </w:p>
    <w:p w:rsidR="00E675F0" w:rsidRDefault="00E675F0" w:rsidP="00E675F0">
      <w:pPr>
        <w:pStyle w:val="BodyText"/>
        <w:spacing w:before="5"/>
        <w:rPr>
          <w:sz w:val="27"/>
        </w:rPr>
      </w:pPr>
    </w:p>
    <w:p w:rsidR="00E675F0" w:rsidRDefault="00E675F0" w:rsidP="00E675F0">
      <w:pPr>
        <w:ind w:left="101"/>
        <w:jc w:val="both"/>
        <w:rPr>
          <w:rFonts w:ascii="TimesNewRomanPS-BoldItalicMT"/>
          <w:b/>
          <w:i/>
          <w:sz w:val="24"/>
        </w:rPr>
      </w:pPr>
      <w:r>
        <w:rPr>
          <w:rFonts w:ascii="TimesNewRomanPS-BoldItalicMT"/>
          <w:b/>
          <w:i/>
          <w:w w:val="115"/>
          <w:sz w:val="24"/>
        </w:rPr>
        <w:t>Associated Features and Disorders</w:t>
      </w:r>
    </w:p>
    <w:p w:rsidR="00E675F0" w:rsidRDefault="00E675F0" w:rsidP="00E675F0">
      <w:pPr>
        <w:pStyle w:val="BodyText"/>
        <w:spacing w:before="146" w:line="252" w:lineRule="auto"/>
        <w:ind w:left="110" w:right="117" w:firstLine="4"/>
        <w:jc w:val="both"/>
      </w:pPr>
      <w:r>
        <w:rPr>
          <w:w w:val="105"/>
        </w:rPr>
        <w:t>The linguistic features of the production impairment in Mixed Receptive-Expressive Language Disorder are similar to those that accompany Expressive Language Disorder. The comprehension deficit is the primary feature that differentiates this disorder from Expressive</w:t>
      </w:r>
      <w:r>
        <w:rPr>
          <w:spacing w:val="3"/>
          <w:w w:val="105"/>
        </w:rPr>
        <w:t xml:space="preserve"> </w:t>
      </w:r>
      <w:r>
        <w:rPr>
          <w:w w:val="105"/>
        </w:rPr>
        <w:t>Language</w:t>
      </w:r>
      <w:r>
        <w:rPr>
          <w:spacing w:val="-2"/>
          <w:w w:val="105"/>
        </w:rPr>
        <w:t xml:space="preserve"> </w:t>
      </w:r>
      <w:r>
        <w:rPr>
          <w:w w:val="105"/>
        </w:rPr>
        <w:t>Disorder</w:t>
      </w:r>
      <w:r>
        <w:rPr>
          <w:spacing w:val="-10"/>
          <w:w w:val="105"/>
        </w:rPr>
        <w:t xml:space="preserve"> </w:t>
      </w:r>
      <w:r>
        <w:rPr>
          <w:w w:val="105"/>
        </w:rPr>
        <w:t>and</w:t>
      </w:r>
      <w:r>
        <w:rPr>
          <w:spacing w:val="-15"/>
          <w:w w:val="105"/>
        </w:rPr>
        <w:t xml:space="preserve"> </w:t>
      </w:r>
      <w:r>
        <w:rPr>
          <w:w w:val="105"/>
        </w:rPr>
        <w:t>this</w:t>
      </w:r>
      <w:r>
        <w:rPr>
          <w:spacing w:val="-18"/>
          <w:w w:val="105"/>
        </w:rPr>
        <w:t xml:space="preserve"> </w:t>
      </w:r>
      <w:r>
        <w:rPr>
          <w:w w:val="105"/>
        </w:rPr>
        <w:t>can</w:t>
      </w:r>
      <w:r>
        <w:rPr>
          <w:spacing w:val="-19"/>
          <w:w w:val="105"/>
        </w:rPr>
        <w:t xml:space="preserve"> </w:t>
      </w:r>
      <w:r>
        <w:rPr>
          <w:w w:val="105"/>
        </w:rPr>
        <w:t>vary</w:t>
      </w:r>
      <w:r>
        <w:rPr>
          <w:spacing w:val="-14"/>
          <w:w w:val="105"/>
        </w:rPr>
        <w:t xml:space="preserve"> </w:t>
      </w:r>
      <w:r>
        <w:rPr>
          <w:w w:val="105"/>
        </w:rPr>
        <w:t>depending</w:t>
      </w:r>
      <w:r>
        <w:rPr>
          <w:spacing w:val="-7"/>
          <w:w w:val="105"/>
        </w:rPr>
        <w:t xml:space="preserve"> </w:t>
      </w:r>
      <w:r>
        <w:rPr>
          <w:w w:val="105"/>
        </w:rPr>
        <w:t>on</w:t>
      </w:r>
      <w:r>
        <w:rPr>
          <w:spacing w:val="-8"/>
          <w:w w:val="105"/>
        </w:rPr>
        <w:t xml:space="preserve"> </w:t>
      </w:r>
      <w:r>
        <w:rPr>
          <w:w w:val="105"/>
        </w:rPr>
        <w:t>the</w:t>
      </w:r>
      <w:r>
        <w:rPr>
          <w:spacing w:val="-22"/>
          <w:w w:val="105"/>
        </w:rPr>
        <w:t xml:space="preserve"> </w:t>
      </w:r>
      <w:r>
        <w:rPr>
          <w:w w:val="105"/>
        </w:rPr>
        <w:t>severity</w:t>
      </w:r>
      <w:r>
        <w:rPr>
          <w:spacing w:val="-7"/>
          <w:w w:val="105"/>
        </w:rPr>
        <w:t xml:space="preserve"> </w:t>
      </w:r>
      <w:r>
        <w:rPr>
          <w:w w:val="105"/>
        </w:rPr>
        <w:t>of</w:t>
      </w:r>
      <w:r>
        <w:rPr>
          <w:spacing w:val="-8"/>
          <w:w w:val="105"/>
        </w:rPr>
        <w:t xml:space="preserve"> </w:t>
      </w:r>
      <w:r>
        <w:rPr>
          <w:w w:val="105"/>
        </w:rPr>
        <w:t>the</w:t>
      </w:r>
      <w:r>
        <w:rPr>
          <w:spacing w:val="-20"/>
          <w:w w:val="105"/>
        </w:rPr>
        <w:t xml:space="preserve"> </w:t>
      </w:r>
      <w:r>
        <w:rPr>
          <w:w w:val="105"/>
        </w:rPr>
        <w:t>disorder and the age of the child. Impairments in language comprehension can be less obvious than those in language production because they are not as readily apparent to the observer</w:t>
      </w:r>
      <w:r>
        <w:rPr>
          <w:spacing w:val="-6"/>
          <w:w w:val="105"/>
        </w:rPr>
        <w:t xml:space="preserve"> </w:t>
      </w:r>
      <w:r>
        <w:rPr>
          <w:w w:val="105"/>
        </w:rPr>
        <w:t>and</w:t>
      </w:r>
      <w:r>
        <w:rPr>
          <w:spacing w:val="-5"/>
          <w:w w:val="105"/>
        </w:rPr>
        <w:t xml:space="preserve"> </w:t>
      </w:r>
      <w:r>
        <w:rPr>
          <w:w w:val="105"/>
        </w:rPr>
        <w:t>may</w:t>
      </w:r>
      <w:r>
        <w:rPr>
          <w:spacing w:val="-17"/>
          <w:w w:val="105"/>
        </w:rPr>
        <w:t xml:space="preserve"> </w:t>
      </w:r>
      <w:r>
        <w:rPr>
          <w:w w:val="105"/>
        </w:rPr>
        <w:t>appear</w:t>
      </w:r>
      <w:r>
        <w:rPr>
          <w:spacing w:val="-8"/>
          <w:w w:val="105"/>
        </w:rPr>
        <w:t xml:space="preserve"> </w:t>
      </w:r>
      <w:r>
        <w:rPr>
          <w:w w:val="105"/>
        </w:rPr>
        <w:t>only</w:t>
      </w:r>
      <w:r>
        <w:rPr>
          <w:spacing w:val="-8"/>
          <w:w w:val="105"/>
        </w:rPr>
        <w:t xml:space="preserve"> </w:t>
      </w:r>
      <w:r>
        <w:rPr>
          <w:w w:val="105"/>
        </w:rPr>
        <w:t>on</w:t>
      </w:r>
      <w:r>
        <w:rPr>
          <w:spacing w:val="-13"/>
          <w:w w:val="105"/>
        </w:rPr>
        <w:t xml:space="preserve"> </w:t>
      </w:r>
      <w:r>
        <w:rPr>
          <w:w w:val="105"/>
        </w:rPr>
        <w:t>formal</w:t>
      </w:r>
      <w:r>
        <w:rPr>
          <w:spacing w:val="-5"/>
          <w:w w:val="105"/>
        </w:rPr>
        <w:t xml:space="preserve"> </w:t>
      </w:r>
      <w:r>
        <w:rPr>
          <w:w w:val="105"/>
        </w:rPr>
        <w:t>assessment.</w:t>
      </w:r>
      <w:r>
        <w:rPr>
          <w:spacing w:val="3"/>
          <w:w w:val="105"/>
        </w:rPr>
        <w:t xml:space="preserve"> </w:t>
      </w:r>
      <w:r>
        <w:rPr>
          <w:w w:val="105"/>
        </w:rPr>
        <w:t>The</w:t>
      </w:r>
      <w:r>
        <w:rPr>
          <w:spacing w:val="-16"/>
          <w:w w:val="105"/>
        </w:rPr>
        <w:t xml:space="preserve"> </w:t>
      </w:r>
      <w:r>
        <w:rPr>
          <w:w w:val="105"/>
        </w:rPr>
        <w:t>child may</w:t>
      </w:r>
      <w:r>
        <w:rPr>
          <w:spacing w:val="-8"/>
          <w:w w:val="105"/>
        </w:rPr>
        <w:t xml:space="preserve"> </w:t>
      </w:r>
      <w:r>
        <w:rPr>
          <w:w w:val="105"/>
        </w:rPr>
        <w:t>intermittently</w:t>
      </w:r>
      <w:r>
        <w:rPr>
          <w:spacing w:val="-23"/>
          <w:w w:val="105"/>
        </w:rPr>
        <w:t xml:space="preserve"> </w:t>
      </w:r>
      <w:r>
        <w:rPr>
          <w:w w:val="105"/>
        </w:rPr>
        <w:t>appear not to hear or to be confused or not paying attention when spoken to. The child may follow</w:t>
      </w:r>
      <w:r>
        <w:rPr>
          <w:spacing w:val="-15"/>
          <w:w w:val="105"/>
        </w:rPr>
        <w:t xml:space="preserve"> </w:t>
      </w:r>
      <w:r>
        <w:rPr>
          <w:w w:val="105"/>
        </w:rPr>
        <w:t>commands</w:t>
      </w:r>
      <w:r>
        <w:rPr>
          <w:spacing w:val="-3"/>
          <w:w w:val="105"/>
        </w:rPr>
        <w:t xml:space="preserve"> </w:t>
      </w:r>
      <w:r>
        <w:rPr>
          <w:w w:val="105"/>
        </w:rPr>
        <w:t>incorrectly,</w:t>
      </w:r>
      <w:r>
        <w:rPr>
          <w:spacing w:val="3"/>
          <w:w w:val="105"/>
        </w:rPr>
        <w:t xml:space="preserve"> </w:t>
      </w:r>
      <w:r>
        <w:rPr>
          <w:w w:val="105"/>
        </w:rPr>
        <w:t>or</w:t>
      </w:r>
      <w:r>
        <w:rPr>
          <w:spacing w:val="-11"/>
          <w:w w:val="105"/>
        </w:rPr>
        <w:t xml:space="preserve"> </w:t>
      </w:r>
      <w:r>
        <w:rPr>
          <w:w w:val="105"/>
        </w:rPr>
        <w:t>not</w:t>
      </w:r>
      <w:r>
        <w:rPr>
          <w:spacing w:val="-10"/>
          <w:w w:val="105"/>
        </w:rPr>
        <w:t xml:space="preserve"> </w:t>
      </w:r>
      <w:r>
        <w:rPr>
          <w:w w:val="105"/>
        </w:rPr>
        <w:t>at</w:t>
      </w:r>
      <w:r>
        <w:rPr>
          <w:spacing w:val="-19"/>
          <w:w w:val="105"/>
        </w:rPr>
        <w:t xml:space="preserve"> </w:t>
      </w:r>
      <w:r>
        <w:rPr>
          <w:w w:val="105"/>
        </w:rPr>
        <w:t>all,</w:t>
      </w:r>
      <w:r>
        <w:rPr>
          <w:spacing w:val="-11"/>
          <w:w w:val="105"/>
        </w:rPr>
        <w:t xml:space="preserve"> </w:t>
      </w:r>
      <w:r>
        <w:rPr>
          <w:w w:val="105"/>
        </w:rPr>
        <w:t>and</w:t>
      </w:r>
      <w:r>
        <w:rPr>
          <w:spacing w:val="-13"/>
          <w:w w:val="105"/>
        </w:rPr>
        <w:t xml:space="preserve"> </w:t>
      </w:r>
      <w:r>
        <w:rPr>
          <w:w w:val="105"/>
        </w:rPr>
        <w:t>give</w:t>
      </w:r>
      <w:r>
        <w:rPr>
          <w:spacing w:val="-11"/>
          <w:w w:val="105"/>
        </w:rPr>
        <w:t xml:space="preserve"> </w:t>
      </w:r>
      <w:r>
        <w:rPr>
          <w:w w:val="105"/>
        </w:rPr>
        <w:t>tangential</w:t>
      </w:r>
      <w:r>
        <w:rPr>
          <w:spacing w:val="-5"/>
          <w:w w:val="105"/>
        </w:rPr>
        <w:t xml:space="preserve"> </w:t>
      </w:r>
      <w:r>
        <w:rPr>
          <w:w w:val="105"/>
        </w:rPr>
        <w:t>or</w:t>
      </w:r>
      <w:r>
        <w:rPr>
          <w:spacing w:val="-5"/>
          <w:w w:val="105"/>
        </w:rPr>
        <w:t xml:space="preserve"> </w:t>
      </w:r>
      <w:r>
        <w:rPr>
          <w:w w:val="105"/>
        </w:rPr>
        <w:t>inappropriate</w:t>
      </w:r>
      <w:r>
        <w:rPr>
          <w:spacing w:val="8"/>
          <w:w w:val="105"/>
        </w:rPr>
        <w:t xml:space="preserve"> </w:t>
      </w:r>
      <w:r>
        <w:rPr>
          <w:w w:val="105"/>
        </w:rPr>
        <w:t xml:space="preserve">responses to questions. The child may be exceptionally quiet or, conversely, very talkative. Conversational skills (e.g., taking turns, maintaining a topic) are often quite poor or inappropriate. Deficits in various areas of sensory information processing are common, especially in temporal auditory processing (e.g., processing rate, association of sounds and symbols, sequence of sounds and memory, attention to and discrimination of sounds). Difficulty in producing motor sequences smoothly and quickly is also charac­ teristic. Phonological Disorder, Learning Disorders, and deficits in speech perception are often present and accompanied by memory impairments. Other associated disorders are Attention-Deficit/Hyperactivity Disorder, Developmental Coordination Disorder, and Enuresis. Mixed Receptive-Expressive Language Disorder may be accompanied by EEG abnormalities, abnormal findings on neuroimaging, and other neurological signs. A form of acquired Mixed Receptive-Expressive Language Disorder that has its onset at about ages </w:t>
      </w:r>
      <w:r>
        <w:rPr>
          <w:w w:val="105"/>
          <w:sz w:val="22"/>
        </w:rPr>
        <w:t xml:space="preserve">3-9 </w:t>
      </w:r>
      <w:r>
        <w:rPr>
          <w:w w:val="105"/>
        </w:rPr>
        <w:t>years and is accompanied by seizures is referred to as Landau-Kleffner syndrome.</w:t>
      </w:r>
    </w:p>
    <w:p w:rsidR="00E675F0" w:rsidRDefault="00E675F0" w:rsidP="00E675F0">
      <w:pPr>
        <w:pStyle w:val="BodyText"/>
        <w:spacing w:before="5"/>
        <w:rPr>
          <w:sz w:val="27"/>
        </w:rPr>
      </w:pPr>
    </w:p>
    <w:p w:rsidR="00E675F0" w:rsidRDefault="00E675F0" w:rsidP="00E675F0">
      <w:pPr>
        <w:ind w:left="112"/>
        <w:jc w:val="both"/>
        <w:rPr>
          <w:rFonts w:ascii="TimesNewRomanPS-BoldItalicMT"/>
          <w:b/>
          <w:i/>
          <w:sz w:val="24"/>
        </w:rPr>
      </w:pPr>
      <w:r>
        <w:rPr>
          <w:rFonts w:ascii="TimesNewRomanPS-BoldItalicMT"/>
          <w:b/>
          <w:i/>
          <w:w w:val="115"/>
          <w:sz w:val="24"/>
        </w:rPr>
        <w:t>Specific Culture and Gender Features</w:t>
      </w:r>
    </w:p>
    <w:p w:rsidR="00E675F0" w:rsidRDefault="00E675F0" w:rsidP="00E675F0">
      <w:pPr>
        <w:pStyle w:val="BodyText"/>
        <w:spacing w:before="146" w:line="254" w:lineRule="auto"/>
        <w:ind w:left="120" w:right="120" w:hanging="1"/>
        <w:jc w:val="both"/>
      </w:pPr>
      <w:r>
        <w:rPr>
          <w:w w:val="105"/>
        </w:rPr>
        <w:t>Assessments of the development of communication abilities must take into account the individual's cultural and language context, particularly for individuals growing up in bilingual environments. The standardized measures of language development and of nonverbal intellectual capacity must be relevant for the cultural and linguistic group. The developmental type is more prevalent in males than in</w:t>
      </w:r>
      <w:r>
        <w:rPr>
          <w:spacing w:val="17"/>
          <w:w w:val="105"/>
        </w:rPr>
        <w:t xml:space="preserve"> </w:t>
      </w:r>
      <w:r>
        <w:rPr>
          <w:w w:val="105"/>
        </w:rPr>
        <w:t>females.</w:t>
      </w:r>
    </w:p>
    <w:p w:rsidR="00E675F0" w:rsidRDefault="00E675F0" w:rsidP="00E675F0">
      <w:pPr>
        <w:spacing w:line="254" w:lineRule="auto"/>
        <w:jc w:val="both"/>
        <w:sectPr w:rsidR="00E675F0">
          <w:pgSz w:w="8960" w:h="14260"/>
          <w:pgMar w:top="1400" w:right="620" w:bottom="280" w:left="620" w:header="690" w:footer="0" w:gutter="0"/>
          <w:cols w:space="720"/>
        </w:sectPr>
      </w:pPr>
    </w:p>
    <w:p w:rsidR="00E675F0" w:rsidRDefault="00E675F0" w:rsidP="00E675F0">
      <w:pPr>
        <w:pStyle w:val="BodyText"/>
        <w:spacing w:line="20" w:lineRule="exact"/>
        <w:ind w:left="126"/>
        <w:rPr>
          <w:sz w:val="2"/>
        </w:rPr>
      </w:pPr>
      <w:r>
        <w:rPr>
          <w:noProof/>
          <w:sz w:val="2"/>
        </w:rPr>
        <w:lastRenderedPageBreak/>
        <mc:AlternateContent>
          <mc:Choice Requires="wpg">
            <w:drawing>
              <wp:inline distT="0" distB="0" distL="0" distR="0" wp14:anchorId="0F79A8E1" wp14:editId="49508AE4">
                <wp:extent cx="4753610" cy="6350"/>
                <wp:effectExtent l="0" t="0" r="0" b="0"/>
                <wp:docPr id="1616" name="Group 1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3610" cy="6350"/>
                          <a:chOff x="0" y="0"/>
                          <a:chExt cx="7486" cy="10"/>
                        </a:xfrm>
                      </wpg:grpSpPr>
                      <wps:wsp>
                        <wps:cNvPr id="1617" name="Line 1573"/>
                        <wps:cNvCnPr>
                          <a:cxnSpLocks/>
                        </wps:cNvCnPr>
                        <wps:spPr bwMode="auto">
                          <a:xfrm>
                            <a:off x="0" y="5"/>
                            <a:ext cx="7485" cy="0"/>
                          </a:xfrm>
                          <a:prstGeom prst="line">
                            <a:avLst/>
                          </a:prstGeom>
                          <a:noFill/>
                          <a:ln w="610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831A7ED" id="Group 1572" o:spid="_x0000_s1026" style="width:374.3pt;height:.5pt;mso-position-horizontal-relative:char;mso-position-vertical-relative:line" coordsize="7486,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">
                <v:line id="Line 1573" o:spid="_x0000_s1027" style="position:absolute;visibility:visible;mso-wrap-style:square" from="0,5" to="748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" strokeweight=".16958mm">
                  <o:lock v:ext="edit" shapetype="f"/>
                </v:line>
                <w10:anchorlock/>
              </v:group>
            </w:pict>
          </mc:Fallback>
        </mc:AlternateContent>
      </w:r>
    </w:p>
    <w:p w:rsidR="00E675F0" w:rsidRDefault="00E675F0" w:rsidP="00E675F0">
      <w:pPr>
        <w:pStyle w:val="BodyText"/>
      </w:pPr>
    </w:p>
    <w:p w:rsidR="00E675F0" w:rsidRDefault="00E675F0" w:rsidP="00E675F0">
      <w:pPr>
        <w:pStyle w:val="BodyText"/>
        <w:spacing w:before="8"/>
      </w:pPr>
    </w:p>
    <w:p w:rsidR="00E675F0" w:rsidRDefault="00E675F0" w:rsidP="00E675F0">
      <w:pPr>
        <w:spacing w:before="91"/>
        <w:ind w:left="114"/>
        <w:rPr>
          <w:rFonts w:ascii="TimesNewRomanPS-BoldItalicMT"/>
          <w:b/>
          <w:i/>
          <w:sz w:val="24"/>
        </w:rPr>
      </w:pPr>
      <w:bookmarkStart w:id="39" w:name="_bookmark24"/>
      <w:bookmarkEnd w:id="39"/>
      <w:r>
        <w:rPr>
          <w:rFonts w:ascii="TimesNewRomanPS-BoldItalicMT"/>
          <w:b/>
          <w:i/>
          <w:w w:val="115"/>
          <w:sz w:val="24"/>
        </w:rPr>
        <w:t>Prevalence</w:t>
      </w:r>
    </w:p>
    <w:p w:rsidR="00E675F0" w:rsidRDefault="00E675F0" w:rsidP="00E675F0">
      <w:pPr>
        <w:pStyle w:val="BodyText"/>
        <w:spacing w:before="136" w:line="256" w:lineRule="auto"/>
        <w:ind w:left="129" w:right="125" w:firstLine="2"/>
        <w:jc w:val="both"/>
      </w:pPr>
      <w:r>
        <w:rPr>
          <w:w w:val="105"/>
          <w:sz w:val="19"/>
        </w:rPr>
        <w:t xml:space="preserve">It </w:t>
      </w:r>
      <w:r>
        <w:rPr>
          <w:w w:val="105"/>
        </w:rPr>
        <w:t>is estimated that the developmental type of Mixed Receptive-Expressive Language Disorder may occur in up to 3% of school-age children but is probably less common than Expressive Language Disorder. Landau-Kleffner syndrome and other forms of the acquired type of the disorder are</w:t>
      </w:r>
      <w:r>
        <w:rPr>
          <w:spacing w:val="-11"/>
          <w:w w:val="105"/>
        </w:rPr>
        <w:t xml:space="preserve"> </w:t>
      </w:r>
      <w:r>
        <w:rPr>
          <w:w w:val="105"/>
        </w:rPr>
        <w:t>rarer.</w:t>
      </w:r>
    </w:p>
    <w:p w:rsidR="00E675F0" w:rsidRDefault="00E675F0" w:rsidP="00E675F0">
      <w:pPr>
        <w:pStyle w:val="BodyText"/>
        <w:rPr>
          <w:sz w:val="29"/>
        </w:rPr>
      </w:pPr>
    </w:p>
    <w:p w:rsidR="00E675F0" w:rsidRDefault="00E675F0" w:rsidP="00E675F0">
      <w:pPr>
        <w:ind w:left="106"/>
        <w:rPr>
          <w:rFonts w:ascii="TimesNewRomanPS-BoldItalicMT"/>
          <w:b/>
          <w:i/>
          <w:sz w:val="24"/>
        </w:rPr>
      </w:pPr>
      <w:r>
        <w:rPr>
          <w:rFonts w:ascii="TimesNewRomanPS-BoldItalicMT"/>
          <w:b/>
          <w:i/>
          <w:w w:val="115"/>
          <w:sz w:val="24"/>
        </w:rPr>
        <w:t>Course</w:t>
      </w:r>
    </w:p>
    <w:p w:rsidR="00E675F0" w:rsidRDefault="00E675F0" w:rsidP="00E675F0">
      <w:pPr>
        <w:pStyle w:val="BodyText"/>
        <w:spacing w:before="142" w:line="254" w:lineRule="auto"/>
        <w:ind w:left="129" w:right="113" w:hanging="4"/>
        <w:jc w:val="both"/>
      </w:pPr>
      <w:r>
        <w:rPr>
          <w:w w:val="105"/>
        </w:rPr>
        <w:t>The developmental type of Mixed Receptive-Expressive Language Disorder is usually detectable before  age  4 years.  Severe  forms of  the disorder  may  be apparent  by age 2 years. Milder forms may not be recognized until the child reaches elementary school, where deficits in comprehension become more apparent. The acquired type of Mixed Receptive-Expressive Language Disorder due to brain lesions, head trauma, or stroke may occur at any age. The acquired type due to Landau-Kleffner syndrome (acquired epileptic aphasia) usually occurs between ages 3 and 9 years. Many children with Mixed Receptive-Expressive Language Disorder eventually acquire normal language abilities, but the prognosis is worse than for those with Expressive Language Disorder. In the acquired type of Mixed Receptive-Expressive Language Disorder, the course and prognosis are related to the severity and location of brain pathology,  as well as to the age of the child and the extent of language development at the time the disorder is acquired. Clinical improvement in language abilities is sometimes complete, whereas in other instances there may be incomplete recovery or progressive deficit. Children with more severe forms are likely to develop</w:t>
      </w:r>
      <w:r>
        <w:rPr>
          <w:spacing w:val="43"/>
          <w:w w:val="105"/>
        </w:rPr>
        <w:t xml:space="preserve"> </w:t>
      </w:r>
      <w:r>
        <w:rPr>
          <w:w w:val="105"/>
        </w:rPr>
        <w:t>Learning Disorders.</w:t>
      </w:r>
    </w:p>
    <w:p w:rsidR="00E675F0" w:rsidRDefault="00E675F0" w:rsidP="00E675F0">
      <w:pPr>
        <w:pStyle w:val="BodyText"/>
        <w:rPr>
          <w:sz w:val="29"/>
        </w:rPr>
      </w:pPr>
    </w:p>
    <w:p w:rsidR="00E675F0" w:rsidRDefault="00E675F0" w:rsidP="00E675F0">
      <w:pPr>
        <w:ind w:left="111"/>
        <w:rPr>
          <w:rFonts w:ascii="TimesNewRomanPS-BoldItalicMT"/>
          <w:b/>
          <w:i/>
          <w:sz w:val="24"/>
        </w:rPr>
      </w:pPr>
      <w:r>
        <w:rPr>
          <w:rFonts w:ascii="TimesNewRomanPS-BoldItalicMT"/>
          <w:b/>
          <w:i/>
          <w:w w:val="115"/>
          <w:sz w:val="24"/>
        </w:rPr>
        <w:t>Familial Pattern</w:t>
      </w:r>
    </w:p>
    <w:p w:rsidR="00E675F0" w:rsidRDefault="00E675F0" w:rsidP="00E675F0">
      <w:pPr>
        <w:pStyle w:val="BodyText"/>
        <w:spacing w:before="136" w:line="252" w:lineRule="auto"/>
        <w:ind w:left="134" w:right="120" w:hanging="4"/>
        <w:jc w:val="both"/>
      </w:pPr>
      <w:r>
        <w:rPr>
          <w:w w:val="105"/>
        </w:rPr>
        <w:t>The developmental type of Mixed Receptive-Expressive Language Disorder is more common among first-degree biological relatives of those with the disorder than in the general population. There is no evidence of familial aggregation in the acquired type of the disorder.</w:t>
      </w:r>
    </w:p>
    <w:p w:rsidR="00E675F0" w:rsidRDefault="00E675F0" w:rsidP="00E675F0">
      <w:pPr>
        <w:pStyle w:val="BodyText"/>
        <w:spacing w:before="2"/>
        <w:rPr>
          <w:sz w:val="28"/>
        </w:rPr>
      </w:pPr>
    </w:p>
    <w:p w:rsidR="00E675F0" w:rsidRDefault="00E675F0" w:rsidP="00E675F0">
      <w:pPr>
        <w:ind w:left="130"/>
        <w:rPr>
          <w:rFonts w:ascii="TimesNewRomanPS-BoldItalicMT"/>
          <w:b/>
          <w:i/>
          <w:sz w:val="24"/>
        </w:rPr>
      </w:pPr>
      <w:r>
        <w:rPr>
          <w:rFonts w:ascii="TimesNewRomanPS-BoldItalicMT"/>
          <w:b/>
          <w:i/>
          <w:w w:val="115"/>
          <w:sz w:val="24"/>
        </w:rPr>
        <w:t>Differential Diagnosis</w:t>
      </w:r>
    </w:p>
    <w:p w:rsidR="00E675F0" w:rsidRDefault="00E675F0" w:rsidP="00E675F0">
      <w:pPr>
        <w:pStyle w:val="BodyText"/>
        <w:spacing w:before="136"/>
        <w:ind w:left="138"/>
        <w:jc w:val="both"/>
      </w:pPr>
      <w:r>
        <w:rPr>
          <w:noProof/>
        </w:rPr>
        <mc:AlternateContent>
          <mc:Choice Requires="wps">
            <w:drawing>
              <wp:anchor distT="0" distB="0" distL="114300" distR="114300" simplePos="0" relativeHeight="251755520" behindDoc="1" locked="0" layoutInCell="1" allowOverlap="1" wp14:anchorId="31ED2DC9" wp14:editId="73025381">
                <wp:simplePos x="0" y="0"/>
                <wp:positionH relativeFrom="page">
                  <wp:posOffset>5181600</wp:posOffset>
                </wp:positionH>
                <wp:positionV relativeFrom="paragraph">
                  <wp:posOffset>2396490</wp:posOffset>
                </wp:positionV>
                <wp:extent cx="0" cy="0"/>
                <wp:effectExtent l="0" t="0" r="0" b="0"/>
                <wp:wrapNone/>
                <wp:docPr id="1615" name="Line 15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3054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6F595C" id="Line 1571" o:spid="_x0000_s1026" style="position:absolute;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8pt,188.7pt" to="408pt,188.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" strokeweight=".84853mm">
                <o:lock v:ext="edit" shapetype="f"/>
                <w10:wrap anchorx="page"/>
              </v:line>
            </w:pict>
          </mc:Fallback>
        </mc:AlternateContent>
      </w:r>
      <w:r>
        <w:rPr>
          <w:w w:val="105"/>
        </w:rPr>
        <w:t>See the "Differential Diagnosis" section for Expressive Language Disorder (p. 57).</w:t>
      </w:r>
    </w:p>
    <w:p w:rsidR="00E675F0" w:rsidRDefault="00E675F0" w:rsidP="00E675F0">
      <w:pPr>
        <w:pStyle w:val="BodyText"/>
      </w:pPr>
    </w:p>
    <w:p w:rsidR="00E675F0" w:rsidRDefault="00E675F0" w:rsidP="00E675F0">
      <w:pPr>
        <w:pStyle w:val="BodyText"/>
        <w:spacing w:before="7"/>
        <w:rPr>
          <w:sz w:val="22"/>
        </w:rPr>
      </w:pPr>
    </w:p>
    <w:tbl>
      <w:tblPr>
        <w:tblW w:w="0" w:type="auto"/>
        <w:tblInd w:w="241"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7331"/>
      </w:tblGrid>
      <w:tr w:rsidR="00E675F0" w:rsidTr="00A330E1">
        <w:trPr>
          <w:trHeight w:val="2732"/>
        </w:trPr>
        <w:tc>
          <w:tcPr>
            <w:tcW w:w="7331" w:type="dxa"/>
          </w:tcPr>
          <w:p w:rsidR="00E675F0" w:rsidRDefault="00E675F0" w:rsidP="003048D3">
            <w:pPr>
              <w:pStyle w:val="TableParagraph"/>
              <w:numPr>
                <w:ilvl w:val="0"/>
                <w:numId w:val="104"/>
              </w:numPr>
              <w:tabs>
                <w:tab w:val="left" w:pos="629"/>
              </w:tabs>
              <w:spacing w:before="28" w:line="208" w:lineRule="auto"/>
              <w:ind w:right="1802"/>
              <w:rPr>
                <w:rFonts w:ascii="Arial" w:hAnsi="Arial"/>
                <w:b/>
                <w:sz w:val="24"/>
              </w:rPr>
            </w:pPr>
            <w:r>
              <w:rPr>
                <w:rFonts w:ascii="Arial" w:hAnsi="Arial"/>
                <w:b/>
                <w:w w:val="105"/>
                <w:sz w:val="24"/>
              </w:rPr>
              <w:t>Diagnostic criteria for 315.31 Mixed Receptive</w:t>
            </w:r>
            <w:r>
              <w:rPr>
                <w:rFonts w:ascii="Arial" w:hAnsi="Arial"/>
                <w:b/>
                <w:spacing w:val="-43"/>
                <w:w w:val="105"/>
                <w:sz w:val="24"/>
              </w:rPr>
              <w:t xml:space="preserve"> </w:t>
            </w:r>
            <w:r>
              <w:rPr>
                <w:rFonts w:ascii="Arial" w:hAnsi="Arial"/>
                <w:b/>
                <w:w w:val="105"/>
                <w:sz w:val="24"/>
              </w:rPr>
              <w:t>Expressive</w:t>
            </w:r>
            <w:r>
              <w:rPr>
                <w:rFonts w:ascii="Arial" w:hAnsi="Arial"/>
                <w:b/>
                <w:spacing w:val="-51"/>
                <w:w w:val="105"/>
                <w:sz w:val="24"/>
              </w:rPr>
              <w:t xml:space="preserve"> </w:t>
            </w:r>
            <w:r>
              <w:rPr>
                <w:rFonts w:ascii="Arial" w:hAnsi="Arial"/>
                <w:b/>
                <w:w w:val="105"/>
                <w:sz w:val="24"/>
              </w:rPr>
              <w:t>Language</w:t>
            </w:r>
            <w:r>
              <w:rPr>
                <w:rFonts w:ascii="Arial" w:hAnsi="Arial"/>
                <w:b/>
                <w:spacing w:val="-37"/>
                <w:w w:val="105"/>
                <w:sz w:val="24"/>
              </w:rPr>
              <w:t xml:space="preserve"> </w:t>
            </w:r>
            <w:r>
              <w:rPr>
                <w:rFonts w:ascii="Arial" w:hAnsi="Arial"/>
                <w:b/>
                <w:w w:val="105"/>
                <w:sz w:val="24"/>
              </w:rPr>
              <w:t>Disorder</w:t>
            </w:r>
          </w:p>
          <w:p w:rsidR="00E675F0" w:rsidRDefault="00E675F0" w:rsidP="00A330E1">
            <w:pPr>
              <w:pStyle w:val="TableParagraph"/>
              <w:spacing w:before="173" w:line="254" w:lineRule="auto"/>
              <w:ind w:left="955" w:right="223" w:hanging="307"/>
              <w:jc w:val="both"/>
              <w:rPr>
                <w:sz w:val="20"/>
              </w:rPr>
            </w:pPr>
            <w:r>
              <w:rPr>
                <w:w w:val="105"/>
                <w:sz w:val="18"/>
              </w:rPr>
              <w:t xml:space="preserve">A. </w:t>
            </w:r>
            <w:r>
              <w:rPr>
                <w:w w:val="105"/>
                <w:sz w:val="20"/>
              </w:rPr>
              <w:t>The scores obtained from a battery of standardized individually admin­ istered measures of both receptive and expressive language develop­ ment are substantially below those obtained from  standardized measures of nonverbal intellectual capacity. Symptoms include those for Expressive Language Disorder as well as difficulty understanding words, sentences, or specific types of words, such as spatial</w:t>
            </w:r>
            <w:r>
              <w:rPr>
                <w:spacing w:val="13"/>
                <w:w w:val="105"/>
                <w:sz w:val="20"/>
              </w:rPr>
              <w:t xml:space="preserve"> </w:t>
            </w:r>
            <w:r>
              <w:rPr>
                <w:w w:val="105"/>
                <w:sz w:val="20"/>
              </w:rPr>
              <w:t>terms.</w:t>
            </w:r>
          </w:p>
          <w:p w:rsidR="00E675F0" w:rsidRDefault="00E675F0" w:rsidP="00A330E1">
            <w:pPr>
              <w:pStyle w:val="TableParagraph"/>
              <w:spacing w:before="3"/>
              <w:ind w:right="211"/>
              <w:jc w:val="right"/>
              <w:rPr>
                <w:i/>
                <w:sz w:val="20"/>
              </w:rPr>
            </w:pPr>
            <w:r>
              <w:rPr>
                <w:i/>
                <w:w w:val="110"/>
                <w:sz w:val="20"/>
              </w:rPr>
              <w:t>(continued)</w:t>
            </w:r>
          </w:p>
        </w:tc>
      </w:tr>
    </w:tbl>
    <w:p w:rsidR="00E675F0" w:rsidRDefault="00E675F0" w:rsidP="00E675F0">
      <w:pPr>
        <w:jc w:val="right"/>
        <w:rPr>
          <w:sz w:val="20"/>
        </w:rPr>
        <w:sectPr w:rsidR="00E675F0">
          <w:pgSz w:w="8960" w:h="14260"/>
          <w:pgMar w:top="960" w:right="600" w:bottom="280" w:left="620" w:header="697" w:footer="0" w:gutter="0"/>
          <w:cols w:space="720"/>
        </w:sectPr>
      </w:pPr>
    </w:p>
    <w:p w:rsidR="00E675F0" w:rsidRDefault="00E675F0" w:rsidP="00E675F0">
      <w:pPr>
        <w:pStyle w:val="BodyText"/>
        <w:spacing w:before="3"/>
        <w:rPr>
          <w:sz w:val="11"/>
        </w:rPr>
      </w:pPr>
      <w:r>
        <w:rPr>
          <w:noProof/>
        </w:rPr>
        <w:lastRenderedPageBreak/>
        <mc:AlternateContent>
          <mc:Choice Requires="wps">
            <w:drawing>
              <wp:anchor distT="0" distB="0" distL="114300" distR="114300" simplePos="0" relativeHeight="251676672" behindDoc="0" locked="0" layoutInCell="1" allowOverlap="1" wp14:anchorId="3B4A73C0" wp14:editId="32475834">
                <wp:simplePos x="0" y="0"/>
                <wp:positionH relativeFrom="page">
                  <wp:posOffset>453390</wp:posOffset>
                </wp:positionH>
                <wp:positionV relativeFrom="page">
                  <wp:posOffset>996315</wp:posOffset>
                </wp:positionV>
                <wp:extent cx="4765040" cy="0"/>
                <wp:effectExtent l="0" t="12700" r="10160" b="0"/>
                <wp:wrapNone/>
                <wp:docPr id="1614" name="Line 15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765040" cy="0"/>
                        </a:xfrm>
                        <a:prstGeom prst="line">
                          <a:avLst/>
                        </a:prstGeom>
                        <a:noFill/>
                        <a:ln w="3052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4D0338" id="Line 1570" o:spid="_x0000_s1026" style="position:absolute;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7pt,78.45pt" to="410.9pt,7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" strokeweight=".84786mm">
                <o:lock v:ext="edit" shapetype="f"/>
                <w10:wrap anchorx="page" anchory="page"/>
              </v:line>
            </w:pict>
          </mc:Fallback>
        </mc:AlternateContent>
      </w:r>
    </w:p>
    <w:tbl>
      <w:tblPr>
        <w:tblW w:w="0" w:type="auto"/>
        <w:tblInd w:w="233"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7327"/>
      </w:tblGrid>
      <w:tr w:rsidR="00E675F0" w:rsidTr="00A330E1">
        <w:trPr>
          <w:trHeight w:val="3939"/>
        </w:trPr>
        <w:tc>
          <w:tcPr>
            <w:tcW w:w="7327" w:type="dxa"/>
          </w:tcPr>
          <w:p w:rsidR="00E675F0" w:rsidRDefault="00E675F0" w:rsidP="003048D3">
            <w:pPr>
              <w:pStyle w:val="TableParagraph"/>
              <w:numPr>
                <w:ilvl w:val="0"/>
                <w:numId w:val="103"/>
              </w:numPr>
              <w:tabs>
                <w:tab w:val="left" w:pos="593"/>
              </w:tabs>
              <w:spacing w:before="82" w:line="228" w:lineRule="auto"/>
              <w:ind w:right="364" w:hanging="323"/>
              <w:rPr>
                <w:rFonts w:ascii="Arial" w:hAnsi="Arial"/>
                <w:i/>
                <w:sz w:val="21"/>
              </w:rPr>
            </w:pPr>
            <w:bookmarkStart w:id="40" w:name="_bookmark25"/>
            <w:bookmarkEnd w:id="40"/>
            <w:r>
              <w:rPr>
                <w:rFonts w:ascii="Arial" w:hAnsi="Arial"/>
                <w:b/>
                <w:w w:val="110"/>
                <w:sz w:val="21"/>
              </w:rPr>
              <w:t>Diagnostic criteria for 315.31 Mixed Receptive</w:t>
            </w:r>
            <w:r>
              <w:rPr>
                <w:rFonts w:ascii="Arial" w:hAnsi="Arial"/>
                <w:b/>
                <w:spacing w:val="-43"/>
                <w:w w:val="110"/>
                <w:sz w:val="21"/>
              </w:rPr>
              <w:t xml:space="preserve"> </w:t>
            </w:r>
            <w:r>
              <w:rPr>
                <w:rFonts w:ascii="Arial" w:hAnsi="Arial"/>
                <w:b/>
                <w:w w:val="110"/>
                <w:sz w:val="21"/>
              </w:rPr>
              <w:t xml:space="preserve">Expressive Language Disorder </w:t>
            </w:r>
            <w:r>
              <w:rPr>
                <w:rFonts w:ascii="Arial" w:hAnsi="Arial"/>
                <w:i/>
                <w:w w:val="110"/>
                <w:sz w:val="21"/>
              </w:rPr>
              <w:t>(continued)</w:t>
            </w:r>
          </w:p>
          <w:p w:rsidR="00E675F0" w:rsidRDefault="00E675F0" w:rsidP="00A330E1">
            <w:pPr>
              <w:pStyle w:val="TableParagraph"/>
              <w:spacing w:before="10"/>
              <w:rPr>
                <w:sz w:val="18"/>
              </w:rPr>
            </w:pPr>
          </w:p>
          <w:p w:rsidR="00E675F0" w:rsidRDefault="00E675F0" w:rsidP="003048D3">
            <w:pPr>
              <w:pStyle w:val="TableParagraph"/>
              <w:numPr>
                <w:ilvl w:val="1"/>
                <w:numId w:val="103"/>
              </w:numPr>
              <w:tabs>
                <w:tab w:val="left" w:pos="948"/>
              </w:tabs>
              <w:spacing w:before="1" w:line="256" w:lineRule="auto"/>
              <w:ind w:right="225" w:hanging="300"/>
              <w:jc w:val="both"/>
              <w:rPr>
                <w:sz w:val="20"/>
              </w:rPr>
            </w:pPr>
            <w:r>
              <w:rPr>
                <w:w w:val="105"/>
                <w:sz w:val="20"/>
              </w:rPr>
              <w:t>The difficulties with receptive and expressive language significantly interfere with academic or occupational achievement or with social communication.</w:t>
            </w:r>
          </w:p>
          <w:p w:rsidR="00E675F0" w:rsidRDefault="00E675F0" w:rsidP="003048D3">
            <w:pPr>
              <w:pStyle w:val="TableParagraph"/>
              <w:numPr>
                <w:ilvl w:val="1"/>
                <w:numId w:val="103"/>
              </w:numPr>
              <w:tabs>
                <w:tab w:val="left" w:pos="956"/>
              </w:tabs>
              <w:spacing w:before="179"/>
              <w:ind w:left="956" w:hanging="303"/>
              <w:rPr>
                <w:sz w:val="18"/>
              </w:rPr>
            </w:pPr>
            <w:r>
              <w:rPr>
                <w:w w:val="105"/>
                <w:sz w:val="20"/>
              </w:rPr>
              <w:t>Criteria are not met for a Pervasive Developmental</w:t>
            </w:r>
            <w:r>
              <w:rPr>
                <w:spacing w:val="50"/>
                <w:w w:val="105"/>
                <w:sz w:val="20"/>
              </w:rPr>
              <w:t xml:space="preserve"> </w:t>
            </w:r>
            <w:r>
              <w:rPr>
                <w:w w:val="105"/>
                <w:sz w:val="20"/>
              </w:rPr>
              <w:t>Disorder.</w:t>
            </w:r>
          </w:p>
          <w:p w:rsidR="00E675F0" w:rsidRDefault="00E675F0" w:rsidP="003048D3">
            <w:pPr>
              <w:pStyle w:val="TableParagraph"/>
              <w:numPr>
                <w:ilvl w:val="1"/>
                <w:numId w:val="103"/>
              </w:numPr>
              <w:tabs>
                <w:tab w:val="left" w:pos="946"/>
              </w:tabs>
              <w:spacing w:before="193" w:line="256" w:lineRule="auto"/>
              <w:ind w:left="961" w:right="223" w:hanging="305"/>
              <w:jc w:val="both"/>
              <w:rPr>
                <w:sz w:val="20"/>
              </w:rPr>
            </w:pPr>
            <w:r>
              <w:rPr>
                <w:rFonts w:ascii="Arial" w:hAnsi="Arial"/>
                <w:w w:val="105"/>
                <w:sz w:val="19"/>
              </w:rPr>
              <w:t>If</w:t>
            </w:r>
            <w:r>
              <w:rPr>
                <w:rFonts w:ascii="Arial" w:hAnsi="Arial"/>
                <w:spacing w:val="10"/>
                <w:w w:val="105"/>
                <w:sz w:val="19"/>
              </w:rPr>
              <w:t xml:space="preserve"> </w:t>
            </w:r>
            <w:r>
              <w:rPr>
                <w:w w:val="105"/>
                <w:sz w:val="20"/>
              </w:rPr>
              <w:t>Mental</w:t>
            </w:r>
            <w:r>
              <w:rPr>
                <w:spacing w:val="-2"/>
                <w:w w:val="105"/>
                <w:sz w:val="20"/>
              </w:rPr>
              <w:t xml:space="preserve"> </w:t>
            </w:r>
            <w:r>
              <w:rPr>
                <w:w w:val="105"/>
                <w:sz w:val="20"/>
              </w:rPr>
              <w:t>Retardation,</w:t>
            </w:r>
            <w:r>
              <w:rPr>
                <w:spacing w:val="-3"/>
                <w:w w:val="105"/>
                <w:sz w:val="20"/>
              </w:rPr>
              <w:t xml:space="preserve"> </w:t>
            </w:r>
            <w:r>
              <w:rPr>
                <w:w w:val="105"/>
                <w:sz w:val="20"/>
              </w:rPr>
              <w:t>a</w:t>
            </w:r>
            <w:r>
              <w:rPr>
                <w:spacing w:val="-13"/>
                <w:w w:val="105"/>
                <w:sz w:val="20"/>
              </w:rPr>
              <w:t xml:space="preserve"> </w:t>
            </w:r>
            <w:r>
              <w:rPr>
                <w:w w:val="105"/>
                <w:sz w:val="20"/>
              </w:rPr>
              <w:t>speech-motor</w:t>
            </w:r>
            <w:r>
              <w:rPr>
                <w:spacing w:val="-6"/>
                <w:w w:val="105"/>
                <w:sz w:val="20"/>
              </w:rPr>
              <w:t xml:space="preserve"> </w:t>
            </w:r>
            <w:r>
              <w:rPr>
                <w:w w:val="105"/>
                <w:sz w:val="20"/>
              </w:rPr>
              <w:t>or</w:t>
            </w:r>
            <w:r>
              <w:rPr>
                <w:spacing w:val="-13"/>
                <w:w w:val="105"/>
                <w:sz w:val="20"/>
              </w:rPr>
              <w:t xml:space="preserve"> </w:t>
            </w:r>
            <w:r>
              <w:rPr>
                <w:w w:val="105"/>
                <w:sz w:val="20"/>
              </w:rPr>
              <w:t>sensory</w:t>
            </w:r>
            <w:r>
              <w:rPr>
                <w:spacing w:val="-11"/>
                <w:w w:val="105"/>
                <w:sz w:val="20"/>
              </w:rPr>
              <w:t xml:space="preserve"> </w:t>
            </w:r>
            <w:r>
              <w:rPr>
                <w:w w:val="105"/>
                <w:sz w:val="20"/>
              </w:rPr>
              <w:t>deficit,</w:t>
            </w:r>
            <w:r>
              <w:rPr>
                <w:spacing w:val="-7"/>
                <w:w w:val="105"/>
                <w:sz w:val="20"/>
              </w:rPr>
              <w:t xml:space="preserve"> </w:t>
            </w:r>
            <w:r>
              <w:rPr>
                <w:w w:val="105"/>
                <w:sz w:val="20"/>
              </w:rPr>
              <w:t>or</w:t>
            </w:r>
            <w:r>
              <w:rPr>
                <w:spacing w:val="-17"/>
                <w:w w:val="105"/>
                <w:sz w:val="20"/>
              </w:rPr>
              <w:t xml:space="preserve"> </w:t>
            </w:r>
            <w:r>
              <w:rPr>
                <w:w w:val="105"/>
                <w:sz w:val="20"/>
              </w:rPr>
              <w:t>environmen­ tal deprivation is present, the language difficulties are in excess of those usually associated with these</w:t>
            </w:r>
            <w:r>
              <w:rPr>
                <w:spacing w:val="16"/>
                <w:w w:val="105"/>
                <w:sz w:val="20"/>
              </w:rPr>
              <w:t xml:space="preserve"> </w:t>
            </w:r>
            <w:r>
              <w:rPr>
                <w:w w:val="105"/>
                <w:sz w:val="20"/>
              </w:rPr>
              <w:t>problems.</w:t>
            </w:r>
          </w:p>
          <w:p w:rsidR="00E675F0" w:rsidRDefault="00E675F0" w:rsidP="00A330E1">
            <w:pPr>
              <w:pStyle w:val="TableParagraph"/>
              <w:spacing w:before="103" w:line="261" w:lineRule="auto"/>
              <w:ind w:left="661" w:right="219" w:hanging="13"/>
              <w:jc w:val="both"/>
              <w:rPr>
                <w:sz w:val="17"/>
              </w:rPr>
            </w:pPr>
            <w:r>
              <w:rPr>
                <w:b/>
                <w:w w:val="110"/>
                <w:sz w:val="18"/>
              </w:rPr>
              <w:t xml:space="preserve">Coding note: </w:t>
            </w:r>
            <w:r>
              <w:rPr>
                <w:w w:val="110"/>
                <w:sz w:val="17"/>
              </w:rPr>
              <w:t>If a speech-motor or sensory deficit or a neurological condition is present, code the condition on Axis Ill.</w:t>
            </w:r>
          </w:p>
        </w:tc>
      </w:tr>
    </w:tbl>
    <w:p w:rsidR="00E675F0" w:rsidRDefault="00E675F0" w:rsidP="00E675F0">
      <w:pPr>
        <w:pStyle w:val="BodyText"/>
      </w:pPr>
    </w:p>
    <w:p w:rsidR="00E675F0" w:rsidRDefault="00E675F0" w:rsidP="00E675F0">
      <w:pPr>
        <w:pStyle w:val="BodyText"/>
      </w:pPr>
    </w:p>
    <w:p w:rsidR="00E675F0" w:rsidRDefault="00E675F0" w:rsidP="00E675F0">
      <w:pPr>
        <w:pStyle w:val="BodyText"/>
        <w:rPr>
          <w:sz w:val="25"/>
        </w:rPr>
      </w:pPr>
    </w:p>
    <w:p w:rsidR="00E675F0" w:rsidRDefault="00E675F0" w:rsidP="00E675F0">
      <w:pPr>
        <w:tabs>
          <w:tab w:val="left" w:pos="1068"/>
        </w:tabs>
        <w:spacing w:before="92"/>
        <w:ind w:left="5"/>
        <w:jc w:val="center"/>
        <w:rPr>
          <w:rFonts w:ascii="Arial"/>
          <w:b/>
          <w:sz w:val="26"/>
        </w:rPr>
      </w:pPr>
      <w:r>
        <w:rPr>
          <w:noProof/>
        </w:rPr>
        <mc:AlternateContent>
          <mc:Choice Requires="wps">
            <w:drawing>
              <wp:anchor distT="0" distB="0" distL="114300" distR="114300" simplePos="0" relativeHeight="251677696" behindDoc="0" locked="0" layoutInCell="1" allowOverlap="1" wp14:anchorId="760F995B" wp14:editId="4F7B296D">
                <wp:simplePos x="0" y="0"/>
                <wp:positionH relativeFrom="page">
                  <wp:posOffset>465455</wp:posOffset>
                </wp:positionH>
                <wp:positionV relativeFrom="paragraph">
                  <wp:posOffset>-491490</wp:posOffset>
                </wp:positionV>
                <wp:extent cx="4752975" cy="0"/>
                <wp:effectExtent l="0" t="12700" r="22225" b="12700"/>
                <wp:wrapNone/>
                <wp:docPr id="1613" name="Line 15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752975" cy="0"/>
                        </a:xfrm>
                        <a:prstGeom prst="line">
                          <a:avLst/>
                        </a:prstGeom>
                        <a:noFill/>
                        <a:ln w="335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0C4E0F" id="Line 1569" o:spid="_x0000_s1026" style="position:absolute;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65pt,-38.7pt" to="410.9pt,-38.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" strokeweight=".93264mm">
                <o:lock v:ext="edit" shapetype="f"/>
                <w10:wrap anchorx="page"/>
              </v:line>
            </w:pict>
          </mc:Fallback>
        </mc:AlternateContent>
      </w:r>
      <w:r>
        <w:rPr>
          <w:rFonts w:ascii="Arial"/>
          <w:b/>
          <w:w w:val="105"/>
          <w:sz w:val="26"/>
        </w:rPr>
        <w:t>315.39</w:t>
      </w:r>
      <w:r>
        <w:rPr>
          <w:rFonts w:ascii="Arial"/>
          <w:b/>
          <w:w w:val="105"/>
          <w:sz w:val="26"/>
        </w:rPr>
        <w:tab/>
        <w:t>Phonological</w:t>
      </w:r>
      <w:r>
        <w:rPr>
          <w:rFonts w:ascii="Arial"/>
          <w:b/>
          <w:spacing w:val="-11"/>
          <w:w w:val="105"/>
          <w:sz w:val="26"/>
        </w:rPr>
        <w:t xml:space="preserve"> </w:t>
      </w:r>
      <w:r>
        <w:rPr>
          <w:rFonts w:ascii="Arial"/>
          <w:b/>
          <w:w w:val="105"/>
          <w:sz w:val="26"/>
        </w:rPr>
        <w:t>Disorder</w:t>
      </w:r>
    </w:p>
    <w:p w:rsidR="00E675F0" w:rsidRDefault="00E675F0" w:rsidP="00E675F0">
      <w:pPr>
        <w:spacing w:before="4"/>
        <w:ind w:left="33" w:right="36"/>
        <w:jc w:val="center"/>
        <w:rPr>
          <w:rFonts w:ascii="Arial"/>
          <w:b/>
          <w:sz w:val="26"/>
        </w:rPr>
      </w:pPr>
      <w:r>
        <w:rPr>
          <w:rFonts w:ascii="TimesNewRomanPS-BoldItalicMT"/>
          <w:b/>
          <w:i/>
          <w:sz w:val="26"/>
        </w:rPr>
        <w:t xml:space="preserve">(formerly </w:t>
      </w:r>
      <w:r>
        <w:rPr>
          <w:rFonts w:ascii="Arial"/>
          <w:b/>
          <w:sz w:val="26"/>
        </w:rPr>
        <w:t>Developmental Articulation Disorder)</w:t>
      </w:r>
    </w:p>
    <w:p w:rsidR="00E675F0" w:rsidRDefault="00E675F0" w:rsidP="00E675F0">
      <w:pPr>
        <w:pStyle w:val="BodyText"/>
        <w:rPr>
          <w:rFonts w:ascii="Arial"/>
          <w:b/>
          <w:sz w:val="28"/>
        </w:rPr>
      </w:pPr>
    </w:p>
    <w:p w:rsidR="00E675F0" w:rsidRDefault="00E675F0" w:rsidP="00E675F0">
      <w:pPr>
        <w:pStyle w:val="BodyText"/>
        <w:spacing w:before="11"/>
        <w:rPr>
          <w:rFonts w:ascii="Arial"/>
          <w:b/>
          <w:sz w:val="24"/>
        </w:rPr>
      </w:pPr>
    </w:p>
    <w:p w:rsidR="00E675F0" w:rsidRDefault="00E675F0" w:rsidP="00E675F0">
      <w:pPr>
        <w:ind w:left="115"/>
        <w:jc w:val="both"/>
        <w:rPr>
          <w:rFonts w:ascii="TimesNewRomanPS-BoldItalicMT"/>
          <w:b/>
          <w:i/>
          <w:sz w:val="24"/>
        </w:rPr>
      </w:pPr>
      <w:r>
        <w:rPr>
          <w:rFonts w:ascii="TimesNewRomanPS-BoldItalicMT"/>
          <w:b/>
          <w:i/>
          <w:w w:val="120"/>
          <w:sz w:val="24"/>
        </w:rPr>
        <w:t>magnostic Features</w:t>
      </w:r>
    </w:p>
    <w:p w:rsidR="00E675F0" w:rsidRDefault="00E675F0" w:rsidP="00E675F0">
      <w:pPr>
        <w:pStyle w:val="BodyText"/>
        <w:spacing w:before="209" w:line="249" w:lineRule="auto"/>
        <w:ind w:left="137" w:right="122" w:hanging="1"/>
        <w:jc w:val="both"/>
      </w:pPr>
      <w:r>
        <w:rPr>
          <w:w w:val="105"/>
        </w:rPr>
        <w:t xml:space="preserve">The essential feature of Phonological Disorder is a failure to use developmentally expected speech sounds that are appropriate for the individual's age and dialect (Criterion A). This may involve errors in sound production, use, representation, or organization such as, but not limited to, substitutions of one  sound  for another (use of </w:t>
      </w:r>
      <w:r>
        <w:rPr>
          <w:i/>
          <w:w w:val="105"/>
          <w:sz w:val="21"/>
        </w:rPr>
        <w:t xml:space="preserve">It/ </w:t>
      </w:r>
      <w:r>
        <w:rPr>
          <w:w w:val="105"/>
        </w:rPr>
        <w:t xml:space="preserve">for target /k/ sound) or omissions of sounds (e.g., final consonants). The difficulties in speech sound production interfere with academic or occupational achievement  or with social communication (Criterion B). </w:t>
      </w:r>
      <w:r>
        <w:rPr>
          <w:rFonts w:ascii="Arial"/>
          <w:w w:val="105"/>
          <w:sz w:val="19"/>
        </w:rPr>
        <w:t xml:space="preserve">If </w:t>
      </w:r>
      <w:r>
        <w:rPr>
          <w:w w:val="105"/>
        </w:rPr>
        <w:t>Mental Retardation, a speech-motor or sensory deficit, or environmental deprivation is present, the speech difficulties are in excess of those usually associated with these problems (Criterion C). If a speech-motor or sensory deficit or neurological condition is present, it should he coded on Axis</w:t>
      </w:r>
      <w:r>
        <w:rPr>
          <w:spacing w:val="-32"/>
          <w:w w:val="105"/>
        </w:rPr>
        <w:t xml:space="preserve"> </w:t>
      </w:r>
      <w:r>
        <w:rPr>
          <w:w w:val="105"/>
        </w:rPr>
        <w:t>III.</w:t>
      </w:r>
    </w:p>
    <w:p w:rsidR="00E675F0" w:rsidRDefault="00E675F0" w:rsidP="00E675F0">
      <w:pPr>
        <w:pStyle w:val="BodyText"/>
        <w:spacing w:line="254" w:lineRule="auto"/>
        <w:ind w:left="137" w:right="124" w:firstLine="367"/>
        <w:jc w:val="both"/>
        <w:rPr>
          <w:i/>
        </w:rPr>
      </w:pPr>
      <w:r>
        <w:rPr>
          <w:w w:val="105"/>
        </w:rPr>
        <w:t>Phonological Disorder includes phonological production (i.e., articulation) errors that involve the failure to form speech sounds correctly and cognitively based forms of phonological</w:t>
      </w:r>
      <w:r>
        <w:rPr>
          <w:spacing w:val="14"/>
          <w:w w:val="105"/>
        </w:rPr>
        <w:t xml:space="preserve"> </w:t>
      </w:r>
      <w:r>
        <w:rPr>
          <w:w w:val="105"/>
        </w:rPr>
        <w:t>problems</w:t>
      </w:r>
      <w:r>
        <w:rPr>
          <w:spacing w:val="-10"/>
          <w:w w:val="105"/>
        </w:rPr>
        <w:t xml:space="preserve"> </w:t>
      </w:r>
      <w:r>
        <w:rPr>
          <w:w w:val="105"/>
        </w:rPr>
        <w:t>that</w:t>
      </w:r>
      <w:r>
        <w:rPr>
          <w:spacing w:val="-5"/>
          <w:w w:val="105"/>
        </w:rPr>
        <w:t xml:space="preserve"> </w:t>
      </w:r>
      <w:r>
        <w:rPr>
          <w:w w:val="105"/>
        </w:rPr>
        <w:t>involve</w:t>
      </w:r>
      <w:r>
        <w:rPr>
          <w:spacing w:val="-11"/>
          <w:w w:val="105"/>
        </w:rPr>
        <w:t xml:space="preserve"> </w:t>
      </w:r>
      <w:r>
        <w:rPr>
          <w:w w:val="105"/>
        </w:rPr>
        <w:t>a</w:t>
      </w:r>
      <w:r>
        <w:rPr>
          <w:spacing w:val="-12"/>
          <w:w w:val="105"/>
        </w:rPr>
        <w:t xml:space="preserve"> </w:t>
      </w:r>
      <w:r>
        <w:rPr>
          <w:w w:val="105"/>
        </w:rPr>
        <w:t>deficit</w:t>
      </w:r>
      <w:r>
        <w:rPr>
          <w:spacing w:val="-4"/>
          <w:w w:val="105"/>
        </w:rPr>
        <w:t xml:space="preserve"> </w:t>
      </w:r>
      <w:r>
        <w:rPr>
          <w:w w:val="105"/>
        </w:rPr>
        <w:t>in</w:t>
      </w:r>
      <w:r>
        <w:rPr>
          <w:spacing w:val="-16"/>
          <w:w w:val="105"/>
        </w:rPr>
        <w:t xml:space="preserve"> </w:t>
      </w:r>
      <w:r>
        <w:rPr>
          <w:w w:val="105"/>
        </w:rPr>
        <w:t>linguistic</w:t>
      </w:r>
      <w:r>
        <w:rPr>
          <w:spacing w:val="-8"/>
          <w:w w:val="105"/>
        </w:rPr>
        <w:t xml:space="preserve"> </w:t>
      </w:r>
      <w:r>
        <w:rPr>
          <w:w w:val="105"/>
        </w:rPr>
        <w:t>categorization</w:t>
      </w:r>
      <w:r>
        <w:rPr>
          <w:spacing w:val="-10"/>
          <w:w w:val="105"/>
        </w:rPr>
        <w:t xml:space="preserve"> </w:t>
      </w:r>
      <w:r>
        <w:rPr>
          <w:w w:val="105"/>
        </w:rPr>
        <w:t>of</w:t>
      </w:r>
      <w:r>
        <w:rPr>
          <w:spacing w:val="-12"/>
          <w:w w:val="105"/>
        </w:rPr>
        <w:t xml:space="preserve"> </w:t>
      </w:r>
      <w:r>
        <w:rPr>
          <w:w w:val="105"/>
        </w:rPr>
        <w:t>speech</w:t>
      </w:r>
      <w:r>
        <w:rPr>
          <w:spacing w:val="-9"/>
          <w:w w:val="105"/>
        </w:rPr>
        <w:t xml:space="preserve"> </w:t>
      </w:r>
      <w:r>
        <w:rPr>
          <w:w w:val="105"/>
        </w:rPr>
        <w:t xml:space="preserve">sounds (e.g., a difficulty in sorting out which sounds in the language make a difference in meaning). Severity ranges from little or no effect on speech intelligibility to completely unintelligible speech. Sound omissions are typically viewed as more severe than are sound substitutions, which in turn are more severe than sound distortions. The most frequently misarticulated sounds are those acquired later in the developmental sequence </w:t>
      </w:r>
      <w:r>
        <w:rPr>
          <w:rFonts w:ascii="Arial"/>
          <w:i/>
          <w:w w:val="105"/>
          <w:sz w:val="17"/>
        </w:rPr>
        <w:t xml:space="preserve">(l, </w:t>
      </w:r>
      <w:r>
        <w:rPr>
          <w:i/>
          <w:w w:val="105"/>
        </w:rPr>
        <w:t xml:space="preserve">r, s, z, th, ch), </w:t>
      </w:r>
      <w:r>
        <w:rPr>
          <w:w w:val="105"/>
        </w:rPr>
        <w:t>but in younger or more severely affected individuals, consonants and vowels</w:t>
      </w:r>
      <w:r>
        <w:rPr>
          <w:spacing w:val="-17"/>
          <w:w w:val="105"/>
        </w:rPr>
        <w:t xml:space="preserve"> </w:t>
      </w:r>
      <w:r>
        <w:rPr>
          <w:w w:val="105"/>
        </w:rPr>
        <w:t>that</w:t>
      </w:r>
      <w:r>
        <w:rPr>
          <w:spacing w:val="-21"/>
          <w:w w:val="105"/>
        </w:rPr>
        <w:t xml:space="preserve"> </w:t>
      </w:r>
      <w:r>
        <w:rPr>
          <w:w w:val="105"/>
        </w:rPr>
        <w:t>develop</w:t>
      </w:r>
      <w:r>
        <w:rPr>
          <w:spacing w:val="-16"/>
          <w:w w:val="105"/>
        </w:rPr>
        <w:t xml:space="preserve"> </w:t>
      </w:r>
      <w:r>
        <w:rPr>
          <w:w w:val="105"/>
        </w:rPr>
        <w:t>earlier</w:t>
      </w:r>
      <w:r>
        <w:rPr>
          <w:spacing w:val="-13"/>
          <w:w w:val="105"/>
        </w:rPr>
        <w:t xml:space="preserve"> </w:t>
      </w:r>
      <w:r>
        <w:rPr>
          <w:w w:val="105"/>
        </w:rPr>
        <w:t>may</w:t>
      </w:r>
      <w:r>
        <w:rPr>
          <w:spacing w:val="-18"/>
          <w:w w:val="105"/>
        </w:rPr>
        <w:t xml:space="preserve"> </w:t>
      </w:r>
      <w:r>
        <w:rPr>
          <w:w w:val="105"/>
        </w:rPr>
        <w:t>also</w:t>
      </w:r>
      <w:r>
        <w:rPr>
          <w:spacing w:val="-10"/>
          <w:w w:val="105"/>
        </w:rPr>
        <w:t xml:space="preserve"> </w:t>
      </w:r>
      <w:r>
        <w:rPr>
          <w:w w:val="105"/>
        </w:rPr>
        <w:t>be</w:t>
      </w:r>
      <w:r>
        <w:rPr>
          <w:spacing w:val="-20"/>
          <w:w w:val="105"/>
        </w:rPr>
        <w:t xml:space="preserve"> </w:t>
      </w:r>
      <w:r>
        <w:rPr>
          <w:w w:val="105"/>
        </w:rPr>
        <w:t>affected.</w:t>
      </w:r>
      <w:r>
        <w:rPr>
          <w:spacing w:val="-5"/>
          <w:w w:val="105"/>
        </w:rPr>
        <w:t xml:space="preserve"> </w:t>
      </w:r>
      <w:r>
        <w:rPr>
          <w:w w:val="105"/>
        </w:rPr>
        <w:t>Lisping</w:t>
      </w:r>
      <w:r>
        <w:rPr>
          <w:spacing w:val="-10"/>
          <w:w w:val="105"/>
        </w:rPr>
        <w:t xml:space="preserve"> </w:t>
      </w:r>
      <w:r>
        <w:rPr>
          <w:w w:val="105"/>
        </w:rPr>
        <w:t>(i.e.,</w:t>
      </w:r>
      <w:r>
        <w:rPr>
          <w:spacing w:val="-13"/>
          <w:w w:val="105"/>
        </w:rPr>
        <w:t xml:space="preserve"> </w:t>
      </w:r>
      <w:r>
        <w:rPr>
          <w:w w:val="105"/>
        </w:rPr>
        <w:t>misarticulation</w:t>
      </w:r>
      <w:r>
        <w:rPr>
          <w:spacing w:val="-14"/>
          <w:w w:val="105"/>
        </w:rPr>
        <w:t xml:space="preserve"> </w:t>
      </w:r>
      <w:r>
        <w:rPr>
          <w:w w:val="105"/>
        </w:rPr>
        <w:t>of</w:t>
      </w:r>
      <w:r>
        <w:rPr>
          <w:spacing w:val="-16"/>
          <w:w w:val="105"/>
        </w:rPr>
        <w:t xml:space="preserve"> </w:t>
      </w:r>
      <w:r>
        <w:rPr>
          <w:w w:val="105"/>
        </w:rPr>
        <w:t xml:space="preserve">sibilants) is particularly common. Phonological Disorder may also involve errors of selection and ordering of sounds within syllables and words (e.g., </w:t>
      </w:r>
      <w:r>
        <w:rPr>
          <w:i/>
          <w:w w:val="105"/>
        </w:rPr>
        <w:t xml:space="preserve">aks </w:t>
      </w:r>
      <w:r>
        <w:rPr>
          <w:w w:val="105"/>
        </w:rPr>
        <w:t>for</w:t>
      </w:r>
      <w:r>
        <w:rPr>
          <w:spacing w:val="39"/>
          <w:w w:val="105"/>
        </w:rPr>
        <w:t xml:space="preserve"> </w:t>
      </w:r>
      <w:r>
        <w:rPr>
          <w:i/>
          <w:w w:val="105"/>
        </w:rPr>
        <w:t>ask).</w:t>
      </w:r>
    </w:p>
    <w:p w:rsidR="00E675F0" w:rsidRDefault="00E675F0" w:rsidP="00E675F0">
      <w:pPr>
        <w:spacing w:line="254" w:lineRule="auto"/>
        <w:jc w:val="both"/>
        <w:sectPr w:rsidR="00E675F0">
          <w:headerReference w:type="even" r:id="rId71"/>
          <w:headerReference w:type="default" r:id="rId72"/>
          <w:pgSz w:w="8960" w:h="14260"/>
          <w:pgMar w:top="1400" w:right="620" w:bottom="280" w:left="600" w:header="710" w:footer="0" w:gutter="0"/>
          <w:pgNumType w:start="61"/>
          <w:cols w:space="720"/>
        </w:sectPr>
      </w:pPr>
    </w:p>
    <w:p w:rsidR="00E675F0" w:rsidRDefault="00E675F0" w:rsidP="00E675F0">
      <w:pPr>
        <w:spacing w:before="141"/>
        <w:ind w:left="114"/>
        <w:rPr>
          <w:rFonts w:ascii="TimesNewRomanPS-BoldItalicMT"/>
          <w:b/>
          <w:i/>
          <w:sz w:val="24"/>
        </w:rPr>
      </w:pPr>
      <w:r>
        <w:rPr>
          <w:rFonts w:ascii="TimesNewRomanPS-BoldItalicMT"/>
          <w:b/>
          <w:i/>
          <w:w w:val="120"/>
          <w:sz w:val="24"/>
        </w:rPr>
        <w:lastRenderedPageBreak/>
        <w:t>Associated Features and Disorders</w:t>
      </w:r>
    </w:p>
    <w:p w:rsidR="00E675F0" w:rsidRDefault="00E675F0" w:rsidP="00E675F0">
      <w:pPr>
        <w:pStyle w:val="BodyText"/>
        <w:spacing w:before="160" w:line="254" w:lineRule="auto"/>
        <w:ind w:left="133" w:right="120" w:hanging="6"/>
        <w:jc w:val="both"/>
      </w:pPr>
      <w:r>
        <w:rPr>
          <w:w w:val="105"/>
        </w:rPr>
        <w:t xml:space="preserve">Although there may be an association with clear causal factors such as hearing impairment, structural deficits of the oral peripheral speech mechanism (e.g., cleft palate), neurological conditions (e.g., cerebral palsy), cognitive limitations (e.g., Mental Retardation), or psychosocial problems, at least 2.5% of preschool children present with Phonological Disorders of unknown or suspect origin, which are often referred to as </w:t>
      </w:r>
      <w:r>
        <w:rPr>
          <w:i/>
          <w:w w:val="105"/>
        </w:rPr>
        <w:t xml:space="preserve">functional </w:t>
      </w:r>
      <w:r>
        <w:rPr>
          <w:w w:val="105"/>
        </w:rPr>
        <w:t xml:space="preserve">or </w:t>
      </w:r>
      <w:r>
        <w:rPr>
          <w:i/>
          <w:w w:val="105"/>
        </w:rPr>
        <w:t xml:space="preserve">developmental. </w:t>
      </w:r>
      <w:r>
        <w:rPr>
          <w:w w:val="105"/>
        </w:rPr>
        <w:t>There may be a delayed onset of speech.</w:t>
      </w:r>
    </w:p>
    <w:p w:rsidR="00E675F0" w:rsidRDefault="00E675F0" w:rsidP="00E675F0">
      <w:pPr>
        <w:pStyle w:val="BodyText"/>
        <w:rPr>
          <w:sz w:val="22"/>
        </w:rPr>
      </w:pPr>
    </w:p>
    <w:p w:rsidR="00E675F0" w:rsidRDefault="00E675F0" w:rsidP="00E675F0">
      <w:pPr>
        <w:pStyle w:val="BodyText"/>
        <w:spacing w:before="3"/>
        <w:rPr>
          <w:sz w:val="17"/>
        </w:rPr>
      </w:pPr>
    </w:p>
    <w:p w:rsidR="00E675F0" w:rsidRDefault="00E675F0" w:rsidP="00E675F0">
      <w:pPr>
        <w:spacing w:before="1"/>
        <w:ind w:left="120"/>
        <w:rPr>
          <w:rFonts w:ascii="TimesNewRomanPS-BoldItalicMT"/>
          <w:b/>
          <w:i/>
          <w:sz w:val="24"/>
        </w:rPr>
      </w:pPr>
      <w:r>
        <w:rPr>
          <w:rFonts w:ascii="TimesNewRomanPS-BoldItalicMT"/>
          <w:b/>
          <w:i/>
          <w:w w:val="115"/>
          <w:sz w:val="24"/>
        </w:rPr>
        <w:t>Specific Culture and Gender Features</w:t>
      </w:r>
    </w:p>
    <w:p w:rsidR="00E675F0" w:rsidRDefault="00E675F0" w:rsidP="00E675F0">
      <w:pPr>
        <w:pStyle w:val="BodyText"/>
        <w:spacing w:before="160" w:line="256" w:lineRule="auto"/>
        <w:ind w:left="133" w:right="121" w:hanging="6"/>
        <w:jc w:val="both"/>
      </w:pPr>
      <w:r>
        <w:rPr>
          <w:w w:val="105"/>
        </w:rPr>
        <w:t>Assessments of the development of communication abilities must take into account the individual's cultural and language context, particularly for individuals growing up in bilingual environments. Phonological Disorder is more prevalent in males.</w:t>
      </w:r>
    </w:p>
    <w:p w:rsidR="00E675F0" w:rsidRDefault="00E675F0" w:rsidP="00E675F0">
      <w:pPr>
        <w:pStyle w:val="BodyText"/>
        <w:rPr>
          <w:sz w:val="22"/>
        </w:rPr>
      </w:pPr>
    </w:p>
    <w:p w:rsidR="00E675F0" w:rsidRDefault="00E675F0" w:rsidP="00E675F0">
      <w:pPr>
        <w:spacing w:before="192"/>
        <w:ind w:left="117"/>
        <w:rPr>
          <w:rFonts w:ascii="TimesNewRomanPS-BoldItalicMT"/>
          <w:b/>
          <w:i/>
          <w:sz w:val="24"/>
        </w:rPr>
      </w:pPr>
      <w:r>
        <w:rPr>
          <w:rFonts w:ascii="TimesNewRomanPS-BoldItalicMT"/>
          <w:b/>
          <w:i/>
          <w:w w:val="115"/>
          <w:sz w:val="24"/>
        </w:rPr>
        <w:t>Prevalence</w:t>
      </w:r>
    </w:p>
    <w:p w:rsidR="00E675F0" w:rsidRDefault="00E675F0" w:rsidP="00E675F0">
      <w:pPr>
        <w:pStyle w:val="BodyText"/>
        <w:spacing w:before="161" w:line="254" w:lineRule="auto"/>
        <w:ind w:left="133" w:right="119" w:hanging="1"/>
        <w:jc w:val="both"/>
      </w:pPr>
      <w:r>
        <w:rPr>
          <w:w w:val="105"/>
        </w:rPr>
        <w:t>Approximately</w:t>
      </w:r>
      <w:r>
        <w:rPr>
          <w:spacing w:val="5"/>
          <w:w w:val="105"/>
        </w:rPr>
        <w:t xml:space="preserve"> </w:t>
      </w:r>
      <w:r>
        <w:rPr>
          <w:w w:val="105"/>
        </w:rPr>
        <w:t>2%--3%</w:t>
      </w:r>
      <w:r>
        <w:rPr>
          <w:spacing w:val="-9"/>
          <w:w w:val="105"/>
        </w:rPr>
        <w:t xml:space="preserve"> </w:t>
      </w:r>
      <w:r>
        <w:rPr>
          <w:w w:val="105"/>
        </w:rPr>
        <w:t>of</w:t>
      </w:r>
      <w:r>
        <w:rPr>
          <w:spacing w:val="-2"/>
          <w:w w:val="105"/>
        </w:rPr>
        <w:t xml:space="preserve"> </w:t>
      </w:r>
      <w:r>
        <w:rPr>
          <w:w w:val="105"/>
        </w:rPr>
        <w:t>6-</w:t>
      </w:r>
      <w:r>
        <w:rPr>
          <w:spacing w:val="-9"/>
          <w:w w:val="105"/>
        </w:rPr>
        <w:t xml:space="preserve"> </w:t>
      </w:r>
      <w:r>
        <w:rPr>
          <w:w w:val="105"/>
        </w:rPr>
        <w:t>and</w:t>
      </w:r>
      <w:r>
        <w:rPr>
          <w:spacing w:val="-13"/>
          <w:w w:val="105"/>
        </w:rPr>
        <w:t xml:space="preserve"> </w:t>
      </w:r>
      <w:r>
        <w:rPr>
          <w:w w:val="105"/>
        </w:rPr>
        <w:t>7-year-olds</w:t>
      </w:r>
      <w:r>
        <w:rPr>
          <w:spacing w:val="2"/>
          <w:w w:val="105"/>
        </w:rPr>
        <w:t xml:space="preserve"> </w:t>
      </w:r>
      <w:r>
        <w:rPr>
          <w:w w:val="105"/>
        </w:rPr>
        <w:t>present</w:t>
      </w:r>
      <w:r>
        <w:rPr>
          <w:spacing w:val="-4"/>
          <w:w w:val="105"/>
        </w:rPr>
        <w:t xml:space="preserve"> </w:t>
      </w:r>
      <w:r>
        <w:rPr>
          <w:w w:val="105"/>
        </w:rPr>
        <w:t>with moderate</w:t>
      </w:r>
      <w:r>
        <w:rPr>
          <w:spacing w:val="8"/>
          <w:w w:val="105"/>
        </w:rPr>
        <w:t xml:space="preserve"> </w:t>
      </w:r>
      <w:r>
        <w:rPr>
          <w:w w:val="105"/>
        </w:rPr>
        <w:t>to</w:t>
      </w:r>
      <w:r>
        <w:rPr>
          <w:spacing w:val="-15"/>
          <w:w w:val="105"/>
        </w:rPr>
        <w:t xml:space="preserve"> </w:t>
      </w:r>
      <w:r>
        <w:rPr>
          <w:w w:val="105"/>
        </w:rPr>
        <w:t>severe</w:t>
      </w:r>
      <w:r>
        <w:rPr>
          <w:spacing w:val="-10"/>
          <w:w w:val="105"/>
        </w:rPr>
        <w:t xml:space="preserve"> </w:t>
      </w:r>
      <w:r>
        <w:rPr>
          <w:w w:val="105"/>
        </w:rPr>
        <w:t>Phonolog­ ical Disorder, although the prevalence of milder forms of this disorder is higher. The prevalence falls to 0.5% by age</w:t>
      </w:r>
      <w:r>
        <w:rPr>
          <w:spacing w:val="4"/>
          <w:w w:val="105"/>
        </w:rPr>
        <w:t xml:space="preserve"> </w:t>
      </w:r>
      <w:r>
        <w:rPr>
          <w:w w:val="105"/>
        </w:rPr>
        <w:t>17 years.</w:t>
      </w:r>
    </w:p>
    <w:p w:rsidR="00E675F0" w:rsidRDefault="00E675F0" w:rsidP="00E675F0">
      <w:pPr>
        <w:pStyle w:val="BodyText"/>
        <w:rPr>
          <w:sz w:val="22"/>
        </w:rPr>
      </w:pPr>
    </w:p>
    <w:p w:rsidR="00E675F0" w:rsidRDefault="00E675F0" w:rsidP="00E675F0">
      <w:pPr>
        <w:pStyle w:val="BodyText"/>
        <w:spacing w:before="3"/>
        <w:rPr>
          <w:sz w:val="17"/>
        </w:rPr>
      </w:pPr>
    </w:p>
    <w:p w:rsidR="00E675F0" w:rsidRDefault="00E675F0" w:rsidP="00E675F0">
      <w:pPr>
        <w:ind w:left="108"/>
        <w:rPr>
          <w:rFonts w:ascii="TimesNewRomanPS-BoldItalicMT"/>
          <w:b/>
          <w:i/>
          <w:sz w:val="24"/>
        </w:rPr>
      </w:pPr>
      <w:r>
        <w:rPr>
          <w:rFonts w:ascii="TimesNewRomanPS-BoldItalicMT"/>
          <w:b/>
          <w:i/>
          <w:w w:val="115"/>
          <w:sz w:val="24"/>
        </w:rPr>
        <w:t>Course</w:t>
      </w:r>
    </w:p>
    <w:p w:rsidR="00E675F0" w:rsidRDefault="00E675F0" w:rsidP="00E675F0">
      <w:pPr>
        <w:pStyle w:val="BodyText"/>
        <w:spacing w:before="151" w:line="252" w:lineRule="auto"/>
        <w:ind w:left="129" w:right="117" w:firstLine="4"/>
        <w:jc w:val="both"/>
      </w:pPr>
      <w:r>
        <w:rPr>
          <w:w w:val="105"/>
        </w:rPr>
        <w:t>In severe Phonological Disorder, the child's speech may be relatively unintelligible even to family members. Less severe forms of the disorder may not be recognized until the child enters a preschool or school environment and has difficulty being understood by those outside the immediate family. The course of  the disorder  is variable  depending on associated causes and severity. In mild presentations with unknown causes, spontaneous recovery often</w:t>
      </w:r>
      <w:r>
        <w:rPr>
          <w:spacing w:val="5"/>
          <w:w w:val="105"/>
        </w:rPr>
        <w:t xml:space="preserve"> </w:t>
      </w:r>
      <w:r>
        <w:rPr>
          <w:w w:val="105"/>
        </w:rPr>
        <w:t>occurs.</w:t>
      </w:r>
    </w:p>
    <w:p w:rsidR="00E675F0" w:rsidRDefault="00E675F0" w:rsidP="00E675F0">
      <w:pPr>
        <w:pStyle w:val="BodyText"/>
        <w:rPr>
          <w:sz w:val="22"/>
        </w:rPr>
      </w:pPr>
    </w:p>
    <w:p w:rsidR="00E675F0" w:rsidRDefault="00E675F0" w:rsidP="00E675F0">
      <w:pPr>
        <w:spacing w:before="188"/>
        <w:ind w:left="114"/>
        <w:rPr>
          <w:rFonts w:ascii="TimesNewRomanPS-BoldItalicMT"/>
          <w:b/>
          <w:i/>
          <w:sz w:val="24"/>
        </w:rPr>
      </w:pPr>
      <w:r>
        <w:rPr>
          <w:rFonts w:ascii="TimesNewRomanPS-BoldItalicMT"/>
          <w:b/>
          <w:i/>
          <w:w w:val="115"/>
          <w:sz w:val="24"/>
        </w:rPr>
        <w:t>Familial Pattern</w:t>
      </w:r>
    </w:p>
    <w:p w:rsidR="00E675F0" w:rsidRDefault="00E675F0" w:rsidP="00E675F0">
      <w:pPr>
        <w:pStyle w:val="BodyText"/>
        <w:spacing w:before="156"/>
        <w:ind w:left="132"/>
        <w:jc w:val="both"/>
      </w:pPr>
      <w:r>
        <w:rPr>
          <w:w w:val="105"/>
        </w:rPr>
        <w:t>A familial pattern has been demonstrated for some forms of Phonological Disorder.</w:t>
      </w:r>
    </w:p>
    <w:p w:rsidR="00E675F0" w:rsidRDefault="00E675F0" w:rsidP="00E675F0">
      <w:pPr>
        <w:pStyle w:val="BodyText"/>
        <w:rPr>
          <w:sz w:val="22"/>
        </w:rPr>
      </w:pPr>
    </w:p>
    <w:p w:rsidR="00E675F0" w:rsidRDefault="00E675F0" w:rsidP="00E675F0">
      <w:pPr>
        <w:pStyle w:val="BodyText"/>
        <w:spacing w:before="1"/>
        <w:rPr>
          <w:sz w:val="19"/>
        </w:rPr>
      </w:pPr>
    </w:p>
    <w:p w:rsidR="00E675F0" w:rsidRDefault="00E675F0" w:rsidP="00E675F0">
      <w:pPr>
        <w:ind w:left="123"/>
        <w:rPr>
          <w:rFonts w:ascii="TimesNewRomanPS-BoldItalicMT"/>
          <w:b/>
          <w:i/>
          <w:sz w:val="24"/>
        </w:rPr>
      </w:pPr>
      <w:r>
        <w:rPr>
          <w:rFonts w:ascii="TimesNewRomanPS-BoldItalicMT"/>
          <w:b/>
          <w:i/>
          <w:w w:val="115"/>
          <w:sz w:val="24"/>
        </w:rPr>
        <w:t>Di,fferential magnosis</w:t>
      </w:r>
    </w:p>
    <w:p w:rsidR="00E675F0" w:rsidRDefault="00E675F0" w:rsidP="00E675F0">
      <w:pPr>
        <w:spacing w:before="165" w:line="254" w:lineRule="auto"/>
        <w:ind w:left="131" w:right="111" w:hanging="1"/>
        <w:jc w:val="both"/>
        <w:rPr>
          <w:sz w:val="20"/>
        </w:rPr>
      </w:pPr>
      <w:r>
        <w:rPr>
          <w:w w:val="105"/>
          <w:sz w:val="20"/>
        </w:rPr>
        <w:t xml:space="preserve">Speech difficulties may be associated with </w:t>
      </w:r>
      <w:r>
        <w:rPr>
          <w:b/>
          <w:w w:val="105"/>
          <w:sz w:val="20"/>
        </w:rPr>
        <w:t xml:space="preserve">Mental Retardation, </w:t>
      </w:r>
      <w:r>
        <w:rPr>
          <w:rFonts w:ascii="Arial" w:hAnsi="Arial"/>
          <w:b/>
          <w:w w:val="105"/>
          <w:sz w:val="17"/>
        </w:rPr>
        <w:t xml:space="preserve">a </w:t>
      </w:r>
      <w:r>
        <w:rPr>
          <w:b/>
          <w:w w:val="105"/>
          <w:sz w:val="20"/>
        </w:rPr>
        <w:t xml:space="preserve">hearing impairment </w:t>
      </w:r>
      <w:r>
        <w:rPr>
          <w:w w:val="105"/>
          <w:sz w:val="20"/>
        </w:rPr>
        <w:t xml:space="preserve">or </w:t>
      </w:r>
      <w:r>
        <w:rPr>
          <w:b/>
          <w:w w:val="105"/>
          <w:sz w:val="20"/>
        </w:rPr>
        <w:t xml:space="preserve">other sensory deficit, </w:t>
      </w:r>
      <w:r>
        <w:rPr>
          <w:rFonts w:ascii="Arial" w:hAnsi="Arial"/>
          <w:b/>
          <w:w w:val="105"/>
          <w:sz w:val="17"/>
        </w:rPr>
        <w:t xml:space="preserve">a </w:t>
      </w:r>
      <w:r>
        <w:rPr>
          <w:b/>
          <w:w w:val="105"/>
          <w:sz w:val="20"/>
        </w:rPr>
        <w:t xml:space="preserve">speech-motor deficit, </w:t>
      </w:r>
      <w:r>
        <w:rPr>
          <w:rFonts w:ascii="Arial" w:hAnsi="Arial"/>
          <w:b/>
          <w:w w:val="105"/>
          <w:sz w:val="17"/>
        </w:rPr>
        <w:t xml:space="preserve">or </w:t>
      </w:r>
      <w:r>
        <w:rPr>
          <w:b/>
          <w:w w:val="105"/>
          <w:sz w:val="20"/>
        </w:rPr>
        <w:t xml:space="preserve">severe environmental depri­ vation. </w:t>
      </w:r>
      <w:r>
        <w:rPr>
          <w:w w:val="105"/>
          <w:sz w:val="20"/>
        </w:rPr>
        <w:t xml:space="preserve">The presence of these problems may be established by intelligence testing, audiometric testing, neurological testing, and history. If the speech difficulties are in excess of those usually associated with these problems, a concurrent diagnosis of Phonological Disorder may be made. Problems limited to </w:t>
      </w:r>
      <w:r>
        <w:rPr>
          <w:b/>
          <w:w w:val="105"/>
          <w:sz w:val="20"/>
        </w:rPr>
        <w:t xml:space="preserve">speech rhythm </w:t>
      </w:r>
      <w:r>
        <w:rPr>
          <w:rFonts w:ascii="Arial" w:hAnsi="Arial"/>
          <w:b/>
          <w:w w:val="105"/>
          <w:sz w:val="17"/>
        </w:rPr>
        <w:t xml:space="preserve">or </w:t>
      </w:r>
      <w:r>
        <w:rPr>
          <w:b/>
          <w:w w:val="105"/>
          <w:sz w:val="20"/>
        </w:rPr>
        <w:t xml:space="preserve">voice </w:t>
      </w:r>
      <w:r>
        <w:rPr>
          <w:w w:val="105"/>
          <w:sz w:val="20"/>
        </w:rPr>
        <w:t xml:space="preserve">are not included as part of Phonological Disorder and instead are diagnosed as </w:t>
      </w:r>
      <w:r>
        <w:rPr>
          <w:b/>
          <w:w w:val="105"/>
          <w:sz w:val="20"/>
        </w:rPr>
        <w:t xml:space="preserve">Stuttering  </w:t>
      </w:r>
      <w:r>
        <w:rPr>
          <w:w w:val="105"/>
          <w:sz w:val="20"/>
        </w:rPr>
        <w:t xml:space="preserve">or </w:t>
      </w:r>
      <w:r>
        <w:rPr>
          <w:b/>
          <w:w w:val="105"/>
          <w:sz w:val="20"/>
        </w:rPr>
        <w:t xml:space="preserve">Communication Disorder Not Otherwise Specified. </w:t>
      </w:r>
      <w:r>
        <w:rPr>
          <w:w w:val="105"/>
          <w:sz w:val="20"/>
        </w:rPr>
        <w:t>Children with speech diffi­ culties due to environmental deprivation may show rapid gains once the environmental problems are</w:t>
      </w:r>
      <w:r>
        <w:rPr>
          <w:spacing w:val="17"/>
          <w:w w:val="105"/>
          <w:sz w:val="20"/>
        </w:rPr>
        <w:t xml:space="preserve"> </w:t>
      </w:r>
      <w:r>
        <w:rPr>
          <w:w w:val="105"/>
          <w:sz w:val="20"/>
        </w:rPr>
        <w:t>ameliorated.</w:t>
      </w:r>
    </w:p>
    <w:p w:rsidR="00E675F0" w:rsidRDefault="00E675F0" w:rsidP="00E675F0">
      <w:pPr>
        <w:spacing w:line="254" w:lineRule="auto"/>
        <w:jc w:val="both"/>
        <w:rPr>
          <w:sz w:val="20"/>
        </w:rPr>
        <w:sectPr w:rsidR="00E675F0">
          <w:pgSz w:w="8960" w:h="14260"/>
          <w:pgMar w:top="1400" w:right="600" w:bottom="280" w:left="620" w:header="700" w:footer="0" w:gutter="0"/>
          <w:cols w:space="720"/>
        </w:sectPr>
      </w:pPr>
    </w:p>
    <w:p w:rsidR="00E675F0" w:rsidRDefault="00E675F0" w:rsidP="00E675F0">
      <w:pPr>
        <w:pStyle w:val="BodyText"/>
        <w:spacing w:before="4" w:after="1"/>
        <w:rPr>
          <w:sz w:val="9"/>
        </w:rPr>
      </w:pPr>
    </w:p>
    <w:tbl>
      <w:tblPr>
        <w:tblW w:w="0" w:type="auto"/>
        <w:tblInd w:w="224"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7333"/>
      </w:tblGrid>
      <w:tr w:rsidR="00E675F0" w:rsidTr="00A330E1">
        <w:trPr>
          <w:trHeight w:val="4174"/>
        </w:trPr>
        <w:tc>
          <w:tcPr>
            <w:tcW w:w="7333" w:type="dxa"/>
          </w:tcPr>
          <w:p w:rsidR="00E675F0" w:rsidRDefault="00E675F0" w:rsidP="003048D3">
            <w:pPr>
              <w:pStyle w:val="TableParagraph"/>
              <w:numPr>
                <w:ilvl w:val="0"/>
                <w:numId w:val="102"/>
              </w:numPr>
              <w:tabs>
                <w:tab w:val="left" w:pos="638"/>
              </w:tabs>
              <w:spacing w:line="526" w:lineRule="exact"/>
              <w:rPr>
                <w:b/>
                <w:sz w:val="26"/>
              </w:rPr>
            </w:pPr>
            <w:bookmarkStart w:id="41" w:name="_bookmark26"/>
            <w:bookmarkEnd w:id="41"/>
            <w:r>
              <w:rPr>
                <w:b/>
                <w:w w:val="105"/>
                <w:sz w:val="26"/>
              </w:rPr>
              <w:t>Diagnostic criteria for 3 I 5.39 Phonological</w:t>
            </w:r>
            <w:r>
              <w:rPr>
                <w:b/>
                <w:spacing w:val="-39"/>
                <w:w w:val="105"/>
                <w:sz w:val="26"/>
              </w:rPr>
              <w:t xml:space="preserve"> </w:t>
            </w:r>
            <w:r>
              <w:rPr>
                <w:b/>
                <w:w w:val="105"/>
                <w:sz w:val="26"/>
              </w:rPr>
              <w:t>Disorder</w:t>
            </w:r>
          </w:p>
          <w:p w:rsidR="00E675F0" w:rsidRDefault="00E675F0" w:rsidP="003048D3">
            <w:pPr>
              <w:pStyle w:val="TableParagraph"/>
              <w:numPr>
                <w:ilvl w:val="1"/>
                <w:numId w:val="102"/>
              </w:numPr>
              <w:tabs>
                <w:tab w:val="left" w:pos="961"/>
              </w:tabs>
              <w:spacing w:before="79" w:line="252" w:lineRule="auto"/>
              <w:ind w:right="220" w:hanging="312"/>
              <w:jc w:val="both"/>
              <w:rPr>
                <w:sz w:val="18"/>
              </w:rPr>
            </w:pPr>
            <w:r>
              <w:rPr>
                <w:w w:val="105"/>
                <w:sz w:val="20"/>
              </w:rPr>
              <w:t xml:space="preserve">Failure to use developmentally expected speech sounds that are appro­ priate for age and dialect (e.g., errors in sound production, use, representation, or organization such as, but not limited to, substitutions of one sound for another [use of </w:t>
            </w:r>
            <w:r>
              <w:rPr>
                <w:i/>
                <w:w w:val="105"/>
                <w:sz w:val="21"/>
              </w:rPr>
              <w:t xml:space="preserve">It/  </w:t>
            </w:r>
            <w:r>
              <w:rPr>
                <w:w w:val="105"/>
                <w:sz w:val="20"/>
              </w:rPr>
              <w:t xml:space="preserve">for target </w:t>
            </w:r>
            <w:r>
              <w:rPr>
                <w:rFonts w:ascii="Arial" w:hAnsi="Arial"/>
                <w:w w:val="105"/>
                <w:sz w:val="20"/>
              </w:rPr>
              <w:t xml:space="preserve">/k/  </w:t>
            </w:r>
            <w:r>
              <w:rPr>
                <w:w w:val="105"/>
                <w:sz w:val="20"/>
              </w:rPr>
              <w:t>sound) or omissions of sounds such as final</w:t>
            </w:r>
            <w:r>
              <w:rPr>
                <w:spacing w:val="52"/>
                <w:w w:val="105"/>
                <w:sz w:val="20"/>
              </w:rPr>
              <w:t xml:space="preserve"> </w:t>
            </w:r>
            <w:r>
              <w:rPr>
                <w:w w:val="105"/>
                <w:sz w:val="20"/>
              </w:rPr>
              <w:t>consonants).</w:t>
            </w:r>
          </w:p>
          <w:p w:rsidR="00E675F0" w:rsidRDefault="00E675F0" w:rsidP="003048D3">
            <w:pPr>
              <w:pStyle w:val="TableParagraph"/>
              <w:numPr>
                <w:ilvl w:val="1"/>
                <w:numId w:val="102"/>
              </w:numPr>
              <w:tabs>
                <w:tab w:val="left" w:pos="958"/>
              </w:tabs>
              <w:spacing w:before="189" w:line="252" w:lineRule="auto"/>
              <w:ind w:right="224" w:hanging="300"/>
              <w:jc w:val="both"/>
              <w:rPr>
                <w:sz w:val="20"/>
              </w:rPr>
            </w:pPr>
            <w:r>
              <w:rPr>
                <w:w w:val="105"/>
                <w:sz w:val="20"/>
              </w:rPr>
              <w:t>The difficulties in speech sound production interfere with academic or occupational achievement or with social</w:t>
            </w:r>
            <w:r>
              <w:rPr>
                <w:spacing w:val="-25"/>
                <w:w w:val="105"/>
                <w:sz w:val="20"/>
              </w:rPr>
              <w:t xml:space="preserve"> </w:t>
            </w:r>
            <w:r>
              <w:rPr>
                <w:w w:val="105"/>
                <w:sz w:val="20"/>
              </w:rPr>
              <w:t>communication.</w:t>
            </w:r>
          </w:p>
          <w:p w:rsidR="00E675F0" w:rsidRDefault="00E675F0" w:rsidP="003048D3">
            <w:pPr>
              <w:pStyle w:val="TableParagraph"/>
              <w:numPr>
                <w:ilvl w:val="1"/>
                <w:numId w:val="102"/>
              </w:numPr>
              <w:tabs>
                <w:tab w:val="left" w:pos="951"/>
              </w:tabs>
              <w:spacing w:before="181" w:line="256" w:lineRule="auto"/>
              <w:ind w:left="966" w:right="223" w:hanging="308"/>
              <w:jc w:val="both"/>
              <w:rPr>
                <w:sz w:val="18"/>
              </w:rPr>
            </w:pPr>
            <w:r>
              <w:rPr>
                <w:rFonts w:ascii="Arial" w:hAnsi="Arial"/>
                <w:w w:val="105"/>
                <w:sz w:val="19"/>
              </w:rPr>
              <w:t>If</w:t>
            </w:r>
            <w:r>
              <w:rPr>
                <w:rFonts w:ascii="Arial" w:hAnsi="Arial"/>
                <w:spacing w:val="7"/>
                <w:w w:val="105"/>
                <w:sz w:val="19"/>
              </w:rPr>
              <w:t xml:space="preserve"> </w:t>
            </w:r>
            <w:r>
              <w:rPr>
                <w:w w:val="105"/>
                <w:sz w:val="20"/>
              </w:rPr>
              <w:t>Mental</w:t>
            </w:r>
            <w:r>
              <w:rPr>
                <w:spacing w:val="-6"/>
                <w:w w:val="105"/>
                <w:sz w:val="20"/>
              </w:rPr>
              <w:t xml:space="preserve"> </w:t>
            </w:r>
            <w:r>
              <w:rPr>
                <w:w w:val="105"/>
                <w:sz w:val="20"/>
              </w:rPr>
              <w:t>Retardation,</w:t>
            </w:r>
            <w:r>
              <w:rPr>
                <w:spacing w:val="3"/>
                <w:w w:val="105"/>
                <w:sz w:val="20"/>
              </w:rPr>
              <w:t xml:space="preserve"> </w:t>
            </w:r>
            <w:r>
              <w:rPr>
                <w:w w:val="105"/>
                <w:sz w:val="20"/>
              </w:rPr>
              <w:t>a</w:t>
            </w:r>
            <w:r>
              <w:rPr>
                <w:spacing w:val="-18"/>
                <w:w w:val="105"/>
                <w:sz w:val="20"/>
              </w:rPr>
              <w:t xml:space="preserve"> </w:t>
            </w:r>
            <w:r>
              <w:rPr>
                <w:w w:val="105"/>
                <w:sz w:val="20"/>
              </w:rPr>
              <w:t>speech-motor</w:t>
            </w:r>
            <w:r>
              <w:rPr>
                <w:spacing w:val="-1"/>
                <w:w w:val="105"/>
                <w:sz w:val="20"/>
              </w:rPr>
              <w:t xml:space="preserve"> </w:t>
            </w:r>
            <w:r>
              <w:rPr>
                <w:w w:val="105"/>
                <w:sz w:val="20"/>
              </w:rPr>
              <w:t>or</w:t>
            </w:r>
            <w:r>
              <w:rPr>
                <w:spacing w:val="-18"/>
                <w:w w:val="105"/>
                <w:sz w:val="20"/>
              </w:rPr>
              <w:t xml:space="preserve"> </w:t>
            </w:r>
            <w:r>
              <w:rPr>
                <w:w w:val="105"/>
                <w:sz w:val="20"/>
              </w:rPr>
              <w:t>sensory</w:t>
            </w:r>
            <w:r>
              <w:rPr>
                <w:spacing w:val="-12"/>
                <w:w w:val="105"/>
                <w:sz w:val="20"/>
              </w:rPr>
              <w:t xml:space="preserve"> </w:t>
            </w:r>
            <w:r>
              <w:rPr>
                <w:w w:val="105"/>
                <w:sz w:val="20"/>
              </w:rPr>
              <w:t>deficit,</w:t>
            </w:r>
            <w:r>
              <w:rPr>
                <w:spacing w:val="-11"/>
                <w:w w:val="105"/>
                <w:sz w:val="20"/>
              </w:rPr>
              <w:t xml:space="preserve"> </w:t>
            </w:r>
            <w:r>
              <w:rPr>
                <w:w w:val="105"/>
                <w:sz w:val="20"/>
              </w:rPr>
              <w:t>or</w:t>
            </w:r>
            <w:r>
              <w:rPr>
                <w:spacing w:val="-3"/>
                <w:w w:val="105"/>
                <w:sz w:val="20"/>
              </w:rPr>
              <w:t xml:space="preserve"> </w:t>
            </w:r>
            <w:r>
              <w:rPr>
                <w:w w:val="105"/>
                <w:sz w:val="20"/>
              </w:rPr>
              <w:t>environmen­ tal deprivation is present, the speech difficulties are in excess of those usually associated with these</w:t>
            </w:r>
            <w:r>
              <w:rPr>
                <w:spacing w:val="3"/>
                <w:w w:val="105"/>
                <w:sz w:val="20"/>
              </w:rPr>
              <w:t xml:space="preserve"> </w:t>
            </w:r>
            <w:r>
              <w:rPr>
                <w:w w:val="105"/>
                <w:sz w:val="20"/>
              </w:rPr>
              <w:t>problems.</w:t>
            </w:r>
          </w:p>
          <w:p w:rsidR="00E675F0" w:rsidRDefault="00E675F0" w:rsidP="00A330E1">
            <w:pPr>
              <w:pStyle w:val="TableParagraph"/>
              <w:spacing w:before="116" w:line="252" w:lineRule="auto"/>
              <w:ind w:left="670" w:right="221" w:hanging="18"/>
              <w:jc w:val="both"/>
              <w:rPr>
                <w:sz w:val="18"/>
              </w:rPr>
            </w:pPr>
            <w:r>
              <w:rPr>
                <w:b/>
                <w:w w:val="105"/>
                <w:sz w:val="17"/>
              </w:rPr>
              <w:t xml:space="preserve">Coding note: </w:t>
            </w:r>
            <w:r>
              <w:rPr>
                <w:w w:val="105"/>
                <w:sz w:val="18"/>
              </w:rPr>
              <w:t>If a speech-motor or sensory deficit or a neurological condition is present, code the condition on Axis III.</w:t>
            </w:r>
          </w:p>
        </w:tc>
      </w:tr>
    </w:tbl>
    <w:p w:rsidR="00E675F0" w:rsidRDefault="00E675F0" w:rsidP="00E675F0">
      <w:pPr>
        <w:pStyle w:val="BodyText"/>
      </w:pPr>
    </w:p>
    <w:p w:rsidR="00E675F0" w:rsidRDefault="00E675F0" w:rsidP="00E675F0">
      <w:pPr>
        <w:pStyle w:val="BodyText"/>
        <w:spacing w:before="4"/>
        <w:rPr>
          <w:sz w:val="25"/>
        </w:rPr>
      </w:pPr>
    </w:p>
    <w:p w:rsidR="00E675F0" w:rsidRDefault="00E675F0" w:rsidP="00E675F0">
      <w:pPr>
        <w:tabs>
          <w:tab w:val="left" w:pos="3699"/>
        </w:tabs>
        <w:spacing w:before="92"/>
        <w:ind w:left="2784"/>
        <w:rPr>
          <w:rFonts w:ascii="Arial"/>
          <w:b/>
          <w:sz w:val="25"/>
        </w:rPr>
      </w:pPr>
      <w:r>
        <w:rPr>
          <w:noProof/>
        </w:rPr>
        <mc:AlternateContent>
          <mc:Choice Requires="wps">
            <w:drawing>
              <wp:anchor distT="0" distB="0" distL="114300" distR="114300" simplePos="0" relativeHeight="251678720" behindDoc="0" locked="0" layoutInCell="1" allowOverlap="1" wp14:anchorId="42F10DB1" wp14:editId="34A72A00">
                <wp:simplePos x="0" y="0"/>
                <wp:positionH relativeFrom="page">
                  <wp:posOffset>514985</wp:posOffset>
                </wp:positionH>
                <wp:positionV relativeFrom="paragraph">
                  <wp:posOffset>-287020</wp:posOffset>
                </wp:positionV>
                <wp:extent cx="0" cy="0"/>
                <wp:effectExtent l="0" t="0" r="0" b="0"/>
                <wp:wrapNone/>
                <wp:docPr id="1612" name="Line 15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336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EBFF2C" id="Line 1568" o:spid="_x0000_s1026" style="position:absolute;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55pt,-22.6pt" to="40.55pt,-22.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" strokeweight=".93356mm">
                <o:lock v:ext="edit" shapetype="f"/>
                <w10:wrap anchorx="page"/>
              </v:line>
            </w:pict>
          </mc:Fallback>
        </mc:AlternateContent>
      </w:r>
      <w:r>
        <w:rPr>
          <w:noProof/>
        </w:rPr>
        <mc:AlternateContent>
          <mc:Choice Requires="wps">
            <w:drawing>
              <wp:anchor distT="0" distB="0" distL="114300" distR="114300" simplePos="0" relativeHeight="251756544" behindDoc="1" locked="0" layoutInCell="1" allowOverlap="1" wp14:anchorId="0C030EA8" wp14:editId="6C55EF89">
                <wp:simplePos x="0" y="0"/>
                <wp:positionH relativeFrom="page">
                  <wp:posOffset>5171440</wp:posOffset>
                </wp:positionH>
                <wp:positionV relativeFrom="paragraph">
                  <wp:posOffset>-287020</wp:posOffset>
                </wp:positionV>
                <wp:extent cx="0" cy="0"/>
                <wp:effectExtent l="0" t="0" r="0" b="0"/>
                <wp:wrapNone/>
                <wp:docPr id="1611" name="Line 15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336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7C135B" id="Line 1567" o:spid="_x0000_s1026" style="position:absolute;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7.2pt,-22.6pt" to="407.2pt,-22.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" strokeweight=".93356mm">
                <o:lock v:ext="edit" shapetype="f"/>
                <w10:wrap anchorx="page"/>
              </v:line>
            </w:pict>
          </mc:Fallback>
        </mc:AlternateContent>
      </w:r>
      <w:r>
        <w:rPr>
          <w:rFonts w:ascii="Arial"/>
          <w:b/>
          <w:w w:val="110"/>
          <w:sz w:val="25"/>
        </w:rPr>
        <w:t>307.0</w:t>
      </w:r>
      <w:r>
        <w:rPr>
          <w:rFonts w:ascii="Arial"/>
          <w:b/>
          <w:w w:val="110"/>
          <w:sz w:val="25"/>
        </w:rPr>
        <w:tab/>
        <w:t>Stuttering</w:t>
      </w:r>
    </w:p>
    <w:p w:rsidR="00E675F0" w:rsidRDefault="00E675F0" w:rsidP="00E675F0">
      <w:pPr>
        <w:pStyle w:val="BodyText"/>
        <w:spacing w:before="1"/>
        <w:rPr>
          <w:rFonts w:ascii="Arial"/>
          <w:b/>
          <w:sz w:val="31"/>
        </w:rPr>
      </w:pPr>
    </w:p>
    <w:p w:rsidR="00E675F0" w:rsidRDefault="00E675F0" w:rsidP="00E675F0">
      <w:pPr>
        <w:ind w:left="111"/>
        <w:jc w:val="both"/>
        <w:rPr>
          <w:rFonts w:ascii="TimesNewRomanPS-BoldItalicMT"/>
          <w:b/>
          <w:i/>
          <w:sz w:val="24"/>
        </w:rPr>
      </w:pPr>
      <w:r>
        <w:rPr>
          <w:rFonts w:ascii="TimesNewRomanPS-BoldItalicMT"/>
          <w:b/>
          <w:i/>
          <w:w w:val="120"/>
          <w:sz w:val="24"/>
        </w:rPr>
        <w:t>magnostic Features</w:t>
      </w:r>
    </w:p>
    <w:p w:rsidR="00E675F0" w:rsidRDefault="00E675F0" w:rsidP="00E675F0">
      <w:pPr>
        <w:pStyle w:val="BodyText"/>
        <w:spacing w:before="151" w:line="252" w:lineRule="auto"/>
        <w:ind w:left="128" w:right="115" w:hanging="1"/>
        <w:jc w:val="both"/>
      </w:pPr>
      <w:r>
        <w:rPr>
          <w:w w:val="105"/>
        </w:rPr>
        <w:t xml:space="preserve">The essential feature of Stuttering is a disturbance in the normal fluency and time patterning of speech that is inappropriate for the individual's age (Criterion A). This disturbance is characterized by frequent repetitions or prolongations of sounds or syllables (Criteria Al and AZ). Various other types of speech dysfluencies may also be involved, including interjections (Criterion A3), broken words (e.g., pauses within a word) (Criterion A4), audible or silent blocking (filled or unfilled pauses in speech) (Criterion AS), circumlocutions (i.e., word substitutions to avoid problematic words) (Criterion A6), words produced with an excess of physical tension (Criterion A7), and monosyllabic whole word repetitions (e.g., "I-I-I-I see him") (Criterion AS). The disturbance in fluency interferes with academic or occupational achievement or with social communication (Criterion B). If a speech-motor or sensory deficit is present, the speech difficulties are in excess of those usually associated with these problems (Criterion C). </w:t>
      </w:r>
      <w:r>
        <w:rPr>
          <w:rFonts w:ascii="Arial"/>
          <w:w w:val="105"/>
          <w:sz w:val="19"/>
        </w:rPr>
        <w:t xml:space="preserve">If </w:t>
      </w:r>
      <w:r>
        <w:rPr>
          <w:w w:val="105"/>
        </w:rPr>
        <w:t>a speech-motor or sensory deficit or neurological  disorder is present, this condition should also be coded on Axis III. The extent of the disturbance  varies from situation to situation and often is more severe when there is special pressure to communicate (e.g., giving a report at school, interviewing for a job). Stuttering is often absent during oral reading, singing, or talking to inanimate objects or to</w:t>
      </w:r>
      <w:r>
        <w:rPr>
          <w:spacing w:val="20"/>
          <w:w w:val="105"/>
        </w:rPr>
        <w:t xml:space="preserve"> </w:t>
      </w:r>
      <w:r>
        <w:rPr>
          <w:w w:val="105"/>
        </w:rPr>
        <w:t>pets.</w:t>
      </w:r>
    </w:p>
    <w:p w:rsidR="00E675F0" w:rsidRDefault="00E675F0" w:rsidP="00E675F0">
      <w:pPr>
        <w:pStyle w:val="BodyText"/>
        <w:rPr>
          <w:sz w:val="22"/>
        </w:rPr>
      </w:pPr>
    </w:p>
    <w:p w:rsidR="00E675F0" w:rsidRDefault="00E675F0" w:rsidP="00E675F0">
      <w:pPr>
        <w:spacing w:before="195"/>
        <w:ind w:left="118"/>
        <w:jc w:val="both"/>
        <w:rPr>
          <w:rFonts w:ascii="TimesNewRomanPS-BoldItalicMT"/>
          <w:b/>
          <w:i/>
          <w:sz w:val="24"/>
        </w:rPr>
      </w:pPr>
      <w:r>
        <w:rPr>
          <w:rFonts w:ascii="TimesNewRomanPS-BoldItalicMT"/>
          <w:b/>
          <w:i/>
          <w:w w:val="115"/>
          <w:sz w:val="24"/>
        </w:rPr>
        <w:t>Associated Features and Di,sorders</w:t>
      </w:r>
    </w:p>
    <w:p w:rsidR="00E675F0" w:rsidRDefault="00E675F0" w:rsidP="00E675F0">
      <w:pPr>
        <w:pStyle w:val="BodyText"/>
        <w:spacing w:before="151" w:line="254" w:lineRule="auto"/>
        <w:ind w:left="140" w:right="121"/>
        <w:jc w:val="both"/>
      </w:pPr>
      <w:r>
        <w:rPr>
          <w:w w:val="105"/>
        </w:rPr>
        <w:t>At the onset of Stuttering, the speaker may not be aware of the problem, although awareness and even fearful anticipation of the problem may develop later. The speaker may</w:t>
      </w:r>
      <w:r>
        <w:rPr>
          <w:spacing w:val="-15"/>
          <w:w w:val="105"/>
        </w:rPr>
        <w:t xml:space="preserve"> </w:t>
      </w:r>
      <w:r>
        <w:rPr>
          <w:w w:val="105"/>
        </w:rPr>
        <w:t>attempt</w:t>
      </w:r>
      <w:r>
        <w:rPr>
          <w:spacing w:val="-14"/>
          <w:w w:val="105"/>
        </w:rPr>
        <w:t xml:space="preserve"> </w:t>
      </w:r>
      <w:r>
        <w:rPr>
          <w:w w:val="105"/>
        </w:rPr>
        <w:t>to</w:t>
      </w:r>
      <w:r>
        <w:rPr>
          <w:spacing w:val="-14"/>
          <w:w w:val="105"/>
        </w:rPr>
        <w:t xml:space="preserve"> </w:t>
      </w:r>
      <w:r>
        <w:rPr>
          <w:w w:val="105"/>
        </w:rPr>
        <w:t>avoid</w:t>
      </w:r>
      <w:r>
        <w:rPr>
          <w:spacing w:val="-15"/>
          <w:w w:val="105"/>
        </w:rPr>
        <w:t xml:space="preserve"> </w:t>
      </w:r>
      <w:r>
        <w:rPr>
          <w:w w:val="105"/>
        </w:rPr>
        <w:t>stuttering</w:t>
      </w:r>
      <w:r>
        <w:rPr>
          <w:spacing w:val="-9"/>
          <w:w w:val="105"/>
        </w:rPr>
        <w:t xml:space="preserve"> </w:t>
      </w:r>
      <w:r>
        <w:rPr>
          <w:w w:val="105"/>
        </w:rPr>
        <w:t>by</w:t>
      </w:r>
      <w:r>
        <w:rPr>
          <w:spacing w:val="-16"/>
          <w:w w:val="105"/>
        </w:rPr>
        <w:t xml:space="preserve"> </w:t>
      </w:r>
      <w:r>
        <w:rPr>
          <w:w w:val="105"/>
        </w:rPr>
        <w:t>linguistic</w:t>
      </w:r>
      <w:r>
        <w:rPr>
          <w:spacing w:val="-7"/>
          <w:w w:val="105"/>
        </w:rPr>
        <w:t xml:space="preserve"> </w:t>
      </w:r>
      <w:r>
        <w:rPr>
          <w:w w:val="105"/>
        </w:rPr>
        <w:t>mechanisms</w:t>
      </w:r>
      <w:r>
        <w:rPr>
          <w:spacing w:val="-8"/>
          <w:w w:val="105"/>
        </w:rPr>
        <w:t xml:space="preserve"> </w:t>
      </w:r>
      <w:r>
        <w:rPr>
          <w:w w:val="105"/>
        </w:rPr>
        <w:t>(e.g.,</w:t>
      </w:r>
      <w:r>
        <w:rPr>
          <w:spacing w:val="-12"/>
          <w:w w:val="105"/>
        </w:rPr>
        <w:t xml:space="preserve"> </w:t>
      </w:r>
      <w:r>
        <w:rPr>
          <w:w w:val="105"/>
        </w:rPr>
        <w:t>altering</w:t>
      </w:r>
      <w:r>
        <w:rPr>
          <w:spacing w:val="-8"/>
          <w:w w:val="105"/>
        </w:rPr>
        <w:t xml:space="preserve"> </w:t>
      </w:r>
      <w:r>
        <w:rPr>
          <w:w w:val="105"/>
        </w:rPr>
        <w:t>the</w:t>
      </w:r>
      <w:r>
        <w:rPr>
          <w:spacing w:val="-11"/>
          <w:w w:val="105"/>
        </w:rPr>
        <w:t xml:space="preserve"> </w:t>
      </w:r>
      <w:r>
        <w:rPr>
          <w:w w:val="105"/>
        </w:rPr>
        <w:t>rate</w:t>
      </w:r>
      <w:r>
        <w:rPr>
          <w:spacing w:val="-19"/>
          <w:w w:val="105"/>
        </w:rPr>
        <w:t xml:space="preserve"> </w:t>
      </w:r>
      <w:r>
        <w:rPr>
          <w:w w:val="105"/>
        </w:rPr>
        <w:t>of</w:t>
      </w:r>
      <w:r>
        <w:rPr>
          <w:spacing w:val="-12"/>
          <w:w w:val="105"/>
        </w:rPr>
        <w:t xml:space="preserve"> </w:t>
      </w:r>
      <w:r>
        <w:rPr>
          <w:w w:val="105"/>
        </w:rPr>
        <w:t>speech, avoiding certain speech situations such as telephoning or public speaking, or</w:t>
      </w:r>
      <w:r>
        <w:rPr>
          <w:spacing w:val="-24"/>
          <w:w w:val="105"/>
        </w:rPr>
        <w:t xml:space="preserve"> </w:t>
      </w:r>
      <w:r>
        <w:rPr>
          <w:w w:val="105"/>
        </w:rPr>
        <w:t>avoiding</w:t>
      </w:r>
    </w:p>
    <w:p w:rsidR="00E675F0" w:rsidRDefault="00E675F0" w:rsidP="00E675F0">
      <w:pPr>
        <w:spacing w:line="254" w:lineRule="auto"/>
        <w:jc w:val="both"/>
        <w:sectPr w:rsidR="00E675F0">
          <w:headerReference w:type="even" r:id="rId73"/>
          <w:headerReference w:type="default" r:id="rId74"/>
          <w:pgSz w:w="8960" w:h="14260"/>
          <w:pgMar w:top="1400" w:right="600" w:bottom="280" w:left="620" w:header="707" w:footer="0" w:gutter="0"/>
          <w:pgNumType w:start="63"/>
          <w:cols w:space="720"/>
        </w:sectPr>
      </w:pPr>
    </w:p>
    <w:p w:rsidR="00E675F0" w:rsidRDefault="00E675F0" w:rsidP="00E675F0">
      <w:pPr>
        <w:pStyle w:val="BodyText"/>
        <w:spacing w:before="139" w:line="256" w:lineRule="auto"/>
        <w:ind w:left="128" w:right="129" w:firstLine="5"/>
        <w:jc w:val="both"/>
      </w:pPr>
      <w:r>
        <w:rPr>
          <w:w w:val="105"/>
        </w:rPr>
        <w:lastRenderedPageBreak/>
        <w:t>certain words or sounds). Stuttering may be accompanied by motor movements (e.g., eye blinks, tics, tremors of the lips or face, jerking of the head,  breathing  movements, or</w:t>
      </w:r>
      <w:r>
        <w:rPr>
          <w:spacing w:val="-8"/>
          <w:w w:val="105"/>
        </w:rPr>
        <w:t xml:space="preserve"> </w:t>
      </w:r>
      <w:r>
        <w:rPr>
          <w:w w:val="105"/>
        </w:rPr>
        <w:t>fist</w:t>
      </w:r>
      <w:r>
        <w:rPr>
          <w:spacing w:val="-13"/>
          <w:w w:val="105"/>
        </w:rPr>
        <w:t xml:space="preserve"> </w:t>
      </w:r>
      <w:r>
        <w:rPr>
          <w:w w:val="105"/>
        </w:rPr>
        <w:t>clenching).</w:t>
      </w:r>
      <w:r>
        <w:rPr>
          <w:spacing w:val="-1"/>
          <w:w w:val="105"/>
        </w:rPr>
        <w:t xml:space="preserve"> </w:t>
      </w:r>
      <w:r>
        <w:rPr>
          <w:w w:val="105"/>
        </w:rPr>
        <w:t>Stress</w:t>
      </w:r>
      <w:r>
        <w:rPr>
          <w:spacing w:val="-17"/>
          <w:w w:val="105"/>
        </w:rPr>
        <w:t xml:space="preserve"> </w:t>
      </w:r>
      <w:r>
        <w:rPr>
          <w:w w:val="105"/>
        </w:rPr>
        <w:t>or</w:t>
      </w:r>
      <w:r>
        <w:rPr>
          <w:spacing w:val="-17"/>
          <w:w w:val="105"/>
        </w:rPr>
        <w:t xml:space="preserve"> </w:t>
      </w:r>
      <w:r>
        <w:rPr>
          <w:w w:val="105"/>
        </w:rPr>
        <w:t>anxiety</w:t>
      </w:r>
      <w:r>
        <w:rPr>
          <w:spacing w:val="-11"/>
          <w:w w:val="105"/>
        </w:rPr>
        <w:t xml:space="preserve"> </w:t>
      </w:r>
      <w:r>
        <w:rPr>
          <w:w w:val="105"/>
        </w:rPr>
        <w:t>have</w:t>
      </w:r>
      <w:r>
        <w:rPr>
          <w:spacing w:val="-13"/>
          <w:w w:val="105"/>
        </w:rPr>
        <w:t xml:space="preserve"> </w:t>
      </w:r>
      <w:r>
        <w:rPr>
          <w:w w:val="105"/>
        </w:rPr>
        <w:t>been</w:t>
      </w:r>
      <w:r>
        <w:rPr>
          <w:spacing w:val="-16"/>
          <w:w w:val="105"/>
        </w:rPr>
        <w:t xml:space="preserve"> </w:t>
      </w:r>
      <w:r>
        <w:rPr>
          <w:w w:val="105"/>
        </w:rPr>
        <w:t>shown</w:t>
      </w:r>
      <w:r>
        <w:rPr>
          <w:spacing w:val="-5"/>
          <w:w w:val="105"/>
        </w:rPr>
        <w:t xml:space="preserve"> </w:t>
      </w:r>
      <w:r>
        <w:rPr>
          <w:w w:val="105"/>
        </w:rPr>
        <w:t>to</w:t>
      </w:r>
      <w:r>
        <w:rPr>
          <w:spacing w:val="-22"/>
          <w:w w:val="105"/>
        </w:rPr>
        <w:t xml:space="preserve"> </w:t>
      </w:r>
      <w:r>
        <w:rPr>
          <w:w w:val="105"/>
        </w:rPr>
        <w:t>exacerbate</w:t>
      </w:r>
      <w:r>
        <w:rPr>
          <w:spacing w:val="-10"/>
          <w:w w:val="105"/>
        </w:rPr>
        <w:t xml:space="preserve"> </w:t>
      </w:r>
      <w:r>
        <w:rPr>
          <w:w w:val="105"/>
        </w:rPr>
        <w:t>Stuttering.</w:t>
      </w:r>
      <w:r>
        <w:rPr>
          <w:spacing w:val="-12"/>
          <w:w w:val="105"/>
        </w:rPr>
        <w:t xml:space="preserve"> </w:t>
      </w:r>
      <w:r>
        <w:rPr>
          <w:w w:val="105"/>
        </w:rPr>
        <w:t>Impairment of social functioning may result from associated anxiety, frustration, or low self-esteem. In adults, Stuttering may limit occupational choice or advancement. Phonological Disorder and Expressive Language Disorder occur at a higher frequency in individuals with Stuttering than in the general</w:t>
      </w:r>
      <w:r>
        <w:rPr>
          <w:spacing w:val="32"/>
          <w:w w:val="105"/>
        </w:rPr>
        <w:t xml:space="preserve"> </w:t>
      </w:r>
      <w:r>
        <w:rPr>
          <w:w w:val="105"/>
        </w:rPr>
        <w:t>population.</w:t>
      </w:r>
    </w:p>
    <w:p w:rsidR="00E675F0" w:rsidRDefault="00E675F0" w:rsidP="00E675F0">
      <w:pPr>
        <w:pStyle w:val="BodyText"/>
        <w:rPr>
          <w:sz w:val="22"/>
        </w:rPr>
      </w:pPr>
    </w:p>
    <w:p w:rsidR="00E675F0" w:rsidRDefault="00E675F0" w:rsidP="00E675F0">
      <w:pPr>
        <w:pStyle w:val="BodyText"/>
        <w:rPr>
          <w:sz w:val="18"/>
        </w:rPr>
      </w:pPr>
    </w:p>
    <w:p w:rsidR="00E675F0" w:rsidRDefault="00E675F0" w:rsidP="00E675F0">
      <w:pPr>
        <w:spacing w:before="1"/>
        <w:ind w:left="118"/>
        <w:rPr>
          <w:rFonts w:ascii="TimesNewRomanPS-BoldItalicMT"/>
          <w:b/>
          <w:i/>
          <w:sz w:val="24"/>
        </w:rPr>
      </w:pPr>
      <w:r>
        <w:rPr>
          <w:rFonts w:ascii="TimesNewRomanPS-BoldItalicMT"/>
          <w:b/>
          <w:i/>
          <w:w w:val="115"/>
          <w:sz w:val="24"/>
        </w:rPr>
        <w:t>Prevalence</w:t>
      </w:r>
    </w:p>
    <w:p w:rsidR="00E675F0" w:rsidRDefault="00E675F0" w:rsidP="00E675F0">
      <w:pPr>
        <w:pStyle w:val="BodyText"/>
        <w:spacing w:before="170" w:line="256" w:lineRule="auto"/>
        <w:ind w:left="133" w:right="124" w:hanging="9"/>
        <w:jc w:val="both"/>
      </w:pPr>
      <w:r>
        <w:rPr>
          <w:w w:val="105"/>
        </w:rPr>
        <w:t>The prevalence of Stuttering in prepubertal children is 1% and drops to 0.8% in adolescence. The male-to-female ratio is approximately 3:1.</w:t>
      </w:r>
    </w:p>
    <w:p w:rsidR="00E675F0" w:rsidRDefault="00E675F0" w:rsidP="00E675F0">
      <w:pPr>
        <w:pStyle w:val="BodyText"/>
        <w:rPr>
          <w:sz w:val="22"/>
        </w:rPr>
      </w:pPr>
    </w:p>
    <w:p w:rsidR="00E675F0" w:rsidRDefault="00E675F0" w:rsidP="00E675F0">
      <w:pPr>
        <w:pStyle w:val="BodyText"/>
        <w:spacing w:before="10"/>
        <w:rPr>
          <w:sz w:val="18"/>
        </w:rPr>
      </w:pPr>
    </w:p>
    <w:p w:rsidR="00E675F0" w:rsidRDefault="00E675F0" w:rsidP="00E675F0">
      <w:pPr>
        <w:ind w:left="110"/>
        <w:rPr>
          <w:rFonts w:ascii="TimesNewRomanPS-BoldItalicMT"/>
          <w:b/>
          <w:i/>
          <w:sz w:val="24"/>
        </w:rPr>
      </w:pPr>
      <w:r>
        <w:rPr>
          <w:rFonts w:ascii="TimesNewRomanPS-BoldItalicMT"/>
          <w:b/>
          <w:i/>
          <w:w w:val="115"/>
          <w:sz w:val="24"/>
        </w:rPr>
        <w:t>Course</w:t>
      </w:r>
    </w:p>
    <w:p w:rsidR="00E675F0" w:rsidRDefault="00E675F0" w:rsidP="00E675F0">
      <w:pPr>
        <w:pStyle w:val="BodyText"/>
        <w:spacing w:before="160" w:line="254" w:lineRule="auto"/>
        <w:ind w:left="124" w:right="113" w:firstLine="7"/>
        <w:jc w:val="both"/>
      </w:pPr>
      <w:r>
        <w:rPr>
          <w:w w:val="105"/>
        </w:rPr>
        <w:t>Retrospective studies of individuals with Stuttering report onset typically between ages  2 and 7 years (with peak onset at around age 5 years). Onset occurs before age 10 years in 98% of cases. The onset is usually insidious, covering many months during which episodic, unnoticed speech dysfluencies become a chronic problem. Typically, the disturbance starts gradually, with repetition of initial consonants, words that are usually the first words of a phrase, or long words. The child is generally not aware of Stuttering. As the disorder progresses, there is a waxing and waning course. The dysfluencies become more frequent, and the Stuttering occurs on the most meaningful words or phrases in the utterance. As the child becomes aware of the speech difficulty, mechanisms for avoiding the dysfluencies and emotional responses may occur. Some research suggests that up to 80% of individuals with Stuttering recover, with up to 60% recovering spontaneously. Recovery typically occurs before age 16</w:t>
      </w:r>
      <w:r>
        <w:rPr>
          <w:spacing w:val="19"/>
          <w:w w:val="105"/>
        </w:rPr>
        <w:t xml:space="preserve"> </w:t>
      </w:r>
      <w:r>
        <w:rPr>
          <w:w w:val="105"/>
        </w:rPr>
        <w:t>years.</w:t>
      </w:r>
    </w:p>
    <w:p w:rsidR="00E675F0" w:rsidRDefault="00E675F0" w:rsidP="00E675F0">
      <w:pPr>
        <w:pStyle w:val="BodyText"/>
        <w:rPr>
          <w:sz w:val="22"/>
        </w:rPr>
      </w:pPr>
    </w:p>
    <w:p w:rsidR="00E675F0" w:rsidRDefault="00E675F0" w:rsidP="00E675F0">
      <w:pPr>
        <w:spacing w:before="197"/>
        <w:ind w:left="111"/>
        <w:rPr>
          <w:rFonts w:ascii="TimesNewRomanPS-BoldItalicMT"/>
          <w:b/>
          <w:i/>
          <w:sz w:val="24"/>
        </w:rPr>
      </w:pPr>
      <w:r>
        <w:rPr>
          <w:rFonts w:ascii="TimesNewRomanPS-BoldItalicMT"/>
          <w:b/>
          <w:i/>
          <w:w w:val="115"/>
          <w:sz w:val="24"/>
        </w:rPr>
        <w:t>Familial Pattern</w:t>
      </w:r>
    </w:p>
    <w:p w:rsidR="00E675F0" w:rsidRDefault="00E675F0" w:rsidP="00E675F0">
      <w:pPr>
        <w:pStyle w:val="BodyText"/>
        <w:spacing w:before="156" w:line="254" w:lineRule="auto"/>
        <w:ind w:left="128" w:right="113" w:firstLine="9"/>
        <w:jc w:val="both"/>
      </w:pPr>
      <w:r>
        <w:rPr>
          <w:w w:val="105"/>
        </w:rPr>
        <w:t>Family and twin studies provide strong evidence of a genetic factor in the etiology of Stuttering. The presence of a Phonological Disorder or the developmental type of Expressive Language Disorder, or a family history of these, increases the likelihood of Stuttering.</w:t>
      </w:r>
      <w:r>
        <w:rPr>
          <w:spacing w:val="-10"/>
          <w:w w:val="105"/>
        </w:rPr>
        <w:t xml:space="preserve"> </w:t>
      </w:r>
      <w:r>
        <w:rPr>
          <w:w w:val="105"/>
        </w:rPr>
        <w:t>The</w:t>
      </w:r>
      <w:r>
        <w:rPr>
          <w:spacing w:val="-13"/>
          <w:w w:val="105"/>
        </w:rPr>
        <w:t xml:space="preserve"> </w:t>
      </w:r>
      <w:r>
        <w:rPr>
          <w:w w:val="105"/>
        </w:rPr>
        <w:t>risk</w:t>
      </w:r>
      <w:r>
        <w:rPr>
          <w:spacing w:val="-20"/>
          <w:w w:val="105"/>
        </w:rPr>
        <w:t xml:space="preserve"> </w:t>
      </w:r>
      <w:r>
        <w:rPr>
          <w:w w:val="105"/>
        </w:rPr>
        <w:t>of</w:t>
      </w:r>
      <w:r>
        <w:rPr>
          <w:spacing w:val="-14"/>
          <w:w w:val="105"/>
        </w:rPr>
        <w:t xml:space="preserve"> </w:t>
      </w:r>
      <w:r>
        <w:rPr>
          <w:w w:val="105"/>
        </w:rPr>
        <w:t>Stuttering</w:t>
      </w:r>
      <w:r>
        <w:rPr>
          <w:spacing w:val="-16"/>
          <w:w w:val="105"/>
        </w:rPr>
        <w:t xml:space="preserve"> </w:t>
      </w:r>
      <w:r>
        <w:rPr>
          <w:w w:val="105"/>
        </w:rPr>
        <w:t>among</w:t>
      </w:r>
      <w:r>
        <w:rPr>
          <w:spacing w:val="-18"/>
          <w:w w:val="105"/>
        </w:rPr>
        <w:t xml:space="preserve"> </w:t>
      </w:r>
      <w:r>
        <w:rPr>
          <w:w w:val="105"/>
        </w:rPr>
        <w:t>first-degree</w:t>
      </w:r>
      <w:r>
        <w:rPr>
          <w:spacing w:val="-3"/>
          <w:w w:val="105"/>
        </w:rPr>
        <w:t xml:space="preserve"> </w:t>
      </w:r>
      <w:r>
        <w:rPr>
          <w:w w:val="105"/>
        </w:rPr>
        <w:t>biological</w:t>
      </w:r>
      <w:r>
        <w:rPr>
          <w:spacing w:val="-1"/>
          <w:w w:val="105"/>
        </w:rPr>
        <w:t xml:space="preserve"> </w:t>
      </w:r>
      <w:r>
        <w:rPr>
          <w:w w:val="105"/>
        </w:rPr>
        <w:t>relatives</w:t>
      </w:r>
      <w:r>
        <w:rPr>
          <w:spacing w:val="-11"/>
          <w:w w:val="105"/>
        </w:rPr>
        <w:t xml:space="preserve"> </w:t>
      </w:r>
      <w:r>
        <w:rPr>
          <w:w w:val="105"/>
        </w:rPr>
        <w:t>is</w:t>
      </w:r>
      <w:r>
        <w:rPr>
          <w:spacing w:val="-21"/>
          <w:w w:val="105"/>
        </w:rPr>
        <w:t xml:space="preserve"> </w:t>
      </w:r>
      <w:r>
        <w:rPr>
          <w:w w:val="105"/>
        </w:rPr>
        <w:t>more</w:t>
      </w:r>
      <w:r>
        <w:rPr>
          <w:spacing w:val="-10"/>
          <w:w w:val="105"/>
        </w:rPr>
        <w:t xml:space="preserve"> </w:t>
      </w:r>
      <w:r>
        <w:rPr>
          <w:w w:val="105"/>
        </w:rPr>
        <w:t>than</w:t>
      </w:r>
      <w:r>
        <w:rPr>
          <w:spacing w:val="-13"/>
          <w:w w:val="105"/>
        </w:rPr>
        <w:t xml:space="preserve"> </w:t>
      </w:r>
      <w:r>
        <w:rPr>
          <w:w w:val="105"/>
        </w:rPr>
        <w:t>three times the risk in the general population. For men with a history of Stuttering, about 10% of their daughters and 20% of their sons will</w:t>
      </w:r>
      <w:r>
        <w:rPr>
          <w:spacing w:val="50"/>
          <w:w w:val="105"/>
        </w:rPr>
        <w:t xml:space="preserve"> </w:t>
      </w:r>
      <w:r>
        <w:rPr>
          <w:w w:val="105"/>
        </w:rPr>
        <w:t>stutter.</w:t>
      </w:r>
    </w:p>
    <w:p w:rsidR="00E675F0" w:rsidRDefault="00E675F0" w:rsidP="00E675F0">
      <w:pPr>
        <w:pStyle w:val="BodyText"/>
        <w:rPr>
          <w:sz w:val="22"/>
        </w:rPr>
      </w:pPr>
    </w:p>
    <w:p w:rsidR="00E675F0" w:rsidRDefault="00E675F0" w:rsidP="00E675F0">
      <w:pPr>
        <w:pStyle w:val="BodyText"/>
        <w:spacing w:before="2"/>
      </w:pPr>
    </w:p>
    <w:p w:rsidR="00E675F0" w:rsidRDefault="00E675F0" w:rsidP="00E675F0">
      <w:pPr>
        <w:ind w:left="120"/>
        <w:rPr>
          <w:rFonts w:ascii="TimesNewRomanPS-BoldItalicMT"/>
          <w:b/>
          <w:i/>
          <w:sz w:val="24"/>
        </w:rPr>
      </w:pPr>
      <w:r>
        <w:rPr>
          <w:rFonts w:ascii="TimesNewRomanPS-BoldItalicMT"/>
          <w:b/>
          <w:i/>
          <w:w w:val="115"/>
          <w:sz w:val="24"/>
        </w:rPr>
        <w:t>Differential Diagnosis</w:t>
      </w:r>
    </w:p>
    <w:p w:rsidR="00E675F0" w:rsidRDefault="00E675F0" w:rsidP="00E675F0">
      <w:pPr>
        <w:spacing w:before="160" w:line="254" w:lineRule="auto"/>
        <w:ind w:left="128" w:right="118" w:firstLine="4"/>
        <w:jc w:val="both"/>
        <w:rPr>
          <w:sz w:val="20"/>
        </w:rPr>
      </w:pPr>
      <w:r>
        <w:rPr>
          <w:w w:val="105"/>
          <w:sz w:val="20"/>
        </w:rPr>
        <w:t xml:space="preserve">Speech difficulties may be associated with a </w:t>
      </w:r>
      <w:r>
        <w:rPr>
          <w:b/>
          <w:w w:val="105"/>
          <w:sz w:val="20"/>
        </w:rPr>
        <w:t xml:space="preserve">hearing impairment </w:t>
      </w:r>
      <w:r>
        <w:rPr>
          <w:rFonts w:ascii="Arial"/>
          <w:b/>
          <w:w w:val="105"/>
          <w:sz w:val="17"/>
        </w:rPr>
        <w:t xml:space="preserve">or </w:t>
      </w:r>
      <w:r>
        <w:rPr>
          <w:b/>
          <w:w w:val="105"/>
          <w:sz w:val="20"/>
        </w:rPr>
        <w:t xml:space="preserve">other sensory deficit </w:t>
      </w:r>
      <w:r>
        <w:rPr>
          <w:w w:val="105"/>
          <w:sz w:val="20"/>
        </w:rPr>
        <w:t xml:space="preserve">or a </w:t>
      </w:r>
      <w:r>
        <w:rPr>
          <w:b/>
          <w:w w:val="105"/>
          <w:sz w:val="20"/>
        </w:rPr>
        <w:t xml:space="preserve">speech-motor deficit. </w:t>
      </w:r>
      <w:r>
        <w:rPr>
          <w:w w:val="105"/>
          <w:sz w:val="20"/>
        </w:rPr>
        <w:t xml:space="preserve">In instances where the speech difficulties are in excess of those usually associated with these problems, a concurrent diagnosis of Stuttering may be made. Stuttering must be distinguished from </w:t>
      </w:r>
      <w:r>
        <w:rPr>
          <w:b/>
          <w:w w:val="105"/>
          <w:sz w:val="20"/>
        </w:rPr>
        <w:t xml:space="preserve">normal dysfl.uencies that occur frequently in young children, </w:t>
      </w:r>
      <w:r>
        <w:rPr>
          <w:w w:val="105"/>
          <w:sz w:val="20"/>
        </w:rPr>
        <w:t>which include whole-word or phrase repetitions (e.g., "I want, I want ice cream"), incomplete phrases, interjections, unfilled pauses, and parenthetical</w:t>
      </w:r>
      <w:r>
        <w:rPr>
          <w:spacing w:val="3"/>
          <w:w w:val="105"/>
          <w:sz w:val="20"/>
        </w:rPr>
        <w:t xml:space="preserve"> </w:t>
      </w:r>
      <w:r>
        <w:rPr>
          <w:w w:val="105"/>
          <w:sz w:val="20"/>
        </w:rPr>
        <w:t>remarks.</w:t>
      </w:r>
    </w:p>
    <w:p w:rsidR="00E675F0" w:rsidRDefault="00E675F0" w:rsidP="00E675F0">
      <w:pPr>
        <w:spacing w:line="254" w:lineRule="auto"/>
        <w:jc w:val="both"/>
        <w:rPr>
          <w:sz w:val="20"/>
        </w:rPr>
        <w:sectPr w:rsidR="00E675F0">
          <w:pgSz w:w="8960" w:h="14260"/>
          <w:pgMar w:top="1400" w:right="600" w:bottom="280" w:left="620" w:header="704" w:footer="0" w:gutter="0"/>
          <w:cols w:space="720"/>
        </w:sectPr>
      </w:pPr>
    </w:p>
    <w:p w:rsidR="00E675F0" w:rsidRDefault="00E675F0" w:rsidP="00E675F0">
      <w:pPr>
        <w:pStyle w:val="BodyText"/>
        <w:spacing w:before="9"/>
        <w:rPr>
          <w:sz w:val="9"/>
        </w:rPr>
      </w:pPr>
    </w:p>
    <w:tbl>
      <w:tblPr>
        <w:tblW w:w="0" w:type="auto"/>
        <w:tblInd w:w="237"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7331"/>
      </w:tblGrid>
      <w:tr w:rsidR="00E675F0" w:rsidTr="00A330E1">
        <w:trPr>
          <w:trHeight w:val="5505"/>
        </w:trPr>
        <w:tc>
          <w:tcPr>
            <w:tcW w:w="7331" w:type="dxa"/>
          </w:tcPr>
          <w:p w:rsidR="00E675F0" w:rsidRDefault="00E675F0" w:rsidP="003048D3">
            <w:pPr>
              <w:pStyle w:val="TableParagraph"/>
              <w:numPr>
                <w:ilvl w:val="0"/>
                <w:numId w:val="101"/>
              </w:numPr>
              <w:tabs>
                <w:tab w:val="left" w:pos="624"/>
              </w:tabs>
              <w:spacing w:line="533" w:lineRule="exact"/>
              <w:ind w:hanging="380"/>
              <w:rPr>
                <w:rFonts w:ascii="Arial" w:hAnsi="Arial"/>
                <w:b/>
                <w:sz w:val="24"/>
              </w:rPr>
            </w:pPr>
            <w:bookmarkStart w:id="42" w:name="_bookmark27"/>
            <w:bookmarkEnd w:id="42"/>
            <w:r>
              <w:rPr>
                <w:rFonts w:ascii="Arial" w:hAnsi="Arial"/>
                <w:b/>
                <w:w w:val="105"/>
                <w:sz w:val="24"/>
              </w:rPr>
              <w:t>Diagnostic criteria for 307.0</w:t>
            </w:r>
            <w:r>
              <w:rPr>
                <w:rFonts w:ascii="Arial" w:hAnsi="Arial"/>
                <w:b/>
                <w:spacing w:val="13"/>
                <w:w w:val="105"/>
                <w:sz w:val="24"/>
              </w:rPr>
              <w:t xml:space="preserve"> </w:t>
            </w:r>
            <w:r>
              <w:rPr>
                <w:rFonts w:ascii="Arial" w:hAnsi="Arial"/>
                <w:b/>
                <w:w w:val="105"/>
                <w:sz w:val="24"/>
              </w:rPr>
              <w:t>Stuttering</w:t>
            </w:r>
          </w:p>
          <w:p w:rsidR="00E675F0" w:rsidRDefault="00E675F0" w:rsidP="003048D3">
            <w:pPr>
              <w:pStyle w:val="TableParagraph"/>
              <w:numPr>
                <w:ilvl w:val="1"/>
                <w:numId w:val="101"/>
              </w:numPr>
              <w:tabs>
                <w:tab w:val="left" w:pos="956"/>
              </w:tabs>
              <w:spacing w:before="111" w:line="254" w:lineRule="auto"/>
              <w:ind w:right="227" w:hanging="303"/>
              <w:jc w:val="both"/>
              <w:rPr>
                <w:sz w:val="18"/>
              </w:rPr>
            </w:pPr>
            <w:r>
              <w:rPr>
                <w:w w:val="105"/>
                <w:sz w:val="20"/>
              </w:rPr>
              <w:t>Disturbance in the normal fluency and time patterning of speech (inappropriate for the individual's age), characterized by frequent occurrences of one or more of the</w:t>
            </w:r>
            <w:r>
              <w:rPr>
                <w:spacing w:val="-32"/>
                <w:w w:val="105"/>
                <w:sz w:val="20"/>
              </w:rPr>
              <w:t xml:space="preserve"> </w:t>
            </w:r>
            <w:r>
              <w:rPr>
                <w:w w:val="105"/>
                <w:sz w:val="20"/>
              </w:rPr>
              <w:t>following:</w:t>
            </w:r>
          </w:p>
          <w:p w:rsidR="00E675F0" w:rsidRDefault="00E675F0" w:rsidP="003048D3">
            <w:pPr>
              <w:pStyle w:val="TableParagraph"/>
              <w:numPr>
                <w:ilvl w:val="2"/>
                <w:numId w:val="101"/>
              </w:numPr>
              <w:tabs>
                <w:tab w:val="left" w:pos="1376"/>
                <w:tab w:val="left" w:pos="1377"/>
              </w:tabs>
              <w:spacing w:before="57"/>
              <w:rPr>
                <w:sz w:val="17"/>
              </w:rPr>
            </w:pPr>
            <w:r>
              <w:rPr>
                <w:w w:val="110"/>
                <w:sz w:val="20"/>
              </w:rPr>
              <w:t>sound and syllable</w:t>
            </w:r>
            <w:r>
              <w:rPr>
                <w:spacing w:val="17"/>
                <w:w w:val="110"/>
                <w:sz w:val="20"/>
              </w:rPr>
              <w:t xml:space="preserve"> </w:t>
            </w:r>
            <w:r>
              <w:rPr>
                <w:w w:val="110"/>
                <w:sz w:val="20"/>
              </w:rPr>
              <w:t>repetitions</w:t>
            </w:r>
          </w:p>
          <w:p w:rsidR="00E675F0" w:rsidRDefault="00E675F0" w:rsidP="003048D3">
            <w:pPr>
              <w:pStyle w:val="TableParagraph"/>
              <w:numPr>
                <w:ilvl w:val="2"/>
                <w:numId w:val="101"/>
              </w:numPr>
              <w:tabs>
                <w:tab w:val="left" w:pos="1377"/>
              </w:tabs>
              <w:spacing w:before="10"/>
              <w:ind w:hanging="422"/>
              <w:rPr>
                <w:sz w:val="20"/>
              </w:rPr>
            </w:pPr>
            <w:r>
              <w:rPr>
                <w:w w:val="110"/>
                <w:sz w:val="20"/>
              </w:rPr>
              <w:t>sound</w:t>
            </w:r>
            <w:r>
              <w:rPr>
                <w:spacing w:val="10"/>
                <w:w w:val="110"/>
                <w:sz w:val="20"/>
              </w:rPr>
              <w:t xml:space="preserve"> </w:t>
            </w:r>
            <w:r>
              <w:rPr>
                <w:w w:val="110"/>
                <w:sz w:val="20"/>
              </w:rPr>
              <w:t>prolongations</w:t>
            </w:r>
          </w:p>
          <w:p w:rsidR="00E675F0" w:rsidRDefault="00E675F0" w:rsidP="003048D3">
            <w:pPr>
              <w:pStyle w:val="TableParagraph"/>
              <w:numPr>
                <w:ilvl w:val="2"/>
                <w:numId w:val="101"/>
              </w:numPr>
              <w:tabs>
                <w:tab w:val="left" w:pos="1386"/>
              </w:tabs>
              <w:spacing w:before="15"/>
              <w:ind w:left="1385" w:hanging="427"/>
              <w:rPr>
                <w:sz w:val="20"/>
              </w:rPr>
            </w:pPr>
            <w:r>
              <w:rPr>
                <w:w w:val="105"/>
                <w:sz w:val="20"/>
              </w:rPr>
              <w:t>interjections</w:t>
            </w:r>
          </w:p>
          <w:p w:rsidR="00E675F0" w:rsidRDefault="00E675F0" w:rsidP="003048D3">
            <w:pPr>
              <w:pStyle w:val="TableParagraph"/>
              <w:numPr>
                <w:ilvl w:val="2"/>
                <w:numId w:val="101"/>
              </w:numPr>
              <w:tabs>
                <w:tab w:val="left" w:pos="1388"/>
              </w:tabs>
              <w:spacing w:before="11"/>
              <w:ind w:left="1387" w:hanging="433"/>
              <w:rPr>
                <w:sz w:val="20"/>
              </w:rPr>
            </w:pPr>
            <w:r>
              <w:rPr>
                <w:w w:val="105"/>
                <w:sz w:val="20"/>
              </w:rPr>
              <w:t>broken words (e.g., pauses within a</w:t>
            </w:r>
            <w:r>
              <w:rPr>
                <w:spacing w:val="46"/>
                <w:w w:val="105"/>
                <w:sz w:val="20"/>
              </w:rPr>
              <w:t xml:space="preserve"> </w:t>
            </w:r>
            <w:r>
              <w:rPr>
                <w:w w:val="105"/>
                <w:sz w:val="20"/>
              </w:rPr>
              <w:t>word)</w:t>
            </w:r>
          </w:p>
          <w:p w:rsidR="00E675F0" w:rsidRDefault="00E675F0" w:rsidP="003048D3">
            <w:pPr>
              <w:pStyle w:val="TableParagraph"/>
              <w:numPr>
                <w:ilvl w:val="2"/>
                <w:numId w:val="101"/>
              </w:numPr>
              <w:tabs>
                <w:tab w:val="left" w:pos="1380"/>
              </w:tabs>
              <w:spacing w:before="15"/>
              <w:ind w:left="1379" w:hanging="425"/>
              <w:rPr>
                <w:sz w:val="20"/>
              </w:rPr>
            </w:pPr>
            <w:r>
              <w:rPr>
                <w:w w:val="105"/>
                <w:sz w:val="20"/>
              </w:rPr>
              <w:t>audible or silent blocking (filled or unfilled pauses in</w:t>
            </w:r>
            <w:r>
              <w:rPr>
                <w:spacing w:val="43"/>
                <w:w w:val="105"/>
                <w:sz w:val="20"/>
              </w:rPr>
              <w:t xml:space="preserve"> </w:t>
            </w:r>
            <w:r>
              <w:rPr>
                <w:w w:val="105"/>
                <w:sz w:val="20"/>
              </w:rPr>
              <w:t>speech)</w:t>
            </w:r>
          </w:p>
          <w:p w:rsidR="00E675F0" w:rsidRDefault="00E675F0" w:rsidP="003048D3">
            <w:pPr>
              <w:pStyle w:val="TableParagraph"/>
              <w:numPr>
                <w:ilvl w:val="2"/>
                <w:numId w:val="101"/>
              </w:numPr>
              <w:tabs>
                <w:tab w:val="left" w:pos="1380"/>
              </w:tabs>
              <w:spacing w:before="10"/>
              <w:ind w:left="1379"/>
              <w:rPr>
                <w:sz w:val="20"/>
              </w:rPr>
            </w:pPr>
            <w:r>
              <w:rPr>
                <w:w w:val="105"/>
                <w:sz w:val="20"/>
              </w:rPr>
              <w:t>circumlocutions (word substitutions to avoid problematic</w:t>
            </w:r>
            <w:r>
              <w:rPr>
                <w:spacing w:val="-20"/>
                <w:w w:val="105"/>
                <w:sz w:val="20"/>
              </w:rPr>
              <w:t xml:space="preserve"> </w:t>
            </w:r>
            <w:r>
              <w:rPr>
                <w:w w:val="105"/>
                <w:sz w:val="20"/>
              </w:rPr>
              <w:t>words)</w:t>
            </w:r>
          </w:p>
          <w:p w:rsidR="00E675F0" w:rsidRDefault="00E675F0" w:rsidP="003048D3">
            <w:pPr>
              <w:pStyle w:val="TableParagraph"/>
              <w:numPr>
                <w:ilvl w:val="2"/>
                <w:numId w:val="101"/>
              </w:numPr>
              <w:tabs>
                <w:tab w:val="left" w:pos="1386"/>
              </w:tabs>
              <w:spacing w:before="15"/>
              <w:ind w:left="1385" w:hanging="427"/>
              <w:rPr>
                <w:sz w:val="20"/>
              </w:rPr>
            </w:pPr>
            <w:r>
              <w:rPr>
                <w:w w:val="110"/>
                <w:sz w:val="20"/>
              </w:rPr>
              <w:t>words produced with an excess of physical</w:t>
            </w:r>
            <w:r>
              <w:rPr>
                <w:spacing w:val="48"/>
                <w:w w:val="110"/>
                <w:sz w:val="20"/>
              </w:rPr>
              <w:t xml:space="preserve"> </w:t>
            </w:r>
            <w:r>
              <w:rPr>
                <w:w w:val="110"/>
                <w:sz w:val="20"/>
              </w:rPr>
              <w:t>tension</w:t>
            </w:r>
          </w:p>
          <w:p w:rsidR="00E675F0" w:rsidRDefault="00E675F0" w:rsidP="003048D3">
            <w:pPr>
              <w:pStyle w:val="TableParagraph"/>
              <w:numPr>
                <w:ilvl w:val="2"/>
                <w:numId w:val="101"/>
              </w:numPr>
              <w:tabs>
                <w:tab w:val="left" w:pos="1385"/>
              </w:tabs>
              <w:spacing w:before="15"/>
              <w:ind w:left="1384" w:hanging="430"/>
              <w:rPr>
                <w:sz w:val="20"/>
              </w:rPr>
            </w:pPr>
            <w:r>
              <w:rPr>
                <w:sz w:val="20"/>
              </w:rPr>
              <w:t>monosyllabic whole-word repetitions (e.g., "I-1-1-I see</w:t>
            </w:r>
            <w:r>
              <w:rPr>
                <w:spacing w:val="49"/>
                <w:sz w:val="20"/>
              </w:rPr>
              <w:t xml:space="preserve"> </w:t>
            </w:r>
            <w:r>
              <w:rPr>
                <w:sz w:val="20"/>
              </w:rPr>
              <w:t>him")</w:t>
            </w:r>
          </w:p>
          <w:p w:rsidR="00E675F0" w:rsidRDefault="00E675F0" w:rsidP="00A330E1">
            <w:pPr>
              <w:pStyle w:val="TableParagraph"/>
              <w:spacing w:before="7"/>
              <w:rPr>
                <w:sz w:val="17"/>
              </w:rPr>
            </w:pPr>
          </w:p>
          <w:p w:rsidR="00E675F0" w:rsidRDefault="00E675F0" w:rsidP="003048D3">
            <w:pPr>
              <w:pStyle w:val="TableParagraph"/>
              <w:numPr>
                <w:ilvl w:val="1"/>
                <w:numId w:val="101"/>
              </w:numPr>
              <w:tabs>
                <w:tab w:val="left" w:pos="953"/>
              </w:tabs>
              <w:spacing w:line="249" w:lineRule="auto"/>
              <w:ind w:left="961" w:right="243" w:hanging="305"/>
              <w:jc w:val="both"/>
              <w:rPr>
                <w:sz w:val="20"/>
              </w:rPr>
            </w:pPr>
            <w:r>
              <w:rPr>
                <w:w w:val="105"/>
                <w:sz w:val="20"/>
              </w:rPr>
              <w:t>The disturbance in fluency interferes with academic or occupational achievement or with social</w:t>
            </w:r>
            <w:r>
              <w:rPr>
                <w:spacing w:val="-5"/>
                <w:w w:val="105"/>
                <w:sz w:val="20"/>
              </w:rPr>
              <w:t xml:space="preserve"> </w:t>
            </w:r>
            <w:r>
              <w:rPr>
                <w:w w:val="105"/>
                <w:sz w:val="20"/>
              </w:rPr>
              <w:t>communication.</w:t>
            </w:r>
          </w:p>
          <w:p w:rsidR="00E675F0" w:rsidRDefault="00E675F0" w:rsidP="003048D3">
            <w:pPr>
              <w:pStyle w:val="TableParagraph"/>
              <w:numPr>
                <w:ilvl w:val="1"/>
                <w:numId w:val="101"/>
              </w:numPr>
              <w:tabs>
                <w:tab w:val="left" w:pos="963"/>
              </w:tabs>
              <w:spacing w:before="181" w:line="252" w:lineRule="auto"/>
              <w:ind w:left="961" w:right="239" w:hanging="305"/>
              <w:jc w:val="both"/>
              <w:rPr>
                <w:rFonts w:ascii="Arial"/>
                <w:sz w:val="17"/>
              </w:rPr>
            </w:pPr>
            <w:r>
              <w:rPr>
                <w:w w:val="105"/>
                <w:sz w:val="21"/>
              </w:rPr>
              <w:t xml:space="preserve">If </w:t>
            </w:r>
            <w:r>
              <w:rPr>
                <w:w w:val="105"/>
                <w:sz w:val="20"/>
              </w:rPr>
              <w:t>a speech-motor or sensory deficit is present, the speech difficulties are in excess of those usually associated with these</w:t>
            </w:r>
            <w:r>
              <w:rPr>
                <w:spacing w:val="19"/>
                <w:w w:val="105"/>
                <w:sz w:val="20"/>
              </w:rPr>
              <w:t xml:space="preserve"> </w:t>
            </w:r>
            <w:r>
              <w:rPr>
                <w:w w:val="105"/>
                <w:sz w:val="20"/>
              </w:rPr>
              <w:t>problems.</w:t>
            </w:r>
          </w:p>
          <w:p w:rsidR="00E675F0" w:rsidRDefault="00E675F0" w:rsidP="00A330E1">
            <w:pPr>
              <w:pStyle w:val="TableParagraph"/>
              <w:spacing w:before="157" w:line="259" w:lineRule="auto"/>
              <w:ind w:left="660" w:right="296" w:hanging="13"/>
              <w:rPr>
                <w:sz w:val="17"/>
              </w:rPr>
            </w:pPr>
            <w:r>
              <w:rPr>
                <w:b/>
                <w:w w:val="110"/>
                <w:sz w:val="17"/>
              </w:rPr>
              <w:t xml:space="preserve">Coding note: </w:t>
            </w:r>
            <w:r>
              <w:rPr>
                <w:w w:val="110"/>
                <w:sz w:val="17"/>
              </w:rPr>
              <w:t>If a speech-motor or sensory deficit or a neurological condition is present, code the condition on Axis III.</w:t>
            </w:r>
          </w:p>
        </w:tc>
      </w:tr>
    </w:tbl>
    <w:p w:rsidR="00E675F0" w:rsidRDefault="00E675F0" w:rsidP="00E675F0">
      <w:pPr>
        <w:pStyle w:val="BodyText"/>
      </w:pPr>
    </w:p>
    <w:p w:rsidR="00E675F0" w:rsidRDefault="00E675F0" w:rsidP="00E675F0">
      <w:pPr>
        <w:pStyle w:val="BodyText"/>
      </w:pPr>
    </w:p>
    <w:p w:rsidR="00E675F0" w:rsidRDefault="00E675F0" w:rsidP="00E675F0">
      <w:pPr>
        <w:pStyle w:val="BodyText"/>
        <w:spacing w:before="9"/>
      </w:pPr>
    </w:p>
    <w:p w:rsidR="00E675F0" w:rsidRDefault="00E675F0" w:rsidP="00E675F0">
      <w:pPr>
        <w:tabs>
          <w:tab w:val="left" w:pos="2765"/>
        </w:tabs>
        <w:spacing w:before="92" w:line="261" w:lineRule="auto"/>
        <w:ind w:left="2326" w:right="1824" w:hanging="478"/>
        <w:rPr>
          <w:rFonts w:ascii="Arial"/>
          <w:b/>
          <w:sz w:val="25"/>
        </w:rPr>
      </w:pPr>
      <w:r>
        <w:rPr>
          <w:noProof/>
        </w:rPr>
        <mc:AlternateContent>
          <mc:Choice Requires="wpg">
            <w:drawing>
              <wp:anchor distT="0" distB="0" distL="114300" distR="114300" simplePos="0" relativeHeight="251757568" behindDoc="1" locked="0" layoutInCell="1" allowOverlap="1" wp14:anchorId="37D356ED" wp14:editId="41BA9B30">
                <wp:simplePos x="0" y="0"/>
                <wp:positionH relativeFrom="page">
                  <wp:posOffset>440055</wp:posOffset>
                </wp:positionH>
                <wp:positionV relativeFrom="paragraph">
                  <wp:posOffset>-4041140</wp:posOffset>
                </wp:positionV>
                <wp:extent cx="4765675" cy="3638550"/>
                <wp:effectExtent l="0" t="0" r="9525" b="0"/>
                <wp:wrapNone/>
                <wp:docPr id="1608" name="Group 1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5675" cy="3638550"/>
                          <a:chOff x="693" y="-6364"/>
                          <a:chExt cx="7505" cy="5730"/>
                        </a:xfrm>
                      </wpg:grpSpPr>
                      <wps:wsp>
                        <wps:cNvPr id="1609" name="Line 1566"/>
                        <wps:cNvCnPr>
                          <a:cxnSpLocks/>
                        </wps:cNvCnPr>
                        <wps:spPr bwMode="auto">
                          <a:xfrm>
                            <a:off x="784" y="-635"/>
                            <a:ext cx="0" cy="0"/>
                          </a:xfrm>
                          <a:prstGeom prst="line">
                            <a:avLst/>
                          </a:prstGeom>
                          <a:noFill/>
                          <a:ln w="336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0" name="Line 1565"/>
                        <wps:cNvCnPr>
                          <a:cxnSpLocks/>
                        </wps:cNvCnPr>
                        <wps:spPr bwMode="auto">
                          <a:xfrm>
                            <a:off x="693" y="-6292"/>
                            <a:ext cx="7504" cy="0"/>
                          </a:xfrm>
                          <a:prstGeom prst="line">
                            <a:avLst/>
                          </a:prstGeom>
                          <a:noFill/>
                          <a:ln w="3052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BD87F1" id="Group 1564" o:spid="_x0000_s1026" style="position:absolute;margin-left:34.65pt;margin-top:-318.2pt;width:375.25pt;height:286.5pt;z-index:-251558912;mso-position-horizontal-relative:page" coordorigin="693,-6364" coordsize="7505,57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">
                <v:line id="Line 1566" o:spid="_x0000_s1027" style="position:absolute;visibility:visible;mso-wrap-style:square" from="784,-635" to="784,-6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" strokeweight=".93333mm">
                  <o:lock v:ext="edit" shapetype="f"/>
                </v:line>
                <v:line id="Line 1565" o:spid="_x0000_s1028" style="position:absolute;visibility:visible;mso-wrap-style:square" from="693,-6292" to="8197,-62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" strokeweight=".84781mm">
                  <o:lock v:ext="edit" shapetype="f"/>
                </v:line>
                <w10:wrap anchorx="page"/>
              </v:group>
            </w:pict>
          </mc:Fallback>
        </mc:AlternateContent>
      </w:r>
      <w:r>
        <w:rPr>
          <w:rFonts w:ascii="Arial"/>
          <w:b/>
          <w:w w:val="105"/>
          <w:sz w:val="25"/>
        </w:rPr>
        <w:t>307.9</w:t>
      </w:r>
      <w:r>
        <w:rPr>
          <w:rFonts w:ascii="Arial"/>
          <w:b/>
          <w:w w:val="105"/>
          <w:sz w:val="25"/>
        </w:rPr>
        <w:tab/>
        <w:t>Communication</w:t>
      </w:r>
      <w:r>
        <w:rPr>
          <w:rFonts w:ascii="Arial"/>
          <w:b/>
          <w:spacing w:val="-19"/>
          <w:w w:val="105"/>
          <w:sz w:val="25"/>
        </w:rPr>
        <w:t xml:space="preserve"> </w:t>
      </w:r>
      <w:r>
        <w:rPr>
          <w:rFonts w:ascii="Arial"/>
          <w:b/>
          <w:w w:val="105"/>
          <w:sz w:val="25"/>
        </w:rPr>
        <w:t>Disorder Not Otherwise</w:t>
      </w:r>
      <w:r>
        <w:rPr>
          <w:rFonts w:ascii="Arial"/>
          <w:b/>
          <w:spacing w:val="19"/>
          <w:w w:val="105"/>
          <w:sz w:val="25"/>
        </w:rPr>
        <w:t xml:space="preserve"> </w:t>
      </w:r>
      <w:r>
        <w:rPr>
          <w:rFonts w:ascii="Arial"/>
          <w:b/>
          <w:w w:val="105"/>
          <w:sz w:val="25"/>
        </w:rPr>
        <w:t>Specified</w:t>
      </w:r>
    </w:p>
    <w:p w:rsidR="00E675F0" w:rsidRDefault="00E675F0" w:rsidP="00E675F0">
      <w:pPr>
        <w:pStyle w:val="BodyText"/>
        <w:spacing w:before="234" w:line="244" w:lineRule="auto"/>
        <w:ind w:left="143" w:right="114" w:hanging="9"/>
        <w:jc w:val="both"/>
      </w:pPr>
      <w:r>
        <w:rPr>
          <w:w w:val="105"/>
        </w:rPr>
        <w:t>This category is for disorders in communication that do not meet criteria for any specific Communication Disorder; for example, a voice disorder (i.e., an abnormality of vocal pitch, loudness, quality, tone, or resonance).</w:t>
      </w:r>
    </w:p>
    <w:p w:rsidR="00E675F0" w:rsidRDefault="00E675F0" w:rsidP="00E675F0">
      <w:pPr>
        <w:pStyle w:val="BodyText"/>
      </w:pPr>
    </w:p>
    <w:p w:rsidR="00E675F0" w:rsidRDefault="00E675F0" w:rsidP="00E675F0">
      <w:pPr>
        <w:pStyle w:val="BodyText"/>
        <w:spacing w:before="3"/>
        <w:rPr>
          <w:sz w:val="23"/>
        </w:rPr>
      </w:pPr>
      <w:r>
        <w:rPr>
          <w:noProof/>
        </w:rPr>
        <mc:AlternateContent>
          <mc:Choice Requires="wps">
            <w:drawing>
              <wp:anchor distT="0" distB="0" distL="0" distR="0" simplePos="0" relativeHeight="251842560" behindDoc="1" locked="0" layoutInCell="1" allowOverlap="1" wp14:anchorId="2EE05927" wp14:editId="6FC90967">
                <wp:simplePos x="0" y="0"/>
                <wp:positionH relativeFrom="page">
                  <wp:posOffset>452120</wp:posOffset>
                </wp:positionH>
                <wp:positionV relativeFrom="paragraph">
                  <wp:posOffset>200025</wp:posOffset>
                </wp:positionV>
                <wp:extent cx="794385" cy="1270"/>
                <wp:effectExtent l="0" t="0" r="5715" b="0"/>
                <wp:wrapTopAndBottom/>
                <wp:docPr id="1607" name="Freeform 15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4385" cy="1270"/>
                        </a:xfrm>
                        <a:custGeom>
                          <a:avLst/>
                          <a:gdLst>
                            <a:gd name="T0" fmla="+- 0 712 712"/>
                            <a:gd name="T1" fmla="*/ T0 w 1251"/>
                            <a:gd name="T2" fmla="+- 0 1963 712"/>
                            <a:gd name="T3" fmla="*/ T2 w 1251"/>
                          </a:gdLst>
                          <a:ahLst/>
                          <a:cxnLst>
                            <a:cxn ang="0">
                              <a:pos x="T1" y="0"/>
                            </a:cxn>
                            <a:cxn ang="0">
                              <a:pos x="T3" y="0"/>
                            </a:cxn>
                          </a:cxnLst>
                          <a:rect l="0" t="0" r="r" b="b"/>
                          <a:pathLst>
                            <a:path w="1251">
                              <a:moveTo>
                                <a:pt x="0" y="0"/>
                              </a:moveTo>
                              <a:lnTo>
                                <a:pt x="1251" y="0"/>
                              </a:lnTo>
                            </a:path>
                          </a:pathLst>
                        </a:custGeom>
                        <a:noFill/>
                        <a:ln w="915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E5F73" id="Freeform 1563" o:spid="_x0000_s1026" style="position:absolute;margin-left:35.6pt;margin-top:15.75pt;width:62.55pt;height:.1pt;z-index:-251473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5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" path="m,l1251,e" filled="f" strokeweight=".25433mm">
                <v:path arrowok="t" o:connecttype="custom" o:connectlocs="0,0;794385,0" o:connectangles="0,0"/>
                <w10:wrap type="topAndBottom" anchorx="page"/>
              </v:shape>
            </w:pict>
          </mc:Fallback>
        </mc:AlternateContent>
      </w:r>
      <w:r>
        <w:rPr>
          <w:noProof/>
        </w:rPr>
        <mc:AlternateContent>
          <mc:Choice Requires="wps">
            <w:drawing>
              <wp:anchor distT="0" distB="0" distL="0" distR="0" simplePos="0" relativeHeight="251843584" behindDoc="1" locked="0" layoutInCell="1" allowOverlap="1" wp14:anchorId="0E7AA543" wp14:editId="1222C419">
                <wp:simplePos x="0" y="0"/>
                <wp:positionH relativeFrom="page">
                  <wp:posOffset>4459605</wp:posOffset>
                </wp:positionH>
                <wp:positionV relativeFrom="paragraph">
                  <wp:posOffset>200025</wp:posOffset>
                </wp:positionV>
                <wp:extent cx="745490" cy="1270"/>
                <wp:effectExtent l="0" t="0" r="3810" b="0"/>
                <wp:wrapTopAndBottom/>
                <wp:docPr id="1606" name="Freeform 15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5490" cy="1270"/>
                        </a:xfrm>
                        <a:custGeom>
                          <a:avLst/>
                          <a:gdLst>
                            <a:gd name="T0" fmla="+- 0 7023 7023"/>
                            <a:gd name="T1" fmla="*/ T0 w 1174"/>
                            <a:gd name="T2" fmla="+- 0 8197 7023"/>
                            <a:gd name="T3" fmla="*/ T2 w 1174"/>
                          </a:gdLst>
                          <a:ahLst/>
                          <a:cxnLst>
                            <a:cxn ang="0">
                              <a:pos x="T1" y="0"/>
                            </a:cxn>
                            <a:cxn ang="0">
                              <a:pos x="T3" y="0"/>
                            </a:cxn>
                          </a:cxnLst>
                          <a:rect l="0" t="0" r="r" b="b"/>
                          <a:pathLst>
                            <a:path w="1174">
                              <a:moveTo>
                                <a:pt x="0" y="0"/>
                              </a:moveTo>
                              <a:lnTo>
                                <a:pt x="1174" y="0"/>
                              </a:lnTo>
                            </a:path>
                          </a:pathLst>
                        </a:custGeom>
                        <a:noFill/>
                        <a:ln w="61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9D954" id="Freeform 1562" o:spid="_x0000_s1026" style="position:absolute;margin-left:351.15pt;margin-top:15.75pt;width:58.7pt;height:.1pt;z-index:-251472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74,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" path="m,l1174,e" filled="f" strokeweight=".16956mm">
                <v:path arrowok="t" o:connecttype="custom" o:connectlocs="0,0;745490,0" o:connectangles="0,0"/>
                <w10:wrap type="topAndBottom" anchorx="page"/>
              </v:shape>
            </w:pict>
          </mc:Fallback>
        </mc:AlternateContent>
      </w:r>
    </w:p>
    <w:p w:rsidR="00E675F0" w:rsidRDefault="00E675F0" w:rsidP="00E675F0">
      <w:pPr>
        <w:spacing w:before="103"/>
        <w:ind w:left="136" w:right="111"/>
        <w:jc w:val="center"/>
        <w:rPr>
          <w:rFonts w:ascii="Arial"/>
          <w:b/>
          <w:sz w:val="25"/>
        </w:rPr>
      </w:pPr>
      <w:r>
        <w:rPr>
          <w:rFonts w:ascii="Arial"/>
          <w:b/>
          <w:color w:val="161616"/>
          <w:w w:val="105"/>
          <w:sz w:val="25"/>
        </w:rPr>
        <w:t>Pervasive Developmental Disorders</w:t>
      </w:r>
    </w:p>
    <w:p w:rsidR="00E675F0" w:rsidRDefault="00E675F0" w:rsidP="00E675F0">
      <w:pPr>
        <w:pStyle w:val="BodyText"/>
        <w:spacing w:before="8"/>
        <w:rPr>
          <w:rFonts w:ascii="Arial"/>
          <w:b/>
          <w:sz w:val="24"/>
        </w:rPr>
      </w:pPr>
    </w:p>
    <w:p w:rsidR="00E675F0" w:rsidRDefault="00E675F0" w:rsidP="00E675F0">
      <w:pPr>
        <w:pStyle w:val="BodyText"/>
        <w:spacing w:line="254" w:lineRule="auto"/>
        <w:ind w:left="136" w:right="105" w:firstLine="6"/>
        <w:jc w:val="both"/>
      </w:pPr>
      <w:r>
        <w:rPr>
          <w:w w:val="105"/>
        </w:rPr>
        <w:t>Pervasive Developmental Disorders are characterized by severe and pervasive impair­ ment</w:t>
      </w:r>
      <w:r>
        <w:rPr>
          <w:spacing w:val="-10"/>
          <w:w w:val="105"/>
        </w:rPr>
        <w:t xml:space="preserve"> </w:t>
      </w:r>
      <w:r>
        <w:rPr>
          <w:w w:val="105"/>
        </w:rPr>
        <w:t>in</w:t>
      </w:r>
      <w:r>
        <w:rPr>
          <w:spacing w:val="-15"/>
          <w:w w:val="105"/>
        </w:rPr>
        <w:t xml:space="preserve"> </w:t>
      </w:r>
      <w:r>
        <w:rPr>
          <w:w w:val="105"/>
        </w:rPr>
        <w:t>several</w:t>
      </w:r>
      <w:r>
        <w:rPr>
          <w:spacing w:val="-8"/>
          <w:w w:val="105"/>
        </w:rPr>
        <w:t xml:space="preserve"> </w:t>
      </w:r>
      <w:r>
        <w:rPr>
          <w:w w:val="105"/>
        </w:rPr>
        <w:t>areas</w:t>
      </w:r>
      <w:r>
        <w:rPr>
          <w:spacing w:val="-12"/>
          <w:w w:val="105"/>
        </w:rPr>
        <w:t xml:space="preserve"> </w:t>
      </w:r>
      <w:r>
        <w:rPr>
          <w:w w:val="105"/>
        </w:rPr>
        <w:t>of</w:t>
      </w:r>
      <w:r>
        <w:rPr>
          <w:spacing w:val="-8"/>
          <w:w w:val="105"/>
        </w:rPr>
        <w:t xml:space="preserve"> </w:t>
      </w:r>
      <w:r>
        <w:rPr>
          <w:w w:val="105"/>
        </w:rPr>
        <w:t>development:</w:t>
      </w:r>
      <w:r>
        <w:rPr>
          <w:spacing w:val="-1"/>
          <w:w w:val="105"/>
        </w:rPr>
        <w:t xml:space="preserve"> </w:t>
      </w:r>
      <w:r>
        <w:rPr>
          <w:w w:val="105"/>
        </w:rPr>
        <w:t>reciprocal</w:t>
      </w:r>
      <w:r>
        <w:rPr>
          <w:spacing w:val="-6"/>
          <w:w w:val="105"/>
        </w:rPr>
        <w:t xml:space="preserve"> </w:t>
      </w:r>
      <w:r>
        <w:rPr>
          <w:w w:val="105"/>
        </w:rPr>
        <w:t>social</w:t>
      </w:r>
      <w:r>
        <w:rPr>
          <w:spacing w:val="-8"/>
          <w:w w:val="105"/>
        </w:rPr>
        <w:t xml:space="preserve"> </w:t>
      </w:r>
      <w:r>
        <w:rPr>
          <w:w w:val="105"/>
        </w:rPr>
        <w:t>interaction</w:t>
      </w:r>
      <w:r>
        <w:rPr>
          <w:spacing w:val="-4"/>
          <w:w w:val="105"/>
        </w:rPr>
        <w:t xml:space="preserve"> </w:t>
      </w:r>
      <w:r>
        <w:rPr>
          <w:w w:val="105"/>
        </w:rPr>
        <w:t>skills,</w:t>
      </w:r>
      <w:r>
        <w:rPr>
          <w:spacing w:val="-10"/>
          <w:w w:val="105"/>
        </w:rPr>
        <w:t xml:space="preserve"> </w:t>
      </w:r>
      <w:r>
        <w:rPr>
          <w:w w:val="105"/>
        </w:rPr>
        <w:t>communication skills, or the presence of stereotyped behavior, interests, and activities. The qualitative impairments that define these conditions are distinctly deviant relative to the individual's developmental level or mental age. This section contains Autistic Disorder, Rett's Disorder, Childhood Disintegrative Disorder, Asperger's Disorder, and Pervasive Devel­ opmental Disorder Not Otherwise Specified. These disorders are usually evident in the first</w:t>
      </w:r>
      <w:r>
        <w:rPr>
          <w:spacing w:val="-19"/>
          <w:w w:val="105"/>
        </w:rPr>
        <w:t xml:space="preserve"> </w:t>
      </w:r>
      <w:r>
        <w:rPr>
          <w:w w:val="105"/>
        </w:rPr>
        <w:t>years</w:t>
      </w:r>
      <w:r>
        <w:rPr>
          <w:spacing w:val="-12"/>
          <w:w w:val="105"/>
        </w:rPr>
        <w:t xml:space="preserve"> </w:t>
      </w:r>
      <w:r>
        <w:rPr>
          <w:w w:val="105"/>
        </w:rPr>
        <w:t>of</w:t>
      </w:r>
      <w:r>
        <w:rPr>
          <w:spacing w:val="-8"/>
          <w:w w:val="105"/>
        </w:rPr>
        <w:t xml:space="preserve"> </w:t>
      </w:r>
      <w:r>
        <w:rPr>
          <w:w w:val="105"/>
        </w:rPr>
        <w:t>life</w:t>
      </w:r>
      <w:r>
        <w:rPr>
          <w:spacing w:val="-12"/>
          <w:w w:val="105"/>
        </w:rPr>
        <w:t xml:space="preserve"> </w:t>
      </w:r>
      <w:r>
        <w:rPr>
          <w:w w:val="105"/>
        </w:rPr>
        <w:t>and</w:t>
      </w:r>
      <w:r>
        <w:rPr>
          <w:spacing w:val="-10"/>
          <w:w w:val="105"/>
        </w:rPr>
        <w:t xml:space="preserve"> </w:t>
      </w:r>
      <w:r>
        <w:rPr>
          <w:w w:val="105"/>
        </w:rPr>
        <w:t>are</w:t>
      </w:r>
      <w:r>
        <w:rPr>
          <w:spacing w:val="-18"/>
          <w:w w:val="105"/>
        </w:rPr>
        <w:t xml:space="preserve"> </w:t>
      </w:r>
      <w:r>
        <w:rPr>
          <w:w w:val="105"/>
        </w:rPr>
        <w:t>often</w:t>
      </w:r>
      <w:r>
        <w:rPr>
          <w:spacing w:val="-8"/>
          <w:w w:val="105"/>
        </w:rPr>
        <w:t xml:space="preserve"> </w:t>
      </w:r>
      <w:r>
        <w:rPr>
          <w:w w:val="105"/>
        </w:rPr>
        <w:t>associated</w:t>
      </w:r>
      <w:r>
        <w:rPr>
          <w:spacing w:val="-2"/>
          <w:w w:val="105"/>
        </w:rPr>
        <w:t xml:space="preserve"> </w:t>
      </w:r>
      <w:r>
        <w:rPr>
          <w:w w:val="105"/>
        </w:rPr>
        <w:t>with</w:t>
      </w:r>
      <w:r>
        <w:rPr>
          <w:spacing w:val="-13"/>
          <w:w w:val="105"/>
        </w:rPr>
        <w:t xml:space="preserve"> </w:t>
      </w:r>
      <w:r>
        <w:rPr>
          <w:w w:val="105"/>
        </w:rPr>
        <w:t>some</w:t>
      </w:r>
      <w:r>
        <w:rPr>
          <w:spacing w:val="-15"/>
          <w:w w:val="105"/>
        </w:rPr>
        <w:t xml:space="preserve"> </w:t>
      </w:r>
      <w:r>
        <w:rPr>
          <w:w w:val="105"/>
        </w:rPr>
        <w:t>degree</w:t>
      </w:r>
      <w:r>
        <w:rPr>
          <w:spacing w:val="-15"/>
          <w:w w:val="105"/>
        </w:rPr>
        <w:t xml:space="preserve"> </w:t>
      </w:r>
      <w:r>
        <w:rPr>
          <w:w w:val="105"/>
        </w:rPr>
        <w:t>of</w:t>
      </w:r>
      <w:r>
        <w:rPr>
          <w:spacing w:val="-8"/>
          <w:w w:val="105"/>
        </w:rPr>
        <w:t xml:space="preserve"> </w:t>
      </w:r>
      <w:r>
        <w:rPr>
          <w:w w:val="105"/>
        </w:rPr>
        <w:t>Mental</w:t>
      </w:r>
      <w:r>
        <w:rPr>
          <w:spacing w:val="-6"/>
          <w:w w:val="105"/>
        </w:rPr>
        <w:t xml:space="preserve"> </w:t>
      </w:r>
      <w:r>
        <w:rPr>
          <w:w w:val="105"/>
        </w:rPr>
        <w:t>Retardation,</w:t>
      </w:r>
      <w:r>
        <w:rPr>
          <w:spacing w:val="3"/>
          <w:w w:val="105"/>
        </w:rPr>
        <w:t xml:space="preserve"> </w:t>
      </w:r>
      <w:r>
        <w:rPr>
          <w:w w:val="105"/>
        </w:rPr>
        <w:t>which, if present, should be coded on Axis II. The Pervasive Developmental Disorders are sometimes observed with a diverse group of other general medical conditions (e.g., chromosomal</w:t>
      </w:r>
      <w:r>
        <w:rPr>
          <w:spacing w:val="-2"/>
          <w:w w:val="105"/>
        </w:rPr>
        <w:t xml:space="preserve"> </w:t>
      </w:r>
      <w:r>
        <w:rPr>
          <w:w w:val="105"/>
        </w:rPr>
        <w:t>abnormalities,</w:t>
      </w:r>
      <w:r>
        <w:rPr>
          <w:spacing w:val="-10"/>
          <w:w w:val="105"/>
        </w:rPr>
        <w:t xml:space="preserve"> </w:t>
      </w:r>
      <w:r>
        <w:rPr>
          <w:w w:val="105"/>
        </w:rPr>
        <w:t>congenital</w:t>
      </w:r>
      <w:r>
        <w:rPr>
          <w:spacing w:val="-4"/>
          <w:w w:val="105"/>
        </w:rPr>
        <w:t xml:space="preserve"> </w:t>
      </w:r>
      <w:r>
        <w:rPr>
          <w:w w:val="105"/>
        </w:rPr>
        <w:t>infections,</w:t>
      </w:r>
      <w:r>
        <w:rPr>
          <w:spacing w:val="-4"/>
          <w:w w:val="105"/>
        </w:rPr>
        <w:t xml:space="preserve"> </w:t>
      </w:r>
      <w:r>
        <w:rPr>
          <w:w w:val="105"/>
        </w:rPr>
        <w:t>structural</w:t>
      </w:r>
      <w:r>
        <w:rPr>
          <w:spacing w:val="-6"/>
          <w:w w:val="105"/>
        </w:rPr>
        <w:t xml:space="preserve"> </w:t>
      </w:r>
      <w:r>
        <w:rPr>
          <w:w w:val="105"/>
        </w:rPr>
        <w:t>abnormalities</w:t>
      </w:r>
      <w:r>
        <w:rPr>
          <w:spacing w:val="-1"/>
          <w:w w:val="105"/>
        </w:rPr>
        <w:t xml:space="preserve"> </w:t>
      </w:r>
      <w:r>
        <w:rPr>
          <w:w w:val="105"/>
        </w:rPr>
        <w:t>of</w:t>
      </w:r>
      <w:r>
        <w:rPr>
          <w:spacing w:val="-4"/>
          <w:w w:val="105"/>
        </w:rPr>
        <w:t xml:space="preserve"> </w:t>
      </w:r>
      <w:r>
        <w:rPr>
          <w:w w:val="105"/>
        </w:rPr>
        <w:t>the</w:t>
      </w:r>
      <w:r>
        <w:rPr>
          <w:spacing w:val="-15"/>
          <w:w w:val="105"/>
        </w:rPr>
        <w:t xml:space="preserve"> </w:t>
      </w:r>
      <w:r>
        <w:rPr>
          <w:w w:val="105"/>
        </w:rPr>
        <w:t>central</w:t>
      </w:r>
    </w:p>
    <w:p w:rsidR="00E675F0" w:rsidRDefault="00E675F0" w:rsidP="00E675F0">
      <w:pPr>
        <w:spacing w:line="254" w:lineRule="auto"/>
        <w:jc w:val="both"/>
        <w:sectPr w:rsidR="00E675F0">
          <w:headerReference w:type="even" r:id="rId75"/>
          <w:headerReference w:type="default" r:id="rId76"/>
          <w:pgSz w:w="8960" w:h="14260"/>
          <w:pgMar w:top="1400" w:right="660" w:bottom="280" w:left="580" w:header="702" w:footer="0" w:gutter="0"/>
          <w:pgNumType w:start="65"/>
          <w:cols w:space="720"/>
        </w:sectPr>
      </w:pPr>
    </w:p>
    <w:p w:rsidR="00E675F0" w:rsidRDefault="00E675F0" w:rsidP="00E675F0">
      <w:pPr>
        <w:pStyle w:val="BodyText"/>
        <w:spacing w:line="20" w:lineRule="exact"/>
        <w:ind w:left="136"/>
        <w:rPr>
          <w:sz w:val="2"/>
        </w:rPr>
      </w:pPr>
      <w:r>
        <w:rPr>
          <w:noProof/>
          <w:sz w:val="2"/>
        </w:rPr>
        <w:lastRenderedPageBreak/>
        <mc:AlternateContent>
          <mc:Choice Requires="wpg">
            <w:drawing>
              <wp:inline distT="0" distB="0" distL="0" distR="0" wp14:anchorId="5AC9B4DE" wp14:editId="072C94EC">
                <wp:extent cx="4753610" cy="6350"/>
                <wp:effectExtent l="0" t="0" r="0" b="0"/>
                <wp:docPr id="1604" name="Group 1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3610" cy="6350"/>
                          <a:chOff x="0" y="0"/>
                          <a:chExt cx="7486" cy="10"/>
                        </a:xfrm>
                      </wpg:grpSpPr>
                      <wps:wsp>
                        <wps:cNvPr id="1605" name="Line 1561"/>
                        <wps:cNvCnPr>
                          <a:cxnSpLocks/>
                        </wps:cNvCnPr>
                        <wps:spPr bwMode="auto">
                          <a:xfrm>
                            <a:off x="0" y="5"/>
                            <a:ext cx="7485" cy="0"/>
                          </a:xfrm>
                          <a:prstGeom prst="line">
                            <a:avLst/>
                          </a:prstGeom>
                          <a:noFill/>
                          <a:ln w="610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EC69226" id="Group 1560" o:spid="_x0000_s1026" style="width:374.3pt;height:.5pt;mso-position-horizontal-relative:char;mso-position-vertical-relative:line" coordsize="7486,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">
                <v:line id="Line 1561" o:spid="_x0000_s1027" style="position:absolute;visibility:visible;mso-wrap-style:square" from="0,5" to="748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" strokeweight=".16958mm">
                  <o:lock v:ext="edit" shapetype="f"/>
                </v:line>
                <w10:anchorlock/>
              </v:group>
            </w:pict>
          </mc:Fallback>
        </mc:AlternateContent>
      </w:r>
    </w:p>
    <w:p w:rsidR="00E675F0" w:rsidRDefault="00E675F0" w:rsidP="00E675F0">
      <w:pPr>
        <w:pStyle w:val="BodyText"/>
      </w:pPr>
    </w:p>
    <w:p w:rsidR="00E675F0" w:rsidRDefault="00E675F0" w:rsidP="00E675F0">
      <w:pPr>
        <w:pStyle w:val="BodyText"/>
        <w:spacing w:before="1"/>
      </w:pPr>
    </w:p>
    <w:p w:rsidR="00E675F0" w:rsidRDefault="00E675F0" w:rsidP="00E675F0">
      <w:pPr>
        <w:pStyle w:val="BodyText"/>
        <w:spacing w:before="92" w:line="254" w:lineRule="auto"/>
        <w:ind w:left="138" w:right="114" w:firstLine="11"/>
        <w:jc w:val="both"/>
      </w:pPr>
      <w:bookmarkStart w:id="43" w:name="_bookmark28"/>
      <w:bookmarkEnd w:id="43"/>
      <w:r>
        <w:rPr>
          <w:w w:val="105"/>
        </w:rPr>
        <w:t>nervous system). If such conditions are present, they should be noted on Axis III. Although terms like "psychosis" and "childhood schizophrenia" were once used to refer to individuals with these conditions, there is considerable evidence to suggest that the Pervasive Developmental Disorders are distinct from Schizophrenia (however, an individual with Pervasive Developmental Disorder may occasionally later develop Schizophrenia).</w:t>
      </w:r>
    </w:p>
    <w:p w:rsidR="00E675F0" w:rsidRDefault="00E675F0" w:rsidP="00E675F0">
      <w:pPr>
        <w:pStyle w:val="BodyText"/>
        <w:rPr>
          <w:sz w:val="22"/>
        </w:rPr>
      </w:pPr>
    </w:p>
    <w:p w:rsidR="00E675F0" w:rsidRDefault="00E675F0" w:rsidP="00E675F0">
      <w:pPr>
        <w:pStyle w:val="BodyText"/>
        <w:spacing w:before="4"/>
        <w:rPr>
          <w:sz w:val="17"/>
        </w:rPr>
      </w:pPr>
    </w:p>
    <w:p w:rsidR="00E675F0" w:rsidRDefault="00E675F0" w:rsidP="00E675F0">
      <w:pPr>
        <w:tabs>
          <w:tab w:val="left" w:pos="1101"/>
        </w:tabs>
        <w:ind w:left="33"/>
        <w:jc w:val="center"/>
        <w:rPr>
          <w:b/>
          <w:sz w:val="28"/>
        </w:rPr>
      </w:pPr>
      <w:r>
        <w:rPr>
          <w:b/>
          <w:sz w:val="28"/>
        </w:rPr>
        <w:t>299.00</w:t>
      </w:r>
      <w:r>
        <w:rPr>
          <w:b/>
          <w:sz w:val="28"/>
        </w:rPr>
        <w:tab/>
        <w:t>Autistic</w:t>
      </w:r>
      <w:r>
        <w:rPr>
          <w:b/>
          <w:spacing w:val="27"/>
          <w:sz w:val="28"/>
        </w:rPr>
        <w:t xml:space="preserve"> </w:t>
      </w:r>
      <w:r>
        <w:rPr>
          <w:b/>
          <w:sz w:val="28"/>
        </w:rPr>
        <w:t>Disorder</w:t>
      </w:r>
    </w:p>
    <w:p w:rsidR="00E675F0" w:rsidRDefault="00E675F0" w:rsidP="00E675F0">
      <w:pPr>
        <w:pStyle w:val="BodyText"/>
        <w:spacing w:before="2"/>
        <w:rPr>
          <w:b/>
          <w:sz w:val="24"/>
        </w:rPr>
      </w:pPr>
    </w:p>
    <w:p w:rsidR="00E675F0" w:rsidRDefault="00E675F0" w:rsidP="00E675F0">
      <w:pPr>
        <w:ind w:left="119"/>
        <w:jc w:val="both"/>
        <w:rPr>
          <w:rFonts w:ascii="TimesNewRomanPS-BoldItalicMT"/>
          <w:b/>
          <w:i/>
          <w:sz w:val="24"/>
        </w:rPr>
      </w:pPr>
      <w:r>
        <w:rPr>
          <w:rFonts w:ascii="TimesNewRomanPS-BoldItalicMT"/>
          <w:b/>
          <w:i/>
          <w:w w:val="120"/>
          <w:sz w:val="24"/>
        </w:rPr>
        <w:t>magnostic Features</w:t>
      </w:r>
    </w:p>
    <w:p w:rsidR="00E675F0" w:rsidRDefault="00E675F0" w:rsidP="00E675F0">
      <w:pPr>
        <w:pStyle w:val="BodyText"/>
        <w:spacing w:before="127" w:line="254" w:lineRule="auto"/>
        <w:ind w:left="144" w:right="109" w:hanging="5"/>
        <w:jc w:val="both"/>
        <w:rPr>
          <w:i/>
        </w:rPr>
      </w:pPr>
      <w:r>
        <w:rPr>
          <w:w w:val="105"/>
        </w:rPr>
        <w:t xml:space="preserve">The essential features of Autistic Disorder are the presence of markedly abnormal or impaired development in social interaction and communication and a markedly restricted repertoire of activity and interests. Manifestations of the disorder vary greatly depending on the developmental level and chronological age of the individual. Autistic Disorder is sometimes referred to as </w:t>
      </w:r>
      <w:r>
        <w:rPr>
          <w:i/>
          <w:w w:val="105"/>
        </w:rPr>
        <w:t xml:space="preserve">early infantile autism, childhood autism, </w:t>
      </w:r>
      <w:r>
        <w:rPr>
          <w:w w:val="105"/>
        </w:rPr>
        <w:t xml:space="preserve">or </w:t>
      </w:r>
      <w:r>
        <w:rPr>
          <w:i/>
          <w:w w:val="105"/>
        </w:rPr>
        <w:t>Kanner's</w:t>
      </w:r>
      <w:r>
        <w:rPr>
          <w:i/>
          <w:spacing w:val="3"/>
          <w:w w:val="105"/>
        </w:rPr>
        <w:t xml:space="preserve"> </w:t>
      </w:r>
      <w:r>
        <w:rPr>
          <w:i/>
          <w:w w:val="105"/>
        </w:rPr>
        <w:t>autism.</w:t>
      </w:r>
    </w:p>
    <w:p w:rsidR="00E675F0" w:rsidRDefault="00E675F0" w:rsidP="00E675F0">
      <w:pPr>
        <w:pStyle w:val="BodyText"/>
        <w:spacing w:line="252" w:lineRule="auto"/>
        <w:ind w:left="143" w:right="98" w:firstLine="357"/>
        <w:jc w:val="both"/>
      </w:pPr>
      <w:r>
        <w:rPr>
          <w:w w:val="105"/>
        </w:rPr>
        <w:t xml:space="preserve">The impairment in reciprocal social  interaction  is gross and sustained. There may be marked impairment in the use of multiple nonverbal behaviors (e.g., eye-to-eye gaze, facial expression, body postures and gestures) to regulate social interaction and communication (Criterion Ala). There may be failure to develop peer relationships appropriate to developmental level (Criterion Alb) that may take different forms at different ages. Younger individuals may have little or no interest in establishing friendships. Older individuals may have an interest in friendship but lack understanding of the conventions of social interaction. There may be a lack of spontaneous seeking to share enjoyment, interests, or achievements with other people (e.g., not showing, bringing, or pointing out objects they find interesting) (Criterion </w:t>
      </w:r>
      <w:r>
        <w:rPr>
          <w:w w:val="105"/>
          <w:sz w:val="17"/>
        </w:rPr>
        <w:t xml:space="preserve">Ale). </w:t>
      </w:r>
      <w:r>
        <w:rPr>
          <w:w w:val="105"/>
        </w:rPr>
        <w:t>Lack of social or emotional reciprocity may be present (e.g., not actively participating in simple social play or games, preferring solitary activities, or involving others in activities only as tools or "mechanical" aids) (Criterion Ald). Often an individual's awareness of others is markedly impaired. Individuals with this disorder may be oblivious to other children (including siblings), may have no concept of the needs of others, or may not notice another person's</w:t>
      </w:r>
      <w:r>
        <w:rPr>
          <w:spacing w:val="26"/>
          <w:w w:val="105"/>
        </w:rPr>
        <w:t xml:space="preserve"> </w:t>
      </w:r>
      <w:r>
        <w:rPr>
          <w:w w:val="105"/>
        </w:rPr>
        <w:t>distress.</w:t>
      </w:r>
    </w:p>
    <w:p w:rsidR="00E675F0" w:rsidRDefault="00E675F0" w:rsidP="00E675F0">
      <w:pPr>
        <w:pStyle w:val="BodyText"/>
        <w:spacing w:before="4" w:line="254" w:lineRule="auto"/>
        <w:ind w:left="149" w:right="102" w:firstLine="365"/>
        <w:jc w:val="both"/>
      </w:pPr>
      <w:r>
        <w:rPr>
          <w:w w:val="105"/>
        </w:rPr>
        <w:t>The impairment in communication is also marked and sustained and affects both verbal and nonverbal skills. There may be delay in, or total lack of, the development of spoken language (Criterion A2a). In individuals who do speak, there may be marked impairment in the ability to initiate or sustain a conversation with others (Criterion A2b), or</w:t>
      </w:r>
      <w:r>
        <w:rPr>
          <w:spacing w:val="1"/>
          <w:w w:val="105"/>
        </w:rPr>
        <w:t xml:space="preserve"> </w:t>
      </w:r>
      <w:r>
        <w:rPr>
          <w:w w:val="105"/>
        </w:rPr>
        <w:t>a</w:t>
      </w:r>
      <w:r>
        <w:rPr>
          <w:spacing w:val="-13"/>
          <w:w w:val="105"/>
        </w:rPr>
        <w:t xml:space="preserve"> </w:t>
      </w:r>
      <w:r>
        <w:rPr>
          <w:w w:val="105"/>
        </w:rPr>
        <w:t>stereotyped</w:t>
      </w:r>
      <w:r>
        <w:rPr>
          <w:spacing w:val="4"/>
          <w:w w:val="105"/>
        </w:rPr>
        <w:t xml:space="preserve"> </w:t>
      </w:r>
      <w:r>
        <w:rPr>
          <w:w w:val="105"/>
        </w:rPr>
        <w:t>and</w:t>
      </w:r>
      <w:r>
        <w:rPr>
          <w:spacing w:val="-5"/>
          <w:w w:val="105"/>
        </w:rPr>
        <w:t xml:space="preserve"> </w:t>
      </w:r>
      <w:r>
        <w:rPr>
          <w:w w:val="105"/>
        </w:rPr>
        <w:t>repetitive</w:t>
      </w:r>
      <w:r>
        <w:rPr>
          <w:spacing w:val="-5"/>
          <w:w w:val="105"/>
        </w:rPr>
        <w:t xml:space="preserve"> </w:t>
      </w:r>
      <w:r>
        <w:rPr>
          <w:w w:val="105"/>
        </w:rPr>
        <w:t>use</w:t>
      </w:r>
      <w:r>
        <w:rPr>
          <w:spacing w:val="-13"/>
          <w:w w:val="105"/>
        </w:rPr>
        <w:t xml:space="preserve"> </w:t>
      </w:r>
      <w:r>
        <w:rPr>
          <w:w w:val="105"/>
        </w:rPr>
        <w:t>of</w:t>
      </w:r>
      <w:r>
        <w:rPr>
          <w:spacing w:val="-7"/>
          <w:w w:val="105"/>
        </w:rPr>
        <w:t xml:space="preserve"> </w:t>
      </w:r>
      <w:r>
        <w:rPr>
          <w:w w:val="105"/>
        </w:rPr>
        <w:t>language</w:t>
      </w:r>
      <w:r>
        <w:rPr>
          <w:spacing w:val="-2"/>
          <w:w w:val="105"/>
        </w:rPr>
        <w:t xml:space="preserve"> </w:t>
      </w:r>
      <w:r>
        <w:rPr>
          <w:w w:val="105"/>
        </w:rPr>
        <w:t>or</w:t>
      </w:r>
      <w:r>
        <w:rPr>
          <w:spacing w:val="-8"/>
          <w:w w:val="105"/>
        </w:rPr>
        <w:t xml:space="preserve"> </w:t>
      </w:r>
      <w:r>
        <w:rPr>
          <w:w w:val="105"/>
        </w:rPr>
        <w:t>idiosyncratic</w:t>
      </w:r>
      <w:r>
        <w:rPr>
          <w:spacing w:val="-2"/>
          <w:w w:val="105"/>
        </w:rPr>
        <w:t xml:space="preserve"> </w:t>
      </w:r>
      <w:r>
        <w:rPr>
          <w:w w:val="105"/>
        </w:rPr>
        <w:t>language</w:t>
      </w:r>
      <w:r>
        <w:rPr>
          <w:spacing w:val="-7"/>
          <w:w w:val="105"/>
        </w:rPr>
        <w:t xml:space="preserve"> </w:t>
      </w:r>
      <w:r>
        <w:rPr>
          <w:w w:val="105"/>
        </w:rPr>
        <w:t>(Criterion</w:t>
      </w:r>
      <w:r>
        <w:rPr>
          <w:spacing w:val="-5"/>
          <w:w w:val="105"/>
        </w:rPr>
        <w:t xml:space="preserve"> </w:t>
      </w:r>
      <w:r>
        <w:rPr>
          <w:w w:val="105"/>
        </w:rPr>
        <w:t>A2c). There may also be a lack of varied, spontaneous make-believe play or social imitative play appropriate to developmental level (Criterion A2d). When  speech does develop, the pitch, intonation, rate, rhythm, or stress may be abnormal  (e.g.,  tone of voice may be monotonous or contain questionlike rises at ends of statements). Grammatical structures are often immature and include stereotyped and repetitive use of language (e.g., repetition of words or phrases regardless of meaning; repeating jingles or commercials) or metaphorical language (i.e., language that can only be understood clearly by those familiar with the individual's communication style). A disturbance in  the comprehension of language may be evidenced by an inability to understand simple questions, directions, or jokes. Imaginative play is often absent or markedly</w:t>
      </w:r>
      <w:r>
        <w:rPr>
          <w:spacing w:val="11"/>
          <w:w w:val="105"/>
        </w:rPr>
        <w:t xml:space="preserve"> </w:t>
      </w:r>
      <w:r>
        <w:rPr>
          <w:w w:val="105"/>
        </w:rPr>
        <w:t>impaired.</w:t>
      </w:r>
    </w:p>
    <w:p w:rsidR="00E675F0" w:rsidRDefault="00E675F0" w:rsidP="00E675F0">
      <w:pPr>
        <w:spacing w:line="254" w:lineRule="auto"/>
        <w:jc w:val="both"/>
        <w:sectPr w:rsidR="00E675F0">
          <w:pgSz w:w="8960" w:h="14260"/>
          <w:pgMar w:top="960" w:right="620" w:bottom="280" w:left="600" w:header="697" w:footer="0" w:gutter="0"/>
          <w:cols w:space="720"/>
        </w:sectPr>
      </w:pPr>
    </w:p>
    <w:p w:rsidR="00E675F0" w:rsidRDefault="00E675F0" w:rsidP="00E675F0">
      <w:pPr>
        <w:pStyle w:val="BodyText"/>
        <w:spacing w:before="153" w:line="252" w:lineRule="auto"/>
        <w:ind w:left="423" w:right="734" w:hanging="10"/>
        <w:jc w:val="both"/>
      </w:pPr>
      <w:r>
        <w:rPr>
          <w:w w:val="105"/>
        </w:rPr>
        <w:lastRenderedPageBreak/>
        <w:t>These individuals also tend not to engage in the simple imitation games or routines of infancy or early childhood or do so only out of context or in a mechanical way.</w:t>
      </w:r>
    </w:p>
    <w:p w:rsidR="00E675F0" w:rsidRDefault="00E675F0" w:rsidP="00E675F0">
      <w:pPr>
        <w:pStyle w:val="BodyText"/>
        <w:spacing w:line="254" w:lineRule="auto"/>
        <w:ind w:left="422" w:right="728" w:firstLine="363"/>
        <w:jc w:val="both"/>
      </w:pPr>
      <w:r>
        <w:rPr>
          <w:noProof/>
        </w:rPr>
        <w:drawing>
          <wp:anchor distT="0" distB="0" distL="0" distR="0" simplePos="0" relativeHeight="251679744" behindDoc="0" locked="0" layoutInCell="1" allowOverlap="1" wp14:anchorId="5459E744" wp14:editId="180A0B20">
            <wp:simplePos x="0" y="0"/>
            <wp:positionH relativeFrom="page">
              <wp:posOffset>4223436</wp:posOffset>
            </wp:positionH>
            <wp:positionV relativeFrom="paragraph">
              <wp:posOffset>1257072</wp:posOffset>
            </wp:positionV>
            <wp:extent cx="1464104" cy="73255"/>
            <wp:effectExtent l="0" t="0" r="0" b="0"/>
            <wp:wrapNone/>
            <wp:docPr id="1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png"/>
                    <pic:cNvPicPr/>
                  </pic:nvPicPr>
                  <pic:blipFill>
                    <a:blip r:embed="rId77" cstate="print"/>
                    <a:stretch>
                      <a:fillRect/>
                    </a:stretch>
                  </pic:blipFill>
                  <pic:spPr>
                    <a:xfrm>
                      <a:off x="0" y="0"/>
                      <a:ext cx="1464104" cy="73255"/>
                    </a:xfrm>
                    <a:prstGeom prst="rect">
                      <a:avLst/>
                    </a:prstGeom>
                  </pic:spPr>
                </pic:pic>
              </a:graphicData>
            </a:graphic>
          </wp:anchor>
        </w:drawing>
      </w:r>
      <w:r>
        <w:rPr>
          <w:w w:val="105"/>
        </w:rPr>
        <w:t>Individuals with Autistic Disorder have restricted, repetitive, and stereotyped patterns of behavior, interests, and activities. There may be an encompassing pre­ occupation with one or more stereotyped and restricted patterns of interest that is abnormal either in intensity or focus (Criterion A3a); an apparently inflexible adherence to specific, nonfunctional routines or rituals (Criterion A3b); stereotyped and repetitive motor mannerisms (Criterion A3c); or a persistent preoccupation with parts of objects (Criterion A3d). Individuals with Autistic Disorder display a markedly restricted range</w:t>
      </w:r>
    </w:p>
    <w:p w:rsidR="00E675F0" w:rsidRDefault="00E675F0" w:rsidP="00E675F0">
      <w:pPr>
        <w:pStyle w:val="BodyText"/>
        <w:spacing w:before="10"/>
        <w:rPr>
          <w:sz w:val="11"/>
        </w:rPr>
      </w:pPr>
      <w:r>
        <w:rPr>
          <w:noProof/>
        </w:rPr>
        <w:drawing>
          <wp:anchor distT="0" distB="0" distL="0" distR="0" simplePos="0" relativeHeight="251659264" behindDoc="0" locked="0" layoutInCell="1" allowOverlap="1" wp14:anchorId="545981EC" wp14:editId="08DA1686">
            <wp:simplePos x="0" y="0"/>
            <wp:positionH relativeFrom="page">
              <wp:posOffset>271272</wp:posOffset>
            </wp:positionH>
            <wp:positionV relativeFrom="paragraph">
              <wp:posOffset>111474</wp:posOffset>
            </wp:positionV>
            <wp:extent cx="2820307" cy="121920"/>
            <wp:effectExtent l="0" t="0" r="0" b="0"/>
            <wp:wrapTopAndBottom/>
            <wp:docPr id="2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png"/>
                    <pic:cNvPicPr/>
                  </pic:nvPicPr>
                  <pic:blipFill>
                    <a:blip r:embed="rId78" cstate="print"/>
                    <a:stretch>
                      <a:fillRect/>
                    </a:stretch>
                  </pic:blipFill>
                  <pic:spPr>
                    <a:xfrm>
                      <a:off x="0" y="0"/>
                      <a:ext cx="2820307" cy="121920"/>
                    </a:xfrm>
                    <a:prstGeom prst="rect">
                      <a:avLst/>
                    </a:prstGeom>
                  </pic:spPr>
                </pic:pic>
              </a:graphicData>
            </a:graphic>
          </wp:anchor>
        </w:drawing>
      </w:r>
    </w:p>
    <w:p w:rsidR="00E675F0" w:rsidRDefault="00E675F0" w:rsidP="00E675F0">
      <w:pPr>
        <w:pStyle w:val="BodyText"/>
      </w:pPr>
    </w:p>
    <w:p w:rsidR="00E675F0" w:rsidRDefault="00E675F0" w:rsidP="00E675F0">
      <w:pPr>
        <w:pStyle w:val="BodyText"/>
      </w:pPr>
    </w:p>
    <w:p w:rsidR="00E675F0" w:rsidRDefault="00E675F0" w:rsidP="00E675F0">
      <w:pPr>
        <w:pStyle w:val="BodyText"/>
      </w:pPr>
    </w:p>
    <w:p w:rsidR="00E675F0" w:rsidRDefault="00E675F0" w:rsidP="00E675F0">
      <w:pPr>
        <w:pStyle w:val="BodyText"/>
      </w:pPr>
    </w:p>
    <w:p w:rsidR="00E675F0" w:rsidRDefault="00E675F0" w:rsidP="00E675F0">
      <w:pPr>
        <w:pStyle w:val="BodyText"/>
      </w:pPr>
    </w:p>
    <w:p w:rsidR="00E675F0" w:rsidRDefault="00E675F0" w:rsidP="00E675F0">
      <w:pPr>
        <w:pStyle w:val="BodyText"/>
      </w:pPr>
    </w:p>
    <w:p w:rsidR="00E675F0" w:rsidRDefault="00E675F0" w:rsidP="00E675F0">
      <w:pPr>
        <w:pStyle w:val="BodyText"/>
      </w:pPr>
    </w:p>
    <w:p w:rsidR="00E675F0" w:rsidRDefault="00E675F0" w:rsidP="00E675F0">
      <w:pPr>
        <w:pStyle w:val="BodyText"/>
      </w:pPr>
    </w:p>
    <w:p w:rsidR="00E675F0" w:rsidRDefault="00E675F0" w:rsidP="00E675F0">
      <w:pPr>
        <w:pStyle w:val="BodyText"/>
      </w:pPr>
    </w:p>
    <w:p w:rsidR="00E675F0" w:rsidRDefault="00E675F0" w:rsidP="00E675F0">
      <w:pPr>
        <w:pStyle w:val="BodyText"/>
      </w:pPr>
    </w:p>
    <w:p w:rsidR="00E675F0" w:rsidRDefault="00E675F0" w:rsidP="00E675F0">
      <w:pPr>
        <w:pStyle w:val="BodyText"/>
      </w:pPr>
    </w:p>
    <w:p w:rsidR="00E675F0" w:rsidRDefault="00E675F0" w:rsidP="00E675F0">
      <w:pPr>
        <w:pStyle w:val="BodyText"/>
      </w:pPr>
    </w:p>
    <w:p w:rsidR="00E675F0" w:rsidRDefault="00E675F0" w:rsidP="00E675F0">
      <w:pPr>
        <w:pStyle w:val="BodyText"/>
        <w:spacing w:before="6"/>
        <w:rPr>
          <w:sz w:val="19"/>
        </w:rPr>
      </w:pPr>
    </w:p>
    <w:p w:rsidR="00E675F0" w:rsidRDefault="00E675F0" w:rsidP="00E675F0">
      <w:pPr>
        <w:tabs>
          <w:tab w:val="left" w:pos="2164"/>
          <w:tab w:val="left" w:leader="hyphen" w:pos="8416"/>
        </w:tabs>
        <w:spacing w:before="112"/>
        <w:ind w:left="142" w:right="-29"/>
        <w:rPr>
          <w:sz w:val="14"/>
        </w:rPr>
      </w:pPr>
      <w:r>
        <w:rPr>
          <w:noProof/>
        </w:rPr>
        <w:drawing>
          <wp:anchor distT="0" distB="0" distL="0" distR="0" simplePos="0" relativeHeight="251680768" behindDoc="0" locked="0" layoutInCell="1" allowOverlap="1" wp14:anchorId="319ED9B7" wp14:editId="3612FC73">
            <wp:simplePos x="0" y="0"/>
            <wp:positionH relativeFrom="page">
              <wp:posOffset>271272</wp:posOffset>
            </wp:positionH>
            <wp:positionV relativeFrom="paragraph">
              <wp:posOffset>-1791431</wp:posOffset>
            </wp:positionV>
            <wp:extent cx="5416268" cy="1880214"/>
            <wp:effectExtent l="0" t="0" r="0" b="0"/>
            <wp:wrapNone/>
            <wp:docPr id="2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7.png"/>
                    <pic:cNvPicPr/>
                  </pic:nvPicPr>
                  <pic:blipFill>
                    <a:blip r:embed="rId79" cstate="print"/>
                    <a:stretch>
                      <a:fillRect/>
                    </a:stretch>
                  </pic:blipFill>
                  <pic:spPr>
                    <a:xfrm>
                      <a:off x="0" y="0"/>
                      <a:ext cx="5416268" cy="1880214"/>
                    </a:xfrm>
                    <a:prstGeom prst="rect">
                      <a:avLst/>
                    </a:prstGeom>
                  </pic:spPr>
                </pic:pic>
              </a:graphicData>
            </a:graphic>
          </wp:anchor>
        </w:drawing>
      </w:r>
      <w:r>
        <w:rPr>
          <w:noProof/>
        </w:rPr>
        <mc:AlternateContent>
          <mc:Choice Requires="wps">
            <w:drawing>
              <wp:anchor distT="0" distB="0" distL="114300" distR="114300" simplePos="0" relativeHeight="251760640" behindDoc="1" locked="0" layoutInCell="1" allowOverlap="1" wp14:anchorId="116B9FBF" wp14:editId="68DC1F4D">
                <wp:simplePos x="0" y="0"/>
                <wp:positionH relativeFrom="page">
                  <wp:posOffset>271145</wp:posOffset>
                </wp:positionH>
                <wp:positionV relativeFrom="paragraph">
                  <wp:posOffset>195580</wp:posOffset>
                </wp:positionV>
                <wp:extent cx="1228725" cy="1270"/>
                <wp:effectExtent l="0" t="0" r="3175" b="0"/>
                <wp:wrapNone/>
                <wp:docPr id="1603"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8725" cy="1270"/>
                        </a:xfrm>
                        <a:custGeom>
                          <a:avLst/>
                          <a:gdLst>
                            <a:gd name="T0" fmla="+- 0 427 427"/>
                            <a:gd name="T1" fmla="*/ T0 w 1935"/>
                            <a:gd name="T2" fmla="+- 0 2054 427"/>
                            <a:gd name="T3" fmla="*/ T2 w 1935"/>
                            <a:gd name="T4" fmla="+- 0 2097 427"/>
                            <a:gd name="T5" fmla="*/ T4 w 1935"/>
                            <a:gd name="T6" fmla="+- 0 2362 427"/>
                            <a:gd name="T7" fmla="*/ T6 w 1935"/>
                          </a:gdLst>
                          <a:ahLst/>
                          <a:cxnLst>
                            <a:cxn ang="0">
                              <a:pos x="T1" y="0"/>
                            </a:cxn>
                            <a:cxn ang="0">
                              <a:pos x="T3" y="0"/>
                            </a:cxn>
                            <a:cxn ang="0">
                              <a:pos x="T5" y="0"/>
                            </a:cxn>
                            <a:cxn ang="0">
                              <a:pos x="T7" y="0"/>
                            </a:cxn>
                          </a:cxnLst>
                          <a:rect l="0" t="0" r="r" b="b"/>
                          <a:pathLst>
                            <a:path w="1935">
                              <a:moveTo>
                                <a:pt x="0" y="0"/>
                              </a:moveTo>
                              <a:lnTo>
                                <a:pt x="1627" y="0"/>
                              </a:lnTo>
                              <a:moveTo>
                                <a:pt x="1670" y="0"/>
                              </a:moveTo>
                              <a:lnTo>
                                <a:pt x="1935" y="0"/>
                              </a:lnTo>
                            </a:path>
                          </a:pathLst>
                        </a:custGeom>
                        <a:noFill/>
                        <a:ln w="1272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6C5CC" id="AutoShape 1559" o:spid="_x0000_s1026" style="position:absolute;margin-left:21.35pt;margin-top:15.4pt;width:96.75pt;height:.1pt;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93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" path="m,l1627,t43,l1935,e" filled="f" strokeweight=".35353mm">
                <v:path arrowok="t" o:connecttype="custom" o:connectlocs="0,0;1033145,0;1060450,0;1228725,0" o:connectangles="0,0,0,0"/>
                <w10:wrap anchorx="page"/>
              </v:shape>
            </w:pict>
          </mc:Fallback>
        </mc:AlternateContent>
      </w:r>
      <w:r>
        <w:rPr>
          <w:noProof/>
        </w:rPr>
        <mc:AlternateContent>
          <mc:Choice Requires="wps">
            <w:drawing>
              <wp:anchor distT="0" distB="0" distL="114300" distR="114300" simplePos="0" relativeHeight="251761664" behindDoc="1" locked="0" layoutInCell="1" allowOverlap="1" wp14:anchorId="5FA9C0A9" wp14:editId="0E50FE9F">
                <wp:simplePos x="0" y="0"/>
                <wp:positionH relativeFrom="page">
                  <wp:posOffset>3406775</wp:posOffset>
                </wp:positionH>
                <wp:positionV relativeFrom="paragraph">
                  <wp:posOffset>195580</wp:posOffset>
                </wp:positionV>
                <wp:extent cx="27940" cy="0"/>
                <wp:effectExtent l="0" t="0" r="0" b="0"/>
                <wp:wrapNone/>
                <wp:docPr id="1602" name="Line 15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40" cy="0"/>
                        </a:xfrm>
                        <a:prstGeom prst="line">
                          <a:avLst/>
                        </a:prstGeom>
                        <a:noFill/>
                        <a:ln w="1271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584ED1" id="Line 1558" o:spid="_x0000_s1026" style="position:absolute;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8.25pt,15.4pt" to="270.45pt,15.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" strokeweight=".35328mm">
                <o:lock v:ext="edit" shapetype="f"/>
                <w10:wrap anchorx="page"/>
              </v:line>
            </w:pict>
          </mc:Fallback>
        </mc:AlternateContent>
      </w:r>
      <w:r>
        <w:rPr>
          <w:noProof/>
        </w:rPr>
        <mc:AlternateContent>
          <mc:Choice Requires="wps">
            <w:drawing>
              <wp:anchor distT="0" distB="0" distL="114300" distR="114300" simplePos="0" relativeHeight="251762688" behindDoc="1" locked="0" layoutInCell="1" allowOverlap="1" wp14:anchorId="5444CA77" wp14:editId="6E18139D">
                <wp:simplePos x="0" y="0"/>
                <wp:positionH relativeFrom="page">
                  <wp:posOffset>3508375</wp:posOffset>
                </wp:positionH>
                <wp:positionV relativeFrom="paragraph">
                  <wp:posOffset>195580</wp:posOffset>
                </wp:positionV>
                <wp:extent cx="2181860" cy="1270"/>
                <wp:effectExtent l="0" t="0" r="2540" b="0"/>
                <wp:wrapNone/>
                <wp:docPr id="1601" name="AutoShape 1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81860" cy="1270"/>
                        </a:xfrm>
                        <a:custGeom>
                          <a:avLst/>
                          <a:gdLst>
                            <a:gd name="T0" fmla="+- 0 5525 5525"/>
                            <a:gd name="T1" fmla="*/ T0 w 3436"/>
                            <a:gd name="T2" fmla="+- 0 7532 5525"/>
                            <a:gd name="T3" fmla="*/ T2 w 3436"/>
                            <a:gd name="T4" fmla="+- 0 7557 5525"/>
                            <a:gd name="T5" fmla="*/ T4 w 3436"/>
                            <a:gd name="T6" fmla="+- 0 8265 5525"/>
                            <a:gd name="T7" fmla="*/ T6 w 3436"/>
                            <a:gd name="T8" fmla="+- 0 8282 5525"/>
                            <a:gd name="T9" fmla="*/ T8 w 3436"/>
                            <a:gd name="T10" fmla="+- 0 8961 5525"/>
                            <a:gd name="T11" fmla="*/ T10 w 3436"/>
                          </a:gdLst>
                          <a:ahLst/>
                          <a:cxnLst>
                            <a:cxn ang="0">
                              <a:pos x="T1" y="0"/>
                            </a:cxn>
                            <a:cxn ang="0">
                              <a:pos x="T3" y="0"/>
                            </a:cxn>
                            <a:cxn ang="0">
                              <a:pos x="T5" y="0"/>
                            </a:cxn>
                            <a:cxn ang="0">
                              <a:pos x="T7" y="0"/>
                            </a:cxn>
                            <a:cxn ang="0">
                              <a:pos x="T9" y="0"/>
                            </a:cxn>
                            <a:cxn ang="0">
                              <a:pos x="T11" y="0"/>
                            </a:cxn>
                          </a:cxnLst>
                          <a:rect l="0" t="0" r="r" b="b"/>
                          <a:pathLst>
                            <a:path w="3436">
                              <a:moveTo>
                                <a:pt x="0" y="0"/>
                              </a:moveTo>
                              <a:lnTo>
                                <a:pt x="2007" y="0"/>
                              </a:lnTo>
                              <a:moveTo>
                                <a:pt x="2032" y="0"/>
                              </a:moveTo>
                              <a:lnTo>
                                <a:pt x="2740" y="0"/>
                              </a:lnTo>
                              <a:moveTo>
                                <a:pt x="2757" y="0"/>
                              </a:moveTo>
                              <a:lnTo>
                                <a:pt x="3436" y="0"/>
                              </a:lnTo>
                            </a:path>
                          </a:pathLst>
                        </a:custGeom>
                        <a:noFill/>
                        <a:ln w="1272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74762" id="AutoShape 1557" o:spid="_x0000_s1026" style="position:absolute;margin-left:276.25pt;margin-top:15.4pt;width:171.8pt;height:.1pt;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36,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" path="m,l2007,t25,l2740,t17,l3436,e" filled="f" strokeweight=".35353mm">
                <v:path arrowok="t" o:connecttype="custom" o:connectlocs="0,0;1274445,0;1290320,0;1739900,0;1750695,0;2181860,0" o:connectangles="0,0,0,0,0,0"/>
                <w10:wrap anchorx="page"/>
              </v:shape>
            </w:pict>
          </mc:Fallback>
        </mc:AlternateContent>
      </w:r>
      <w:r>
        <w:rPr>
          <w:noProof/>
        </w:rPr>
        <mc:AlternateContent>
          <mc:Choice Requires="wps">
            <w:drawing>
              <wp:anchor distT="0" distB="0" distL="114300" distR="114300" simplePos="0" relativeHeight="251763712" behindDoc="1" locked="0" layoutInCell="1" allowOverlap="1" wp14:anchorId="2CB56CD1" wp14:editId="471C4E4A">
                <wp:simplePos x="0" y="0"/>
                <wp:positionH relativeFrom="page">
                  <wp:posOffset>1348740</wp:posOffset>
                </wp:positionH>
                <wp:positionV relativeFrom="paragraph">
                  <wp:posOffset>120650</wp:posOffset>
                </wp:positionV>
                <wp:extent cx="247650" cy="92710"/>
                <wp:effectExtent l="0" t="0" r="0" b="0"/>
                <wp:wrapNone/>
                <wp:docPr id="1600" name="Text Box 1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7650"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5F0" w:rsidRDefault="00E675F0" w:rsidP="00E675F0">
                            <w:pPr>
                              <w:spacing w:line="145" w:lineRule="exact"/>
                              <w:rPr>
                                <w:rFonts w:ascii="Arial"/>
                                <w:sz w:val="13"/>
                              </w:rPr>
                            </w:pPr>
                            <w:r>
                              <w:rPr>
                                <w:rFonts w:ascii="Arial"/>
                                <w:w w:val="65"/>
                                <w:sz w:val="13"/>
                              </w:rPr>
                              <w:t>-JY"c-_ 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56CD1" id="Text Box 1556" o:spid="_x0000_s1064" type="#_x0000_t202" style="position:absolute;left:0;text-align:left;margin-left:106.2pt;margin-top:9.5pt;width:19.5pt;height:7.3pt;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" filled="f" stroked="f">
                <v:path arrowok="t"/>
                <v:textbox inset="0,0,0,0">
                  <w:txbxContent>
                    <w:p w:rsidR="00E675F0" w:rsidRDefault="00E675F0" w:rsidP="00E675F0">
                      <w:pPr>
                        <w:spacing w:line="145" w:lineRule="exact"/>
                        <w:rPr>
                          <w:rFonts w:ascii="Arial"/>
                          <w:sz w:val="13"/>
                        </w:rPr>
                      </w:pPr>
                      <w:r>
                        <w:rPr>
                          <w:rFonts w:ascii="Arial"/>
                          <w:w w:val="65"/>
                          <w:sz w:val="13"/>
                        </w:rPr>
                        <w:t>-JY"c-_ _-</w:t>
                      </w:r>
                    </w:p>
                  </w:txbxContent>
                </v:textbox>
                <w10:wrap anchorx="page"/>
              </v:shape>
            </w:pict>
          </mc:Fallback>
        </mc:AlternateContent>
      </w:r>
      <w:r>
        <w:rPr>
          <w:spacing w:val="-1"/>
          <w:w w:val="82"/>
          <w:sz w:val="17"/>
        </w:rPr>
        <w:t>;</w:t>
      </w:r>
      <w:r>
        <w:rPr>
          <w:w w:val="82"/>
          <w:sz w:val="17"/>
        </w:rPr>
        <w:t>)</w:t>
      </w:r>
      <w:r>
        <w:rPr>
          <w:spacing w:val="-1"/>
          <w:w w:val="82"/>
          <w:sz w:val="17"/>
        </w:rPr>
        <w:t>J;:-;;i;</w:t>
      </w:r>
      <w:r>
        <w:rPr>
          <w:w w:val="82"/>
          <w:sz w:val="17"/>
        </w:rPr>
        <w:t>:</w:t>
      </w:r>
      <w:r>
        <w:rPr>
          <w:spacing w:val="-8"/>
          <w:sz w:val="17"/>
        </w:rPr>
        <w:t xml:space="preserve"> </w:t>
      </w:r>
      <w:r>
        <w:rPr>
          <w:w w:val="82"/>
          <w:sz w:val="17"/>
        </w:rPr>
        <w:t>;</w:t>
      </w:r>
      <w:r>
        <w:rPr>
          <w:spacing w:val="-8"/>
          <w:sz w:val="17"/>
        </w:rPr>
        <w:t xml:space="preserve"> </w:t>
      </w:r>
      <w:r>
        <w:rPr>
          <w:w w:val="82"/>
          <w:sz w:val="17"/>
        </w:rPr>
        <w:t>,r•</w:t>
      </w:r>
      <w:r>
        <w:rPr>
          <w:spacing w:val="-8"/>
          <w:sz w:val="17"/>
        </w:rPr>
        <w:t xml:space="preserve"> </w:t>
      </w:r>
      <w:r>
        <w:rPr>
          <w:w w:val="82"/>
          <w:sz w:val="17"/>
        </w:rPr>
        <w:t>&lt;</w:t>
      </w:r>
      <w:r>
        <w:rPr>
          <w:spacing w:val="-8"/>
          <w:sz w:val="17"/>
        </w:rPr>
        <w:t xml:space="preserve"> </w:t>
      </w:r>
      <w:r>
        <w:rPr>
          <w:spacing w:val="-1"/>
          <w:w w:val="82"/>
          <w:sz w:val="17"/>
        </w:rPr>
        <w:t>z</w:t>
      </w:r>
      <w:r>
        <w:rPr>
          <w:w w:val="82"/>
          <w:sz w:val="17"/>
        </w:rPr>
        <w:t>;</w:t>
      </w:r>
      <w:r>
        <w:rPr>
          <w:sz w:val="17"/>
        </w:rPr>
        <w:t xml:space="preserve">  </w:t>
      </w:r>
      <w:r>
        <w:rPr>
          <w:spacing w:val="12"/>
          <w:sz w:val="17"/>
        </w:rPr>
        <w:t xml:space="preserve"> </w:t>
      </w:r>
      <w:r>
        <w:rPr>
          <w:w w:val="82"/>
          <w:sz w:val="17"/>
        </w:rPr>
        <w:t>--</w:t>
      </w:r>
      <w:r>
        <w:rPr>
          <w:spacing w:val="-48"/>
          <w:w w:val="82"/>
          <w:sz w:val="17"/>
        </w:rPr>
        <w:t>¼</w:t>
      </w:r>
      <w:r>
        <w:rPr>
          <w:spacing w:val="4"/>
          <w:w w:val="117"/>
          <w:sz w:val="17"/>
          <w:vertAlign w:val="superscript"/>
        </w:rPr>
        <w:t>-</w:t>
      </w:r>
      <w:r>
        <w:rPr>
          <w:w w:val="82"/>
          <w:sz w:val="17"/>
        </w:rPr>
        <w:t>&lt;</w:t>
      </w:r>
      <w:r>
        <w:rPr>
          <w:spacing w:val="-8"/>
          <w:sz w:val="17"/>
        </w:rPr>
        <w:t xml:space="preserve"> </w:t>
      </w:r>
      <w:r>
        <w:rPr>
          <w:spacing w:val="-1"/>
          <w:w w:val="82"/>
          <w:sz w:val="17"/>
        </w:rPr>
        <w:t>&lt;c</w:t>
      </w:r>
      <w:r>
        <w:rPr>
          <w:w w:val="82"/>
          <w:sz w:val="17"/>
        </w:rPr>
        <w:t>?</w:t>
      </w:r>
      <w:r>
        <w:rPr>
          <w:sz w:val="17"/>
        </w:rPr>
        <w:t xml:space="preserve"> </w:t>
      </w:r>
      <w:r>
        <w:rPr>
          <w:spacing w:val="20"/>
          <w:sz w:val="17"/>
        </w:rPr>
        <w:t xml:space="preserve"> </w:t>
      </w:r>
      <w:r>
        <w:rPr>
          <w:w w:val="107"/>
          <w:position w:val="10"/>
          <w:sz w:val="6"/>
        </w:rPr>
        <w:t>--</w:t>
      </w:r>
      <w:r>
        <w:rPr>
          <w:position w:val="10"/>
          <w:sz w:val="6"/>
        </w:rPr>
        <w:tab/>
      </w:r>
      <w:r>
        <w:rPr>
          <w:sz w:val="13"/>
          <w:u w:val="thick"/>
        </w:rPr>
        <w:t xml:space="preserve">  </w:t>
      </w:r>
      <w:r>
        <w:rPr>
          <w:spacing w:val="-9"/>
          <w:sz w:val="13"/>
          <w:u w:val="thick"/>
        </w:rPr>
        <w:t xml:space="preserve"> </w:t>
      </w:r>
      <w:r>
        <w:rPr>
          <w:w w:val="141"/>
          <w:sz w:val="13"/>
          <w:u w:val="thick"/>
        </w:rPr>
        <w:t>_;-</w:t>
      </w:r>
      <w:r>
        <w:rPr>
          <w:sz w:val="13"/>
          <w:u w:val="thick"/>
        </w:rPr>
        <w:t xml:space="preserve"> </w:t>
      </w:r>
      <w:r>
        <w:rPr>
          <w:spacing w:val="-1"/>
          <w:sz w:val="13"/>
          <w:u w:val="thick"/>
        </w:rPr>
        <w:t xml:space="preserve"> </w:t>
      </w:r>
      <w:r>
        <w:rPr>
          <w:w w:val="141"/>
          <w:sz w:val="13"/>
          <w:u w:val="thick"/>
        </w:rPr>
        <w:t>-s?'IT</w:t>
      </w:r>
      <w:r>
        <w:rPr>
          <w:sz w:val="13"/>
          <w:u w:val="thick"/>
        </w:rPr>
        <w:t xml:space="preserve">     </w:t>
      </w:r>
      <w:r>
        <w:rPr>
          <w:spacing w:val="-1"/>
          <w:sz w:val="13"/>
          <w:u w:val="thick"/>
        </w:rPr>
        <w:t xml:space="preserve"> </w:t>
      </w:r>
      <w:r>
        <w:rPr>
          <w:spacing w:val="-1"/>
          <w:w w:val="141"/>
          <w:sz w:val="13"/>
          <w:u w:val="thick"/>
        </w:rPr>
        <w:t>a</w:t>
      </w:r>
      <w:r>
        <w:rPr>
          <w:spacing w:val="12"/>
          <w:w w:val="141"/>
          <w:sz w:val="13"/>
          <w:u w:val="thick"/>
        </w:rPr>
        <w:t>-</w:t>
      </w:r>
      <w:r>
        <w:rPr>
          <w:rFonts w:ascii="Arial" w:hAnsi="Arial"/>
          <w:w w:val="147"/>
          <w:sz w:val="17"/>
          <w:u w:val="thick"/>
        </w:rPr>
        <w:t>yq,</w:t>
      </w:r>
      <w:r>
        <w:rPr>
          <w:rFonts w:ascii="Arial" w:hAnsi="Arial"/>
          <w:sz w:val="17"/>
          <w:u w:val="thick"/>
        </w:rPr>
        <w:t xml:space="preserve"> </w:t>
      </w:r>
      <w:r>
        <w:rPr>
          <w:rFonts w:ascii="Arial" w:hAnsi="Arial"/>
          <w:spacing w:val="7"/>
          <w:sz w:val="17"/>
          <w:u w:val="thick"/>
        </w:rPr>
        <w:t xml:space="preserve"> </w:t>
      </w:r>
      <w:r>
        <w:rPr>
          <w:rFonts w:ascii="Arial" w:hAnsi="Arial"/>
          <w:w w:val="147"/>
          <w:sz w:val="17"/>
          <w:u w:val="thick"/>
        </w:rPr>
        <w:t>-L</w:t>
      </w:r>
      <w:r>
        <w:rPr>
          <w:rFonts w:ascii="Arial" w:hAnsi="Arial"/>
          <w:sz w:val="17"/>
          <w:u w:val="thick"/>
        </w:rPr>
        <w:t xml:space="preserve">  </w:t>
      </w:r>
      <w:r>
        <w:rPr>
          <w:rFonts w:ascii="Arial" w:hAnsi="Arial"/>
          <w:spacing w:val="19"/>
          <w:sz w:val="17"/>
          <w:u w:val="thick"/>
        </w:rPr>
        <w:t xml:space="preserve"> </w:t>
      </w:r>
      <w:r>
        <w:rPr>
          <w:rFonts w:ascii="Arial" w:hAnsi="Arial"/>
          <w:spacing w:val="8"/>
          <w:w w:val="147"/>
          <w:sz w:val="17"/>
          <w:u w:val="thick"/>
        </w:rPr>
        <w:t>-</w:t>
      </w:r>
      <w:r>
        <w:rPr>
          <w:rFonts w:ascii="Arial" w:hAnsi="Arial"/>
          <w:spacing w:val="-1"/>
          <w:w w:val="147"/>
          <w:sz w:val="17"/>
          <w:u w:val="thick"/>
        </w:rPr>
        <w:t>_</w:t>
      </w:r>
      <w:r>
        <w:rPr>
          <w:rFonts w:ascii="Arial" w:hAnsi="Arial"/>
          <w:w w:val="147"/>
          <w:sz w:val="17"/>
          <w:u w:val="thick"/>
        </w:rPr>
        <w:t>:</w:t>
      </w:r>
      <w:r>
        <w:rPr>
          <w:rFonts w:ascii="Arial" w:hAnsi="Arial"/>
          <w:sz w:val="17"/>
          <w:u w:val="thick"/>
        </w:rPr>
        <w:t xml:space="preserve"> </w:t>
      </w:r>
      <w:r>
        <w:rPr>
          <w:rFonts w:ascii="Arial" w:hAnsi="Arial"/>
          <w:spacing w:val="-11"/>
          <w:sz w:val="17"/>
          <w:u w:val="thick"/>
        </w:rPr>
        <w:t xml:space="preserve"> </w:t>
      </w:r>
      <w:r>
        <w:rPr>
          <w:rFonts w:ascii="Arial" w:hAnsi="Arial"/>
          <w:spacing w:val="-1"/>
          <w:w w:val="73"/>
          <w:sz w:val="17"/>
          <w:u w:val="thick"/>
        </w:rPr>
        <w:t>::_-</w:t>
      </w:r>
      <w:r>
        <w:rPr>
          <w:rFonts w:ascii="Arial" w:hAnsi="Arial"/>
          <w:w w:val="73"/>
          <w:sz w:val="17"/>
          <w:u w:val="thick"/>
        </w:rPr>
        <w:t>-</w:t>
      </w:r>
      <w:r>
        <w:rPr>
          <w:rFonts w:ascii="Arial" w:hAnsi="Arial"/>
          <w:spacing w:val="-23"/>
          <w:sz w:val="17"/>
          <w:u w:val="thick"/>
        </w:rPr>
        <w:t xml:space="preserve"> </w:t>
      </w:r>
      <w:r>
        <w:rPr>
          <w:rFonts w:ascii="Arial" w:hAnsi="Arial"/>
          <w:w w:val="73"/>
          <w:sz w:val="17"/>
          <w:u w:val="thick"/>
        </w:rPr>
        <w:t>-</w:t>
      </w:r>
      <w:r>
        <w:rPr>
          <w:rFonts w:ascii="Arial" w:hAnsi="Arial"/>
          <w:spacing w:val="-23"/>
          <w:sz w:val="17"/>
          <w:u w:val="thick"/>
        </w:rPr>
        <w:t xml:space="preserve"> </w:t>
      </w:r>
      <w:r>
        <w:rPr>
          <w:rFonts w:ascii="Arial" w:hAnsi="Arial"/>
          <w:w w:val="73"/>
          <w:sz w:val="17"/>
          <w:u w:val="thick"/>
        </w:rPr>
        <w:t>-;</w:t>
      </w:r>
      <w:r>
        <w:rPr>
          <w:rFonts w:ascii="Arial" w:hAnsi="Arial"/>
          <w:sz w:val="17"/>
          <w:u w:val="thick"/>
        </w:rPr>
        <w:t xml:space="preserve"> </w:t>
      </w:r>
      <w:r>
        <w:rPr>
          <w:rFonts w:ascii="Arial" w:hAnsi="Arial"/>
          <w:spacing w:val="6"/>
          <w:sz w:val="17"/>
          <w:u w:val="thick"/>
        </w:rPr>
        <w:t xml:space="preserve"> </w:t>
      </w:r>
      <w:r>
        <w:rPr>
          <w:rFonts w:ascii="Arial" w:hAnsi="Arial"/>
          <w:spacing w:val="-10"/>
          <w:sz w:val="17"/>
        </w:rPr>
        <w:t xml:space="preserve"> </w:t>
      </w:r>
      <w:r>
        <w:rPr>
          <w:rFonts w:ascii="Arial" w:hAnsi="Arial"/>
          <w:w w:val="73"/>
          <w:sz w:val="17"/>
          <w:u w:val="thick"/>
        </w:rPr>
        <w:t>-</w:t>
      </w:r>
      <w:r>
        <w:rPr>
          <w:rFonts w:ascii="Arial" w:hAnsi="Arial"/>
          <w:spacing w:val="6"/>
          <w:w w:val="73"/>
          <w:sz w:val="17"/>
        </w:rPr>
        <w:t>-</w:t>
      </w:r>
      <w:r>
        <w:rPr>
          <w:rFonts w:ascii="Arial" w:hAnsi="Arial"/>
          <w:w w:val="67"/>
          <w:sz w:val="17"/>
        </w:rPr>
        <w:t>_</w:t>
      </w:r>
      <w:r>
        <w:rPr>
          <w:rFonts w:ascii="Arial" w:hAnsi="Arial"/>
          <w:spacing w:val="-17"/>
          <w:sz w:val="17"/>
        </w:rPr>
        <w:t xml:space="preserve"> </w:t>
      </w:r>
      <w:r>
        <w:rPr>
          <w:rFonts w:ascii="Arial" w:hAnsi="Arial"/>
          <w:spacing w:val="-1"/>
          <w:w w:val="55"/>
          <w:sz w:val="17"/>
        </w:rPr>
        <w:t>•</w:t>
      </w:r>
      <w:r>
        <w:rPr>
          <w:rFonts w:ascii="Arial" w:hAnsi="Arial"/>
          <w:w w:val="67"/>
          <w:sz w:val="17"/>
        </w:rPr>
        <w:t>·:</w:t>
      </w:r>
      <w:r>
        <w:rPr>
          <w:rFonts w:ascii="Arial" w:hAnsi="Arial"/>
          <w:spacing w:val="-13"/>
          <w:sz w:val="17"/>
        </w:rPr>
        <w:t xml:space="preserve"> </w:t>
      </w:r>
      <w:r>
        <w:rPr>
          <w:rFonts w:ascii="Arial" w:hAnsi="Arial"/>
          <w:w w:val="30"/>
          <w:sz w:val="17"/>
        </w:rPr>
        <w:t>_.</w:t>
      </w:r>
      <w:r>
        <w:rPr>
          <w:rFonts w:ascii="Arial" w:hAnsi="Arial"/>
          <w:spacing w:val="-2"/>
          <w:w w:val="30"/>
          <w:sz w:val="17"/>
        </w:rPr>
        <w:t>.</w:t>
      </w:r>
      <w:r>
        <w:rPr>
          <w:w w:val="61"/>
          <w:sz w:val="12"/>
        </w:rPr>
        <w:t>·==--·=--·_•_a</w:t>
      </w:r>
      <w:r>
        <w:rPr>
          <w:sz w:val="12"/>
        </w:rPr>
        <w:t xml:space="preserve"> </w:t>
      </w:r>
      <w:r>
        <w:rPr>
          <w:spacing w:val="12"/>
          <w:sz w:val="12"/>
        </w:rPr>
        <w:t xml:space="preserve"> </w:t>
      </w:r>
      <w:r>
        <w:rPr>
          <w:w w:val="107"/>
          <w:sz w:val="12"/>
        </w:rPr>
        <w:t>--</w:t>
      </w:r>
      <w:r>
        <w:rPr>
          <w:sz w:val="12"/>
        </w:rPr>
        <w:t xml:space="preserve">  </w:t>
      </w:r>
      <w:r>
        <w:rPr>
          <w:spacing w:val="13"/>
          <w:sz w:val="12"/>
        </w:rPr>
        <w:t xml:space="preserve"> </w:t>
      </w:r>
      <w:r>
        <w:rPr>
          <w:rFonts w:ascii="Arial" w:hAnsi="Arial"/>
          <w:w w:val="77"/>
          <w:sz w:val="14"/>
        </w:rPr>
        <w:t>-;;-,:C-</w:t>
      </w:r>
      <w:r>
        <w:rPr>
          <w:rFonts w:ascii="Arial" w:hAnsi="Arial"/>
          <w:spacing w:val="-24"/>
          <w:sz w:val="14"/>
        </w:rPr>
        <w:t xml:space="preserve"> </w:t>
      </w:r>
      <w:r>
        <w:rPr>
          <w:rFonts w:ascii="Arial" w:hAnsi="Arial"/>
          <w:w w:val="75"/>
          <w:sz w:val="14"/>
        </w:rPr>
        <w:t>-,</w:t>
      </w:r>
      <w:r>
        <w:rPr>
          <w:rFonts w:ascii="Arial" w:hAnsi="Arial"/>
          <w:spacing w:val="-16"/>
          <w:sz w:val="14"/>
        </w:rPr>
        <w:t xml:space="preserve"> </w:t>
      </w:r>
      <w:r>
        <w:rPr>
          <w:rFonts w:ascii="Arial" w:hAnsi="Arial"/>
          <w:spacing w:val="-1"/>
          <w:w w:val="80"/>
          <w:sz w:val="14"/>
        </w:rPr>
        <w:t>.</w:t>
      </w:r>
      <w:r>
        <w:rPr>
          <w:rFonts w:ascii="Arial" w:hAnsi="Arial"/>
          <w:spacing w:val="-18"/>
          <w:w w:val="80"/>
          <w:sz w:val="14"/>
        </w:rPr>
        <w:t>.</w:t>
      </w:r>
      <w:r>
        <w:rPr>
          <w:rFonts w:ascii="Arial" w:hAnsi="Arial"/>
          <w:spacing w:val="-1"/>
          <w:w w:val="53"/>
          <w:sz w:val="14"/>
        </w:rPr>
        <w:t>,..</w:t>
      </w:r>
      <w:r>
        <w:rPr>
          <w:rFonts w:ascii="Arial" w:hAnsi="Arial"/>
          <w:w w:val="53"/>
          <w:sz w:val="14"/>
        </w:rPr>
        <w:t>;</w:t>
      </w:r>
      <w:r>
        <w:rPr>
          <w:rFonts w:ascii="Arial" w:hAnsi="Arial"/>
          <w:spacing w:val="-2"/>
          <w:sz w:val="14"/>
        </w:rPr>
        <w:t xml:space="preserve"> </w:t>
      </w:r>
      <w:r>
        <w:rPr>
          <w:rFonts w:ascii="Arial" w:hAnsi="Arial"/>
          <w:spacing w:val="-1"/>
          <w:w w:val="75"/>
          <w:sz w:val="14"/>
        </w:rPr>
        <w:t>_•</w:t>
      </w:r>
      <w:r>
        <w:rPr>
          <w:rFonts w:ascii="Arial" w:hAnsi="Arial"/>
          <w:w w:val="75"/>
          <w:sz w:val="14"/>
        </w:rPr>
        <w:t>;</w:t>
      </w:r>
      <w:r>
        <w:rPr>
          <w:rFonts w:ascii="Arial" w:hAnsi="Arial"/>
          <w:sz w:val="14"/>
        </w:rPr>
        <w:t xml:space="preserve"> </w:t>
      </w:r>
      <w:r>
        <w:rPr>
          <w:rFonts w:ascii="Arial" w:hAnsi="Arial"/>
          <w:spacing w:val="-4"/>
          <w:sz w:val="14"/>
        </w:rPr>
        <w:t xml:space="preserve"> </w:t>
      </w:r>
      <w:r>
        <w:rPr>
          <w:rFonts w:ascii="Arial" w:hAnsi="Arial"/>
          <w:w w:val="122"/>
          <w:sz w:val="14"/>
        </w:rPr>
        <w:t>-</w:t>
      </w:r>
      <w:r>
        <w:rPr>
          <w:rFonts w:ascii="Arial" w:hAnsi="Arial"/>
          <w:spacing w:val="8"/>
          <w:sz w:val="14"/>
        </w:rPr>
        <w:t xml:space="preserve"> </w:t>
      </w:r>
      <w:r>
        <w:rPr>
          <w:rFonts w:ascii="Arial" w:hAnsi="Arial"/>
          <w:w w:val="122"/>
          <w:sz w:val="14"/>
        </w:rPr>
        <w:t>--</w:t>
      </w:r>
      <w:r>
        <w:rPr>
          <w:rFonts w:ascii="Arial" w:hAnsi="Arial"/>
          <w:spacing w:val="-5"/>
          <w:sz w:val="14"/>
        </w:rPr>
        <w:t xml:space="preserve"> </w:t>
      </w:r>
      <w:r>
        <w:rPr>
          <w:rFonts w:ascii="Arial" w:hAnsi="Arial"/>
          <w:spacing w:val="-1"/>
          <w:w w:val="65"/>
          <w:sz w:val="14"/>
        </w:rPr>
        <w:t>.·:,</w:t>
      </w:r>
      <w:r>
        <w:rPr>
          <w:rFonts w:ascii="Arial" w:hAnsi="Arial"/>
          <w:w w:val="65"/>
          <w:sz w:val="14"/>
        </w:rPr>
        <w:t>-</w:t>
      </w:r>
      <w:r>
        <w:rPr>
          <w:rFonts w:ascii="Arial" w:hAnsi="Arial"/>
          <w:spacing w:val="-13"/>
          <w:sz w:val="14"/>
        </w:rPr>
        <w:t xml:space="preserve"> </w:t>
      </w:r>
      <w:r>
        <w:rPr>
          <w:rFonts w:ascii="Arial" w:hAnsi="Arial"/>
          <w:w w:val="65"/>
          <w:sz w:val="14"/>
        </w:rPr>
        <w:t>-</w:t>
      </w:r>
      <w:r>
        <w:rPr>
          <w:rFonts w:ascii="Arial" w:hAnsi="Arial"/>
          <w:sz w:val="14"/>
        </w:rPr>
        <w:t xml:space="preserve">  </w:t>
      </w:r>
      <w:r>
        <w:rPr>
          <w:rFonts w:ascii="Arial" w:hAnsi="Arial"/>
          <w:spacing w:val="7"/>
          <w:sz w:val="14"/>
        </w:rPr>
        <w:t xml:space="preserve"> </w:t>
      </w:r>
      <w:r>
        <w:rPr>
          <w:w w:val="68"/>
          <w:sz w:val="21"/>
        </w:rPr>
        <w:t>-&lt;</w:t>
      </w:r>
      <w:r>
        <w:rPr>
          <w:spacing w:val="-17"/>
          <w:sz w:val="21"/>
        </w:rPr>
        <w:t xml:space="preserve"> </w:t>
      </w:r>
      <w:r>
        <w:rPr>
          <w:spacing w:val="-1"/>
          <w:w w:val="68"/>
          <w:sz w:val="21"/>
        </w:rPr>
        <w:t>=-::&lt;-</w:t>
      </w:r>
      <w:r>
        <w:rPr>
          <w:w w:val="68"/>
          <w:sz w:val="21"/>
        </w:rPr>
        <w:t>-</w:t>
      </w:r>
      <w:r>
        <w:rPr>
          <w:spacing w:val="-17"/>
          <w:sz w:val="21"/>
        </w:rPr>
        <w:t xml:space="preserve"> </w:t>
      </w:r>
      <w:r>
        <w:rPr>
          <w:w w:val="68"/>
          <w:sz w:val="21"/>
        </w:rPr>
        <w:t>-</w:t>
      </w:r>
      <w:r>
        <w:rPr>
          <w:spacing w:val="-28"/>
          <w:sz w:val="21"/>
        </w:rPr>
        <w:t xml:space="preserve"> </w:t>
      </w:r>
      <w:r>
        <w:rPr>
          <w:spacing w:val="-4"/>
          <w:w w:val="106"/>
          <w:sz w:val="21"/>
        </w:rPr>
        <w:t>-</w:t>
      </w:r>
      <w:r>
        <w:rPr>
          <w:spacing w:val="-1"/>
          <w:w w:val="94"/>
          <w:sz w:val="14"/>
        </w:rPr>
        <w:t>'</w:t>
      </w:r>
      <w:r>
        <w:rPr>
          <w:spacing w:val="-32"/>
          <w:w w:val="94"/>
          <w:sz w:val="14"/>
        </w:rPr>
        <w:t>"</w:t>
      </w:r>
      <w:r>
        <w:rPr>
          <w:w w:val="107"/>
          <w:position w:val="10"/>
          <w:sz w:val="6"/>
        </w:rPr>
        <w:t>-</w:t>
      </w:r>
      <w:r>
        <w:rPr>
          <w:spacing w:val="-6"/>
          <w:position w:val="10"/>
          <w:sz w:val="6"/>
        </w:rPr>
        <w:t xml:space="preserve"> </w:t>
      </w:r>
      <w:r>
        <w:rPr>
          <w:w w:val="94"/>
          <w:sz w:val="14"/>
        </w:rPr>
        <w:t>-</w:t>
      </w:r>
      <w:r>
        <w:rPr>
          <w:spacing w:val="-14"/>
          <w:sz w:val="14"/>
        </w:rPr>
        <w:t xml:space="preserve"> </w:t>
      </w:r>
      <w:r>
        <w:rPr>
          <w:spacing w:val="-10"/>
          <w:w w:val="107"/>
          <w:position w:val="10"/>
          <w:sz w:val="6"/>
        </w:rPr>
        <w:t>-</w:t>
      </w:r>
      <w:r>
        <w:rPr>
          <w:spacing w:val="-1"/>
          <w:w w:val="94"/>
          <w:sz w:val="14"/>
        </w:rPr>
        <w:t>:.</w:t>
      </w:r>
      <w:r>
        <w:rPr>
          <w:sz w:val="14"/>
        </w:rPr>
        <w:t xml:space="preserve"> </w:t>
      </w:r>
      <w:r>
        <w:rPr>
          <w:sz w:val="14"/>
        </w:rPr>
        <w:tab/>
      </w:r>
      <w:r>
        <w:rPr>
          <w:spacing w:val="-1"/>
          <w:w w:val="94"/>
          <w:sz w:val="14"/>
        </w:rPr>
        <w:t>•-ii&gt;</w:t>
      </w:r>
    </w:p>
    <w:p w:rsidR="00E675F0" w:rsidRDefault="00E675F0" w:rsidP="00E675F0">
      <w:pPr>
        <w:pStyle w:val="BodyText"/>
      </w:pPr>
    </w:p>
    <w:p w:rsidR="00E675F0" w:rsidRDefault="00E675F0" w:rsidP="00E675F0">
      <w:pPr>
        <w:pStyle w:val="BodyText"/>
      </w:pPr>
    </w:p>
    <w:p w:rsidR="00E675F0" w:rsidRDefault="00E675F0" w:rsidP="00E675F0">
      <w:pPr>
        <w:pStyle w:val="BodyText"/>
      </w:pPr>
    </w:p>
    <w:p w:rsidR="00E675F0" w:rsidRDefault="00E675F0" w:rsidP="00E675F0">
      <w:pPr>
        <w:pStyle w:val="BodyText"/>
      </w:pPr>
    </w:p>
    <w:p w:rsidR="00E675F0" w:rsidRDefault="00E675F0" w:rsidP="00E675F0">
      <w:pPr>
        <w:pStyle w:val="BodyText"/>
      </w:pPr>
    </w:p>
    <w:p w:rsidR="00E675F0" w:rsidRDefault="00E675F0" w:rsidP="00E675F0">
      <w:pPr>
        <w:pStyle w:val="BodyText"/>
      </w:pPr>
    </w:p>
    <w:p w:rsidR="00E675F0" w:rsidRDefault="00E675F0" w:rsidP="00E675F0">
      <w:pPr>
        <w:pStyle w:val="BodyText"/>
      </w:pPr>
    </w:p>
    <w:p w:rsidR="00E675F0" w:rsidRDefault="00E675F0" w:rsidP="00E675F0">
      <w:pPr>
        <w:pStyle w:val="BodyText"/>
      </w:pPr>
    </w:p>
    <w:p w:rsidR="00E675F0" w:rsidRDefault="00E675F0" w:rsidP="00E675F0">
      <w:pPr>
        <w:pStyle w:val="BodyText"/>
      </w:pPr>
    </w:p>
    <w:p w:rsidR="00E675F0" w:rsidRDefault="00E675F0" w:rsidP="00E675F0">
      <w:pPr>
        <w:pStyle w:val="BodyText"/>
      </w:pPr>
    </w:p>
    <w:p w:rsidR="00E675F0" w:rsidRDefault="00E675F0" w:rsidP="00E675F0">
      <w:pPr>
        <w:pStyle w:val="BodyText"/>
      </w:pPr>
    </w:p>
    <w:p w:rsidR="00E675F0" w:rsidRDefault="00E675F0" w:rsidP="00E675F0">
      <w:pPr>
        <w:pStyle w:val="BodyText"/>
        <w:spacing w:before="6"/>
        <w:rPr>
          <w:sz w:val="25"/>
        </w:rPr>
      </w:pPr>
    </w:p>
    <w:p w:rsidR="00E675F0" w:rsidRDefault="00E675F0" w:rsidP="00E675F0">
      <w:pPr>
        <w:tabs>
          <w:tab w:val="left" w:pos="7209"/>
          <w:tab w:val="left" w:leader="hyphen" w:pos="8486"/>
        </w:tabs>
        <w:spacing w:before="93" w:after="6" w:line="199" w:lineRule="exact"/>
        <w:ind w:left="108"/>
        <w:rPr>
          <w:rFonts w:ascii="Arial" w:hAnsi="Arial"/>
          <w:sz w:val="23"/>
        </w:rPr>
      </w:pPr>
      <w:r>
        <w:rPr>
          <w:noProof/>
        </w:rPr>
        <w:drawing>
          <wp:anchor distT="0" distB="0" distL="0" distR="0" simplePos="0" relativeHeight="251758592" behindDoc="1" locked="0" layoutInCell="1" allowOverlap="1" wp14:anchorId="23F447D9" wp14:editId="6D7516F0">
            <wp:simplePos x="0" y="0"/>
            <wp:positionH relativeFrom="page">
              <wp:posOffset>271272</wp:posOffset>
            </wp:positionH>
            <wp:positionV relativeFrom="paragraph">
              <wp:posOffset>-1757422</wp:posOffset>
            </wp:positionV>
            <wp:extent cx="5416268" cy="1855796"/>
            <wp:effectExtent l="0" t="0" r="0" b="0"/>
            <wp:wrapNone/>
            <wp:docPr id="2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8.png"/>
                    <pic:cNvPicPr/>
                  </pic:nvPicPr>
                  <pic:blipFill>
                    <a:blip r:embed="rId80" cstate="print"/>
                    <a:stretch>
                      <a:fillRect/>
                    </a:stretch>
                  </pic:blipFill>
                  <pic:spPr>
                    <a:xfrm>
                      <a:off x="0" y="0"/>
                      <a:ext cx="5416268" cy="1855796"/>
                    </a:xfrm>
                    <a:prstGeom prst="rect">
                      <a:avLst/>
                    </a:prstGeom>
                  </pic:spPr>
                </pic:pic>
              </a:graphicData>
            </a:graphic>
          </wp:anchor>
        </w:drawing>
      </w:r>
      <w:r>
        <w:rPr>
          <w:w w:val="48"/>
          <w:sz w:val="16"/>
        </w:rPr>
        <w:t>_-----</w:t>
      </w:r>
      <w:r>
        <w:rPr>
          <w:spacing w:val="8"/>
          <w:sz w:val="16"/>
        </w:rPr>
        <w:t xml:space="preserve"> </w:t>
      </w:r>
      <w:r>
        <w:rPr>
          <w:spacing w:val="-35"/>
          <w:w w:val="97"/>
          <w:sz w:val="16"/>
        </w:rPr>
        <w:t>-</w:t>
      </w:r>
      <w:r>
        <w:rPr>
          <w:spacing w:val="-9"/>
          <w:w w:val="109"/>
          <w:sz w:val="16"/>
        </w:rPr>
        <w:t>.</w:t>
      </w:r>
      <w:r>
        <w:rPr>
          <w:w w:val="97"/>
          <w:sz w:val="16"/>
        </w:rPr>
        <w:t>-</w:t>
      </w:r>
      <w:r>
        <w:rPr>
          <w:sz w:val="16"/>
        </w:rPr>
        <w:t xml:space="preserve"> </w:t>
      </w:r>
      <w:r>
        <w:rPr>
          <w:spacing w:val="16"/>
          <w:sz w:val="16"/>
        </w:rPr>
        <w:t xml:space="preserve"> </w:t>
      </w:r>
      <w:r>
        <w:rPr>
          <w:w w:val="54"/>
          <w:sz w:val="16"/>
          <w:u w:val="thick"/>
        </w:rPr>
        <w:t>--</w:t>
      </w:r>
      <w:r>
        <w:rPr>
          <w:w w:val="59"/>
          <w:sz w:val="16"/>
          <w:u w:val="thick"/>
        </w:rPr>
        <w:t>-•</w:t>
      </w:r>
      <w:r>
        <w:rPr>
          <w:spacing w:val="-25"/>
          <w:sz w:val="16"/>
          <w:u w:val="thick"/>
        </w:rPr>
        <w:t xml:space="preserve"> </w:t>
      </w:r>
      <w:r>
        <w:rPr>
          <w:w w:val="49"/>
          <w:sz w:val="16"/>
          <w:u w:val="thick"/>
        </w:rPr>
        <w:t>--=-=--:</w:t>
      </w:r>
      <w:r>
        <w:rPr>
          <w:spacing w:val="9"/>
          <w:w w:val="49"/>
          <w:sz w:val="16"/>
          <w:u w:val="thick"/>
        </w:rPr>
        <w:t>:</w:t>
      </w:r>
      <w:r>
        <w:rPr>
          <w:w w:val="77"/>
          <w:sz w:val="15"/>
          <w:u w:val="thick"/>
        </w:rPr>
        <w:t>·---;c</w:t>
      </w:r>
      <w:r>
        <w:rPr>
          <w:spacing w:val="-16"/>
          <w:sz w:val="15"/>
          <w:u w:val="thick"/>
        </w:rPr>
        <w:t xml:space="preserve"> </w:t>
      </w:r>
      <w:r>
        <w:rPr>
          <w:w w:val="77"/>
          <w:sz w:val="15"/>
          <w:u w:val="thick"/>
        </w:rPr>
        <w:t>-</w:t>
      </w:r>
      <w:r>
        <w:rPr>
          <w:spacing w:val="-16"/>
          <w:sz w:val="15"/>
          <w:u w:val="thick"/>
        </w:rPr>
        <w:t xml:space="preserve"> </w:t>
      </w:r>
      <w:r>
        <w:rPr>
          <w:w w:val="77"/>
          <w:sz w:val="15"/>
          <w:u w:val="thick"/>
        </w:rPr>
        <w:t>;</w:t>
      </w:r>
      <w:r>
        <w:rPr>
          <w:spacing w:val="6"/>
          <w:sz w:val="15"/>
          <w:u w:val="thick"/>
        </w:rPr>
        <w:t xml:space="preserve"> </w:t>
      </w:r>
      <w:r>
        <w:rPr>
          <w:spacing w:val="-25"/>
          <w:sz w:val="15"/>
        </w:rPr>
        <w:t xml:space="preserve"> </w:t>
      </w:r>
      <w:r>
        <w:rPr>
          <w:w w:val="77"/>
          <w:sz w:val="15"/>
          <w:u w:val="thick"/>
        </w:rPr>
        <w:t>:</w:t>
      </w:r>
      <w:r>
        <w:rPr>
          <w:spacing w:val="-6"/>
          <w:sz w:val="15"/>
          <w:u w:val="thick"/>
        </w:rPr>
        <w:t xml:space="preserve"> </w:t>
      </w:r>
      <w:r>
        <w:rPr>
          <w:i/>
          <w:w w:val="78"/>
          <w:sz w:val="19"/>
          <w:u w:val="thick"/>
        </w:rPr>
        <w:t>---</w:t>
      </w:r>
      <w:r>
        <w:rPr>
          <w:i/>
          <w:spacing w:val="-19"/>
          <w:sz w:val="19"/>
          <w:u w:val="thick"/>
        </w:rPr>
        <w:t xml:space="preserve"> </w:t>
      </w:r>
      <w:r>
        <w:rPr>
          <w:i/>
          <w:w w:val="78"/>
          <w:sz w:val="19"/>
          <w:u w:val="thick"/>
        </w:rPr>
        <w:t>:_T----</w:t>
      </w:r>
      <w:r>
        <w:rPr>
          <w:i/>
          <w:spacing w:val="-19"/>
          <w:sz w:val="19"/>
          <w:u w:val="thick"/>
        </w:rPr>
        <w:t xml:space="preserve"> </w:t>
      </w:r>
      <w:r>
        <w:rPr>
          <w:i/>
          <w:w w:val="78"/>
          <w:sz w:val="19"/>
          <w:u w:val="thick"/>
        </w:rPr>
        <w:t>-;x-;£TI;&amp;,*S*&lt;</w:t>
      </w:r>
      <w:r>
        <w:rPr>
          <w:i/>
          <w:spacing w:val="-19"/>
          <w:sz w:val="19"/>
          <w:u w:val="thick"/>
        </w:rPr>
        <w:t xml:space="preserve"> </w:t>
      </w:r>
      <w:r>
        <w:rPr>
          <w:i/>
          <w:w w:val="78"/>
          <w:sz w:val="19"/>
          <w:u w:val="thick"/>
        </w:rPr>
        <w:t>.,</w:t>
      </w:r>
      <w:r>
        <w:rPr>
          <w:i/>
          <w:spacing w:val="11"/>
          <w:sz w:val="19"/>
          <w:u w:val="thick"/>
        </w:rPr>
        <w:t xml:space="preserve"> </w:t>
      </w:r>
      <w:r>
        <w:rPr>
          <w:i/>
          <w:spacing w:val="-31"/>
          <w:sz w:val="19"/>
        </w:rPr>
        <w:t xml:space="preserve"> </w:t>
      </w:r>
      <w:r>
        <w:rPr>
          <w:rFonts w:ascii="Arial" w:hAnsi="Arial"/>
          <w:i/>
          <w:spacing w:val="-1"/>
          <w:w w:val="71"/>
          <w:sz w:val="17"/>
          <w:u w:val="thick"/>
        </w:rPr>
        <w:t>,._</w:t>
      </w:r>
      <w:r>
        <w:rPr>
          <w:rFonts w:ascii="Arial" w:hAnsi="Arial"/>
          <w:i/>
          <w:w w:val="71"/>
          <w:sz w:val="17"/>
          <w:u w:val="thick"/>
        </w:rPr>
        <w:t>x</w:t>
      </w:r>
      <w:r>
        <w:rPr>
          <w:rFonts w:ascii="Arial" w:hAnsi="Arial"/>
          <w:i/>
          <w:spacing w:val="-8"/>
          <w:sz w:val="17"/>
          <w:u w:val="thick"/>
        </w:rPr>
        <w:t xml:space="preserve"> </w:t>
      </w:r>
      <w:r>
        <w:rPr>
          <w:rFonts w:ascii="Arial" w:hAnsi="Arial"/>
          <w:i/>
          <w:spacing w:val="-31"/>
          <w:sz w:val="17"/>
        </w:rPr>
        <w:t xml:space="preserve"> </w:t>
      </w:r>
      <w:r>
        <w:rPr>
          <w:spacing w:val="-1"/>
          <w:w w:val="53"/>
          <w:sz w:val="23"/>
          <w:u w:val="thick"/>
        </w:rPr>
        <w:t>&gt;.:</w:t>
      </w:r>
      <w:r>
        <w:rPr>
          <w:w w:val="53"/>
          <w:sz w:val="23"/>
          <w:u w:val="thick"/>
        </w:rPr>
        <w:t>-</w:t>
      </w:r>
      <w:r>
        <w:rPr>
          <w:spacing w:val="-42"/>
          <w:sz w:val="23"/>
          <w:u w:val="thick"/>
        </w:rPr>
        <w:t xml:space="preserve"> </w:t>
      </w:r>
      <w:r>
        <w:rPr>
          <w:w w:val="53"/>
          <w:sz w:val="23"/>
          <w:u w:val="thick"/>
        </w:rPr>
        <w:t>-.:-:--</w:t>
      </w:r>
      <w:r>
        <w:rPr>
          <w:w w:val="94"/>
          <w:sz w:val="13"/>
          <w:u w:val="thick"/>
        </w:rPr>
        <w:t>·p'y'..;._7</w:t>
      </w:r>
      <w:r>
        <w:rPr>
          <w:sz w:val="13"/>
          <w:u w:val="thick"/>
        </w:rPr>
        <w:t xml:space="preserve"> </w:t>
      </w:r>
      <w:r>
        <w:rPr>
          <w:spacing w:val="-10"/>
          <w:sz w:val="13"/>
          <w:u w:val="thick"/>
        </w:rPr>
        <w:t xml:space="preserve"> </w:t>
      </w:r>
      <w:r>
        <w:rPr>
          <w:w w:val="94"/>
          <w:sz w:val="13"/>
          <w:u w:val="thick"/>
        </w:rPr>
        <w:t>'-</w:t>
      </w:r>
      <w:r>
        <w:rPr>
          <w:spacing w:val="-4"/>
          <w:sz w:val="13"/>
          <w:u w:val="thick"/>
        </w:rPr>
        <w:t xml:space="preserve"> </w:t>
      </w:r>
      <w:r>
        <w:rPr>
          <w:w w:val="94"/>
          <w:sz w:val="13"/>
          <w:u w:val="thick"/>
        </w:rPr>
        <w:t>-</w:t>
      </w:r>
      <w:r>
        <w:rPr>
          <w:spacing w:val="-21"/>
          <w:sz w:val="13"/>
          <w:u w:val="thick"/>
        </w:rPr>
        <w:t xml:space="preserve"> </w:t>
      </w:r>
      <w:r>
        <w:rPr>
          <w:spacing w:val="-47"/>
          <w:w w:val="109"/>
          <w:sz w:val="21"/>
          <w:u w:val="thick"/>
        </w:rPr>
        <w:t>·</w:t>
      </w:r>
      <w:r>
        <w:rPr>
          <w:spacing w:val="17"/>
          <w:w w:val="36"/>
          <w:sz w:val="21"/>
          <w:u w:val="thick"/>
        </w:rPr>
        <w:t>-</w:t>
      </w:r>
      <w:r>
        <w:rPr>
          <w:spacing w:val="-1"/>
          <w:w w:val="98"/>
          <w:sz w:val="21"/>
          <w:u w:val="thick"/>
        </w:rPr>
        <w:t>&gt;:</w:t>
      </w:r>
      <w:r>
        <w:rPr>
          <w:spacing w:val="-64"/>
          <w:w w:val="98"/>
          <w:sz w:val="21"/>
        </w:rPr>
        <w:t>·</w:t>
      </w:r>
      <w:r>
        <w:rPr>
          <w:spacing w:val="-1"/>
          <w:w w:val="65"/>
          <w:sz w:val="21"/>
        </w:rPr>
        <w:t>:</w:t>
      </w:r>
      <w:r>
        <w:rPr>
          <w:spacing w:val="-21"/>
          <w:w w:val="65"/>
          <w:sz w:val="21"/>
        </w:rPr>
        <w:t>-</w:t>
      </w:r>
      <w:r>
        <w:rPr>
          <w:spacing w:val="-38"/>
          <w:w w:val="98"/>
          <w:sz w:val="21"/>
        </w:rPr>
        <w:t>:</w:t>
      </w:r>
      <w:r>
        <w:rPr>
          <w:spacing w:val="-1"/>
          <w:w w:val="65"/>
          <w:sz w:val="21"/>
        </w:rPr>
        <w:t>:</w:t>
      </w:r>
      <w:r>
        <w:rPr>
          <w:spacing w:val="-26"/>
          <w:w w:val="65"/>
          <w:sz w:val="21"/>
        </w:rPr>
        <w:t>:</w:t>
      </w:r>
      <w:r>
        <w:rPr>
          <w:sz w:val="21"/>
          <w:u w:val="thick"/>
        </w:rPr>
        <w:t xml:space="preserve">  </w:t>
      </w:r>
      <w:r>
        <w:rPr>
          <w:spacing w:val="-13"/>
          <w:sz w:val="21"/>
          <w:u w:val="thick"/>
        </w:rPr>
        <w:t xml:space="preserve"> </w:t>
      </w:r>
      <w:r>
        <w:rPr>
          <w:w w:val="36"/>
          <w:sz w:val="21"/>
        </w:rPr>
        <w:t>--</w:t>
      </w:r>
      <w:r>
        <w:rPr>
          <w:spacing w:val="12"/>
          <w:sz w:val="21"/>
        </w:rPr>
        <w:t xml:space="preserve"> </w:t>
      </w:r>
      <w:r>
        <w:rPr>
          <w:w w:val="36"/>
          <w:sz w:val="21"/>
          <w:u w:val="thick"/>
        </w:rPr>
        <w:t>-</w:t>
      </w:r>
      <w:r>
        <w:rPr>
          <w:spacing w:val="-8"/>
          <w:w w:val="36"/>
          <w:sz w:val="21"/>
          <w:u w:val="thick"/>
        </w:rPr>
        <w:t>-</w:t>
      </w:r>
      <w:r>
        <w:rPr>
          <w:w w:val="70"/>
          <w:sz w:val="21"/>
          <w:u w:val="thick"/>
        </w:rPr>
        <w:t>-</w:t>
      </w:r>
      <w:r>
        <w:rPr>
          <w:spacing w:val="-2"/>
          <w:w w:val="70"/>
          <w:sz w:val="21"/>
          <w:u w:val="thick"/>
        </w:rPr>
        <w:t>-</w:t>
      </w:r>
      <w:r>
        <w:rPr>
          <w:spacing w:val="-10"/>
          <w:w w:val="22"/>
          <w:sz w:val="21"/>
          <w:u w:val="thick"/>
        </w:rPr>
        <w:t>_</w:t>
      </w:r>
      <w:r>
        <w:rPr>
          <w:spacing w:val="-1"/>
          <w:w w:val="55"/>
          <w:sz w:val="21"/>
          <w:u w:val="thick"/>
        </w:rPr>
        <w:t>:-</w:t>
      </w:r>
      <w:r>
        <w:rPr>
          <w:spacing w:val="3"/>
          <w:w w:val="55"/>
          <w:sz w:val="21"/>
          <w:u w:val="thick"/>
        </w:rPr>
        <w:t>:</w:t>
      </w:r>
      <w:r>
        <w:rPr>
          <w:spacing w:val="-15"/>
          <w:w w:val="18"/>
          <w:sz w:val="21"/>
        </w:rPr>
        <w:t>_</w:t>
      </w:r>
      <w:r>
        <w:rPr>
          <w:w w:val="37"/>
          <w:sz w:val="21"/>
        </w:rPr>
        <w:t>-</w:t>
      </w:r>
      <w:r>
        <w:rPr>
          <w:spacing w:val="12"/>
          <w:w w:val="37"/>
          <w:sz w:val="21"/>
        </w:rPr>
        <w:t>'</w:t>
      </w:r>
      <w:r>
        <w:rPr>
          <w:w w:val="61"/>
          <w:sz w:val="21"/>
        </w:rPr>
        <w:t>-</w:t>
      </w:r>
      <w:r>
        <w:rPr>
          <w:sz w:val="21"/>
        </w:rPr>
        <w:t xml:space="preserve">  </w:t>
      </w:r>
      <w:r>
        <w:rPr>
          <w:spacing w:val="-8"/>
          <w:sz w:val="21"/>
        </w:rPr>
        <w:t xml:space="preserve"> </w:t>
      </w:r>
      <w:r>
        <w:rPr>
          <w:spacing w:val="-8"/>
          <w:w w:val="36"/>
          <w:sz w:val="21"/>
        </w:rPr>
        <w:t>-</w:t>
      </w:r>
      <w:r>
        <w:rPr>
          <w:spacing w:val="-1"/>
          <w:w w:val="32"/>
          <w:sz w:val="21"/>
        </w:rPr>
        <w:t>\</w:t>
      </w:r>
      <w:r>
        <w:rPr>
          <w:w w:val="32"/>
          <w:sz w:val="21"/>
        </w:rPr>
        <w:t>,c-:;</w:t>
      </w:r>
      <w:r>
        <w:rPr>
          <w:sz w:val="21"/>
        </w:rPr>
        <w:t xml:space="preserve"> </w:t>
      </w:r>
      <w:r>
        <w:rPr>
          <w:spacing w:val="16"/>
          <w:sz w:val="21"/>
        </w:rPr>
        <w:t xml:space="preserve"> </w:t>
      </w:r>
      <w:r>
        <w:rPr>
          <w:w w:val="72"/>
          <w:sz w:val="21"/>
          <w:u w:val="thick"/>
        </w:rPr>
        <w:t>&lt;</w:t>
      </w:r>
      <w:r>
        <w:rPr>
          <w:spacing w:val="-23"/>
          <w:sz w:val="21"/>
          <w:u w:val="thick"/>
        </w:rPr>
        <w:t xml:space="preserve"> </w:t>
      </w:r>
      <w:r>
        <w:rPr>
          <w:sz w:val="21"/>
          <w:u w:val="thick"/>
        </w:rPr>
        <w:t xml:space="preserve">z </w:t>
      </w:r>
      <w:r>
        <w:rPr>
          <w:spacing w:val="16"/>
          <w:sz w:val="21"/>
          <w:u w:val="thick"/>
        </w:rPr>
        <w:t xml:space="preserve"> </w:t>
      </w:r>
      <w:r>
        <w:rPr>
          <w:w w:val="61"/>
          <w:sz w:val="21"/>
          <w:u w:val="thick"/>
        </w:rPr>
        <w:t>-s_</w:t>
      </w:r>
      <w:r>
        <w:rPr>
          <w:w w:val="61"/>
          <w:sz w:val="21"/>
        </w:rPr>
        <w:t>z</w:t>
      </w:r>
      <w:r>
        <w:rPr>
          <w:spacing w:val="7"/>
          <w:sz w:val="21"/>
        </w:rPr>
        <w:t xml:space="preserve"> </w:t>
      </w:r>
      <w:r>
        <w:rPr>
          <w:w w:val="94"/>
          <w:sz w:val="21"/>
          <w:u w:val="thick"/>
        </w:rPr>
        <w:t>&gt;</w:t>
      </w:r>
      <w:r>
        <w:rPr>
          <w:spacing w:val="23"/>
          <w:sz w:val="21"/>
        </w:rPr>
        <w:t xml:space="preserve"> </w:t>
      </w:r>
      <w:r>
        <w:rPr>
          <w:rFonts w:ascii="Arial" w:hAnsi="Arial"/>
          <w:w w:val="91"/>
          <w:sz w:val="23"/>
          <w:u w:val="thick"/>
        </w:rPr>
        <w:t>4</w:t>
      </w:r>
      <w:r>
        <w:rPr>
          <w:rFonts w:ascii="Arial" w:hAnsi="Arial"/>
          <w:sz w:val="23"/>
        </w:rPr>
        <w:tab/>
      </w:r>
      <w:r>
        <w:rPr>
          <w:rFonts w:ascii="Arial" w:hAnsi="Arial"/>
          <w:w w:val="90"/>
          <w:sz w:val="23"/>
          <w:u w:val="thick"/>
        </w:rPr>
        <w:t>-</w:t>
      </w:r>
      <w:r>
        <w:rPr>
          <w:rFonts w:ascii="Arial" w:hAnsi="Arial"/>
          <w:spacing w:val="15"/>
          <w:w w:val="90"/>
          <w:sz w:val="23"/>
          <w:u w:val="thick"/>
        </w:rPr>
        <w:t>-</w:t>
      </w:r>
      <w:r>
        <w:rPr>
          <w:rFonts w:ascii="Arial" w:hAnsi="Arial"/>
          <w:w w:val="48"/>
          <w:sz w:val="23"/>
          <w:u w:val="thick"/>
        </w:rPr>
        <w:t>-</w:t>
      </w:r>
      <w:r>
        <w:rPr>
          <w:rFonts w:ascii="Arial" w:hAnsi="Arial"/>
          <w:spacing w:val="-48"/>
          <w:sz w:val="23"/>
        </w:rPr>
        <w:t xml:space="preserve"> </w:t>
      </w:r>
      <w:r>
        <w:rPr>
          <w:rFonts w:ascii="Arial" w:hAnsi="Arial"/>
          <w:w w:val="48"/>
          <w:sz w:val="23"/>
          <w:u w:val="thick"/>
        </w:rPr>
        <w:t>-</w:t>
      </w:r>
      <w:r>
        <w:rPr>
          <w:rFonts w:ascii="Arial" w:hAnsi="Arial"/>
          <w:spacing w:val="12"/>
          <w:w w:val="48"/>
          <w:sz w:val="23"/>
          <w:u w:val="thick"/>
        </w:rPr>
        <w:t>-</w:t>
      </w:r>
      <w:r>
        <w:rPr>
          <w:rFonts w:ascii="Arial" w:hAnsi="Arial"/>
          <w:w w:val="40"/>
          <w:sz w:val="23"/>
          <w:u w:val="thick"/>
        </w:rPr>
        <w:t>-;-</w:t>
      </w:r>
      <w:r>
        <w:rPr>
          <w:rFonts w:ascii="Arial" w:hAnsi="Arial"/>
          <w:spacing w:val="9"/>
          <w:w w:val="40"/>
          <w:sz w:val="23"/>
          <w:u w:val="thick"/>
        </w:rPr>
        <w:t>_</w:t>
      </w:r>
      <w:r>
        <w:rPr>
          <w:rFonts w:ascii="Arial" w:hAnsi="Arial"/>
          <w:i/>
          <w:spacing w:val="-1"/>
          <w:w w:val="51"/>
          <w:sz w:val="23"/>
          <w:u w:val="thick"/>
        </w:rPr>
        <w:t>.:-</w:t>
      </w:r>
      <w:r>
        <w:rPr>
          <w:rFonts w:ascii="Arial" w:hAnsi="Arial"/>
          <w:i/>
          <w:w w:val="51"/>
          <w:sz w:val="23"/>
          <w:u w:val="thick"/>
        </w:rPr>
        <w:t>-</w:t>
      </w:r>
      <w:r>
        <w:rPr>
          <w:rFonts w:ascii="Arial" w:hAnsi="Arial"/>
          <w:i/>
          <w:spacing w:val="-48"/>
          <w:sz w:val="23"/>
          <w:u w:val="thick"/>
        </w:rPr>
        <w:t xml:space="preserve"> </w:t>
      </w:r>
      <w:r>
        <w:rPr>
          <w:rFonts w:ascii="Arial" w:hAnsi="Arial"/>
          <w:i/>
          <w:spacing w:val="-48"/>
          <w:sz w:val="23"/>
        </w:rPr>
        <w:t xml:space="preserve"> </w:t>
      </w:r>
      <w:r>
        <w:rPr>
          <w:rFonts w:ascii="Arial" w:hAnsi="Arial"/>
          <w:i/>
          <w:w w:val="51"/>
          <w:sz w:val="23"/>
          <w:u w:val="thick"/>
        </w:rPr>
        <w:t>--::</w:t>
      </w:r>
      <w:r>
        <w:rPr>
          <w:rFonts w:ascii="Arial" w:hAnsi="Arial"/>
          <w:i/>
          <w:spacing w:val="-15"/>
          <w:sz w:val="23"/>
          <w:u w:val="thick"/>
        </w:rPr>
        <w:t xml:space="preserve"> </w:t>
      </w:r>
      <w:r>
        <w:rPr>
          <w:rFonts w:ascii="Arial" w:hAnsi="Arial"/>
          <w:i/>
          <w:sz w:val="23"/>
        </w:rPr>
        <w:t xml:space="preserve"> </w:t>
      </w:r>
      <w:r>
        <w:rPr>
          <w:rFonts w:ascii="Arial" w:hAnsi="Arial"/>
          <w:i/>
          <w:sz w:val="23"/>
        </w:rPr>
        <w:tab/>
      </w:r>
      <w:r>
        <w:rPr>
          <w:rFonts w:ascii="Arial" w:hAnsi="Arial"/>
          <w:w w:val="28"/>
          <w:sz w:val="23"/>
          <w:u w:val="thick"/>
        </w:rPr>
        <w:t>_---_</w:t>
      </w:r>
    </w:p>
    <w:p w:rsidR="00E675F0" w:rsidRDefault="00E675F0" w:rsidP="00E675F0">
      <w:pPr>
        <w:tabs>
          <w:tab w:val="left" w:pos="5796"/>
        </w:tabs>
        <w:spacing w:line="46" w:lineRule="exact"/>
        <w:ind w:left="97"/>
        <w:rPr>
          <w:rFonts w:ascii="Arial"/>
          <w:sz w:val="2"/>
        </w:rPr>
      </w:pPr>
      <w:r>
        <w:rPr>
          <w:rFonts w:ascii="Arial"/>
          <w:noProof/>
          <w:sz w:val="4"/>
        </w:rPr>
        <mc:AlternateContent>
          <mc:Choice Requires="wpg">
            <w:drawing>
              <wp:inline distT="0" distB="0" distL="0" distR="0" wp14:anchorId="3FFDDD7D" wp14:editId="0926D842">
                <wp:extent cx="228600" cy="28575"/>
                <wp:effectExtent l="0" t="0" r="0" b="0"/>
                <wp:docPr id="1597" name="Group 1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8575"/>
                          <a:chOff x="0" y="0"/>
                          <a:chExt cx="360" cy="45"/>
                        </a:xfrm>
                      </wpg:grpSpPr>
                      <wps:wsp>
                        <wps:cNvPr id="1598" name="Line 1555"/>
                        <wps:cNvCnPr>
                          <a:cxnSpLocks/>
                        </wps:cNvCnPr>
                        <wps:spPr bwMode="auto">
                          <a:xfrm>
                            <a:off x="0" y="10"/>
                            <a:ext cx="247" cy="0"/>
                          </a:xfrm>
                          <a:prstGeom prst="line">
                            <a:avLst/>
                          </a:prstGeom>
                          <a:noFill/>
                          <a:ln w="127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9" name="Line 1554"/>
                        <wps:cNvCnPr>
                          <a:cxnSpLocks/>
                        </wps:cNvCnPr>
                        <wps:spPr bwMode="auto">
                          <a:xfrm>
                            <a:off x="308" y="41"/>
                            <a:ext cx="51" cy="0"/>
                          </a:xfrm>
                          <a:prstGeom prst="line">
                            <a:avLst/>
                          </a:prstGeom>
                          <a:noFill/>
                          <a:ln w="40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9471560" id="Group 1553" o:spid="_x0000_s1026" style="width:18pt;height:2.25pt;mso-position-horizontal-relative:char;mso-position-vertical-relative:line" coordsize="360,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">
                <v:line id="Line 1555" o:spid="_x0000_s1027" style="position:absolute;visibility:visible;mso-wrap-style:square" from="0,10" to="247,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" strokeweight=".35328mm">
                  <o:lock v:ext="edit" shapetype="f"/>
                </v:line>
                <v:line id="Line 1554" o:spid="_x0000_s1028" style="position:absolute;visibility:visible;mso-wrap-style:square" from="308,41" to="359,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" strokeweight=".1132mm">
                  <o:lock v:ext="edit" shapetype="f"/>
                </v:line>
                <w10:anchorlock/>
              </v:group>
            </w:pict>
          </mc:Fallback>
        </mc:AlternateContent>
      </w:r>
      <w:r>
        <w:rPr>
          <w:rFonts w:ascii="Arial"/>
          <w:sz w:val="4"/>
        </w:rPr>
        <w:tab/>
      </w:r>
      <w:r>
        <w:rPr>
          <w:rFonts w:ascii="Arial"/>
          <w:noProof/>
          <w:position w:val="2"/>
          <w:sz w:val="2"/>
        </w:rPr>
        <mc:AlternateContent>
          <mc:Choice Requires="wpg">
            <w:drawing>
              <wp:inline distT="0" distB="0" distL="0" distR="0" wp14:anchorId="32431945" wp14:editId="532D35DF">
                <wp:extent cx="48260" cy="13335"/>
                <wp:effectExtent l="0" t="0" r="2540" b="0"/>
                <wp:docPr id="1595" name="Group 1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60" cy="13335"/>
                          <a:chOff x="0" y="0"/>
                          <a:chExt cx="76" cy="21"/>
                        </a:xfrm>
                      </wpg:grpSpPr>
                      <wps:wsp>
                        <wps:cNvPr id="1596" name="Line 1552"/>
                        <wps:cNvCnPr>
                          <a:cxnSpLocks/>
                        </wps:cNvCnPr>
                        <wps:spPr bwMode="auto">
                          <a:xfrm>
                            <a:off x="0" y="10"/>
                            <a:ext cx="76" cy="0"/>
                          </a:xfrm>
                          <a:prstGeom prst="line">
                            <a:avLst/>
                          </a:prstGeom>
                          <a:noFill/>
                          <a:ln w="1271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3CFBF9F" id="Group 1551" o:spid="_x0000_s1026" style="width:3.8pt;height:1.05pt;mso-position-horizontal-relative:char;mso-position-vertical-relative:line" coordsize="76,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">
                <v:line id="Line 1552" o:spid="_x0000_s1027" style="position:absolute;visibility:visible;mso-wrap-style:square" from="0,10" to="76,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" strokeweight=".35328mm">
                  <o:lock v:ext="edit" shapetype="f"/>
                </v:line>
                <w10:anchorlock/>
              </v:group>
            </w:pict>
          </mc:Fallback>
        </mc:AlternateContent>
      </w:r>
    </w:p>
    <w:p w:rsidR="00E675F0" w:rsidRDefault="00E675F0" w:rsidP="00E675F0">
      <w:pPr>
        <w:tabs>
          <w:tab w:val="left" w:leader="hyphen" w:pos="8103"/>
        </w:tabs>
        <w:spacing w:line="303" w:lineRule="exact"/>
        <w:ind w:left="118"/>
        <w:rPr>
          <w:sz w:val="16"/>
        </w:rPr>
      </w:pPr>
      <w:r>
        <w:rPr>
          <w:noProof/>
        </w:rPr>
        <mc:AlternateContent>
          <mc:Choice Requires="wps">
            <w:drawing>
              <wp:anchor distT="0" distB="0" distL="114300" distR="114300" simplePos="0" relativeHeight="251682816" behindDoc="0" locked="0" layoutInCell="1" allowOverlap="1" wp14:anchorId="087882A2" wp14:editId="1238336E">
                <wp:simplePos x="0" y="0"/>
                <wp:positionH relativeFrom="page">
                  <wp:posOffset>3521710</wp:posOffset>
                </wp:positionH>
                <wp:positionV relativeFrom="paragraph">
                  <wp:posOffset>174625</wp:posOffset>
                </wp:positionV>
                <wp:extent cx="26670" cy="0"/>
                <wp:effectExtent l="0" t="0" r="0" b="0"/>
                <wp:wrapNone/>
                <wp:docPr id="1594" name="Line 15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670" cy="0"/>
                        </a:xfrm>
                        <a:prstGeom prst="line">
                          <a:avLst/>
                        </a:prstGeom>
                        <a:noFill/>
                        <a:ln w="534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905D85" id="Line 1550" o:spid="_x0000_s1026" style="position:absolute;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7.3pt,13.75pt" to="279.4pt,13.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" strokeweight=".14858mm">
                <o:lock v:ext="edit" shapetype="f"/>
                <w10:wrap anchorx="page"/>
              </v:line>
            </w:pict>
          </mc:Fallback>
        </mc:AlternateContent>
      </w:r>
      <w:r>
        <w:rPr>
          <w:i/>
          <w:spacing w:val="-23"/>
          <w:w w:val="31"/>
        </w:rPr>
        <w:t>:</w:t>
      </w:r>
      <w:r>
        <w:rPr>
          <w:u w:val="double"/>
        </w:rPr>
        <w:t xml:space="preserve">   </w:t>
      </w:r>
      <w:r>
        <w:rPr>
          <w:spacing w:val="21"/>
          <w:u w:val="double"/>
        </w:rPr>
        <w:t xml:space="preserve"> </w:t>
      </w:r>
      <w:r>
        <w:rPr>
          <w:w w:val="52"/>
          <w:u w:val="double"/>
        </w:rPr>
        <w:t>---:-_z_-•--!</w:t>
      </w:r>
      <w:r>
        <w:rPr>
          <w:spacing w:val="-20"/>
          <w:u w:val="double"/>
        </w:rPr>
        <w:t xml:space="preserve"> </w:t>
      </w:r>
      <w:r>
        <w:rPr>
          <w:spacing w:val="-23"/>
        </w:rPr>
        <w:t xml:space="preserve"> </w:t>
      </w:r>
      <w:r>
        <w:rPr>
          <w:spacing w:val="-1"/>
          <w:w w:val="76"/>
          <w:sz w:val="20"/>
          <w:u w:val="thick"/>
        </w:rPr>
        <w:t>:-----</w:t>
      </w:r>
      <w:r>
        <w:rPr>
          <w:w w:val="76"/>
          <w:sz w:val="20"/>
          <w:u w:val="thick"/>
        </w:rPr>
        <w:t>-</w:t>
      </w:r>
      <w:r>
        <w:rPr>
          <w:spacing w:val="-22"/>
          <w:sz w:val="20"/>
          <w:u w:val="thick"/>
        </w:rPr>
        <w:t xml:space="preserve"> </w:t>
      </w:r>
      <w:r>
        <w:rPr>
          <w:spacing w:val="-1"/>
          <w:w w:val="76"/>
          <w:sz w:val="20"/>
          <w:u w:val="thick"/>
        </w:rPr>
        <w:t>;&gt;&lt;---:-</w:t>
      </w:r>
      <w:r>
        <w:rPr>
          <w:w w:val="76"/>
          <w:sz w:val="20"/>
          <w:u w:val="thick"/>
        </w:rPr>
        <w:t>-</w:t>
      </w:r>
      <w:r>
        <w:rPr>
          <w:spacing w:val="-22"/>
          <w:sz w:val="20"/>
          <w:u w:val="thick"/>
        </w:rPr>
        <w:t xml:space="preserve"> </w:t>
      </w:r>
      <w:r>
        <w:rPr>
          <w:w w:val="76"/>
          <w:sz w:val="20"/>
          <w:u w:val="thick"/>
        </w:rPr>
        <w:t>---_</w:t>
      </w:r>
      <w:r>
        <w:rPr>
          <w:spacing w:val="-22"/>
          <w:sz w:val="20"/>
          <w:u w:val="thick"/>
        </w:rPr>
        <w:t xml:space="preserve"> </w:t>
      </w:r>
      <w:r>
        <w:rPr>
          <w:w w:val="76"/>
          <w:sz w:val="20"/>
          <w:u w:val="thick"/>
        </w:rPr>
        <w:t>-</w:t>
      </w:r>
      <w:r>
        <w:rPr>
          <w:spacing w:val="7"/>
          <w:sz w:val="20"/>
          <w:u w:val="thick"/>
        </w:rPr>
        <w:t xml:space="preserve"> </w:t>
      </w:r>
      <w:r>
        <w:rPr>
          <w:spacing w:val="-32"/>
          <w:sz w:val="20"/>
        </w:rPr>
        <w:t xml:space="preserve"> </w:t>
      </w:r>
      <w:r>
        <w:rPr>
          <w:spacing w:val="-1"/>
          <w:w w:val="76"/>
          <w:sz w:val="20"/>
          <w:u w:val="thick"/>
        </w:rPr>
        <w:t>;--e·</w:t>
      </w:r>
      <w:r>
        <w:rPr>
          <w:w w:val="76"/>
          <w:sz w:val="20"/>
          <w:u w:val="thick"/>
        </w:rPr>
        <w:t>-</w:t>
      </w:r>
      <w:r>
        <w:rPr>
          <w:spacing w:val="-22"/>
          <w:sz w:val="20"/>
          <w:u w:val="thick"/>
        </w:rPr>
        <w:t xml:space="preserve"> </w:t>
      </w:r>
      <w:r>
        <w:rPr>
          <w:spacing w:val="-1"/>
          <w:w w:val="76"/>
          <w:sz w:val="20"/>
          <w:u w:val="thick"/>
        </w:rPr>
        <w:t>;:-;</w:t>
      </w:r>
      <w:r>
        <w:rPr>
          <w:w w:val="76"/>
          <w:sz w:val="20"/>
          <w:u w:val="thick"/>
        </w:rPr>
        <w:t>k</w:t>
      </w:r>
      <w:r>
        <w:rPr>
          <w:spacing w:val="-22"/>
          <w:sz w:val="20"/>
          <w:u w:val="thick"/>
        </w:rPr>
        <w:t xml:space="preserve"> </w:t>
      </w:r>
      <w:r>
        <w:rPr>
          <w:w w:val="76"/>
          <w:sz w:val="20"/>
          <w:u w:val="thick"/>
        </w:rPr>
        <w:t>s</w:t>
      </w:r>
      <w:r>
        <w:rPr>
          <w:spacing w:val="7"/>
          <w:sz w:val="20"/>
          <w:u w:val="thick"/>
        </w:rPr>
        <w:t xml:space="preserve"> </w:t>
      </w:r>
      <w:r>
        <w:rPr>
          <w:spacing w:val="-32"/>
          <w:sz w:val="20"/>
        </w:rPr>
        <w:t xml:space="preserve"> </w:t>
      </w:r>
      <w:r>
        <w:rPr>
          <w:spacing w:val="-1"/>
          <w:w w:val="76"/>
          <w:sz w:val="20"/>
          <w:u w:val="thick"/>
        </w:rPr>
        <w:t>:-=</w:t>
      </w:r>
      <w:r>
        <w:rPr>
          <w:w w:val="76"/>
          <w:sz w:val="20"/>
          <w:u w:val="thick"/>
        </w:rPr>
        <w:t>:</w:t>
      </w:r>
      <w:r>
        <w:rPr>
          <w:spacing w:val="-22"/>
          <w:sz w:val="20"/>
          <w:u w:val="thick"/>
        </w:rPr>
        <w:t xml:space="preserve"> </w:t>
      </w:r>
      <w:r>
        <w:rPr>
          <w:spacing w:val="17"/>
          <w:w w:val="76"/>
          <w:sz w:val="20"/>
          <w:u w:val="thick"/>
        </w:rPr>
        <w:t>2</w:t>
      </w:r>
      <w:r>
        <w:rPr>
          <w:w w:val="67"/>
          <w:u w:val="thick"/>
        </w:rPr>
        <w:t>:</w:t>
      </w:r>
      <w:r>
        <w:rPr>
          <w:spacing w:val="-31"/>
          <w:u w:val="thick"/>
        </w:rPr>
        <w:t xml:space="preserve"> </w:t>
      </w:r>
      <w:r>
        <w:rPr>
          <w:spacing w:val="-1"/>
          <w:w w:val="67"/>
          <w:u w:val="thick"/>
        </w:rPr>
        <w:t>&lt;*</w:t>
      </w:r>
      <w:r>
        <w:rPr>
          <w:w w:val="67"/>
          <w:u w:val="thick"/>
        </w:rPr>
        <w:t>-</w:t>
      </w:r>
      <w:r>
        <w:rPr>
          <w:u w:val="thick"/>
        </w:rPr>
        <w:t xml:space="preserve"> </w:t>
      </w:r>
      <w:r>
        <w:rPr>
          <w:spacing w:val="-28"/>
        </w:rPr>
        <w:t xml:space="preserve"> </w:t>
      </w:r>
      <w:r>
        <w:rPr>
          <w:i/>
          <w:w w:val="49"/>
          <w:sz w:val="32"/>
          <w:u w:val="thick"/>
        </w:rPr>
        <w:t>-----w*Z?</w:t>
      </w:r>
      <w:r>
        <w:rPr>
          <w:i/>
          <w:w w:val="56"/>
          <w:sz w:val="21"/>
          <w:u w:val="thick"/>
        </w:rPr>
        <w:t>:-</w:t>
      </w:r>
      <w:r>
        <w:rPr>
          <w:i/>
          <w:spacing w:val="-36"/>
          <w:sz w:val="21"/>
          <w:u w:val="thick"/>
        </w:rPr>
        <w:t xml:space="preserve"> </w:t>
      </w:r>
      <w:r>
        <w:rPr>
          <w:i/>
          <w:w w:val="56"/>
          <w:sz w:val="21"/>
          <w:u w:val="thick"/>
        </w:rPr>
        <w:t>:r-·-p;.&lt;_-_=</w:t>
      </w:r>
      <w:r>
        <w:rPr>
          <w:i/>
          <w:spacing w:val="-34"/>
          <w:sz w:val="21"/>
          <w:u w:val="thick"/>
        </w:rPr>
        <w:t xml:space="preserve"> </w:t>
      </w:r>
      <w:r>
        <w:rPr>
          <w:w w:val="37"/>
          <w:sz w:val="21"/>
          <w:u w:val="thick"/>
        </w:rPr>
        <w:t>_</w:t>
      </w:r>
      <w:r>
        <w:rPr>
          <w:spacing w:val="4"/>
          <w:w w:val="37"/>
          <w:sz w:val="21"/>
          <w:u w:val="thick"/>
        </w:rPr>
        <w:t>-</w:t>
      </w:r>
      <w:r>
        <w:rPr>
          <w:rFonts w:ascii="Arial" w:hAnsi="Arial"/>
          <w:w w:val="105"/>
          <w:sz w:val="6"/>
          <w:u w:val="thick"/>
        </w:rPr>
        <w:t>=</w:t>
      </w:r>
      <w:r>
        <w:rPr>
          <w:rFonts w:ascii="Arial" w:hAnsi="Arial"/>
          <w:sz w:val="6"/>
          <w:u w:val="thick"/>
        </w:rPr>
        <w:t xml:space="preserve">  </w:t>
      </w:r>
      <w:r>
        <w:rPr>
          <w:rFonts w:ascii="Arial" w:hAnsi="Arial"/>
          <w:spacing w:val="-3"/>
          <w:sz w:val="6"/>
          <w:u w:val="thick"/>
        </w:rPr>
        <w:t xml:space="preserve"> </w:t>
      </w:r>
      <w:r>
        <w:rPr>
          <w:w w:val="86"/>
          <w:sz w:val="17"/>
          <w:u w:val="thick"/>
        </w:rPr>
        <w:t>a</w:t>
      </w:r>
      <w:r>
        <w:rPr>
          <w:spacing w:val="-12"/>
          <w:sz w:val="17"/>
          <w:u w:val="thick"/>
        </w:rPr>
        <w:t xml:space="preserve"> </w:t>
      </w:r>
      <w:r>
        <w:rPr>
          <w:w w:val="86"/>
          <w:sz w:val="17"/>
          <w:u w:val="thick"/>
        </w:rPr>
        <w:t>,/;.,a</w:t>
      </w:r>
      <w:r>
        <w:rPr>
          <w:spacing w:val="-11"/>
          <w:sz w:val="17"/>
          <w:u w:val="thick"/>
        </w:rPr>
        <w:t xml:space="preserve"> </w:t>
      </w:r>
      <w:r>
        <w:rPr>
          <w:w w:val="86"/>
          <w:sz w:val="17"/>
          <w:u w:val="thick"/>
        </w:rPr>
        <w:t>,;i-</w:t>
      </w:r>
      <w:r>
        <w:rPr>
          <w:spacing w:val="-11"/>
          <w:sz w:val="17"/>
          <w:u w:val="thick"/>
        </w:rPr>
        <w:t xml:space="preserve"> </w:t>
      </w:r>
      <w:r>
        <w:rPr>
          <w:w w:val="86"/>
          <w:sz w:val="17"/>
          <w:u w:val="thick"/>
        </w:rPr>
        <w:t>h</w:t>
      </w:r>
      <w:r>
        <w:rPr>
          <w:spacing w:val="-21"/>
          <w:sz w:val="17"/>
          <w:u w:val="thick"/>
        </w:rPr>
        <w:t xml:space="preserve"> </w:t>
      </w:r>
      <w:r>
        <w:rPr>
          <w:rFonts w:ascii="Arial" w:hAnsi="Arial"/>
          <w:spacing w:val="-75"/>
          <w:w w:val="79"/>
          <w:sz w:val="15"/>
          <w:u w:val="thick"/>
        </w:rPr>
        <w:t>D</w:t>
      </w:r>
      <w:r>
        <w:rPr>
          <w:spacing w:val="-14"/>
          <w:w w:val="79"/>
          <w:sz w:val="20"/>
          <w:u w:val="thick"/>
        </w:rPr>
        <w:t>-</w:t>
      </w:r>
      <w:r>
        <w:rPr>
          <w:spacing w:val="-10"/>
          <w:w w:val="89"/>
          <w:sz w:val="20"/>
          <w:u w:val="thick"/>
        </w:rPr>
        <w:t>,</w:t>
      </w:r>
      <w:r>
        <w:rPr>
          <w:rFonts w:ascii="Arial" w:hAnsi="Arial"/>
          <w:w w:val="79"/>
          <w:sz w:val="15"/>
          <w:u w:val="thick"/>
        </w:rPr>
        <w:t>-</w:t>
      </w:r>
      <w:r>
        <w:rPr>
          <w:rFonts w:ascii="Arial" w:hAnsi="Arial"/>
          <w:spacing w:val="10"/>
          <w:sz w:val="15"/>
          <w:u w:val="thick"/>
        </w:rPr>
        <w:t xml:space="preserve"> </w:t>
      </w:r>
      <w:r>
        <w:rPr>
          <w:rFonts w:ascii="Arial" w:hAnsi="Arial"/>
          <w:spacing w:val="-28"/>
          <w:sz w:val="15"/>
        </w:rPr>
        <w:t xml:space="preserve"> </w:t>
      </w:r>
      <w:r>
        <w:rPr>
          <w:spacing w:val="-9"/>
          <w:w w:val="47"/>
          <w:sz w:val="20"/>
          <w:u w:val="thick"/>
        </w:rPr>
        <w:t>-</w:t>
      </w:r>
      <w:r>
        <w:rPr>
          <w:spacing w:val="-80"/>
          <w:w w:val="89"/>
          <w:sz w:val="20"/>
          <w:u w:val="thick"/>
        </w:rPr>
        <w:t>◊</w:t>
      </w:r>
      <w:r>
        <w:rPr>
          <w:w w:val="47"/>
          <w:sz w:val="20"/>
          <w:u w:val="thick"/>
        </w:rPr>
        <w:t>-</w:t>
      </w:r>
      <w:r>
        <w:rPr>
          <w:sz w:val="20"/>
          <w:u w:val="thick"/>
        </w:rPr>
        <w:t xml:space="preserve"> </w:t>
      </w:r>
      <w:r>
        <w:rPr>
          <w:spacing w:val="3"/>
          <w:sz w:val="20"/>
          <w:u w:val="thick"/>
        </w:rPr>
        <w:t xml:space="preserve"> </w:t>
      </w:r>
      <w:r>
        <w:rPr>
          <w:sz w:val="20"/>
        </w:rPr>
        <w:t xml:space="preserve"> </w:t>
      </w:r>
      <w:r>
        <w:rPr>
          <w:spacing w:val="16"/>
          <w:sz w:val="20"/>
        </w:rPr>
        <w:t xml:space="preserve"> </w:t>
      </w:r>
      <w:r>
        <w:rPr>
          <w:spacing w:val="-1"/>
          <w:w w:val="89"/>
          <w:sz w:val="20"/>
          <w:u w:val="thick"/>
        </w:rPr>
        <w:t>\</w:t>
      </w:r>
      <w:r>
        <w:rPr>
          <w:spacing w:val="7"/>
          <w:w w:val="89"/>
          <w:sz w:val="20"/>
        </w:rPr>
        <w:t>0</w:t>
      </w:r>
      <w:r>
        <w:rPr>
          <w:w w:val="29"/>
          <w:sz w:val="20"/>
        </w:rPr>
        <w:t>_:,;-</w:t>
      </w:r>
      <w:r>
        <w:rPr>
          <w:spacing w:val="-32"/>
          <w:sz w:val="20"/>
        </w:rPr>
        <w:t xml:space="preserve"> </w:t>
      </w:r>
      <w:r>
        <w:rPr>
          <w:spacing w:val="7"/>
          <w:sz w:val="20"/>
          <w:u w:val="thick"/>
        </w:rPr>
        <w:t>/</w:t>
      </w:r>
      <w:r>
        <w:rPr>
          <w:spacing w:val="-35"/>
          <w:sz w:val="20"/>
          <w:u w:val="thick"/>
        </w:rPr>
        <w:t>J</w:t>
      </w:r>
      <w:r>
        <w:rPr>
          <w:w w:val="76"/>
          <w:sz w:val="20"/>
          <w:u w:val="thick"/>
        </w:rPr>
        <w:t>r</w:t>
      </w:r>
      <w:r>
        <w:rPr>
          <w:sz w:val="20"/>
          <w:u w:val="thick"/>
        </w:rPr>
        <w:t xml:space="preserve">  </w:t>
      </w:r>
      <w:r>
        <w:rPr>
          <w:spacing w:val="-19"/>
          <w:sz w:val="20"/>
        </w:rPr>
        <w:t xml:space="preserve"> </w:t>
      </w:r>
      <w:r>
        <w:rPr>
          <w:spacing w:val="-20"/>
          <w:w w:val="38"/>
          <w:sz w:val="20"/>
          <w:u w:val="thick"/>
        </w:rPr>
        <w:t>-</w:t>
      </w:r>
      <w:r>
        <w:rPr>
          <w:spacing w:val="-1"/>
          <w:w w:val="108"/>
          <w:sz w:val="20"/>
          <w:u w:val="thick"/>
        </w:rPr>
        <w:t>:?·s</w:t>
      </w:r>
      <w:r>
        <w:rPr>
          <w:w w:val="108"/>
          <w:sz w:val="20"/>
          <w:u w:val="thick"/>
        </w:rPr>
        <w:t>v</w:t>
      </w:r>
      <w:r>
        <w:rPr>
          <w:spacing w:val="13"/>
          <w:sz w:val="20"/>
          <w:u w:val="thick"/>
        </w:rPr>
        <w:t xml:space="preserve"> </w:t>
      </w:r>
      <w:r>
        <w:rPr>
          <w:sz w:val="20"/>
        </w:rPr>
        <w:t xml:space="preserve"> </w:t>
      </w:r>
      <w:r>
        <w:rPr>
          <w:sz w:val="20"/>
        </w:rPr>
        <w:tab/>
      </w:r>
      <w:r>
        <w:rPr>
          <w:w w:val="89"/>
          <w:sz w:val="16"/>
          <w:u w:val="thick"/>
        </w:rPr>
        <w:t>2&lt;·:a_--</w:t>
      </w:r>
      <w:r>
        <w:rPr>
          <w:w w:val="89"/>
          <w:sz w:val="16"/>
        </w:rPr>
        <w:t>;</w:t>
      </w:r>
    </w:p>
    <w:p w:rsidR="00E675F0" w:rsidRDefault="00E675F0" w:rsidP="00E675F0">
      <w:pPr>
        <w:pStyle w:val="BodyText"/>
      </w:pPr>
    </w:p>
    <w:p w:rsidR="00E675F0" w:rsidRDefault="00E675F0" w:rsidP="00E675F0">
      <w:pPr>
        <w:pStyle w:val="BodyText"/>
      </w:pPr>
    </w:p>
    <w:p w:rsidR="00E675F0" w:rsidRDefault="00E675F0" w:rsidP="00E675F0">
      <w:pPr>
        <w:pStyle w:val="BodyText"/>
      </w:pPr>
    </w:p>
    <w:p w:rsidR="00E675F0" w:rsidRDefault="00E675F0" w:rsidP="00E675F0">
      <w:pPr>
        <w:pStyle w:val="BodyText"/>
      </w:pPr>
    </w:p>
    <w:p w:rsidR="00E675F0" w:rsidRDefault="00E675F0" w:rsidP="00E675F0">
      <w:pPr>
        <w:pStyle w:val="BodyText"/>
      </w:pPr>
    </w:p>
    <w:p w:rsidR="00E675F0" w:rsidRDefault="00E675F0" w:rsidP="00E675F0">
      <w:pPr>
        <w:pStyle w:val="BodyText"/>
      </w:pPr>
    </w:p>
    <w:p w:rsidR="00E675F0" w:rsidRDefault="00E675F0" w:rsidP="00E675F0">
      <w:pPr>
        <w:pStyle w:val="BodyText"/>
      </w:pPr>
    </w:p>
    <w:p w:rsidR="00E675F0" w:rsidRDefault="00E675F0" w:rsidP="00E675F0">
      <w:pPr>
        <w:pStyle w:val="BodyText"/>
        <w:spacing w:before="11"/>
        <w:rPr>
          <w:sz w:val="21"/>
        </w:rPr>
      </w:pPr>
    </w:p>
    <w:p w:rsidR="00E675F0" w:rsidRDefault="00E675F0" w:rsidP="00E675F0">
      <w:pPr>
        <w:tabs>
          <w:tab w:val="left" w:pos="3555"/>
        </w:tabs>
        <w:spacing w:before="96"/>
        <w:ind w:left="115" w:right="-15"/>
        <w:rPr>
          <w:i/>
          <w:sz w:val="16"/>
        </w:rPr>
      </w:pPr>
      <w:r>
        <w:rPr>
          <w:noProof/>
        </w:rPr>
        <w:drawing>
          <wp:anchor distT="0" distB="0" distL="0" distR="0" simplePos="0" relativeHeight="251681792" behindDoc="0" locked="0" layoutInCell="1" allowOverlap="1" wp14:anchorId="1119CDBE" wp14:editId="25F6B024">
            <wp:simplePos x="0" y="0"/>
            <wp:positionH relativeFrom="page">
              <wp:posOffset>271272</wp:posOffset>
            </wp:positionH>
            <wp:positionV relativeFrom="paragraph">
              <wp:posOffset>-1141061</wp:posOffset>
            </wp:positionV>
            <wp:extent cx="5416268" cy="1220918"/>
            <wp:effectExtent l="0" t="0" r="0" b="0"/>
            <wp:wrapNone/>
            <wp:docPr id="2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9.png"/>
                    <pic:cNvPicPr/>
                  </pic:nvPicPr>
                  <pic:blipFill>
                    <a:blip r:embed="rId81" cstate="print"/>
                    <a:stretch>
                      <a:fillRect/>
                    </a:stretch>
                  </pic:blipFill>
                  <pic:spPr>
                    <a:xfrm>
                      <a:off x="0" y="0"/>
                      <a:ext cx="5416268" cy="1220918"/>
                    </a:xfrm>
                    <a:prstGeom prst="rect">
                      <a:avLst/>
                    </a:prstGeom>
                  </pic:spPr>
                </pic:pic>
              </a:graphicData>
            </a:graphic>
          </wp:anchor>
        </w:drawing>
      </w:r>
      <w:r>
        <w:rPr>
          <w:noProof/>
        </w:rPr>
        <mc:AlternateContent>
          <mc:Choice Requires="wpg">
            <w:drawing>
              <wp:anchor distT="0" distB="0" distL="114300" distR="114300" simplePos="0" relativeHeight="251759616" behindDoc="1" locked="0" layoutInCell="1" allowOverlap="1" wp14:anchorId="03D01ED0" wp14:editId="623ABAD9">
                <wp:simplePos x="0" y="0"/>
                <wp:positionH relativeFrom="page">
                  <wp:posOffset>675005</wp:posOffset>
                </wp:positionH>
                <wp:positionV relativeFrom="paragraph">
                  <wp:posOffset>195580</wp:posOffset>
                </wp:positionV>
                <wp:extent cx="5010150" cy="226695"/>
                <wp:effectExtent l="0" t="0" r="6350" b="0"/>
                <wp:wrapNone/>
                <wp:docPr id="1587" name="Group 1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0150" cy="226695"/>
                          <a:chOff x="1063" y="308"/>
                          <a:chExt cx="7890" cy="357"/>
                        </a:xfrm>
                      </wpg:grpSpPr>
                      <pic:pic xmlns:pic="http://schemas.openxmlformats.org/drawingml/2006/picture">
                        <pic:nvPicPr>
                          <pic:cNvPr id="1588" name="Picture 1549"/>
                          <pic:cNvPicPr>
                            <a:picLocks/>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1062" y="394"/>
                            <a:ext cx="581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9" name="Picture 1548"/>
                          <pic:cNvPicPr>
                            <a:picLocks/>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7897" y="438"/>
                            <a:ext cx="1040"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90" name="Line 1547"/>
                        <wps:cNvCnPr>
                          <a:cxnSpLocks/>
                        </wps:cNvCnPr>
                        <wps:spPr bwMode="auto">
                          <a:xfrm>
                            <a:off x="6877" y="525"/>
                            <a:ext cx="1021" cy="0"/>
                          </a:xfrm>
                          <a:prstGeom prst="line">
                            <a:avLst/>
                          </a:prstGeom>
                          <a:noFill/>
                          <a:ln w="183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1" name="AutoShape 1546"/>
                        <wps:cNvSpPr>
                          <a:spLocks/>
                        </wps:cNvSpPr>
                        <wps:spPr bwMode="auto">
                          <a:xfrm>
                            <a:off x="1681" y="318"/>
                            <a:ext cx="6047" cy="2"/>
                          </a:xfrm>
                          <a:custGeom>
                            <a:avLst/>
                            <a:gdLst>
                              <a:gd name="T0" fmla="+- 0 1681 1681"/>
                              <a:gd name="T1" fmla="*/ T0 w 6047"/>
                              <a:gd name="T2" fmla="+- 0 2877 1681"/>
                              <a:gd name="T3" fmla="*/ T2 w 6047"/>
                              <a:gd name="T4" fmla="+- 0 2918 1681"/>
                              <a:gd name="T5" fmla="*/ T4 w 6047"/>
                              <a:gd name="T6" fmla="+- 0 3370 1681"/>
                              <a:gd name="T7" fmla="*/ T6 w 6047"/>
                              <a:gd name="T8" fmla="+- 0 3407 1681"/>
                              <a:gd name="T9" fmla="*/ T8 w 6047"/>
                              <a:gd name="T10" fmla="+- 0 3826 1681"/>
                              <a:gd name="T11" fmla="*/ T10 w 6047"/>
                              <a:gd name="T12" fmla="+- 0 3875 1681"/>
                              <a:gd name="T13" fmla="*/ T12 w 6047"/>
                              <a:gd name="T14" fmla="+- 0 6430 1681"/>
                              <a:gd name="T15" fmla="*/ T14 w 6047"/>
                              <a:gd name="T16" fmla="+- 0 6455 1681"/>
                              <a:gd name="T17" fmla="*/ T16 w 6047"/>
                              <a:gd name="T18" fmla="+- 0 7728 1681"/>
                              <a:gd name="T19" fmla="*/ T18 w 604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Lst>
                            <a:rect l="0" t="0" r="r" b="b"/>
                            <a:pathLst>
                              <a:path w="6047">
                                <a:moveTo>
                                  <a:pt x="0" y="0"/>
                                </a:moveTo>
                                <a:lnTo>
                                  <a:pt x="1196" y="0"/>
                                </a:lnTo>
                                <a:moveTo>
                                  <a:pt x="1237" y="0"/>
                                </a:moveTo>
                                <a:lnTo>
                                  <a:pt x="1689" y="0"/>
                                </a:lnTo>
                                <a:moveTo>
                                  <a:pt x="1726" y="0"/>
                                </a:moveTo>
                                <a:lnTo>
                                  <a:pt x="2145" y="0"/>
                                </a:lnTo>
                                <a:moveTo>
                                  <a:pt x="2194" y="0"/>
                                </a:moveTo>
                                <a:lnTo>
                                  <a:pt x="4749" y="0"/>
                                </a:lnTo>
                                <a:moveTo>
                                  <a:pt x="4774" y="0"/>
                                </a:moveTo>
                                <a:lnTo>
                                  <a:pt x="6047" y="0"/>
                                </a:lnTo>
                              </a:path>
                            </a:pathLst>
                          </a:custGeom>
                          <a:noFill/>
                          <a:ln w="1272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2" name="Line 1545"/>
                        <wps:cNvCnPr>
                          <a:cxnSpLocks/>
                        </wps:cNvCnPr>
                        <wps:spPr bwMode="auto">
                          <a:xfrm>
                            <a:off x="7029" y="337"/>
                            <a:ext cx="90" cy="0"/>
                          </a:xfrm>
                          <a:prstGeom prst="line">
                            <a:avLst/>
                          </a:prstGeom>
                          <a:noFill/>
                          <a:ln w="44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3" name="Line 1544"/>
                        <wps:cNvCnPr>
                          <a:cxnSpLocks/>
                        </wps:cNvCnPr>
                        <wps:spPr bwMode="auto">
                          <a:xfrm>
                            <a:off x="7773" y="318"/>
                            <a:ext cx="1180" cy="0"/>
                          </a:xfrm>
                          <a:prstGeom prst="line">
                            <a:avLst/>
                          </a:prstGeom>
                          <a:noFill/>
                          <a:ln w="1271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E19E1B" id="Group 1543" o:spid="_x0000_s1026" style="position:absolute;margin-left:53.15pt;margin-top:15.4pt;width:394.5pt;height:17.85pt;z-index:-251556864;mso-position-horizontal-relative:page" coordorigin="1063,308" coordsize="7890,3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49" o:spid="_x0000_s1027" type="#_x0000_t75" style="position:absolute;left:1062;top:394;width:5815;height:2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">
                  <v:imagedata r:id="rId84" o:title=""/>
                  <v:path arrowok="t"/>
                  <o:lock v:ext="edit" aspectratio="f"/>
                </v:shape>
                <v:shape id="Picture 1548" o:spid="_x0000_s1028" type="#_x0000_t75" style="position:absolute;left:7897;top:438;width:1040;height:1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">
                  <v:imagedata r:id="rId85" o:title=""/>
                  <v:path arrowok="t"/>
                  <o:lock v:ext="edit" aspectratio="f"/>
                </v:shape>
                <v:line id="Line 1547" o:spid="_x0000_s1029" style="position:absolute;visibility:visible;mso-wrap-style:square" from="6877,525" to="7898,5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" strokeweight=".50872mm">
                  <o:lock v:ext="edit" shapetype="f"/>
                </v:line>
                <v:shape id="AutoShape 1546" o:spid="_x0000_s1030" style="position:absolute;left:1681;top:318;width:6047;height:2;visibility:visible;mso-wrap-style:square;v-text-anchor:top" coordsize="604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" path="m,l1196,t41,l1689,t37,l2145,t49,l4749,t25,l6047,e" filled="f" strokeweight=".35353mm">
                  <v:path arrowok="t" o:connecttype="custom" o:connectlocs="0,0;1196,0;1237,0;1689,0;1726,0;2145,0;2194,0;4749,0;4774,0;6047,0" o:connectangles="0,0,0,0,0,0,0,0,0,0"/>
                </v:shape>
                <v:line id="Line 1545" o:spid="_x0000_s1031" style="position:absolute;visibility:visible;mso-wrap-style:square" from="7029,337" to="7119,3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" strokeweight=".1226mm">
                  <o:lock v:ext="edit" shapetype="f"/>
                </v:line>
                <v:line id="Line 1544" o:spid="_x0000_s1032" style="position:absolute;visibility:visible;mso-wrap-style:square" from="7773,318" to="8953,3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" strokeweight=".35328mm">
                  <o:lock v:ext="edit" shapetype="f"/>
                </v:line>
                <w10:wrap anchorx="page"/>
              </v:group>
            </w:pict>
          </mc:Fallback>
        </mc:AlternateContent>
      </w:r>
      <w:r>
        <w:rPr>
          <w:w w:val="89"/>
          <w:sz w:val="17"/>
          <w:u w:val="thick"/>
        </w:rPr>
        <w:t>0-</w:t>
      </w:r>
      <w:r>
        <w:rPr>
          <w:spacing w:val="-21"/>
          <w:sz w:val="17"/>
          <w:u w:val="thick"/>
        </w:rPr>
        <w:t xml:space="preserve"> </w:t>
      </w:r>
      <w:r>
        <w:rPr>
          <w:w w:val="46"/>
          <w:sz w:val="17"/>
          <w:u w:val="thick"/>
        </w:rPr>
        <w:t>•--:.--</w:t>
      </w:r>
      <w:r>
        <w:rPr>
          <w:spacing w:val="-12"/>
          <w:w w:val="46"/>
          <w:sz w:val="17"/>
          <w:u w:val="thick"/>
        </w:rPr>
        <w:t>'</w:t>
      </w:r>
      <w:r>
        <w:rPr>
          <w:spacing w:val="-8"/>
          <w:w w:val="24"/>
          <w:sz w:val="17"/>
          <w:u w:val="thick"/>
        </w:rPr>
        <w:t>a</w:t>
      </w:r>
      <w:r>
        <w:rPr>
          <w:w w:val="46"/>
          <w:sz w:val="17"/>
          <w:u w:val="thick"/>
        </w:rPr>
        <w:t>.--</w:t>
      </w:r>
      <w:r>
        <w:rPr>
          <w:w w:val="45"/>
          <w:sz w:val="17"/>
          <w:u w:val="thick"/>
        </w:rPr>
        <w:t>--&gt;-</w:t>
      </w:r>
      <w:r>
        <w:rPr>
          <w:sz w:val="17"/>
          <w:u w:val="thick"/>
        </w:rPr>
        <w:t xml:space="preserve"> </w:t>
      </w:r>
      <w:r>
        <w:rPr>
          <w:spacing w:val="10"/>
          <w:sz w:val="17"/>
        </w:rPr>
        <w:t xml:space="preserve"> </w:t>
      </w:r>
      <w:r>
        <w:rPr>
          <w:spacing w:val="-1"/>
          <w:w w:val="62"/>
          <w:sz w:val="17"/>
          <w:u w:val="thick"/>
        </w:rPr>
        <w:t>&gt;-</w:t>
      </w:r>
      <w:r>
        <w:rPr>
          <w:spacing w:val="12"/>
          <w:w w:val="62"/>
          <w:sz w:val="17"/>
          <w:u w:val="thick"/>
        </w:rPr>
        <w:t>:</w:t>
      </w:r>
      <w:r>
        <w:rPr>
          <w:spacing w:val="1"/>
          <w:w w:val="105"/>
          <w:sz w:val="17"/>
          <w:u w:val="thick"/>
        </w:rPr>
        <w:t>f</w:t>
      </w:r>
      <w:r>
        <w:rPr>
          <w:spacing w:val="-7"/>
          <w:w w:val="52"/>
          <w:sz w:val="17"/>
          <w:u w:val="thick"/>
        </w:rPr>
        <w:t>=</w:t>
      </w:r>
      <w:r>
        <w:rPr>
          <w:w w:val="40"/>
          <w:sz w:val="17"/>
        </w:rPr>
        <w:t>'</w:t>
      </w:r>
      <w:r>
        <w:rPr>
          <w:sz w:val="17"/>
        </w:rPr>
        <w:t xml:space="preserve"> </w:t>
      </w:r>
      <w:r>
        <w:rPr>
          <w:spacing w:val="-11"/>
          <w:sz w:val="17"/>
        </w:rPr>
        <w:t xml:space="preserve"> </w:t>
      </w:r>
      <w:r>
        <w:rPr>
          <w:spacing w:val="-1"/>
          <w:sz w:val="17"/>
          <w:u w:val="thick"/>
        </w:rPr>
        <w:t>&lt;</w:t>
      </w:r>
      <w:r>
        <w:rPr>
          <w:sz w:val="17"/>
          <w:u w:val="thick"/>
        </w:rPr>
        <w:t>l</w:t>
      </w:r>
      <w:r>
        <w:rPr>
          <w:spacing w:val="-2"/>
          <w:sz w:val="17"/>
          <w:u w:val="thick"/>
        </w:rPr>
        <w:t xml:space="preserve"> </w:t>
      </w:r>
      <w:r>
        <w:rPr>
          <w:sz w:val="17"/>
        </w:rPr>
        <w:t xml:space="preserve">  </w:t>
      </w:r>
      <w:r>
        <w:rPr>
          <w:spacing w:val="-6"/>
          <w:sz w:val="17"/>
        </w:rPr>
        <w:t xml:space="preserve"> </w:t>
      </w:r>
      <w:r>
        <w:rPr>
          <w:rFonts w:ascii="Arial" w:hAnsi="Arial"/>
          <w:w w:val="40"/>
          <w:sz w:val="14"/>
        </w:rPr>
        <w:t>--_-</w:t>
      </w:r>
      <w:r>
        <w:rPr>
          <w:rFonts w:ascii="Arial" w:hAnsi="Arial"/>
          <w:spacing w:val="-12"/>
          <w:sz w:val="14"/>
        </w:rPr>
        <w:t xml:space="preserve"> </w:t>
      </w:r>
      <w:r>
        <w:rPr>
          <w:w w:val="172"/>
          <w:sz w:val="14"/>
        </w:rPr>
        <w:t>%02:-0</w:t>
      </w:r>
      <w:r>
        <w:rPr>
          <w:sz w:val="14"/>
        </w:rPr>
        <w:t xml:space="preserve">  </w:t>
      </w:r>
      <w:r>
        <w:rPr>
          <w:spacing w:val="15"/>
          <w:sz w:val="14"/>
        </w:rPr>
        <w:t xml:space="preserve"> </w:t>
      </w:r>
      <w:r>
        <w:rPr>
          <w:spacing w:val="-1"/>
          <w:w w:val="172"/>
          <w:sz w:val="14"/>
        </w:rPr>
        <w:t>&gt;</w:t>
      </w:r>
      <w:r>
        <w:rPr>
          <w:w w:val="172"/>
          <w:sz w:val="14"/>
        </w:rPr>
        <w:t>-</w:t>
      </w:r>
      <w:r>
        <w:rPr>
          <w:spacing w:val="6"/>
          <w:sz w:val="14"/>
        </w:rPr>
        <w:t xml:space="preserve"> </w:t>
      </w:r>
      <w:r>
        <w:rPr>
          <w:w w:val="187"/>
          <w:sz w:val="7"/>
        </w:rPr>
        <w:t>-</w:t>
      </w:r>
      <w:r>
        <w:rPr>
          <w:sz w:val="7"/>
        </w:rPr>
        <w:t xml:space="preserve"> </w:t>
      </w:r>
      <w:r>
        <w:rPr>
          <w:spacing w:val="-3"/>
          <w:sz w:val="7"/>
        </w:rPr>
        <w:t xml:space="preserve"> </w:t>
      </w:r>
      <w:r>
        <w:rPr>
          <w:spacing w:val="-1"/>
          <w:w w:val="187"/>
          <w:sz w:val="7"/>
        </w:rPr>
        <w:t>&gt;-:'':</w:t>
      </w:r>
      <w:r>
        <w:rPr>
          <w:w w:val="187"/>
          <w:sz w:val="7"/>
        </w:rPr>
        <w:t>-</w:t>
      </w:r>
      <w:r>
        <w:rPr>
          <w:sz w:val="7"/>
        </w:rPr>
        <w:t xml:space="preserve"> </w:t>
      </w:r>
      <w:r>
        <w:rPr>
          <w:spacing w:val="-3"/>
          <w:sz w:val="7"/>
        </w:rPr>
        <w:t xml:space="preserve"> </w:t>
      </w:r>
      <w:r>
        <w:rPr>
          <w:spacing w:val="9"/>
          <w:w w:val="187"/>
          <w:sz w:val="7"/>
        </w:rPr>
        <w:t>_</w:t>
      </w:r>
      <w:r>
        <w:rPr>
          <w:w w:val="187"/>
          <w:sz w:val="7"/>
        </w:rPr>
        <w:t>..</w:t>
      </w:r>
      <w:r>
        <w:rPr>
          <w:sz w:val="7"/>
        </w:rPr>
        <w:tab/>
      </w:r>
      <w:r>
        <w:rPr>
          <w:w w:val="49"/>
          <w:sz w:val="20"/>
        </w:rPr>
        <w:t>_-s-::</w:t>
      </w:r>
      <w:r>
        <w:rPr>
          <w:spacing w:val="-26"/>
          <w:sz w:val="20"/>
        </w:rPr>
        <w:t xml:space="preserve"> </w:t>
      </w:r>
      <w:r>
        <w:rPr>
          <w:w w:val="49"/>
          <w:sz w:val="20"/>
        </w:rPr>
        <w:t>.</w:t>
      </w:r>
      <w:r>
        <w:rPr>
          <w:spacing w:val="-5"/>
          <w:sz w:val="20"/>
        </w:rPr>
        <w:t xml:space="preserve"> </w:t>
      </w:r>
      <w:r>
        <w:rPr>
          <w:spacing w:val="-1"/>
          <w:w w:val="56"/>
        </w:rPr>
        <w:t>&gt;&lt;</w:t>
      </w:r>
      <w:r>
        <w:rPr>
          <w:w w:val="56"/>
        </w:rPr>
        <w:t>-</w:t>
      </w:r>
      <w:r>
        <w:rPr>
          <w:spacing w:val="-34"/>
        </w:rPr>
        <w:t xml:space="preserve"> </w:t>
      </w:r>
      <w:r>
        <w:rPr>
          <w:i/>
          <w:w w:val="108"/>
          <w:sz w:val="18"/>
        </w:rPr>
        <w:t>-&gt;--:.s&gt;-"-</w:t>
      </w:r>
      <w:r>
        <w:rPr>
          <w:i/>
          <w:spacing w:val="-12"/>
          <w:sz w:val="18"/>
        </w:rPr>
        <w:t xml:space="preserve"> </w:t>
      </w:r>
      <w:r>
        <w:rPr>
          <w:spacing w:val="-3"/>
          <w:w w:val="89"/>
          <w:position w:val="11"/>
          <w:sz w:val="6"/>
        </w:rPr>
        <w:t>-</w:t>
      </w:r>
      <w:r>
        <w:rPr>
          <w:i/>
          <w:w w:val="108"/>
          <w:sz w:val="18"/>
        </w:rPr>
        <w:t>-</w:t>
      </w:r>
      <w:r>
        <w:rPr>
          <w:i/>
          <w:sz w:val="18"/>
        </w:rPr>
        <w:t xml:space="preserve"> </w:t>
      </w:r>
      <w:r>
        <w:rPr>
          <w:i/>
          <w:spacing w:val="7"/>
          <w:sz w:val="18"/>
        </w:rPr>
        <w:t xml:space="preserve"> </w:t>
      </w:r>
      <w:r>
        <w:rPr>
          <w:i/>
          <w:spacing w:val="-1"/>
          <w:w w:val="108"/>
          <w:sz w:val="18"/>
        </w:rPr>
        <w:t>r:\&gt;</w:t>
      </w:r>
      <w:r>
        <w:rPr>
          <w:i/>
          <w:w w:val="108"/>
          <w:sz w:val="18"/>
        </w:rPr>
        <w:t>k</w:t>
      </w:r>
      <w:r>
        <w:rPr>
          <w:i/>
          <w:spacing w:val="3"/>
          <w:sz w:val="18"/>
        </w:rPr>
        <w:t xml:space="preserve"> </w:t>
      </w:r>
      <w:r>
        <w:rPr>
          <w:i/>
          <w:spacing w:val="-1"/>
          <w:w w:val="108"/>
          <w:sz w:val="18"/>
        </w:rPr>
        <w:t>V\</w:t>
      </w:r>
      <w:r>
        <w:rPr>
          <w:i/>
          <w:w w:val="108"/>
          <w:sz w:val="18"/>
        </w:rPr>
        <w:t>E</w:t>
      </w:r>
      <w:r>
        <w:rPr>
          <w:i/>
          <w:sz w:val="18"/>
        </w:rPr>
        <w:t xml:space="preserve"> </w:t>
      </w:r>
      <w:r>
        <w:rPr>
          <w:i/>
          <w:spacing w:val="7"/>
          <w:sz w:val="18"/>
        </w:rPr>
        <w:t xml:space="preserve"> </w:t>
      </w:r>
      <w:r>
        <w:rPr>
          <w:i/>
          <w:w w:val="108"/>
          <w:sz w:val="18"/>
        </w:rPr>
        <w:t>,c</w:t>
      </w:r>
      <w:r>
        <w:rPr>
          <w:i/>
          <w:spacing w:val="-26"/>
          <w:sz w:val="18"/>
        </w:rPr>
        <w:t xml:space="preserve"> </w:t>
      </w:r>
      <w:r>
        <w:rPr>
          <w:rFonts w:ascii="Arial" w:hAnsi="Arial"/>
          <w:w w:val="86"/>
          <w:sz w:val="13"/>
        </w:rPr>
        <w:t>-C-i_--</w:t>
      </w:r>
      <w:r>
        <w:rPr>
          <w:rFonts w:ascii="Arial" w:hAnsi="Arial"/>
          <w:sz w:val="13"/>
        </w:rPr>
        <w:t xml:space="preserve"> </w:t>
      </w:r>
      <w:r>
        <w:rPr>
          <w:rFonts w:ascii="Arial" w:hAnsi="Arial"/>
          <w:spacing w:val="-13"/>
          <w:sz w:val="13"/>
        </w:rPr>
        <w:t xml:space="preserve"> </w:t>
      </w:r>
      <w:r>
        <w:rPr>
          <w:rFonts w:ascii="Arial" w:hAnsi="Arial"/>
          <w:w w:val="86"/>
          <w:sz w:val="13"/>
        </w:rPr>
        <w:t>-</w:t>
      </w:r>
      <w:r>
        <w:rPr>
          <w:rFonts w:ascii="Arial" w:hAnsi="Arial"/>
          <w:sz w:val="13"/>
        </w:rPr>
        <w:t xml:space="preserve"> </w:t>
      </w:r>
      <w:r>
        <w:rPr>
          <w:rFonts w:ascii="Arial" w:hAnsi="Arial"/>
          <w:spacing w:val="15"/>
          <w:sz w:val="13"/>
        </w:rPr>
        <w:t xml:space="preserve"> </w:t>
      </w:r>
      <w:r>
        <w:rPr>
          <w:rFonts w:ascii="Arial" w:hAnsi="Arial"/>
          <w:spacing w:val="-1"/>
          <w:w w:val="74"/>
          <w:sz w:val="11"/>
        </w:rPr>
        <w:t>_</w:t>
      </w:r>
      <w:r>
        <w:rPr>
          <w:rFonts w:ascii="Arial" w:hAnsi="Arial"/>
          <w:w w:val="74"/>
          <w:sz w:val="11"/>
        </w:rPr>
        <w:t>-</w:t>
      </w:r>
      <w:r>
        <w:rPr>
          <w:rFonts w:ascii="Arial" w:hAnsi="Arial"/>
          <w:sz w:val="11"/>
        </w:rPr>
        <w:t xml:space="preserve">  </w:t>
      </w:r>
      <w:r>
        <w:rPr>
          <w:rFonts w:ascii="Arial" w:hAnsi="Arial"/>
          <w:spacing w:val="-1"/>
          <w:sz w:val="11"/>
        </w:rPr>
        <w:t xml:space="preserve"> </w:t>
      </w:r>
      <w:r>
        <w:rPr>
          <w:rFonts w:ascii="Arial" w:hAnsi="Arial"/>
          <w:spacing w:val="-1"/>
          <w:w w:val="74"/>
          <w:sz w:val="11"/>
        </w:rPr>
        <w:t>---=--=-,.</w:t>
      </w:r>
      <w:r>
        <w:rPr>
          <w:rFonts w:ascii="Arial" w:hAnsi="Arial"/>
          <w:w w:val="74"/>
          <w:sz w:val="11"/>
        </w:rPr>
        <w:t>.</w:t>
      </w:r>
      <w:r>
        <w:rPr>
          <w:rFonts w:ascii="Arial" w:hAnsi="Arial"/>
          <w:spacing w:val="10"/>
          <w:sz w:val="11"/>
        </w:rPr>
        <w:t xml:space="preserve"> </w:t>
      </w:r>
      <w:r>
        <w:rPr>
          <w:spacing w:val="-1"/>
          <w:w w:val="119"/>
          <w:sz w:val="13"/>
        </w:rPr>
        <w:t>:::</w:t>
      </w:r>
      <w:r>
        <w:rPr>
          <w:w w:val="119"/>
          <w:sz w:val="13"/>
        </w:rPr>
        <w:t>&gt;</w:t>
      </w:r>
      <w:r>
        <w:rPr>
          <w:sz w:val="13"/>
        </w:rPr>
        <w:t xml:space="preserve"> </w:t>
      </w:r>
      <w:r>
        <w:rPr>
          <w:spacing w:val="4"/>
          <w:sz w:val="13"/>
        </w:rPr>
        <w:t xml:space="preserve"> </w:t>
      </w:r>
      <w:r>
        <w:rPr>
          <w:i/>
          <w:w w:val="121"/>
          <w:sz w:val="16"/>
        </w:rPr>
        <w:t>-</w:t>
      </w:r>
      <w:r>
        <w:rPr>
          <w:i/>
          <w:spacing w:val="8"/>
          <w:sz w:val="16"/>
        </w:rPr>
        <w:t xml:space="preserve"> </w:t>
      </w:r>
      <w:r>
        <w:rPr>
          <w:i/>
          <w:w w:val="121"/>
          <w:sz w:val="16"/>
        </w:rPr>
        <w:t>---</w:t>
      </w:r>
      <w:r>
        <w:rPr>
          <w:i/>
          <w:spacing w:val="8"/>
          <w:sz w:val="16"/>
        </w:rPr>
        <w:t xml:space="preserve"> </w:t>
      </w:r>
      <w:r>
        <w:rPr>
          <w:i/>
          <w:w w:val="121"/>
          <w:sz w:val="16"/>
        </w:rPr>
        <w:t>--7-</w:t>
      </w:r>
      <w:r>
        <w:rPr>
          <w:i/>
          <w:spacing w:val="8"/>
          <w:sz w:val="16"/>
        </w:rPr>
        <w:t xml:space="preserve"> </w:t>
      </w:r>
      <w:r>
        <w:rPr>
          <w:i/>
          <w:w w:val="121"/>
          <w:sz w:val="16"/>
        </w:rPr>
        <w:t>-</w:t>
      </w:r>
      <w:r>
        <w:rPr>
          <w:i/>
          <w:sz w:val="16"/>
        </w:rPr>
        <w:t xml:space="preserve"> </w:t>
      </w:r>
      <w:r>
        <w:rPr>
          <w:i/>
          <w:spacing w:val="1"/>
          <w:sz w:val="16"/>
        </w:rPr>
        <w:t xml:space="preserve"> </w:t>
      </w:r>
      <w:r>
        <w:rPr>
          <w:w w:val="89"/>
          <w:position w:val="11"/>
          <w:sz w:val="12"/>
        </w:rPr>
        <w:t>-</w:t>
      </w:r>
      <w:r>
        <w:rPr>
          <w:spacing w:val="-2"/>
          <w:position w:val="11"/>
          <w:sz w:val="12"/>
        </w:rPr>
        <w:t xml:space="preserve"> </w:t>
      </w:r>
      <w:r>
        <w:rPr>
          <w:i/>
          <w:w w:val="121"/>
          <w:sz w:val="16"/>
        </w:rPr>
        <w:t>?-:-</w:t>
      </w:r>
    </w:p>
    <w:p w:rsidR="00E675F0" w:rsidRDefault="00E675F0" w:rsidP="00E675F0">
      <w:pPr>
        <w:rPr>
          <w:sz w:val="16"/>
        </w:rPr>
        <w:sectPr w:rsidR="00E675F0">
          <w:headerReference w:type="even" r:id="rId86"/>
          <w:headerReference w:type="default" r:id="rId87"/>
          <w:pgSz w:w="8960" w:h="14260"/>
          <w:pgMar w:top="1400" w:right="0" w:bottom="280" w:left="320" w:header="723" w:footer="0" w:gutter="0"/>
          <w:pgNumType w:start="67"/>
          <w:cols w:space="720"/>
        </w:sectPr>
      </w:pPr>
    </w:p>
    <w:p w:rsidR="00E675F0" w:rsidRDefault="00E675F0" w:rsidP="00E675F0">
      <w:pPr>
        <w:pStyle w:val="BodyText"/>
        <w:spacing w:before="146" w:line="254" w:lineRule="auto"/>
        <w:ind w:left="124" w:right="128" w:hanging="2"/>
        <w:jc w:val="both"/>
      </w:pPr>
      <w:r>
        <w:rPr>
          <w:w w:val="105"/>
        </w:rPr>
        <w:lastRenderedPageBreak/>
        <w:t>(e.g., a high threshold for pain, oversensitivity to sounds or being touched, exaggerated reactions to light or odors, fascination with certain stimuli). There may be abnormalities in eating (e.g., limiting diet to a few foods, Pica) or sleeping (e.g., recurrent awakening at night with rocking). Abnormalities of  mood or affect (e.g., giggling or  weeping for no apparent reason, an apparent absence of emotional reaction) may be present. There may be a lack of fear in response to real dangers, and excessive fearfulness in response to harmless objects. A variety of self-injurious behaviors may be present (e.g., head banging or finger, hand, or wrist biting). In adolescence or early adult life, individuals with Autistic Disorder who have the intellectual capacity for insight may become depressed in response to the realization of their serious</w:t>
      </w:r>
      <w:r>
        <w:rPr>
          <w:spacing w:val="-17"/>
          <w:w w:val="105"/>
        </w:rPr>
        <w:t xml:space="preserve"> </w:t>
      </w:r>
      <w:r>
        <w:rPr>
          <w:w w:val="105"/>
        </w:rPr>
        <w:t>impairment.</w:t>
      </w:r>
    </w:p>
    <w:p w:rsidR="00E675F0" w:rsidRDefault="00E675F0" w:rsidP="00E675F0">
      <w:pPr>
        <w:pStyle w:val="BodyText"/>
        <w:spacing w:before="3"/>
        <w:rPr>
          <w:sz w:val="31"/>
        </w:rPr>
      </w:pPr>
    </w:p>
    <w:p w:rsidR="00E675F0" w:rsidRDefault="00E675F0" w:rsidP="00E675F0">
      <w:pPr>
        <w:pStyle w:val="BodyText"/>
        <w:spacing w:line="254" w:lineRule="auto"/>
        <w:ind w:left="124" w:right="128" w:hanging="5"/>
        <w:jc w:val="both"/>
      </w:pPr>
      <w:r>
        <w:rPr>
          <w:b/>
          <w:w w:val="105"/>
        </w:rPr>
        <w:t xml:space="preserve">Associated laboratory findings. </w:t>
      </w:r>
      <w:r>
        <w:rPr>
          <w:w w:val="105"/>
        </w:rPr>
        <w:t>When Autistic Disorder is associated with a general medical condition, laboratory findings consistent with the general medical condition will be observed. There have been reports of group differences in measures of serotonergic activity, but these are not diagnostic for Autistic Disorder. Imaging studies may be abnormal in some cases, but no specific pattern has been clearly identified. EEG abnormalities are common even in the absence of seizure</w:t>
      </w:r>
      <w:r>
        <w:rPr>
          <w:spacing w:val="-25"/>
          <w:w w:val="105"/>
        </w:rPr>
        <w:t xml:space="preserve"> </w:t>
      </w:r>
      <w:r>
        <w:rPr>
          <w:w w:val="105"/>
        </w:rPr>
        <w:t>disorders.</w:t>
      </w:r>
    </w:p>
    <w:p w:rsidR="00E675F0" w:rsidRDefault="00E675F0" w:rsidP="00E675F0">
      <w:pPr>
        <w:pStyle w:val="BodyText"/>
        <w:spacing w:before="9"/>
        <w:rPr>
          <w:sz w:val="30"/>
        </w:rPr>
      </w:pPr>
    </w:p>
    <w:p w:rsidR="00E675F0" w:rsidRDefault="00E675F0" w:rsidP="00E675F0">
      <w:pPr>
        <w:pStyle w:val="BodyText"/>
        <w:spacing w:before="1" w:line="254" w:lineRule="auto"/>
        <w:ind w:left="124" w:right="123" w:hanging="5"/>
        <w:jc w:val="both"/>
      </w:pPr>
      <w:r>
        <w:rPr>
          <w:b/>
          <w:w w:val="110"/>
        </w:rPr>
        <w:t xml:space="preserve">Associated physical examination findings </w:t>
      </w:r>
      <w:r>
        <w:rPr>
          <w:b/>
          <w:spacing w:val="2"/>
          <w:w w:val="110"/>
        </w:rPr>
        <w:t xml:space="preserve">andgeneral </w:t>
      </w:r>
      <w:r>
        <w:rPr>
          <w:b/>
          <w:w w:val="110"/>
        </w:rPr>
        <w:t xml:space="preserve">medical conditions. </w:t>
      </w:r>
      <w:r>
        <w:rPr>
          <w:w w:val="110"/>
        </w:rPr>
        <w:t>Various nonspecific neurological symptoms or signs may be noted (e.g., primitive reflexes,</w:t>
      </w:r>
      <w:r>
        <w:rPr>
          <w:spacing w:val="-17"/>
          <w:w w:val="110"/>
        </w:rPr>
        <w:t xml:space="preserve"> </w:t>
      </w:r>
      <w:r>
        <w:rPr>
          <w:w w:val="110"/>
        </w:rPr>
        <w:t>delayed</w:t>
      </w:r>
      <w:r>
        <w:rPr>
          <w:spacing w:val="-16"/>
          <w:w w:val="110"/>
        </w:rPr>
        <w:t xml:space="preserve"> </w:t>
      </w:r>
      <w:r>
        <w:rPr>
          <w:w w:val="110"/>
        </w:rPr>
        <w:t>development</w:t>
      </w:r>
      <w:r>
        <w:rPr>
          <w:spacing w:val="-10"/>
          <w:w w:val="110"/>
        </w:rPr>
        <w:t xml:space="preserve"> </w:t>
      </w:r>
      <w:r>
        <w:rPr>
          <w:w w:val="110"/>
        </w:rPr>
        <w:t>of</w:t>
      </w:r>
      <w:r>
        <w:rPr>
          <w:spacing w:val="-15"/>
          <w:w w:val="110"/>
        </w:rPr>
        <w:t xml:space="preserve"> </w:t>
      </w:r>
      <w:r>
        <w:rPr>
          <w:w w:val="110"/>
        </w:rPr>
        <w:t>hand</w:t>
      </w:r>
      <w:r>
        <w:rPr>
          <w:spacing w:val="-19"/>
          <w:w w:val="110"/>
        </w:rPr>
        <w:t xml:space="preserve"> </w:t>
      </w:r>
      <w:r>
        <w:rPr>
          <w:w w:val="110"/>
        </w:rPr>
        <w:t>dominance)</w:t>
      </w:r>
      <w:r>
        <w:rPr>
          <w:spacing w:val="-15"/>
          <w:w w:val="110"/>
        </w:rPr>
        <w:t xml:space="preserve"> </w:t>
      </w:r>
      <w:r>
        <w:rPr>
          <w:w w:val="110"/>
        </w:rPr>
        <w:t>in</w:t>
      </w:r>
      <w:r>
        <w:rPr>
          <w:spacing w:val="-23"/>
          <w:w w:val="110"/>
        </w:rPr>
        <w:t xml:space="preserve"> </w:t>
      </w:r>
      <w:r>
        <w:rPr>
          <w:w w:val="110"/>
        </w:rPr>
        <w:t>Autistic</w:t>
      </w:r>
      <w:r>
        <w:rPr>
          <w:spacing w:val="-18"/>
          <w:w w:val="110"/>
        </w:rPr>
        <w:t xml:space="preserve"> </w:t>
      </w:r>
      <w:r>
        <w:rPr>
          <w:w w:val="110"/>
        </w:rPr>
        <w:t>Disorder.</w:t>
      </w:r>
      <w:r>
        <w:rPr>
          <w:spacing w:val="-22"/>
          <w:w w:val="110"/>
        </w:rPr>
        <w:t xml:space="preserve"> </w:t>
      </w:r>
      <w:r>
        <w:rPr>
          <w:w w:val="110"/>
        </w:rPr>
        <w:t>The</w:t>
      </w:r>
      <w:r>
        <w:rPr>
          <w:spacing w:val="-21"/>
          <w:w w:val="110"/>
        </w:rPr>
        <w:t xml:space="preserve"> </w:t>
      </w:r>
      <w:r>
        <w:rPr>
          <w:w w:val="110"/>
        </w:rPr>
        <w:t>condition is sometimes observed in association with a neurological or other general medical condition</w:t>
      </w:r>
      <w:r>
        <w:rPr>
          <w:spacing w:val="-6"/>
          <w:w w:val="110"/>
        </w:rPr>
        <w:t xml:space="preserve"> </w:t>
      </w:r>
      <w:r>
        <w:rPr>
          <w:w w:val="110"/>
        </w:rPr>
        <w:t>(e.g.,</w:t>
      </w:r>
      <w:r>
        <w:rPr>
          <w:spacing w:val="-8"/>
          <w:w w:val="110"/>
        </w:rPr>
        <w:t xml:space="preserve"> </w:t>
      </w:r>
      <w:r>
        <w:rPr>
          <w:w w:val="110"/>
        </w:rPr>
        <w:t>encephalitis, phenylketonuria,</w:t>
      </w:r>
      <w:r>
        <w:rPr>
          <w:spacing w:val="-19"/>
          <w:w w:val="110"/>
        </w:rPr>
        <w:t xml:space="preserve"> </w:t>
      </w:r>
      <w:r>
        <w:rPr>
          <w:w w:val="110"/>
        </w:rPr>
        <w:t>tuberous</w:t>
      </w:r>
      <w:r>
        <w:rPr>
          <w:spacing w:val="-11"/>
          <w:w w:val="110"/>
        </w:rPr>
        <w:t xml:space="preserve"> </w:t>
      </w:r>
      <w:r>
        <w:rPr>
          <w:w w:val="110"/>
        </w:rPr>
        <w:t>sclerosis,</w:t>
      </w:r>
      <w:r>
        <w:rPr>
          <w:spacing w:val="-9"/>
          <w:w w:val="110"/>
        </w:rPr>
        <w:t xml:space="preserve"> </w:t>
      </w:r>
      <w:r>
        <w:rPr>
          <w:w w:val="110"/>
        </w:rPr>
        <w:t>fragile</w:t>
      </w:r>
      <w:r>
        <w:rPr>
          <w:spacing w:val="-11"/>
          <w:w w:val="110"/>
        </w:rPr>
        <w:t xml:space="preserve"> </w:t>
      </w:r>
      <w:r>
        <w:rPr>
          <w:w w:val="110"/>
        </w:rPr>
        <w:t>X</w:t>
      </w:r>
      <w:r>
        <w:rPr>
          <w:spacing w:val="-15"/>
          <w:w w:val="110"/>
        </w:rPr>
        <w:t xml:space="preserve"> </w:t>
      </w:r>
      <w:r>
        <w:rPr>
          <w:w w:val="110"/>
        </w:rPr>
        <w:t>syndrome, anoxia during birth, maternal rubella). Seizures may develop (particularly in adoles­ cence)</w:t>
      </w:r>
      <w:r>
        <w:rPr>
          <w:spacing w:val="-17"/>
          <w:w w:val="110"/>
        </w:rPr>
        <w:t xml:space="preserve"> </w:t>
      </w:r>
      <w:r>
        <w:rPr>
          <w:w w:val="110"/>
        </w:rPr>
        <w:t>in</w:t>
      </w:r>
      <w:r>
        <w:rPr>
          <w:spacing w:val="-17"/>
          <w:w w:val="110"/>
        </w:rPr>
        <w:t xml:space="preserve"> </w:t>
      </w:r>
      <w:r>
        <w:rPr>
          <w:w w:val="110"/>
        </w:rPr>
        <w:t>as</w:t>
      </w:r>
      <w:r>
        <w:rPr>
          <w:spacing w:val="-18"/>
          <w:w w:val="110"/>
        </w:rPr>
        <w:t xml:space="preserve"> </w:t>
      </w:r>
      <w:r>
        <w:rPr>
          <w:w w:val="110"/>
        </w:rPr>
        <w:t>many</w:t>
      </w:r>
      <w:r>
        <w:rPr>
          <w:spacing w:val="-19"/>
          <w:w w:val="110"/>
        </w:rPr>
        <w:t xml:space="preserve"> </w:t>
      </w:r>
      <w:r>
        <w:rPr>
          <w:w w:val="110"/>
        </w:rPr>
        <w:t>as</w:t>
      </w:r>
      <w:r>
        <w:rPr>
          <w:spacing w:val="-10"/>
          <w:w w:val="110"/>
        </w:rPr>
        <w:t xml:space="preserve"> </w:t>
      </w:r>
      <w:r>
        <w:rPr>
          <w:w w:val="110"/>
        </w:rPr>
        <w:t>25%</w:t>
      </w:r>
      <w:r>
        <w:rPr>
          <w:spacing w:val="-18"/>
          <w:w w:val="110"/>
        </w:rPr>
        <w:t xml:space="preserve"> </w:t>
      </w:r>
      <w:r>
        <w:rPr>
          <w:w w:val="110"/>
        </w:rPr>
        <w:t>of</w:t>
      </w:r>
      <w:r>
        <w:rPr>
          <w:spacing w:val="-14"/>
          <w:w w:val="110"/>
        </w:rPr>
        <w:t xml:space="preserve"> </w:t>
      </w:r>
      <w:r>
        <w:rPr>
          <w:w w:val="110"/>
        </w:rPr>
        <w:t>cases.</w:t>
      </w:r>
      <w:r>
        <w:rPr>
          <w:spacing w:val="-17"/>
          <w:w w:val="110"/>
        </w:rPr>
        <w:t xml:space="preserve"> </w:t>
      </w:r>
      <w:r>
        <w:rPr>
          <w:w w:val="110"/>
        </w:rPr>
        <w:t>When</w:t>
      </w:r>
      <w:r>
        <w:rPr>
          <w:spacing w:val="-13"/>
          <w:w w:val="110"/>
        </w:rPr>
        <w:t xml:space="preserve"> </w:t>
      </w:r>
      <w:r>
        <w:rPr>
          <w:w w:val="110"/>
        </w:rPr>
        <w:t>other</w:t>
      </w:r>
      <w:r>
        <w:rPr>
          <w:spacing w:val="-16"/>
          <w:w w:val="110"/>
        </w:rPr>
        <w:t xml:space="preserve"> </w:t>
      </w:r>
      <w:r>
        <w:rPr>
          <w:w w:val="110"/>
        </w:rPr>
        <w:t>general</w:t>
      </w:r>
      <w:r>
        <w:rPr>
          <w:spacing w:val="-14"/>
          <w:w w:val="110"/>
        </w:rPr>
        <w:t xml:space="preserve"> </w:t>
      </w:r>
      <w:r>
        <w:rPr>
          <w:w w:val="110"/>
        </w:rPr>
        <w:t>medical</w:t>
      </w:r>
      <w:r>
        <w:rPr>
          <w:spacing w:val="-17"/>
          <w:w w:val="110"/>
        </w:rPr>
        <w:t xml:space="preserve"> </w:t>
      </w:r>
      <w:r>
        <w:rPr>
          <w:w w:val="110"/>
        </w:rPr>
        <w:t>conditions</w:t>
      </w:r>
      <w:r>
        <w:rPr>
          <w:spacing w:val="-11"/>
          <w:w w:val="110"/>
        </w:rPr>
        <w:t xml:space="preserve"> </w:t>
      </w:r>
      <w:r>
        <w:rPr>
          <w:w w:val="110"/>
        </w:rPr>
        <w:t>are</w:t>
      </w:r>
      <w:r>
        <w:rPr>
          <w:spacing w:val="-14"/>
          <w:w w:val="110"/>
        </w:rPr>
        <w:t xml:space="preserve"> </w:t>
      </w:r>
      <w:r>
        <w:rPr>
          <w:w w:val="110"/>
        </w:rPr>
        <w:t>present, they should be noted on Axis</w:t>
      </w:r>
      <w:r>
        <w:rPr>
          <w:spacing w:val="-8"/>
          <w:w w:val="110"/>
        </w:rPr>
        <w:t xml:space="preserve"> </w:t>
      </w:r>
      <w:r>
        <w:rPr>
          <w:w w:val="110"/>
        </w:rPr>
        <w:t>III.</w:t>
      </w:r>
    </w:p>
    <w:p w:rsidR="00E675F0" w:rsidRDefault="00E675F0" w:rsidP="00E675F0">
      <w:pPr>
        <w:pStyle w:val="BodyText"/>
        <w:rPr>
          <w:sz w:val="22"/>
        </w:rPr>
      </w:pPr>
    </w:p>
    <w:p w:rsidR="00E675F0" w:rsidRDefault="00E675F0" w:rsidP="00E675F0">
      <w:pPr>
        <w:pStyle w:val="BodyText"/>
        <w:spacing w:before="8"/>
        <w:rPr>
          <w:sz w:val="23"/>
        </w:rPr>
      </w:pPr>
    </w:p>
    <w:p w:rsidR="00E675F0" w:rsidRDefault="00E675F0" w:rsidP="00E675F0">
      <w:pPr>
        <w:ind w:left="116"/>
        <w:jc w:val="both"/>
        <w:rPr>
          <w:rFonts w:ascii="TimesNewRomanPS-BoldItalicMT"/>
          <w:b/>
          <w:i/>
          <w:sz w:val="23"/>
        </w:rPr>
      </w:pPr>
      <w:r>
        <w:rPr>
          <w:rFonts w:ascii="TimesNewRomanPS-BoldItalicMT"/>
          <w:b/>
          <w:i/>
          <w:w w:val="120"/>
          <w:sz w:val="23"/>
        </w:rPr>
        <w:t>Specific Age and Gender Features</w:t>
      </w:r>
    </w:p>
    <w:p w:rsidR="00E675F0" w:rsidRDefault="00E675F0" w:rsidP="00E675F0">
      <w:pPr>
        <w:pStyle w:val="BodyText"/>
        <w:spacing w:before="177" w:line="254" w:lineRule="auto"/>
        <w:ind w:left="133" w:right="116" w:hanging="9"/>
        <w:jc w:val="both"/>
      </w:pPr>
      <w:r>
        <w:rPr>
          <w:w w:val="110"/>
        </w:rPr>
        <w:t>The nature of the impairment in social interaction may change over time in Autistic Disorder and may vary depending on the developmental level of the individual. In infants, there may be a failure to cuddle; an indifference or aversion to affection or physical</w:t>
      </w:r>
      <w:r>
        <w:rPr>
          <w:spacing w:val="-27"/>
          <w:w w:val="110"/>
        </w:rPr>
        <w:t xml:space="preserve"> </w:t>
      </w:r>
      <w:r>
        <w:rPr>
          <w:w w:val="110"/>
        </w:rPr>
        <w:t>contact;</w:t>
      </w:r>
      <w:r>
        <w:rPr>
          <w:spacing w:val="-23"/>
          <w:w w:val="110"/>
        </w:rPr>
        <w:t xml:space="preserve"> </w:t>
      </w:r>
      <w:r>
        <w:rPr>
          <w:w w:val="110"/>
        </w:rPr>
        <w:t>a</w:t>
      </w:r>
      <w:r>
        <w:rPr>
          <w:spacing w:val="-30"/>
          <w:w w:val="110"/>
        </w:rPr>
        <w:t xml:space="preserve"> </w:t>
      </w:r>
      <w:r>
        <w:rPr>
          <w:w w:val="110"/>
        </w:rPr>
        <w:t>lack</w:t>
      </w:r>
      <w:r>
        <w:rPr>
          <w:spacing w:val="-26"/>
          <w:w w:val="110"/>
        </w:rPr>
        <w:t xml:space="preserve"> </w:t>
      </w:r>
      <w:r>
        <w:rPr>
          <w:w w:val="110"/>
        </w:rPr>
        <w:t>of</w:t>
      </w:r>
      <w:r>
        <w:rPr>
          <w:spacing w:val="-28"/>
          <w:w w:val="110"/>
        </w:rPr>
        <w:t xml:space="preserve"> </w:t>
      </w:r>
      <w:r>
        <w:rPr>
          <w:w w:val="110"/>
        </w:rPr>
        <w:t>eye</w:t>
      </w:r>
      <w:r>
        <w:rPr>
          <w:spacing w:val="-30"/>
          <w:w w:val="110"/>
        </w:rPr>
        <w:t xml:space="preserve"> </w:t>
      </w:r>
      <w:r>
        <w:rPr>
          <w:w w:val="110"/>
        </w:rPr>
        <w:t>contact,</w:t>
      </w:r>
      <w:r>
        <w:rPr>
          <w:spacing w:val="-25"/>
          <w:w w:val="110"/>
        </w:rPr>
        <w:t xml:space="preserve"> </w:t>
      </w:r>
      <w:r>
        <w:rPr>
          <w:w w:val="110"/>
        </w:rPr>
        <w:t>facial</w:t>
      </w:r>
      <w:r>
        <w:rPr>
          <w:spacing w:val="-23"/>
          <w:w w:val="110"/>
        </w:rPr>
        <w:t xml:space="preserve"> </w:t>
      </w:r>
      <w:r>
        <w:rPr>
          <w:w w:val="110"/>
        </w:rPr>
        <w:t>responsiveness,</w:t>
      </w:r>
      <w:r>
        <w:rPr>
          <w:spacing w:val="-29"/>
          <w:w w:val="110"/>
        </w:rPr>
        <w:t xml:space="preserve"> </w:t>
      </w:r>
      <w:r>
        <w:rPr>
          <w:w w:val="110"/>
        </w:rPr>
        <w:t>or</w:t>
      </w:r>
      <w:r>
        <w:rPr>
          <w:spacing w:val="-32"/>
          <w:w w:val="110"/>
        </w:rPr>
        <w:t xml:space="preserve"> </w:t>
      </w:r>
      <w:r>
        <w:rPr>
          <w:w w:val="110"/>
        </w:rPr>
        <w:t>socially</w:t>
      </w:r>
      <w:r>
        <w:rPr>
          <w:spacing w:val="-28"/>
          <w:w w:val="110"/>
        </w:rPr>
        <w:t xml:space="preserve"> </w:t>
      </w:r>
      <w:r>
        <w:rPr>
          <w:w w:val="110"/>
        </w:rPr>
        <w:t>directed</w:t>
      </w:r>
      <w:r>
        <w:rPr>
          <w:spacing w:val="-29"/>
          <w:w w:val="110"/>
        </w:rPr>
        <w:t xml:space="preserve"> </w:t>
      </w:r>
      <w:r>
        <w:rPr>
          <w:w w:val="110"/>
        </w:rPr>
        <w:t>smiles; and</w:t>
      </w:r>
      <w:r>
        <w:rPr>
          <w:spacing w:val="-8"/>
          <w:w w:val="110"/>
        </w:rPr>
        <w:t xml:space="preserve"> </w:t>
      </w:r>
      <w:r>
        <w:rPr>
          <w:w w:val="110"/>
        </w:rPr>
        <w:t>a</w:t>
      </w:r>
      <w:r>
        <w:rPr>
          <w:spacing w:val="-10"/>
          <w:w w:val="110"/>
        </w:rPr>
        <w:t xml:space="preserve"> </w:t>
      </w:r>
      <w:r>
        <w:rPr>
          <w:w w:val="110"/>
        </w:rPr>
        <w:t>failure</w:t>
      </w:r>
      <w:r>
        <w:rPr>
          <w:spacing w:val="-5"/>
          <w:w w:val="110"/>
        </w:rPr>
        <w:t xml:space="preserve"> </w:t>
      </w:r>
      <w:r>
        <w:rPr>
          <w:w w:val="110"/>
        </w:rPr>
        <w:t>to</w:t>
      </w:r>
      <w:r>
        <w:rPr>
          <w:spacing w:val="-10"/>
          <w:w w:val="110"/>
        </w:rPr>
        <w:t xml:space="preserve"> </w:t>
      </w:r>
      <w:r>
        <w:rPr>
          <w:w w:val="110"/>
        </w:rPr>
        <w:t>respond to</w:t>
      </w:r>
      <w:r>
        <w:rPr>
          <w:spacing w:val="-13"/>
          <w:w w:val="110"/>
        </w:rPr>
        <w:t xml:space="preserve"> </w:t>
      </w:r>
      <w:r>
        <w:rPr>
          <w:w w:val="110"/>
        </w:rPr>
        <w:t>their</w:t>
      </w:r>
      <w:r>
        <w:rPr>
          <w:spacing w:val="-6"/>
          <w:w w:val="110"/>
        </w:rPr>
        <w:t xml:space="preserve"> </w:t>
      </w:r>
      <w:r>
        <w:rPr>
          <w:w w:val="110"/>
        </w:rPr>
        <w:t>parents'</w:t>
      </w:r>
      <w:r>
        <w:rPr>
          <w:spacing w:val="-3"/>
          <w:w w:val="110"/>
        </w:rPr>
        <w:t xml:space="preserve"> </w:t>
      </w:r>
      <w:r>
        <w:rPr>
          <w:w w:val="110"/>
        </w:rPr>
        <w:t>voices.</w:t>
      </w:r>
      <w:r>
        <w:rPr>
          <w:spacing w:val="-10"/>
          <w:w w:val="110"/>
        </w:rPr>
        <w:t xml:space="preserve"> </w:t>
      </w:r>
      <w:r>
        <w:rPr>
          <w:w w:val="110"/>
        </w:rPr>
        <w:t>As</w:t>
      </w:r>
      <w:r>
        <w:rPr>
          <w:spacing w:val="-13"/>
          <w:w w:val="110"/>
        </w:rPr>
        <w:t xml:space="preserve"> </w:t>
      </w:r>
      <w:r>
        <w:rPr>
          <w:w w:val="110"/>
        </w:rPr>
        <w:t>a</w:t>
      </w:r>
      <w:r>
        <w:rPr>
          <w:spacing w:val="-5"/>
          <w:w w:val="110"/>
        </w:rPr>
        <w:t xml:space="preserve"> </w:t>
      </w:r>
      <w:r>
        <w:rPr>
          <w:w w:val="110"/>
        </w:rPr>
        <w:t>result,</w:t>
      </w:r>
      <w:r>
        <w:rPr>
          <w:spacing w:val="3"/>
          <w:w w:val="110"/>
        </w:rPr>
        <w:t xml:space="preserve"> </w:t>
      </w:r>
      <w:r>
        <w:rPr>
          <w:w w:val="110"/>
        </w:rPr>
        <w:t>parents</w:t>
      </w:r>
      <w:r>
        <w:rPr>
          <w:spacing w:val="-2"/>
          <w:w w:val="110"/>
        </w:rPr>
        <w:t xml:space="preserve"> </w:t>
      </w:r>
      <w:r>
        <w:rPr>
          <w:w w:val="110"/>
        </w:rPr>
        <w:t>may</w:t>
      </w:r>
      <w:r>
        <w:rPr>
          <w:spacing w:val="-8"/>
          <w:w w:val="110"/>
        </w:rPr>
        <w:t xml:space="preserve"> </w:t>
      </w:r>
      <w:r>
        <w:rPr>
          <w:w w:val="110"/>
        </w:rPr>
        <w:t>be</w:t>
      </w:r>
      <w:r>
        <w:rPr>
          <w:spacing w:val="-12"/>
          <w:w w:val="110"/>
        </w:rPr>
        <w:t xml:space="preserve"> </w:t>
      </w:r>
      <w:r>
        <w:rPr>
          <w:w w:val="110"/>
        </w:rPr>
        <w:t>concerned initially that the child is deaf. Young children with this disorder may treat adults as interchangeable or may cling mechanically to a specific person. Over the course of development, the child may become more willing to be passively engaged in social interaction</w:t>
      </w:r>
      <w:r>
        <w:rPr>
          <w:spacing w:val="-11"/>
          <w:w w:val="110"/>
        </w:rPr>
        <w:t xml:space="preserve"> </w:t>
      </w:r>
      <w:r>
        <w:rPr>
          <w:w w:val="110"/>
        </w:rPr>
        <w:t>and</w:t>
      </w:r>
      <w:r>
        <w:rPr>
          <w:spacing w:val="-6"/>
          <w:w w:val="110"/>
        </w:rPr>
        <w:t xml:space="preserve"> </w:t>
      </w:r>
      <w:r>
        <w:rPr>
          <w:w w:val="110"/>
        </w:rPr>
        <w:t>may</w:t>
      </w:r>
      <w:r>
        <w:rPr>
          <w:spacing w:val="-18"/>
          <w:w w:val="110"/>
        </w:rPr>
        <w:t xml:space="preserve"> </w:t>
      </w:r>
      <w:r>
        <w:rPr>
          <w:w w:val="110"/>
        </w:rPr>
        <w:t>even</w:t>
      </w:r>
      <w:r>
        <w:rPr>
          <w:spacing w:val="-17"/>
          <w:w w:val="110"/>
        </w:rPr>
        <w:t xml:space="preserve"> </w:t>
      </w:r>
      <w:r>
        <w:rPr>
          <w:w w:val="110"/>
        </w:rPr>
        <w:t>become</w:t>
      </w:r>
      <w:r>
        <w:rPr>
          <w:spacing w:val="-15"/>
          <w:w w:val="110"/>
        </w:rPr>
        <w:t xml:space="preserve"> </w:t>
      </w:r>
      <w:r>
        <w:rPr>
          <w:w w:val="110"/>
        </w:rPr>
        <w:t>more</w:t>
      </w:r>
      <w:r>
        <w:rPr>
          <w:spacing w:val="-18"/>
          <w:w w:val="110"/>
        </w:rPr>
        <w:t xml:space="preserve"> </w:t>
      </w:r>
      <w:r>
        <w:rPr>
          <w:w w:val="110"/>
        </w:rPr>
        <w:t>interested</w:t>
      </w:r>
      <w:r>
        <w:rPr>
          <w:spacing w:val="-12"/>
          <w:w w:val="110"/>
        </w:rPr>
        <w:t xml:space="preserve"> </w:t>
      </w:r>
      <w:r>
        <w:rPr>
          <w:w w:val="110"/>
        </w:rPr>
        <w:t>in</w:t>
      </w:r>
      <w:r>
        <w:rPr>
          <w:spacing w:val="-22"/>
          <w:w w:val="110"/>
        </w:rPr>
        <w:t xml:space="preserve"> </w:t>
      </w:r>
      <w:r>
        <w:rPr>
          <w:w w:val="110"/>
        </w:rPr>
        <w:t>social</w:t>
      </w:r>
      <w:r>
        <w:rPr>
          <w:spacing w:val="-17"/>
          <w:w w:val="110"/>
        </w:rPr>
        <w:t xml:space="preserve"> </w:t>
      </w:r>
      <w:r>
        <w:rPr>
          <w:w w:val="110"/>
        </w:rPr>
        <w:t>interaction.</w:t>
      </w:r>
      <w:r>
        <w:rPr>
          <w:spacing w:val="-6"/>
          <w:w w:val="110"/>
        </w:rPr>
        <w:t xml:space="preserve"> </w:t>
      </w:r>
      <w:r>
        <w:rPr>
          <w:w w:val="110"/>
        </w:rPr>
        <w:t>However,</w:t>
      </w:r>
      <w:r>
        <w:rPr>
          <w:spacing w:val="-14"/>
          <w:w w:val="110"/>
        </w:rPr>
        <w:t xml:space="preserve"> </w:t>
      </w:r>
      <w:r>
        <w:rPr>
          <w:w w:val="110"/>
        </w:rPr>
        <w:t>even in</w:t>
      </w:r>
      <w:r>
        <w:rPr>
          <w:spacing w:val="-19"/>
          <w:w w:val="110"/>
        </w:rPr>
        <w:t xml:space="preserve"> </w:t>
      </w:r>
      <w:r>
        <w:rPr>
          <w:w w:val="110"/>
        </w:rPr>
        <w:t>such</w:t>
      </w:r>
      <w:r>
        <w:rPr>
          <w:spacing w:val="-10"/>
          <w:w w:val="110"/>
        </w:rPr>
        <w:t xml:space="preserve"> </w:t>
      </w:r>
      <w:r>
        <w:rPr>
          <w:w w:val="110"/>
        </w:rPr>
        <w:t>instances,</w:t>
      </w:r>
      <w:r>
        <w:rPr>
          <w:spacing w:val="1"/>
          <w:w w:val="110"/>
        </w:rPr>
        <w:t xml:space="preserve"> </w:t>
      </w:r>
      <w:r>
        <w:rPr>
          <w:w w:val="110"/>
        </w:rPr>
        <w:t>the</w:t>
      </w:r>
      <w:r>
        <w:rPr>
          <w:spacing w:val="-15"/>
          <w:w w:val="110"/>
        </w:rPr>
        <w:t xml:space="preserve"> </w:t>
      </w:r>
      <w:r>
        <w:rPr>
          <w:w w:val="110"/>
        </w:rPr>
        <w:t>child</w:t>
      </w:r>
      <w:r>
        <w:rPr>
          <w:spacing w:val="-7"/>
          <w:w w:val="110"/>
        </w:rPr>
        <w:t xml:space="preserve"> </w:t>
      </w:r>
      <w:r>
        <w:rPr>
          <w:w w:val="110"/>
        </w:rPr>
        <w:t>tends</w:t>
      </w:r>
      <w:r>
        <w:rPr>
          <w:spacing w:val="-11"/>
          <w:w w:val="110"/>
        </w:rPr>
        <w:t xml:space="preserve"> </w:t>
      </w:r>
      <w:r>
        <w:rPr>
          <w:w w:val="110"/>
        </w:rPr>
        <w:t>to</w:t>
      </w:r>
      <w:r>
        <w:rPr>
          <w:spacing w:val="-14"/>
          <w:w w:val="110"/>
        </w:rPr>
        <w:t xml:space="preserve"> </w:t>
      </w:r>
      <w:r>
        <w:rPr>
          <w:w w:val="110"/>
        </w:rPr>
        <w:t>treat</w:t>
      </w:r>
      <w:r>
        <w:rPr>
          <w:spacing w:val="-11"/>
          <w:w w:val="110"/>
        </w:rPr>
        <w:t xml:space="preserve"> </w:t>
      </w:r>
      <w:r>
        <w:rPr>
          <w:w w:val="110"/>
        </w:rPr>
        <w:t>other</w:t>
      </w:r>
      <w:r>
        <w:rPr>
          <w:spacing w:val="-7"/>
          <w:w w:val="110"/>
        </w:rPr>
        <w:t xml:space="preserve"> </w:t>
      </w:r>
      <w:r>
        <w:rPr>
          <w:w w:val="110"/>
        </w:rPr>
        <w:t>people</w:t>
      </w:r>
      <w:r>
        <w:rPr>
          <w:spacing w:val="-7"/>
          <w:w w:val="110"/>
        </w:rPr>
        <w:t xml:space="preserve"> </w:t>
      </w:r>
      <w:r>
        <w:rPr>
          <w:w w:val="110"/>
        </w:rPr>
        <w:t>in</w:t>
      </w:r>
      <w:r>
        <w:rPr>
          <w:spacing w:val="-8"/>
          <w:w w:val="110"/>
        </w:rPr>
        <w:t xml:space="preserve"> </w:t>
      </w:r>
      <w:r>
        <w:rPr>
          <w:w w:val="110"/>
        </w:rPr>
        <w:t>unusual</w:t>
      </w:r>
      <w:r>
        <w:rPr>
          <w:spacing w:val="-7"/>
          <w:w w:val="110"/>
        </w:rPr>
        <w:t xml:space="preserve"> </w:t>
      </w:r>
      <w:r>
        <w:rPr>
          <w:w w:val="110"/>
        </w:rPr>
        <w:t>ways</w:t>
      </w:r>
      <w:r>
        <w:rPr>
          <w:spacing w:val="-14"/>
          <w:w w:val="110"/>
        </w:rPr>
        <w:t xml:space="preserve"> </w:t>
      </w:r>
      <w:r>
        <w:rPr>
          <w:w w:val="110"/>
        </w:rPr>
        <w:t>(e.g.,</w:t>
      </w:r>
      <w:r>
        <w:rPr>
          <w:spacing w:val="-13"/>
          <w:w w:val="110"/>
        </w:rPr>
        <w:t xml:space="preserve"> </w:t>
      </w:r>
      <w:r>
        <w:rPr>
          <w:w w:val="110"/>
        </w:rPr>
        <w:t>expecting other</w:t>
      </w:r>
      <w:r>
        <w:rPr>
          <w:spacing w:val="-13"/>
          <w:w w:val="110"/>
        </w:rPr>
        <w:t xml:space="preserve"> </w:t>
      </w:r>
      <w:r>
        <w:rPr>
          <w:w w:val="110"/>
        </w:rPr>
        <w:t>people</w:t>
      </w:r>
      <w:r>
        <w:rPr>
          <w:spacing w:val="-16"/>
          <w:w w:val="110"/>
        </w:rPr>
        <w:t xml:space="preserve"> </w:t>
      </w:r>
      <w:r>
        <w:rPr>
          <w:w w:val="110"/>
        </w:rPr>
        <w:t>to</w:t>
      </w:r>
      <w:r>
        <w:rPr>
          <w:spacing w:val="-21"/>
          <w:w w:val="110"/>
        </w:rPr>
        <w:t xml:space="preserve"> </w:t>
      </w:r>
      <w:r>
        <w:rPr>
          <w:w w:val="110"/>
        </w:rPr>
        <w:t>answer</w:t>
      </w:r>
      <w:r>
        <w:rPr>
          <w:spacing w:val="-13"/>
          <w:w w:val="110"/>
        </w:rPr>
        <w:t xml:space="preserve"> </w:t>
      </w:r>
      <w:r>
        <w:rPr>
          <w:w w:val="110"/>
        </w:rPr>
        <w:t>ritualized</w:t>
      </w:r>
      <w:r>
        <w:rPr>
          <w:spacing w:val="-14"/>
          <w:w w:val="110"/>
        </w:rPr>
        <w:t xml:space="preserve"> </w:t>
      </w:r>
      <w:r>
        <w:rPr>
          <w:w w:val="110"/>
        </w:rPr>
        <w:t>questions</w:t>
      </w:r>
      <w:r>
        <w:rPr>
          <w:spacing w:val="-16"/>
          <w:w w:val="110"/>
        </w:rPr>
        <w:t xml:space="preserve"> </w:t>
      </w:r>
      <w:r>
        <w:rPr>
          <w:w w:val="110"/>
        </w:rPr>
        <w:t>in</w:t>
      </w:r>
      <w:r>
        <w:rPr>
          <w:spacing w:val="-23"/>
          <w:w w:val="110"/>
        </w:rPr>
        <w:t xml:space="preserve"> </w:t>
      </w:r>
      <w:r>
        <w:rPr>
          <w:w w:val="110"/>
        </w:rPr>
        <w:t>specific</w:t>
      </w:r>
      <w:r>
        <w:rPr>
          <w:spacing w:val="-16"/>
          <w:w w:val="110"/>
        </w:rPr>
        <w:t xml:space="preserve"> </w:t>
      </w:r>
      <w:r>
        <w:rPr>
          <w:w w:val="110"/>
        </w:rPr>
        <w:t>ways,</w:t>
      </w:r>
      <w:r>
        <w:rPr>
          <w:spacing w:val="-13"/>
          <w:w w:val="110"/>
        </w:rPr>
        <w:t xml:space="preserve"> </w:t>
      </w:r>
      <w:r>
        <w:rPr>
          <w:w w:val="110"/>
        </w:rPr>
        <w:t>having</w:t>
      </w:r>
      <w:r>
        <w:rPr>
          <w:spacing w:val="-16"/>
          <w:w w:val="110"/>
        </w:rPr>
        <w:t xml:space="preserve"> </w:t>
      </w:r>
      <w:r>
        <w:rPr>
          <w:w w:val="110"/>
        </w:rPr>
        <w:t>little</w:t>
      </w:r>
      <w:r>
        <w:rPr>
          <w:spacing w:val="-23"/>
          <w:w w:val="110"/>
        </w:rPr>
        <w:t xml:space="preserve"> </w:t>
      </w:r>
      <w:r>
        <w:rPr>
          <w:w w:val="110"/>
        </w:rPr>
        <w:t>sense</w:t>
      </w:r>
      <w:r>
        <w:rPr>
          <w:spacing w:val="-18"/>
          <w:w w:val="110"/>
        </w:rPr>
        <w:t xml:space="preserve"> </w:t>
      </w:r>
      <w:r>
        <w:rPr>
          <w:w w:val="110"/>
        </w:rPr>
        <w:t>of</w:t>
      </w:r>
      <w:r>
        <w:rPr>
          <w:spacing w:val="-18"/>
          <w:w w:val="110"/>
        </w:rPr>
        <w:t xml:space="preserve"> </w:t>
      </w:r>
      <w:r>
        <w:rPr>
          <w:w w:val="110"/>
        </w:rPr>
        <w:t>other people's</w:t>
      </w:r>
      <w:r>
        <w:rPr>
          <w:spacing w:val="-14"/>
          <w:w w:val="110"/>
        </w:rPr>
        <w:t xml:space="preserve"> </w:t>
      </w:r>
      <w:r>
        <w:rPr>
          <w:w w:val="110"/>
        </w:rPr>
        <w:t>boundaries,</w:t>
      </w:r>
      <w:r>
        <w:rPr>
          <w:spacing w:val="-3"/>
          <w:w w:val="110"/>
        </w:rPr>
        <w:t xml:space="preserve"> </w:t>
      </w:r>
      <w:r>
        <w:rPr>
          <w:w w:val="110"/>
        </w:rPr>
        <w:t>and</w:t>
      </w:r>
      <w:r>
        <w:rPr>
          <w:spacing w:val="-12"/>
          <w:w w:val="110"/>
        </w:rPr>
        <w:t xml:space="preserve"> </w:t>
      </w:r>
      <w:r>
        <w:rPr>
          <w:w w:val="110"/>
        </w:rPr>
        <w:t>being</w:t>
      </w:r>
      <w:r>
        <w:rPr>
          <w:spacing w:val="-17"/>
          <w:w w:val="110"/>
        </w:rPr>
        <w:t xml:space="preserve"> </w:t>
      </w:r>
      <w:r>
        <w:rPr>
          <w:w w:val="110"/>
        </w:rPr>
        <w:t>inappropriately</w:t>
      </w:r>
      <w:r>
        <w:rPr>
          <w:spacing w:val="-13"/>
          <w:w w:val="110"/>
        </w:rPr>
        <w:t xml:space="preserve"> </w:t>
      </w:r>
      <w:r>
        <w:rPr>
          <w:w w:val="110"/>
        </w:rPr>
        <w:t>intrusive</w:t>
      </w:r>
      <w:r>
        <w:rPr>
          <w:spacing w:val="-12"/>
          <w:w w:val="110"/>
        </w:rPr>
        <w:t xml:space="preserve"> </w:t>
      </w:r>
      <w:r>
        <w:rPr>
          <w:w w:val="110"/>
        </w:rPr>
        <w:t>in</w:t>
      </w:r>
      <w:r>
        <w:rPr>
          <w:spacing w:val="-21"/>
          <w:w w:val="110"/>
        </w:rPr>
        <w:t xml:space="preserve"> </w:t>
      </w:r>
      <w:r>
        <w:rPr>
          <w:w w:val="110"/>
        </w:rPr>
        <w:t>social</w:t>
      </w:r>
      <w:r>
        <w:rPr>
          <w:spacing w:val="-16"/>
          <w:w w:val="110"/>
        </w:rPr>
        <w:t xml:space="preserve"> </w:t>
      </w:r>
      <w:r>
        <w:rPr>
          <w:w w:val="110"/>
        </w:rPr>
        <w:t>interaction).</w:t>
      </w:r>
      <w:r>
        <w:rPr>
          <w:spacing w:val="-9"/>
          <w:w w:val="110"/>
        </w:rPr>
        <w:t xml:space="preserve"> </w:t>
      </w:r>
      <w:r>
        <w:rPr>
          <w:w w:val="110"/>
        </w:rPr>
        <w:t>In</w:t>
      </w:r>
      <w:r>
        <w:rPr>
          <w:spacing w:val="-19"/>
          <w:w w:val="110"/>
        </w:rPr>
        <w:t xml:space="preserve"> </w:t>
      </w:r>
      <w:r>
        <w:rPr>
          <w:w w:val="110"/>
        </w:rPr>
        <w:t>older individuals,</w:t>
      </w:r>
      <w:r>
        <w:rPr>
          <w:spacing w:val="-7"/>
          <w:w w:val="110"/>
        </w:rPr>
        <w:t xml:space="preserve"> </w:t>
      </w:r>
      <w:r>
        <w:rPr>
          <w:w w:val="110"/>
        </w:rPr>
        <w:t>tasks</w:t>
      </w:r>
      <w:r>
        <w:rPr>
          <w:spacing w:val="-14"/>
          <w:w w:val="110"/>
        </w:rPr>
        <w:t xml:space="preserve"> </w:t>
      </w:r>
      <w:r>
        <w:rPr>
          <w:w w:val="110"/>
        </w:rPr>
        <w:t>involving</w:t>
      </w:r>
      <w:r>
        <w:rPr>
          <w:spacing w:val="-12"/>
          <w:w w:val="110"/>
        </w:rPr>
        <w:t xml:space="preserve"> </w:t>
      </w:r>
      <w:r>
        <w:rPr>
          <w:w w:val="110"/>
        </w:rPr>
        <w:t>long-term</w:t>
      </w:r>
      <w:r>
        <w:rPr>
          <w:spacing w:val="-5"/>
          <w:w w:val="110"/>
        </w:rPr>
        <w:t xml:space="preserve"> </w:t>
      </w:r>
      <w:r>
        <w:rPr>
          <w:w w:val="110"/>
        </w:rPr>
        <w:t>memory</w:t>
      </w:r>
      <w:r>
        <w:rPr>
          <w:spacing w:val="-11"/>
          <w:w w:val="110"/>
        </w:rPr>
        <w:t xml:space="preserve"> </w:t>
      </w:r>
      <w:r>
        <w:rPr>
          <w:w w:val="110"/>
        </w:rPr>
        <w:t>(e.g.,</w:t>
      </w:r>
      <w:r>
        <w:rPr>
          <w:spacing w:val="-11"/>
          <w:w w:val="110"/>
        </w:rPr>
        <w:t xml:space="preserve"> </w:t>
      </w:r>
      <w:r>
        <w:rPr>
          <w:w w:val="110"/>
        </w:rPr>
        <w:t>train</w:t>
      </w:r>
      <w:r>
        <w:rPr>
          <w:spacing w:val="-11"/>
          <w:w w:val="110"/>
        </w:rPr>
        <w:t xml:space="preserve"> </w:t>
      </w:r>
      <w:r>
        <w:rPr>
          <w:w w:val="110"/>
        </w:rPr>
        <w:t>timetables,</w:t>
      </w:r>
      <w:r>
        <w:rPr>
          <w:spacing w:val="-7"/>
          <w:w w:val="110"/>
        </w:rPr>
        <w:t xml:space="preserve"> </w:t>
      </w:r>
      <w:r>
        <w:rPr>
          <w:w w:val="110"/>
        </w:rPr>
        <w:t>historical</w:t>
      </w:r>
      <w:r>
        <w:rPr>
          <w:spacing w:val="-11"/>
          <w:w w:val="110"/>
        </w:rPr>
        <w:t xml:space="preserve"> </w:t>
      </w:r>
      <w:r>
        <w:rPr>
          <w:w w:val="110"/>
        </w:rPr>
        <w:t>dates, chemical formulas, or recall of the exact words of songs heard years before) may be excellent, but the information tends to be repeated over and over again, regardless of the appropriateness of the information to the social context. Rates of the disorder are four</w:t>
      </w:r>
      <w:r>
        <w:rPr>
          <w:spacing w:val="-9"/>
          <w:w w:val="110"/>
        </w:rPr>
        <w:t xml:space="preserve"> </w:t>
      </w:r>
      <w:r>
        <w:rPr>
          <w:w w:val="110"/>
        </w:rPr>
        <w:t>to</w:t>
      </w:r>
      <w:r>
        <w:rPr>
          <w:spacing w:val="-11"/>
          <w:w w:val="110"/>
        </w:rPr>
        <w:t xml:space="preserve"> </w:t>
      </w:r>
      <w:r>
        <w:rPr>
          <w:w w:val="110"/>
        </w:rPr>
        <w:t>five</w:t>
      </w:r>
      <w:r>
        <w:rPr>
          <w:spacing w:val="-6"/>
          <w:w w:val="110"/>
        </w:rPr>
        <w:t xml:space="preserve"> </w:t>
      </w:r>
      <w:r>
        <w:rPr>
          <w:w w:val="110"/>
        </w:rPr>
        <w:t>times</w:t>
      </w:r>
      <w:r>
        <w:rPr>
          <w:spacing w:val="-3"/>
          <w:w w:val="110"/>
        </w:rPr>
        <w:t xml:space="preserve"> </w:t>
      </w:r>
      <w:r>
        <w:rPr>
          <w:w w:val="110"/>
        </w:rPr>
        <w:t>higher</w:t>
      </w:r>
      <w:r>
        <w:rPr>
          <w:spacing w:val="-7"/>
          <w:w w:val="110"/>
        </w:rPr>
        <w:t xml:space="preserve"> </w:t>
      </w:r>
      <w:r>
        <w:rPr>
          <w:w w:val="110"/>
        </w:rPr>
        <w:t>in</w:t>
      </w:r>
      <w:r>
        <w:rPr>
          <w:spacing w:val="-5"/>
          <w:w w:val="110"/>
        </w:rPr>
        <w:t xml:space="preserve"> </w:t>
      </w:r>
      <w:r>
        <w:rPr>
          <w:w w:val="110"/>
        </w:rPr>
        <w:t>males</w:t>
      </w:r>
      <w:r>
        <w:rPr>
          <w:spacing w:val="-5"/>
          <w:w w:val="110"/>
        </w:rPr>
        <w:t xml:space="preserve"> </w:t>
      </w:r>
      <w:r>
        <w:rPr>
          <w:w w:val="110"/>
        </w:rPr>
        <w:t>than</w:t>
      </w:r>
      <w:r>
        <w:rPr>
          <w:spacing w:val="-5"/>
          <w:w w:val="110"/>
        </w:rPr>
        <w:t xml:space="preserve"> </w:t>
      </w:r>
      <w:r>
        <w:rPr>
          <w:w w:val="110"/>
        </w:rPr>
        <w:t>in</w:t>
      </w:r>
      <w:r>
        <w:rPr>
          <w:spacing w:val="-13"/>
          <w:w w:val="110"/>
        </w:rPr>
        <w:t xml:space="preserve"> </w:t>
      </w:r>
      <w:r>
        <w:rPr>
          <w:w w:val="110"/>
        </w:rPr>
        <w:t>females. Females</w:t>
      </w:r>
      <w:r>
        <w:rPr>
          <w:spacing w:val="-3"/>
          <w:w w:val="110"/>
        </w:rPr>
        <w:t xml:space="preserve"> </w:t>
      </w:r>
      <w:r>
        <w:rPr>
          <w:w w:val="110"/>
        </w:rPr>
        <w:t>with</w:t>
      </w:r>
      <w:r>
        <w:rPr>
          <w:spacing w:val="-3"/>
          <w:w w:val="110"/>
        </w:rPr>
        <w:t xml:space="preserve"> </w:t>
      </w:r>
      <w:r>
        <w:rPr>
          <w:w w:val="110"/>
        </w:rPr>
        <w:t>the</w:t>
      </w:r>
      <w:r>
        <w:rPr>
          <w:spacing w:val="-11"/>
          <w:w w:val="110"/>
        </w:rPr>
        <w:t xml:space="preserve"> </w:t>
      </w:r>
      <w:r>
        <w:rPr>
          <w:w w:val="110"/>
        </w:rPr>
        <w:t>disorder</w:t>
      </w:r>
      <w:r>
        <w:rPr>
          <w:spacing w:val="-5"/>
          <w:w w:val="110"/>
        </w:rPr>
        <w:t xml:space="preserve"> </w:t>
      </w:r>
      <w:r>
        <w:rPr>
          <w:w w:val="110"/>
        </w:rPr>
        <w:t>are</w:t>
      </w:r>
      <w:r>
        <w:rPr>
          <w:spacing w:val="-7"/>
          <w:w w:val="110"/>
        </w:rPr>
        <w:t xml:space="preserve"> </w:t>
      </w:r>
      <w:r>
        <w:rPr>
          <w:w w:val="110"/>
        </w:rPr>
        <w:t>more likely, however, to exhibit more severe Mental</w:t>
      </w:r>
      <w:r>
        <w:rPr>
          <w:spacing w:val="41"/>
          <w:w w:val="110"/>
        </w:rPr>
        <w:t xml:space="preserve"> </w:t>
      </w:r>
      <w:r>
        <w:rPr>
          <w:w w:val="110"/>
        </w:rPr>
        <w:t>Retardation.</w:t>
      </w:r>
    </w:p>
    <w:p w:rsidR="00E675F0" w:rsidRDefault="00E675F0" w:rsidP="00E675F0">
      <w:pPr>
        <w:spacing w:line="254" w:lineRule="auto"/>
        <w:jc w:val="both"/>
        <w:sectPr w:rsidR="00E675F0">
          <w:pgSz w:w="8960" w:h="14260"/>
          <w:pgMar w:top="1400" w:right="600" w:bottom="280" w:left="620" w:header="701" w:footer="0" w:gutter="0"/>
          <w:cols w:space="720"/>
        </w:sectPr>
      </w:pPr>
    </w:p>
    <w:p w:rsidR="00E675F0" w:rsidRDefault="00E675F0" w:rsidP="00E675F0">
      <w:pPr>
        <w:spacing w:before="135"/>
        <w:ind w:left="119"/>
        <w:rPr>
          <w:rFonts w:ascii="TimesNewRomanPS-BoldItalicMT"/>
          <w:b/>
          <w:i/>
          <w:sz w:val="24"/>
        </w:rPr>
      </w:pPr>
      <w:r>
        <w:rPr>
          <w:rFonts w:ascii="TimesNewRomanPS-BoldItalicMT"/>
          <w:b/>
          <w:i/>
          <w:w w:val="115"/>
          <w:sz w:val="24"/>
        </w:rPr>
        <w:lastRenderedPageBreak/>
        <w:t>Prevalence</w:t>
      </w:r>
    </w:p>
    <w:p w:rsidR="00E675F0" w:rsidRDefault="00E675F0" w:rsidP="00E675F0">
      <w:pPr>
        <w:spacing w:before="141" w:line="256" w:lineRule="auto"/>
        <w:ind w:left="135" w:right="100" w:firstLine="1"/>
        <w:jc w:val="both"/>
        <w:rPr>
          <w:sz w:val="19"/>
        </w:rPr>
      </w:pPr>
      <w:r>
        <w:rPr>
          <w:w w:val="110"/>
          <w:sz w:val="19"/>
        </w:rPr>
        <w:t xml:space="preserve">Epidemiological studies suggest rates of Autistic Disorder of </w:t>
      </w:r>
      <w:r>
        <w:rPr>
          <w:w w:val="110"/>
          <w:sz w:val="21"/>
        </w:rPr>
        <w:t xml:space="preserve">2-5 </w:t>
      </w:r>
      <w:r>
        <w:rPr>
          <w:w w:val="110"/>
          <w:sz w:val="19"/>
        </w:rPr>
        <w:t>cases per 10,000 individuals.</w:t>
      </w:r>
    </w:p>
    <w:p w:rsidR="00E675F0" w:rsidRDefault="00E675F0" w:rsidP="00E675F0">
      <w:pPr>
        <w:pStyle w:val="BodyText"/>
        <w:spacing w:before="9"/>
        <w:rPr>
          <w:sz w:val="28"/>
        </w:rPr>
      </w:pPr>
    </w:p>
    <w:p w:rsidR="00E675F0" w:rsidRDefault="00E675F0" w:rsidP="00E675F0">
      <w:pPr>
        <w:ind w:left="111"/>
        <w:rPr>
          <w:rFonts w:ascii="TimesNewRomanPS-BoldItalicMT"/>
          <w:b/>
          <w:i/>
          <w:sz w:val="24"/>
        </w:rPr>
      </w:pPr>
      <w:r>
        <w:rPr>
          <w:rFonts w:ascii="TimesNewRomanPS-BoldItalicMT"/>
          <w:b/>
          <w:i/>
          <w:w w:val="115"/>
          <w:sz w:val="24"/>
        </w:rPr>
        <w:t>Course</w:t>
      </w:r>
    </w:p>
    <w:p w:rsidR="00E675F0" w:rsidRDefault="00E675F0" w:rsidP="00E675F0">
      <w:pPr>
        <w:spacing w:before="150" w:line="266" w:lineRule="auto"/>
        <w:ind w:left="133" w:right="112" w:firstLine="8"/>
        <w:jc w:val="both"/>
        <w:rPr>
          <w:sz w:val="19"/>
        </w:rPr>
      </w:pPr>
      <w:r>
        <w:rPr>
          <w:w w:val="110"/>
          <w:sz w:val="19"/>
        </w:rPr>
        <w:t>By definition, the onset of Autistic Disorder is prior to age 3 years. In some instances, parents will report that they have been worried about the child since birth or shortly afterward because of the child's lack of interest in social interaction. Manifestations of the  disorder in infancy are  more subtle and difficult to define than those seen after age</w:t>
      </w:r>
      <w:r>
        <w:rPr>
          <w:spacing w:val="52"/>
          <w:w w:val="110"/>
          <w:sz w:val="19"/>
        </w:rPr>
        <w:t xml:space="preserve"> </w:t>
      </w:r>
      <w:r>
        <w:rPr>
          <w:w w:val="110"/>
          <w:sz w:val="19"/>
        </w:rPr>
        <w:t>2 years. In a minority of cases, the child may be reported to have developed  normally for the first year (or even 2 years) of life. Autistic Disorder follows a continuous course. In school-age children and adolescents, developmental gains in some areas are common (e.g., increased interest in social functioning as the child reaches school age). Some individuals deteriorate behaviorally during adolescence, whereas others improve. Lan­ guage skills (e.g., presence of communicative speech) and overall intellectual level are the strongest factors related to ultimate prognosis. Available follow-up studies suggest that only a small percentage of individuals with the disorder go on as adults to live and work independently. In about one-third of  cases,  some degree of  partial independence is possible. The highest functioning adults with Autistic Disorder typically continue to exhibit problems in social interaction and communication along with markedly restricted interests and</w:t>
      </w:r>
      <w:r>
        <w:rPr>
          <w:spacing w:val="38"/>
          <w:w w:val="110"/>
          <w:sz w:val="19"/>
        </w:rPr>
        <w:t xml:space="preserve"> </w:t>
      </w:r>
      <w:r>
        <w:rPr>
          <w:w w:val="110"/>
          <w:sz w:val="19"/>
        </w:rPr>
        <w:t>activities.</w:t>
      </w:r>
    </w:p>
    <w:p w:rsidR="00E675F0" w:rsidRDefault="00E675F0" w:rsidP="00E675F0">
      <w:pPr>
        <w:pStyle w:val="BodyText"/>
      </w:pPr>
    </w:p>
    <w:p w:rsidR="00E675F0" w:rsidRDefault="00E675F0" w:rsidP="00E675F0">
      <w:pPr>
        <w:spacing w:before="116"/>
        <w:ind w:left="116"/>
        <w:rPr>
          <w:rFonts w:ascii="TimesNewRomanPS-BoldItalicMT"/>
          <w:b/>
          <w:i/>
          <w:sz w:val="24"/>
        </w:rPr>
      </w:pPr>
      <w:r>
        <w:rPr>
          <w:rFonts w:ascii="TimesNewRomanPS-BoldItalicMT"/>
          <w:b/>
          <w:i/>
          <w:w w:val="115"/>
          <w:sz w:val="24"/>
        </w:rPr>
        <w:t>Familial Pattern</w:t>
      </w:r>
    </w:p>
    <w:p w:rsidR="00E675F0" w:rsidRDefault="00E675F0" w:rsidP="00E675F0">
      <w:pPr>
        <w:spacing w:before="156" w:line="268" w:lineRule="auto"/>
        <w:ind w:left="139" w:right="125" w:hanging="5"/>
        <w:jc w:val="both"/>
        <w:rPr>
          <w:sz w:val="19"/>
        </w:rPr>
      </w:pPr>
      <w:r>
        <w:rPr>
          <w:w w:val="110"/>
          <w:sz w:val="19"/>
        </w:rPr>
        <w:t>There is an increased risk of Autistic Disorder among siblings of individuals with the disorder.</w:t>
      </w:r>
    </w:p>
    <w:p w:rsidR="00E675F0" w:rsidRDefault="00E675F0" w:rsidP="00E675F0">
      <w:pPr>
        <w:pStyle w:val="BodyText"/>
        <w:spacing w:before="9"/>
        <w:rPr>
          <w:sz w:val="27"/>
        </w:rPr>
      </w:pPr>
    </w:p>
    <w:p w:rsidR="00E675F0" w:rsidRDefault="00E675F0" w:rsidP="00E675F0">
      <w:pPr>
        <w:ind w:left="125"/>
        <w:rPr>
          <w:rFonts w:ascii="TimesNewRomanPS-BoldItalicMT"/>
          <w:b/>
          <w:i/>
          <w:sz w:val="24"/>
        </w:rPr>
      </w:pPr>
      <w:r>
        <w:rPr>
          <w:rFonts w:ascii="TimesNewRomanPS-BoldItalicMT"/>
          <w:b/>
          <w:i/>
          <w:w w:val="120"/>
          <w:sz w:val="24"/>
        </w:rPr>
        <w:t>Differential magnosis</w:t>
      </w:r>
    </w:p>
    <w:p w:rsidR="00E675F0" w:rsidRDefault="00E675F0" w:rsidP="00E675F0">
      <w:pPr>
        <w:spacing w:before="141" w:line="264" w:lineRule="auto"/>
        <w:ind w:left="134" w:right="102" w:firstLine="3"/>
        <w:jc w:val="both"/>
        <w:rPr>
          <w:sz w:val="19"/>
        </w:rPr>
      </w:pPr>
      <w:r>
        <w:rPr>
          <w:w w:val="110"/>
          <w:sz w:val="19"/>
        </w:rPr>
        <w:t xml:space="preserve">Periods of developmental regression may be observed in normal development, but these are neither as severe or as prolonged as in Autistic Disorder. Autistic Disorder must be differentiated from </w:t>
      </w:r>
      <w:r>
        <w:rPr>
          <w:b/>
          <w:w w:val="110"/>
          <w:sz w:val="20"/>
        </w:rPr>
        <w:t xml:space="preserve">other Pervasive Developmental Disorders. Rett's Disorder </w:t>
      </w:r>
      <w:r>
        <w:rPr>
          <w:w w:val="110"/>
          <w:sz w:val="19"/>
        </w:rPr>
        <w:t xml:space="preserve">differs from Autistic Disorder in its characteristic sex ratio and pattern of deficits. Rett's Disorder has been diagnosed only in females, whereas Autistic Disorder occurs much more frequently in males. In Rett's Disorder, there is a characteristic pattern of head growth deceleration, loss of previously acquired purposeful hand skills, and the appearance of poorly coordinated gait or trunk movements. Particularly during the preschool years, individuals with Rett's Disorder may exhibit difficulties in social interaction similar to those observed in Autistic Disorder, but these tend to be transient. Autistic Disorder differs from </w:t>
      </w:r>
      <w:r>
        <w:rPr>
          <w:b/>
          <w:w w:val="110"/>
          <w:sz w:val="20"/>
        </w:rPr>
        <w:t xml:space="preserve">Childhood Disintegrative Disorder, </w:t>
      </w:r>
      <w:r>
        <w:rPr>
          <w:w w:val="110"/>
          <w:sz w:val="19"/>
        </w:rPr>
        <w:t>which has a distinctive pattern of developmental regression following at least 2 years of normal development. In Autistic Disorder, developmental abnormalities are usually noted within the first year of life. When information on early development  is unavailable or when it</w:t>
      </w:r>
      <w:r>
        <w:rPr>
          <w:spacing w:val="52"/>
          <w:w w:val="110"/>
          <w:sz w:val="19"/>
        </w:rPr>
        <w:t xml:space="preserve"> </w:t>
      </w:r>
      <w:r>
        <w:rPr>
          <w:w w:val="110"/>
          <w:sz w:val="19"/>
        </w:rPr>
        <w:t xml:space="preserve">is not possible to document the required period of  normal development,  the diagnosis  of Autistic Disorder should be made. </w:t>
      </w:r>
      <w:r>
        <w:rPr>
          <w:b/>
          <w:w w:val="110"/>
          <w:sz w:val="20"/>
        </w:rPr>
        <w:t xml:space="preserve">Asperger's Disorder </w:t>
      </w:r>
      <w:r>
        <w:rPr>
          <w:w w:val="110"/>
          <w:sz w:val="19"/>
        </w:rPr>
        <w:t>can be distinguished from Autistic Disorder by the lack of delay in language development. Asperger's Disorder is not diagnosed if criteria are met for Autistic</w:t>
      </w:r>
      <w:r>
        <w:rPr>
          <w:spacing w:val="-2"/>
          <w:w w:val="110"/>
          <w:sz w:val="19"/>
        </w:rPr>
        <w:t xml:space="preserve"> </w:t>
      </w:r>
      <w:r>
        <w:rPr>
          <w:w w:val="110"/>
          <w:sz w:val="19"/>
        </w:rPr>
        <w:t>Disorder.</w:t>
      </w:r>
    </w:p>
    <w:p w:rsidR="00E675F0" w:rsidRDefault="00E675F0" w:rsidP="00E675F0">
      <w:pPr>
        <w:spacing w:line="264" w:lineRule="auto"/>
        <w:jc w:val="both"/>
        <w:rPr>
          <w:sz w:val="19"/>
        </w:rPr>
        <w:sectPr w:rsidR="00E675F0">
          <w:pgSz w:w="8960" w:h="14260"/>
          <w:pgMar w:top="1400" w:right="620" w:bottom="280" w:left="620" w:header="723" w:footer="0" w:gutter="0"/>
          <w:cols w:space="720"/>
        </w:sectPr>
      </w:pPr>
    </w:p>
    <w:p w:rsidR="00E675F0" w:rsidRDefault="00E675F0" w:rsidP="00E675F0">
      <w:pPr>
        <w:pStyle w:val="BodyText"/>
        <w:spacing w:line="20" w:lineRule="exact"/>
        <w:ind w:left="722"/>
        <w:rPr>
          <w:sz w:val="2"/>
        </w:rPr>
      </w:pPr>
      <w:r>
        <w:rPr>
          <w:noProof/>
          <w:sz w:val="2"/>
        </w:rPr>
        <w:lastRenderedPageBreak/>
        <mc:AlternateContent>
          <mc:Choice Requires="wpg">
            <w:drawing>
              <wp:inline distT="0" distB="0" distL="0" distR="0" wp14:anchorId="021EF3E6" wp14:editId="787F6298">
                <wp:extent cx="4753610" cy="9525"/>
                <wp:effectExtent l="0" t="0" r="0" b="0"/>
                <wp:docPr id="1585" name="Group 1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3610" cy="9525"/>
                          <a:chOff x="0" y="0"/>
                          <a:chExt cx="7486" cy="15"/>
                        </a:xfrm>
                      </wpg:grpSpPr>
                      <wps:wsp>
                        <wps:cNvPr id="1586" name="Line 1542"/>
                        <wps:cNvCnPr>
                          <a:cxnSpLocks/>
                        </wps:cNvCnPr>
                        <wps:spPr bwMode="auto">
                          <a:xfrm>
                            <a:off x="0" y="7"/>
                            <a:ext cx="7486" cy="0"/>
                          </a:xfrm>
                          <a:prstGeom prst="line">
                            <a:avLst/>
                          </a:prstGeom>
                          <a:noFill/>
                          <a:ln w="915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FA8E6F8" id="Group 1541" o:spid="_x0000_s1026" style="width:374.3pt;height:.75pt;mso-position-horizontal-relative:char;mso-position-vertical-relative:line" coordsize="7486,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">
                <v:line id="Line 1542" o:spid="_x0000_s1027" style="position:absolute;visibility:visible;mso-wrap-style:square" from="0,7" to="748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" strokeweight=".25436mm">
                  <o:lock v:ext="edit" shapetype="f"/>
                </v:line>
                <w10:anchorlock/>
              </v:group>
            </w:pict>
          </mc:Fallback>
        </mc:AlternateContent>
      </w:r>
    </w:p>
    <w:p w:rsidR="00E675F0" w:rsidRDefault="00E675F0" w:rsidP="00E675F0">
      <w:pPr>
        <w:pStyle w:val="BodyText"/>
      </w:pPr>
    </w:p>
    <w:p w:rsidR="00E675F0" w:rsidRDefault="00E675F0" w:rsidP="00E675F0">
      <w:pPr>
        <w:pStyle w:val="BodyText"/>
        <w:spacing w:before="3"/>
      </w:pPr>
    </w:p>
    <w:p w:rsidR="00E675F0" w:rsidRDefault="00E675F0" w:rsidP="00E675F0">
      <w:pPr>
        <w:pStyle w:val="BodyText"/>
        <w:spacing w:before="92" w:line="254" w:lineRule="auto"/>
        <w:ind w:left="722" w:right="561" w:firstLine="358"/>
        <w:jc w:val="both"/>
      </w:pPr>
      <w:bookmarkStart w:id="44" w:name="_bookmark29"/>
      <w:bookmarkEnd w:id="44"/>
      <w:r>
        <w:rPr>
          <w:b/>
          <w:w w:val="110"/>
        </w:rPr>
        <w:t xml:space="preserve">Schizophrenia </w:t>
      </w:r>
      <w:r>
        <w:rPr>
          <w:w w:val="110"/>
        </w:rPr>
        <w:t>with childhood onset usually develops after years of normal, or near</w:t>
      </w:r>
      <w:r>
        <w:rPr>
          <w:spacing w:val="-18"/>
          <w:w w:val="110"/>
        </w:rPr>
        <w:t xml:space="preserve"> </w:t>
      </w:r>
      <w:r>
        <w:rPr>
          <w:w w:val="110"/>
        </w:rPr>
        <w:t>normal,</w:t>
      </w:r>
      <w:r>
        <w:rPr>
          <w:spacing w:val="-13"/>
          <w:w w:val="110"/>
        </w:rPr>
        <w:t xml:space="preserve"> </w:t>
      </w:r>
      <w:r>
        <w:rPr>
          <w:w w:val="110"/>
        </w:rPr>
        <w:t>development.</w:t>
      </w:r>
      <w:r>
        <w:rPr>
          <w:spacing w:val="-11"/>
          <w:w w:val="110"/>
        </w:rPr>
        <w:t xml:space="preserve"> </w:t>
      </w:r>
      <w:r>
        <w:rPr>
          <w:w w:val="110"/>
        </w:rPr>
        <w:t>An</w:t>
      </w:r>
      <w:r>
        <w:rPr>
          <w:spacing w:val="-21"/>
          <w:w w:val="110"/>
        </w:rPr>
        <w:t xml:space="preserve"> </w:t>
      </w:r>
      <w:r>
        <w:rPr>
          <w:w w:val="110"/>
        </w:rPr>
        <w:t>additional</w:t>
      </w:r>
      <w:r>
        <w:rPr>
          <w:spacing w:val="-14"/>
          <w:w w:val="110"/>
        </w:rPr>
        <w:t xml:space="preserve"> </w:t>
      </w:r>
      <w:r>
        <w:rPr>
          <w:w w:val="110"/>
        </w:rPr>
        <w:t>diagnosis</w:t>
      </w:r>
      <w:r>
        <w:rPr>
          <w:spacing w:val="-14"/>
          <w:w w:val="110"/>
        </w:rPr>
        <w:t xml:space="preserve"> </w:t>
      </w:r>
      <w:r>
        <w:rPr>
          <w:w w:val="110"/>
        </w:rPr>
        <w:t>of</w:t>
      </w:r>
      <w:r>
        <w:rPr>
          <w:spacing w:val="-21"/>
          <w:w w:val="110"/>
        </w:rPr>
        <w:t xml:space="preserve"> </w:t>
      </w:r>
      <w:r>
        <w:rPr>
          <w:w w:val="110"/>
        </w:rPr>
        <w:t>Schizophrenia</w:t>
      </w:r>
      <w:r>
        <w:rPr>
          <w:spacing w:val="-13"/>
          <w:w w:val="110"/>
        </w:rPr>
        <w:t xml:space="preserve"> </w:t>
      </w:r>
      <w:r>
        <w:rPr>
          <w:w w:val="110"/>
        </w:rPr>
        <w:t>can</w:t>
      </w:r>
      <w:r>
        <w:rPr>
          <w:spacing w:val="-18"/>
          <w:w w:val="110"/>
        </w:rPr>
        <w:t xml:space="preserve"> </w:t>
      </w:r>
      <w:r>
        <w:rPr>
          <w:w w:val="110"/>
        </w:rPr>
        <w:t>be</w:t>
      </w:r>
      <w:r>
        <w:rPr>
          <w:spacing w:val="-19"/>
          <w:w w:val="110"/>
        </w:rPr>
        <w:t xml:space="preserve"> </w:t>
      </w:r>
      <w:r>
        <w:rPr>
          <w:w w:val="110"/>
        </w:rPr>
        <w:t>made</w:t>
      </w:r>
      <w:r>
        <w:rPr>
          <w:spacing w:val="-20"/>
          <w:w w:val="110"/>
        </w:rPr>
        <w:t xml:space="preserve"> </w:t>
      </w:r>
      <w:r>
        <w:rPr>
          <w:w w:val="110"/>
        </w:rPr>
        <w:t>if</w:t>
      </w:r>
      <w:r>
        <w:rPr>
          <w:spacing w:val="-19"/>
          <w:w w:val="110"/>
        </w:rPr>
        <w:t xml:space="preserve"> </w:t>
      </w:r>
      <w:r>
        <w:rPr>
          <w:w w:val="110"/>
        </w:rPr>
        <w:t>an individual</w:t>
      </w:r>
      <w:r>
        <w:rPr>
          <w:spacing w:val="-17"/>
          <w:w w:val="110"/>
        </w:rPr>
        <w:t xml:space="preserve"> </w:t>
      </w:r>
      <w:r>
        <w:rPr>
          <w:w w:val="110"/>
        </w:rPr>
        <w:t>with</w:t>
      </w:r>
      <w:r>
        <w:rPr>
          <w:spacing w:val="-19"/>
          <w:w w:val="110"/>
        </w:rPr>
        <w:t xml:space="preserve"> </w:t>
      </w:r>
      <w:r>
        <w:rPr>
          <w:w w:val="110"/>
        </w:rPr>
        <w:t>Autistic</w:t>
      </w:r>
      <w:r>
        <w:rPr>
          <w:spacing w:val="-15"/>
          <w:w w:val="110"/>
        </w:rPr>
        <w:t xml:space="preserve"> </w:t>
      </w:r>
      <w:r>
        <w:rPr>
          <w:w w:val="110"/>
        </w:rPr>
        <w:t>Disorder</w:t>
      </w:r>
      <w:r>
        <w:rPr>
          <w:spacing w:val="-15"/>
          <w:w w:val="110"/>
        </w:rPr>
        <w:t xml:space="preserve"> </w:t>
      </w:r>
      <w:r>
        <w:rPr>
          <w:w w:val="110"/>
        </w:rPr>
        <w:t>develops</w:t>
      </w:r>
      <w:r>
        <w:rPr>
          <w:spacing w:val="-14"/>
          <w:w w:val="110"/>
        </w:rPr>
        <w:t xml:space="preserve"> </w:t>
      </w:r>
      <w:r>
        <w:rPr>
          <w:w w:val="110"/>
        </w:rPr>
        <w:t>the</w:t>
      </w:r>
      <w:r>
        <w:rPr>
          <w:spacing w:val="-18"/>
          <w:w w:val="110"/>
        </w:rPr>
        <w:t xml:space="preserve"> </w:t>
      </w:r>
      <w:r>
        <w:rPr>
          <w:w w:val="110"/>
        </w:rPr>
        <w:t>characteristic</w:t>
      </w:r>
      <w:r>
        <w:rPr>
          <w:spacing w:val="-23"/>
          <w:w w:val="110"/>
        </w:rPr>
        <w:t xml:space="preserve"> </w:t>
      </w:r>
      <w:r>
        <w:rPr>
          <w:w w:val="110"/>
        </w:rPr>
        <w:t>features</w:t>
      </w:r>
      <w:r>
        <w:rPr>
          <w:spacing w:val="-17"/>
          <w:w w:val="110"/>
        </w:rPr>
        <w:t xml:space="preserve"> </w:t>
      </w:r>
      <w:r>
        <w:rPr>
          <w:w w:val="110"/>
        </w:rPr>
        <w:t>of</w:t>
      </w:r>
      <w:r>
        <w:rPr>
          <w:spacing w:val="-18"/>
          <w:w w:val="110"/>
        </w:rPr>
        <w:t xml:space="preserve"> </w:t>
      </w:r>
      <w:r>
        <w:rPr>
          <w:w w:val="110"/>
        </w:rPr>
        <w:t>Schizophrenia (seep.</w:t>
      </w:r>
      <w:r>
        <w:rPr>
          <w:spacing w:val="-7"/>
          <w:w w:val="110"/>
        </w:rPr>
        <w:t xml:space="preserve"> </w:t>
      </w:r>
      <w:r>
        <w:rPr>
          <w:w w:val="110"/>
        </w:rPr>
        <w:t>274)</w:t>
      </w:r>
      <w:r>
        <w:rPr>
          <w:spacing w:val="-12"/>
          <w:w w:val="110"/>
        </w:rPr>
        <w:t xml:space="preserve"> </w:t>
      </w:r>
      <w:r>
        <w:rPr>
          <w:w w:val="110"/>
        </w:rPr>
        <w:t>with</w:t>
      </w:r>
      <w:r>
        <w:rPr>
          <w:spacing w:val="-7"/>
          <w:w w:val="110"/>
        </w:rPr>
        <w:t xml:space="preserve"> </w:t>
      </w:r>
      <w:r>
        <w:rPr>
          <w:w w:val="110"/>
        </w:rPr>
        <w:t>active-phase</w:t>
      </w:r>
      <w:r>
        <w:rPr>
          <w:spacing w:val="-2"/>
          <w:w w:val="110"/>
        </w:rPr>
        <w:t xml:space="preserve"> </w:t>
      </w:r>
      <w:r>
        <w:rPr>
          <w:w w:val="110"/>
        </w:rPr>
        <w:t>symptoms</w:t>
      </w:r>
      <w:r>
        <w:rPr>
          <w:spacing w:val="-9"/>
          <w:w w:val="110"/>
        </w:rPr>
        <w:t xml:space="preserve"> </w:t>
      </w:r>
      <w:r>
        <w:rPr>
          <w:w w:val="110"/>
        </w:rPr>
        <w:t>of</w:t>
      </w:r>
      <w:r>
        <w:rPr>
          <w:spacing w:val="-3"/>
          <w:w w:val="110"/>
        </w:rPr>
        <w:t xml:space="preserve"> </w:t>
      </w:r>
      <w:r>
        <w:rPr>
          <w:w w:val="110"/>
        </w:rPr>
        <w:t>prominent</w:t>
      </w:r>
      <w:r>
        <w:rPr>
          <w:spacing w:val="-2"/>
          <w:w w:val="110"/>
        </w:rPr>
        <w:t xml:space="preserve"> </w:t>
      </w:r>
      <w:r>
        <w:rPr>
          <w:w w:val="110"/>
        </w:rPr>
        <w:t>delusions</w:t>
      </w:r>
      <w:r>
        <w:rPr>
          <w:spacing w:val="-7"/>
          <w:w w:val="110"/>
        </w:rPr>
        <w:t xml:space="preserve"> </w:t>
      </w:r>
      <w:r>
        <w:rPr>
          <w:w w:val="110"/>
        </w:rPr>
        <w:t>or</w:t>
      </w:r>
      <w:r>
        <w:rPr>
          <w:spacing w:val="-5"/>
          <w:w w:val="110"/>
        </w:rPr>
        <w:t xml:space="preserve"> </w:t>
      </w:r>
      <w:r>
        <w:rPr>
          <w:w w:val="110"/>
        </w:rPr>
        <w:t>hallucinations</w:t>
      </w:r>
      <w:r>
        <w:rPr>
          <w:spacing w:val="-19"/>
          <w:w w:val="110"/>
        </w:rPr>
        <w:t xml:space="preserve"> </w:t>
      </w:r>
      <w:r>
        <w:rPr>
          <w:w w:val="110"/>
        </w:rPr>
        <w:t xml:space="preserve">that last for at least 1 month. In </w:t>
      </w:r>
      <w:r>
        <w:rPr>
          <w:b/>
          <w:w w:val="110"/>
        </w:rPr>
        <w:t xml:space="preserve">Selective Mutism, </w:t>
      </w:r>
      <w:r>
        <w:rPr>
          <w:w w:val="110"/>
        </w:rPr>
        <w:t xml:space="preserve">the child usually exhibits appropriate communication skills in certain contexts and does not have the severe impairment in </w:t>
      </w:r>
      <w:r>
        <w:rPr>
          <w:w w:val="105"/>
        </w:rPr>
        <w:t>social</w:t>
      </w:r>
      <w:r>
        <w:rPr>
          <w:spacing w:val="-11"/>
          <w:w w:val="105"/>
        </w:rPr>
        <w:t xml:space="preserve"> </w:t>
      </w:r>
      <w:r>
        <w:rPr>
          <w:w w:val="105"/>
        </w:rPr>
        <w:t>interaction</w:t>
      </w:r>
      <w:r>
        <w:rPr>
          <w:spacing w:val="-8"/>
          <w:w w:val="105"/>
        </w:rPr>
        <w:t xml:space="preserve"> </w:t>
      </w:r>
      <w:r>
        <w:rPr>
          <w:w w:val="105"/>
        </w:rPr>
        <w:t>and</w:t>
      </w:r>
      <w:r>
        <w:rPr>
          <w:spacing w:val="-13"/>
          <w:w w:val="105"/>
        </w:rPr>
        <w:t xml:space="preserve"> </w:t>
      </w:r>
      <w:r>
        <w:rPr>
          <w:w w:val="105"/>
        </w:rPr>
        <w:t>the</w:t>
      </w:r>
      <w:r>
        <w:rPr>
          <w:spacing w:val="-17"/>
          <w:w w:val="105"/>
        </w:rPr>
        <w:t xml:space="preserve"> </w:t>
      </w:r>
      <w:r>
        <w:rPr>
          <w:w w:val="105"/>
        </w:rPr>
        <w:t>restricted</w:t>
      </w:r>
      <w:r>
        <w:rPr>
          <w:spacing w:val="-1"/>
          <w:w w:val="105"/>
        </w:rPr>
        <w:t xml:space="preserve"> </w:t>
      </w:r>
      <w:r>
        <w:rPr>
          <w:w w:val="105"/>
        </w:rPr>
        <w:t>patterns</w:t>
      </w:r>
      <w:r>
        <w:rPr>
          <w:spacing w:val="-17"/>
          <w:w w:val="105"/>
        </w:rPr>
        <w:t xml:space="preserve"> </w:t>
      </w:r>
      <w:r>
        <w:rPr>
          <w:w w:val="105"/>
        </w:rPr>
        <w:t>of</w:t>
      </w:r>
      <w:r>
        <w:rPr>
          <w:spacing w:val="-12"/>
          <w:w w:val="105"/>
        </w:rPr>
        <w:t xml:space="preserve"> </w:t>
      </w:r>
      <w:r>
        <w:rPr>
          <w:w w:val="105"/>
        </w:rPr>
        <w:t>behavior</w:t>
      </w:r>
      <w:r>
        <w:rPr>
          <w:spacing w:val="-11"/>
          <w:w w:val="105"/>
        </w:rPr>
        <w:t xml:space="preserve"> </w:t>
      </w:r>
      <w:r>
        <w:rPr>
          <w:w w:val="105"/>
        </w:rPr>
        <w:t>associated</w:t>
      </w:r>
      <w:r>
        <w:rPr>
          <w:spacing w:val="-11"/>
          <w:w w:val="105"/>
        </w:rPr>
        <w:t xml:space="preserve"> </w:t>
      </w:r>
      <w:r>
        <w:rPr>
          <w:w w:val="105"/>
        </w:rPr>
        <w:t>with</w:t>
      </w:r>
      <w:r>
        <w:rPr>
          <w:spacing w:val="-16"/>
          <w:w w:val="105"/>
        </w:rPr>
        <w:t xml:space="preserve"> </w:t>
      </w:r>
      <w:r>
        <w:rPr>
          <w:w w:val="105"/>
        </w:rPr>
        <w:t>Autistic</w:t>
      </w:r>
      <w:r>
        <w:rPr>
          <w:spacing w:val="-18"/>
          <w:w w:val="105"/>
        </w:rPr>
        <w:t xml:space="preserve"> </w:t>
      </w:r>
      <w:r>
        <w:rPr>
          <w:w w:val="105"/>
        </w:rPr>
        <w:t xml:space="preserve">Disorder. </w:t>
      </w:r>
      <w:r>
        <w:rPr>
          <w:w w:val="110"/>
        </w:rPr>
        <w:t xml:space="preserve">In </w:t>
      </w:r>
      <w:r>
        <w:rPr>
          <w:b/>
          <w:w w:val="110"/>
        </w:rPr>
        <w:t xml:space="preserve">Expressive Language Disorder </w:t>
      </w:r>
      <w:r>
        <w:rPr>
          <w:w w:val="110"/>
        </w:rPr>
        <w:t xml:space="preserve">and </w:t>
      </w:r>
      <w:r>
        <w:rPr>
          <w:b/>
          <w:w w:val="110"/>
        </w:rPr>
        <w:t>Mixed Receptive-Expressive Language Disorder,</w:t>
      </w:r>
      <w:r>
        <w:rPr>
          <w:b/>
          <w:spacing w:val="-8"/>
          <w:w w:val="110"/>
        </w:rPr>
        <w:t xml:space="preserve"> </w:t>
      </w:r>
      <w:r>
        <w:rPr>
          <w:w w:val="110"/>
        </w:rPr>
        <w:t>there</w:t>
      </w:r>
      <w:r>
        <w:rPr>
          <w:spacing w:val="-11"/>
          <w:w w:val="110"/>
        </w:rPr>
        <w:t xml:space="preserve"> </w:t>
      </w:r>
      <w:r>
        <w:rPr>
          <w:w w:val="110"/>
        </w:rPr>
        <w:t>is</w:t>
      </w:r>
      <w:r>
        <w:rPr>
          <w:spacing w:val="-15"/>
          <w:w w:val="110"/>
        </w:rPr>
        <w:t xml:space="preserve"> </w:t>
      </w:r>
      <w:r>
        <w:rPr>
          <w:w w:val="110"/>
        </w:rPr>
        <w:t>a</w:t>
      </w:r>
      <w:r>
        <w:rPr>
          <w:spacing w:val="-10"/>
          <w:w w:val="110"/>
        </w:rPr>
        <w:t xml:space="preserve"> </w:t>
      </w:r>
      <w:r>
        <w:rPr>
          <w:w w:val="110"/>
        </w:rPr>
        <w:t>language</w:t>
      </w:r>
      <w:r>
        <w:rPr>
          <w:spacing w:val="-8"/>
          <w:w w:val="110"/>
        </w:rPr>
        <w:t xml:space="preserve"> </w:t>
      </w:r>
      <w:r>
        <w:rPr>
          <w:w w:val="110"/>
        </w:rPr>
        <w:t>impairment,</w:t>
      </w:r>
      <w:r>
        <w:rPr>
          <w:spacing w:val="4"/>
          <w:w w:val="110"/>
        </w:rPr>
        <w:t xml:space="preserve"> </w:t>
      </w:r>
      <w:r>
        <w:rPr>
          <w:w w:val="110"/>
        </w:rPr>
        <w:t>but</w:t>
      </w:r>
      <w:r>
        <w:rPr>
          <w:spacing w:val="-9"/>
          <w:w w:val="110"/>
        </w:rPr>
        <w:t xml:space="preserve"> </w:t>
      </w:r>
      <w:r>
        <w:rPr>
          <w:w w:val="110"/>
        </w:rPr>
        <w:t>it</w:t>
      </w:r>
      <w:r>
        <w:rPr>
          <w:spacing w:val="-12"/>
          <w:w w:val="110"/>
        </w:rPr>
        <w:t xml:space="preserve"> </w:t>
      </w:r>
      <w:r>
        <w:rPr>
          <w:w w:val="110"/>
        </w:rPr>
        <w:t>is</w:t>
      </w:r>
      <w:r>
        <w:rPr>
          <w:spacing w:val="-11"/>
          <w:w w:val="110"/>
        </w:rPr>
        <w:t xml:space="preserve"> </w:t>
      </w:r>
      <w:r>
        <w:rPr>
          <w:w w:val="110"/>
        </w:rPr>
        <w:t>not</w:t>
      </w:r>
      <w:r>
        <w:rPr>
          <w:spacing w:val="-14"/>
          <w:w w:val="110"/>
        </w:rPr>
        <w:t xml:space="preserve"> </w:t>
      </w:r>
      <w:r>
        <w:rPr>
          <w:w w:val="110"/>
        </w:rPr>
        <w:t>associated</w:t>
      </w:r>
      <w:r>
        <w:rPr>
          <w:spacing w:val="-1"/>
          <w:w w:val="110"/>
        </w:rPr>
        <w:t xml:space="preserve"> </w:t>
      </w:r>
      <w:r>
        <w:rPr>
          <w:w w:val="110"/>
        </w:rPr>
        <w:t>with</w:t>
      </w:r>
      <w:r>
        <w:rPr>
          <w:spacing w:val="-10"/>
          <w:w w:val="110"/>
        </w:rPr>
        <w:t xml:space="preserve"> </w:t>
      </w:r>
      <w:r>
        <w:rPr>
          <w:w w:val="110"/>
        </w:rPr>
        <w:t>the</w:t>
      </w:r>
      <w:r>
        <w:rPr>
          <w:spacing w:val="1"/>
          <w:w w:val="110"/>
        </w:rPr>
        <w:t xml:space="preserve"> </w:t>
      </w:r>
      <w:r>
        <w:rPr>
          <w:w w:val="110"/>
        </w:rPr>
        <w:t>presence</w:t>
      </w:r>
      <w:r>
        <w:rPr>
          <w:spacing w:val="-4"/>
          <w:w w:val="110"/>
        </w:rPr>
        <w:t xml:space="preserve"> </w:t>
      </w:r>
      <w:r>
        <w:rPr>
          <w:w w:val="110"/>
        </w:rPr>
        <w:t>of a</w:t>
      </w:r>
      <w:r>
        <w:rPr>
          <w:spacing w:val="-22"/>
          <w:w w:val="110"/>
        </w:rPr>
        <w:t xml:space="preserve"> </w:t>
      </w:r>
      <w:r>
        <w:rPr>
          <w:w w:val="110"/>
        </w:rPr>
        <w:t>qualitative</w:t>
      </w:r>
      <w:r>
        <w:rPr>
          <w:spacing w:val="-14"/>
          <w:w w:val="110"/>
        </w:rPr>
        <w:t xml:space="preserve"> </w:t>
      </w:r>
      <w:r>
        <w:rPr>
          <w:w w:val="110"/>
        </w:rPr>
        <w:t>impairment</w:t>
      </w:r>
      <w:r>
        <w:rPr>
          <w:spacing w:val="-11"/>
          <w:w w:val="110"/>
        </w:rPr>
        <w:t xml:space="preserve"> </w:t>
      </w:r>
      <w:r>
        <w:rPr>
          <w:w w:val="110"/>
        </w:rPr>
        <w:t>in</w:t>
      </w:r>
      <w:r>
        <w:rPr>
          <w:spacing w:val="-25"/>
          <w:w w:val="110"/>
        </w:rPr>
        <w:t xml:space="preserve"> </w:t>
      </w:r>
      <w:r>
        <w:rPr>
          <w:w w:val="110"/>
        </w:rPr>
        <w:t>social</w:t>
      </w:r>
      <w:r>
        <w:rPr>
          <w:spacing w:val="-19"/>
          <w:w w:val="110"/>
        </w:rPr>
        <w:t xml:space="preserve"> </w:t>
      </w:r>
      <w:r>
        <w:rPr>
          <w:w w:val="110"/>
        </w:rPr>
        <w:t>interaction</w:t>
      </w:r>
      <w:r>
        <w:rPr>
          <w:spacing w:val="-12"/>
          <w:w w:val="110"/>
        </w:rPr>
        <w:t xml:space="preserve"> </w:t>
      </w:r>
      <w:r>
        <w:rPr>
          <w:w w:val="110"/>
        </w:rPr>
        <w:t>and</w:t>
      </w:r>
      <w:r>
        <w:rPr>
          <w:spacing w:val="-18"/>
          <w:w w:val="110"/>
        </w:rPr>
        <w:t xml:space="preserve"> </w:t>
      </w:r>
      <w:r>
        <w:rPr>
          <w:w w:val="110"/>
        </w:rPr>
        <w:t>restricted,</w:t>
      </w:r>
      <w:r>
        <w:rPr>
          <w:spacing w:val="-11"/>
          <w:w w:val="110"/>
        </w:rPr>
        <w:t xml:space="preserve"> </w:t>
      </w:r>
      <w:r>
        <w:rPr>
          <w:w w:val="110"/>
        </w:rPr>
        <w:t>repetitive,</w:t>
      </w:r>
      <w:r>
        <w:rPr>
          <w:spacing w:val="-12"/>
          <w:w w:val="110"/>
        </w:rPr>
        <w:t xml:space="preserve"> </w:t>
      </w:r>
      <w:r>
        <w:rPr>
          <w:w w:val="110"/>
        </w:rPr>
        <w:t>and</w:t>
      </w:r>
      <w:r>
        <w:rPr>
          <w:spacing w:val="-23"/>
          <w:w w:val="110"/>
        </w:rPr>
        <w:t xml:space="preserve"> </w:t>
      </w:r>
      <w:r>
        <w:rPr>
          <w:w w:val="110"/>
        </w:rPr>
        <w:t xml:space="preserve">stereotyped patterns of behavior. </w:t>
      </w:r>
      <w:r>
        <w:rPr>
          <w:w w:val="110"/>
          <w:sz w:val="19"/>
        </w:rPr>
        <w:t xml:space="preserve">It </w:t>
      </w:r>
      <w:r>
        <w:rPr>
          <w:w w:val="110"/>
        </w:rPr>
        <w:t>is sometimes difficult to determine whether an additional diagnosis</w:t>
      </w:r>
      <w:r>
        <w:rPr>
          <w:spacing w:val="-14"/>
          <w:w w:val="110"/>
        </w:rPr>
        <w:t xml:space="preserve"> </w:t>
      </w:r>
      <w:r>
        <w:rPr>
          <w:w w:val="110"/>
        </w:rPr>
        <w:t>of</w:t>
      </w:r>
      <w:r>
        <w:rPr>
          <w:spacing w:val="-15"/>
          <w:w w:val="110"/>
        </w:rPr>
        <w:t xml:space="preserve"> </w:t>
      </w:r>
      <w:r>
        <w:rPr>
          <w:w w:val="110"/>
        </w:rPr>
        <w:t>Autistic</w:t>
      </w:r>
      <w:r>
        <w:rPr>
          <w:spacing w:val="-14"/>
          <w:w w:val="110"/>
        </w:rPr>
        <w:t xml:space="preserve"> </w:t>
      </w:r>
      <w:r>
        <w:rPr>
          <w:w w:val="110"/>
        </w:rPr>
        <w:t>Disorder</w:t>
      </w:r>
      <w:r>
        <w:rPr>
          <w:spacing w:val="-16"/>
          <w:w w:val="110"/>
        </w:rPr>
        <w:t xml:space="preserve"> </w:t>
      </w:r>
      <w:r>
        <w:rPr>
          <w:w w:val="110"/>
        </w:rPr>
        <w:t>is</w:t>
      </w:r>
      <w:r>
        <w:rPr>
          <w:spacing w:val="-23"/>
          <w:w w:val="110"/>
        </w:rPr>
        <w:t xml:space="preserve"> </w:t>
      </w:r>
      <w:r>
        <w:rPr>
          <w:w w:val="110"/>
        </w:rPr>
        <w:t>warranted</w:t>
      </w:r>
      <w:r>
        <w:rPr>
          <w:spacing w:val="-9"/>
          <w:w w:val="110"/>
        </w:rPr>
        <w:t xml:space="preserve"> </w:t>
      </w:r>
      <w:r>
        <w:rPr>
          <w:w w:val="110"/>
        </w:rPr>
        <w:t>in</w:t>
      </w:r>
      <w:r>
        <w:rPr>
          <w:spacing w:val="-20"/>
          <w:w w:val="110"/>
        </w:rPr>
        <w:t xml:space="preserve"> </w:t>
      </w:r>
      <w:r>
        <w:rPr>
          <w:w w:val="110"/>
        </w:rPr>
        <w:t>an</w:t>
      </w:r>
      <w:r>
        <w:rPr>
          <w:spacing w:val="-17"/>
          <w:w w:val="110"/>
        </w:rPr>
        <w:t xml:space="preserve"> </w:t>
      </w:r>
      <w:r>
        <w:rPr>
          <w:w w:val="110"/>
        </w:rPr>
        <w:t>individual</w:t>
      </w:r>
      <w:r>
        <w:rPr>
          <w:spacing w:val="-15"/>
          <w:w w:val="110"/>
        </w:rPr>
        <w:t xml:space="preserve"> </w:t>
      </w:r>
      <w:r>
        <w:rPr>
          <w:w w:val="110"/>
        </w:rPr>
        <w:t>with</w:t>
      </w:r>
      <w:r>
        <w:rPr>
          <w:spacing w:val="-17"/>
          <w:w w:val="110"/>
        </w:rPr>
        <w:t xml:space="preserve"> </w:t>
      </w:r>
      <w:r>
        <w:rPr>
          <w:b/>
          <w:w w:val="110"/>
        </w:rPr>
        <w:t>Mental</w:t>
      </w:r>
      <w:r>
        <w:rPr>
          <w:b/>
          <w:spacing w:val="-31"/>
          <w:w w:val="110"/>
        </w:rPr>
        <w:t xml:space="preserve"> </w:t>
      </w:r>
      <w:r>
        <w:rPr>
          <w:b/>
          <w:w w:val="110"/>
        </w:rPr>
        <w:t xml:space="preserve">Retardation, </w:t>
      </w:r>
      <w:r>
        <w:rPr>
          <w:w w:val="110"/>
        </w:rPr>
        <w:t>especially</w:t>
      </w:r>
      <w:r>
        <w:rPr>
          <w:spacing w:val="-10"/>
          <w:w w:val="110"/>
        </w:rPr>
        <w:t xml:space="preserve"> </w:t>
      </w:r>
      <w:r>
        <w:rPr>
          <w:w w:val="110"/>
        </w:rPr>
        <w:t>if</w:t>
      </w:r>
      <w:r>
        <w:rPr>
          <w:spacing w:val="-7"/>
          <w:w w:val="110"/>
        </w:rPr>
        <w:t xml:space="preserve"> </w:t>
      </w:r>
      <w:r>
        <w:rPr>
          <w:w w:val="110"/>
        </w:rPr>
        <w:t>the</w:t>
      </w:r>
      <w:r>
        <w:rPr>
          <w:spacing w:val="-13"/>
          <w:w w:val="110"/>
        </w:rPr>
        <w:t xml:space="preserve"> </w:t>
      </w:r>
      <w:r>
        <w:rPr>
          <w:w w:val="110"/>
        </w:rPr>
        <w:t>Mental</w:t>
      </w:r>
      <w:r>
        <w:rPr>
          <w:spacing w:val="-8"/>
          <w:w w:val="110"/>
        </w:rPr>
        <w:t xml:space="preserve"> </w:t>
      </w:r>
      <w:r>
        <w:rPr>
          <w:w w:val="110"/>
        </w:rPr>
        <w:t>Retardation is</w:t>
      </w:r>
      <w:r>
        <w:rPr>
          <w:spacing w:val="-17"/>
          <w:w w:val="110"/>
        </w:rPr>
        <w:t xml:space="preserve"> </w:t>
      </w:r>
      <w:r>
        <w:rPr>
          <w:w w:val="110"/>
        </w:rPr>
        <w:t>Severe</w:t>
      </w:r>
      <w:r>
        <w:rPr>
          <w:spacing w:val="-13"/>
          <w:w w:val="110"/>
        </w:rPr>
        <w:t xml:space="preserve"> </w:t>
      </w:r>
      <w:r>
        <w:rPr>
          <w:w w:val="110"/>
        </w:rPr>
        <w:t>or</w:t>
      </w:r>
      <w:r>
        <w:rPr>
          <w:spacing w:val="-6"/>
          <w:w w:val="110"/>
        </w:rPr>
        <w:t xml:space="preserve"> </w:t>
      </w:r>
      <w:r>
        <w:rPr>
          <w:w w:val="110"/>
        </w:rPr>
        <w:t>Profound.</w:t>
      </w:r>
      <w:r>
        <w:rPr>
          <w:spacing w:val="-6"/>
          <w:w w:val="110"/>
        </w:rPr>
        <w:t xml:space="preserve"> </w:t>
      </w:r>
      <w:r>
        <w:rPr>
          <w:w w:val="110"/>
        </w:rPr>
        <w:t>An</w:t>
      </w:r>
      <w:r>
        <w:rPr>
          <w:spacing w:val="-11"/>
          <w:w w:val="110"/>
        </w:rPr>
        <w:t xml:space="preserve"> </w:t>
      </w:r>
      <w:r>
        <w:rPr>
          <w:w w:val="110"/>
        </w:rPr>
        <w:t>additional</w:t>
      </w:r>
      <w:r>
        <w:rPr>
          <w:spacing w:val="-3"/>
          <w:w w:val="110"/>
        </w:rPr>
        <w:t xml:space="preserve"> </w:t>
      </w:r>
      <w:r>
        <w:rPr>
          <w:w w:val="110"/>
        </w:rPr>
        <w:t>diagnosis</w:t>
      </w:r>
      <w:r>
        <w:rPr>
          <w:spacing w:val="-8"/>
          <w:w w:val="110"/>
        </w:rPr>
        <w:t xml:space="preserve"> </w:t>
      </w:r>
      <w:r>
        <w:rPr>
          <w:w w:val="110"/>
        </w:rPr>
        <w:t>of Autistic</w:t>
      </w:r>
      <w:r>
        <w:rPr>
          <w:spacing w:val="-5"/>
          <w:w w:val="110"/>
        </w:rPr>
        <w:t xml:space="preserve"> </w:t>
      </w:r>
      <w:r>
        <w:rPr>
          <w:w w:val="110"/>
        </w:rPr>
        <w:t>Disorder</w:t>
      </w:r>
      <w:r>
        <w:rPr>
          <w:spacing w:val="-6"/>
          <w:w w:val="110"/>
        </w:rPr>
        <w:t xml:space="preserve"> </w:t>
      </w:r>
      <w:r>
        <w:rPr>
          <w:w w:val="110"/>
        </w:rPr>
        <w:t>is</w:t>
      </w:r>
      <w:r>
        <w:rPr>
          <w:spacing w:val="-12"/>
          <w:w w:val="110"/>
        </w:rPr>
        <w:t xml:space="preserve"> </w:t>
      </w:r>
      <w:r>
        <w:rPr>
          <w:w w:val="110"/>
        </w:rPr>
        <w:t>reserved</w:t>
      </w:r>
      <w:r>
        <w:rPr>
          <w:spacing w:val="-7"/>
          <w:w w:val="110"/>
        </w:rPr>
        <w:t xml:space="preserve"> </w:t>
      </w:r>
      <w:r>
        <w:rPr>
          <w:w w:val="110"/>
        </w:rPr>
        <w:t>for</w:t>
      </w:r>
      <w:r>
        <w:rPr>
          <w:spacing w:val="-12"/>
          <w:w w:val="110"/>
        </w:rPr>
        <w:t xml:space="preserve"> </w:t>
      </w:r>
      <w:r>
        <w:rPr>
          <w:w w:val="110"/>
        </w:rPr>
        <w:t>those</w:t>
      </w:r>
      <w:r>
        <w:rPr>
          <w:spacing w:val="-12"/>
          <w:w w:val="110"/>
        </w:rPr>
        <w:t xml:space="preserve"> </w:t>
      </w:r>
      <w:r>
        <w:rPr>
          <w:w w:val="110"/>
        </w:rPr>
        <w:t>situations</w:t>
      </w:r>
      <w:r>
        <w:rPr>
          <w:spacing w:val="-9"/>
          <w:w w:val="110"/>
        </w:rPr>
        <w:t xml:space="preserve"> </w:t>
      </w:r>
      <w:r>
        <w:rPr>
          <w:w w:val="110"/>
        </w:rPr>
        <w:t>in</w:t>
      </w:r>
      <w:r>
        <w:rPr>
          <w:spacing w:val="-11"/>
          <w:w w:val="110"/>
        </w:rPr>
        <w:t xml:space="preserve"> </w:t>
      </w:r>
      <w:r>
        <w:rPr>
          <w:w w:val="110"/>
        </w:rPr>
        <w:t>which</w:t>
      </w:r>
      <w:r>
        <w:rPr>
          <w:spacing w:val="-8"/>
          <w:w w:val="110"/>
        </w:rPr>
        <w:t xml:space="preserve"> </w:t>
      </w:r>
      <w:r>
        <w:rPr>
          <w:w w:val="110"/>
        </w:rPr>
        <w:t>there</w:t>
      </w:r>
      <w:r>
        <w:rPr>
          <w:spacing w:val="-11"/>
          <w:w w:val="110"/>
        </w:rPr>
        <w:t xml:space="preserve"> </w:t>
      </w:r>
      <w:r>
        <w:rPr>
          <w:w w:val="110"/>
        </w:rPr>
        <w:t>are</w:t>
      </w:r>
      <w:r>
        <w:rPr>
          <w:spacing w:val="-13"/>
          <w:w w:val="110"/>
        </w:rPr>
        <w:t xml:space="preserve"> </w:t>
      </w:r>
      <w:r>
        <w:rPr>
          <w:w w:val="110"/>
        </w:rPr>
        <w:t>qualitative</w:t>
      </w:r>
      <w:r>
        <w:rPr>
          <w:spacing w:val="-8"/>
          <w:w w:val="110"/>
        </w:rPr>
        <w:t xml:space="preserve"> </w:t>
      </w:r>
      <w:r>
        <w:rPr>
          <w:w w:val="110"/>
        </w:rPr>
        <w:t>deficits in</w:t>
      </w:r>
      <w:r>
        <w:rPr>
          <w:spacing w:val="-18"/>
          <w:w w:val="110"/>
        </w:rPr>
        <w:t xml:space="preserve"> </w:t>
      </w:r>
      <w:r>
        <w:rPr>
          <w:w w:val="110"/>
        </w:rPr>
        <w:t>social</w:t>
      </w:r>
      <w:r>
        <w:rPr>
          <w:spacing w:val="-15"/>
          <w:w w:val="110"/>
        </w:rPr>
        <w:t xml:space="preserve"> </w:t>
      </w:r>
      <w:r>
        <w:rPr>
          <w:w w:val="110"/>
        </w:rPr>
        <w:t>and</w:t>
      </w:r>
      <w:r>
        <w:rPr>
          <w:spacing w:val="-5"/>
          <w:w w:val="110"/>
        </w:rPr>
        <w:t xml:space="preserve"> </w:t>
      </w:r>
      <w:r>
        <w:rPr>
          <w:w w:val="110"/>
        </w:rPr>
        <w:t>communicative</w:t>
      </w:r>
      <w:r>
        <w:rPr>
          <w:spacing w:val="-6"/>
          <w:w w:val="110"/>
        </w:rPr>
        <w:t xml:space="preserve"> </w:t>
      </w:r>
      <w:r>
        <w:rPr>
          <w:w w:val="110"/>
        </w:rPr>
        <w:t>skills</w:t>
      </w:r>
      <w:r>
        <w:rPr>
          <w:spacing w:val="-13"/>
          <w:w w:val="110"/>
        </w:rPr>
        <w:t xml:space="preserve"> </w:t>
      </w:r>
      <w:r>
        <w:rPr>
          <w:w w:val="110"/>
        </w:rPr>
        <w:t>and</w:t>
      </w:r>
      <w:r>
        <w:rPr>
          <w:spacing w:val="-12"/>
          <w:w w:val="110"/>
        </w:rPr>
        <w:t xml:space="preserve"> </w:t>
      </w:r>
      <w:r>
        <w:rPr>
          <w:w w:val="110"/>
        </w:rPr>
        <w:t>the</w:t>
      </w:r>
      <w:r>
        <w:rPr>
          <w:spacing w:val="-20"/>
          <w:w w:val="110"/>
        </w:rPr>
        <w:t xml:space="preserve"> </w:t>
      </w:r>
      <w:r>
        <w:rPr>
          <w:w w:val="110"/>
        </w:rPr>
        <w:t>specific</w:t>
      </w:r>
      <w:r>
        <w:rPr>
          <w:spacing w:val="-15"/>
          <w:w w:val="110"/>
        </w:rPr>
        <w:t xml:space="preserve"> </w:t>
      </w:r>
      <w:r>
        <w:rPr>
          <w:w w:val="110"/>
        </w:rPr>
        <w:t>behaviors</w:t>
      </w:r>
      <w:r>
        <w:rPr>
          <w:spacing w:val="-14"/>
          <w:w w:val="110"/>
        </w:rPr>
        <w:t xml:space="preserve"> </w:t>
      </w:r>
      <w:r>
        <w:rPr>
          <w:w w:val="110"/>
        </w:rPr>
        <w:t>characteristic</w:t>
      </w:r>
      <w:r>
        <w:rPr>
          <w:spacing w:val="-21"/>
          <w:w w:val="110"/>
        </w:rPr>
        <w:t xml:space="preserve"> </w:t>
      </w:r>
      <w:r>
        <w:rPr>
          <w:w w:val="110"/>
        </w:rPr>
        <w:t>of</w:t>
      </w:r>
      <w:r>
        <w:rPr>
          <w:spacing w:val="-14"/>
          <w:w w:val="110"/>
        </w:rPr>
        <w:t xml:space="preserve"> </w:t>
      </w:r>
      <w:r>
        <w:rPr>
          <w:w w:val="110"/>
        </w:rPr>
        <w:t>Autistic Disorder are present. Motor stereotypies are characteristic of Autistic Disorder; an additional</w:t>
      </w:r>
      <w:r>
        <w:rPr>
          <w:spacing w:val="3"/>
          <w:w w:val="110"/>
        </w:rPr>
        <w:t xml:space="preserve"> </w:t>
      </w:r>
      <w:r>
        <w:rPr>
          <w:w w:val="110"/>
        </w:rPr>
        <w:t>diagnosis</w:t>
      </w:r>
      <w:r>
        <w:rPr>
          <w:spacing w:val="3"/>
          <w:w w:val="110"/>
        </w:rPr>
        <w:t xml:space="preserve"> </w:t>
      </w:r>
      <w:r>
        <w:rPr>
          <w:w w:val="110"/>
        </w:rPr>
        <w:t>of</w:t>
      </w:r>
      <w:r>
        <w:rPr>
          <w:spacing w:val="-4"/>
          <w:w w:val="110"/>
        </w:rPr>
        <w:t xml:space="preserve"> </w:t>
      </w:r>
      <w:r>
        <w:rPr>
          <w:b/>
          <w:w w:val="110"/>
        </w:rPr>
        <w:t>Stereotypic</w:t>
      </w:r>
      <w:r>
        <w:rPr>
          <w:b/>
          <w:spacing w:val="-14"/>
          <w:w w:val="110"/>
        </w:rPr>
        <w:t xml:space="preserve"> </w:t>
      </w:r>
      <w:r>
        <w:rPr>
          <w:b/>
          <w:w w:val="110"/>
        </w:rPr>
        <w:t>Movement</w:t>
      </w:r>
      <w:r>
        <w:rPr>
          <w:b/>
          <w:spacing w:val="-12"/>
          <w:w w:val="110"/>
        </w:rPr>
        <w:t xml:space="preserve"> </w:t>
      </w:r>
      <w:r>
        <w:rPr>
          <w:b/>
          <w:w w:val="110"/>
        </w:rPr>
        <w:t>Disorder</w:t>
      </w:r>
      <w:r>
        <w:rPr>
          <w:b/>
          <w:spacing w:val="-9"/>
          <w:w w:val="110"/>
        </w:rPr>
        <w:t xml:space="preserve"> </w:t>
      </w:r>
      <w:r>
        <w:rPr>
          <w:w w:val="110"/>
        </w:rPr>
        <w:t>is</w:t>
      </w:r>
      <w:r>
        <w:rPr>
          <w:spacing w:val="-5"/>
          <w:w w:val="110"/>
        </w:rPr>
        <w:t xml:space="preserve"> </w:t>
      </w:r>
      <w:r>
        <w:rPr>
          <w:w w:val="110"/>
        </w:rPr>
        <w:t>not</w:t>
      </w:r>
      <w:r>
        <w:rPr>
          <w:spacing w:val="-6"/>
          <w:w w:val="110"/>
        </w:rPr>
        <w:t xml:space="preserve"> </w:t>
      </w:r>
      <w:r>
        <w:rPr>
          <w:w w:val="110"/>
        </w:rPr>
        <w:t>given</w:t>
      </w:r>
      <w:r>
        <w:rPr>
          <w:spacing w:val="-5"/>
          <w:w w:val="110"/>
        </w:rPr>
        <w:t xml:space="preserve"> </w:t>
      </w:r>
      <w:r>
        <w:rPr>
          <w:w w:val="110"/>
        </w:rPr>
        <w:t>when</w:t>
      </w:r>
      <w:r>
        <w:rPr>
          <w:spacing w:val="2"/>
          <w:w w:val="110"/>
        </w:rPr>
        <w:t xml:space="preserve"> </w:t>
      </w:r>
      <w:r>
        <w:rPr>
          <w:w w:val="110"/>
        </w:rPr>
        <w:t>these</w:t>
      </w:r>
      <w:r>
        <w:rPr>
          <w:spacing w:val="-8"/>
          <w:w w:val="110"/>
        </w:rPr>
        <w:t xml:space="preserve"> </w:t>
      </w:r>
      <w:r>
        <w:rPr>
          <w:w w:val="110"/>
        </w:rPr>
        <w:t>are better accounted for as part of the presentation of Autistic</w:t>
      </w:r>
      <w:r>
        <w:rPr>
          <w:spacing w:val="40"/>
          <w:w w:val="110"/>
        </w:rPr>
        <w:t xml:space="preserve"> </w:t>
      </w:r>
      <w:r>
        <w:rPr>
          <w:w w:val="110"/>
        </w:rPr>
        <w:t>Disorder.</w:t>
      </w:r>
    </w:p>
    <w:p w:rsidR="00E675F0" w:rsidRDefault="00E675F0" w:rsidP="00E675F0">
      <w:pPr>
        <w:pStyle w:val="BodyText"/>
        <w:spacing w:before="3"/>
        <w:rPr>
          <w:sz w:val="29"/>
        </w:rPr>
      </w:pPr>
    </w:p>
    <w:tbl>
      <w:tblPr>
        <w:tblW w:w="0" w:type="auto"/>
        <w:tblInd w:w="836"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7341"/>
      </w:tblGrid>
      <w:tr w:rsidR="00E675F0" w:rsidTr="00A330E1">
        <w:trPr>
          <w:trHeight w:val="5839"/>
        </w:trPr>
        <w:tc>
          <w:tcPr>
            <w:tcW w:w="7341" w:type="dxa"/>
            <w:tcBorders>
              <w:bottom w:val="nil"/>
            </w:tcBorders>
          </w:tcPr>
          <w:p w:rsidR="00E675F0" w:rsidRDefault="00E675F0" w:rsidP="003048D3">
            <w:pPr>
              <w:pStyle w:val="TableParagraph"/>
              <w:numPr>
                <w:ilvl w:val="0"/>
                <w:numId w:val="100"/>
              </w:numPr>
              <w:tabs>
                <w:tab w:val="left" w:pos="629"/>
              </w:tabs>
              <w:spacing w:line="547" w:lineRule="exact"/>
              <w:ind w:hanging="380"/>
              <w:rPr>
                <w:rFonts w:ascii="Arial" w:hAnsi="Arial"/>
                <w:b/>
                <w:sz w:val="24"/>
              </w:rPr>
            </w:pPr>
            <w:r>
              <w:rPr>
                <w:rFonts w:ascii="Arial" w:hAnsi="Arial"/>
                <w:b/>
                <w:sz w:val="24"/>
              </w:rPr>
              <w:t>Diagnostic criteria for 299.00 Autistic</w:t>
            </w:r>
            <w:r>
              <w:rPr>
                <w:rFonts w:ascii="Arial" w:hAnsi="Arial"/>
                <w:b/>
                <w:spacing w:val="1"/>
                <w:sz w:val="24"/>
              </w:rPr>
              <w:t xml:space="preserve"> </w:t>
            </w:r>
            <w:r>
              <w:rPr>
                <w:rFonts w:ascii="Arial" w:hAnsi="Arial"/>
                <w:b/>
                <w:sz w:val="24"/>
              </w:rPr>
              <w:t>Disorder</w:t>
            </w:r>
          </w:p>
          <w:p w:rsidR="00E675F0" w:rsidRDefault="00E675F0" w:rsidP="00A330E1">
            <w:pPr>
              <w:pStyle w:val="TableParagraph"/>
              <w:spacing w:before="87" w:line="256" w:lineRule="auto"/>
              <w:ind w:left="955" w:right="228" w:hanging="312"/>
              <w:jc w:val="both"/>
              <w:rPr>
                <w:sz w:val="20"/>
              </w:rPr>
            </w:pPr>
            <w:r>
              <w:rPr>
                <w:w w:val="105"/>
                <w:sz w:val="20"/>
              </w:rPr>
              <w:t xml:space="preserve">A. A total of six (or more) items from </w:t>
            </w:r>
            <w:r>
              <w:rPr>
                <w:w w:val="105"/>
                <w:sz w:val="18"/>
              </w:rPr>
              <w:t xml:space="preserve">(1), </w:t>
            </w:r>
            <w:r>
              <w:rPr>
                <w:w w:val="105"/>
                <w:sz w:val="20"/>
              </w:rPr>
              <w:t>(2), and (3), with at least two from (1), and one each from (2) and</w:t>
            </w:r>
            <w:r>
              <w:rPr>
                <w:spacing w:val="45"/>
                <w:w w:val="105"/>
                <w:sz w:val="20"/>
              </w:rPr>
              <w:t xml:space="preserve"> </w:t>
            </w:r>
            <w:r>
              <w:rPr>
                <w:w w:val="105"/>
                <w:sz w:val="20"/>
              </w:rPr>
              <w:t>(3):</w:t>
            </w:r>
          </w:p>
          <w:p w:rsidR="00E675F0" w:rsidRDefault="00E675F0" w:rsidP="003048D3">
            <w:pPr>
              <w:pStyle w:val="TableParagraph"/>
              <w:numPr>
                <w:ilvl w:val="1"/>
                <w:numId w:val="100"/>
              </w:numPr>
              <w:tabs>
                <w:tab w:val="left" w:pos="1385"/>
              </w:tabs>
              <w:spacing w:before="60" w:line="256" w:lineRule="auto"/>
              <w:ind w:right="228"/>
              <w:jc w:val="both"/>
              <w:rPr>
                <w:sz w:val="18"/>
              </w:rPr>
            </w:pPr>
            <w:r>
              <w:rPr>
                <w:w w:val="105"/>
                <w:sz w:val="20"/>
              </w:rPr>
              <w:t>qualitative impairment in social interaction, as manifested by at least two of the</w:t>
            </w:r>
            <w:r>
              <w:rPr>
                <w:spacing w:val="40"/>
                <w:w w:val="105"/>
                <w:sz w:val="20"/>
              </w:rPr>
              <w:t xml:space="preserve"> </w:t>
            </w:r>
            <w:r>
              <w:rPr>
                <w:w w:val="105"/>
                <w:sz w:val="20"/>
              </w:rPr>
              <w:t>following:</w:t>
            </w:r>
          </w:p>
          <w:p w:rsidR="00E675F0" w:rsidRDefault="00E675F0" w:rsidP="003048D3">
            <w:pPr>
              <w:pStyle w:val="TableParagraph"/>
              <w:numPr>
                <w:ilvl w:val="2"/>
                <w:numId w:val="100"/>
              </w:numPr>
              <w:tabs>
                <w:tab w:val="left" w:pos="1809"/>
              </w:tabs>
              <w:spacing w:before="42" w:line="252" w:lineRule="auto"/>
              <w:ind w:left="1805" w:right="231" w:hanging="427"/>
              <w:jc w:val="both"/>
              <w:rPr>
                <w:sz w:val="20"/>
              </w:rPr>
            </w:pPr>
            <w:r>
              <w:rPr>
                <w:w w:val="105"/>
                <w:sz w:val="20"/>
              </w:rPr>
              <w:t>marked impairment in the use</w:t>
            </w:r>
            <w:r>
              <w:rPr>
                <w:spacing w:val="-41"/>
                <w:w w:val="105"/>
                <w:sz w:val="20"/>
              </w:rPr>
              <w:t xml:space="preserve"> </w:t>
            </w:r>
            <w:r>
              <w:rPr>
                <w:w w:val="105"/>
                <w:sz w:val="20"/>
              </w:rPr>
              <w:t>of multiple nonverbal behaviors such as eye-to-eye gaze, facial expression, body postures, and gestures to regulate social</w:t>
            </w:r>
            <w:r>
              <w:rPr>
                <w:spacing w:val="47"/>
                <w:w w:val="105"/>
                <w:sz w:val="20"/>
              </w:rPr>
              <w:t xml:space="preserve"> </w:t>
            </w:r>
            <w:r>
              <w:rPr>
                <w:w w:val="105"/>
                <w:sz w:val="20"/>
              </w:rPr>
              <w:t>interaction</w:t>
            </w:r>
          </w:p>
          <w:p w:rsidR="00E675F0" w:rsidRDefault="00E675F0" w:rsidP="003048D3">
            <w:pPr>
              <w:pStyle w:val="TableParagraph"/>
              <w:numPr>
                <w:ilvl w:val="2"/>
                <w:numId w:val="100"/>
              </w:numPr>
              <w:tabs>
                <w:tab w:val="left" w:pos="1822"/>
              </w:tabs>
              <w:spacing w:line="252" w:lineRule="auto"/>
              <w:ind w:left="1827" w:right="236" w:hanging="445"/>
              <w:jc w:val="both"/>
              <w:rPr>
                <w:sz w:val="20"/>
              </w:rPr>
            </w:pPr>
            <w:r>
              <w:rPr>
                <w:w w:val="105"/>
                <w:sz w:val="20"/>
              </w:rPr>
              <w:t>failure to develop peer relationships appropriate to develop­ mental</w:t>
            </w:r>
            <w:r>
              <w:rPr>
                <w:spacing w:val="10"/>
                <w:w w:val="105"/>
                <w:sz w:val="20"/>
              </w:rPr>
              <w:t xml:space="preserve"> </w:t>
            </w:r>
            <w:r>
              <w:rPr>
                <w:w w:val="105"/>
                <w:sz w:val="20"/>
              </w:rPr>
              <w:t>level</w:t>
            </w:r>
          </w:p>
          <w:p w:rsidR="00E675F0" w:rsidRDefault="00E675F0" w:rsidP="003048D3">
            <w:pPr>
              <w:pStyle w:val="TableParagraph"/>
              <w:numPr>
                <w:ilvl w:val="2"/>
                <w:numId w:val="100"/>
              </w:numPr>
              <w:tabs>
                <w:tab w:val="left" w:pos="1804"/>
              </w:tabs>
              <w:spacing w:line="254" w:lineRule="auto"/>
              <w:ind w:right="234" w:hanging="430"/>
              <w:jc w:val="both"/>
              <w:rPr>
                <w:sz w:val="20"/>
              </w:rPr>
            </w:pPr>
            <w:r>
              <w:rPr>
                <w:w w:val="105"/>
                <w:sz w:val="20"/>
              </w:rPr>
              <w:t>a lack of spontaneous seeking to share enjoyment,  interests, or achievements with other people (e.g., by a lack of showing, bringing, or pointing out objects of</w:t>
            </w:r>
            <w:r>
              <w:rPr>
                <w:spacing w:val="43"/>
                <w:w w:val="105"/>
                <w:sz w:val="20"/>
              </w:rPr>
              <w:t xml:space="preserve"> </w:t>
            </w:r>
            <w:r>
              <w:rPr>
                <w:w w:val="105"/>
                <w:sz w:val="20"/>
              </w:rPr>
              <w:t>interest)</w:t>
            </w:r>
          </w:p>
          <w:p w:rsidR="00E675F0" w:rsidRDefault="00E675F0" w:rsidP="003048D3">
            <w:pPr>
              <w:pStyle w:val="TableParagraph"/>
              <w:numPr>
                <w:ilvl w:val="2"/>
                <w:numId w:val="100"/>
              </w:numPr>
              <w:tabs>
                <w:tab w:val="left" w:pos="1824"/>
              </w:tabs>
              <w:spacing w:line="229" w:lineRule="exact"/>
              <w:ind w:left="1823" w:hanging="441"/>
              <w:jc w:val="both"/>
              <w:rPr>
                <w:sz w:val="20"/>
              </w:rPr>
            </w:pPr>
            <w:r>
              <w:rPr>
                <w:w w:val="105"/>
                <w:sz w:val="20"/>
              </w:rPr>
              <w:t>lack of social or emotional</w:t>
            </w:r>
            <w:r>
              <w:rPr>
                <w:spacing w:val="22"/>
                <w:w w:val="105"/>
                <w:sz w:val="20"/>
              </w:rPr>
              <w:t xml:space="preserve"> </w:t>
            </w:r>
            <w:r>
              <w:rPr>
                <w:w w:val="105"/>
                <w:sz w:val="20"/>
              </w:rPr>
              <w:t>reciprocity</w:t>
            </w:r>
          </w:p>
          <w:p w:rsidR="00E675F0" w:rsidRDefault="00E675F0" w:rsidP="003048D3">
            <w:pPr>
              <w:pStyle w:val="TableParagraph"/>
              <w:numPr>
                <w:ilvl w:val="1"/>
                <w:numId w:val="100"/>
              </w:numPr>
              <w:tabs>
                <w:tab w:val="left" w:pos="1390"/>
              </w:tabs>
              <w:spacing w:before="72" w:line="256" w:lineRule="auto"/>
              <w:ind w:left="1389" w:right="231" w:hanging="430"/>
              <w:jc w:val="both"/>
              <w:rPr>
                <w:sz w:val="20"/>
              </w:rPr>
            </w:pPr>
            <w:r>
              <w:rPr>
                <w:w w:val="105"/>
                <w:sz w:val="20"/>
              </w:rPr>
              <w:t>qualitative</w:t>
            </w:r>
            <w:r>
              <w:rPr>
                <w:spacing w:val="-4"/>
                <w:w w:val="105"/>
                <w:sz w:val="20"/>
              </w:rPr>
              <w:t xml:space="preserve"> </w:t>
            </w:r>
            <w:r>
              <w:rPr>
                <w:w w:val="105"/>
                <w:sz w:val="20"/>
              </w:rPr>
              <w:t>impairments</w:t>
            </w:r>
            <w:r>
              <w:rPr>
                <w:spacing w:val="2"/>
                <w:w w:val="105"/>
                <w:sz w:val="20"/>
              </w:rPr>
              <w:t xml:space="preserve"> </w:t>
            </w:r>
            <w:r>
              <w:rPr>
                <w:w w:val="105"/>
                <w:sz w:val="20"/>
              </w:rPr>
              <w:t>in</w:t>
            </w:r>
            <w:r>
              <w:rPr>
                <w:spacing w:val="-14"/>
                <w:w w:val="105"/>
                <w:sz w:val="20"/>
              </w:rPr>
              <w:t xml:space="preserve"> </w:t>
            </w:r>
            <w:r>
              <w:rPr>
                <w:w w:val="105"/>
                <w:sz w:val="20"/>
              </w:rPr>
              <w:t>communication</w:t>
            </w:r>
            <w:r>
              <w:rPr>
                <w:spacing w:val="10"/>
                <w:w w:val="105"/>
                <w:sz w:val="20"/>
              </w:rPr>
              <w:t xml:space="preserve"> </w:t>
            </w:r>
            <w:r>
              <w:rPr>
                <w:w w:val="105"/>
                <w:sz w:val="20"/>
              </w:rPr>
              <w:t>as</w:t>
            </w:r>
            <w:r>
              <w:rPr>
                <w:spacing w:val="-15"/>
                <w:w w:val="105"/>
                <w:sz w:val="20"/>
              </w:rPr>
              <w:t xml:space="preserve"> </w:t>
            </w:r>
            <w:r>
              <w:rPr>
                <w:w w:val="105"/>
                <w:sz w:val="20"/>
              </w:rPr>
              <w:t>manifested</w:t>
            </w:r>
            <w:r>
              <w:rPr>
                <w:spacing w:val="6"/>
                <w:w w:val="105"/>
                <w:sz w:val="20"/>
              </w:rPr>
              <w:t xml:space="preserve"> </w:t>
            </w:r>
            <w:r>
              <w:rPr>
                <w:w w:val="105"/>
                <w:sz w:val="20"/>
              </w:rPr>
              <w:t>by</w:t>
            </w:r>
            <w:r>
              <w:rPr>
                <w:spacing w:val="-13"/>
                <w:w w:val="105"/>
                <w:sz w:val="20"/>
              </w:rPr>
              <w:t xml:space="preserve"> </w:t>
            </w:r>
            <w:r>
              <w:rPr>
                <w:w w:val="105"/>
                <w:sz w:val="20"/>
              </w:rPr>
              <w:t>at</w:t>
            </w:r>
            <w:r>
              <w:rPr>
                <w:spacing w:val="-16"/>
                <w:w w:val="105"/>
                <w:sz w:val="20"/>
              </w:rPr>
              <w:t xml:space="preserve"> </w:t>
            </w:r>
            <w:r>
              <w:rPr>
                <w:w w:val="105"/>
                <w:sz w:val="20"/>
              </w:rPr>
              <w:t>least one of the</w:t>
            </w:r>
            <w:r>
              <w:rPr>
                <w:spacing w:val="1"/>
                <w:w w:val="105"/>
                <w:sz w:val="20"/>
              </w:rPr>
              <w:t xml:space="preserve"> </w:t>
            </w:r>
            <w:r>
              <w:rPr>
                <w:w w:val="105"/>
                <w:sz w:val="20"/>
              </w:rPr>
              <w:t>following:</w:t>
            </w:r>
          </w:p>
          <w:p w:rsidR="00E675F0" w:rsidRDefault="00E675F0" w:rsidP="003048D3">
            <w:pPr>
              <w:pStyle w:val="TableParagraph"/>
              <w:numPr>
                <w:ilvl w:val="2"/>
                <w:numId w:val="100"/>
              </w:numPr>
              <w:tabs>
                <w:tab w:val="left" w:pos="1809"/>
              </w:tabs>
              <w:spacing w:before="56" w:line="254" w:lineRule="auto"/>
              <w:ind w:right="231" w:hanging="420"/>
              <w:jc w:val="both"/>
              <w:rPr>
                <w:sz w:val="20"/>
              </w:rPr>
            </w:pPr>
            <w:r>
              <w:rPr>
                <w:w w:val="105"/>
                <w:sz w:val="20"/>
              </w:rPr>
              <w:t>delay in, or total lack of, the development of spoken language (not accompanied by an attempt to compensate through alternative modes of communication such as gesture or</w:t>
            </w:r>
            <w:r>
              <w:rPr>
                <w:spacing w:val="-19"/>
                <w:w w:val="105"/>
                <w:sz w:val="20"/>
              </w:rPr>
              <w:t xml:space="preserve"> </w:t>
            </w:r>
            <w:r>
              <w:rPr>
                <w:w w:val="105"/>
                <w:sz w:val="20"/>
              </w:rPr>
              <w:t>mime)</w:t>
            </w:r>
          </w:p>
          <w:p w:rsidR="00E675F0" w:rsidRDefault="00E675F0" w:rsidP="003048D3">
            <w:pPr>
              <w:pStyle w:val="TableParagraph"/>
              <w:numPr>
                <w:ilvl w:val="2"/>
                <w:numId w:val="100"/>
              </w:numPr>
              <w:tabs>
                <w:tab w:val="left" w:pos="1833"/>
              </w:tabs>
              <w:spacing w:line="256" w:lineRule="auto"/>
              <w:ind w:left="1832" w:right="221" w:hanging="444"/>
              <w:jc w:val="both"/>
              <w:rPr>
                <w:sz w:val="20"/>
              </w:rPr>
            </w:pPr>
            <w:r>
              <w:rPr>
                <w:w w:val="105"/>
                <w:sz w:val="20"/>
              </w:rPr>
              <w:t>in individuals with adequate speech, marked impairment in the ability to initiate or sustain a conversation with</w:t>
            </w:r>
            <w:r>
              <w:rPr>
                <w:spacing w:val="-4"/>
                <w:w w:val="105"/>
                <w:sz w:val="20"/>
              </w:rPr>
              <w:t xml:space="preserve"> </w:t>
            </w:r>
            <w:r>
              <w:rPr>
                <w:w w:val="105"/>
                <w:sz w:val="20"/>
              </w:rPr>
              <w:t>others</w:t>
            </w:r>
          </w:p>
        </w:tc>
      </w:tr>
    </w:tbl>
    <w:p w:rsidR="00E675F0" w:rsidRDefault="00E675F0" w:rsidP="00E675F0">
      <w:pPr>
        <w:spacing w:line="256" w:lineRule="auto"/>
        <w:jc w:val="both"/>
        <w:rPr>
          <w:sz w:val="20"/>
        </w:rPr>
        <w:sectPr w:rsidR="00E675F0">
          <w:headerReference w:type="even" r:id="rId88"/>
          <w:headerReference w:type="default" r:id="rId89"/>
          <w:pgSz w:w="8960" w:h="14260"/>
          <w:pgMar w:top="980" w:right="180" w:bottom="0" w:left="0" w:header="697" w:footer="0" w:gutter="0"/>
          <w:cols w:space="720"/>
        </w:sectPr>
      </w:pPr>
    </w:p>
    <w:p w:rsidR="00E675F0" w:rsidRDefault="00E675F0" w:rsidP="00E675F0">
      <w:pPr>
        <w:spacing w:before="29"/>
        <w:ind w:left="41"/>
        <w:rPr>
          <w:sz w:val="18"/>
        </w:rPr>
      </w:pPr>
      <w:r>
        <w:rPr>
          <w:noProof/>
        </w:rPr>
        <w:drawing>
          <wp:anchor distT="0" distB="0" distL="0" distR="0" simplePos="0" relativeHeight="251764736" behindDoc="1" locked="0" layoutInCell="1" allowOverlap="1" wp14:anchorId="49F64939" wp14:editId="0863DEC3">
            <wp:simplePos x="0" y="0"/>
            <wp:positionH relativeFrom="page">
              <wp:posOffset>1401824</wp:posOffset>
            </wp:positionH>
            <wp:positionV relativeFrom="paragraph">
              <wp:posOffset>-70221</wp:posOffset>
            </wp:positionV>
            <wp:extent cx="2477021" cy="73152"/>
            <wp:effectExtent l="0" t="0" r="0" b="0"/>
            <wp:wrapNone/>
            <wp:docPr id="2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2.png"/>
                    <pic:cNvPicPr/>
                  </pic:nvPicPr>
                  <pic:blipFill>
                    <a:blip r:embed="rId90" cstate="print"/>
                    <a:stretch>
                      <a:fillRect/>
                    </a:stretch>
                  </pic:blipFill>
                  <pic:spPr>
                    <a:xfrm>
                      <a:off x="0" y="0"/>
                      <a:ext cx="2477021" cy="73152"/>
                    </a:xfrm>
                    <a:prstGeom prst="rect">
                      <a:avLst/>
                    </a:prstGeom>
                  </pic:spPr>
                </pic:pic>
              </a:graphicData>
            </a:graphic>
          </wp:anchor>
        </w:drawing>
      </w:r>
      <w:r>
        <w:rPr>
          <w:noProof/>
        </w:rPr>
        <w:drawing>
          <wp:anchor distT="0" distB="0" distL="0" distR="0" simplePos="0" relativeHeight="251765760" behindDoc="1" locked="0" layoutInCell="1" allowOverlap="1" wp14:anchorId="7A658427" wp14:editId="238BB78B">
            <wp:simplePos x="0" y="0"/>
            <wp:positionH relativeFrom="page">
              <wp:posOffset>4151157</wp:posOffset>
            </wp:positionH>
            <wp:positionV relativeFrom="paragraph">
              <wp:posOffset>-67169</wp:posOffset>
            </wp:positionV>
            <wp:extent cx="863296" cy="73152"/>
            <wp:effectExtent l="0" t="0" r="0" b="0"/>
            <wp:wrapNone/>
            <wp:docPr id="3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3.png"/>
                    <pic:cNvPicPr/>
                  </pic:nvPicPr>
                  <pic:blipFill>
                    <a:blip r:embed="rId91" cstate="print"/>
                    <a:stretch>
                      <a:fillRect/>
                    </a:stretch>
                  </pic:blipFill>
                  <pic:spPr>
                    <a:xfrm>
                      <a:off x="0" y="0"/>
                      <a:ext cx="863296" cy="73152"/>
                    </a:xfrm>
                    <a:prstGeom prst="rect">
                      <a:avLst/>
                    </a:prstGeom>
                  </pic:spPr>
                </pic:pic>
              </a:graphicData>
            </a:graphic>
          </wp:anchor>
        </w:drawing>
      </w:r>
      <w:r>
        <w:rPr>
          <w:noProof/>
        </w:rPr>
        <mc:AlternateContent>
          <mc:Choice Requires="wps">
            <w:drawing>
              <wp:anchor distT="0" distB="0" distL="114300" distR="114300" simplePos="0" relativeHeight="251766784" behindDoc="1" locked="0" layoutInCell="1" allowOverlap="1" wp14:anchorId="420D0E36" wp14:editId="09E708BC">
                <wp:simplePos x="0" y="0"/>
                <wp:positionH relativeFrom="page">
                  <wp:posOffset>3937635</wp:posOffset>
                </wp:positionH>
                <wp:positionV relativeFrom="paragraph">
                  <wp:posOffset>1190625</wp:posOffset>
                </wp:positionV>
                <wp:extent cx="0" cy="0"/>
                <wp:effectExtent l="0" t="0" r="0" b="0"/>
                <wp:wrapNone/>
                <wp:docPr id="1584" name="Line 15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916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664AA0" id="Line 1540" o:spid="_x0000_s1026" style="position:absolute;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0.05pt,93.75pt" to="310.05pt,93.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" strokeweight=".25456mm">
                <o:lock v:ext="edit" shapetype="f"/>
                <w10:wrap anchorx="page"/>
              </v:line>
            </w:pict>
          </mc:Fallback>
        </mc:AlternateContent>
      </w:r>
      <w:r>
        <w:rPr>
          <w:w w:val="95"/>
          <w:sz w:val="18"/>
        </w:rPr>
        <w:t>:nc</w:t>
      </w:r>
      <w:r>
        <w:rPr>
          <w:spacing w:val="-14"/>
          <w:w w:val="95"/>
          <w:sz w:val="18"/>
        </w:rPr>
        <w:t xml:space="preserve"> </w:t>
      </w:r>
      <w:r>
        <w:rPr>
          <w:w w:val="95"/>
          <w:sz w:val="18"/>
        </w:rPr>
        <w:t>D!WLQGL</w:t>
      </w:r>
      <w:r>
        <w:rPr>
          <w:spacing w:val="-7"/>
          <w:w w:val="95"/>
          <w:sz w:val="18"/>
        </w:rPr>
        <w:t xml:space="preserve"> </w:t>
      </w:r>
      <w:r>
        <w:rPr>
          <w:w w:val="95"/>
          <w:sz w:val="18"/>
        </w:rPr>
        <w:t>QGAGJob2</w:t>
      </w:r>
      <w:r>
        <w:rPr>
          <w:spacing w:val="-9"/>
          <w:w w:val="95"/>
          <w:sz w:val="18"/>
        </w:rPr>
        <w:t xml:space="preserve"> </w:t>
      </w:r>
      <w:r>
        <w:rPr>
          <w:w w:val="95"/>
          <w:sz w:val="18"/>
        </w:rPr>
        <w:t>q.1G</w:t>
      </w:r>
      <w:r>
        <w:rPr>
          <w:spacing w:val="-9"/>
          <w:w w:val="95"/>
          <w:sz w:val="18"/>
        </w:rPr>
        <w:t xml:space="preserve"> </w:t>
      </w:r>
      <w:r>
        <w:rPr>
          <w:w w:val="95"/>
          <w:sz w:val="18"/>
        </w:rPr>
        <w:t>q.1grncrGq2pc</w:t>
      </w:r>
      <w:r>
        <w:rPr>
          <w:spacing w:val="-6"/>
          <w:w w:val="95"/>
          <w:sz w:val="18"/>
        </w:rPr>
        <w:t xml:space="preserve"> </w:t>
      </w:r>
      <w:r>
        <w:rPr>
          <w:w w:val="95"/>
          <w:sz w:val="18"/>
        </w:rPr>
        <w:t>lG:cT(mG2</w:t>
      </w:r>
      <w:r>
        <w:rPr>
          <w:spacing w:val="-9"/>
          <w:w w:val="95"/>
          <w:sz w:val="18"/>
        </w:rPr>
        <w:t xml:space="preserve"> </w:t>
      </w:r>
      <w:r>
        <w:rPr>
          <w:w w:val="95"/>
          <w:sz w:val="18"/>
        </w:rPr>
        <w:t>ol</w:t>
      </w:r>
      <w:r>
        <w:rPr>
          <w:spacing w:val="15"/>
          <w:w w:val="95"/>
          <w:sz w:val="18"/>
        </w:rPr>
        <w:t xml:space="preserve"> </w:t>
      </w:r>
      <w:r>
        <w:rPr>
          <w:w w:val="95"/>
          <w:sz w:val="18"/>
        </w:rPr>
        <w:t>2cµ!sobJJLGU!:cJ</w:t>
      </w:r>
    </w:p>
    <w:p w:rsidR="00E675F0" w:rsidRDefault="00E675F0" w:rsidP="00E675F0">
      <w:pPr>
        <w:spacing w:before="38" w:line="283" w:lineRule="auto"/>
        <w:ind w:left="78" w:right="122" w:hanging="25"/>
        <w:rPr>
          <w:sz w:val="18"/>
        </w:rPr>
      </w:pPr>
      <w:r>
        <w:rPr>
          <w:w w:val="95"/>
          <w:sz w:val="18"/>
        </w:rPr>
        <w:t xml:space="preserve">&gt;wGur vu gqqmou:cIJ Q!:cI'fiuo2!2 ol 2cµ!sObJJLGU!:cJ cgu pG w:cJqG !l :cJu </w:t>
      </w:r>
      <w:r>
        <w:rPr>
          <w:w w:val="85"/>
          <w:sz w:val="18"/>
        </w:rPr>
        <w:t>M!(JJ  CJJ!JQJJOOq  OU2G(  DW:cTJJA QGAGJOb2  :cTl(Gl  AG:cJl2  Ol UOlW:cIJ'</w:t>
      </w:r>
      <w:r>
        <w:rPr>
          <w:spacing w:val="-14"/>
          <w:w w:val="85"/>
          <w:sz w:val="18"/>
        </w:rPr>
        <w:t xml:space="preserve"> </w:t>
      </w:r>
      <w:r>
        <w:rPr>
          <w:w w:val="85"/>
          <w:sz w:val="18"/>
        </w:rPr>
        <w:t>Ol</w:t>
      </w:r>
    </w:p>
    <w:p w:rsidR="00E675F0" w:rsidRDefault="00E675F0" w:rsidP="00E675F0">
      <w:pPr>
        <w:pStyle w:val="BodyText"/>
      </w:pPr>
    </w:p>
    <w:p w:rsidR="00E675F0" w:rsidRDefault="00E675F0" w:rsidP="00E675F0">
      <w:pPr>
        <w:pStyle w:val="BodyText"/>
        <w:spacing w:before="1"/>
        <w:rPr>
          <w:sz w:val="24"/>
        </w:rPr>
      </w:pPr>
      <w:r>
        <w:rPr>
          <w:noProof/>
        </w:rPr>
        <mc:AlternateContent>
          <mc:Choice Requires="wps">
            <w:drawing>
              <wp:anchor distT="0" distB="0" distL="0" distR="0" simplePos="0" relativeHeight="251844608" behindDoc="1" locked="0" layoutInCell="1" allowOverlap="1" wp14:anchorId="7F46C2F9" wp14:editId="58B2D0E1">
                <wp:simplePos x="0" y="0"/>
                <wp:positionH relativeFrom="page">
                  <wp:posOffset>36195</wp:posOffset>
                </wp:positionH>
                <wp:positionV relativeFrom="paragraph">
                  <wp:posOffset>206375</wp:posOffset>
                </wp:positionV>
                <wp:extent cx="3616960" cy="1270"/>
                <wp:effectExtent l="0" t="0" r="2540" b="0"/>
                <wp:wrapTopAndBottom/>
                <wp:docPr id="1583" name="Freeform 1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6960" cy="1270"/>
                        </a:xfrm>
                        <a:custGeom>
                          <a:avLst/>
                          <a:gdLst>
                            <a:gd name="T0" fmla="+- 0 57 57"/>
                            <a:gd name="T1" fmla="*/ T0 w 5696"/>
                            <a:gd name="T2" fmla="+- 0 5753 57"/>
                            <a:gd name="T3" fmla="*/ T2 w 5696"/>
                          </a:gdLst>
                          <a:ahLst/>
                          <a:cxnLst>
                            <a:cxn ang="0">
                              <a:pos x="T1" y="0"/>
                            </a:cxn>
                            <a:cxn ang="0">
                              <a:pos x="T3" y="0"/>
                            </a:cxn>
                          </a:cxnLst>
                          <a:rect l="0" t="0" r="r" b="b"/>
                          <a:pathLst>
                            <a:path w="5696">
                              <a:moveTo>
                                <a:pt x="0" y="0"/>
                              </a:moveTo>
                              <a:lnTo>
                                <a:pt x="5696" y="0"/>
                              </a:lnTo>
                            </a:path>
                          </a:pathLst>
                        </a:custGeom>
                        <a:noFill/>
                        <a:ln w="915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66A3B" id="Freeform 1539" o:spid="_x0000_s1026" style="position:absolute;margin-left:2.85pt;margin-top:16.25pt;width:284.8pt;height:.1pt;z-index:-251471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96,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" path="m,l5696,e" filled="f" strokeweight=".25436mm">
                <v:path arrowok="t" o:connecttype="custom" o:connectlocs="0,0;3616960,0" o:connectangles="0,0"/>
                <w10:wrap type="topAndBottom" anchorx="page"/>
              </v:shape>
            </w:pict>
          </mc:Fallback>
        </mc:AlternateContent>
      </w:r>
    </w:p>
    <w:p w:rsidR="00E675F0" w:rsidRDefault="00E675F0" w:rsidP="00E675F0">
      <w:pPr>
        <w:spacing w:before="6"/>
        <w:ind w:left="51"/>
        <w:rPr>
          <w:rFonts w:ascii="Arial" w:hAnsi="Arial"/>
          <w:b/>
          <w:sz w:val="20"/>
        </w:rPr>
      </w:pPr>
      <w:r>
        <w:rPr>
          <w:b/>
          <w:sz w:val="18"/>
        </w:rPr>
        <w:t xml:space="preserve">f </w:t>
      </w:r>
      <w:r>
        <w:rPr>
          <w:rFonts w:ascii="Arial" w:hAnsi="Arial"/>
          <w:b/>
          <w:sz w:val="20"/>
        </w:rPr>
        <w:t>or-,8uo2Gq JU JUlmlcl.· CPJJqpooq• Ol. vqoJG2CGUCG</w:t>
      </w:r>
    </w:p>
    <w:p w:rsidR="00E675F0" w:rsidRDefault="00E675F0" w:rsidP="00E675F0">
      <w:pPr>
        <w:spacing w:before="38" w:line="273" w:lineRule="auto"/>
        <w:ind w:left="391" w:right="101" w:hanging="20"/>
        <w:jc w:val="right"/>
        <w:rPr>
          <w:b/>
          <w:sz w:val="20"/>
        </w:rPr>
      </w:pPr>
      <w:r>
        <w:br w:type="column"/>
      </w:r>
      <w:r>
        <w:rPr>
          <w:sz w:val="18"/>
        </w:rPr>
        <w:t>!UQ!A!qm1</w:t>
      </w:r>
      <w:r>
        <w:rPr>
          <w:spacing w:val="32"/>
          <w:sz w:val="18"/>
        </w:rPr>
        <w:t xml:space="preserve"> </w:t>
      </w:r>
      <w:r>
        <w:rPr>
          <w:sz w:val="18"/>
        </w:rPr>
        <w:t>M!(JJ</w:t>
      </w:r>
      <w:r>
        <w:rPr>
          <w:spacing w:val="9"/>
          <w:sz w:val="18"/>
        </w:rPr>
        <w:t xml:space="preserve"> </w:t>
      </w:r>
      <w:r>
        <w:rPr>
          <w:spacing w:val="-3"/>
          <w:sz w:val="18"/>
        </w:rPr>
        <w:t>vnn,</w:t>
      </w:r>
      <w:r>
        <w:rPr>
          <w:w w:val="130"/>
          <w:sz w:val="18"/>
        </w:rPr>
        <w:t xml:space="preserve"> </w:t>
      </w:r>
      <w:r>
        <w:rPr>
          <w:w w:val="80"/>
          <w:sz w:val="18"/>
        </w:rPr>
        <w:t>UG:cJl</w:t>
      </w:r>
      <w:r>
        <w:rPr>
          <w:spacing w:val="12"/>
          <w:w w:val="80"/>
          <w:sz w:val="18"/>
        </w:rPr>
        <w:t xml:space="preserve"> </w:t>
      </w:r>
      <w:r>
        <w:rPr>
          <w:w w:val="80"/>
          <w:sz w:val="18"/>
        </w:rPr>
        <w:t>UOUU:cIJ'</w:t>
      </w:r>
      <w:r>
        <w:rPr>
          <w:spacing w:val="27"/>
          <w:w w:val="80"/>
          <w:sz w:val="18"/>
        </w:rPr>
        <w:t xml:space="preserve"> </w:t>
      </w:r>
      <w:r>
        <w:rPr>
          <w:w w:val="80"/>
          <w:sz w:val="18"/>
        </w:rPr>
        <w:t>qGAGJOl</w:t>
      </w:r>
      <w:r>
        <w:rPr>
          <w:w w:val="85"/>
          <w:sz w:val="18"/>
        </w:rPr>
        <w:t xml:space="preserve"> </w:t>
      </w:r>
      <w:r>
        <w:rPr>
          <w:b/>
          <w:spacing w:val="-1"/>
          <w:w w:val="80"/>
          <w:sz w:val="20"/>
        </w:rPr>
        <w:t>CJJ!SObJJl-GUJS</w:t>
      </w:r>
    </w:p>
    <w:p w:rsidR="00E675F0" w:rsidRDefault="00E675F0" w:rsidP="00E675F0">
      <w:pPr>
        <w:pStyle w:val="BodyText"/>
        <w:rPr>
          <w:b/>
        </w:rPr>
      </w:pPr>
    </w:p>
    <w:p w:rsidR="00E675F0" w:rsidRDefault="00E675F0" w:rsidP="00E675F0">
      <w:pPr>
        <w:pStyle w:val="BodyText"/>
        <w:spacing w:before="6"/>
        <w:rPr>
          <w:b/>
          <w:sz w:val="23"/>
        </w:rPr>
      </w:pPr>
      <w:r>
        <w:rPr>
          <w:noProof/>
        </w:rPr>
        <mc:AlternateContent>
          <mc:Choice Requires="wps">
            <w:drawing>
              <wp:anchor distT="0" distB="0" distL="0" distR="0" simplePos="0" relativeHeight="251845632" behindDoc="1" locked="0" layoutInCell="1" allowOverlap="1" wp14:anchorId="5F041C7B" wp14:editId="3BC5853B">
                <wp:simplePos x="0" y="0"/>
                <wp:positionH relativeFrom="page">
                  <wp:posOffset>4373880</wp:posOffset>
                </wp:positionH>
                <wp:positionV relativeFrom="paragraph">
                  <wp:posOffset>200025</wp:posOffset>
                </wp:positionV>
                <wp:extent cx="1124585" cy="1270"/>
                <wp:effectExtent l="0" t="0" r="5715" b="0"/>
                <wp:wrapTopAndBottom/>
                <wp:docPr id="1582" name="Freeform 15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24585" cy="1270"/>
                        </a:xfrm>
                        <a:custGeom>
                          <a:avLst/>
                          <a:gdLst>
                            <a:gd name="T0" fmla="+- 0 6888 6888"/>
                            <a:gd name="T1" fmla="*/ T0 w 1771"/>
                            <a:gd name="T2" fmla="+- 0 8659 6888"/>
                            <a:gd name="T3" fmla="*/ T2 w 1771"/>
                          </a:gdLst>
                          <a:ahLst/>
                          <a:cxnLst>
                            <a:cxn ang="0">
                              <a:pos x="T1" y="0"/>
                            </a:cxn>
                            <a:cxn ang="0">
                              <a:pos x="T3" y="0"/>
                            </a:cxn>
                          </a:cxnLst>
                          <a:rect l="0" t="0" r="r" b="b"/>
                          <a:pathLst>
                            <a:path w="1771">
                              <a:moveTo>
                                <a:pt x="0" y="0"/>
                              </a:moveTo>
                              <a:lnTo>
                                <a:pt x="1771" y="0"/>
                              </a:lnTo>
                            </a:path>
                          </a:pathLst>
                        </a:custGeom>
                        <a:noFill/>
                        <a:ln w="6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8B747" id="Freeform 1538" o:spid="_x0000_s1026" style="position:absolute;margin-left:344.4pt;margin-top:15.75pt;width:88.55pt;height:.1pt;z-index:-251470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7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" path="m,l1771,e" filled="f" strokeweight=".16958mm">
                <v:path arrowok="t" o:connecttype="custom" o:connectlocs="0,0;1124585,0" o:connectangles="0,0"/>
                <w10:wrap type="topAndBottom" anchorx="page"/>
              </v:shape>
            </w:pict>
          </mc:Fallback>
        </mc:AlternateContent>
      </w:r>
    </w:p>
    <w:p w:rsidR="00E675F0" w:rsidRDefault="00E675F0" w:rsidP="00E675F0">
      <w:pPr>
        <w:tabs>
          <w:tab w:val="left" w:pos="944"/>
        </w:tabs>
        <w:spacing w:before="15"/>
        <w:ind w:left="436"/>
        <w:rPr>
          <w:b/>
          <w:sz w:val="21"/>
        </w:rPr>
      </w:pPr>
      <w:r>
        <w:rPr>
          <w:rFonts w:ascii="Arial"/>
          <w:b/>
          <w:w w:val="95"/>
          <w:sz w:val="19"/>
        </w:rPr>
        <w:t>0</w:t>
      </w:r>
      <w:r>
        <w:rPr>
          <w:rFonts w:ascii="Arial"/>
          <w:b/>
          <w:w w:val="95"/>
          <w:sz w:val="19"/>
        </w:rPr>
        <w:tab/>
      </w:r>
      <w:r>
        <w:rPr>
          <w:b/>
          <w:w w:val="90"/>
          <w:sz w:val="21"/>
        </w:rPr>
        <w:t>fl2DSJJ.A</w:t>
      </w:r>
      <w:r>
        <w:rPr>
          <w:b/>
          <w:spacing w:val="-27"/>
          <w:w w:val="90"/>
          <w:sz w:val="21"/>
        </w:rPr>
        <w:t xml:space="preserve"> </w:t>
      </w:r>
      <w:r>
        <w:rPr>
          <w:b/>
          <w:w w:val="90"/>
          <w:sz w:val="21"/>
        </w:rPr>
        <w:t>ll!l-2</w:t>
      </w:r>
    </w:p>
    <w:p w:rsidR="00E675F0" w:rsidRDefault="00E675F0" w:rsidP="00E675F0">
      <w:pPr>
        <w:rPr>
          <w:sz w:val="21"/>
        </w:rPr>
        <w:sectPr w:rsidR="00E675F0">
          <w:type w:val="continuous"/>
          <w:pgSz w:w="8960" w:h="14260"/>
          <w:pgMar w:top="640" w:right="180" w:bottom="0" w:left="0" w:header="720" w:footer="720" w:gutter="0"/>
          <w:cols w:num="2" w:space="720" w:equalWidth="0">
            <w:col w:w="6114" w:space="381"/>
            <w:col w:w="2285"/>
          </w:cols>
        </w:sectPr>
      </w:pPr>
    </w:p>
    <w:p w:rsidR="00E675F0" w:rsidRDefault="00E675F0" w:rsidP="00E675F0">
      <w:pPr>
        <w:pStyle w:val="BodyText"/>
        <w:spacing w:before="6"/>
        <w:rPr>
          <w:b/>
          <w:sz w:val="10"/>
        </w:rPr>
      </w:pPr>
      <w:r>
        <w:rPr>
          <w:noProof/>
        </w:rPr>
        <w:lastRenderedPageBreak/>
        <mc:AlternateContent>
          <mc:Choice Requires="wps">
            <w:drawing>
              <wp:anchor distT="0" distB="0" distL="114300" distR="114300" simplePos="0" relativeHeight="251683840" behindDoc="0" locked="0" layoutInCell="1" allowOverlap="1" wp14:anchorId="23950D84" wp14:editId="283435B4">
                <wp:simplePos x="0" y="0"/>
                <wp:positionH relativeFrom="page">
                  <wp:posOffset>472440</wp:posOffset>
                </wp:positionH>
                <wp:positionV relativeFrom="page">
                  <wp:posOffset>993140</wp:posOffset>
                </wp:positionV>
                <wp:extent cx="4765040" cy="0"/>
                <wp:effectExtent l="0" t="12700" r="22860" b="12700"/>
                <wp:wrapNone/>
                <wp:docPr id="1581" name="Line 15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765040" cy="0"/>
                        </a:xfrm>
                        <a:prstGeom prst="line">
                          <a:avLst/>
                        </a:prstGeom>
                        <a:noFill/>
                        <a:ln w="335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FF3AF9" id="Line 1537" o:spid="_x0000_s1026" style="position:absolute;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2pt,78.2pt" to="412.4pt,78.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" strokeweight=".93264mm">
                <o:lock v:ext="edit" shapetype="f"/>
                <w10:wrap anchorx="page" anchory="page"/>
              </v:line>
            </w:pict>
          </mc:Fallback>
        </mc:AlternateContent>
      </w:r>
    </w:p>
    <w:tbl>
      <w:tblPr>
        <w:tblW w:w="0" w:type="auto"/>
        <w:tblInd w:w="234"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7327"/>
      </w:tblGrid>
      <w:tr w:rsidR="00E675F0" w:rsidTr="00A330E1">
        <w:trPr>
          <w:trHeight w:val="5275"/>
        </w:trPr>
        <w:tc>
          <w:tcPr>
            <w:tcW w:w="7327" w:type="dxa"/>
          </w:tcPr>
          <w:p w:rsidR="00E675F0" w:rsidRDefault="00E675F0" w:rsidP="003048D3">
            <w:pPr>
              <w:pStyle w:val="TableParagraph"/>
              <w:numPr>
                <w:ilvl w:val="0"/>
                <w:numId w:val="99"/>
              </w:numPr>
              <w:tabs>
                <w:tab w:val="left" w:pos="592"/>
              </w:tabs>
              <w:spacing w:before="74"/>
              <w:rPr>
                <w:rFonts w:ascii="Arial" w:hAnsi="Arial"/>
                <w:i/>
              </w:rPr>
            </w:pPr>
            <w:bookmarkStart w:id="45" w:name="_bookmark30"/>
            <w:bookmarkEnd w:id="45"/>
            <w:r>
              <w:rPr>
                <w:rFonts w:ascii="Arial" w:hAnsi="Arial"/>
                <w:b/>
              </w:rPr>
              <w:t>Diagnostic criteria for 299.00 Autistic Disorder</w:t>
            </w:r>
            <w:r>
              <w:rPr>
                <w:rFonts w:ascii="Arial" w:hAnsi="Arial"/>
                <w:b/>
                <w:spacing w:val="39"/>
              </w:rPr>
              <w:t xml:space="preserve"> </w:t>
            </w:r>
            <w:r>
              <w:rPr>
                <w:rFonts w:ascii="Arial" w:hAnsi="Arial"/>
                <w:i/>
              </w:rPr>
              <w:t>(continued)</w:t>
            </w:r>
          </w:p>
          <w:p w:rsidR="00E675F0" w:rsidRDefault="00E675F0" w:rsidP="003048D3">
            <w:pPr>
              <w:pStyle w:val="TableParagraph"/>
              <w:numPr>
                <w:ilvl w:val="1"/>
                <w:numId w:val="99"/>
              </w:numPr>
              <w:tabs>
                <w:tab w:val="left" w:pos="1386"/>
              </w:tabs>
              <w:spacing w:before="194" w:line="256" w:lineRule="auto"/>
              <w:ind w:right="232" w:hanging="424"/>
              <w:jc w:val="both"/>
              <w:rPr>
                <w:sz w:val="20"/>
              </w:rPr>
            </w:pPr>
            <w:r>
              <w:rPr>
                <w:w w:val="105"/>
                <w:sz w:val="20"/>
              </w:rPr>
              <w:t>restricted repetitive and stereotyped patterns of behavior, interests, and activities, as manifested by at least one of the</w:t>
            </w:r>
            <w:r>
              <w:rPr>
                <w:spacing w:val="-27"/>
                <w:w w:val="105"/>
                <w:sz w:val="20"/>
              </w:rPr>
              <w:t xml:space="preserve"> </w:t>
            </w:r>
            <w:r>
              <w:rPr>
                <w:w w:val="105"/>
                <w:sz w:val="20"/>
              </w:rPr>
              <w:t>following:</w:t>
            </w:r>
          </w:p>
          <w:p w:rsidR="00E675F0" w:rsidRDefault="00E675F0" w:rsidP="003048D3">
            <w:pPr>
              <w:pStyle w:val="TableParagraph"/>
              <w:numPr>
                <w:ilvl w:val="2"/>
                <w:numId w:val="99"/>
              </w:numPr>
              <w:tabs>
                <w:tab w:val="left" w:pos="1803"/>
              </w:tabs>
              <w:spacing w:before="61" w:line="252" w:lineRule="auto"/>
              <w:ind w:right="217"/>
              <w:jc w:val="both"/>
              <w:rPr>
                <w:sz w:val="20"/>
              </w:rPr>
            </w:pPr>
            <w:r>
              <w:rPr>
                <w:w w:val="105"/>
                <w:sz w:val="20"/>
              </w:rPr>
              <w:t>encompassing preoccupation with one or more stereotyped and restricted patterns of interest that is abnormal either in intensity or</w:t>
            </w:r>
            <w:r>
              <w:rPr>
                <w:spacing w:val="14"/>
                <w:w w:val="105"/>
                <w:sz w:val="20"/>
              </w:rPr>
              <w:t xml:space="preserve"> </w:t>
            </w:r>
            <w:r>
              <w:rPr>
                <w:w w:val="105"/>
                <w:sz w:val="20"/>
              </w:rPr>
              <w:t>focus</w:t>
            </w:r>
          </w:p>
          <w:p w:rsidR="00E675F0" w:rsidRDefault="00E675F0" w:rsidP="003048D3">
            <w:pPr>
              <w:pStyle w:val="TableParagraph"/>
              <w:numPr>
                <w:ilvl w:val="2"/>
                <w:numId w:val="99"/>
              </w:numPr>
              <w:tabs>
                <w:tab w:val="left" w:pos="1818"/>
              </w:tabs>
              <w:spacing w:line="261" w:lineRule="auto"/>
              <w:ind w:left="1823" w:right="241" w:hanging="445"/>
              <w:jc w:val="both"/>
              <w:rPr>
                <w:sz w:val="20"/>
              </w:rPr>
            </w:pPr>
            <w:r>
              <w:rPr>
                <w:w w:val="105"/>
                <w:sz w:val="20"/>
              </w:rPr>
              <w:t>apparently inflexible adherence to specific, nonfunctional routines or</w:t>
            </w:r>
            <w:r>
              <w:rPr>
                <w:spacing w:val="24"/>
                <w:w w:val="105"/>
                <w:sz w:val="20"/>
              </w:rPr>
              <w:t xml:space="preserve"> </w:t>
            </w:r>
            <w:r>
              <w:rPr>
                <w:w w:val="105"/>
                <w:sz w:val="20"/>
              </w:rPr>
              <w:t>rituals</w:t>
            </w:r>
          </w:p>
          <w:p w:rsidR="00E675F0" w:rsidRDefault="00E675F0" w:rsidP="003048D3">
            <w:pPr>
              <w:pStyle w:val="TableParagraph"/>
              <w:numPr>
                <w:ilvl w:val="2"/>
                <w:numId w:val="99"/>
              </w:numPr>
              <w:tabs>
                <w:tab w:val="left" w:pos="1796"/>
              </w:tabs>
              <w:spacing w:line="256" w:lineRule="auto"/>
              <w:ind w:left="1797" w:right="220" w:hanging="420"/>
              <w:jc w:val="both"/>
              <w:rPr>
                <w:sz w:val="20"/>
              </w:rPr>
            </w:pPr>
            <w:r>
              <w:rPr>
                <w:w w:val="105"/>
                <w:sz w:val="20"/>
              </w:rPr>
              <w:t>stereotyped and repetitive motor mannerisms (e.g., hand or finger flapping or twisting, or complex whole-body move­ ments)</w:t>
            </w:r>
          </w:p>
          <w:p w:rsidR="00E675F0" w:rsidRDefault="00E675F0" w:rsidP="003048D3">
            <w:pPr>
              <w:pStyle w:val="TableParagraph"/>
              <w:numPr>
                <w:ilvl w:val="2"/>
                <w:numId w:val="99"/>
              </w:numPr>
              <w:tabs>
                <w:tab w:val="left" w:pos="1826"/>
              </w:tabs>
              <w:spacing w:line="227" w:lineRule="exact"/>
              <w:ind w:left="1825" w:hanging="448"/>
              <w:jc w:val="both"/>
              <w:rPr>
                <w:sz w:val="20"/>
              </w:rPr>
            </w:pPr>
            <w:r>
              <w:rPr>
                <w:w w:val="105"/>
                <w:sz w:val="20"/>
              </w:rPr>
              <w:t>persistent preoccupation with parts of</w:t>
            </w:r>
            <w:r>
              <w:rPr>
                <w:spacing w:val="-16"/>
                <w:w w:val="105"/>
                <w:sz w:val="20"/>
              </w:rPr>
              <w:t xml:space="preserve"> </w:t>
            </w:r>
            <w:r>
              <w:rPr>
                <w:w w:val="105"/>
                <w:sz w:val="20"/>
              </w:rPr>
              <w:t>objects</w:t>
            </w:r>
          </w:p>
          <w:p w:rsidR="00E675F0" w:rsidRDefault="00E675F0" w:rsidP="00A330E1">
            <w:pPr>
              <w:pStyle w:val="TableParagraph"/>
              <w:spacing w:before="183" w:line="252" w:lineRule="auto"/>
              <w:ind w:left="962" w:right="219" w:hanging="301"/>
              <w:jc w:val="both"/>
              <w:rPr>
                <w:sz w:val="20"/>
              </w:rPr>
            </w:pPr>
            <w:r>
              <w:rPr>
                <w:w w:val="105"/>
                <w:sz w:val="20"/>
              </w:rPr>
              <w:t xml:space="preserve">B. Delays or abnormal functioning in at least one of the following areas, with onset prior to age 3 years: </w:t>
            </w:r>
            <w:r>
              <w:rPr>
                <w:w w:val="105"/>
                <w:sz w:val="18"/>
              </w:rPr>
              <w:t xml:space="preserve">(1) </w:t>
            </w:r>
            <w:r>
              <w:rPr>
                <w:w w:val="105"/>
                <w:sz w:val="20"/>
              </w:rPr>
              <w:t>social interaction, (2) language as used in social communication, or (3) symbolic or imaginative play.</w:t>
            </w:r>
          </w:p>
          <w:p w:rsidR="00E675F0" w:rsidRDefault="00E675F0" w:rsidP="00A330E1">
            <w:pPr>
              <w:pStyle w:val="TableParagraph"/>
              <w:spacing w:before="189" w:line="256" w:lineRule="auto"/>
              <w:ind w:left="960" w:right="215" w:hanging="304"/>
              <w:jc w:val="both"/>
              <w:rPr>
                <w:sz w:val="20"/>
              </w:rPr>
            </w:pPr>
            <w:r>
              <w:rPr>
                <w:w w:val="105"/>
                <w:sz w:val="20"/>
              </w:rPr>
              <w:t>C. The disturbance is not better accounted for by Rett's Disorder or Childhood Disintegrative Disorder.</w:t>
            </w:r>
          </w:p>
        </w:tc>
      </w:tr>
    </w:tbl>
    <w:p w:rsidR="00E675F0" w:rsidRDefault="00E675F0" w:rsidP="00E675F0">
      <w:pPr>
        <w:pStyle w:val="BodyText"/>
        <w:rPr>
          <w:b/>
        </w:rPr>
      </w:pPr>
    </w:p>
    <w:p w:rsidR="00E675F0" w:rsidRDefault="00E675F0" w:rsidP="00E675F0">
      <w:pPr>
        <w:pStyle w:val="BodyText"/>
        <w:rPr>
          <w:b/>
        </w:rPr>
      </w:pPr>
    </w:p>
    <w:p w:rsidR="00E675F0" w:rsidRDefault="00E675F0" w:rsidP="00E675F0">
      <w:pPr>
        <w:pStyle w:val="BodyText"/>
        <w:spacing w:before="7"/>
        <w:rPr>
          <w:b/>
        </w:rPr>
      </w:pPr>
    </w:p>
    <w:p w:rsidR="00E675F0" w:rsidRDefault="00E675F0" w:rsidP="00E675F0">
      <w:pPr>
        <w:tabs>
          <w:tab w:val="left" w:pos="3462"/>
        </w:tabs>
        <w:spacing w:before="92"/>
        <w:ind w:left="2392"/>
        <w:rPr>
          <w:rFonts w:ascii="Arial"/>
          <w:b/>
          <w:sz w:val="26"/>
        </w:rPr>
      </w:pPr>
      <w:r>
        <w:rPr>
          <w:rFonts w:ascii="Arial"/>
          <w:b/>
          <w:w w:val="105"/>
          <w:sz w:val="26"/>
        </w:rPr>
        <w:t>299.80</w:t>
      </w:r>
      <w:r>
        <w:rPr>
          <w:rFonts w:ascii="Arial"/>
          <w:b/>
          <w:w w:val="105"/>
          <w:sz w:val="26"/>
        </w:rPr>
        <w:tab/>
        <w:t>Rett's</w:t>
      </w:r>
      <w:r>
        <w:rPr>
          <w:rFonts w:ascii="Arial"/>
          <w:b/>
          <w:spacing w:val="-5"/>
          <w:w w:val="105"/>
          <w:sz w:val="26"/>
        </w:rPr>
        <w:t xml:space="preserve"> </w:t>
      </w:r>
      <w:r>
        <w:rPr>
          <w:rFonts w:ascii="Arial"/>
          <w:b/>
          <w:w w:val="105"/>
          <w:sz w:val="26"/>
        </w:rPr>
        <w:t>Disorder</w:t>
      </w:r>
    </w:p>
    <w:p w:rsidR="00E675F0" w:rsidRDefault="00E675F0" w:rsidP="00E675F0">
      <w:pPr>
        <w:pStyle w:val="BodyText"/>
        <w:spacing w:before="9"/>
        <w:rPr>
          <w:rFonts w:ascii="Arial"/>
          <w:b/>
          <w:sz w:val="28"/>
        </w:rPr>
      </w:pPr>
    </w:p>
    <w:p w:rsidR="00E675F0" w:rsidRDefault="00E675F0" w:rsidP="00E675F0">
      <w:pPr>
        <w:spacing w:before="1"/>
        <w:ind w:left="116"/>
        <w:jc w:val="both"/>
        <w:rPr>
          <w:rFonts w:ascii="TimesNewRomanPS-BoldItalicMT"/>
          <w:b/>
          <w:i/>
          <w:sz w:val="24"/>
        </w:rPr>
      </w:pPr>
      <w:r>
        <w:rPr>
          <w:rFonts w:ascii="TimesNewRomanPS-BoldItalicMT"/>
          <w:b/>
          <w:i/>
          <w:w w:val="120"/>
          <w:sz w:val="24"/>
        </w:rPr>
        <w:t>magnostic Features</w:t>
      </w:r>
    </w:p>
    <w:p w:rsidR="00E675F0" w:rsidRDefault="00E675F0" w:rsidP="00E675F0">
      <w:pPr>
        <w:pStyle w:val="BodyText"/>
        <w:spacing w:before="136" w:line="252" w:lineRule="auto"/>
        <w:ind w:left="131" w:right="118"/>
        <w:jc w:val="both"/>
      </w:pPr>
      <w:r>
        <w:rPr>
          <w:w w:val="105"/>
        </w:rPr>
        <w:t>The essential feature of Rett's Disorder is the development of multiple specific deficits following a period of normal functioning after birth. Individuals have an apparently normal prenatal and perinatal period (Criterion Al) with normal psychomotor develop­ ment</w:t>
      </w:r>
      <w:r>
        <w:rPr>
          <w:spacing w:val="-1"/>
          <w:w w:val="105"/>
        </w:rPr>
        <w:t xml:space="preserve"> </w:t>
      </w:r>
      <w:r>
        <w:rPr>
          <w:w w:val="105"/>
        </w:rPr>
        <w:t>through the</w:t>
      </w:r>
      <w:r>
        <w:rPr>
          <w:spacing w:val="-15"/>
          <w:w w:val="105"/>
        </w:rPr>
        <w:t xml:space="preserve"> </w:t>
      </w:r>
      <w:r>
        <w:rPr>
          <w:w w:val="105"/>
        </w:rPr>
        <w:t>first</w:t>
      </w:r>
      <w:r>
        <w:rPr>
          <w:spacing w:val="-11"/>
          <w:w w:val="105"/>
        </w:rPr>
        <w:t xml:space="preserve"> </w:t>
      </w:r>
      <w:r>
        <w:rPr>
          <w:w w:val="105"/>
        </w:rPr>
        <w:t>5</w:t>
      </w:r>
      <w:r>
        <w:rPr>
          <w:spacing w:val="-17"/>
          <w:w w:val="105"/>
        </w:rPr>
        <w:t xml:space="preserve"> </w:t>
      </w:r>
      <w:r>
        <w:rPr>
          <w:w w:val="105"/>
        </w:rPr>
        <w:t>months</w:t>
      </w:r>
      <w:r>
        <w:rPr>
          <w:spacing w:val="-2"/>
          <w:w w:val="105"/>
        </w:rPr>
        <w:t xml:space="preserve"> </w:t>
      </w:r>
      <w:r>
        <w:rPr>
          <w:w w:val="105"/>
        </w:rPr>
        <w:t>of</w:t>
      </w:r>
      <w:r>
        <w:rPr>
          <w:spacing w:val="-4"/>
          <w:w w:val="105"/>
        </w:rPr>
        <w:t xml:space="preserve"> </w:t>
      </w:r>
      <w:r>
        <w:rPr>
          <w:w w:val="105"/>
        </w:rPr>
        <w:t>life</w:t>
      </w:r>
      <w:r>
        <w:rPr>
          <w:spacing w:val="-9"/>
          <w:w w:val="105"/>
        </w:rPr>
        <w:t xml:space="preserve"> </w:t>
      </w:r>
      <w:r>
        <w:rPr>
          <w:w w:val="105"/>
        </w:rPr>
        <w:t>(Criterion</w:t>
      </w:r>
      <w:r>
        <w:rPr>
          <w:spacing w:val="-5"/>
          <w:w w:val="105"/>
        </w:rPr>
        <w:t xml:space="preserve"> </w:t>
      </w:r>
      <w:r>
        <w:rPr>
          <w:w w:val="105"/>
        </w:rPr>
        <w:t>A2).</w:t>
      </w:r>
      <w:r>
        <w:rPr>
          <w:spacing w:val="-3"/>
          <w:w w:val="105"/>
        </w:rPr>
        <w:t xml:space="preserve"> </w:t>
      </w:r>
      <w:r>
        <w:rPr>
          <w:w w:val="105"/>
        </w:rPr>
        <w:t>Head</w:t>
      </w:r>
      <w:r>
        <w:rPr>
          <w:spacing w:val="-7"/>
          <w:w w:val="105"/>
        </w:rPr>
        <w:t xml:space="preserve"> </w:t>
      </w:r>
      <w:r>
        <w:rPr>
          <w:w w:val="105"/>
        </w:rPr>
        <w:t>circumference</w:t>
      </w:r>
      <w:r>
        <w:rPr>
          <w:spacing w:val="3"/>
          <w:w w:val="105"/>
        </w:rPr>
        <w:t xml:space="preserve"> </w:t>
      </w:r>
      <w:r>
        <w:rPr>
          <w:w w:val="105"/>
        </w:rPr>
        <w:t>at</w:t>
      </w:r>
      <w:r>
        <w:rPr>
          <w:spacing w:val="-8"/>
          <w:w w:val="105"/>
        </w:rPr>
        <w:t xml:space="preserve"> </w:t>
      </w:r>
      <w:r>
        <w:rPr>
          <w:w w:val="105"/>
        </w:rPr>
        <w:t>birth</w:t>
      </w:r>
      <w:r>
        <w:rPr>
          <w:spacing w:val="-1"/>
          <w:w w:val="105"/>
        </w:rPr>
        <w:t xml:space="preserve"> </w:t>
      </w:r>
      <w:r>
        <w:rPr>
          <w:w w:val="105"/>
        </w:rPr>
        <w:t>is</w:t>
      </w:r>
      <w:r>
        <w:rPr>
          <w:spacing w:val="-9"/>
          <w:w w:val="105"/>
        </w:rPr>
        <w:t xml:space="preserve"> </w:t>
      </w:r>
      <w:r>
        <w:rPr>
          <w:w w:val="105"/>
        </w:rPr>
        <w:t xml:space="preserve">also within normal limits (Criterion A3). Between ages 5 and 48 months, head growth decelerates (Criterion </w:t>
      </w:r>
      <w:r>
        <w:rPr>
          <w:w w:val="105"/>
          <w:sz w:val="19"/>
        </w:rPr>
        <w:t xml:space="preserve">Bl). </w:t>
      </w:r>
      <w:r>
        <w:rPr>
          <w:w w:val="105"/>
        </w:rPr>
        <w:t>There is a loss of previously acquired purposeful hand skills between ages 5 and 30 months, with the subsequent development of characteristic stereotyped hand movements resembling hand-wringing or hand washing  (Criterion B2). Interest in the social environment diminishes  in the first few years after  the onset of the disorder (Criterion B3), although social interaction may often develop later in the course. Problems develop in the coordination of gait or trunk movements (Criterion B4). There is also severe impairment in expressive and receptive language development, with severe psychomotor retardation (Criterion</w:t>
      </w:r>
      <w:r>
        <w:rPr>
          <w:spacing w:val="-22"/>
          <w:w w:val="105"/>
        </w:rPr>
        <w:t xml:space="preserve"> </w:t>
      </w:r>
      <w:r>
        <w:rPr>
          <w:w w:val="105"/>
        </w:rPr>
        <w:t>BS).</w:t>
      </w:r>
    </w:p>
    <w:p w:rsidR="00E675F0" w:rsidRDefault="00E675F0" w:rsidP="00E675F0">
      <w:pPr>
        <w:pStyle w:val="BodyText"/>
        <w:rPr>
          <w:sz w:val="22"/>
        </w:rPr>
      </w:pPr>
    </w:p>
    <w:p w:rsidR="00E675F0" w:rsidRDefault="00E675F0" w:rsidP="00E675F0">
      <w:pPr>
        <w:spacing w:before="166"/>
        <w:ind w:left="118"/>
        <w:jc w:val="both"/>
        <w:rPr>
          <w:rFonts w:ascii="TimesNewRomanPS-BoldItalicMT"/>
          <w:b/>
          <w:i/>
          <w:sz w:val="24"/>
        </w:rPr>
      </w:pPr>
      <w:r>
        <w:rPr>
          <w:rFonts w:ascii="TimesNewRomanPS-BoldItalicMT"/>
          <w:b/>
          <w:i/>
          <w:w w:val="115"/>
          <w:sz w:val="24"/>
        </w:rPr>
        <w:t>Associated Features and</w:t>
      </w:r>
      <w:r>
        <w:rPr>
          <w:rFonts w:ascii="TimesNewRomanPS-BoldItalicMT"/>
          <w:b/>
          <w:i/>
          <w:spacing w:val="14"/>
          <w:w w:val="115"/>
          <w:sz w:val="24"/>
        </w:rPr>
        <w:t xml:space="preserve"> </w:t>
      </w:r>
      <w:r>
        <w:rPr>
          <w:rFonts w:ascii="TimesNewRomanPS-BoldItalicMT"/>
          <w:b/>
          <w:i/>
          <w:w w:val="115"/>
          <w:sz w:val="24"/>
        </w:rPr>
        <w:t>Di,sorders</w:t>
      </w:r>
    </w:p>
    <w:p w:rsidR="00E675F0" w:rsidRDefault="00E675F0" w:rsidP="00E675F0">
      <w:pPr>
        <w:pStyle w:val="BodyText"/>
        <w:spacing w:before="151" w:line="256" w:lineRule="auto"/>
        <w:ind w:left="140" w:right="123" w:firstLine="3"/>
        <w:jc w:val="both"/>
      </w:pPr>
      <w:r>
        <w:rPr>
          <w:w w:val="105"/>
        </w:rPr>
        <w:t>Rett's</w:t>
      </w:r>
      <w:r>
        <w:rPr>
          <w:spacing w:val="-17"/>
          <w:w w:val="105"/>
        </w:rPr>
        <w:t xml:space="preserve"> </w:t>
      </w:r>
      <w:r>
        <w:rPr>
          <w:w w:val="105"/>
        </w:rPr>
        <w:t>Disorder</w:t>
      </w:r>
      <w:r>
        <w:rPr>
          <w:spacing w:val="-19"/>
          <w:w w:val="105"/>
        </w:rPr>
        <w:t xml:space="preserve"> </w:t>
      </w:r>
      <w:r>
        <w:rPr>
          <w:w w:val="105"/>
        </w:rPr>
        <w:t>is</w:t>
      </w:r>
      <w:r>
        <w:rPr>
          <w:spacing w:val="-26"/>
          <w:w w:val="105"/>
        </w:rPr>
        <w:t xml:space="preserve"> </w:t>
      </w:r>
      <w:r>
        <w:rPr>
          <w:w w:val="105"/>
        </w:rPr>
        <w:t>typically</w:t>
      </w:r>
      <w:r>
        <w:rPr>
          <w:spacing w:val="-19"/>
          <w:w w:val="105"/>
        </w:rPr>
        <w:t xml:space="preserve"> </w:t>
      </w:r>
      <w:r>
        <w:rPr>
          <w:w w:val="105"/>
        </w:rPr>
        <w:t>associated</w:t>
      </w:r>
      <w:r>
        <w:rPr>
          <w:spacing w:val="-11"/>
          <w:w w:val="105"/>
        </w:rPr>
        <w:t xml:space="preserve"> </w:t>
      </w:r>
      <w:r>
        <w:rPr>
          <w:w w:val="105"/>
        </w:rPr>
        <w:t>with</w:t>
      </w:r>
      <w:r>
        <w:rPr>
          <w:spacing w:val="-25"/>
          <w:w w:val="105"/>
        </w:rPr>
        <w:t xml:space="preserve"> </w:t>
      </w:r>
      <w:r>
        <w:rPr>
          <w:w w:val="105"/>
        </w:rPr>
        <w:t>Severe</w:t>
      </w:r>
      <w:r>
        <w:rPr>
          <w:spacing w:val="-20"/>
          <w:w w:val="105"/>
        </w:rPr>
        <w:t xml:space="preserve"> </w:t>
      </w:r>
      <w:r>
        <w:rPr>
          <w:w w:val="105"/>
        </w:rPr>
        <w:t>or</w:t>
      </w:r>
      <w:r>
        <w:rPr>
          <w:spacing w:val="-20"/>
          <w:w w:val="105"/>
        </w:rPr>
        <w:t xml:space="preserve"> </w:t>
      </w:r>
      <w:r>
        <w:rPr>
          <w:w w:val="105"/>
        </w:rPr>
        <w:t>Profound</w:t>
      </w:r>
      <w:r>
        <w:rPr>
          <w:spacing w:val="-12"/>
          <w:w w:val="105"/>
        </w:rPr>
        <w:t xml:space="preserve"> </w:t>
      </w:r>
      <w:r>
        <w:rPr>
          <w:w w:val="105"/>
        </w:rPr>
        <w:t>Mental</w:t>
      </w:r>
      <w:r>
        <w:rPr>
          <w:spacing w:val="-14"/>
          <w:w w:val="105"/>
        </w:rPr>
        <w:t xml:space="preserve"> </w:t>
      </w:r>
      <w:r>
        <w:rPr>
          <w:w w:val="105"/>
        </w:rPr>
        <w:t>Retardation,</w:t>
      </w:r>
      <w:r>
        <w:rPr>
          <w:spacing w:val="-14"/>
          <w:w w:val="105"/>
        </w:rPr>
        <w:t xml:space="preserve"> </w:t>
      </w:r>
      <w:r>
        <w:rPr>
          <w:w w:val="105"/>
        </w:rPr>
        <w:t>which, if present, should be coded on Axis II. There are no specific laboratory findings associated</w:t>
      </w:r>
      <w:r>
        <w:rPr>
          <w:spacing w:val="3"/>
          <w:w w:val="105"/>
        </w:rPr>
        <w:t xml:space="preserve"> </w:t>
      </w:r>
      <w:r>
        <w:rPr>
          <w:w w:val="105"/>
        </w:rPr>
        <w:t>with</w:t>
      </w:r>
      <w:r>
        <w:rPr>
          <w:spacing w:val="-2"/>
          <w:w w:val="105"/>
        </w:rPr>
        <w:t xml:space="preserve"> </w:t>
      </w:r>
      <w:r>
        <w:rPr>
          <w:w w:val="105"/>
        </w:rPr>
        <w:t>the</w:t>
      </w:r>
      <w:r>
        <w:rPr>
          <w:spacing w:val="-14"/>
          <w:w w:val="105"/>
        </w:rPr>
        <w:t xml:space="preserve"> </w:t>
      </w:r>
      <w:r>
        <w:rPr>
          <w:w w:val="105"/>
        </w:rPr>
        <w:t>disorder.</w:t>
      </w:r>
      <w:r>
        <w:rPr>
          <w:spacing w:val="-11"/>
          <w:w w:val="105"/>
        </w:rPr>
        <w:t xml:space="preserve"> </w:t>
      </w:r>
      <w:r>
        <w:rPr>
          <w:w w:val="105"/>
        </w:rPr>
        <w:t>There</w:t>
      </w:r>
      <w:r>
        <w:rPr>
          <w:spacing w:val="-1"/>
          <w:w w:val="105"/>
        </w:rPr>
        <w:t xml:space="preserve"> </w:t>
      </w:r>
      <w:r>
        <w:rPr>
          <w:w w:val="105"/>
        </w:rPr>
        <w:t>may</w:t>
      </w:r>
      <w:r>
        <w:rPr>
          <w:spacing w:val="-6"/>
          <w:w w:val="105"/>
        </w:rPr>
        <w:t xml:space="preserve"> </w:t>
      </w:r>
      <w:r>
        <w:rPr>
          <w:w w:val="105"/>
        </w:rPr>
        <w:t>be</w:t>
      </w:r>
      <w:r>
        <w:rPr>
          <w:spacing w:val="-10"/>
          <w:w w:val="105"/>
        </w:rPr>
        <w:t xml:space="preserve"> </w:t>
      </w:r>
      <w:r>
        <w:rPr>
          <w:w w:val="105"/>
        </w:rPr>
        <w:t>an</w:t>
      </w:r>
      <w:r>
        <w:rPr>
          <w:spacing w:val="-5"/>
          <w:w w:val="105"/>
        </w:rPr>
        <w:t xml:space="preserve"> </w:t>
      </w:r>
      <w:r>
        <w:rPr>
          <w:w w:val="105"/>
        </w:rPr>
        <w:t>increased</w:t>
      </w:r>
      <w:r>
        <w:rPr>
          <w:spacing w:val="-1"/>
          <w:w w:val="105"/>
        </w:rPr>
        <w:t xml:space="preserve"> </w:t>
      </w:r>
      <w:r>
        <w:rPr>
          <w:w w:val="105"/>
        </w:rPr>
        <w:t>frequency</w:t>
      </w:r>
      <w:r>
        <w:rPr>
          <w:spacing w:val="-6"/>
          <w:w w:val="105"/>
        </w:rPr>
        <w:t xml:space="preserve"> </w:t>
      </w:r>
      <w:r>
        <w:rPr>
          <w:w w:val="105"/>
        </w:rPr>
        <w:t>of EEG</w:t>
      </w:r>
      <w:r>
        <w:rPr>
          <w:spacing w:val="-4"/>
          <w:w w:val="105"/>
        </w:rPr>
        <w:t xml:space="preserve"> </w:t>
      </w:r>
      <w:r>
        <w:rPr>
          <w:w w:val="105"/>
        </w:rPr>
        <w:t>abnormalities</w:t>
      </w:r>
    </w:p>
    <w:p w:rsidR="00E675F0" w:rsidRDefault="00E675F0" w:rsidP="00E675F0">
      <w:pPr>
        <w:spacing w:line="256" w:lineRule="auto"/>
        <w:jc w:val="both"/>
        <w:sectPr w:rsidR="00E675F0">
          <w:pgSz w:w="8960" w:h="14260"/>
          <w:pgMar w:top="1400" w:right="600" w:bottom="280" w:left="620" w:header="699" w:footer="0" w:gutter="0"/>
          <w:cols w:space="720"/>
        </w:sectPr>
      </w:pPr>
    </w:p>
    <w:p w:rsidR="00E675F0" w:rsidRDefault="00E675F0" w:rsidP="00E675F0">
      <w:pPr>
        <w:pStyle w:val="BodyText"/>
        <w:spacing w:before="138" w:line="256" w:lineRule="auto"/>
        <w:ind w:left="128" w:right="149" w:hanging="3"/>
        <w:jc w:val="both"/>
      </w:pPr>
      <w:bookmarkStart w:id="46" w:name="_bookmark31"/>
      <w:bookmarkEnd w:id="46"/>
      <w:r>
        <w:rPr>
          <w:w w:val="105"/>
        </w:rPr>
        <w:lastRenderedPageBreak/>
        <w:t>and seizure disorder in individuals with Rett's Disorder. Nonspecific abnormalities on brain imaging have been reported.</w:t>
      </w:r>
    </w:p>
    <w:p w:rsidR="00E675F0" w:rsidRDefault="00E675F0" w:rsidP="00E675F0">
      <w:pPr>
        <w:pStyle w:val="BodyText"/>
        <w:rPr>
          <w:sz w:val="22"/>
        </w:rPr>
      </w:pPr>
    </w:p>
    <w:p w:rsidR="00E675F0" w:rsidRDefault="00E675F0" w:rsidP="00E675F0">
      <w:pPr>
        <w:spacing w:before="131"/>
        <w:ind w:left="111"/>
        <w:rPr>
          <w:rFonts w:ascii="TimesNewRomanPS-BoldItalicMT"/>
          <w:b/>
          <w:i/>
          <w:sz w:val="25"/>
        </w:rPr>
      </w:pPr>
      <w:r>
        <w:rPr>
          <w:rFonts w:ascii="TimesNewRomanPS-BoldItalicMT"/>
          <w:b/>
          <w:i/>
          <w:w w:val="110"/>
          <w:sz w:val="25"/>
        </w:rPr>
        <w:t>Prevalence</w:t>
      </w:r>
    </w:p>
    <w:p w:rsidR="00E675F0" w:rsidRDefault="00E675F0" w:rsidP="00E675F0">
      <w:pPr>
        <w:pStyle w:val="BodyText"/>
        <w:spacing w:before="134" w:line="252" w:lineRule="auto"/>
        <w:ind w:left="125" w:right="130" w:hanging="2"/>
        <w:jc w:val="both"/>
      </w:pPr>
      <w:r>
        <w:rPr>
          <w:w w:val="105"/>
        </w:rPr>
        <w:t>Data are limited to mostly case series, and it appears that Rett's Disorder is much less common than Autistic Disorder. This disorder has been reported only in females.</w:t>
      </w:r>
    </w:p>
    <w:p w:rsidR="00E675F0" w:rsidRDefault="00E675F0" w:rsidP="00E675F0">
      <w:pPr>
        <w:pStyle w:val="BodyText"/>
        <w:rPr>
          <w:sz w:val="22"/>
        </w:rPr>
      </w:pPr>
    </w:p>
    <w:p w:rsidR="00E675F0" w:rsidRDefault="00E675F0" w:rsidP="00E675F0">
      <w:pPr>
        <w:spacing w:before="145"/>
        <w:ind w:left="101"/>
        <w:rPr>
          <w:rFonts w:ascii="TimesNewRomanPS-BoldItalicMT"/>
          <w:b/>
          <w:i/>
          <w:sz w:val="25"/>
        </w:rPr>
      </w:pPr>
      <w:r>
        <w:rPr>
          <w:rFonts w:ascii="TimesNewRomanPS-BoldItalicMT"/>
          <w:b/>
          <w:i/>
          <w:w w:val="110"/>
          <w:sz w:val="25"/>
        </w:rPr>
        <w:t>Course</w:t>
      </w:r>
    </w:p>
    <w:p w:rsidR="00E675F0" w:rsidRDefault="00E675F0" w:rsidP="00E675F0">
      <w:pPr>
        <w:pStyle w:val="BodyText"/>
        <w:spacing w:before="134" w:line="254" w:lineRule="auto"/>
        <w:ind w:left="125" w:right="126" w:hanging="9"/>
        <w:jc w:val="both"/>
      </w:pPr>
      <w:r>
        <w:rPr>
          <w:w w:val="105"/>
        </w:rPr>
        <w:t>The</w:t>
      </w:r>
      <w:r>
        <w:rPr>
          <w:spacing w:val="-7"/>
          <w:w w:val="105"/>
        </w:rPr>
        <w:t xml:space="preserve"> </w:t>
      </w:r>
      <w:r>
        <w:rPr>
          <w:w w:val="105"/>
        </w:rPr>
        <w:t>pattern</w:t>
      </w:r>
      <w:r>
        <w:rPr>
          <w:spacing w:val="-8"/>
          <w:w w:val="105"/>
        </w:rPr>
        <w:t xml:space="preserve"> </w:t>
      </w:r>
      <w:r>
        <w:rPr>
          <w:w w:val="105"/>
        </w:rPr>
        <w:t>of</w:t>
      </w:r>
      <w:r>
        <w:rPr>
          <w:spacing w:val="-13"/>
          <w:w w:val="105"/>
        </w:rPr>
        <w:t xml:space="preserve"> </w:t>
      </w:r>
      <w:r>
        <w:rPr>
          <w:w w:val="105"/>
        </w:rPr>
        <w:t>developmental</w:t>
      </w:r>
      <w:r>
        <w:rPr>
          <w:spacing w:val="11"/>
          <w:w w:val="105"/>
        </w:rPr>
        <w:t xml:space="preserve"> </w:t>
      </w:r>
      <w:r>
        <w:rPr>
          <w:w w:val="105"/>
        </w:rPr>
        <w:t>regression is</w:t>
      </w:r>
      <w:r>
        <w:rPr>
          <w:spacing w:val="-13"/>
          <w:w w:val="105"/>
        </w:rPr>
        <w:t xml:space="preserve"> </w:t>
      </w:r>
      <w:r>
        <w:rPr>
          <w:w w:val="105"/>
        </w:rPr>
        <w:t>highly</w:t>
      </w:r>
      <w:r>
        <w:rPr>
          <w:spacing w:val="-10"/>
          <w:w w:val="105"/>
        </w:rPr>
        <w:t xml:space="preserve"> </w:t>
      </w:r>
      <w:r>
        <w:rPr>
          <w:w w:val="105"/>
        </w:rPr>
        <w:t>distinctive.</w:t>
      </w:r>
      <w:r>
        <w:rPr>
          <w:spacing w:val="3"/>
          <w:w w:val="105"/>
        </w:rPr>
        <w:t xml:space="preserve"> </w:t>
      </w:r>
      <w:r>
        <w:rPr>
          <w:w w:val="105"/>
        </w:rPr>
        <w:t>Rett's</w:t>
      </w:r>
      <w:r>
        <w:rPr>
          <w:spacing w:val="-6"/>
          <w:w w:val="105"/>
        </w:rPr>
        <w:t xml:space="preserve"> </w:t>
      </w:r>
      <w:r>
        <w:rPr>
          <w:w w:val="105"/>
        </w:rPr>
        <w:t>Disorder</w:t>
      </w:r>
      <w:r>
        <w:rPr>
          <w:spacing w:val="-5"/>
          <w:w w:val="105"/>
        </w:rPr>
        <w:t xml:space="preserve"> </w:t>
      </w:r>
      <w:r>
        <w:rPr>
          <w:w w:val="105"/>
        </w:rPr>
        <w:t>has</w:t>
      </w:r>
      <w:r>
        <w:rPr>
          <w:spacing w:val="-16"/>
          <w:w w:val="105"/>
        </w:rPr>
        <w:t xml:space="preserve"> </w:t>
      </w:r>
      <w:r>
        <w:rPr>
          <w:w w:val="105"/>
        </w:rPr>
        <w:t>its</w:t>
      </w:r>
      <w:r>
        <w:rPr>
          <w:spacing w:val="-16"/>
          <w:w w:val="105"/>
        </w:rPr>
        <w:t xml:space="preserve"> </w:t>
      </w:r>
      <w:r>
        <w:rPr>
          <w:w w:val="105"/>
        </w:rPr>
        <w:t>onset prior</w:t>
      </w:r>
      <w:r>
        <w:rPr>
          <w:spacing w:val="-8"/>
          <w:w w:val="105"/>
        </w:rPr>
        <w:t xml:space="preserve"> </w:t>
      </w:r>
      <w:r>
        <w:rPr>
          <w:w w:val="105"/>
        </w:rPr>
        <w:t>to</w:t>
      </w:r>
      <w:r>
        <w:rPr>
          <w:spacing w:val="-5"/>
          <w:w w:val="105"/>
        </w:rPr>
        <w:t xml:space="preserve"> </w:t>
      </w:r>
      <w:r>
        <w:rPr>
          <w:w w:val="105"/>
        </w:rPr>
        <w:t>age</w:t>
      </w:r>
      <w:r>
        <w:rPr>
          <w:spacing w:val="-5"/>
          <w:w w:val="105"/>
        </w:rPr>
        <w:t xml:space="preserve"> </w:t>
      </w:r>
      <w:r>
        <w:rPr>
          <w:w w:val="105"/>
        </w:rPr>
        <w:t>4</w:t>
      </w:r>
      <w:r>
        <w:rPr>
          <w:spacing w:val="-17"/>
          <w:w w:val="105"/>
        </w:rPr>
        <w:t xml:space="preserve"> </w:t>
      </w:r>
      <w:r>
        <w:rPr>
          <w:w w:val="105"/>
        </w:rPr>
        <w:t>years,</w:t>
      </w:r>
      <w:r>
        <w:rPr>
          <w:spacing w:val="5"/>
          <w:w w:val="105"/>
        </w:rPr>
        <w:t xml:space="preserve"> </w:t>
      </w:r>
      <w:r>
        <w:rPr>
          <w:w w:val="105"/>
        </w:rPr>
        <w:t>usually in</w:t>
      </w:r>
      <w:r>
        <w:rPr>
          <w:spacing w:val="-11"/>
          <w:w w:val="105"/>
        </w:rPr>
        <w:t xml:space="preserve"> </w:t>
      </w:r>
      <w:r>
        <w:rPr>
          <w:w w:val="105"/>
        </w:rPr>
        <w:t>the</w:t>
      </w:r>
      <w:r>
        <w:rPr>
          <w:spacing w:val="-14"/>
          <w:w w:val="105"/>
        </w:rPr>
        <w:t xml:space="preserve"> </w:t>
      </w:r>
      <w:r>
        <w:rPr>
          <w:w w:val="105"/>
        </w:rPr>
        <w:t>first</w:t>
      </w:r>
      <w:r>
        <w:rPr>
          <w:spacing w:val="-6"/>
          <w:w w:val="105"/>
        </w:rPr>
        <w:t xml:space="preserve"> </w:t>
      </w:r>
      <w:r>
        <w:rPr>
          <w:w w:val="105"/>
        </w:rPr>
        <w:t>or</w:t>
      </w:r>
      <w:r>
        <w:rPr>
          <w:spacing w:val="5"/>
          <w:w w:val="105"/>
        </w:rPr>
        <w:t xml:space="preserve"> </w:t>
      </w:r>
      <w:r>
        <w:rPr>
          <w:w w:val="105"/>
        </w:rPr>
        <w:t>second</w:t>
      </w:r>
      <w:r>
        <w:rPr>
          <w:spacing w:val="-1"/>
          <w:w w:val="105"/>
        </w:rPr>
        <w:t xml:space="preserve"> </w:t>
      </w:r>
      <w:r>
        <w:rPr>
          <w:w w:val="105"/>
        </w:rPr>
        <w:t>year</w:t>
      </w:r>
      <w:r>
        <w:rPr>
          <w:spacing w:val="-4"/>
          <w:w w:val="105"/>
        </w:rPr>
        <w:t xml:space="preserve"> </w:t>
      </w:r>
      <w:r>
        <w:rPr>
          <w:w w:val="105"/>
        </w:rPr>
        <w:t>of</w:t>
      </w:r>
      <w:r>
        <w:rPr>
          <w:spacing w:val="-5"/>
          <w:w w:val="105"/>
        </w:rPr>
        <w:t xml:space="preserve"> </w:t>
      </w:r>
      <w:r>
        <w:rPr>
          <w:w w:val="105"/>
        </w:rPr>
        <w:t>life.</w:t>
      </w:r>
      <w:r>
        <w:rPr>
          <w:spacing w:val="-15"/>
          <w:w w:val="105"/>
        </w:rPr>
        <w:t xml:space="preserve"> </w:t>
      </w:r>
      <w:r>
        <w:rPr>
          <w:w w:val="105"/>
        </w:rPr>
        <w:t>The</w:t>
      </w:r>
      <w:r>
        <w:rPr>
          <w:spacing w:val="-6"/>
          <w:w w:val="105"/>
        </w:rPr>
        <w:t xml:space="preserve"> </w:t>
      </w:r>
      <w:r>
        <w:rPr>
          <w:w w:val="105"/>
        </w:rPr>
        <w:t>duration</w:t>
      </w:r>
      <w:r>
        <w:rPr>
          <w:spacing w:val="2"/>
          <w:w w:val="105"/>
        </w:rPr>
        <w:t xml:space="preserve"> </w:t>
      </w:r>
      <w:r>
        <w:rPr>
          <w:w w:val="105"/>
        </w:rPr>
        <w:t>of</w:t>
      </w:r>
      <w:r>
        <w:rPr>
          <w:spacing w:val="-2"/>
          <w:w w:val="105"/>
        </w:rPr>
        <w:t xml:space="preserve"> </w:t>
      </w:r>
      <w:r>
        <w:rPr>
          <w:w w:val="105"/>
        </w:rPr>
        <w:t>the</w:t>
      </w:r>
      <w:r>
        <w:rPr>
          <w:spacing w:val="-13"/>
          <w:w w:val="105"/>
        </w:rPr>
        <w:t xml:space="preserve"> </w:t>
      </w:r>
      <w:r>
        <w:rPr>
          <w:w w:val="105"/>
        </w:rPr>
        <w:t>disorder is</w:t>
      </w:r>
      <w:r>
        <w:rPr>
          <w:spacing w:val="-20"/>
          <w:w w:val="105"/>
        </w:rPr>
        <w:t xml:space="preserve"> </w:t>
      </w:r>
      <w:r>
        <w:rPr>
          <w:w w:val="105"/>
        </w:rPr>
        <w:t>lifelong,</w:t>
      </w:r>
      <w:r>
        <w:rPr>
          <w:spacing w:val="-6"/>
          <w:w w:val="105"/>
        </w:rPr>
        <w:t xml:space="preserve"> </w:t>
      </w:r>
      <w:r>
        <w:rPr>
          <w:w w:val="105"/>
        </w:rPr>
        <w:t>and</w:t>
      </w:r>
      <w:r>
        <w:rPr>
          <w:spacing w:val="-5"/>
          <w:w w:val="105"/>
        </w:rPr>
        <w:t xml:space="preserve"> </w:t>
      </w:r>
      <w:r>
        <w:rPr>
          <w:w w:val="105"/>
        </w:rPr>
        <w:t>the</w:t>
      </w:r>
      <w:r>
        <w:rPr>
          <w:spacing w:val="-18"/>
          <w:w w:val="105"/>
        </w:rPr>
        <w:t xml:space="preserve"> </w:t>
      </w:r>
      <w:r>
        <w:rPr>
          <w:w w:val="105"/>
        </w:rPr>
        <w:t>loss</w:t>
      </w:r>
      <w:r>
        <w:rPr>
          <w:spacing w:val="-11"/>
          <w:w w:val="105"/>
        </w:rPr>
        <w:t xml:space="preserve"> </w:t>
      </w:r>
      <w:r>
        <w:rPr>
          <w:w w:val="105"/>
        </w:rPr>
        <w:t>of</w:t>
      </w:r>
      <w:r>
        <w:rPr>
          <w:spacing w:val="-9"/>
          <w:w w:val="105"/>
        </w:rPr>
        <w:t xml:space="preserve"> </w:t>
      </w:r>
      <w:r>
        <w:rPr>
          <w:w w:val="105"/>
        </w:rPr>
        <w:t>skills</w:t>
      </w:r>
      <w:r>
        <w:rPr>
          <w:spacing w:val="-10"/>
          <w:w w:val="105"/>
        </w:rPr>
        <w:t xml:space="preserve"> </w:t>
      </w:r>
      <w:r>
        <w:rPr>
          <w:w w:val="105"/>
        </w:rPr>
        <w:t>is</w:t>
      </w:r>
      <w:r>
        <w:rPr>
          <w:spacing w:val="-19"/>
          <w:w w:val="105"/>
        </w:rPr>
        <w:t xml:space="preserve"> </w:t>
      </w:r>
      <w:r>
        <w:rPr>
          <w:w w:val="105"/>
        </w:rPr>
        <w:t>generally</w:t>
      </w:r>
      <w:r>
        <w:rPr>
          <w:spacing w:val="1"/>
          <w:w w:val="105"/>
        </w:rPr>
        <w:t xml:space="preserve"> </w:t>
      </w:r>
      <w:r>
        <w:rPr>
          <w:w w:val="105"/>
        </w:rPr>
        <w:t>persistent</w:t>
      </w:r>
      <w:r>
        <w:rPr>
          <w:spacing w:val="5"/>
          <w:w w:val="105"/>
        </w:rPr>
        <w:t xml:space="preserve"> </w:t>
      </w:r>
      <w:r>
        <w:rPr>
          <w:w w:val="105"/>
        </w:rPr>
        <w:t>and</w:t>
      </w:r>
      <w:r>
        <w:rPr>
          <w:spacing w:val="-5"/>
          <w:w w:val="105"/>
        </w:rPr>
        <w:t xml:space="preserve"> </w:t>
      </w:r>
      <w:r>
        <w:rPr>
          <w:w w:val="105"/>
        </w:rPr>
        <w:t>progressive. In</w:t>
      </w:r>
      <w:r>
        <w:rPr>
          <w:spacing w:val="-10"/>
          <w:w w:val="105"/>
        </w:rPr>
        <w:t xml:space="preserve"> </w:t>
      </w:r>
      <w:r>
        <w:rPr>
          <w:w w:val="105"/>
        </w:rPr>
        <w:t>most</w:t>
      </w:r>
      <w:r>
        <w:rPr>
          <w:spacing w:val="-6"/>
          <w:w w:val="105"/>
        </w:rPr>
        <w:t xml:space="preserve"> </w:t>
      </w:r>
      <w:r>
        <w:rPr>
          <w:w w:val="105"/>
        </w:rPr>
        <w:t>instances, recovery is quite limited, although some very modest developmental gains may be made and interest in social interaction may be observed  as individuals  enter later childhood or adolescence. The communicative and behavioral difficulties usually remain relatively constant throughout</w:t>
      </w:r>
      <w:r>
        <w:rPr>
          <w:spacing w:val="37"/>
          <w:w w:val="105"/>
        </w:rPr>
        <w:t xml:space="preserve"> </w:t>
      </w:r>
      <w:r>
        <w:rPr>
          <w:w w:val="105"/>
        </w:rPr>
        <w:t>life.</w:t>
      </w:r>
    </w:p>
    <w:p w:rsidR="00E675F0" w:rsidRDefault="00E675F0" w:rsidP="00E675F0">
      <w:pPr>
        <w:pStyle w:val="BodyText"/>
        <w:rPr>
          <w:sz w:val="22"/>
        </w:rPr>
      </w:pPr>
    </w:p>
    <w:p w:rsidR="00E675F0" w:rsidRDefault="00E675F0" w:rsidP="00E675F0">
      <w:pPr>
        <w:spacing w:before="138"/>
        <w:ind w:left="117"/>
        <w:rPr>
          <w:rFonts w:ascii="TimesNewRomanPS-BoldItalicMT"/>
          <w:b/>
          <w:i/>
          <w:sz w:val="25"/>
        </w:rPr>
      </w:pPr>
      <w:r>
        <w:rPr>
          <w:rFonts w:ascii="TimesNewRomanPS-BoldItalicMT"/>
          <w:b/>
          <w:i/>
          <w:w w:val="110"/>
          <w:sz w:val="25"/>
        </w:rPr>
        <w:t>Differential Diagnosis</w:t>
      </w:r>
    </w:p>
    <w:p w:rsidR="00E675F0" w:rsidRDefault="00E675F0" w:rsidP="00E675F0">
      <w:pPr>
        <w:pStyle w:val="BodyText"/>
        <w:spacing w:before="139" w:line="252" w:lineRule="auto"/>
        <w:ind w:left="129" w:right="111" w:hanging="1"/>
        <w:jc w:val="both"/>
      </w:pPr>
      <w:r>
        <w:rPr>
          <w:w w:val="105"/>
        </w:rPr>
        <w:t xml:space="preserve">Periods of developmental regression may be observed in normal development, but these are neither as severe or as prolonged as in Rett's Disorder. For the differential between Rett's Disorder and </w:t>
      </w:r>
      <w:r>
        <w:rPr>
          <w:b/>
          <w:w w:val="105"/>
        </w:rPr>
        <w:t xml:space="preserve">Autistic Disorder, </w:t>
      </w:r>
      <w:r>
        <w:rPr>
          <w:w w:val="105"/>
        </w:rPr>
        <w:t xml:space="preserve">see p. 69. Rett's Disorder differs from </w:t>
      </w:r>
      <w:r>
        <w:rPr>
          <w:b/>
          <w:w w:val="105"/>
        </w:rPr>
        <w:t xml:space="preserve">Childhood Disintegrative Disorder </w:t>
      </w:r>
      <w:r>
        <w:rPr>
          <w:w w:val="105"/>
        </w:rPr>
        <w:t xml:space="preserve">and </w:t>
      </w:r>
      <w:r>
        <w:rPr>
          <w:b/>
          <w:w w:val="105"/>
        </w:rPr>
        <w:t xml:space="preserve">Asperger's Disorder </w:t>
      </w:r>
      <w:r>
        <w:rPr>
          <w:w w:val="105"/>
        </w:rPr>
        <w:t>in its characteristic sex ratio, onset, and pattern of deficits. Rett's Disorder has been diagnosed only in females, whereas Childhood Disintegrative Disorder and Asperger's Disorder appear to be more common in males. The onset of symptoms in Rett's Disorder can begin as early as age 5 months, whereas in Childhood Disintegrative Disorder the period of normal development is typically more prolonged (i.e., at least until age 2 years). In Rett's Disorder, there is a characteristic pattern of head growth deceleration, loss of previously acquired purposeful hand skills, and the appearance of poorly coordinated gait or trunk movements. In contrast to Asperger's Disorder, Rett's Disorder is characterized by a severe impairment in expressive and receptive language development.</w:t>
      </w:r>
    </w:p>
    <w:p w:rsidR="00E675F0" w:rsidRDefault="00E675F0" w:rsidP="00E675F0">
      <w:pPr>
        <w:pStyle w:val="BodyText"/>
      </w:pPr>
    </w:p>
    <w:p w:rsidR="00E675F0" w:rsidRDefault="00E675F0" w:rsidP="00E675F0">
      <w:pPr>
        <w:pStyle w:val="BodyText"/>
        <w:spacing w:before="3"/>
        <w:rPr>
          <w:sz w:val="21"/>
        </w:rPr>
      </w:pPr>
    </w:p>
    <w:tbl>
      <w:tblPr>
        <w:tblW w:w="0" w:type="auto"/>
        <w:tblInd w:w="23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7336"/>
      </w:tblGrid>
      <w:tr w:rsidR="00E675F0" w:rsidTr="00A330E1">
        <w:trPr>
          <w:trHeight w:val="2977"/>
        </w:trPr>
        <w:tc>
          <w:tcPr>
            <w:tcW w:w="7336" w:type="dxa"/>
          </w:tcPr>
          <w:p w:rsidR="00E675F0" w:rsidRDefault="00E675F0" w:rsidP="003048D3">
            <w:pPr>
              <w:pStyle w:val="TableParagraph"/>
              <w:numPr>
                <w:ilvl w:val="0"/>
                <w:numId w:val="98"/>
              </w:numPr>
              <w:tabs>
                <w:tab w:val="left" w:pos="634"/>
              </w:tabs>
              <w:spacing w:line="537" w:lineRule="exact"/>
              <w:ind w:hanging="380"/>
              <w:rPr>
                <w:rFonts w:ascii="Arial" w:hAnsi="Arial"/>
                <w:b/>
                <w:sz w:val="24"/>
              </w:rPr>
            </w:pPr>
            <w:r>
              <w:rPr>
                <w:rFonts w:ascii="Arial" w:hAnsi="Arial"/>
                <w:b/>
                <w:w w:val="105"/>
                <w:sz w:val="24"/>
              </w:rPr>
              <w:t>Diagnostic criteria for 299.80 Rett's</w:t>
            </w:r>
            <w:r>
              <w:rPr>
                <w:rFonts w:ascii="Arial" w:hAnsi="Arial"/>
                <w:b/>
                <w:spacing w:val="-8"/>
                <w:w w:val="105"/>
                <w:sz w:val="24"/>
              </w:rPr>
              <w:t xml:space="preserve"> </w:t>
            </w:r>
            <w:r>
              <w:rPr>
                <w:rFonts w:ascii="Arial" w:hAnsi="Arial"/>
                <w:b/>
                <w:w w:val="105"/>
                <w:sz w:val="24"/>
              </w:rPr>
              <w:t>Disorder</w:t>
            </w:r>
          </w:p>
          <w:p w:rsidR="00E675F0" w:rsidRDefault="00E675F0" w:rsidP="003048D3">
            <w:pPr>
              <w:pStyle w:val="TableParagraph"/>
              <w:numPr>
                <w:ilvl w:val="1"/>
                <w:numId w:val="98"/>
              </w:numPr>
              <w:tabs>
                <w:tab w:val="left" w:pos="957"/>
              </w:tabs>
              <w:spacing w:before="92"/>
              <w:rPr>
                <w:sz w:val="20"/>
              </w:rPr>
            </w:pPr>
            <w:r>
              <w:rPr>
                <w:w w:val="105"/>
                <w:sz w:val="20"/>
              </w:rPr>
              <w:t>All of the</w:t>
            </w:r>
            <w:r>
              <w:rPr>
                <w:spacing w:val="33"/>
                <w:w w:val="105"/>
                <w:sz w:val="20"/>
              </w:rPr>
              <w:t xml:space="preserve"> </w:t>
            </w:r>
            <w:r>
              <w:rPr>
                <w:w w:val="105"/>
                <w:sz w:val="20"/>
              </w:rPr>
              <w:t>following:</w:t>
            </w:r>
          </w:p>
          <w:p w:rsidR="00E675F0" w:rsidRDefault="00E675F0" w:rsidP="003048D3">
            <w:pPr>
              <w:pStyle w:val="TableParagraph"/>
              <w:numPr>
                <w:ilvl w:val="2"/>
                <w:numId w:val="98"/>
              </w:numPr>
              <w:tabs>
                <w:tab w:val="left" w:pos="1384"/>
                <w:tab w:val="left" w:pos="1385"/>
              </w:tabs>
              <w:spacing w:before="72"/>
              <w:rPr>
                <w:sz w:val="17"/>
              </w:rPr>
            </w:pPr>
            <w:r>
              <w:rPr>
                <w:w w:val="105"/>
                <w:sz w:val="20"/>
              </w:rPr>
              <w:t>apparently normal prenatal and perinatal</w:t>
            </w:r>
            <w:r>
              <w:rPr>
                <w:spacing w:val="-1"/>
                <w:w w:val="105"/>
                <w:sz w:val="20"/>
              </w:rPr>
              <w:t xml:space="preserve"> </w:t>
            </w:r>
            <w:r>
              <w:rPr>
                <w:w w:val="105"/>
                <w:sz w:val="20"/>
              </w:rPr>
              <w:t>development</w:t>
            </w:r>
          </w:p>
          <w:p w:rsidR="00E675F0" w:rsidRDefault="00E675F0" w:rsidP="003048D3">
            <w:pPr>
              <w:pStyle w:val="TableParagraph"/>
              <w:numPr>
                <w:ilvl w:val="2"/>
                <w:numId w:val="98"/>
              </w:numPr>
              <w:tabs>
                <w:tab w:val="left" w:pos="1390"/>
              </w:tabs>
              <w:spacing w:before="16" w:line="256" w:lineRule="auto"/>
              <w:ind w:left="1391" w:right="220" w:hanging="432"/>
              <w:rPr>
                <w:sz w:val="20"/>
              </w:rPr>
            </w:pPr>
            <w:r>
              <w:rPr>
                <w:w w:val="105"/>
                <w:sz w:val="20"/>
              </w:rPr>
              <w:t>apparently normal  psychomotor  development  through  the  first  5 months after</w:t>
            </w:r>
            <w:r>
              <w:rPr>
                <w:spacing w:val="42"/>
                <w:w w:val="105"/>
                <w:sz w:val="20"/>
              </w:rPr>
              <w:t xml:space="preserve"> </w:t>
            </w:r>
            <w:r>
              <w:rPr>
                <w:w w:val="105"/>
                <w:sz w:val="20"/>
              </w:rPr>
              <w:t>birth</w:t>
            </w:r>
          </w:p>
          <w:p w:rsidR="00E675F0" w:rsidRDefault="00E675F0" w:rsidP="003048D3">
            <w:pPr>
              <w:pStyle w:val="TableParagraph"/>
              <w:numPr>
                <w:ilvl w:val="2"/>
                <w:numId w:val="98"/>
              </w:numPr>
              <w:tabs>
                <w:tab w:val="left" w:pos="1391"/>
              </w:tabs>
              <w:spacing w:line="228" w:lineRule="exact"/>
              <w:ind w:left="1390" w:hanging="431"/>
              <w:rPr>
                <w:sz w:val="20"/>
              </w:rPr>
            </w:pPr>
            <w:r>
              <w:rPr>
                <w:w w:val="105"/>
                <w:sz w:val="20"/>
              </w:rPr>
              <w:t>normal head circumference at</w:t>
            </w:r>
            <w:r>
              <w:rPr>
                <w:spacing w:val="17"/>
                <w:w w:val="105"/>
                <w:sz w:val="20"/>
              </w:rPr>
              <w:t xml:space="preserve"> </w:t>
            </w:r>
            <w:r>
              <w:rPr>
                <w:w w:val="105"/>
                <w:sz w:val="20"/>
              </w:rPr>
              <w:t>birth</w:t>
            </w:r>
          </w:p>
          <w:p w:rsidR="00E675F0" w:rsidRDefault="00E675F0" w:rsidP="003048D3">
            <w:pPr>
              <w:pStyle w:val="TableParagraph"/>
              <w:numPr>
                <w:ilvl w:val="1"/>
                <w:numId w:val="98"/>
              </w:numPr>
              <w:tabs>
                <w:tab w:val="left" w:pos="962"/>
              </w:tabs>
              <w:spacing w:before="197"/>
              <w:ind w:left="961" w:hanging="301"/>
              <w:rPr>
                <w:sz w:val="20"/>
              </w:rPr>
            </w:pPr>
            <w:r>
              <w:rPr>
                <w:w w:val="105"/>
                <w:sz w:val="20"/>
              </w:rPr>
              <w:t>Onset</w:t>
            </w:r>
            <w:r>
              <w:rPr>
                <w:spacing w:val="10"/>
                <w:w w:val="105"/>
                <w:sz w:val="20"/>
              </w:rPr>
              <w:t xml:space="preserve"> </w:t>
            </w:r>
            <w:r>
              <w:rPr>
                <w:w w:val="105"/>
                <w:sz w:val="20"/>
              </w:rPr>
              <w:t>of</w:t>
            </w:r>
            <w:r>
              <w:rPr>
                <w:spacing w:val="18"/>
                <w:w w:val="105"/>
                <w:sz w:val="20"/>
              </w:rPr>
              <w:t xml:space="preserve"> </w:t>
            </w:r>
            <w:r>
              <w:rPr>
                <w:w w:val="105"/>
                <w:sz w:val="20"/>
              </w:rPr>
              <w:t>all</w:t>
            </w:r>
            <w:r>
              <w:rPr>
                <w:spacing w:val="8"/>
                <w:w w:val="105"/>
                <w:sz w:val="20"/>
              </w:rPr>
              <w:t xml:space="preserve"> </w:t>
            </w:r>
            <w:r>
              <w:rPr>
                <w:w w:val="105"/>
                <w:sz w:val="20"/>
              </w:rPr>
              <w:t>of</w:t>
            </w:r>
            <w:r>
              <w:rPr>
                <w:spacing w:val="18"/>
                <w:w w:val="105"/>
                <w:sz w:val="20"/>
              </w:rPr>
              <w:t xml:space="preserve"> </w:t>
            </w:r>
            <w:r>
              <w:rPr>
                <w:w w:val="105"/>
                <w:sz w:val="20"/>
              </w:rPr>
              <w:t>the</w:t>
            </w:r>
            <w:r>
              <w:rPr>
                <w:spacing w:val="5"/>
                <w:w w:val="105"/>
                <w:sz w:val="20"/>
              </w:rPr>
              <w:t xml:space="preserve"> </w:t>
            </w:r>
            <w:r>
              <w:rPr>
                <w:w w:val="105"/>
                <w:sz w:val="20"/>
              </w:rPr>
              <w:t>following</w:t>
            </w:r>
            <w:r>
              <w:rPr>
                <w:spacing w:val="19"/>
                <w:w w:val="105"/>
                <w:sz w:val="20"/>
              </w:rPr>
              <w:t xml:space="preserve"> </w:t>
            </w:r>
            <w:r>
              <w:rPr>
                <w:w w:val="105"/>
                <w:sz w:val="20"/>
              </w:rPr>
              <w:t>after</w:t>
            </w:r>
            <w:r>
              <w:rPr>
                <w:spacing w:val="10"/>
                <w:w w:val="105"/>
                <w:sz w:val="20"/>
              </w:rPr>
              <w:t xml:space="preserve"> </w:t>
            </w:r>
            <w:r>
              <w:rPr>
                <w:w w:val="105"/>
                <w:sz w:val="20"/>
              </w:rPr>
              <w:t>the</w:t>
            </w:r>
            <w:r>
              <w:rPr>
                <w:spacing w:val="19"/>
                <w:w w:val="105"/>
                <w:sz w:val="20"/>
              </w:rPr>
              <w:t xml:space="preserve"> </w:t>
            </w:r>
            <w:r>
              <w:rPr>
                <w:w w:val="105"/>
                <w:sz w:val="20"/>
              </w:rPr>
              <w:t>period</w:t>
            </w:r>
            <w:r>
              <w:rPr>
                <w:spacing w:val="17"/>
                <w:w w:val="105"/>
                <w:sz w:val="20"/>
              </w:rPr>
              <w:t xml:space="preserve"> </w:t>
            </w:r>
            <w:r>
              <w:rPr>
                <w:w w:val="105"/>
                <w:sz w:val="20"/>
              </w:rPr>
              <w:t>of</w:t>
            </w:r>
            <w:r>
              <w:rPr>
                <w:spacing w:val="19"/>
                <w:w w:val="105"/>
                <w:sz w:val="20"/>
              </w:rPr>
              <w:t xml:space="preserve"> </w:t>
            </w:r>
            <w:r>
              <w:rPr>
                <w:w w:val="105"/>
                <w:sz w:val="20"/>
              </w:rPr>
              <w:t>normal</w:t>
            </w:r>
            <w:r>
              <w:rPr>
                <w:spacing w:val="16"/>
                <w:w w:val="105"/>
                <w:sz w:val="20"/>
              </w:rPr>
              <w:t xml:space="preserve"> </w:t>
            </w:r>
            <w:r>
              <w:rPr>
                <w:w w:val="105"/>
                <w:sz w:val="20"/>
              </w:rPr>
              <w:t>development:</w:t>
            </w:r>
          </w:p>
          <w:p w:rsidR="00E675F0" w:rsidRDefault="00E675F0" w:rsidP="003048D3">
            <w:pPr>
              <w:pStyle w:val="TableParagraph"/>
              <w:numPr>
                <w:ilvl w:val="2"/>
                <w:numId w:val="98"/>
              </w:numPr>
              <w:tabs>
                <w:tab w:val="left" w:pos="1384"/>
                <w:tab w:val="left" w:pos="1385"/>
              </w:tabs>
              <w:spacing w:before="78"/>
              <w:rPr>
                <w:sz w:val="17"/>
              </w:rPr>
            </w:pPr>
            <w:r>
              <w:rPr>
                <w:w w:val="105"/>
                <w:sz w:val="20"/>
              </w:rPr>
              <w:t>deceleration of head growth between ages 5 and 48</w:t>
            </w:r>
            <w:r>
              <w:rPr>
                <w:spacing w:val="6"/>
                <w:w w:val="105"/>
                <w:sz w:val="20"/>
              </w:rPr>
              <w:t xml:space="preserve"> </w:t>
            </w:r>
            <w:r>
              <w:rPr>
                <w:w w:val="105"/>
                <w:sz w:val="20"/>
              </w:rPr>
              <w:t>months</w:t>
            </w:r>
          </w:p>
          <w:p w:rsidR="00E675F0" w:rsidRDefault="00E675F0" w:rsidP="00A330E1">
            <w:pPr>
              <w:pStyle w:val="TableParagraph"/>
              <w:spacing w:before="38"/>
              <w:ind w:right="208"/>
              <w:jc w:val="right"/>
              <w:rPr>
                <w:rFonts w:ascii="Arial"/>
                <w:i/>
                <w:sz w:val="18"/>
              </w:rPr>
            </w:pPr>
            <w:r>
              <w:rPr>
                <w:rFonts w:ascii="Arial"/>
                <w:i/>
                <w:w w:val="115"/>
                <w:sz w:val="18"/>
              </w:rPr>
              <w:t>(continued)</w:t>
            </w:r>
          </w:p>
        </w:tc>
      </w:tr>
    </w:tbl>
    <w:p w:rsidR="00E675F0" w:rsidRDefault="00E675F0" w:rsidP="00E675F0">
      <w:pPr>
        <w:jc w:val="right"/>
        <w:rPr>
          <w:rFonts w:ascii="Arial"/>
          <w:sz w:val="18"/>
        </w:rPr>
        <w:sectPr w:rsidR="00E675F0">
          <w:headerReference w:type="even" r:id="rId92"/>
          <w:headerReference w:type="default" r:id="rId93"/>
          <w:pgSz w:w="8960" w:h="14260"/>
          <w:pgMar w:top="1400" w:right="600" w:bottom="280" w:left="620" w:header="698" w:footer="0" w:gutter="0"/>
          <w:cols w:space="720"/>
        </w:sectPr>
      </w:pPr>
    </w:p>
    <w:p w:rsidR="00E675F0" w:rsidRDefault="00E675F0" w:rsidP="00E675F0">
      <w:pPr>
        <w:pStyle w:val="BodyText"/>
        <w:spacing w:before="2"/>
        <w:rPr>
          <w:sz w:val="11"/>
        </w:rPr>
      </w:pPr>
    </w:p>
    <w:tbl>
      <w:tblPr>
        <w:tblW w:w="0" w:type="auto"/>
        <w:tblInd w:w="224"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7334"/>
      </w:tblGrid>
      <w:tr w:rsidR="00E675F0" w:rsidTr="00A330E1">
        <w:trPr>
          <w:trHeight w:val="2953"/>
        </w:trPr>
        <w:tc>
          <w:tcPr>
            <w:tcW w:w="7334" w:type="dxa"/>
          </w:tcPr>
          <w:p w:rsidR="00E675F0" w:rsidRDefault="00E675F0" w:rsidP="003048D3">
            <w:pPr>
              <w:pStyle w:val="TableParagraph"/>
              <w:numPr>
                <w:ilvl w:val="0"/>
                <w:numId w:val="97"/>
              </w:numPr>
              <w:tabs>
                <w:tab w:val="left" w:pos="590"/>
              </w:tabs>
              <w:spacing w:before="69"/>
              <w:ind w:hanging="329"/>
              <w:rPr>
                <w:rFonts w:ascii="Arial" w:hAnsi="Arial"/>
                <w:i/>
                <w:sz w:val="21"/>
              </w:rPr>
            </w:pPr>
            <w:bookmarkStart w:id="47" w:name="_bookmark32"/>
            <w:bookmarkEnd w:id="47"/>
            <w:r>
              <w:rPr>
                <w:rFonts w:ascii="Arial" w:hAnsi="Arial"/>
                <w:b/>
              </w:rPr>
              <w:t>Diagnostic criteria for 299.80 Rett's Disorder</w:t>
            </w:r>
            <w:r>
              <w:rPr>
                <w:rFonts w:ascii="Arial" w:hAnsi="Arial"/>
                <w:b/>
                <w:spacing w:val="5"/>
              </w:rPr>
              <w:t xml:space="preserve"> </w:t>
            </w:r>
            <w:r>
              <w:rPr>
                <w:rFonts w:ascii="Arial" w:hAnsi="Arial"/>
                <w:i/>
                <w:sz w:val="21"/>
              </w:rPr>
              <w:t>(continued)</w:t>
            </w:r>
          </w:p>
          <w:p w:rsidR="00E675F0" w:rsidRDefault="00E675F0" w:rsidP="003048D3">
            <w:pPr>
              <w:pStyle w:val="TableParagraph"/>
              <w:numPr>
                <w:ilvl w:val="1"/>
                <w:numId w:val="97"/>
              </w:numPr>
              <w:tabs>
                <w:tab w:val="left" w:pos="1384"/>
              </w:tabs>
              <w:spacing w:before="194" w:line="252" w:lineRule="auto"/>
              <w:ind w:right="214" w:hanging="425"/>
              <w:jc w:val="both"/>
              <w:rPr>
                <w:sz w:val="20"/>
              </w:rPr>
            </w:pPr>
            <w:r>
              <w:rPr>
                <w:w w:val="105"/>
                <w:sz w:val="20"/>
              </w:rPr>
              <w:t>loss of previously acquired purposeful hand skills between ages 5 and 30 months with the subsequent development of stereotyped hand movements (e.g., hand-wringing or hand</w:t>
            </w:r>
            <w:r>
              <w:rPr>
                <w:spacing w:val="19"/>
                <w:w w:val="105"/>
                <w:sz w:val="20"/>
              </w:rPr>
              <w:t xml:space="preserve"> </w:t>
            </w:r>
            <w:r>
              <w:rPr>
                <w:w w:val="105"/>
                <w:sz w:val="20"/>
              </w:rPr>
              <w:t>washing)</w:t>
            </w:r>
          </w:p>
          <w:p w:rsidR="00E675F0" w:rsidRDefault="00E675F0" w:rsidP="003048D3">
            <w:pPr>
              <w:pStyle w:val="TableParagraph"/>
              <w:numPr>
                <w:ilvl w:val="1"/>
                <w:numId w:val="97"/>
              </w:numPr>
              <w:tabs>
                <w:tab w:val="left" w:pos="1384"/>
              </w:tabs>
              <w:spacing w:before="1" w:line="256" w:lineRule="auto"/>
              <w:ind w:left="1383" w:right="232"/>
              <w:jc w:val="both"/>
              <w:rPr>
                <w:sz w:val="20"/>
              </w:rPr>
            </w:pPr>
            <w:r>
              <w:rPr>
                <w:w w:val="105"/>
                <w:sz w:val="20"/>
              </w:rPr>
              <w:t>loss of social engagement early in the course (although often social interaction develops</w:t>
            </w:r>
            <w:r>
              <w:rPr>
                <w:spacing w:val="30"/>
                <w:w w:val="105"/>
                <w:sz w:val="20"/>
              </w:rPr>
              <w:t xml:space="preserve"> </w:t>
            </w:r>
            <w:r>
              <w:rPr>
                <w:w w:val="105"/>
                <w:sz w:val="20"/>
              </w:rPr>
              <w:t>later)</w:t>
            </w:r>
          </w:p>
          <w:p w:rsidR="00E675F0" w:rsidRDefault="00E675F0" w:rsidP="003048D3">
            <w:pPr>
              <w:pStyle w:val="TableParagraph"/>
              <w:numPr>
                <w:ilvl w:val="1"/>
                <w:numId w:val="97"/>
              </w:numPr>
              <w:tabs>
                <w:tab w:val="left" w:pos="1378"/>
              </w:tabs>
              <w:spacing w:line="228" w:lineRule="exact"/>
              <w:ind w:left="1377" w:hanging="419"/>
              <w:jc w:val="both"/>
              <w:rPr>
                <w:sz w:val="17"/>
              </w:rPr>
            </w:pPr>
            <w:r>
              <w:rPr>
                <w:w w:val="105"/>
                <w:sz w:val="20"/>
              </w:rPr>
              <w:t>appearance of poorly coordinated gait or trunk</w:t>
            </w:r>
            <w:r>
              <w:rPr>
                <w:spacing w:val="28"/>
                <w:w w:val="105"/>
                <w:sz w:val="20"/>
              </w:rPr>
              <w:t xml:space="preserve"> </w:t>
            </w:r>
            <w:r>
              <w:rPr>
                <w:w w:val="105"/>
                <w:sz w:val="20"/>
              </w:rPr>
              <w:t>movements</w:t>
            </w:r>
          </w:p>
          <w:p w:rsidR="00E675F0" w:rsidRDefault="00E675F0" w:rsidP="003048D3">
            <w:pPr>
              <w:pStyle w:val="TableParagraph"/>
              <w:numPr>
                <w:ilvl w:val="1"/>
                <w:numId w:val="97"/>
              </w:numPr>
              <w:tabs>
                <w:tab w:val="left" w:pos="1380"/>
              </w:tabs>
              <w:spacing w:before="16" w:line="256" w:lineRule="auto"/>
              <w:ind w:left="1383" w:right="242" w:hanging="425"/>
              <w:jc w:val="both"/>
              <w:rPr>
                <w:sz w:val="17"/>
              </w:rPr>
            </w:pPr>
            <w:r>
              <w:rPr>
                <w:w w:val="105"/>
                <w:sz w:val="20"/>
              </w:rPr>
              <w:t>severely impaired expressive and receptive language development with severe psychomotor</w:t>
            </w:r>
            <w:r>
              <w:rPr>
                <w:spacing w:val="9"/>
                <w:w w:val="105"/>
                <w:sz w:val="20"/>
              </w:rPr>
              <w:t xml:space="preserve"> </w:t>
            </w:r>
            <w:r>
              <w:rPr>
                <w:w w:val="105"/>
                <w:sz w:val="20"/>
              </w:rPr>
              <w:t>retardation</w:t>
            </w:r>
          </w:p>
        </w:tc>
      </w:tr>
    </w:tbl>
    <w:p w:rsidR="00E675F0" w:rsidRDefault="00E675F0" w:rsidP="00E675F0">
      <w:pPr>
        <w:pStyle w:val="BodyText"/>
      </w:pPr>
    </w:p>
    <w:p w:rsidR="00E675F0" w:rsidRDefault="00E675F0" w:rsidP="00E675F0">
      <w:pPr>
        <w:pStyle w:val="BodyText"/>
        <w:spacing w:before="6"/>
        <w:rPr>
          <w:sz w:val="25"/>
        </w:rPr>
      </w:pPr>
    </w:p>
    <w:p w:rsidR="00E675F0" w:rsidRDefault="00E675F0" w:rsidP="00E675F0">
      <w:pPr>
        <w:tabs>
          <w:tab w:val="left" w:pos="2251"/>
        </w:tabs>
        <w:spacing w:before="93"/>
        <w:ind w:left="1178"/>
        <w:rPr>
          <w:rFonts w:ascii="Arial"/>
          <w:b/>
          <w:sz w:val="25"/>
        </w:rPr>
      </w:pPr>
      <w:r>
        <w:rPr>
          <w:noProof/>
        </w:rPr>
        <mc:AlternateContent>
          <mc:Choice Requires="wpg">
            <w:drawing>
              <wp:anchor distT="0" distB="0" distL="114300" distR="114300" simplePos="0" relativeHeight="251767808" behindDoc="1" locked="0" layoutInCell="1" allowOverlap="1" wp14:anchorId="75FD0F6E" wp14:editId="0845F563">
                <wp:simplePos x="0" y="0"/>
                <wp:positionH relativeFrom="page">
                  <wp:posOffset>461645</wp:posOffset>
                </wp:positionH>
                <wp:positionV relativeFrom="paragraph">
                  <wp:posOffset>-2316480</wp:posOffset>
                </wp:positionV>
                <wp:extent cx="4767580" cy="2026920"/>
                <wp:effectExtent l="0" t="0" r="7620" b="0"/>
                <wp:wrapNone/>
                <wp:docPr id="1577" name="Group 1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7580" cy="2026920"/>
                          <a:chOff x="727" y="-3648"/>
                          <a:chExt cx="7508" cy="3192"/>
                        </a:xfrm>
                      </wpg:grpSpPr>
                      <wps:wsp>
                        <wps:cNvPr id="1578" name="Line 1536"/>
                        <wps:cNvCnPr>
                          <a:cxnSpLocks/>
                        </wps:cNvCnPr>
                        <wps:spPr bwMode="auto">
                          <a:xfrm>
                            <a:off x="809" y="-456"/>
                            <a:ext cx="0" cy="0"/>
                          </a:xfrm>
                          <a:prstGeom prst="line">
                            <a:avLst/>
                          </a:prstGeom>
                          <a:noFill/>
                          <a:ln w="305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9" name="Line 1535"/>
                        <wps:cNvCnPr>
                          <a:cxnSpLocks/>
                        </wps:cNvCnPr>
                        <wps:spPr bwMode="auto">
                          <a:xfrm>
                            <a:off x="8143" y="-456"/>
                            <a:ext cx="0" cy="0"/>
                          </a:xfrm>
                          <a:prstGeom prst="line">
                            <a:avLst/>
                          </a:prstGeom>
                          <a:noFill/>
                          <a:ln w="336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0" name="Line 1534"/>
                        <wps:cNvCnPr>
                          <a:cxnSpLocks/>
                        </wps:cNvCnPr>
                        <wps:spPr bwMode="auto">
                          <a:xfrm>
                            <a:off x="727" y="-3561"/>
                            <a:ext cx="7508" cy="0"/>
                          </a:xfrm>
                          <a:prstGeom prst="line">
                            <a:avLst/>
                          </a:prstGeom>
                          <a:noFill/>
                          <a:ln w="3052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ED223B" id="Group 1533" o:spid="_x0000_s1026" style="position:absolute;margin-left:36.35pt;margin-top:-182.4pt;width:375.4pt;height:159.6pt;z-index:-251548672;mso-position-horizontal-relative:page" coordorigin="727,-3648" coordsize="7508,319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">
                <v:line id="Line 1536" o:spid="_x0000_s1027" style="position:absolute;visibility:visible;mso-wrap-style:square" from="809,-456" to="809,-4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" strokeweight=".84889mm">
                  <o:lock v:ext="edit" shapetype="f"/>
                </v:line>
                <v:line id="Line 1535" o:spid="_x0000_s1028" style="position:absolute;visibility:visible;mso-wrap-style:square" from="8143,-456" to="8143,-4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" strokeweight=".93378mm">
                  <o:lock v:ext="edit" shapetype="f"/>
                </v:line>
                <v:line id="Line 1534" o:spid="_x0000_s1029" style="position:absolute;visibility:visible;mso-wrap-style:square" from="727,-3561" to="8235,-35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" strokeweight=".84786mm">
                  <o:lock v:ext="edit" shapetype="f"/>
                </v:line>
                <w10:wrap anchorx="page"/>
              </v:group>
            </w:pict>
          </mc:Fallback>
        </mc:AlternateContent>
      </w:r>
      <w:r>
        <w:rPr>
          <w:rFonts w:ascii="Arial"/>
          <w:b/>
          <w:w w:val="105"/>
          <w:sz w:val="25"/>
        </w:rPr>
        <w:t>299.10</w:t>
      </w:r>
      <w:r>
        <w:rPr>
          <w:rFonts w:ascii="Arial"/>
          <w:b/>
          <w:w w:val="105"/>
          <w:sz w:val="25"/>
        </w:rPr>
        <w:tab/>
        <w:t>Childhood Disintegrative</w:t>
      </w:r>
      <w:r>
        <w:rPr>
          <w:rFonts w:ascii="Arial"/>
          <w:b/>
          <w:spacing w:val="-1"/>
          <w:w w:val="105"/>
          <w:sz w:val="25"/>
        </w:rPr>
        <w:t xml:space="preserve"> </w:t>
      </w:r>
      <w:r>
        <w:rPr>
          <w:rFonts w:ascii="Arial"/>
          <w:b/>
          <w:w w:val="105"/>
          <w:sz w:val="25"/>
        </w:rPr>
        <w:t>Disorder</w:t>
      </w:r>
    </w:p>
    <w:p w:rsidR="00E675F0" w:rsidRDefault="00E675F0" w:rsidP="00E675F0">
      <w:pPr>
        <w:pStyle w:val="BodyText"/>
        <w:spacing w:before="10"/>
        <w:rPr>
          <w:rFonts w:ascii="Arial"/>
          <w:b/>
          <w:sz w:val="31"/>
        </w:rPr>
      </w:pPr>
    </w:p>
    <w:p w:rsidR="00E675F0" w:rsidRDefault="00E675F0" w:rsidP="00E675F0">
      <w:pPr>
        <w:ind w:left="115"/>
        <w:jc w:val="both"/>
        <w:rPr>
          <w:rFonts w:ascii="TimesNewRomanPS-BoldItalicMT"/>
          <w:b/>
          <w:i/>
          <w:sz w:val="24"/>
        </w:rPr>
      </w:pPr>
      <w:r>
        <w:rPr>
          <w:rFonts w:ascii="TimesNewRomanPS-BoldItalicMT"/>
          <w:b/>
          <w:i/>
          <w:w w:val="115"/>
          <w:sz w:val="24"/>
        </w:rPr>
        <w:t>Diagnostic Features</w:t>
      </w:r>
    </w:p>
    <w:p w:rsidR="00E675F0" w:rsidRDefault="00E675F0" w:rsidP="00E675F0">
      <w:pPr>
        <w:pStyle w:val="BodyText"/>
        <w:spacing w:before="151" w:line="252" w:lineRule="auto"/>
        <w:ind w:left="118" w:right="112" w:hanging="4"/>
        <w:jc w:val="both"/>
        <w:rPr>
          <w:i/>
        </w:rPr>
      </w:pPr>
      <w:r>
        <w:rPr>
          <w:w w:val="105"/>
        </w:rPr>
        <w:t xml:space="preserve">The essential feature of Childhood Disintegrative Disorder is a marked regression in multiple areas of functioning following a period of at least 2 years of apparently normal development (Criterion A). Apparently normal development is reflected in age­ appropriate verbal and nonverbal communication, social relationships, play, and adaptive behavior. After the first  2 years of life (but before age </w:t>
      </w:r>
      <w:r>
        <w:rPr>
          <w:rFonts w:ascii="Arial" w:hAnsi="Arial"/>
          <w:w w:val="105"/>
          <w:sz w:val="17"/>
        </w:rPr>
        <w:t xml:space="preserve">10 </w:t>
      </w:r>
      <w:r>
        <w:rPr>
          <w:w w:val="105"/>
        </w:rPr>
        <w:t xml:space="preserve">years), the child  has a clinically significant loss of previously acquired skills in at least two of the following areas: expressive or receptive language, social skills or adaptive behavior, bowel or bladder control, play, or motor skills (Criterion </w:t>
      </w:r>
      <w:r>
        <w:rPr>
          <w:rFonts w:ascii="Arial" w:hAnsi="Arial"/>
          <w:w w:val="105"/>
          <w:sz w:val="17"/>
        </w:rPr>
        <w:t xml:space="preserve">B). </w:t>
      </w:r>
      <w:r>
        <w:rPr>
          <w:w w:val="105"/>
        </w:rPr>
        <w:t xml:space="preserve">Individuals with this disorder exhibit the social and communicative deficits and behavioral features generally observed in Autistic Disorder (see p. 66). There is qualitative impairment in social interaction (Criterion Cl) and in communication (Criterion C2), and restricted, repetitive, and stereotyped patterns of behavior, interests, and activities (Criterion C3). The disturbance is not better accounted for by another specific Pervasive Developmental Disorder or by Schizophrenia (Criterion D). This condition has also been termed </w:t>
      </w:r>
      <w:r>
        <w:rPr>
          <w:i/>
          <w:w w:val="105"/>
        </w:rPr>
        <w:t xml:space="preserve">Heller's syndrome, dementia infantilis, </w:t>
      </w:r>
      <w:r>
        <w:rPr>
          <w:w w:val="105"/>
        </w:rPr>
        <w:t xml:space="preserve">or </w:t>
      </w:r>
      <w:r>
        <w:rPr>
          <w:i/>
          <w:w w:val="105"/>
        </w:rPr>
        <w:t>disintegrative</w:t>
      </w:r>
      <w:r>
        <w:rPr>
          <w:i/>
          <w:spacing w:val="-34"/>
          <w:w w:val="105"/>
        </w:rPr>
        <w:t xml:space="preserve"> </w:t>
      </w:r>
      <w:r>
        <w:rPr>
          <w:i/>
          <w:w w:val="105"/>
        </w:rPr>
        <w:t>psychosis.</w:t>
      </w:r>
    </w:p>
    <w:p w:rsidR="00E675F0" w:rsidRDefault="00E675F0" w:rsidP="00E675F0">
      <w:pPr>
        <w:pStyle w:val="BodyText"/>
        <w:rPr>
          <w:i/>
          <w:sz w:val="22"/>
        </w:rPr>
      </w:pPr>
    </w:p>
    <w:p w:rsidR="00E675F0" w:rsidRDefault="00E675F0" w:rsidP="00E675F0">
      <w:pPr>
        <w:spacing w:before="183"/>
        <w:ind w:left="106"/>
        <w:jc w:val="both"/>
        <w:rPr>
          <w:rFonts w:ascii="TimesNewRomanPS-BoldItalicMT"/>
          <w:b/>
          <w:i/>
          <w:sz w:val="24"/>
        </w:rPr>
      </w:pPr>
      <w:r>
        <w:rPr>
          <w:rFonts w:ascii="TimesNewRomanPS-BoldItalicMT"/>
          <w:b/>
          <w:i/>
          <w:w w:val="115"/>
          <w:sz w:val="24"/>
        </w:rPr>
        <w:t>Associated  Features and</w:t>
      </w:r>
      <w:r>
        <w:rPr>
          <w:rFonts w:ascii="TimesNewRomanPS-BoldItalicMT"/>
          <w:b/>
          <w:i/>
          <w:spacing w:val="16"/>
          <w:w w:val="115"/>
          <w:sz w:val="24"/>
        </w:rPr>
        <w:t xml:space="preserve"> </w:t>
      </w:r>
      <w:r>
        <w:rPr>
          <w:rFonts w:ascii="TimesNewRomanPS-BoldItalicMT"/>
          <w:b/>
          <w:i/>
          <w:w w:val="115"/>
          <w:sz w:val="24"/>
        </w:rPr>
        <w:t>Disorders</w:t>
      </w:r>
    </w:p>
    <w:p w:rsidR="00E675F0" w:rsidRDefault="00E675F0" w:rsidP="00E675F0">
      <w:pPr>
        <w:pStyle w:val="BodyText"/>
        <w:spacing w:before="150" w:line="254" w:lineRule="auto"/>
        <w:ind w:left="126" w:right="107" w:firstLine="2"/>
        <w:jc w:val="both"/>
      </w:pPr>
      <w:r>
        <w:rPr>
          <w:w w:val="105"/>
        </w:rPr>
        <w:t xml:space="preserve">Childhood Disintegrative Disorder is usually associated with Severe Mental Retardation, </w:t>
      </w:r>
      <w:r>
        <w:rPr>
          <w:w w:val="110"/>
        </w:rPr>
        <w:t>which, if present, should he coded on Axis II. Various nonspecific neurological symptoms or signs may be noted. There seems to be an increased frequency of EEG abnormalities</w:t>
      </w:r>
      <w:r>
        <w:rPr>
          <w:spacing w:val="-4"/>
          <w:w w:val="110"/>
        </w:rPr>
        <w:t xml:space="preserve"> </w:t>
      </w:r>
      <w:r>
        <w:rPr>
          <w:w w:val="110"/>
        </w:rPr>
        <w:t>and</w:t>
      </w:r>
      <w:r>
        <w:rPr>
          <w:spacing w:val="-13"/>
          <w:w w:val="110"/>
        </w:rPr>
        <w:t xml:space="preserve"> </w:t>
      </w:r>
      <w:r>
        <w:rPr>
          <w:w w:val="110"/>
        </w:rPr>
        <w:t>seizure</w:t>
      </w:r>
      <w:r>
        <w:rPr>
          <w:spacing w:val="-10"/>
          <w:w w:val="110"/>
        </w:rPr>
        <w:t xml:space="preserve"> </w:t>
      </w:r>
      <w:r>
        <w:rPr>
          <w:w w:val="110"/>
        </w:rPr>
        <w:t>disorder.</w:t>
      </w:r>
      <w:r>
        <w:rPr>
          <w:spacing w:val="-7"/>
          <w:w w:val="110"/>
        </w:rPr>
        <w:t xml:space="preserve"> </w:t>
      </w:r>
      <w:r>
        <w:rPr>
          <w:w w:val="110"/>
        </w:rPr>
        <w:t>Although</w:t>
      </w:r>
      <w:r>
        <w:rPr>
          <w:spacing w:val="1"/>
          <w:w w:val="110"/>
        </w:rPr>
        <w:t xml:space="preserve"> </w:t>
      </w:r>
      <w:r>
        <w:rPr>
          <w:w w:val="110"/>
        </w:rPr>
        <w:t>it</w:t>
      </w:r>
      <w:r>
        <w:rPr>
          <w:spacing w:val="-14"/>
          <w:w w:val="110"/>
        </w:rPr>
        <w:t xml:space="preserve"> </w:t>
      </w:r>
      <w:r>
        <w:rPr>
          <w:w w:val="110"/>
        </w:rPr>
        <w:t>appears</w:t>
      </w:r>
      <w:r>
        <w:rPr>
          <w:spacing w:val="-6"/>
          <w:w w:val="110"/>
        </w:rPr>
        <w:t xml:space="preserve"> </w:t>
      </w:r>
      <w:r>
        <w:rPr>
          <w:w w:val="110"/>
        </w:rPr>
        <w:t>likely</w:t>
      </w:r>
      <w:r>
        <w:rPr>
          <w:spacing w:val="-7"/>
          <w:w w:val="110"/>
        </w:rPr>
        <w:t xml:space="preserve"> </w:t>
      </w:r>
      <w:r>
        <w:rPr>
          <w:w w:val="110"/>
        </w:rPr>
        <w:t>that</w:t>
      </w:r>
      <w:r>
        <w:rPr>
          <w:spacing w:val="-7"/>
          <w:w w:val="110"/>
        </w:rPr>
        <w:t xml:space="preserve"> </w:t>
      </w:r>
      <w:r>
        <w:rPr>
          <w:w w:val="110"/>
        </w:rPr>
        <w:t>the</w:t>
      </w:r>
      <w:r>
        <w:rPr>
          <w:spacing w:val="-15"/>
          <w:w w:val="110"/>
        </w:rPr>
        <w:t xml:space="preserve"> </w:t>
      </w:r>
      <w:r>
        <w:rPr>
          <w:w w:val="110"/>
        </w:rPr>
        <w:t>condition</w:t>
      </w:r>
      <w:r>
        <w:rPr>
          <w:spacing w:val="-2"/>
          <w:w w:val="110"/>
        </w:rPr>
        <w:t xml:space="preserve"> </w:t>
      </w:r>
      <w:r>
        <w:rPr>
          <w:w w:val="110"/>
        </w:rPr>
        <w:t>is</w:t>
      </w:r>
      <w:r>
        <w:rPr>
          <w:spacing w:val="-16"/>
          <w:w w:val="110"/>
        </w:rPr>
        <w:t xml:space="preserve"> </w:t>
      </w:r>
      <w:r>
        <w:rPr>
          <w:w w:val="110"/>
        </w:rPr>
        <w:t>the result</w:t>
      </w:r>
      <w:r>
        <w:rPr>
          <w:spacing w:val="-10"/>
          <w:w w:val="110"/>
        </w:rPr>
        <w:t xml:space="preserve"> </w:t>
      </w:r>
      <w:r>
        <w:rPr>
          <w:w w:val="110"/>
        </w:rPr>
        <w:t>of</w:t>
      </w:r>
      <w:r>
        <w:rPr>
          <w:spacing w:val="-8"/>
          <w:w w:val="110"/>
        </w:rPr>
        <w:t xml:space="preserve"> </w:t>
      </w:r>
      <w:r>
        <w:rPr>
          <w:w w:val="110"/>
        </w:rPr>
        <w:t>some</w:t>
      </w:r>
      <w:r>
        <w:rPr>
          <w:spacing w:val="-8"/>
          <w:w w:val="110"/>
        </w:rPr>
        <w:t xml:space="preserve"> </w:t>
      </w:r>
      <w:r>
        <w:rPr>
          <w:w w:val="110"/>
        </w:rPr>
        <w:t>insult</w:t>
      </w:r>
      <w:r>
        <w:rPr>
          <w:spacing w:val="-3"/>
          <w:w w:val="110"/>
        </w:rPr>
        <w:t xml:space="preserve"> </w:t>
      </w:r>
      <w:r>
        <w:rPr>
          <w:w w:val="110"/>
        </w:rPr>
        <w:t>to</w:t>
      </w:r>
      <w:r>
        <w:rPr>
          <w:spacing w:val="-12"/>
          <w:w w:val="110"/>
        </w:rPr>
        <w:t xml:space="preserve"> </w:t>
      </w:r>
      <w:r>
        <w:rPr>
          <w:w w:val="110"/>
        </w:rPr>
        <w:t>the</w:t>
      </w:r>
      <w:r>
        <w:rPr>
          <w:spacing w:val="-14"/>
          <w:w w:val="110"/>
        </w:rPr>
        <w:t xml:space="preserve"> </w:t>
      </w:r>
      <w:r>
        <w:rPr>
          <w:w w:val="110"/>
        </w:rPr>
        <w:t>developing</w:t>
      </w:r>
      <w:r>
        <w:rPr>
          <w:spacing w:val="-2"/>
          <w:w w:val="110"/>
        </w:rPr>
        <w:t xml:space="preserve"> </w:t>
      </w:r>
      <w:r>
        <w:rPr>
          <w:w w:val="110"/>
        </w:rPr>
        <w:t>central nervous</w:t>
      </w:r>
      <w:r>
        <w:rPr>
          <w:spacing w:val="-7"/>
          <w:w w:val="110"/>
        </w:rPr>
        <w:t xml:space="preserve"> </w:t>
      </w:r>
      <w:r>
        <w:rPr>
          <w:w w:val="110"/>
        </w:rPr>
        <w:t>system,</w:t>
      </w:r>
      <w:r>
        <w:rPr>
          <w:spacing w:val="-1"/>
          <w:w w:val="110"/>
        </w:rPr>
        <w:t xml:space="preserve"> </w:t>
      </w:r>
      <w:r>
        <w:rPr>
          <w:w w:val="110"/>
        </w:rPr>
        <w:t>no</w:t>
      </w:r>
      <w:r>
        <w:rPr>
          <w:spacing w:val="3"/>
          <w:w w:val="110"/>
        </w:rPr>
        <w:t xml:space="preserve"> </w:t>
      </w:r>
      <w:r>
        <w:rPr>
          <w:w w:val="110"/>
        </w:rPr>
        <w:t>precise</w:t>
      </w:r>
      <w:r>
        <w:rPr>
          <w:spacing w:val="-6"/>
          <w:w w:val="110"/>
        </w:rPr>
        <w:t xml:space="preserve"> </w:t>
      </w:r>
      <w:r>
        <w:rPr>
          <w:w w:val="110"/>
        </w:rPr>
        <w:t>mechanism has</w:t>
      </w:r>
      <w:r>
        <w:rPr>
          <w:spacing w:val="-31"/>
          <w:w w:val="110"/>
        </w:rPr>
        <w:t xml:space="preserve"> </w:t>
      </w:r>
      <w:r>
        <w:rPr>
          <w:w w:val="110"/>
        </w:rPr>
        <w:t>been</w:t>
      </w:r>
      <w:r>
        <w:rPr>
          <w:spacing w:val="-25"/>
          <w:w w:val="110"/>
        </w:rPr>
        <w:t xml:space="preserve"> </w:t>
      </w:r>
      <w:r>
        <w:rPr>
          <w:w w:val="110"/>
        </w:rPr>
        <w:t>identified.</w:t>
      </w:r>
      <w:r>
        <w:rPr>
          <w:spacing w:val="-25"/>
          <w:w w:val="110"/>
        </w:rPr>
        <w:t xml:space="preserve"> </w:t>
      </w:r>
      <w:r>
        <w:rPr>
          <w:w w:val="110"/>
        </w:rPr>
        <w:t>The</w:t>
      </w:r>
      <w:r>
        <w:rPr>
          <w:spacing w:val="-31"/>
          <w:w w:val="110"/>
        </w:rPr>
        <w:t xml:space="preserve"> </w:t>
      </w:r>
      <w:r>
        <w:rPr>
          <w:w w:val="110"/>
        </w:rPr>
        <w:t>condition</w:t>
      </w:r>
      <w:r>
        <w:rPr>
          <w:spacing w:val="-19"/>
          <w:w w:val="110"/>
        </w:rPr>
        <w:t xml:space="preserve"> </w:t>
      </w:r>
      <w:r>
        <w:rPr>
          <w:w w:val="110"/>
        </w:rPr>
        <w:t>is</w:t>
      </w:r>
      <w:r>
        <w:rPr>
          <w:spacing w:val="-32"/>
          <w:w w:val="110"/>
        </w:rPr>
        <w:t xml:space="preserve"> </w:t>
      </w:r>
      <w:r>
        <w:rPr>
          <w:w w:val="110"/>
        </w:rPr>
        <w:t>occasionally</w:t>
      </w:r>
      <w:r>
        <w:rPr>
          <w:spacing w:val="-22"/>
          <w:w w:val="110"/>
        </w:rPr>
        <w:t xml:space="preserve"> </w:t>
      </w:r>
      <w:r>
        <w:rPr>
          <w:w w:val="110"/>
        </w:rPr>
        <w:t>observed</w:t>
      </w:r>
      <w:r>
        <w:rPr>
          <w:spacing w:val="-21"/>
          <w:w w:val="110"/>
        </w:rPr>
        <w:t xml:space="preserve"> </w:t>
      </w:r>
      <w:r>
        <w:rPr>
          <w:w w:val="110"/>
        </w:rPr>
        <w:t>in</w:t>
      </w:r>
      <w:r>
        <w:rPr>
          <w:spacing w:val="-29"/>
          <w:w w:val="110"/>
        </w:rPr>
        <w:t xml:space="preserve"> </w:t>
      </w:r>
      <w:r>
        <w:rPr>
          <w:w w:val="110"/>
        </w:rPr>
        <w:t>association</w:t>
      </w:r>
      <w:r>
        <w:rPr>
          <w:spacing w:val="-23"/>
          <w:w w:val="110"/>
        </w:rPr>
        <w:t xml:space="preserve"> </w:t>
      </w:r>
      <w:r>
        <w:rPr>
          <w:w w:val="110"/>
        </w:rPr>
        <w:t>with</w:t>
      </w:r>
      <w:r>
        <w:rPr>
          <w:spacing w:val="-26"/>
          <w:w w:val="110"/>
        </w:rPr>
        <w:t xml:space="preserve"> </w:t>
      </w:r>
      <w:r>
        <w:rPr>
          <w:w w:val="110"/>
        </w:rPr>
        <w:t>a</w:t>
      </w:r>
      <w:r>
        <w:rPr>
          <w:spacing w:val="-27"/>
          <w:w w:val="110"/>
        </w:rPr>
        <w:t xml:space="preserve"> </w:t>
      </w:r>
      <w:r>
        <w:rPr>
          <w:w w:val="110"/>
        </w:rPr>
        <w:t>general medical</w:t>
      </w:r>
      <w:r>
        <w:rPr>
          <w:spacing w:val="-14"/>
          <w:w w:val="110"/>
        </w:rPr>
        <w:t xml:space="preserve"> </w:t>
      </w:r>
      <w:r>
        <w:rPr>
          <w:w w:val="110"/>
        </w:rPr>
        <w:t>condition</w:t>
      </w:r>
      <w:r>
        <w:rPr>
          <w:spacing w:val="-14"/>
          <w:w w:val="110"/>
        </w:rPr>
        <w:t xml:space="preserve"> </w:t>
      </w:r>
      <w:r>
        <w:rPr>
          <w:w w:val="110"/>
        </w:rPr>
        <w:t>(e.g.,</w:t>
      </w:r>
      <w:r>
        <w:rPr>
          <w:spacing w:val="-11"/>
          <w:w w:val="110"/>
        </w:rPr>
        <w:t xml:space="preserve"> </w:t>
      </w:r>
      <w:r>
        <w:rPr>
          <w:w w:val="110"/>
        </w:rPr>
        <w:t>metachromatic</w:t>
      </w:r>
      <w:r>
        <w:rPr>
          <w:spacing w:val="-9"/>
          <w:w w:val="110"/>
        </w:rPr>
        <w:t xml:space="preserve"> </w:t>
      </w:r>
      <w:r>
        <w:rPr>
          <w:w w:val="110"/>
        </w:rPr>
        <w:t>leukodystrophy,</w:t>
      </w:r>
      <w:r>
        <w:rPr>
          <w:spacing w:val="-18"/>
          <w:w w:val="110"/>
        </w:rPr>
        <w:t xml:space="preserve"> </w:t>
      </w:r>
      <w:r>
        <w:rPr>
          <w:w w:val="110"/>
        </w:rPr>
        <w:t>Schilder's</w:t>
      </w:r>
      <w:r>
        <w:rPr>
          <w:spacing w:val="-14"/>
          <w:w w:val="110"/>
        </w:rPr>
        <w:t xml:space="preserve"> </w:t>
      </w:r>
      <w:r>
        <w:rPr>
          <w:w w:val="110"/>
        </w:rPr>
        <w:t>disease)</w:t>
      </w:r>
      <w:r>
        <w:rPr>
          <w:spacing w:val="-15"/>
          <w:w w:val="110"/>
        </w:rPr>
        <w:t xml:space="preserve"> </w:t>
      </w:r>
      <w:r>
        <w:rPr>
          <w:w w:val="110"/>
        </w:rPr>
        <w:t>that</w:t>
      </w:r>
      <w:r>
        <w:rPr>
          <w:spacing w:val="-13"/>
          <w:w w:val="110"/>
        </w:rPr>
        <w:t xml:space="preserve"> </w:t>
      </w:r>
      <w:r>
        <w:rPr>
          <w:w w:val="110"/>
        </w:rPr>
        <w:t>might account for the developmental regression. In most instances, however, extensive investigation</w:t>
      </w:r>
      <w:r>
        <w:rPr>
          <w:spacing w:val="-16"/>
          <w:w w:val="110"/>
        </w:rPr>
        <w:t xml:space="preserve"> </w:t>
      </w:r>
      <w:r>
        <w:rPr>
          <w:w w:val="110"/>
        </w:rPr>
        <w:t>does</w:t>
      </w:r>
      <w:r>
        <w:rPr>
          <w:spacing w:val="-25"/>
          <w:w w:val="110"/>
        </w:rPr>
        <w:t xml:space="preserve"> </w:t>
      </w:r>
      <w:r>
        <w:rPr>
          <w:w w:val="110"/>
        </w:rPr>
        <w:t>not</w:t>
      </w:r>
      <w:r>
        <w:rPr>
          <w:spacing w:val="-22"/>
          <w:w w:val="110"/>
        </w:rPr>
        <w:t xml:space="preserve"> </w:t>
      </w:r>
      <w:r>
        <w:rPr>
          <w:w w:val="110"/>
        </w:rPr>
        <w:t>reveal</w:t>
      </w:r>
      <w:r>
        <w:rPr>
          <w:spacing w:val="-27"/>
          <w:w w:val="110"/>
        </w:rPr>
        <w:t xml:space="preserve"> </w:t>
      </w:r>
      <w:r>
        <w:rPr>
          <w:w w:val="110"/>
        </w:rPr>
        <w:t>such</w:t>
      </w:r>
      <w:r>
        <w:rPr>
          <w:spacing w:val="-26"/>
          <w:w w:val="110"/>
        </w:rPr>
        <w:t xml:space="preserve"> </w:t>
      </w:r>
      <w:r>
        <w:rPr>
          <w:w w:val="110"/>
        </w:rPr>
        <w:t>a</w:t>
      </w:r>
      <w:r>
        <w:rPr>
          <w:spacing w:val="-32"/>
          <w:w w:val="110"/>
        </w:rPr>
        <w:t xml:space="preserve"> </w:t>
      </w:r>
      <w:r>
        <w:rPr>
          <w:w w:val="110"/>
        </w:rPr>
        <w:t>condition.</w:t>
      </w:r>
      <w:r>
        <w:rPr>
          <w:spacing w:val="-17"/>
          <w:w w:val="110"/>
        </w:rPr>
        <w:t xml:space="preserve"> </w:t>
      </w:r>
      <w:r>
        <w:rPr>
          <w:w w:val="110"/>
          <w:sz w:val="19"/>
        </w:rPr>
        <w:t>If</w:t>
      </w:r>
      <w:r>
        <w:rPr>
          <w:spacing w:val="-23"/>
          <w:w w:val="110"/>
          <w:sz w:val="19"/>
        </w:rPr>
        <w:t xml:space="preserve"> </w:t>
      </w:r>
      <w:r>
        <w:rPr>
          <w:w w:val="110"/>
        </w:rPr>
        <w:t>a</w:t>
      </w:r>
      <w:r>
        <w:rPr>
          <w:spacing w:val="-26"/>
          <w:w w:val="110"/>
        </w:rPr>
        <w:t xml:space="preserve"> </w:t>
      </w:r>
      <w:r>
        <w:rPr>
          <w:w w:val="110"/>
        </w:rPr>
        <w:t>neurological</w:t>
      </w:r>
      <w:r>
        <w:rPr>
          <w:spacing w:val="-19"/>
          <w:w w:val="110"/>
        </w:rPr>
        <w:t xml:space="preserve"> </w:t>
      </w:r>
      <w:r>
        <w:rPr>
          <w:w w:val="110"/>
        </w:rPr>
        <w:t>or</w:t>
      </w:r>
      <w:r>
        <w:rPr>
          <w:spacing w:val="-30"/>
          <w:w w:val="110"/>
        </w:rPr>
        <w:t xml:space="preserve"> </w:t>
      </w:r>
      <w:r>
        <w:rPr>
          <w:w w:val="110"/>
        </w:rPr>
        <w:t>other</w:t>
      </w:r>
      <w:r>
        <w:rPr>
          <w:spacing w:val="-29"/>
          <w:w w:val="110"/>
        </w:rPr>
        <w:t xml:space="preserve"> </w:t>
      </w:r>
      <w:r>
        <w:rPr>
          <w:w w:val="110"/>
        </w:rPr>
        <w:t>general</w:t>
      </w:r>
      <w:r>
        <w:rPr>
          <w:spacing w:val="-22"/>
          <w:w w:val="110"/>
        </w:rPr>
        <w:t xml:space="preserve"> </w:t>
      </w:r>
      <w:r>
        <w:rPr>
          <w:w w:val="110"/>
        </w:rPr>
        <w:t>medical condition</w:t>
      </w:r>
      <w:r>
        <w:rPr>
          <w:spacing w:val="-32"/>
          <w:w w:val="110"/>
        </w:rPr>
        <w:t xml:space="preserve"> </w:t>
      </w:r>
      <w:r>
        <w:rPr>
          <w:w w:val="110"/>
        </w:rPr>
        <w:t>is</w:t>
      </w:r>
      <w:r>
        <w:rPr>
          <w:spacing w:val="-37"/>
          <w:w w:val="110"/>
        </w:rPr>
        <w:t xml:space="preserve"> </w:t>
      </w:r>
      <w:r>
        <w:rPr>
          <w:w w:val="110"/>
        </w:rPr>
        <w:t>associated</w:t>
      </w:r>
      <w:r>
        <w:rPr>
          <w:spacing w:val="-30"/>
          <w:w w:val="110"/>
        </w:rPr>
        <w:t xml:space="preserve"> </w:t>
      </w:r>
      <w:r>
        <w:rPr>
          <w:w w:val="110"/>
        </w:rPr>
        <w:t>with</w:t>
      </w:r>
      <w:r>
        <w:rPr>
          <w:spacing w:val="-35"/>
          <w:w w:val="110"/>
        </w:rPr>
        <w:t xml:space="preserve"> </w:t>
      </w:r>
      <w:r>
        <w:rPr>
          <w:w w:val="110"/>
        </w:rPr>
        <w:t>the</w:t>
      </w:r>
      <w:r>
        <w:rPr>
          <w:spacing w:val="-35"/>
          <w:w w:val="110"/>
        </w:rPr>
        <w:t xml:space="preserve"> </w:t>
      </w:r>
      <w:r>
        <w:rPr>
          <w:w w:val="110"/>
        </w:rPr>
        <w:t>disorder,</w:t>
      </w:r>
      <w:r>
        <w:rPr>
          <w:spacing w:val="-28"/>
          <w:w w:val="110"/>
        </w:rPr>
        <w:t xml:space="preserve"> </w:t>
      </w:r>
      <w:r>
        <w:rPr>
          <w:w w:val="110"/>
        </w:rPr>
        <w:t>it</w:t>
      </w:r>
      <w:r>
        <w:rPr>
          <w:spacing w:val="-39"/>
          <w:w w:val="110"/>
        </w:rPr>
        <w:t xml:space="preserve"> </w:t>
      </w:r>
      <w:r>
        <w:rPr>
          <w:w w:val="110"/>
        </w:rPr>
        <w:t>should</w:t>
      </w:r>
      <w:r>
        <w:rPr>
          <w:spacing w:val="-32"/>
          <w:w w:val="110"/>
        </w:rPr>
        <w:t xml:space="preserve"> </w:t>
      </w:r>
      <w:r>
        <w:rPr>
          <w:w w:val="110"/>
        </w:rPr>
        <w:t>be</w:t>
      </w:r>
      <w:r>
        <w:rPr>
          <w:spacing w:val="-35"/>
          <w:w w:val="110"/>
        </w:rPr>
        <w:t xml:space="preserve"> </w:t>
      </w:r>
      <w:r>
        <w:rPr>
          <w:w w:val="110"/>
        </w:rPr>
        <w:t>recorded</w:t>
      </w:r>
      <w:r>
        <w:rPr>
          <w:spacing w:val="-33"/>
          <w:w w:val="110"/>
        </w:rPr>
        <w:t xml:space="preserve"> </w:t>
      </w:r>
      <w:r>
        <w:rPr>
          <w:w w:val="110"/>
        </w:rPr>
        <w:t>on</w:t>
      </w:r>
      <w:r>
        <w:rPr>
          <w:spacing w:val="-34"/>
          <w:w w:val="110"/>
        </w:rPr>
        <w:t xml:space="preserve"> </w:t>
      </w:r>
      <w:r>
        <w:rPr>
          <w:w w:val="110"/>
        </w:rPr>
        <w:t>Axis</w:t>
      </w:r>
      <w:r>
        <w:rPr>
          <w:spacing w:val="-33"/>
          <w:w w:val="110"/>
        </w:rPr>
        <w:t xml:space="preserve"> </w:t>
      </w:r>
      <w:r>
        <w:rPr>
          <w:w w:val="110"/>
        </w:rPr>
        <w:t>III.</w:t>
      </w:r>
      <w:r>
        <w:rPr>
          <w:spacing w:val="-40"/>
          <w:w w:val="110"/>
        </w:rPr>
        <w:t xml:space="preserve"> </w:t>
      </w:r>
      <w:r>
        <w:rPr>
          <w:w w:val="110"/>
        </w:rPr>
        <w:t>The</w:t>
      </w:r>
      <w:r>
        <w:rPr>
          <w:spacing w:val="-36"/>
          <w:w w:val="110"/>
        </w:rPr>
        <w:t xml:space="preserve"> </w:t>
      </w:r>
      <w:r>
        <w:rPr>
          <w:w w:val="110"/>
        </w:rPr>
        <w:t>laboratory findings will reflect any associated general medical</w:t>
      </w:r>
      <w:r>
        <w:rPr>
          <w:spacing w:val="49"/>
          <w:w w:val="110"/>
        </w:rPr>
        <w:t xml:space="preserve"> </w:t>
      </w:r>
      <w:r>
        <w:rPr>
          <w:w w:val="110"/>
        </w:rPr>
        <w:t>conditions.</w:t>
      </w:r>
    </w:p>
    <w:p w:rsidR="00E675F0" w:rsidRDefault="00E675F0" w:rsidP="00E675F0">
      <w:pPr>
        <w:spacing w:line="254" w:lineRule="auto"/>
        <w:jc w:val="both"/>
        <w:sectPr w:rsidR="00E675F0">
          <w:pgSz w:w="8960" w:h="14260"/>
          <w:pgMar w:top="1400" w:right="620" w:bottom="280" w:left="620" w:header="699" w:footer="0" w:gutter="0"/>
          <w:cols w:space="720"/>
        </w:sectPr>
      </w:pPr>
    </w:p>
    <w:p w:rsidR="00E675F0" w:rsidRDefault="00E675F0" w:rsidP="00E675F0">
      <w:pPr>
        <w:pStyle w:val="BodyText"/>
        <w:spacing w:line="20" w:lineRule="exact"/>
        <w:ind w:left="130"/>
        <w:rPr>
          <w:sz w:val="2"/>
        </w:rPr>
      </w:pPr>
      <w:r>
        <w:rPr>
          <w:noProof/>
          <w:sz w:val="2"/>
        </w:rPr>
        <w:lastRenderedPageBreak/>
        <mc:AlternateContent>
          <mc:Choice Requires="wpg">
            <w:drawing>
              <wp:inline distT="0" distB="0" distL="0" distR="0" wp14:anchorId="7EE38558" wp14:editId="797F6B83">
                <wp:extent cx="4753610" cy="6350"/>
                <wp:effectExtent l="0" t="0" r="0" b="0"/>
                <wp:docPr id="1575" name="Group 1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3610" cy="6350"/>
                          <a:chOff x="0" y="0"/>
                          <a:chExt cx="7486" cy="10"/>
                        </a:xfrm>
                      </wpg:grpSpPr>
                      <wps:wsp>
                        <wps:cNvPr id="1576" name="Line 1532"/>
                        <wps:cNvCnPr>
                          <a:cxnSpLocks/>
                        </wps:cNvCnPr>
                        <wps:spPr bwMode="auto">
                          <a:xfrm>
                            <a:off x="0" y="5"/>
                            <a:ext cx="7485" cy="0"/>
                          </a:xfrm>
                          <a:prstGeom prst="line">
                            <a:avLst/>
                          </a:prstGeom>
                          <a:noFill/>
                          <a:ln w="610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46A57A9" id="Group 1531" o:spid="_x0000_s1026" style="width:374.3pt;height:.5pt;mso-position-horizontal-relative:char;mso-position-vertical-relative:line" coordsize="7486,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">
                <v:line id="Line 1532" o:spid="_x0000_s1027" style="position:absolute;visibility:visible;mso-wrap-style:square" from="0,5" to="748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" strokeweight=".16958mm">
                  <o:lock v:ext="edit" shapetype="f"/>
                </v:line>
                <w10:anchorlock/>
              </v:group>
            </w:pict>
          </mc:Fallback>
        </mc:AlternateContent>
      </w:r>
    </w:p>
    <w:p w:rsidR="00E675F0" w:rsidRDefault="00E675F0" w:rsidP="00E675F0">
      <w:pPr>
        <w:pStyle w:val="BodyText"/>
      </w:pPr>
    </w:p>
    <w:p w:rsidR="00E675F0" w:rsidRDefault="00E675F0" w:rsidP="00E675F0">
      <w:pPr>
        <w:pStyle w:val="BodyText"/>
        <w:spacing w:before="8"/>
      </w:pPr>
    </w:p>
    <w:p w:rsidR="00E675F0" w:rsidRDefault="00E675F0" w:rsidP="00E675F0">
      <w:pPr>
        <w:spacing w:before="91"/>
        <w:ind w:left="122"/>
        <w:rPr>
          <w:rFonts w:ascii="TimesNewRomanPS-BoldItalicMT"/>
          <w:b/>
          <w:i/>
          <w:sz w:val="24"/>
        </w:rPr>
      </w:pPr>
      <w:bookmarkStart w:id="48" w:name="_bookmark33"/>
      <w:bookmarkEnd w:id="48"/>
      <w:r>
        <w:rPr>
          <w:rFonts w:ascii="TimesNewRomanPS-BoldItalicMT"/>
          <w:b/>
          <w:i/>
          <w:w w:val="115"/>
          <w:sz w:val="24"/>
        </w:rPr>
        <w:t>Prevalence</w:t>
      </w:r>
    </w:p>
    <w:p w:rsidR="00E675F0" w:rsidRDefault="00E675F0" w:rsidP="00E675F0">
      <w:pPr>
        <w:pStyle w:val="BodyText"/>
        <w:spacing w:before="151" w:line="256" w:lineRule="auto"/>
        <w:ind w:left="134" w:right="154" w:firstLine="5"/>
        <w:jc w:val="both"/>
      </w:pPr>
      <w:r>
        <w:rPr>
          <w:w w:val="105"/>
        </w:rPr>
        <w:t>Epidemiological data are limited, but Childhood Disintegrative Disorder appears to be very rare and much less common than Autistic Disorder. Although initial studies suggested an equal sex ratio, the most recent data suggest that the condition is more common among males.</w:t>
      </w:r>
    </w:p>
    <w:p w:rsidR="00E675F0" w:rsidRDefault="00E675F0" w:rsidP="00E675F0">
      <w:pPr>
        <w:pStyle w:val="BodyText"/>
        <w:spacing w:before="8"/>
        <w:rPr>
          <w:sz w:val="32"/>
        </w:rPr>
      </w:pPr>
    </w:p>
    <w:p w:rsidR="00E675F0" w:rsidRDefault="00E675F0" w:rsidP="00E675F0">
      <w:pPr>
        <w:spacing w:before="1"/>
        <w:ind w:left="119"/>
        <w:rPr>
          <w:rFonts w:ascii="TimesNewRomanPS-BoldItalicMT"/>
          <w:b/>
          <w:i/>
          <w:sz w:val="24"/>
        </w:rPr>
      </w:pPr>
      <w:r>
        <w:rPr>
          <w:rFonts w:ascii="TimesNewRomanPS-BoldItalicMT"/>
          <w:b/>
          <w:i/>
          <w:w w:val="115"/>
          <w:sz w:val="24"/>
        </w:rPr>
        <w:t>Course</w:t>
      </w:r>
    </w:p>
    <w:p w:rsidR="00E675F0" w:rsidRDefault="00E675F0" w:rsidP="00E675F0">
      <w:pPr>
        <w:pStyle w:val="BodyText"/>
        <w:spacing w:before="155" w:line="254" w:lineRule="auto"/>
        <w:ind w:left="134" w:right="146" w:firstLine="11"/>
        <w:jc w:val="both"/>
      </w:pPr>
      <w:r>
        <w:rPr>
          <w:w w:val="105"/>
        </w:rPr>
        <w:t>By definition, Childhood Disintegrative Disorder can only be diagnosed if the symptoms are preceded by at least 2 years of normal development and the onset is prior to age 10 years. When the period of normal development has been quite prolonged (5 or more years), it is particularly important to conduct a thorough physical and neurological examination to assess for the presence of a general medical condition.  In most cases,  the onset is between ages 3 and 4 years and may be insidious or abrupt. Premonitory signs can include increased activity levels, irritability, and anxiety followed by a loss of speech and other skills. Usually the loss of skills reaches a plateau, after which some limited improvement may occur, although improvement is rarely marked. In other instances, especially when the disorder is associated with a progressive neurological condition, the loss of skills is progressive. This disorder follows a continuous course, and in the majority of cases, the duration is lifelong. The social, communicative, and behavioral difficulties remain relatively constant throughout</w:t>
      </w:r>
      <w:r>
        <w:rPr>
          <w:spacing w:val="38"/>
          <w:w w:val="105"/>
        </w:rPr>
        <w:t xml:space="preserve"> </w:t>
      </w:r>
      <w:r>
        <w:rPr>
          <w:w w:val="105"/>
        </w:rPr>
        <w:t>life.</w:t>
      </w:r>
    </w:p>
    <w:p w:rsidR="00E675F0" w:rsidRDefault="00E675F0" w:rsidP="00E675F0">
      <w:pPr>
        <w:pStyle w:val="BodyText"/>
        <w:rPr>
          <w:sz w:val="22"/>
        </w:rPr>
      </w:pPr>
    </w:p>
    <w:p w:rsidR="00E675F0" w:rsidRDefault="00E675F0" w:rsidP="00E675F0">
      <w:pPr>
        <w:spacing w:before="127"/>
        <w:ind w:left="138"/>
        <w:rPr>
          <w:rFonts w:ascii="TimesNewRomanPS-BoldItalicMT"/>
          <w:b/>
          <w:i/>
          <w:sz w:val="24"/>
        </w:rPr>
      </w:pPr>
      <w:r>
        <w:rPr>
          <w:rFonts w:ascii="TimesNewRomanPS-BoldItalicMT"/>
          <w:b/>
          <w:i/>
          <w:w w:val="115"/>
          <w:sz w:val="24"/>
        </w:rPr>
        <w:t>Differential Diagnosis</w:t>
      </w:r>
    </w:p>
    <w:p w:rsidR="00E675F0" w:rsidRDefault="00E675F0" w:rsidP="00E675F0">
      <w:pPr>
        <w:pStyle w:val="BodyText"/>
        <w:spacing w:before="165" w:line="252" w:lineRule="auto"/>
        <w:ind w:left="144" w:right="125" w:firstLine="6"/>
        <w:jc w:val="right"/>
      </w:pPr>
      <w:r>
        <w:rPr>
          <w:w w:val="105"/>
        </w:rPr>
        <w:t>Periods of regression may be observed in normal development, but these are</w:t>
      </w:r>
      <w:r>
        <w:rPr>
          <w:spacing w:val="-33"/>
          <w:w w:val="105"/>
        </w:rPr>
        <w:t xml:space="preserve"> </w:t>
      </w:r>
      <w:r>
        <w:rPr>
          <w:w w:val="105"/>
        </w:rPr>
        <w:t>neither</w:t>
      </w:r>
      <w:r>
        <w:rPr>
          <w:spacing w:val="11"/>
          <w:w w:val="105"/>
        </w:rPr>
        <w:t xml:space="preserve"> </w:t>
      </w:r>
      <w:r>
        <w:rPr>
          <w:w w:val="105"/>
        </w:rPr>
        <w:t>as</w:t>
      </w:r>
      <w:r>
        <w:rPr>
          <w:spacing w:val="-1"/>
          <w:w w:val="108"/>
        </w:rPr>
        <w:t xml:space="preserve"> </w:t>
      </w:r>
      <w:r>
        <w:rPr>
          <w:w w:val="105"/>
        </w:rPr>
        <w:t>severe</w:t>
      </w:r>
      <w:r>
        <w:rPr>
          <w:spacing w:val="-16"/>
          <w:w w:val="105"/>
        </w:rPr>
        <w:t xml:space="preserve"> </w:t>
      </w:r>
      <w:r>
        <w:rPr>
          <w:w w:val="105"/>
        </w:rPr>
        <w:t>or</w:t>
      </w:r>
      <w:r>
        <w:rPr>
          <w:spacing w:val="-12"/>
          <w:w w:val="105"/>
        </w:rPr>
        <w:t xml:space="preserve"> </w:t>
      </w:r>
      <w:r>
        <w:rPr>
          <w:w w:val="105"/>
        </w:rPr>
        <w:t>as</w:t>
      </w:r>
      <w:r>
        <w:rPr>
          <w:spacing w:val="-9"/>
          <w:w w:val="105"/>
        </w:rPr>
        <w:t xml:space="preserve"> </w:t>
      </w:r>
      <w:r>
        <w:rPr>
          <w:w w:val="105"/>
        </w:rPr>
        <w:t>prolonged as</w:t>
      </w:r>
      <w:r>
        <w:rPr>
          <w:spacing w:val="-15"/>
          <w:w w:val="105"/>
        </w:rPr>
        <w:t xml:space="preserve"> </w:t>
      </w:r>
      <w:r>
        <w:rPr>
          <w:w w:val="105"/>
        </w:rPr>
        <w:t>in</w:t>
      </w:r>
      <w:r>
        <w:rPr>
          <w:spacing w:val="-14"/>
          <w:w w:val="105"/>
        </w:rPr>
        <w:t xml:space="preserve"> </w:t>
      </w:r>
      <w:r>
        <w:rPr>
          <w:w w:val="105"/>
        </w:rPr>
        <w:t>Childhood</w:t>
      </w:r>
      <w:r>
        <w:rPr>
          <w:spacing w:val="-5"/>
          <w:w w:val="105"/>
        </w:rPr>
        <w:t xml:space="preserve"> </w:t>
      </w:r>
      <w:r>
        <w:rPr>
          <w:w w:val="105"/>
        </w:rPr>
        <w:t>Disintegrative</w:t>
      </w:r>
      <w:r>
        <w:rPr>
          <w:spacing w:val="-22"/>
          <w:w w:val="105"/>
        </w:rPr>
        <w:t xml:space="preserve"> </w:t>
      </w:r>
      <w:r>
        <w:rPr>
          <w:w w:val="105"/>
        </w:rPr>
        <w:t>Disorder. Childhood</w:t>
      </w:r>
      <w:r>
        <w:rPr>
          <w:spacing w:val="-1"/>
          <w:w w:val="105"/>
        </w:rPr>
        <w:t xml:space="preserve"> </w:t>
      </w:r>
      <w:r>
        <w:rPr>
          <w:w w:val="105"/>
        </w:rPr>
        <w:t>Disintegrative</w:t>
      </w:r>
      <w:r>
        <w:rPr>
          <w:spacing w:val="-1"/>
          <w:w w:val="105"/>
        </w:rPr>
        <w:t xml:space="preserve"> </w:t>
      </w:r>
      <w:r>
        <w:rPr>
          <w:w w:val="105"/>
        </w:rPr>
        <w:t xml:space="preserve">Disorder must be differentiated from </w:t>
      </w:r>
      <w:r>
        <w:rPr>
          <w:b/>
          <w:w w:val="105"/>
        </w:rPr>
        <w:t>other Pervasive Developmental</w:t>
      </w:r>
      <w:r>
        <w:rPr>
          <w:b/>
          <w:spacing w:val="-3"/>
          <w:w w:val="105"/>
        </w:rPr>
        <w:t xml:space="preserve"> </w:t>
      </w:r>
      <w:r>
        <w:rPr>
          <w:b/>
          <w:w w:val="105"/>
        </w:rPr>
        <w:t>Disorders.</w:t>
      </w:r>
      <w:r>
        <w:rPr>
          <w:b/>
          <w:spacing w:val="29"/>
          <w:w w:val="105"/>
        </w:rPr>
        <w:t xml:space="preserve"> </w:t>
      </w:r>
      <w:r>
        <w:rPr>
          <w:w w:val="105"/>
        </w:rPr>
        <w:t>For</w:t>
      </w:r>
      <w:r>
        <w:rPr>
          <w:spacing w:val="-1"/>
          <w:w w:val="102"/>
        </w:rPr>
        <w:t xml:space="preserve"> </w:t>
      </w:r>
      <w:r>
        <w:rPr>
          <w:w w:val="105"/>
        </w:rPr>
        <w:t xml:space="preserve">the differential diagnosis with </w:t>
      </w:r>
      <w:r>
        <w:rPr>
          <w:b/>
          <w:w w:val="105"/>
        </w:rPr>
        <w:t xml:space="preserve">Autistic Disorder, </w:t>
      </w:r>
      <w:r>
        <w:rPr>
          <w:w w:val="105"/>
        </w:rPr>
        <w:t>seep. 69. For the</w:t>
      </w:r>
      <w:r>
        <w:rPr>
          <w:spacing w:val="-1"/>
          <w:w w:val="105"/>
        </w:rPr>
        <w:t xml:space="preserve"> </w:t>
      </w:r>
      <w:r>
        <w:rPr>
          <w:w w:val="105"/>
        </w:rPr>
        <w:t>differential</w:t>
      </w:r>
      <w:r>
        <w:rPr>
          <w:spacing w:val="10"/>
          <w:w w:val="105"/>
        </w:rPr>
        <w:t xml:space="preserve"> </w:t>
      </w:r>
      <w:r>
        <w:rPr>
          <w:w w:val="105"/>
        </w:rPr>
        <w:t xml:space="preserve">diagnosis with </w:t>
      </w:r>
      <w:r>
        <w:rPr>
          <w:b/>
          <w:w w:val="105"/>
        </w:rPr>
        <w:t xml:space="preserve">Rett's Disorder, </w:t>
      </w:r>
      <w:r>
        <w:rPr>
          <w:w w:val="105"/>
        </w:rPr>
        <w:t xml:space="preserve">see p. 72. In contrast to </w:t>
      </w:r>
      <w:r>
        <w:rPr>
          <w:b/>
          <w:w w:val="105"/>
        </w:rPr>
        <w:t>Asperger's</w:t>
      </w:r>
      <w:r>
        <w:rPr>
          <w:b/>
          <w:spacing w:val="8"/>
          <w:w w:val="105"/>
        </w:rPr>
        <w:t xml:space="preserve"> </w:t>
      </w:r>
      <w:r>
        <w:rPr>
          <w:b/>
          <w:w w:val="105"/>
        </w:rPr>
        <w:t>Disorder,</w:t>
      </w:r>
      <w:r>
        <w:rPr>
          <w:b/>
          <w:spacing w:val="23"/>
          <w:w w:val="105"/>
        </w:rPr>
        <w:t xml:space="preserve"> </w:t>
      </w:r>
      <w:r>
        <w:rPr>
          <w:w w:val="105"/>
        </w:rPr>
        <w:t>Childhood</w:t>
      </w:r>
      <w:r>
        <w:rPr>
          <w:spacing w:val="-1"/>
          <w:w w:val="106"/>
        </w:rPr>
        <w:t xml:space="preserve"> </w:t>
      </w:r>
      <w:r>
        <w:rPr>
          <w:w w:val="105"/>
        </w:rPr>
        <w:t>Disintegrative Disorder is characterized by a clinically significant loss</w:t>
      </w:r>
      <w:r>
        <w:rPr>
          <w:spacing w:val="5"/>
          <w:w w:val="105"/>
        </w:rPr>
        <w:t xml:space="preserve"> </w:t>
      </w:r>
      <w:r>
        <w:rPr>
          <w:w w:val="105"/>
        </w:rPr>
        <w:t>in</w:t>
      </w:r>
      <w:r>
        <w:rPr>
          <w:spacing w:val="37"/>
          <w:w w:val="105"/>
        </w:rPr>
        <w:t xml:space="preserve"> </w:t>
      </w:r>
      <w:r>
        <w:rPr>
          <w:w w:val="105"/>
        </w:rPr>
        <w:t>previously</w:t>
      </w:r>
      <w:r>
        <w:rPr>
          <w:w w:val="104"/>
        </w:rPr>
        <w:t xml:space="preserve"> </w:t>
      </w:r>
      <w:r>
        <w:rPr>
          <w:w w:val="105"/>
        </w:rPr>
        <w:t>acquired skills and a greater likelihood of Mental Retardation. In</w:t>
      </w:r>
      <w:r>
        <w:rPr>
          <w:spacing w:val="-35"/>
          <w:w w:val="105"/>
        </w:rPr>
        <w:t xml:space="preserve"> </w:t>
      </w:r>
      <w:r>
        <w:rPr>
          <w:w w:val="105"/>
        </w:rPr>
        <w:t>Asperger's</w:t>
      </w:r>
      <w:r>
        <w:rPr>
          <w:spacing w:val="14"/>
          <w:w w:val="105"/>
        </w:rPr>
        <w:t xml:space="preserve"> </w:t>
      </w:r>
      <w:r>
        <w:rPr>
          <w:w w:val="105"/>
        </w:rPr>
        <w:t>Disorder,</w:t>
      </w:r>
      <w:r>
        <w:rPr>
          <w:spacing w:val="-1"/>
          <w:w w:val="105"/>
        </w:rPr>
        <w:t xml:space="preserve"> </w:t>
      </w:r>
      <w:r>
        <w:rPr>
          <w:w w:val="105"/>
        </w:rPr>
        <w:t>there is no delay in language development and no marked loss of</w:t>
      </w:r>
      <w:r>
        <w:rPr>
          <w:spacing w:val="29"/>
          <w:w w:val="105"/>
        </w:rPr>
        <w:t xml:space="preserve"> </w:t>
      </w:r>
      <w:r>
        <w:rPr>
          <w:w w:val="105"/>
        </w:rPr>
        <w:t>developmental</w:t>
      </w:r>
      <w:r>
        <w:rPr>
          <w:spacing w:val="17"/>
          <w:w w:val="105"/>
        </w:rPr>
        <w:t xml:space="preserve"> </w:t>
      </w:r>
      <w:r>
        <w:rPr>
          <w:w w:val="105"/>
        </w:rPr>
        <w:t>skills.</w:t>
      </w:r>
      <w:r>
        <w:rPr>
          <w:spacing w:val="-1"/>
          <w:w w:val="101"/>
        </w:rPr>
        <w:t xml:space="preserve"> </w:t>
      </w:r>
      <w:r>
        <w:rPr>
          <w:w w:val="105"/>
        </w:rPr>
        <w:t>Childhood Disintegrative Disorder must be differentiated from a</w:t>
      </w:r>
      <w:r>
        <w:rPr>
          <w:spacing w:val="-7"/>
          <w:w w:val="105"/>
        </w:rPr>
        <w:t xml:space="preserve"> </w:t>
      </w:r>
      <w:r>
        <w:rPr>
          <w:b/>
          <w:w w:val="105"/>
        </w:rPr>
        <w:t>dementia</w:t>
      </w:r>
      <w:r>
        <w:rPr>
          <w:b/>
          <w:spacing w:val="41"/>
          <w:w w:val="105"/>
        </w:rPr>
        <w:t xml:space="preserve"> </w:t>
      </w:r>
      <w:r>
        <w:rPr>
          <w:w w:val="105"/>
        </w:rPr>
        <w:t>with</w:t>
      </w:r>
      <w:r>
        <w:rPr>
          <w:spacing w:val="-1"/>
          <w:w w:val="104"/>
        </w:rPr>
        <w:t xml:space="preserve"> </w:t>
      </w:r>
      <w:r>
        <w:rPr>
          <w:w w:val="105"/>
        </w:rPr>
        <w:t>onset during infancy or childhood. Dementia occurs as a consequence of</w:t>
      </w:r>
      <w:r>
        <w:rPr>
          <w:spacing w:val="1"/>
          <w:w w:val="105"/>
        </w:rPr>
        <w:t xml:space="preserve"> </w:t>
      </w:r>
      <w:r>
        <w:rPr>
          <w:w w:val="105"/>
        </w:rPr>
        <w:t>the</w:t>
      </w:r>
      <w:r>
        <w:rPr>
          <w:spacing w:val="36"/>
          <w:w w:val="105"/>
        </w:rPr>
        <w:t xml:space="preserve"> </w:t>
      </w:r>
      <w:r>
        <w:rPr>
          <w:w w:val="105"/>
        </w:rPr>
        <w:t>direct physiological effects of a general medical condition (e.g., head</w:t>
      </w:r>
      <w:r>
        <w:rPr>
          <w:spacing w:val="4"/>
          <w:w w:val="105"/>
        </w:rPr>
        <w:t xml:space="preserve"> </w:t>
      </w:r>
      <w:r>
        <w:rPr>
          <w:w w:val="105"/>
        </w:rPr>
        <w:t>trauma),</w:t>
      </w:r>
      <w:r>
        <w:rPr>
          <w:spacing w:val="24"/>
          <w:w w:val="105"/>
        </w:rPr>
        <w:t xml:space="preserve"> </w:t>
      </w:r>
      <w:r>
        <w:rPr>
          <w:w w:val="105"/>
        </w:rPr>
        <w:t>whereas</w:t>
      </w:r>
      <w:r>
        <w:rPr>
          <w:spacing w:val="-1"/>
          <w:w w:val="108"/>
        </w:rPr>
        <w:t xml:space="preserve"> </w:t>
      </w:r>
      <w:r>
        <w:rPr>
          <w:w w:val="105"/>
        </w:rPr>
        <w:t>Childhood Disintegrative Disorder typically occurs in the absence of an</w:t>
      </w:r>
      <w:r>
        <w:rPr>
          <w:spacing w:val="2"/>
          <w:w w:val="105"/>
        </w:rPr>
        <w:t xml:space="preserve"> </w:t>
      </w:r>
      <w:r>
        <w:rPr>
          <w:w w:val="105"/>
        </w:rPr>
        <w:t>associated</w:t>
      </w:r>
    </w:p>
    <w:p w:rsidR="00E675F0" w:rsidRDefault="00E675F0" w:rsidP="00E675F0">
      <w:pPr>
        <w:pStyle w:val="BodyText"/>
        <w:ind w:left="157"/>
        <w:jc w:val="both"/>
      </w:pPr>
      <w:r>
        <w:rPr>
          <w:w w:val="105"/>
        </w:rPr>
        <w:t>general medical condition.</w:t>
      </w:r>
    </w:p>
    <w:p w:rsidR="00E675F0" w:rsidRDefault="00E675F0" w:rsidP="00E675F0">
      <w:pPr>
        <w:pStyle w:val="BodyText"/>
        <w:rPr>
          <w:sz w:val="22"/>
        </w:rPr>
      </w:pPr>
      <w:r>
        <w:rPr>
          <w:noProof/>
        </w:rPr>
        <mc:AlternateContent>
          <mc:Choice Requires="wpg">
            <w:drawing>
              <wp:anchor distT="0" distB="0" distL="0" distR="0" simplePos="0" relativeHeight="251846656" behindDoc="1" locked="0" layoutInCell="1" allowOverlap="1" wp14:anchorId="284C8C2F" wp14:editId="1BAAA9D6">
                <wp:simplePos x="0" y="0"/>
                <wp:positionH relativeFrom="page">
                  <wp:posOffset>478790</wp:posOffset>
                </wp:positionH>
                <wp:positionV relativeFrom="paragraph">
                  <wp:posOffset>201930</wp:posOffset>
                </wp:positionV>
                <wp:extent cx="4765675" cy="1416685"/>
                <wp:effectExtent l="0" t="0" r="9525" b="5715"/>
                <wp:wrapTopAndBottom/>
                <wp:docPr id="1569" name="Group 1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5675" cy="1416685"/>
                          <a:chOff x="754" y="318"/>
                          <a:chExt cx="7505" cy="2231"/>
                        </a:xfrm>
                      </wpg:grpSpPr>
                      <wps:wsp>
                        <wps:cNvPr id="1570" name="Line 1530"/>
                        <wps:cNvCnPr>
                          <a:cxnSpLocks/>
                        </wps:cNvCnPr>
                        <wps:spPr bwMode="auto">
                          <a:xfrm>
                            <a:off x="764" y="2529"/>
                            <a:ext cx="0" cy="0"/>
                          </a:xfrm>
                          <a:prstGeom prst="line">
                            <a:avLst/>
                          </a:prstGeom>
                          <a:noFill/>
                          <a:ln w="61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1" name="Line 1529"/>
                        <wps:cNvCnPr>
                          <a:cxnSpLocks/>
                        </wps:cNvCnPr>
                        <wps:spPr bwMode="auto">
                          <a:xfrm>
                            <a:off x="851" y="2471"/>
                            <a:ext cx="0" cy="0"/>
                          </a:xfrm>
                          <a:prstGeom prst="line">
                            <a:avLst/>
                          </a:prstGeom>
                          <a:noFill/>
                          <a:ln w="2443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2" name="Line 1528"/>
                        <wps:cNvCnPr>
                          <a:cxnSpLocks/>
                        </wps:cNvCnPr>
                        <wps:spPr bwMode="auto">
                          <a:xfrm>
                            <a:off x="8163" y="2548"/>
                            <a:ext cx="0" cy="0"/>
                          </a:xfrm>
                          <a:prstGeom prst="line">
                            <a:avLst/>
                          </a:prstGeom>
                          <a:noFill/>
                          <a:ln w="305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3" name="AutoShape 1527"/>
                        <wps:cNvSpPr>
                          <a:spLocks/>
                        </wps:cNvSpPr>
                        <wps:spPr bwMode="auto">
                          <a:xfrm>
                            <a:off x="754" y="390"/>
                            <a:ext cx="7505" cy="2063"/>
                          </a:xfrm>
                          <a:custGeom>
                            <a:avLst/>
                            <a:gdLst>
                              <a:gd name="T0" fmla="+- 0 754 754"/>
                              <a:gd name="T1" fmla="*/ T0 w 7505"/>
                              <a:gd name="T2" fmla="+- 0 390 390"/>
                              <a:gd name="T3" fmla="*/ 390 h 2063"/>
                              <a:gd name="T4" fmla="+- 0 8259 754"/>
                              <a:gd name="T5" fmla="*/ T4 w 7505"/>
                              <a:gd name="T6" fmla="+- 0 390 390"/>
                              <a:gd name="T7" fmla="*/ 390 h 2063"/>
                              <a:gd name="T8" fmla="+- 0 754 754"/>
                              <a:gd name="T9" fmla="*/ T8 w 7505"/>
                              <a:gd name="T10" fmla="+- 0 2452 390"/>
                              <a:gd name="T11" fmla="*/ 2452 h 2063"/>
                              <a:gd name="T12" fmla="+- 0 8259 754"/>
                              <a:gd name="T13" fmla="*/ T12 w 7505"/>
                              <a:gd name="T14" fmla="+- 0 2452 390"/>
                              <a:gd name="T15" fmla="*/ 2452 h 2063"/>
                            </a:gdLst>
                            <a:ahLst/>
                            <a:cxnLst>
                              <a:cxn ang="0">
                                <a:pos x="T1" y="T3"/>
                              </a:cxn>
                              <a:cxn ang="0">
                                <a:pos x="T5" y="T7"/>
                              </a:cxn>
                              <a:cxn ang="0">
                                <a:pos x="T9" y="T11"/>
                              </a:cxn>
                              <a:cxn ang="0">
                                <a:pos x="T13" y="T15"/>
                              </a:cxn>
                            </a:cxnLst>
                            <a:rect l="0" t="0" r="r" b="b"/>
                            <a:pathLst>
                              <a:path w="7505" h="2063">
                                <a:moveTo>
                                  <a:pt x="0" y="0"/>
                                </a:moveTo>
                                <a:lnTo>
                                  <a:pt x="7505" y="0"/>
                                </a:lnTo>
                                <a:moveTo>
                                  <a:pt x="0" y="2062"/>
                                </a:moveTo>
                                <a:lnTo>
                                  <a:pt x="7505" y="2062"/>
                                </a:lnTo>
                              </a:path>
                            </a:pathLst>
                          </a:custGeom>
                          <a:noFill/>
                          <a:ln w="3358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4" name="Text Box 1526"/>
                        <wps:cNvSpPr txBox="1">
                          <a:spLocks/>
                        </wps:cNvSpPr>
                        <wps:spPr bwMode="auto">
                          <a:xfrm>
                            <a:off x="869" y="416"/>
                            <a:ext cx="7269" cy="2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5F0" w:rsidRDefault="00E675F0" w:rsidP="003048D3">
                              <w:pPr>
                                <w:numPr>
                                  <w:ilvl w:val="0"/>
                                  <w:numId w:val="96"/>
                                </w:numPr>
                                <w:tabs>
                                  <w:tab w:val="left" w:pos="589"/>
                                </w:tabs>
                                <w:spacing w:before="36" w:line="206" w:lineRule="auto"/>
                                <w:ind w:right="1955" w:hanging="379"/>
                                <w:rPr>
                                  <w:rFonts w:ascii="Arial"/>
                                  <w:b/>
                                  <w:sz w:val="24"/>
                                </w:rPr>
                              </w:pPr>
                              <w:r>
                                <w:rPr>
                                  <w:rFonts w:ascii="Arial"/>
                                  <w:b/>
                                  <w:sz w:val="24"/>
                                </w:rPr>
                                <w:t xml:space="preserve">Diagnostic criteria for </w:t>
                              </w:r>
                              <w:r>
                                <w:rPr>
                                  <w:rFonts w:ascii="Arial"/>
                                  <w:b/>
                                  <w:spacing w:val="3"/>
                                  <w:sz w:val="24"/>
                                </w:rPr>
                                <w:t xml:space="preserve">299.l </w:t>
                              </w:r>
                              <w:r>
                                <w:rPr>
                                  <w:rFonts w:ascii="Arial"/>
                                  <w:b/>
                                  <w:sz w:val="24"/>
                                </w:rPr>
                                <w:t>O Childhood Disintegrative</w:t>
                              </w:r>
                              <w:r>
                                <w:rPr>
                                  <w:rFonts w:ascii="Arial"/>
                                  <w:b/>
                                  <w:spacing w:val="-11"/>
                                  <w:sz w:val="24"/>
                                </w:rPr>
                                <w:t xml:space="preserve"> </w:t>
                              </w:r>
                              <w:r>
                                <w:rPr>
                                  <w:rFonts w:ascii="Arial"/>
                                  <w:b/>
                                  <w:sz w:val="24"/>
                                </w:rPr>
                                <w:t>Disorder</w:t>
                              </w:r>
                            </w:p>
                            <w:p w:rsidR="00E675F0" w:rsidRDefault="00E675F0" w:rsidP="00E675F0">
                              <w:pPr>
                                <w:spacing w:before="177" w:line="256" w:lineRule="auto"/>
                                <w:ind w:left="921" w:right="249" w:hanging="308"/>
                                <w:jc w:val="both"/>
                                <w:rPr>
                                  <w:sz w:val="20"/>
                                </w:rPr>
                              </w:pPr>
                              <w:r>
                                <w:rPr>
                                  <w:w w:val="105"/>
                                  <w:sz w:val="20"/>
                                </w:rPr>
                                <w:t>A. Apparently normal development for at least the first 2 years after birth  as manifested by the presence of age-appropriate verbal and nonverbal communication, social relationships, play, and adaptive</w:t>
                              </w:r>
                              <w:r>
                                <w:rPr>
                                  <w:spacing w:val="39"/>
                                  <w:w w:val="105"/>
                                  <w:sz w:val="20"/>
                                </w:rPr>
                                <w:t xml:space="preserve"> </w:t>
                              </w:r>
                              <w:r>
                                <w:rPr>
                                  <w:w w:val="105"/>
                                  <w:sz w:val="20"/>
                                </w:rPr>
                                <w:t>behavior.</w:t>
                              </w:r>
                            </w:p>
                            <w:p w:rsidR="00E675F0" w:rsidRDefault="00E675F0" w:rsidP="00E675F0">
                              <w:pPr>
                                <w:spacing w:line="222" w:lineRule="exact"/>
                                <w:ind w:right="234"/>
                                <w:jc w:val="right"/>
                                <w:rPr>
                                  <w:i/>
                                  <w:sz w:val="20"/>
                                </w:rPr>
                              </w:pPr>
                              <w:r>
                                <w:rPr>
                                  <w:i/>
                                  <w:w w:val="110"/>
                                  <w:sz w:val="20"/>
                                </w:rPr>
                                <w:t>(continued)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4C8C2F" id="Group 1525" o:spid="_x0000_s1065" style="position:absolute;margin-left:37.7pt;margin-top:15.9pt;width:375.25pt;height:111.55pt;z-index:-251469824;mso-wrap-distance-left:0;mso-wrap-distance-right:0;mso-position-horizontal-relative:page;mso-position-vertical-relative:text" coordorigin="754,318" coordsize="7505,22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">
                <v:line id="Line 1530" o:spid="_x0000_s1066" style="position:absolute;visibility:visible;mso-wrap-style:square" from="764,2529" to="764,25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" strokeweight=".16972mm">
                  <o:lock v:ext="edit" shapetype="f"/>
                </v:line>
                <v:line id="Line 1529" o:spid="_x0000_s1067" style="position:absolute;visibility:visible;mso-wrap-style:square" from="851,2471" to="851,24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" strokeweight=".67883mm">
                  <o:lock v:ext="edit" shapetype="f"/>
                </v:line>
                <v:line id="Line 1528" o:spid="_x0000_s1068" style="position:absolute;visibility:visible;mso-wrap-style:square" from="8163,2548" to="8163,25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" strokeweight=".84856mm">
                  <o:lock v:ext="edit" shapetype="f"/>
                </v:line>
                <v:shape id="AutoShape 1527" o:spid="_x0000_s1069" style="position:absolute;left:754;top:390;width:7505;height:2063;visibility:visible;mso-wrap-style:square;v-text-anchor:top" coordsize="7505,20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" path="m,l7505,m,2062r7505,e" filled="f" strokeweight=".93303mm">
                  <v:path arrowok="t" o:connecttype="custom" o:connectlocs="0,390;7505,390;0,2452;7505,2452" o:connectangles="0,0,0,0"/>
                </v:shape>
                <v:shape id="Text Box 1526" o:spid="_x0000_s1070" type="#_x0000_t202" style="position:absolute;left:869;top:416;width:7269;height:20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" filled="f" stroked="f">
                  <v:path arrowok="t"/>
                  <v:textbox inset="0,0,0,0">
                    <w:txbxContent>
                      <w:p w:rsidR="00E675F0" w:rsidRDefault="00E675F0" w:rsidP="003048D3">
                        <w:pPr>
                          <w:numPr>
                            <w:ilvl w:val="0"/>
                            <w:numId w:val="96"/>
                          </w:numPr>
                          <w:tabs>
                            <w:tab w:val="left" w:pos="589"/>
                          </w:tabs>
                          <w:spacing w:before="36" w:line="206" w:lineRule="auto"/>
                          <w:ind w:right="1955" w:hanging="379"/>
                          <w:rPr>
                            <w:rFonts w:ascii="Arial"/>
                            <w:b/>
                            <w:sz w:val="24"/>
                          </w:rPr>
                        </w:pPr>
                        <w:r>
                          <w:rPr>
                            <w:rFonts w:ascii="Arial"/>
                            <w:b/>
                            <w:sz w:val="24"/>
                          </w:rPr>
                          <w:t xml:space="preserve">Diagnostic criteria for </w:t>
                        </w:r>
                        <w:r>
                          <w:rPr>
                            <w:rFonts w:ascii="Arial"/>
                            <w:b/>
                            <w:spacing w:val="3"/>
                            <w:sz w:val="24"/>
                          </w:rPr>
                          <w:t xml:space="preserve">299.l </w:t>
                        </w:r>
                        <w:r>
                          <w:rPr>
                            <w:rFonts w:ascii="Arial"/>
                            <w:b/>
                            <w:sz w:val="24"/>
                          </w:rPr>
                          <w:t>O Childhood Disintegrative</w:t>
                        </w:r>
                        <w:r>
                          <w:rPr>
                            <w:rFonts w:ascii="Arial"/>
                            <w:b/>
                            <w:spacing w:val="-11"/>
                            <w:sz w:val="24"/>
                          </w:rPr>
                          <w:t xml:space="preserve"> </w:t>
                        </w:r>
                        <w:r>
                          <w:rPr>
                            <w:rFonts w:ascii="Arial"/>
                            <w:b/>
                            <w:sz w:val="24"/>
                          </w:rPr>
                          <w:t>Disorder</w:t>
                        </w:r>
                      </w:p>
                      <w:p w:rsidR="00E675F0" w:rsidRDefault="00E675F0" w:rsidP="00E675F0">
                        <w:pPr>
                          <w:spacing w:before="177" w:line="256" w:lineRule="auto"/>
                          <w:ind w:left="921" w:right="249" w:hanging="308"/>
                          <w:jc w:val="both"/>
                          <w:rPr>
                            <w:sz w:val="20"/>
                          </w:rPr>
                        </w:pPr>
                        <w:r>
                          <w:rPr>
                            <w:w w:val="105"/>
                            <w:sz w:val="20"/>
                          </w:rPr>
                          <w:t>A. Apparently normal development for at least the first 2 years after birth  as manifested by the presence of age-appropriate verbal and nonverbal communication, social relationships, play, and adaptive</w:t>
                        </w:r>
                        <w:r>
                          <w:rPr>
                            <w:spacing w:val="39"/>
                            <w:w w:val="105"/>
                            <w:sz w:val="20"/>
                          </w:rPr>
                          <w:t xml:space="preserve"> </w:t>
                        </w:r>
                        <w:r>
                          <w:rPr>
                            <w:w w:val="105"/>
                            <w:sz w:val="20"/>
                          </w:rPr>
                          <w:t>behavior.</w:t>
                        </w:r>
                      </w:p>
                      <w:p w:rsidR="00E675F0" w:rsidRDefault="00E675F0" w:rsidP="00E675F0">
                        <w:pPr>
                          <w:spacing w:line="222" w:lineRule="exact"/>
                          <w:ind w:right="234"/>
                          <w:jc w:val="right"/>
                          <w:rPr>
                            <w:i/>
                            <w:sz w:val="20"/>
                          </w:rPr>
                        </w:pPr>
                        <w:r>
                          <w:rPr>
                            <w:i/>
                            <w:w w:val="110"/>
                            <w:sz w:val="20"/>
                          </w:rPr>
                          <w:t>(continued)</w:t>
                        </w:r>
                      </w:p>
                    </w:txbxContent>
                  </v:textbox>
                </v:shape>
                <w10:wrap type="topAndBottom" anchorx="page"/>
              </v:group>
            </w:pict>
          </mc:Fallback>
        </mc:AlternateContent>
      </w:r>
    </w:p>
    <w:p w:rsidR="00E675F0" w:rsidRDefault="00E675F0" w:rsidP="00E675F0">
      <w:pPr>
        <w:sectPr w:rsidR="00E675F0">
          <w:headerReference w:type="even" r:id="rId94"/>
          <w:headerReference w:type="default" r:id="rId95"/>
          <w:pgSz w:w="8960" w:h="14260"/>
          <w:pgMar w:top="980" w:right="580" w:bottom="280" w:left="600" w:header="696" w:footer="0" w:gutter="0"/>
          <w:pgNumType w:start="74"/>
          <w:cols w:space="720"/>
        </w:sectPr>
      </w:pPr>
    </w:p>
    <w:p w:rsidR="00E675F0" w:rsidRDefault="00E675F0" w:rsidP="00E675F0">
      <w:pPr>
        <w:pStyle w:val="BodyText"/>
        <w:spacing w:before="4"/>
        <w:rPr>
          <w:sz w:val="9"/>
        </w:rPr>
      </w:pPr>
    </w:p>
    <w:tbl>
      <w:tblPr>
        <w:tblW w:w="0" w:type="auto"/>
        <w:tblInd w:w="236"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7322"/>
      </w:tblGrid>
      <w:tr w:rsidR="00E675F0" w:rsidTr="00A330E1">
        <w:trPr>
          <w:trHeight w:val="6376"/>
        </w:trPr>
        <w:tc>
          <w:tcPr>
            <w:tcW w:w="7322" w:type="dxa"/>
          </w:tcPr>
          <w:p w:rsidR="00E675F0" w:rsidRDefault="00E675F0" w:rsidP="003048D3">
            <w:pPr>
              <w:pStyle w:val="TableParagraph"/>
              <w:numPr>
                <w:ilvl w:val="0"/>
                <w:numId w:val="95"/>
              </w:numPr>
              <w:tabs>
                <w:tab w:val="left" w:pos="585"/>
              </w:tabs>
              <w:spacing w:before="108" w:line="216" w:lineRule="auto"/>
              <w:ind w:right="738" w:hanging="323"/>
              <w:rPr>
                <w:rFonts w:ascii="Arial" w:hAnsi="Arial"/>
                <w:i/>
                <w:sz w:val="21"/>
              </w:rPr>
            </w:pPr>
            <w:bookmarkStart w:id="49" w:name="_bookmark34"/>
            <w:bookmarkEnd w:id="49"/>
            <w:r>
              <w:rPr>
                <w:rFonts w:ascii="Arial" w:hAnsi="Arial"/>
                <w:b/>
                <w:w w:val="105"/>
              </w:rPr>
              <w:t>Diagnostic</w:t>
            </w:r>
            <w:r>
              <w:rPr>
                <w:rFonts w:ascii="Arial" w:hAnsi="Arial"/>
                <w:b/>
                <w:spacing w:val="-2"/>
                <w:w w:val="105"/>
              </w:rPr>
              <w:t xml:space="preserve"> </w:t>
            </w:r>
            <w:r>
              <w:rPr>
                <w:rFonts w:ascii="Arial" w:hAnsi="Arial"/>
                <w:b/>
                <w:w w:val="105"/>
              </w:rPr>
              <w:t>criteria</w:t>
            </w:r>
            <w:r>
              <w:rPr>
                <w:rFonts w:ascii="Arial" w:hAnsi="Arial"/>
                <w:b/>
                <w:spacing w:val="-9"/>
                <w:w w:val="105"/>
              </w:rPr>
              <w:t xml:space="preserve"> </w:t>
            </w:r>
            <w:r>
              <w:rPr>
                <w:rFonts w:ascii="Arial" w:hAnsi="Arial"/>
                <w:b/>
                <w:w w:val="105"/>
              </w:rPr>
              <w:t>for</w:t>
            </w:r>
            <w:r>
              <w:rPr>
                <w:rFonts w:ascii="Arial" w:hAnsi="Arial"/>
                <w:b/>
                <w:spacing w:val="-9"/>
                <w:w w:val="105"/>
              </w:rPr>
              <w:t xml:space="preserve"> </w:t>
            </w:r>
            <w:r>
              <w:rPr>
                <w:rFonts w:ascii="Arial" w:hAnsi="Arial"/>
                <w:b/>
                <w:spacing w:val="2"/>
                <w:w w:val="105"/>
              </w:rPr>
              <w:t>299.IO</w:t>
            </w:r>
            <w:r>
              <w:rPr>
                <w:rFonts w:ascii="Arial" w:hAnsi="Arial"/>
                <w:b/>
                <w:spacing w:val="-20"/>
                <w:w w:val="105"/>
              </w:rPr>
              <w:t xml:space="preserve"> </w:t>
            </w:r>
            <w:r>
              <w:rPr>
                <w:rFonts w:ascii="Arial" w:hAnsi="Arial"/>
                <w:b/>
                <w:w w:val="105"/>
              </w:rPr>
              <w:t>Childhood</w:t>
            </w:r>
            <w:r>
              <w:rPr>
                <w:rFonts w:ascii="Arial" w:hAnsi="Arial"/>
                <w:b/>
                <w:spacing w:val="-13"/>
                <w:w w:val="105"/>
              </w:rPr>
              <w:t xml:space="preserve"> </w:t>
            </w:r>
            <w:r>
              <w:rPr>
                <w:rFonts w:ascii="Arial" w:hAnsi="Arial"/>
                <w:b/>
                <w:w w:val="105"/>
              </w:rPr>
              <w:t>Disintegrative Disorder</w:t>
            </w:r>
            <w:r>
              <w:rPr>
                <w:rFonts w:ascii="Arial" w:hAnsi="Arial"/>
                <w:b/>
                <w:spacing w:val="8"/>
                <w:w w:val="105"/>
              </w:rPr>
              <w:t xml:space="preserve"> </w:t>
            </w:r>
            <w:r>
              <w:rPr>
                <w:rFonts w:ascii="Arial" w:hAnsi="Arial"/>
                <w:i/>
                <w:w w:val="105"/>
                <w:sz w:val="21"/>
              </w:rPr>
              <w:t>(continued)</w:t>
            </w:r>
          </w:p>
          <w:p w:rsidR="00E675F0" w:rsidRDefault="00E675F0" w:rsidP="003048D3">
            <w:pPr>
              <w:pStyle w:val="TableParagraph"/>
              <w:numPr>
                <w:ilvl w:val="1"/>
                <w:numId w:val="95"/>
              </w:numPr>
              <w:tabs>
                <w:tab w:val="left" w:pos="954"/>
              </w:tabs>
              <w:spacing w:before="214" w:line="256" w:lineRule="auto"/>
              <w:ind w:right="220" w:hanging="293"/>
              <w:rPr>
                <w:sz w:val="20"/>
              </w:rPr>
            </w:pPr>
            <w:r>
              <w:rPr>
                <w:w w:val="105"/>
                <w:sz w:val="20"/>
              </w:rPr>
              <w:t>Clinically significant loss of  previously  acquired  skills  (before  age 10 years) in at least two of the following</w:t>
            </w:r>
            <w:r>
              <w:rPr>
                <w:spacing w:val="11"/>
                <w:w w:val="105"/>
                <w:sz w:val="20"/>
              </w:rPr>
              <w:t xml:space="preserve"> </w:t>
            </w:r>
            <w:r>
              <w:rPr>
                <w:w w:val="105"/>
                <w:sz w:val="20"/>
              </w:rPr>
              <w:t>areas:</w:t>
            </w:r>
          </w:p>
          <w:p w:rsidR="00E675F0" w:rsidRDefault="00E675F0" w:rsidP="003048D3">
            <w:pPr>
              <w:pStyle w:val="TableParagraph"/>
              <w:numPr>
                <w:ilvl w:val="2"/>
                <w:numId w:val="95"/>
              </w:numPr>
              <w:tabs>
                <w:tab w:val="left" w:pos="1372"/>
                <w:tab w:val="left" w:pos="1373"/>
              </w:tabs>
              <w:spacing w:before="61"/>
              <w:ind w:left="1372" w:hanging="424"/>
              <w:rPr>
                <w:sz w:val="17"/>
              </w:rPr>
            </w:pPr>
            <w:r>
              <w:rPr>
                <w:w w:val="105"/>
                <w:sz w:val="20"/>
              </w:rPr>
              <w:t>expressive  or receptive</w:t>
            </w:r>
            <w:r>
              <w:rPr>
                <w:spacing w:val="10"/>
                <w:w w:val="105"/>
                <w:sz w:val="20"/>
              </w:rPr>
              <w:t xml:space="preserve"> </w:t>
            </w:r>
            <w:r>
              <w:rPr>
                <w:w w:val="105"/>
                <w:sz w:val="20"/>
              </w:rPr>
              <w:t>language</w:t>
            </w:r>
          </w:p>
          <w:p w:rsidR="00E675F0" w:rsidRDefault="00E675F0" w:rsidP="003048D3">
            <w:pPr>
              <w:pStyle w:val="TableParagraph"/>
              <w:numPr>
                <w:ilvl w:val="2"/>
                <w:numId w:val="95"/>
              </w:numPr>
              <w:tabs>
                <w:tab w:val="left" w:pos="1375"/>
              </w:tabs>
              <w:spacing w:before="15"/>
              <w:ind w:hanging="428"/>
              <w:rPr>
                <w:sz w:val="20"/>
              </w:rPr>
            </w:pPr>
            <w:r>
              <w:rPr>
                <w:w w:val="105"/>
                <w:sz w:val="20"/>
              </w:rPr>
              <w:t>social skills or adaptive</w:t>
            </w:r>
            <w:r>
              <w:rPr>
                <w:spacing w:val="31"/>
                <w:w w:val="105"/>
                <w:sz w:val="20"/>
              </w:rPr>
              <w:t xml:space="preserve"> </w:t>
            </w:r>
            <w:r>
              <w:rPr>
                <w:w w:val="105"/>
                <w:sz w:val="20"/>
              </w:rPr>
              <w:t>behavior</w:t>
            </w:r>
          </w:p>
          <w:p w:rsidR="00E675F0" w:rsidRDefault="00E675F0" w:rsidP="003048D3">
            <w:pPr>
              <w:pStyle w:val="TableParagraph"/>
              <w:numPr>
                <w:ilvl w:val="2"/>
                <w:numId w:val="95"/>
              </w:numPr>
              <w:tabs>
                <w:tab w:val="left" w:pos="1380"/>
                <w:tab w:val="left" w:pos="1381"/>
              </w:tabs>
              <w:spacing w:before="15"/>
              <w:ind w:left="1380" w:hanging="432"/>
              <w:rPr>
                <w:sz w:val="17"/>
              </w:rPr>
            </w:pPr>
            <w:r>
              <w:rPr>
                <w:w w:val="105"/>
                <w:sz w:val="20"/>
              </w:rPr>
              <w:t>bowel or bladder</w:t>
            </w:r>
            <w:r>
              <w:rPr>
                <w:spacing w:val="46"/>
                <w:w w:val="105"/>
                <w:sz w:val="20"/>
              </w:rPr>
              <w:t xml:space="preserve"> </w:t>
            </w:r>
            <w:r>
              <w:rPr>
                <w:w w:val="105"/>
                <w:sz w:val="20"/>
              </w:rPr>
              <w:t>control</w:t>
            </w:r>
          </w:p>
          <w:p w:rsidR="00E675F0" w:rsidRDefault="00E675F0" w:rsidP="003048D3">
            <w:pPr>
              <w:pStyle w:val="TableParagraph"/>
              <w:numPr>
                <w:ilvl w:val="2"/>
                <w:numId w:val="95"/>
              </w:numPr>
              <w:tabs>
                <w:tab w:val="left" w:pos="1386"/>
              </w:tabs>
              <w:spacing w:before="5"/>
              <w:ind w:left="1385" w:hanging="434"/>
              <w:rPr>
                <w:sz w:val="20"/>
              </w:rPr>
            </w:pPr>
            <w:r>
              <w:rPr>
                <w:w w:val="105"/>
                <w:sz w:val="20"/>
              </w:rPr>
              <w:t>play</w:t>
            </w:r>
          </w:p>
          <w:p w:rsidR="00E675F0" w:rsidRDefault="00E675F0" w:rsidP="003048D3">
            <w:pPr>
              <w:pStyle w:val="TableParagraph"/>
              <w:numPr>
                <w:ilvl w:val="2"/>
                <w:numId w:val="95"/>
              </w:numPr>
              <w:tabs>
                <w:tab w:val="left" w:pos="1378"/>
              </w:tabs>
              <w:spacing w:before="25"/>
              <w:ind w:left="1377" w:hanging="431"/>
              <w:rPr>
                <w:sz w:val="20"/>
              </w:rPr>
            </w:pPr>
            <w:r>
              <w:rPr>
                <w:w w:val="105"/>
                <w:sz w:val="20"/>
              </w:rPr>
              <w:t>motor</w:t>
            </w:r>
            <w:r>
              <w:rPr>
                <w:spacing w:val="-1"/>
                <w:w w:val="105"/>
                <w:sz w:val="20"/>
              </w:rPr>
              <w:t xml:space="preserve"> </w:t>
            </w:r>
            <w:r>
              <w:rPr>
                <w:w w:val="105"/>
                <w:sz w:val="20"/>
              </w:rPr>
              <w:t>skills</w:t>
            </w:r>
          </w:p>
          <w:p w:rsidR="00E675F0" w:rsidRDefault="00E675F0" w:rsidP="003048D3">
            <w:pPr>
              <w:pStyle w:val="TableParagraph"/>
              <w:numPr>
                <w:ilvl w:val="1"/>
                <w:numId w:val="95"/>
              </w:numPr>
              <w:tabs>
                <w:tab w:val="left" w:pos="950"/>
              </w:tabs>
              <w:spacing w:before="193"/>
              <w:ind w:left="949" w:hanging="306"/>
              <w:jc w:val="both"/>
              <w:rPr>
                <w:rFonts w:ascii="Arial"/>
                <w:sz w:val="17"/>
              </w:rPr>
            </w:pPr>
            <w:r>
              <w:rPr>
                <w:w w:val="105"/>
                <w:sz w:val="20"/>
              </w:rPr>
              <w:t>Abnormalities of functioning in at least two of the following</w:t>
            </w:r>
            <w:r>
              <w:rPr>
                <w:spacing w:val="3"/>
                <w:w w:val="105"/>
                <w:sz w:val="20"/>
              </w:rPr>
              <w:t xml:space="preserve"> </w:t>
            </w:r>
            <w:r>
              <w:rPr>
                <w:w w:val="105"/>
                <w:sz w:val="20"/>
              </w:rPr>
              <w:t>areas:</w:t>
            </w:r>
          </w:p>
          <w:p w:rsidR="00E675F0" w:rsidRDefault="00E675F0" w:rsidP="003048D3">
            <w:pPr>
              <w:pStyle w:val="TableParagraph"/>
              <w:numPr>
                <w:ilvl w:val="2"/>
                <w:numId w:val="95"/>
              </w:numPr>
              <w:tabs>
                <w:tab w:val="left" w:pos="1378"/>
              </w:tabs>
              <w:spacing w:before="73" w:line="256" w:lineRule="auto"/>
              <w:ind w:right="224" w:hanging="426"/>
              <w:jc w:val="both"/>
              <w:rPr>
                <w:sz w:val="17"/>
              </w:rPr>
            </w:pPr>
            <w:r>
              <w:rPr>
                <w:w w:val="105"/>
                <w:sz w:val="20"/>
              </w:rPr>
              <w:t>qualitative impairment in social interaction (e.g., impairment in nonverbal behaviors, failure to develop peer relationships, lack of social or emotional</w:t>
            </w:r>
            <w:r>
              <w:rPr>
                <w:spacing w:val="46"/>
                <w:w w:val="105"/>
                <w:sz w:val="20"/>
              </w:rPr>
              <w:t xml:space="preserve"> </w:t>
            </w:r>
            <w:r>
              <w:rPr>
                <w:w w:val="105"/>
                <w:sz w:val="20"/>
              </w:rPr>
              <w:t>reciprocity)</w:t>
            </w:r>
          </w:p>
          <w:p w:rsidR="00E675F0" w:rsidRDefault="00E675F0" w:rsidP="003048D3">
            <w:pPr>
              <w:pStyle w:val="TableParagraph"/>
              <w:numPr>
                <w:ilvl w:val="2"/>
                <w:numId w:val="95"/>
              </w:numPr>
              <w:tabs>
                <w:tab w:val="left" w:pos="1378"/>
              </w:tabs>
              <w:spacing w:line="254" w:lineRule="auto"/>
              <w:ind w:right="229" w:hanging="422"/>
              <w:jc w:val="both"/>
              <w:rPr>
                <w:sz w:val="20"/>
              </w:rPr>
            </w:pPr>
            <w:r>
              <w:rPr>
                <w:w w:val="105"/>
                <w:sz w:val="20"/>
              </w:rPr>
              <w:t>qualitative impairments in communication (e.g., delay or lack of spoken language, inability to initiate or sustain a conversation, stereotyped and repetitive use of language, lack of varied make­ believe</w:t>
            </w:r>
            <w:r>
              <w:rPr>
                <w:spacing w:val="22"/>
                <w:w w:val="105"/>
                <w:sz w:val="20"/>
              </w:rPr>
              <w:t xml:space="preserve"> </w:t>
            </w:r>
            <w:r>
              <w:rPr>
                <w:w w:val="105"/>
                <w:sz w:val="20"/>
              </w:rPr>
              <w:t>play)</w:t>
            </w:r>
          </w:p>
          <w:p w:rsidR="00E675F0" w:rsidRDefault="00E675F0" w:rsidP="003048D3">
            <w:pPr>
              <w:pStyle w:val="TableParagraph"/>
              <w:numPr>
                <w:ilvl w:val="2"/>
                <w:numId w:val="95"/>
              </w:numPr>
              <w:tabs>
                <w:tab w:val="left" w:pos="1383"/>
              </w:tabs>
              <w:spacing w:line="261" w:lineRule="auto"/>
              <w:ind w:left="1376" w:right="229" w:hanging="425"/>
              <w:jc w:val="both"/>
              <w:rPr>
                <w:sz w:val="20"/>
              </w:rPr>
            </w:pPr>
            <w:r>
              <w:rPr>
                <w:w w:val="105"/>
                <w:sz w:val="20"/>
              </w:rPr>
              <w:t>restricted, repetitive, and stereotyped patterns of behavior, inter­ ests, and activities, including motor stereotypies and</w:t>
            </w:r>
            <w:r>
              <w:rPr>
                <w:spacing w:val="18"/>
                <w:w w:val="105"/>
                <w:sz w:val="20"/>
              </w:rPr>
              <w:t xml:space="preserve"> </w:t>
            </w:r>
            <w:r>
              <w:rPr>
                <w:w w:val="105"/>
                <w:sz w:val="20"/>
              </w:rPr>
              <w:t>mannerisms</w:t>
            </w:r>
          </w:p>
          <w:p w:rsidR="00E675F0" w:rsidRDefault="00E675F0" w:rsidP="003048D3">
            <w:pPr>
              <w:pStyle w:val="TableParagraph"/>
              <w:numPr>
                <w:ilvl w:val="1"/>
                <w:numId w:val="95"/>
              </w:numPr>
              <w:tabs>
                <w:tab w:val="left" w:pos="946"/>
              </w:tabs>
              <w:spacing w:before="165" w:line="256" w:lineRule="auto"/>
              <w:ind w:left="952" w:right="235"/>
              <w:rPr>
                <w:sz w:val="20"/>
              </w:rPr>
            </w:pPr>
            <w:r>
              <w:rPr>
                <w:w w:val="105"/>
                <w:sz w:val="20"/>
              </w:rPr>
              <w:t>The</w:t>
            </w:r>
            <w:r>
              <w:rPr>
                <w:spacing w:val="-10"/>
                <w:w w:val="105"/>
                <w:sz w:val="20"/>
              </w:rPr>
              <w:t xml:space="preserve"> </w:t>
            </w:r>
            <w:r>
              <w:rPr>
                <w:w w:val="105"/>
                <w:sz w:val="20"/>
              </w:rPr>
              <w:t>disturbance</w:t>
            </w:r>
            <w:r>
              <w:rPr>
                <w:spacing w:val="1"/>
                <w:w w:val="105"/>
                <w:sz w:val="20"/>
              </w:rPr>
              <w:t xml:space="preserve"> </w:t>
            </w:r>
            <w:r>
              <w:rPr>
                <w:w w:val="105"/>
                <w:sz w:val="20"/>
              </w:rPr>
              <w:t>is</w:t>
            </w:r>
            <w:r>
              <w:rPr>
                <w:spacing w:val="-9"/>
                <w:w w:val="105"/>
                <w:sz w:val="20"/>
              </w:rPr>
              <w:t xml:space="preserve"> </w:t>
            </w:r>
            <w:r>
              <w:rPr>
                <w:w w:val="105"/>
                <w:sz w:val="20"/>
              </w:rPr>
              <w:t>not better</w:t>
            </w:r>
            <w:r>
              <w:rPr>
                <w:spacing w:val="-9"/>
                <w:w w:val="105"/>
                <w:sz w:val="20"/>
              </w:rPr>
              <w:t xml:space="preserve"> </w:t>
            </w:r>
            <w:r>
              <w:rPr>
                <w:w w:val="105"/>
                <w:sz w:val="20"/>
              </w:rPr>
              <w:t>accounted</w:t>
            </w:r>
            <w:r>
              <w:rPr>
                <w:spacing w:val="-3"/>
                <w:w w:val="105"/>
                <w:sz w:val="20"/>
              </w:rPr>
              <w:t xml:space="preserve"> </w:t>
            </w:r>
            <w:r>
              <w:rPr>
                <w:w w:val="105"/>
                <w:sz w:val="20"/>
              </w:rPr>
              <w:t>for</w:t>
            </w:r>
            <w:r>
              <w:rPr>
                <w:spacing w:val="-6"/>
                <w:w w:val="105"/>
                <w:sz w:val="20"/>
              </w:rPr>
              <w:t xml:space="preserve"> </w:t>
            </w:r>
            <w:r>
              <w:rPr>
                <w:w w:val="105"/>
                <w:sz w:val="20"/>
              </w:rPr>
              <w:t>by</w:t>
            </w:r>
            <w:r>
              <w:rPr>
                <w:spacing w:val="-13"/>
                <w:w w:val="105"/>
                <w:sz w:val="20"/>
              </w:rPr>
              <w:t xml:space="preserve"> </w:t>
            </w:r>
            <w:r>
              <w:rPr>
                <w:w w:val="105"/>
                <w:sz w:val="20"/>
              </w:rPr>
              <w:t>another</w:t>
            </w:r>
            <w:r>
              <w:rPr>
                <w:spacing w:val="-10"/>
                <w:w w:val="105"/>
                <w:sz w:val="20"/>
              </w:rPr>
              <w:t xml:space="preserve"> </w:t>
            </w:r>
            <w:r>
              <w:rPr>
                <w:w w:val="105"/>
                <w:sz w:val="20"/>
              </w:rPr>
              <w:t>specific</w:t>
            </w:r>
            <w:r>
              <w:rPr>
                <w:spacing w:val="-9"/>
                <w:w w:val="105"/>
                <w:sz w:val="20"/>
              </w:rPr>
              <w:t xml:space="preserve"> </w:t>
            </w:r>
            <w:r>
              <w:rPr>
                <w:w w:val="105"/>
                <w:sz w:val="20"/>
              </w:rPr>
              <w:t>Pervasive Developmental Disorder or by</w:t>
            </w:r>
            <w:r>
              <w:rPr>
                <w:spacing w:val="6"/>
                <w:w w:val="105"/>
                <w:sz w:val="20"/>
              </w:rPr>
              <w:t xml:space="preserve"> </w:t>
            </w:r>
            <w:r>
              <w:rPr>
                <w:w w:val="105"/>
                <w:sz w:val="20"/>
              </w:rPr>
              <w:t>Schizophrenia.</w:t>
            </w:r>
          </w:p>
        </w:tc>
      </w:tr>
    </w:tbl>
    <w:p w:rsidR="00E675F0" w:rsidRDefault="00E675F0" w:rsidP="00E675F0">
      <w:pPr>
        <w:pStyle w:val="BodyText"/>
      </w:pPr>
    </w:p>
    <w:p w:rsidR="00E675F0" w:rsidRDefault="00E675F0" w:rsidP="00E675F0">
      <w:pPr>
        <w:pStyle w:val="BodyText"/>
      </w:pPr>
    </w:p>
    <w:p w:rsidR="00E675F0" w:rsidRDefault="00E675F0" w:rsidP="00E675F0">
      <w:pPr>
        <w:pStyle w:val="BodyText"/>
        <w:rPr>
          <w:sz w:val="25"/>
        </w:rPr>
      </w:pPr>
    </w:p>
    <w:p w:rsidR="00E675F0" w:rsidRDefault="00E675F0" w:rsidP="00E675F0">
      <w:pPr>
        <w:tabs>
          <w:tab w:val="left" w:pos="3145"/>
        </w:tabs>
        <w:spacing w:before="92"/>
        <w:ind w:left="2075"/>
        <w:rPr>
          <w:rFonts w:ascii="Arial"/>
          <w:b/>
          <w:sz w:val="25"/>
        </w:rPr>
      </w:pPr>
      <w:r>
        <w:rPr>
          <w:noProof/>
        </w:rPr>
        <mc:AlternateContent>
          <mc:Choice Requires="wps">
            <w:drawing>
              <wp:anchor distT="0" distB="0" distL="114300" distR="114300" simplePos="0" relativeHeight="251684864" behindDoc="0" locked="0" layoutInCell="1" allowOverlap="1" wp14:anchorId="7D424A82" wp14:editId="73316046">
                <wp:simplePos x="0" y="0"/>
                <wp:positionH relativeFrom="page">
                  <wp:posOffset>521335</wp:posOffset>
                </wp:positionH>
                <wp:positionV relativeFrom="paragraph">
                  <wp:posOffset>-433705</wp:posOffset>
                </wp:positionV>
                <wp:extent cx="0" cy="0"/>
                <wp:effectExtent l="0" t="0" r="0" b="0"/>
                <wp:wrapNone/>
                <wp:docPr id="1568" name="Line 15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305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C85309" id="Line 1524" o:spid="_x0000_s1026" style="position:absolute;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05pt,-34.15pt" to="41.05pt,-34.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" strokeweight=".84856mm">
                <o:lock v:ext="edit" shapetype="f"/>
                <w10:wrap anchorx="page"/>
              </v:line>
            </w:pict>
          </mc:Fallback>
        </mc:AlternateContent>
      </w:r>
      <w:r>
        <w:rPr>
          <w:noProof/>
        </w:rPr>
        <mc:AlternateContent>
          <mc:Choice Requires="wps">
            <w:drawing>
              <wp:anchor distT="0" distB="0" distL="114300" distR="114300" simplePos="0" relativeHeight="251768832" behindDoc="1" locked="0" layoutInCell="1" allowOverlap="1" wp14:anchorId="484751CB" wp14:editId="7319B607">
                <wp:simplePos x="0" y="0"/>
                <wp:positionH relativeFrom="page">
                  <wp:posOffset>5170805</wp:posOffset>
                </wp:positionH>
                <wp:positionV relativeFrom="paragraph">
                  <wp:posOffset>-433705</wp:posOffset>
                </wp:positionV>
                <wp:extent cx="0" cy="0"/>
                <wp:effectExtent l="0" t="0" r="0" b="0"/>
                <wp:wrapNone/>
                <wp:docPr id="1567" name="Line 15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3360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E5A4D9" id="Line 1523" o:spid="_x0000_s1026" style="position:absolute;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7.15pt,-34.15pt" to="407.15pt,-34.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" strokeweight=".93342mm">
                <o:lock v:ext="edit" shapetype="f"/>
                <w10:wrap anchorx="page"/>
              </v:line>
            </w:pict>
          </mc:Fallback>
        </mc:AlternateContent>
      </w:r>
      <w:r>
        <w:rPr>
          <w:rFonts w:ascii="Arial"/>
          <w:b/>
          <w:w w:val="105"/>
          <w:sz w:val="25"/>
        </w:rPr>
        <w:t>299.80</w:t>
      </w:r>
      <w:r>
        <w:rPr>
          <w:rFonts w:ascii="Arial"/>
          <w:b/>
          <w:w w:val="105"/>
          <w:sz w:val="25"/>
        </w:rPr>
        <w:tab/>
        <w:t>Asperger's</w:t>
      </w:r>
      <w:r>
        <w:rPr>
          <w:rFonts w:ascii="Arial"/>
          <w:b/>
          <w:spacing w:val="10"/>
          <w:w w:val="105"/>
          <w:sz w:val="25"/>
        </w:rPr>
        <w:t xml:space="preserve"> </w:t>
      </w:r>
      <w:r>
        <w:rPr>
          <w:rFonts w:ascii="Arial"/>
          <w:b/>
          <w:w w:val="105"/>
          <w:sz w:val="25"/>
        </w:rPr>
        <w:t>Disorder</w:t>
      </w:r>
    </w:p>
    <w:p w:rsidR="00E675F0" w:rsidRDefault="00E675F0" w:rsidP="00E675F0">
      <w:pPr>
        <w:pStyle w:val="BodyText"/>
        <w:spacing w:before="10"/>
        <w:rPr>
          <w:rFonts w:ascii="Arial"/>
          <w:b/>
          <w:sz w:val="23"/>
        </w:rPr>
      </w:pPr>
    </w:p>
    <w:p w:rsidR="00E675F0" w:rsidRDefault="00E675F0" w:rsidP="00E675F0">
      <w:pPr>
        <w:spacing w:before="1"/>
        <w:ind w:left="117"/>
        <w:jc w:val="both"/>
        <w:rPr>
          <w:rFonts w:ascii="TimesNewRomanPS-BoldItalicMT"/>
          <w:b/>
          <w:i/>
          <w:sz w:val="21"/>
        </w:rPr>
      </w:pPr>
      <w:r>
        <w:rPr>
          <w:rFonts w:ascii="TimesNewRomanPS-BoldItalicMT"/>
          <w:b/>
          <w:i/>
          <w:w w:val="125"/>
          <w:sz w:val="21"/>
        </w:rPr>
        <w:t>Di-agnostic Features</w:t>
      </w:r>
    </w:p>
    <w:p w:rsidR="00E675F0" w:rsidRDefault="00E675F0" w:rsidP="00E675F0">
      <w:pPr>
        <w:pStyle w:val="BodyText"/>
        <w:spacing w:before="123" w:line="254" w:lineRule="auto"/>
        <w:ind w:left="123" w:right="111" w:firstLine="3"/>
        <w:jc w:val="both"/>
      </w:pPr>
      <w:r>
        <w:rPr>
          <w:w w:val="105"/>
        </w:rPr>
        <w:t>The essential features of Asperger's Disorder are severe and sustained impairment in social interaction (Criterion A) and the development of restricted, repetitive patterns of behavior, interests, and activities (Criterion B) (see p. 66 in Autistic Disorder for a discussion of Criteria A and B). The disturbance must cause clinically significant impairment in social, occupational, or other important areas of  functioning (Criterion C). In contrast to Autistic Disorder, there are no clinically significant delays in language (e.g., single words are  used  by age  2 years,  communicative  phrases  are used  by age 3 years) (Criterion D). In addition, there are no clinically significant delays in cognitive development or in the development of age-appropriate self-help skills, adaptive behavior (other than in social interaction), and curiosity about the environment in childhood (Criterion E). The diagnosis is not given if the criteria are met for any other specific Pervasive Developmental Disorder or for Schizophrenia (Criterion</w:t>
      </w:r>
      <w:r>
        <w:rPr>
          <w:spacing w:val="-4"/>
          <w:w w:val="105"/>
        </w:rPr>
        <w:t xml:space="preserve"> </w:t>
      </w:r>
      <w:r>
        <w:rPr>
          <w:w w:val="105"/>
        </w:rPr>
        <w:t>F).</w:t>
      </w:r>
    </w:p>
    <w:p w:rsidR="00E675F0" w:rsidRDefault="00E675F0" w:rsidP="00E675F0">
      <w:pPr>
        <w:spacing w:line="254" w:lineRule="auto"/>
        <w:jc w:val="both"/>
        <w:sectPr w:rsidR="00E675F0">
          <w:pgSz w:w="8960" w:h="14260"/>
          <w:pgMar w:top="1400" w:right="620" w:bottom="280" w:left="620" w:header="698" w:footer="0" w:gutter="0"/>
          <w:cols w:space="720"/>
        </w:sectPr>
      </w:pPr>
    </w:p>
    <w:p w:rsidR="00E675F0" w:rsidRDefault="00E675F0" w:rsidP="00E675F0">
      <w:pPr>
        <w:spacing w:before="129"/>
        <w:ind w:left="105"/>
        <w:rPr>
          <w:rFonts w:ascii="TimesNewRomanPS-BoldItalicMT"/>
          <w:b/>
          <w:i/>
          <w:sz w:val="24"/>
        </w:rPr>
      </w:pPr>
      <w:r>
        <w:rPr>
          <w:rFonts w:ascii="TimesNewRomanPS-BoldItalicMT"/>
          <w:b/>
          <w:i/>
          <w:w w:val="115"/>
          <w:sz w:val="24"/>
        </w:rPr>
        <w:lastRenderedPageBreak/>
        <w:t>Associated Features and</w:t>
      </w:r>
      <w:r>
        <w:rPr>
          <w:rFonts w:ascii="TimesNewRomanPS-BoldItalicMT"/>
          <w:b/>
          <w:i/>
          <w:spacing w:val="56"/>
          <w:w w:val="115"/>
          <w:sz w:val="24"/>
        </w:rPr>
        <w:t xml:space="preserve"> </w:t>
      </w:r>
      <w:r>
        <w:rPr>
          <w:rFonts w:ascii="TimesNewRomanPS-BoldItalicMT"/>
          <w:b/>
          <w:i/>
          <w:w w:val="115"/>
          <w:sz w:val="24"/>
        </w:rPr>
        <w:t>Disorders</w:t>
      </w:r>
    </w:p>
    <w:p w:rsidR="00E675F0" w:rsidRDefault="00E675F0" w:rsidP="00E675F0">
      <w:pPr>
        <w:pStyle w:val="BodyText"/>
        <w:spacing w:before="136" w:line="256" w:lineRule="auto"/>
        <w:ind w:left="125" w:right="128" w:hanging="2"/>
        <w:jc w:val="both"/>
      </w:pPr>
      <w:r>
        <w:rPr>
          <w:w w:val="105"/>
        </w:rPr>
        <w:t>Asperger's Disorder is sometimes observed in association with general medical condi­ tions that should be coded on Axis Ill. Various nonspecific neurological symptoms or signs may be noted. Motor milestones may be delayed, and motor clumsiness is often observed.</w:t>
      </w:r>
    </w:p>
    <w:p w:rsidR="00E675F0" w:rsidRDefault="00E675F0" w:rsidP="00E675F0">
      <w:pPr>
        <w:pStyle w:val="BodyText"/>
        <w:rPr>
          <w:sz w:val="22"/>
        </w:rPr>
      </w:pPr>
    </w:p>
    <w:p w:rsidR="00E675F0" w:rsidRDefault="00E675F0" w:rsidP="00E675F0">
      <w:pPr>
        <w:spacing w:before="143"/>
        <w:ind w:left="113"/>
        <w:rPr>
          <w:rFonts w:ascii="TimesNewRomanPS-BoldItalicMT"/>
          <w:b/>
          <w:i/>
          <w:sz w:val="24"/>
        </w:rPr>
      </w:pPr>
      <w:r>
        <w:rPr>
          <w:rFonts w:ascii="TimesNewRomanPS-BoldItalicMT"/>
          <w:b/>
          <w:i/>
          <w:w w:val="115"/>
          <w:sz w:val="24"/>
        </w:rPr>
        <w:t>Prevalence</w:t>
      </w:r>
    </w:p>
    <w:p w:rsidR="00E675F0" w:rsidRDefault="00E675F0" w:rsidP="00E675F0">
      <w:pPr>
        <w:pStyle w:val="BodyText"/>
        <w:spacing w:before="132" w:line="261" w:lineRule="auto"/>
        <w:ind w:left="133" w:right="125" w:hanging="9"/>
        <w:jc w:val="both"/>
      </w:pPr>
      <w:r>
        <w:rPr>
          <w:w w:val="105"/>
        </w:rPr>
        <w:t>Information on the prevalence of Asperger's Disorder is limited, but it appears to be more common in</w:t>
      </w:r>
      <w:r>
        <w:rPr>
          <w:spacing w:val="-6"/>
          <w:w w:val="105"/>
        </w:rPr>
        <w:t xml:space="preserve"> </w:t>
      </w:r>
      <w:r>
        <w:rPr>
          <w:w w:val="105"/>
        </w:rPr>
        <w:t>males.</w:t>
      </w:r>
    </w:p>
    <w:p w:rsidR="00E675F0" w:rsidRDefault="00E675F0" w:rsidP="00E675F0">
      <w:pPr>
        <w:pStyle w:val="BodyText"/>
        <w:rPr>
          <w:sz w:val="22"/>
        </w:rPr>
      </w:pPr>
    </w:p>
    <w:p w:rsidR="00E675F0" w:rsidRDefault="00E675F0" w:rsidP="00E675F0">
      <w:pPr>
        <w:spacing w:before="136"/>
        <w:ind w:left="109"/>
        <w:rPr>
          <w:rFonts w:ascii="TimesNewRomanPS-BoldItalicMT"/>
          <w:b/>
          <w:i/>
          <w:sz w:val="24"/>
        </w:rPr>
      </w:pPr>
      <w:r>
        <w:rPr>
          <w:rFonts w:ascii="TimesNewRomanPS-BoldItalicMT"/>
          <w:b/>
          <w:i/>
          <w:w w:val="115"/>
          <w:sz w:val="24"/>
        </w:rPr>
        <w:t>Course</w:t>
      </w:r>
    </w:p>
    <w:p w:rsidR="00E675F0" w:rsidRDefault="00E675F0" w:rsidP="00E675F0">
      <w:pPr>
        <w:pStyle w:val="BodyText"/>
        <w:spacing w:before="131" w:line="254" w:lineRule="auto"/>
        <w:ind w:left="127" w:right="119" w:firstLine="1"/>
        <w:jc w:val="both"/>
      </w:pPr>
      <w:r>
        <w:rPr>
          <w:w w:val="105"/>
        </w:rPr>
        <w:t xml:space="preserve">Asperger's Disorder appears to have a somewhat later onset than Autistic  Disorder,  or at least to be recognized somewhat later. Motor delays or motor clumsiness may be noted in the preschool period. Difficulties in social interaction may become more apparent in the context of school. </w:t>
      </w:r>
      <w:r>
        <w:rPr>
          <w:w w:val="105"/>
          <w:sz w:val="18"/>
        </w:rPr>
        <w:t xml:space="preserve">It </w:t>
      </w:r>
      <w:r>
        <w:rPr>
          <w:w w:val="105"/>
        </w:rPr>
        <w:t>is during this time that particular idiosyncratic or circumscribed interests (e.g., a fascination with train schedules) may appear or be recognized as such. As adults, individuals with the condition may have problems with empathy and modulation of social interaction. This disorder apparently follows a continuous course and, in the vast majority of cases, the duration is</w:t>
      </w:r>
      <w:r>
        <w:rPr>
          <w:spacing w:val="3"/>
          <w:w w:val="105"/>
        </w:rPr>
        <w:t xml:space="preserve"> </w:t>
      </w:r>
      <w:r>
        <w:rPr>
          <w:w w:val="105"/>
        </w:rPr>
        <w:t>lifelong.</w:t>
      </w:r>
    </w:p>
    <w:p w:rsidR="00E675F0" w:rsidRDefault="00E675F0" w:rsidP="00E675F0">
      <w:pPr>
        <w:pStyle w:val="BodyText"/>
        <w:rPr>
          <w:sz w:val="22"/>
        </w:rPr>
      </w:pPr>
    </w:p>
    <w:p w:rsidR="00E675F0" w:rsidRDefault="00E675F0" w:rsidP="00E675F0">
      <w:pPr>
        <w:spacing w:before="149"/>
        <w:ind w:left="110"/>
        <w:rPr>
          <w:rFonts w:ascii="TimesNewRomanPS-BoldItalicMT"/>
          <w:b/>
          <w:i/>
          <w:sz w:val="24"/>
        </w:rPr>
      </w:pPr>
      <w:r>
        <w:rPr>
          <w:rFonts w:ascii="TimesNewRomanPS-BoldItalicMT"/>
          <w:b/>
          <w:i/>
          <w:w w:val="115"/>
          <w:sz w:val="24"/>
        </w:rPr>
        <w:t>Familial Pattern</w:t>
      </w:r>
    </w:p>
    <w:p w:rsidR="00E675F0" w:rsidRDefault="00E675F0" w:rsidP="00E675F0">
      <w:pPr>
        <w:pStyle w:val="BodyText"/>
        <w:spacing w:before="131" w:line="252" w:lineRule="auto"/>
        <w:ind w:left="128" w:right="129" w:firstLine="4"/>
        <w:jc w:val="both"/>
      </w:pPr>
      <w:r>
        <w:rPr>
          <w:w w:val="105"/>
        </w:rPr>
        <w:t>Although the available data are limited, there appears to be an increased frequency of Asperger's Disorder among family members of individuals who have the disorder.</w:t>
      </w:r>
    </w:p>
    <w:p w:rsidR="00E675F0" w:rsidRDefault="00E675F0" w:rsidP="00E675F0">
      <w:pPr>
        <w:pStyle w:val="BodyText"/>
        <w:rPr>
          <w:sz w:val="22"/>
        </w:rPr>
      </w:pPr>
    </w:p>
    <w:p w:rsidR="00E675F0" w:rsidRDefault="00E675F0" w:rsidP="00E675F0">
      <w:pPr>
        <w:spacing w:before="131"/>
        <w:ind w:left="124"/>
        <w:rPr>
          <w:rFonts w:ascii="TimesNewRomanPS-BoldItalicMT"/>
          <w:b/>
          <w:i/>
          <w:sz w:val="24"/>
        </w:rPr>
      </w:pPr>
      <w:r>
        <w:rPr>
          <w:rFonts w:ascii="TimesNewRomanPS-BoldItalicMT"/>
          <w:b/>
          <w:i/>
          <w:w w:val="115"/>
          <w:sz w:val="24"/>
        </w:rPr>
        <w:t>Di,fferential magnosis</w:t>
      </w:r>
    </w:p>
    <w:p w:rsidR="00E675F0" w:rsidRDefault="00E675F0" w:rsidP="00E675F0">
      <w:pPr>
        <w:pStyle w:val="BodyText"/>
        <w:spacing w:before="136" w:line="254" w:lineRule="auto"/>
        <w:ind w:left="133" w:right="110"/>
        <w:jc w:val="both"/>
      </w:pPr>
      <w:r>
        <w:rPr>
          <w:w w:val="105"/>
        </w:rPr>
        <w:t xml:space="preserve">Asperger's Disorder is not diagnosed if criteria are met for another </w:t>
      </w:r>
      <w:r>
        <w:rPr>
          <w:b/>
          <w:w w:val="105"/>
        </w:rPr>
        <w:t xml:space="preserve">Pervasive Develop­ mental Disorder </w:t>
      </w:r>
      <w:r>
        <w:rPr>
          <w:w w:val="105"/>
        </w:rPr>
        <w:t xml:space="preserve">or for </w:t>
      </w:r>
      <w:r>
        <w:rPr>
          <w:b/>
          <w:w w:val="105"/>
        </w:rPr>
        <w:t xml:space="preserve">Schizophrenia. </w:t>
      </w:r>
      <w:r>
        <w:rPr>
          <w:w w:val="105"/>
        </w:rPr>
        <w:t xml:space="preserve">For the differential diagnosis with </w:t>
      </w:r>
      <w:r>
        <w:rPr>
          <w:b/>
          <w:w w:val="105"/>
        </w:rPr>
        <w:t xml:space="preserve">Autistic Disorder, </w:t>
      </w:r>
      <w:r>
        <w:rPr>
          <w:w w:val="105"/>
        </w:rPr>
        <w:t xml:space="preserve">see p. 69. For the differential diagnosis with </w:t>
      </w:r>
      <w:r>
        <w:rPr>
          <w:b/>
          <w:w w:val="105"/>
        </w:rPr>
        <w:t xml:space="preserve">Rett's Disorder, </w:t>
      </w:r>
      <w:r>
        <w:rPr>
          <w:w w:val="105"/>
        </w:rPr>
        <w:t xml:space="preserve">see p. 72. For the differential diagnosis with </w:t>
      </w:r>
      <w:r>
        <w:rPr>
          <w:b/>
          <w:w w:val="105"/>
        </w:rPr>
        <w:t xml:space="preserve">Childhood Disintegrative Disorder, </w:t>
      </w:r>
      <w:r>
        <w:rPr>
          <w:w w:val="105"/>
        </w:rPr>
        <w:t xml:space="preserve">see p. 74. Asperger's Disorder must also be distinguished from </w:t>
      </w:r>
      <w:r>
        <w:rPr>
          <w:b/>
          <w:w w:val="105"/>
        </w:rPr>
        <w:t xml:space="preserve">Obsessive-Compulsive Disorder </w:t>
      </w:r>
      <w:r>
        <w:rPr>
          <w:w w:val="105"/>
        </w:rPr>
        <w:t xml:space="preserve">and </w:t>
      </w:r>
      <w:r>
        <w:rPr>
          <w:b/>
          <w:w w:val="105"/>
        </w:rPr>
        <w:t xml:space="preserve">Schizoid Personality Disorder. </w:t>
      </w:r>
      <w:r>
        <w:rPr>
          <w:w w:val="105"/>
        </w:rPr>
        <w:t>Asperger's Disorder and Obsessive-Compulsive Disorder share repetitive and stereotyped patterns of behavior. In contrast to Obsessive­ Compulsive Disorder, Asperger's Disorder is characterized by a qualitative impairment in social interaction and a more restricted pattern of interests and activities.  In contrast to Schizoid Personality Disorder, Asperger's Disorder is characterized by stereotyped behaviors and interests and by more severely impaired social</w:t>
      </w:r>
      <w:r>
        <w:rPr>
          <w:spacing w:val="21"/>
          <w:w w:val="105"/>
        </w:rPr>
        <w:t xml:space="preserve"> </w:t>
      </w:r>
      <w:r>
        <w:rPr>
          <w:w w:val="105"/>
        </w:rPr>
        <w:t>interaction.</w:t>
      </w:r>
    </w:p>
    <w:p w:rsidR="00E675F0" w:rsidRDefault="00E675F0" w:rsidP="00E675F0">
      <w:pPr>
        <w:spacing w:line="254" w:lineRule="auto"/>
        <w:jc w:val="both"/>
        <w:sectPr w:rsidR="00E675F0">
          <w:pgSz w:w="8960" w:h="14260"/>
          <w:pgMar w:top="1400" w:right="600" w:bottom="280" w:left="620" w:header="696" w:footer="0" w:gutter="0"/>
          <w:cols w:space="720"/>
        </w:sectPr>
      </w:pPr>
    </w:p>
    <w:p w:rsidR="00E675F0" w:rsidRDefault="00E675F0" w:rsidP="00E675F0">
      <w:pPr>
        <w:pStyle w:val="BodyText"/>
        <w:spacing w:before="9" w:after="1"/>
        <w:rPr>
          <w:sz w:val="8"/>
        </w:rPr>
      </w:pPr>
    </w:p>
    <w:tbl>
      <w:tblPr>
        <w:tblW w:w="0" w:type="auto"/>
        <w:tblInd w:w="21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7322"/>
      </w:tblGrid>
      <w:tr w:rsidR="00E675F0" w:rsidTr="00A330E1">
        <w:trPr>
          <w:trHeight w:val="9488"/>
        </w:trPr>
        <w:tc>
          <w:tcPr>
            <w:tcW w:w="7322" w:type="dxa"/>
            <w:tcBorders>
              <w:bottom w:val="single" w:sz="18" w:space="0" w:color="000000"/>
            </w:tcBorders>
          </w:tcPr>
          <w:p w:rsidR="00E675F0" w:rsidRDefault="00E675F0" w:rsidP="003048D3">
            <w:pPr>
              <w:pStyle w:val="TableParagraph"/>
              <w:numPr>
                <w:ilvl w:val="0"/>
                <w:numId w:val="94"/>
              </w:numPr>
              <w:tabs>
                <w:tab w:val="left" w:pos="622"/>
              </w:tabs>
              <w:spacing w:line="530" w:lineRule="exact"/>
              <w:ind w:hanging="380"/>
              <w:rPr>
                <w:rFonts w:ascii="Arial" w:hAnsi="Arial"/>
                <w:b/>
                <w:sz w:val="23"/>
              </w:rPr>
            </w:pPr>
            <w:bookmarkStart w:id="50" w:name="_bookmark35"/>
            <w:bookmarkEnd w:id="50"/>
            <w:r>
              <w:rPr>
                <w:rFonts w:ascii="Arial" w:hAnsi="Arial"/>
                <w:b/>
                <w:w w:val="105"/>
                <w:sz w:val="23"/>
              </w:rPr>
              <w:t>Diagnostic criteria for 299.80 Asperger's</w:t>
            </w:r>
            <w:r>
              <w:rPr>
                <w:rFonts w:ascii="Arial" w:hAnsi="Arial"/>
                <w:b/>
                <w:spacing w:val="59"/>
                <w:w w:val="105"/>
                <w:sz w:val="23"/>
              </w:rPr>
              <w:t xml:space="preserve"> </w:t>
            </w:r>
            <w:r>
              <w:rPr>
                <w:rFonts w:ascii="Arial" w:hAnsi="Arial"/>
                <w:b/>
                <w:w w:val="105"/>
                <w:sz w:val="23"/>
              </w:rPr>
              <w:t>Disorder</w:t>
            </w:r>
          </w:p>
          <w:p w:rsidR="00E675F0" w:rsidRDefault="00E675F0" w:rsidP="003048D3">
            <w:pPr>
              <w:pStyle w:val="TableParagraph"/>
              <w:numPr>
                <w:ilvl w:val="1"/>
                <w:numId w:val="94"/>
              </w:numPr>
              <w:tabs>
                <w:tab w:val="left" w:pos="950"/>
              </w:tabs>
              <w:spacing w:before="60" w:line="256" w:lineRule="auto"/>
              <w:ind w:right="222" w:hanging="313"/>
              <w:jc w:val="both"/>
              <w:rPr>
                <w:sz w:val="20"/>
              </w:rPr>
            </w:pPr>
            <w:r>
              <w:rPr>
                <w:w w:val="105"/>
                <w:sz w:val="20"/>
              </w:rPr>
              <w:t>Qualitative impairment in social interaction, as manifested by at least two of the</w:t>
            </w:r>
            <w:r>
              <w:rPr>
                <w:spacing w:val="36"/>
                <w:w w:val="105"/>
                <w:sz w:val="20"/>
              </w:rPr>
              <w:t xml:space="preserve"> </w:t>
            </w:r>
            <w:r>
              <w:rPr>
                <w:w w:val="105"/>
                <w:sz w:val="20"/>
              </w:rPr>
              <w:t>following:</w:t>
            </w:r>
          </w:p>
          <w:p w:rsidR="00E675F0" w:rsidRDefault="00E675F0" w:rsidP="003048D3">
            <w:pPr>
              <w:pStyle w:val="TableParagraph"/>
              <w:numPr>
                <w:ilvl w:val="2"/>
                <w:numId w:val="94"/>
              </w:numPr>
              <w:tabs>
                <w:tab w:val="left" w:pos="1383"/>
              </w:tabs>
              <w:spacing w:before="61" w:line="254" w:lineRule="auto"/>
              <w:ind w:left="1372" w:right="222" w:hanging="424"/>
              <w:jc w:val="both"/>
              <w:rPr>
                <w:sz w:val="17"/>
              </w:rPr>
            </w:pPr>
            <w:r>
              <w:rPr>
                <w:w w:val="105"/>
                <w:sz w:val="20"/>
              </w:rPr>
              <w:t>marked</w:t>
            </w:r>
            <w:r>
              <w:rPr>
                <w:spacing w:val="-5"/>
                <w:w w:val="105"/>
                <w:sz w:val="20"/>
              </w:rPr>
              <w:t xml:space="preserve"> </w:t>
            </w:r>
            <w:r>
              <w:rPr>
                <w:w w:val="105"/>
                <w:sz w:val="20"/>
              </w:rPr>
              <w:t>impairment</w:t>
            </w:r>
            <w:r>
              <w:rPr>
                <w:spacing w:val="10"/>
                <w:w w:val="105"/>
                <w:sz w:val="20"/>
              </w:rPr>
              <w:t xml:space="preserve"> </w:t>
            </w:r>
            <w:r>
              <w:rPr>
                <w:w w:val="105"/>
                <w:sz w:val="20"/>
              </w:rPr>
              <w:t>in</w:t>
            </w:r>
            <w:r>
              <w:rPr>
                <w:spacing w:val="-15"/>
                <w:w w:val="105"/>
                <w:sz w:val="20"/>
              </w:rPr>
              <w:t xml:space="preserve"> </w:t>
            </w:r>
            <w:r>
              <w:rPr>
                <w:w w:val="105"/>
                <w:sz w:val="20"/>
              </w:rPr>
              <w:t>the</w:t>
            </w:r>
            <w:r>
              <w:rPr>
                <w:spacing w:val="-11"/>
                <w:w w:val="105"/>
                <w:sz w:val="20"/>
              </w:rPr>
              <w:t xml:space="preserve"> </w:t>
            </w:r>
            <w:r>
              <w:rPr>
                <w:w w:val="105"/>
                <w:sz w:val="20"/>
              </w:rPr>
              <w:t>use</w:t>
            </w:r>
            <w:r>
              <w:rPr>
                <w:spacing w:val="-19"/>
                <w:w w:val="105"/>
                <w:sz w:val="20"/>
              </w:rPr>
              <w:t xml:space="preserve"> </w:t>
            </w:r>
            <w:r>
              <w:rPr>
                <w:w w:val="105"/>
                <w:sz w:val="20"/>
              </w:rPr>
              <w:t>of</w:t>
            </w:r>
            <w:r>
              <w:rPr>
                <w:spacing w:val="-5"/>
                <w:w w:val="105"/>
                <w:sz w:val="20"/>
              </w:rPr>
              <w:t xml:space="preserve"> </w:t>
            </w:r>
            <w:r>
              <w:rPr>
                <w:w w:val="105"/>
                <w:sz w:val="20"/>
              </w:rPr>
              <w:t>multiple</w:t>
            </w:r>
            <w:r>
              <w:rPr>
                <w:spacing w:val="-4"/>
                <w:w w:val="105"/>
                <w:sz w:val="20"/>
              </w:rPr>
              <w:t xml:space="preserve"> </w:t>
            </w:r>
            <w:r>
              <w:rPr>
                <w:w w:val="105"/>
                <w:sz w:val="20"/>
              </w:rPr>
              <w:t>nonverbal</w:t>
            </w:r>
            <w:r>
              <w:rPr>
                <w:spacing w:val="5"/>
                <w:w w:val="105"/>
                <w:sz w:val="20"/>
              </w:rPr>
              <w:t xml:space="preserve"> </w:t>
            </w:r>
            <w:r>
              <w:rPr>
                <w:w w:val="105"/>
                <w:sz w:val="20"/>
              </w:rPr>
              <w:t>behaviors</w:t>
            </w:r>
            <w:r>
              <w:rPr>
                <w:spacing w:val="-18"/>
                <w:w w:val="105"/>
                <w:sz w:val="20"/>
              </w:rPr>
              <w:t xml:space="preserve"> </w:t>
            </w:r>
            <w:r>
              <w:rPr>
                <w:w w:val="105"/>
                <w:sz w:val="20"/>
              </w:rPr>
              <w:t>such as eye-to-eye gaze, facial expression, body postures, and gestures to regulate social</w:t>
            </w:r>
            <w:r>
              <w:rPr>
                <w:spacing w:val="36"/>
                <w:w w:val="105"/>
                <w:sz w:val="20"/>
              </w:rPr>
              <w:t xml:space="preserve"> </w:t>
            </w:r>
            <w:r>
              <w:rPr>
                <w:w w:val="105"/>
                <w:sz w:val="20"/>
              </w:rPr>
              <w:t>interaction</w:t>
            </w:r>
          </w:p>
          <w:p w:rsidR="00E675F0" w:rsidRDefault="00E675F0" w:rsidP="003048D3">
            <w:pPr>
              <w:pStyle w:val="TableParagraph"/>
              <w:numPr>
                <w:ilvl w:val="2"/>
                <w:numId w:val="94"/>
              </w:numPr>
              <w:tabs>
                <w:tab w:val="left" w:pos="1372"/>
              </w:tabs>
              <w:spacing w:before="4" w:line="256" w:lineRule="auto"/>
              <w:ind w:left="1382" w:right="237" w:hanging="435"/>
              <w:jc w:val="both"/>
              <w:rPr>
                <w:sz w:val="20"/>
              </w:rPr>
            </w:pPr>
            <w:r>
              <w:rPr>
                <w:w w:val="105"/>
                <w:sz w:val="20"/>
              </w:rPr>
              <w:t>failure to develop peer relationships appropriate to developmental level</w:t>
            </w:r>
          </w:p>
          <w:p w:rsidR="00E675F0" w:rsidRDefault="00E675F0" w:rsidP="003048D3">
            <w:pPr>
              <w:pStyle w:val="TableParagraph"/>
              <w:numPr>
                <w:ilvl w:val="2"/>
                <w:numId w:val="94"/>
              </w:numPr>
              <w:tabs>
                <w:tab w:val="left" w:pos="1378"/>
              </w:tabs>
              <w:spacing w:line="254" w:lineRule="auto"/>
              <w:ind w:left="1377" w:right="222" w:hanging="430"/>
              <w:jc w:val="both"/>
              <w:rPr>
                <w:sz w:val="20"/>
              </w:rPr>
            </w:pPr>
            <w:r>
              <w:rPr>
                <w:w w:val="105"/>
                <w:sz w:val="20"/>
              </w:rPr>
              <w:t>a lack of spontaneous seeking to share enjoyment, interests, or achievements with other people (e.g., by a lack of showing, bringing, or pointing out objects of interest to other</w:t>
            </w:r>
            <w:r>
              <w:rPr>
                <w:spacing w:val="42"/>
                <w:w w:val="105"/>
                <w:sz w:val="20"/>
              </w:rPr>
              <w:t xml:space="preserve"> </w:t>
            </w:r>
            <w:r>
              <w:rPr>
                <w:w w:val="105"/>
                <w:sz w:val="20"/>
              </w:rPr>
              <w:t>people)</w:t>
            </w:r>
          </w:p>
          <w:p w:rsidR="00E675F0" w:rsidRDefault="00E675F0" w:rsidP="003048D3">
            <w:pPr>
              <w:pStyle w:val="TableParagraph"/>
              <w:numPr>
                <w:ilvl w:val="2"/>
                <w:numId w:val="94"/>
              </w:numPr>
              <w:tabs>
                <w:tab w:val="left" w:pos="1379"/>
              </w:tabs>
              <w:spacing w:line="229" w:lineRule="exact"/>
              <w:ind w:left="1378" w:hanging="427"/>
              <w:jc w:val="both"/>
              <w:rPr>
                <w:sz w:val="20"/>
              </w:rPr>
            </w:pPr>
            <w:r>
              <w:rPr>
                <w:w w:val="105"/>
                <w:sz w:val="20"/>
              </w:rPr>
              <w:t>lack of social or emotional</w:t>
            </w:r>
            <w:r>
              <w:rPr>
                <w:spacing w:val="12"/>
                <w:w w:val="105"/>
                <w:sz w:val="20"/>
              </w:rPr>
              <w:t xml:space="preserve"> </w:t>
            </w:r>
            <w:r>
              <w:rPr>
                <w:w w:val="105"/>
                <w:sz w:val="20"/>
              </w:rPr>
              <w:t>reciprocity</w:t>
            </w:r>
          </w:p>
          <w:p w:rsidR="00E675F0" w:rsidRDefault="00E675F0" w:rsidP="003048D3">
            <w:pPr>
              <w:pStyle w:val="TableParagraph"/>
              <w:numPr>
                <w:ilvl w:val="1"/>
                <w:numId w:val="94"/>
              </w:numPr>
              <w:tabs>
                <w:tab w:val="left" w:pos="958"/>
              </w:tabs>
              <w:spacing w:before="186" w:line="256" w:lineRule="auto"/>
              <w:ind w:left="953" w:right="223" w:hanging="305"/>
              <w:jc w:val="both"/>
              <w:rPr>
                <w:sz w:val="20"/>
              </w:rPr>
            </w:pPr>
            <w:r>
              <w:rPr>
                <w:w w:val="105"/>
                <w:sz w:val="20"/>
              </w:rPr>
              <w:t>Restricted repetitive and stereotyped patterns of behavior, interests, and activities, as manifested by at least one of the</w:t>
            </w:r>
            <w:r>
              <w:rPr>
                <w:spacing w:val="23"/>
                <w:w w:val="105"/>
                <w:sz w:val="20"/>
              </w:rPr>
              <w:t xml:space="preserve"> </w:t>
            </w:r>
            <w:r>
              <w:rPr>
                <w:w w:val="105"/>
                <w:sz w:val="20"/>
              </w:rPr>
              <w:t>following:</w:t>
            </w:r>
          </w:p>
          <w:p w:rsidR="00E675F0" w:rsidRDefault="00E675F0" w:rsidP="003048D3">
            <w:pPr>
              <w:pStyle w:val="TableParagraph"/>
              <w:numPr>
                <w:ilvl w:val="2"/>
                <w:numId w:val="94"/>
              </w:numPr>
              <w:tabs>
                <w:tab w:val="left" w:pos="1377"/>
              </w:tabs>
              <w:spacing w:before="56" w:line="259" w:lineRule="auto"/>
              <w:ind w:right="227"/>
              <w:jc w:val="both"/>
              <w:rPr>
                <w:sz w:val="17"/>
              </w:rPr>
            </w:pPr>
            <w:r>
              <w:rPr>
                <w:w w:val="105"/>
                <w:sz w:val="20"/>
              </w:rPr>
              <w:t>encompassing preoccupation with one or more stereotyped and restricted patterns of interest that is abnormal either in intensity or focus</w:t>
            </w:r>
          </w:p>
          <w:p w:rsidR="00E675F0" w:rsidRDefault="00E675F0" w:rsidP="003048D3">
            <w:pPr>
              <w:pStyle w:val="TableParagraph"/>
              <w:numPr>
                <w:ilvl w:val="2"/>
                <w:numId w:val="94"/>
              </w:numPr>
              <w:tabs>
                <w:tab w:val="left" w:pos="1383"/>
              </w:tabs>
              <w:spacing w:line="256" w:lineRule="auto"/>
              <w:ind w:left="1382" w:right="229" w:hanging="430"/>
              <w:jc w:val="both"/>
              <w:rPr>
                <w:sz w:val="20"/>
              </w:rPr>
            </w:pPr>
            <w:r>
              <w:rPr>
                <w:w w:val="105"/>
                <w:sz w:val="20"/>
              </w:rPr>
              <w:t>apparently inflexible adherence to specific, nonfunctional routines or</w:t>
            </w:r>
            <w:r>
              <w:rPr>
                <w:spacing w:val="8"/>
                <w:w w:val="105"/>
                <w:sz w:val="20"/>
              </w:rPr>
              <w:t xml:space="preserve"> </w:t>
            </w:r>
            <w:r>
              <w:rPr>
                <w:w w:val="105"/>
                <w:sz w:val="20"/>
              </w:rPr>
              <w:t>rituals</w:t>
            </w:r>
          </w:p>
          <w:p w:rsidR="00E675F0" w:rsidRDefault="00E675F0" w:rsidP="003048D3">
            <w:pPr>
              <w:pStyle w:val="TableParagraph"/>
              <w:numPr>
                <w:ilvl w:val="2"/>
                <w:numId w:val="94"/>
              </w:numPr>
              <w:tabs>
                <w:tab w:val="left" w:pos="1375"/>
              </w:tabs>
              <w:spacing w:line="256" w:lineRule="auto"/>
              <w:ind w:right="228" w:hanging="424"/>
              <w:jc w:val="both"/>
              <w:rPr>
                <w:sz w:val="20"/>
              </w:rPr>
            </w:pPr>
            <w:r>
              <w:rPr>
                <w:w w:val="105"/>
                <w:sz w:val="20"/>
              </w:rPr>
              <w:t>stereotyped and repetitive motor mannerisms (e.g., hand or finger flapping or twisting, or complex whole-body</w:t>
            </w:r>
            <w:r>
              <w:rPr>
                <w:spacing w:val="51"/>
                <w:w w:val="105"/>
                <w:sz w:val="20"/>
              </w:rPr>
              <w:t xml:space="preserve"> </w:t>
            </w:r>
            <w:r>
              <w:rPr>
                <w:w w:val="105"/>
                <w:sz w:val="20"/>
              </w:rPr>
              <w:t>movements)</w:t>
            </w:r>
          </w:p>
          <w:p w:rsidR="00E675F0" w:rsidRDefault="00E675F0" w:rsidP="003048D3">
            <w:pPr>
              <w:pStyle w:val="TableParagraph"/>
              <w:numPr>
                <w:ilvl w:val="2"/>
                <w:numId w:val="94"/>
              </w:numPr>
              <w:tabs>
                <w:tab w:val="left" w:pos="1390"/>
              </w:tabs>
              <w:spacing w:line="228" w:lineRule="exact"/>
              <w:ind w:left="1389" w:hanging="438"/>
              <w:jc w:val="both"/>
              <w:rPr>
                <w:sz w:val="20"/>
              </w:rPr>
            </w:pPr>
            <w:r>
              <w:rPr>
                <w:w w:val="105"/>
                <w:sz w:val="20"/>
              </w:rPr>
              <w:t>persistent preoccupation with parts of</w:t>
            </w:r>
            <w:r>
              <w:rPr>
                <w:spacing w:val="-11"/>
                <w:w w:val="105"/>
                <w:sz w:val="20"/>
              </w:rPr>
              <w:t xml:space="preserve"> </w:t>
            </w:r>
            <w:r>
              <w:rPr>
                <w:w w:val="105"/>
                <w:sz w:val="20"/>
              </w:rPr>
              <w:t>objects</w:t>
            </w:r>
          </w:p>
          <w:p w:rsidR="00E675F0" w:rsidRDefault="00E675F0" w:rsidP="003048D3">
            <w:pPr>
              <w:pStyle w:val="TableParagraph"/>
              <w:numPr>
                <w:ilvl w:val="1"/>
                <w:numId w:val="94"/>
              </w:numPr>
              <w:tabs>
                <w:tab w:val="left" w:pos="951"/>
              </w:tabs>
              <w:spacing w:before="172" w:line="256" w:lineRule="auto"/>
              <w:ind w:left="961" w:right="229" w:hanging="311"/>
              <w:jc w:val="both"/>
              <w:rPr>
                <w:sz w:val="18"/>
              </w:rPr>
            </w:pPr>
            <w:r>
              <w:rPr>
                <w:w w:val="105"/>
                <w:sz w:val="20"/>
              </w:rPr>
              <w:t>The disturbance causes clinically significant impairment in social, occu­ pational, or other important areas of</w:t>
            </w:r>
            <w:r>
              <w:rPr>
                <w:spacing w:val="26"/>
                <w:w w:val="105"/>
                <w:sz w:val="20"/>
              </w:rPr>
              <w:t xml:space="preserve"> </w:t>
            </w:r>
            <w:r>
              <w:rPr>
                <w:w w:val="105"/>
                <w:sz w:val="20"/>
              </w:rPr>
              <w:t>functioning.</w:t>
            </w:r>
          </w:p>
          <w:p w:rsidR="00E675F0" w:rsidRDefault="00E675F0" w:rsidP="003048D3">
            <w:pPr>
              <w:pStyle w:val="TableParagraph"/>
              <w:numPr>
                <w:ilvl w:val="1"/>
                <w:numId w:val="94"/>
              </w:numPr>
              <w:tabs>
                <w:tab w:val="left" w:pos="951"/>
              </w:tabs>
              <w:spacing w:before="181" w:line="256" w:lineRule="auto"/>
              <w:ind w:left="959" w:right="222" w:hanging="306"/>
              <w:jc w:val="both"/>
              <w:rPr>
                <w:sz w:val="20"/>
              </w:rPr>
            </w:pPr>
            <w:r>
              <w:rPr>
                <w:w w:val="105"/>
                <w:sz w:val="20"/>
              </w:rPr>
              <w:t>There is no clinically significant general delay in language (e.g., single words</w:t>
            </w:r>
            <w:r>
              <w:rPr>
                <w:spacing w:val="-4"/>
                <w:w w:val="105"/>
                <w:sz w:val="20"/>
              </w:rPr>
              <w:t xml:space="preserve"> </w:t>
            </w:r>
            <w:r>
              <w:rPr>
                <w:w w:val="105"/>
                <w:sz w:val="20"/>
              </w:rPr>
              <w:t>used</w:t>
            </w:r>
            <w:r>
              <w:rPr>
                <w:spacing w:val="3"/>
                <w:w w:val="105"/>
                <w:sz w:val="20"/>
              </w:rPr>
              <w:t xml:space="preserve"> </w:t>
            </w:r>
            <w:r>
              <w:rPr>
                <w:w w:val="105"/>
                <w:sz w:val="20"/>
              </w:rPr>
              <w:t>by</w:t>
            </w:r>
            <w:r>
              <w:rPr>
                <w:spacing w:val="-14"/>
                <w:w w:val="105"/>
                <w:sz w:val="20"/>
              </w:rPr>
              <w:t xml:space="preserve"> </w:t>
            </w:r>
            <w:r>
              <w:rPr>
                <w:w w:val="105"/>
                <w:sz w:val="20"/>
              </w:rPr>
              <w:t>age</w:t>
            </w:r>
            <w:r>
              <w:rPr>
                <w:spacing w:val="-5"/>
                <w:w w:val="105"/>
                <w:sz w:val="20"/>
              </w:rPr>
              <w:t xml:space="preserve"> </w:t>
            </w:r>
            <w:r>
              <w:rPr>
                <w:w w:val="105"/>
                <w:sz w:val="20"/>
              </w:rPr>
              <w:t>2</w:t>
            </w:r>
            <w:r>
              <w:rPr>
                <w:spacing w:val="-12"/>
                <w:w w:val="105"/>
                <w:sz w:val="20"/>
              </w:rPr>
              <w:t xml:space="preserve"> </w:t>
            </w:r>
            <w:r>
              <w:rPr>
                <w:w w:val="105"/>
                <w:sz w:val="20"/>
              </w:rPr>
              <w:t>years,</w:t>
            </w:r>
            <w:r>
              <w:rPr>
                <w:spacing w:val="-2"/>
                <w:w w:val="105"/>
                <w:sz w:val="20"/>
              </w:rPr>
              <w:t xml:space="preserve"> </w:t>
            </w:r>
            <w:r>
              <w:rPr>
                <w:w w:val="105"/>
                <w:sz w:val="20"/>
              </w:rPr>
              <w:t>communicative</w:t>
            </w:r>
            <w:r>
              <w:rPr>
                <w:spacing w:val="19"/>
                <w:w w:val="105"/>
                <w:sz w:val="20"/>
              </w:rPr>
              <w:t xml:space="preserve"> </w:t>
            </w:r>
            <w:r>
              <w:rPr>
                <w:w w:val="105"/>
                <w:sz w:val="20"/>
              </w:rPr>
              <w:t>phrases</w:t>
            </w:r>
            <w:r>
              <w:rPr>
                <w:spacing w:val="1"/>
                <w:w w:val="105"/>
                <w:sz w:val="20"/>
              </w:rPr>
              <w:t xml:space="preserve"> </w:t>
            </w:r>
            <w:r>
              <w:rPr>
                <w:w w:val="105"/>
                <w:sz w:val="20"/>
              </w:rPr>
              <w:t>used</w:t>
            </w:r>
            <w:r>
              <w:rPr>
                <w:spacing w:val="3"/>
                <w:w w:val="105"/>
                <w:sz w:val="20"/>
              </w:rPr>
              <w:t xml:space="preserve"> </w:t>
            </w:r>
            <w:r>
              <w:rPr>
                <w:w w:val="105"/>
                <w:sz w:val="20"/>
              </w:rPr>
              <w:t>by</w:t>
            </w:r>
            <w:r>
              <w:rPr>
                <w:spacing w:val="-18"/>
                <w:w w:val="105"/>
                <w:sz w:val="20"/>
              </w:rPr>
              <w:t xml:space="preserve"> </w:t>
            </w:r>
            <w:r>
              <w:rPr>
                <w:w w:val="105"/>
                <w:sz w:val="20"/>
              </w:rPr>
              <w:t>age</w:t>
            </w:r>
            <w:r>
              <w:rPr>
                <w:spacing w:val="-15"/>
                <w:w w:val="105"/>
                <w:sz w:val="20"/>
              </w:rPr>
              <w:t xml:space="preserve"> </w:t>
            </w:r>
            <w:r>
              <w:rPr>
                <w:w w:val="105"/>
                <w:sz w:val="20"/>
              </w:rPr>
              <w:t>3</w:t>
            </w:r>
            <w:r>
              <w:rPr>
                <w:spacing w:val="-16"/>
                <w:w w:val="105"/>
                <w:sz w:val="20"/>
              </w:rPr>
              <w:t xml:space="preserve"> </w:t>
            </w:r>
            <w:r>
              <w:rPr>
                <w:w w:val="105"/>
                <w:sz w:val="20"/>
              </w:rPr>
              <w:t>years).</w:t>
            </w:r>
          </w:p>
          <w:p w:rsidR="00E675F0" w:rsidRDefault="00E675F0" w:rsidP="003048D3">
            <w:pPr>
              <w:pStyle w:val="TableParagraph"/>
              <w:numPr>
                <w:ilvl w:val="1"/>
                <w:numId w:val="94"/>
              </w:numPr>
              <w:tabs>
                <w:tab w:val="left" w:pos="951"/>
              </w:tabs>
              <w:spacing w:before="171" w:line="252" w:lineRule="auto"/>
              <w:ind w:left="957" w:right="219" w:hanging="304"/>
              <w:jc w:val="both"/>
              <w:rPr>
                <w:sz w:val="20"/>
              </w:rPr>
            </w:pPr>
            <w:r>
              <w:rPr>
                <w:w w:val="105"/>
                <w:sz w:val="20"/>
              </w:rPr>
              <w:t>There is no clinically significant delay in cognitive development or in the development of age-appropriate self-help skills, adaptive behavior (other than in social interaction), and curiosity about  the environment in</w:t>
            </w:r>
            <w:r>
              <w:rPr>
                <w:spacing w:val="3"/>
                <w:w w:val="105"/>
                <w:sz w:val="20"/>
              </w:rPr>
              <w:t xml:space="preserve"> </w:t>
            </w:r>
            <w:r>
              <w:rPr>
                <w:w w:val="105"/>
                <w:sz w:val="20"/>
              </w:rPr>
              <w:t>childhood.</w:t>
            </w:r>
          </w:p>
          <w:p w:rsidR="00E675F0" w:rsidRDefault="00E675F0" w:rsidP="003048D3">
            <w:pPr>
              <w:pStyle w:val="TableParagraph"/>
              <w:numPr>
                <w:ilvl w:val="1"/>
                <w:numId w:val="94"/>
              </w:numPr>
              <w:tabs>
                <w:tab w:val="left" w:pos="959"/>
              </w:tabs>
              <w:spacing w:before="178" w:line="244" w:lineRule="auto"/>
              <w:ind w:left="962" w:right="235"/>
              <w:jc w:val="both"/>
              <w:rPr>
                <w:sz w:val="20"/>
              </w:rPr>
            </w:pPr>
            <w:r>
              <w:rPr>
                <w:w w:val="105"/>
                <w:sz w:val="20"/>
              </w:rPr>
              <w:t>Criteria are not met for another specific Pervasive Developmental Disorder or</w:t>
            </w:r>
            <w:r>
              <w:rPr>
                <w:spacing w:val="20"/>
                <w:w w:val="105"/>
                <w:sz w:val="20"/>
              </w:rPr>
              <w:t xml:space="preserve"> </w:t>
            </w:r>
            <w:r>
              <w:rPr>
                <w:w w:val="105"/>
                <w:sz w:val="20"/>
              </w:rPr>
              <w:t>Schizophrenia.</w:t>
            </w:r>
          </w:p>
        </w:tc>
      </w:tr>
    </w:tbl>
    <w:p w:rsidR="00E675F0" w:rsidRDefault="00E675F0" w:rsidP="00E675F0">
      <w:pPr>
        <w:pStyle w:val="BodyText"/>
      </w:pPr>
    </w:p>
    <w:p w:rsidR="00E675F0" w:rsidRDefault="00E675F0" w:rsidP="00E675F0">
      <w:pPr>
        <w:pStyle w:val="BodyText"/>
        <w:spacing w:before="10"/>
        <w:rPr>
          <w:sz w:val="26"/>
        </w:rPr>
      </w:pPr>
    </w:p>
    <w:p w:rsidR="00E675F0" w:rsidRDefault="00E675F0" w:rsidP="00E675F0">
      <w:pPr>
        <w:tabs>
          <w:tab w:val="left" w:pos="2200"/>
        </w:tabs>
        <w:spacing w:before="92"/>
        <w:ind w:left="1130"/>
        <w:rPr>
          <w:rFonts w:ascii="Arial"/>
          <w:b/>
          <w:sz w:val="26"/>
        </w:rPr>
      </w:pPr>
      <w:r>
        <w:rPr>
          <w:noProof/>
        </w:rPr>
        <mc:AlternateContent>
          <mc:Choice Requires="wps">
            <w:drawing>
              <wp:anchor distT="0" distB="0" distL="114300" distR="114300" simplePos="0" relativeHeight="251685888" behindDoc="0" locked="0" layoutInCell="1" allowOverlap="1" wp14:anchorId="3C693037" wp14:editId="2A6B899F">
                <wp:simplePos x="0" y="0"/>
                <wp:positionH relativeFrom="page">
                  <wp:posOffset>504825</wp:posOffset>
                </wp:positionH>
                <wp:positionV relativeFrom="paragraph">
                  <wp:posOffset>-287020</wp:posOffset>
                </wp:positionV>
                <wp:extent cx="0" cy="0"/>
                <wp:effectExtent l="0" t="0" r="0" b="0"/>
                <wp:wrapNone/>
                <wp:docPr id="1566" name="Line 15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305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B0F79E" id="Line 1522" o:spid="_x0000_s1026" style="position:absolute;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75pt,-22.6pt" to="39.75pt,-22.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" strokeweight=".84856mm">
                <o:lock v:ext="edit" shapetype="f"/>
                <w10:wrap anchorx="page"/>
              </v:line>
            </w:pict>
          </mc:Fallback>
        </mc:AlternateContent>
      </w:r>
      <w:r>
        <w:rPr>
          <w:noProof/>
        </w:rPr>
        <mc:AlternateContent>
          <mc:Choice Requires="wps">
            <w:drawing>
              <wp:anchor distT="0" distB="0" distL="114300" distR="114300" simplePos="0" relativeHeight="251769856" behindDoc="1" locked="0" layoutInCell="1" allowOverlap="1" wp14:anchorId="7A8B51DB" wp14:editId="4DD02822">
                <wp:simplePos x="0" y="0"/>
                <wp:positionH relativeFrom="page">
                  <wp:posOffset>5154295</wp:posOffset>
                </wp:positionH>
                <wp:positionV relativeFrom="paragraph">
                  <wp:posOffset>-287020</wp:posOffset>
                </wp:positionV>
                <wp:extent cx="0" cy="0"/>
                <wp:effectExtent l="0" t="0" r="0" b="0"/>
                <wp:wrapNone/>
                <wp:docPr id="1565" name="Line 15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3360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966376" id="Line 1521" o:spid="_x0000_s1026" style="position:absolute;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5.85pt,-22.6pt" to="405.85pt,-22.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" strokeweight=".93342mm">
                <o:lock v:ext="edit" shapetype="f"/>
                <w10:wrap anchorx="page"/>
              </v:line>
            </w:pict>
          </mc:Fallback>
        </mc:AlternateContent>
      </w:r>
      <w:r>
        <w:rPr>
          <w:rFonts w:ascii="Arial"/>
          <w:b/>
          <w:w w:val="105"/>
          <w:sz w:val="26"/>
        </w:rPr>
        <w:t>299.80</w:t>
      </w:r>
      <w:r>
        <w:rPr>
          <w:rFonts w:ascii="Arial"/>
          <w:b/>
          <w:w w:val="105"/>
          <w:sz w:val="26"/>
        </w:rPr>
        <w:tab/>
        <w:t>Pervasive Developmental</w:t>
      </w:r>
      <w:r>
        <w:rPr>
          <w:rFonts w:ascii="Arial"/>
          <w:b/>
          <w:spacing w:val="-3"/>
          <w:w w:val="105"/>
          <w:sz w:val="26"/>
        </w:rPr>
        <w:t xml:space="preserve"> </w:t>
      </w:r>
      <w:r>
        <w:rPr>
          <w:rFonts w:ascii="Arial"/>
          <w:b/>
          <w:w w:val="105"/>
          <w:sz w:val="26"/>
        </w:rPr>
        <w:t>Disorder</w:t>
      </w:r>
    </w:p>
    <w:p w:rsidR="00E675F0" w:rsidRDefault="00E675F0" w:rsidP="00E675F0">
      <w:pPr>
        <w:spacing w:before="8"/>
        <w:ind w:left="569"/>
        <w:rPr>
          <w:rFonts w:ascii="Arial"/>
          <w:b/>
          <w:sz w:val="26"/>
        </w:rPr>
      </w:pPr>
      <w:r>
        <w:rPr>
          <w:rFonts w:ascii="Arial"/>
          <w:b/>
          <w:sz w:val="26"/>
        </w:rPr>
        <w:t>Not Otherwise Specified (Including Atypical Autism)</w:t>
      </w:r>
    </w:p>
    <w:p w:rsidR="00E675F0" w:rsidRDefault="00E675F0" w:rsidP="00E675F0">
      <w:pPr>
        <w:pStyle w:val="BodyText"/>
        <w:spacing w:before="1"/>
        <w:rPr>
          <w:rFonts w:ascii="Arial"/>
          <w:b/>
          <w:sz w:val="32"/>
        </w:rPr>
      </w:pPr>
    </w:p>
    <w:p w:rsidR="00E675F0" w:rsidRDefault="00E675F0" w:rsidP="00E675F0">
      <w:pPr>
        <w:pStyle w:val="BodyText"/>
        <w:spacing w:line="254" w:lineRule="auto"/>
        <w:ind w:left="107" w:right="113" w:hanging="1"/>
        <w:jc w:val="both"/>
      </w:pPr>
      <w:r>
        <w:rPr>
          <w:w w:val="105"/>
        </w:rPr>
        <w:t>This category should be used when there is a severe and pervasive impairment in the development of reciprocal social interaction or verbal and nonverbal communication skills, or when stereotyped behavior, interests, and activities are present, but the criteria</w:t>
      </w:r>
    </w:p>
    <w:p w:rsidR="00E675F0" w:rsidRDefault="00E675F0" w:rsidP="00E675F0">
      <w:pPr>
        <w:spacing w:line="254" w:lineRule="auto"/>
        <w:jc w:val="both"/>
        <w:sectPr w:rsidR="00E675F0">
          <w:headerReference w:type="even" r:id="rId96"/>
          <w:headerReference w:type="default" r:id="rId97"/>
          <w:pgSz w:w="8960" w:h="14260"/>
          <w:pgMar w:top="1400" w:right="640" w:bottom="280" w:left="620" w:header="677" w:footer="0" w:gutter="0"/>
          <w:pgNumType w:start="77"/>
          <w:cols w:space="720"/>
        </w:sectPr>
      </w:pPr>
    </w:p>
    <w:p w:rsidR="00E675F0" w:rsidRDefault="00E675F0" w:rsidP="00E675F0">
      <w:pPr>
        <w:pStyle w:val="BodyText"/>
        <w:spacing w:line="20" w:lineRule="exact"/>
        <w:ind w:left="125"/>
        <w:rPr>
          <w:sz w:val="2"/>
        </w:rPr>
      </w:pPr>
      <w:r>
        <w:rPr>
          <w:noProof/>
          <w:sz w:val="2"/>
        </w:rPr>
        <w:lastRenderedPageBreak/>
        <mc:AlternateContent>
          <mc:Choice Requires="wpg">
            <w:drawing>
              <wp:inline distT="0" distB="0" distL="0" distR="0" wp14:anchorId="45A077A5" wp14:editId="381ABFDF">
                <wp:extent cx="4752975" cy="6350"/>
                <wp:effectExtent l="0" t="0" r="0" b="0"/>
                <wp:docPr id="1563" name="Group 1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2975" cy="6350"/>
                          <a:chOff x="0" y="0"/>
                          <a:chExt cx="7485" cy="10"/>
                        </a:xfrm>
                      </wpg:grpSpPr>
                      <wps:wsp>
                        <wps:cNvPr id="1564" name="Line 1520"/>
                        <wps:cNvCnPr>
                          <a:cxnSpLocks/>
                        </wps:cNvCnPr>
                        <wps:spPr bwMode="auto">
                          <a:xfrm>
                            <a:off x="0" y="5"/>
                            <a:ext cx="7485" cy="0"/>
                          </a:xfrm>
                          <a:prstGeom prst="line">
                            <a:avLst/>
                          </a:prstGeom>
                          <a:noFill/>
                          <a:ln w="610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24C450D" id="Group 1519" o:spid="_x0000_s1026" style="width:374.25pt;height:.5pt;mso-position-horizontal-relative:char;mso-position-vertical-relative:line" coordsize="7485,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">
                <v:line id="Line 1520" o:spid="_x0000_s1027" style="position:absolute;visibility:visible;mso-wrap-style:square" from="0,5" to="748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" strokeweight=".16956mm">
                  <o:lock v:ext="edit" shapetype="f"/>
                </v:line>
                <w10:anchorlock/>
              </v:group>
            </w:pict>
          </mc:Fallback>
        </mc:AlternateContent>
      </w:r>
    </w:p>
    <w:p w:rsidR="00E675F0" w:rsidRDefault="00E675F0" w:rsidP="00E675F0">
      <w:pPr>
        <w:pStyle w:val="BodyText"/>
      </w:pPr>
    </w:p>
    <w:p w:rsidR="00E675F0" w:rsidRDefault="00E675F0" w:rsidP="00E675F0">
      <w:pPr>
        <w:pStyle w:val="BodyText"/>
        <w:spacing w:before="3"/>
        <w:rPr>
          <w:sz w:val="19"/>
        </w:rPr>
      </w:pPr>
    </w:p>
    <w:p w:rsidR="00E675F0" w:rsidRDefault="00E675F0" w:rsidP="00E675F0">
      <w:pPr>
        <w:pStyle w:val="BodyText"/>
        <w:spacing w:before="92" w:line="254" w:lineRule="auto"/>
        <w:ind w:left="125" w:right="132" w:firstLine="2"/>
        <w:jc w:val="both"/>
      </w:pPr>
      <w:bookmarkStart w:id="51" w:name="_bookmark36"/>
      <w:bookmarkEnd w:id="51"/>
      <w:r>
        <w:rPr>
          <w:w w:val="105"/>
        </w:rPr>
        <w:t>are</w:t>
      </w:r>
      <w:r>
        <w:rPr>
          <w:spacing w:val="-8"/>
          <w:w w:val="105"/>
        </w:rPr>
        <w:t xml:space="preserve"> </w:t>
      </w:r>
      <w:r>
        <w:rPr>
          <w:w w:val="105"/>
        </w:rPr>
        <w:t>not</w:t>
      </w:r>
      <w:r>
        <w:rPr>
          <w:spacing w:val="-6"/>
          <w:w w:val="105"/>
        </w:rPr>
        <w:t xml:space="preserve"> </w:t>
      </w:r>
      <w:r>
        <w:rPr>
          <w:w w:val="105"/>
        </w:rPr>
        <w:t>met</w:t>
      </w:r>
      <w:r>
        <w:rPr>
          <w:spacing w:val="-10"/>
          <w:w w:val="105"/>
        </w:rPr>
        <w:t xml:space="preserve"> </w:t>
      </w:r>
      <w:r>
        <w:rPr>
          <w:w w:val="105"/>
        </w:rPr>
        <w:t>for</w:t>
      </w:r>
      <w:r>
        <w:rPr>
          <w:spacing w:val="-15"/>
          <w:w w:val="105"/>
        </w:rPr>
        <w:t xml:space="preserve"> </w:t>
      </w:r>
      <w:r>
        <w:rPr>
          <w:w w:val="105"/>
        </w:rPr>
        <w:t>a</w:t>
      </w:r>
      <w:r>
        <w:rPr>
          <w:spacing w:val="-13"/>
          <w:w w:val="105"/>
        </w:rPr>
        <w:t xml:space="preserve"> </w:t>
      </w:r>
      <w:r>
        <w:rPr>
          <w:w w:val="105"/>
        </w:rPr>
        <w:t>specific</w:t>
      </w:r>
      <w:r>
        <w:rPr>
          <w:spacing w:val="-6"/>
          <w:w w:val="105"/>
        </w:rPr>
        <w:t xml:space="preserve"> </w:t>
      </w:r>
      <w:r>
        <w:rPr>
          <w:w w:val="105"/>
        </w:rPr>
        <w:t>Pervasive</w:t>
      </w:r>
      <w:r>
        <w:rPr>
          <w:spacing w:val="8"/>
          <w:w w:val="105"/>
        </w:rPr>
        <w:t xml:space="preserve"> </w:t>
      </w:r>
      <w:r>
        <w:rPr>
          <w:w w:val="105"/>
        </w:rPr>
        <w:t>Developmental</w:t>
      </w:r>
      <w:r>
        <w:rPr>
          <w:spacing w:val="1"/>
          <w:w w:val="105"/>
        </w:rPr>
        <w:t xml:space="preserve"> </w:t>
      </w:r>
      <w:r>
        <w:rPr>
          <w:w w:val="105"/>
        </w:rPr>
        <w:t>Disorder,</w:t>
      </w:r>
      <w:r>
        <w:rPr>
          <w:spacing w:val="-6"/>
          <w:w w:val="105"/>
        </w:rPr>
        <w:t xml:space="preserve"> </w:t>
      </w:r>
      <w:r>
        <w:rPr>
          <w:w w:val="105"/>
        </w:rPr>
        <w:t>Schizophrenia,</w:t>
      </w:r>
      <w:r>
        <w:rPr>
          <w:spacing w:val="-23"/>
          <w:w w:val="105"/>
        </w:rPr>
        <w:t xml:space="preserve"> </w:t>
      </w:r>
      <w:r>
        <w:rPr>
          <w:w w:val="105"/>
        </w:rPr>
        <w:t>Schizotypal Personality Disorder, or Avoidant Personality Disorder. For example, this category includes "atypical autism"-presentations that do not meet the criteria for Autistic Disorder because of late age at onset, atypical symptomatology, or subthreshold symptomatology, or all of</w:t>
      </w:r>
      <w:r>
        <w:rPr>
          <w:spacing w:val="35"/>
          <w:w w:val="105"/>
        </w:rPr>
        <w:t xml:space="preserve"> </w:t>
      </w:r>
      <w:r>
        <w:rPr>
          <w:w w:val="105"/>
        </w:rPr>
        <w:t>these.</w:t>
      </w:r>
    </w:p>
    <w:p w:rsidR="00E675F0" w:rsidRDefault="00E675F0" w:rsidP="00E675F0">
      <w:pPr>
        <w:spacing w:before="172" w:line="790" w:lineRule="atLeast"/>
        <w:ind w:left="1376" w:right="541" w:hanging="813"/>
        <w:rPr>
          <w:rFonts w:ascii="Arial"/>
          <w:b/>
          <w:sz w:val="25"/>
        </w:rPr>
      </w:pPr>
      <w:r>
        <w:rPr>
          <w:rFonts w:ascii="Arial"/>
          <w:b/>
          <w:w w:val="105"/>
          <w:sz w:val="25"/>
        </w:rPr>
        <w:t>Att enti on</w:t>
      </w:r>
      <w:r>
        <w:rPr>
          <w:rFonts w:ascii="Arial"/>
          <w:b/>
          <w:color w:val="242424"/>
          <w:w w:val="105"/>
          <w:sz w:val="25"/>
        </w:rPr>
        <w:t>-</w:t>
      </w:r>
      <w:r>
        <w:rPr>
          <w:rFonts w:ascii="Arial"/>
          <w:b/>
          <w:w w:val="105"/>
          <w:sz w:val="25"/>
        </w:rPr>
        <w:t>Def</w:t>
      </w:r>
      <w:r>
        <w:rPr>
          <w:rFonts w:ascii="Arial"/>
          <w:b/>
          <w:spacing w:val="-58"/>
          <w:w w:val="105"/>
          <w:sz w:val="25"/>
        </w:rPr>
        <w:t xml:space="preserve"> </w:t>
      </w:r>
      <w:r>
        <w:rPr>
          <w:rFonts w:ascii="Arial"/>
          <w:b/>
          <w:w w:val="105"/>
          <w:sz w:val="25"/>
        </w:rPr>
        <w:t>icit and Disruptive Behavior Disorders Attention--Deficit/HyperactivityDisorder</w:t>
      </w:r>
    </w:p>
    <w:p w:rsidR="00E675F0" w:rsidRDefault="00E675F0" w:rsidP="00E675F0">
      <w:pPr>
        <w:pStyle w:val="BodyText"/>
        <w:spacing w:before="3"/>
        <w:rPr>
          <w:rFonts w:ascii="Arial"/>
          <w:b/>
          <w:sz w:val="24"/>
        </w:rPr>
      </w:pPr>
    </w:p>
    <w:p w:rsidR="00E675F0" w:rsidRDefault="00E675F0" w:rsidP="00E675F0">
      <w:pPr>
        <w:ind w:left="103"/>
        <w:jc w:val="both"/>
        <w:rPr>
          <w:rFonts w:ascii="TimesNewRomanPS-BoldItalicMT"/>
          <w:b/>
          <w:i/>
          <w:sz w:val="24"/>
        </w:rPr>
      </w:pPr>
      <w:r>
        <w:rPr>
          <w:rFonts w:ascii="TimesNewRomanPS-BoldItalicMT"/>
          <w:b/>
          <w:i/>
          <w:w w:val="120"/>
          <w:sz w:val="24"/>
        </w:rPr>
        <w:t>magnostic Features</w:t>
      </w:r>
    </w:p>
    <w:p w:rsidR="00E675F0" w:rsidRDefault="00E675F0" w:rsidP="00E675F0">
      <w:pPr>
        <w:pStyle w:val="BodyText"/>
        <w:spacing w:before="132" w:line="254" w:lineRule="auto"/>
        <w:ind w:left="125" w:right="102" w:hanging="1"/>
        <w:jc w:val="both"/>
      </w:pPr>
      <w:r>
        <w:rPr>
          <w:w w:val="105"/>
        </w:rPr>
        <w:t xml:space="preserve">The essential feature of Attention-Deficit/Hyperactivity Disorder is a persistent  pattern of inattention and/or hyperactivity-impulsivity that is more frequent and severe than is typically observed in individuals at a comparable level of development (Criterion A). Some hyperactive-impulsive or inattentive symptoms that cause impairment must have been present before age 7 years, although many individuals are diagnosed after the symptoms have been present for a number of years (Criterion B). Some impairment from the symptoms must be present in at least two settings (e.g., at home and at school or work) (Criterion C). There must be clear evidence of interference with developmentally appropriate social, academic, or occupational functioning (Criterion </w:t>
      </w:r>
      <w:r>
        <w:rPr>
          <w:rFonts w:ascii="Arial"/>
          <w:b/>
          <w:w w:val="105"/>
          <w:sz w:val="16"/>
        </w:rPr>
        <w:t xml:space="preserve">D). </w:t>
      </w:r>
      <w:r>
        <w:rPr>
          <w:w w:val="105"/>
        </w:rPr>
        <w:t>The disturbance does not occur exclusively during the course of a Pervasive Developmental Disorder, Schizophrenia, or other Psychotic Disorder and is not better accounted for by another mental disorder (e.g., a Mood Disorder, Anxiety Disorder, Dissociative Disorder, or Personality Disorder) (Criterion E).</w:t>
      </w:r>
    </w:p>
    <w:p w:rsidR="00E675F0" w:rsidRDefault="00E675F0" w:rsidP="00E675F0">
      <w:pPr>
        <w:pStyle w:val="BodyText"/>
        <w:spacing w:line="214" w:lineRule="exact"/>
        <w:ind w:left="500"/>
        <w:jc w:val="both"/>
      </w:pPr>
      <w:r>
        <w:rPr>
          <w:w w:val="105"/>
        </w:rPr>
        <w:t>Inattention may be manifest in academic, occupational, or social situations.</w:t>
      </w:r>
      <w:r>
        <w:rPr>
          <w:spacing w:val="29"/>
          <w:w w:val="105"/>
        </w:rPr>
        <w:t xml:space="preserve"> </w:t>
      </w:r>
      <w:r>
        <w:rPr>
          <w:w w:val="105"/>
        </w:rPr>
        <w:t>Individ­</w:t>
      </w:r>
    </w:p>
    <w:p w:rsidR="00E675F0" w:rsidRDefault="00E675F0" w:rsidP="00E675F0">
      <w:pPr>
        <w:pStyle w:val="BodyText"/>
        <w:spacing w:before="10" w:line="254" w:lineRule="auto"/>
        <w:ind w:left="135" w:right="105" w:firstLine="4"/>
        <w:jc w:val="both"/>
      </w:pPr>
      <w:r>
        <w:rPr>
          <w:w w:val="105"/>
        </w:rPr>
        <w:t>uals with this disorder may fail to give close attention to details or may make careless mistakes in schoolwork or other tasks (Criterion Ala). Work is often messy and performed carelessly and without considered thought. Individuals often have difficulty sustaining attention in tasks or play activities and find it hard to persist with tasks until completion (Criterion Alb). They often appear as if their mind is elsewhere or as if they are not listening or did not hear what has just been said (Criterion Ale). There may be frequent shifts from one uncompleted activity to another. Individuals diagnosed  with this disorder may begin a task, move on to another, then turn  to yet something  else, prior to completing any one task. They often do not follow through on requests or instructions and fail to complete schoolwork, chores, or other duties (Criterion Ald). Failure to complete tasks should be considered in making this diagnosis only if it is due to inattention as opposed to other possible reasons (e.g., a failure to understand instructions). These individuals often have difficulties organizing tasks and activities (Criterion Ale). Tasks that require sustained mental effort are experienced as unpleasant and markedly aversive. As a result, these individuals typically avoid or have a strong dislike for activities that demand sustained self-application and mental effort or that require organizational demands or close concentration (e.g., homework or paperwork) (Criterion AlD. This avoidance must be due to the person's difficulties with attention  and not due to a primary oppositional attitude, although secondary oppositionalism may also occur. Work  habits  are often disorganized  and  the materials  necessary  for</w:t>
      </w:r>
      <w:r>
        <w:rPr>
          <w:spacing w:val="43"/>
          <w:w w:val="105"/>
        </w:rPr>
        <w:t xml:space="preserve"> </w:t>
      </w:r>
      <w:r>
        <w:rPr>
          <w:w w:val="105"/>
        </w:rPr>
        <w:t>doing</w:t>
      </w:r>
    </w:p>
    <w:p w:rsidR="00E675F0" w:rsidRDefault="00E675F0" w:rsidP="00E675F0">
      <w:pPr>
        <w:spacing w:line="254" w:lineRule="auto"/>
        <w:jc w:val="both"/>
        <w:sectPr w:rsidR="00E675F0">
          <w:pgSz w:w="8960" w:h="14260"/>
          <w:pgMar w:top="960" w:right="600" w:bottom="280" w:left="620" w:header="688" w:footer="0" w:gutter="0"/>
          <w:cols w:space="720"/>
        </w:sectPr>
      </w:pPr>
    </w:p>
    <w:p w:rsidR="00E675F0" w:rsidRDefault="00E675F0" w:rsidP="00E675F0">
      <w:pPr>
        <w:pStyle w:val="BodyText"/>
        <w:spacing w:before="107" w:line="254" w:lineRule="auto"/>
        <w:ind w:left="106" w:right="107"/>
        <w:jc w:val="both"/>
      </w:pPr>
      <w:r>
        <w:rPr>
          <w:w w:val="105"/>
        </w:rPr>
        <w:lastRenderedPageBreak/>
        <w:t>the task are often scattered, lost, or carelessly handled and damaged (Criterion Alg). Individuals with this disorder are easily distracted by irrelevant stimuli and frequently interrupt ongoing tasks to attend to trivial noises or events that are usually and easily ignored by others (e.g., a car honking, a background conversation) (Criterion Alh). They are often forgetful in daily activities (e.g., missing appointments, forgetting to bring lunch) (Criterion Ali). In social situations, inattention may be expressed as frequent shifts in conversation, not listening to others, not keeping one's mind on conversations, and not following details or rules of games or</w:t>
      </w:r>
      <w:r>
        <w:rPr>
          <w:spacing w:val="50"/>
          <w:w w:val="105"/>
        </w:rPr>
        <w:t xml:space="preserve"> </w:t>
      </w:r>
      <w:r>
        <w:rPr>
          <w:w w:val="105"/>
        </w:rPr>
        <w:t>activities.</w:t>
      </w:r>
    </w:p>
    <w:p w:rsidR="00E675F0" w:rsidRDefault="00E675F0" w:rsidP="00E675F0">
      <w:pPr>
        <w:pStyle w:val="BodyText"/>
        <w:spacing w:line="254" w:lineRule="auto"/>
        <w:ind w:left="106" w:right="114" w:firstLine="368"/>
        <w:jc w:val="both"/>
      </w:pPr>
      <w:r>
        <w:rPr>
          <w:w w:val="105"/>
        </w:rPr>
        <w:t>Hyperactivity may be manifested by fidgetiness or squirming in one's seat (Criterion A2a), by not remaining seated when expected to do so (Criterion A2b), by excessive running or climbing in situations where it is inappropriate (Criterion A2c), by having difficulty playing or engaging quietly in leisure activities (Criterion A2d), by appearing to be often "on the go" or as if "driven by a motor" (Criterion A2e), or by talking excessively (Criterion A2f). Hyperactivity may vary with the individual's age and developmental level, and the diagnosis should be made cautiously in young children. Toddlers and preschoolers with this disorder differ from normally active young children by being constantly on the go and into everything; they dart back and forth, are "out of the door before their coat is on," jump or climb on furniture,  run through  the house,  and have difficulty participating in sedentary group activities in preschool classes (e.g., listening to a story). School-age children display similar behaviors but usually with less frequency or intensity than toddlers and preschoolers. They have difficulty remaining seated, get up frequently, and squirm in, or hang on to the edge of,  their seat. They fidget with objects, tap their hands, and shake their feet or legs excessively. They often get</w:t>
      </w:r>
      <w:r>
        <w:rPr>
          <w:spacing w:val="-10"/>
          <w:w w:val="105"/>
        </w:rPr>
        <w:t xml:space="preserve"> </w:t>
      </w:r>
      <w:r>
        <w:rPr>
          <w:w w:val="105"/>
        </w:rPr>
        <w:t>up</w:t>
      </w:r>
      <w:r>
        <w:rPr>
          <w:spacing w:val="-8"/>
          <w:w w:val="105"/>
        </w:rPr>
        <w:t xml:space="preserve"> </w:t>
      </w:r>
      <w:r>
        <w:rPr>
          <w:w w:val="105"/>
        </w:rPr>
        <w:t>from</w:t>
      </w:r>
      <w:r>
        <w:rPr>
          <w:spacing w:val="-4"/>
          <w:w w:val="105"/>
        </w:rPr>
        <w:t xml:space="preserve"> </w:t>
      </w:r>
      <w:r>
        <w:rPr>
          <w:w w:val="105"/>
        </w:rPr>
        <w:t>the</w:t>
      </w:r>
      <w:r>
        <w:rPr>
          <w:spacing w:val="-8"/>
          <w:w w:val="105"/>
        </w:rPr>
        <w:t xml:space="preserve"> </w:t>
      </w:r>
      <w:r>
        <w:rPr>
          <w:w w:val="105"/>
        </w:rPr>
        <w:t>table</w:t>
      </w:r>
      <w:r>
        <w:rPr>
          <w:spacing w:val="-10"/>
          <w:w w:val="105"/>
        </w:rPr>
        <w:t xml:space="preserve"> </w:t>
      </w:r>
      <w:r>
        <w:rPr>
          <w:w w:val="105"/>
        </w:rPr>
        <w:t>during</w:t>
      </w:r>
      <w:r>
        <w:rPr>
          <w:spacing w:val="-5"/>
          <w:w w:val="105"/>
        </w:rPr>
        <w:t xml:space="preserve"> </w:t>
      </w:r>
      <w:r>
        <w:rPr>
          <w:w w:val="105"/>
        </w:rPr>
        <w:t>meals,</w:t>
      </w:r>
      <w:r>
        <w:rPr>
          <w:spacing w:val="-5"/>
          <w:w w:val="105"/>
        </w:rPr>
        <w:t xml:space="preserve"> </w:t>
      </w:r>
      <w:r>
        <w:rPr>
          <w:w w:val="105"/>
        </w:rPr>
        <w:t>while</w:t>
      </w:r>
      <w:r>
        <w:rPr>
          <w:spacing w:val="-13"/>
          <w:w w:val="105"/>
        </w:rPr>
        <w:t xml:space="preserve"> </w:t>
      </w:r>
      <w:r>
        <w:rPr>
          <w:w w:val="105"/>
        </w:rPr>
        <w:t>watching</w:t>
      </w:r>
      <w:r>
        <w:rPr>
          <w:spacing w:val="-3"/>
          <w:w w:val="105"/>
        </w:rPr>
        <w:t xml:space="preserve"> </w:t>
      </w:r>
      <w:r>
        <w:rPr>
          <w:w w:val="105"/>
        </w:rPr>
        <w:t>television,</w:t>
      </w:r>
      <w:r>
        <w:rPr>
          <w:spacing w:val="6"/>
          <w:w w:val="105"/>
        </w:rPr>
        <w:t xml:space="preserve"> </w:t>
      </w:r>
      <w:r>
        <w:rPr>
          <w:w w:val="105"/>
        </w:rPr>
        <w:t>or</w:t>
      </w:r>
      <w:r>
        <w:rPr>
          <w:spacing w:val="-1"/>
          <w:w w:val="105"/>
        </w:rPr>
        <w:t xml:space="preserve"> </w:t>
      </w:r>
      <w:r>
        <w:rPr>
          <w:w w:val="105"/>
        </w:rPr>
        <w:t>while</w:t>
      </w:r>
      <w:r>
        <w:rPr>
          <w:spacing w:val="-9"/>
          <w:w w:val="105"/>
        </w:rPr>
        <w:t xml:space="preserve"> </w:t>
      </w:r>
      <w:r>
        <w:rPr>
          <w:w w:val="105"/>
        </w:rPr>
        <w:t>doing</w:t>
      </w:r>
      <w:r>
        <w:rPr>
          <w:spacing w:val="-6"/>
          <w:w w:val="105"/>
        </w:rPr>
        <w:t xml:space="preserve"> </w:t>
      </w:r>
      <w:r>
        <w:rPr>
          <w:w w:val="105"/>
        </w:rPr>
        <w:t>homework; they talk excessively; and they make excessive noise during quiet activities. In adolescents and adults, symptoms of hyperactivity take the form of feelings of restless­ ness and difficulty engaging in quiet sedentary</w:t>
      </w:r>
      <w:r>
        <w:rPr>
          <w:spacing w:val="11"/>
          <w:w w:val="105"/>
        </w:rPr>
        <w:t xml:space="preserve"> </w:t>
      </w:r>
      <w:r>
        <w:rPr>
          <w:w w:val="105"/>
        </w:rPr>
        <w:t>activities.</w:t>
      </w:r>
    </w:p>
    <w:p w:rsidR="00E675F0" w:rsidRDefault="00E675F0" w:rsidP="00E675F0">
      <w:pPr>
        <w:pStyle w:val="BodyText"/>
        <w:spacing w:line="252" w:lineRule="auto"/>
        <w:ind w:left="111" w:right="103" w:firstLine="367"/>
        <w:jc w:val="both"/>
      </w:pPr>
      <w:r>
        <w:rPr>
          <w:w w:val="105"/>
        </w:rPr>
        <w:t>Impulsivity manifests itself as impatience, difficulty in delaying responses, blurting out answers before questions have been completed (Criterion A2g), difficulty awaiting one's turn (Criterion A2h), and frequently interrupting or intruding on others to the point of</w:t>
      </w:r>
      <w:r>
        <w:rPr>
          <w:spacing w:val="-11"/>
          <w:w w:val="105"/>
        </w:rPr>
        <w:t xml:space="preserve"> </w:t>
      </w:r>
      <w:r>
        <w:rPr>
          <w:w w:val="105"/>
        </w:rPr>
        <w:t>causing</w:t>
      </w:r>
      <w:r>
        <w:rPr>
          <w:spacing w:val="-11"/>
          <w:w w:val="105"/>
        </w:rPr>
        <w:t xml:space="preserve"> </w:t>
      </w:r>
      <w:r>
        <w:rPr>
          <w:w w:val="105"/>
        </w:rPr>
        <w:t>difficulties</w:t>
      </w:r>
      <w:r>
        <w:rPr>
          <w:spacing w:val="-10"/>
          <w:w w:val="105"/>
        </w:rPr>
        <w:t xml:space="preserve"> </w:t>
      </w:r>
      <w:r>
        <w:rPr>
          <w:w w:val="105"/>
        </w:rPr>
        <w:t>in</w:t>
      </w:r>
      <w:r>
        <w:rPr>
          <w:spacing w:val="-21"/>
          <w:w w:val="105"/>
        </w:rPr>
        <w:t xml:space="preserve"> </w:t>
      </w:r>
      <w:r>
        <w:rPr>
          <w:w w:val="105"/>
        </w:rPr>
        <w:t>social,</w:t>
      </w:r>
      <w:r>
        <w:rPr>
          <w:spacing w:val="-11"/>
          <w:w w:val="105"/>
        </w:rPr>
        <w:t xml:space="preserve"> </w:t>
      </w:r>
      <w:r>
        <w:rPr>
          <w:w w:val="105"/>
        </w:rPr>
        <w:t>academic,</w:t>
      </w:r>
      <w:r>
        <w:rPr>
          <w:spacing w:val="-9"/>
          <w:w w:val="105"/>
        </w:rPr>
        <w:t xml:space="preserve"> </w:t>
      </w:r>
      <w:r>
        <w:rPr>
          <w:w w:val="105"/>
        </w:rPr>
        <w:t>or</w:t>
      </w:r>
      <w:r>
        <w:rPr>
          <w:spacing w:val="-12"/>
          <w:w w:val="105"/>
        </w:rPr>
        <w:t xml:space="preserve"> </w:t>
      </w:r>
      <w:r>
        <w:rPr>
          <w:w w:val="105"/>
        </w:rPr>
        <w:t>occupational</w:t>
      </w:r>
      <w:r>
        <w:rPr>
          <w:spacing w:val="-7"/>
          <w:w w:val="105"/>
        </w:rPr>
        <w:t xml:space="preserve"> </w:t>
      </w:r>
      <w:r>
        <w:rPr>
          <w:w w:val="105"/>
        </w:rPr>
        <w:t>settings</w:t>
      </w:r>
      <w:r>
        <w:rPr>
          <w:spacing w:val="-16"/>
          <w:w w:val="105"/>
        </w:rPr>
        <w:t xml:space="preserve"> </w:t>
      </w:r>
      <w:r>
        <w:rPr>
          <w:w w:val="105"/>
        </w:rPr>
        <w:t>(Criterion</w:t>
      </w:r>
      <w:r>
        <w:rPr>
          <w:spacing w:val="-9"/>
          <w:w w:val="105"/>
        </w:rPr>
        <w:t xml:space="preserve"> </w:t>
      </w:r>
      <w:r>
        <w:rPr>
          <w:w w:val="105"/>
        </w:rPr>
        <w:t>A2i).</w:t>
      </w:r>
      <w:r>
        <w:rPr>
          <w:spacing w:val="-15"/>
          <w:w w:val="105"/>
        </w:rPr>
        <w:t xml:space="preserve"> </w:t>
      </w:r>
      <w:r>
        <w:rPr>
          <w:w w:val="105"/>
        </w:rPr>
        <w:t>Others may complain that they cannot get a word in edgewise. Individuals with this disorder typically make comments out of turn, fail to listen to directions, initiate conversations at inappropriate times, interrupt others excessively, intrude on others, grab objects from others, touch things they are not supposed to touch, and clown around. Impulsivity may lead to accidents (e.g., knocking over objects, banging into people, grabbing a hot pan) and to engagement in potentially dangerous activities without consideration of possible consequences (e.g., riding a skateboard over extremely rough</w:t>
      </w:r>
      <w:r>
        <w:rPr>
          <w:spacing w:val="28"/>
          <w:w w:val="105"/>
        </w:rPr>
        <w:t xml:space="preserve"> </w:t>
      </w:r>
      <w:r>
        <w:rPr>
          <w:w w:val="105"/>
        </w:rPr>
        <w:t>terrain).</w:t>
      </w:r>
    </w:p>
    <w:p w:rsidR="00E675F0" w:rsidRDefault="00E675F0" w:rsidP="00E675F0">
      <w:pPr>
        <w:pStyle w:val="BodyText"/>
        <w:spacing w:line="254" w:lineRule="auto"/>
        <w:ind w:left="110" w:right="98" w:firstLine="369"/>
        <w:jc w:val="both"/>
      </w:pPr>
      <w:r>
        <w:rPr>
          <w:w w:val="105"/>
        </w:rPr>
        <w:t>Behavioral manifestations usually appear in multiple contexts, including home, school, work, and social situations. To make the diagnosis, some impairment must be present</w:t>
      </w:r>
      <w:r>
        <w:rPr>
          <w:spacing w:val="1"/>
          <w:w w:val="105"/>
        </w:rPr>
        <w:t xml:space="preserve"> </w:t>
      </w:r>
      <w:r>
        <w:rPr>
          <w:w w:val="105"/>
        </w:rPr>
        <w:t>in</w:t>
      </w:r>
      <w:r>
        <w:rPr>
          <w:spacing w:val="-12"/>
          <w:w w:val="105"/>
        </w:rPr>
        <w:t xml:space="preserve"> </w:t>
      </w:r>
      <w:r>
        <w:rPr>
          <w:w w:val="105"/>
        </w:rPr>
        <w:t>at</w:t>
      </w:r>
      <w:r>
        <w:rPr>
          <w:spacing w:val="-11"/>
          <w:w w:val="105"/>
        </w:rPr>
        <w:t xml:space="preserve"> </w:t>
      </w:r>
      <w:r>
        <w:rPr>
          <w:w w:val="105"/>
        </w:rPr>
        <w:t>least</w:t>
      </w:r>
      <w:r>
        <w:rPr>
          <w:spacing w:val="-5"/>
          <w:w w:val="105"/>
        </w:rPr>
        <w:t xml:space="preserve"> </w:t>
      </w:r>
      <w:r>
        <w:rPr>
          <w:w w:val="105"/>
        </w:rPr>
        <w:t>two</w:t>
      </w:r>
      <w:r>
        <w:rPr>
          <w:spacing w:val="-11"/>
          <w:w w:val="105"/>
        </w:rPr>
        <w:t xml:space="preserve"> </w:t>
      </w:r>
      <w:r>
        <w:rPr>
          <w:w w:val="105"/>
        </w:rPr>
        <w:t>settings</w:t>
      </w:r>
      <w:r>
        <w:rPr>
          <w:spacing w:val="-14"/>
          <w:w w:val="105"/>
        </w:rPr>
        <w:t xml:space="preserve"> </w:t>
      </w:r>
      <w:r>
        <w:rPr>
          <w:w w:val="105"/>
        </w:rPr>
        <w:t>(Criterion C).</w:t>
      </w:r>
      <w:r>
        <w:rPr>
          <w:spacing w:val="-6"/>
          <w:w w:val="105"/>
        </w:rPr>
        <w:t xml:space="preserve"> </w:t>
      </w:r>
      <w:r>
        <w:rPr>
          <w:w w:val="105"/>
          <w:sz w:val="19"/>
        </w:rPr>
        <w:t>It</w:t>
      </w:r>
      <w:r>
        <w:rPr>
          <w:spacing w:val="-7"/>
          <w:w w:val="105"/>
          <w:sz w:val="19"/>
        </w:rPr>
        <w:t xml:space="preserve"> </w:t>
      </w:r>
      <w:r>
        <w:rPr>
          <w:w w:val="105"/>
        </w:rPr>
        <w:t>is</w:t>
      </w:r>
      <w:r>
        <w:rPr>
          <w:spacing w:val="-18"/>
          <w:w w:val="105"/>
        </w:rPr>
        <w:t xml:space="preserve"> </w:t>
      </w:r>
      <w:r>
        <w:rPr>
          <w:w w:val="105"/>
        </w:rPr>
        <w:t>very</w:t>
      </w:r>
      <w:r>
        <w:rPr>
          <w:spacing w:val="-1"/>
          <w:w w:val="105"/>
        </w:rPr>
        <w:t xml:space="preserve"> </w:t>
      </w:r>
      <w:r>
        <w:rPr>
          <w:w w:val="105"/>
        </w:rPr>
        <w:t>unusual</w:t>
      </w:r>
      <w:r>
        <w:rPr>
          <w:spacing w:val="-3"/>
          <w:w w:val="105"/>
        </w:rPr>
        <w:t xml:space="preserve"> </w:t>
      </w:r>
      <w:r>
        <w:rPr>
          <w:w w:val="105"/>
        </w:rPr>
        <w:t>for</w:t>
      </w:r>
      <w:r>
        <w:rPr>
          <w:spacing w:val="-8"/>
          <w:w w:val="105"/>
        </w:rPr>
        <w:t xml:space="preserve"> </w:t>
      </w:r>
      <w:r>
        <w:rPr>
          <w:w w:val="105"/>
        </w:rPr>
        <w:t>an</w:t>
      </w:r>
      <w:r>
        <w:rPr>
          <w:spacing w:val="-6"/>
          <w:w w:val="105"/>
        </w:rPr>
        <w:t xml:space="preserve"> </w:t>
      </w:r>
      <w:r>
        <w:rPr>
          <w:w w:val="105"/>
        </w:rPr>
        <w:t>individual</w:t>
      </w:r>
      <w:r>
        <w:rPr>
          <w:spacing w:val="4"/>
          <w:w w:val="105"/>
        </w:rPr>
        <w:t xml:space="preserve"> </w:t>
      </w:r>
      <w:r>
        <w:rPr>
          <w:w w:val="105"/>
        </w:rPr>
        <w:t>to</w:t>
      </w:r>
      <w:r>
        <w:rPr>
          <w:spacing w:val="-17"/>
          <w:w w:val="105"/>
        </w:rPr>
        <w:t xml:space="preserve"> </w:t>
      </w:r>
      <w:r>
        <w:rPr>
          <w:w w:val="105"/>
        </w:rPr>
        <w:t xml:space="preserve">display the same level of dysfunction in all settings or within the same setting at all times. Symptoms typically worsen in situations that require sustained attention or mental effort or that lack intrinsic appeal or novelty (e.g., listening to classroom teachers, doing class assignments, listening </w:t>
      </w:r>
      <w:r>
        <w:rPr>
          <w:w w:val="105"/>
          <w:sz w:val="18"/>
        </w:rPr>
        <w:t xml:space="preserve">to </w:t>
      </w:r>
      <w:r>
        <w:rPr>
          <w:w w:val="105"/>
        </w:rPr>
        <w:t>or reading lengthy materials, or working on monotonous, repetitive tasks). Signs of the disorder may be minimal or absent when the person is under very strict control, is in a novel setting, is engaged in especially interesting activities, is in a one-to-one situation (e.g., the clinician's office), or while the person experiences frequent rewards for appropriate behavior. The symptoms are more</w:t>
      </w:r>
      <w:r>
        <w:rPr>
          <w:spacing w:val="-12"/>
          <w:w w:val="105"/>
        </w:rPr>
        <w:t xml:space="preserve"> </w:t>
      </w:r>
      <w:r>
        <w:rPr>
          <w:w w:val="105"/>
        </w:rPr>
        <w:t>likely</w:t>
      </w:r>
    </w:p>
    <w:p w:rsidR="00E675F0" w:rsidRDefault="00E675F0" w:rsidP="00E675F0">
      <w:pPr>
        <w:spacing w:line="254" w:lineRule="auto"/>
        <w:jc w:val="both"/>
        <w:sectPr w:rsidR="00E675F0">
          <w:headerReference w:type="even" r:id="rId98"/>
          <w:headerReference w:type="default" r:id="rId99"/>
          <w:pgSz w:w="8960" w:h="14260"/>
          <w:pgMar w:top="1400" w:right="640" w:bottom="280" w:left="620" w:header="682" w:footer="0" w:gutter="0"/>
          <w:pgNumType w:start="79"/>
          <w:cols w:space="720"/>
        </w:sectPr>
      </w:pPr>
    </w:p>
    <w:p w:rsidR="00E675F0" w:rsidRDefault="00E675F0" w:rsidP="00E675F0">
      <w:pPr>
        <w:pStyle w:val="BodyText"/>
        <w:spacing w:before="124" w:line="256" w:lineRule="auto"/>
        <w:ind w:left="122" w:right="119" w:firstLine="8"/>
        <w:jc w:val="both"/>
      </w:pPr>
      <w:bookmarkStart w:id="52" w:name="_bookmark37"/>
      <w:bookmarkEnd w:id="52"/>
      <w:r>
        <w:rPr>
          <w:w w:val="105"/>
        </w:rPr>
        <w:lastRenderedPageBreak/>
        <w:t>to occur in group situations (e.g., in playgroups, classrooms, or work  environments). The clinician should therefore inquire about the individual's behavior in a variety of situations within each</w:t>
      </w:r>
      <w:r>
        <w:rPr>
          <w:spacing w:val="33"/>
          <w:w w:val="105"/>
        </w:rPr>
        <w:t xml:space="preserve"> </w:t>
      </w:r>
      <w:r>
        <w:rPr>
          <w:w w:val="105"/>
        </w:rPr>
        <w:t>setting.</w:t>
      </w:r>
    </w:p>
    <w:p w:rsidR="00E675F0" w:rsidRDefault="00E675F0" w:rsidP="00E675F0">
      <w:pPr>
        <w:pStyle w:val="BodyText"/>
        <w:rPr>
          <w:sz w:val="22"/>
        </w:rPr>
      </w:pPr>
    </w:p>
    <w:p w:rsidR="00E675F0" w:rsidRDefault="00E675F0" w:rsidP="00E675F0">
      <w:pPr>
        <w:spacing w:before="130"/>
        <w:ind w:left="119"/>
        <w:rPr>
          <w:rFonts w:ascii="TimesNewRomanPS-BoldItalicMT"/>
          <w:b/>
          <w:i/>
          <w:sz w:val="24"/>
        </w:rPr>
      </w:pPr>
      <w:r>
        <w:rPr>
          <w:rFonts w:ascii="TimesNewRomanPS-BoldItalicMT"/>
          <w:b/>
          <w:i/>
          <w:w w:val="115"/>
          <w:sz w:val="24"/>
        </w:rPr>
        <w:t>Subtypes</w:t>
      </w:r>
    </w:p>
    <w:p w:rsidR="00E675F0" w:rsidRDefault="00E675F0" w:rsidP="00E675F0">
      <w:pPr>
        <w:pStyle w:val="BodyText"/>
        <w:spacing w:before="127" w:line="254" w:lineRule="auto"/>
        <w:ind w:left="127" w:right="117" w:hanging="1"/>
        <w:jc w:val="both"/>
      </w:pPr>
      <w:r>
        <w:rPr>
          <w:w w:val="105"/>
        </w:rPr>
        <w:t>Although most individuals have symptoms of both inattention and hyperactivity­ impulsivity, there are some individuals in whom one or the other pattern is predominant. The appropriate subtype (for a current diagnosis) should be indicated based on the predominant symptom pattern for the past 6 months.</w:t>
      </w:r>
    </w:p>
    <w:p w:rsidR="00E675F0" w:rsidRDefault="00E675F0" w:rsidP="00E675F0">
      <w:pPr>
        <w:pStyle w:val="BodyText"/>
        <w:spacing w:before="58" w:line="256" w:lineRule="auto"/>
        <w:ind w:left="729" w:right="121" w:firstLine="6"/>
        <w:jc w:val="both"/>
      </w:pPr>
      <w:r>
        <w:rPr>
          <w:b/>
          <w:w w:val="110"/>
        </w:rPr>
        <w:t xml:space="preserve">314.01 Attention-Deficit/Hyperactivity Disorder, Combined Type. </w:t>
      </w:r>
      <w:r>
        <w:rPr>
          <w:w w:val="110"/>
        </w:rPr>
        <w:t>This subtype</w:t>
      </w:r>
      <w:r>
        <w:rPr>
          <w:spacing w:val="-28"/>
          <w:w w:val="110"/>
        </w:rPr>
        <w:t xml:space="preserve"> </w:t>
      </w:r>
      <w:r>
        <w:rPr>
          <w:w w:val="110"/>
        </w:rPr>
        <w:t>should</w:t>
      </w:r>
      <w:r>
        <w:rPr>
          <w:spacing w:val="-19"/>
          <w:w w:val="110"/>
        </w:rPr>
        <w:t xml:space="preserve"> </w:t>
      </w:r>
      <w:r>
        <w:rPr>
          <w:w w:val="110"/>
        </w:rPr>
        <w:t>be</w:t>
      </w:r>
      <w:r>
        <w:rPr>
          <w:spacing w:val="-23"/>
          <w:w w:val="110"/>
        </w:rPr>
        <w:t xml:space="preserve"> </w:t>
      </w:r>
      <w:r>
        <w:rPr>
          <w:w w:val="110"/>
        </w:rPr>
        <w:t>used</w:t>
      </w:r>
      <w:r>
        <w:rPr>
          <w:spacing w:val="-22"/>
          <w:w w:val="110"/>
        </w:rPr>
        <w:t xml:space="preserve"> </w:t>
      </w:r>
      <w:r>
        <w:rPr>
          <w:w w:val="110"/>
        </w:rPr>
        <w:t>if</w:t>
      </w:r>
      <w:r>
        <w:rPr>
          <w:spacing w:val="-29"/>
          <w:w w:val="110"/>
        </w:rPr>
        <w:t xml:space="preserve"> </w:t>
      </w:r>
      <w:r>
        <w:rPr>
          <w:w w:val="110"/>
        </w:rPr>
        <w:t>six</w:t>
      </w:r>
      <w:r>
        <w:rPr>
          <w:spacing w:val="-31"/>
          <w:w w:val="110"/>
        </w:rPr>
        <w:t xml:space="preserve"> </w:t>
      </w:r>
      <w:r>
        <w:rPr>
          <w:w w:val="110"/>
        </w:rPr>
        <w:t>(or</w:t>
      </w:r>
      <w:r>
        <w:rPr>
          <w:spacing w:val="-27"/>
          <w:w w:val="110"/>
        </w:rPr>
        <w:t xml:space="preserve"> </w:t>
      </w:r>
      <w:r>
        <w:rPr>
          <w:w w:val="110"/>
        </w:rPr>
        <w:t>more)</w:t>
      </w:r>
      <w:r>
        <w:rPr>
          <w:spacing w:val="-30"/>
          <w:w w:val="110"/>
        </w:rPr>
        <w:t xml:space="preserve"> </w:t>
      </w:r>
      <w:r>
        <w:rPr>
          <w:w w:val="110"/>
        </w:rPr>
        <w:t>symptoms</w:t>
      </w:r>
      <w:r>
        <w:rPr>
          <w:spacing w:val="-23"/>
          <w:w w:val="110"/>
        </w:rPr>
        <w:t xml:space="preserve"> </w:t>
      </w:r>
      <w:r>
        <w:rPr>
          <w:w w:val="110"/>
        </w:rPr>
        <w:t>of</w:t>
      </w:r>
      <w:r>
        <w:rPr>
          <w:spacing w:val="-24"/>
          <w:w w:val="110"/>
        </w:rPr>
        <w:t xml:space="preserve"> </w:t>
      </w:r>
      <w:r>
        <w:rPr>
          <w:w w:val="110"/>
        </w:rPr>
        <w:t>inattention</w:t>
      </w:r>
      <w:r>
        <w:rPr>
          <w:spacing w:val="-19"/>
          <w:w w:val="110"/>
        </w:rPr>
        <w:t xml:space="preserve"> </w:t>
      </w:r>
      <w:r>
        <w:rPr>
          <w:w w:val="110"/>
        </w:rPr>
        <w:t>and</w:t>
      </w:r>
      <w:r>
        <w:rPr>
          <w:spacing w:val="-27"/>
          <w:w w:val="110"/>
        </w:rPr>
        <w:t xml:space="preserve"> </w:t>
      </w:r>
      <w:r>
        <w:rPr>
          <w:w w:val="110"/>
        </w:rPr>
        <w:t>six</w:t>
      </w:r>
      <w:r>
        <w:rPr>
          <w:spacing w:val="-32"/>
          <w:w w:val="110"/>
        </w:rPr>
        <w:t xml:space="preserve"> </w:t>
      </w:r>
      <w:r>
        <w:rPr>
          <w:w w:val="110"/>
        </w:rPr>
        <w:t>(or</w:t>
      </w:r>
      <w:r>
        <w:rPr>
          <w:spacing w:val="-27"/>
          <w:w w:val="110"/>
        </w:rPr>
        <w:t xml:space="preserve"> </w:t>
      </w:r>
      <w:r>
        <w:rPr>
          <w:w w:val="110"/>
        </w:rPr>
        <w:t>more) symptoms</w:t>
      </w:r>
      <w:r>
        <w:rPr>
          <w:spacing w:val="-25"/>
          <w:w w:val="110"/>
        </w:rPr>
        <w:t xml:space="preserve"> </w:t>
      </w:r>
      <w:r>
        <w:rPr>
          <w:w w:val="110"/>
        </w:rPr>
        <w:t>of</w:t>
      </w:r>
      <w:r>
        <w:rPr>
          <w:spacing w:val="-26"/>
          <w:w w:val="110"/>
        </w:rPr>
        <w:t xml:space="preserve"> </w:t>
      </w:r>
      <w:r>
        <w:rPr>
          <w:w w:val="110"/>
        </w:rPr>
        <w:t>hyperactivity-impulsivity</w:t>
      </w:r>
      <w:r>
        <w:rPr>
          <w:spacing w:val="-32"/>
          <w:w w:val="110"/>
        </w:rPr>
        <w:t xml:space="preserve"> </w:t>
      </w:r>
      <w:r>
        <w:rPr>
          <w:w w:val="110"/>
        </w:rPr>
        <w:t>have</w:t>
      </w:r>
      <w:r>
        <w:rPr>
          <w:spacing w:val="-28"/>
          <w:w w:val="110"/>
        </w:rPr>
        <w:t xml:space="preserve"> </w:t>
      </w:r>
      <w:r>
        <w:rPr>
          <w:w w:val="110"/>
        </w:rPr>
        <w:t>persisted</w:t>
      </w:r>
      <w:r>
        <w:rPr>
          <w:spacing w:val="-25"/>
          <w:w w:val="110"/>
        </w:rPr>
        <w:t xml:space="preserve"> </w:t>
      </w:r>
      <w:r>
        <w:rPr>
          <w:w w:val="110"/>
        </w:rPr>
        <w:t>for</w:t>
      </w:r>
      <w:r>
        <w:rPr>
          <w:spacing w:val="-30"/>
          <w:w w:val="110"/>
        </w:rPr>
        <w:t xml:space="preserve"> </w:t>
      </w:r>
      <w:r>
        <w:rPr>
          <w:w w:val="110"/>
        </w:rPr>
        <w:t>at</w:t>
      </w:r>
      <w:r>
        <w:rPr>
          <w:spacing w:val="-31"/>
          <w:w w:val="110"/>
        </w:rPr>
        <w:t xml:space="preserve"> </w:t>
      </w:r>
      <w:r>
        <w:rPr>
          <w:w w:val="110"/>
        </w:rPr>
        <w:t>least</w:t>
      </w:r>
      <w:r>
        <w:rPr>
          <w:spacing w:val="-30"/>
          <w:w w:val="110"/>
        </w:rPr>
        <w:t xml:space="preserve"> </w:t>
      </w:r>
      <w:r>
        <w:rPr>
          <w:w w:val="110"/>
        </w:rPr>
        <w:t>6</w:t>
      </w:r>
      <w:r>
        <w:rPr>
          <w:spacing w:val="-31"/>
          <w:w w:val="110"/>
        </w:rPr>
        <w:t xml:space="preserve"> </w:t>
      </w:r>
      <w:r>
        <w:rPr>
          <w:w w:val="110"/>
        </w:rPr>
        <w:t>months.</w:t>
      </w:r>
      <w:r>
        <w:rPr>
          <w:spacing w:val="-25"/>
          <w:w w:val="110"/>
        </w:rPr>
        <w:t xml:space="preserve"> </w:t>
      </w:r>
      <w:r>
        <w:rPr>
          <w:w w:val="110"/>
        </w:rPr>
        <w:t xml:space="preserve">Most children and adolescents with the disorder have the Combined Type. </w:t>
      </w:r>
      <w:r>
        <w:rPr>
          <w:w w:val="110"/>
          <w:sz w:val="18"/>
        </w:rPr>
        <w:t xml:space="preserve">It </w:t>
      </w:r>
      <w:r>
        <w:rPr>
          <w:w w:val="110"/>
        </w:rPr>
        <w:t>is not known whether the same is true of adults with the</w:t>
      </w:r>
      <w:r>
        <w:rPr>
          <w:spacing w:val="5"/>
          <w:w w:val="110"/>
        </w:rPr>
        <w:t xml:space="preserve"> </w:t>
      </w:r>
      <w:r>
        <w:rPr>
          <w:w w:val="110"/>
        </w:rPr>
        <w:t>disorder.</w:t>
      </w:r>
    </w:p>
    <w:p w:rsidR="00E675F0" w:rsidRDefault="00E675F0" w:rsidP="003048D3">
      <w:pPr>
        <w:pStyle w:val="ListParagraph"/>
        <w:numPr>
          <w:ilvl w:val="1"/>
          <w:numId w:val="93"/>
        </w:numPr>
        <w:tabs>
          <w:tab w:val="left" w:pos="1489"/>
        </w:tabs>
        <w:spacing w:line="254" w:lineRule="auto"/>
        <w:ind w:right="123" w:firstLine="5"/>
        <w:jc w:val="both"/>
        <w:rPr>
          <w:sz w:val="20"/>
        </w:rPr>
      </w:pPr>
      <w:r>
        <w:rPr>
          <w:b/>
          <w:w w:val="105"/>
          <w:sz w:val="20"/>
        </w:rPr>
        <w:t xml:space="preserve">Attention Deficit/Hyperactivity Disorder, Predominantly Inatten­ tive Type. </w:t>
      </w:r>
      <w:r>
        <w:rPr>
          <w:w w:val="105"/>
          <w:sz w:val="20"/>
        </w:rPr>
        <w:t>This subtype should be used if six (or more) symptoms of inattention (but fewer than six symptoms of hyperactivity-impulsivity) have persisted for at least 6</w:t>
      </w:r>
      <w:r>
        <w:rPr>
          <w:spacing w:val="14"/>
          <w:w w:val="105"/>
          <w:sz w:val="20"/>
        </w:rPr>
        <w:t xml:space="preserve"> </w:t>
      </w:r>
      <w:r>
        <w:rPr>
          <w:w w:val="105"/>
          <w:sz w:val="20"/>
        </w:rPr>
        <w:t>months.</w:t>
      </w:r>
    </w:p>
    <w:p w:rsidR="00E675F0" w:rsidRDefault="00E675F0" w:rsidP="003048D3">
      <w:pPr>
        <w:pStyle w:val="ListParagraph"/>
        <w:numPr>
          <w:ilvl w:val="1"/>
          <w:numId w:val="93"/>
        </w:numPr>
        <w:tabs>
          <w:tab w:val="left" w:pos="1489"/>
        </w:tabs>
        <w:spacing w:line="254" w:lineRule="auto"/>
        <w:ind w:left="730" w:right="126" w:firstLine="5"/>
        <w:jc w:val="both"/>
        <w:rPr>
          <w:sz w:val="20"/>
        </w:rPr>
      </w:pPr>
      <w:r>
        <w:rPr>
          <w:b/>
          <w:w w:val="110"/>
          <w:sz w:val="20"/>
        </w:rPr>
        <w:t>Attention-Deficit/Hyperactivity Disorder, Predominantly Hyper­ active-ImpulsiveType.</w:t>
      </w:r>
      <w:r>
        <w:rPr>
          <w:b/>
          <w:spacing w:val="51"/>
          <w:w w:val="110"/>
          <w:sz w:val="20"/>
        </w:rPr>
        <w:t xml:space="preserve"> </w:t>
      </w:r>
      <w:r>
        <w:rPr>
          <w:w w:val="110"/>
          <w:sz w:val="20"/>
        </w:rPr>
        <w:t>This</w:t>
      </w:r>
      <w:r>
        <w:rPr>
          <w:spacing w:val="-24"/>
          <w:w w:val="110"/>
          <w:sz w:val="20"/>
        </w:rPr>
        <w:t xml:space="preserve"> </w:t>
      </w:r>
      <w:r>
        <w:rPr>
          <w:w w:val="110"/>
          <w:sz w:val="20"/>
        </w:rPr>
        <w:t>subtype</w:t>
      </w:r>
      <w:r>
        <w:rPr>
          <w:spacing w:val="-17"/>
          <w:w w:val="110"/>
          <w:sz w:val="20"/>
        </w:rPr>
        <w:t xml:space="preserve"> </w:t>
      </w:r>
      <w:r>
        <w:rPr>
          <w:w w:val="110"/>
          <w:sz w:val="20"/>
        </w:rPr>
        <w:t>should</w:t>
      </w:r>
      <w:r>
        <w:rPr>
          <w:spacing w:val="-16"/>
          <w:w w:val="110"/>
          <w:sz w:val="20"/>
        </w:rPr>
        <w:t xml:space="preserve"> </w:t>
      </w:r>
      <w:r>
        <w:rPr>
          <w:w w:val="110"/>
          <w:sz w:val="20"/>
        </w:rPr>
        <w:t>be</w:t>
      </w:r>
      <w:r>
        <w:rPr>
          <w:spacing w:val="-19"/>
          <w:w w:val="110"/>
          <w:sz w:val="20"/>
        </w:rPr>
        <w:t xml:space="preserve"> </w:t>
      </w:r>
      <w:r>
        <w:rPr>
          <w:w w:val="110"/>
          <w:sz w:val="20"/>
        </w:rPr>
        <w:t>used</w:t>
      </w:r>
      <w:r>
        <w:rPr>
          <w:spacing w:val="-17"/>
          <w:w w:val="110"/>
          <w:sz w:val="20"/>
        </w:rPr>
        <w:t xml:space="preserve"> </w:t>
      </w:r>
      <w:r>
        <w:rPr>
          <w:w w:val="110"/>
          <w:sz w:val="20"/>
        </w:rPr>
        <w:t>if</w:t>
      </w:r>
      <w:r>
        <w:rPr>
          <w:spacing w:val="-19"/>
          <w:w w:val="110"/>
          <w:sz w:val="20"/>
        </w:rPr>
        <w:t xml:space="preserve"> </w:t>
      </w:r>
      <w:r>
        <w:rPr>
          <w:w w:val="110"/>
          <w:sz w:val="20"/>
        </w:rPr>
        <w:t>six</w:t>
      </w:r>
      <w:r>
        <w:rPr>
          <w:spacing w:val="-26"/>
          <w:w w:val="110"/>
          <w:sz w:val="20"/>
        </w:rPr>
        <w:t xml:space="preserve"> </w:t>
      </w:r>
      <w:r>
        <w:rPr>
          <w:w w:val="110"/>
          <w:sz w:val="20"/>
        </w:rPr>
        <w:t>(or</w:t>
      </w:r>
      <w:r>
        <w:rPr>
          <w:spacing w:val="-24"/>
          <w:w w:val="110"/>
          <w:sz w:val="20"/>
        </w:rPr>
        <w:t xml:space="preserve"> </w:t>
      </w:r>
      <w:r>
        <w:rPr>
          <w:w w:val="110"/>
          <w:sz w:val="20"/>
        </w:rPr>
        <w:t>more)</w:t>
      </w:r>
      <w:r>
        <w:rPr>
          <w:spacing w:val="-24"/>
          <w:w w:val="110"/>
          <w:sz w:val="20"/>
        </w:rPr>
        <w:t xml:space="preserve"> </w:t>
      </w:r>
      <w:r>
        <w:rPr>
          <w:w w:val="110"/>
          <w:sz w:val="20"/>
        </w:rPr>
        <w:t>symptoms of</w:t>
      </w:r>
      <w:r>
        <w:rPr>
          <w:spacing w:val="-1"/>
          <w:w w:val="110"/>
          <w:sz w:val="20"/>
        </w:rPr>
        <w:t xml:space="preserve"> </w:t>
      </w:r>
      <w:r>
        <w:rPr>
          <w:w w:val="110"/>
          <w:sz w:val="20"/>
        </w:rPr>
        <w:t>hyperactivity-impulsivity</w:t>
      </w:r>
      <w:r>
        <w:rPr>
          <w:spacing w:val="-18"/>
          <w:w w:val="110"/>
          <w:sz w:val="20"/>
        </w:rPr>
        <w:t xml:space="preserve"> </w:t>
      </w:r>
      <w:r>
        <w:rPr>
          <w:w w:val="110"/>
          <w:sz w:val="20"/>
        </w:rPr>
        <w:t>(but</w:t>
      </w:r>
      <w:r>
        <w:rPr>
          <w:spacing w:val="-6"/>
          <w:w w:val="110"/>
          <w:sz w:val="20"/>
        </w:rPr>
        <w:t xml:space="preserve"> </w:t>
      </w:r>
      <w:r>
        <w:rPr>
          <w:w w:val="110"/>
          <w:sz w:val="20"/>
        </w:rPr>
        <w:t>fewer</w:t>
      </w:r>
      <w:r>
        <w:rPr>
          <w:spacing w:val="-7"/>
          <w:w w:val="110"/>
          <w:sz w:val="20"/>
        </w:rPr>
        <w:t xml:space="preserve"> </w:t>
      </w:r>
      <w:r>
        <w:rPr>
          <w:w w:val="110"/>
          <w:sz w:val="20"/>
        </w:rPr>
        <w:t>than</w:t>
      </w:r>
      <w:r>
        <w:rPr>
          <w:spacing w:val="-11"/>
          <w:w w:val="110"/>
          <w:sz w:val="20"/>
        </w:rPr>
        <w:t xml:space="preserve"> </w:t>
      </w:r>
      <w:r>
        <w:rPr>
          <w:w w:val="110"/>
          <w:sz w:val="20"/>
        </w:rPr>
        <w:t>six</w:t>
      </w:r>
      <w:r>
        <w:rPr>
          <w:spacing w:val="-15"/>
          <w:w w:val="110"/>
          <w:sz w:val="20"/>
        </w:rPr>
        <w:t xml:space="preserve"> </w:t>
      </w:r>
      <w:r>
        <w:rPr>
          <w:w w:val="110"/>
          <w:sz w:val="20"/>
        </w:rPr>
        <w:t>symptoms</w:t>
      </w:r>
      <w:r>
        <w:rPr>
          <w:spacing w:val="-1"/>
          <w:w w:val="110"/>
          <w:sz w:val="20"/>
        </w:rPr>
        <w:t xml:space="preserve"> </w:t>
      </w:r>
      <w:r>
        <w:rPr>
          <w:w w:val="110"/>
          <w:sz w:val="20"/>
        </w:rPr>
        <w:t>of</w:t>
      </w:r>
      <w:r>
        <w:rPr>
          <w:spacing w:val="-3"/>
          <w:w w:val="110"/>
          <w:sz w:val="20"/>
        </w:rPr>
        <w:t xml:space="preserve"> </w:t>
      </w:r>
      <w:r>
        <w:rPr>
          <w:w w:val="110"/>
          <w:sz w:val="20"/>
        </w:rPr>
        <w:t>inattention)</w:t>
      </w:r>
      <w:r>
        <w:rPr>
          <w:spacing w:val="4"/>
          <w:w w:val="110"/>
          <w:sz w:val="20"/>
        </w:rPr>
        <w:t xml:space="preserve"> </w:t>
      </w:r>
      <w:r>
        <w:rPr>
          <w:w w:val="110"/>
          <w:sz w:val="20"/>
        </w:rPr>
        <w:t>have persisted</w:t>
      </w:r>
      <w:r>
        <w:rPr>
          <w:spacing w:val="-18"/>
          <w:w w:val="110"/>
          <w:sz w:val="20"/>
        </w:rPr>
        <w:t xml:space="preserve"> </w:t>
      </w:r>
      <w:r>
        <w:rPr>
          <w:w w:val="110"/>
          <w:sz w:val="20"/>
        </w:rPr>
        <w:t>for</w:t>
      </w:r>
      <w:r>
        <w:rPr>
          <w:spacing w:val="-23"/>
          <w:w w:val="110"/>
          <w:sz w:val="20"/>
        </w:rPr>
        <w:t xml:space="preserve"> </w:t>
      </w:r>
      <w:r>
        <w:rPr>
          <w:w w:val="110"/>
          <w:sz w:val="20"/>
        </w:rPr>
        <w:t>at</w:t>
      </w:r>
      <w:r>
        <w:rPr>
          <w:spacing w:val="-24"/>
          <w:w w:val="110"/>
          <w:sz w:val="20"/>
        </w:rPr>
        <w:t xml:space="preserve"> </w:t>
      </w:r>
      <w:r>
        <w:rPr>
          <w:w w:val="110"/>
          <w:sz w:val="20"/>
        </w:rPr>
        <w:t>least</w:t>
      </w:r>
      <w:r>
        <w:rPr>
          <w:spacing w:val="-21"/>
          <w:w w:val="110"/>
          <w:sz w:val="20"/>
        </w:rPr>
        <w:t xml:space="preserve"> </w:t>
      </w:r>
      <w:r>
        <w:rPr>
          <w:w w:val="110"/>
          <w:sz w:val="20"/>
        </w:rPr>
        <w:t>6</w:t>
      </w:r>
      <w:r>
        <w:rPr>
          <w:spacing w:val="-25"/>
          <w:w w:val="110"/>
          <w:sz w:val="20"/>
        </w:rPr>
        <w:t xml:space="preserve"> </w:t>
      </w:r>
      <w:r>
        <w:rPr>
          <w:w w:val="110"/>
          <w:sz w:val="20"/>
        </w:rPr>
        <w:t>months.</w:t>
      </w:r>
      <w:r>
        <w:rPr>
          <w:spacing w:val="-18"/>
          <w:w w:val="110"/>
          <w:sz w:val="20"/>
        </w:rPr>
        <w:t xml:space="preserve"> </w:t>
      </w:r>
      <w:r>
        <w:rPr>
          <w:w w:val="110"/>
          <w:sz w:val="20"/>
        </w:rPr>
        <w:t>Inattention</w:t>
      </w:r>
      <w:r>
        <w:rPr>
          <w:spacing w:val="-13"/>
          <w:w w:val="110"/>
          <w:sz w:val="20"/>
        </w:rPr>
        <w:t xml:space="preserve"> </w:t>
      </w:r>
      <w:r>
        <w:rPr>
          <w:w w:val="110"/>
          <w:sz w:val="20"/>
        </w:rPr>
        <w:t>may</w:t>
      </w:r>
      <w:r>
        <w:rPr>
          <w:spacing w:val="-24"/>
          <w:w w:val="110"/>
          <w:sz w:val="20"/>
        </w:rPr>
        <w:t xml:space="preserve"> </w:t>
      </w:r>
      <w:r>
        <w:rPr>
          <w:w w:val="110"/>
          <w:sz w:val="20"/>
        </w:rPr>
        <w:t>often</w:t>
      </w:r>
      <w:r>
        <w:rPr>
          <w:spacing w:val="-23"/>
          <w:w w:val="110"/>
          <w:sz w:val="20"/>
        </w:rPr>
        <w:t xml:space="preserve"> </w:t>
      </w:r>
      <w:r>
        <w:rPr>
          <w:w w:val="110"/>
          <w:sz w:val="20"/>
        </w:rPr>
        <w:t>still</w:t>
      </w:r>
      <w:r>
        <w:rPr>
          <w:spacing w:val="-21"/>
          <w:w w:val="110"/>
          <w:sz w:val="20"/>
        </w:rPr>
        <w:t xml:space="preserve"> </w:t>
      </w:r>
      <w:r>
        <w:rPr>
          <w:w w:val="110"/>
          <w:sz w:val="20"/>
        </w:rPr>
        <w:t>be</w:t>
      </w:r>
      <w:r>
        <w:rPr>
          <w:spacing w:val="-25"/>
          <w:w w:val="110"/>
          <w:sz w:val="20"/>
        </w:rPr>
        <w:t xml:space="preserve"> </w:t>
      </w:r>
      <w:r>
        <w:rPr>
          <w:w w:val="110"/>
          <w:sz w:val="20"/>
        </w:rPr>
        <w:t>a</w:t>
      </w:r>
      <w:r>
        <w:rPr>
          <w:spacing w:val="-25"/>
          <w:w w:val="110"/>
          <w:sz w:val="20"/>
        </w:rPr>
        <w:t xml:space="preserve"> </w:t>
      </w:r>
      <w:r>
        <w:rPr>
          <w:w w:val="110"/>
          <w:sz w:val="20"/>
        </w:rPr>
        <w:t>significant</w:t>
      </w:r>
      <w:r>
        <w:rPr>
          <w:spacing w:val="-16"/>
          <w:w w:val="110"/>
          <w:sz w:val="20"/>
        </w:rPr>
        <w:t xml:space="preserve"> </w:t>
      </w:r>
      <w:r>
        <w:rPr>
          <w:w w:val="110"/>
          <w:sz w:val="20"/>
        </w:rPr>
        <w:t>clinical feature in such</w:t>
      </w:r>
      <w:r>
        <w:rPr>
          <w:spacing w:val="16"/>
          <w:w w:val="110"/>
          <w:sz w:val="20"/>
        </w:rPr>
        <w:t xml:space="preserve"> </w:t>
      </w:r>
      <w:r>
        <w:rPr>
          <w:w w:val="110"/>
          <w:sz w:val="20"/>
        </w:rPr>
        <w:t>cases.</w:t>
      </w:r>
    </w:p>
    <w:p w:rsidR="00E675F0" w:rsidRDefault="00E675F0" w:rsidP="00E675F0">
      <w:pPr>
        <w:pStyle w:val="BodyText"/>
        <w:spacing w:before="6"/>
        <w:rPr>
          <w:sz w:val="32"/>
        </w:rPr>
      </w:pPr>
    </w:p>
    <w:p w:rsidR="00E675F0" w:rsidRDefault="00E675F0" w:rsidP="00E675F0">
      <w:pPr>
        <w:ind w:left="112"/>
        <w:rPr>
          <w:rFonts w:ascii="TimesNewRomanPS-BoldItalicMT"/>
          <w:b/>
          <w:i/>
          <w:sz w:val="24"/>
        </w:rPr>
      </w:pPr>
      <w:r>
        <w:rPr>
          <w:rFonts w:ascii="TimesNewRomanPS-BoldItalicMT"/>
          <w:b/>
          <w:i/>
          <w:w w:val="115"/>
          <w:sz w:val="24"/>
        </w:rPr>
        <w:t>Recording Procedures</w:t>
      </w:r>
    </w:p>
    <w:p w:rsidR="00E675F0" w:rsidRDefault="00E675F0" w:rsidP="00E675F0">
      <w:pPr>
        <w:pStyle w:val="BodyText"/>
        <w:spacing w:before="117" w:line="252" w:lineRule="auto"/>
        <w:ind w:left="122" w:right="118" w:firstLine="5"/>
        <w:jc w:val="both"/>
      </w:pPr>
      <w:r>
        <w:rPr>
          <w:w w:val="105"/>
        </w:rPr>
        <w:t xml:space="preserve">Individuals who at an earlier stage of the disorder had the Predominantly Inattentive Type or the Predominantly Hyperactive-Impulsive Type may go on to develop the Combined Type and vice versa. The appropriate subtype (for a current diagnosis) should be indicated based on the predominant symptom pattern for the past 6 months. </w:t>
      </w:r>
      <w:r>
        <w:rPr>
          <w:w w:val="105"/>
          <w:sz w:val="19"/>
        </w:rPr>
        <w:t xml:space="preserve">If </w:t>
      </w:r>
      <w:r>
        <w:rPr>
          <w:w w:val="105"/>
        </w:rPr>
        <w:t>clinically significant symptoms remain but criteria are no longer met for any of the subtypes,</w:t>
      </w:r>
      <w:r>
        <w:rPr>
          <w:spacing w:val="-11"/>
          <w:w w:val="105"/>
        </w:rPr>
        <w:t xml:space="preserve"> </w:t>
      </w:r>
      <w:r>
        <w:rPr>
          <w:w w:val="105"/>
        </w:rPr>
        <w:t>the</w:t>
      </w:r>
      <w:r>
        <w:rPr>
          <w:spacing w:val="-10"/>
          <w:w w:val="105"/>
        </w:rPr>
        <w:t xml:space="preserve"> </w:t>
      </w:r>
      <w:r>
        <w:rPr>
          <w:w w:val="105"/>
        </w:rPr>
        <w:t>appropriate</w:t>
      </w:r>
      <w:r>
        <w:rPr>
          <w:spacing w:val="-4"/>
          <w:w w:val="105"/>
        </w:rPr>
        <w:t xml:space="preserve"> </w:t>
      </w:r>
      <w:r>
        <w:rPr>
          <w:w w:val="105"/>
        </w:rPr>
        <w:t>diagnosis</w:t>
      </w:r>
      <w:r>
        <w:rPr>
          <w:spacing w:val="-10"/>
          <w:w w:val="105"/>
        </w:rPr>
        <w:t xml:space="preserve"> </w:t>
      </w:r>
      <w:r>
        <w:rPr>
          <w:w w:val="105"/>
        </w:rPr>
        <w:t>is</w:t>
      </w:r>
      <w:r>
        <w:rPr>
          <w:spacing w:val="-25"/>
          <w:w w:val="105"/>
        </w:rPr>
        <w:t xml:space="preserve"> </w:t>
      </w:r>
      <w:r>
        <w:rPr>
          <w:w w:val="105"/>
        </w:rPr>
        <w:t>Attention-Deficit/Hyperactivity</w:t>
      </w:r>
      <w:r>
        <w:rPr>
          <w:spacing w:val="-18"/>
          <w:w w:val="105"/>
        </w:rPr>
        <w:t xml:space="preserve"> </w:t>
      </w:r>
      <w:r>
        <w:rPr>
          <w:w w:val="105"/>
        </w:rPr>
        <w:t>Disorder,</w:t>
      </w:r>
      <w:r>
        <w:rPr>
          <w:spacing w:val="-4"/>
          <w:w w:val="105"/>
        </w:rPr>
        <w:t xml:space="preserve"> </w:t>
      </w:r>
      <w:r>
        <w:rPr>
          <w:w w:val="105"/>
        </w:rPr>
        <w:t>In</w:t>
      </w:r>
      <w:r>
        <w:rPr>
          <w:spacing w:val="-16"/>
          <w:w w:val="105"/>
        </w:rPr>
        <w:t xml:space="preserve"> </w:t>
      </w:r>
      <w:r>
        <w:rPr>
          <w:w w:val="105"/>
        </w:rPr>
        <w:t>Partial Remission. When an individual's symptoms do not currently meet full criteria for the disorder and it is unclear whether criteria for the disorder have previously been met, Attention-Deficit/Hyperactivity Disorder Not Otherwise Specified should be</w:t>
      </w:r>
      <w:r>
        <w:rPr>
          <w:spacing w:val="28"/>
          <w:w w:val="105"/>
        </w:rPr>
        <w:t xml:space="preserve"> </w:t>
      </w:r>
      <w:r>
        <w:rPr>
          <w:w w:val="105"/>
        </w:rPr>
        <w:t>diagnosed.</w:t>
      </w:r>
    </w:p>
    <w:p w:rsidR="00E675F0" w:rsidRDefault="00E675F0" w:rsidP="00E675F0">
      <w:pPr>
        <w:pStyle w:val="BodyText"/>
        <w:rPr>
          <w:sz w:val="22"/>
        </w:rPr>
      </w:pPr>
    </w:p>
    <w:p w:rsidR="00E675F0" w:rsidRDefault="00E675F0" w:rsidP="00E675F0">
      <w:pPr>
        <w:spacing w:before="128"/>
        <w:ind w:left="103"/>
        <w:rPr>
          <w:rFonts w:ascii="TimesNewRomanPS-BoldItalicMT"/>
          <w:b/>
          <w:i/>
          <w:sz w:val="24"/>
        </w:rPr>
      </w:pPr>
      <w:r>
        <w:rPr>
          <w:rFonts w:ascii="TimesNewRomanPS-BoldItalicMT"/>
          <w:b/>
          <w:i/>
          <w:w w:val="115"/>
          <w:sz w:val="24"/>
        </w:rPr>
        <w:t>Associated Features and Disorders</w:t>
      </w:r>
    </w:p>
    <w:p w:rsidR="00E675F0" w:rsidRDefault="00E675F0" w:rsidP="00E675F0">
      <w:pPr>
        <w:pStyle w:val="BodyText"/>
        <w:spacing w:before="160" w:line="254" w:lineRule="auto"/>
        <w:ind w:left="121" w:right="119"/>
        <w:jc w:val="both"/>
      </w:pPr>
      <w:r>
        <w:rPr>
          <w:b/>
          <w:w w:val="105"/>
        </w:rPr>
        <w:t xml:space="preserve">Associated descriptive features and mental disorders. </w:t>
      </w:r>
      <w:r>
        <w:rPr>
          <w:w w:val="105"/>
        </w:rPr>
        <w:t>Associated features vary depending on age and developmental stage and may include low frustration tolerance, temper outbursts, bossiness, stubbornness, excessive and frequent insistence that requests be met, mood !ability, demoralization, dysphoria, rejection by peers, and poor self-esteem. Academic achievement is often impaired and devalued, typically leading to conflict with the family and school authorities. Inadequate self-application to tasks that require sustained effort is often interpreted by others as indicating laziness, a poor sense of responsibility, and oppositional behavior. Family relationships are often characterized by resentment and antagonism, especially because variability in the individual's</w:t>
      </w:r>
      <w:r>
        <w:rPr>
          <w:spacing w:val="18"/>
          <w:w w:val="105"/>
        </w:rPr>
        <w:t xml:space="preserve"> </w:t>
      </w:r>
      <w:r>
        <w:rPr>
          <w:w w:val="105"/>
        </w:rPr>
        <w:t>symp-</w:t>
      </w:r>
    </w:p>
    <w:p w:rsidR="00E675F0" w:rsidRDefault="00E675F0" w:rsidP="00E675F0">
      <w:pPr>
        <w:spacing w:line="254" w:lineRule="auto"/>
        <w:jc w:val="both"/>
        <w:sectPr w:rsidR="00E675F0">
          <w:pgSz w:w="8960" w:h="14260"/>
          <w:pgMar w:top="1400" w:right="600" w:bottom="280" w:left="620" w:header="689" w:footer="0" w:gutter="0"/>
          <w:cols w:space="720"/>
        </w:sectPr>
      </w:pPr>
    </w:p>
    <w:p w:rsidR="00E675F0" w:rsidRDefault="00E675F0" w:rsidP="00E675F0">
      <w:pPr>
        <w:pStyle w:val="BodyText"/>
        <w:spacing w:before="118" w:line="254" w:lineRule="auto"/>
        <w:ind w:left="114" w:right="119" w:firstLine="3"/>
        <w:jc w:val="both"/>
      </w:pPr>
      <w:r>
        <w:rPr>
          <w:w w:val="105"/>
        </w:rPr>
        <w:lastRenderedPageBreak/>
        <w:t>tomatic status often leads parents to believe that all the troublesome behavior is willful. Individuals</w:t>
      </w:r>
      <w:r>
        <w:rPr>
          <w:spacing w:val="-3"/>
          <w:w w:val="105"/>
        </w:rPr>
        <w:t xml:space="preserve"> </w:t>
      </w:r>
      <w:r>
        <w:rPr>
          <w:w w:val="105"/>
        </w:rPr>
        <w:t>with</w:t>
      </w:r>
      <w:r>
        <w:rPr>
          <w:spacing w:val="-16"/>
          <w:w w:val="105"/>
        </w:rPr>
        <w:t xml:space="preserve"> </w:t>
      </w:r>
      <w:r>
        <w:rPr>
          <w:w w:val="105"/>
        </w:rPr>
        <w:t>Attention-Deficit/Hyperactivity</w:t>
      </w:r>
      <w:r>
        <w:rPr>
          <w:spacing w:val="-14"/>
          <w:w w:val="105"/>
        </w:rPr>
        <w:t xml:space="preserve"> </w:t>
      </w:r>
      <w:r>
        <w:rPr>
          <w:w w:val="105"/>
        </w:rPr>
        <w:t>Disorder</w:t>
      </w:r>
      <w:r>
        <w:rPr>
          <w:spacing w:val="-5"/>
          <w:w w:val="105"/>
        </w:rPr>
        <w:t xml:space="preserve"> </w:t>
      </w:r>
      <w:r>
        <w:rPr>
          <w:w w:val="105"/>
        </w:rPr>
        <w:t>may</w:t>
      </w:r>
      <w:r>
        <w:rPr>
          <w:spacing w:val="-17"/>
          <w:w w:val="105"/>
        </w:rPr>
        <w:t xml:space="preserve"> </w:t>
      </w:r>
      <w:r>
        <w:rPr>
          <w:w w:val="105"/>
        </w:rPr>
        <w:t>obtain</w:t>
      </w:r>
      <w:r>
        <w:rPr>
          <w:spacing w:val="-7"/>
          <w:w w:val="105"/>
        </w:rPr>
        <w:t xml:space="preserve"> </w:t>
      </w:r>
      <w:r>
        <w:rPr>
          <w:w w:val="105"/>
        </w:rPr>
        <w:t>less</w:t>
      </w:r>
      <w:r>
        <w:rPr>
          <w:spacing w:val="-20"/>
          <w:w w:val="105"/>
        </w:rPr>
        <w:t xml:space="preserve"> </w:t>
      </w:r>
      <w:r>
        <w:rPr>
          <w:w w:val="105"/>
        </w:rPr>
        <w:t>schooling</w:t>
      </w:r>
      <w:r>
        <w:rPr>
          <w:spacing w:val="-6"/>
          <w:w w:val="105"/>
        </w:rPr>
        <w:t xml:space="preserve"> </w:t>
      </w:r>
      <w:r>
        <w:rPr>
          <w:w w:val="105"/>
        </w:rPr>
        <w:t>than their peers and have poorer vocational achievement. Intellectual development, as assessed by individual IQ tests, appears to be somewhat lower in children with this disorder. In its severe form, the disorder is very impairing, affecting social, familial, and scholastic adjustment. A substantial proportion of children referred to clinics with Attention-Deficit/Hyperactivity Disorder also have Oppositional Defiant Disorder or Conduct Disorder. There may be a higher prevalence of Mood Disorders, Anxiety Disorders, Learning Disorders, and Communication Disorders in children with Atten­ tion-Deficit/Hyperactivity Disorder. This disorder is not infrequent among individuals with Tourette's Disorder; when the two disorders coexist, the onset of Attention-Deficit/ Hyperactivity Disorder often precedes the onset of the Tourette's Disorder. There may  be a history of child abuse or neglect, multiple foster placements, neurotoxin exposure (e.g., lead poisoning), infections (e.g., encephalitis), drug exposure in utero, low birth weight, and Mental Retardation.</w:t>
      </w:r>
    </w:p>
    <w:p w:rsidR="00E675F0" w:rsidRDefault="00E675F0" w:rsidP="00E675F0">
      <w:pPr>
        <w:pStyle w:val="BodyText"/>
        <w:spacing w:before="7"/>
        <w:rPr>
          <w:sz w:val="25"/>
        </w:rPr>
      </w:pPr>
    </w:p>
    <w:p w:rsidR="00E675F0" w:rsidRDefault="00E675F0" w:rsidP="00E675F0">
      <w:pPr>
        <w:pStyle w:val="BodyText"/>
        <w:spacing w:line="254" w:lineRule="auto"/>
        <w:ind w:left="118" w:right="130" w:hanging="1"/>
        <w:jc w:val="both"/>
      </w:pPr>
      <w:r>
        <w:rPr>
          <w:b/>
          <w:w w:val="105"/>
        </w:rPr>
        <w:t xml:space="preserve">Associated laboratory findings. </w:t>
      </w:r>
      <w:r>
        <w:rPr>
          <w:w w:val="105"/>
        </w:rPr>
        <w:t>There are no laboratory tests that have been estab­ lished</w:t>
      </w:r>
      <w:r>
        <w:rPr>
          <w:spacing w:val="-19"/>
          <w:w w:val="105"/>
        </w:rPr>
        <w:t xml:space="preserve"> </w:t>
      </w:r>
      <w:r>
        <w:rPr>
          <w:w w:val="105"/>
        </w:rPr>
        <w:t>as</w:t>
      </w:r>
      <w:r>
        <w:rPr>
          <w:spacing w:val="-30"/>
          <w:w w:val="105"/>
        </w:rPr>
        <w:t xml:space="preserve"> </w:t>
      </w:r>
      <w:r>
        <w:rPr>
          <w:w w:val="105"/>
        </w:rPr>
        <w:t>diagnostic</w:t>
      </w:r>
      <w:r>
        <w:rPr>
          <w:spacing w:val="-19"/>
          <w:w w:val="105"/>
        </w:rPr>
        <w:t xml:space="preserve"> </w:t>
      </w:r>
      <w:r>
        <w:rPr>
          <w:w w:val="105"/>
        </w:rPr>
        <w:t>in</w:t>
      </w:r>
      <w:r>
        <w:rPr>
          <w:spacing w:val="-25"/>
          <w:w w:val="105"/>
        </w:rPr>
        <w:t xml:space="preserve"> </w:t>
      </w:r>
      <w:r>
        <w:rPr>
          <w:w w:val="105"/>
        </w:rPr>
        <w:t>the</w:t>
      </w:r>
      <w:r>
        <w:rPr>
          <w:spacing w:val="-25"/>
          <w:w w:val="105"/>
        </w:rPr>
        <w:t xml:space="preserve"> </w:t>
      </w:r>
      <w:r>
        <w:rPr>
          <w:w w:val="105"/>
        </w:rPr>
        <w:t>clinical</w:t>
      </w:r>
      <w:r>
        <w:rPr>
          <w:spacing w:val="-14"/>
          <w:w w:val="105"/>
        </w:rPr>
        <w:t xml:space="preserve"> </w:t>
      </w:r>
      <w:r>
        <w:rPr>
          <w:w w:val="105"/>
        </w:rPr>
        <w:t>assessment</w:t>
      </w:r>
      <w:r>
        <w:rPr>
          <w:spacing w:val="-14"/>
          <w:w w:val="105"/>
        </w:rPr>
        <w:t xml:space="preserve"> </w:t>
      </w:r>
      <w:r>
        <w:rPr>
          <w:w w:val="105"/>
        </w:rPr>
        <w:t>of</w:t>
      </w:r>
      <w:r>
        <w:rPr>
          <w:spacing w:val="-21"/>
          <w:w w:val="105"/>
        </w:rPr>
        <w:t xml:space="preserve"> </w:t>
      </w:r>
      <w:r>
        <w:rPr>
          <w:w w:val="105"/>
        </w:rPr>
        <w:t>Attention-Deficit/Hyperactivity</w:t>
      </w:r>
      <w:r>
        <w:rPr>
          <w:spacing w:val="-27"/>
          <w:w w:val="105"/>
        </w:rPr>
        <w:t xml:space="preserve"> </w:t>
      </w:r>
      <w:r>
        <w:rPr>
          <w:w w:val="105"/>
        </w:rPr>
        <w:t>Disorder. Tests that require effortful mental processing have been noted to be abnormal in groups of individuals with Attention-Deficit/Hyperactivity Disorder compared with control subjects, but it is not yet entirely clear what fundamental cognitive deficit is responsible for</w:t>
      </w:r>
      <w:r>
        <w:rPr>
          <w:spacing w:val="7"/>
          <w:w w:val="105"/>
        </w:rPr>
        <w:t xml:space="preserve"> </w:t>
      </w:r>
      <w:r>
        <w:rPr>
          <w:w w:val="105"/>
        </w:rPr>
        <w:t>this.</w:t>
      </w:r>
    </w:p>
    <w:p w:rsidR="00E675F0" w:rsidRDefault="00E675F0" w:rsidP="00E675F0">
      <w:pPr>
        <w:pStyle w:val="BodyText"/>
        <w:spacing w:before="9"/>
        <w:rPr>
          <w:sz w:val="25"/>
        </w:rPr>
      </w:pPr>
    </w:p>
    <w:p w:rsidR="00E675F0" w:rsidRDefault="00E675F0" w:rsidP="00E675F0">
      <w:pPr>
        <w:spacing w:line="254" w:lineRule="auto"/>
        <w:ind w:left="118" w:right="118" w:hanging="1"/>
        <w:jc w:val="both"/>
        <w:rPr>
          <w:sz w:val="20"/>
        </w:rPr>
      </w:pPr>
      <w:r>
        <w:rPr>
          <w:b/>
          <w:w w:val="105"/>
          <w:sz w:val="20"/>
        </w:rPr>
        <w:t xml:space="preserve">Associated  physical  examination  findings  and  general  medical   conditions. </w:t>
      </w:r>
      <w:r>
        <w:rPr>
          <w:w w:val="105"/>
          <w:sz w:val="20"/>
        </w:rPr>
        <w:t>There are no specific physical features associated with Attention-Deficit/Hyperactivity Disorder, although minor physical anomalies (e.g., hypertelorism, highly arched palate, low-set ears) may occur at a higher rate than in the general population. There may also be a higher rate of physical</w:t>
      </w:r>
      <w:r>
        <w:rPr>
          <w:spacing w:val="36"/>
          <w:w w:val="105"/>
          <w:sz w:val="20"/>
        </w:rPr>
        <w:t xml:space="preserve"> </w:t>
      </w:r>
      <w:r>
        <w:rPr>
          <w:w w:val="105"/>
          <w:sz w:val="20"/>
        </w:rPr>
        <w:t>injury.</w:t>
      </w:r>
    </w:p>
    <w:p w:rsidR="00E675F0" w:rsidRDefault="00E675F0" w:rsidP="00E675F0">
      <w:pPr>
        <w:pStyle w:val="BodyText"/>
        <w:rPr>
          <w:sz w:val="22"/>
        </w:rPr>
      </w:pPr>
    </w:p>
    <w:p w:rsidR="00E675F0" w:rsidRDefault="00E675F0" w:rsidP="00E675F0">
      <w:pPr>
        <w:spacing w:before="192"/>
        <w:ind w:left="114"/>
        <w:jc w:val="both"/>
        <w:rPr>
          <w:rFonts w:ascii="TimesNewRomanPS-BoldItalicMT"/>
          <w:b/>
          <w:i/>
          <w:sz w:val="23"/>
        </w:rPr>
      </w:pPr>
      <w:r>
        <w:rPr>
          <w:rFonts w:ascii="TimesNewRomanPS-BoldItalicMT"/>
          <w:b/>
          <w:i/>
          <w:w w:val="115"/>
          <w:sz w:val="23"/>
        </w:rPr>
        <w:t>Specific Culture, Age, and Gender Features</w:t>
      </w:r>
    </w:p>
    <w:p w:rsidR="00E675F0" w:rsidRDefault="00E675F0" w:rsidP="00E675F0">
      <w:pPr>
        <w:pStyle w:val="BodyText"/>
        <w:spacing w:before="148" w:line="247" w:lineRule="auto"/>
        <w:ind w:left="122" w:right="129"/>
        <w:jc w:val="both"/>
      </w:pPr>
      <w:r>
        <w:rPr>
          <w:w w:val="105"/>
        </w:rPr>
        <w:t>Attention-Deficit/Hyperactivity Disorder is known to occur in various cultures, with variations in reported prevalence among Western countries probably arising more from different diagnostic practices than from differences in clinical presentation.</w:t>
      </w:r>
    </w:p>
    <w:p w:rsidR="00E675F0" w:rsidRDefault="00E675F0" w:rsidP="00E675F0">
      <w:pPr>
        <w:pStyle w:val="BodyText"/>
        <w:spacing w:before="6" w:line="254" w:lineRule="auto"/>
        <w:ind w:left="122" w:right="117" w:firstLine="363"/>
        <w:jc w:val="both"/>
      </w:pPr>
      <w:r>
        <w:rPr>
          <w:w w:val="105"/>
          <w:sz w:val="19"/>
        </w:rPr>
        <w:t xml:space="preserve">It </w:t>
      </w:r>
      <w:r>
        <w:rPr>
          <w:w w:val="105"/>
        </w:rPr>
        <w:t>is especially difficult to establish this diagnosis in children younger than age 4 or 5 years, because their characteristic behavior is much more variable than that of older children and may include features that are similar to symptoms of Attention-Deficit/ Hyperactivity Disorder. Furthermore, symptoms of inattention in toddlers or preschool children are often not readily observed because young children typically experience few demands for sustained attention.  However, even the attention  of toddlers  can be held  in a variety of situations (e.g., the average 2- or 3-year-old child can typically sit with  an adult looking through picture books). In contrast, young children with Attention­ Deficit/Hyperactivity Disorder move excessively and typically are difficult to contain. Inquiring about a wide variety of behaviors in a young child may be helpful in ensuring that a full clinical picture has been obtained. As children mature, symptoms usually become less conspicuous. By late childhood and early adolescence, signs of excessive gross motor activity (e.g., excessive running and climbing, not remaining seated) are  less common, and hyperactivity symptoms may be confined to fidgetiness or an</w:t>
      </w:r>
      <w:r>
        <w:rPr>
          <w:spacing w:val="-9"/>
          <w:w w:val="105"/>
        </w:rPr>
        <w:t xml:space="preserve"> </w:t>
      </w:r>
      <w:r>
        <w:rPr>
          <w:w w:val="105"/>
        </w:rPr>
        <w:t>inner</w:t>
      </w:r>
    </w:p>
    <w:p w:rsidR="00E675F0" w:rsidRDefault="00E675F0" w:rsidP="00E675F0">
      <w:pPr>
        <w:spacing w:line="254" w:lineRule="auto"/>
        <w:jc w:val="both"/>
        <w:sectPr w:rsidR="00E675F0">
          <w:pgSz w:w="8960" w:h="14260"/>
          <w:pgMar w:top="1400" w:right="620" w:bottom="280" w:left="620" w:header="682" w:footer="0" w:gutter="0"/>
          <w:cols w:space="720"/>
        </w:sectPr>
      </w:pPr>
    </w:p>
    <w:p w:rsidR="00E675F0" w:rsidRDefault="00E675F0" w:rsidP="00E675F0">
      <w:pPr>
        <w:pStyle w:val="BodyText"/>
        <w:spacing w:before="129" w:line="254" w:lineRule="auto"/>
        <w:ind w:left="128" w:right="119" w:firstLine="4"/>
        <w:jc w:val="both"/>
      </w:pPr>
      <w:r>
        <w:rPr>
          <w:w w:val="105"/>
        </w:rPr>
        <w:lastRenderedPageBreak/>
        <w:t>feeling</w:t>
      </w:r>
      <w:r>
        <w:rPr>
          <w:spacing w:val="-18"/>
          <w:w w:val="105"/>
        </w:rPr>
        <w:t xml:space="preserve"> </w:t>
      </w:r>
      <w:r>
        <w:rPr>
          <w:w w:val="105"/>
        </w:rPr>
        <w:t>of</w:t>
      </w:r>
      <w:r>
        <w:rPr>
          <w:spacing w:val="1"/>
          <w:w w:val="105"/>
        </w:rPr>
        <w:t xml:space="preserve"> </w:t>
      </w:r>
      <w:r>
        <w:rPr>
          <w:w w:val="105"/>
        </w:rPr>
        <w:t>jitteriness</w:t>
      </w:r>
      <w:r>
        <w:rPr>
          <w:spacing w:val="-14"/>
          <w:w w:val="105"/>
        </w:rPr>
        <w:t xml:space="preserve"> </w:t>
      </w:r>
      <w:r>
        <w:rPr>
          <w:w w:val="105"/>
        </w:rPr>
        <w:t>or</w:t>
      </w:r>
      <w:r>
        <w:rPr>
          <w:spacing w:val="-21"/>
          <w:w w:val="105"/>
        </w:rPr>
        <w:t xml:space="preserve"> </w:t>
      </w:r>
      <w:r>
        <w:rPr>
          <w:w w:val="105"/>
        </w:rPr>
        <w:t>restlessness.</w:t>
      </w:r>
      <w:r>
        <w:rPr>
          <w:spacing w:val="-15"/>
          <w:w w:val="105"/>
        </w:rPr>
        <w:t xml:space="preserve"> </w:t>
      </w:r>
      <w:r>
        <w:rPr>
          <w:w w:val="105"/>
        </w:rPr>
        <w:t>In</w:t>
      </w:r>
      <w:r>
        <w:rPr>
          <w:spacing w:val="-24"/>
          <w:w w:val="105"/>
        </w:rPr>
        <w:t xml:space="preserve"> </w:t>
      </w:r>
      <w:r>
        <w:rPr>
          <w:w w:val="105"/>
        </w:rPr>
        <w:t>school-age</w:t>
      </w:r>
      <w:r>
        <w:rPr>
          <w:spacing w:val="-10"/>
          <w:w w:val="105"/>
        </w:rPr>
        <w:t xml:space="preserve"> </w:t>
      </w:r>
      <w:r>
        <w:rPr>
          <w:w w:val="105"/>
        </w:rPr>
        <w:t>children,</w:t>
      </w:r>
      <w:r>
        <w:rPr>
          <w:spacing w:val="-20"/>
          <w:w w:val="105"/>
        </w:rPr>
        <w:t xml:space="preserve"> </w:t>
      </w:r>
      <w:r>
        <w:rPr>
          <w:w w:val="105"/>
        </w:rPr>
        <w:t>symptoms</w:t>
      </w:r>
      <w:r>
        <w:rPr>
          <w:spacing w:val="-16"/>
          <w:w w:val="105"/>
        </w:rPr>
        <w:t xml:space="preserve"> </w:t>
      </w:r>
      <w:r>
        <w:rPr>
          <w:w w:val="105"/>
        </w:rPr>
        <w:t>of</w:t>
      </w:r>
      <w:r>
        <w:rPr>
          <w:spacing w:val="-14"/>
          <w:w w:val="105"/>
        </w:rPr>
        <w:t xml:space="preserve"> </w:t>
      </w:r>
      <w:r>
        <w:rPr>
          <w:w w:val="105"/>
        </w:rPr>
        <w:t>inattention</w:t>
      </w:r>
      <w:r>
        <w:rPr>
          <w:spacing w:val="-15"/>
          <w:w w:val="105"/>
        </w:rPr>
        <w:t xml:space="preserve"> </w:t>
      </w:r>
      <w:r>
        <w:rPr>
          <w:w w:val="105"/>
        </w:rPr>
        <w:t>affect classroom work and academic performance. Impulsive symptoms may also lead to the breaking of familial, interpersonal, and educational rules, especially in adolescence. In adulthood, restlessness may lead to difficulty in participating in sedentary activities and to avoiding pastimes or occupations that provide limited opportunity for spontaneous movement (e.g., desk</w:t>
      </w:r>
      <w:r>
        <w:rPr>
          <w:spacing w:val="17"/>
          <w:w w:val="105"/>
        </w:rPr>
        <w:t xml:space="preserve"> </w:t>
      </w:r>
      <w:r>
        <w:rPr>
          <w:w w:val="105"/>
        </w:rPr>
        <w:t>jobs).</w:t>
      </w:r>
    </w:p>
    <w:p w:rsidR="00E675F0" w:rsidRDefault="00E675F0" w:rsidP="00E675F0">
      <w:pPr>
        <w:pStyle w:val="BodyText"/>
        <w:spacing w:before="4" w:line="252" w:lineRule="auto"/>
        <w:ind w:left="133" w:right="117" w:firstLine="356"/>
        <w:jc w:val="both"/>
      </w:pPr>
      <w:r>
        <w:rPr>
          <w:w w:val="105"/>
        </w:rPr>
        <w:t>The disorder is much more frequent in males than in females, with male-to-female ratios ranging from 4:1 to 9:1, depending on the setting (i.e., general population or clinics).</w:t>
      </w:r>
    </w:p>
    <w:p w:rsidR="00E675F0" w:rsidRDefault="00E675F0" w:rsidP="00E675F0">
      <w:pPr>
        <w:pStyle w:val="BodyText"/>
        <w:rPr>
          <w:sz w:val="22"/>
        </w:rPr>
      </w:pPr>
    </w:p>
    <w:p w:rsidR="00E675F0" w:rsidRDefault="00E675F0" w:rsidP="00E675F0">
      <w:pPr>
        <w:spacing w:before="134"/>
        <w:ind w:left="118"/>
        <w:rPr>
          <w:rFonts w:ascii="TimesNewRomanPS-BoldItalicMT"/>
          <w:b/>
          <w:i/>
          <w:sz w:val="24"/>
        </w:rPr>
      </w:pPr>
      <w:r>
        <w:rPr>
          <w:rFonts w:ascii="TimesNewRomanPS-BoldItalicMT"/>
          <w:b/>
          <w:i/>
          <w:w w:val="115"/>
          <w:sz w:val="24"/>
        </w:rPr>
        <w:t>Prevalence</w:t>
      </w:r>
    </w:p>
    <w:p w:rsidR="00E675F0" w:rsidRDefault="00E675F0" w:rsidP="00E675F0">
      <w:pPr>
        <w:pStyle w:val="BodyText"/>
        <w:spacing w:before="141" w:line="252" w:lineRule="auto"/>
        <w:ind w:left="130" w:right="115" w:hanging="1"/>
        <w:jc w:val="both"/>
      </w:pPr>
      <w:r>
        <w:rPr>
          <w:w w:val="105"/>
        </w:rPr>
        <w:t xml:space="preserve">The prevalence of Attention-Deficit/Hyperactivity Disorder is estimated at </w:t>
      </w:r>
      <w:r>
        <w:rPr>
          <w:w w:val="105"/>
          <w:sz w:val="19"/>
        </w:rPr>
        <w:t xml:space="preserve">3%-5% </w:t>
      </w:r>
      <w:r>
        <w:rPr>
          <w:w w:val="105"/>
        </w:rPr>
        <w:t>in school-age children. Data on prevalence in adolescence and adulthood are limited.</w:t>
      </w:r>
    </w:p>
    <w:p w:rsidR="00E675F0" w:rsidRDefault="00E675F0" w:rsidP="00E675F0">
      <w:pPr>
        <w:pStyle w:val="BodyText"/>
        <w:rPr>
          <w:sz w:val="22"/>
        </w:rPr>
      </w:pPr>
    </w:p>
    <w:p w:rsidR="00E675F0" w:rsidRDefault="00E675F0" w:rsidP="00E675F0">
      <w:pPr>
        <w:spacing w:before="130"/>
        <w:ind w:left="110"/>
        <w:rPr>
          <w:rFonts w:ascii="TimesNewRomanPS-BoldItalicMT"/>
          <w:b/>
          <w:i/>
          <w:sz w:val="24"/>
        </w:rPr>
      </w:pPr>
      <w:r>
        <w:rPr>
          <w:rFonts w:ascii="TimesNewRomanPS-BoldItalicMT"/>
          <w:b/>
          <w:i/>
          <w:w w:val="115"/>
          <w:sz w:val="24"/>
        </w:rPr>
        <w:t>Course</w:t>
      </w:r>
    </w:p>
    <w:p w:rsidR="00E675F0" w:rsidRDefault="00E675F0" w:rsidP="00E675F0">
      <w:pPr>
        <w:pStyle w:val="BodyText"/>
        <w:spacing w:before="132" w:line="252" w:lineRule="auto"/>
        <w:ind w:left="128" w:right="105" w:firstLine="9"/>
        <w:jc w:val="both"/>
      </w:pPr>
      <w:r>
        <w:rPr>
          <w:w w:val="105"/>
        </w:rPr>
        <w:t>Most parents first observe excessive motor activity when the children are toddlers, frequently coinciding with the development of independent locomotion. However, because many overactive toddlers will not go on to develop Attention-Deficit/Hyperac­ tivity Disorder, caution should be exercised in making this diagnosis in early years. Usually, the disorder is first diagnosed during elementary school years, when school adjustment is compromised. In the majority of cases seen in clinical settings, the disorder is relatively stable through early adolescence. In most individuals, symptoms attenuate during late adolescence and adulthood, although a minority experience the full complement of symptoms of Attention-Deficit/Hyperactivity Disorder into mid­ adulthood. Other adults may retain only some of the symptoms, in which case the diagnosis of Attention-Deficit/Hyperactivity Disorder, In Partial Remission, should be used. This diagnosis applies to individuals who no longer have the full disorder but still retain some symptoms that cause functional impairment.</w:t>
      </w:r>
    </w:p>
    <w:p w:rsidR="00E675F0" w:rsidRDefault="00E675F0" w:rsidP="00E675F0">
      <w:pPr>
        <w:pStyle w:val="BodyText"/>
        <w:rPr>
          <w:sz w:val="22"/>
        </w:rPr>
      </w:pPr>
    </w:p>
    <w:p w:rsidR="00E675F0" w:rsidRDefault="00E675F0" w:rsidP="00E675F0">
      <w:pPr>
        <w:spacing w:before="132"/>
        <w:ind w:left="115"/>
        <w:rPr>
          <w:rFonts w:ascii="TimesNewRomanPS-BoldItalicMT"/>
          <w:b/>
          <w:i/>
          <w:sz w:val="24"/>
        </w:rPr>
      </w:pPr>
      <w:r>
        <w:rPr>
          <w:rFonts w:ascii="TimesNewRomanPS-BoldItalicMT"/>
          <w:b/>
          <w:i/>
          <w:w w:val="115"/>
          <w:sz w:val="24"/>
        </w:rPr>
        <w:t>Familial Pattern</w:t>
      </w:r>
    </w:p>
    <w:p w:rsidR="00E675F0" w:rsidRDefault="00E675F0" w:rsidP="00E675F0">
      <w:pPr>
        <w:pStyle w:val="BodyText"/>
        <w:spacing w:before="127" w:line="256" w:lineRule="auto"/>
        <w:ind w:left="132" w:right="115" w:firstLine="6"/>
        <w:jc w:val="both"/>
      </w:pPr>
      <w:r>
        <w:rPr>
          <w:w w:val="105"/>
        </w:rPr>
        <w:t>Attention-Deficit/Hyperactivity Disorder has been found to be more common in the first-degree</w:t>
      </w:r>
      <w:r>
        <w:rPr>
          <w:spacing w:val="-11"/>
          <w:w w:val="105"/>
        </w:rPr>
        <w:t xml:space="preserve"> </w:t>
      </w:r>
      <w:r>
        <w:rPr>
          <w:w w:val="105"/>
        </w:rPr>
        <w:t>biological</w:t>
      </w:r>
      <w:r>
        <w:rPr>
          <w:spacing w:val="-9"/>
          <w:w w:val="105"/>
        </w:rPr>
        <w:t xml:space="preserve"> </w:t>
      </w:r>
      <w:r>
        <w:rPr>
          <w:w w:val="105"/>
        </w:rPr>
        <w:t>relatives</w:t>
      </w:r>
      <w:r>
        <w:rPr>
          <w:spacing w:val="-18"/>
          <w:w w:val="105"/>
        </w:rPr>
        <w:t xml:space="preserve"> </w:t>
      </w:r>
      <w:r>
        <w:rPr>
          <w:w w:val="105"/>
        </w:rPr>
        <w:t>of</w:t>
      </w:r>
      <w:r>
        <w:rPr>
          <w:spacing w:val="-23"/>
          <w:w w:val="105"/>
        </w:rPr>
        <w:t xml:space="preserve"> </w:t>
      </w:r>
      <w:r>
        <w:rPr>
          <w:w w:val="105"/>
        </w:rPr>
        <w:t>children</w:t>
      </w:r>
      <w:r>
        <w:rPr>
          <w:spacing w:val="-15"/>
          <w:w w:val="105"/>
        </w:rPr>
        <w:t xml:space="preserve"> </w:t>
      </w:r>
      <w:r>
        <w:rPr>
          <w:w w:val="105"/>
        </w:rPr>
        <w:t>with</w:t>
      </w:r>
      <w:r>
        <w:rPr>
          <w:spacing w:val="-20"/>
          <w:w w:val="105"/>
        </w:rPr>
        <w:t xml:space="preserve"> </w:t>
      </w:r>
      <w:r>
        <w:rPr>
          <w:w w:val="105"/>
        </w:rPr>
        <w:t>Attention-Deficit/Hyperactivity</w:t>
      </w:r>
      <w:r>
        <w:rPr>
          <w:spacing w:val="-28"/>
          <w:w w:val="105"/>
        </w:rPr>
        <w:t xml:space="preserve"> </w:t>
      </w:r>
      <w:r>
        <w:rPr>
          <w:w w:val="105"/>
        </w:rPr>
        <w:t>Disorder. Studies also suggest that there is a higher prevalence of Mood and Anxiety Disorders, Learning Disorders, Substance-Related Disorders, and Antisocial Personality Disorder in family members of individuals with Attention-Deficit/Hyperactivity</w:t>
      </w:r>
      <w:r>
        <w:rPr>
          <w:spacing w:val="39"/>
          <w:w w:val="105"/>
        </w:rPr>
        <w:t xml:space="preserve"> </w:t>
      </w:r>
      <w:r>
        <w:rPr>
          <w:w w:val="105"/>
        </w:rPr>
        <w:t>Disorder.</w:t>
      </w:r>
    </w:p>
    <w:p w:rsidR="00E675F0" w:rsidRDefault="00E675F0" w:rsidP="00E675F0">
      <w:pPr>
        <w:pStyle w:val="BodyText"/>
        <w:rPr>
          <w:sz w:val="22"/>
        </w:rPr>
      </w:pPr>
    </w:p>
    <w:p w:rsidR="00E675F0" w:rsidRDefault="00E675F0" w:rsidP="00E675F0">
      <w:pPr>
        <w:spacing w:before="128"/>
        <w:ind w:left="129"/>
        <w:rPr>
          <w:rFonts w:ascii="TimesNewRomanPS-BoldItalicMT"/>
          <w:b/>
          <w:i/>
          <w:sz w:val="24"/>
        </w:rPr>
      </w:pPr>
      <w:r>
        <w:rPr>
          <w:rFonts w:ascii="TimesNewRomanPS-BoldItalicMT"/>
          <w:b/>
          <w:i/>
          <w:w w:val="115"/>
          <w:sz w:val="24"/>
        </w:rPr>
        <w:t>Differential Diagnosis</w:t>
      </w:r>
    </w:p>
    <w:p w:rsidR="00E675F0" w:rsidRDefault="00E675F0" w:rsidP="00E675F0">
      <w:pPr>
        <w:spacing w:before="136" w:line="254" w:lineRule="auto"/>
        <w:ind w:left="146" w:right="104" w:hanging="2"/>
        <w:jc w:val="both"/>
        <w:rPr>
          <w:sz w:val="20"/>
        </w:rPr>
      </w:pPr>
      <w:r>
        <w:rPr>
          <w:w w:val="105"/>
          <w:sz w:val="20"/>
        </w:rPr>
        <w:t xml:space="preserve">In early childhood, it may be difficult to distinguish symptoms of Attention-Deficit/ Hyperactivity Disorder from </w:t>
      </w:r>
      <w:r>
        <w:rPr>
          <w:b/>
          <w:w w:val="105"/>
          <w:sz w:val="20"/>
        </w:rPr>
        <w:t xml:space="preserve">age-appropriate behaviors in active children </w:t>
      </w:r>
      <w:r>
        <w:rPr>
          <w:w w:val="105"/>
          <w:sz w:val="20"/>
        </w:rPr>
        <w:t>(e.g., running around or being noisy).</w:t>
      </w:r>
    </w:p>
    <w:p w:rsidR="00E675F0" w:rsidRDefault="00E675F0" w:rsidP="00E675F0">
      <w:pPr>
        <w:pStyle w:val="BodyText"/>
        <w:spacing w:line="256" w:lineRule="auto"/>
        <w:ind w:left="137" w:right="113" w:firstLine="361"/>
        <w:jc w:val="both"/>
      </w:pPr>
      <w:r>
        <w:rPr>
          <w:w w:val="105"/>
        </w:rPr>
        <w:t>Symptoms of inattention are common among children with low IQ who are placed in academic settings that are inappropriate to their intellectual ability. These behaviors must</w:t>
      </w:r>
      <w:r>
        <w:rPr>
          <w:spacing w:val="-9"/>
          <w:w w:val="105"/>
        </w:rPr>
        <w:t xml:space="preserve"> </w:t>
      </w:r>
      <w:r>
        <w:rPr>
          <w:w w:val="105"/>
        </w:rPr>
        <w:t>be</w:t>
      </w:r>
      <w:r>
        <w:rPr>
          <w:spacing w:val="-10"/>
          <w:w w:val="105"/>
        </w:rPr>
        <w:t xml:space="preserve"> </w:t>
      </w:r>
      <w:r>
        <w:rPr>
          <w:w w:val="105"/>
        </w:rPr>
        <w:t>distinguished</w:t>
      </w:r>
      <w:r>
        <w:rPr>
          <w:spacing w:val="-1"/>
          <w:w w:val="105"/>
        </w:rPr>
        <w:t xml:space="preserve"> </w:t>
      </w:r>
      <w:r>
        <w:rPr>
          <w:w w:val="105"/>
        </w:rPr>
        <w:t>from</w:t>
      </w:r>
      <w:r>
        <w:rPr>
          <w:spacing w:val="-10"/>
          <w:w w:val="105"/>
        </w:rPr>
        <w:t xml:space="preserve"> </w:t>
      </w:r>
      <w:r>
        <w:rPr>
          <w:w w:val="105"/>
        </w:rPr>
        <w:t>similar</w:t>
      </w:r>
      <w:r>
        <w:rPr>
          <w:spacing w:val="-10"/>
          <w:w w:val="105"/>
        </w:rPr>
        <w:t xml:space="preserve"> </w:t>
      </w:r>
      <w:r>
        <w:rPr>
          <w:w w:val="105"/>
        </w:rPr>
        <w:t>signs</w:t>
      </w:r>
      <w:r>
        <w:rPr>
          <w:spacing w:val="-11"/>
          <w:w w:val="105"/>
        </w:rPr>
        <w:t xml:space="preserve"> </w:t>
      </w:r>
      <w:r>
        <w:rPr>
          <w:w w:val="105"/>
        </w:rPr>
        <w:t>in</w:t>
      </w:r>
      <w:r>
        <w:rPr>
          <w:spacing w:val="-16"/>
          <w:w w:val="105"/>
        </w:rPr>
        <w:t xml:space="preserve"> </w:t>
      </w:r>
      <w:r>
        <w:rPr>
          <w:w w:val="105"/>
        </w:rPr>
        <w:t>children</w:t>
      </w:r>
      <w:r>
        <w:rPr>
          <w:spacing w:val="1"/>
          <w:w w:val="105"/>
        </w:rPr>
        <w:t xml:space="preserve"> </w:t>
      </w:r>
      <w:r>
        <w:rPr>
          <w:w w:val="105"/>
        </w:rPr>
        <w:t>with</w:t>
      </w:r>
      <w:r>
        <w:rPr>
          <w:spacing w:val="-11"/>
          <w:w w:val="105"/>
        </w:rPr>
        <w:t xml:space="preserve"> </w:t>
      </w:r>
      <w:r>
        <w:rPr>
          <w:w w:val="105"/>
        </w:rPr>
        <w:t xml:space="preserve">Attention-Deficit/Hyperactivity Disorder. In children with </w:t>
      </w:r>
      <w:r>
        <w:rPr>
          <w:b/>
          <w:w w:val="105"/>
        </w:rPr>
        <w:t xml:space="preserve">Mental Retardation, </w:t>
      </w:r>
      <w:r>
        <w:rPr>
          <w:w w:val="105"/>
        </w:rPr>
        <w:t>an additional diagnosis of</w:t>
      </w:r>
      <w:r>
        <w:rPr>
          <w:spacing w:val="16"/>
          <w:w w:val="105"/>
        </w:rPr>
        <w:t xml:space="preserve"> </w:t>
      </w:r>
      <w:r>
        <w:rPr>
          <w:w w:val="105"/>
        </w:rPr>
        <w:t>Attention-</w:t>
      </w:r>
    </w:p>
    <w:p w:rsidR="00E675F0" w:rsidRDefault="00E675F0" w:rsidP="00E675F0">
      <w:pPr>
        <w:spacing w:line="256" w:lineRule="auto"/>
        <w:jc w:val="both"/>
        <w:sectPr w:rsidR="00E675F0">
          <w:headerReference w:type="even" r:id="rId100"/>
          <w:headerReference w:type="default" r:id="rId101"/>
          <w:pgSz w:w="8960" w:h="14260"/>
          <w:pgMar w:top="1400" w:right="600" w:bottom="280" w:left="620" w:header="690" w:footer="0" w:gutter="0"/>
          <w:pgNumType w:start="82"/>
          <w:cols w:space="720"/>
        </w:sectPr>
      </w:pPr>
    </w:p>
    <w:p w:rsidR="00E675F0" w:rsidRDefault="00E675F0" w:rsidP="00E675F0">
      <w:pPr>
        <w:pStyle w:val="BodyText"/>
        <w:spacing w:before="130" w:line="254" w:lineRule="auto"/>
        <w:ind w:left="106" w:right="104" w:firstLine="14"/>
        <w:jc w:val="both"/>
      </w:pPr>
      <w:bookmarkStart w:id="53" w:name="_bookmark38"/>
      <w:bookmarkEnd w:id="53"/>
      <w:r>
        <w:rPr>
          <w:w w:val="105"/>
        </w:rPr>
        <w:lastRenderedPageBreak/>
        <w:t xml:space="preserve">Deficit/Hyperactivity Disorder should be made only if the symptoms of inattention or hyperactivity are excessive for the child's mental age. Inattention in the classroom may also occur when children with high intelligence are placed in academically </w:t>
      </w:r>
      <w:r>
        <w:rPr>
          <w:b/>
          <w:w w:val="105"/>
        </w:rPr>
        <w:t xml:space="preserve">un­ derstimulating environments. </w:t>
      </w:r>
      <w:r>
        <w:rPr>
          <w:w w:val="105"/>
        </w:rPr>
        <w:t>Attention-Deficit/Hyperactivity Disorder must also be distinguished from difficulty in goal-directed behavior in children from inadequate, disorganized, or chaotic environments. Reports from multiple informants (e.g., baby­ sitters, grandparents, or parents of playmates) are helpful in providing a confluence of observations concerning the child's inattention, hyperactivity, and capacity for develop­ mentally appropriate self-regulation in various settings.</w:t>
      </w:r>
    </w:p>
    <w:p w:rsidR="00E675F0" w:rsidRDefault="00E675F0" w:rsidP="00E675F0">
      <w:pPr>
        <w:pStyle w:val="BodyText"/>
        <w:spacing w:line="254" w:lineRule="auto"/>
        <w:ind w:left="108" w:right="110" w:firstLine="366"/>
        <w:jc w:val="both"/>
      </w:pPr>
      <w:r>
        <w:rPr>
          <w:w w:val="105"/>
        </w:rPr>
        <w:t xml:space="preserve">Individuals with </w:t>
      </w:r>
      <w:r>
        <w:rPr>
          <w:b/>
          <w:w w:val="105"/>
        </w:rPr>
        <w:t xml:space="preserve">oppositional behavior </w:t>
      </w:r>
      <w:r>
        <w:rPr>
          <w:w w:val="105"/>
        </w:rPr>
        <w:t>may resist work or school tasks  that require self-application because of an unwillingness to conform to others' demands. These symptoms must be differentiated from the avoidance of school tasks seen in individuals with Attention-Deficit/Hyperactivity Disorder. Complicating the differential diagnosis is the fact that some individuals with Attention-Deficit/Hyperactivity Disorder develop secondary oppositional attitudes toward such tasks and devalue their impor­ tance, often as a rationalization for their</w:t>
      </w:r>
      <w:r>
        <w:rPr>
          <w:spacing w:val="8"/>
          <w:w w:val="105"/>
        </w:rPr>
        <w:t xml:space="preserve"> </w:t>
      </w:r>
      <w:r>
        <w:rPr>
          <w:w w:val="105"/>
        </w:rPr>
        <w:t>failure.</w:t>
      </w:r>
    </w:p>
    <w:p w:rsidR="00E675F0" w:rsidRDefault="00E675F0" w:rsidP="00E675F0">
      <w:pPr>
        <w:pStyle w:val="BodyText"/>
        <w:spacing w:before="8" w:line="254" w:lineRule="auto"/>
        <w:ind w:left="114" w:right="105" w:firstLine="359"/>
        <w:jc w:val="both"/>
        <w:rPr>
          <w:b/>
        </w:rPr>
      </w:pPr>
      <w:r>
        <w:rPr>
          <w:w w:val="105"/>
        </w:rPr>
        <w:t>Attention-Deficit/Hyperactivity</w:t>
      </w:r>
      <w:r>
        <w:rPr>
          <w:spacing w:val="-14"/>
          <w:w w:val="105"/>
        </w:rPr>
        <w:t xml:space="preserve"> </w:t>
      </w:r>
      <w:r>
        <w:rPr>
          <w:w w:val="105"/>
        </w:rPr>
        <w:t>Disorder</w:t>
      </w:r>
      <w:r>
        <w:rPr>
          <w:spacing w:val="-6"/>
          <w:w w:val="105"/>
        </w:rPr>
        <w:t xml:space="preserve"> </w:t>
      </w:r>
      <w:r>
        <w:rPr>
          <w:w w:val="105"/>
        </w:rPr>
        <w:t>is</w:t>
      </w:r>
      <w:r>
        <w:rPr>
          <w:spacing w:val="-11"/>
          <w:w w:val="105"/>
        </w:rPr>
        <w:t xml:space="preserve"> </w:t>
      </w:r>
      <w:r>
        <w:rPr>
          <w:w w:val="105"/>
        </w:rPr>
        <w:t>not</w:t>
      </w:r>
      <w:r>
        <w:rPr>
          <w:spacing w:val="-5"/>
          <w:w w:val="105"/>
        </w:rPr>
        <w:t xml:space="preserve"> </w:t>
      </w:r>
      <w:r>
        <w:rPr>
          <w:w w:val="105"/>
        </w:rPr>
        <w:t>diagnosed</w:t>
      </w:r>
      <w:r>
        <w:rPr>
          <w:spacing w:val="2"/>
          <w:w w:val="105"/>
        </w:rPr>
        <w:t xml:space="preserve"> </w:t>
      </w:r>
      <w:r>
        <w:rPr>
          <w:w w:val="105"/>
        </w:rPr>
        <w:t>if</w:t>
      </w:r>
      <w:r>
        <w:rPr>
          <w:spacing w:val="-5"/>
          <w:w w:val="105"/>
        </w:rPr>
        <w:t xml:space="preserve"> </w:t>
      </w:r>
      <w:r>
        <w:rPr>
          <w:w w:val="105"/>
        </w:rPr>
        <w:t>the</w:t>
      </w:r>
      <w:r>
        <w:rPr>
          <w:spacing w:val="-16"/>
          <w:w w:val="105"/>
        </w:rPr>
        <w:t xml:space="preserve"> </w:t>
      </w:r>
      <w:r>
        <w:rPr>
          <w:w w:val="105"/>
        </w:rPr>
        <w:t>symptoms</w:t>
      </w:r>
      <w:r>
        <w:rPr>
          <w:spacing w:val="-6"/>
          <w:w w:val="105"/>
        </w:rPr>
        <w:t xml:space="preserve"> </w:t>
      </w:r>
      <w:r>
        <w:rPr>
          <w:w w:val="105"/>
        </w:rPr>
        <w:t>are</w:t>
      </w:r>
      <w:r>
        <w:rPr>
          <w:spacing w:val="-10"/>
          <w:w w:val="105"/>
        </w:rPr>
        <w:t xml:space="preserve"> </w:t>
      </w:r>
      <w:r>
        <w:rPr>
          <w:w w:val="105"/>
        </w:rPr>
        <w:t xml:space="preserve">better accounted for by </w:t>
      </w:r>
      <w:r>
        <w:rPr>
          <w:b/>
          <w:w w:val="105"/>
        </w:rPr>
        <w:t xml:space="preserve">another mental disorder </w:t>
      </w:r>
      <w:r>
        <w:rPr>
          <w:w w:val="105"/>
        </w:rPr>
        <w:t>(e.g., Mood Disorder, Anxiety Disorder, Dissociative Disorder, Personality Disorder, Personality Change Due to a General Medical</w:t>
      </w:r>
      <w:r>
        <w:rPr>
          <w:spacing w:val="-13"/>
          <w:w w:val="105"/>
        </w:rPr>
        <w:t xml:space="preserve"> </w:t>
      </w:r>
      <w:r>
        <w:rPr>
          <w:w w:val="105"/>
        </w:rPr>
        <w:t>Condition,</w:t>
      </w:r>
      <w:r>
        <w:rPr>
          <w:spacing w:val="-9"/>
          <w:w w:val="105"/>
        </w:rPr>
        <w:t xml:space="preserve"> </w:t>
      </w:r>
      <w:r>
        <w:rPr>
          <w:w w:val="105"/>
        </w:rPr>
        <w:t>or</w:t>
      </w:r>
      <w:r>
        <w:rPr>
          <w:spacing w:val="-21"/>
          <w:w w:val="105"/>
        </w:rPr>
        <w:t xml:space="preserve"> </w:t>
      </w:r>
      <w:r>
        <w:rPr>
          <w:w w:val="105"/>
        </w:rPr>
        <w:t>a</w:t>
      </w:r>
      <w:r>
        <w:rPr>
          <w:spacing w:val="-25"/>
          <w:w w:val="105"/>
        </w:rPr>
        <w:t xml:space="preserve"> </w:t>
      </w:r>
      <w:r>
        <w:rPr>
          <w:w w:val="105"/>
        </w:rPr>
        <w:t>Substance-Related</w:t>
      </w:r>
      <w:r>
        <w:rPr>
          <w:spacing w:val="-27"/>
          <w:w w:val="105"/>
        </w:rPr>
        <w:t xml:space="preserve"> </w:t>
      </w:r>
      <w:r>
        <w:rPr>
          <w:w w:val="105"/>
        </w:rPr>
        <w:t>Disorder).</w:t>
      </w:r>
      <w:r>
        <w:rPr>
          <w:spacing w:val="-11"/>
          <w:w w:val="105"/>
        </w:rPr>
        <w:t xml:space="preserve"> </w:t>
      </w:r>
      <w:r>
        <w:rPr>
          <w:w w:val="105"/>
        </w:rPr>
        <w:t>In</w:t>
      </w:r>
      <w:r>
        <w:rPr>
          <w:spacing w:val="-24"/>
          <w:w w:val="105"/>
        </w:rPr>
        <w:t xml:space="preserve"> </w:t>
      </w:r>
      <w:r>
        <w:rPr>
          <w:w w:val="105"/>
        </w:rPr>
        <w:t>all</w:t>
      </w:r>
      <w:r>
        <w:rPr>
          <w:spacing w:val="-25"/>
          <w:w w:val="105"/>
        </w:rPr>
        <w:t xml:space="preserve"> </w:t>
      </w:r>
      <w:r>
        <w:rPr>
          <w:w w:val="105"/>
        </w:rPr>
        <w:t>these</w:t>
      </w:r>
      <w:r>
        <w:rPr>
          <w:spacing w:val="-21"/>
          <w:w w:val="105"/>
        </w:rPr>
        <w:t xml:space="preserve"> </w:t>
      </w:r>
      <w:r>
        <w:rPr>
          <w:w w:val="105"/>
        </w:rPr>
        <w:t>disorders,</w:t>
      </w:r>
      <w:r>
        <w:rPr>
          <w:spacing w:val="-12"/>
          <w:w w:val="105"/>
        </w:rPr>
        <w:t xml:space="preserve"> </w:t>
      </w:r>
      <w:r>
        <w:rPr>
          <w:w w:val="105"/>
        </w:rPr>
        <w:t>the</w:t>
      </w:r>
      <w:r>
        <w:rPr>
          <w:spacing w:val="-25"/>
          <w:w w:val="105"/>
        </w:rPr>
        <w:t xml:space="preserve"> </w:t>
      </w:r>
      <w:r>
        <w:rPr>
          <w:w w:val="105"/>
        </w:rPr>
        <w:t xml:space="preserve">symptoms of inattention typically have an onset after age 7 years, and the childhood history of school adjustment generally is not characterized by disruptive behavior or teacher complaints concerning inattentive, hyperactive, or impulsive behavior. When a Mood Disorder or Anxiety Disorder co-occurs with Attention-Deficit/Hyperactivity Disorder, each should be diagnosed. Attention-Deficit/Hyperactivity Disorder is not diagnosed if the symptoms of inattention and hyperactivity occur exclusively during the course of a </w:t>
      </w:r>
      <w:r>
        <w:rPr>
          <w:b/>
          <w:w w:val="105"/>
        </w:rPr>
        <w:t xml:space="preserve">Pervasive Developmental Disorder </w:t>
      </w:r>
      <w:r>
        <w:rPr>
          <w:w w:val="105"/>
        </w:rPr>
        <w:t xml:space="preserve">or a </w:t>
      </w:r>
      <w:r>
        <w:rPr>
          <w:b/>
          <w:w w:val="105"/>
        </w:rPr>
        <w:t xml:space="preserve">Psychotic Disorder. </w:t>
      </w:r>
      <w:r>
        <w:rPr>
          <w:w w:val="105"/>
        </w:rPr>
        <w:t xml:space="preserve">Symptoms of inatten­ tion, hyperactivity, or impulsivity related to the use of medication (e.g., bronchodilators, isoniazid, akathisia from neuroleptics) in children before age 7 years are not diagnosed as Attention-Deficit/Hyperactivity Disorder but instead are diagnosed as </w:t>
      </w:r>
      <w:r>
        <w:rPr>
          <w:b/>
          <w:w w:val="105"/>
        </w:rPr>
        <w:t>Other Sub­ stance-Related Disorder Not Otherwise</w:t>
      </w:r>
      <w:r>
        <w:rPr>
          <w:b/>
          <w:spacing w:val="-28"/>
          <w:w w:val="105"/>
        </w:rPr>
        <w:t xml:space="preserve"> </w:t>
      </w:r>
      <w:r>
        <w:rPr>
          <w:b/>
          <w:w w:val="105"/>
        </w:rPr>
        <w:t>Specified.</w:t>
      </w:r>
    </w:p>
    <w:p w:rsidR="00E675F0" w:rsidRDefault="00E675F0" w:rsidP="00E675F0">
      <w:pPr>
        <w:pStyle w:val="BodyText"/>
        <w:rPr>
          <w:b/>
        </w:rPr>
      </w:pPr>
    </w:p>
    <w:p w:rsidR="00E675F0" w:rsidRDefault="00E675F0" w:rsidP="00E675F0">
      <w:pPr>
        <w:pStyle w:val="BodyText"/>
        <w:spacing w:before="4"/>
        <w:rPr>
          <w:b/>
        </w:rPr>
      </w:pPr>
    </w:p>
    <w:tbl>
      <w:tblPr>
        <w:tblW w:w="0" w:type="auto"/>
        <w:tblInd w:w="2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7312"/>
      </w:tblGrid>
      <w:tr w:rsidR="00E675F0" w:rsidTr="00A330E1">
        <w:trPr>
          <w:trHeight w:val="3703"/>
        </w:trPr>
        <w:tc>
          <w:tcPr>
            <w:tcW w:w="7312" w:type="dxa"/>
          </w:tcPr>
          <w:p w:rsidR="00E675F0" w:rsidRDefault="00E675F0" w:rsidP="003048D3">
            <w:pPr>
              <w:pStyle w:val="TableParagraph"/>
              <w:numPr>
                <w:ilvl w:val="0"/>
                <w:numId w:val="92"/>
              </w:numPr>
              <w:tabs>
                <w:tab w:val="left" w:pos="624"/>
              </w:tabs>
              <w:spacing w:before="23" w:line="206" w:lineRule="auto"/>
              <w:ind w:right="1948" w:hanging="379"/>
              <w:rPr>
                <w:rFonts w:ascii="Arial" w:hAnsi="Arial"/>
                <w:b/>
                <w:sz w:val="24"/>
              </w:rPr>
            </w:pPr>
            <w:r>
              <w:rPr>
                <w:rFonts w:ascii="Arial" w:hAnsi="Arial"/>
                <w:b/>
                <w:w w:val="105"/>
                <w:sz w:val="24"/>
              </w:rPr>
              <w:t>Diagnostic</w:t>
            </w:r>
            <w:r>
              <w:rPr>
                <w:rFonts w:ascii="Arial" w:hAnsi="Arial"/>
                <w:b/>
                <w:spacing w:val="-35"/>
                <w:w w:val="105"/>
                <w:sz w:val="24"/>
              </w:rPr>
              <w:t xml:space="preserve"> </w:t>
            </w:r>
            <w:r>
              <w:rPr>
                <w:rFonts w:ascii="Arial" w:hAnsi="Arial"/>
                <w:b/>
                <w:w w:val="105"/>
                <w:sz w:val="24"/>
              </w:rPr>
              <w:t>criteria</w:t>
            </w:r>
            <w:r>
              <w:rPr>
                <w:rFonts w:ascii="Arial" w:hAnsi="Arial"/>
                <w:b/>
                <w:spacing w:val="-34"/>
                <w:w w:val="105"/>
                <w:sz w:val="24"/>
              </w:rPr>
              <w:t xml:space="preserve"> </w:t>
            </w:r>
            <w:r>
              <w:rPr>
                <w:rFonts w:ascii="Arial" w:hAnsi="Arial"/>
                <w:b/>
                <w:w w:val="105"/>
                <w:sz w:val="24"/>
              </w:rPr>
              <w:t>for</w:t>
            </w:r>
            <w:r>
              <w:rPr>
                <w:rFonts w:ascii="Arial" w:hAnsi="Arial"/>
                <w:b/>
                <w:spacing w:val="-43"/>
                <w:w w:val="105"/>
                <w:sz w:val="24"/>
              </w:rPr>
              <w:t xml:space="preserve"> </w:t>
            </w:r>
            <w:r>
              <w:rPr>
                <w:rFonts w:ascii="Arial" w:hAnsi="Arial"/>
                <w:b/>
                <w:w w:val="105"/>
                <w:sz w:val="24"/>
              </w:rPr>
              <w:t>Attention.-Deficit/ Hyperactivity</w:t>
            </w:r>
            <w:r>
              <w:rPr>
                <w:rFonts w:ascii="Arial" w:hAnsi="Arial"/>
                <w:b/>
                <w:spacing w:val="12"/>
                <w:w w:val="105"/>
                <w:sz w:val="24"/>
              </w:rPr>
              <w:t xml:space="preserve"> </w:t>
            </w:r>
            <w:r>
              <w:rPr>
                <w:rFonts w:ascii="Arial" w:hAnsi="Arial"/>
                <w:b/>
                <w:w w:val="105"/>
                <w:sz w:val="24"/>
              </w:rPr>
              <w:t>Disorder</w:t>
            </w:r>
          </w:p>
          <w:p w:rsidR="00E675F0" w:rsidRDefault="00E675F0" w:rsidP="00A330E1">
            <w:pPr>
              <w:pStyle w:val="TableParagraph"/>
              <w:spacing w:before="167"/>
              <w:ind w:left="649"/>
              <w:jc w:val="both"/>
              <w:rPr>
                <w:sz w:val="20"/>
              </w:rPr>
            </w:pPr>
            <w:r>
              <w:rPr>
                <w:w w:val="105"/>
                <w:sz w:val="18"/>
              </w:rPr>
              <w:t xml:space="preserve">A. </w:t>
            </w:r>
            <w:r>
              <w:rPr>
                <w:w w:val="105"/>
                <w:sz w:val="20"/>
              </w:rPr>
              <w:t xml:space="preserve">Either </w:t>
            </w:r>
            <w:r>
              <w:rPr>
                <w:w w:val="105"/>
                <w:sz w:val="17"/>
              </w:rPr>
              <w:t xml:space="preserve">(1) </w:t>
            </w:r>
            <w:r>
              <w:rPr>
                <w:w w:val="105"/>
                <w:sz w:val="20"/>
              </w:rPr>
              <w:t>or (2):</w:t>
            </w:r>
          </w:p>
          <w:p w:rsidR="00E675F0" w:rsidRDefault="00E675F0" w:rsidP="003048D3">
            <w:pPr>
              <w:pStyle w:val="TableParagraph"/>
              <w:numPr>
                <w:ilvl w:val="1"/>
                <w:numId w:val="92"/>
              </w:numPr>
              <w:tabs>
                <w:tab w:val="left" w:pos="1373"/>
              </w:tabs>
              <w:spacing w:before="83" w:line="259" w:lineRule="auto"/>
              <w:ind w:right="215" w:hanging="425"/>
              <w:jc w:val="both"/>
              <w:rPr>
                <w:sz w:val="20"/>
              </w:rPr>
            </w:pPr>
            <w:r>
              <w:rPr>
                <w:w w:val="105"/>
                <w:sz w:val="20"/>
              </w:rPr>
              <w:t xml:space="preserve">six (or more) of the following symptoms of </w:t>
            </w:r>
            <w:r>
              <w:rPr>
                <w:b/>
                <w:w w:val="105"/>
                <w:sz w:val="20"/>
              </w:rPr>
              <w:t xml:space="preserve">inattention </w:t>
            </w:r>
            <w:r>
              <w:rPr>
                <w:w w:val="105"/>
                <w:sz w:val="20"/>
              </w:rPr>
              <w:t>have persisted for at least 6 months to a degree that is maladaptive and inconsistent with developmental</w:t>
            </w:r>
            <w:r>
              <w:rPr>
                <w:spacing w:val="9"/>
                <w:w w:val="105"/>
                <w:sz w:val="20"/>
              </w:rPr>
              <w:t xml:space="preserve"> </w:t>
            </w:r>
            <w:r>
              <w:rPr>
                <w:w w:val="105"/>
                <w:sz w:val="20"/>
              </w:rPr>
              <w:t>level:</w:t>
            </w:r>
          </w:p>
          <w:p w:rsidR="00E675F0" w:rsidRDefault="00E675F0" w:rsidP="00A330E1">
            <w:pPr>
              <w:pStyle w:val="TableParagraph"/>
              <w:spacing w:before="168"/>
              <w:ind w:left="1388"/>
              <w:rPr>
                <w:i/>
                <w:sz w:val="20"/>
              </w:rPr>
            </w:pPr>
            <w:r>
              <w:rPr>
                <w:i/>
                <w:w w:val="110"/>
                <w:sz w:val="20"/>
              </w:rPr>
              <w:t>Inattention</w:t>
            </w:r>
          </w:p>
          <w:p w:rsidR="00E675F0" w:rsidRDefault="00E675F0" w:rsidP="003048D3">
            <w:pPr>
              <w:pStyle w:val="TableParagraph"/>
              <w:numPr>
                <w:ilvl w:val="2"/>
                <w:numId w:val="92"/>
              </w:numPr>
              <w:tabs>
                <w:tab w:val="left" w:pos="1799"/>
              </w:tabs>
              <w:spacing w:before="15" w:line="256" w:lineRule="auto"/>
              <w:ind w:right="223" w:hanging="430"/>
              <w:rPr>
                <w:sz w:val="20"/>
              </w:rPr>
            </w:pPr>
            <w:r>
              <w:rPr>
                <w:w w:val="105"/>
                <w:sz w:val="20"/>
              </w:rPr>
              <w:t>often fails to give close attention to details or makes careless mistakes in schoolwork, work, or other</w:t>
            </w:r>
            <w:r>
              <w:rPr>
                <w:spacing w:val="12"/>
                <w:w w:val="105"/>
                <w:sz w:val="20"/>
              </w:rPr>
              <w:t xml:space="preserve"> </w:t>
            </w:r>
            <w:r>
              <w:rPr>
                <w:w w:val="105"/>
                <w:sz w:val="20"/>
              </w:rPr>
              <w:t>activities</w:t>
            </w:r>
          </w:p>
          <w:p w:rsidR="00E675F0" w:rsidRDefault="00E675F0" w:rsidP="003048D3">
            <w:pPr>
              <w:pStyle w:val="TableParagraph"/>
              <w:numPr>
                <w:ilvl w:val="2"/>
                <w:numId w:val="92"/>
              </w:numPr>
              <w:tabs>
                <w:tab w:val="left" w:pos="1799"/>
              </w:tabs>
              <w:spacing w:line="256" w:lineRule="auto"/>
              <w:ind w:left="1798" w:right="739"/>
              <w:rPr>
                <w:sz w:val="20"/>
              </w:rPr>
            </w:pPr>
            <w:r>
              <w:rPr>
                <w:w w:val="105"/>
                <w:sz w:val="20"/>
              </w:rPr>
              <w:t>often has difficulty sustaining attention in tasks or play activities</w:t>
            </w:r>
          </w:p>
          <w:p w:rsidR="00E675F0" w:rsidRDefault="00E675F0" w:rsidP="00A330E1">
            <w:pPr>
              <w:pStyle w:val="TableParagraph"/>
              <w:spacing w:line="218" w:lineRule="exact"/>
              <w:ind w:left="6015"/>
              <w:rPr>
                <w:i/>
                <w:sz w:val="20"/>
              </w:rPr>
            </w:pPr>
            <w:r>
              <w:rPr>
                <w:i/>
                <w:w w:val="110"/>
                <w:sz w:val="20"/>
              </w:rPr>
              <w:t>(continued)</w:t>
            </w:r>
          </w:p>
        </w:tc>
      </w:tr>
    </w:tbl>
    <w:p w:rsidR="00E675F0" w:rsidRDefault="00E675F0" w:rsidP="00E675F0">
      <w:pPr>
        <w:spacing w:line="218" w:lineRule="exact"/>
        <w:rPr>
          <w:sz w:val="20"/>
        </w:rPr>
        <w:sectPr w:rsidR="00E675F0">
          <w:pgSz w:w="8960" w:h="14260"/>
          <w:pgMar w:top="1400" w:right="660" w:bottom="280" w:left="620" w:header="700" w:footer="0" w:gutter="0"/>
          <w:cols w:space="720"/>
        </w:sectPr>
      </w:pPr>
    </w:p>
    <w:p w:rsidR="00E675F0" w:rsidRDefault="00E675F0" w:rsidP="00E675F0">
      <w:pPr>
        <w:pStyle w:val="BodyText"/>
        <w:spacing w:before="5"/>
        <w:rPr>
          <w:b/>
          <w:sz w:val="12"/>
        </w:rPr>
      </w:pPr>
      <w:r>
        <w:rPr>
          <w:noProof/>
        </w:rPr>
        <w:lastRenderedPageBreak/>
        <mc:AlternateContent>
          <mc:Choice Requires="wps">
            <w:drawing>
              <wp:anchor distT="0" distB="0" distL="114300" distR="114300" simplePos="0" relativeHeight="251686912" behindDoc="0" locked="0" layoutInCell="1" allowOverlap="1" wp14:anchorId="753F9A10" wp14:editId="24063FAA">
                <wp:simplePos x="0" y="0"/>
                <wp:positionH relativeFrom="page">
                  <wp:posOffset>330835</wp:posOffset>
                </wp:positionH>
                <wp:positionV relativeFrom="page">
                  <wp:posOffset>8475980</wp:posOffset>
                </wp:positionV>
                <wp:extent cx="4752975" cy="0"/>
                <wp:effectExtent l="0" t="12700" r="22225" b="12700"/>
                <wp:wrapNone/>
                <wp:docPr id="1562" name="Line 15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752975" cy="0"/>
                        </a:xfrm>
                        <a:prstGeom prst="line">
                          <a:avLst/>
                        </a:prstGeom>
                        <a:noFill/>
                        <a:ln w="3662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F1CFE9" id="Line 1518" o:spid="_x0000_s1026" style="position:absolute;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05pt,667.4pt" to="400.3pt,667.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" strokeweight="1.0174mm">
                <o:lock v:ext="edit" shapetype="f"/>
                <w10:wrap anchorx="page" anchory="page"/>
              </v:line>
            </w:pict>
          </mc:Fallback>
        </mc:AlternateContent>
      </w:r>
    </w:p>
    <w:p w:rsidR="00E675F0" w:rsidRDefault="00E675F0" w:rsidP="003048D3">
      <w:pPr>
        <w:numPr>
          <w:ilvl w:val="0"/>
          <w:numId w:val="91"/>
        </w:numPr>
        <w:tabs>
          <w:tab w:val="left" w:pos="941"/>
        </w:tabs>
        <w:spacing w:before="113" w:line="223" w:lineRule="auto"/>
        <w:ind w:left="935" w:right="1028" w:hanging="324"/>
        <w:rPr>
          <w:rFonts w:ascii="Arial"/>
          <w:i/>
        </w:rPr>
      </w:pPr>
      <w:r>
        <w:rPr>
          <w:noProof/>
        </w:rPr>
        <mc:AlternateContent>
          <mc:Choice Requires="wpg">
            <w:drawing>
              <wp:anchor distT="0" distB="0" distL="114300" distR="114300" simplePos="0" relativeHeight="251770880" behindDoc="1" locked="0" layoutInCell="1" allowOverlap="1" wp14:anchorId="1EC52D4F" wp14:editId="0D67ED4B">
                <wp:simplePos x="0" y="0"/>
                <wp:positionH relativeFrom="page">
                  <wp:posOffset>440690</wp:posOffset>
                </wp:positionH>
                <wp:positionV relativeFrom="paragraph">
                  <wp:posOffset>-55880</wp:posOffset>
                </wp:positionV>
                <wp:extent cx="4753610" cy="2722880"/>
                <wp:effectExtent l="0" t="0" r="8890" b="7620"/>
                <wp:wrapNone/>
                <wp:docPr id="1557" name="Group 1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3610" cy="2722880"/>
                          <a:chOff x="694" y="-88"/>
                          <a:chExt cx="7486" cy="4288"/>
                        </a:xfrm>
                      </wpg:grpSpPr>
                      <wps:wsp>
                        <wps:cNvPr id="1558" name="Line 1517"/>
                        <wps:cNvCnPr>
                          <a:cxnSpLocks/>
                        </wps:cNvCnPr>
                        <wps:spPr bwMode="auto">
                          <a:xfrm>
                            <a:off x="703" y="4199"/>
                            <a:ext cx="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9" name="Line 1516"/>
                        <wps:cNvCnPr>
                          <a:cxnSpLocks/>
                        </wps:cNvCnPr>
                        <wps:spPr bwMode="auto">
                          <a:xfrm>
                            <a:off x="790" y="4199"/>
                            <a:ext cx="0" cy="0"/>
                          </a:xfrm>
                          <a:prstGeom prst="line">
                            <a:avLst/>
                          </a:prstGeom>
                          <a:noFill/>
                          <a:ln w="213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0" name="Line 1515"/>
                        <wps:cNvCnPr>
                          <a:cxnSpLocks/>
                        </wps:cNvCnPr>
                        <wps:spPr bwMode="auto">
                          <a:xfrm>
                            <a:off x="8092" y="4199"/>
                            <a:ext cx="0" cy="0"/>
                          </a:xfrm>
                          <a:prstGeom prst="line">
                            <a:avLst/>
                          </a:prstGeom>
                          <a:noFill/>
                          <a:ln w="3360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1" name="Line 1514"/>
                        <wps:cNvCnPr>
                          <a:cxnSpLocks/>
                        </wps:cNvCnPr>
                        <wps:spPr bwMode="auto">
                          <a:xfrm>
                            <a:off x="694" y="-6"/>
                            <a:ext cx="7485" cy="0"/>
                          </a:xfrm>
                          <a:prstGeom prst="line">
                            <a:avLst/>
                          </a:prstGeom>
                          <a:noFill/>
                          <a:ln w="3052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146AA2" id="Group 1513" o:spid="_x0000_s1026" style="position:absolute;margin-left:34.7pt;margin-top:-4.4pt;width:374.3pt;height:214.4pt;z-index:-251545600;mso-position-horizontal-relative:page" coordorigin="694,-88" coordsize="7486,428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">
                <v:line id="Line 1517" o:spid="_x0000_s1027" style="position:absolute;visibility:visible;mso-wrap-style:square" from="703,4199" to="703,41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" strokeweight=".16969mm">
                  <o:lock v:ext="edit" shapetype="f"/>
                </v:line>
                <v:line id="Line 1516" o:spid="_x0000_s1028" style="position:absolute;visibility:visible;mso-wrap-style:square" from="790,4199" to="790,41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" strokeweight=".59397mm">
                  <o:lock v:ext="edit" shapetype="f"/>
                </v:line>
                <v:line id="Line 1515" o:spid="_x0000_s1029" style="position:absolute;visibility:visible;mso-wrap-style:square" from="8092,4199" to="8092,41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" strokeweight=".93339mm">
                  <o:lock v:ext="edit" shapetype="f"/>
                </v:line>
                <v:line id="Line 1514" o:spid="_x0000_s1030" style="position:absolute;visibility:visible;mso-wrap-style:square" from="694,-6" to="817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" strokeweight=".84786mm">
                  <o:lock v:ext="edit" shapetype="f"/>
                </v:line>
                <w10:wrap anchorx="page"/>
              </v:group>
            </w:pict>
          </mc:Fallback>
        </mc:AlternateContent>
      </w:r>
      <w:r>
        <w:rPr>
          <w:rFonts w:ascii="Arial"/>
          <w:b/>
          <w:w w:val="105"/>
        </w:rPr>
        <w:t>Diagnostic</w:t>
      </w:r>
      <w:r>
        <w:rPr>
          <w:rFonts w:ascii="Arial"/>
          <w:b/>
          <w:spacing w:val="-5"/>
          <w:w w:val="105"/>
        </w:rPr>
        <w:t xml:space="preserve"> </w:t>
      </w:r>
      <w:r>
        <w:rPr>
          <w:rFonts w:ascii="Arial"/>
          <w:b/>
          <w:w w:val="105"/>
        </w:rPr>
        <w:t>criteria</w:t>
      </w:r>
      <w:r>
        <w:rPr>
          <w:rFonts w:ascii="Arial"/>
          <w:b/>
          <w:spacing w:val="-20"/>
          <w:w w:val="105"/>
        </w:rPr>
        <w:t xml:space="preserve"> </w:t>
      </w:r>
      <w:r>
        <w:rPr>
          <w:rFonts w:ascii="Arial"/>
          <w:b/>
          <w:w w:val="105"/>
        </w:rPr>
        <w:t>for</w:t>
      </w:r>
      <w:r>
        <w:rPr>
          <w:rFonts w:ascii="Arial"/>
          <w:b/>
          <w:spacing w:val="-20"/>
          <w:w w:val="105"/>
        </w:rPr>
        <w:t xml:space="preserve"> </w:t>
      </w:r>
      <w:r>
        <w:rPr>
          <w:rFonts w:ascii="Arial"/>
          <w:b/>
          <w:w w:val="105"/>
        </w:rPr>
        <w:t>Attention</w:t>
      </w:r>
      <w:r>
        <w:rPr>
          <w:rFonts w:ascii="Arial"/>
          <w:b/>
          <w:spacing w:val="-15"/>
          <w:w w:val="105"/>
        </w:rPr>
        <w:t xml:space="preserve"> </w:t>
      </w:r>
      <w:r>
        <w:rPr>
          <w:rFonts w:ascii="Arial"/>
          <w:b/>
          <w:w w:val="105"/>
        </w:rPr>
        <w:t>Deficit/Hyperactivity Disorder</w:t>
      </w:r>
      <w:r>
        <w:rPr>
          <w:rFonts w:ascii="Arial"/>
          <w:b/>
          <w:spacing w:val="6"/>
          <w:w w:val="105"/>
        </w:rPr>
        <w:t xml:space="preserve"> </w:t>
      </w:r>
      <w:r>
        <w:rPr>
          <w:rFonts w:ascii="Arial"/>
          <w:i/>
          <w:w w:val="105"/>
        </w:rPr>
        <w:t>(continued)</w:t>
      </w:r>
    </w:p>
    <w:p w:rsidR="00E675F0" w:rsidRDefault="00E675F0" w:rsidP="003048D3">
      <w:pPr>
        <w:pStyle w:val="ListParagraph"/>
        <w:numPr>
          <w:ilvl w:val="1"/>
          <w:numId w:val="91"/>
        </w:numPr>
        <w:tabs>
          <w:tab w:val="left" w:pos="2153"/>
        </w:tabs>
        <w:spacing w:before="212"/>
        <w:ind w:hanging="426"/>
        <w:jc w:val="both"/>
        <w:rPr>
          <w:sz w:val="20"/>
        </w:rPr>
      </w:pPr>
      <w:r>
        <w:rPr>
          <w:w w:val="110"/>
          <w:sz w:val="20"/>
        </w:rPr>
        <w:t>often does not seem to listen when spoken to</w:t>
      </w:r>
      <w:r>
        <w:rPr>
          <w:spacing w:val="32"/>
          <w:w w:val="110"/>
          <w:sz w:val="20"/>
        </w:rPr>
        <w:t xml:space="preserve"> </w:t>
      </w:r>
      <w:r>
        <w:rPr>
          <w:w w:val="110"/>
          <w:sz w:val="20"/>
        </w:rPr>
        <w:t>directly</w:t>
      </w:r>
    </w:p>
    <w:p w:rsidR="00E675F0" w:rsidRDefault="00E675F0" w:rsidP="003048D3">
      <w:pPr>
        <w:pStyle w:val="ListParagraph"/>
        <w:numPr>
          <w:ilvl w:val="1"/>
          <w:numId w:val="91"/>
        </w:numPr>
        <w:tabs>
          <w:tab w:val="left" w:pos="2153"/>
        </w:tabs>
        <w:spacing w:before="15" w:line="254" w:lineRule="auto"/>
        <w:ind w:left="2149" w:right="297" w:hanging="422"/>
        <w:jc w:val="both"/>
        <w:rPr>
          <w:sz w:val="20"/>
        </w:rPr>
      </w:pPr>
      <w:r>
        <w:rPr>
          <w:w w:val="105"/>
          <w:sz w:val="20"/>
        </w:rPr>
        <w:t>often</w:t>
      </w:r>
      <w:r>
        <w:rPr>
          <w:spacing w:val="-13"/>
          <w:w w:val="105"/>
          <w:sz w:val="20"/>
        </w:rPr>
        <w:t xml:space="preserve"> </w:t>
      </w:r>
      <w:r>
        <w:rPr>
          <w:w w:val="105"/>
          <w:sz w:val="20"/>
        </w:rPr>
        <w:t>does</w:t>
      </w:r>
      <w:r>
        <w:rPr>
          <w:spacing w:val="-9"/>
          <w:w w:val="105"/>
          <w:sz w:val="20"/>
        </w:rPr>
        <w:t xml:space="preserve"> </w:t>
      </w:r>
      <w:r>
        <w:rPr>
          <w:w w:val="105"/>
          <w:sz w:val="20"/>
        </w:rPr>
        <w:t>not</w:t>
      </w:r>
      <w:r>
        <w:rPr>
          <w:spacing w:val="-10"/>
          <w:w w:val="105"/>
          <w:sz w:val="20"/>
        </w:rPr>
        <w:t xml:space="preserve"> </w:t>
      </w:r>
      <w:r>
        <w:rPr>
          <w:w w:val="105"/>
          <w:sz w:val="20"/>
        </w:rPr>
        <w:t>follow</w:t>
      </w:r>
      <w:r>
        <w:rPr>
          <w:spacing w:val="-10"/>
          <w:w w:val="105"/>
          <w:sz w:val="20"/>
        </w:rPr>
        <w:t xml:space="preserve"> </w:t>
      </w:r>
      <w:r>
        <w:rPr>
          <w:w w:val="105"/>
          <w:sz w:val="20"/>
        </w:rPr>
        <w:t>through</w:t>
      </w:r>
      <w:r>
        <w:rPr>
          <w:spacing w:val="-7"/>
          <w:w w:val="105"/>
          <w:sz w:val="20"/>
        </w:rPr>
        <w:t xml:space="preserve"> </w:t>
      </w:r>
      <w:r>
        <w:rPr>
          <w:w w:val="105"/>
          <w:sz w:val="20"/>
        </w:rPr>
        <w:t>on</w:t>
      </w:r>
      <w:r>
        <w:rPr>
          <w:spacing w:val="-2"/>
          <w:w w:val="105"/>
          <w:sz w:val="20"/>
        </w:rPr>
        <w:t xml:space="preserve"> </w:t>
      </w:r>
      <w:r>
        <w:rPr>
          <w:w w:val="105"/>
          <w:sz w:val="20"/>
        </w:rPr>
        <w:t>instructions</w:t>
      </w:r>
      <w:r>
        <w:rPr>
          <w:spacing w:val="4"/>
          <w:w w:val="105"/>
          <w:sz w:val="20"/>
        </w:rPr>
        <w:t xml:space="preserve"> </w:t>
      </w:r>
      <w:r>
        <w:rPr>
          <w:w w:val="105"/>
          <w:sz w:val="20"/>
        </w:rPr>
        <w:t>and</w:t>
      </w:r>
      <w:r>
        <w:rPr>
          <w:spacing w:val="-15"/>
          <w:w w:val="105"/>
          <w:sz w:val="20"/>
        </w:rPr>
        <w:t xml:space="preserve"> </w:t>
      </w:r>
      <w:r>
        <w:rPr>
          <w:w w:val="105"/>
          <w:sz w:val="20"/>
        </w:rPr>
        <w:t>fails</w:t>
      </w:r>
      <w:r>
        <w:rPr>
          <w:spacing w:val="-13"/>
          <w:w w:val="105"/>
          <w:sz w:val="20"/>
        </w:rPr>
        <w:t xml:space="preserve"> </w:t>
      </w:r>
      <w:r>
        <w:rPr>
          <w:w w:val="105"/>
          <w:sz w:val="20"/>
        </w:rPr>
        <w:t>to</w:t>
      </w:r>
      <w:r>
        <w:rPr>
          <w:spacing w:val="-21"/>
          <w:w w:val="105"/>
          <w:sz w:val="20"/>
        </w:rPr>
        <w:t xml:space="preserve"> </w:t>
      </w:r>
      <w:r>
        <w:rPr>
          <w:w w:val="105"/>
          <w:sz w:val="20"/>
        </w:rPr>
        <w:t>finish schoolwork, chores, or duties in the workplace (not due to oppositional behavior or failure to understand</w:t>
      </w:r>
      <w:r>
        <w:rPr>
          <w:spacing w:val="49"/>
          <w:w w:val="105"/>
          <w:sz w:val="20"/>
        </w:rPr>
        <w:t xml:space="preserve"> </w:t>
      </w:r>
      <w:r>
        <w:rPr>
          <w:w w:val="105"/>
          <w:sz w:val="20"/>
        </w:rPr>
        <w:t>instructions)</w:t>
      </w:r>
    </w:p>
    <w:p w:rsidR="00E675F0" w:rsidRDefault="00E675F0" w:rsidP="003048D3">
      <w:pPr>
        <w:pStyle w:val="ListParagraph"/>
        <w:numPr>
          <w:ilvl w:val="1"/>
          <w:numId w:val="91"/>
        </w:numPr>
        <w:tabs>
          <w:tab w:val="left" w:pos="2153"/>
        </w:tabs>
        <w:spacing w:line="229" w:lineRule="exact"/>
        <w:ind w:hanging="426"/>
        <w:jc w:val="both"/>
        <w:rPr>
          <w:sz w:val="20"/>
        </w:rPr>
      </w:pPr>
      <w:r>
        <w:rPr>
          <w:w w:val="105"/>
          <w:sz w:val="20"/>
        </w:rPr>
        <w:t>often has difficulty organizing tasks and</w:t>
      </w:r>
      <w:r>
        <w:rPr>
          <w:spacing w:val="-27"/>
          <w:w w:val="105"/>
          <w:sz w:val="20"/>
        </w:rPr>
        <w:t xml:space="preserve"> </w:t>
      </w:r>
      <w:r>
        <w:rPr>
          <w:w w:val="105"/>
          <w:sz w:val="20"/>
        </w:rPr>
        <w:t>activities</w:t>
      </w:r>
    </w:p>
    <w:p w:rsidR="00E675F0" w:rsidRDefault="00E675F0" w:rsidP="00E675F0">
      <w:pPr>
        <w:pStyle w:val="BodyText"/>
        <w:spacing w:before="9" w:line="249" w:lineRule="auto"/>
        <w:ind w:left="2158" w:right="308" w:hanging="433"/>
        <w:jc w:val="both"/>
      </w:pPr>
      <w:r>
        <w:rPr>
          <w:rFonts w:ascii="Arial" w:hAnsi="Arial"/>
          <w:sz w:val="21"/>
        </w:rPr>
        <w:t xml:space="preserve">CD </w:t>
      </w:r>
      <w:r>
        <w:rPr>
          <w:w w:val="105"/>
        </w:rPr>
        <w:t>often avoids, dislikes, or is reluctant to engage in tasks that require sustained mental effort (such as schoolwork or home­ work)</w:t>
      </w:r>
    </w:p>
    <w:p w:rsidR="00E675F0" w:rsidRDefault="00E675F0" w:rsidP="003048D3">
      <w:pPr>
        <w:pStyle w:val="ListParagraph"/>
        <w:numPr>
          <w:ilvl w:val="0"/>
          <w:numId w:val="90"/>
        </w:numPr>
        <w:tabs>
          <w:tab w:val="left" w:pos="2158"/>
        </w:tabs>
        <w:spacing w:before="12" w:line="261" w:lineRule="auto"/>
        <w:ind w:right="310" w:hanging="422"/>
        <w:rPr>
          <w:sz w:val="20"/>
        </w:rPr>
      </w:pPr>
      <w:r>
        <w:rPr>
          <w:w w:val="105"/>
          <w:sz w:val="20"/>
        </w:rPr>
        <w:t>often loses things necessary for tasks or activities (e.g., toys, school assignments, pencils, books, or</w:t>
      </w:r>
      <w:r>
        <w:rPr>
          <w:spacing w:val="-19"/>
          <w:w w:val="105"/>
          <w:sz w:val="20"/>
        </w:rPr>
        <w:t xml:space="preserve"> </w:t>
      </w:r>
      <w:r>
        <w:rPr>
          <w:w w:val="105"/>
          <w:sz w:val="20"/>
        </w:rPr>
        <w:t>tools)</w:t>
      </w:r>
    </w:p>
    <w:p w:rsidR="00E675F0" w:rsidRDefault="00E675F0" w:rsidP="003048D3">
      <w:pPr>
        <w:pStyle w:val="ListParagraph"/>
        <w:numPr>
          <w:ilvl w:val="0"/>
          <w:numId w:val="90"/>
        </w:numPr>
        <w:tabs>
          <w:tab w:val="left" w:pos="2159"/>
        </w:tabs>
        <w:spacing w:line="219" w:lineRule="exact"/>
        <w:ind w:left="2158" w:hanging="427"/>
        <w:rPr>
          <w:sz w:val="20"/>
        </w:rPr>
      </w:pPr>
      <w:r>
        <w:rPr>
          <w:w w:val="105"/>
          <w:sz w:val="20"/>
        </w:rPr>
        <w:t>is often easily distracted by extraneous</w:t>
      </w:r>
      <w:r>
        <w:rPr>
          <w:spacing w:val="11"/>
          <w:w w:val="105"/>
          <w:sz w:val="20"/>
        </w:rPr>
        <w:t xml:space="preserve"> </w:t>
      </w:r>
      <w:r>
        <w:rPr>
          <w:w w:val="105"/>
          <w:sz w:val="20"/>
        </w:rPr>
        <w:t>stimuli</w:t>
      </w:r>
    </w:p>
    <w:p w:rsidR="00E675F0" w:rsidRDefault="00E675F0" w:rsidP="003048D3">
      <w:pPr>
        <w:pStyle w:val="ListParagraph"/>
        <w:numPr>
          <w:ilvl w:val="0"/>
          <w:numId w:val="90"/>
        </w:numPr>
        <w:tabs>
          <w:tab w:val="left" w:pos="2158"/>
          <w:tab w:val="left" w:pos="2159"/>
        </w:tabs>
        <w:spacing w:before="15"/>
        <w:ind w:left="2158" w:hanging="429"/>
        <w:rPr>
          <w:rFonts w:ascii="Arial"/>
          <w:sz w:val="17"/>
        </w:rPr>
      </w:pPr>
      <w:r>
        <w:rPr>
          <w:w w:val="105"/>
          <w:sz w:val="20"/>
        </w:rPr>
        <w:t>is often forgetful in daily activities</w:t>
      </w:r>
    </w:p>
    <w:p w:rsidR="00E675F0" w:rsidRDefault="00E675F0" w:rsidP="00E675F0">
      <w:pPr>
        <w:spacing w:before="78" w:line="197" w:lineRule="exact"/>
        <w:ind w:left="1309"/>
        <w:rPr>
          <w:b/>
          <w:sz w:val="20"/>
        </w:rPr>
      </w:pPr>
      <w:r>
        <w:rPr>
          <w:w w:val="110"/>
          <w:sz w:val="20"/>
        </w:rPr>
        <w:t xml:space="preserve">(2) six (or more) of the following symptoms of </w:t>
      </w:r>
      <w:r>
        <w:rPr>
          <w:b/>
          <w:w w:val="110"/>
          <w:sz w:val="20"/>
        </w:rPr>
        <w:t>hyperactivity­</w:t>
      </w:r>
    </w:p>
    <w:p w:rsidR="00E675F0" w:rsidRDefault="00E675F0" w:rsidP="00E675F0">
      <w:pPr>
        <w:spacing w:line="197" w:lineRule="exact"/>
        <w:ind w:left="108"/>
        <w:jc w:val="both"/>
        <w:rPr>
          <w:sz w:val="20"/>
        </w:rPr>
      </w:pPr>
      <w:r>
        <w:rPr>
          <w:w w:val="110"/>
          <w:sz w:val="20"/>
        </w:rPr>
        <w:t xml:space="preserve">accounted tor by </w:t>
      </w:r>
      <w:r>
        <w:rPr>
          <w:b/>
          <w:w w:val="110"/>
          <w:sz w:val="20"/>
        </w:rPr>
        <w:t xml:space="preserve">another mental disorder </w:t>
      </w:r>
      <w:r>
        <w:rPr>
          <w:w w:val="110"/>
          <w:sz w:val="20"/>
        </w:rPr>
        <w:t>(e.g., Mood Disorder, Anxiety Disorder,</w:t>
      </w:r>
    </w:p>
    <w:p w:rsidR="00E675F0" w:rsidRDefault="00E675F0" w:rsidP="00E675F0">
      <w:pPr>
        <w:pStyle w:val="BodyText"/>
        <w:spacing w:before="15" w:line="254" w:lineRule="auto"/>
        <w:ind w:left="105" w:right="134" w:firstLine="6"/>
        <w:jc w:val="both"/>
        <w:rPr>
          <w:b/>
        </w:rPr>
      </w:pPr>
      <w:r>
        <w:rPr>
          <w:w w:val="105"/>
        </w:rPr>
        <w:t>Dissociative Disorder, Personality Disorder, Personality Change Due to a General Medical</w:t>
      </w:r>
      <w:r>
        <w:rPr>
          <w:spacing w:val="-13"/>
          <w:w w:val="105"/>
        </w:rPr>
        <w:t xml:space="preserve"> </w:t>
      </w:r>
      <w:r>
        <w:rPr>
          <w:w w:val="105"/>
        </w:rPr>
        <w:t>Condition,</w:t>
      </w:r>
      <w:r>
        <w:rPr>
          <w:spacing w:val="-9"/>
          <w:w w:val="105"/>
        </w:rPr>
        <w:t xml:space="preserve"> </w:t>
      </w:r>
      <w:r>
        <w:rPr>
          <w:w w:val="105"/>
        </w:rPr>
        <w:t>or</w:t>
      </w:r>
      <w:r>
        <w:rPr>
          <w:spacing w:val="-21"/>
          <w:w w:val="105"/>
        </w:rPr>
        <w:t xml:space="preserve"> </w:t>
      </w:r>
      <w:r>
        <w:rPr>
          <w:w w:val="105"/>
        </w:rPr>
        <w:t>a</w:t>
      </w:r>
      <w:r>
        <w:rPr>
          <w:spacing w:val="-25"/>
          <w:w w:val="105"/>
        </w:rPr>
        <w:t xml:space="preserve"> </w:t>
      </w:r>
      <w:r>
        <w:rPr>
          <w:w w:val="105"/>
        </w:rPr>
        <w:t>Substance-Related</w:t>
      </w:r>
      <w:r>
        <w:rPr>
          <w:spacing w:val="-27"/>
          <w:w w:val="105"/>
        </w:rPr>
        <w:t xml:space="preserve"> </w:t>
      </w:r>
      <w:r>
        <w:rPr>
          <w:w w:val="105"/>
        </w:rPr>
        <w:t>Disorder).</w:t>
      </w:r>
      <w:r>
        <w:rPr>
          <w:spacing w:val="-11"/>
          <w:w w:val="105"/>
        </w:rPr>
        <w:t xml:space="preserve"> </w:t>
      </w:r>
      <w:r>
        <w:rPr>
          <w:w w:val="105"/>
        </w:rPr>
        <w:t>In</w:t>
      </w:r>
      <w:r>
        <w:rPr>
          <w:spacing w:val="-24"/>
          <w:w w:val="105"/>
        </w:rPr>
        <w:t xml:space="preserve"> </w:t>
      </w:r>
      <w:r>
        <w:rPr>
          <w:w w:val="105"/>
        </w:rPr>
        <w:t>all</w:t>
      </w:r>
      <w:r>
        <w:rPr>
          <w:spacing w:val="-25"/>
          <w:w w:val="105"/>
        </w:rPr>
        <w:t xml:space="preserve"> </w:t>
      </w:r>
      <w:r>
        <w:rPr>
          <w:w w:val="105"/>
        </w:rPr>
        <w:t>these</w:t>
      </w:r>
      <w:r>
        <w:rPr>
          <w:spacing w:val="-21"/>
          <w:w w:val="105"/>
        </w:rPr>
        <w:t xml:space="preserve"> </w:t>
      </w:r>
      <w:r>
        <w:rPr>
          <w:w w:val="105"/>
        </w:rPr>
        <w:t>disorders,</w:t>
      </w:r>
      <w:r>
        <w:rPr>
          <w:spacing w:val="-12"/>
          <w:w w:val="105"/>
        </w:rPr>
        <w:t xml:space="preserve"> </w:t>
      </w:r>
      <w:r>
        <w:rPr>
          <w:w w:val="105"/>
        </w:rPr>
        <w:t>the</w:t>
      </w:r>
      <w:r>
        <w:rPr>
          <w:spacing w:val="-25"/>
          <w:w w:val="105"/>
        </w:rPr>
        <w:t xml:space="preserve"> </w:t>
      </w:r>
      <w:r>
        <w:rPr>
          <w:w w:val="105"/>
        </w:rPr>
        <w:t xml:space="preserve">symptoms of inattention typically have an onset after age 7 years, and the childhood history of school adjustment generally is not characterized by disruptive behavior or teacher complaints concerning inattentive, hyperactive, or impulsive behavior. When a Mood Disorder or Anxiety Disorder co-occurs with Attention-Deficit/Hyperactivity Disorder, each should be diagnosed. Attention-Deficit/Hyperactivity Disorder is not diagnosed if the symptoms of inattention and hyperactivity occur exclusively during the course of a </w:t>
      </w:r>
      <w:r>
        <w:rPr>
          <w:b/>
          <w:w w:val="105"/>
        </w:rPr>
        <w:t xml:space="preserve">Pervasive Developmental Disorder </w:t>
      </w:r>
      <w:r>
        <w:rPr>
          <w:w w:val="105"/>
        </w:rPr>
        <w:t xml:space="preserve">or a </w:t>
      </w:r>
      <w:r>
        <w:rPr>
          <w:b/>
          <w:w w:val="105"/>
        </w:rPr>
        <w:t xml:space="preserve">Psychotic Disorder. </w:t>
      </w:r>
      <w:r>
        <w:rPr>
          <w:w w:val="105"/>
        </w:rPr>
        <w:t xml:space="preserve">Symptoms of inatten­ tion, hyperactivity, or impulsivity related to the use of medication (e.g., bronchodilators, isoniazid, akathisia from neuroleptics) in children before age 7 years are not diagnosed as Attention-Deficit/Hyperactivity Disorder but instead are diagnosed as </w:t>
      </w:r>
      <w:r>
        <w:rPr>
          <w:b/>
          <w:w w:val="105"/>
        </w:rPr>
        <w:t>Other Sub­ stance-Related Disorder Not Otherwise</w:t>
      </w:r>
      <w:r>
        <w:rPr>
          <w:b/>
          <w:spacing w:val="-28"/>
          <w:w w:val="105"/>
        </w:rPr>
        <w:t xml:space="preserve"> </w:t>
      </w:r>
      <w:r>
        <w:rPr>
          <w:b/>
          <w:w w:val="105"/>
        </w:rPr>
        <w:t>Specified.</w:t>
      </w:r>
    </w:p>
    <w:p w:rsidR="00E675F0" w:rsidRDefault="00E675F0" w:rsidP="00E675F0">
      <w:pPr>
        <w:pStyle w:val="BodyText"/>
        <w:rPr>
          <w:b/>
        </w:rPr>
      </w:pPr>
    </w:p>
    <w:p w:rsidR="00E675F0" w:rsidRDefault="00E675F0" w:rsidP="00E675F0">
      <w:pPr>
        <w:pStyle w:val="BodyText"/>
        <w:spacing w:before="6"/>
        <w:rPr>
          <w:b/>
        </w:rPr>
      </w:pPr>
    </w:p>
    <w:tbl>
      <w:tblPr>
        <w:tblW w:w="0" w:type="auto"/>
        <w:tblInd w:w="211"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7312"/>
      </w:tblGrid>
      <w:tr w:rsidR="00E675F0" w:rsidTr="00A330E1">
        <w:trPr>
          <w:trHeight w:val="3703"/>
        </w:trPr>
        <w:tc>
          <w:tcPr>
            <w:tcW w:w="7312" w:type="dxa"/>
          </w:tcPr>
          <w:p w:rsidR="00E675F0" w:rsidRDefault="00E675F0" w:rsidP="003048D3">
            <w:pPr>
              <w:pStyle w:val="TableParagraph"/>
              <w:numPr>
                <w:ilvl w:val="0"/>
                <w:numId w:val="89"/>
              </w:numPr>
              <w:tabs>
                <w:tab w:val="left" w:pos="624"/>
              </w:tabs>
              <w:spacing w:before="23" w:line="206" w:lineRule="auto"/>
              <w:ind w:right="1953" w:hanging="379"/>
              <w:rPr>
                <w:rFonts w:ascii="Arial" w:hAnsi="Arial"/>
                <w:b/>
                <w:sz w:val="24"/>
              </w:rPr>
            </w:pPr>
            <w:r>
              <w:rPr>
                <w:rFonts w:ascii="Arial" w:hAnsi="Arial"/>
                <w:b/>
                <w:w w:val="105"/>
                <w:sz w:val="24"/>
              </w:rPr>
              <w:t>Diagnostic criteria for Attention</w:t>
            </w:r>
            <w:r>
              <w:rPr>
                <w:rFonts w:ascii="Arial" w:hAnsi="Arial"/>
                <w:b/>
                <w:spacing w:val="-45"/>
                <w:w w:val="105"/>
                <w:sz w:val="24"/>
              </w:rPr>
              <w:t xml:space="preserve"> </w:t>
            </w:r>
            <w:r>
              <w:rPr>
                <w:rFonts w:ascii="Arial" w:hAnsi="Arial"/>
                <w:b/>
                <w:w w:val="105"/>
                <w:sz w:val="24"/>
              </w:rPr>
              <w:t>Deficit/ Hyperactivity</w:t>
            </w:r>
            <w:r>
              <w:rPr>
                <w:rFonts w:ascii="Arial" w:hAnsi="Arial"/>
                <w:b/>
                <w:spacing w:val="12"/>
                <w:w w:val="105"/>
                <w:sz w:val="24"/>
              </w:rPr>
              <w:t xml:space="preserve"> </w:t>
            </w:r>
            <w:r>
              <w:rPr>
                <w:rFonts w:ascii="Arial" w:hAnsi="Arial"/>
                <w:b/>
                <w:w w:val="105"/>
                <w:sz w:val="24"/>
              </w:rPr>
              <w:t>Disorder</w:t>
            </w:r>
          </w:p>
          <w:p w:rsidR="00E675F0" w:rsidRDefault="00E675F0" w:rsidP="00A330E1">
            <w:pPr>
              <w:pStyle w:val="TableParagraph"/>
              <w:spacing w:before="167"/>
              <w:ind w:left="649"/>
              <w:jc w:val="both"/>
              <w:rPr>
                <w:sz w:val="20"/>
              </w:rPr>
            </w:pPr>
            <w:r>
              <w:rPr>
                <w:w w:val="105"/>
                <w:sz w:val="18"/>
              </w:rPr>
              <w:t xml:space="preserve">A. </w:t>
            </w:r>
            <w:r>
              <w:rPr>
                <w:w w:val="105"/>
                <w:sz w:val="20"/>
              </w:rPr>
              <w:t xml:space="preserve">Either </w:t>
            </w:r>
            <w:r>
              <w:rPr>
                <w:w w:val="105"/>
                <w:sz w:val="17"/>
              </w:rPr>
              <w:t xml:space="preserve">(1) </w:t>
            </w:r>
            <w:r>
              <w:rPr>
                <w:w w:val="105"/>
                <w:sz w:val="20"/>
              </w:rPr>
              <w:t>or (2):</w:t>
            </w:r>
          </w:p>
          <w:p w:rsidR="00E675F0" w:rsidRDefault="00E675F0" w:rsidP="003048D3">
            <w:pPr>
              <w:pStyle w:val="TableParagraph"/>
              <w:numPr>
                <w:ilvl w:val="1"/>
                <w:numId w:val="89"/>
              </w:numPr>
              <w:tabs>
                <w:tab w:val="left" w:pos="1373"/>
              </w:tabs>
              <w:spacing w:before="83" w:line="259" w:lineRule="auto"/>
              <w:ind w:right="215" w:hanging="425"/>
              <w:jc w:val="both"/>
              <w:rPr>
                <w:sz w:val="20"/>
              </w:rPr>
            </w:pPr>
            <w:r>
              <w:rPr>
                <w:w w:val="105"/>
                <w:sz w:val="20"/>
              </w:rPr>
              <w:t xml:space="preserve">six (or more) of the following symptoms of </w:t>
            </w:r>
            <w:r>
              <w:rPr>
                <w:b/>
                <w:w w:val="105"/>
                <w:sz w:val="20"/>
              </w:rPr>
              <w:t xml:space="preserve">inattention </w:t>
            </w:r>
            <w:r>
              <w:rPr>
                <w:w w:val="105"/>
                <w:sz w:val="20"/>
              </w:rPr>
              <w:t>have persisted for at least 6 months to a degree that is maladaptive and inconsistent with developmental</w:t>
            </w:r>
            <w:r>
              <w:rPr>
                <w:spacing w:val="9"/>
                <w:w w:val="105"/>
                <w:sz w:val="20"/>
              </w:rPr>
              <w:t xml:space="preserve"> </w:t>
            </w:r>
            <w:r>
              <w:rPr>
                <w:w w:val="105"/>
                <w:sz w:val="20"/>
              </w:rPr>
              <w:t>level:</w:t>
            </w:r>
          </w:p>
          <w:p w:rsidR="00E675F0" w:rsidRDefault="00E675F0" w:rsidP="00A330E1">
            <w:pPr>
              <w:pStyle w:val="TableParagraph"/>
              <w:spacing w:before="168"/>
              <w:ind w:left="1388"/>
              <w:rPr>
                <w:i/>
                <w:sz w:val="20"/>
              </w:rPr>
            </w:pPr>
            <w:r>
              <w:rPr>
                <w:i/>
                <w:w w:val="110"/>
                <w:sz w:val="20"/>
              </w:rPr>
              <w:t>Inattention</w:t>
            </w:r>
          </w:p>
          <w:p w:rsidR="00E675F0" w:rsidRDefault="00E675F0" w:rsidP="003048D3">
            <w:pPr>
              <w:pStyle w:val="TableParagraph"/>
              <w:numPr>
                <w:ilvl w:val="2"/>
                <w:numId w:val="89"/>
              </w:numPr>
              <w:tabs>
                <w:tab w:val="left" w:pos="1799"/>
              </w:tabs>
              <w:spacing w:before="15" w:line="256" w:lineRule="auto"/>
              <w:ind w:right="223" w:hanging="430"/>
              <w:rPr>
                <w:sz w:val="20"/>
              </w:rPr>
            </w:pPr>
            <w:r>
              <w:rPr>
                <w:w w:val="105"/>
                <w:sz w:val="20"/>
              </w:rPr>
              <w:t>often fails to give close attention to details or makes careless mistakes in schoolwork, work, or other</w:t>
            </w:r>
            <w:r>
              <w:rPr>
                <w:spacing w:val="12"/>
                <w:w w:val="105"/>
                <w:sz w:val="20"/>
              </w:rPr>
              <w:t xml:space="preserve"> </w:t>
            </w:r>
            <w:r>
              <w:rPr>
                <w:w w:val="105"/>
                <w:sz w:val="20"/>
              </w:rPr>
              <w:t>activities</w:t>
            </w:r>
          </w:p>
          <w:p w:rsidR="00E675F0" w:rsidRDefault="00E675F0" w:rsidP="003048D3">
            <w:pPr>
              <w:pStyle w:val="TableParagraph"/>
              <w:numPr>
                <w:ilvl w:val="2"/>
                <w:numId w:val="89"/>
              </w:numPr>
              <w:tabs>
                <w:tab w:val="left" w:pos="1799"/>
              </w:tabs>
              <w:spacing w:line="256" w:lineRule="auto"/>
              <w:ind w:left="1798" w:right="739"/>
              <w:rPr>
                <w:sz w:val="20"/>
              </w:rPr>
            </w:pPr>
            <w:r>
              <w:rPr>
                <w:w w:val="105"/>
                <w:sz w:val="20"/>
              </w:rPr>
              <w:t>often has difficulty sustaining attention in tasks or play activities</w:t>
            </w:r>
          </w:p>
          <w:p w:rsidR="00E675F0" w:rsidRDefault="00E675F0" w:rsidP="00A330E1">
            <w:pPr>
              <w:pStyle w:val="TableParagraph"/>
              <w:spacing w:line="218" w:lineRule="exact"/>
              <w:ind w:left="6015"/>
              <w:rPr>
                <w:i/>
                <w:sz w:val="20"/>
              </w:rPr>
            </w:pPr>
            <w:r>
              <w:rPr>
                <w:i/>
                <w:w w:val="110"/>
                <w:sz w:val="20"/>
              </w:rPr>
              <w:t>(continued)</w:t>
            </w:r>
          </w:p>
        </w:tc>
      </w:tr>
    </w:tbl>
    <w:p w:rsidR="00E675F0" w:rsidRDefault="00E675F0" w:rsidP="00E675F0">
      <w:pPr>
        <w:spacing w:line="218" w:lineRule="exact"/>
        <w:rPr>
          <w:sz w:val="20"/>
        </w:rPr>
        <w:sectPr w:rsidR="00E675F0">
          <w:pgSz w:w="8960" w:h="14260"/>
          <w:pgMar w:top="1400" w:right="840" w:bottom="280" w:left="420" w:header="690" w:footer="0" w:gutter="0"/>
          <w:cols w:space="720"/>
        </w:sectPr>
      </w:pPr>
    </w:p>
    <w:p w:rsidR="00E675F0" w:rsidRDefault="00E675F0" w:rsidP="00E675F0">
      <w:pPr>
        <w:pStyle w:val="BodyText"/>
        <w:spacing w:before="10" w:after="1"/>
        <w:rPr>
          <w:b/>
          <w:sz w:val="10"/>
        </w:rPr>
      </w:pPr>
    </w:p>
    <w:tbl>
      <w:tblPr>
        <w:tblW w:w="0" w:type="auto"/>
        <w:tblInd w:w="227"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7322"/>
      </w:tblGrid>
      <w:tr w:rsidR="00E675F0" w:rsidTr="00A330E1">
        <w:trPr>
          <w:trHeight w:val="5515"/>
        </w:trPr>
        <w:tc>
          <w:tcPr>
            <w:tcW w:w="7322" w:type="dxa"/>
          </w:tcPr>
          <w:p w:rsidR="00E675F0" w:rsidRDefault="00E675F0" w:rsidP="00A330E1">
            <w:pPr>
              <w:pStyle w:val="TableParagraph"/>
              <w:spacing w:before="101" w:line="220" w:lineRule="auto"/>
              <w:ind w:left="579" w:right="241" w:hanging="323"/>
              <w:rPr>
                <w:rFonts w:ascii="Arial" w:hAnsi="Arial"/>
                <w:i/>
                <w:sz w:val="21"/>
              </w:rPr>
            </w:pPr>
            <w:bookmarkStart w:id="54" w:name="_bookmark39"/>
            <w:bookmarkEnd w:id="54"/>
            <w:r>
              <w:rPr>
                <w:rFonts w:ascii="Arial" w:hAnsi="Arial"/>
                <w:sz w:val="36"/>
              </w:rPr>
              <w:t xml:space="preserve">□ </w:t>
            </w:r>
            <w:r>
              <w:rPr>
                <w:rFonts w:ascii="Arial" w:hAnsi="Arial"/>
                <w:b/>
              </w:rPr>
              <w:t xml:space="preserve">Diagnostic criteria for Attention--Deficit/Hyperactivity Disorder </w:t>
            </w:r>
            <w:r>
              <w:rPr>
                <w:rFonts w:ascii="Arial" w:hAnsi="Arial"/>
                <w:i/>
                <w:sz w:val="21"/>
              </w:rPr>
              <w:t>(continued)</w:t>
            </w:r>
          </w:p>
          <w:p w:rsidR="00E675F0" w:rsidRDefault="00E675F0" w:rsidP="00A330E1">
            <w:pPr>
              <w:pStyle w:val="TableParagraph"/>
              <w:spacing w:before="212" w:line="254" w:lineRule="auto"/>
              <w:ind w:left="949" w:right="228" w:hanging="301"/>
              <w:jc w:val="both"/>
              <w:rPr>
                <w:sz w:val="20"/>
              </w:rPr>
            </w:pPr>
            <w:r>
              <w:rPr>
                <w:w w:val="105"/>
                <w:sz w:val="20"/>
              </w:rPr>
              <w:t>E. The symptoms do not occur exclusively during the course of a Pervasive Developmental Disorder, Schizophrenia, or other Psychotic Disorder and are not better accounted for by another mental disorder (e.g., Mood Disorder, Anxiety Disorder, Dissociative Disorder, or a Personality Disorder).</w:t>
            </w:r>
          </w:p>
          <w:p w:rsidR="00E675F0" w:rsidRDefault="00E675F0" w:rsidP="00A330E1">
            <w:pPr>
              <w:pStyle w:val="TableParagraph"/>
              <w:spacing w:before="166"/>
              <w:ind w:left="399"/>
              <w:rPr>
                <w:sz w:val="20"/>
              </w:rPr>
            </w:pPr>
            <w:r>
              <w:rPr>
                <w:i/>
                <w:sz w:val="20"/>
              </w:rPr>
              <w:t xml:space="preserve">Code </w:t>
            </w:r>
            <w:r>
              <w:rPr>
                <w:sz w:val="20"/>
              </w:rPr>
              <w:t>based on type</w:t>
            </w:r>
          </w:p>
          <w:p w:rsidR="00E675F0" w:rsidRDefault="00E675F0" w:rsidP="00A330E1">
            <w:pPr>
              <w:pStyle w:val="TableParagraph"/>
              <w:spacing w:before="10"/>
              <w:ind w:left="654"/>
              <w:rPr>
                <w:b/>
                <w:sz w:val="20"/>
              </w:rPr>
            </w:pPr>
            <w:r>
              <w:rPr>
                <w:b/>
                <w:w w:val="110"/>
                <w:sz w:val="20"/>
              </w:rPr>
              <w:t>314.01 Attention-Deficit/Hyperactivity Disorder, Combined Type:</w:t>
            </w:r>
          </w:p>
          <w:p w:rsidR="00E675F0" w:rsidRDefault="00E675F0" w:rsidP="00A330E1">
            <w:pPr>
              <w:pStyle w:val="TableParagraph"/>
              <w:spacing w:before="15"/>
              <w:ind w:left="805"/>
              <w:rPr>
                <w:sz w:val="20"/>
              </w:rPr>
            </w:pPr>
            <w:r>
              <w:rPr>
                <w:w w:val="105"/>
                <w:sz w:val="20"/>
              </w:rPr>
              <w:t>if both Criteria Al and A2 are met for the past 6 months</w:t>
            </w:r>
          </w:p>
          <w:p w:rsidR="00E675F0" w:rsidRDefault="00E675F0" w:rsidP="003048D3">
            <w:pPr>
              <w:pStyle w:val="TableParagraph"/>
              <w:numPr>
                <w:ilvl w:val="1"/>
                <w:numId w:val="88"/>
              </w:numPr>
              <w:tabs>
                <w:tab w:val="left" w:pos="1407"/>
              </w:tabs>
              <w:spacing w:before="16" w:line="256" w:lineRule="auto"/>
              <w:ind w:right="266" w:hanging="139"/>
              <w:rPr>
                <w:sz w:val="20"/>
              </w:rPr>
            </w:pPr>
            <w:r>
              <w:rPr>
                <w:b/>
                <w:w w:val="105"/>
                <w:sz w:val="20"/>
              </w:rPr>
              <w:t xml:space="preserve">Attention-Deficit/Hyperactivity Disorder, Predominantly Inattentive Type: </w:t>
            </w:r>
            <w:r>
              <w:rPr>
                <w:w w:val="105"/>
                <w:sz w:val="20"/>
              </w:rPr>
              <w:t>if Criterion Al is met but Criterion A2 is not met for the past 6</w:t>
            </w:r>
            <w:r>
              <w:rPr>
                <w:spacing w:val="41"/>
                <w:w w:val="105"/>
                <w:sz w:val="20"/>
              </w:rPr>
              <w:t xml:space="preserve"> </w:t>
            </w:r>
            <w:r>
              <w:rPr>
                <w:w w:val="105"/>
                <w:sz w:val="20"/>
              </w:rPr>
              <w:t>months</w:t>
            </w:r>
          </w:p>
          <w:p w:rsidR="00E675F0" w:rsidRDefault="00E675F0" w:rsidP="003048D3">
            <w:pPr>
              <w:pStyle w:val="TableParagraph"/>
              <w:numPr>
                <w:ilvl w:val="1"/>
                <w:numId w:val="88"/>
              </w:numPr>
              <w:tabs>
                <w:tab w:val="left" w:pos="1407"/>
              </w:tabs>
              <w:spacing w:line="254" w:lineRule="auto"/>
              <w:ind w:right="218" w:hanging="134"/>
              <w:rPr>
                <w:sz w:val="20"/>
              </w:rPr>
            </w:pPr>
            <w:r>
              <w:rPr>
                <w:b/>
                <w:w w:val="105"/>
                <w:sz w:val="20"/>
              </w:rPr>
              <w:t xml:space="preserve">Attention-Deficit/Hyperactivity Disorder, Predominantly Hyperactive-Impulsive Type: </w:t>
            </w:r>
            <w:r>
              <w:rPr>
                <w:w w:val="105"/>
                <w:sz w:val="20"/>
              </w:rPr>
              <w:t>if Criterion A2 is met but Criterion Al is not met for the past 6</w:t>
            </w:r>
            <w:r>
              <w:rPr>
                <w:spacing w:val="-10"/>
                <w:w w:val="105"/>
                <w:sz w:val="20"/>
              </w:rPr>
              <w:t xml:space="preserve"> </w:t>
            </w:r>
            <w:r>
              <w:rPr>
                <w:w w:val="105"/>
                <w:sz w:val="20"/>
              </w:rPr>
              <w:t>months</w:t>
            </w:r>
          </w:p>
          <w:p w:rsidR="00E675F0" w:rsidRDefault="00E675F0" w:rsidP="00A330E1">
            <w:pPr>
              <w:pStyle w:val="TableParagraph"/>
              <w:spacing w:before="149" w:line="252" w:lineRule="auto"/>
              <w:ind w:left="649" w:right="232" w:hanging="4"/>
              <w:jc w:val="both"/>
              <w:rPr>
                <w:sz w:val="18"/>
              </w:rPr>
            </w:pPr>
            <w:r>
              <w:rPr>
                <w:b/>
                <w:w w:val="105"/>
                <w:sz w:val="18"/>
              </w:rPr>
              <w:t xml:space="preserve">Coding note: </w:t>
            </w:r>
            <w:r>
              <w:rPr>
                <w:w w:val="105"/>
                <w:sz w:val="18"/>
              </w:rPr>
              <w:t>For individuals (especially adolescents and adults) who currently have symptoms that no longer meet full criteria, "In Partial Remission" should be specified.</w:t>
            </w:r>
          </w:p>
        </w:tc>
      </w:tr>
    </w:tbl>
    <w:p w:rsidR="00E675F0" w:rsidRDefault="00E675F0" w:rsidP="00E675F0">
      <w:pPr>
        <w:pStyle w:val="BodyText"/>
        <w:rPr>
          <w:b/>
        </w:rPr>
      </w:pPr>
    </w:p>
    <w:p w:rsidR="00E675F0" w:rsidRDefault="00E675F0" w:rsidP="00E675F0">
      <w:pPr>
        <w:pStyle w:val="BodyText"/>
        <w:spacing w:before="1"/>
        <w:rPr>
          <w:b/>
          <w:sz w:val="23"/>
        </w:rPr>
      </w:pPr>
    </w:p>
    <w:p w:rsidR="00E675F0" w:rsidRDefault="00E675F0" w:rsidP="00E675F0">
      <w:pPr>
        <w:tabs>
          <w:tab w:val="left" w:pos="1827"/>
        </w:tabs>
        <w:spacing w:line="252" w:lineRule="auto"/>
        <w:ind w:left="2318" w:right="917" w:hanging="1406"/>
        <w:rPr>
          <w:rFonts w:ascii="Arial"/>
          <w:b/>
          <w:sz w:val="25"/>
        </w:rPr>
      </w:pPr>
      <w:r>
        <w:rPr>
          <w:noProof/>
        </w:rPr>
        <mc:AlternateContent>
          <mc:Choice Requires="wpg">
            <w:drawing>
              <wp:anchor distT="0" distB="0" distL="114300" distR="114300" simplePos="0" relativeHeight="251771904" behindDoc="1" locked="0" layoutInCell="1" allowOverlap="1" wp14:anchorId="6707158F" wp14:editId="15D2FB73">
                <wp:simplePos x="0" y="0"/>
                <wp:positionH relativeFrom="page">
                  <wp:posOffset>469265</wp:posOffset>
                </wp:positionH>
                <wp:positionV relativeFrom="paragraph">
                  <wp:posOffset>-3923030</wp:posOffset>
                </wp:positionV>
                <wp:extent cx="4753610" cy="3650615"/>
                <wp:effectExtent l="0" t="0" r="0" b="0"/>
                <wp:wrapNone/>
                <wp:docPr id="1553" name="Group 1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3610" cy="3650615"/>
                          <a:chOff x="739" y="-6178"/>
                          <a:chExt cx="7486" cy="5749"/>
                        </a:xfrm>
                      </wpg:grpSpPr>
                      <wps:wsp>
                        <wps:cNvPr id="1554" name="Line 1512"/>
                        <wps:cNvCnPr>
                          <a:cxnSpLocks/>
                        </wps:cNvCnPr>
                        <wps:spPr bwMode="auto">
                          <a:xfrm>
                            <a:off x="812" y="-429"/>
                            <a:ext cx="0" cy="0"/>
                          </a:xfrm>
                          <a:prstGeom prst="line">
                            <a:avLst/>
                          </a:prstGeom>
                          <a:noFill/>
                          <a:ln w="305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5" name="Line 1511"/>
                        <wps:cNvCnPr>
                          <a:cxnSpLocks/>
                        </wps:cNvCnPr>
                        <wps:spPr bwMode="auto">
                          <a:xfrm>
                            <a:off x="8133" y="-429"/>
                            <a:ext cx="0" cy="0"/>
                          </a:xfrm>
                          <a:prstGeom prst="line">
                            <a:avLst/>
                          </a:prstGeom>
                          <a:noFill/>
                          <a:ln w="3360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6" name="AutoShape 1510"/>
                        <wps:cNvSpPr>
                          <a:spLocks/>
                        </wps:cNvSpPr>
                        <wps:spPr bwMode="auto">
                          <a:xfrm>
                            <a:off x="739" y="-6096"/>
                            <a:ext cx="7486" cy="5576"/>
                          </a:xfrm>
                          <a:custGeom>
                            <a:avLst/>
                            <a:gdLst>
                              <a:gd name="T0" fmla="+- 0 739 739"/>
                              <a:gd name="T1" fmla="*/ T0 w 7486"/>
                              <a:gd name="T2" fmla="+- 0 -6096 -6096"/>
                              <a:gd name="T3" fmla="*/ -6096 h 5576"/>
                              <a:gd name="T4" fmla="+- 0 8225 739"/>
                              <a:gd name="T5" fmla="*/ T4 w 7486"/>
                              <a:gd name="T6" fmla="+- 0 -6096 -6096"/>
                              <a:gd name="T7" fmla="*/ -6096 h 5576"/>
                              <a:gd name="T8" fmla="+- 0 739 739"/>
                              <a:gd name="T9" fmla="*/ T8 w 7486"/>
                              <a:gd name="T10" fmla="+- 0 -520 -6096"/>
                              <a:gd name="T11" fmla="*/ -520 h 5576"/>
                              <a:gd name="T12" fmla="+- 0 8225 739"/>
                              <a:gd name="T13" fmla="*/ T12 w 7486"/>
                              <a:gd name="T14" fmla="+- 0 -520 -6096"/>
                              <a:gd name="T15" fmla="*/ -520 h 5576"/>
                            </a:gdLst>
                            <a:ahLst/>
                            <a:cxnLst>
                              <a:cxn ang="0">
                                <a:pos x="T1" y="T3"/>
                              </a:cxn>
                              <a:cxn ang="0">
                                <a:pos x="T5" y="T7"/>
                              </a:cxn>
                              <a:cxn ang="0">
                                <a:pos x="T9" y="T11"/>
                              </a:cxn>
                              <a:cxn ang="0">
                                <a:pos x="T13" y="T15"/>
                              </a:cxn>
                            </a:cxnLst>
                            <a:rect l="0" t="0" r="r" b="b"/>
                            <a:pathLst>
                              <a:path w="7486" h="5576">
                                <a:moveTo>
                                  <a:pt x="0" y="0"/>
                                </a:moveTo>
                                <a:lnTo>
                                  <a:pt x="7486" y="0"/>
                                </a:lnTo>
                                <a:moveTo>
                                  <a:pt x="0" y="5576"/>
                                </a:moveTo>
                                <a:lnTo>
                                  <a:pt x="7486" y="5576"/>
                                </a:lnTo>
                              </a:path>
                            </a:pathLst>
                          </a:custGeom>
                          <a:noFill/>
                          <a:ln w="3053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D87048" id="Group 1509" o:spid="_x0000_s1026" style="position:absolute;margin-left:36.95pt;margin-top:-308.9pt;width:374.3pt;height:287.45pt;z-index:-251544576;mso-position-horizontal-relative:page" coordorigin="739,-6178" coordsize="7486,574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">
                <v:line id="Line 1512" o:spid="_x0000_s1027" style="position:absolute;visibility:visible;mso-wrap-style:square" from="812,-429" to="812,-4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" strokeweight=".84856mm">
                  <o:lock v:ext="edit" shapetype="f"/>
                </v:line>
                <v:line id="Line 1511" o:spid="_x0000_s1028" style="position:absolute;visibility:visible;mso-wrap-style:square" from="8133,-429" to="8133,-4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" strokeweight=".93339mm">
                  <o:lock v:ext="edit" shapetype="f"/>
                </v:line>
                <v:shape id="AutoShape 1510" o:spid="_x0000_s1029" style="position:absolute;left:739;top:-6096;width:7486;height:5576;visibility:visible;mso-wrap-style:square;v-text-anchor:top" coordsize="7486,55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" path="m,l7486,m,5576r7486,e" filled="f" strokeweight=".84819mm">
                  <v:path arrowok="t" o:connecttype="custom" o:connectlocs="0,-6096;7486,-6096;0,-520;7486,-520" o:connectangles="0,0,0,0"/>
                </v:shape>
                <w10:wrap anchorx="page"/>
              </v:group>
            </w:pict>
          </mc:Fallback>
        </mc:AlternateContent>
      </w:r>
      <w:r>
        <w:rPr>
          <w:rFonts w:ascii="Arial"/>
          <w:b/>
          <w:w w:val="105"/>
          <w:sz w:val="25"/>
        </w:rPr>
        <w:t>314.9</w:t>
      </w:r>
      <w:r>
        <w:rPr>
          <w:rFonts w:ascii="Arial"/>
          <w:b/>
          <w:w w:val="105"/>
          <w:sz w:val="25"/>
        </w:rPr>
        <w:tab/>
        <w:t>Attention--Deficit/Hyperactivity</w:t>
      </w:r>
      <w:r>
        <w:rPr>
          <w:rFonts w:ascii="Arial"/>
          <w:b/>
          <w:spacing w:val="-48"/>
          <w:w w:val="105"/>
          <w:sz w:val="25"/>
        </w:rPr>
        <w:t xml:space="preserve"> </w:t>
      </w:r>
      <w:r>
        <w:rPr>
          <w:rFonts w:ascii="Arial"/>
          <w:b/>
          <w:w w:val="105"/>
          <w:sz w:val="25"/>
        </w:rPr>
        <w:t>Disorder Not Otherwise</w:t>
      </w:r>
      <w:r>
        <w:rPr>
          <w:rFonts w:ascii="Arial"/>
          <w:b/>
          <w:spacing w:val="11"/>
          <w:w w:val="105"/>
          <w:sz w:val="25"/>
        </w:rPr>
        <w:t xml:space="preserve"> </w:t>
      </w:r>
      <w:r>
        <w:rPr>
          <w:rFonts w:ascii="Arial"/>
          <w:b/>
          <w:w w:val="105"/>
          <w:sz w:val="25"/>
        </w:rPr>
        <w:t>Specified</w:t>
      </w:r>
    </w:p>
    <w:p w:rsidR="00E675F0" w:rsidRDefault="00E675F0" w:rsidP="00E675F0">
      <w:pPr>
        <w:pStyle w:val="BodyText"/>
        <w:spacing w:before="233" w:line="256" w:lineRule="auto"/>
        <w:ind w:left="127" w:right="111" w:hanging="5"/>
        <w:jc w:val="both"/>
      </w:pPr>
      <w:r>
        <w:rPr>
          <w:w w:val="105"/>
        </w:rPr>
        <w:t>This category is for disorders with prominent symptoms of inattention or hyperactivity­ impulsivity that do not meet criteria for Attention-Deficit/Hyperactivity Disorder.</w:t>
      </w:r>
    </w:p>
    <w:p w:rsidR="00E675F0" w:rsidRDefault="00E675F0" w:rsidP="00E675F0">
      <w:pPr>
        <w:pStyle w:val="BodyText"/>
        <w:spacing w:before="9"/>
        <w:rPr>
          <w:sz w:val="25"/>
        </w:rPr>
      </w:pPr>
    </w:p>
    <w:p w:rsidR="00E675F0" w:rsidRDefault="00E675F0" w:rsidP="00E675F0">
      <w:pPr>
        <w:tabs>
          <w:tab w:val="left" w:pos="920"/>
        </w:tabs>
        <w:ind w:left="8"/>
        <w:jc w:val="center"/>
        <w:rPr>
          <w:rFonts w:ascii="Arial"/>
          <w:b/>
          <w:sz w:val="25"/>
        </w:rPr>
      </w:pPr>
      <w:r>
        <w:rPr>
          <w:rFonts w:ascii="Arial"/>
          <w:b/>
          <w:w w:val="105"/>
          <w:sz w:val="25"/>
        </w:rPr>
        <w:t>312.8</w:t>
      </w:r>
      <w:r>
        <w:rPr>
          <w:rFonts w:ascii="Arial"/>
          <w:b/>
          <w:w w:val="105"/>
          <w:sz w:val="25"/>
        </w:rPr>
        <w:tab/>
        <w:t>Conduct</w:t>
      </w:r>
      <w:r>
        <w:rPr>
          <w:rFonts w:ascii="Arial"/>
          <w:b/>
          <w:spacing w:val="3"/>
          <w:w w:val="105"/>
          <w:sz w:val="25"/>
        </w:rPr>
        <w:t xml:space="preserve"> </w:t>
      </w:r>
      <w:r>
        <w:rPr>
          <w:rFonts w:ascii="Arial"/>
          <w:b/>
          <w:w w:val="105"/>
          <w:sz w:val="25"/>
        </w:rPr>
        <w:t>Disorder</w:t>
      </w:r>
    </w:p>
    <w:p w:rsidR="00E675F0" w:rsidRDefault="00E675F0" w:rsidP="00E675F0">
      <w:pPr>
        <w:pStyle w:val="BodyText"/>
        <w:spacing w:before="3"/>
        <w:rPr>
          <w:rFonts w:ascii="Arial"/>
          <w:b/>
          <w:sz w:val="27"/>
        </w:rPr>
      </w:pPr>
    </w:p>
    <w:p w:rsidR="00E675F0" w:rsidRDefault="00E675F0" w:rsidP="00E675F0">
      <w:pPr>
        <w:ind w:left="113"/>
        <w:jc w:val="both"/>
        <w:rPr>
          <w:rFonts w:ascii="TimesNewRomanPS-BoldItalicMT"/>
          <w:b/>
          <w:i/>
          <w:sz w:val="23"/>
        </w:rPr>
      </w:pPr>
      <w:r>
        <w:rPr>
          <w:rFonts w:ascii="TimesNewRomanPS-BoldItalicMT"/>
          <w:b/>
          <w:i/>
          <w:w w:val="120"/>
          <w:sz w:val="23"/>
        </w:rPr>
        <w:t>Diagnostic Features</w:t>
      </w:r>
    </w:p>
    <w:p w:rsidR="00E675F0" w:rsidRDefault="00E675F0" w:rsidP="00E675F0">
      <w:pPr>
        <w:pStyle w:val="BodyText"/>
        <w:spacing w:before="148" w:line="254" w:lineRule="auto"/>
        <w:ind w:left="127" w:right="105" w:hanging="5"/>
        <w:jc w:val="both"/>
      </w:pPr>
      <w:r>
        <w:rPr>
          <w:w w:val="110"/>
        </w:rPr>
        <w:t>The</w:t>
      </w:r>
      <w:r>
        <w:rPr>
          <w:spacing w:val="-40"/>
          <w:w w:val="110"/>
        </w:rPr>
        <w:t xml:space="preserve"> </w:t>
      </w:r>
      <w:r>
        <w:rPr>
          <w:w w:val="110"/>
        </w:rPr>
        <w:t>essential</w:t>
      </w:r>
      <w:r>
        <w:rPr>
          <w:spacing w:val="-33"/>
          <w:w w:val="110"/>
        </w:rPr>
        <w:t xml:space="preserve"> </w:t>
      </w:r>
      <w:r>
        <w:rPr>
          <w:w w:val="110"/>
        </w:rPr>
        <w:t>feature</w:t>
      </w:r>
      <w:r>
        <w:rPr>
          <w:spacing w:val="-37"/>
          <w:w w:val="110"/>
        </w:rPr>
        <w:t xml:space="preserve"> </w:t>
      </w:r>
      <w:r>
        <w:rPr>
          <w:w w:val="110"/>
        </w:rPr>
        <w:t>of</w:t>
      </w:r>
      <w:r>
        <w:rPr>
          <w:spacing w:val="-36"/>
          <w:w w:val="110"/>
        </w:rPr>
        <w:t xml:space="preserve"> </w:t>
      </w:r>
      <w:r>
        <w:rPr>
          <w:w w:val="110"/>
        </w:rPr>
        <w:t>Conduct</w:t>
      </w:r>
      <w:r>
        <w:rPr>
          <w:spacing w:val="-30"/>
          <w:w w:val="110"/>
        </w:rPr>
        <w:t xml:space="preserve"> </w:t>
      </w:r>
      <w:r>
        <w:rPr>
          <w:w w:val="110"/>
        </w:rPr>
        <w:t>Disorder</w:t>
      </w:r>
      <w:r>
        <w:rPr>
          <w:spacing w:val="-33"/>
          <w:w w:val="110"/>
        </w:rPr>
        <w:t xml:space="preserve"> </w:t>
      </w:r>
      <w:r>
        <w:rPr>
          <w:w w:val="110"/>
        </w:rPr>
        <w:t>is</w:t>
      </w:r>
      <w:r>
        <w:rPr>
          <w:spacing w:val="-41"/>
          <w:w w:val="110"/>
        </w:rPr>
        <w:t xml:space="preserve"> </w:t>
      </w:r>
      <w:r>
        <w:rPr>
          <w:w w:val="110"/>
        </w:rPr>
        <w:t>a</w:t>
      </w:r>
      <w:r>
        <w:rPr>
          <w:spacing w:val="-36"/>
          <w:w w:val="110"/>
        </w:rPr>
        <w:t xml:space="preserve"> </w:t>
      </w:r>
      <w:r>
        <w:rPr>
          <w:w w:val="110"/>
        </w:rPr>
        <w:t>repetitive</w:t>
      </w:r>
      <w:r>
        <w:rPr>
          <w:spacing w:val="-33"/>
          <w:w w:val="110"/>
        </w:rPr>
        <w:t xml:space="preserve"> </w:t>
      </w:r>
      <w:r>
        <w:rPr>
          <w:w w:val="110"/>
        </w:rPr>
        <w:t>and</w:t>
      </w:r>
      <w:r>
        <w:rPr>
          <w:spacing w:val="-36"/>
          <w:w w:val="110"/>
        </w:rPr>
        <w:t xml:space="preserve"> </w:t>
      </w:r>
      <w:r>
        <w:rPr>
          <w:w w:val="110"/>
        </w:rPr>
        <w:t>persistent</w:t>
      </w:r>
      <w:r>
        <w:rPr>
          <w:spacing w:val="-30"/>
          <w:w w:val="110"/>
        </w:rPr>
        <w:t xml:space="preserve"> </w:t>
      </w:r>
      <w:r>
        <w:rPr>
          <w:w w:val="110"/>
        </w:rPr>
        <w:t>pattern</w:t>
      </w:r>
      <w:r>
        <w:rPr>
          <w:spacing w:val="-34"/>
          <w:w w:val="110"/>
        </w:rPr>
        <w:t xml:space="preserve"> </w:t>
      </w:r>
      <w:r>
        <w:rPr>
          <w:w w:val="110"/>
        </w:rPr>
        <w:t>of</w:t>
      </w:r>
      <w:r>
        <w:rPr>
          <w:spacing w:val="-33"/>
          <w:w w:val="110"/>
        </w:rPr>
        <w:t xml:space="preserve"> </w:t>
      </w:r>
      <w:r>
        <w:rPr>
          <w:w w:val="110"/>
        </w:rPr>
        <w:t>behavior in</w:t>
      </w:r>
      <w:r>
        <w:rPr>
          <w:spacing w:val="-16"/>
          <w:w w:val="110"/>
        </w:rPr>
        <w:t xml:space="preserve"> </w:t>
      </w:r>
      <w:r>
        <w:rPr>
          <w:w w:val="110"/>
        </w:rPr>
        <w:t>which</w:t>
      </w:r>
      <w:r>
        <w:rPr>
          <w:spacing w:val="-10"/>
          <w:w w:val="110"/>
        </w:rPr>
        <w:t xml:space="preserve"> </w:t>
      </w:r>
      <w:r>
        <w:rPr>
          <w:w w:val="110"/>
        </w:rPr>
        <w:t>the</w:t>
      </w:r>
      <w:r>
        <w:rPr>
          <w:spacing w:val="-14"/>
          <w:w w:val="110"/>
        </w:rPr>
        <w:t xml:space="preserve"> </w:t>
      </w:r>
      <w:r>
        <w:rPr>
          <w:w w:val="110"/>
        </w:rPr>
        <w:t>basic</w:t>
      </w:r>
      <w:r>
        <w:rPr>
          <w:spacing w:val="-10"/>
          <w:w w:val="110"/>
        </w:rPr>
        <w:t xml:space="preserve"> </w:t>
      </w:r>
      <w:r>
        <w:rPr>
          <w:w w:val="110"/>
        </w:rPr>
        <w:t>rights</w:t>
      </w:r>
      <w:r>
        <w:rPr>
          <w:spacing w:val="-12"/>
          <w:w w:val="110"/>
        </w:rPr>
        <w:t xml:space="preserve"> </w:t>
      </w:r>
      <w:r>
        <w:rPr>
          <w:w w:val="110"/>
        </w:rPr>
        <w:t>of</w:t>
      </w:r>
      <w:r>
        <w:rPr>
          <w:spacing w:val="-8"/>
          <w:w w:val="110"/>
        </w:rPr>
        <w:t xml:space="preserve"> </w:t>
      </w:r>
      <w:r>
        <w:rPr>
          <w:w w:val="110"/>
        </w:rPr>
        <w:t>others</w:t>
      </w:r>
      <w:r>
        <w:rPr>
          <w:spacing w:val="-13"/>
          <w:w w:val="110"/>
        </w:rPr>
        <w:t xml:space="preserve"> </w:t>
      </w:r>
      <w:r>
        <w:rPr>
          <w:w w:val="110"/>
        </w:rPr>
        <w:t>or</w:t>
      </w:r>
      <w:r>
        <w:rPr>
          <w:spacing w:val="-10"/>
          <w:w w:val="110"/>
        </w:rPr>
        <w:t xml:space="preserve"> </w:t>
      </w:r>
      <w:r>
        <w:rPr>
          <w:w w:val="110"/>
        </w:rPr>
        <w:t>major</w:t>
      </w:r>
      <w:r>
        <w:rPr>
          <w:spacing w:val="-9"/>
          <w:w w:val="110"/>
        </w:rPr>
        <w:t xml:space="preserve"> </w:t>
      </w:r>
      <w:r>
        <w:rPr>
          <w:w w:val="110"/>
        </w:rPr>
        <w:t>age-appropriate</w:t>
      </w:r>
      <w:r>
        <w:rPr>
          <w:spacing w:val="-19"/>
          <w:w w:val="110"/>
        </w:rPr>
        <w:t xml:space="preserve"> </w:t>
      </w:r>
      <w:r>
        <w:rPr>
          <w:w w:val="110"/>
        </w:rPr>
        <w:t>societal norms</w:t>
      </w:r>
      <w:r>
        <w:rPr>
          <w:spacing w:val="-11"/>
          <w:w w:val="110"/>
        </w:rPr>
        <w:t xml:space="preserve"> </w:t>
      </w:r>
      <w:r>
        <w:rPr>
          <w:w w:val="110"/>
        </w:rPr>
        <w:t>or</w:t>
      </w:r>
      <w:r>
        <w:rPr>
          <w:spacing w:val="-7"/>
          <w:w w:val="110"/>
        </w:rPr>
        <w:t xml:space="preserve"> </w:t>
      </w:r>
      <w:r>
        <w:rPr>
          <w:w w:val="110"/>
        </w:rPr>
        <w:t>rules</w:t>
      </w:r>
      <w:r>
        <w:rPr>
          <w:spacing w:val="-14"/>
          <w:w w:val="110"/>
        </w:rPr>
        <w:t xml:space="preserve"> </w:t>
      </w:r>
      <w:r>
        <w:rPr>
          <w:w w:val="110"/>
        </w:rPr>
        <w:t>are violated</w:t>
      </w:r>
      <w:r>
        <w:rPr>
          <w:spacing w:val="-36"/>
          <w:w w:val="110"/>
        </w:rPr>
        <w:t xml:space="preserve"> </w:t>
      </w:r>
      <w:r>
        <w:rPr>
          <w:w w:val="110"/>
        </w:rPr>
        <w:t>(Criterion</w:t>
      </w:r>
      <w:r>
        <w:rPr>
          <w:spacing w:val="-34"/>
          <w:w w:val="110"/>
        </w:rPr>
        <w:t xml:space="preserve"> </w:t>
      </w:r>
      <w:r>
        <w:rPr>
          <w:w w:val="110"/>
        </w:rPr>
        <w:t>A).</w:t>
      </w:r>
      <w:r>
        <w:rPr>
          <w:spacing w:val="-39"/>
          <w:w w:val="110"/>
        </w:rPr>
        <w:t xml:space="preserve"> </w:t>
      </w:r>
      <w:r>
        <w:rPr>
          <w:w w:val="110"/>
        </w:rPr>
        <w:t>These</w:t>
      </w:r>
      <w:r>
        <w:rPr>
          <w:spacing w:val="-32"/>
          <w:w w:val="110"/>
        </w:rPr>
        <w:t xml:space="preserve"> </w:t>
      </w:r>
      <w:r>
        <w:rPr>
          <w:w w:val="110"/>
        </w:rPr>
        <w:t>behaviors</w:t>
      </w:r>
      <w:r>
        <w:rPr>
          <w:spacing w:val="-36"/>
          <w:w w:val="110"/>
        </w:rPr>
        <w:t xml:space="preserve"> </w:t>
      </w:r>
      <w:r>
        <w:rPr>
          <w:w w:val="110"/>
        </w:rPr>
        <w:t>fall</w:t>
      </w:r>
      <w:r>
        <w:rPr>
          <w:spacing w:val="-35"/>
          <w:w w:val="110"/>
        </w:rPr>
        <w:t xml:space="preserve"> </w:t>
      </w:r>
      <w:r>
        <w:rPr>
          <w:w w:val="110"/>
        </w:rPr>
        <w:t>into</w:t>
      </w:r>
      <w:r>
        <w:rPr>
          <w:spacing w:val="-39"/>
          <w:w w:val="110"/>
        </w:rPr>
        <w:t xml:space="preserve"> </w:t>
      </w:r>
      <w:r>
        <w:rPr>
          <w:w w:val="110"/>
        </w:rPr>
        <w:t>four</w:t>
      </w:r>
      <w:r>
        <w:rPr>
          <w:spacing w:val="-37"/>
          <w:w w:val="110"/>
        </w:rPr>
        <w:t xml:space="preserve"> </w:t>
      </w:r>
      <w:r>
        <w:rPr>
          <w:w w:val="110"/>
        </w:rPr>
        <w:t>main</w:t>
      </w:r>
      <w:r>
        <w:rPr>
          <w:spacing w:val="-37"/>
          <w:w w:val="110"/>
        </w:rPr>
        <w:t xml:space="preserve"> </w:t>
      </w:r>
      <w:r>
        <w:rPr>
          <w:w w:val="110"/>
        </w:rPr>
        <w:t>groupings:</w:t>
      </w:r>
      <w:r>
        <w:rPr>
          <w:spacing w:val="-33"/>
          <w:w w:val="110"/>
        </w:rPr>
        <w:t xml:space="preserve"> </w:t>
      </w:r>
      <w:r>
        <w:rPr>
          <w:w w:val="110"/>
        </w:rPr>
        <w:t>aggressive</w:t>
      </w:r>
      <w:r>
        <w:rPr>
          <w:spacing w:val="-33"/>
          <w:w w:val="110"/>
        </w:rPr>
        <w:t xml:space="preserve"> </w:t>
      </w:r>
      <w:r>
        <w:rPr>
          <w:w w:val="110"/>
        </w:rPr>
        <w:t>conduct that causes or threatens physical harm to other people or animals (Criteria Al-A7), nonaggressive</w:t>
      </w:r>
      <w:r>
        <w:rPr>
          <w:spacing w:val="-15"/>
          <w:w w:val="110"/>
        </w:rPr>
        <w:t xml:space="preserve"> </w:t>
      </w:r>
      <w:r>
        <w:rPr>
          <w:w w:val="110"/>
        </w:rPr>
        <w:t>conduct</w:t>
      </w:r>
      <w:r>
        <w:rPr>
          <w:spacing w:val="-23"/>
          <w:w w:val="110"/>
        </w:rPr>
        <w:t xml:space="preserve"> </w:t>
      </w:r>
      <w:r>
        <w:rPr>
          <w:w w:val="110"/>
        </w:rPr>
        <w:t>that</w:t>
      </w:r>
      <w:r>
        <w:rPr>
          <w:spacing w:val="-26"/>
          <w:w w:val="110"/>
        </w:rPr>
        <w:t xml:space="preserve"> </w:t>
      </w:r>
      <w:r>
        <w:rPr>
          <w:w w:val="110"/>
        </w:rPr>
        <w:t>causes</w:t>
      </w:r>
      <w:r>
        <w:rPr>
          <w:spacing w:val="-22"/>
          <w:w w:val="110"/>
        </w:rPr>
        <w:t xml:space="preserve"> </w:t>
      </w:r>
      <w:r>
        <w:rPr>
          <w:w w:val="110"/>
        </w:rPr>
        <w:t>property</w:t>
      </w:r>
      <w:r>
        <w:rPr>
          <w:spacing w:val="-24"/>
          <w:w w:val="110"/>
        </w:rPr>
        <w:t xml:space="preserve"> </w:t>
      </w:r>
      <w:r>
        <w:rPr>
          <w:w w:val="110"/>
        </w:rPr>
        <w:t>loss</w:t>
      </w:r>
      <w:r>
        <w:rPr>
          <w:spacing w:val="-28"/>
          <w:w w:val="110"/>
        </w:rPr>
        <w:t xml:space="preserve"> </w:t>
      </w:r>
      <w:r>
        <w:rPr>
          <w:w w:val="110"/>
        </w:rPr>
        <w:t>or</w:t>
      </w:r>
      <w:r>
        <w:rPr>
          <w:spacing w:val="-26"/>
          <w:w w:val="110"/>
        </w:rPr>
        <w:t xml:space="preserve"> </w:t>
      </w:r>
      <w:r>
        <w:rPr>
          <w:w w:val="110"/>
        </w:rPr>
        <w:t>damage</w:t>
      </w:r>
      <w:r>
        <w:rPr>
          <w:spacing w:val="-26"/>
          <w:w w:val="110"/>
        </w:rPr>
        <w:t xml:space="preserve"> </w:t>
      </w:r>
      <w:r>
        <w:rPr>
          <w:w w:val="110"/>
        </w:rPr>
        <w:t>(Criteria</w:t>
      </w:r>
      <w:r>
        <w:rPr>
          <w:spacing w:val="-22"/>
          <w:w w:val="110"/>
        </w:rPr>
        <w:t xml:space="preserve"> </w:t>
      </w:r>
      <w:r>
        <w:rPr>
          <w:w w:val="110"/>
        </w:rPr>
        <w:t>A8-A9),</w:t>
      </w:r>
      <w:r>
        <w:rPr>
          <w:spacing w:val="-21"/>
          <w:w w:val="110"/>
        </w:rPr>
        <w:t xml:space="preserve"> </w:t>
      </w:r>
      <w:r>
        <w:rPr>
          <w:w w:val="110"/>
        </w:rPr>
        <w:t xml:space="preserve">deceitful­ </w:t>
      </w:r>
      <w:r>
        <w:rPr>
          <w:w w:val="105"/>
        </w:rPr>
        <w:t>ness</w:t>
      </w:r>
      <w:r>
        <w:rPr>
          <w:spacing w:val="-22"/>
          <w:w w:val="105"/>
        </w:rPr>
        <w:t xml:space="preserve"> </w:t>
      </w:r>
      <w:r>
        <w:rPr>
          <w:w w:val="105"/>
        </w:rPr>
        <w:t>or</w:t>
      </w:r>
      <w:r>
        <w:rPr>
          <w:spacing w:val="-16"/>
          <w:w w:val="105"/>
        </w:rPr>
        <w:t xml:space="preserve"> </w:t>
      </w:r>
      <w:r>
        <w:rPr>
          <w:w w:val="105"/>
        </w:rPr>
        <w:t>theft</w:t>
      </w:r>
      <w:r>
        <w:rPr>
          <w:spacing w:val="-15"/>
          <w:w w:val="105"/>
        </w:rPr>
        <w:t xml:space="preserve"> </w:t>
      </w:r>
      <w:r>
        <w:rPr>
          <w:w w:val="105"/>
        </w:rPr>
        <w:t>(Criteria</w:t>
      </w:r>
      <w:r>
        <w:rPr>
          <w:spacing w:val="-5"/>
          <w:w w:val="105"/>
        </w:rPr>
        <w:t xml:space="preserve"> </w:t>
      </w:r>
      <w:r>
        <w:rPr>
          <w:w w:val="105"/>
        </w:rPr>
        <w:t>A10-A12),</w:t>
      </w:r>
      <w:r>
        <w:rPr>
          <w:spacing w:val="-11"/>
          <w:w w:val="105"/>
        </w:rPr>
        <w:t xml:space="preserve"> </w:t>
      </w:r>
      <w:r>
        <w:rPr>
          <w:w w:val="105"/>
        </w:rPr>
        <w:t>and</w:t>
      </w:r>
      <w:r>
        <w:rPr>
          <w:spacing w:val="-23"/>
          <w:w w:val="105"/>
        </w:rPr>
        <w:t xml:space="preserve"> </w:t>
      </w:r>
      <w:r>
        <w:rPr>
          <w:w w:val="105"/>
        </w:rPr>
        <w:t>serious</w:t>
      </w:r>
      <w:r>
        <w:rPr>
          <w:spacing w:val="-16"/>
          <w:w w:val="105"/>
        </w:rPr>
        <w:t xml:space="preserve"> </w:t>
      </w:r>
      <w:r>
        <w:rPr>
          <w:w w:val="105"/>
        </w:rPr>
        <w:t>violations</w:t>
      </w:r>
      <w:r>
        <w:rPr>
          <w:spacing w:val="-10"/>
          <w:w w:val="105"/>
        </w:rPr>
        <w:t xml:space="preserve"> </w:t>
      </w:r>
      <w:r>
        <w:rPr>
          <w:w w:val="105"/>
        </w:rPr>
        <w:t>of</w:t>
      </w:r>
      <w:r>
        <w:rPr>
          <w:spacing w:val="-10"/>
          <w:w w:val="105"/>
        </w:rPr>
        <w:t xml:space="preserve"> </w:t>
      </w:r>
      <w:r>
        <w:rPr>
          <w:w w:val="105"/>
        </w:rPr>
        <w:t>rules</w:t>
      </w:r>
      <w:r>
        <w:rPr>
          <w:spacing w:val="-21"/>
          <w:w w:val="105"/>
        </w:rPr>
        <w:t xml:space="preserve"> </w:t>
      </w:r>
      <w:r>
        <w:rPr>
          <w:w w:val="105"/>
        </w:rPr>
        <w:t>(Criteria</w:t>
      </w:r>
      <w:r>
        <w:rPr>
          <w:spacing w:val="-10"/>
          <w:w w:val="105"/>
        </w:rPr>
        <w:t xml:space="preserve"> </w:t>
      </w:r>
      <w:r>
        <w:rPr>
          <w:w w:val="105"/>
        </w:rPr>
        <w:t>A13-A15).</w:t>
      </w:r>
      <w:r>
        <w:rPr>
          <w:spacing w:val="-10"/>
          <w:w w:val="105"/>
        </w:rPr>
        <w:t xml:space="preserve"> </w:t>
      </w:r>
      <w:r>
        <w:rPr>
          <w:w w:val="105"/>
        </w:rPr>
        <w:t xml:space="preserve">Three </w:t>
      </w:r>
      <w:r>
        <w:rPr>
          <w:w w:val="110"/>
        </w:rPr>
        <w:t xml:space="preserve">(or more) characteristic behaviors must have been present during the past 12 months, with at least one behavior present in the past 6 months. The disturbance in behavior </w:t>
      </w:r>
      <w:r>
        <w:rPr>
          <w:w w:val="105"/>
        </w:rPr>
        <w:t xml:space="preserve">causes clinically significant impairment in social, academic, or occupational functioning </w:t>
      </w:r>
      <w:r>
        <w:rPr>
          <w:w w:val="110"/>
        </w:rPr>
        <w:t>(Criterion B). Conduct Disorder may be diagnosed in individuals who are older than age 18 years, but only if the criteria for Antisocial Personality Disorder are not met (Criterion C). The behavior pattern is usually present in a variety of settings such as home,</w:t>
      </w:r>
      <w:r>
        <w:rPr>
          <w:spacing w:val="-23"/>
          <w:w w:val="110"/>
        </w:rPr>
        <w:t xml:space="preserve"> </w:t>
      </w:r>
      <w:r>
        <w:rPr>
          <w:w w:val="110"/>
        </w:rPr>
        <w:t>school,</w:t>
      </w:r>
      <w:r>
        <w:rPr>
          <w:spacing w:val="-21"/>
          <w:w w:val="110"/>
        </w:rPr>
        <w:t xml:space="preserve"> </w:t>
      </w:r>
      <w:r>
        <w:rPr>
          <w:w w:val="110"/>
        </w:rPr>
        <w:t>or</w:t>
      </w:r>
      <w:r>
        <w:rPr>
          <w:spacing w:val="-22"/>
          <w:w w:val="110"/>
        </w:rPr>
        <w:t xml:space="preserve"> </w:t>
      </w:r>
      <w:r>
        <w:rPr>
          <w:w w:val="110"/>
        </w:rPr>
        <w:t>the</w:t>
      </w:r>
      <w:r>
        <w:rPr>
          <w:spacing w:val="-27"/>
          <w:w w:val="110"/>
        </w:rPr>
        <w:t xml:space="preserve"> </w:t>
      </w:r>
      <w:r>
        <w:rPr>
          <w:w w:val="110"/>
        </w:rPr>
        <w:t>community.</w:t>
      </w:r>
      <w:r>
        <w:rPr>
          <w:spacing w:val="-15"/>
          <w:w w:val="110"/>
        </w:rPr>
        <w:t xml:space="preserve"> </w:t>
      </w:r>
      <w:r>
        <w:rPr>
          <w:w w:val="110"/>
        </w:rPr>
        <w:t>Because</w:t>
      </w:r>
      <w:r>
        <w:rPr>
          <w:spacing w:val="-19"/>
          <w:w w:val="110"/>
        </w:rPr>
        <w:t xml:space="preserve"> </w:t>
      </w:r>
      <w:r>
        <w:rPr>
          <w:w w:val="110"/>
        </w:rPr>
        <w:t>individuals</w:t>
      </w:r>
      <w:r>
        <w:rPr>
          <w:spacing w:val="-15"/>
          <w:w w:val="110"/>
        </w:rPr>
        <w:t xml:space="preserve"> </w:t>
      </w:r>
      <w:r>
        <w:rPr>
          <w:w w:val="110"/>
        </w:rPr>
        <w:t>with</w:t>
      </w:r>
      <w:r>
        <w:rPr>
          <w:spacing w:val="-21"/>
          <w:w w:val="110"/>
        </w:rPr>
        <w:t xml:space="preserve"> </w:t>
      </w:r>
      <w:r>
        <w:rPr>
          <w:w w:val="110"/>
        </w:rPr>
        <w:t>Conduct</w:t>
      </w:r>
      <w:r>
        <w:rPr>
          <w:spacing w:val="-18"/>
          <w:w w:val="110"/>
        </w:rPr>
        <w:t xml:space="preserve"> </w:t>
      </w:r>
      <w:r>
        <w:rPr>
          <w:w w:val="110"/>
        </w:rPr>
        <w:t>Disorder</w:t>
      </w:r>
      <w:r>
        <w:rPr>
          <w:spacing w:val="-20"/>
          <w:w w:val="110"/>
        </w:rPr>
        <w:t xml:space="preserve"> </w:t>
      </w:r>
      <w:r>
        <w:rPr>
          <w:w w:val="110"/>
        </w:rPr>
        <w:t>are</w:t>
      </w:r>
      <w:r>
        <w:rPr>
          <w:spacing w:val="-27"/>
          <w:w w:val="110"/>
        </w:rPr>
        <w:t xml:space="preserve"> </w:t>
      </w:r>
      <w:r>
        <w:rPr>
          <w:w w:val="110"/>
        </w:rPr>
        <w:t>likely</w:t>
      </w:r>
    </w:p>
    <w:p w:rsidR="00E675F0" w:rsidRDefault="00E675F0" w:rsidP="00E675F0">
      <w:pPr>
        <w:spacing w:line="254" w:lineRule="auto"/>
        <w:jc w:val="both"/>
        <w:sectPr w:rsidR="00E675F0">
          <w:headerReference w:type="even" r:id="rId102"/>
          <w:headerReference w:type="default" r:id="rId103"/>
          <w:pgSz w:w="8960" w:h="14260"/>
          <w:pgMar w:top="1400" w:right="620" w:bottom="280" w:left="620" w:header="696" w:footer="0" w:gutter="0"/>
          <w:pgNumType w:start="85"/>
          <w:cols w:space="720"/>
        </w:sectPr>
      </w:pPr>
    </w:p>
    <w:p w:rsidR="00E675F0" w:rsidRDefault="00E675F0" w:rsidP="00E675F0">
      <w:pPr>
        <w:pStyle w:val="BodyText"/>
        <w:spacing w:before="152" w:line="252" w:lineRule="auto"/>
        <w:ind w:left="114" w:right="122" w:firstLine="4"/>
        <w:jc w:val="both"/>
      </w:pPr>
      <w:r>
        <w:rPr>
          <w:w w:val="105"/>
        </w:rPr>
        <w:lastRenderedPageBreak/>
        <w:t>to mm1m1ze their conduct problems, the clinician often must rely on additional informants. However, the informant's knowledge of the child's conduct  problems may be limited by inadequate supervision or by the child's not having revealed</w:t>
      </w:r>
      <w:r>
        <w:rPr>
          <w:spacing w:val="-10"/>
          <w:w w:val="105"/>
        </w:rPr>
        <w:t xml:space="preserve"> </w:t>
      </w:r>
      <w:r>
        <w:rPr>
          <w:w w:val="105"/>
        </w:rPr>
        <w:t>them.</w:t>
      </w:r>
    </w:p>
    <w:p w:rsidR="00E675F0" w:rsidRDefault="00E675F0" w:rsidP="00E675F0">
      <w:pPr>
        <w:pStyle w:val="BodyText"/>
        <w:spacing w:before="2" w:line="254" w:lineRule="auto"/>
        <w:ind w:left="105" w:right="119" w:firstLine="368"/>
        <w:jc w:val="both"/>
      </w:pPr>
      <w:r>
        <w:rPr>
          <w:w w:val="105"/>
        </w:rPr>
        <w:t>Children or adolescents with this disorder often initiate aggressive behavior and react aggressively to others. They may display bullying, threatening, or intimidating behavior (Criterion Al); initiate frequent physical fights (Criterion A2); use a weapon that can cause serious physical harm (e.g., a bat, brick, broken bottle, knife, or gun) (Criterion A3); be physically cruel to people (Criterion A4) or animals (Criterion AS); steal while confronting a victim (e.g., mugging, purse snatching, extortion, or armed robbery) (Criterion A6); or force someone into sexual activity (Criterion A7). Physical violence may take the form of rape, assault, or in rare cases,</w:t>
      </w:r>
      <w:r>
        <w:rPr>
          <w:spacing w:val="9"/>
          <w:w w:val="105"/>
        </w:rPr>
        <w:t xml:space="preserve"> </w:t>
      </w:r>
      <w:r>
        <w:rPr>
          <w:w w:val="105"/>
        </w:rPr>
        <w:t>homicide.</w:t>
      </w:r>
    </w:p>
    <w:p w:rsidR="00E675F0" w:rsidRDefault="00E675F0" w:rsidP="00E675F0">
      <w:pPr>
        <w:pStyle w:val="BodyText"/>
        <w:spacing w:before="6" w:line="252" w:lineRule="auto"/>
        <w:ind w:left="105" w:right="120" w:firstLine="367"/>
        <w:jc w:val="both"/>
      </w:pPr>
      <w:r>
        <w:rPr>
          <w:w w:val="105"/>
        </w:rPr>
        <w:t>Deliberate destruction of others' property is a characteristic feature of this disorder and may include deliberate fire setting with the intention of causing serious damage (Criterion A8) or deliberately destroying other people's property in other ways (e.g., smashing car windows, school vandalism) (Criterion A9).</w:t>
      </w:r>
    </w:p>
    <w:p w:rsidR="00E675F0" w:rsidRDefault="00E675F0" w:rsidP="00E675F0">
      <w:pPr>
        <w:pStyle w:val="BodyText"/>
        <w:spacing w:before="5" w:line="254" w:lineRule="auto"/>
        <w:ind w:left="108" w:right="119" w:firstLine="369"/>
        <w:jc w:val="both"/>
      </w:pPr>
      <w:r>
        <w:rPr>
          <w:w w:val="105"/>
        </w:rPr>
        <w:t>Deceitfulness or theft is common and may include breaking into someone else's house, building, or car (Criterion AlO); frequently lying or breaking promises to obtain goods or favors or to avoid debts or obligations (e.g., "conning" other people) (Criterion Al1);</w:t>
      </w:r>
      <w:r>
        <w:rPr>
          <w:spacing w:val="-22"/>
          <w:w w:val="105"/>
        </w:rPr>
        <w:t xml:space="preserve"> </w:t>
      </w:r>
      <w:r>
        <w:rPr>
          <w:w w:val="105"/>
        </w:rPr>
        <w:t>or</w:t>
      </w:r>
      <w:r>
        <w:rPr>
          <w:spacing w:val="-22"/>
          <w:w w:val="105"/>
        </w:rPr>
        <w:t xml:space="preserve"> </w:t>
      </w:r>
      <w:r>
        <w:rPr>
          <w:w w:val="105"/>
        </w:rPr>
        <w:t>stealing</w:t>
      </w:r>
      <w:r>
        <w:rPr>
          <w:spacing w:val="-7"/>
          <w:w w:val="105"/>
        </w:rPr>
        <w:t xml:space="preserve"> </w:t>
      </w:r>
      <w:r>
        <w:rPr>
          <w:w w:val="105"/>
        </w:rPr>
        <w:t>items</w:t>
      </w:r>
      <w:r>
        <w:rPr>
          <w:spacing w:val="-13"/>
          <w:w w:val="105"/>
        </w:rPr>
        <w:t xml:space="preserve"> </w:t>
      </w:r>
      <w:r>
        <w:rPr>
          <w:w w:val="105"/>
        </w:rPr>
        <w:t>of</w:t>
      </w:r>
      <w:r>
        <w:rPr>
          <w:spacing w:val="-14"/>
          <w:w w:val="105"/>
        </w:rPr>
        <w:t xml:space="preserve"> </w:t>
      </w:r>
      <w:r>
        <w:rPr>
          <w:w w:val="105"/>
        </w:rPr>
        <w:t>nontrivial</w:t>
      </w:r>
      <w:r>
        <w:rPr>
          <w:spacing w:val="-9"/>
          <w:w w:val="105"/>
        </w:rPr>
        <w:t xml:space="preserve"> </w:t>
      </w:r>
      <w:r>
        <w:rPr>
          <w:w w:val="105"/>
        </w:rPr>
        <w:t>value</w:t>
      </w:r>
      <w:r>
        <w:rPr>
          <w:spacing w:val="-16"/>
          <w:w w:val="105"/>
        </w:rPr>
        <w:t xml:space="preserve"> </w:t>
      </w:r>
      <w:r>
        <w:rPr>
          <w:w w:val="105"/>
        </w:rPr>
        <w:t>without</w:t>
      </w:r>
      <w:r>
        <w:rPr>
          <w:spacing w:val="-15"/>
          <w:w w:val="105"/>
        </w:rPr>
        <w:t xml:space="preserve"> </w:t>
      </w:r>
      <w:r>
        <w:rPr>
          <w:w w:val="105"/>
        </w:rPr>
        <w:t>confronting</w:t>
      </w:r>
      <w:r>
        <w:rPr>
          <w:spacing w:val="1"/>
          <w:w w:val="105"/>
        </w:rPr>
        <w:t xml:space="preserve"> </w:t>
      </w:r>
      <w:r>
        <w:rPr>
          <w:w w:val="105"/>
        </w:rPr>
        <w:t>the</w:t>
      </w:r>
      <w:r>
        <w:rPr>
          <w:spacing w:val="-22"/>
          <w:w w:val="105"/>
        </w:rPr>
        <w:t xml:space="preserve"> </w:t>
      </w:r>
      <w:r>
        <w:rPr>
          <w:w w:val="105"/>
        </w:rPr>
        <w:t>victim</w:t>
      </w:r>
      <w:r>
        <w:rPr>
          <w:spacing w:val="-12"/>
          <w:w w:val="105"/>
        </w:rPr>
        <w:t xml:space="preserve"> </w:t>
      </w:r>
      <w:r>
        <w:rPr>
          <w:w w:val="105"/>
        </w:rPr>
        <w:t>(e.g.,</w:t>
      </w:r>
      <w:r>
        <w:rPr>
          <w:spacing w:val="-21"/>
          <w:w w:val="105"/>
        </w:rPr>
        <w:t xml:space="preserve"> </w:t>
      </w:r>
      <w:r>
        <w:rPr>
          <w:w w:val="105"/>
        </w:rPr>
        <w:t>shoplifting, forgery) (Criterion</w:t>
      </w:r>
      <w:r>
        <w:rPr>
          <w:spacing w:val="22"/>
          <w:w w:val="105"/>
        </w:rPr>
        <w:t xml:space="preserve"> </w:t>
      </w:r>
      <w:r>
        <w:rPr>
          <w:w w:val="105"/>
        </w:rPr>
        <w:t>A12).</w:t>
      </w:r>
    </w:p>
    <w:p w:rsidR="00E675F0" w:rsidRDefault="00E675F0" w:rsidP="00E675F0">
      <w:pPr>
        <w:pStyle w:val="BodyText"/>
        <w:spacing w:before="2" w:line="252" w:lineRule="auto"/>
        <w:ind w:left="108" w:right="115" w:firstLine="365"/>
        <w:jc w:val="both"/>
      </w:pPr>
      <w:r>
        <w:rPr>
          <w:w w:val="105"/>
        </w:rPr>
        <w:t>Characteristically, there are also serious violations of rules (e.g., school,  parental) by individuals with this disorder. Children with this disorder often have a pattern, beginning before age 13 years, of staying out late at night despite parental prohibitions (Criterion</w:t>
      </w:r>
      <w:r>
        <w:rPr>
          <w:spacing w:val="-1"/>
          <w:w w:val="105"/>
        </w:rPr>
        <w:t xml:space="preserve"> </w:t>
      </w:r>
      <w:r>
        <w:rPr>
          <w:w w:val="105"/>
        </w:rPr>
        <w:t>A13).</w:t>
      </w:r>
      <w:r>
        <w:rPr>
          <w:spacing w:val="-8"/>
          <w:w w:val="105"/>
        </w:rPr>
        <w:t xml:space="preserve"> </w:t>
      </w:r>
      <w:r>
        <w:rPr>
          <w:w w:val="105"/>
        </w:rPr>
        <w:t>There</w:t>
      </w:r>
      <w:r>
        <w:rPr>
          <w:spacing w:val="-7"/>
          <w:w w:val="105"/>
        </w:rPr>
        <w:t xml:space="preserve"> </w:t>
      </w:r>
      <w:r>
        <w:rPr>
          <w:w w:val="105"/>
        </w:rPr>
        <w:t>may</w:t>
      </w:r>
      <w:r>
        <w:rPr>
          <w:spacing w:val="-3"/>
          <w:w w:val="105"/>
        </w:rPr>
        <w:t xml:space="preserve"> </w:t>
      </w:r>
      <w:r>
        <w:rPr>
          <w:w w:val="105"/>
        </w:rPr>
        <w:t>be</w:t>
      </w:r>
      <w:r>
        <w:rPr>
          <w:spacing w:val="-10"/>
          <w:w w:val="105"/>
        </w:rPr>
        <w:t xml:space="preserve"> </w:t>
      </w:r>
      <w:r>
        <w:rPr>
          <w:w w:val="105"/>
        </w:rPr>
        <w:t>a</w:t>
      </w:r>
      <w:r>
        <w:rPr>
          <w:spacing w:val="-2"/>
          <w:w w:val="105"/>
        </w:rPr>
        <w:t xml:space="preserve"> </w:t>
      </w:r>
      <w:r>
        <w:rPr>
          <w:w w:val="105"/>
        </w:rPr>
        <w:t>pattern</w:t>
      </w:r>
      <w:r>
        <w:rPr>
          <w:spacing w:val="1"/>
          <w:w w:val="105"/>
        </w:rPr>
        <w:t xml:space="preserve"> </w:t>
      </w:r>
      <w:r>
        <w:rPr>
          <w:w w:val="105"/>
        </w:rPr>
        <w:t>of</w:t>
      </w:r>
      <w:r>
        <w:rPr>
          <w:spacing w:val="1"/>
          <w:w w:val="105"/>
        </w:rPr>
        <w:t xml:space="preserve"> </w:t>
      </w:r>
      <w:r>
        <w:rPr>
          <w:w w:val="105"/>
        </w:rPr>
        <w:t>running</w:t>
      </w:r>
      <w:r>
        <w:rPr>
          <w:spacing w:val="-7"/>
          <w:w w:val="105"/>
        </w:rPr>
        <w:t xml:space="preserve"> </w:t>
      </w:r>
      <w:r>
        <w:rPr>
          <w:w w:val="105"/>
        </w:rPr>
        <w:t>away</w:t>
      </w:r>
      <w:r>
        <w:rPr>
          <w:spacing w:val="-8"/>
          <w:w w:val="105"/>
        </w:rPr>
        <w:t xml:space="preserve"> </w:t>
      </w:r>
      <w:r>
        <w:rPr>
          <w:w w:val="105"/>
        </w:rPr>
        <w:t>from</w:t>
      </w:r>
      <w:r>
        <w:rPr>
          <w:spacing w:val="2"/>
          <w:w w:val="105"/>
        </w:rPr>
        <w:t xml:space="preserve"> </w:t>
      </w:r>
      <w:r>
        <w:rPr>
          <w:w w:val="105"/>
        </w:rPr>
        <w:t>home</w:t>
      </w:r>
      <w:r>
        <w:rPr>
          <w:spacing w:val="-8"/>
          <w:w w:val="105"/>
        </w:rPr>
        <w:t xml:space="preserve"> </w:t>
      </w:r>
      <w:r>
        <w:rPr>
          <w:w w:val="105"/>
        </w:rPr>
        <w:t>overnight</w:t>
      </w:r>
      <w:r>
        <w:rPr>
          <w:spacing w:val="-2"/>
          <w:w w:val="105"/>
        </w:rPr>
        <w:t xml:space="preserve"> </w:t>
      </w:r>
      <w:r>
        <w:rPr>
          <w:w w:val="105"/>
        </w:rPr>
        <w:t>(Criterion Al4). To be considered a symptom of Conduct Disorder, the running away must have occurred at least twice (or only once if the individual did not return for a lengthy period). Runaway episodes that occur as a direct consequence of physical  or sexual abuse do  not typically qualify for this criterion. Children with this disorder may often be truant from school, beginning prior to age 13 years (Criterion A15). In older individuals, this behavior is manifested by often being absent from work without good</w:t>
      </w:r>
      <w:r>
        <w:rPr>
          <w:spacing w:val="29"/>
          <w:w w:val="105"/>
        </w:rPr>
        <w:t xml:space="preserve"> </w:t>
      </w:r>
      <w:r>
        <w:rPr>
          <w:w w:val="105"/>
        </w:rPr>
        <w:t>reason.</w:t>
      </w:r>
    </w:p>
    <w:p w:rsidR="00E675F0" w:rsidRDefault="00E675F0" w:rsidP="00E675F0">
      <w:pPr>
        <w:pStyle w:val="BodyText"/>
        <w:rPr>
          <w:sz w:val="22"/>
        </w:rPr>
      </w:pPr>
    </w:p>
    <w:p w:rsidR="00E675F0" w:rsidRDefault="00E675F0" w:rsidP="00E675F0">
      <w:pPr>
        <w:pStyle w:val="BodyText"/>
        <w:spacing w:before="10"/>
        <w:rPr>
          <w:sz w:val="18"/>
        </w:rPr>
      </w:pPr>
    </w:p>
    <w:p w:rsidR="00E675F0" w:rsidRDefault="00E675F0" w:rsidP="00E675F0">
      <w:pPr>
        <w:ind w:left="106"/>
        <w:rPr>
          <w:rFonts w:ascii="TimesNewRomanPS-BoldItalicMT"/>
          <w:b/>
          <w:i/>
          <w:sz w:val="24"/>
        </w:rPr>
      </w:pPr>
      <w:r>
        <w:rPr>
          <w:rFonts w:ascii="TimesNewRomanPS-BoldItalicMT"/>
          <w:b/>
          <w:i/>
          <w:w w:val="115"/>
          <w:sz w:val="24"/>
        </w:rPr>
        <w:t>Subtypes</w:t>
      </w:r>
    </w:p>
    <w:p w:rsidR="00E675F0" w:rsidRDefault="00E675F0" w:rsidP="00E675F0">
      <w:pPr>
        <w:pStyle w:val="BodyText"/>
        <w:spacing w:before="161" w:line="254" w:lineRule="auto"/>
        <w:ind w:left="112" w:right="116" w:hanging="4"/>
        <w:jc w:val="both"/>
      </w:pPr>
      <w:r>
        <w:rPr>
          <w:w w:val="105"/>
        </w:rPr>
        <w:t>Two subtypes of Conduct Disorder are provided based on the age at onset of the disorder (i.e., Childhood-Onset Type and Adolescent-Onset Type). The subtypes differ in regard to the characteristic nature of the presenting conduct problems, developmental course and prognosis, and gender ratio. Both subtypes can occur in a mild, moderate, or severe form. In assessing the age at onset, information should preferably be obtained from the youth and from caregiver(s). Because many of the behaviors may be concealed, caregivers may underreport symptoms and overestimate the age at</w:t>
      </w:r>
      <w:r>
        <w:rPr>
          <w:spacing w:val="17"/>
          <w:w w:val="105"/>
        </w:rPr>
        <w:t xml:space="preserve"> </w:t>
      </w:r>
      <w:r>
        <w:rPr>
          <w:w w:val="105"/>
        </w:rPr>
        <w:t>onset.</w:t>
      </w:r>
    </w:p>
    <w:p w:rsidR="00E675F0" w:rsidRDefault="00E675F0" w:rsidP="00E675F0">
      <w:pPr>
        <w:pStyle w:val="BodyText"/>
        <w:spacing w:before="67" w:line="254" w:lineRule="auto"/>
        <w:ind w:left="714" w:right="118" w:hanging="1"/>
        <w:jc w:val="both"/>
      </w:pPr>
      <w:r>
        <w:rPr>
          <w:b/>
          <w:w w:val="105"/>
        </w:rPr>
        <w:t xml:space="preserve">Childhood-Onset Type. </w:t>
      </w:r>
      <w:r>
        <w:rPr>
          <w:w w:val="105"/>
        </w:rPr>
        <w:t>This subtype is defined by the onset of at least one criterion</w:t>
      </w:r>
      <w:r>
        <w:rPr>
          <w:spacing w:val="-1"/>
          <w:w w:val="105"/>
        </w:rPr>
        <w:t xml:space="preserve"> </w:t>
      </w:r>
      <w:r>
        <w:rPr>
          <w:w w:val="105"/>
        </w:rPr>
        <w:t>characteristic</w:t>
      </w:r>
      <w:r>
        <w:rPr>
          <w:spacing w:val="-15"/>
          <w:w w:val="105"/>
        </w:rPr>
        <w:t xml:space="preserve"> </w:t>
      </w:r>
      <w:r>
        <w:rPr>
          <w:w w:val="105"/>
        </w:rPr>
        <w:t>of</w:t>
      </w:r>
      <w:r>
        <w:rPr>
          <w:spacing w:val="-6"/>
          <w:w w:val="105"/>
        </w:rPr>
        <w:t xml:space="preserve"> </w:t>
      </w:r>
      <w:r>
        <w:rPr>
          <w:w w:val="105"/>
        </w:rPr>
        <w:t>Conduct</w:t>
      </w:r>
      <w:r>
        <w:rPr>
          <w:spacing w:val="1"/>
          <w:w w:val="105"/>
        </w:rPr>
        <w:t xml:space="preserve"> </w:t>
      </w:r>
      <w:r>
        <w:rPr>
          <w:w w:val="105"/>
        </w:rPr>
        <w:t>Disorder prior</w:t>
      </w:r>
      <w:r>
        <w:rPr>
          <w:spacing w:val="-1"/>
          <w:w w:val="105"/>
        </w:rPr>
        <w:t xml:space="preserve"> </w:t>
      </w:r>
      <w:r>
        <w:rPr>
          <w:w w:val="105"/>
        </w:rPr>
        <w:t>to</w:t>
      </w:r>
      <w:r>
        <w:rPr>
          <w:spacing w:val="-14"/>
          <w:w w:val="105"/>
        </w:rPr>
        <w:t xml:space="preserve"> </w:t>
      </w:r>
      <w:r>
        <w:rPr>
          <w:w w:val="105"/>
        </w:rPr>
        <w:t>age</w:t>
      </w:r>
      <w:r>
        <w:rPr>
          <w:spacing w:val="-18"/>
          <w:w w:val="105"/>
        </w:rPr>
        <w:t xml:space="preserve"> </w:t>
      </w:r>
      <w:r>
        <w:rPr>
          <w:w w:val="105"/>
        </w:rPr>
        <w:t>10</w:t>
      </w:r>
      <w:r>
        <w:rPr>
          <w:spacing w:val="-19"/>
          <w:w w:val="105"/>
        </w:rPr>
        <w:t xml:space="preserve"> </w:t>
      </w:r>
      <w:r>
        <w:rPr>
          <w:w w:val="105"/>
        </w:rPr>
        <w:t>years.</w:t>
      </w:r>
      <w:r>
        <w:rPr>
          <w:spacing w:val="-4"/>
          <w:w w:val="105"/>
        </w:rPr>
        <w:t xml:space="preserve"> </w:t>
      </w:r>
      <w:r>
        <w:rPr>
          <w:w w:val="105"/>
        </w:rPr>
        <w:t>Individuals</w:t>
      </w:r>
      <w:r>
        <w:rPr>
          <w:spacing w:val="-8"/>
          <w:w w:val="105"/>
        </w:rPr>
        <w:t xml:space="preserve"> </w:t>
      </w:r>
      <w:r>
        <w:rPr>
          <w:w w:val="105"/>
        </w:rPr>
        <w:t>with Childhood-Onset Type are usually male, frequently display physical aggression toward others, have disturbed peer relationships, may have had Oppositional Defiant Disorder during early childhood, and usually have symptoms that meet full criteria for Conduct Disorder prior to puberty. These individuals are more likely to have persistent Conduct Disorder and to develop adult Antisocial Personality Disorder than are those with Adolescent-Onset</w:t>
      </w:r>
      <w:r>
        <w:rPr>
          <w:spacing w:val="11"/>
          <w:w w:val="105"/>
        </w:rPr>
        <w:t xml:space="preserve"> </w:t>
      </w:r>
      <w:r>
        <w:rPr>
          <w:w w:val="105"/>
        </w:rPr>
        <w:t>Type.</w:t>
      </w:r>
    </w:p>
    <w:p w:rsidR="00E675F0" w:rsidRDefault="00E675F0" w:rsidP="00E675F0">
      <w:pPr>
        <w:spacing w:line="254" w:lineRule="auto"/>
        <w:jc w:val="both"/>
        <w:sectPr w:rsidR="00E675F0">
          <w:pgSz w:w="8960" w:h="14260"/>
          <w:pgMar w:top="1400" w:right="620" w:bottom="280" w:left="620" w:header="708" w:footer="0" w:gutter="0"/>
          <w:cols w:space="720"/>
        </w:sectPr>
      </w:pPr>
    </w:p>
    <w:p w:rsidR="00E675F0" w:rsidRDefault="00E675F0" w:rsidP="00E675F0">
      <w:pPr>
        <w:pStyle w:val="BodyText"/>
        <w:spacing w:before="133" w:line="252" w:lineRule="auto"/>
        <w:ind w:left="731" w:right="112" w:firstLine="4"/>
        <w:jc w:val="both"/>
      </w:pPr>
      <w:r>
        <w:rPr>
          <w:b/>
          <w:w w:val="110"/>
        </w:rPr>
        <w:lastRenderedPageBreak/>
        <w:t>Adolescent-OnsetType.</w:t>
      </w:r>
      <w:r>
        <w:rPr>
          <w:b/>
          <w:spacing w:val="49"/>
          <w:w w:val="110"/>
        </w:rPr>
        <w:t xml:space="preserve"> </w:t>
      </w:r>
      <w:r>
        <w:rPr>
          <w:w w:val="110"/>
        </w:rPr>
        <w:t>This</w:t>
      </w:r>
      <w:r>
        <w:rPr>
          <w:spacing w:val="-21"/>
          <w:w w:val="110"/>
        </w:rPr>
        <w:t xml:space="preserve"> </w:t>
      </w:r>
      <w:r>
        <w:rPr>
          <w:w w:val="110"/>
        </w:rPr>
        <w:t>subtype</w:t>
      </w:r>
      <w:r>
        <w:rPr>
          <w:spacing w:val="-12"/>
          <w:w w:val="110"/>
        </w:rPr>
        <w:t xml:space="preserve"> </w:t>
      </w:r>
      <w:r>
        <w:rPr>
          <w:w w:val="110"/>
        </w:rPr>
        <w:t>is</w:t>
      </w:r>
      <w:r>
        <w:rPr>
          <w:spacing w:val="-19"/>
          <w:w w:val="110"/>
        </w:rPr>
        <w:t xml:space="preserve"> </w:t>
      </w:r>
      <w:r>
        <w:rPr>
          <w:w w:val="110"/>
        </w:rPr>
        <w:t>defined</w:t>
      </w:r>
      <w:r>
        <w:rPr>
          <w:spacing w:val="-7"/>
          <w:w w:val="110"/>
        </w:rPr>
        <w:t xml:space="preserve"> </w:t>
      </w:r>
      <w:r>
        <w:rPr>
          <w:w w:val="110"/>
        </w:rPr>
        <w:t>by</w:t>
      </w:r>
      <w:r>
        <w:rPr>
          <w:spacing w:val="-18"/>
          <w:w w:val="110"/>
        </w:rPr>
        <w:t xml:space="preserve"> </w:t>
      </w:r>
      <w:r>
        <w:rPr>
          <w:w w:val="110"/>
        </w:rPr>
        <w:t>the</w:t>
      </w:r>
      <w:r>
        <w:rPr>
          <w:spacing w:val="-17"/>
          <w:w w:val="110"/>
        </w:rPr>
        <w:t xml:space="preserve"> </w:t>
      </w:r>
      <w:r>
        <w:rPr>
          <w:w w:val="110"/>
        </w:rPr>
        <w:t>absence</w:t>
      </w:r>
      <w:r>
        <w:rPr>
          <w:spacing w:val="-15"/>
          <w:w w:val="110"/>
        </w:rPr>
        <w:t xml:space="preserve"> </w:t>
      </w:r>
      <w:r>
        <w:rPr>
          <w:w w:val="110"/>
        </w:rPr>
        <w:t>of</w:t>
      </w:r>
      <w:r>
        <w:rPr>
          <w:spacing w:val="-13"/>
          <w:w w:val="110"/>
        </w:rPr>
        <w:t xml:space="preserve"> </w:t>
      </w:r>
      <w:r>
        <w:rPr>
          <w:w w:val="110"/>
        </w:rPr>
        <w:t>any</w:t>
      </w:r>
      <w:r>
        <w:rPr>
          <w:spacing w:val="-24"/>
          <w:w w:val="110"/>
        </w:rPr>
        <w:t xml:space="preserve"> </w:t>
      </w:r>
      <w:r>
        <w:rPr>
          <w:w w:val="110"/>
        </w:rPr>
        <w:t>criteria characteristic</w:t>
      </w:r>
      <w:r>
        <w:rPr>
          <w:spacing w:val="-10"/>
          <w:w w:val="110"/>
        </w:rPr>
        <w:t xml:space="preserve"> </w:t>
      </w:r>
      <w:r>
        <w:rPr>
          <w:w w:val="110"/>
        </w:rPr>
        <w:t>of</w:t>
      </w:r>
      <w:r>
        <w:rPr>
          <w:spacing w:val="-2"/>
          <w:w w:val="110"/>
        </w:rPr>
        <w:t xml:space="preserve"> </w:t>
      </w:r>
      <w:r>
        <w:rPr>
          <w:w w:val="110"/>
        </w:rPr>
        <w:t>Conduct</w:t>
      </w:r>
      <w:r>
        <w:rPr>
          <w:spacing w:val="2"/>
          <w:w w:val="110"/>
        </w:rPr>
        <w:t xml:space="preserve"> </w:t>
      </w:r>
      <w:r>
        <w:rPr>
          <w:w w:val="110"/>
        </w:rPr>
        <w:t>Disorder</w:t>
      </w:r>
      <w:r>
        <w:rPr>
          <w:spacing w:val="3"/>
          <w:w w:val="110"/>
        </w:rPr>
        <w:t xml:space="preserve"> </w:t>
      </w:r>
      <w:r>
        <w:rPr>
          <w:w w:val="110"/>
        </w:rPr>
        <w:t>prior</w:t>
      </w:r>
      <w:r>
        <w:rPr>
          <w:spacing w:val="-6"/>
          <w:w w:val="110"/>
        </w:rPr>
        <w:t xml:space="preserve"> </w:t>
      </w:r>
      <w:r>
        <w:rPr>
          <w:w w:val="110"/>
        </w:rPr>
        <w:t>to</w:t>
      </w:r>
      <w:r>
        <w:rPr>
          <w:spacing w:val="-8"/>
          <w:w w:val="110"/>
        </w:rPr>
        <w:t xml:space="preserve"> </w:t>
      </w:r>
      <w:r>
        <w:rPr>
          <w:w w:val="110"/>
        </w:rPr>
        <w:t>age</w:t>
      </w:r>
      <w:r>
        <w:rPr>
          <w:spacing w:val="-15"/>
          <w:w w:val="110"/>
        </w:rPr>
        <w:t xml:space="preserve"> </w:t>
      </w:r>
      <w:r>
        <w:rPr>
          <w:w w:val="110"/>
        </w:rPr>
        <w:t>10</w:t>
      </w:r>
      <w:r>
        <w:rPr>
          <w:spacing w:val="-14"/>
          <w:w w:val="110"/>
        </w:rPr>
        <w:t xml:space="preserve"> </w:t>
      </w:r>
      <w:r>
        <w:rPr>
          <w:w w:val="110"/>
        </w:rPr>
        <w:t>years.</w:t>
      </w:r>
      <w:r>
        <w:rPr>
          <w:spacing w:val="-5"/>
          <w:w w:val="110"/>
        </w:rPr>
        <w:t xml:space="preserve"> </w:t>
      </w:r>
      <w:r>
        <w:rPr>
          <w:w w:val="110"/>
        </w:rPr>
        <w:t>Compared</w:t>
      </w:r>
      <w:r>
        <w:rPr>
          <w:spacing w:val="1"/>
          <w:w w:val="110"/>
        </w:rPr>
        <w:t xml:space="preserve"> </w:t>
      </w:r>
      <w:r>
        <w:rPr>
          <w:w w:val="110"/>
        </w:rPr>
        <w:t>with</w:t>
      </w:r>
      <w:r>
        <w:rPr>
          <w:spacing w:val="-3"/>
          <w:w w:val="110"/>
        </w:rPr>
        <w:t xml:space="preserve"> </w:t>
      </w:r>
      <w:r>
        <w:rPr>
          <w:w w:val="110"/>
        </w:rPr>
        <w:t>those with the Childhood-Onset Type, these individuals are less likely to display aggressive behaviors and tend to have more normative peer relationships (although</w:t>
      </w:r>
      <w:r>
        <w:rPr>
          <w:spacing w:val="-7"/>
          <w:w w:val="110"/>
        </w:rPr>
        <w:t xml:space="preserve"> </w:t>
      </w:r>
      <w:r>
        <w:rPr>
          <w:w w:val="110"/>
        </w:rPr>
        <w:t>they</w:t>
      </w:r>
      <w:r>
        <w:rPr>
          <w:spacing w:val="-24"/>
          <w:w w:val="110"/>
        </w:rPr>
        <w:t xml:space="preserve"> </w:t>
      </w:r>
      <w:r>
        <w:rPr>
          <w:w w:val="110"/>
        </w:rPr>
        <w:t>often</w:t>
      </w:r>
      <w:r>
        <w:rPr>
          <w:spacing w:val="-17"/>
          <w:w w:val="110"/>
        </w:rPr>
        <w:t xml:space="preserve"> </w:t>
      </w:r>
      <w:r>
        <w:rPr>
          <w:w w:val="110"/>
        </w:rPr>
        <w:t>display</w:t>
      </w:r>
      <w:r>
        <w:rPr>
          <w:spacing w:val="-21"/>
          <w:w w:val="110"/>
        </w:rPr>
        <w:t xml:space="preserve"> </w:t>
      </w:r>
      <w:r>
        <w:rPr>
          <w:w w:val="110"/>
        </w:rPr>
        <w:t>conduct</w:t>
      </w:r>
      <w:r>
        <w:rPr>
          <w:spacing w:val="-13"/>
          <w:w w:val="110"/>
        </w:rPr>
        <w:t xml:space="preserve"> </w:t>
      </w:r>
      <w:r>
        <w:rPr>
          <w:w w:val="110"/>
        </w:rPr>
        <w:t>problems</w:t>
      </w:r>
      <w:r>
        <w:rPr>
          <w:spacing w:val="-16"/>
          <w:w w:val="110"/>
        </w:rPr>
        <w:t xml:space="preserve"> </w:t>
      </w:r>
      <w:r>
        <w:rPr>
          <w:w w:val="110"/>
        </w:rPr>
        <w:t>in</w:t>
      </w:r>
      <w:r>
        <w:rPr>
          <w:spacing w:val="-20"/>
          <w:w w:val="110"/>
        </w:rPr>
        <w:t xml:space="preserve"> </w:t>
      </w:r>
      <w:r>
        <w:rPr>
          <w:w w:val="110"/>
        </w:rPr>
        <w:t>the</w:t>
      </w:r>
      <w:r>
        <w:rPr>
          <w:spacing w:val="-27"/>
          <w:w w:val="110"/>
        </w:rPr>
        <w:t xml:space="preserve"> </w:t>
      </w:r>
      <w:r>
        <w:rPr>
          <w:w w:val="110"/>
        </w:rPr>
        <w:t>company</w:t>
      </w:r>
      <w:r>
        <w:rPr>
          <w:spacing w:val="-21"/>
          <w:w w:val="110"/>
        </w:rPr>
        <w:t xml:space="preserve"> </w:t>
      </w:r>
      <w:r>
        <w:rPr>
          <w:w w:val="110"/>
        </w:rPr>
        <w:t>of</w:t>
      </w:r>
      <w:r>
        <w:rPr>
          <w:spacing w:val="-18"/>
          <w:w w:val="110"/>
        </w:rPr>
        <w:t xml:space="preserve"> </w:t>
      </w:r>
      <w:r>
        <w:rPr>
          <w:w w:val="110"/>
        </w:rPr>
        <w:t>others).</w:t>
      </w:r>
      <w:r>
        <w:rPr>
          <w:spacing w:val="-19"/>
          <w:w w:val="110"/>
        </w:rPr>
        <w:t xml:space="preserve"> </w:t>
      </w:r>
      <w:r>
        <w:rPr>
          <w:w w:val="110"/>
        </w:rPr>
        <w:t>These individuals</w:t>
      </w:r>
      <w:r>
        <w:rPr>
          <w:spacing w:val="-24"/>
          <w:w w:val="110"/>
        </w:rPr>
        <w:t xml:space="preserve"> </w:t>
      </w:r>
      <w:r>
        <w:rPr>
          <w:w w:val="110"/>
        </w:rPr>
        <w:t>are</w:t>
      </w:r>
      <w:r>
        <w:rPr>
          <w:spacing w:val="-34"/>
          <w:w w:val="110"/>
        </w:rPr>
        <w:t xml:space="preserve"> </w:t>
      </w:r>
      <w:r>
        <w:rPr>
          <w:w w:val="110"/>
        </w:rPr>
        <w:t>less</w:t>
      </w:r>
      <w:r>
        <w:rPr>
          <w:spacing w:val="-34"/>
          <w:w w:val="110"/>
        </w:rPr>
        <w:t xml:space="preserve"> </w:t>
      </w:r>
      <w:r>
        <w:rPr>
          <w:w w:val="110"/>
        </w:rPr>
        <w:t>likely</w:t>
      </w:r>
      <w:r>
        <w:rPr>
          <w:spacing w:val="-28"/>
          <w:w w:val="110"/>
        </w:rPr>
        <w:t xml:space="preserve"> </w:t>
      </w:r>
      <w:r>
        <w:rPr>
          <w:w w:val="110"/>
        </w:rPr>
        <w:t>to</w:t>
      </w:r>
      <w:r>
        <w:rPr>
          <w:spacing w:val="-30"/>
          <w:w w:val="110"/>
        </w:rPr>
        <w:t xml:space="preserve"> </w:t>
      </w:r>
      <w:r>
        <w:rPr>
          <w:w w:val="110"/>
        </w:rPr>
        <w:t>have</w:t>
      </w:r>
      <w:r>
        <w:rPr>
          <w:spacing w:val="-23"/>
          <w:w w:val="110"/>
        </w:rPr>
        <w:t xml:space="preserve"> </w:t>
      </w:r>
      <w:r>
        <w:rPr>
          <w:w w:val="110"/>
        </w:rPr>
        <w:t>persistent</w:t>
      </w:r>
      <w:r>
        <w:rPr>
          <w:spacing w:val="-24"/>
          <w:w w:val="110"/>
        </w:rPr>
        <w:t xml:space="preserve"> </w:t>
      </w:r>
      <w:r>
        <w:rPr>
          <w:w w:val="110"/>
        </w:rPr>
        <w:t>Conduct</w:t>
      </w:r>
      <w:r>
        <w:rPr>
          <w:spacing w:val="-22"/>
          <w:w w:val="110"/>
        </w:rPr>
        <w:t xml:space="preserve"> </w:t>
      </w:r>
      <w:r>
        <w:rPr>
          <w:w w:val="110"/>
        </w:rPr>
        <w:t>Disorder</w:t>
      </w:r>
      <w:r>
        <w:rPr>
          <w:spacing w:val="-25"/>
          <w:w w:val="110"/>
        </w:rPr>
        <w:t xml:space="preserve"> </w:t>
      </w:r>
      <w:r>
        <w:rPr>
          <w:w w:val="110"/>
        </w:rPr>
        <w:t>or</w:t>
      </w:r>
      <w:r>
        <w:rPr>
          <w:spacing w:val="-27"/>
          <w:w w:val="110"/>
        </w:rPr>
        <w:t xml:space="preserve"> </w:t>
      </w:r>
      <w:r>
        <w:rPr>
          <w:w w:val="110"/>
        </w:rPr>
        <w:t>to</w:t>
      </w:r>
      <w:r>
        <w:rPr>
          <w:spacing w:val="-32"/>
          <w:w w:val="110"/>
        </w:rPr>
        <w:t xml:space="preserve"> </w:t>
      </w:r>
      <w:r>
        <w:rPr>
          <w:w w:val="110"/>
        </w:rPr>
        <w:t>develop</w:t>
      </w:r>
      <w:r>
        <w:rPr>
          <w:spacing w:val="-29"/>
          <w:w w:val="110"/>
        </w:rPr>
        <w:t xml:space="preserve"> </w:t>
      </w:r>
      <w:r>
        <w:rPr>
          <w:w w:val="110"/>
        </w:rPr>
        <w:t>adult Antisocial Personality Disorder. The ratio of males to females with Conduct Disorder</w:t>
      </w:r>
      <w:r>
        <w:rPr>
          <w:spacing w:val="-6"/>
          <w:w w:val="110"/>
        </w:rPr>
        <w:t xml:space="preserve"> </w:t>
      </w:r>
      <w:r>
        <w:rPr>
          <w:w w:val="110"/>
        </w:rPr>
        <w:t>is</w:t>
      </w:r>
      <w:r>
        <w:rPr>
          <w:spacing w:val="-15"/>
          <w:w w:val="110"/>
        </w:rPr>
        <w:t xml:space="preserve"> </w:t>
      </w:r>
      <w:r>
        <w:rPr>
          <w:w w:val="110"/>
        </w:rPr>
        <w:t>lower</w:t>
      </w:r>
      <w:r>
        <w:rPr>
          <w:spacing w:val="-9"/>
          <w:w w:val="110"/>
        </w:rPr>
        <w:t xml:space="preserve"> </w:t>
      </w:r>
      <w:r>
        <w:rPr>
          <w:w w:val="110"/>
        </w:rPr>
        <w:t>for</w:t>
      </w:r>
      <w:r>
        <w:rPr>
          <w:spacing w:val="-8"/>
          <w:w w:val="110"/>
        </w:rPr>
        <w:t xml:space="preserve"> </w:t>
      </w:r>
      <w:r>
        <w:rPr>
          <w:w w:val="110"/>
        </w:rPr>
        <w:t>the</w:t>
      </w:r>
      <w:r>
        <w:rPr>
          <w:spacing w:val="-13"/>
          <w:w w:val="110"/>
        </w:rPr>
        <w:t xml:space="preserve"> </w:t>
      </w:r>
      <w:r>
        <w:rPr>
          <w:w w:val="110"/>
        </w:rPr>
        <w:t>Adolescent-Onset</w:t>
      </w:r>
      <w:r>
        <w:rPr>
          <w:spacing w:val="-18"/>
          <w:w w:val="110"/>
        </w:rPr>
        <w:t xml:space="preserve"> </w:t>
      </w:r>
      <w:r>
        <w:rPr>
          <w:w w:val="110"/>
        </w:rPr>
        <w:t>Type</w:t>
      </w:r>
      <w:r>
        <w:rPr>
          <w:spacing w:val="-6"/>
          <w:w w:val="110"/>
        </w:rPr>
        <w:t xml:space="preserve"> </w:t>
      </w:r>
      <w:r>
        <w:rPr>
          <w:w w:val="110"/>
        </w:rPr>
        <w:t>than</w:t>
      </w:r>
      <w:r>
        <w:rPr>
          <w:spacing w:val="-9"/>
          <w:w w:val="110"/>
        </w:rPr>
        <w:t xml:space="preserve"> </w:t>
      </w:r>
      <w:r>
        <w:rPr>
          <w:w w:val="110"/>
        </w:rPr>
        <w:t>for</w:t>
      </w:r>
      <w:r>
        <w:rPr>
          <w:spacing w:val="-12"/>
          <w:w w:val="110"/>
        </w:rPr>
        <w:t xml:space="preserve"> </w:t>
      </w:r>
      <w:r>
        <w:rPr>
          <w:w w:val="110"/>
        </w:rPr>
        <w:t>the</w:t>
      </w:r>
      <w:r>
        <w:rPr>
          <w:spacing w:val="-10"/>
          <w:w w:val="110"/>
        </w:rPr>
        <w:t xml:space="preserve"> </w:t>
      </w:r>
      <w:r>
        <w:rPr>
          <w:w w:val="110"/>
        </w:rPr>
        <w:t>Childhood-Onset Type.</w:t>
      </w:r>
    </w:p>
    <w:p w:rsidR="00E675F0" w:rsidRDefault="00E675F0" w:rsidP="00E675F0">
      <w:pPr>
        <w:pStyle w:val="BodyText"/>
        <w:spacing w:before="8"/>
        <w:rPr>
          <w:sz w:val="27"/>
        </w:rPr>
      </w:pPr>
    </w:p>
    <w:p w:rsidR="00E675F0" w:rsidRDefault="00E675F0" w:rsidP="00E675F0">
      <w:pPr>
        <w:ind w:left="122"/>
        <w:rPr>
          <w:rFonts w:ascii="TimesNewRomanPS-BoldItalicMT"/>
          <w:b/>
          <w:i/>
          <w:sz w:val="24"/>
        </w:rPr>
      </w:pPr>
      <w:r>
        <w:rPr>
          <w:rFonts w:ascii="TimesNewRomanPS-BoldItalicMT"/>
          <w:b/>
          <w:i/>
          <w:w w:val="115"/>
          <w:sz w:val="24"/>
        </w:rPr>
        <w:t>Severity Specifiers</w:t>
      </w:r>
    </w:p>
    <w:p w:rsidR="00E675F0" w:rsidRDefault="00E675F0" w:rsidP="00E675F0">
      <w:pPr>
        <w:pStyle w:val="BodyText"/>
        <w:spacing w:before="135" w:line="254" w:lineRule="auto"/>
        <w:ind w:left="735" w:right="112" w:hanging="2"/>
        <w:jc w:val="both"/>
      </w:pPr>
      <w:r>
        <w:rPr>
          <w:b/>
          <w:w w:val="105"/>
        </w:rPr>
        <w:t xml:space="preserve">Mild. </w:t>
      </w:r>
      <w:r>
        <w:rPr>
          <w:w w:val="105"/>
        </w:rPr>
        <w:t xml:space="preserve">Few </w:t>
      </w:r>
      <w:r>
        <w:rPr>
          <w:rFonts w:ascii="Arial"/>
          <w:w w:val="105"/>
        </w:rPr>
        <w:t xml:space="preserve">if </w:t>
      </w:r>
      <w:r>
        <w:rPr>
          <w:w w:val="105"/>
        </w:rPr>
        <w:t>any conduct problems in excess of those required to make the diagnosis are present, and conduct problems cause relatively minor harm to others (e.g., lying, truancy, staying out after dark</w:t>
      </w:r>
      <w:r>
        <w:rPr>
          <w:spacing w:val="6"/>
          <w:w w:val="105"/>
        </w:rPr>
        <w:t xml:space="preserve"> </w:t>
      </w:r>
      <w:r>
        <w:rPr>
          <w:w w:val="105"/>
        </w:rPr>
        <w:t>without permission).</w:t>
      </w:r>
    </w:p>
    <w:p w:rsidR="00E675F0" w:rsidRDefault="00E675F0" w:rsidP="00E675F0">
      <w:pPr>
        <w:pStyle w:val="BodyText"/>
        <w:spacing w:before="4" w:line="252" w:lineRule="auto"/>
        <w:ind w:left="736" w:right="115" w:firstLine="2"/>
        <w:jc w:val="both"/>
      </w:pPr>
      <w:r>
        <w:rPr>
          <w:b/>
        </w:rPr>
        <w:t xml:space="preserve">Moderate. </w:t>
      </w:r>
      <w:r>
        <w:t>The number of conduct problems and the effect on others are intermediate</w:t>
      </w:r>
      <w:r>
        <w:rPr>
          <w:spacing w:val="8"/>
        </w:rPr>
        <w:t xml:space="preserve"> </w:t>
      </w:r>
      <w:r>
        <w:t>between</w:t>
      </w:r>
      <w:r>
        <w:rPr>
          <w:spacing w:val="-10"/>
        </w:rPr>
        <w:t xml:space="preserve"> </w:t>
      </w:r>
      <w:r>
        <w:t>"mild"</w:t>
      </w:r>
      <w:r>
        <w:rPr>
          <w:spacing w:val="-6"/>
        </w:rPr>
        <w:t xml:space="preserve"> </w:t>
      </w:r>
      <w:r>
        <w:t>and</w:t>
      </w:r>
      <w:r>
        <w:rPr>
          <w:spacing w:val="-9"/>
        </w:rPr>
        <w:t xml:space="preserve"> </w:t>
      </w:r>
      <w:r>
        <w:t>"severe"</w:t>
      </w:r>
      <w:r>
        <w:rPr>
          <w:spacing w:val="-12"/>
        </w:rPr>
        <w:t xml:space="preserve"> </w:t>
      </w:r>
      <w:r>
        <w:t>(e.g.,</w:t>
      </w:r>
      <w:r>
        <w:rPr>
          <w:spacing w:val="-14"/>
        </w:rPr>
        <w:t xml:space="preserve"> </w:t>
      </w:r>
      <w:r>
        <w:t>stealing</w:t>
      </w:r>
      <w:r>
        <w:rPr>
          <w:spacing w:val="-12"/>
        </w:rPr>
        <w:t xml:space="preserve"> </w:t>
      </w:r>
      <w:r>
        <w:t>without</w:t>
      </w:r>
      <w:r>
        <w:rPr>
          <w:spacing w:val="-7"/>
        </w:rPr>
        <w:t xml:space="preserve"> </w:t>
      </w:r>
      <w:r>
        <w:t>confronting</w:t>
      </w:r>
      <w:r>
        <w:rPr>
          <w:spacing w:val="-2"/>
        </w:rPr>
        <w:t xml:space="preserve"> </w:t>
      </w:r>
      <w:r>
        <w:t>a</w:t>
      </w:r>
      <w:r>
        <w:rPr>
          <w:spacing w:val="-13"/>
        </w:rPr>
        <w:t xml:space="preserve"> </w:t>
      </w:r>
      <w:r>
        <w:t>victim, vandalism).</w:t>
      </w:r>
    </w:p>
    <w:p w:rsidR="00E675F0" w:rsidRDefault="00E675F0" w:rsidP="00E675F0">
      <w:pPr>
        <w:pStyle w:val="BodyText"/>
        <w:spacing w:before="2" w:line="254" w:lineRule="auto"/>
        <w:ind w:left="736" w:right="114" w:firstLine="1"/>
        <w:jc w:val="both"/>
      </w:pPr>
      <w:r>
        <w:rPr>
          <w:b/>
          <w:w w:val="105"/>
        </w:rPr>
        <w:t xml:space="preserve">Severe. </w:t>
      </w:r>
      <w:r>
        <w:rPr>
          <w:w w:val="105"/>
        </w:rPr>
        <w:t>Many conduct problems in excess of those required to make the diagnosis are present, or conduct problems cause considerable harm to others (e.g., forced sex, physical cruelty, use of a weapon, stealing while confronting a victim, breaking and</w:t>
      </w:r>
      <w:r>
        <w:rPr>
          <w:spacing w:val="39"/>
          <w:w w:val="105"/>
        </w:rPr>
        <w:t xml:space="preserve"> </w:t>
      </w:r>
      <w:r>
        <w:rPr>
          <w:w w:val="105"/>
        </w:rPr>
        <w:t>entering).</w:t>
      </w:r>
    </w:p>
    <w:p w:rsidR="00E675F0" w:rsidRDefault="00E675F0" w:rsidP="00E675F0">
      <w:pPr>
        <w:pStyle w:val="BodyText"/>
        <w:spacing w:before="3"/>
        <w:rPr>
          <w:sz w:val="27"/>
        </w:rPr>
      </w:pPr>
    </w:p>
    <w:p w:rsidR="00E675F0" w:rsidRDefault="00E675F0" w:rsidP="00E675F0">
      <w:pPr>
        <w:ind w:left="116"/>
        <w:rPr>
          <w:rFonts w:ascii="TimesNewRomanPS-BoldItalicMT"/>
          <w:b/>
          <w:i/>
          <w:sz w:val="24"/>
        </w:rPr>
      </w:pPr>
      <w:r>
        <w:rPr>
          <w:rFonts w:ascii="TimesNewRomanPS-BoldItalicMT"/>
          <w:b/>
          <w:i/>
          <w:w w:val="115"/>
          <w:sz w:val="24"/>
        </w:rPr>
        <w:t>Associated Features and Disorders</w:t>
      </w:r>
    </w:p>
    <w:p w:rsidR="00E675F0" w:rsidRDefault="00E675F0" w:rsidP="00E675F0">
      <w:pPr>
        <w:pStyle w:val="BodyText"/>
        <w:spacing w:before="156" w:line="252" w:lineRule="auto"/>
        <w:ind w:left="133" w:right="113" w:hanging="3"/>
        <w:jc w:val="both"/>
      </w:pPr>
      <w:r>
        <w:rPr>
          <w:b/>
          <w:w w:val="105"/>
        </w:rPr>
        <w:t xml:space="preserve">Associated descriptive features and mental disorders. </w:t>
      </w:r>
      <w:r>
        <w:rPr>
          <w:w w:val="105"/>
        </w:rPr>
        <w:t>Individuals with Conduct Disorder may have little empathy and little concern for the feelings, wishes, and well-being</w:t>
      </w:r>
      <w:r>
        <w:rPr>
          <w:spacing w:val="-11"/>
          <w:w w:val="105"/>
        </w:rPr>
        <w:t xml:space="preserve"> </w:t>
      </w:r>
      <w:r>
        <w:rPr>
          <w:w w:val="105"/>
        </w:rPr>
        <w:t>of</w:t>
      </w:r>
      <w:r>
        <w:rPr>
          <w:spacing w:val="-6"/>
          <w:w w:val="105"/>
        </w:rPr>
        <w:t xml:space="preserve"> </w:t>
      </w:r>
      <w:r>
        <w:rPr>
          <w:w w:val="105"/>
        </w:rPr>
        <w:t>others.</w:t>
      </w:r>
      <w:r>
        <w:rPr>
          <w:spacing w:val="-11"/>
          <w:w w:val="105"/>
        </w:rPr>
        <w:t xml:space="preserve"> </w:t>
      </w:r>
      <w:r>
        <w:rPr>
          <w:w w:val="105"/>
        </w:rPr>
        <w:t>Especially</w:t>
      </w:r>
      <w:r>
        <w:rPr>
          <w:spacing w:val="-3"/>
          <w:w w:val="105"/>
        </w:rPr>
        <w:t xml:space="preserve"> </w:t>
      </w:r>
      <w:r>
        <w:rPr>
          <w:w w:val="105"/>
        </w:rPr>
        <w:t>in</w:t>
      </w:r>
      <w:r>
        <w:rPr>
          <w:spacing w:val="-13"/>
          <w:w w:val="105"/>
        </w:rPr>
        <w:t xml:space="preserve"> </w:t>
      </w:r>
      <w:r>
        <w:rPr>
          <w:w w:val="105"/>
        </w:rPr>
        <w:t>ambiguous</w:t>
      </w:r>
      <w:r>
        <w:rPr>
          <w:spacing w:val="-6"/>
          <w:w w:val="105"/>
        </w:rPr>
        <w:t xml:space="preserve"> </w:t>
      </w:r>
      <w:r>
        <w:rPr>
          <w:w w:val="105"/>
        </w:rPr>
        <w:t>situations,</w:t>
      </w:r>
      <w:r>
        <w:rPr>
          <w:spacing w:val="-1"/>
          <w:w w:val="105"/>
        </w:rPr>
        <w:t xml:space="preserve"> </w:t>
      </w:r>
      <w:r>
        <w:rPr>
          <w:w w:val="105"/>
        </w:rPr>
        <w:t>aggressive</w:t>
      </w:r>
      <w:r>
        <w:rPr>
          <w:spacing w:val="-3"/>
          <w:w w:val="105"/>
        </w:rPr>
        <w:t xml:space="preserve"> </w:t>
      </w:r>
      <w:r>
        <w:rPr>
          <w:w w:val="105"/>
        </w:rPr>
        <w:t>individuals</w:t>
      </w:r>
      <w:r>
        <w:rPr>
          <w:spacing w:val="-7"/>
          <w:w w:val="105"/>
        </w:rPr>
        <w:t xml:space="preserve"> </w:t>
      </w:r>
      <w:r>
        <w:rPr>
          <w:w w:val="105"/>
        </w:rPr>
        <w:t>with</w:t>
      </w:r>
      <w:r>
        <w:rPr>
          <w:spacing w:val="-4"/>
          <w:w w:val="105"/>
        </w:rPr>
        <w:t xml:space="preserve"> </w:t>
      </w:r>
      <w:r>
        <w:rPr>
          <w:w w:val="105"/>
        </w:rPr>
        <w:t xml:space="preserve">this disorder frequently misperceive the intentions of others as more hostile and threatening than is the case and respond with aggression that they then feel is reasonable and justified. They may be callous and lack appropriate feelings of guilt or remorse.  </w:t>
      </w:r>
      <w:r>
        <w:rPr>
          <w:w w:val="105"/>
          <w:sz w:val="19"/>
        </w:rPr>
        <w:t xml:space="preserve">It </w:t>
      </w:r>
      <w:r>
        <w:rPr>
          <w:w w:val="105"/>
        </w:rPr>
        <w:t>can be difficult to evaluate whether displayed remorse is genuine because these individuals learn that expressing guilt may reduce or prevent punishment. Individuals with this disorder may readily inform on their companions and try to blame others for their own misdeeds. Self-esteem is usually low, although the person may project an image of "toughness." Poor frustration tolerance, irritability, temper outbursts, and recklessness are frequent associated features. Accident rates appear to be higher in individuals with Conduct Disorder than in those without</w:t>
      </w:r>
      <w:r>
        <w:rPr>
          <w:spacing w:val="-19"/>
          <w:w w:val="105"/>
        </w:rPr>
        <w:t xml:space="preserve"> </w:t>
      </w:r>
      <w:r>
        <w:rPr>
          <w:w w:val="105"/>
        </w:rPr>
        <w:t>it.</w:t>
      </w:r>
    </w:p>
    <w:p w:rsidR="00E675F0" w:rsidRDefault="00E675F0" w:rsidP="00E675F0">
      <w:pPr>
        <w:pStyle w:val="BodyText"/>
        <w:spacing w:line="254" w:lineRule="auto"/>
        <w:ind w:left="131" w:right="109" w:firstLine="363"/>
        <w:jc w:val="both"/>
      </w:pPr>
      <w:r>
        <w:rPr>
          <w:w w:val="105"/>
        </w:rPr>
        <w:t>Conduct Disorder is often associated with an early onset of sexual behavior, drinking, smoking, use of illegal substances, and reckless and risk-taking acts. Illegal drug use may increase the risk that Conduct Disorder will persist. Conduct Disorder behaviors may lead to school suspension or expulsion, problems in work adjustment, legal</w:t>
      </w:r>
      <w:r>
        <w:rPr>
          <w:spacing w:val="-17"/>
          <w:w w:val="105"/>
        </w:rPr>
        <w:t xml:space="preserve"> </w:t>
      </w:r>
      <w:r>
        <w:rPr>
          <w:w w:val="105"/>
        </w:rPr>
        <w:t>difficulties,</w:t>
      </w:r>
      <w:r>
        <w:rPr>
          <w:spacing w:val="-17"/>
          <w:w w:val="105"/>
        </w:rPr>
        <w:t xml:space="preserve"> </w:t>
      </w:r>
      <w:r>
        <w:rPr>
          <w:w w:val="105"/>
        </w:rPr>
        <w:t>sexually</w:t>
      </w:r>
      <w:r>
        <w:rPr>
          <w:spacing w:val="-9"/>
          <w:w w:val="105"/>
        </w:rPr>
        <w:t xml:space="preserve"> </w:t>
      </w:r>
      <w:r>
        <w:rPr>
          <w:w w:val="105"/>
        </w:rPr>
        <w:t>transmitted</w:t>
      </w:r>
      <w:r>
        <w:rPr>
          <w:spacing w:val="-9"/>
          <w:w w:val="105"/>
        </w:rPr>
        <w:t xml:space="preserve"> </w:t>
      </w:r>
      <w:r>
        <w:rPr>
          <w:w w:val="105"/>
        </w:rPr>
        <w:t>diseases,</w:t>
      </w:r>
      <w:r>
        <w:rPr>
          <w:spacing w:val="-6"/>
          <w:w w:val="105"/>
        </w:rPr>
        <w:t xml:space="preserve"> </w:t>
      </w:r>
      <w:r>
        <w:rPr>
          <w:w w:val="105"/>
        </w:rPr>
        <w:t>unplanned</w:t>
      </w:r>
      <w:r>
        <w:rPr>
          <w:spacing w:val="-2"/>
          <w:w w:val="105"/>
        </w:rPr>
        <w:t xml:space="preserve"> </w:t>
      </w:r>
      <w:r>
        <w:rPr>
          <w:w w:val="105"/>
        </w:rPr>
        <w:t>pregnancy,</w:t>
      </w:r>
      <w:r>
        <w:rPr>
          <w:spacing w:val="-13"/>
          <w:w w:val="105"/>
        </w:rPr>
        <w:t xml:space="preserve"> </w:t>
      </w:r>
      <w:r>
        <w:rPr>
          <w:w w:val="105"/>
        </w:rPr>
        <w:t>and</w:t>
      </w:r>
      <w:r>
        <w:rPr>
          <w:spacing w:val="-8"/>
          <w:w w:val="105"/>
        </w:rPr>
        <w:t xml:space="preserve"> </w:t>
      </w:r>
      <w:r>
        <w:rPr>
          <w:w w:val="105"/>
        </w:rPr>
        <w:t>physical</w:t>
      </w:r>
      <w:r>
        <w:rPr>
          <w:spacing w:val="-11"/>
          <w:w w:val="105"/>
        </w:rPr>
        <w:t xml:space="preserve"> </w:t>
      </w:r>
      <w:r>
        <w:rPr>
          <w:w w:val="105"/>
        </w:rPr>
        <w:t>injury from accidents or fights. These problems may preclude attendance  in ordinary schools or living in a parental or foster home. Suicidal ideation, suicide attempts, and completed suicide occur at a higher than expected rate. Conduct Disorder may be associated with lower</w:t>
      </w:r>
      <w:r>
        <w:rPr>
          <w:spacing w:val="-12"/>
          <w:w w:val="105"/>
        </w:rPr>
        <w:t xml:space="preserve"> </w:t>
      </w:r>
      <w:r>
        <w:rPr>
          <w:w w:val="105"/>
        </w:rPr>
        <w:t>than</w:t>
      </w:r>
      <w:r>
        <w:rPr>
          <w:spacing w:val="-10"/>
          <w:w w:val="105"/>
        </w:rPr>
        <w:t xml:space="preserve"> </w:t>
      </w:r>
      <w:r>
        <w:rPr>
          <w:w w:val="105"/>
        </w:rPr>
        <w:t>average</w:t>
      </w:r>
      <w:r>
        <w:rPr>
          <w:spacing w:val="-11"/>
          <w:w w:val="105"/>
        </w:rPr>
        <w:t xml:space="preserve"> </w:t>
      </w:r>
      <w:r>
        <w:rPr>
          <w:w w:val="105"/>
        </w:rPr>
        <w:t>intelligence.</w:t>
      </w:r>
      <w:r>
        <w:rPr>
          <w:spacing w:val="-4"/>
          <w:w w:val="105"/>
        </w:rPr>
        <w:t xml:space="preserve"> </w:t>
      </w:r>
      <w:r>
        <w:rPr>
          <w:w w:val="105"/>
        </w:rPr>
        <w:t>Academic</w:t>
      </w:r>
      <w:r>
        <w:rPr>
          <w:spacing w:val="-10"/>
          <w:w w:val="105"/>
        </w:rPr>
        <w:t xml:space="preserve"> </w:t>
      </w:r>
      <w:r>
        <w:rPr>
          <w:w w:val="105"/>
        </w:rPr>
        <w:t>achievement,</w:t>
      </w:r>
      <w:r>
        <w:rPr>
          <w:spacing w:val="3"/>
          <w:w w:val="105"/>
        </w:rPr>
        <w:t xml:space="preserve"> </w:t>
      </w:r>
      <w:r>
        <w:rPr>
          <w:w w:val="105"/>
        </w:rPr>
        <w:t>particularly</w:t>
      </w:r>
      <w:r>
        <w:rPr>
          <w:spacing w:val="-6"/>
          <w:w w:val="105"/>
        </w:rPr>
        <w:t xml:space="preserve"> </w:t>
      </w:r>
      <w:r>
        <w:rPr>
          <w:w w:val="105"/>
        </w:rPr>
        <w:t>in</w:t>
      </w:r>
      <w:r>
        <w:rPr>
          <w:spacing w:val="-10"/>
          <w:w w:val="105"/>
        </w:rPr>
        <w:t xml:space="preserve"> </w:t>
      </w:r>
      <w:r>
        <w:rPr>
          <w:w w:val="105"/>
        </w:rPr>
        <w:t>reading</w:t>
      </w:r>
      <w:r>
        <w:rPr>
          <w:spacing w:val="-13"/>
          <w:w w:val="105"/>
        </w:rPr>
        <w:t xml:space="preserve"> </w:t>
      </w:r>
      <w:r>
        <w:rPr>
          <w:w w:val="105"/>
        </w:rPr>
        <w:t>and</w:t>
      </w:r>
      <w:r>
        <w:rPr>
          <w:spacing w:val="-13"/>
          <w:w w:val="105"/>
        </w:rPr>
        <w:t xml:space="preserve"> </w:t>
      </w:r>
      <w:r>
        <w:rPr>
          <w:w w:val="105"/>
        </w:rPr>
        <w:t>other verbal skills, is often below the level expected on the basis of age and intelligence and may</w:t>
      </w:r>
      <w:r>
        <w:rPr>
          <w:spacing w:val="-5"/>
          <w:w w:val="105"/>
        </w:rPr>
        <w:t xml:space="preserve"> </w:t>
      </w:r>
      <w:r>
        <w:rPr>
          <w:w w:val="105"/>
        </w:rPr>
        <w:t>justify</w:t>
      </w:r>
      <w:r>
        <w:rPr>
          <w:spacing w:val="-11"/>
          <w:w w:val="105"/>
        </w:rPr>
        <w:t xml:space="preserve"> </w:t>
      </w:r>
      <w:r>
        <w:rPr>
          <w:w w:val="105"/>
        </w:rPr>
        <w:t>the</w:t>
      </w:r>
      <w:r>
        <w:rPr>
          <w:spacing w:val="-16"/>
          <w:w w:val="105"/>
        </w:rPr>
        <w:t xml:space="preserve"> </w:t>
      </w:r>
      <w:r>
        <w:rPr>
          <w:w w:val="105"/>
        </w:rPr>
        <w:t>additional</w:t>
      </w:r>
      <w:r>
        <w:rPr>
          <w:spacing w:val="-11"/>
          <w:w w:val="105"/>
        </w:rPr>
        <w:t xml:space="preserve"> </w:t>
      </w:r>
      <w:r>
        <w:rPr>
          <w:w w:val="105"/>
        </w:rPr>
        <w:t>diagnosis</w:t>
      </w:r>
      <w:r>
        <w:rPr>
          <w:spacing w:val="-13"/>
          <w:w w:val="105"/>
        </w:rPr>
        <w:t xml:space="preserve"> </w:t>
      </w:r>
      <w:r>
        <w:rPr>
          <w:w w:val="105"/>
        </w:rPr>
        <w:t>of</w:t>
      </w:r>
      <w:r>
        <w:rPr>
          <w:spacing w:val="-13"/>
          <w:w w:val="105"/>
        </w:rPr>
        <w:t xml:space="preserve"> </w:t>
      </w:r>
      <w:r>
        <w:rPr>
          <w:w w:val="105"/>
        </w:rPr>
        <w:t>a</w:t>
      </w:r>
      <w:r>
        <w:rPr>
          <w:spacing w:val="-15"/>
          <w:w w:val="105"/>
        </w:rPr>
        <w:t xml:space="preserve"> </w:t>
      </w:r>
      <w:r>
        <w:rPr>
          <w:w w:val="105"/>
        </w:rPr>
        <w:t>Leaming</w:t>
      </w:r>
      <w:r>
        <w:rPr>
          <w:spacing w:val="-11"/>
          <w:w w:val="105"/>
        </w:rPr>
        <w:t xml:space="preserve"> </w:t>
      </w:r>
      <w:r>
        <w:rPr>
          <w:w w:val="105"/>
        </w:rPr>
        <w:t>or</w:t>
      </w:r>
      <w:r>
        <w:rPr>
          <w:spacing w:val="-15"/>
          <w:w w:val="105"/>
        </w:rPr>
        <w:t xml:space="preserve"> </w:t>
      </w:r>
      <w:r>
        <w:rPr>
          <w:w w:val="105"/>
        </w:rPr>
        <w:t>Communication</w:t>
      </w:r>
      <w:r>
        <w:rPr>
          <w:spacing w:val="-1"/>
          <w:w w:val="105"/>
        </w:rPr>
        <w:t xml:space="preserve"> </w:t>
      </w:r>
      <w:r>
        <w:rPr>
          <w:w w:val="105"/>
        </w:rPr>
        <w:t>Disorder.</w:t>
      </w:r>
      <w:r>
        <w:rPr>
          <w:spacing w:val="-8"/>
          <w:w w:val="105"/>
        </w:rPr>
        <w:t xml:space="preserve"> </w:t>
      </w:r>
      <w:r>
        <w:rPr>
          <w:w w:val="105"/>
        </w:rPr>
        <w:t>Attention-</w:t>
      </w:r>
    </w:p>
    <w:p w:rsidR="00E675F0" w:rsidRDefault="00E675F0" w:rsidP="00E675F0">
      <w:pPr>
        <w:spacing w:line="254" w:lineRule="auto"/>
        <w:jc w:val="both"/>
        <w:sectPr w:rsidR="00E675F0">
          <w:pgSz w:w="8960" w:h="14260"/>
          <w:pgMar w:top="1400" w:right="620" w:bottom="280" w:left="620" w:header="696" w:footer="0" w:gutter="0"/>
          <w:cols w:space="720"/>
        </w:sectPr>
      </w:pPr>
    </w:p>
    <w:p w:rsidR="00E675F0" w:rsidRDefault="00E675F0" w:rsidP="00E675F0">
      <w:pPr>
        <w:pStyle w:val="BodyText"/>
        <w:spacing w:before="123" w:line="254" w:lineRule="auto"/>
        <w:ind w:left="118" w:right="115" w:firstLine="11"/>
        <w:jc w:val="both"/>
      </w:pPr>
      <w:r>
        <w:rPr>
          <w:w w:val="105"/>
        </w:rPr>
        <w:lastRenderedPageBreak/>
        <w:t>Deficit/Hyperactivity Disorder is common in children with Conduct Disorder. Conduct Disorder may also be associated with one or more of the following mental disorders: Learning Disorders, Anxiety Disorders, Mood Disorders, and Substance-Related Disor­ ders.</w:t>
      </w:r>
      <w:r>
        <w:rPr>
          <w:spacing w:val="-12"/>
          <w:w w:val="105"/>
        </w:rPr>
        <w:t xml:space="preserve"> </w:t>
      </w:r>
      <w:r>
        <w:rPr>
          <w:w w:val="105"/>
        </w:rPr>
        <w:t>The</w:t>
      </w:r>
      <w:r>
        <w:rPr>
          <w:spacing w:val="-21"/>
          <w:w w:val="105"/>
        </w:rPr>
        <w:t xml:space="preserve"> </w:t>
      </w:r>
      <w:r>
        <w:rPr>
          <w:w w:val="105"/>
        </w:rPr>
        <w:t>following</w:t>
      </w:r>
      <w:r>
        <w:rPr>
          <w:spacing w:val="-12"/>
          <w:w w:val="105"/>
        </w:rPr>
        <w:t xml:space="preserve"> </w:t>
      </w:r>
      <w:r>
        <w:rPr>
          <w:w w:val="105"/>
        </w:rPr>
        <w:t>factors</w:t>
      </w:r>
      <w:r>
        <w:rPr>
          <w:spacing w:val="-4"/>
          <w:w w:val="105"/>
        </w:rPr>
        <w:t xml:space="preserve"> </w:t>
      </w:r>
      <w:r>
        <w:rPr>
          <w:w w:val="105"/>
        </w:rPr>
        <w:t>may</w:t>
      </w:r>
      <w:r>
        <w:rPr>
          <w:spacing w:val="3"/>
          <w:w w:val="105"/>
        </w:rPr>
        <w:t xml:space="preserve"> </w:t>
      </w:r>
      <w:r>
        <w:rPr>
          <w:w w:val="105"/>
        </w:rPr>
        <w:t>predispose</w:t>
      </w:r>
      <w:r>
        <w:rPr>
          <w:spacing w:val="5"/>
          <w:w w:val="105"/>
        </w:rPr>
        <w:t xml:space="preserve"> </w:t>
      </w:r>
      <w:r>
        <w:rPr>
          <w:w w:val="105"/>
        </w:rPr>
        <w:t>the</w:t>
      </w:r>
      <w:r>
        <w:rPr>
          <w:spacing w:val="-10"/>
          <w:w w:val="105"/>
        </w:rPr>
        <w:t xml:space="preserve"> </w:t>
      </w:r>
      <w:r>
        <w:rPr>
          <w:w w:val="105"/>
        </w:rPr>
        <w:t>individual</w:t>
      </w:r>
      <w:r>
        <w:rPr>
          <w:spacing w:val="11"/>
          <w:w w:val="105"/>
        </w:rPr>
        <w:t xml:space="preserve"> </w:t>
      </w:r>
      <w:r>
        <w:rPr>
          <w:w w:val="105"/>
        </w:rPr>
        <w:t>to</w:t>
      </w:r>
      <w:r>
        <w:rPr>
          <w:spacing w:val="-11"/>
          <w:w w:val="105"/>
        </w:rPr>
        <w:t xml:space="preserve"> </w:t>
      </w:r>
      <w:r>
        <w:rPr>
          <w:w w:val="105"/>
        </w:rPr>
        <w:t>the</w:t>
      </w:r>
      <w:r>
        <w:rPr>
          <w:spacing w:val="-15"/>
          <w:w w:val="105"/>
        </w:rPr>
        <w:t xml:space="preserve"> </w:t>
      </w:r>
      <w:r>
        <w:rPr>
          <w:w w:val="105"/>
        </w:rPr>
        <w:t>development</w:t>
      </w:r>
      <w:r>
        <w:rPr>
          <w:spacing w:val="2"/>
          <w:w w:val="105"/>
        </w:rPr>
        <w:t xml:space="preserve"> </w:t>
      </w:r>
      <w:r>
        <w:rPr>
          <w:w w:val="105"/>
        </w:rPr>
        <w:t>of</w:t>
      </w:r>
      <w:r>
        <w:rPr>
          <w:spacing w:val="-3"/>
          <w:w w:val="105"/>
        </w:rPr>
        <w:t xml:space="preserve"> </w:t>
      </w:r>
      <w:r>
        <w:rPr>
          <w:w w:val="105"/>
        </w:rPr>
        <w:t>Conduct Disorder: parental rejection and neglect, difficult infant temperament, inconsistent child-rearing practices with harsh discipline, physical or sexual abuse, lack of supervi­ sion, early institutional living, frequent changes of caregivers, large family size, associ­ ation with a delinquent peer group, and certain kinds of familial</w:t>
      </w:r>
      <w:r>
        <w:rPr>
          <w:spacing w:val="-5"/>
          <w:w w:val="105"/>
        </w:rPr>
        <w:t xml:space="preserve"> </w:t>
      </w:r>
      <w:r>
        <w:rPr>
          <w:w w:val="105"/>
        </w:rPr>
        <w:t>psychopathology.</w:t>
      </w:r>
    </w:p>
    <w:p w:rsidR="00E675F0" w:rsidRDefault="00E675F0" w:rsidP="00E675F0">
      <w:pPr>
        <w:pStyle w:val="BodyText"/>
        <w:spacing w:before="2"/>
        <w:rPr>
          <w:sz w:val="23"/>
        </w:rPr>
      </w:pPr>
    </w:p>
    <w:p w:rsidR="00E675F0" w:rsidRDefault="00E675F0" w:rsidP="00E675F0">
      <w:pPr>
        <w:pStyle w:val="BodyText"/>
        <w:spacing w:line="254" w:lineRule="auto"/>
        <w:ind w:left="117" w:right="115"/>
        <w:jc w:val="both"/>
      </w:pPr>
      <w:r>
        <w:rPr>
          <w:b/>
          <w:w w:val="105"/>
        </w:rPr>
        <w:t xml:space="preserve">Associated laboratory findings. </w:t>
      </w:r>
      <w:r>
        <w:rPr>
          <w:w w:val="105"/>
        </w:rPr>
        <w:t>In some studies, lower heart rate and lower skin conductance have been noted in individuals with Conduct Disorder compared with those without the disorder. However, levels of physiological arousal are not diagnostic of the disorder.</w:t>
      </w:r>
    </w:p>
    <w:p w:rsidR="00E675F0" w:rsidRDefault="00E675F0" w:rsidP="00E675F0">
      <w:pPr>
        <w:pStyle w:val="BodyText"/>
        <w:spacing w:before="7"/>
        <w:rPr>
          <w:sz w:val="25"/>
        </w:rPr>
      </w:pPr>
    </w:p>
    <w:p w:rsidR="00E675F0" w:rsidRDefault="00E675F0" w:rsidP="00E675F0">
      <w:pPr>
        <w:ind w:left="110"/>
        <w:rPr>
          <w:rFonts w:ascii="TimesNewRomanPS-BoldItalicMT"/>
          <w:b/>
          <w:i/>
          <w:sz w:val="25"/>
        </w:rPr>
      </w:pPr>
      <w:r>
        <w:rPr>
          <w:rFonts w:ascii="TimesNewRomanPS-BoldItalicMT"/>
          <w:b/>
          <w:i/>
          <w:w w:val="105"/>
          <w:sz w:val="25"/>
        </w:rPr>
        <w:t>Specific Culture, Age, and Gender Features</w:t>
      </w:r>
    </w:p>
    <w:p w:rsidR="00E675F0" w:rsidRDefault="00E675F0" w:rsidP="00E675F0">
      <w:pPr>
        <w:pStyle w:val="BodyText"/>
        <w:spacing w:before="135" w:line="254" w:lineRule="auto"/>
        <w:ind w:left="116" w:right="110" w:firstLine="4"/>
        <w:jc w:val="both"/>
      </w:pPr>
      <w:r>
        <w:rPr>
          <w:w w:val="105"/>
        </w:rPr>
        <w:t xml:space="preserve">Concerns have been raised that the Conduct Disorder diagnosis may at times be misapplied to individuals in settings where patterns of undesirable behavior are sometimes viewed as protective (e.g., threatening, impoverished, high-crime). Consistent with the DSM-IV definition of mental disorder, the Conduct Disorder diagnosis should be applied only when the behavior in question is symptomatic of an underlying dysfunction within the individual and not simply a reaction to the immediate social context. Moreover, immigrant youth from war-ravaged countries who have a history of aggressive behaviors that may have been necessary for their survival in that context would not necessarily warrant a diagnosis of Conduct Disorder. </w:t>
      </w:r>
      <w:r>
        <w:rPr>
          <w:w w:val="105"/>
          <w:sz w:val="19"/>
        </w:rPr>
        <w:t xml:space="preserve">It </w:t>
      </w:r>
      <w:r>
        <w:rPr>
          <w:w w:val="105"/>
        </w:rPr>
        <w:t>may be  helpful for  the clinician to consider the social and economic context in which the undesirable behaviors have</w:t>
      </w:r>
      <w:r>
        <w:rPr>
          <w:spacing w:val="-26"/>
          <w:w w:val="105"/>
        </w:rPr>
        <w:t xml:space="preserve"> </w:t>
      </w:r>
      <w:r>
        <w:rPr>
          <w:w w:val="105"/>
        </w:rPr>
        <w:t>occurred.</w:t>
      </w:r>
    </w:p>
    <w:p w:rsidR="00E675F0" w:rsidRDefault="00E675F0" w:rsidP="00E675F0">
      <w:pPr>
        <w:pStyle w:val="BodyText"/>
        <w:spacing w:line="252" w:lineRule="auto"/>
        <w:ind w:left="113" w:right="111" w:firstLine="363"/>
        <w:jc w:val="both"/>
      </w:pPr>
      <w:r>
        <w:rPr>
          <w:w w:val="105"/>
        </w:rPr>
        <w:t>Symptoms</w:t>
      </w:r>
      <w:r>
        <w:rPr>
          <w:spacing w:val="-8"/>
          <w:w w:val="105"/>
        </w:rPr>
        <w:t xml:space="preserve"> </w:t>
      </w:r>
      <w:r>
        <w:rPr>
          <w:w w:val="105"/>
        </w:rPr>
        <w:t>of</w:t>
      </w:r>
      <w:r>
        <w:rPr>
          <w:spacing w:val="-7"/>
          <w:w w:val="105"/>
        </w:rPr>
        <w:t xml:space="preserve"> </w:t>
      </w:r>
      <w:r>
        <w:rPr>
          <w:w w:val="105"/>
        </w:rPr>
        <w:t>the</w:t>
      </w:r>
      <w:r>
        <w:rPr>
          <w:spacing w:val="-15"/>
          <w:w w:val="105"/>
        </w:rPr>
        <w:t xml:space="preserve"> </w:t>
      </w:r>
      <w:r>
        <w:rPr>
          <w:w w:val="105"/>
        </w:rPr>
        <w:t>disorder</w:t>
      </w:r>
      <w:r>
        <w:rPr>
          <w:spacing w:val="-9"/>
          <w:w w:val="105"/>
        </w:rPr>
        <w:t xml:space="preserve"> </w:t>
      </w:r>
      <w:r>
        <w:rPr>
          <w:w w:val="105"/>
        </w:rPr>
        <w:t>vary</w:t>
      </w:r>
      <w:r>
        <w:rPr>
          <w:spacing w:val="-12"/>
          <w:w w:val="105"/>
        </w:rPr>
        <w:t xml:space="preserve"> </w:t>
      </w:r>
      <w:r>
        <w:rPr>
          <w:w w:val="105"/>
        </w:rPr>
        <w:t>with</w:t>
      </w:r>
      <w:r>
        <w:rPr>
          <w:spacing w:val="-12"/>
          <w:w w:val="105"/>
        </w:rPr>
        <w:t xml:space="preserve"> </w:t>
      </w:r>
      <w:r>
        <w:rPr>
          <w:w w:val="105"/>
        </w:rPr>
        <w:t>age</w:t>
      </w:r>
      <w:r>
        <w:rPr>
          <w:spacing w:val="-20"/>
          <w:w w:val="105"/>
        </w:rPr>
        <w:t xml:space="preserve"> </w:t>
      </w:r>
      <w:r>
        <w:rPr>
          <w:w w:val="105"/>
        </w:rPr>
        <w:t>as</w:t>
      </w:r>
      <w:r>
        <w:rPr>
          <w:spacing w:val="-19"/>
          <w:w w:val="105"/>
        </w:rPr>
        <w:t xml:space="preserve"> </w:t>
      </w:r>
      <w:r>
        <w:rPr>
          <w:w w:val="105"/>
        </w:rPr>
        <w:t>the</w:t>
      </w:r>
      <w:r>
        <w:rPr>
          <w:spacing w:val="-11"/>
          <w:w w:val="105"/>
        </w:rPr>
        <w:t xml:space="preserve"> </w:t>
      </w:r>
      <w:r>
        <w:rPr>
          <w:w w:val="105"/>
        </w:rPr>
        <w:t>individual</w:t>
      </w:r>
      <w:r>
        <w:rPr>
          <w:spacing w:val="-6"/>
          <w:w w:val="105"/>
        </w:rPr>
        <w:t xml:space="preserve"> </w:t>
      </w:r>
      <w:r>
        <w:rPr>
          <w:w w:val="105"/>
        </w:rPr>
        <w:t>develops</w:t>
      </w:r>
      <w:r>
        <w:rPr>
          <w:spacing w:val="-9"/>
          <w:w w:val="105"/>
        </w:rPr>
        <w:t xml:space="preserve"> </w:t>
      </w:r>
      <w:r>
        <w:rPr>
          <w:w w:val="105"/>
        </w:rPr>
        <w:t>increased</w:t>
      </w:r>
      <w:r>
        <w:rPr>
          <w:spacing w:val="-2"/>
          <w:w w:val="105"/>
        </w:rPr>
        <w:t xml:space="preserve"> </w:t>
      </w:r>
      <w:r>
        <w:rPr>
          <w:w w:val="105"/>
        </w:rPr>
        <w:t>physical strength, cognitive abilities, and sexual maturity. Less severe behaviors (e.g., lying, shoplifting, physical fighting) tend to emerge first, whereas others (e.g., burglary) tend  to emerge later. Typically, the most severe conduct problems (e.g., rape, theft while confronting a victim) tend to emerge last. However, there are wide differences among individuals, with some engaging in the more damaging behaviors at an early</w:t>
      </w:r>
      <w:r>
        <w:rPr>
          <w:spacing w:val="19"/>
          <w:w w:val="105"/>
        </w:rPr>
        <w:t xml:space="preserve"> </w:t>
      </w:r>
      <w:r>
        <w:rPr>
          <w:w w:val="105"/>
        </w:rPr>
        <w:t>age.</w:t>
      </w:r>
    </w:p>
    <w:p w:rsidR="00E675F0" w:rsidRDefault="00E675F0" w:rsidP="00E675F0">
      <w:pPr>
        <w:pStyle w:val="BodyText"/>
        <w:spacing w:line="254" w:lineRule="auto"/>
        <w:ind w:left="121" w:right="111" w:firstLine="365"/>
        <w:jc w:val="both"/>
      </w:pPr>
      <w:r>
        <w:rPr>
          <w:w w:val="105"/>
        </w:rPr>
        <w:t>Conduct Disorder, especially the Childhood-Onset Type, is much more common in males. Gender differences are also found in specific types of conduct problems. Males with a diagnosis of Conduct Disorder frequently exhibit fighting, stealing, vandalism, and school discipline problems. Females with a diagnosis of Conduct Disorder are more likely to exhibit lying, truancy, running away, substance use, and prostitution. Whereas confrontational aggression is more often displayed by males, females tend to use more nonconfrontational behaviors.</w:t>
      </w:r>
    </w:p>
    <w:p w:rsidR="00E675F0" w:rsidRDefault="00E675F0" w:rsidP="00E675F0">
      <w:pPr>
        <w:pStyle w:val="BodyText"/>
        <w:spacing w:before="5"/>
        <w:rPr>
          <w:sz w:val="25"/>
        </w:rPr>
      </w:pPr>
    </w:p>
    <w:p w:rsidR="00E675F0" w:rsidRDefault="00E675F0" w:rsidP="00E675F0">
      <w:pPr>
        <w:ind w:left="107"/>
        <w:rPr>
          <w:rFonts w:ascii="TimesNewRomanPS-BoldItalicMT"/>
          <w:b/>
          <w:i/>
          <w:sz w:val="25"/>
        </w:rPr>
      </w:pPr>
      <w:r>
        <w:rPr>
          <w:rFonts w:ascii="TimesNewRomanPS-BoldItalicMT"/>
          <w:b/>
          <w:i/>
          <w:w w:val="110"/>
          <w:sz w:val="25"/>
        </w:rPr>
        <w:t>Prevalence</w:t>
      </w:r>
    </w:p>
    <w:p w:rsidR="00E675F0" w:rsidRDefault="00E675F0" w:rsidP="00E675F0">
      <w:pPr>
        <w:pStyle w:val="BodyText"/>
        <w:spacing w:before="139" w:line="254" w:lineRule="auto"/>
        <w:ind w:left="114" w:right="112" w:hanging="2"/>
        <w:jc w:val="both"/>
      </w:pPr>
      <w:r>
        <w:rPr>
          <w:w w:val="105"/>
        </w:rPr>
        <w:t>The prevalence of Conduct Disorder appears to have  increased  over the last decades and may be higher in urban than in rural settings. Rates vary widely depending on the nature of the population  sampled and methods of ascertainment: for males  under age  18 years, rates range from 6% to 16%; for females, rates range from 2% to 9%. Conduct Disorder is one of the most frequently diagnosed conditions in outpatient and inpatient mental health facilities for</w:t>
      </w:r>
      <w:r>
        <w:rPr>
          <w:spacing w:val="39"/>
          <w:w w:val="105"/>
        </w:rPr>
        <w:t xml:space="preserve"> </w:t>
      </w:r>
      <w:r>
        <w:rPr>
          <w:w w:val="105"/>
        </w:rPr>
        <w:t>children.</w:t>
      </w:r>
    </w:p>
    <w:p w:rsidR="00E675F0" w:rsidRDefault="00E675F0" w:rsidP="00E675F0">
      <w:pPr>
        <w:spacing w:line="254" w:lineRule="auto"/>
        <w:jc w:val="both"/>
        <w:sectPr w:rsidR="00E675F0">
          <w:headerReference w:type="even" r:id="rId104"/>
          <w:headerReference w:type="default" r:id="rId105"/>
          <w:pgSz w:w="8960" w:h="14260"/>
          <w:pgMar w:top="1400" w:right="620" w:bottom="280" w:left="620" w:header="684" w:footer="0" w:gutter="0"/>
          <w:pgNumType w:start="88"/>
          <w:cols w:space="720"/>
        </w:sectPr>
      </w:pPr>
    </w:p>
    <w:p w:rsidR="00E675F0" w:rsidRDefault="00E675F0" w:rsidP="00E675F0">
      <w:pPr>
        <w:spacing w:before="137"/>
        <w:ind w:left="106"/>
        <w:rPr>
          <w:rFonts w:ascii="TimesNewRomanPS-BoldItalicMT"/>
          <w:b/>
          <w:i/>
          <w:sz w:val="24"/>
        </w:rPr>
      </w:pPr>
      <w:r>
        <w:rPr>
          <w:rFonts w:ascii="TimesNewRomanPS-BoldItalicMT"/>
          <w:b/>
          <w:i/>
          <w:w w:val="115"/>
          <w:sz w:val="24"/>
        </w:rPr>
        <w:lastRenderedPageBreak/>
        <w:t>Course</w:t>
      </w:r>
    </w:p>
    <w:p w:rsidR="00E675F0" w:rsidRDefault="00E675F0" w:rsidP="00E675F0">
      <w:pPr>
        <w:pStyle w:val="BodyText"/>
        <w:spacing w:before="113" w:line="254" w:lineRule="auto"/>
        <w:ind w:left="129" w:right="131" w:hanging="4"/>
        <w:jc w:val="both"/>
      </w:pPr>
      <w:r>
        <w:rPr>
          <w:w w:val="105"/>
        </w:rPr>
        <w:t xml:space="preserve">The onset of Conduct Disorder may occur as early as age </w:t>
      </w:r>
      <w:r>
        <w:rPr>
          <w:w w:val="105"/>
          <w:sz w:val="21"/>
        </w:rPr>
        <w:t xml:space="preserve">5-6 </w:t>
      </w:r>
      <w:r>
        <w:rPr>
          <w:w w:val="105"/>
        </w:rPr>
        <w:t>years hut is usually in late childhood or early adolescence. Onset is rare after age 16 years. The course of Conduct Disorder is variable. In a majority of individuals, the disorder remits by adulthood. However, a substantial proportion continue to show behaviors in adulthood that meet criteria for Antisocial Personality Disorder. Many individuals with Conduct Disorder, particularly</w:t>
      </w:r>
      <w:r>
        <w:rPr>
          <w:spacing w:val="-7"/>
          <w:w w:val="105"/>
        </w:rPr>
        <w:t xml:space="preserve"> </w:t>
      </w:r>
      <w:r>
        <w:rPr>
          <w:w w:val="105"/>
        </w:rPr>
        <w:t>those</w:t>
      </w:r>
      <w:r>
        <w:rPr>
          <w:spacing w:val="-9"/>
          <w:w w:val="105"/>
        </w:rPr>
        <w:t xml:space="preserve"> </w:t>
      </w:r>
      <w:r>
        <w:rPr>
          <w:w w:val="105"/>
        </w:rPr>
        <w:t>with</w:t>
      </w:r>
      <w:r>
        <w:rPr>
          <w:spacing w:val="-10"/>
          <w:w w:val="105"/>
        </w:rPr>
        <w:t xml:space="preserve"> </w:t>
      </w:r>
      <w:r>
        <w:rPr>
          <w:w w:val="105"/>
        </w:rPr>
        <w:t>Adolescent-Onset</w:t>
      </w:r>
      <w:r>
        <w:rPr>
          <w:spacing w:val="-21"/>
          <w:w w:val="105"/>
        </w:rPr>
        <w:t xml:space="preserve"> </w:t>
      </w:r>
      <w:r>
        <w:rPr>
          <w:w w:val="105"/>
        </w:rPr>
        <w:t>Type</w:t>
      </w:r>
      <w:r>
        <w:rPr>
          <w:spacing w:val="-8"/>
          <w:w w:val="105"/>
        </w:rPr>
        <w:t xml:space="preserve"> </w:t>
      </w:r>
      <w:r>
        <w:rPr>
          <w:w w:val="105"/>
        </w:rPr>
        <w:t>and</w:t>
      </w:r>
      <w:r>
        <w:rPr>
          <w:spacing w:val="-6"/>
          <w:w w:val="105"/>
        </w:rPr>
        <w:t xml:space="preserve"> </w:t>
      </w:r>
      <w:r>
        <w:rPr>
          <w:w w:val="105"/>
        </w:rPr>
        <w:t>those</w:t>
      </w:r>
      <w:r>
        <w:rPr>
          <w:spacing w:val="-9"/>
          <w:w w:val="105"/>
        </w:rPr>
        <w:t xml:space="preserve"> </w:t>
      </w:r>
      <w:r>
        <w:rPr>
          <w:w w:val="105"/>
        </w:rPr>
        <w:t>with</w:t>
      </w:r>
      <w:r>
        <w:rPr>
          <w:spacing w:val="-14"/>
          <w:w w:val="105"/>
        </w:rPr>
        <w:t xml:space="preserve"> </w:t>
      </w:r>
      <w:r>
        <w:rPr>
          <w:w w:val="105"/>
        </w:rPr>
        <w:t>few</w:t>
      </w:r>
      <w:r>
        <w:rPr>
          <w:spacing w:val="-14"/>
          <w:w w:val="105"/>
        </w:rPr>
        <w:t xml:space="preserve"> </w:t>
      </w:r>
      <w:r>
        <w:rPr>
          <w:w w:val="105"/>
        </w:rPr>
        <w:t>and</w:t>
      </w:r>
      <w:r>
        <w:rPr>
          <w:spacing w:val="-4"/>
          <w:w w:val="105"/>
        </w:rPr>
        <w:t xml:space="preserve"> </w:t>
      </w:r>
      <w:r>
        <w:rPr>
          <w:w w:val="105"/>
        </w:rPr>
        <w:t>milder</w:t>
      </w:r>
      <w:r>
        <w:rPr>
          <w:spacing w:val="-8"/>
          <w:w w:val="105"/>
        </w:rPr>
        <w:t xml:space="preserve"> </w:t>
      </w:r>
      <w:r>
        <w:rPr>
          <w:w w:val="105"/>
        </w:rPr>
        <w:t>symptoms, achieve adequate social and occupational adjustment as adults. Early onset predicts a worse prognosis and an increased risk in adult life for Antisocial Personality Disorder and Substance-Related Disorders. Individuals with Conduct Disorder are at risk for later Mood or Anxiety Disorders, Somatoform Disorders, and Substance-Related</w:t>
      </w:r>
      <w:r>
        <w:rPr>
          <w:spacing w:val="14"/>
          <w:w w:val="105"/>
        </w:rPr>
        <w:t xml:space="preserve"> </w:t>
      </w:r>
      <w:r>
        <w:rPr>
          <w:w w:val="105"/>
        </w:rPr>
        <w:t>Disorders.</w:t>
      </w:r>
    </w:p>
    <w:p w:rsidR="00E675F0" w:rsidRDefault="00E675F0" w:rsidP="00E675F0">
      <w:pPr>
        <w:pStyle w:val="BodyText"/>
        <w:spacing w:before="4"/>
        <w:rPr>
          <w:sz w:val="32"/>
        </w:rPr>
      </w:pPr>
    </w:p>
    <w:p w:rsidR="00E675F0" w:rsidRDefault="00E675F0" w:rsidP="00E675F0">
      <w:pPr>
        <w:ind w:left="116"/>
        <w:rPr>
          <w:rFonts w:ascii="TimesNewRomanPS-BoldItalicMT"/>
          <w:b/>
          <w:i/>
          <w:sz w:val="24"/>
        </w:rPr>
      </w:pPr>
      <w:r>
        <w:rPr>
          <w:rFonts w:ascii="TimesNewRomanPS-BoldItalicMT"/>
          <w:b/>
          <w:i/>
          <w:w w:val="115"/>
          <w:sz w:val="24"/>
        </w:rPr>
        <w:t>Familial Pattern</w:t>
      </w:r>
    </w:p>
    <w:p w:rsidR="00E675F0" w:rsidRDefault="00E675F0" w:rsidP="00E675F0">
      <w:pPr>
        <w:pStyle w:val="BodyText"/>
        <w:spacing w:before="122" w:line="256" w:lineRule="auto"/>
        <w:ind w:left="133" w:right="132" w:firstLine="7"/>
        <w:jc w:val="both"/>
      </w:pPr>
      <w:r>
        <w:rPr>
          <w:w w:val="105"/>
        </w:rPr>
        <w:t>Estimates from twin and adoption studies show that Conduct Disorder has both genetic and environmental components. The risk for Conduct Disorder is increased in children with a biological or adoptive parent with Antisocial Personality Disorder or a sibling with Conduct Disorder. The disorder also appears to be more common in children of biological parents with Alcohol Dependence, Mood Disorders, or Schizophrenia or biological parents who have a history of Attention-Deficit/Hyperactivity Disorder or Conduct Disorder.</w:t>
      </w:r>
    </w:p>
    <w:p w:rsidR="00E675F0" w:rsidRDefault="00E675F0" w:rsidP="00E675F0">
      <w:pPr>
        <w:pStyle w:val="BodyText"/>
        <w:spacing w:before="10"/>
        <w:rPr>
          <w:sz w:val="30"/>
        </w:rPr>
      </w:pPr>
    </w:p>
    <w:p w:rsidR="00E675F0" w:rsidRDefault="00E675F0" w:rsidP="00E675F0">
      <w:pPr>
        <w:ind w:left="125"/>
        <w:rPr>
          <w:rFonts w:ascii="TimesNewRomanPS-BoldItalicMT"/>
          <w:b/>
          <w:i/>
          <w:sz w:val="24"/>
        </w:rPr>
      </w:pPr>
      <w:r>
        <w:rPr>
          <w:rFonts w:ascii="TimesNewRomanPS-BoldItalicMT"/>
          <w:b/>
          <w:i/>
          <w:w w:val="115"/>
          <w:sz w:val="24"/>
        </w:rPr>
        <w:t>Di-fferential magnosis</w:t>
      </w:r>
    </w:p>
    <w:p w:rsidR="00E675F0" w:rsidRDefault="00E675F0" w:rsidP="00E675F0">
      <w:pPr>
        <w:pStyle w:val="BodyText"/>
        <w:spacing w:before="127" w:line="254" w:lineRule="auto"/>
        <w:ind w:left="138" w:right="130"/>
        <w:jc w:val="both"/>
      </w:pPr>
      <w:r>
        <w:rPr>
          <w:w w:val="110"/>
        </w:rPr>
        <w:t xml:space="preserve">Although </w:t>
      </w:r>
      <w:r>
        <w:rPr>
          <w:b/>
          <w:w w:val="110"/>
        </w:rPr>
        <w:t xml:space="preserve">Oppositional Defiant Disorder </w:t>
      </w:r>
      <w:r>
        <w:rPr>
          <w:w w:val="110"/>
        </w:rPr>
        <w:t>includes some of the features observed in Conduct Disorder (e.g., disobedience and opposition to authority figures), it does</w:t>
      </w:r>
      <w:r>
        <w:rPr>
          <w:spacing w:val="-32"/>
          <w:w w:val="110"/>
        </w:rPr>
        <w:t xml:space="preserve"> </w:t>
      </w:r>
      <w:r>
        <w:rPr>
          <w:w w:val="110"/>
        </w:rPr>
        <w:t>not include</w:t>
      </w:r>
      <w:r>
        <w:rPr>
          <w:spacing w:val="-10"/>
          <w:w w:val="110"/>
        </w:rPr>
        <w:t xml:space="preserve"> </w:t>
      </w:r>
      <w:r>
        <w:rPr>
          <w:w w:val="110"/>
        </w:rPr>
        <w:t>the</w:t>
      </w:r>
      <w:r>
        <w:rPr>
          <w:spacing w:val="-12"/>
          <w:w w:val="110"/>
        </w:rPr>
        <w:t xml:space="preserve"> </w:t>
      </w:r>
      <w:r>
        <w:rPr>
          <w:w w:val="110"/>
        </w:rPr>
        <w:t>persistent</w:t>
      </w:r>
      <w:r>
        <w:rPr>
          <w:spacing w:val="-3"/>
          <w:w w:val="110"/>
        </w:rPr>
        <w:t xml:space="preserve"> </w:t>
      </w:r>
      <w:r>
        <w:rPr>
          <w:w w:val="110"/>
        </w:rPr>
        <w:t>pattern</w:t>
      </w:r>
      <w:r>
        <w:rPr>
          <w:spacing w:val="-11"/>
          <w:w w:val="110"/>
        </w:rPr>
        <w:t xml:space="preserve"> </w:t>
      </w:r>
      <w:r>
        <w:rPr>
          <w:w w:val="110"/>
        </w:rPr>
        <w:t>of</w:t>
      </w:r>
      <w:r>
        <w:rPr>
          <w:spacing w:val="-11"/>
          <w:w w:val="110"/>
        </w:rPr>
        <w:t xml:space="preserve"> </w:t>
      </w:r>
      <w:r>
        <w:rPr>
          <w:w w:val="110"/>
        </w:rPr>
        <w:t>the</w:t>
      </w:r>
      <w:r>
        <w:rPr>
          <w:spacing w:val="-16"/>
          <w:w w:val="110"/>
        </w:rPr>
        <w:t xml:space="preserve"> </w:t>
      </w:r>
      <w:r>
        <w:rPr>
          <w:w w:val="110"/>
        </w:rPr>
        <w:t>more</w:t>
      </w:r>
      <w:r>
        <w:rPr>
          <w:spacing w:val="-18"/>
          <w:w w:val="110"/>
        </w:rPr>
        <w:t xml:space="preserve"> </w:t>
      </w:r>
      <w:r>
        <w:rPr>
          <w:w w:val="110"/>
        </w:rPr>
        <w:t>serious</w:t>
      </w:r>
      <w:r>
        <w:rPr>
          <w:spacing w:val="-15"/>
          <w:w w:val="110"/>
        </w:rPr>
        <w:t xml:space="preserve"> </w:t>
      </w:r>
      <w:r>
        <w:rPr>
          <w:w w:val="110"/>
        </w:rPr>
        <w:t>forms</w:t>
      </w:r>
      <w:r>
        <w:rPr>
          <w:spacing w:val="-16"/>
          <w:w w:val="110"/>
        </w:rPr>
        <w:t xml:space="preserve"> </w:t>
      </w:r>
      <w:r>
        <w:rPr>
          <w:w w:val="110"/>
        </w:rPr>
        <w:t>of</w:t>
      </w:r>
      <w:r>
        <w:rPr>
          <w:spacing w:val="-10"/>
          <w:w w:val="110"/>
        </w:rPr>
        <w:t xml:space="preserve"> </w:t>
      </w:r>
      <w:r>
        <w:rPr>
          <w:w w:val="110"/>
        </w:rPr>
        <w:t>behavior</w:t>
      </w:r>
      <w:r>
        <w:rPr>
          <w:spacing w:val="-10"/>
          <w:w w:val="110"/>
        </w:rPr>
        <w:t xml:space="preserve"> </w:t>
      </w:r>
      <w:r>
        <w:rPr>
          <w:w w:val="110"/>
        </w:rPr>
        <w:t>in</w:t>
      </w:r>
      <w:r>
        <w:rPr>
          <w:spacing w:val="-16"/>
          <w:w w:val="110"/>
        </w:rPr>
        <w:t xml:space="preserve"> </w:t>
      </w:r>
      <w:r>
        <w:rPr>
          <w:w w:val="110"/>
        </w:rPr>
        <w:t>which</w:t>
      </w:r>
      <w:r>
        <w:rPr>
          <w:spacing w:val="-14"/>
          <w:w w:val="110"/>
        </w:rPr>
        <w:t xml:space="preserve"> </w:t>
      </w:r>
      <w:r>
        <w:rPr>
          <w:w w:val="110"/>
        </w:rPr>
        <w:t>either</w:t>
      </w:r>
      <w:r>
        <w:rPr>
          <w:spacing w:val="-11"/>
          <w:w w:val="110"/>
        </w:rPr>
        <w:t xml:space="preserve"> </w:t>
      </w:r>
      <w:r>
        <w:rPr>
          <w:w w:val="110"/>
        </w:rPr>
        <w:t>the basic</w:t>
      </w:r>
      <w:r>
        <w:rPr>
          <w:spacing w:val="-11"/>
          <w:w w:val="110"/>
        </w:rPr>
        <w:t xml:space="preserve"> </w:t>
      </w:r>
      <w:r>
        <w:rPr>
          <w:w w:val="110"/>
        </w:rPr>
        <w:t>rights</w:t>
      </w:r>
      <w:r>
        <w:rPr>
          <w:spacing w:val="-16"/>
          <w:w w:val="110"/>
        </w:rPr>
        <w:t xml:space="preserve"> </w:t>
      </w:r>
      <w:r>
        <w:rPr>
          <w:w w:val="110"/>
        </w:rPr>
        <w:t>of</w:t>
      </w:r>
      <w:r>
        <w:rPr>
          <w:spacing w:val="-14"/>
          <w:w w:val="110"/>
        </w:rPr>
        <w:t xml:space="preserve"> </w:t>
      </w:r>
      <w:r>
        <w:rPr>
          <w:w w:val="110"/>
        </w:rPr>
        <w:t>others</w:t>
      </w:r>
      <w:r>
        <w:rPr>
          <w:spacing w:val="-13"/>
          <w:w w:val="110"/>
        </w:rPr>
        <w:t xml:space="preserve"> </w:t>
      </w:r>
      <w:r>
        <w:rPr>
          <w:w w:val="110"/>
        </w:rPr>
        <w:t>or</w:t>
      </w:r>
      <w:r>
        <w:rPr>
          <w:spacing w:val="-18"/>
          <w:w w:val="110"/>
        </w:rPr>
        <w:t xml:space="preserve"> </w:t>
      </w:r>
      <w:r>
        <w:rPr>
          <w:w w:val="110"/>
        </w:rPr>
        <w:t>age-appropriate</w:t>
      </w:r>
      <w:r>
        <w:rPr>
          <w:spacing w:val="-19"/>
          <w:w w:val="110"/>
        </w:rPr>
        <w:t xml:space="preserve"> </w:t>
      </w:r>
      <w:r>
        <w:rPr>
          <w:w w:val="110"/>
        </w:rPr>
        <w:t>societal</w:t>
      </w:r>
      <w:r>
        <w:rPr>
          <w:spacing w:val="-5"/>
          <w:w w:val="110"/>
        </w:rPr>
        <w:t xml:space="preserve"> </w:t>
      </w:r>
      <w:r>
        <w:rPr>
          <w:w w:val="110"/>
        </w:rPr>
        <w:t>norms</w:t>
      </w:r>
      <w:r>
        <w:rPr>
          <w:spacing w:val="-11"/>
          <w:w w:val="110"/>
        </w:rPr>
        <w:t xml:space="preserve"> </w:t>
      </w:r>
      <w:r>
        <w:rPr>
          <w:w w:val="110"/>
        </w:rPr>
        <w:t>or</w:t>
      </w:r>
      <w:r>
        <w:rPr>
          <w:spacing w:val="-14"/>
          <w:w w:val="110"/>
        </w:rPr>
        <w:t xml:space="preserve"> </w:t>
      </w:r>
      <w:r>
        <w:rPr>
          <w:w w:val="110"/>
        </w:rPr>
        <w:t>rules</w:t>
      </w:r>
      <w:r>
        <w:rPr>
          <w:spacing w:val="-17"/>
          <w:w w:val="110"/>
        </w:rPr>
        <w:t xml:space="preserve"> </w:t>
      </w:r>
      <w:r>
        <w:rPr>
          <w:w w:val="110"/>
        </w:rPr>
        <w:t>are</w:t>
      </w:r>
      <w:r>
        <w:rPr>
          <w:spacing w:val="-15"/>
          <w:w w:val="110"/>
        </w:rPr>
        <w:t xml:space="preserve"> </w:t>
      </w:r>
      <w:r>
        <w:rPr>
          <w:w w:val="110"/>
        </w:rPr>
        <w:t>violated.</w:t>
      </w:r>
      <w:r>
        <w:rPr>
          <w:spacing w:val="-11"/>
          <w:w w:val="110"/>
        </w:rPr>
        <w:t xml:space="preserve"> </w:t>
      </w:r>
      <w:r>
        <w:rPr>
          <w:w w:val="110"/>
        </w:rPr>
        <w:t>When</w:t>
      </w:r>
      <w:r>
        <w:rPr>
          <w:spacing w:val="-7"/>
          <w:w w:val="110"/>
        </w:rPr>
        <w:t xml:space="preserve"> </w:t>
      </w:r>
      <w:r>
        <w:rPr>
          <w:w w:val="110"/>
        </w:rPr>
        <w:t>the individual's pattern of behavior meets the criteria for both Conduct Disorder and Oppositional</w:t>
      </w:r>
      <w:r>
        <w:rPr>
          <w:spacing w:val="-25"/>
          <w:w w:val="110"/>
        </w:rPr>
        <w:t xml:space="preserve"> </w:t>
      </w:r>
      <w:r>
        <w:rPr>
          <w:w w:val="110"/>
        </w:rPr>
        <w:t>Defiant</w:t>
      </w:r>
      <w:r>
        <w:rPr>
          <w:spacing w:val="-26"/>
          <w:w w:val="110"/>
        </w:rPr>
        <w:t xml:space="preserve"> </w:t>
      </w:r>
      <w:r>
        <w:rPr>
          <w:w w:val="110"/>
        </w:rPr>
        <w:t>Disorder,</w:t>
      </w:r>
      <w:r>
        <w:rPr>
          <w:spacing w:val="-26"/>
          <w:w w:val="110"/>
        </w:rPr>
        <w:t xml:space="preserve"> </w:t>
      </w:r>
      <w:r>
        <w:rPr>
          <w:w w:val="110"/>
        </w:rPr>
        <w:t>the</w:t>
      </w:r>
      <w:r>
        <w:rPr>
          <w:spacing w:val="-32"/>
          <w:w w:val="110"/>
        </w:rPr>
        <w:t xml:space="preserve"> </w:t>
      </w:r>
      <w:r>
        <w:rPr>
          <w:w w:val="110"/>
        </w:rPr>
        <w:t>diagnosis</w:t>
      </w:r>
      <w:r>
        <w:rPr>
          <w:spacing w:val="-31"/>
          <w:w w:val="110"/>
        </w:rPr>
        <w:t xml:space="preserve"> </w:t>
      </w:r>
      <w:r>
        <w:rPr>
          <w:w w:val="110"/>
        </w:rPr>
        <w:t>of</w:t>
      </w:r>
      <w:r>
        <w:rPr>
          <w:spacing w:val="-29"/>
          <w:w w:val="110"/>
        </w:rPr>
        <w:t xml:space="preserve"> </w:t>
      </w:r>
      <w:r>
        <w:rPr>
          <w:w w:val="110"/>
        </w:rPr>
        <w:t>Conduct</w:t>
      </w:r>
      <w:r>
        <w:rPr>
          <w:spacing w:val="-28"/>
          <w:w w:val="110"/>
        </w:rPr>
        <w:t xml:space="preserve"> </w:t>
      </w:r>
      <w:r>
        <w:rPr>
          <w:w w:val="110"/>
        </w:rPr>
        <w:t>Disorder</w:t>
      </w:r>
      <w:r>
        <w:rPr>
          <w:spacing w:val="-29"/>
          <w:w w:val="110"/>
        </w:rPr>
        <w:t xml:space="preserve"> </w:t>
      </w:r>
      <w:r>
        <w:rPr>
          <w:w w:val="110"/>
        </w:rPr>
        <w:t>takes</w:t>
      </w:r>
      <w:r>
        <w:rPr>
          <w:spacing w:val="-32"/>
          <w:w w:val="110"/>
        </w:rPr>
        <w:t xml:space="preserve"> </w:t>
      </w:r>
      <w:r>
        <w:rPr>
          <w:w w:val="110"/>
        </w:rPr>
        <w:t>precedence</w:t>
      </w:r>
      <w:r>
        <w:rPr>
          <w:spacing w:val="-28"/>
          <w:w w:val="110"/>
        </w:rPr>
        <w:t xml:space="preserve"> </w:t>
      </w:r>
      <w:r>
        <w:rPr>
          <w:w w:val="110"/>
        </w:rPr>
        <w:t>and Oppositional Defiant Disorder is not diagnosed.</w:t>
      </w:r>
    </w:p>
    <w:p w:rsidR="00E675F0" w:rsidRDefault="00E675F0" w:rsidP="00E675F0">
      <w:pPr>
        <w:pStyle w:val="BodyText"/>
        <w:spacing w:line="252" w:lineRule="auto"/>
        <w:ind w:left="138" w:right="117" w:firstLine="362"/>
        <w:jc w:val="both"/>
      </w:pPr>
      <w:r>
        <w:rPr>
          <w:w w:val="105"/>
        </w:rPr>
        <w:t xml:space="preserve">Although children with </w:t>
      </w:r>
      <w:r>
        <w:rPr>
          <w:b/>
          <w:w w:val="105"/>
        </w:rPr>
        <w:t xml:space="preserve">Attention-Deficit/Hyperactivity Disorder </w:t>
      </w:r>
      <w:r>
        <w:rPr>
          <w:w w:val="105"/>
        </w:rPr>
        <w:t>often exhibit hyperactive and impulsive behavior that may be disruptive, this behavior does not by itself violate age-appropriate societal norms and therefore does not usually meet criteria for Conduct Disorder. When criteria are met for both Attention-Deficit/Hyperactivity Disorder and Conduct Disorder, both diagnoses should be given.</w:t>
      </w:r>
    </w:p>
    <w:p w:rsidR="00E675F0" w:rsidRDefault="00E675F0" w:rsidP="00E675F0">
      <w:pPr>
        <w:pStyle w:val="BodyText"/>
        <w:spacing w:line="256" w:lineRule="auto"/>
        <w:ind w:left="135" w:right="123" w:firstLine="370"/>
        <w:jc w:val="both"/>
      </w:pPr>
      <w:r>
        <w:rPr>
          <w:w w:val="105"/>
        </w:rPr>
        <w:t xml:space="preserve">Irritability and conduct problems often occur in children or adolescents having a </w:t>
      </w:r>
      <w:r>
        <w:rPr>
          <w:b/>
          <w:w w:val="105"/>
        </w:rPr>
        <w:t xml:space="preserve">Manic Episode. </w:t>
      </w:r>
      <w:r>
        <w:rPr>
          <w:w w:val="105"/>
        </w:rPr>
        <w:t>These can usually be distinguished from the pattern of conduct problems seen in Conduct Disorder hased on the episodic course and accompanying symptoms characteristic of a Manic Episode. If criteria for both are met, diagnoses of both Conduct Disorder and Bipolar I Disorder can be given.</w:t>
      </w:r>
    </w:p>
    <w:p w:rsidR="00E675F0" w:rsidRDefault="00E675F0" w:rsidP="00E675F0">
      <w:pPr>
        <w:pStyle w:val="BodyText"/>
        <w:spacing w:line="256" w:lineRule="auto"/>
        <w:ind w:left="140" w:right="115" w:firstLine="359"/>
        <w:jc w:val="both"/>
      </w:pPr>
      <w:r>
        <w:rPr>
          <w:w w:val="105"/>
        </w:rPr>
        <w:t xml:space="preserve">The diagnosis of </w:t>
      </w:r>
      <w:r>
        <w:rPr>
          <w:b/>
          <w:w w:val="105"/>
        </w:rPr>
        <w:t xml:space="preserve">Adjustment Disorder </w:t>
      </w:r>
      <w:r>
        <w:rPr>
          <w:w w:val="105"/>
        </w:rPr>
        <w:t xml:space="preserve">(With Disturbance of Conduct or With Mixed Disturbance of Emotions and Conduct) should be considered if clinically significant conduct problems that do not meet the criteria for another specific disorder develop in clear association with the onset of a psychosocial stressor. Isolated conduct problems that do not meet criteria for Conduct Disorder or Adjustment Disorder may be coded as </w:t>
      </w:r>
      <w:r>
        <w:rPr>
          <w:b/>
          <w:w w:val="105"/>
        </w:rPr>
        <w:t xml:space="preserve">Child or Adolescent Antisocial Behavior </w:t>
      </w:r>
      <w:r>
        <w:rPr>
          <w:w w:val="105"/>
        </w:rPr>
        <w:t>(see "Other Conditions That May Be</w:t>
      </w:r>
      <w:r>
        <w:rPr>
          <w:spacing w:val="20"/>
          <w:w w:val="105"/>
        </w:rPr>
        <w:t xml:space="preserve"> </w:t>
      </w:r>
      <w:r>
        <w:rPr>
          <w:w w:val="105"/>
        </w:rPr>
        <w:t>a</w:t>
      </w:r>
      <w:r>
        <w:rPr>
          <w:spacing w:val="23"/>
          <w:w w:val="105"/>
        </w:rPr>
        <w:t xml:space="preserve"> </w:t>
      </w:r>
      <w:r>
        <w:rPr>
          <w:w w:val="105"/>
        </w:rPr>
        <w:t>Focus</w:t>
      </w:r>
      <w:r>
        <w:rPr>
          <w:spacing w:val="18"/>
          <w:w w:val="105"/>
        </w:rPr>
        <w:t xml:space="preserve"> </w:t>
      </w:r>
      <w:r>
        <w:rPr>
          <w:w w:val="105"/>
        </w:rPr>
        <w:t>of</w:t>
      </w:r>
      <w:r>
        <w:rPr>
          <w:spacing w:val="22"/>
          <w:w w:val="105"/>
        </w:rPr>
        <w:t xml:space="preserve"> </w:t>
      </w:r>
      <w:r>
        <w:rPr>
          <w:w w:val="105"/>
        </w:rPr>
        <w:t>Clinical</w:t>
      </w:r>
      <w:r>
        <w:rPr>
          <w:spacing w:val="24"/>
          <w:w w:val="105"/>
        </w:rPr>
        <w:t xml:space="preserve"> </w:t>
      </w:r>
      <w:r>
        <w:rPr>
          <w:w w:val="105"/>
        </w:rPr>
        <w:t>Attention,"</w:t>
      </w:r>
      <w:r>
        <w:rPr>
          <w:spacing w:val="33"/>
          <w:w w:val="105"/>
        </w:rPr>
        <w:t xml:space="preserve"> </w:t>
      </w:r>
      <w:r>
        <w:rPr>
          <w:w w:val="105"/>
        </w:rPr>
        <w:t>p.</w:t>
      </w:r>
      <w:r>
        <w:rPr>
          <w:spacing w:val="14"/>
          <w:w w:val="105"/>
        </w:rPr>
        <w:t xml:space="preserve"> </w:t>
      </w:r>
      <w:r>
        <w:rPr>
          <w:w w:val="105"/>
        </w:rPr>
        <w:t>684).</w:t>
      </w:r>
      <w:r>
        <w:rPr>
          <w:spacing w:val="26"/>
          <w:w w:val="105"/>
        </w:rPr>
        <w:t xml:space="preserve"> </w:t>
      </w:r>
      <w:r>
        <w:rPr>
          <w:w w:val="105"/>
        </w:rPr>
        <w:t>Conduct</w:t>
      </w:r>
      <w:r>
        <w:rPr>
          <w:spacing w:val="27"/>
          <w:w w:val="105"/>
        </w:rPr>
        <w:t xml:space="preserve"> </w:t>
      </w:r>
      <w:r>
        <w:rPr>
          <w:w w:val="105"/>
        </w:rPr>
        <w:t>Disorder</w:t>
      </w:r>
      <w:r>
        <w:rPr>
          <w:spacing w:val="21"/>
          <w:w w:val="105"/>
        </w:rPr>
        <w:t xml:space="preserve"> </w:t>
      </w:r>
      <w:r>
        <w:rPr>
          <w:w w:val="105"/>
        </w:rPr>
        <w:t>is</w:t>
      </w:r>
      <w:r>
        <w:rPr>
          <w:spacing w:val="13"/>
          <w:w w:val="105"/>
        </w:rPr>
        <w:t xml:space="preserve"> </w:t>
      </w:r>
      <w:r>
        <w:rPr>
          <w:w w:val="105"/>
        </w:rPr>
        <w:t>diagnosed</w:t>
      </w:r>
      <w:r>
        <w:rPr>
          <w:spacing w:val="25"/>
          <w:w w:val="105"/>
        </w:rPr>
        <w:t xml:space="preserve"> </w:t>
      </w:r>
      <w:r>
        <w:rPr>
          <w:w w:val="105"/>
        </w:rPr>
        <w:t>only</w:t>
      </w:r>
      <w:r>
        <w:rPr>
          <w:spacing w:val="20"/>
          <w:w w:val="105"/>
        </w:rPr>
        <w:t xml:space="preserve"> </w:t>
      </w:r>
      <w:r>
        <w:rPr>
          <w:w w:val="105"/>
        </w:rPr>
        <w:t>if</w:t>
      </w:r>
      <w:r>
        <w:rPr>
          <w:spacing w:val="24"/>
          <w:w w:val="105"/>
        </w:rPr>
        <w:t xml:space="preserve"> </w:t>
      </w:r>
      <w:r>
        <w:rPr>
          <w:w w:val="105"/>
        </w:rPr>
        <w:t>the</w:t>
      </w:r>
    </w:p>
    <w:p w:rsidR="00E675F0" w:rsidRDefault="00E675F0" w:rsidP="00E675F0">
      <w:pPr>
        <w:spacing w:line="256" w:lineRule="auto"/>
        <w:jc w:val="both"/>
        <w:sectPr w:rsidR="00E675F0">
          <w:pgSz w:w="8960" w:h="14260"/>
          <w:pgMar w:top="1400" w:right="620" w:bottom="280" w:left="600" w:header="696" w:footer="0" w:gutter="0"/>
          <w:cols w:space="720"/>
        </w:sectPr>
      </w:pPr>
    </w:p>
    <w:p w:rsidR="00E675F0" w:rsidRDefault="00E675F0" w:rsidP="00E675F0">
      <w:pPr>
        <w:pStyle w:val="BodyText"/>
        <w:spacing w:before="123" w:line="256" w:lineRule="auto"/>
        <w:ind w:left="120" w:right="119" w:hanging="1"/>
        <w:jc w:val="both"/>
      </w:pPr>
      <w:bookmarkStart w:id="55" w:name="_bookmark40"/>
      <w:bookmarkEnd w:id="55"/>
      <w:r>
        <w:rPr>
          <w:w w:val="105"/>
        </w:rPr>
        <w:lastRenderedPageBreak/>
        <w:t>conduct problems represent a repetitive and persistent pattern that is associated with impairment in social, academic, or occupational functioning.</w:t>
      </w:r>
    </w:p>
    <w:p w:rsidR="00E675F0" w:rsidRDefault="00E675F0" w:rsidP="00E675F0">
      <w:pPr>
        <w:pStyle w:val="BodyText"/>
        <w:spacing w:line="259" w:lineRule="auto"/>
        <w:ind w:left="119" w:right="117" w:firstLine="364"/>
        <w:jc w:val="both"/>
      </w:pPr>
      <w:r>
        <w:rPr>
          <w:w w:val="110"/>
        </w:rPr>
        <w:t>For individuals over age 18 years, a diagnosis of Conduct Disorder can be given only</w:t>
      </w:r>
      <w:r>
        <w:rPr>
          <w:spacing w:val="-13"/>
          <w:w w:val="110"/>
        </w:rPr>
        <w:t xml:space="preserve"> </w:t>
      </w:r>
      <w:r>
        <w:rPr>
          <w:w w:val="110"/>
        </w:rPr>
        <w:t>if</w:t>
      </w:r>
      <w:r>
        <w:rPr>
          <w:spacing w:val="-7"/>
          <w:w w:val="110"/>
        </w:rPr>
        <w:t xml:space="preserve"> </w:t>
      </w:r>
      <w:r>
        <w:rPr>
          <w:w w:val="110"/>
        </w:rPr>
        <w:t>the</w:t>
      </w:r>
      <w:r>
        <w:rPr>
          <w:spacing w:val="-20"/>
          <w:w w:val="110"/>
        </w:rPr>
        <w:t xml:space="preserve"> </w:t>
      </w:r>
      <w:r>
        <w:rPr>
          <w:w w:val="110"/>
        </w:rPr>
        <w:t>criteria are</w:t>
      </w:r>
      <w:r>
        <w:rPr>
          <w:spacing w:val="-11"/>
          <w:w w:val="110"/>
        </w:rPr>
        <w:t xml:space="preserve"> </w:t>
      </w:r>
      <w:r>
        <w:rPr>
          <w:w w:val="110"/>
        </w:rPr>
        <w:t>not</w:t>
      </w:r>
      <w:r>
        <w:rPr>
          <w:spacing w:val="-12"/>
          <w:w w:val="110"/>
        </w:rPr>
        <w:t xml:space="preserve"> </w:t>
      </w:r>
      <w:r>
        <w:rPr>
          <w:w w:val="110"/>
        </w:rPr>
        <w:t>also</w:t>
      </w:r>
      <w:r>
        <w:rPr>
          <w:spacing w:val="-11"/>
          <w:w w:val="110"/>
        </w:rPr>
        <w:t xml:space="preserve"> </w:t>
      </w:r>
      <w:r>
        <w:rPr>
          <w:w w:val="110"/>
        </w:rPr>
        <w:t>met</w:t>
      </w:r>
      <w:r>
        <w:rPr>
          <w:spacing w:val="-13"/>
          <w:w w:val="110"/>
        </w:rPr>
        <w:t xml:space="preserve"> </w:t>
      </w:r>
      <w:r>
        <w:rPr>
          <w:w w:val="110"/>
        </w:rPr>
        <w:t>for</w:t>
      </w:r>
      <w:r>
        <w:rPr>
          <w:spacing w:val="-24"/>
          <w:w w:val="110"/>
        </w:rPr>
        <w:t xml:space="preserve"> </w:t>
      </w:r>
      <w:r>
        <w:rPr>
          <w:b/>
          <w:w w:val="110"/>
        </w:rPr>
        <w:t>AntisocialPersonalityDisorder.</w:t>
      </w:r>
      <w:r>
        <w:rPr>
          <w:b/>
          <w:spacing w:val="-23"/>
          <w:w w:val="110"/>
        </w:rPr>
        <w:t xml:space="preserve"> </w:t>
      </w:r>
      <w:r>
        <w:rPr>
          <w:w w:val="110"/>
        </w:rPr>
        <w:t>The</w:t>
      </w:r>
      <w:r>
        <w:rPr>
          <w:spacing w:val="-10"/>
          <w:w w:val="110"/>
        </w:rPr>
        <w:t xml:space="preserve"> </w:t>
      </w:r>
      <w:r>
        <w:rPr>
          <w:w w:val="110"/>
        </w:rPr>
        <w:t>diagnosis of</w:t>
      </w:r>
      <w:r>
        <w:rPr>
          <w:spacing w:val="-16"/>
          <w:w w:val="110"/>
        </w:rPr>
        <w:t xml:space="preserve"> </w:t>
      </w:r>
      <w:r>
        <w:rPr>
          <w:w w:val="110"/>
        </w:rPr>
        <w:t>Antisocial</w:t>
      </w:r>
      <w:r>
        <w:rPr>
          <w:spacing w:val="-6"/>
          <w:w w:val="110"/>
        </w:rPr>
        <w:t xml:space="preserve"> </w:t>
      </w:r>
      <w:r>
        <w:rPr>
          <w:w w:val="110"/>
        </w:rPr>
        <w:t>Personality</w:t>
      </w:r>
      <w:r>
        <w:rPr>
          <w:spacing w:val="-8"/>
          <w:w w:val="110"/>
        </w:rPr>
        <w:t xml:space="preserve"> </w:t>
      </w:r>
      <w:r>
        <w:rPr>
          <w:w w:val="110"/>
        </w:rPr>
        <w:t>Disorder</w:t>
      </w:r>
      <w:r>
        <w:rPr>
          <w:spacing w:val="-10"/>
          <w:w w:val="110"/>
        </w:rPr>
        <w:t xml:space="preserve"> </w:t>
      </w:r>
      <w:r>
        <w:rPr>
          <w:w w:val="110"/>
        </w:rPr>
        <w:t>cannot</w:t>
      </w:r>
      <w:r>
        <w:rPr>
          <w:spacing w:val="-5"/>
          <w:w w:val="110"/>
        </w:rPr>
        <w:t xml:space="preserve"> </w:t>
      </w:r>
      <w:r>
        <w:rPr>
          <w:w w:val="110"/>
        </w:rPr>
        <w:t>be</w:t>
      </w:r>
      <w:r>
        <w:rPr>
          <w:spacing w:val="-17"/>
          <w:w w:val="110"/>
        </w:rPr>
        <w:t xml:space="preserve"> </w:t>
      </w:r>
      <w:r>
        <w:rPr>
          <w:w w:val="110"/>
        </w:rPr>
        <w:t>given</w:t>
      </w:r>
      <w:r>
        <w:rPr>
          <w:spacing w:val="-9"/>
          <w:w w:val="110"/>
        </w:rPr>
        <w:t xml:space="preserve"> </w:t>
      </w:r>
      <w:r>
        <w:rPr>
          <w:w w:val="110"/>
        </w:rPr>
        <w:t>to</w:t>
      </w:r>
      <w:r>
        <w:rPr>
          <w:spacing w:val="-18"/>
          <w:w w:val="110"/>
        </w:rPr>
        <w:t xml:space="preserve"> </w:t>
      </w:r>
      <w:r>
        <w:rPr>
          <w:w w:val="110"/>
        </w:rPr>
        <w:t>individuals</w:t>
      </w:r>
      <w:r>
        <w:rPr>
          <w:spacing w:val="-3"/>
          <w:w w:val="110"/>
        </w:rPr>
        <w:t xml:space="preserve"> </w:t>
      </w:r>
      <w:r>
        <w:rPr>
          <w:w w:val="110"/>
        </w:rPr>
        <w:t>under</w:t>
      </w:r>
      <w:r>
        <w:rPr>
          <w:spacing w:val="-17"/>
          <w:w w:val="110"/>
        </w:rPr>
        <w:t xml:space="preserve"> </w:t>
      </w:r>
      <w:r>
        <w:rPr>
          <w:w w:val="110"/>
        </w:rPr>
        <w:t>age</w:t>
      </w:r>
      <w:r>
        <w:rPr>
          <w:spacing w:val="-19"/>
          <w:w w:val="110"/>
        </w:rPr>
        <w:t xml:space="preserve"> </w:t>
      </w:r>
      <w:r>
        <w:rPr>
          <w:w w:val="110"/>
        </w:rPr>
        <w:t>18</w:t>
      </w:r>
      <w:r>
        <w:rPr>
          <w:spacing w:val="-22"/>
          <w:w w:val="110"/>
        </w:rPr>
        <w:t xml:space="preserve"> </w:t>
      </w:r>
      <w:r>
        <w:rPr>
          <w:w w:val="110"/>
        </w:rPr>
        <w:t>years.</w:t>
      </w:r>
    </w:p>
    <w:p w:rsidR="00E675F0" w:rsidRDefault="00E675F0" w:rsidP="00E675F0">
      <w:pPr>
        <w:pStyle w:val="BodyText"/>
      </w:pPr>
    </w:p>
    <w:p w:rsidR="00E675F0" w:rsidRDefault="00E675F0" w:rsidP="00E675F0">
      <w:pPr>
        <w:pStyle w:val="BodyText"/>
        <w:spacing w:before="5" w:after="1"/>
        <w:rPr>
          <w:sz w:val="19"/>
        </w:rPr>
      </w:pPr>
    </w:p>
    <w:tbl>
      <w:tblPr>
        <w:tblW w:w="0" w:type="auto"/>
        <w:tblInd w:w="2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7336"/>
      </w:tblGrid>
      <w:tr w:rsidR="00E675F0" w:rsidTr="00A330E1">
        <w:trPr>
          <w:trHeight w:val="10034"/>
        </w:trPr>
        <w:tc>
          <w:tcPr>
            <w:tcW w:w="7336" w:type="dxa"/>
          </w:tcPr>
          <w:p w:rsidR="00E675F0" w:rsidRDefault="00E675F0" w:rsidP="003048D3">
            <w:pPr>
              <w:pStyle w:val="TableParagraph"/>
              <w:numPr>
                <w:ilvl w:val="0"/>
                <w:numId w:val="87"/>
              </w:numPr>
              <w:tabs>
                <w:tab w:val="left" w:pos="636"/>
              </w:tabs>
              <w:spacing w:line="542" w:lineRule="exact"/>
              <w:rPr>
                <w:b/>
                <w:sz w:val="26"/>
              </w:rPr>
            </w:pPr>
            <w:r>
              <w:rPr>
                <w:b/>
                <w:w w:val="105"/>
                <w:sz w:val="26"/>
              </w:rPr>
              <w:t>Diagnostic</w:t>
            </w:r>
            <w:r>
              <w:rPr>
                <w:b/>
                <w:spacing w:val="8"/>
                <w:w w:val="105"/>
                <w:sz w:val="26"/>
              </w:rPr>
              <w:t xml:space="preserve"> </w:t>
            </w:r>
            <w:r>
              <w:rPr>
                <w:b/>
                <w:w w:val="105"/>
                <w:sz w:val="26"/>
              </w:rPr>
              <w:t>criteria</w:t>
            </w:r>
            <w:r>
              <w:rPr>
                <w:b/>
                <w:spacing w:val="-6"/>
                <w:w w:val="105"/>
                <w:sz w:val="26"/>
              </w:rPr>
              <w:t xml:space="preserve"> </w:t>
            </w:r>
            <w:r>
              <w:rPr>
                <w:b/>
                <w:w w:val="105"/>
                <w:sz w:val="26"/>
              </w:rPr>
              <w:t>for</w:t>
            </w:r>
            <w:r>
              <w:rPr>
                <w:b/>
                <w:spacing w:val="1"/>
                <w:w w:val="105"/>
                <w:sz w:val="26"/>
              </w:rPr>
              <w:t xml:space="preserve"> </w:t>
            </w:r>
            <w:r>
              <w:rPr>
                <w:b/>
                <w:w w:val="105"/>
                <w:sz w:val="26"/>
              </w:rPr>
              <w:t>3</w:t>
            </w:r>
            <w:r>
              <w:rPr>
                <w:b/>
                <w:spacing w:val="-40"/>
                <w:w w:val="105"/>
                <w:sz w:val="26"/>
              </w:rPr>
              <w:t xml:space="preserve"> </w:t>
            </w:r>
            <w:r>
              <w:rPr>
                <w:b/>
                <w:w w:val="105"/>
                <w:sz w:val="26"/>
              </w:rPr>
              <w:t>I</w:t>
            </w:r>
            <w:r>
              <w:rPr>
                <w:b/>
                <w:spacing w:val="-36"/>
                <w:w w:val="105"/>
                <w:sz w:val="26"/>
              </w:rPr>
              <w:t xml:space="preserve"> </w:t>
            </w:r>
            <w:r>
              <w:rPr>
                <w:b/>
                <w:w w:val="105"/>
                <w:sz w:val="26"/>
              </w:rPr>
              <w:t>2.8</w:t>
            </w:r>
            <w:r>
              <w:rPr>
                <w:b/>
                <w:spacing w:val="-3"/>
                <w:w w:val="105"/>
                <w:sz w:val="26"/>
              </w:rPr>
              <w:t xml:space="preserve"> </w:t>
            </w:r>
            <w:r>
              <w:rPr>
                <w:b/>
                <w:w w:val="105"/>
                <w:sz w:val="26"/>
              </w:rPr>
              <w:t>Conduct</w:t>
            </w:r>
            <w:r>
              <w:rPr>
                <w:b/>
                <w:spacing w:val="8"/>
                <w:w w:val="105"/>
                <w:sz w:val="26"/>
              </w:rPr>
              <w:t xml:space="preserve"> </w:t>
            </w:r>
            <w:r>
              <w:rPr>
                <w:b/>
                <w:w w:val="105"/>
                <w:sz w:val="26"/>
              </w:rPr>
              <w:t>Disorder</w:t>
            </w:r>
          </w:p>
          <w:p w:rsidR="00E675F0" w:rsidRDefault="00E675F0" w:rsidP="00A330E1">
            <w:pPr>
              <w:pStyle w:val="TableParagraph"/>
              <w:spacing w:before="154" w:line="254" w:lineRule="auto"/>
              <w:ind w:left="947" w:right="229" w:hanging="301"/>
              <w:jc w:val="both"/>
              <w:rPr>
                <w:sz w:val="20"/>
              </w:rPr>
            </w:pPr>
            <w:r>
              <w:rPr>
                <w:w w:val="110"/>
                <w:sz w:val="20"/>
              </w:rPr>
              <w:t>A.</w:t>
            </w:r>
            <w:r>
              <w:rPr>
                <w:spacing w:val="27"/>
                <w:w w:val="110"/>
                <w:sz w:val="20"/>
              </w:rPr>
              <w:t xml:space="preserve"> </w:t>
            </w:r>
            <w:r>
              <w:rPr>
                <w:w w:val="110"/>
                <w:sz w:val="20"/>
              </w:rPr>
              <w:t>A</w:t>
            </w:r>
            <w:r>
              <w:rPr>
                <w:spacing w:val="-18"/>
                <w:w w:val="110"/>
                <w:sz w:val="20"/>
              </w:rPr>
              <w:t xml:space="preserve"> </w:t>
            </w:r>
            <w:r>
              <w:rPr>
                <w:w w:val="110"/>
                <w:sz w:val="20"/>
              </w:rPr>
              <w:t>repetitive</w:t>
            </w:r>
            <w:r>
              <w:rPr>
                <w:spacing w:val="-15"/>
                <w:w w:val="110"/>
                <w:sz w:val="20"/>
              </w:rPr>
              <w:t xml:space="preserve"> </w:t>
            </w:r>
            <w:r>
              <w:rPr>
                <w:w w:val="110"/>
                <w:sz w:val="20"/>
              </w:rPr>
              <w:t>and</w:t>
            </w:r>
            <w:r>
              <w:rPr>
                <w:spacing w:val="-11"/>
                <w:w w:val="110"/>
                <w:sz w:val="20"/>
              </w:rPr>
              <w:t xml:space="preserve"> </w:t>
            </w:r>
            <w:r>
              <w:rPr>
                <w:w w:val="110"/>
                <w:sz w:val="20"/>
              </w:rPr>
              <w:t>persistent</w:t>
            </w:r>
            <w:r>
              <w:rPr>
                <w:spacing w:val="-6"/>
                <w:w w:val="110"/>
                <w:sz w:val="20"/>
              </w:rPr>
              <w:t xml:space="preserve"> </w:t>
            </w:r>
            <w:r>
              <w:rPr>
                <w:w w:val="110"/>
                <w:sz w:val="20"/>
              </w:rPr>
              <w:t>pattern</w:t>
            </w:r>
            <w:r>
              <w:rPr>
                <w:spacing w:val="-15"/>
                <w:w w:val="110"/>
                <w:sz w:val="20"/>
              </w:rPr>
              <w:t xml:space="preserve"> </w:t>
            </w:r>
            <w:r>
              <w:rPr>
                <w:w w:val="110"/>
                <w:sz w:val="20"/>
              </w:rPr>
              <w:t>of</w:t>
            </w:r>
            <w:r>
              <w:rPr>
                <w:spacing w:val="-10"/>
                <w:w w:val="110"/>
                <w:sz w:val="20"/>
              </w:rPr>
              <w:t xml:space="preserve"> </w:t>
            </w:r>
            <w:r>
              <w:rPr>
                <w:w w:val="110"/>
                <w:sz w:val="20"/>
              </w:rPr>
              <w:t>behavior</w:t>
            </w:r>
            <w:r>
              <w:rPr>
                <w:spacing w:val="-16"/>
                <w:w w:val="110"/>
                <w:sz w:val="20"/>
              </w:rPr>
              <w:t xml:space="preserve"> </w:t>
            </w:r>
            <w:r>
              <w:rPr>
                <w:w w:val="110"/>
                <w:sz w:val="20"/>
              </w:rPr>
              <w:t>in</w:t>
            </w:r>
            <w:r>
              <w:rPr>
                <w:spacing w:val="-20"/>
                <w:w w:val="110"/>
                <w:sz w:val="20"/>
              </w:rPr>
              <w:t xml:space="preserve"> </w:t>
            </w:r>
            <w:r>
              <w:rPr>
                <w:w w:val="110"/>
                <w:sz w:val="20"/>
              </w:rPr>
              <w:t>which</w:t>
            </w:r>
            <w:r>
              <w:rPr>
                <w:spacing w:val="-16"/>
                <w:w w:val="110"/>
                <w:sz w:val="20"/>
              </w:rPr>
              <w:t xml:space="preserve"> </w:t>
            </w:r>
            <w:r>
              <w:rPr>
                <w:w w:val="110"/>
                <w:sz w:val="20"/>
              </w:rPr>
              <w:t>the</w:t>
            </w:r>
            <w:r>
              <w:rPr>
                <w:spacing w:val="-15"/>
                <w:w w:val="110"/>
                <w:sz w:val="20"/>
              </w:rPr>
              <w:t xml:space="preserve"> </w:t>
            </w:r>
            <w:r>
              <w:rPr>
                <w:w w:val="110"/>
                <w:sz w:val="20"/>
              </w:rPr>
              <w:t>basic</w:t>
            </w:r>
            <w:r>
              <w:rPr>
                <w:spacing w:val="-15"/>
                <w:w w:val="110"/>
                <w:sz w:val="20"/>
              </w:rPr>
              <w:t xml:space="preserve"> </w:t>
            </w:r>
            <w:r>
              <w:rPr>
                <w:w w:val="110"/>
                <w:sz w:val="20"/>
              </w:rPr>
              <w:t>rights of</w:t>
            </w:r>
            <w:r>
              <w:rPr>
                <w:spacing w:val="-13"/>
                <w:w w:val="110"/>
                <w:sz w:val="20"/>
              </w:rPr>
              <w:t xml:space="preserve"> </w:t>
            </w:r>
            <w:r>
              <w:rPr>
                <w:w w:val="110"/>
                <w:sz w:val="20"/>
              </w:rPr>
              <w:t>others</w:t>
            </w:r>
            <w:r>
              <w:rPr>
                <w:spacing w:val="-15"/>
                <w:w w:val="110"/>
                <w:sz w:val="20"/>
              </w:rPr>
              <w:t xml:space="preserve"> </w:t>
            </w:r>
            <w:r>
              <w:rPr>
                <w:w w:val="110"/>
                <w:sz w:val="20"/>
              </w:rPr>
              <w:t>or</w:t>
            </w:r>
            <w:r>
              <w:rPr>
                <w:spacing w:val="-11"/>
                <w:w w:val="110"/>
                <w:sz w:val="20"/>
              </w:rPr>
              <w:t xml:space="preserve"> </w:t>
            </w:r>
            <w:r>
              <w:rPr>
                <w:w w:val="110"/>
                <w:sz w:val="20"/>
              </w:rPr>
              <w:t>major</w:t>
            </w:r>
            <w:r>
              <w:rPr>
                <w:spacing w:val="-14"/>
                <w:w w:val="110"/>
                <w:sz w:val="20"/>
              </w:rPr>
              <w:t xml:space="preserve"> </w:t>
            </w:r>
            <w:r>
              <w:rPr>
                <w:w w:val="110"/>
                <w:sz w:val="20"/>
              </w:rPr>
              <w:t>age-appropriate</w:t>
            </w:r>
            <w:r>
              <w:rPr>
                <w:spacing w:val="-18"/>
                <w:w w:val="110"/>
                <w:sz w:val="20"/>
              </w:rPr>
              <w:t xml:space="preserve"> </w:t>
            </w:r>
            <w:r>
              <w:rPr>
                <w:w w:val="110"/>
                <w:sz w:val="20"/>
              </w:rPr>
              <w:t>societal</w:t>
            </w:r>
            <w:r>
              <w:rPr>
                <w:spacing w:val="-10"/>
                <w:w w:val="110"/>
                <w:sz w:val="20"/>
              </w:rPr>
              <w:t xml:space="preserve"> </w:t>
            </w:r>
            <w:r>
              <w:rPr>
                <w:w w:val="110"/>
                <w:sz w:val="20"/>
              </w:rPr>
              <w:t>norms</w:t>
            </w:r>
            <w:r>
              <w:rPr>
                <w:spacing w:val="-13"/>
                <w:w w:val="110"/>
                <w:sz w:val="20"/>
              </w:rPr>
              <w:t xml:space="preserve"> </w:t>
            </w:r>
            <w:r>
              <w:rPr>
                <w:w w:val="110"/>
                <w:sz w:val="20"/>
              </w:rPr>
              <w:t>or</w:t>
            </w:r>
            <w:r>
              <w:rPr>
                <w:spacing w:val="-13"/>
                <w:w w:val="110"/>
                <w:sz w:val="20"/>
              </w:rPr>
              <w:t xml:space="preserve"> </w:t>
            </w:r>
            <w:r>
              <w:rPr>
                <w:w w:val="110"/>
                <w:sz w:val="20"/>
              </w:rPr>
              <w:t>rules</w:t>
            </w:r>
            <w:r>
              <w:rPr>
                <w:spacing w:val="-16"/>
                <w:w w:val="110"/>
                <w:sz w:val="20"/>
              </w:rPr>
              <w:t xml:space="preserve"> </w:t>
            </w:r>
            <w:r>
              <w:rPr>
                <w:w w:val="110"/>
                <w:sz w:val="20"/>
              </w:rPr>
              <w:t>are</w:t>
            </w:r>
            <w:r>
              <w:rPr>
                <w:spacing w:val="-17"/>
                <w:w w:val="110"/>
                <w:sz w:val="20"/>
              </w:rPr>
              <w:t xml:space="preserve"> </w:t>
            </w:r>
            <w:r>
              <w:rPr>
                <w:w w:val="110"/>
                <w:sz w:val="20"/>
              </w:rPr>
              <w:t>violated, as</w:t>
            </w:r>
            <w:r>
              <w:rPr>
                <w:spacing w:val="-24"/>
                <w:w w:val="110"/>
                <w:sz w:val="20"/>
              </w:rPr>
              <w:t xml:space="preserve"> </w:t>
            </w:r>
            <w:r>
              <w:rPr>
                <w:w w:val="110"/>
                <w:sz w:val="20"/>
              </w:rPr>
              <w:t>manifested</w:t>
            </w:r>
            <w:r>
              <w:rPr>
                <w:spacing w:val="-16"/>
                <w:w w:val="110"/>
                <w:sz w:val="20"/>
              </w:rPr>
              <w:t xml:space="preserve"> </w:t>
            </w:r>
            <w:r>
              <w:rPr>
                <w:w w:val="110"/>
                <w:sz w:val="20"/>
              </w:rPr>
              <w:t>by</w:t>
            </w:r>
            <w:r>
              <w:rPr>
                <w:spacing w:val="-34"/>
                <w:w w:val="110"/>
                <w:sz w:val="20"/>
              </w:rPr>
              <w:t xml:space="preserve"> </w:t>
            </w:r>
            <w:r>
              <w:rPr>
                <w:w w:val="110"/>
                <w:sz w:val="20"/>
              </w:rPr>
              <w:t>the</w:t>
            </w:r>
            <w:r>
              <w:rPr>
                <w:spacing w:val="-21"/>
                <w:w w:val="110"/>
                <w:sz w:val="20"/>
              </w:rPr>
              <w:t xml:space="preserve"> </w:t>
            </w:r>
            <w:r>
              <w:rPr>
                <w:w w:val="110"/>
                <w:sz w:val="20"/>
              </w:rPr>
              <w:t>presence</w:t>
            </w:r>
            <w:r>
              <w:rPr>
                <w:spacing w:val="-28"/>
                <w:w w:val="110"/>
                <w:sz w:val="20"/>
              </w:rPr>
              <w:t xml:space="preserve"> </w:t>
            </w:r>
            <w:r>
              <w:rPr>
                <w:w w:val="110"/>
                <w:sz w:val="20"/>
              </w:rPr>
              <w:t>of</w:t>
            </w:r>
            <w:r>
              <w:rPr>
                <w:spacing w:val="-27"/>
                <w:w w:val="110"/>
                <w:sz w:val="20"/>
              </w:rPr>
              <w:t xml:space="preserve"> </w:t>
            </w:r>
            <w:r>
              <w:rPr>
                <w:w w:val="110"/>
                <w:sz w:val="20"/>
              </w:rPr>
              <w:t>three</w:t>
            </w:r>
            <w:r>
              <w:rPr>
                <w:spacing w:val="-32"/>
                <w:w w:val="110"/>
                <w:sz w:val="20"/>
              </w:rPr>
              <w:t xml:space="preserve"> </w:t>
            </w:r>
            <w:r>
              <w:rPr>
                <w:w w:val="110"/>
                <w:sz w:val="20"/>
              </w:rPr>
              <w:t>(or</w:t>
            </w:r>
            <w:r>
              <w:rPr>
                <w:spacing w:val="-30"/>
                <w:w w:val="110"/>
                <w:sz w:val="20"/>
              </w:rPr>
              <w:t xml:space="preserve"> </w:t>
            </w:r>
            <w:r>
              <w:rPr>
                <w:w w:val="110"/>
                <w:sz w:val="20"/>
              </w:rPr>
              <w:t>more)</w:t>
            </w:r>
            <w:r>
              <w:rPr>
                <w:spacing w:val="-30"/>
                <w:w w:val="110"/>
                <w:sz w:val="20"/>
              </w:rPr>
              <w:t xml:space="preserve"> </w:t>
            </w:r>
            <w:r>
              <w:rPr>
                <w:w w:val="110"/>
                <w:sz w:val="20"/>
              </w:rPr>
              <w:t>of</w:t>
            </w:r>
            <w:r>
              <w:rPr>
                <w:spacing w:val="-27"/>
                <w:w w:val="110"/>
                <w:sz w:val="20"/>
              </w:rPr>
              <w:t xml:space="preserve"> </w:t>
            </w:r>
            <w:r>
              <w:rPr>
                <w:w w:val="110"/>
                <w:sz w:val="20"/>
              </w:rPr>
              <w:t>the</w:t>
            </w:r>
            <w:r>
              <w:rPr>
                <w:spacing w:val="-33"/>
                <w:w w:val="110"/>
                <w:sz w:val="20"/>
              </w:rPr>
              <w:t xml:space="preserve"> </w:t>
            </w:r>
            <w:r>
              <w:rPr>
                <w:w w:val="110"/>
                <w:sz w:val="20"/>
              </w:rPr>
              <w:t>following</w:t>
            </w:r>
            <w:r>
              <w:rPr>
                <w:spacing w:val="-27"/>
                <w:w w:val="110"/>
                <w:sz w:val="20"/>
              </w:rPr>
              <w:t xml:space="preserve"> </w:t>
            </w:r>
            <w:r>
              <w:rPr>
                <w:w w:val="110"/>
                <w:sz w:val="20"/>
              </w:rPr>
              <w:t>criteria in the past 12 months, with at least one  criterion present in the past  6</w:t>
            </w:r>
            <w:r>
              <w:rPr>
                <w:spacing w:val="13"/>
                <w:w w:val="110"/>
                <w:sz w:val="20"/>
              </w:rPr>
              <w:t xml:space="preserve"> </w:t>
            </w:r>
            <w:r>
              <w:rPr>
                <w:w w:val="110"/>
                <w:sz w:val="20"/>
              </w:rPr>
              <w:t>months:</w:t>
            </w:r>
          </w:p>
          <w:p w:rsidR="00E675F0" w:rsidRDefault="00E675F0" w:rsidP="00A330E1">
            <w:pPr>
              <w:pStyle w:val="TableParagraph"/>
              <w:spacing w:before="184"/>
              <w:ind w:left="949"/>
              <w:rPr>
                <w:rFonts w:ascii="Arial"/>
                <w:b/>
                <w:sz w:val="20"/>
              </w:rPr>
            </w:pPr>
            <w:r>
              <w:rPr>
                <w:b/>
                <w:w w:val="110"/>
                <w:sz w:val="20"/>
              </w:rPr>
              <w:t xml:space="preserve">Aggression to people and </w:t>
            </w:r>
            <w:r>
              <w:rPr>
                <w:rFonts w:ascii="Arial"/>
                <w:b/>
                <w:w w:val="110"/>
                <w:sz w:val="20"/>
              </w:rPr>
              <w:t>animals</w:t>
            </w:r>
          </w:p>
          <w:p w:rsidR="00E675F0" w:rsidRDefault="00E675F0" w:rsidP="003048D3">
            <w:pPr>
              <w:pStyle w:val="TableParagraph"/>
              <w:numPr>
                <w:ilvl w:val="1"/>
                <w:numId w:val="87"/>
              </w:numPr>
              <w:tabs>
                <w:tab w:val="left" w:pos="1378"/>
              </w:tabs>
              <w:spacing w:before="73"/>
              <w:ind w:hanging="426"/>
              <w:rPr>
                <w:sz w:val="20"/>
              </w:rPr>
            </w:pPr>
            <w:r>
              <w:rPr>
                <w:w w:val="105"/>
                <w:sz w:val="20"/>
              </w:rPr>
              <w:t>often bullies, threatens, or intimidates</w:t>
            </w:r>
            <w:r>
              <w:rPr>
                <w:spacing w:val="21"/>
                <w:w w:val="105"/>
                <w:sz w:val="20"/>
              </w:rPr>
              <w:t xml:space="preserve"> </w:t>
            </w:r>
            <w:r>
              <w:rPr>
                <w:w w:val="105"/>
                <w:sz w:val="20"/>
              </w:rPr>
              <w:t>others</w:t>
            </w:r>
          </w:p>
          <w:p w:rsidR="00E675F0" w:rsidRDefault="00E675F0" w:rsidP="003048D3">
            <w:pPr>
              <w:pStyle w:val="TableParagraph"/>
              <w:numPr>
                <w:ilvl w:val="1"/>
                <w:numId w:val="87"/>
              </w:numPr>
              <w:tabs>
                <w:tab w:val="left" w:pos="1383"/>
              </w:tabs>
              <w:spacing w:before="15"/>
              <w:ind w:left="1382" w:hanging="426"/>
              <w:rPr>
                <w:sz w:val="20"/>
              </w:rPr>
            </w:pPr>
            <w:r>
              <w:rPr>
                <w:w w:val="105"/>
                <w:sz w:val="20"/>
              </w:rPr>
              <w:t>often initiates physical</w:t>
            </w:r>
            <w:r>
              <w:rPr>
                <w:spacing w:val="-9"/>
                <w:w w:val="105"/>
                <w:sz w:val="20"/>
              </w:rPr>
              <w:t xml:space="preserve"> </w:t>
            </w:r>
            <w:r>
              <w:rPr>
                <w:w w:val="105"/>
                <w:sz w:val="20"/>
              </w:rPr>
              <w:t>fights</w:t>
            </w:r>
          </w:p>
          <w:p w:rsidR="00E675F0" w:rsidRDefault="00E675F0" w:rsidP="003048D3">
            <w:pPr>
              <w:pStyle w:val="TableParagraph"/>
              <w:numPr>
                <w:ilvl w:val="1"/>
                <w:numId w:val="87"/>
              </w:numPr>
              <w:tabs>
                <w:tab w:val="left" w:pos="1388"/>
              </w:tabs>
              <w:spacing w:before="15" w:line="256" w:lineRule="auto"/>
              <w:ind w:left="1376" w:right="229" w:hanging="424"/>
              <w:rPr>
                <w:sz w:val="20"/>
              </w:rPr>
            </w:pPr>
            <w:r>
              <w:rPr>
                <w:w w:val="105"/>
                <w:sz w:val="20"/>
              </w:rPr>
              <w:t>has used a weapon that can cause serious physical harm to others (e.g., a bat, brick, broken bottle, knife,</w:t>
            </w:r>
            <w:r>
              <w:rPr>
                <w:spacing w:val="45"/>
                <w:w w:val="105"/>
                <w:sz w:val="20"/>
              </w:rPr>
              <w:t xml:space="preserve"> </w:t>
            </w:r>
            <w:r>
              <w:rPr>
                <w:w w:val="105"/>
                <w:sz w:val="20"/>
              </w:rPr>
              <w:t>gun)</w:t>
            </w:r>
          </w:p>
          <w:p w:rsidR="00E675F0" w:rsidRDefault="00E675F0" w:rsidP="003048D3">
            <w:pPr>
              <w:pStyle w:val="TableParagraph"/>
              <w:numPr>
                <w:ilvl w:val="1"/>
                <w:numId w:val="87"/>
              </w:numPr>
              <w:tabs>
                <w:tab w:val="left" w:pos="1388"/>
              </w:tabs>
              <w:spacing w:line="223" w:lineRule="exact"/>
              <w:ind w:left="1387" w:hanging="431"/>
              <w:rPr>
                <w:sz w:val="20"/>
              </w:rPr>
            </w:pPr>
            <w:r>
              <w:rPr>
                <w:w w:val="105"/>
                <w:sz w:val="20"/>
              </w:rPr>
              <w:t>has been physically cruel to</w:t>
            </w:r>
            <w:r>
              <w:rPr>
                <w:spacing w:val="-27"/>
                <w:w w:val="105"/>
                <w:sz w:val="20"/>
              </w:rPr>
              <w:t xml:space="preserve"> </w:t>
            </w:r>
            <w:r>
              <w:rPr>
                <w:w w:val="105"/>
                <w:sz w:val="20"/>
              </w:rPr>
              <w:t>people</w:t>
            </w:r>
          </w:p>
          <w:p w:rsidR="00E675F0" w:rsidRDefault="00E675F0" w:rsidP="003048D3">
            <w:pPr>
              <w:pStyle w:val="TableParagraph"/>
              <w:numPr>
                <w:ilvl w:val="1"/>
                <w:numId w:val="87"/>
              </w:numPr>
              <w:tabs>
                <w:tab w:val="left" w:pos="1388"/>
              </w:tabs>
              <w:spacing w:before="15"/>
              <w:ind w:left="1387" w:hanging="436"/>
              <w:rPr>
                <w:sz w:val="20"/>
              </w:rPr>
            </w:pPr>
            <w:r>
              <w:rPr>
                <w:w w:val="105"/>
                <w:sz w:val="20"/>
              </w:rPr>
              <w:t>has been  physically cruel to</w:t>
            </w:r>
            <w:r>
              <w:rPr>
                <w:spacing w:val="17"/>
                <w:w w:val="105"/>
                <w:sz w:val="20"/>
              </w:rPr>
              <w:t xml:space="preserve"> </w:t>
            </w:r>
            <w:r>
              <w:rPr>
                <w:w w:val="105"/>
                <w:sz w:val="20"/>
              </w:rPr>
              <w:t>animals</w:t>
            </w:r>
          </w:p>
          <w:p w:rsidR="00E675F0" w:rsidRDefault="00E675F0" w:rsidP="003048D3">
            <w:pPr>
              <w:pStyle w:val="TableParagraph"/>
              <w:numPr>
                <w:ilvl w:val="1"/>
                <w:numId w:val="87"/>
              </w:numPr>
              <w:tabs>
                <w:tab w:val="left" w:pos="1388"/>
              </w:tabs>
              <w:spacing w:before="15" w:line="256" w:lineRule="auto"/>
              <w:ind w:left="1379" w:right="801" w:hanging="427"/>
              <w:rPr>
                <w:sz w:val="20"/>
              </w:rPr>
            </w:pPr>
            <w:r>
              <w:rPr>
                <w:w w:val="105"/>
                <w:sz w:val="20"/>
              </w:rPr>
              <w:t>has stolen while confronting a victim (e.g., mugging, purse snatching, extortion, armed</w:t>
            </w:r>
            <w:r>
              <w:rPr>
                <w:spacing w:val="11"/>
                <w:w w:val="105"/>
                <w:sz w:val="20"/>
              </w:rPr>
              <w:t xml:space="preserve"> </w:t>
            </w:r>
            <w:r>
              <w:rPr>
                <w:w w:val="105"/>
                <w:sz w:val="20"/>
              </w:rPr>
              <w:t>robbery)</w:t>
            </w:r>
          </w:p>
          <w:p w:rsidR="00E675F0" w:rsidRDefault="00E675F0" w:rsidP="003048D3">
            <w:pPr>
              <w:pStyle w:val="TableParagraph"/>
              <w:numPr>
                <w:ilvl w:val="1"/>
                <w:numId w:val="87"/>
              </w:numPr>
              <w:tabs>
                <w:tab w:val="left" w:pos="1388"/>
              </w:tabs>
              <w:spacing w:line="228" w:lineRule="exact"/>
              <w:ind w:left="1387" w:hanging="431"/>
              <w:rPr>
                <w:sz w:val="20"/>
              </w:rPr>
            </w:pPr>
            <w:r>
              <w:rPr>
                <w:w w:val="110"/>
                <w:sz w:val="20"/>
              </w:rPr>
              <w:t>has forced someone into sexual</w:t>
            </w:r>
            <w:r>
              <w:rPr>
                <w:spacing w:val="17"/>
                <w:w w:val="110"/>
                <w:sz w:val="20"/>
              </w:rPr>
              <w:t xml:space="preserve"> </w:t>
            </w:r>
            <w:r>
              <w:rPr>
                <w:w w:val="110"/>
                <w:sz w:val="20"/>
              </w:rPr>
              <w:t>activity</w:t>
            </w:r>
          </w:p>
          <w:p w:rsidR="00E675F0" w:rsidRDefault="00E675F0" w:rsidP="00A330E1">
            <w:pPr>
              <w:pStyle w:val="TableParagraph"/>
              <w:spacing w:before="189"/>
              <w:ind w:left="958"/>
              <w:rPr>
                <w:b/>
                <w:sz w:val="20"/>
              </w:rPr>
            </w:pPr>
            <w:r>
              <w:rPr>
                <w:b/>
                <w:w w:val="110"/>
                <w:sz w:val="20"/>
              </w:rPr>
              <w:t>Destruction of property</w:t>
            </w:r>
          </w:p>
          <w:p w:rsidR="00E675F0" w:rsidRDefault="00E675F0" w:rsidP="003048D3">
            <w:pPr>
              <w:pStyle w:val="TableParagraph"/>
              <w:numPr>
                <w:ilvl w:val="1"/>
                <w:numId w:val="87"/>
              </w:numPr>
              <w:tabs>
                <w:tab w:val="left" w:pos="1388"/>
              </w:tabs>
              <w:spacing w:before="72" w:line="256" w:lineRule="auto"/>
              <w:ind w:left="1384" w:right="232" w:hanging="432"/>
              <w:rPr>
                <w:sz w:val="20"/>
              </w:rPr>
            </w:pPr>
            <w:r>
              <w:rPr>
                <w:w w:val="105"/>
                <w:sz w:val="20"/>
              </w:rPr>
              <w:t>has</w:t>
            </w:r>
            <w:r>
              <w:rPr>
                <w:spacing w:val="-19"/>
                <w:w w:val="105"/>
                <w:sz w:val="20"/>
              </w:rPr>
              <w:t xml:space="preserve"> </w:t>
            </w:r>
            <w:r>
              <w:rPr>
                <w:w w:val="105"/>
                <w:sz w:val="20"/>
              </w:rPr>
              <w:t>deliberately</w:t>
            </w:r>
            <w:r>
              <w:rPr>
                <w:spacing w:val="-2"/>
                <w:w w:val="105"/>
                <w:sz w:val="20"/>
              </w:rPr>
              <w:t xml:space="preserve"> </w:t>
            </w:r>
            <w:r>
              <w:rPr>
                <w:w w:val="105"/>
                <w:sz w:val="20"/>
              </w:rPr>
              <w:t>engaged</w:t>
            </w:r>
            <w:r>
              <w:rPr>
                <w:spacing w:val="-2"/>
                <w:w w:val="105"/>
                <w:sz w:val="20"/>
              </w:rPr>
              <w:t xml:space="preserve"> </w:t>
            </w:r>
            <w:r>
              <w:rPr>
                <w:w w:val="105"/>
                <w:sz w:val="20"/>
              </w:rPr>
              <w:t>in</w:t>
            </w:r>
            <w:r>
              <w:rPr>
                <w:spacing w:val="-20"/>
                <w:w w:val="105"/>
                <w:sz w:val="20"/>
              </w:rPr>
              <w:t xml:space="preserve"> </w:t>
            </w:r>
            <w:r>
              <w:rPr>
                <w:w w:val="105"/>
                <w:sz w:val="20"/>
              </w:rPr>
              <w:t>fire</w:t>
            </w:r>
            <w:r>
              <w:rPr>
                <w:spacing w:val="-18"/>
                <w:w w:val="105"/>
                <w:sz w:val="20"/>
              </w:rPr>
              <w:t xml:space="preserve"> </w:t>
            </w:r>
            <w:r>
              <w:rPr>
                <w:w w:val="105"/>
                <w:sz w:val="20"/>
              </w:rPr>
              <w:t>setting</w:t>
            </w:r>
            <w:r>
              <w:rPr>
                <w:spacing w:val="-4"/>
                <w:w w:val="105"/>
                <w:sz w:val="20"/>
              </w:rPr>
              <w:t xml:space="preserve"> </w:t>
            </w:r>
            <w:r>
              <w:rPr>
                <w:w w:val="105"/>
                <w:sz w:val="20"/>
              </w:rPr>
              <w:t>with</w:t>
            </w:r>
            <w:r>
              <w:rPr>
                <w:spacing w:val="-4"/>
                <w:w w:val="105"/>
                <w:sz w:val="20"/>
              </w:rPr>
              <w:t xml:space="preserve"> </w:t>
            </w:r>
            <w:r>
              <w:rPr>
                <w:w w:val="105"/>
                <w:sz w:val="20"/>
              </w:rPr>
              <w:t>the</w:t>
            </w:r>
            <w:r>
              <w:rPr>
                <w:spacing w:val="-12"/>
                <w:w w:val="105"/>
                <w:sz w:val="20"/>
              </w:rPr>
              <w:t xml:space="preserve"> </w:t>
            </w:r>
            <w:r>
              <w:rPr>
                <w:w w:val="105"/>
                <w:sz w:val="20"/>
              </w:rPr>
              <w:t>intention</w:t>
            </w:r>
            <w:r>
              <w:rPr>
                <w:spacing w:val="-3"/>
                <w:w w:val="105"/>
                <w:sz w:val="20"/>
              </w:rPr>
              <w:t xml:space="preserve"> </w:t>
            </w:r>
            <w:r>
              <w:rPr>
                <w:w w:val="105"/>
                <w:sz w:val="20"/>
              </w:rPr>
              <w:t>of causing serious</w:t>
            </w:r>
            <w:r>
              <w:rPr>
                <w:spacing w:val="7"/>
                <w:w w:val="105"/>
                <w:sz w:val="20"/>
              </w:rPr>
              <w:t xml:space="preserve"> </w:t>
            </w:r>
            <w:r>
              <w:rPr>
                <w:w w:val="105"/>
                <w:sz w:val="20"/>
              </w:rPr>
              <w:t>damage</w:t>
            </w:r>
          </w:p>
          <w:p w:rsidR="00E675F0" w:rsidRDefault="00E675F0" w:rsidP="003048D3">
            <w:pPr>
              <w:pStyle w:val="TableParagraph"/>
              <w:numPr>
                <w:ilvl w:val="1"/>
                <w:numId w:val="87"/>
              </w:numPr>
              <w:tabs>
                <w:tab w:val="left" w:pos="1388"/>
              </w:tabs>
              <w:spacing w:line="252" w:lineRule="auto"/>
              <w:ind w:left="1379" w:right="222" w:hanging="422"/>
              <w:rPr>
                <w:sz w:val="20"/>
              </w:rPr>
            </w:pPr>
            <w:r>
              <w:rPr>
                <w:w w:val="105"/>
                <w:sz w:val="20"/>
              </w:rPr>
              <w:t xml:space="preserve">has deliberately destroyed others' property (other than by </w:t>
            </w:r>
            <w:r>
              <w:rPr>
                <w:spacing w:val="-3"/>
                <w:w w:val="105"/>
                <w:sz w:val="20"/>
              </w:rPr>
              <w:t xml:space="preserve">fire </w:t>
            </w:r>
            <w:r>
              <w:rPr>
                <w:w w:val="105"/>
                <w:sz w:val="20"/>
              </w:rPr>
              <w:t>setting)</w:t>
            </w:r>
          </w:p>
          <w:p w:rsidR="00E675F0" w:rsidRDefault="00E675F0" w:rsidP="00A330E1">
            <w:pPr>
              <w:pStyle w:val="TableParagraph"/>
              <w:spacing w:before="169"/>
              <w:ind w:left="958"/>
              <w:rPr>
                <w:b/>
                <w:sz w:val="20"/>
              </w:rPr>
            </w:pPr>
            <w:r>
              <w:rPr>
                <w:b/>
                <w:w w:val="115"/>
                <w:sz w:val="20"/>
              </w:rPr>
              <w:t>Deceitfulness or theft</w:t>
            </w:r>
          </w:p>
          <w:p w:rsidR="00E675F0" w:rsidRDefault="00E675F0" w:rsidP="003048D3">
            <w:pPr>
              <w:pStyle w:val="TableParagraph"/>
              <w:numPr>
                <w:ilvl w:val="1"/>
                <w:numId w:val="87"/>
              </w:numPr>
              <w:tabs>
                <w:tab w:val="left" w:pos="1489"/>
              </w:tabs>
              <w:spacing w:before="68"/>
              <w:ind w:left="1488" w:hanging="532"/>
              <w:rPr>
                <w:sz w:val="20"/>
              </w:rPr>
            </w:pPr>
            <w:r>
              <w:rPr>
                <w:w w:val="105"/>
                <w:sz w:val="20"/>
              </w:rPr>
              <w:t>has broken into someone else's house, building, or</w:t>
            </w:r>
            <w:r>
              <w:rPr>
                <w:spacing w:val="-20"/>
                <w:w w:val="105"/>
                <w:sz w:val="20"/>
              </w:rPr>
              <w:t xml:space="preserve"> </w:t>
            </w:r>
            <w:r>
              <w:rPr>
                <w:w w:val="105"/>
                <w:sz w:val="20"/>
              </w:rPr>
              <w:t>car</w:t>
            </w:r>
          </w:p>
          <w:p w:rsidR="00E675F0" w:rsidRDefault="00E675F0" w:rsidP="003048D3">
            <w:pPr>
              <w:pStyle w:val="TableParagraph"/>
              <w:numPr>
                <w:ilvl w:val="1"/>
                <w:numId w:val="87"/>
              </w:numPr>
              <w:tabs>
                <w:tab w:val="left" w:pos="1484"/>
              </w:tabs>
              <w:spacing w:before="15" w:line="256" w:lineRule="auto"/>
              <w:ind w:left="1486" w:right="228" w:hanging="530"/>
              <w:rPr>
                <w:sz w:val="20"/>
              </w:rPr>
            </w:pPr>
            <w:r>
              <w:rPr>
                <w:w w:val="105"/>
                <w:sz w:val="20"/>
              </w:rPr>
              <w:t>often lies to obtain goods or favors or to avoid obligations (i.e., "cons"</w:t>
            </w:r>
            <w:r>
              <w:rPr>
                <w:spacing w:val="7"/>
                <w:w w:val="105"/>
                <w:sz w:val="20"/>
              </w:rPr>
              <w:t xml:space="preserve"> </w:t>
            </w:r>
            <w:r>
              <w:rPr>
                <w:w w:val="105"/>
                <w:sz w:val="20"/>
              </w:rPr>
              <w:t>others)</w:t>
            </w:r>
          </w:p>
          <w:p w:rsidR="00E675F0" w:rsidRDefault="00E675F0" w:rsidP="003048D3">
            <w:pPr>
              <w:pStyle w:val="TableParagraph"/>
              <w:numPr>
                <w:ilvl w:val="1"/>
                <w:numId w:val="87"/>
              </w:numPr>
              <w:tabs>
                <w:tab w:val="left" w:pos="1489"/>
              </w:tabs>
              <w:spacing w:line="256" w:lineRule="auto"/>
              <w:ind w:left="1486" w:right="231" w:hanging="530"/>
              <w:rPr>
                <w:sz w:val="20"/>
              </w:rPr>
            </w:pPr>
            <w:r>
              <w:rPr>
                <w:w w:val="105"/>
                <w:sz w:val="20"/>
              </w:rPr>
              <w:t>has stolen items of nontrivial value without confronting a victim (e.g., shoplifting, but without breaking and entering;</w:t>
            </w:r>
            <w:r>
              <w:rPr>
                <w:spacing w:val="5"/>
                <w:w w:val="105"/>
                <w:sz w:val="20"/>
              </w:rPr>
              <w:t xml:space="preserve"> </w:t>
            </w:r>
            <w:r>
              <w:rPr>
                <w:w w:val="105"/>
                <w:sz w:val="20"/>
              </w:rPr>
              <w:t>forgery)</w:t>
            </w:r>
          </w:p>
          <w:p w:rsidR="00E675F0" w:rsidRDefault="00E675F0" w:rsidP="00A330E1">
            <w:pPr>
              <w:pStyle w:val="TableParagraph"/>
              <w:spacing w:before="184"/>
              <w:ind w:left="955"/>
              <w:jc w:val="both"/>
              <w:rPr>
                <w:b/>
                <w:sz w:val="20"/>
              </w:rPr>
            </w:pPr>
            <w:r>
              <w:rPr>
                <w:b/>
                <w:w w:val="115"/>
                <w:sz w:val="20"/>
              </w:rPr>
              <w:t>Serious violations of rules</w:t>
            </w:r>
          </w:p>
          <w:p w:rsidR="00E675F0" w:rsidRDefault="00E675F0" w:rsidP="003048D3">
            <w:pPr>
              <w:pStyle w:val="TableParagraph"/>
              <w:numPr>
                <w:ilvl w:val="1"/>
                <w:numId w:val="87"/>
              </w:numPr>
              <w:tabs>
                <w:tab w:val="left" w:pos="1488"/>
              </w:tabs>
              <w:spacing w:before="73" w:line="261" w:lineRule="auto"/>
              <w:ind w:left="1495" w:right="233" w:hanging="538"/>
              <w:jc w:val="both"/>
              <w:rPr>
                <w:sz w:val="20"/>
              </w:rPr>
            </w:pPr>
            <w:r>
              <w:rPr>
                <w:w w:val="105"/>
                <w:sz w:val="20"/>
              </w:rPr>
              <w:t>often stays out at night despite parental prohibitions, beginning before age 13</w:t>
            </w:r>
            <w:r>
              <w:rPr>
                <w:spacing w:val="13"/>
                <w:w w:val="105"/>
                <w:sz w:val="20"/>
              </w:rPr>
              <w:t xml:space="preserve"> </w:t>
            </w:r>
            <w:r>
              <w:rPr>
                <w:w w:val="105"/>
                <w:sz w:val="20"/>
              </w:rPr>
              <w:t>years</w:t>
            </w:r>
          </w:p>
          <w:p w:rsidR="00E675F0" w:rsidRDefault="00E675F0" w:rsidP="003048D3">
            <w:pPr>
              <w:pStyle w:val="TableParagraph"/>
              <w:numPr>
                <w:ilvl w:val="1"/>
                <w:numId w:val="87"/>
              </w:numPr>
              <w:tabs>
                <w:tab w:val="left" w:pos="1489"/>
              </w:tabs>
              <w:spacing w:line="256" w:lineRule="auto"/>
              <w:ind w:left="1482" w:right="224" w:hanging="525"/>
              <w:jc w:val="both"/>
              <w:rPr>
                <w:sz w:val="20"/>
              </w:rPr>
            </w:pPr>
            <w:r>
              <w:rPr>
                <w:w w:val="105"/>
                <w:sz w:val="20"/>
              </w:rPr>
              <w:t>has run away from home overnight at least twice while living in parental or parental surrogate home (or once without returning  for a lengthy</w:t>
            </w:r>
            <w:r>
              <w:rPr>
                <w:spacing w:val="44"/>
                <w:w w:val="105"/>
                <w:sz w:val="20"/>
              </w:rPr>
              <w:t xml:space="preserve"> </w:t>
            </w:r>
            <w:r>
              <w:rPr>
                <w:w w:val="105"/>
                <w:sz w:val="20"/>
              </w:rPr>
              <w:t>period)</w:t>
            </w:r>
          </w:p>
          <w:p w:rsidR="00E675F0" w:rsidRDefault="00E675F0" w:rsidP="003048D3">
            <w:pPr>
              <w:pStyle w:val="TableParagraph"/>
              <w:numPr>
                <w:ilvl w:val="1"/>
                <w:numId w:val="87"/>
              </w:numPr>
              <w:tabs>
                <w:tab w:val="left" w:pos="1489"/>
              </w:tabs>
              <w:spacing w:line="222" w:lineRule="exact"/>
              <w:ind w:left="1488" w:hanging="532"/>
              <w:jc w:val="both"/>
              <w:rPr>
                <w:sz w:val="20"/>
              </w:rPr>
            </w:pPr>
            <w:r>
              <w:rPr>
                <w:w w:val="105"/>
                <w:sz w:val="20"/>
              </w:rPr>
              <w:t>is often truant from school, beginning before age 13</w:t>
            </w:r>
            <w:r>
              <w:rPr>
                <w:spacing w:val="2"/>
                <w:w w:val="105"/>
                <w:sz w:val="20"/>
              </w:rPr>
              <w:t xml:space="preserve"> </w:t>
            </w:r>
            <w:r>
              <w:rPr>
                <w:w w:val="105"/>
                <w:sz w:val="20"/>
              </w:rPr>
              <w:t>years</w:t>
            </w:r>
          </w:p>
          <w:p w:rsidR="00E675F0" w:rsidRDefault="00E675F0" w:rsidP="00A330E1">
            <w:pPr>
              <w:pStyle w:val="TableParagraph"/>
              <w:spacing w:before="4"/>
              <w:ind w:right="204"/>
              <w:jc w:val="right"/>
              <w:rPr>
                <w:i/>
                <w:sz w:val="20"/>
              </w:rPr>
            </w:pPr>
            <w:r>
              <w:rPr>
                <w:i/>
                <w:w w:val="110"/>
                <w:sz w:val="20"/>
              </w:rPr>
              <w:t>(continued)</w:t>
            </w:r>
          </w:p>
        </w:tc>
      </w:tr>
    </w:tbl>
    <w:p w:rsidR="00E675F0" w:rsidRDefault="00E675F0" w:rsidP="00E675F0">
      <w:pPr>
        <w:jc w:val="right"/>
        <w:rPr>
          <w:sz w:val="20"/>
        </w:rPr>
        <w:sectPr w:rsidR="00E675F0">
          <w:headerReference w:type="even" r:id="rId106"/>
          <w:headerReference w:type="default" r:id="rId107"/>
          <w:pgSz w:w="8960" w:h="14260"/>
          <w:pgMar w:top="1400" w:right="640" w:bottom="280" w:left="600" w:header="683" w:footer="0" w:gutter="0"/>
          <w:pgNumType w:start="90"/>
          <w:cols w:space="720"/>
        </w:sectPr>
      </w:pPr>
    </w:p>
    <w:p w:rsidR="00E675F0" w:rsidRDefault="00E675F0" w:rsidP="00E675F0">
      <w:pPr>
        <w:pStyle w:val="BodyText"/>
        <w:spacing w:before="9" w:after="1"/>
        <w:rPr>
          <w:sz w:val="9"/>
        </w:rPr>
      </w:pPr>
    </w:p>
    <w:tbl>
      <w:tblPr>
        <w:tblW w:w="0" w:type="auto"/>
        <w:tblInd w:w="226"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7322"/>
      </w:tblGrid>
      <w:tr w:rsidR="00E675F0" w:rsidTr="00A330E1">
        <w:trPr>
          <w:trHeight w:val="5285"/>
        </w:trPr>
        <w:tc>
          <w:tcPr>
            <w:tcW w:w="7322" w:type="dxa"/>
          </w:tcPr>
          <w:p w:rsidR="00E675F0" w:rsidRDefault="00E675F0" w:rsidP="003048D3">
            <w:pPr>
              <w:pStyle w:val="TableParagraph"/>
              <w:numPr>
                <w:ilvl w:val="0"/>
                <w:numId w:val="86"/>
              </w:numPr>
              <w:tabs>
                <w:tab w:val="left" w:pos="585"/>
              </w:tabs>
              <w:spacing w:before="55"/>
              <w:ind w:hanging="335"/>
              <w:rPr>
                <w:rFonts w:ascii="Arial" w:hAnsi="Arial"/>
                <w:i/>
              </w:rPr>
            </w:pPr>
            <w:bookmarkStart w:id="56" w:name="_bookmark41"/>
            <w:bookmarkEnd w:id="56"/>
            <w:r>
              <w:rPr>
                <w:rFonts w:ascii="Arial" w:hAnsi="Arial"/>
                <w:b/>
              </w:rPr>
              <w:t>Diagnostic criteria for 312.8 Conduct Disorder</w:t>
            </w:r>
            <w:r>
              <w:rPr>
                <w:rFonts w:ascii="Arial" w:hAnsi="Arial"/>
                <w:b/>
                <w:spacing w:val="51"/>
              </w:rPr>
              <w:t xml:space="preserve"> </w:t>
            </w:r>
            <w:r>
              <w:rPr>
                <w:rFonts w:ascii="Arial" w:hAnsi="Arial"/>
                <w:i/>
              </w:rPr>
              <w:t>(continued)</w:t>
            </w:r>
          </w:p>
          <w:p w:rsidR="00E675F0" w:rsidRDefault="00E675F0" w:rsidP="00A330E1">
            <w:pPr>
              <w:pStyle w:val="TableParagraph"/>
              <w:spacing w:before="185" w:line="256" w:lineRule="auto"/>
              <w:ind w:left="946" w:right="241" w:hanging="302"/>
              <w:rPr>
                <w:sz w:val="20"/>
              </w:rPr>
            </w:pPr>
            <w:r>
              <w:rPr>
                <w:w w:val="105"/>
                <w:sz w:val="20"/>
              </w:rPr>
              <w:t>B. The disturbance in behavior causes clinically significant impairment in social, academic, or occupational functioning.</w:t>
            </w:r>
          </w:p>
          <w:p w:rsidR="00E675F0" w:rsidRDefault="00E675F0" w:rsidP="00A330E1">
            <w:pPr>
              <w:pStyle w:val="TableParagraph"/>
              <w:spacing w:before="181" w:line="256" w:lineRule="auto"/>
              <w:ind w:left="952" w:right="241" w:hanging="309"/>
              <w:rPr>
                <w:sz w:val="20"/>
              </w:rPr>
            </w:pPr>
            <w:r>
              <w:rPr>
                <w:rFonts w:ascii="Arial"/>
                <w:w w:val="105"/>
                <w:sz w:val="18"/>
              </w:rPr>
              <w:t xml:space="preserve">C. </w:t>
            </w:r>
            <w:r>
              <w:rPr>
                <w:w w:val="105"/>
                <w:sz w:val="20"/>
              </w:rPr>
              <w:t>If</w:t>
            </w:r>
            <w:r>
              <w:rPr>
                <w:spacing w:val="-9"/>
                <w:w w:val="105"/>
                <w:sz w:val="20"/>
              </w:rPr>
              <w:t xml:space="preserve"> </w:t>
            </w:r>
            <w:r>
              <w:rPr>
                <w:w w:val="105"/>
                <w:sz w:val="20"/>
              </w:rPr>
              <w:t>the</w:t>
            </w:r>
            <w:r>
              <w:rPr>
                <w:spacing w:val="-14"/>
                <w:w w:val="105"/>
                <w:sz w:val="20"/>
              </w:rPr>
              <w:t xml:space="preserve"> </w:t>
            </w:r>
            <w:r>
              <w:rPr>
                <w:w w:val="105"/>
                <w:sz w:val="20"/>
              </w:rPr>
              <w:t>individual</w:t>
            </w:r>
            <w:r>
              <w:rPr>
                <w:spacing w:val="-8"/>
                <w:w w:val="105"/>
                <w:sz w:val="20"/>
              </w:rPr>
              <w:t xml:space="preserve"> </w:t>
            </w:r>
            <w:r>
              <w:rPr>
                <w:w w:val="105"/>
                <w:sz w:val="20"/>
              </w:rPr>
              <w:t>is</w:t>
            </w:r>
            <w:r>
              <w:rPr>
                <w:spacing w:val="-22"/>
                <w:w w:val="105"/>
                <w:sz w:val="20"/>
              </w:rPr>
              <w:t xml:space="preserve"> </w:t>
            </w:r>
            <w:r>
              <w:rPr>
                <w:w w:val="105"/>
                <w:sz w:val="20"/>
              </w:rPr>
              <w:t>age</w:t>
            </w:r>
            <w:r>
              <w:rPr>
                <w:spacing w:val="-24"/>
                <w:w w:val="105"/>
                <w:sz w:val="20"/>
              </w:rPr>
              <w:t xml:space="preserve"> </w:t>
            </w:r>
            <w:r>
              <w:rPr>
                <w:w w:val="105"/>
                <w:sz w:val="20"/>
              </w:rPr>
              <w:t>18</w:t>
            </w:r>
            <w:r>
              <w:rPr>
                <w:spacing w:val="-26"/>
                <w:w w:val="105"/>
                <w:sz w:val="20"/>
              </w:rPr>
              <w:t xml:space="preserve"> </w:t>
            </w:r>
            <w:r>
              <w:rPr>
                <w:w w:val="105"/>
                <w:sz w:val="20"/>
              </w:rPr>
              <w:t>years</w:t>
            </w:r>
            <w:r>
              <w:rPr>
                <w:spacing w:val="-18"/>
                <w:w w:val="105"/>
                <w:sz w:val="20"/>
              </w:rPr>
              <w:t xml:space="preserve"> </w:t>
            </w:r>
            <w:r>
              <w:rPr>
                <w:w w:val="105"/>
                <w:sz w:val="20"/>
              </w:rPr>
              <w:t>or</w:t>
            </w:r>
            <w:r>
              <w:rPr>
                <w:spacing w:val="-11"/>
                <w:w w:val="105"/>
                <w:sz w:val="20"/>
              </w:rPr>
              <w:t xml:space="preserve"> </w:t>
            </w:r>
            <w:r>
              <w:rPr>
                <w:w w:val="105"/>
                <w:sz w:val="20"/>
              </w:rPr>
              <w:t>older,</w:t>
            </w:r>
            <w:r>
              <w:rPr>
                <w:spacing w:val="-10"/>
                <w:w w:val="105"/>
                <w:sz w:val="20"/>
              </w:rPr>
              <w:t xml:space="preserve"> </w:t>
            </w:r>
            <w:r>
              <w:rPr>
                <w:w w:val="105"/>
                <w:sz w:val="20"/>
              </w:rPr>
              <w:t>criteria</w:t>
            </w:r>
            <w:r>
              <w:rPr>
                <w:spacing w:val="-6"/>
                <w:w w:val="105"/>
                <w:sz w:val="20"/>
              </w:rPr>
              <w:t xml:space="preserve"> </w:t>
            </w:r>
            <w:r>
              <w:rPr>
                <w:w w:val="105"/>
                <w:sz w:val="20"/>
              </w:rPr>
              <w:t>are</w:t>
            </w:r>
            <w:r>
              <w:rPr>
                <w:spacing w:val="-13"/>
                <w:w w:val="105"/>
                <w:sz w:val="20"/>
              </w:rPr>
              <w:t xml:space="preserve"> </w:t>
            </w:r>
            <w:r>
              <w:rPr>
                <w:w w:val="105"/>
                <w:sz w:val="20"/>
              </w:rPr>
              <w:t>not</w:t>
            </w:r>
            <w:r>
              <w:rPr>
                <w:spacing w:val="-12"/>
                <w:w w:val="105"/>
                <w:sz w:val="20"/>
              </w:rPr>
              <w:t xml:space="preserve"> </w:t>
            </w:r>
            <w:r>
              <w:rPr>
                <w:w w:val="105"/>
                <w:sz w:val="20"/>
              </w:rPr>
              <w:t>met</w:t>
            </w:r>
            <w:r>
              <w:rPr>
                <w:spacing w:val="-15"/>
                <w:w w:val="105"/>
                <w:sz w:val="20"/>
              </w:rPr>
              <w:t xml:space="preserve"> </w:t>
            </w:r>
            <w:r>
              <w:rPr>
                <w:w w:val="105"/>
                <w:sz w:val="20"/>
              </w:rPr>
              <w:t>for</w:t>
            </w:r>
            <w:r>
              <w:rPr>
                <w:spacing w:val="-21"/>
                <w:w w:val="105"/>
                <w:sz w:val="20"/>
              </w:rPr>
              <w:t xml:space="preserve"> </w:t>
            </w:r>
            <w:r>
              <w:rPr>
                <w:w w:val="105"/>
                <w:sz w:val="20"/>
              </w:rPr>
              <w:t>Antisocial Personality</w:t>
            </w:r>
            <w:r>
              <w:rPr>
                <w:spacing w:val="12"/>
                <w:w w:val="105"/>
                <w:sz w:val="20"/>
              </w:rPr>
              <w:t xml:space="preserve"> </w:t>
            </w:r>
            <w:r>
              <w:rPr>
                <w:w w:val="105"/>
                <w:sz w:val="20"/>
              </w:rPr>
              <w:t>Disorder.</w:t>
            </w:r>
          </w:p>
          <w:p w:rsidR="00E675F0" w:rsidRDefault="00E675F0" w:rsidP="00A330E1">
            <w:pPr>
              <w:pStyle w:val="TableParagraph"/>
              <w:spacing w:before="147"/>
              <w:ind w:left="415"/>
              <w:rPr>
                <w:sz w:val="20"/>
              </w:rPr>
            </w:pPr>
            <w:r>
              <w:rPr>
                <w:i/>
                <w:w w:val="105"/>
                <w:sz w:val="20"/>
              </w:rPr>
              <w:t xml:space="preserve">Specify </w:t>
            </w:r>
            <w:r>
              <w:rPr>
                <w:w w:val="105"/>
                <w:sz w:val="20"/>
              </w:rPr>
              <w:t>type based on age at onset:</w:t>
            </w:r>
          </w:p>
          <w:p w:rsidR="00E675F0" w:rsidRDefault="00E675F0" w:rsidP="00A330E1">
            <w:pPr>
              <w:pStyle w:val="TableParagraph"/>
              <w:spacing w:before="20" w:line="256" w:lineRule="auto"/>
              <w:ind w:left="799" w:right="241" w:hanging="155"/>
              <w:rPr>
                <w:sz w:val="20"/>
              </w:rPr>
            </w:pPr>
            <w:r>
              <w:rPr>
                <w:b/>
                <w:w w:val="105"/>
                <w:sz w:val="20"/>
              </w:rPr>
              <w:t xml:space="preserve">Childhood-Onset Type: </w:t>
            </w:r>
            <w:r>
              <w:rPr>
                <w:w w:val="105"/>
                <w:sz w:val="20"/>
              </w:rPr>
              <w:t>onset of at least one criterion characteristic of Conduct Disorder prior to age 10 years</w:t>
            </w:r>
          </w:p>
          <w:p w:rsidR="00E675F0" w:rsidRDefault="00E675F0" w:rsidP="00A330E1">
            <w:pPr>
              <w:pStyle w:val="TableParagraph"/>
              <w:spacing w:line="252" w:lineRule="auto"/>
              <w:ind w:left="803" w:right="241" w:hanging="162"/>
              <w:rPr>
                <w:sz w:val="20"/>
              </w:rPr>
            </w:pPr>
            <w:r>
              <w:rPr>
                <w:b/>
                <w:w w:val="105"/>
                <w:sz w:val="20"/>
              </w:rPr>
              <w:t xml:space="preserve">Adolescent-OnsetType: </w:t>
            </w:r>
            <w:r>
              <w:rPr>
                <w:w w:val="105"/>
                <w:sz w:val="20"/>
              </w:rPr>
              <w:t>absence of any criteria characteristic of Conduct Disorder prior to age 10 years</w:t>
            </w:r>
          </w:p>
          <w:p w:rsidR="00E675F0" w:rsidRDefault="00E675F0" w:rsidP="00A330E1">
            <w:pPr>
              <w:pStyle w:val="TableParagraph"/>
              <w:spacing w:before="150"/>
              <w:ind w:left="415"/>
              <w:rPr>
                <w:sz w:val="20"/>
              </w:rPr>
            </w:pPr>
            <w:r>
              <w:rPr>
                <w:i/>
                <w:sz w:val="20"/>
              </w:rPr>
              <w:t xml:space="preserve">Specify </w:t>
            </w:r>
            <w:r>
              <w:rPr>
                <w:sz w:val="20"/>
              </w:rPr>
              <w:t>severity:</w:t>
            </w:r>
          </w:p>
          <w:p w:rsidR="00E675F0" w:rsidRDefault="00E675F0" w:rsidP="00A330E1">
            <w:pPr>
              <w:pStyle w:val="TableParagraph"/>
              <w:spacing w:before="15" w:line="247" w:lineRule="auto"/>
              <w:ind w:left="800" w:right="389" w:hanging="156"/>
              <w:rPr>
                <w:sz w:val="20"/>
              </w:rPr>
            </w:pPr>
            <w:r>
              <w:rPr>
                <w:b/>
                <w:w w:val="105"/>
                <w:sz w:val="20"/>
              </w:rPr>
              <w:t xml:space="preserve">Mild: </w:t>
            </w:r>
            <w:r>
              <w:rPr>
                <w:w w:val="105"/>
                <w:sz w:val="20"/>
              </w:rPr>
              <w:t xml:space="preserve">few if any conduct problems in excess of those required to make the diagnosis </w:t>
            </w:r>
            <w:r>
              <w:rPr>
                <w:b/>
                <w:w w:val="105"/>
                <w:sz w:val="21"/>
              </w:rPr>
              <w:t xml:space="preserve">and </w:t>
            </w:r>
            <w:r>
              <w:rPr>
                <w:w w:val="105"/>
                <w:sz w:val="20"/>
              </w:rPr>
              <w:t>conduct problems cause only minor harm to</w:t>
            </w:r>
            <w:r>
              <w:rPr>
                <w:spacing w:val="27"/>
                <w:w w:val="105"/>
                <w:sz w:val="20"/>
              </w:rPr>
              <w:t xml:space="preserve"> </w:t>
            </w:r>
            <w:r>
              <w:rPr>
                <w:w w:val="105"/>
                <w:sz w:val="20"/>
              </w:rPr>
              <w:t>others</w:t>
            </w:r>
          </w:p>
          <w:p w:rsidR="00E675F0" w:rsidRDefault="00E675F0" w:rsidP="00A330E1">
            <w:pPr>
              <w:pStyle w:val="TableParagraph"/>
              <w:spacing w:before="4" w:line="252" w:lineRule="auto"/>
              <w:ind w:left="807" w:right="241" w:hanging="159"/>
              <w:rPr>
                <w:sz w:val="20"/>
              </w:rPr>
            </w:pPr>
            <w:r>
              <w:rPr>
                <w:b/>
                <w:w w:val="105"/>
                <w:sz w:val="20"/>
              </w:rPr>
              <w:t xml:space="preserve">Moderate: </w:t>
            </w:r>
            <w:r>
              <w:rPr>
                <w:w w:val="105"/>
                <w:sz w:val="20"/>
              </w:rPr>
              <w:t>number of conduct problems and effect on others intermediate between "mild" and "severe"</w:t>
            </w:r>
          </w:p>
          <w:p w:rsidR="00E675F0" w:rsidRDefault="00E675F0" w:rsidP="00A330E1">
            <w:pPr>
              <w:pStyle w:val="TableParagraph"/>
              <w:spacing w:before="8" w:line="256" w:lineRule="auto"/>
              <w:ind w:left="800" w:right="241" w:hanging="153"/>
              <w:rPr>
                <w:sz w:val="20"/>
              </w:rPr>
            </w:pPr>
            <w:r>
              <w:rPr>
                <w:b/>
                <w:w w:val="105"/>
                <w:sz w:val="20"/>
              </w:rPr>
              <w:t xml:space="preserve">Severe: </w:t>
            </w:r>
            <w:r>
              <w:rPr>
                <w:w w:val="105"/>
                <w:sz w:val="20"/>
              </w:rPr>
              <w:t xml:space="preserve">many conduct problems in excess of those required to make the diagnosis </w:t>
            </w:r>
            <w:r>
              <w:rPr>
                <w:b/>
                <w:w w:val="105"/>
                <w:sz w:val="20"/>
              </w:rPr>
              <w:t xml:space="preserve">or </w:t>
            </w:r>
            <w:r>
              <w:rPr>
                <w:w w:val="105"/>
                <w:sz w:val="20"/>
              </w:rPr>
              <w:t>conduct problems cause considerable harm to others</w:t>
            </w:r>
          </w:p>
        </w:tc>
      </w:tr>
    </w:tbl>
    <w:p w:rsidR="00E675F0" w:rsidRDefault="00E675F0" w:rsidP="00E675F0">
      <w:pPr>
        <w:pStyle w:val="BodyText"/>
      </w:pPr>
    </w:p>
    <w:p w:rsidR="00E675F0" w:rsidRDefault="00E675F0" w:rsidP="00E675F0">
      <w:pPr>
        <w:pStyle w:val="BodyText"/>
        <w:spacing w:before="5"/>
        <w:rPr>
          <w:sz w:val="22"/>
        </w:rPr>
      </w:pPr>
    </w:p>
    <w:p w:rsidR="00E675F0" w:rsidRDefault="00E675F0" w:rsidP="00E675F0">
      <w:pPr>
        <w:pStyle w:val="Heading9"/>
        <w:tabs>
          <w:tab w:val="left" w:pos="2494"/>
        </w:tabs>
        <w:ind w:left="1432"/>
        <w:jc w:val="left"/>
      </w:pPr>
      <w:r>
        <w:rPr>
          <w:w w:val="105"/>
        </w:rPr>
        <w:t>313.81</w:t>
      </w:r>
      <w:r>
        <w:rPr>
          <w:w w:val="105"/>
        </w:rPr>
        <w:tab/>
        <w:t>Oppositional Defiant</w:t>
      </w:r>
      <w:r>
        <w:rPr>
          <w:spacing w:val="-21"/>
          <w:w w:val="105"/>
        </w:rPr>
        <w:t xml:space="preserve"> </w:t>
      </w:r>
      <w:r>
        <w:rPr>
          <w:w w:val="105"/>
        </w:rPr>
        <w:t>Disorder</w:t>
      </w:r>
    </w:p>
    <w:p w:rsidR="00E675F0" w:rsidRDefault="00E675F0" w:rsidP="00E675F0">
      <w:pPr>
        <w:pStyle w:val="BodyText"/>
        <w:spacing w:before="10"/>
        <w:rPr>
          <w:b/>
          <w:sz w:val="30"/>
        </w:rPr>
      </w:pPr>
    </w:p>
    <w:p w:rsidR="00E675F0" w:rsidRDefault="00E675F0" w:rsidP="00E675F0">
      <w:pPr>
        <w:ind w:left="117"/>
        <w:jc w:val="both"/>
        <w:rPr>
          <w:rFonts w:ascii="TimesNewRomanPS-BoldItalicMT"/>
          <w:b/>
          <w:i/>
          <w:sz w:val="24"/>
        </w:rPr>
      </w:pPr>
      <w:r>
        <w:rPr>
          <w:rFonts w:ascii="TimesNewRomanPS-BoldItalicMT"/>
          <w:b/>
          <w:i/>
          <w:w w:val="110"/>
          <w:sz w:val="24"/>
        </w:rPr>
        <w:t>Di,agnostic Features</w:t>
      </w:r>
    </w:p>
    <w:p w:rsidR="00E675F0" w:rsidRDefault="00E675F0" w:rsidP="00E675F0">
      <w:pPr>
        <w:pStyle w:val="BodyText"/>
        <w:spacing w:before="151" w:line="252" w:lineRule="auto"/>
        <w:ind w:left="121" w:right="115" w:hanging="5"/>
        <w:jc w:val="both"/>
      </w:pPr>
      <w:r>
        <w:rPr>
          <w:w w:val="105"/>
        </w:rPr>
        <w:t>The essential feature of Oppositional Defiant Disorder is a recurrent pattern of negativistic, defiant, disobedient, and hostile behavior toward authority figures that persists</w:t>
      </w:r>
      <w:r>
        <w:rPr>
          <w:spacing w:val="-15"/>
          <w:w w:val="105"/>
        </w:rPr>
        <w:t xml:space="preserve"> </w:t>
      </w:r>
      <w:r>
        <w:rPr>
          <w:w w:val="105"/>
        </w:rPr>
        <w:t>for</w:t>
      </w:r>
      <w:r>
        <w:rPr>
          <w:spacing w:val="-16"/>
          <w:w w:val="105"/>
        </w:rPr>
        <w:t xml:space="preserve"> </w:t>
      </w:r>
      <w:r>
        <w:rPr>
          <w:w w:val="105"/>
        </w:rPr>
        <w:t>at</w:t>
      </w:r>
      <w:r>
        <w:rPr>
          <w:spacing w:val="-18"/>
          <w:w w:val="105"/>
        </w:rPr>
        <w:t xml:space="preserve"> </w:t>
      </w:r>
      <w:r>
        <w:rPr>
          <w:w w:val="105"/>
        </w:rPr>
        <w:t>least</w:t>
      </w:r>
      <w:r>
        <w:rPr>
          <w:spacing w:val="-13"/>
          <w:w w:val="105"/>
        </w:rPr>
        <w:t xml:space="preserve"> </w:t>
      </w:r>
      <w:r>
        <w:rPr>
          <w:w w:val="105"/>
        </w:rPr>
        <w:t>6</w:t>
      </w:r>
      <w:r>
        <w:rPr>
          <w:spacing w:val="-19"/>
          <w:w w:val="105"/>
        </w:rPr>
        <w:t xml:space="preserve"> </w:t>
      </w:r>
      <w:r>
        <w:rPr>
          <w:w w:val="105"/>
        </w:rPr>
        <w:t>months</w:t>
      </w:r>
      <w:r>
        <w:rPr>
          <w:spacing w:val="-8"/>
          <w:w w:val="105"/>
        </w:rPr>
        <w:t xml:space="preserve"> </w:t>
      </w:r>
      <w:r>
        <w:rPr>
          <w:w w:val="105"/>
        </w:rPr>
        <w:t>(Criterion</w:t>
      </w:r>
      <w:r>
        <w:rPr>
          <w:spacing w:val="-10"/>
          <w:w w:val="105"/>
        </w:rPr>
        <w:t xml:space="preserve"> </w:t>
      </w:r>
      <w:r>
        <w:rPr>
          <w:w w:val="105"/>
        </w:rPr>
        <w:t>A)</w:t>
      </w:r>
      <w:r>
        <w:rPr>
          <w:spacing w:val="-12"/>
          <w:w w:val="105"/>
        </w:rPr>
        <w:t xml:space="preserve"> </w:t>
      </w:r>
      <w:r>
        <w:rPr>
          <w:w w:val="105"/>
        </w:rPr>
        <w:t>and</w:t>
      </w:r>
      <w:r>
        <w:rPr>
          <w:spacing w:val="-10"/>
          <w:w w:val="105"/>
        </w:rPr>
        <w:t xml:space="preserve"> </w:t>
      </w:r>
      <w:r>
        <w:rPr>
          <w:w w:val="105"/>
        </w:rPr>
        <w:t>is</w:t>
      </w:r>
      <w:r>
        <w:rPr>
          <w:spacing w:val="-22"/>
          <w:w w:val="105"/>
        </w:rPr>
        <w:t xml:space="preserve"> </w:t>
      </w:r>
      <w:r>
        <w:rPr>
          <w:w w:val="105"/>
        </w:rPr>
        <w:t>characterized</w:t>
      </w:r>
      <w:r>
        <w:rPr>
          <w:spacing w:val="3"/>
          <w:w w:val="105"/>
        </w:rPr>
        <w:t xml:space="preserve"> </w:t>
      </w:r>
      <w:r>
        <w:rPr>
          <w:w w:val="105"/>
        </w:rPr>
        <w:t>by</w:t>
      </w:r>
      <w:r>
        <w:rPr>
          <w:spacing w:val="-14"/>
          <w:w w:val="105"/>
        </w:rPr>
        <w:t xml:space="preserve"> </w:t>
      </w:r>
      <w:r>
        <w:rPr>
          <w:w w:val="105"/>
        </w:rPr>
        <w:t>the</w:t>
      </w:r>
      <w:r>
        <w:rPr>
          <w:spacing w:val="-1"/>
          <w:w w:val="105"/>
        </w:rPr>
        <w:t xml:space="preserve"> </w:t>
      </w:r>
      <w:r>
        <w:rPr>
          <w:w w:val="105"/>
        </w:rPr>
        <w:t>frequent</w:t>
      </w:r>
      <w:r>
        <w:rPr>
          <w:spacing w:val="-7"/>
          <w:w w:val="105"/>
        </w:rPr>
        <w:t xml:space="preserve"> </w:t>
      </w:r>
      <w:r>
        <w:rPr>
          <w:w w:val="105"/>
        </w:rPr>
        <w:t>occurrence of at least four of the following behaviors: losing temper (Criterion Al), arguing with adults (Criterion A2), actively defying or  refusing to comply with the requests or rules of adults (Criterion A3), deliberately doing things that will annoy other people (Criterion A4), blaming others for his or her own mistakes or misbehavior (Criterion A5), being touchy or easily annoyed by others (Criterion A6), being angry and resentful (Criterion A7), or being spiteful or vindictive (Criterion AS). To qualify for Oppositional Defiant Disorder, the behaviors must occur more frequently than is typically observed in individuals of comparable age and developmental level and must lead to significant impairment in social, academic, or occupational functioning (Criterion B). The diagnosis is not made if the disturbance in behavior occurs exclusively during the course of a Psychotic or Mood Disorder (Criterion C) or if criteria are met for Conduct Disorder or Antisocial Personality Disorder (in an individual over age 18</w:t>
      </w:r>
      <w:r>
        <w:rPr>
          <w:spacing w:val="-9"/>
          <w:w w:val="105"/>
        </w:rPr>
        <w:t xml:space="preserve"> </w:t>
      </w:r>
      <w:r>
        <w:rPr>
          <w:w w:val="105"/>
        </w:rPr>
        <w:t>years).</w:t>
      </w:r>
    </w:p>
    <w:p w:rsidR="00E675F0" w:rsidRDefault="00E675F0" w:rsidP="00E675F0">
      <w:pPr>
        <w:pStyle w:val="BodyText"/>
        <w:spacing w:before="11" w:line="256" w:lineRule="auto"/>
        <w:ind w:left="131" w:right="111" w:firstLine="370"/>
        <w:jc w:val="both"/>
      </w:pPr>
      <w:r>
        <w:rPr>
          <w:w w:val="105"/>
        </w:rPr>
        <w:t>Negativistic and defiant behaviors are expressed by persistent stubbornness, resis­ tance to directions, and unwillingness to compromise, give in, or  negotiate with adults or peers. Defiance may also include deliberate or persistent testing of limits, usually by ignoring orders, arguing, and failing to accept blame for misdeeds. Hostility can be directed at adults or peers and is shown by deliberately annoying others or by</w:t>
      </w:r>
      <w:r>
        <w:rPr>
          <w:spacing w:val="41"/>
          <w:w w:val="105"/>
        </w:rPr>
        <w:t xml:space="preserve"> </w:t>
      </w:r>
      <w:r>
        <w:rPr>
          <w:w w:val="105"/>
        </w:rPr>
        <w:t>verbal</w:t>
      </w:r>
    </w:p>
    <w:p w:rsidR="00E675F0" w:rsidRDefault="00E675F0" w:rsidP="00E675F0">
      <w:pPr>
        <w:spacing w:line="256" w:lineRule="auto"/>
        <w:jc w:val="both"/>
        <w:sectPr w:rsidR="00E675F0">
          <w:pgSz w:w="8960" w:h="14260"/>
          <w:pgMar w:top="1400" w:right="620" w:bottom="280" w:left="620" w:header="689" w:footer="0" w:gutter="0"/>
          <w:cols w:space="720"/>
        </w:sectPr>
      </w:pPr>
    </w:p>
    <w:p w:rsidR="00E675F0" w:rsidRDefault="00E675F0" w:rsidP="00E675F0">
      <w:pPr>
        <w:pStyle w:val="BodyText"/>
        <w:spacing w:before="120" w:line="254" w:lineRule="auto"/>
        <w:ind w:left="133" w:right="120" w:firstLine="2"/>
        <w:jc w:val="both"/>
      </w:pPr>
      <w:r>
        <w:rPr>
          <w:w w:val="105"/>
        </w:rPr>
        <w:lastRenderedPageBreak/>
        <w:t>aggression (usually without the more serious physical aggression seen in Conduct Disorder). Manifestations of the disorder ,are almost invariably present in the home setting, but may not be evident at school or in the community. Symptoms of the disorder are</w:t>
      </w:r>
      <w:r>
        <w:rPr>
          <w:spacing w:val="-12"/>
          <w:w w:val="105"/>
        </w:rPr>
        <w:t xml:space="preserve"> </w:t>
      </w:r>
      <w:r>
        <w:rPr>
          <w:w w:val="105"/>
        </w:rPr>
        <w:t>typically</w:t>
      </w:r>
      <w:r>
        <w:rPr>
          <w:spacing w:val="-5"/>
          <w:w w:val="105"/>
        </w:rPr>
        <w:t xml:space="preserve"> </w:t>
      </w:r>
      <w:r>
        <w:rPr>
          <w:w w:val="105"/>
        </w:rPr>
        <w:t>more</w:t>
      </w:r>
      <w:r>
        <w:rPr>
          <w:spacing w:val="-12"/>
          <w:w w:val="105"/>
        </w:rPr>
        <w:t xml:space="preserve"> </w:t>
      </w:r>
      <w:r>
        <w:rPr>
          <w:w w:val="105"/>
        </w:rPr>
        <w:t>evident</w:t>
      </w:r>
      <w:r>
        <w:rPr>
          <w:spacing w:val="-6"/>
          <w:w w:val="105"/>
        </w:rPr>
        <w:t xml:space="preserve"> </w:t>
      </w:r>
      <w:r>
        <w:rPr>
          <w:w w:val="105"/>
        </w:rPr>
        <w:t>in</w:t>
      </w:r>
      <w:r>
        <w:rPr>
          <w:spacing w:val="-13"/>
          <w:w w:val="105"/>
        </w:rPr>
        <w:t xml:space="preserve"> </w:t>
      </w:r>
      <w:r>
        <w:rPr>
          <w:w w:val="105"/>
        </w:rPr>
        <w:t>interactions</w:t>
      </w:r>
      <w:r>
        <w:rPr>
          <w:spacing w:val="-2"/>
          <w:w w:val="105"/>
        </w:rPr>
        <w:t xml:space="preserve"> </w:t>
      </w:r>
      <w:r>
        <w:rPr>
          <w:w w:val="105"/>
        </w:rPr>
        <w:t>with</w:t>
      </w:r>
      <w:r>
        <w:rPr>
          <w:spacing w:val="-13"/>
          <w:w w:val="105"/>
        </w:rPr>
        <w:t xml:space="preserve"> </w:t>
      </w:r>
      <w:r>
        <w:rPr>
          <w:w w:val="105"/>
        </w:rPr>
        <w:t>adults</w:t>
      </w:r>
      <w:r>
        <w:rPr>
          <w:spacing w:val="-14"/>
          <w:w w:val="105"/>
        </w:rPr>
        <w:t xml:space="preserve"> </w:t>
      </w:r>
      <w:r>
        <w:rPr>
          <w:w w:val="105"/>
        </w:rPr>
        <w:t>or peers</w:t>
      </w:r>
      <w:r>
        <w:rPr>
          <w:spacing w:val="-15"/>
          <w:w w:val="105"/>
        </w:rPr>
        <w:t xml:space="preserve"> </w:t>
      </w:r>
      <w:r>
        <w:rPr>
          <w:w w:val="105"/>
        </w:rPr>
        <w:t>whom</w:t>
      </w:r>
      <w:r>
        <w:rPr>
          <w:spacing w:val="-11"/>
          <w:w w:val="105"/>
        </w:rPr>
        <w:t xml:space="preserve"> </w:t>
      </w:r>
      <w:r>
        <w:rPr>
          <w:w w:val="105"/>
        </w:rPr>
        <w:t>the</w:t>
      </w:r>
      <w:r>
        <w:rPr>
          <w:spacing w:val="-17"/>
          <w:w w:val="105"/>
        </w:rPr>
        <w:t xml:space="preserve"> </w:t>
      </w:r>
      <w:r>
        <w:rPr>
          <w:w w:val="105"/>
        </w:rPr>
        <w:t>individual knows well, and thus may not be apparent during clinical examination. Usually individuals with this disorder do not regard themselves as oppositional or defiant, but justify their behavior as a response to unreasonable demands or</w:t>
      </w:r>
      <w:r>
        <w:rPr>
          <w:spacing w:val="-14"/>
          <w:w w:val="105"/>
        </w:rPr>
        <w:t xml:space="preserve"> </w:t>
      </w:r>
      <w:r>
        <w:rPr>
          <w:w w:val="105"/>
        </w:rPr>
        <w:t>circumstances.</w:t>
      </w:r>
    </w:p>
    <w:p w:rsidR="00E675F0" w:rsidRDefault="00E675F0" w:rsidP="00E675F0">
      <w:pPr>
        <w:pStyle w:val="BodyText"/>
        <w:rPr>
          <w:sz w:val="22"/>
        </w:rPr>
      </w:pPr>
    </w:p>
    <w:p w:rsidR="00E675F0" w:rsidRDefault="00E675F0" w:rsidP="00E675F0">
      <w:pPr>
        <w:pStyle w:val="BodyText"/>
        <w:spacing w:before="10"/>
        <w:rPr>
          <w:sz w:val="19"/>
        </w:rPr>
      </w:pPr>
    </w:p>
    <w:p w:rsidR="00E675F0" w:rsidRDefault="00E675F0" w:rsidP="00E675F0">
      <w:pPr>
        <w:ind w:left="119"/>
        <w:rPr>
          <w:rFonts w:ascii="TimesNewRomanPS-BoldItalicMT"/>
          <w:b/>
          <w:i/>
          <w:sz w:val="24"/>
        </w:rPr>
      </w:pPr>
      <w:r>
        <w:rPr>
          <w:rFonts w:ascii="TimesNewRomanPS-BoldItalicMT"/>
          <w:b/>
          <w:i/>
          <w:w w:val="115"/>
          <w:sz w:val="24"/>
        </w:rPr>
        <w:t>Associated Features and Disorders</w:t>
      </w:r>
    </w:p>
    <w:p w:rsidR="00E675F0" w:rsidRDefault="00E675F0" w:rsidP="00E675F0">
      <w:pPr>
        <w:pStyle w:val="BodyText"/>
        <w:spacing w:before="160" w:line="254" w:lineRule="auto"/>
        <w:ind w:left="133" w:right="111" w:firstLine="3"/>
        <w:jc w:val="both"/>
      </w:pPr>
      <w:r>
        <w:rPr>
          <w:w w:val="105"/>
        </w:rPr>
        <w:t>Associated features and disorders vary as a function of the individual's age and the severity of the Oppositional Defiant Disorder. In males, the disorder has been shown to be more prevalent among those who, in the preschool years, have problematic temperaments (e.g., high reactivity, difficulty being soothed) or high motor activity. During the school years, there may be low self-esteem, mood !ability, low frustration tolerance, swearing, and the precocious use of alcohol, tobacco, or illicit drugs. There are often conflicts with parents, teachers, and peers. There may be a vicious cycle in which the parent and child bring out the worst in each other. Oppositional Defiant Disorder is more prevalent in families in which child care is disrupted  by a succession of different caregivers or in families in which harsh, inconsistent, or neglectful child­ rearing practices are common. Attention-Deficit/Hyperactivity Disorder is common in children with Oppositional Defiant Disorder. Learning Disorders and Communication Disorders also tend to be associated with Oppositional Defiant</w:t>
      </w:r>
      <w:r>
        <w:rPr>
          <w:spacing w:val="-23"/>
          <w:w w:val="105"/>
        </w:rPr>
        <w:t xml:space="preserve"> </w:t>
      </w:r>
      <w:r>
        <w:rPr>
          <w:w w:val="105"/>
        </w:rPr>
        <w:t>Disorder.</w:t>
      </w:r>
    </w:p>
    <w:p w:rsidR="00E675F0" w:rsidRDefault="00E675F0" w:rsidP="00E675F0">
      <w:pPr>
        <w:pStyle w:val="BodyText"/>
        <w:rPr>
          <w:sz w:val="22"/>
        </w:rPr>
      </w:pPr>
    </w:p>
    <w:p w:rsidR="00E675F0" w:rsidRDefault="00E675F0" w:rsidP="00E675F0">
      <w:pPr>
        <w:pStyle w:val="BodyText"/>
        <w:spacing w:before="9"/>
        <w:rPr>
          <w:sz w:val="19"/>
        </w:rPr>
      </w:pPr>
    </w:p>
    <w:p w:rsidR="00E675F0" w:rsidRDefault="00E675F0" w:rsidP="00E675F0">
      <w:pPr>
        <w:ind w:left="129"/>
        <w:rPr>
          <w:rFonts w:ascii="TimesNewRomanPS-BoldItalicMT"/>
          <w:b/>
          <w:i/>
          <w:sz w:val="24"/>
        </w:rPr>
      </w:pPr>
      <w:r>
        <w:rPr>
          <w:rFonts w:ascii="TimesNewRomanPS-BoldItalicMT"/>
          <w:b/>
          <w:i/>
          <w:w w:val="115"/>
          <w:sz w:val="24"/>
        </w:rPr>
        <w:t>Specific Age and Gender Features</w:t>
      </w:r>
    </w:p>
    <w:p w:rsidR="00E675F0" w:rsidRDefault="00E675F0" w:rsidP="00E675F0">
      <w:pPr>
        <w:pStyle w:val="BodyText"/>
        <w:spacing w:before="156" w:line="252" w:lineRule="auto"/>
        <w:ind w:left="133" w:right="108" w:firstLine="6"/>
        <w:jc w:val="both"/>
      </w:pPr>
      <w:r>
        <w:rPr>
          <w:w w:val="105"/>
        </w:rPr>
        <w:t>Because transient oppositional behavior is very common in preschool children and in adolescents,</w:t>
      </w:r>
      <w:r>
        <w:rPr>
          <w:spacing w:val="1"/>
          <w:w w:val="105"/>
        </w:rPr>
        <w:t xml:space="preserve"> </w:t>
      </w:r>
      <w:r>
        <w:rPr>
          <w:w w:val="105"/>
        </w:rPr>
        <w:t>caution</w:t>
      </w:r>
      <w:r>
        <w:rPr>
          <w:spacing w:val="-10"/>
          <w:w w:val="105"/>
        </w:rPr>
        <w:t xml:space="preserve"> </w:t>
      </w:r>
      <w:r>
        <w:rPr>
          <w:w w:val="105"/>
        </w:rPr>
        <w:t>should</w:t>
      </w:r>
      <w:r>
        <w:rPr>
          <w:spacing w:val="-6"/>
          <w:w w:val="105"/>
        </w:rPr>
        <w:t xml:space="preserve"> </w:t>
      </w:r>
      <w:r>
        <w:rPr>
          <w:w w:val="105"/>
        </w:rPr>
        <w:t>be</w:t>
      </w:r>
      <w:r>
        <w:rPr>
          <w:spacing w:val="-13"/>
          <w:w w:val="105"/>
        </w:rPr>
        <w:t xml:space="preserve"> </w:t>
      </w:r>
      <w:r>
        <w:rPr>
          <w:w w:val="105"/>
        </w:rPr>
        <w:t>exercised in</w:t>
      </w:r>
      <w:r>
        <w:rPr>
          <w:spacing w:val="-13"/>
          <w:w w:val="105"/>
        </w:rPr>
        <w:t xml:space="preserve"> </w:t>
      </w:r>
      <w:r>
        <w:rPr>
          <w:w w:val="105"/>
        </w:rPr>
        <w:t>making</w:t>
      </w:r>
      <w:r>
        <w:rPr>
          <w:spacing w:val="-15"/>
          <w:w w:val="105"/>
        </w:rPr>
        <w:t xml:space="preserve"> </w:t>
      </w:r>
      <w:r>
        <w:rPr>
          <w:w w:val="105"/>
        </w:rPr>
        <w:t>the</w:t>
      </w:r>
      <w:r>
        <w:rPr>
          <w:spacing w:val="-16"/>
          <w:w w:val="105"/>
        </w:rPr>
        <w:t xml:space="preserve"> </w:t>
      </w:r>
      <w:r>
        <w:rPr>
          <w:w w:val="105"/>
        </w:rPr>
        <w:t>diagnosis</w:t>
      </w:r>
      <w:r>
        <w:rPr>
          <w:spacing w:val="-9"/>
          <w:w w:val="105"/>
        </w:rPr>
        <w:t xml:space="preserve"> </w:t>
      </w:r>
      <w:r>
        <w:rPr>
          <w:w w:val="105"/>
        </w:rPr>
        <w:t>of</w:t>
      </w:r>
      <w:r>
        <w:rPr>
          <w:spacing w:val="-3"/>
          <w:w w:val="105"/>
        </w:rPr>
        <w:t xml:space="preserve"> </w:t>
      </w:r>
      <w:r>
        <w:rPr>
          <w:w w:val="105"/>
        </w:rPr>
        <w:t>Oppositional</w:t>
      </w:r>
      <w:r>
        <w:rPr>
          <w:spacing w:val="7"/>
          <w:w w:val="105"/>
        </w:rPr>
        <w:t xml:space="preserve"> </w:t>
      </w:r>
      <w:r>
        <w:rPr>
          <w:w w:val="105"/>
        </w:rPr>
        <w:t>Defiant Disorder especially during these developmental periods. The number of oppositional symptoms tends to increase with age. The disorder is more prevalent in males than in females before puberty, but the rates are probably equal after puberty. Symptoms are generally similar in each gender, except that males may have more confrontational behavior and more persistent</w:t>
      </w:r>
      <w:r>
        <w:rPr>
          <w:spacing w:val="-28"/>
          <w:w w:val="105"/>
        </w:rPr>
        <w:t xml:space="preserve"> </w:t>
      </w:r>
      <w:r>
        <w:rPr>
          <w:w w:val="105"/>
        </w:rPr>
        <w:t>symptoms.</w:t>
      </w:r>
    </w:p>
    <w:p w:rsidR="00E675F0" w:rsidRDefault="00E675F0" w:rsidP="00E675F0">
      <w:pPr>
        <w:pStyle w:val="BodyText"/>
        <w:rPr>
          <w:sz w:val="22"/>
        </w:rPr>
      </w:pPr>
    </w:p>
    <w:p w:rsidR="00E675F0" w:rsidRDefault="00E675F0" w:rsidP="00E675F0">
      <w:pPr>
        <w:pStyle w:val="BodyText"/>
        <w:spacing w:before="4"/>
        <w:rPr>
          <w:sz w:val="18"/>
        </w:rPr>
      </w:pPr>
    </w:p>
    <w:p w:rsidR="00E675F0" w:rsidRDefault="00E675F0" w:rsidP="00E675F0">
      <w:pPr>
        <w:ind w:left="126"/>
        <w:rPr>
          <w:rFonts w:ascii="TimesNewRomanPS-BoldItalicMT"/>
          <w:b/>
          <w:i/>
          <w:sz w:val="24"/>
        </w:rPr>
      </w:pPr>
      <w:r>
        <w:rPr>
          <w:rFonts w:ascii="TimesNewRomanPS-BoldItalicMT"/>
          <w:b/>
          <w:i/>
          <w:w w:val="115"/>
          <w:sz w:val="24"/>
        </w:rPr>
        <w:t>Prevalence</w:t>
      </w:r>
    </w:p>
    <w:p w:rsidR="00E675F0" w:rsidRDefault="00E675F0" w:rsidP="00E675F0">
      <w:pPr>
        <w:pStyle w:val="BodyText"/>
        <w:spacing w:before="165" w:line="256" w:lineRule="auto"/>
        <w:ind w:left="136" w:right="117" w:firstLine="3"/>
        <w:jc w:val="both"/>
      </w:pPr>
      <w:r>
        <w:rPr>
          <w:w w:val="105"/>
        </w:rPr>
        <w:t>Rates of Oppositional Defiant Disorder from 2% to 16% have been reported, depending on the nature of the population sample and methods of ascertainment.</w:t>
      </w:r>
    </w:p>
    <w:p w:rsidR="00E675F0" w:rsidRDefault="00E675F0" w:rsidP="00E675F0">
      <w:pPr>
        <w:pStyle w:val="BodyText"/>
        <w:rPr>
          <w:sz w:val="22"/>
        </w:rPr>
      </w:pPr>
    </w:p>
    <w:p w:rsidR="00E675F0" w:rsidRDefault="00E675F0" w:rsidP="00E675F0">
      <w:pPr>
        <w:pStyle w:val="BodyText"/>
        <w:spacing w:before="8"/>
        <w:rPr>
          <w:sz w:val="19"/>
        </w:rPr>
      </w:pPr>
    </w:p>
    <w:p w:rsidR="00E675F0" w:rsidRDefault="00E675F0" w:rsidP="00E675F0">
      <w:pPr>
        <w:ind w:left="123"/>
        <w:rPr>
          <w:rFonts w:ascii="TimesNewRomanPS-BoldItalicMT"/>
          <w:b/>
          <w:i/>
          <w:sz w:val="24"/>
        </w:rPr>
      </w:pPr>
      <w:r>
        <w:rPr>
          <w:rFonts w:ascii="TimesNewRomanPS-BoldItalicMT"/>
          <w:b/>
          <w:i/>
          <w:w w:val="115"/>
          <w:sz w:val="24"/>
        </w:rPr>
        <w:t>Course</w:t>
      </w:r>
    </w:p>
    <w:p w:rsidR="00E675F0" w:rsidRDefault="00E675F0" w:rsidP="00E675F0">
      <w:pPr>
        <w:pStyle w:val="BodyText"/>
        <w:spacing w:before="165" w:line="254" w:lineRule="auto"/>
        <w:ind w:left="133" w:right="112" w:firstLine="2"/>
        <w:jc w:val="both"/>
      </w:pPr>
      <w:r>
        <w:rPr>
          <w:w w:val="105"/>
        </w:rPr>
        <w:t>Oppositional Defiant Disorder usually becomes evident before age 8 years and usually not later than early adolescence. The oppositional symptoms often emerge in the home setting but over time may appear in other settings as well. Onset is typically gradual, usually</w:t>
      </w:r>
      <w:r>
        <w:rPr>
          <w:spacing w:val="-8"/>
          <w:w w:val="105"/>
        </w:rPr>
        <w:t xml:space="preserve"> </w:t>
      </w:r>
      <w:r>
        <w:rPr>
          <w:w w:val="105"/>
        </w:rPr>
        <w:t>occurring</w:t>
      </w:r>
      <w:r>
        <w:rPr>
          <w:spacing w:val="2"/>
          <w:w w:val="105"/>
        </w:rPr>
        <w:t xml:space="preserve"> </w:t>
      </w:r>
      <w:r>
        <w:rPr>
          <w:w w:val="105"/>
        </w:rPr>
        <w:t>over</w:t>
      </w:r>
      <w:r>
        <w:rPr>
          <w:spacing w:val="-9"/>
          <w:w w:val="105"/>
        </w:rPr>
        <w:t xml:space="preserve"> </w:t>
      </w:r>
      <w:r>
        <w:rPr>
          <w:w w:val="105"/>
        </w:rPr>
        <w:t>the</w:t>
      </w:r>
      <w:r>
        <w:rPr>
          <w:spacing w:val="-14"/>
          <w:w w:val="105"/>
        </w:rPr>
        <w:t xml:space="preserve"> </w:t>
      </w:r>
      <w:r>
        <w:rPr>
          <w:w w:val="105"/>
        </w:rPr>
        <w:t>course</w:t>
      </w:r>
      <w:r>
        <w:rPr>
          <w:spacing w:val="1"/>
          <w:w w:val="105"/>
        </w:rPr>
        <w:t xml:space="preserve"> </w:t>
      </w:r>
      <w:r>
        <w:rPr>
          <w:w w:val="105"/>
        </w:rPr>
        <w:t>of</w:t>
      </w:r>
      <w:r>
        <w:rPr>
          <w:spacing w:val="-1"/>
          <w:w w:val="105"/>
        </w:rPr>
        <w:t xml:space="preserve"> </w:t>
      </w:r>
      <w:r>
        <w:rPr>
          <w:w w:val="105"/>
        </w:rPr>
        <w:t>months</w:t>
      </w:r>
      <w:r>
        <w:rPr>
          <w:spacing w:val="-6"/>
          <w:w w:val="105"/>
        </w:rPr>
        <w:t xml:space="preserve"> </w:t>
      </w:r>
      <w:r>
        <w:rPr>
          <w:w w:val="105"/>
        </w:rPr>
        <w:t>or</w:t>
      </w:r>
      <w:r>
        <w:rPr>
          <w:spacing w:val="-10"/>
          <w:w w:val="105"/>
        </w:rPr>
        <w:t xml:space="preserve"> </w:t>
      </w:r>
      <w:r>
        <w:rPr>
          <w:w w:val="105"/>
        </w:rPr>
        <w:t>years. In</w:t>
      </w:r>
      <w:r>
        <w:rPr>
          <w:spacing w:val="-9"/>
          <w:w w:val="105"/>
        </w:rPr>
        <w:t xml:space="preserve"> </w:t>
      </w:r>
      <w:r>
        <w:rPr>
          <w:w w:val="105"/>
        </w:rPr>
        <w:t>a</w:t>
      </w:r>
      <w:r>
        <w:rPr>
          <w:spacing w:val="-14"/>
          <w:w w:val="105"/>
        </w:rPr>
        <w:t xml:space="preserve"> </w:t>
      </w:r>
      <w:r>
        <w:rPr>
          <w:w w:val="105"/>
        </w:rPr>
        <w:t>significant</w:t>
      </w:r>
      <w:r>
        <w:rPr>
          <w:spacing w:val="9"/>
          <w:w w:val="105"/>
        </w:rPr>
        <w:t xml:space="preserve"> </w:t>
      </w:r>
      <w:r>
        <w:rPr>
          <w:w w:val="105"/>
        </w:rPr>
        <w:t>proportion</w:t>
      </w:r>
      <w:r>
        <w:rPr>
          <w:spacing w:val="1"/>
          <w:w w:val="105"/>
        </w:rPr>
        <w:t xml:space="preserve"> </w:t>
      </w:r>
      <w:r>
        <w:rPr>
          <w:w w:val="105"/>
        </w:rPr>
        <w:t>of cases, Oppositional Defiant Disorder is a developmental antecedent to Conduct</w:t>
      </w:r>
      <w:r>
        <w:rPr>
          <w:spacing w:val="-8"/>
          <w:w w:val="105"/>
        </w:rPr>
        <w:t xml:space="preserve"> </w:t>
      </w:r>
      <w:r>
        <w:rPr>
          <w:w w:val="105"/>
        </w:rPr>
        <w:t>Disorder.</w:t>
      </w:r>
    </w:p>
    <w:p w:rsidR="00E675F0" w:rsidRDefault="00E675F0" w:rsidP="00E675F0">
      <w:pPr>
        <w:spacing w:line="254" w:lineRule="auto"/>
        <w:jc w:val="both"/>
        <w:sectPr w:rsidR="00E675F0">
          <w:pgSz w:w="8960" w:h="14260"/>
          <w:pgMar w:top="1400" w:right="600" w:bottom="280" w:left="620" w:header="683" w:footer="0" w:gutter="0"/>
          <w:cols w:space="720"/>
        </w:sectPr>
      </w:pPr>
    </w:p>
    <w:p w:rsidR="00E675F0" w:rsidRDefault="00E675F0" w:rsidP="00E675F0">
      <w:pPr>
        <w:spacing w:before="113"/>
        <w:ind w:left="113"/>
        <w:jc w:val="both"/>
        <w:rPr>
          <w:rFonts w:ascii="TimesNewRomanPS-BoldItalicMT"/>
          <w:b/>
          <w:i/>
          <w:sz w:val="24"/>
        </w:rPr>
      </w:pPr>
      <w:bookmarkStart w:id="57" w:name="_bookmark42"/>
      <w:bookmarkEnd w:id="57"/>
      <w:r>
        <w:rPr>
          <w:rFonts w:ascii="TimesNewRomanPS-BoldItalicMT"/>
          <w:b/>
          <w:i/>
          <w:w w:val="115"/>
          <w:sz w:val="24"/>
        </w:rPr>
        <w:lastRenderedPageBreak/>
        <w:t>Familial Pattern</w:t>
      </w:r>
    </w:p>
    <w:p w:rsidR="00E675F0" w:rsidRDefault="00E675F0" w:rsidP="00E675F0">
      <w:pPr>
        <w:pStyle w:val="BodyText"/>
        <w:spacing w:before="122" w:line="254" w:lineRule="auto"/>
        <w:ind w:left="131" w:right="101" w:firstLine="4"/>
        <w:jc w:val="both"/>
      </w:pPr>
      <w:r>
        <w:rPr>
          <w:w w:val="105"/>
        </w:rPr>
        <w:t>Oppositional Defiant Disorder appears to be more common in families in which at least one parent has a history of a Mood Disorder, Oppositional Defiant Disorder, Conduct Disorder, Attention-Deficit/Hyperactivity Disorder, Antisocial Personality Disorder, or a Substance-Related Disorder. In addition, some studies suggest that mothers with a Depressive Disorder are more likely to have children with oppositional behavior,  but it is unclear to what extent maternal depression results from or causes oppositional behavior</w:t>
      </w:r>
      <w:r>
        <w:rPr>
          <w:spacing w:val="-8"/>
          <w:w w:val="105"/>
        </w:rPr>
        <w:t xml:space="preserve"> </w:t>
      </w:r>
      <w:r>
        <w:rPr>
          <w:w w:val="105"/>
        </w:rPr>
        <w:t>in</w:t>
      </w:r>
      <w:r>
        <w:rPr>
          <w:spacing w:val="-18"/>
          <w:w w:val="105"/>
        </w:rPr>
        <w:t xml:space="preserve"> </w:t>
      </w:r>
      <w:r>
        <w:rPr>
          <w:w w:val="105"/>
        </w:rPr>
        <w:t>children.</w:t>
      </w:r>
      <w:r>
        <w:rPr>
          <w:spacing w:val="-3"/>
          <w:w w:val="105"/>
        </w:rPr>
        <w:t xml:space="preserve"> </w:t>
      </w:r>
      <w:r>
        <w:rPr>
          <w:w w:val="105"/>
        </w:rPr>
        <w:t>Oppositional</w:t>
      </w:r>
      <w:r>
        <w:rPr>
          <w:spacing w:val="3"/>
          <w:w w:val="105"/>
        </w:rPr>
        <w:t xml:space="preserve"> </w:t>
      </w:r>
      <w:r>
        <w:rPr>
          <w:w w:val="105"/>
        </w:rPr>
        <w:t>Defiant</w:t>
      </w:r>
      <w:r>
        <w:rPr>
          <w:spacing w:val="-5"/>
          <w:w w:val="105"/>
        </w:rPr>
        <w:t xml:space="preserve"> </w:t>
      </w:r>
      <w:r>
        <w:rPr>
          <w:w w:val="105"/>
        </w:rPr>
        <w:t>Disorder</w:t>
      </w:r>
      <w:r>
        <w:rPr>
          <w:spacing w:val="-9"/>
          <w:w w:val="105"/>
        </w:rPr>
        <w:t xml:space="preserve"> </w:t>
      </w:r>
      <w:r>
        <w:rPr>
          <w:w w:val="105"/>
        </w:rPr>
        <w:t>is</w:t>
      </w:r>
      <w:r>
        <w:rPr>
          <w:spacing w:val="-19"/>
          <w:w w:val="105"/>
        </w:rPr>
        <w:t xml:space="preserve"> </w:t>
      </w:r>
      <w:r>
        <w:rPr>
          <w:w w:val="105"/>
        </w:rPr>
        <w:t>more</w:t>
      </w:r>
      <w:r>
        <w:rPr>
          <w:spacing w:val="-11"/>
          <w:w w:val="105"/>
        </w:rPr>
        <w:t xml:space="preserve"> </w:t>
      </w:r>
      <w:r>
        <w:rPr>
          <w:w w:val="105"/>
        </w:rPr>
        <w:t>common</w:t>
      </w:r>
      <w:r>
        <w:rPr>
          <w:spacing w:val="-7"/>
          <w:w w:val="105"/>
        </w:rPr>
        <w:t xml:space="preserve"> </w:t>
      </w:r>
      <w:r>
        <w:rPr>
          <w:w w:val="105"/>
        </w:rPr>
        <w:t>in</w:t>
      </w:r>
      <w:r>
        <w:rPr>
          <w:spacing w:val="-19"/>
          <w:w w:val="105"/>
        </w:rPr>
        <w:t xml:space="preserve"> </w:t>
      </w:r>
      <w:r>
        <w:rPr>
          <w:w w:val="105"/>
        </w:rPr>
        <w:t>families</w:t>
      </w:r>
      <w:r>
        <w:rPr>
          <w:spacing w:val="-9"/>
          <w:w w:val="105"/>
        </w:rPr>
        <w:t xml:space="preserve"> </w:t>
      </w:r>
      <w:r>
        <w:rPr>
          <w:w w:val="105"/>
        </w:rPr>
        <w:t>in</w:t>
      </w:r>
      <w:r>
        <w:rPr>
          <w:spacing w:val="-22"/>
          <w:w w:val="105"/>
        </w:rPr>
        <w:t xml:space="preserve"> </w:t>
      </w:r>
      <w:r>
        <w:rPr>
          <w:w w:val="105"/>
        </w:rPr>
        <w:t>which there is serious marital</w:t>
      </w:r>
      <w:r>
        <w:rPr>
          <w:spacing w:val="47"/>
          <w:w w:val="105"/>
        </w:rPr>
        <w:t xml:space="preserve"> </w:t>
      </w:r>
      <w:r>
        <w:rPr>
          <w:w w:val="105"/>
        </w:rPr>
        <w:t>discord.</w:t>
      </w:r>
    </w:p>
    <w:p w:rsidR="00E675F0" w:rsidRDefault="00E675F0" w:rsidP="00E675F0">
      <w:pPr>
        <w:pStyle w:val="BodyText"/>
        <w:spacing w:before="3"/>
        <w:rPr>
          <w:sz w:val="25"/>
        </w:rPr>
      </w:pPr>
    </w:p>
    <w:p w:rsidR="00E675F0" w:rsidRDefault="00E675F0" w:rsidP="00E675F0">
      <w:pPr>
        <w:ind w:left="116"/>
        <w:jc w:val="both"/>
        <w:rPr>
          <w:rFonts w:ascii="TimesNewRomanPS-BoldItalicMT"/>
          <w:b/>
          <w:i/>
          <w:sz w:val="24"/>
        </w:rPr>
      </w:pPr>
      <w:r>
        <w:rPr>
          <w:rFonts w:ascii="TimesNewRomanPS-BoldItalicMT"/>
          <w:b/>
          <w:i/>
          <w:w w:val="120"/>
          <w:sz w:val="24"/>
        </w:rPr>
        <w:t>m.{ferential magnosis</w:t>
      </w:r>
    </w:p>
    <w:p w:rsidR="00E675F0" w:rsidRDefault="00E675F0" w:rsidP="00E675F0">
      <w:pPr>
        <w:pStyle w:val="BodyText"/>
        <w:spacing w:before="127" w:line="252" w:lineRule="auto"/>
        <w:ind w:left="125" w:right="111" w:firstLine="6"/>
        <w:jc w:val="both"/>
      </w:pPr>
      <w:r>
        <w:rPr>
          <w:w w:val="110"/>
        </w:rPr>
        <w:t>The</w:t>
      </w:r>
      <w:r>
        <w:rPr>
          <w:spacing w:val="-27"/>
          <w:w w:val="110"/>
        </w:rPr>
        <w:t xml:space="preserve"> </w:t>
      </w:r>
      <w:r>
        <w:rPr>
          <w:w w:val="110"/>
        </w:rPr>
        <w:t>disruptive</w:t>
      </w:r>
      <w:r>
        <w:rPr>
          <w:spacing w:val="-19"/>
          <w:w w:val="110"/>
        </w:rPr>
        <w:t xml:space="preserve"> </w:t>
      </w:r>
      <w:r>
        <w:rPr>
          <w:w w:val="110"/>
        </w:rPr>
        <w:t>behaviors</w:t>
      </w:r>
      <w:r>
        <w:rPr>
          <w:spacing w:val="-22"/>
          <w:w w:val="110"/>
        </w:rPr>
        <w:t xml:space="preserve"> </w:t>
      </w:r>
      <w:r>
        <w:rPr>
          <w:w w:val="110"/>
        </w:rPr>
        <w:t>of</w:t>
      </w:r>
      <w:r>
        <w:rPr>
          <w:spacing w:val="-21"/>
          <w:w w:val="110"/>
        </w:rPr>
        <w:t xml:space="preserve"> </w:t>
      </w:r>
      <w:r>
        <w:rPr>
          <w:w w:val="110"/>
        </w:rPr>
        <w:t>individuals</w:t>
      </w:r>
      <w:r>
        <w:rPr>
          <w:spacing w:val="-23"/>
          <w:w w:val="110"/>
        </w:rPr>
        <w:t xml:space="preserve"> </w:t>
      </w:r>
      <w:r>
        <w:rPr>
          <w:w w:val="110"/>
        </w:rPr>
        <w:t>with</w:t>
      </w:r>
      <w:r>
        <w:rPr>
          <w:spacing w:val="-26"/>
          <w:w w:val="110"/>
        </w:rPr>
        <w:t xml:space="preserve"> </w:t>
      </w:r>
      <w:r>
        <w:rPr>
          <w:w w:val="110"/>
        </w:rPr>
        <w:t>Oppositional</w:t>
      </w:r>
      <w:r>
        <w:rPr>
          <w:spacing w:val="-22"/>
          <w:w w:val="110"/>
        </w:rPr>
        <w:t xml:space="preserve"> </w:t>
      </w:r>
      <w:r>
        <w:rPr>
          <w:w w:val="110"/>
        </w:rPr>
        <w:t>Defiant</w:t>
      </w:r>
      <w:r>
        <w:rPr>
          <w:spacing w:val="-24"/>
          <w:w w:val="110"/>
        </w:rPr>
        <w:t xml:space="preserve"> </w:t>
      </w:r>
      <w:r>
        <w:rPr>
          <w:w w:val="110"/>
        </w:rPr>
        <w:t>Disorder</w:t>
      </w:r>
      <w:r>
        <w:rPr>
          <w:spacing w:val="-21"/>
          <w:w w:val="110"/>
        </w:rPr>
        <w:t xml:space="preserve"> </w:t>
      </w:r>
      <w:r>
        <w:rPr>
          <w:w w:val="110"/>
        </w:rPr>
        <w:t>are</w:t>
      </w:r>
      <w:r>
        <w:rPr>
          <w:spacing w:val="-30"/>
          <w:w w:val="110"/>
        </w:rPr>
        <w:t xml:space="preserve"> </w:t>
      </w:r>
      <w:r>
        <w:rPr>
          <w:w w:val="110"/>
        </w:rPr>
        <w:t>of</w:t>
      </w:r>
      <w:r>
        <w:rPr>
          <w:spacing w:val="-24"/>
          <w:w w:val="110"/>
        </w:rPr>
        <w:t xml:space="preserve"> </w:t>
      </w:r>
      <w:r>
        <w:rPr>
          <w:w w:val="110"/>
        </w:rPr>
        <w:t>a</w:t>
      </w:r>
      <w:r>
        <w:rPr>
          <w:spacing w:val="-28"/>
          <w:w w:val="110"/>
        </w:rPr>
        <w:t xml:space="preserve"> </w:t>
      </w:r>
      <w:r>
        <w:rPr>
          <w:w w:val="110"/>
        </w:rPr>
        <w:t>less severe nature than those of individuals with Conduct Disorder and typically do not include aggression toward people or animals, destruction of property, or a pattern of theft</w:t>
      </w:r>
      <w:r>
        <w:rPr>
          <w:spacing w:val="-17"/>
          <w:w w:val="110"/>
        </w:rPr>
        <w:t xml:space="preserve"> </w:t>
      </w:r>
      <w:r>
        <w:rPr>
          <w:w w:val="110"/>
        </w:rPr>
        <w:t>or</w:t>
      </w:r>
      <w:r>
        <w:rPr>
          <w:spacing w:val="-18"/>
          <w:w w:val="110"/>
        </w:rPr>
        <w:t xml:space="preserve"> </w:t>
      </w:r>
      <w:r>
        <w:rPr>
          <w:w w:val="110"/>
        </w:rPr>
        <w:t>deceit.</w:t>
      </w:r>
      <w:r>
        <w:rPr>
          <w:spacing w:val="-13"/>
          <w:w w:val="110"/>
        </w:rPr>
        <w:t xml:space="preserve"> </w:t>
      </w:r>
      <w:r>
        <w:rPr>
          <w:w w:val="110"/>
        </w:rPr>
        <w:t>Because</w:t>
      </w:r>
      <w:r>
        <w:rPr>
          <w:spacing w:val="-14"/>
          <w:w w:val="110"/>
        </w:rPr>
        <w:t xml:space="preserve"> </w:t>
      </w:r>
      <w:r>
        <w:rPr>
          <w:w w:val="110"/>
        </w:rPr>
        <w:t>all</w:t>
      </w:r>
      <w:r>
        <w:rPr>
          <w:spacing w:val="-21"/>
          <w:w w:val="110"/>
        </w:rPr>
        <w:t xml:space="preserve"> </w:t>
      </w:r>
      <w:r>
        <w:rPr>
          <w:w w:val="110"/>
        </w:rPr>
        <w:t>of</w:t>
      </w:r>
      <w:r>
        <w:rPr>
          <w:spacing w:val="-11"/>
          <w:w w:val="110"/>
        </w:rPr>
        <w:t xml:space="preserve"> </w:t>
      </w:r>
      <w:r>
        <w:rPr>
          <w:w w:val="110"/>
        </w:rPr>
        <w:t>the</w:t>
      </w:r>
      <w:r>
        <w:rPr>
          <w:spacing w:val="-20"/>
          <w:w w:val="110"/>
        </w:rPr>
        <w:t xml:space="preserve"> </w:t>
      </w:r>
      <w:r>
        <w:rPr>
          <w:w w:val="110"/>
        </w:rPr>
        <w:t>features</w:t>
      </w:r>
      <w:r>
        <w:rPr>
          <w:spacing w:val="-15"/>
          <w:w w:val="110"/>
        </w:rPr>
        <w:t xml:space="preserve"> </w:t>
      </w:r>
      <w:r>
        <w:rPr>
          <w:w w:val="110"/>
        </w:rPr>
        <w:t>of</w:t>
      </w:r>
      <w:r>
        <w:rPr>
          <w:spacing w:val="-15"/>
          <w:w w:val="110"/>
        </w:rPr>
        <w:t xml:space="preserve"> </w:t>
      </w:r>
      <w:r>
        <w:rPr>
          <w:w w:val="110"/>
        </w:rPr>
        <w:t>Oppositional</w:t>
      </w:r>
      <w:r>
        <w:rPr>
          <w:spacing w:val="-5"/>
          <w:w w:val="110"/>
        </w:rPr>
        <w:t xml:space="preserve"> </w:t>
      </w:r>
      <w:r>
        <w:rPr>
          <w:w w:val="110"/>
        </w:rPr>
        <w:t>Defiant</w:t>
      </w:r>
      <w:r>
        <w:rPr>
          <w:spacing w:val="-12"/>
          <w:w w:val="110"/>
        </w:rPr>
        <w:t xml:space="preserve"> </w:t>
      </w:r>
      <w:r>
        <w:rPr>
          <w:w w:val="110"/>
        </w:rPr>
        <w:t>Disorder</w:t>
      </w:r>
      <w:r>
        <w:rPr>
          <w:spacing w:val="-15"/>
          <w:w w:val="110"/>
        </w:rPr>
        <w:t xml:space="preserve"> </w:t>
      </w:r>
      <w:r>
        <w:rPr>
          <w:w w:val="110"/>
        </w:rPr>
        <w:t>are</w:t>
      </w:r>
      <w:r>
        <w:rPr>
          <w:spacing w:val="-18"/>
          <w:w w:val="110"/>
        </w:rPr>
        <w:t xml:space="preserve"> </w:t>
      </w:r>
      <w:r>
        <w:rPr>
          <w:w w:val="110"/>
        </w:rPr>
        <w:t xml:space="preserve">usually present in </w:t>
      </w:r>
      <w:r>
        <w:rPr>
          <w:b/>
          <w:w w:val="110"/>
        </w:rPr>
        <w:t xml:space="preserve">Conduct Disorder, </w:t>
      </w:r>
      <w:r>
        <w:rPr>
          <w:w w:val="110"/>
        </w:rPr>
        <w:t xml:space="preserve">Oppositional Defiant Disorder is not diagnosed if the criteria are met for Conduct Disorder. Oppositional behavior is a common associated feature of </w:t>
      </w:r>
      <w:r>
        <w:rPr>
          <w:b/>
          <w:w w:val="110"/>
        </w:rPr>
        <w:t xml:space="preserve">Mood Disorders </w:t>
      </w:r>
      <w:r>
        <w:rPr>
          <w:w w:val="110"/>
        </w:rPr>
        <w:t xml:space="preserve">and </w:t>
      </w:r>
      <w:r>
        <w:rPr>
          <w:b/>
          <w:w w:val="110"/>
        </w:rPr>
        <w:t xml:space="preserve">Psychotic Disorders </w:t>
      </w:r>
      <w:r>
        <w:rPr>
          <w:w w:val="110"/>
        </w:rPr>
        <w:t>presenting in children and adolescents</w:t>
      </w:r>
      <w:r>
        <w:rPr>
          <w:spacing w:val="-11"/>
          <w:w w:val="110"/>
        </w:rPr>
        <w:t xml:space="preserve"> </w:t>
      </w:r>
      <w:r>
        <w:rPr>
          <w:w w:val="110"/>
        </w:rPr>
        <w:t>and</w:t>
      </w:r>
      <w:r>
        <w:rPr>
          <w:spacing w:val="-20"/>
          <w:w w:val="110"/>
        </w:rPr>
        <w:t xml:space="preserve"> </w:t>
      </w:r>
      <w:r>
        <w:rPr>
          <w:w w:val="110"/>
        </w:rPr>
        <w:t>should</w:t>
      </w:r>
      <w:r>
        <w:rPr>
          <w:spacing w:val="-10"/>
          <w:w w:val="110"/>
        </w:rPr>
        <w:t xml:space="preserve"> </w:t>
      </w:r>
      <w:r>
        <w:rPr>
          <w:w w:val="110"/>
        </w:rPr>
        <w:t>not</w:t>
      </w:r>
      <w:r>
        <w:rPr>
          <w:spacing w:val="-12"/>
          <w:w w:val="110"/>
        </w:rPr>
        <w:t xml:space="preserve"> </w:t>
      </w:r>
      <w:r>
        <w:rPr>
          <w:w w:val="110"/>
        </w:rPr>
        <w:t>be</w:t>
      </w:r>
      <w:r>
        <w:rPr>
          <w:spacing w:val="-19"/>
          <w:w w:val="110"/>
        </w:rPr>
        <w:t xml:space="preserve"> </w:t>
      </w:r>
      <w:r>
        <w:rPr>
          <w:w w:val="110"/>
        </w:rPr>
        <w:t>diagnosed</w:t>
      </w:r>
      <w:r>
        <w:rPr>
          <w:spacing w:val="-15"/>
          <w:w w:val="110"/>
        </w:rPr>
        <w:t xml:space="preserve"> </w:t>
      </w:r>
      <w:r>
        <w:rPr>
          <w:w w:val="110"/>
        </w:rPr>
        <w:t>separately</w:t>
      </w:r>
      <w:r>
        <w:rPr>
          <w:spacing w:val="-14"/>
          <w:w w:val="110"/>
        </w:rPr>
        <w:t xml:space="preserve"> </w:t>
      </w:r>
      <w:r>
        <w:rPr>
          <w:w w:val="110"/>
        </w:rPr>
        <w:t>if</w:t>
      </w:r>
      <w:r>
        <w:rPr>
          <w:spacing w:val="-12"/>
          <w:w w:val="110"/>
        </w:rPr>
        <w:t xml:space="preserve"> </w:t>
      </w:r>
      <w:r>
        <w:rPr>
          <w:w w:val="110"/>
        </w:rPr>
        <w:t>the</w:t>
      </w:r>
      <w:r>
        <w:rPr>
          <w:spacing w:val="-21"/>
          <w:w w:val="110"/>
        </w:rPr>
        <w:t xml:space="preserve"> </w:t>
      </w:r>
      <w:r>
        <w:rPr>
          <w:w w:val="110"/>
        </w:rPr>
        <w:t>symptoms</w:t>
      </w:r>
      <w:r>
        <w:rPr>
          <w:spacing w:val="-11"/>
          <w:w w:val="110"/>
        </w:rPr>
        <w:t xml:space="preserve"> </w:t>
      </w:r>
      <w:r>
        <w:rPr>
          <w:w w:val="110"/>
        </w:rPr>
        <w:t>occur</w:t>
      </w:r>
      <w:r>
        <w:rPr>
          <w:spacing w:val="-17"/>
          <w:w w:val="110"/>
        </w:rPr>
        <w:t xml:space="preserve"> </w:t>
      </w:r>
      <w:r>
        <w:rPr>
          <w:w w:val="110"/>
        </w:rPr>
        <w:t>exclusively during</w:t>
      </w:r>
      <w:r>
        <w:rPr>
          <w:spacing w:val="-11"/>
          <w:w w:val="110"/>
        </w:rPr>
        <w:t xml:space="preserve"> </w:t>
      </w:r>
      <w:r>
        <w:rPr>
          <w:w w:val="110"/>
        </w:rPr>
        <w:t>the</w:t>
      </w:r>
      <w:r>
        <w:rPr>
          <w:spacing w:val="-11"/>
          <w:w w:val="110"/>
        </w:rPr>
        <w:t xml:space="preserve"> </w:t>
      </w:r>
      <w:r>
        <w:rPr>
          <w:w w:val="110"/>
        </w:rPr>
        <w:t>course</w:t>
      </w:r>
      <w:r>
        <w:rPr>
          <w:spacing w:val="-9"/>
          <w:w w:val="110"/>
        </w:rPr>
        <w:t xml:space="preserve"> </w:t>
      </w:r>
      <w:r>
        <w:rPr>
          <w:w w:val="110"/>
        </w:rPr>
        <w:t>of</w:t>
      </w:r>
      <w:r>
        <w:rPr>
          <w:spacing w:val="-7"/>
          <w:w w:val="110"/>
        </w:rPr>
        <w:t xml:space="preserve"> </w:t>
      </w:r>
      <w:r>
        <w:rPr>
          <w:w w:val="110"/>
        </w:rPr>
        <w:t>a</w:t>
      </w:r>
      <w:r>
        <w:rPr>
          <w:spacing w:val="-9"/>
          <w:w w:val="110"/>
        </w:rPr>
        <w:t xml:space="preserve"> </w:t>
      </w:r>
      <w:r>
        <w:rPr>
          <w:w w:val="110"/>
        </w:rPr>
        <w:t>Mood</w:t>
      </w:r>
      <w:r>
        <w:rPr>
          <w:spacing w:val="-7"/>
          <w:w w:val="110"/>
        </w:rPr>
        <w:t xml:space="preserve"> </w:t>
      </w:r>
      <w:r>
        <w:rPr>
          <w:w w:val="110"/>
        </w:rPr>
        <w:t>or</w:t>
      </w:r>
      <w:r>
        <w:rPr>
          <w:spacing w:val="-5"/>
          <w:w w:val="110"/>
        </w:rPr>
        <w:t xml:space="preserve"> </w:t>
      </w:r>
      <w:r>
        <w:rPr>
          <w:w w:val="110"/>
        </w:rPr>
        <w:t>Psychotic Disorder.</w:t>
      </w:r>
      <w:r>
        <w:rPr>
          <w:spacing w:val="-5"/>
          <w:w w:val="110"/>
        </w:rPr>
        <w:t xml:space="preserve"> </w:t>
      </w:r>
      <w:r>
        <w:rPr>
          <w:w w:val="110"/>
        </w:rPr>
        <w:t>Oppositional</w:t>
      </w:r>
      <w:r>
        <w:rPr>
          <w:spacing w:val="-5"/>
          <w:w w:val="110"/>
        </w:rPr>
        <w:t xml:space="preserve"> </w:t>
      </w:r>
      <w:r>
        <w:rPr>
          <w:w w:val="110"/>
        </w:rPr>
        <w:t>behaviors</w:t>
      </w:r>
      <w:r>
        <w:rPr>
          <w:spacing w:val="-1"/>
          <w:w w:val="110"/>
        </w:rPr>
        <w:t xml:space="preserve"> </w:t>
      </w:r>
      <w:r>
        <w:rPr>
          <w:w w:val="110"/>
        </w:rPr>
        <w:t>must</w:t>
      </w:r>
      <w:r>
        <w:rPr>
          <w:spacing w:val="-10"/>
          <w:w w:val="110"/>
        </w:rPr>
        <w:t xml:space="preserve"> </w:t>
      </w:r>
      <w:r>
        <w:rPr>
          <w:w w:val="110"/>
        </w:rPr>
        <w:t>also be</w:t>
      </w:r>
      <w:r>
        <w:rPr>
          <w:spacing w:val="-30"/>
          <w:w w:val="110"/>
        </w:rPr>
        <w:t xml:space="preserve"> </w:t>
      </w:r>
      <w:r>
        <w:rPr>
          <w:w w:val="110"/>
        </w:rPr>
        <w:t>distinguished</w:t>
      </w:r>
      <w:r>
        <w:rPr>
          <w:spacing w:val="-26"/>
          <w:w w:val="110"/>
        </w:rPr>
        <w:t xml:space="preserve"> </w:t>
      </w:r>
      <w:r>
        <w:rPr>
          <w:w w:val="110"/>
        </w:rPr>
        <w:t>from</w:t>
      </w:r>
      <w:r>
        <w:rPr>
          <w:spacing w:val="-28"/>
          <w:w w:val="110"/>
        </w:rPr>
        <w:t xml:space="preserve"> </w:t>
      </w:r>
      <w:r>
        <w:rPr>
          <w:w w:val="110"/>
        </w:rPr>
        <w:t>the</w:t>
      </w:r>
      <w:r>
        <w:rPr>
          <w:spacing w:val="-33"/>
          <w:w w:val="110"/>
        </w:rPr>
        <w:t xml:space="preserve"> </w:t>
      </w:r>
      <w:r>
        <w:rPr>
          <w:w w:val="110"/>
        </w:rPr>
        <w:t>disruptive</w:t>
      </w:r>
      <w:r>
        <w:rPr>
          <w:spacing w:val="-24"/>
          <w:w w:val="110"/>
        </w:rPr>
        <w:t xml:space="preserve"> </w:t>
      </w:r>
      <w:r>
        <w:rPr>
          <w:w w:val="110"/>
        </w:rPr>
        <w:t>behavior</w:t>
      </w:r>
      <w:r>
        <w:rPr>
          <w:spacing w:val="-26"/>
          <w:w w:val="110"/>
        </w:rPr>
        <w:t xml:space="preserve"> </w:t>
      </w:r>
      <w:r>
        <w:rPr>
          <w:w w:val="110"/>
        </w:rPr>
        <w:t>resulting</w:t>
      </w:r>
      <w:r>
        <w:rPr>
          <w:spacing w:val="-30"/>
          <w:w w:val="110"/>
        </w:rPr>
        <w:t xml:space="preserve"> </w:t>
      </w:r>
      <w:r>
        <w:rPr>
          <w:w w:val="110"/>
        </w:rPr>
        <w:t>from</w:t>
      </w:r>
      <w:r>
        <w:rPr>
          <w:spacing w:val="-28"/>
          <w:w w:val="110"/>
        </w:rPr>
        <w:t xml:space="preserve"> </w:t>
      </w:r>
      <w:r>
        <w:rPr>
          <w:w w:val="110"/>
        </w:rPr>
        <w:t>inattention</w:t>
      </w:r>
      <w:r>
        <w:rPr>
          <w:spacing w:val="-27"/>
          <w:w w:val="110"/>
        </w:rPr>
        <w:t xml:space="preserve"> </w:t>
      </w:r>
      <w:r>
        <w:rPr>
          <w:w w:val="110"/>
        </w:rPr>
        <w:t>and</w:t>
      </w:r>
      <w:r>
        <w:rPr>
          <w:spacing w:val="-28"/>
          <w:w w:val="110"/>
        </w:rPr>
        <w:t xml:space="preserve"> </w:t>
      </w:r>
      <w:r>
        <w:rPr>
          <w:w w:val="110"/>
        </w:rPr>
        <w:t>impulsivity in</w:t>
      </w:r>
      <w:r>
        <w:rPr>
          <w:spacing w:val="-21"/>
          <w:w w:val="110"/>
        </w:rPr>
        <w:t xml:space="preserve"> </w:t>
      </w:r>
      <w:r>
        <w:rPr>
          <w:b/>
          <w:w w:val="110"/>
        </w:rPr>
        <w:t>Attention-Deficit/HyperactivityDisorder.</w:t>
      </w:r>
      <w:r>
        <w:rPr>
          <w:b/>
          <w:spacing w:val="-18"/>
          <w:w w:val="110"/>
        </w:rPr>
        <w:t xml:space="preserve"> </w:t>
      </w:r>
      <w:r>
        <w:rPr>
          <w:w w:val="110"/>
        </w:rPr>
        <w:t>When</w:t>
      </w:r>
      <w:r>
        <w:rPr>
          <w:spacing w:val="-11"/>
          <w:w w:val="110"/>
        </w:rPr>
        <w:t xml:space="preserve"> </w:t>
      </w:r>
      <w:r>
        <w:rPr>
          <w:w w:val="110"/>
        </w:rPr>
        <w:t>the</w:t>
      </w:r>
      <w:r>
        <w:rPr>
          <w:spacing w:val="-17"/>
          <w:w w:val="110"/>
        </w:rPr>
        <w:t xml:space="preserve"> </w:t>
      </w:r>
      <w:r>
        <w:rPr>
          <w:w w:val="110"/>
        </w:rPr>
        <w:t>two</w:t>
      </w:r>
      <w:r>
        <w:rPr>
          <w:spacing w:val="-21"/>
          <w:w w:val="110"/>
        </w:rPr>
        <w:t xml:space="preserve"> </w:t>
      </w:r>
      <w:r>
        <w:rPr>
          <w:w w:val="110"/>
        </w:rPr>
        <w:t>disorders</w:t>
      </w:r>
      <w:r>
        <w:rPr>
          <w:spacing w:val="-14"/>
          <w:w w:val="110"/>
        </w:rPr>
        <w:t xml:space="preserve"> </w:t>
      </w:r>
      <w:r>
        <w:rPr>
          <w:w w:val="110"/>
        </w:rPr>
        <w:t>co-occur,</w:t>
      </w:r>
      <w:r>
        <w:rPr>
          <w:spacing w:val="-5"/>
          <w:w w:val="110"/>
        </w:rPr>
        <w:t xml:space="preserve"> </w:t>
      </w:r>
      <w:r>
        <w:rPr>
          <w:w w:val="110"/>
        </w:rPr>
        <w:t xml:space="preserve">both diagnoses should be made. In individuals with </w:t>
      </w:r>
      <w:r>
        <w:rPr>
          <w:b/>
          <w:w w:val="110"/>
        </w:rPr>
        <w:t xml:space="preserve">Mental Retardation, </w:t>
      </w:r>
      <w:r>
        <w:rPr>
          <w:w w:val="110"/>
        </w:rPr>
        <w:t>a diagnosis of Oppositional Defiant Disorder is given only if the oppositional behavior is markedly greater</w:t>
      </w:r>
      <w:r>
        <w:rPr>
          <w:spacing w:val="-12"/>
          <w:w w:val="110"/>
        </w:rPr>
        <w:t xml:space="preserve"> </w:t>
      </w:r>
      <w:r>
        <w:rPr>
          <w:w w:val="110"/>
        </w:rPr>
        <w:t>than</w:t>
      </w:r>
      <w:r>
        <w:rPr>
          <w:spacing w:val="-17"/>
          <w:w w:val="110"/>
        </w:rPr>
        <w:t xml:space="preserve"> </w:t>
      </w:r>
      <w:r>
        <w:rPr>
          <w:w w:val="110"/>
        </w:rPr>
        <w:t>is</w:t>
      </w:r>
      <w:r>
        <w:rPr>
          <w:spacing w:val="-23"/>
          <w:w w:val="110"/>
        </w:rPr>
        <w:t xml:space="preserve"> </w:t>
      </w:r>
      <w:r>
        <w:rPr>
          <w:w w:val="110"/>
        </w:rPr>
        <w:t>commonly</w:t>
      </w:r>
      <w:r>
        <w:rPr>
          <w:spacing w:val="-15"/>
          <w:w w:val="110"/>
        </w:rPr>
        <w:t xml:space="preserve"> </w:t>
      </w:r>
      <w:r>
        <w:rPr>
          <w:w w:val="110"/>
        </w:rPr>
        <w:t>observed</w:t>
      </w:r>
      <w:r>
        <w:rPr>
          <w:spacing w:val="-9"/>
          <w:w w:val="110"/>
        </w:rPr>
        <w:t xml:space="preserve"> </w:t>
      </w:r>
      <w:r>
        <w:rPr>
          <w:w w:val="110"/>
        </w:rPr>
        <w:t>among</w:t>
      </w:r>
      <w:r>
        <w:rPr>
          <w:spacing w:val="-16"/>
          <w:w w:val="110"/>
        </w:rPr>
        <w:t xml:space="preserve"> </w:t>
      </w:r>
      <w:r>
        <w:rPr>
          <w:w w:val="110"/>
        </w:rPr>
        <w:t>individuals</w:t>
      </w:r>
      <w:r>
        <w:rPr>
          <w:spacing w:val="-8"/>
          <w:w w:val="110"/>
        </w:rPr>
        <w:t xml:space="preserve"> </w:t>
      </w:r>
      <w:r>
        <w:rPr>
          <w:w w:val="110"/>
        </w:rPr>
        <w:t>of</w:t>
      </w:r>
      <w:r>
        <w:rPr>
          <w:spacing w:val="-12"/>
          <w:w w:val="110"/>
        </w:rPr>
        <w:t xml:space="preserve"> </w:t>
      </w:r>
      <w:r>
        <w:rPr>
          <w:w w:val="110"/>
        </w:rPr>
        <w:t>comparable</w:t>
      </w:r>
      <w:r>
        <w:rPr>
          <w:spacing w:val="-12"/>
          <w:w w:val="110"/>
        </w:rPr>
        <w:t xml:space="preserve"> </w:t>
      </w:r>
      <w:r>
        <w:rPr>
          <w:w w:val="110"/>
        </w:rPr>
        <w:t>age,</w:t>
      </w:r>
      <w:r>
        <w:rPr>
          <w:spacing w:val="-15"/>
          <w:w w:val="110"/>
        </w:rPr>
        <w:t xml:space="preserve"> </w:t>
      </w:r>
      <w:r>
        <w:rPr>
          <w:w w:val="110"/>
        </w:rPr>
        <w:t>gender,</w:t>
      </w:r>
      <w:r>
        <w:rPr>
          <w:spacing w:val="-15"/>
          <w:w w:val="110"/>
        </w:rPr>
        <w:t xml:space="preserve"> </w:t>
      </w:r>
      <w:r>
        <w:rPr>
          <w:w w:val="110"/>
        </w:rPr>
        <w:t xml:space="preserve">and </w:t>
      </w:r>
      <w:r>
        <w:rPr>
          <w:w w:val="105"/>
        </w:rPr>
        <w:t>severity</w:t>
      </w:r>
      <w:r>
        <w:rPr>
          <w:spacing w:val="-16"/>
          <w:w w:val="105"/>
        </w:rPr>
        <w:t xml:space="preserve"> </w:t>
      </w:r>
      <w:r>
        <w:rPr>
          <w:w w:val="105"/>
        </w:rPr>
        <w:t>of</w:t>
      </w:r>
      <w:r>
        <w:rPr>
          <w:spacing w:val="-12"/>
          <w:w w:val="105"/>
        </w:rPr>
        <w:t xml:space="preserve"> </w:t>
      </w:r>
      <w:r>
        <w:rPr>
          <w:w w:val="105"/>
        </w:rPr>
        <w:t>Mental</w:t>
      </w:r>
      <w:r>
        <w:rPr>
          <w:spacing w:val="-5"/>
          <w:w w:val="105"/>
        </w:rPr>
        <w:t xml:space="preserve"> </w:t>
      </w:r>
      <w:r>
        <w:rPr>
          <w:w w:val="105"/>
        </w:rPr>
        <w:t>Retardation.</w:t>
      </w:r>
      <w:r>
        <w:rPr>
          <w:spacing w:val="-3"/>
          <w:w w:val="105"/>
        </w:rPr>
        <w:t xml:space="preserve"> </w:t>
      </w:r>
      <w:r>
        <w:rPr>
          <w:w w:val="105"/>
        </w:rPr>
        <w:t>Oppositional</w:t>
      </w:r>
      <w:r>
        <w:rPr>
          <w:spacing w:val="1"/>
          <w:w w:val="105"/>
        </w:rPr>
        <w:t xml:space="preserve"> </w:t>
      </w:r>
      <w:r>
        <w:rPr>
          <w:w w:val="105"/>
        </w:rPr>
        <w:t>Defiant</w:t>
      </w:r>
      <w:r>
        <w:rPr>
          <w:spacing w:val="-7"/>
          <w:w w:val="105"/>
        </w:rPr>
        <w:t xml:space="preserve"> </w:t>
      </w:r>
      <w:r>
        <w:rPr>
          <w:w w:val="105"/>
        </w:rPr>
        <w:t>Disorder</w:t>
      </w:r>
      <w:r>
        <w:rPr>
          <w:spacing w:val="-13"/>
          <w:w w:val="105"/>
        </w:rPr>
        <w:t xml:space="preserve"> </w:t>
      </w:r>
      <w:r>
        <w:rPr>
          <w:w w:val="105"/>
        </w:rPr>
        <w:t>must</w:t>
      </w:r>
      <w:r>
        <w:rPr>
          <w:spacing w:val="-14"/>
          <w:w w:val="105"/>
        </w:rPr>
        <w:t xml:space="preserve"> </w:t>
      </w:r>
      <w:r>
        <w:rPr>
          <w:w w:val="105"/>
        </w:rPr>
        <w:t>also</w:t>
      </w:r>
      <w:r>
        <w:rPr>
          <w:spacing w:val="-12"/>
          <w:w w:val="105"/>
        </w:rPr>
        <w:t xml:space="preserve"> </w:t>
      </w:r>
      <w:r>
        <w:rPr>
          <w:w w:val="105"/>
        </w:rPr>
        <w:t>be</w:t>
      </w:r>
      <w:r>
        <w:rPr>
          <w:spacing w:val="-16"/>
          <w:w w:val="105"/>
        </w:rPr>
        <w:t xml:space="preserve"> </w:t>
      </w:r>
      <w:r>
        <w:rPr>
          <w:w w:val="105"/>
        </w:rPr>
        <w:t xml:space="preserve">distinguished </w:t>
      </w:r>
      <w:r>
        <w:rPr>
          <w:w w:val="110"/>
        </w:rPr>
        <w:t>from</w:t>
      </w:r>
      <w:r>
        <w:rPr>
          <w:spacing w:val="-17"/>
          <w:w w:val="110"/>
        </w:rPr>
        <w:t xml:space="preserve"> </w:t>
      </w:r>
      <w:r>
        <w:rPr>
          <w:w w:val="110"/>
        </w:rPr>
        <w:t>a</w:t>
      </w:r>
      <w:r>
        <w:rPr>
          <w:spacing w:val="-18"/>
          <w:w w:val="110"/>
        </w:rPr>
        <w:t xml:space="preserve"> </w:t>
      </w:r>
      <w:r>
        <w:rPr>
          <w:w w:val="110"/>
        </w:rPr>
        <w:t>failure</w:t>
      </w:r>
      <w:r>
        <w:rPr>
          <w:spacing w:val="-16"/>
          <w:w w:val="110"/>
        </w:rPr>
        <w:t xml:space="preserve"> </w:t>
      </w:r>
      <w:r>
        <w:rPr>
          <w:w w:val="110"/>
        </w:rPr>
        <w:t>to</w:t>
      </w:r>
      <w:r>
        <w:rPr>
          <w:spacing w:val="-17"/>
          <w:w w:val="110"/>
        </w:rPr>
        <w:t xml:space="preserve"> </w:t>
      </w:r>
      <w:r>
        <w:rPr>
          <w:w w:val="110"/>
        </w:rPr>
        <w:t>follow</w:t>
      </w:r>
      <w:r>
        <w:rPr>
          <w:spacing w:val="-17"/>
          <w:w w:val="110"/>
        </w:rPr>
        <w:t xml:space="preserve"> </w:t>
      </w:r>
      <w:r>
        <w:rPr>
          <w:w w:val="110"/>
        </w:rPr>
        <w:t>directions</w:t>
      </w:r>
      <w:r>
        <w:rPr>
          <w:spacing w:val="-11"/>
          <w:w w:val="110"/>
        </w:rPr>
        <w:t xml:space="preserve"> </w:t>
      </w:r>
      <w:r>
        <w:rPr>
          <w:w w:val="110"/>
        </w:rPr>
        <w:t>that</w:t>
      </w:r>
      <w:r>
        <w:rPr>
          <w:spacing w:val="-12"/>
          <w:w w:val="110"/>
        </w:rPr>
        <w:t xml:space="preserve"> </w:t>
      </w:r>
      <w:r>
        <w:rPr>
          <w:w w:val="110"/>
        </w:rPr>
        <w:t>is</w:t>
      </w:r>
      <w:r>
        <w:rPr>
          <w:spacing w:val="-18"/>
          <w:w w:val="110"/>
        </w:rPr>
        <w:t xml:space="preserve"> </w:t>
      </w:r>
      <w:r>
        <w:rPr>
          <w:w w:val="110"/>
        </w:rPr>
        <w:t>the</w:t>
      </w:r>
      <w:r>
        <w:rPr>
          <w:spacing w:val="-16"/>
          <w:w w:val="110"/>
        </w:rPr>
        <w:t xml:space="preserve"> </w:t>
      </w:r>
      <w:r>
        <w:rPr>
          <w:w w:val="110"/>
        </w:rPr>
        <w:t>result</w:t>
      </w:r>
      <w:r>
        <w:rPr>
          <w:spacing w:val="-15"/>
          <w:w w:val="110"/>
        </w:rPr>
        <w:t xml:space="preserve"> </w:t>
      </w:r>
      <w:r>
        <w:rPr>
          <w:w w:val="110"/>
        </w:rPr>
        <w:t>of</w:t>
      </w:r>
      <w:r>
        <w:rPr>
          <w:spacing w:val="-15"/>
          <w:w w:val="110"/>
        </w:rPr>
        <w:t xml:space="preserve"> </w:t>
      </w:r>
      <w:r>
        <w:rPr>
          <w:b/>
          <w:w w:val="110"/>
        </w:rPr>
        <w:t>impaired</w:t>
      </w:r>
      <w:r>
        <w:rPr>
          <w:b/>
          <w:spacing w:val="-28"/>
          <w:w w:val="110"/>
        </w:rPr>
        <w:t xml:space="preserve"> </w:t>
      </w:r>
      <w:r>
        <w:rPr>
          <w:b/>
          <w:w w:val="110"/>
        </w:rPr>
        <w:t>language</w:t>
      </w:r>
      <w:r>
        <w:rPr>
          <w:b/>
          <w:spacing w:val="-26"/>
          <w:w w:val="110"/>
        </w:rPr>
        <w:t xml:space="preserve"> </w:t>
      </w:r>
      <w:r>
        <w:rPr>
          <w:b/>
          <w:w w:val="110"/>
        </w:rPr>
        <w:t>comprehen­ sion</w:t>
      </w:r>
      <w:r>
        <w:rPr>
          <w:b/>
          <w:spacing w:val="-39"/>
          <w:w w:val="110"/>
        </w:rPr>
        <w:t xml:space="preserve"> </w:t>
      </w:r>
      <w:r>
        <w:rPr>
          <w:w w:val="110"/>
        </w:rPr>
        <w:t>(e.g.,</w:t>
      </w:r>
      <w:r>
        <w:rPr>
          <w:spacing w:val="-30"/>
          <w:w w:val="110"/>
        </w:rPr>
        <w:t xml:space="preserve"> </w:t>
      </w:r>
      <w:r>
        <w:rPr>
          <w:w w:val="110"/>
        </w:rPr>
        <w:t>hearing</w:t>
      </w:r>
      <w:r>
        <w:rPr>
          <w:spacing w:val="-34"/>
          <w:w w:val="110"/>
        </w:rPr>
        <w:t xml:space="preserve"> </w:t>
      </w:r>
      <w:r>
        <w:rPr>
          <w:w w:val="110"/>
        </w:rPr>
        <w:t>loss,</w:t>
      </w:r>
      <w:r>
        <w:rPr>
          <w:spacing w:val="-33"/>
          <w:w w:val="110"/>
        </w:rPr>
        <w:t xml:space="preserve"> </w:t>
      </w:r>
      <w:r>
        <w:rPr>
          <w:w w:val="110"/>
        </w:rPr>
        <w:t>Mixed</w:t>
      </w:r>
      <w:r>
        <w:rPr>
          <w:spacing w:val="-32"/>
          <w:w w:val="110"/>
        </w:rPr>
        <w:t xml:space="preserve"> </w:t>
      </w:r>
      <w:r>
        <w:rPr>
          <w:w w:val="110"/>
        </w:rPr>
        <w:t>Receptive-Expressive</w:t>
      </w:r>
      <w:r>
        <w:rPr>
          <w:spacing w:val="-34"/>
          <w:w w:val="110"/>
        </w:rPr>
        <w:t xml:space="preserve"> </w:t>
      </w:r>
      <w:r>
        <w:rPr>
          <w:w w:val="110"/>
        </w:rPr>
        <w:t>Language</w:t>
      </w:r>
      <w:r>
        <w:rPr>
          <w:spacing w:val="-31"/>
          <w:w w:val="110"/>
        </w:rPr>
        <w:t xml:space="preserve"> </w:t>
      </w:r>
      <w:r>
        <w:rPr>
          <w:w w:val="110"/>
        </w:rPr>
        <w:t>Disorder).</w:t>
      </w:r>
      <w:r>
        <w:rPr>
          <w:spacing w:val="-30"/>
          <w:w w:val="110"/>
        </w:rPr>
        <w:t xml:space="preserve"> </w:t>
      </w:r>
      <w:r>
        <w:rPr>
          <w:w w:val="110"/>
        </w:rPr>
        <w:t xml:space="preserve">Oppositional behavior is a </w:t>
      </w:r>
      <w:r>
        <w:rPr>
          <w:b/>
          <w:w w:val="110"/>
        </w:rPr>
        <w:t xml:space="preserve">typical feature of certain developmental stages </w:t>
      </w:r>
      <w:r>
        <w:rPr>
          <w:w w:val="110"/>
        </w:rPr>
        <w:t>(e.g., early childhood and</w:t>
      </w:r>
      <w:r>
        <w:rPr>
          <w:spacing w:val="-6"/>
          <w:w w:val="110"/>
        </w:rPr>
        <w:t xml:space="preserve"> </w:t>
      </w:r>
      <w:r>
        <w:rPr>
          <w:w w:val="110"/>
        </w:rPr>
        <w:t>adolescence).</w:t>
      </w:r>
      <w:r>
        <w:rPr>
          <w:spacing w:val="-5"/>
          <w:w w:val="110"/>
        </w:rPr>
        <w:t xml:space="preserve"> </w:t>
      </w:r>
      <w:r>
        <w:rPr>
          <w:w w:val="110"/>
        </w:rPr>
        <w:t>A</w:t>
      </w:r>
      <w:r>
        <w:rPr>
          <w:spacing w:val="-21"/>
          <w:w w:val="110"/>
        </w:rPr>
        <w:t xml:space="preserve"> </w:t>
      </w:r>
      <w:r>
        <w:rPr>
          <w:w w:val="110"/>
        </w:rPr>
        <w:t>diagnosis</w:t>
      </w:r>
      <w:r>
        <w:rPr>
          <w:spacing w:val="-9"/>
          <w:w w:val="110"/>
        </w:rPr>
        <w:t xml:space="preserve"> </w:t>
      </w:r>
      <w:r>
        <w:rPr>
          <w:w w:val="110"/>
        </w:rPr>
        <w:t>of</w:t>
      </w:r>
      <w:r>
        <w:rPr>
          <w:spacing w:val="-15"/>
          <w:w w:val="110"/>
        </w:rPr>
        <w:t xml:space="preserve"> </w:t>
      </w:r>
      <w:r>
        <w:rPr>
          <w:w w:val="110"/>
        </w:rPr>
        <w:t>Oppositional</w:t>
      </w:r>
      <w:r>
        <w:rPr>
          <w:spacing w:val="-7"/>
          <w:w w:val="110"/>
        </w:rPr>
        <w:t xml:space="preserve"> </w:t>
      </w:r>
      <w:r>
        <w:rPr>
          <w:w w:val="110"/>
        </w:rPr>
        <w:t>Defiant</w:t>
      </w:r>
      <w:r>
        <w:rPr>
          <w:spacing w:val="-6"/>
          <w:w w:val="110"/>
        </w:rPr>
        <w:t xml:space="preserve"> </w:t>
      </w:r>
      <w:r>
        <w:rPr>
          <w:w w:val="110"/>
        </w:rPr>
        <w:t>Disorder</w:t>
      </w:r>
      <w:r>
        <w:rPr>
          <w:spacing w:val="-14"/>
          <w:w w:val="110"/>
        </w:rPr>
        <w:t xml:space="preserve"> </w:t>
      </w:r>
      <w:r>
        <w:rPr>
          <w:w w:val="110"/>
        </w:rPr>
        <w:t>should</w:t>
      </w:r>
      <w:r>
        <w:rPr>
          <w:spacing w:val="-8"/>
          <w:w w:val="110"/>
        </w:rPr>
        <w:t xml:space="preserve"> </w:t>
      </w:r>
      <w:r>
        <w:rPr>
          <w:w w:val="110"/>
        </w:rPr>
        <w:t>be</w:t>
      </w:r>
      <w:r>
        <w:rPr>
          <w:spacing w:val="-17"/>
          <w:w w:val="110"/>
        </w:rPr>
        <w:t xml:space="preserve"> </w:t>
      </w:r>
      <w:r>
        <w:rPr>
          <w:w w:val="110"/>
        </w:rPr>
        <w:t>considered only</w:t>
      </w:r>
      <w:r>
        <w:rPr>
          <w:spacing w:val="-13"/>
          <w:w w:val="110"/>
        </w:rPr>
        <w:t xml:space="preserve"> </w:t>
      </w:r>
      <w:r>
        <w:rPr>
          <w:w w:val="110"/>
        </w:rPr>
        <w:t>if</w:t>
      </w:r>
      <w:r>
        <w:rPr>
          <w:spacing w:val="-6"/>
          <w:w w:val="110"/>
        </w:rPr>
        <w:t xml:space="preserve"> </w:t>
      </w:r>
      <w:r>
        <w:rPr>
          <w:w w:val="110"/>
        </w:rPr>
        <w:t>the</w:t>
      </w:r>
      <w:r>
        <w:rPr>
          <w:spacing w:val="-10"/>
          <w:w w:val="110"/>
        </w:rPr>
        <w:t xml:space="preserve"> </w:t>
      </w:r>
      <w:r>
        <w:rPr>
          <w:w w:val="110"/>
        </w:rPr>
        <w:t>behaviors</w:t>
      </w:r>
      <w:r>
        <w:rPr>
          <w:spacing w:val="-7"/>
          <w:w w:val="110"/>
        </w:rPr>
        <w:t xml:space="preserve"> </w:t>
      </w:r>
      <w:r>
        <w:rPr>
          <w:w w:val="110"/>
        </w:rPr>
        <w:t>occur</w:t>
      </w:r>
      <w:r>
        <w:rPr>
          <w:spacing w:val="-12"/>
          <w:w w:val="110"/>
        </w:rPr>
        <w:t xml:space="preserve"> </w:t>
      </w:r>
      <w:r>
        <w:rPr>
          <w:w w:val="110"/>
        </w:rPr>
        <w:t>more</w:t>
      </w:r>
      <w:r>
        <w:rPr>
          <w:spacing w:val="-9"/>
          <w:w w:val="110"/>
        </w:rPr>
        <w:t xml:space="preserve"> </w:t>
      </w:r>
      <w:r>
        <w:rPr>
          <w:w w:val="110"/>
        </w:rPr>
        <w:t>frequently</w:t>
      </w:r>
      <w:r>
        <w:rPr>
          <w:spacing w:val="-7"/>
          <w:w w:val="110"/>
        </w:rPr>
        <w:t xml:space="preserve"> </w:t>
      </w:r>
      <w:r>
        <w:rPr>
          <w:w w:val="110"/>
        </w:rPr>
        <w:t>and</w:t>
      </w:r>
      <w:r>
        <w:rPr>
          <w:spacing w:val="-5"/>
          <w:w w:val="110"/>
        </w:rPr>
        <w:t xml:space="preserve"> </w:t>
      </w:r>
      <w:r>
        <w:rPr>
          <w:w w:val="110"/>
        </w:rPr>
        <w:t>have</w:t>
      </w:r>
      <w:r>
        <w:rPr>
          <w:spacing w:val="-10"/>
          <w:w w:val="110"/>
        </w:rPr>
        <w:t xml:space="preserve"> </w:t>
      </w:r>
      <w:r>
        <w:rPr>
          <w:w w:val="110"/>
        </w:rPr>
        <w:t>more</w:t>
      </w:r>
      <w:r>
        <w:rPr>
          <w:spacing w:val="-10"/>
          <w:w w:val="110"/>
        </w:rPr>
        <w:t xml:space="preserve"> </w:t>
      </w:r>
      <w:r>
        <w:rPr>
          <w:w w:val="110"/>
        </w:rPr>
        <w:t>serious</w:t>
      </w:r>
      <w:r>
        <w:rPr>
          <w:spacing w:val="-11"/>
          <w:w w:val="110"/>
        </w:rPr>
        <w:t xml:space="preserve"> </w:t>
      </w:r>
      <w:r>
        <w:rPr>
          <w:w w:val="110"/>
        </w:rPr>
        <w:t>consequences</w:t>
      </w:r>
      <w:r>
        <w:rPr>
          <w:spacing w:val="-2"/>
          <w:w w:val="110"/>
        </w:rPr>
        <w:t xml:space="preserve"> </w:t>
      </w:r>
      <w:r>
        <w:rPr>
          <w:w w:val="110"/>
        </w:rPr>
        <w:t>than is</w:t>
      </w:r>
      <w:r>
        <w:rPr>
          <w:spacing w:val="-15"/>
          <w:w w:val="110"/>
        </w:rPr>
        <w:t xml:space="preserve"> </w:t>
      </w:r>
      <w:r>
        <w:rPr>
          <w:w w:val="110"/>
        </w:rPr>
        <w:t>typically</w:t>
      </w:r>
      <w:r>
        <w:rPr>
          <w:spacing w:val="-9"/>
          <w:w w:val="110"/>
        </w:rPr>
        <w:t xml:space="preserve"> </w:t>
      </w:r>
      <w:r>
        <w:rPr>
          <w:w w:val="110"/>
        </w:rPr>
        <w:t>observed</w:t>
      </w:r>
      <w:r>
        <w:rPr>
          <w:spacing w:val="-6"/>
          <w:w w:val="110"/>
        </w:rPr>
        <w:t xml:space="preserve"> </w:t>
      </w:r>
      <w:r>
        <w:rPr>
          <w:w w:val="110"/>
        </w:rPr>
        <w:t>in</w:t>
      </w:r>
      <w:r>
        <w:rPr>
          <w:spacing w:val="-17"/>
          <w:w w:val="110"/>
        </w:rPr>
        <w:t xml:space="preserve"> </w:t>
      </w:r>
      <w:r>
        <w:rPr>
          <w:w w:val="110"/>
        </w:rPr>
        <w:t>other</w:t>
      </w:r>
      <w:r>
        <w:rPr>
          <w:spacing w:val="-10"/>
          <w:w w:val="110"/>
        </w:rPr>
        <w:t xml:space="preserve"> </w:t>
      </w:r>
      <w:r>
        <w:rPr>
          <w:w w:val="110"/>
        </w:rPr>
        <w:t>individuals</w:t>
      </w:r>
      <w:r>
        <w:rPr>
          <w:spacing w:val="-6"/>
          <w:w w:val="110"/>
        </w:rPr>
        <w:t xml:space="preserve"> </w:t>
      </w:r>
      <w:r>
        <w:rPr>
          <w:w w:val="110"/>
        </w:rPr>
        <w:t>of</w:t>
      </w:r>
      <w:r>
        <w:rPr>
          <w:spacing w:val="-11"/>
          <w:w w:val="110"/>
        </w:rPr>
        <w:t xml:space="preserve"> </w:t>
      </w:r>
      <w:r>
        <w:rPr>
          <w:w w:val="110"/>
        </w:rPr>
        <w:t>comparable</w:t>
      </w:r>
      <w:r>
        <w:rPr>
          <w:spacing w:val="-5"/>
          <w:w w:val="110"/>
        </w:rPr>
        <w:t xml:space="preserve"> </w:t>
      </w:r>
      <w:r>
        <w:rPr>
          <w:w w:val="110"/>
        </w:rPr>
        <w:t>developmental</w:t>
      </w:r>
      <w:r>
        <w:rPr>
          <w:spacing w:val="-7"/>
          <w:w w:val="110"/>
        </w:rPr>
        <w:t xml:space="preserve"> </w:t>
      </w:r>
      <w:r>
        <w:rPr>
          <w:w w:val="110"/>
        </w:rPr>
        <w:t>stage</w:t>
      </w:r>
      <w:r>
        <w:rPr>
          <w:spacing w:val="-14"/>
          <w:w w:val="110"/>
        </w:rPr>
        <w:t xml:space="preserve"> </w:t>
      </w:r>
      <w:r>
        <w:rPr>
          <w:w w:val="110"/>
        </w:rPr>
        <w:t>and</w:t>
      </w:r>
      <w:r>
        <w:rPr>
          <w:spacing w:val="-13"/>
          <w:w w:val="110"/>
        </w:rPr>
        <w:t xml:space="preserve"> </w:t>
      </w:r>
      <w:r>
        <w:rPr>
          <w:w w:val="110"/>
        </w:rPr>
        <w:t>lead to</w:t>
      </w:r>
      <w:r>
        <w:rPr>
          <w:spacing w:val="-20"/>
          <w:w w:val="110"/>
        </w:rPr>
        <w:t xml:space="preserve"> </w:t>
      </w:r>
      <w:r>
        <w:rPr>
          <w:w w:val="110"/>
        </w:rPr>
        <w:t>significant</w:t>
      </w:r>
      <w:r>
        <w:rPr>
          <w:spacing w:val="-9"/>
          <w:w w:val="110"/>
        </w:rPr>
        <w:t xml:space="preserve"> </w:t>
      </w:r>
      <w:r>
        <w:rPr>
          <w:w w:val="110"/>
        </w:rPr>
        <w:t>impairment</w:t>
      </w:r>
      <w:r>
        <w:rPr>
          <w:spacing w:val="-3"/>
          <w:w w:val="110"/>
        </w:rPr>
        <w:t xml:space="preserve"> </w:t>
      </w:r>
      <w:r>
        <w:rPr>
          <w:w w:val="110"/>
        </w:rPr>
        <w:t>in</w:t>
      </w:r>
      <w:r>
        <w:rPr>
          <w:spacing w:val="-16"/>
          <w:w w:val="110"/>
        </w:rPr>
        <w:t xml:space="preserve"> </w:t>
      </w:r>
      <w:r>
        <w:rPr>
          <w:w w:val="110"/>
        </w:rPr>
        <w:t>social,</w:t>
      </w:r>
      <w:r>
        <w:rPr>
          <w:spacing w:val="-8"/>
          <w:w w:val="110"/>
        </w:rPr>
        <w:t xml:space="preserve"> </w:t>
      </w:r>
      <w:r>
        <w:rPr>
          <w:w w:val="110"/>
        </w:rPr>
        <w:t>academic,</w:t>
      </w:r>
      <w:r>
        <w:rPr>
          <w:spacing w:val="-7"/>
          <w:w w:val="110"/>
        </w:rPr>
        <w:t xml:space="preserve"> </w:t>
      </w:r>
      <w:r>
        <w:rPr>
          <w:w w:val="110"/>
        </w:rPr>
        <w:t>or</w:t>
      </w:r>
      <w:r>
        <w:rPr>
          <w:spacing w:val="-10"/>
          <w:w w:val="110"/>
        </w:rPr>
        <w:t xml:space="preserve"> </w:t>
      </w:r>
      <w:r>
        <w:rPr>
          <w:w w:val="110"/>
        </w:rPr>
        <w:t>occupational</w:t>
      </w:r>
      <w:r>
        <w:rPr>
          <w:spacing w:val="-7"/>
          <w:w w:val="110"/>
        </w:rPr>
        <w:t xml:space="preserve"> </w:t>
      </w:r>
      <w:r>
        <w:rPr>
          <w:w w:val="110"/>
        </w:rPr>
        <w:t>functioning.</w:t>
      </w:r>
      <w:r>
        <w:rPr>
          <w:spacing w:val="-1"/>
          <w:w w:val="110"/>
        </w:rPr>
        <w:t xml:space="preserve"> </w:t>
      </w:r>
      <w:r>
        <w:rPr>
          <w:w w:val="110"/>
        </w:rPr>
        <w:t>New</w:t>
      </w:r>
      <w:r>
        <w:rPr>
          <w:spacing w:val="-16"/>
          <w:w w:val="110"/>
        </w:rPr>
        <w:t xml:space="preserve"> </w:t>
      </w:r>
      <w:r>
        <w:rPr>
          <w:w w:val="110"/>
        </w:rPr>
        <w:t>onset of oppositional behaviors in adolescence may be due to the process of normal individuation.</w:t>
      </w:r>
    </w:p>
    <w:p w:rsidR="00E675F0" w:rsidRDefault="00E675F0" w:rsidP="00E675F0">
      <w:pPr>
        <w:pStyle w:val="BodyText"/>
      </w:pPr>
    </w:p>
    <w:p w:rsidR="00E675F0" w:rsidRDefault="00E675F0" w:rsidP="00E675F0">
      <w:pPr>
        <w:pStyle w:val="BodyText"/>
        <w:spacing w:before="3"/>
        <w:rPr>
          <w:sz w:val="14"/>
        </w:rPr>
      </w:pPr>
      <w:r>
        <w:rPr>
          <w:noProof/>
        </w:rPr>
        <mc:AlternateContent>
          <mc:Choice Requires="wpg">
            <w:drawing>
              <wp:anchor distT="0" distB="0" distL="0" distR="0" simplePos="0" relativeHeight="251847680" behindDoc="1" locked="0" layoutInCell="1" allowOverlap="1" wp14:anchorId="5A051EDA" wp14:editId="117D7441">
                <wp:simplePos x="0" y="0"/>
                <wp:positionH relativeFrom="page">
                  <wp:posOffset>469265</wp:posOffset>
                </wp:positionH>
                <wp:positionV relativeFrom="paragraph">
                  <wp:posOffset>132080</wp:posOffset>
                </wp:positionV>
                <wp:extent cx="4744720" cy="1605915"/>
                <wp:effectExtent l="0" t="0" r="5080" b="0"/>
                <wp:wrapTopAndBottom/>
                <wp:docPr id="1542" name="Group 1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4720" cy="1605915"/>
                          <a:chOff x="739" y="208"/>
                          <a:chExt cx="7472" cy="2529"/>
                        </a:xfrm>
                      </wpg:grpSpPr>
                      <wps:wsp>
                        <wps:cNvPr id="1543" name="AutoShape 1508"/>
                        <wps:cNvSpPr>
                          <a:spLocks/>
                        </wps:cNvSpPr>
                        <wps:spPr bwMode="auto">
                          <a:xfrm>
                            <a:off x="739" y="208"/>
                            <a:ext cx="7472" cy="2519"/>
                          </a:xfrm>
                          <a:custGeom>
                            <a:avLst/>
                            <a:gdLst>
                              <a:gd name="T0" fmla="+- 0 739 739"/>
                              <a:gd name="T1" fmla="*/ T0 w 7472"/>
                              <a:gd name="T2" fmla="+- 0 213 208"/>
                              <a:gd name="T3" fmla="*/ 213 h 2519"/>
                              <a:gd name="T4" fmla="+- 0 8211 739"/>
                              <a:gd name="T5" fmla="*/ T4 w 7472"/>
                              <a:gd name="T6" fmla="+- 0 213 208"/>
                              <a:gd name="T7" fmla="*/ 213 h 2519"/>
                              <a:gd name="T8" fmla="+- 0 744 739"/>
                              <a:gd name="T9" fmla="*/ T8 w 7472"/>
                              <a:gd name="T10" fmla="+- 0 2727 208"/>
                              <a:gd name="T11" fmla="*/ 2727 h 2519"/>
                              <a:gd name="T12" fmla="+- 0 744 739"/>
                              <a:gd name="T13" fmla="*/ T12 w 7472"/>
                              <a:gd name="T14" fmla="+- 0 208 208"/>
                              <a:gd name="T15" fmla="*/ 208 h 2519"/>
                            </a:gdLst>
                            <a:ahLst/>
                            <a:cxnLst>
                              <a:cxn ang="0">
                                <a:pos x="T1" y="T3"/>
                              </a:cxn>
                              <a:cxn ang="0">
                                <a:pos x="T5" y="T7"/>
                              </a:cxn>
                              <a:cxn ang="0">
                                <a:pos x="T9" y="T11"/>
                              </a:cxn>
                              <a:cxn ang="0">
                                <a:pos x="T13" y="T15"/>
                              </a:cxn>
                            </a:cxnLst>
                            <a:rect l="0" t="0" r="r" b="b"/>
                            <a:pathLst>
                              <a:path w="7472" h="2519">
                                <a:moveTo>
                                  <a:pt x="0" y="5"/>
                                </a:moveTo>
                                <a:lnTo>
                                  <a:pt x="7472" y="5"/>
                                </a:lnTo>
                                <a:moveTo>
                                  <a:pt x="5" y="2519"/>
                                </a:moveTo>
                                <a:lnTo>
                                  <a:pt x="5" y="0"/>
                                </a:lnTo>
                              </a:path>
                            </a:pathLst>
                          </a:custGeom>
                          <a:noFill/>
                          <a:ln w="6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4" name="Line 1507"/>
                        <wps:cNvCnPr>
                          <a:cxnSpLocks/>
                        </wps:cNvCnPr>
                        <wps:spPr bwMode="auto">
                          <a:xfrm>
                            <a:off x="835" y="309"/>
                            <a:ext cx="7280" cy="0"/>
                          </a:xfrm>
                          <a:prstGeom prst="line">
                            <a:avLst/>
                          </a:prstGeom>
                          <a:noFill/>
                          <a:ln w="244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5" name="Line 1506"/>
                        <wps:cNvCnPr>
                          <a:cxnSpLocks/>
                        </wps:cNvCnPr>
                        <wps:spPr bwMode="auto">
                          <a:xfrm>
                            <a:off x="8206" y="2727"/>
                            <a:ext cx="0" cy="0"/>
                          </a:xfrm>
                          <a:prstGeom prst="line">
                            <a:avLst/>
                          </a:prstGeom>
                          <a:noFill/>
                          <a:ln w="61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6" name="AutoShape 1505"/>
                        <wps:cNvSpPr>
                          <a:spLocks/>
                        </wps:cNvSpPr>
                        <wps:spPr bwMode="auto">
                          <a:xfrm>
                            <a:off x="835" y="289"/>
                            <a:ext cx="7280" cy="2447"/>
                          </a:xfrm>
                          <a:custGeom>
                            <a:avLst/>
                            <a:gdLst>
                              <a:gd name="T0" fmla="+- 0 835 835"/>
                              <a:gd name="T1" fmla="*/ T0 w 7280"/>
                              <a:gd name="T2" fmla="+- 0 2727 290"/>
                              <a:gd name="T3" fmla="*/ 2727 h 2447"/>
                              <a:gd name="T4" fmla="+- 0 835 835"/>
                              <a:gd name="T5" fmla="*/ T4 w 7280"/>
                              <a:gd name="T6" fmla="+- 0 309 290"/>
                              <a:gd name="T7" fmla="*/ 309 h 2447"/>
                              <a:gd name="T8" fmla="+- 0 8115 835"/>
                              <a:gd name="T9" fmla="*/ T8 w 7280"/>
                              <a:gd name="T10" fmla="+- 0 2736 290"/>
                              <a:gd name="T11" fmla="*/ 2736 h 2447"/>
                              <a:gd name="T12" fmla="+- 0 8115 835"/>
                              <a:gd name="T13" fmla="*/ T12 w 7280"/>
                              <a:gd name="T14" fmla="+- 0 290 290"/>
                              <a:gd name="T15" fmla="*/ 290 h 2447"/>
                            </a:gdLst>
                            <a:ahLst/>
                            <a:cxnLst>
                              <a:cxn ang="0">
                                <a:pos x="T1" y="T3"/>
                              </a:cxn>
                              <a:cxn ang="0">
                                <a:pos x="T5" y="T7"/>
                              </a:cxn>
                              <a:cxn ang="0">
                                <a:pos x="T9" y="T11"/>
                              </a:cxn>
                              <a:cxn ang="0">
                                <a:pos x="T13" y="T15"/>
                              </a:cxn>
                            </a:cxnLst>
                            <a:rect l="0" t="0" r="r" b="b"/>
                            <a:pathLst>
                              <a:path w="7280" h="2447">
                                <a:moveTo>
                                  <a:pt x="0" y="2437"/>
                                </a:moveTo>
                                <a:lnTo>
                                  <a:pt x="0" y="19"/>
                                </a:lnTo>
                                <a:moveTo>
                                  <a:pt x="7280" y="2446"/>
                                </a:moveTo>
                                <a:lnTo>
                                  <a:pt x="7280" y="0"/>
                                </a:lnTo>
                              </a:path>
                            </a:pathLst>
                          </a:custGeom>
                          <a:noFill/>
                          <a:ln w="2443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7" name="Line 1504"/>
                        <wps:cNvCnPr>
                          <a:cxnSpLocks/>
                        </wps:cNvCnPr>
                        <wps:spPr bwMode="auto">
                          <a:xfrm>
                            <a:off x="739" y="2717"/>
                            <a:ext cx="116" cy="0"/>
                          </a:xfrm>
                          <a:prstGeom prst="line">
                            <a:avLst/>
                          </a:prstGeom>
                          <a:noFill/>
                          <a:ln w="122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8" name="Line 1503"/>
                        <wps:cNvCnPr>
                          <a:cxnSpLocks/>
                        </wps:cNvCnPr>
                        <wps:spPr bwMode="auto">
                          <a:xfrm>
                            <a:off x="816" y="2717"/>
                            <a:ext cx="7318" cy="0"/>
                          </a:xfrm>
                          <a:prstGeom prst="line">
                            <a:avLst/>
                          </a:prstGeom>
                          <a:noFill/>
                          <a:ln w="244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9" name="Line 1502"/>
                        <wps:cNvCnPr>
                          <a:cxnSpLocks/>
                        </wps:cNvCnPr>
                        <wps:spPr bwMode="auto">
                          <a:xfrm>
                            <a:off x="8096" y="2717"/>
                            <a:ext cx="115" cy="0"/>
                          </a:xfrm>
                          <a:prstGeom prst="line">
                            <a:avLst/>
                          </a:prstGeom>
                          <a:noFill/>
                          <a:ln w="122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0" name="Text Box 1501"/>
                        <wps:cNvSpPr txBox="1">
                          <a:spLocks/>
                        </wps:cNvSpPr>
                        <wps:spPr bwMode="auto">
                          <a:xfrm>
                            <a:off x="1473" y="1332"/>
                            <a:ext cx="6422" cy="1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5F0" w:rsidRDefault="00E675F0" w:rsidP="00E675F0">
                              <w:pPr>
                                <w:spacing w:line="252" w:lineRule="auto"/>
                                <w:ind w:left="300" w:right="69" w:hanging="301"/>
                                <w:rPr>
                                  <w:sz w:val="20"/>
                                </w:rPr>
                              </w:pPr>
                              <w:r>
                                <w:rPr>
                                  <w:sz w:val="20"/>
                                </w:rPr>
                                <w:t>A. A  pattern  of  negativistic,  hostile,  and  defiant  behavior  lasting  at  least 6 months, during which four (or more) of the following are</w:t>
                              </w:r>
                              <w:r>
                                <w:rPr>
                                  <w:spacing w:val="47"/>
                                  <w:sz w:val="20"/>
                                </w:rPr>
                                <w:t xml:space="preserve"> </w:t>
                              </w:r>
                              <w:r>
                                <w:rPr>
                                  <w:sz w:val="20"/>
                                </w:rPr>
                                <w:t>present:</w:t>
                              </w:r>
                            </w:p>
                            <w:p w:rsidR="00E675F0" w:rsidRDefault="00E675F0" w:rsidP="003048D3">
                              <w:pPr>
                                <w:numPr>
                                  <w:ilvl w:val="0"/>
                                  <w:numId w:val="5"/>
                                </w:numPr>
                                <w:tabs>
                                  <w:tab w:val="left" w:pos="730"/>
                                  <w:tab w:val="left" w:pos="731"/>
                                </w:tabs>
                                <w:spacing w:before="56"/>
                                <w:rPr>
                                  <w:rFonts w:ascii="Arial"/>
                                  <w:sz w:val="16"/>
                                </w:rPr>
                              </w:pPr>
                              <w:r>
                                <w:rPr>
                                  <w:w w:val="105"/>
                                  <w:sz w:val="20"/>
                                </w:rPr>
                                <w:t>often loses</w:t>
                              </w:r>
                              <w:r>
                                <w:rPr>
                                  <w:spacing w:val="29"/>
                                  <w:w w:val="105"/>
                                  <w:sz w:val="20"/>
                                </w:rPr>
                                <w:t xml:space="preserve"> </w:t>
                              </w:r>
                              <w:r>
                                <w:rPr>
                                  <w:w w:val="105"/>
                                  <w:sz w:val="20"/>
                                </w:rPr>
                                <w:t>temper</w:t>
                              </w:r>
                            </w:p>
                            <w:p w:rsidR="00E675F0" w:rsidRDefault="00E675F0" w:rsidP="003048D3">
                              <w:pPr>
                                <w:numPr>
                                  <w:ilvl w:val="0"/>
                                  <w:numId w:val="5"/>
                                </w:numPr>
                                <w:tabs>
                                  <w:tab w:val="left" w:pos="730"/>
                                  <w:tab w:val="left" w:pos="731"/>
                                </w:tabs>
                                <w:spacing w:before="16"/>
                                <w:ind w:hanging="429"/>
                                <w:rPr>
                                  <w:sz w:val="17"/>
                                </w:rPr>
                              </w:pPr>
                              <w:r>
                                <w:rPr>
                                  <w:w w:val="105"/>
                                  <w:sz w:val="20"/>
                                </w:rPr>
                                <w:t>often argues with</w:t>
                              </w:r>
                              <w:r>
                                <w:rPr>
                                  <w:spacing w:val="30"/>
                                  <w:w w:val="105"/>
                                  <w:sz w:val="20"/>
                                </w:rPr>
                                <w:t xml:space="preserve"> </w:t>
                              </w:r>
                              <w:r>
                                <w:rPr>
                                  <w:w w:val="105"/>
                                  <w:sz w:val="20"/>
                                </w:rPr>
                                <w:t>adults</w:t>
                              </w:r>
                            </w:p>
                            <w:p w:rsidR="00E675F0" w:rsidRDefault="00E675F0" w:rsidP="00E675F0">
                              <w:pPr>
                                <w:spacing w:before="5"/>
                                <w:ind w:left="5371"/>
                                <w:rPr>
                                  <w:i/>
                                  <w:sz w:val="20"/>
                                </w:rPr>
                              </w:pPr>
                              <w:r>
                                <w:rPr>
                                  <w:i/>
                                  <w:w w:val="105"/>
                                  <w:sz w:val="20"/>
                                </w:rPr>
                                <w:t>( continued)</w:t>
                              </w:r>
                            </w:p>
                          </w:txbxContent>
                        </wps:txbx>
                        <wps:bodyPr rot="0" vert="horz" wrap="square" lIns="0" tIns="0" rIns="0" bIns="0" anchor="t" anchorCtr="0" upright="1">
                          <a:noAutofit/>
                        </wps:bodyPr>
                      </wps:wsp>
                      <wps:wsp>
                        <wps:cNvPr id="1551" name="Text Box 1500"/>
                        <wps:cNvSpPr txBox="1">
                          <a:spLocks/>
                        </wps:cNvSpPr>
                        <wps:spPr bwMode="auto">
                          <a:xfrm>
                            <a:off x="1448" y="822"/>
                            <a:ext cx="1039"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5F0" w:rsidRDefault="00E675F0" w:rsidP="00E675F0">
                              <w:pPr>
                                <w:spacing w:line="268" w:lineRule="exact"/>
                                <w:rPr>
                                  <w:rFonts w:ascii="Arial"/>
                                  <w:b/>
                                  <w:sz w:val="24"/>
                                </w:rPr>
                              </w:pPr>
                              <w:r>
                                <w:rPr>
                                  <w:rFonts w:ascii="Arial"/>
                                  <w:b/>
                                  <w:sz w:val="24"/>
                                </w:rPr>
                                <w:t>Disorder</w:t>
                              </w:r>
                            </w:p>
                          </w:txbxContent>
                        </wps:txbx>
                        <wps:bodyPr rot="0" vert="horz" wrap="square" lIns="0" tIns="0" rIns="0" bIns="0" anchor="t" anchorCtr="0" upright="1">
                          <a:noAutofit/>
                        </wps:bodyPr>
                      </wps:wsp>
                      <wps:wsp>
                        <wps:cNvPr id="1552" name="Text Box 1499"/>
                        <wps:cNvSpPr txBox="1">
                          <a:spLocks/>
                        </wps:cNvSpPr>
                        <wps:spPr bwMode="auto">
                          <a:xfrm>
                            <a:off x="1073" y="379"/>
                            <a:ext cx="6349"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5F0" w:rsidRDefault="00E675F0" w:rsidP="003048D3">
                              <w:pPr>
                                <w:numPr>
                                  <w:ilvl w:val="0"/>
                                  <w:numId w:val="85"/>
                                </w:numPr>
                                <w:tabs>
                                  <w:tab w:val="left" w:pos="375"/>
                                </w:tabs>
                                <w:spacing w:line="558" w:lineRule="exact"/>
                                <w:rPr>
                                  <w:rFonts w:ascii="Arial"/>
                                  <w:b/>
                                  <w:sz w:val="24"/>
                                </w:rPr>
                              </w:pPr>
                              <w:r>
                                <w:rPr>
                                  <w:rFonts w:ascii="Arial"/>
                                  <w:b/>
                                  <w:w w:val="105"/>
                                  <w:sz w:val="24"/>
                                </w:rPr>
                                <w:t>Diagnostic</w:t>
                              </w:r>
                              <w:r>
                                <w:rPr>
                                  <w:rFonts w:ascii="Arial"/>
                                  <w:b/>
                                  <w:spacing w:val="-4"/>
                                  <w:w w:val="105"/>
                                  <w:sz w:val="24"/>
                                </w:rPr>
                                <w:t xml:space="preserve"> </w:t>
                              </w:r>
                              <w:r>
                                <w:rPr>
                                  <w:rFonts w:ascii="Arial"/>
                                  <w:b/>
                                  <w:w w:val="105"/>
                                  <w:sz w:val="24"/>
                                </w:rPr>
                                <w:t>criteria</w:t>
                              </w:r>
                              <w:r>
                                <w:rPr>
                                  <w:rFonts w:ascii="Arial"/>
                                  <w:b/>
                                  <w:spacing w:val="-7"/>
                                  <w:w w:val="105"/>
                                  <w:sz w:val="24"/>
                                </w:rPr>
                                <w:t xml:space="preserve"> </w:t>
                              </w:r>
                              <w:r>
                                <w:rPr>
                                  <w:rFonts w:ascii="Arial"/>
                                  <w:b/>
                                  <w:w w:val="105"/>
                                  <w:sz w:val="24"/>
                                </w:rPr>
                                <w:t>for</w:t>
                              </w:r>
                              <w:r>
                                <w:rPr>
                                  <w:rFonts w:ascii="Arial"/>
                                  <w:b/>
                                  <w:spacing w:val="-10"/>
                                  <w:w w:val="105"/>
                                  <w:sz w:val="24"/>
                                </w:rPr>
                                <w:t xml:space="preserve"> </w:t>
                              </w:r>
                              <w:r>
                                <w:rPr>
                                  <w:rFonts w:ascii="Arial"/>
                                  <w:b/>
                                  <w:spacing w:val="11"/>
                                  <w:w w:val="105"/>
                                  <w:sz w:val="24"/>
                                </w:rPr>
                                <w:t>3I</w:t>
                              </w:r>
                              <w:r>
                                <w:rPr>
                                  <w:rFonts w:ascii="Arial"/>
                                  <w:b/>
                                  <w:spacing w:val="-24"/>
                                  <w:w w:val="105"/>
                                  <w:sz w:val="24"/>
                                </w:rPr>
                                <w:t xml:space="preserve"> </w:t>
                              </w:r>
                              <w:r>
                                <w:rPr>
                                  <w:rFonts w:ascii="Arial"/>
                                  <w:b/>
                                  <w:w w:val="105"/>
                                  <w:sz w:val="24"/>
                                </w:rPr>
                                <w:t>3.8</w:t>
                              </w:r>
                              <w:r>
                                <w:rPr>
                                  <w:rFonts w:ascii="Arial"/>
                                  <w:b/>
                                  <w:spacing w:val="-49"/>
                                  <w:w w:val="105"/>
                                  <w:sz w:val="24"/>
                                </w:rPr>
                                <w:t xml:space="preserve"> </w:t>
                              </w:r>
                              <w:r>
                                <w:rPr>
                                  <w:rFonts w:ascii="Arial"/>
                                  <w:b/>
                                  <w:w w:val="105"/>
                                  <w:sz w:val="24"/>
                                </w:rPr>
                                <w:t>I</w:t>
                              </w:r>
                              <w:r>
                                <w:rPr>
                                  <w:rFonts w:ascii="Arial"/>
                                  <w:b/>
                                  <w:spacing w:val="28"/>
                                  <w:w w:val="105"/>
                                  <w:sz w:val="24"/>
                                </w:rPr>
                                <w:t xml:space="preserve"> </w:t>
                              </w:r>
                              <w:r>
                                <w:rPr>
                                  <w:rFonts w:ascii="Arial"/>
                                  <w:b/>
                                  <w:w w:val="105"/>
                                  <w:sz w:val="24"/>
                                </w:rPr>
                                <w:t>Oppositional</w:t>
                              </w:r>
                              <w:r>
                                <w:rPr>
                                  <w:rFonts w:ascii="Arial"/>
                                  <w:b/>
                                  <w:spacing w:val="-8"/>
                                  <w:w w:val="105"/>
                                  <w:sz w:val="24"/>
                                </w:rPr>
                                <w:t xml:space="preserve"> </w:t>
                              </w:r>
                              <w:r>
                                <w:rPr>
                                  <w:rFonts w:ascii="Arial"/>
                                  <w:b/>
                                  <w:w w:val="105"/>
                                  <w:sz w:val="24"/>
                                </w:rPr>
                                <w:t>Defiant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051EDA" id="Group 1498" o:spid="_x0000_s1071" style="position:absolute;margin-left:36.95pt;margin-top:10.4pt;width:373.6pt;height:126.45pt;z-index:-251468800;mso-wrap-distance-left:0;mso-wrap-distance-right:0;mso-position-horizontal-relative:page;mso-position-vertical-relative:text" coordorigin="739,208" coordsize="7472,252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">
                <v:shape id="AutoShape 1508" o:spid="_x0000_s1072" style="position:absolute;left:739;top:208;width:7472;height:2519;visibility:visible;mso-wrap-style:square;v-text-anchor:top" coordsize="7472,25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" path="m,5r7472,m5,2519l5,e" filled="f" strokeweight=".16964mm">
                  <v:path arrowok="t" o:connecttype="custom" o:connectlocs="0,213;7472,213;5,2727;5,208" o:connectangles="0,0,0,0"/>
                </v:shape>
                <v:line id="Line 1507" o:spid="_x0000_s1073" style="position:absolute;visibility:visible;mso-wrap-style:square" from="835,309" to="8115,3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" strokeweight=".67828mm">
                  <o:lock v:ext="edit" shapetype="f"/>
                </v:line>
                <v:line id="Line 1506" o:spid="_x0000_s1074" style="position:absolute;visibility:visible;mso-wrap-style:square" from="8206,2727" to="8206,27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" strokeweight=".16972mm">
                  <o:lock v:ext="edit" shapetype="f"/>
                </v:line>
                <v:shape id="AutoShape 1505" o:spid="_x0000_s1075" style="position:absolute;left:835;top:289;width:7280;height:2447;visibility:visible;mso-wrap-style:square;v-text-anchor:top" coordsize="7280,24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" path="m,2437l,19m7280,2446l7280,e" filled="f" strokeweight=".67861mm">
                  <v:path arrowok="t" o:connecttype="custom" o:connectlocs="0,2727;0,309;7280,2736;7280,290" o:connectangles="0,0,0,0"/>
                </v:shape>
                <v:line id="Line 1504" o:spid="_x0000_s1076" style="position:absolute;visibility:visible;mso-wrap-style:square" from="739,2717" to="855,27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" strokeweight=".33914mm">
                  <o:lock v:ext="edit" shapetype="f"/>
                </v:line>
                <v:line id="Line 1503" o:spid="_x0000_s1077" style="position:absolute;visibility:visible;mso-wrap-style:square" from="816,2717" to="8134,27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" strokeweight=".67828mm">
                  <o:lock v:ext="edit" shapetype="f"/>
                </v:line>
                <v:line id="Line 1502" o:spid="_x0000_s1078" style="position:absolute;visibility:visible;mso-wrap-style:square" from="8096,2717" to="8211,27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" strokeweight=".33914mm">
                  <o:lock v:ext="edit" shapetype="f"/>
                </v:line>
                <v:shape id="Text Box 1501" o:spid="_x0000_s1079" type="#_x0000_t202" style="position:absolute;left:1473;top:1332;width:6422;height:12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" filled="f" stroked="f">
                  <v:path arrowok="t"/>
                  <v:textbox inset="0,0,0,0">
                    <w:txbxContent>
                      <w:p w:rsidR="00E675F0" w:rsidRDefault="00E675F0" w:rsidP="00E675F0">
                        <w:pPr>
                          <w:spacing w:line="252" w:lineRule="auto"/>
                          <w:ind w:left="300" w:right="69" w:hanging="301"/>
                          <w:rPr>
                            <w:sz w:val="20"/>
                          </w:rPr>
                        </w:pPr>
                        <w:r>
                          <w:rPr>
                            <w:sz w:val="20"/>
                          </w:rPr>
                          <w:t>A. A  pattern  of  negativistic,  hostile,  and  defiant  behavior  lasting  at  least 6 months, during which four (or more) of the following are</w:t>
                        </w:r>
                        <w:r>
                          <w:rPr>
                            <w:spacing w:val="47"/>
                            <w:sz w:val="20"/>
                          </w:rPr>
                          <w:t xml:space="preserve"> </w:t>
                        </w:r>
                        <w:r>
                          <w:rPr>
                            <w:sz w:val="20"/>
                          </w:rPr>
                          <w:t>present:</w:t>
                        </w:r>
                      </w:p>
                      <w:p w:rsidR="00E675F0" w:rsidRDefault="00E675F0" w:rsidP="003048D3">
                        <w:pPr>
                          <w:numPr>
                            <w:ilvl w:val="0"/>
                            <w:numId w:val="5"/>
                          </w:numPr>
                          <w:tabs>
                            <w:tab w:val="left" w:pos="730"/>
                            <w:tab w:val="left" w:pos="731"/>
                          </w:tabs>
                          <w:spacing w:before="56"/>
                          <w:rPr>
                            <w:rFonts w:ascii="Arial"/>
                            <w:sz w:val="16"/>
                          </w:rPr>
                        </w:pPr>
                        <w:r>
                          <w:rPr>
                            <w:w w:val="105"/>
                            <w:sz w:val="20"/>
                          </w:rPr>
                          <w:t>often loses</w:t>
                        </w:r>
                        <w:r>
                          <w:rPr>
                            <w:spacing w:val="29"/>
                            <w:w w:val="105"/>
                            <w:sz w:val="20"/>
                          </w:rPr>
                          <w:t xml:space="preserve"> </w:t>
                        </w:r>
                        <w:r>
                          <w:rPr>
                            <w:w w:val="105"/>
                            <w:sz w:val="20"/>
                          </w:rPr>
                          <w:t>temper</w:t>
                        </w:r>
                      </w:p>
                      <w:p w:rsidR="00E675F0" w:rsidRDefault="00E675F0" w:rsidP="003048D3">
                        <w:pPr>
                          <w:numPr>
                            <w:ilvl w:val="0"/>
                            <w:numId w:val="5"/>
                          </w:numPr>
                          <w:tabs>
                            <w:tab w:val="left" w:pos="730"/>
                            <w:tab w:val="left" w:pos="731"/>
                          </w:tabs>
                          <w:spacing w:before="16"/>
                          <w:ind w:hanging="429"/>
                          <w:rPr>
                            <w:sz w:val="17"/>
                          </w:rPr>
                        </w:pPr>
                        <w:r>
                          <w:rPr>
                            <w:w w:val="105"/>
                            <w:sz w:val="20"/>
                          </w:rPr>
                          <w:t>often argues with</w:t>
                        </w:r>
                        <w:r>
                          <w:rPr>
                            <w:spacing w:val="30"/>
                            <w:w w:val="105"/>
                            <w:sz w:val="20"/>
                          </w:rPr>
                          <w:t xml:space="preserve"> </w:t>
                        </w:r>
                        <w:r>
                          <w:rPr>
                            <w:w w:val="105"/>
                            <w:sz w:val="20"/>
                          </w:rPr>
                          <w:t>adults</w:t>
                        </w:r>
                      </w:p>
                      <w:p w:rsidR="00E675F0" w:rsidRDefault="00E675F0" w:rsidP="00E675F0">
                        <w:pPr>
                          <w:spacing w:before="5"/>
                          <w:ind w:left="5371"/>
                          <w:rPr>
                            <w:i/>
                            <w:sz w:val="20"/>
                          </w:rPr>
                        </w:pPr>
                        <w:r>
                          <w:rPr>
                            <w:i/>
                            <w:w w:val="105"/>
                            <w:sz w:val="20"/>
                          </w:rPr>
                          <w:t>( continued)</w:t>
                        </w:r>
                      </w:p>
                    </w:txbxContent>
                  </v:textbox>
                </v:shape>
                <v:shape id="Text Box 1500" o:spid="_x0000_s1080" type="#_x0000_t202" style="position:absolute;left:1448;top:822;width:1039;height:2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" filled="f" stroked="f">
                  <v:path arrowok="t"/>
                  <v:textbox inset="0,0,0,0">
                    <w:txbxContent>
                      <w:p w:rsidR="00E675F0" w:rsidRDefault="00E675F0" w:rsidP="00E675F0">
                        <w:pPr>
                          <w:spacing w:line="268" w:lineRule="exact"/>
                          <w:rPr>
                            <w:rFonts w:ascii="Arial"/>
                            <w:b/>
                            <w:sz w:val="24"/>
                          </w:rPr>
                        </w:pPr>
                        <w:r>
                          <w:rPr>
                            <w:rFonts w:ascii="Arial"/>
                            <w:b/>
                            <w:sz w:val="24"/>
                          </w:rPr>
                          <w:t>Disorder</w:t>
                        </w:r>
                      </w:p>
                    </w:txbxContent>
                  </v:textbox>
                </v:shape>
                <v:shape id="Text Box 1499" o:spid="_x0000_s1081" type="#_x0000_t202" style="position:absolute;left:1073;top:379;width:6349;height:5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" filled="f" stroked="f">
                  <v:path arrowok="t"/>
                  <v:textbox inset="0,0,0,0">
                    <w:txbxContent>
                      <w:p w:rsidR="00E675F0" w:rsidRDefault="00E675F0" w:rsidP="003048D3">
                        <w:pPr>
                          <w:numPr>
                            <w:ilvl w:val="0"/>
                            <w:numId w:val="85"/>
                          </w:numPr>
                          <w:tabs>
                            <w:tab w:val="left" w:pos="375"/>
                          </w:tabs>
                          <w:spacing w:line="558" w:lineRule="exact"/>
                          <w:rPr>
                            <w:rFonts w:ascii="Arial"/>
                            <w:b/>
                            <w:sz w:val="24"/>
                          </w:rPr>
                        </w:pPr>
                        <w:r>
                          <w:rPr>
                            <w:rFonts w:ascii="Arial"/>
                            <w:b/>
                            <w:w w:val="105"/>
                            <w:sz w:val="24"/>
                          </w:rPr>
                          <w:t>Diagnostic</w:t>
                        </w:r>
                        <w:r>
                          <w:rPr>
                            <w:rFonts w:ascii="Arial"/>
                            <w:b/>
                            <w:spacing w:val="-4"/>
                            <w:w w:val="105"/>
                            <w:sz w:val="24"/>
                          </w:rPr>
                          <w:t xml:space="preserve"> </w:t>
                        </w:r>
                        <w:r>
                          <w:rPr>
                            <w:rFonts w:ascii="Arial"/>
                            <w:b/>
                            <w:w w:val="105"/>
                            <w:sz w:val="24"/>
                          </w:rPr>
                          <w:t>criteria</w:t>
                        </w:r>
                        <w:r>
                          <w:rPr>
                            <w:rFonts w:ascii="Arial"/>
                            <w:b/>
                            <w:spacing w:val="-7"/>
                            <w:w w:val="105"/>
                            <w:sz w:val="24"/>
                          </w:rPr>
                          <w:t xml:space="preserve"> </w:t>
                        </w:r>
                        <w:r>
                          <w:rPr>
                            <w:rFonts w:ascii="Arial"/>
                            <w:b/>
                            <w:w w:val="105"/>
                            <w:sz w:val="24"/>
                          </w:rPr>
                          <w:t>for</w:t>
                        </w:r>
                        <w:r>
                          <w:rPr>
                            <w:rFonts w:ascii="Arial"/>
                            <w:b/>
                            <w:spacing w:val="-10"/>
                            <w:w w:val="105"/>
                            <w:sz w:val="24"/>
                          </w:rPr>
                          <w:t xml:space="preserve"> </w:t>
                        </w:r>
                        <w:r>
                          <w:rPr>
                            <w:rFonts w:ascii="Arial"/>
                            <w:b/>
                            <w:spacing w:val="11"/>
                            <w:w w:val="105"/>
                            <w:sz w:val="24"/>
                          </w:rPr>
                          <w:t>3I</w:t>
                        </w:r>
                        <w:r>
                          <w:rPr>
                            <w:rFonts w:ascii="Arial"/>
                            <w:b/>
                            <w:spacing w:val="-24"/>
                            <w:w w:val="105"/>
                            <w:sz w:val="24"/>
                          </w:rPr>
                          <w:t xml:space="preserve"> </w:t>
                        </w:r>
                        <w:r>
                          <w:rPr>
                            <w:rFonts w:ascii="Arial"/>
                            <w:b/>
                            <w:w w:val="105"/>
                            <w:sz w:val="24"/>
                          </w:rPr>
                          <w:t>3.8</w:t>
                        </w:r>
                        <w:r>
                          <w:rPr>
                            <w:rFonts w:ascii="Arial"/>
                            <w:b/>
                            <w:spacing w:val="-49"/>
                            <w:w w:val="105"/>
                            <w:sz w:val="24"/>
                          </w:rPr>
                          <w:t xml:space="preserve"> </w:t>
                        </w:r>
                        <w:r>
                          <w:rPr>
                            <w:rFonts w:ascii="Arial"/>
                            <w:b/>
                            <w:w w:val="105"/>
                            <w:sz w:val="24"/>
                          </w:rPr>
                          <w:t>I</w:t>
                        </w:r>
                        <w:r>
                          <w:rPr>
                            <w:rFonts w:ascii="Arial"/>
                            <w:b/>
                            <w:spacing w:val="28"/>
                            <w:w w:val="105"/>
                            <w:sz w:val="24"/>
                          </w:rPr>
                          <w:t xml:space="preserve"> </w:t>
                        </w:r>
                        <w:r>
                          <w:rPr>
                            <w:rFonts w:ascii="Arial"/>
                            <w:b/>
                            <w:w w:val="105"/>
                            <w:sz w:val="24"/>
                          </w:rPr>
                          <w:t>Oppositional</w:t>
                        </w:r>
                        <w:r>
                          <w:rPr>
                            <w:rFonts w:ascii="Arial"/>
                            <w:b/>
                            <w:spacing w:val="-8"/>
                            <w:w w:val="105"/>
                            <w:sz w:val="24"/>
                          </w:rPr>
                          <w:t xml:space="preserve"> </w:t>
                        </w:r>
                        <w:r>
                          <w:rPr>
                            <w:rFonts w:ascii="Arial"/>
                            <w:b/>
                            <w:w w:val="105"/>
                            <w:sz w:val="24"/>
                          </w:rPr>
                          <w:t>Defiant</w:t>
                        </w:r>
                      </w:p>
                    </w:txbxContent>
                  </v:textbox>
                </v:shape>
                <w10:wrap type="topAndBottom" anchorx="page"/>
              </v:group>
            </w:pict>
          </mc:Fallback>
        </mc:AlternateContent>
      </w:r>
    </w:p>
    <w:p w:rsidR="00E675F0" w:rsidRDefault="00E675F0" w:rsidP="00E675F0">
      <w:pPr>
        <w:rPr>
          <w:sz w:val="14"/>
        </w:rPr>
        <w:sectPr w:rsidR="00E675F0">
          <w:headerReference w:type="even" r:id="rId108"/>
          <w:headerReference w:type="default" r:id="rId109"/>
          <w:pgSz w:w="8960" w:h="14260"/>
          <w:pgMar w:top="1400" w:right="620" w:bottom="280" w:left="620" w:header="686" w:footer="0" w:gutter="0"/>
          <w:cols w:space="720"/>
        </w:sectPr>
      </w:pPr>
    </w:p>
    <w:p w:rsidR="00E675F0" w:rsidRDefault="00E675F0" w:rsidP="00E675F0">
      <w:pPr>
        <w:pStyle w:val="BodyText"/>
        <w:spacing w:before="8" w:after="1"/>
        <w:rPr>
          <w:sz w:val="8"/>
        </w:rPr>
      </w:pPr>
    </w:p>
    <w:tbl>
      <w:tblPr>
        <w:tblW w:w="0" w:type="auto"/>
        <w:tblInd w:w="2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7341"/>
      </w:tblGrid>
      <w:tr w:rsidR="00E675F0" w:rsidTr="00A330E1">
        <w:trPr>
          <w:trHeight w:val="5895"/>
        </w:trPr>
        <w:tc>
          <w:tcPr>
            <w:tcW w:w="7341" w:type="dxa"/>
          </w:tcPr>
          <w:p w:rsidR="00E675F0" w:rsidRDefault="00E675F0" w:rsidP="003048D3">
            <w:pPr>
              <w:pStyle w:val="TableParagraph"/>
              <w:numPr>
                <w:ilvl w:val="0"/>
                <w:numId w:val="84"/>
              </w:numPr>
              <w:tabs>
                <w:tab w:val="left" w:pos="599"/>
              </w:tabs>
              <w:spacing w:before="94" w:line="225" w:lineRule="auto"/>
              <w:ind w:right="1186" w:hanging="328"/>
              <w:rPr>
                <w:rFonts w:ascii="Arial" w:hAnsi="Arial"/>
                <w:i/>
              </w:rPr>
            </w:pPr>
            <w:bookmarkStart w:id="58" w:name="_bookmark43"/>
            <w:bookmarkEnd w:id="58"/>
            <w:r>
              <w:rPr>
                <w:rFonts w:ascii="Arial" w:hAnsi="Arial"/>
                <w:b/>
                <w:w w:val="105"/>
              </w:rPr>
              <w:t xml:space="preserve">Diagnostic criteria for </w:t>
            </w:r>
            <w:r>
              <w:rPr>
                <w:rFonts w:ascii="Arial" w:hAnsi="Arial"/>
                <w:b/>
                <w:spacing w:val="7"/>
                <w:w w:val="105"/>
              </w:rPr>
              <w:t xml:space="preserve">3I </w:t>
            </w:r>
            <w:r>
              <w:rPr>
                <w:rFonts w:ascii="Arial" w:hAnsi="Arial"/>
                <w:b/>
                <w:w w:val="105"/>
              </w:rPr>
              <w:t>3.81 Oppositional</w:t>
            </w:r>
            <w:r>
              <w:rPr>
                <w:rFonts w:ascii="Arial" w:hAnsi="Arial"/>
                <w:b/>
                <w:spacing w:val="-42"/>
                <w:w w:val="105"/>
              </w:rPr>
              <w:t xml:space="preserve"> </w:t>
            </w:r>
            <w:r>
              <w:rPr>
                <w:rFonts w:ascii="Arial" w:hAnsi="Arial"/>
                <w:b/>
                <w:w w:val="105"/>
              </w:rPr>
              <w:t>Defiant Disorder</w:t>
            </w:r>
            <w:r>
              <w:rPr>
                <w:rFonts w:ascii="Arial" w:hAnsi="Arial"/>
                <w:b/>
                <w:spacing w:val="10"/>
                <w:w w:val="105"/>
              </w:rPr>
              <w:t xml:space="preserve"> </w:t>
            </w:r>
            <w:r>
              <w:rPr>
                <w:rFonts w:ascii="Arial" w:hAnsi="Arial"/>
                <w:i/>
                <w:w w:val="105"/>
              </w:rPr>
              <w:t>(continued)</w:t>
            </w:r>
          </w:p>
          <w:p w:rsidR="00E675F0" w:rsidRDefault="00E675F0" w:rsidP="00A330E1">
            <w:pPr>
              <w:pStyle w:val="TableParagraph"/>
              <w:spacing w:before="2"/>
              <w:rPr>
                <w:sz w:val="19"/>
              </w:rPr>
            </w:pPr>
          </w:p>
          <w:p w:rsidR="00E675F0" w:rsidRDefault="00E675F0" w:rsidP="003048D3">
            <w:pPr>
              <w:pStyle w:val="TableParagraph"/>
              <w:numPr>
                <w:ilvl w:val="1"/>
                <w:numId w:val="84"/>
              </w:numPr>
              <w:tabs>
                <w:tab w:val="left" w:pos="1387"/>
              </w:tabs>
              <w:spacing w:line="249" w:lineRule="auto"/>
              <w:ind w:right="228" w:hanging="435"/>
              <w:rPr>
                <w:sz w:val="20"/>
              </w:rPr>
            </w:pPr>
            <w:r>
              <w:rPr>
                <w:w w:val="105"/>
                <w:sz w:val="20"/>
              </w:rPr>
              <w:t>often actively defies or refuses to comply with adults' requests or rules</w:t>
            </w:r>
          </w:p>
          <w:p w:rsidR="00E675F0" w:rsidRDefault="00E675F0" w:rsidP="003048D3">
            <w:pPr>
              <w:pStyle w:val="TableParagraph"/>
              <w:numPr>
                <w:ilvl w:val="1"/>
                <w:numId w:val="84"/>
              </w:numPr>
              <w:tabs>
                <w:tab w:val="left" w:pos="1392"/>
              </w:tabs>
              <w:spacing w:before="2"/>
              <w:ind w:left="1391" w:hanging="430"/>
              <w:rPr>
                <w:sz w:val="20"/>
              </w:rPr>
            </w:pPr>
            <w:r>
              <w:rPr>
                <w:w w:val="105"/>
                <w:sz w:val="20"/>
              </w:rPr>
              <w:t>often deliberately annoys</w:t>
            </w:r>
            <w:r>
              <w:rPr>
                <w:spacing w:val="2"/>
                <w:w w:val="105"/>
                <w:sz w:val="20"/>
              </w:rPr>
              <w:t xml:space="preserve"> </w:t>
            </w:r>
            <w:r>
              <w:rPr>
                <w:w w:val="105"/>
                <w:sz w:val="20"/>
              </w:rPr>
              <w:t>people</w:t>
            </w:r>
          </w:p>
          <w:p w:rsidR="00E675F0" w:rsidRDefault="00E675F0" w:rsidP="003048D3">
            <w:pPr>
              <w:pStyle w:val="TableParagraph"/>
              <w:numPr>
                <w:ilvl w:val="1"/>
                <w:numId w:val="84"/>
              </w:numPr>
              <w:tabs>
                <w:tab w:val="left" w:pos="1392"/>
              </w:tabs>
              <w:spacing w:before="15"/>
              <w:ind w:left="1391" w:hanging="430"/>
              <w:rPr>
                <w:sz w:val="20"/>
              </w:rPr>
            </w:pPr>
            <w:r>
              <w:rPr>
                <w:w w:val="105"/>
                <w:sz w:val="20"/>
              </w:rPr>
              <w:t>often blames others for his or her mistakes or</w:t>
            </w:r>
            <w:r>
              <w:rPr>
                <w:spacing w:val="14"/>
                <w:w w:val="105"/>
                <w:sz w:val="20"/>
              </w:rPr>
              <w:t xml:space="preserve"> </w:t>
            </w:r>
            <w:r>
              <w:rPr>
                <w:w w:val="105"/>
                <w:sz w:val="20"/>
              </w:rPr>
              <w:t>misbehavior</w:t>
            </w:r>
          </w:p>
          <w:p w:rsidR="00E675F0" w:rsidRDefault="00E675F0" w:rsidP="003048D3">
            <w:pPr>
              <w:pStyle w:val="TableParagraph"/>
              <w:numPr>
                <w:ilvl w:val="1"/>
                <w:numId w:val="84"/>
              </w:numPr>
              <w:tabs>
                <w:tab w:val="left" w:pos="1392"/>
                <w:tab w:val="left" w:pos="1393"/>
              </w:tabs>
              <w:spacing w:before="16"/>
              <w:ind w:left="1392"/>
              <w:rPr>
                <w:sz w:val="17"/>
              </w:rPr>
            </w:pPr>
            <w:r>
              <w:rPr>
                <w:w w:val="105"/>
                <w:sz w:val="20"/>
              </w:rPr>
              <w:t>is often touchy or easily annoyed by</w:t>
            </w:r>
            <w:r>
              <w:rPr>
                <w:spacing w:val="26"/>
                <w:w w:val="105"/>
                <w:sz w:val="20"/>
              </w:rPr>
              <w:t xml:space="preserve"> </w:t>
            </w:r>
            <w:r>
              <w:rPr>
                <w:w w:val="105"/>
                <w:sz w:val="20"/>
              </w:rPr>
              <w:t>others</w:t>
            </w:r>
          </w:p>
          <w:p w:rsidR="00E675F0" w:rsidRDefault="00E675F0" w:rsidP="003048D3">
            <w:pPr>
              <w:pStyle w:val="TableParagraph"/>
              <w:numPr>
                <w:ilvl w:val="1"/>
                <w:numId w:val="84"/>
              </w:numPr>
              <w:tabs>
                <w:tab w:val="left" w:pos="1393"/>
              </w:tabs>
              <w:spacing w:before="10"/>
              <w:ind w:left="1392" w:hanging="431"/>
              <w:rPr>
                <w:sz w:val="20"/>
              </w:rPr>
            </w:pPr>
            <w:r>
              <w:rPr>
                <w:w w:val="105"/>
                <w:sz w:val="20"/>
              </w:rPr>
              <w:t>is often angry and</w:t>
            </w:r>
            <w:r>
              <w:rPr>
                <w:spacing w:val="6"/>
                <w:w w:val="105"/>
                <w:sz w:val="20"/>
              </w:rPr>
              <w:t xml:space="preserve"> </w:t>
            </w:r>
            <w:r>
              <w:rPr>
                <w:w w:val="105"/>
                <w:sz w:val="20"/>
              </w:rPr>
              <w:t>resentful</w:t>
            </w:r>
          </w:p>
          <w:p w:rsidR="00E675F0" w:rsidRDefault="00E675F0" w:rsidP="003048D3">
            <w:pPr>
              <w:pStyle w:val="TableParagraph"/>
              <w:numPr>
                <w:ilvl w:val="1"/>
                <w:numId w:val="84"/>
              </w:numPr>
              <w:tabs>
                <w:tab w:val="left" w:pos="1393"/>
              </w:tabs>
              <w:spacing w:before="15"/>
              <w:ind w:left="1392" w:hanging="431"/>
              <w:rPr>
                <w:sz w:val="20"/>
              </w:rPr>
            </w:pPr>
            <w:r>
              <w:rPr>
                <w:w w:val="105"/>
                <w:sz w:val="20"/>
              </w:rPr>
              <w:t>is often spiteful or</w:t>
            </w:r>
            <w:r>
              <w:rPr>
                <w:spacing w:val="33"/>
                <w:w w:val="105"/>
                <w:sz w:val="20"/>
              </w:rPr>
              <w:t xml:space="preserve"> </w:t>
            </w:r>
            <w:r>
              <w:rPr>
                <w:w w:val="105"/>
                <w:sz w:val="20"/>
              </w:rPr>
              <w:t>vindictive</w:t>
            </w:r>
          </w:p>
          <w:p w:rsidR="00E675F0" w:rsidRDefault="00E675F0" w:rsidP="00A330E1">
            <w:pPr>
              <w:pStyle w:val="TableParagraph"/>
              <w:spacing w:before="6"/>
              <w:rPr>
                <w:sz w:val="17"/>
              </w:rPr>
            </w:pPr>
          </w:p>
          <w:p w:rsidR="00E675F0" w:rsidRDefault="00E675F0" w:rsidP="00A330E1">
            <w:pPr>
              <w:pStyle w:val="TableParagraph"/>
              <w:spacing w:before="1" w:line="247" w:lineRule="auto"/>
              <w:ind w:left="964" w:right="228" w:hanging="6"/>
              <w:jc w:val="both"/>
              <w:rPr>
                <w:sz w:val="18"/>
              </w:rPr>
            </w:pPr>
            <w:r>
              <w:rPr>
                <w:rFonts w:ascii="Arial"/>
                <w:b/>
                <w:w w:val="105"/>
                <w:sz w:val="15"/>
              </w:rPr>
              <w:t xml:space="preserve">Note: </w:t>
            </w:r>
            <w:r>
              <w:rPr>
                <w:w w:val="105"/>
                <w:sz w:val="18"/>
              </w:rPr>
              <w:t>Consider a criterion met only if the  behavior  occurs  more frequently than is typically observed in individuals of comparable age and developmental level.</w:t>
            </w:r>
          </w:p>
          <w:p w:rsidR="00E675F0" w:rsidRDefault="00E675F0" w:rsidP="00A330E1">
            <w:pPr>
              <w:pStyle w:val="TableParagraph"/>
              <w:rPr>
                <w:sz w:val="20"/>
              </w:rPr>
            </w:pPr>
          </w:p>
          <w:p w:rsidR="00E675F0" w:rsidRDefault="00E675F0" w:rsidP="003048D3">
            <w:pPr>
              <w:pStyle w:val="TableParagraph"/>
              <w:numPr>
                <w:ilvl w:val="0"/>
                <w:numId w:val="83"/>
              </w:numPr>
              <w:tabs>
                <w:tab w:val="left" w:pos="960"/>
              </w:tabs>
              <w:spacing w:before="164" w:line="256" w:lineRule="auto"/>
              <w:ind w:right="215" w:hanging="297"/>
              <w:rPr>
                <w:sz w:val="20"/>
              </w:rPr>
            </w:pPr>
            <w:r>
              <w:rPr>
                <w:w w:val="105"/>
                <w:sz w:val="20"/>
              </w:rPr>
              <w:t>The disturbance in behavior causes clinically significant impairment in social, academic, or occupational</w:t>
            </w:r>
            <w:r>
              <w:rPr>
                <w:spacing w:val="13"/>
                <w:w w:val="105"/>
                <w:sz w:val="20"/>
              </w:rPr>
              <w:t xml:space="preserve"> </w:t>
            </w:r>
            <w:r>
              <w:rPr>
                <w:w w:val="105"/>
                <w:sz w:val="20"/>
              </w:rPr>
              <w:t>functioning.</w:t>
            </w:r>
          </w:p>
          <w:p w:rsidR="00E675F0" w:rsidRDefault="00E675F0" w:rsidP="003048D3">
            <w:pPr>
              <w:pStyle w:val="TableParagraph"/>
              <w:numPr>
                <w:ilvl w:val="0"/>
                <w:numId w:val="83"/>
              </w:numPr>
              <w:tabs>
                <w:tab w:val="left" w:pos="960"/>
              </w:tabs>
              <w:spacing w:before="181" w:line="249" w:lineRule="auto"/>
              <w:ind w:left="968" w:right="227" w:hanging="310"/>
              <w:rPr>
                <w:rFonts w:ascii="Arial"/>
                <w:sz w:val="17"/>
              </w:rPr>
            </w:pPr>
            <w:r>
              <w:rPr>
                <w:w w:val="105"/>
                <w:sz w:val="20"/>
              </w:rPr>
              <w:t>The behaviors do not occur exclusively during the course of a Psychotic or Mood</w:t>
            </w:r>
            <w:r>
              <w:rPr>
                <w:spacing w:val="27"/>
                <w:w w:val="105"/>
                <w:sz w:val="20"/>
              </w:rPr>
              <w:t xml:space="preserve"> </w:t>
            </w:r>
            <w:r>
              <w:rPr>
                <w:w w:val="105"/>
                <w:sz w:val="20"/>
              </w:rPr>
              <w:t>Disorder.</w:t>
            </w:r>
          </w:p>
          <w:p w:rsidR="00E675F0" w:rsidRDefault="00E675F0" w:rsidP="003048D3">
            <w:pPr>
              <w:pStyle w:val="TableParagraph"/>
              <w:numPr>
                <w:ilvl w:val="0"/>
                <w:numId w:val="83"/>
              </w:numPr>
              <w:tabs>
                <w:tab w:val="left" w:pos="964"/>
              </w:tabs>
              <w:spacing w:before="185" w:line="256" w:lineRule="auto"/>
              <w:ind w:left="961" w:right="216" w:hanging="298"/>
              <w:rPr>
                <w:sz w:val="20"/>
              </w:rPr>
            </w:pPr>
            <w:r>
              <w:rPr>
                <w:w w:val="105"/>
                <w:sz w:val="20"/>
              </w:rPr>
              <w:t>Criteria are not met for Conduct Disorder, and, if the individual is age 18</w:t>
            </w:r>
            <w:r>
              <w:rPr>
                <w:spacing w:val="-21"/>
                <w:w w:val="105"/>
                <w:sz w:val="20"/>
              </w:rPr>
              <w:t xml:space="preserve"> </w:t>
            </w:r>
            <w:r>
              <w:rPr>
                <w:w w:val="105"/>
                <w:sz w:val="20"/>
              </w:rPr>
              <w:t>years</w:t>
            </w:r>
            <w:r>
              <w:rPr>
                <w:spacing w:val="-17"/>
                <w:w w:val="105"/>
                <w:sz w:val="20"/>
              </w:rPr>
              <w:t xml:space="preserve"> </w:t>
            </w:r>
            <w:r>
              <w:rPr>
                <w:w w:val="105"/>
                <w:sz w:val="20"/>
              </w:rPr>
              <w:t>or</w:t>
            </w:r>
            <w:r>
              <w:rPr>
                <w:spacing w:val="-9"/>
                <w:w w:val="105"/>
                <w:sz w:val="20"/>
              </w:rPr>
              <w:t xml:space="preserve"> </w:t>
            </w:r>
            <w:r>
              <w:rPr>
                <w:w w:val="105"/>
                <w:sz w:val="20"/>
              </w:rPr>
              <w:t>older,</w:t>
            </w:r>
            <w:r>
              <w:rPr>
                <w:spacing w:val="-5"/>
                <w:w w:val="105"/>
                <w:sz w:val="20"/>
              </w:rPr>
              <w:t xml:space="preserve"> </w:t>
            </w:r>
            <w:r>
              <w:rPr>
                <w:w w:val="105"/>
                <w:sz w:val="20"/>
              </w:rPr>
              <w:t>criteria</w:t>
            </w:r>
            <w:r>
              <w:rPr>
                <w:spacing w:val="2"/>
                <w:w w:val="105"/>
                <w:sz w:val="20"/>
              </w:rPr>
              <w:t xml:space="preserve"> </w:t>
            </w:r>
            <w:r>
              <w:rPr>
                <w:w w:val="105"/>
                <w:sz w:val="20"/>
              </w:rPr>
              <w:t>are</w:t>
            </w:r>
            <w:r>
              <w:rPr>
                <w:spacing w:val="-13"/>
                <w:w w:val="105"/>
                <w:sz w:val="20"/>
              </w:rPr>
              <w:t xml:space="preserve"> </w:t>
            </w:r>
            <w:r>
              <w:rPr>
                <w:w w:val="105"/>
                <w:sz w:val="20"/>
              </w:rPr>
              <w:t>not</w:t>
            </w:r>
            <w:r>
              <w:rPr>
                <w:spacing w:val="-7"/>
                <w:w w:val="105"/>
                <w:sz w:val="20"/>
              </w:rPr>
              <w:t xml:space="preserve"> </w:t>
            </w:r>
            <w:r>
              <w:rPr>
                <w:w w:val="105"/>
                <w:sz w:val="20"/>
              </w:rPr>
              <w:t>met</w:t>
            </w:r>
            <w:r>
              <w:rPr>
                <w:spacing w:val="-16"/>
                <w:w w:val="105"/>
                <w:sz w:val="20"/>
              </w:rPr>
              <w:t xml:space="preserve"> </w:t>
            </w:r>
            <w:r>
              <w:rPr>
                <w:w w:val="105"/>
                <w:sz w:val="20"/>
              </w:rPr>
              <w:t>for</w:t>
            </w:r>
            <w:r>
              <w:rPr>
                <w:spacing w:val="-15"/>
                <w:w w:val="105"/>
                <w:sz w:val="20"/>
              </w:rPr>
              <w:t xml:space="preserve"> </w:t>
            </w:r>
            <w:r>
              <w:rPr>
                <w:w w:val="105"/>
                <w:sz w:val="20"/>
              </w:rPr>
              <w:t>Antisocial</w:t>
            </w:r>
            <w:r>
              <w:rPr>
                <w:spacing w:val="-1"/>
                <w:w w:val="105"/>
                <w:sz w:val="20"/>
              </w:rPr>
              <w:t xml:space="preserve"> </w:t>
            </w:r>
            <w:r>
              <w:rPr>
                <w:w w:val="105"/>
                <w:sz w:val="20"/>
              </w:rPr>
              <w:t>Personality</w:t>
            </w:r>
            <w:r>
              <w:rPr>
                <w:spacing w:val="-7"/>
                <w:w w:val="105"/>
                <w:sz w:val="20"/>
              </w:rPr>
              <w:t xml:space="preserve"> </w:t>
            </w:r>
            <w:r>
              <w:rPr>
                <w:w w:val="105"/>
                <w:sz w:val="20"/>
              </w:rPr>
              <w:t>Disorder.</w:t>
            </w:r>
          </w:p>
        </w:tc>
      </w:tr>
    </w:tbl>
    <w:p w:rsidR="00E675F0" w:rsidRDefault="00E675F0" w:rsidP="00E675F0">
      <w:pPr>
        <w:pStyle w:val="BodyText"/>
      </w:pPr>
    </w:p>
    <w:p w:rsidR="00E675F0" w:rsidRDefault="00E675F0" w:rsidP="00E675F0">
      <w:pPr>
        <w:pStyle w:val="BodyText"/>
        <w:spacing w:before="3"/>
        <w:rPr>
          <w:sz w:val="23"/>
        </w:rPr>
      </w:pPr>
    </w:p>
    <w:p w:rsidR="00E675F0" w:rsidRDefault="00E675F0" w:rsidP="00E675F0">
      <w:pPr>
        <w:tabs>
          <w:tab w:val="left" w:pos="2493"/>
        </w:tabs>
        <w:spacing w:before="92"/>
        <w:ind w:left="2320" w:right="1560" w:hanging="737"/>
        <w:rPr>
          <w:rFonts w:ascii="Arial"/>
          <w:b/>
          <w:sz w:val="26"/>
        </w:rPr>
      </w:pPr>
      <w:r>
        <w:rPr>
          <w:noProof/>
        </w:rPr>
        <mc:AlternateContent>
          <mc:Choice Requires="wps">
            <w:drawing>
              <wp:anchor distT="0" distB="0" distL="114300" distR="114300" simplePos="0" relativeHeight="251772928" behindDoc="1" locked="0" layoutInCell="1" allowOverlap="1" wp14:anchorId="14E19A0A" wp14:editId="2DDF1C7E">
                <wp:simplePos x="0" y="0"/>
                <wp:positionH relativeFrom="page">
                  <wp:posOffset>5161915</wp:posOffset>
                </wp:positionH>
                <wp:positionV relativeFrom="paragraph">
                  <wp:posOffset>-271780</wp:posOffset>
                </wp:positionV>
                <wp:extent cx="0" cy="0"/>
                <wp:effectExtent l="0" t="0" r="0" b="0"/>
                <wp:wrapNone/>
                <wp:docPr id="1541" name="Line 14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336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600655" id="Line 1497" o:spid="_x0000_s1026" style="position:absolute;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6.45pt,-21.4pt" to="406.45pt,-21.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" strokeweight=".93333mm">
                <o:lock v:ext="edit" shapetype="f"/>
                <w10:wrap anchorx="page"/>
              </v:line>
            </w:pict>
          </mc:Fallback>
        </mc:AlternateContent>
      </w:r>
      <w:r>
        <w:rPr>
          <w:rFonts w:ascii="Arial"/>
          <w:b/>
          <w:sz w:val="26"/>
        </w:rPr>
        <w:t>312.9</w:t>
      </w:r>
      <w:r>
        <w:rPr>
          <w:rFonts w:ascii="Arial"/>
          <w:b/>
          <w:sz w:val="26"/>
        </w:rPr>
        <w:tab/>
      </w:r>
      <w:r>
        <w:rPr>
          <w:rFonts w:ascii="Arial"/>
          <w:b/>
          <w:sz w:val="26"/>
        </w:rPr>
        <w:tab/>
        <w:t>Disruptive Behavior Disorder Not Otherwise</w:t>
      </w:r>
      <w:r>
        <w:rPr>
          <w:rFonts w:ascii="Arial"/>
          <w:b/>
          <w:spacing w:val="14"/>
          <w:sz w:val="26"/>
        </w:rPr>
        <w:t xml:space="preserve"> </w:t>
      </w:r>
      <w:r>
        <w:rPr>
          <w:rFonts w:ascii="Arial"/>
          <w:b/>
          <w:sz w:val="26"/>
        </w:rPr>
        <w:t>Specified</w:t>
      </w:r>
    </w:p>
    <w:p w:rsidR="00E675F0" w:rsidRDefault="00E675F0" w:rsidP="00E675F0">
      <w:pPr>
        <w:pStyle w:val="BodyText"/>
        <w:spacing w:before="4"/>
        <w:rPr>
          <w:rFonts w:ascii="Arial"/>
          <w:b/>
          <w:sz w:val="30"/>
        </w:rPr>
      </w:pPr>
    </w:p>
    <w:p w:rsidR="00E675F0" w:rsidRDefault="00E675F0" w:rsidP="00E675F0">
      <w:pPr>
        <w:pStyle w:val="BodyText"/>
        <w:spacing w:line="252" w:lineRule="auto"/>
        <w:ind w:left="128" w:right="104" w:hanging="4"/>
        <w:jc w:val="both"/>
      </w:pPr>
      <w:r>
        <w:rPr>
          <w:noProof/>
        </w:rPr>
        <mc:AlternateContent>
          <mc:Choice Requires="wpg">
            <w:drawing>
              <wp:anchor distT="0" distB="0" distL="114300" distR="114300" simplePos="0" relativeHeight="251687936" behindDoc="0" locked="0" layoutInCell="1" allowOverlap="1" wp14:anchorId="6354E3B7" wp14:editId="4AB0CA6E">
                <wp:simplePos x="0" y="0"/>
                <wp:positionH relativeFrom="page">
                  <wp:posOffset>461010</wp:posOffset>
                </wp:positionH>
                <wp:positionV relativeFrom="paragraph">
                  <wp:posOffset>1315085</wp:posOffset>
                </wp:positionV>
                <wp:extent cx="919480" cy="537210"/>
                <wp:effectExtent l="0" t="0" r="7620" b="0"/>
                <wp:wrapNone/>
                <wp:docPr id="1538" name="Group 1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9480" cy="537210"/>
                          <a:chOff x="726" y="2071"/>
                          <a:chExt cx="1448" cy="846"/>
                        </a:xfrm>
                      </wpg:grpSpPr>
                      <wps:wsp>
                        <wps:cNvPr id="1539" name="Line 1496"/>
                        <wps:cNvCnPr>
                          <a:cxnSpLocks/>
                        </wps:cNvCnPr>
                        <wps:spPr bwMode="auto">
                          <a:xfrm>
                            <a:off x="736" y="2917"/>
                            <a:ext cx="0" cy="0"/>
                          </a:xfrm>
                          <a:prstGeom prst="line">
                            <a:avLst/>
                          </a:prstGeom>
                          <a:noFill/>
                          <a:ln w="122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0" name="Line 1495"/>
                        <wps:cNvCnPr>
                          <a:cxnSpLocks/>
                        </wps:cNvCnPr>
                        <wps:spPr bwMode="auto">
                          <a:xfrm>
                            <a:off x="731" y="2080"/>
                            <a:ext cx="1443" cy="0"/>
                          </a:xfrm>
                          <a:prstGeom prst="line">
                            <a:avLst/>
                          </a:prstGeom>
                          <a:noFill/>
                          <a:ln w="915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AB5BCD" id="Group 1494" o:spid="_x0000_s1026" style="position:absolute;margin-left:36.3pt;margin-top:103.55pt;width:72.4pt;height:42.3pt;z-index:251687936;mso-position-horizontal-relative:page" coordorigin="726,2071" coordsize="1448,84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">
                <v:line id="Line 1496" o:spid="_x0000_s1027" style="position:absolute;visibility:visible;mso-wrap-style:square" from="736,2917" to="736,29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" strokeweight=".33939mm">
                  <o:lock v:ext="edit" shapetype="f"/>
                </v:line>
                <v:line id="Line 1495" o:spid="_x0000_s1028" style="position:absolute;visibility:visible;mso-wrap-style:square" from="731,2080" to="2174,20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" strokeweight=".25433mm">
                  <o:lock v:ext="edit" shapetype="f"/>
                </v:line>
                <w10:wrap anchorx="page"/>
              </v:group>
            </w:pict>
          </mc:Fallback>
        </mc:AlternateContent>
      </w:r>
      <w:r>
        <w:rPr>
          <w:w w:val="105"/>
        </w:rPr>
        <w:t>This category is for disorders characterized by conduct or oppositional defiant behaviors that do not meet the criteria for Conduct Disorder or Oppositional Defiant Disorder. For example, include clinical presentations that do not meet full criteria either for Opposi­ tional Defiant Disorder or Conduct Disorder, but in which there is clinically significant impairment.</w:t>
      </w:r>
    </w:p>
    <w:p w:rsidR="00E675F0" w:rsidRDefault="00E675F0" w:rsidP="00E675F0">
      <w:pPr>
        <w:pStyle w:val="BodyText"/>
      </w:pPr>
    </w:p>
    <w:p w:rsidR="00E675F0" w:rsidRDefault="00E675F0" w:rsidP="00E675F0">
      <w:pPr>
        <w:pStyle w:val="BodyText"/>
      </w:pPr>
    </w:p>
    <w:p w:rsidR="00E675F0" w:rsidRDefault="00E675F0" w:rsidP="00E675F0">
      <w:pPr>
        <w:pStyle w:val="BodyText"/>
      </w:pPr>
    </w:p>
    <w:p w:rsidR="00E675F0" w:rsidRDefault="00E675F0" w:rsidP="00E675F0">
      <w:pPr>
        <w:pStyle w:val="BodyText"/>
        <w:spacing w:before="1"/>
        <w:rPr>
          <w:sz w:val="12"/>
        </w:rPr>
      </w:pPr>
      <w:r>
        <w:rPr>
          <w:noProof/>
        </w:rPr>
        <mc:AlternateContent>
          <mc:Choice Requires="wps">
            <w:drawing>
              <wp:anchor distT="0" distB="0" distL="0" distR="0" simplePos="0" relativeHeight="251848704" behindDoc="1" locked="0" layoutInCell="1" allowOverlap="1" wp14:anchorId="7B52CDD3" wp14:editId="32AF1F20">
                <wp:simplePos x="0" y="0"/>
                <wp:positionH relativeFrom="page">
                  <wp:posOffset>4349750</wp:posOffset>
                </wp:positionH>
                <wp:positionV relativeFrom="paragraph">
                  <wp:posOffset>116205</wp:posOffset>
                </wp:positionV>
                <wp:extent cx="855345" cy="1270"/>
                <wp:effectExtent l="0" t="0" r="0" b="0"/>
                <wp:wrapTopAndBottom/>
                <wp:docPr id="1537" name="Freeform 1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5345" cy="1270"/>
                        </a:xfrm>
                        <a:custGeom>
                          <a:avLst/>
                          <a:gdLst>
                            <a:gd name="T0" fmla="+- 0 6850 6850"/>
                            <a:gd name="T1" fmla="*/ T0 w 1347"/>
                            <a:gd name="T2" fmla="+- 0 8197 6850"/>
                            <a:gd name="T3" fmla="*/ T2 w 1347"/>
                          </a:gdLst>
                          <a:ahLst/>
                          <a:cxnLst>
                            <a:cxn ang="0">
                              <a:pos x="T1" y="0"/>
                            </a:cxn>
                            <a:cxn ang="0">
                              <a:pos x="T3" y="0"/>
                            </a:cxn>
                          </a:cxnLst>
                          <a:rect l="0" t="0" r="r" b="b"/>
                          <a:pathLst>
                            <a:path w="1347">
                              <a:moveTo>
                                <a:pt x="0" y="0"/>
                              </a:moveTo>
                              <a:lnTo>
                                <a:pt x="1347" y="0"/>
                              </a:lnTo>
                            </a:path>
                          </a:pathLst>
                        </a:custGeom>
                        <a:noFill/>
                        <a:ln w="61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DC1F6" id="Freeform 1493" o:spid="_x0000_s1026" style="position:absolute;margin-left:342.5pt;margin-top:9.15pt;width:67.35pt;height:.1pt;z-index:-251467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4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" path="m,l1347,e" filled="f" strokeweight=".16956mm">
                <v:path arrowok="t" o:connecttype="custom" o:connectlocs="0,0;855345,0" o:connectangles="0,0"/>
                <w10:wrap type="topAndBottom" anchorx="page"/>
              </v:shape>
            </w:pict>
          </mc:Fallback>
        </mc:AlternateContent>
      </w:r>
    </w:p>
    <w:p w:rsidR="00E675F0" w:rsidRDefault="00E675F0" w:rsidP="00E675F0">
      <w:pPr>
        <w:spacing w:before="92" w:after="121" w:line="242" w:lineRule="auto"/>
        <w:ind w:left="2167" w:right="1392" w:hanging="391"/>
        <w:rPr>
          <w:rFonts w:ascii="Arial"/>
          <w:b/>
          <w:sz w:val="26"/>
        </w:rPr>
      </w:pPr>
      <w:r>
        <w:rPr>
          <w:rFonts w:ascii="Arial"/>
          <w:b/>
          <w:color w:val="0F0F0F"/>
          <w:sz w:val="26"/>
        </w:rPr>
        <w:t>Feeding and Eating Disorders of Infancy or Early Childhood</w:t>
      </w:r>
    </w:p>
    <w:p w:rsidR="00E675F0" w:rsidRDefault="00E675F0" w:rsidP="00E675F0">
      <w:pPr>
        <w:pStyle w:val="BodyText"/>
        <w:spacing w:line="20" w:lineRule="exact"/>
        <w:ind w:left="6071"/>
        <w:rPr>
          <w:rFonts w:ascii="Arial"/>
          <w:sz w:val="2"/>
        </w:rPr>
      </w:pPr>
      <w:r>
        <w:rPr>
          <w:rFonts w:ascii="Arial"/>
          <w:noProof/>
          <w:sz w:val="2"/>
        </w:rPr>
        <mc:AlternateContent>
          <mc:Choice Requires="wpg">
            <w:drawing>
              <wp:inline distT="0" distB="0" distL="0" distR="0" wp14:anchorId="0349D1B1" wp14:editId="41FE1638">
                <wp:extent cx="965835" cy="6350"/>
                <wp:effectExtent l="0" t="0" r="0" b="0"/>
                <wp:docPr id="1535" name="Group 1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5835" cy="6350"/>
                          <a:chOff x="0" y="0"/>
                          <a:chExt cx="1521" cy="10"/>
                        </a:xfrm>
                      </wpg:grpSpPr>
                      <wps:wsp>
                        <wps:cNvPr id="1536" name="Line 1492"/>
                        <wps:cNvCnPr>
                          <a:cxnSpLocks/>
                        </wps:cNvCnPr>
                        <wps:spPr bwMode="auto">
                          <a:xfrm>
                            <a:off x="0" y="5"/>
                            <a:ext cx="1520" cy="0"/>
                          </a:xfrm>
                          <a:prstGeom prst="line">
                            <a:avLst/>
                          </a:prstGeom>
                          <a:noFill/>
                          <a:ln w="610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64D0ACB" id="Group 1491" o:spid="_x0000_s1026" style="width:76.05pt;height:.5pt;mso-position-horizontal-relative:char;mso-position-vertical-relative:line" coordsize="1521,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">
                <v:line id="Line 1492" o:spid="_x0000_s1027" style="position:absolute;visibility:visible;mso-wrap-style:square" from="0,5" to="152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" strokeweight=".16956mm">
                  <o:lock v:ext="edit" shapetype="f"/>
                </v:line>
                <w10:anchorlock/>
              </v:group>
            </w:pict>
          </mc:Fallback>
        </mc:AlternateContent>
      </w:r>
    </w:p>
    <w:p w:rsidR="00E675F0" w:rsidRDefault="00E675F0" w:rsidP="00E675F0">
      <w:pPr>
        <w:pStyle w:val="BodyText"/>
        <w:spacing w:before="226" w:line="252" w:lineRule="auto"/>
        <w:ind w:left="119" w:right="102" w:firstLine="5"/>
        <w:jc w:val="both"/>
      </w:pPr>
      <w:r>
        <w:rPr>
          <w:w w:val="105"/>
        </w:rPr>
        <w:t>The Feeding and Eating Disorders of Infancy or Early Childhood are characterized by persistent feeding and eating disturbances. The specific disorders included are Pica, Rumination Disorder, and Feeding Disorder of Infancy or Early Childhood. Note that Anorexia Nervosa and Bulimia Nervosa are included in the "Eating Disorders" section (see p. 539).</w:t>
      </w:r>
    </w:p>
    <w:p w:rsidR="00E675F0" w:rsidRDefault="00E675F0" w:rsidP="00E675F0">
      <w:pPr>
        <w:spacing w:line="252" w:lineRule="auto"/>
        <w:jc w:val="both"/>
        <w:sectPr w:rsidR="00E675F0">
          <w:pgSz w:w="8960" w:h="14260"/>
          <w:pgMar w:top="1400" w:right="640" w:bottom="280" w:left="600" w:header="683" w:footer="0" w:gutter="0"/>
          <w:cols w:space="720"/>
        </w:sectPr>
      </w:pPr>
    </w:p>
    <w:p w:rsidR="00E675F0" w:rsidRDefault="00E675F0" w:rsidP="003048D3">
      <w:pPr>
        <w:pStyle w:val="ListParagraph"/>
        <w:numPr>
          <w:ilvl w:val="1"/>
          <w:numId w:val="82"/>
        </w:numPr>
        <w:tabs>
          <w:tab w:val="left" w:pos="4527"/>
          <w:tab w:val="left" w:pos="4528"/>
        </w:tabs>
        <w:spacing w:before="109"/>
        <w:ind w:hanging="1081"/>
        <w:jc w:val="left"/>
        <w:rPr>
          <w:b/>
          <w:sz w:val="27"/>
        </w:rPr>
      </w:pPr>
      <w:bookmarkStart w:id="59" w:name="_bookmark44"/>
      <w:bookmarkEnd w:id="59"/>
      <w:r>
        <w:rPr>
          <w:b/>
          <w:w w:val="105"/>
          <w:sz w:val="27"/>
        </w:rPr>
        <w:lastRenderedPageBreak/>
        <w:t>Pica</w:t>
      </w:r>
    </w:p>
    <w:p w:rsidR="00E675F0" w:rsidRDefault="00E675F0" w:rsidP="00E675F0">
      <w:pPr>
        <w:pStyle w:val="BodyText"/>
        <w:spacing w:before="7"/>
        <w:rPr>
          <w:b/>
          <w:sz w:val="32"/>
        </w:rPr>
      </w:pPr>
    </w:p>
    <w:p w:rsidR="00E675F0" w:rsidRDefault="00E675F0" w:rsidP="00E675F0">
      <w:pPr>
        <w:ind w:left="497"/>
        <w:rPr>
          <w:rFonts w:ascii="Arial-BoldItalicMT"/>
          <w:b/>
          <w:i/>
          <w:sz w:val="24"/>
        </w:rPr>
      </w:pPr>
      <w:r>
        <w:rPr>
          <w:rFonts w:ascii="Arial-BoldItalicMT"/>
          <w:b/>
          <w:i/>
          <w:w w:val="105"/>
          <w:sz w:val="24"/>
        </w:rPr>
        <w:t>magnostic Features</w:t>
      </w:r>
    </w:p>
    <w:p w:rsidR="00E675F0" w:rsidRDefault="00E675F0" w:rsidP="00E675F0">
      <w:pPr>
        <w:pStyle w:val="BodyText"/>
        <w:spacing w:before="157" w:line="254" w:lineRule="auto"/>
        <w:ind w:left="512" w:right="726" w:hanging="6"/>
        <w:jc w:val="both"/>
      </w:pPr>
      <w:r>
        <w:rPr>
          <w:w w:val="110"/>
        </w:rPr>
        <w:t>The essential feature of Pica is the persistent eating of nonnutritive substances for a period of at least 1 month (Criterion A). The typical substance ingested tends to vary with</w:t>
      </w:r>
      <w:r>
        <w:rPr>
          <w:spacing w:val="-15"/>
          <w:w w:val="110"/>
        </w:rPr>
        <w:t xml:space="preserve"> </w:t>
      </w:r>
      <w:r>
        <w:rPr>
          <w:w w:val="110"/>
        </w:rPr>
        <w:t>age.</w:t>
      </w:r>
      <w:r>
        <w:rPr>
          <w:spacing w:val="-17"/>
          <w:w w:val="110"/>
        </w:rPr>
        <w:t xml:space="preserve"> </w:t>
      </w:r>
      <w:r>
        <w:rPr>
          <w:w w:val="110"/>
        </w:rPr>
        <w:t>Infants</w:t>
      </w:r>
      <w:r>
        <w:rPr>
          <w:spacing w:val="-17"/>
          <w:w w:val="110"/>
        </w:rPr>
        <w:t xml:space="preserve"> </w:t>
      </w:r>
      <w:r>
        <w:rPr>
          <w:w w:val="110"/>
        </w:rPr>
        <w:t>and</w:t>
      </w:r>
      <w:r>
        <w:rPr>
          <w:spacing w:val="-16"/>
          <w:w w:val="110"/>
        </w:rPr>
        <w:t xml:space="preserve"> </w:t>
      </w:r>
      <w:r>
        <w:rPr>
          <w:w w:val="110"/>
        </w:rPr>
        <w:t>younger</w:t>
      </w:r>
      <w:r>
        <w:rPr>
          <w:spacing w:val="-13"/>
          <w:w w:val="110"/>
        </w:rPr>
        <w:t xml:space="preserve"> </w:t>
      </w:r>
      <w:r>
        <w:rPr>
          <w:w w:val="110"/>
        </w:rPr>
        <w:t>children</w:t>
      </w:r>
      <w:r>
        <w:rPr>
          <w:spacing w:val="-16"/>
          <w:w w:val="110"/>
        </w:rPr>
        <w:t xml:space="preserve"> </w:t>
      </w:r>
      <w:r>
        <w:rPr>
          <w:w w:val="110"/>
        </w:rPr>
        <w:t>typically</w:t>
      </w:r>
      <w:r>
        <w:rPr>
          <w:spacing w:val="-19"/>
          <w:w w:val="110"/>
        </w:rPr>
        <w:t xml:space="preserve"> </w:t>
      </w:r>
      <w:r>
        <w:rPr>
          <w:w w:val="110"/>
        </w:rPr>
        <w:t>eat</w:t>
      </w:r>
      <w:r>
        <w:rPr>
          <w:spacing w:val="-2"/>
          <w:w w:val="110"/>
        </w:rPr>
        <w:t xml:space="preserve"> </w:t>
      </w:r>
      <w:r>
        <w:rPr>
          <w:w w:val="110"/>
        </w:rPr>
        <w:t>paint,</w:t>
      </w:r>
      <w:r>
        <w:rPr>
          <w:spacing w:val="-13"/>
          <w:w w:val="110"/>
        </w:rPr>
        <w:t xml:space="preserve"> </w:t>
      </w:r>
      <w:r>
        <w:rPr>
          <w:w w:val="110"/>
        </w:rPr>
        <w:t>plaster,</w:t>
      </w:r>
      <w:r>
        <w:rPr>
          <w:spacing w:val="-16"/>
          <w:w w:val="110"/>
        </w:rPr>
        <w:t xml:space="preserve"> </w:t>
      </w:r>
      <w:r>
        <w:rPr>
          <w:w w:val="110"/>
        </w:rPr>
        <w:t>string,</w:t>
      </w:r>
      <w:r>
        <w:rPr>
          <w:spacing w:val="-11"/>
          <w:w w:val="110"/>
        </w:rPr>
        <w:t xml:space="preserve"> </w:t>
      </w:r>
      <w:r>
        <w:rPr>
          <w:w w:val="110"/>
        </w:rPr>
        <w:t>hair,</w:t>
      </w:r>
      <w:r>
        <w:rPr>
          <w:spacing w:val="-17"/>
          <w:w w:val="110"/>
        </w:rPr>
        <w:t xml:space="preserve"> </w:t>
      </w:r>
      <w:r>
        <w:rPr>
          <w:w w:val="110"/>
        </w:rPr>
        <w:t>or</w:t>
      </w:r>
      <w:r>
        <w:rPr>
          <w:spacing w:val="-9"/>
          <w:w w:val="110"/>
        </w:rPr>
        <w:t xml:space="preserve"> </w:t>
      </w:r>
      <w:r>
        <w:rPr>
          <w:w w:val="110"/>
        </w:rPr>
        <w:t>cloth. Older</w:t>
      </w:r>
      <w:r>
        <w:rPr>
          <w:spacing w:val="-26"/>
          <w:w w:val="110"/>
        </w:rPr>
        <w:t xml:space="preserve"> </w:t>
      </w:r>
      <w:r>
        <w:rPr>
          <w:w w:val="110"/>
        </w:rPr>
        <w:t>children</w:t>
      </w:r>
      <w:r>
        <w:rPr>
          <w:spacing w:val="-20"/>
          <w:w w:val="110"/>
        </w:rPr>
        <w:t xml:space="preserve"> </w:t>
      </w:r>
      <w:r>
        <w:rPr>
          <w:w w:val="110"/>
        </w:rPr>
        <w:t>may</w:t>
      </w:r>
      <w:r>
        <w:rPr>
          <w:spacing w:val="-27"/>
          <w:w w:val="110"/>
        </w:rPr>
        <w:t xml:space="preserve"> </w:t>
      </w:r>
      <w:r>
        <w:rPr>
          <w:w w:val="110"/>
        </w:rPr>
        <w:t>eat</w:t>
      </w:r>
      <w:r>
        <w:rPr>
          <w:spacing w:val="-26"/>
          <w:w w:val="110"/>
        </w:rPr>
        <w:t xml:space="preserve"> </w:t>
      </w:r>
      <w:r>
        <w:rPr>
          <w:w w:val="110"/>
        </w:rPr>
        <w:t>animal</w:t>
      </w:r>
      <w:r>
        <w:rPr>
          <w:spacing w:val="-20"/>
          <w:w w:val="110"/>
        </w:rPr>
        <w:t xml:space="preserve"> </w:t>
      </w:r>
      <w:r>
        <w:rPr>
          <w:w w:val="110"/>
        </w:rPr>
        <w:t>droppings,</w:t>
      </w:r>
      <w:r>
        <w:rPr>
          <w:spacing w:val="-23"/>
          <w:w w:val="110"/>
        </w:rPr>
        <w:t xml:space="preserve"> </w:t>
      </w:r>
      <w:r>
        <w:rPr>
          <w:w w:val="110"/>
        </w:rPr>
        <w:t>sand,</w:t>
      </w:r>
      <w:r>
        <w:rPr>
          <w:spacing w:val="-23"/>
          <w:w w:val="110"/>
        </w:rPr>
        <w:t xml:space="preserve"> </w:t>
      </w:r>
      <w:r>
        <w:rPr>
          <w:w w:val="110"/>
        </w:rPr>
        <w:t>insects,</w:t>
      </w:r>
      <w:r>
        <w:rPr>
          <w:spacing w:val="-26"/>
          <w:w w:val="110"/>
        </w:rPr>
        <w:t xml:space="preserve"> </w:t>
      </w:r>
      <w:r>
        <w:rPr>
          <w:w w:val="110"/>
        </w:rPr>
        <w:t>leaves,</w:t>
      </w:r>
      <w:r>
        <w:rPr>
          <w:spacing w:val="-21"/>
          <w:w w:val="110"/>
        </w:rPr>
        <w:t xml:space="preserve"> </w:t>
      </w:r>
      <w:r>
        <w:rPr>
          <w:w w:val="110"/>
        </w:rPr>
        <w:t>or</w:t>
      </w:r>
      <w:r>
        <w:rPr>
          <w:spacing w:val="-18"/>
          <w:w w:val="110"/>
        </w:rPr>
        <w:t xml:space="preserve"> </w:t>
      </w:r>
      <w:r>
        <w:rPr>
          <w:w w:val="110"/>
        </w:rPr>
        <w:t>pebbles.</w:t>
      </w:r>
      <w:r>
        <w:rPr>
          <w:spacing w:val="-23"/>
          <w:w w:val="110"/>
        </w:rPr>
        <w:t xml:space="preserve"> </w:t>
      </w:r>
      <w:r>
        <w:rPr>
          <w:w w:val="110"/>
        </w:rPr>
        <w:t>Adolescents and</w:t>
      </w:r>
      <w:r>
        <w:rPr>
          <w:spacing w:val="-12"/>
          <w:w w:val="110"/>
        </w:rPr>
        <w:t xml:space="preserve"> </w:t>
      </w:r>
      <w:r>
        <w:rPr>
          <w:w w:val="110"/>
        </w:rPr>
        <w:t>adults</w:t>
      </w:r>
      <w:r>
        <w:rPr>
          <w:spacing w:val="-12"/>
          <w:w w:val="110"/>
        </w:rPr>
        <w:t xml:space="preserve"> </w:t>
      </w:r>
      <w:r>
        <w:rPr>
          <w:w w:val="110"/>
        </w:rPr>
        <w:t>may</w:t>
      </w:r>
      <w:r>
        <w:rPr>
          <w:spacing w:val="-13"/>
          <w:w w:val="110"/>
        </w:rPr>
        <w:t xml:space="preserve"> </w:t>
      </w:r>
      <w:r>
        <w:rPr>
          <w:w w:val="110"/>
        </w:rPr>
        <w:t>consume</w:t>
      </w:r>
      <w:r>
        <w:rPr>
          <w:spacing w:val="-7"/>
          <w:w w:val="110"/>
        </w:rPr>
        <w:t xml:space="preserve"> </w:t>
      </w:r>
      <w:r>
        <w:rPr>
          <w:w w:val="110"/>
        </w:rPr>
        <w:t>clay</w:t>
      </w:r>
      <w:r>
        <w:rPr>
          <w:spacing w:val="-13"/>
          <w:w w:val="110"/>
        </w:rPr>
        <w:t xml:space="preserve"> </w:t>
      </w:r>
      <w:r>
        <w:rPr>
          <w:w w:val="110"/>
        </w:rPr>
        <w:t>or</w:t>
      </w:r>
      <w:r>
        <w:rPr>
          <w:spacing w:val="-4"/>
          <w:w w:val="110"/>
        </w:rPr>
        <w:t xml:space="preserve"> </w:t>
      </w:r>
      <w:r>
        <w:rPr>
          <w:w w:val="110"/>
        </w:rPr>
        <w:t>soil.</w:t>
      </w:r>
      <w:r>
        <w:rPr>
          <w:spacing w:val="-16"/>
          <w:w w:val="110"/>
        </w:rPr>
        <w:t xml:space="preserve"> </w:t>
      </w:r>
      <w:r>
        <w:rPr>
          <w:w w:val="110"/>
        </w:rPr>
        <w:t>There</w:t>
      </w:r>
      <w:r>
        <w:rPr>
          <w:spacing w:val="-10"/>
          <w:w w:val="110"/>
        </w:rPr>
        <w:t xml:space="preserve"> </w:t>
      </w:r>
      <w:r>
        <w:rPr>
          <w:w w:val="110"/>
        </w:rPr>
        <w:t>is</w:t>
      </w:r>
      <w:r>
        <w:rPr>
          <w:spacing w:val="-15"/>
          <w:w w:val="110"/>
        </w:rPr>
        <w:t xml:space="preserve"> </w:t>
      </w:r>
      <w:r>
        <w:rPr>
          <w:w w:val="110"/>
        </w:rPr>
        <w:t>no aversion</w:t>
      </w:r>
      <w:r>
        <w:rPr>
          <w:spacing w:val="-4"/>
          <w:w w:val="110"/>
        </w:rPr>
        <w:t xml:space="preserve"> </w:t>
      </w:r>
      <w:r>
        <w:rPr>
          <w:w w:val="110"/>
        </w:rPr>
        <w:t>to</w:t>
      </w:r>
      <w:r>
        <w:rPr>
          <w:spacing w:val="-16"/>
          <w:w w:val="110"/>
        </w:rPr>
        <w:t xml:space="preserve"> </w:t>
      </w:r>
      <w:r>
        <w:rPr>
          <w:w w:val="110"/>
        </w:rPr>
        <w:t>food.</w:t>
      </w:r>
      <w:r>
        <w:rPr>
          <w:spacing w:val="-14"/>
          <w:w w:val="110"/>
        </w:rPr>
        <w:t xml:space="preserve"> </w:t>
      </w:r>
      <w:r>
        <w:rPr>
          <w:w w:val="110"/>
        </w:rPr>
        <w:t>This</w:t>
      </w:r>
      <w:r>
        <w:rPr>
          <w:spacing w:val="-10"/>
          <w:w w:val="110"/>
        </w:rPr>
        <w:t xml:space="preserve"> </w:t>
      </w:r>
      <w:r>
        <w:rPr>
          <w:w w:val="110"/>
        </w:rPr>
        <w:t>behavior</w:t>
      </w:r>
      <w:r>
        <w:rPr>
          <w:spacing w:val="-4"/>
          <w:w w:val="110"/>
        </w:rPr>
        <w:t xml:space="preserve"> </w:t>
      </w:r>
      <w:r>
        <w:rPr>
          <w:w w:val="110"/>
        </w:rPr>
        <w:t>must be</w:t>
      </w:r>
      <w:r>
        <w:rPr>
          <w:spacing w:val="-14"/>
          <w:w w:val="110"/>
        </w:rPr>
        <w:t xml:space="preserve"> </w:t>
      </w:r>
      <w:r>
        <w:rPr>
          <w:w w:val="110"/>
        </w:rPr>
        <w:t>developmentally</w:t>
      </w:r>
      <w:r>
        <w:rPr>
          <w:spacing w:val="-20"/>
          <w:w w:val="110"/>
        </w:rPr>
        <w:t xml:space="preserve"> </w:t>
      </w:r>
      <w:r>
        <w:rPr>
          <w:w w:val="110"/>
        </w:rPr>
        <w:t>inappropriate</w:t>
      </w:r>
      <w:r>
        <w:rPr>
          <w:spacing w:val="-7"/>
          <w:w w:val="110"/>
        </w:rPr>
        <w:t xml:space="preserve"> </w:t>
      </w:r>
      <w:r>
        <w:rPr>
          <w:w w:val="110"/>
        </w:rPr>
        <w:t>(Criterion</w:t>
      </w:r>
      <w:r>
        <w:rPr>
          <w:spacing w:val="-4"/>
          <w:w w:val="110"/>
        </w:rPr>
        <w:t xml:space="preserve"> </w:t>
      </w:r>
      <w:r>
        <w:rPr>
          <w:w w:val="110"/>
        </w:rPr>
        <w:t>B)</w:t>
      </w:r>
      <w:r>
        <w:rPr>
          <w:spacing w:val="-12"/>
          <w:w w:val="110"/>
        </w:rPr>
        <w:t xml:space="preserve"> </w:t>
      </w:r>
      <w:r>
        <w:rPr>
          <w:w w:val="110"/>
        </w:rPr>
        <w:t>and</w:t>
      </w:r>
      <w:r>
        <w:rPr>
          <w:spacing w:val="-8"/>
          <w:w w:val="110"/>
        </w:rPr>
        <w:t xml:space="preserve"> </w:t>
      </w:r>
      <w:r>
        <w:rPr>
          <w:w w:val="110"/>
        </w:rPr>
        <w:t>not</w:t>
      </w:r>
      <w:r>
        <w:rPr>
          <w:spacing w:val="-6"/>
          <w:w w:val="110"/>
        </w:rPr>
        <w:t xml:space="preserve"> </w:t>
      </w:r>
      <w:r>
        <w:rPr>
          <w:w w:val="110"/>
        </w:rPr>
        <w:t>part</w:t>
      </w:r>
      <w:r>
        <w:rPr>
          <w:spacing w:val="-12"/>
          <w:w w:val="110"/>
        </w:rPr>
        <w:t xml:space="preserve"> </w:t>
      </w:r>
      <w:r>
        <w:rPr>
          <w:w w:val="110"/>
        </w:rPr>
        <w:t>of</w:t>
      </w:r>
      <w:r>
        <w:rPr>
          <w:spacing w:val="-6"/>
          <w:w w:val="110"/>
        </w:rPr>
        <w:t xml:space="preserve"> </w:t>
      </w:r>
      <w:r>
        <w:rPr>
          <w:w w:val="110"/>
        </w:rPr>
        <w:t>a</w:t>
      </w:r>
      <w:r>
        <w:rPr>
          <w:spacing w:val="-11"/>
          <w:w w:val="110"/>
        </w:rPr>
        <w:t xml:space="preserve"> </w:t>
      </w:r>
      <w:r>
        <w:rPr>
          <w:w w:val="110"/>
        </w:rPr>
        <w:t>culturally</w:t>
      </w:r>
      <w:r>
        <w:rPr>
          <w:spacing w:val="-10"/>
          <w:w w:val="110"/>
        </w:rPr>
        <w:t xml:space="preserve"> </w:t>
      </w:r>
      <w:r>
        <w:rPr>
          <w:w w:val="110"/>
        </w:rPr>
        <w:t>sanctioned practice</w:t>
      </w:r>
      <w:r>
        <w:rPr>
          <w:spacing w:val="-17"/>
          <w:w w:val="110"/>
        </w:rPr>
        <w:t xml:space="preserve"> </w:t>
      </w:r>
      <w:r>
        <w:rPr>
          <w:w w:val="110"/>
        </w:rPr>
        <w:t>(Criterion</w:t>
      </w:r>
      <w:r>
        <w:rPr>
          <w:spacing w:val="-8"/>
          <w:w w:val="110"/>
        </w:rPr>
        <w:t xml:space="preserve"> </w:t>
      </w:r>
      <w:r>
        <w:rPr>
          <w:w w:val="110"/>
        </w:rPr>
        <w:t>C).</w:t>
      </w:r>
      <w:r>
        <w:rPr>
          <w:spacing w:val="-22"/>
          <w:w w:val="110"/>
        </w:rPr>
        <w:t xml:space="preserve"> </w:t>
      </w:r>
      <w:r>
        <w:rPr>
          <w:w w:val="110"/>
        </w:rPr>
        <w:t>The</w:t>
      </w:r>
      <w:r>
        <w:rPr>
          <w:spacing w:val="-20"/>
          <w:w w:val="110"/>
        </w:rPr>
        <w:t xml:space="preserve"> </w:t>
      </w:r>
      <w:r>
        <w:rPr>
          <w:w w:val="110"/>
        </w:rPr>
        <w:t>eating</w:t>
      </w:r>
      <w:r>
        <w:rPr>
          <w:spacing w:val="-18"/>
          <w:w w:val="110"/>
        </w:rPr>
        <w:t xml:space="preserve"> </w:t>
      </w:r>
      <w:r>
        <w:rPr>
          <w:w w:val="110"/>
        </w:rPr>
        <w:t>of</w:t>
      </w:r>
      <w:r>
        <w:rPr>
          <w:spacing w:val="-10"/>
          <w:w w:val="110"/>
        </w:rPr>
        <w:t xml:space="preserve"> </w:t>
      </w:r>
      <w:r>
        <w:rPr>
          <w:w w:val="110"/>
        </w:rPr>
        <w:t>nonnutritive</w:t>
      </w:r>
      <w:r>
        <w:rPr>
          <w:spacing w:val="-6"/>
          <w:w w:val="110"/>
        </w:rPr>
        <w:t xml:space="preserve"> </w:t>
      </w:r>
      <w:r>
        <w:rPr>
          <w:w w:val="110"/>
        </w:rPr>
        <w:t>substances</w:t>
      </w:r>
      <w:r>
        <w:rPr>
          <w:spacing w:val="-16"/>
          <w:w w:val="110"/>
        </w:rPr>
        <w:t xml:space="preserve"> </w:t>
      </w:r>
      <w:r>
        <w:rPr>
          <w:w w:val="110"/>
        </w:rPr>
        <w:t>is</w:t>
      </w:r>
      <w:r>
        <w:rPr>
          <w:spacing w:val="-20"/>
          <w:w w:val="110"/>
        </w:rPr>
        <w:t xml:space="preserve"> </w:t>
      </w:r>
      <w:r>
        <w:rPr>
          <w:w w:val="110"/>
        </w:rPr>
        <w:t>an</w:t>
      </w:r>
      <w:r>
        <w:rPr>
          <w:spacing w:val="-19"/>
          <w:w w:val="110"/>
        </w:rPr>
        <w:t xml:space="preserve"> </w:t>
      </w:r>
      <w:r>
        <w:rPr>
          <w:w w:val="110"/>
        </w:rPr>
        <w:t>associated</w:t>
      </w:r>
      <w:r>
        <w:rPr>
          <w:spacing w:val="-11"/>
          <w:w w:val="110"/>
        </w:rPr>
        <w:t xml:space="preserve"> </w:t>
      </w:r>
      <w:r>
        <w:rPr>
          <w:w w:val="110"/>
        </w:rPr>
        <w:t>feature</w:t>
      </w:r>
      <w:r>
        <w:rPr>
          <w:spacing w:val="-15"/>
          <w:w w:val="110"/>
        </w:rPr>
        <w:t xml:space="preserve"> </w:t>
      </w:r>
      <w:r>
        <w:rPr>
          <w:w w:val="110"/>
        </w:rPr>
        <w:t>of other</w:t>
      </w:r>
      <w:r>
        <w:rPr>
          <w:spacing w:val="-36"/>
          <w:w w:val="110"/>
        </w:rPr>
        <w:t xml:space="preserve"> </w:t>
      </w:r>
      <w:r>
        <w:rPr>
          <w:w w:val="110"/>
        </w:rPr>
        <w:t>mental</w:t>
      </w:r>
      <w:r>
        <w:rPr>
          <w:spacing w:val="-35"/>
          <w:w w:val="110"/>
        </w:rPr>
        <w:t xml:space="preserve"> </w:t>
      </w:r>
      <w:r>
        <w:rPr>
          <w:w w:val="110"/>
        </w:rPr>
        <w:t>disorders</w:t>
      </w:r>
      <w:r>
        <w:rPr>
          <w:spacing w:val="-35"/>
          <w:w w:val="110"/>
        </w:rPr>
        <w:t xml:space="preserve"> </w:t>
      </w:r>
      <w:r>
        <w:rPr>
          <w:w w:val="110"/>
        </w:rPr>
        <w:t>(e.g.,</w:t>
      </w:r>
      <w:r>
        <w:rPr>
          <w:spacing w:val="-33"/>
          <w:w w:val="110"/>
        </w:rPr>
        <w:t xml:space="preserve"> </w:t>
      </w:r>
      <w:r>
        <w:rPr>
          <w:w w:val="110"/>
        </w:rPr>
        <w:t>Pervasive</w:t>
      </w:r>
      <w:r>
        <w:rPr>
          <w:spacing w:val="-30"/>
          <w:w w:val="110"/>
        </w:rPr>
        <w:t xml:space="preserve"> </w:t>
      </w:r>
      <w:r>
        <w:rPr>
          <w:w w:val="110"/>
        </w:rPr>
        <w:t>Developmental</w:t>
      </w:r>
      <w:r>
        <w:rPr>
          <w:spacing w:val="-29"/>
          <w:w w:val="110"/>
        </w:rPr>
        <w:t xml:space="preserve"> </w:t>
      </w:r>
      <w:r>
        <w:rPr>
          <w:w w:val="110"/>
        </w:rPr>
        <w:t>Disorder,</w:t>
      </w:r>
      <w:r>
        <w:rPr>
          <w:spacing w:val="-30"/>
          <w:w w:val="110"/>
        </w:rPr>
        <w:t xml:space="preserve"> </w:t>
      </w:r>
      <w:r>
        <w:rPr>
          <w:w w:val="110"/>
        </w:rPr>
        <w:t>Mental</w:t>
      </w:r>
      <w:r>
        <w:rPr>
          <w:spacing w:val="-32"/>
          <w:w w:val="110"/>
        </w:rPr>
        <w:t xml:space="preserve"> </w:t>
      </w:r>
      <w:r>
        <w:rPr>
          <w:w w:val="110"/>
        </w:rPr>
        <w:t>Retardation).</w:t>
      </w:r>
      <w:r>
        <w:rPr>
          <w:spacing w:val="-30"/>
          <w:w w:val="110"/>
        </w:rPr>
        <w:t xml:space="preserve"> </w:t>
      </w:r>
      <w:r>
        <w:rPr>
          <w:w w:val="110"/>
        </w:rPr>
        <w:t>If the</w:t>
      </w:r>
      <w:r>
        <w:rPr>
          <w:spacing w:val="-14"/>
          <w:w w:val="110"/>
        </w:rPr>
        <w:t xml:space="preserve"> </w:t>
      </w:r>
      <w:r>
        <w:rPr>
          <w:w w:val="110"/>
        </w:rPr>
        <w:t>eating</w:t>
      </w:r>
      <w:r>
        <w:rPr>
          <w:spacing w:val="-3"/>
          <w:w w:val="110"/>
        </w:rPr>
        <w:t xml:space="preserve"> </w:t>
      </w:r>
      <w:r>
        <w:rPr>
          <w:w w:val="110"/>
        </w:rPr>
        <w:t>behavior</w:t>
      </w:r>
      <w:r>
        <w:rPr>
          <w:spacing w:val="-9"/>
          <w:w w:val="110"/>
        </w:rPr>
        <w:t xml:space="preserve"> </w:t>
      </w:r>
      <w:r>
        <w:rPr>
          <w:w w:val="110"/>
        </w:rPr>
        <w:t>occurs</w:t>
      </w:r>
      <w:r>
        <w:rPr>
          <w:spacing w:val="-15"/>
          <w:w w:val="110"/>
        </w:rPr>
        <w:t xml:space="preserve"> </w:t>
      </w:r>
      <w:r>
        <w:rPr>
          <w:w w:val="110"/>
        </w:rPr>
        <w:t>exclusively</w:t>
      </w:r>
      <w:r>
        <w:rPr>
          <w:spacing w:val="-6"/>
          <w:w w:val="110"/>
        </w:rPr>
        <w:t xml:space="preserve"> </w:t>
      </w:r>
      <w:r>
        <w:rPr>
          <w:w w:val="110"/>
        </w:rPr>
        <w:t>during</w:t>
      </w:r>
      <w:r>
        <w:rPr>
          <w:spacing w:val="-8"/>
          <w:w w:val="110"/>
        </w:rPr>
        <w:t xml:space="preserve"> </w:t>
      </w:r>
      <w:r>
        <w:rPr>
          <w:w w:val="110"/>
        </w:rPr>
        <w:t>the</w:t>
      </w:r>
      <w:r>
        <w:rPr>
          <w:spacing w:val="-13"/>
          <w:w w:val="110"/>
        </w:rPr>
        <w:t xml:space="preserve"> </w:t>
      </w:r>
      <w:r>
        <w:rPr>
          <w:w w:val="110"/>
        </w:rPr>
        <w:t>course</w:t>
      </w:r>
      <w:r>
        <w:rPr>
          <w:spacing w:val="-10"/>
          <w:w w:val="110"/>
        </w:rPr>
        <w:t xml:space="preserve"> </w:t>
      </w:r>
      <w:r>
        <w:rPr>
          <w:w w:val="110"/>
        </w:rPr>
        <w:t>of</w:t>
      </w:r>
      <w:r>
        <w:rPr>
          <w:spacing w:val="-8"/>
          <w:w w:val="110"/>
        </w:rPr>
        <w:t xml:space="preserve"> </w:t>
      </w:r>
      <w:r>
        <w:rPr>
          <w:w w:val="110"/>
        </w:rPr>
        <w:t>another</w:t>
      </w:r>
      <w:r>
        <w:rPr>
          <w:spacing w:val="-6"/>
          <w:w w:val="110"/>
        </w:rPr>
        <w:t xml:space="preserve"> </w:t>
      </w:r>
      <w:r>
        <w:rPr>
          <w:w w:val="110"/>
        </w:rPr>
        <w:t>mental</w:t>
      </w:r>
      <w:r>
        <w:rPr>
          <w:spacing w:val="-10"/>
          <w:w w:val="110"/>
        </w:rPr>
        <w:t xml:space="preserve"> </w:t>
      </w:r>
      <w:r>
        <w:rPr>
          <w:w w:val="110"/>
        </w:rPr>
        <w:t>disorder,</w:t>
      </w:r>
      <w:r>
        <w:rPr>
          <w:spacing w:val="-2"/>
          <w:w w:val="110"/>
        </w:rPr>
        <w:t xml:space="preserve"> </w:t>
      </w:r>
      <w:r>
        <w:rPr>
          <w:w w:val="110"/>
        </w:rPr>
        <w:t>a separate diagnosis of Pica should be made only if the eating behavior is sufficiently severe to warrant independent clinical attention (Criterion</w:t>
      </w:r>
      <w:r>
        <w:rPr>
          <w:spacing w:val="15"/>
          <w:w w:val="110"/>
        </w:rPr>
        <w:t xml:space="preserve"> </w:t>
      </w:r>
      <w:r>
        <w:rPr>
          <w:w w:val="110"/>
        </w:rPr>
        <w:t>D).</w:t>
      </w:r>
    </w:p>
    <w:p w:rsidR="00E675F0" w:rsidRDefault="00E675F0" w:rsidP="00E675F0">
      <w:pPr>
        <w:pStyle w:val="BodyText"/>
        <w:rPr>
          <w:sz w:val="22"/>
        </w:rPr>
      </w:pPr>
    </w:p>
    <w:p w:rsidR="00E675F0" w:rsidRDefault="00E675F0" w:rsidP="00E675F0">
      <w:pPr>
        <w:spacing w:before="194"/>
        <w:ind w:left="497"/>
        <w:rPr>
          <w:rFonts w:ascii="Arial-BoldItalicMT"/>
          <w:b/>
          <w:i/>
          <w:sz w:val="24"/>
        </w:rPr>
      </w:pPr>
      <w:r>
        <w:rPr>
          <w:rFonts w:ascii="Arial-BoldItalicMT"/>
          <w:b/>
          <w:i/>
          <w:sz w:val="24"/>
        </w:rPr>
        <w:t>Associated Features and Disorders</w:t>
      </w:r>
    </w:p>
    <w:p w:rsidR="00E675F0" w:rsidRDefault="00E675F0" w:rsidP="00E675F0">
      <w:pPr>
        <w:pStyle w:val="BodyText"/>
        <w:spacing w:before="152" w:line="254" w:lineRule="auto"/>
        <w:ind w:left="519" w:right="723"/>
        <w:jc w:val="both"/>
      </w:pPr>
      <w:r>
        <w:rPr>
          <w:w w:val="105"/>
        </w:rPr>
        <w:t>Pica is frequently associated with Mental Retardation. Although vitamin or mineral deficiencies have been reported in some instances, usually no specific biological abnormalities are found. In some cases, Pica comes to clinical attention only when the individual</w:t>
      </w:r>
      <w:r>
        <w:rPr>
          <w:spacing w:val="7"/>
          <w:w w:val="105"/>
        </w:rPr>
        <w:t xml:space="preserve"> </w:t>
      </w:r>
      <w:r>
        <w:rPr>
          <w:w w:val="105"/>
        </w:rPr>
        <w:t>presents</w:t>
      </w:r>
      <w:r>
        <w:rPr>
          <w:spacing w:val="-3"/>
          <w:w w:val="105"/>
        </w:rPr>
        <w:t xml:space="preserve"> </w:t>
      </w:r>
      <w:r>
        <w:rPr>
          <w:w w:val="105"/>
        </w:rPr>
        <w:t>with</w:t>
      </w:r>
      <w:r>
        <w:rPr>
          <w:spacing w:val="-9"/>
          <w:w w:val="105"/>
        </w:rPr>
        <w:t xml:space="preserve"> </w:t>
      </w:r>
      <w:r>
        <w:rPr>
          <w:w w:val="105"/>
        </w:rPr>
        <w:t>any</w:t>
      </w:r>
      <w:r>
        <w:rPr>
          <w:spacing w:val="-18"/>
          <w:w w:val="105"/>
        </w:rPr>
        <w:t xml:space="preserve"> </w:t>
      </w:r>
      <w:r>
        <w:rPr>
          <w:w w:val="105"/>
        </w:rPr>
        <w:t>of</w:t>
      </w:r>
      <w:r>
        <w:rPr>
          <w:spacing w:val="-3"/>
          <w:w w:val="105"/>
        </w:rPr>
        <w:t xml:space="preserve"> </w:t>
      </w:r>
      <w:r>
        <w:rPr>
          <w:w w:val="105"/>
        </w:rPr>
        <w:t>the</w:t>
      </w:r>
      <w:r>
        <w:rPr>
          <w:spacing w:val="-14"/>
          <w:w w:val="105"/>
        </w:rPr>
        <w:t xml:space="preserve"> </w:t>
      </w:r>
      <w:r>
        <w:rPr>
          <w:w w:val="105"/>
        </w:rPr>
        <w:t>various</w:t>
      </w:r>
      <w:r>
        <w:rPr>
          <w:spacing w:val="-9"/>
          <w:w w:val="105"/>
        </w:rPr>
        <w:t xml:space="preserve"> </w:t>
      </w:r>
      <w:r>
        <w:rPr>
          <w:w w:val="105"/>
        </w:rPr>
        <w:t>general</w:t>
      </w:r>
      <w:r>
        <w:rPr>
          <w:spacing w:val="-3"/>
          <w:w w:val="105"/>
        </w:rPr>
        <w:t xml:space="preserve"> </w:t>
      </w:r>
      <w:r>
        <w:rPr>
          <w:w w:val="105"/>
        </w:rPr>
        <w:t>medical</w:t>
      </w:r>
      <w:r>
        <w:rPr>
          <w:spacing w:val="-5"/>
          <w:w w:val="105"/>
        </w:rPr>
        <w:t xml:space="preserve"> </w:t>
      </w:r>
      <w:r>
        <w:rPr>
          <w:w w:val="105"/>
        </w:rPr>
        <w:t>complications</w:t>
      </w:r>
      <w:r>
        <w:rPr>
          <w:spacing w:val="4"/>
          <w:w w:val="105"/>
        </w:rPr>
        <w:t xml:space="preserve"> </w:t>
      </w:r>
      <w:r>
        <w:rPr>
          <w:w w:val="105"/>
        </w:rPr>
        <w:t>that</w:t>
      </w:r>
      <w:r>
        <w:rPr>
          <w:spacing w:val="-12"/>
          <w:w w:val="105"/>
        </w:rPr>
        <w:t xml:space="preserve"> </w:t>
      </w:r>
      <w:r>
        <w:rPr>
          <w:w w:val="105"/>
        </w:rPr>
        <w:t>may</w:t>
      </w:r>
      <w:r>
        <w:rPr>
          <w:spacing w:val="-9"/>
          <w:w w:val="105"/>
        </w:rPr>
        <w:t xml:space="preserve"> </w:t>
      </w:r>
      <w:r>
        <w:rPr>
          <w:w w:val="105"/>
        </w:rPr>
        <w:t>result (e.g., lead poisoning as a result of ingesting paint or paint-soaked plaster, mechanical bowel problems, intestinal obstruction as a result of hair ball tumors, intestinal perforation, or infections such as toxoplasmosis and toxocariasis as a result of ingesting feces or dirt). Poverty, neglect, lack of parental supervision, and developmental delay increase the risk for the</w:t>
      </w:r>
      <w:r>
        <w:rPr>
          <w:spacing w:val="4"/>
          <w:w w:val="105"/>
        </w:rPr>
        <w:t xml:space="preserve"> </w:t>
      </w:r>
      <w:r>
        <w:rPr>
          <w:w w:val="105"/>
        </w:rPr>
        <w:t>condition.</w:t>
      </w:r>
    </w:p>
    <w:p w:rsidR="00E675F0" w:rsidRDefault="00E675F0" w:rsidP="00E675F0">
      <w:pPr>
        <w:pStyle w:val="BodyText"/>
        <w:rPr>
          <w:sz w:val="22"/>
        </w:rPr>
      </w:pPr>
    </w:p>
    <w:p w:rsidR="00E675F0" w:rsidRDefault="00E675F0" w:rsidP="00E675F0">
      <w:pPr>
        <w:pStyle w:val="BodyText"/>
        <w:spacing w:before="10"/>
        <w:rPr>
          <w:sz w:val="17"/>
        </w:rPr>
      </w:pPr>
    </w:p>
    <w:p w:rsidR="00E675F0" w:rsidRDefault="00E675F0" w:rsidP="00E675F0">
      <w:pPr>
        <w:spacing w:before="1"/>
        <w:ind w:left="507"/>
        <w:rPr>
          <w:rFonts w:ascii="Arial-BoldItalicMT"/>
          <w:b/>
          <w:i/>
        </w:rPr>
      </w:pPr>
      <w:r>
        <w:rPr>
          <w:rFonts w:ascii="Arial-BoldItalicMT"/>
          <w:b/>
          <w:i/>
          <w:w w:val="110"/>
        </w:rPr>
        <w:t>Specific Culture, Age, and Gender Features</w:t>
      </w:r>
    </w:p>
    <w:p w:rsidR="00E675F0" w:rsidRDefault="00E675F0" w:rsidP="00E675F0">
      <w:pPr>
        <w:pStyle w:val="BodyText"/>
        <w:spacing w:before="151" w:line="195" w:lineRule="exact"/>
        <w:ind w:left="527"/>
        <w:jc w:val="both"/>
      </w:pPr>
      <w:r>
        <w:rPr>
          <w:w w:val="105"/>
        </w:rPr>
        <w:t>In some cultures, the eating of dirt or other seemingly nonnutritive substances is believed</w:t>
      </w:r>
    </w:p>
    <w:p w:rsidR="00E675F0" w:rsidRDefault="00E675F0" w:rsidP="00E675F0">
      <w:pPr>
        <w:spacing w:line="257" w:lineRule="exact"/>
        <w:ind w:left="502" w:right="-15"/>
        <w:rPr>
          <w:rFonts w:ascii="TimesNewRomanPS-BoldItalicMT" w:eastAsia="TimesNewRomanPS-BoldItalicMT" w:hAnsi="TimesNewRomanPS-BoldItalicMT" w:cs="TimesNewRomanPS-BoldItalicMT"/>
          <w:b/>
          <w:bCs/>
          <w:i/>
          <w:sz w:val="5"/>
          <w:szCs w:val="5"/>
        </w:rPr>
      </w:pPr>
      <w:r>
        <w:rPr>
          <w:noProof/>
        </w:rPr>
        <mc:AlternateContent>
          <mc:Choice Requires="wps">
            <w:drawing>
              <wp:anchor distT="0" distB="0" distL="114300" distR="114300" simplePos="0" relativeHeight="251773952" behindDoc="1" locked="0" layoutInCell="1" allowOverlap="1" wp14:anchorId="4BA72E8C" wp14:editId="67B19749">
                <wp:simplePos x="0" y="0"/>
                <wp:positionH relativeFrom="page">
                  <wp:posOffset>4140835</wp:posOffset>
                </wp:positionH>
                <wp:positionV relativeFrom="paragraph">
                  <wp:posOffset>2949575</wp:posOffset>
                </wp:positionV>
                <wp:extent cx="0" cy="0"/>
                <wp:effectExtent l="0" t="0" r="0" b="0"/>
                <wp:wrapNone/>
                <wp:docPr id="1534" name="Line 14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916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600B68" id="Line 1490" o:spid="_x0000_s1026" style="position:absolute;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6.05pt,232.25pt" to="326.05pt,232.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" strokeweight=".25456mm">
                <o:lock v:ext="edit" shapetype="f"/>
                <w10:wrap anchorx="page"/>
              </v:line>
            </w:pict>
          </mc:Fallback>
        </mc:AlternateContent>
      </w:r>
      <w:r>
        <w:rPr>
          <w:rFonts w:ascii="Arial" w:eastAsia="Arial" w:hAnsi="Arial" w:cs="Arial"/>
          <w:b/>
          <w:bCs/>
          <w:spacing w:val="-1"/>
          <w:w w:val="85"/>
          <w:sz w:val="23"/>
          <w:szCs w:val="23"/>
        </w:rPr>
        <w:t>r</w:t>
      </w:r>
      <w:r>
        <w:rPr>
          <w:rFonts w:ascii="Arial" w:eastAsia="Arial" w:hAnsi="Arial" w:cs="Arial"/>
          <w:b/>
          <w:bCs/>
          <w:w w:val="85"/>
          <w:sz w:val="23"/>
          <w:szCs w:val="23"/>
        </w:rPr>
        <w:t>n</w:t>
      </w:r>
      <w:r>
        <w:rPr>
          <w:rFonts w:ascii="Arial" w:eastAsia="Arial" w:hAnsi="Arial" w:cs="Arial"/>
          <w:b/>
          <w:bCs/>
          <w:spacing w:val="4"/>
          <w:sz w:val="23"/>
          <w:szCs w:val="23"/>
        </w:rPr>
        <w:t xml:space="preserve"> </w:t>
      </w:r>
      <w:r>
        <w:rPr>
          <w:rFonts w:ascii="Arial" w:eastAsia="Arial" w:hAnsi="Arial" w:cs="Arial"/>
          <w:b/>
          <w:bCs/>
          <w:spacing w:val="-1"/>
          <w:w w:val="103"/>
          <w:sz w:val="20"/>
          <w:szCs w:val="20"/>
        </w:rPr>
        <w:t>1</w:t>
      </w:r>
      <w:r>
        <w:rPr>
          <w:rFonts w:ascii="Arial" w:eastAsia="Arial" w:hAnsi="Arial" w:cs="Arial"/>
          <w:b/>
          <w:bCs/>
          <w:w w:val="103"/>
          <w:sz w:val="20"/>
          <w:szCs w:val="20"/>
        </w:rPr>
        <w:t>1</w:t>
      </w:r>
      <w:r>
        <w:rPr>
          <w:rFonts w:ascii="Arial" w:eastAsia="Arial" w:hAnsi="Arial" w:cs="Arial"/>
          <w:b/>
          <w:bCs/>
          <w:spacing w:val="27"/>
          <w:sz w:val="20"/>
          <w:szCs w:val="20"/>
        </w:rPr>
        <w:t xml:space="preserve"> </w:t>
      </w:r>
      <w:r>
        <w:rPr>
          <w:rFonts w:ascii="Arial" w:eastAsia="Arial" w:hAnsi="Arial" w:cs="Arial"/>
          <w:b/>
          <w:bCs/>
          <w:spacing w:val="-1"/>
          <w:w w:val="103"/>
          <w:sz w:val="15"/>
          <w:szCs w:val="15"/>
        </w:rPr>
        <w:t>0</w:t>
      </w:r>
      <w:r>
        <w:rPr>
          <w:rFonts w:ascii="Arial" w:eastAsia="Arial" w:hAnsi="Arial" w:cs="Arial"/>
          <w:b/>
          <w:bCs/>
          <w:w w:val="103"/>
          <w:sz w:val="15"/>
          <w:szCs w:val="15"/>
        </w:rPr>
        <w:t>f</w:t>
      </w:r>
      <w:r>
        <w:rPr>
          <w:rFonts w:ascii="Arial" w:eastAsia="Arial" w:hAnsi="Arial" w:cs="Arial"/>
          <w:b/>
          <w:bCs/>
          <w:sz w:val="15"/>
          <w:szCs w:val="15"/>
        </w:rPr>
        <w:t xml:space="preserve">  </w:t>
      </w:r>
      <w:r>
        <w:rPr>
          <w:rFonts w:ascii="Arial" w:eastAsia="Arial" w:hAnsi="Arial" w:cs="Arial"/>
          <w:b/>
          <w:bCs/>
          <w:spacing w:val="-8"/>
          <w:sz w:val="15"/>
          <w:szCs w:val="15"/>
        </w:rPr>
        <w:t xml:space="preserve"> </w:t>
      </w:r>
      <w:r>
        <w:rPr>
          <w:rFonts w:ascii="Arial" w:eastAsia="Arial" w:hAnsi="Arial" w:cs="Arial"/>
          <w:b/>
          <w:bCs/>
          <w:spacing w:val="-1"/>
          <w:w w:val="114"/>
          <w:sz w:val="8"/>
          <w:szCs w:val="8"/>
        </w:rPr>
        <w:t>11-:</w:t>
      </w:r>
      <w:r>
        <w:rPr>
          <w:rFonts w:ascii="Arial" w:eastAsia="Arial" w:hAnsi="Arial" w:cs="Arial"/>
          <w:b/>
          <w:bCs/>
          <w:w w:val="114"/>
          <w:sz w:val="8"/>
          <w:szCs w:val="8"/>
        </w:rPr>
        <w:t>l</w:t>
      </w:r>
      <w:r>
        <w:rPr>
          <w:rFonts w:ascii="Arial" w:eastAsia="Arial" w:hAnsi="Arial" w:cs="Arial"/>
          <w:b/>
          <w:bCs/>
          <w:spacing w:val="-3"/>
          <w:sz w:val="8"/>
          <w:szCs w:val="8"/>
        </w:rPr>
        <w:t xml:space="preserve"> </w:t>
      </w:r>
      <w:r>
        <w:rPr>
          <w:b/>
          <w:bCs/>
          <w:spacing w:val="-1"/>
          <w:w w:val="101"/>
          <w:sz w:val="15"/>
          <w:szCs w:val="15"/>
        </w:rPr>
        <w:t>h11</w:t>
      </w:r>
      <w:r>
        <w:rPr>
          <w:b/>
          <w:bCs/>
          <w:w w:val="101"/>
          <w:sz w:val="15"/>
          <w:szCs w:val="15"/>
        </w:rPr>
        <w:t>-</w:t>
      </w:r>
      <w:r>
        <w:rPr>
          <w:b/>
          <w:bCs/>
          <w:sz w:val="15"/>
          <w:szCs w:val="15"/>
        </w:rPr>
        <w:t xml:space="preserve">  </w:t>
      </w:r>
      <w:r>
        <w:rPr>
          <w:b/>
          <w:bCs/>
          <w:spacing w:val="4"/>
          <w:sz w:val="15"/>
          <w:szCs w:val="15"/>
        </w:rPr>
        <w:t xml:space="preserve"> </w:t>
      </w:r>
      <w:r>
        <w:rPr>
          <w:rFonts w:ascii="Arial-BoldItalicMT" w:eastAsia="Arial-BoldItalicMT" w:hAnsi="Arial-BoldItalicMT" w:cs="Arial-BoldItalicMT"/>
          <w:b/>
          <w:bCs/>
          <w:i/>
          <w:w w:val="104"/>
          <w:sz w:val="13"/>
          <w:szCs w:val="13"/>
        </w:rPr>
        <w:t>Pi�'1</w:t>
      </w:r>
      <w:r>
        <w:rPr>
          <w:rFonts w:ascii="Arial-BoldItalicMT" w:eastAsia="Arial-BoldItalicMT" w:hAnsi="Arial-BoldItalicMT" w:cs="Arial-BoldItalicMT"/>
          <w:b/>
          <w:bCs/>
          <w:i/>
          <w:sz w:val="13"/>
          <w:szCs w:val="13"/>
        </w:rPr>
        <w:t xml:space="preserve">   </w:t>
      </w:r>
      <w:r>
        <w:rPr>
          <w:rFonts w:ascii="Arial-BoldItalicMT" w:eastAsia="Arial-BoldItalicMT" w:hAnsi="Arial-BoldItalicMT" w:cs="Arial-BoldItalicMT"/>
          <w:b/>
          <w:bCs/>
          <w:i/>
          <w:spacing w:val="-6"/>
          <w:sz w:val="13"/>
          <w:szCs w:val="13"/>
        </w:rPr>
        <w:t xml:space="preserve"> </w:t>
      </w:r>
      <w:r>
        <w:rPr>
          <w:b/>
          <w:bCs/>
          <w:w w:val="86"/>
          <w:sz w:val="15"/>
          <w:szCs w:val="15"/>
        </w:rPr>
        <w:t>£</w:t>
      </w:r>
      <w:r>
        <w:rPr>
          <w:b/>
          <w:bCs/>
          <w:sz w:val="15"/>
          <w:szCs w:val="15"/>
        </w:rPr>
        <w:t xml:space="preserve">  </w:t>
      </w:r>
      <w:r>
        <w:rPr>
          <w:b/>
          <w:bCs/>
          <w:spacing w:val="-12"/>
          <w:sz w:val="15"/>
          <w:szCs w:val="15"/>
        </w:rPr>
        <w:t xml:space="preserve"> </w:t>
      </w:r>
      <w:r>
        <w:rPr>
          <w:rFonts w:ascii="Arial-BoldItalicMT" w:eastAsia="Arial-BoldItalicMT" w:hAnsi="Arial-BoldItalicMT" w:cs="Arial-BoldItalicMT"/>
          <w:b/>
          <w:bCs/>
          <w:i/>
          <w:w w:val="157"/>
          <w:sz w:val="13"/>
          <w:szCs w:val="13"/>
        </w:rPr>
        <w:t>,rnre</w:t>
      </w:r>
      <w:r>
        <w:rPr>
          <w:rFonts w:ascii="Arial-BoldItalicMT" w:eastAsia="Arial-BoldItalicMT" w:hAnsi="Arial-BoldItalicMT" w:cs="Arial-BoldItalicMT"/>
          <w:b/>
          <w:bCs/>
          <w:i/>
          <w:sz w:val="13"/>
          <w:szCs w:val="13"/>
        </w:rPr>
        <w:t xml:space="preserve">  </w:t>
      </w:r>
      <w:r>
        <w:rPr>
          <w:rFonts w:ascii="Arial-BoldItalicMT" w:eastAsia="Arial-BoldItalicMT" w:hAnsi="Arial-BoldItalicMT" w:cs="Arial-BoldItalicMT"/>
          <w:b/>
          <w:bCs/>
          <w:i/>
          <w:spacing w:val="-18"/>
          <w:sz w:val="13"/>
          <w:szCs w:val="13"/>
        </w:rPr>
        <w:t xml:space="preserve"> </w:t>
      </w:r>
      <w:r>
        <w:rPr>
          <w:rFonts w:ascii="TimesNewRomanPS-BoldItalicMT" w:eastAsia="TimesNewRomanPS-BoldItalicMT" w:hAnsi="TimesNewRomanPS-BoldItalicMT" w:cs="TimesNewRomanPS-BoldItalicMT"/>
          <w:b/>
          <w:bCs/>
          <w:i/>
          <w:w w:val="112"/>
          <w:sz w:val="12"/>
          <w:szCs w:val="12"/>
        </w:rPr>
        <w:t>(</w:t>
      </w:r>
      <w:r>
        <w:rPr>
          <w:rFonts w:ascii="TimesNewRomanPS-BoldItalicMT" w:eastAsia="TimesNewRomanPS-BoldItalicMT" w:hAnsi="TimesNewRomanPS-BoldItalicMT" w:cs="TimesNewRomanPS-BoldItalicMT"/>
          <w:b/>
          <w:bCs/>
          <w:i/>
          <w:spacing w:val="-1"/>
          <w:w w:val="112"/>
          <w:sz w:val="12"/>
          <w:szCs w:val="12"/>
        </w:rPr>
        <w:t>'_r'\mr;rin.</w:t>
      </w:r>
      <w:r>
        <w:rPr>
          <w:rFonts w:ascii="TimesNewRomanPS-BoldItalicMT" w:eastAsia="TimesNewRomanPS-BoldItalicMT" w:hAnsi="TimesNewRomanPS-BoldItalicMT" w:cs="TimesNewRomanPS-BoldItalicMT"/>
          <w:b/>
          <w:bCs/>
          <w:i/>
          <w:spacing w:val="5"/>
          <w:w w:val="112"/>
          <w:sz w:val="12"/>
          <w:szCs w:val="12"/>
        </w:rPr>
        <w:t>n</w:t>
      </w:r>
      <w:r>
        <w:rPr>
          <w:rFonts w:ascii="Arial-BoldItalicMT" w:eastAsia="Arial-BoldItalicMT" w:hAnsi="Arial-BoldItalicMT" w:cs="Arial-BoldItalicMT"/>
          <w:b/>
          <w:bCs/>
          <w:i/>
          <w:w w:val="123"/>
          <w:sz w:val="13"/>
          <w:szCs w:val="13"/>
        </w:rPr>
        <w:t>lv:�p�n</w:t>
      </w:r>
      <w:r>
        <w:rPr>
          <w:rFonts w:ascii="Arial-BoldItalicMT" w:eastAsia="Arial-BoldItalicMT" w:hAnsi="Arial-BoldItalicMT" w:cs="Arial-BoldItalicMT"/>
          <w:b/>
          <w:bCs/>
          <w:i/>
          <w:sz w:val="13"/>
          <w:szCs w:val="13"/>
        </w:rPr>
        <w:t xml:space="preserve">  </w:t>
      </w:r>
      <w:r>
        <w:rPr>
          <w:rFonts w:ascii="Arial-BoldItalicMT" w:eastAsia="Arial-BoldItalicMT" w:hAnsi="Arial-BoldItalicMT" w:cs="Arial-BoldItalicMT"/>
          <w:b/>
          <w:bCs/>
          <w:i/>
          <w:spacing w:val="-8"/>
          <w:sz w:val="13"/>
          <w:szCs w:val="13"/>
        </w:rPr>
        <w:t xml:space="preserve"> </w:t>
      </w:r>
      <w:r>
        <w:rPr>
          <w:b/>
          <w:bCs/>
          <w:w w:val="106"/>
          <w:sz w:val="14"/>
          <w:szCs w:val="14"/>
        </w:rPr>
        <w:t>1n</w:t>
      </w:r>
      <w:r>
        <w:rPr>
          <w:b/>
          <w:bCs/>
          <w:spacing w:val="-1"/>
          <w:w w:val="106"/>
          <w:sz w:val="14"/>
          <w:szCs w:val="14"/>
        </w:rPr>
        <w:t>\</w:t>
      </w:r>
      <w:r>
        <w:rPr>
          <w:b/>
          <w:bCs/>
          <w:w w:val="106"/>
          <w:sz w:val="14"/>
          <w:szCs w:val="14"/>
        </w:rPr>
        <w:t>,.</w:t>
      </w:r>
      <w:r>
        <w:rPr>
          <w:b/>
          <w:bCs/>
          <w:spacing w:val="2"/>
          <w:sz w:val="14"/>
          <w:szCs w:val="14"/>
        </w:rPr>
        <w:t xml:space="preserve"> </w:t>
      </w:r>
      <w:r>
        <w:rPr>
          <w:b/>
          <w:bCs/>
          <w:w w:val="106"/>
          <w:sz w:val="14"/>
          <w:szCs w:val="14"/>
        </w:rPr>
        <w:t>!(:_'.lJOq_rhilrlrPn</w:t>
      </w:r>
      <w:r>
        <w:rPr>
          <w:b/>
          <w:bCs/>
          <w:sz w:val="14"/>
          <w:szCs w:val="14"/>
        </w:rPr>
        <w:t xml:space="preserve">    </w:t>
      </w:r>
      <w:r>
        <w:rPr>
          <w:b/>
          <w:bCs/>
          <w:spacing w:val="16"/>
          <w:sz w:val="14"/>
          <w:szCs w:val="14"/>
        </w:rPr>
        <w:t xml:space="preserve"> </w:t>
      </w:r>
      <w:r>
        <w:rPr>
          <w:b/>
          <w:bCs/>
          <w:spacing w:val="-1"/>
          <w:w w:val="110"/>
          <w:sz w:val="15"/>
          <w:szCs w:val="15"/>
        </w:rPr>
        <w:t>nr</w:t>
      </w:r>
      <w:r>
        <w:rPr>
          <w:b/>
          <w:bCs/>
          <w:w w:val="110"/>
          <w:sz w:val="15"/>
          <w:szCs w:val="15"/>
        </w:rPr>
        <w:t>l</w:t>
      </w:r>
      <w:r>
        <w:rPr>
          <w:b/>
          <w:bCs/>
          <w:sz w:val="15"/>
          <w:szCs w:val="15"/>
        </w:rPr>
        <w:t xml:space="preserve">  </w:t>
      </w:r>
      <w:r>
        <w:rPr>
          <w:b/>
          <w:bCs/>
          <w:spacing w:val="-16"/>
          <w:sz w:val="15"/>
          <w:szCs w:val="15"/>
        </w:rPr>
        <w:t xml:space="preserve"> </w:t>
      </w:r>
      <w:r>
        <w:rPr>
          <w:b/>
          <w:bCs/>
          <w:spacing w:val="-1"/>
          <w:w w:val="172"/>
          <w:sz w:val="15"/>
          <w:szCs w:val="15"/>
        </w:rPr>
        <w:t>nr</w:t>
      </w:r>
      <w:r>
        <w:rPr>
          <w:b/>
          <w:bCs/>
          <w:w w:val="172"/>
          <w:sz w:val="15"/>
          <w:szCs w:val="15"/>
        </w:rPr>
        <w:t>r</w:t>
      </w:r>
      <w:r>
        <w:rPr>
          <w:b/>
          <w:bCs/>
          <w:sz w:val="15"/>
          <w:szCs w:val="15"/>
        </w:rPr>
        <w:t xml:space="preserve"> </w:t>
      </w:r>
      <w:r>
        <w:rPr>
          <w:b/>
          <w:bCs/>
          <w:spacing w:val="-11"/>
          <w:sz w:val="15"/>
          <w:szCs w:val="15"/>
        </w:rPr>
        <w:t xml:space="preserve"> </w:t>
      </w:r>
      <w:r>
        <w:rPr>
          <w:b/>
          <w:bCs/>
          <w:w w:val="172"/>
          <w:sz w:val="15"/>
          <w:szCs w:val="15"/>
        </w:rPr>
        <w:t>..-i</w:t>
      </w:r>
      <w:r>
        <w:rPr>
          <w:b/>
          <w:bCs/>
          <w:sz w:val="15"/>
          <w:szCs w:val="15"/>
        </w:rPr>
        <w:t xml:space="preserve"> </w:t>
      </w:r>
      <w:r>
        <w:rPr>
          <w:b/>
          <w:bCs/>
          <w:spacing w:val="-11"/>
          <w:sz w:val="15"/>
          <w:szCs w:val="15"/>
        </w:rPr>
        <w:t xml:space="preserve"> </w:t>
      </w:r>
      <w:r>
        <w:rPr>
          <w:b/>
          <w:bCs/>
          <w:w w:val="172"/>
          <w:sz w:val="15"/>
          <w:szCs w:val="15"/>
        </w:rPr>
        <w:t>J</w:t>
      </w:r>
      <w:r>
        <w:rPr>
          <w:b/>
          <w:bCs/>
          <w:spacing w:val="21"/>
          <w:w w:val="172"/>
          <w:sz w:val="15"/>
          <w:szCs w:val="15"/>
        </w:rPr>
        <w:t>v</w:t>
      </w:r>
      <w:r>
        <w:rPr>
          <w:b/>
          <w:bCs/>
          <w:spacing w:val="11"/>
          <w:w w:val="72"/>
          <w:sz w:val="15"/>
          <w:szCs w:val="15"/>
        </w:rPr>
        <w:t>_</w:t>
      </w:r>
      <w:r>
        <w:rPr>
          <w:b/>
          <w:bCs/>
          <w:w w:val="67"/>
          <w:sz w:val="15"/>
          <w:szCs w:val="15"/>
        </w:rPr>
        <w:t>111_</w:t>
      </w:r>
      <w:r>
        <w:rPr>
          <w:b/>
          <w:bCs/>
          <w:sz w:val="15"/>
          <w:szCs w:val="15"/>
        </w:rPr>
        <w:t xml:space="preserve"> </w:t>
      </w:r>
      <w:r>
        <w:rPr>
          <w:b/>
          <w:bCs/>
          <w:spacing w:val="-8"/>
          <w:sz w:val="15"/>
          <w:szCs w:val="15"/>
        </w:rPr>
        <w:t xml:space="preserve"> </w:t>
      </w:r>
      <w:r>
        <w:rPr>
          <w:w w:val="67"/>
          <w:sz w:val="15"/>
          <w:szCs w:val="15"/>
        </w:rPr>
        <w:t>..</w:t>
      </w:r>
      <w:r>
        <w:rPr>
          <w:sz w:val="15"/>
          <w:szCs w:val="15"/>
        </w:rPr>
        <w:t xml:space="preserve"> </w:t>
      </w:r>
      <w:r>
        <w:rPr>
          <w:spacing w:val="1"/>
          <w:sz w:val="15"/>
          <w:szCs w:val="15"/>
        </w:rPr>
        <w:t xml:space="preserve"> </w:t>
      </w:r>
      <w:r>
        <w:rPr>
          <w:w w:val="54"/>
          <w:sz w:val="15"/>
          <w:szCs w:val="15"/>
        </w:rPr>
        <w:t>_</w:t>
      </w:r>
      <w:r>
        <w:rPr>
          <w:sz w:val="15"/>
          <w:szCs w:val="15"/>
        </w:rPr>
        <w:t xml:space="preserve">  </w:t>
      </w:r>
      <w:r>
        <w:rPr>
          <w:spacing w:val="10"/>
          <w:sz w:val="15"/>
          <w:szCs w:val="15"/>
        </w:rPr>
        <w:t xml:space="preserve"> </w:t>
      </w:r>
      <w:r>
        <w:rPr>
          <w:w w:val="85"/>
          <w:sz w:val="15"/>
          <w:szCs w:val="15"/>
        </w:rPr>
        <w:t>_,:.</w:t>
      </w:r>
      <w:r>
        <w:rPr>
          <w:sz w:val="15"/>
          <w:szCs w:val="15"/>
        </w:rPr>
        <w:t xml:space="preserve"> </w:t>
      </w:r>
      <w:r>
        <w:rPr>
          <w:spacing w:val="-9"/>
          <w:sz w:val="15"/>
          <w:szCs w:val="15"/>
        </w:rPr>
        <w:t xml:space="preserve"> </w:t>
      </w:r>
      <w:r>
        <w:rPr>
          <w:rFonts w:ascii="TimesNewRomanPS-BoldItalicMT" w:eastAsia="TimesNewRomanPS-BoldItalicMT" w:hAnsi="TimesNewRomanPS-BoldItalicMT" w:cs="TimesNewRomanPS-BoldItalicMT"/>
          <w:b/>
          <w:bCs/>
          <w:i/>
          <w:spacing w:val="-20"/>
          <w:w w:val="112"/>
          <w:sz w:val="5"/>
          <w:szCs w:val="5"/>
        </w:rPr>
        <w:t>J._J</w:t>
      </w:r>
    </w:p>
    <w:p w:rsidR="00E675F0" w:rsidRDefault="00E675F0" w:rsidP="00E675F0">
      <w:pPr>
        <w:tabs>
          <w:tab w:val="left" w:pos="6678"/>
        </w:tabs>
        <w:spacing w:before="9"/>
        <w:ind w:left="131" w:right="-29"/>
        <w:rPr>
          <w:sz w:val="19"/>
        </w:rPr>
      </w:pPr>
      <w:r>
        <w:rPr>
          <w:w w:val="95"/>
          <w:sz w:val="19"/>
        </w:rPr>
        <w:t>lL'2</w:t>
      </w:r>
      <w:r>
        <w:rPr>
          <w:spacing w:val="-20"/>
          <w:w w:val="95"/>
          <w:sz w:val="19"/>
        </w:rPr>
        <w:t xml:space="preserve"> </w:t>
      </w:r>
      <w:r>
        <w:rPr>
          <w:w w:val="95"/>
          <w:sz w:val="19"/>
        </w:rPr>
        <w:t>GXCJfI'2JAGJA</w:t>
      </w:r>
      <w:r>
        <w:rPr>
          <w:spacing w:val="-14"/>
          <w:w w:val="95"/>
          <w:sz w:val="19"/>
        </w:rPr>
        <w:t xml:space="preserve"> </w:t>
      </w:r>
      <w:r>
        <w:rPr>
          <w:w w:val="95"/>
          <w:sz w:val="19"/>
        </w:rPr>
        <w:t>qm1u8</w:t>
      </w:r>
      <w:r>
        <w:rPr>
          <w:spacing w:val="-22"/>
          <w:w w:val="95"/>
          <w:sz w:val="19"/>
        </w:rPr>
        <w:t xml:space="preserve"> </w:t>
      </w:r>
      <w:r>
        <w:rPr>
          <w:w w:val="95"/>
          <w:sz w:val="19"/>
        </w:rPr>
        <w:t>qIG</w:t>
      </w:r>
      <w:r>
        <w:rPr>
          <w:spacing w:val="-19"/>
          <w:w w:val="95"/>
          <w:sz w:val="19"/>
        </w:rPr>
        <w:t xml:space="preserve"> </w:t>
      </w:r>
      <w:r>
        <w:rPr>
          <w:w w:val="95"/>
          <w:sz w:val="19"/>
        </w:rPr>
        <w:t>com2G</w:t>
      </w:r>
      <w:r>
        <w:rPr>
          <w:spacing w:val="-17"/>
          <w:w w:val="95"/>
          <w:sz w:val="19"/>
        </w:rPr>
        <w:t xml:space="preserve"> </w:t>
      </w:r>
      <w:r>
        <w:rPr>
          <w:w w:val="95"/>
          <w:sz w:val="19"/>
        </w:rPr>
        <w:t>Ol</w:t>
      </w:r>
      <w:r>
        <w:rPr>
          <w:spacing w:val="-26"/>
          <w:w w:val="95"/>
          <w:sz w:val="19"/>
        </w:rPr>
        <w:t xml:space="preserve"> </w:t>
      </w:r>
      <w:r>
        <w:rPr>
          <w:w w:val="95"/>
          <w:sz w:val="19"/>
        </w:rPr>
        <w:t>guoq1GL</w:t>
      </w:r>
      <w:r>
        <w:rPr>
          <w:spacing w:val="-18"/>
          <w:w w:val="95"/>
          <w:sz w:val="19"/>
        </w:rPr>
        <w:t xml:space="preserve"> </w:t>
      </w:r>
      <w:r>
        <w:rPr>
          <w:w w:val="95"/>
          <w:sz w:val="19"/>
        </w:rPr>
        <w:t>WGU!gI</w:t>
      </w:r>
      <w:r>
        <w:rPr>
          <w:spacing w:val="-16"/>
          <w:w w:val="95"/>
          <w:sz w:val="19"/>
        </w:rPr>
        <w:t xml:space="preserve"> </w:t>
      </w:r>
      <w:r>
        <w:rPr>
          <w:w w:val="95"/>
          <w:sz w:val="19"/>
        </w:rPr>
        <w:t>q12mqG1'</w:t>
      </w:r>
      <w:r>
        <w:rPr>
          <w:spacing w:val="-13"/>
          <w:w w:val="95"/>
          <w:sz w:val="19"/>
        </w:rPr>
        <w:t xml:space="preserve"> </w:t>
      </w:r>
      <w:r>
        <w:rPr>
          <w:w w:val="95"/>
          <w:sz w:val="19"/>
        </w:rPr>
        <w:t>g</w:t>
      </w:r>
      <w:r>
        <w:rPr>
          <w:w w:val="95"/>
          <w:sz w:val="19"/>
        </w:rPr>
        <w:tab/>
      </w:r>
      <w:r>
        <w:rPr>
          <w:w w:val="90"/>
          <w:sz w:val="19"/>
        </w:rPr>
        <w:t>rpG Ggqu8 pGpgAJOL</w:t>
      </w:r>
      <w:r>
        <w:rPr>
          <w:spacing w:val="-27"/>
          <w:w w:val="90"/>
          <w:sz w:val="19"/>
        </w:rPr>
        <w:t xml:space="preserve"> </w:t>
      </w:r>
      <w:r>
        <w:rPr>
          <w:w w:val="90"/>
          <w:sz w:val="19"/>
        </w:rPr>
        <w:t>OCCJ</w:t>
      </w:r>
    </w:p>
    <w:p w:rsidR="00E675F0" w:rsidRDefault="00E675F0" w:rsidP="00E675F0">
      <w:pPr>
        <w:tabs>
          <w:tab w:val="left" w:pos="6678"/>
        </w:tabs>
        <w:spacing w:before="31"/>
        <w:ind w:left="125" w:right="-15"/>
        <w:rPr>
          <w:sz w:val="19"/>
        </w:rPr>
      </w:pPr>
      <w:r>
        <w:rPr>
          <w:rFonts w:ascii="Arial" w:hAnsi="Arial"/>
          <w:w w:val="90"/>
          <w:sz w:val="19"/>
        </w:rPr>
        <w:t xml:space="preserve">r;·R·' </w:t>
      </w:r>
      <w:r>
        <w:rPr>
          <w:w w:val="90"/>
          <w:sz w:val="19"/>
        </w:rPr>
        <w:t>bGLM'2!AG  DGAGJObwGurgJ  m20tqGL' WGurgJ</w:t>
      </w:r>
      <w:r>
        <w:rPr>
          <w:spacing w:val="-3"/>
          <w:w w:val="90"/>
          <w:sz w:val="19"/>
        </w:rPr>
        <w:t xml:space="preserve"> </w:t>
      </w:r>
      <w:r>
        <w:rPr>
          <w:w w:val="90"/>
          <w:sz w:val="19"/>
        </w:rPr>
        <w:t>B"Gfgtqgqou)"</w:t>
      </w:r>
      <w:r>
        <w:rPr>
          <w:spacing w:val="21"/>
          <w:w w:val="90"/>
          <w:sz w:val="19"/>
        </w:rPr>
        <w:t xml:space="preserve"> </w:t>
      </w:r>
      <w:r>
        <w:rPr>
          <w:w w:val="90"/>
          <w:sz w:val="19"/>
        </w:rPr>
        <w:t>Il</w:t>
      </w:r>
      <w:r>
        <w:rPr>
          <w:w w:val="90"/>
          <w:sz w:val="19"/>
        </w:rPr>
        <w:tab/>
      </w:r>
      <w:r>
        <w:rPr>
          <w:sz w:val="19"/>
        </w:rPr>
        <w:t>orµu wGurgJ  q12mqGt2</w:t>
      </w:r>
      <w:r>
        <w:rPr>
          <w:spacing w:val="9"/>
          <w:sz w:val="19"/>
        </w:rPr>
        <w:t xml:space="preserve"> </w:t>
      </w:r>
      <w:r>
        <w:rPr>
          <w:sz w:val="19"/>
        </w:rPr>
        <w:t>(</w:t>
      </w:r>
    </w:p>
    <w:p w:rsidR="00E675F0" w:rsidRDefault="00E675F0" w:rsidP="00E675F0">
      <w:pPr>
        <w:tabs>
          <w:tab w:val="left" w:pos="6680"/>
        </w:tabs>
        <w:spacing w:before="21"/>
        <w:ind w:left="133" w:right="-15"/>
        <w:rPr>
          <w:sz w:val="19"/>
        </w:rPr>
      </w:pPr>
      <w:r>
        <w:rPr>
          <w:position w:val="1"/>
          <w:sz w:val="19"/>
        </w:rPr>
        <w:t>JG Ggqu'ii Ol uouunrqqAG 2np2rgucG2 12 gu g22oqgrGq lGgrmG</w:t>
      </w:r>
      <w:r>
        <w:rPr>
          <w:spacing w:val="5"/>
          <w:position w:val="1"/>
          <w:sz w:val="19"/>
        </w:rPr>
        <w:t xml:space="preserve"> </w:t>
      </w:r>
      <w:r>
        <w:rPr>
          <w:position w:val="1"/>
          <w:sz w:val="19"/>
        </w:rPr>
        <w:t>ol</w:t>
      </w:r>
      <w:r>
        <w:rPr>
          <w:position w:val="1"/>
          <w:sz w:val="19"/>
        </w:rPr>
        <w:tab/>
      </w:r>
      <w:r>
        <w:rPr>
          <w:sz w:val="19"/>
        </w:rPr>
        <w:t xml:space="preserve">brncqcG (CLJrGqou </w:t>
      </w:r>
      <w:r>
        <w:rPr>
          <w:rFonts w:ascii="Arial"/>
          <w:sz w:val="16"/>
        </w:rPr>
        <w:t>C)"</w:t>
      </w:r>
      <w:r>
        <w:rPr>
          <w:rFonts w:ascii="Arial"/>
          <w:spacing w:val="-11"/>
          <w:sz w:val="16"/>
        </w:rPr>
        <w:t xml:space="preserve"> </w:t>
      </w:r>
      <w:r>
        <w:rPr>
          <w:sz w:val="19"/>
        </w:rPr>
        <w:t>.L</w:t>
      </w:r>
    </w:p>
    <w:p w:rsidR="00E675F0" w:rsidRDefault="00E675F0" w:rsidP="00E675F0">
      <w:pPr>
        <w:tabs>
          <w:tab w:val="left" w:pos="6680"/>
        </w:tabs>
        <w:spacing w:before="12"/>
        <w:ind w:left="133"/>
        <w:rPr>
          <w:sz w:val="19"/>
        </w:rPr>
      </w:pPr>
      <w:r>
        <w:rPr>
          <w:sz w:val="19"/>
        </w:rPr>
        <w:t xml:space="preserve">)bwbqgrG  (cqrGqou  </w:t>
      </w:r>
      <w:r>
        <w:rPr>
          <w:rFonts w:ascii="Arial"/>
          <w:sz w:val="17"/>
        </w:rPr>
        <w:t xml:space="preserve">B)  </w:t>
      </w:r>
      <w:r>
        <w:rPr>
          <w:sz w:val="19"/>
        </w:rPr>
        <w:t>guq  uor  bgu  Ol g</w:t>
      </w:r>
      <w:r>
        <w:rPr>
          <w:spacing w:val="15"/>
          <w:sz w:val="19"/>
        </w:rPr>
        <w:t xml:space="preserve"> </w:t>
      </w:r>
      <w:r>
        <w:rPr>
          <w:sz w:val="19"/>
        </w:rPr>
        <w:t>crr1rnrn111</w:t>
      </w:r>
      <w:r>
        <w:rPr>
          <w:spacing w:val="28"/>
          <w:sz w:val="19"/>
        </w:rPr>
        <w:t xml:space="preserve"> </w:t>
      </w:r>
      <w:r>
        <w:rPr>
          <w:sz w:val="19"/>
        </w:rPr>
        <w:t>2gucqouGq</w:t>
      </w:r>
      <w:r>
        <w:rPr>
          <w:sz w:val="19"/>
        </w:rPr>
        <w:tab/>
      </w:r>
      <w:r>
        <w:rPr>
          <w:w w:val="90"/>
          <w:sz w:val="19"/>
        </w:rPr>
        <w:t>pG qGAGJObWGurgJJA</w:t>
      </w:r>
      <w:r>
        <w:rPr>
          <w:spacing w:val="-23"/>
          <w:w w:val="90"/>
          <w:sz w:val="19"/>
        </w:rPr>
        <w:t xml:space="preserve"> </w:t>
      </w:r>
      <w:r>
        <w:rPr>
          <w:w w:val="90"/>
          <w:sz w:val="19"/>
        </w:rPr>
        <w:t>Jug</w:t>
      </w:r>
    </w:p>
    <w:p w:rsidR="00E675F0" w:rsidRDefault="00E675F0" w:rsidP="00E675F0">
      <w:pPr>
        <w:tabs>
          <w:tab w:val="left" w:pos="6674"/>
        </w:tabs>
        <w:spacing w:before="27"/>
        <w:ind w:left="124" w:right="-29"/>
        <w:rPr>
          <w:sz w:val="19"/>
        </w:rPr>
      </w:pPr>
      <w:r>
        <w:rPr>
          <w:sz w:val="19"/>
        </w:rPr>
        <w:t>;</w:t>
      </w:r>
      <w:r>
        <w:rPr>
          <w:spacing w:val="-9"/>
          <w:sz w:val="19"/>
        </w:rPr>
        <w:t xml:space="preserve"> </w:t>
      </w:r>
      <w:r>
        <w:rPr>
          <w:sz w:val="19"/>
        </w:rPr>
        <w:t>qg1</w:t>
      </w:r>
      <w:r>
        <w:rPr>
          <w:spacing w:val="1"/>
          <w:sz w:val="19"/>
        </w:rPr>
        <w:t xml:space="preserve"> </w:t>
      </w:r>
      <w:r>
        <w:rPr>
          <w:sz w:val="19"/>
        </w:rPr>
        <w:t>01</w:t>
      </w:r>
      <w:r>
        <w:rPr>
          <w:spacing w:val="-23"/>
          <w:sz w:val="19"/>
        </w:rPr>
        <w:t xml:space="preserve"> </w:t>
      </w:r>
      <w:r>
        <w:rPr>
          <w:sz w:val="19"/>
        </w:rPr>
        <w:t>2on-</w:t>
      </w:r>
      <w:r>
        <w:rPr>
          <w:spacing w:val="-21"/>
          <w:sz w:val="19"/>
        </w:rPr>
        <w:t xml:space="preserve"> </w:t>
      </w:r>
      <w:r>
        <w:rPr>
          <w:sz w:val="19"/>
        </w:rPr>
        <w:t>.LPGLG</w:t>
      </w:r>
      <w:r>
        <w:rPr>
          <w:spacing w:val="-22"/>
          <w:sz w:val="19"/>
        </w:rPr>
        <w:t xml:space="preserve"> </w:t>
      </w:r>
      <w:r>
        <w:rPr>
          <w:sz w:val="19"/>
        </w:rPr>
        <w:t>12</w:t>
      </w:r>
      <w:r>
        <w:rPr>
          <w:spacing w:val="-19"/>
          <w:sz w:val="19"/>
        </w:rPr>
        <w:t xml:space="preserve"> </w:t>
      </w:r>
      <w:r>
        <w:rPr>
          <w:sz w:val="19"/>
        </w:rPr>
        <w:t>uo</w:t>
      </w:r>
      <w:r>
        <w:rPr>
          <w:spacing w:val="15"/>
          <w:sz w:val="19"/>
        </w:rPr>
        <w:t xml:space="preserve"> </w:t>
      </w:r>
      <w:r>
        <w:rPr>
          <w:sz w:val="19"/>
        </w:rPr>
        <w:t>gAG121ou</w:t>
      </w:r>
      <w:r>
        <w:rPr>
          <w:spacing w:val="-11"/>
          <w:sz w:val="19"/>
        </w:rPr>
        <w:t xml:space="preserve"> </w:t>
      </w:r>
      <w:r>
        <w:rPr>
          <w:sz w:val="19"/>
        </w:rPr>
        <w:t>ro</w:t>
      </w:r>
      <w:r>
        <w:rPr>
          <w:spacing w:val="-21"/>
          <w:sz w:val="19"/>
        </w:rPr>
        <w:t xml:space="preserve"> </w:t>
      </w:r>
      <w:r>
        <w:rPr>
          <w:sz w:val="19"/>
        </w:rPr>
        <w:t>looq·</w:t>
      </w:r>
      <w:r>
        <w:rPr>
          <w:spacing w:val="-28"/>
          <w:sz w:val="19"/>
        </w:rPr>
        <w:t xml:space="preserve"> </w:t>
      </w:r>
      <w:r>
        <w:rPr>
          <w:sz w:val="19"/>
        </w:rPr>
        <w:t>,1p12</w:t>
      </w:r>
      <w:r>
        <w:rPr>
          <w:spacing w:val="-18"/>
          <w:sz w:val="19"/>
        </w:rPr>
        <w:t xml:space="preserve"> </w:t>
      </w:r>
      <w:r>
        <w:rPr>
          <w:sz w:val="19"/>
        </w:rPr>
        <w:t>pGpgA101</w:t>
      </w:r>
      <w:r>
        <w:rPr>
          <w:spacing w:val="-23"/>
          <w:sz w:val="19"/>
        </w:rPr>
        <w:t xml:space="preserve"> </w:t>
      </w:r>
      <w:r>
        <w:rPr>
          <w:sz w:val="19"/>
        </w:rPr>
        <w:t>wfI'2r</w:t>
      </w:r>
      <w:r>
        <w:rPr>
          <w:sz w:val="19"/>
        </w:rPr>
        <w:tab/>
        <w:t>guq   gqn1r2  wg1</w:t>
      </w:r>
      <w:r>
        <w:rPr>
          <w:spacing w:val="5"/>
          <w:sz w:val="19"/>
        </w:rPr>
        <w:t xml:space="preserve"> </w:t>
      </w:r>
      <w:r>
        <w:rPr>
          <w:sz w:val="19"/>
        </w:rPr>
        <w:t>cou2nm</w:t>
      </w:r>
    </w:p>
    <w:p w:rsidR="00E675F0" w:rsidRDefault="00E675F0" w:rsidP="00E675F0">
      <w:pPr>
        <w:rPr>
          <w:sz w:val="19"/>
        </w:rPr>
        <w:sectPr w:rsidR="00E675F0">
          <w:headerReference w:type="even" r:id="rId110"/>
          <w:headerReference w:type="default" r:id="rId111"/>
          <w:pgSz w:w="8960" w:h="14260"/>
          <w:pgMar w:top="1400" w:right="0" w:bottom="0" w:left="240" w:header="678" w:footer="0" w:gutter="0"/>
          <w:cols w:space="720"/>
        </w:sectPr>
      </w:pPr>
    </w:p>
    <w:p w:rsidR="00E675F0" w:rsidRDefault="00E675F0" w:rsidP="00E675F0">
      <w:pPr>
        <w:spacing w:before="22" w:line="268" w:lineRule="auto"/>
        <w:ind w:left="136" w:right="38" w:hanging="21"/>
        <w:jc w:val="both"/>
        <w:rPr>
          <w:sz w:val="19"/>
        </w:rPr>
      </w:pPr>
      <w:r>
        <w:rPr>
          <w:w w:val="95"/>
          <w:sz w:val="19"/>
        </w:rPr>
        <w:t xml:space="preserve">1u1wgJ qwbb1u82' 2guq' 1u2Gq2' JGgAG'2' 01 bGppJG'2" yqoJG'2cGur2 </w:t>
      </w:r>
      <w:r>
        <w:rPr>
          <w:sz w:val="19"/>
        </w:rPr>
        <w:t>nu'iiGL</w:t>
      </w:r>
      <w:r>
        <w:rPr>
          <w:spacing w:val="-17"/>
          <w:sz w:val="19"/>
        </w:rPr>
        <w:t xml:space="preserve"> </w:t>
      </w:r>
      <w:r>
        <w:rPr>
          <w:sz w:val="19"/>
        </w:rPr>
        <w:t>cp!JqLGu</w:t>
      </w:r>
      <w:r>
        <w:rPr>
          <w:spacing w:val="-12"/>
          <w:sz w:val="19"/>
        </w:rPr>
        <w:t xml:space="preserve"> </w:t>
      </w:r>
      <w:r>
        <w:rPr>
          <w:sz w:val="19"/>
        </w:rPr>
        <w:t>r1b1rn111</w:t>
      </w:r>
      <w:r>
        <w:rPr>
          <w:spacing w:val="-27"/>
          <w:sz w:val="19"/>
        </w:rPr>
        <w:t xml:space="preserve"> </w:t>
      </w:r>
      <w:r>
        <w:rPr>
          <w:sz w:val="19"/>
        </w:rPr>
        <w:t>Ggr</w:t>
      </w:r>
      <w:r>
        <w:rPr>
          <w:spacing w:val="-15"/>
          <w:sz w:val="19"/>
        </w:rPr>
        <w:t xml:space="preserve"> </w:t>
      </w:r>
      <w:r>
        <w:rPr>
          <w:sz w:val="19"/>
        </w:rPr>
        <w:t>bg1ur'</w:t>
      </w:r>
      <w:r>
        <w:rPr>
          <w:spacing w:val="-13"/>
          <w:sz w:val="19"/>
        </w:rPr>
        <w:t xml:space="preserve"> </w:t>
      </w:r>
      <w:r>
        <w:rPr>
          <w:sz w:val="19"/>
        </w:rPr>
        <w:t>b1g2rGL'</w:t>
      </w:r>
      <w:r>
        <w:rPr>
          <w:spacing w:val="-11"/>
          <w:sz w:val="19"/>
        </w:rPr>
        <w:t xml:space="preserve"> </w:t>
      </w:r>
      <w:r>
        <w:rPr>
          <w:sz w:val="19"/>
        </w:rPr>
        <w:t>2rqu8'</w:t>
      </w:r>
      <w:r>
        <w:rPr>
          <w:spacing w:val="-10"/>
          <w:sz w:val="19"/>
        </w:rPr>
        <w:t xml:space="preserve"> </w:t>
      </w:r>
      <w:r>
        <w:rPr>
          <w:sz w:val="19"/>
        </w:rPr>
        <w:t>pg!L'</w:t>
      </w:r>
      <w:r>
        <w:rPr>
          <w:spacing w:val="-15"/>
          <w:sz w:val="19"/>
        </w:rPr>
        <w:t xml:space="preserve"> </w:t>
      </w:r>
      <w:r>
        <w:rPr>
          <w:sz w:val="19"/>
        </w:rPr>
        <w:t>m</w:t>
      </w:r>
      <w:r>
        <w:rPr>
          <w:spacing w:val="3"/>
          <w:sz w:val="19"/>
        </w:rPr>
        <w:t xml:space="preserve"> </w:t>
      </w:r>
      <w:r>
        <w:rPr>
          <w:sz w:val="19"/>
        </w:rPr>
        <w:t xml:space="preserve">qorp· rrp (cqrGqou </w:t>
      </w:r>
      <w:r>
        <w:rPr>
          <w:rFonts w:ascii="Arial" w:hAnsi="Arial"/>
          <w:sz w:val="17"/>
        </w:rPr>
        <w:t xml:space="preserve">v)" </w:t>
      </w:r>
      <w:r>
        <w:rPr>
          <w:sz w:val="19"/>
        </w:rPr>
        <w:t>.LPG r1b1rn1 2np2rgucG 1u'iiG2rGq rGuq2 ro</w:t>
      </w:r>
      <w:r>
        <w:rPr>
          <w:spacing w:val="-4"/>
          <w:sz w:val="19"/>
        </w:rPr>
        <w:t xml:space="preserve"> </w:t>
      </w:r>
      <w:r>
        <w:rPr>
          <w:sz w:val="19"/>
        </w:rPr>
        <w:t>Agu</w:t>
      </w:r>
    </w:p>
    <w:p w:rsidR="00E675F0" w:rsidRDefault="00E675F0" w:rsidP="00E675F0">
      <w:pPr>
        <w:spacing w:before="32" w:line="266" w:lineRule="auto"/>
        <w:ind w:left="115" w:right="8" w:firstLine="1"/>
        <w:rPr>
          <w:sz w:val="19"/>
        </w:rPr>
      </w:pPr>
      <w:r>
        <w:br w:type="column"/>
      </w:r>
      <w:r>
        <w:rPr>
          <w:w w:val="90"/>
          <w:sz w:val="19"/>
        </w:rPr>
        <w:t xml:space="preserve">OJ9Gl CP!I9LGU rug.I\. Ggr </w:t>
      </w:r>
      <w:r>
        <w:rPr>
          <w:sz w:val="19"/>
        </w:rPr>
        <w:t xml:space="preserve">MJrp g\'iG· IUlgur2 guq k bGqoq ol sr JGs2r </w:t>
      </w:r>
      <w:r>
        <w:rPr>
          <w:rFonts w:ascii="Arial" w:hAnsi="Arial"/>
          <w:sz w:val="17"/>
        </w:rPr>
        <w:t xml:space="preserve">J </w:t>
      </w:r>
      <w:r>
        <w:rPr>
          <w:sz w:val="19"/>
        </w:rPr>
        <w:t>wm</w:t>
      </w:r>
    </w:p>
    <w:p w:rsidR="00E675F0" w:rsidRDefault="00E675F0" w:rsidP="00E675F0">
      <w:pPr>
        <w:spacing w:line="266" w:lineRule="auto"/>
        <w:rPr>
          <w:sz w:val="19"/>
        </w:rPr>
        <w:sectPr w:rsidR="00E675F0">
          <w:type w:val="continuous"/>
          <w:pgSz w:w="8960" w:h="14260"/>
          <w:pgMar w:top="640" w:right="0" w:bottom="0" w:left="240" w:header="720" w:footer="720" w:gutter="0"/>
          <w:cols w:num="2" w:space="720" w:equalWidth="0">
            <w:col w:w="5576" w:space="981"/>
            <w:col w:w="2163"/>
          </w:cols>
        </w:sectPr>
      </w:pPr>
    </w:p>
    <w:p w:rsidR="00E675F0" w:rsidRDefault="00E675F0" w:rsidP="00E675F0">
      <w:pPr>
        <w:tabs>
          <w:tab w:val="left" w:pos="6656"/>
        </w:tabs>
        <w:spacing w:line="221" w:lineRule="exact"/>
        <w:ind w:left="215" w:right="-44"/>
        <w:rPr>
          <w:sz w:val="19"/>
        </w:rPr>
      </w:pPr>
      <w:r>
        <w:rPr>
          <w:noProof/>
        </w:rPr>
        <w:drawing>
          <wp:anchor distT="0" distB="0" distL="0" distR="0" simplePos="0" relativeHeight="251688960" behindDoc="0" locked="0" layoutInCell="1" allowOverlap="1" wp14:anchorId="2305B0F9" wp14:editId="2C63180D">
            <wp:simplePos x="0" y="0"/>
            <wp:positionH relativeFrom="page">
              <wp:posOffset>4379062</wp:posOffset>
            </wp:positionH>
            <wp:positionV relativeFrom="paragraph">
              <wp:posOffset>267141</wp:posOffset>
            </wp:positionV>
            <wp:extent cx="1308505" cy="137353"/>
            <wp:effectExtent l="0" t="0" r="0" b="0"/>
            <wp:wrapNone/>
            <wp:docPr id="3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4.png"/>
                    <pic:cNvPicPr/>
                  </pic:nvPicPr>
                  <pic:blipFill>
                    <a:blip r:embed="rId112" cstate="print"/>
                    <a:stretch>
                      <a:fillRect/>
                    </a:stretch>
                  </pic:blipFill>
                  <pic:spPr>
                    <a:xfrm>
                      <a:off x="0" y="0"/>
                      <a:ext cx="1308505" cy="137353"/>
                    </a:xfrm>
                    <a:prstGeom prst="rect">
                      <a:avLst/>
                    </a:prstGeom>
                  </pic:spPr>
                </pic:pic>
              </a:graphicData>
            </a:graphic>
          </wp:anchor>
        </w:drawing>
      </w:r>
      <w:r>
        <w:rPr>
          <w:position w:val="1"/>
          <w:sz w:val="19"/>
        </w:rPr>
        <w:t>b!Gf</w:t>
      </w:r>
      <w:r>
        <w:rPr>
          <w:spacing w:val="-7"/>
          <w:position w:val="1"/>
          <w:sz w:val="19"/>
        </w:rPr>
        <w:t xml:space="preserve"> </w:t>
      </w:r>
      <w:r>
        <w:rPr>
          <w:position w:val="1"/>
          <w:sz w:val="19"/>
        </w:rPr>
        <w:t>12</w:t>
      </w:r>
      <w:r>
        <w:rPr>
          <w:spacing w:val="-7"/>
          <w:position w:val="1"/>
          <w:sz w:val="19"/>
        </w:rPr>
        <w:t xml:space="preserve"> </w:t>
      </w:r>
      <w:r>
        <w:rPr>
          <w:position w:val="1"/>
          <w:sz w:val="19"/>
        </w:rPr>
        <w:t>rpG</w:t>
      </w:r>
      <w:r>
        <w:rPr>
          <w:spacing w:val="-6"/>
          <w:position w:val="1"/>
          <w:sz w:val="19"/>
        </w:rPr>
        <w:t xml:space="preserve"> </w:t>
      </w:r>
      <w:r>
        <w:rPr>
          <w:position w:val="1"/>
          <w:sz w:val="19"/>
        </w:rPr>
        <w:t>bGt212rGur</w:t>
      </w:r>
      <w:r>
        <w:rPr>
          <w:spacing w:val="-3"/>
          <w:position w:val="1"/>
          <w:sz w:val="19"/>
        </w:rPr>
        <w:t xml:space="preserve"> </w:t>
      </w:r>
      <w:r>
        <w:rPr>
          <w:position w:val="1"/>
          <w:sz w:val="19"/>
        </w:rPr>
        <w:t>Ggqu'ii</w:t>
      </w:r>
      <w:r>
        <w:rPr>
          <w:spacing w:val="-9"/>
          <w:position w:val="1"/>
          <w:sz w:val="19"/>
        </w:rPr>
        <w:t xml:space="preserve"> </w:t>
      </w:r>
      <w:r>
        <w:rPr>
          <w:position w:val="1"/>
          <w:sz w:val="19"/>
        </w:rPr>
        <w:t>Ol</w:t>
      </w:r>
      <w:r>
        <w:rPr>
          <w:spacing w:val="-14"/>
          <w:position w:val="1"/>
          <w:sz w:val="19"/>
        </w:rPr>
        <w:t xml:space="preserve"> </w:t>
      </w:r>
      <w:r>
        <w:rPr>
          <w:position w:val="1"/>
          <w:sz w:val="19"/>
        </w:rPr>
        <w:t>uouunrL!f!AG</w:t>
      </w:r>
      <w:r>
        <w:rPr>
          <w:spacing w:val="2"/>
          <w:position w:val="1"/>
          <w:sz w:val="19"/>
        </w:rPr>
        <w:t xml:space="preserve"> </w:t>
      </w:r>
      <w:r>
        <w:rPr>
          <w:position w:val="1"/>
          <w:sz w:val="19"/>
        </w:rPr>
        <w:t>2np2rgucG2</w:t>
      </w:r>
      <w:r>
        <w:rPr>
          <w:spacing w:val="-6"/>
          <w:position w:val="1"/>
          <w:sz w:val="19"/>
        </w:rPr>
        <w:t xml:space="preserve"> </w:t>
      </w:r>
      <w:r>
        <w:rPr>
          <w:position w:val="1"/>
          <w:sz w:val="19"/>
        </w:rPr>
        <w:t>lOL</w:t>
      </w:r>
      <w:r>
        <w:rPr>
          <w:spacing w:val="-13"/>
          <w:position w:val="1"/>
          <w:sz w:val="19"/>
        </w:rPr>
        <w:t xml:space="preserve"> </w:t>
      </w:r>
      <w:r>
        <w:rPr>
          <w:position w:val="1"/>
          <w:sz w:val="19"/>
        </w:rPr>
        <w:t>g</w:t>
      </w:r>
      <w:r>
        <w:rPr>
          <w:position w:val="1"/>
          <w:sz w:val="19"/>
        </w:rPr>
        <w:tab/>
      </w:r>
      <w:r>
        <w:rPr>
          <w:w w:val="90"/>
          <w:sz w:val="19"/>
        </w:rPr>
        <w:t>.LPG G'2'2GUf!gl lGsrmG</w:t>
      </w:r>
      <w:r>
        <w:rPr>
          <w:spacing w:val="-7"/>
          <w:w w:val="90"/>
          <w:sz w:val="19"/>
        </w:rPr>
        <w:t xml:space="preserve"> </w:t>
      </w:r>
      <w:r>
        <w:rPr>
          <w:w w:val="90"/>
          <w:sz w:val="19"/>
        </w:rPr>
        <w:t>O{</w:t>
      </w:r>
    </w:p>
    <w:p w:rsidR="00E675F0" w:rsidRDefault="00E675F0" w:rsidP="00E675F0">
      <w:pPr>
        <w:pStyle w:val="BodyText"/>
        <w:rPr>
          <w:sz w:val="22"/>
        </w:rPr>
      </w:pPr>
    </w:p>
    <w:p w:rsidR="00E675F0" w:rsidRDefault="00E675F0" w:rsidP="00E675F0">
      <w:pPr>
        <w:pStyle w:val="BodyText"/>
        <w:rPr>
          <w:sz w:val="22"/>
        </w:rPr>
      </w:pPr>
    </w:p>
    <w:p w:rsidR="00E675F0" w:rsidRDefault="00E675F0" w:rsidP="00E675F0">
      <w:pPr>
        <w:pStyle w:val="BodyText"/>
        <w:rPr>
          <w:sz w:val="27"/>
        </w:rPr>
      </w:pPr>
    </w:p>
    <w:p w:rsidR="00E675F0" w:rsidRDefault="00E675F0" w:rsidP="00E675F0">
      <w:pPr>
        <w:tabs>
          <w:tab w:val="left" w:pos="2055"/>
        </w:tabs>
        <w:ind w:left="984"/>
        <w:rPr>
          <w:rFonts w:ascii="Arial"/>
          <w:b/>
          <w:sz w:val="24"/>
        </w:rPr>
      </w:pPr>
      <w:r>
        <w:rPr>
          <w:noProof/>
        </w:rPr>
        <mc:AlternateContent>
          <mc:Choice Requires="wps">
            <w:drawing>
              <wp:anchor distT="0" distB="0" distL="114300" distR="114300" simplePos="0" relativeHeight="251689984" behindDoc="0" locked="0" layoutInCell="1" allowOverlap="1" wp14:anchorId="709E6B29" wp14:editId="0881E5D4">
                <wp:simplePos x="0" y="0"/>
                <wp:positionH relativeFrom="page">
                  <wp:posOffset>4382135</wp:posOffset>
                </wp:positionH>
                <wp:positionV relativeFrom="paragraph">
                  <wp:posOffset>556895</wp:posOffset>
                </wp:positionV>
                <wp:extent cx="1305560" cy="6350"/>
                <wp:effectExtent l="0" t="0" r="0" b="0"/>
                <wp:wrapNone/>
                <wp:docPr id="1533" name="Rectangle 1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55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F26304" id="Rectangle 1489" o:spid="_x0000_s1026" style="position:absolute;margin-left:345.05pt;margin-top:43.85pt;width:102.8pt;height:.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" fillcolor="black" stroked="f">
                <v:path arrowok="t"/>
                <w10:wrap anchorx="page"/>
              </v:rect>
            </w:pict>
          </mc:Fallback>
        </mc:AlternateContent>
      </w:r>
      <w:r>
        <w:rPr>
          <w:b/>
          <w:w w:val="120"/>
          <w:sz w:val="27"/>
        </w:rPr>
        <w:t>30.!.</w:t>
      </w:r>
      <w:r>
        <w:rPr>
          <w:b/>
          <w:spacing w:val="27"/>
          <w:w w:val="120"/>
          <w:sz w:val="27"/>
        </w:rPr>
        <w:t xml:space="preserve"> </w:t>
      </w:r>
      <w:r>
        <w:rPr>
          <w:b/>
          <w:w w:val="120"/>
          <w:sz w:val="27"/>
        </w:rPr>
        <w:t>l</w:t>
      </w:r>
      <w:r>
        <w:rPr>
          <w:b/>
          <w:w w:val="120"/>
          <w:sz w:val="27"/>
        </w:rPr>
        <w:tab/>
      </w:r>
      <w:r>
        <w:rPr>
          <w:rFonts w:ascii="Arial"/>
          <w:b/>
          <w:w w:val="120"/>
          <w:sz w:val="24"/>
        </w:rPr>
        <w:t>bfC9</w:t>
      </w:r>
    </w:p>
    <w:p w:rsidR="00E675F0" w:rsidRDefault="00E675F0" w:rsidP="00E675F0">
      <w:pPr>
        <w:pStyle w:val="BodyText"/>
        <w:rPr>
          <w:rFonts w:ascii="Arial"/>
          <w:b/>
        </w:rPr>
      </w:pPr>
    </w:p>
    <w:p w:rsidR="00E675F0" w:rsidRDefault="00E675F0" w:rsidP="00E675F0">
      <w:pPr>
        <w:pStyle w:val="BodyText"/>
        <w:spacing w:before="5"/>
        <w:rPr>
          <w:rFonts w:ascii="Arial"/>
          <w:b/>
          <w:sz w:val="25"/>
        </w:rPr>
      </w:pPr>
      <w:r>
        <w:rPr>
          <w:noProof/>
        </w:rPr>
        <mc:AlternateContent>
          <mc:Choice Requires="wps">
            <w:drawing>
              <wp:anchor distT="0" distB="0" distL="0" distR="0" simplePos="0" relativeHeight="251849728" behindDoc="1" locked="0" layoutInCell="1" allowOverlap="1" wp14:anchorId="7A5AB913" wp14:editId="057AFD8D">
                <wp:simplePos x="0" y="0"/>
                <wp:positionH relativeFrom="page">
                  <wp:posOffset>240030</wp:posOffset>
                </wp:positionH>
                <wp:positionV relativeFrom="paragraph">
                  <wp:posOffset>213995</wp:posOffset>
                </wp:positionV>
                <wp:extent cx="3434080" cy="1270"/>
                <wp:effectExtent l="0" t="0" r="0" b="0"/>
                <wp:wrapTopAndBottom/>
                <wp:docPr id="1532" name="Freeform 1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34080" cy="1270"/>
                        </a:xfrm>
                        <a:custGeom>
                          <a:avLst/>
                          <a:gdLst>
                            <a:gd name="T0" fmla="+- 0 378 378"/>
                            <a:gd name="T1" fmla="*/ T0 w 5408"/>
                            <a:gd name="T2" fmla="+- 0 5785 378"/>
                            <a:gd name="T3" fmla="*/ T2 w 5408"/>
                          </a:gdLst>
                          <a:ahLst/>
                          <a:cxnLst>
                            <a:cxn ang="0">
                              <a:pos x="T1" y="0"/>
                            </a:cxn>
                            <a:cxn ang="0">
                              <a:pos x="T3" y="0"/>
                            </a:cxn>
                          </a:cxnLst>
                          <a:rect l="0" t="0" r="r" b="b"/>
                          <a:pathLst>
                            <a:path w="5408">
                              <a:moveTo>
                                <a:pt x="0" y="0"/>
                              </a:moveTo>
                              <a:lnTo>
                                <a:pt x="5407" y="0"/>
                              </a:lnTo>
                            </a:path>
                          </a:pathLst>
                        </a:custGeom>
                        <a:noFill/>
                        <a:ln w="6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E6053" id="Freeform 1488" o:spid="_x0000_s1026" style="position:absolute;margin-left:18.9pt;margin-top:16.85pt;width:270.4pt;height:.1pt;z-index:-251466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408,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" path="m,l5407,e" filled="f" strokeweight=".16958mm">
                <v:path arrowok="t" o:connecttype="custom" o:connectlocs="0,0;3433445,0" o:connectangles="0,0"/>
                <w10:wrap type="topAndBottom" anchorx="page"/>
              </v:shape>
            </w:pict>
          </mc:Fallback>
        </mc:AlternateContent>
      </w:r>
    </w:p>
    <w:p w:rsidR="00E675F0" w:rsidRDefault="00E675F0" w:rsidP="00E675F0">
      <w:pPr>
        <w:pStyle w:val="BodyText"/>
        <w:spacing w:before="4"/>
        <w:rPr>
          <w:rFonts w:ascii="Arial"/>
          <w:b/>
          <w:sz w:val="5"/>
        </w:rPr>
      </w:pPr>
    </w:p>
    <w:p w:rsidR="00E675F0" w:rsidRDefault="00E675F0" w:rsidP="00E675F0">
      <w:pPr>
        <w:pStyle w:val="BodyText"/>
        <w:spacing w:line="172" w:lineRule="exact"/>
        <w:ind w:left="3716"/>
        <w:rPr>
          <w:rFonts w:ascii="Arial"/>
          <w:sz w:val="17"/>
        </w:rPr>
      </w:pPr>
      <w:r>
        <w:rPr>
          <w:rFonts w:ascii="Arial"/>
          <w:noProof/>
          <w:position w:val="-2"/>
          <w:sz w:val="17"/>
        </w:rPr>
        <w:drawing>
          <wp:inline distT="0" distB="0" distL="0" distR="0" wp14:anchorId="5A5DB036" wp14:editId="573DE4FA">
            <wp:extent cx="1146995" cy="109728"/>
            <wp:effectExtent l="0" t="0" r="0" b="0"/>
            <wp:docPr id="3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5.png"/>
                    <pic:cNvPicPr/>
                  </pic:nvPicPr>
                  <pic:blipFill>
                    <a:blip r:embed="rId113" cstate="print"/>
                    <a:stretch>
                      <a:fillRect/>
                    </a:stretch>
                  </pic:blipFill>
                  <pic:spPr>
                    <a:xfrm>
                      <a:off x="0" y="0"/>
                      <a:ext cx="1146995" cy="109728"/>
                    </a:xfrm>
                    <a:prstGeom prst="rect">
                      <a:avLst/>
                    </a:prstGeom>
                  </pic:spPr>
                </pic:pic>
              </a:graphicData>
            </a:graphic>
          </wp:inline>
        </w:drawing>
      </w:r>
    </w:p>
    <w:p w:rsidR="00E675F0" w:rsidRDefault="00E675F0" w:rsidP="00E675F0">
      <w:pPr>
        <w:spacing w:line="172" w:lineRule="exact"/>
        <w:rPr>
          <w:rFonts w:ascii="Arial"/>
          <w:sz w:val="17"/>
        </w:rPr>
        <w:sectPr w:rsidR="00E675F0">
          <w:type w:val="continuous"/>
          <w:pgSz w:w="8960" w:h="14260"/>
          <w:pgMar w:top="640" w:right="0" w:bottom="0" w:left="240" w:header="720" w:footer="720" w:gutter="0"/>
          <w:cols w:space="720"/>
        </w:sectPr>
      </w:pPr>
    </w:p>
    <w:p w:rsidR="00E675F0" w:rsidRDefault="00E675F0" w:rsidP="00E675F0">
      <w:pPr>
        <w:spacing w:before="133"/>
        <w:ind w:left="117"/>
        <w:jc w:val="both"/>
        <w:rPr>
          <w:rFonts w:ascii="TimesNewRomanPS-BoldItalicMT"/>
          <w:b/>
          <w:i/>
          <w:sz w:val="24"/>
        </w:rPr>
      </w:pPr>
      <w:bookmarkStart w:id="60" w:name="_bookmark45"/>
      <w:bookmarkEnd w:id="60"/>
      <w:r>
        <w:rPr>
          <w:rFonts w:ascii="TimesNewRomanPS-BoldItalicMT"/>
          <w:b/>
          <w:i/>
          <w:w w:val="120"/>
          <w:sz w:val="24"/>
        </w:rPr>
        <w:lastRenderedPageBreak/>
        <w:t>lA.fferential magnosis</w:t>
      </w:r>
    </w:p>
    <w:p w:rsidR="00E675F0" w:rsidRDefault="00E675F0" w:rsidP="00E675F0">
      <w:pPr>
        <w:pStyle w:val="BodyText"/>
        <w:spacing w:before="127" w:line="254" w:lineRule="auto"/>
        <w:ind w:left="137" w:right="108" w:firstLine="4"/>
        <w:jc w:val="both"/>
      </w:pPr>
      <w:r>
        <w:rPr>
          <w:w w:val="105"/>
        </w:rPr>
        <w:t xml:space="preserve">Before approximately ages 18-24 months, mouthing and sometimes eating of nonnutri­ tive substances are relatively common and do not imply the presence of Pica. Pica is diagnosed only when the behavior is judged to be persistent (i.e., present for at least 1 month) and inappropriate given the individual's developmental level. Eating of non­ nutritive substances may occur during the course of other mental disorders (e.g., in a </w:t>
      </w:r>
      <w:r>
        <w:rPr>
          <w:b/>
          <w:w w:val="105"/>
        </w:rPr>
        <w:t xml:space="preserve">Pervasive Developmental Disorder, </w:t>
      </w:r>
      <w:r>
        <w:rPr>
          <w:b/>
          <w:w w:val="105"/>
          <w:sz w:val="19"/>
        </w:rPr>
        <w:t xml:space="preserve">in </w:t>
      </w:r>
      <w:r>
        <w:rPr>
          <w:b/>
          <w:w w:val="105"/>
        </w:rPr>
        <w:t xml:space="preserve">Schizophrenia </w:t>
      </w:r>
      <w:r>
        <w:rPr>
          <w:w w:val="105"/>
        </w:rPr>
        <w:t xml:space="preserve">as a result  of  delusional beliefs, and in </w:t>
      </w:r>
      <w:r>
        <w:rPr>
          <w:b/>
          <w:w w:val="105"/>
        </w:rPr>
        <w:t xml:space="preserve">Kleine-Levin syndrome). </w:t>
      </w:r>
      <w:r>
        <w:rPr>
          <w:w w:val="105"/>
        </w:rPr>
        <w:t xml:space="preserve">In such instances, an additional diagnosis of Pica should be given only if the eating behavior is sufficiently severe to warrant independent clinical attention. Pica can be distinguished from </w:t>
      </w:r>
      <w:r>
        <w:rPr>
          <w:b/>
          <w:w w:val="105"/>
        </w:rPr>
        <w:t xml:space="preserve">other eating disorders </w:t>
      </w:r>
      <w:r>
        <w:rPr>
          <w:w w:val="105"/>
        </w:rPr>
        <w:t>(e.g., Rumination Disorder, Feeding Disorder of Infancy or Early Childhood, Anorexia Nervosa, and Bulimia Nervosa) by the consumption of nonnutritive</w:t>
      </w:r>
      <w:r>
        <w:rPr>
          <w:spacing w:val="-9"/>
          <w:w w:val="105"/>
        </w:rPr>
        <w:t xml:space="preserve"> </w:t>
      </w:r>
      <w:r>
        <w:rPr>
          <w:w w:val="105"/>
        </w:rPr>
        <w:t>substances.</w:t>
      </w:r>
    </w:p>
    <w:p w:rsidR="00E675F0" w:rsidRDefault="00E675F0" w:rsidP="00E675F0">
      <w:pPr>
        <w:pStyle w:val="BodyText"/>
      </w:pPr>
    </w:p>
    <w:p w:rsidR="00E675F0" w:rsidRDefault="00E675F0" w:rsidP="00E675F0">
      <w:pPr>
        <w:pStyle w:val="BodyText"/>
      </w:pPr>
    </w:p>
    <w:p w:rsidR="00E675F0" w:rsidRDefault="00E675F0" w:rsidP="00E675F0">
      <w:pPr>
        <w:pStyle w:val="BodyText"/>
        <w:spacing w:before="6"/>
        <w:rPr>
          <w:sz w:val="24"/>
        </w:rPr>
      </w:pPr>
    </w:p>
    <w:tbl>
      <w:tblPr>
        <w:tblW w:w="0" w:type="auto"/>
        <w:tblInd w:w="2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341"/>
      </w:tblGrid>
      <w:tr w:rsidR="00E675F0" w:rsidTr="00A330E1">
        <w:trPr>
          <w:trHeight w:val="3764"/>
        </w:trPr>
        <w:tc>
          <w:tcPr>
            <w:tcW w:w="7341" w:type="dxa"/>
            <w:tcBorders>
              <w:left w:val="single" w:sz="24" w:space="0" w:color="000000"/>
              <w:bottom w:val="single" w:sz="24" w:space="0" w:color="000000"/>
              <w:right w:val="single" w:sz="24" w:space="0" w:color="000000"/>
            </w:tcBorders>
          </w:tcPr>
          <w:p w:rsidR="00E675F0" w:rsidRDefault="00E675F0" w:rsidP="003048D3">
            <w:pPr>
              <w:pStyle w:val="TableParagraph"/>
              <w:numPr>
                <w:ilvl w:val="0"/>
                <w:numId w:val="81"/>
              </w:numPr>
              <w:tabs>
                <w:tab w:val="left" w:pos="631"/>
              </w:tabs>
              <w:spacing w:before="57"/>
              <w:ind w:hanging="380"/>
              <w:rPr>
                <w:rFonts w:ascii="Arial" w:hAnsi="Arial"/>
                <w:b/>
                <w:sz w:val="24"/>
              </w:rPr>
            </w:pPr>
            <w:r>
              <w:rPr>
                <w:rFonts w:ascii="Arial" w:hAnsi="Arial"/>
                <w:b/>
                <w:w w:val="105"/>
                <w:sz w:val="24"/>
              </w:rPr>
              <w:t>Diagnostic criteria for 307.52</w:t>
            </w:r>
            <w:r>
              <w:rPr>
                <w:rFonts w:ascii="Arial" w:hAnsi="Arial"/>
                <w:b/>
                <w:spacing w:val="32"/>
                <w:w w:val="105"/>
                <w:sz w:val="24"/>
              </w:rPr>
              <w:t xml:space="preserve"> </w:t>
            </w:r>
            <w:r>
              <w:rPr>
                <w:rFonts w:ascii="Arial" w:hAnsi="Arial"/>
                <w:b/>
                <w:w w:val="105"/>
                <w:sz w:val="24"/>
              </w:rPr>
              <w:t>Pica</w:t>
            </w:r>
          </w:p>
          <w:p w:rsidR="00E675F0" w:rsidRDefault="00E675F0" w:rsidP="003048D3">
            <w:pPr>
              <w:pStyle w:val="TableParagraph"/>
              <w:numPr>
                <w:ilvl w:val="1"/>
                <w:numId w:val="81"/>
              </w:numPr>
              <w:tabs>
                <w:tab w:val="left" w:pos="963"/>
              </w:tabs>
              <w:spacing w:before="63" w:line="256" w:lineRule="auto"/>
              <w:ind w:left="956" w:right="226" w:hanging="301"/>
              <w:jc w:val="both"/>
              <w:rPr>
                <w:sz w:val="18"/>
              </w:rPr>
            </w:pPr>
            <w:r>
              <w:rPr>
                <w:w w:val="105"/>
                <w:sz w:val="20"/>
              </w:rPr>
              <w:t>Persistent eating of  nonnutritive  substances  for  a  period  of  at  least 1</w:t>
            </w:r>
            <w:r>
              <w:rPr>
                <w:spacing w:val="14"/>
                <w:w w:val="105"/>
                <w:sz w:val="20"/>
              </w:rPr>
              <w:t xml:space="preserve"> </w:t>
            </w:r>
            <w:r>
              <w:rPr>
                <w:w w:val="105"/>
                <w:sz w:val="20"/>
              </w:rPr>
              <w:t>month.</w:t>
            </w:r>
          </w:p>
          <w:p w:rsidR="00E675F0" w:rsidRDefault="00E675F0" w:rsidP="003048D3">
            <w:pPr>
              <w:pStyle w:val="TableParagraph"/>
              <w:numPr>
                <w:ilvl w:val="1"/>
                <w:numId w:val="81"/>
              </w:numPr>
              <w:tabs>
                <w:tab w:val="left" w:pos="960"/>
              </w:tabs>
              <w:spacing w:before="181" w:line="256" w:lineRule="auto"/>
              <w:ind w:left="964" w:right="234" w:hanging="305"/>
              <w:jc w:val="both"/>
              <w:rPr>
                <w:sz w:val="20"/>
              </w:rPr>
            </w:pPr>
            <w:r>
              <w:rPr>
                <w:w w:val="105"/>
                <w:sz w:val="20"/>
              </w:rPr>
              <w:t>The eating of nonnutritive substances is inappropriate to the develop­ mental</w:t>
            </w:r>
            <w:r>
              <w:rPr>
                <w:spacing w:val="14"/>
                <w:w w:val="105"/>
                <w:sz w:val="20"/>
              </w:rPr>
              <w:t xml:space="preserve"> </w:t>
            </w:r>
            <w:r>
              <w:rPr>
                <w:w w:val="105"/>
                <w:sz w:val="20"/>
              </w:rPr>
              <w:t>level.</w:t>
            </w:r>
          </w:p>
          <w:p w:rsidR="00E675F0" w:rsidRDefault="00E675F0" w:rsidP="003048D3">
            <w:pPr>
              <w:pStyle w:val="TableParagraph"/>
              <w:numPr>
                <w:ilvl w:val="1"/>
                <w:numId w:val="81"/>
              </w:numPr>
              <w:tabs>
                <w:tab w:val="left" w:pos="960"/>
              </w:tabs>
              <w:spacing w:before="176"/>
              <w:ind w:left="959" w:hanging="304"/>
              <w:rPr>
                <w:sz w:val="18"/>
              </w:rPr>
            </w:pPr>
            <w:r>
              <w:rPr>
                <w:w w:val="105"/>
                <w:sz w:val="20"/>
              </w:rPr>
              <w:t>The eating behavior is not part of a culturally sanctioned</w:t>
            </w:r>
            <w:r>
              <w:rPr>
                <w:spacing w:val="47"/>
                <w:w w:val="105"/>
                <w:sz w:val="20"/>
              </w:rPr>
              <w:t xml:space="preserve"> </w:t>
            </w:r>
            <w:r>
              <w:rPr>
                <w:w w:val="105"/>
                <w:sz w:val="20"/>
              </w:rPr>
              <w:t>practice.</w:t>
            </w:r>
          </w:p>
          <w:p w:rsidR="00E675F0" w:rsidRDefault="00E675F0" w:rsidP="00A330E1">
            <w:pPr>
              <w:pStyle w:val="TableParagraph"/>
              <w:spacing w:before="6"/>
              <w:rPr>
                <w:sz w:val="17"/>
              </w:rPr>
            </w:pPr>
          </w:p>
          <w:p w:rsidR="00E675F0" w:rsidRDefault="00E675F0" w:rsidP="003048D3">
            <w:pPr>
              <w:pStyle w:val="TableParagraph"/>
              <w:numPr>
                <w:ilvl w:val="1"/>
                <w:numId w:val="81"/>
              </w:numPr>
              <w:tabs>
                <w:tab w:val="left" w:pos="949"/>
              </w:tabs>
              <w:spacing w:before="1" w:line="249" w:lineRule="auto"/>
              <w:ind w:left="963" w:right="225" w:hanging="305"/>
              <w:jc w:val="both"/>
              <w:rPr>
                <w:sz w:val="20"/>
              </w:rPr>
            </w:pPr>
            <w:r>
              <w:rPr>
                <w:rFonts w:ascii="Arial"/>
                <w:w w:val="105"/>
                <w:sz w:val="19"/>
              </w:rPr>
              <w:t xml:space="preserve">If </w:t>
            </w:r>
            <w:r>
              <w:rPr>
                <w:w w:val="105"/>
                <w:sz w:val="20"/>
              </w:rPr>
              <w:t>the eating behavior occurs exclusively during the course of another mental disorder (e.g., Mental Retardation, Pervasive Developmental Disorder,</w:t>
            </w:r>
            <w:r>
              <w:rPr>
                <w:spacing w:val="-6"/>
                <w:w w:val="105"/>
                <w:sz w:val="20"/>
              </w:rPr>
              <w:t xml:space="preserve"> </w:t>
            </w:r>
            <w:r>
              <w:rPr>
                <w:w w:val="105"/>
                <w:sz w:val="20"/>
              </w:rPr>
              <w:t>Schizophrenia),</w:t>
            </w:r>
            <w:r>
              <w:rPr>
                <w:spacing w:val="-12"/>
                <w:w w:val="105"/>
                <w:sz w:val="20"/>
              </w:rPr>
              <w:t xml:space="preserve"> </w:t>
            </w:r>
            <w:r>
              <w:rPr>
                <w:w w:val="105"/>
                <w:sz w:val="20"/>
              </w:rPr>
              <w:t>it</w:t>
            </w:r>
            <w:r>
              <w:rPr>
                <w:spacing w:val="-18"/>
                <w:w w:val="105"/>
                <w:sz w:val="20"/>
              </w:rPr>
              <w:t xml:space="preserve"> </w:t>
            </w:r>
            <w:r>
              <w:rPr>
                <w:w w:val="105"/>
                <w:sz w:val="20"/>
              </w:rPr>
              <w:t>is</w:t>
            </w:r>
            <w:r>
              <w:rPr>
                <w:spacing w:val="-19"/>
                <w:w w:val="105"/>
                <w:sz w:val="20"/>
              </w:rPr>
              <w:t xml:space="preserve"> </w:t>
            </w:r>
            <w:r>
              <w:rPr>
                <w:w w:val="105"/>
                <w:sz w:val="20"/>
              </w:rPr>
              <w:t>sufficiently</w:t>
            </w:r>
            <w:r>
              <w:rPr>
                <w:spacing w:val="-7"/>
                <w:w w:val="105"/>
                <w:sz w:val="20"/>
              </w:rPr>
              <w:t xml:space="preserve"> </w:t>
            </w:r>
            <w:r>
              <w:rPr>
                <w:w w:val="105"/>
                <w:sz w:val="20"/>
              </w:rPr>
              <w:t>severe</w:t>
            </w:r>
            <w:r>
              <w:rPr>
                <w:spacing w:val="-10"/>
                <w:w w:val="105"/>
                <w:sz w:val="20"/>
              </w:rPr>
              <w:t xml:space="preserve"> </w:t>
            </w:r>
            <w:r>
              <w:rPr>
                <w:w w:val="105"/>
                <w:sz w:val="20"/>
              </w:rPr>
              <w:t>to</w:t>
            </w:r>
            <w:r>
              <w:rPr>
                <w:spacing w:val="-15"/>
                <w:w w:val="105"/>
                <w:sz w:val="20"/>
              </w:rPr>
              <w:t xml:space="preserve"> </w:t>
            </w:r>
            <w:r>
              <w:rPr>
                <w:w w:val="105"/>
                <w:sz w:val="20"/>
              </w:rPr>
              <w:t>warrant</w:t>
            </w:r>
            <w:r>
              <w:rPr>
                <w:spacing w:val="-2"/>
                <w:w w:val="105"/>
                <w:sz w:val="20"/>
              </w:rPr>
              <w:t xml:space="preserve"> </w:t>
            </w:r>
            <w:r>
              <w:rPr>
                <w:w w:val="105"/>
                <w:sz w:val="20"/>
              </w:rPr>
              <w:t>independent clinical</w:t>
            </w:r>
            <w:r>
              <w:rPr>
                <w:spacing w:val="11"/>
                <w:w w:val="105"/>
                <w:sz w:val="20"/>
              </w:rPr>
              <w:t xml:space="preserve"> </w:t>
            </w:r>
            <w:r>
              <w:rPr>
                <w:w w:val="105"/>
                <w:sz w:val="20"/>
              </w:rPr>
              <w:t>attention.</w:t>
            </w:r>
          </w:p>
        </w:tc>
      </w:tr>
    </w:tbl>
    <w:p w:rsidR="00E675F0" w:rsidRDefault="00E675F0" w:rsidP="00E675F0">
      <w:pPr>
        <w:pStyle w:val="BodyText"/>
      </w:pPr>
    </w:p>
    <w:p w:rsidR="00E675F0" w:rsidRDefault="00E675F0" w:rsidP="00E675F0">
      <w:pPr>
        <w:pStyle w:val="BodyText"/>
      </w:pPr>
    </w:p>
    <w:p w:rsidR="00E675F0" w:rsidRDefault="00E675F0" w:rsidP="00E675F0">
      <w:pPr>
        <w:pStyle w:val="BodyText"/>
        <w:spacing w:before="4"/>
        <w:rPr>
          <w:sz w:val="19"/>
        </w:rPr>
      </w:pPr>
    </w:p>
    <w:p w:rsidR="00E675F0" w:rsidRDefault="00E675F0" w:rsidP="003048D3">
      <w:pPr>
        <w:pStyle w:val="ListParagraph"/>
        <w:numPr>
          <w:ilvl w:val="1"/>
          <w:numId w:val="82"/>
        </w:numPr>
        <w:tabs>
          <w:tab w:val="left" w:pos="3104"/>
          <w:tab w:val="left" w:pos="3105"/>
        </w:tabs>
        <w:spacing w:before="92"/>
        <w:ind w:left="3104" w:hanging="1070"/>
        <w:jc w:val="left"/>
        <w:rPr>
          <w:rFonts w:ascii="Arial"/>
          <w:b/>
          <w:sz w:val="26"/>
        </w:rPr>
      </w:pPr>
      <w:r>
        <w:rPr>
          <w:rFonts w:ascii="Arial"/>
          <w:b/>
          <w:sz w:val="26"/>
        </w:rPr>
        <w:t>Rumination</w:t>
      </w:r>
      <w:r>
        <w:rPr>
          <w:rFonts w:ascii="Arial"/>
          <w:b/>
          <w:spacing w:val="10"/>
          <w:sz w:val="26"/>
        </w:rPr>
        <w:t xml:space="preserve"> </w:t>
      </w:r>
      <w:r>
        <w:rPr>
          <w:rFonts w:ascii="Arial"/>
          <w:b/>
          <w:sz w:val="26"/>
        </w:rPr>
        <w:t>Disorder</w:t>
      </w:r>
    </w:p>
    <w:p w:rsidR="00E675F0" w:rsidRDefault="00E675F0" w:rsidP="00E675F0">
      <w:pPr>
        <w:pStyle w:val="BodyText"/>
        <w:rPr>
          <w:rFonts w:ascii="Arial"/>
          <w:b/>
          <w:sz w:val="28"/>
        </w:rPr>
      </w:pPr>
    </w:p>
    <w:p w:rsidR="00E675F0" w:rsidRDefault="00E675F0" w:rsidP="00E675F0">
      <w:pPr>
        <w:ind w:left="118"/>
        <w:jc w:val="both"/>
        <w:rPr>
          <w:rFonts w:ascii="TimesNewRomanPS-BoldItalicMT"/>
          <w:b/>
          <w:i/>
          <w:sz w:val="24"/>
        </w:rPr>
      </w:pPr>
      <w:r>
        <w:rPr>
          <w:rFonts w:ascii="TimesNewRomanPS-BoldItalicMT"/>
          <w:b/>
          <w:i/>
          <w:w w:val="120"/>
          <w:sz w:val="24"/>
        </w:rPr>
        <w:t>magnostic Features</w:t>
      </w:r>
    </w:p>
    <w:p w:rsidR="00E675F0" w:rsidRDefault="00E675F0" w:rsidP="00E675F0">
      <w:pPr>
        <w:pStyle w:val="BodyText"/>
        <w:spacing w:before="141" w:line="254" w:lineRule="auto"/>
        <w:ind w:left="134" w:right="106"/>
        <w:jc w:val="both"/>
      </w:pPr>
      <w:r>
        <w:rPr>
          <w:w w:val="105"/>
        </w:rPr>
        <w:t xml:space="preserve">The essential feature of Rumination Disorder is the repeated regurgitation and rechewing of food that develops in an infant or child after a period of normal functioning and lasts for at least 1 month (Criterion A). Partially digested food is brought up into the mouth without apparent nausea, retching, disgust, or associated gastrointestinal disorder. The food is then either ejected from the mouth or, more frequently, chewed and reswallowed. The symptoms are not due to an associated gastrointestinal or other general medical condition (e.g., Sandifer's syndrome, esophageal reflux) (Criterion B) and do not occur exclusively during the course of Anorexia Nervosa or Bulimia Nervosa. </w:t>
      </w:r>
      <w:r>
        <w:rPr>
          <w:rFonts w:ascii="Arial"/>
          <w:w w:val="105"/>
          <w:sz w:val="19"/>
        </w:rPr>
        <w:t xml:space="preserve">If </w:t>
      </w:r>
      <w:r>
        <w:rPr>
          <w:w w:val="105"/>
        </w:rPr>
        <w:t>the symptoms occur exclusively during the course of Mental Retardation or a Pervasive Developmental Disorder, they must be sufficiently severe to warrant independent clinical attention</w:t>
      </w:r>
    </w:p>
    <w:p w:rsidR="00E675F0" w:rsidRDefault="00E675F0" w:rsidP="00E675F0">
      <w:pPr>
        <w:spacing w:line="254" w:lineRule="auto"/>
        <w:jc w:val="both"/>
        <w:sectPr w:rsidR="00E675F0">
          <w:pgSz w:w="8960" w:h="14260"/>
          <w:pgMar w:top="1400" w:right="620" w:bottom="280" w:left="600" w:header="688" w:footer="0" w:gutter="0"/>
          <w:cols w:space="720"/>
        </w:sectPr>
      </w:pPr>
    </w:p>
    <w:p w:rsidR="00E675F0" w:rsidRDefault="00E675F0" w:rsidP="00E675F0">
      <w:pPr>
        <w:pStyle w:val="BodyText"/>
        <w:spacing w:before="119" w:line="254" w:lineRule="auto"/>
        <w:ind w:left="147" w:right="103" w:hanging="2"/>
        <w:jc w:val="both"/>
      </w:pPr>
      <w:r>
        <w:rPr>
          <w:w w:val="105"/>
        </w:rPr>
        <w:lastRenderedPageBreak/>
        <w:t>(Criterion C). The disorder is most commonly observed in infants but may be seen in older individuals, particularly those who also have Mental Retardation. Infants with the disorder display a characteristic position of straining and arching the back with the head held back, make sucking movements with their tongues, and give the impression of gaining satisfaction from the activity.</w:t>
      </w:r>
    </w:p>
    <w:p w:rsidR="00E675F0" w:rsidRDefault="00E675F0" w:rsidP="00E675F0">
      <w:pPr>
        <w:pStyle w:val="BodyText"/>
        <w:rPr>
          <w:sz w:val="22"/>
        </w:rPr>
      </w:pPr>
    </w:p>
    <w:p w:rsidR="00E675F0" w:rsidRDefault="00E675F0" w:rsidP="00E675F0">
      <w:pPr>
        <w:pStyle w:val="BodyText"/>
        <w:spacing w:before="4"/>
        <w:rPr>
          <w:sz w:val="18"/>
        </w:rPr>
      </w:pPr>
    </w:p>
    <w:p w:rsidR="00E675F0" w:rsidRDefault="00E675F0" w:rsidP="00E675F0">
      <w:pPr>
        <w:ind w:left="129"/>
        <w:rPr>
          <w:rFonts w:ascii="TimesNewRomanPS-BoldItalicMT"/>
          <w:b/>
          <w:i/>
          <w:sz w:val="24"/>
        </w:rPr>
      </w:pPr>
      <w:r>
        <w:rPr>
          <w:rFonts w:ascii="TimesNewRomanPS-BoldItalicMT"/>
          <w:b/>
          <w:i/>
          <w:w w:val="115"/>
          <w:sz w:val="24"/>
        </w:rPr>
        <w:t>Associated Features and Disorders</w:t>
      </w:r>
    </w:p>
    <w:p w:rsidR="00E675F0" w:rsidRDefault="00E675F0" w:rsidP="00E675F0">
      <w:pPr>
        <w:pStyle w:val="BodyText"/>
        <w:spacing w:before="166" w:line="254" w:lineRule="auto"/>
        <w:ind w:left="142" w:right="113" w:firstLine="6"/>
        <w:jc w:val="both"/>
      </w:pPr>
      <w:r>
        <w:rPr>
          <w:w w:val="110"/>
        </w:rPr>
        <w:t>Infants with Rumination Disorder are generally irritable and hungry between episodes of regurgitation. Although the infant is apparently hungry and ingests large amounts of food, malnutrition may occur because regurgitation immediately follows the feedings. Weight loss, failure to make expected weight gains, and even death  can result (with mortality rates as high as 25% reported). Malnutrition appears to be less</w:t>
      </w:r>
      <w:r>
        <w:rPr>
          <w:spacing w:val="-17"/>
          <w:w w:val="110"/>
        </w:rPr>
        <w:t xml:space="preserve"> </w:t>
      </w:r>
      <w:r>
        <w:rPr>
          <w:w w:val="110"/>
        </w:rPr>
        <w:t>likely</w:t>
      </w:r>
      <w:r>
        <w:rPr>
          <w:spacing w:val="-6"/>
          <w:w w:val="110"/>
        </w:rPr>
        <w:t xml:space="preserve"> </w:t>
      </w:r>
      <w:r>
        <w:rPr>
          <w:w w:val="110"/>
        </w:rPr>
        <w:t>in</w:t>
      </w:r>
      <w:r>
        <w:rPr>
          <w:spacing w:val="-9"/>
          <w:w w:val="110"/>
        </w:rPr>
        <w:t xml:space="preserve"> </w:t>
      </w:r>
      <w:r>
        <w:rPr>
          <w:w w:val="110"/>
        </w:rPr>
        <w:t>older</w:t>
      </w:r>
      <w:r>
        <w:rPr>
          <w:spacing w:val="-13"/>
          <w:w w:val="110"/>
        </w:rPr>
        <w:t xml:space="preserve"> </w:t>
      </w:r>
      <w:r>
        <w:rPr>
          <w:w w:val="110"/>
        </w:rPr>
        <w:t>children</w:t>
      </w:r>
      <w:r>
        <w:rPr>
          <w:spacing w:val="-1"/>
          <w:w w:val="110"/>
        </w:rPr>
        <w:t xml:space="preserve"> </w:t>
      </w:r>
      <w:r>
        <w:rPr>
          <w:w w:val="110"/>
        </w:rPr>
        <w:t>and</w:t>
      </w:r>
      <w:r>
        <w:rPr>
          <w:spacing w:val="-1"/>
          <w:w w:val="110"/>
        </w:rPr>
        <w:t xml:space="preserve"> </w:t>
      </w:r>
      <w:r>
        <w:rPr>
          <w:w w:val="110"/>
        </w:rPr>
        <w:t>adults</w:t>
      </w:r>
      <w:r>
        <w:rPr>
          <w:spacing w:val="-14"/>
          <w:w w:val="110"/>
        </w:rPr>
        <w:t xml:space="preserve"> </w:t>
      </w:r>
      <w:r>
        <w:rPr>
          <w:w w:val="110"/>
        </w:rPr>
        <w:t>in</w:t>
      </w:r>
      <w:r>
        <w:rPr>
          <w:spacing w:val="-12"/>
          <w:w w:val="110"/>
        </w:rPr>
        <w:t xml:space="preserve"> </w:t>
      </w:r>
      <w:r>
        <w:rPr>
          <w:w w:val="110"/>
        </w:rPr>
        <w:t>whom</w:t>
      </w:r>
      <w:r>
        <w:rPr>
          <w:spacing w:val="-2"/>
          <w:w w:val="110"/>
        </w:rPr>
        <w:t xml:space="preserve"> </w:t>
      </w:r>
      <w:r>
        <w:rPr>
          <w:w w:val="110"/>
        </w:rPr>
        <w:t>the</w:t>
      </w:r>
      <w:r>
        <w:rPr>
          <w:spacing w:val="-17"/>
          <w:w w:val="110"/>
        </w:rPr>
        <w:t xml:space="preserve"> </w:t>
      </w:r>
      <w:r>
        <w:rPr>
          <w:w w:val="110"/>
        </w:rPr>
        <w:t>disorder</w:t>
      </w:r>
      <w:r>
        <w:rPr>
          <w:spacing w:val="-5"/>
          <w:w w:val="110"/>
        </w:rPr>
        <w:t xml:space="preserve"> </w:t>
      </w:r>
      <w:r>
        <w:rPr>
          <w:w w:val="110"/>
        </w:rPr>
        <w:t>may</w:t>
      </w:r>
      <w:r>
        <w:rPr>
          <w:spacing w:val="-10"/>
          <w:w w:val="110"/>
        </w:rPr>
        <w:t xml:space="preserve"> </w:t>
      </w:r>
      <w:r>
        <w:rPr>
          <w:w w:val="110"/>
        </w:rPr>
        <w:t>be</w:t>
      </w:r>
      <w:r>
        <w:rPr>
          <w:spacing w:val="-8"/>
          <w:w w:val="110"/>
        </w:rPr>
        <w:t xml:space="preserve"> </w:t>
      </w:r>
      <w:r>
        <w:rPr>
          <w:w w:val="110"/>
        </w:rPr>
        <w:t>either</w:t>
      </w:r>
      <w:r>
        <w:rPr>
          <w:spacing w:val="-13"/>
          <w:w w:val="110"/>
        </w:rPr>
        <w:t xml:space="preserve"> </w:t>
      </w:r>
      <w:r>
        <w:rPr>
          <w:w w:val="110"/>
        </w:rPr>
        <w:t>continuous or episodic. Psychosocial problems such as lack of stimulation, neglect, stressful life situations, and problems in the parent-child relationship may be predisposing</w:t>
      </w:r>
      <w:r>
        <w:rPr>
          <w:spacing w:val="-38"/>
          <w:w w:val="110"/>
        </w:rPr>
        <w:t xml:space="preserve"> </w:t>
      </w:r>
      <w:r>
        <w:rPr>
          <w:w w:val="110"/>
        </w:rPr>
        <w:t>factors. Understimulation of the infant may result if the caregiver becomes discouraged and alienated because of the unsuccessful feeding experiences  or the noxious odor of  the regurgitated material. In some instances, Feeding Disorder of Infancy or Early Childhood may also develop. In older children and adults, Mental Retardation is a predisposing</w:t>
      </w:r>
      <w:r>
        <w:rPr>
          <w:spacing w:val="25"/>
          <w:w w:val="110"/>
        </w:rPr>
        <w:t xml:space="preserve"> </w:t>
      </w:r>
      <w:r>
        <w:rPr>
          <w:w w:val="110"/>
        </w:rPr>
        <w:t>factor.</w:t>
      </w:r>
    </w:p>
    <w:p w:rsidR="00E675F0" w:rsidRDefault="00E675F0" w:rsidP="00E675F0">
      <w:pPr>
        <w:pStyle w:val="BodyText"/>
        <w:rPr>
          <w:sz w:val="22"/>
        </w:rPr>
      </w:pPr>
    </w:p>
    <w:p w:rsidR="00E675F0" w:rsidRDefault="00E675F0" w:rsidP="00E675F0">
      <w:pPr>
        <w:pStyle w:val="BodyText"/>
        <w:spacing w:before="5"/>
        <w:rPr>
          <w:sz w:val="18"/>
        </w:rPr>
      </w:pPr>
    </w:p>
    <w:p w:rsidR="00E675F0" w:rsidRDefault="00E675F0" w:rsidP="00E675F0">
      <w:pPr>
        <w:ind w:left="127"/>
        <w:rPr>
          <w:rFonts w:ascii="TimesNewRomanPS-BoldItalicMT"/>
          <w:b/>
          <w:i/>
          <w:sz w:val="24"/>
        </w:rPr>
      </w:pPr>
      <w:r>
        <w:rPr>
          <w:rFonts w:ascii="TimesNewRomanPS-BoldItalicMT"/>
          <w:b/>
          <w:i/>
          <w:w w:val="115"/>
          <w:sz w:val="24"/>
        </w:rPr>
        <w:t>Prevalence</w:t>
      </w:r>
    </w:p>
    <w:p w:rsidR="00E675F0" w:rsidRDefault="00E675F0" w:rsidP="00E675F0">
      <w:pPr>
        <w:pStyle w:val="BodyText"/>
        <w:spacing w:before="170" w:line="256" w:lineRule="auto"/>
        <w:ind w:left="143" w:right="120" w:firstLine="7"/>
        <w:jc w:val="both"/>
      </w:pPr>
      <w:r>
        <w:rPr>
          <w:w w:val="105"/>
        </w:rPr>
        <w:t xml:space="preserve">Rumination Disorder appears to be uncommon. </w:t>
      </w:r>
      <w:r>
        <w:rPr>
          <w:w w:val="105"/>
          <w:sz w:val="18"/>
        </w:rPr>
        <w:t xml:space="preserve">It  </w:t>
      </w:r>
      <w:r>
        <w:rPr>
          <w:w w:val="105"/>
        </w:rPr>
        <w:t>may occur more often in males than in</w:t>
      </w:r>
      <w:r>
        <w:rPr>
          <w:spacing w:val="-2"/>
          <w:w w:val="105"/>
        </w:rPr>
        <w:t xml:space="preserve"> </w:t>
      </w:r>
      <w:r>
        <w:rPr>
          <w:w w:val="105"/>
        </w:rPr>
        <w:t>females.</w:t>
      </w:r>
    </w:p>
    <w:p w:rsidR="00E675F0" w:rsidRDefault="00E675F0" w:rsidP="00E675F0">
      <w:pPr>
        <w:pStyle w:val="BodyText"/>
        <w:rPr>
          <w:sz w:val="22"/>
        </w:rPr>
      </w:pPr>
    </w:p>
    <w:p w:rsidR="00E675F0" w:rsidRDefault="00E675F0" w:rsidP="00E675F0">
      <w:pPr>
        <w:pStyle w:val="BodyText"/>
        <w:spacing w:before="6"/>
        <w:rPr>
          <w:sz w:val="18"/>
        </w:rPr>
      </w:pPr>
    </w:p>
    <w:p w:rsidR="00E675F0" w:rsidRDefault="00E675F0" w:rsidP="00E675F0">
      <w:pPr>
        <w:ind w:left="119"/>
        <w:rPr>
          <w:rFonts w:ascii="TimesNewRomanPS-BoldItalicMT"/>
          <w:b/>
          <w:i/>
          <w:sz w:val="24"/>
        </w:rPr>
      </w:pPr>
      <w:r>
        <w:rPr>
          <w:rFonts w:ascii="TimesNewRomanPS-BoldItalicMT"/>
          <w:b/>
          <w:i/>
          <w:w w:val="115"/>
          <w:sz w:val="24"/>
        </w:rPr>
        <w:t>Course</w:t>
      </w:r>
    </w:p>
    <w:p w:rsidR="00E675F0" w:rsidRDefault="00E675F0" w:rsidP="00E675F0">
      <w:pPr>
        <w:pStyle w:val="BodyText"/>
        <w:spacing w:before="151" w:line="252" w:lineRule="auto"/>
        <w:ind w:left="138" w:right="116"/>
        <w:jc w:val="both"/>
      </w:pPr>
      <w:r>
        <w:rPr>
          <w:w w:val="105"/>
        </w:rPr>
        <w:t xml:space="preserve">The onset of Rumination Disorder may occur in the context of developmental delays. The age at onset is between ages </w:t>
      </w:r>
      <w:r>
        <w:rPr>
          <w:rFonts w:ascii="Arial"/>
          <w:w w:val="105"/>
          <w:sz w:val="18"/>
        </w:rPr>
        <w:t xml:space="preserve">3 </w:t>
      </w:r>
      <w:r>
        <w:rPr>
          <w:w w:val="105"/>
        </w:rPr>
        <w:t xml:space="preserve">and </w:t>
      </w:r>
      <w:r>
        <w:rPr>
          <w:w w:val="105"/>
          <w:sz w:val="18"/>
        </w:rPr>
        <w:t xml:space="preserve">12 </w:t>
      </w:r>
      <w:r>
        <w:rPr>
          <w:w w:val="105"/>
        </w:rPr>
        <w:t>months, except in individuals with Mental Retardation in whom the disorder may occur at a somewhat later developmental stage. In infants, the disorder frequently remits spontaneously. In some severe cases, however, the course is</w:t>
      </w:r>
      <w:r>
        <w:rPr>
          <w:spacing w:val="-20"/>
          <w:w w:val="105"/>
        </w:rPr>
        <w:t xml:space="preserve"> </w:t>
      </w:r>
      <w:r>
        <w:rPr>
          <w:w w:val="105"/>
        </w:rPr>
        <w:t>continuous.</w:t>
      </w:r>
    </w:p>
    <w:p w:rsidR="00E675F0" w:rsidRDefault="00E675F0" w:rsidP="00E675F0">
      <w:pPr>
        <w:pStyle w:val="BodyText"/>
        <w:rPr>
          <w:sz w:val="22"/>
        </w:rPr>
      </w:pPr>
    </w:p>
    <w:p w:rsidR="00E675F0" w:rsidRDefault="00E675F0" w:rsidP="00E675F0">
      <w:pPr>
        <w:pStyle w:val="BodyText"/>
        <w:spacing w:before="11"/>
        <w:rPr>
          <w:sz w:val="18"/>
        </w:rPr>
      </w:pPr>
    </w:p>
    <w:p w:rsidR="00E675F0" w:rsidRDefault="00E675F0" w:rsidP="00E675F0">
      <w:pPr>
        <w:ind w:left="129"/>
        <w:rPr>
          <w:rFonts w:ascii="TimesNewRomanPS-BoldItalicMT"/>
          <w:b/>
          <w:i/>
          <w:sz w:val="24"/>
        </w:rPr>
      </w:pPr>
      <w:r>
        <w:rPr>
          <w:rFonts w:ascii="TimesNewRomanPS-BoldItalicMT"/>
          <w:b/>
          <w:i/>
          <w:w w:val="115"/>
          <w:sz w:val="24"/>
        </w:rPr>
        <w:t>Differential Diagnosis</w:t>
      </w:r>
    </w:p>
    <w:p w:rsidR="00E675F0" w:rsidRDefault="00E675F0" w:rsidP="00E675F0">
      <w:pPr>
        <w:pStyle w:val="BodyText"/>
        <w:spacing w:before="165" w:line="254" w:lineRule="auto"/>
        <w:ind w:left="137" w:right="113" w:firstLine="2"/>
        <w:jc w:val="both"/>
        <w:rPr>
          <w:b/>
        </w:rPr>
      </w:pPr>
      <w:r>
        <w:rPr>
          <w:w w:val="110"/>
        </w:rPr>
        <w:t>In</w:t>
      </w:r>
      <w:r>
        <w:rPr>
          <w:spacing w:val="-4"/>
          <w:w w:val="110"/>
        </w:rPr>
        <w:t xml:space="preserve"> </w:t>
      </w:r>
      <w:r>
        <w:rPr>
          <w:w w:val="110"/>
        </w:rPr>
        <w:t xml:space="preserve">infants, </w:t>
      </w:r>
      <w:r>
        <w:rPr>
          <w:b/>
          <w:w w:val="110"/>
        </w:rPr>
        <w:t>congenital</w:t>
      </w:r>
      <w:r>
        <w:rPr>
          <w:b/>
          <w:spacing w:val="-23"/>
          <w:w w:val="110"/>
        </w:rPr>
        <w:t xml:space="preserve"> </w:t>
      </w:r>
      <w:r>
        <w:rPr>
          <w:b/>
          <w:w w:val="110"/>
        </w:rPr>
        <w:t>anomalies</w:t>
      </w:r>
      <w:r>
        <w:rPr>
          <w:b/>
          <w:spacing w:val="-11"/>
          <w:w w:val="110"/>
        </w:rPr>
        <w:t xml:space="preserve"> </w:t>
      </w:r>
      <w:r>
        <w:rPr>
          <w:w w:val="110"/>
        </w:rPr>
        <w:t>(e.g.,</w:t>
      </w:r>
      <w:r>
        <w:rPr>
          <w:spacing w:val="2"/>
          <w:w w:val="110"/>
        </w:rPr>
        <w:t xml:space="preserve"> </w:t>
      </w:r>
      <w:r>
        <w:rPr>
          <w:w w:val="110"/>
        </w:rPr>
        <w:t>pyloric</w:t>
      </w:r>
      <w:r>
        <w:rPr>
          <w:spacing w:val="-9"/>
          <w:w w:val="110"/>
        </w:rPr>
        <w:t xml:space="preserve"> </w:t>
      </w:r>
      <w:r>
        <w:rPr>
          <w:w w:val="110"/>
        </w:rPr>
        <w:t>stenosis</w:t>
      </w:r>
      <w:r>
        <w:rPr>
          <w:spacing w:val="-4"/>
          <w:w w:val="110"/>
        </w:rPr>
        <w:t xml:space="preserve"> </w:t>
      </w:r>
      <w:r>
        <w:rPr>
          <w:w w:val="110"/>
        </w:rPr>
        <w:t>or</w:t>
      </w:r>
      <w:r>
        <w:rPr>
          <w:spacing w:val="-11"/>
          <w:w w:val="110"/>
        </w:rPr>
        <w:t xml:space="preserve"> </w:t>
      </w:r>
      <w:r>
        <w:rPr>
          <w:w w:val="110"/>
        </w:rPr>
        <w:t>gastroesophageal</w:t>
      </w:r>
      <w:r>
        <w:rPr>
          <w:spacing w:val="-14"/>
          <w:w w:val="110"/>
        </w:rPr>
        <w:t xml:space="preserve"> </w:t>
      </w:r>
      <w:r>
        <w:rPr>
          <w:w w:val="110"/>
        </w:rPr>
        <w:t>reflux)</w:t>
      </w:r>
      <w:r>
        <w:rPr>
          <w:spacing w:val="-6"/>
          <w:w w:val="110"/>
        </w:rPr>
        <w:t xml:space="preserve"> </w:t>
      </w:r>
      <w:r>
        <w:rPr>
          <w:w w:val="110"/>
        </w:rPr>
        <w:t xml:space="preserve">or </w:t>
      </w:r>
      <w:r>
        <w:rPr>
          <w:b/>
          <w:w w:val="110"/>
        </w:rPr>
        <w:t>other</w:t>
      </w:r>
      <w:r>
        <w:rPr>
          <w:b/>
          <w:spacing w:val="-27"/>
          <w:w w:val="110"/>
        </w:rPr>
        <w:t xml:space="preserve"> </w:t>
      </w:r>
      <w:r>
        <w:rPr>
          <w:b/>
          <w:w w:val="110"/>
        </w:rPr>
        <w:t>general</w:t>
      </w:r>
      <w:r>
        <w:rPr>
          <w:b/>
          <w:spacing w:val="-20"/>
          <w:w w:val="110"/>
        </w:rPr>
        <w:t xml:space="preserve"> </w:t>
      </w:r>
      <w:r>
        <w:rPr>
          <w:b/>
          <w:w w:val="110"/>
        </w:rPr>
        <w:t>medical</w:t>
      </w:r>
      <w:r>
        <w:rPr>
          <w:b/>
          <w:spacing w:val="-16"/>
          <w:w w:val="110"/>
        </w:rPr>
        <w:t xml:space="preserve"> </w:t>
      </w:r>
      <w:r>
        <w:rPr>
          <w:b/>
          <w:w w:val="110"/>
        </w:rPr>
        <w:t>conditions</w:t>
      </w:r>
      <w:r>
        <w:rPr>
          <w:b/>
          <w:spacing w:val="-6"/>
          <w:w w:val="110"/>
        </w:rPr>
        <w:t xml:space="preserve"> </w:t>
      </w:r>
      <w:r>
        <w:rPr>
          <w:w w:val="110"/>
        </w:rPr>
        <w:t>(e.g.,</w:t>
      </w:r>
      <w:r>
        <w:rPr>
          <w:spacing w:val="2"/>
          <w:w w:val="110"/>
        </w:rPr>
        <w:t xml:space="preserve"> </w:t>
      </w:r>
      <w:r>
        <w:rPr>
          <w:w w:val="110"/>
        </w:rPr>
        <w:t>infections of</w:t>
      </w:r>
      <w:r>
        <w:rPr>
          <w:spacing w:val="1"/>
          <w:w w:val="110"/>
        </w:rPr>
        <w:t xml:space="preserve"> </w:t>
      </w:r>
      <w:r>
        <w:rPr>
          <w:w w:val="110"/>
        </w:rPr>
        <w:t>the</w:t>
      </w:r>
      <w:r>
        <w:rPr>
          <w:spacing w:val="-9"/>
          <w:w w:val="110"/>
        </w:rPr>
        <w:t xml:space="preserve"> </w:t>
      </w:r>
      <w:r>
        <w:rPr>
          <w:w w:val="110"/>
        </w:rPr>
        <w:t>gastrointestinal</w:t>
      </w:r>
      <w:r>
        <w:rPr>
          <w:spacing w:val="-16"/>
          <w:w w:val="110"/>
        </w:rPr>
        <w:t xml:space="preserve"> </w:t>
      </w:r>
      <w:r>
        <w:rPr>
          <w:w w:val="110"/>
        </w:rPr>
        <w:t>system)</w:t>
      </w:r>
      <w:r>
        <w:rPr>
          <w:spacing w:val="-3"/>
          <w:w w:val="110"/>
        </w:rPr>
        <w:t xml:space="preserve"> </w:t>
      </w:r>
      <w:r>
        <w:rPr>
          <w:w w:val="110"/>
        </w:rPr>
        <w:t>can cause regurgitation of food and should be ruled out by appropriate physical</w:t>
      </w:r>
      <w:r>
        <w:rPr>
          <w:spacing w:val="-36"/>
          <w:w w:val="110"/>
        </w:rPr>
        <w:t xml:space="preserve"> </w:t>
      </w:r>
      <w:r>
        <w:rPr>
          <w:w w:val="110"/>
        </w:rPr>
        <w:t>examina­ tions</w:t>
      </w:r>
      <w:r>
        <w:rPr>
          <w:spacing w:val="-11"/>
          <w:w w:val="110"/>
        </w:rPr>
        <w:t xml:space="preserve"> </w:t>
      </w:r>
      <w:r>
        <w:rPr>
          <w:w w:val="110"/>
        </w:rPr>
        <w:t>and</w:t>
      </w:r>
      <w:r>
        <w:rPr>
          <w:spacing w:val="-10"/>
          <w:w w:val="110"/>
        </w:rPr>
        <w:t xml:space="preserve"> </w:t>
      </w:r>
      <w:r>
        <w:rPr>
          <w:w w:val="110"/>
        </w:rPr>
        <w:t>laboratory</w:t>
      </w:r>
      <w:r>
        <w:rPr>
          <w:spacing w:val="-2"/>
          <w:w w:val="110"/>
        </w:rPr>
        <w:t xml:space="preserve"> </w:t>
      </w:r>
      <w:r>
        <w:rPr>
          <w:w w:val="110"/>
        </w:rPr>
        <w:t>tests.</w:t>
      </w:r>
      <w:r>
        <w:rPr>
          <w:spacing w:val="-7"/>
          <w:w w:val="110"/>
        </w:rPr>
        <w:t xml:space="preserve"> </w:t>
      </w:r>
      <w:r>
        <w:rPr>
          <w:w w:val="110"/>
        </w:rPr>
        <w:t>Rumination</w:t>
      </w:r>
      <w:r>
        <w:rPr>
          <w:spacing w:val="-1"/>
          <w:w w:val="110"/>
        </w:rPr>
        <w:t xml:space="preserve"> </w:t>
      </w:r>
      <w:r>
        <w:rPr>
          <w:w w:val="110"/>
        </w:rPr>
        <w:t>can</w:t>
      </w:r>
      <w:r>
        <w:rPr>
          <w:spacing w:val="-12"/>
          <w:w w:val="110"/>
        </w:rPr>
        <w:t xml:space="preserve"> </w:t>
      </w:r>
      <w:r>
        <w:rPr>
          <w:w w:val="110"/>
        </w:rPr>
        <w:t>be</w:t>
      </w:r>
      <w:r>
        <w:rPr>
          <w:spacing w:val="-11"/>
          <w:w w:val="110"/>
        </w:rPr>
        <w:t xml:space="preserve"> </w:t>
      </w:r>
      <w:r>
        <w:rPr>
          <w:w w:val="110"/>
        </w:rPr>
        <w:t>distinguished</w:t>
      </w:r>
      <w:r>
        <w:rPr>
          <w:spacing w:val="1"/>
          <w:w w:val="110"/>
        </w:rPr>
        <w:t xml:space="preserve"> </w:t>
      </w:r>
      <w:r>
        <w:rPr>
          <w:w w:val="110"/>
        </w:rPr>
        <w:t>from</w:t>
      </w:r>
      <w:r>
        <w:rPr>
          <w:spacing w:val="-10"/>
          <w:w w:val="110"/>
        </w:rPr>
        <w:t xml:space="preserve"> </w:t>
      </w:r>
      <w:r>
        <w:rPr>
          <w:b/>
          <w:w w:val="110"/>
        </w:rPr>
        <w:t>normal</w:t>
      </w:r>
      <w:r>
        <w:rPr>
          <w:b/>
          <w:spacing w:val="-26"/>
          <w:w w:val="110"/>
        </w:rPr>
        <w:t xml:space="preserve"> </w:t>
      </w:r>
      <w:r>
        <w:rPr>
          <w:b/>
          <w:w w:val="110"/>
        </w:rPr>
        <w:t>vomiting</w:t>
      </w:r>
      <w:r>
        <w:rPr>
          <w:b/>
          <w:spacing w:val="-17"/>
          <w:w w:val="110"/>
        </w:rPr>
        <w:t xml:space="preserve"> </w:t>
      </w:r>
      <w:r>
        <w:rPr>
          <w:b/>
          <w:w w:val="110"/>
        </w:rPr>
        <w:t xml:space="preserve">of early infancy </w:t>
      </w:r>
      <w:r>
        <w:rPr>
          <w:w w:val="110"/>
        </w:rPr>
        <w:t>by the apparently voluntary nature of the rumination (e.g., observation of characteristic preparatory movements followed by regurgitation and sucking or chewing movements that appear to be pleasurable). Rumination Disorder is not diagnosed</w:t>
      </w:r>
      <w:r>
        <w:rPr>
          <w:spacing w:val="-4"/>
          <w:w w:val="110"/>
        </w:rPr>
        <w:t xml:space="preserve"> </w:t>
      </w:r>
      <w:r>
        <w:rPr>
          <w:w w:val="110"/>
        </w:rPr>
        <w:t>if</w:t>
      </w:r>
      <w:r>
        <w:rPr>
          <w:spacing w:val="-11"/>
          <w:w w:val="110"/>
        </w:rPr>
        <w:t xml:space="preserve"> </w:t>
      </w:r>
      <w:r>
        <w:rPr>
          <w:w w:val="110"/>
        </w:rPr>
        <w:t>the</w:t>
      </w:r>
      <w:r>
        <w:rPr>
          <w:spacing w:val="18"/>
          <w:w w:val="110"/>
        </w:rPr>
        <w:t xml:space="preserve"> </w:t>
      </w:r>
      <w:r>
        <w:rPr>
          <w:w w:val="110"/>
        </w:rPr>
        <w:t>symptoms</w:t>
      </w:r>
      <w:r>
        <w:rPr>
          <w:spacing w:val="-8"/>
          <w:w w:val="110"/>
        </w:rPr>
        <w:t xml:space="preserve"> </w:t>
      </w:r>
      <w:r>
        <w:rPr>
          <w:w w:val="110"/>
        </w:rPr>
        <w:t>occur</w:t>
      </w:r>
      <w:r>
        <w:rPr>
          <w:spacing w:val="-9"/>
          <w:w w:val="110"/>
        </w:rPr>
        <w:t xml:space="preserve"> </w:t>
      </w:r>
      <w:r>
        <w:rPr>
          <w:w w:val="110"/>
        </w:rPr>
        <w:t>exclusively</w:t>
      </w:r>
      <w:r>
        <w:rPr>
          <w:spacing w:val="-2"/>
          <w:w w:val="110"/>
        </w:rPr>
        <w:t xml:space="preserve"> </w:t>
      </w:r>
      <w:r>
        <w:rPr>
          <w:w w:val="110"/>
        </w:rPr>
        <w:t>during</w:t>
      </w:r>
      <w:r>
        <w:rPr>
          <w:spacing w:val="-9"/>
          <w:w w:val="110"/>
        </w:rPr>
        <w:t xml:space="preserve"> </w:t>
      </w:r>
      <w:r>
        <w:rPr>
          <w:w w:val="110"/>
        </w:rPr>
        <w:t>the</w:t>
      </w:r>
      <w:r>
        <w:rPr>
          <w:spacing w:val="-14"/>
          <w:w w:val="110"/>
        </w:rPr>
        <w:t xml:space="preserve"> </w:t>
      </w:r>
      <w:r>
        <w:rPr>
          <w:w w:val="110"/>
        </w:rPr>
        <w:t>course</w:t>
      </w:r>
      <w:r>
        <w:rPr>
          <w:spacing w:val="-9"/>
          <w:w w:val="110"/>
        </w:rPr>
        <w:t xml:space="preserve"> </w:t>
      </w:r>
      <w:r>
        <w:rPr>
          <w:w w:val="110"/>
        </w:rPr>
        <w:t>of</w:t>
      </w:r>
      <w:r>
        <w:rPr>
          <w:spacing w:val="-12"/>
          <w:w w:val="110"/>
        </w:rPr>
        <w:t xml:space="preserve"> </w:t>
      </w:r>
      <w:r>
        <w:rPr>
          <w:b/>
          <w:w w:val="110"/>
        </w:rPr>
        <w:t>Anorexia</w:t>
      </w:r>
      <w:r>
        <w:rPr>
          <w:b/>
          <w:spacing w:val="-19"/>
          <w:w w:val="110"/>
        </w:rPr>
        <w:t xml:space="preserve"> </w:t>
      </w:r>
      <w:r>
        <w:rPr>
          <w:b/>
          <w:w w:val="110"/>
        </w:rPr>
        <w:t xml:space="preserve">Nervosa </w:t>
      </w:r>
      <w:r>
        <w:rPr>
          <w:w w:val="110"/>
        </w:rPr>
        <w:t xml:space="preserve">or </w:t>
      </w:r>
      <w:r>
        <w:rPr>
          <w:b/>
          <w:w w:val="110"/>
        </w:rPr>
        <w:t>Bulimia</w:t>
      </w:r>
      <w:r>
        <w:rPr>
          <w:b/>
          <w:spacing w:val="8"/>
          <w:w w:val="110"/>
        </w:rPr>
        <w:t xml:space="preserve"> </w:t>
      </w:r>
      <w:r>
        <w:rPr>
          <w:b/>
          <w:w w:val="110"/>
        </w:rPr>
        <w:t>Nervosa.</w:t>
      </w:r>
    </w:p>
    <w:p w:rsidR="00E675F0" w:rsidRDefault="00E675F0" w:rsidP="00E675F0">
      <w:pPr>
        <w:spacing w:line="254" w:lineRule="auto"/>
        <w:jc w:val="both"/>
        <w:sectPr w:rsidR="00E675F0">
          <w:headerReference w:type="even" r:id="rId114"/>
          <w:headerReference w:type="default" r:id="rId115"/>
          <w:pgSz w:w="8960" w:h="14260"/>
          <w:pgMar w:top="1400" w:right="600" w:bottom="280" w:left="620" w:header="694" w:footer="0" w:gutter="0"/>
          <w:cols w:space="720"/>
        </w:sectPr>
      </w:pPr>
    </w:p>
    <w:p w:rsidR="00E675F0" w:rsidRDefault="00E675F0" w:rsidP="00E675F0">
      <w:pPr>
        <w:pStyle w:val="BodyText"/>
        <w:spacing w:before="10"/>
        <w:rPr>
          <w:b/>
          <w:sz w:val="9"/>
        </w:rPr>
      </w:pPr>
    </w:p>
    <w:tbl>
      <w:tblPr>
        <w:tblW w:w="0" w:type="auto"/>
        <w:tblInd w:w="223"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7346"/>
      </w:tblGrid>
      <w:tr w:rsidR="00E675F0" w:rsidTr="00A330E1">
        <w:trPr>
          <w:trHeight w:val="3208"/>
        </w:trPr>
        <w:tc>
          <w:tcPr>
            <w:tcW w:w="7346" w:type="dxa"/>
          </w:tcPr>
          <w:p w:rsidR="00E675F0" w:rsidRDefault="00E675F0" w:rsidP="003048D3">
            <w:pPr>
              <w:pStyle w:val="TableParagraph"/>
              <w:numPr>
                <w:ilvl w:val="0"/>
                <w:numId w:val="80"/>
              </w:numPr>
              <w:tabs>
                <w:tab w:val="left" w:pos="634"/>
              </w:tabs>
              <w:spacing w:line="537" w:lineRule="exact"/>
              <w:ind w:hanging="380"/>
              <w:rPr>
                <w:rFonts w:ascii="Arial" w:hAnsi="Arial"/>
                <w:b/>
                <w:sz w:val="24"/>
              </w:rPr>
            </w:pPr>
            <w:bookmarkStart w:id="61" w:name="_bookmark46"/>
            <w:bookmarkEnd w:id="61"/>
            <w:r>
              <w:rPr>
                <w:rFonts w:ascii="Arial" w:hAnsi="Arial"/>
                <w:b/>
                <w:w w:val="105"/>
                <w:sz w:val="24"/>
              </w:rPr>
              <w:t>Diagnostic criteria for 307.53 Rumination</w:t>
            </w:r>
            <w:r>
              <w:rPr>
                <w:rFonts w:ascii="Arial" w:hAnsi="Arial"/>
                <w:b/>
                <w:spacing w:val="-16"/>
                <w:w w:val="105"/>
                <w:sz w:val="24"/>
              </w:rPr>
              <w:t xml:space="preserve"> </w:t>
            </w:r>
            <w:r>
              <w:rPr>
                <w:rFonts w:ascii="Arial" w:hAnsi="Arial"/>
                <w:b/>
                <w:w w:val="105"/>
                <w:sz w:val="24"/>
              </w:rPr>
              <w:t>Disorder</w:t>
            </w:r>
          </w:p>
          <w:p w:rsidR="00E675F0" w:rsidRDefault="00E675F0" w:rsidP="003048D3">
            <w:pPr>
              <w:pStyle w:val="TableParagraph"/>
              <w:numPr>
                <w:ilvl w:val="1"/>
                <w:numId w:val="80"/>
              </w:numPr>
              <w:tabs>
                <w:tab w:val="left" w:pos="960"/>
              </w:tabs>
              <w:spacing w:before="149" w:line="256" w:lineRule="auto"/>
              <w:ind w:right="222" w:hanging="301"/>
              <w:jc w:val="both"/>
              <w:rPr>
                <w:sz w:val="20"/>
              </w:rPr>
            </w:pPr>
            <w:r>
              <w:rPr>
                <w:w w:val="105"/>
                <w:sz w:val="20"/>
              </w:rPr>
              <w:t>Repeated regurgitation and  rechewing  of food for a  period of  at least 1 month following a period of normal</w:t>
            </w:r>
            <w:r>
              <w:rPr>
                <w:spacing w:val="1"/>
                <w:w w:val="105"/>
                <w:sz w:val="20"/>
              </w:rPr>
              <w:t xml:space="preserve"> </w:t>
            </w:r>
            <w:r>
              <w:rPr>
                <w:w w:val="105"/>
                <w:sz w:val="20"/>
              </w:rPr>
              <w:t>functioning.</w:t>
            </w:r>
          </w:p>
          <w:p w:rsidR="00E675F0" w:rsidRDefault="00E675F0" w:rsidP="003048D3">
            <w:pPr>
              <w:pStyle w:val="TableParagraph"/>
              <w:numPr>
                <w:ilvl w:val="1"/>
                <w:numId w:val="80"/>
              </w:numPr>
              <w:tabs>
                <w:tab w:val="left" w:pos="958"/>
              </w:tabs>
              <w:spacing w:before="181" w:line="252" w:lineRule="auto"/>
              <w:ind w:left="961" w:right="226" w:hanging="305"/>
              <w:jc w:val="both"/>
              <w:rPr>
                <w:sz w:val="20"/>
              </w:rPr>
            </w:pPr>
            <w:r>
              <w:rPr>
                <w:w w:val="105"/>
                <w:sz w:val="20"/>
              </w:rPr>
              <w:t>The behavior is not due to an associated gastrointestinal or other general medical condition (e.g., esophageal</w:t>
            </w:r>
            <w:r>
              <w:rPr>
                <w:spacing w:val="13"/>
                <w:w w:val="105"/>
                <w:sz w:val="20"/>
              </w:rPr>
              <w:t xml:space="preserve"> </w:t>
            </w:r>
            <w:r>
              <w:rPr>
                <w:w w:val="105"/>
                <w:sz w:val="20"/>
              </w:rPr>
              <w:t>reflux).</w:t>
            </w:r>
          </w:p>
          <w:p w:rsidR="00E675F0" w:rsidRDefault="00E675F0" w:rsidP="003048D3">
            <w:pPr>
              <w:pStyle w:val="TableParagraph"/>
              <w:numPr>
                <w:ilvl w:val="1"/>
                <w:numId w:val="80"/>
              </w:numPr>
              <w:tabs>
                <w:tab w:val="left" w:pos="958"/>
              </w:tabs>
              <w:spacing w:before="185" w:line="249" w:lineRule="auto"/>
              <w:ind w:left="961" w:right="220" w:hanging="304"/>
              <w:jc w:val="both"/>
              <w:rPr>
                <w:sz w:val="20"/>
              </w:rPr>
            </w:pPr>
            <w:r>
              <w:rPr>
                <w:w w:val="105"/>
                <w:sz w:val="20"/>
              </w:rPr>
              <w:t xml:space="preserve">The behavior does not occur exclusively during the course of Anorexia Nervosa or Bulimia Nervosa. </w:t>
            </w:r>
            <w:r>
              <w:rPr>
                <w:w w:val="105"/>
                <w:sz w:val="21"/>
              </w:rPr>
              <w:t xml:space="preserve">If </w:t>
            </w:r>
            <w:r>
              <w:rPr>
                <w:w w:val="105"/>
                <w:sz w:val="20"/>
              </w:rPr>
              <w:t>the symptoms occur exclusively during the</w:t>
            </w:r>
            <w:r>
              <w:rPr>
                <w:spacing w:val="-27"/>
                <w:w w:val="105"/>
                <w:sz w:val="20"/>
              </w:rPr>
              <w:t xml:space="preserve"> </w:t>
            </w:r>
            <w:r>
              <w:rPr>
                <w:w w:val="105"/>
                <w:sz w:val="20"/>
              </w:rPr>
              <w:t>course</w:t>
            </w:r>
            <w:r>
              <w:rPr>
                <w:spacing w:val="-19"/>
                <w:w w:val="105"/>
                <w:sz w:val="20"/>
              </w:rPr>
              <w:t xml:space="preserve"> </w:t>
            </w:r>
            <w:r>
              <w:rPr>
                <w:w w:val="105"/>
                <w:sz w:val="20"/>
              </w:rPr>
              <w:t>of</w:t>
            </w:r>
            <w:r>
              <w:rPr>
                <w:spacing w:val="-17"/>
                <w:w w:val="105"/>
                <w:sz w:val="20"/>
              </w:rPr>
              <w:t xml:space="preserve"> </w:t>
            </w:r>
            <w:r>
              <w:rPr>
                <w:w w:val="105"/>
                <w:sz w:val="20"/>
              </w:rPr>
              <w:t>Mental</w:t>
            </w:r>
            <w:r>
              <w:rPr>
                <w:spacing w:val="-11"/>
                <w:w w:val="105"/>
                <w:sz w:val="20"/>
              </w:rPr>
              <w:t xml:space="preserve"> </w:t>
            </w:r>
            <w:r>
              <w:rPr>
                <w:w w:val="105"/>
                <w:sz w:val="20"/>
              </w:rPr>
              <w:t>Retardation</w:t>
            </w:r>
            <w:r>
              <w:rPr>
                <w:spacing w:val="-9"/>
                <w:w w:val="105"/>
                <w:sz w:val="20"/>
              </w:rPr>
              <w:t xml:space="preserve"> </w:t>
            </w:r>
            <w:r>
              <w:rPr>
                <w:w w:val="105"/>
                <w:sz w:val="20"/>
              </w:rPr>
              <w:t>or</w:t>
            </w:r>
            <w:r>
              <w:rPr>
                <w:spacing w:val="-13"/>
                <w:w w:val="105"/>
                <w:sz w:val="20"/>
              </w:rPr>
              <w:t xml:space="preserve"> </w:t>
            </w:r>
            <w:r>
              <w:rPr>
                <w:w w:val="105"/>
                <w:sz w:val="20"/>
              </w:rPr>
              <w:t>a</w:t>
            </w:r>
            <w:r>
              <w:rPr>
                <w:spacing w:val="-20"/>
                <w:w w:val="105"/>
                <w:sz w:val="20"/>
              </w:rPr>
              <w:t xml:space="preserve"> </w:t>
            </w:r>
            <w:r>
              <w:rPr>
                <w:w w:val="105"/>
                <w:sz w:val="20"/>
              </w:rPr>
              <w:t>Pervasive</w:t>
            </w:r>
            <w:r>
              <w:rPr>
                <w:spacing w:val="-8"/>
                <w:w w:val="105"/>
                <w:sz w:val="20"/>
              </w:rPr>
              <w:t xml:space="preserve"> </w:t>
            </w:r>
            <w:r>
              <w:rPr>
                <w:w w:val="105"/>
                <w:sz w:val="20"/>
              </w:rPr>
              <w:t>Developmental</w:t>
            </w:r>
            <w:r>
              <w:rPr>
                <w:spacing w:val="-4"/>
                <w:w w:val="105"/>
                <w:sz w:val="20"/>
              </w:rPr>
              <w:t xml:space="preserve"> </w:t>
            </w:r>
            <w:r>
              <w:rPr>
                <w:w w:val="105"/>
                <w:sz w:val="20"/>
              </w:rPr>
              <w:t>Disorder, they are sufficiently severe to warrant independent clinical</w:t>
            </w:r>
            <w:r>
              <w:rPr>
                <w:spacing w:val="31"/>
                <w:w w:val="105"/>
                <w:sz w:val="20"/>
              </w:rPr>
              <w:t xml:space="preserve"> </w:t>
            </w:r>
            <w:r>
              <w:rPr>
                <w:w w:val="105"/>
                <w:sz w:val="20"/>
              </w:rPr>
              <w:t>attention.</w:t>
            </w:r>
          </w:p>
        </w:tc>
      </w:tr>
    </w:tbl>
    <w:p w:rsidR="00E675F0" w:rsidRDefault="00E675F0" w:rsidP="00E675F0">
      <w:pPr>
        <w:pStyle w:val="BodyText"/>
        <w:rPr>
          <w:b/>
        </w:rPr>
      </w:pPr>
    </w:p>
    <w:p w:rsidR="00E675F0" w:rsidRDefault="00E675F0" w:rsidP="00E675F0">
      <w:pPr>
        <w:pStyle w:val="BodyText"/>
        <w:spacing w:before="8"/>
        <w:rPr>
          <w:b/>
          <w:sz w:val="23"/>
        </w:rPr>
      </w:pPr>
    </w:p>
    <w:p w:rsidR="00E675F0" w:rsidRDefault="00E675F0" w:rsidP="00E675F0">
      <w:pPr>
        <w:tabs>
          <w:tab w:val="left" w:pos="3143"/>
        </w:tabs>
        <w:spacing w:before="92" w:line="242" w:lineRule="auto"/>
        <w:ind w:left="2202" w:right="2085" w:hanging="127"/>
        <w:rPr>
          <w:rFonts w:ascii="Arial"/>
          <w:b/>
          <w:sz w:val="26"/>
        </w:rPr>
      </w:pPr>
      <w:r>
        <w:rPr>
          <w:rFonts w:ascii="Arial"/>
          <w:b/>
          <w:sz w:val="26"/>
        </w:rPr>
        <w:t>307.59</w:t>
      </w:r>
      <w:r>
        <w:rPr>
          <w:rFonts w:ascii="Arial"/>
          <w:b/>
          <w:sz w:val="26"/>
        </w:rPr>
        <w:tab/>
        <w:t>Feeding Disorder of Infancy or Early</w:t>
      </w:r>
      <w:r>
        <w:rPr>
          <w:rFonts w:ascii="Arial"/>
          <w:b/>
          <w:spacing w:val="2"/>
          <w:sz w:val="26"/>
        </w:rPr>
        <w:t xml:space="preserve"> </w:t>
      </w:r>
      <w:r>
        <w:rPr>
          <w:rFonts w:ascii="Arial"/>
          <w:b/>
          <w:sz w:val="26"/>
        </w:rPr>
        <w:t>Childhood</w:t>
      </w:r>
    </w:p>
    <w:p w:rsidR="00E675F0" w:rsidRDefault="00E675F0" w:rsidP="00E675F0">
      <w:pPr>
        <w:pStyle w:val="BodyText"/>
        <w:spacing w:before="4"/>
        <w:rPr>
          <w:rFonts w:ascii="Arial"/>
          <w:b/>
          <w:sz w:val="35"/>
        </w:rPr>
      </w:pPr>
    </w:p>
    <w:p w:rsidR="00E675F0" w:rsidRDefault="00E675F0" w:rsidP="00E675F0">
      <w:pPr>
        <w:ind w:left="121"/>
        <w:jc w:val="both"/>
        <w:rPr>
          <w:rFonts w:ascii="TimesNewRomanPS-BoldItalicMT"/>
          <w:b/>
          <w:i/>
          <w:sz w:val="24"/>
        </w:rPr>
      </w:pPr>
      <w:r>
        <w:rPr>
          <w:rFonts w:ascii="TimesNewRomanPS-BoldItalicMT"/>
          <w:b/>
          <w:i/>
          <w:w w:val="110"/>
          <w:sz w:val="24"/>
        </w:rPr>
        <w:t>Di-agnostic Features</w:t>
      </w:r>
    </w:p>
    <w:p w:rsidR="00E675F0" w:rsidRDefault="00E675F0" w:rsidP="00E675F0">
      <w:pPr>
        <w:pStyle w:val="BodyText"/>
        <w:spacing w:before="165" w:line="252" w:lineRule="auto"/>
        <w:ind w:left="129" w:right="117" w:firstLine="1"/>
        <w:jc w:val="both"/>
      </w:pPr>
      <w:r>
        <w:rPr>
          <w:w w:val="105"/>
        </w:rPr>
        <w:t>The essential feature of Feeding Disorder of Infancy or Early Childhood is the persistent failure to eat adequately, as reflected in significant failure to gain weight or significant weight loss over at least 1 month (Criterion A). There is no gastrointestinal or other general medical condition (e.g., esophageal reflux) severe enough to account for the feeding disturbance (Criterion B). The feeding disturbance is also not better accounted for by another Mental Disorder (e.g., Rumination Disorder) or by lack of available food (Criterion C). The onset of the disorder must be before age 6 years (Criterion D).</w:t>
      </w:r>
    </w:p>
    <w:p w:rsidR="00E675F0" w:rsidRDefault="00E675F0" w:rsidP="00E675F0">
      <w:pPr>
        <w:pStyle w:val="BodyText"/>
        <w:rPr>
          <w:sz w:val="22"/>
        </w:rPr>
      </w:pPr>
    </w:p>
    <w:p w:rsidR="00E675F0" w:rsidRDefault="00E675F0" w:rsidP="00E675F0">
      <w:pPr>
        <w:spacing w:before="192"/>
        <w:ind w:left="117"/>
        <w:jc w:val="both"/>
        <w:rPr>
          <w:rFonts w:ascii="TimesNewRomanPS-BoldItalicMT"/>
          <w:b/>
          <w:i/>
          <w:sz w:val="24"/>
        </w:rPr>
      </w:pPr>
      <w:r>
        <w:rPr>
          <w:rFonts w:ascii="TimesNewRomanPS-BoldItalicMT"/>
          <w:b/>
          <w:i/>
          <w:w w:val="115"/>
          <w:sz w:val="24"/>
        </w:rPr>
        <w:t>Associated Features and Disorders</w:t>
      </w:r>
    </w:p>
    <w:p w:rsidR="00E675F0" w:rsidRDefault="00E675F0" w:rsidP="00E675F0">
      <w:pPr>
        <w:pStyle w:val="BodyText"/>
        <w:spacing w:before="175" w:line="254" w:lineRule="auto"/>
        <w:ind w:left="134" w:right="113" w:hanging="4"/>
        <w:jc w:val="both"/>
      </w:pPr>
      <w:r>
        <w:rPr>
          <w:b/>
          <w:w w:val="110"/>
        </w:rPr>
        <w:t>Associated descriptive features and mental disorders.</w:t>
      </w:r>
      <w:r>
        <w:rPr>
          <w:b/>
          <w:spacing w:val="7"/>
          <w:w w:val="110"/>
        </w:rPr>
        <w:t xml:space="preserve"> </w:t>
      </w:r>
      <w:r>
        <w:rPr>
          <w:w w:val="110"/>
        </w:rPr>
        <w:t>Infants with feeding disor­ ders are often especially irritable and difficult to console during feeding. They may appear apathetic and withdrawn and may also exhibit developmental delays. In some instances,</w:t>
      </w:r>
      <w:r>
        <w:rPr>
          <w:spacing w:val="-19"/>
          <w:w w:val="110"/>
        </w:rPr>
        <w:t xml:space="preserve"> </w:t>
      </w:r>
      <w:r>
        <w:rPr>
          <w:w w:val="110"/>
        </w:rPr>
        <w:t>parent-child</w:t>
      </w:r>
      <w:r>
        <w:rPr>
          <w:spacing w:val="-19"/>
          <w:w w:val="110"/>
        </w:rPr>
        <w:t xml:space="preserve"> </w:t>
      </w:r>
      <w:r>
        <w:rPr>
          <w:w w:val="110"/>
        </w:rPr>
        <w:t>interaction</w:t>
      </w:r>
      <w:r>
        <w:rPr>
          <w:spacing w:val="-21"/>
          <w:w w:val="110"/>
        </w:rPr>
        <w:t xml:space="preserve"> </w:t>
      </w:r>
      <w:r>
        <w:rPr>
          <w:w w:val="110"/>
        </w:rPr>
        <w:t>problems</w:t>
      </w:r>
      <w:r>
        <w:rPr>
          <w:spacing w:val="-23"/>
          <w:w w:val="110"/>
        </w:rPr>
        <w:t xml:space="preserve"> </w:t>
      </w:r>
      <w:r>
        <w:rPr>
          <w:w w:val="110"/>
        </w:rPr>
        <w:t>may</w:t>
      </w:r>
      <w:r>
        <w:rPr>
          <w:spacing w:val="-31"/>
          <w:w w:val="110"/>
        </w:rPr>
        <w:t xml:space="preserve"> </w:t>
      </w:r>
      <w:r>
        <w:rPr>
          <w:w w:val="110"/>
        </w:rPr>
        <w:t>contribute</w:t>
      </w:r>
      <w:r>
        <w:rPr>
          <w:spacing w:val="-24"/>
          <w:w w:val="110"/>
        </w:rPr>
        <w:t xml:space="preserve"> </w:t>
      </w:r>
      <w:r>
        <w:rPr>
          <w:w w:val="110"/>
        </w:rPr>
        <w:t>to</w:t>
      </w:r>
      <w:r>
        <w:rPr>
          <w:spacing w:val="-31"/>
          <w:w w:val="110"/>
        </w:rPr>
        <w:t xml:space="preserve"> </w:t>
      </w:r>
      <w:r>
        <w:rPr>
          <w:w w:val="110"/>
        </w:rPr>
        <w:t>or</w:t>
      </w:r>
      <w:r>
        <w:rPr>
          <w:spacing w:val="-29"/>
          <w:w w:val="110"/>
        </w:rPr>
        <w:t xml:space="preserve"> </w:t>
      </w:r>
      <w:r>
        <w:rPr>
          <w:w w:val="110"/>
        </w:rPr>
        <w:t>exacerbate</w:t>
      </w:r>
      <w:r>
        <w:rPr>
          <w:spacing w:val="-22"/>
          <w:w w:val="110"/>
        </w:rPr>
        <w:t xml:space="preserve"> </w:t>
      </w:r>
      <w:r>
        <w:rPr>
          <w:w w:val="110"/>
        </w:rPr>
        <w:t>the</w:t>
      </w:r>
      <w:r>
        <w:rPr>
          <w:spacing w:val="-29"/>
          <w:w w:val="110"/>
        </w:rPr>
        <w:t xml:space="preserve"> </w:t>
      </w:r>
      <w:r>
        <w:rPr>
          <w:w w:val="110"/>
        </w:rPr>
        <w:t>infant's feeding</w:t>
      </w:r>
      <w:r>
        <w:rPr>
          <w:spacing w:val="-22"/>
          <w:w w:val="110"/>
        </w:rPr>
        <w:t xml:space="preserve"> </w:t>
      </w:r>
      <w:r>
        <w:rPr>
          <w:w w:val="110"/>
        </w:rPr>
        <w:t>problem</w:t>
      </w:r>
      <w:r>
        <w:rPr>
          <w:spacing w:val="-24"/>
          <w:w w:val="110"/>
        </w:rPr>
        <w:t xml:space="preserve"> </w:t>
      </w:r>
      <w:r>
        <w:rPr>
          <w:w w:val="110"/>
        </w:rPr>
        <w:t>(e.g.,</w:t>
      </w:r>
      <w:r>
        <w:rPr>
          <w:spacing w:val="-22"/>
          <w:w w:val="110"/>
        </w:rPr>
        <w:t xml:space="preserve"> </w:t>
      </w:r>
      <w:r>
        <w:rPr>
          <w:w w:val="110"/>
        </w:rPr>
        <w:t>presenting</w:t>
      </w:r>
      <w:r>
        <w:rPr>
          <w:spacing w:val="-24"/>
          <w:w w:val="110"/>
        </w:rPr>
        <w:t xml:space="preserve"> </w:t>
      </w:r>
      <w:r>
        <w:rPr>
          <w:w w:val="110"/>
        </w:rPr>
        <w:t>food</w:t>
      </w:r>
      <w:r>
        <w:rPr>
          <w:spacing w:val="-24"/>
          <w:w w:val="110"/>
        </w:rPr>
        <w:t xml:space="preserve"> </w:t>
      </w:r>
      <w:r>
        <w:rPr>
          <w:w w:val="110"/>
        </w:rPr>
        <w:t>inappropriately</w:t>
      </w:r>
      <w:r>
        <w:rPr>
          <w:spacing w:val="-30"/>
          <w:w w:val="110"/>
        </w:rPr>
        <w:t xml:space="preserve"> </w:t>
      </w:r>
      <w:r>
        <w:rPr>
          <w:w w:val="110"/>
        </w:rPr>
        <w:t>or</w:t>
      </w:r>
      <w:r>
        <w:rPr>
          <w:spacing w:val="-26"/>
          <w:w w:val="110"/>
        </w:rPr>
        <w:t xml:space="preserve"> </w:t>
      </w:r>
      <w:r>
        <w:rPr>
          <w:w w:val="110"/>
        </w:rPr>
        <w:t>responding</w:t>
      </w:r>
      <w:r>
        <w:rPr>
          <w:spacing w:val="-23"/>
          <w:w w:val="110"/>
        </w:rPr>
        <w:t xml:space="preserve"> </w:t>
      </w:r>
      <w:r>
        <w:rPr>
          <w:w w:val="110"/>
        </w:rPr>
        <w:t>to</w:t>
      </w:r>
      <w:r>
        <w:rPr>
          <w:spacing w:val="-32"/>
          <w:w w:val="110"/>
        </w:rPr>
        <w:t xml:space="preserve"> </w:t>
      </w:r>
      <w:r>
        <w:rPr>
          <w:w w:val="110"/>
        </w:rPr>
        <w:t>the</w:t>
      </w:r>
      <w:r>
        <w:rPr>
          <w:spacing w:val="-31"/>
          <w:w w:val="110"/>
        </w:rPr>
        <w:t xml:space="preserve"> </w:t>
      </w:r>
      <w:r>
        <w:rPr>
          <w:w w:val="110"/>
        </w:rPr>
        <w:t>infant's</w:t>
      </w:r>
      <w:r>
        <w:rPr>
          <w:spacing w:val="-28"/>
          <w:w w:val="110"/>
        </w:rPr>
        <w:t xml:space="preserve"> </w:t>
      </w:r>
      <w:r>
        <w:rPr>
          <w:w w:val="110"/>
        </w:rPr>
        <w:t>food refusal as if it were an act of aggression or rejection). Inadequate caloric intake may exacerbate the associated features (e.g., irritability, developmental lags) and further contribute</w:t>
      </w:r>
      <w:r>
        <w:rPr>
          <w:spacing w:val="-3"/>
          <w:w w:val="110"/>
        </w:rPr>
        <w:t xml:space="preserve"> </w:t>
      </w:r>
      <w:r>
        <w:rPr>
          <w:w w:val="110"/>
        </w:rPr>
        <w:t>to</w:t>
      </w:r>
      <w:r>
        <w:rPr>
          <w:spacing w:val="-7"/>
          <w:w w:val="110"/>
        </w:rPr>
        <w:t xml:space="preserve"> </w:t>
      </w:r>
      <w:r>
        <w:rPr>
          <w:w w:val="110"/>
        </w:rPr>
        <w:t>feeding</w:t>
      </w:r>
      <w:r>
        <w:rPr>
          <w:spacing w:val="-10"/>
          <w:w w:val="110"/>
        </w:rPr>
        <w:t xml:space="preserve"> </w:t>
      </w:r>
      <w:r>
        <w:rPr>
          <w:w w:val="110"/>
        </w:rPr>
        <w:t>difficulties.</w:t>
      </w:r>
      <w:r>
        <w:rPr>
          <w:spacing w:val="-2"/>
          <w:w w:val="110"/>
        </w:rPr>
        <w:t xml:space="preserve"> </w:t>
      </w:r>
      <w:r>
        <w:rPr>
          <w:w w:val="110"/>
        </w:rPr>
        <w:t>Factors</w:t>
      </w:r>
      <w:r>
        <w:rPr>
          <w:spacing w:val="-11"/>
          <w:w w:val="110"/>
        </w:rPr>
        <w:t xml:space="preserve"> </w:t>
      </w:r>
      <w:r>
        <w:rPr>
          <w:w w:val="110"/>
        </w:rPr>
        <w:t>in</w:t>
      </w:r>
      <w:r>
        <w:rPr>
          <w:spacing w:val="-8"/>
          <w:w w:val="110"/>
        </w:rPr>
        <w:t xml:space="preserve"> </w:t>
      </w:r>
      <w:r>
        <w:rPr>
          <w:w w:val="110"/>
        </w:rPr>
        <w:t>the</w:t>
      </w:r>
      <w:r>
        <w:rPr>
          <w:spacing w:val="-11"/>
          <w:w w:val="110"/>
        </w:rPr>
        <w:t xml:space="preserve"> </w:t>
      </w:r>
      <w:r>
        <w:rPr>
          <w:w w:val="110"/>
        </w:rPr>
        <w:t>infant</w:t>
      </w:r>
      <w:r>
        <w:rPr>
          <w:spacing w:val="-1"/>
          <w:w w:val="110"/>
        </w:rPr>
        <w:t xml:space="preserve"> </w:t>
      </w:r>
      <w:r>
        <w:rPr>
          <w:w w:val="110"/>
        </w:rPr>
        <w:t>that</w:t>
      </w:r>
      <w:r>
        <w:rPr>
          <w:spacing w:val="-5"/>
          <w:w w:val="110"/>
        </w:rPr>
        <w:t xml:space="preserve"> </w:t>
      </w:r>
      <w:r>
        <w:rPr>
          <w:w w:val="110"/>
        </w:rPr>
        <w:t>may</w:t>
      </w:r>
      <w:r>
        <w:rPr>
          <w:spacing w:val="-11"/>
          <w:w w:val="110"/>
        </w:rPr>
        <w:t xml:space="preserve"> </w:t>
      </w:r>
      <w:r>
        <w:rPr>
          <w:w w:val="110"/>
        </w:rPr>
        <w:t>be associated</w:t>
      </w:r>
      <w:r>
        <w:rPr>
          <w:spacing w:val="-2"/>
          <w:w w:val="110"/>
        </w:rPr>
        <w:t xml:space="preserve"> </w:t>
      </w:r>
      <w:r>
        <w:rPr>
          <w:w w:val="110"/>
        </w:rPr>
        <w:t>with</w:t>
      </w:r>
      <w:r>
        <w:rPr>
          <w:spacing w:val="-8"/>
          <w:w w:val="110"/>
        </w:rPr>
        <w:t xml:space="preserve"> </w:t>
      </w:r>
      <w:r>
        <w:rPr>
          <w:w w:val="110"/>
        </w:rPr>
        <w:t>the condition include neuroregulatory difficulties (e.g., sleep-wake difficulties, frequent regurgitation, unpredictable periods of alertness) and preexisting developmental im­ pairments</w:t>
      </w:r>
      <w:r>
        <w:rPr>
          <w:spacing w:val="-23"/>
          <w:w w:val="110"/>
        </w:rPr>
        <w:t xml:space="preserve"> </w:t>
      </w:r>
      <w:r>
        <w:rPr>
          <w:w w:val="110"/>
        </w:rPr>
        <w:t>that</w:t>
      </w:r>
      <w:r>
        <w:rPr>
          <w:spacing w:val="-28"/>
          <w:w w:val="110"/>
        </w:rPr>
        <w:t xml:space="preserve"> </w:t>
      </w:r>
      <w:r>
        <w:rPr>
          <w:w w:val="110"/>
        </w:rPr>
        <w:t>make</w:t>
      </w:r>
      <w:r>
        <w:rPr>
          <w:spacing w:val="-29"/>
          <w:w w:val="110"/>
        </w:rPr>
        <w:t xml:space="preserve"> </w:t>
      </w:r>
      <w:r>
        <w:rPr>
          <w:w w:val="110"/>
        </w:rPr>
        <w:t>the</w:t>
      </w:r>
      <w:r>
        <w:rPr>
          <w:spacing w:val="-30"/>
          <w:w w:val="110"/>
        </w:rPr>
        <w:t xml:space="preserve"> </w:t>
      </w:r>
      <w:r>
        <w:rPr>
          <w:w w:val="110"/>
        </w:rPr>
        <w:t>infant</w:t>
      </w:r>
      <w:r>
        <w:rPr>
          <w:spacing w:val="-28"/>
          <w:w w:val="110"/>
        </w:rPr>
        <w:t xml:space="preserve"> </w:t>
      </w:r>
      <w:r>
        <w:rPr>
          <w:w w:val="110"/>
        </w:rPr>
        <w:t>less</w:t>
      </w:r>
      <w:r>
        <w:rPr>
          <w:spacing w:val="-30"/>
          <w:w w:val="110"/>
        </w:rPr>
        <w:t xml:space="preserve"> </w:t>
      </w:r>
      <w:r>
        <w:rPr>
          <w:w w:val="110"/>
        </w:rPr>
        <w:t>responsive.</w:t>
      </w:r>
      <w:r>
        <w:rPr>
          <w:spacing w:val="-20"/>
          <w:w w:val="110"/>
        </w:rPr>
        <w:t xml:space="preserve"> </w:t>
      </w:r>
      <w:r>
        <w:rPr>
          <w:w w:val="110"/>
        </w:rPr>
        <w:t>Other</w:t>
      </w:r>
      <w:r>
        <w:rPr>
          <w:spacing w:val="-29"/>
          <w:w w:val="110"/>
        </w:rPr>
        <w:t xml:space="preserve"> </w:t>
      </w:r>
      <w:r>
        <w:rPr>
          <w:w w:val="110"/>
        </w:rPr>
        <w:t>factors</w:t>
      </w:r>
      <w:r>
        <w:rPr>
          <w:spacing w:val="-28"/>
          <w:w w:val="110"/>
        </w:rPr>
        <w:t xml:space="preserve"> </w:t>
      </w:r>
      <w:r>
        <w:rPr>
          <w:w w:val="110"/>
        </w:rPr>
        <w:t>that</w:t>
      </w:r>
      <w:r>
        <w:rPr>
          <w:spacing w:val="-28"/>
          <w:w w:val="110"/>
        </w:rPr>
        <w:t xml:space="preserve"> </w:t>
      </w:r>
      <w:r>
        <w:rPr>
          <w:w w:val="110"/>
        </w:rPr>
        <w:t>may</w:t>
      </w:r>
      <w:r>
        <w:rPr>
          <w:spacing w:val="-30"/>
          <w:w w:val="110"/>
        </w:rPr>
        <w:t xml:space="preserve"> </w:t>
      </w:r>
      <w:r>
        <w:rPr>
          <w:w w:val="110"/>
        </w:rPr>
        <w:t>be</w:t>
      </w:r>
      <w:r>
        <w:rPr>
          <w:spacing w:val="-25"/>
          <w:w w:val="110"/>
        </w:rPr>
        <w:t xml:space="preserve"> </w:t>
      </w:r>
      <w:r>
        <w:rPr>
          <w:w w:val="110"/>
        </w:rPr>
        <w:t>associated</w:t>
      </w:r>
      <w:r>
        <w:rPr>
          <w:spacing w:val="-21"/>
          <w:w w:val="110"/>
        </w:rPr>
        <w:t xml:space="preserve"> </w:t>
      </w:r>
      <w:r>
        <w:rPr>
          <w:w w:val="110"/>
        </w:rPr>
        <w:t>with the condition include parental psychopathology and child abuse or</w:t>
      </w:r>
      <w:r>
        <w:rPr>
          <w:spacing w:val="30"/>
          <w:w w:val="110"/>
        </w:rPr>
        <w:t xml:space="preserve"> </w:t>
      </w:r>
      <w:r>
        <w:rPr>
          <w:w w:val="110"/>
        </w:rPr>
        <w:t>neglect.</w:t>
      </w:r>
    </w:p>
    <w:p w:rsidR="00E675F0" w:rsidRDefault="00E675F0" w:rsidP="00E675F0">
      <w:pPr>
        <w:pStyle w:val="BodyText"/>
        <w:spacing w:before="1"/>
        <w:rPr>
          <w:sz w:val="28"/>
        </w:rPr>
      </w:pPr>
    </w:p>
    <w:p w:rsidR="00E675F0" w:rsidRDefault="00E675F0" w:rsidP="00E675F0">
      <w:pPr>
        <w:pStyle w:val="BodyText"/>
        <w:spacing w:before="1" w:line="254" w:lineRule="auto"/>
        <w:ind w:left="129" w:right="118" w:hanging="4"/>
        <w:jc w:val="both"/>
      </w:pPr>
      <w:r>
        <w:rPr>
          <w:b/>
          <w:w w:val="105"/>
        </w:rPr>
        <w:t xml:space="preserve">Associated laboratory findings.  </w:t>
      </w:r>
      <w:r>
        <w:rPr>
          <w:w w:val="105"/>
        </w:rPr>
        <w:t>There may be nonspecific findings associated  with the malnutrition that is sometimes seen with Feeding Disorder of Infancy or Early Childhood (e.g., anemia and low serum albumin and total</w:t>
      </w:r>
      <w:r>
        <w:rPr>
          <w:spacing w:val="-14"/>
          <w:w w:val="105"/>
        </w:rPr>
        <w:t xml:space="preserve"> </w:t>
      </w:r>
      <w:r>
        <w:rPr>
          <w:w w:val="105"/>
        </w:rPr>
        <w:t>protein).</w:t>
      </w:r>
    </w:p>
    <w:p w:rsidR="00E675F0" w:rsidRDefault="00E675F0" w:rsidP="00E675F0">
      <w:pPr>
        <w:spacing w:line="254" w:lineRule="auto"/>
        <w:jc w:val="both"/>
        <w:sectPr w:rsidR="00E675F0">
          <w:pgSz w:w="8960" w:h="14260"/>
          <w:pgMar w:top="1400" w:right="600" w:bottom="280" w:left="620" w:header="691" w:footer="0" w:gutter="0"/>
          <w:cols w:space="720"/>
        </w:sectPr>
      </w:pPr>
    </w:p>
    <w:p w:rsidR="00E675F0" w:rsidRDefault="00E675F0" w:rsidP="00E675F0">
      <w:pPr>
        <w:spacing w:before="141" w:line="252" w:lineRule="auto"/>
        <w:ind w:left="122" w:right="122" w:hanging="1"/>
        <w:jc w:val="both"/>
        <w:rPr>
          <w:sz w:val="20"/>
        </w:rPr>
      </w:pPr>
      <w:bookmarkStart w:id="62" w:name="_bookmark47"/>
      <w:bookmarkEnd w:id="62"/>
      <w:r>
        <w:rPr>
          <w:b/>
          <w:w w:val="110"/>
          <w:sz w:val="20"/>
        </w:rPr>
        <w:lastRenderedPageBreak/>
        <w:t xml:space="preserve">Associated physical examination findings and general medical  conditions. </w:t>
      </w:r>
      <w:r>
        <w:rPr>
          <w:w w:val="110"/>
          <w:sz w:val="20"/>
        </w:rPr>
        <w:t>There may be malnutrition that, in severe cases, can be life threatening in Feeding Disorder of Infancy or Early</w:t>
      </w:r>
      <w:r>
        <w:rPr>
          <w:spacing w:val="38"/>
          <w:w w:val="110"/>
          <w:sz w:val="20"/>
        </w:rPr>
        <w:t xml:space="preserve"> </w:t>
      </w:r>
      <w:r>
        <w:rPr>
          <w:w w:val="110"/>
          <w:sz w:val="20"/>
        </w:rPr>
        <w:t>Childhood.</w:t>
      </w:r>
    </w:p>
    <w:p w:rsidR="00E675F0" w:rsidRDefault="00E675F0" w:rsidP="00E675F0">
      <w:pPr>
        <w:pStyle w:val="BodyText"/>
        <w:spacing w:before="10"/>
        <w:rPr>
          <w:sz w:val="32"/>
        </w:rPr>
      </w:pPr>
    </w:p>
    <w:p w:rsidR="00E675F0" w:rsidRDefault="00E675F0" w:rsidP="00E675F0">
      <w:pPr>
        <w:ind w:left="119"/>
        <w:rPr>
          <w:rFonts w:ascii="TimesNewRomanPS-BoldItalicMT"/>
          <w:b/>
          <w:i/>
          <w:sz w:val="25"/>
        </w:rPr>
      </w:pPr>
      <w:r>
        <w:rPr>
          <w:rFonts w:ascii="TimesNewRomanPS-BoldItalicMT"/>
          <w:b/>
          <w:i/>
          <w:w w:val="110"/>
          <w:sz w:val="25"/>
        </w:rPr>
        <w:t>Specific Age and Gender Features</w:t>
      </w:r>
    </w:p>
    <w:p w:rsidR="00E675F0" w:rsidRDefault="00E675F0" w:rsidP="00E675F0">
      <w:pPr>
        <w:pStyle w:val="BodyText"/>
        <w:spacing w:before="134" w:line="254" w:lineRule="auto"/>
        <w:ind w:left="121" w:right="123" w:firstLine="5"/>
        <w:jc w:val="both"/>
      </w:pPr>
      <w:r>
        <w:rPr>
          <w:w w:val="105"/>
        </w:rPr>
        <w:t>A later onset (e.g., age 2 or 3 years rather than infancy) is associated with lesser degrees of developmental delay and malnutrition, although growth retardation may be observed. Feeding</w:t>
      </w:r>
      <w:r>
        <w:rPr>
          <w:spacing w:val="-10"/>
          <w:w w:val="105"/>
        </w:rPr>
        <w:t xml:space="preserve"> </w:t>
      </w:r>
      <w:r>
        <w:rPr>
          <w:w w:val="105"/>
        </w:rPr>
        <w:t>Disorder</w:t>
      </w:r>
      <w:r>
        <w:rPr>
          <w:spacing w:val="-12"/>
          <w:w w:val="105"/>
        </w:rPr>
        <w:t xml:space="preserve"> </w:t>
      </w:r>
      <w:r>
        <w:rPr>
          <w:w w:val="105"/>
        </w:rPr>
        <w:t>of</w:t>
      </w:r>
      <w:r>
        <w:rPr>
          <w:spacing w:val="-13"/>
          <w:w w:val="105"/>
        </w:rPr>
        <w:t xml:space="preserve"> </w:t>
      </w:r>
      <w:r>
        <w:rPr>
          <w:w w:val="105"/>
        </w:rPr>
        <w:t>Infancy</w:t>
      </w:r>
      <w:r>
        <w:rPr>
          <w:spacing w:val="-12"/>
          <w:w w:val="105"/>
        </w:rPr>
        <w:t xml:space="preserve"> </w:t>
      </w:r>
      <w:r>
        <w:rPr>
          <w:w w:val="105"/>
        </w:rPr>
        <w:t>or</w:t>
      </w:r>
      <w:r>
        <w:rPr>
          <w:spacing w:val="-16"/>
          <w:w w:val="105"/>
        </w:rPr>
        <w:t xml:space="preserve"> </w:t>
      </w:r>
      <w:r>
        <w:rPr>
          <w:w w:val="105"/>
        </w:rPr>
        <w:t>Early</w:t>
      </w:r>
      <w:r>
        <w:rPr>
          <w:spacing w:val="-13"/>
          <w:w w:val="105"/>
        </w:rPr>
        <w:t xml:space="preserve"> </w:t>
      </w:r>
      <w:r>
        <w:rPr>
          <w:w w:val="105"/>
        </w:rPr>
        <w:t>Childhood</w:t>
      </w:r>
      <w:r>
        <w:rPr>
          <w:spacing w:val="1"/>
          <w:w w:val="105"/>
        </w:rPr>
        <w:t xml:space="preserve"> </w:t>
      </w:r>
      <w:r>
        <w:rPr>
          <w:w w:val="105"/>
        </w:rPr>
        <w:t>is</w:t>
      </w:r>
      <w:r>
        <w:rPr>
          <w:spacing w:val="-25"/>
          <w:w w:val="105"/>
        </w:rPr>
        <w:t xml:space="preserve"> </w:t>
      </w:r>
      <w:r>
        <w:rPr>
          <w:w w:val="105"/>
        </w:rPr>
        <w:t>equally</w:t>
      </w:r>
      <w:r>
        <w:rPr>
          <w:spacing w:val="-17"/>
          <w:w w:val="105"/>
        </w:rPr>
        <w:t xml:space="preserve"> </w:t>
      </w:r>
      <w:r>
        <w:rPr>
          <w:w w:val="105"/>
        </w:rPr>
        <w:t>common</w:t>
      </w:r>
      <w:r>
        <w:rPr>
          <w:spacing w:val="-2"/>
          <w:w w:val="105"/>
        </w:rPr>
        <w:t xml:space="preserve"> </w:t>
      </w:r>
      <w:r>
        <w:rPr>
          <w:w w:val="105"/>
        </w:rPr>
        <w:t>in</w:t>
      </w:r>
      <w:r>
        <w:rPr>
          <w:spacing w:val="-14"/>
          <w:w w:val="105"/>
        </w:rPr>
        <w:t xml:space="preserve"> </w:t>
      </w:r>
      <w:r>
        <w:rPr>
          <w:w w:val="105"/>
        </w:rPr>
        <w:t>males</w:t>
      </w:r>
      <w:r>
        <w:rPr>
          <w:spacing w:val="-12"/>
          <w:w w:val="105"/>
        </w:rPr>
        <w:t xml:space="preserve"> </w:t>
      </w:r>
      <w:r>
        <w:rPr>
          <w:w w:val="105"/>
        </w:rPr>
        <w:t>and</w:t>
      </w:r>
      <w:r>
        <w:rPr>
          <w:spacing w:val="-16"/>
          <w:w w:val="105"/>
        </w:rPr>
        <w:t xml:space="preserve"> </w:t>
      </w:r>
      <w:r>
        <w:rPr>
          <w:w w:val="105"/>
        </w:rPr>
        <w:t>females.</w:t>
      </w:r>
    </w:p>
    <w:p w:rsidR="00E675F0" w:rsidRDefault="00E675F0" w:rsidP="00E675F0">
      <w:pPr>
        <w:pStyle w:val="BodyText"/>
        <w:spacing w:before="3"/>
        <w:rPr>
          <w:sz w:val="32"/>
        </w:rPr>
      </w:pPr>
    </w:p>
    <w:p w:rsidR="00E675F0" w:rsidRDefault="00E675F0" w:rsidP="00E675F0">
      <w:pPr>
        <w:ind w:left="111"/>
        <w:rPr>
          <w:rFonts w:ascii="TimesNewRomanPS-BoldItalicMT"/>
          <w:b/>
          <w:i/>
          <w:sz w:val="25"/>
        </w:rPr>
      </w:pPr>
      <w:r>
        <w:rPr>
          <w:rFonts w:ascii="TimesNewRomanPS-BoldItalicMT"/>
          <w:b/>
          <w:i/>
          <w:w w:val="110"/>
          <w:sz w:val="25"/>
        </w:rPr>
        <w:t>Prevalence</w:t>
      </w:r>
    </w:p>
    <w:p w:rsidR="00E675F0" w:rsidRDefault="00E675F0" w:rsidP="00E675F0">
      <w:pPr>
        <w:pStyle w:val="BodyText"/>
        <w:spacing w:before="134" w:line="256" w:lineRule="auto"/>
        <w:ind w:left="127" w:right="130" w:hanging="2"/>
        <w:jc w:val="both"/>
      </w:pPr>
      <w:r>
        <w:rPr>
          <w:w w:val="105"/>
        </w:rPr>
        <w:t>Of all pediatric hospital admissions, 1%-5% are for failure to gain adequate weight, and up to one-half of these may reflect feeding disturbances without any apparent predis­ posing general medical condition.</w:t>
      </w:r>
    </w:p>
    <w:p w:rsidR="00E675F0" w:rsidRDefault="00E675F0" w:rsidP="00E675F0">
      <w:pPr>
        <w:pStyle w:val="BodyText"/>
        <w:spacing w:before="5"/>
        <w:rPr>
          <w:sz w:val="32"/>
        </w:rPr>
      </w:pPr>
    </w:p>
    <w:p w:rsidR="00E675F0" w:rsidRDefault="00E675F0" w:rsidP="00E675F0">
      <w:pPr>
        <w:spacing w:before="1"/>
        <w:ind w:left="102"/>
        <w:rPr>
          <w:rFonts w:ascii="TimesNewRomanPS-BoldItalicMT"/>
          <w:b/>
          <w:i/>
          <w:sz w:val="25"/>
        </w:rPr>
      </w:pPr>
      <w:r>
        <w:rPr>
          <w:rFonts w:ascii="TimesNewRomanPS-BoldItalicMT"/>
          <w:b/>
          <w:i/>
          <w:w w:val="110"/>
          <w:sz w:val="25"/>
        </w:rPr>
        <w:t>Course</w:t>
      </w:r>
    </w:p>
    <w:p w:rsidR="00E675F0" w:rsidRDefault="00E675F0" w:rsidP="00E675F0">
      <w:pPr>
        <w:pStyle w:val="BodyText"/>
        <w:spacing w:before="129" w:line="247" w:lineRule="auto"/>
        <w:ind w:left="121" w:right="128" w:firstLine="8"/>
        <w:jc w:val="both"/>
      </w:pPr>
      <w:r>
        <w:rPr>
          <w:w w:val="105"/>
        </w:rPr>
        <w:t xml:space="preserve">Feeding Disorder of Infancy or Early Childhood commonly has its onset in the first year of life, but may have an onset in children ages </w:t>
      </w:r>
      <w:r>
        <w:rPr>
          <w:w w:val="105"/>
          <w:sz w:val="21"/>
        </w:rPr>
        <w:t xml:space="preserve">2-3 </w:t>
      </w:r>
      <w:r>
        <w:rPr>
          <w:w w:val="105"/>
        </w:rPr>
        <w:t>years. The majority of children have improved growth after variable lengths of time.</w:t>
      </w:r>
    </w:p>
    <w:p w:rsidR="00E675F0" w:rsidRDefault="00E675F0" w:rsidP="00E675F0">
      <w:pPr>
        <w:pStyle w:val="BodyText"/>
        <w:rPr>
          <w:sz w:val="22"/>
        </w:rPr>
      </w:pPr>
    </w:p>
    <w:p w:rsidR="00E675F0" w:rsidRDefault="00E675F0" w:rsidP="00E675F0">
      <w:pPr>
        <w:spacing w:before="136"/>
        <w:ind w:left="113"/>
        <w:rPr>
          <w:rFonts w:ascii="TimesNewRomanPS-BoldItalicMT"/>
          <w:b/>
          <w:i/>
          <w:sz w:val="25"/>
        </w:rPr>
      </w:pPr>
      <w:r>
        <w:rPr>
          <w:rFonts w:ascii="TimesNewRomanPS-BoldItalicMT"/>
          <w:b/>
          <w:i/>
          <w:w w:val="110"/>
          <w:sz w:val="25"/>
        </w:rPr>
        <w:t>Differential Diagnosis</w:t>
      </w:r>
    </w:p>
    <w:p w:rsidR="00E675F0" w:rsidRDefault="00E675F0" w:rsidP="00E675F0">
      <w:pPr>
        <w:pStyle w:val="BodyText"/>
        <w:spacing w:before="134" w:line="256" w:lineRule="auto"/>
        <w:ind w:left="123" w:right="129" w:firstLine="2"/>
        <w:jc w:val="both"/>
      </w:pPr>
      <w:r>
        <w:rPr>
          <w:w w:val="105"/>
        </w:rPr>
        <w:t>Minor problems in feeding are common in infancy. The diagnosis of Feeding Disorder of Infancy or Early Childhood should be made only if the eating problem results in significant failure to gain weight or loss of</w:t>
      </w:r>
      <w:r>
        <w:rPr>
          <w:spacing w:val="40"/>
          <w:w w:val="105"/>
        </w:rPr>
        <w:t xml:space="preserve"> </w:t>
      </w:r>
      <w:r>
        <w:rPr>
          <w:w w:val="105"/>
        </w:rPr>
        <w:t>weight.</w:t>
      </w:r>
    </w:p>
    <w:p w:rsidR="00E675F0" w:rsidRDefault="00E675F0" w:rsidP="00E675F0">
      <w:pPr>
        <w:pStyle w:val="BodyText"/>
        <w:spacing w:line="252" w:lineRule="auto"/>
        <w:ind w:left="120" w:right="114" w:firstLine="362"/>
        <w:jc w:val="both"/>
      </w:pPr>
      <w:r>
        <w:rPr>
          <w:noProof/>
        </w:rPr>
        <mc:AlternateContent>
          <mc:Choice Requires="wpg">
            <w:drawing>
              <wp:anchor distT="0" distB="0" distL="114300" distR="114300" simplePos="0" relativeHeight="251774976" behindDoc="1" locked="0" layoutInCell="1" allowOverlap="1" wp14:anchorId="7C863118" wp14:editId="43166399">
                <wp:simplePos x="0" y="0"/>
                <wp:positionH relativeFrom="page">
                  <wp:posOffset>471805</wp:posOffset>
                </wp:positionH>
                <wp:positionV relativeFrom="paragraph">
                  <wp:posOffset>1333500</wp:posOffset>
                </wp:positionV>
                <wp:extent cx="4754245" cy="1880235"/>
                <wp:effectExtent l="0" t="0" r="20955" b="0"/>
                <wp:wrapNone/>
                <wp:docPr id="1528" name="Group 1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4245" cy="1880235"/>
                          <a:chOff x="743" y="2100"/>
                          <a:chExt cx="7487" cy="2961"/>
                        </a:xfrm>
                      </wpg:grpSpPr>
                      <wps:wsp>
                        <wps:cNvPr id="1529" name="Line 1487"/>
                        <wps:cNvCnPr>
                          <a:cxnSpLocks/>
                        </wps:cNvCnPr>
                        <wps:spPr bwMode="auto">
                          <a:xfrm>
                            <a:off x="815" y="5061"/>
                            <a:ext cx="0" cy="0"/>
                          </a:xfrm>
                          <a:prstGeom prst="line">
                            <a:avLst/>
                          </a:prstGeom>
                          <a:noFill/>
                          <a:ln w="305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0" name="Line 1486"/>
                        <wps:cNvCnPr>
                          <a:cxnSpLocks/>
                        </wps:cNvCnPr>
                        <wps:spPr bwMode="auto">
                          <a:xfrm>
                            <a:off x="743" y="2105"/>
                            <a:ext cx="7487" cy="0"/>
                          </a:xfrm>
                          <a:prstGeom prst="line">
                            <a:avLst/>
                          </a:prstGeom>
                          <a:noFill/>
                          <a:ln w="61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1" name="Line 1485"/>
                        <wps:cNvCnPr>
                          <a:cxnSpLocks/>
                        </wps:cNvCnPr>
                        <wps:spPr bwMode="auto">
                          <a:xfrm>
                            <a:off x="743" y="4965"/>
                            <a:ext cx="7487" cy="0"/>
                          </a:xfrm>
                          <a:prstGeom prst="line">
                            <a:avLst/>
                          </a:prstGeom>
                          <a:noFill/>
                          <a:ln w="335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D7AC6B" id="Group 1484" o:spid="_x0000_s1026" style="position:absolute;margin-left:37.15pt;margin-top:105pt;width:374.35pt;height:148.05pt;z-index:-251541504;mso-position-horizontal-relative:page" coordorigin="743,2100" coordsize="7487,29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">
                <v:line id="Line 1487" o:spid="_x0000_s1027" style="position:absolute;visibility:visible;mso-wrap-style:square" from="815,5061" to="815,50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" strokeweight=".84872mm">
                  <o:lock v:ext="edit" shapetype="f"/>
                </v:line>
                <v:line id="Line 1486" o:spid="_x0000_s1028" style="position:absolute;visibility:visible;mso-wrap-style:square" from="743,2105" to="8230,21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" strokeweight=".16958mm">
                  <o:lock v:ext="edit" shapetype="f"/>
                </v:line>
                <v:line id="Line 1485" o:spid="_x0000_s1029" style="position:absolute;visibility:visible;mso-wrap-style:square" from="743,4965" to="8230,49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" strokeweight=".93264mm">
                  <o:lock v:ext="edit" shapetype="f"/>
                </v:line>
                <w10:wrap anchorx="page"/>
              </v:group>
            </w:pict>
          </mc:Fallback>
        </mc:AlternateContent>
      </w:r>
      <w:r>
        <w:rPr>
          <w:w w:val="105"/>
        </w:rPr>
        <w:t xml:space="preserve">This disorder is not diagnosed if the feeding disturbances are fully explained by a </w:t>
      </w:r>
      <w:r>
        <w:rPr>
          <w:b/>
          <w:w w:val="105"/>
        </w:rPr>
        <w:t xml:space="preserve">gastrointestinal, endocrinological, or neurological condition. </w:t>
      </w:r>
      <w:r>
        <w:rPr>
          <w:w w:val="105"/>
        </w:rPr>
        <w:t>Children with an underlying general medical condition may be more difficult to  feed, and  the diagnosis of Feeding Disorder of Infancy or Early Childhood should not be made in such cases unless the degree of disturbance is of greater severity than would be expected on the basis of the general medical condition alone. The diagnosis is suggested if there is improvement in feeding and weight gain in response to changing caregivers.</w:t>
      </w:r>
    </w:p>
    <w:p w:rsidR="00E675F0" w:rsidRDefault="00E675F0" w:rsidP="00E675F0">
      <w:pPr>
        <w:pStyle w:val="BodyText"/>
      </w:pPr>
    </w:p>
    <w:p w:rsidR="00E675F0" w:rsidRDefault="00E675F0" w:rsidP="00E675F0">
      <w:pPr>
        <w:pStyle w:val="BodyText"/>
        <w:spacing w:before="11"/>
        <w:rPr>
          <w:sz w:val="14"/>
        </w:rPr>
      </w:pPr>
    </w:p>
    <w:tbl>
      <w:tblPr>
        <w:tblW w:w="0" w:type="auto"/>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23"/>
      </w:tblGrid>
      <w:tr w:rsidR="00E675F0" w:rsidTr="00A330E1">
        <w:trPr>
          <w:trHeight w:val="2825"/>
        </w:trPr>
        <w:tc>
          <w:tcPr>
            <w:tcW w:w="7323" w:type="dxa"/>
            <w:tcBorders>
              <w:left w:val="single" w:sz="24" w:space="0" w:color="000000"/>
              <w:bottom w:val="single" w:sz="24" w:space="0" w:color="000000"/>
              <w:right w:val="single" w:sz="24" w:space="0" w:color="000000"/>
            </w:tcBorders>
          </w:tcPr>
          <w:p w:rsidR="00E675F0" w:rsidRDefault="00E675F0" w:rsidP="003048D3">
            <w:pPr>
              <w:pStyle w:val="TableParagraph"/>
              <w:numPr>
                <w:ilvl w:val="0"/>
                <w:numId w:val="79"/>
              </w:numPr>
              <w:tabs>
                <w:tab w:val="left" w:pos="627"/>
              </w:tabs>
              <w:spacing w:before="120" w:line="208" w:lineRule="auto"/>
              <w:ind w:right="763" w:hanging="376"/>
              <w:rPr>
                <w:rFonts w:ascii="Arial" w:hAnsi="Arial"/>
                <w:b/>
                <w:sz w:val="24"/>
              </w:rPr>
            </w:pPr>
            <w:r>
              <w:rPr>
                <w:rFonts w:ascii="Arial" w:hAnsi="Arial"/>
                <w:b/>
                <w:w w:val="105"/>
                <w:sz w:val="24"/>
              </w:rPr>
              <w:t>Diagnostic criteria for 307.59 Feeding</w:t>
            </w:r>
            <w:r>
              <w:rPr>
                <w:rFonts w:ascii="Arial" w:hAnsi="Arial"/>
                <w:b/>
                <w:spacing w:val="-55"/>
                <w:w w:val="105"/>
                <w:sz w:val="24"/>
              </w:rPr>
              <w:t xml:space="preserve"> </w:t>
            </w:r>
            <w:r>
              <w:rPr>
                <w:rFonts w:ascii="Arial" w:hAnsi="Arial"/>
                <w:b/>
                <w:w w:val="105"/>
                <w:sz w:val="24"/>
              </w:rPr>
              <w:t>Disorder of Infancy or Early</w:t>
            </w:r>
            <w:r>
              <w:rPr>
                <w:rFonts w:ascii="Arial" w:hAnsi="Arial"/>
                <w:b/>
                <w:spacing w:val="-18"/>
                <w:w w:val="105"/>
                <w:sz w:val="24"/>
              </w:rPr>
              <w:t xml:space="preserve"> </w:t>
            </w:r>
            <w:r>
              <w:rPr>
                <w:rFonts w:ascii="Arial" w:hAnsi="Arial"/>
                <w:b/>
                <w:w w:val="105"/>
                <w:sz w:val="24"/>
              </w:rPr>
              <w:t>Childhood</w:t>
            </w:r>
          </w:p>
          <w:p w:rsidR="00E675F0" w:rsidRDefault="00E675F0" w:rsidP="003048D3">
            <w:pPr>
              <w:pStyle w:val="TableParagraph"/>
              <w:numPr>
                <w:ilvl w:val="1"/>
                <w:numId w:val="79"/>
              </w:numPr>
              <w:tabs>
                <w:tab w:val="left" w:pos="954"/>
              </w:tabs>
              <w:spacing w:before="231" w:line="254" w:lineRule="auto"/>
              <w:ind w:right="214" w:hanging="302"/>
              <w:jc w:val="both"/>
              <w:rPr>
                <w:rFonts w:ascii="Arial"/>
                <w:sz w:val="18"/>
              </w:rPr>
            </w:pPr>
            <w:r>
              <w:rPr>
                <w:w w:val="105"/>
                <w:sz w:val="20"/>
              </w:rPr>
              <w:t>Feeding disturbance as manifested by persistent failure to eat adequately with significant failure to gain weight or significant loss of weight over at least 1</w:t>
            </w:r>
            <w:r>
              <w:rPr>
                <w:spacing w:val="34"/>
                <w:w w:val="105"/>
                <w:sz w:val="20"/>
              </w:rPr>
              <w:t xml:space="preserve"> </w:t>
            </w:r>
            <w:r>
              <w:rPr>
                <w:w w:val="105"/>
                <w:sz w:val="20"/>
              </w:rPr>
              <w:t>month.</w:t>
            </w:r>
          </w:p>
          <w:p w:rsidR="00E675F0" w:rsidRDefault="00E675F0" w:rsidP="003048D3">
            <w:pPr>
              <w:pStyle w:val="TableParagraph"/>
              <w:numPr>
                <w:ilvl w:val="1"/>
                <w:numId w:val="79"/>
              </w:numPr>
              <w:tabs>
                <w:tab w:val="left" w:pos="946"/>
              </w:tabs>
              <w:spacing w:before="187" w:line="252" w:lineRule="auto"/>
              <w:ind w:right="217" w:hanging="296"/>
              <w:rPr>
                <w:sz w:val="20"/>
              </w:rPr>
            </w:pPr>
            <w:r>
              <w:rPr>
                <w:w w:val="105"/>
                <w:sz w:val="20"/>
              </w:rPr>
              <w:t>The disturbance is not due to an associated gastrointestinal or other general medical condition (e.g., esophageal</w:t>
            </w:r>
            <w:r>
              <w:rPr>
                <w:spacing w:val="38"/>
                <w:w w:val="105"/>
                <w:sz w:val="20"/>
              </w:rPr>
              <w:t xml:space="preserve"> </w:t>
            </w:r>
            <w:r>
              <w:rPr>
                <w:w w:val="105"/>
                <w:sz w:val="20"/>
              </w:rPr>
              <w:t>reflux).</w:t>
            </w:r>
          </w:p>
          <w:p w:rsidR="00E675F0" w:rsidRDefault="00E675F0" w:rsidP="00A330E1">
            <w:pPr>
              <w:pStyle w:val="TableParagraph"/>
              <w:spacing w:line="230" w:lineRule="exact"/>
              <w:ind w:left="6018"/>
              <w:rPr>
                <w:i/>
                <w:sz w:val="21"/>
              </w:rPr>
            </w:pPr>
            <w:r>
              <w:rPr>
                <w:i/>
                <w:w w:val="105"/>
                <w:sz w:val="21"/>
              </w:rPr>
              <w:t>(continued)</w:t>
            </w:r>
          </w:p>
        </w:tc>
      </w:tr>
    </w:tbl>
    <w:p w:rsidR="00E675F0" w:rsidRDefault="00E675F0" w:rsidP="00E675F0">
      <w:pPr>
        <w:spacing w:line="230" w:lineRule="exact"/>
        <w:rPr>
          <w:sz w:val="21"/>
        </w:rPr>
        <w:sectPr w:rsidR="00E675F0">
          <w:headerReference w:type="even" r:id="rId116"/>
          <w:headerReference w:type="default" r:id="rId117"/>
          <w:pgSz w:w="8960" w:h="14260"/>
          <w:pgMar w:top="1400" w:right="620" w:bottom="280" w:left="620" w:header="688" w:footer="0" w:gutter="0"/>
          <w:cols w:space="720"/>
        </w:sectPr>
      </w:pPr>
    </w:p>
    <w:p w:rsidR="00E675F0" w:rsidRDefault="00E675F0" w:rsidP="00E675F0">
      <w:pPr>
        <w:pStyle w:val="BodyText"/>
        <w:spacing w:before="1"/>
        <w:rPr>
          <w:sz w:val="3"/>
        </w:rPr>
      </w:pPr>
    </w:p>
    <w:p w:rsidR="00E675F0" w:rsidRDefault="00E675F0" w:rsidP="00E675F0">
      <w:pPr>
        <w:pStyle w:val="BodyText"/>
        <w:ind w:left="82"/>
      </w:pPr>
      <w:r>
        <w:rPr>
          <w:noProof/>
        </w:rPr>
        <mc:AlternateContent>
          <mc:Choice Requires="wpg">
            <w:drawing>
              <wp:inline distT="0" distB="0" distL="0" distR="0" wp14:anchorId="4CF7C46A" wp14:editId="5836FC8F">
                <wp:extent cx="4765675" cy="1489710"/>
                <wp:effectExtent l="0" t="0" r="22225" b="8890"/>
                <wp:docPr id="1521" name="Group 1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5675" cy="1489710"/>
                          <a:chOff x="0" y="0"/>
                          <a:chExt cx="7505" cy="2346"/>
                        </a:xfrm>
                      </wpg:grpSpPr>
                      <wps:wsp>
                        <wps:cNvPr id="1522" name="Line 1483"/>
                        <wps:cNvCnPr>
                          <a:cxnSpLocks/>
                        </wps:cNvCnPr>
                        <wps:spPr bwMode="auto">
                          <a:xfrm>
                            <a:off x="5" y="2326"/>
                            <a:ext cx="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3" name="Line 1482"/>
                        <wps:cNvCnPr>
                          <a:cxnSpLocks/>
                        </wps:cNvCnPr>
                        <wps:spPr bwMode="auto">
                          <a:xfrm>
                            <a:off x="96" y="2269"/>
                            <a:ext cx="0" cy="0"/>
                          </a:xfrm>
                          <a:prstGeom prst="line">
                            <a:avLst/>
                          </a:prstGeom>
                          <a:noFill/>
                          <a:ln w="2443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4" name="Line 1481"/>
                        <wps:cNvCnPr>
                          <a:cxnSpLocks/>
                        </wps:cNvCnPr>
                        <wps:spPr bwMode="auto">
                          <a:xfrm>
                            <a:off x="7408" y="2346"/>
                            <a:ext cx="0" cy="0"/>
                          </a:xfrm>
                          <a:prstGeom prst="line">
                            <a:avLst/>
                          </a:prstGeom>
                          <a:noFill/>
                          <a:ln w="366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5" name="Line 1480"/>
                        <wps:cNvCnPr>
                          <a:cxnSpLocks/>
                        </wps:cNvCnPr>
                        <wps:spPr bwMode="auto">
                          <a:xfrm>
                            <a:off x="0" y="5"/>
                            <a:ext cx="7504" cy="0"/>
                          </a:xfrm>
                          <a:prstGeom prst="line">
                            <a:avLst/>
                          </a:prstGeom>
                          <a:noFill/>
                          <a:ln w="61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6" name="Line 1479"/>
                        <wps:cNvCnPr>
                          <a:cxnSpLocks/>
                        </wps:cNvCnPr>
                        <wps:spPr bwMode="auto">
                          <a:xfrm>
                            <a:off x="0" y="2249"/>
                            <a:ext cx="7504" cy="0"/>
                          </a:xfrm>
                          <a:prstGeom prst="line">
                            <a:avLst/>
                          </a:prstGeom>
                          <a:noFill/>
                          <a:ln w="366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7" name="Text Box 1478"/>
                        <wps:cNvSpPr txBox="1">
                          <a:spLocks/>
                        </wps:cNvSpPr>
                        <wps:spPr bwMode="auto">
                          <a:xfrm>
                            <a:off x="115" y="9"/>
                            <a:ext cx="7264" cy="2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5F0" w:rsidRDefault="00E675F0" w:rsidP="003048D3">
                              <w:pPr>
                                <w:numPr>
                                  <w:ilvl w:val="0"/>
                                  <w:numId w:val="78"/>
                                </w:numPr>
                                <w:tabs>
                                  <w:tab w:val="left" w:pos="557"/>
                                </w:tabs>
                                <w:spacing w:before="193" w:line="218" w:lineRule="auto"/>
                                <w:ind w:right="444" w:hanging="331"/>
                                <w:rPr>
                                  <w:rFonts w:ascii="Arial"/>
                                  <w:i/>
                                </w:rPr>
                              </w:pPr>
                              <w:bookmarkStart w:id="63" w:name="_bookmark48"/>
                              <w:bookmarkEnd w:id="63"/>
                              <w:r>
                                <w:rPr>
                                  <w:rFonts w:ascii="Arial"/>
                                  <w:b/>
                                </w:rPr>
                                <w:t xml:space="preserve">Diagnostic criteria for 307.59 Feeding Disorder  of Infancy or Early Childhood </w:t>
                              </w:r>
                              <w:r>
                                <w:rPr>
                                  <w:rFonts w:ascii="Arial"/>
                                  <w:i/>
                                </w:rPr>
                                <w:t>(continued)</w:t>
                              </w:r>
                            </w:p>
                            <w:p w:rsidR="00E675F0" w:rsidRDefault="00E675F0" w:rsidP="00E675F0">
                              <w:pPr>
                                <w:rPr>
                                  <w:rFonts w:ascii="Arial"/>
                                  <w:i/>
                                  <w:sz w:val="19"/>
                                </w:rPr>
                              </w:pPr>
                            </w:p>
                            <w:p w:rsidR="00E675F0" w:rsidRDefault="00E675F0" w:rsidP="00E675F0">
                              <w:pPr>
                                <w:spacing w:line="249" w:lineRule="auto"/>
                                <w:ind w:left="920" w:right="312" w:hanging="302"/>
                                <w:rPr>
                                  <w:sz w:val="20"/>
                                </w:rPr>
                              </w:pPr>
                              <w:r>
                                <w:rPr>
                                  <w:w w:val="105"/>
                                  <w:sz w:val="18"/>
                                </w:rPr>
                                <w:t xml:space="preserve">C. </w:t>
                              </w:r>
                              <w:r>
                                <w:rPr>
                                  <w:w w:val="105"/>
                                  <w:sz w:val="20"/>
                                </w:rPr>
                                <w:t>The disturbance is not better accounted for by another mental disorder (e.g., Rumination Disorder) or by lack of available food.</w:t>
                              </w:r>
                            </w:p>
                            <w:p w:rsidR="00E675F0" w:rsidRDefault="00E675F0" w:rsidP="00E675F0">
                              <w:pPr>
                                <w:spacing w:before="195"/>
                                <w:ind w:left="621"/>
                                <w:rPr>
                                  <w:sz w:val="20"/>
                                </w:rPr>
                              </w:pPr>
                              <w:r>
                                <w:rPr>
                                  <w:w w:val="105"/>
                                  <w:sz w:val="20"/>
                                </w:rPr>
                                <w:t>D. The onset is before age 6 years.</w:t>
                              </w:r>
                            </w:p>
                          </w:txbxContent>
                        </wps:txbx>
                        <wps:bodyPr rot="0" vert="horz" wrap="square" lIns="0" tIns="0" rIns="0" bIns="0" anchor="t" anchorCtr="0" upright="1">
                          <a:noAutofit/>
                        </wps:bodyPr>
                      </wps:wsp>
                    </wpg:wgp>
                  </a:graphicData>
                </a:graphic>
              </wp:inline>
            </w:drawing>
          </mc:Choice>
          <mc:Fallback>
            <w:pict>
              <v:group w14:anchorId="4CF7C46A" id="Group 1477" o:spid="_x0000_s1082" style="width:375.25pt;height:117.3pt;mso-position-horizontal-relative:char;mso-position-vertical-relative:line" coordsize="7505,234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">
                <v:line id="Line 1483" o:spid="_x0000_s1083" style="position:absolute;visibility:visible;mso-wrap-style:square" from="5,2326" to="5,23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" strokeweight=".16969mm">
                  <o:lock v:ext="edit" shapetype="f"/>
                </v:line>
                <v:line id="Line 1482" o:spid="_x0000_s1084" style="position:absolute;visibility:visible;mso-wrap-style:square" from="96,2269" to="96,22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" strokeweight=".67878mm">
                  <o:lock v:ext="edit" shapetype="f"/>
                </v:line>
                <v:line id="Line 1481" o:spid="_x0000_s1085" style="position:absolute;visibility:visible;mso-wrap-style:square" from="7408,2346" to="7408,23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" strokeweight="1.0182mm">
                  <o:lock v:ext="edit" shapetype="f"/>
                </v:line>
                <v:line id="Line 1480" o:spid="_x0000_s1086" style="position:absolute;visibility:visible;mso-wrap-style:square" from="0,5" to="750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" strokeweight=".16956mm">
                  <o:lock v:ext="edit" shapetype="f"/>
                </v:line>
                <v:line id="Line 1479" o:spid="_x0000_s1087" style="position:absolute;visibility:visible;mso-wrap-style:square" from="0,2249" to="7504,22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" strokeweight="1.0174mm">
                  <o:lock v:ext="edit" shapetype="f"/>
                </v:line>
                <v:shape id="Text Box 1478" o:spid="_x0000_s1088" type="#_x0000_t202" style="position:absolute;left:115;top:9;width:7264;height:22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" filled="f" stroked="f">
                  <v:path arrowok="t"/>
                  <v:textbox inset="0,0,0,0">
                    <w:txbxContent>
                      <w:p w:rsidR="00E675F0" w:rsidRDefault="00E675F0" w:rsidP="003048D3">
                        <w:pPr>
                          <w:numPr>
                            <w:ilvl w:val="0"/>
                            <w:numId w:val="78"/>
                          </w:numPr>
                          <w:tabs>
                            <w:tab w:val="left" w:pos="557"/>
                          </w:tabs>
                          <w:spacing w:before="193" w:line="218" w:lineRule="auto"/>
                          <w:ind w:right="444" w:hanging="331"/>
                          <w:rPr>
                            <w:rFonts w:ascii="Arial"/>
                            <w:i/>
                          </w:rPr>
                        </w:pPr>
                        <w:bookmarkStart w:id="64" w:name="_bookmark48"/>
                        <w:bookmarkEnd w:id="64"/>
                        <w:r>
                          <w:rPr>
                            <w:rFonts w:ascii="Arial"/>
                            <w:b/>
                          </w:rPr>
                          <w:t xml:space="preserve">Diagnostic criteria for 307.59 Feeding Disorder  of Infancy or Early Childhood </w:t>
                        </w:r>
                        <w:r>
                          <w:rPr>
                            <w:rFonts w:ascii="Arial"/>
                            <w:i/>
                          </w:rPr>
                          <w:t>(continued)</w:t>
                        </w:r>
                      </w:p>
                      <w:p w:rsidR="00E675F0" w:rsidRDefault="00E675F0" w:rsidP="00E675F0">
                        <w:pPr>
                          <w:rPr>
                            <w:rFonts w:ascii="Arial"/>
                            <w:i/>
                            <w:sz w:val="19"/>
                          </w:rPr>
                        </w:pPr>
                      </w:p>
                      <w:p w:rsidR="00E675F0" w:rsidRDefault="00E675F0" w:rsidP="00E675F0">
                        <w:pPr>
                          <w:spacing w:line="249" w:lineRule="auto"/>
                          <w:ind w:left="920" w:right="312" w:hanging="302"/>
                          <w:rPr>
                            <w:sz w:val="20"/>
                          </w:rPr>
                        </w:pPr>
                        <w:r>
                          <w:rPr>
                            <w:w w:val="105"/>
                            <w:sz w:val="18"/>
                          </w:rPr>
                          <w:t xml:space="preserve">C. </w:t>
                        </w:r>
                        <w:r>
                          <w:rPr>
                            <w:w w:val="105"/>
                            <w:sz w:val="20"/>
                          </w:rPr>
                          <w:t>The disturbance is not better accounted for by another mental disorder (e.g., Rumination Disorder) or by lack of available food.</w:t>
                        </w:r>
                      </w:p>
                      <w:p w:rsidR="00E675F0" w:rsidRDefault="00E675F0" w:rsidP="00E675F0">
                        <w:pPr>
                          <w:spacing w:before="195"/>
                          <w:ind w:left="621"/>
                          <w:rPr>
                            <w:sz w:val="20"/>
                          </w:rPr>
                        </w:pPr>
                        <w:r>
                          <w:rPr>
                            <w:w w:val="105"/>
                            <w:sz w:val="20"/>
                          </w:rPr>
                          <w:t>D. The onset is before age 6 years.</w:t>
                        </w:r>
                      </w:p>
                    </w:txbxContent>
                  </v:textbox>
                </v:shape>
                <w10:anchorlock/>
              </v:group>
            </w:pict>
          </mc:Fallback>
        </mc:AlternateContent>
      </w:r>
    </w:p>
    <w:p w:rsidR="00E675F0" w:rsidRDefault="00E675F0" w:rsidP="00E675F0">
      <w:pPr>
        <w:pStyle w:val="BodyText"/>
      </w:pPr>
    </w:p>
    <w:p w:rsidR="00E675F0" w:rsidRDefault="00E675F0" w:rsidP="00E675F0">
      <w:pPr>
        <w:pStyle w:val="BodyText"/>
        <w:spacing w:before="1"/>
        <w:rPr>
          <w:sz w:val="13"/>
        </w:rPr>
      </w:pPr>
      <w:r>
        <w:rPr>
          <w:noProof/>
        </w:rPr>
        <mc:AlternateContent>
          <mc:Choice Requires="wps">
            <w:drawing>
              <wp:anchor distT="0" distB="0" distL="0" distR="0" simplePos="0" relativeHeight="251850752" behindDoc="1" locked="0" layoutInCell="1" allowOverlap="1" wp14:anchorId="5083E2EC" wp14:editId="6EA563EE">
                <wp:simplePos x="0" y="0"/>
                <wp:positionH relativeFrom="page">
                  <wp:posOffset>476250</wp:posOffset>
                </wp:positionH>
                <wp:positionV relativeFrom="paragraph">
                  <wp:posOffset>127000</wp:posOffset>
                </wp:positionV>
                <wp:extent cx="1722755" cy="1270"/>
                <wp:effectExtent l="0" t="0" r="4445" b="0"/>
                <wp:wrapTopAndBottom/>
                <wp:docPr id="1520" name="Freeform 1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2755" cy="1270"/>
                        </a:xfrm>
                        <a:custGeom>
                          <a:avLst/>
                          <a:gdLst>
                            <a:gd name="T0" fmla="+- 0 750 750"/>
                            <a:gd name="T1" fmla="*/ T0 w 2713"/>
                            <a:gd name="T2" fmla="+- 0 3463 750"/>
                            <a:gd name="T3" fmla="*/ T2 w 2713"/>
                          </a:gdLst>
                          <a:ahLst/>
                          <a:cxnLst>
                            <a:cxn ang="0">
                              <a:pos x="T1" y="0"/>
                            </a:cxn>
                            <a:cxn ang="0">
                              <a:pos x="T3" y="0"/>
                            </a:cxn>
                          </a:cxnLst>
                          <a:rect l="0" t="0" r="r" b="b"/>
                          <a:pathLst>
                            <a:path w="2713">
                              <a:moveTo>
                                <a:pt x="0" y="0"/>
                              </a:moveTo>
                              <a:lnTo>
                                <a:pt x="2713" y="0"/>
                              </a:lnTo>
                            </a:path>
                          </a:pathLst>
                        </a:custGeom>
                        <a:noFill/>
                        <a:ln w="122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32B2C" id="Freeform 1476" o:spid="_x0000_s1026" style="position:absolute;margin-left:37.5pt;margin-top:10pt;width:135.65pt;height:.1pt;z-index:-251465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13,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" path="m,l2713,e" filled="f" strokeweight=".33911mm">
                <v:path arrowok="t" o:connecttype="custom" o:connectlocs="0,0;1722755,0" o:connectangles="0,0"/>
                <w10:wrap type="topAndBottom" anchorx="page"/>
              </v:shape>
            </w:pict>
          </mc:Fallback>
        </mc:AlternateContent>
      </w:r>
      <w:r>
        <w:rPr>
          <w:noProof/>
        </w:rPr>
        <mc:AlternateContent>
          <mc:Choice Requires="wps">
            <w:drawing>
              <wp:anchor distT="0" distB="0" distL="0" distR="0" simplePos="0" relativeHeight="251851776" behindDoc="1" locked="0" layoutInCell="1" allowOverlap="1" wp14:anchorId="59F78663" wp14:editId="07EB7795">
                <wp:simplePos x="0" y="0"/>
                <wp:positionH relativeFrom="page">
                  <wp:posOffset>3567430</wp:posOffset>
                </wp:positionH>
                <wp:positionV relativeFrom="paragraph">
                  <wp:posOffset>127000</wp:posOffset>
                </wp:positionV>
                <wp:extent cx="1649730" cy="1270"/>
                <wp:effectExtent l="0" t="0" r="1270" b="0"/>
                <wp:wrapTopAndBottom/>
                <wp:docPr id="1519" name="Freeform 1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9730" cy="1270"/>
                        </a:xfrm>
                        <a:custGeom>
                          <a:avLst/>
                          <a:gdLst>
                            <a:gd name="T0" fmla="+- 0 5618 5618"/>
                            <a:gd name="T1" fmla="*/ T0 w 2598"/>
                            <a:gd name="T2" fmla="+- 0 8216 5618"/>
                            <a:gd name="T3" fmla="*/ T2 w 2598"/>
                          </a:gdLst>
                          <a:ahLst/>
                          <a:cxnLst>
                            <a:cxn ang="0">
                              <a:pos x="T1" y="0"/>
                            </a:cxn>
                            <a:cxn ang="0">
                              <a:pos x="T3" y="0"/>
                            </a:cxn>
                          </a:cxnLst>
                          <a:rect l="0" t="0" r="r" b="b"/>
                          <a:pathLst>
                            <a:path w="2598">
                              <a:moveTo>
                                <a:pt x="0" y="0"/>
                              </a:moveTo>
                              <a:lnTo>
                                <a:pt x="2598" y="0"/>
                              </a:lnTo>
                            </a:path>
                          </a:pathLst>
                        </a:custGeom>
                        <a:noFill/>
                        <a:ln w="915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657BD" id="Freeform 1475" o:spid="_x0000_s1026" style="position:absolute;margin-left:280.9pt;margin-top:10pt;width:129.9pt;height:.1pt;z-index:-251464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98,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" path="m,l2598,e" filled="f" strokeweight=".25433mm">
                <v:path arrowok="t" o:connecttype="custom" o:connectlocs="0,0;1649730,0" o:connectangles="0,0"/>
                <w10:wrap type="topAndBottom" anchorx="page"/>
              </v:shape>
            </w:pict>
          </mc:Fallback>
        </mc:AlternateContent>
      </w:r>
    </w:p>
    <w:p w:rsidR="00E675F0" w:rsidRDefault="00E675F0" w:rsidP="00E675F0">
      <w:pPr>
        <w:spacing w:before="82"/>
        <w:ind w:left="136" w:right="104"/>
        <w:jc w:val="center"/>
        <w:rPr>
          <w:rFonts w:ascii="Arial"/>
          <w:b/>
          <w:sz w:val="26"/>
        </w:rPr>
      </w:pPr>
      <w:r>
        <w:rPr>
          <w:rFonts w:ascii="Arial"/>
          <w:b/>
          <w:color w:val="111111"/>
          <w:sz w:val="26"/>
        </w:rPr>
        <w:t>Tic Disorders</w:t>
      </w:r>
    </w:p>
    <w:p w:rsidR="00E675F0" w:rsidRDefault="00E675F0" w:rsidP="00E675F0">
      <w:pPr>
        <w:pStyle w:val="BodyText"/>
        <w:spacing w:before="10"/>
        <w:rPr>
          <w:rFonts w:ascii="Arial"/>
          <w:b/>
          <w:sz w:val="27"/>
        </w:rPr>
      </w:pPr>
    </w:p>
    <w:p w:rsidR="00E675F0" w:rsidRDefault="00E675F0" w:rsidP="00E675F0">
      <w:pPr>
        <w:pStyle w:val="BodyText"/>
        <w:spacing w:line="254" w:lineRule="auto"/>
        <w:ind w:left="113" w:right="114" w:firstLine="4"/>
        <w:jc w:val="both"/>
      </w:pPr>
      <w:r>
        <w:rPr>
          <w:w w:val="105"/>
        </w:rPr>
        <w:t xml:space="preserve">Four disorders are included in this section: Tourette's Disorder, Chronic Motor or Vocal Tic Disorder, Transient Tic Disorder, and Tic Disorder Not Otherwise Specified. A </w:t>
      </w:r>
      <w:r>
        <w:rPr>
          <w:i/>
          <w:w w:val="105"/>
        </w:rPr>
        <w:t xml:space="preserve">tic </w:t>
      </w:r>
      <w:r>
        <w:rPr>
          <w:w w:val="105"/>
        </w:rPr>
        <w:t xml:space="preserve">is </w:t>
      </w:r>
      <w:r>
        <w:rPr>
          <w:color w:val="111111"/>
          <w:w w:val="105"/>
        </w:rPr>
        <w:t xml:space="preserve">a </w:t>
      </w:r>
      <w:r>
        <w:rPr>
          <w:w w:val="105"/>
        </w:rPr>
        <w:t xml:space="preserve">sudden, rapid, recurrent, nonrhythmic, stereotyped  motor movement  or vocalization. </w:t>
      </w:r>
      <w:r>
        <w:rPr>
          <w:w w:val="105"/>
          <w:sz w:val="19"/>
        </w:rPr>
        <w:t xml:space="preserve">It </w:t>
      </w:r>
      <w:r>
        <w:rPr>
          <w:w w:val="105"/>
        </w:rPr>
        <w:t>is experienced as irresistible but can be suppressed for varying lengths of time. All forms of tic may be exacerbated by stress and attenuated during absorbing activities (e.g., reading or sewing). Tics are usually markedly diminished during sleep. Both motor and vocal tics may be classified as either simple or complex, although the boundary is not</w:t>
      </w:r>
      <w:r>
        <w:rPr>
          <w:spacing w:val="-8"/>
          <w:w w:val="105"/>
        </w:rPr>
        <w:t xml:space="preserve"> </w:t>
      </w:r>
      <w:r>
        <w:rPr>
          <w:w w:val="105"/>
        </w:rPr>
        <w:t>well</w:t>
      </w:r>
      <w:r>
        <w:rPr>
          <w:spacing w:val="-11"/>
          <w:w w:val="105"/>
        </w:rPr>
        <w:t xml:space="preserve"> </w:t>
      </w:r>
      <w:r>
        <w:rPr>
          <w:w w:val="105"/>
        </w:rPr>
        <w:t>defined.</w:t>
      </w:r>
      <w:r>
        <w:rPr>
          <w:spacing w:val="-5"/>
          <w:w w:val="105"/>
        </w:rPr>
        <w:t xml:space="preserve"> </w:t>
      </w:r>
      <w:r>
        <w:rPr>
          <w:w w:val="105"/>
        </w:rPr>
        <w:t>Common</w:t>
      </w:r>
      <w:r>
        <w:rPr>
          <w:spacing w:val="15"/>
          <w:w w:val="105"/>
        </w:rPr>
        <w:t xml:space="preserve"> </w:t>
      </w:r>
      <w:r>
        <w:rPr>
          <w:i/>
          <w:w w:val="105"/>
        </w:rPr>
        <w:t>simple</w:t>
      </w:r>
      <w:r>
        <w:rPr>
          <w:i/>
          <w:spacing w:val="-13"/>
          <w:w w:val="105"/>
        </w:rPr>
        <w:t xml:space="preserve"> </w:t>
      </w:r>
      <w:r>
        <w:rPr>
          <w:i/>
          <w:w w:val="105"/>
        </w:rPr>
        <w:t>motor</w:t>
      </w:r>
      <w:r>
        <w:rPr>
          <w:i/>
          <w:spacing w:val="-29"/>
          <w:w w:val="105"/>
        </w:rPr>
        <w:t xml:space="preserve"> </w:t>
      </w:r>
      <w:r>
        <w:rPr>
          <w:i/>
          <w:w w:val="105"/>
        </w:rPr>
        <w:t>tics</w:t>
      </w:r>
      <w:r>
        <w:rPr>
          <w:i/>
          <w:spacing w:val="-26"/>
          <w:w w:val="105"/>
        </w:rPr>
        <w:t xml:space="preserve"> </w:t>
      </w:r>
      <w:r>
        <w:rPr>
          <w:w w:val="105"/>
        </w:rPr>
        <w:t>include</w:t>
      </w:r>
      <w:r>
        <w:rPr>
          <w:spacing w:val="-3"/>
          <w:w w:val="105"/>
        </w:rPr>
        <w:t xml:space="preserve"> </w:t>
      </w:r>
      <w:r>
        <w:rPr>
          <w:w w:val="105"/>
        </w:rPr>
        <w:t>eye</w:t>
      </w:r>
      <w:r>
        <w:rPr>
          <w:spacing w:val="-10"/>
          <w:w w:val="105"/>
        </w:rPr>
        <w:t xml:space="preserve"> </w:t>
      </w:r>
      <w:r>
        <w:rPr>
          <w:w w:val="105"/>
        </w:rPr>
        <w:t>blinking,</w:t>
      </w:r>
      <w:r>
        <w:rPr>
          <w:spacing w:val="10"/>
          <w:w w:val="105"/>
        </w:rPr>
        <w:t xml:space="preserve"> </w:t>
      </w:r>
      <w:r>
        <w:rPr>
          <w:w w:val="105"/>
        </w:rPr>
        <w:t>neck</w:t>
      </w:r>
      <w:r>
        <w:rPr>
          <w:spacing w:val="14"/>
          <w:w w:val="105"/>
        </w:rPr>
        <w:t xml:space="preserve"> </w:t>
      </w:r>
      <w:r>
        <w:rPr>
          <w:w w:val="105"/>
        </w:rPr>
        <w:t>jerking,</w:t>
      </w:r>
      <w:r>
        <w:rPr>
          <w:spacing w:val="2"/>
          <w:w w:val="105"/>
        </w:rPr>
        <w:t xml:space="preserve"> </w:t>
      </w:r>
      <w:r>
        <w:rPr>
          <w:w w:val="105"/>
        </w:rPr>
        <w:t xml:space="preserve">shoulder shrugging, facial grimacing, and coughing. Common </w:t>
      </w:r>
      <w:r>
        <w:rPr>
          <w:i/>
          <w:w w:val="105"/>
        </w:rPr>
        <w:t xml:space="preserve">simple vocal tics </w:t>
      </w:r>
      <w:r>
        <w:rPr>
          <w:w w:val="105"/>
        </w:rPr>
        <w:t xml:space="preserve">include throat clearing, grunting, sniffing, snorting, and barking. Common </w:t>
      </w:r>
      <w:r>
        <w:rPr>
          <w:i/>
          <w:w w:val="105"/>
        </w:rPr>
        <w:t xml:space="preserve">complex motor tics </w:t>
      </w:r>
      <w:r>
        <w:rPr>
          <w:w w:val="105"/>
        </w:rPr>
        <w:t xml:space="preserve">include facial gestures, grooming behaviors, jumping, touching, stamping, and smelling an object. Common </w:t>
      </w:r>
      <w:r>
        <w:rPr>
          <w:i/>
          <w:w w:val="105"/>
        </w:rPr>
        <w:t xml:space="preserve">complex vocal tics </w:t>
      </w:r>
      <w:r>
        <w:rPr>
          <w:w w:val="105"/>
        </w:rPr>
        <w:t>include repeating words or phrases out of context, coprolalia (use of socially unacceptable words, frequently obscene), palilalia (repeating one's own sounds or words), and echolalia (repeating the last-heard sound, word, or phrase). Other complex tics include echokinesis (imitation of someone else's move­ ments).</w:t>
      </w:r>
    </w:p>
    <w:p w:rsidR="00E675F0" w:rsidRDefault="00E675F0" w:rsidP="00E675F0">
      <w:pPr>
        <w:pStyle w:val="BodyText"/>
        <w:rPr>
          <w:sz w:val="22"/>
        </w:rPr>
      </w:pPr>
    </w:p>
    <w:p w:rsidR="00E675F0" w:rsidRDefault="00E675F0" w:rsidP="00E675F0">
      <w:pPr>
        <w:spacing w:before="178"/>
        <w:ind w:left="110"/>
        <w:jc w:val="both"/>
        <w:rPr>
          <w:rFonts w:ascii="TimesNewRomanPS-BoldItalicMT"/>
          <w:b/>
          <w:i/>
          <w:sz w:val="24"/>
        </w:rPr>
      </w:pPr>
      <w:r>
        <w:rPr>
          <w:rFonts w:ascii="TimesNewRomanPS-BoldItalicMT"/>
          <w:b/>
          <w:i/>
          <w:w w:val="115"/>
          <w:sz w:val="24"/>
        </w:rPr>
        <w:t>Di.fferential magnosis</w:t>
      </w:r>
    </w:p>
    <w:p w:rsidR="00E675F0" w:rsidRDefault="00E675F0" w:rsidP="00E675F0">
      <w:pPr>
        <w:pStyle w:val="BodyText"/>
        <w:spacing w:before="161" w:line="254" w:lineRule="auto"/>
        <w:ind w:left="116" w:right="102" w:firstLine="3"/>
        <w:jc w:val="both"/>
      </w:pPr>
      <w:r>
        <w:rPr>
          <w:w w:val="110"/>
        </w:rPr>
        <w:t xml:space="preserve">Tic Disorders must be distinguished from other types of </w:t>
      </w:r>
      <w:r>
        <w:rPr>
          <w:b/>
          <w:w w:val="110"/>
        </w:rPr>
        <w:t xml:space="preserve">abnormal movements that may accompany general medical conditions </w:t>
      </w:r>
      <w:r>
        <w:rPr>
          <w:w w:val="110"/>
        </w:rPr>
        <w:t>(e.g., Huntington's disease, stroke, Lesch-Nyhan</w:t>
      </w:r>
      <w:r>
        <w:rPr>
          <w:spacing w:val="-25"/>
          <w:w w:val="110"/>
        </w:rPr>
        <w:t xml:space="preserve"> </w:t>
      </w:r>
      <w:r>
        <w:rPr>
          <w:w w:val="110"/>
        </w:rPr>
        <w:t>syndrome,</w:t>
      </w:r>
      <w:r>
        <w:rPr>
          <w:spacing w:val="-24"/>
          <w:w w:val="110"/>
        </w:rPr>
        <w:t xml:space="preserve"> </w:t>
      </w:r>
      <w:r>
        <w:rPr>
          <w:w w:val="110"/>
        </w:rPr>
        <w:t>Wilson's</w:t>
      </w:r>
      <w:r>
        <w:rPr>
          <w:spacing w:val="-27"/>
          <w:w w:val="110"/>
        </w:rPr>
        <w:t xml:space="preserve"> </w:t>
      </w:r>
      <w:r>
        <w:rPr>
          <w:w w:val="110"/>
        </w:rPr>
        <w:t>disease,</w:t>
      </w:r>
      <w:r>
        <w:rPr>
          <w:spacing w:val="-31"/>
          <w:w w:val="110"/>
        </w:rPr>
        <w:t xml:space="preserve"> </w:t>
      </w:r>
      <w:r>
        <w:rPr>
          <w:w w:val="110"/>
        </w:rPr>
        <w:t>Sydenham's</w:t>
      </w:r>
      <w:r>
        <w:rPr>
          <w:spacing w:val="-23"/>
          <w:w w:val="110"/>
        </w:rPr>
        <w:t xml:space="preserve"> </w:t>
      </w:r>
      <w:r>
        <w:rPr>
          <w:w w:val="110"/>
        </w:rPr>
        <w:t>chorea,</w:t>
      </w:r>
      <w:r>
        <w:rPr>
          <w:spacing w:val="-26"/>
          <w:w w:val="110"/>
        </w:rPr>
        <w:t xml:space="preserve"> </w:t>
      </w:r>
      <w:r>
        <w:rPr>
          <w:w w:val="110"/>
        </w:rPr>
        <w:t>multiple</w:t>
      </w:r>
      <w:r>
        <w:rPr>
          <w:spacing w:val="-28"/>
          <w:w w:val="110"/>
        </w:rPr>
        <w:t xml:space="preserve"> </w:t>
      </w:r>
      <w:r>
        <w:rPr>
          <w:w w:val="110"/>
        </w:rPr>
        <w:t>sclerosis,</w:t>
      </w:r>
      <w:r>
        <w:rPr>
          <w:spacing w:val="-25"/>
          <w:w w:val="110"/>
        </w:rPr>
        <w:t xml:space="preserve"> </w:t>
      </w:r>
      <w:r>
        <w:rPr>
          <w:w w:val="110"/>
        </w:rPr>
        <w:t xml:space="preserve">post­ viral encephalitis, head injury) or may be due to the </w:t>
      </w:r>
      <w:r>
        <w:rPr>
          <w:b/>
          <w:w w:val="110"/>
        </w:rPr>
        <w:t xml:space="preserve">directeffectsofasubstance </w:t>
      </w:r>
      <w:r>
        <w:rPr>
          <w:w w:val="110"/>
        </w:rPr>
        <w:t xml:space="preserve">(e.g., a neuroleptic medication). </w:t>
      </w:r>
      <w:r>
        <w:rPr>
          <w:b/>
          <w:w w:val="110"/>
        </w:rPr>
        <w:t xml:space="preserve">Choreiform movements </w:t>
      </w:r>
      <w:r>
        <w:rPr>
          <w:w w:val="110"/>
        </w:rPr>
        <w:t xml:space="preserve">are dancing, random, irregular, nonrepetitive movements. </w:t>
      </w:r>
      <w:r>
        <w:rPr>
          <w:b/>
          <w:w w:val="110"/>
        </w:rPr>
        <w:t xml:space="preserve">Dystonic movements </w:t>
      </w:r>
      <w:r>
        <w:rPr>
          <w:w w:val="110"/>
        </w:rPr>
        <w:t>are slower, twisting movements interspersed</w:t>
      </w:r>
      <w:r>
        <w:rPr>
          <w:spacing w:val="-14"/>
          <w:w w:val="110"/>
        </w:rPr>
        <w:t xml:space="preserve"> </w:t>
      </w:r>
      <w:r>
        <w:rPr>
          <w:w w:val="110"/>
        </w:rPr>
        <w:t>with</w:t>
      </w:r>
      <w:r>
        <w:rPr>
          <w:spacing w:val="-23"/>
          <w:w w:val="110"/>
        </w:rPr>
        <w:t xml:space="preserve"> </w:t>
      </w:r>
      <w:r>
        <w:rPr>
          <w:w w:val="110"/>
        </w:rPr>
        <w:t>prolonged</w:t>
      </w:r>
      <w:r>
        <w:rPr>
          <w:spacing w:val="-19"/>
          <w:w w:val="110"/>
        </w:rPr>
        <w:t xml:space="preserve"> </w:t>
      </w:r>
      <w:r>
        <w:rPr>
          <w:w w:val="110"/>
        </w:rPr>
        <w:t>states</w:t>
      </w:r>
      <w:r>
        <w:rPr>
          <w:spacing w:val="-27"/>
          <w:w w:val="110"/>
        </w:rPr>
        <w:t xml:space="preserve"> </w:t>
      </w:r>
      <w:r>
        <w:rPr>
          <w:w w:val="110"/>
        </w:rPr>
        <w:t>of</w:t>
      </w:r>
      <w:r>
        <w:rPr>
          <w:spacing w:val="-23"/>
          <w:w w:val="110"/>
        </w:rPr>
        <w:t xml:space="preserve"> </w:t>
      </w:r>
      <w:r>
        <w:rPr>
          <w:w w:val="110"/>
        </w:rPr>
        <w:t>muscular</w:t>
      </w:r>
      <w:r>
        <w:rPr>
          <w:spacing w:val="-18"/>
          <w:w w:val="110"/>
        </w:rPr>
        <w:t xml:space="preserve"> </w:t>
      </w:r>
      <w:r>
        <w:rPr>
          <w:w w:val="110"/>
        </w:rPr>
        <w:t>tension.</w:t>
      </w:r>
      <w:r>
        <w:rPr>
          <w:spacing w:val="-26"/>
          <w:w w:val="110"/>
        </w:rPr>
        <w:t xml:space="preserve"> </w:t>
      </w:r>
      <w:r>
        <w:rPr>
          <w:b/>
          <w:w w:val="110"/>
        </w:rPr>
        <w:t>Athetoid</w:t>
      </w:r>
      <w:r>
        <w:rPr>
          <w:b/>
          <w:spacing w:val="-35"/>
          <w:w w:val="110"/>
        </w:rPr>
        <w:t xml:space="preserve"> </w:t>
      </w:r>
      <w:r>
        <w:rPr>
          <w:b/>
          <w:w w:val="110"/>
        </w:rPr>
        <w:t>movements</w:t>
      </w:r>
      <w:r>
        <w:rPr>
          <w:b/>
          <w:spacing w:val="-17"/>
          <w:w w:val="110"/>
        </w:rPr>
        <w:t xml:space="preserve"> </w:t>
      </w:r>
      <w:r>
        <w:rPr>
          <w:w w:val="110"/>
        </w:rPr>
        <w:t>are</w:t>
      </w:r>
      <w:r>
        <w:rPr>
          <w:spacing w:val="-33"/>
          <w:w w:val="110"/>
        </w:rPr>
        <w:t xml:space="preserve"> </w:t>
      </w:r>
      <w:r>
        <w:rPr>
          <w:w w:val="110"/>
        </w:rPr>
        <w:t xml:space="preserve">slow, irregular, writhing movements, most frequently in the fingers and toes, but often involving the face and neck. </w:t>
      </w:r>
      <w:r>
        <w:rPr>
          <w:b/>
          <w:w w:val="110"/>
        </w:rPr>
        <w:t xml:space="preserve">Myoclonic movements </w:t>
      </w:r>
      <w:r>
        <w:rPr>
          <w:w w:val="110"/>
        </w:rPr>
        <w:t>are brief, shocklike muscle contractions</w:t>
      </w:r>
      <w:r>
        <w:rPr>
          <w:spacing w:val="-7"/>
          <w:w w:val="110"/>
        </w:rPr>
        <w:t xml:space="preserve"> </w:t>
      </w:r>
      <w:r>
        <w:rPr>
          <w:w w:val="110"/>
        </w:rPr>
        <w:t>that</w:t>
      </w:r>
      <w:r>
        <w:rPr>
          <w:spacing w:val="-7"/>
          <w:w w:val="110"/>
        </w:rPr>
        <w:t xml:space="preserve"> </w:t>
      </w:r>
      <w:r>
        <w:rPr>
          <w:w w:val="110"/>
        </w:rPr>
        <w:t>may</w:t>
      </w:r>
      <w:r>
        <w:rPr>
          <w:spacing w:val="-8"/>
          <w:w w:val="110"/>
        </w:rPr>
        <w:t xml:space="preserve"> </w:t>
      </w:r>
      <w:r>
        <w:rPr>
          <w:w w:val="110"/>
        </w:rPr>
        <w:t>affect</w:t>
      </w:r>
      <w:r>
        <w:rPr>
          <w:spacing w:val="-5"/>
          <w:w w:val="110"/>
        </w:rPr>
        <w:t xml:space="preserve"> </w:t>
      </w:r>
      <w:r>
        <w:rPr>
          <w:w w:val="110"/>
        </w:rPr>
        <w:t>parts</w:t>
      </w:r>
      <w:r>
        <w:rPr>
          <w:spacing w:val="-13"/>
          <w:w w:val="110"/>
        </w:rPr>
        <w:t xml:space="preserve"> </w:t>
      </w:r>
      <w:r>
        <w:rPr>
          <w:w w:val="110"/>
        </w:rPr>
        <w:t>of</w:t>
      </w:r>
      <w:r>
        <w:rPr>
          <w:spacing w:val="-5"/>
          <w:w w:val="110"/>
        </w:rPr>
        <w:t xml:space="preserve"> </w:t>
      </w:r>
      <w:r>
        <w:rPr>
          <w:w w:val="110"/>
        </w:rPr>
        <w:t>muscles</w:t>
      </w:r>
      <w:r>
        <w:rPr>
          <w:spacing w:val="-10"/>
          <w:w w:val="110"/>
        </w:rPr>
        <w:t xml:space="preserve"> </w:t>
      </w:r>
      <w:r>
        <w:rPr>
          <w:w w:val="110"/>
        </w:rPr>
        <w:t>or</w:t>
      </w:r>
      <w:r>
        <w:rPr>
          <w:spacing w:val="-12"/>
          <w:w w:val="110"/>
        </w:rPr>
        <w:t xml:space="preserve"> </w:t>
      </w:r>
      <w:r>
        <w:rPr>
          <w:w w:val="110"/>
        </w:rPr>
        <w:t>muscle</w:t>
      </w:r>
      <w:r>
        <w:rPr>
          <w:spacing w:val="-12"/>
          <w:w w:val="110"/>
        </w:rPr>
        <w:t xml:space="preserve"> </w:t>
      </w:r>
      <w:r>
        <w:rPr>
          <w:w w:val="110"/>
        </w:rPr>
        <w:t>groups</w:t>
      </w:r>
      <w:r>
        <w:rPr>
          <w:spacing w:val="-9"/>
          <w:w w:val="110"/>
        </w:rPr>
        <w:t xml:space="preserve"> </w:t>
      </w:r>
      <w:r>
        <w:rPr>
          <w:w w:val="110"/>
        </w:rPr>
        <w:t>but</w:t>
      </w:r>
      <w:r>
        <w:rPr>
          <w:spacing w:val="-5"/>
          <w:w w:val="110"/>
        </w:rPr>
        <w:t xml:space="preserve"> </w:t>
      </w:r>
      <w:r>
        <w:rPr>
          <w:w w:val="110"/>
        </w:rPr>
        <w:t>not</w:t>
      </w:r>
      <w:r>
        <w:rPr>
          <w:spacing w:val="-13"/>
          <w:w w:val="110"/>
        </w:rPr>
        <w:t xml:space="preserve"> </w:t>
      </w:r>
      <w:r>
        <w:rPr>
          <w:w w:val="110"/>
        </w:rPr>
        <w:t xml:space="preserve">synergistically. </w:t>
      </w:r>
      <w:r>
        <w:rPr>
          <w:b/>
          <w:w w:val="110"/>
        </w:rPr>
        <w:t>Hemiballismic</w:t>
      </w:r>
      <w:r>
        <w:rPr>
          <w:b/>
          <w:spacing w:val="-26"/>
          <w:w w:val="110"/>
        </w:rPr>
        <w:t xml:space="preserve"> </w:t>
      </w:r>
      <w:r>
        <w:rPr>
          <w:b/>
          <w:w w:val="110"/>
        </w:rPr>
        <w:t>movements</w:t>
      </w:r>
      <w:r>
        <w:rPr>
          <w:b/>
          <w:spacing w:val="-20"/>
          <w:w w:val="110"/>
        </w:rPr>
        <w:t xml:space="preserve"> </w:t>
      </w:r>
      <w:r>
        <w:rPr>
          <w:w w:val="110"/>
        </w:rPr>
        <w:t>are</w:t>
      </w:r>
      <w:r>
        <w:rPr>
          <w:spacing w:val="-23"/>
          <w:w w:val="110"/>
        </w:rPr>
        <w:t xml:space="preserve"> </w:t>
      </w:r>
      <w:r>
        <w:rPr>
          <w:w w:val="110"/>
        </w:rPr>
        <w:t>intermittent,</w:t>
      </w:r>
      <w:r>
        <w:rPr>
          <w:spacing w:val="-15"/>
          <w:w w:val="110"/>
        </w:rPr>
        <w:t xml:space="preserve"> </w:t>
      </w:r>
      <w:r>
        <w:rPr>
          <w:w w:val="110"/>
        </w:rPr>
        <w:t>coarse,</w:t>
      </w:r>
      <w:r>
        <w:rPr>
          <w:spacing w:val="-23"/>
          <w:w w:val="110"/>
        </w:rPr>
        <w:t xml:space="preserve"> </w:t>
      </w:r>
      <w:r>
        <w:rPr>
          <w:w w:val="110"/>
        </w:rPr>
        <w:t>large-amplitude,</w:t>
      </w:r>
      <w:r>
        <w:rPr>
          <w:spacing w:val="-21"/>
          <w:w w:val="110"/>
        </w:rPr>
        <w:t xml:space="preserve"> </w:t>
      </w:r>
      <w:r>
        <w:rPr>
          <w:w w:val="110"/>
        </w:rPr>
        <w:t>unilateral</w:t>
      </w:r>
      <w:r>
        <w:rPr>
          <w:spacing w:val="-19"/>
          <w:w w:val="110"/>
        </w:rPr>
        <w:t xml:space="preserve"> </w:t>
      </w:r>
      <w:r>
        <w:rPr>
          <w:w w:val="110"/>
        </w:rPr>
        <w:t>move­ ments</w:t>
      </w:r>
      <w:r>
        <w:rPr>
          <w:spacing w:val="-13"/>
          <w:w w:val="110"/>
        </w:rPr>
        <w:t xml:space="preserve"> </w:t>
      </w:r>
      <w:r>
        <w:rPr>
          <w:w w:val="110"/>
        </w:rPr>
        <w:t>of</w:t>
      </w:r>
      <w:r>
        <w:rPr>
          <w:spacing w:val="-5"/>
          <w:w w:val="110"/>
        </w:rPr>
        <w:t xml:space="preserve"> </w:t>
      </w:r>
      <w:r>
        <w:rPr>
          <w:w w:val="110"/>
        </w:rPr>
        <w:t>the</w:t>
      </w:r>
      <w:r>
        <w:rPr>
          <w:spacing w:val="-14"/>
          <w:w w:val="110"/>
        </w:rPr>
        <w:t xml:space="preserve"> </w:t>
      </w:r>
      <w:r>
        <w:rPr>
          <w:w w:val="110"/>
        </w:rPr>
        <w:t>limbs.</w:t>
      </w:r>
      <w:r>
        <w:rPr>
          <w:spacing w:val="-11"/>
          <w:w w:val="110"/>
        </w:rPr>
        <w:t xml:space="preserve"> </w:t>
      </w:r>
      <w:r>
        <w:rPr>
          <w:b/>
          <w:w w:val="110"/>
        </w:rPr>
        <w:t>Spasms</w:t>
      </w:r>
      <w:r>
        <w:rPr>
          <w:b/>
          <w:spacing w:val="-12"/>
          <w:w w:val="110"/>
        </w:rPr>
        <w:t xml:space="preserve"> </w:t>
      </w:r>
      <w:r>
        <w:rPr>
          <w:w w:val="110"/>
        </w:rPr>
        <w:t>are</w:t>
      </w:r>
      <w:r>
        <w:rPr>
          <w:spacing w:val="-20"/>
          <w:w w:val="110"/>
        </w:rPr>
        <w:t xml:space="preserve"> </w:t>
      </w:r>
      <w:r>
        <w:rPr>
          <w:w w:val="110"/>
        </w:rPr>
        <w:t>stereotypic, slower,</w:t>
      </w:r>
      <w:r>
        <w:rPr>
          <w:spacing w:val="-4"/>
          <w:w w:val="110"/>
        </w:rPr>
        <w:t xml:space="preserve"> </w:t>
      </w:r>
      <w:r>
        <w:rPr>
          <w:w w:val="110"/>
        </w:rPr>
        <w:t>and</w:t>
      </w:r>
      <w:r>
        <w:rPr>
          <w:spacing w:val="6"/>
          <w:w w:val="110"/>
        </w:rPr>
        <w:t xml:space="preserve"> </w:t>
      </w:r>
      <w:r>
        <w:rPr>
          <w:w w:val="110"/>
        </w:rPr>
        <w:t>more</w:t>
      </w:r>
      <w:r>
        <w:rPr>
          <w:spacing w:val="-2"/>
          <w:w w:val="110"/>
        </w:rPr>
        <w:t xml:space="preserve"> </w:t>
      </w:r>
      <w:r>
        <w:rPr>
          <w:w w:val="110"/>
        </w:rPr>
        <w:t>prolonged than</w:t>
      </w:r>
      <w:r>
        <w:rPr>
          <w:spacing w:val="-8"/>
          <w:w w:val="110"/>
        </w:rPr>
        <w:t xml:space="preserve"> </w:t>
      </w:r>
      <w:r>
        <w:rPr>
          <w:w w:val="110"/>
        </w:rPr>
        <w:t>tics</w:t>
      </w:r>
      <w:r>
        <w:rPr>
          <w:spacing w:val="-11"/>
          <w:w w:val="110"/>
        </w:rPr>
        <w:t xml:space="preserve"> </w:t>
      </w:r>
      <w:r>
        <w:rPr>
          <w:w w:val="110"/>
        </w:rPr>
        <w:t>and involve</w:t>
      </w:r>
      <w:r>
        <w:rPr>
          <w:spacing w:val="-26"/>
          <w:w w:val="110"/>
        </w:rPr>
        <w:t xml:space="preserve"> </w:t>
      </w:r>
      <w:r>
        <w:rPr>
          <w:w w:val="110"/>
        </w:rPr>
        <w:t>groups</w:t>
      </w:r>
      <w:r>
        <w:rPr>
          <w:spacing w:val="-31"/>
          <w:w w:val="110"/>
        </w:rPr>
        <w:t xml:space="preserve"> </w:t>
      </w:r>
      <w:r>
        <w:rPr>
          <w:w w:val="110"/>
        </w:rPr>
        <w:t>of</w:t>
      </w:r>
      <w:r>
        <w:rPr>
          <w:spacing w:val="-24"/>
          <w:w w:val="110"/>
        </w:rPr>
        <w:t xml:space="preserve"> </w:t>
      </w:r>
      <w:r>
        <w:rPr>
          <w:w w:val="110"/>
        </w:rPr>
        <w:t>muscles.</w:t>
      </w:r>
      <w:r>
        <w:rPr>
          <w:spacing w:val="-30"/>
          <w:w w:val="110"/>
        </w:rPr>
        <w:t xml:space="preserve"> </w:t>
      </w:r>
      <w:r>
        <w:rPr>
          <w:b/>
          <w:w w:val="110"/>
        </w:rPr>
        <w:t>Hemifacialspasm</w:t>
      </w:r>
      <w:r>
        <w:rPr>
          <w:b/>
          <w:spacing w:val="-42"/>
          <w:w w:val="110"/>
        </w:rPr>
        <w:t xml:space="preserve"> </w:t>
      </w:r>
      <w:r>
        <w:rPr>
          <w:w w:val="110"/>
        </w:rPr>
        <w:t>consists</w:t>
      </w:r>
      <w:r>
        <w:rPr>
          <w:spacing w:val="-28"/>
          <w:w w:val="110"/>
        </w:rPr>
        <w:t xml:space="preserve"> </w:t>
      </w:r>
      <w:r>
        <w:rPr>
          <w:w w:val="110"/>
        </w:rPr>
        <w:t>of</w:t>
      </w:r>
      <w:r>
        <w:rPr>
          <w:spacing w:val="-27"/>
          <w:w w:val="110"/>
        </w:rPr>
        <w:t xml:space="preserve"> </w:t>
      </w:r>
      <w:r>
        <w:rPr>
          <w:w w:val="110"/>
        </w:rPr>
        <w:t>irregular,</w:t>
      </w:r>
      <w:r>
        <w:rPr>
          <w:spacing w:val="-23"/>
          <w:w w:val="110"/>
        </w:rPr>
        <w:t xml:space="preserve"> </w:t>
      </w:r>
      <w:r>
        <w:rPr>
          <w:w w:val="110"/>
        </w:rPr>
        <w:t>repetitive,</w:t>
      </w:r>
      <w:r>
        <w:rPr>
          <w:spacing w:val="-26"/>
          <w:w w:val="110"/>
        </w:rPr>
        <w:t xml:space="preserve"> </w:t>
      </w:r>
      <w:r>
        <w:rPr>
          <w:w w:val="110"/>
        </w:rPr>
        <w:t>unilateral jerks</w:t>
      </w:r>
      <w:r>
        <w:rPr>
          <w:spacing w:val="-27"/>
          <w:w w:val="110"/>
        </w:rPr>
        <w:t xml:space="preserve"> </w:t>
      </w:r>
      <w:r>
        <w:rPr>
          <w:w w:val="110"/>
        </w:rPr>
        <w:t>of</w:t>
      </w:r>
      <w:r>
        <w:rPr>
          <w:spacing w:val="-24"/>
          <w:w w:val="110"/>
        </w:rPr>
        <w:t xml:space="preserve"> </w:t>
      </w:r>
      <w:r>
        <w:rPr>
          <w:w w:val="110"/>
        </w:rPr>
        <w:t>facial</w:t>
      </w:r>
      <w:r>
        <w:rPr>
          <w:spacing w:val="-22"/>
          <w:w w:val="110"/>
        </w:rPr>
        <w:t xml:space="preserve"> </w:t>
      </w:r>
      <w:r>
        <w:rPr>
          <w:w w:val="110"/>
        </w:rPr>
        <w:t>muscles.</w:t>
      </w:r>
      <w:r>
        <w:rPr>
          <w:spacing w:val="-23"/>
          <w:w w:val="110"/>
        </w:rPr>
        <w:t xml:space="preserve"> </w:t>
      </w:r>
      <w:r>
        <w:rPr>
          <w:b/>
          <w:w w:val="110"/>
        </w:rPr>
        <w:t>Synkinesis</w:t>
      </w:r>
      <w:r>
        <w:rPr>
          <w:b/>
          <w:spacing w:val="-24"/>
          <w:w w:val="110"/>
        </w:rPr>
        <w:t xml:space="preserve"> </w:t>
      </w:r>
      <w:r>
        <w:rPr>
          <w:w w:val="110"/>
        </w:rPr>
        <w:t>involves</w:t>
      </w:r>
      <w:r>
        <w:rPr>
          <w:spacing w:val="-22"/>
          <w:w w:val="110"/>
        </w:rPr>
        <w:t xml:space="preserve"> </w:t>
      </w:r>
      <w:r>
        <w:rPr>
          <w:w w:val="110"/>
        </w:rPr>
        <w:t>an</w:t>
      </w:r>
      <w:r>
        <w:rPr>
          <w:spacing w:val="-26"/>
          <w:w w:val="110"/>
        </w:rPr>
        <w:t xml:space="preserve"> </w:t>
      </w:r>
      <w:r>
        <w:rPr>
          <w:w w:val="110"/>
        </w:rPr>
        <w:t>involuntary</w:t>
      </w:r>
      <w:r>
        <w:rPr>
          <w:spacing w:val="-20"/>
          <w:w w:val="110"/>
        </w:rPr>
        <w:t xml:space="preserve"> </w:t>
      </w:r>
      <w:r>
        <w:rPr>
          <w:w w:val="110"/>
        </w:rPr>
        <w:t>movement</w:t>
      </w:r>
      <w:r>
        <w:rPr>
          <w:spacing w:val="-19"/>
          <w:w w:val="110"/>
        </w:rPr>
        <w:t xml:space="preserve"> </w:t>
      </w:r>
      <w:r>
        <w:rPr>
          <w:w w:val="110"/>
        </w:rPr>
        <w:t>accompanying</w:t>
      </w:r>
      <w:r>
        <w:rPr>
          <w:spacing w:val="-19"/>
          <w:w w:val="110"/>
        </w:rPr>
        <w:t xml:space="preserve"> </w:t>
      </w:r>
      <w:r>
        <w:rPr>
          <w:w w:val="110"/>
        </w:rPr>
        <w:t>a voluntary one (e.g., movement of the corner of the mouth when the person intends</w:t>
      </w:r>
      <w:r>
        <w:rPr>
          <w:spacing w:val="-16"/>
          <w:w w:val="110"/>
        </w:rPr>
        <w:t xml:space="preserve"> </w:t>
      </w:r>
      <w:r>
        <w:rPr>
          <w:w w:val="110"/>
        </w:rPr>
        <w:t>to</w:t>
      </w:r>
    </w:p>
    <w:p w:rsidR="00E675F0" w:rsidRDefault="00E675F0" w:rsidP="00E675F0">
      <w:pPr>
        <w:spacing w:line="254" w:lineRule="auto"/>
        <w:jc w:val="both"/>
        <w:sectPr w:rsidR="00E675F0">
          <w:pgSz w:w="8960" w:h="14260"/>
          <w:pgMar w:top="1400" w:right="620" w:bottom="280" w:left="620" w:header="683" w:footer="0" w:gutter="0"/>
          <w:cols w:space="720"/>
        </w:sectPr>
      </w:pPr>
    </w:p>
    <w:p w:rsidR="00E675F0" w:rsidRDefault="00E675F0" w:rsidP="00E675F0">
      <w:pPr>
        <w:pStyle w:val="BodyText"/>
        <w:spacing w:before="116" w:line="254" w:lineRule="auto"/>
        <w:ind w:left="116" w:right="124"/>
        <w:jc w:val="both"/>
      </w:pPr>
      <w:bookmarkStart w:id="65" w:name="_bookmark49"/>
      <w:bookmarkEnd w:id="65"/>
      <w:r>
        <w:rPr>
          <w:w w:val="105"/>
        </w:rPr>
        <w:lastRenderedPageBreak/>
        <w:t>close the eye). This differentiation is further facilitated by considering the presence of features of the underlying general medical condition (e.g., characteristic family history in Huntington's disease) or a history of medication</w:t>
      </w:r>
      <w:r>
        <w:rPr>
          <w:spacing w:val="-6"/>
          <w:w w:val="105"/>
        </w:rPr>
        <w:t xml:space="preserve"> </w:t>
      </w:r>
      <w:r>
        <w:rPr>
          <w:w w:val="105"/>
        </w:rPr>
        <w:t>use.</w:t>
      </w:r>
    </w:p>
    <w:p w:rsidR="00E675F0" w:rsidRDefault="00E675F0" w:rsidP="00E675F0">
      <w:pPr>
        <w:pStyle w:val="BodyText"/>
        <w:spacing w:line="254" w:lineRule="auto"/>
        <w:ind w:left="114" w:right="121" w:firstLine="357"/>
        <w:jc w:val="both"/>
      </w:pPr>
      <w:r>
        <w:rPr>
          <w:w w:val="110"/>
        </w:rPr>
        <w:t xml:space="preserve">When the tics are a direct physiological consequence of medication use, a </w:t>
      </w:r>
      <w:r>
        <w:rPr>
          <w:b/>
          <w:w w:val="110"/>
        </w:rPr>
        <w:t xml:space="preserve">Medication-Induced Movement Disorder Not Otherwise Specified </w:t>
      </w:r>
      <w:r>
        <w:rPr>
          <w:w w:val="110"/>
        </w:rPr>
        <w:t>would be diagnosed</w:t>
      </w:r>
      <w:r>
        <w:rPr>
          <w:spacing w:val="-4"/>
          <w:w w:val="110"/>
        </w:rPr>
        <w:t xml:space="preserve"> </w:t>
      </w:r>
      <w:r>
        <w:rPr>
          <w:w w:val="110"/>
        </w:rPr>
        <w:t>instead</w:t>
      </w:r>
      <w:r>
        <w:rPr>
          <w:spacing w:val="-8"/>
          <w:w w:val="110"/>
        </w:rPr>
        <w:t xml:space="preserve"> </w:t>
      </w:r>
      <w:r>
        <w:rPr>
          <w:w w:val="110"/>
        </w:rPr>
        <w:t>of</w:t>
      </w:r>
      <w:r>
        <w:rPr>
          <w:spacing w:val="-5"/>
          <w:w w:val="110"/>
        </w:rPr>
        <w:t xml:space="preserve"> </w:t>
      </w:r>
      <w:r>
        <w:rPr>
          <w:w w:val="110"/>
        </w:rPr>
        <w:t>a</w:t>
      </w:r>
      <w:r>
        <w:rPr>
          <w:spacing w:val="-13"/>
          <w:w w:val="110"/>
        </w:rPr>
        <w:t xml:space="preserve"> </w:t>
      </w:r>
      <w:r>
        <w:rPr>
          <w:w w:val="110"/>
        </w:rPr>
        <w:t>Tic</w:t>
      </w:r>
      <w:r>
        <w:rPr>
          <w:spacing w:val="-10"/>
          <w:w w:val="110"/>
        </w:rPr>
        <w:t xml:space="preserve"> </w:t>
      </w:r>
      <w:r>
        <w:rPr>
          <w:w w:val="110"/>
        </w:rPr>
        <w:t>Disorder.</w:t>
      </w:r>
      <w:r>
        <w:rPr>
          <w:spacing w:val="-4"/>
          <w:w w:val="110"/>
        </w:rPr>
        <w:t xml:space="preserve"> </w:t>
      </w:r>
      <w:r>
        <w:rPr>
          <w:w w:val="110"/>
        </w:rPr>
        <w:t>In</w:t>
      </w:r>
      <w:r>
        <w:rPr>
          <w:spacing w:val="-12"/>
          <w:w w:val="110"/>
        </w:rPr>
        <w:t xml:space="preserve"> </w:t>
      </w:r>
      <w:r>
        <w:rPr>
          <w:w w:val="110"/>
        </w:rPr>
        <w:t>some</w:t>
      </w:r>
      <w:r>
        <w:rPr>
          <w:spacing w:val="-12"/>
          <w:w w:val="110"/>
        </w:rPr>
        <w:t xml:space="preserve"> </w:t>
      </w:r>
      <w:r>
        <w:rPr>
          <w:w w:val="110"/>
        </w:rPr>
        <w:t>cases,</w:t>
      </w:r>
      <w:r>
        <w:rPr>
          <w:spacing w:val="-8"/>
          <w:w w:val="110"/>
        </w:rPr>
        <w:t xml:space="preserve"> </w:t>
      </w:r>
      <w:r>
        <w:rPr>
          <w:w w:val="110"/>
        </w:rPr>
        <w:t>certain</w:t>
      </w:r>
      <w:r>
        <w:rPr>
          <w:spacing w:val="-3"/>
          <w:w w:val="110"/>
        </w:rPr>
        <w:t xml:space="preserve"> </w:t>
      </w:r>
      <w:r>
        <w:rPr>
          <w:w w:val="110"/>
        </w:rPr>
        <w:t>medications</w:t>
      </w:r>
      <w:r>
        <w:rPr>
          <w:spacing w:val="-5"/>
          <w:w w:val="110"/>
        </w:rPr>
        <w:t xml:space="preserve"> </w:t>
      </w:r>
      <w:r>
        <w:rPr>
          <w:w w:val="110"/>
        </w:rPr>
        <w:t>(e.g.,</w:t>
      </w:r>
      <w:r>
        <w:rPr>
          <w:spacing w:val="-5"/>
          <w:w w:val="110"/>
        </w:rPr>
        <w:t xml:space="preserve"> </w:t>
      </w:r>
      <w:r>
        <w:rPr>
          <w:w w:val="110"/>
        </w:rPr>
        <w:t>methyl­ phenidate) may exacerbate a preexisting Tic Disorder, in which case no additional diagnosis of a medication-induced disorder is</w:t>
      </w:r>
      <w:r>
        <w:rPr>
          <w:spacing w:val="45"/>
          <w:w w:val="110"/>
        </w:rPr>
        <w:t xml:space="preserve"> </w:t>
      </w:r>
      <w:r>
        <w:rPr>
          <w:w w:val="110"/>
        </w:rPr>
        <w:t>necessary.</w:t>
      </w:r>
    </w:p>
    <w:p w:rsidR="00E675F0" w:rsidRDefault="00E675F0" w:rsidP="00E675F0">
      <w:pPr>
        <w:pStyle w:val="BodyText"/>
        <w:spacing w:line="254" w:lineRule="auto"/>
        <w:ind w:left="118" w:right="115" w:firstLine="360"/>
        <w:jc w:val="right"/>
      </w:pPr>
      <w:r>
        <w:rPr>
          <w:w w:val="105"/>
        </w:rPr>
        <w:t>Tics must also be distinguished from stereotyped movements seen</w:t>
      </w:r>
      <w:r>
        <w:rPr>
          <w:spacing w:val="-6"/>
          <w:w w:val="105"/>
        </w:rPr>
        <w:t xml:space="preserve"> </w:t>
      </w:r>
      <w:r>
        <w:rPr>
          <w:w w:val="105"/>
        </w:rPr>
        <w:t>in</w:t>
      </w:r>
      <w:r>
        <w:rPr>
          <w:spacing w:val="9"/>
          <w:w w:val="105"/>
        </w:rPr>
        <w:t xml:space="preserve"> </w:t>
      </w:r>
      <w:r>
        <w:rPr>
          <w:b/>
          <w:w w:val="105"/>
        </w:rPr>
        <w:t>Stereotypic</w:t>
      </w:r>
      <w:r>
        <w:rPr>
          <w:b/>
          <w:spacing w:val="-1"/>
          <w:w w:val="109"/>
        </w:rPr>
        <w:t xml:space="preserve"> </w:t>
      </w:r>
      <w:r>
        <w:rPr>
          <w:b/>
          <w:w w:val="105"/>
        </w:rPr>
        <w:t xml:space="preserve">Movement Disorder </w:t>
      </w:r>
      <w:r>
        <w:rPr>
          <w:w w:val="105"/>
        </w:rPr>
        <w:t xml:space="preserve">and </w:t>
      </w:r>
      <w:r>
        <w:rPr>
          <w:b/>
          <w:w w:val="105"/>
        </w:rPr>
        <w:t>Pervasive Developmental Disorders.</w:t>
      </w:r>
      <w:r>
        <w:rPr>
          <w:b/>
          <w:spacing w:val="10"/>
          <w:w w:val="105"/>
        </w:rPr>
        <w:t xml:space="preserve"> </w:t>
      </w:r>
      <w:r>
        <w:rPr>
          <w:w w:val="105"/>
        </w:rPr>
        <w:t>Differentiating</w:t>
      </w:r>
      <w:r>
        <w:rPr>
          <w:spacing w:val="18"/>
          <w:w w:val="105"/>
        </w:rPr>
        <w:t xml:space="preserve"> </w:t>
      </w:r>
      <w:r>
        <w:rPr>
          <w:w w:val="105"/>
        </w:rPr>
        <w:t>sim­</w:t>
      </w:r>
      <w:r>
        <w:rPr>
          <w:spacing w:val="-1"/>
          <w:w w:val="102"/>
        </w:rPr>
        <w:t xml:space="preserve"> </w:t>
      </w:r>
      <w:r>
        <w:rPr>
          <w:w w:val="105"/>
        </w:rPr>
        <w:t>ple tics (e.g., eye blinking) from the complex movements characteristic</w:t>
      </w:r>
      <w:r>
        <w:rPr>
          <w:spacing w:val="-5"/>
          <w:w w:val="105"/>
        </w:rPr>
        <w:t xml:space="preserve"> </w:t>
      </w:r>
      <w:r>
        <w:rPr>
          <w:w w:val="105"/>
        </w:rPr>
        <w:t>of</w:t>
      </w:r>
      <w:r>
        <w:rPr>
          <w:spacing w:val="14"/>
          <w:w w:val="105"/>
        </w:rPr>
        <w:t xml:space="preserve"> </w:t>
      </w:r>
      <w:r>
        <w:rPr>
          <w:w w:val="105"/>
        </w:rPr>
        <w:t>stereotyped</w:t>
      </w:r>
      <w:r>
        <w:rPr>
          <w:spacing w:val="-1"/>
          <w:w w:val="107"/>
        </w:rPr>
        <w:t xml:space="preserve"> </w:t>
      </w:r>
      <w:r>
        <w:rPr>
          <w:w w:val="105"/>
        </w:rPr>
        <w:t>movements is relatively straightforward. The distinction between complex</w:t>
      </w:r>
      <w:r>
        <w:rPr>
          <w:spacing w:val="-24"/>
          <w:w w:val="105"/>
        </w:rPr>
        <w:t xml:space="preserve"> </w:t>
      </w:r>
      <w:r>
        <w:rPr>
          <w:w w:val="105"/>
        </w:rPr>
        <w:t>motor</w:t>
      </w:r>
      <w:r>
        <w:rPr>
          <w:spacing w:val="33"/>
          <w:w w:val="105"/>
        </w:rPr>
        <w:t xml:space="preserve"> </w:t>
      </w:r>
      <w:r>
        <w:rPr>
          <w:w w:val="105"/>
        </w:rPr>
        <w:t>tics</w:t>
      </w:r>
      <w:r>
        <w:rPr>
          <w:spacing w:val="-1"/>
          <w:w w:val="98"/>
        </w:rPr>
        <w:t xml:space="preserve"> </w:t>
      </w:r>
      <w:r>
        <w:rPr>
          <w:w w:val="105"/>
        </w:rPr>
        <w:t>and stereotyped movements is less clear-cut. In general, stereotyped</w:t>
      </w:r>
      <w:r>
        <w:rPr>
          <w:spacing w:val="49"/>
          <w:w w:val="105"/>
        </w:rPr>
        <w:t xml:space="preserve"> </w:t>
      </w:r>
      <w:r>
        <w:rPr>
          <w:w w:val="105"/>
        </w:rPr>
        <w:t>movements</w:t>
      </w:r>
      <w:r>
        <w:rPr>
          <w:spacing w:val="10"/>
          <w:w w:val="105"/>
        </w:rPr>
        <w:t xml:space="preserve"> </w:t>
      </w:r>
      <w:r>
        <w:rPr>
          <w:w w:val="105"/>
        </w:rPr>
        <w:t>appear</w:t>
      </w:r>
      <w:r>
        <w:rPr>
          <w:spacing w:val="-1"/>
          <w:w w:val="110"/>
        </w:rPr>
        <w:t xml:space="preserve"> </w:t>
      </w:r>
      <w:r>
        <w:rPr>
          <w:w w:val="105"/>
        </w:rPr>
        <w:t>to be more driven and intentional, whereas tics have a more involuntary quality</w:t>
      </w:r>
      <w:r>
        <w:rPr>
          <w:spacing w:val="32"/>
          <w:w w:val="105"/>
        </w:rPr>
        <w:t xml:space="preserve"> </w:t>
      </w:r>
      <w:r>
        <w:rPr>
          <w:w w:val="105"/>
        </w:rPr>
        <w:t>and</w:t>
      </w:r>
      <w:r>
        <w:rPr>
          <w:spacing w:val="8"/>
          <w:w w:val="105"/>
        </w:rPr>
        <w:t xml:space="preserve"> </w:t>
      </w:r>
      <w:r>
        <w:rPr>
          <w:w w:val="105"/>
        </w:rPr>
        <w:t>are</w:t>
      </w:r>
      <w:r>
        <w:rPr>
          <w:spacing w:val="-1"/>
          <w:w w:val="110"/>
        </w:rPr>
        <w:t xml:space="preserve"> </w:t>
      </w:r>
      <w:r>
        <w:rPr>
          <w:w w:val="105"/>
        </w:rPr>
        <w:t>not</w:t>
      </w:r>
      <w:r>
        <w:rPr>
          <w:spacing w:val="-9"/>
          <w:w w:val="105"/>
        </w:rPr>
        <w:t xml:space="preserve"> </w:t>
      </w:r>
      <w:r>
        <w:rPr>
          <w:w w:val="105"/>
        </w:rPr>
        <w:t>rhythmic.</w:t>
      </w:r>
      <w:r>
        <w:rPr>
          <w:spacing w:val="-11"/>
          <w:w w:val="105"/>
        </w:rPr>
        <w:t xml:space="preserve"> </w:t>
      </w:r>
      <w:r>
        <w:rPr>
          <w:w w:val="105"/>
        </w:rPr>
        <w:t>Tics</w:t>
      </w:r>
      <w:r>
        <w:rPr>
          <w:spacing w:val="-13"/>
          <w:w w:val="105"/>
        </w:rPr>
        <w:t xml:space="preserve"> </w:t>
      </w:r>
      <w:r>
        <w:rPr>
          <w:w w:val="105"/>
        </w:rPr>
        <w:t>must</w:t>
      </w:r>
      <w:r>
        <w:rPr>
          <w:spacing w:val="-18"/>
          <w:w w:val="105"/>
        </w:rPr>
        <w:t xml:space="preserve"> </w:t>
      </w:r>
      <w:r>
        <w:rPr>
          <w:rFonts w:ascii="Arial" w:hAnsi="Arial"/>
          <w:w w:val="105"/>
          <w:sz w:val="19"/>
        </w:rPr>
        <w:t>be</w:t>
      </w:r>
      <w:r>
        <w:rPr>
          <w:rFonts w:ascii="Arial" w:hAnsi="Arial"/>
          <w:spacing w:val="-19"/>
          <w:w w:val="105"/>
          <w:sz w:val="19"/>
        </w:rPr>
        <w:t xml:space="preserve"> </w:t>
      </w:r>
      <w:r>
        <w:rPr>
          <w:w w:val="105"/>
        </w:rPr>
        <w:t>distinguished</w:t>
      </w:r>
      <w:r>
        <w:rPr>
          <w:spacing w:val="-7"/>
          <w:w w:val="105"/>
        </w:rPr>
        <w:t xml:space="preserve"> </w:t>
      </w:r>
      <w:r>
        <w:rPr>
          <w:w w:val="105"/>
        </w:rPr>
        <w:t>from</w:t>
      </w:r>
      <w:r>
        <w:rPr>
          <w:spacing w:val="-20"/>
          <w:w w:val="105"/>
        </w:rPr>
        <w:t xml:space="preserve"> </w:t>
      </w:r>
      <w:r>
        <w:rPr>
          <w:b/>
          <w:w w:val="105"/>
        </w:rPr>
        <w:t>compulsions</w:t>
      </w:r>
      <w:r>
        <w:rPr>
          <w:b/>
          <w:spacing w:val="-5"/>
          <w:w w:val="105"/>
        </w:rPr>
        <w:t xml:space="preserve"> </w:t>
      </w:r>
      <w:r>
        <w:rPr>
          <w:w w:val="105"/>
        </w:rPr>
        <w:t>(as</w:t>
      </w:r>
      <w:r>
        <w:rPr>
          <w:spacing w:val="-18"/>
          <w:w w:val="105"/>
        </w:rPr>
        <w:t xml:space="preserve"> </w:t>
      </w:r>
      <w:r>
        <w:rPr>
          <w:w w:val="105"/>
          <w:sz w:val="19"/>
        </w:rPr>
        <w:t>in</w:t>
      </w:r>
      <w:r>
        <w:rPr>
          <w:spacing w:val="-13"/>
          <w:w w:val="105"/>
          <w:sz w:val="19"/>
        </w:rPr>
        <w:t xml:space="preserve"> </w:t>
      </w:r>
      <w:r>
        <w:rPr>
          <w:w w:val="105"/>
        </w:rPr>
        <w:t>Obsessive-Compulsive</w:t>
      </w:r>
      <w:r>
        <w:rPr>
          <w:spacing w:val="-1"/>
          <w:w w:val="101"/>
        </w:rPr>
        <w:t xml:space="preserve"> </w:t>
      </w:r>
      <w:r>
        <w:rPr>
          <w:w w:val="105"/>
        </w:rPr>
        <w:t>Disorder). Compulsions are typically quite complex and are  performed  in</w:t>
      </w:r>
      <w:r>
        <w:rPr>
          <w:spacing w:val="-30"/>
          <w:w w:val="105"/>
        </w:rPr>
        <w:t xml:space="preserve"> </w:t>
      </w:r>
      <w:r>
        <w:rPr>
          <w:w w:val="105"/>
        </w:rPr>
        <w:t>response</w:t>
      </w:r>
      <w:r>
        <w:rPr>
          <w:spacing w:val="25"/>
          <w:w w:val="105"/>
        </w:rPr>
        <w:t xml:space="preserve"> </w:t>
      </w:r>
      <w:r>
        <w:rPr>
          <w:w w:val="105"/>
        </w:rPr>
        <w:t>to</w:t>
      </w:r>
      <w:r>
        <w:rPr>
          <w:spacing w:val="-1"/>
          <w:w w:val="109"/>
        </w:rPr>
        <w:t xml:space="preserve"> </w:t>
      </w:r>
      <w:r>
        <w:rPr>
          <w:w w:val="105"/>
        </w:rPr>
        <w:t>an obsession or according to rules that must be applied rigidly. In contrast</w:t>
      </w:r>
      <w:r>
        <w:rPr>
          <w:spacing w:val="18"/>
          <w:w w:val="105"/>
        </w:rPr>
        <w:t xml:space="preserve"> </w:t>
      </w:r>
      <w:r>
        <w:rPr>
          <w:w w:val="105"/>
        </w:rPr>
        <w:t>to</w:t>
      </w:r>
      <w:r>
        <w:rPr>
          <w:spacing w:val="52"/>
          <w:w w:val="105"/>
        </w:rPr>
        <w:t xml:space="preserve"> </w:t>
      </w:r>
      <w:r>
        <w:rPr>
          <w:w w:val="105"/>
        </w:rPr>
        <w:t>a</w:t>
      </w:r>
      <w:r>
        <w:rPr>
          <w:w w:val="104"/>
        </w:rPr>
        <w:t xml:space="preserve"> </w:t>
      </w:r>
      <w:r>
        <w:rPr>
          <w:w w:val="105"/>
        </w:rPr>
        <w:t>compulsion, tics are typically less complex and are not aimed at neutralizing</w:t>
      </w:r>
      <w:r>
        <w:rPr>
          <w:spacing w:val="15"/>
          <w:w w:val="105"/>
        </w:rPr>
        <w:t xml:space="preserve"> </w:t>
      </w:r>
      <w:r>
        <w:rPr>
          <w:w w:val="105"/>
        </w:rPr>
        <w:t>the</w:t>
      </w:r>
      <w:r>
        <w:rPr>
          <w:spacing w:val="-5"/>
          <w:w w:val="105"/>
        </w:rPr>
        <w:t xml:space="preserve"> </w:t>
      </w:r>
      <w:r>
        <w:rPr>
          <w:w w:val="105"/>
        </w:rPr>
        <w:t>anxiety</w:t>
      </w:r>
      <w:r>
        <w:rPr>
          <w:spacing w:val="-1"/>
          <w:w w:val="105"/>
        </w:rPr>
        <w:t xml:space="preserve"> </w:t>
      </w:r>
      <w:r>
        <w:rPr>
          <w:w w:val="105"/>
        </w:rPr>
        <w:t>resulting from an obsession. Some individuals manifest symptoms of</w:t>
      </w:r>
      <w:r>
        <w:rPr>
          <w:spacing w:val="-14"/>
          <w:w w:val="105"/>
        </w:rPr>
        <w:t xml:space="preserve"> </w:t>
      </w:r>
      <w:r>
        <w:rPr>
          <w:w w:val="105"/>
        </w:rPr>
        <w:t>both</w:t>
      </w:r>
      <w:r>
        <w:rPr>
          <w:spacing w:val="13"/>
          <w:w w:val="105"/>
        </w:rPr>
        <w:t xml:space="preserve"> </w:t>
      </w:r>
      <w:r>
        <w:rPr>
          <w:w w:val="105"/>
        </w:rPr>
        <w:t>Obsessive­</w:t>
      </w:r>
      <w:r>
        <w:rPr>
          <w:spacing w:val="-1"/>
          <w:w w:val="104"/>
        </w:rPr>
        <w:t xml:space="preserve"> </w:t>
      </w:r>
      <w:r>
        <w:rPr>
          <w:w w:val="105"/>
        </w:rPr>
        <w:t>Compulsive Disorder and a Tic Disorder (especially Tourette's Disorder), so</w:t>
      </w:r>
      <w:r>
        <w:rPr>
          <w:spacing w:val="26"/>
          <w:w w:val="105"/>
        </w:rPr>
        <w:t xml:space="preserve"> </w:t>
      </w:r>
      <w:r>
        <w:rPr>
          <w:w w:val="105"/>
        </w:rPr>
        <w:t>that</w:t>
      </w:r>
      <w:r>
        <w:rPr>
          <w:spacing w:val="16"/>
          <w:w w:val="105"/>
        </w:rPr>
        <w:t xml:space="preserve"> </w:t>
      </w:r>
      <w:r>
        <w:rPr>
          <w:w w:val="105"/>
        </w:rPr>
        <w:t>both</w:t>
      </w:r>
      <w:r>
        <w:rPr>
          <w:w w:val="108"/>
        </w:rPr>
        <w:t xml:space="preserve"> </w:t>
      </w:r>
      <w:r>
        <w:rPr>
          <w:w w:val="105"/>
        </w:rPr>
        <w:t>diagnoses may be warranted. Certain vocal or motor tics (e.g., barking,</w:t>
      </w:r>
      <w:r>
        <w:rPr>
          <w:spacing w:val="6"/>
          <w:w w:val="105"/>
        </w:rPr>
        <w:t xml:space="preserve"> </w:t>
      </w:r>
      <w:r>
        <w:rPr>
          <w:w w:val="105"/>
        </w:rPr>
        <w:t>echolalia,</w:t>
      </w:r>
      <w:r>
        <w:rPr>
          <w:spacing w:val="-1"/>
          <w:w w:val="104"/>
        </w:rPr>
        <w:t xml:space="preserve"> </w:t>
      </w:r>
      <w:r>
        <w:rPr>
          <w:w w:val="105"/>
        </w:rPr>
        <w:t>palilalia)</w:t>
      </w:r>
      <w:r>
        <w:rPr>
          <w:spacing w:val="-16"/>
          <w:w w:val="105"/>
        </w:rPr>
        <w:t xml:space="preserve"> </w:t>
      </w:r>
      <w:r>
        <w:rPr>
          <w:w w:val="105"/>
        </w:rPr>
        <w:t>must</w:t>
      </w:r>
      <w:r>
        <w:rPr>
          <w:spacing w:val="-18"/>
          <w:w w:val="105"/>
        </w:rPr>
        <w:t xml:space="preserve"> </w:t>
      </w:r>
      <w:r>
        <w:rPr>
          <w:w w:val="105"/>
        </w:rPr>
        <w:t>be</w:t>
      </w:r>
      <w:r>
        <w:rPr>
          <w:spacing w:val="-26"/>
          <w:w w:val="105"/>
        </w:rPr>
        <w:t xml:space="preserve"> </w:t>
      </w:r>
      <w:r>
        <w:rPr>
          <w:w w:val="105"/>
        </w:rPr>
        <w:t>distinguished</w:t>
      </w:r>
      <w:r>
        <w:rPr>
          <w:spacing w:val="-10"/>
          <w:w w:val="105"/>
        </w:rPr>
        <w:t xml:space="preserve"> </w:t>
      </w:r>
      <w:r>
        <w:rPr>
          <w:w w:val="105"/>
        </w:rPr>
        <w:t>from</w:t>
      </w:r>
      <w:r>
        <w:rPr>
          <w:spacing w:val="-23"/>
          <w:w w:val="105"/>
        </w:rPr>
        <w:t xml:space="preserve"> </w:t>
      </w:r>
      <w:r>
        <w:rPr>
          <w:w w:val="105"/>
        </w:rPr>
        <w:t>disorganized</w:t>
      </w:r>
      <w:r>
        <w:rPr>
          <w:spacing w:val="-14"/>
          <w:w w:val="105"/>
        </w:rPr>
        <w:t xml:space="preserve"> </w:t>
      </w:r>
      <w:r>
        <w:rPr>
          <w:w w:val="105"/>
        </w:rPr>
        <w:t>or</w:t>
      </w:r>
      <w:r>
        <w:rPr>
          <w:spacing w:val="-28"/>
          <w:w w:val="105"/>
        </w:rPr>
        <w:t xml:space="preserve"> </w:t>
      </w:r>
      <w:r>
        <w:rPr>
          <w:w w:val="105"/>
        </w:rPr>
        <w:t>catatonic</w:t>
      </w:r>
      <w:r>
        <w:rPr>
          <w:spacing w:val="-17"/>
          <w:w w:val="105"/>
        </w:rPr>
        <w:t xml:space="preserve"> </w:t>
      </w:r>
      <w:r>
        <w:rPr>
          <w:w w:val="105"/>
        </w:rPr>
        <w:t>behavior</w:t>
      </w:r>
      <w:r>
        <w:rPr>
          <w:spacing w:val="-21"/>
          <w:w w:val="105"/>
        </w:rPr>
        <w:t xml:space="preserve"> </w:t>
      </w:r>
      <w:r>
        <w:rPr>
          <w:w w:val="105"/>
        </w:rPr>
        <w:t>in</w:t>
      </w:r>
      <w:r>
        <w:rPr>
          <w:spacing w:val="-32"/>
          <w:w w:val="105"/>
        </w:rPr>
        <w:t xml:space="preserve"> </w:t>
      </w:r>
      <w:r>
        <w:rPr>
          <w:b/>
          <w:w w:val="105"/>
        </w:rPr>
        <w:t>Schizophrenia.</w:t>
      </w:r>
      <w:r>
        <w:rPr>
          <w:b/>
          <w:spacing w:val="-1"/>
          <w:w w:val="109"/>
        </w:rPr>
        <w:t xml:space="preserve"> </w:t>
      </w:r>
      <w:r>
        <w:rPr>
          <w:w w:val="105"/>
        </w:rPr>
        <w:t>The Tic Disorders can be distinguished from one another based on</w:t>
      </w:r>
      <w:r>
        <w:rPr>
          <w:spacing w:val="31"/>
          <w:w w:val="105"/>
        </w:rPr>
        <w:t xml:space="preserve"> </w:t>
      </w:r>
      <w:r>
        <w:rPr>
          <w:w w:val="105"/>
        </w:rPr>
        <w:t>duration</w:t>
      </w:r>
      <w:r>
        <w:rPr>
          <w:spacing w:val="36"/>
          <w:w w:val="105"/>
        </w:rPr>
        <w:t xml:space="preserve"> </w:t>
      </w:r>
      <w:r>
        <w:rPr>
          <w:w w:val="105"/>
        </w:rPr>
        <w:t>and</w:t>
      </w:r>
      <w:r>
        <w:rPr>
          <w:spacing w:val="-1"/>
          <w:w w:val="109"/>
        </w:rPr>
        <w:t xml:space="preserve"> </w:t>
      </w:r>
      <w:r>
        <w:rPr>
          <w:w w:val="105"/>
        </w:rPr>
        <w:t xml:space="preserve">variety of tics and age at onset. </w:t>
      </w:r>
      <w:r>
        <w:rPr>
          <w:b/>
          <w:w w:val="105"/>
        </w:rPr>
        <w:t xml:space="preserve">Transient Tic Disorder </w:t>
      </w:r>
      <w:r>
        <w:rPr>
          <w:w w:val="105"/>
        </w:rPr>
        <w:t>includes</w:t>
      </w:r>
      <w:r>
        <w:rPr>
          <w:spacing w:val="7"/>
          <w:w w:val="105"/>
        </w:rPr>
        <w:t xml:space="preserve"> </w:t>
      </w:r>
      <w:r>
        <w:rPr>
          <w:w w:val="105"/>
        </w:rPr>
        <w:t>motor and/or</w:t>
      </w:r>
      <w:r>
        <w:rPr>
          <w:spacing w:val="25"/>
          <w:w w:val="105"/>
        </w:rPr>
        <w:t xml:space="preserve"> </w:t>
      </w:r>
      <w:r>
        <w:rPr>
          <w:w w:val="105"/>
        </w:rPr>
        <w:t>vocal</w:t>
      </w:r>
      <w:r>
        <w:rPr>
          <w:w w:val="103"/>
        </w:rPr>
        <w:t xml:space="preserve"> </w:t>
      </w:r>
      <w:r>
        <w:rPr>
          <w:w w:val="105"/>
        </w:rPr>
        <w:t>tics</w:t>
      </w:r>
      <w:r>
        <w:rPr>
          <w:spacing w:val="-10"/>
          <w:w w:val="105"/>
        </w:rPr>
        <w:t xml:space="preserve"> </w:t>
      </w:r>
      <w:r>
        <w:rPr>
          <w:w w:val="105"/>
        </w:rPr>
        <w:t>lasting</w:t>
      </w:r>
      <w:r>
        <w:rPr>
          <w:spacing w:val="-9"/>
          <w:w w:val="105"/>
        </w:rPr>
        <w:t xml:space="preserve"> </w:t>
      </w:r>
      <w:r>
        <w:rPr>
          <w:w w:val="105"/>
        </w:rPr>
        <w:t>for</w:t>
      </w:r>
      <w:r>
        <w:rPr>
          <w:spacing w:val="-8"/>
          <w:w w:val="105"/>
        </w:rPr>
        <w:t xml:space="preserve"> </w:t>
      </w:r>
      <w:r>
        <w:rPr>
          <w:w w:val="105"/>
        </w:rPr>
        <w:t>at</w:t>
      </w:r>
      <w:r>
        <w:rPr>
          <w:spacing w:val="-5"/>
          <w:w w:val="105"/>
        </w:rPr>
        <w:t xml:space="preserve"> </w:t>
      </w:r>
      <w:r>
        <w:rPr>
          <w:w w:val="105"/>
        </w:rPr>
        <w:t>least</w:t>
      </w:r>
      <w:r>
        <w:rPr>
          <w:spacing w:val="-1"/>
          <w:w w:val="105"/>
        </w:rPr>
        <w:t xml:space="preserve"> </w:t>
      </w:r>
      <w:r>
        <w:rPr>
          <w:w w:val="105"/>
        </w:rPr>
        <w:t>4</w:t>
      </w:r>
      <w:r>
        <w:rPr>
          <w:spacing w:val="-5"/>
          <w:w w:val="105"/>
        </w:rPr>
        <w:t xml:space="preserve"> </w:t>
      </w:r>
      <w:r>
        <w:rPr>
          <w:w w:val="105"/>
        </w:rPr>
        <w:t>weeks</w:t>
      </w:r>
      <w:r>
        <w:rPr>
          <w:spacing w:val="3"/>
          <w:w w:val="105"/>
        </w:rPr>
        <w:t xml:space="preserve"> </w:t>
      </w:r>
      <w:r>
        <w:rPr>
          <w:w w:val="105"/>
        </w:rPr>
        <w:t>but</w:t>
      </w:r>
      <w:r>
        <w:rPr>
          <w:spacing w:val="-2"/>
          <w:w w:val="105"/>
        </w:rPr>
        <w:t xml:space="preserve"> </w:t>
      </w:r>
      <w:r>
        <w:rPr>
          <w:w w:val="105"/>
        </w:rPr>
        <w:t>for</w:t>
      </w:r>
      <w:r>
        <w:rPr>
          <w:spacing w:val="-4"/>
          <w:w w:val="105"/>
        </w:rPr>
        <w:t xml:space="preserve"> </w:t>
      </w:r>
      <w:r>
        <w:rPr>
          <w:w w:val="105"/>
        </w:rPr>
        <w:t>no</w:t>
      </w:r>
      <w:r>
        <w:rPr>
          <w:spacing w:val="-11"/>
          <w:w w:val="105"/>
        </w:rPr>
        <w:t xml:space="preserve"> </w:t>
      </w:r>
      <w:r>
        <w:rPr>
          <w:w w:val="105"/>
        </w:rPr>
        <w:t>longer</w:t>
      </w:r>
      <w:r>
        <w:rPr>
          <w:spacing w:val="4"/>
          <w:w w:val="105"/>
        </w:rPr>
        <w:t xml:space="preserve"> </w:t>
      </w:r>
      <w:r>
        <w:rPr>
          <w:w w:val="105"/>
        </w:rPr>
        <w:t>than</w:t>
      </w:r>
      <w:r>
        <w:rPr>
          <w:spacing w:val="-3"/>
          <w:w w:val="105"/>
        </w:rPr>
        <w:t xml:space="preserve"> </w:t>
      </w:r>
      <w:r>
        <w:rPr>
          <w:w w:val="105"/>
        </w:rPr>
        <w:t>12</w:t>
      </w:r>
      <w:r>
        <w:rPr>
          <w:spacing w:val="-14"/>
          <w:w w:val="105"/>
        </w:rPr>
        <w:t xml:space="preserve"> </w:t>
      </w:r>
      <w:r>
        <w:rPr>
          <w:w w:val="105"/>
        </w:rPr>
        <w:t>consecutive</w:t>
      </w:r>
      <w:r>
        <w:rPr>
          <w:spacing w:val="12"/>
          <w:w w:val="105"/>
        </w:rPr>
        <w:t xml:space="preserve"> </w:t>
      </w:r>
      <w:r>
        <w:rPr>
          <w:w w:val="105"/>
        </w:rPr>
        <w:t>months.</w:t>
      </w:r>
      <w:r>
        <w:rPr>
          <w:spacing w:val="-5"/>
          <w:w w:val="105"/>
        </w:rPr>
        <w:t xml:space="preserve"> </w:t>
      </w:r>
      <w:r>
        <w:rPr>
          <w:b/>
          <w:w w:val="105"/>
        </w:rPr>
        <w:t>Tourette's</w:t>
      </w:r>
      <w:r>
        <w:rPr>
          <w:b/>
          <w:spacing w:val="-1"/>
          <w:w w:val="107"/>
        </w:rPr>
        <w:t xml:space="preserve"> </w:t>
      </w:r>
      <w:r>
        <w:rPr>
          <w:b/>
          <w:w w:val="105"/>
        </w:rPr>
        <w:t>Disorder</w:t>
      </w:r>
      <w:r>
        <w:rPr>
          <w:b/>
          <w:spacing w:val="20"/>
          <w:w w:val="105"/>
        </w:rPr>
        <w:t xml:space="preserve"> </w:t>
      </w:r>
      <w:r>
        <w:rPr>
          <w:w w:val="105"/>
        </w:rPr>
        <w:t>and</w:t>
      </w:r>
      <w:r>
        <w:rPr>
          <w:spacing w:val="28"/>
          <w:w w:val="105"/>
        </w:rPr>
        <w:t xml:space="preserve"> </w:t>
      </w:r>
      <w:r>
        <w:rPr>
          <w:b/>
          <w:w w:val="105"/>
        </w:rPr>
        <w:t>Chronic</w:t>
      </w:r>
      <w:r>
        <w:rPr>
          <w:b/>
          <w:spacing w:val="26"/>
          <w:w w:val="105"/>
        </w:rPr>
        <w:t xml:space="preserve"> </w:t>
      </w:r>
      <w:r>
        <w:rPr>
          <w:b/>
          <w:w w:val="105"/>
        </w:rPr>
        <w:t>Motor</w:t>
      </w:r>
      <w:r>
        <w:rPr>
          <w:b/>
          <w:spacing w:val="15"/>
          <w:w w:val="105"/>
        </w:rPr>
        <w:t xml:space="preserve"> </w:t>
      </w:r>
      <w:r>
        <w:rPr>
          <w:b/>
          <w:w w:val="105"/>
        </w:rPr>
        <w:t>or</w:t>
      </w:r>
      <w:r>
        <w:rPr>
          <w:b/>
          <w:spacing w:val="29"/>
          <w:w w:val="105"/>
        </w:rPr>
        <w:t xml:space="preserve"> </w:t>
      </w:r>
      <w:r>
        <w:rPr>
          <w:b/>
          <w:w w:val="105"/>
        </w:rPr>
        <w:t>Vocal</w:t>
      </w:r>
      <w:r>
        <w:rPr>
          <w:b/>
          <w:spacing w:val="7"/>
          <w:w w:val="105"/>
        </w:rPr>
        <w:t xml:space="preserve"> </w:t>
      </w:r>
      <w:r>
        <w:rPr>
          <w:b/>
          <w:w w:val="105"/>
        </w:rPr>
        <w:t>Tic</w:t>
      </w:r>
      <w:r>
        <w:rPr>
          <w:b/>
          <w:spacing w:val="15"/>
          <w:w w:val="105"/>
        </w:rPr>
        <w:t xml:space="preserve"> </w:t>
      </w:r>
      <w:r>
        <w:rPr>
          <w:b/>
          <w:w w:val="105"/>
        </w:rPr>
        <w:t>Disorder</w:t>
      </w:r>
      <w:r>
        <w:rPr>
          <w:b/>
          <w:spacing w:val="29"/>
          <w:w w:val="105"/>
        </w:rPr>
        <w:t xml:space="preserve"> </w:t>
      </w:r>
      <w:r>
        <w:rPr>
          <w:w w:val="105"/>
        </w:rPr>
        <w:t>each</w:t>
      </w:r>
      <w:r>
        <w:rPr>
          <w:spacing w:val="45"/>
          <w:w w:val="105"/>
        </w:rPr>
        <w:t xml:space="preserve"> </w:t>
      </w:r>
      <w:r>
        <w:rPr>
          <w:w w:val="105"/>
        </w:rPr>
        <w:t>have</w:t>
      </w:r>
      <w:r>
        <w:rPr>
          <w:spacing w:val="27"/>
          <w:w w:val="105"/>
        </w:rPr>
        <w:t xml:space="preserve"> </w:t>
      </w:r>
      <w:r>
        <w:rPr>
          <w:w w:val="105"/>
        </w:rPr>
        <w:t>a</w:t>
      </w:r>
      <w:r>
        <w:rPr>
          <w:spacing w:val="34"/>
          <w:w w:val="105"/>
        </w:rPr>
        <w:t xml:space="preserve"> </w:t>
      </w:r>
      <w:r>
        <w:rPr>
          <w:w w:val="105"/>
        </w:rPr>
        <w:t>duration</w:t>
      </w:r>
      <w:r>
        <w:rPr>
          <w:spacing w:val="33"/>
          <w:w w:val="105"/>
        </w:rPr>
        <w:t xml:space="preserve"> </w:t>
      </w:r>
      <w:r>
        <w:rPr>
          <w:w w:val="105"/>
        </w:rPr>
        <w:t>of</w:t>
      </w:r>
      <w:r>
        <w:rPr>
          <w:spacing w:val="45"/>
          <w:w w:val="105"/>
        </w:rPr>
        <w:t xml:space="preserve"> </w:t>
      </w:r>
      <w:r>
        <w:rPr>
          <w:w w:val="105"/>
        </w:rPr>
        <w:t>more</w:t>
      </w:r>
      <w:r>
        <w:rPr>
          <w:spacing w:val="-1"/>
          <w:w w:val="104"/>
        </w:rPr>
        <w:t xml:space="preserve"> </w:t>
      </w:r>
      <w:r>
        <w:rPr>
          <w:w w:val="105"/>
        </w:rPr>
        <w:t>than 12 months but are distinguished by the requirement for Tourette's</w:t>
      </w:r>
      <w:r>
        <w:rPr>
          <w:spacing w:val="14"/>
          <w:w w:val="105"/>
        </w:rPr>
        <w:t xml:space="preserve"> </w:t>
      </w:r>
      <w:r>
        <w:rPr>
          <w:w w:val="105"/>
        </w:rPr>
        <w:t>Disorder</w:t>
      </w:r>
      <w:r>
        <w:rPr>
          <w:spacing w:val="29"/>
          <w:w w:val="105"/>
        </w:rPr>
        <w:t xml:space="preserve"> </w:t>
      </w:r>
      <w:r>
        <w:rPr>
          <w:w w:val="105"/>
        </w:rPr>
        <w:t>that</w:t>
      </w:r>
      <w:r>
        <w:rPr>
          <w:spacing w:val="-1"/>
          <w:w w:val="106"/>
        </w:rPr>
        <w:t xml:space="preserve"> </w:t>
      </w:r>
      <w:r>
        <w:rPr>
          <w:w w:val="105"/>
        </w:rPr>
        <w:t xml:space="preserve">there be multiple motor tics and at least one vocal tic. </w:t>
      </w:r>
      <w:r>
        <w:rPr>
          <w:b/>
          <w:w w:val="105"/>
        </w:rPr>
        <w:t>Tic Disorder</w:t>
      </w:r>
      <w:r>
        <w:rPr>
          <w:b/>
          <w:spacing w:val="45"/>
          <w:w w:val="105"/>
        </w:rPr>
        <w:t xml:space="preserve"> </w:t>
      </w:r>
      <w:r>
        <w:rPr>
          <w:b/>
          <w:w w:val="105"/>
        </w:rPr>
        <w:t>Not</w:t>
      </w:r>
      <w:r>
        <w:rPr>
          <w:b/>
          <w:spacing w:val="4"/>
          <w:w w:val="105"/>
        </w:rPr>
        <w:t xml:space="preserve"> </w:t>
      </w:r>
      <w:r>
        <w:rPr>
          <w:b/>
          <w:w w:val="105"/>
        </w:rPr>
        <w:t>Otherwise</w:t>
      </w:r>
      <w:r>
        <w:rPr>
          <w:b/>
          <w:spacing w:val="-1"/>
          <w:w w:val="110"/>
        </w:rPr>
        <w:t xml:space="preserve"> </w:t>
      </w:r>
      <w:r>
        <w:rPr>
          <w:b/>
          <w:w w:val="105"/>
        </w:rPr>
        <w:t xml:space="preserve">Specified </w:t>
      </w:r>
      <w:r>
        <w:rPr>
          <w:w w:val="105"/>
        </w:rPr>
        <w:t xml:space="preserve">would be appropriate for clinically significant presentations </w:t>
      </w:r>
      <w:r>
        <w:rPr>
          <w:spacing w:val="17"/>
          <w:w w:val="105"/>
        </w:rPr>
        <w:t xml:space="preserve"> </w:t>
      </w:r>
      <w:r>
        <w:rPr>
          <w:w w:val="105"/>
        </w:rPr>
        <w:t>lasting less</w:t>
      </w:r>
      <w:r>
        <w:rPr>
          <w:spacing w:val="7"/>
          <w:w w:val="105"/>
        </w:rPr>
        <w:t xml:space="preserve"> </w:t>
      </w:r>
      <w:r>
        <w:rPr>
          <w:w w:val="105"/>
        </w:rPr>
        <w:t>than</w:t>
      </w:r>
      <w:r>
        <w:rPr>
          <w:spacing w:val="-1"/>
          <w:w w:val="106"/>
        </w:rPr>
        <w:t xml:space="preserve"> </w:t>
      </w:r>
      <w:r>
        <w:rPr>
          <w:w w:val="105"/>
        </w:rPr>
        <w:t>4</w:t>
      </w:r>
      <w:r>
        <w:rPr>
          <w:spacing w:val="3"/>
          <w:w w:val="105"/>
        </w:rPr>
        <w:t xml:space="preserve"> </w:t>
      </w:r>
      <w:r>
        <w:rPr>
          <w:w w:val="105"/>
        </w:rPr>
        <w:t>weeks,</w:t>
      </w:r>
      <w:r>
        <w:rPr>
          <w:spacing w:val="13"/>
          <w:w w:val="105"/>
        </w:rPr>
        <w:t xml:space="preserve"> </w:t>
      </w:r>
      <w:r>
        <w:rPr>
          <w:w w:val="105"/>
        </w:rPr>
        <w:t>for</w:t>
      </w:r>
      <w:r>
        <w:rPr>
          <w:spacing w:val="13"/>
          <w:w w:val="105"/>
        </w:rPr>
        <w:t xml:space="preserve"> </w:t>
      </w:r>
      <w:r>
        <w:rPr>
          <w:w w:val="105"/>
        </w:rPr>
        <w:t>presentations</w:t>
      </w:r>
      <w:r>
        <w:rPr>
          <w:spacing w:val="14"/>
          <w:w w:val="105"/>
        </w:rPr>
        <w:t xml:space="preserve"> </w:t>
      </w:r>
      <w:r>
        <w:rPr>
          <w:w w:val="105"/>
        </w:rPr>
        <w:t>with</w:t>
      </w:r>
      <w:r>
        <w:rPr>
          <w:spacing w:val="12"/>
          <w:w w:val="105"/>
        </w:rPr>
        <w:t xml:space="preserve"> </w:t>
      </w:r>
      <w:r>
        <w:rPr>
          <w:w w:val="105"/>
        </w:rPr>
        <w:t>an</w:t>
      </w:r>
      <w:r>
        <w:rPr>
          <w:spacing w:val="11"/>
          <w:w w:val="105"/>
        </w:rPr>
        <w:t xml:space="preserve"> </w:t>
      </w:r>
      <w:r>
        <w:rPr>
          <w:w w:val="105"/>
        </w:rPr>
        <w:t>age</w:t>
      </w:r>
      <w:r>
        <w:rPr>
          <w:spacing w:val="7"/>
          <w:w w:val="105"/>
        </w:rPr>
        <w:t xml:space="preserve"> </w:t>
      </w:r>
      <w:r>
        <w:rPr>
          <w:w w:val="105"/>
        </w:rPr>
        <w:t>at</w:t>
      </w:r>
      <w:r>
        <w:rPr>
          <w:spacing w:val="7"/>
          <w:w w:val="105"/>
        </w:rPr>
        <w:t xml:space="preserve"> </w:t>
      </w:r>
      <w:r>
        <w:rPr>
          <w:w w:val="105"/>
        </w:rPr>
        <w:t>onset</w:t>
      </w:r>
      <w:r>
        <w:rPr>
          <w:spacing w:val="6"/>
          <w:w w:val="105"/>
        </w:rPr>
        <w:t xml:space="preserve"> </w:t>
      </w:r>
      <w:r>
        <w:rPr>
          <w:w w:val="105"/>
        </w:rPr>
        <w:t>above</w:t>
      </w:r>
      <w:r>
        <w:rPr>
          <w:spacing w:val="11"/>
          <w:w w:val="105"/>
        </w:rPr>
        <w:t xml:space="preserve"> </w:t>
      </w:r>
      <w:r>
        <w:rPr>
          <w:w w:val="105"/>
        </w:rPr>
        <w:t>age</w:t>
      </w:r>
      <w:r>
        <w:rPr>
          <w:spacing w:val="-1"/>
          <w:w w:val="105"/>
        </w:rPr>
        <w:t xml:space="preserve"> </w:t>
      </w:r>
      <w:r>
        <w:rPr>
          <w:w w:val="105"/>
        </w:rPr>
        <w:t>18</w:t>
      </w:r>
      <w:r>
        <w:rPr>
          <w:spacing w:val="-1"/>
          <w:w w:val="105"/>
        </w:rPr>
        <w:t xml:space="preserve"> </w:t>
      </w:r>
      <w:r>
        <w:rPr>
          <w:w w:val="105"/>
        </w:rPr>
        <w:t>years,</w:t>
      </w:r>
      <w:r>
        <w:rPr>
          <w:spacing w:val="14"/>
          <w:w w:val="105"/>
        </w:rPr>
        <w:t xml:space="preserve"> </w:t>
      </w:r>
      <w:r>
        <w:rPr>
          <w:w w:val="105"/>
        </w:rPr>
        <w:t>and</w:t>
      </w:r>
      <w:r>
        <w:rPr>
          <w:spacing w:val="5"/>
          <w:w w:val="105"/>
        </w:rPr>
        <w:t xml:space="preserve"> </w:t>
      </w:r>
      <w:r>
        <w:rPr>
          <w:w w:val="105"/>
        </w:rPr>
        <w:t>for</w:t>
      </w:r>
      <w:r>
        <w:rPr>
          <w:spacing w:val="5"/>
          <w:w w:val="105"/>
        </w:rPr>
        <w:t xml:space="preserve"> </w:t>
      </w:r>
      <w:r>
        <w:rPr>
          <w:w w:val="105"/>
        </w:rPr>
        <w:t>the</w:t>
      </w:r>
      <w:r>
        <w:rPr>
          <w:spacing w:val="10"/>
          <w:w w:val="105"/>
        </w:rPr>
        <w:t xml:space="preserve"> </w:t>
      </w:r>
      <w:r>
        <w:rPr>
          <w:w w:val="105"/>
        </w:rPr>
        <w:t>unusual</w:t>
      </w:r>
    </w:p>
    <w:p w:rsidR="00E675F0" w:rsidRDefault="00E675F0" w:rsidP="00E675F0">
      <w:pPr>
        <w:pStyle w:val="BodyText"/>
        <w:spacing w:before="2"/>
        <w:ind w:left="121"/>
        <w:jc w:val="both"/>
      </w:pPr>
      <w:r>
        <w:rPr>
          <w:w w:val="105"/>
        </w:rPr>
        <w:t>case of an individual with only one motor tic and only one vocal tic.</w:t>
      </w:r>
    </w:p>
    <w:p w:rsidR="00E675F0" w:rsidRDefault="00E675F0" w:rsidP="00E675F0">
      <w:pPr>
        <w:pStyle w:val="BodyText"/>
        <w:rPr>
          <w:sz w:val="22"/>
        </w:rPr>
      </w:pPr>
    </w:p>
    <w:p w:rsidR="00E675F0" w:rsidRDefault="00E675F0" w:rsidP="00E675F0">
      <w:pPr>
        <w:pStyle w:val="BodyText"/>
        <w:spacing w:before="4"/>
      </w:pPr>
    </w:p>
    <w:p w:rsidR="00E675F0" w:rsidRDefault="00E675F0" w:rsidP="00E675F0">
      <w:pPr>
        <w:tabs>
          <w:tab w:val="left" w:pos="1076"/>
        </w:tabs>
        <w:ind w:right="1"/>
        <w:jc w:val="center"/>
        <w:rPr>
          <w:rFonts w:ascii="Arial"/>
          <w:b/>
          <w:sz w:val="25"/>
        </w:rPr>
      </w:pPr>
      <w:r>
        <w:rPr>
          <w:rFonts w:ascii="Arial"/>
          <w:b/>
          <w:w w:val="105"/>
          <w:sz w:val="25"/>
        </w:rPr>
        <w:t>307.23</w:t>
      </w:r>
      <w:r>
        <w:rPr>
          <w:rFonts w:ascii="Arial"/>
          <w:b/>
          <w:w w:val="105"/>
          <w:sz w:val="25"/>
        </w:rPr>
        <w:tab/>
        <w:t>Tourette's</w:t>
      </w:r>
      <w:r>
        <w:rPr>
          <w:rFonts w:ascii="Arial"/>
          <w:b/>
          <w:spacing w:val="11"/>
          <w:w w:val="105"/>
          <w:sz w:val="25"/>
        </w:rPr>
        <w:t xml:space="preserve"> </w:t>
      </w:r>
      <w:r>
        <w:rPr>
          <w:rFonts w:ascii="Arial"/>
          <w:b/>
          <w:w w:val="105"/>
          <w:sz w:val="25"/>
        </w:rPr>
        <w:t>Disorder</w:t>
      </w:r>
    </w:p>
    <w:p w:rsidR="00E675F0" w:rsidRDefault="00E675F0" w:rsidP="00E675F0">
      <w:pPr>
        <w:pStyle w:val="BodyText"/>
        <w:spacing w:before="4"/>
        <w:rPr>
          <w:rFonts w:ascii="Arial"/>
          <w:b/>
          <w:sz w:val="24"/>
        </w:rPr>
      </w:pPr>
    </w:p>
    <w:p w:rsidR="00E675F0" w:rsidRDefault="00E675F0" w:rsidP="00E675F0">
      <w:pPr>
        <w:ind w:left="107"/>
        <w:jc w:val="both"/>
        <w:rPr>
          <w:rFonts w:ascii="TimesNewRomanPS-BoldItalicMT"/>
          <w:b/>
          <w:i/>
          <w:sz w:val="23"/>
        </w:rPr>
      </w:pPr>
      <w:r>
        <w:rPr>
          <w:rFonts w:ascii="TimesNewRomanPS-BoldItalicMT"/>
          <w:b/>
          <w:i/>
          <w:w w:val="115"/>
          <w:sz w:val="23"/>
        </w:rPr>
        <w:t>Di-agnostic Features</w:t>
      </w:r>
    </w:p>
    <w:p w:rsidR="00E675F0" w:rsidRDefault="00E675F0" w:rsidP="00E675F0">
      <w:pPr>
        <w:pStyle w:val="BodyText"/>
        <w:spacing w:before="134" w:line="254" w:lineRule="auto"/>
        <w:ind w:left="112" w:right="122" w:hanging="1"/>
        <w:jc w:val="both"/>
      </w:pPr>
      <w:r>
        <w:rPr>
          <w:w w:val="105"/>
        </w:rPr>
        <w:t xml:space="preserve">The essential features of Tourette's Disorder are multiple motor tics and one or more vocal tics (Criterion A). These may appear simultaneously or at different periods during the illness. The tics occur many times a day, recurrently throughout a period of more than 1 year (Criterion B). During this period, there is never a tic-free period of more  than 3 consecutive months. The disturbance causes marked distress or significant impairment in social, occupational, or other important areas of functioning  (Criterion </w:t>
      </w:r>
      <w:r>
        <w:rPr>
          <w:rFonts w:ascii="Arial"/>
          <w:i/>
          <w:w w:val="105"/>
          <w:sz w:val="17"/>
        </w:rPr>
        <w:t xml:space="preserve">C). </w:t>
      </w:r>
      <w:r>
        <w:rPr>
          <w:w w:val="105"/>
        </w:rPr>
        <w:t>The onset of the disorder is before  age 18 years (Criterion  D). The tics are not due to the direct physiological effects of a substance (e.g., stimulants) or a general medical condition (e.g., Huntington's disease or postviral encephalitis)</w:t>
      </w:r>
      <w:r>
        <w:rPr>
          <w:spacing w:val="27"/>
          <w:w w:val="105"/>
        </w:rPr>
        <w:t xml:space="preserve"> </w:t>
      </w:r>
      <w:r>
        <w:rPr>
          <w:w w:val="105"/>
        </w:rPr>
        <w:t>(Criterion E).</w:t>
      </w:r>
    </w:p>
    <w:p w:rsidR="00E675F0" w:rsidRDefault="00E675F0" w:rsidP="00E675F0">
      <w:pPr>
        <w:pStyle w:val="BodyText"/>
        <w:spacing w:line="259" w:lineRule="auto"/>
        <w:ind w:left="121" w:right="116" w:firstLine="357"/>
        <w:jc w:val="both"/>
      </w:pPr>
      <w:r>
        <w:rPr>
          <w:w w:val="105"/>
        </w:rPr>
        <w:t>The anatomical location, number, frequency, complexity, and severity of the tics change over time. The tics typically involve the head and, frequently, other parts of the body, such as the torso and upper and lower limbs. The vocal tics include various words</w:t>
      </w:r>
    </w:p>
    <w:p w:rsidR="00E675F0" w:rsidRDefault="00E675F0" w:rsidP="00E675F0">
      <w:pPr>
        <w:spacing w:line="259" w:lineRule="auto"/>
        <w:jc w:val="both"/>
        <w:sectPr w:rsidR="00E675F0">
          <w:headerReference w:type="even" r:id="rId118"/>
          <w:headerReference w:type="default" r:id="rId119"/>
          <w:pgSz w:w="8960" w:h="14260"/>
          <w:pgMar w:top="1400" w:right="620" w:bottom="280" w:left="620" w:header="681" w:footer="0" w:gutter="0"/>
          <w:cols w:space="720"/>
        </w:sectPr>
      </w:pPr>
    </w:p>
    <w:p w:rsidR="00E675F0" w:rsidRDefault="00E675F0" w:rsidP="00E675F0">
      <w:pPr>
        <w:pStyle w:val="BodyText"/>
        <w:spacing w:before="134" w:line="254" w:lineRule="auto"/>
        <w:ind w:left="138" w:right="105" w:firstLine="1"/>
        <w:jc w:val="both"/>
      </w:pPr>
      <w:r>
        <w:rPr>
          <w:w w:val="105"/>
        </w:rPr>
        <w:lastRenderedPageBreak/>
        <w:t>or sounds such as clicks, grunts, yelps, barks, sniffs, snorts, and coughs. Coprolalia, a complex vocal tic involving the uttering of obscenities, is present in a few individuals (less than 10%) with this disorder. Complex motor tics involving touching, squatting, deep knee bends, retracing steps, and twirling when walking may be present. In approximately one-half the individuals with this disorder, the first symptoms to appear are bouts of a single tic, most frequently eye blinking, less frequently tics involving another part of the face or the body. Initial symptoms can also include tongue protrusion, squatting, sniffing, hopping, skipping, throat clearing, stuttering, uttering sounds or words, and coprolalia. The other cases begin with multiple symptoms.</w:t>
      </w:r>
    </w:p>
    <w:p w:rsidR="00E675F0" w:rsidRDefault="00E675F0" w:rsidP="00E675F0">
      <w:pPr>
        <w:pStyle w:val="BodyText"/>
        <w:spacing w:before="1"/>
        <w:rPr>
          <w:sz w:val="32"/>
        </w:rPr>
      </w:pPr>
    </w:p>
    <w:p w:rsidR="00E675F0" w:rsidRDefault="00E675F0" w:rsidP="00E675F0">
      <w:pPr>
        <w:ind w:left="118"/>
        <w:rPr>
          <w:rFonts w:ascii="TimesNewRomanPS-BoldItalicMT"/>
          <w:b/>
          <w:i/>
          <w:sz w:val="25"/>
        </w:rPr>
      </w:pPr>
      <w:r>
        <w:rPr>
          <w:rFonts w:ascii="TimesNewRomanPS-BoldItalicMT"/>
          <w:b/>
          <w:i/>
          <w:w w:val="110"/>
          <w:sz w:val="25"/>
        </w:rPr>
        <w:t>Associated Features and Disorders</w:t>
      </w:r>
    </w:p>
    <w:p w:rsidR="00E675F0" w:rsidRDefault="00E675F0" w:rsidP="00E675F0">
      <w:pPr>
        <w:pStyle w:val="BodyText"/>
        <w:spacing w:before="130" w:line="254" w:lineRule="auto"/>
        <w:ind w:left="136" w:right="103"/>
        <w:jc w:val="both"/>
      </w:pPr>
      <w:r>
        <w:rPr>
          <w:w w:val="105"/>
        </w:rPr>
        <w:t>The most common associated symptoms of Tourette's Disorder are obsessions and compulsions. Hyperactivity, distractibility, and impulsivity are also relatively common. Social discomfort, shame, self-consciousness, and depressed mood frequently occur. Social, academic, and occupational functioning may be impaired  because of  rejection by others or anxiety about having tics in social situations. In severe cases of Tourette's Disorder, the tics may directly interfere with daily activities (e.g., reading or writing). Rare complications ofTourette's Disorder include physical injury, such as blindness due to retinal detachment (from head banging or striking oneselD, orthopedic problems (from knee bending, neck jerking, or head turning), and skin problems (from picking). The severity of the tics may be exacerbated by administration of central nervous system stimulants, which may be a dose-related phenomenon. Obsessive-Compulsive Disorder, Attention-Deficit/Hyperactivity</w:t>
      </w:r>
      <w:r>
        <w:rPr>
          <w:spacing w:val="-34"/>
          <w:w w:val="105"/>
        </w:rPr>
        <w:t xml:space="preserve"> </w:t>
      </w:r>
      <w:r>
        <w:rPr>
          <w:w w:val="105"/>
        </w:rPr>
        <w:t>Disorder,</w:t>
      </w:r>
      <w:r>
        <w:rPr>
          <w:spacing w:val="-6"/>
          <w:w w:val="105"/>
        </w:rPr>
        <w:t xml:space="preserve"> </w:t>
      </w:r>
      <w:r>
        <w:rPr>
          <w:w w:val="105"/>
        </w:rPr>
        <w:t>and</w:t>
      </w:r>
      <w:r>
        <w:rPr>
          <w:spacing w:val="-11"/>
          <w:w w:val="105"/>
        </w:rPr>
        <w:t xml:space="preserve"> </w:t>
      </w:r>
      <w:r>
        <w:rPr>
          <w:w w:val="105"/>
        </w:rPr>
        <w:t>Learning</w:t>
      </w:r>
      <w:r>
        <w:rPr>
          <w:spacing w:val="-11"/>
          <w:w w:val="105"/>
        </w:rPr>
        <w:t xml:space="preserve"> </w:t>
      </w:r>
      <w:r>
        <w:rPr>
          <w:w w:val="105"/>
        </w:rPr>
        <w:t>Disorders</w:t>
      </w:r>
      <w:r>
        <w:rPr>
          <w:spacing w:val="-6"/>
          <w:w w:val="105"/>
        </w:rPr>
        <w:t xml:space="preserve"> </w:t>
      </w:r>
      <w:r>
        <w:rPr>
          <w:w w:val="105"/>
        </w:rPr>
        <w:t>may</w:t>
      </w:r>
      <w:r>
        <w:rPr>
          <w:spacing w:val="-17"/>
          <w:w w:val="105"/>
        </w:rPr>
        <w:t xml:space="preserve"> </w:t>
      </w:r>
      <w:r>
        <w:rPr>
          <w:w w:val="105"/>
        </w:rPr>
        <w:t>be</w:t>
      </w:r>
      <w:r>
        <w:rPr>
          <w:spacing w:val="-16"/>
          <w:w w:val="105"/>
        </w:rPr>
        <w:t xml:space="preserve"> </w:t>
      </w:r>
      <w:r>
        <w:rPr>
          <w:w w:val="105"/>
        </w:rPr>
        <w:t>associated</w:t>
      </w:r>
      <w:r>
        <w:rPr>
          <w:spacing w:val="-2"/>
          <w:w w:val="105"/>
        </w:rPr>
        <w:t xml:space="preserve"> </w:t>
      </w:r>
      <w:r>
        <w:rPr>
          <w:w w:val="105"/>
        </w:rPr>
        <w:t>with Tourette's</w:t>
      </w:r>
      <w:r>
        <w:rPr>
          <w:spacing w:val="16"/>
          <w:w w:val="105"/>
        </w:rPr>
        <w:t xml:space="preserve"> </w:t>
      </w:r>
      <w:r>
        <w:rPr>
          <w:w w:val="105"/>
        </w:rPr>
        <w:t>Disorder.</w:t>
      </w:r>
    </w:p>
    <w:p w:rsidR="00E675F0" w:rsidRDefault="00E675F0" w:rsidP="00E675F0">
      <w:pPr>
        <w:pStyle w:val="BodyText"/>
        <w:rPr>
          <w:sz w:val="22"/>
        </w:rPr>
      </w:pPr>
    </w:p>
    <w:p w:rsidR="00E675F0" w:rsidRDefault="00E675F0" w:rsidP="00E675F0">
      <w:pPr>
        <w:spacing w:before="135"/>
        <w:ind w:left="132"/>
        <w:rPr>
          <w:rFonts w:ascii="TimesNewRomanPS-BoldItalicMT"/>
          <w:b/>
          <w:i/>
        </w:rPr>
      </w:pPr>
      <w:r>
        <w:rPr>
          <w:rFonts w:ascii="TimesNewRomanPS-BoldItalicMT"/>
          <w:b/>
          <w:i/>
          <w:w w:val="125"/>
        </w:rPr>
        <w:t>Specific Culture and Gender Features</w:t>
      </w:r>
    </w:p>
    <w:p w:rsidR="00E675F0" w:rsidRDefault="00E675F0" w:rsidP="00E675F0">
      <w:pPr>
        <w:pStyle w:val="BodyText"/>
        <w:spacing w:before="135" w:line="235" w:lineRule="auto"/>
        <w:ind w:left="150" w:right="107" w:hanging="14"/>
        <w:jc w:val="both"/>
      </w:pPr>
      <w:r>
        <w:rPr>
          <w:w w:val="105"/>
        </w:rPr>
        <w:t xml:space="preserve">Tourette's Disorder has been widely reported in diverse racial and ethnic groups. The disorder is approximately </w:t>
      </w:r>
      <w:r>
        <w:rPr>
          <w:w w:val="105"/>
          <w:sz w:val="21"/>
        </w:rPr>
        <w:t xml:space="preserve">1.5-3 </w:t>
      </w:r>
      <w:r>
        <w:rPr>
          <w:w w:val="105"/>
        </w:rPr>
        <w:t>times more common in males than in females.</w:t>
      </w:r>
    </w:p>
    <w:p w:rsidR="00E675F0" w:rsidRDefault="00E675F0" w:rsidP="00E675F0">
      <w:pPr>
        <w:pStyle w:val="BodyText"/>
        <w:spacing w:before="10"/>
        <w:rPr>
          <w:sz w:val="31"/>
        </w:rPr>
      </w:pPr>
    </w:p>
    <w:p w:rsidR="00E675F0" w:rsidRDefault="00E675F0" w:rsidP="00E675F0">
      <w:pPr>
        <w:spacing w:before="1"/>
        <w:ind w:left="130"/>
        <w:rPr>
          <w:rFonts w:ascii="TimesNewRomanPS-BoldItalicMT"/>
          <w:b/>
          <w:i/>
          <w:sz w:val="25"/>
        </w:rPr>
      </w:pPr>
      <w:r>
        <w:rPr>
          <w:rFonts w:ascii="TimesNewRomanPS-BoldItalicMT"/>
          <w:b/>
          <w:i/>
          <w:w w:val="110"/>
          <w:sz w:val="25"/>
        </w:rPr>
        <w:t>Prevalence</w:t>
      </w:r>
    </w:p>
    <w:p w:rsidR="00E675F0" w:rsidRDefault="00E675F0" w:rsidP="00E675F0">
      <w:pPr>
        <w:pStyle w:val="BodyText"/>
        <w:spacing w:before="129"/>
        <w:ind w:left="141"/>
        <w:jc w:val="both"/>
      </w:pPr>
      <w:r>
        <w:rPr>
          <w:w w:val="105"/>
        </w:rPr>
        <w:t>Tourette's Disorder occurs in approximately 4-5 individuals per 10,000.</w:t>
      </w:r>
    </w:p>
    <w:p w:rsidR="00E675F0" w:rsidRDefault="00E675F0" w:rsidP="00E675F0">
      <w:pPr>
        <w:pStyle w:val="BodyText"/>
        <w:rPr>
          <w:sz w:val="22"/>
        </w:rPr>
      </w:pPr>
    </w:p>
    <w:p w:rsidR="00E675F0" w:rsidRDefault="00E675F0" w:rsidP="00E675F0">
      <w:pPr>
        <w:spacing w:before="129"/>
        <w:ind w:left="126"/>
        <w:rPr>
          <w:rFonts w:ascii="TimesNewRomanPS-BoldItalicMT"/>
          <w:b/>
          <w:i/>
          <w:sz w:val="25"/>
        </w:rPr>
      </w:pPr>
      <w:r>
        <w:rPr>
          <w:rFonts w:ascii="TimesNewRomanPS-BoldItalicMT"/>
          <w:b/>
          <w:i/>
          <w:w w:val="110"/>
          <w:sz w:val="25"/>
        </w:rPr>
        <w:t>Course</w:t>
      </w:r>
    </w:p>
    <w:p w:rsidR="00E675F0" w:rsidRDefault="00E675F0" w:rsidP="00E675F0">
      <w:pPr>
        <w:pStyle w:val="BodyText"/>
        <w:spacing w:before="129" w:line="254" w:lineRule="auto"/>
        <w:ind w:left="144" w:right="104" w:hanging="9"/>
        <w:jc w:val="both"/>
      </w:pPr>
      <w:r>
        <w:rPr>
          <w:w w:val="105"/>
        </w:rPr>
        <w:t>The age at onset of Tourette's Disorder may be as early as age 2 years, is usually during childhood or early adolescence, and is by definition before age 18 years. The  median age at onset for motor tics is 7 years. The duration of the disorder is usually lifelong, though periods of remission lasting from weeks to years may occur. In most cases, the severity, frequency, and variability of the symptoms diminish during adolescence and adulthood. In other cases, the symptoms disappear entirely, usually by early</w:t>
      </w:r>
      <w:r>
        <w:rPr>
          <w:spacing w:val="50"/>
          <w:w w:val="105"/>
        </w:rPr>
        <w:t xml:space="preserve"> </w:t>
      </w:r>
      <w:r>
        <w:rPr>
          <w:w w:val="105"/>
        </w:rPr>
        <w:t>adulthood.</w:t>
      </w:r>
    </w:p>
    <w:p w:rsidR="00E675F0" w:rsidRDefault="00E675F0" w:rsidP="00E675F0">
      <w:pPr>
        <w:pStyle w:val="BodyText"/>
        <w:spacing w:before="9"/>
        <w:rPr>
          <w:sz w:val="31"/>
        </w:rPr>
      </w:pPr>
    </w:p>
    <w:p w:rsidR="00E675F0" w:rsidRDefault="00E675F0" w:rsidP="00E675F0">
      <w:pPr>
        <w:ind w:left="122"/>
        <w:rPr>
          <w:rFonts w:ascii="TimesNewRomanPS-BoldItalicMT"/>
          <w:b/>
          <w:i/>
          <w:sz w:val="25"/>
        </w:rPr>
      </w:pPr>
      <w:r>
        <w:rPr>
          <w:rFonts w:ascii="TimesNewRomanPS-BoldItalicMT"/>
          <w:b/>
          <w:i/>
          <w:w w:val="110"/>
          <w:sz w:val="25"/>
        </w:rPr>
        <w:t>Familial Pattern</w:t>
      </w:r>
    </w:p>
    <w:p w:rsidR="00E675F0" w:rsidRDefault="00E675F0" w:rsidP="00E675F0">
      <w:pPr>
        <w:pStyle w:val="BodyText"/>
        <w:spacing w:before="134" w:line="252" w:lineRule="auto"/>
        <w:ind w:left="140" w:right="108" w:hanging="4"/>
        <w:jc w:val="both"/>
      </w:pPr>
      <w:r>
        <w:rPr>
          <w:w w:val="105"/>
        </w:rPr>
        <w:t>The vulnerability to Tourette's Disorder and related disorders is transmitted in an autosomal dominant pattern. "Vulnerability" implies that the child receives the genetic</w:t>
      </w:r>
    </w:p>
    <w:p w:rsidR="00E675F0" w:rsidRDefault="00E675F0" w:rsidP="00E675F0">
      <w:pPr>
        <w:spacing w:line="252" w:lineRule="auto"/>
        <w:jc w:val="both"/>
        <w:sectPr w:rsidR="00E675F0">
          <w:pgSz w:w="8960" w:h="14260"/>
          <w:pgMar w:top="1400" w:right="600" w:bottom="280" w:left="620" w:header="694" w:footer="0" w:gutter="0"/>
          <w:cols w:space="720"/>
        </w:sectPr>
      </w:pPr>
    </w:p>
    <w:p w:rsidR="00E675F0" w:rsidRDefault="00E675F0" w:rsidP="00E675F0">
      <w:pPr>
        <w:pStyle w:val="BodyText"/>
        <w:spacing w:before="134" w:line="252" w:lineRule="auto"/>
        <w:ind w:left="110" w:right="110"/>
        <w:jc w:val="both"/>
      </w:pPr>
      <w:bookmarkStart w:id="66" w:name="_bookmark50"/>
      <w:bookmarkEnd w:id="66"/>
      <w:r>
        <w:rPr>
          <w:w w:val="105"/>
        </w:rPr>
        <w:lastRenderedPageBreak/>
        <w:t>or constitutional basis for developing a Tic Disorder; the precise type or severity of disorder may be different from one generation to another. Not everyone who  inherits  the genetic vulnerability will express symptoms of a Tic Disorder. Penetrance in female gene carriers is about 70%; penetrance in male gene carriers is about 99%. The range of forms in which the vulnerability may be expressed includes full-blown Tourette's Disorder, Chronic Motor or Vocal Tic Disorder, some forms of Obsessive-Compulsive Disorder, and, perhaps, Attention-Deficit/Hyperactivity Disorder. In about 10% of those with Tourette's Disorder, there is no evidence of a familial pattern. Individuals with these "nongenetic" forms of Tourette's Disorder or another tic disorder often have another mental disorder (e.g., Pervasive Developmental Disorder) or a general medical condition (e.g., a seizure</w:t>
      </w:r>
      <w:r>
        <w:rPr>
          <w:spacing w:val="36"/>
          <w:w w:val="105"/>
        </w:rPr>
        <w:t xml:space="preserve"> </w:t>
      </w:r>
      <w:r>
        <w:rPr>
          <w:w w:val="105"/>
        </w:rPr>
        <w:t>disorder).</w:t>
      </w:r>
    </w:p>
    <w:p w:rsidR="00E675F0" w:rsidRDefault="00E675F0" w:rsidP="00E675F0">
      <w:pPr>
        <w:pStyle w:val="BodyText"/>
        <w:rPr>
          <w:sz w:val="32"/>
        </w:rPr>
      </w:pPr>
    </w:p>
    <w:p w:rsidR="00E675F0" w:rsidRDefault="00E675F0" w:rsidP="00E675F0">
      <w:pPr>
        <w:ind w:left="107"/>
        <w:jc w:val="both"/>
        <w:rPr>
          <w:rFonts w:ascii="TimesNewRomanPS-BoldItalicMT"/>
          <w:b/>
          <w:i/>
          <w:sz w:val="24"/>
        </w:rPr>
      </w:pPr>
      <w:r>
        <w:rPr>
          <w:rFonts w:ascii="TimesNewRomanPS-BoldItalicMT"/>
          <w:b/>
          <w:i/>
          <w:w w:val="115"/>
          <w:sz w:val="24"/>
        </w:rPr>
        <w:t>Di,fferential magnosis</w:t>
      </w:r>
    </w:p>
    <w:p w:rsidR="00E675F0" w:rsidRDefault="00E675F0" w:rsidP="00E675F0">
      <w:pPr>
        <w:pStyle w:val="BodyText"/>
        <w:spacing w:before="132"/>
        <w:ind w:left="124"/>
        <w:jc w:val="both"/>
      </w:pPr>
      <w:r>
        <w:rPr>
          <w:w w:val="105"/>
        </w:rPr>
        <w:t>Refer to the "Differential Diagnosis" section for Tic Disorders (p. 100).</w:t>
      </w:r>
    </w:p>
    <w:p w:rsidR="00E675F0" w:rsidRDefault="00E675F0" w:rsidP="00E675F0">
      <w:pPr>
        <w:pStyle w:val="BodyText"/>
      </w:pPr>
    </w:p>
    <w:p w:rsidR="00E675F0" w:rsidRDefault="00E675F0" w:rsidP="00E675F0">
      <w:pPr>
        <w:pStyle w:val="BodyText"/>
      </w:pPr>
    </w:p>
    <w:p w:rsidR="00E675F0" w:rsidRDefault="00E675F0" w:rsidP="00E675F0">
      <w:pPr>
        <w:pStyle w:val="BodyText"/>
        <w:spacing w:before="4"/>
      </w:pPr>
    </w:p>
    <w:tbl>
      <w:tblPr>
        <w:tblW w:w="0" w:type="auto"/>
        <w:tblInd w:w="219"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7328"/>
      </w:tblGrid>
      <w:tr w:rsidR="00E675F0" w:rsidTr="00A330E1">
        <w:trPr>
          <w:trHeight w:val="5131"/>
        </w:trPr>
        <w:tc>
          <w:tcPr>
            <w:tcW w:w="7328" w:type="dxa"/>
          </w:tcPr>
          <w:p w:rsidR="00E675F0" w:rsidRDefault="00E675F0" w:rsidP="003048D3">
            <w:pPr>
              <w:pStyle w:val="TableParagraph"/>
              <w:numPr>
                <w:ilvl w:val="0"/>
                <w:numId w:val="77"/>
              </w:numPr>
              <w:tabs>
                <w:tab w:val="left" w:pos="634"/>
              </w:tabs>
              <w:spacing w:line="535" w:lineRule="exact"/>
              <w:ind w:hanging="380"/>
              <w:rPr>
                <w:rFonts w:ascii="Arial" w:hAnsi="Arial"/>
                <w:b/>
                <w:sz w:val="24"/>
              </w:rPr>
            </w:pPr>
            <w:r>
              <w:rPr>
                <w:rFonts w:ascii="Arial" w:hAnsi="Arial"/>
                <w:b/>
                <w:w w:val="105"/>
                <w:sz w:val="24"/>
              </w:rPr>
              <w:t>Diagnostic criteria for 307.23 Tourette's</w:t>
            </w:r>
            <w:r>
              <w:rPr>
                <w:rFonts w:ascii="Arial" w:hAnsi="Arial"/>
                <w:b/>
                <w:spacing w:val="6"/>
                <w:w w:val="105"/>
                <w:sz w:val="24"/>
              </w:rPr>
              <w:t xml:space="preserve"> </w:t>
            </w:r>
            <w:r>
              <w:rPr>
                <w:rFonts w:ascii="Arial" w:hAnsi="Arial"/>
                <w:b/>
                <w:w w:val="105"/>
                <w:sz w:val="24"/>
              </w:rPr>
              <w:t>Disorder</w:t>
            </w:r>
          </w:p>
          <w:p w:rsidR="00E675F0" w:rsidRDefault="00E675F0" w:rsidP="003048D3">
            <w:pPr>
              <w:pStyle w:val="TableParagraph"/>
              <w:numPr>
                <w:ilvl w:val="1"/>
                <w:numId w:val="77"/>
              </w:numPr>
              <w:tabs>
                <w:tab w:val="left" w:pos="966"/>
              </w:tabs>
              <w:spacing w:before="74" w:line="254" w:lineRule="auto"/>
              <w:ind w:right="218" w:hanging="300"/>
              <w:jc w:val="both"/>
              <w:rPr>
                <w:sz w:val="18"/>
              </w:rPr>
            </w:pPr>
            <w:r>
              <w:rPr>
                <w:w w:val="105"/>
                <w:sz w:val="20"/>
              </w:rPr>
              <w:t xml:space="preserve">Both multiple motor and one or more vocal tics have been present at some time during the illness,  although  not  necessarily  concurrently. (A </w:t>
            </w:r>
            <w:r>
              <w:rPr>
                <w:i/>
                <w:w w:val="105"/>
                <w:sz w:val="19"/>
              </w:rPr>
              <w:t xml:space="preserve">tic </w:t>
            </w:r>
            <w:r>
              <w:rPr>
                <w:w w:val="105"/>
                <w:sz w:val="20"/>
              </w:rPr>
              <w:t>is a sudden, rapid, recurrent, nonrhythmic, stereotyped motor movement or</w:t>
            </w:r>
            <w:r>
              <w:rPr>
                <w:spacing w:val="29"/>
                <w:w w:val="105"/>
                <w:sz w:val="20"/>
              </w:rPr>
              <w:t xml:space="preserve"> </w:t>
            </w:r>
            <w:r>
              <w:rPr>
                <w:w w:val="105"/>
                <w:sz w:val="20"/>
              </w:rPr>
              <w:t>vocalization.)</w:t>
            </w:r>
          </w:p>
          <w:p w:rsidR="00E675F0" w:rsidRDefault="00E675F0" w:rsidP="003048D3">
            <w:pPr>
              <w:pStyle w:val="TableParagraph"/>
              <w:numPr>
                <w:ilvl w:val="1"/>
                <w:numId w:val="77"/>
              </w:numPr>
              <w:tabs>
                <w:tab w:val="left" w:pos="953"/>
              </w:tabs>
              <w:spacing w:before="189" w:line="252" w:lineRule="auto"/>
              <w:ind w:left="962" w:right="213" w:hanging="301"/>
              <w:jc w:val="both"/>
              <w:rPr>
                <w:sz w:val="20"/>
              </w:rPr>
            </w:pPr>
            <w:r>
              <w:rPr>
                <w:w w:val="105"/>
                <w:sz w:val="20"/>
              </w:rPr>
              <w:t>The tics occur many times a day (usually in bouts) nearly every day or intermittently throughout a period of more than 1 year, and during this period there was never a tic-free period of more than 3 consecutive months.</w:t>
            </w:r>
          </w:p>
          <w:p w:rsidR="00E675F0" w:rsidRDefault="00E675F0" w:rsidP="003048D3">
            <w:pPr>
              <w:pStyle w:val="TableParagraph"/>
              <w:numPr>
                <w:ilvl w:val="1"/>
                <w:numId w:val="77"/>
              </w:numPr>
              <w:tabs>
                <w:tab w:val="left" w:pos="958"/>
              </w:tabs>
              <w:spacing w:before="182" w:line="244" w:lineRule="auto"/>
              <w:ind w:left="958" w:right="211" w:hanging="302"/>
              <w:jc w:val="both"/>
              <w:rPr>
                <w:rFonts w:ascii="Arial"/>
                <w:sz w:val="17"/>
              </w:rPr>
            </w:pPr>
            <w:r>
              <w:rPr>
                <w:w w:val="105"/>
                <w:sz w:val="20"/>
              </w:rPr>
              <w:t>The disturbance causes marked distress or significant impairment in social, occupational, or other important areas of</w:t>
            </w:r>
            <w:r>
              <w:rPr>
                <w:spacing w:val="3"/>
                <w:w w:val="105"/>
                <w:sz w:val="20"/>
              </w:rPr>
              <w:t xml:space="preserve"> </w:t>
            </w:r>
            <w:r>
              <w:rPr>
                <w:w w:val="105"/>
                <w:sz w:val="20"/>
              </w:rPr>
              <w:t>functioning.</w:t>
            </w:r>
          </w:p>
          <w:p w:rsidR="00E675F0" w:rsidRDefault="00E675F0" w:rsidP="003048D3">
            <w:pPr>
              <w:pStyle w:val="TableParagraph"/>
              <w:numPr>
                <w:ilvl w:val="1"/>
                <w:numId w:val="77"/>
              </w:numPr>
              <w:tabs>
                <w:tab w:val="left" w:pos="958"/>
              </w:tabs>
              <w:spacing w:before="190"/>
              <w:ind w:left="957" w:hanging="297"/>
              <w:rPr>
                <w:sz w:val="20"/>
              </w:rPr>
            </w:pPr>
            <w:r>
              <w:rPr>
                <w:w w:val="105"/>
                <w:sz w:val="20"/>
              </w:rPr>
              <w:t>The onset is before age</w:t>
            </w:r>
            <w:r>
              <w:rPr>
                <w:spacing w:val="10"/>
                <w:w w:val="105"/>
                <w:sz w:val="20"/>
              </w:rPr>
              <w:t xml:space="preserve"> </w:t>
            </w:r>
            <w:r>
              <w:rPr>
                <w:w w:val="105"/>
                <w:sz w:val="20"/>
              </w:rPr>
              <w:t>18 years.</w:t>
            </w:r>
          </w:p>
          <w:p w:rsidR="00E675F0" w:rsidRDefault="00E675F0" w:rsidP="003048D3">
            <w:pPr>
              <w:pStyle w:val="TableParagraph"/>
              <w:numPr>
                <w:ilvl w:val="1"/>
                <w:numId w:val="77"/>
              </w:numPr>
              <w:tabs>
                <w:tab w:val="left" w:pos="958"/>
              </w:tabs>
              <w:spacing w:before="193" w:line="252" w:lineRule="auto"/>
              <w:ind w:left="958" w:right="206" w:hanging="298"/>
              <w:jc w:val="both"/>
              <w:rPr>
                <w:sz w:val="20"/>
              </w:rPr>
            </w:pPr>
            <w:r>
              <w:rPr>
                <w:w w:val="110"/>
                <w:sz w:val="20"/>
              </w:rPr>
              <w:t>The disturbance is not due to the direct physiological effects of a substance (e.g., stimulants) or a general medical condition (e.g., Huntington's disease or postviral</w:t>
            </w:r>
            <w:r>
              <w:rPr>
                <w:spacing w:val="24"/>
                <w:w w:val="110"/>
                <w:sz w:val="20"/>
              </w:rPr>
              <w:t xml:space="preserve"> </w:t>
            </w:r>
            <w:r>
              <w:rPr>
                <w:w w:val="110"/>
                <w:sz w:val="20"/>
              </w:rPr>
              <w:t>encephalitis).</w:t>
            </w:r>
          </w:p>
        </w:tc>
      </w:tr>
    </w:tbl>
    <w:p w:rsidR="00E675F0" w:rsidRDefault="00E675F0" w:rsidP="00E675F0">
      <w:pPr>
        <w:pStyle w:val="BodyText"/>
      </w:pPr>
    </w:p>
    <w:p w:rsidR="00E675F0" w:rsidRDefault="00E675F0" w:rsidP="00E675F0">
      <w:pPr>
        <w:pStyle w:val="BodyText"/>
        <w:spacing w:before="4"/>
        <w:rPr>
          <w:sz w:val="25"/>
        </w:rPr>
      </w:pPr>
    </w:p>
    <w:p w:rsidR="00E675F0" w:rsidRDefault="00E675F0" w:rsidP="00E675F0">
      <w:pPr>
        <w:tabs>
          <w:tab w:val="left" w:pos="2117"/>
        </w:tabs>
        <w:spacing w:before="92"/>
        <w:ind w:left="1046"/>
        <w:rPr>
          <w:rFonts w:ascii="Arial"/>
          <w:b/>
          <w:sz w:val="25"/>
        </w:rPr>
      </w:pPr>
      <w:r>
        <w:rPr>
          <w:noProof/>
        </w:rPr>
        <mc:AlternateContent>
          <mc:Choice Requires="wps">
            <w:drawing>
              <wp:anchor distT="0" distB="0" distL="114300" distR="114300" simplePos="0" relativeHeight="251691008" behindDoc="0" locked="0" layoutInCell="1" allowOverlap="1" wp14:anchorId="6F574D04" wp14:editId="03329402">
                <wp:simplePos x="0" y="0"/>
                <wp:positionH relativeFrom="page">
                  <wp:posOffset>511175</wp:posOffset>
                </wp:positionH>
                <wp:positionV relativeFrom="paragraph">
                  <wp:posOffset>-290195</wp:posOffset>
                </wp:positionV>
                <wp:extent cx="0" cy="0"/>
                <wp:effectExtent l="0" t="0" r="0" b="0"/>
                <wp:wrapNone/>
                <wp:docPr id="1518" name="Line 14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3361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F84DC1" id="Line 1474" o:spid="_x0000_s1026" style="position:absolute;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25pt,-22.85pt" to="40.25pt,-22.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" strokeweight=".93364mm">
                <o:lock v:ext="edit" shapetype="f"/>
                <w10:wrap anchorx="page"/>
              </v:line>
            </w:pict>
          </mc:Fallback>
        </mc:AlternateContent>
      </w:r>
      <w:r>
        <w:rPr>
          <w:noProof/>
        </w:rPr>
        <mc:AlternateContent>
          <mc:Choice Requires="wps">
            <w:drawing>
              <wp:anchor distT="0" distB="0" distL="114300" distR="114300" simplePos="0" relativeHeight="251776000" behindDoc="1" locked="0" layoutInCell="1" allowOverlap="1" wp14:anchorId="4664C673" wp14:editId="231E0CB0">
                <wp:simplePos x="0" y="0"/>
                <wp:positionH relativeFrom="page">
                  <wp:posOffset>5165090</wp:posOffset>
                </wp:positionH>
                <wp:positionV relativeFrom="paragraph">
                  <wp:posOffset>-290195</wp:posOffset>
                </wp:positionV>
                <wp:extent cx="0" cy="0"/>
                <wp:effectExtent l="0" t="0" r="0" b="0"/>
                <wp:wrapNone/>
                <wp:docPr id="1517" name="Line 14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3361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60B5A7" id="Line 1473" o:spid="_x0000_s1026" style="position:absolute;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6.7pt,-22.85pt" to="406.7pt,-22.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" strokeweight=".93364mm">
                <o:lock v:ext="edit" shapetype="f"/>
                <w10:wrap anchorx="page"/>
              </v:line>
            </w:pict>
          </mc:Fallback>
        </mc:AlternateContent>
      </w:r>
      <w:r>
        <w:rPr>
          <w:rFonts w:ascii="Arial"/>
          <w:b/>
          <w:w w:val="105"/>
          <w:sz w:val="25"/>
        </w:rPr>
        <w:t>307.22</w:t>
      </w:r>
      <w:r>
        <w:rPr>
          <w:rFonts w:ascii="Arial"/>
          <w:b/>
          <w:w w:val="105"/>
          <w:sz w:val="25"/>
        </w:rPr>
        <w:tab/>
        <w:t>Chronic Motor or Vocal Tic</w:t>
      </w:r>
      <w:r>
        <w:rPr>
          <w:rFonts w:ascii="Arial"/>
          <w:b/>
          <w:spacing w:val="11"/>
          <w:w w:val="105"/>
          <w:sz w:val="25"/>
        </w:rPr>
        <w:t xml:space="preserve"> </w:t>
      </w:r>
      <w:r>
        <w:rPr>
          <w:rFonts w:ascii="Arial"/>
          <w:b/>
          <w:w w:val="105"/>
          <w:sz w:val="25"/>
        </w:rPr>
        <w:t>Disorder</w:t>
      </w:r>
    </w:p>
    <w:p w:rsidR="00E675F0" w:rsidRDefault="00E675F0" w:rsidP="00E675F0">
      <w:pPr>
        <w:pStyle w:val="BodyText"/>
        <w:spacing w:before="2"/>
        <w:rPr>
          <w:rFonts w:ascii="Arial"/>
          <w:b/>
          <w:sz w:val="23"/>
        </w:rPr>
      </w:pPr>
    </w:p>
    <w:p w:rsidR="00E675F0" w:rsidRDefault="00E675F0" w:rsidP="00E675F0">
      <w:pPr>
        <w:ind w:left="101"/>
        <w:jc w:val="both"/>
        <w:rPr>
          <w:rFonts w:ascii="TimesNewRomanPS-BoldItalicMT"/>
          <w:b/>
          <w:i/>
          <w:sz w:val="24"/>
        </w:rPr>
      </w:pPr>
      <w:r>
        <w:rPr>
          <w:rFonts w:ascii="TimesNewRomanPS-BoldItalicMT"/>
          <w:b/>
          <w:i/>
          <w:w w:val="120"/>
          <w:sz w:val="24"/>
        </w:rPr>
        <w:t>magnostic Features</w:t>
      </w:r>
    </w:p>
    <w:p w:rsidR="00E675F0" w:rsidRDefault="00E675F0" w:rsidP="00E675F0">
      <w:pPr>
        <w:pStyle w:val="BodyText"/>
        <w:spacing w:before="131" w:line="256" w:lineRule="auto"/>
        <w:ind w:left="126" w:right="119" w:hanging="5"/>
        <w:jc w:val="both"/>
      </w:pPr>
      <w:r>
        <w:rPr>
          <w:w w:val="105"/>
        </w:rPr>
        <w:t xml:space="preserve">The essential feature of Chronic Motor or Vocal Tic Disorder is the presence of either motor tics orvocal tics, but </w:t>
      </w:r>
      <w:r>
        <w:rPr>
          <w:i/>
          <w:w w:val="105"/>
        </w:rPr>
        <w:t xml:space="preserve">not both </w:t>
      </w:r>
      <w:r>
        <w:rPr>
          <w:w w:val="105"/>
        </w:rPr>
        <w:t>(Criterion A). This differs from Tourette's Disorder in which there must be both multiple motor and one or more vocal tics. The other</w:t>
      </w:r>
    </w:p>
    <w:p w:rsidR="00E675F0" w:rsidRDefault="00E675F0" w:rsidP="00E675F0">
      <w:pPr>
        <w:spacing w:line="256" w:lineRule="auto"/>
        <w:jc w:val="both"/>
        <w:sectPr w:rsidR="00E675F0">
          <w:headerReference w:type="even" r:id="rId120"/>
          <w:headerReference w:type="default" r:id="rId121"/>
          <w:pgSz w:w="8960" w:h="14260"/>
          <w:pgMar w:top="1400" w:right="620" w:bottom="280" w:left="620" w:header="708" w:footer="0" w:gutter="0"/>
          <w:cols w:space="720"/>
        </w:sectPr>
      </w:pPr>
    </w:p>
    <w:p w:rsidR="00E675F0" w:rsidRDefault="00E675F0" w:rsidP="00E675F0">
      <w:pPr>
        <w:pStyle w:val="BodyText"/>
        <w:spacing w:before="127" w:line="254" w:lineRule="auto"/>
        <w:ind w:left="131" w:right="107" w:firstLine="8"/>
        <w:jc w:val="both"/>
      </w:pPr>
      <w:bookmarkStart w:id="67" w:name="_bookmark51"/>
      <w:bookmarkEnd w:id="67"/>
      <w:r>
        <w:rPr>
          <w:w w:val="105"/>
        </w:rPr>
        <w:lastRenderedPageBreak/>
        <w:t>essential features (Criteria B, C, D, and E) are the same as for Tourette's Disorder. A diagnosis of Chronic Motor or Vocal Tic Disorder cannot be made if the criteria for Tourette's</w:t>
      </w:r>
      <w:r>
        <w:rPr>
          <w:spacing w:val="-5"/>
          <w:w w:val="105"/>
        </w:rPr>
        <w:t xml:space="preserve"> </w:t>
      </w:r>
      <w:r>
        <w:rPr>
          <w:w w:val="105"/>
        </w:rPr>
        <w:t>Disorder</w:t>
      </w:r>
      <w:r>
        <w:rPr>
          <w:spacing w:val="-3"/>
          <w:w w:val="105"/>
        </w:rPr>
        <w:t xml:space="preserve"> </w:t>
      </w:r>
      <w:r>
        <w:rPr>
          <w:w w:val="105"/>
        </w:rPr>
        <w:t>have</w:t>
      </w:r>
      <w:r>
        <w:rPr>
          <w:spacing w:val="-10"/>
          <w:w w:val="105"/>
        </w:rPr>
        <w:t xml:space="preserve"> </w:t>
      </w:r>
      <w:r>
        <w:rPr>
          <w:w w:val="105"/>
        </w:rPr>
        <w:t>ever</w:t>
      </w:r>
      <w:r>
        <w:rPr>
          <w:spacing w:val="-4"/>
          <w:w w:val="105"/>
        </w:rPr>
        <w:t xml:space="preserve"> </w:t>
      </w:r>
      <w:r>
        <w:rPr>
          <w:w w:val="105"/>
        </w:rPr>
        <w:t>been</w:t>
      </w:r>
      <w:r>
        <w:rPr>
          <w:spacing w:val="-3"/>
          <w:w w:val="105"/>
        </w:rPr>
        <w:t xml:space="preserve"> </w:t>
      </w:r>
      <w:r>
        <w:rPr>
          <w:w w:val="105"/>
        </w:rPr>
        <w:t>met</w:t>
      </w:r>
      <w:r>
        <w:rPr>
          <w:spacing w:val="-12"/>
          <w:w w:val="105"/>
        </w:rPr>
        <w:t xml:space="preserve"> </w:t>
      </w:r>
      <w:r>
        <w:rPr>
          <w:w w:val="105"/>
        </w:rPr>
        <w:t>(Criterion</w:t>
      </w:r>
      <w:r>
        <w:rPr>
          <w:spacing w:val="1"/>
          <w:w w:val="105"/>
        </w:rPr>
        <w:t xml:space="preserve"> </w:t>
      </w:r>
      <w:r>
        <w:rPr>
          <w:w w:val="105"/>
        </w:rPr>
        <w:t>F).</w:t>
      </w:r>
      <w:r>
        <w:rPr>
          <w:spacing w:val="-21"/>
          <w:w w:val="105"/>
        </w:rPr>
        <w:t xml:space="preserve"> </w:t>
      </w:r>
      <w:r>
        <w:rPr>
          <w:w w:val="105"/>
        </w:rPr>
        <w:t>The</w:t>
      </w:r>
      <w:r>
        <w:rPr>
          <w:spacing w:val="-10"/>
          <w:w w:val="105"/>
        </w:rPr>
        <w:t xml:space="preserve"> </w:t>
      </w:r>
      <w:r>
        <w:rPr>
          <w:w w:val="105"/>
        </w:rPr>
        <w:t>other</w:t>
      </w:r>
      <w:r>
        <w:rPr>
          <w:spacing w:val="-11"/>
          <w:w w:val="105"/>
        </w:rPr>
        <w:t xml:space="preserve"> </w:t>
      </w:r>
      <w:r>
        <w:rPr>
          <w:w w:val="105"/>
        </w:rPr>
        <w:t>characteristics</w:t>
      </w:r>
      <w:r>
        <w:rPr>
          <w:spacing w:val="-29"/>
          <w:w w:val="105"/>
        </w:rPr>
        <w:t xml:space="preserve"> </w:t>
      </w:r>
      <w:r>
        <w:rPr>
          <w:w w:val="105"/>
        </w:rPr>
        <w:t>of</w:t>
      </w:r>
      <w:r>
        <w:rPr>
          <w:spacing w:val="-2"/>
          <w:w w:val="105"/>
        </w:rPr>
        <w:t xml:space="preserve"> </w:t>
      </w:r>
      <w:r>
        <w:rPr>
          <w:w w:val="105"/>
        </w:rPr>
        <w:t>Chronic Motor</w:t>
      </w:r>
      <w:r>
        <w:rPr>
          <w:spacing w:val="-8"/>
          <w:w w:val="105"/>
        </w:rPr>
        <w:t xml:space="preserve"> </w:t>
      </w:r>
      <w:r>
        <w:rPr>
          <w:w w:val="105"/>
        </w:rPr>
        <w:t>or</w:t>
      </w:r>
      <w:r>
        <w:rPr>
          <w:spacing w:val="-13"/>
          <w:w w:val="105"/>
        </w:rPr>
        <w:t xml:space="preserve"> </w:t>
      </w:r>
      <w:r>
        <w:rPr>
          <w:w w:val="105"/>
        </w:rPr>
        <w:t>Vocal</w:t>
      </w:r>
      <w:r>
        <w:rPr>
          <w:spacing w:val="-14"/>
          <w:w w:val="105"/>
        </w:rPr>
        <w:t xml:space="preserve"> </w:t>
      </w:r>
      <w:r>
        <w:rPr>
          <w:w w:val="105"/>
        </w:rPr>
        <w:t>Tic</w:t>
      </w:r>
      <w:r>
        <w:rPr>
          <w:spacing w:val="-6"/>
          <w:w w:val="105"/>
        </w:rPr>
        <w:t xml:space="preserve"> </w:t>
      </w:r>
      <w:r>
        <w:rPr>
          <w:w w:val="105"/>
        </w:rPr>
        <w:t>Disorder</w:t>
      </w:r>
      <w:r>
        <w:rPr>
          <w:spacing w:val="-7"/>
          <w:w w:val="105"/>
        </w:rPr>
        <w:t xml:space="preserve"> </w:t>
      </w:r>
      <w:r>
        <w:rPr>
          <w:w w:val="105"/>
        </w:rPr>
        <w:t>are</w:t>
      </w:r>
      <w:r>
        <w:rPr>
          <w:spacing w:val="-15"/>
          <w:w w:val="105"/>
        </w:rPr>
        <w:t xml:space="preserve"> </w:t>
      </w:r>
      <w:r>
        <w:rPr>
          <w:w w:val="105"/>
        </w:rPr>
        <w:t>generally</w:t>
      </w:r>
      <w:r>
        <w:rPr>
          <w:spacing w:val="-2"/>
          <w:w w:val="105"/>
        </w:rPr>
        <w:t xml:space="preserve"> </w:t>
      </w:r>
      <w:r>
        <w:rPr>
          <w:w w:val="105"/>
        </w:rPr>
        <w:t>the</w:t>
      </w:r>
      <w:r>
        <w:rPr>
          <w:spacing w:val="-19"/>
          <w:w w:val="105"/>
        </w:rPr>
        <w:t xml:space="preserve"> </w:t>
      </w:r>
      <w:r>
        <w:rPr>
          <w:w w:val="105"/>
        </w:rPr>
        <w:t>same</w:t>
      </w:r>
      <w:r>
        <w:rPr>
          <w:spacing w:val="-12"/>
          <w:w w:val="105"/>
        </w:rPr>
        <w:t xml:space="preserve"> </w:t>
      </w:r>
      <w:r>
        <w:rPr>
          <w:w w:val="105"/>
        </w:rPr>
        <w:t>as</w:t>
      </w:r>
      <w:r>
        <w:rPr>
          <w:spacing w:val="-24"/>
          <w:w w:val="105"/>
        </w:rPr>
        <w:t xml:space="preserve"> </w:t>
      </w:r>
      <w:r>
        <w:rPr>
          <w:w w:val="105"/>
        </w:rPr>
        <w:t>for</w:t>
      </w:r>
      <w:r>
        <w:rPr>
          <w:spacing w:val="-18"/>
          <w:w w:val="105"/>
        </w:rPr>
        <w:t xml:space="preserve"> </w:t>
      </w:r>
      <w:r>
        <w:rPr>
          <w:w w:val="105"/>
        </w:rPr>
        <w:t>Tourette's</w:t>
      </w:r>
      <w:r>
        <w:rPr>
          <w:spacing w:val="1"/>
          <w:w w:val="105"/>
        </w:rPr>
        <w:t xml:space="preserve"> </w:t>
      </w:r>
      <w:r>
        <w:rPr>
          <w:w w:val="105"/>
        </w:rPr>
        <w:t>Disorder</w:t>
      </w:r>
      <w:r>
        <w:rPr>
          <w:spacing w:val="-4"/>
          <w:w w:val="105"/>
        </w:rPr>
        <w:t xml:space="preserve"> </w:t>
      </w:r>
      <w:r>
        <w:rPr>
          <w:w w:val="105"/>
        </w:rPr>
        <w:t>(seep.</w:t>
      </w:r>
      <w:r>
        <w:rPr>
          <w:spacing w:val="-21"/>
          <w:w w:val="105"/>
        </w:rPr>
        <w:t xml:space="preserve"> </w:t>
      </w:r>
      <w:r>
        <w:rPr>
          <w:w w:val="105"/>
        </w:rPr>
        <w:t xml:space="preserve">101), except that the severity of the symptoms and the functional impairment are usually much less. </w:t>
      </w:r>
      <w:r>
        <w:rPr>
          <w:w w:val="105"/>
          <w:sz w:val="19"/>
        </w:rPr>
        <w:t xml:space="preserve">It </w:t>
      </w:r>
      <w:r>
        <w:rPr>
          <w:w w:val="105"/>
        </w:rPr>
        <w:t>appears that Chronic Motor or Vocal Tic Disorder and Tourette's Disorder may  be genetically related because they often occur in the same</w:t>
      </w:r>
      <w:r>
        <w:rPr>
          <w:spacing w:val="-11"/>
          <w:w w:val="105"/>
        </w:rPr>
        <w:t xml:space="preserve"> </w:t>
      </w:r>
      <w:r>
        <w:rPr>
          <w:w w:val="105"/>
        </w:rPr>
        <w:t>families.</w:t>
      </w:r>
    </w:p>
    <w:p w:rsidR="00E675F0" w:rsidRDefault="00E675F0" w:rsidP="00E675F0">
      <w:pPr>
        <w:pStyle w:val="BodyText"/>
        <w:spacing w:before="9"/>
        <w:rPr>
          <w:sz w:val="31"/>
        </w:rPr>
      </w:pPr>
    </w:p>
    <w:p w:rsidR="00E675F0" w:rsidRDefault="00E675F0" w:rsidP="00E675F0">
      <w:pPr>
        <w:spacing w:before="1"/>
        <w:ind w:left="122"/>
        <w:jc w:val="both"/>
        <w:rPr>
          <w:rFonts w:ascii="TimesNewRomanPS-BoldItalicMT"/>
          <w:b/>
          <w:i/>
          <w:sz w:val="24"/>
        </w:rPr>
      </w:pPr>
      <w:r>
        <w:rPr>
          <w:rFonts w:ascii="TimesNewRomanPS-BoldItalicMT"/>
          <w:b/>
          <w:i/>
          <w:w w:val="120"/>
          <w:sz w:val="24"/>
        </w:rPr>
        <w:t>Di,fferential magnosis</w:t>
      </w:r>
    </w:p>
    <w:p w:rsidR="00E675F0" w:rsidRDefault="00E675F0" w:rsidP="00E675F0">
      <w:pPr>
        <w:pStyle w:val="BodyText"/>
        <w:spacing w:before="122"/>
        <w:ind w:left="138"/>
        <w:jc w:val="both"/>
      </w:pPr>
      <w:r>
        <w:t>Refer to the "Differential Diagnosis" section for Tic Disorders (p. 100).</w:t>
      </w:r>
    </w:p>
    <w:p w:rsidR="00E675F0" w:rsidRDefault="00E675F0" w:rsidP="00E675F0">
      <w:pPr>
        <w:pStyle w:val="BodyText"/>
      </w:pPr>
    </w:p>
    <w:p w:rsidR="00E675F0" w:rsidRDefault="00E675F0" w:rsidP="00E675F0">
      <w:pPr>
        <w:pStyle w:val="BodyText"/>
      </w:pPr>
    </w:p>
    <w:p w:rsidR="00E675F0" w:rsidRDefault="00E675F0" w:rsidP="00E675F0">
      <w:pPr>
        <w:pStyle w:val="BodyText"/>
        <w:rPr>
          <w:sz w:val="21"/>
        </w:rPr>
      </w:pPr>
    </w:p>
    <w:tbl>
      <w:tblPr>
        <w:tblW w:w="0" w:type="auto"/>
        <w:tblInd w:w="233"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7346"/>
      </w:tblGrid>
      <w:tr w:rsidR="00E675F0" w:rsidTr="00A330E1">
        <w:trPr>
          <w:trHeight w:val="5376"/>
        </w:trPr>
        <w:tc>
          <w:tcPr>
            <w:tcW w:w="7346" w:type="dxa"/>
          </w:tcPr>
          <w:p w:rsidR="00E675F0" w:rsidRDefault="00E675F0" w:rsidP="003048D3">
            <w:pPr>
              <w:pStyle w:val="TableParagraph"/>
              <w:numPr>
                <w:ilvl w:val="0"/>
                <w:numId w:val="76"/>
              </w:numPr>
              <w:tabs>
                <w:tab w:val="left" w:pos="629"/>
              </w:tabs>
              <w:spacing w:before="22" w:line="211" w:lineRule="auto"/>
              <w:ind w:right="1132" w:hanging="377"/>
              <w:rPr>
                <w:rFonts w:ascii="Arial" w:hAnsi="Arial"/>
                <w:b/>
                <w:sz w:val="24"/>
              </w:rPr>
            </w:pPr>
            <w:r>
              <w:rPr>
                <w:rFonts w:ascii="Arial" w:hAnsi="Arial"/>
                <w:b/>
                <w:w w:val="105"/>
                <w:sz w:val="24"/>
              </w:rPr>
              <w:t>Diagnostic criteria</w:t>
            </w:r>
            <w:r>
              <w:rPr>
                <w:rFonts w:ascii="Arial" w:hAnsi="Arial"/>
                <w:b/>
                <w:spacing w:val="-14"/>
                <w:w w:val="105"/>
                <w:sz w:val="24"/>
              </w:rPr>
              <w:t xml:space="preserve"> </w:t>
            </w:r>
            <w:r>
              <w:rPr>
                <w:rFonts w:ascii="Arial" w:hAnsi="Arial"/>
                <w:b/>
                <w:w w:val="105"/>
                <w:sz w:val="24"/>
              </w:rPr>
              <w:t>for</w:t>
            </w:r>
            <w:r>
              <w:rPr>
                <w:rFonts w:ascii="Arial" w:hAnsi="Arial"/>
                <w:b/>
                <w:spacing w:val="-10"/>
                <w:w w:val="105"/>
                <w:sz w:val="24"/>
              </w:rPr>
              <w:t xml:space="preserve"> </w:t>
            </w:r>
            <w:r>
              <w:rPr>
                <w:rFonts w:ascii="Arial" w:hAnsi="Arial"/>
                <w:b/>
                <w:w w:val="105"/>
                <w:sz w:val="24"/>
              </w:rPr>
              <w:t>307.22</w:t>
            </w:r>
            <w:r>
              <w:rPr>
                <w:rFonts w:ascii="Arial" w:hAnsi="Arial"/>
                <w:b/>
                <w:spacing w:val="-17"/>
                <w:w w:val="105"/>
                <w:sz w:val="24"/>
              </w:rPr>
              <w:t xml:space="preserve"> </w:t>
            </w:r>
            <w:r>
              <w:rPr>
                <w:rFonts w:ascii="Arial" w:hAnsi="Arial"/>
                <w:b/>
                <w:w w:val="105"/>
                <w:sz w:val="24"/>
              </w:rPr>
              <w:t>Chronic</w:t>
            </w:r>
            <w:r>
              <w:rPr>
                <w:rFonts w:ascii="Arial" w:hAnsi="Arial"/>
                <w:b/>
                <w:spacing w:val="-10"/>
                <w:w w:val="105"/>
                <w:sz w:val="24"/>
              </w:rPr>
              <w:t xml:space="preserve"> </w:t>
            </w:r>
            <w:r>
              <w:rPr>
                <w:rFonts w:ascii="Arial" w:hAnsi="Arial"/>
                <w:b/>
                <w:w w:val="105"/>
                <w:sz w:val="24"/>
              </w:rPr>
              <w:t>Motor</w:t>
            </w:r>
            <w:r>
              <w:rPr>
                <w:rFonts w:ascii="Arial" w:hAnsi="Arial"/>
                <w:b/>
                <w:spacing w:val="-8"/>
                <w:w w:val="105"/>
                <w:sz w:val="24"/>
              </w:rPr>
              <w:t xml:space="preserve"> </w:t>
            </w:r>
            <w:r>
              <w:rPr>
                <w:rFonts w:ascii="Arial" w:hAnsi="Arial"/>
                <w:b/>
                <w:w w:val="105"/>
                <w:sz w:val="24"/>
              </w:rPr>
              <w:t>or Vocal Tic</w:t>
            </w:r>
            <w:r>
              <w:rPr>
                <w:rFonts w:ascii="Arial" w:hAnsi="Arial"/>
                <w:b/>
                <w:spacing w:val="-17"/>
                <w:w w:val="105"/>
                <w:sz w:val="24"/>
              </w:rPr>
              <w:t xml:space="preserve"> </w:t>
            </w:r>
            <w:r>
              <w:rPr>
                <w:rFonts w:ascii="Arial" w:hAnsi="Arial"/>
                <w:b/>
                <w:w w:val="105"/>
                <w:sz w:val="24"/>
              </w:rPr>
              <w:t>Disorder</w:t>
            </w:r>
          </w:p>
          <w:p w:rsidR="00E675F0" w:rsidRDefault="00E675F0" w:rsidP="003048D3">
            <w:pPr>
              <w:pStyle w:val="TableParagraph"/>
              <w:numPr>
                <w:ilvl w:val="1"/>
                <w:numId w:val="76"/>
              </w:numPr>
              <w:tabs>
                <w:tab w:val="left" w:pos="956"/>
              </w:tabs>
              <w:spacing w:before="133" w:line="254" w:lineRule="auto"/>
              <w:ind w:right="226" w:hanging="306"/>
              <w:jc w:val="both"/>
              <w:rPr>
                <w:sz w:val="20"/>
              </w:rPr>
            </w:pPr>
            <w:r>
              <w:rPr>
                <w:w w:val="105"/>
                <w:sz w:val="20"/>
              </w:rPr>
              <w:t>Single or multiple motor or vocal tics (i.e., sudden, rapid, recurrent, nonrhythmic, stereotyped motor movements or vocalizations), but not both, have been present at some</w:t>
            </w:r>
            <w:r>
              <w:rPr>
                <w:spacing w:val="-16"/>
                <w:w w:val="105"/>
                <w:sz w:val="20"/>
              </w:rPr>
              <w:t xml:space="preserve"> </w:t>
            </w:r>
            <w:r>
              <w:rPr>
                <w:w w:val="105"/>
                <w:sz w:val="20"/>
              </w:rPr>
              <w:t>time during the illness.</w:t>
            </w:r>
          </w:p>
          <w:p w:rsidR="00E675F0" w:rsidRDefault="00E675F0" w:rsidP="003048D3">
            <w:pPr>
              <w:pStyle w:val="TableParagraph"/>
              <w:numPr>
                <w:ilvl w:val="1"/>
                <w:numId w:val="76"/>
              </w:numPr>
              <w:tabs>
                <w:tab w:val="left" w:pos="958"/>
              </w:tabs>
              <w:spacing w:before="182" w:line="254" w:lineRule="auto"/>
              <w:ind w:left="962" w:right="218" w:hanging="301"/>
              <w:jc w:val="both"/>
              <w:rPr>
                <w:sz w:val="20"/>
              </w:rPr>
            </w:pPr>
            <w:r>
              <w:rPr>
                <w:w w:val="105"/>
                <w:sz w:val="20"/>
              </w:rPr>
              <w:t>The tics occur many times a day nearly every day or intermittently throughout a period of more than 1 year, and during this period there was never a tic-free period of more than 3 consecutive</w:t>
            </w:r>
            <w:r>
              <w:rPr>
                <w:spacing w:val="42"/>
                <w:w w:val="105"/>
                <w:sz w:val="20"/>
              </w:rPr>
              <w:t xml:space="preserve"> </w:t>
            </w:r>
            <w:r>
              <w:rPr>
                <w:w w:val="105"/>
                <w:sz w:val="20"/>
              </w:rPr>
              <w:t>months.</w:t>
            </w:r>
          </w:p>
          <w:p w:rsidR="00E675F0" w:rsidRDefault="00E675F0" w:rsidP="003048D3">
            <w:pPr>
              <w:pStyle w:val="TableParagraph"/>
              <w:numPr>
                <w:ilvl w:val="1"/>
                <w:numId w:val="76"/>
              </w:numPr>
              <w:tabs>
                <w:tab w:val="left" w:pos="958"/>
              </w:tabs>
              <w:spacing w:before="182" w:line="256" w:lineRule="auto"/>
              <w:ind w:left="958" w:right="226" w:hanging="300"/>
              <w:jc w:val="both"/>
              <w:rPr>
                <w:sz w:val="18"/>
              </w:rPr>
            </w:pPr>
            <w:r>
              <w:rPr>
                <w:w w:val="105"/>
                <w:sz w:val="20"/>
              </w:rPr>
              <w:t>The disturbance causes marked distress or significant impairment in social, occupational, or other important areas of</w:t>
            </w:r>
            <w:r>
              <w:rPr>
                <w:spacing w:val="6"/>
                <w:w w:val="105"/>
                <w:sz w:val="20"/>
              </w:rPr>
              <w:t xml:space="preserve"> </w:t>
            </w:r>
            <w:r>
              <w:rPr>
                <w:w w:val="105"/>
                <w:sz w:val="20"/>
              </w:rPr>
              <w:t>functioning.</w:t>
            </w:r>
          </w:p>
          <w:p w:rsidR="00E675F0" w:rsidRDefault="00E675F0" w:rsidP="003048D3">
            <w:pPr>
              <w:pStyle w:val="TableParagraph"/>
              <w:numPr>
                <w:ilvl w:val="1"/>
                <w:numId w:val="76"/>
              </w:numPr>
              <w:tabs>
                <w:tab w:val="left" w:pos="958"/>
              </w:tabs>
              <w:spacing w:before="166"/>
              <w:ind w:left="957" w:hanging="302"/>
              <w:rPr>
                <w:sz w:val="20"/>
              </w:rPr>
            </w:pPr>
            <w:r>
              <w:rPr>
                <w:w w:val="105"/>
                <w:sz w:val="20"/>
              </w:rPr>
              <w:t>The onset is before age 18</w:t>
            </w:r>
            <w:r>
              <w:rPr>
                <w:spacing w:val="50"/>
                <w:w w:val="105"/>
                <w:sz w:val="20"/>
              </w:rPr>
              <w:t xml:space="preserve"> </w:t>
            </w:r>
            <w:r>
              <w:rPr>
                <w:w w:val="105"/>
                <w:sz w:val="20"/>
              </w:rPr>
              <w:t>years.</w:t>
            </w:r>
          </w:p>
          <w:p w:rsidR="00E675F0" w:rsidRDefault="00E675F0" w:rsidP="003048D3">
            <w:pPr>
              <w:pStyle w:val="TableParagraph"/>
              <w:numPr>
                <w:ilvl w:val="1"/>
                <w:numId w:val="76"/>
              </w:numPr>
              <w:tabs>
                <w:tab w:val="left" w:pos="958"/>
              </w:tabs>
              <w:spacing w:before="188" w:line="254" w:lineRule="auto"/>
              <w:ind w:left="958" w:right="231" w:hanging="303"/>
              <w:jc w:val="both"/>
              <w:rPr>
                <w:sz w:val="20"/>
              </w:rPr>
            </w:pPr>
            <w:r>
              <w:rPr>
                <w:w w:val="105"/>
                <w:sz w:val="20"/>
              </w:rPr>
              <w:t>The disturbance is not due to the direct physiological effects of a substance (e.g., stimulants) or a general medical condition (e.g., Huntington's disease or postviral</w:t>
            </w:r>
            <w:r>
              <w:rPr>
                <w:spacing w:val="6"/>
                <w:w w:val="105"/>
                <w:sz w:val="20"/>
              </w:rPr>
              <w:t xml:space="preserve"> </w:t>
            </w:r>
            <w:r>
              <w:rPr>
                <w:w w:val="105"/>
                <w:sz w:val="20"/>
              </w:rPr>
              <w:t>encephalitis).</w:t>
            </w:r>
          </w:p>
          <w:p w:rsidR="00E675F0" w:rsidRDefault="00E675F0" w:rsidP="003048D3">
            <w:pPr>
              <w:pStyle w:val="TableParagraph"/>
              <w:numPr>
                <w:ilvl w:val="1"/>
                <w:numId w:val="76"/>
              </w:numPr>
              <w:tabs>
                <w:tab w:val="left" w:pos="966"/>
              </w:tabs>
              <w:spacing w:before="172"/>
              <w:ind w:left="965" w:hanging="305"/>
              <w:rPr>
                <w:sz w:val="20"/>
              </w:rPr>
            </w:pPr>
            <w:r>
              <w:rPr>
                <w:w w:val="105"/>
                <w:sz w:val="20"/>
              </w:rPr>
              <w:t>Criteria have never been met for Tourette's</w:t>
            </w:r>
            <w:r>
              <w:rPr>
                <w:spacing w:val="49"/>
                <w:w w:val="105"/>
                <w:sz w:val="20"/>
              </w:rPr>
              <w:t xml:space="preserve"> </w:t>
            </w:r>
            <w:r>
              <w:rPr>
                <w:w w:val="105"/>
                <w:sz w:val="20"/>
              </w:rPr>
              <w:t>Disorder.</w:t>
            </w:r>
          </w:p>
        </w:tc>
      </w:tr>
    </w:tbl>
    <w:p w:rsidR="00E675F0" w:rsidRDefault="00E675F0" w:rsidP="00E675F0">
      <w:pPr>
        <w:pStyle w:val="BodyText"/>
      </w:pPr>
    </w:p>
    <w:p w:rsidR="00E675F0" w:rsidRDefault="00E675F0" w:rsidP="00E675F0">
      <w:pPr>
        <w:pStyle w:val="BodyText"/>
        <w:spacing w:before="8"/>
        <w:rPr>
          <w:sz w:val="23"/>
        </w:rPr>
      </w:pPr>
    </w:p>
    <w:p w:rsidR="00E675F0" w:rsidRDefault="00E675F0" w:rsidP="00E675F0">
      <w:pPr>
        <w:tabs>
          <w:tab w:val="left" w:pos="3008"/>
        </w:tabs>
        <w:spacing w:before="92"/>
        <w:ind w:left="1926"/>
        <w:rPr>
          <w:rFonts w:ascii="Arial"/>
          <w:b/>
          <w:sz w:val="26"/>
        </w:rPr>
      </w:pPr>
      <w:r>
        <w:rPr>
          <w:noProof/>
        </w:rPr>
        <mc:AlternateContent>
          <mc:Choice Requires="wps">
            <w:drawing>
              <wp:anchor distT="0" distB="0" distL="114300" distR="114300" simplePos="0" relativeHeight="251777024" behindDoc="1" locked="0" layoutInCell="1" allowOverlap="1" wp14:anchorId="52D97D6D" wp14:editId="7CAD8EFE">
                <wp:simplePos x="0" y="0"/>
                <wp:positionH relativeFrom="page">
                  <wp:posOffset>5172710</wp:posOffset>
                </wp:positionH>
                <wp:positionV relativeFrom="paragraph">
                  <wp:posOffset>-274955</wp:posOffset>
                </wp:positionV>
                <wp:extent cx="0" cy="0"/>
                <wp:effectExtent l="0" t="0" r="0" b="0"/>
                <wp:wrapNone/>
                <wp:docPr id="1516" name="Line 14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305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354BAD" id="Line 1472" o:spid="_x0000_s1026" style="position:absolute;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7.3pt,-21.65pt" to="407.3pt,-21.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" strokeweight=".84856mm">
                <o:lock v:ext="edit" shapetype="f"/>
                <w10:wrap anchorx="page"/>
              </v:line>
            </w:pict>
          </mc:Fallback>
        </mc:AlternateContent>
      </w:r>
      <w:r>
        <w:rPr>
          <w:rFonts w:ascii="Arial"/>
          <w:b/>
          <w:w w:val="105"/>
          <w:sz w:val="26"/>
        </w:rPr>
        <w:t>307.21</w:t>
      </w:r>
      <w:r>
        <w:rPr>
          <w:rFonts w:ascii="Arial"/>
          <w:b/>
          <w:w w:val="105"/>
          <w:sz w:val="26"/>
        </w:rPr>
        <w:tab/>
        <w:t>Transient Tic</w:t>
      </w:r>
      <w:r>
        <w:rPr>
          <w:rFonts w:ascii="Arial"/>
          <w:b/>
          <w:spacing w:val="5"/>
          <w:w w:val="105"/>
          <w:sz w:val="26"/>
        </w:rPr>
        <w:t xml:space="preserve"> </w:t>
      </w:r>
      <w:r>
        <w:rPr>
          <w:rFonts w:ascii="Arial"/>
          <w:b/>
          <w:w w:val="105"/>
          <w:sz w:val="26"/>
        </w:rPr>
        <w:t>Disorder</w:t>
      </w:r>
    </w:p>
    <w:p w:rsidR="00E675F0" w:rsidRDefault="00E675F0" w:rsidP="00E675F0">
      <w:pPr>
        <w:pStyle w:val="BodyText"/>
        <w:spacing w:before="11"/>
        <w:rPr>
          <w:rFonts w:ascii="Arial"/>
          <w:b/>
          <w:sz w:val="22"/>
        </w:rPr>
      </w:pPr>
    </w:p>
    <w:p w:rsidR="00E675F0" w:rsidRDefault="00E675F0" w:rsidP="00E675F0">
      <w:pPr>
        <w:ind w:left="115"/>
        <w:jc w:val="both"/>
        <w:rPr>
          <w:rFonts w:ascii="TimesNewRomanPS-BoldItalicMT"/>
          <w:b/>
          <w:i/>
          <w:sz w:val="24"/>
        </w:rPr>
      </w:pPr>
      <w:r>
        <w:rPr>
          <w:rFonts w:ascii="TimesNewRomanPS-BoldItalicMT"/>
          <w:b/>
          <w:i/>
          <w:w w:val="120"/>
          <w:sz w:val="24"/>
        </w:rPr>
        <w:t>magnostic Features</w:t>
      </w:r>
    </w:p>
    <w:p w:rsidR="00E675F0" w:rsidRDefault="00E675F0" w:rsidP="00E675F0">
      <w:pPr>
        <w:pStyle w:val="BodyText"/>
        <w:spacing w:before="136" w:line="254" w:lineRule="auto"/>
        <w:ind w:left="131" w:right="112" w:firstLine="4"/>
        <w:jc w:val="both"/>
      </w:pPr>
      <w:r>
        <w:rPr>
          <w:w w:val="105"/>
        </w:rPr>
        <w:t>The</w:t>
      </w:r>
      <w:r>
        <w:rPr>
          <w:spacing w:val="-15"/>
          <w:w w:val="105"/>
        </w:rPr>
        <w:t xml:space="preserve"> </w:t>
      </w:r>
      <w:r>
        <w:rPr>
          <w:w w:val="105"/>
        </w:rPr>
        <w:t>essential</w:t>
      </w:r>
      <w:r>
        <w:rPr>
          <w:spacing w:val="-4"/>
          <w:w w:val="105"/>
        </w:rPr>
        <w:t xml:space="preserve"> </w:t>
      </w:r>
      <w:r>
        <w:rPr>
          <w:w w:val="105"/>
        </w:rPr>
        <w:t>feature</w:t>
      </w:r>
      <w:r>
        <w:rPr>
          <w:spacing w:val="-7"/>
          <w:w w:val="105"/>
        </w:rPr>
        <w:t xml:space="preserve"> </w:t>
      </w:r>
      <w:r>
        <w:rPr>
          <w:w w:val="105"/>
        </w:rPr>
        <w:t>of</w:t>
      </w:r>
      <w:r>
        <w:rPr>
          <w:spacing w:val="-8"/>
          <w:w w:val="105"/>
        </w:rPr>
        <w:t xml:space="preserve"> </w:t>
      </w:r>
      <w:r>
        <w:rPr>
          <w:w w:val="105"/>
        </w:rPr>
        <w:t>Transient</w:t>
      </w:r>
      <w:r>
        <w:rPr>
          <w:spacing w:val="-4"/>
          <w:w w:val="105"/>
        </w:rPr>
        <w:t xml:space="preserve"> </w:t>
      </w:r>
      <w:r>
        <w:rPr>
          <w:w w:val="105"/>
        </w:rPr>
        <w:t>Tic</w:t>
      </w:r>
      <w:r>
        <w:rPr>
          <w:spacing w:val="-12"/>
          <w:w w:val="105"/>
        </w:rPr>
        <w:t xml:space="preserve"> </w:t>
      </w:r>
      <w:r>
        <w:rPr>
          <w:w w:val="105"/>
        </w:rPr>
        <w:t>Disorder</w:t>
      </w:r>
      <w:r>
        <w:rPr>
          <w:spacing w:val="-1"/>
          <w:w w:val="105"/>
        </w:rPr>
        <w:t xml:space="preserve"> </w:t>
      </w:r>
      <w:r>
        <w:rPr>
          <w:w w:val="105"/>
        </w:rPr>
        <w:t>is</w:t>
      </w:r>
      <w:r>
        <w:rPr>
          <w:spacing w:val="-9"/>
          <w:w w:val="105"/>
        </w:rPr>
        <w:t xml:space="preserve"> </w:t>
      </w:r>
      <w:r>
        <w:rPr>
          <w:w w:val="105"/>
        </w:rPr>
        <w:t>the</w:t>
      </w:r>
      <w:r>
        <w:rPr>
          <w:spacing w:val="-5"/>
          <w:w w:val="105"/>
        </w:rPr>
        <w:t xml:space="preserve"> </w:t>
      </w:r>
      <w:r>
        <w:rPr>
          <w:w w:val="105"/>
        </w:rPr>
        <w:t>presence of</w:t>
      </w:r>
      <w:r>
        <w:rPr>
          <w:spacing w:val="-12"/>
          <w:w w:val="105"/>
        </w:rPr>
        <w:t xml:space="preserve"> </w:t>
      </w:r>
      <w:r>
        <w:rPr>
          <w:w w:val="105"/>
        </w:rPr>
        <w:t>single</w:t>
      </w:r>
      <w:r>
        <w:rPr>
          <w:spacing w:val="-7"/>
          <w:w w:val="105"/>
        </w:rPr>
        <w:t xml:space="preserve"> </w:t>
      </w:r>
      <w:r>
        <w:rPr>
          <w:w w:val="105"/>
        </w:rPr>
        <w:t>or</w:t>
      </w:r>
      <w:r>
        <w:rPr>
          <w:spacing w:val="-9"/>
          <w:w w:val="105"/>
        </w:rPr>
        <w:t xml:space="preserve"> </w:t>
      </w:r>
      <w:r>
        <w:rPr>
          <w:w w:val="105"/>
        </w:rPr>
        <w:t>multiple motor tics and/or vocal tics (Criterion A). The tics occur many times a day, nearly every day for at least 4 weeks, but for no longer than 12 consecutive months (Criterion B). The other essential features (Criteria C, D, and E) are the same as for Tourette's Disorder. Transient Tic Disorder is not diagnosed if the criteria for Tourette's Disorder or Chronic Motor or Vocal Tic Disorder (both of which require a duration of at least 1</w:t>
      </w:r>
      <w:r>
        <w:rPr>
          <w:spacing w:val="25"/>
          <w:w w:val="105"/>
        </w:rPr>
        <w:t xml:space="preserve"> </w:t>
      </w:r>
      <w:r>
        <w:rPr>
          <w:w w:val="105"/>
        </w:rPr>
        <w:t>year) have</w:t>
      </w:r>
    </w:p>
    <w:p w:rsidR="00E675F0" w:rsidRDefault="00E675F0" w:rsidP="00E675F0">
      <w:pPr>
        <w:spacing w:line="254" w:lineRule="auto"/>
        <w:jc w:val="both"/>
        <w:sectPr w:rsidR="00E675F0">
          <w:pgSz w:w="8960" w:h="14260"/>
          <w:pgMar w:top="1400" w:right="620" w:bottom="280" w:left="600" w:header="692" w:footer="0" w:gutter="0"/>
          <w:cols w:space="720"/>
        </w:sectPr>
      </w:pPr>
    </w:p>
    <w:p w:rsidR="00E675F0" w:rsidRDefault="00E675F0" w:rsidP="00E675F0">
      <w:pPr>
        <w:spacing w:before="134" w:line="264" w:lineRule="auto"/>
        <w:ind w:left="115" w:right="124" w:hanging="1"/>
        <w:jc w:val="both"/>
        <w:rPr>
          <w:sz w:val="19"/>
        </w:rPr>
      </w:pPr>
      <w:bookmarkStart w:id="68" w:name="_bookmark52"/>
      <w:bookmarkEnd w:id="68"/>
      <w:r>
        <w:rPr>
          <w:w w:val="110"/>
          <w:sz w:val="19"/>
        </w:rPr>
        <w:lastRenderedPageBreak/>
        <w:t>ever been met (Criterion F). The other characteristics of the disorder are generally the same as for Tourette's Disorder (see p. 101), except that the severity of the symptoms and the functional impairment are usually much</w:t>
      </w:r>
      <w:r>
        <w:rPr>
          <w:spacing w:val="-17"/>
          <w:w w:val="110"/>
          <w:sz w:val="19"/>
        </w:rPr>
        <w:t xml:space="preserve"> </w:t>
      </w:r>
      <w:r>
        <w:rPr>
          <w:w w:val="110"/>
          <w:sz w:val="19"/>
        </w:rPr>
        <w:t>less.</w:t>
      </w:r>
    </w:p>
    <w:p w:rsidR="00E675F0" w:rsidRDefault="00E675F0" w:rsidP="00E675F0">
      <w:pPr>
        <w:pStyle w:val="BodyText"/>
      </w:pPr>
    </w:p>
    <w:p w:rsidR="00E675F0" w:rsidRDefault="00E675F0" w:rsidP="00E675F0">
      <w:pPr>
        <w:spacing w:before="122"/>
        <w:ind w:left="113"/>
        <w:rPr>
          <w:rFonts w:ascii="TimesNewRomanPS-BoldItalicMT"/>
          <w:b/>
          <w:i/>
          <w:sz w:val="24"/>
        </w:rPr>
      </w:pPr>
      <w:r>
        <w:rPr>
          <w:rFonts w:ascii="TimesNewRomanPS-BoldItalicMT"/>
          <w:b/>
          <w:i/>
          <w:w w:val="115"/>
          <w:sz w:val="24"/>
        </w:rPr>
        <w:t>Specifiers</w:t>
      </w:r>
    </w:p>
    <w:p w:rsidR="00E675F0" w:rsidRDefault="00E675F0" w:rsidP="00E675F0">
      <w:pPr>
        <w:spacing w:before="122"/>
        <w:ind w:left="116"/>
        <w:rPr>
          <w:b/>
          <w:sz w:val="20"/>
        </w:rPr>
      </w:pPr>
      <w:r>
        <w:rPr>
          <w:w w:val="110"/>
          <w:sz w:val="19"/>
        </w:rPr>
        <w:t xml:space="preserve">The course of Transient Tic Disorder may be indicated by specifying </w:t>
      </w:r>
      <w:r>
        <w:rPr>
          <w:b/>
          <w:w w:val="110"/>
          <w:sz w:val="20"/>
        </w:rPr>
        <w:t>Single Episode</w:t>
      </w:r>
    </w:p>
    <w:p w:rsidR="00E675F0" w:rsidRDefault="00E675F0" w:rsidP="00E675F0">
      <w:pPr>
        <w:spacing w:before="20"/>
        <w:ind w:left="125"/>
        <w:rPr>
          <w:b/>
          <w:sz w:val="20"/>
        </w:rPr>
      </w:pPr>
      <w:r>
        <w:rPr>
          <w:w w:val="110"/>
          <w:sz w:val="19"/>
        </w:rPr>
        <w:t xml:space="preserve">or </w:t>
      </w:r>
      <w:r>
        <w:rPr>
          <w:b/>
          <w:w w:val="110"/>
          <w:sz w:val="20"/>
        </w:rPr>
        <w:t>Recurrent.</w:t>
      </w:r>
    </w:p>
    <w:p w:rsidR="00E675F0" w:rsidRDefault="00E675F0" w:rsidP="00E675F0">
      <w:pPr>
        <w:pStyle w:val="BodyText"/>
        <w:spacing w:before="4"/>
        <w:rPr>
          <w:b/>
          <w:sz w:val="32"/>
        </w:rPr>
      </w:pPr>
    </w:p>
    <w:p w:rsidR="00E675F0" w:rsidRDefault="00E675F0" w:rsidP="00E675F0">
      <w:pPr>
        <w:ind w:left="116"/>
        <w:rPr>
          <w:rFonts w:ascii="TimesNewRomanPS-BoldItalicMT"/>
          <w:b/>
          <w:i/>
          <w:sz w:val="24"/>
        </w:rPr>
      </w:pPr>
      <w:r>
        <w:rPr>
          <w:rFonts w:ascii="TimesNewRomanPS-BoldItalicMT"/>
          <w:b/>
          <w:i/>
          <w:w w:val="115"/>
          <w:sz w:val="24"/>
        </w:rPr>
        <w:t>Di,fferential magnosis</w:t>
      </w:r>
    </w:p>
    <w:p w:rsidR="00E675F0" w:rsidRDefault="00E675F0" w:rsidP="00E675F0">
      <w:pPr>
        <w:spacing w:before="131"/>
        <w:ind w:left="128"/>
        <w:rPr>
          <w:sz w:val="19"/>
        </w:rPr>
      </w:pPr>
      <w:r>
        <w:rPr>
          <w:noProof/>
        </w:rPr>
        <mc:AlternateContent>
          <mc:Choice Requires="wps">
            <w:drawing>
              <wp:anchor distT="0" distB="0" distL="114300" distR="114300" simplePos="0" relativeHeight="251778048" behindDoc="1" locked="0" layoutInCell="1" allowOverlap="1" wp14:anchorId="2953A2A8" wp14:editId="0893CE97">
                <wp:simplePos x="0" y="0"/>
                <wp:positionH relativeFrom="page">
                  <wp:posOffset>471170</wp:posOffset>
                </wp:positionH>
                <wp:positionV relativeFrom="paragraph">
                  <wp:posOffset>620395</wp:posOffset>
                </wp:positionV>
                <wp:extent cx="4753610" cy="3553460"/>
                <wp:effectExtent l="0" t="12700" r="8890" b="2540"/>
                <wp:wrapNone/>
                <wp:docPr id="1515" name="AutoShape 1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53610" cy="3553460"/>
                        </a:xfrm>
                        <a:custGeom>
                          <a:avLst/>
                          <a:gdLst>
                            <a:gd name="T0" fmla="+- 0 815 742"/>
                            <a:gd name="T1" fmla="*/ T0 w 7486"/>
                            <a:gd name="T2" fmla="+- 0 6572 977"/>
                            <a:gd name="T3" fmla="*/ 6572 h 5596"/>
                            <a:gd name="T4" fmla="+- 0 815 742"/>
                            <a:gd name="T5" fmla="*/ T4 w 7486"/>
                            <a:gd name="T6" fmla="+- 0 977 977"/>
                            <a:gd name="T7" fmla="*/ 977 h 5596"/>
                            <a:gd name="T8" fmla="+- 0 742 742"/>
                            <a:gd name="T9" fmla="*/ T8 w 7486"/>
                            <a:gd name="T10" fmla="+- 0 6475 977"/>
                            <a:gd name="T11" fmla="*/ 6475 h 5596"/>
                            <a:gd name="T12" fmla="+- 0 8228 742"/>
                            <a:gd name="T13" fmla="*/ T12 w 7486"/>
                            <a:gd name="T14" fmla="+- 0 6475 977"/>
                            <a:gd name="T15" fmla="*/ 6475 h 5596"/>
                          </a:gdLst>
                          <a:ahLst/>
                          <a:cxnLst>
                            <a:cxn ang="0">
                              <a:pos x="T1" y="T3"/>
                            </a:cxn>
                            <a:cxn ang="0">
                              <a:pos x="T5" y="T7"/>
                            </a:cxn>
                            <a:cxn ang="0">
                              <a:pos x="T9" y="T11"/>
                            </a:cxn>
                            <a:cxn ang="0">
                              <a:pos x="T13" y="T15"/>
                            </a:cxn>
                          </a:cxnLst>
                          <a:rect l="0" t="0" r="r" b="b"/>
                          <a:pathLst>
                            <a:path w="7486" h="5596">
                              <a:moveTo>
                                <a:pt x="73" y="5595"/>
                              </a:moveTo>
                              <a:lnTo>
                                <a:pt x="73" y="0"/>
                              </a:lnTo>
                              <a:moveTo>
                                <a:pt x="0" y="5498"/>
                              </a:moveTo>
                              <a:lnTo>
                                <a:pt x="7486" y="5498"/>
                              </a:lnTo>
                            </a:path>
                          </a:pathLst>
                        </a:custGeom>
                        <a:noFill/>
                        <a:ln w="3358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B592D" id="AutoShape 1471" o:spid="_x0000_s1026" style="position:absolute;margin-left:37.1pt;margin-top:48.85pt;width:374.3pt;height:279.8pt;z-index:-251538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486,55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" path="m73,5595l73,m,5498r7486,e" filled="f" strokeweight=".93303mm">
                <v:path arrowok="t" o:connecttype="custom" o:connectlocs="46355,4173220;46355,620395;0,4111625;4753610,4111625" o:connectangles="0,0,0,0"/>
                <w10:wrap anchorx="page"/>
              </v:shape>
            </w:pict>
          </mc:Fallback>
        </mc:AlternateContent>
      </w:r>
      <w:r>
        <w:rPr>
          <w:w w:val="105"/>
          <w:sz w:val="19"/>
        </w:rPr>
        <w:t>Refer to the "Differential Diagnosis" section for Tic Disorders (p. 100).</w:t>
      </w:r>
    </w:p>
    <w:p w:rsidR="00E675F0" w:rsidRDefault="00E675F0" w:rsidP="00E675F0">
      <w:pPr>
        <w:pStyle w:val="BodyText"/>
      </w:pPr>
    </w:p>
    <w:p w:rsidR="00E675F0" w:rsidRDefault="00E675F0" w:rsidP="00E675F0">
      <w:pPr>
        <w:pStyle w:val="BodyText"/>
      </w:pPr>
    </w:p>
    <w:p w:rsidR="00E675F0" w:rsidRDefault="00E675F0" w:rsidP="00E675F0">
      <w:pPr>
        <w:pStyle w:val="BodyText"/>
        <w:spacing w:before="1"/>
        <w:rPr>
          <w:sz w:val="18"/>
        </w:rPr>
      </w:pPr>
    </w:p>
    <w:tbl>
      <w:tblPr>
        <w:tblW w:w="0" w:type="auto"/>
        <w:tblInd w:w="22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7317"/>
      </w:tblGrid>
      <w:tr w:rsidR="00E675F0" w:rsidTr="00A330E1">
        <w:trPr>
          <w:trHeight w:val="5371"/>
        </w:trPr>
        <w:tc>
          <w:tcPr>
            <w:tcW w:w="7317" w:type="dxa"/>
          </w:tcPr>
          <w:p w:rsidR="00E675F0" w:rsidRDefault="00E675F0" w:rsidP="003048D3">
            <w:pPr>
              <w:pStyle w:val="TableParagraph"/>
              <w:numPr>
                <w:ilvl w:val="0"/>
                <w:numId w:val="75"/>
              </w:numPr>
              <w:tabs>
                <w:tab w:val="left" w:pos="625"/>
              </w:tabs>
              <w:spacing w:line="530" w:lineRule="exact"/>
              <w:rPr>
                <w:rFonts w:ascii="Arial" w:hAnsi="Arial"/>
                <w:b/>
                <w:sz w:val="23"/>
              </w:rPr>
            </w:pPr>
            <w:r>
              <w:rPr>
                <w:rFonts w:ascii="Arial" w:hAnsi="Arial"/>
                <w:b/>
                <w:w w:val="110"/>
                <w:sz w:val="23"/>
              </w:rPr>
              <w:t>Diagnostic criteria for 307.21 Transient Tic</w:t>
            </w:r>
            <w:r>
              <w:rPr>
                <w:rFonts w:ascii="Arial" w:hAnsi="Arial"/>
                <w:b/>
                <w:spacing w:val="-32"/>
                <w:w w:val="110"/>
                <w:sz w:val="23"/>
              </w:rPr>
              <w:t xml:space="preserve"> </w:t>
            </w:r>
            <w:r>
              <w:rPr>
                <w:rFonts w:ascii="Arial" w:hAnsi="Arial"/>
                <w:b/>
                <w:w w:val="110"/>
                <w:sz w:val="23"/>
              </w:rPr>
              <w:t>Disorder</w:t>
            </w:r>
          </w:p>
          <w:p w:rsidR="00E675F0" w:rsidRDefault="00E675F0" w:rsidP="003048D3">
            <w:pPr>
              <w:pStyle w:val="TableParagraph"/>
              <w:numPr>
                <w:ilvl w:val="1"/>
                <w:numId w:val="75"/>
              </w:numPr>
              <w:tabs>
                <w:tab w:val="left" w:pos="952"/>
              </w:tabs>
              <w:spacing w:before="156" w:line="268" w:lineRule="auto"/>
              <w:ind w:right="231" w:hanging="314"/>
              <w:jc w:val="both"/>
              <w:rPr>
                <w:sz w:val="19"/>
              </w:rPr>
            </w:pPr>
            <w:r>
              <w:rPr>
                <w:w w:val="110"/>
                <w:sz w:val="19"/>
              </w:rPr>
              <w:t>Single or multiple motor and/or vocal tics (i.e., sudden, rapid, recurrent, nonrhythmic, stereotyped motor movements or</w:t>
            </w:r>
            <w:r>
              <w:rPr>
                <w:spacing w:val="46"/>
                <w:w w:val="110"/>
                <w:sz w:val="19"/>
              </w:rPr>
              <w:t xml:space="preserve"> </w:t>
            </w:r>
            <w:r>
              <w:rPr>
                <w:w w:val="110"/>
                <w:sz w:val="19"/>
              </w:rPr>
              <w:t>vocalizations)</w:t>
            </w:r>
          </w:p>
          <w:p w:rsidR="00E675F0" w:rsidRDefault="00E675F0" w:rsidP="003048D3">
            <w:pPr>
              <w:pStyle w:val="TableParagraph"/>
              <w:numPr>
                <w:ilvl w:val="1"/>
                <w:numId w:val="75"/>
              </w:numPr>
              <w:tabs>
                <w:tab w:val="left" w:pos="953"/>
              </w:tabs>
              <w:spacing w:before="179" w:line="268" w:lineRule="auto"/>
              <w:ind w:left="959" w:right="222"/>
              <w:jc w:val="both"/>
              <w:rPr>
                <w:sz w:val="19"/>
              </w:rPr>
            </w:pPr>
            <w:r>
              <w:rPr>
                <w:w w:val="110"/>
                <w:sz w:val="19"/>
              </w:rPr>
              <w:t>The tics occur many times a day, nearly every day for at least 4 weeks, but for no longer than 12 consecutive m</w:t>
            </w:r>
            <w:r>
              <w:rPr>
                <w:spacing w:val="2"/>
                <w:w w:val="110"/>
                <w:sz w:val="19"/>
              </w:rPr>
              <w:t xml:space="preserve"> </w:t>
            </w:r>
            <w:r>
              <w:rPr>
                <w:w w:val="110"/>
                <w:sz w:val="19"/>
              </w:rPr>
              <w:t>mths.</w:t>
            </w:r>
          </w:p>
          <w:p w:rsidR="00E675F0" w:rsidRDefault="00E675F0" w:rsidP="00A330E1">
            <w:pPr>
              <w:pStyle w:val="TableParagraph"/>
              <w:spacing w:before="4"/>
              <w:rPr>
                <w:sz w:val="16"/>
              </w:rPr>
            </w:pPr>
          </w:p>
          <w:p w:rsidR="00E675F0" w:rsidRDefault="00E675F0" w:rsidP="003048D3">
            <w:pPr>
              <w:pStyle w:val="TableParagraph"/>
              <w:numPr>
                <w:ilvl w:val="1"/>
                <w:numId w:val="75"/>
              </w:numPr>
              <w:tabs>
                <w:tab w:val="left" w:pos="953"/>
              </w:tabs>
              <w:spacing w:line="264" w:lineRule="auto"/>
              <w:ind w:left="954" w:right="212"/>
              <w:jc w:val="both"/>
              <w:rPr>
                <w:rFonts w:ascii="Arial"/>
                <w:sz w:val="17"/>
              </w:rPr>
            </w:pPr>
            <w:r>
              <w:rPr>
                <w:w w:val="110"/>
                <w:sz w:val="19"/>
              </w:rPr>
              <w:t>The disturbance causes marked distress or significant impairment in social, occupational, or other important areas of</w:t>
            </w:r>
            <w:r>
              <w:rPr>
                <w:spacing w:val="2"/>
                <w:w w:val="110"/>
                <w:sz w:val="19"/>
              </w:rPr>
              <w:t xml:space="preserve"> </w:t>
            </w:r>
            <w:r>
              <w:rPr>
                <w:w w:val="110"/>
                <w:sz w:val="19"/>
              </w:rPr>
              <w:t>functioning.</w:t>
            </w:r>
          </w:p>
          <w:p w:rsidR="00E675F0" w:rsidRDefault="00E675F0" w:rsidP="00A330E1">
            <w:pPr>
              <w:pStyle w:val="TableParagraph"/>
              <w:spacing w:before="10"/>
              <w:rPr>
                <w:sz w:val="15"/>
              </w:rPr>
            </w:pPr>
          </w:p>
          <w:p w:rsidR="00E675F0" w:rsidRDefault="00E675F0" w:rsidP="003048D3">
            <w:pPr>
              <w:pStyle w:val="TableParagraph"/>
              <w:numPr>
                <w:ilvl w:val="1"/>
                <w:numId w:val="75"/>
              </w:numPr>
              <w:tabs>
                <w:tab w:val="left" w:pos="953"/>
              </w:tabs>
              <w:ind w:left="952" w:hanging="296"/>
              <w:rPr>
                <w:sz w:val="19"/>
              </w:rPr>
            </w:pPr>
            <w:r>
              <w:rPr>
                <w:w w:val="110"/>
                <w:sz w:val="19"/>
              </w:rPr>
              <w:t>The onset is before age 18</w:t>
            </w:r>
            <w:r>
              <w:rPr>
                <w:spacing w:val="-13"/>
                <w:w w:val="110"/>
                <w:sz w:val="19"/>
              </w:rPr>
              <w:t xml:space="preserve"> </w:t>
            </w:r>
            <w:r>
              <w:rPr>
                <w:w w:val="110"/>
                <w:sz w:val="19"/>
              </w:rPr>
              <w:t>years.</w:t>
            </w:r>
          </w:p>
          <w:p w:rsidR="00E675F0" w:rsidRDefault="00E675F0" w:rsidP="00A330E1">
            <w:pPr>
              <w:pStyle w:val="TableParagraph"/>
              <w:spacing w:before="2"/>
              <w:rPr>
                <w:sz w:val="18"/>
              </w:rPr>
            </w:pPr>
          </w:p>
          <w:p w:rsidR="00E675F0" w:rsidRDefault="00E675F0" w:rsidP="003048D3">
            <w:pPr>
              <w:pStyle w:val="TableParagraph"/>
              <w:numPr>
                <w:ilvl w:val="1"/>
                <w:numId w:val="75"/>
              </w:numPr>
              <w:tabs>
                <w:tab w:val="left" w:pos="953"/>
              </w:tabs>
              <w:spacing w:before="1" w:line="261" w:lineRule="auto"/>
              <w:ind w:left="954" w:right="215" w:hanging="298"/>
              <w:jc w:val="both"/>
              <w:rPr>
                <w:sz w:val="19"/>
              </w:rPr>
            </w:pPr>
            <w:r>
              <w:rPr>
                <w:w w:val="110"/>
                <w:sz w:val="19"/>
              </w:rPr>
              <w:t>The disturbance is not due to the direct physiological effects of a substance (e.g., stimulants) or a general medical condition (e.g., Huntington's disease or postviral</w:t>
            </w:r>
            <w:r>
              <w:rPr>
                <w:spacing w:val="9"/>
                <w:w w:val="110"/>
                <w:sz w:val="19"/>
              </w:rPr>
              <w:t xml:space="preserve"> </w:t>
            </w:r>
            <w:r>
              <w:rPr>
                <w:w w:val="110"/>
                <w:sz w:val="19"/>
              </w:rPr>
              <w:t>encephalitis).</w:t>
            </w:r>
          </w:p>
          <w:p w:rsidR="00E675F0" w:rsidRDefault="00E675F0" w:rsidP="003048D3">
            <w:pPr>
              <w:pStyle w:val="TableParagraph"/>
              <w:numPr>
                <w:ilvl w:val="1"/>
                <w:numId w:val="75"/>
              </w:numPr>
              <w:tabs>
                <w:tab w:val="left" w:pos="957"/>
              </w:tabs>
              <w:spacing w:before="179" w:line="273" w:lineRule="auto"/>
              <w:ind w:left="956" w:right="209" w:hanging="300"/>
              <w:jc w:val="both"/>
              <w:rPr>
                <w:sz w:val="19"/>
              </w:rPr>
            </w:pPr>
            <w:r>
              <w:rPr>
                <w:w w:val="110"/>
                <w:sz w:val="19"/>
              </w:rPr>
              <w:t>Criteria have never been met for Tourette's Disorder or Chronic Motor or Vocal Tic</w:t>
            </w:r>
            <w:r>
              <w:rPr>
                <w:spacing w:val="31"/>
                <w:w w:val="110"/>
                <w:sz w:val="19"/>
              </w:rPr>
              <w:t xml:space="preserve"> </w:t>
            </w:r>
            <w:r>
              <w:rPr>
                <w:w w:val="110"/>
                <w:sz w:val="19"/>
              </w:rPr>
              <w:t>Disorder.</w:t>
            </w:r>
          </w:p>
          <w:p w:rsidR="00E675F0" w:rsidRDefault="00E675F0" w:rsidP="00A330E1">
            <w:pPr>
              <w:pStyle w:val="TableParagraph"/>
              <w:spacing w:before="7"/>
              <w:rPr>
                <w:sz w:val="15"/>
              </w:rPr>
            </w:pPr>
          </w:p>
          <w:p w:rsidR="00E675F0" w:rsidRDefault="00E675F0" w:rsidP="00A330E1">
            <w:pPr>
              <w:pStyle w:val="TableParagraph"/>
              <w:ind w:left="423"/>
              <w:rPr>
                <w:sz w:val="19"/>
              </w:rPr>
            </w:pPr>
            <w:r>
              <w:rPr>
                <w:i/>
                <w:sz w:val="19"/>
              </w:rPr>
              <w:t xml:space="preserve">Specify </w:t>
            </w:r>
            <w:r>
              <w:rPr>
                <w:sz w:val="19"/>
              </w:rPr>
              <w:t>if:</w:t>
            </w:r>
          </w:p>
          <w:p w:rsidR="00E675F0" w:rsidRDefault="00E675F0" w:rsidP="00A330E1">
            <w:pPr>
              <w:pStyle w:val="TableParagraph"/>
              <w:spacing w:before="13"/>
              <w:ind w:left="649"/>
              <w:rPr>
                <w:b/>
                <w:sz w:val="20"/>
              </w:rPr>
            </w:pPr>
            <w:r>
              <w:rPr>
                <w:b/>
                <w:w w:val="110"/>
                <w:sz w:val="20"/>
              </w:rPr>
              <w:t xml:space="preserve">Single Episode </w:t>
            </w:r>
            <w:r>
              <w:rPr>
                <w:rFonts w:ascii="Arial"/>
                <w:b/>
                <w:w w:val="110"/>
                <w:sz w:val="17"/>
              </w:rPr>
              <w:t xml:space="preserve">or </w:t>
            </w:r>
            <w:r>
              <w:rPr>
                <w:b/>
                <w:w w:val="110"/>
                <w:sz w:val="20"/>
              </w:rPr>
              <w:t>Recurrent</w:t>
            </w:r>
          </w:p>
        </w:tc>
      </w:tr>
    </w:tbl>
    <w:p w:rsidR="00E675F0" w:rsidRDefault="00E675F0" w:rsidP="00E675F0">
      <w:pPr>
        <w:pStyle w:val="BodyText"/>
      </w:pPr>
    </w:p>
    <w:p w:rsidR="00E675F0" w:rsidRDefault="00E675F0" w:rsidP="00E675F0">
      <w:pPr>
        <w:pStyle w:val="BodyText"/>
      </w:pPr>
    </w:p>
    <w:p w:rsidR="00E675F0" w:rsidRDefault="00E675F0" w:rsidP="00E675F0">
      <w:pPr>
        <w:pStyle w:val="BodyText"/>
        <w:spacing w:before="4"/>
        <w:rPr>
          <w:sz w:val="23"/>
        </w:rPr>
      </w:pPr>
    </w:p>
    <w:p w:rsidR="00E675F0" w:rsidRDefault="00E675F0" w:rsidP="00E675F0">
      <w:pPr>
        <w:tabs>
          <w:tab w:val="left" w:pos="3623"/>
        </w:tabs>
        <w:spacing w:before="1" w:line="252" w:lineRule="auto"/>
        <w:ind w:left="2321" w:right="2316" w:firstLine="230"/>
        <w:rPr>
          <w:rFonts w:ascii="Arial"/>
          <w:b/>
          <w:sz w:val="25"/>
        </w:rPr>
      </w:pPr>
      <w:r>
        <w:rPr>
          <w:rFonts w:ascii="Arial"/>
          <w:b/>
          <w:w w:val="110"/>
          <w:sz w:val="25"/>
        </w:rPr>
        <w:t>307.20</w:t>
      </w:r>
      <w:r>
        <w:rPr>
          <w:rFonts w:ascii="Arial"/>
          <w:b/>
          <w:w w:val="110"/>
          <w:sz w:val="25"/>
        </w:rPr>
        <w:tab/>
        <w:t>Tic Disorder Not</w:t>
      </w:r>
      <w:r>
        <w:rPr>
          <w:rFonts w:ascii="Arial"/>
          <w:b/>
          <w:spacing w:val="-50"/>
          <w:w w:val="110"/>
          <w:sz w:val="25"/>
        </w:rPr>
        <w:t xml:space="preserve"> </w:t>
      </w:r>
      <w:r>
        <w:rPr>
          <w:rFonts w:ascii="Arial"/>
          <w:b/>
          <w:w w:val="110"/>
          <w:sz w:val="25"/>
        </w:rPr>
        <w:t>Otherwise</w:t>
      </w:r>
      <w:r>
        <w:rPr>
          <w:rFonts w:ascii="Arial"/>
          <w:b/>
          <w:spacing w:val="-40"/>
          <w:w w:val="110"/>
          <w:sz w:val="25"/>
        </w:rPr>
        <w:t xml:space="preserve"> </w:t>
      </w:r>
      <w:r>
        <w:rPr>
          <w:rFonts w:ascii="Arial"/>
          <w:b/>
          <w:w w:val="110"/>
          <w:sz w:val="25"/>
        </w:rPr>
        <w:t>Specified</w:t>
      </w:r>
    </w:p>
    <w:p w:rsidR="00E675F0" w:rsidRDefault="00E675F0" w:rsidP="00E675F0">
      <w:pPr>
        <w:spacing w:before="246" w:line="268" w:lineRule="auto"/>
        <w:ind w:left="126" w:right="114" w:hanging="5"/>
        <w:jc w:val="both"/>
        <w:rPr>
          <w:sz w:val="19"/>
        </w:rPr>
      </w:pPr>
      <w:r>
        <w:rPr>
          <w:w w:val="110"/>
          <w:sz w:val="19"/>
        </w:rPr>
        <w:t>This category is for disorders characterized by tics that do not meet criteria for a specific Tic Disorder. Examples include tics lasting less than 4 weeks or tics with an onset after age 18 years.</w:t>
      </w:r>
    </w:p>
    <w:p w:rsidR="00E675F0" w:rsidRDefault="00E675F0" w:rsidP="00E675F0">
      <w:pPr>
        <w:spacing w:line="268" w:lineRule="auto"/>
        <w:jc w:val="both"/>
        <w:rPr>
          <w:sz w:val="19"/>
        </w:rPr>
        <w:sectPr w:rsidR="00E675F0">
          <w:headerReference w:type="even" r:id="rId122"/>
          <w:headerReference w:type="default" r:id="rId123"/>
          <w:pgSz w:w="8960" w:h="14260"/>
          <w:pgMar w:top="1400" w:right="620" w:bottom="280" w:left="620" w:header="698" w:footer="0" w:gutter="0"/>
          <w:cols w:space="720"/>
        </w:sectPr>
      </w:pPr>
    </w:p>
    <w:p w:rsidR="00E675F0" w:rsidRDefault="00E675F0" w:rsidP="00E675F0">
      <w:pPr>
        <w:pStyle w:val="BodyText"/>
        <w:spacing w:before="8"/>
        <w:rPr>
          <w:sz w:val="5"/>
        </w:rPr>
      </w:pPr>
    </w:p>
    <w:p w:rsidR="00E675F0" w:rsidRDefault="00E675F0" w:rsidP="00E675F0">
      <w:pPr>
        <w:tabs>
          <w:tab w:val="left" w:pos="5532"/>
        </w:tabs>
        <w:spacing w:line="20" w:lineRule="exact"/>
        <w:ind w:left="122"/>
        <w:rPr>
          <w:sz w:val="2"/>
        </w:rPr>
      </w:pPr>
      <w:r>
        <w:rPr>
          <w:noProof/>
          <w:sz w:val="2"/>
        </w:rPr>
        <mc:AlternateContent>
          <mc:Choice Requires="wpg">
            <w:drawing>
              <wp:inline distT="0" distB="0" distL="0" distR="0" wp14:anchorId="29693C3E" wp14:editId="4538D1A4">
                <wp:extent cx="1833245" cy="9525"/>
                <wp:effectExtent l="0" t="0" r="0" b="0"/>
                <wp:docPr id="1513" name="Group 1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3245" cy="9525"/>
                          <a:chOff x="0" y="0"/>
                          <a:chExt cx="2887" cy="15"/>
                        </a:xfrm>
                      </wpg:grpSpPr>
                      <wps:wsp>
                        <wps:cNvPr id="1514" name="Line 1470"/>
                        <wps:cNvCnPr>
                          <a:cxnSpLocks/>
                        </wps:cNvCnPr>
                        <wps:spPr bwMode="auto">
                          <a:xfrm>
                            <a:off x="0" y="7"/>
                            <a:ext cx="2886" cy="0"/>
                          </a:xfrm>
                          <a:prstGeom prst="line">
                            <a:avLst/>
                          </a:prstGeom>
                          <a:noFill/>
                          <a:ln w="915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93F1407" id="Group 1469" o:spid="_x0000_s1026" style="width:144.35pt;height:.75pt;mso-position-horizontal-relative:char;mso-position-vertical-relative:line" coordsize="2887,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">
                <v:line id="Line 1470" o:spid="_x0000_s1027" style="position:absolute;visibility:visible;mso-wrap-style:square" from="0,7" to="288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" strokeweight=".25433mm">
                  <o:lock v:ext="edit" shapetype="f"/>
                </v:line>
                <w10:anchorlock/>
              </v:group>
            </w:pict>
          </mc:Fallback>
        </mc:AlternateContent>
      </w:r>
      <w:r>
        <w:rPr>
          <w:sz w:val="2"/>
        </w:rPr>
        <w:tab/>
      </w:r>
      <w:r>
        <w:rPr>
          <w:noProof/>
          <w:sz w:val="2"/>
        </w:rPr>
        <mc:AlternateContent>
          <mc:Choice Requires="wpg">
            <w:drawing>
              <wp:inline distT="0" distB="0" distL="0" distR="0" wp14:anchorId="2FCF667B" wp14:editId="429B57B9">
                <wp:extent cx="1307465" cy="6350"/>
                <wp:effectExtent l="0" t="0" r="635" b="0"/>
                <wp:docPr id="1511" name="Group 1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7465" cy="6350"/>
                          <a:chOff x="0" y="0"/>
                          <a:chExt cx="2059" cy="10"/>
                        </a:xfrm>
                      </wpg:grpSpPr>
                      <wps:wsp>
                        <wps:cNvPr id="1512" name="Line 1468"/>
                        <wps:cNvCnPr>
                          <a:cxnSpLocks/>
                        </wps:cNvCnPr>
                        <wps:spPr bwMode="auto">
                          <a:xfrm>
                            <a:off x="0" y="5"/>
                            <a:ext cx="2059" cy="0"/>
                          </a:xfrm>
                          <a:prstGeom prst="line">
                            <a:avLst/>
                          </a:prstGeom>
                          <a:noFill/>
                          <a:ln w="610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0207835" id="Group 1467" o:spid="_x0000_s1026" style="width:102.95pt;height:.5pt;mso-position-horizontal-relative:char;mso-position-vertical-relative:line" coordsize="2059,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">
                <v:line id="Line 1468" o:spid="_x0000_s1027" style="position:absolute;visibility:visible;mso-wrap-style:square" from="0,5" to="205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" strokeweight=".16956mm">
                  <o:lock v:ext="edit" shapetype="f"/>
                </v:line>
                <w10:anchorlock/>
              </v:group>
            </w:pict>
          </mc:Fallback>
        </mc:AlternateContent>
      </w:r>
    </w:p>
    <w:p w:rsidR="00E675F0" w:rsidRDefault="00E675F0" w:rsidP="00E675F0">
      <w:pPr>
        <w:spacing w:before="124"/>
        <w:ind w:left="136" w:right="113"/>
        <w:jc w:val="center"/>
        <w:rPr>
          <w:rFonts w:ascii="Arial"/>
          <w:b/>
          <w:sz w:val="26"/>
        </w:rPr>
      </w:pPr>
      <w:r>
        <w:rPr>
          <w:noProof/>
        </w:rPr>
        <mc:AlternateContent>
          <mc:Choice Requires="wps">
            <w:drawing>
              <wp:anchor distT="0" distB="0" distL="0" distR="0" simplePos="0" relativeHeight="251852800" behindDoc="1" locked="0" layoutInCell="1" allowOverlap="1" wp14:anchorId="5C812248" wp14:editId="610D0855">
                <wp:simplePos x="0" y="0"/>
                <wp:positionH relativeFrom="page">
                  <wp:posOffset>476250</wp:posOffset>
                </wp:positionH>
                <wp:positionV relativeFrom="paragraph">
                  <wp:posOffset>316230</wp:posOffset>
                </wp:positionV>
                <wp:extent cx="1698625" cy="1270"/>
                <wp:effectExtent l="0" t="0" r="3175" b="0"/>
                <wp:wrapTopAndBottom/>
                <wp:docPr id="1510" name="Freeform 1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98625" cy="1270"/>
                        </a:xfrm>
                        <a:custGeom>
                          <a:avLst/>
                          <a:gdLst>
                            <a:gd name="T0" fmla="+- 0 750 750"/>
                            <a:gd name="T1" fmla="*/ T0 w 2675"/>
                            <a:gd name="T2" fmla="+- 0 3425 750"/>
                            <a:gd name="T3" fmla="*/ T2 w 2675"/>
                          </a:gdLst>
                          <a:ahLst/>
                          <a:cxnLst>
                            <a:cxn ang="0">
                              <a:pos x="T1" y="0"/>
                            </a:cxn>
                            <a:cxn ang="0">
                              <a:pos x="T3" y="0"/>
                            </a:cxn>
                          </a:cxnLst>
                          <a:rect l="0" t="0" r="r" b="b"/>
                          <a:pathLst>
                            <a:path w="2675">
                              <a:moveTo>
                                <a:pt x="0" y="0"/>
                              </a:moveTo>
                              <a:lnTo>
                                <a:pt x="2675" y="0"/>
                              </a:lnTo>
                            </a:path>
                          </a:pathLst>
                        </a:custGeom>
                        <a:noFill/>
                        <a:ln w="915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D0351" id="Freeform 1466" o:spid="_x0000_s1026" style="position:absolute;margin-left:37.5pt;margin-top:24.9pt;width:133.75pt;height:.1pt;z-index:-251463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7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" path="m,l2675,e" filled="f" strokeweight=".25433mm">
                <v:path arrowok="t" o:connecttype="custom" o:connectlocs="0,0;1698625,0" o:connectangles="0,0"/>
                <w10:wrap type="topAndBottom" anchorx="page"/>
              </v:shape>
            </w:pict>
          </mc:Fallback>
        </mc:AlternateContent>
      </w:r>
      <w:r>
        <w:rPr>
          <w:noProof/>
        </w:rPr>
        <mc:AlternateContent>
          <mc:Choice Requires="wps">
            <w:drawing>
              <wp:anchor distT="0" distB="0" distL="0" distR="0" simplePos="0" relativeHeight="251853824" behindDoc="1" locked="0" layoutInCell="1" allowOverlap="1" wp14:anchorId="4C059F76" wp14:editId="0EC35201">
                <wp:simplePos x="0" y="0"/>
                <wp:positionH relativeFrom="page">
                  <wp:posOffset>3909695</wp:posOffset>
                </wp:positionH>
                <wp:positionV relativeFrom="paragraph">
                  <wp:posOffset>316230</wp:posOffset>
                </wp:positionV>
                <wp:extent cx="1307465" cy="1270"/>
                <wp:effectExtent l="0" t="0" r="635" b="0"/>
                <wp:wrapTopAndBottom/>
                <wp:docPr id="1509" name="Freeform 1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7465" cy="1270"/>
                        </a:xfrm>
                        <a:custGeom>
                          <a:avLst/>
                          <a:gdLst>
                            <a:gd name="T0" fmla="+- 0 6157 6157"/>
                            <a:gd name="T1" fmla="*/ T0 w 2059"/>
                            <a:gd name="T2" fmla="+- 0 8216 6157"/>
                            <a:gd name="T3" fmla="*/ T2 w 2059"/>
                          </a:gdLst>
                          <a:ahLst/>
                          <a:cxnLst>
                            <a:cxn ang="0">
                              <a:pos x="T1" y="0"/>
                            </a:cxn>
                            <a:cxn ang="0">
                              <a:pos x="T3" y="0"/>
                            </a:cxn>
                          </a:cxnLst>
                          <a:rect l="0" t="0" r="r" b="b"/>
                          <a:pathLst>
                            <a:path w="2059">
                              <a:moveTo>
                                <a:pt x="0" y="0"/>
                              </a:moveTo>
                              <a:lnTo>
                                <a:pt x="2059" y="0"/>
                              </a:lnTo>
                            </a:path>
                          </a:pathLst>
                        </a:custGeom>
                        <a:noFill/>
                        <a:ln w="61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79D23" id="Freeform 1465" o:spid="_x0000_s1026" style="position:absolute;margin-left:307.85pt;margin-top:24.9pt;width:102.95pt;height:.1pt;z-index:-251462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59,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" path="m,l2059,e" filled="f" strokeweight=".16956mm">
                <v:path arrowok="t" o:connecttype="custom" o:connectlocs="0,0;1307465,0" o:connectangles="0,0"/>
                <w10:wrap type="topAndBottom" anchorx="page"/>
              </v:shape>
            </w:pict>
          </mc:Fallback>
        </mc:AlternateContent>
      </w:r>
      <w:bookmarkStart w:id="69" w:name="_bookmark53"/>
      <w:bookmarkEnd w:id="69"/>
      <w:r>
        <w:rPr>
          <w:rFonts w:ascii="Arial"/>
          <w:b/>
          <w:color w:val="0F0F0F"/>
          <w:sz w:val="26"/>
        </w:rPr>
        <w:t>Elimination Disorders</w:t>
      </w:r>
    </w:p>
    <w:p w:rsidR="00E675F0" w:rsidRDefault="00E675F0" w:rsidP="00E675F0">
      <w:pPr>
        <w:pStyle w:val="BodyText"/>
        <w:spacing w:before="3"/>
        <w:rPr>
          <w:rFonts w:ascii="Arial"/>
          <w:b/>
          <w:sz w:val="30"/>
        </w:rPr>
      </w:pPr>
    </w:p>
    <w:p w:rsidR="00E675F0" w:rsidRDefault="00E675F0" w:rsidP="00E675F0">
      <w:pPr>
        <w:ind w:left="131" w:right="119"/>
        <w:jc w:val="center"/>
        <w:rPr>
          <w:rFonts w:ascii="Arial"/>
          <w:b/>
          <w:sz w:val="26"/>
        </w:rPr>
      </w:pPr>
      <w:r>
        <w:rPr>
          <w:rFonts w:ascii="Arial"/>
          <w:b/>
          <w:sz w:val="26"/>
        </w:rPr>
        <w:t>Encopresis</w:t>
      </w:r>
    </w:p>
    <w:p w:rsidR="00E675F0" w:rsidRDefault="00E675F0" w:rsidP="00E675F0">
      <w:pPr>
        <w:pStyle w:val="BodyText"/>
        <w:spacing w:before="6"/>
        <w:rPr>
          <w:rFonts w:ascii="Arial"/>
          <w:b/>
          <w:sz w:val="22"/>
        </w:rPr>
      </w:pPr>
    </w:p>
    <w:p w:rsidR="00E675F0" w:rsidRDefault="00E675F0" w:rsidP="00E675F0">
      <w:pPr>
        <w:spacing w:before="1"/>
        <w:ind w:left="115"/>
        <w:rPr>
          <w:rFonts w:ascii="TimesNewRomanPS-BoldItalicMT"/>
          <w:b/>
          <w:i/>
          <w:sz w:val="24"/>
        </w:rPr>
      </w:pPr>
      <w:r>
        <w:rPr>
          <w:rFonts w:ascii="TimesNewRomanPS-BoldItalicMT"/>
          <w:b/>
          <w:i/>
          <w:w w:val="110"/>
          <w:sz w:val="24"/>
        </w:rPr>
        <w:t>Di.agnostic Features</w:t>
      </w:r>
    </w:p>
    <w:p w:rsidR="00E675F0" w:rsidRDefault="00E675F0" w:rsidP="00E675F0">
      <w:pPr>
        <w:pStyle w:val="BodyText"/>
        <w:spacing w:before="126" w:line="254" w:lineRule="auto"/>
        <w:ind w:left="117" w:right="106" w:firstLine="2"/>
        <w:jc w:val="both"/>
      </w:pPr>
      <w:r>
        <w:rPr>
          <w:w w:val="105"/>
        </w:rPr>
        <w:t>The essential feature of Encopresis is repeated passage of feces into inappropriate places (e.g.,</w:t>
      </w:r>
      <w:r>
        <w:rPr>
          <w:spacing w:val="-4"/>
          <w:w w:val="105"/>
        </w:rPr>
        <w:t xml:space="preserve"> </w:t>
      </w:r>
      <w:r>
        <w:rPr>
          <w:w w:val="105"/>
        </w:rPr>
        <w:t>clothing</w:t>
      </w:r>
      <w:r>
        <w:rPr>
          <w:spacing w:val="-4"/>
          <w:w w:val="105"/>
        </w:rPr>
        <w:t xml:space="preserve"> </w:t>
      </w:r>
      <w:r>
        <w:rPr>
          <w:w w:val="105"/>
        </w:rPr>
        <w:t>or</w:t>
      </w:r>
      <w:r>
        <w:rPr>
          <w:spacing w:val="-7"/>
          <w:w w:val="105"/>
        </w:rPr>
        <w:t xml:space="preserve"> </w:t>
      </w:r>
      <w:r>
        <w:rPr>
          <w:w w:val="105"/>
        </w:rPr>
        <w:t>floor)</w:t>
      </w:r>
      <w:r>
        <w:rPr>
          <w:spacing w:val="-7"/>
          <w:w w:val="105"/>
        </w:rPr>
        <w:t xml:space="preserve"> </w:t>
      </w:r>
      <w:r>
        <w:rPr>
          <w:w w:val="105"/>
        </w:rPr>
        <w:t>(Criterion</w:t>
      </w:r>
      <w:r>
        <w:rPr>
          <w:spacing w:val="2"/>
          <w:w w:val="105"/>
        </w:rPr>
        <w:t xml:space="preserve"> </w:t>
      </w:r>
      <w:r>
        <w:rPr>
          <w:w w:val="105"/>
        </w:rPr>
        <w:t>A).</w:t>
      </w:r>
      <w:r>
        <w:rPr>
          <w:spacing w:val="-10"/>
          <w:w w:val="105"/>
        </w:rPr>
        <w:t xml:space="preserve"> </w:t>
      </w:r>
      <w:r>
        <w:rPr>
          <w:w w:val="105"/>
        </w:rPr>
        <w:t>Most</w:t>
      </w:r>
      <w:r>
        <w:rPr>
          <w:spacing w:val="-7"/>
          <w:w w:val="105"/>
        </w:rPr>
        <w:t xml:space="preserve"> </w:t>
      </w:r>
      <w:r>
        <w:rPr>
          <w:w w:val="105"/>
        </w:rPr>
        <w:t>often</w:t>
      </w:r>
      <w:r>
        <w:rPr>
          <w:spacing w:val="-2"/>
          <w:w w:val="105"/>
        </w:rPr>
        <w:t xml:space="preserve"> </w:t>
      </w:r>
      <w:r>
        <w:rPr>
          <w:w w:val="105"/>
        </w:rPr>
        <w:t>this</w:t>
      </w:r>
      <w:r>
        <w:rPr>
          <w:spacing w:val="-9"/>
          <w:w w:val="105"/>
        </w:rPr>
        <w:t xml:space="preserve"> </w:t>
      </w:r>
      <w:r>
        <w:rPr>
          <w:w w:val="105"/>
        </w:rPr>
        <w:t>is</w:t>
      </w:r>
      <w:r>
        <w:rPr>
          <w:spacing w:val="-14"/>
          <w:w w:val="105"/>
        </w:rPr>
        <w:t xml:space="preserve"> </w:t>
      </w:r>
      <w:r>
        <w:rPr>
          <w:w w:val="105"/>
        </w:rPr>
        <w:t>involuntary</w:t>
      </w:r>
      <w:r>
        <w:rPr>
          <w:spacing w:val="5"/>
          <w:w w:val="105"/>
        </w:rPr>
        <w:t xml:space="preserve"> </w:t>
      </w:r>
      <w:r>
        <w:rPr>
          <w:w w:val="105"/>
        </w:rPr>
        <w:t>but</w:t>
      </w:r>
      <w:r>
        <w:rPr>
          <w:spacing w:val="-4"/>
          <w:w w:val="105"/>
        </w:rPr>
        <w:t xml:space="preserve"> </w:t>
      </w:r>
      <w:r>
        <w:rPr>
          <w:w w:val="105"/>
        </w:rPr>
        <w:t>occasionally</w:t>
      </w:r>
      <w:r>
        <w:rPr>
          <w:spacing w:val="2"/>
          <w:w w:val="105"/>
        </w:rPr>
        <w:t xml:space="preserve"> </w:t>
      </w:r>
      <w:r>
        <w:rPr>
          <w:w w:val="105"/>
        </w:rPr>
        <w:t>may be</w:t>
      </w:r>
      <w:r>
        <w:rPr>
          <w:spacing w:val="-12"/>
          <w:w w:val="105"/>
        </w:rPr>
        <w:t xml:space="preserve"> </w:t>
      </w:r>
      <w:r>
        <w:rPr>
          <w:w w:val="105"/>
        </w:rPr>
        <w:t>intentional.</w:t>
      </w:r>
      <w:r>
        <w:rPr>
          <w:spacing w:val="-1"/>
          <w:w w:val="105"/>
        </w:rPr>
        <w:t xml:space="preserve"> </w:t>
      </w:r>
      <w:r>
        <w:rPr>
          <w:w w:val="105"/>
        </w:rPr>
        <w:t>The</w:t>
      </w:r>
      <w:r>
        <w:rPr>
          <w:spacing w:val="-12"/>
          <w:w w:val="105"/>
        </w:rPr>
        <w:t xml:space="preserve"> </w:t>
      </w:r>
      <w:r>
        <w:rPr>
          <w:w w:val="105"/>
        </w:rPr>
        <w:t>event must</w:t>
      </w:r>
      <w:r>
        <w:rPr>
          <w:spacing w:val="-1"/>
          <w:w w:val="105"/>
        </w:rPr>
        <w:t xml:space="preserve"> </w:t>
      </w:r>
      <w:r>
        <w:rPr>
          <w:w w:val="105"/>
        </w:rPr>
        <w:t>occur</w:t>
      </w:r>
      <w:r>
        <w:rPr>
          <w:spacing w:val="-5"/>
          <w:w w:val="105"/>
        </w:rPr>
        <w:t xml:space="preserve"> </w:t>
      </w:r>
      <w:r>
        <w:rPr>
          <w:w w:val="105"/>
        </w:rPr>
        <w:t>at</w:t>
      </w:r>
      <w:r>
        <w:rPr>
          <w:spacing w:val="-11"/>
          <w:w w:val="105"/>
        </w:rPr>
        <w:t xml:space="preserve"> </w:t>
      </w:r>
      <w:r>
        <w:rPr>
          <w:w w:val="105"/>
        </w:rPr>
        <w:t>least</w:t>
      </w:r>
      <w:r>
        <w:rPr>
          <w:spacing w:val="-10"/>
          <w:w w:val="105"/>
        </w:rPr>
        <w:t xml:space="preserve"> </w:t>
      </w:r>
      <w:r>
        <w:rPr>
          <w:w w:val="105"/>
        </w:rPr>
        <w:t>once</w:t>
      </w:r>
      <w:r>
        <w:rPr>
          <w:spacing w:val="-10"/>
          <w:w w:val="105"/>
        </w:rPr>
        <w:t xml:space="preserve"> </w:t>
      </w:r>
      <w:r>
        <w:rPr>
          <w:w w:val="105"/>
        </w:rPr>
        <w:t>a</w:t>
      </w:r>
      <w:r>
        <w:rPr>
          <w:spacing w:val="-4"/>
          <w:w w:val="105"/>
        </w:rPr>
        <w:t xml:space="preserve"> </w:t>
      </w:r>
      <w:r>
        <w:rPr>
          <w:w w:val="105"/>
        </w:rPr>
        <w:t>month</w:t>
      </w:r>
      <w:r>
        <w:rPr>
          <w:spacing w:val="-4"/>
          <w:w w:val="105"/>
        </w:rPr>
        <w:t xml:space="preserve"> </w:t>
      </w:r>
      <w:r>
        <w:rPr>
          <w:w w:val="105"/>
        </w:rPr>
        <w:t>for</w:t>
      </w:r>
      <w:r>
        <w:rPr>
          <w:spacing w:val="-15"/>
          <w:w w:val="105"/>
        </w:rPr>
        <w:t xml:space="preserve"> </w:t>
      </w:r>
      <w:r>
        <w:rPr>
          <w:w w:val="105"/>
        </w:rPr>
        <w:t>at</w:t>
      </w:r>
      <w:r>
        <w:rPr>
          <w:spacing w:val="-12"/>
          <w:w w:val="105"/>
        </w:rPr>
        <w:t xml:space="preserve"> </w:t>
      </w:r>
      <w:r>
        <w:rPr>
          <w:w w:val="105"/>
        </w:rPr>
        <w:t>least</w:t>
      </w:r>
      <w:r>
        <w:rPr>
          <w:spacing w:val="-10"/>
          <w:w w:val="105"/>
        </w:rPr>
        <w:t xml:space="preserve"> </w:t>
      </w:r>
      <w:r>
        <w:rPr>
          <w:w w:val="105"/>
        </w:rPr>
        <w:t>3</w:t>
      </w:r>
      <w:r>
        <w:rPr>
          <w:spacing w:val="-12"/>
          <w:w w:val="105"/>
        </w:rPr>
        <w:t xml:space="preserve"> </w:t>
      </w:r>
      <w:r>
        <w:rPr>
          <w:w w:val="105"/>
        </w:rPr>
        <w:t>months</w:t>
      </w:r>
      <w:r>
        <w:rPr>
          <w:spacing w:val="-4"/>
          <w:w w:val="105"/>
        </w:rPr>
        <w:t xml:space="preserve"> </w:t>
      </w:r>
      <w:r>
        <w:rPr>
          <w:w w:val="105"/>
        </w:rPr>
        <w:t>(Criterion B), and the chronological age of the child must be at least 4 years (or for children with developmental delays, a mental age of at least 4 years) (Criterion C). The fecal incontinence</w:t>
      </w:r>
      <w:r>
        <w:rPr>
          <w:spacing w:val="4"/>
          <w:w w:val="105"/>
        </w:rPr>
        <w:t xml:space="preserve"> </w:t>
      </w:r>
      <w:r>
        <w:rPr>
          <w:w w:val="105"/>
        </w:rPr>
        <w:t>must</w:t>
      </w:r>
      <w:r>
        <w:rPr>
          <w:spacing w:val="-10"/>
          <w:w w:val="105"/>
        </w:rPr>
        <w:t xml:space="preserve"> </w:t>
      </w:r>
      <w:r>
        <w:rPr>
          <w:w w:val="105"/>
        </w:rPr>
        <w:t>not</w:t>
      </w:r>
      <w:r>
        <w:rPr>
          <w:spacing w:val="-10"/>
          <w:w w:val="105"/>
        </w:rPr>
        <w:t xml:space="preserve"> </w:t>
      </w:r>
      <w:r>
        <w:rPr>
          <w:w w:val="105"/>
        </w:rPr>
        <w:t>be</w:t>
      </w:r>
      <w:r>
        <w:rPr>
          <w:spacing w:val="-20"/>
          <w:w w:val="105"/>
        </w:rPr>
        <w:t xml:space="preserve"> </w:t>
      </w:r>
      <w:r>
        <w:rPr>
          <w:w w:val="105"/>
        </w:rPr>
        <w:t>due</w:t>
      </w:r>
      <w:r>
        <w:rPr>
          <w:spacing w:val="-13"/>
          <w:w w:val="105"/>
        </w:rPr>
        <w:t xml:space="preserve"> </w:t>
      </w:r>
      <w:r>
        <w:rPr>
          <w:w w:val="105"/>
        </w:rPr>
        <w:t>exclusively</w:t>
      </w:r>
      <w:r>
        <w:rPr>
          <w:spacing w:val="-2"/>
          <w:w w:val="105"/>
        </w:rPr>
        <w:t xml:space="preserve"> </w:t>
      </w:r>
      <w:r>
        <w:rPr>
          <w:w w:val="105"/>
        </w:rPr>
        <w:t>to</w:t>
      </w:r>
      <w:r>
        <w:rPr>
          <w:spacing w:val="-13"/>
          <w:w w:val="105"/>
        </w:rPr>
        <w:t xml:space="preserve"> </w:t>
      </w:r>
      <w:r>
        <w:rPr>
          <w:w w:val="105"/>
        </w:rPr>
        <w:t>the</w:t>
      </w:r>
      <w:r>
        <w:rPr>
          <w:spacing w:val="1"/>
          <w:w w:val="105"/>
        </w:rPr>
        <w:t xml:space="preserve"> </w:t>
      </w:r>
      <w:r>
        <w:rPr>
          <w:w w:val="105"/>
        </w:rPr>
        <w:t>direct</w:t>
      </w:r>
      <w:r>
        <w:rPr>
          <w:spacing w:val="-8"/>
          <w:w w:val="105"/>
        </w:rPr>
        <w:t xml:space="preserve"> </w:t>
      </w:r>
      <w:r>
        <w:rPr>
          <w:w w:val="105"/>
        </w:rPr>
        <w:t>physiological</w:t>
      </w:r>
      <w:r>
        <w:rPr>
          <w:spacing w:val="-6"/>
          <w:w w:val="105"/>
        </w:rPr>
        <w:t xml:space="preserve"> </w:t>
      </w:r>
      <w:r>
        <w:rPr>
          <w:w w:val="105"/>
        </w:rPr>
        <w:t>effects</w:t>
      </w:r>
      <w:r>
        <w:rPr>
          <w:spacing w:val="-16"/>
          <w:w w:val="105"/>
        </w:rPr>
        <w:t xml:space="preserve"> </w:t>
      </w:r>
      <w:r>
        <w:rPr>
          <w:w w:val="105"/>
        </w:rPr>
        <w:t>of</w:t>
      </w:r>
      <w:r>
        <w:rPr>
          <w:spacing w:val="-9"/>
          <w:w w:val="105"/>
        </w:rPr>
        <w:t xml:space="preserve"> </w:t>
      </w:r>
      <w:r>
        <w:rPr>
          <w:w w:val="105"/>
        </w:rPr>
        <w:t>a</w:t>
      </w:r>
      <w:r>
        <w:rPr>
          <w:spacing w:val="-20"/>
          <w:w w:val="105"/>
        </w:rPr>
        <w:t xml:space="preserve"> </w:t>
      </w:r>
      <w:r>
        <w:rPr>
          <w:w w:val="105"/>
        </w:rPr>
        <w:t>substance (e.g., laxatives) or a general medical condition except through a mechanism involving constipation (Criterion</w:t>
      </w:r>
      <w:r>
        <w:rPr>
          <w:spacing w:val="-18"/>
          <w:w w:val="105"/>
        </w:rPr>
        <w:t xml:space="preserve"> </w:t>
      </w:r>
      <w:r>
        <w:rPr>
          <w:w w:val="105"/>
        </w:rPr>
        <w:t>D).</w:t>
      </w:r>
    </w:p>
    <w:p w:rsidR="00E675F0" w:rsidRDefault="00E675F0" w:rsidP="00E675F0">
      <w:pPr>
        <w:pStyle w:val="BodyText"/>
        <w:spacing w:line="254" w:lineRule="auto"/>
        <w:ind w:left="124" w:right="107" w:firstLine="359"/>
        <w:jc w:val="both"/>
      </w:pPr>
      <w:r>
        <w:rPr>
          <w:w w:val="105"/>
        </w:rPr>
        <w:t>When the passage of feces is involuntary rather than intentional, it is often related  to constipation, impaction, and retention with subsequent overflow. The constipation may develop for psychological reasons (e.g., anxiety about defecating in a particular place or a more general pattern of anxious or oppositional behavior) leading to avoidance of defecation. Physiological predispositions to constipation include dehydra­ tion associated with a febrile illness, hypothyroidism, or a medication side effect. Once constipation has developed, it may be complicated by an anal fissure, painful defecation, and further fecal retention. The consistency of the stool  may vary.  In some individuals it may be of normal or near-normal consistency. It may be liquid in other individuals who have overflow incontinence secondary to fecal</w:t>
      </w:r>
      <w:r>
        <w:rPr>
          <w:spacing w:val="15"/>
          <w:w w:val="105"/>
        </w:rPr>
        <w:t xml:space="preserve"> </w:t>
      </w:r>
      <w:r>
        <w:rPr>
          <w:w w:val="105"/>
        </w:rPr>
        <w:t>retention.</w:t>
      </w:r>
    </w:p>
    <w:p w:rsidR="00E675F0" w:rsidRDefault="00E675F0" w:rsidP="00E675F0">
      <w:pPr>
        <w:pStyle w:val="BodyText"/>
        <w:spacing w:before="7"/>
        <w:rPr>
          <w:sz w:val="30"/>
        </w:rPr>
      </w:pPr>
    </w:p>
    <w:p w:rsidR="00E675F0" w:rsidRDefault="00E675F0" w:rsidP="00E675F0">
      <w:pPr>
        <w:spacing w:before="1"/>
        <w:ind w:left="116"/>
        <w:rPr>
          <w:rFonts w:ascii="TimesNewRomanPS-BoldItalicMT"/>
          <w:b/>
          <w:i/>
          <w:sz w:val="24"/>
        </w:rPr>
      </w:pPr>
      <w:r>
        <w:rPr>
          <w:rFonts w:ascii="TimesNewRomanPS-BoldItalicMT"/>
          <w:b/>
          <w:i/>
          <w:w w:val="115"/>
          <w:sz w:val="24"/>
        </w:rPr>
        <w:t>Subtypes</w:t>
      </w:r>
    </w:p>
    <w:p w:rsidR="00E675F0" w:rsidRDefault="00E675F0" w:rsidP="00E675F0">
      <w:pPr>
        <w:pStyle w:val="BodyText"/>
        <w:spacing w:before="121"/>
        <w:ind w:left="131"/>
        <w:jc w:val="both"/>
      </w:pPr>
      <w:r>
        <w:rPr>
          <w:w w:val="105"/>
        </w:rPr>
        <w:t>Encopresis is coded according to the subtype that characterizes the presentation:</w:t>
      </w:r>
    </w:p>
    <w:p w:rsidR="00E675F0" w:rsidRDefault="00E675F0" w:rsidP="00E675F0">
      <w:pPr>
        <w:pStyle w:val="BodyText"/>
        <w:spacing w:before="73" w:line="249" w:lineRule="auto"/>
        <w:ind w:left="734" w:right="100" w:firstLine="5"/>
        <w:jc w:val="both"/>
      </w:pPr>
      <w:r>
        <w:rPr>
          <w:b/>
          <w:w w:val="105"/>
        </w:rPr>
        <w:t xml:space="preserve">787.6  With  Constipation  and  Overflow  Incontinence.  </w:t>
      </w:r>
      <w:r>
        <w:rPr>
          <w:w w:val="105"/>
        </w:rPr>
        <w:t>There  is  evidence of constipation on physical examination or by history. Feces are characteristically (but not invariably) poorly formed and leakage is continuous, occurring both during the day and during sleep. Only small amounts of feces are passed during toiletting, and the incontinence resolves after treatment of the</w:t>
      </w:r>
      <w:r>
        <w:rPr>
          <w:spacing w:val="17"/>
          <w:w w:val="105"/>
        </w:rPr>
        <w:t xml:space="preserve"> </w:t>
      </w:r>
      <w:r>
        <w:rPr>
          <w:w w:val="105"/>
        </w:rPr>
        <w:t>constipation.</w:t>
      </w:r>
    </w:p>
    <w:p w:rsidR="00E675F0" w:rsidRDefault="00E675F0" w:rsidP="00E675F0">
      <w:pPr>
        <w:pStyle w:val="BodyText"/>
        <w:spacing w:before="11" w:line="254" w:lineRule="auto"/>
        <w:ind w:left="734" w:right="101" w:firstLine="8"/>
        <w:jc w:val="both"/>
      </w:pPr>
      <w:r>
        <w:rPr>
          <w:b/>
          <w:w w:val="105"/>
        </w:rPr>
        <w:t xml:space="preserve">307.7 Without Constipation and Overflow Incontinence. </w:t>
      </w:r>
      <w:r>
        <w:rPr>
          <w:w w:val="105"/>
        </w:rPr>
        <w:t>There  is  no evidence of constipation on physical examination or by history. Feces are likely to be of normal form and consistency, and soiling is intermittent. Feces may be deposited in a prominent location. This is usually  associated  with the presence of</w:t>
      </w:r>
      <w:r>
        <w:rPr>
          <w:spacing w:val="-5"/>
          <w:w w:val="105"/>
        </w:rPr>
        <w:t xml:space="preserve"> </w:t>
      </w:r>
      <w:r>
        <w:rPr>
          <w:w w:val="105"/>
        </w:rPr>
        <w:t>Oppositional</w:t>
      </w:r>
      <w:r>
        <w:rPr>
          <w:spacing w:val="4"/>
          <w:w w:val="105"/>
        </w:rPr>
        <w:t xml:space="preserve"> </w:t>
      </w:r>
      <w:r>
        <w:rPr>
          <w:w w:val="105"/>
        </w:rPr>
        <w:t>Defiant Disorder</w:t>
      </w:r>
      <w:r>
        <w:rPr>
          <w:spacing w:val="-7"/>
          <w:w w:val="105"/>
        </w:rPr>
        <w:t xml:space="preserve"> </w:t>
      </w:r>
      <w:r>
        <w:rPr>
          <w:w w:val="105"/>
        </w:rPr>
        <w:t>or</w:t>
      </w:r>
      <w:r>
        <w:rPr>
          <w:spacing w:val="-16"/>
          <w:w w:val="105"/>
        </w:rPr>
        <w:t xml:space="preserve"> </w:t>
      </w:r>
      <w:r>
        <w:rPr>
          <w:w w:val="105"/>
        </w:rPr>
        <w:t>Conduct</w:t>
      </w:r>
      <w:r>
        <w:rPr>
          <w:spacing w:val="1"/>
          <w:w w:val="105"/>
        </w:rPr>
        <w:t xml:space="preserve"> </w:t>
      </w:r>
      <w:r>
        <w:rPr>
          <w:w w:val="105"/>
        </w:rPr>
        <w:t>Disorder</w:t>
      </w:r>
      <w:r>
        <w:rPr>
          <w:spacing w:val="-7"/>
          <w:w w:val="105"/>
        </w:rPr>
        <w:t xml:space="preserve"> </w:t>
      </w:r>
      <w:r>
        <w:rPr>
          <w:w w:val="105"/>
        </w:rPr>
        <w:t>or</w:t>
      </w:r>
      <w:r>
        <w:rPr>
          <w:spacing w:val="-15"/>
          <w:w w:val="105"/>
        </w:rPr>
        <w:t xml:space="preserve"> </w:t>
      </w:r>
      <w:r>
        <w:rPr>
          <w:w w:val="105"/>
        </w:rPr>
        <w:t>may</w:t>
      </w:r>
      <w:r>
        <w:rPr>
          <w:spacing w:val="-8"/>
          <w:w w:val="105"/>
        </w:rPr>
        <w:t xml:space="preserve"> </w:t>
      </w:r>
      <w:r>
        <w:rPr>
          <w:w w:val="105"/>
        </w:rPr>
        <w:t>be</w:t>
      </w:r>
      <w:r>
        <w:rPr>
          <w:spacing w:val="-13"/>
          <w:w w:val="105"/>
        </w:rPr>
        <w:t xml:space="preserve"> </w:t>
      </w:r>
      <w:r>
        <w:rPr>
          <w:w w:val="105"/>
        </w:rPr>
        <w:t>the</w:t>
      </w:r>
      <w:r>
        <w:rPr>
          <w:spacing w:val="-13"/>
          <w:w w:val="105"/>
        </w:rPr>
        <w:t xml:space="preserve"> </w:t>
      </w:r>
      <w:r>
        <w:rPr>
          <w:w w:val="105"/>
        </w:rPr>
        <w:t>consequence of anal</w:t>
      </w:r>
      <w:r>
        <w:rPr>
          <w:spacing w:val="26"/>
          <w:w w:val="105"/>
        </w:rPr>
        <w:t xml:space="preserve"> </w:t>
      </w:r>
      <w:r>
        <w:rPr>
          <w:w w:val="105"/>
        </w:rPr>
        <w:t>masturbation.</w:t>
      </w:r>
    </w:p>
    <w:p w:rsidR="00E675F0" w:rsidRDefault="00E675F0" w:rsidP="00E675F0">
      <w:pPr>
        <w:pStyle w:val="BodyText"/>
        <w:spacing w:before="8"/>
        <w:rPr>
          <w:sz w:val="31"/>
        </w:rPr>
      </w:pPr>
    </w:p>
    <w:p w:rsidR="00E675F0" w:rsidRDefault="00E675F0" w:rsidP="00E675F0">
      <w:pPr>
        <w:ind w:left="110"/>
        <w:rPr>
          <w:rFonts w:ascii="TimesNewRomanPS-BoldItalicMT"/>
          <w:b/>
          <w:i/>
          <w:sz w:val="24"/>
        </w:rPr>
      </w:pPr>
      <w:r>
        <w:rPr>
          <w:rFonts w:ascii="TimesNewRomanPS-BoldItalicMT"/>
          <w:b/>
          <w:i/>
          <w:w w:val="115"/>
          <w:sz w:val="24"/>
        </w:rPr>
        <w:t>Associated Features and Di.sorders</w:t>
      </w:r>
    </w:p>
    <w:p w:rsidR="00E675F0" w:rsidRDefault="00E675F0" w:rsidP="00E675F0">
      <w:pPr>
        <w:pStyle w:val="BodyText"/>
        <w:spacing w:before="137" w:line="254" w:lineRule="auto"/>
        <w:ind w:left="123" w:right="103" w:firstLine="1"/>
        <w:jc w:val="both"/>
      </w:pPr>
      <w:r>
        <w:rPr>
          <w:w w:val="105"/>
        </w:rPr>
        <w:t>The child with Encopresis often feels ashamed and may wish to avoid situations (e.g., camp or school) that might lead to embarrassment. The amount of impairment is a function of the effect on the child's self-esteem, the degree of social ostracism by peers, and the anger, punishment, and rejection on the part of caregivers. Smearing feces may be deliberate or accidental resulting from the child's attempt to clean or hide feces that</w:t>
      </w:r>
    </w:p>
    <w:p w:rsidR="00E675F0" w:rsidRDefault="00E675F0" w:rsidP="00E675F0">
      <w:pPr>
        <w:spacing w:line="254" w:lineRule="auto"/>
        <w:jc w:val="both"/>
        <w:sectPr w:rsidR="00E675F0">
          <w:pgSz w:w="8960" w:h="14260"/>
          <w:pgMar w:top="1400" w:right="620" w:bottom="280" w:left="620" w:header="697" w:footer="0" w:gutter="0"/>
          <w:cols w:space="720"/>
        </w:sectPr>
      </w:pPr>
    </w:p>
    <w:p w:rsidR="00E675F0" w:rsidRDefault="00E675F0" w:rsidP="00E675F0">
      <w:pPr>
        <w:pStyle w:val="BodyText"/>
        <w:spacing w:before="112" w:line="247" w:lineRule="auto"/>
        <w:ind w:left="130" w:right="133" w:hanging="4"/>
        <w:jc w:val="both"/>
      </w:pPr>
      <w:bookmarkStart w:id="70" w:name="_bookmark54"/>
      <w:bookmarkEnd w:id="70"/>
      <w:r>
        <w:rPr>
          <w:w w:val="105"/>
        </w:rPr>
        <w:lastRenderedPageBreak/>
        <w:t>were passed involuntarily. When the incontinence is clearly deliberate, features of Oppositional Defiant Disorder or Conduct Disorder may also be present. Many children with Encopresis also have Enuresis.</w:t>
      </w:r>
    </w:p>
    <w:p w:rsidR="00E675F0" w:rsidRDefault="00E675F0" w:rsidP="00E675F0">
      <w:pPr>
        <w:pStyle w:val="BodyText"/>
        <w:spacing w:before="4"/>
        <w:rPr>
          <w:sz w:val="32"/>
        </w:rPr>
      </w:pPr>
    </w:p>
    <w:p w:rsidR="00E675F0" w:rsidRDefault="00E675F0" w:rsidP="00E675F0">
      <w:pPr>
        <w:ind w:left="120"/>
        <w:rPr>
          <w:rFonts w:ascii="TimesNewRomanPS-BoldItalicMT"/>
          <w:b/>
          <w:i/>
          <w:sz w:val="24"/>
        </w:rPr>
      </w:pPr>
      <w:r>
        <w:rPr>
          <w:rFonts w:ascii="TimesNewRomanPS-BoldItalicMT"/>
          <w:b/>
          <w:i/>
          <w:w w:val="115"/>
          <w:sz w:val="24"/>
        </w:rPr>
        <w:t>Prevalence</w:t>
      </w:r>
    </w:p>
    <w:p w:rsidR="00E675F0" w:rsidRDefault="00E675F0" w:rsidP="00E675F0">
      <w:pPr>
        <w:pStyle w:val="BodyText"/>
        <w:spacing w:before="127" w:line="261" w:lineRule="auto"/>
        <w:ind w:left="136" w:right="130" w:firstLine="1"/>
        <w:jc w:val="both"/>
      </w:pPr>
      <w:r>
        <w:rPr>
          <w:w w:val="105"/>
          <w:sz w:val="18"/>
        </w:rPr>
        <w:t xml:space="preserve">It </w:t>
      </w:r>
      <w:r>
        <w:rPr>
          <w:w w:val="105"/>
        </w:rPr>
        <w:t>is estimated that approximately 1</w:t>
      </w:r>
      <w:r>
        <w:rPr>
          <w:w w:val="105"/>
          <w:sz w:val="18"/>
        </w:rPr>
        <w:t xml:space="preserve">% </w:t>
      </w:r>
      <w:r>
        <w:rPr>
          <w:w w:val="105"/>
        </w:rPr>
        <w:t>of  5-year-olds have Encopresis,  and the disorder is more common in males than in</w:t>
      </w:r>
      <w:r>
        <w:rPr>
          <w:spacing w:val="22"/>
          <w:w w:val="105"/>
        </w:rPr>
        <w:t xml:space="preserve"> </w:t>
      </w:r>
      <w:r>
        <w:rPr>
          <w:w w:val="105"/>
        </w:rPr>
        <w:t>females.</w:t>
      </w:r>
    </w:p>
    <w:p w:rsidR="00E675F0" w:rsidRDefault="00E675F0" w:rsidP="00E675F0">
      <w:pPr>
        <w:pStyle w:val="BodyText"/>
        <w:rPr>
          <w:sz w:val="30"/>
        </w:rPr>
      </w:pPr>
    </w:p>
    <w:p w:rsidR="00E675F0" w:rsidRDefault="00E675F0" w:rsidP="00E675F0">
      <w:pPr>
        <w:ind w:left="112"/>
        <w:rPr>
          <w:rFonts w:ascii="TimesNewRomanPS-BoldItalicMT"/>
          <w:b/>
          <w:i/>
          <w:sz w:val="24"/>
        </w:rPr>
      </w:pPr>
      <w:r>
        <w:rPr>
          <w:rFonts w:ascii="TimesNewRomanPS-BoldItalicMT"/>
          <w:b/>
          <w:i/>
          <w:w w:val="115"/>
          <w:sz w:val="24"/>
        </w:rPr>
        <w:t>Course</w:t>
      </w:r>
    </w:p>
    <w:p w:rsidR="00E675F0" w:rsidRDefault="00E675F0" w:rsidP="00E675F0">
      <w:pPr>
        <w:pStyle w:val="BodyText"/>
        <w:spacing w:before="127" w:line="254" w:lineRule="auto"/>
        <w:ind w:left="135" w:right="129" w:firstLine="3"/>
        <w:jc w:val="both"/>
      </w:pPr>
      <w:r>
        <w:rPr>
          <w:w w:val="105"/>
        </w:rPr>
        <w:t xml:space="preserve">Encopresis  is not diagnosed  until a child  has reached  a chronological  age of  at least  </w:t>
      </w:r>
      <w:r>
        <w:rPr>
          <w:rFonts w:ascii="Arial"/>
          <w:w w:val="105"/>
        </w:rPr>
        <w:t xml:space="preserve">4 </w:t>
      </w:r>
      <w:r>
        <w:rPr>
          <w:w w:val="105"/>
        </w:rPr>
        <w:t xml:space="preserve">years (or for children with developmental delays, a mental age of at least </w:t>
      </w:r>
      <w:r>
        <w:rPr>
          <w:rFonts w:ascii="Arial"/>
          <w:w w:val="105"/>
        </w:rPr>
        <w:t xml:space="preserve">4 </w:t>
      </w:r>
      <w:r>
        <w:rPr>
          <w:w w:val="105"/>
        </w:rPr>
        <w:t>years). Inadequate, inconsistent toilet training and psychosocial stress (e.g., entering school or the birth of a sibling) may be predisposing factors. Two types of course have been described: a "primary" type in which the individual has never established fecal continence, and a "secondary" type in which the disturbance develops after a period of established fecal continence. Encopresis can persist with intermittent exacerbations for years but rarely becomes</w:t>
      </w:r>
      <w:r>
        <w:rPr>
          <w:spacing w:val="47"/>
          <w:w w:val="105"/>
        </w:rPr>
        <w:t xml:space="preserve"> </w:t>
      </w:r>
      <w:r>
        <w:rPr>
          <w:w w:val="105"/>
        </w:rPr>
        <w:t>chronic.</w:t>
      </w:r>
    </w:p>
    <w:p w:rsidR="00E675F0" w:rsidRDefault="00E675F0" w:rsidP="00E675F0">
      <w:pPr>
        <w:pStyle w:val="BodyText"/>
        <w:spacing w:before="7"/>
        <w:rPr>
          <w:sz w:val="30"/>
        </w:rPr>
      </w:pPr>
    </w:p>
    <w:p w:rsidR="00E675F0" w:rsidRDefault="00E675F0" w:rsidP="00E675F0">
      <w:pPr>
        <w:spacing w:before="1"/>
        <w:ind w:left="122"/>
        <w:rPr>
          <w:rFonts w:ascii="TimesNewRomanPS-BoldItalicMT"/>
          <w:b/>
          <w:i/>
          <w:sz w:val="24"/>
        </w:rPr>
      </w:pPr>
      <w:r>
        <w:rPr>
          <w:rFonts w:ascii="TimesNewRomanPS-BoldItalicMT"/>
          <w:b/>
          <w:i/>
          <w:w w:val="115"/>
          <w:sz w:val="24"/>
        </w:rPr>
        <w:t>Di,fferential magnosis</w:t>
      </w:r>
    </w:p>
    <w:p w:rsidR="00E675F0" w:rsidRDefault="00E675F0" w:rsidP="00E675F0">
      <w:pPr>
        <w:pStyle w:val="BodyText"/>
        <w:spacing w:before="126" w:line="254" w:lineRule="auto"/>
        <w:ind w:left="135" w:right="138"/>
        <w:jc w:val="both"/>
      </w:pPr>
      <w:r>
        <w:rPr>
          <w:noProof/>
        </w:rPr>
        <mc:AlternateContent>
          <mc:Choice Requires="wpg">
            <w:drawing>
              <wp:anchor distT="0" distB="0" distL="114300" distR="114300" simplePos="0" relativeHeight="251779072" behindDoc="1" locked="0" layoutInCell="1" allowOverlap="1" wp14:anchorId="762DA58F" wp14:editId="50355DCD">
                <wp:simplePos x="0" y="0"/>
                <wp:positionH relativeFrom="page">
                  <wp:posOffset>471805</wp:posOffset>
                </wp:positionH>
                <wp:positionV relativeFrom="paragraph">
                  <wp:posOffset>1062355</wp:posOffset>
                </wp:positionV>
                <wp:extent cx="4754880" cy="2637790"/>
                <wp:effectExtent l="0" t="0" r="20320" b="0"/>
                <wp:wrapNone/>
                <wp:docPr id="1506" name="Group 1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4880" cy="2637790"/>
                          <a:chOff x="743" y="1673"/>
                          <a:chExt cx="7488" cy="4154"/>
                        </a:xfrm>
                      </wpg:grpSpPr>
                      <wps:wsp>
                        <wps:cNvPr id="1507" name="Line 1464"/>
                        <wps:cNvCnPr>
                          <a:cxnSpLocks/>
                        </wps:cNvCnPr>
                        <wps:spPr bwMode="auto">
                          <a:xfrm>
                            <a:off x="810" y="5826"/>
                            <a:ext cx="0" cy="0"/>
                          </a:xfrm>
                          <a:prstGeom prst="line">
                            <a:avLst/>
                          </a:prstGeom>
                          <a:noFill/>
                          <a:ln w="305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8" name="Line 1463"/>
                        <wps:cNvCnPr>
                          <a:cxnSpLocks/>
                        </wps:cNvCnPr>
                        <wps:spPr bwMode="auto">
                          <a:xfrm>
                            <a:off x="743" y="5730"/>
                            <a:ext cx="7487" cy="0"/>
                          </a:xfrm>
                          <a:prstGeom prst="line">
                            <a:avLst/>
                          </a:prstGeom>
                          <a:noFill/>
                          <a:ln w="335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7FA336" id="Group 1462" o:spid="_x0000_s1026" style="position:absolute;margin-left:37.15pt;margin-top:83.65pt;width:374.4pt;height:207.7pt;z-index:-251537408;mso-position-horizontal-relative:page" coordorigin="743,1673" coordsize="7488,41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">
                <v:line id="Line 1464" o:spid="_x0000_s1027" style="position:absolute;visibility:visible;mso-wrap-style:square" from="810,5826" to="810,58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" strokeweight=".84881mm">
                  <o:lock v:ext="edit" shapetype="f"/>
                </v:line>
                <v:line id="Line 1463" o:spid="_x0000_s1028" style="position:absolute;visibility:visible;mso-wrap-style:square" from="743,5730" to="8230,57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" strokeweight=".93264mm">
                  <o:lock v:ext="edit" shapetype="f"/>
                </v:line>
                <w10:wrap anchorx="page"/>
              </v:group>
            </w:pict>
          </mc:Fallback>
        </mc:AlternateContent>
      </w:r>
      <w:r>
        <w:rPr>
          <w:w w:val="105"/>
        </w:rPr>
        <w:t>A diagnosis of Encopresis in the presence of a general medical condition is appropriate only if the mechanism involves constipation. Fecal incontinence related to other general medical conditions (e.g., chronic diarrhea) would not warrant a DSM-IV diagnosis of Encopresis.</w:t>
      </w:r>
    </w:p>
    <w:p w:rsidR="00E675F0" w:rsidRDefault="00E675F0" w:rsidP="00E675F0">
      <w:pPr>
        <w:pStyle w:val="BodyText"/>
      </w:pPr>
    </w:p>
    <w:p w:rsidR="00E675F0" w:rsidRDefault="00E675F0" w:rsidP="00E675F0">
      <w:pPr>
        <w:pStyle w:val="BodyText"/>
        <w:spacing w:before="9"/>
        <w:rPr>
          <w:sz w:val="29"/>
        </w:rPr>
      </w:pPr>
    </w:p>
    <w:tbl>
      <w:tblPr>
        <w:tblW w:w="0" w:type="auto"/>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24"/>
      </w:tblGrid>
      <w:tr w:rsidR="00E675F0" w:rsidTr="00A330E1">
        <w:trPr>
          <w:trHeight w:val="4017"/>
        </w:trPr>
        <w:tc>
          <w:tcPr>
            <w:tcW w:w="7324" w:type="dxa"/>
            <w:tcBorders>
              <w:left w:val="single" w:sz="24" w:space="0" w:color="000000"/>
              <w:bottom w:val="single" w:sz="24" w:space="0" w:color="000000"/>
              <w:right w:val="single" w:sz="24" w:space="0" w:color="000000"/>
            </w:tcBorders>
          </w:tcPr>
          <w:p w:rsidR="00E675F0" w:rsidRDefault="00E675F0" w:rsidP="003048D3">
            <w:pPr>
              <w:pStyle w:val="TableParagraph"/>
              <w:numPr>
                <w:ilvl w:val="0"/>
                <w:numId w:val="74"/>
              </w:numPr>
              <w:tabs>
                <w:tab w:val="left" w:pos="628"/>
              </w:tabs>
              <w:spacing w:before="64"/>
              <w:ind w:hanging="381"/>
              <w:rPr>
                <w:rFonts w:ascii="Arial" w:hAnsi="Arial"/>
                <w:b/>
              </w:rPr>
            </w:pPr>
            <w:r>
              <w:rPr>
                <w:rFonts w:ascii="Arial" w:hAnsi="Arial"/>
                <w:b/>
                <w:w w:val="110"/>
              </w:rPr>
              <w:t>Diagnostic criteria for</w:t>
            </w:r>
            <w:r>
              <w:rPr>
                <w:rFonts w:ascii="Arial" w:hAnsi="Arial"/>
                <w:b/>
                <w:spacing w:val="16"/>
                <w:w w:val="110"/>
              </w:rPr>
              <w:t xml:space="preserve"> </w:t>
            </w:r>
            <w:r>
              <w:rPr>
                <w:rFonts w:ascii="Arial" w:hAnsi="Arial"/>
                <w:b/>
                <w:w w:val="110"/>
              </w:rPr>
              <w:t>Encopresis</w:t>
            </w:r>
          </w:p>
          <w:p w:rsidR="00E675F0" w:rsidRDefault="00E675F0" w:rsidP="003048D3">
            <w:pPr>
              <w:pStyle w:val="TableParagraph"/>
              <w:numPr>
                <w:ilvl w:val="1"/>
                <w:numId w:val="74"/>
              </w:numPr>
              <w:tabs>
                <w:tab w:val="left" w:pos="954"/>
              </w:tabs>
              <w:spacing w:before="75" w:line="252" w:lineRule="auto"/>
              <w:ind w:right="223" w:hanging="298"/>
              <w:jc w:val="both"/>
              <w:rPr>
                <w:sz w:val="20"/>
              </w:rPr>
            </w:pPr>
            <w:r>
              <w:rPr>
                <w:w w:val="105"/>
                <w:sz w:val="20"/>
              </w:rPr>
              <w:t>Repeated passage of feces into inappropriate places (e.g., clothing or floor) whether involuntary or</w:t>
            </w:r>
            <w:r>
              <w:rPr>
                <w:spacing w:val="10"/>
                <w:w w:val="105"/>
                <w:sz w:val="20"/>
              </w:rPr>
              <w:t xml:space="preserve"> </w:t>
            </w:r>
            <w:r>
              <w:rPr>
                <w:w w:val="105"/>
                <w:sz w:val="20"/>
              </w:rPr>
              <w:t>intentional.</w:t>
            </w:r>
          </w:p>
          <w:p w:rsidR="00E675F0" w:rsidRDefault="00E675F0" w:rsidP="003048D3">
            <w:pPr>
              <w:pStyle w:val="TableParagraph"/>
              <w:numPr>
                <w:ilvl w:val="1"/>
                <w:numId w:val="74"/>
              </w:numPr>
              <w:tabs>
                <w:tab w:val="left" w:pos="951"/>
              </w:tabs>
              <w:spacing w:before="180"/>
              <w:ind w:left="950" w:hanging="312"/>
              <w:rPr>
                <w:rFonts w:ascii="Arial"/>
                <w:sz w:val="19"/>
              </w:rPr>
            </w:pPr>
            <w:r>
              <w:rPr>
                <w:w w:val="105"/>
                <w:sz w:val="20"/>
              </w:rPr>
              <w:t>At least one such event a month for at</w:t>
            </w:r>
            <w:r>
              <w:rPr>
                <w:spacing w:val="19"/>
                <w:w w:val="105"/>
                <w:sz w:val="20"/>
              </w:rPr>
              <w:t xml:space="preserve"> </w:t>
            </w:r>
            <w:r>
              <w:rPr>
                <w:w w:val="105"/>
                <w:sz w:val="20"/>
              </w:rPr>
              <w:t xml:space="preserve">least </w:t>
            </w:r>
            <w:r>
              <w:rPr>
                <w:rFonts w:ascii="Arial"/>
                <w:w w:val="105"/>
                <w:sz w:val="19"/>
              </w:rPr>
              <w:t xml:space="preserve">3 </w:t>
            </w:r>
            <w:r>
              <w:rPr>
                <w:w w:val="105"/>
                <w:sz w:val="20"/>
              </w:rPr>
              <w:t>months.</w:t>
            </w:r>
          </w:p>
          <w:p w:rsidR="00E675F0" w:rsidRDefault="00E675F0" w:rsidP="003048D3">
            <w:pPr>
              <w:pStyle w:val="TableParagraph"/>
              <w:numPr>
                <w:ilvl w:val="1"/>
                <w:numId w:val="74"/>
              </w:numPr>
              <w:tabs>
                <w:tab w:val="left" w:pos="950"/>
              </w:tabs>
              <w:spacing w:before="179"/>
              <w:ind w:left="949" w:hanging="304"/>
              <w:rPr>
                <w:sz w:val="18"/>
              </w:rPr>
            </w:pPr>
            <w:r>
              <w:rPr>
                <w:w w:val="105"/>
                <w:sz w:val="20"/>
              </w:rPr>
              <w:t>Chronological</w:t>
            </w:r>
            <w:r>
              <w:rPr>
                <w:spacing w:val="8"/>
                <w:w w:val="105"/>
                <w:sz w:val="20"/>
              </w:rPr>
              <w:t xml:space="preserve"> </w:t>
            </w:r>
            <w:r>
              <w:rPr>
                <w:w w:val="105"/>
                <w:sz w:val="20"/>
              </w:rPr>
              <w:t>age</w:t>
            </w:r>
            <w:r>
              <w:rPr>
                <w:spacing w:val="-14"/>
                <w:w w:val="105"/>
                <w:sz w:val="20"/>
              </w:rPr>
              <w:t xml:space="preserve"> </w:t>
            </w:r>
            <w:r>
              <w:rPr>
                <w:w w:val="105"/>
                <w:sz w:val="20"/>
              </w:rPr>
              <w:t>is</w:t>
            </w:r>
            <w:r>
              <w:rPr>
                <w:spacing w:val="-12"/>
                <w:w w:val="105"/>
                <w:sz w:val="20"/>
              </w:rPr>
              <w:t xml:space="preserve"> </w:t>
            </w:r>
            <w:r>
              <w:rPr>
                <w:w w:val="105"/>
                <w:sz w:val="20"/>
              </w:rPr>
              <w:t>at</w:t>
            </w:r>
            <w:r>
              <w:rPr>
                <w:spacing w:val="-12"/>
                <w:w w:val="105"/>
                <w:sz w:val="20"/>
              </w:rPr>
              <w:t xml:space="preserve"> </w:t>
            </w:r>
            <w:r>
              <w:rPr>
                <w:w w:val="105"/>
                <w:sz w:val="20"/>
              </w:rPr>
              <w:t>least</w:t>
            </w:r>
            <w:r>
              <w:rPr>
                <w:spacing w:val="-12"/>
                <w:w w:val="105"/>
                <w:sz w:val="20"/>
              </w:rPr>
              <w:t xml:space="preserve"> </w:t>
            </w:r>
            <w:r>
              <w:rPr>
                <w:w w:val="105"/>
                <w:sz w:val="21"/>
              </w:rPr>
              <w:t>4</w:t>
            </w:r>
            <w:r>
              <w:rPr>
                <w:spacing w:val="-19"/>
                <w:w w:val="105"/>
                <w:sz w:val="21"/>
              </w:rPr>
              <w:t xml:space="preserve"> </w:t>
            </w:r>
            <w:r>
              <w:rPr>
                <w:w w:val="105"/>
                <w:sz w:val="20"/>
              </w:rPr>
              <w:t>years</w:t>
            </w:r>
            <w:r>
              <w:rPr>
                <w:spacing w:val="-13"/>
                <w:w w:val="105"/>
                <w:sz w:val="20"/>
              </w:rPr>
              <w:t xml:space="preserve"> </w:t>
            </w:r>
            <w:r>
              <w:rPr>
                <w:w w:val="105"/>
                <w:sz w:val="20"/>
              </w:rPr>
              <w:t>(or</w:t>
            </w:r>
            <w:r>
              <w:rPr>
                <w:spacing w:val="-5"/>
                <w:w w:val="105"/>
                <w:sz w:val="20"/>
              </w:rPr>
              <w:t xml:space="preserve"> </w:t>
            </w:r>
            <w:r>
              <w:rPr>
                <w:w w:val="105"/>
                <w:sz w:val="20"/>
              </w:rPr>
              <w:t>equivalent</w:t>
            </w:r>
            <w:r>
              <w:rPr>
                <w:spacing w:val="-6"/>
                <w:w w:val="105"/>
                <w:sz w:val="20"/>
              </w:rPr>
              <w:t xml:space="preserve"> </w:t>
            </w:r>
            <w:r>
              <w:rPr>
                <w:w w:val="105"/>
                <w:sz w:val="20"/>
              </w:rPr>
              <w:t>developmental</w:t>
            </w:r>
            <w:r>
              <w:rPr>
                <w:spacing w:val="2"/>
                <w:w w:val="105"/>
                <w:sz w:val="20"/>
              </w:rPr>
              <w:t xml:space="preserve"> </w:t>
            </w:r>
            <w:r>
              <w:rPr>
                <w:w w:val="105"/>
                <w:sz w:val="20"/>
              </w:rPr>
              <w:t>level).</w:t>
            </w:r>
          </w:p>
          <w:p w:rsidR="00E675F0" w:rsidRDefault="00E675F0" w:rsidP="003048D3">
            <w:pPr>
              <w:pStyle w:val="TableParagraph"/>
              <w:numPr>
                <w:ilvl w:val="1"/>
                <w:numId w:val="74"/>
              </w:numPr>
              <w:tabs>
                <w:tab w:val="left" w:pos="946"/>
              </w:tabs>
              <w:spacing w:before="195" w:line="254" w:lineRule="auto"/>
              <w:ind w:left="949" w:right="219" w:hanging="300"/>
              <w:jc w:val="both"/>
              <w:rPr>
                <w:sz w:val="20"/>
              </w:rPr>
            </w:pPr>
            <w:r>
              <w:rPr>
                <w:w w:val="105"/>
                <w:sz w:val="20"/>
              </w:rPr>
              <w:t>The behavior is not due exclusively to the direct physiological  effects of a substance (e.g., laxatives) or a general medical condition except through a mechanism involving</w:t>
            </w:r>
            <w:r>
              <w:rPr>
                <w:spacing w:val="11"/>
                <w:w w:val="105"/>
                <w:sz w:val="20"/>
              </w:rPr>
              <w:t xml:space="preserve"> </w:t>
            </w:r>
            <w:r>
              <w:rPr>
                <w:w w:val="105"/>
                <w:sz w:val="20"/>
              </w:rPr>
              <w:t>constipation.</w:t>
            </w:r>
          </w:p>
          <w:p w:rsidR="00E675F0" w:rsidRDefault="00E675F0" w:rsidP="00A330E1">
            <w:pPr>
              <w:pStyle w:val="TableParagraph"/>
              <w:spacing w:before="134"/>
              <w:ind w:left="404"/>
              <w:rPr>
                <w:sz w:val="20"/>
              </w:rPr>
            </w:pPr>
            <w:r>
              <w:rPr>
                <w:i/>
                <w:sz w:val="20"/>
              </w:rPr>
              <w:t xml:space="preserve">Code </w:t>
            </w:r>
            <w:r>
              <w:rPr>
                <w:sz w:val="20"/>
              </w:rPr>
              <w:t>as follows:</w:t>
            </w:r>
          </w:p>
          <w:p w:rsidR="00E675F0" w:rsidRDefault="00E675F0" w:rsidP="00A330E1">
            <w:pPr>
              <w:pStyle w:val="TableParagraph"/>
              <w:spacing w:before="16"/>
              <w:ind w:left="646"/>
              <w:rPr>
                <w:b/>
                <w:sz w:val="20"/>
              </w:rPr>
            </w:pPr>
            <w:r>
              <w:rPr>
                <w:b/>
                <w:w w:val="110"/>
                <w:sz w:val="20"/>
              </w:rPr>
              <w:t>787.6 With Constipation and Overflow Incontinence</w:t>
            </w:r>
          </w:p>
          <w:p w:rsidR="00E675F0" w:rsidRDefault="00E675F0" w:rsidP="00A330E1">
            <w:pPr>
              <w:pStyle w:val="TableParagraph"/>
              <w:spacing w:before="15"/>
              <w:ind w:left="654"/>
              <w:rPr>
                <w:b/>
                <w:sz w:val="20"/>
              </w:rPr>
            </w:pPr>
            <w:r>
              <w:rPr>
                <w:b/>
                <w:w w:val="110"/>
                <w:sz w:val="20"/>
              </w:rPr>
              <w:t>307.7 Without Constipation and Overflow Incontinence</w:t>
            </w:r>
          </w:p>
        </w:tc>
      </w:tr>
    </w:tbl>
    <w:p w:rsidR="00E675F0" w:rsidRDefault="00E675F0" w:rsidP="00E675F0">
      <w:pPr>
        <w:rPr>
          <w:sz w:val="20"/>
        </w:rPr>
        <w:sectPr w:rsidR="00E675F0">
          <w:headerReference w:type="even" r:id="rId124"/>
          <w:headerReference w:type="default" r:id="rId125"/>
          <w:pgSz w:w="8960" w:h="14260"/>
          <w:pgMar w:top="1400" w:right="620" w:bottom="280" w:left="600" w:header="677" w:footer="0" w:gutter="0"/>
          <w:cols w:space="720"/>
        </w:sectPr>
      </w:pPr>
    </w:p>
    <w:p w:rsidR="00E675F0" w:rsidRDefault="00E675F0" w:rsidP="00E675F0">
      <w:pPr>
        <w:tabs>
          <w:tab w:val="left" w:pos="1114"/>
        </w:tabs>
        <w:spacing w:before="142"/>
        <w:ind w:left="199"/>
        <w:rPr>
          <w:rFonts w:ascii="Arial"/>
          <w:b/>
          <w:sz w:val="25"/>
        </w:rPr>
      </w:pPr>
      <w:bookmarkStart w:id="71" w:name="_bookmark55"/>
      <w:bookmarkEnd w:id="71"/>
      <w:r>
        <w:rPr>
          <w:rFonts w:ascii="Arial"/>
          <w:b/>
          <w:w w:val="105"/>
          <w:sz w:val="25"/>
        </w:rPr>
        <w:lastRenderedPageBreak/>
        <w:t>307.6</w:t>
      </w:r>
      <w:r>
        <w:rPr>
          <w:rFonts w:ascii="Arial"/>
          <w:b/>
          <w:w w:val="105"/>
          <w:sz w:val="25"/>
        </w:rPr>
        <w:tab/>
        <w:t>Enuresis (Not Due to a General Medical</w:t>
      </w:r>
      <w:r>
        <w:rPr>
          <w:rFonts w:ascii="Arial"/>
          <w:b/>
          <w:spacing w:val="-8"/>
          <w:w w:val="105"/>
          <w:sz w:val="25"/>
        </w:rPr>
        <w:t xml:space="preserve"> </w:t>
      </w:r>
      <w:r>
        <w:rPr>
          <w:rFonts w:ascii="Arial"/>
          <w:b/>
          <w:w w:val="105"/>
          <w:sz w:val="25"/>
        </w:rPr>
        <w:t>Condition)</w:t>
      </w:r>
    </w:p>
    <w:p w:rsidR="00E675F0" w:rsidRDefault="00E675F0" w:rsidP="00E675F0">
      <w:pPr>
        <w:pStyle w:val="BodyText"/>
        <w:spacing w:before="5"/>
        <w:rPr>
          <w:rFonts w:ascii="Arial"/>
          <w:b/>
          <w:sz w:val="26"/>
        </w:rPr>
      </w:pPr>
    </w:p>
    <w:p w:rsidR="00E675F0" w:rsidRDefault="00E675F0" w:rsidP="00E675F0">
      <w:pPr>
        <w:ind w:left="112"/>
        <w:rPr>
          <w:rFonts w:ascii="TimesNewRomanPS-BoldItalicMT"/>
          <w:b/>
          <w:i/>
          <w:sz w:val="24"/>
        </w:rPr>
      </w:pPr>
      <w:r>
        <w:rPr>
          <w:rFonts w:ascii="TimesNewRomanPS-BoldItalicMT"/>
          <w:b/>
          <w:i/>
          <w:w w:val="115"/>
          <w:sz w:val="24"/>
        </w:rPr>
        <w:t>Diagnostic Features</w:t>
      </w:r>
    </w:p>
    <w:p w:rsidR="00E675F0" w:rsidRDefault="00E675F0" w:rsidP="00E675F0">
      <w:pPr>
        <w:pStyle w:val="BodyText"/>
        <w:spacing w:before="136" w:line="254" w:lineRule="auto"/>
        <w:ind w:left="119" w:right="112" w:firstLine="2"/>
        <w:jc w:val="both"/>
      </w:pPr>
      <w:r>
        <w:rPr>
          <w:w w:val="105"/>
        </w:rPr>
        <w:t>The essential feature of Enuresis is repeated voiding of urine during the day or at night into bed or clothes (Criterion A). Most often this is involuntary but occasionally may be intentional. To qualify for a diagnosis of Enuresis, the voiding of urine must occur at least</w:t>
      </w:r>
      <w:r>
        <w:rPr>
          <w:spacing w:val="-2"/>
          <w:w w:val="105"/>
        </w:rPr>
        <w:t xml:space="preserve"> </w:t>
      </w:r>
      <w:r>
        <w:rPr>
          <w:w w:val="105"/>
        </w:rPr>
        <w:t>twice</w:t>
      </w:r>
      <w:r>
        <w:rPr>
          <w:spacing w:val="2"/>
          <w:w w:val="105"/>
        </w:rPr>
        <w:t xml:space="preserve"> </w:t>
      </w:r>
      <w:r>
        <w:rPr>
          <w:w w:val="105"/>
        </w:rPr>
        <w:t>per</w:t>
      </w:r>
      <w:r>
        <w:rPr>
          <w:spacing w:val="-7"/>
          <w:w w:val="105"/>
        </w:rPr>
        <w:t xml:space="preserve"> </w:t>
      </w:r>
      <w:r>
        <w:rPr>
          <w:w w:val="105"/>
        </w:rPr>
        <w:t>week</w:t>
      </w:r>
      <w:r>
        <w:rPr>
          <w:spacing w:val="-4"/>
          <w:w w:val="105"/>
        </w:rPr>
        <w:t xml:space="preserve"> </w:t>
      </w:r>
      <w:r>
        <w:rPr>
          <w:w w:val="105"/>
        </w:rPr>
        <w:t>for</w:t>
      </w:r>
      <w:r>
        <w:rPr>
          <w:spacing w:val="-13"/>
          <w:w w:val="105"/>
        </w:rPr>
        <w:t xml:space="preserve"> </w:t>
      </w:r>
      <w:r>
        <w:rPr>
          <w:w w:val="105"/>
        </w:rPr>
        <w:t>at</w:t>
      </w:r>
      <w:r>
        <w:rPr>
          <w:spacing w:val="-11"/>
          <w:w w:val="105"/>
        </w:rPr>
        <w:t xml:space="preserve"> </w:t>
      </w:r>
      <w:r>
        <w:rPr>
          <w:w w:val="105"/>
        </w:rPr>
        <w:t>least</w:t>
      </w:r>
      <w:r>
        <w:rPr>
          <w:spacing w:val="-9"/>
          <w:w w:val="105"/>
        </w:rPr>
        <w:t xml:space="preserve"> </w:t>
      </w:r>
      <w:r>
        <w:rPr>
          <w:w w:val="105"/>
        </w:rPr>
        <w:t>3</w:t>
      </w:r>
      <w:r>
        <w:rPr>
          <w:spacing w:val="-9"/>
          <w:w w:val="105"/>
        </w:rPr>
        <w:t xml:space="preserve"> </w:t>
      </w:r>
      <w:r>
        <w:rPr>
          <w:w w:val="105"/>
        </w:rPr>
        <w:t>months</w:t>
      </w:r>
      <w:r>
        <w:rPr>
          <w:spacing w:val="-5"/>
          <w:w w:val="105"/>
        </w:rPr>
        <w:t xml:space="preserve"> </w:t>
      </w:r>
      <w:r>
        <w:rPr>
          <w:w w:val="105"/>
        </w:rPr>
        <w:t>or</w:t>
      </w:r>
      <w:r>
        <w:rPr>
          <w:spacing w:val="-5"/>
          <w:w w:val="105"/>
        </w:rPr>
        <w:t xml:space="preserve"> </w:t>
      </w:r>
      <w:r>
        <w:rPr>
          <w:w w:val="105"/>
        </w:rPr>
        <w:t>else</w:t>
      </w:r>
      <w:r>
        <w:rPr>
          <w:spacing w:val="-4"/>
          <w:w w:val="105"/>
        </w:rPr>
        <w:t xml:space="preserve"> </w:t>
      </w:r>
      <w:r>
        <w:rPr>
          <w:w w:val="105"/>
        </w:rPr>
        <w:t>must</w:t>
      </w:r>
      <w:r>
        <w:rPr>
          <w:spacing w:val="-8"/>
          <w:w w:val="105"/>
        </w:rPr>
        <w:t xml:space="preserve"> </w:t>
      </w:r>
      <w:r>
        <w:rPr>
          <w:w w:val="105"/>
        </w:rPr>
        <w:t>cause</w:t>
      </w:r>
      <w:r>
        <w:rPr>
          <w:spacing w:val="-7"/>
          <w:w w:val="105"/>
        </w:rPr>
        <w:t xml:space="preserve"> </w:t>
      </w:r>
      <w:r>
        <w:rPr>
          <w:w w:val="105"/>
        </w:rPr>
        <w:t>clinically</w:t>
      </w:r>
      <w:r>
        <w:rPr>
          <w:spacing w:val="-7"/>
          <w:w w:val="105"/>
        </w:rPr>
        <w:t xml:space="preserve"> </w:t>
      </w:r>
      <w:r>
        <w:rPr>
          <w:w w:val="105"/>
        </w:rPr>
        <w:t>significant</w:t>
      </w:r>
      <w:r>
        <w:rPr>
          <w:spacing w:val="-1"/>
          <w:w w:val="105"/>
        </w:rPr>
        <w:t xml:space="preserve"> </w:t>
      </w:r>
      <w:r>
        <w:rPr>
          <w:w w:val="105"/>
        </w:rPr>
        <w:t>distress or impairment in social, academic (occupational), or other important areas of functioning (Criterion B). The individual must have reached an age at which continence is expected (i.e., the chronological age of the child must be at least 5 years, or, for children with developmental delays, a mental age of at least 5 years) (Criterion C). The urinary incontinence is not due exclusively to the direct physiological effects of a substance (e.g., diuretics) or a general medical condition (e.g., diabetes, spina bifida, a seizure disorder) (Criterion</w:t>
      </w:r>
      <w:r>
        <w:rPr>
          <w:spacing w:val="37"/>
          <w:w w:val="105"/>
        </w:rPr>
        <w:t xml:space="preserve"> </w:t>
      </w:r>
      <w:r>
        <w:rPr>
          <w:w w:val="105"/>
        </w:rPr>
        <w:t>D).</w:t>
      </w:r>
    </w:p>
    <w:p w:rsidR="00E675F0" w:rsidRDefault="00E675F0" w:rsidP="00E675F0">
      <w:pPr>
        <w:pStyle w:val="BodyText"/>
        <w:rPr>
          <w:sz w:val="22"/>
        </w:rPr>
      </w:pPr>
    </w:p>
    <w:p w:rsidR="00E675F0" w:rsidRDefault="00E675F0" w:rsidP="00E675F0">
      <w:pPr>
        <w:spacing w:before="134"/>
        <w:ind w:left="108"/>
        <w:rPr>
          <w:rFonts w:ascii="TimesNewRomanPS-BoldItalicMT"/>
          <w:b/>
          <w:i/>
          <w:sz w:val="24"/>
        </w:rPr>
      </w:pPr>
      <w:r>
        <w:rPr>
          <w:rFonts w:ascii="TimesNewRomanPS-BoldItalicMT"/>
          <w:b/>
          <w:i/>
          <w:w w:val="115"/>
          <w:sz w:val="24"/>
        </w:rPr>
        <w:t>Subtypes</w:t>
      </w:r>
    </w:p>
    <w:p w:rsidR="00E675F0" w:rsidRDefault="00E675F0" w:rsidP="00E675F0">
      <w:pPr>
        <w:pStyle w:val="BodyText"/>
        <w:spacing w:before="141" w:line="252" w:lineRule="auto"/>
        <w:ind w:left="117" w:right="121" w:hanging="6"/>
        <w:jc w:val="both"/>
      </w:pPr>
      <w:r>
        <w:rPr>
          <w:w w:val="105"/>
        </w:rPr>
        <w:t>The situation in which the Enuresis occurs may be noted by one of the following subtypes:</w:t>
      </w:r>
    </w:p>
    <w:p w:rsidR="00E675F0" w:rsidRDefault="00E675F0" w:rsidP="00E675F0">
      <w:pPr>
        <w:pStyle w:val="BodyText"/>
        <w:spacing w:before="51" w:line="252" w:lineRule="auto"/>
        <w:ind w:left="721" w:right="109" w:firstLine="4"/>
        <w:jc w:val="both"/>
      </w:pPr>
      <w:r>
        <w:rPr>
          <w:b/>
          <w:w w:val="105"/>
        </w:rPr>
        <w:t xml:space="preserve">Nocturnal </w:t>
      </w:r>
      <w:r>
        <w:rPr>
          <w:b/>
          <w:w w:val="105"/>
          <w:sz w:val="21"/>
        </w:rPr>
        <w:t xml:space="preserve">Only. </w:t>
      </w:r>
      <w:r>
        <w:rPr>
          <w:w w:val="105"/>
        </w:rPr>
        <w:t>This is the most common subtype  and  is defined  as passage of urine only during nighttime sleep. The enuretic event typically occurs during the first one-third of the night. Occasionally the voiding takes place during the rapid eye movement (REM) stage of sleep, and the child may recall a dream that involved the act of</w:t>
      </w:r>
      <w:r>
        <w:rPr>
          <w:spacing w:val="2"/>
          <w:w w:val="105"/>
        </w:rPr>
        <w:t xml:space="preserve"> </w:t>
      </w:r>
      <w:r>
        <w:rPr>
          <w:w w:val="105"/>
        </w:rPr>
        <w:t>urinating.</w:t>
      </w:r>
    </w:p>
    <w:p w:rsidR="00E675F0" w:rsidRDefault="00E675F0" w:rsidP="00E675F0">
      <w:pPr>
        <w:pStyle w:val="BodyText"/>
        <w:spacing w:line="249" w:lineRule="auto"/>
        <w:ind w:left="726" w:right="106" w:hanging="1"/>
        <w:jc w:val="both"/>
      </w:pPr>
      <w:r>
        <w:rPr>
          <w:b/>
          <w:w w:val="105"/>
        </w:rPr>
        <w:t xml:space="preserve">Diurnal </w:t>
      </w:r>
      <w:r>
        <w:rPr>
          <w:b/>
          <w:w w:val="105"/>
          <w:sz w:val="21"/>
        </w:rPr>
        <w:t xml:space="preserve">Only. </w:t>
      </w:r>
      <w:r>
        <w:rPr>
          <w:w w:val="105"/>
        </w:rPr>
        <w:t>This subtype is defined as the passage of urine during waking hours. Diurnal Enuresis is more common in females than in males and is uncommon after age 9 years. The enuretic event most commonly occurs in the early afternoon on school days. Diurnal enuresis is sometimes due to a reluctance to use the toilet because of social anxiety or a preoccupation with school or play activity.</w:t>
      </w:r>
    </w:p>
    <w:p w:rsidR="00E675F0" w:rsidRDefault="00E675F0" w:rsidP="00E675F0">
      <w:pPr>
        <w:spacing w:before="1" w:line="252" w:lineRule="auto"/>
        <w:ind w:left="723" w:right="109" w:firstLine="2"/>
        <w:jc w:val="both"/>
        <w:rPr>
          <w:sz w:val="20"/>
        </w:rPr>
      </w:pPr>
      <w:r>
        <w:rPr>
          <w:b/>
          <w:w w:val="105"/>
          <w:sz w:val="20"/>
        </w:rPr>
        <w:t xml:space="preserve">Nocturnal and Diurnal. </w:t>
      </w:r>
      <w:r>
        <w:rPr>
          <w:w w:val="105"/>
          <w:sz w:val="20"/>
        </w:rPr>
        <w:t>This subtype is defined as a combination of the two subtypes above.</w:t>
      </w:r>
    </w:p>
    <w:p w:rsidR="00E675F0" w:rsidRDefault="00E675F0" w:rsidP="00E675F0">
      <w:pPr>
        <w:pStyle w:val="BodyText"/>
        <w:rPr>
          <w:sz w:val="22"/>
        </w:rPr>
      </w:pPr>
    </w:p>
    <w:p w:rsidR="00E675F0" w:rsidRDefault="00E675F0" w:rsidP="00E675F0">
      <w:pPr>
        <w:spacing w:before="130"/>
        <w:ind w:left="102"/>
        <w:rPr>
          <w:rFonts w:ascii="TimesNewRomanPS-BoldItalicMT"/>
          <w:b/>
          <w:i/>
          <w:sz w:val="24"/>
        </w:rPr>
      </w:pPr>
      <w:r>
        <w:rPr>
          <w:rFonts w:ascii="TimesNewRomanPS-BoldItalicMT"/>
          <w:b/>
          <w:i/>
          <w:w w:val="115"/>
          <w:sz w:val="24"/>
        </w:rPr>
        <w:t>Associated Features and Disorders</w:t>
      </w:r>
    </w:p>
    <w:p w:rsidR="00E675F0" w:rsidRDefault="00E675F0" w:rsidP="00E675F0">
      <w:pPr>
        <w:pStyle w:val="BodyText"/>
        <w:spacing w:before="141" w:line="254" w:lineRule="auto"/>
        <w:ind w:left="115" w:right="109" w:firstLine="1"/>
        <w:jc w:val="both"/>
      </w:pPr>
      <w:r>
        <w:rPr>
          <w:w w:val="105"/>
        </w:rPr>
        <w:t>The amount of impairment associated with Enuresis is a function of the limitation  on  the child's social activities (e.g., ineligibility for sleep-away camp) or its effect on the child's self-esteem, the degree of social ostracism by peers, and the anger, punishment, and rejection on the part of caregivers. Although most children with Enuresis do not have a coexisting mental disorder, the prevalence of coexisting mental and other developmental disorders is higher than in the general population. Encopresis, Sleep­ walking Disorder, and Sleep Terror Disorder may be present. Urinary tract infections are more common in children with Enuresis, especially the Diurnal Type, than in those who are continent. The Enuresis commonly persists after appropriate treatment of an associated infection. A number of predisposing factors have been suggested, including delayed or lax toilet training, psychosocial stress, a dysfunction in the ability to concentrate urine, and a lower bladder volume threshold for involuntary</w:t>
      </w:r>
      <w:r>
        <w:rPr>
          <w:spacing w:val="25"/>
          <w:w w:val="105"/>
        </w:rPr>
        <w:t xml:space="preserve"> </w:t>
      </w:r>
      <w:r>
        <w:rPr>
          <w:w w:val="105"/>
        </w:rPr>
        <w:t>voiding.</w:t>
      </w:r>
    </w:p>
    <w:p w:rsidR="00E675F0" w:rsidRDefault="00E675F0" w:rsidP="00E675F0">
      <w:pPr>
        <w:spacing w:line="254" w:lineRule="auto"/>
        <w:jc w:val="both"/>
        <w:sectPr w:rsidR="00E675F0">
          <w:pgSz w:w="8960" w:h="14260"/>
          <w:pgMar w:top="1400" w:right="600" w:bottom="280" w:left="640" w:header="692" w:footer="0" w:gutter="0"/>
          <w:cols w:space="720"/>
        </w:sectPr>
      </w:pPr>
    </w:p>
    <w:p w:rsidR="00E675F0" w:rsidRDefault="00E675F0" w:rsidP="00E675F0">
      <w:pPr>
        <w:spacing w:before="151"/>
        <w:ind w:left="120"/>
        <w:rPr>
          <w:rFonts w:ascii="TimesNewRomanPS-BoldItalicMT"/>
          <w:b/>
          <w:i/>
          <w:sz w:val="24"/>
        </w:rPr>
      </w:pPr>
      <w:bookmarkStart w:id="72" w:name="_bookmark56"/>
      <w:bookmarkEnd w:id="72"/>
      <w:r>
        <w:rPr>
          <w:rFonts w:ascii="TimesNewRomanPS-BoldItalicMT"/>
          <w:b/>
          <w:i/>
          <w:w w:val="120"/>
          <w:sz w:val="24"/>
        </w:rPr>
        <w:lastRenderedPageBreak/>
        <w:t>Prevaknce</w:t>
      </w:r>
    </w:p>
    <w:p w:rsidR="00E675F0" w:rsidRDefault="00E675F0" w:rsidP="00E675F0">
      <w:pPr>
        <w:pStyle w:val="BodyText"/>
        <w:spacing w:before="136" w:line="252" w:lineRule="auto"/>
        <w:ind w:left="133" w:right="116" w:hanging="2"/>
        <w:jc w:val="both"/>
      </w:pPr>
      <w:r>
        <w:rPr>
          <w:w w:val="105"/>
        </w:rPr>
        <w:t xml:space="preserve">The prevalence of Enuresis  at age 5 years is 7% for males and 3% for females;  at age 10 years the prevalence is 3% for males and 2% for females. At age 18 years, the prevalence is </w:t>
      </w:r>
      <w:r>
        <w:rPr>
          <w:spacing w:val="2"/>
          <w:w w:val="105"/>
        </w:rPr>
        <w:t>1</w:t>
      </w:r>
      <w:r>
        <w:rPr>
          <w:spacing w:val="2"/>
          <w:w w:val="105"/>
          <w:sz w:val="18"/>
        </w:rPr>
        <w:t xml:space="preserve">% </w:t>
      </w:r>
      <w:r>
        <w:rPr>
          <w:w w:val="105"/>
        </w:rPr>
        <w:t>for males and less among</w:t>
      </w:r>
      <w:r>
        <w:rPr>
          <w:spacing w:val="30"/>
          <w:w w:val="105"/>
        </w:rPr>
        <w:t xml:space="preserve"> </w:t>
      </w:r>
      <w:r>
        <w:rPr>
          <w:w w:val="105"/>
        </w:rPr>
        <w:t>females.</w:t>
      </w:r>
    </w:p>
    <w:p w:rsidR="00E675F0" w:rsidRDefault="00E675F0" w:rsidP="00E675F0">
      <w:pPr>
        <w:pStyle w:val="BodyText"/>
        <w:rPr>
          <w:sz w:val="22"/>
        </w:rPr>
      </w:pPr>
    </w:p>
    <w:p w:rsidR="00E675F0" w:rsidRDefault="00E675F0" w:rsidP="00E675F0">
      <w:pPr>
        <w:spacing w:before="168"/>
        <w:ind w:left="117"/>
        <w:rPr>
          <w:rFonts w:ascii="TimesNewRomanPS-BoldItalicMT"/>
          <w:b/>
          <w:i/>
          <w:sz w:val="24"/>
        </w:rPr>
      </w:pPr>
      <w:r>
        <w:rPr>
          <w:rFonts w:ascii="TimesNewRomanPS-BoldItalicMT"/>
          <w:b/>
          <w:i/>
          <w:w w:val="115"/>
          <w:sz w:val="24"/>
        </w:rPr>
        <w:t>Course</w:t>
      </w:r>
    </w:p>
    <w:p w:rsidR="00E675F0" w:rsidRDefault="00E675F0" w:rsidP="00E675F0">
      <w:pPr>
        <w:pStyle w:val="BodyText"/>
        <w:spacing w:before="141" w:line="254" w:lineRule="auto"/>
        <w:ind w:left="140" w:right="126" w:hanging="4"/>
        <w:jc w:val="both"/>
      </w:pPr>
      <w:r>
        <w:rPr>
          <w:w w:val="105"/>
        </w:rPr>
        <w:t>Two types of course of Enuresis have been described: a "primary" type in which the individual has never established urinary continence, and a "secondary" type  in which the disturbance develops after a period of established urinary continence. By definition, primary</w:t>
      </w:r>
      <w:r>
        <w:rPr>
          <w:spacing w:val="-9"/>
          <w:w w:val="105"/>
        </w:rPr>
        <w:t xml:space="preserve"> </w:t>
      </w:r>
      <w:r>
        <w:rPr>
          <w:w w:val="105"/>
        </w:rPr>
        <w:t>Enuresis</w:t>
      </w:r>
      <w:r>
        <w:rPr>
          <w:spacing w:val="-8"/>
          <w:w w:val="105"/>
        </w:rPr>
        <w:t xml:space="preserve"> </w:t>
      </w:r>
      <w:r>
        <w:rPr>
          <w:w w:val="105"/>
        </w:rPr>
        <w:t>begins</w:t>
      </w:r>
      <w:r>
        <w:rPr>
          <w:spacing w:val="-7"/>
          <w:w w:val="105"/>
        </w:rPr>
        <w:t xml:space="preserve"> </w:t>
      </w:r>
      <w:r>
        <w:rPr>
          <w:w w:val="105"/>
        </w:rPr>
        <w:t>at</w:t>
      </w:r>
      <w:r>
        <w:rPr>
          <w:spacing w:val="-17"/>
          <w:w w:val="105"/>
        </w:rPr>
        <w:t xml:space="preserve"> </w:t>
      </w:r>
      <w:r>
        <w:rPr>
          <w:w w:val="105"/>
        </w:rPr>
        <w:t>age</w:t>
      </w:r>
      <w:r>
        <w:rPr>
          <w:spacing w:val="-11"/>
          <w:w w:val="105"/>
        </w:rPr>
        <w:t xml:space="preserve"> </w:t>
      </w:r>
      <w:r>
        <w:rPr>
          <w:w w:val="105"/>
        </w:rPr>
        <w:t>5</w:t>
      </w:r>
      <w:r>
        <w:rPr>
          <w:spacing w:val="-28"/>
          <w:w w:val="105"/>
        </w:rPr>
        <w:t xml:space="preserve"> </w:t>
      </w:r>
      <w:r>
        <w:rPr>
          <w:w w:val="105"/>
        </w:rPr>
        <w:t>years.</w:t>
      </w:r>
      <w:r>
        <w:rPr>
          <w:spacing w:val="-10"/>
          <w:w w:val="105"/>
        </w:rPr>
        <w:t xml:space="preserve"> </w:t>
      </w:r>
      <w:r>
        <w:rPr>
          <w:w w:val="105"/>
        </w:rPr>
        <w:t>The</w:t>
      </w:r>
      <w:r>
        <w:rPr>
          <w:spacing w:val="-9"/>
          <w:w w:val="105"/>
        </w:rPr>
        <w:t xml:space="preserve"> </w:t>
      </w:r>
      <w:r>
        <w:rPr>
          <w:w w:val="105"/>
        </w:rPr>
        <w:t>most</w:t>
      </w:r>
      <w:r>
        <w:rPr>
          <w:spacing w:val="-13"/>
          <w:w w:val="105"/>
        </w:rPr>
        <w:t xml:space="preserve"> </w:t>
      </w:r>
      <w:r>
        <w:rPr>
          <w:w w:val="105"/>
        </w:rPr>
        <w:t>common</w:t>
      </w:r>
      <w:r>
        <w:rPr>
          <w:spacing w:val="-1"/>
          <w:w w:val="105"/>
        </w:rPr>
        <w:t xml:space="preserve"> </w:t>
      </w:r>
      <w:r>
        <w:rPr>
          <w:w w:val="105"/>
        </w:rPr>
        <w:t>time</w:t>
      </w:r>
      <w:r>
        <w:rPr>
          <w:spacing w:val="-13"/>
          <w:w w:val="105"/>
        </w:rPr>
        <w:t xml:space="preserve"> </w:t>
      </w:r>
      <w:r>
        <w:rPr>
          <w:w w:val="105"/>
        </w:rPr>
        <w:t>for</w:t>
      </w:r>
      <w:r>
        <w:rPr>
          <w:spacing w:val="-10"/>
          <w:w w:val="105"/>
        </w:rPr>
        <w:t xml:space="preserve"> </w:t>
      </w:r>
      <w:r>
        <w:rPr>
          <w:w w:val="105"/>
        </w:rPr>
        <w:t>the</w:t>
      </w:r>
      <w:r>
        <w:rPr>
          <w:spacing w:val="-12"/>
          <w:w w:val="105"/>
        </w:rPr>
        <w:t xml:space="preserve"> </w:t>
      </w:r>
      <w:r>
        <w:rPr>
          <w:w w:val="105"/>
        </w:rPr>
        <w:t>onset</w:t>
      </w:r>
      <w:r>
        <w:rPr>
          <w:spacing w:val="-8"/>
          <w:w w:val="105"/>
        </w:rPr>
        <w:t xml:space="preserve"> </w:t>
      </w:r>
      <w:r>
        <w:rPr>
          <w:w w:val="105"/>
        </w:rPr>
        <w:t>of</w:t>
      </w:r>
      <w:r>
        <w:rPr>
          <w:spacing w:val="-8"/>
          <w:w w:val="105"/>
        </w:rPr>
        <w:t xml:space="preserve"> </w:t>
      </w:r>
      <w:r>
        <w:rPr>
          <w:w w:val="105"/>
        </w:rPr>
        <w:t>secondary Enuresis is between  the ages of  5 and 8 years,  but it may occur at any time. After age  5</w:t>
      </w:r>
      <w:r>
        <w:rPr>
          <w:spacing w:val="-27"/>
          <w:w w:val="105"/>
        </w:rPr>
        <w:t xml:space="preserve"> </w:t>
      </w:r>
      <w:r>
        <w:rPr>
          <w:w w:val="105"/>
        </w:rPr>
        <w:t>years,</w:t>
      </w:r>
      <w:r>
        <w:rPr>
          <w:spacing w:val="-2"/>
          <w:w w:val="105"/>
        </w:rPr>
        <w:t xml:space="preserve"> </w:t>
      </w:r>
      <w:r>
        <w:rPr>
          <w:w w:val="105"/>
        </w:rPr>
        <w:t>the</w:t>
      </w:r>
      <w:r>
        <w:rPr>
          <w:spacing w:val="-7"/>
          <w:w w:val="105"/>
        </w:rPr>
        <w:t xml:space="preserve"> </w:t>
      </w:r>
      <w:r>
        <w:rPr>
          <w:w w:val="105"/>
        </w:rPr>
        <w:t>rate</w:t>
      </w:r>
      <w:r>
        <w:rPr>
          <w:spacing w:val="-15"/>
          <w:w w:val="105"/>
        </w:rPr>
        <w:t xml:space="preserve"> </w:t>
      </w:r>
      <w:r>
        <w:rPr>
          <w:w w:val="105"/>
        </w:rPr>
        <w:t>of</w:t>
      </w:r>
      <w:r>
        <w:rPr>
          <w:spacing w:val="-8"/>
          <w:w w:val="105"/>
        </w:rPr>
        <w:t xml:space="preserve"> </w:t>
      </w:r>
      <w:r>
        <w:rPr>
          <w:w w:val="105"/>
        </w:rPr>
        <w:t>spontaneous</w:t>
      </w:r>
      <w:r>
        <w:rPr>
          <w:spacing w:val="-2"/>
          <w:w w:val="105"/>
        </w:rPr>
        <w:t xml:space="preserve"> </w:t>
      </w:r>
      <w:r>
        <w:rPr>
          <w:w w:val="105"/>
        </w:rPr>
        <w:t>remission</w:t>
      </w:r>
      <w:r>
        <w:rPr>
          <w:spacing w:val="-4"/>
          <w:w w:val="105"/>
        </w:rPr>
        <w:t xml:space="preserve"> </w:t>
      </w:r>
      <w:r>
        <w:rPr>
          <w:w w:val="105"/>
        </w:rPr>
        <w:t>is</w:t>
      </w:r>
      <w:r>
        <w:rPr>
          <w:spacing w:val="-12"/>
          <w:w w:val="105"/>
        </w:rPr>
        <w:t xml:space="preserve"> </w:t>
      </w:r>
      <w:r>
        <w:rPr>
          <w:w w:val="105"/>
        </w:rPr>
        <w:t>between</w:t>
      </w:r>
      <w:r>
        <w:rPr>
          <w:spacing w:val="-2"/>
          <w:w w:val="105"/>
        </w:rPr>
        <w:t xml:space="preserve"> </w:t>
      </w:r>
      <w:r>
        <w:rPr>
          <w:w w:val="105"/>
        </w:rPr>
        <w:t>5%</w:t>
      </w:r>
      <w:r>
        <w:rPr>
          <w:spacing w:val="-21"/>
          <w:w w:val="105"/>
        </w:rPr>
        <w:t xml:space="preserve"> </w:t>
      </w:r>
      <w:r>
        <w:rPr>
          <w:w w:val="105"/>
        </w:rPr>
        <w:t>and</w:t>
      </w:r>
      <w:r>
        <w:rPr>
          <w:spacing w:val="-15"/>
          <w:w w:val="105"/>
        </w:rPr>
        <w:t xml:space="preserve"> </w:t>
      </w:r>
      <w:r>
        <w:rPr>
          <w:w w:val="105"/>
        </w:rPr>
        <w:t>10%</w:t>
      </w:r>
      <w:r>
        <w:rPr>
          <w:spacing w:val="-12"/>
          <w:w w:val="105"/>
        </w:rPr>
        <w:t xml:space="preserve"> </w:t>
      </w:r>
      <w:r>
        <w:rPr>
          <w:w w:val="105"/>
        </w:rPr>
        <w:t>per</w:t>
      </w:r>
      <w:r>
        <w:rPr>
          <w:spacing w:val="-16"/>
          <w:w w:val="105"/>
        </w:rPr>
        <w:t xml:space="preserve"> </w:t>
      </w:r>
      <w:r>
        <w:rPr>
          <w:w w:val="105"/>
        </w:rPr>
        <w:t>year.</w:t>
      </w:r>
      <w:r>
        <w:rPr>
          <w:spacing w:val="-12"/>
          <w:w w:val="105"/>
        </w:rPr>
        <w:t xml:space="preserve"> </w:t>
      </w:r>
      <w:r>
        <w:rPr>
          <w:w w:val="105"/>
        </w:rPr>
        <w:t>Most</w:t>
      </w:r>
      <w:r>
        <w:rPr>
          <w:spacing w:val="-12"/>
          <w:w w:val="105"/>
        </w:rPr>
        <w:t xml:space="preserve"> </w:t>
      </w:r>
      <w:r>
        <w:rPr>
          <w:w w:val="105"/>
        </w:rPr>
        <w:t>children with the disorder become continent by adolescence, but in approximately 1</w:t>
      </w:r>
      <w:r>
        <w:rPr>
          <w:w w:val="105"/>
          <w:sz w:val="18"/>
        </w:rPr>
        <w:t xml:space="preserve">% </w:t>
      </w:r>
      <w:r>
        <w:rPr>
          <w:w w:val="105"/>
        </w:rPr>
        <w:t>of cases the disorder continues into</w:t>
      </w:r>
      <w:r>
        <w:rPr>
          <w:spacing w:val="-7"/>
          <w:w w:val="105"/>
        </w:rPr>
        <w:t xml:space="preserve"> </w:t>
      </w:r>
      <w:r>
        <w:rPr>
          <w:w w:val="105"/>
        </w:rPr>
        <w:t>adulthood.</w:t>
      </w:r>
    </w:p>
    <w:p w:rsidR="00E675F0" w:rsidRDefault="00E675F0" w:rsidP="00E675F0">
      <w:pPr>
        <w:pStyle w:val="BodyText"/>
        <w:rPr>
          <w:sz w:val="22"/>
        </w:rPr>
      </w:pPr>
    </w:p>
    <w:p w:rsidR="00E675F0" w:rsidRDefault="00E675F0" w:rsidP="00E675F0">
      <w:pPr>
        <w:spacing w:before="153"/>
        <w:ind w:left="117"/>
        <w:rPr>
          <w:rFonts w:ascii="TimesNewRomanPS-BoldItalicMT"/>
          <w:b/>
          <w:i/>
          <w:sz w:val="24"/>
        </w:rPr>
      </w:pPr>
      <w:r>
        <w:rPr>
          <w:rFonts w:ascii="TimesNewRomanPS-BoldItalicMT"/>
          <w:b/>
          <w:i/>
          <w:w w:val="115"/>
          <w:sz w:val="24"/>
        </w:rPr>
        <w:t>Familial Pattern</w:t>
      </w:r>
    </w:p>
    <w:p w:rsidR="00E675F0" w:rsidRDefault="00E675F0" w:rsidP="00E675F0">
      <w:pPr>
        <w:pStyle w:val="BodyText"/>
        <w:spacing w:before="151" w:line="254" w:lineRule="auto"/>
        <w:ind w:left="136" w:right="137" w:hanging="1"/>
        <w:jc w:val="both"/>
      </w:pPr>
      <w:r>
        <w:rPr>
          <w:w w:val="105"/>
        </w:rPr>
        <w:t>Approximately 75% of all children with Enuresis have a first-degree biological relative who has had the disorder. The concordance for the disorder is greater in monozygotic than in dizygotic twins.</w:t>
      </w:r>
    </w:p>
    <w:p w:rsidR="00E675F0" w:rsidRDefault="00E675F0" w:rsidP="00E675F0">
      <w:pPr>
        <w:pStyle w:val="BodyText"/>
        <w:rPr>
          <w:sz w:val="22"/>
        </w:rPr>
      </w:pPr>
    </w:p>
    <w:p w:rsidR="00E675F0" w:rsidRDefault="00E675F0" w:rsidP="00E675F0">
      <w:pPr>
        <w:spacing w:before="151"/>
        <w:ind w:left="122"/>
        <w:rPr>
          <w:rFonts w:ascii="TimesNewRomanPS-BoldItalicMT"/>
          <w:b/>
          <w:i/>
          <w:sz w:val="24"/>
        </w:rPr>
      </w:pPr>
      <w:r>
        <w:rPr>
          <w:rFonts w:ascii="TimesNewRomanPS-BoldItalicMT"/>
          <w:b/>
          <w:i/>
          <w:w w:val="110"/>
          <w:sz w:val="24"/>
        </w:rPr>
        <w:t>Dif.ferential Diagnosis</w:t>
      </w:r>
    </w:p>
    <w:p w:rsidR="00E675F0" w:rsidRDefault="00E675F0" w:rsidP="00E675F0">
      <w:pPr>
        <w:spacing w:before="146" w:line="252" w:lineRule="auto"/>
        <w:ind w:left="135" w:right="131" w:hanging="4"/>
        <w:jc w:val="both"/>
        <w:rPr>
          <w:sz w:val="20"/>
        </w:rPr>
      </w:pPr>
      <w:r>
        <w:rPr>
          <w:noProof/>
        </w:rPr>
        <mc:AlternateContent>
          <mc:Choice Requires="wps">
            <w:drawing>
              <wp:anchor distT="0" distB="0" distL="114300" distR="114300" simplePos="0" relativeHeight="251692032" behindDoc="0" locked="0" layoutInCell="1" allowOverlap="1" wp14:anchorId="2A5C6F3F" wp14:editId="37247B56">
                <wp:simplePos x="0" y="0"/>
                <wp:positionH relativeFrom="page">
                  <wp:posOffset>508000</wp:posOffset>
                </wp:positionH>
                <wp:positionV relativeFrom="paragraph">
                  <wp:posOffset>3462020</wp:posOffset>
                </wp:positionV>
                <wp:extent cx="0" cy="0"/>
                <wp:effectExtent l="0" t="0" r="0" b="0"/>
                <wp:wrapNone/>
                <wp:docPr id="1505" name="Line 14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3361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5F4913" id="Line 1461" o:spid="_x0000_s1026" style="position:absolute;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pt,272.6pt" to="40pt,272.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" strokeweight=".93367mm">
                <o:lock v:ext="edit" shapetype="f"/>
                <w10:wrap anchorx="page"/>
              </v:line>
            </w:pict>
          </mc:Fallback>
        </mc:AlternateContent>
      </w:r>
      <w:r>
        <w:rPr>
          <w:w w:val="105"/>
          <w:sz w:val="20"/>
        </w:rPr>
        <w:t xml:space="preserve">The diagnosis of Enuresis is not made in the presence of a </w:t>
      </w:r>
      <w:r>
        <w:rPr>
          <w:b/>
          <w:w w:val="105"/>
          <w:sz w:val="20"/>
        </w:rPr>
        <w:t xml:space="preserve">neurogenic bladder </w:t>
      </w:r>
      <w:r>
        <w:rPr>
          <w:w w:val="105"/>
          <w:sz w:val="20"/>
        </w:rPr>
        <w:t xml:space="preserve">or the presence of a </w:t>
      </w:r>
      <w:r>
        <w:rPr>
          <w:b/>
          <w:w w:val="105"/>
          <w:sz w:val="20"/>
        </w:rPr>
        <w:t xml:space="preserve">general medical condition that causes polyuria or urgency </w:t>
      </w:r>
      <w:r>
        <w:rPr>
          <w:w w:val="105"/>
          <w:sz w:val="20"/>
        </w:rPr>
        <w:t xml:space="preserve">(e.g., untreated diabetes mellitus or diabetes insipidus) or during an </w:t>
      </w:r>
      <w:r>
        <w:rPr>
          <w:b/>
          <w:w w:val="105"/>
          <w:sz w:val="20"/>
        </w:rPr>
        <w:t>acute urinary tract infection.</w:t>
      </w:r>
      <w:r>
        <w:rPr>
          <w:b/>
          <w:spacing w:val="-6"/>
          <w:w w:val="105"/>
          <w:sz w:val="20"/>
        </w:rPr>
        <w:t xml:space="preserve"> </w:t>
      </w:r>
      <w:r>
        <w:rPr>
          <w:w w:val="105"/>
          <w:sz w:val="20"/>
        </w:rPr>
        <w:t>However,</w:t>
      </w:r>
      <w:r>
        <w:rPr>
          <w:spacing w:val="-5"/>
          <w:w w:val="105"/>
          <w:sz w:val="20"/>
        </w:rPr>
        <w:t xml:space="preserve"> </w:t>
      </w:r>
      <w:r>
        <w:rPr>
          <w:w w:val="105"/>
          <w:sz w:val="20"/>
        </w:rPr>
        <w:t>a</w:t>
      </w:r>
      <w:r>
        <w:rPr>
          <w:spacing w:val="-10"/>
          <w:w w:val="105"/>
          <w:sz w:val="20"/>
        </w:rPr>
        <w:t xml:space="preserve"> </w:t>
      </w:r>
      <w:r>
        <w:rPr>
          <w:w w:val="105"/>
          <w:sz w:val="20"/>
        </w:rPr>
        <w:t>diagnosis</w:t>
      </w:r>
      <w:r>
        <w:rPr>
          <w:spacing w:val="-12"/>
          <w:w w:val="105"/>
          <w:sz w:val="20"/>
        </w:rPr>
        <w:t xml:space="preserve"> </w:t>
      </w:r>
      <w:r>
        <w:rPr>
          <w:w w:val="105"/>
          <w:sz w:val="20"/>
        </w:rPr>
        <w:t>of</w:t>
      </w:r>
      <w:r>
        <w:rPr>
          <w:spacing w:val="-3"/>
          <w:w w:val="105"/>
          <w:sz w:val="20"/>
        </w:rPr>
        <w:t xml:space="preserve"> </w:t>
      </w:r>
      <w:r>
        <w:rPr>
          <w:w w:val="105"/>
          <w:sz w:val="20"/>
        </w:rPr>
        <w:t>Enuresis</w:t>
      </w:r>
      <w:r>
        <w:rPr>
          <w:spacing w:val="-10"/>
          <w:w w:val="105"/>
          <w:sz w:val="20"/>
        </w:rPr>
        <w:t xml:space="preserve"> </w:t>
      </w:r>
      <w:r>
        <w:rPr>
          <w:w w:val="105"/>
          <w:sz w:val="20"/>
        </w:rPr>
        <w:t>is</w:t>
      </w:r>
      <w:r>
        <w:rPr>
          <w:spacing w:val="-16"/>
          <w:w w:val="105"/>
          <w:sz w:val="20"/>
        </w:rPr>
        <w:t xml:space="preserve"> </w:t>
      </w:r>
      <w:r>
        <w:rPr>
          <w:w w:val="105"/>
          <w:sz w:val="20"/>
        </w:rPr>
        <w:t>compatible</w:t>
      </w:r>
      <w:r>
        <w:rPr>
          <w:spacing w:val="-4"/>
          <w:w w:val="105"/>
          <w:sz w:val="20"/>
        </w:rPr>
        <w:t xml:space="preserve"> </w:t>
      </w:r>
      <w:r>
        <w:rPr>
          <w:w w:val="105"/>
          <w:sz w:val="20"/>
        </w:rPr>
        <w:t>with</w:t>
      </w:r>
      <w:r>
        <w:rPr>
          <w:spacing w:val="-18"/>
          <w:w w:val="105"/>
          <w:sz w:val="20"/>
        </w:rPr>
        <w:t xml:space="preserve"> </w:t>
      </w:r>
      <w:r>
        <w:rPr>
          <w:w w:val="105"/>
          <w:sz w:val="20"/>
        </w:rPr>
        <w:t>such</w:t>
      </w:r>
      <w:r>
        <w:rPr>
          <w:spacing w:val="-13"/>
          <w:w w:val="105"/>
          <w:sz w:val="20"/>
        </w:rPr>
        <w:t xml:space="preserve"> </w:t>
      </w:r>
      <w:r>
        <w:rPr>
          <w:w w:val="105"/>
          <w:sz w:val="20"/>
        </w:rPr>
        <w:t>conditions</w:t>
      </w:r>
      <w:r>
        <w:rPr>
          <w:spacing w:val="-2"/>
          <w:w w:val="105"/>
          <w:sz w:val="20"/>
        </w:rPr>
        <w:t xml:space="preserve"> </w:t>
      </w:r>
      <w:r>
        <w:rPr>
          <w:w w:val="105"/>
          <w:sz w:val="20"/>
        </w:rPr>
        <w:t>if</w:t>
      </w:r>
      <w:r>
        <w:rPr>
          <w:spacing w:val="-4"/>
          <w:w w:val="105"/>
          <w:sz w:val="20"/>
        </w:rPr>
        <w:t xml:space="preserve"> </w:t>
      </w:r>
      <w:r>
        <w:rPr>
          <w:w w:val="105"/>
          <w:sz w:val="20"/>
        </w:rPr>
        <w:t>urinary incontinence was regularly present prior to the development of the general medical condition</w:t>
      </w:r>
      <w:r>
        <w:rPr>
          <w:spacing w:val="17"/>
          <w:w w:val="105"/>
          <w:sz w:val="20"/>
        </w:rPr>
        <w:t xml:space="preserve"> </w:t>
      </w:r>
      <w:r>
        <w:rPr>
          <w:w w:val="105"/>
          <w:sz w:val="20"/>
        </w:rPr>
        <w:t>or</w:t>
      </w:r>
      <w:r>
        <w:rPr>
          <w:spacing w:val="7"/>
          <w:w w:val="105"/>
          <w:sz w:val="20"/>
        </w:rPr>
        <w:t xml:space="preserve"> </w:t>
      </w:r>
      <w:r>
        <w:rPr>
          <w:w w:val="105"/>
          <w:sz w:val="20"/>
        </w:rPr>
        <w:t>if</w:t>
      </w:r>
      <w:r>
        <w:rPr>
          <w:spacing w:val="14"/>
          <w:w w:val="105"/>
          <w:sz w:val="20"/>
        </w:rPr>
        <w:t xml:space="preserve"> </w:t>
      </w:r>
      <w:r>
        <w:rPr>
          <w:w w:val="105"/>
          <w:sz w:val="20"/>
        </w:rPr>
        <w:t>it</w:t>
      </w:r>
      <w:r>
        <w:rPr>
          <w:spacing w:val="16"/>
          <w:w w:val="105"/>
          <w:sz w:val="20"/>
        </w:rPr>
        <w:t xml:space="preserve"> </w:t>
      </w:r>
      <w:r>
        <w:rPr>
          <w:w w:val="105"/>
          <w:sz w:val="20"/>
        </w:rPr>
        <w:t>persists</w:t>
      </w:r>
      <w:r>
        <w:rPr>
          <w:spacing w:val="16"/>
          <w:w w:val="105"/>
          <w:sz w:val="20"/>
        </w:rPr>
        <w:t xml:space="preserve"> </w:t>
      </w:r>
      <w:r>
        <w:rPr>
          <w:w w:val="105"/>
          <w:sz w:val="20"/>
        </w:rPr>
        <w:t>after</w:t>
      </w:r>
      <w:r>
        <w:rPr>
          <w:spacing w:val="11"/>
          <w:w w:val="105"/>
          <w:sz w:val="20"/>
        </w:rPr>
        <w:t xml:space="preserve"> </w:t>
      </w:r>
      <w:r>
        <w:rPr>
          <w:w w:val="105"/>
          <w:sz w:val="20"/>
        </w:rPr>
        <w:t>the</w:t>
      </w:r>
      <w:r>
        <w:rPr>
          <w:spacing w:val="4"/>
          <w:w w:val="105"/>
          <w:sz w:val="20"/>
        </w:rPr>
        <w:t xml:space="preserve"> </w:t>
      </w:r>
      <w:r>
        <w:rPr>
          <w:w w:val="105"/>
          <w:sz w:val="20"/>
        </w:rPr>
        <w:t>institution</w:t>
      </w:r>
      <w:r>
        <w:rPr>
          <w:spacing w:val="15"/>
          <w:w w:val="105"/>
          <w:sz w:val="20"/>
        </w:rPr>
        <w:t xml:space="preserve"> </w:t>
      </w:r>
      <w:r>
        <w:rPr>
          <w:w w:val="105"/>
          <w:sz w:val="20"/>
        </w:rPr>
        <w:t>of</w:t>
      </w:r>
      <w:r>
        <w:rPr>
          <w:spacing w:val="16"/>
          <w:w w:val="105"/>
          <w:sz w:val="20"/>
        </w:rPr>
        <w:t xml:space="preserve"> </w:t>
      </w:r>
      <w:r>
        <w:rPr>
          <w:w w:val="105"/>
          <w:sz w:val="20"/>
        </w:rPr>
        <w:t>appropriate</w:t>
      </w:r>
      <w:r>
        <w:rPr>
          <w:spacing w:val="25"/>
          <w:w w:val="105"/>
          <w:sz w:val="20"/>
        </w:rPr>
        <w:t xml:space="preserve"> </w:t>
      </w:r>
      <w:r>
        <w:rPr>
          <w:w w:val="105"/>
          <w:sz w:val="20"/>
        </w:rPr>
        <w:t>treatment.</w:t>
      </w:r>
    </w:p>
    <w:p w:rsidR="00E675F0" w:rsidRDefault="00E675F0" w:rsidP="00E675F0">
      <w:pPr>
        <w:pStyle w:val="BodyText"/>
      </w:pPr>
    </w:p>
    <w:p w:rsidR="00E675F0" w:rsidRDefault="00E675F0" w:rsidP="00E675F0">
      <w:pPr>
        <w:pStyle w:val="BodyText"/>
        <w:spacing w:before="2"/>
        <w:rPr>
          <w:sz w:val="21"/>
        </w:rPr>
      </w:pPr>
    </w:p>
    <w:tbl>
      <w:tblPr>
        <w:tblW w:w="0" w:type="auto"/>
        <w:tblInd w:w="233"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7334"/>
      </w:tblGrid>
      <w:tr w:rsidR="00E675F0" w:rsidTr="00A330E1">
        <w:trPr>
          <w:trHeight w:val="3203"/>
        </w:trPr>
        <w:tc>
          <w:tcPr>
            <w:tcW w:w="7334" w:type="dxa"/>
          </w:tcPr>
          <w:p w:rsidR="00E675F0" w:rsidRDefault="00E675F0" w:rsidP="003048D3">
            <w:pPr>
              <w:pStyle w:val="TableParagraph"/>
              <w:numPr>
                <w:ilvl w:val="0"/>
                <w:numId w:val="73"/>
              </w:numPr>
              <w:tabs>
                <w:tab w:val="left" w:pos="635"/>
              </w:tabs>
              <w:spacing w:line="526" w:lineRule="exact"/>
              <w:ind w:hanging="381"/>
              <w:rPr>
                <w:rFonts w:ascii="Arial" w:hAnsi="Arial"/>
                <w:b/>
                <w:sz w:val="23"/>
              </w:rPr>
            </w:pPr>
            <w:r>
              <w:rPr>
                <w:rFonts w:ascii="Arial" w:hAnsi="Arial"/>
                <w:b/>
                <w:w w:val="105"/>
                <w:sz w:val="23"/>
              </w:rPr>
              <w:t xml:space="preserve">Diagnostic criteria for </w:t>
            </w:r>
            <w:r>
              <w:rPr>
                <w:rFonts w:ascii="Arial" w:hAnsi="Arial"/>
                <w:b/>
                <w:spacing w:val="2"/>
                <w:w w:val="105"/>
                <w:sz w:val="23"/>
              </w:rPr>
              <w:t>307.6</w:t>
            </w:r>
            <w:r>
              <w:rPr>
                <w:rFonts w:ascii="Arial" w:hAnsi="Arial"/>
                <w:b/>
                <w:spacing w:val="42"/>
                <w:w w:val="105"/>
                <w:sz w:val="23"/>
              </w:rPr>
              <w:t xml:space="preserve"> </w:t>
            </w:r>
            <w:r>
              <w:rPr>
                <w:rFonts w:ascii="Arial" w:hAnsi="Arial"/>
                <w:b/>
                <w:w w:val="105"/>
                <w:sz w:val="23"/>
              </w:rPr>
              <w:t>Enuresis</w:t>
            </w:r>
          </w:p>
          <w:p w:rsidR="00E675F0" w:rsidRDefault="00E675F0" w:rsidP="003048D3">
            <w:pPr>
              <w:pStyle w:val="TableParagraph"/>
              <w:numPr>
                <w:ilvl w:val="1"/>
                <w:numId w:val="73"/>
              </w:numPr>
              <w:tabs>
                <w:tab w:val="left" w:pos="966"/>
              </w:tabs>
              <w:spacing w:before="84" w:line="252" w:lineRule="auto"/>
              <w:ind w:right="216" w:hanging="309"/>
              <w:jc w:val="both"/>
              <w:rPr>
                <w:sz w:val="20"/>
              </w:rPr>
            </w:pPr>
            <w:r>
              <w:rPr>
                <w:w w:val="105"/>
                <w:sz w:val="20"/>
              </w:rPr>
              <w:t>Repeated voiding of urine into bed or clothes (whether involuntary or intentional).</w:t>
            </w:r>
          </w:p>
          <w:p w:rsidR="00E675F0" w:rsidRDefault="00E675F0" w:rsidP="003048D3">
            <w:pPr>
              <w:pStyle w:val="TableParagraph"/>
              <w:numPr>
                <w:ilvl w:val="1"/>
                <w:numId w:val="73"/>
              </w:numPr>
              <w:tabs>
                <w:tab w:val="left" w:pos="953"/>
              </w:tabs>
              <w:spacing w:before="195" w:line="256" w:lineRule="auto"/>
              <w:ind w:left="956" w:right="229" w:hanging="300"/>
              <w:jc w:val="both"/>
              <w:rPr>
                <w:sz w:val="20"/>
              </w:rPr>
            </w:pPr>
            <w:r>
              <w:rPr>
                <w:w w:val="105"/>
                <w:sz w:val="20"/>
              </w:rPr>
              <w:t>The</w:t>
            </w:r>
            <w:r>
              <w:rPr>
                <w:spacing w:val="-1"/>
                <w:w w:val="105"/>
                <w:sz w:val="20"/>
              </w:rPr>
              <w:t xml:space="preserve"> </w:t>
            </w:r>
            <w:r>
              <w:rPr>
                <w:w w:val="105"/>
                <w:sz w:val="20"/>
              </w:rPr>
              <w:t>behavior</w:t>
            </w:r>
            <w:r>
              <w:rPr>
                <w:spacing w:val="-5"/>
                <w:w w:val="105"/>
                <w:sz w:val="20"/>
              </w:rPr>
              <w:t xml:space="preserve"> </w:t>
            </w:r>
            <w:r>
              <w:rPr>
                <w:w w:val="105"/>
                <w:sz w:val="20"/>
              </w:rPr>
              <w:t>is</w:t>
            </w:r>
            <w:r>
              <w:rPr>
                <w:spacing w:val="-17"/>
                <w:w w:val="105"/>
                <w:sz w:val="20"/>
              </w:rPr>
              <w:t xml:space="preserve"> </w:t>
            </w:r>
            <w:r>
              <w:rPr>
                <w:w w:val="105"/>
                <w:sz w:val="20"/>
              </w:rPr>
              <w:t>clinically</w:t>
            </w:r>
            <w:r>
              <w:rPr>
                <w:spacing w:val="-9"/>
                <w:w w:val="105"/>
                <w:sz w:val="20"/>
              </w:rPr>
              <w:t xml:space="preserve"> </w:t>
            </w:r>
            <w:r>
              <w:rPr>
                <w:w w:val="105"/>
                <w:sz w:val="20"/>
              </w:rPr>
              <w:t>significant</w:t>
            </w:r>
            <w:r>
              <w:rPr>
                <w:spacing w:val="4"/>
                <w:w w:val="105"/>
                <w:sz w:val="20"/>
              </w:rPr>
              <w:t xml:space="preserve"> </w:t>
            </w:r>
            <w:r>
              <w:rPr>
                <w:w w:val="105"/>
                <w:sz w:val="20"/>
              </w:rPr>
              <w:t>as</w:t>
            </w:r>
            <w:r>
              <w:rPr>
                <w:spacing w:val="-11"/>
                <w:w w:val="105"/>
                <w:sz w:val="20"/>
              </w:rPr>
              <w:t xml:space="preserve"> </w:t>
            </w:r>
            <w:r>
              <w:rPr>
                <w:w w:val="105"/>
                <w:sz w:val="20"/>
              </w:rPr>
              <w:t>manifested</w:t>
            </w:r>
            <w:r>
              <w:rPr>
                <w:spacing w:val="10"/>
                <w:w w:val="105"/>
                <w:sz w:val="20"/>
              </w:rPr>
              <w:t xml:space="preserve"> </w:t>
            </w:r>
            <w:r>
              <w:rPr>
                <w:w w:val="105"/>
                <w:sz w:val="20"/>
              </w:rPr>
              <w:t>by</w:t>
            </w:r>
            <w:r>
              <w:rPr>
                <w:spacing w:val="-10"/>
                <w:w w:val="105"/>
                <w:sz w:val="20"/>
              </w:rPr>
              <w:t xml:space="preserve"> </w:t>
            </w:r>
            <w:r>
              <w:rPr>
                <w:w w:val="105"/>
                <w:sz w:val="20"/>
              </w:rPr>
              <w:t>either</w:t>
            </w:r>
            <w:r>
              <w:rPr>
                <w:spacing w:val="-6"/>
                <w:w w:val="105"/>
                <w:sz w:val="20"/>
              </w:rPr>
              <w:t xml:space="preserve"> </w:t>
            </w:r>
            <w:r>
              <w:rPr>
                <w:w w:val="105"/>
                <w:sz w:val="20"/>
              </w:rPr>
              <w:t>a</w:t>
            </w:r>
            <w:r>
              <w:rPr>
                <w:spacing w:val="-12"/>
                <w:w w:val="105"/>
                <w:sz w:val="20"/>
              </w:rPr>
              <w:t xml:space="preserve"> </w:t>
            </w:r>
            <w:r>
              <w:rPr>
                <w:w w:val="105"/>
                <w:sz w:val="20"/>
              </w:rPr>
              <w:t>frequency of twice a week for at least 3 consecutive months or the presence of clinically</w:t>
            </w:r>
            <w:r>
              <w:rPr>
                <w:spacing w:val="-9"/>
                <w:w w:val="105"/>
                <w:sz w:val="20"/>
              </w:rPr>
              <w:t xml:space="preserve"> </w:t>
            </w:r>
            <w:r>
              <w:rPr>
                <w:w w:val="105"/>
                <w:sz w:val="20"/>
              </w:rPr>
              <w:t>significant</w:t>
            </w:r>
            <w:r>
              <w:rPr>
                <w:spacing w:val="2"/>
                <w:w w:val="105"/>
                <w:sz w:val="20"/>
              </w:rPr>
              <w:t xml:space="preserve"> </w:t>
            </w:r>
            <w:r>
              <w:rPr>
                <w:w w:val="105"/>
                <w:sz w:val="20"/>
              </w:rPr>
              <w:t>distress</w:t>
            </w:r>
            <w:r>
              <w:rPr>
                <w:spacing w:val="-9"/>
                <w:w w:val="105"/>
                <w:sz w:val="20"/>
              </w:rPr>
              <w:t xml:space="preserve"> </w:t>
            </w:r>
            <w:r>
              <w:rPr>
                <w:w w:val="105"/>
                <w:sz w:val="20"/>
              </w:rPr>
              <w:t>or</w:t>
            </w:r>
            <w:r>
              <w:rPr>
                <w:spacing w:val="-4"/>
                <w:w w:val="105"/>
                <w:sz w:val="20"/>
              </w:rPr>
              <w:t xml:space="preserve"> </w:t>
            </w:r>
            <w:r>
              <w:rPr>
                <w:w w:val="105"/>
                <w:sz w:val="20"/>
              </w:rPr>
              <w:t>impairment</w:t>
            </w:r>
            <w:r>
              <w:rPr>
                <w:spacing w:val="2"/>
                <w:w w:val="105"/>
                <w:sz w:val="20"/>
              </w:rPr>
              <w:t xml:space="preserve"> </w:t>
            </w:r>
            <w:r>
              <w:rPr>
                <w:w w:val="105"/>
                <w:sz w:val="20"/>
              </w:rPr>
              <w:t>in</w:t>
            </w:r>
            <w:r>
              <w:rPr>
                <w:spacing w:val="-16"/>
                <w:w w:val="105"/>
                <w:sz w:val="20"/>
              </w:rPr>
              <w:t xml:space="preserve"> </w:t>
            </w:r>
            <w:r>
              <w:rPr>
                <w:w w:val="105"/>
                <w:sz w:val="20"/>
              </w:rPr>
              <w:t>social,</w:t>
            </w:r>
            <w:r>
              <w:rPr>
                <w:spacing w:val="-5"/>
                <w:w w:val="105"/>
                <w:sz w:val="20"/>
              </w:rPr>
              <w:t xml:space="preserve"> </w:t>
            </w:r>
            <w:r>
              <w:rPr>
                <w:w w:val="105"/>
                <w:sz w:val="20"/>
              </w:rPr>
              <w:t>academic</w:t>
            </w:r>
            <w:r>
              <w:rPr>
                <w:spacing w:val="-3"/>
                <w:w w:val="105"/>
                <w:sz w:val="20"/>
              </w:rPr>
              <w:t xml:space="preserve"> </w:t>
            </w:r>
            <w:r>
              <w:rPr>
                <w:w w:val="105"/>
                <w:sz w:val="20"/>
              </w:rPr>
              <w:t>(occupa­ tional), or other important areas of</w:t>
            </w:r>
            <w:r>
              <w:rPr>
                <w:spacing w:val="22"/>
                <w:w w:val="105"/>
                <w:sz w:val="20"/>
              </w:rPr>
              <w:t xml:space="preserve"> </w:t>
            </w:r>
            <w:r>
              <w:rPr>
                <w:w w:val="105"/>
                <w:sz w:val="20"/>
              </w:rPr>
              <w:t>functioning.</w:t>
            </w:r>
          </w:p>
          <w:p w:rsidR="00E675F0" w:rsidRDefault="00E675F0" w:rsidP="003048D3">
            <w:pPr>
              <w:pStyle w:val="TableParagraph"/>
              <w:numPr>
                <w:ilvl w:val="1"/>
                <w:numId w:val="73"/>
              </w:numPr>
              <w:tabs>
                <w:tab w:val="left" w:pos="957"/>
              </w:tabs>
              <w:spacing w:before="174"/>
              <w:ind w:left="956" w:hanging="305"/>
              <w:rPr>
                <w:rFonts w:ascii="Arial"/>
                <w:sz w:val="17"/>
              </w:rPr>
            </w:pPr>
            <w:r>
              <w:rPr>
                <w:w w:val="105"/>
                <w:sz w:val="20"/>
              </w:rPr>
              <w:t>Chronological</w:t>
            </w:r>
            <w:r>
              <w:rPr>
                <w:spacing w:val="9"/>
                <w:w w:val="105"/>
                <w:sz w:val="20"/>
              </w:rPr>
              <w:t xml:space="preserve"> </w:t>
            </w:r>
            <w:r>
              <w:rPr>
                <w:w w:val="105"/>
                <w:sz w:val="20"/>
              </w:rPr>
              <w:t>age</w:t>
            </w:r>
            <w:r>
              <w:rPr>
                <w:spacing w:val="-13"/>
                <w:w w:val="105"/>
                <w:sz w:val="20"/>
              </w:rPr>
              <w:t xml:space="preserve"> </w:t>
            </w:r>
            <w:r>
              <w:rPr>
                <w:w w:val="105"/>
                <w:sz w:val="20"/>
              </w:rPr>
              <w:t>is</w:t>
            </w:r>
            <w:r>
              <w:rPr>
                <w:spacing w:val="-16"/>
                <w:w w:val="105"/>
                <w:sz w:val="20"/>
              </w:rPr>
              <w:t xml:space="preserve"> </w:t>
            </w:r>
            <w:r>
              <w:rPr>
                <w:w w:val="105"/>
                <w:sz w:val="20"/>
              </w:rPr>
              <w:t>at</w:t>
            </w:r>
            <w:r>
              <w:rPr>
                <w:spacing w:val="-12"/>
                <w:w w:val="105"/>
                <w:sz w:val="20"/>
              </w:rPr>
              <w:t xml:space="preserve"> </w:t>
            </w:r>
            <w:r>
              <w:rPr>
                <w:w w:val="105"/>
                <w:sz w:val="20"/>
              </w:rPr>
              <w:t>least</w:t>
            </w:r>
            <w:r>
              <w:rPr>
                <w:spacing w:val="-3"/>
                <w:w w:val="105"/>
                <w:sz w:val="20"/>
              </w:rPr>
              <w:t xml:space="preserve"> </w:t>
            </w:r>
            <w:r>
              <w:rPr>
                <w:w w:val="105"/>
                <w:sz w:val="20"/>
              </w:rPr>
              <w:t>5</w:t>
            </w:r>
            <w:r>
              <w:rPr>
                <w:spacing w:val="-18"/>
                <w:w w:val="105"/>
                <w:sz w:val="20"/>
              </w:rPr>
              <w:t xml:space="preserve"> </w:t>
            </w:r>
            <w:r>
              <w:rPr>
                <w:w w:val="105"/>
                <w:sz w:val="20"/>
              </w:rPr>
              <w:t>years</w:t>
            </w:r>
            <w:r>
              <w:rPr>
                <w:spacing w:val="-13"/>
                <w:w w:val="105"/>
                <w:sz w:val="20"/>
              </w:rPr>
              <w:t xml:space="preserve"> </w:t>
            </w:r>
            <w:r>
              <w:rPr>
                <w:w w:val="105"/>
                <w:sz w:val="20"/>
              </w:rPr>
              <w:t>(or</w:t>
            </w:r>
            <w:r>
              <w:rPr>
                <w:spacing w:val="-15"/>
                <w:w w:val="105"/>
                <w:sz w:val="20"/>
              </w:rPr>
              <w:t xml:space="preserve"> </w:t>
            </w:r>
            <w:r>
              <w:rPr>
                <w:w w:val="105"/>
                <w:sz w:val="20"/>
              </w:rPr>
              <w:t>equivalent</w:t>
            </w:r>
            <w:r>
              <w:rPr>
                <w:spacing w:val="-2"/>
                <w:w w:val="105"/>
                <w:sz w:val="20"/>
              </w:rPr>
              <w:t xml:space="preserve"> </w:t>
            </w:r>
            <w:r>
              <w:rPr>
                <w:w w:val="105"/>
                <w:sz w:val="20"/>
              </w:rPr>
              <w:t>developmental</w:t>
            </w:r>
            <w:r>
              <w:rPr>
                <w:spacing w:val="4"/>
                <w:w w:val="105"/>
                <w:sz w:val="20"/>
              </w:rPr>
              <w:t xml:space="preserve"> </w:t>
            </w:r>
            <w:r>
              <w:rPr>
                <w:w w:val="105"/>
                <w:sz w:val="20"/>
              </w:rPr>
              <w:t>level).</w:t>
            </w:r>
          </w:p>
          <w:p w:rsidR="00E675F0" w:rsidRDefault="00E675F0" w:rsidP="00A330E1">
            <w:pPr>
              <w:pStyle w:val="TableParagraph"/>
              <w:spacing w:before="2"/>
              <w:rPr>
                <w:sz w:val="17"/>
              </w:rPr>
            </w:pPr>
          </w:p>
          <w:p w:rsidR="00E675F0" w:rsidRDefault="00E675F0" w:rsidP="00A330E1">
            <w:pPr>
              <w:pStyle w:val="TableParagraph"/>
              <w:ind w:right="211"/>
              <w:jc w:val="right"/>
              <w:rPr>
                <w:i/>
                <w:sz w:val="20"/>
              </w:rPr>
            </w:pPr>
            <w:r>
              <w:rPr>
                <w:i/>
                <w:w w:val="110"/>
                <w:sz w:val="20"/>
              </w:rPr>
              <w:t>(continued)</w:t>
            </w:r>
          </w:p>
        </w:tc>
      </w:tr>
    </w:tbl>
    <w:p w:rsidR="00E675F0" w:rsidRDefault="00E675F0" w:rsidP="00E675F0">
      <w:pPr>
        <w:jc w:val="right"/>
        <w:rPr>
          <w:sz w:val="20"/>
        </w:rPr>
        <w:sectPr w:rsidR="00E675F0">
          <w:headerReference w:type="even" r:id="rId126"/>
          <w:headerReference w:type="default" r:id="rId127"/>
          <w:pgSz w:w="8960" w:h="14260"/>
          <w:pgMar w:top="1400" w:right="620" w:bottom="280" w:left="600" w:header="715" w:footer="0" w:gutter="0"/>
          <w:pgNumType w:start="109"/>
          <w:cols w:space="720"/>
        </w:sectPr>
      </w:pPr>
    </w:p>
    <w:p w:rsidR="00E675F0" w:rsidRDefault="00E675F0" w:rsidP="00E675F0">
      <w:pPr>
        <w:pStyle w:val="BodyText"/>
        <w:spacing w:line="20" w:lineRule="exact"/>
        <w:ind w:left="125"/>
        <w:rPr>
          <w:sz w:val="2"/>
        </w:rPr>
      </w:pPr>
      <w:r>
        <w:rPr>
          <w:noProof/>
          <w:sz w:val="2"/>
        </w:rPr>
        <w:lastRenderedPageBreak/>
        <mc:AlternateContent>
          <mc:Choice Requires="wpg">
            <w:drawing>
              <wp:inline distT="0" distB="0" distL="0" distR="0" wp14:anchorId="0D9C559B" wp14:editId="418CDA19">
                <wp:extent cx="4752975" cy="6350"/>
                <wp:effectExtent l="0" t="0" r="0" b="0"/>
                <wp:docPr id="1503" name="Group 1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2975" cy="6350"/>
                          <a:chOff x="0" y="0"/>
                          <a:chExt cx="7485" cy="10"/>
                        </a:xfrm>
                      </wpg:grpSpPr>
                      <wps:wsp>
                        <wps:cNvPr id="1504" name="Line 1460"/>
                        <wps:cNvCnPr>
                          <a:cxnSpLocks/>
                        </wps:cNvCnPr>
                        <wps:spPr bwMode="auto">
                          <a:xfrm>
                            <a:off x="0" y="5"/>
                            <a:ext cx="7485" cy="0"/>
                          </a:xfrm>
                          <a:prstGeom prst="line">
                            <a:avLst/>
                          </a:prstGeom>
                          <a:noFill/>
                          <a:ln w="610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A98E9C9" id="Group 1459" o:spid="_x0000_s1026" style="width:374.25pt;height:.5pt;mso-position-horizontal-relative:char;mso-position-vertical-relative:line" coordsize="7485,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">
                <v:line id="Line 1460" o:spid="_x0000_s1027" style="position:absolute;visibility:visible;mso-wrap-style:square" from="0,5" to="748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" strokeweight=".16956mm">
                  <o:lock v:ext="edit" shapetype="f"/>
                </v:line>
                <w10:anchorlock/>
              </v:group>
            </w:pict>
          </mc:Fallback>
        </mc:AlternateContent>
      </w:r>
    </w:p>
    <w:p w:rsidR="00E675F0" w:rsidRDefault="00E675F0" w:rsidP="00E675F0">
      <w:pPr>
        <w:pStyle w:val="BodyText"/>
      </w:pPr>
    </w:p>
    <w:p w:rsidR="00E675F0" w:rsidRDefault="00E675F0" w:rsidP="00E675F0">
      <w:pPr>
        <w:pStyle w:val="BodyText"/>
        <w:spacing w:before="6"/>
        <w:rPr>
          <w:sz w:val="25"/>
        </w:rPr>
      </w:pPr>
    </w:p>
    <w:tbl>
      <w:tblPr>
        <w:tblW w:w="0" w:type="auto"/>
        <w:tblInd w:w="221"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7341"/>
      </w:tblGrid>
      <w:tr w:rsidR="00E675F0" w:rsidTr="00A330E1">
        <w:trPr>
          <w:trHeight w:val="2722"/>
        </w:trPr>
        <w:tc>
          <w:tcPr>
            <w:tcW w:w="7341" w:type="dxa"/>
          </w:tcPr>
          <w:p w:rsidR="00E675F0" w:rsidRDefault="00E675F0" w:rsidP="00A330E1">
            <w:pPr>
              <w:pStyle w:val="TableParagraph"/>
              <w:spacing w:before="79"/>
              <w:ind w:left="273"/>
              <w:rPr>
                <w:rFonts w:ascii="Arial" w:hAnsi="Arial"/>
                <w:i/>
              </w:rPr>
            </w:pPr>
            <w:bookmarkStart w:id="73" w:name="_bookmark57"/>
            <w:bookmarkEnd w:id="73"/>
            <w:r>
              <w:rPr>
                <w:rFonts w:ascii="Arial" w:hAnsi="Arial"/>
                <w:sz w:val="36"/>
              </w:rPr>
              <w:t xml:space="preserve">□ </w:t>
            </w:r>
            <w:r>
              <w:rPr>
                <w:rFonts w:ascii="Arial" w:hAnsi="Arial"/>
                <w:b/>
              </w:rPr>
              <w:t xml:space="preserve">Diagnostic criteria for 307.6 Enuresis </w:t>
            </w:r>
            <w:r>
              <w:rPr>
                <w:rFonts w:ascii="Arial" w:hAnsi="Arial"/>
                <w:i/>
              </w:rPr>
              <w:t>(continued)</w:t>
            </w:r>
          </w:p>
          <w:p w:rsidR="00E675F0" w:rsidRDefault="00E675F0" w:rsidP="00A330E1">
            <w:pPr>
              <w:pStyle w:val="TableParagraph"/>
              <w:spacing w:before="203" w:line="254" w:lineRule="auto"/>
              <w:ind w:left="961" w:right="232" w:hanging="300"/>
              <w:jc w:val="both"/>
              <w:rPr>
                <w:sz w:val="20"/>
              </w:rPr>
            </w:pPr>
            <w:r>
              <w:rPr>
                <w:w w:val="105"/>
                <w:sz w:val="20"/>
              </w:rPr>
              <w:t>D. The behavior is not due exclusively to the direct physiological effect of a substance (e.g., a diuretic) or a general medical condition (e.g., diabetes, spina bifida, a seizure</w:t>
            </w:r>
            <w:r>
              <w:rPr>
                <w:spacing w:val="18"/>
                <w:w w:val="105"/>
                <w:sz w:val="20"/>
              </w:rPr>
              <w:t xml:space="preserve"> </w:t>
            </w:r>
            <w:r>
              <w:rPr>
                <w:w w:val="105"/>
                <w:sz w:val="20"/>
              </w:rPr>
              <w:t>disorder).</w:t>
            </w:r>
          </w:p>
          <w:p w:rsidR="00E675F0" w:rsidRDefault="00E675F0" w:rsidP="00A330E1">
            <w:pPr>
              <w:pStyle w:val="TableParagraph"/>
              <w:spacing w:before="133" w:line="249" w:lineRule="auto"/>
              <w:ind w:left="657" w:right="4984" w:hanging="252"/>
              <w:rPr>
                <w:b/>
                <w:sz w:val="20"/>
              </w:rPr>
            </w:pPr>
            <w:r>
              <w:rPr>
                <w:rFonts w:ascii="Arial"/>
                <w:i/>
                <w:sz w:val="19"/>
              </w:rPr>
              <w:t xml:space="preserve">Specify </w:t>
            </w:r>
            <w:r>
              <w:rPr>
                <w:rFonts w:ascii="Arial"/>
                <w:sz w:val="17"/>
              </w:rPr>
              <w:t xml:space="preserve">type: </w:t>
            </w:r>
            <w:r>
              <w:rPr>
                <w:b/>
                <w:sz w:val="20"/>
              </w:rPr>
              <w:t>Nocturnal Only Diurnal Only</w:t>
            </w:r>
          </w:p>
          <w:p w:rsidR="00E675F0" w:rsidRDefault="00E675F0" w:rsidP="00A330E1">
            <w:pPr>
              <w:pStyle w:val="TableParagraph"/>
              <w:spacing w:before="7"/>
              <w:ind w:left="657"/>
              <w:rPr>
                <w:b/>
                <w:sz w:val="20"/>
              </w:rPr>
            </w:pPr>
            <w:r>
              <w:rPr>
                <w:b/>
                <w:w w:val="110"/>
                <w:sz w:val="20"/>
              </w:rPr>
              <w:t>Nocturnal and Diurnal</w:t>
            </w:r>
          </w:p>
        </w:tc>
      </w:tr>
    </w:tbl>
    <w:p w:rsidR="00E675F0" w:rsidRDefault="00E675F0" w:rsidP="00E675F0">
      <w:pPr>
        <w:pStyle w:val="BodyText"/>
      </w:pPr>
    </w:p>
    <w:p w:rsidR="00E675F0" w:rsidRDefault="00E675F0" w:rsidP="00E675F0">
      <w:pPr>
        <w:pStyle w:val="BodyText"/>
      </w:pPr>
    </w:p>
    <w:p w:rsidR="00E675F0" w:rsidRDefault="00E675F0" w:rsidP="00E675F0">
      <w:pPr>
        <w:spacing w:before="209"/>
        <w:ind w:left="364"/>
        <w:rPr>
          <w:rFonts w:ascii="Arial"/>
          <w:b/>
          <w:sz w:val="26"/>
        </w:rPr>
      </w:pPr>
      <w:r>
        <w:rPr>
          <w:noProof/>
        </w:rPr>
        <mc:AlternateContent>
          <mc:Choice Requires="wps">
            <w:drawing>
              <wp:anchor distT="0" distB="0" distL="114300" distR="114300" simplePos="0" relativeHeight="251780096" behindDoc="1" locked="0" layoutInCell="1" allowOverlap="1" wp14:anchorId="5397D32A" wp14:editId="028CC32F">
                <wp:simplePos x="0" y="0"/>
                <wp:positionH relativeFrom="page">
                  <wp:posOffset>5174615</wp:posOffset>
                </wp:positionH>
                <wp:positionV relativeFrom="paragraph">
                  <wp:posOffset>-249555</wp:posOffset>
                </wp:positionV>
                <wp:extent cx="0" cy="0"/>
                <wp:effectExtent l="0" t="0" r="0" b="0"/>
                <wp:wrapNone/>
                <wp:docPr id="1502" name="Line 14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3054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004494" id="Line 1458" o:spid="_x0000_s1026" style="position:absolute;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7.45pt,-19.65pt" to="407.45pt,-19.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" strokeweight=".84847mm">
                <o:lock v:ext="edit" shapetype="f"/>
                <w10:wrap anchorx="page"/>
              </v:line>
            </w:pict>
          </mc:Fallback>
        </mc:AlternateContent>
      </w:r>
      <w:r>
        <w:rPr>
          <w:rFonts w:ascii="Arial"/>
          <w:b/>
          <w:color w:val="0F0F0F"/>
          <w:sz w:val="26"/>
        </w:rPr>
        <w:t>Other Disorders of Infancy, Childhood, or</w:t>
      </w:r>
      <w:r>
        <w:rPr>
          <w:rFonts w:ascii="Arial"/>
          <w:b/>
          <w:color w:val="0F0F0F"/>
          <w:spacing w:val="62"/>
          <w:sz w:val="26"/>
        </w:rPr>
        <w:t xml:space="preserve"> </w:t>
      </w:r>
      <w:r>
        <w:rPr>
          <w:rFonts w:ascii="Arial"/>
          <w:b/>
          <w:color w:val="0F0F0F"/>
          <w:sz w:val="26"/>
        </w:rPr>
        <w:t>Adolescence</w:t>
      </w:r>
    </w:p>
    <w:p w:rsidR="00E675F0" w:rsidRDefault="00E675F0" w:rsidP="00E675F0">
      <w:pPr>
        <w:pStyle w:val="BodyText"/>
        <w:rPr>
          <w:rFonts w:ascii="Arial"/>
          <w:b/>
          <w:sz w:val="28"/>
        </w:rPr>
      </w:pPr>
    </w:p>
    <w:p w:rsidR="00E675F0" w:rsidRDefault="00E675F0" w:rsidP="00E675F0">
      <w:pPr>
        <w:tabs>
          <w:tab w:val="left" w:pos="1088"/>
        </w:tabs>
        <w:spacing w:before="220"/>
        <w:ind w:left="14"/>
        <w:jc w:val="center"/>
        <w:rPr>
          <w:rFonts w:ascii="Arial"/>
          <w:b/>
          <w:sz w:val="26"/>
        </w:rPr>
      </w:pPr>
      <w:r>
        <w:rPr>
          <w:rFonts w:ascii="Arial"/>
          <w:b/>
          <w:w w:val="105"/>
          <w:sz w:val="26"/>
        </w:rPr>
        <w:t>309.21</w:t>
      </w:r>
      <w:r>
        <w:rPr>
          <w:rFonts w:ascii="Arial"/>
          <w:b/>
          <w:w w:val="105"/>
          <w:sz w:val="26"/>
        </w:rPr>
        <w:tab/>
        <w:t>Separation Anxiety</w:t>
      </w:r>
      <w:r>
        <w:rPr>
          <w:rFonts w:ascii="Arial"/>
          <w:b/>
          <w:spacing w:val="-8"/>
          <w:w w:val="105"/>
          <w:sz w:val="26"/>
        </w:rPr>
        <w:t xml:space="preserve"> </w:t>
      </w:r>
      <w:r>
        <w:rPr>
          <w:rFonts w:ascii="Arial"/>
          <w:b/>
          <w:w w:val="105"/>
          <w:sz w:val="26"/>
        </w:rPr>
        <w:t>Disorder</w:t>
      </w:r>
    </w:p>
    <w:p w:rsidR="00E675F0" w:rsidRDefault="00E675F0" w:rsidP="00E675F0">
      <w:pPr>
        <w:pStyle w:val="BodyText"/>
        <w:spacing w:before="4"/>
        <w:rPr>
          <w:rFonts w:ascii="Arial"/>
          <w:b/>
          <w:sz w:val="26"/>
        </w:rPr>
      </w:pPr>
    </w:p>
    <w:p w:rsidR="00E675F0" w:rsidRDefault="00E675F0" w:rsidP="00E675F0">
      <w:pPr>
        <w:ind w:left="115"/>
        <w:jc w:val="both"/>
        <w:rPr>
          <w:rFonts w:ascii="TimesNewRomanPS-BoldItalicMT"/>
          <w:b/>
          <w:i/>
          <w:sz w:val="25"/>
        </w:rPr>
      </w:pPr>
      <w:r>
        <w:rPr>
          <w:rFonts w:ascii="TimesNewRomanPS-BoldItalicMT"/>
          <w:b/>
          <w:i/>
          <w:w w:val="110"/>
          <w:sz w:val="25"/>
        </w:rPr>
        <w:t>Diagnostic Features</w:t>
      </w:r>
    </w:p>
    <w:p w:rsidR="00E675F0" w:rsidRDefault="00E675F0" w:rsidP="00E675F0">
      <w:pPr>
        <w:pStyle w:val="BodyText"/>
        <w:spacing w:before="134" w:line="254" w:lineRule="auto"/>
        <w:ind w:left="143" w:right="101"/>
        <w:jc w:val="right"/>
      </w:pPr>
      <w:r>
        <w:rPr>
          <w:w w:val="105"/>
        </w:rPr>
        <w:t>The essential feature of Separation Anxiety Disorder is excessive</w:t>
      </w:r>
      <w:r>
        <w:rPr>
          <w:spacing w:val="1"/>
          <w:w w:val="105"/>
        </w:rPr>
        <w:t xml:space="preserve"> </w:t>
      </w:r>
      <w:r>
        <w:rPr>
          <w:w w:val="105"/>
        </w:rPr>
        <w:t>anxiety</w:t>
      </w:r>
      <w:r>
        <w:rPr>
          <w:spacing w:val="26"/>
          <w:w w:val="105"/>
        </w:rPr>
        <w:t xml:space="preserve"> </w:t>
      </w:r>
      <w:r>
        <w:rPr>
          <w:w w:val="105"/>
        </w:rPr>
        <w:t>concerning</w:t>
      </w:r>
      <w:r>
        <w:rPr>
          <w:spacing w:val="-1"/>
          <w:w w:val="107"/>
        </w:rPr>
        <w:t xml:space="preserve"> </w:t>
      </w:r>
      <w:r>
        <w:rPr>
          <w:w w:val="105"/>
        </w:rPr>
        <w:t>separation from the home or from those to whom the person is attached</w:t>
      </w:r>
      <w:r>
        <w:rPr>
          <w:spacing w:val="8"/>
          <w:w w:val="105"/>
        </w:rPr>
        <w:t xml:space="preserve"> </w:t>
      </w:r>
      <w:r>
        <w:rPr>
          <w:w w:val="105"/>
        </w:rPr>
        <w:t>(Criterion</w:t>
      </w:r>
      <w:r>
        <w:rPr>
          <w:spacing w:val="23"/>
          <w:w w:val="105"/>
        </w:rPr>
        <w:t xml:space="preserve"> </w:t>
      </w:r>
      <w:r>
        <w:rPr>
          <w:w w:val="105"/>
        </w:rPr>
        <w:t>A).</w:t>
      </w:r>
      <w:r>
        <w:rPr>
          <w:w w:val="98"/>
        </w:rPr>
        <w:t xml:space="preserve"> </w:t>
      </w:r>
      <w:r>
        <w:rPr>
          <w:w w:val="105"/>
        </w:rPr>
        <w:t>This anxiety is beyond that which is expected for the individual's</w:t>
      </w:r>
      <w:r>
        <w:rPr>
          <w:spacing w:val="52"/>
          <w:w w:val="105"/>
        </w:rPr>
        <w:t xml:space="preserve"> </w:t>
      </w:r>
      <w:r>
        <w:rPr>
          <w:w w:val="105"/>
        </w:rPr>
        <w:t>developmental</w:t>
      </w:r>
      <w:r>
        <w:rPr>
          <w:spacing w:val="31"/>
          <w:w w:val="105"/>
        </w:rPr>
        <w:t xml:space="preserve"> </w:t>
      </w:r>
      <w:r>
        <w:rPr>
          <w:w w:val="105"/>
        </w:rPr>
        <w:t>level.</w:t>
      </w:r>
      <w:r>
        <w:rPr>
          <w:spacing w:val="-1"/>
          <w:w w:val="104"/>
        </w:rPr>
        <w:t xml:space="preserve"> </w:t>
      </w:r>
      <w:r>
        <w:rPr>
          <w:w w:val="105"/>
        </w:rPr>
        <w:t>The disturbance must last for a period of at least 4 weeks (Criterion</w:t>
      </w:r>
      <w:r>
        <w:rPr>
          <w:spacing w:val="18"/>
          <w:w w:val="105"/>
        </w:rPr>
        <w:t xml:space="preserve"> </w:t>
      </w:r>
      <w:r>
        <w:rPr>
          <w:w w:val="105"/>
        </w:rPr>
        <w:t>B),  begin</w:t>
      </w:r>
      <w:r>
        <w:rPr>
          <w:spacing w:val="33"/>
          <w:w w:val="105"/>
        </w:rPr>
        <w:t xml:space="preserve"> </w:t>
      </w:r>
      <w:r>
        <w:rPr>
          <w:w w:val="105"/>
        </w:rPr>
        <w:t>before</w:t>
      </w:r>
      <w:r>
        <w:rPr>
          <w:w w:val="107"/>
        </w:rPr>
        <w:t xml:space="preserve"> </w:t>
      </w:r>
      <w:r>
        <w:rPr>
          <w:w w:val="105"/>
        </w:rPr>
        <w:t>age</w:t>
      </w:r>
      <w:r>
        <w:rPr>
          <w:spacing w:val="-22"/>
          <w:w w:val="105"/>
        </w:rPr>
        <w:t xml:space="preserve"> </w:t>
      </w:r>
      <w:r>
        <w:rPr>
          <w:w w:val="105"/>
        </w:rPr>
        <w:t>18</w:t>
      </w:r>
      <w:r>
        <w:rPr>
          <w:spacing w:val="-26"/>
          <w:w w:val="105"/>
        </w:rPr>
        <w:t xml:space="preserve"> </w:t>
      </w:r>
      <w:r>
        <w:rPr>
          <w:w w:val="105"/>
        </w:rPr>
        <w:t>years</w:t>
      </w:r>
      <w:r>
        <w:rPr>
          <w:spacing w:val="-23"/>
          <w:w w:val="105"/>
        </w:rPr>
        <w:t xml:space="preserve"> </w:t>
      </w:r>
      <w:r>
        <w:rPr>
          <w:w w:val="105"/>
        </w:rPr>
        <w:t>(Criterion</w:t>
      </w:r>
      <w:r>
        <w:rPr>
          <w:spacing w:val="-6"/>
          <w:w w:val="105"/>
        </w:rPr>
        <w:t xml:space="preserve"> </w:t>
      </w:r>
      <w:r>
        <w:rPr>
          <w:w w:val="105"/>
        </w:rPr>
        <w:t>C),</w:t>
      </w:r>
      <w:r>
        <w:rPr>
          <w:spacing w:val="-18"/>
          <w:w w:val="105"/>
        </w:rPr>
        <w:t xml:space="preserve"> </w:t>
      </w:r>
      <w:r>
        <w:rPr>
          <w:w w:val="105"/>
        </w:rPr>
        <w:t>and</w:t>
      </w:r>
      <w:r>
        <w:rPr>
          <w:spacing w:val="-12"/>
          <w:w w:val="105"/>
        </w:rPr>
        <w:t xml:space="preserve"> </w:t>
      </w:r>
      <w:r>
        <w:rPr>
          <w:w w:val="105"/>
        </w:rPr>
        <w:t>cause</w:t>
      </w:r>
      <w:r>
        <w:rPr>
          <w:spacing w:val="-15"/>
          <w:w w:val="105"/>
        </w:rPr>
        <w:t xml:space="preserve"> </w:t>
      </w:r>
      <w:r>
        <w:rPr>
          <w:w w:val="105"/>
        </w:rPr>
        <w:t>clinically</w:t>
      </w:r>
      <w:r>
        <w:rPr>
          <w:spacing w:val="-19"/>
          <w:w w:val="105"/>
        </w:rPr>
        <w:t xml:space="preserve"> </w:t>
      </w:r>
      <w:r>
        <w:rPr>
          <w:w w:val="105"/>
        </w:rPr>
        <w:t>significant</w:t>
      </w:r>
      <w:r>
        <w:rPr>
          <w:spacing w:val="-6"/>
          <w:w w:val="105"/>
        </w:rPr>
        <w:t xml:space="preserve"> </w:t>
      </w:r>
      <w:r>
        <w:rPr>
          <w:w w:val="105"/>
        </w:rPr>
        <w:t>distress</w:t>
      </w:r>
      <w:r>
        <w:rPr>
          <w:spacing w:val="-18"/>
          <w:w w:val="105"/>
        </w:rPr>
        <w:t xml:space="preserve"> </w:t>
      </w:r>
      <w:r>
        <w:rPr>
          <w:w w:val="105"/>
        </w:rPr>
        <w:t>or</w:t>
      </w:r>
      <w:r>
        <w:rPr>
          <w:spacing w:val="-17"/>
          <w:w w:val="105"/>
        </w:rPr>
        <w:t xml:space="preserve"> </w:t>
      </w:r>
      <w:r>
        <w:rPr>
          <w:w w:val="105"/>
        </w:rPr>
        <w:t>impairment</w:t>
      </w:r>
      <w:r>
        <w:rPr>
          <w:spacing w:val="-5"/>
          <w:w w:val="105"/>
        </w:rPr>
        <w:t xml:space="preserve"> </w:t>
      </w:r>
      <w:r>
        <w:rPr>
          <w:w w:val="105"/>
        </w:rPr>
        <w:t>in</w:t>
      </w:r>
      <w:r>
        <w:rPr>
          <w:spacing w:val="-23"/>
          <w:w w:val="105"/>
        </w:rPr>
        <w:t xml:space="preserve"> </w:t>
      </w:r>
      <w:r>
        <w:rPr>
          <w:w w:val="105"/>
        </w:rPr>
        <w:t>social,</w:t>
      </w:r>
      <w:r>
        <w:rPr>
          <w:spacing w:val="-1"/>
          <w:w w:val="103"/>
        </w:rPr>
        <w:t xml:space="preserve"> </w:t>
      </w:r>
      <w:r>
        <w:rPr>
          <w:w w:val="105"/>
        </w:rPr>
        <w:t>academic (occupational), or other important areas of functioning (Criterion</w:t>
      </w:r>
      <w:r>
        <w:rPr>
          <w:spacing w:val="-6"/>
          <w:w w:val="105"/>
        </w:rPr>
        <w:t xml:space="preserve"> </w:t>
      </w:r>
      <w:r>
        <w:rPr>
          <w:w w:val="105"/>
        </w:rPr>
        <w:t>D).</w:t>
      </w:r>
      <w:r>
        <w:rPr>
          <w:spacing w:val="30"/>
          <w:w w:val="105"/>
        </w:rPr>
        <w:t xml:space="preserve"> </w:t>
      </w:r>
      <w:r>
        <w:rPr>
          <w:w w:val="105"/>
        </w:rPr>
        <w:t>The</w:t>
      </w:r>
      <w:r>
        <w:rPr>
          <w:spacing w:val="-1"/>
          <w:w w:val="109"/>
        </w:rPr>
        <w:t xml:space="preserve"> </w:t>
      </w:r>
      <w:r>
        <w:rPr>
          <w:w w:val="105"/>
        </w:rPr>
        <w:t>diagnosis is not made if the</w:t>
      </w:r>
      <w:r>
        <w:rPr>
          <w:spacing w:val="36"/>
          <w:w w:val="105"/>
        </w:rPr>
        <w:t xml:space="preserve"> </w:t>
      </w:r>
      <w:r>
        <w:rPr>
          <w:w w:val="105"/>
        </w:rPr>
        <w:t>anxiety occurs exclusively during the course of a</w:t>
      </w:r>
      <w:r>
        <w:rPr>
          <w:spacing w:val="6"/>
          <w:w w:val="105"/>
        </w:rPr>
        <w:t xml:space="preserve"> </w:t>
      </w:r>
      <w:r>
        <w:rPr>
          <w:w w:val="105"/>
        </w:rPr>
        <w:t>Pervasive</w:t>
      </w:r>
      <w:r>
        <w:rPr>
          <w:spacing w:val="-1"/>
          <w:w w:val="103"/>
        </w:rPr>
        <w:t xml:space="preserve"> </w:t>
      </w:r>
      <w:r>
        <w:rPr>
          <w:w w:val="105"/>
        </w:rPr>
        <w:t>Developmental Disorder, Schizophrenia, or other Psychotic Disorder or,</w:t>
      </w:r>
      <w:r>
        <w:rPr>
          <w:spacing w:val="-10"/>
          <w:w w:val="105"/>
        </w:rPr>
        <w:t xml:space="preserve"> </w:t>
      </w:r>
      <w:r>
        <w:rPr>
          <w:w w:val="105"/>
        </w:rPr>
        <w:t>in</w:t>
      </w:r>
      <w:r>
        <w:rPr>
          <w:spacing w:val="-2"/>
          <w:w w:val="105"/>
        </w:rPr>
        <w:t xml:space="preserve"> </w:t>
      </w:r>
      <w:r>
        <w:rPr>
          <w:w w:val="105"/>
        </w:rPr>
        <w:t>adolescents</w:t>
      </w:r>
      <w:r>
        <w:rPr>
          <w:spacing w:val="-1"/>
          <w:w w:val="107"/>
        </w:rPr>
        <w:t xml:space="preserve"> </w:t>
      </w:r>
      <w:r>
        <w:rPr>
          <w:w w:val="105"/>
        </w:rPr>
        <w:t>or adults, if it is better accounted for by Panic Disorder With Agoraphobia</w:t>
      </w:r>
      <w:r>
        <w:rPr>
          <w:spacing w:val="-9"/>
          <w:w w:val="105"/>
        </w:rPr>
        <w:t xml:space="preserve"> </w:t>
      </w:r>
      <w:r>
        <w:rPr>
          <w:w w:val="105"/>
        </w:rPr>
        <w:t>(Criterion</w:t>
      </w:r>
      <w:r>
        <w:rPr>
          <w:spacing w:val="7"/>
          <w:w w:val="105"/>
        </w:rPr>
        <w:t xml:space="preserve"> </w:t>
      </w:r>
      <w:r>
        <w:rPr>
          <w:w w:val="105"/>
        </w:rPr>
        <w:t>E).</w:t>
      </w:r>
      <w:r>
        <w:rPr>
          <w:w w:val="96"/>
        </w:rPr>
        <w:t xml:space="preserve"> </w:t>
      </w:r>
      <w:r>
        <w:rPr>
          <w:w w:val="105"/>
        </w:rPr>
        <w:t>Individuals with this disorder may experience recurrent excessive</w:t>
      </w:r>
      <w:r>
        <w:rPr>
          <w:spacing w:val="33"/>
          <w:w w:val="105"/>
        </w:rPr>
        <w:t xml:space="preserve"> </w:t>
      </w:r>
      <w:r>
        <w:rPr>
          <w:w w:val="105"/>
        </w:rPr>
        <w:t>distress</w:t>
      </w:r>
      <w:r>
        <w:rPr>
          <w:spacing w:val="14"/>
          <w:w w:val="105"/>
        </w:rPr>
        <w:t xml:space="preserve"> </w:t>
      </w:r>
      <w:r>
        <w:rPr>
          <w:w w:val="105"/>
        </w:rPr>
        <w:t>on separation from home or major attachment figures (Criterion Al). When</w:t>
      </w:r>
      <w:r>
        <w:rPr>
          <w:spacing w:val="27"/>
          <w:w w:val="105"/>
        </w:rPr>
        <w:t xml:space="preserve"> </w:t>
      </w:r>
      <w:r>
        <w:rPr>
          <w:w w:val="105"/>
        </w:rPr>
        <w:t>separated</w:t>
      </w:r>
      <w:r>
        <w:rPr>
          <w:spacing w:val="12"/>
          <w:w w:val="105"/>
        </w:rPr>
        <w:t xml:space="preserve"> </w:t>
      </w:r>
      <w:r>
        <w:rPr>
          <w:w w:val="105"/>
        </w:rPr>
        <w:t>from</w:t>
      </w:r>
      <w:r>
        <w:rPr>
          <w:w w:val="104"/>
        </w:rPr>
        <w:t xml:space="preserve"> </w:t>
      </w:r>
      <w:r>
        <w:rPr>
          <w:w w:val="105"/>
        </w:rPr>
        <w:t>attachment figures, they often need to know their whereabouts and need to stay</w:t>
      </w:r>
      <w:r>
        <w:rPr>
          <w:spacing w:val="45"/>
          <w:w w:val="105"/>
        </w:rPr>
        <w:t xml:space="preserve"> </w:t>
      </w:r>
      <w:r>
        <w:rPr>
          <w:w w:val="105"/>
        </w:rPr>
        <w:t>in</w:t>
      </w:r>
      <w:r>
        <w:rPr>
          <w:spacing w:val="3"/>
          <w:w w:val="105"/>
        </w:rPr>
        <w:t xml:space="preserve"> </w:t>
      </w:r>
      <w:r>
        <w:rPr>
          <w:w w:val="105"/>
        </w:rPr>
        <w:t>touch</w:t>
      </w:r>
      <w:r>
        <w:rPr>
          <w:spacing w:val="-1"/>
          <w:w w:val="107"/>
        </w:rPr>
        <w:t xml:space="preserve"> </w:t>
      </w:r>
      <w:r>
        <w:rPr>
          <w:w w:val="105"/>
        </w:rPr>
        <w:t>with them (e.g., by telephone calls). Some individuals become extremely</w:t>
      </w:r>
      <w:r>
        <w:rPr>
          <w:spacing w:val="5"/>
          <w:w w:val="105"/>
        </w:rPr>
        <w:t xml:space="preserve"> </w:t>
      </w:r>
      <w:r>
        <w:rPr>
          <w:w w:val="105"/>
        </w:rPr>
        <w:t>homesick</w:t>
      </w:r>
      <w:r>
        <w:rPr>
          <w:spacing w:val="11"/>
          <w:w w:val="105"/>
        </w:rPr>
        <w:t xml:space="preserve"> </w:t>
      </w:r>
      <w:r>
        <w:rPr>
          <w:w w:val="105"/>
        </w:rPr>
        <w:t>and</w:t>
      </w:r>
      <w:r>
        <w:rPr>
          <w:spacing w:val="-1"/>
          <w:w w:val="105"/>
        </w:rPr>
        <w:t xml:space="preserve"> </w:t>
      </w:r>
      <w:r>
        <w:rPr>
          <w:w w:val="105"/>
        </w:rPr>
        <w:t>uncomfortable to the point of misery when away from home. They may yearn</w:t>
      </w:r>
      <w:r>
        <w:rPr>
          <w:spacing w:val="27"/>
          <w:w w:val="105"/>
        </w:rPr>
        <w:t xml:space="preserve"> </w:t>
      </w:r>
      <w:r>
        <w:rPr>
          <w:w w:val="105"/>
        </w:rPr>
        <w:t>to</w:t>
      </w:r>
      <w:r>
        <w:rPr>
          <w:spacing w:val="2"/>
          <w:w w:val="105"/>
        </w:rPr>
        <w:t xml:space="preserve"> </w:t>
      </w:r>
      <w:r>
        <w:rPr>
          <w:w w:val="105"/>
        </w:rPr>
        <w:t>return</w:t>
      </w:r>
      <w:r>
        <w:rPr>
          <w:w w:val="106"/>
        </w:rPr>
        <w:t xml:space="preserve"> </w:t>
      </w:r>
      <w:r>
        <w:rPr>
          <w:w w:val="105"/>
        </w:rPr>
        <w:t>home</w:t>
      </w:r>
      <w:r>
        <w:rPr>
          <w:spacing w:val="23"/>
          <w:w w:val="105"/>
        </w:rPr>
        <w:t xml:space="preserve"> </w:t>
      </w:r>
      <w:r>
        <w:rPr>
          <w:w w:val="105"/>
        </w:rPr>
        <w:t>and</w:t>
      </w:r>
      <w:r>
        <w:rPr>
          <w:spacing w:val="32"/>
          <w:w w:val="105"/>
        </w:rPr>
        <w:t xml:space="preserve"> </w:t>
      </w:r>
      <w:r>
        <w:rPr>
          <w:w w:val="105"/>
        </w:rPr>
        <w:t>be</w:t>
      </w:r>
      <w:r>
        <w:rPr>
          <w:spacing w:val="24"/>
          <w:w w:val="105"/>
        </w:rPr>
        <w:t xml:space="preserve"> </w:t>
      </w:r>
      <w:r>
        <w:rPr>
          <w:w w:val="105"/>
        </w:rPr>
        <w:t>preoccupied</w:t>
      </w:r>
      <w:r>
        <w:rPr>
          <w:spacing w:val="44"/>
          <w:w w:val="105"/>
        </w:rPr>
        <w:t xml:space="preserve"> </w:t>
      </w:r>
      <w:r>
        <w:rPr>
          <w:w w:val="105"/>
        </w:rPr>
        <w:t>with</w:t>
      </w:r>
      <w:r>
        <w:rPr>
          <w:spacing w:val="26"/>
          <w:w w:val="105"/>
        </w:rPr>
        <w:t xml:space="preserve"> </w:t>
      </w:r>
      <w:r>
        <w:rPr>
          <w:w w:val="105"/>
        </w:rPr>
        <w:t>reunion</w:t>
      </w:r>
      <w:r>
        <w:rPr>
          <w:spacing w:val="20"/>
          <w:w w:val="105"/>
        </w:rPr>
        <w:t xml:space="preserve"> </w:t>
      </w:r>
      <w:r>
        <w:rPr>
          <w:w w:val="105"/>
        </w:rPr>
        <w:t>fantasies.</w:t>
      </w:r>
      <w:r>
        <w:rPr>
          <w:spacing w:val="33"/>
          <w:w w:val="105"/>
        </w:rPr>
        <w:t xml:space="preserve"> </w:t>
      </w:r>
      <w:r>
        <w:rPr>
          <w:w w:val="105"/>
        </w:rPr>
        <w:t>When</w:t>
      </w:r>
      <w:r>
        <w:rPr>
          <w:spacing w:val="26"/>
          <w:w w:val="105"/>
        </w:rPr>
        <w:t xml:space="preserve"> </w:t>
      </w:r>
      <w:r>
        <w:rPr>
          <w:w w:val="105"/>
        </w:rPr>
        <w:t>separated</w:t>
      </w:r>
      <w:r>
        <w:rPr>
          <w:spacing w:val="28"/>
          <w:w w:val="105"/>
        </w:rPr>
        <w:t xml:space="preserve"> </w:t>
      </w:r>
      <w:r>
        <w:rPr>
          <w:w w:val="105"/>
        </w:rPr>
        <w:t>from</w:t>
      </w:r>
      <w:r>
        <w:rPr>
          <w:spacing w:val="27"/>
          <w:w w:val="105"/>
        </w:rPr>
        <w:t xml:space="preserve"> </w:t>
      </w:r>
      <w:r>
        <w:rPr>
          <w:w w:val="105"/>
        </w:rPr>
        <w:t>major</w:t>
      </w:r>
      <w:r>
        <w:rPr>
          <w:spacing w:val="24"/>
          <w:w w:val="105"/>
        </w:rPr>
        <w:t xml:space="preserve"> </w:t>
      </w:r>
      <w:r>
        <w:rPr>
          <w:w w:val="105"/>
        </w:rPr>
        <w:t>attach­</w:t>
      </w:r>
      <w:r>
        <w:rPr>
          <w:spacing w:val="-1"/>
          <w:w w:val="105"/>
        </w:rPr>
        <w:t xml:space="preserve"> </w:t>
      </w:r>
      <w:r>
        <w:rPr>
          <w:w w:val="105"/>
        </w:rPr>
        <w:t>ment figures, these individuals are often preoccupied with fears</w:t>
      </w:r>
      <w:r>
        <w:rPr>
          <w:spacing w:val="30"/>
          <w:w w:val="105"/>
        </w:rPr>
        <w:t xml:space="preserve"> </w:t>
      </w:r>
      <w:r>
        <w:rPr>
          <w:w w:val="105"/>
        </w:rPr>
        <w:t>that accidents or</w:t>
      </w:r>
      <w:r>
        <w:rPr>
          <w:spacing w:val="2"/>
          <w:w w:val="105"/>
        </w:rPr>
        <w:t xml:space="preserve"> </w:t>
      </w:r>
      <w:r>
        <w:rPr>
          <w:w w:val="105"/>
        </w:rPr>
        <w:t>illness</w:t>
      </w:r>
      <w:r>
        <w:rPr>
          <w:spacing w:val="-1"/>
          <w:w w:val="103"/>
        </w:rPr>
        <w:t xml:space="preserve"> </w:t>
      </w:r>
      <w:r>
        <w:rPr>
          <w:w w:val="105"/>
        </w:rPr>
        <w:t>will</w:t>
      </w:r>
      <w:r>
        <w:rPr>
          <w:spacing w:val="-23"/>
          <w:w w:val="105"/>
        </w:rPr>
        <w:t xml:space="preserve"> </w:t>
      </w:r>
      <w:r>
        <w:rPr>
          <w:w w:val="105"/>
        </w:rPr>
        <w:t>befall</w:t>
      </w:r>
      <w:r>
        <w:rPr>
          <w:spacing w:val="-20"/>
          <w:w w:val="105"/>
        </w:rPr>
        <w:t xml:space="preserve"> </w:t>
      </w:r>
      <w:r>
        <w:rPr>
          <w:w w:val="105"/>
        </w:rPr>
        <w:t>the</w:t>
      </w:r>
      <w:r>
        <w:rPr>
          <w:spacing w:val="-7"/>
          <w:w w:val="105"/>
        </w:rPr>
        <w:t xml:space="preserve"> </w:t>
      </w:r>
      <w:r>
        <w:rPr>
          <w:w w:val="105"/>
        </w:rPr>
        <w:t>attachment</w:t>
      </w:r>
      <w:r>
        <w:rPr>
          <w:spacing w:val="-14"/>
          <w:w w:val="105"/>
        </w:rPr>
        <w:t xml:space="preserve"> </w:t>
      </w:r>
      <w:r>
        <w:rPr>
          <w:w w:val="105"/>
        </w:rPr>
        <w:t>figures</w:t>
      </w:r>
      <w:r>
        <w:rPr>
          <w:spacing w:val="-20"/>
          <w:w w:val="105"/>
        </w:rPr>
        <w:t xml:space="preserve"> </w:t>
      </w:r>
      <w:r>
        <w:rPr>
          <w:w w:val="105"/>
        </w:rPr>
        <w:t>or</w:t>
      </w:r>
      <w:r>
        <w:rPr>
          <w:spacing w:val="-17"/>
          <w:w w:val="105"/>
        </w:rPr>
        <w:t xml:space="preserve"> </w:t>
      </w:r>
      <w:r>
        <w:rPr>
          <w:w w:val="105"/>
        </w:rPr>
        <w:t>themselves</w:t>
      </w:r>
      <w:r>
        <w:rPr>
          <w:spacing w:val="-16"/>
          <w:w w:val="105"/>
        </w:rPr>
        <w:t xml:space="preserve"> </w:t>
      </w:r>
      <w:r>
        <w:rPr>
          <w:w w:val="105"/>
        </w:rPr>
        <w:t>(Criterion</w:t>
      </w:r>
      <w:r>
        <w:rPr>
          <w:spacing w:val="-20"/>
          <w:w w:val="105"/>
        </w:rPr>
        <w:t xml:space="preserve"> </w:t>
      </w:r>
      <w:r>
        <w:rPr>
          <w:w w:val="105"/>
        </w:rPr>
        <w:t>AZ).</w:t>
      </w:r>
      <w:r>
        <w:rPr>
          <w:spacing w:val="-18"/>
          <w:w w:val="105"/>
        </w:rPr>
        <w:t xml:space="preserve"> </w:t>
      </w:r>
      <w:r>
        <w:rPr>
          <w:w w:val="105"/>
        </w:rPr>
        <w:t>Children</w:t>
      </w:r>
      <w:r>
        <w:rPr>
          <w:spacing w:val="-9"/>
          <w:w w:val="105"/>
        </w:rPr>
        <w:t xml:space="preserve"> </w:t>
      </w:r>
      <w:r>
        <w:rPr>
          <w:w w:val="105"/>
        </w:rPr>
        <w:t>with</w:t>
      </w:r>
      <w:r>
        <w:rPr>
          <w:spacing w:val="-16"/>
          <w:w w:val="105"/>
        </w:rPr>
        <w:t xml:space="preserve"> </w:t>
      </w:r>
      <w:r>
        <w:rPr>
          <w:w w:val="105"/>
        </w:rPr>
        <w:t>this</w:t>
      </w:r>
      <w:r>
        <w:rPr>
          <w:spacing w:val="-23"/>
          <w:w w:val="105"/>
        </w:rPr>
        <w:t xml:space="preserve"> </w:t>
      </w:r>
      <w:r>
        <w:rPr>
          <w:w w:val="105"/>
        </w:rPr>
        <w:t>disorder</w:t>
      </w:r>
      <w:r>
        <w:rPr>
          <w:w w:val="107"/>
        </w:rPr>
        <w:t xml:space="preserve"> </w:t>
      </w:r>
      <w:r>
        <w:rPr>
          <w:w w:val="105"/>
        </w:rPr>
        <w:t>often express fear of being lost and never being reunited with their</w:t>
      </w:r>
      <w:r>
        <w:rPr>
          <w:spacing w:val="18"/>
          <w:w w:val="105"/>
        </w:rPr>
        <w:t xml:space="preserve"> </w:t>
      </w:r>
      <w:r>
        <w:rPr>
          <w:w w:val="105"/>
        </w:rPr>
        <w:t>parents</w:t>
      </w:r>
      <w:r>
        <w:rPr>
          <w:spacing w:val="19"/>
          <w:w w:val="105"/>
        </w:rPr>
        <w:t xml:space="preserve"> </w:t>
      </w:r>
      <w:r>
        <w:rPr>
          <w:w w:val="105"/>
        </w:rPr>
        <w:t>(Criterion</w:t>
      </w:r>
      <w:r>
        <w:rPr>
          <w:spacing w:val="-1"/>
          <w:w w:val="102"/>
        </w:rPr>
        <w:t xml:space="preserve"> </w:t>
      </w:r>
      <w:r>
        <w:rPr>
          <w:w w:val="105"/>
        </w:rPr>
        <w:t>A3). They are often uncomfortable when traveling independently away from</w:t>
      </w:r>
      <w:r>
        <w:rPr>
          <w:spacing w:val="32"/>
          <w:w w:val="105"/>
        </w:rPr>
        <w:t xml:space="preserve"> </w:t>
      </w:r>
      <w:r>
        <w:rPr>
          <w:w w:val="105"/>
        </w:rPr>
        <w:t>the</w:t>
      </w:r>
      <w:r>
        <w:rPr>
          <w:spacing w:val="10"/>
          <w:w w:val="105"/>
        </w:rPr>
        <w:t xml:space="preserve"> </w:t>
      </w:r>
      <w:r>
        <w:rPr>
          <w:w w:val="105"/>
        </w:rPr>
        <w:t>house</w:t>
      </w:r>
      <w:r>
        <w:rPr>
          <w:w w:val="109"/>
        </w:rPr>
        <w:t xml:space="preserve"> </w:t>
      </w:r>
      <w:r>
        <w:rPr>
          <w:w w:val="105"/>
        </w:rPr>
        <w:t>or from other familiar areas and may avoid going places by themselves. They</w:t>
      </w:r>
      <w:r>
        <w:rPr>
          <w:spacing w:val="1"/>
          <w:w w:val="105"/>
        </w:rPr>
        <w:t xml:space="preserve"> </w:t>
      </w:r>
      <w:r>
        <w:rPr>
          <w:w w:val="105"/>
        </w:rPr>
        <w:t>may</w:t>
      </w:r>
      <w:r>
        <w:rPr>
          <w:spacing w:val="20"/>
          <w:w w:val="105"/>
        </w:rPr>
        <w:t xml:space="preserve"> </w:t>
      </w:r>
      <w:r>
        <w:rPr>
          <w:w w:val="105"/>
        </w:rPr>
        <w:t>be</w:t>
      </w:r>
      <w:r>
        <w:rPr>
          <w:w w:val="110"/>
        </w:rPr>
        <w:t xml:space="preserve"> </w:t>
      </w:r>
      <w:r>
        <w:rPr>
          <w:w w:val="105"/>
        </w:rPr>
        <w:t>reluctant or refuse to attend school or camp, to visit or sleep at friends' homes, or</w:t>
      </w:r>
      <w:r>
        <w:rPr>
          <w:spacing w:val="19"/>
          <w:w w:val="105"/>
        </w:rPr>
        <w:t xml:space="preserve"> </w:t>
      </w:r>
      <w:r>
        <w:rPr>
          <w:w w:val="105"/>
        </w:rPr>
        <w:t>to</w:t>
      </w:r>
      <w:r>
        <w:rPr>
          <w:spacing w:val="-7"/>
          <w:w w:val="105"/>
        </w:rPr>
        <w:t xml:space="preserve"> </w:t>
      </w:r>
      <w:r>
        <w:rPr>
          <w:w w:val="105"/>
        </w:rPr>
        <w:t>go</w:t>
      </w:r>
      <w:r>
        <w:rPr>
          <w:w w:val="109"/>
        </w:rPr>
        <w:t xml:space="preserve"> </w:t>
      </w:r>
      <w:r>
        <w:rPr>
          <w:w w:val="105"/>
        </w:rPr>
        <w:t>on errands (Criterion A4). These children may be unable to stay in a room</w:t>
      </w:r>
      <w:r>
        <w:rPr>
          <w:spacing w:val="-37"/>
          <w:w w:val="105"/>
        </w:rPr>
        <w:t xml:space="preserve"> </w:t>
      </w:r>
      <w:r>
        <w:rPr>
          <w:w w:val="105"/>
        </w:rPr>
        <w:t>by</w:t>
      </w:r>
      <w:r>
        <w:rPr>
          <w:spacing w:val="-9"/>
          <w:w w:val="105"/>
        </w:rPr>
        <w:t xml:space="preserve"> </w:t>
      </w:r>
      <w:r>
        <w:rPr>
          <w:w w:val="105"/>
        </w:rPr>
        <w:t>themselves</w:t>
      </w:r>
      <w:r>
        <w:rPr>
          <w:spacing w:val="-1"/>
          <w:w w:val="106"/>
        </w:rPr>
        <w:t xml:space="preserve"> </w:t>
      </w:r>
      <w:r>
        <w:rPr>
          <w:w w:val="105"/>
        </w:rPr>
        <w:t>and</w:t>
      </w:r>
      <w:r>
        <w:rPr>
          <w:spacing w:val="10"/>
          <w:w w:val="105"/>
        </w:rPr>
        <w:t xml:space="preserve"> </w:t>
      </w:r>
      <w:r>
        <w:rPr>
          <w:w w:val="105"/>
        </w:rPr>
        <w:t>may</w:t>
      </w:r>
      <w:r>
        <w:rPr>
          <w:spacing w:val="-15"/>
          <w:w w:val="105"/>
        </w:rPr>
        <w:t xml:space="preserve"> </w:t>
      </w:r>
      <w:r>
        <w:rPr>
          <w:w w:val="105"/>
        </w:rPr>
        <w:t>display</w:t>
      </w:r>
      <w:r>
        <w:rPr>
          <w:spacing w:val="-9"/>
          <w:w w:val="105"/>
        </w:rPr>
        <w:t xml:space="preserve"> </w:t>
      </w:r>
      <w:r>
        <w:rPr>
          <w:w w:val="105"/>
        </w:rPr>
        <w:t>"clinging"</w:t>
      </w:r>
      <w:r>
        <w:rPr>
          <w:spacing w:val="-2"/>
          <w:w w:val="105"/>
        </w:rPr>
        <w:t xml:space="preserve"> </w:t>
      </w:r>
      <w:r>
        <w:rPr>
          <w:w w:val="105"/>
        </w:rPr>
        <w:t>behavior,</w:t>
      </w:r>
      <w:r>
        <w:rPr>
          <w:spacing w:val="-1"/>
          <w:w w:val="105"/>
        </w:rPr>
        <w:t xml:space="preserve"> </w:t>
      </w:r>
      <w:r>
        <w:rPr>
          <w:w w:val="105"/>
        </w:rPr>
        <w:t>staying</w:t>
      </w:r>
      <w:r>
        <w:rPr>
          <w:spacing w:val="-8"/>
          <w:w w:val="105"/>
        </w:rPr>
        <w:t xml:space="preserve"> </w:t>
      </w:r>
      <w:r>
        <w:rPr>
          <w:w w:val="105"/>
        </w:rPr>
        <w:t>close</w:t>
      </w:r>
      <w:r>
        <w:rPr>
          <w:spacing w:val="-12"/>
          <w:w w:val="105"/>
        </w:rPr>
        <w:t xml:space="preserve"> </w:t>
      </w:r>
      <w:r>
        <w:rPr>
          <w:w w:val="105"/>
        </w:rPr>
        <w:t>to</w:t>
      </w:r>
      <w:r>
        <w:rPr>
          <w:spacing w:val="-21"/>
          <w:w w:val="105"/>
        </w:rPr>
        <w:t xml:space="preserve"> </w:t>
      </w:r>
      <w:r>
        <w:rPr>
          <w:w w:val="105"/>
        </w:rPr>
        <w:t>and</w:t>
      </w:r>
      <w:r>
        <w:rPr>
          <w:spacing w:val="-4"/>
          <w:w w:val="105"/>
        </w:rPr>
        <w:t xml:space="preserve"> </w:t>
      </w:r>
      <w:r>
        <w:rPr>
          <w:w w:val="105"/>
        </w:rPr>
        <w:t>"shadowing"</w:t>
      </w:r>
      <w:r>
        <w:rPr>
          <w:spacing w:val="-5"/>
          <w:w w:val="105"/>
        </w:rPr>
        <w:t xml:space="preserve"> </w:t>
      </w:r>
      <w:r>
        <w:rPr>
          <w:w w:val="105"/>
        </w:rPr>
        <w:t>the</w:t>
      </w:r>
      <w:r>
        <w:rPr>
          <w:spacing w:val="-7"/>
          <w:w w:val="105"/>
        </w:rPr>
        <w:t xml:space="preserve"> </w:t>
      </w:r>
      <w:r>
        <w:rPr>
          <w:w w:val="105"/>
        </w:rPr>
        <w:t>parent</w:t>
      </w:r>
      <w:r>
        <w:rPr>
          <w:spacing w:val="1"/>
          <w:w w:val="105"/>
        </w:rPr>
        <w:t xml:space="preserve"> </w:t>
      </w:r>
      <w:r>
        <w:rPr>
          <w:w w:val="105"/>
        </w:rPr>
        <w:t>around</w:t>
      </w:r>
    </w:p>
    <w:p w:rsidR="00E675F0" w:rsidRDefault="00E675F0" w:rsidP="00E675F0">
      <w:pPr>
        <w:pStyle w:val="BodyText"/>
        <w:spacing w:line="203" w:lineRule="exact"/>
        <w:ind w:left="133"/>
        <w:jc w:val="both"/>
      </w:pPr>
      <w:r>
        <w:rPr>
          <w:w w:val="105"/>
        </w:rPr>
        <w:t>the house (Criterion A5).</w:t>
      </w:r>
    </w:p>
    <w:p w:rsidR="00E675F0" w:rsidRDefault="00E675F0" w:rsidP="00E675F0">
      <w:pPr>
        <w:pStyle w:val="BodyText"/>
        <w:spacing w:before="20" w:line="254" w:lineRule="auto"/>
        <w:ind w:left="125" w:right="105" w:firstLine="363"/>
        <w:jc w:val="both"/>
      </w:pPr>
      <w:r>
        <w:rPr>
          <w:w w:val="105"/>
        </w:rPr>
        <w:t>Children with this disorder often have difficulty at bedtime and may insist that someone stay with them until they fall asleep (Criterion A6). During the night, they may make their way to their parents' bed (or that of another significant person, such as a</w:t>
      </w:r>
    </w:p>
    <w:p w:rsidR="00E675F0" w:rsidRDefault="00E675F0" w:rsidP="00E675F0">
      <w:pPr>
        <w:spacing w:line="254" w:lineRule="auto"/>
        <w:jc w:val="both"/>
        <w:sectPr w:rsidR="00E675F0">
          <w:pgSz w:w="8960" w:h="14260"/>
          <w:pgMar w:top="960" w:right="620" w:bottom="280" w:left="620" w:header="688" w:footer="0" w:gutter="0"/>
          <w:cols w:space="720"/>
        </w:sectPr>
      </w:pPr>
    </w:p>
    <w:p w:rsidR="00E675F0" w:rsidRDefault="00E675F0" w:rsidP="00E675F0">
      <w:pPr>
        <w:pStyle w:val="BodyText"/>
        <w:spacing w:before="123" w:line="254" w:lineRule="auto"/>
        <w:ind w:left="137" w:right="111" w:hanging="4"/>
        <w:jc w:val="both"/>
      </w:pPr>
      <w:r>
        <w:rPr>
          <w:w w:val="105"/>
        </w:rPr>
        <w:lastRenderedPageBreak/>
        <w:t>sibling); if entry to the parental bedroom is barred, they may sleep outside the parents' door. There may be nightmares whose content expresses the individual's fears (e.g., destruction of the family through fire, murder, or other catastrophe) (Criterion A7). Physical complaints, such as stomachaches, headaches, nausea, and vomiting are common when separation occurs or is anticipated (Criterion A8). Cardiovascular symptoms such as palpitations, dizziness, and feeling faint are rare in younger children but may occur in older individuals.</w:t>
      </w:r>
    </w:p>
    <w:p w:rsidR="00E675F0" w:rsidRDefault="00E675F0" w:rsidP="00E675F0">
      <w:pPr>
        <w:pStyle w:val="BodyText"/>
        <w:rPr>
          <w:sz w:val="22"/>
        </w:rPr>
      </w:pPr>
    </w:p>
    <w:p w:rsidR="00E675F0" w:rsidRDefault="00E675F0" w:rsidP="00E675F0">
      <w:pPr>
        <w:spacing w:before="138"/>
        <w:ind w:left="130"/>
        <w:rPr>
          <w:rFonts w:ascii="TimesNewRomanPS-BoldItalicMT"/>
          <w:b/>
          <w:i/>
          <w:sz w:val="24"/>
        </w:rPr>
      </w:pPr>
      <w:r>
        <w:rPr>
          <w:rFonts w:ascii="TimesNewRomanPS-BoldItalicMT"/>
          <w:b/>
          <w:i/>
          <w:w w:val="115"/>
          <w:sz w:val="24"/>
        </w:rPr>
        <w:t>Specifier</w:t>
      </w:r>
    </w:p>
    <w:p w:rsidR="00E675F0" w:rsidRDefault="00E675F0" w:rsidP="00E675F0">
      <w:pPr>
        <w:pStyle w:val="BodyText"/>
        <w:spacing w:before="136" w:line="256" w:lineRule="auto"/>
        <w:ind w:left="748" w:right="125" w:hanging="7"/>
      </w:pPr>
      <w:r>
        <w:rPr>
          <w:b/>
          <w:w w:val="105"/>
        </w:rPr>
        <w:t xml:space="preserve">EarlyOnset. </w:t>
      </w:r>
      <w:r>
        <w:rPr>
          <w:w w:val="105"/>
        </w:rPr>
        <w:t>This specifier may be used to indicate onset of the disorder before age 6 years.</w:t>
      </w:r>
    </w:p>
    <w:p w:rsidR="00E675F0" w:rsidRDefault="00E675F0" w:rsidP="00E675F0">
      <w:pPr>
        <w:pStyle w:val="BodyText"/>
        <w:rPr>
          <w:sz w:val="22"/>
        </w:rPr>
      </w:pPr>
    </w:p>
    <w:p w:rsidR="00E675F0" w:rsidRDefault="00E675F0" w:rsidP="00E675F0">
      <w:pPr>
        <w:spacing w:before="141"/>
        <w:ind w:left="119"/>
        <w:rPr>
          <w:rFonts w:ascii="TimesNewRomanPS-BoldItalicMT"/>
          <w:b/>
          <w:i/>
          <w:sz w:val="24"/>
        </w:rPr>
      </w:pPr>
      <w:r>
        <w:rPr>
          <w:rFonts w:ascii="TimesNewRomanPS-BoldItalicMT"/>
          <w:b/>
          <w:i/>
          <w:w w:val="115"/>
          <w:sz w:val="24"/>
        </w:rPr>
        <w:t>Associated Features and Mental Disorders</w:t>
      </w:r>
    </w:p>
    <w:p w:rsidR="00E675F0" w:rsidRDefault="00E675F0" w:rsidP="00E675F0">
      <w:pPr>
        <w:pStyle w:val="BodyText"/>
        <w:spacing w:before="136" w:line="252" w:lineRule="auto"/>
        <w:ind w:left="139" w:right="115" w:firstLine="7"/>
        <w:jc w:val="both"/>
      </w:pPr>
      <w:r>
        <w:rPr>
          <w:w w:val="105"/>
        </w:rPr>
        <w:t>Children</w:t>
      </w:r>
      <w:r>
        <w:rPr>
          <w:spacing w:val="-6"/>
          <w:w w:val="105"/>
        </w:rPr>
        <w:t xml:space="preserve"> </w:t>
      </w:r>
      <w:r>
        <w:rPr>
          <w:w w:val="105"/>
        </w:rPr>
        <w:t>with</w:t>
      </w:r>
      <w:r>
        <w:rPr>
          <w:spacing w:val="-17"/>
          <w:w w:val="105"/>
        </w:rPr>
        <w:t xml:space="preserve"> </w:t>
      </w:r>
      <w:r>
        <w:rPr>
          <w:w w:val="105"/>
        </w:rPr>
        <w:t>Separation</w:t>
      </w:r>
      <w:r>
        <w:rPr>
          <w:spacing w:val="-9"/>
          <w:w w:val="105"/>
        </w:rPr>
        <w:t xml:space="preserve"> </w:t>
      </w:r>
      <w:r>
        <w:rPr>
          <w:w w:val="105"/>
        </w:rPr>
        <w:t>Anxiety</w:t>
      </w:r>
      <w:r>
        <w:rPr>
          <w:spacing w:val="-7"/>
          <w:w w:val="105"/>
        </w:rPr>
        <w:t xml:space="preserve"> </w:t>
      </w:r>
      <w:r>
        <w:rPr>
          <w:w w:val="105"/>
        </w:rPr>
        <w:t>Disorder</w:t>
      </w:r>
      <w:r>
        <w:rPr>
          <w:spacing w:val="-9"/>
          <w:w w:val="105"/>
        </w:rPr>
        <w:t xml:space="preserve"> </w:t>
      </w:r>
      <w:r>
        <w:rPr>
          <w:w w:val="105"/>
        </w:rPr>
        <w:t>tend</w:t>
      </w:r>
      <w:r>
        <w:rPr>
          <w:spacing w:val="-6"/>
          <w:w w:val="105"/>
        </w:rPr>
        <w:t xml:space="preserve"> </w:t>
      </w:r>
      <w:r>
        <w:rPr>
          <w:w w:val="105"/>
        </w:rPr>
        <w:t>to</w:t>
      </w:r>
      <w:r>
        <w:rPr>
          <w:spacing w:val="-24"/>
          <w:w w:val="105"/>
        </w:rPr>
        <w:t xml:space="preserve"> </w:t>
      </w:r>
      <w:r>
        <w:rPr>
          <w:w w:val="105"/>
        </w:rPr>
        <w:t>come</w:t>
      </w:r>
      <w:r>
        <w:rPr>
          <w:spacing w:val="-21"/>
          <w:w w:val="105"/>
        </w:rPr>
        <w:t xml:space="preserve"> </w:t>
      </w:r>
      <w:r>
        <w:rPr>
          <w:w w:val="105"/>
        </w:rPr>
        <w:t>from</w:t>
      </w:r>
      <w:r>
        <w:rPr>
          <w:spacing w:val="-16"/>
          <w:w w:val="105"/>
        </w:rPr>
        <w:t xml:space="preserve"> </w:t>
      </w:r>
      <w:r>
        <w:rPr>
          <w:w w:val="105"/>
        </w:rPr>
        <w:t>families</w:t>
      </w:r>
      <w:r>
        <w:rPr>
          <w:spacing w:val="-10"/>
          <w:w w:val="105"/>
        </w:rPr>
        <w:t xml:space="preserve"> </w:t>
      </w:r>
      <w:r>
        <w:rPr>
          <w:w w:val="105"/>
        </w:rPr>
        <w:t>that</w:t>
      </w:r>
      <w:r>
        <w:rPr>
          <w:spacing w:val="-15"/>
          <w:w w:val="105"/>
        </w:rPr>
        <w:t xml:space="preserve"> </w:t>
      </w:r>
      <w:r>
        <w:rPr>
          <w:w w:val="105"/>
        </w:rPr>
        <w:t>are</w:t>
      </w:r>
      <w:r>
        <w:rPr>
          <w:spacing w:val="-23"/>
          <w:w w:val="105"/>
        </w:rPr>
        <w:t xml:space="preserve"> </w:t>
      </w:r>
      <w:r>
        <w:rPr>
          <w:w w:val="105"/>
        </w:rPr>
        <w:t xml:space="preserve">close-knit. When separated from home or major attachment figures, they may recurrently exhibit social withdrawal, apathy, sadness, or difficulty concentrating on work or play. Depending on their age, individuals may have fears of animals, monsters, the dark, muggers, burglars, kidnappers, car accidents, plane travel, and other situations that are perceived as presenting danger to the integrity of the family or themselves. Concerns about death and dying are common. School refusal may lead to academic  difficulties and social avoidance. Children may complain that no one loves them or cares about them and that they wish they were dead. When extremely upset at the prospect of separation, they may show anger or occasionally hit out at someone who is forcing separation. When alone, especially in the evening, young children may report unusual perceptual experiences (e.g., seeing people peering into their room, scary creatures reaching for them, feeling eyes staring at them). Children with this disorder are often described as demanding, intrusive, and in need of constant attention. The child's excessive demands often become a source of parental frustration, leading to resentment and conflict in the family. Sometimes, children with the disorder are described as unusually conscientious, compliant, and eager to please. The children may have somatic complaints that result </w:t>
      </w:r>
      <w:r>
        <w:rPr>
          <w:w w:val="105"/>
          <w:sz w:val="17"/>
        </w:rPr>
        <w:t xml:space="preserve">in </w:t>
      </w:r>
      <w:r>
        <w:rPr>
          <w:w w:val="105"/>
        </w:rPr>
        <w:t>physical examinations and medical procedures.  Depressed mood is frequently present and may become more persistent over time, justifying an additional diagnosis of Dysthymic Disorder or Major Depressive Disorder. The disorder may precede the development of Panic Disorder With</w:t>
      </w:r>
      <w:r>
        <w:rPr>
          <w:spacing w:val="20"/>
          <w:w w:val="105"/>
        </w:rPr>
        <w:t xml:space="preserve"> </w:t>
      </w:r>
      <w:r>
        <w:rPr>
          <w:w w:val="105"/>
        </w:rPr>
        <w:t>Agoraphobia.</w:t>
      </w:r>
    </w:p>
    <w:p w:rsidR="00E675F0" w:rsidRDefault="00E675F0" w:rsidP="00E675F0">
      <w:pPr>
        <w:pStyle w:val="BodyText"/>
        <w:rPr>
          <w:sz w:val="22"/>
        </w:rPr>
      </w:pPr>
    </w:p>
    <w:p w:rsidR="00E675F0" w:rsidRDefault="00E675F0" w:rsidP="00E675F0">
      <w:pPr>
        <w:spacing w:before="157"/>
        <w:ind w:left="135"/>
        <w:rPr>
          <w:rFonts w:ascii="TimesNewRomanPS-BoldItalicMT"/>
          <w:b/>
          <w:i/>
          <w:sz w:val="24"/>
        </w:rPr>
      </w:pPr>
      <w:r>
        <w:rPr>
          <w:rFonts w:ascii="TimesNewRomanPS-BoldItalicMT"/>
          <w:b/>
          <w:i/>
          <w:w w:val="110"/>
          <w:sz w:val="24"/>
        </w:rPr>
        <w:t>Specific Culture, Age, and Gender Features</w:t>
      </w:r>
    </w:p>
    <w:p w:rsidR="00E675F0" w:rsidRDefault="00E675F0" w:rsidP="00E675F0">
      <w:pPr>
        <w:pStyle w:val="BodyText"/>
        <w:spacing w:before="141" w:line="259" w:lineRule="auto"/>
        <w:ind w:left="144" w:right="121" w:hanging="6"/>
        <w:jc w:val="both"/>
      </w:pPr>
      <w:r>
        <w:rPr>
          <w:w w:val="110"/>
        </w:rPr>
        <w:t>There</w:t>
      </w:r>
      <w:r>
        <w:rPr>
          <w:spacing w:val="-13"/>
          <w:w w:val="110"/>
        </w:rPr>
        <w:t xml:space="preserve"> </w:t>
      </w:r>
      <w:r>
        <w:rPr>
          <w:w w:val="110"/>
        </w:rPr>
        <w:t>are</w:t>
      </w:r>
      <w:r>
        <w:rPr>
          <w:spacing w:val="-19"/>
          <w:w w:val="110"/>
        </w:rPr>
        <w:t xml:space="preserve"> </w:t>
      </w:r>
      <w:r>
        <w:rPr>
          <w:w w:val="110"/>
        </w:rPr>
        <w:t>cultural</w:t>
      </w:r>
      <w:r>
        <w:rPr>
          <w:spacing w:val="-16"/>
          <w:w w:val="110"/>
        </w:rPr>
        <w:t xml:space="preserve"> </w:t>
      </w:r>
      <w:r>
        <w:rPr>
          <w:w w:val="110"/>
        </w:rPr>
        <w:t>variations</w:t>
      </w:r>
      <w:r>
        <w:rPr>
          <w:spacing w:val="-12"/>
          <w:w w:val="110"/>
        </w:rPr>
        <w:t xml:space="preserve"> </w:t>
      </w:r>
      <w:r>
        <w:rPr>
          <w:w w:val="110"/>
        </w:rPr>
        <w:t>in</w:t>
      </w:r>
      <w:r>
        <w:rPr>
          <w:spacing w:val="-17"/>
          <w:w w:val="110"/>
        </w:rPr>
        <w:t xml:space="preserve"> </w:t>
      </w:r>
      <w:r>
        <w:rPr>
          <w:w w:val="110"/>
        </w:rPr>
        <w:t>the</w:t>
      </w:r>
      <w:r>
        <w:rPr>
          <w:spacing w:val="-19"/>
          <w:w w:val="110"/>
        </w:rPr>
        <w:t xml:space="preserve"> </w:t>
      </w:r>
      <w:r>
        <w:rPr>
          <w:w w:val="110"/>
        </w:rPr>
        <w:t>degree</w:t>
      </w:r>
      <w:r>
        <w:rPr>
          <w:spacing w:val="-17"/>
          <w:w w:val="110"/>
        </w:rPr>
        <w:t xml:space="preserve"> </w:t>
      </w:r>
      <w:r>
        <w:rPr>
          <w:w w:val="110"/>
        </w:rPr>
        <w:t>to</w:t>
      </w:r>
      <w:r>
        <w:rPr>
          <w:spacing w:val="-23"/>
          <w:w w:val="110"/>
        </w:rPr>
        <w:t xml:space="preserve"> </w:t>
      </w:r>
      <w:r>
        <w:rPr>
          <w:w w:val="110"/>
        </w:rPr>
        <w:t>which</w:t>
      </w:r>
      <w:r>
        <w:rPr>
          <w:spacing w:val="-15"/>
          <w:w w:val="110"/>
        </w:rPr>
        <w:t xml:space="preserve"> </w:t>
      </w:r>
      <w:r>
        <w:rPr>
          <w:w w:val="110"/>
        </w:rPr>
        <w:t>it</w:t>
      </w:r>
      <w:r>
        <w:rPr>
          <w:spacing w:val="-15"/>
          <w:w w:val="110"/>
        </w:rPr>
        <w:t xml:space="preserve"> </w:t>
      </w:r>
      <w:r>
        <w:rPr>
          <w:w w:val="110"/>
        </w:rPr>
        <w:t>is</w:t>
      </w:r>
      <w:r>
        <w:rPr>
          <w:spacing w:val="-24"/>
          <w:w w:val="110"/>
        </w:rPr>
        <w:t xml:space="preserve"> </w:t>
      </w:r>
      <w:r>
        <w:rPr>
          <w:w w:val="110"/>
        </w:rPr>
        <w:t>considered</w:t>
      </w:r>
      <w:r>
        <w:rPr>
          <w:spacing w:val="-5"/>
          <w:w w:val="110"/>
        </w:rPr>
        <w:t xml:space="preserve"> </w:t>
      </w:r>
      <w:r>
        <w:rPr>
          <w:w w:val="110"/>
        </w:rPr>
        <w:t>desirable</w:t>
      </w:r>
      <w:r>
        <w:rPr>
          <w:spacing w:val="-11"/>
          <w:w w:val="110"/>
        </w:rPr>
        <w:t xml:space="preserve"> </w:t>
      </w:r>
      <w:r>
        <w:rPr>
          <w:w w:val="110"/>
        </w:rPr>
        <w:t>to</w:t>
      </w:r>
      <w:r>
        <w:rPr>
          <w:spacing w:val="-23"/>
          <w:w w:val="110"/>
        </w:rPr>
        <w:t xml:space="preserve"> </w:t>
      </w:r>
      <w:r>
        <w:rPr>
          <w:w w:val="110"/>
        </w:rPr>
        <w:t xml:space="preserve">tolerate separation. </w:t>
      </w:r>
      <w:r>
        <w:rPr>
          <w:w w:val="110"/>
          <w:sz w:val="19"/>
        </w:rPr>
        <w:t xml:space="preserve">It </w:t>
      </w:r>
      <w:r>
        <w:rPr>
          <w:w w:val="110"/>
        </w:rPr>
        <w:t>is important to differentiate Separation Anxiety Disorder from the high value some cultures place on strong interdependence among family</w:t>
      </w:r>
      <w:r>
        <w:rPr>
          <w:spacing w:val="-8"/>
          <w:w w:val="110"/>
        </w:rPr>
        <w:t xml:space="preserve"> </w:t>
      </w:r>
      <w:r>
        <w:rPr>
          <w:w w:val="110"/>
        </w:rPr>
        <w:t>members.</w:t>
      </w:r>
    </w:p>
    <w:p w:rsidR="00E675F0" w:rsidRDefault="00E675F0" w:rsidP="00E675F0">
      <w:pPr>
        <w:pStyle w:val="BodyText"/>
        <w:spacing w:line="254" w:lineRule="auto"/>
        <w:ind w:left="141" w:right="113" w:firstLine="362"/>
        <w:jc w:val="both"/>
      </w:pPr>
      <w:r>
        <w:rPr>
          <w:w w:val="105"/>
        </w:rPr>
        <w:t>The manifestations of the disorder may vary with age. Younger children may not express specific fears of definite threats to parents, home, or themselves. As children get older, worries or fears are often of specific dangers (e.g., kidnapping, mugging). Anxiety and anticipation of separation become manifest in mid-childhood. Although adolescents with this disorder, especially males, may deny anxiety about separation, it may be reflected in their limited independent activity and reluctance to leave home. In older</w:t>
      </w:r>
    </w:p>
    <w:p w:rsidR="00E675F0" w:rsidRDefault="00E675F0" w:rsidP="00E675F0">
      <w:pPr>
        <w:spacing w:line="254" w:lineRule="auto"/>
        <w:jc w:val="both"/>
        <w:sectPr w:rsidR="00E675F0">
          <w:headerReference w:type="even" r:id="rId128"/>
          <w:headerReference w:type="default" r:id="rId129"/>
          <w:pgSz w:w="8960" w:h="14260"/>
          <w:pgMar w:top="1400" w:right="600" w:bottom="280" w:left="620" w:header="698" w:footer="0" w:gutter="0"/>
          <w:pgNumType w:start="111"/>
          <w:cols w:space="720"/>
        </w:sectPr>
      </w:pPr>
    </w:p>
    <w:p w:rsidR="00E675F0" w:rsidRDefault="00E675F0" w:rsidP="00E675F0">
      <w:pPr>
        <w:pStyle w:val="BodyText"/>
        <w:spacing w:before="127" w:line="254" w:lineRule="auto"/>
        <w:ind w:left="121" w:right="135" w:firstLine="11"/>
        <w:jc w:val="both"/>
      </w:pPr>
      <w:r>
        <w:rPr>
          <w:w w:val="105"/>
        </w:rPr>
        <w:lastRenderedPageBreak/>
        <w:t>individuals,</w:t>
      </w:r>
      <w:r>
        <w:rPr>
          <w:spacing w:val="7"/>
          <w:w w:val="105"/>
        </w:rPr>
        <w:t xml:space="preserve"> </w:t>
      </w:r>
      <w:r>
        <w:rPr>
          <w:w w:val="105"/>
        </w:rPr>
        <w:t>the</w:t>
      </w:r>
      <w:r>
        <w:rPr>
          <w:spacing w:val="-19"/>
          <w:w w:val="105"/>
        </w:rPr>
        <w:t xml:space="preserve"> </w:t>
      </w:r>
      <w:r>
        <w:rPr>
          <w:w w:val="105"/>
        </w:rPr>
        <w:t>disorder</w:t>
      </w:r>
      <w:r>
        <w:rPr>
          <w:spacing w:val="-7"/>
          <w:w w:val="105"/>
        </w:rPr>
        <w:t xml:space="preserve"> </w:t>
      </w:r>
      <w:r>
        <w:rPr>
          <w:w w:val="105"/>
        </w:rPr>
        <w:t>may</w:t>
      </w:r>
      <w:r>
        <w:rPr>
          <w:spacing w:val="-5"/>
          <w:w w:val="105"/>
        </w:rPr>
        <w:t xml:space="preserve"> </w:t>
      </w:r>
      <w:r>
        <w:rPr>
          <w:w w:val="105"/>
        </w:rPr>
        <w:t>limit</w:t>
      </w:r>
      <w:r>
        <w:rPr>
          <w:spacing w:val="-15"/>
          <w:w w:val="105"/>
        </w:rPr>
        <w:t xml:space="preserve"> </w:t>
      </w:r>
      <w:r>
        <w:rPr>
          <w:w w:val="105"/>
        </w:rPr>
        <w:t>the</w:t>
      </w:r>
      <w:r>
        <w:rPr>
          <w:spacing w:val="-12"/>
          <w:w w:val="105"/>
        </w:rPr>
        <w:t xml:space="preserve"> </w:t>
      </w:r>
      <w:r>
        <w:rPr>
          <w:w w:val="105"/>
        </w:rPr>
        <w:t>person's</w:t>
      </w:r>
      <w:r>
        <w:rPr>
          <w:spacing w:val="-14"/>
          <w:w w:val="105"/>
        </w:rPr>
        <w:t xml:space="preserve"> </w:t>
      </w:r>
      <w:r>
        <w:rPr>
          <w:w w:val="105"/>
        </w:rPr>
        <w:t>ability</w:t>
      </w:r>
      <w:r>
        <w:rPr>
          <w:spacing w:val="-7"/>
          <w:w w:val="105"/>
        </w:rPr>
        <w:t xml:space="preserve"> </w:t>
      </w:r>
      <w:r>
        <w:rPr>
          <w:w w:val="105"/>
        </w:rPr>
        <w:t>to</w:t>
      </w:r>
      <w:r>
        <w:rPr>
          <w:spacing w:val="-11"/>
          <w:w w:val="105"/>
        </w:rPr>
        <w:t xml:space="preserve"> </w:t>
      </w:r>
      <w:r>
        <w:rPr>
          <w:w w:val="105"/>
        </w:rPr>
        <w:t>handle</w:t>
      </w:r>
      <w:r>
        <w:rPr>
          <w:spacing w:val="-10"/>
          <w:w w:val="105"/>
        </w:rPr>
        <w:t xml:space="preserve"> </w:t>
      </w:r>
      <w:r>
        <w:rPr>
          <w:w w:val="105"/>
        </w:rPr>
        <w:t>changes</w:t>
      </w:r>
      <w:r>
        <w:rPr>
          <w:spacing w:val="-14"/>
          <w:w w:val="105"/>
        </w:rPr>
        <w:t xml:space="preserve"> </w:t>
      </w:r>
      <w:r>
        <w:rPr>
          <w:w w:val="105"/>
        </w:rPr>
        <w:t>in</w:t>
      </w:r>
      <w:r>
        <w:rPr>
          <w:spacing w:val="-16"/>
          <w:w w:val="105"/>
        </w:rPr>
        <w:t xml:space="preserve"> </w:t>
      </w:r>
      <w:r>
        <w:rPr>
          <w:w w:val="105"/>
        </w:rPr>
        <w:t>circumstances (e.g., moving, getting married). Adults with the disorder are typically overconcerned about their offspring and spouses and experience marked discomfort when separated from them. In clinical samples, the disorder is apparently equally common in males and females. In epidemiological samples, the disorder is more frequent in</w:t>
      </w:r>
      <w:r>
        <w:rPr>
          <w:spacing w:val="-24"/>
          <w:w w:val="105"/>
        </w:rPr>
        <w:t xml:space="preserve"> </w:t>
      </w:r>
      <w:r>
        <w:rPr>
          <w:w w:val="105"/>
        </w:rPr>
        <w:t>females.</w:t>
      </w:r>
    </w:p>
    <w:p w:rsidR="00E675F0" w:rsidRDefault="00E675F0" w:rsidP="00E675F0">
      <w:pPr>
        <w:pStyle w:val="BodyText"/>
        <w:rPr>
          <w:sz w:val="22"/>
        </w:rPr>
      </w:pPr>
    </w:p>
    <w:p w:rsidR="00E675F0" w:rsidRDefault="00E675F0" w:rsidP="00E675F0">
      <w:pPr>
        <w:spacing w:before="130"/>
        <w:ind w:left="117"/>
        <w:rPr>
          <w:rFonts w:ascii="TimesNewRomanPS-BoldItalicMT"/>
          <w:b/>
          <w:i/>
          <w:sz w:val="24"/>
        </w:rPr>
      </w:pPr>
      <w:r>
        <w:rPr>
          <w:rFonts w:ascii="TimesNewRomanPS-BoldItalicMT"/>
          <w:b/>
          <w:i/>
          <w:w w:val="115"/>
          <w:sz w:val="24"/>
        </w:rPr>
        <w:t>Prevalence</w:t>
      </w:r>
    </w:p>
    <w:p w:rsidR="00E675F0" w:rsidRDefault="00E675F0" w:rsidP="00E675F0">
      <w:pPr>
        <w:pStyle w:val="BodyText"/>
        <w:spacing w:before="131" w:line="252" w:lineRule="auto"/>
        <w:ind w:left="132" w:right="124" w:hanging="7"/>
        <w:jc w:val="both"/>
      </w:pPr>
      <w:r>
        <w:rPr>
          <w:w w:val="105"/>
        </w:rPr>
        <w:t>Separation Anxiety Disorder is not uncommon; prevalence estimates average about 4% in children and young adolescents.</w:t>
      </w:r>
    </w:p>
    <w:p w:rsidR="00E675F0" w:rsidRDefault="00E675F0" w:rsidP="00E675F0">
      <w:pPr>
        <w:pStyle w:val="BodyText"/>
        <w:rPr>
          <w:sz w:val="22"/>
        </w:rPr>
      </w:pPr>
    </w:p>
    <w:p w:rsidR="00E675F0" w:rsidRDefault="00E675F0" w:rsidP="00E675F0">
      <w:pPr>
        <w:spacing w:before="135"/>
        <w:ind w:left="104"/>
        <w:rPr>
          <w:rFonts w:ascii="TimesNewRomanPS-BoldItalicMT"/>
          <w:b/>
          <w:i/>
          <w:sz w:val="24"/>
        </w:rPr>
      </w:pPr>
      <w:r>
        <w:rPr>
          <w:rFonts w:ascii="TimesNewRomanPS-BoldItalicMT"/>
          <w:b/>
          <w:i/>
          <w:w w:val="115"/>
          <w:sz w:val="24"/>
        </w:rPr>
        <w:t>Course</w:t>
      </w:r>
    </w:p>
    <w:p w:rsidR="00E675F0" w:rsidRDefault="00E675F0" w:rsidP="00E675F0">
      <w:pPr>
        <w:pStyle w:val="BodyText"/>
        <w:spacing w:before="132" w:line="254" w:lineRule="auto"/>
        <w:ind w:left="129" w:right="120" w:hanging="3"/>
        <w:jc w:val="both"/>
      </w:pPr>
      <w:r>
        <w:rPr>
          <w:w w:val="105"/>
        </w:rPr>
        <w:t>Separation Anxiety Disorder may develop after some life stress (e.g., the death of a relative or pet, an illness of the child or a relative, a change of schools, a move to a new neighborhood, or immigration). Onset may be as early as preschool age and may occur at any time before age 18 years, but onset as late as adolescence is uncommon. Typically there are periods of exacerbation and remission. Both the anxiety about possible separation and the avoidance of situations involving separation (e.g., going away to college) may persist for many</w:t>
      </w:r>
      <w:r>
        <w:rPr>
          <w:spacing w:val="13"/>
          <w:w w:val="105"/>
        </w:rPr>
        <w:t xml:space="preserve"> </w:t>
      </w:r>
      <w:r>
        <w:rPr>
          <w:w w:val="105"/>
        </w:rPr>
        <w:t>years.</w:t>
      </w:r>
    </w:p>
    <w:p w:rsidR="00E675F0" w:rsidRDefault="00E675F0" w:rsidP="00E675F0">
      <w:pPr>
        <w:pStyle w:val="BodyText"/>
        <w:spacing w:before="8"/>
        <w:rPr>
          <w:sz w:val="32"/>
        </w:rPr>
      </w:pPr>
    </w:p>
    <w:p w:rsidR="00E675F0" w:rsidRDefault="00E675F0" w:rsidP="00E675F0">
      <w:pPr>
        <w:ind w:left="109"/>
        <w:rPr>
          <w:rFonts w:ascii="TimesNewRomanPS-BoldItalicMT"/>
          <w:b/>
          <w:i/>
          <w:sz w:val="24"/>
        </w:rPr>
      </w:pPr>
      <w:r>
        <w:rPr>
          <w:rFonts w:ascii="TimesNewRomanPS-BoldItalicMT"/>
          <w:b/>
          <w:i/>
          <w:w w:val="115"/>
          <w:sz w:val="24"/>
        </w:rPr>
        <w:t>Familial Pattern</w:t>
      </w:r>
    </w:p>
    <w:p w:rsidR="00E675F0" w:rsidRDefault="00E675F0" w:rsidP="00E675F0">
      <w:pPr>
        <w:pStyle w:val="BodyText"/>
        <w:spacing w:before="131" w:line="259" w:lineRule="auto"/>
        <w:ind w:left="137" w:right="120" w:hanging="12"/>
        <w:jc w:val="both"/>
      </w:pPr>
      <w:r>
        <w:rPr>
          <w:w w:val="105"/>
        </w:rPr>
        <w:t>Separation Anxiety Disorder is apparently more common in first-degree biological relatives than in the general population and may be more frequent in children of mothers with Panic Disorder.</w:t>
      </w:r>
    </w:p>
    <w:p w:rsidR="00E675F0" w:rsidRDefault="00E675F0" w:rsidP="00E675F0">
      <w:pPr>
        <w:pStyle w:val="BodyText"/>
        <w:spacing w:before="5"/>
        <w:rPr>
          <w:sz w:val="31"/>
        </w:rPr>
      </w:pPr>
    </w:p>
    <w:p w:rsidR="00E675F0" w:rsidRDefault="00E675F0" w:rsidP="00E675F0">
      <w:pPr>
        <w:ind w:left="128"/>
        <w:rPr>
          <w:rFonts w:ascii="TimesNewRomanPS-BoldItalicMT"/>
          <w:b/>
          <w:i/>
          <w:sz w:val="24"/>
        </w:rPr>
      </w:pPr>
      <w:r>
        <w:rPr>
          <w:rFonts w:ascii="TimesNewRomanPS-BoldItalicMT"/>
          <w:b/>
          <w:i/>
          <w:w w:val="115"/>
          <w:sz w:val="24"/>
        </w:rPr>
        <w:t>Differential Diagnosis</w:t>
      </w:r>
    </w:p>
    <w:p w:rsidR="00E675F0" w:rsidRDefault="00E675F0" w:rsidP="00E675F0">
      <w:pPr>
        <w:pStyle w:val="BodyText"/>
        <w:spacing w:before="127" w:line="254" w:lineRule="auto"/>
        <w:ind w:left="135" w:right="105"/>
        <w:jc w:val="both"/>
      </w:pPr>
      <w:r>
        <w:rPr>
          <w:w w:val="105"/>
        </w:rPr>
        <w:t xml:space="preserve">Separation anxiety can be an associated feature of </w:t>
      </w:r>
      <w:r>
        <w:rPr>
          <w:b/>
          <w:w w:val="105"/>
        </w:rPr>
        <w:t xml:space="preserve">Pervasive Developmental Disor­ ders, Schizophrenia, </w:t>
      </w:r>
      <w:r>
        <w:rPr>
          <w:rFonts w:ascii="Arial" w:hAnsi="Arial"/>
          <w:b/>
          <w:w w:val="105"/>
          <w:sz w:val="16"/>
        </w:rPr>
        <w:t xml:space="preserve">or </w:t>
      </w:r>
      <w:r>
        <w:rPr>
          <w:b/>
          <w:w w:val="105"/>
        </w:rPr>
        <w:t xml:space="preserve">other Psychotic Disorders. </w:t>
      </w:r>
      <w:r>
        <w:rPr>
          <w:w w:val="105"/>
        </w:rPr>
        <w:t>If the symptoms of Separation Anxiety</w:t>
      </w:r>
      <w:r>
        <w:rPr>
          <w:spacing w:val="-8"/>
          <w:w w:val="105"/>
        </w:rPr>
        <w:t xml:space="preserve"> </w:t>
      </w:r>
      <w:r>
        <w:rPr>
          <w:w w:val="105"/>
        </w:rPr>
        <w:t>Disorder</w:t>
      </w:r>
      <w:r>
        <w:rPr>
          <w:spacing w:val="-12"/>
          <w:w w:val="105"/>
        </w:rPr>
        <w:t xml:space="preserve"> </w:t>
      </w:r>
      <w:r>
        <w:rPr>
          <w:w w:val="105"/>
        </w:rPr>
        <w:t>occur</w:t>
      </w:r>
      <w:r>
        <w:rPr>
          <w:spacing w:val="-14"/>
          <w:w w:val="105"/>
        </w:rPr>
        <w:t xml:space="preserve"> </w:t>
      </w:r>
      <w:r>
        <w:rPr>
          <w:w w:val="105"/>
        </w:rPr>
        <w:t>exclusively</w:t>
      </w:r>
      <w:r>
        <w:rPr>
          <w:spacing w:val="1"/>
          <w:w w:val="105"/>
        </w:rPr>
        <w:t xml:space="preserve"> </w:t>
      </w:r>
      <w:r>
        <w:rPr>
          <w:w w:val="105"/>
        </w:rPr>
        <w:t>during</w:t>
      </w:r>
      <w:r>
        <w:rPr>
          <w:spacing w:val="-19"/>
          <w:w w:val="105"/>
        </w:rPr>
        <w:t xml:space="preserve"> </w:t>
      </w:r>
      <w:r>
        <w:rPr>
          <w:w w:val="105"/>
        </w:rPr>
        <w:t>the</w:t>
      </w:r>
      <w:r>
        <w:rPr>
          <w:spacing w:val="-7"/>
          <w:w w:val="105"/>
        </w:rPr>
        <w:t xml:space="preserve"> </w:t>
      </w:r>
      <w:r>
        <w:rPr>
          <w:w w:val="105"/>
        </w:rPr>
        <w:t>course</w:t>
      </w:r>
      <w:r>
        <w:rPr>
          <w:spacing w:val="-13"/>
          <w:w w:val="105"/>
        </w:rPr>
        <w:t xml:space="preserve"> </w:t>
      </w:r>
      <w:r>
        <w:rPr>
          <w:w w:val="105"/>
        </w:rPr>
        <w:t>of</w:t>
      </w:r>
      <w:r>
        <w:rPr>
          <w:spacing w:val="-10"/>
          <w:w w:val="105"/>
        </w:rPr>
        <w:t xml:space="preserve"> </w:t>
      </w:r>
      <w:r>
        <w:rPr>
          <w:w w:val="105"/>
        </w:rPr>
        <w:t>one</w:t>
      </w:r>
      <w:r>
        <w:rPr>
          <w:spacing w:val="16"/>
          <w:w w:val="105"/>
        </w:rPr>
        <w:t xml:space="preserve"> </w:t>
      </w:r>
      <w:r>
        <w:rPr>
          <w:w w:val="105"/>
        </w:rPr>
        <w:t>of</w:t>
      </w:r>
      <w:r>
        <w:rPr>
          <w:spacing w:val="-10"/>
          <w:w w:val="105"/>
        </w:rPr>
        <w:t xml:space="preserve"> </w:t>
      </w:r>
      <w:r>
        <w:rPr>
          <w:w w:val="105"/>
        </w:rPr>
        <w:t>these</w:t>
      </w:r>
      <w:r>
        <w:rPr>
          <w:spacing w:val="-19"/>
          <w:w w:val="105"/>
        </w:rPr>
        <w:t xml:space="preserve"> </w:t>
      </w:r>
      <w:r>
        <w:rPr>
          <w:w w:val="105"/>
        </w:rPr>
        <w:t>disorders,</w:t>
      </w:r>
      <w:r>
        <w:rPr>
          <w:spacing w:val="-6"/>
          <w:w w:val="105"/>
        </w:rPr>
        <w:t xml:space="preserve"> </w:t>
      </w:r>
      <w:r>
        <w:rPr>
          <w:w w:val="105"/>
        </w:rPr>
        <w:t>a</w:t>
      </w:r>
      <w:r>
        <w:rPr>
          <w:spacing w:val="-21"/>
          <w:w w:val="105"/>
        </w:rPr>
        <w:t xml:space="preserve"> </w:t>
      </w:r>
      <w:r>
        <w:rPr>
          <w:w w:val="105"/>
        </w:rPr>
        <w:t xml:space="preserve">separate diagnosis of Separation Anxiety Disorder is not given. Separation Anxiety Disorder is distinguished from </w:t>
      </w:r>
      <w:r>
        <w:rPr>
          <w:b/>
          <w:w w:val="105"/>
        </w:rPr>
        <w:t xml:space="preserve">Generalized Anxiety Disorder </w:t>
      </w:r>
      <w:r>
        <w:rPr>
          <w:w w:val="105"/>
        </w:rPr>
        <w:t xml:space="preserve">in that the anxiety predominantly concerns separation from home and attachment figures. In children or adolescents with Separation Anxiety Disorder, threats of separation may lead to extreme anxiety and even a Panic Attack. In contrast to Panic Disorder, the anxiety concerns separation from attachment figures or from home rather than being incapacitated by an unexpected Panic Attack. In adults, Separation Anxiety Disorder is rare and should not be given as an additional diagnosis if the separation fears are better accounted for by Agoraphobia in </w:t>
      </w:r>
      <w:r>
        <w:rPr>
          <w:b/>
          <w:w w:val="105"/>
        </w:rPr>
        <w:t xml:space="preserve">Panic Disorder With Agoraphobia or Agoraphobia Without History of Panic Disorder. </w:t>
      </w:r>
      <w:r>
        <w:rPr>
          <w:w w:val="105"/>
        </w:rPr>
        <w:t xml:space="preserve">Truancy is common in </w:t>
      </w:r>
      <w:r>
        <w:rPr>
          <w:b/>
          <w:w w:val="105"/>
        </w:rPr>
        <w:t xml:space="preserve">Conduct Disorder, </w:t>
      </w:r>
      <w:r>
        <w:rPr>
          <w:w w:val="105"/>
        </w:rPr>
        <w:t xml:space="preserve">but anxiety about separation  is not responsible for school absences and the child usually stays away from, rather than returns to, the home. Some cases of school refusal, especially in adolescence,  are  due  to Social Phobia or Mood Disorders rather than separation anxiety. Unlike the halluci­ nations in </w:t>
      </w:r>
      <w:r>
        <w:rPr>
          <w:b/>
          <w:w w:val="105"/>
        </w:rPr>
        <w:t xml:space="preserve">Psychotic Disorders, </w:t>
      </w:r>
      <w:r>
        <w:rPr>
          <w:w w:val="105"/>
        </w:rPr>
        <w:t>the unusual perceptual experiences in Separation Anxiety Disorder are usually based on a misperception of an actual stimulus, occur only in certain situations (e.g., nighttime), and are reversed by the presence of an</w:t>
      </w:r>
      <w:r>
        <w:rPr>
          <w:spacing w:val="25"/>
          <w:w w:val="105"/>
        </w:rPr>
        <w:t xml:space="preserve"> </w:t>
      </w:r>
      <w:r>
        <w:rPr>
          <w:w w:val="105"/>
        </w:rPr>
        <w:t>attachment</w:t>
      </w:r>
    </w:p>
    <w:p w:rsidR="00E675F0" w:rsidRDefault="00E675F0" w:rsidP="00E675F0">
      <w:pPr>
        <w:spacing w:line="254" w:lineRule="auto"/>
        <w:jc w:val="both"/>
        <w:sectPr w:rsidR="00E675F0">
          <w:pgSz w:w="8960" w:h="14260"/>
          <w:pgMar w:top="1400" w:right="600" w:bottom="280" w:left="620" w:header="687" w:footer="0" w:gutter="0"/>
          <w:cols w:space="720"/>
        </w:sectPr>
      </w:pPr>
    </w:p>
    <w:p w:rsidR="00E675F0" w:rsidRDefault="00E675F0" w:rsidP="00E675F0">
      <w:pPr>
        <w:spacing w:before="109" w:line="254" w:lineRule="auto"/>
        <w:ind w:left="106" w:right="117" w:hanging="3"/>
        <w:jc w:val="both"/>
        <w:rPr>
          <w:sz w:val="20"/>
        </w:rPr>
      </w:pPr>
      <w:r>
        <w:rPr>
          <w:noProof/>
        </w:rPr>
        <w:lastRenderedPageBreak/>
        <mc:AlternateContent>
          <mc:Choice Requires="wps">
            <w:drawing>
              <wp:anchor distT="0" distB="0" distL="114300" distR="114300" simplePos="0" relativeHeight="251693056" behindDoc="0" locked="0" layoutInCell="1" allowOverlap="1" wp14:anchorId="6D289C24" wp14:editId="49FB0884">
                <wp:simplePos x="0" y="0"/>
                <wp:positionH relativeFrom="page">
                  <wp:posOffset>507365</wp:posOffset>
                </wp:positionH>
                <wp:positionV relativeFrom="paragraph">
                  <wp:posOffset>7296785</wp:posOffset>
                </wp:positionV>
                <wp:extent cx="0" cy="0"/>
                <wp:effectExtent l="0" t="0" r="0" b="0"/>
                <wp:wrapNone/>
                <wp:docPr id="1501" name="Line 14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3056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904069" id="Line 1457" o:spid="_x0000_s1026" style="position:absolute;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95pt,574.55pt" to="39.95pt,574.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" strokeweight=".84894mm">
                <o:lock v:ext="edit" shapetype="f"/>
                <w10:wrap anchorx="page"/>
              </v:line>
            </w:pict>
          </mc:Fallback>
        </mc:AlternateContent>
      </w:r>
      <w:r>
        <w:rPr>
          <w:noProof/>
        </w:rPr>
        <mc:AlternateContent>
          <mc:Choice Requires="wps">
            <w:drawing>
              <wp:anchor distT="0" distB="0" distL="114300" distR="114300" simplePos="0" relativeHeight="251781120" behindDoc="1" locked="0" layoutInCell="1" allowOverlap="1" wp14:anchorId="3E828F0A" wp14:editId="31B6395E">
                <wp:simplePos x="0" y="0"/>
                <wp:positionH relativeFrom="page">
                  <wp:posOffset>5158740</wp:posOffset>
                </wp:positionH>
                <wp:positionV relativeFrom="paragraph">
                  <wp:posOffset>7296785</wp:posOffset>
                </wp:positionV>
                <wp:extent cx="0" cy="0"/>
                <wp:effectExtent l="0" t="0" r="0" b="0"/>
                <wp:wrapNone/>
                <wp:docPr id="1500" name="Line 14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3056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04ED0E" id="Line 1456" o:spid="_x0000_s1026" style="position:absolute;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6.2pt,574.55pt" to="406.2pt,574.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" strokeweight=".84894mm">
                <o:lock v:ext="edit" shapetype="f"/>
                <w10:wrap anchorx="page"/>
              </v:line>
            </w:pict>
          </mc:Fallback>
        </mc:AlternateContent>
      </w:r>
      <w:bookmarkStart w:id="74" w:name="_bookmark58"/>
      <w:bookmarkEnd w:id="74"/>
      <w:r>
        <w:rPr>
          <w:w w:val="110"/>
          <w:sz w:val="20"/>
        </w:rPr>
        <w:t>figure.</w:t>
      </w:r>
      <w:r>
        <w:rPr>
          <w:spacing w:val="-23"/>
          <w:w w:val="110"/>
          <w:sz w:val="20"/>
        </w:rPr>
        <w:t xml:space="preserve"> </w:t>
      </w:r>
      <w:r>
        <w:rPr>
          <w:w w:val="110"/>
          <w:sz w:val="20"/>
        </w:rPr>
        <w:t>Clinical</w:t>
      </w:r>
      <w:r>
        <w:rPr>
          <w:spacing w:val="-12"/>
          <w:w w:val="110"/>
          <w:sz w:val="20"/>
        </w:rPr>
        <w:t xml:space="preserve"> </w:t>
      </w:r>
      <w:r>
        <w:rPr>
          <w:w w:val="110"/>
          <w:sz w:val="20"/>
        </w:rPr>
        <w:t>judgment</w:t>
      </w:r>
      <w:r>
        <w:rPr>
          <w:spacing w:val="-21"/>
          <w:w w:val="110"/>
          <w:sz w:val="20"/>
        </w:rPr>
        <w:t xml:space="preserve"> </w:t>
      </w:r>
      <w:r>
        <w:rPr>
          <w:w w:val="110"/>
          <w:sz w:val="20"/>
        </w:rPr>
        <w:t>must</w:t>
      </w:r>
      <w:r>
        <w:rPr>
          <w:spacing w:val="-20"/>
          <w:w w:val="110"/>
          <w:sz w:val="20"/>
        </w:rPr>
        <w:t xml:space="preserve"> </w:t>
      </w:r>
      <w:r>
        <w:rPr>
          <w:w w:val="110"/>
          <w:sz w:val="20"/>
        </w:rPr>
        <w:t>be</w:t>
      </w:r>
      <w:r>
        <w:rPr>
          <w:spacing w:val="-25"/>
          <w:w w:val="110"/>
          <w:sz w:val="20"/>
        </w:rPr>
        <w:t xml:space="preserve"> </w:t>
      </w:r>
      <w:r>
        <w:rPr>
          <w:w w:val="110"/>
          <w:sz w:val="20"/>
        </w:rPr>
        <w:t>used</w:t>
      </w:r>
      <w:r>
        <w:rPr>
          <w:spacing w:val="-25"/>
          <w:w w:val="110"/>
          <w:sz w:val="20"/>
        </w:rPr>
        <w:t xml:space="preserve"> </w:t>
      </w:r>
      <w:r>
        <w:rPr>
          <w:w w:val="110"/>
          <w:sz w:val="20"/>
        </w:rPr>
        <w:t>in</w:t>
      </w:r>
      <w:r>
        <w:rPr>
          <w:spacing w:val="-32"/>
          <w:w w:val="110"/>
          <w:sz w:val="20"/>
        </w:rPr>
        <w:t xml:space="preserve"> </w:t>
      </w:r>
      <w:r>
        <w:rPr>
          <w:w w:val="110"/>
          <w:sz w:val="20"/>
        </w:rPr>
        <w:t>distinguishing</w:t>
      </w:r>
      <w:r>
        <w:rPr>
          <w:spacing w:val="-43"/>
          <w:w w:val="110"/>
          <w:sz w:val="20"/>
        </w:rPr>
        <w:t xml:space="preserve"> </w:t>
      </w:r>
      <w:r>
        <w:rPr>
          <w:b/>
          <w:w w:val="110"/>
          <w:sz w:val="20"/>
        </w:rPr>
        <w:t>developmentallyappropriate levels</w:t>
      </w:r>
      <w:r>
        <w:rPr>
          <w:b/>
          <w:spacing w:val="-21"/>
          <w:w w:val="110"/>
          <w:sz w:val="20"/>
        </w:rPr>
        <w:t xml:space="preserve"> </w:t>
      </w:r>
      <w:r>
        <w:rPr>
          <w:b/>
          <w:w w:val="110"/>
          <w:sz w:val="20"/>
        </w:rPr>
        <w:t>of</w:t>
      </w:r>
      <w:r>
        <w:rPr>
          <w:b/>
          <w:spacing w:val="-16"/>
          <w:w w:val="110"/>
          <w:sz w:val="20"/>
        </w:rPr>
        <w:t xml:space="preserve"> </w:t>
      </w:r>
      <w:r>
        <w:rPr>
          <w:b/>
          <w:w w:val="110"/>
          <w:sz w:val="20"/>
        </w:rPr>
        <w:t>separation</w:t>
      </w:r>
      <w:r>
        <w:rPr>
          <w:b/>
          <w:spacing w:val="-16"/>
          <w:w w:val="110"/>
          <w:sz w:val="20"/>
        </w:rPr>
        <w:t xml:space="preserve"> </w:t>
      </w:r>
      <w:r>
        <w:rPr>
          <w:b/>
          <w:w w:val="110"/>
          <w:sz w:val="20"/>
        </w:rPr>
        <w:t>anxiety</w:t>
      </w:r>
      <w:r>
        <w:rPr>
          <w:b/>
          <w:spacing w:val="-9"/>
          <w:w w:val="110"/>
          <w:sz w:val="20"/>
        </w:rPr>
        <w:t xml:space="preserve"> </w:t>
      </w:r>
      <w:r>
        <w:rPr>
          <w:w w:val="110"/>
          <w:sz w:val="20"/>
        </w:rPr>
        <w:t>from</w:t>
      </w:r>
      <w:r>
        <w:rPr>
          <w:spacing w:val="-5"/>
          <w:w w:val="110"/>
          <w:sz w:val="20"/>
        </w:rPr>
        <w:t xml:space="preserve"> </w:t>
      </w:r>
      <w:r>
        <w:rPr>
          <w:w w:val="110"/>
          <w:sz w:val="20"/>
        </w:rPr>
        <w:t>the</w:t>
      </w:r>
      <w:r>
        <w:rPr>
          <w:spacing w:val="-12"/>
          <w:w w:val="110"/>
          <w:sz w:val="20"/>
        </w:rPr>
        <w:t xml:space="preserve"> </w:t>
      </w:r>
      <w:r>
        <w:rPr>
          <w:w w:val="110"/>
          <w:sz w:val="20"/>
        </w:rPr>
        <w:t>clinically</w:t>
      </w:r>
      <w:r>
        <w:rPr>
          <w:spacing w:val="-6"/>
          <w:w w:val="110"/>
          <w:sz w:val="20"/>
        </w:rPr>
        <w:t xml:space="preserve"> </w:t>
      </w:r>
      <w:r>
        <w:rPr>
          <w:w w:val="110"/>
          <w:sz w:val="20"/>
        </w:rPr>
        <w:t>significant concerns</w:t>
      </w:r>
      <w:r>
        <w:rPr>
          <w:spacing w:val="-5"/>
          <w:w w:val="110"/>
          <w:sz w:val="20"/>
        </w:rPr>
        <w:t xml:space="preserve"> </w:t>
      </w:r>
      <w:r>
        <w:rPr>
          <w:w w:val="110"/>
          <w:sz w:val="20"/>
        </w:rPr>
        <w:t>about</w:t>
      </w:r>
      <w:r>
        <w:rPr>
          <w:spacing w:val="-9"/>
          <w:w w:val="110"/>
          <w:sz w:val="20"/>
        </w:rPr>
        <w:t xml:space="preserve"> </w:t>
      </w:r>
      <w:r>
        <w:rPr>
          <w:w w:val="110"/>
          <w:sz w:val="20"/>
        </w:rPr>
        <w:t>separation seen in Separation Anxiety</w:t>
      </w:r>
      <w:r>
        <w:rPr>
          <w:spacing w:val="30"/>
          <w:w w:val="110"/>
          <w:sz w:val="20"/>
        </w:rPr>
        <w:t xml:space="preserve"> </w:t>
      </w:r>
      <w:r>
        <w:rPr>
          <w:w w:val="110"/>
          <w:sz w:val="20"/>
        </w:rPr>
        <w:t>Disorder.</w:t>
      </w:r>
    </w:p>
    <w:p w:rsidR="00E675F0" w:rsidRDefault="00E675F0" w:rsidP="00E675F0">
      <w:pPr>
        <w:pStyle w:val="BodyText"/>
      </w:pPr>
    </w:p>
    <w:p w:rsidR="00E675F0" w:rsidRDefault="00E675F0" w:rsidP="00E675F0">
      <w:pPr>
        <w:pStyle w:val="BodyText"/>
      </w:pPr>
    </w:p>
    <w:p w:rsidR="00E675F0" w:rsidRDefault="00E675F0" w:rsidP="00E675F0">
      <w:pPr>
        <w:pStyle w:val="BodyText"/>
        <w:spacing w:before="6"/>
        <w:rPr>
          <w:sz w:val="22"/>
        </w:rPr>
      </w:pPr>
    </w:p>
    <w:tbl>
      <w:tblPr>
        <w:tblW w:w="0" w:type="auto"/>
        <w:tblInd w:w="214"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7325"/>
      </w:tblGrid>
      <w:tr w:rsidR="00E675F0" w:rsidTr="00A330E1">
        <w:trPr>
          <w:trHeight w:val="9760"/>
        </w:trPr>
        <w:tc>
          <w:tcPr>
            <w:tcW w:w="7325" w:type="dxa"/>
          </w:tcPr>
          <w:p w:rsidR="00E675F0" w:rsidRDefault="00E675F0" w:rsidP="003048D3">
            <w:pPr>
              <w:pStyle w:val="TableParagraph"/>
              <w:numPr>
                <w:ilvl w:val="0"/>
                <w:numId w:val="72"/>
              </w:numPr>
              <w:tabs>
                <w:tab w:val="left" w:pos="627"/>
              </w:tabs>
              <w:spacing w:before="17" w:line="211" w:lineRule="auto"/>
              <w:ind w:right="896"/>
              <w:rPr>
                <w:rFonts w:ascii="Arial" w:hAnsi="Arial"/>
                <w:b/>
                <w:sz w:val="24"/>
              </w:rPr>
            </w:pPr>
            <w:r>
              <w:rPr>
                <w:rFonts w:ascii="Arial" w:hAnsi="Arial"/>
                <w:b/>
                <w:w w:val="105"/>
                <w:sz w:val="24"/>
              </w:rPr>
              <w:t>Diagnostic</w:t>
            </w:r>
            <w:r>
              <w:rPr>
                <w:rFonts w:ascii="Arial" w:hAnsi="Arial"/>
                <w:b/>
                <w:spacing w:val="-12"/>
                <w:w w:val="105"/>
                <w:sz w:val="24"/>
              </w:rPr>
              <w:t xml:space="preserve"> </w:t>
            </w:r>
            <w:r>
              <w:rPr>
                <w:rFonts w:ascii="Arial" w:hAnsi="Arial"/>
                <w:b/>
                <w:w w:val="105"/>
                <w:sz w:val="24"/>
              </w:rPr>
              <w:t>criteria</w:t>
            </w:r>
            <w:r>
              <w:rPr>
                <w:rFonts w:ascii="Arial" w:hAnsi="Arial"/>
                <w:b/>
                <w:spacing w:val="-18"/>
                <w:w w:val="105"/>
                <w:sz w:val="24"/>
              </w:rPr>
              <w:t xml:space="preserve"> </w:t>
            </w:r>
            <w:r>
              <w:rPr>
                <w:rFonts w:ascii="Arial" w:hAnsi="Arial"/>
                <w:b/>
                <w:w w:val="105"/>
                <w:sz w:val="24"/>
              </w:rPr>
              <w:t>for</w:t>
            </w:r>
            <w:r>
              <w:rPr>
                <w:rFonts w:ascii="Arial" w:hAnsi="Arial"/>
                <w:b/>
                <w:spacing w:val="-15"/>
                <w:w w:val="105"/>
                <w:sz w:val="24"/>
              </w:rPr>
              <w:t xml:space="preserve"> </w:t>
            </w:r>
            <w:r>
              <w:rPr>
                <w:rFonts w:ascii="Arial" w:hAnsi="Arial"/>
                <w:b/>
                <w:w w:val="105"/>
                <w:sz w:val="24"/>
              </w:rPr>
              <w:t>309.2</w:t>
            </w:r>
            <w:r>
              <w:rPr>
                <w:rFonts w:ascii="Arial" w:hAnsi="Arial"/>
                <w:b/>
                <w:spacing w:val="-46"/>
                <w:w w:val="105"/>
                <w:sz w:val="24"/>
              </w:rPr>
              <w:t xml:space="preserve"> </w:t>
            </w:r>
            <w:r>
              <w:rPr>
                <w:rFonts w:ascii="Arial" w:hAnsi="Arial"/>
                <w:b/>
                <w:w w:val="105"/>
                <w:sz w:val="24"/>
              </w:rPr>
              <w:t>I</w:t>
            </w:r>
            <w:r>
              <w:rPr>
                <w:rFonts w:ascii="Arial" w:hAnsi="Arial"/>
                <w:b/>
                <w:spacing w:val="14"/>
                <w:w w:val="105"/>
                <w:sz w:val="24"/>
              </w:rPr>
              <w:t xml:space="preserve"> </w:t>
            </w:r>
            <w:r>
              <w:rPr>
                <w:rFonts w:ascii="Arial" w:hAnsi="Arial"/>
                <w:b/>
                <w:w w:val="105"/>
                <w:sz w:val="24"/>
              </w:rPr>
              <w:t>Separation</w:t>
            </w:r>
            <w:r>
              <w:rPr>
                <w:rFonts w:ascii="Arial" w:hAnsi="Arial"/>
                <w:b/>
                <w:spacing w:val="-8"/>
                <w:w w:val="105"/>
                <w:sz w:val="24"/>
              </w:rPr>
              <w:t xml:space="preserve"> </w:t>
            </w:r>
            <w:r>
              <w:rPr>
                <w:rFonts w:ascii="Arial" w:hAnsi="Arial"/>
                <w:b/>
                <w:w w:val="105"/>
                <w:sz w:val="24"/>
              </w:rPr>
              <w:t>Anxiety Disorder</w:t>
            </w:r>
          </w:p>
          <w:p w:rsidR="00E675F0" w:rsidRDefault="00E675F0" w:rsidP="00A330E1">
            <w:pPr>
              <w:pStyle w:val="TableParagraph"/>
              <w:spacing w:before="8"/>
              <w:rPr>
                <w:sz w:val="20"/>
              </w:rPr>
            </w:pPr>
          </w:p>
          <w:p w:rsidR="00E675F0" w:rsidRDefault="00E675F0" w:rsidP="003048D3">
            <w:pPr>
              <w:pStyle w:val="TableParagraph"/>
              <w:numPr>
                <w:ilvl w:val="1"/>
                <w:numId w:val="72"/>
              </w:numPr>
              <w:tabs>
                <w:tab w:val="left" w:pos="959"/>
              </w:tabs>
              <w:spacing w:before="1" w:line="256" w:lineRule="auto"/>
              <w:ind w:right="215" w:hanging="308"/>
              <w:jc w:val="both"/>
              <w:rPr>
                <w:sz w:val="20"/>
              </w:rPr>
            </w:pPr>
            <w:r>
              <w:rPr>
                <w:w w:val="105"/>
                <w:sz w:val="20"/>
              </w:rPr>
              <w:t>Developmentally inappropriate and excessive anxiety concerning sep­ aration from home or from those to whom the individual is attached, as evidenced by three (or more) of the</w:t>
            </w:r>
            <w:r>
              <w:rPr>
                <w:spacing w:val="-10"/>
                <w:w w:val="105"/>
                <w:sz w:val="20"/>
              </w:rPr>
              <w:t xml:space="preserve"> </w:t>
            </w:r>
            <w:r>
              <w:rPr>
                <w:w w:val="105"/>
                <w:sz w:val="20"/>
              </w:rPr>
              <w:t>following:</w:t>
            </w:r>
          </w:p>
          <w:p w:rsidR="00E675F0" w:rsidRDefault="00E675F0" w:rsidP="003048D3">
            <w:pPr>
              <w:pStyle w:val="TableParagraph"/>
              <w:numPr>
                <w:ilvl w:val="2"/>
                <w:numId w:val="72"/>
              </w:numPr>
              <w:tabs>
                <w:tab w:val="left" w:pos="1384"/>
              </w:tabs>
              <w:spacing w:before="54" w:line="261" w:lineRule="auto"/>
              <w:ind w:right="229" w:hanging="419"/>
              <w:jc w:val="both"/>
              <w:rPr>
                <w:sz w:val="17"/>
              </w:rPr>
            </w:pPr>
            <w:r>
              <w:rPr>
                <w:w w:val="105"/>
                <w:sz w:val="20"/>
              </w:rPr>
              <w:t>recurrent excessive distress when separation from home or major attachment figures occurs or is</w:t>
            </w:r>
            <w:r>
              <w:rPr>
                <w:spacing w:val="5"/>
                <w:w w:val="105"/>
                <w:sz w:val="20"/>
              </w:rPr>
              <w:t xml:space="preserve"> </w:t>
            </w:r>
            <w:r>
              <w:rPr>
                <w:w w:val="105"/>
                <w:sz w:val="20"/>
              </w:rPr>
              <w:t>anticipated</w:t>
            </w:r>
          </w:p>
          <w:p w:rsidR="00E675F0" w:rsidRDefault="00E675F0" w:rsidP="003048D3">
            <w:pPr>
              <w:pStyle w:val="TableParagraph"/>
              <w:numPr>
                <w:ilvl w:val="2"/>
                <w:numId w:val="72"/>
              </w:numPr>
              <w:tabs>
                <w:tab w:val="left" w:pos="1386"/>
              </w:tabs>
              <w:spacing w:line="261" w:lineRule="auto"/>
              <w:ind w:left="1385" w:right="228" w:hanging="433"/>
              <w:jc w:val="both"/>
              <w:rPr>
                <w:sz w:val="20"/>
              </w:rPr>
            </w:pPr>
            <w:r>
              <w:rPr>
                <w:w w:val="105"/>
                <w:sz w:val="20"/>
              </w:rPr>
              <w:t>persistent</w:t>
            </w:r>
            <w:r>
              <w:rPr>
                <w:spacing w:val="4"/>
                <w:w w:val="105"/>
                <w:sz w:val="20"/>
              </w:rPr>
              <w:t xml:space="preserve"> </w:t>
            </w:r>
            <w:r>
              <w:rPr>
                <w:w w:val="105"/>
                <w:sz w:val="20"/>
              </w:rPr>
              <w:t>and</w:t>
            </w:r>
            <w:r>
              <w:rPr>
                <w:spacing w:val="-13"/>
                <w:w w:val="105"/>
                <w:sz w:val="20"/>
              </w:rPr>
              <w:t xml:space="preserve"> </w:t>
            </w:r>
            <w:r>
              <w:rPr>
                <w:w w:val="105"/>
                <w:sz w:val="20"/>
              </w:rPr>
              <w:t>excessive</w:t>
            </w:r>
            <w:r>
              <w:rPr>
                <w:spacing w:val="-7"/>
                <w:w w:val="105"/>
                <w:sz w:val="20"/>
              </w:rPr>
              <w:t xml:space="preserve"> </w:t>
            </w:r>
            <w:r>
              <w:rPr>
                <w:w w:val="105"/>
                <w:sz w:val="20"/>
              </w:rPr>
              <w:t>worry</w:t>
            </w:r>
            <w:r>
              <w:rPr>
                <w:spacing w:val="-11"/>
                <w:w w:val="105"/>
                <w:sz w:val="20"/>
              </w:rPr>
              <w:t xml:space="preserve"> </w:t>
            </w:r>
            <w:r>
              <w:rPr>
                <w:w w:val="105"/>
                <w:sz w:val="20"/>
              </w:rPr>
              <w:t>about</w:t>
            </w:r>
            <w:r>
              <w:rPr>
                <w:spacing w:val="-10"/>
                <w:w w:val="105"/>
                <w:sz w:val="20"/>
              </w:rPr>
              <w:t xml:space="preserve"> </w:t>
            </w:r>
            <w:r>
              <w:rPr>
                <w:w w:val="105"/>
                <w:sz w:val="20"/>
              </w:rPr>
              <w:t>losing,</w:t>
            </w:r>
            <w:r>
              <w:rPr>
                <w:spacing w:val="-6"/>
                <w:w w:val="105"/>
                <w:sz w:val="20"/>
              </w:rPr>
              <w:t xml:space="preserve"> </w:t>
            </w:r>
            <w:r>
              <w:rPr>
                <w:w w:val="105"/>
                <w:sz w:val="20"/>
              </w:rPr>
              <w:t>or</w:t>
            </w:r>
            <w:r>
              <w:rPr>
                <w:spacing w:val="-14"/>
                <w:w w:val="105"/>
                <w:sz w:val="20"/>
              </w:rPr>
              <w:t xml:space="preserve"> </w:t>
            </w:r>
            <w:r>
              <w:rPr>
                <w:w w:val="105"/>
                <w:sz w:val="20"/>
              </w:rPr>
              <w:t>about</w:t>
            </w:r>
            <w:r>
              <w:rPr>
                <w:spacing w:val="-3"/>
                <w:w w:val="105"/>
                <w:sz w:val="20"/>
              </w:rPr>
              <w:t xml:space="preserve"> </w:t>
            </w:r>
            <w:r>
              <w:rPr>
                <w:w w:val="105"/>
                <w:sz w:val="20"/>
              </w:rPr>
              <w:t>possible</w:t>
            </w:r>
            <w:r>
              <w:rPr>
                <w:spacing w:val="-2"/>
                <w:w w:val="105"/>
                <w:sz w:val="20"/>
              </w:rPr>
              <w:t xml:space="preserve"> </w:t>
            </w:r>
            <w:r>
              <w:rPr>
                <w:w w:val="105"/>
                <w:sz w:val="20"/>
              </w:rPr>
              <w:t>harm befalling, major attachment</w:t>
            </w:r>
            <w:r>
              <w:rPr>
                <w:spacing w:val="46"/>
                <w:w w:val="105"/>
                <w:sz w:val="20"/>
              </w:rPr>
              <w:t xml:space="preserve"> </w:t>
            </w:r>
            <w:r>
              <w:rPr>
                <w:w w:val="105"/>
                <w:sz w:val="20"/>
              </w:rPr>
              <w:t>figures</w:t>
            </w:r>
          </w:p>
          <w:p w:rsidR="00E675F0" w:rsidRDefault="00E675F0" w:rsidP="003048D3">
            <w:pPr>
              <w:pStyle w:val="TableParagraph"/>
              <w:numPr>
                <w:ilvl w:val="2"/>
                <w:numId w:val="72"/>
              </w:numPr>
              <w:tabs>
                <w:tab w:val="left" w:pos="1386"/>
              </w:tabs>
              <w:spacing w:line="254" w:lineRule="auto"/>
              <w:ind w:left="1375" w:right="218" w:hanging="418"/>
              <w:jc w:val="both"/>
              <w:rPr>
                <w:sz w:val="20"/>
              </w:rPr>
            </w:pPr>
            <w:r>
              <w:rPr>
                <w:w w:val="105"/>
                <w:sz w:val="20"/>
              </w:rPr>
              <w:t>persistent and excessive worry that an untoward event will lead to separation</w:t>
            </w:r>
            <w:r>
              <w:rPr>
                <w:spacing w:val="-12"/>
                <w:w w:val="105"/>
                <w:sz w:val="20"/>
              </w:rPr>
              <w:t xml:space="preserve"> </w:t>
            </w:r>
            <w:r>
              <w:rPr>
                <w:w w:val="105"/>
                <w:sz w:val="20"/>
              </w:rPr>
              <w:t>from</w:t>
            </w:r>
            <w:r>
              <w:rPr>
                <w:spacing w:val="-15"/>
                <w:w w:val="105"/>
                <w:sz w:val="20"/>
              </w:rPr>
              <w:t xml:space="preserve"> </w:t>
            </w:r>
            <w:r>
              <w:rPr>
                <w:w w:val="105"/>
                <w:sz w:val="20"/>
              </w:rPr>
              <w:t>a</w:t>
            </w:r>
            <w:r>
              <w:rPr>
                <w:spacing w:val="-10"/>
                <w:w w:val="105"/>
                <w:sz w:val="20"/>
              </w:rPr>
              <w:t xml:space="preserve"> </w:t>
            </w:r>
            <w:r>
              <w:rPr>
                <w:w w:val="105"/>
                <w:sz w:val="20"/>
              </w:rPr>
              <w:t>major</w:t>
            </w:r>
            <w:r>
              <w:rPr>
                <w:spacing w:val="-10"/>
                <w:w w:val="105"/>
                <w:sz w:val="20"/>
              </w:rPr>
              <w:t xml:space="preserve"> </w:t>
            </w:r>
            <w:r>
              <w:rPr>
                <w:w w:val="105"/>
                <w:sz w:val="20"/>
              </w:rPr>
              <w:t>attachment</w:t>
            </w:r>
            <w:r>
              <w:rPr>
                <w:spacing w:val="-8"/>
                <w:w w:val="105"/>
                <w:sz w:val="20"/>
              </w:rPr>
              <w:t xml:space="preserve"> </w:t>
            </w:r>
            <w:r>
              <w:rPr>
                <w:w w:val="105"/>
                <w:sz w:val="20"/>
              </w:rPr>
              <w:t>figure</w:t>
            </w:r>
            <w:r>
              <w:rPr>
                <w:spacing w:val="-17"/>
                <w:w w:val="105"/>
                <w:sz w:val="20"/>
              </w:rPr>
              <w:t xml:space="preserve"> </w:t>
            </w:r>
            <w:r>
              <w:rPr>
                <w:w w:val="105"/>
                <w:sz w:val="20"/>
              </w:rPr>
              <w:t>(e.g.,</w:t>
            </w:r>
            <w:r>
              <w:rPr>
                <w:spacing w:val="-14"/>
                <w:w w:val="105"/>
                <w:sz w:val="20"/>
              </w:rPr>
              <w:t xml:space="preserve"> </w:t>
            </w:r>
            <w:r>
              <w:rPr>
                <w:w w:val="105"/>
                <w:sz w:val="20"/>
              </w:rPr>
              <w:t>getting</w:t>
            </w:r>
            <w:r>
              <w:rPr>
                <w:spacing w:val="-13"/>
                <w:w w:val="105"/>
                <w:sz w:val="20"/>
              </w:rPr>
              <w:t xml:space="preserve"> </w:t>
            </w:r>
            <w:r>
              <w:rPr>
                <w:w w:val="105"/>
                <w:sz w:val="20"/>
              </w:rPr>
              <w:t>lost</w:t>
            </w:r>
            <w:r>
              <w:rPr>
                <w:spacing w:val="-14"/>
                <w:w w:val="105"/>
                <w:sz w:val="20"/>
              </w:rPr>
              <w:t xml:space="preserve"> </w:t>
            </w:r>
            <w:r>
              <w:rPr>
                <w:w w:val="105"/>
                <w:sz w:val="20"/>
              </w:rPr>
              <w:t>or</w:t>
            </w:r>
            <w:r>
              <w:rPr>
                <w:spacing w:val="-14"/>
                <w:w w:val="105"/>
                <w:sz w:val="20"/>
              </w:rPr>
              <w:t xml:space="preserve"> </w:t>
            </w:r>
            <w:r>
              <w:rPr>
                <w:w w:val="105"/>
                <w:sz w:val="20"/>
              </w:rPr>
              <w:t>being kidnapped)</w:t>
            </w:r>
          </w:p>
          <w:p w:rsidR="00E675F0" w:rsidRDefault="00E675F0" w:rsidP="003048D3">
            <w:pPr>
              <w:pStyle w:val="TableParagraph"/>
              <w:numPr>
                <w:ilvl w:val="2"/>
                <w:numId w:val="72"/>
              </w:numPr>
              <w:tabs>
                <w:tab w:val="left" w:pos="1386"/>
              </w:tabs>
              <w:spacing w:line="252" w:lineRule="auto"/>
              <w:ind w:left="1385" w:right="235" w:hanging="433"/>
              <w:jc w:val="both"/>
              <w:rPr>
                <w:sz w:val="20"/>
              </w:rPr>
            </w:pPr>
            <w:r>
              <w:rPr>
                <w:w w:val="105"/>
                <w:sz w:val="20"/>
              </w:rPr>
              <w:t>persistent reluctance or refusal to go to school or elsewhere because of fear of</w:t>
            </w:r>
            <w:r>
              <w:rPr>
                <w:spacing w:val="7"/>
                <w:w w:val="105"/>
                <w:sz w:val="20"/>
              </w:rPr>
              <w:t xml:space="preserve"> </w:t>
            </w:r>
            <w:r>
              <w:rPr>
                <w:w w:val="105"/>
                <w:sz w:val="20"/>
              </w:rPr>
              <w:t>separation</w:t>
            </w:r>
          </w:p>
          <w:p w:rsidR="00E675F0" w:rsidRDefault="00E675F0" w:rsidP="003048D3">
            <w:pPr>
              <w:pStyle w:val="TableParagraph"/>
              <w:numPr>
                <w:ilvl w:val="2"/>
                <w:numId w:val="72"/>
              </w:numPr>
              <w:tabs>
                <w:tab w:val="left" w:pos="1386"/>
              </w:tabs>
              <w:spacing w:line="259" w:lineRule="auto"/>
              <w:ind w:right="221"/>
              <w:jc w:val="both"/>
              <w:rPr>
                <w:sz w:val="20"/>
              </w:rPr>
            </w:pPr>
            <w:r>
              <w:rPr>
                <w:w w:val="105"/>
                <w:sz w:val="20"/>
              </w:rPr>
              <w:t>persistently and excessively fearful or reluctant to be alone or without major attachment figures at home or without significant adults in other</w:t>
            </w:r>
            <w:r>
              <w:rPr>
                <w:spacing w:val="20"/>
                <w:w w:val="105"/>
                <w:sz w:val="20"/>
              </w:rPr>
              <w:t xml:space="preserve"> </w:t>
            </w:r>
            <w:r>
              <w:rPr>
                <w:w w:val="105"/>
                <w:sz w:val="20"/>
              </w:rPr>
              <w:t>settings</w:t>
            </w:r>
          </w:p>
          <w:p w:rsidR="00E675F0" w:rsidRDefault="00E675F0" w:rsidP="003048D3">
            <w:pPr>
              <w:pStyle w:val="TableParagraph"/>
              <w:numPr>
                <w:ilvl w:val="2"/>
                <w:numId w:val="72"/>
              </w:numPr>
              <w:tabs>
                <w:tab w:val="left" w:pos="1386"/>
              </w:tabs>
              <w:spacing w:line="261" w:lineRule="auto"/>
              <w:ind w:right="221" w:hanging="420"/>
              <w:jc w:val="both"/>
              <w:rPr>
                <w:sz w:val="20"/>
              </w:rPr>
            </w:pPr>
            <w:r>
              <w:rPr>
                <w:w w:val="105"/>
                <w:sz w:val="20"/>
              </w:rPr>
              <w:t>persistent reluctance or refusal to  go  to sleep without  being near a major attachment figure or to sleep away from</w:t>
            </w:r>
            <w:r>
              <w:rPr>
                <w:spacing w:val="10"/>
                <w:w w:val="105"/>
                <w:sz w:val="20"/>
              </w:rPr>
              <w:t xml:space="preserve"> </w:t>
            </w:r>
            <w:r>
              <w:rPr>
                <w:w w:val="105"/>
                <w:sz w:val="20"/>
              </w:rPr>
              <w:t>home</w:t>
            </w:r>
          </w:p>
          <w:p w:rsidR="00E675F0" w:rsidRDefault="00E675F0" w:rsidP="003048D3">
            <w:pPr>
              <w:pStyle w:val="TableParagraph"/>
              <w:numPr>
                <w:ilvl w:val="2"/>
                <w:numId w:val="72"/>
              </w:numPr>
              <w:tabs>
                <w:tab w:val="left" w:pos="1384"/>
              </w:tabs>
              <w:spacing w:line="219" w:lineRule="exact"/>
              <w:ind w:left="1383" w:hanging="431"/>
              <w:jc w:val="both"/>
              <w:rPr>
                <w:sz w:val="20"/>
              </w:rPr>
            </w:pPr>
            <w:r>
              <w:rPr>
                <w:w w:val="105"/>
                <w:sz w:val="20"/>
              </w:rPr>
              <w:t>repeated nightmares involving the theme of</w:t>
            </w:r>
            <w:r>
              <w:rPr>
                <w:spacing w:val="-10"/>
                <w:w w:val="105"/>
                <w:sz w:val="20"/>
              </w:rPr>
              <w:t xml:space="preserve"> </w:t>
            </w:r>
            <w:r>
              <w:rPr>
                <w:w w:val="105"/>
                <w:sz w:val="20"/>
              </w:rPr>
              <w:t>separation</w:t>
            </w:r>
          </w:p>
          <w:p w:rsidR="00E675F0" w:rsidRDefault="00E675F0" w:rsidP="003048D3">
            <w:pPr>
              <w:pStyle w:val="TableParagraph"/>
              <w:numPr>
                <w:ilvl w:val="2"/>
                <w:numId w:val="72"/>
              </w:numPr>
              <w:tabs>
                <w:tab w:val="left" w:pos="1384"/>
              </w:tabs>
              <w:spacing w:line="252" w:lineRule="auto"/>
              <w:ind w:left="1375" w:right="229" w:hanging="418"/>
              <w:jc w:val="both"/>
              <w:rPr>
                <w:sz w:val="20"/>
              </w:rPr>
            </w:pPr>
            <w:r>
              <w:rPr>
                <w:w w:val="105"/>
                <w:sz w:val="20"/>
              </w:rPr>
              <w:t>repeated complaints of physical symptoms (such as headaches, stomachaches, nausea, or vomiting) when separation from major attachment figures occurs or is</w:t>
            </w:r>
            <w:r>
              <w:rPr>
                <w:spacing w:val="8"/>
                <w:w w:val="105"/>
                <w:sz w:val="20"/>
              </w:rPr>
              <w:t xml:space="preserve"> </w:t>
            </w:r>
            <w:r>
              <w:rPr>
                <w:w w:val="105"/>
                <w:sz w:val="20"/>
              </w:rPr>
              <w:t>anticipated</w:t>
            </w:r>
          </w:p>
          <w:p w:rsidR="00E675F0" w:rsidRDefault="00E675F0" w:rsidP="003048D3">
            <w:pPr>
              <w:pStyle w:val="TableParagraph"/>
              <w:numPr>
                <w:ilvl w:val="1"/>
                <w:numId w:val="72"/>
              </w:numPr>
              <w:tabs>
                <w:tab w:val="left" w:pos="946"/>
              </w:tabs>
              <w:spacing w:before="155"/>
              <w:ind w:left="945" w:hanging="296"/>
              <w:rPr>
                <w:sz w:val="20"/>
              </w:rPr>
            </w:pPr>
            <w:r>
              <w:rPr>
                <w:w w:val="105"/>
                <w:sz w:val="20"/>
              </w:rPr>
              <w:t>The duration of the disturbance is at least 4</w:t>
            </w:r>
            <w:r>
              <w:rPr>
                <w:spacing w:val="20"/>
                <w:w w:val="105"/>
                <w:sz w:val="20"/>
              </w:rPr>
              <w:t xml:space="preserve"> </w:t>
            </w:r>
            <w:r>
              <w:rPr>
                <w:w w:val="105"/>
                <w:sz w:val="20"/>
              </w:rPr>
              <w:t>weeks.</w:t>
            </w:r>
          </w:p>
          <w:p w:rsidR="00E675F0" w:rsidRDefault="00E675F0" w:rsidP="003048D3">
            <w:pPr>
              <w:pStyle w:val="TableParagraph"/>
              <w:numPr>
                <w:ilvl w:val="1"/>
                <w:numId w:val="72"/>
              </w:numPr>
              <w:tabs>
                <w:tab w:val="left" w:pos="946"/>
              </w:tabs>
              <w:spacing w:before="188"/>
              <w:ind w:left="945" w:hanging="296"/>
              <w:rPr>
                <w:sz w:val="20"/>
              </w:rPr>
            </w:pPr>
            <w:r>
              <w:rPr>
                <w:w w:val="105"/>
                <w:sz w:val="20"/>
              </w:rPr>
              <w:t>The onset is before age 18</w:t>
            </w:r>
            <w:r>
              <w:rPr>
                <w:spacing w:val="6"/>
                <w:w w:val="105"/>
                <w:sz w:val="20"/>
              </w:rPr>
              <w:t xml:space="preserve"> </w:t>
            </w:r>
            <w:r>
              <w:rPr>
                <w:w w:val="105"/>
                <w:sz w:val="20"/>
              </w:rPr>
              <w:t>years.</w:t>
            </w:r>
          </w:p>
          <w:p w:rsidR="00E675F0" w:rsidRDefault="00E675F0" w:rsidP="003048D3">
            <w:pPr>
              <w:pStyle w:val="TableParagraph"/>
              <w:numPr>
                <w:ilvl w:val="1"/>
                <w:numId w:val="72"/>
              </w:numPr>
              <w:tabs>
                <w:tab w:val="left" w:pos="946"/>
              </w:tabs>
              <w:spacing w:before="189" w:line="252" w:lineRule="auto"/>
              <w:ind w:left="951" w:right="209" w:hanging="302"/>
              <w:jc w:val="both"/>
              <w:rPr>
                <w:sz w:val="20"/>
              </w:rPr>
            </w:pPr>
            <w:r>
              <w:rPr>
                <w:w w:val="105"/>
                <w:sz w:val="20"/>
              </w:rPr>
              <w:t>The disturbance causes clinically significant distress or impairment in social, academic (occupational), or other important areas of</w:t>
            </w:r>
            <w:r>
              <w:rPr>
                <w:spacing w:val="-15"/>
                <w:w w:val="105"/>
                <w:sz w:val="20"/>
              </w:rPr>
              <w:t xml:space="preserve"> </w:t>
            </w:r>
            <w:r>
              <w:rPr>
                <w:w w:val="105"/>
                <w:sz w:val="20"/>
              </w:rPr>
              <w:t>functioning.</w:t>
            </w:r>
          </w:p>
          <w:p w:rsidR="00E675F0" w:rsidRDefault="00E675F0" w:rsidP="003048D3">
            <w:pPr>
              <w:pStyle w:val="TableParagraph"/>
              <w:numPr>
                <w:ilvl w:val="1"/>
                <w:numId w:val="72"/>
              </w:numPr>
              <w:tabs>
                <w:tab w:val="left" w:pos="946"/>
              </w:tabs>
              <w:spacing w:before="190" w:line="256" w:lineRule="auto"/>
              <w:ind w:left="953" w:right="211" w:hanging="305"/>
              <w:jc w:val="both"/>
              <w:rPr>
                <w:sz w:val="20"/>
              </w:rPr>
            </w:pPr>
            <w:r>
              <w:rPr>
                <w:w w:val="105"/>
                <w:sz w:val="20"/>
              </w:rPr>
              <w:t>The disturbance does not occur exclusively during the course of a Pervasive Developmental Disorder, Schizophrenia, or other Psychotic Disorder and, in adolescents and adults, is not better accounted for by Panic Disorder With</w:t>
            </w:r>
            <w:r>
              <w:rPr>
                <w:spacing w:val="32"/>
                <w:w w:val="105"/>
                <w:sz w:val="20"/>
              </w:rPr>
              <w:t xml:space="preserve"> </w:t>
            </w:r>
            <w:r>
              <w:rPr>
                <w:w w:val="105"/>
                <w:sz w:val="20"/>
              </w:rPr>
              <w:t>Agoraphobia.</w:t>
            </w:r>
          </w:p>
          <w:p w:rsidR="00E675F0" w:rsidRDefault="00E675F0" w:rsidP="00A330E1">
            <w:pPr>
              <w:pStyle w:val="TableParagraph"/>
              <w:spacing w:before="8"/>
              <w:rPr>
                <w:sz w:val="19"/>
              </w:rPr>
            </w:pPr>
          </w:p>
          <w:p w:rsidR="00E675F0" w:rsidRDefault="00E675F0" w:rsidP="00A330E1">
            <w:pPr>
              <w:pStyle w:val="TableParagraph"/>
              <w:ind w:left="416"/>
              <w:rPr>
                <w:sz w:val="19"/>
              </w:rPr>
            </w:pPr>
            <w:r>
              <w:rPr>
                <w:i/>
                <w:w w:val="95"/>
                <w:sz w:val="20"/>
              </w:rPr>
              <w:t xml:space="preserve">Specify </w:t>
            </w:r>
            <w:r>
              <w:rPr>
                <w:w w:val="95"/>
                <w:sz w:val="19"/>
              </w:rPr>
              <w:t>if:</w:t>
            </w:r>
          </w:p>
          <w:p w:rsidR="00E675F0" w:rsidRDefault="00E675F0" w:rsidP="00A330E1">
            <w:pPr>
              <w:pStyle w:val="TableParagraph"/>
              <w:spacing w:before="15"/>
              <w:ind w:left="649"/>
              <w:rPr>
                <w:sz w:val="20"/>
              </w:rPr>
            </w:pPr>
            <w:r>
              <w:rPr>
                <w:b/>
                <w:w w:val="105"/>
                <w:sz w:val="20"/>
              </w:rPr>
              <w:t xml:space="preserve">Early Onset: </w:t>
            </w:r>
            <w:r>
              <w:rPr>
                <w:w w:val="105"/>
                <w:sz w:val="20"/>
              </w:rPr>
              <w:t>if onset occurs before age 6 years</w:t>
            </w:r>
          </w:p>
        </w:tc>
      </w:tr>
    </w:tbl>
    <w:p w:rsidR="00E675F0" w:rsidRDefault="00E675F0" w:rsidP="00E675F0">
      <w:pPr>
        <w:rPr>
          <w:sz w:val="20"/>
        </w:rPr>
        <w:sectPr w:rsidR="00E675F0">
          <w:pgSz w:w="8960" w:h="14260"/>
          <w:pgMar w:top="1400" w:right="620" w:bottom="280" w:left="620" w:header="698" w:footer="0" w:gutter="0"/>
          <w:cols w:space="720"/>
        </w:sectPr>
      </w:pPr>
    </w:p>
    <w:p w:rsidR="00E675F0" w:rsidRDefault="00E675F0" w:rsidP="00E675F0">
      <w:pPr>
        <w:pStyle w:val="Heading9"/>
        <w:tabs>
          <w:tab w:val="left" w:pos="1077"/>
        </w:tabs>
        <w:spacing w:before="135" w:line="312" w:lineRule="exact"/>
        <w:ind w:left="9"/>
      </w:pPr>
      <w:bookmarkStart w:id="75" w:name="_bookmark59"/>
      <w:bookmarkEnd w:id="75"/>
      <w:r>
        <w:rPr>
          <w:w w:val="110"/>
        </w:rPr>
        <w:lastRenderedPageBreak/>
        <w:t>313.23</w:t>
      </w:r>
      <w:r>
        <w:rPr>
          <w:w w:val="110"/>
        </w:rPr>
        <w:tab/>
      </w:r>
      <w:r>
        <w:rPr>
          <w:w w:val="105"/>
        </w:rPr>
        <w:t>Selective</w:t>
      </w:r>
      <w:r>
        <w:rPr>
          <w:spacing w:val="-14"/>
          <w:w w:val="105"/>
        </w:rPr>
        <w:t xml:space="preserve"> </w:t>
      </w:r>
      <w:r>
        <w:rPr>
          <w:w w:val="105"/>
        </w:rPr>
        <w:t>Mutism</w:t>
      </w:r>
    </w:p>
    <w:p w:rsidR="00E675F0" w:rsidRDefault="00E675F0" w:rsidP="00E675F0">
      <w:pPr>
        <w:spacing w:line="312" w:lineRule="exact"/>
        <w:ind w:left="1188" w:right="1189"/>
        <w:jc w:val="center"/>
        <w:rPr>
          <w:b/>
          <w:sz w:val="28"/>
        </w:rPr>
      </w:pPr>
      <w:r>
        <w:rPr>
          <w:rFonts w:ascii="TimesNewRomanPS-BoldItalicMT"/>
          <w:b/>
          <w:i/>
          <w:sz w:val="27"/>
        </w:rPr>
        <w:t xml:space="preserve">(formerly  </w:t>
      </w:r>
      <w:r>
        <w:rPr>
          <w:b/>
          <w:sz w:val="28"/>
        </w:rPr>
        <w:t>Elective</w:t>
      </w:r>
      <w:r>
        <w:rPr>
          <w:b/>
          <w:spacing w:val="-13"/>
          <w:sz w:val="28"/>
        </w:rPr>
        <w:t xml:space="preserve"> </w:t>
      </w:r>
      <w:r>
        <w:rPr>
          <w:b/>
          <w:sz w:val="28"/>
        </w:rPr>
        <w:t>Mutism)</w:t>
      </w:r>
    </w:p>
    <w:p w:rsidR="00E675F0" w:rsidRDefault="00E675F0" w:rsidP="00E675F0">
      <w:pPr>
        <w:pStyle w:val="BodyText"/>
        <w:spacing w:before="1"/>
        <w:rPr>
          <w:b/>
          <w:sz w:val="40"/>
        </w:rPr>
      </w:pPr>
    </w:p>
    <w:p w:rsidR="00E675F0" w:rsidRDefault="00E675F0" w:rsidP="00E675F0">
      <w:pPr>
        <w:ind w:left="118"/>
        <w:rPr>
          <w:rFonts w:ascii="TimesNewRomanPS-BoldItalicMT"/>
          <w:b/>
          <w:i/>
          <w:sz w:val="25"/>
        </w:rPr>
      </w:pPr>
      <w:r>
        <w:rPr>
          <w:rFonts w:ascii="TimesNewRomanPS-BoldItalicMT"/>
          <w:b/>
          <w:i/>
          <w:w w:val="115"/>
          <w:sz w:val="25"/>
        </w:rPr>
        <w:t>magnostic Features</w:t>
      </w:r>
    </w:p>
    <w:p w:rsidR="00E675F0" w:rsidRDefault="00E675F0" w:rsidP="00E675F0">
      <w:pPr>
        <w:pStyle w:val="BodyText"/>
        <w:spacing w:before="173" w:line="254" w:lineRule="auto"/>
        <w:ind w:left="140" w:right="118" w:hanging="1"/>
        <w:jc w:val="both"/>
      </w:pPr>
      <w:r>
        <w:rPr>
          <w:w w:val="105"/>
        </w:rPr>
        <w:t>The essential feature of Selective Mutism is the persistent failure to speak in specific social situations (e.g., school, with playmates) where speaking is expected, despite speaking in other situations (Criterion  A). The disturbance  interferes with educational or occupational achievement or with social communication (Criterion B). The distur­ bance must</w:t>
      </w:r>
      <w:r>
        <w:rPr>
          <w:spacing w:val="-3"/>
          <w:w w:val="105"/>
        </w:rPr>
        <w:t xml:space="preserve"> </w:t>
      </w:r>
      <w:r>
        <w:rPr>
          <w:w w:val="105"/>
        </w:rPr>
        <w:t>last</w:t>
      </w:r>
      <w:r>
        <w:rPr>
          <w:spacing w:val="-3"/>
          <w:w w:val="105"/>
        </w:rPr>
        <w:t xml:space="preserve"> </w:t>
      </w:r>
      <w:r>
        <w:rPr>
          <w:w w:val="105"/>
        </w:rPr>
        <w:t>for</w:t>
      </w:r>
      <w:r>
        <w:rPr>
          <w:spacing w:val="-10"/>
          <w:w w:val="105"/>
        </w:rPr>
        <w:t xml:space="preserve"> </w:t>
      </w:r>
      <w:r>
        <w:rPr>
          <w:w w:val="105"/>
        </w:rPr>
        <w:t>at</w:t>
      </w:r>
      <w:r>
        <w:rPr>
          <w:spacing w:val="-7"/>
          <w:w w:val="105"/>
        </w:rPr>
        <w:t xml:space="preserve"> </w:t>
      </w:r>
      <w:r>
        <w:rPr>
          <w:w w:val="105"/>
        </w:rPr>
        <w:t>least</w:t>
      </w:r>
      <w:r>
        <w:rPr>
          <w:spacing w:val="-6"/>
          <w:w w:val="105"/>
        </w:rPr>
        <w:t xml:space="preserve"> </w:t>
      </w:r>
      <w:r>
        <w:rPr>
          <w:w w:val="105"/>
        </w:rPr>
        <w:t>1</w:t>
      </w:r>
      <w:r>
        <w:rPr>
          <w:spacing w:val="-5"/>
          <w:w w:val="105"/>
        </w:rPr>
        <w:t xml:space="preserve"> </w:t>
      </w:r>
      <w:r>
        <w:rPr>
          <w:w w:val="105"/>
        </w:rPr>
        <w:t>month</w:t>
      </w:r>
      <w:r>
        <w:rPr>
          <w:spacing w:val="-2"/>
          <w:w w:val="105"/>
        </w:rPr>
        <w:t xml:space="preserve"> </w:t>
      </w:r>
      <w:r>
        <w:rPr>
          <w:w w:val="105"/>
        </w:rPr>
        <w:t>and</w:t>
      </w:r>
      <w:r>
        <w:rPr>
          <w:spacing w:val="-3"/>
          <w:w w:val="105"/>
        </w:rPr>
        <w:t xml:space="preserve"> </w:t>
      </w:r>
      <w:r>
        <w:rPr>
          <w:w w:val="105"/>
        </w:rPr>
        <w:t>is</w:t>
      </w:r>
      <w:r>
        <w:rPr>
          <w:spacing w:val="-10"/>
          <w:w w:val="105"/>
        </w:rPr>
        <w:t xml:space="preserve"> </w:t>
      </w:r>
      <w:r>
        <w:rPr>
          <w:w w:val="105"/>
        </w:rPr>
        <w:t>not</w:t>
      </w:r>
      <w:r>
        <w:rPr>
          <w:spacing w:val="-9"/>
          <w:w w:val="105"/>
        </w:rPr>
        <w:t xml:space="preserve"> </w:t>
      </w:r>
      <w:r>
        <w:rPr>
          <w:w w:val="105"/>
        </w:rPr>
        <w:t>limited</w:t>
      </w:r>
      <w:r>
        <w:rPr>
          <w:spacing w:val="5"/>
          <w:w w:val="105"/>
        </w:rPr>
        <w:t xml:space="preserve"> </w:t>
      </w:r>
      <w:r>
        <w:rPr>
          <w:w w:val="105"/>
        </w:rPr>
        <w:t>to</w:t>
      </w:r>
      <w:r>
        <w:rPr>
          <w:spacing w:val="5"/>
          <w:w w:val="105"/>
        </w:rPr>
        <w:t xml:space="preserve"> </w:t>
      </w:r>
      <w:r>
        <w:rPr>
          <w:w w:val="105"/>
        </w:rPr>
        <w:t>the</w:t>
      </w:r>
      <w:r>
        <w:rPr>
          <w:spacing w:val="-13"/>
          <w:w w:val="105"/>
        </w:rPr>
        <w:t xml:space="preserve"> </w:t>
      </w:r>
      <w:r>
        <w:rPr>
          <w:w w:val="105"/>
        </w:rPr>
        <w:t>first</w:t>
      </w:r>
      <w:r>
        <w:rPr>
          <w:spacing w:val="1"/>
          <w:w w:val="105"/>
        </w:rPr>
        <w:t xml:space="preserve"> </w:t>
      </w:r>
      <w:r>
        <w:rPr>
          <w:w w:val="105"/>
        </w:rPr>
        <w:t>month</w:t>
      </w:r>
      <w:r>
        <w:rPr>
          <w:spacing w:val="2"/>
          <w:w w:val="105"/>
        </w:rPr>
        <w:t xml:space="preserve"> </w:t>
      </w:r>
      <w:r>
        <w:rPr>
          <w:w w:val="105"/>
        </w:rPr>
        <w:t>of</w:t>
      </w:r>
      <w:r>
        <w:rPr>
          <w:spacing w:val="-2"/>
          <w:w w:val="105"/>
        </w:rPr>
        <w:t xml:space="preserve"> </w:t>
      </w:r>
      <w:r>
        <w:rPr>
          <w:w w:val="105"/>
        </w:rPr>
        <w:t>school</w:t>
      </w:r>
      <w:r>
        <w:rPr>
          <w:spacing w:val="-4"/>
          <w:w w:val="105"/>
        </w:rPr>
        <w:t xml:space="preserve"> </w:t>
      </w:r>
      <w:r>
        <w:rPr>
          <w:w w:val="105"/>
        </w:rPr>
        <w:t xml:space="preserve">(during which many children may be shy and reluctant </w:t>
      </w:r>
      <w:r>
        <w:rPr>
          <w:w w:val="105"/>
          <w:sz w:val="18"/>
        </w:rPr>
        <w:t xml:space="preserve">to </w:t>
      </w:r>
      <w:r>
        <w:rPr>
          <w:w w:val="105"/>
        </w:rPr>
        <w:t xml:space="preserve">speak) (Criterion C). Selective Mutism should not be diagnosed if the individual's failure to speak is due solely to a lack of knowledge of, or comfort with, the spoken language required in the social situation (Criterion D). </w:t>
      </w:r>
      <w:r>
        <w:rPr>
          <w:w w:val="105"/>
          <w:sz w:val="18"/>
        </w:rPr>
        <w:t xml:space="preserve">It </w:t>
      </w:r>
      <w:r>
        <w:rPr>
          <w:w w:val="105"/>
        </w:rPr>
        <w:t>is also not diagnosed if the disturbance is better accounted for by embarrassment related to having a Communication Disorder (e.g., Stuttering) or if it occurs exclusively during a Pervasive Developmental Disorder, Schizophrenia, or other Psychotic Disorder (Criterion E). Instead of communicating by standard verbalization, children with this disorder may communicate by gestures, nodding or shaking the head, or pulling or pushing, or, in some cases, by monosyllabic, short, or monotone utterances, or in an altered</w:t>
      </w:r>
      <w:r>
        <w:rPr>
          <w:spacing w:val="4"/>
          <w:w w:val="105"/>
        </w:rPr>
        <w:t xml:space="preserve"> </w:t>
      </w:r>
      <w:r>
        <w:rPr>
          <w:w w:val="105"/>
        </w:rPr>
        <w:t>voice.</w:t>
      </w:r>
    </w:p>
    <w:p w:rsidR="00E675F0" w:rsidRDefault="00E675F0" w:rsidP="00E675F0">
      <w:pPr>
        <w:pStyle w:val="BodyText"/>
        <w:rPr>
          <w:sz w:val="22"/>
        </w:rPr>
      </w:pPr>
    </w:p>
    <w:p w:rsidR="00E675F0" w:rsidRDefault="00E675F0" w:rsidP="00E675F0">
      <w:pPr>
        <w:pStyle w:val="BodyText"/>
        <w:spacing w:before="9"/>
      </w:pPr>
    </w:p>
    <w:p w:rsidR="00E675F0" w:rsidRDefault="00E675F0" w:rsidP="00E675F0">
      <w:pPr>
        <w:spacing w:before="1"/>
        <w:ind w:left="130"/>
        <w:rPr>
          <w:rFonts w:ascii="TimesNewRomanPS-BoldItalicMT"/>
          <w:b/>
          <w:i/>
          <w:sz w:val="25"/>
        </w:rPr>
      </w:pPr>
      <w:r>
        <w:rPr>
          <w:rFonts w:ascii="TimesNewRomanPS-BoldItalicMT"/>
          <w:b/>
          <w:i/>
          <w:w w:val="115"/>
          <w:sz w:val="25"/>
        </w:rPr>
        <w:t>Associated Features and msorders</w:t>
      </w:r>
    </w:p>
    <w:p w:rsidR="00E675F0" w:rsidRDefault="00E675F0" w:rsidP="00E675F0">
      <w:pPr>
        <w:pStyle w:val="BodyText"/>
        <w:spacing w:before="172" w:line="252" w:lineRule="auto"/>
        <w:ind w:left="147" w:right="114" w:hanging="4"/>
        <w:jc w:val="both"/>
      </w:pPr>
      <w:r>
        <w:rPr>
          <w:w w:val="105"/>
        </w:rPr>
        <w:t>Associated features of Selective Mutism may include excessive shyness, fear of social embarrassment, social isolation and withdrawal, clinging, compulsive traits, negativism, temper tantrums, or controlling or oppositional behavior, particularly at home. There may be severe impairment in social and school functioning. Teasing or scapegoating by peers is common. Although children with this disorder generally have normal language skills, there may occasionally be an associated Communication Disorder (e.g., Phono­ logical Disorder, Expressive Language Disorder, or Mixed Receptive-Expressive Lan­ guage Disorder) or a general medical condition that causes abnormalities of articulation. Anxiety Disorders (especially Social Phobia), Mental Retardation, hospitalization, or extreme psychosocial stressors may be associated with</w:t>
      </w:r>
      <w:r>
        <w:rPr>
          <w:spacing w:val="21"/>
          <w:w w:val="105"/>
        </w:rPr>
        <w:t xml:space="preserve"> </w:t>
      </w:r>
      <w:r>
        <w:rPr>
          <w:w w:val="105"/>
        </w:rPr>
        <w:t>the disorder.</w:t>
      </w:r>
    </w:p>
    <w:p w:rsidR="00E675F0" w:rsidRDefault="00E675F0" w:rsidP="00E675F0">
      <w:pPr>
        <w:pStyle w:val="BodyText"/>
        <w:rPr>
          <w:sz w:val="22"/>
        </w:rPr>
      </w:pPr>
    </w:p>
    <w:p w:rsidR="00E675F0" w:rsidRDefault="00E675F0" w:rsidP="00E675F0">
      <w:pPr>
        <w:pStyle w:val="BodyText"/>
        <w:spacing w:before="2"/>
      </w:pPr>
    </w:p>
    <w:p w:rsidR="00E675F0" w:rsidRDefault="00E675F0" w:rsidP="00E675F0">
      <w:pPr>
        <w:ind w:left="145"/>
        <w:rPr>
          <w:rFonts w:ascii="TimesNewRomanPS-BoldItalicMT"/>
          <w:b/>
          <w:i/>
          <w:sz w:val="25"/>
        </w:rPr>
      </w:pPr>
      <w:r>
        <w:rPr>
          <w:rFonts w:ascii="TimesNewRomanPS-BoldItalicMT"/>
          <w:b/>
          <w:i/>
          <w:w w:val="110"/>
          <w:sz w:val="25"/>
        </w:rPr>
        <w:t>Specific Culture and Gender Features</w:t>
      </w:r>
    </w:p>
    <w:p w:rsidR="00E675F0" w:rsidRDefault="00E675F0" w:rsidP="00E675F0">
      <w:pPr>
        <w:pStyle w:val="BodyText"/>
        <w:spacing w:before="168" w:line="254" w:lineRule="auto"/>
        <w:ind w:left="152" w:right="117" w:firstLine="2"/>
        <w:jc w:val="both"/>
      </w:pPr>
      <w:r>
        <w:rPr>
          <w:w w:val="105"/>
        </w:rPr>
        <w:t>Immigrant children who are unfamiliar with or uncomfortable  in the official language  of their new host country may refuse to speak to strangers in their new environment. This behavior should not be diagnosed as Selective Mutism. Selective Mutism is slightly more common in females than in</w:t>
      </w:r>
      <w:r>
        <w:rPr>
          <w:spacing w:val="27"/>
          <w:w w:val="105"/>
        </w:rPr>
        <w:t xml:space="preserve"> </w:t>
      </w:r>
      <w:r>
        <w:rPr>
          <w:w w:val="105"/>
        </w:rPr>
        <w:t>males.</w:t>
      </w:r>
    </w:p>
    <w:p w:rsidR="00E675F0" w:rsidRDefault="00E675F0" w:rsidP="00E675F0">
      <w:pPr>
        <w:pStyle w:val="BodyText"/>
        <w:rPr>
          <w:sz w:val="22"/>
        </w:rPr>
      </w:pPr>
    </w:p>
    <w:p w:rsidR="00E675F0" w:rsidRDefault="00E675F0" w:rsidP="00E675F0">
      <w:pPr>
        <w:pStyle w:val="BodyText"/>
        <w:spacing w:before="9"/>
      </w:pPr>
    </w:p>
    <w:p w:rsidR="00E675F0" w:rsidRDefault="00E675F0" w:rsidP="00E675F0">
      <w:pPr>
        <w:ind w:left="142"/>
        <w:rPr>
          <w:rFonts w:ascii="TimesNewRomanPS-BoldItalicMT"/>
          <w:b/>
          <w:i/>
          <w:sz w:val="25"/>
        </w:rPr>
      </w:pPr>
      <w:r>
        <w:rPr>
          <w:rFonts w:ascii="TimesNewRomanPS-BoldItalicMT"/>
          <w:b/>
          <w:i/>
          <w:w w:val="110"/>
          <w:sz w:val="25"/>
        </w:rPr>
        <w:t>Prevalence</w:t>
      </w:r>
    </w:p>
    <w:p w:rsidR="00E675F0" w:rsidRDefault="00E675F0" w:rsidP="00E675F0">
      <w:pPr>
        <w:pStyle w:val="BodyText"/>
        <w:spacing w:before="178" w:line="252" w:lineRule="auto"/>
        <w:ind w:left="158" w:right="119" w:hanging="7"/>
        <w:jc w:val="both"/>
      </w:pPr>
      <w:r>
        <w:rPr>
          <w:w w:val="105"/>
        </w:rPr>
        <w:t>Selective Mutism is apparently rare and is found in fewer than 1</w:t>
      </w:r>
      <w:r>
        <w:rPr>
          <w:w w:val="105"/>
          <w:sz w:val="18"/>
        </w:rPr>
        <w:t xml:space="preserve">% </w:t>
      </w:r>
      <w:r>
        <w:rPr>
          <w:w w:val="105"/>
        </w:rPr>
        <w:t>of  individuals seen  in mental health</w:t>
      </w:r>
      <w:r>
        <w:rPr>
          <w:spacing w:val="-12"/>
          <w:w w:val="105"/>
        </w:rPr>
        <w:t xml:space="preserve"> </w:t>
      </w:r>
      <w:r>
        <w:rPr>
          <w:w w:val="105"/>
        </w:rPr>
        <w:t>settings.</w:t>
      </w:r>
    </w:p>
    <w:p w:rsidR="00E675F0" w:rsidRDefault="00E675F0" w:rsidP="00E675F0">
      <w:pPr>
        <w:spacing w:line="252" w:lineRule="auto"/>
        <w:jc w:val="both"/>
        <w:sectPr w:rsidR="00E675F0">
          <w:headerReference w:type="even" r:id="rId130"/>
          <w:headerReference w:type="default" r:id="rId131"/>
          <w:pgSz w:w="8960" w:h="14260"/>
          <w:pgMar w:top="1400" w:right="600" w:bottom="280" w:left="600" w:header="694" w:footer="0" w:gutter="0"/>
          <w:pgNumType w:start="114"/>
          <w:cols w:space="720"/>
        </w:sectPr>
      </w:pPr>
    </w:p>
    <w:p w:rsidR="00E675F0" w:rsidRDefault="00E675F0" w:rsidP="00E675F0">
      <w:pPr>
        <w:spacing w:before="129"/>
        <w:ind w:left="105"/>
        <w:rPr>
          <w:rFonts w:ascii="TimesNewRomanPS-BoldItalicMT"/>
          <w:b/>
          <w:i/>
          <w:sz w:val="24"/>
        </w:rPr>
      </w:pPr>
      <w:bookmarkStart w:id="76" w:name="_bookmark60"/>
      <w:bookmarkEnd w:id="76"/>
      <w:r>
        <w:rPr>
          <w:rFonts w:ascii="TimesNewRomanPS-BoldItalicMT"/>
          <w:b/>
          <w:i/>
          <w:w w:val="115"/>
          <w:sz w:val="24"/>
        </w:rPr>
        <w:lastRenderedPageBreak/>
        <w:t>Course</w:t>
      </w:r>
    </w:p>
    <w:p w:rsidR="00E675F0" w:rsidRDefault="00E675F0" w:rsidP="00E675F0">
      <w:pPr>
        <w:pStyle w:val="BodyText"/>
        <w:spacing w:before="179" w:line="252" w:lineRule="auto"/>
        <w:ind w:left="123" w:right="105"/>
        <w:jc w:val="both"/>
      </w:pPr>
      <w:r>
        <w:rPr>
          <w:w w:val="105"/>
        </w:rPr>
        <w:t>Onset of Selective Mutism is usually before age 5 years, but the disturbance may not come to clinical attention until entry into school. Although the disturbance usually lasts for only a few months, it may sometimes persist longer and may even continue for several years.</w:t>
      </w:r>
    </w:p>
    <w:p w:rsidR="00E675F0" w:rsidRDefault="00E675F0" w:rsidP="00E675F0">
      <w:pPr>
        <w:pStyle w:val="BodyText"/>
        <w:rPr>
          <w:sz w:val="22"/>
        </w:rPr>
      </w:pPr>
    </w:p>
    <w:p w:rsidR="00E675F0" w:rsidRDefault="00E675F0" w:rsidP="00E675F0">
      <w:pPr>
        <w:pStyle w:val="BodyText"/>
        <w:spacing w:before="1"/>
        <w:rPr>
          <w:sz w:val="24"/>
        </w:rPr>
      </w:pPr>
    </w:p>
    <w:p w:rsidR="00E675F0" w:rsidRDefault="00E675F0" w:rsidP="00E675F0">
      <w:pPr>
        <w:ind w:left="120"/>
        <w:rPr>
          <w:rFonts w:ascii="TimesNewRomanPS-BoldItalicMT"/>
          <w:b/>
          <w:i/>
          <w:sz w:val="24"/>
        </w:rPr>
      </w:pPr>
      <w:r>
        <w:rPr>
          <w:rFonts w:ascii="TimesNewRomanPS-BoldItalicMT"/>
          <w:b/>
          <w:i/>
          <w:w w:val="115"/>
          <w:sz w:val="24"/>
        </w:rPr>
        <w:t>Di,.fferential magnosis</w:t>
      </w:r>
    </w:p>
    <w:p w:rsidR="00E675F0" w:rsidRDefault="00E675F0" w:rsidP="00E675F0">
      <w:pPr>
        <w:spacing w:before="189" w:line="254" w:lineRule="auto"/>
        <w:ind w:left="125" w:right="105" w:firstLine="2"/>
        <w:jc w:val="both"/>
        <w:rPr>
          <w:sz w:val="20"/>
        </w:rPr>
      </w:pPr>
      <w:r>
        <w:rPr>
          <w:w w:val="110"/>
          <w:sz w:val="20"/>
        </w:rPr>
        <w:t xml:space="preserve">Selective Mutism should be distinguished from speech disturbances that are better accounted for by a </w:t>
      </w:r>
      <w:r>
        <w:rPr>
          <w:b/>
          <w:w w:val="110"/>
          <w:sz w:val="20"/>
        </w:rPr>
        <w:t xml:space="preserve">Communication Disorder, </w:t>
      </w:r>
      <w:r>
        <w:rPr>
          <w:w w:val="110"/>
          <w:sz w:val="20"/>
        </w:rPr>
        <w:t xml:space="preserve">such as </w:t>
      </w:r>
      <w:r>
        <w:rPr>
          <w:b/>
          <w:w w:val="110"/>
          <w:sz w:val="20"/>
        </w:rPr>
        <w:t>Phonological Disorder, Expressive</w:t>
      </w:r>
      <w:r>
        <w:rPr>
          <w:b/>
          <w:spacing w:val="-23"/>
          <w:w w:val="110"/>
          <w:sz w:val="20"/>
        </w:rPr>
        <w:t xml:space="preserve"> </w:t>
      </w:r>
      <w:r>
        <w:rPr>
          <w:b/>
          <w:w w:val="110"/>
          <w:sz w:val="20"/>
        </w:rPr>
        <w:t>Language</w:t>
      </w:r>
      <w:r>
        <w:rPr>
          <w:b/>
          <w:spacing w:val="-19"/>
          <w:w w:val="110"/>
          <w:sz w:val="20"/>
        </w:rPr>
        <w:t xml:space="preserve"> </w:t>
      </w:r>
      <w:r>
        <w:rPr>
          <w:b/>
          <w:w w:val="110"/>
          <w:sz w:val="20"/>
        </w:rPr>
        <w:t>Disorder,</w:t>
      </w:r>
      <w:r>
        <w:rPr>
          <w:b/>
          <w:spacing w:val="-12"/>
          <w:w w:val="110"/>
          <w:sz w:val="20"/>
        </w:rPr>
        <w:t xml:space="preserve"> </w:t>
      </w:r>
      <w:r>
        <w:rPr>
          <w:b/>
          <w:w w:val="110"/>
          <w:sz w:val="20"/>
        </w:rPr>
        <w:t>Mixed</w:t>
      </w:r>
      <w:r>
        <w:rPr>
          <w:b/>
          <w:spacing w:val="-28"/>
          <w:w w:val="110"/>
          <w:sz w:val="20"/>
        </w:rPr>
        <w:t xml:space="preserve"> </w:t>
      </w:r>
      <w:r>
        <w:rPr>
          <w:b/>
          <w:w w:val="110"/>
          <w:sz w:val="20"/>
        </w:rPr>
        <w:t>Receptive-Expressive</w:t>
      </w:r>
      <w:r>
        <w:rPr>
          <w:b/>
          <w:spacing w:val="-40"/>
          <w:w w:val="110"/>
          <w:sz w:val="20"/>
        </w:rPr>
        <w:t xml:space="preserve"> </w:t>
      </w:r>
      <w:r>
        <w:rPr>
          <w:b/>
          <w:w w:val="110"/>
          <w:sz w:val="20"/>
        </w:rPr>
        <w:t>Language</w:t>
      </w:r>
      <w:r>
        <w:rPr>
          <w:b/>
          <w:spacing w:val="-23"/>
          <w:w w:val="110"/>
          <w:sz w:val="20"/>
        </w:rPr>
        <w:t xml:space="preserve"> </w:t>
      </w:r>
      <w:r>
        <w:rPr>
          <w:b/>
          <w:w w:val="110"/>
          <w:sz w:val="20"/>
        </w:rPr>
        <w:t xml:space="preserve">Disorder, </w:t>
      </w:r>
      <w:r>
        <w:rPr>
          <w:w w:val="110"/>
          <w:sz w:val="20"/>
        </w:rPr>
        <w:t>or</w:t>
      </w:r>
      <w:r>
        <w:rPr>
          <w:spacing w:val="-13"/>
          <w:w w:val="110"/>
          <w:sz w:val="20"/>
        </w:rPr>
        <w:t xml:space="preserve"> </w:t>
      </w:r>
      <w:r>
        <w:rPr>
          <w:b/>
          <w:w w:val="110"/>
          <w:sz w:val="20"/>
        </w:rPr>
        <w:t>Stuttering.</w:t>
      </w:r>
      <w:r>
        <w:rPr>
          <w:b/>
          <w:spacing w:val="-1"/>
          <w:w w:val="110"/>
          <w:sz w:val="20"/>
        </w:rPr>
        <w:t xml:space="preserve"> </w:t>
      </w:r>
      <w:r>
        <w:rPr>
          <w:w w:val="110"/>
          <w:sz w:val="20"/>
        </w:rPr>
        <w:t>Unlike</w:t>
      </w:r>
      <w:r>
        <w:rPr>
          <w:spacing w:val="-13"/>
          <w:w w:val="110"/>
          <w:sz w:val="20"/>
        </w:rPr>
        <w:t xml:space="preserve"> </w:t>
      </w:r>
      <w:r>
        <w:rPr>
          <w:w w:val="110"/>
          <w:sz w:val="20"/>
        </w:rPr>
        <w:t>Selective</w:t>
      </w:r>
      <w:r>
        <w:rPr>
          <w:spacing w:val="-2"/>
          <w:w w:val="110"/>
          <w:sz w:val="20"/>
        </w:rPr>
        <w:t xml:space="preserve"> </w:t>
      </w:r>
      <w:r>
        <w:rPr>
          <w:w w:val="110"/>
          <w:sz w:val="20"/>
        </w:rPr>
        <w:t>Mutism,</w:t>
      </w:r>
      <w:r>
        <w:rPr>
          <w:spacing w:val="-1"/>
          <w:w w:val="110"/>
          <w:sz w:val="20"/>
        </w:rPr>
        <w:t xml:space="preserve"> </w:t>
      </w:r>
      <w:r>
        <w:rPr>
          <w:w w:val="110"/>
          <w:sz w:val="20"/>
        </w:rPr>
        <w:t>the</w:t>
      </w:r>
      <w:r>
        <w:rPr>
          <w:spacing w:val="-11"/>
          <w:w w:val="110"/>
          <w:sz w:val="20"/>
        </w:rPr>
        <w:t xml:space="preserve"> </w:t>
      </w:r>
      <w:r>
        <w:rPr>
          <w:w w:val="110"/>
          <w:sz w:val="20"/>
        </w:rPr>
        <w:t>speech</w:t>
      </w:r>
      <w:r>
        <w:rPr>
          <w:spacing w:val="-9"/>
          <w:w w:val="110"/>
          <w:sz w:val="20"/>
        </w:rPr>
        <w:t xml:space="preserve"> </w:t>
      </w:r>
      <w:r>
        <w:rPr>
          <w:w w:val="110"/>
          <w:sz w:val="20"/>
        </w:rPr>
        <w:t>disturbance</w:t>
      </w:r>
      <w:r>
        <w:rPr>
          <w:spacing w:val="-1"/>
          <w:w w:val="110"/>
          <w:sz w:val="20"/>
        </w:rPr>
        <w:t xml:space="preserve"> </w:t>
      </w:r>
      <w:r>
        <w:rPr>
          <w:w w:val="110"/>
          <w:sz w:val="20"/>
        </w:rPr>
        <w:t>in</w:t>
      </w:r>
      <w:r>
        <w:rPr>
          <w:spacing w:val="-6"/>
          <w:w w:val="110"/>
          <w:sz w:val="20"/>
        </w:rPr>
        <w:t xml:space="preserve"> </w:t>
      </w:r>
      <w:r>
        <w:rPr>
          <w:w w:val="110"/>
          <w:sz w:val="20"/>
        </w:rPr>
        <w:t>these</w:t>
      </w:r>
      <w:r>
        <w:rPr>
          <w:spacing w:val="-11"/>
          <w:w w:val="110"/>
          <w:sz w:val="20"/>
        </w:rPr>
        <w:t xml:space="preserve"> </w:t>
      </w:r>
      <w:r>
        <w:rPr>
          <w:w w:val="110"/>
          <w:sz w:val="20"/>
        </w:rPr>
        <w:t>conditions</w:t>
      </w:r>
      <w:r>
        <w:rPr>
          <w:spacing w:val="3"/>
          <w:w w:val="110"/>
          <w:sz w:val="20"/>
        </w:rPr>
        <w:t xml:space="preserve"> </w:t>
      </w:r>
      <w:r>
        <w:rPr>
          <w:w w:val="110"/>
          <w:sz w:val="20"/>
        </w:rPr>
        <w:t>is not</w:t>
      </w:r>
      <w:r>
        <w:rPr>
          <w:spacing w:val="-21"/>
          <w:w w:val="110"/>
          <w:sz w:val="20"/>
        </w:rPr>
        <w:t xml:space="preserve"> </w:t>
      </w:r>
      <w:r>
        <w:rPr>
          <w:w w:val="110"/>
          <w:sz w:val="20"/>
        </w:rPr>
        <w:t>restricted</w:t>
      </w:r>
      <w:r>
        <w:rPr>
          <w:spacing w:val="-17"/>
          <w:w w:val="110"/>
          <w:sz w:val="20"/>
        </w:rPr>
        <w:t xml:space="preserve"> </w:t>
      </w:r>
      <w:r>
        <w:rPr>
          <w:w w:val="110"/>
          <w:sz w:val="20"/>
        </w:rPr>
        <w:t>to</w:t>
      </w:r>
      <w:r>
        <w:rPr>
          <w:spacing w:val="-29"/>
          <w:w w:val="110"/>
          <w:sz w:val="20"/>
        </w:rPr>
        <w:t xml:space="preserve"> </w:t>
      </w:r>
      <w:r>
        <w:rPr>
          <w:w w:val="110"/>
          <w:sz w:val="20"/>
        </w:rPr>
        <w:t>a</w:t>
      </w:r>
      <w:r>
        <w:rPr>
          <w:spacing w:val="-26"/>
          <w:w w:val="110"/>
          <w:sz w:val="20"/>
        </w:rPr>
        <w:t xml:space="preserve"> </w:t>
      </w:r>
      <w:r>
        <w:rPr>
          <w:w w:val="110"/>
          <w:sz w:val="20"/>
        </w:rPr>
        <w:t>specific</w:t>
      </w:r>
      <w:r>
        <w:rPr>
          <w:spacing w:val="-23"/>
          <w:w w:val="110"/>
          <w:sz w:val="20"/>
        </w:rPr>
        <w:t xml:space="preserve"> </w:t>
      </w:r>
      <w:r>
        <w:rPr>
          <w:w w:val="110"/>
          <w:sz w:val="20"/>
        </w:rPr>
        <w:t>social</w:t>
      </w:r>
      <w:r>
        <w:rPr>
          <w:spacing w:val="-23"/>
          <w:w w:val="110"/>
          <w:sz w:val="20"/>
        </w:rPr>
        <w:t xml:space="preserve"> </w:t>
      </w:r>
      <w:r>
        <w:rPr>
          <w:w w:val="110"/>
          <w:sz w:val="20"/>
        </w:rPr>
        <w:t>situation.</w:t>
      </w:r>
      <w:r>
        <w:rPr>
          <w:spacing w:val="-16"/>
          <w:w w:val="110"/>
          <w:sz w:val="20"/>
        </w:rPr>
        <w:t xml:space="preserve"> </w:t>
      </w:r>
      <w:r>
        <w:rPr>
          <w:w w:val="110"/>
          <w:sz w:val="20"/>
        </w:rPr>
        <w:t>Children</w:t>
      </w:r>
      <w:r>
        <w:rPr>
          <w:spacing w:val="-16"/>
          <w:w w:val="110"/>
          <w:sz w:val="20"/>
        </w:rPr>
        <w:t xml:space="preserve"> </w:t>
      </w:r>
      <w:r>
        <w:rPr>
          <w:w w:val="110"/>
          <w:sz w:val="20"/>
        </w:rPr>
        <w:t>in</w:t>
      </w:r>
      <w:r>
        <w:rPr>
          <w:spacing w:val="-27"/>
          <w:w w:val="110"/>
          <w:sz w:val="20"/>
        </w:rPr>
        <w:t xml:space="preserve"> </w:t>
      </w:r>
      <w:r>
        <w:rPr>
          <w:w w:val="110"/>
          <w:sz w:val="20"/>
        </w:rPr>
        <w:t>families</w:t>
      </w:r>
      <w:r>
        <w:rPr>
          <w:spacing w:val="-23"/>
          <w:w w:val="110"/>
          <w:sz w:val="20"/>
        </w:rPr>
        <w:t xml:space="preserve"> </w:t>
      </w:r>
      <w:r>
        <w:rPr>
          <w:w w:val="110"/>
          <w:sz w:val="20"/>
        </w:rPr>
        <w:t>who</w:t>
      </w:r>
      <w:r>
        <w:rPr>
          <w:spacing w:val="-10"/>
          <w:w w:val="110"/>
          <w:sz w:val="20"/>
        </w:rPr>
        <w:t xml:space="preserve"> </w:t>
      </w:r>
      <w:r>
        <w:rPr>
          <w:w w:val="110"/>
          <w:sz w:val="20"/>
        </w:rPr>
        <w:t>have</w:t>
      </w:r>
      <w:r>
        <w:rPr>
          <w:spacing w:val="-23"/>
          <w:w w:val="110"/>
          <w:sz w:val="20"/>
        </w:rPr>
        <w:t xml:space="preserve"> </w:t>
      </w:r>
      <w:r>
        <w:rPr>
          <w:w w:val="110"/>
          <w:sz w:val="20"/>
        </w:rPr>
        <w:t>immigrated</w:t>
      </w:r>
      <w:r>
        <w:rPr>
          <w:spacing w:val="-12"/>
          <w:w w:val="110"/>
          <w:sz w:val="20"/>
        </w:rPr>
        <w:t xml:space="preserve"> </w:t>
      </w:r>
      <w:r>
        <w:rPr>
          <w:w w:val="110"/>
          <w:sz w:val="20"/>
        </w:rPr>
        <w:t>to a</w:t>
      </w:r>
      <w:r>
        <w:rPr>
          <w:spacing w:val="-4"/>
          <w:w w:val="110"/>
          <w:sz w:val="20"/>
        </w:rPr>
        <w:t xml:space="preserve"> </w:t>
      </w:r>
      <w:r>
        <w:rPr>
          <w:w w:val="110"/>
          <w:sz w:val="20"/>
        </w:rPr>
        <w:t>country</w:t>
      </w:r>
      <w:r>
        <w:rPr>
          <w:spacing w:val="-4"/>
          <w:w w:val="110"/>
          <w:sz w:val="20"/>
        </w:rPr>
        <w:t xml:space="preserve"> </w:t>
      </w:r>
      <w:r>
        <w:rPr>
          <w:w w:val="110"/>
          <w:sz w:val="20"/>
        </w:rPr>
        <w:t>where</w:t>
      </w:r>
      <w:r>
        <w:rPr>
          <w:spacing w:val="-4"/>
          <w:w w:val="110"/>
          <w:sz w:val="20"/>
        </w:rPr>
        <w:t xml:space="preserve"> </w:t>
      </w:r>
      <w:r>
        <w:rPr>
          <w:w w:val="110"/>
          <w:sz w:val="20"/>
        </w:rPr>
        <w:t>a</w:t>
      </w:r>
      <w:r>
        <w:rPr>
          <w:spacing w:val="-7"/>
          <w:w w:val="110"/>
          <w:sz w:val="20"/>
        </w:rPr>
        <w:t xml:space="preserve"> </w:t>
      </w:r>
      <w:r>
        <w:rPr>
          <w:w w:val="110"/>
          <w:sz w:val="20"/>
        </w:rPr>
        <w:t>different</w:t>
      </w:r>
      <w:r>
        <w:rPr>
          <w:spacing w:val="-4"/>
          <w:w w:val="110"/>
          <w:sz w:val="20"/>
        </w:rPr>
        <w:t xml:space="preserve"> </w:t>
      </w:r>
      <w:r>
        <w:rPr>
          <w:w w:val="110"/>
          <w:sz w:val="20"/>
        </w:rPr>
        <w:t>language</w:t>
      </w:r>
      <w:r>
        <w:rPr>
          <w:spacing w:val="-1"/>
          <w:w w:val="110"/>
          <w:sz w:val="20"/>
        </w:rPr>
        <w:t xml:space="preserve"> </w:t>
      </w:r>
      <w:r>
        <w:rPr>
          <w:w w:val="110"/>
          <w:sz w:val="20"/>
        </w:rPr>
        <w:t>is</w:t>
      </w:r>
      <w:r>
        <w:rPr>
          <w:spacing w:val="-15"/>
          <w:w w:val="110"/>
          <w:sz w:val="20"/>
        </w:rPr>
        <w:t xml:space="preserve"> </w:t>
      </w:r>
      <w:r>
        <w:rPr>
          <w:w w:val="110"/>
          <w:sz w:val="20"/>
        </w:rPr>
        <w:t>spoken</w:t>
      </w:r>
      <w:r>
        <w:rPr>
          <w:spacing w:val="1"/>
          <w:w w:val="110"/>
          <w:sz w:val="20"/>
        </w:rPr>
        <w:t xml:space="preserve"> </w:t>
      </w:r>
      <w:r>
        <w:rPr>
          <w:w w:val="110"/>
          <w:sz w:val="20"/>
        </w:rPr>
        <w:t>may</w:t>
      </w:r>
      <w:r>
        <w:rPr>
          <w:spacing w:val="-5"/>
          <w:w w:val="110"/>
          <w:sz w:val="20"/>
        </w:rPr>
        <w:t xml:space="preserve"> </w:t>
      </w:r>
      <w:r>
        <w:rPr>
          <w:w w:val="110"/>
          <w:sz w:val="20"/>
        </w:rPr>
        <w:t>refuse</w:t>
      </w:r>
      <w:r>
        <w:rPr>
          <w:spacing w:val="-3"/>
          <w:w w:val="110"/>
          <w:sz w:val="20"/>
        </w:rPr>
        <w:t xml:space="preserve"> </w:t>
      </w:r>
      <w:r>
        <w:rPr>
          <w:w w:val="110"/>
          <w:sz w:val="20"/>
        </w:rPr>
        <w:t>to</w:t>
      </w:r>
      <w:r>
        <w:rPr>
          <w:spacing w:val="-13"/>
          <w:w w:val="110"/>
          <w:sz w:val="20"/>
        </w:rPr>
        <w:t xml:space="preserve"> </w:t>
      </w:r>
      <w:r>
        <w:rPr>
          <w:w w:val="110"/>
          <w:sz w:val="20"/>
        </w:rPr>
        <w:t>speak</w:t>
      </w:r>
      <w:r>
        <w:rPr>
          <w:spacing w:val="-5"/>
          <w:w w:val="110"/>
          <w:sz w:val="20"/>
        </w:rPr>
        <w:t xml:space="preserve"> </w:t>
      </w:r>
      <w:r>
        <w:rPr>
          <w:w w:val="110"/>
          <w:sz w:val="20"/>
        </w:rPr>
        <w:t>the</w:t>
      </w:r>
      <w:r>
        <w:rPr>
          <w:spacing w:val="-6"/>
          <w:w w:val="110"/>
          <w:sz w:val="20"/>
        </w:rPr>
        <w:t xml:space="preserve"> </w:t>
      </w:r>
      <w:r>
        <w:rPr>
          <w:w w:val="110"/>
          <w:sz w:val="20"/>
        </w:rPr>
        <w:t>new</w:t>
      </w:r>
      <w:r>
        <w:rPr>
          <w:spacing w:val="-9"/>
          <w:w w:val="110"/>
          <w:sz w:val="20"/>
        </w:rPr>
        <w:t xml:space="preserve"> </w:t>
      </w:r>
      <w:r>
        <w:rPr>
          <w:w w:val="110"/>
          <w:sz w:val="20"/>
        </w:rPr>
        <w:t>language because</w:t>
      </w:r>
      <w:r>
        <w:rPr>
          <w:spacing w:val="-18"/>
          <w:w w:val="110"/>
          <w:sz w:val="20"/>
        </w:rPr>
        <w:t xml:space="preserve"> </w:t>
      </w:r>
      <w:r>
        <w:rPr>
          <w:w w:val="110"/>
          <w:sz w:val="20"/>
        </w:rPr>
        <w:t>of</w:t>
      </w:r>
      <w:r>
        <w:rPr>
          <w:spacing w:val="-10"/>
          <w:w w:val="110"/>
          <w:sz w:val="20"/>
        </w:rPr>
        <w:t xml:space="preserve"> </w:t>
      </w:r>
      <w:r>
        <w:rPr>
          <w:b/>
          <w:w w:val="110"/>
          <w:sz w:val="20"/>
        </w:rPr>
        <w:t>lack</w:t>
      </w:r>
      <w:r>
        <w:rPr>
          <w:b/>
          <w:spacing w:val="-29"/>
          <w:w w:val="110"/>
          <w:sz w:val="20"/>
        </w:rPr>
        <w:t xml:space="preserve"> </w:t>
      </w:r>
      <w:r>
        <w:rPr>
          <w:b/>
          <w:w w:val="110"/>
          <w:sz w:val="20"/>
        </w:rPr>
        <w:t>of</w:t>
      </w:r>
      <w:r>
        <w:rPr>
          <w:b/>
          <w:spacing w:val="-19"/>
          <w:w w:val="110"/>
          <w:sz w:val="20"/>
        </w:rPr>
        <w:t xml:space="preserve"> </w:t>
      </w:r>
      <w:r>
        <w:rPr>
          <w:b/>
          <w:w w:val="110"/>
          <w:sz w:val="20"/>
        </w:rPr>
        <w:t>knowledge</w:t>
      </w:r>
      <w:r>
        <w:rPr>
          <w:b/>
          <w:spacing w:val="-18"/>
          <w:w w:val="110"/>
          <w:sz w:val="20"/>
        </w:rPr>
        <w:t xml:space="preserve"> </w:t>
      </w:r>
      <w:r>
        <w:rPr>
          <w:b/>
          <w:w w:val="110"/>
          <w:sz w:val="20"/>
        </w:rPr>
        <w:t>of</w:t>
      </w:r>
      <w:r>
        <w:rPr>
          <w:b/>
          <w:spacing w:val="-21"/>
          <w:w w:val="110"/>
          <w:sz w:val="20"/>
        </w:rPr>
        <w:t xml:space="preserve"> </w:t>
      </w:r>
      <w:r>
        <w:rPr>
          <w:b/>
          <w:w w:val="110"/>
          <w:sz w:val="20"/>
        </w:rPr>
        <w:t>the</w:t>
      </w:r>
      <w:r>
        <w:rPr>
          <w:b/>
          <w:spacing w:val="-23"/>
          <w:w w:val="110"/>
          <w:sz w:val="20"/>
        </w:rPr>
        <w:t xml:space="preserve"> </w:t>
      </w:r>
      <w:r>
        <w:rPr>
          <w:b/>
          <w:w w:val="110"/>
          <w:sz w:val="20"/>
        </w:rPr>
        <w:t>language.</w:t>
      </w:r>
      <w:r>
        <w:rPr>
          <w:b/>
          <w:spacing w:val="-6"/>
          <w:w w:val="110"/>
          <w:sz w:val="20"/>
        </w:rPr>
        <w:t xml:space="preserve"> </w:t>
      </w:r>
      <w:r>
        <w:rPr>
          <w:w w:val="110"/>
          <w:sz w:val="20"/>
        </w:rPr>
        <w:t>If</w:t>
      </w:r>
      <w:r>
        <w:rPr>
          <w:spacing w:val="-15"/>
          <w:w w:val="110"/>
          <w:sz w:val="20"/>
        </w:rPr>
        <w:t xml:space="preserve"> </w:t>
      </w:r>
      <w:r>
        <w:rPr>
          <w:w w:val="110"/>
          <w:sz w:val="20"/>
        </w:rPr>
        <w:t>comprehension</w:t>
      </w:r>
      <w:r>
        <w:rPr>
          <w:spacing w:val="-2"/>
          <w:w w:val="110"/>
          <w:sz w:val="20"/>
        </w:rPr>
        <w:t xml:space="preserve"> </w:t>
      </w:r>
      <w:r>
        <w:rPr>
          <w:w w:val="110"/>
          <w:sz w:val="20"/>
        </w:rPr>
        <w:t>of</w:t>
      </w:r>
      <w:r>
        <w:rPr>
          <w:spacing w:val="-11"/>
          <w:w w:val="110"/>
          <w:sz w:val="20"/>
        </w:rPr>
        <w:t xml:space="preserve"> </w:t>
      </w:r>
      <w:r>
        <w:rPr>
          <w:w w:val="110"/>
          <w:sz w:val="20"/>
        </w:rPr>
        <w:t>the</w:t>
      </w:r>
      <w:r>
        <w:rPr>
          <w:spacing w:val="-14"/>
          <w:w w:val="110"/>
          <w:sz w:val="20"/>
        </w:rPr>
        <w:t xml:space="preserve"> </w:t>
      </w:r>
      <w:r>
        <w:rPr>
          <w:w w:val="110"/>
          <w:sz w:val="20"/>
        </w:rPr>
        <w:t>new</w:t>
      </w:r>
      <w:r>
        <w:rPr>
          <w:spacing w:val="-23"/>
          <w:w w:val="110"/>
          <w:sz w:val="20"/>
        </w:rPr>
        <w:t xml:space="preserve"> </w:t>
      </w:r>
      <w:r>
        <w:rPr>
          <w:w w:val="110"/>
          <w:sz w:val="20"/>
        </w:rPr>
        <w:t xml:space="preserve">language is adequate, but refusal to speak persists, a diagnosis of Selective Mutism may be warranted. Individuals with a </w:t>
      </w:r>
      <w:r>
        <w:rPr>
          <w:b/>
          <w:w w:val="110"/>
          <w:sz w:val="20"/>
        </w:rPr>
        <w:t xml:space="preserve">Pervasive Developmental Disorder, Schizophrenia </w:t>
      </w:r>
      <w:r>
        <w:rPr>
          <w:w w:val="110"/>
          <w:sz w:val="20"/>
        </w:rPr>
        <w:t xml:space="preserve">or </w:t>
      </w:r>
      <w:r>
        <w:rPr>
          <w:b/>
          <w:w w:val="110"/>
          <w:sz w:val="20"/>
        </w:rPr>
        <w:t xml:space="preserve">other Psychotic Disorder, </w:t>
      </w:r>
      <w:r>
        <w:rPr>
          <w:rFonts w:ascii="Arial"/>
          <w:b/>
          <w:w w:val="110"/>
          <w:sz w:val="17"/>
        </w:rPr>
        <w:t xml:space="preserve">or </w:t>
      </w:r>
      <w:r>
        <w:rPr>
          <w:b/>
          <w:w w:val="110"/>
          <w:sz w:val="20"/>
        </w:rPr>
        <w:t xml:space="preserve">severe Mental Retardation </w:t>
      </w:r>
      <w:r>
        <w:rPr>
          <w:w w:val="110"/>
          <w:sz w:val="20"/>
        </w:rPr>
        <w:t>may have problems in social communication and be unable to speak appropriately in social situations. In contrast,</w:t>
      </w:r>
      <w:r>
        <w:rPr>
          <w:spacing w:val="-13"/>
          <w:w w:val="110"/>
          <w:sz w:val="20"/>
        </w:rPr>
        <w:t xml:space="preserve"> </w:t>
      </w:r>
      <w:r>
        <w:rPr>
          <w:w w:val="110"/>
          <w:sz w:val="20"/>
        </w:rPr>
        <w:t>Selective</w:t>
      </w:r>
      <w:r>
        <w:rPr>
          <w:spacing w:val="-11"/>
          <w:w w:val="110"/>
          <w:sz w:val="20"/>
        </w:rPr>
        <w:t xml:space="preserve"> </w:t>
      </w:r>
      <w:r>
        <w:rPr>
          <w:w w:val="110"/>
          <w:sz w:val="20"/>
        </w:rPr>
        <w:t>Mutism</w:t>
      </w:r>
      <w:r>
        <w:rPr>
          <w:spacing w:val="-11"/>
          <w:w w:val="110"/>
          <w:sz w:val="20"/>
        </w:rPr>
        <w:t xml:space="preserve"> </w:t>
      </w:r>
      <w:r>
        <w:rPr>
          <w:w w:val="110"/>
          <w:sz w:val="20"/>
        </w:rPr>
        <w:t>should</w:t>
      </w:r>
      <w:r>
        <w:rPr>
          <w:spacing w:val="-14"/>
          <w:w w:val="110"/>
          <w:sz w:val="20"/>
        </w:rPr>
        <w:t xml:space="preserve"> </w:t>
      </w:r>
      <w:r>
        <w:rPr>
          <w:w w:val="110"/>
          <w:sz w:val="20"/>
        </w:rPr>
        <w:t>only</w:t>
      </w:r>
      <w:r>
        <w:rPr>
          <w:spacing w:val="-11"/>
          <w:w w:val="110"/>
          <w:sz w:val="20"/>
        </w:rPr>
        <w:t xml:space="preserve"> </w:t>
      </w:r>
      <w:r>
        <w:rPr>
          <w:w w:val="110"/>
          <w:sz w:val="20"/>
        </w:rPr>
        <w:t>be</w:t>
      </w:r>
      <w:r>
        <w:rPr>
          <w:spacing w:val="-20"/>
          <w:w w:val="110"/>
          <w:sz w:val="20"/>
        </w:rPr>
        <w:t xml:space="preserve"> </w:t>
      </w:r>
      <w:r>
        <w:rPr>
          <w:w w:val="110"/>
          <w:sz w:val="20"/>
        </w:rPr>
        <w:t>diagnosed</w:t>
      </w:r>
      <w:r>
        <w:rPr>
          <w:spacing w:val="-5"/>
          <w:w w:val="110"/>
          <w:sz w:val="20"/>
        </w:rPr>
        <w:t xml:space="preserve"> </w:t>
      </w:r>
      <w:r>
        <w:rPr>
          <w:w w:val="110"/>
          <w:sz w:val="20"/>
        </w:rPr>
        <w:t>in</w:t>
      </w:r>
      <w:r>
        <w:rPr>
          <w:spacing w:val="-19"/>
          <w:w w:val="110"/>
          <w:sz w:val="20"/>
        </w:rPr>
        <w:t xml:space="preserve"> </w:t>
      </w:r>
      <w:r>
        <w:rPr>
          <w:w w:val="110"/>
          <w:sz w:val="20"/>
        </w:rPr>
        <w:t>a</w:t>
      </w:r>
      <w:r>
        <w:rPr>
          <w:spacing w:val="-16"/>
          <w:w w:val="110"/>
          <w:sz w:val="20"/>
        </w:rPr>
        <w:t xml:space="preserve"> </w:t>
      </w:r>
      <w:r>
        <w:rPr>
          <w:w w:val="110"/>
          <w:sz w:val="20"/>
        </w:rPr>
        <w:t>child</w:t>
      </w:r>
      <w:r>
        <w:rPr>
          <w:spacing w:val="-10"/>
          <w:w w:val="110"/>
          <w:sz w:val="20"/>
        </w:rPr>
        <w:t xml:space="preserve"> </w:t>
      </w:r>
      <w:r>
        <w:rPr>
          <w:w w:val="110"/>
          <w:sz w:val="20"/>
        </w:rPr>
        <w:t>who</w:t>
      </w:r>
      <w:r>
        <w:rPr>
          <w:spacing w:val="2"/>
          <w:w w:val="110"/>
          <w:sz w:val="20"/>
        </w:rPr>
        <w:t xml:space="preserve"> </w:t>
      </w:r>
      <w:r>
        <w:rPr>
          <w:w w:val="110"/>
          <w:sz w:val="20"/>
        </w:rPr>
        <w:t>has</w:t>
      </w:r>
      <w:r>
        <w:rPr>
          <w:spacing w:val="-15"/>
          <w:w w:val="110"/>
          <w:sz w:val="20"/>
        </w:rPr>
        <w:t xml:space="preserve"> </w:t>
      </w:r>
      <w:r>
        <w:rPr>
          <w:w w:val="110"/>
          <w:sz w:val="20"/>
        </w:rPr>
        <w:t>an</w:t>
      </w:r>
      <w:r>
        <w:rPr>
          <w:spacing w:val="-19"/>
          <w:w w:val="110"/>
          <w:sz w:val="20"/>
        </w:rPr>
        <w:t xml:space="preserve"> </w:t>
      </w:r>
      <w:r>
        <w:rPr>
          <w:w w:val="110"/>
          <w:sz w:val="20"/>
        </w:rPr>
        <w:t>established capacity</w:t>
      </w:r>
      <w:r>
        <w:rPr>
          <w:spacing w:val="-10"/>
          <w:w w:val="110"/>
          <w:sz w:val="20"/>
        </w:rPr>
        <w:t xml:space="preserve"> </w:t>
      </w:r>
      <w:r>
        <w:rPr>
          <w:w w:val="110"/>
          <w:sz w:val="20"/>
        </w:rPr>
        <w:t>to</w:t>
      </w:r>
      <w:r>
        <w:rPr>
          <w:spacing w:val="-21"/>
          <w:w w:val="110"/>
          <w:sz w:val="20"/>
        </w:rPr>
        <w:t xml:space="preserve"> </w:t>
      </w:r>
      <w:r>
        <w:rPr>
          <w:w w:val="110"/>
          <w:sz w:val="20"/>
        </w:rPr>
        <w:t>speak</w:t>
      </w:r>
      <w:r>
        <w:rPr>
          <w:spacing w:val="-10"/>
          <w:w w:val="110"/>
          <w:sz w:val="20"/>
        </w:rPr>
        <w:t xml:space="preserve"> </w:t>
      </w:r>
      <w:r>
        <w:rPr>
          <w:w w:val="110"/>
          <w:sz w:val="20"/>
        </w:rPr>
        <w:t>in</w:t>
      </w:r>
      <w:r>
        <w:rPr>
          <w:spacing w:val="-17"/>
          <w:w w:val="110"/>
          <w:sz w:val="20"/>
        </w:rPr>
        <w:t xml:space="preserve"> </w:t>
      </w:r>
      <w:r>
        <w:rPr>
          <w:w w:val="110"/>
          <w:sz w:val="20"/>
        </w:rPr>
        <w:t>some</w:t>
      </w:r>
      <w:r>
        <w:rPr>
          <w:spacing w:val="-17"/>
          <w:w w:val="110"/>
          <w:sz w:val="20"/>
        </w:rPr>
        <w:t xml:space="preserve"> </w:t>
      </w:r>
      <w:r>
        <w:rPr>
          <w:w w:val="110"/>
          <w:sz w:val="20"/>
        </w:rPr>
        <w:t>social</w:t>
      </w:r>
      <w:r>
        <w:rPr>
          <w:spacing w:val="-15"/>
          <w:w w:val="110"/>
          <w:sz w:val="20"/>
        </w:rPr>
        <w:t xml:space="preserve"> </w:t>
      </w:r>
      <w:r>
        <w:rPr>
          <w:w w:val="110"/>
          <w:sz w:val="20"/>
        </w:rPr>
        <w:t>situations</w:t>
      </w:r>
      <w:r>
        <w:rPr>
          <w:spacing w:val="-11"/>
          <w:w w:val="110"/>
          <w:sz w:val="20"/>
        </w:rPr>
        <w:t xml:space="preserve"> </w:t>
      </w:r>
      <w:r>
        <w:rPr>
          <w:w w:val="110"/>
          <w:sz w:val="20"/>
        </w:rPr>
        <w:t>(e.g.,</w:t>
      </w:r>
      <w:r>
        <w:rPr>
          <w:spacing w:val="-9"/>
          <w:w w:val="110"/>
          <w:sz w:val="20"/>
        </w:rPr>
        <w:t xml:space="preserve"> </w:t>
      </w:r>
      <w:r>
        <w:rPr>
          <w:w w:val="110"/>
          <w:sz w:val="20"/>
        </w:rPr>
        <w:t>typically</w:t>
      </w:r>
      <w:r>
        <w:rPr>
          <w:spacing w:val="-8"/>
          <w:w w:val="110"/>
          <w:sz w:val="20"/>
        </w:rPr>
        <w:t xml:space="preserve"> </w:t>
      </w:r>
      <w:r>
        <w:rPr>
          <w:w w:val="110"/>
          <w:sz w:val="20"/>
        </w:rPr>
        <w:t>at</w:t>
      </w:r>
      <w:r>
        <w:rPr>
          <w:spacing w:val="-11"/>
          <w:w w:val="110"/>
          <w:sz w:val="20"/>
        </w:rPr>
        <w:t xml:space="preserve"> </w:t>
      </w:r>
      <w:r>
        <w:rPr>
          <w:w w:val="110"/>
          <w:sz w:val="20"/>
        </w:rPr>
        <w:t>home).</w:t>
      </w:r>
      <w:r>
        <w:rPr>
          <w:spacing w:val="-12"/>
          <w:w w:val="110"/>
          <w:sz w:val="20"/>
        </w:rPr>
        <w:t xml:space="preserve"> </w:t>
      </w:r>
      <w:r>
        <w:rPr>
          <w:w w:val="110"/>
          <w:sz w:val="20"/>
        </w:rPr>
        <w:t>The</w:t>
      </w:r>
      <w:r>
        <w:rPr>
          <w:spacing w:val="-17"/>
          <w:w w:val="110"/>
          <w:sz w:val="20"/>
        </w:rPr>
        <w:t xml:space="preserve"> </w:t>
      </w:r>
      <w:r>
        <w:rPr>
          <w:w w:val="110"/>
          <w:sz w:val="20"/>
        </w:rPr>
        <w:t>social</w:t>
      </w:r>
      <w:r>
        <w:rPr>
          <w:spacing w:val="-11"/>
          <w:w w:val="110"/>
          <w:sz w:val="20"/>
        </w:rPr>
        <w:t xml:space="preserve"> </w:t>
      </w:r>
      <w:r>
        <w:rPr>
          <w:w w:val="110"/>
          <w:sz w:val="20"/>
        </w:rPr>
        <w:t>anxiety and</w:t>
      </w:r>
      <w:r>
        <w:rPr>
          <w:spacing w:val="-33"/>
          <w:w w:val="110"/>
          <w:sz w:val="20"/>
        </w:rPr>
        <w:t xml:space="preserve"> </w:t>
      </w:r>
      <w:r>
        <w:rPr>
          <w:w w:val="110"/>
          <w:sz w:val="20"/>
        </w:rPr>
        <w:t>social</w:t>
      </w:r>
      <w:r>
        <w:rPr>
          <w:spacing w:val="-29"/>
          <w:w w:val="110"/>
          <w:sz w:val="20"/>
        </w:rPr>
        <w:t xml:space="preserve"> </w:t>
      </w:r>
      <w:r>
        <w:rPr>
          <w:w w:val="110"/>
          <w:sz w:val="20"/>
        </w:rPr>
        <w:t>avoidance</w:t>
      </w:r>
      <w:r>
        <w:rPr>
          <w:spacing w:val="-22"/>
          <w:w w:val="110"/>
          <w:sz w:val="20"/>
        </w:rPr>
        <w:t xml:space="preserve"> </w:t>
      </w:r>
      <w:r>
        <w:rPr>
          <w:w w:val="110"/>
          <w:sz w:val="20"/>
        </w:rPr>
        <w:t>in</w:t>
      </w:r>
      <w:r>
        <w:rPr>
          <w:spacing w:val="-36"/>
          <w:w w:val="110"/>
          <w:sz w:val="20"/>
        </w:rPr>
        <w:t xml:space="preserve"> </w:t>
      </w:r>
      <w:r>
        <w:rPr>
          <w:b/>
          <w:w w:val="110"/>
          <w:sz w:val="20"/>
        </w:rPr>
        <w:t>Social</w:t>
      </w:r>
      <w:r>
        <w:rPr>
          <w:b/>
          <w:spacing w:val="-40"/>
          <w:w w:val="110"/>
          <w:sz w:val="20"/>
        </w:rPr>
        <w:t xml:space="preserve"> </w:t>
      </w:r>
      <w:r>
        <w:rPr>
          <w:b/>
          <w:w w:val="110"/>
          <w:sz w:val="20"/>
        </w:rPr>
        <w:t>Phobia</w:t>
      </w:r>
      <w:r>
        <w:rPr>
          <w:b/>
          <w:spacing w:val="-36"/>
          <w:w w:val="110"/>
          <w:sz w:val="20"/>
        </w:rPr>
        <w:t xml:space="preserve"> </w:t>
      </w:r>
      <w:r>
        <w:rPr>
          <w:w w:val="110"/>
          <w:sz w:val="20"/>
        </w:rPr>
        <w:t>may</w:t>
      </w:r>
      <w:r>
        <w:rPr>
          <w:spacing w:val="-31"/>
          <w:w w:val="110"/>
          <w:sz w:val="20"/>
        </w:rPr>
        <w:t xml:space="preserve"> </w:t>
      </w:r>
      <w:r>
        <w:rPr>
          <w:w w:val="110"/>
          <w:sz w:val="20"/>
        </w:rPr>
        <w:t>be</w:t>
      </w:r>
      <w:r>
        <w:rPr>
          <w:spacing w:val="-27"/>
          <w:w w:val="110"/>
          <w:sz w:val="20"/>
        </w:rPr>
        <w:t xml:space="preserve"> </w:t>
      </w:r>
      <w:r>
        <w:rPr>
          <w:w w:val="110"/>
          <w:sz w:val="20"/>
        </w:rPr>
        <w:t>associated</w:t>
      </w:r>
      <w:r>
        <w:rPr>
          <w:spacing w:val="-23"/>
          <w:w w:val="110"/>
          <w:sz w:val="20"/>
        </w:rPr>
        <w:t xml:space="preserve"> </w:t>
      </w:r>
      <w:r>
        <w:rPr>
          <w:w w:val="110"/>
          <w:sz w:val="20"/>
        </w:rPr>
        <w:t>with</w:t>
      </w:r>
      <w:r>
        <w:rPr>
          <w:spacing w:val="-32"/>
          <w:w w:val="110"/>
          <w:sz w:val="20"/>
        </w:rPr>
        <w:t xml:space="preserve"> </w:t>
      </w:r>
      <w:r>
        <w:rPr>
          <w:w w:val="110"/>
          <w:sz w:val="20"/>
        </w:rPr>
        <w:t>Selective</w:t>
      </w:r>
      <w:r>
        <w:rPr>
          <w:spacing w:val="-27"/>
          <w:w w:val="110"/>
          <w:sz w:val="20"/>
        </w:rPr>
        <w:t xml:space="preserve"> </w:t>
      </w:r>
      <w:r>
        <w:rPr>
          <w:w w:val="110"/>
          <w:sz w:val="20"/>
        </w:rPr>
        <w:t>Mutism.</w:t>
      </w:r>
      <w:r>
        <w:rPr>
          <w:spacing w:val="-24"/>
          <w:w w:val="110"/>
          <w:sz w:val="20"/>
        </w:rPr>
        <w:t xml:space="preserve"> </w:t>
      </w:r>
      <w:r>
        <w:rPr>
          <w:w w:val="110"/>
          <w:sz w:val="20"/>
        </w:rPr>
        <w:t>In</w:t>
      </w:r>
      <w:r>
        <w:rPr>
          <w:spacing w:val="-35"/>
          <w:w w:val="110"/>
          <w:sz w:val="20"/>
        </w:rPr>
        <w:t xml:space="preserve"> </w:t>
      </w:r>
      <w:r>
        <w:rPr>
          <w:w w:val="110"/>
          <w:sz w:val="20"/>
        </w:rPr>
        <w:t>such cases, both diagnoses may be</w:t>
      </w:r>
      <w:r>
        <w:rPr>
          <w:spacing w:val="54"/>
          <w:w w:val="110"/>
          <w:sz w:val="20"/>
        </w:rPr>
        <w:t xml:space="preserve"> </w:t>
      </w:r>
      <w:r>
        <w:rPr>
          <w:w w:val="110"/>
          <w:sz w:val="20"/>
        </w:rPr>
        <w:t>given.</w:t>
      </w:r>
    </w:p>
    <w:p w:rsidR="00E675F0" w:rsidRDefault="00E675F0" w:rsidP="00E675F0">
      <w:pPr>
        <w:pStyle w:val="BodyText"/>
      </w:pPr>
    </w:p>
    <w:p w:rsidR="00E675F0" w:rsidRDefault="00E675F0" w:rsidP="00E675F0">
      <w:pPr>
        <w:pStyle w:val="BodyText"/>
        <w:spacing w:before="2"/>
      </w:pPr>
    </w:p>
    <w:tbl>
      <w:tblPr>
        <w:tblW w:w="0" w:type="auto"/>
        <w:tblInd w:w="229"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7335"/>
      </w:tblGrid>
      <w:tr w:rsidR="00E675F0" w:rsidTr="00A330E1">
        <w:trPr>
          <w:trHeight w:val="4770"/>
        </w:trPr>
        <w:tc>
          <w:tcPr>
            <w:tcW w:w="7335" w:type="dxa"/>
          </w:tcPr>
          <w:p w:rsidR="00E675F0" w:rsidRDefault="00E675F0" w:rsidP="003048D3">
            <w:pPr>
              <w:pStyle w:val="TableParagraph"/>
              <w:numPr>
                <w:ilvl w:val="0"/>
                <w:numId w:val="71"/>
              </w:numPr>
              <w:tabs>
                <w:tab w:val="left" w:pos="646"/>
              </w:tabs>
              <w:spacing w:line="542" w:lineRule="exact"/>
              <w:ind w:hanging="395"/>
              <w:rPr>
                <w:b/>
                <w:sz w:val="26"/>
              </w:rPr>
            </w:pPr>
            <w:r>
              <w:rPr>
                <w:b/>
                <w:w w:val="105"/>
                <w:sz w:val="26"/>
              </w:rPr>
              <w:t>Diagnostic criteria for 3 I 3.23 Selective</w:t>
            </w:r>
            <w:r>
              <w:rPr>
                <w:b/>
                <w:spacing w:val="-43"/>
                <w:w w:val="105"/>
                <w:sz w:val="26"/>
              </w:rPr>
              <w:t xml:space="preserve"> </w:t>
            </w:r>
            <w:r>
              <w:rPr>
                <w:b/>
                <w:w w:val="105"/>
                <w:sz w:val="26"/>
              </w:rPr>
              <w:t>Mutism</w:t>
            </w:r>
          </w:p>
          <w:p w:rsidR="00E675F0" w:rsidRDefault="00E675F0" w:rsidP="003048D3">
            <w:pPr>
              <w:pStyle w:val="TableParagraph"/>
              <w:numPr>
                <w:ilvl w:val="1"/>
                <w:numId w:val="71"/>
              </w:numPr>
              <w:tabs>
                <w:tab w:val="left" w:pos="959"/>
              </w:tabs>
              <w:spacing w:before="149" w:line="244" w:lineRule="auto"/>
              <w:ind w:right="221" w:hanging="300"/>
              <w:jc w:val="both"/>
              <w:rPr>
                <w:sz w:val="20"/>
              </w:rPr>
            </w:pPr>
            <w:r>
              <w:rPr>
                <w:w w:val="105"/>
                <w:sz w:val="20"/>
              </w:rPr>
              <w:t>Consistent failure to speak in specific social situations (in which  there is an expectation for speaking, e.g., at school) despite speaking in other situations.</w:t>
            </w:r>
          </w:p>
          <w:p w:rsidR="00E675F0" w:rsidRDefault="00E675F0" w:rsidP="003048D3">
            <w:pPr>
              <w:pStyle w:val="TableParagraph"/>
              <w:numPr>
                <w:ilvl w:val="1"/>
                <w:numId w:val="71"/>
              </w:numPr>
              <w:tabs>
                <w:tab w:val="left" w:pos="956"/>
              </w:tabs>
              <w:spacing w:before="186" w:line="252" w:lineRule="auto"/>
              <w:ind w:left="964" w:right="226" w:hanging="305"/>
              <w:jc w:val="both"/>
              <w:rPr>
                <w:sz w:val="20"/>
              </w:rPr>
            </w:pPr>
            <w:r>
              <w:rPr>
                <w:w w:val="105"/>
                <w:sz w:val="20"/>
              </w:rPr>
              <w:t>The disturbance interferes with educational or occupational achieve­ ment or with social</w:t>
            </w:r>
            <w:r>
              <w:rPr>
                <w:spacing w:val="42"/>
                <w:w w:val="105"/>
                <w:sz w:val="20"/>
              </w:rPr>
              <w:t xml:space="preserve"> </w:t>
            </w:r>
            <w:r>
              <w:rPr>
                <w:w w:val="105"/>
                <w:sz w:val="20"/>
              </w:rPr>
              <w:t>communication.</w:t>
            </w:r>
          </w:p>
          <w:p w:rsidR="00E675F0" w:rsidRDefault="00E675F0" w:rsidP="003048D3">
            <w:pPr>
              <w:pStyle w:val="TableParagraph"/>
              <w:numPr>
                <w:ilvl w:val="1"/>
                <w:numId w:val="71"/>
              </w:numPr>
              <w:tabs>
                <w:tab w:val="left" w:pos="956"/>
              </w:tabs>
              <w:spacing w:before="185" w:line="252" w:lineRule="auto"/>
              <w:ind w:left="958" w:right="211" w:hanging="305"/>
              <w:jc w:val="both"/>
              <w:rPr>
                <w:rFonts w:ascii="Arial"/>
                <w:sz w:val="18"/>
              </w:rPr>
            </w:pPr>
            <w:r>
              <w:rPr>
                <w:w w:val="105"/>
                <w:sz w:val="20"/>
              </w:rPr>
              <w:t>The duration of the disturbance is at least 1 month (not limited to the first month of</w:t>
            </w:r>
            <w:r>
              <w:rPr>
                <w:spacing w:val="41"/>
                <w:w w:val="105"/>
                <w:sz w:val="20"/>
              </w:rPr>
              <w:t xml:space="preserve"> </w:t>
            </w:r>
            <w:r>
              <w:rPr>
                <w:w w:val="105"/>
                <w:sz w:val="20"/>
              </w:rPr>
              <w:t>school).</w:t>
            </w:r>
          </w:p>
          <w:p w:rsidR="00E675F0" w:rsidRDefault="00E675F0" w:rsidP="003048D3">
            <w:pPr>
              <w:pStyle w:val="TableParagraph"/>
              <w:numPr>
                <w:ilvl w:val="1"/>
                <w:numId w:val="71"/>
              </w:numPr>
              <w:tabs>
                <w:tab w:val="left" w:pos="956"/>
              </w:tabs>
              <w:spacing w:before="185" w:line="252" w:lineRule="auto"/>
              <w:ind w:left="960" w:right="225" w:hanging="301"/>
              <w:jc w:val="both"/>
              <w:rPr>
                <w:sz w:val="20"/>
              </w:rPr>
            </w:pPr>
            <w:r>
              <w:rPr>
                <w:w w:val="105"/>
                <w:sz w:val="20"/>
              </w:rPr>
              <w:t>The failure to speak is not due to a lack of knowledge of, or comfort with, the spoken language required in the social</w:t>
            </w:r>
            <w:r>
              <w:rPr>
                <w:spacing w:val="10"/>
                <w:w w:val="105"/>
                <w:sz w:val="20"/>
              </w:rPr>
              <w:t xml:space="preserve"> </w:t>
            </w:r>
            <w:r>
              <w:rPr>
                <w:w w:val="105"/>
                <w:sz w:val="20"/>
              </w:rPr>
              <w:t>situation.</w:t>
            </w:r>
          </w:p>
          <w:p w:rsidR="00E675F0" w:rsidRDefault="00E675F0" w:rsidP="003048D3">
            <w:pPr>
              <w:pStyle w:val="TableParagraph"/>
              <w:numPr>
                <w:ilvl w:val="1"/>
                <w:numId w:val="71"/>
              </w:numPr>
              <w:tabs>
                <w:tab w:val="left" w:pos="956"/>
              </w:tabs>
              <w:spacing w:before="185" w:line="256" w:lineRule="auto"/>
              <w:ind w:left="959" w:right="216" w:hanging="301"/>
              <w:jc w:val="both"/>
              <w:rPr>
                <w:sz w:val="20"/>
              </w:rPr>
            </w:pPr>
            <w:r>
              <w:rPr>
                <w:w w:val="105"/>
                <w:sz w:val="20"/>
              </w:rPr>
              <w:t>The disturbance is not better accounted for by a Communication Disorder (e.g., Stuttering) and does not occur exclusively during the course of a Pervasive Developmental Disorder, Schizophrenia, or other Psychotic</w:t>
            </w:r>
            <w:r>
              <w:rPr>
                <w:spacing w:val="13"/>
                <w:w w:val="105"/>
                <w:sz w:val="20"/>
              </w:rPr>
              <w:t xml:space="preserve"> </w:t>
            </w:r>
            <w:r>
              <w:rPr>
                <w:w w:val="105"/>
                <w:sz w:val="20"/>
              </w:rPr>
              <w:t>Disorder.</w:t>
            </w:r>
          </w:p>
        </w:tc>
      </w:tr>
    </w:tbl>
    <w:p w:rsidR="00E675F0" w:rsidRDefault="00E675F0" w:rsidP="00E675F0">
      <w:pPr>
        <w:spacing w:line="256" w:lineRule="auto"/>
        <w:jc w:val="both"/>
        <w:rPr>
          <w:sz w:val="20"/>
        </w:rPr>
        <w:sectPr w:rsidR="00E675F0">
          <w:pgSz w:w="8960" w:h="14260"/>
          <w:pgMar w:top="1400" w:right="620" w:bottom="280" w:left="620" w:header="692" w:footer="0" w:gutter="0"/>
          <w:cols w:space="720"/>
        </w:sectPr>
      </w:pPr>
    </w:p>
    <w:p w:rsidR="00E675F0" w:rsidRDefault="00E675F0" w:rsidP="00E675F0">
      <w:pPr>
        <w:tabs>
          <w:tab w:val="left" w:pos="2505"/>
        </w:tabs>
        <w:spacing w:before="155" w:line="252" w:lineRule="auto"/>
        <w:ind w:left="2037" w:right="1443" w:hanging="596"/>
        <w:rPr>
          <w:rFonts w:ascii="Arial"/>
          <w:b/>
          <w:sz w:val="25"/>
        </w:rPr>
      </w:pPr>
      <w:bookmarkStart w:id="77" w:name="_bookmark61"/>
      <w:bookmarkEnd w:id="77"/>
      <w:r>
        <w:rPr>
          <w:rFonts w:ascii="Arial"/>
          <w:b/>
          <w:w w:val="105"/>
          <w:sz w:val="25"/>
        </w:rPr>
        <w:lastRenderedPageBreak/>
        <w:t>313.89</w:t>
      </w:r>
      <w:r>
        <w:rPr>
          <w:rFonts w:ascii="Arial"/>
          <w:b/>
          <w:w w:val="105"/>
          <w:sz w:val="25"/>
        </w:rPr>
        <w:tab/>
        <w:t>Reactive Attachment Disorder of Infancy or Early</w:t>
      </w:r>
      <w:r>
        <w:rPr>
          <w:rFonts w:ascii="Arial"/>
          <w:b/>
          <w:spacing w:val="-12"/>
          <w:w w:val="105"/>
          <w:sz w:val="25"/>
        </w:rPr>
        <w:t xml:space="preserve"> </w:t>
      </w:r>
      <w:r>
        <w:rPr>
          <w:rFonts w:ascii="Arial"/>
          <w:b/>
          <w:w w:val="105"/>
          <w:sz w:val="25"/>
        </w:rPr>
        <w:t>Childhood</w:t>
      </w:r>
    </w:p>
    <w:p w:rsidR="00E675F0" w:rsidRDefault="00E675F0" w:rsidP="00E675F0">
      <w:pPr>
        <w:pStyle w:val="BodyText"/>
        <w:spacing w:before="7"/>
        <w:rPr>
          <w:rFonts w:ascii="Arial"/>
          <w:b/>
          <w:sz w:val="28"/>
        </w:rPr>
      </w:pPr>
    </w:p>
    <w:p w:rsidR="00E675F0" w:rsidRDefault="00E675F0" w:rsidP="00E675F0">
      <w:pPr>
        <w:ind w:left="117"/>
        <w:rPr>
          <w:rFonts w:ascii="TimesNewRomanPS-BoldItalicMT"/>
          <w:b/>
          <w:i/>
          <w:sz w:val="24"/>
        </w:rPr>
      </w:pPr>
      <w:r>
        <w:rPr>
          <w:rFonts w:ascii="TimesNewRomanPS-BoldItalicMT"/>
          <w:b/>
          <w:i/>
          <w:w w:val="110"/>
          <w:sz w:val="24"/>
        </w:rPr>
        <w:t>Di-agnostic Features</w:t>
      </w:r>
    </w:p>
    <w:p w:rsidR="00E675F0" w:rsidRDefault="00E675F0" w:rsidP="00E675F0">
      <w:pPr>
        <w:pStyle w:val="BodyText"/>
        <w:spacing w:before="146" w:line="254" w:lineRule="auto"/>
        <w:ind w:left="126" w:right="116" w:hanging="5"/>
        <w:jc w:val="both"/>
      </w:pPr>
      <w:r>
        <w:rPr>
          <w:w w:val="105"/>
        </w:rPr>
        <w:t>The essential feature of Reactive Attachment Disorder is markedly disturbed and developmentally inappropriate social relatedness in most contexts that  begins  before age 5 years and is associated with grossly pathological care (Criterion A). There are two types of presentations. In the Inhibited Type, the child persistently  fails to initiate  and to respond to most social interactions in a developmentally appropriate way. The child shows a pattern of excessively inhibited, hypervigilant, or highly ambivalent responses (e.g., frozen watchfulness, resistance to comfort, or a mixture of approach and avoidance) (Criterion Al). In the Disinhibited Type, there is a pattern of diffuse attachments. The child exhibits indiscriminate sociability or a lack of selectivity in the choice of attachment figures (Criterion A2). The disturbance is not accounted for solely by developmental delay (e.g., as in Mental Retardation) and does not meet criteria for Pervasive Developmental Disorder (Criterion B). By definition, the condition is associ­ ated with grossly pathological care that may take the form of persistent disregard of the child's basic emotional needs for comfort, stimulation, and affection (Criterion Cl); persistent</w:t>
      </w:r>
      <w:r>
        <w:rPr>
          <w:spacing w:val="-5"/>
          <w:w w:val="105"/>
        </w:rPr>
        <w:t xml:space="preserve"> </w:t>
      </w:r>
      <w:r>
        <w:rPr>
          <w:w w:val="105"/>
        </w:rPr>
        <w:t>disregard</w:t>
      </w:r>
      <w:r>
        <w:rPr>
          <w:spacing w:val="-7"/>
          <w:w w:val="105"/>
        </w:rPr>
        <w:t xml:space="preserve"> </w:t>
      </w:r>
      <w:r>
        <w:rPr>
          <w:w w:val="105"/>
        </w:rPr>
        <w:t>of</w:t>
      </w:r>
      <w:r>
        <w:rPr>
          <w:spacing w:val="-13"/>
          <w:w w:val="105"/>
        </w:rPr>
        <w:t xml:space="preserve"> </w:t>
      </w:r>
      <w:r>
        <w:rPr>
          <w:w w:val="105"/>
        </w:rPr>
        <w:t>the</w:t>
      </w:r>
      <w:r>
        <w:rPr>
          <w:spacing w:val="4"/>
          <w:w w:val="105"/>
        </w:rPr>
        <w:t xml:space="preserve"> </w:t>
      </w:r>
      <w:r>
        <w:rPr>
          <w:w w:val="105"/>
        </w:rPr>
        <w:t>child's</w:t>
      </w:r>
      <w:r>
        <w:rPr>
          <w:spacing w:val="-16"/>
          <w:w w:val="105"/>
        </w:rPr>
        <w:t xml:space="preserve"> </w:t>
      </w:r>
      <w:r>
        <w:rPr>
          <w:w w:val="105"/>
        </w:rPr>
        <w:t>basic</w:t>
      </w:r>
      <w:r>
        <w:rPr>
          <w:spacing w:val="-10"/>
          <w:w w:val="105"/>
        </w:rPr>
        <w:t xml:space="preserve"> </w:t>
      </w:r>
      <w:r>
        <w:rPr>
          <w:w w:val="105"/>
        </w:rPr>
        <w:t>physical</w:t>
      </w:r>
      <w:r>
        <w:rPr>
          <w:spacing w:val="-4"/>
          <w:w w:val="105"/>
        </w:rPr>
        <w:t xml:space="preserve"> </w:t>
      </w:r>
      <w:r>
        <w:rPr>
          <w:w w:val="105"/>
        </w:rPr>
        <w:t>needs</w:t>
      </w:r>
      <w:r>
        <w:rPr>
          <w:spacing w:val="-20"/>
          <w:w w:val="105"/>
        </w:rPr>
        <w:t xml:space="preserve"> </w:t>
      </w:r>
      <w:r>
        <w:rPr>
          <w:w w:val="105"/>
        </w:rPr>
        <w:t>(Criterion</w:t>
      </w:r>
      <w:r>
        <w:rPr>
          <w:spacing w:val="-8"/>
          <w:w w:val="105"/>
        </w:rPr>
        <w:t xml:space="preserve"> </w:t>
      </w:r>
      <w:r>
        <w:rPr>
          <w:w w:val="105"/>
        </w:rPr>
        <w:t>C2);</w:t>
      </w:r>
      <w:r>
        <w:rPr>
          <w:spacing w:val="-14"/>
          <w:w w:val="105"/>
        </w:rPr>
        <w:t xml:space="preserve"> </w:t>
      </w:r>
      <w:r>
        <w:rPr>
          <w:w w:val="105"/>
        </w:rPr>
        <w:t>or</w:t>
      </w:r>
      <w:r>
        <w:rPr>
          <w:spacing w:val="-13"/>
          <w:w w:val="105"/>
        </w:rPr>
        <w:t xml:space="preserve"> </w:t>
      </w:r>
      <w:r>
        <w:rPr>
          <w:w w:val="105"/>
        </w:rPr>
        <w:t>repeated</w:t>
      </w:r>
      <w:r>
        <w:rPr>
          <w:spacing w:val="-6"/>
          <w:w w:val="105"/>
        </w:rPr>
        <w:t xml:space="preserve"> </w:t>
      </w:r>
      <w:r>
        <w:rPr>
          <w:w w:val="105"/>
        </w:rPr>
        <w:t>changes of primary caregiver that prevent formation of stable attachments (e.g., frequent changes in foster care) (Criterion C3). The pathological care is presumed to be responsible  for the disturbed social relatedness (Criterion</w:t>
      </w:r>
      <w:r>
        <w:rPr>
          <w:spacing w:val="30"/>
          <w:w w:val="105"/>
        </w:rPr>
        <w:t xml:space="preserve"> </w:t>
      </w:r>
      <w:r>
        <w:rPr>
          <w:w w:val="105"/>
        </w:rPr>
        <w:t>D).</w:t>
      </w:r>
    </w:p>
    <w:p w:rsidR="00E675F0" w:rsidRDefault="00E675F0" w:rsidP="00E675F0">
      <w:pPr>
        <w:pStyle w:val="BodyText"/>
        <w:rPr>
          <w:sz w:val="22"/>
        </w:rPr>
      </w:pPr>
    </w:p>
    <w:p w:rsidR="00E675F0" w:rsidRDefault="00E675F0" w:rsidP="00E675F0">
      <w:pPr>
        <w:spacing w:before="162"/>
        <w:ind w:left="123"/>
        <w:rPr>
          <w:rFonts w:ascii="TimesNewRomanPS-BoldItalicMT"/>
          <w:b/>
          <w:i/>
          <w:sz w:val="24"/>
        </w:rPr>
      </w:pPr>
      <w:r>
        <w:rPr>
          <w:rFonts w:ascii="TimesNewRomanPS-BoldItalicMT"/>
          <w:b/>
          <w:i/>
          <w:w w:val="115"/>
          <w:sz w:val="24"/>
        </w:rPr>
        <w:t>Subtypes</w:t>
      </w:r>
    </w:p>
    <w:p w:rsidR="00E675F0" w:rsidRDefault="00E675F0" w:rsidP="00E675F0">
      <w:pPr>
        <w:pStyle w:val="BodyText"/>
        <w:spacing w:before="137" w:line="252" w:lineRule="auto"/>
        <w:ind w:left="135" w:right="129" w:hanging="4"/>
        <w:jc w:val="both"/>
      </w:pPr>
      <w:r>
        <w:rPr>
          <w:w w:val="105"/>
        </w:rPr>
        <w:t>The</w:t>
      </w:r>
      <w:r>
        <w:rPr>
          <w:spacing w:val="-8"/>
          <w:w w:val="105"/>
        </w:rPr>
        <w:t xml:space="preserve"> </w:t>
      </w:r>
      <w:r>
        <w:rPr>
          <w:w w:val="105"/>
        </w:rPr>
        <w:t>predominant</w:t>
      </w:r>
      <w:r>
        <w:rPr>
          <w:spacing w:val="7"/>
          <w:w w:val="105"/>
        </w:rPr>
        <w:t xml:space="preserve"> </w:t>
      </w:r>
      <w:r>
        <w:rPr>
          <w:w w:val="105"/>
        </w:rPr>
        <w:t>type</w:t>
      </w:r>
      <w:r>
        <w:rPr>
          <w:spacing w:val="-14"/>
          <w:w w:val="105"/>
        </w:rPr>
        <w:t xml:space="preserve"> </w:t>
      </w:r>
      <w:r>
        <w:rPr>
          <w:w w:val="105"/>
        </w:rPr>
        <w:t>of</w:t>
      </w:r>
      <w:r>
        <w:rPr>
          <w:spacing w:val="-11"/>
          <w:w w:val="105"/>
        </w:rPr>
        <w:t xml:space="preserve"> </w:t>
      </w:r>
      <w:r>
        <w:rPr>
          <w:w w:val="105"/>
        </w:rPr>
        <w:t>disturbance</w:t>
      </w:r>
      <w:r>
        <w:rPr>
          <w:spacing w:val="-5"/>
          <w:w w:val="105"/>
        </w:rPr>
        <w:t xml:space="preserve"> </w:t>
      </w:r>
      <w:r>
        <w:rPr>
          <w:w w:val="105"/>
        </w:rPr>
        <w:t>in</w:t>
      </w:r>
      <w:r>
        <w:rPr>
          <w:spacing w:val="-18"/>
          <w:w w:val="105"/>
        </w:rPr>
        <w:t xml:space="preserve"> </w:t>
      </w:r>
      <w:r>
        <w:rPr>
          <w:w w:val="105"/>
        </w:rPr>
        <w:t>social relatedness</w:t>
      </w:r>
      <w:r>
        <w:rPr>
          <w:spacing w:val="4"/>
          <w:w w:val="105"/>
        </w:rPr>
        <w:t xml:space="preserve"> </w:t>
      </w:r>
      <w:r>
        <w:rPr>
          <w:w w:val="105"/>
        </w:rPr>
        <w:t>may</w:t>
      </w:r>
      <w:r>
        <w:rPr>
          <w:spacing w:val="-6"/>
          <w:w w:val="105"/>
        </w:rPr>
        <w:t xml:space="preserve"> </w:t>
      </w:r>
      <w:r>
        <w:rPr>
          <w:w w:val="105"/>
        </w:rPr>
        <w:t>be</w:t>
      </w:r>
      <w:r>
        <w:rPr>
          <w:spacing w:val="-13"/>
          <w:w w:val="105"/>
        </w:rPr>
        <w:t xml:space="preserve"> </w:t>
      </w:r>
      <w:r>
        <w:rPr>
          <w:w w:val="105"/>
        </w:rPr>
        <w:t>indicated</w:t>
      </w:r>
      <w:r>
        <w:rPr>
          <w:spacing w:val="8"/>
          <w:w w:val="105"/>
        </w:rPr>
        <w:t xml:space="preserve"> </w:t>
      </w:r>
      <w:r>
        <w:rPr>
          <w:w w:val="105"/>
        </w:rPr>
        <w:t>by</w:t>
      </w:r>
      <w:r>
        <w:rPr>
          <w:spacing w:val="-26"/>
          <w:w w:val="105"/>
        </w:rPr>
        <w:t xml:space="preserve"> </w:t>
      </w:r>
      <w:r>
        <w:rPr>
          <w:w w:val="105"/>
        </w:rPr>
        <w:t>specifying one of the following subtypes for Reactive Attachment</w:t>
      </w:r>
      <w:r>
        <w:rPr>
          <w:spacing w:val="22"/>
          <w:w w:val="105"/>
        </w:rPr>
        <w:t xml:space="preserve"> </w:t>
      </w:r>
      <w:r>
        <w:rPr>
          <w:w w:val="105"/>
        </w:rPr>
        <w:t>Disorder:</w:t>
      </w:r>
    </w:p>
    <w:p w:rsidR="00E675F0" w:rsidRDefault="00E675F0" w:rsidP="00E675F0">
      <w:pPr>
        <w:pStyle w:val="BodyText"/>
        <w:spacing w:before="55" w:line="252" w:lineRule="auto"/>
        <w:ind w:left="742" w:right="121" w:hanging="3"/>
        <w:jc w:val="both"/>
      </w:pPr>
      <w:r>
        <w:rPr>
          <w:b/>
          <w:w w:val="105"/>
        </w:rPr>
        <w:t xml:space="preserve">Inhibited Type. </w:t>
      </w:r>
      <w:r>
        <w:rPr>
          <w:w w:val="105"/>
        </w:rPr>
        <w:t>In this subtype, the predominant disturbance in social related­ ness is the persistent failure to initiate and to respond to most social interactions in a developmentally appropriate</w:t>
      </w:r>
      <w:r>
        <w:rPr>
          <w:spacing w:val="30"/>
          <w:w w:val="105"/>
        </w:rPr>
        <w:t xml:space="preserve"> </w:t>
      </w:r>
      <w:r>
        <w:rPr>
          <w:w w:val="105"/>
        </w:rPr>
        <w:t>way.</w:t>
      </w:r>
    </w:p>
    <w:p w:rsidR="00E675F0" w:rsidRDefault="00E675F0" w:rsidP="00E675F0">
      <w:pPr>
        <w:pStyle w:val="BodyText"/>
        <w:spacing w:line="254" w:lineRule="auto"/>
        <w:ind w:left="736" w:right="113" w:firstLine="4"/>
        <w:jc w:val="both"/>
      </w:pPr>
      <w:r>
        <w:rPr>
          <w:b/>
          <w:w w:val="105"/>
        </w:rPr>
        <w:t xml:space="preserve">Disinhibited Type. </w:t>
      </w:r>
      <w:r>
        <w:rPr>
          <w:w w:val="105"/>
        </w:rPr>
        <w:t>This subtype is used if the predominant  disturbance  in social</w:t>
      </w:r>
      <w:r>
        <w:rPr>
          <w:spacing w:val="-1"/>
          <w:w w:val="105"/>
        </w:rPr>
        <w:t xml:space="preserve"> </w:t>
      </w:r>
      <w:r>
        <w:rPr>
          <w:w w:val="105"/>
        </w:rPr>
        <w:t>relatedness is</w:t>
      </w:r>
      <w:r>
        <w:rPr>
          <w:spacing w:val="-15"/>
          <w:w w:val="105"/>
        </w:rPr>
        <w:t xml:space="preserve"> </w:t>
      </w:r>
      <w:r>
        <w:rPr>
          <w:w w:val="105"/>
        </w:rPr>
        <w:t>indiscriminate</w:t>
      </w:r>
      <w:r>
        <w:rPr>
          <w:spacing w:val="-18"/>
          <w:w w:val="105"/>
        </w:rPr>
        <w:t xml:space="preserve"> </w:t>
      </w:r>
      <w:r>
        <w:rPr>
          <w:w w:val="105"/>
        </w:rPr>
        <w:t>sociability or</w:t>
      </w:r>
      <w:r>
        <w:rPr>
          <w:spacing w:val="-11"/>
          <w:w w:val="105"/>
        </w:rPr>
        <w:t xml:space="preserve"> </w:t>
      </w:r>
      <w:r>
        <w:rPr>
          <w:w w:val="105"/>
        </w:rPr>
        <w:t>a</w:t>
      </w:r>
      <w:r>
        <w:rPr>
          <w:spacing w:val="-4"/>
          <w:w w:val="105"/>
        </w:rPr>
        <w:t xml:space="preserve"> </w:t>
      </w:r>
      <w:r>
        <w:rPr>
          <w:w w:val="105"/>
        </w:rPr>
        <w:t>lack</w:t>
      </w:r>
      <w:r>
        <w:rPr>
          <w:spacing w:val="1"/>
          <w:w w:val="105"/>
        </w:rPr>
        <w:t xml:space="preserve"> </w:t>
      </w:r>
      <w:r>
        <w:rPr>
          <w:w w:val="105"/>
        </w:rPr>
        <w:t>of</w:t>
      </w:r>
      <w:r>
        <w:rPr>
          <w:spacing w:val="-6"/>
          <w:w w:val="105"/>
        </w:rPr>
        <w:t xml:space="preserve"> </w:t>
      </w:r>
      <w:r>
        <w:rPr>
          <w:w w:val="105"/>
        </w:rPr>
        <w:t>selectivity</w:t>
      </w:r>
      <w:r>
        <w:rPr>
          <w:spacing w:val="1"/>
          <w:w w:val="105"/>
        </w:rPr>
        <w:t xml:space="preserve"> </w:t>
      </w:r>
      <w:r>
        <w:rPr>
          <w:w w:val="105"/>
        </w:rPr>
        <w:t>in</w:t>
      </w:r>
      <w:r>
        <w:rPr>
          <w:spacing w:val="-5"/>
          <w:w w:val="105"/>
        </w:rPr>
        <w:t xml:space="preserve"> </w:t>
      </w:r>
      <w:r>
        <w:rPr>
          <w:w w:val="105"/>
        </w:rPr>
        <w:t>the</w:t>
      </w:r>
      <w:r>
        <w:rPr>
          <w:spacing w:val="-3"/>
          <w:w w:val="105"/>
        </w:rPr>
        <w:t xml:space="preserve"> </w:t>
      </w:r>
      <w:r>
        <w:rPr>
          <w:w w:val="105"/>
        </w:rPr>
        <w:t>choice of attachment</w:t>
      </w:r>
      <w:r>
        <w:rPr>
          <w:spacing w:val="33"/>
          <w:w w:val="105"/>
        </w:rPr>
        <w:t xml:space="preserve"> </w:t>
      </w:r>
      <w:r>
        <w:rPr>
          <w:w w:val="105"/>
        </w:rPr>
        <w:t>figures.</w:t>
      </w:r>
    </w:p>
    <w:p w:rsidR="00E675F0" w:rsidRDefault="00E675F0" w:rsidP="00E675F0">
      <w:pPr>
        <w:pStyle w:val="BodyText"/>
        <w:rPr>
          <w:sz w:val="22"/>
        </w:rPr>
      </w:pPr>
    </w:p>
    <w:p w:rsidR="00E675F0" w:rsidRDefault="00E675F0" w:rsidP="00E675F0">
      <w:pPr>
        <w:spacing w:before="162"/>
        <w:ind w:left="117"/>
        <w:rPr>
          <w:rFonts w:ascii="TimesNewRomanPS-BoldItalicMT"/>
          <w:b/>
          <w:i/>
          <w:sz w:val="24"/>
        </w:rPr>
      </w:pPr>
      <w:r>
        <w:rPr>
          <w:rFonts w:ascii="TimesNewRomanPS-BoldItalicMT"/>
          <w:b/>
          <w:i/>
          <w:w w:val="120"/>
          <w:sz w:val="24"/>
        </w:rPr>
        <w:t>Associated Features and msorders</w:t>
      </w:r>
    </w:p>
    <w:p w:rsidR="00E675F0" w:rsidRDefault="00E675F0" w:rsidP="00E675F0">
      <w:pPr>
        <w:pStyle w:val="BodyText"/>
        <w:spacing w:before="160" w:line="256" w:lineRule="auto"/>
        <w:ind w:left="136" w:right="115" w:hanging="5"/>
        <w:jc w:val="both"/>
      </w:pPr>
      <w:r>
        <w:rPr>
          <w:b/>
          <w:w w:val="105"/>
        </w:rPr>
        <w:t xml:space="preserve">Associated descriptive features and mental disorders. </w:t>
      </w:r>
      <w:r>
        <w:rPr>
          <w:w w:val="105"/>
        </w:rPr>
        <w:t>Certain situations (e.g., prolonged hospitalization of the child, extreme poverty, or parental inexperience) may predispose to the development of pathological care. However, grossly pathological care does not always result in the development of Reactive Attachment Disorder; some children may form stable attachments and social relationships even in the face of marked neglect or abuse. Reactive Attachment Disorder may be associated with developmental delays, Feeding Disorder of Infancy or Early Childhood, Pica, or Rumination Disorder.</w:t>
      </w:r>
    </w:p>
    <w:p w:rsidR="00E675F0" w:rsidRDefault="00E675F0" w:rsidP="00E675F0">
      <w:pPr>
        <w:pStyle w:val="BodyText"/>
        <w:spacing w:before="1"/>
        <w:rPr>
          <w:sz w:val="24"/>
        </w:rPr>
      </w:pPr>
    </w:p>
    <w:p w:rsidR="00E675F0" w:rsidRDefault="00E675F0" w:rsidP="00E675F0">
      <w:pPr>
        <w:spacing w:line="252" w:lineRule="auto"/>
        <w:ind w:left="140" w:right="124" w:hanging="10"/>
        <w:jc w:val="both"/>
        <w:rPr>
          <w:sz w:val="20"/>
        </w:rPr>
      </w:pPr>
      <w:r>
        <w:rPr>
          <w:b/>
          <w:w w:val="105"/>
          <w:sz w:val="20"/>
        </w:rPr>
        <w:t xml:space="preserve">Associated laboratory findings. </w:t>
      </w:r>
      <w:r>
        <w:rPr>
          <w:w w:val="105"/>
          <w:sz w:val="20"/>
        </w:rPr>
        <w:t>Laboratory findings consistent  with  malnutrition  may be</w:t>
      </w:r>
      <w:r>
        <w:rPr>
          <w:spacing w:val="28"/>
          <w:w w:val="105"/>
          <w:sz w:val="20"/>
        </w:rPr>
        <w:t xml:space="preserve"> </w:t>
      </w:r>
      <w:r>
        <w:rPr>
          <w:w w:val="105"/>
          <w:sz w:val="20"/>
        </w:rPr>
        <w:t>present.</w:t>
      </w:r>
    </w:p>
    <w:p w:rsidR="00E675F0" w:rsidRDefault="00E675F0" w:rsidP="00E675F0">
      <w:pPr>
        <w:spacing w:line="252" w:lineRule="auto"/>
        <w:jc w:val="both"/>
        <w:rPr>
          <w:sz w:val="20"/>
        </w:rPr>
        <w:sectPr w:rsidR="00E675F0">
          <w:pgSz w:w="8960" w:h="14260"/>
          <w:pgMar w:top="1400" w:right="600" w:bottom="280" w:left="620" w:header="694" w:footer="0" w:gutter="0"/>
          <w:cols w:space="720"/>
        </w:sectPr>
      </w:pPr>
    </w:p>
    <w:p w:rsidR="00E675F0" w:rsidRDefault="00E675F0" w:rsidP="00E675F0">
      <w:pPr>
        <w:spacing w:before="120" w:line="264" w:lineRule="auto"/>
        <w:ind w:left="124" w:right="113"/>
        <w:jc w:val="both"/>
        <w:rPr>
          <w:sz w:val="19"/>
        </w:rPr>
      </w:pPr>
      <w:r>
        <w:rPr>
          <w:b/>
          <w:w w:val="110"/>
          <w:sz w:val="20"/>
        </w:rPr>
        <w:lastRenderedPageBreak/>
        <w:t xml:space="preserve">Associated physical examination findings and general medical conditions. </w:t>
      </w:r>
      <w:r>
        <w:rPr>
          <w:w w:val="110"/>
          <w:sz w:val="19"/>
        </w:rPr>
        <w:t>Physical examination may document associated general medical conditions that might contribute to, or result from, difficulties in caring for the child (e.g., growth delay, evidence of physical abuse).</w:t>
      </w:r>
    </w:p>
    <w:p w:rsidR="00E675F0" w:rsidRDefault="00E675F0" w:rsidP="00E675F0">
      <w:pPr>
        <w:pStyle w:val="BodyText"/>
      </w:pPr>
    </w:p>
    <w:p w:rsidR="00E675F0" w:rsidRDefault="00E675F0" w:rsidP="00E675F0">
      <w:pPr>
        <w:pStyle w:val="BodyText"/>
      </w:pPr>
    </w:p>
    <w:p w:rsidR="00E675F0" w:rsidRDefault="00E675F0" w:rsidP="00E675F0">
      <w:pPr>
        <w:spacing w:before="173"/>
        <w:ind w:left="114"/>
        <w:rPr>
          <w:rFonts w:ascii="TimesNewRomanPS-BoldItalicMT"/>
          <w:b/>
          <w:i/>
          <w:sz w:val="24"/>
        </w:rPr>
      </w:pPr>
      <w:r>
        <w:rPr>
          <w:rFonts w:ascii="TimesNewRomanPS-BoldItalicMT"/>
          <w:b/>
          <w:i/>
          <w:w w:val="115"/>
          <w:sz w:val="24"/>
        </w:rPr>
        <w:t>Prevalence</w:t>
      </w:r>
    </w:p>
    <w:p w:rsidR="00E675F0" w:rsidRDefault="00E675F0" w:rsidP="00E675F0">
      <w:pPr>
        <w:spacing w:before="232" w:line="264" w:lineRule="auto"/>
        <w:ind w:left="145" w:right="116" w:hanging="14"/>
        <w:jc w:val="both"/>
        <w:rPr>
          <w:sz w:val="19"/>
        </w:rPr>
      </w:pPr>
      <w:r>
        <w:rPr>
          <w:w w:val="110"/>
          <w:sz w:val="19"/>
        </w:rPr>
        <w:t>Epidemiological data are limited, but Reactive Attachment Disorder appears to be very uncommon.</w:t>
      </w:r>
    </w:p>
    <w:p w:rsidR="00E675F0" w:rsidRDefault="00E675F0" w:rsidP="00E675F0">
      <w:pPr>
        <w:pStyle w:val="BodyText"/>
      </w:pPr>
    </w:p>
    <w:p w:rsidR="00E675F0" w:rsidRDefault="00E675F0" w:rsidP="00E675F0">
      <w:pPr>
        <w:pStyle w:val="BodyText"/>
      </w:pPr>
    </w:p>
    <w:p w:rsidR="00E675F0" w:rsidRDefault="00E675F0" w:rsidP="00E675F0">
      <w:pPr>
        <w:pStyle w:val="BodyText"/>
        <w:spacing w:before="1"/>
        <w:rPr>
          <w:sz w:val="16"/>
        </w:rPr>
      </w:pPr>
    </w:p>
    <w:p w:rsidR="00E675F0" w:rsidRDefault="00E675F0" w:rsidP="00E675F0">
      <w:pPr>
        <w:spacing w:before="1"/>
        <w:ind w:left="106"/>
        <w:rPr>
          <w:rFonts w:ascii="TimesNewRomanPS-BoldItalicMT"/>
          <w:b/>
          <w:i/>
          <w:sz w:val="24"/>
        </w:rPr>
      </w:pPr>
      <w:r>
        <w:rPr>
          <w:rFonts w:ascii="TimesNewRomanPS-BoldItalicMT"/>
          <w:b/>
          <w:i/>
          <w:w w:val="115"/>
          <w:sz w:val="24"/>
        </w:rPr>
        <w:t>Course</w:t>
      </w:r>
    </w:p>
    <w:p w:rsidR="00E675F0" w:rsidRDefault="00E675F0" w:rsidP="00E675F0">
      <w:pPr>
        <w:spacing w:before="227" w:line="266" w:lineRule="auto"/>
        <w:ind w:left="130" w:right="122" w:hanging="5"/>
        <w:jc w:val="both"/>
        <w:rPr>
          <w:sz w:val="19"/>
        </w:rPr>
      </w:pPr>
      <w:r>
        <w:rPr>
          <w:w w:val="110"/>
          <w:sz w:val="19"/>
        </w:rPr>
        <w:t>The</w:t>
      </w:r>
      <w:r>
        <w:rPr>
          <w:spacing w:val="-17"/>
          <w:w w:val="110"/>
          <w:sz w:val="19"/>
        </w:rPr>
        <w:t xml:space="preserve"> </w:t>
      </w:r>
      <w:r>
        <w:rPr>
          <w:w w:val="110"/>
          <w:sz w:val="19"/>
        </w:rPr>
        <w:t>onset</w:t>
      </w:r>
      <w:r>
        <w:rPr>
          <w:spacing w:val="-7"/>
          <w:w w:val="110"/>
          <w:sz w:val="19"/>
        </w:rPr>
        <w:t xml:space="preserve"> </w:t>
      </w:r>
      <w:r>
        <w:rPr>
          <w:w w:val="110"/>
          <w:sz w:val="19"/>
        </w:rPr>
        <w:t>of</w:t>
      </w:r>
      <w:r>
        <w:rPr>
          <w:spacing w:val="-2"/>
          <w:w w:val="110"/>
          <w:sz w:val="19"/>
        </w:rPr>
        <w:t xml:space="preserve"> </w:t>
      </w:r>
      <w:r>
        <w:rPr>
          <w:w w:val="110"/>
          <w:sz w:val="19"/>
        </w:rPr>
        <w:t>Reactive Attachment</w:t>
      </w:r>
      <w:r>
        <w:rPr>
          <w:spacing w:val="12"/>
          <w:w w:val="110"/>
          <w:sz w:val="19"/>
        </w:rPr>
        <w:t xml:space="preserve"> </w:t>
      </w:r>
      <w:r>
        <w:rPr>
          <w:w w:val="110"/>
          <w:sz w:val="19"/>
        </w:rPr>
        <w:t>Disorder</w:t>
      </w:r>
      <w:r>
        <w:rPr>
          <w:spacing w:val="-5"/>
          <w:w w:val="110"/>
          <w:sz w:val="19"/>
        </w:rPr>
        <w:t xml:space="preserve"> </w:t>
      </w:r>
      <w:r>
        <w:rPr>
          <w:w w:val="110"/>
          <w:sz w:val="19"/>
        </w:rPr>
        <w:t>is</w:t>
      </w:r>
      <w:r>
        <w:rPr>
          <w:spacing w:val="-11"/>
          <w:w w:val="110"/>
          <w:sz w:val="19"/>
        </w:rPr>
        <w:t xml:space="preserve"> </w:t>
      </w:r>
      <w:r>
        <w:rPr>
          <w:w w:val="110"/>
          <w:sz w:val="19"/>
        </w:rPr>
        <w:t>usually</w:t>
      </w:r>
      <w:r>
        <w:rPr>
          <w:spacing w:val="-5"/>
          <w:w w:val="110"/>
          <w:sz w:val="19"/>
        </w:rPr>
        <w:t xml:space="preserve"> </w:t>
      </w:r>
      <w:r>
        <w:rPr>
          <w:w w:val="110"/>
          <w:sz w:val="19"/>
        </w:rPr>
        <w:t>in</w:t>
      </w:r>
      <w:r>
        <w:rPr>
          <w:spacing w:val="-7"/>
          <w:w w:val="110"/>
          <w:sz w:val="19"/>
        </w:rPr>
        <w:t xml:space="preserve"> </w:t>
      </w:r>
      <w:r>
        <w:rPr>
          <w:w w:val="110"/>
          <w:sz w:val="19"/>
        </w:rPr>
        <w:t>the</w:t>
      </w:r>
      <w:r>
        <w:rPr>
          <w:spacing w:val="8"/>
          <w:w w:val="110"/>
          <w:sz w:val="19"/>
        </w:rPr>
        <w:t xml:space="preserve"> </w:t>
      </w:r>
      <w:r>
        <w:rPr>
          <w:w w:val="110"/>
          <w:sz w:val="19"/>
        </w:rPr>
        <w:t>first</w:t>
      </w:r>
      <w:r>
        <w:rPr>
          <w:spacing w:val="-8"/>
          <w:w w:val="110"/>
          <w:sz w:val="19"/>
        </w:rPr>
        <w:t xml:space="preserve"> </w:t>
      </w:r>
      <w:r>
        <w:rPr>
          <w:w w:val="110"/>
          <w:sz w:val="19"/>
        </w:rPr>
        <w:t>several</w:t>
      </w:r>
      <w:r>
        <w:rPr>
          <w:spacing w:val="-9"/>
          <w:w w:val="110"/>
          <w:sz w:val="19"/>
        </w:rPr>
        <w:t xml:space="preserve"> </w:t>
      </w:r>
      <w:r>
        <w:rPr>
          <w:w w:val="110"/>
          <w:sz w:val="19"/>
        </w:rPr>
        <w:t>years</w:t>
      </w:r>
      <w:r>
        <w:rPr>
          <w:spacing w:val="-6"/>
          <w:w w:val="110"/>
          <w:sz w:val="19"/>
        </w:rPr>
        <w:t xml:space="preserve"> </w:t>
      </w:r>
      <w:r>
        <w:rPr>
          <w:w w:val="110"/>
          <w:sz w:val="19"/>
        </w:rPr>
        <w:t>of</w:t>
      </w:r>
      <w:r>
        <w:rPr>
          <w:spacing w:val="-8"/>
          <w:w w:val="110"/>
          <w:sz w:val="19"/>
        </w:rPr>
        <w:t xml:space="preserve"> </w:t>
      </w:r>
      <w:r>
        <w:rPr>
          <w:w w:val="110"/>
          <w:sz w:val="19"/>
        </w:rPr>
        <w:t>life</w:t>
      </w:r>
      <w:r>
        <w:rPr>
          <w:spacing w:val="-7"/>
          <w:w w:val="110"/>
          <w:sz w:val="19"/>
        </w:rPr>
        <w:t xml:space="preserve"> </w:t>
      </w:r>
      <w:r>
        <w:rPr>
          <w:w w:val="110"/>
          <w:sz w:val="19"/>
        </w:rPr>
        <w:t>and, by definition, begins before age 5 years. The course appears to vary depending on individual factors in child and caregivers, the severity and duration of associated psychosocial deprivation, and the nature of intervention. Considerable improvement or remission may occur if an appropriately supportive environment is provided. Otherwise, the disorder follows a continuous</w:t>
      </w:r>
      <w:r>
        <w:rPr>
          <w:spacing w:val="15"/>
          <w:w w:val="110"/>
          <w:sz w:val="19"/>
        </w:rPr>
        <w:t xml:space="preserve"> </w:t>
      </w:r>
      <w:r>
        <w:rPr>
          <w:w w:val="110"/>
          <w:sz w:val="19"/>
        </w:rPr>
        <w:t>course.</w:t>
      </w:r>
    </w:p>
    <w:p w:rsidR="00E675F0" w:rsidRDefault="00E675F0" w:rsidP="00E675F0">
      <w:pPr>
        <w:pStyle w:val="BodyText"/>
      </w:pPr>
    </w:p>
    <w:p w:rsidR="00E675F0" w:rsidRDefault="00E675F0" w:rsidP="00E675F0">
      <w:pPr>
        <w:pStyle w:val="BodyText"/>
      </w:pPr>
    </w:p>
    <w:p w:rsidR="00E675F0" w:rsidRDefault="00E675F0" w:rsidP="00E675F0">
      <w:pPr>
        <w:spacing w:before="177"/>
        <w:ind w:left="105"/>
        <w:rPr>
          <w:rFonts w:ascii="TimesNewRomanPS-BoldItalicMT"/>
          <w:b/>
          <w:i/>
          <w:sz w:val="24"/>
        </w:rPr>
      </w:pPr>
      <w:r>
        <w:rPr>
          <w:rFonts w:ascii="TimesNewRomanPS-BoldItalicMT"/>
          <w:b/>
          <w:i/>
          <w:w w:val="120"/>
          <w:sz w:val="24"/>
        </w:rPr>
        <w:t>m.{ferential magnosis</w:t>
      </w:r>
    </w:p>
    <w:p w:rsidR="00E675F0" w:rsidRDefault="00E675F0" w:rsidP="00E675F0">
      <w:pPr>
        <w:spacing w:before="223" w:line="264" w:lineRule="auto"/>
        <w:ind w:left="124" w:right="111" w:firstLine="2"/>
        <w:jc w:val="both"/>
        <w:rPr>
          <w:sz w:val="19"/>
        </w:rPr>
      </w:pPr>
      <w:r>
        <w:rPr>
          <w:w w:val="110"/>
          <w:sz w:val="19"/>
        </w:rPr>
        <w:t xml:space="preserve">In </w:t>
      </w:r>
      <w:r>
        <w:rPr>
          <w:b/>
          <w:w w:val="110"/>
          <w:sz w:val="20"/>
        </w:rPr>
        <w:t xml:space="preserve">Mental Retardation, </w:t>
      </w:r>
      <w:r>
        <w:rPr>
          <w:w w:val="110"/>
          <w:sz w:val="19"/>
        </w:rPr>
        <w:t>appropriate attachments to caregivers usually develop consis­ tent with the child's general developmental level. However, some infants and young children with Severe Mental Retardation may present particular problems for caregivers and exhibit symptoms characteristic of Reactive Attachment Disorder. Reactive Attach­ ment Disorder should be diagnosed only if it i clear that the characteristic problems in formation of selective attachments are not a function of the retardation.</w:t>
      </w:r>
    </w:p>
    <w:p w:rsidR="00E675F0" w:rsidRDefault="00E675F0" w:rsidP="00E675F0">
      <w:pPr>
        <w:spacing w:line="264" w:lineRule="auto"/>
        <w:ind w:left="124" w:right="103" w:firstLine="369"/>
        <w:jc w:val="both"/>
        <w:rPr>
          <w:sz w:val="19"/>
        </w:rPr>
      </w:pPr>
      <w:r>
        <w:rPr>
          <w:w w:val="110"/>
          <w:sz w:val="19"/>
        </w:rPr>
        <w:t xml:space="preserve">Reactive Attachment Disorder must be differentiated from </w:t>
      </w:r>
      <w:r>
        <w:rPr>
          <w:b/>
          <w:w w:val="110"/>
          <w:sz w:val="20"/>
        </w:rPr>
        <w:t xml:space="preserve">Autistic Disorder </w:t>
      </w:r>
      <w:r>
        <w:rPr>
          <w:w w:val="110"/>
          <w:sz w:val="19"/>
        </w:rPr>
        <w:t xml:space="preserve">and </w:t>
      </w:r>
      <w:r>
        <w:rPr>
          <w:b/>
          <w:w w:val="110"/>
          <w:sz w:val="20"/>
        </w:rPr>
        <w:t xml:space="preserve">other Pervasive Developmental Disorders. </w:t>
      </w:r>
      <w:r>
        <w:rPr>
          <w:w w:val="110"/>
          <w:sz w:val="19"/>
        </w:rPr>
        <w:t>In the Pervasive Developmental Disor­ ders, selective attachments either fail to develop or are highly deviant, but this usually occurs</w:t>
      </w:r>
      <w:r>
        <w:rPr>
          <w:spacing w:val="-10"/>
          <w:w w:val="110"/>
          <w:sz w:val="19"/>
        </w:rPr>
        <w:t xml:space="preserve"> </w:t>
      </w:r>
      <w:r>
        <w:rPr>
          <w:w w:val="110"/>
          <w:sz w:val="19"/>
        </w:rPr>
        <w:t>in</w:t>
      </w:r>
      <w:r>
        <w:rPr>
          <w:spacing w:val="-20"/>
          <w:w w:val="110"/>
          <w:sz w:val="19"/>
        </w:rPr>
        <w:t xml:space="preserve"> </w:t>
      </w:r>
      <w:r>
        <w:rPr>
          <w:w w:val="110"/>
          <w:sz w:val="19"/>
        </w:rPr>
        <w:t>the</w:t>
      </w:r>
      <w:r>
        <w:rPr>
          <w:spacing w:val="-9"/>
          <w:w w:val="110"/>
          <w:sz w:val="19"/>
        </w:rPr>
        <w:t xml:space="preserve"> </w:t>
      </w:r>
      <w:r>
        <w:rPr>
          <w:w w:val="110"/>
          <w:sz w:val="19"/>
        </w:rPr>
        <w:t>face</w:t>
      </w:r>
      <w:r>
        <w:rPr>
          <w:spacing w:val="-18"/>
          <w:w w:val="110"/>
          <w:sz w:val="19"/>
        </w:rPr>
        <w:t xml:space="preserve"> </w:t>
      </w:r>
      <w:r>
        <w:rPr>
          <w:w w:val="110"/>
          <w:sz w:val="19"/>
        </w:rPr>
        <w:t>of</w:t>
      </w:r>
      <w:r>
        <w:rPr>
          <w:spacing w:val="-10"/>
          <w:w w:val="110"/>
          <w:sz w:val="19"/>
        </w:rPr>
        <w:t xml:space="preserve"> </w:t>
      </w:r>
      <w:r>
        <w:rPr>
          <w:w w:val="110"/>
          <w:sz w:val="19"/>
        </w:rPr>
        <w:t>a</w:t>
      </w:r>
      <w:r>
        <w:rPr>
          <w:spacing w:val="-8"/>
          <w:w w:val="110"/>
          <w:sz w:val="19"/>
        </w:rPr>
        <w:t xml:space="preserve"> </w:t>
      </w:r>
      <w:r>
        <w:rPr>
          <w:w w:val="110"/>
          <w:sz w:val="19"/>
        </w:rPr>
        <w:t>reasonably</w:t>
      </w:r>
      <w:r>
        <w:rPr>
          <w:spacing w:val="-12"/>
          <w:w w:val="110"/>
          <w:sz w:val="19"/>
        </w:rPr>
        <w:t xml:space="preserve"> </w:t>
      </w:r>
      <w:r>
        <w:rPr>
          <w:w w:val="110"/>
          <w:sz w:val="19"/>
        </w:rPr>
        <w:t>supportive</w:t>
      </w:r>
      <w:r>
        <w:rPr>
          <w:spacing w:val="-1"/>
          <w:w w:val="110"/>
          <w:sz w:val="19"/>
        </w:rPr>
        <w:t xml:space="preserve"> </w:t>
      </w:r>
      <w:r>
        <w:rPr>
          <w:w w:val="110"/>
          <w:sz w:val="19"/>
        </w:rPr>
        <w:t>psychosocial</w:t>
      </w:r>
      <w:r>
        <w:rPr>
          <w:spacing w:val="4"/>
          <w:w w:val="110"/>
          <w:sz w:val="19"/>
        </w:rPr>
        <w:t xml:space="preserve"> </w:t>
      </w:r>
      <w:r>
        <w:rPr>
          <w:w w:val="110"/>
          <w:sz w:val="19"/>
        </w:rPr>
        <w:t>environment.</w:t>
      </w:r>
      <w:r>
        <w:rPr>
          <w:spacing w:val="4"/>
          <w:w w:val="110"/>
          <w:sz w:val="19"/>
        </w:rPr>
        <w:t xml:space="preserve"> </w:t>
      </w:r>
      <w:r>
        <w:rPr>
          <w:w w:val="110"/>
          <w:sz w:val="19"/>
        </w:rPr>
        <w:t>Autistic</w:t>
      </w:r>
      <w:r>
        <w:rPr>
          <w:spacing w:val="-10"/>
          <w:w w:val="110"/>
          <w:sz w:val="19"/>
        </w:rPr>
        <w:t xml:space="preserve"> </w:t>
      </w:r>
      <w:r>
        <w:rPr>
          <w:w w:val="110"/>
          <w:sz w:val="19"/>
        </w:rPr>
        <w:t xml:space="preserve">Disorder and other Pervasive Developmental  Disorders are also characterized  by the presence of a qualitative impairment in communication and restricted, repetitive, and stereotyped patterns of behavior. Reactive Attachment Disorder is not diagnosed if the criteria are met for a Pervasive Developmental Disorder. The Disinhibited Type must be distin­ guished from the impulsive or hyperactive behavior characteristic of </w:t>
      </w:r>
      <w:r>
        <w:rPr>
          <w:b/>
          <w:w w:val="110"/>
          <w:sz w:val="20"/>
        </w:rPr>
        <w:t xml:space="preserve">Attention-Deficit/ Hyperactivity Disorder. </w:t>
      </w:r>
      <w:r>
        <w:rPr>
          <w:w w:val="110"/>
          <w:sz w:val="19"/>
        </w:rPr>
        <w:t>In contrast to Attention-Deficit/Hyperactivity Disorder, the disinhibited behavior in Reactive Attachment Disorder is characteristically associated with attempting to form a social attachment after a very brief</w:t>
      </w:r>
      <w:r>
        <w:rPr>
          <w:spacing w:val="50"/>
          <w:w w:val="110"/>
          <w:sz w:val="19"/>
        </w:rPr>
        <w:t xml:space="preserve"> </w:t>
      </w:r>
      <w:r>
        <w:rPr>
          <w:w w:val="110"/>
          <w:sz w:val="19"/>
        </w:rPr>
        <w:t>acquaintance.</w:t>
      </w:r>
    </w:p>
    <w:p w:rsidR="00E675F0" w:rsidRDefault="00E675F0" w:rsidP="00E675F0">
      <w:pPr>
        <w:spacing w:line="206" w:lineRule="exact"/>
        <w:ind w:left="490"/>
        <w:jc w:val="both"/>
        <w:rPr>
          <w:sz w:val="19"/>
        </w:rPr>
      </w:pPr>
      <w:r>
        <w:rPr>
          <w:w w:val="110"/>
          <w:sz w:val="19"/>
        </w:rPr>
        <w:t>Grossly pathogenic care is a defining feature of Reactive Attachment Disorder. An</w:t>
      </w:r>
    </w:p>
    <w:p w:rsidR="00E675F0" w:rsidRDefault="00E675F0" w:rsidP="00E675F0">
      <w:pPr>
        <w:spacing w:before="19" w:line="273" w:lineRule="auto"/>
        <w:ind w:left="129" w:right="117" w:hanging="5"/>
        <w:jc w:val="both"/>
        <w:rPr>
          <w:sz w:val="19"/>
        </w:rPr>
      </w:pPr>
      <w:r>
        <w:rPr>
          <w:w w:val="110"/>
          <w:sz w:val="19"/>
        </w:rPr>
        <w:t>additional notation of Child Abuse, Child Neglect, or a Parent-Child Relational Problem may be warranted. When grossly pathogenic care does not result in marked disturbances in social relatedness, Child Neglect or Parent-Child Relational Problem may be noted rather than Reactive Attachment Disorder.</w:t>
      </w:r>
    </w:p>
    <w:p w:rsidR="00E675F0" w:rsidRDefault="00E675F0" w:rsidP="00E675F0">
      <w:pPr>
        <w:spacing w:line="273" w:lineRule="auto"/>
        <w:jc w:val="both"/>
        <w:rPr>
          <w:sz w:val="19"/>
        </w:rPr>
        <w:sectPr w:rsidR="00E675F0">
          <w:headerReference w:type="even" r:id="rId132"/>
          <w:headerReference w:type="default" r:id="rId133"/>
          <w:pgSz w:w="8960" w:h="14260"/>
          <w:pgMar w:top="1400" w:right="620" w:bottom="280" w:left="620" w:header="685" w:footer="0" w:gutter="0"/>
          <w:pgNumType w:start="117"/>
          <w:cols w:space="720"/>
        </w:sectPr>
      </w:pPr>
    </w:p>
    <w:p w:rsidR="00E675F0" w:rsidRDefault="00E675F0" w:rsidP="00E675F0">
      <w:pPr>
        <w:pStyle w:val="BodyText"/>
        <w:spacing w:before="6"/>
        <w:rPr>
          <w:sz w:val="9"/>
        </w:rPr>
      </w:pPr>
    </w:p>
    <w:tbl>
      <w:tblPr>
        <w:tblW w:w="0" w:type="auto"/>
        <w:tblInd w:w="234"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7346"/>
      </w:tblGrid>
      <w:tr w:rsidR="00E675F0" w:rsidTr="00A330E1">
        <w:trPr>
          <w:trHeight w:val="8798"/>
        </w:trPr>
        <w:tc>
          <w:tcPr>
            <w:tcW w:w="7346" w:type="dxa"/>
          </w:tcPr>
          <w:p w:rsidR="00E675F0" w:rsidRDefault="00E675F0" w:rsidP="003048D3">
            <w:pPr>
              <w:pStyle w:val="TableParagraph"/>
              <w:numPr>
                <w:ilvl w:val="0"/>
                <w:numId w:val="70"/>
              </w:numPr>
              <w:tabs>
                <w:tab w:val="left" w:pos="629"/>
              </w:tabs>
              <w:spacing w:before="28" w:line="206" w:lineRule="auto"/>
              <w:ind w:right="722"/>
              <w:rPr>
                <w:rFonts w:ascii="Arial" w:hAnsi="Arial"/>
                <w:b/>
                <w:sz w:val="24"/>
              </w:rPr>
            </w:pPr>
            <w:bookmarkStart w:id="78" w:name="_bookmark62"/>
            <w:bookmarkEnd w:id="78"/>
            <w:r>
              <w:rPr>
                <w:rFonts w:ascii="Arial" w:hAnsi="Arial"/>
                <w:b/>
                <w:sz w:val="24"/>
              </w:rPr>
              <w:t>Diagnostic criteria for 313.89 Reactive Attachment Disorder of Infancy or Early</w:t>
            </w:r>
            <w:r>
              <w:rPr>
                <w:rFonts w:ascii="Arial" w:hAnsi="Arial"/>
                <w:b/>
                <w:spacing w:val="27"/>
                <w:sz w:val="24"/>
              </w:rPr>
              <w:t xml:space="preserve"> </w:t>
            </w:r>
            <w:r>
              <w:rPr>
                <w:rFonts w:ascii="Arial" w:hAnsi="Arial"/>
                <w:b/>
                <w:sz w:val="24"/>
              </w:rPr>
              <w:t>Childhood</w:t>
            </w:r>
          </w:p>
          <w:p w:rsidR="00E675F0" w:rsidRDefault="00E675F0" w:rsidP="003048D3">
            <w:pPr>
              <w:pStyle w:val="TableParagraph"/>
              <w:numPr>
                <w:ilvl w:val="1"/>
                <w:numId w:val="70"/>
              </w:numPr>
              <w:tabs>
                <w:tab w:val="left" w:pos="961"/>
              </w:tabs>
              <w:spacing w:before="186" w:line="252" w:lineRule="auto"/>
              <w:ind w:right="224"/>
              <w:jc w:val="both"/>
              <w:rPr>
                <w:sz w:val="20"/>
              </w:rPr>
            </w:pPr>
            <w:r>
              <w:rPr>
                <w:w w:val="110"/>
                <w:sz w:val="20"/>
              </w:rPr>
              <w:t>Markedly</w:t>
            </w:r>
            <w:r>
              <w:rPr>
                <w:spacing w:val="-9"/>
                <w:w w:val="110"/>
                <w:sz w:val="20"/>
              </w:rPr>
              <w:t xml:space="preserve"> </w:t>
            </w:r>
            <w:r>
              <w:rPr>
                <w:w w:val="110"/>
                <w:sz w:val="20"/>
              </w:rPr>
              <w:t>disturbed</w:t>
            </w:r>
            <w:r>
              <w:rPr>
                <w:spacing w:val="-13"/>
                <w:w w:val="110"/>
                <w:sz w:val="20"/>
              </w:rPr>
              <w:t xml:space="preserve"> </w:t>
            </w:r>
            <w:r>
              <w:rPr>
                <w:w w:val="110"/>
                <w:sz w:val="20"/>
              </w:rPr>
              <w:t>and</w:t>
            </w:r>
            <w:r>
              <w:rPr>
                <w:spacing w:val="-5"/>
                <w:w w:val="110"/>
                <w:sz w:val="20"/>
              </w:rPr>
              <w:t xml:space="preserve"> </w:t>
            </w:r>
            <w:r>
              <w:rPr>
                <w:w w:val="110"/>
                <w:sz w:val="20"/>
              </w:rPr>
              <w:t>developmentally</w:t>
            </w:r>
            <w:r>
              <w:rPr>
                <w:spacing w:val="-23"/>
                <w:w w:val="110"/>
                <w:sz w:val="20"/>
              </w:rPr>
              <w:t xml:space="preserve"> </w:t>
            </w:r>
            <w:r>
              <w:rPr>
                <w:w w:val="110"/>
                <w:sz w:val="20"/>
              </w:rPr>
              <w:t>inappropriate</w:t>
            </w:r>
            <w:r>
              <w:rPr>
                <w:spacing w:val="-11"/>
                <w:w w:val="110"/>
                <w:sz w:val="20"/>
              </w:rPr>
              <w:t xml:space="preserve"> </w:t>
            </w:r>
            <w:r>
              <w:rPr>
                <w:w w:val="110"/>
                <w:sz w:val="20"/>
              </w:rPr>
              <w:t>social</w:t>
            </w:r>
            <w:r>
              <w:rPr>
                <w:spacing w:val="-8"/>
                <w:w w:val="110"/>
                <w:sz w:val="20"/>
              </w:rPr>
              <w:t xml:space="preserve"> </w:t>
            </w:r>
            <w:r>
              <w:rPr>
                <w:w w:val="110"/>
                <w:sz w:val="20"/>
              </w:rPr>
              <w:t xml:space="preserve">related­ ness in most contexts, beginning before age 5 years, as evidenced by either </w:t>
            </w:r>
            <w:r>
              <w:rPr>
                <w:w w:val="110"/>
                <w:sz w:val="17"/>
              </w:rPr>
              <w:t xml:space="preserve">(1) </w:t>
            </w:r>
            <w:r>
              <w:rPr>
                <w:w w:val="110"/>
                <w:sz w:val="20"/>
              </w:rPr>
              <w:t>or</w:t>
            </w:r>
            <w:r>
              <w:rPr>
                <w:spacing w:val="15"/>
                <w:w w:val="110"/>
                <w:sz w:val="20"/>
              </w:rPr>
              <w:t xml:space="preserve"> </w:t>
            </w:r>
            <w:r>
              <w:rPr>
                <w:w w:val="110"/>
                <w:sz w:val="18"/>
              </w:rPr>
              <w:t>(2):</w:t>
            </w:r>
          </w:p>
          <w:p w:rsidR="00E675F0" w:rsidRDefault="00E675F0" w:rsidP="003048D3">
            <w:pPr>
              <w:pStyle w:val="TableParagraph"/>
              <w:numPr>
                <w:ilvl w:val="2"/>
                <w:numId w:val="70"/>
              </w:numPr>
              <w:tabs>
                <w:tab w:val="left" w:pos="1393"/>
              </w:tabs>
              <w:spacing w:before="69" w:line="254" w:lineRule="auto"/>
              <w:ind w:left="1385" w:right="223" w:hanging="430"/>
              <w:jc w:val="both"/>
              <w:rPr>
                <w:sz w:val="18"/>
              </w:rPr>
            </w:pPr>
            <w:r>
              <w:rPr>
                <w:w w:val="105"/>
                <w:sz w:val="20"/>
              </w:rPr>
              <w:t>persistent failure to initiate or respond in a developmentally appropriate fashion to most social interactions, as manifest by excessively inhibited, hypervigilant, or highly ambivalent and contradictory responses (e.g., the child may respond to caregivers with a mixture of approach, avoidance, and resistance to comfort­ ing, or may exhibit frozen</w:t>
            </w:r>
            <w:r>
              <w:rPr>
                <w:spacing w:val="11"/>
                <w:w w:val="105"/>
                <w:sz w:val="20"/>
              </w:rPr>
              <w:t xml:space="preserve"> </w:t>
            </w:r>
            <w:r>
              <w:rPr>
                <w:w w:val="105"/>
                <w:sz w:val="20"/>
              </w:rPr>
              <w:t>watchfulness)</w:t>
            </w:r>
          </w:p>
          <w:p w:rsidR="00E675F0" w:rsidRDefault="00E675F0" w:rsidP="003048D3">
            <w:pPr>
              <w:pStyle w:val="TableParagraph"/>
              <w:numPr>
                <w:ilvl w:val="2"/>
                <w:numId w:val="70"/>
              </w:numPr>
              <w:tabs>
                <w:tab w:val="left" w:pos="1390"/>
              </w:tabs>
              <w:spacing w:before="3" w:line="252" w:lineRule="auto"/>
              <w:ind w:right="231" w:hanging="433"/>
              <w:jc w:val="both"/>
              <w:rPr>
                <w:sz w:val="17"/>
              </w:rPr>
            </w:pPr>
            <w:r>
              <w:rPr>
                <w:w w:val="105"/>
                <w:sz w:val="20"/>
              </w:rPr>
              <w:t>diffuse attachments as manifest by indiscriminate sociability with marked inability to exhibit appropriate selective attachments (e.g., excessive familiarity with relative strangers or lack of selectivity in choice of attachment</w:t>
            </w:r>
            <w:r>
              <w:rPr>
                <w:spacing w:val="47"/>
                <w:w w:val="105"/>
                <w:sz w:val="20"/>
              </w:rPr>
              <w:t xml:space="preserve"> </w:t>
            </w:r>
            <w:r>
              <w:rPr>
                <w:w w:val="105"/>
                <w:sz w:val="20"/>
              </w:rPr>
              <w:t>figures)</w:t>
            </w:r>
          </w:p>
          <w:p w:rsidR="00E675F0" w:rsidRDefault="00E675F0" w:rsidP="003048D3">
            <w:pPr>
              <w:pStyle w:val="TableParagraph"/>
              <w:numPr>
                <w:ilvl w:val="1"/>
                <w:numId w:val="70"/>
              </w:numPr>
              <w:tabs>
                <w:tab w:val="left" w:pos="958"/>
              </w:tabs>
              <w:spacing w:before="188" w:line="259" w:lineRule="auto"/>
              <w:ind w:left="961" w:right="225" w:hanging="305"/>
              <w:jc w:val="both"/>
              <w:rPr>
                <w:sz w:val="19"/>
              </w:rPr>
            </w:pPr>
            <w:r>
              <w:rPr>
                <w:w w:val="105"/>
                <w:sz w:val="20"/>
              </w:rPr>
              <w:t xml:space="preserve">The disturbance in Criterion </w:t>
            </w:r>
            <w:r>
              <w:rPr>
                <w:w w:val="105"/>
                <w:sz w:val="19"/>
              </w:rPr>
              <w:t xml:space="preserve">A </w:t>
            </w:r>
            <w:r>
              <w:rPr>
                <w:w w:val="105"/>
                <w:sz w:val="20"/>
              </w:rPr>
              <w:t>is not accounted for solely by develop­ mental delay (as in Mental Retardation) and  does not meet criteria for  a Pervasive Developmental</w:t>
            </w:r>
            <w:r>
              <w:rPr>
                <w:spacing w:val="-3"/>
                <w:w w:val="105"/>
                <w:sz w:val="20"/>
              </w:rPr>
              <w:t xml:space="preserve"> </w:t>
            </w:r>
            <w:r>
              <w:rPr>
                <w:w w:val="105"/>
                <w:sz w:val="20"/>
              </w:rPr>
              <w:t>Disorder.</w:t>
            </w:r>
          </w:p>
          <w:p w:rsidR="00E675F0" w:rsidRDefault="00E675F0" w:rsidP="003048D3">
            <w:pPr>
              <w:pStyle w:val="TableParagraph"/>
              <w:numPr>
                <w:ilvl w:val="1"/>
                <w:numId w:val="70"/>
              </w:numPr>
              <w:tabs>
                <w:tab w:val="left" w:pos="965"/>
              </w:tabs>
              <w:spacing w:before="178"/>
              <w:ind w:left="965" w:hanging="314"/>
              <w:rPr>
                <w:rFonts w:ascii="Arial"/>
                <w:sz w:val="18"/>
              </w:rPr>
            </w:pPr>
            <w:r>
              <w:rPr>
                <w:w w:val="105"/>
                <w:sz w:val="20"/>
              </w:rPr>
              <w:t>Pathogenic care as evidenced by at least one of the</w:t>
            </w:r>
            <w:r>
              <w:rPr>
                <w:spacing w:val="-32"/>
                <w:w w:val="105"/>
                <w:sz w:val="20"/>
              </w:rPr>
              <w:t xml:space="preserve"> </w:t>
            </w:r>
            <w:r>
              <w:rPr>
                <w:w w:val="105"/>
                <w:sz w:val="20"/>
              </w:rPr>
              <w:t>following:</w:t>
            </w:r>
          </w:p>
          <w:p w:rsidR="00E675F0" w:rsidRDefault="00E675F0" w:rsidP="003048D3">
            <w:pPr>
              <w:pStyle w:val="TableParagraph"/>
              <w:numPr>
                <w:ilvl w:val="2"/>
                <w:numId w:val="70"/>
              </w:numPr>
              <w:tabs>
                <w:tab w:val="left" w:pos="1397"/>
                <w:tab w:val="left" w:pos="1398"/>
              </w:tabs>
              <w:spacing w:before="68" w:line="256" w:lineRule="auto"/>
              <w:ind w:right="224" w:hanging="428"/>
              <w:rPr>
                <w:sz w:val="18"/>
              </w:rPr>
            </w:pPr>
            <w:r>
              <w:rPr>
                <w:w w:val="105"/>
                <w:sz w:val="20"/>
              </w:rPr>
              <w:t>persistent disregard of the child's basic emotional needs for com­ fort, stimulation, and</w:t>
            </w:r>
            <w:r>
              <w:rPr>
                <w:spacing w:val="-17"/>
                <w:w w:val="105"/>
                <w:sz w:val="20"/>
              </w:rPr>
              <w:t xml:space="preserve"> </w:t>
            </w:r>
            <w:r>
              <w:rPr>
                <w:w w:val="105"/>
                <w:sz w:val="20"/>
              </w:rPr>
              <w:t>affection</w:t>
            </w:r>
          </w:p>
          <w:p w:rsidR="00E675F0" w:rsidRDefault="00E675F0" w:rsidP="003048D3">
            <w:pPr>
              <w:pStyle w:val="TableParagraph"/>
              <w:numPr>
                <w:ilvl w:val="2"/>
                <w:numId w:val="70"/>
              </w:numPr>
              <w:tabs>
                <w:tab w:val="left" w:pos="1397"/>
                <w:tab w:val="left" w:pos="1398"/>
              </w:tabs>
              <w:spacing w:line="223" w:lineRule="exact"/>
              <w:ind w:left="1397" w:hanging="438"/>
              <w:rPr>
                <w:sz w:val="18"/>
              </w:rPr>
            </w:pPr>
            <w:r>
              <w:rPr>
                <w:w w:val="105"/>
                <w:sz w:val="20"/>
              </w:rPr>
              <w:t>persistent disregard of the child's basic physical</w:t>
            </w:r>
            <w:r>
              <w:rPr>
                <w:spacing w:val="-28"/>
                <w:w w:val="105"/>
                <w:sz w:val="20"/>
              </w:rPr>
              <w:t xml:space="preserve"> </w:t>
            </w:r>
            <w:r>
              <w:rPr>
                <w:w w:val="105"/>
                <w:sz w:val="20"/>
              </w:rPr>
              <w:t>needs</w:t>
            </w:r>
          </w:p>
          <w:p w:rsidR="00E675F0" w:rsidRDefault="00E675F0" w:rsidP="003048D3">
            <w:pPr>
              <w:pStyle w:val="TableParagraph"/>
              <w:numPr>
                <w:ilvl w:val="2"/>
                <w:numId w:val="70"/>
              </w:numPr>
              <w:tabs>
                <w:tab w:val="left" w:pos="1395"/>
              </w:tabs>
              <w:spacing w:before="15" w:line="244" w:lineRule="auto"/>
              <w:ind w:left="1386" w:right="235" w:hanging="421"/>
              <w:rPr>
                <w:sz w:val="18"/>
              </w:rPr>
            </w:pPr>
            <w:r>
              <w:rPr>
                <w:w w:val="105"/>
                <w:sz w:val="20"/>
              </w:rPr>
              <w:t>repeated changes of primary caregiver that prevent formation of stable attachments (e.g., frequent changes in foster</w:t>
            </w:r>
            <w:r>
              <w:rPr>
                <w:spacing w:val="-8"/>
                <w:w w:val="105"/>
                <w:sz w:val="20"/>
              </w:rPr>
              <w:t xml:space="preserve"> </w:t>
            </w:r>
            <w:r>
              <w:rPr>
                <w:w w:val="105"/>
                <w:sz w:val="20"/>
              </w:rPr>
              <w:t>care)</w:t>
            </w:r>
          </w:p>
          <w:p w:rsidR="00E675F0" w:rsidRDefault="00E675F0" w:rsidP="003048D3">
            <w:pPr>
              <w:pStyle w:val="TableParagraph"/>
              <w:numPr>
                <w:ilvl w:val="1"/>
                <w:numId w:val="70"/>
              </w:numPr>
              <w:tabs>
                <w:tab w:val="left" w:pos="958"/>
              </w:tabs>
              <w:spacing w:before="189" w:line="252" w:lineRule="auto"/>
              <w:ind w:left="966" w:right="221" w:hanging="305"/>
              <w:jc w:val="both"/>
              <w:rPr>
                <w:sz w:val="20"/>
              </w:rPr>
            </w:pPr>
            <w:r>
              <w:rPr>
                <w:w w:val="105"/>
                <w:sz w:val="20"/>
              </w:rPr>
              <w:t xml:space="preserve">There is a presumption that the care in Criterion C is responsible for the disturbed behavior in Criterion </w:t>
            </w:r>
            <w:r>
              <w:rPr>
                <w:w w:val="105"/>
                <w:sz w:val="17"/>
              </w:rPr>
              <w:t xml:space="preserve">A </w:t>
            </w:r>
            <w:r>
              <w:rPr>
                <w:w w:val="105"/>
                <w:sz w:val="20"/>
              </w:rPr>
              <w:t xml:space="preserve">(e.g., the disturbances in Criterion </w:t>
            </w:r>
            <w:r>
              <w:rPr>
                <w:w w:val="105"/>
                <w:sz w:val="17"/>
              </w:rPr>
              <w:t xml:space="preserve">A </w:t>
            </w:r>
            <w:r>
              <w:rPr>
                <w:w w:val="105"/>
                <w:sz w:val="20"/>
              </w:rPr>
              <w:t>began following the pathogenic care in Criterion</w:t>
            </w:r>
            <w:r>
              <w:rPr>
                <w:spacing w:val="33"/>
                <w:w w:val="105"/>
                <w:sz w:val="20"/>
              </w:rPr>
              <w:t xml:space="preserve"> </w:t>
            </w:r>
            <w:r>
              <w:rPr>
                <w:w w:val="105"/>
                <w:sz w:val="20"/>
              </w:rPr>
              <w:t>C).</w:t>
            </w:r>
          </w:p>
          <w:p w:rsidR="00E675F0" w:rsidRDefault="00E675F0" w:rsidP="00A330E1">
            <w:pPr>
              <w:pStyle w:val="TableParagraph"/>
              <w:spacing w:before="165"/>
              <w:ind w:left="423"/>
              <w:rPr>
                <w:sz w:val="20"/>
              </w:rPr>
            </w:pPr>
            <w:r>
              <w:rPr>
                <w:i/>
                <w:sz w:val="20"/>
              </w:rPr>
              <w:t xml:space="preserve">Specify </w:t>
            </w:r>
            <w:r>
              <w:rPr>
                <w:sz w:val="20"/>
              </w:rPr>
              <w:t>type:</w:t>
            </w:r>
          </w:p>
          <w:p w:rsidR="00E675F0" w:rsidRDefault="00E675F0" w:rsidP="00A330E1">
            <w:pPr>
              <w:pStyle w:val="TableParagraph"/>
              <w:spacing w:before="11"/>
              <w:ind w:left="661"/>
              <w:rPr>
                <w:sz w:val="20"/>
              </w:rPr>
            </w:pPr>
            <w:r>
              <w:rPr>
                <w:b/>
                <w:w w:val="105"/>
                <w:sz w:val="20"/>
              </w:rPr>
              <w:t xml:space="preserve">Inhibited Type:   </w:t>
            </w:r>
            <w:r>
              <w:rPr>
                <w:w w:val="105"/>
                <w:sz w:val="20"/>
              </w:rPr>
              <w:t xml:space="preserve">if Criterion </w:t>
            </w:r>
            <w:r>
              <w:rPr>
                <w:w w:val="105"/>
                <w:sz w:val="18"/>
              </w:rPr>
              <w:t xml:space="preserve">Al   </w:t>
            </w:r>
            <w:r>
              <w:rPr>
                <w:w w:val="105"/>
                <w:sz w:val="20"/>
              </w:rPr>
              <w:t>predominates in the clinical</w:t>
            </w:r>
            <w:r>
              <w:rPr>
                <w:spacing w:val="46"/>
                <w:w w:val="105"/>
                <w:sz w:val="20"/>
              </w:rPr>
              <w:t xml:space="preserve"> </w:t>
            </w:r>
            <w:r>
              <w:rPr>
                <w:w w:val="105"/>
                <w:sz w:val="20"/>
              </w:rPr>
              <w:t>presentation</w:t>
            </w:r>
          </w:p>
          <w:p w:rsidR="00E675F0" w:rsidRDefault="00E675F0" w:rsidP="00A330E1">
            <w:pPr>
              <w:pStyle w:val="TableParagraph"/>
              <w:spacing w:before="15"/>
              <w:ind w:left="667"/>
              <w:rPr>
                <w:sz w:val="20"/>
              </w:rPr>
            </w:pPr>
            <w:r>
              <w:rPr>
                <w:b/>
                <w:sz w:val="20"/>
              </w:rPr>
              <w:t xml:space="preserve">Disinhibited Type:   </w:t>
            </w:r>
            <w:r>
              <w:rPr>
                <w:sz w:val="20"/>
              </w:rPr>
              <w:t>if Criterion  A2 predominates  in the clinical</w:t>
            </w:r>
            <w:r>
              <w:rPr>
                <w:spacing w:val="14"/>
                <w:sz w:val="20"/>
              </w:rPr>
              <w:t xml:space="preserve"> </w:t>
            </w:r>
            <w:r>
              <w:rPr>
                <w:sz w:val="20"/>
              </w:rPr>
              <w:t>presentation</w:t>
            </w:r>
          </w:p>
        </w:tc>
      </w:tr>
    </w:tbl>
    <w:p w:rsidR="00E675F0" w:rsidRDefault="00E675F0" w:rsidP="00E675F0">
      <w:pPr>
        <w:pStyle w:val="BodyText"/>
      </w:pPr>
    </w:p>
    <w:p w:rsidR="00E675F0" w:rsidRDefault="00E675F0" w:rsidP="00E675F0">
      <w:pPr>
        <w:pStyle w:val="BodyText"/>
        <w:spacing w:before="6"/>
        <w:rPr>
          <w:sz w:val="23"/>
        </w:rPr>
      </w:pPr>
    </w:p>
    <w:p w:rsidR="00E675F0" w:rsidRDefault="00E675F0" w:rsidP="00E675F0">
      <w:pPr>
        <w:tabs>
          <w:tab w:val="left" w:pos="925"/>
        </w:tabs>
        <w:spacing w:before="92" w:line="297" w:lineRule="exact"/>
        <w:ind w:left="6"/>
        <w:jc w:val="center"/>
        <w:rPr>
          <w:rFonts w:ascii="Arial"/>
          <w:b/>
          <w:sz w:val="26"/>
        </w:rPr>
      </w:pPr>
      <w:r>
        <w:rPr>
          <w:noProof/>
        </w:rPr>
        <mc:AlternateContent>
          <mc:Choice Requires="wps">
            <w:drawing>
              <wp:anchor distT="0" distB="0" distL="114300" distR="114300" simplePos="0" relativeHeight="251694080" behindDoc="0" locked="0" layoutInCell="1" allowOverlap="1" wp14:anchorId="36C3909C" wp14:editId="078F72C3">
                <wp:simplePos x="0" y="0"/>
                <wp:positionH relativeFrom="page">
                  <wp:posOffset>466090</wp:posOffset>
                </wp:positionH>
                <wp:positionV relativeFrom="paragraph">
                  <wp:posOffset>-335915</wp:posOffset>
                </wp:positionV>
                <wp:extent cx="4765040" cy="0"/>
                <wp:effectExtent l="0" t="12700" r="22860" b="12700"/>
                <wp:wrapNone/>
                <wp:docPr id="1499" name="Line 14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765040" cy="0"/>
                        </a:xfrm>
                        <a:prstGeom prst="line">
                          <a:avLst/>
                        </a:prstGeom>
                        <a:noFill/>
                        <a:ln w="3662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9D18F2" id="Line 1455" o:spid="_x0000_s1026" style="position:absolute;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7pt,-26.45pt" to="411.9pt,-26.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" strokeweight="1.0174mm">
                <o:lock v:ext="edit" shapetype="f"/>
                <w10:wrap anchorx="page"/>
              </v:line>
            </w:pict>
          </mc:Fallback>
        </mc:AlternateContent>
      </w:r>
      <w:r>
        <w:rPr>
          <w:rFonts w:ascii="Arial"/>
          <w:b/>
          <w:w w:val="105"/>
          <w:sz w:val="26"/>
        </w:rPr>
        <w:t>307.3</w:t>
      </w:r>
      <w:r>
        <w:rPr>
          <w:rFonts w:ascii="Arial"/>
          <w:b/>
          <w:w w:val="105"/>
          <w:sz w:val="26"/>
        </w:rPr>
        <w:tab/>
        <w:t>Stereotypic Movement</w:t>
      </w:r>
      <w:r>
        <w:rPr>
          <w:rFonts w:ascii="Arial"/>
          <w:b/>
          <w:spacing w:val="2"/>
          <w:w w:val="105"/>
          <w:sz w:val="26"/>
        </w:rPr>
        <w:t xml:space="preserve"> </w:t>
      </w:r>
      <w:r>
        <w:rPr>
          <w:rFonts w:ascii="Arial"/>
          <w:b/>
          <w:w w:val="105"/>
          <w:sz w:val="26"/>
        </w:rPr>
        <w:t>Disorder</w:t>
      </w:r>
    </w:p>
    <w:p w:rsidR="00E675F0" w:rsidRDefault="00E675F0" w:rsidP="00E675F0">
      <w:pPr>
        <w:spacing w:line="308" w:lineRule="exact"/>
        <w:ind w:left="1195" w:right="1189"/>
        <w:jc w:val="center"/>
        <w:rPr>
          <w:rFonts w:ascii="Arial"/>
          <w:b/>
          <w:sz w:val="26"/>
        </w:rPr>
      </w:pPr>
      <w:r>
        <w:rPr>
          <w:rFonts w:ascii="TimesNewRomanPS-BoldItalicMT"/>
          <w:b/>
          <w:i/>
          <w:w w:val="105"/>
          <w:sz w:val="27"/>
        </w:rPr>
        <w:t xml:space="preserve">(formerly </w:t>
      </w:r>
      <w:r>
        <w:rPr>
          <w:rFonts w:ascii="Arial"/>
          <w:b/>
          <w:w w:val="105"/>
          <w:sz w:val="26"/>
        </w:rPr>
        <w:t>Stereotypy/Habit Disorder)</w:t>
      </w:r>
    </w:p>
    <w:p w:rsidR="00E675F0" w:rsidRDefault="00E675F0" w:rsidP="00E675F0">
      <w:pPr>
        <w:pStyle w:val="BodyText"/>
        <w:spacing w:before="7"/>
        <w:rPr>
          <w:rFonts w:ascii="Arial"/>
          <w:b/>
          <w:sz w:val="35"/>
        </w:rPr>
      </w:pPr>
    </w:p>
    <w:p w:rsidR="00E675F0" w:rsidRDefault="00E675F0" w:rsidP="00E675F0">
      <w:pPr>
        <w:ind w:left="116"/>
        <w:jc w:val="both"/>
        <w:rPr>
          <w:rFonts w:ascii="TimesNewRomanPS-BoldItalicMT"/>
          <w:b/>
          <w:i/>
          <w:sz w:val="25"/>
        </w:rPr>
      </w:pPr>
      <w:r>
        <w:rPr>
          <w:rFonts w:ascii="TimesNewRomanPS-BoldItalicMT"/>
          <w:b/>
          <w:i/>
          <w:w w:val="115"/>
          <w:sz w:val="25"/>
        </w:rPr>
        <w:t>magnostic Features</w:t>
      </w:r>
    </w:p>
    <w:p w:rsidR="00E675F0" w:rsidRDefault="00E675F0" w:rsidP="00E675F0">
      <w:pPr>
        <w:pStyle w:val="BodyText"/>
        <w:spacing w:before="163" w:line="252" w:lineRule="auto"/>
        <w:ind w:left="133" w:right="125" w:firstLine="3"/>
        <w:jc w:val="both"/>
      </w:pPr>
      <w:r>
        <w:rPr>
          <w:w w:val="105"/>
        </w:rPr>
        <w:t>The essential feature of Stereotypic Movement Disorder is motor behavior that is repetitive, often seemingly driven, and nonfunctional (Criterion A). This motor behavior markedly interferes with normal activities or results in self-inflicted bodily injury that is significant enough to require medical treatment (or would result in such injury if</w:t>
      </w:r>
    </w:p>
    <w:p w:rsidR="00E675F0" w:rsidRDefault="00E675F0" w:rsidP="00E675F0">
      <w:pPr>
        <w:spacing w:line="252" w:lineRule="auto"/>
        <w:jc w:val="both"/>
        <w:sectPr w:rsidR="00E675F0">
          <w:pgSz w:w="8960" w:h="14260"/>
          <w:pgMar w:top="1400" w:right="600" w:bottom="280" w:left="600" w:header="690" w:footer="0" w:gutter="0"/>
          <w:cols w:space="720"/>
        </w:sectPr>
      </w:pPr>
    </w:p>
    <w:p w:rsidR="00E675F0" w:rsidRDefault="00E675F0" w:rsidP="00E675F0">
      <w:pPr>
        <w:pStyle w:val="BodyText"/>
        <w:spacing w:before="124" w:line="252" w:lineRule="auto"/>
        <w:ind w:left="130" w:right="105" w:firstLine="10"/>
        <w:jc w:val="both"/>
      </w:pPr>
      <w:r>
        <w:rPr>
          <w:w w:val="105"/>
        </w:rPr>
        <w:lastRenderedPageBreak/>
        <w:t>protective measures were not used) (Criterion B). If Mental Retardation is present, the stereotypic</w:t>
      </w:r>
      <w:r>
        <w:rPr>
          <w:spacing w:val="-3"/>
          <w:w w:val="105"/>
        </w:rPr>
        <w:t xml:space="preserve"> </w:t>
      </w:r>
      <w:r>
        <w:rPr>
          <w:w w:val="105"/>
        </w:rPr>
        <w:t>or</w:t>
      </w:r>
      <w:r>
        <w:rPr>
          <w:spacing w:val="-12"/>
          <w:w w:val="105"/>
        </w:rPr>
        <w:t xml:space="preserve"> </w:t>
      </w:r>
      <w:r>
        <w:rPr>
          <w:w w:val="105"/>
        </w:rPr>
        <w:t>self-injurious</w:t>
      </w:r>
      <w:r>
        <w:rPr>
          <w:spacing w:val="-15"/>
          <w:w w:val="105"/>
        </w:rPr>
        <w:t xml:space="preserve"> </w:t>
      </w:r>
      <w:r>
        <w:rPr>
          <w:w w:val="105"/>
        </w:rPr>
        <w:t>behavior</w:t>
      </w:r>
      <w:r>
        <w:rPr>
          <w:spacing w:val="-1"/>
          <w:w w:val="105"/>
        </w:rPr>
        <w:t xml:space="preserve"> </w:t>
      </w:r>
      <w:r>
        <w:rPr>
          <w:w w:val="105"/>
        </w:rPr>
        <w:t>is</w:t>
      </w:r>
      <w:r>
        <w:rPr>
          <w:spacing w:val="-20"/>
          <w:w w:val="105"/>
        </w:rPr>
        <w:t xml:space="preserve"> </w:t>
      </w:r>
      <w:r>
        <w:rPr>
          <w:w w:val="105"/>
        </w:rPr>
        <w:t>sufficiently</w:t>
      </w:r>
      <w:r>
        <w:rPr>
          <w:spacing w:val="-13"/>
          <w:w w:val="105"/>
        </w:rPr>
        <w:t xml:space="preserve"> </w:t>
      </w:r>
      <w:r>
        <w:rPr>
          <w:w w:val="105"/>
        </w:rPr>
        <w:t>severe</w:t>
      </w:r>
      <w:r>
        <w:rPr>
          <w:spacing w:val="-8"/>
          <w:w w:val="105"/>
        </w:rPr>
        <w:t xml:space="preserve"> </w:t>
      </w:r>
      <w:r>
        <w:rPr>
          <w:w w:val="105"/>
        </w:rPr>
        <w:t>to</w:t>
      </w:r>
      <w:r>
        <w:rPr>
          <w:spacing w:val="-15"/>
          <w:w w:val="105"/>
        </w:rPr>
        <w:t xml:space="preserve"> </w:t>
      </w:r>
      <w:r>
        <w:rPr>
          <w:w w:val="105"/>
        </w:rPr>
        <w:t>become</w:t>
      </w:r>
      <w:r>
        <w:rPr>
          <w:spacing w:val="-9"/>
          <w:w w:val="105"/>
        </w:rPr>
        <w:t xml:space="preserve"> </w:t>
      </w:r>
      <w:r>
        <w:rPr>
          <w:w w:val="105"/>
        </w:rPr>
        <w:t>a</w:t>
      </w:r>
      <w:r>
        <w:rPr>
          <w:spacing w:val="-13"/>
          <w:w w:val="105"/>
        </w:rPr>
        <w:t xml:space="preserve"> </w:t>
      </w:r>
      <w:r>
        <w:rPr>
          <w:w w:val="105"/>
        </w:rPr>
        <w:t>focus</w:t>
      </w:r>
      <w:r>
        <w:rPr>
          <w:spacing w:val="-14"/>
          <w:w w:val="105"/>
        </w:rPr>
        <w:t xml:space="preserve"> </w:t>
      </w:r>
      <w:r>
        <w:rPr>
          <w:w w:val="105"/>
        </w:rPr>
        <w:t>of</w:t>
      </w:r>
      <w:r>
        <w:rPr>
          <w:spacing w:val="-3"/>
          <w:w w:val="105"/>
        </w:rPr>
        <w:t xml:space="preserve"> </w:t>
      </w:r>
      <w:r>
        <w:rPr>
          <w:w w:val="105"/>
        </w:rPr>
        <w:t>treatment (Criterion C). The behavior is not better accounted for by a compulsion (as in Obsessive-Compulsive Disorder), a tic (as in the Tic Disorders), a stereotypy that is part of</w:t>
      </w:r>
      <w:r>
        <w:rPr>
          <w:spacing w:val="-10"/>
          <w:w w:val="105"/>
        </w:rPr>
        <w:t xml:space="preserve"> </w:t>
      </w:r>
      <w:r>
        <w:rPr>
          <w:w w:val="105"/>
        </w:rPr>
        <w:t>a</w:t>
      </w:r>
      <w:r>
        <w:rPr>
          <w:spacing w:val="-10"/>
          <w:w w:val="105"/>
        </w:rPr>
        <w:t xml:space="preserve"> </w:t>
      </w:r>
      <w:r>
        <w:rPr>
          <w:w w:val="105"/>
        </w:rPr>
        <w:t>Pervasive</w:t>
      </w:r>
      <w:r>
        <w:rPr>
          <w:spacing w:val="-5"/>
          <w:w w:val="105"/>
        </w:rPr>
        <w:t xml:space="preserve"> </w:t>
      </w:r>
      <w:r>
        <w:rPr>
          <w:w w:val="105"/>
        </w:rPr>
        <w:t>Developmental</w:t>
      </w:r>
      <w:r>
        <w:rPr>
          <w:spacing w:val="-3"/>
          <w:w w:val="105"/>
        </w:rPr>
        <w:t xml:space="preserve"> </w:t>
      </w:r>
      <w:r>
        <w:rPr>
          <w:w w:val="105"/>
        </w:rPr>
        <w:t>Disorder,</w:t>
      </w:r>
      <w:r>
        <w:rPr>
          <w:spacing w:val="-8"/>
          <w:w w:val="105"/>
        </w:rPr>
        <w:t xml:space="preserve"> </w:t>
      </w:r>
      <w:r>
        <w:rPr>
          <w:w w:val="105"/>
        </w:rPr>
        <w:t>or</w:t>
      </w:r>
      <w:r>
        <w:rPr>
          <w:spacing w:val="-14"/>
          <w:w w:val="105"/>
        </w:rPr>
        <w:t xml:space="preserve"> </w:t>
      </w:r>
      <w:r>
        <w:rPr>
          <w:w w:val="105"/>
        </w:rPr>
        <w:t>hair</w:t>
      </w:r>
      <w:r>
        <w:rPr>
          <w:spacing w:val="-5"/>
          <w:w w:val="105"/>
        </w:rPr>
        <w:t xml:space="preserve"> </w:t>
      </w:r>
      <w:r>
        <w:rPr>
          <w:w w:val="105"/>
        </w:rPr>
        <w:t>pulling</w:t>
      </w:r>
      <w:r>
        <w:rPr>
          <w:spacing w:val="-14"/>
          <w:w w:val="105"/>
        </w:rPr>
        <w:t xml:space="preserve"> </w:t>
      </w:r>
      <w:r>
        <w:rPr>
          <w:w w:val="105"/>
        </w:rPr>
        <w:t>(as</w:t>
      </w:r>
      <w:r>
        <w:rPr>
          <w:spacing w:val="-21"/>
          <w:w w:val="105"/>
        </w:rPr>
        <w:t xml:space="preserve"> </w:t>
      </w:r>
      <w:r>
        <w:rPr>
          <w:w w:val="105"/>
        </w:rPr>
        <w:t>in</w:t>
      </w:r>
      <w:r>
        <w:rPr>
          <w:spacing w:val="-24"/>
          <w:w w:val="105"/>
        </w:rPr>
        <w:t xml:space="preserve"> </w:t>
      </w:r>
      <w:r>
        <w:rPr>
          <w:w w:val="105"/>
        </w:rPr>
        <w:t>Trichotillomania)</w:t>
      </w:r>
      <w:r>
        <w:rPr>
          <w:spacing w:val="-18"/>
          <w:w w:val="105"/>
        </w:rPr>
        <w:t xml:space="preserve"> </w:t>
      </w:r>
      <w:r>
        <w:rPr>
          <w:w w:val="105"/>
        </w:rPr>
        <w:t>(Criterion D). The behavior is also not due to the direct physiological effects of a substance or a general medical condition  (Criterion  E). The motor  behaviors must  persist for at least 4 weeks (Criterion</w:t>
      </w:r>
      <w:r>
        <w:rPr>
          <w:spacing w:val="44"/>
          <w:w w:val="105"/>
        </w:rPr>
        <w:t xml:space="preserve"> </w:t>
      </w:r>
      <w:r>
        <w:rPr>
          <w:w w:val="105"/>
        </w:rPr>
        <w:t>F).</w:t>
      </w:r>
    </w:p>
    <w:p w:rsidR="00E675F0" w:rsidRDefault="00E675F0" w:rsidP="00E675F0">
      <w:pPr>
        <w:pStyle w:val="BodyText"/>
        <w:spacing w:before="5" w:line="254" w:lineRule="auto"/>
        <w:ind w:left="132" w:right="123" w:firstLine="357"/>
        <w:jc w:val="both"/>
      </w:pPr>
      <w:r>
        <w:rPr>
          <w:w w:val="105"/>
        </w:rPr>
        <w:t>The stereotypic movements may include hand waving, rocking, playing with hands, fiddling</w:t>
      </w:r>
      <w:r>
        <w:rPr>
          <w:spacing w:val="-7"/>
          <w:w w:val="105"/>
        </w:rPr>
        <w:t xml:space="preserve"> </w:t>
      </w:r>
      <w:r>
        <w:rPr>
          <w:w w:val="105"/>
        </w:rPr>
        <w:t>with</w:t>
      </w:r>
      <w:r>
        <w:rPr>
          <w:spacing w:val="-10"/>
          <w:w w:val="105"/>
        </w:rPr>
        <w:t xml:space="preserve"> </w:t>
      </w:r>
      <w:r>
        <w:rPr>
          <w:w w:val="105"/>
        </w:rPr>
        <w:t>fingers,</w:t>
      </w:r>
      <w:r>
        <w:rPr>
          <w:spacing w:val="-1"/>
          <w:w w:val="105"/>
        </w:rPr>
        <w:t xml:space="preserve"> </w:t>
      </w:r>
      <w:r>
        <w:rPr>
          <w:w w:val="105"/>
        </w:rPr>
        <w:t>twirling</w:t>
      </w:r>
      <w:r>
        <w:rPr>
          <w:spacing w:val="-9"/>
          <w:w w:val="105"/>
        </w:rPr>
        <w:t xml:space="preserve"> </w:t>
      </w:r>
      <w:r>
        <w:rPr>
          <w:w w:val="105"/>
        </w:rPr>
        <w:t>objects,</w:t>
      </w:r>
      <w:r>
        <w:rPr>
          <w:spacing w:val="-1"/>
          <w:w w:val="105"/>
        </w:rPr>
        <w:t xml:space="preserve"> </w:t>
      </w:r>
      <w:r>
        <w:rPr>
          <w:w w:val="105"/>
        </w:rPr>
        <w:t>head</w:t>
      </w:r>
      <w:r>
        <w:rPr>
          <w:spacing w:val="-4"/>
          <w:w w:val="105"/>
        </w:rPr>
        <w:t xml:space="preserve"> </w:t>
      </w:r>
      <w:r>
        <w:rPr>
          <w:w w:val="105"/>
        </w:rPr>
        <w:t>banging,</w:t>
      </w:r>
      <w:r>
        <w:rPr>
          <w:spacing w:val="-8"/>
          <w:w w:val="105"/>
        </w:rPr>
        <w:t xml:space="preserve"> </w:t>
      </w:r>
      <w:r>
        <w:rPr>
          <w:w w:val="105"/>
        </w:rPr>
        <w:t>self-biting,</w:t>
      </w:r>
      <w:r>
        <w:rPr>
          <w:spacing w:val="13"/>
          <w:w w:val="105"/>
        </w:rPr>
        <w:t xml:space="preserve"> </w:t>
      </w:r>
      <w:r>
        <w:rPr>
          <w:w w:val="105"/>
        </w:rPr>
        <w:t>picking</w:t>
      </w:r>
      <w:r>
        <w:rPr>
          <w:spacing w:val="-10"/>
          <w:w w:val="105"/>
        </w:rPr>
        <w:t xml:space="preserve"> </w:t>
      </w:r>
      <w:r>
        <w:rPr>
          <w:w w:val="105"/>
        </w:rPr>
        <w:t>at</w:t>
      </w:r>
      <w:r>
        <w:rPr>
          <w:spacing w:val="-17"/>
          <w:w w:val="105"/>
        </w:rPr>
        <w:t xml:space="preserve"> </w:t>
      </w:r>
      <w:r>
        <w:rPr>
          <w:w w:val="105"/>
        </w:rPr>
        <w:t>skin</w:t>
      </w:r>
      <w:r>
        <w:rPr>
          <w:spacing w:val="-9"/>
          <w:w w:val="105"/>
        </w:rPr>
        <w:t xml:space="preserve"> </w:t>
      </w:r>
      <w:r>
        <w:rPr>
          <w:w w:val="105"/>
        </w:rPr>
        <w:t>or</w:t>
      </w:r>
      <w:r>
        <w:rPr>
          <w:spacing w:val="-2"/>
          <w:w w:val="105"/>
        </w:rPr>
        <w:t xml:space="preserve"> </w:t>
      </w:r>
      <w:r>
        <w:rPr>
          <w:w w:val="105"/>
        </w:rPr>
        <w:t>bodily orifices, or hitting various parts of one's own body. Sometimes the individual uses an object in performing these behaviors. The behaviors may cause permanent and disabling tissue damage and may sometimes be life-threatening. For instance, severe head banging or hitting may lead to cuts, bleeding, infection, retinal detachment, and</w:t>
      </w:r>
      <w:r>
        <w:rPr>
          <w:spacing w:val="24"/>
          <w:w w:val="105"/>
        </w:rPr>
        <w:t xml:space="preserve"> </w:t>
      </w:r>
      <w:r>
        <w:rPr>
          <w:w w:val="105"/>
        </w:rPr>
        <w:t>blindness.</w:t>
      </w:r>
    </w:p>
    <w:p w:rsidR="00E675F0" w:rsidRDefault="00E675F0" w:rsidP="00E675F0">
      <w:pPr>
        <w:pStyle w:val="BodyText"/>
        <w:rPr>
          <w:sz w:val="22"/>
        </w:rPr>
      </w:pPr>
    </w:p>
    <w:p w:rsidR="00E675F0" w:rsidRDefault="00E675F0" w:rsidP="00E675F0">
      <w:pPr>
        <w:pStyle w:val="BodyText"/>
        <w:spacing w:before="1"/>
        <w:rPr>
          <w:sz w:val="18"/>
        </w:rPr>
      </w:pPr>
    </w:p>
    <w:p w:rsidR="00E675F0" w:rsidRDefault="00E675F0" w:rsidP="00E675F0">
      <w:pPr>
        <w:ind w:left="131"/>
        <w:rPr>
          <w:rFonts w:ascii="TimesNewRomanPS-BoldItalicMT"/>
          <w:b/>
          <w:i/>
          <w:sz w:val="24"/>
        </w:rPr>
      </w:pPr>
      <w:r>
        <w:rPr>
          <w:rFonts w:ascii="TimesNewRomanPS-BoldItalicMT"/>
          <w:b/>
          <w:i/>
          <w:w w:val="115"/>
          <w:sz w:val="24"/>
        </w:rPr>
        <w:t>Specifiers</w:t>
      </w:r>
    </w:p>
    <w:p w:rsidR="00E675F0" w:rsidRDefault="00E675F0" w:rsidP="00E675F0">
      <w:pPr>
        <w:pStyle w:val="BodyText"/>
        <w:spacing w:before="156" w:line="256" w:lineRule="auto"/>
        <w:ind w:left="133" w:right="113"/>
        <w:jc w:val="both"/>
      </w:pPr>
      <w:r>
        <w:rPr>
          <w:w w:val="110"/>
        </w:rPr>
        <w:t>The</w:t>
      </w:r>
      <w:r>
        <w:rPr>
          <w:spacing w:val="-36"/>
          <w:w w:val="110"/>
        </w:rPr>
        <w:t xml:space="preserve"> </w:t>
      </w:r>
      <w:r>
        <w:rPr>
          <w:w w:val="110"/>
        </w:rPr>
        <w:t>clinician</w:t>
      </w:r>
      <w:r>
        <w:rPr>
          <w:spacing w:val="-30"/>
          <w:w w:val="110"/>
        </w:rPr>
        <w:t xml:space="preserve"> </w:t>
      </w:r>
      <w:r>
        <w:rPr>
          <w:w w:val="110"/>
        </w:rPr>
        <w:t>may</w:t>
      </w:r>
      <w:r>
        <w:rPr>
          <w:spacing w:val="-37"/>
          <w:w w:val="110"/>
        </w:rPr>
        <w:t xml:space="preserve"> </w:t>
      </w:r>
      <w:r>
        <w:rPr>
          <w:w w:val="110"/>
        </w:rPr>
        <w:t>specify</w:t>
      </w:r>
      <w:r>
        <w:rPr>
          <w:spacing w:val="-36"/>
          <w:w w:val="110"/>
        </w:rPr>
        <w:t xml:space="preserve"> </w:t>
      </w:r>
      <w:r>
        <w:rPr>
          <w:b/>
          <w:w w:val="110"/>
        </w:rPr>
        <w:t>WithSelf-InjuriousBehavior</w:t>
      </w:r>
      <w:r>
        <w:rPr>
          <w:b/>
          <w:spacing w:val="-33"/>
          <w:w w:val="110"/>
        </w:rPr>
        <w:t xml:space="preserve"> </w:t>
      </w:r>
      <w:r>
        <w:rPr>
          <w:w w:val="110"/>
        </w:rPr>
        <w:t>if</w:t>
      </w:r>
      <w:r>
        <w:rPr>
          <w:spacing w:val="-32"/>
          <w:w w:val="110"/>
        </w:rPr>
        <w:t xml:space="preserve"> </w:t>
      </w:r>
      <w:r>
        <w:rPr>
          <w:w w:val="110"/>
        </w:rPr>
        <w:t>the</w:t>
      </w:r>
      <w:r>
        <w:rPr>
          <w:spacing w:val="-33"/>
          <w:w w:val="110"/>
        </w:rPr>
        <w:t xml:space="preserve"> </w:t>
      </w:r>
      <w:r>
        <w:rPr>
          <w:w w:val="110"/>
        </w:rPr>
        <w:t>behavior</w:t>
      </w:r>
      <w:r>
        <w:rPr>
          <w:spacing w:val="-29"/>
          <w:w w:val="110"/>
        </w:rPr>
        <w:t xml:space="preserve"> </w:t>
      </w:r>
      <w:r>
        <w:rPr>
          <w:w w:val="110"/>
        </w:rPr>
        <w:t>results</w:t>
      </w:r>
      <w:r>
        <w:rPr>
          <w:spacing w:val="-35"/>
          <w:w w:val="110"/>
        </w:rPr>
        <w:t xml:space="preserve"> </w:t>
      </w:r>
      <w:r>
        <w:rPr>
          <w:w w:val="110"/>
        </w:rPr>
        <w:t>in</w:t>
      </w:r>
      <w:r>
        <w:rPr>
          <w:spacing w:val="-33"/>
          <w:w w:val="110"/>
        </w:rPr>
        <w:t xml:space="preserve"> </w:t>
      </w:r>
      <w:r>
        <w:rPr>
          <w:w w:val="110"/>
        </w:rPr>
        <w:t>bodily damage that requires specific treatment (or that would result in bodily damage if protective measures were not</w:t>
      </w:r>
      <w:r>
        <w:rPr>
          <w:spacing w:val="49"/>
          <w:w w:val="110"/>
        </w:rPr>
        <w:t xml:space="preserve"> </w:t>
      </w:r>
      <w:r>
        <w:rPr>
          <w:w w:val="110"/>
        </w:rPr>
        <w:t>used).</w:t>
      </w:r>
    </w:p>
    <w:p w:rsidR="00E675F0" w:rsidRDefault="00E675F0" w:rsidP="00E675F0">
      <w:pPr>
        <w:pStyle w:val="BodyText"/>
        <w:rPr>
          <w:sz w:val="22"/>
        </w:rPr>
      </w:pPr>
    </w:p>
    <w:p w:rsidR="00E675F0" w:rsidRDefault="00E675F0" w:rsidP="00E675F0">
      <w:pPr>
        <w:pStyle w:val="BodyText"/>
        <w:spacing w:before="11"/>
        <w:rPr>
          <w:sz w:val="17"/>
        </w:rPr>
      </w:pPr>
    </w:p>
    <w:p w:rsidR="00E675F0" w:rsidRDefault="00E675F0" w:rsidP="00E675F0">
      <w:pPr>
        <w:ind w:left="115"/>
        <w:rPr>
          <w:rFonts w:ascii="TimesNewRomanPS-BoldItalicMT"/>
          <w:b/>
          <w:i/>
          <w:sz w:val="24"/>
        </w:rPr>
      </w:pPr>
      <w:r>
        <w:rPr>
          <w:rFonts w:ascii="TimesNewRomanPS-BoldItalicMT"/>
          <w:b/>
          <w:i/>
          <w:w w:val="115"/>
          <w:sz w:val="24"/>
        </w:rPr>
        <w:t>Associated Features and Disorders</w:t>
      </w:r>
    </w:p>
    <w:p w:rsidR="00E675F0" w:rsidRDefault="00E675F0" w:rsidP="00E675F0">
      <w:pPr>
        <w:pStyle w:val="BodyText"/>
        <w:spacing w:before="180" w:line="252" w:lineRule="auto"/>
        <w:ind w:left="130" w:right="98" w:firstLine="3"/>
        <w:jc w:val="both"/>
      </w:pPr>
      <w:r>
        <w:rPr>
          <w:b/>
          <w:w w:val="105"/>
        </w:rPr>
        <w:t xml:space="preserve">Associated descriptive features and mental disorders.  </w:t>
      </w:r>
      <w:r>
        <w:rPr>
          <w:w w:val="105"/>
        </w:rPr>
        <w:t xml:space="preserve">The  individual  may  de­ velop methods of self-restraint (e.g., holding hands inside shirts, trousers, or in pockets) to attempt to control the self-injurious behaviors. When the self-restraint is interfered with, the behaviors return. </w:t>
      </w:r>
      <w:r>
        <w:rPr>
          <w:rFonts w:ascii="Arial" w:hAnsi="Arial"/>
          <w:w w:val="105"/>
          <w:sz w:val="19"/>
        </w:rPr>
        <w:t xml:space="preserve">If </w:t>
      </w:r>
      <w:r>
        <w:rPr>
          <w:w w:val="105"/>
        </w:rPr>
        <w:t>the behaviors are extreme or repulsive to others, there may be psychosocial complications due to the individual's exclusion from social and community activities. Stereotypic Movement Disorder occurs most commonly in associ­ ation with Mental Retardation. The more severe the retardation, the higher the risk for self-injurious behaviors. This disorder may also occur in association with severe sensory deficits</w:t>
      </w:r>
      <w:r>
        <w:rPr>
          <w:spacing w:val="-6"/>
          <w:w w:val="105"/>
        </w:rPr>
        <w:t xml:space="preserve"> </w:t>
      </w:r>
      <w:r>
        <w:rPr>
          <w:w w:val="105"/>
        </w:rPr>
        <w:t>(blindness</w:t>
      </w:r>
      <w:r>
        <w:rPr>
          <w:spacing w:val="-1"/>
          <w:w w:val="105"/>
        </w:rPr>
        <w:t xml:space="preserve"> </w:t>
      </w:r>
      <w:r>
        <w:rPr>
          <w:w w:val="105"/>
        </w:rPr>
        <w:t>and</w:t>
      </w:r>
      <w:r>
        <w:rPr>
          <w:spacing w:val="-11"/>
          <w:w w:val="105"/>
        </w:rPr>
        <w:t xml:space="preserve"> </w:t>
      </w:r>
      <w:r>
        <w:rPr>
          <w:w w:val="105"/>
        </w:rPr>
        <w:t>deafness)</w:t>
      </w:r>
      <w:r>
        <w:rPr>
          <w:spacing w:val="-10"/>
          <w:w w:val="105"/>
        </w:rPr>
        <w:t xml:space="preserve"> </w:t>
      </w:r>
      <w:r>
        <w:rPr>
          <w:w w:val="105"/>
        </w:rPr>
        <w:t>and</w:t>
      </w:r>
      <w:r>
        <w:rPr>
          <w:spacing w:val="-4"/>
          <w:w w:val="105"/>
        </w:rPr>
        <w:t xml:space="preserve"> </w:t>
      </w:r>
      <w:r>
        <w:rPr>
          <w:w w:val="105"/>
        </w:rPr>
        <w:t>may</w:t>
      </w:r>
      <w:r>
        <w:rPr>
          <w:spacing w:val="-7"/>
          <w:w w:val="105"/>
        </w:rPr>
        <w:t xml:space="preserve"> </w:t>
      </w:r>
      <w:r>
        <w:rPr>
          <w:w w:val="105"/>
        </w:rPr>
        <w:t>be</w:t>
      </w:r>
      <w:r>
        <w:rPr>
          <w:spacing w:val="-12"/>
          <w:w w:val="105"/>
        </w:rPr>
        <w:t xml:space="preserve"> </w:t>
      </w:r>
      <w:r>
        <w:rPr>
          <w:w w:val="105"/>
        </w:rPr>
        <w:t>more</w:t>
      </w:r>
      <w:r>
        <w:rPr>
          <w:spacing w:val="-8"/>
          <w:w w:val="105"/>
        </w:rPr>
        <w:t xml:space="preserve"> </w:t>
      </w:r>
      <w:r>
        <w:rPr>
          <w:w w:val="105"/>
        </w:rPr>
        <w:t>common in</w:t>
      </w:r>
      <w:r>
        <w:rPr>
          <w:spacing w:val="-14"/>
          <w:w w:val="105"/>
        </w:rPr>
        <w:t xml:space="preserve"> </w:t>
      </w:r>
      <w:r>
        <w:rPr>
          <w:w w:val="105"/>
        </w:rPr>
        <w:t>institutional</w:t>
      </w:r>
      <w:r>
        <w:rPr>
          <w:spacing w:val="2"/>
          <w:w w:val="105"/>
        </w:rPr>
        <w:t xml:space="preserve"> </w:t>
      </w:r>
      <w:r>
        <w:rPr>
          <w:w w:val="105"/>
        </w:rPr>
        <w:t>environments in which the individual receives insufficient stimulation. Self-injurious behaviors occur in certain general medical conditions associated with Mental Retardation (e.g., fragile X syndrome, de Lange syndrome, and especially Lesch-Nyhan syndrome, which is characterized by severe</w:t>
      </w:r>
      <w:r>
        <w:rPr>
          <w:spacing w:val="-22"/>
          <w:w w:val="105"/>
        </w:rPr>
        <w:t xml:space="preserve"> </w:t>
      </w:r>
      <w:r>
        <w:rPr>
          <w:w w:val="105"/>
        </w:rPr>
        <w:t>self-biting).</w:t>
      </w:r>
    </w:p>
    <w:p w:rsidR="00E675F0" w:rsidRDefault="00E675F0" w:rsidP="00E675F0">
      <w:pPr>
        <w:pStyle w:val="BodyText"/>
        <w:spacing w:before="8"/>
        <w:rPr>
          <w:sz w:val="26"/>
        </w:rPr>
      </w:pPr>
    </w:p>
    <w:p w:rsidR="00E675F0" w:rsidRDefault="00E675F0" w:rsidP="00E675F0">
      <w:pPr>
        <w:pStyle w:val="BodyText"/>
        <w:spacing w:line="256" w:lineRule="auto"/>
        <w:ind w:left="133" w:right="104" w:hanging="5"/>
        <w:jc w:val="both"/>
      </w:pPr>
      <w:r>
        <w:rPr>
          <w:b/>
          <w:w w:val="105"/>
        </w:rPr>
        <w:t xml:space="preserve">Associated laboratory findings. </w:t>
      </w:r>
      <w:r>
        <w:rPr>
          <w:rFonts w:ascii="Arial"/>
          <w:w w:val="105"/>
          <w:sz w:val="19"/>
        </w:rPr>
        <w:t xml:space="preserve">If </w:t>
      </w:r>
      <w:r>
        <w:rPr>
          <w:w w:val="105"/>
        </w:rPr>
        <w:t>there is self-injury, the laboratory findings will reflect its nature and severity (e.g., anemia may be present if there is a chronic blood  loss from self-inflicted rectal</w:t>
      </w:r>
      <w:r>
        <w:rPr>
          <w:spacing w:val="42"/>
          <w:w w:val="105"/>
        </w:rPr>
        <w:t xml:space="preserve"> </w:t>
      </w:r>
      <w:r>
        <w:rPr>
          <w:w w:val="105"/>
        </w:rPr>
        <w:t>bleeding).</w:t>
      </w:r>
    </w:p>
    <w:p w:rsidR="00E675F0" w:rsidRDefault="00E675F0" w:rsidP="00E675F0">
      <w:pPr>
        <w:pStyle w:val="BodyText"/>
        <w:spacing w:before="6"/>
        <w:rPr>
          <w:sz w:val="26"/>
        </w:rPr>
      </w:pPr>
    </w:p>
    <w:p w:rsidR="00E675F0" w:rsidRDefault="00E675F0" w:rsidP="00E675F0">
      <w:pPr>
        <w:pStyle w:val="BodyText"/>
        <w:spacing w:line="256" w:lineRule="auto"/>
        <w:ind w:left="130" w:right="109" w:hanging="2"/>
        <w:jc w:val="both"/>
      </w:pPr>
      <w:r>
        <w:rPr>
          <w:b/>
          <w:w w:val="105"/>
        </w:rPr>
        <w:t xml:space="preserve">Associated  physical  examination  findings  and  general  medical   conditions. </w:t>
      </w:r>
      <w:r>
        <w:rPr>
          <w:w w:val="105"/>
        </w:rPr>
        <w:t>Signs of chronic tissue damage may be present (e.g., bruises, bite marks, cuts, scratches, skin infections, rectal fissures, foreign bodies in bodily orifices, visual impairment due to eye gouging or traumatic cataract, and fractures or deformed bones). In less severe cases, there may be a chronic skin irritation or calluses from biting, pinching, scratching, or saliva</w:t>
      </w:r>
      <w:r>
        <w:rPr>
          <w:spacing w:val="25"/>
          <w:w w:val="105"/>
        </w:rPr>
        <w:t xml:space="preserve"> </w:t>
      </w:r>
      <w:r>
        <w:rPr>
          <w:w w:val="105"/>
        </w:rPr>
        <w:t>smearing.</w:t>
      </w:r>
    </w:p>
    <w:p w:rsidR="00E675F0" w:rsidRDefault="00E675F0" w:rsidP="00E675F0">
      <w:pPr>
        <w:spacing w:line="256" w:lineRule="auto"/>
        <w:jc w:val="both"/>
        <w:sectPr w:rsidR="00E675F0">
          <w:headerReference w:type="even" r:id="rId134"/>
          <w:headerReference w:type="default" r:id="rId135"/>
          <w:pgSz w:w="8960" w:h="14260"/>
          <w:pgMar w:top="1400" w:right="640" w:bottom="280" w:left="600" w:header="689" w:footer="0" w:gutter="0"/>
          <w:pgNumType w:start="119"/>
          <w:cols w:space="720"/>
        </w:sectPr>
      </w:pPr>
    </w:p>
    <w:p w:rsidR="00E675F0" w:rsidRDefault="00E675F0" w:rsidP="00E675F0">
      <w:pPr>
        <w:spacing w:before="134"/>
        <w:ind w:left="119"/>
        <w:rPr>
          <w:rFonts w:ascii="TimesNewRomanPS-BoldItalicMT"/>
          <w:b/>
          <w:i/>
          <w:sz w:val="24"/>
        </w:rPr>
      </w:pPr>
      <w:r>
        <w:rPr>
          <w:rFonts w:ascii="TimesNewRomanPS-BoldItalicMT"/>
          <w:b/>
          <w:i/>
          <w:w w:val="110"/>
          <w:sz w:val="24"/>
        </w:rPr>
        <w:lastRenderedPageBreak/>
        <w:t>Specific Age and Gender Features</w:t>
      </w:r>
    </w:p>
    <w:p w:rsidR="00E675F0" w:rsidRDefault="00E675F0" w:rsidP="00E675F0">
      <w:pPr>
        <w:pStyle w:val="BodyText"/>
        <w:spacing w:before="141" w:line="256" w:lineRule="auto"/>
        <w:ind w:left="129" w:right="126" w:hanging="9"/>
        <w:jc w:val="both"/>
      </w:pPr>
      <w:r>
        <w:rPr>
          <w:w w:val="105"/>
        </w:rPr>
        <w:t>Self-injurious behaviors occur in individuals of all ages. There are indications that head banging is more prevalent in males (with about a 3:1 ratio), and self-biting may be more prevalent in females.</w:t>
      </w:r>
    </w:p>
    <w:p w:rsidR="00E675F0" w:rsidRDefault="00E675F0" w:rsidP="00E675F0">
      <w:pPr>
        <w:pStyle w:val="BodyText"/>
        <w:rPr>
          <w:sz w:val="22"/>
        </w:rPr>
      </w:pPr>
    </w:p>
    <w:p w:rsidR="00E675F0" w:rsidRDefault="00E675F0" w:rsidP="00E675F0">
      <w:pPr>
        <w:spacing w:before="164"/>
        <w:ind w:left="116"/>
        <w:rPr>
          <w:rFonts w:ascii="TimesNewRomanPS-BoldItalicMT"/>
          <w:b/>
          <w:i/>
          <w:sz w:val="24"/>
        </w:rPr>
      </w:pPr>
      <w:r>
        <w:rPr>
          <w:rFonts w:ascii="TimesNewRomanPS-BoldItalicMT"/>
          <w:b/>
          <w:i/>
          <w:w w:val="115"/>
          <w:sz w:val="24"/>
        </w:rPr>
        <w:t>Prevalence</w:t>
      </w:r>
    </w:p>
    <w:p w:rsidR="00E675F0" w:rsidRDefault="00E675F0" w:rsidP="00E675F0">
      <w:pPr>
        <w:pStyle w:val="BodyText"/>
        <w:spacing w:before="141" w:line="252" w:lineRule="auto"/>
        <w:ind w:left="126" w:right="123" w:hanging="4"/>
        <w:jc w:val="both"/>
      </w:pPr>
      <w:r>
        <w:rPr>
          <w:w w:val="105"/>
        </w:rPr>
        <w:t>There is limited information on the prevalence of Stereotypic Movement Disorder. The estimates</w:t>
      </w:r>
      <w:r>
        <w:rPr>
          <w:spacing w:val="-7"/>
          <w:w w:val="105"/>
        </w:rPr>
        <w:t xml:space="preserve"> </w:t>
      </w:r>
      <w:r>
        <w:rPr>
          <w:w w:val="105"/>
        </w:rPr>
        <w:t>of</w:t>
      </w:r>
      <w:r>
        <w:rPr>
          <w:spacing w:val="-7"/>
          <w:w w:val="105"/>
        </w:rPr>
        <w:t xml:space="preserve"> </w:t>
      </w:r>
      <w:r>
        <w:rPr>
          <w:w w:val="105"/>
        </w:rPr>
        <w:t>prevalence</w:t>
      </w:r>
      <w:r>
        <w:rPr>
          <w:spacing w:val="-11"/>
          <w:w w:val="105"/>
        </w:rPr>
        <w:t xml:space="preserve"> </w:t>
      </w:r>
      <w:r>
        <w:rPr>
          <w:w w:val="105"/>
        </w:rPr>
        <w:t>of</w:t>
      </w:r>
      <w:r>
        <w:rPr>
          <w:spacing w:val="-17"/>
          <w:w w:val="105"/>
        </w:rPr>
        <w:t xml:space="preserve"> </w:t>
      </w:r>
      <w:r>
        <w:rPr>
          <w:w w:val="105"/>
        </w:rPr>
        <w:t>self-injurious</w:t>
      </w:r>
      <w:r>
        <w:rPr>
          <w:spacing w:val="-20"/>
          <w:w w:val="105"/>
        </w:rPr>
        <w:t xml:space="preserve"> </w:t>
      </w:r>
      <w:r>
        <w:rPr>
          <w:w w:val="105"/>
        </w:rPr>
        <w:t>behaviors</w:t>
      </w:r>
      <w:r>
        <w:rPr>
          <w:spacing w:val="-9"/>
          <w:w w:val="105"/>
        </w:rPr>
        <w:t xml:space="preserve"> </w:t>
      </w:r>
      <w:r>
        <w:rPr>
          <w:w w:val="105"/>
        </w:rPr>
        <w:t>in</w:t>
      </w:r>
      <w:r>
        <w:rPr>
          <w:spacing w:val="-16"/>
          <w:w w:val="105"/>
        </w:rPr>
        <w:t xml:space="preserve"> </w:t>
      </w:r>
      <w:r>
        <w:rPr>
          <w:w w:val="105"/>
        </w:rPr>
        <w:t>individuals</w:t>
      </w:r>
      <w:r>
        <w:rPr>
          <w:spacing w:val="-10"/>
          <w:w w:val="105"/>
        </w:rPr>
        <w:t xml:space="preserve"> </w:t>
      </w:r>
      <w:r>
        <w:rPr>
          <w:w w:val="105"/>
        </w:rPr>
        <w:t>with</w:t>
      </w:r>
      <w:r>
        <w:rPr>
          <w:spacing w:val="-10"/>
          <w:w w:val="105"/>
        </w:rPr>
        <w:t xml:space="preserve"> </w:t>
      </w:r>
      <w:r>
        <w:rPr>
          <w:w w:val="105"/>
        </w:rPr>
        <w:t>Mental</w:t>
      </w:r>
      <w:r>
        <w:rPr>
          <w:spacing w:val="-4"/>
          <w:w w:val="105"/>
        </w:rPr>
        <w:t xml:space="preserve"> </w:t>
      </w:r>
      <w:r>
        <w:rPr>
          <w:w w:val="105"/>
        </w:rPr>
        <w:t>Retardation vary from 2% and 3% in children and adolescents living in the community to approxi­ mately 25% in adults with severe or profound Mental Retardation</w:t>
      </w:r>
      <w:r>
        <w:rPr>
          <w:spacing w:val="10"/>
          <w:w w:val="105"/>
        </w:rPr>
        <w:t xml:space="preserve"> </w:t>
      </w:r>
      <w:r>
        <w:rPr>
          <w:w w:val="105"/>
        </w:rPr>
        <w:t>living in institutions.</w:t>
      </w:r>
    </w:p>
    <w:p w:rsidR="00E675F0" w:rsidRDefault="00E675F0" w:rsidP="00E675F0">
      <w:pPr>
        <w:pStyle w:val="BodyText"/>
        <w:rPr>
          <w:sz w:val="22"/>
        </w:rPr>
      </w:pPr>
    </w:p>
    <w:p w:rsidR="00E675F0" w:rsidRDefault="00E675F0" w:rsidP="00E675F0">
      <w:pPr>
        <w:spacing w:before="157"/>
        <w:ind w:left="108"/>
        <w:rPr>
          <w:rFonts w:ascii="TimesNewRomanPS-BoldItalicMT"/>
          <w:b/>
          <w:i/>
          <w:sz w:val="24"/>
        </w:rPr>
      </w:pPr>
      <w:r>
        <w:rPr>
          <w:rFonts w:ascii="TimesNewRomanPS-BoldItalicMT"/>
          <w:b/>
          <w:i/>
          <w:w w:val="115"/>
          <w:sz w:val="24"/>
        </w:rPr>
        <w:t>Course</w:t>
      </w:r>
    </w:p>
    <w:p w:rsidR="00E675F0" w:rsidRDefault="00E675F0" w:rsidP="00E675F0">
      <w:pPr>
        <w:pStyle w:val="BodyText"/>
        <w:spacing w:before="146" w:line="254" w:lineRule="auto"/>
        <w:ind w:left="126" w:right="116" w:hanging="4"/>
        <w:jc w:val="both"/>
      </w:pPr>
      <w:r>
        <w:rPr>
          <w:w w:val="105"/>
        </w:rPr>
        <w:t>There is no typical age at onset or pattern of onset for Stereotypic Movement Disorder. The onset may follow a stressful environmental event. In nonverbal individuals with Severe</w:t>
      </w:r>
      <w:r>
        <w:rPr>
          <w:spacing w:val="-6"/>
          <w:w w:val="105"/>
        </w:rPr>
        <w:t xml:space="preserve"> </w:t>
      </w:r>
      <w:r>
        <w:rPr>
          <w:w w:val="105"/>
        </w:rPr>
        <w:t>Mental</w:t>
      </w:r>
      <w:r>
        <w:rPr>
          <w:spacing w:val="-7"/>
          <w:w w:val="105"/>
        </w:rPr>
        <w:t xml:space="preserve"> </w:t>
      </w:r>
      <w:r>
        <w:rPr>
          <w:w w:val="105"/>
        </w:rPr>
        <w:t>Retardation, stereotypic</w:t>
      </w:r>
      <w:r>
        <w:rPr>
          <w:spacing w:val="-2"/>
          <w:w w:val="105"/>
        </w:rPr>
        <w:t xml:space="preserve"> </w:t>
      </w:r>
      <w:r>
        <w:rPr>
          <w:w w:val="105"/>
        </w:rPr>
        <w:t>movements</w:t>
      </w:r>
      <w:r>
        <w:rPr>
          <w:spacing w:val="1"/>
          <w:w w:val="105"/>
        </w:rPr>
        <w:t xml:space="preserve"> </w:t>
      </w:r>
      <w:r>
        <w:rPr>
          <w:w w:val="105"/>
        </w:rPr>
        <w:t>may</w:t>
      </w:r>
      <w:r>
        <w:rPr>
          <w:spacing w:val="-4"/>
          <w:w w:val="105"/>
        </w:rPr>
        <w:t xml:space="preserve"> </w:t>
      </w:r>
      <w:r>
        <w:rPr>
          <w:w w:val="105"/>
        </w:rPr>
        <w:t>be</w:t>
      </w:r>
      <w:r>
        <w:rPr>
          <w:spacing w:val="-13"/>
          <w:w w:val="105"/>
        </w:rPr>
        <w:t xml:space="preserve"> </w:t>
      </w:r>
      <w:r>
        <w:rPr>
          <w:w w:val="105"/>
        </w:rPr>
        <w:t>triggered</w:t>
      </w:r>
      <w:r>
        <w:rPr>
          <w:spacing w:val="4"/>
          <w:w w:val="105"/>
        </w:rPr>
        <w:t xml:space="preserve"> </w:t>
      </w:r>
      <w:r>
        <w:rPr>
          <w:w w:val="105"/>
        </w:rPr>
        <w:t>by</w:t>
      </w:r>
      <w:r>
        <w:rPr>
          <w:spacing w:val="-18"/>
          <w:w w:val="105"/>
        </w:rPr>
        <w:t xml:space="preserve"> </w:t>
      </w:r>
      <w:r>
        <w:rPr>
          <w:w w:val="105"/>
        </w:rPr>
        <w:t>a</w:t>
      </w:r>
      <w:r>
        <w:rPr>
          <w:spacing w:val="-4"/>
          <w:w w:val="105"/>
        </w:rPr>
        <w:t xml:space="preserve"> </w:t>
      </w:r>
      <w:r>
        <w:rPr>
          <w:w w:val="105"/>
        </w:rPr>
        <w:t>painful</w:t>
      </w:r>
      <w:r>
        <w:rPr>
          <w:spacing w:val="-11"/>
          <w:w w:val="105"/>
        </w:rPr>
        <w:t xml:space="preserve"> </w:t>
      </w:r>
      <w:r>
        <w:rPr>
          <w:w w:val="105"/>
        </w:rPr>
        <w:t>general medical condition (e.g., a middle ear infection leading to head banging). The stereotypic movements often peak in adolescence and then may gradually decline. However, especially in individuals with Severe or Profound Mental Retardation, the movements may persist for years. The focus of these behaviors often changes (e.g., a person may engage in hand biting that may then subside and head hitting may</w:t>
      </w:r>
      <w:r>
        <w:rPr>
          <w:spacing w:val="-6"/>
          <w:w w:val="105"/>
        </w:rPr>
        <w:t xml:space="preserve"> </w:t>
      </w:r>
      <w:r>
        <w:rPr>
          <w:w w:val="105"/>
        </w:rPr>
        <w:t>emerge).</w:t>
      </w:r>
    </w:p>
    <w:p w:rsidR="00E675F0" w:rsidRDefault="00E675F0" w:rsidP="00E675F0">
      <w:pPr>
        <w:pStyle w:val="BodyText"/>
        <w:rPr>
          <w:sz w:val="22"/>
        </w:rPr>
      </w:pPr>
    </w:p>
    <w:p w:rsidR="00E675F0" w:rsidRDefault="00E675F0" w:rsidP="00E675F0">
      <w:pPr>
        <w:spacing w:before="158"/>
        <w:ind w:left="123"/>
        <w:rPr>
          <w:rFonts w:ascii="TimesNewRomanPS-BoldItalicMT"/>
          <w:b/>
          <w:i/>
          <w:sz w:val="24"/>
        </w:rPr>
      </w:pPr>
      <w:r>
        <w:rPr>
          <w:rFonts w:ascii="TimesNewRomanPS-BoldItalicMT"/>
          <w:b/>
          <w:i/>
          <w:w w:val="115"/>
          <w:sz w:val="24"/>
        </w:rPr>
        <w:t>Differential Diagnosis</w:t>
      </w:r>
    </w:p>
    <w:p w:rsidR="00E675F0" w:rsidRDefault="00E675F0" w:rsidP="00E675F0">
      <w:pPr>
        <w:pStyle w:val="BodyText"/>
        <w:spacing w:before="141" w:line="254" w:lineRule="auto"/>
        <w:ind w:left="127" w:right="104" w:firstLine="3"/>
        <w:jc w:val="both"/>
      </w:pPr>
      <w:r>
        <w:rPr>
          <w:w w:val="110"/>
        </w:rPr>
        <w:t xml:space="preserve">Stereotypic movements may be associated with </w:t>
      </w:r>
      <w:r>
        <w:rPr>
          <w:b/>
          <w:w w:val="110"/>
        </w:rPr>
        <w:t xml:space="preserve">Mental Retardation, </w:t>
      </w:r>
      <w:r>
        <w:rPr>
          <w:w w:val="110"/>
        </w:rPr>
        <w:t>especially for individuals</w:t>
      </w:r>
      <w:r>
        <w:rPr>
          <w:spacing w:val="-23"/>
          <w:w w:val="110"/>
        </w:rPr>
        <w:t xml:space="preserve"> </w:t>
      </w:r>
      <w:r>
        <w:rPr>
          <w:w w:val="110"/>
        </w:rPr>
        <w:t>in</w:t>
      </w:r>
      <w:r>
        <w:rPr>
          <w:spacing w:val="-27"/>
          <w:w w:val="110"/>
        </w:rPr>
        <w:t xml:space="preserve"> </w:t>
      </w:r>
      <w:r>
        <w:rPr>
          <w:w w:val="110"/>
        </w:rPr>
        <w:t>nonstimulating</w:t>
      </w:r>
      <w:r>
        <w:rPr>
          <w:spacing w:val="-33"/>
          <w:w w:val="110"/>
        </w:rPr>
        <w:t xml:space="preserve"> </w:t>
      </w:r>
      <w:r>
        <w:rPr>
          <w:w w:val="110"/>
        </w:rPr>
        <w:t>environments.</w:t>
      </w:r>
      <w:r>
        <w:rPr>
          <w:spacing w:val="-22"/>
          <w:w w:val="110"/>
        </w:rPr>
        <w:t xml:space="preserve"> </w:t>
      </w:r>
      <w:r>
        <w:rPr>
          <w:w w:val="110"/>
        </w:rPr>
        <w:t>Stereotypic</w:t>
      </w:r>
      <w:r>
        <w:rPr>
          <w:spacing w:val="-27"/>
          <w:w w:val="110"/>
        </w:rPr>
        <w:t xml:space="preserve"> </w:t>
      </w:r>
      <w:r>
        <w:rPr>
          <w:w w:val="110"/>
        </w:rPr>
        <w:t>Movement</w:t>
      </w:r>
      <w:r>
        <w:rPr>
          <w:spacing w:val="-22"/>
          <w:w w:val="110"/>
        </w:rPr>
        <w:t xml:space="preserve"> </w:t>
      </w:r>
      <w:r>
        <w:rPr>
          <w:w w:val="110"/>
        </w:rPr>
        <w:t>Disorder</w:t>
      </w:r>
      <w:r>
        <w:rPr>
          <w:spacing w:val="-29"/>
          <w:w w:val="110"/>
        </w:rPr>
        <w:t xml:space="preserve"> </w:t>
      </w:r>
      <w:r>
        <w:rPr>
          <w:w w:val="110"/>
        </w:rPr>
        <w:t>should</w:t>
      </w:r>
      <w:r>
        <w:rPr>
          <w:spacing w:val="-24"/>
          <w:w w:val="110"/>
        </w:rPr>
        <w:t xml:space="preserve"> </w:t>
      </w:r>
      <w:r>
        <w:rPr>
          <w:w w:val="110"/>
        </w:rPr>
        <w:t>be diagnosed only in individuals in whom the stereotypic or self-injurious behavior is of sufficient</w:t>
      </w:r>
      <w:r>
        <w:rPr>
          <w:spacing w:val="-6"/>
          <w:w w:val="110"/>
        </w:rPr>
        <w:t xml:space="preserve"> </w:t>
      </w:r>
      <w:r>
        <w:rPr>
          <w:w w:val="110"/>
        </w:rPr>
        <w:t>severity</w:t>
      </w:r>
      <w:r>
        <w:rPr>
          <w:spacing w:val="-3"/>
          <w:w w:val="110"/>
        </w:rPr>
        <w:t xml:space="preserve"> </w:t>
      </w:r>
      <w:r>
        <w:rPr>
          <w:w w:val="110"/>
        </w:rPr>
        <w:t>to</w:t>
      </w:r>
      <w:r>
        <w:rPr>
          <w:spacing w:val="-11"/>
          <w:w w:val="110"/>
        </w:rPr>
        <w:t xml:space="preserve"> </w:t>
      </w:r>
      <w:r>
        <w:rPr>
          <w:w w:val="110"/>
        </w:rPr>
        <w:t>become</w:t>
      </w:r>
      <w:r>
        <w:rPr>
          <w:spacing w:val="-6"/>
          <w:w w:val="110"/>
        </w:rPr>
        <w:t xml:space="preserve"> </w:t>
      </w:r>
      <w:r>
        <w:rPr>
          <w:w w:val="110"/>
        </w:rPr>
        <w:t>a</w:t>
      </w:r>
      <w:r>
        <w:rPr>
          <w:spacing w:val="-10"/>
          <w:w w:val="110"/>
        </w:rPr>
        <w:t xml:space="preserve"> </w:t>
      </w:r>
      <w:r>
        <w:rPr>
          <w:w w:val="110"/>
        </w:rPr>
        <w:t>focus</w:t>
      </w:r>
      <w:r>
        <w:rPr>
          <w:spacing w:val="-13"/>
          <w:w w:val="110"/>
        </w:rPr>
        <w:t xml:space="preserve"> </w:t>
      </w:r>
      <w:r>
        <w:rPr>
          <w:w w:val="110"/>
        </w:rPr>
        <w:t>of</w:t>
      </w:r>
      <w:r>
        <w:rPr>
          <w:spacing w:val="-4"/>
          <w:w w:val="110"/>
        </w:rPr>
        <w:t xml:space="preserve"> </w:t>
      </w:r>
      <w:r>
        <w:rPr>
          <w:w w:val="110"/>
        </w:rPr>
        <w:t>treatment.</w:t>
      </w:r>
      <w:r>
        <w:rPr>
          <w:spacing w:val="-2"/>
          <w:w w:val="110"/>
        </w:rPr>
        <w:t xml:space="preserve"> </w:t>
      </w:r>
      <w:r>
        <w:rPr>
          <w:w w:val="110"/>
        </w:rPr>
        <w:t>Repetitive</w:t>
      </w:r>
      <w:r>
        <w:rPr>
          <w:spacing w:val="-2"/>
          <w:w w:val="110"/>
        </w:rPr>
        <w:t xml:space="preserve"> </w:t>
      </w:r>
      <w:r>
        <w:rPr>
          <w:w w:val="110"/>
        </w:rPr>
        <w:t>stereotyped</w:t>
      </w:r>
      <w:r>
        <w:rPr>
          <w:spacing w:val="5"/>
          <w:w w:val="110"/>
        </w:rPr>
        <w:t xml:space="preserve"> </w:t>
      </w:r>
      <w:r>
        <w:rPr>
          <w:w w:val="110"/>
        </w:rPr>
        <w:t xml:space="preserve">movements are a characteristic feature of </w:t>
      </w:r>
      <w:r>
        <w:rPr>
          <w:b/>
          <w:w w:val="110"/>
        </w:rPr>
        <w:t xml:space="preserve">Pervasive Developmental Disorders. </w:t>
      </w:r>
      <w:r>
        <w:rPr>
          <w:w w:val="110"/>
        </w:rPr>
        <w:t>Stereotypic Movement Disorder is not diagnosed if the stereotypies are better accounted for by a Pervasive</w:t>
      </w:r>
      <w:r>
        <w:rPr>
          <w:spacing w:val="-23"/>
          <w:w w:val="110"/>
        </w:rPr>
        <w:t xml:space="preserve"> </w:t>
      </w:r>
      <w:r>
        <w:rPr>
          <w:w w:val="110"/>
        </w:rPr>
        <w:t>Developmental</w:t>
      </w:r>
      <w:r>
        <w:rPr>
          <w:spacing w:val="-15"/>
          <w:w w:val="110"/>
        </w:rPr>
        <w:t xml:space="preserve"> </w:t>
      </w:r>
      <w:r>
        <w:rPr>
          <w:w w:val="110"/>
        </w:rPr>
        <w:t>Disorder.</w:t>
      </w:r>
      <w:r>
        <w:rPr>
          <w:spacing w:val="-26"/>
          <w:w w:val="110"/>
        </w:rPr>
        <w:t xml:space="preserve"> </w:t>
      </w:r>
      <w:r>
        <w:rPr>
          <w:w w:val="110"/>
        </w:rPr>
        <w:t>Compulsions</w:t>
      </w:r>
      <w:r>
        <w:rPr>
          <w:spacing w:val="-20"/>
          <w:w w:val="110"/>
        </w:rPr>
        <w:t xml:space="preserve"> </w:t>
      </w:r>
      <w:r>
        <w:rPr>
          <w:w w:val="110"/>
        </w:rPr>
        <w:t>in</w:t>
      </w:r>
      <w:r>
        <w:rPr>
          <w:spacing w:val="-31"/>
          <w:w w:val="110"/>
        </w:rPr>
        <w:t xml:space="preserve"> </w:t>
      </w:r>
      <w:r>
        <w:rPr>
          <w:b/>
          <w:w w:val="110"/>
        </w:rPr>
        <w:t>Obsessive-Compulsive</w:t>
      </w:r>
      <w:r>
        <w:rPr>
          <w:b/>
          <w:spacing w:val="-40"/>
          <w:w w:val="110"/>
        </w:rPr>
        <w:t xml:space="preserve"> </w:t>
      </w:r>
      <w:r>
        <w:rPr>
          <w:b/>
          <w:w w:val="110"/>
        </w:rPr>
        <w:t xml:space="preserve">Disorder </w:t>
      </w:r>
      <w:r>
        <w:rPr>
          <w:w w:val="110"/>
        </w:rPr>
        <w:t>are</w:t>
      </w:r>
      <w:r>
        <w:rPr>
          <w:spacing w:val="-33"/>
          <w:w w:val="110"/>
        </w:rPr>
        <w:t xml:space="preserve"> </w:t>
      </w:r>
      <w:r>
        <w:rPr>
          <w:w w:val="110"/>
        </w:rPr>
        <w:t>generally</w:t>
      </w:r>
      <w:r>
        <w:rPr>
          <w:spacing w:val="-24"/>
          <w:w w:val="110"/>
        </w:rPr>
        <w:t xml:space="preserve"> </w:t>
      </w:r>
      <w:r>
        <w:rPr>
          <w:w w:val="110"/>
        </w:rPr>
        <w:t>more</w:t>
      </w:r>
      <w:r>
        <w:rPr>
          <w:spacing w:val="-32"/>
          <w:w w:val="110"/>
        </w:rPr>
        <w:t xml:space="preserve"> </w:t>
      </w:r>
      <w:r>
        <w:rPr>
          <w:w w:val="110"/>
        </w:rPr>
        <w:t>complex</w:t>
      </w:r>
      <w:r>
        <w:rPr>
          <w:spacing w:val="-29"/>
          <w:w w:val="110"/>
        </w:rPr>
        <w:t xml:space="preserve"> </w:t>
      </w:r>
      <w:r>
        <w:rPr>
          <w:w w:val="110"/>
        </w:rPr>
        <w:t>and</w:t>
      </w:r>
      <w:r>
        <w:rPr>
          <w:spacing w:val="-28"/>
          <w:w w:val="110"/>
        </w:rPr>
        <w:t xml:space="preserve"> </w:t>
      </w:r>
      <w:r>
        <w:rPr>
          <w:w w:val="110"/>
        </w:rPr>
        <w:t>ritualistic</w:t>
      </w:r>
      <w:r>
        <w:rPr>
          <w:spacing w:val="-28"/>
          <w:w w:val="110"/>
        </w:rPr>
        <w:t xml:space="preserve"> </w:t>
      </w:r>
      <w:r>
        <w:rPr>
          <w:w w:val="110"/>
        </w:rPr>
        <w:t>and</w:t>
      </w:r>
      <w:r>
        <w:rPr>
          <w:spacing w:val="-27"/>
          <w:w w:val="110"/>
        </w:rPr>
        <w:t xml:space="preserve"> </w:t>
      </w:r>
      <w:r>
        <w:rPr>
          <w:w w:val="110"/>
        </w:rPr>
        <w:t>are</w:t>
      </w:r>
      <w:r>
        <w:rPr>
          <w:spacing w:val="-28"/>
          <w:w w:val="110"/>
        </w:rPr>
        <w:t xml:space="preserve"> </w:t>
      </w:r>
      <w:r>
        <w:rPr>
          <w:w w:val="110"/>
        </w:rPr>
        <w:t>performed</w:t>
      </w:r>
      <w:r>
        <w:rPr>
          <w:spacing w:val="-22"/>
          <w:w w:val="110"/>
        </w:rPr>
        <w:t xml:space="preserve"> </w:t>
      </w:r>
      <w:r>
        <w:rPr>
          <w:w w:val="110"/>
        </w:rPr>
        <w:t>in</w:t>
      </w:r>
      <w:r>
        <w:rPr>
          <w:spacing w:val="-28"/>
          <w:w w:val="110"/>
        </w:rPr>
        <w:t xml:space="preserve"> </w:t>
      </w:r>
      <w:r>
        <w:rPr>
          <w:w w:val="110"/>
        </w:rPr>
        <w:t>response</w:t>
      </w:r>
      <w:r>
        <w:rPr>
          <w:spacing w:val="-26"/>
          <w:w w:val="110"/>
        </w:rPr>
        <w:t xml:space="preserve"> </w:t>
      </w:r>
      <w:r>
        <w:rPr>
          <w:w w:val="110"/>
        </w:rPr>
        <w:t>to</w:t>
      </w:r>
      <w:r>
        <w:rPr>
          <w:spacing w:val="-31"/>
          <w:w w:val="110"/>
        </w:rPr>
        <w:t xml:space="preserve"> </w:t>
      </w:r>
      <w:r>
        <w:rPr>
          <w:w w:val="110"/>
        </w:rPr>
        <w:t>an</w:t>
      </w:r>
      <w:r>
        <w:rPr>
          <w:spacing w:val="-31"/>
          <w:w w:val="110"/>
        </w:rPr>
        <w:t xml:space="preserve"> </w:t>
      </w:r>
      <w:r>
        <w:rPr>
          <w:w w:val="110"/>
        </w:rPr>
        <w:t>obsession or</w:t>
      </w:r>
      <w:r>
        <w:rPr>
          <w:spacing w:val="-37"/>
          <w:w w:val="110"/>
        </w:rPr>
        <w:t xml:space="preserve"> </w:t>
      </w:r>
      <w:r>
        <w:rPr>
          <w:w w:val="110"/>
        </w:rPr>
        <w:t>according</w:t>
      </w:r>
      <w:r>
        <w:rPr>
          <w:spacing w:val="-32"/>
          <w:w w:val="110"/>
        </w:rPr>
        <w:t xml:space="preserve"> </w:t>
      </w:r>
      <w:r>
        <w:rPr>
          <w:w w:val="110"/>
        </w:rPr>
        <w:t>to</w:t>
      </w:r>
      <w:r>
        <w:rPr>
          <w:spacing w:val="-39"/>
          <w:w w:val="110"/>
        </w:rPr>
        <w:t xml:space="preserve"> </w:t>
      </w:r>
      <w:r>
        <w:rPr>
          <w:w w:val="110"/>
        </w:rPr>
        <w:t>rules</w:t>
      </w:r>
      <w:r>
        <w:rPr>
          <w:spacing w:val="-38"/>
          <w:w w:val="110"/>
        </w:rPr>
        <w:t xml:space="preserve"> </w:t>
      </w:r>
      <w:r>
        <w:rPr>
          <w:w w:val="110"/>
        </w:rPr>
        <w:t>that</w:t>
      </w:r>
      <w:r>
        <w:rPr>
          <w:spacing w:val="-36"/>
          <w:w w:val="110"/>
        </w:rPr>
        <w:t xml:space="preserve"> </w:t>
      </w:r>
      <w:r>
        <w:rPr>
          <w:w w:val="110"/>
        </w:rPr>
        <w:t>must</w:t>
      </w:r>
      <w:r>
        <w:rPr>
          <w:spacing w:val="-35"/>
          <w:w w:val="110"/>
        </w:rPr>
        <w:t xml:space="preserve"> </w:t>
      </w:r>
      <w:r>
        <w:rPr>
          <w:w w:val="110"/>
        </w:rPr>
        <w:t>be</w:t>
      </w:r>
      <w:r>
        <w:rPr>
          <w:spacing w:val="-40"/>
          <w:w w:val="110"/>
        </w:rPr>
        <w:t xml:space="preserve"> </w:t>
      </w:r>
      <w:r>
        <w:rPr>
          <w:w w:val="110"/>
        </w:rPr>
        <w:t>applied</w:t>
      </w:r>
      <w:r>
        <w:rPr>
          <w:spacing w:val="-33"/>
          <w:w w:val="110"/>
        </w:rPr>
        <w:t xml:space="preserve"> </w:t>
      </w:r>
      <w:r>
        <w:rPr>
          <w:w w:val="110"/>
        </w:rPr>
        <w:t>rigidly.</w:t>
      </w:r>
      <w:r>
        <w:rPr>
          <w:spacing w:val="-36"/>
          <w:w w:val="110"/>
        </w:rPr>
        <w:t xml:space="preserve"> </w:t>
      </w:r>
      <w:r>
        <w:rPr>
          <w:w w:val="110"/>
        </w:rPr>
        <w:t>Differentiating</w:t>
      </w:r>
      <w:r>
        <w:rPr>
          <w:spacing w:val="-43"/>
          <w:w w:val="110"/>
        </w:rPr>
        <w:t xml:space="preserve"> </w:t>
      </w:r>
      <w:r>
        <w:rPr>
          <w:w w:val="110"/>
        </w:rPr>
        <w:t>the</w:t>
      </w:r>
      <w:r>
        <w:rPr>
          <w:spacing w:val="-39"/>
          <w:w w:val="110"/>
        </w:rPr>
        <w:t xml:space="preserve"> </w:t>
      </w:r>
      <w:r>
        <w:rPr>
          <w:w w:val="110"/>
        </w:rPr>
        <w:t>complex</w:t>
      </w:r>
      <w:r>
        <w:rPr>
          <w:spacing w:val="-34"/>
          <w:w w:val="110"/>
        </w:rPr>
        <w:t xml:space="preserve"> </w:t>
      </w:r>
      <w:r>
        <w:rPr>
          <w:w w:val="110"/>
        </w:rPr>
        <w:t>movements characteristic</w:t>
      </w:r>
      <w:r>
        <w:rPr>
          <w:spacing w:val="-32"/>
          <w:w w:val="110"/>
        </w:rPr>
        <w:t xml:space="preserve"> </w:t>
      </w:r>
      <w:r>
        <w:rPr>
          <w:w w:val="110"/>
        </w:rPr>
        <w:t>of</w:t>
      </w:r>
      <w:r>
        <w:rPr>
          <w:spacing w:val="-25"/>
          <w:w w:val="110"/>
        </w:rPr>
        <w:t xml:space="preserve"> </w:t>
      </w:r>
      <w:r>
        <w:rPr>
          <w:w w:val="110"/>
        </w:rPr>
        <w:t>Stereotypic</w:t>
      </w:r>
      <w:r>
        <w:rPr>
          <w:spacing w:val="-24"/>
          <w:w w:val="110"/>
        </w:rPr>
        <w:t xml:space="preserve"> </w:t>
      </w:r>
      <w:r>
        <w:rPr>
          <w:w w:val="110"/>
        </w:rPr>
        <w:t>Movement</w:t>
      </w:r>
      <w:r>
        <w:rPr>
          <w:spacing w:val="-21"/>
          <w:w w:val="110"/>
        </w:rPr>
        <w:t xml:space="preserve"> </w:t>
      </w:r>
      <w:r>
        <w:rPr>
          <w:w w:val="110"/>
        </w:rPr>
        <w:t>Disorder</w:t>
      </w:r>
      <w:r>
        <w:rPr>
          <w:spacing w:val="-26"/>
          <w:w w:val="110"/>
        </w:rPr>
        <w:t xml:space="preserve"> </w:t>
      </w:r>
      <w:r>
        <w:rPr>
          <w:w w:val="110"/>
        </w:rPr>
        <w:t>from</w:t>
      </w:r>
      <w:r>
        <w:rPr>
          <w:spacing w:val="-24"/>
          <w:w w:val="110"/>
        </w:rPr>
        <w:t xml:space="preserve"> </w:t>
      </w:r>
      <w:r>
        <w:rPr>
          <w:b/>
          <w:w w:val="110"/>
        </w:rPr>
        <w:t>simple</w:t>
      </w:r>
      <w:r>
        <w:rPr>
          <w:b/>
          <w:spacing w:val="-32"/>
          <w:w w:val="110"/>
        </w:rPr>
        <w:t xml:space="preserve"> </w:t>
      </w:r>
      <w:r>
        <w:rPr>
          <w:b/>
          <w:w w:val="110"/>
        </w:rPr>
        <w:t>tics</w:t>
      </w:r>
      <w:r>
        <w:rPr>
          <w:b/>
          <w:spacing w:val="-28"/>
          <w:w w:val="110"/>
        </w:rPr>
        <w:t xml:space="preserve"> </w:t>
      </w:r>
      <w:r>
        <w:rPr>
          <w:w w:val="110"/>
        </w:rPr>
        <w:t>(e.g.,</w:t>
      </w:r>
      <w:r>
        <w:rPr>
          <w:spacing w:val="-22"/>
          <w:w w:val="110"/>
        </w:rPr>
        <w:t xml:space="preserve"> </w:t>
      </w:r>
      <w:r>
        <w:rPr>
          <w:w w:val="110"/>
        </w:rPr>
        <w:t>eye</w:t>
      </w:r>
      <w:r>
        <w:rPr>
          <w:spacing w:val="-24"/>
          <w:w w:val="110"/>
        </w:rPr>
        <w:t xml:space="preserve"> </w:t>
      </w:r>
      <w:r>
        <w:rPr>
          <w:w w:val="110"/>
        </w:rPr>
        <w:t>blinking)</w:t>
      </w:r>
      <w:r>
        <w:rPr>
          <w:spacing w:val="-19"/>
          <w:w w:val="110"/>
        </w:rPr>
        <w:t xml:space="preserve"> </w:t>
      </w:r>
      <w:r>
        <w:rPr>
          <w:w w:val="110"/>
        </w:rPr>
        <w:t>is relatively</w:t>
      </w:r>
      <w:r>
        <w:rPr>
          <w:spacing w:val="-22"/>
          <w:w w:val="110"/>
        </w:rPr>
        <w:t xml:space="preserve"> </w:t>
      </w:r>
      <w:r>
        <w:rPr>
          <w:w w:val="110"/>
        </w:rPr>
        <w:t>straightforward,</w:t>
      </w:r>
      <w:r>
        <w:rPr>
          <w:spacing w:val="-23"/>
          <w:w w:val="110"/>
        </w:rPr>
        <w:t xml:space="preserve"> </w:t>
      </w:r>
      <w:r>
        <w:rPr>
          <w:w w:val="110"/>
        </w:rPr>
        <w:t>but</w:t>
      </w:r>
      <w:r>
        <w:rPr>
          <w:spacing w:val="-25"/>
          <w:w w:val="110"/>
        </w:rPr>
        <w:t xml:space="preserve"> </w:t>
      </w:r>
      <w:r>
        <w:rPr>
          <w:w w:val="110"/>
        </w:rPr>
        <w:t>the</w:t>
      </w:r>
      <w:r>
        <w:rPr>
          <w:spacing w:val="-22"/>
          <w:w w:val="110"/>
        </w:rPr>
        <w:t xml:space="preserve"> </w:t>
      </w:r>
      <w:r>
        <w:rPr>
          <w:w w:val="110"/>
        </w:rPr>
        <w:t>differential</w:t>
      </w:r>
      <w:r>
        <w:rPr>
          <w:spacing w:val="-21"/>
          <w:w w:val="110"/>
        </w:rPr>
        <w:t xml:space="preserve"> </w:t>
      </w:r>
      <w:r>
        <w:rPr>
          <w:w w:val="110"/>
        </w:rPr>
        <w:t>diagnosis</w:t>
      </w:r>
      <w:r>
        <w:rPr>
          <w:spacing w:val="-21"/>
          <w:w w:val="110"/>
        </w:rPr>
        <w:t xml:space="preserve"> </w:t>
      </w:r>
      <w:r>
        <w:rPr>
          <w:w w:val="110"/>
        </w:rPr>
        <w:t>with</w:t>
      </w:r>
      <w:r>
        <w:rPr>
          <w:spacing w:val="-28"/>
          <w:w w:val="110"/>
        </w:rPr>
        <w:t xml:space="preserve"> </w:t>
      </w:r>
      <w:r>
        <w:rPr>
          <w:b/>
          <w:w w:val="110"/>
        </w:rPr>
        <w:t>complex</w:t>
      </w:r>
      <w:r>
        <w:rPr>
          <w:b/>
          <w:spacing w:val="-31"/>
          <w:w w:val="110"/>
        </w:rPr>
        <w:t xml:space="preserve"> </w:t>
      </w:r>
      <w:r>
        <w:rPr>
          <w:b/>
          <w:w w:val="110"/>
        </w:rPr>
        <w:t>motor</w:t>
      </w:r>
      <w:r>
        <w:rPr>
          <w:b/>
          <w:spacing w:val="-32"/>
          <w:w w:val="110"/>
        </w:rPr>
        <w:t xml:space="preserve"> </w:t>
      </w:r>
      <w:r>
        <w:rPr>
          <w:b/>
          <w:w w:val="110"/>
        </w:rPr>
        <w:t>tics</w:t>
      </w:r>
      <w:r>
        <w:rPr>
          <w:b/>
          <w:spacing w:val="-26"/>
          <w:w w:val="110"/>
        </w:rPr>
        <w:t xml:space="preserve"> </w:t>
      </w:r>
      <w:r>
        <w:rPr>
          <w:w w:val="110"/>
        </w:rPr>
        <w:t>is</w:t>
      </w:r>
      <w:r>
        <w:rPr>
          <w:spacing w:val="-26"/>
          <w:w w:val="110"/>
        </w:rPr>
        <w:t xml:space="preserve"> </w:t>
      </w:r>
      <w:r>
        <w:rPr>
          <w:w w:val="110"/>
        </w:rPr>
        <w:t>less clear-cut.</w:t>
      </w:r>
      <w:r>
        <w:rPr>
          <w:spacing w:val="-13"/>
          <w:w w:val="110"/>
        </w:rPr>
        <w:t xml:space="preserve"> </w:t>
      </w:r>
      <w:r>
        <w:rPr>
          <w:w w:val="110"/>
        </w:rPr>
        <w:t>In</w:t>
      </w:r>
      <w:r>
        <w:rPr>
          <w:spacing w:val="-24"/>
          <w:w w:val="110"/>
        </w:rPr>
        <w:t xml:space="preserve"> </w:t>
      </w:r>
      <w:r>
        <w:rPr>
          <w:w w:val="110"/>
        </w:rPr>
        <w:t>general,</w:t>
      </w:r>
      <w:r>
        <w:rPr>
          <w:spacing w:val="-13"/>
          <w:w w:val="110"/>
        </w:rPr>
        <w:t xml:space="preserve"> </w:t>
      </w:r>
      <w:r>
        <w:rPr>
          <w:w w:val="110"/>
        </w:rPr>
        <w:t>stereotyped</w:t>
      </w:r>
      <w:r>
        <w:rPr>
          <w:spacing w:val="-7"/>
          <w:w w:val="110"/>
        </w:rPr>
        <w:t xml:space="preserve"> </w:t>
      </w:r>
      <w:r>
        <w:rPr>
          <w:w w:val="110"/>
        </w:rPr>
        <w:t>movements</w:t>
      </w:r>
      <w:r>
        <w:rPr>
          <w:spacing w:val="-15"/>
          <w:w w:val="110"/>
        </w:rPr>
        <w:t xml:space="preserve"> </w:t>
      </w:r>
      <w:r>
        <w:rPr>
          <w:w w:val="110"/>
        </w:rPr>
        <w:t>appear</w:t>
      </w:r>
      <w:r>
        <w:rPr>
          <w:spacing w:val="-17"/>
          <w:w w:val="110"/>
        </w:rPr>
        <w:t xml:space="preserve"> </w:t>
      </w:r>
      <w:r>
        <w:rPr>
          <w:w w:val="110"/>
        </w:rPr>
        <w:t>to</w:t>
      </w:r>
      <w:r>
        <w:rPr>
          <w:spacing w:val="-21"/>
          <w:w w:val="110"/>
        </w:rPr>
        <w:t xml:space="preserve"> </w:t>
      </w:r>
      <w:r>
        <w:rPr>
          <w:w w:val="110"/>
        </w:rPr>
        <w:t>be</w:t>
      </w:r>
      <w:r>
        <w:rPr>
          <w:spacing w:val="-17"/>
          <w:w w:val="110"/>
        </w:rPr>
        <w:t xml:space="preserve"> </w:t>
      </w:r>
      <w:r>
        <w:rPr>
          <w:w w:val="110"/>
        </w:rPr>
        <w:t>more</w:t>
      </w:r>
      <w:r>
        <w:rPr>
          <w:spacing w:val="-19"/>
          <w:w w:val="110"/>
        </w:rPr>
        <w:t xml:space="preserve"> </w:t>
      </w:r>
      <w:r>
        <w:rPr>
          <w:w w:val="110"/>
        </w:rPr>
        <w:t>driven</w:t>
      </w:r>
      <w:r>
        <w:rPr>
          <w:spacing w:val="-17"/>
          <w:w w:val="110"/>
        </w:rPr>
        <w:t xml:space="preserve"> </w:t>
      </w:r>
      <w:r>
        <w:rPr>
          <w:w w:val="110"/>
        </w:rPr>
        <w:t>and</w:t>
      </w:r>
      <w:r>
        <w:rPr>
          <w:spacing w:val="-19"/>
          <w:w w:val="110"/>
        </w:rPr>
        <w:t xml:space="preserve"> </w:t>
      </w:r>
      <w:r>
        <w:rPr>
          <w:w w:val="110"/>
        </w:rPr>
        <w:t>intentional, whereas</w:t>
      </w:r>
      <w:r>
        <w:rPr>
          <w:spacing w:val="-29"/>
          <w:w w:val="110"/>
        </w:rPr>
        <w:t xml:space="preserve"> </w:t>
      </w:r>
      <w:r>
        <w:rPr>
          <w:w w:val="110"/>
        </w:rPr>
        <w:t>tics</w:t>
      </w:r>
      <w:r>
        <w:rPr>
          <w:spacing w:val="-30"/>
          <w:w w:val="110"/>
        </w:rPr>
        <w:t xml:space="preserve"> </w:t>
      </w:r>
      <w:r>
        <w:rPr>
          <w:w w:val="110"/>
        </w:rPr>
        <w:t>have</w:t>
      </w:r>
      <w:r>
        <w:rPr>
          <w:spacing w:val="-30"/>
          <w:w w:val="110"/>
        </w:rPr>
        <w:t xml:space="preserve"> </w:t>
      </w:r>
      <w:r>
        <w:rPr>
          <w:w w:val="110"/>
        </w:rPr>
        <w:t>a</w:t>
      </w:r>
      <w:r>
        <w:rPr>
          <w:spacing w:val="-29"/>
          <w:w w:val="110"/>
        </w:rPr>
        <w:t xml:space="preserve"> </w:t>
      </w:r>
      <w:r>
        <w:rPr>
          <w:w w:val="110"/>
        </w:rPr>
        <w:t>more</w:t>
      </w:r>
      <w:r>
        <w:rPr>
          <w:spacing w:val="-29"/>
          <w:w w:val="110"/>
        </w:rPr>
        <w:t xml:space="preserve"> </w:t>
      </w:r>
      <w:r>
        <w:rPr>
          <w:w w:val="110"/>
        </w:rPr>
        <w:t>involuntary</w:t>
      </w:r>
      <w:r>
        <w:rPr>
          <w:spacing w:val="-24"/>
          <w:w w:val="110"/>
        </w:rPr>
        <w:t xml:space="preserve"> </w:t>
      </w:r>
      <w:r>
        <w:rPr>
          <w:w w:val="110"/>
        </w:rPr>
        <w:t>quality</w:t>
      </w:r>
      <w:r>
        <w:rPr>
          <w:spacing w:val="-33"/>
          <w:w w:val="110"/>
        </w:rPr>
        <w:t xml:space="preserve"> </w:t>
      </w:r>
      <w:r>
        <w:rPr>
          <w:w w:val="110"/>
        </w:rPr>
        <w:t>and</w:t>
      </w:r>
      <w:r>
        <w:rPr>
          <w:spacing w:val="-19"/>
          <w:w w:val="110"/>
        </w:rPr>
        <w:t xml:space="preserve"> </w:t>
      </w:r>
      <w:r>
        <w:rPr>
          <w:w w:val="110"/>
        </w:rPr>
        <w:t>are</w:t>
      </w:r>
      <w:r>
        <w:rPr>
          <w:spacing w:val="-31"/>
          <w:w w:val="110"/>
        </w:rPr>
        <w:t xml:space="preserve"> </w:t>
      </w:r>
      <w:r>
        <w:rPr>
          <w:w w:val="110"/>
        </w:rPr>
        <w:t>not</w:t>
      </w:r>
      <w:r>
        <w:rPr>
          <w:spacing w:val="-28"/>
          <w:w w:val="110"/>
        </w:rPr>
        <w:t xml:space="preserve"> </w:t>
      </w:r>
      <w:r>
        <w:rPr>
          <w:w w:val="110"/>
        </w:rPr>
        <w:t>rhythmic.</w:t>
      </w:r>
      <w:r>
        <w:rPr>
          <w:spacing w:val="-27"/>
          <w:w w:val="110"/>
        </w:rPr>
        <w:t xml:space="preserve"> </w:t>
      </w:r>
      <w:r>
        <w:rPr>
          <w:w w:val="110"/>
        </w:rPr>
        <w:t>In</w:t>
      </w:r>
      <w:r>
        <w:rPr>
          <w:spacing w:val="-38"/>
          <w:w w:val="110"/>
        </w:rPr>
        <w:t xml:space="preserve"> </w:t>
      </w:r>
      <w:r>
        <w:rPr>
          <w:b/>
          <w:w w:val="110"/>
        </w:rPr>
        <w:t xml:space="preserve">Trichotillomania, </w:t>
      </w:r>
      <w:r>
        <w:rPr>
          <w:w w:val="110"/>
        </w:rPr>
        <w:t>by</w:t>
      </w:r>
      <w:r>
        <w:rPr>
          <w:spacing w:val="-25"/>
          <w:w w:val="110"/>
        </w:rPr>
        <w:t xml:space="preserve"> </w:t>
      </w:r>
      <w:r>
        <w:rPr>
          <w:w w:val="110"/>
        </w:rPr>
        <w:t>definition,</w:t>
      </w:r>
      <w:r>
        <w:rPr>
          <w:spacing w:val="-13"/>
          <w:w w:val="110"/>
        </w:rPr>
        <w:t xml:space="preserve"> </w:t>
      </w:r>
      <w:r>
        <w:rPr>
          <w:w w:val="110"/>
        </w:rPr>
        <w:t>the</w:t>
      </w:r>
      <w:r>
        <w:rPr>
          <w:spacing w:val="-22"/>
          <w:w w:val="110"/>
        </w:rPr>
        <w:t xml:space="preserve"> </w:t>
      </w:r>
      <w:r>
        <w:rPr>
          <w:w w:val="110"/>
        </w:rPr>
        <w:t>repetitive</w:t>
      </w:r>
      <w:r>
        <w:rPr>
          <w:spacing w:val="-17"/>
          <w:w w:val="110"/>
        </w:rPr>
        <w:t xml:space="preserve"> </w:t>
      </w:r>
      <w:r>
        <w:rPr>
          <w:w w:val="110"/>
        </w:rPr>
        <w:t>behavior</w:t>
      </w:r>
      <w:r>
        <w:rPr>
          <w:spacing w:val="-19"/>
          <w:w w:val="110"/>
        </w:rPr>
        <w:t xml:space="preserve"> </w:t>
      </w:r>
      <w:r>
        <w:rPr>
          <w:w w:val="110"/>
        </w:rPr>
        <w:t>is</w:t>
      </w:r>
      <w:r>
        <w:rPr>
          <w:spacing w:val="-26"/>
          <w:w w:val="110"/>
        </w:rPr>
        <w:t xml:space="preserve"> </w:t>
      </w:r>
      <w:r>
        <w:rPr>
          <w:w w:val="110"/>
        </w:rPr>
        <w:t>limited</w:t>
      </w:r>
      <w:r>
        <w:rPr>
          <w:spacing w:val="-16"/>
          <w:w w:val="110"/>
        </w:rPr>
        <w:t xml:space="preserve"> </w:t>
      </w:r>
      <w:r>
        <w:rPr>
          <w:w w:val="110"/>
        </w:rPr>
        <w:t>to</w:t>
      </w:r>
      <w:r>
        <w:rPr>
          <w:spacing w:val="-24"/>
          <w:w w:val="110"/>
        </w:rPr>
        <w:t xml:space="preserve"> </w:t>
      </w:r>
      <w:r>
        <w:rPr>
          <w:w w:val="110"/>
        </w:rPr>
        <w:t>hair</w:t>
      </w:r>
      <w:r>
        <w:rPr>
          <w:spacing w:val="-19"/>
          <w:w w:val="110"/>
        </w:rPr>
        <w:t xml:space="preserve"> </w:t>
      </w:r>
      <w:r>
        <w:rPr>
          <w:w w:val="110"/>
        </w:rPr>
        <w:t>pulling.</w:t>
      </w:r>
      <w:r>
        <w:rPr>
          <w:spacing w:val="-19"/>
          <w:w w:val="110"/>
        </w:rPr>
        <w:t xml:space="preserve"> </w:t>
      </w:r>
      <w:r>
        <w:rPr>
          <w:w w:val="110"/>
        </w:rPr>
        <w:t>The</w:t>
      </w:r>
      <w:r>
        <w:rPr>
          <w:spacing w:val="-26"/>
          <w:w w:val="110"/>
        </w:rPr>
        <w:t xml:space="preserve"> </w:t>
      </w:r>
      <w:r>
        <w:rPr>
          <w:w w:val="110"/>
        </w:rPr>
        <w:t>self-induced</w:t>
      </w:r>
      <w:r>
        <w:rPr>
          <w:spacing w:val="-13"/>
          <w:w w:val="110"/>
        </w:rPr>
        <w:t xml:space="preserve"> </w:t>
      </w:r>
      <w:r>
        <w:rPr>
          <w:w w:val="110"/>
        </w:rPr>
        <w:t>injuries in</w:t>
      </w:r>
      <w:r>
        <w:rPr>
          <w:spacing w:val="-15"/>
          <w:w w:val="110"/>
        </w:rPr>
        <w:t xml:space="preserve"> </w:t>
      </w:r>
      <w:r>
        <w:rPr>
          <w:w w:val="110"/>
        </w:rPr>
        <w:t>Stereotypic</w:t>
      </w:r>
      <w:r>
        <w:rPr>
          <w:spacing w:val="-9"/>
          <w:w w:val="110"/>
        </w:rPr>
        <w:t xml:space="preserve"> </w:t>
      </w:r>
      <w:r>
        <w:rPr>
          <w:w w:val="110"/>
        </w:rPr>
        <w:t>Movement</w:t>
      </w:r>
      <w:r>
        <w:rPr>
          <w:spacing w:val="-7"/>
          <w:w w:val="110"/>
        </w:rPr>
        <w:t xml:space="preserve"> </w:t>
      </w:r>
      <w:r>
        <w:rPr>
          <w:w w:val="110"/>
        </w:rPr>
        <w:t>Disorder</w:t>
      </w:r>
      <w:r>
        <w:rPr>
          <w:spacing w:val="-8"/>
          <w:w w:val="110"/>
        </w:rPr>
        <w:t xml:space="preserve"> </w:t>
      </w:r>
      <w:r>
        <w:rPr>
          <w:w w:val="110"/>
        </w:rPr>
        <w:t>should</w:t>
      </w:r>
      <w:r>
        <w:rPr>
          <w:spacing w:val="-8"/>
          <w:w w:val="110"/>
        </w:rPr>
        <w:t xml:space="preserve"> </w:t>
      </w:r>
      <w:r>
        <w:rPr>
          <w:w w:val="110"/>
        </w:rPr>
        <w:t>be</w:t>
      </w:r>
      <w:r>
        <w:rPr>
          <w:spacing w:val="-11"/>
          <w:w w:val="110"/>
        </w:rPr>
        <w:t xml:space="preserve"> </w:t>
      </w:r>
      <w:r>
        <w:rPr>
          <w:w w:val="110"/>
        </w:rPr>
        <w:t>distinguished</w:t>
      </w:r>
      <w:r>
        <w:rPr>
          <w:spacing w:val="-1"/>
          <w:w w:val="110"/>
        </w:rPr>
        <w:t xml:space="preserve"> </w:t>
      </w:r>
      <w:r>
        <w:rPr>
          <w:w w:val="110"/>
        </w:rPr>
        <w:t>from</w:t>
      </w:r>
      <w:r>
        <w:rPr>
          <w:spacing w:val="-12"/>
          <w:w w:val="110"/>
        </w:rPr>
        <w:t xml:space="preserve"> </w:t>
      </w:r>
      <w:r>
        <w:rPr>
          <w:b/>
          <w:w w:val="110"/>
        </w:rPr>
        <w:t>Factitious</w:t>
      </w:r>
      <w:r>
        <w:rPr>
          <w:b/>
          <w:spacing w:val="-17"/>
          <w:w w:val="110"/>
        </w:rPr>
        <w:t xml:space="preserve"> </w:t>
      </w:r>
      <w:r>
        <w:rPr>
          <w:b/>
          <w:w w:val="110"/>
        </w:rPr>
        <w:t>Disorder With</w:t>
      </w:r>
      <w:r>
        <w:rPr>
          <w:b/>
          <w:spacing w:val="-25"/>
          <w:w w:val="110"/>
        </w:rPr>
        <w:t xml:space="preserve"> </w:t>
      </w:r>
      <w:r>
        <w:rPr>
          <w:b/>
          <w:w w:val="110"/>
        </w:rPr>
        <w:t>Predominantly</w:t>
      </w:r>
      <w:r>
        <w:rPr>
          <w:b/>
          <w:spacing w:val="-8"/>
          <w:w w:val="110"/>
        </w:rPr>
        <w:t xml:space="preserve"> </w:t>
      </w:r>
      <w:r>
        <w:rPr>
          <w:b/>
          <w:w w:val="110"/>
        </w:rPr>
        <w:t>Physical</w:t>
      </w:r>
      <w:r>
        <w:rPr>
          <w:b/>
          <w:spacing w:val="-18"/>
          <w:w w:val="110"/>
        </w:rPr>
        <w:t xml:space="preserve"> </w:t>
      </w:r>
      <w:r>
        <w:rPr>
          <w:b/>
          <w:w w:val="110"/>
        </w:rPr>
        <w:t>Signs</w:t>
      </w:r>
      <w:r>
        <w:rPr>
          <w:b/>
          <w:spacing w:val="-24"/>
          <w:w w:val="110"/>
        </w:rPr>
        <w:t xml:space="preserve"> </w:t>
      </w:r>
      <w:r>
        <w:rPr>
          <w:b/>
          <w:w w:val="110"/>
        </w:rPr>
        <w:t>and</w:t>
      </w:r>
      <w:r>
        <w:rPr>
          <w:b/>
          <w:spacing w:val="-22"/>
          <w:w w:val="110"/>
        </w:rPr>
        <w:t xml:space="preserve"> </w:t>
      </w:r>
      <w:r>
        <w:rPr>
          <w:b/>
          <w:w w:val="110"/>
        </w:rPr>
        <w:t>Symptoms,</w:t>
      </w:r>
      <w:r>
        <w:rPr>
          <w:b/>
          <w:spacing w:val="9"/>
          <w:w w:val="110"/>
        </w:rPr>
        <w:t xml:space="preserve"> </w:t>
      </w:r>
      <w:r>
        <w:rPr>
          <w:w w:val="110"/>
        </w:rPr>
        <w:t>in</w:t>
      </w:r>
      <w:r>
        <w:rPr>
          <w:spacing w:val="-8"/>
          <w:w w:val="110"/>
        </w:rPr>
        <w:t xml:space="preserve"> </w:t>
      </w:r>
      <w:r>
        <w:rPr>
          <w:w w:val="110"/>
        </w:rPr>
        <w:t>which the</w:t>
      </w:r>
      <w:r>
        <w:rPr>
          <w:spacing w:val="-8"/>
          <w:w w:val="110"/>
        </w:rPr>
        <w:t xml:space="preserve"> </w:t>
      </w:r>
      <w:r>
        <w:rPr>
          <w:w w:val="110"/>
        </w:rPr>
        <w:t>motivation</w:t>
      </w:r>
      <w:r>
        <w:rPr>
          <w:spacing w:val="5"/>
          <w:w w:val="110"/>
        </w:rPr>
        <w:t xml:space="preserve"> </w:t>
      </w:r>
      <w:r>
        <w:rPr>
          <w:w w:val="110"/>
        </w:rPr>
        <w:t>of</w:t>
      </w:r>
      <w:r>
        <w:rPr>
          <w:spacing w:val="-2"/>
          <w:w w:val="110"/>
        </w:rPr>
        <w:t xml:space="preserve"> </w:t>
      </w:r>
      <w:r>
        <w:rPr>
          <w:w w:val="110"/>
        </w:rPr>
        <w:t xml:space="preserve">the self-injury is to assume the sick role. </w:t>
      </w:r>
      <w:r>
        <w:rPr>
          <w:b/>
          <w:w w:val="110"/>
        </w:rPr>
        <w:t>Self-mutilation associated with certain Psy­ chotic</w:t>
      </w:r>
      <w:r>
        <w:rPr>
          <w:b/>
          <w:spacing w:val="-20"/>
          <w:w w:val="110"/>
        </w:rPr>
        <w:t xml:space="preserve"> </w:t>
      </w:r>
      <w:r>
        <w:rPr>
          <w:b/>
          <w:w w:val="110"/>
        </w:rPr>
        <w:t>Disorders</w:t>
      </w:r>
      <w:r>
        <w:rPr>
          <w:b/>
          <w:spacing w:val="-14"/>
          <w:w w:val="110"/>
        </w:rPr>
        <w:t xml:space="preserve"> </w:t>
      </w:r>
      <w:r>
        <w:rPr>
          <w:b/>
          <w:w w:val="110"/>
        </w:rPr>
        <w:t>and</w:t>
      </w:r>
      <w:r>
        <w:rPr>
          <w:b/>
          <w:spacing w:val="-18"/>
          <w:w w:val="110"/>
        </w:rPr>
        <w:t xml:space="preserve"> </w:t>
      </w:r>
      <w:r>
        <w:rPr>
          <w:b/>
          <w:w w:val="110"/>
        </w:rPr>
        <w:t>Personality</w:t>
      </w:r>
      <w:r>
        <w:rPr>
          <w:b/>
          <w:spacing w:val="-20"/>
          <w:w w:val="110"/>
        </w:rPr>
        <w:t xml:space="preserve"> </w:t>
      </w:r>
      <w:r>
        <w:rPr>
          <w:b/>
          <w:w w:val="110"/>
        </w:rPr>
        <w:t xml:space="preserve">Disorders </w:t>
      </w:r>
      <w:r>
        <w:rPr>
          <w:w w:val="110"/>
        </w:rPr>
        <w:t>is</w:t>
      </w:r>
      <w:r>
        <w:rPr>
          <w:spacing w:val="-9"/>
          <w:w w:val="110"/>
        </w:rPr>
        <w:t xml:space="preserve"> </w:t>
      </w:r>
      <w:r>
        <w:rPr>
          <w:w w:val="110"/>
        </w:rPr>
        <w:t>premeditated,</w:t>
      </w:r>
      <w:r>
        <w:rPr>
          <w:spacing w:val="1"/>
          <w:w w:val="110"/>
        </w:rPr>
        <w:t xml:space="preserve"> </w:t>
      </w:r>
      <w:r>
        <w:rPr>
          <w:w w:val="110"/>
        </w:rPr>
        <w:t>complex,</w:t>
      </w:r>
      <w:r>
        <w:rPr>
          <w:spacing w:val="-8"/>
          <w:w w:val="110"/>
        </w:rPr>
        <w:t xml:space="preserve"> </w:t>
      </w:r>
      <w:r>
        <w:rPr>
          <w:w w:val="110"/>
        </w:rPr>
        <w:t>and</w:t>
      </w:r>
      <w:r>
        <w:rPr>
          <w:spacing w:val="-1"/>
          <w:w w:val="110"/>
        </w:rPr>
        <w:t xml:space="preserve"> </w:t>
      </w:r>
      <w:r>
        <w:rPr>
          <w:w w:val="110"/>
        </w:rPr>
        <w:t>sporadic and</w:t>
      </w:r>
      <w:r>
        <w:rPr>
          <w:spacing w:val="-21"/>
          <w:w w:val="110"/>
        </w:rPr>
        <w:t xml:space="preserve"> </w:t>
      </w:r>
      <w:r>
        <w:rPr>
          <w:w w:val="110"/>
        </w:rPr>
        <w:t>has</w:t>
      </w:r>
      <w:r>
        <w:rPr>
          <w:spacing w:val="-25"/>
          <w:w w:val="110"/>
        </w:rPr>
        <w:t xml:space="preserve"> </w:t>
      </w:r>
      <w:r>
        <w:rPr>
          <w:w w:val="110"/>
        </w:rPr>
        <w:t>a</w:t>
      </w:r>
      <w:r>
        <w:rPr>
          <w:spacing w:val="-19"/>
          <w:w w:val="110"/>
        </w:rPr>
        <w:t xml:space="preserve"> </w:t>
      </w:r>
      <w:r>
        <w:rPr>
          <w:w w:val="110"/>
        </w:rPr>
        <w:t>meaning</w:t>
      </w:r>
      <w:r>
        <w:rPr>
          <w:spacing w:val="-23"/>
          <w:w w:val="110"/>
        </w:rPr>
        <w:t xml:space="preserve"> </w:t>
      </w:r>
      <w:r>
        <w:rPr>
          <w:w w:val="110"/>
        </w:rPr>
        <w:t>for</w:t>
      </w:r>
      <w:r>
        <w:rPr>
          <w:spacing w:val="-22"/>
          <w:w w:val="110"/>
        </w:rPr>
        <w:t xml:space="preserve"> </w:t>
      </w:r>
      <w:r>
        <w:rPr>
          <w:w w:val="110"/>
        </w:rPr>
        <w:t>the</w:t>
      </w:r>
      <w:r>
        <w:rPr>
          <w:spacing w:val="-23"/>
          <w:w w:val="110"/>
        </w:rPr>
        <w:t xml:space="preserve"> </w:t>
      </w:r>
      <w:r>
        <w:rPr>
          <w:w w:val="110"/>
        </w:rPr>
        <w:t>individual</w:t>
      </w:r>
      <w:r>
        <w:rPr>
          <w:spacing w:val="-20"/>
          <w:w w:val="110"/>
        </w:rPr>
        <w:t xml:space="preserve"> </w:t>
      </w:r>
      <w:r>
        <w:rPr>
          <w:w w:val="110"/>
        </w:rPr>
        <w:t>within</w:t>
      </w:r>
      <w:r>
        <w:rPr>
          <w:spacing w:val="-18"/>
          <w:w w:val="110"/>
        </w:rPr>
        <w:t xml:space="preserve"> </w:t>
      </w:r>
      <w:r>
        <w:rPr>
          <w:w w:val="110"/>
        </w:rPr>
        <w:t>the</w:t>
      </w:r>
      <w:r>
        <w:rPr>
          <w:spacing w:val="-27"/>
          <w:w w:val="110"/>
        </w:rPr>
        <w:t xml:space="preserve"> </w:t>
      </w:r>
      <w:r>
        <w:rPr>
          <w:w w:val="110"/>
        </w:rPr>
        <w:t>context</w:t>
      </w:r>
      <w:r>
        <w:rPr>
          <w:spacing w:val="-18"/>
          <w:w w:val="110"/>
        </w:rPr>
        <w:t xml:space="preserve"> </w:t>
      </w:r>
      <w:r>
        <w:rPr>
          <w:w w:val="110"/>
        </w:rPr>
        <w:t>of</w:t>
      </w:r>
      <w:r>
        <w:rPr>
          <w:spacing w:val="-19"/>
          <w:w w:val="110"/>
        </w:rPr>
        <w:t xml:space="preserve"> </w:t>
      </w:r>
      <w:r>
        <w:rPr>
          <w:w w:val="110"/>
        </w:rPr>
        <w:t>the</w:t>
      </w:r>
      <w:r>
        <w:rPr>
          <w:spacing w:val="-20"/>
          <w:w w:val="110"/>
        </w:rPr>
        <w:t xml:space="preserve"> </w:t>
      </w:r>
      <w:r>
        <w:rPr>
          <w:w w:val="110"/>
        </w:rPr>
        <w:t>underlying,</w:t>
      </w:r>
      <w:r>
        <w:rPr>
          <w:spacing w:val="-17"/>
          <w:w w:val="110"/>
        </w:rPr>
        <w:t xml:space="preserve"> </w:t>
      </w:r>
      <w:r>
        <w:rPr>
          <w:w w:val="110"/>
        </w:rPr>
        <w:t>severe</w:t>
      </w:r>
      <w:r>
        <w:rPr>
          <w:spacing w:val="-22"/>
          <w:w w:val="110"/>
        </w:rPr>
        <w:t xml:space="preserve"> </w:t>
      </w:r>
      <w:r>
        <w:rPr>
          <w:w w:val="110"/>
        </w:rPr>
        <w:t>mental disorder</w:t>
      </w:r>
      <w:r>
        <w:rPr>
          <w:spacing w:val="-23"/>
          <w:w w:val="110"/>
        </w:rPr>
        <w:t xml:space="preserve"> </w:t>
      </w:r>
      <w:r>
        <w:rPr>
          <w:w w:val="110"/>
        </w:rPr>
        <w:t>(e.g.,</w:t>
      </w:r>
      <w:r>
        <w:rPr>
          <w:spacing w:val="-22"/>
          <w:w w:val="110"/>
        </w:rPr>
        <w:t xml:space="preserve"> </w:t>
      </w:r>
      <w:r>
        <w:rPr>
          <w:w w:val="110"/>
        </w:rPr>
        <w:t>is</w:t>
      </w:r>
      <w:r>
        <w:rPr>
          <w:spacing w:val="-29"/>
          <w:w w:val="110"/>
        </w:rPr>
        <w:t xml:space="preserve"> </w:t>
      </w:r>
      <w:r>
        <w:rPr>
          <w:w w:val="110"/>
        </w:rPr>
        <w:t>the</w:t>
      </w:r>
      <w:r>
        <w:rPr>
          <w:spacing w:val="-24"/>
          <w:w w:val="110"/>
        </w:rPr>
        <w:t xml:space="preserve"> </w:t>
      </w:r>
      <w:r>
        <w:rPr>
          <w:w w:val="110"/>
        </w:rPr>
        <w:t>result</w:t>
      </w:r>
      <w:r>
        <w:rPr>
          <w:spacing w:val="-24"/>
          <w:w w:val="110"/>
        </w:rPr>
        <w:t xml:space="preserve"> </w:t>
      </w:r>
      <w:r>
        <w:rPr>
          <w:w w:val="110"/>
        </w:rPr>
        <w:t>of</w:t>
      </w:r>
      <w:r>
        <w:rPr>
          <w:spacing w:val="-20"/>
          <w:w w:val="110"/>
        </w:rPr>
        <w:t xml:space="preserve"> </w:t>
      </w:r>
      <w:r>
        <w:rPr>
          <w:w w:val="110"/>
        </w:rPr>
        <w:t>delusional</w:t>
      </w:r>
      <w:r>
        <w:rPr>
          <w:spacing w:val="-17"/>
          <w:w w:val="110"/>
        </w:rPr>
        <w:t xml:space="preserve"> </w:t>
      </w:r>
      <w:r>
        <w:rPr>
          <w:w w:val="110"/>
        </w:rPr>
        <w:t>thinking).</w:t>
      </w:r>
      <w:r>
        <w:rPr>
          <w:spacing w:val="-18"/>
          <w:w w:val="110"/>
        </w:rPr>
        <w:t xml:space="preserve"> </w:t>
      </w:r>
      <w:r>
        <w:rPr>
          <w:b/>
          <w:w w:val="110"/>
        </w:rPr>
        <w:t>Involuntary</w:t>
      </w:r>
      <w:r>
        <w:rPr>
          <w:b/>
          <w:spacing w:val="-31"/>
          <w:w w:val="110"/>
        </w:rPr>
        <w:t xml:space="preserve"> </w:t>
      </w:r>
      <w:r>
        <w:rPr>
          <w:b/>
          <w:w w:val="110"/>
        </w:rPr>
        <w:t>movements</w:t>
      </w:r>
      <w:r>
        <w:rPr>
          <w:b/>
          <w:spacing w:val="-34"/>
          <w:w w:val="110"/>
        </w:rPr>
        <w:t xml:space="preserve"> </w:t>
      </w:r>
      <w:r>
        <w:rPr>
          <w:b/>
          <w:w w:val="110"/>
        </w:rPr>
        <w:t xml:space="preserve">associated with neurological conditions </w:t>
      </w:r>
      <w:r>
        <w:rPr>
          <w:w w:val="110"/>
        </w:rPr>
        <w:t>(such as Huntington's disease) usually follow a typical pattern, and the signs and symptoms of the neurological condition are</w:t>
      </w:r>
      <w:r>
        <w:rPr>
          <w:spacing w:val="24"/>
          <w:w w:val="110"/>
        </w:rPr>
        <w:t xml:space="preserve"> </w:t>
      </w:r>
      <w:r>
        <w:rPr>
          <w:w w:val="110"/>
        </w:rPr>
        <w:t>present.</w:t>
      </w:r>
    </w:p>
    <w:p w:rsidR="00E675F0" w:rsidRDefault="00E675F0" w:rsidP="00E675F0">
      <w:pPr>
        <w:spacing w:line="254" w:lineRule="auto"/>
        <w:jc w:val="both"/>
        <w:sectPr w:rsidR="00E675F0">
          <w:pgSz w:w="8960" w:h="14260"/>
          <w:pgMar w:top="1400" w:right="600" w:bottom="280" w:left="620" w:header="702" w:footer="0" w:gutter="0"/>
          <w:cols w:space="720"/>
        </w:sectPr>
      </w:pPr>
    </w:p>
    <w:p w:rsidR="00E675F0" w:rsidRDefault="00E675F0" w:rsidP="00E675F0">
      <w:pPr>
        <w:spacing w:before="122" w:line="247" w:lineRule="auto"/>
        <w:ind w:left="121" w:right="110" w:firstLine="9"/>
        <w:jc w:val="both"/>
        <w:rPr>
          <w:sz w:val="20"/>
        </w:rPr>
      </w:pPr>
      <w:bookmarkStart w:id="79" w:name="_bookmark63"/>
      <w:bookmarkEnd w:id="79"/>
      <w:r>
        <w:rPr>
          <w:b/>
          <w:w w:val="110"/>
          <w:sz w:val="19"/>
        </w:rPr>
        <w:lastRenderedPageBreak/>
        <w:t xml:space="preserve">Developmentallyappropriate self-stimulatorybehaviors </w:t>
      </w:r>
      <w:r>
        <w:rPr>
          <w:b/>
          <w:w w:val="110"/>
          <w:sz w:val="20"/>
        </w:rPr>
        <w:t xml:space="preserve">in </w:t>
      </w:r>
      <w:r>
        <w:rPr>
          <w:b/>
          <w:w w:val="110"/>
          <w:sz w:val="19"/>
        </w:rPr>
        <w:t xml:space="preserve">young children </w:t>
      </w:r>
      <w:r>
        <w:rPr>
          <w:w w:val="110"/>
          <w:sz w:val="20"/>
        </w:rPr>
        <w:t>(e.g., thumb</w:t>
      </w:r>
      <w:r>
        <w:rPr>
          <w:spacing w:val="-19"/>
          <w:w w:val="110"/>
          <w:sz w:val="20"/>
        </w:rPr>
        <w:t xml:space="preserve"> </w:t>
      </w:r>
      <w:r>
        <w:rPr>
          <w:w w:val="110"/>
          <w:sz w:val="20"/>
        </w:rPr>
        <w:t>sucking,</w:t>
      </w:r>
      <w:r>
        <w:rPr>
          <w:spacing w:val="-9"/>
          <w:w w:val="110"/>
          <w:sz w:val="20"/>
        </w:rPr>
        <w:t xml:space="preserve"> </w:t>
      </w:r>
      <w:r>
        <w:rPr>
          <w:w w:val="110"/>
          <w:sz w:val="20"/>
        </w:rPr>
        <w:t>rocking,</w:t>
      </w:r>
      <w:r>
        <w:rPr>
          <w:spacing w:val="-12"/>
          <w:w w:val="110"/>
          <w:sz w:val="20"/>
        </w:rPr>
        <w:t xml:space="preserve"> </w:t>
      </w:r>
      <w:r>
        <w:rPr>
          <w:w w:val="110"/>
          <w:sz w:val="20"/>
        </w:rPr>
        <w:t>and</w:t>
      </w:r>
      <w:r>
        <w:rPr>
          <w:spacing w:val="-14"/>
          <w:w w:val="110"/>
          <w:sz w:val="20"/>
        </w:rPr>
        <w:t xml:space="preserve"> </w:t>
      </w:r>
      <w:r>
        <w:rPr>
          <w:w w:val="110"/>
          <w:sz w:val="20"/>
        </w:rPr>
        <w:t>head</w:t>
      </w:r>
      <w:r>
        <w:rPr>
          <w:spacing w:val="-12"/>
          <w:w w:val="110"/>
          <w:sz w:val="20"/>
        </w:rPr>
        <w:t xml:space="preserve"> </w:t>
      </w:r>
      <w:r>
        <w:rPr>
          <w:w w:val="110"/>
          <w:sz w:val="20"/>
        </w:rPr>
        <w:t>banging)</w:t>
      </w:r>
      <w:r>
        <w:rPr>
          <w:spacing w:val="-16"/>
          <w:w w:val="110"/>
          <w:sz w:val="20"/>
        </w:rPr>
        <w:t xml:space="preserve"> </w:t>
      </w:r>
      <w:r>
        <w:rPr>
          <w:w w:val="110"/>
          <w:sz w:val="20"/>
        </w:rPr>
        <w:t>are</w:t>
      </w:r>
      <w:r>
        <w:rPr>
          <w:spacing w:val="-16"/>
          <w:w w:val="110"/>
          <w:sz w:val="20"/>
        </w:rPr>
        <w:t xml:space="preserve"> </w:t>
      </w:r>
      <w:r>
        <w:rPr>
          <w:w w:val="110"/>
          <w:sz w:val="20"/>
        </w:rPr>
        <w:t>usually</w:t>
      </w:r>
      <w:r>
        <w:rPr>
          <w:spacing w:val="-13"/>
          <w:w w:val="110"/>
          <w:sz w:val="20"/>
        </w:rPr>
        <w:t xml:space="preserve"> </w:t>
      </w:r>
      <w:r>
        <w:rPr>
          <w:w w:val="110"/>
          <w:sz w:val="20"/>
        </w:rPr>
        <w:t>self-limited</w:t>
      </w:r>
      <w:r>
        <w:rPr>
          <w:spacing w:val="-7"/>
          <w:w w:val="110"/>
          <w:sz w:val="20"/>
        </w:rPr>
        <w:t xml:space="preserve"> </w:t>
      </w:r>
      <w:r>
        <w:rPr>
          <w:w w:val="110"/>
          <w:sz w:val="20"/>
        </w:rPr>
        <w:t>and</w:t>
      </w:r>
      <w:r>
        <w:rPr>
          <w:spacing w:val="-12"/>
          <w:w w:val="110"/>
          <w:sz w:val="20"/>
        </w:rPr>
        <w:t xml:space="preserve"> </w:t>
      </w:r>
      <w:r>
        <w:rPr>
          <w:w w:val="110"/>
          <w:sz w:val="20"/>
        </w:rPr>
        <w:t>rarely</w:t>
      </w:r>
      <w:r>
        <w:rPr>
          <w:spacing w:val="-14"/>
          <w:w w:val="110"/>
          <w:sz w:val="20"/>
        </w:rPr>
        <w:t xml:space="preserve"> </w:t>
      </w:r>
      <w:r>
        <w:rPr>
          <w:w w:val="110"/>
          <w:sz w:val="20"/>
        </w:rPr>
        <w:t>result</w:t>
      </w:r>
      <w:r>
        <w:rPr>
          <w:spacing w:val="-13"/>
          <w:w w:val="110"/>
          <w:sz w:val="20"/>
        </w:rPr>
        <w:t xml:space="preserve"> </w:t>
      </w:r>
      <w:r>
        <w:rPr>
          <w:w w:val="110"/>
          <w:sz w:val="20"/>
        </w:rPr>
        <w:t xml:space="preserve">in tissue damage requiring treatment. </w:t>
      </w:r>
      <w:r>
        <w:rPr>
          <w:b/>
          <w:w w:val="110"/>
          <w:sz w:val="19"/>
        </w:rPr>
        <w:t xml:space="preserve">Self-stimulatory behaviors in individuals </w:t>
      </w:r>
      <w:r>
        <w:rPr>
          <w:b/>
          <w:w w:val="110"/>
          <w:sz w:val="21"/>
        </w:rPr>
        <w:t xml:space="preserve">with </w:t>
      </w:r>
      <w:r>
        <w:rPr>
          <w:b/>
          <w:w w:val="110"/>
          <w:sz w:val="19"/>
        </w:rPr>
        <w:t xml:space="preserve">sensory deficits </w:t>
      </w:r>
      <w:r>
        <w:rPr>
          <w:w w:val="110"/>
          <w:sz w:val="20"/>
        </w:rPr>
        <w:t>(e.g., blindness) usually do not result in dysfunction or in</w:t>
      </w:r>
      <w:r>
        <w:rPr>
          <w:spacing w:val="-39"/>
          <w:w w:val="110"/>
          <w:sz w:val="20"/>
        </w:rPr>
        <w:t xml:space="preserve"> </w:t>
      </w:r>
      <w:r>
        <w:rPr>
          <w:w w:val="110"/>
          <w:sz w:val="20"/>
        </w:rPr>
        <w:t>self-injury.</w:t>
      </w:r>
    </w:p>
    <w:p w:rsidR="00E675F0" w:rsidRDefault="00E675F0" w:rsidP="00E675F0">
      <w:pPr>
        <w:pStyle w:val="BodyText"/>
      </w:pPr>
    </w:p>
    <w:p w:rsidR="00E675F0" w:rsidRDefault="00E675F0" w:rsidP="00E675F0">
      <w:pPr>
        <w:pStyle w:val="BodyText"/>
      </w:pPr>
    </w:p>
    <w:p w:rsidR="00E675F0" w:rsidRDefault="00E675F0" w:rsidP="00E675F0">
      <w:pPr>
        <w:pStyle w:val="BodyText"/>
        <w:spacing w:before="9" w:after="1"/>
        <w:rPr>
          <w:sz w:val="18"/>
        </w:rPr>
      </w:pPr>
    </w:p>
    <w:tbl>
      <w:tblPr>
        <w:tblW w:w="0" w:type="auto"/>
        <w:tblInd w:w="2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7323"/>
      </w:tblGrid>
      <w:tr w:rsidR="00E675F0" w:rsidTr="00A330E1">
        <w:trPr>
          <w:trHeight w:val="6920"/>
        </w:trPr>
        <w:tc>
          <w:tcPr>
            <w:tcW w:w="7323" w:type="dxa"/>
            <w:tcBorders>
              <w:left w:val="single" w:sz="24" w:space="0" w:color="000000"/>
              <w:bottom w:val="single" w:sz="18" w:space="0" w:color="000000"/>
              <w:right w:val="single" w:sz="24" w:space="0" w:color="000000"/>
            </w:tcBorders>
          </w:tcPr>
          <w:p w:rsidR="00E675F0" w:rsidRDefault="00E675F0" w:rsidP="003048D3">
            <w:pPr>
              <w:pStyle w:val="TableParagraph"/>
              <w:numPr>
                <w:ilvl w:val="0"/>
                <w:numId w:val="69"/>
              </w:numPr>
              <w:tabs>
                <w:tab w:val="left" w:pos="626"/>
              </w:tabs>
              <w:spacing w:before="135" w:line="206" w:lineRule="auto"/>
              <w:ind w:right="631" w:hanging="379"/>
              <w:rPr>
                <w:rFonts w:ascii="Arial" w:hAnsi="Arial"/>
                <w:b/>
                <w:sz w:val="24"/>
              </w:rPr>
            </w:pPr>
            <w:r>
              <w:rPr>
                <w:rFonts w:ascii="Arial" w:hAnsi="Arial"/>
                <w:b/>
                <w:w w:val="105"/>
                <w:sz w:val="24"/>
              </w:rPr>
              <w:t>Diagnostic</w:t>
            </w:r>
            <w:r>
              <w:rPr>
                <w:rFonts w:ascii="Arial" w:hAnsi="Arial"/>
                <w:b/>
                <w:spacing w:val="-16"/>
                <w:w w:val="105"/>
                <w:sz w:val="24"/>
              </w:rPr>
              <w:t xml:space="preserve"> </w:t>
            </w:r>
            <w:r>
              <w:rPr>
                <w:rFonts w:ascii="Arial" w:hAnsi="Arial"/>
                <w:b/>
                <w:w w:val="105"/>
                <w:sz w:val="24"/>
              </w:rPr>
              <w:t>criteria</w:t>
            </w:r>
            <w:r>
              <w:rPr>
                <w:rFonts w:ascii="Arial" w:hAnsi="Arial"/>
                <w:b/>
                <w:spacing w:val="-21"/>
                <w:w w:val="105"/>
                <w:sz w:val="24"/>
              </w:rPr>
              <w:t xml:space="preserve"> </w:t>
            </w:r>
            <w:r>
              <w:rPr>
                <w:rFonts w:ascii="Arial" w:hAnsi="Arial"/>
                <w:b/>
                <w:w w:val="105"/>
                <w:sz w:val="24"/>
              </w:rPr>
              <w:t>for</w:t>
            </w:r>
            <w:r>
              <w:rPr>
                <w:rFonts w:ascii="Arial" w:hAnsi="Arial"/>
                <w:b/>
                <w:spacing w:val="-18"/>
                <w:w w:val="105"/>
                <w:sz w:val="24"/>
              </w:rPr>
              <w:t xml:space="preserve"> </w:t>
            </w:r>
            <w:r>
              <w:rPr>
                <w:rFonts w:ascii="Arial" w:hAnsi="Arial"/>
                <w:b/>
                <w:w w:val="105"/>
                <w:sz w:val="24"/>
              </w:rPr>
              <w:t>307.3</w:t>
            </w:r>
            <w:r>
              <w:rPr>
                <w:rFonts w:ascii="Arial" w:hAnsi="Arial"/>
                <w:b/>
                <w:spacing w:val="-15"/>
                <w:w w:val="105"/>
                <w:sz w:val="24"/>
              </w:rPr>
              <w:t xml:space="preserve"> </w:t>
            </w:r>
            <w:r>
              <w:rPr>
                <w:rFonts w:ascii="Arial" w:hAnsi="Arial"/>
                <w:b/>
                <w:w w:val="105"/>
                <w:sz w:val="24"/>
              </w:rPr>
              <w:t>Stereotypic</w:t>
            </w:r>
            <w:r>
              <w:rPr>
                <w:rFonts w:ascii="Arial" w:hAnsi="Arial"/>
                <w:b/>
                <w:spacing w:val="-11"/>
                <w:w w:val="105"/>
                <w:sz w:val="24"/>
              </w:rPr>
              <w:t xml:space="preserve"> </w:t>
            </w:r>
            <w:r>
              <w:rPr>
                <w:rFonts w:ascii="Arial" w:hAnsi="Arial"/>
                <w:b/>
                <w:w w:val="105"/>
                <w:sz w:val="24"/>
              </w:rPr>
              <w:t>Movement Disorder</w:t>
            </w:r>
          </w:p>
          <w:p w:rsidR="00E675F0" w:rsidRDefault="00E675F0" w:rsidP="003048D3">
            <w:pPr>
              <w:pStyle w:val="TableParagraph"/>
              <w:numPr>
                <w:ilvl w:val="1"/>
                <w:numId w:val="69"/>
              </w:numPr>
              <w:tabs>
                <w:tab w:val="left" w:pos="963"/>
              </w:tabs>
              <w:spacing w:before="179" w:line="254" w:lineRule="auto"/>
              <w:ind w:right="220" w:hanging="308"/>
              <w:jc w:val="both"/>
              <w:rPr>
                <w:sz w:val="20"/>
              </w:rPr>
            </w:pPr>
            <w:r>
              <w:rPr>
                <w:w w:val="105"/>
                <w:sz w:val="20"/>
              </w:rPr>
              <w:t>Repetitive, seemingly driven, and nonfunctional motor behavior (e.g., hand shaking or waving, body rocking, head banging, mouthing of objects, self-biting, picking at skin or bodily orifices, hitting own</w:t>
            </w:r>
            <w:r>
              <w:rPr>
                <w:spacing w:val="-7"/>
                <w:w w:val="105"/>
                <w:sz w:val="20"/>
              </w:rPr>
              <w:t xml:space="preserve"> </w:t>
            </w:r>
            <w:r>
              <w:rPr>
                <w:w w:val="105"/>
                <w:sz w:val="20"/>
              </w:rPr>
              <w:t>body).</w:t>
            </w:r>
          </w:p>
          <w:p w:rsidR="00E675F0" w:rsidRDefault="00E675F0" w:rsidP="003048D3">
            <w:pPr>
              <w:pStyle w:val="TableParagraph"/>
              <w:numPr>
                <w:ilvl w:val="1"/>
                <w:numId w:val="69"/>
              </w:numPr>
              <w:tabs>
                <w:tab w:val="left" w:pos="951"/>
              </w:tabs>
              <w:spacing w:before="182" w:line="254" w:lineRule="auto"/>
              <w:ind w:left="951" w:right="219" w:hanging="292"/>
              <w:jc w:val="both"/>
              <w:rPr>
                <w:sz w:val="20"/>
              </w:rPr>
            </w:pPr>
            <w:r>
              <w:rPr>
                <w:w w:val="105"/>
                <w:sz w:val="20"/>
              </w:rPr>
              <w:t>The behavior markedly interferes with normal activities or results in self-inflicted bodily injury that requires medical treatment (or would result in an injury if preventive measures were not</w:t>
            </w:r>
            <w:r>
              <w:rPr>
                <w:spacing w:val="35"/>
                <w:w w:val="105"/>
                <w:sz w:val="20"/>
              </w:rPr>
              <w:t xml:space="preserve"> </w:t>
            </w:r>
            <w:r>
              <w:rPr>
                <w:w w:val="105"/>
                <w:sz w:val="20"/>
              </w:rPr>
              <w:t>used).</w:t>
            </w:r>
          </w:p>
          <w:p w:rsidR="00E675F0" w:rsidRDefault="00E675F0" w:rsidP="003048D3">
            <w:pPr>
              <w:pStyle w:val="TableParagraph"/>
              <w:numPr>
                <w:ilvl w:val="1"/>
                <w:numId w:val="69"/>
              </w:numPr>
              <w:tabs>
                <w:tab w:val="left" w:pos="961"/>
              </w:tabs>
              <w:spacing w:before="182" w:line="256" w:lineRule="auto"/>
              <w:ind w:left="959" w:right="220" w:hanging="306"/>
              <w:jc w:val="both"/>
              <w:rPr>
                <w:rFonts w:ascii="Arial"/>
                <w:sz w:val="16"/>
              </w:rPr>
            </w:pPr>
            <w:r>
              <w:rPr>
                <w:w w:val="105"/>
                <w:sz w:val="20"/>
              </w:rPr>
              <w:t>If</w:t>
            </w:r>
            <w:r>
              <w:rPr>
                <w:spacing w:val="-15"/>
                <w:w w:val="105"/>
                <w:sz w:val="20"/>
              </w:rPr>
              <w:t xml:space="preserve"> </w:t>
            </w:r>
            <w:r>
              <w:rPr>
                <w:w w:val="105"/>
                <w:sz w:val="20"/>
              </w:rPr>
              <w:t>Mental</w:t>
            </w:r>
            <w:r>
              <w:rPr>
                <w:spacing w:val="-10"/>
                <w:w w:val="105"/>
                <w:sz w:val="20"/>
              </w:rPr>
              <w:t xml:space="preserve"> </w:t>
            </w:r>
            <w:r>
              <w:rPr>
                <w:w w:val="105"/>
                <w:sz w:val="20"/>
              </w:rPr>
              <w:t>Retardation</w:t>
            </w:r>
            <w:r>
              <w:rPr>
                <w:spacing w:val="-8"/>
                <w:w w:val="105"/>
                <w:sz w:val="20"/>
              </w:rPr>
              <w:t xml:space="preserve"> </w:t>
            </w:r>
            <w:r>
              <w:rPr>
                <w:w w:val="105"/>
                <w:sz w:val="20"/>
              </w:rPr>
              <w:t>is</w:t>
            </w:r>
            <w:r>
              <w:rPr>
                <w:spacing w:val="-17"/>
                <w:w w:val="105"/>
                <w:sz w:val="20"/>
              </w:rPr>
              <w:t xml:space="preserve"> </w:t>
            </w:r>
            <w:r>
              <w:rPr>
                <w:w w:val="105"/>
                <w:sz w:val="20"/>
              </w:rPr>
              <w:t>present,</w:t>
            </w:r>
            <w:r>
              <w:rPr>
                <w:spacing w:val="-13"/>
                <w:w w:val="105"/>
                <w:sz w:val="20"/>
              </w:rPr>
              <w:t xml:space="preserve"> </w:t>
            </w:r>
            <w:r>
              <w:rPr>
                <w:w w:val="105"/>
                <w:sz w:val="20"/>
              </w:rPr>
              <w:t>the</w:t>
            </w:r>
            <w:r>
              <w:rPr>
                <w:spacing w:val="-24"/>
                <w:w w:val="105"/>
                <w:sz w:val="20"/>
              </w:rPr>
              <w:t xml:space="preserve"> </w:t>
            </w:r>
            <w:r>
              <w:rPr>
                <w:w w:val="105"/>
                <w:sz w:val="20"/>
              </w:rPr>
              <w:t>stereotypic</w:t>
            </w:r>
            <w:r>
              <w:rPr>
                <w:spacing w:val="-12"/>
                <w:w w:val="105"/>
                <w:sz w:val="20"/>
              </w:rPr>
              <w:t xml:space="preserve"> </w:t>
            </w:r>
            <w:r>
              <w:rPr>
                <w:w w:val="105"/>
                <w:sz w:val="20"/>
              </w:rPr>
              <w:t>or</w:t>
            </w:r>
            <w:r>
              <w:rPr>
                <w:spacing w:val="-22"/>
                <w:w w:val="105"/>
                <w:sz w:val="20"/>
              </w:rPr>
              <w:t xml:space="preserve"> </w:t>
            </w:r>
            <w:r>
              <w:rPr>
                <w:w w:val="105"/>
                <w:sz w:val="20"/>
              </w:rPr>
              <w:t>self-injurious</w:t>
            </w:r>
            <w:r>
              <w:rPr>
                <w:spacing w:val="-26"/>
                <w:w w:val="105"/>
                <w:sz w:val="20"/>
              </w:rPr>
              <w:t xml:space="preserve"> </w:t>
            </w:r>
            <w:r>
              <w:rPr>
                <w:w w:val="105"/>
                <w:sz w:val="20"/>
              </w:rPr>
              <w:t xml:space="preserve">behavior is of sufficient severity </w:t>
            </w:r>
            <w:r>
              <w:rPr>
                <w:w w:val="105"/>
                <w:sz w:val="18"/>
              </w:rPr>
              <w:t xml:space="preserve">to </w:t>
            </w:r>
            <w:r>
              <w:rPr>
                <w:w w:val="105"/>
                <w:sz w:val="20"/>
              </w:rPr>
              <w:t>become a focus of</w:t>
            </w:r>
            <w:r>
              <w:rPr>
                <w:spacing w:val="21"/>
                <w:w w:val="105"/>
                <w:sz w:val="20"/>
              </w:rPr>
              <w:t xml:space="preserve"> </w:t>
            </w:r>
            <w:r>
              <w:rPr>
                <w:w w:val="105"/>
                <w:sz w:val="20"/>
              </w:rPr>
              <w:t>treatment.</w:t>
            </w:r>
          </w:p>
          <w:p w:rsidR="00E675F0" w:rsidRDefault="00E675F0" w:rsidP="003048D3">
            <w:pPr>
              <w:pStyle w:val="TableParagraph"/>
              <w:numPr>
                <w:ilvl w:val="1"/>
                <w:numId w:val="69"/>
              </w:numPr>
              <w:tabs>
                <w:tab w:val="left" w:pos="951"/>
              </w:tabs>
              <w:spacing w:before="176" w:line="254" w:lineRule="auto"/>
              <w:ind w:right="219" w:hanging="305"/>
              <w:jc w:val="both"/>
              <w:rPr>
                <w:sz w:val="20"/>
              </w:rPr>
            </w:pPr>
            <w:r>
              <w:rPr>
                <w:w w:val="105"/>
                <w:sz w:val="20"/>
              </w:rPr>
              <w:t>The behavior is not better accounted for by a compulsion (as in Obsessive-Compulsive Disorder), a tic (as in Tic Disorder), a stereotypy that is part of a Pervasive Developmental Disorder, or  hair pulling (as in</w:t>
            </w:r>
            <w:r>
              <w:rPr>
                <w:spacing w:val="-1"/>
                <w:w w:val="105"/>
                <w:sz w:val="20"/>
              </w:rPr>
              <w:t xml:space="preserve"> </w:t>
            </w:r>
            <w:r>
              <w:rPr>
                <w:w w:val="105"/>
                <w:sz w:val="20"/>
              </w:rPr>
              <w:t>Trichotillomania).</w:t>
            </w:r>
          </w:p>
          <w:p w:rsidR="00E675F0" w:rsidRDefault="00E675F0" w:rsidP="003048D3">
            <w:pPr>
              <w:pStyle w:val="TableParagraph"/>
              <w:numPr>
                <w:ilvl w:val="1"/>
                <w:numId w:val="69"/>
              </w:numPr>
              <w:tabs>
                <w:tab w:val="left" w:pos="951"/>
              </w:tabs>
              <w:spacing w:before="179" w:line="252" w:lineRule="auto"/>
              <w:ind w:right="234" w:hanging="305"/>
              <w:jc w:val="both"/>
              <w:rPr>
                <w:sz w:val="20"/>
              </w:rPr>
            </w:pPr>
            <w:r>
              <w:rPr>
                <w:w w:val="105"/>
                <w:sz w:val="20"/>
              </w:rPr>
              <w:t>The behavior is not due to the direct physiological effects of a substance or a general medical</w:t>
            </w:r>
            <w:r>
              <w:rPr>
                <w:spacing w:val="12"/>
                <w:w w:val="105"/>
                <w:sz w:val="20"/>
              </w:rPr>
              <w:t xml:space="preserve"> </w:t>
            </w:r>
            <w:r>
              <w:rPr>
                <w:w w:val="105"/>
                <w:sz w:val="20"/>
              </w:rPr>
              <w:t>condition.</w:t>
            </w:r>
          </w:p>
          <w:p w:rsidR="00E675F0" w:rsidRDefault="00E675F0" w:rsidP="003048D3">
            <w:pPr>
              <w:pStyle w:val="TableParagraph"/>
              <w:numPr>
                <w:ilvl w:val="1"/>
                <w:numId w:val="69"/>
              </w:numPr>
              <w:tabs>
                <w:tab w:val="left" w:pos="951"/>
              </w:tabs>
              <w:spacing w:before="185"/>
              <w:ind w:left="950" w:hanging="297"/>
              <w:rPr>
                <w:sz w:val="20"/>
              </w:rPr>
            </w:pPr>
            <w:r>
              <w:rPr>
                <w:w w:val="105"/>
                <w:sz w:val="20"/>
              </w:rPr>
              <w:t>The behavior persists for 4 weeks or</w:t>
            </w:r>
            <w:r>
              <w:rPr>
                <w:spacing w:val="42"/>
                <w:w w:val="105"/>
                <w:sz w:val="20"/>
              </w:rPr>
              <w:t xml:space="preserve"> </w:t>
            </w:r>
            <w:r>
              <w:rPr>
                <w:w w:val="105"/>
                <w:sz w:val="20"/>
              </w:rPr>
              <w:t>longer.</w:t>
            </w:r>
          </w:p>
          <w:p w:rsidR="00E675F0" w:rsidRDefault="00E675F0" w:rsidP="00A330E1">
            <w:pPr>
              <w:pStyle w:val="TableParagraph"/>
              <w:spacing w:before="193"/>
              <w:ind w:left="420"/>
              <w:jc w:val="both"/>
              <w:rPr>
                <w:rFonts w:ascii="Arial"/>
                <w:sz w:val="18"/>
              </w:rPr>
            </w:pPr>
            <w:r>
              <w:rPr>
                <w:i/>
                <w:sz w:val="19"/>
              </w:rPr>
              <w:t xml:space="preserve">Specify </w:t>
            </w:r>
            <w:r>
              <w:rPr>
                <w:rFonts w:ascii="Arial"/>
                <w:sz w:val="18"/>
              </w:rPr>
              <w:t>if</w:t>
            </w:r>
          </w:p>
          <w:p w:rsidR="00E675F0" w:rsidRDefault="00E675F0" w:rsidP="00A330E1">
            <w:pPr>
              <w:pStyle w:val="TableParagraph"/>
              <w:spacing w:before="7" w:line="254" w:lineRule="auto"/>
              <w:ind w:left="805" w:right="230" w:hanging="159"/>
              <w:jc w:val="both"/>
              <w:rPr>
                <w:sz w:val="20"/>
              </w:rPr>
            </w:pPr>
            <w:r>
              <w:rPr>
                <w:b/>
                <w:w w:val="105"/>
                <w:sz w:val="19"/>
              </w:rPr>
              <w:t xml:space="preserve">With Self-Injurious Behavior: </w:t>
            </w:r>
            <w:r>
              <w:rPr>
                <w:w w:val="105"/>
                <w:sz w:val="20"/>
              </w:rPr>
              <w:t>if the behavior results in</w:t>
            </w:r>
            <w:r>
              <w:rPr>
                <w:spacing w:val="52"/>
                <w:w w:val="105"/>
                <w:sz w:val="20"/>
              </w:rPr>
              <w:t xml:space="preserve"> </w:t>
            </w:r>
            <w:r>
              <w:rPr>
                <w:w w:val="105"/>
                <w:sz w:val="20"/>
              </w:rPr>
              <w:t>bodily  damage that requires specific treatment (or that would result in bodily damage if protective measures were not</w:t>
            </w:r>
            <w:r>
              <w:rPr>
                <w:spacing w:val="26"/>
                <w:w w:val="105"/>
                <w:sz w:val="20"/>
              </w:rPr>
              <w:t xml:space="preserve"> </w:t>
            </w:r>
            <w:r>
              <w:rPr>
                <w:w w:val="105"/>
                <w:sz w:val="20"/>
              </w:rPr>
              <w:t>used)</w:t>
            </w:r>
          </w:p>
        </w:tc>
      </w:tr>
    </w:tbl>
    <w:p w:rsidR="00E675F0" w:rsidRDefault="00E675F0" w:rsidP="00E675F0">
      <w:pPr>
        <w:pStyle w:val="BodyText"/>
      </w:pPr>
    </w:p>
    <w:p w:rsidR="00E675F0" w:rsidRDefault="00E675F0" w:rsidP="00E675F0">
      <w:pPr>
        <w:pStyle w:val="BodyText"/>
        <w:spacing w:before="2"/>
        <w:rPr>
          <w:sz w:val="25"/>
        </w:rPr>
      </w:pPr>
    </w:p>
    <w:p w:rsidR="00E675F0" w:rsidRDefault="00E675F0" w:rsidP="00E675F0">
      <w:pPr>
        <w:tabs>
          <w:tab w:val="left" w:pos="2184"/>
        </w:tabs>
        <w:spacing w:before="92" w:line="247" w:lineRule="auto"/>
        <w:ind w:left="1476" w:right="1244" w:hanging="212"/>
        <w:rPr>
          <w:rFonts w:ascii="Arial"/>
          <w:b/>
          <w:sz w:val="26"/>
        </w:rPr>
      </w:pPr>
      <w:r>
        <w:rPr>
          <w:noProof/>
        </w:rPr>
        <mc:AlternateContent>
          <mc:Choice Requires="wpg">
            <w:drawing>
              <wp:anchor distT="0" distB="0" distL="114300" distR="114300" simplePos="0" relativeHeight="251782144" behindDoc="1" locked="0" layoutInCell="1" allowOverlap="1" wp14:anchorId="25325E43" wp14:editId="1856E564">
                <wp:simplePos x="0" y="0"/>
                <wp:positionH relativeFrom="page">
                  <wp:posOffset>460375</wp:posOffset>
                </wp:positionH>
                <wp:positionV relativeFrom="paragraph">
                  <wp:posOffset>-4758690</wp:posOffset>
                </wp:positionV>
                <wp:extent cx="4754245" cy="4481195"/>
                <wp:effectExtent l="0" t="12700" r="8255" b="0"/>
                <wp:wrapNone/>
                <wp:docPr id="1496" name="Group 1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4245" cy="4481195"/>
                          <a:chOff x="725" y="-7494"/>
                          <a:chExt cx="7487" cy="7057"/>
                        </a:xfrm>
                      </wpg:grpSpPr>
                      <wps:wsp>
                        <wps:cNvPr id="1497" name="AutoShape 1454"/>
                        <wps:cNvSpPr>
                          <a:spLocks/>
                        </wps:cNvSpPr>
                        <wps:spPr bwMode="auto">
                          <a:xfrm>
                            <a:off x="792" y="-7495"/>
                            <a:ext cx="7323" cy="7057"/>
                          </a:xfrm>
                          <a:custGeom>
                            <a:avLst/>
                            <a:gdLst>
                              <a:gd name="T0" fmla="+- 0 792 792"/>
                              <a:gd name="T1" fmla="*/ T0 w 7323"/>
                              <a:gd name="T2" fmla="+- 0 -438 -7494"/>
                              <a:gd name="T3" fmla="*/ -438 h 7057"/>
                              <a:gd name="T4" fmla="+- 0 792 792"/>
                              <a:gd name="T5" fmla="*/ T4 w 7323"/>
                              <a:gd name="T6" fmla="+- 0 -7494 -7494"/>
                              <a:gd name="T7" fmla="*/ -7494 h 7057"/>
                              <a:gd name="T8" fmla="+- 0 8115 792"/>
                              <a:gd name="T9" fmla="*/ T8 w 7323"/>
                              <a:gd name="T10" fmla="+- 0 -438 -7494"/>
                              <a:gd name="T11" fmla="*/ -438 h 7057"/>
                              <a:gd name="T12" fmla="+- 0 8115 792"/>
                              <a:gd name="T13" fmla="*/ T12 w 7323"/>
                              <a:gd name="T14" fmla="+- 0 -7494 -7494"/>
                              <a:gd name="T15" fmla="*/ -7494 h 7057"/>
                            </a:gdLst>
                            <a:ahLst/>
                            <a:cxnLst>
                              <a:cxn ang="0">
                                <a:pos x="T1" y="T3"/>
                              </a:cxn>
                              <a:cxn ang="0">
                                <a:pos x="T5" y="T7"/>
                              </a:cxn>
                              <a:cxn ang="0">
                                <a:pos x="T9" y="T11"/>
                              </a:cxn>
                              <a:cxn ang="0">
                                <a:pos x="T13" y="T15"/>
                              </a:cxn>
                            </a:cxnLst>
                            <a:rect l="0" t="0" r="r" b="b"/>
                            <a:pathLst>
                              <a:path w="7323" h="7057">
                                <a:moveTo>
                                  <a:pt x="0" y="7056"/>
                                </a:moveTo>
                                <a:lnTo>
                                  <a:pt x="0" y="0"/>
                                </a:lnTo>
                                <a:moveTo>
                                  <a:pt x="7323" y="7056"/>
                                </a:moveTo>
                                <a:lnTo>
                                  <a:pt x="7323" y="0"/>
                                </a:lnTo>
                              </a:path>
                            </a:pathLst>
                          </a:custGeom>
                          <a:noFill/>
                          <a:ln w="305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8" name="Line 1453"/>
                        <wps:cNvCnPr>
                          <a:cxnSpLocks/>
                        </wps:cNvCnPr>
                        <wps:spPr bwMode="auto">
                          <a:xfrm>
                            <a:off x="725" y="-7485"/>
                            <a:ext cx="7486" cy="0"/>
                          </a:xfrm>
                          <a:prstGeom prst="line">
                            <a:avLst/>
                          </a:prstGeom>
                          <a:noFill/>
                          <a:ln w="305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E1DA99" id="Group 1452" o:spid="_x0000_s1026" style="position:absolute;margin-left:36.25pt;margin-top:-374.7pt;width:374.35pt;height:352.85pt;z-index:-251534336;mso-position-horizontal-relative:page" coordorigin="725,-7494" coordsize="7487,70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">
                <v:shape id="AutoShape 1454" o:spid="_x0000_s1027" style="position:absolute;left:792;top:-7495;width:7323;height:7057;visibility:visible;mso-wrap-style:square;v-text-anchor:top" coordsize="7323,70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" path="m,7056l,m7323,7056l7323,e" filled="f" strokeweight=".84825mm">
                  <v:path arrowok="t" o:connecttype="custom" o:connectlocs="0,-438;0,-7494;7323,-438;7323,-7494" o:connectangles="0,0,0,0"/>
                </v:shape>
                <v:line id="Line 1453" o:spid="_x0000_s1028" style="position:absolute;visibility:visible;mso-wrap-style:square" from="725,-7485" to="8211,-74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" strokeweight=".08478mm">
                  <o:lock v:ext="edit" shapetype="f"/>
                </v:line>
                <w10:wrap anchorx="page"/>
              </v:group>
            </w:pict>
          </mc:Fallback>
        </mc:AlternateContent>
      </w:r>
      <w:r>
        <w:rPr>
          <w:rFonts w:ascii="Arial"/>
          <w:b/>
          <w:sz w:val="26"/>
        </w:rPr>
        <w:t>313.9</w:t>
      </w:r>
      <w:r>
        <w:rPr>
          <w:rFonts w:ascii="Arial"/>
          <w:b/>
          <w:sz w:val="26"/>
        </w:rPr>
        <w:tab/>
        <w:t>Disorder of Infancy, Childhood, or Adolescence Not Otherwise</w:t>
      </w:r>
      <w:r>
        <w:rPr>
          <w:rFonts w:ascii="Arial"/>
          <w:b/>
          <w:spacing w:val="-28"/>
          <w:sz w:val="26"/>
        </w:rPr>
        <w:t xml:space="preserve"> </w:t>
      </w:r>
      <w:r>
        <w:rPr>
          <w:rFonts w:ascii="Arial"/>
          <w:b/>
          <w:sz w:val="26"/>
        </w:rPr>
        <w:t>Specified</w:t>
      </w:r>
    </w:p>
    <w:p w:rsidR="00E675F0" w:rsidRDefault="00E675F0" w:rsidP="00E675F0">
      <w:pPr>
        <w:pStyle w:val="BodyText"/>
        <w:spacing w:before="239" w:line="256" w:lineRule="auto"/>
        <w:ind w:left="127" w:hanging="9"/>
      </w:pPr>
      <w:r>
        <w:rPr>
          <w:w w:val="105"/>
        </w:rPr>
        <w:t>This category is a residual category for disorders with onset in infancy, childhood, or adolescence that do not meet criteria for any specific disorder in the Classification.</w:t>
      </w:r>
    </w:p>
    <w:p w:rsidR="00E675F0" w:rsidRDefault="00E675F0" w:rsidP="00E675F0">
      <w:pPr>
        <w:spacing w:line="256" w:lineRule="auto"/>
        <w:sectPr w:rsidR="00E675F0">
          <w:pgSz w:w="8960" w:h="14260"/>
          <w:pgMar w:top="1400" w:right="640" w:bottom="280" w:left="600" w:header="689" w:footer="0" w:gutter="0"/>
          <w:cols w:space="720"/>
        </w:sectPr>
      </w:pPr>
    </w:p>
    <w:p w:rsidR="00E675F0" w:rsidRDefault="00E675F0" w:rsidP="00E675F0">
      <w:pPr>
        <w:pStyle w:val="BodyText"/>
      </w:pPr>
    </w:p>
    <w:p w:rsidR="00E675F0" w:rsidRDefault="00E675F0" w:rsidP="00E675F0">
      <w:pPr>
        <w:pStyle w:val="BodyText"/>
      </w:pPr>
    </w:p>
    <w:p w:rsidR="00E675F0" w:rsidRDefault="00E675F0" w:rsidP="00E675F0">
      <w:pPr>
        <w:pStyle w:val="BodyText"/>
      </w:pPr>
    </w:p>
    <w:p w:rsidR="00E675F0" w:rsidRDefault="00E675F0" w:rsidP="00E675F0">
      <w:pPr>
        <w:pStyle w:val="BodyText"/>
      </w:pPr>
    </w:p>
    <w:p w:rsidR="00E675F0" w:rsidRDefault="00E675F0" w:rsidP="00E675F0">
      <w:pPr>
        <w:pStyle w:val="BodyText"/>
      </w:pPr>
    </w:p>
    <w:p w:rsidR="00E675F0" w:rsidRDefault="00E675F0" w:rsidP="00E675F0">
      <w:pPr>
        <w:pStyle w:val="BodyText"/>
      </w:pPr>
    </w:p>
    <w:p w:rsidR="00E675F0" w:rsidRDefault="00E675F0" w:rsidP="00E675F0">
      <w:pPr>
        <w:pStyle w:val="BodyText"/>
      </w:pPr>
    </w:p>
    <w:p w:rsidR="00E675F0" w:rsidRDefault="00E675F0" w:rsidP="00E675F0">
      <w:pPr>
        <w:pStyle w:val="BodyText"/>
      </w:pPr>
    </w:p>
    <w:p w:rsidR="00E675F0" w:rsidRDefault="00E675F0" w:rsidP="00E675F0">
      <w:pPr>
        <w:pStyle w:val="BodyText"/>
        <w:spacing w:before="4" w:after="1"/>
        <w:rPr>
          <w:sz w:val="23"/>
        </w:rPr>
      </w:pPr>
    </w:p>
    <w:p w:rsidR="00E675F0" w:rsidRDefault="00E675F0" w:rsidP="00E675F0">
      <w:pPr>
        <w:pStyle w:val="BodyText"/>
        <w:spacing w:line="220" w:lineRule="exact"/>
        <w:ind w:left="1660"/>
      </w:pPr>
      <w:r>
        <w:rPr>
          <w:noProof/>
          <w:position w:val="-3"/>
        </w:rPr>
        <w:drawing>
          <wp:inline distT="0" distB="0" distL="0" distR="0" wp14:anchorId="58AAF7E1" wp14:editId="31F468AD">
            <wp:extent cx="2008632" cy="140207"/>
            <wp:effectExtent l="0" t="0" r="0" b="0"/>
            <wp:docPr id="3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png"/>
                    <pic:cNvPicPr/>
                  </pic:nvPicPr>
                  <pic:blipFill>
                    <a:blip r:embed="rId8" cstate="print"/>
                    <a:stretch>
                      <a:fillRect/>
                    </a:stretch>
                  </pic:blipFill>
                  <pic:spPr>
                    <a:xfrm>
                      <a:off x="0" y="0"/>
                      <a:ext cx="2008632" cy="140207"/>
                    </a:xfrm>
                    <a:prstGeom prst="rect">
                      <a:avLst/>
                    </a:prstGeom>
                  </pic:spPr>
                </pic:pic>
              </a:graphicData>
            </a:graphic>
          </wp:inline>
        </w:drawing>
      </w:r>
    </w:p>
    <w:p w:rsidR="00E675F0" w:rsidRDefault="00E675F0" w:rsidP="00E675F0">
      <w:pPr>
        <w:spacing w:line="220" w:lineRule="exact"/>
        <w:sectPr w:rsidR="00E675F0">
          <w:headerReference w:type="default" r:id="rId136"/>
          <w:pgSz w:w="8960" w:h="14260"/>
          <w:pgMar w:top="1320" w:right="1240" w:bottom="280" w:left="1240" w:header="0" w:footer="0" w:gutter="0"/>
          <w:cols w:space="720"/>
        </w:sectPr>
      </w:pPr>
    </w:p>
    <w:p w:rsidR="00E675F0" w:rsidRDefault="00E675F0" w:rsidP="00E675F0">
      <w:pPr>
        <w:pStyle w:val="BodyText"/>
      </w:pPr>
    </w:p>
    <w:p w:rsidR="00E675F0" w:rsidRDefault="00E675F0" w:rsidP="00E675F0">
      <w:pPr>
        <w:pStyle w:val="BodyText"/>
      </w:pPr>
    </w:p>
    <w:bookmarkStart w:id="80" w:name="Delirium,_Dementia,_and_Amnestic_and_Oth"/>
    <w:bookmarkStart w:id="81" w:name="_bookmark64"/>
    <w:bookmarkStart w:id="82" w:name="_bookmark65"/>
    <w:bookmarkEnd w:id="80"/>
    <w:bookmarkEnd w:id="81"/>
    <w:bookmarkEnd w:id="82"/>
    <w:p w:rsidR="00E675F0" w:rsidRDefault="00E675F0" w:rsidP="00E675F0">
      <w:pPr>
        <w:pStyle w:val="Heading4"/>
        <w:spacing w:before="230" w:line="288" w:lineRule="auto"/>
        <w:ind w:left="1233" w:right="0" w:hanging="646"/>
        <w:jc w:val="left"/>
      </w:pPr>
      <w:r>
        <w:fldChar w:fldCharType="begin"/>
      </w:r>
      <w:r>
        <w:instrText xml:space="preserve"> HYPERLINK \l "_bookmark0" </w:instrText>
      </w:r>
      <w:r>
        <w:fldChar w:fldCharType="separate"/>
      </w:r>
      <w:r>
        <w:rPr>
          <w:w w:val="105"/>
        </w:rPr>
        <w:t>Delirium, Dementia, and Amnestic and Other Cognitive Disorders</w:t>
      </w:r>
      <w:r>
        <w:rPr>
          <w:w w:val="105"/>
        </w:rPr>
        <w:fldChar w:fldCharType="end"/>
      </w:r>
    </w:p>
    <w:p w:rsidR="00E675F0" w:rsidRDefault="00E675F0" w:rsidP="00E675F0">
      <w:pPr>
        <w:pStyle w:val="BodyText"/>
        <w:rPr>
          <w:rFonts w:ascii="Arial"/>
          <w:b/>
        </w:rPr>
      </w:pPr>
    </w:p>
    <w:p w:rsidR="00E675F0" w:rsidRDefault="00E675F0" w:rsidP="00E675F0">
      <w:pPr>
        <w:pStyle w:val="BodyText"/>
        <w:rPr>
          <w:rFonts w:ascii="Arial"/>
          <w:b/>
        </w:rPr>
      </w:pPr>
    </w:p>
    <w:p w:rsidR="00E675F0" w:rsidRDefault="00E675F0" w:rsidP="00E675F0">
      <w:pPr>
        <w:pStyle w:val="BodyText"/>
        <w:rPr>
          <w:rFonts w:ascii="Arial"/>
          <w:b/>
        </w:rPr>
      </w:pPr>
    </w:p>
    <w:p w:rsidR="00E675F0" w:rsidRDefault="00E675F0" w:rsidP="00E675F0">
      <w:pPr>
        <w:pStyle w:val="BodyText"/>
        <w:rPr>
          <w:rFonts w:ascii="Arial"/>
          <w:b/>
        </w:rPr>
      </w:pPr>
    </w:p>
    <w:p w:rsidR="00E675F0" w:rsidRDefault="00E675F0" w:rsidP="00E675F0">
      <w:pPr>
        <w:pStyle w:val="BodyText"/>
        <w:rPr>
          <w:rFonts w:ascii="Arial"/>
          <w:b/>
        </w:rPr>
      </w:pPr>
    </w:p>
    <w:p w:rsidR="00E675F0" w:rsidRDefault="00E675F0" w:rsidP="00E675F0">
      <w:pPr>
        <w:pStyle w:val="BodyText"/>
        <w:spacing w:before="3"/>
        <w:rPr>
          <w:rFonts w:ascii="Arial"/>
          <w:b/>
          <w:sz w:val="24"/>
        </w:rPr>
      </w:pPr>
    </w:p>
    <w:p w:rsidR="00E675F0" w:rsidRDefault="00E675F0" w:rsidP="00E675F0">
      <w:pPr>
        <w:pStyle w:val="BodyText"/>
        <w:spacing w:before="92" w:line="254" w:lineRule="auto"/>
        <w:ind w:left="120" w:right="122" w:firstLine="461"/>
        <w:jc w:val="right"/>
      </w:pPr>
      <w:r>
        <w:rPr>
          <w:noProof/>
        </w:rPr>
        <mc:AlternateContent>
          <mc:Choice Requires="wps">
            <w:drawing>
              <wp:anchor distT="0" distB="0" distL="114300" distR="114300" simplePos="0" relativeHeight="251783168" behindDoc="1" locked="0" layoutInCell="1" allowOverlap="1" wp14:anchorId="08608AF2" wp14:editId="7ABF0E13">
                <wp:simplePos x="0" y="0"/>
                <wp:positionH relativeFrom="page">
                  <wp:posOffset>469900</wp:posOffset>
                </wp:positionH>
                <wp:positionV relativeFrom="paragraph">
                  <wp:posOffset>-73025</wp:posOffset>
                </wp:positionV>
                <wp:extent cx="287655" cy="504825"/>
                <wp:effectExtent l="0" t="0" r="0" b="0"/>
                <wp:wrapNone/>
                <wp:docPr id="1495" name="Text Box 1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7655"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5F0" w:rsidRDefault="00E675F0" w:rsidP="00E675F0">
                            <w:pPr>
                              <w:spacing w:line="794" w:lineRule="exact"/>
                              <w:rPr>
                                <w:rFonts w:ascii="Arial"/>
                                <w:sz w:val="71"/>
                              </w:rPr>
                            </w:pPr>
                            <w:r>
                              <w:rPr>
                                <w:rFonts w:ascii="Arial"/>
                                <w:w w:val="104"/>
                                <w:sz w:val="71"/>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08AF2" id="Text Box 1451" o:spid="_x0000_s1089" type="#_x0000_t202" style="position:absolute;left:0;text-align:left;margin-left:37pt;margin-top:-5.75pt;width:22.65pt;height:39.75pt;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" filled="f" stroked="f">
                <v:path arrowok="t"/>
                <v:textbox inset="0,0,0,0">
                  <w:txbxContent>
                    <w:p w:rsidR="00E675F0" w:rsidRDefault="00E675F0" w:rsidP="00E675F0">
                      <w:pPr>
                        <w:spacing w:line="794" w:lineRule="exact"/>
                        <w:rPr>
                          <w:rFonts w:ascii="Arial"/>
                          <w:sz w:val="71"/>
                        </w:rPr>
                      </w:pPr>
                      <w:r>
                        <w:rPr>
                          <w:rFonts w:ascii="Arial"/>
                          <w:w w:val="104"/>
                          <w:sz w:val="71"/>
                        </w:rPr>
                        <w:t>T</w:t>
                      </w:r>
                    </w:p>
                  </w:txbxContent>
                </v:textbox>
                <w10:wrap anchorx="page"/>
              </v:shape>
            </w:pict>
          </mc:Fallback>
        </mc:AlternateContent>
      </w:r>
      <w:r>
        <w:rPr>
          <w:w w:val="105"/>
        </w:rPr>
        <w:t>his section includes Delirium, Dementia, Amnestic Disorders, and Cognitive</w:t>
      </w:r>
      <w:r>
        <w:rPr>
          <w:w w:val="101"/>
        </w:rPr>
        <w:t xml:space="preserve"> </w:t>
      </w:r>
      <w:r>
        <w:rPr>
          <w:w w:val="105"/>
        </w:rPr>
        <w:t>Disorder Not Otherwise Specified. The predominant disturbance is a clinically</w:t>
      </w:r>
      <w:r>
        <w:rPr>
          <w:w w:val="99"/>
        </w:rPr>
        <w:t xml:space="preserve"> </w:t>
      </w:r>
      <w:r>
        <w:rPr>
          <w:w w:val="105"/>
        </w:rPr>
        <w:t>significant deficit in cognition or memory that represents a significant change from a</w:t>
      </w:r>
      <w:r>
        <w:rPr>
          <w:w w:val="104"/>
        </w:rPr>
        <w:t xml:space="preserve"> </w:t>
      </w:r>
      <w:r>
        <w:rPr>
          <w:w w:val="105"/>
        </w:rPr>
        <w:t>previous level of functioning. For each disorder in this section, the etiology is either a</w:t>
      </w:r>
      <w:r>
        <w:rPr>
          <w:w w:val="104"/>
        </w:rPr>
        <w:t xml:space="preserve"> </w:t>
      </w:r>
      <w:r>
        <w:rPr>
          <w:w w:val="105"/>
        </w:rPr>
        <w:t>general medical condition (although the specific general medical condition may not be</w:t>
      </w:r>
      <w:r>
        <w:rPr>
          <w:w w:val="110"/>
        </w:rPr>
        <w:t xml:space="preserve"> </w:t>
      </w:r>
      <w:r>
        <w:rPr>
          <w:w w:val="105"/>
        </w:rPr>
        <w:t>identifiable) or a substance (i.e., a drug of abuse, medication, or toxin), or a combination</w:t>
      </w:r>
    </w:p>
    <w:p w:rsidR="00E675F0" w:rsidRDefault="00E675F0" w:rsidP="00E675F0">
      <w:pPr>
        <w:pStyle w:val="BodyText"/>
        <w:spacing w:line="224" w:lineRule="exact"/>
        <w:ind w:left="124"/>
        <w:jc w:val="both"/>
      </w:pPr>
      <w:r>
        <w:t>of these factors.</w:t>
      </w:r>
    </w:p>
    <w:p w:rsidR="00E675F0" w:rsidRDefault="00E675F0" w:rsidP="00E675F0">
      <w:pPr>
        <w:pStyle w:val="BodyText"/>
        <w:spacing w:before="15" w:line="252" w:lineRule="auto"/>
        <w:ind w:left="119" w:right="120" w:firstLine="368"/>
        <w:jc w:val="both"/>
      </w:pPr>
      <w:r>
        <w:rPr>
          <w:w w:val="105"/>
        </w:rPr>
        <w:t xml:space="preserve">In DSM-III-R, these disorders were placed in a section titled "Organic Mental Syndromes and Disorders." The term </w:t>
      </w:r>
      <w:r>
        <w:rPr>
          <w:i/>
          <w:w w:val="105"/>
        </w:rPr>
        <w:t xml:space="preserve">organic mental disorder </w:t>
      </w:r>
      <w:r>
        <w:rPr>
          <w:w w:val="105"/>
        </w:rPr>
        <w:t>is no longer used in DSM-IV because it incorrectly implies that "nonorganic" mental disorders do  not have  a</w:t>
      </w:r>
      <w:r>
        <w:rPr>
          <w:spacing w:val="-7"/>
          <w:w w:val="105"/>
        </w:rPr>
        <w:t xml:space="preserve"> </w:t>
      </w:r>
      <w:r>
        <w:rPr>
          <w:w w:val="105"/>
        </w:rPr>
        <w:t>biological</w:t>
      </w:r>
      <w:r>
        <w:rPr>
          <w:spacing w:val="3"/>
          <w:w w:val="105"/>
        </w:rPr>
        <w:t xml:space="preserve"> </w:t>
      </w:r>
      <w:r>
        <w:rPr>
          <w:w w:val="105"/>
        </w:rPr>
        <w:t>basis.</w:t>
      </w:r>
      <w:r>
        <w:rPr>
          <w:spacing w:val="-10"/>
          <w:w w:val="105"/>
        </w:rPr>
        <w:t xml:space="preserve"> </w:t>
      </w:r>
      <w:r>
        <w:rPr>
          <w:w w:val="105"/>
        </w:rPr>
        <w:t>In</w:t>
      </w:r>
      <w:r>
        <w:rPr>
          <w:spacing w:val="-8"/>
          <w:w w:val="105"/>
        </w:rPr>
        <w:t xml:space="preserve"> </w:t>
      </w:r>
      <w:r>
        <w:rPr>
          <w:w w:val="105"/>
        </w:rPr>
        <w:t>DSM-IV,</w:t>
      </w:r>
      <w:r>
        <w:rPr>
          <w:spacing w:val="-2"/>
          <w:w w:val="105"/>
        </w:rPr>
        <w:t xml:space="preserve"> </w:t>
      </w:r>
      <w:r>
        <w:rPr>
          <w:w w:val="105"/>
        </w:rPr>
        <w:t>disorders</w:t>
      </w:r>
      <w:r>
        <w:rPr>
          <w:spacing w:val="-7"/>
          <w:w w:val="105"/>
        </w:rPr>
        <w:t xml:space="preserve"> </w:t>
      </w:r>
      <w:r>
        <w:rPr>
          <w:w w:val="105"/>
        </w:rPr>
        <w:t>formerly</w:t>
      </w:r>
      <w:r>
        <w:rPr>
          <w:spacing w:val="-7"/>
          <w:w w:val="105"/>
        </w:rPr>
        <w:t xml:space="preserve"> </w:t>
      </w:r>
      <w:r>
        <w:rPr>
          <w:w w:val="105"/>
        </w:rPr>
        <w:t>called</w:t>
      </w:r>
      <w:r>
        <w:rPr>
          <w:spacing w:val="-8"/>
          <w:w w:val="105"/>
        </w:rPr>
        <w:t xml:space="preserve"> </w:t>
      </w:r>
      <w:r>
        <w:rPr>
          <w:w w:val="105"/>
        </w:rPr>
        <w:t>"organic mental</w:t>
      </w:r>
      <w:r>
        <w:rPr>
          <w:spacing w:val="-7"/>
          <w:w w:val="105"/>
        </w:rPr>
        <w:t xml:space="preserve"> </w:t>
      </w:r>
      <w:r>
        <w:rPr>
          <w:w w:val="105"/>
        </w:rPr>
        <w:t>disorders"</w:t>
      </w:r>
      <w:r>
        <w:rPr>
          <w:spacing w:val="3"/>
          <w:w w:val="105"/>
        </w:rPr>
        <w:t xml:space="preserve"> </w:t>
      </w:r>
      <w:r>
        <w:rPr>
          <w:w w:val="105"/>
        </w:rPr>
        <w:t>have been grouped into three sections: 1) Delirium, Dementia, and Amnestic and Other Cognitive Disorders; 2) Mental Disorders Due to a General Medical Condition;</w:t>
      </w:r>
      <w:r>
        <w:rPr>
          <w:spacing w:val="27"/>
          <w:w w:val="105"/>
        </w:rPr>
        <w:t xml:space="preserve"> </w:t>
      </w:r>
      <w:r>
        <w:rPr>
          <w:w w:val="105"/>
        </w:rPr>
        <w:t>and</w:t>
      </w:r>
    </w:p>
    <w:p w:rsidR="00E675F0" w:rsidRDefault="00E675F0" w:rsidP="003048D3">
      <w:pPr>
        <w:pStyle w:val="ListParagraph"/>
        <w:numPr>
          <w:ilvl w:val="0"/>
          <w:numId w:val="138"/>
        </w:numPr>
        <w:tabs>
          <w:tab w:val="left" w:pos="356"/>
        </w:tabs>
        <w:spacing w:before="3"/>
        <w:ind w:left="355" w:hanging="233"/>
        <w:jc w:val="both"/>
        <w:rPr>
          <w:sz w:val="20"/>
        </w:rPr>
      </w:pPr>
      <w:r>
        <w:rPr>
          <w:w w:val="105"/>
          <w:sz w:val="20"/>
        </w:rPr>
        <w:t>Substance-Related</w:t>
      </w:r>
      <w:r>
        <w:rPr>
          <w:spacing w:val="6"/>
          <w:w w:val="105"/>
          <w:sz w:val="20"/>
        </w:rPr>
        <w:t xml:space="preserve"> </w:t>
      </w:r>
      <w:r>
        <w:rPr>
          <w:w w:val="105"/>
          <w:sz w:val="20"/>
        </w:rPr>
        <w:t>Disorders.</w:t>
      </w:r>
    </w:p>
    <w:p w:rsidR="00E675F0" w:rsidRDefault="00E675F0" w:rsidP="00E675F0">
      <w:pPr>
        <w:pStyle w:val="BodyText"/>
        <w:spacing w:before="11" w:line="252" w:lineRule="auto"/>
        <w:ind w:left="118" w:right="115" w:firstLine="367"/>
        <w:jc w:val="both"/>
      </w:pPr>
      <w:r>
        <w:rPr>
          <w:w w:val="110"/>
        </w:rPr>
        <w:t xml:space="preserve">A </w:t>
      </w:r>
      <w:r>
        <w:rPr>
          <w:b/>
          <w:w w:val="110"/>
        </w:rPr>
        <w:t xml:space="preserve">delirium </w:t>
      </w:r>
      <w:r>
        <w:rPr>
          <w:w w:val="110"/>
        </w:rPr>
        <w:t>is characterized by a disturbance of consciousness and a change in cognition that develop over a short period of time. The disorders included in the "Delirium"</w:t>
      </w:r>
      <w:r>
        <w:rPr>
          <w:spacing w:val="-29"/>
          <w:w w:val="110"/>
        </w:rPr>
        <w:t xml:space="preserve"> </w:t>
      </w:r>
      <w:r>
        <w:rPr>
          <w:w w:val="110"/>
        </w:rPr>
        <w:t>section</w:t>
      </w:r>
      <w:r>
        <w:rPr>
          <w:spacing w:val="-30"/>
          <w:w w:val="110"/>
        </w:rPr>
        <w:t xml:space="preserve"> </w:t>
      </w:r>
      <w:r>
        <w:rPr>
          <w:w w:val="110"/>
        </w:rPr>
        <w:t>are</w:t>
      </w:r>
      <w:r>
        <w:rPr>
          <w:spacing w:val="-32"/>
          <w:w w:val="110"/>
        </w:rPr>
        <w:t xml:space="preserve"> </w:t>
      </w:r>
      <w:r>
        <w:rPr>
          <w:w w:val="110"/>
        </w:rPr>
        <w:t>listed</w:t>
      </w:r>
      <w:r>
        <w:rPr>
          <w:spacing w:val="-30"/>
          <w:w w:val="110"/>
        </w:rPr>
        <w:t xml:space="preserve"> </w:t>
      </w:r>
      <w:r>
        <w:rPr>
          <w:w w:val="110"/>
        </w:rPr>
        <w:t>according</w:t>
      </w:r>
      <w:r>
        <w:rPr>
          <w:spacing w:val="-23"/>
          <w:w w:val="110"/>
        </w:rPr>
        <w:t xml:space="preserve"> </w:t>
      </w:r>
      <w:r>
        <w:rPr>
          <w:w w:val="110"/>
        </w:rPr>
        <w:t>to</w:t>
      </w:r>
      <w:r>
        <w:rPr>
          <w:spacing w:val="-32"/>
          <w:w w:val="110"/>
        </w:rPr>
        <w:t xml:space="preserve"> </w:t>
      </w:r>
      <w:r>
        <w:rPr>
          <w:w w:val="110"/>
        </w:rPr>
        <w:t>presumed</w:t>
      </w:r>
      <w:r>
        <w:rPr>
          <w:spacing w:val="-27"/>
          <w:w w:val="110"/>
        </w:rPr>
        <w:t xml:space="preserve"> </w:t>
      </w:r>
      <w:r>
        <w:rPr>
          <w:w w:val="110"/>
        </w:rPr>
        <w:t>etiology:</w:t>
      </w:r>
      <w:r>
        <w:rPr>
          <w:spacing w:val="-27"/>
          <w:w w:val="110"/>
        </w:rPr>
        <w:t xml:space="preserve"> </w:t>
      </w:r>
      <w:r>
        <w:rPr>
          <w:w w:val="110"/>
        </w:rPr>
        <w:t>Delirium</w:t>
      </w:r>
      <w:r>
        <w:rPr>
          <w:spacing w:val="-26"/>
          <w:w w:val="110"/>
        </w:rPr>
        <w:t xml:space="preserve"> </w:t>
      </w:r>
      <w:r>
        <w:rPr>
          <w:w w:val="110"/>
        </w:rPr>
        <w:t>Due</w:t>
      </w:r>
      <w:r>
        <w:rPr>
          <w:spacing w:val="-34"/>
          <w:w w:val="110"/>
        </w:rPr>
        <w:t xml:space="preserve"> </w:t>
      </w:r>
      <w:r>
        <w:rPr>
          <w:w w:val="110"/>
        </w:rPr>
        <w:t>to</w:t>
      </w:r>
      <w:r>
        <w:rPr>
          <w:spacing w:val="-33"/>
          <w:w w:val="110"/>
        </w:rPr>
        <w:t xml:space="preserve"> </w:t>
      </w:r>
      <w:r>
        <w:rPr>
          <w:w w:val="110"/>
        </w:rPr>
        <w:t>a</w:t>
      </w:r>
      <w:r>
        <w:rPr>
          <w:spacing w:val="-31"/>
          <w:w w:val="110"/>
        </w:rPr>
        <w:t xml:space="preserve"> </w:t>
      </w:r>
      <w:r>
        <w:rPr>
          <w:w w:val="110"/>
        </w:rPr>
        <w:t>General Medical Condition, Substance-Induced Delirium (i.e., due to a drug of abuse, a medication,</w:t>
      </w:r>
      <w:r>
        <w:rPr>
          <w:spacing w:val="-8"/>
          <w:w w:val="110"/>
        </w:rPr>
        <w:t xml:space="preserve"> </w:t>
      </w:r>
      <w:r>
        <w:rPr>
          <w:w w:val="110"/>
        </w:rPr>
        <w:t>or</w:t>
      </w:r>
      <w:r>
        <w:rPr>
          <w:spacing w:val="-9"/>
          <w:w w:val="110"/>
        </w:rPr>
        <w:t xml:space="preserve"> </w:t>
      </w:r>
      <w:r>
        <w:rPr>
          <w:w w:val="110"/>
        </w:rPr>
        <w:t>toxin</w:t>
      </w:r>
      <w:r>
        <w:rPr>
          <w:spacing w:val="-13"/>
          <w:w w:val="110"/>
        </w:rPr>
        <w:t xml:space="preserve"> </w:t>
      </w:r>
      <w:r>
        <w:rPr>
          <w:w w:val="110"/>
        </w:rPr>
        <w:t>exposure),</w:t>
      </w:r>
      <w:r>
        <w:rPr>
          <w:spacing w:val="-4"/>
          <w:w w:val="110"/>
        </w:rPr>
        <w:t xml:space="preserve"> </w:t>
      </w:r>
      <w:r>
        <w:rPr>
          <w:w w:val="110"/>
        </w:rPr>
        <w:t>Delirium</w:t>
      </w:r>
      <w:r>
        <w:rPr>
          <w:spacing w:val="-9"/>
          <w:w w:val="110"/>
        </w:rPr>
        <w:t xml:space="preserve"> </w:t>
      </w:r>
      <w:r>
        <w:rPr>
          <w:w w:val="110"/>
        </w:rPr>
        <w:t>Due</w:t>
      </w:r>
      <w:r>
        <w:rPr>
          <w:spacing w:val="-13"/>
          <w:w w:val="110"/>
        </w:rPr>
        <w:t xml:space="preserve"> </w:t>
      </w:r>
      <w:r>
        <w:rPr>
          <w:w w:val="110"/>
        </w:rPr>
        <w:t>to</w:t>
      </w:r>
      <w:r>
        <w:rPr>
          <w:spacing w:val="-17"/>
          <w:w w:val="110"/>
        </w:rPr>
        <w:t xml:space="preserve"> </w:t>
      </w:r>
      <w:r>
        <w:rPr>
          <w:w w:val="110"/>
        </w:rPr>
        <w:t>Multiple</w:t>
      </w:r>
      <w:r>
        <w:rPr>
          <w:spacing w:val="-7"/>
          <w:w w:val="110"/>
        </w:rPr>
        <w:t xml:space="preserve"> </w:t>
      </w:r>
      <w:r>
        <w:rPr>
          <w:w w:val="110"/>
        </w:rPr>
        <w:t>Etiologies,</w:t>
      </w:r>
      <w:r>
        <w:rPr>
          <w:spacing w:val="-6"/>
          <w:w w:val="110"/>
        </w:rPr>
        <w:t xml:space="preserve"> </w:t>
      </w:r>
      <w:r>
        <w:rPr>
          <w:w w:val="110"/>
        </w:rPr>
        <w:t>or</w:t>
      </w:r>
      <w:r>
        <w:rPr>
          <w:spacing w:val="-3"/>
          <w:w w:val="110"/>
        </w:rPr>
        <w:t xml:space="preserve"> </w:t>
      </w:r>
      <w:r>
        <w:rPr>
          <w:w w:val="110"/>
        </w:rPr>
        <w:t>Delirium</w:t>
      </w:r>
      <w:r>
        <w:rPr>
          <w:spacing w:val="-6"/>
          <w:w w:val="110"/>
        </w:rPr>
        <w:t xml:space="preserve"> </w:t>
      </w:r>
      <w:r>
        <w:rPr>
          <w:w w:val="110"/>
        </w:rPr>
        <w:t>Not Otherwise Specified (if the etiology is</w:t>
      </w:r>
      <w:r>
        <w:rPr>
          <w:spacing w:val="42"/>
          <w:w w:val="110"/>
        </w:rPr>
        <w:t xml:space="preserve"> </w:t>
      </w:r>
      <w:r>
        <w:rPr>
          <w:w w:val="110"/>
        </w:rPr>
        <w:t>indeterminate).</w:t>
      </w:r>
    </w:p>
    <w:p w:rsidR="00E675F0" w:rsidRDefault="00E675F0" w:rsidP="00E675F0">
      <w:pPr>
        <w:pStyle w:val="BodyText"/>
        <w:spacing w:line="256" w:lineRule="auto"/>
        <w:ind w:left="119" w:right="119" w:firstLine="361"/>
        <w:jc w:val="both"/>
      </w:pPr>
      <w:r>
        <w:rPr>
          <w:w w:val="105"/>
        </w:rPr>
        <w:t xml:space="preserve">A </w:t>
      </w:r>
      <w:r>
        <w:rPr>
          <w:b/>
          <w:w w:val="105"/>
        </w:rPr>
        <w:t xml:space="preserve">dementia </w:t>
      </w:r>
      <w:r>
        <w:rPr>
          <w:w w:val="105"/>
        </w:rPr>
        <w:t>is characterized by multiple cognitive deficits that include impairment in memory. The dementias are also listed according to presumed etiology: Dementia of the Alzheimer's Type, Vascular Dementia, Dementia Due to Other General Medical Conditions</w:t>
      </w:r>
      <w:r>
        <w:rPr>
          <w:spacing w:val="-13"/>
          <w:w w:val="105"/>
        </w:rPr>
        <w:t xml:space="preserve"> </w:t>
      </w:r>
      <w:r>
        <w:rPr>
          <w:w w:val="105"/>
        </w:rPr>
        <w:t>(e.g.,</w:t>
      </w:r>
      <w:r>
        <w:rPr>
          <w:spacing w:val="-12"/>
          <w:w w:val="105"/>
        </w:rPr>
        <w:t xml:space="preserve"> </w:t>
      </w:r>
      <w:r>
        <w:rPr>
          <w:w w:val="105"/>
        </w:rPr>
        <w:t>human</w:t>
      </w:r>
      <w:r>
        <w:rPr>
          <w:spacing w:val="-12"/>
          <w:w w:val="105"/>
        </w:rPr>
        <w:t xml:space="preserve"> </w:t>
      </w:r>
      <w:r>
        <w:rPr>
          <w:w w:val="105"/>
        </w:rPr>
        <w:t>immunodeficiency</w:t>
      </w:r>
      <w:r>
        <w:rPr>
          <w:spacing w:val="-20"/>
          <w:w w:val="105"/>
        </w:rPr>
        <w:t xml:space="preserve"> </w:t>
      </w:r>
      <w:r>
        <w:rPr>
          <w:w w:val="105"/>
        </w:rPr>
        <w:t>virus</w:t>
      </w:r>
      <w:r>
        <w:rPr>
          <w:spacing w:val="-25"/>
          <w:w w:val="105"/>
        </w:rPr>
        <w:t xml:space="preserve"> </w:t>
      </w:r>
      <w:r>
        <w:rPr>
          <w:w w:val="105"/>
        </w:rPr>
        <w:t>[HIV]</w:t>
      </w:r>
      <w:r>
        <w:rPr>
          <w:spacing w:val="-16"/>
          <w:w w:val="105"/>
        </w:rPr>
        <w:t xml:space="preserve"> </w:t>
      </w:r>
      <w:r>
        <w:rPr>
          <w:w w:val="105"/>
        </w:rPr>
        <w:t>disease,</w:t>
      </w:r>
      <w:r>
        <w:rPr>
          <w:spacing w:val="-12"/>
          <w:w w:val="105"/>
        </w:rPr>
        <w:t xml:space="preserve"> </w:t>
      </w:r>
      <w:r>
        <w:rPr>
          <w:w w:val="105"/>
        </w:rPr>
        <w:t>head</w:t>
      </w:r>
      <w:r>
        <w:rPr>
          <w:spacing w:val="-9"/>
          <w:w w:val="105"/>
        </w:rPr>
        <w:t xml:space="preserve"> </w:t>
      </w:r>
      <w:r>
        <w:rPr>
          <w:w w:val="105"/>
        </w:rPr>
        <w:t>trauma,</w:t>
      </w:r>
      <w:r>
        <w:rPr>
          <w:spacing w:val="-5"/>
          <w:w w:val="105"/>
        </w:rPr>
        <w:t xml:space="preserve"> </w:t>
      </w:r>
      <w:r>
        <w:rPr>
          <w:w w:val="105"/>
        </w:rPr>
        <w:t>Parkinson's disease, Huntington's disease), Substance-Induced Persisting Dementia (i.e., due to a drug of abuse, a medication, or toxin exposure), Dementia  Due to Multiple Etiologies, or Dementia Not Otherwise Specified (if the etiology is</w:t>
      </w:r>
      <w:r>
        <w:rPr>
          <w:spacing w:val="15"/>
          <w:w w:val="105"/>
        </w:rPr>
        <w:t xml:space="preserve"> </w:t>
      </w:r>
      <w:r>
        <w:rPr>
          <w:w w:val="105"/>
        </w:rPr>
        <w:t>indeterminate).</w:t>
      </w:r>
    </w:p>
    <w:p w:rsidR="00E675F0" w:rsidRDefault="00E675F0" w:rsidP="00E675F0">
      <w:pPr>
        <w:pStyle w:val="BodyText"/>
        <w:spacing w:line="254" w:lineRule="auto"/>
        <w:ind w:left="119" w:right="119" w:firstLine="361"/>
        <w:jc w:val="both"/>
      </w:pPr>
      <w:r>
        <w:rPr>
          <w:w w:val="105"/>
        </w:rPr>
        <w:t xml:space="preserve">An </w:t>
      </w:r>
      <w:r>
        <w:rPr>
          <w:b/>
          <w:w w:val="105"/>
        </w:rPr>
        <w:t xml:space="preserve">amnestic disorder </w:t>
      </w:r>
      <w:r>
        <w:rPr>
          <w:w w:val="105"/>
        </w:rPr>
        <w:t xml:space="preserve">is characterized by memory impairment in the absence of other significant cognitive impairments. The disorders in the "Amnestic Disorders" section also are listed according </w:t>
      </w:r>
      <w:r>
        <w:rPr>
          <w:w w:val="105"/>
          <w:sz w:val="18"/>
        </w:rPr>
        <w:t xml:space="preserve">to </w:t>
      </w:r>
      <w:r>
        <w:rPr>
          <w:w w:val="105"/>
        </w:rPr>
        <w:t>presumed etiology: Amnestic Disorder Due to a</w:t>
      </w:r>
    </w:p>
    <w:p w:rsidR="00E675F0" w:rsidRDefault="00E675F0" w:rsidP="00E675F0">
      <w:pPr>
        <w:pStyle w:val="BodyText"/>
        <w:spacing w:before="8"/>
        <w:rPr>
          <w:sz w:val="16"/>
        </w:rPr>
      </w:pPr>
      <w:r>
        <w:rPr>
          <w:noProof/>
        </w:rPr>
        <mc:AlternateContent>
          <mc:Choice Requires="wps">
            <w:drawing>
              <wp:anchor distT="0" distB="0" distL="0" distR="0" simplePos="0" relativeHeight="251854848" behindDoc="1" locked="0" layoutInCell="1" allowOverlap="1" wp14:anchorId="0E8BD688" wp14:editId="25B1DAFA">
                <wp:simplePos x="0" y="0"/>
                <wp:positionH relativeFrom="page">
                  <wp:posOffset>471170</wp:posOffset>
                </wp:positionH>
                <wp:positionV relativeFrom="paragraph">
                  <wp:posOffset>149860</wp:posOffset>
                </wp:positionV>
                <wp:extent cx="4754880" cy="1270"/>
                <wp:effectExtent l="0" t="0" r="0" b="0"/>
                <wp:wrapTopAndBottom/>
                <wp:docPr id="1494" name="Freeform 1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54880" cy="1270"/>
                        </a:xfrm>
                        <a:custGeom>
                          <a:avLst/>
                          <a:gdLst>
                            <a:gd name="T0" fmla="+- 0 742 742"/>
                            <a:gd name="T1" fmla="*/ T0 w 7488"/>
                            <a:gd name="T2" fmla="+- 0 8230 742"/>
                            <a:gd name="T3" fmla="*/ T2 w 7488"/>
                          </a:gdLst>
                          <a:ahLst/>
                          <a:cxnLst>
                            <a:cxn ang="0">
                              <a:pos x="T1" y="0"/>
                            </a:cxn>
                            <a:cxn ang="0">
                              <a:pos x="T3" y="0"/>
                            </a:cxn>
                          </a:cxnLst>
                          <a:rect l="0" t="0" r="r" b="b"/>
                          <a:pathLst>
                            <a:path w="7488">
                              <a:moveTo>
                                <a:pt x="0" y="0"/>
                              </a:moveTo>
                              <a:lnTo>
                                <a:pt x="7488" y="0"/>
                              </a:lnTo>
                            </a:path>
                          </a:pathLst>
                        </a:custGeom>
                        <a:noFill/>
                        <a:ln w="610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26272" id="Freeform 1450" o:spid="_x0000_s1026" style="position:absolute;margin-left:37.1pt;margin-top:11.8pt;width:374.4pt;height:.1pt;z-index:-251461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488,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" path="m,l7488,e" filled="f" strokeweight=".16961mm">
                <v:path arrowok="t" o:connecttype="custom" o:connectlocs="0,0;4754880,0" o:connectangles="0,0"/>
                <w10:wrap type="topAndBottom" anchorx="page"/>
              </v:shape>
            </w:pict>
          </mc:Fallback>
        </mc:AlternateContent>
      </w:r>
    </w:p>
    <w:p w:rsidR="00E675F0" w:rsidRDefault="00E675F0" w:rsidP="00E675F0">
      <w:pPr>
        <w:spacing w:before="42"/>
        <w:ind w:left="136" w:right="117"/>
        <w:jc w:val="center"/>
        <w:rPr>
          <w:rFonts w:ascii="Courier New"/>
          <w:b/>
        </w:rPr>
      </w:pPr>
      <w:r>
        <w:rPr>
          <w:rFonts w:ascii="Courier New"/>
          <w:b/>
        </w:rPr>
        <w:t>123</w:t>
      </w:r>
    </w:p>
    <w:p w:rsidR="00E675F0" w:rsidRDefault="00E675F0" w:rsidP="00E675F0">
      <w:pPr>
        <w:jc w:val="center"/>
        <w:rPr>
          <w:rFonts w:ascii="Courier New"/>
        </w:rPr>
        <w:sectPr w:rsidR="00E675F0">
          <w:headerReference w:type="even" r:id="rId137"/>
          <w:pgSz w:w="8960" w:h="14260"/>
          <w:pgMar w:top="1320" w:right="620" w:bottom="280" w:left="620" w:header="0" w:footer="0" w:gutter="0"/>
          <w:cols w:space="720"/>
        </w:sectPr>
      </w:pPr>
    </w:p>
    <w:p w:rsidR="00E675F0" w:rsidRDefault="00E675F0" w:rsidP="00E675F0">
      <w:pPr>
        <w:pStyle w:val="BodyText"/>
        <w:spacing w:before="133" w:line="249" w:lineRule="auto"/>
        <w:ind w:left="133" w:right="127" w:hanging="1"/>
        <w:jc w:val="both"/>
      </w:pPr>
      <w:bookmarkStart w:id="83" w:name="_bookmark66"/>
      <w:bookmarkEnd w:id="83"/>
      <w:r>
        <w:rPr>
          <w:w w:val="105"/>
        </w:rPr>
        <w:lastRenderedPageBreak/>
        <w:t>General</w:t>
      </w:r>
      <w:r>
        <w:rPr>
          <w:spacing w:val="-9"/>
          <w:w w:val="105"/>
        </w:rPr>
        <w:t xml:space="preserve"> </w:t>
      </w:r>
      <w:r>
        <w:rPr>
          <w:w w:val="105"/>
        </w:rPr>
        <w:t>Medical</w:t>
      </w:r>
      <w:r>
        <w:rPr>
          <w:spacing w:val="-11"/>
          <w:w w:val="105"/>
        </w:rPr>
        <w:t xml:space="preserve"> </w:t>
      </w:r>
      <w:r>
        <w:rPr>
          <w:w w:val="105"/>
        </w:rPr>
        <w:t>Condition,</w:t>
      </w:r>
      <w:r>
        <w:rPr>
          <w:spacing w:val="-8"/>
          <w:w w:val="105"/>
        </w:rPr>
        <w:t xml:space="preserve"> </w:t>
      </w:r>
      <w:r>
        <w:rPr>
          <w:w w:val="105"/>
        </w:rPr>
        <w:t>Substance-Induced</w:t>
      </w:r>
      <w:r>
        <w:rPr>
          <w:spacing w:val="-22"/>
          <w:w w:val="105"/>
        </w:rPr>
        <w:t xml:space="preserve"> </w:t>
      </w:r>
      <w:r>
        <w:rPr>
          <w:w w:val="105"/>
        </w:rPr>
        <w:t>Persisting</w:t>
      </w:r>
      <w:r>
        <w:rPr>
          <w:spacing w:val="-14"/>
          <w:w w:val="105"/>
        </w:rPr>
        <w:t xml:space="preserve"> </w:t>
      </w:r>
      <w:r>
        <w:rPr>
          <w:w w:val="105"/>
        </w:rPr>
        <w:t>Amnestic</w:t>
      </w:r>
      <w:r>
        <w:rPr>
          <w:spacing w:val="-8"/>
          <w:w w:val="105"/>
        </w:rPr>
        <w:t xml:space="preserve"> </w:t>
      </w:r>
      <w:r>
        <w:rPr>
          <w:w w:val="105"/>
        </w:rPr>
        <w:t>Disorder,</w:t>
      </w:r>
      <w:r>
        <w:rPr>
          <w:spacing w:val="-7"/>
          <w:w w:val="105"/>
        </w:rPr>
        <w:t xml:space="preserve"> </w:t>
      </w:r>
      <w:r>
        <w:rPr>
          <w:w w:val="105"/>
        </w:rPr>
        <w:t>or</w:t>
      </w:r>
      <w:r>
        <w:rPr>
          <w:spacing w:val="-21"/>
          <w:w w:val="105"/>
        </w:rPr>
        <w:t xml:space="preserve"> </w:t>
      </w:r>
      <w:r>
        <w:rPr>
          <w:w w:val="105"/>
        </w:rPr>
        <w:t>Amnes­ tic Disorder Not Otherwise</w:t>
      </w:r>
      <w:r>
        <w:rPr>
          <w:spacing w:val="1"/>
          <w:w w:val="105"/>
        </w:rPr>
        <w:t xml:space="preserve"> </w:t>
      </w:r>
      <w:r>
        <w:rPr>
          <w:w w:val="105"/>
        </w:rPr>
        <w:t>Specified.</w:t>
      </w:r>
    </w:p>
    <w:p w:rsidR="00E675F0" w:rsidRDefault="00E675F0" w:rsidP="00E675F0">
      <w:pPr>
        <w:pStyle w:val="BodyText"/>
        <w:spacing w:before="7" w:line="254" w:lineRule="auto"/>
        <w:ind w:left="128" w:right="126" w:firstLine="360"/>
        <w:jc w:val="both"/>
      </w:pPr>
      <w:r>
        <w:rPr>
          <w:b/>
          <w:w w:val="105"/>
        </w:rPr>
        <w:t xml:space="preserve">Cognitive Disorder Not Otherwise Specified </w:t>
      </w:r>
      <w:r>
        <w:rPr>
          <w:w w:val="105"/>
        </w:rPr>
        <w:t>is for presentations that are characterized by cognitive dysfunction presumed to be due to either a general medical condition or substance use that do not meet criteria for any of the disorders listed elsewhere in this section.</w:t>
      </w:r>
    </w:p>
    <w:p w:rsidR="00E675F0" w:rsidRDefault="00E675F0" w:rsidP="00E675F0">
      <w:pPr>
        <w:pStyle w:val="BodyText"/>
        <w:spacing w:line="254" w:lineRule="auto"/>
        <w:ind w:left="129" w:right="126" w:firstLine="367"/>
        <w:jc w:val="both"/>
      </w:pPr>
      <w:r>
        <w:rPr>
          <w:w w:val="105"/>
        </w:rPr>
        <w:t>Introductory text is provided that discusses the general features for each group of disorders, regardless of etiology. This is followed by text and criteria for each disorder with specific etiology.</w:t>
      </w:r>
    </w:p>
    <w:p w:rsidR="00E675F0" w:rsidRDefault="00E675F0" w:rsidP="00E675F0">
      <w:pPr>
        <w:pStyle w:val="BodyText"/>
      </w:pPr>
    </w:p>
    <w:p w:rsidR="00E675F0" w:rsidRDefault="00E675F0" w:rsidP="00E675F0">
      <w:pPr>
        <w:pStyle w:val="BodyText"/>
        <w:spacing w:before="3"/>
        <w:rPr>
          <w:sz w:val="29"/>
        </w:rPr>
      </w:pPr>
      <w:r>
        <w:rPr>
          <w:noProof/>
        </w:rPr>
        <mc:AlternateContent>
          <mc:Choice Requires="wps">
            <w:drawing>
              <wp:anchor distT="0" distB="0" distL="0" distR="0" simplePos="0" relativeHeight="251855872" behindDoc="1" locked="0" layoutInCell="1" allowOverlap="1" wp14:anchorId="332A6BCF" wp14:editId="7D76A682">
                <wp:simplePos x="0" y="0"/>
                <wp:positionH relativeFrom="page">
                  <wp:posOffset>464185</wp:posOffset>
                </wp:positionH>
                <wp:positionV relativeFrom="paragraph">
                  <wp:posOffset>243840</wp:posOffset>
                </wp:positionV>
                <wp:extent cx="1894205" cy="1270"/>
                <wp:effectExtent l="0" t="0" r="0" b="0"/>
                <wp:wrapTopAndBottom/>
                <wp:docPr id="1493" name="Freeform 1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4205" cy="1270"/>
                        </a:xfrm>
                        <a:custGeom>
                          <a:avLst/>
                          <a:gdLst>
                            <a:gd name="T0" fmla="+- 0 731 731"/>
                            <a:gd name="T1" fmla="*/ T0 w 2983"/>
                            <a:gd name="T2" fmla="+- 0 3714 731"/>
                            <a:gd name="T3" fmla="*/ T2 w 2983"/>
                          </a:gdLst>
                          <a:ahLst/>
                          <a:cxnLst>
                            <a:cxn ang="0">
                              <a:pos x="T1" y="0"/>
                            </a:cxn>
                            <a:cxn ang="0">
                              <a:pos x="T3" y="0"/>
                            </a:cxn>
                          </a:cxnLst>
                          <a:rect l="0" t="0" r="r" b="b"/>
                          <a:pathLst>
                            <a:path w="2983">
                              <a:moveTo>
                                <a:pt x="0" y="0"/>
                              </a:moveTo>
                              <a:lnTo>
                                <a:pt x="2983" y="0"/>
                              </a:lnTo>
                            </a:path>
                          </a:pathLst>
                        </a:custGeom>
                        <a:noFill/>
                        <a:ln w="915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AC66D" id="Freeform 1449" o:spid="_x0000_s1026" style="position:absolute;margin-left:36.55pt;margin-top:19.2pt;width:149.15pt;height:.1pt;z-index:-251460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83,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" path="m,l2983,e" filled="f" strokeweight=".25433mm">
                <v:path arrowok="t" o:connecttype="custom" o:connectlocs="0,0;1894205,0" o:connectangles="0,0"/>
                <w10:wrap type="topAndBottom" anchorx="page"/>
              </v:shape>
            </w:pict>
          </mc:Fallback>
        </mc:AlternateContent>
      </w:r>
      <w:r>
        <w:rPr>
          <w:noProof/>
        </w:rPr>
        <mc:AlternateContent>
          <mc:Choice Requires="wps">
            <w:drawing>
              <wp:anchor distT="0" distB="0" distL="0" distR="0" simplePos="0" relativeHeight="251856896" behindDoc="1" locked="0" layoutInCell="1" allowOverlap="1" wp14:anchorId="4BDEBFEA" wp14:editId="3B75430F">
                <wp:simplePos x="0" y="0"/>
                <wp:positionH relativeFrom="page">
                  <wp:posOffset>3298825</wp:posOffset>
                </wp:positionH>
                <wp:positionV relativeFrom="paragraph">
                  <wp:posOffset>243840</wp:posOffset>
                </wp:positionV>
                <wp:extent cx="1906270" cy="1270"/>
                <wp:effectExtent l="0" t="0" r="0" b="0"/>
                <wp:wrapTopAndBottom/>
                <wp:docPr id="1492" name="Freeform 1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6270" cy="1270"/>
                        </a:xfrm>
                        <a:custGeom>
                          <a:avLst/>
                          <a:gdLst>
                            <a:gd name="T0" fmla="+- 0 5195 5195"/>
                            <a:gd name="T1" fmla="*/ T0 w 3002"/>
                            <a:gd name="T2" fmla="+- 0 8197 5195"/>
                            <a:gd name="T3" fmla="*/ T2 w 3002"/>
                          </a:gdLst>
                          <a:ahLst/>
                          <a:cxnLst>
                            <a:cxn ang="0">
                              <a:pos x="T1" y="0"/>
                            </a:cxn>
                            <a:cxn ang="0">
                              <a:pos x="T3" y="0"/>
                            </a:cxn>
                          </a:cxnLst>
                          <a:rect l="0" t="0" r="r" b="b"/>
                          <a:pathLst>
                            <a:path w="3002">
                              <a:moveTo>
                                <a:pt x="0" y="0"/>
                              </a:moveTo>
                              <a:lnTo>
                                <a:pt x="3002" y="0"/>
                              </a:lnTo>
                            </a:path>
                          </a:pathLst>
                        </a:custGeom>
                        <a:noFill/>
                        <a:ln w="915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D2460" id="Freeform 1448" o:spid="_x0000_s1026" style="position:absolute;margin-left:259.75pt;margin-top:19.2pt;width:150.1pt;height:.1pt;z-index:-251459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002,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" path="m,l3002,e" filled="f" strokeweight=".25433mm">
                <v:path arrowok="t" o:connecttype="custom" o:connectlocs="0,0;1906270,0" o:connectangles="0,0"/>
                <w10:wrap type="topAndBottom" anchorx="page"/>
              </v:shape>
            </w:pict>
          </mc:Fallback>
        </mc:AlternateContent>
      </w:r>
    </w:p>
    <w:p w:rsidR="00E675F0" w:rsidRDefault="00E675F0" w:rsidP="00E675F0">
      <w:pPr>
        <w:spacing w:before="103" w:after="79"/>
        <w:ind w:left="33" w:right="52"/>
        <w:jc w:val="center"/>
        <w:rPr>
          <w:rFonts w:ascii="Arial"/>
          <w:b/>
          <w:sz w:val="25"/>
        </w:rPr>
      </w:pPr>
      <w:r>
        <w:rPr>
          <w:rFonts w:ascii="Arial"/>
          <w:b/>
          <w:color w:val="111111"/>
          <w:w w:val="110"/>
          <w:sz w:val="25"/>
        </w:rPr>
        <w:t>Delirium</w:t>
      </w:r>
    </w:p>
    <w:p w:rsidR="00E675F0" w:rsidRDefault="00E675F0" w:rsidP="00E675F0">
      <w:pPr>
        <w:pStyle w:val="BodyText"/>
        <w:spacing w:line="20" w:lineRule="exact"/>
        <w:ind w:left="4592"/>
        <w:rPr>
          <w:rFonts w:ascii="Arial"/>
          <w:sz w:val="2"/>
        </w:rPr>
      </w:pPr>
      <w:r>
        <w:rPr>
          <w:rFonts w:ascii="Arial"/>
          <w:noProof/>
          <w:sz w:val="2"/>
        </w:rPr>
        <mc:AlternateContent>
          <mc:Choice Requires="wpg">
            <w:drawing>
              <wp:inline distT="0" distB="0" distL="0" distR="0" wp14:anchorId="1C9A6221" wp14:editId="69B350FF">
                <wp:extent cx="513715" cy="3175"/>
                <wp:effectExtent l="0" t="0" r="0" b="0"/>
                <wp:docPr id="1490" name="Group 1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715" cy="3175"/>
                          <a:chOff x="0" y="0"/>
                          <a:chExt cx="809" cy="5"/>
                        </a:xfrm>
                      </wpg:grpSpPr>
                      <wps:wsp>
                        <wps:cNvPr id="1491" name="Line 1447"/>
                        <wps:cNvCnPr>
                          <a:cxnSpLocks/>
                        </wps:cNvCnPr>
                        <wps:spPr bwMode="auto">
                          <a:xfrm>
                            <a:off x="0" y="2"/>
                            <a:ext cx="808" cy="0"/>
                          </a:xfrm>
                          <a:prstGeom prst="line">
                            <a:avLst/>
                          </a:prstGeom>
                          <a:noFill/>
                          <a:ln w="305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44204AC" id="Group 1446" o:spid="_x0000_s1026" style="width:40.45pt;height:.25pt;mso-position-horizontal-relative:char;mso-position-vertical-relative:line" coordsize="80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">
                <v:line id="Line 1447" o:spid="_x0000_s1027" style="position:absolute;visibility:visible;mso-wrap-style:square" from="0,2" to="80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" strokeweight=".08478mm">
                  <o:lock v:ext="edit" shapetype="f"/>
                </v:line>
                <w10:anchorlock/>
              </v:group>
            </w:pict>
          </mc:Fallback>
        </mc:AlternateContent>
      </w:r>
    </w:p>
    <w:p w:rsidR="00E675F0" w:rsidRDefault="00E675F0" w:rsidP="00E675F0">
      <w:pPr>
        <w:spacing w:before="200" w:line="254" w:lineRule="auto"/>
        <w:ind w:left="127" w:right="120" w:hanging="3"/>
        <w:jc w:val="both"/>
        <w:rPr>
          <w:sz w:val="20"/>
        </w:rPr>
      </w:pPr>
      <w:r>
        <w:rPr>
          <w:w w:val="110"/>
          <w:sz w:val="20"/>
        </w:rPr>
        <w:t xml:space="preserve">The disorders in the "Delirium" section share a common symptom presentation of a disturbance in consciousness and cognition, but are differentiated based on etiology: </w:t>
      </w:r>
      <w:r>
        <w:rPr>
          <w:b/>
          <w:w w:val="110"/>
          <w:sz w:val="20"/>
        </w:rPr>
        <w:t xml:space="preserve">Delirium Due to a General Medical Condition, Substance-Induced Delirium </w:t>
      </w:r>
      <w:r>
        <w:rPr>
          <w:w w:val="110"/>
          <w:sz w:val="20"/>
        </w:rPr>
        <w:t xml:space="preserve">(including medication side effects), and </w:t>
      </w:r>
      <w:r>
        <w:rPr>
          <w:b/>
          <w:w w:val="110"/>
          <w:sz w:val="20"/>
        </w:rPr>
        <w:t xml:space="preserve">Delirium Due to Multiple Etiologies. </w:t>
      </w:r>
      <w:r>
        <w:rPr>
          <w:w w:val="110"/>
          <w:sz w:val="20"/>
        </w:rPr>
        <w:t xml:space="preserve">In addition, </w:t>
      </w:r>
      <w:r>
        <w:rPr>
          <w:b/>
          <w:w w:val="110"/>
          <w:sz w:val="20"/>
        </w:rPr>
        <w:t xml:space="preserve">Delirium Not Otherwise Specified </w:t>
      </w:r>
      <w:r>
        <w:rPr>
          <w:w w:val="110"/>
          <w:sz w:val="20"/>
        </w:rPr>
        <w:t>is included in this section for presenta­ tions</w:t>
      </w:r>
      <w:r>
        <w:rPr>
          <w:spacing w:val="-14"/>
          <w:w w:val="110"/>
          <w:sz w:val="20"/>
        </w:rPr>
        <w:t xml:space="preserve"> </w:t>
      </w:r>
      <w:r>
        <w:rPr>
          <w:w w:val="110"/>
          <w:sz w:val="20"/>
        </w:rPr>
        <w:t>in</w:t>
      </w:r>
      <w:r>
        <w:rPr>
          <w:spacing w:val="-13"/>
          <w:w w:val="110"/>
          <w:sz w:val="20"/>
        </w:rPr>
        <w:t xml:space="preserve"> </w:t>
      </w:r>
      <w:r>
        <w:rPr>
          <w:w w:val="110"/>
          <w:sz w:val="20"/>
        </w:rPr>
        <w:t>which</w:t>
      </w:r>
      <w:r>
        <w:rPr>
          <w:spacing w:val="-6"/>
          <w:w w:val="110"/>
          <w:sz w:val="20"/>
        </w:rPr>
        <w:t xml:space="preserve"> </w:t>
      </w:r>
      <w:r>
        <w:rPr>
          <w:w w:val="110"/>
          <w:sz w:val="20"/>
        </w:rPr>
        <w:t>the</w:t>
      </w:r>
      <w:r>
        <w:rPr>
          <w:spacing w:val="-13"/>
          <w:w w:val="110"/>
          <w:sz w:val="20"/>
        </w:rPr>
        <w:t xml:space="preserve"> </w:t>
      </w:r>
      <w:r>
        <w:rPr>
          <w:w w:val="110"/>
          <w:sz w:val="20"/>
        </w:rPr>
        <w:t>clinician</w:t>
      </w:r>
      <w:r>
        <w:rPr>
          <w:spacing w:val="-5"/>
          <w:w w:val="110"/>
          <w:sz w:val="20"/>
        </w:rPr>
        <w:t xml:space="preserve"> </w:t>
      </w:r>
      <w:r>
        <w:rPr>
          <w:w w:val="110"/>
          <w:sz w:val="20"/>
        </w:rPr>
        <w:t>is</w:t>
      </w:r>
      <w:r>
        <w:rPr>
          <w:spacing w:val="-12"/>
          <w:w w:val="110"/>
          <w:sz w:val="20"/>
        </w:rPr>
        <w:t xml:space="preserve"> </w:t>
      </w:r>
      <w:r>
        <w:rPr>
          <w:w w:val="110"/>
          <w:sz w:val="20"/>
        </w:rPr>
        <w:t>unable</w:t>
      </w:r>
      <w:r>
        <w:rPr>
          <w:spacing w:val="-4"/>
          <w:w w:val="110"/>
          <w:sz w:val="20"/>
        </w:rPr>
        <w:t xml:space="preserve"> </w:t>
      </w:r>
      <w:r>
        <w:rPr>
          <w:w w:val="110"/>
          <w:sz w:val="20"/>
        </w:rPr>
        <w:t>to</w:t>
      </w:r>
      <w:r>
        <w:rPr>
          <w:spacing w:val="-16"/>
          <w:w w:val="110"/>
          <w:sz w:val="20"/>
        </w:rPr>
        <w:t xml:space="preserve"> </w:t>
      </w:r>
      <w:r>
        <w:rPr>
          <w:w w:val="110"/>
          <w:sz w:val="20"/>
        </w:rPr>
        <w:t>determine</w:t>
      </w:r>
      <w:r>
        <w:rPr>
          <w:spacing w:val="-4"/>
          <w:w w:val="110"/>
          <w:sz w:val="20"/>
        </w:rPr>
        <w:t xml:space="preserve"> </w:t>
      </w:r>
      <w:r>
        <w:rPr>
          <w:w w:val="110"/>
          <w:sz w:val="20"/>
        </w:rPr>
        <w:t>a</w:t>
      </w:r>
      <w:r>
        <w:rPr>
          <w:spacing w:val="-12"/>
          <w:w w:val="110"/>
          <w:sz w:val="20"/>
        </w:rPr>
        <w:t xml:space="preserve"> </w:t>
      </w:r>
      <w:r>
        <w:rPr>
          <w:w w:val="110"/>
          <w:sz w:val="20"/>
        </w:rPr>
        <w:t>specific</w:t>
      </w:r>
      <w:r>
        <w:rPr>
          <w:spacing w:val="-13"/>
          <w:w w:val="110"/>
          <w:sz w:val="20"/>
        </w:rPr>
        <w:t xml:space="preserve"> </w:t>
      </w:r>
      <w:r>
        <w:rPr>
          <w:w w:val="110"/>
          <w:sz w:val="20"/>
        </w:rPr>
        <w:t>etiology</w:t>
      </w:r>
      <w:r>
        <w:rPr>
          <w:spacing w:val="-8"/>
          <w:w w:val="110"/>
          <w:sz w:val="20"/>
        </w:rPr>
        <w:t xml:space="preserve"> </w:t>
      </w:r>
      <w:r>
        <w:rPr>
          <w:w w:val="110"/>
          <w:sz w:val="20"/>
        </w:rPr>
        <w:t>for</w:t>
      </w:r>
      <w:r>
        <w:rPr>
          <w:spacing w:val="-14"/>
          <w:w w:val="110"/>
          <w:sz w:val="20"/>
        </w:rPr>
        <w:t xml:space="preserve"> </w:t>
      </w:r>
      <w:r>
        <w:rPr>
          <w:w w:val="110"/>
          <w:sz w:val="20"/>
        </w:rPr>
        <w:t>the</w:t>
      </w:r>
      <w:r>
        <w:rPr>
          <w:spacing w:val="-5"/>
          <w:w w:val="110"/>
          <w:sz w:val="20"/>
        </w:rPr>
        <w:t xml:space="preserve"> </w:t>
      </w:r>
      <w:r>
        <w:rPr>
          <w:w w:val="110"/>
          <w:sz w:val="20"/>
        </w:rPr>
        <w:t>delirium.</w:t>
      </w:r>
    </w:p>
    <w:p w:rsidR="00E675F0" w:rsidRDefault="00E675F0" w:rsidP="00E675F0">
      <w:pPr>
        <w:pStyle w:val="BodyText"/>
        <w:rPr>
          <w:sz w:val="22"/>
        </w:rPr>
      </w:pPr>
    </w:p>
    <w:p w:rsidR="00E675F0" w:rsidRDefault="00E675F0" w:rsidP="00E675F0">
      <w:pPr>
        <w:spacing w:before="160"/>
        <w:ind w:left="109"/>
        <w:jc w:val="both"/>
        <w:rPr>
          <w:rFonts w:ascii="TimesNewRomanPS-BoldItalicMT"/>
          <w:b/>
          <w:i/>
          <w:sz w:val="25"/>
        </w:rPr>
      </w:pPr>
      <w:r>
        <w:rPr>
          <w:rFonts w:ascii="TimesNewRomanPS-BoldItalicMT"/>
          <w:b/>
          <w:i/>
          <w:w w:val="115"/>
          <w:sz w:val="25"/>
        </w:rPr>
        <w:t>magnostic Features</w:t>
      </w:r>
    </w:p>
    <w:p w:rsidR="00E675F0" w:rsidRDefault="00E675F0" w:rsidP="00E675F0">
      <w:pPr>
        <w:pStyle w:val="BodyText"/>
        <w:spacing w:before="144" w:line="252" w:lineRule="auto"/>
        <w:ind w:left="133" w:right="121" w:hanging="4"/>
        <w:jc w:val="both"/>
      </w:pPr>
      <w:r>
        <w:rPr>
          <w:w w:val="105"/>
        </w:rPr>
        <w:t>The essential feature of a delirium is a disturbance of consciousness that is accompanied by a change in cognition that cannot be better accounted for by a preexisting or evolving dementia. The disturbance develops over a short period of time, usually hours to days, and tends to fluctuate during the course of the day. There is evidence from the history, physical examination, or laboratory tests that the delirium is a direct physiological consequence of a general medical condition, Substance Intoxication or Withdrawal, use of a medication, or toxin exposure, or a combination of these factors.</w:t>
      </w:r>
    </w:p>
    <w:p w:rsidR="00E675F0" w:rsidRDefault="00E675F0" w:rsidP="00E675F0">
      <w:pPr>
        <w:pStyle w:val="BodyText"/>
        <w:spacing w:line="252" w:lineRule="auto"/>
        <w:ind w:left="138" w:right="114" w:firstLine="352"/>
        <w:jc w:val="both"/>
      </w:pPr>
      <w:r>
        <w:rPr>
          <w:w w:val="105"/>
        </w:rPr>
        <w:t>The disturbance in consciousness is manifested by a  reduced  clarity of awareness of the environment. The ability to focus, sustain, or shift attention is impaired (Criterion A). Questions must be repeated because the individual's attention wanders, or the individual may perseverate with an answer to a previous question rather than appropri­ ately</w:t>
      </w:r>
      <w:r>
        <w:rPr>
          <w:spacing w:val="-13"/>
          <w:w w:val="105"/>
        </w:rPr>
        <w:t xml:space="preserve"> </w:t>
      </w:r>
      <w:r>
        <w:rPr>
          <w:w w:val="105"/>
        </w:rPr>
        <w:t>shift</w:t>
      </w:r>
      <w:r>
        <w:rPr>
          <w:spacing w:val="-10"/>
          <w:w w:val="105"/>
        </w:rPr>
        <w:t xml:space="preserve"> </w:t>
      </w:r>
      <w:r>
        <w:rPr>
          <w:w w:val="105"/>
        </w:rPr>
        <w:t>attention.</w:t>
      </w:r>
      <w:r>
        <w:rPr>
          <w:spacing w:val="-7"/>
          <w:w w:val="105"/>
        </w:rPr>
        <w:t xml:space="preserve"> </w:t>
      </w:r>
      <w:r>
        <w:rPr>
          <w:w w:val="105"/>
        </w:rPr>
        <w:t>The</w:t>
      </w:r>
      <w:r>
        <w:rPr>
          <w:spacing w:val="-9"/>
          <w:w w:val="105"/>
        </w:rPr>
        <w:t xml:space="preserve"> </w:t>
      </w:r>
      <w:r>
        <w:rPr>
          <w:w w:val="105"/>
        </w:rPr>
        <w:t>person</w:t>
      </w:r>
      <w:r>
        <w:rPr>
          <w:spacing w:val="-6"/>
          <w:w w:val="105"/>
        </w:rPr>
        <w:t xml:space="preserve"> </w:t>
      </w:r>
      <w:r>
        <w:rPr>
          <w:w w:val="105"/>
        </w:rPr>
        <w:t>is</w:t>
      </w:r>
      <w:r>
        <w:rPr>
          <w:spacing w:val="-20"/>
          <w:w w:val="105"/>
        </w:rPr>
        <w:t xml:space="preserve"> </w:t>
      </w:r>
      <w:r>
        <w:rPr>
          <w:w w:val="105"/>
        </w:rPr>
        <w:t>easily</w:t>
      </w:r>
      <w:r>
        <w:rPr>
          <w:spacing w:val="-13"/>
          <w:w w:val="105"/>
        </w:rPr>
        <w:t xml:space="preserve"> </w:t>
      </w:r>
      <w:r>
        <w:rPr>
          <w:w w:val="105"/>
        </w:rPr>
        <w:t>distracted</w:t>
      </w:r>
      <w:r>
        <w:rPr>
          <w:spacing w:val="1"/>
          <w:w w:val="105"/>
        </w:rPr>
        <w:t xml:space="preserve"> </w:t>
      </w:r>
      <w:r>
        <w:rPr>
          <w:w w:val="105"/>
        </w:rPr>
        <w:t>by</w:t>
      </w:r>
      <w:r>
        <w:rPr>
          <w:spacing w:val="-12"/>
          <w:w w:val="105"/>
        </w:rPr>
        <w:t xml:space="preserve"> </w:t>
      </w:r>
      <w:r>
        <w:rPr>
          <w:w w:val="105"/>
        </w:rPr>
        <w:t>irrelevant</w:t>
      </w:r>
      <w:r>
        <w:rPr>
          <w:spacing w:val="-7"/>
          <w:w w:val="105"/>
        </w:rPr>
        <w:t xml:space="preserve"> </w:t>
      </w:r>
      <w:r>
        <w:rPr>
          <w:w w:val="105"/>
        </w:rPr>
        <w:t>stimuli.</w:t>
      </w:r>
      <w:r>
        <w:rPr>
          <w:spacing w:val="-1"/>
          <w:w w:val="105"/>
        </w:rPr>
        <w:t xml:space="preserve"> </w:t>
      </w:r>
      <w:r>
        <w:rPr>
          <w:w w:val="105"/>
        </w:rPr>
        <w:t>Because</w:t>
      </w:r>
      <w:r>
        <w:rPr>
          <w:spacing w:val="-10"/>
          <w:w w:val="105"/>
        </w:rPr>
        <w:t xml:space="preserve"> </w:t>
      </w:r>
      <w:r>
        <w:rPr>
          <w:w w:val="105"/>
        </w:rPr>
        <w:t>of</w:t>
      </w:r>
      <w:r>
        <w:rPr>
          <w:spacing w:val="-2"/>
          <w:w w:val="105"/>
        </w:rPr>
        <w:t xml:space="preserve"> </w:t>
      </w:r>
      <w:r>
        <w:rPr>
          <w:w w:val="105"/>
        </w:rPr>
        <w:t>these problems, it may be difficult (or impossible) to engage the person in</w:t>
      </w:r>
      <w:r>
        <w:rPr>
          <w:spacing w:val="-3"/>
          <w:w w:val="105"/>
        </w:rPr>
        <w:t xml:space="preserve"> </w:t>
      </w:r>
      <w:r>
        <w:rPr>
          <w:w w:val="105"/>
        </w:rPr>
        <w:t>conversation.</w:t>
      </w:r>
    </w:p>
    <w:p w:rsidR="00E675F0" w:rsidRDefault="00E675F0" w:rsidP="00E675F0">
      <w:pPr>
        <w:pStyle w:val="BodyText"/>
        <w:spacing w:line="254" w:lineRule="auto"/>
        <w:ind w:left="138" w:right="116" w:firstLine="361"/>
        <w:jc w:val="both"/>
      </w:pPr>
      <w:r>
        <w:rPr>
          <w:w w:val="105"/>
        </w:rPr>
        <w:t>There is an accompanying change in cognition (which may include memory impairment, disorientation, or language disturbance) or development of a perceptual disturbance (Criterion B). Memory impairment is most commonly evident in recent memory and can be tested by asking the person to remember several unrelated objects  or a brief sentence, and then to repeat them after a few minutes of distraction. Disorientation is usually manifested by the individual being disoriented to time (e.g., thinking it is morning in the middle of the night) or being disoriented to place (e.g., thinking he or she is home rather than in a hospital). In mild delirium, disorientation to time</w:t>
      </w:r>
      <w:r>
        <w:rPr>
          <w:spacing w:val="-9"/>
          <w:w w:val="105"/>
        </w:rPr>
        <w:t xml:space="preserve"> </w:t>
      </w:r>
      <w:r>
        <w:rPr>
          <w:w w:val="105"/>
        </w:rPr>
        <w:t>may</w:t>
      </w:r>
      <w:r>
        <w:rPr>
          <w:spacing w:val="-11"/>
          <w:w w:val="105"/>
        </w:rPr>
        <w:t xml:space="preserve"> </w:t>
      </w:r>
      <w:r>
        <w:rPr>
          <w:w w:val="105"/>
        </w:rPr>
        <w:t>be</w:t>
      </w:r>
      <w:r>
        <w:rPr>
          <w:spacing w:val="4"/>
          <w:w w:val="105"/>
        </w:rPr>
        <w:t xml:space="preserve"> </w:t>
      </w:r>
      <w:r>
        <w:rPr>
          <w:w w:val="105"/>
        </w:rPr>
        <w:t>the</w:t>
      </w:r>
      <w:r>
        <w:rPr>
          <w:spacing w:val="-17"/>
          <w:w w:val="105"/>
        </w:rPr>
        <w:t xml:space="preserve"> </w:t>
      </w:r>
      <w:r>
        <w:rPr>
          <w:w w:val="105"/>
        </w:rPr>
        <w:t>first</w:t>
      </w:r>
      <w:r>
        <w:rPr>
          <w:spacing w:val="-10"/>
          <w:w w:val="105"/>
        </w:rPr>
        <w:t xml:space="preserve"> </w:t>
      </w:r>
      <w:r>
        <w:rPr>
          <w:w w:val="105"/>
        </w:rPr>
        <w:t>symptom</w:t>
      </w:r>
      <w:r>
        <w:rPr>
          <w:spacing w:val="1"/>
          <w:w w:val="105"/>
        </w:rPr>
        <w:t xml:space="preserve"> </w:t>
      </w:r>
      <w:r>
        <w:rPr>
          <w:w w:val="105"/>
        </w:rPr>
        <w:t>to</w:t>
      </w:r>
      <w:r>
        <w:rPr>
          <w:spacing w:val="-19"/>
          <w:w w:val="105"/>
        </w:rPr>
        <w:t xml:space="preserve"> </w:t>
      </w:r>
      <w:r>
        <w:rPr>
          <w:w w:val="105"/>
        </w:rPr>
        <w:t>appear.</w:t>
      </w:r>
      <w:r>
        <w:rPr>
          <w:spacing w:val="-5"/>
          <w:w w:val="105"/>
        </w:rPr>
        <w:t xml:space="preserve"> </w:t>
      </w:r>
      <w:r>
        <w:rPr>
          <w:w w:val="105"/>
        </w:rPr>
        <w:t>Disorientation</w:t>
      </w:r>
      <w:r>
        <w:rPr>
          <w:spacing w:val="-14"/>
          <w:w w:val="105"/>
        </w:rPr>
        <w:t xml:space="preserve"> </w:t>
      </w:r>
      <w:r>
        <w:rPr>
          <w:w w:val="105"/>
        </w:rPr>
        <w:t>to</w:t>
      </w:r>
      <w:r>
        <w:rPr>
          <w:spacing w:val="-25"/>
          <w:w w:val="105"/>
        </w:rPr>
        <w:t xml:space="preserve"> </w:t>
      </w:r>
      <w:r>
        <w:rPr>
          <w:w w:val="105"/>
        </w:rPr>
        <w:t>self</w:t>
      </w:r>
      <w:r>
        <w:rPr>
          <w:spacing w:val="-1"/>
          <w:w w:val="105"/>
        </w:rPr>
        <w:t xml:space="preserve"> </w:t>
      </w:r>
      <w:r>
        <w:rPr>
          <w:w w:val="105"/>
        </w:rPr>
        <w:t>is</w:t>
      </w:r>
      <w:r>
        <w:rPr>
          <w:spacing w:val="-19"/>
          <w:w w:val="105"/>
        </w:rPr>
        <w:t xml:space="preserve"> </w:t>
      </w:r>
      <w:r>
        <w:rPr>
          <w:w w:val="105"/>
        </w:rPr>
        <w:t>less</w:t>
      </w:r>
      <w:r>
        <w:rPr>
          <w:spacing w:val="-16"/>
          <w:w w:val="105"/>
        </w:rPr>
        <w:t xml:space="preserve"> </w:t>
      </w:r>
      <w:r>
        <w:rPr>
          <w:w w:val="105"/>
        </w:rPr>
        <w:t>common.</w:t>
      </w:r>
      <w:r>
        <w:rPr>
          <w:spacing w:val="-5"/>
          <w:w w:val="105"/>
        </w:rPr>
        <w:t xml:space="preserve"> </w:t>
      </w:r>
      <w:r>
        <w:rPr>
          <w:w w:val="105"/>
        </w:rPr>
        <w:t>Language disturbance may be evident as dysnomia (i.e., the impaired ability to name objects) or dysgraphia (i.e., the impaired ability to write). In some cases, speech is rambling and irrelevant, in others pressured and incoherent, with unpredictable switching from</w:t>
      </w:r>
      <w:r>
        <w:rPr>
          <w:spacing w:val="-8"/>
          <w:w w:val="105"/>
        </w:rPr>
        <w:t xml:space="preserve"> </w:t>
      </w:r>
      <w:r>
        <w:rPr>
          <w:w w:val="105"/>
        </w:rPr>
        <w:t>subject</w:t>
      </w:r>
    </w:p>
    <w:p w:rsidR="00E675F0" w:rsidRDefault="00E675F0" w:rsidP="00E675F0">
      <w:pPr>
        <w:spacing w:line="254" w:lineRule="auto"/>
        <w:jc w:val="both"/>
        <w:sectPr w:rsidR="00E675F0">
          <w:headerReference w:type="even" r:id="rId138"/>
          <w:headerReference w:type="default" r:id="rId139"/>
          <w:pgSz w:w="8960" w:h="14260"/>
          <w:pgMar w:top="1400" w:right="620" w:bottom="280" w:left="600" w:header="693" w:footer="0" w:gutter="0"/>
          <w:pgNumType w:start="124"/>
          <w:cols w:space="720"/>
        </w:sectPr>
      </w:pPr>
    </w:p>
    <w:p w:rsidR="00E675F0" w:rsidRDefault="00E675F0" w:rsidP="00E675F0">
      <w:pPr>
        <w:pStyle w:val="BodyText"/>
      </w:pPr>
    </w:p>
    <w:p w:rsidR="00E675F0" w:rsidRDefault="00E675F0" w:rsidP="00E675F0">
      <w:pPr>
        <w:pStyle w:val="BodyText"/>
        <w:spacing w:before="1"/>
      </w:pPr>
    </w:p>
    <w:p w:rsidR="00E675F0" w:rsidRDefault="00E675F0" w:rsidP="00E675F0">
      <w:pPr>
        <w:spacing w:before="92" w:line="264" w:lineRule="auto"/>
        <w:ind w:left="152" w:right="123" w:firstLine="4"/>
        <w:jc w:val="both"/>
        <w:rPr>
          <w:sz w:val="19"/>
        </w:rPr>
      </w:pPr>
      <w:r>
        <w:rPr>
          <w:w w:val="110"/>
          <w:sz w:val="19"/>
        </w:rPr>
        <w:t xml:space="preserve">to subject. </w:t>
      </w:r>
      <w:r>
        <w:rPr>
          <w:w w:val="110"/>
          <w:sz w:val="18"/>
        </w:rPr>
        <w:t xml:space="preserve">It </w:t>
      </w:r>
      <w:r>
        <w:rPr>
          <w:w w:val="110"/>
          <w:sz w:val="19"/>
        </w:rPr>
        <w:t>may be difficult for the clinician to assess for changes in cognitive function because the individual  may be  inattentive and  incoherent.  Under these circumstances, it is helpful to review carefully the individual's history and to obtain information from other informants, particularly family</w:t>
      </w:r>
      <w:r>
        <w:rPr>
          <w:spacing w:val="-24"/>
          <w:w w:val="110"/>
          <w:sz w:val="19"/>
        </w:rPr>
        <w:t xml:space="preserve"> </w:t>
      </w:r>
      <w:r>
        <w:rPr>
          <w:w w:val="110"/>
          <w:sz w:val="19"/>
        </w:rPr>
        <w:t>members.</w:t>
      </w:r>
    </w:p>
    <w:p w:rsidR="00E675F0" w:rsidRDefault="00E675F0" w:rsidP="00E675F0">
      <w:pPr>
        <w:spacing w:before="10" w:line="266" w:lineRule="auto"/>
        <w:ind w:left="156" w:right="127" w:firstLine="360"/>
        <w:jc w:val="both"/>
        <w:rPr>
          <w:sz w:val="19"/>
        </w:rPr>
      </w:pPr>
      <w:r>
        <w:rPr>
          <w:w w:val="110"/>
          <w:sz w:val="19"/>
        </w:rPr>
        <w:t>Perceptual disturbances may include misinterpretations, illusions, or hallucinations. For example, the banging of a door may be mistaken for a gunshot (misinterpretation); the folds of the bedclothes may appear to be animate objects (illusion); or the person may "see" a group of people hovering over the bed when no one is actually there (hallucination). Although sensory misperceptions are most commonly visual, they may occur in other sensory modalities as well. Misperceptions range from simple and uniform to highly complex. The individual may have a delusional conviction of the reality of the hallucinations and exhibit emotional and behavioral responses in keeping with their content.</w:t>
      </w:r>
    </w:p>
    <w:p w:rsidR="00E675F0" w:rsidRDefault="00E675F0" w:rsidP="00E675F0">
      <w:pPr>
        <w:spacing w:before="5" w:line="268" w:lineRule="auto"/>
        <w:ind w:left="162" w:right="136" w:firstLine="352"/>
        <w:jc w:val="both"/>
        <w:rPr>
          <w:sz w:val="19"/>
        </w:rPr>
      </w:pPr>
      <w:r>
        <w:rPr>
          <w:w w:val="110"/>
          <w:sz w:val="19"/>
        </w:rPr>
        <w:t>The disturbance develops over a short period of time and tends to fluctuate during the course of the day (Criterion C). For example, during morning hospital rounds, the person may be coherent and cooperative, but at night might insist on pulling out intravenous lines and going home to parents who died years</w:t>
      </w:r>
      <w:r>
        <w:rPr>
          <w:spacing w:val="-30"/>
          <w:w w:val="110"/>
          <w:sz w:val="19"/>
        </w:rPr>
        <w:t xml:space="preserve"> </w:t>
      </w:r>
      <w:r>
        <w:rPr>
          <w:w w:val="110"/>
          <w:sz w:val="19"/>
        </w:rPr>
        <w:t>ago.</w:t>
      </w:r>
    </w:p>
    <w:p w:rsidR="00E675F0" w:rsidRDefault="00E675F0" w:rsidP="00E675F0">
      <w:pPr>
        <w:pStyle w:val="BodyText"/>
      </w:pPr>
    </w:p>
    <w:p w:rsidR="00E675F0" w:rsidRDefault="00E675F0" w:rsidP="00E675F0">
      <w:pPr>
        <w:pStyle w:val="BodyText"/>
        <w:spacing w:before="2"/>
        <w:rPr>
          <w:sz w:val="16"/>
        </w:rPr>
      </w:pPr>
    </w:p>
    <w:p w:rsidR="00E675F0" w:rsidRDefault="00E675F0" w:rsidP="00E675F0">
      <w:pPr>
        <w:spacing w:before="1"/>
        <w:ind w:left="139"/>
        <w:jc w:val="both"/>
        <w:rPr>
          <w:rFonts w:ascii="TimesNewRomanPS-BoldItalicMT"/>
          <w:b/>
          <w:i/>
          <w:sz w:val="24"/>
        </w:rPr>
      </w:pPr>
      <w:r>
        <w:rPr>
          <w:rFonts w:ascii="TimesNewRomanPS-BoldItalicMT"/>
          <w:b/>
          <w:i/>
          <w:w w:val="115"/>
          <w:sz w:val="24"/>
        </w:rPr>
        <w:t>Associated Features and Disorders</w:t>
      </w:r>
    </w:p>
    <w:p w:rsidR="00E675F0" w:rsidRDefault="00E675F0" w:rsidP="00E675F0">
      <w:pPr>
        <w:spacing w:before="160" w:line="266" w:lineRule="auto"/>
        <w:ind w:left="159" w:right="128" w:firstLine="6"/>
        <w:jc w:val="both"/>
        <w:rPr>
          <w:sz w:val="19"/>
        </w:rPr>
      </w:pPr>
      <w:r>
        <w:rPr>
          <w:w w:val="110"/>
          <w:sz w:val="19"/>
        </w:rPr>
        <w:t>Delirium is often associated with a disturbance in the sleep-wake cycle. This disturbance can include daytime sleepiness or nighttime agitation and difficulty falling asleep. In some cases, complete reversal of the night-day sleep-wake cycle can occur. Delirium is frequently accompanied by disturbed psychomotor behavior. Many individuals with delirium are restless or hyperactive. Manifestations of increased psychomotor activity may include groping or picking at the bedclothes,  attempting  to get out of bed  when it is unsafe or untimely, and sudden movements. On the other hand, the individual may show decreased psychomotor activity, with sluggishness and lethargy that approach stupor. Psychomotor activity can  shift from one  extreme to the other over the course of a day. Impaired judgment may interfere with proper medical</w:t>
      </w:r>
      <w:r>
        <w:rPr>
          <w:spacing w:val="-26"/>
          <w:w w:val="110"/>
          <w:sz w:val="19"/>
        </w:rPr>
        <w:t xml:space="preserve"> </w:t>
      </w:r>
      <w:r>
        <w:rPr>
          <w:w w:val="110"/>
          <w:sz w:val="19"/>
        </w:rPr>
        <w:t>treatment.</w:t>
      </w:r>
    </w:p>
    <w:p w:rsidR="00E675F0" w:rsidRDefault="00E675F0" w:rsidP="00E675F0">
      <w:pPr>
        <w:spacing w:before="2" w:line="264" w:lineRule="auto"/>
        <w:ind w:left="161" w:right="124" w:firstLine="357"/>
        <w:jc w:val="right"/>
        <w:rPr>
          <w:sz w:val="19"/>
        </w:rPr>
      </w:pPr>
      <w:r>
        <w:rPr>
          <w:w w:val="110"/>
          <w:sz w:val="19"/>
        </w:rPr>
        <w:t>The individual may exhibit emotional disturbances such as anxiety,</w:t>
      </w:r>
      <w:r>
        <w:rPr>
          <w:spacing w:val="-1"/>
          <w:w w:val="110"/>
          <w:sz w:val="19"/>
        </w:rPr>
        <w:t xml:space="preserve"> </w:t>
      </w:r>
      <w:r>
        <w:rPr>
          <w:w w:val="110"/>
          <w:sz w:val="19"/>
        </w:rPr>
        <w:t>fear,</w:t>
      </w:r>
      <w:r>
        <w:rPr>
          <w:spacing w:val="-10"/>
          <w:w w:val="110"/>
          <w:sz w:val="19"/>
        </w:rPr>
        <w:t xml:space="preserve"> </w:t>
      </w:r>
      <w:r>
        <w:rPr>
          <w:w w:val="110"/>
          <w:sz w:val="19"/>
        </w:rPr>
        <w:t>depression,</w:t>
      </w:r>
      <w:r>
        <w:rPr>
          <w:w w:val="112"/>
          <w:sz w:val="19"/>
        </w:rPr>
        <w:t xml:space="preserve"> </w:t>
      </w:r>
      <w:r>
        <w:rPr>
          <w:w w:val="110"/>
          <w:sz w:val="19"/>
        </w:rPr>
        <w:t>irritability, anger, euphoria, and apathy. There may be rapid and</w:t>
      </w:r>
      <w:r>
        <w:rPr>
          <w:spacing w:val="19"/>
          <w:w w:val="110"/>
          <w:sz w:val="19"/>
        </w:rPr>
        <w:t xml:space="preserve"> </w:t>
      </w:r>
      <w:r>
        <w:rPr>
          <w:w w:val="110"/>
          <w:sz w:val="19"/>
        </w:rPr>
        <w:t>unpredictable</w:t>
      </w:r>
      <w:r>
        <w:rPr>
          <w:spacing w:val="32"/>
          <w:w w:val="110"/>
          <w:sz w:val="19"/>
        </w:rPr>
        <w:t xml:space="preserve"> </w:t>
      </w:r>
      <w:r>
        <w:rPr>
          <w:w w:val="110"/>
          <w:sz w:val="19"/>
        </w:rPr>
        <w:t>shifts</w:t>
      </w:r>
      <w:r>
        <w:rPr>
          <w:spacing w:val="-1"/>
          <w:w w:val="107"/>
          <w:sz w:val="19"/>
        </w:rPr>
        <w:t xml:space="preserve"> </w:t>
      </w:r>
      <w:r>
        <w:rPr>
          <w:w w:val="110"/>
          <w:sz w:val="19"/>
        </w:rPr>
        <w:t>from one emotional state to another, although some individuals with delirium</w:t>
      </w:r>
      <w:r>
        <w:rPr>
          <w:spacing w:val="22"/>
          <w:w w:val="110"/>
          <w:sz w:val="19"/>
        </w:rPr>
        <w:t xml:space="preserve"> </w:t>
      </w:r>
      <w:r>
        <w:rPr>
          <w:w w:val="110"/>
          <w:sz w:val="19"/>
        </w:rPr>
        <w:t>have</w:t>
      </w:r>
      <w:r>
        <w:rPr>
          <w:spacing w:val="26"/>
          <w:w w:val="110"/>
          <w:sz w:val="19"/>
        </w:rPr>
        <w:t xml:space="preserve"> </w:t>
      </w:r>
      <w:r>
        <w:rPr>
          <w:w w:val="110"/>
          <w:sz w:val="19"/>
        </w:rPr>
        <w:t>a constant emotional tone. Fear often accompanies threatening</w:t>
      </w:r>
      <w:r>
        <w:rPr>
          <w:spacing w:val="-3"/>
          <w:w w:val="110"/>
          <w:sz w:val="19"/>
        </w:rPr>
        <w:t xml:space="preserve"> </w:t>
      </w:r>
      <w:r>
        <w:rPr>
          <w:w w:val="110"/>
          <w:sz w:val="19"/>
        </w:rPr>
        <w:t>hallucinations or</w:t>
      </w:r>
      <w:r>
        <w:rPr>
          <w:spacing w:val="9"/>
          <w:w w:val="110"/>
          <w:sz w:val="19"/>
        </w:rPr>
        <w:t xml:space="preserve"> </w:t>
      </w:r>
      <w:r>
        <w:rPr>
          <w:w w:val="110"/>
          <w:sz w:val="19"/>
        </w:rPr>
        <w:t>transient</w:t>
      </w:r>
      <w:r>
        <w:rPr>
          <w:spacing w:val="-1"/>
          <w:w w:val="110"/>
          <w:sz w:val="19"/>
        </w:rPr>
        <w:t xml:space="preserve"> </w:t>
      </w:r>
      <w:r>
        <w:rPr>
          <w:w w:val="110"/>
          <w:sz w:val="19"/>
        </w:rPr>
        <w:t xml:space="preserve">delusions. </w:t>
      </w:r>
      <w:r>
        <w:rPr>
          <w:w w:val="110"/>
          <w:sz w:val="20"/>
        </w:rPr>
        <w:t xml:space="preserve">If </w:t>
      </w:r>
      <w:r>
        <w:rPr>
          <w:w w:val="110"/>
          <w:sz w:val="19"/>
        </w:rPr>
        <w:t>fear is marked, the person may attack those who are falsely</w:t>
      </w:r>
      <w:r>
        <w:rPr>
          <w:spacing w:val="9"/>
          <w:w w:val="110"/>
          <w:sz w:val="19"/>
        </w:rPr>
        <w:t xml:space="preserve"> </w:t>
      </w:r>
      <w:r>
        <w:rPr>
          <w:w w:val="110"/>
          <w:sz w:val="19"/>
        </w:rPr>
        <w:t>perceived</w:t>
      </w:r>
      <w:r>
        <w:rPr>
          <w:spacing w:val="31"/>
          <w:w w:val="110"/>
          <w:sz w:val="19"/>
        </w:rPr>
        <w:t xml:space="preserve"> </w:t>
      </w:r>
      <w:r>
        <w:rPr>
          <w:w w:val="110"/>
          <w:sz w:val="19"/>
        </w:rPr>
        <w:t>as</w:t>
      </w:r>
      <w:r>
        <w:rPr>
          <w:spacing w:val="-1"/>
          <w:w w:val="110"/>
          <w:sz w:val="19"/>
        </w:rPr>
        <w:t xml:space="preserve"> </w:t>
      </w:r>
      <w:r>
        <w:rPr>
          <w:w w:val="110"/>
          <w:sz w:val="19"/>
        </w:rPr>
        <w:t>threatening. Injuries may be sustained from falling out of bed or</w:t>
      </w:r>
      <w:r>
        <w:rPr>
          <w:spacing w:val="14"/>
          <w:w w:val="110"/>
          <w:sz w:val="19"/>
        </w:rPr>
        <w:t xml:space="preserve"> </w:t>
      </w:r>
      <w:r>
        <w:rPr>
          <w:w w:val="110"/>
          <w:sz w:val="19"/>
        </w:rPr>
        <w:t>trying to escape</w:t>
      </w:r>
      <w:r>
        <w:rPr>
          <w:spacing w:val="1"/>
          <w:w w:val="110"/>
          <w:sz w:val="19"/>
        </w:rPr>
        <w:t xml:space="preserve"> </w:t>
      </w:r>
      <w:r>
        <w:rPr>
          <w:w w:val="110"/>
          <w:sz w:val="19"/>
        </w:rPr>
        <w:t>while</w:t>
      </w:r>
      <w:r>
        <w:rPr>
          <w:spacing w:val="-1"/>
          <w:w w:val="110"/>
          <w:sz w:val="19"/>
        </w:rPr>
        <w:t xml:space="preserve"> </w:t>
      </w:r>
      <w:r>
        <w:rPr>
          <w:w w:val="110"/>
          <w:sz w:val="19"/>
        </w:rPr>
        <w:t>attached to intravenous lines, respiratory tubes, urinary catheters, or</w:t>
      </w:r>
      <w:r>
        <w:rPr>
          <w:spacing w:val="36"/>
          <w:w w:val="110"/>
          <w:sz w:val="19"/>
        </w:rPr>
        <w:t xml:space="preserve"> </w:t>
      </w:r>
      <w:r>
        <w:rPr>
          <w:w w:val="110"/>
          <w:sz w:val="19"/>
        </w:rPr>
        <w:t>other</w:t>
      </w:r>
      <w:r>
        <w:rPr>
          <w:spacing w:val="51"/>
          <w:w w:val="110"/>
          <w:sz w:val="19"/>
        </w:rPr>
        <w:t xml:space="preserve"> </w:t>
      </w:r>
      <w:r>
        <w:rPr>
          <w:w w:val="110"/>
          <w:sz w:val="19"/>
        </w:rPr>
        <w:t>medical</w:t>
      </w:r>
      <w:r>
        <w:rPr>
          <w:spacing w:val="-1"/>
          <w:w w:val="109"/>
          <w:sz w:val="19"/>
        </w:rPr>
        <w:t xml:space="preserve"> </w:t>
      </w:r>
      <w:r>
        <w:rPr>
          <w:w w:val="110"/>
          <w:sz w:val="19"/>
        </w:rPr>
        <w:t>equipment. The disturbed emotional state may also be evident in</w:t>
      </w:r>
      <w:r>
        <w:rPr>
          <w:spacing w:val="9"/>
          <w:w w:val="110"/>
          <w:sz w:val="19"/>
        </w:rPr>
        <w:t xml:space="preserve"> </w:t>
      </w:r>
      <w:r>
        <w:rPr>
          <w:w w:val="110"/>
          <w:sz w:val="19"/>
        </w:rPr>
        <w:t>calling out,</w:t>
      </w:r>
      <w:r>
        <w:rPr>
          <w:spacing w:val="-1"/>
          <w:w w:val="110"/>
          <w:sz w:val="19"/>
        </w:rPr>
        <w:t xml:space="preserve"> </w:t>
      </w:r>
      <w:r>
        <w:rPr>
          <w:w w:val="110"/>
          <w:sz w:val="19"/>
        </w:rPr>
        <w:t>screaming,</w:t>
      </w:r>
      <w:r>
        <w:rPr>
          <w:spacing w:val="-1"/>
          <w:w w:val="110"/>
          <w:sz w:val="19"/>
        </w:rPr>
        <w:t xml:space="preserve"> </w:t>
      </w:r>
      <w:r>
        <w:rPr>
          <w:w w:val="110"/>
          <w:sz w:val="19"/>
        </w:rPr>
        <w:t>cursing, muttering, moaning, or other sounds. These behaviors are</w:t>
      </w:r>
      <w:r>
        <w:rPr>
          <w:spacing w:val="26"/>
          <w:w w:val="110"/>
          <w:sz w:val="19"/>
        </w:rPr>
        <w:t xml:space="preserve"> </w:t>
      </w:r>
      <w:r>
        <w:rPr>
          <w:w w:val="110"/>
          <w:sz w:val="19"/>
        </w:rPr>
        <w:t>especially</w:t>
      </w:r>
      <w:r>
        <w:rPr>
          <w:spacing w:val="30"/>
          <w:w w:val="110"/>
          <w:sz w:val="19"/>
        </w:rPr>
        <w:t xml:space="preserve"> </w:t>
      </w:r>
      <w:r>
        <w:rPr>
          <w:w w:val="110"/>
          <w:sz w:val="19"/>
        </w:rPr>
        <w:t>prevalent at night and under conditions in which stimulation and environmental cues</w:t>
      </w:r>
      <w:r>
        <w:rPr>
          <w:spacing w:val="26"/>
          <w:w w:val="110"/>
          <w:sz w:val="19"/>
        </w:rPr>
        <w:t xml:space="preserve"> </w:t>
      </w:r>
      <w:r>
        <w:rPr>
          <w:w w:val="110"/>
          <w:sz w:val="19"/>
        </w:rPr>
        <w:t>are</w:t>
      </w:r>
      <w:r>
        <w:rPr>
          <w:spacing w:val="3"/>
          <w:w w:val="110"/>
          <w:sz w:val="19"/>
        </w:rPr>
        <w:t xml:space="preserve"> </w:t>
      </w:r>
      <w:r>
        <w:rPr>
          <w:w w:val="110"/>
          <w:sz w:val="19"/>
        </w:rPr>
        <w:t>lacking.</w:t>
      </w:r>
      <w:r>
        <w:rPr>
          <w:spacing w:val="-1"/>
          <w:w w:val="108"/>
          <w:sz w:val="19"/>
        </w:rPr>
        <w:t xml:space="preserve"> </w:t>
      </w:r>
      <w:r>
        <w:rPr>
          <w:w w:val="110"/>
          <w:sz w:val="19"/>
        </w:rPr>
        <w:t>In addition to laboratory findings that are characteristic of associated</w:t>
      </w:r>
      <w:r>
        <w:rPr>
          <w:spacing w:val="20"/>
          <w:w w:val="110"/>
          <w:sz w:val="19"/>
        </w:rPr>
        <w:t xml:space="preserve"> </w:t>
      </w:r>
      <w:r>
        <w:rPr>
          <w:w w:val="110"/>
          <w:sz w:val="19"/>
        </w:rPr>
        <w:t>or</w:t>
      </w:r>
      <w:r>
        <w:rPr>
          <w:spacing w:val="10"/>
          <w:w w:val="110"/>
          <w:sz w:val="19"/>
        </w:rPr>
        <w:t xml:space="preserve"> </w:t>
      </w:r>
      <w:r>
        <w:rPr>
          <w:w w:val="110"/>
          <w:sz w:val="19"/>
        </w:rPr>
        <w:t>etiological</w:t>
      </w:r>
      <w:r>
        <w:rPr>
          <w:spacing w:val="-1"/>
          <w:w w:val="109"/>
          <w:sz w:val="19"/>
        </w:rPr>
        <w:t xml:space="preserve"> </w:t>
      </w:r>
      <w:r>
        <w:rPr>
          <w:w w:val="110"/>
          <w:sz w:val="19"/>
        </w:rPr>
        <w:t>general medical conditions (or intoxication or withdrawal states), the EEG is</w:t>
      </w:r>
      <w:r>
        <w:rPr>
          <w:spacing w:val="3"/>
          <w:w w:val="110"/>
          <w:sz w:val="19"/>
        </w:rPr>
        <w:t xml:space="preserve"> </w:t>
      </w:r>
      <w:r>
        <w:rPr>
          <w:w w:val="110"/>
          <w:sz w:val="19"/>
        </w:rPr>
        <w:t>typically</w:t>
      </w:r>
    </w:p>
    <w:p w:rsidR="00E675F0" w:rsidRDefault="00E675F0" w:rsidP="00E675F0">
      <w:pPr>
        <w:spacing w:before="12"/>
        <w:ind w:left="162"/>
        <w:jc w:val="both"/>
        <w:rPr>
          <w:sz w:val="19"/>
        </w:rPr>
      </w:pPr>
      <w:r>
        <w:rPr>
          <w:w w:val="110"/>
          <w:sz w:val="19"/>
        </w:rPr>
        <w:t>abnormal, showing either generalized slowing or fast activity.</w:t>
      </w:r>
    </w:p>
    <w:p w:rsidR="00E675F0" w:rsidRDefault="00E675F0" w:rsidP="00E675F0">
      <w:pPr>
        <w:pStyle w:val="BodyText"/>
      </w:pPr>
    </w:p>
    <w:p w:rsidR="00E675F0" w:rsidRDefault="00E675F0" w:rsidP="00E675F0">
      <w:pPr>
        <w:pStyle w:val="BodyText"/>
        <w:spacing w:before="5"/>
        <w:rPr>
          <w:sz w:val="18"/>
        </w:rPr>
      </w:pPr>
    </w:p>
    <w:p w:rsidR="00E675F0" w:rsidRDefault="00E675F0" w:rsidP="00E675F0">
      <w:pPr>
        <w:ind w:left="154"/>
        <w:jc w:val="both"/>
        <w:rPr>
          <w:rFonts w:ascii="TimesNewRomanPS-BoldItalicMT"/>
          <w:b/>
          <w:i/>
          <w:sz w:val="24"/>
        </w:rPr>
      </w:pPr>
      <w:r>
        <w:rPr>
          <w:rFonts w:ascii="TimesNewRomanPS-BoldItalicMT"/>
          <w:b/>
          <w:i/>
          <w:w w:val="110"/>
          <w:sz w:val="24"/>
        </w:rPr>
        <w:t>Specific Culture, Age, and Gender Features</w:t>
      </w:r>
    </w:p>
    <w:p w:rsidR="00E675F0" w:rsidRDefault="00E675F0" w:rsidP="00E675F0">
      <w:pPr>
        <w:spacing w:before="160" w:line="268" w:lineRule="auto"/>
        <w:ind w:left="188" w:right="120"/>
        <w:jc w:val="right"/>
        <w:rPr>
          <w:sz w:val="19"/>
        </w:rPr>
      </w:pPr>
      <w:r>
        <w:rPr>
          <w:w w:val="110"/>
          <w:sz w:val="19"/>
        </w:rPr>
        <w:t>Cultural and educational background should be taken into consideration</w:t>
      </w:r>
      <w:r>
        <w:rPr>
          <w:spacing w:val="19"/>
          <w:w w:val="110"/>
          <w:sz w:val="19"/>
        </w:rPr>
        <w:t xml:space="preserve"> </w:t>
      </w:r>
      <w:r>
        <w:rPr>
          <w:w w:val="110"/>
          <w:sz w:val="19"/>
        </w:rPr>
        <w:t>in</w:t>
      </w:r>
      <w:r>
        <w:rPr>
          <w:spacing w:val="27"/>
          <w:w w:val="110"/>
          <w:sz w:val="19"/>
        </w:rPr>
        <w:t xml:space="preserve"> </w:t>
      </w:r>
      <w:r>
        <w:rPr>
          <w:w w:val="110"/>
          <w:sz w:val="19"/>
        </w:rPr>
        <w:t>the</w:t>
      </w:r>
      <w:r>
        <w:rPr>
          <w:spacing w:val="-1"/>
          <w:w w:val="110"/>
          <w:sz w:val="19"/>
        </w:rPr>
        <w:t xml:space="preserve"> </w:t>
      </w:r>
      <w:r>
        <w:rPr>
          <w:w w:val="110"/>
          <w:sz w:val="19"/>
        </w:rPr>
        <w:t>evaluation of an individual's mental capacity. Individuals from certain backgrounds</w:t>
      </w:r>
      <w:r>
        <w:rPr>
          <w:spacing w:val="36"/>
          <w:w w:val="110"/>
          <w:sz w:val="19"/>
        </w:rPr>
        <w:t xml:space="preserve"> </w:t>
      </w:r>
      <w:r>
        <w:rPr>
          <w:w w:val="110"/>
          <w:sz w:val="19"/>
        </w:rPr>
        <w:t>may</w:t>
      </w:r>
    </w:p>
    <w:p w:rsidR="00E675F0" w:rsidRDefault="00E675F0" w:rsidP="00E675F0">
      <w:pPr>
        <w:spacing w:line="268" w:lineRule="auto"/>
        <w:jc w:val="right"/>
        <w:rPr>
          <w:sz w:val="19"/>
        </w:rPr>
        <w:sectPr w:rsidR="00E675F0">
          <w:pgSz w:w="8960" w:h="14260"/>
          <w:pgMar w:top="980" w:right="600" w:bottom="280" w:left="600" w:header="694" w:footer="0" w:gutter="0"/>
          <w:cols w:space="720"/>
        </w:sectPr>
      </w:pPr>
    </w:p>
    <w:p w:rsidR="00E675F0" w:rsidRDefault="00E675F0" w:rsidP="00E675F0">
      <w:pPr>
        <w:pStyle w:val="BodyText"/>
        <w:spacing w:before="4"/>
        <w:rPr>
          <w:sz w:val="4"/>
        </w:rPr>
      </w:pPr>
    </w:p>
    <w:p w:rsidR="00E675F0" w:rsidRDefault="00E675F0" w:rsidP="00E675F0">
      <w:pPr>
        <w:pStyle w:val="BodyText"/>
        <w:spacing w:line="20" w:lineRule="exact"/>
        <w:ind w:left="124"/>
        <w:rPr>
          <w:sz w:val="2"/>
        </w:rPr>
      </w:pPr>
      <w:r>
        <w:rPr>
          <w:noProof/>
          <w:sz w:val="2"/>
        </w:rPr>
        <mc:AlternateContent>
          <mc:Choice Requires="wpg">
            <w:drawing>
              <wp:inline distT="0" distB="0" distL="0" distR="0" wp14:anchorId="1F372BA4" wp14:editId="229206BA">
                <wp:extent cx="4753610" cy="9525"/>
                <wp:effectExtent l="0" t="0" r="0" b="0"/>
                <wp:docPr id="1488" name="Group 1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3610" cy="9525"/>
                          <a:chOff x="0" y="0"/>
                          <a:chExt cx="7486" cy="15"/>
                        </a:xfrm>
                      </wpg:grpSpPr>
                      <wps:wsp>
                        <wps:cNvPr id="1489" name="Line 1445"/>
                        <wps:cNvCnPr>
                          <a:cxnSpLocks/>
                        </wps:cNvCnPr>
                        <wps:spPr bwMode="auto">
                          <a:xfrm>
                            <a:off x="0" y="7"/>
                            <a:ext cx="7485" cy="0"/>
                          </a:xfrm>
                          <a:prstGeom prst="line">
                            <a:avLst/>
                          </a:prstGeom>
                          <a:noFill/>
                          <a:ln w="915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A97B357" id="Group 1444" o:spid="_x0000_s1026" style="width:374.3pt;height:.75pt;mso-position-horizontal-relative:char;mso-position-vertical-relative:line" coordsize="7486,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">
                <v:line id="Line 1445" o:spid="_x0000_s1027" style="position:absolute;visibility:visible;mso-wrap-style:square" from="0,7" to="748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" strokeweight=".25436mm">
                  <o:lock v:ext="edit" shapetype="f"/>
                </v:line>
                <w10:anchorlock/>
              </v:group>
            </w:pict>
          </mc:Fallback>
        </mc:AlternateContent>
      </w:r>
    </w:p>
    <w:p w:rsidR="00E675F0" w:rsidRDefault="00E675F0" w:rsidP="00E675F0">
      <w:pPr>
        <w:pStyle w:val="BodyText"/>
      </w:pPr>
    </w:p>
    <w:p w:rsidR="00E675F0" w:rsidRDefault="00E675F0" w:rsidP="00E675F0">
      <w:pPr>
        <w:pStyle w:val="BodyText"/>
        <w:spacing w:before="1"/>
        <w:rPr>
          <w:sz w:val="19"/>
        </w:rPr>
      </w:pPr>
    </w:p>
    <w:p w:rsidR="00E675F0" w:rsidRDefault="00E675F0" w:rsidP="00E675F0">
      <w:pPr>
        <w:pStyle w:val="BodyText"/>
        <w:spacing w:before="92" w:line="254" w:lineRule="auto"/>
        <w:ind w:left="139" w:right="139"/>
        <w:jc w:val="both"/>
      </w:pPr>
      <w:r>
        <w:rPr>
          <w:w w:val="105"/>
        </w:rPr>
        <w:t>not be familiar with the information used in certain tests of general knowledge (e.g., names of presidents, geographical knowledge), memory (e.g., date of birth in cultures that do not routinely celebrate birthdays), and orientation (e.g., sense of placement and location may be conceptualized differently in some cultures).</w:t>
      </w:r>
    </w:p>
    <w:p w:rsidR="00E675F0" w:rsidRDefault="00E675F0" w:rsidP="00E675F0">
      <w:pPr>
        <w:pStyle w:val="BodyText"/>
        <w:spacing w:line="254" w:lineRule="auto"/>
        <w:ind w:left="132" w:right="132" w:firstLine="372"/>
        <w:jc w:val="both"/>
      </w:pPr>
      <w:r>
        <w:rPr>
          <w:w w:val="105"/>
        </w:rPr>
        <w:t xml:space="preserve">Children may be more susceptible to delirium than adults, especially when it is related to febrile illnesses and certain medications (e.g., anticholinergics). In children, delirium may be mistaken for uncooperative behavior, and eliciting the distinctive cognitive signs may be difficult. </w:t>
      </w:r>
      <w:r>
        <w:rPr>
          <w:rFonts w:ascii="Arial"/>
          <w:w w:val="105"/>
          <w:sz w:val="19"/>
        </w:rPr>
        <w:t xml:space="preserve">If </w:t>
      </w:r>
      <w:r>
        <w:rPr>
          <w:w w:val="105"/>
        </w:rPr>
        <w:t>familiar figures cannot soothe the child, this may be suggestive of delirium. The sex ratio for delirium reflects that of the elderly population in general (in which the ratio of women to men increases with increasing age), the group at highest risk for developing</w:t>
      </w:r>
      <w:r>
        <w:rPr>
          <w:spacing w:val="21"/>
          <w:w w:val="105"/>
        </w:rPr>
        <w:t xml:space="preserve"> </w:t>
      </w:r>
      <w:r>
        <w:rPr>
          <w:w w:val="105"/>
        </w:rPr>
        <w:t>delirium.</w:t>
      </w:r>
    </w:p>
    <w:p w:rsidR="00E675F0" w:rsidRDefault="00E675F0" w:rsidP="00E675F0">
      <w:pPr>
        <w:pStyle w:val="BodyText"/>
        <w:rPr>
          <w:sz w:val="22"/>
        </w:rPr>
      </w:pPr>
    </w:p>
    <w:p w:rsidR="00E675F0" w:rsidRDefault="00E675F0" w:rsidP="00E675F0">
      <w:pPr>
        <w:spacing w:before="143"/>
        <w:ind w:left="124"/>
        <w:rPr>
          <w:rFonts w:ascii="TimesNewRomanPS-BoldItalicMT"/>
          <w:b/>
          <w:i/>
          <w:sz w:val="24"/>
        </w:rPr>
      </w:pPr>
      <w:r>
        <w:rPr>
          <w:rFonts w:ascii="TimesNewRomanPS-BoldItalicMT"/>
          <w:b/>
          <w:i/>
          <w:w w:val="115"/>
          <w:sz w:val="24"/>
        </w:rPr>
        <w:t>Prevalence</w:t>
      </w:r>
    </w:p>
    <w:p w:rsidR="00E675F0" w:rsidRDefault="00E675F0" w:rsidP="00E675F0">
      <w:pPr>
        <w:pStyle w:val="BodyText"/>
        <w:spacing w:before="141" w:line="256" w:lineRule="auto"/>
        <w:ind w:left="139" w:right="131" w:firstLine="2"/>
        <w:jc w:val="both"/>
      </w:pPr>
      <w:r>
        <w:rPr>
          <w:w w:val="105"/>
        </w:rPr>
        <w:t xml:space="preserve">In individuals over age 65 years who are hospitalized for a general medical condition, approximately </w:t>
      </w:r>
      <w:r>
        <w:rPr>
          <w:w w:val="105"/>
          <w:sz w:val="19"/>
        </w:rPr>
        <w:t xml:space="preserve">10% </w:t>
      </w:r>
      <w:r>
        <w:rPr>
          <w:w w:val="105"/>
        </w:rPr>
        <w:t xml:space="preserve">are reported to exhibit delirium on admission and another </w:t>
      </w:r>
      <w:r>
        <w:rPr>
          <w:w w:val="105"/>
          <w:sz w:val="19"/>
        </w:rPr>
        <w:t xml:space="preserve">10%-15% </w:t>
      </w:r>
      <w:r>
        <w:rPr>
          <w:w w:val="105"/>
        </w:rPr>
        <w:t>may develop delirium while in the hospital.</w:t>
      </w:r>
    </w:p>
    <w:p w:rsidR="00E675F0" w:rsidRDefault="00E675F0" w:rsidP="00E675F0">
      <w:pPr>
        <w:pStyle w:val="BodyText"/>
        <w:rPr>
          <w:sz w:val="22"/>
        </w:rPr>
      </w:pPr>
    </w:p>
    <w:p w:rsidR="00E675F0" w:rsidRDefault="00E675F0" w:rsidP="00E675F0">
      <w:pPr>
        <w:spacing w:before="135"/>
        <w:ind w:left="126"/>
        <w:rPr>
          <w:rFonts w:ascii="TimesNewRomanPS-BoldItalicMT"/>
          <w:b/>
          <w:i/>
          <w:sz w:val="24"/>
        </w:rPr>
      </w:pPr>
      <w:r>
        <w:rPr>
          <w:rFonts w:ascii="TimesNewRomanPS-BoldItalicMT"/>
          <w:b/>
          <w:i/>
          <w:w w:val="115"/>
          <w:sz w:val="24"/>
        </w:rPr>
        <w:t>Course</w:t>
      </w:r>
    </w:p>
    <w:p w:rsidR="00E675F0" w:rsidRDefault="00E675F0" w:rsidP="00E675F0">
      <w:pPr>
        <w:pStyle w:val="BodyText"/>
        <w:spacing w:before="131" w:line="256" w:lineRule="auto"/>
        <w:ind w:left="139" w:right="125" w:hanging="4"/>
        <w:jc w:val="both"/>
      </w:pPr>
      <w:r>
        <w:rPr>
          <w:w w:val="105"/>
        </w:rPr>
        <w:t>The symptoms of delirium usually develop over hours to days. They may begin abruptly (e.g.,</w:t>
      </w:r>
      <w:r>
        <w:rPr>
          <w:spacing w:val="-22"/>
          <w:w w:val="105"/>
        </w:rPr>
        <w:t xml:space="preserve"> </w:t>
      </w:r>
      <w:r>
        <w:rPr>
          <w:w w:val="105"/>
        </w:rPr>
        <w:t>after</w:t>
      </w:r>
      <w:r>
        <w:rPr>
          <w:spacing w:val="-20"/>
          <w:w w:val="105"/>
        </w:rPr>
        <w:t xml:space="preserve"> </w:t>
      </w:r>
      <w:r>
        <w:rPr>
          <w:w w:val="105"/>
        </w:rPr>
        <w:t>a</w:t>
      </w:r>
      <w:r>
        <w:rPr>
          <w:spacing w:val="-16"/>
          <w:w w:val="105"/>
        </w:rPr>
        <w:t xml:space="preserve"> </w:t>
      </w:r>
      <w:r>
        <w:rPr>
          <w:w w:val="105"/>
        </w:rPr>
        <w:t>head</w:t>
      </w:r>
      <w:r>
        <w:rPr>
          <w:spacing w:val="-15"/>
          <w:w w:val="105"/>
        </w:rPr>
        <w:t xml:space="preserve"> </w:t>
      </w:r>
      <w:r>
        <w:rPr>
          <w:w w:val="105"/>
        </w:rPr>
        <w:t>injury).</w:t>
      </w:r>
      <w:r>
        <w:rPr>
          <w:spacing w:val="-13"/>
          <w:w w:val="105"/>
        </w:rPr>
        <w:t xml:space="preserve"> </w:t>
      </w:r>
      <w:r>
        <w:rPr>
          <w:w w:val="105"/>
        </w:rPr>
        <w:t>More</w:t>
      </w:r>
      <w:r>
        <w:rPr>
          <w:spacing w:val="-16"/>
          <w:w w:val="105"/>
        </w:rPr>
        <w:t xml:space="preserve"> </w:t>
      </w:r>
      <w:r>
        <w:rPr>
          <w:w w:val="105"/>
        </w:rPr>
        <w:t>typically,</w:t>
      </w:r>
      <w:r>
        <w:rPr>
          <w:spacing w:val="-10"/>
          <w:w w:val="105"/>
        </w:rPr>
        <w:t xml:space="preserve"> </w:t>
      </w:r>
      <w:r>
        <w:rPr>
          <w:w w:val="105"/>
        </w:rPr>
        <w:t>single</w:t>
      </w:r>
      <w:r>
        <w:rPr>
          <w:spacing w:val="-22"/>
          <w:w w:val="105"/>
        </w:rPr>
        <w:t xml:space="preserve"> </w:t>
      </w:r>
      <w:r>
        <w:rPr>
          <w:w w:val="105"/>
        </w:rPr>
        <w:t>symptoms</w:t>
      </w:r>
      <w:r>
        <w:rPr>
          <w:spacing w:val="-9"/>
          <w:w w:val="105"/>
        </w:rPr>
        <w:t xml:space="preserve"> </w:t>
      </w:r>
      <w:r>
        <w:rPr>
          <w:w w:val="105"/>
        </w:rPr>
        <w:t>progress</w:t>
      </w:r>
      <w:r>
        <w:rPr>
          <w:spacing w:val="-11"/>
          <w:w w:val="105"/>
        </w:rPr>
        <w:t xml:space="preserve"> </w:t>
      </w:r>
      <w:r>
        <w:rPr>
          <w:w w:val="105"/>
        </w:rPr>
        <w:t>to</w:t>
      </w:r>
      <w:r>
        <w:rPr>
          <w:spacing w:val="-31"/>
          <w:w w:val="105"/>
        </w:rPr>
        <w:t xml:space="preserve"> </w:t>
      </w:r>
      <w:r>
        <w:rPr>
          <w:w w:val="105"/>
        </w:rPr>
        <w:t>full-blown</w:t>
      </w:r>
      <w:r>
        <w:rPr>
          <w:spacing w:val="-11"/>
          <w:w w:val="105"/>
        </w:rPr>
        <w:t xml:space="preserve"> </w:t>
      </w:r>
      <w:r>
        <w:rPr>
          <w:w w:val="105"/>
        </w:rPr>
        <w:t>delirium within</w:t>
      </w:r>
      <w:r>
        <w:rPr>
          <w:spacing w:val="-10"/>
          <w:w w:val="105"/>
        </w:rPr>
        <w:t xml:space="preserve"> </w:t>
      </w:r>
      <w:r>
        <w:rPr>
          <w:w w:val="105"/>
        </w:rPr>
        <w:t>a</w:t>
      </w:r>
      <w:r>
        <w:rPr>
          <w:spacing w:val="-8"/>
          <w:w w:val="105"/>
        </w:rPr>
        <w:t xml:space="preserve"> </w:t>
      </w:r>
      <w:r>
        <w:rPr>
          <w:w w:val="105"/>
        </w:rPr>
        <w:t>3-day</w:t>
      </w:r>
      <w:r>
        <w:rPr>
          <w:spacing w:val="6"/>
          <w:w w:val="105"/>
        </w:rPr>
        <w:t xml:space="preserve"> </w:t>
      </w:r>
      <w:r>
        <w:rPr>
          <w:w w:val="105"/>
        </w:rPr>
        <w:t>period.</w:t>
      </w:r>
      <w:r>
        <w:rPr>
          <w:spacing w:val="-12"/>
          <w:w w:val="105"/>
        </w:rPr>
        <w:t xml:space="preserve"> </w:t>
      </w:r>
      <w:r>
        <w:rPr>
          <w:w w:val="105"/>
        </w:rPr>
        <w:t>The</w:t>
      </w:r>
      <w:r>
        <w:rPr>
          <w:spacing w:val="-11"/>
          <w:w w:val="105"/>
        </w:rPr>
        <w:t xml:space="preserve"> </w:t>
      </w:r>
      <w:r>
        <w:rPr>
          <w:w w:val="105"/>
        </w:rPr>
        <w:t>delirium</w:t>
      </w:r>
      <w:r>
        <w:rPr>
          <w:spacing w:val="5"/>
          <w:w w:val="105"/>
        </w:rPr>
        <w:t xml:space="preserve"> </w:t>
      </w:r>
      <w:r>
        <w:rPr>
          <w:w w:val="105"/>
        </w:rPr>
        <w:t>may</w:t>
      </w:r>
      <w:r>
        <w:rPr>
          <w:spacing w:val="-2"/>
          <w:w w:val="105"/>
        </w:rPr>
        <w:t xml:space="preserve"> </w:t>
      </w:r>
      <w:r>
        <w:rPr>
          <w:w w:val="105"/>
        </w:rPr>
        <w:t>resolve</w:t>
      </w:r>
      <w:r>
        <w:rPr>
          <w:spacing w:val="-1"/>
          <w:w w:val="105"/>
        </w:rPr>
        <w:t xml:space="preserve"> </w:t>
      </w:r>
      <w:r>
        <w:rPr>
          <w:w w:val="105"/>
        </w:rPr>
        <w:t>in</w:t>
      </w:r>
      <w:r>
        <w:rPr>
          <w:spacing w:val="-5"/>
          <w:w w:val="105"/>
        </w:rPr>
        <w:t xml:space="preserve"> </w:t>
      </w:r>
      <w:r>
        <w:rPr>
          <w:w w:val="105"/>
        </w:rPr>
        <w:t>a</w:t>
      </w:r>
      <w:r>
        <w:rPr>
          <w:spacing w:val="-12"/>
          <w:w w:val="105"/>
        </w:rPr>
        <w:t xml:space="preserve"> </w:t>
      </w:r>
      <w:r>
        <w:rPr>
          <w:w w:val="105"/>
        </w:rPr>
        <w:t>few</w:t>
      </w:r>
      <w:r>
        <w:rPr>
          <w:spacing w:val="-7"/>
          <w:w w:val="105"/>
        </w:rPr>
        <w:t xml:space="preserve"> </w:t>
      </w:r>
      <w:r>
        <w:rPr>
          <w:w w:val="105"/>
        </w:rPr>
        <w:t>hours,</w:t>
      </w:r>
      <w:r>
        <w:rPr>
          <w:spacing w:val="-2"/>
          <w:w w:val="105"/>
        </w:rPr>
        <w:t xml:space="preserve"> </w:t>
      </w:r>
      <w:r>
        <w:rPr>
          <w:w w:val="105"/>
        </w:rPr>
        <w:t>or</w:t>
      </w:r>
      <w:r>
        <w:rPr>
          <w:spacing w:val="-14"/>
          <w:w w:val="105"/>
        </w:rPr>
        <w:t xml:space="preserve"> </w:t>
      </w:r>
      <w:r>
        <w:rPr>
          <w:w w:val="105"/>
        </w:rPr>
        <w:t>symptoms</w:t>
      </w:r>
      <w:r>
        <w:rPr>
          <w:spacing w:val="3"/>
          <w:w w:val="105"/>
        </w:rPr>
        <w:t xml:space="preserve"> </w:t>
      </w:r>
      <w:r>
        <w:rPr>
          <w:w w:val="105"/>
        </w:rPr>
        <w:t>may</w:t>
      </w:r>
      <w:r>
        <w:rPr>
          <w:spacing w:val="-4"/>
          <w:w w:val="105"/>
        </w:rPr>
        <w:t xml:space="preserve"> </w:t>
      </w:r>
      <w:r>
        <w:rPr>
          <w:w w:val="105"/>
        </w:rPr>
        <w:t xml:space="preserve">persist for weeks, particularly in individuals with coexisting dementia. </w:t>
      </w:r>
      <w:r>
        <w:rPr>
          <w:rFonts w:ascii="Arial"/>
          <w:w w:val="105"/>
          <w:sz w:val="19"/>
        </w:rPr>
        <w:t xml:space="preserve">If </w:t>
      </w:r>
      <w:r>
        <w:rPr>
          <w:w w:val="105"/>
        </w:rPr>
        <w:t>the underlying etiological factor is promptly corrected or is self-limited, recovery is more likely to be complete.</w:t>
      </w:r>
    </w:p>
    <w:p w:rsidR="00E675F0" w:rsidRDefault="00E675F0" w:rsidP="00E675F0">
      <w:pPr>
        <w:pStyle w:val="BodyText"/>
        <w:spacing w:before="7"/>
        <w:rPr>
          <w:sz w:val="32"/>
        </w:rPr>
      </w:pPr>
    </w:p>
    <w:p w:rsidR="00E675F0" w:rsidRDefault="00E675F0" w:rsidP="00E675F0">
      <w:pPr>
        <w:ind w:left="136"/>
        <w:rPr>
          <w:rFonts w:ascii="TimesNewRomanPS-BoldItalicMT"/>
          <w:b/>
          <w:i/>
          <w:sz w:val="24"/>
        </w:rPr>
      </w:pPr>
      <w:r>
        <w:rPr>
          <w:rFonts w:ascii="TimesNewRomanPS-BoldItalicMT"/>
          <w:b/>
          <w:i/>
          <w:w w:val="110"/>
          <w:sz w:val="24"/>
        </w:rPr>
        <w:t>Di.fferential Di.agnosis</w:t>
      </w:r>
    </w:p>
    <w:p w:rsidR="00E675F0" w:rsidRDefault="00E675F0" w:rsidP="00E675F0">
      <w:pPr>
        <w:pStyle w:val="BodyText"/>
        <w:spacing w:before="122" w:line="254" w:lineRule="auto"/>
        <w:ind w:left="143" w:right="123" w:hanging="3"/>
        <w:jc w:val="both"/>
      </w:pPr>
      <w:r>
        <w:rPr>
          <w:w w:val="105"/>
        </w:rPr>
        <w:t xml:space="preserve">The most common differential diagnostic issue is whether the person has a </w:t>
      </w:r>
      <w:r>
        <w:rPr>
          <w:b/>
          <w:w w:val="105"/>
          <w:sz w:val="21"/>
        </w:rPr>
        <w:t xml:space="preserve">dementia </w:t>
      </w:r>
      <w:r>
        <w:rPr>
          <w:w w:val="105"/>
        </w:rPr>
        <w:t>rather than a delirium, has a delirium alone, or has a delirium superimposed on a preexisting</w:t>
      </w:r>
      <w:r>
        <w:rPr>
          <w:spacing w:val="-5"/>
          <w:w w:val="105"/>
        </w:rPr>
        <w:t xml:space="preserve"> </w:t>
      </w:r>
      <w:r>
        <w:rPr>
          <w:w w:val="105"/>
        </w:rPr>
        <w:t>dementia. Memory</w:t>
      </w:r>
      <w:r>
        <w:rPr>
          <w:spacing w:val="-3"/>
          <w:w w:val="105"/>
        </w:rPr>
        <w:t xml:space="preserve"> </w:t>
      </w:r>
      <w:r>
        <w:rPr>
          <w:w w:val="105"/>
        </w:rPr>
        <w:t>impairment</w:t>
      </w:r>
      <w:r>
        <w:rPr>
          <w:spacing w:val="4"/>
          <w:w w:val="105"/>
        </w:rPr>
        <w:t xml:space="preserve"> </w:t>
      </w:r>
      <w:r>
        <w:rPr>
          <w:w w:val="105"/>
        </w:rPr>
        <w:t>is</w:t>
      </w:r>
      <w:r>
        <w:rPr>
          <w:spacing w:val="-22"/>
          <w:w w:val="105"/>
        </w:rPr>
        <w:t xml:space="preserve"> </w:t>
      </w:r>
      <w:r>
        <w:rPr>
          <w:w w:val="105"/>
        </w:rPr>
        <w:t>common</w:t>
      </w:r>
      <w:r>
        <w:rPr>
          <w:spacing w:val="1"/>
          <w:w w:val="105"/>
        </w:rPr>
        <w:t xml:space="preserve"> </w:t>
      </w:r>
      <w:r>
        <w:rPr>
          <w:w w:val="105"/>
        </w:rPr>
        <w:t>to</w:t>
      </w:r>
      <w:r>
        <w:rPr>
          <w:spacing w:val="-13"/>
          <w:w w:val="105"/>
        </w:rPr>
        <w:t xml:space="preserve"> </w:t>
      </w:r>
      <w:r>
        <w:rPr>
          <w:w w:val="105"/>
        </w:rPr>
        <w:t>both</w:t>
      </w:r>
      <w:r>
        <w:rPr>
          <w:spacing w:val="-13"/>
          <w:w w:val="105"/>
        </w:rPr>
        <w:t xml:space="preserve"> </w:t>
      </w:r>
      <w:r>
        <w:rPr>
          <w:w w:val="105"/>
        </w:rPr>
        <w:t>a</w:t>
      </w:r>
      <w:r>
        <w:rPr>
          <w:spacing w:val="-15"/>
          <w:w w:val="105"/>
        </w:rPr>
        <w:t xml:space="preserve"> </w:t>
      </w:r>
      <w:r>
        <w:rPr>
          <w:w w:val="105"/>
        </w:rPr>
        <w:t>delirium</w:t>
      </w:r>
      <w:r>
        <w:rPr>
          <w:spacing w:val="-10"/>
          <w:w w:val="105"/>
        </w:rPr>
        <w:t xml:space="preserve"> </w:t>
      </w:r>
      <w:r>
        <w:rPr>
          <w:w w:val="105"/>
        </w:rPr>
        <w:t>and</w:t>
      </w:r>
      <w:r>
        <w:rPr>
          <w:spacing w:val="8"/>
          <w:w w:val="105"/>
        </w:rPr>
        <w:t xml:space="preserve"> </w:t>
      </w:r>
      <w:r>
        <w:rPr>
          <w:w w:val="105"/>
        </w:rPr>
        <w:t>a</w:t>
      </w:r>
      <w:r>
        <w:rPr>
          <w:spacing w:val="-15"/>
          <w:w w:val="105"/>
        </w:rPr>
        <w:t xml:space="preserve"> </w:t>
      </w:r>
      <w:r>
        <w:rPr>
          <w:w w:val="105"/>
        </w:rPr>
        <w:t>dementia, but the person with a dementia alone is alert and does not have the disturbance in consciousness that is characteristic of a delirium. When symptoms of a delirium are present, information from family members, other caretakers, or medical records may be helpful in determining whether the symptoms of a dementia were preexisting.  Coding  of a delirium superimposed on the different types of dementias is discussed under "Recording Procedures" for each type of</w:t>
      </w:r>
      <w:r>
        <w:rPr>
          <w:spacing w:val="-26"/>
          <w:w w:val="105"/>
        </w:rPr>
        <w:t xml:space="preserve"> </w:t>
      </w:r>
      <w:r>
        <w:rPr>
          <w:w w:val="105"/>
        </w:rPr>
        <w:t>delirium.</w:t>
      </w:r>
    </w:p>
    <w:p w:rsidR="00E675F0" w:rsidRDefault="00E675F0" w:rsidP="00E675F0">
      <w:pPr>
        <w:pStyle w:val="BodyText"/>
        <w:spacing w:line="254" w:lineRule="auto"/>
        <w:ind w:left="143" w:right="123" w:firstLine="362"/>
        <w:jc w:val="both"/>
      </w:pPr>
      <w:r>
        <w:rPr>
          <w:w w:val="110"/>
        </w:rPr>
        <w:t>The</w:t>
      </w:r>
      <w:r>
        <w:rPr>
          <w:spacing w:val="-21"/>
          <w:w w:val="110"/>
        </w:rPr>
        <w:t xml:space="preserve"> </w:t>
      </w:r>
      <w:r>
        <w:rPr>
          <w:w w:val="110"/>
        </w:rPr>
        <w:t>presumed</w:t>
      </w:r>
      <w:r>
        <w:rPr>
          <w:spacing w:val="-19"/>
          <w:w w:val="110"/>
        </w:rPr>
        <w:t xml:space="preserve"> </w:t>
      </w:r>
      <w:r>
        <w:rPr>
          <w:w w:val="110"/>
        </w:rPr>
        <w:t>etiology</w:t>
      </w:r>
      <w:r>
        <w:rPr>
          <w:spacing w:val="-19"/>
          <w:w w:val="110"/>
        </w:rPr>
        <w:t xml:space="preserve"> </w:t>
      </w:r>
      <w:r>
        <w:rPr>
          <w:w w:val="110"/>
        </w:rPr>
        <w:t>determines</w:t>
      </w:r>
      <w:r>
        <w:rPr>
          <w:spacing w:val="-16"/>
          <w:w w:val="110"/>
        </w:rPr>
        <w:t xml:space="preserve"> </w:t>
      </w:r>
      <w:r>
        <w:rPr>
          <w:w w:val="110"/>
        </w:rPr>
        <w:t>the</w:t>
      </w:r>
      <w:r>
        <w:rPr>
          <w:spacing w:val="-27"/>
          <w:w w:val="110"/>
        </w:rPr>
        <w:t xml:space="preserve"> </w:t>
      </w:r>
      <w:r>
        <w:rPr>
          <w:w w:val="110"/>
        </w:rPr>
        <w:t>specific</w:t>
      </w:r>
      <w:r>
        <w:rPr>
          <w:spacing w:val="-20"/>
          <w:w w:val="110"/>
        </w:rPr>
        <w:t xml:space="preserve"> </w:t>
      </w:r>
      <w:r>
        <w:rPr>
          <w:w w:val="110"/>
        </w:rPr>
        <w:t>delirium</w:t>
      </w:r>
      <w:r>
        <w:rPr>
          <w:spacing w:val="-19"/>
          <w:w w:val="110"/>
        </w:rPr>
        <w:t xml:space="preserve"> </w:t>
      </w:r>
      <w:r>
        <w:rPr>
          <w:w w:val="110"/>
        </w:rPr>
        <w:t>diagnosis</w:t>
      </w:r>
      <w:r>
        <w:rPr>
          <w:spacing w:val="-22"/>
          <w:w w:val="110"/>
        </w:rPr>
        <w:t xml:space="preserve"> </w:t>
      </w:r>
      <w:r>
        <w:rPr>
          <w:w w:val="110"/>
        </w:rPr>
        <w:t>(text</w:t>
      </w:r>
      <w:r>
        <w:rPr>
          <w:spacing w:val="-23"/>
          <w:w w:val="110"/>
        </w:rPr>
        <w:t xml:space="preserve"> </w:t>
      </w:r>
      <w:r>
        <w:rPr>
          <w:w w:val="110"/>
        </w:rPr>
        <w:t>and</w:t>
      </w:r>
      <w:r>
        <w:rPr>
          <w:spacing w:val="-20"/>
          <w:w w:val="110"/>
        </w:rPr>
        <w:t xml:space="preserve"> </w:t>
      </w:r>
      <w:r>
        <w:rPr>
          <w:w w:val="110"/>
        </w:rPr>
        <w:t>criteria for</w:t>
      </w:r>
      <w:r>
        <w:rPr>
          <w:spacing w:val="-13"/>
          <w:w w:val="110"/>
        </w:rPr>
        <w:t xml:space="preserve"> </w:t>
      </w:r>
      <w:r>
        <w:rPr>
          <w:w w:val="110"/>
        </w:rPr>
        <w:t>each</w:t>
      </w:r>
      <w:r>
        <w:rPr>
          <w:spacing w:val="-10"/>
          <w:w w:val="110"/>
        </w:rPr>
        <w:t xml:space="preserve"> </w:t>
      </w:r>
      <w:r>
        <w:rPr>
          <w:w w:val="110"/>
        </w:rPr>
        <w:t>delirium</w:t>
      </w:r>
      <w:r>
        <w:rPr>
          <w:spacing w:val="-5"/>
          <w:w w:val="110"/>
        </w:rPr>
        <w:t xml:space="preserve"> </w:t>
      </w:r>
      <w:r>
        <w:rPr>
          <w:w w:val="110"/>
        </w:rPr>
        <w:t>diagnosis</w:t>
      </w:r>
      <w:r>
        <w:rPr>
          <w:spacing w:val="-6"/>
          <w:w w:val="110"/>
        </w:rPr>
        <w:t xml:space="preserve"> </w:t>
      </w:r>
      <w:r>
        <w:rPr>
          <w:w w:val="110"/>
        </w:rPr>
        <w:t>are</w:t>
      </w:r>
      <w:r>
        <w:rPr>
          <w:spacing w:val="-8"/>
          <w:w w:val="110"/>
        </w:rPr>
        <w:t xml:space="preserve"> </w:t>
      </w:r>
      <w:r>
        <w:rPr>
          <w:w w:val="110"/>
        </w:rPr>
        <w:t>provided</w:t>
      </w:r>
      <w:r>
        <w:rPr>
          <w:spacing w:val="-8"/>
          <w:w w:val="110"/>
        </w:rPr>
        <w:t xml:space="preserve"> </w:t>
      </w:r>
      <w:r>
        <w:rPr>
          <w:w w:val="110"/>
        </w:rPr>
        <w:t>separately</w:t>
      </w:r>
      <w:r>
        <w:rPr>
          <w:spacing w:val="-7"/>
          <w:w w:val="110"/>
        </w:rPr>
        <w:t xml:space="preserve"> </w:t>
      </w:r>
      <w:r>
        <w:rPr>
          <w:w w:val="110"/>
        </w:rPr>
        <w:t>later</w:t>
      </w:r>
      <w:r>
        <w:rPr>
          <w:spacing w:val="-10"/>
          <w:w w:val="110"/>
        </w:rPr>
        <w:t xml:space="preserve"> </w:t>
      </w:r>
      <w:r>
        <w:rPr>
          <w:w w:val="110"/>
        </w:rPr>
        <w:t>in</w:t>
      </w:r>
      <w:r>
        <w:rPr>
          <w:spacing w:val="-9"/>
          <w:w w:val="110"/>
        </w:rPr>
        <w:t xml:space="preserve"> </w:t>
      </w:r>
      <w:r>
        <w:rPr>
          <w:w w:val="110"/>
        </w:rPr>
        <w:t>this</w:t>
      </w:r>
      <w:r>
        <w:rPr>
          <w:spacing w:val="-13"/>
          <w:w w:val="110"/>
        </w:rPr>
        <w:t xml:space="preserve"> </w:t>
      </w:r>
      <w:r>
        <w:rPr>
          <w:w w:val="110"/>
        </w:rPr>
        <w:t>section).</w:t>
      </w:r>
      <w:r>
        <w:rPr>
          <w:spacing w:val="-16"/>
          <w:w w:val="110"/>
        </w:rPr>
        <w:t xml:space="preserve"> </w:t>
      </w:r>
      <w:r>
        <w:rPr>
          <w:rFonts w:ascii="Arial"/>
          <w:w w:val="110"/>
          <w:sz w:val="19"/>
        </w:rPr>
        <w:t>If</w:t>
      </w:r>
      <w:r>
        <w:rPr>
          <w:rFonts w:ascii="Arial"/>
          <w:spacing w:val="3"/>
          <w:w w:val="110"/>
          <w:sz w:val="19"/>
        </w:rPr>
        <w:t xml:space="preserve"> </w:t>
      </w:r>
      <w:r>
        <w:rPr>
          <w:w w:val="110"/>
        </w:rPr>
        <w:t>it</w:t>
      </w:r>
      <w:r>
        <w:rPr>
          <w:spacing w:val="-10"/>
          <w:w w:val="110"/>
        </w:rPr>
        <w:t xml:space="preserve"> </w:t>
      </w:r>
      <w:r>
        <w:rPr>
          <w:w w:val="110"/>
        </w:rPr>
        <w:t>is</w:t>
      </w:r>
      <w:r>
        <w:rPr>
          <w:spacing w:val="-1"/>
          <w:w w:val="110"/>
        </w:rPr>
        <w:t xml:space="preserve"> </w:t>
      </w:r>
      <w:r>
        <w:rPr>
          <w:w w:val="110"/>
        </w:rPr>
        <w:t>judged that</w:t>
      </w:r>
      <w:r>
        <w:rPr>
          <w:spacing w:val="-29"/>
          <w:w w:val="110"/>
        </w:rPr>
        <w:t xml:space="preserve"> </w:t>
      </w:r>
      <w:r>
        <w:rPr>
          <w:w w:val="110"/>
        </w:rPr>
        <w:t>the</w:t>
      </w:r>
      <w:r>
        <w:rPr>
          <w:spacing w:val="-31"/>
          <w:w w:val="110"/>
        </w:rPr>
        <w:t xml:space="preserve"> </w:t>
      </w:r>
      <w:r>
        <w:rPr>
          <w:w w:val="110"/>
        </w:rPr>
        <w:t>delirium</w:t>
      </w:r>
      <w:r>
        <w:rPr>
          <w:spacing w:val="-26"/>
          <w:w w:val="110"/>
        </w:rPr>
        <w:t xml:space="preserve"> </w:t>
      </w:r>
      <w:r>
        <w:rPr>
          <w:w w:val="110"/>
        </w:rPr>
        <w:t>is</w:t>
      </w:r>
      <w:r>
        <w:rPr>
          <w:spacing w:val="-30"/>
          <w:w w:val="110"/>
        </w:rPr>
        <w:t xml:space="preserve"> </w:t>
      </w:r>
      <w:r>
        <w:rPr>
          <w:w w:val="110"/>
        </w:rPr>
        <w:t>a</w:t>
      </w:r>
      <w:r>
        <w:rPr>
          <w:spacing w:val="-26"/>
          <w:w w:val="110"/>
        </w:rPr>
        <w:t xml:space="preserve"> </w:t>
      </w:r>
      <w:r>
        <w:rPr>
          <w:w w:val="110"/>
        </w:rPr>
        <w:t>consequence</w:t>
      </w:r>
      <w:r>
        <w:rPr>
          <w:spacing w:val="-16"/>
          <w:w w:val="110"/>
        </w:rPr>
        <w:t xml:space="preserve"> </w:t>
      </w:r>
      <w:r>
        <w:rPr>
          <w:w w:val="110"/>
        </w:rPr>
        <w:t>of</w:t>
      </w:r>
      <w:r>
        <w:rPr>
          <w:spacing w:val="-24"/>
          <w:w w:val="110"/>
        </w:rPr>
        <w:t xml:space="preserve"> </w:t>
      </w:r>
      <w:r>
        <w:rPr>
          <w:w w:val="110"/>
        </w:rPr>
        <w:t>the</w:t>
      </w:r>
      <w:r>
        <w:rPr>
          <w:spacing w:val="-28"/>
          <w:w w:val="110"/>
        </w:rPr>
        <w:t xml:space="preserve"> </w:t>
      </w:r>
      <w:r>
        <w:rPr>
          <w:w w:val="110"/>
        </w:rPr>
        <w:t>direct</w:t>
      </w:r>
      <w:r>
        <w:rPr>
          <w:spacing w:val="-23"/>
          <w:w w:val="110"/>
        </w:rPr>
        <w:t xml:space="preserve"> </w:t>
      </w:r>
      <w:r>
        <w:rPr>
          <w:w w:val="110"/>
        </w:rPr>
        <w:t>physiological</w:t>
      </w:r>
      <w:r>
        <w:rPr>
          <w:spacing w:val="-23"/>
          <w:w w:val="110"/>
        </w:rPr>
        <w:t xml:space="preserve"> </w:t>
      </w:r>
      <w:r>
        <w:rPr>
          <w:w w:val="110"/>
        </w:rPr>
        <w:t>effects</w:t>
      </w:r>
      <w:r>
        <w:rPr>
          <w:spacing w:val="-29"/>
          <w:w w:val="110"/>
        </w:rPr>
        <w:t xml:space="preserve"> </w:t>
      </w:r>
      <w:r>
        <w:rPr>
          <w:w w:val="110"/>
        </w:rPr>
        <w:t>of</w:t>
      </w:r>
      <w:r>
        <w:rPr>
          <w:spacing w:val="-26"/>
          <w:w w:val="110"/>
        </w:rPr>
        <w:t xml:space="preserve"> </w:t>
      </w:r>
      <w:r>
        <w:rPr>
          <w:w w:val="110"/>
        </w:rPr>
        <w:t>a</w:t>
      </w:r>
      <w:r>
        <w:rPr>
          <w:spacing w:val="-29"/>
          <w:w w:val="110"/>
        </w:rPr>
        <w:t xml:space="preserve"> </w:t>
      </w:r>
      <w:r>
        <w:rPr>
          <w:w w:val="110"/>
        </w:rPr>
        <w:t>general</w:t>
      </w:r>
      <w:r>
        <w:rPr>
          <w:spacing w:val="-26"/>
          <w:w w:val="110"/>
        </w:rPr>
        <w:t xml:space="preserve"> </w:t>
      </w:r>
      <w:r>
        <w:rPr>
          <w:w w:val="110"/>
        </w:rPr>
        <w:t>medical condition,</w:t>
      </w:r>
      <w:r>
        <w:rPr>
          <w:spacing w:val="-33"/>
          <w:w w:val="110"/>
        </w:rPr>
        <w:t xml:space="preserve"> </w:t>
      </w:r>
      <w:r>
        <w:rPr>
          <w:w w:val="110"/>
        </w:rPr>
        <w:t>then</w:t>
      </w:r>
      <w:r>
        <w:rPr>
          <w:spacing w:val="-39"/>
          <w:w w:val="110"/>
        </w:rPr>
        <w:t xml:space="preserve"> </w:t>
      </w:r>
      <w:r>
        <w:rPr>
          <w:w w:val="110"/>
        </w:rPr>
        <w:t>Delirium</w:t>
      </w:r>
      <w:r>
        <w:rPr>
          <w:spacing w:val="-35"/>
          <w:w w:val="110"/>
        </w:rPr>
        <w:t xml:space="preserve"> </w:t>
      </w:r>
      <w:r>
        <w:rPr>
          <w:w w:val="110"/>
        </w:rPr>
        <w:t>Due</w:t>
      </w:r>
      <w:r>
        <w:rPr>
          <w:spacing w:val="-41"/>
          <w:w w:val="110"/>
        </w:rPr>
        <w:t xml:space="preserve"> </w:t>
      </w:r>
      <w:r>
        <w:rPr>
          <w:w w:val="110"/>
        </w:rPr>
        <w:t>to</w:t>
      </w:r>
      <w:r>
        <w:rPr>
          <w:spacing w:val="-39"/>
          <w:w w:val="110"/>
        </w:rPr>
        <w:t xml:space="preserve"> </w:t>
      </w:r>
      <w:r>
        <w:rPr>
          <w:w w:val="110"/>
        </w:rPr>
        <w:t>a</w:t>
      </w:r>
      <w:r>
        <w:rPr>
          <w:spacing w:val="-39"/>
          <w:w w:val="110"/>
        </w:rPr>
        <w:t xml:space="preserve"> </w:t>
      </w:r>
      <w:r>
        <w:rPr>
          <w:w w:val="110"/>
        </w:rPr>
        <w:t>General</w:t>
      </w:r>
      <w:r>
        <w:rPr>
          <w:spacing w:val="-37"/>
          <w:w w:val="110"/>
        </w:rPr>
        <w:t xml:space="preserve"> </w:t>
      </w:r>
      <w:r>
        <w:rPr>
          <w:w w:val="110"/>
        </w:rPr>
        <w:t>Medical</w:t>
      </w:r>
      <w:r>
        <w:rPr>
          <w:spacing w:val="-37"/>
          <w:w w:val="110"/>
        </w:rPr>
        <w:t xml:space="preserve"> </w:t>
      </w:r>
      <w:r>
        <w:rPr>
          <w:w w:val="110"/>
        </w:rPr>
        <w:t>Condition</w:t>
      </w:r>
      <w:r>
        <w:rPr>
          <w:spacing w:val="-33"/>
          <w:w w:val="110"/>
        </w:rPr>
        <w:t xml:space="preserve"> </w:t>
      </w:r>
      <w:r>
        <w:rPr>
          <w:w w:val="110"/>
        </w:rPr>
        <w:t>is</w:t>
      </w:r>
      <w:r>
        <w:rPr>
          <w:spacing w:val="-43"/>
          <w:w w:val="110"/>
        </w:rPr>
        <w:t xml:space="preserve"> </w:t>
      </w:r>
      <w:r>
        <w:rPr>
          <w:w w:val="110"/>
        </w:rPr>
        <w:t>diagnosed.</w:t>
      </w:r>
      <w:r>
        <w:rPr>
          <w:spacing w:val="-36"/>
          <w:w w:val="110"/>
        </w:rPr>
        <w:t xml:space="preserve"> </w:t>
      </w:r>
      <w:r>
        <w:rPr>
          <w:w w:val="110"/>
        </w:rPr>
        <w:t>If</w:t>
      </w:r>
      <w:r>
        <w:rPr>
          <w:spacing w:val="-38"/>
          <w:w w:val="110"/>
        </w:rPr>
        <w:t xml:space="preserve"> </w:t>
      </w:r>
      <w:r>
        <w:rPr>
          <w:w w:val="110"/>
        </w:rPr>
        <w:t>the</w:t>
      </w:r>
      <w:r>
        <w:rPr>
          <w:spacing w:val="-41"/>
          <w:w w:val="110"/>
        </w:rPr>
        <w:t xml:space="preserve"> </w:t>
      </w:r>
      <w:r>
        <w:rPr>
          <w:w w:val="110"/>
        </w:rPr>
        <w:t>delirium results from the direct physiological effects of a drug of abuse, then Substance Intoxication Delirium or Substance Withdrawal Delirium is diagnosed, depending on whether</w:t>
      </w:r>
      <w:r>
        <w:rPr>
          <w:spacing w:val="-15"/>
          <w:w w:val="110"/>
        </w:rPr>
        <w:t xml:space="preserve"> </w:t>
      </w:r>
      <w:r>
        <w:rPr>
          <w:w w:val="110"/>
        </w:rPr>
        <w:t>the</w:t>
      </w:r>
      <w:r>
        <w:rPr>
          <w:spacing w:val="-17"/>
          <w:w w:val="110"/>
        </w:rPr>
        <w:t xml:space="preserve"> </w:t>
      </w:r>
      <w:r>
        <w:rPr>
          <w:w w:val="110"/>
        </w:rPr>
        <w:t>delirium</w:t>
      </w:r>
      <w:r>
        <w:rPr>
          <w:spacing w:val="-14"/>
          <w:w w:val="110"/>
        </w:rPr>
        <w:t xml:space="preserve"> </w:t>
      </w:r>
      <w:r>
        <w:rPr>
          <w:w w:val="110"/>
        </w:rPr>
        <w:t>occurred</w:t>
      </w:r>
      <w:r>
        <w:rPr>
          <w:spacing w:val="-16"/>
          <w:w w:val="110"/>
        </w:rPr>
        <w:t xml:space="preserve"> </w:t>
      </w:r>
      <w:r>
        <w:rPr>
          <w:w w:val="110"/>
        </w:rPr>
        <w:t>in</w:t>
      </w:r>
      <w:r>
        <w:rPr>
          <w:spacing w:val="-18"/>
          <w:w w:val="110"/>
        </w:rPr>
        <w:t xml:space="preserve"> </w:t>
      </w:r>
      <w:r>
        <w:rPr>
          <w:w w:val="110"/>
        </w:rPr>
        <w:t>association</w:t>
      </w:r>
      <w:r>
        <w:rPr>
          <w:spacing w:val="-8"/>
          <w:w w:val="110"/>
        </w:rPr>
        <w:t xml:space="preserve"> </w:t>
      </w:r>
      <w:r>
        <w:rPr>
          <w:w w:val="110"/>
        </w:rPr>
        <w:t>with</w:t>
      </w:r>
      <w:r>
        <w:rPr>
          <w:spacing w:val="-21"/>
          <w:w w:val="110"/>
        </w:rPr>
        <w:t xml:space="preserve"> </w:t>
      </w:r>
      <w:r>
        <w:rPr>
          <w:w w:val="110"/>
        </w:rPr>
        <w:t>Substance</w:t>
      </w:r>
      <w:r>
        <w:rPr>
          <w:spacing w:val="-14"/>
          <w:w w:val="110"/>
        </w:rPr>
        <w:t xml:space="preserve"> </w:t>
      </w:r>
      <w:r>
        <w:rPr>
          <w:w w:val="110"/>
        </w:rPr>
        <w:t>Intoxication</w:t>
      </w:r>
      <w:r>
        <w:rPr>
          <w:spacing w:val="-11"/>
          <w:w w:val="110"/>
        </w:rPr>
        <w:t xml:space="preserve"> </w:t>
      </w:r>
      <w:r>
        <w:rPr>
          <w:w w:val="110"/>
        </w:rPr>
        <w:t>or</w:t>
      </w:r>
      <w:r>
        <w:rPr>
          <w:spacing w:val="-25"/>
          <w:w w:val="110"/>
        </w:rPr>
        <w:t xml:space="preserve"> </w:t>
      </w:r>
      <w:r>
        <w:rPr>
          <w:w w:val="110"/>
        </w:rPr>
        <w:t xml:space="preserve">Substance Withdrawal. If the delirium results from medication use or toxin exposure, then Substance-Induced Delirium is diagnosed. </w:t>
      </w:r>
      <w:r>
        <w:rPr>
          <w:w w:val="110"/>
          <w:sz w:val="18"/>
        </w:rPr>
        <w:t xml:space="preserve">It </w:t>
      </w:r>
      <w:r>
        <w:rPr>
          <w:w w:val="110"/>
        </w:rPr>
        <w:t>is not uncommon for the delirium to be due</w:t>
      </w:r>
      <w:r>
        <w:rPr>
          <w:spacing w:val="-19"/>
          <w:w w:val="110"/>
        </w:rPr>
        <w:t xml:space="preserve"> </w:t>
      </w:r>
      <w:r>
        <w:rPr>
          <w:w w:val="110"/>
        </w:rPr>
        <w:t>to</w:t>
      </w:r>
      <w:r>
        <w:rPr>
          <w:spacing w:val="-22"/>
          <w:w w:val="110"/>
        </w:rPr>
        <w:t xml:space="preserve"> </w:t>
      </w:r>
      <w:r>
        <w:rPr>
          <w:w w:val="110"/>
        </w:rPr>
        <w:t>both</w:t>
      </w:r>
      <w:r>
        <w:rPr>
          <w:spacing w:val="-18"/>
          <w:w w:val="110"/>
        </w:rPr>
        <w:t xml:space="preserve"> </w:t>
      </w:r>
      <w:r>
        <w:rPr>
          <w:w w:val="110"/>
        </w:rPr>
        <w:t>a</w:t>
      </w:r>
      <w:r>
        <w:rPr>
          <w:spacing w:val="-25"/>
          <w:w w:val="110"/>
        </w:rPr>
        <w:t xml:space="preserve"> </w:t>
      </w:r>
      <w:r>
        <w:rPr>
          <w:w w:val="110"/>
        </w:rPr>
        <w:t>general</w:t>
      </w:r>
      <w:r>
        <w:rPr>
          <w:spacing w:val="-17"/>
          <w:w w:val="110"/>
        </w:rPr>
        <w:t xml:space="preserve"> </w:t>
      </w:r>
      <w:r>
        <w:rPr>
          <w:w w:val="110"/>
        </w:rPr>
        <w:t>medical</w:t>
      </w:r>
      <w:r>
        <w:rPr>
          <w:spacing w:val="-14"/>
          <w:w w:val="110"/>
        </w:rPr>
        <w:t xml:space="preserve"> </w:t>
      </w:r>
      <w:r>
        <w:rPr>
          <w:w w:val="110"/>
        </w:rPr>
        <w:t>condition</w:t>
      </w:r>
      <w:r>
        <w:rPr>
          <w:spacing w:val="-13"/>
          <w:w w:val="110"/>
        </w:rPr>
        <w:t xml:space="preserve"> </w:t>
      </w:r>
      <w:r>
        <w:rPr>
          <w:w w:val="110"/>
        </w:rPr>
        <w:t>and</w:t>
      </w:r>
      <w:r>
        <w:rPr>
          <w:spacing w:val="-22"/>
          <w:w w:val="110"/>
        </w:rPr>
        <w:t xml:space="preserve"> </w:t>
      </w:r>
      <w:r>
        <w:rPr>
          <w:w w:val="110"/>
        </w:rPr>
        <w:t>substance</w:t>
      </w:r>
      <w:r>
        <w:rPr>
          <w:spacing w:val="-22"/>
          <w:w w:val="110"/>
        </w:rPr>
        <w:t xml:space="preserve"> </w:t>
      </w:r>
      <w:r>
        <w:rPr>
          <w:w w:val="110"/>
        </w:rPr>
        <w:t>(including</w:t>
      </w:r>
      <w:r>
        <w:rPr>
          <w:spacing w:val="-13"/>
          <w:w w:val="110"/>
        </w:rPr>
        <w:t xml:space="preserve"> </w:t>
      </w:r>
      <w:r>
        <w:rPr>
          <w:w w:val="110"/>
        </w:rPr>
        <w:t>medication)</w:t>
      </w:r>
      <w:r>
        <w:rPr>
          <w:spacing w:val="-12"/>
          <w:w w:val="110"/>
        </w:rPr>
        <w:t xml:space="preserve"> </w:t>
      </w:r>
      <w:r>
        <w:rPr>
          <w:w w:val="110"/>
        </w:rPr>
        <w:t>use.</w:t>
      </w:r>
      <w:r>
        <w:rPr>
          <w:spacing w:val="-28"/>
          <w:w w:val="110"/>
        </w:rPr>
        <w:t xml:space="preserve"> </w:t>
      </w:r>
      <w:r>
        <w:rPr>
          <w:w w:val="110"/>
        </w:rPr>
        <w:t>This</w:t>
      </w:r>
    </w:p>
    <w:p w:rsidR="00E675F0" w:rsidRDefault="00E675F0" w:rsidP="00E675F0">
      <w:pPr>
        <w:spacing w:line="254" w:lineRule="auto"/>
        <w:jc w:val="both"/>
        <w:sectPr w:rsidR="00E675F0">
          <w:pgSz w:w="8960" w:h="14260"/>
          <w:pgMar w:top="940" w:right="600" w:bottom="280" w:left="600" w:header="693" w:footer="0" w:gutter="0"/>
          <w:cols w:space="720"/>
        </w:sectPr>
      </w:pPr>
    </w:p>
    <w:p w:rsidR="00E675F0" w:rsidRDefault="00E675F0" w:rsidP="00E675F0">
      <w:pPr>
        <w:pStyle w:val="BodyText"/>
      </w:pPr>
    </w:p>
    <w:p w:rsidR="00E675F0" w:rsidRDefault="00E675F0" w:rsidP="00E675F0">
      <w:pPr>
        <w:pStyle w:val="BodyText"/>
        <w:spacing w:before="10"/>
        <w:rPr>
          <w:sz w:val="18"/>
        </w:rPr>
      </w:pPr>
    </w:p>
    <w:p w:rsidR="00E675F0" w:rsidRDefault="00E675F0" w:rsidP="00E675F0">
      <w:pPr>
        <w:pStyle w:val="BodyText"/>
        <w:spacing w:before="92" w:line="254" w:lineRule="auto"/>
        <w:ind w:left="124" w:right="151" w:firstLine="5"/>
        <w:jc w:val="both"/>
      </w:pPr>
      <w:bookmarkStart w:id="84" w:name="_bookmark67"/>
      <w:bookmarkEnd w:id="84"/>
      <w:r>
        <w:rPr>
          <w:w w:val="105"/>
        </w:rPr>
        <w:t xml:space="preserve">may be seen, for example, in an elderly individual with a serious general medical condition that is being treated with multiple medications. When there is more than one etiology (e.g., both a substance and a general medical condition), </w:t>
      </w:r>
      <w:r>
        <w:rPr>
          <w:b/>
          <w:w w:val="105"/>
        </w:rPr>
        <w:t xml:space="preserve">Delirium Due to Multiple Etiologies </w:t>
      </w:r>
      <w:r>
        <w:rPr>
          <w:w w:val="105"/>
        </w:rPr>
        <w:t>is diagnosed. If it is not possible to establish a specific etiology (i.e., substance induced or due to a general medical condition), Delirium Not Otherwise Specified is</w:t>
      </w:r>
      <w:r>
        <w:rPr>
          <w:spacing w:val="17"/>
          <w:w w:val="105"/>
        </w:rPr>
        <w:t xml:space="preserve"> </w:t>
      </w:r>
      <w:r>
        <w:rPr>
          <w:w w:val="105"/>
        </w:rPr>
        <w:t>diagnosed.</w:t>
      </w:r>
    </w:p>
    <w:p w:rsidR="00E675F0" w:rsidRDefault="00E675F0" w:rsidP="00E675F0">
      <w:pPr>
        <w:pStyle w:val="BodyText"/>
        <w:spacing w:line="254" w:lineRule="auto"/>
        <w:ind w:left="126" w:right="143" w:firstLine="359"/>
        <w:jc w:val="both"/>
      </w:pPr>
      <w:r>
        <w:rPr>
          <w:w w:val="105"/>
        </w:rPr>
        <w:t>The</w:t>
      </w:r>
      <w:r>
        <w:rPr>
          <w:spacing w:val="-16"/>
          <w:w w:val="105"/>
        </w:rPr>
        <w:t xml:space="preserve"> </w:t>
      </w:r>
      <w:r>
        <w:rPr>
          <w:w w:val="105"/>
        </w:rPr>
        <w:t>diagnosis</w:t>
      </w:r>
      <w:r>
        <w:rPr>
          <w:spacing w:val="-12"/>
          <w:w w:val="105"/>
        </w:rPr>
        <w:t xml:space="preserve"> </w:t>
      </w:r>
      <w:r>
        <w:rPr>
          <w:w w:val="105"/>
        </w:rPr>
        <w:t>of</w:t>
      </w:r>
      <w:r>
        <w:rPr>
          <w:spacing w:val="-13"/>
          <w:w w:val="105"/>
        </w:rPr>
        <w:t xml:space="preserve"> </w:t>
      </w:r>
      <w:r>
        <w:rPr>
          <w:w w:val="105"/>
        </w:rPr>
        <w:t>Substance</w:t>
      </w:r>
      <w:r>
        <w:rPr>
          <w:spacing w:val="-6"/>
          <w:w w:val="105"/>
        </w:rPr>
        <w:t xml:space="preserve"> </w:t>
      </w:r>
      <w:r>
        <w:rPr>
          <w:w w:val="105"/>
        </w:rPr>
        <w:t>Intoxication</w:t>
      </w:r>
      <w:r>
        <w:rPr>
          <w:spacing w:val="-7"/>
          <w:w w:val="105"/>
        </w:rPr>
        <w:t xml:space="preserve"> </w:t>
      </w:r>
      <w:r>
        <w:rPr>
          <w:w w:val="105"/>
        </w:rPr>
        <w:t>Delirium</w:t>
      </w:r>
      <w:r>
        <w:rPr>
          <w:spacing w:val="-11"/>
          <w:w w:val="105"/>
        </w:rPr>
        <w:t xml:space="preserve"> </w:t>
      </w:r>
      <w:r>
        <w:rPr>
          <w:w w:val="105"/>
        </w:rPr>
        <w:t>or</w:t>
      </w:r>
      <w:r>
        <w:rPr>
          <w:spacing w:val="-13"/>
          <w:w w:val="105"/>
        </w:rPr>
        <w:t xml:space="preserve"> </w:t>
      </w:r>
      <w:r>
        <w:rPr>
          <w:w w:val="105"/>
        </w:rPr>
        <w:t>Substance</w:t>
      </w:r>
      <w:r>
        <w:rPr>
          <w:spacing w:val="-12"/>
          <w:w w:val="105"/>
        </w:rPr>
        <w:t xml:space="preserve"> </w:t>
      </w:r>
      <w:r>
        <w:rPr>
          <w:w w:val="105"/>
        </w:rPr>
        <w:t>Withdrawal</w:t>
      </w:r>
      <w:r>
        <w:rPr>
          <w:spacing w:val="-1"/>
          <w:w w:val="105"/>
        </w:rPr>
        <w:t xml:space="preserve"> </w:t>
      </w:r>
      <w:r>
        <w:rPr>
          <w:w w:val="105"/>
        </w:rPr>
        <w:t xml:space="preserve">Delirium is made instead of </w:t>
      </w:r>
      <w:r>
        <w:rPr>
          <w:b/>
          <w:w w:val="105"/>
        </w:rPr>
        <w:t xml:space="preserve">Substance Intoxication </w:t>
      </w:r>
      <w:r>
        <w:rPr>
          <w:rFonts w:ascii="Arial"/>
          <w:b/>
          <w:w w:val="105"/>
          <w:sz w:val="17"/>
        </w:rPr>
        <w:t xml:space="preserve">or </w:t>
      </w:r>
      <w:r>
        <w:rPr>
          <w:b/>
          <w:w w:val="105"/>
        </w:rPr>
        <w:t xml:space="preserve">Substance Withdrawal </w:t>
      </w:r>
      <w:r>
        <w:rPr>
          <w:w w:val="105"/>
        </w:rPr>
        <w:t xml:space="preserve">only if the symptoms of the delirium are in excess of those usually associated with the intoxication or withdrawal syndrome and are sufficiently severe to warrant independent clinical attention. Even in individuals with obvious signs of intoxication or withdrawal, other possible causes of the delirium (i.e., </w:t>
      </w:r>
      <w:r>
        <w:rPr>
          <w:b/>
          <w:w w:val="105"/>
        </w:rPr>
        <w:t xml:space="preserve">Delirium Due to a General Medical Condition) </w:t>
      </w:r>
      <w:r>
        <w:rPr>
          <w:w w:val="105"/>
        </w:rPr>
        <w:t>must not be overlooked. For example, a head injury that occurs as a result of falls or fighting during intoxication may be responsible for the</w:t>
      </w:r>
      <w:r>
        <w:rPr>
          <w:spacing w:val="16"/>
          <w:w w:val="105"/>
        </w:rPr>
        <w:t xml:space="preserve"> </w:t>
      </w:r>
      <w:r>
        <w:rPr>
          <w:w w:val="105"/>
        </w:rPr>
        <w:t>delirium.</w:t>
      </w:r>
    </w:p>
    <w:p w:rsidR="00E675F0" w:rsidRDefault="00E675F0" w:rsidP="00E675F0">
      <w:pPr>
        <w:pStyle w:val="BodyText"/>
        <w:spacing w:line="254" w:lineRule="auto"/>
        <w:ind w:left="133" w:right="139" w:firstLine="365"/>
        <w:jc w:val="both"/>
      </w:pPr>
      <w:r>
        <w:rPr>
          <w:w w:val="105"/>
        </w:rPr>
        <w:t xml:space="preserve">Delirium that is characterized by vivid hallucinations, delusions, language distur­ bances, and agitation must be distinguished from </w:t>
      </w:r>
      <w:r>
        <w:rPr>
          <w:b/>
          <w:w w:val="105"/>
        </w:rPr>
        <w:t xml:space="preserve">Brief Psychotic Disorder, Schizo­ phrenia, Schizophreniform Disorder, </w:t>
      </w:r>
      <w:r>
        <w:rPr>
          <w:w w:val="105"/>
        </w:rPr>
        <w:t xml:space="preserve">and </w:t>
      </w:r>
      <w:r>
        <w:rPr>
          <w:b/>
          <w:w w:val="105"/>
        </w:rPr>
        <w:t xml:space="preserve">other Psychotic Disorders, </w:t>
      </w:r>
      <w:r>
        <w:rPr>
          <w:w w:val="105"/>
        </w:rPr>
        <w:t xml:space="preserve">as  well  as from </w:t>
      </w:r>
      <w:r>
        <w:rPr>
          <w:b/>
          <w:w w:val="105"/>
        </w:rPr>
        <w:t xml:space="preserve">Mood Disorders With Psychotic Features. </w:t>
      </w:r>
      <w:r>
        <w:rPr>
          <w:w w:val="105"/>
        </w:rPr>
        <w:t>In delirium, the psychotic symptoms fluctuate, are fragmented and unsystematized, occur in the context of a reduced  ability to appropriately maintain and shift attention, and are usually associated with EEG abnormalities. There is often memory impairment and disorientation in delirium, but generally not in these other disorders. Finally, in delirium, the person generally shows evidence of an underlying general medical condition, Substance Intoxication or With­ drawal, or medication</w:t>
      </w:r>
      <w:r>
        <w:rPr>
          <w:spacing w:val="4"/>
          <w:w w:val="105"/>
        </w:rPr>
        <w:t xml:space="preserve"> </w:t>
      </w:r>
      <w:r>
        <w:rPr>
          <w:w w:val="105"/>
        </w:rPr>
        <w:t>use.</w:t>
      </w:r>
    </w:p>
    <w:p w:rsidR="00E675F0" w:rsidRDefault="00E675F0" w:rsidP="00E675F0">
      <w:pPr>
        <w:pStyle w:val="BodyText"/>
        <w:spacing w:line="254" w:lineRule="auto"/>
        <w:ind w:left="134" w:right="139" w:firstLine="368"/>
        <w:jc w:val="both"/>
      </w:pPr>
      <w:r>
        <w:rPr>
          <w:w w:val="105"/>
        </w:rPr>
        <w:t xml:space="preserve">Delirium must be distinguished from </w:t>
      </w:r>
      <w:r>
        <w:rPr>
          <w:b/>
          <w:w w:val="105"/>
        </w:rPr>
        <w:t xml:space="preserve">Malingering </w:t>
      </w:r>
      <w:r>
        <w:rPr>
          <w:w w:val="105"/>
        </w:rPr>
        <w:t xml:space="preserve">and from </w:t>
      </w:r>
      <w:r>
        <w:rPr>
          <w:b/>
          <w:w w:val="105"/>
        </w:rPr>
        <w:t xml:space="preserve">Factitious Disorder. </w:t>
      </w:r>
      <w:r>
        <w:rPr>
          <w:w w:val="105"/>
        </w:rPr>
        <w:t>This distinction is made based on the often atypical presentation in Malingering and Factitious Disorder and the absence of a general medical condition or substance that is etiologically related to the apparent cognitive disturbance.</w:t>
      </w:r>
    </w:p>
    <w:p w:rsidR="00E675F0" w:rsidRDefault="00E675F0" w:rsidP="00E675F0">
      <w:pPr>
        <w:pStyle w:val="BodyText"/>
        <w:spacing w:line="252" w:lineRule="auto"/>
        <w:ind w:left="135" w:right="145" w:firstLine="366"/>
        <w:jc w:val="both"/>
        <w:rPr>
          <w:b/>
        </w:rPr>
      </w:pPr>
      <w:r>
        <w:rPr>
          <w:w w:val="105"/>
        </w:rPr>
        <w:t xml:space="preserve">Individuals may present with some but not all symptoms of delirium. Subsyndromal presentations need to be carefully assessed because they may be harbingers of a full-blown delirium or may signal an as yet undiagnosed underlying general medical condition. Such presentations should be coded as </w:t>
      </w:r>
      <w:r>
        <w:rPr>
          <w:b/>
          <w:w w:val="105"/>
        </w:rPr>
        <w:t>Cognitive Disorder Not Otherwise Specified.</w:t>
      </w:r>
    </w:p>
    <w:p w:rsidR="00E675F0" w:rsidRDefault="00E675F0" w:rsidP="00E675F0">
      <w:pPr>
        <w:pStyle w:val="BodyText"/>
        <w:rPr>
          <w:b/>
          <w:sz w:val="22"/>
        </w:rPr>
      </w:pPr>
    </w:p>
    <w:p w:rsidR="00E675F0" w:rsidRDefault="00E675F0" w:rsidP="00E675F0">
      <w:pPr>
        <w:pStyle w:val="BodyText"/>
        <w:spacing w:before="9"/>
        <w:rPr>
          <w:b/>
          <w:sz w:val="17"/>
        </w:rPr>
      </w:pPr>
    </w:p>
    <w:p w:rsidR="00E675F0" w:rsidRDefault="00E675F0" w:rsidP="00E675F0">
      <w:pPr>
        <w:tabs>
          <w:tab w:val="left" w:pos="1484"/>
        </w:tabs>
        <w:ind w:left="572"/>
        <w:rPr>
          <w:rFonts w:ascii="Arial"/>
          <w:b/>
          <w:sz w:val="25"/>
        </w:rPr>
      </w:pPr>
      <w:r>
        <w:rPr>
          <w:rFonts w:ascii="Arial"/>
          <w:b/>
          <w:w w:val="110"/>
          <w:sz w:val="25"/>
        </w:rPr>
        <w:t>293.0</w:t>
      </w:r>
      <w:r>
        <w:rPr>
          <w:rFonts w:ascii="Arial"/>
          <w:b/>
          <w:w w:val="110"/>
          <w:sz w:val="25"/>
        </w:rPr>
        <w:tab/>
        <w:t>Delirium Due to a General Medical</w:t>
      </w:r>
      <w:r>
        <w:rPr>
          <w:rFonts w:ascii="Arial"/>
          <w:b/>
          <w:spacing w:val="-57"/>
          <w:w w:val="110"/>
          <w:sz w:val="25"/>
        </w:rPr>
        <w:t xml:space="preserve"> </w:t>
      </w:r>
      <w:r>
        <w:rPr>
          <w:rFonts w:ascii="Arial"/>
          <w:b/>
          <w:w w:val="110"/>
          <w:sz w:val="25"/>
        </w:rPr>
        <w:t>Condition</w:t>
      </w:r>
    </w:p>
    <w:p w:rsidR="00E675F0" w:rsidRDefault="00E675F0" w:rsidP="00E675F0">
      <w:pPr>
        <w:pStyle w:val="BodyText"/>
        <w:rPr>
          <w:rFonts w:ascii="Arial"/>
          <w:b/>
          <w:sz w:val="24"/>
        </w:rPr>
      </w:pPr>
    </w:p>
    <w:p w:rsidR="00E675F0" w:rsidRDefault="00E675F0" w:rsidP="00E675F0">
      <w:pPr>
        <w:ind w:left="123"/>
        <w:jc w:val="both"/>
        <w:rPr>
          <w:rFonts w:ascii="TimesNewRomanPS-BoldItalicMT"/>
          <w:b/>
          <w:i/>
          <w:sz w:val="25"/>
        </w:rPr>
      </w:pPr>
      <w:r>
        <w:rPr>
          <w:rFonts w:ascii="TimesNewRomanPS-BoldItalicMT"/>
          <w:b/>
          <w:i/>
          <w:w w:val="115"/>
          <w:sz w:val="25"/>
        </w:rPr>
        <w:t>magnostic and Associated Features</w:t>
      </w:r>
    </w:p>
    <w:p w:rsidR="00E675F0" w:rsidRDefault="00E675F0" w:rsidP="00E675F0">
      <w:pPr>
        <w:pStyle w:val="BodyText"/>
        <w:spacing w:before="129" w:line="254" w:lineRule="auto"/>
        <w:ind w:left="142" w:right="130" w:hanging="4"/>
        <w:jc w:val="both"/>
      </w:pPr>
      <w:r>
        <w:rPr>
          <w:w w:val="105"/>
        </w:rPr>
        <w:t>The descriptive features of Delirium Due to a General Medical Condition (Criteria A-C) are</w:t>
      </w:r>
      <w:r>
        <w:rPr>
          <w:spacing w:val="-20"/>
          <w:w w:val="105"/>
        </w:rPr>
        <w:t xml:space="preserve"> </w:t>
      </w:r>
      <w:r>
        <w:rPr>
          <w:w w:val="105"/>
        </w:rPr>
        <w:t>discussed</w:t>
      </w:r>
      <w:r>
        <w:rPr>
          <w:spacing w:val="-8"/>
          <w:w w:val="105"/>
        </w:rPr>
        <w:t xml:space="preserve"> </w:t>
      </w:r>
      <w:r>
        <w:rPr>
          <w:w w:val="105"/>
        </w:rPr>
        <w:t>on</w:t>
      </w:r>
      <w:r>
        <w:rPr>
          <w:spacing w:val="4"/>
          <w:w w:val="105"/>
        </w:rPr>
        <w:t xml:space="preserve"> </w:t>
      </w:r>
      <w:r>
        <w:rPr>
          <w:w w:val="105"/>
        </w:rPr>
        <w:t>pp.</w:t>
      </w:r>
      <w:r>
        <w:rPr>
          <w:spacing w:val="-16"/>
          <w:w w:val="105"/>
        </w:rPr>
        <w:t xml:space="preserve"> </w:t>
      </w:r>
      <w:r>
        <w:rPr>
          <w:w w:val="105"/>
        </w:rPr>
        <w:t>124-125.</w:t>
      </w:r>
      <w:r>
        <w:rPr>
          <w:spacing w:val="-4"/>
          <w:w w:val="105"/>
        </w:rPr>
        <w:t xml:space="preserve"> </w:t>
      </w:r>
      <w:r>
        <w:rPr>
          <w:w w:val="105"/>
        </w:rPr>
        <w:t>In</w:t>
      </w:r>
      <w:r>
        <w:rPr>
          <w:spacing w:val="-17"/>
          <w:w w:val="105"/>
        </w:rPr>
        <w:t xml:space="preserve"> </w:t>
      </w:r>
      <w:r>
        <w:rPr>
          <w:w w:val="105"/>
        </w:rPr>
        <w:t>addition,</w:t>
      </w:r>
      <w:r>
        <w:rPr>
          <w:spacing w:val="3"/>
          <w:w w:val="105"/>
        </w:rPr>
        <w:t xml:space="preserve"> </w:t>
      </w:r>
      <w:r>
        <w:rPr>
          <w:w w:val="105"/>
        </w:rPr>
        <w:t>to</w:t>
      </w:r>
      <w:r>
        <w:rPr>
          <w:spacing w:val="-22"/>
          <w:w w:val="105"/>
        </w:rPr>
        <w:t xml:space="preserve"> </w:t>
      </w:r>
      <w:r>
        <w:rPr>
          <w:w w:val="105"/>
        </w:rPr>
        <w:t>diagnose</w:t>
      </w:r>
      <w:r>
        <w:rPr>
          <w:spacing w:val="-5"/>
          <w:w w:val="105"/>
        </w:rPr>
        <w:t xml:space="preserve"> </w:t>
      </w:r>
      <w:r>
        <w:rPr>
          <w:w w:val="105"/>
        </w:rPr>
        <w:t>Delirium</w:t>
      </w:r>
      <w:r>
        <w:rPr>
          <w:spacing w:val="1"/>
          <w:w w:val="105"/>
        </w:rPr>
        <w:t xml:space="preserve"> </w:t>
      </w:r>
      <w:r>
        <w:rPr>
          <w:w w:val="105"/>
        </w:rPr>
        <w:t>Due</w:t>
      </w:r>
      <w:r>
        <w:rPr>
          <w:spacing w:val="-12"/>
          <w:w w:val="105"/>
        </w:rPr>
        <w:t xml:space="preserve"> </w:t>
      </w:r>
      <w:r>
        <w:rPr>
          <w:w w:val="105"/>
        </w:rPr>
        <w:t>to</w:t>
      </w:r>
      <w:r>
        <w:rPr>
          <w:spacing w:val="-18"/>
          <w:w w:val="105"/>
        </w:rPr>
        <w:t xml:space="preserve"> </w:t>
      </w:r>
      <w:r>
        <w:rPr>
          <w:w w:val="105"/>
        </w:rPr>
        <w:t>a</w:t>
      </w:r>
      <w:r>
        <w:rPr>
          <w:spacing w:val="-12"/>
          <w:w w:val="105"/>
        </w:rPr>
        <w:t xml:space="preserve"> </w:t>
      </w:r>
      <w:r>
        <w:rPr>
          <w:w w:val="105"/>
        </w:rPr>
        <w:t>General</w:t>
      </w:r>
      <w:r>
        <w:rPr>
          <w:spacing w:val="-4"/>
          <w:w w:val="105"/>
        </w:rPr>
        <w:t xml:space="preserve"> </w:t>
      </w:r>
      <w:r>
        <w:rPr>
          <w:w w:val="105"/>
        </w:rPr>
        <w:t>Medical Condition, there must be evidence from the history, physical examination, or laboratory findings that the cognitive disturbance is the direct physiological consequence of a general medical condition (Criterion</w:t>
      </w:r>
      <w:r>
        <w:rPr>
          <w:spacing w:val="-23"/>
          <w:w w:val="105"/>
        </w:rPr>
        <w:t xml:space="preserve"> </w:t>
      </w:r>
      <w:r>
        <w:rPr>
          <w:w w:val="105"/>
        </w:rPr>
        <w:t>D).</w:t>
      </w:r>
    </w:p>
    <w:p w:rsidR="00E675F0" w:rsidRDefault="00E675F0" w:rsidP="00E675F0">
      <w:pPr>
        <w:pStyle w:val="BodyText"/>
        <w:spacing w:before="3" w:line="254" w:lineRule="auto"/>
        <w:ind w:left="153" w:right="127" w:firstLine="362"/>
        <w:jc w:val="both"/>
      </w:pPr>
      <w:r>
        <w:rPr>
          <w:w w:val="105"/>
        </w:rPr>
        <w:t xml:space="preserve">In determining whether the delirium is due to a general medical condition, the clinician must first establish the presence of a general medical condition. Further, the clinician must establish that the delirium is etiologically related to the general medical condition. A careful and comprehensive assessment of multiple factors is necessary </w:t>
      </w:r>
      <w:r>
        <w:rPr>
          <w:w w:val="105"/>
          <w:sz w:val="18"/>
        </w:rPr>
        <w:t xml:space="preserve">to </w:t>
      </w:r>
      <w:r>
        <w:rPr>
          <w:w w:val="105"/>
        </w:rPr>
        <w:t>make this judgment. Although there are no infallible guidelines, several considerations</w:t>
      </w:r>
    </w:p>
    <w:p w:rsidR="00E675F0" w:rsidRDefault="00E675F0" w:rsidP="00E675F0">
      <w:pPr>
        <w:spacing w:line="254" w:lineRule="auto"/>
        <w:jc w:val="both"/>
        <w:sectPr w:rsidR="00E675F0">
          <w:pgSz w:w="8960" w:h="14260"/>
          <w:pgMar w:top="980" w:right="600" w:bottom="280" w:left="600" w:header="694" w:footer="0" w:gutter="0"/>
          <w:cols w:space="720"/>
        </w:sectPr>
      </w:pPr>
    </w:p>
    <w:p w:rsidR="00E675F0" w:rsidRDefault="00E675F0" w:rsidP="00E675F0">
      <w:pPr>
        <w:pStyle w:val="BodyText"/>
      </w:pPr>
    </w:p>
    <w:p w:rsidR="00E675F0" w:rsidRDefault="00E675F0" w:rsidP="00E675F0">
      <w:pPr>
        <w:pStyle w:val="BodyText"/>
        <w:spacing w:before="9"/>
        <w:rPr>
          <w:sz w:val="25"/>
        </w:rPr>
      </w:pPr>
    </w:p>
    <w:p w:rsidR="00E675F0" w:rsidRDefault="00E675F0" w:rsidP="00E675F0">
      <w:pPr>
        <w:pStyle w:val="BodyText"/>
        <w:spacing w:before="92" w:line="254" w:lineRule="auto"/>
        <w:ind w:left="138" w:right="126" w:firstLine="12"/>
        <w:jc w:val="both"/>
      </w:pPr>
      <w:r>
        <w:rPr>
          <w:w w:val="105"/>
        </w:rPr>
        <w:t>provide some guidance in this area. One consideration is the presence of a temporal association between the onset, exacerbation, or remission of the general medical condition and that of the delirium. Evidence from the literature that suggests that there can be a direct association between the general medical condition in question and the development of a delirium can provide a useful context in the assessment of a particular situation. In addition, the clinician must also judge that the disturbance is not better accounted for by a Substance-Induced Delirium or a primary mental disorder (e.g., a Manic</w:t>
      </w:r>
      <w:r>
        <w:rPr>
          <w:spacing w:val="-9"/>
          <w:w w:val="105"/>
        </w:rPr>
        <w:t xml:space="preserve"> </w:t>
      </w:r>
      <w:r>
        <w:rPr>
          <w:w w:val="105"/>
        </w:rPr>
        <w:t>Episode).</w:t>
      </w:r>
      <w:r>
        <w:rPr>
          <w:spacing w:val="-13"/>
          <w:w w:val="105"/>
        </w:rPr>
        <w:t xml:space="preserve"> </w:t>
      </w:r>
      <w:r>
        <w:rPr>
          <w:w w:val="105"/>
        </w:rPr>
        <w:t>This</w:t>
      </w:r>
      <w:r>
        <w:rPr>
          <w:spacing w:val="-16"/>
          <w:w w:val="105"/>
        </w:rPr>
        <w:t xml:space="preserve"> </w:t>
      </w:r>
      <w:r>
        <w:rPr>
          <w:w w:val="105"/>
        </w:rPr>
        <w:t>determination</w:t>
      </w:r>
      <w:r>
        <w:rPr>
          <w:spacing w:val="-3"/>
          <w:w w:val="105"/>
        </w:rPr>
        <w:t xml:space="preserve"> </w:t>
      </w:r>
      <w:r>
        <w:rPr>
          <w:w w:val="105"/>
        </w:rPr>
        <w:t>is</w:t>
      </w:r>
      <w:r>
        <w:rPr>
          <w:spacing w:val="-20"/>
          <w:w w:val="105"/>
        </w:rPr>
        <w:t xml:space="preserve"> </w:t>
      </w:r>
      <w:r>
        <w:rPr>
          <w:w w:val="105"/>
        </w:rPr>
        <w:t>explained</w:t>
      </w:r>
      <w:r>
        <w:rPr>
          <w:spacing w:val="-3"/>
          <w:w w:val="105"/>
        </w:rPr>
        <w:t xml:space="preserve"> </w:t>
      </w:r>
      <w:r>
        <w:rPr>
          <w:w w:val="105"/>
        </w:rPr>
        <w:t>in</w:t>
      </w:r>
      <w:r>
        <w:rPr>
          <w:spacing w:val="-19"/>
          <w:w w:val="105"/>
        </w:rPr>
        <w:t xml:space="preserve"> </w:t>
      </w:r>
      <w:r>
        <w:rPr>
          <w:w w:val="105"/>
        </w:rPr>
        <w:t>greater</w:t>
      </w:r>
      <w:r>
        <w:rPr>
          <w:spacing w:val="-13"/>
          <w:w w:val="105"/>
        </w:rPr>
        <w:t xml:space="preserve"> </w:t>
      </w:r>
      <w:r>
        <w:rPr>
          <w:w w:val="105"/>
        </w:rPr>
        <w:t>detail</w:t>
      </w:r>
      <w:r>
        <w:rPr>
          <w:spacing w:val="-11"/>
          <w:w w:val="105"/>
        </w:rPr>
        <w:t xml:space="preserve"> </w:t>
      </w:r>
      <w:r>
        <w:rPr>
          <w:w w:val="105"/>
        </w:rPr>
        <w:t>in</w:t>
      </w:r>
      <w:r>
        <w:rPr>
          <w:spacing w:val="-20"/>
          <w:w w:val="105"/>
        </w:rPr>
        <w:t xml:space="preserve"> </w:t>
      </w:r>
      <w:r>
        <w:rPr>
          <w:w w:val="105"/>
        </w:rPr>
        <w:t>the</w:t>
      </w:r>
      <w:r>
        <w:rPr>
          <w:spacing w:val="-19"/>
          <w:w w:val="105"/>
        </w:rPr>
        <w:t xml:space="preserve"> </w:t>
      </w:r>
      <w:r>
        <w:rPr>
          <w:w w:val="105"/>
        </w:rPr>
        <w:t>"Mental</w:t>
      </w:r>
      <w:r>
        <w:rPr>
          <w:spacing w:val="-5"/>
          <w:w w:val="105"/>
        </w:rPr>
        <w:t xml:space="preserve"> </w:t>
      </w:r>
      <w:r>
        <w:rPr>
          <w:w w:val="105"/>
        </w:rPr>
        <w:t>Disorders Due to a General Medical Condition" section (p.</w:t>
      </w:r>
      <w:r>
        <w:rPr>
          <w:spacing w:val="50"/>
          <w:w w:val="105"/>
        </w:rPr>
        <w:t xml:space="preserve"> </w:t>
      </w:r>
      <w:r>
        <w:rPr>
          <w:w w:val="105"/>
        </w:rPr>
        <w:t>165).</w:t>
      </w:r>
    </w:p>
    <w:p w:rsidR="00E675F0" w:rsidRDefault="00E675F0" w:rsidP="00E675F0">
      <w:pPr>
        <w:pStyle w:val="BodyText"/>
        <w:spacing w:line="254" w:lineRule="auto"/>
        <w:ind w:left="139" w:right="120" w:firstLine="368"/>
        <w:jc w:val="both"/>
      </w:pPr>
      <w:r>
        <w:rPr>
          <w:w w:val="105"/>
        </w:rPr>
        <w:t>Delirium can be associated with many different general medical conditions, each of which has characteristic physical examination and laboratory findings. In systemic illnesses, focal neurological signs are not usually found. Various forms of tremor may  be present. Asterixis, a flapping movement of the hyperextended hands, was originally described in hepatic encephalopathy but may also be found in association with other causes</w:t>
      </w:r>
      <w:r>
        <w:rPr>
          <w:spacing w:val="-10"/>
          <w:w w:val="105"/>
        </w:rPr>
        <w:t xml:space="preserve"> </w:t>
      </w:r>
      <w:r>
        <w:rPr>
          <w:w w:val="105"/>
        </w:rPr>
        <w:t>of</w:t>
      </w:r>
      <w:r>
        <w:rPr>
          <w:spacing w:val="-7"/>
          <w:w w:val="105"/>
        </w:rPr>
        <w:t xml:space="preserve"> </w:t>
      </w:r>
      <w:r>
        <w:rPr>
          <w:w w:val="105"/>
        </w:rPr>
        <w:t>delirium.</w:t>
      </w:r>
      <w:r>
        <w:rPr>
          <w:spacing w:val="-11"/>
          <w:w w:val="105"/>
        </w:rPr>
        <w:t xml:space="preserve"> </w:t>
      </w:r>
      <w:r>
        <w:rPr>
          <w:w w:val="105"/>
        </w:rPr>
        <w:t>Signs</w:t>
      </w:r>
      <w:r>
        <w:rPr>
          <w:spacing w:val="-11"/>
          <w:w w:val="105"/>
        </w:rPr>
        <w:t xml:space="preserve"> </w:t>
      </w:r>
      <w:r>
        <w:rPr>
          <w:w w:val="105"/>
        </w:rPr>
        <w:t>of</w:t>
      </w:r>
      <w:r>
        <w:rPr>
          <w:spacing w:val="-6"/>
          <w:w w:val="105"/>
        </w:rPr>
        <w:t xml:space="preserve"> </w:t>
      </w:r>
      <w:r>
        <w:rPr>
          <w:w w:val="105"/>
        </w:rPr>
        <w:t>autonomic</w:t>
      </w:r>
      <w:r>
        <w:rPr>
          <w:spacing w:val="1"/>
          <w:w w:val="105"/>
        </w:rPr>
        <w:t xml:space="preserve"> </w:t>
      </w:r>
      <w:r>
        <w:rPr>
          <w:w w:val="105"/>
        </w:rPr>
        <w:t>hyperactivity</w:t>
      </w:r>
      <w:r>
        <w:rPr>
          <w:spacing w:val="-5"/>
          <w:w w:val="105"/>
        </w:rPr>
        <w:t xml:space="preserve"> </w:t>
      </w:r>
      <w:r>
        <w:rPr>
          <w:w w:val="105"/>
        </w:rPr>
        <w:t>(e.g.,</w:t>
      </w:r>
      <w:r>
        <w:rPr>
          <w:spacing w:val="-10"/>
          <w:w w:val="105"/>
        </w:rPr>
        <w:t xml:space="preserve"> </w:t>
      </w:r>
      <w:r>
        <w:rPr>
          <w:w w:val="105"/>
        </w:rPr>
        <w:t>tachycardia,</w:t>
      </w:r>
      <w:r>
        <w:rPr>
          <w:spacing w:val="-3"/>
          <w:w w:val="105"/>
        </w:rPr>
        <w:t xml:space="preserve"> </w:t>
      </w:r>
      <w:r>
        <w:rPr>
          <w:w w:val="105"/>
        </w:rPr>
        <w:t>sweating,</w:t>
      </w:r>
      <w:r>
        <w:rPr>
          <w:spacing w:val="-7"/>
          <w:w w:val="105"/>
        </w:rPr>
        <w:t xml:space="preserve"> </w:t>
      </w:r>
      <w:r>
        <w:rPr>
          <w:w w:val="105"/>
        </w:rPr>
        <w:t>flushed face, dilated pupils, and elevated blood pressure) commonly occur. In addition to laboratory findings that are characteristic of etiological general medical conditions (or intoxication or withdrawal states), the EEG is generally abnormal, showing either generalized slowing or fast</w:t>
      </w:r>
      <w:r>
        <w:rPr>
          <w:spacing w:val="-4"/>
          <w:w w:val="105"/>
        </w:rPr>
        <w:t xml:space="preserve"> </w:t>
      </w:r>
      <w:r>
        <w:rPr>
          <w:w w:val="105"/>
        </w:rPr>
        <w:t>activity.</w:t>
      </w:r>
    </w:p>
    <w:p w:rsidR="00E675F0" w:rsidRDefault="00E675F0" w:rsidP="00E675F0">
      <w:pPr>
        <w:pStyle w:val="BodyText"/>
        <w:rPr>
          <w:sz w:val="22"/>
        </w:rPr>
      </w:pPr>
    </w:p>
    <w:p w:rsidR="00E675F0" w:rsidRDefault="00E675F0" w:rsidP="00E675F0">
      <w:pPr>
        <w:spacing w:before="134"/>
        <w:ind w:left="128"/>
        <w:rPr>
          <w:rFonts w:ascii="TimesNewRomanPS-BoldItalicMT"/>
          <w:b/>
          <w:i/>
          <w:sz w:val="24"/>
        </w:rPr>
      </w:pPr>
      <w:r>
        <w:rPr>
          <w:rFonts w:ascii="TimesNewRomanPS-BoldItalicMT"/>
          <w:b/>
          <w:i/>
          <w:w w:val="115"/>
          <w:sz w:val="24"/>
        </w:rPr>
        <w:t>Recording Procedures</w:t>
      </w:r>
    </w:p>
    <w:p w:rsidR="00E675F0" w:rsidRDefault="00E675F0" w:rsidP="00E675F0">
      <w:pPr>
        <w:pStyle w:val="BodyText"/>
        <w:spacing w:before="142" w:line="254" w:lineRule="auto"/>
        <w:ind w:left="144" w:right="124"/>
        <w:jc w:val="both"/>
      </w:pPr>
      <w:r>
        <w:rPr>
          <w:w w:val="105"/>
        </w:rPr>
        <w:t>In recording the diagnosis of Delirium Due to a General Medical Condition, the clinician should note both the delirium and the identified  general  medical  condition  judged to be causing the disturbance on Axis I (e.g., 293.0 Delirium Due to Hypoglycemia). The ICD-9-CM code for the general medical condition should also be noted on Axis III</w:t>
      </w:r>
      <w:r>
        <w:rPr>
          <w:spacing w:val="-1"/>
          <w:w w:val="105"/>
        </w:rPr>
        <w:t xml:space="preserve"> </w:t>
      </w:r>
      <w:r>
        <w:rPr>
          <w:w w:val="105"/>
        </w:rPr>
        <w:t>(e.g.,</w:t>
      </w:r>
    </w:p>
    <w:p w:rsidR="00E675F0" w:rsidRDefault="00E675F0" w:rsidP="003048D3">
      <w:pPr>
        <w:pStyle w:val="ListParagraph"/>
        <w:numPr>
          <w:ilvl w:val="1"/>
          <w:numId w:val="68"/>
        </w:numPr>
        <w:tabs>
          <w:tab w:val="left" w:pos="664"/>
        </w:tabs>
        <w:spacing w:line="252" w:lineRule="auto"/>
        <w:ind w:right="125" w:firstLine="17"/>
        <w:jc w:val="both"/>
        <w:rPr>
          <w:sz w:val="20"/>
        </w:rPr>
      </w:pPr>
      <w:r>
        <w:rPr>
          <w:w w:val="105"/>
          <w:sz w:val="20"/>
        </w:rPr>
        <w:t>hypoglycemia.) (See Appendix G for a list of selected ICD-9-CM diagnostic codes for general medical conditions.) In an individual with an established history of Dementia of the Alzheimer's Type or Vascular Dementia, a superimposed delirium should be noted by coding the appropriate subtype of the dementia (e.g., 290.3 Dementia of the Alzheimer's Type, With Late Onset, With Delirium). For other dementias, both dementia and</w:t>
      </w:r>
      <w:r>
        <w:rPr>
          <w:spacing w:val="-8"/>
          <w:w w:val="105"/>
          <w:sz w:val="20"/>
        </w:rPr>
        <w:t xml:space="preserve"> </w:t>
      </w:r>
      <w:r>
        <w:rPr>
          <w:w w:val="105"/>
          <w:sz w:val="20"/>
        </w:rPr>
        <w:t>delirium</w:t>
      </w:r>
      <w:r>
        <w:rPr>
          <w:spacing w:val="-5"/>
          <w:w w:val="105"/>
          <w:sz w:val="20"/>
        </w:rPr>
        <w:t xml:space="preserve"> </w:t>
      </w:r>
      <w:r>
        <w:rPr>
          <w:w w:val="105"/>
          <w:sz w:val="20"/>
        </w:rPr>
        <w:t>should</w:t>
      </w:r>
      <w:r>
        <w:rPr>
          <w:spacing w:val="-3"/>
          <w:w w:val="105"/>
          <w:sz w:val="20"/>
        </w:rPr>
        <w:t xml:space="preserve"> </w:t>
      </w:r>
      <w:r>
        <w:rPr>
          <w:w w:val="105"/>
          <w:sz w:val="20"/>
        </w:rPr>
        <w:t>be</w:t>
      </w:r>
      <w:r>
        <w:rPr>
          <w:spacing w:val="-16"/>
          <w:w w:val="105"/>
          <w:sz w:val="20"/>
        </w:rPr>
        <w:t xml:space="preserve"> </w:t>
      </w:r>
      <w:r>
        <w:rPr>
          <w:w w:val="105"/>
          <w:sz w:val="20"/>
        </w:rPr>
        <w:t>coded</w:t>
      </w:r>
      <w:r>
        <w:rPr>
          <w:spacing w:val="-5"/>
          <w:w w:val="105"/>
          <w:sz w:val="20"/>
        </w:rPr>
        <w:t xml:space="preserve"> </w:t>
      </w:r>
      <w:r>
        <w:rPr>
          <w:w w:val="105"/>
          <w:sz w:val="20"/>
        </w:rPr>
        <w:t>on</w:t>
      </w:r>
      <w:r>
        <w:rPr>
          <w:spacing w:val="-11"/>
          <w:w w:val="105"/>
          <w:sz w:val="20"/>
        </w:rPr>
        <w:t xml:space="preserve"> </w:t>
      </w:r>
      <w:r>
        <w:rPr>
          <w:w w:val="105"/>
          <w:sz w:val="20"/>
        </w:rPr>
        <w:t>Axis</w:t>
      </w:r>
      <w:r>
        <w:rPr>
          <w:spacing w:val="-9"/>
          <w:w w:val="105"/>
          <w:sz w:val="20"/>
        </w:rPr>
        <w:t xml:space="preserve"> </w:t>
      </w:r>
      <w:r>
        <w:rPr>
          <w:w w:val="105"/>
          <w:sz w:val="20"/>
        </w:rPr>
        <w:t>I</w:t>
      </w:r>
      <w:r>
        <w:rPr>
          <w:spacing w:val="-14"/>
          <w:w w:val="105"/>
          <w:sz w:val="20"/>
        </w:rPr>
        <w:t xml:space="preserve"> </w:t>
      </w:r>
      <w:r>
        <w:rPr>
          <w:w w:val="105"/>
          <w:sz w:val="20"/>
        </w:rPr>
        <w:t>(e.g.,</w:t>
      </w:r>
      <w:r>
        <w:rPr>
          <w:spacing w:val="-2"/>
          <w:w w:val="105"/>
          <w:sz w:val="20"/>
        </w:rPr>
        <w:t xml:space="preserve"> </w:t>
      </w:r>
      <w:r>
        <w:rPr>
          <w:w w:val="105"/>
          <w:sz w:val="20"/>
        </w:rPr>
        <w:t>294.1</w:t>
      </w:r>
      <w:r>
        <w:rPr>
          <w:spacing w:val="-6"/>
          <w:w w:val="105"/>
          <w:sz w:val="20"/>
        </w:rPr>
        <w:t xml:space="preserve"> </w:t>
      </w:r>
      <w:r>
        <w:rPr>
          <w:w w:val="105"/>
          <w:sz w:val="20"/>
        </w:rPr>
        <w:t>Dementia</w:t>
      </w:r>
      <w:r>
        <w:rPr>
          <w:spacing w:val="3"/>
          <w:w w:val="105"/>
          <w:sz w:val="20"/>
        </w:rPr>
        <w:t xml:space="preserve"> </w:t>
      </w:r>
      <w:r>
        <w:rPr>
          <w:w w:val="105"/>
          <w:sz w:val="20"/>
        </w:rPr>
        <w:t>Due</w:t>
      </w:r>
      <w:r>
        <w:rPr>
          <w:spacing w:val="-10"/>
          <w:w w:val="105"/>
          <w:sz w:val="20"/>
        </w:rPr>
        <w:t xml:space="preserve"> </w:t>
      </w:r>
      <w:r>
        <w:rPr>
          <w:w w:val="105"/>
          <w:sz w:val="20"/>
        </w:rPr>
        <w:t>to</w:t>
      </w:r>
      <w:r>
        <w:rPr>
          <w:spacing w:val="-9"/>
          <w:w w:val="105"/>
          <w:sz w:val="20"/>
        </w:rPr>
        <w:t xml:space="preserve"> </w:t>
      </w:r>
      <w:r>
        <w:rPr>
          <w:w w:val="105"/>
          <w:sz w:val="20"/>
        </w:rPr>
        <w:t>Parkinson's</w:t>
      </w:r>
      <w:r>
        <w:rPr>
          <w:spacing w:val="2"/>
          <w:w w:val="105"/>
          <w:sz w:val="20"/>
        </w:rPr>
        <w:t xml:space="preserve"> </w:t>
      </w:r>
      <w:r>
        <w:rPr>
          <w:w w:val="105"/>
          <w:sz w:val="20"/>
        </w:rPr>
        <w:t xml:space="preserve">Disease and 293.0 Delirium Due to Hepatic Encephalopathy). In situations in which it is unclear whether the cognitive deficits are due to delirium or to dementia, it may be useful </w:t>
      </w:r>
      <w:r>
        <w:rPr>
          <w:w w:val="105"/>
          <w:sz w:val="18"/>
        </w:rPr>
        <w:t xml:space="preserve">to </w:t>
      </w:r>
      <w:r>
        <w:rPr>
          <w:w w:val="105"/>
          <w:sz w:val="20"/>
        </w:rPr>
        <w:t>make a provisional diagnosis of delirium and observe the person carefully while continuing efforts to identify the nature of the</w:t>
      </w:r>
      <w:r>
        <w:rPr>
          <w:spacing w:val="12"/>
          <w:w w:val="105"/>
          <w:sz w:val="20"/>
        </w:rPr>
        <w:t xml:space="preserve"> </w:t>
      </w:r>
      <w:r>
        <w:rPr>
          <w:w w:val="105"/>
          <w:sz w:val="20"/>
        </w:rPr>
        <w:t>disturbance.</w:t>
      </w:r>
    </w:p>
    <w:p w:rsidR="00E675F0" w:rsidRDefault="00E675F0" w:rsidP="00E675F0">
      <w:pPr>
        <w:pStyle w:val="BodyText"/>
        <w:rPr>
          <w:sz w:val="22"/>
        </w:rPr>
      </w:pPr>
    </w:p>
    <w:p w:rsidR="00E675F0" w:rsidRDefault="00E675F0" w:rsidP="00E675F0">
      <w:pPr>
        <w:spacing w:before="141"/>
        <w:ind w:left="130"/>
        <w:rPr>
          <w:rFonts w:ascii="TimesNewRomanPS-BoldItalicMT"/>
          <w:b/>
          <w:i/>
          <w:sz w:val="24"/>
        </w:rPr>
      </w:pPr>
      <w:r>
        <w:rPr>
          <w:rFonts w:ascii="TimesNewRomanPS-BoldItalicMT"/>
          <w:b/>
          <w:i/>
          <w:w w:val="115"/>
          <w:sz w:val="24"/>
        </w:rPr>
        <w:t>Associated General Medical Conditions</w:t>
      </w:r>
    </w:p>
    <w:p w:rsidR="00E675F0" w:rsidRDefault="00E675F0" w:rsidP="00E675F0">
      <w:pPr>
        <w:pStyle w:val="BodyText"/>
        <w:spacing w:before="136" w:line="254" w:lineRule="auto"/>
        <w:ind w:left="147" w:right="125" w:firstLine="7"/>
        <w:jc w:val="both"/>
      </w:pPr>
      <w:r>
        <w:rPr>
          <w:w w:val="105"/>
        </w:rPr>
        <w:t>Etiological</w:t>
      </w:r>
      <w:r>
        <w:rPr>
          <w:spacing w:val="-14"/>
          <w:w w:val="105"/>
        </w:rPr>
        <w:t xml:space="preserve"> </w:t>
      </w:r>
      <w:r>
        <w:rPr>
          <w:w w:val="105"/>
        </w:rPr>
        <w:t>general</w:t>
      </w:r>
      <w:r>
        <w:rPr>
          <w:spacing w:val="-12"/>
          <w:w w:val="105"/>
        </w:rPr>
        <w:t xml:space="preserve"> </w:t>
      </w:r>
      <w:r>
        <w:rPr>
          <w:w w:val="105"/>
        </w:rPr>
        <w:t>medical</w:t>
      </w:r>
      <w:r>
        <w:rPr>
          <w:spacing w:val="-18"/>
          <w:w w:val="105"/>
        </w:rPr>
        <w:t xml:space="preserve"> </w:t>
      </w:r>
      <w:r>
        <w:rPr>
          <w:w w:val="105"/>
        </w:rPr>
        <w:t>conditions</w:t>
      </w:r>
      <w:r>
        <w:rPr>
          <w:spacing w:val="-17"/>
          <w:w w:val="105"/>
        </w:rPr>
        <w:t xml:space="preserve"> </w:t>
      </w:r>
      <w:r>
        <w:rPr>
          <w:w w:val="105"/>
        </w:rPr>
        <w:t>for</w:t>
      </w:r>
      <w:r>
        <w:rPr>
          <w:spacing w:val="-23"/>
          <w:w w:val="105"/>
        </w:rPr>
        <w:t xml:space="preserve"> </w:t>
      </w:r>
      <w:r>
        <w:rPr>
          <w:w w:val="105"/>
        </w:rPr>
        <w:t>delirium</w:t>
      </w:r>
      <w:r>
        <w:rPr>
          <w:spacing w:val="-11"/>
          <w:w w:val="105"/>
        </w:rPr>
        <w:t xml:space="preserve"> </w:t>
      </w:r>
      <w:r>
        <w:rPr>
          <w:w w:val="105"/>
        </w:rPr>
        <w:t>include</w:t>
      </w:r>
      <w:r>
        <w:rPr>
          <w:spacing w:val="-21"/>
          <w:w w:val="105"/>
        </w:rPr>
        <w:t xml:space="preserve"> </w:t>
      </w:r>
      <w:r>
        <w:rPr>
          <w:w w:val="105"/>
        </w:rPr>
        <w:t>systemic</w:t>
      </w:r>
      <w:r>
        <w:rPr>
          <w:spacing w:val="-15"/>
          <w:w w:val="105"/>
        </w:rPr>
        <w:t xml:space="preserve"> </w:t>
      </w:r>
      <w:r>
        <w:rPr>
          <w:w w:val="105"/>
        </w:rPr>
        <w:t>infections,</w:t>
      </w:r>
      <w:r>
        <w:rPr>
          <w:spacing w:val="-5"/>
          <w:w w:val="105"/>
        </w:rPr>
        <w:t xml:space="preserve"> </w:t>
      </w:r>
      <w:r>
        <w:rPr>
          <w:w w:val="105"/>
        </w:rPr>
        <w:t>metabolic disorders (e.g., hypoxia, hypercarbia, hypoglycemia), fluid or electrolyte imbalances, hepatic or renal disease, thiamine deficiency, postoperative states, hypertensive enceph­ alopathy, postictal states, and sequelae of head trauma. Certain focal lesions of the right parietal lobe and inferomedial surface of the occipital lobe also may lead to</w:t>
      </w:r>
      <w:r>
        <w:rPr>
          <w:spacing w:val="23"/>
          <w:w w:val="105"/>
        </w:rPr>
        <w:t xml:space="preserve"> </w:t>
      </w:r>
      <w:r>
        <w:rPr>
          <w:w w:val="105"/>
        </w:rPr>
        <w:t>a delirium.</w:t>
      </w:r>
    </w:p>
    <w:p w:rsidR="00E675F0" w:rsidRDefault="00E675F0" w:rsidP="00E675F0">
      <w:pPr>
        <w:pStyle w:val="BodyText"/>
        <w:rPr>
          <w:sz w:val="22"/>
        </w:rPr>
      </w:pPr>
    </w:p>
    <w:p w:rsidR="00E675F0" w:rsidRDefault="00E675F0" w:rsidP="00E675F0">
      <w:pPr>
        <w:spacing w:before="144"/>
        <w:ind w:left="134"/>
        <w:rPr>
          <w:rFonts w:ascii="TimesNewRomanPS-BoldItalicMT"/>
          <w:b/>
          <w:i/>
          <w:sz w:val="24"/>
        </w:rPr>
      </w:pPr>
      <w:r>
        <w:rPr>
          <w:rFonts w:ascii="TimesNewRomanPS-BoldItalicMT"/>
          <w:b/>
          <w:i/>
          <w:w w:val="115"/>
          <w:sz w:val="24"/>
        </w:rPr>
        <w:t>Differential Diagnosis</w:t>
      </w:r>
    </w:p>
    <w:p w:rsidR="00E675F0" w:rsidRDefault="00E675F0" w:rsidP="00E675F0">
      <w:pPr>
        <w:pStyle w:val="BodyText"/>
        <w:spacing w:before="146"/>
        <w:ind w:left="142"/>
        <w:jc w:val="both"/>
      </w:pPr>
      <w:r>
        <w:rPr>
          <w:w w:val="105"/>
        </w:rPr>
        <w:t>See p. 126 for a general discussion of the differential diagnosis of delirium.</w:t>
      </w:r>
    </w:p>
    <w:p w:rsidR="00E675F0" w:rsidRDefault="00E675F0" w:rsidP="00E675F0">
      <w:pPr>
        <w:jc w:val="both"/>
        <w:sectPr w:rsidR="00E675F0">
          <w:pgSz w:w="8960" w:h="14260"/>
          <w:pgMar w:top="920" w:right="600" w:bottom="280" w:left="600" w:header="693" w:footer="0" w:gutter="0"/>
          <w:cols w:space="720"/>
        </w:sectPr>
      </w:pPr>
    </w:p>
    <w:p w:rsidR="00E675F0" w:rsidRDefault="00E675F0" w:rsidP="00E675F0">
      <w:pPr>
        <w:pStyle w:val="BodyText"/>
      </w:pPr>
    </w:p>
    <w:p w:rsidR="00E675F0" w:rsidRDefault="00E675F0" w:rsidP="00E675F0">
      <w:pPr>
        <w:pStyle w:val="BodyText"/>
        <w:spacing w:before="9"/>
        <w:rPr>
          <w:sz w:val="21"/>
        </w:rPr>
      </w:pPr>
    </w:p>
    <w:tbl>
      <w:tblPr>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31"/>
      </w:tblGrid>
      <w:tr w:rsidR="00E675F0" w:rsidTr="00A330E1">
        <w:trPr>
          <w:trHeight w:val="5972"/>
        </w:trPr>
        <w:tc>
          <w:tcPr>
            <w:tcW w:w="7331" w:type="dxa"/>
            <w:tcBorders>
              <w:left w:val="single" w:sz="24" w:space="0" w:color="000000"/>
              <w:bottom w:val="single" w:sz="24" w:space="0" w:color="000000"/>
              <w:right w:val="single" w:sz="24" w:space="0" w:color="000000"/>
            </w:tcBorders>
          </w:tcPr>
          <w:p w:rsidR="00E675F0" w:rsidRDefault="00E675F0" w:rsidP="003048D3">
            <w:pPr>
              <w:pStyle w:val="TableParagraph"/>
              <w:numPr>
                <w:ilvl w:val="0"/>
                <w:numId w:val="67"/>
              </w:numPr>
              <w:tabs>
                <w:tab w:val="left" w:pos="629"/>
              </w:tabs>
              <w:spacing w:before="50" w:line="533" w:lineRule="exact"/>
              <w:rPr>
                <w:rFonts w:ascii="Arial" w:hAnsi="Arial"/>
                <w:sz w:val="24"/>
              </w:rPr>
            </w:pPr>
            <w:bookmarkStart w:id="85" w:name="_bookmark68"/>
            <w:bookmarkEnd w:id="85"/>
            <w:r>
              <w:rPr>
                <w:rFonts w:ascii="Arial" w:hAnsi="Arial"/>
                <w:b/>
                <w:w w:val="105"/>
                <w:sz w:val="24"/>
              </w:rPr>
              <w:t>Diagnostic criteria for 293.0 Delirium Due to</w:t>
            </w:r>
            <w:r>
              <w:rPr>
                <w:rFonts w:ascii="Arial" w:hAnsi="Arial"/>
                <w:b/>
                <w:spacing w:val="12"/>
                <w:w w:val="105"/>
                <w:sz w:val="24"/>
              </w:rPr>
              <w:t xml:space="preserve"> </w:t>
            </w:r>
            <w:r>
              <w:rPr>
                <w:rFonts w:ascii="Arial" w:hAnsi="Arial"/>
                <w:w w:val="105"/>
                <w:sz w:val="24"/>
              </w:rPr>
              <w:t>.</w:t>
            </w:r>
          </w:p>
          <w:p w:rsidR="00E675F0" w:rsidRDefault="00E675F0" w:rsidP="00A330E1">
            <w:pPr>
              <w:pStyle w:val="TableParagraph"/>
              <w:spacing w:line="280" w:lineRule="exact"/>
              <w:ind w:left="664"/>
              <w:jc w:val="both"/>
              <w:rPr>
                <w:rFonts w:ascii="TimesNewRomanPS-BoldItalicMT"/>
                <w:b/>
                <w:i/>
                <w:sz w:val="28"/>
              </w:rPr>
            </w:pPr>
            <w:r>
              <w:rPr>
                <w:rFonts w:ascii="TimesNewRomanPS-BoldItalicMT"/>
                <w:b/>
                <w:i/>
                <w:sz w:val="28"/>
              </w:rPr>
              <w:t>[Indicate the General Medical Condition)</w:t>
            </w:r>
          </w:p>
          <w:p w:rsidR="00E675F0" w:rsidRDefault="00E675F0" w:rsidP="003048D3">
            <w:pPr>
              <w:pStyle w:val="TableParagraph"/>
              <w:numPr>
                <w:ilvl w:val="1"/>
                <w:numId w:val="67"/>
              </w:numPr>
              <w:tabs>
                <w:tab w:val="left" w:pos="966"/>
              </w:tabs>
              <w:spacing w:before="127" w:line="256" w:lineRule="auto"/>
              <w:ind w:right="213" w:hanging="308"/>
              <w:jc w:val="both"/>
              <w:rPr>
                <w:sz w:val="20"/>
              </w:rPr>
            </w:pPr>
            <w:r>
              <w:rPr>
                <w:w w:val="105"/>
                <w:sz w:val="20"/>
              </w:rPr>
              <w:t>Disturbance of consciousness (i.e., reduced clarity of awareness of the environment) with reduced ability to focus, sustain, or shift</w:t>
            </w:r>
            <w:r>
              <w:rPr>
                <w:spacing w:val="9"/>
                <w:w w:val="105"/>
                <w:sz w:val="20"/>
              </w:rPr>
              <w:t xml:space="preserve"> </w:t>
            </w:r>
            <w:r>
              <w:rPr>
                <w:w w:val="105"/>
                <w:sz w:val="20"/>
              </w:rPr>
              <w:t>attention.</w:t>
            </w:r>
          </w:p>
          <w:p w:rsidR="00E675F0" w:rsidRDefault="00E675F0" w:rsidP="003048D3">
            <w:pPr>
              <w:pStyle w:val="TableParagraph"/>
              <w:numPr>
                <w:ilvl w:val="1"/>
                <w:numId w:val="67"/>
              </w:numPr>
              <w:tabs>
                <w:tab w:val="left" w:pos="958"/>
              </w:tabs>
              <w:spacing w:before="181" w:line="254" w:lineRule="auto"/>
              <w:ind w:left="962" w:right="217" w:hanging="305"/>
              <w:jc w:val="both"/>
              <w:rPr>
                <w:sz w:val="20"/>
              </w:rPr>
            </w:pPr>
            <w:r>
              <w:rPr>
                <w:w w:val="105"/>
                <w:sz w:val="20"/>
              </w:rPr>
              <w:t>A change in cognition (such as memory deficit, disorientation, language disturbance) or the development of a perceptual disturbance that is not better accounted for by a preexisting, established, or evolving dementia.</w:t>
            </w:r>
          </w:p>
          <w:p w:rsidR="00E675F0" w:rsidRDefault="00E675F0" w:rsidP="003048D3">
            <w:pPr>
              <w:pStyle w:val="TableParagraph"/>
              <w:numPr>
                <w:ilvl w:val="1"/>
                <w:numId w:val="67"/>
              </w:numPr>
              <w:tabs>
                <w:tab w:val="left" w:pos="958"/>
              </w:tabs>
              <w:spacing w:before="177" w:line="256" w:lineRule="auto"/>
              <w:ind w:left="962" w:right="215" w:hanging="304"/>
              <w:jc w:val="both"/>
              <w:rPr>
                <w:sz w:val="18"/>
              </w:rPr>
            </w:pPr>
            <w:r>
              <w:rPr>
                <w:w w:val="105"/>
                <w:sz w:val="20"/>
              </w:rPr>
              <w:t>The disturbance develops over a short period of time (usually hours to days) and tends to fluctuate during the course of the</w:t>
            </w:r>
            <w:r>
              <w:rPr>
                <w:spacing w:val="-11"/>
                <w:w w:val="105"/>
                <w:sz w:val="20"/>
              </w:rPr>
              <w:t xml:space="preserve"> </w:t>
            </w:r>
            <w:r>
              <w:rPr>
                <w:w w:val="105"/>
                <w:sz w:val="20"/>
              </w:rPr>
              <w:t>day.</w:t>
            </w:r>
          </w:p>
          <w:p w:rsidR="00E675F0" w:rsidRDefault="00E675F0" w:rsidP="003048D3">
            <w:pPr>
              <w:pStyle w:val="TableParagraph"/>
              <w:numPr>
                <w:ilvl w:val="1"/>
                <w:numId w:val="67"/>
              </w:numPr>
              <w:tabs>
                <w:tab w:val="left" w:pos="958"/>
              </w:tabs>
              <w:spacing w:before="185" w:line="256" w:lineRule="auto"/>
              <w:ind w:right="229" w:hanging="300"/>
              <w:jc w:val="both"/>
              <w:rPr>
                <w:sz w:val="20"/>
              </w:rPr>
            </w:pPr>
            <w:r>
              <w:rPr>
                <w:w w:val="105"/>
                <w:sz w:val="20"/>
              </w:rPr>
              <w:t>There is evidence from the history, physical examination, or laboratory findings that the disturbance is caused by the direct physiological consequences of a general medical</w:t>
            </w:r>
            <w:r>
              <w:rPr>
                <w:spacing w:val="-30"/>
                <w:w w:val="105"/>
                <w:sz w:val="20"/>
              </w:rPr>
              <w:t xml:space="preserve"> </w:t>
            </w:r>
            <w:r>
              <w:rPr>
                <w:w w:val="105"/>
                <w:sz w:val="20"/>
              </w:rPr>
              <w:t>condition.</w:t>
            </w:r>
          </w:p>
          <w:p w:rsidR="00E675F0" w:rsidRDefault="00E675F0" w:rsidP="00A330E1">
            <w:pPr>
              <w:pStyle w:val="TableParagraph"/>
              <w:spacing w:before="121" w:line="244" w:lineRule="auto"/>
              <w:ind w:left="659" w:right="223" w:hanging="1"/>
              <w:jc w:val="both"/>
              <w:rPr>
                <w:sz w:val="18"/>
              </w:rPr>
            </w:pPr>
            <w:r>
              <w:rPr>
                <w:b/>
                <w:w w:val="105"/>
                <w:sz w:val="18"/>
              </w:rPr>
              <w:t xml:space="preserve">Coding note: </w:t>
            </w:r>
            <w:r>
              <w:rPr>
                <w:w w:val="105"/>
                <w:sz w:val="17"/>
              </w:rPr>
              <w:t xml:space="preserve">If </w:t>
            </w:r>
            <w:r>
              <w:rPr>
                <w:w w:val="105"/>
                <w:sz w:val="18"/>
              </w:rPr>
              <w:t>delirium is superimposed on a preexisting Dementia of the Alzheimer's Type or Vascular Dementia, indicate the delirium by coding the appropriate subtype of the dementia, e.g., 290.3 Dementia of the Alzheimer's Type, With Late Onset, With Delirium.</w:t>
            </w:r>
          </w:p>
          <w:p w:rsidR="00E675F0" w:rsidRDefault="00E675F0" w:rsidP="00A330E1">
            <w:pPr>
              <w:pStyle w:val="TableParagraph"/>
              <w:spacing w:before="160"/>
              <w:ind w:left="658"/>
              <w:jc w:val="both"/>
              <w:rPr>
                <w:sz w:val="18"/>
              </w:rPr>
            </w:pPr>
            <w:r>
              <w:rPr>
                <w:b/>
                <w:w w:val="105"/>
                <w:sz w:val="18"/>
              </w:rPr>
              <w:t xml:space="preserve">Coding note: </w:t>
            </w:r>
            <w:r>
              <w:rPr>
                <w:w w:val="105"/>
                <w:sz w:val="18"/>
              </w:rPr>
              <w:t>Include the name of the general medical condition on Axis I, e.g.,</w:t>
            </w:r>
          </w:p>
          <w:p w:rsidR="00E675F0" w:rsidRDefault="00E675F0" w:rsidP="00A330E1">
            <w:pPr>
              <w:pStyle w:val="TableParagraph"/>
              <w:spacing w:before="5" w:line="244" w:lineRule="auto"/>
              <w:ind w:left="659" w:right="296" w:firstLine="7"/>
              <w:rPr>
                <w:sz w:val="18"/>
              </w:rPr>
            </w:pPr>
            <w:r>
              <w:rPr>
                <w:w w:val="105"/>
                <w:sz w:val="18"/>
              </w:rPr>
              <w:t>293.0 Delirium Due to Hepatic Encephalopathy; also code the general medical condition on Axis Ill (see Appendix G for codes).</w:t>
            </w:r>
          </w:p>
        </w:tc>
      </w:tr>
    </w:tbl>
    <w:p w:rsidR="00E675F0" w:rsidRDefault="00E675F0" w:rsidP="00E675F0">
      <w:pPr>
        <w:pStyle w:val="BodyText"/>
      </w:pPr>
    </w:p>
    <w:p w:rsidR="00E675F0" w:rsidRDefault="00E675F0" w:rsidP="00E675F0">
      <w:pPr>
        <w:pStyle w:val="BodyText"/>
        <w:spacing w:before="10"/>
        <w:rPr>
          <w:sz w:val="24"/>
        </w:rPr>
      </w:pPr>
    </w:p>
    <w:p w:rsidR="00E675F0" w:rsidRDefault="00E675F0" w:rsidP="00E675F0">
      <w:pPr>
        <w:spacing w:before="93"/>
        <w:ind w:left="1204" w:right="1189"/>
        <w:jc w:val="center"/>
        <w:rPr>
          <w:rFonts w:ascii="Arial"/>
          <w:b/>
          <w:sz w:val="25"/>
        </w:rPr>
      </w:pPr>
      <w:r>
        <w:rPr>
          <w:rFonts w:ascii="Arial"/>
          <w:b/>
          <w:w w:val="105"/>
          <w:sz w:val="25"/>
        </w:rPr>
        <w:t>Substance--Induced Delirium</w:t>
      </w:r>
    </w:p>
    <w:p w:rsidR="00E675F0" w:rsidRDefault="00E675F0" w:rsidP="00E675F0">
      <w:pPr>
        <w:spacing w:before="251"/>
        <w:ind w:left="123"/>
        <w:jc w:val="both"/>
        <w:rPr>
          <w:rFonts w:ascii="TimesNewRomanPS-BoldItalicMT"/>
          <w:b/>
          <w:i/>
          <w:sz w:val="25"/>
        </w:rPr>
      </w:pPr>
      <w:r>
        <w:rPr>
          <w:rFonts w:ascii="TimesNewRomanPS-BoldItalicMT"/>
          <w:b/>
          <w:i/>
          <w:w w:val="110"/>
          <w:sz w:val="25"/>
        </w:rPr>
        <w:t>magnostic and Associated Features</w:t>
      </w:r>
    </w:p>
    <w:p w:rsidR="00E675F0" w:rsidRDefault="00E675F0" w:rsidP="00E675F0">
      <w:pPr>
        <w:pStyle w:val="BodyText"/>
        <w:spacing w:before="115" w:line="252" w:lineRule="auto"/>
        <w:ind w:left="147" w:right="127" w:firstLine="1"/>
        <w:jc w:val="both"/>
      </w:pPr>
      <w:r>
        <w:rPr>
          <w:w w:val="105"/>
        </w:rPr>
        <w:t>The descriptive features of Substance-Induced Delirium (Criteria A-C) are discussed on pp. 124--125. In addition, to diagnose Substance-Induced Delirium, there must be evidence from the history, physical examination, or laboratory findings of Substance Intoxication or Withdrawal, medication side effects, or toxin exposure judged to be etiologically</w:t>
      </w:r>
      <w:r>
        <w:rPr>
          <w:spacing w:val="1"/>
          <w:w w:val="105"/>
        </w:rPr>
        <w:t xml:space="preserve"> </w:t>
      </w:r>
      <w:r>
        <w:rPr>
          <w:w w:val="105"/>
        </w:rPr>
        <w:t>related</w:t>
      </w:r>
      <w:r>
        <w:rPr>
          <w:spacing w:val="-12"/>
          <w:w w:val="105"/>
        </w:rPr>
        <w:t xml:space="preserve"> </w:t>
      </w:r>
      <w:r>
        <w:rPr>
          <w:w w:val="105"/>
        </w:rPr>
        <w:t>to</w:t>
      </w:r>
      <w:r>
        <w:rPr>
          <w:spacing w:val="-21"/>
          <w:w w:val="105"/>
        </w:rPr>
        <w:t xml:space="preserve"> </w:t>
      </w:r>
      <w:r>
        <w:rPr>
          <w:w w:val="105"/>
        </w:rPr>
        <w:t>the</w:t>
      </w:r>
      <w:r>
        <w:rPr>
          <w:spacing w:val="-19"/>
          <w:w w:val="105"/>
        </w:rPr>
        <w:t xml:space="preserve"> </w:t>
      </w:r>
      <w:r>
        <w:rPr>
          <w:w w:val="105"/>
        </w:rPr>
        <w:t>delirium</w:t>
      </w:r>
      <w:r>
        <w:rPr>
          <w:spacing w:val="-6"/>
          <w:w w:val="105"/>
        </w:rPr>
        <w:t xml:space="preserve"> </w:t>
      </w:r>
      <w:r>
        <w:rPr>
          <w:w w:val="105"/>
        </w:rPr>
        <w:t>(Criterion</w:t>
      </w:r>
      <w:r>
        <w:rPr>
          <w:spacing w:val="-3"/>
          <w:w w:val="105"/>
        </w:rPr>
        <w:t xml:space="preserve"> </w:t>
      </w:r>
      <w:r>
        <w:rPr>
          <w:w w:val="105"/>
        </w:rPr>
        <w:t>D).</w:t>
      </w:r>
      <w:r>
        <w:rPr>
          <w:spacing w:val="-22"/>
          <w:w w:val="105"/>
        </w:rPr>
        <w:t xml:space="preserve"> </w:t>
      </w:r>
      <w:r>
        <w:rPr>
          <w:w w:val="105"/>
        </w:rPr>
        <w:t>A</w:t>
      </w:r>
      <w:r>
        <w:rPr>
          <w:spacing w:val="-25"/>
          <w:w w:val="105"/>
        </w:rPr>
        <w:t xml:space="preserve"> </w:t>
      </w:r>
      <w:r>
        <w:rPr>
          <w:w w:val="105"/>
        </w:rPr>
        <w:t>delirium</w:t>
      </w:r>
      <w:r>
        <w:rPr>
          <w:spacing w:val="-7"/>
          <w:w w:val="105"/>
        </w:rPr>
        <w:t xml:space="preserve"> </w:t>
      </w:r>
      <w:r>
        <w:rPr>
          <w:w w:val="105"/>
        </w:rPr>
        <w:t>that</w:t>
      </w:r>
      <w:r>
        <w:rPr>
          <w:spacing w:val="-16"/>
          <w:w w:val="105"/>
        </w:rPr>
        <w:t xml:space="preserve"> </w:t>
      </w:r>
      <w:r>
        <w:rPr>
          <w:w w:val="105"/>
        </w:rPr>
        <w:t>occurs</w:t>
      </w:r>
      <w:r>
        <w:rPr>
          <w:spacing w:val="-16"/>
          <w:w w:val="105"/>
        </w:rPr>
        <w:t xml:space="preserve"> </w:t>
      </w:r>
      <w:r>
        <w:rPr>
          <w:w w:val="105"/>
        </w:rPr>
        <w:t>during</w:t>
      </w:r>
      <w:r>
        <w:rPr>
          <w:spacing w:val="-18"/>
          <w:w w:val="105"/>
        </w:rPr>
        <w:t xml:space="preserve"> </w:t>
      </w:r>
      <w:r>
        <w:rPr>
          <w:w w:val="105"/>
        </w:rPr>
        <w:t>Substance Intoxication is diagnosed as Substance Intoxication Delirium; a delirium that occurs during Substance Withdrawal is diagnosed as Substance Withdrawal Delirium; and a delirium that is associated with medication side effects or  toxin exposure is diagnosed as Substance-Induced Delirium (see criteria set for Substance Intoxication</w:t>
      </w:r>
      <w:r>
        <w:rPr>
          <w:spacing w:val="11"/>
          <w:w w:val="105"/>
        </w:rPr>
        <w:t xml:space="preserve"> </w:t>
      </w:r>
      <w:r>
        <w:rPr>
          <w:w w:val="105"/>
        </w:rPr>
        <w:t>Delirium,</w:t>
      </w:r>
    </w:p>
    <w:p w:rsidR="00E675F0" w:rsidRDefault="00E675F0" w:rsidP="00E675F0">
      <w:pPr>
        <w:spacing w:before="27"/>
        <w:ind w:left="142"/>
        <w:jc w:val="both"/>
        <w:rPr>
          <w:rFonts w:ascii="Arial"/>
          <w:sz w:val="17"/>
        </w:rPr>
      </w:pPr>
      <w:r>
        <w:rPr>
          <w:rFonts w:ascii="Arial"/>
          <w:w w:val="105"/>
          <w:sz w:val="18"/>
        </w:rPr>
        <w:t xml:space="preserve">p. </w:t>
      </w:r>
      <w:r>
        <w:rPr>
          <w:rFonts w:ascii="Arial"/>
          <w:w w:val="105"/>
          <w:sz w:val="17"/>
        </w:rPr>
        <w:t>131).</w:t>
      </w:r>
    </w:p>
    <w:p w:rsidR="00E675F0" w:rsidRDefault="00E675F0" w:rsidP="00E675F0">
      <w:pPr>
        <w:pStyle w:val="BodyText"/>
        <w:spacing w:before="15" w:line="254" w:lineRule="auto"/>
        <w:ind w:left="144" w:right="127" w:firstLine="367"/>
        <w:jc w:val="both"/>
      </w:pPr>
      <w:r>
        <w:rPr>
          <w:w w:val="105"/>
        </w:rPr>
        <w:t>Delirium</w:t>
      </w:r>
      <w:r>
        <w:rPr>
          <w:spacing w:val="2"/>
          <w:w w:val="105"/>
        </w:rPr>
        <w:t xml:space="preserve"> </w:t>
      </w:r>
      <w:r>
        <w:rPr>
          <w:w w:val="105"/>
        </w:rPr>
        <w:t>that</w:t>
      </w:r>
      <w:r>
        <w:rPr>
          <w:spacing w:val="-15"/>
          <w:w w:val="105"/>
        </w:rPr>
        <w:t xml:space="preserve"> </w:t>
      </w:r>
      <w:r>
        <w:rPr>
          <w:w w:val="105"/>
        </w:rPr>
        <w:t>occurs</w:t>
      </w:r>
      <w:r>
        <w:rPr>
          <w:spacing w:val="-12"/>
          <w:w w:val="105"/>
        </w:rPr>
        <w:t xml:space="preserve"> </w:t>
      </w:r>
      <w:r>
        <w:rPr>
          <w:w w:val="105"/>
        </w:rPr>
        <w:t>during</w:t>
      </w:r>
      <w:r>
        <w:rPr>
          <w:spacing w:val="-24"/>
          <w:w w:val="105"/>
        </w:rPr>
        <w:t xml:space="preserve"> </w:t>
      </w:r>
      <w:r>
        <w:rPr>
          <w:w w:val="105"/>
        </w:rPr>
        <w:t>Substance</w:t>
      </w:r>
      <w:r>
        <w:rPr>
          <w:spacing w:val="-13"/>
          <w:w w:val="105"/>
        </w:rPr>
        <w:t xml:space="preserve"> </w:t>
      </w:r>
      <w:r>
        <w:rPr>
          <w:w w:val="105"/>
        </w:rPr>
        <w:t>Intoxication</w:t>
      </w:r>
      <w:r>
        <w:rPr>
          <w:spacing w:val="4"/>
          <w:w w:val="105"/>
        </w:rPr>
        <w:t xml:space="preserve"> </w:t>
      </w:r>
      <w:r>
        <w:rPr>
          <w:w w:val="105"/>
        </w:rPr>
        <w:t>may</w:t>
      </w:r>
      <w:r>
        <w:rPr>
          <w:spacing w:val="-23"/>
          <w:w w:val="105"/>
        </w:rPr>
        <w:t xml:space="preserve"> </w:t>
      </w:r>
      <w:r>
        <w:rPr>
          <w:w w:val="105"/>
        </w:rPr>
        <w:t>arise</w:t>
      </w:r>
      <w:r>
        <w:rPr>
          <w:spacing w:val="-16"/>
          <w:w w:val="105"/>
        </w:rPr>
        <w:t xml:space="preserve"> </w:t>
      </w:r>
      <w:r>
        <w:rPr>
          <w:w w:val="105"/>
        </w:rPr>
        <w:t>within</w:t>
      </w:r>
      <w:r>
        <w:rPr>
          <w:spacing w:val="-6"/>
          <w:w w:val="105"/>
        </w:rPr>
        <w:t xml:space="preserve"> </w:t>
      </w:r>
      <w:r>
        <w:rPr>
          <w:w w:val="105"/>
        </w:rPr>
        <w:t>minutes</w:t>
      </w:r>
      <w:r>
        <w:rPr>
          <w:spacing w:val="-14"/>
          <w:w w:val="105"/>
        </w:rPr>
        <w:t xml:space="preserve"> </w:t>
      </w:r>
      <w:r>
        <w:rPr>
          <w:w w:val="105"/>
        </w:rPr>
        <w:t>to</w:t>
      </w:r>
      <w:r>
        <w:rPr>
          <w:spacing w:val="-11"/>
          <w:w w:val="105"/>
        </w:rPr>
        <w:t xml:space="preserve"> </w:t>
      </w:r>
      <w:r>
        <w:rPr>
          <w:w w:val="105"/>
        </w:rPr>
        <w:t>hours after taking relatively high doses of certain drugs such as cannabis, cocaine, and hallucinogens. With other drugs such as alcohol, barbiturates, or meperidine, delirium sometimes develops only after intoxication is sustained for some days. Usually the delirium resolves as the intoxication ends or within a few hours to days thereafter (although the duration may be longer after intoxication with</w:t>
      </w:r>
      <w:r>
        <w:rPr>
          <w:spacing w:val="3"/>
          <w:w w:val="105"/>
        </w:rPr>
        <w:t xml:space="preserve"> </w:t>
      </w:r>
      <w:r>
        <w:rPr>
          <w:w w:val="105"/>
        </w:rPr>
        <w:t>phencyclidine).</w:t>
      </w:r>
    </w:p>
    <w:p w:rsidR="00E675F0" w:rsidRDefault="00E675F0" w:rsidP="00E675F0">
      <w:pPr>
        <w:pStyle w:val="BodyText"/>
        <w:spacing w:before="3" w:line="256" w:lineRule="auto"/>
        <w:ind w:left="152" w:right="131" w:firstLine="369"/>
        <w:jc w:val="both"/>
      </w:pPr>
      <w:r>
        <w:rPr>
          <w:w w:val="105"/>
        </w:rPr>
        <w:t>Delirium that is associated with Substance Withdrawal develops as tissue and fluid concentrations of the substance decrease after reduction or termination of sustained,</w:t>
      </w:r>
    </w:p>
    <w:p w:rsidR="00E675F0" w:rsidRDefault="00E675F0" w:rsidP="00E675F0">
      <w:pPr>
        <w:spacing w:line="256" w:lineRule="auto"/>
        <w:jc w:val="both"/>
        <w:sectPr w:rsidR="00E675F0">
          <w:pgSz w:w="8960" w:h="14260"/>
          <w:pgMar w:top="980" w:right="600" w:bottom="280" w:left="600" w:header="694" w:footer="0" w:gutter="0"/>
          <w:cols w:space="720"/>
        </w:sectPr>
      </w:pPr>
    </w:p>
    <w:p w:rsidR="00E675F0" w:rsidRDefault="00E675F0" w:rsidP="00E675F0">
      <w:pPr>
        <w:pStyle w:val="BodyText"/>
        <w:spacing w:before="4"/>
        <w:rPr>
          <w:sz w:val="4"/>
        </w:rPr>
      </w:pPr>
    </w:p>
    <w:p w:rsidR="00E675F0" w:rsidRDefault="00E675F0" w:rsidP="00E675F0">
      <w:pPr>
        <w:pStyle w:val="BodyText"/>
        <w:spacing w:line="20" w:lineRule="exact"/>
        <w:ind w:left="124"/>
        <w:rPr>
          <w:sz w:val="2"/>
        </w:rPr>
      </w:pPr>
      <w:r>
        <w:rPr>
          <w:noProof/>
          <w:sz w:val="2"/>
        </w:rPr>
        <mc:AlternateContent>
          <mc:Choice Requires="wpg">
            <w:drawing>
              <wp:inline distT="0" distB="0" distL="0" distR="0" wp14:anchorId="5718C05F" wp14:editId="6B98DC31">
                <wp:extent cx="4765675" cy="9525"/>
                <wp:effectExtent l="0" t="0" r="0" b="0"/>
                <wp:docPr id="1486" name="Group 1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5675" cy="9525"/>
                          <a:chOff x="0" y="0"/>
                          <a:chExt cx="7505" cy="15"/>
                        </a:xfrm>
                      </wpg:grpSpPr>
                      <wps:wsp>
                        <wps:cNvPr id="1487" name="Line 1443"/>
                        <wps:cNvCnPr>
                          <a:cxnSpLocks/>
                        </wps:cNvCnPr>
                        <wps:spPr bwMode="auto">
                          <a:xfrm>
                            <a:off x="0" y="7"/>
                            <a:ext cx="7505" cy="0"/>
                          </a:xfrm>
                          <a:prstGeom prst="line">
                            <a:avLst/>
                          </a:prstGeom>
                          <a:noFill/>
                          <a:ln w="915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B271F60" id="Group 1442" o:spid="_x0000_s1026" style="width:375.25pt;height:.75pt;mso-position-horizontal-relative:char;mso-position-vertical-relative:line" coordsize="7505,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">
                <v:line id="Line 1443" o:spid="_x0000_s1027" style="position:absolute;visibility:visible;mso-wrap-style:square" from="0,7" to="750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" strokeweight=".25436mm">
                  <o:lock v:ext="edit" shapetype="f"/>
                </v:line>
                <w10:anchorlock/>
              </v:group>
            </w:pict>
          </mc:Fallback>
        </mc:AlternateContent>
      </w:r>
    </w:p>
    <w:p w:rsidR="00E675F0" w:rsidRDefault="00E675F0" w:rsidP="00E675F0">
      <w:pPr>
        <w:pStyle w:val="BodyText"/>
      </w:pPr>
    </w:p>
    <w:p w:rsidR="00E675F0" w:rsidRDefault="00E675F0" w:rsidP="00E675F0">
      <w:pPr>
        <w:pStyle w:val="BodyText"/>
        <w:spacing w:before="1"/>
        <w:rPr>
          <w:sz w:val="19"/>
        </w:rPr>
      </w:pPr>
    </w:p>
    <w:p w:rsidR="00E675F0" w:rsidRDefault="00E675F0" w:rsidP="00E675F0">
      <w:pPr>
        <w:pStyle w:val="BodyText"/>
        <w:spacing w:before="92" w:line="254" w:lineRule="auto"/>
        <w:ind w:left="135" w:right="132" w:firstLine="5"/>
        <w:jc w:val="both"/>
      </w:pPr>
      <w:r>
        <w:rPr>
          <w:w w:val="105"/>
        </w:rPr>
        <w:t>usually high-dose use of certain substances. The duration of the delirium tends to vary with the half-life of the substance involved: longer-acting substances usually are associated with more protracted withdrawal. Substance Withdrawal Delirium may continue for only a few hours or may persist for as long as 2-4 weeks.</w:t>
      </w:r>
    </w:p>
    <w:p w:rsidR="00E675F0" w:rsidRDefault="00E675F0" w:rsidP="00E675F0">
      <w:pPr>
        <w:pStyle w:val="BodyText"/>
        <w:spacing w:line="256" w:lineRule="auto"/>
        <w:ind w:left="132" w:right="137" w:firstLine="364"/>
        <w:jc w:val="both"/>
      </w:pPr>
      <w:r>
        <w:rPr>
          <w:w w:val="110"/>
        </w:rPr>
        <w:t>This diagnosis should be made instead of a diagnosis of Substance Intoxication or Substance Withdrawal only when the cognitive symptoms are in excess of those usually associated with the intoxication or withdrawal syndrome and when the symptoms are sufficiently severe to warrant independent clinical attention. For a more</w:t>
      </w:r>
      <w:r>
        <w:rPr>
          <w:spacing w:val="-16"/>
          <w:w w:val="110"/>
        </w:rPr>
        <w:t xml:space="preserve"> </w:t>
      </w:r>
      <w:r>
        <w:rPr>
          <w:w w:val="110"/>
        </w:rPr>
        <w:t>detailed</w:t>
      </w:r>
      <w:r>
        <w:rPr>
          <w:spacing w:val="-11"/>
          <w:w w:val="110"/>
        </w:rPr>
        <w:t xml:space="preserve"> </w:t>
      </w:r>
      <w:r>
        <w:rPr>
          <w:w w:val="110"/>
        </w:rPr>
        <w:t>discussion</w:t>
      </w:r>
      <w:r>
        <w:rPr>
          <w:spacing w:val="-10"/>
          <w:w w:val="110"/>
        </w:rPr>
        <w:t xml:space="preserve"> </w:t>
      </w:r>
      <w:r>
        <w:rPr>
          <w:w w:val="110"/>
        </w:rPr>
        <w:t>of</w:t>
      </w:r>
      <w:r>
        <w:rPr>
          <w:spacing w:val="-13"/>
          <w:w w:val="110"/>
        </w:rPr>
        <w:t xml:space="preserve"> </w:t>
      </w:r>
      <w:r>
        <w:rPr>
          <w:w w:val="110"/>
        </w:rPr>
        <w:t>the features</w:t>
      </w:r>
      <w:r>
        <w:rPr>
          <w:spacing w:val="-14"/>
          <w:w w:val="110"/>
        </w:rPr>
        <w:t xml:space="preserve"> </w:t>
      </w:r>
      <w:r>
        <w:rPr>
          <w:w w:val="110"/>
        </w:rPr>
        <w:t>associated</w:t>
      </w:r>
      <w:r>
        <w:rPr>
          <w:spacing w:val="-5"/>
          <w:w w:val="110"/>
        </w:rPr>
        <w:t xml:space="preserve"> </w:t>
      </w:r>
      <w:r>
        <w:rPr>
          <w:w w:val="110"/>
        </w:rPr>
        <w:t>with</w:t>
      </w:r>
      <w:r>
        <w:rPr>
          <w:spacing w:val="-25"/>
          <w:w w:val="110"/>
        </w:rPr>
        <w:t xml:space="preserve"> </w:t>
      </w:r>
      <w:r>
        <w:rPr>
          <w:w w:val="110"/>
        </w:rPr>
        <w:t>Substance-Related</w:t>
      </w:r>
      <w:r>
        <w:rPr>
          <w:spacing w:val="-22"/>
          <w:w w:val="110"/>
        </w:rPr>
        <w:t xml:space="preserve"> </w:t>
      </w:r>
      <w:r>
        <w:rPr>
          <w:w w:val="110"/>
        </w:rPr>
        <w:t>Disorders, seep.</w:t>
      </w:r>
      <w:r>
        <w:rPr>
          <w:spacing w:val="11"/>
          <w:w w:val="110"/>
        </w:rPr>
        <w:t xml:space="preserve"> </w:t>
      </w:r>
      <w:r>
        <w:rPr>
          <w:w w:val="110"/>
        </w:rPr>
        <w:t>175.</w:t>
      </w:r>
    </w:p>
    <w:p w:rsidR="00E675F0" w:rsidRDefault="00E675F0" w:rsidP="00E675F0">
      <w:pPr>
        <w:pStyle w:val="BodyText"/>
        <w:spacing w:before="5"/>
        <w:rPr>
          <w:sz w:val="31"/>
        </w:rPr>
      </w:pPr>
    </w:p>
    <w:p w:rsidR="00E675F0" w:rsidRDefault="00E675F0" w:rsidP="00E675F0">
      <w:pPr>
        <w:ind w:left="125"/>
        <w:rPr>
          <w:rFonts w:ascii="TimesNewRomanPS-BoldItalicMT"/>
          <w:b/>
          <w:i/>
          <w:sz w:val="24"/>
        </w:rPr>
      </w:pPr>
      <w:r>
        <w:rPr>
          <w:rFonts w:ascii="TimesNewRomanPS-BoldItalicMT"/>
          <w:b/>
          <w:i/>
          <w:w w:val="115"/>
          <w:sz w:val="24"/>
        </w:rPr>
        <w:t>Recording Procedures</w:t>
      </w:r>
    </w:p>
    <w:p w:rsidR="00E675F0" w:rsidRDefault="00E675F0" w:rsidP="00E675F0">
      <w:pPr>
        <w:pStyle w:val="BodyText"/>
        <w:spacing w:before="160" w:line="252" w:lineRule="auto"/>
        <w:ind w:left="132" w:right="128" w:firstLine="3"/>
        <w:jc w:val="both"/>
      </w:pPr>
      <w:r>
        <w:rPr>
          <w:w w:val="105"/>
        </w:rPr>
        <w:t>A diagnosis of Substance-Induced Delirium begins with the name of the specific substance</w:t>
      </w:r>
      <w:r>
        <w:rPr>
          <w:spacing w:val="-4"/>
          <w:w w:val="105"/>
        </w:rPr>
        <w:t xml:space="preserve"> </w:t>
      </w:r>
      <w:r>
        <w:rPr>
          <w:w w:val="105"/>
        </w:rPr>
        <w:t>(rather</w:t>
      </w:r>
      <w:r>
        <w:rPr>
          <w:spacing w:val="-9"/>
          <w:w w:val="105"/>
        </w:rPr>
        <w:t xml:space="preserve"> </w:t>
      </w:r>
      <w:r>
        <w:rPr>
          <w:w w:val="105"/>
        </w:rPr>
        <w:t>than</w:t>
      </w:r>
      <w:r>
        <w:rPr>
          <w:spacing w:val="-2"/>
          <w:w w:val="105"/>
        </w:rPr>
        <w:t xml:space="preserve"> </w:t>
      </w:r>
      <w:r>
        <w:rPr>
          <w:w w:val="105"/>
        </w:rPr>
        <w:t>the</w:t>
      </w:r>
      <w:r>
        <w:rPr>
          <w:spacing w:val="-16"/>
          <w:w w:val="105"/>
        </w:rPr>
        <w:t xml:space="preserve"> </w:t>
      </w:r>
      <w:r>
        <w:rPr>
          <w:w w:val="105"/>
        </w:rPr>
        <w:t>class</w:t>
      </w:r>
      <w:r>
        <w:rPr>
          <w:spacing w:val="-12"/>
          <w:w w:val="105"/>
        </w:rPr>
        <w:t xml:space="preserve"> </w:t>
      </w:r>
      <w:r>
        <w:rPr>
          <w:w w:val="105"/>
        </w:rPr>
        <w:t>of</w:t>
      </w:r>
      <w:r>
        <w:rPr>
          <w:spacing w:val="-6"/>
          <w:w w:val="105"/>
        </w:rPr>
        <w:t xml:space="preserve"> </w:t>
      </w:r>
      <w:r>
        <w:rPr>
          <w:w w:val="105"/>
        </w:rPr>
        <w:t>substances)</w:t>
      </w:r>
      <w:r>
        <w:rPr>
          <w:spacing w:val="6"/>
          <w:w w:val="105"/>
        </w:rPr>
        <w:t xml:space="preserve"> </w:t>
      </w:r>
      <w:r>
        <w:rPr>
          <w:w w:val="105"/>
        </w:rPr>
        <w:t>that</w:t>
      </w:r>
      <w:r>
        <w:rPr>
          <w:spacing w:val="-5"/>
          <w:w w:val="105"/>
        </w:rPr>
        <w:t xml:space="preserve"> </w:t>
      </w:r>
      <w:r>
        <w:rPr>
          <w:w w:val="105"/>
        </w:rPr>
        <w:t>is</w:t>
      </w:r>
      <w:r>
        <w:rPr>
          <w:spacing w:val="-11"/>
          <w:w w:val="105"/>
        </w:rPr>
        <w:t xml:space="preserve"> </w:t>
      </w:r>
      <w:r>
        <w:rPr>
          <w:w w:val="105"/>
        </w:rPr>
        <w:t>presumed</w:t>
      </w:r>
      <w:r>
        <w:rPr>
          <w:spacing w:val="6"/>
          <w:w w:val="105"/>
        </w:rPr>
        <w:t xml:space="preserve"> </w:t>
      </w:r>
      <w:r>
        <w:rPr>
          <w:w w:val="105"/>
        </w:rPr>
        <w:t>to</w:t>
      </w:r>
      <w:r>
        <w:rPr>
          <w:spacing w:val="-16"/>
          <w:w w:val="105"/>
        </w:rPr>
        <w:t xml:space="preserve"> </w:t>
      </w:r>
      <w:r>
        <w:rPr>
          <w:w w:val="105"/>
        </w:rPr>
        <w:t>be</w:t>
      </w:r>
      <w:r>
        <w:rPr>
          <w:spacing w:val="-7"/>
          <w:w w:val="105"/>
        </w:rPr>
        <w:t xml:space="preserve"> </w:t>
      </w:r>
      <w:r>
        <w:rPr>
          <w:w w:val="105"/>
        </w:rPr>
        <w:t>causing</w:t>
      </w:r>
      <w:r>
        <w:rPr>
          <w:spacing w:val="-2"/>
          <w:w w:val="105"/>
        </w:rPr>
        <w:t xml:space="preserve"> </w:t>
      </w:r>
      <w:r>
        <w:rPr>
          <w:w w:val="105"/>
        </w:rPr>
        <w:t>the</w:t>
      </w:r>
      <w:r>
        <w:rPr>
          <w:spacing w:val="-16"/>
          <w:w w:val="105"/>
        </w:rPr>
        <w:t xml:space="preserve"> </w:t>
      </w:r>
      <w:r>
        <w:rPr>
          <w:w w:val="105"/>
        </w:rPr>
        <w:t xml:space="preserve">delirium (e.g., "Diazepam" rather than "Sedative, Hypnotic, or Anxiolytic"). The diagnostic code is selected from the listing of classes of substances provided in the criteria set. For substances that do not </w:t>
      </w:r>
      <w:r>
        <w:rPr>
          <w:w w:val="105"/>
          <w:sz w:val="18"/>
        </w:rPr>
        <w:t xml:space="preserve">fit </w:t>
      </w:r>
      <w:r>
        <w:rPr>
          <w:w w:val="105"/>
        </w:rPr>
        <w:t xml:space="preserve">into any of the classes (e.g., digitalis), the code for "Other Substance" should be used. In addition, for medications prescribed at therapeutic doses, the specific medication can be indicated by listing the appropriate E-code (see Appendix G). For substances that produce intoxication or withdrawal,  the name of the substance  is followed by the context in which the symptoms developed (e.g., 292.81 Dextro­ amphetamine Intoxication Delirium; 291.0 Alcohol Withdrawal Delirium). For medica­ tion side effects and toxin exposure, the term "-Induced" is used (e.g., 292.81 Digitalis-Induced Delirium). When more than one substance is judged to play a significant role in the development  of the  delirium, each should  be listed separately. </w:t>
      </w:r>
      <w:r>
        <w:rPr>
          <w:w w:val="105"/>
          <w:sz w:val="21"/>
        </w:rPr>
        <w:t xml:space="preserve">If </w:t>
      </w:r>
      <w:r>
        <w:rPr>
          <w:w w:val="105"/>
        </w:rPr>
        <w:t>a substance is judged co be the etiological factor but the specific substance or class of substances is unknown, the diagnosis is 292.81 Unknown Substance-Induced</w:t>
      </w:r>
      <w:r>
        <w:rPr>
          <w:spacing w:val="23"/>
          <w:w w:val="105"/>
        </w:rPr>
        <w:t xml:space="preserve"> </w:t>
      </w:r>
      <w:r>
        <w:rPr>
          <w:w w:val="105"/>
        </w:rPr>
        <w:t>Delirium.</w:t>
      </w:r>
    </w:p>
    <w:p w:rsidR="00E675F0" w:rsidRDefault="00E675F0" w:rsidP="00E675F0">
      <w:pPr>
        <w:pStyle w:val="BodyText"/>
        <w:spacing w:before="3"/>
        <w:rPr>
          <w:sz w:val="32"/>
        </w:rPr>
      </w:pPr>
    </w:p>
    <w:p w:rsidR="00E675F0" w:rsidRDefault="00E675F0" w:rsidP="00E675F0">
      <w:pPr>
        <w:ind w:left="132"/>
        <w:rPr>
          <w:rFonts w:ascii="TimesNewRomanPS-BoldItalicMT"/>
          <w:b/>
          <w:i/>
          <w:sz w:val="24"/>
        </w:rPr>
      </w:pPr>
      <w:r>
        <w:rPr>
          <w:rFonts w:ascii="TimesNewRomanPS-BoldItalicMT"/>
          <w:b/>
          <w:i/>
          <w:w w:val="115"/>
          <w:sz w:val="24"/>
        </w:rPr>
        <w:t>Specific Substances</w:t>
      </w:r>
    </w:p>
    <w:p w:rsidR="00E675F0" w:rsidRDefault="00E675F0" w:rsidP="00E675F0">
      <w:pPr>
        <w:pStyle w:val="BodyText"/>
        <w:spacing w:before="156" w:line="254" w:lineRule="auto"/>
        <w:ind w:left="141" w:right="129" w:hanging="1"/>
        <w:jc w:val="both"/>
      </w:pPr>
      <w:r>
        <w:rPr>
          <w:b/>
          <w:w w:val="105"/>
        </w:rPr>
        <w:t xml:space="preserve">Substance Intoxication Delirium </w:t>
      </w:r>
      <w:r>
        <w:rPr>
          <w:w w:val="105"/>
        </w:rPr>
        <w:t xml:space="preserve">can occur with the following classes of substances: alcohol; amphetamines and related substances; cannabis; cocaine; hallucinogens; inhal­ ants; opioids; phencyclidine and related substances; sedatives, hypnotics, and anxioly­ tics; and other or unknown substances. </w:t>
      </w:r>
      <w:r>
        <w:rPr>
          <w:b/>
          <w:w w:val="105"/>
        </w:rPr>
        <w:t xml:space="preserve">Substance Withdrawal Delirium </w:t>
      </w:r>
      <w:r>
        <w:rPr>
          <w:w w:val="105"/>
        </w:rPr>
        <w:t>can occur with the following classes of substances: alcohol (often called "delirium tremens"); sedatives, hypnotics, and anxiolytics; and other or unknown</w:t>
      </w:r>
      <w:r>
        <w:rPr>
          <w:spacing w:val="-25"/>
          <w:w w:val="105"/>
        </w:rPr>
        <w:t xml:space="preserve"> </w:t>
      </w:r>
      <w:r>
        <w:rPr>
          <w:w w:val="105"/>
        </w:rPr>
        <w:t>substances.</w:t>
      </w:r>
    </w:p>
    <w:p w:rsidR="00E675F0" w:rsidRDefault="00E675F0" w:rsidP="00E675F0">
      <w:pPr>
        <w:pStyle w:val="BodyText"/>
        <w:spacing w:before="3" w:line="254" w:lineRule="auto"/>
        <w:ind w:left="135" w:right="128" w:firstLine="368"/>
        <w:jc w:val="both"/>
      </w:pPr>
      <w:r>
        <w:rPr>
          <w:w w:val="105"/>
        </w:rPr>
        <w:t>Medications reported to cause delirium include anesthetics, analgesics, antiasthmatic agents, anticonvulsants, antihistamines, antihypertensive and cardiovascular medi­ cations, antimicrobials, antiparkinsonian drugs, corticosteroids, gastrointestinal medica­ tions, muscle relaxants, and psychotropic medications with anticholinergic side effects. Toxins reported to cause delirium include anticholinesterase, organophosphate insecti­ cides, carbon monoxide, carbon dioxide, and volatile substances such as fuel or paint.</w:t>
      </w:r>
    </w:p>
    <w:p w:rsidR="00E675F0" w:rsidRDefault="00E675F0" w:rsidP="00E675F0">
      <w:pPr>
        <w:pStyle w:val="BodyText"/>
        <w:spacing w:before="6"/>
        <w:rPr>
          <w:sz w:val="32"/>
        </w:rPr>
      </w:pPr>
    </w:p>
    <w:p w:rsidR="00E675F0" w:rsidRDefault="00E675F0" w:rsidP="00E675F0">
      <w:pPr>
        <w:spacing w:before="1"/>
        <w:ind w:left="126"/>
        <w:rPr>
          <w:rFonts w:ascii="TimesNewRomanPS-BoldItalicMT"/>
          <w:b/>
          <w:i/>
          <w:sz w:val="24"/>
        </w:rPr>
      </w:pPr>
      <w:r>
        <w:rPr>
          <w:rFonts w:ascii="TimesNewRomanPS-BoldItalicMT"/>
          <w:b/>
          <w:i/>
          <w:w w:val="115"/>
          <w:sz w:val="24"/>
        </w:rPr>
        <w:t>Differential Diagnosis</w:t>
      </w:r>
    </w:p>
    <w:p w:rsidR="00E675F0" w:rsidRDefault="00E675F0" w:rsidP="00E675F0">
      <w:pPr>
        <w:pStyle w:val="BodyText"/>
        <w:spacing w:before="170" w:line="252" w:lineRule="auto"/>
        <w:ind w:left="134" w:right="135"/>
        <w:jc w:val="both"/>
      </w:pPr>
      <w:r>
        <w:rPr>
          <w:w w:val="105"/>
        </w:rPr>
        <w:t>See p. 126 for a general discussion of the differential diagnosis of delirium and p. 190 for a discussion of the differential diagnosis of Substance Intoxication and</w:t>
      </w:r>
      <w:r>
        <w:rPr>
          <w:spacing w:val="12"/>
          <w:w w:val="105"/>
        </w:rPr>
        <w:t xml:space="preserve"> </w:t>
      </w:r>
      <w:r>
        <w:rPr>
          <w:w w:val="105"/>
        </w:rPr>
        <w:t>Withdrawal.</w:t>
      </w:r>
    </w:p>
    <w:p w:rsidR="00E675F0" w:rsidRDefault="00E675F0" w:rsidP="00E675F0">
      <w:pPr>
        <w:spacing w:line="252" w:lineRule="auto"/>
        <w:jc w:val="both"/>
        <w:sectPr w:rsidR="00E675F0">
          <w:pgSz w:w="8960" w:h="14260"/>
          <w:pgMar w:top="920" w:right="600" w:bottom="280" w:left="600" w:header="693" w:footer="0" w:gutter="0"/>
          <w:cols w:space="720"/>
        </w:sectPr>
      </w:pPr>
    </w:p>
    <w:p w:rsidR="00E675F0" w:rsidRDefault="00E675F0" w:rsidP="00E675F0">
      <w:pPr>
        <w:pStyle w:val="BodyText"/>
      </w:pPr>
      <w:r>
        <w:rPr>
          <w:noProof/>
        </w:rPr>
        <w:lastRenderedPageBreak/>
        <mc:AlternateContent>
          <mc:Choice Requires="wpg">
            <w:drawing>
              <wp:anchor distT="0" distB="0" distL="114300" distR="114300" simplePos="0" relativeHeight="251784192" behindDoc="1" locked="0" layoutInCell="1" allowOverlap="1" wp14:anchorId="62444247" wp14:editId="6FAF8F02">
                <wp:simplePos x="0" y="0"/>
                <wp:positionH relativeFrom="page">
                  <wp:posOffset>473710</wp:posOffset>
                </wp:positionH>
                <wp:positionV relativeFrom="page">
                  <wp:posOffset>933450</wp:posOffset>
                </wp:positionV>
                <wp:extent cx="4755515" cy="5273675"/>
                <wp:effectExtent l="0" t="12700" r="19685" b="0"/>
                <wp:wrapNone/>
                <wp:docPr id="1483" name="Group 1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5515" cy="5273675"/>
                          <a:chOff x="746" y="1470"/>
                          <a:chExt cx="7489" cy="8305"/>
                        </a:xfrm>
                      </wpg:grpSpPr>
                      <wps:wsp>
                        <wps:cNvPr id="1484" name="AutoShape 1441"/>
                        <wps:cNvSpPr>
                          <a:spLocks/>
                        </wps:cNvSpPr>
                        <wps:spPr bwMode="auto">
                          <a:xfrm>
                            <a:off x="745" y="1469"/>
                            <a:ext cx="7489" cy="8305"/>
                          </a:xfrm>
                          <a:custGeom>
                            <a:avLst/>
                            <a:gdLst>
                              <a:gd name="T0" fmla="+- 0 813 746"/>
                              <a:gd name="T1" fmla="*/ T0 w 7489"/>
                              <a:gd name="T2" fmla="+- 0 9774 1470"/>
                              <a:gd name="T3" fmla="*/ 9774 h 8305"/>
                              <a:gd name="T4" fmla="+- 0 813 746"/>
                              <a:gd name="T5" fmla="*/ T4 w 7489"/>
                              <a:gd name="T6" fmla="+- 0 1470 1470"/>
                              <a:gd name="T7" fmla="*/ 1470 h 8305"/>
                              <a:gd name="T8" fmla="+- 0 8143 746"/>
                              <a:gd name="T9" fmla="*/ T8 w 7489"/>
                              <a:gd name="T10" fmla="+- 0 9774 1470"/>
                              <a:gd name="T11" fmla="*/ 9774 h 8305"/>
                              <a:gd name="T12" fmla="+- 0 8143 746"/>
                              <a:gd name="T13" fmla="*/ T12 w 7489"/>
                              <a:gd name="T14" fmla="+- 0 1489 1470"/>
                              <a:gd name="T15" fmla="*/ 1489 h 8305"/>
                              <a:gd name="T16" fmla="+- 0 746 746"/>
                              <a:gd name="T17" fmla="*/ T16 w 7489"/>
                              <a:gd name="T18" fmla="+- 0 1556 1470"/>
                              <a:gd name="T19" fmla="*/ 1556 h 8305"/>
                              <a:gd name="T20" fmla="+- 0 8235 746"/>
                              <a:gd name="T21" fmla="*/ T20 w 7489"/>
                              <a:gd name="T22" fmla="+- 0 1556 1470"/>
                              <a:gd name="T23" fmla="*/ 1556 h 8305"/>
                            </a:gdLst>
                            <a:ahLst/>
                            <a:cxnLst>
                              <a:cxn ang="0">
                                <a:pos x="T1" y="T3"/>
                              </a:cxn>
                              <a:cxn ang="0">
                                <a:pos x="T5" y="T7"/>
                              </a:cxn>
                              <a:cxn ang="0">
                                <a:pos x="T9" y="T11"/>
                              </a:cxn>
                              <a:cxn ang="0">
                                <a:pos x="T13" y="T15"/>
                              </a:cxn>
                              <a:cxn ang="0">
                                <a:pos x="T17" y="T19"/>
                              </a:cxn>
                              <a:cxn ang="0">
                                <a:pos x="T21" y="T23"/>
                              </a:cxn>
                            </a:cxnLst>
                            <a:rect l="0" t="0" r="r" b="b"/>
                            <a:pathLst>
                              <a:path w="7489" h="8305">
                                <a:moveTo>
                                  <a:pt x="67" y="8304"/>
                                </a:moveTo>
                                <a:lnTo>
                                  <a:pt x="67" y="0"/>
                                </a:lnTo>
                                <a:moveTo>
                                  <a:pt x="7397" y="8304"/>
                                </a:moveTo>
                                <a:lnTo>
                                  <a:pt x="7397" y="19"/>
                                </a:lnTo>
                                <a:moveTo>
                                  <a:pt x="0" y="86"/>
                                </a:moveTo>
                                <a:lnTo>
                                  <a:pt x="7489" y="86"/>
                                </a:lnTo>
                              </a:path>
                            </a:pathLst>
                          </a:custGeom>
                          <a:noFill/>
                          <a:ln w="3359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5" name="Line 1440"/>
                        <wps:cNvCnPr>
                          <a:cxnSpLocks/>
                        </wps:cNvCnPr>
                        <wps:spPr bwMode="auto">
                          <a:xfrm>
                            <a:off x="746" y="9678"/>
                            <a:ext cx="7489" cy="0"/>
                          </a:xfrm>
                          <a:prstGeom prst="line">
                            <a:avLst/>
                          </a:prstGeom>
                          <a:noFill/>
                          <a:ln w="3661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CF0F2A" id="Group 1439" o:spid="_x0000_s1026" style="position:absolute;margin-left:37.3pt;margin-top:73.5pt;width:374.45pt;height:415.25pt;z-index:-251532288;mso-position-horizontal-relative:page;mso-position-vertical-relative:page" coordorigin="746,1470" coordsize="7489,830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">
                <v:shape id="AutoShape 1441" o:spid="_x0000_s1027" style="position:absolute;left:745;top:1469;width:7489;height:8305;visibility:visible;mso-wrap-style:square;v-text-anchor:top" coordsize="7489,83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" path="m67,8304l67,m7397,8304r,-8285m,86r7489,e" filled="f" strokeweight=".93314mm">
                  <v:path arrowok="t" o:connecttype="custom" o:connectlocs="67,9774;67,1470;7397,9774;7397,1489;0,1556;7489,1556" o:connectangles="0,0,0,0,0,0"/>
                </v:shape>
                <v:line id="Line 1440" o:spid="_x0000_s1028" style="position:absolute;visibility:visible;mso-wrap-style:square" from="746,9678" to="8235,96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" strokeweight="1.0172mm">
                  <o:lock v:ext="edit" shapetype="f"/>
                </v:line>
                <w10:wrap anchorx="page" anchory="page"/>
              </v:group>
            </w:pict>
          </mc:Fallback>
        </mc:AlternateContent>
      </w:r>
    </w:p>
    <w:p w:rsidR="00E675F0" w:rsidRDefault="00E675F0" w:rsidP="00E675F0">
      <w:pPr>
        <w:pStyle w:val="BodyText"/>
        <w:spacing w:before="11"/>
        <w:rPr>
          <w:sz w:val="25"/>
        </w:rPr>
      </w:pPr>
    </w:p>
    <w:tbl>
      <w:tblPr>
        <w:tblW w:w="0" w:type="auto"/>
        <w:tblInd w:w="246"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7330"/>
      </w:tblGrid>
      <w:tr w:rsidR="00E675F0" w:rsidTr="00A330E1">
        <w:trPr>
          <w:trHeight w:val="8061"/>
        </w:trPr>
        <w:tc>
          <w:tcPr>
            <w:tcW w:w="7330" w:type="dxa"/>
          </w:tcPr>
          <w:p w:rsidR="00E675F0" w:rsidRDefault="00E675F0" w:rsidP="003048D3">
            <w:pPr>
              <w:pStyle w:val="TableParagraph"/>
              <w:numPr>
                <w:ilvl w:val="0"/>
                <w:numId w:val="66"/>
              </w:numPr>
              <w:tabs>
                <w:tab w:val="left" w:pos="629"/>
              </w:tabs>
              <w:spacing w:before="53" w:line="201" w:lineRule="auto"/>
              <w:ind w:right="1303"/>
              <w:rPr>
                <w:rFonts w:ascii="Arial" w:hAnsi="Arial"/>
                <w:b/>
                <w:sz w:val="24"/>
              </w:rPr>
            </w:pPr>
            <w:bookmarkStart w:id="86" w:name="_bookmark69"/>
            <w:bookmarkEnd w:id="86"/>
            <w:r>
              <w:rPr>
                <w:rFonts w:ascii="Arial" w:hAnsi="Arial"/>
                <w:b/>
                <w:w w:val="105"/>
                <w:sz w:val="24"/>
              </w:rPr>
              <w:t>Diagnostic</w:t>
            </w:r>
            <w:r>
              <w:rPr>
                <w:rFonts w:ascii="Arial" w:hAnsi="Arial"/>
                <w:b/>
                <w:spacing w:val="-28"/>
                <w:w w:val="105"/>
                <w:sz w:val="24"/>
              </w:rPr>
              <w:t xml:space="preserve"> </w:t>
            </w:r>
            <w:r>
              <w:rPr>
                <w:rFonts w:ascii="Arial" w:hAnsi="Arial"/>
                <w:b/>
                <w:w w:val="105"/>
                <w:sz w:val="24"/>
              </w:rPr>
              <w:t>criteria</w:t>
            </w:r>
            <w:r>
              <w:rPr>
                <w:rFonts w:ascii="Arial" w:hAnsi="Arial"/>
                <w:b/>
                <w:spacing w:val="-32"/>
                <w:w w:val="105"/>
                <w:sz w:val="24"/>
              </w:rPr>
              <w:t xml:space="preserve"> </w:t>
            </w:r>
            <w:r>
              <w:rPr>
                <w:rFonts w:ascii="Arial" w:hAnsi="Arial"/>
                <w:b/>
                <w:w w:val="105"/>
                <w:sz w:val="24"/>
              </w:rPr>
              <w:t>for</w:t>
            </w:r>
            <w:r>
              <w:rPr>
                <w:rFonts w:ascii="Arial" w:hAnsi="Arial"/>
                <w:b/>
                <w:spacing w:val="-28"/>
                <w:w w:val="105"/>
                <w:sz w:val="24"/>
              </w:rPr>
              <w:t xml:space="preserve"> </w:t>
            </w:r>
            <w:r>
              <w:rPr>
                <w:rFonts w:ascii="Arial" w:hAnsi="Arial"/>
                <w:b/>
                <w:w w:val="105"/>
                <w:sz w:val="24"/>
              </w:rPr>
              <w:t>Substance</w:t>
            </w:r>
            <w:r>
              <w:rPr>
                <w:rFonts w:ascii="Arial" w:hAnsi="Arial"/>
                <w:b/>
                <w:spacing w:val="-26"/>
                <w:w w:val="105"/>
                <w:sz w:val="24"/>
              </w:rPr>
              <w:t xml:space="preserve"> </w:t>
            </w:r>
            <w:r>
              <w:rPr>
                <w:rFonts w:ascii="Arial" w:hAnsi="Arial"/>
                <w:b/>
                <w:w w:val="105"/>
                <w:sz w:val="24"/>
              </w:rPr>
              <w:t>Intoxication Delirium</w:t>
            </w:r>
          </w:p>
          <w:p w:rsidR="00E675F0" w:rsidRDefault="00E675F0" w:rsidP="003048D3">
            <w:pPr>
              <w:pStyle w:val="TableParagraph"/>
              <w:numPr>
                <w:ilvl w:val="1"/>
                <w:numId w:val="66"/>
              </w:numPr>
              <w:tabs>
                <w:tab w:val="left" w:pos="956"/>
              </w:tabs>
              <w:spacing w:before="154" w:line="256" w:lineRule="auto"/>
              <w:ind w:right="213"/>
              <w:jc w:val="both"/>
              <w:rPr>
                <w:sz w:val="20"/>
              </w:rPr>
            </w:pPr>
            <w:r>
              <w:rPr>
                <w:w w:val="105"/>
                <w:sz w:val="20"/>
              </w:rPr>
              <w:t>Disturbance of consciousness (i.e., reduced clarity of awareness of the environment) with reduced ability to focus, sustain, or shift</w:t>
            </w:r>
            <w:r>
              <w:rPr>
                <w:spacing w:val="8"/>
                <w:w w:val="105"/>
                <w:sz w:val="20"/>
              </w:rPr>
              <w:t xml:space="preserve"> </w:t>
            </w:r>
            <w:r>
              <w:rPr>
                <w:w w:val="105"/>
                <w:sz w:val="20"/>
              </w:rPr>
              <w:t>attention.</w:t>
            </w:r>
          </w:p>
          <w:p w:rsidR="00E675F0" w:rsidRDefault="00E675F0" w:rsidP="003048D3">
            <w:pPr>
              <w:pStyle w:val="TableParagraph"/>
              <w:numPr>
                <w:ilvl w:val="1"/>
                <w:numId w:val="66"/>
              </w:numPr>
              <w:tabs>
                <w:tab w:val="left" w:pos="953"/>
              </w:tabs>
              <w:spacing w:before="181" w:line="256" w:lineRule="auto"/>
              <w:ind w:left="957" w:right="217" w:hanging="300"/>
              <w:jc w:val="both"/>
              <w:rPr>
                <w:sz w:val="20"/>
              </w:rPr>
            </w:pPr>
            <w:r>
              <w:rPr>
                <w:w w:val="105"/>
                <w:sz w:val="20"/>
              </w:rPr>
              <w:t>A change in cognition (such as memory deficit, disorientation, language disturbance) or the development of a perceptual disturbance that is not better accounted for by a preexisting, established, or evolving</w:t>
            </w:r>
            <w:r>
              <w:rPr>
                <w:spacing w:val="-10"/>
                <w:w w:val="105"/>
                <w:sz w:val="20"/>
              </w:rPr>
              <w:t xml:space="preserve"> </w:t>
            </w:r>
            <w:r>
              <w:rPr>
                <w:w w:val="105"/>
                <w:sz w:val="20"/>
              </w:rPr>
              <w:t>dementia.</w:t>
            </w:r>
          </w:p>
          <w:p w:rsidR="00E675F0" w:rsidRDefault="00E675F0" w:rsidP="003048D3">
            <w:pPr>
              <w:pStyle w:val="TableParagraph"/>
              <w:numPr>
                <w:ilvl w:val="1"/>
                <w:numId w:val="66"/>
              </w:numPr>
              <w:tabs>
                <w:tab w:val="left" w:pos="958"/>
              </w:tabs>
              <w:spacing w:before="175" w:line="261" w:lineRule="auto"/>
              <w:ind w:left="957" w:right="211" w:hanging="304"/>
              <w:jc w:val="both"/>
              <w:rPr>
                <w:sz w:val="19"/>
              </w:rPr>
            </w:pPr>
            <w:r>
              <w:rPr>
                <w:w w:val="105"/>
                <w:sz w:val="20"/>
              </w:rPr>
              <w:t>The disturbance develops over a short period of time (usually hours to days) and tends to fluctuate during the course of the</w:t>
            </w:r>
            <w:r>
              <w:rPr>
                <w:spacing w:val="-6"/>
                <w:w w:val="105"/>
                <w:sz w:val="20"/>
              </w:rPr>
              <w:t xml:space="preserve"> </w:t>
            </w:r>
            <w:r>
              <w:rPr>
                <w:w w:val="105"/>
                <w:sz w:val="20"/>
              </w:rPr>
              <w:t>day.</w:t>
            </w:r>
          </w:p>
          <w:p w:rsidR="00E675F0" w:rsidRDefault="00E675F0" w:rsidP="003048D3">
            <w:pPr>
              <w:pStyle w:val="TableParagraph"/>
              <w:numPr>
                <w:ilvl w:val="1"/>
                <w:numId w:val="66"/>
              </w:numPr>
              <w:tabs>
                <w:tab w:val="left" w:pos="958"/>
              </w:tabs>
              <w:spacing w:before="176" w:line="249" w:lineRule="auto"/>
              <w:ind w:right="233" w:hanging="299"/>
              <w:rPr>
                <w:sz w:val="20"/>
              </w:rPr>
            </w:pPr>
            <w:r>
              <w:rPr>
                <w:w w:val="105"/>
                <w:sz w:val="20"/>
              </w:rPr>
              <w:t xml:space="preserve">There is evidence from the history, physical examination, or laboratory findings of either </w:t>
            </w:r>
            <w:r>
              <w:rPr>
                <w:w w:val="105"/>
                <w:sz w:val="17"/>
              </w:rPr>
              <w:t xml:space="preserve">(1) </w:t>
            </w:r>
            <w:r>
              <w:rPr>
                <w:w w:val="105"/>
                <w:sz w:val="20"/>
              </w:rPr>
              <w:t>or</w:t>
            </w:r>
            <w:r>
              <w:rPr>
                <w:spacing w:val="4"/>
                <w:w w:val="105"/>
                <w:sz w:val="20"/>
              </w:rPr>
              <w:t xml:space="preserve"> </w:t>
            </w:r>
            <w:r>
              <w:rPr>
                <w:w w:val="105"/>
                <w:sz w:val="20"/>
              </w:rPr>
              <w:t>(2):</w:t>
            </w:r>
          </w:p>
          <w:p w:rsidR="00E675F0" w:rsidRDefault="00E675F0" w:rsidP="003048D3">
            <w:pPr>
              <w:pStyle w:val="TableParagraph"/>
              <w:numPr>
                <w:ilvl w:val="2"/>
                <w:numId w:val="66"/>
              </w:numPr>
              <w:tabs>
                <w:tab w:val="left" w:pos="1390"/>
                <w:tab w:val="left" w:pos="1391"/>
              </w:tabs>
              <w:spacing w:before="65" w:line="256" w:lineRule="auto"/>
              <w:ind w:right="226" w:hanging="426"/>
              <w:rPr>
                <w:sz w:val="17"/>
              </w:rPr>
            </w:pPr>
            <w:r>
              <w:rPr>
                <w:w w:val="105"/>
                <w:sz w:val="20"/>
              </w:rPr>
              <w:t xml:space="preserve">the symptoms in Criteria A and </w:t>
            </w:r>
            <w:r>
              <w:rPr>
                <w:b/>
                <w:w w:val="105"/>
                <w:sz w:val="18"/>
              </w:rPr>
              <w:t xml:space="preserve">B </w:t>
            </w:r>
            <w:r>
              <w:rPr>
                <w:w w:val="105"/>
                <w:sz w:val="20"/>
              </w:rPr>
              <w:t>developed during Substance Intoxication</w:t>
            </w:r>
          </w:p>
          <w:p w:rsidR="00E675F0" w:rsidRDefault="00E675F0" w:rsidP="003048D3">
            <w:pPr>
              <w:pStyle w:val="TableParagraph"/>
              <w:numPr>
                <w:ilvl w:val="2"/>
                <w:numId w:val="66"/>
              </w:numPr>
              <w:tabs>
                <w:tab w:val="left" w:pos="1386"/>
              </w:tabs>
              <w:spacing w:line="218" w:lineRule="exact"/>
              <w:ind w:left="1385" w:hanging="431"/>
              <w:rPr>
                <w:sz w:val="20"/>
              </w:rPr>
            </w:pPr>
            <w:r>
              <w:rPr>
                <w:w w:val="105"/>
                <w:sz w:val="20"/>
              </w:rPr>
              <w:t>medication use is etiologically related to the</w:t>
            </w:r>
            <w:r>
              <w:rPr>
                <w:spacing w:val="41"/>
                <w:w w:val="105"/>
                <w:sz w:val="20"/>
              </w:rPr>
              <w:t xml:space="preserve"> </w:t>
            </w:r>
            <w:r>
              <w:rPr>
                <w:w w:val="105"/>
                <w:sz w:val="20"/>
              </w:rPr>
              <w:t>disturbance•</w:t>
            </w:r>
          </w:p>
          <w:p w:rsidR="00E675F0" w:rsidRDefault="00E675F0" w:rsidP="00A330E1">
            <w:pPr>
              <w:pStyle w:val="TableParagraph"/>
              <w:spacing w:before="149" w:line="249" w:lineRule="auto"/>
              <w:ind w:left="955" w:right="222" w:firstLine="6"/>
              <w:jc w:val="both"/>
              <w:rPr>
                <w:sz w:val="18"/>
              </w:rPr>
            </w:pPr>
            <w:r>
              <w:rPr>
                <w:b/>
                <w:w w:val="105"/>
                <w:sz w:val="17"/>
              </w:rPr>
              <w:t xml:space="preserve">Note: </w:t>
            </w:r>
            <w:r>
              <w:rPr>
                <w:w w:val="105"/>
                <w:sz w:val="18"/>
              </w:rPr>
              <w:t>This diagnosis should be made instead of a diagnosis of Substance Intoxication only when the cognitive symptoms are in excess of those usually associated with the intoxication syndrome and when the symptoms are sufficiently severe to warrant independent clinical attention.</w:t>
            </w:r>
          </w:p>
          <w:p w:rsidR="00E675F0" w:rsidRDefault="00E675F0" w:rsidP="00A330E1">
            <w:pPr>
              <w:pStyle w:val="TableParagraph"/>
              <w:spacing w:before="162" w:line="247" w:lineRule="auto"/>
              <w:ind w:left="962" w:right="219" w:hanging="1"/>
              <w:jc w:val="both"/>
              <w:rPr>
                <w:sz w:val="18"/>
              </w:rPr>
            </w:pPr>
            <w:r>
              <w:rPr>
                <w:b/>
                <w:w w:val="105"/>
                <w:sz w:val="17"/>
              </w:rPr>
              <w:t xml:space="preserve">•Note: </w:t>
            </w:r>
            <w:r>
              <w:rPr>
                <w:w w:val="105"/>
                <w:sz w:val="18"/>
              </w:rPr>
              <w:t>The diagnosis should be recorded as Substance-Induced Delirium if related to medication use. Refer to Appendix G for E-codes indicating specific medications.</w:t>
            </w:r>
          </w:p>
          <w:p w:rsidR="00E675F0" w:rsidRDefault="00E675F0" w:rsidP="00A330E1">
            <w:pPr>
              <w:pStyle w:val="TableParagraph"/>
              <w:spacing w:before="154"/>
              <w:ind w:left="411"/>
              <w:rPr>
                <w:rFonts w:ascii="Arial"/>
                <w:sz w:val="18"/>
              </w:rPr>
            </w:pPr>
            <w:r>
              <w:rPr>
                <w:i/>
                <w:w w:val="105"/>
                <w:sz w:val="20"/>
              </w:rPr>
              <w:t xml:space="preserve">Code </w:t>
            </w:r>
            <w:r>
              <w:rPr>
                <w:rFonts w:ascii="Arial"/>
                <w:w w:val="105"/>
                <w:sz w:val="18"/>
              </w:rPr>
              <w:t xml:space="preserve">[Specific Substance </w:t>
            </w:r>
            <w:r>
              <w:rPr>
                <w:rFonts w:ascii="Arial"/>
                <w:w w:val="105"/>
                <w:sz w:val="23"/>
              </w:rPr>
              <w:t xml:space="preserve">I </w:t>
            </w:r>
            <w:r>
              <w:rPr>
                <w:rFonts w:ascii="Arial"/>
                <w:w w:val="105"/>
                <w:sz w:val="18"/>
              </w:rPr>
              <w:t>Intoxication Delirium:</w:t>
            </w:r>
          </w:p>
          <w:p w:rsidR="00E675F0" w:rsidRDefault="00E675F0" w:rsidP="00A330E1">
            <w:pPr>
              <w:pStyle w:val="TableParagraph"/>
              <w:spacing w:before="5"/>
              <w:ind w:left="657"/>
              <w:rPr>
                <w:sz w:val="20"/>
              </w:rPr>
            </w:pPr>
            <w:r>
              <w:rPr>
                <w:sz w:val="20"/>
              </w:rPr>
              <w:t>(291.0   Alcohol;   292.81  Amphetamine   [or  Amphetamine-Like</w:t>
            </w:r>
            <w:r>
              <w:rPr>
                <w:spacing w:val="2"/>
                <w:sz w:val="20"/>
              </w:rPr>
              <w:t xml:space="preserve"> </w:t>
            </w:r>
            <w:r>
              <w:rPr>
                <w:sz w:val="20"/>
              </w:rPr>
              <w:t>Substance];</w:t>
            </w:r>
          </w:p>
          <w:p w:rsidR="00E675F0" w:rsidRDefault="00E675F0" w:rsidP="00A330E1">
            <w:pPr>
              <w:pStyle w:val="TableParagraph"/>
              <w:spacing w:before="15"/>
              <w:ind w:left="666"/>
              <w:rPr>
                <w:sz w:val="20"/>
              </w:rPr>
            </w:pPr>
            <w:r>
              <w:rPr>
                <w:sz w:val="20"/>
              </w:rPr>
              <w:t>292.81  Cannabis;   292.81  Cocaine;   292.81  Hallucipogen;   292.81</w:t>
            </w:r>
            <w:r>
              <w:rPr>
                <w:spacing w:val="-7"/>
                <w:sz w:val="20"/>
              </w:rPr>
              <w:t xml:space="preserve"> </w:t>
            </w:r>
            <w:r>
              <w:rPr>
                <w:sz w:val="20"/>
              </w:rPr>
              <w:t>Inhalant;</w:t>
            </w:r>
          </w:p>
          <w:p w:rsidR="00E675F0" w:rsidRDefault="00E675F0" w:rsidP="00A330E1">
            <w:pPr>
              <w:pStyle w:val="TableParagraph"/>
              <w:spacing w:before="10"/>
              <w:ind w:left="666"/>
              <w:rPr>
                <w:sz w:val="20"/>
              </w:rPr>
            </w:pPr>
            <w:r>
              <w:rPr>
                <w:w w:val="105"/>
                <w:sz w:val="20"/>
              </w:rPr>
              <w:t xml:space="preserve">292.81 Opioid;  292.81 Phencyclidine  [or Phencyclidine-Like </w:t>
            </w:r>
            <w:r>
              <w:rPr>
                <w:spacing w:val="3"/>
                <w:w w:val="105"/>
                <w:sz w:val="20"/>
              </w:rPr>
              <w:t xml:space="preserve"> </w:t>
            </w:r>
            <w:r>
              <w:rPr>
                <w:w w:val="105"/>
                <w:sz w:val="20"/>
              </w:rPr>
              <w:t>Substance];</w:t>
            </w:r>
          </w:p>
          <w:p w:rsidR="00E675F0" w:rsidRDefault="00E675F0" w:rsidP="00A330E1">
            <w:pPr>
              <w:pStyle w:val="TableParagraph"/>
              <w:spacing w:before="6" w:line="249" w:lineRule="auto"/>
              <w:ind w:left="653" w:firstLine="13"/>
              <w:rPr>
                <w:sz w:val="20"/>
              </w:rPr>
            </w:pPr>
            <w:r>
              <w:rPr>
                <w:w w:val="105"/>
                <w:sz w:val="20"/>
              </w:rPr>
              <w:t>292.81 Sedative, Hypnotic, or Anxiolytic; 292.81 Other [or Unknown] Substance [e.g., cimetidine, digitalis, benztropine])</w:t>
            </w:r>
          </w:p>
        </w:tc>
      </w:tr>
    </w:tbl>
    <w:p w:rsidR="00E675F0" w:rsidRDefault="00E675F0" w:rsidP="00E675F0">
      <w:pPr>
        <w:pStyle w:val="BodyText"/>
      </w:pPr>
    </w:p>
    <w:p w:rsidR="00E675F0" w:rsidRDefault="00E675F0" w:rsidP="00E675F0">
      <w:pPr>
        <w:pStyle w:val="BodyText"/>
        <w:spacing w:before="6"/>
        <w:rPr>
          <w:sz w:val="18"/>
        </w:rPr>
      </w:pPr>
      <w:r>
        <w:rPr>
          <w:noProof/>
        </w:rPr>
        <mc:AlternateContent>
          <mc:Choice Requires="wpg">
            <w:drawing>
              <wp:anchor distT="0" distB="0" distL="0" distR="0" simplePos="0" relativeHeight="251857920" behindDoc="1" locked="0" layoutInCell="1" allowOverlap="1" wp14:anchorId="3D0E2B2D" wp14:editId="639B231B">
                <wp:simplePos x="0" y="0"/>
                <wp:positionH relativeFrom="page">
                  <wp:posOffset>473710</wp:posOffset>
                </wp:positionH>
                <wp:positionV relativeFrom="paragraph">
                  <wp:posOffset>177165</wp:posOffset>
                </wp:positionV>
                <wp:extent cx="4755515" cy="2038985"/>
                <wp:effectExtent l="0" t="0" r="19685" b="5715"/>
                <wp:wrapTopAndBottom/>
                <wp:docPr id="1476" name="Group 1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5515" cy="2038985"/>
                          <a:chOff x="746" y="279"/>
                          <a:chExt cx="7489" cy="3211"/>
                        </a:xfrm>
                      </wpg:grpSpPr>
                      <wps:wsp>
                        <wps:cNvPr id="1477" name="Line 1438"/>
                        <wps:cNvCnPr>
                          <a:cxnSpLocks/>
                        </wps:cNvCnPr>
                        <wps:spPr bwMode="auto">
                          <a:xfrm>
                            <a:off x="756" y="3490"/>
                            <a:ext cx="0" cy="0"/>
                          </a:xfrm>
                          <a:prstGeom prst="line">
                            <a:avLst/>
                          </a:prstGeom>
                          <a:noFill/>
                          <a:ln w="61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8" name="Line 1437"/>
                        <wps:cNvCnPr>
                          <a:cxnSpLocks/>
                        </wps:cNvCnPr>
                        <wps:spPr bwMode="auto">
                          <a:xfrm>
                            <a:off x="842" y="3413"/>
                            <a:ext cx="0" cy="0"/>
                          </a:xfrm>
                          <a:prstGeom prst="line">
                            <a:avLst/>
                          </a:prstGeom>
                          <a:noFill/>
                          <a:ln w="2444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9" name="Line 1436"/>
                        <wps:cNvCnPr>
                          <a:cxnSpLocks/>
                        </wps:cNvCnPr>
                        <wps:spPr bwMode="auto">
                          <a:xfrm>
                            <a:off x="8163" y="3470"/>
                            <a:ext cx="0" cy="0"/>
                          </a:xfrm>
                          <a:prstGeom prst="line">
                            <a:avLst/>
                          </a:prstGeom>
                          <a:noFill/>
                          <a:ln w="336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0" name="Line 1435"/>
                        <wps:cNvCnPr>
                          <a:cxnSpLocks/>
                        </wps:cNvCnPr>
                        <wps:spPr bwMode="auto">
                          <a:xfrm>
                            <a:off x="746" y="361"/>
                            <a:ext cx="7489" cy="0"/>
                          </a:xfrm>
                          <a:prstGeom prst="line">
                            <a:avLst/>
                          </a:prstGeom>
                          <a:noFill/>
                          <a:ln w="366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1" name="Line 1434"/>
                        <wps:cNvCnPr>
                          <a:cxnSpLocks/>
                        </wps:cNvCnPr>
                        <wps:spPr bwMode="auto">
                          <a:xfrm>
                            <a:off x="746" y="3393"/>
                            <a:ext cx="7489" cy="0"/>
                          </a:xfrm>
                          <a:prstGeom prst="line">
                            <a:avLst/>
                          </a:prstGeom>
                          <a:noFill/>
                          <a:ln w="335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2" name="Text Box 1433"/>
                        <wps:cNvSpPr txBox="1">
                          <a:spLocks/>
                        </wps:cNvSpPr>
                        <wps:spPr bwMode="auto">
                          <a:xfrm>
                            <a:off x="861" y="389"/>
                            <a:ext cx="7275" cy="2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5F0" w:rsidRDefault="00E675F0" w:rsidP="003048D3">
                              <w:pPr>
                                <w:numPr>
                                  <w:ilvl w:val="0"/>
                                  <w:numId w:val="65"/>
                                </w:numPr>
                                <w:tabs>
                                  <w:tab w:val="left" w:pos="589"/>
                                </w:tabs>
                                <w:spacing w:line="534" w:lineRule="exact"/>
                                <w:ind w:hanging="374"/>
                                <w:rPr>
                                  <w:rFonts w:ascii="Arial"/>
                                  <w:b/>
                                  <w:sz w:val="24"/>
                                </w:rPr>
                              </w:pPr>
                              <w:r>
                                <w:rPr>
                                  <w:rFonts w:ascii="Arial"/>
                                  <w:b/>
                                  <w:w w:val="105"/>
                                  <w:sz w:val="24"/>
                                </w:rPr>
                                <w:t>Diagnostic criteria for Substance Withdrawal</w:t>
                              </w:r>
                              <w:r>
                                <w:rPr>
                                  <w:rFonts w:ascii="Arial"/>
                                  <w:b/>
                                  <w:spacing w:val="-45"/>
                                  <w:w w:val="105"/>
                                  <w:sz w:val="24"/>
                                </w:rPr>
                                <w:t xml:space="preserve"> </w:t>
                              </w:r>
                              <w:r>
                                <w:rPr>
                                  <w:rFonts w:ascii="Arial"/>
                                  <w:b/>
                                  <w:w w:val="105"/>
                                  <w:sz w:val="24"/>
                                </w:rPr>
                                <w:t>Delirium</w:t>
                              </w:r>
                            </w:p>
                            <w:p w:rsidR="00E675F0" w:rsidRDefault="00E675F0" w:rsidP="003048D3">
                              <w:pPr>
                                <w:numPr>
                                  <w:ilvl w:val="1"/>
                                  <w:numId w:val="65"/>
                                </w:numPr>
                                <w:tabs>
                                  <w:tab w:val="left" w:pos="921"/>
                                </w:tabs>
                                <w:spacing w:before="72" w:line="256" w:lineRule="auto"/>
                                <w:ind w:right="280" w:hanging="303"/>
                                <w:jc w:val="both"/>
                                <w:rPr>
                                  <w:sz w:val="18"/>
                                </w:rPr>
                              </w:pPr>
                              <w:r>
                                <w:rPr>
                                  <w:w w:val="105"/>
                                  <w:sz w:val="20"/>
                                </w:rPr>
                                <w:t>Disturbance of consciousness (i.e., reduced clarity of awareness of the environment) with reduced ability to focus, sustain, or shift</w:t>
                              </w:r>
                              <w:r>
                                <w:rPr>
                                  <w:spacing w:val="12"/>
                                  <w:w w:val="105"/>
                                  <w:sz w:val="20"/>
                                </w:rPr>
                                <w:t xml:space="preserve"> </w:t>
                              </w:r>
                              <w:r>
                                <w:rPr>
                                  <w:w w:val="105"/>
                                  <w:sz w:val="20"/>
                                </w:rPr>
                                <w:t>attention.</w:t>
                              </w:r>
                            </w:p>
                            <w:p w:rsidR="00E675F0" w:rsidRDefault="00E675F0" w:rsidP="003048D3">
                              <w:pPr>
                                <w:numPr>
                                  <w:ilvl w:val="1"/>
                                  <w:numId w:val="65"/>
                                </w:numPr>
                                <w:tabs>
                                  <w:tab w:val="left" w:pos="923"/>
                                </w:tabs>
                                <w:spacing w:before="180" w:line="254" w:lineRule="auto"/>
                                <w:ind w:left="922" w:right="256" w:hanging="305"/>
                                <w:jc w:val="both"/>
                                <w:rPr>
                                  <w:sz w:val="20"/>
                                </w:rPr>
                              </w:pPr>
                              <w:r>
                                <w:rPr>
                                  <w:w w:val="105"/>
                                  <w:sz w:val="20"/>
                                </w:rPr>
                                <w:t>A change in cognition (such as memory deficit, disorientation, language disturbance) or the development of a perceptual disturbance that is not better accounted for by a preexisting, established, or evolving</w:t>
                              </w:r>
                              <w:r>
                                <w:rPr>
                                  <w:spacing w:val="-2"/>
                                  <w:w w:val="105"/>
                                  <w:sz w:val="20"/>
                                </w:rPr>
                                <w:t xml:space="preserve"> </w:t>
                              </w:r>
                              <w:r>
                                <w:rPr>
                                  <w:w w:val="105"/>
                                  <w:sz w:val="20"/>
                                </w:rPr>
                                <w:t>dementia.</w:t>
                              </w:r>
                            </w:p>
                            <w:p w:rsidR="00E675F0" w:rsidRDefault="00E675F0" w:rsidP="003048D3">
                              <w:pPr>
                                <w:numPr>
                                  <w:ilvl w:val="1"/>
                                  <w:numId w:val="65"/>
                                </w:numPr>
                                <w:tabs>
                                  <w:tab w:val="left" w:pos="919"/>
                                </w:tabs>
                                <w:spacing w:before="182" w:line="261" w:lineRule="auto"/>
                                <w:ind w:left="922" w:right="246" w:hanging="304"/>
                                <w:rPr>
                                  <w:sz w:val="19"/>
                                </w:rPr>
                              </w:pPr>
                              <w:r>
                                <w:rPr>
                                  <w:w w:val="105"/>
                                  <w:sz w:val="20"/>
                                </w:rPr>
                                <w:t>The disturbance develops over a short period of time (usually hours to days)</w:t>
                              </w:r>
                              <w:r>
                                <w:rPr>
                                  <w:spacing w:val="8"/>
                                  <w:w w:val="105"/>
                                  <w:sz w:val="20"/>
                                </w:rPr>
                                <w:t xml:space="preserve"> </w:t>
                              </w:r>
                              <w:r>
                                <w:rPr>
                                  <w:w w:val="105"/>
                                  <w:sz w:val="20"/>
                                </w:rPr>
                                <w:t>and</w:t>
                              </w:r>
                              <w:r>
                                <w:rPr>
                                  <w:spacing w:val="22"/>
                                  <w:w w:val="105"/>
                                  <w:sz w:val="20"/>
                                </w:rPr>
                                <w:t xml:space="preserve"> </w:t>
                              </w:r>
                              <w:r>
                                <w:rPr>
                                  <w:w w:val="105"/>
                                  <w:sz w:val="20"/>
                                </w:rPr>
                                <w:t>tends</w:t>
                              </w:r>
                              <w:r>
                                <w:rPr>
                                  <w:spacing w:val="18"/>
                                  <w:w w:val="105"/>
                                  <w:sz w:val="20"/>
                                </w:rPr>
                                <w:t xml:space="preserve"> </w:t>
                              </w:r>
                              <w:r>
                                <w:rPr>
                                  <w:w w:val="105"/>
                                  <w:sz w:val="20"/>
                                </w:rPr>
                                <w:t>to</w:t>
                              </w:r>
                              <w:r>
                                <w:rPr>
                                  <w:spacing w:val="5"/>
                                  <w:w w:val="105"/>
                                  <w:sz w:val="20"/>
                                </w:rPr>
                                <w:t xml:space="preserve"> </w:t>
                              </w:r>
                              <w:r>
                                <w:rPr>
                                  <w:w w:val="105"/>
                                  <w:sz w:val="20"/>
                                </w:rPr>
                                <w:t>fluctuate</w:t>
                              </w:r>
                              <w:r>
                                <w:rPr>
                                  <w:spacing w:val="20"/>
                                  <w:w w:val="105"/>
                                  <w:sz w:val="20"/>
                                </w:rPr>
                                <w:t xml:space="preserve"> </w:t>
                              </w:r>
                              <w:r>
                                <w:rPr>
                                  <w:w w:val="105"/>
                                  <w:sz w:val="20"/>
                                </w:rPr>
                                <w:t>during</w:t>
                              </w:r>
                              <w:r>
                                <w:rPr>
                                  <w:spacing w:val="14"/>
                                  <w:w w:val="105"/>
                                  <w:sz w:val="20"/>
                                </w:rPr>
                                <w:t xml:space="preserve"> </w:t>
                              </w:r>
                              <w:r>
                                <w:rPr>
                                  <w:w w:val="105"/>
                                  <w:sz w:val="20"/>
                                </w:rPr>
                                <w:t>the</w:t>
                              </w:r>
                              <w:r>
                                <w:rPr>
                                  <w:spacing w:val="12"/>
                                  <w:w w:val="105"/>
                                  <w:sz w:val="20"/>
                                </w:rPr>
                                <w:t xml:space="preserve"> </w:t>
                              </w:r>
                              <w:r>
                                <w:rPr>
                                  <w:w w:val="105"/>
                                  <w:sz w:val="20"/>
                                </w:rPr>
                                <w:t>course</w:t>
                              </w:r>
                              <w:r>
                                <w:rPr>
                                  <w:spacing w:val="22"/>
                                  <w:w w:val="105"/>
                                  <w:sz w:val="20"/>
                                </w:rPr>
                                <w:t xml:space="preserve"> </w:t>
                              </w:r>
                              <w:r>
                                <w:rPr>
                                  <w:w w:val="105"/>
                                  <w:sz w:val="20"/>
                                </w:rPr>
                                <w:t>of</w:t>
                              </w:r>
                              <w:r>
                                <w:rPr>
                                  <w:spacing w:val="20"/>
                                  <w:w w:val="105"/>
                                  <w:sz w:val="20"/>
                                </w:rPr>
                                <w:t xml:space="preserve"> </w:t>
                              </w:r>
                              <w:r>
                                <w:rPr>
                                  <w:w w:val="105"/>
                                  <w:sz w:val="20"/>
                                </w:rPr>
                                <w:t>the</w:t>
                              </w:r>
                              <w:r>
                                <w:rPr>
                                  <w:spacing w:val="8"/>
                                  <w:w w:val="105"/>
                                  <w:sz w:val="20"/>
                                </w:rPr>
                                <w:t xml:space="preserve"> </w:t>
                              </w:r>
                              <w:r>
                                <w:rPr>
                                  <w:w w:val="105"/>
                                  <w:sz w:val="20"/>
                                </w:rPr>
                                <w:t>day.</w:t>
                              </w:r>
                            </w:p>
                            <w:p w:rsidR="00E675F0" w:rsidRDefault="00E675F0" w:rsidP="00E675F0">
                              <w:pPr>
                                <w:spacing w:before="13"/>
                                <w:ind w:left="5988"/>
                                <w:rPr>
                                  <w:i/>
                                  <w:sz w:val="20"/>
                                </w:rPr>
                              </w:pPr>
                              <w:r>
                                <w:rPr>
                                  <w:i/>
                                  <w:w w:val="110"/>
                                  <w:sz w:val="20"/>
                                </w:rPr>
                                <w:t>(continued)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0E2B2D" id="Group 1432" o:spid="_x0000_s1090" style="position:absolute;margin-left:37.3pt;margin-top:13.95pt;width:374.45pt;height:160.55pt;z-index:-251458560;mso-wrap-distance-left:0;mso-wrap-distance-right:0;mso-position-horizontal-relative:page;mso-position-vertical-relative:text" coordorigin="746,279" coordsize="7489,32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">
                <v:line id="Line 1438" o:spid="_x0000_s1091" style="position:absolute;visibility:visible;mso-wrap-style:square" from="756,3490" to="756,34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" strokeweight=".16978mm">
                  <o:lock v:ext="edit" shapetype="f"/>
                </v:line>
                <v:line id="Line 1437" o:spid="_x0000_s1092" style="position:absolute;visibility:visible;mso-wrap-style:square" from="842,3413" to="842,34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" strokeweight=".67914mm">
                  <o:lock v:ext="edit" shapetype="f"/>
                </v:line>
                <v:line id="Line 1436" o:spid="_x0000_s1093" style="position:absolute;visibility:visible;mso-wrap-style:square" from="8163,3470" to="8163,34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" strokeweight=".93383mm">
                  <o:lock v:ext="edit" shapetype="f"/>
                </v:line>
                <v:line id="Line 1435" o:spid="_x0000_s1094" style="position:absolute;visibility:visible;mso-wrap-style:square" from="746,361" to="8235,3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" strokeweight="1.0172mm">
                  <o:lock v:ext="edit" shapetype="f"/>
                </v:line>
                <v:line id="Line 1434" o:spid="_x0000_s1095" style="position:absolute;visibility:visible;mso-wrap-style:square" from="746,3393" to="8235,33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" strokeweight=".93242mm">
                  <o:lock v:ext="edit" shapetype="f"/>
                </v:line>
                <v:shape id="Text Box 1433" o:spid="_x0000_s1096" type="#_x0000_t202" style="position:absolute;left:861;top:389;width:7275;height:29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" filled="f" stroked="f">
                  <v:path arrowok="t"/>
                  <v:textbox inset="0,0,0,0">
                    <w:txbxContent>
                      <w:p w:rsidR="00E675F0" w:rsidRDefault="00E675F0" w:rsidP="003048D3">
                        <w:pPr>
                          <w:numPr>
                            <w:ilvl w:val="0"/>
                            <w:numId w:val="65"/>
                          </w:numPr>
                          <w:tabs>
                            <w:tab w:val="left" w:pos="589"/>
                          </w:tabs>
                          <w:spacing w:line="534" w:lineRule="exact"/>
                          <w:ind w:hanging="374"/>
                          <w:rPr>
                            <w:rFonts w:ascii="Arial"/>
                            <w:b/>
                            <w:sz w:val="24"/>
                          </w:rPr>
                        </w:pPr>
                        <w:r>
                          <w:rPr>
                            <w:rFonts w:ascii="Arial"/>
                            <w:b/>
                            <w:w w:val="105"/>
                            <w:sz w:val="24"/>
                          </w:rPr>
                          <w:t>Diagnostic criteria for Substance Withdrawal</w:t>
                        </w:r>
                        <w:r>
                          <w:rPr>
                            <w:rFonts w:ascii="Arial"/>
                            <w:b/>
                            <w:spacing w:val="-45"/>
                            <w:w w:val="105"/>
                            <w:sz w:val="24"/>
                          </w:rPr>
                          <w:t xml:space="preserve"> </w:t>
                        </w:r>
                        <w:r>
                          <w:rPr>
                            <w:rFonts w:ascii="Arial"/>
                            <w:b/>
                            <w:w w:val="105"/>
                            <w:sz w:val="24"/>
                          </w:rPr>
                          <w:t>Delirium</w:t>
                        </w:r>
                      </w:p>
                      <w:p w:rsidR="00E675F0" w:rsidRDefault="00E675F0" w:rsidP="003048D3">
                        <w:pPr>
                          <w:numPr>
                            <w:ilvl w:val="1"/>
                            <w:numId w:val="65"/>
                          </w:numPr>
                          <w:tabs>
                            <w:tab w:val="left" w:pos="921"/>
                          </w:tabs>
                          <w:spacing w:before="72" w:line="256" w:lineRule="auto"/>
                          <w:ind w:right="280" w:hanging="303"/>
                          <w:jc w:val="both"/>
                          <w:rPr>
                            <w:sz w:val="18"/>
                          </w:rPr>
                        </w:pPr>
                        <w:r>
                          <w:rPr>
                            <w:w w:val="105"/>
                            <w:sz w:val="20"/>
                          </w:rPr>
                          <w:t>Disturbance of consciousness (i.e., reduced clarity of awareness of the environment) with reduced ability to focus, sustain, or shift</w:t>
                        </w:r>
                        <w:r>
                          <w:rPr>
                            <w:spacing w:val="12"/>
                            <w:w w:val="105"/>
                            <w:sz w:val="20"/>
                          </w:rPr>
                          <w:t xml:space="preserve"> </w:t>
                        </w:r>
                        <w:r>
                          <w:rPr>
                            <w:w w:val="105"/>
                            <w:sz w:val="20"/>
                          </w:rPr>
                          <w:t>attention.</w:t>
                        </w:r>
                      </w:p>
                      <w:p w:rsidR="00E675F0" w:rsidRDefault="00E675F0" w:rsidP="003048D3">
                        <w:pPr>
                          <w:numPr>
                            <w:ilvl w:val="1"/>
                            <w:numId w:val="65"/>
                          </w:numPr>
                          <w:tabs>
                            <w:tab w:val="left" w:pos="923"/>
                          </w:tabs>
                          <w:spacing w:before="180" w:line="254" w:lineRule="auto"/>
                          <w:ind w:left="922" w:right="256" w:hanging="305"/>
                          <w:jc w:val="both"/>
                          <w:rPr>
                            <w:sz w:val="20"/>
                          </w:rPr>
                        </w:pPr>
                        <w:r>
                          <w:rPr>
                            <w:w w:val="105"/>
                            <w:sz w:val="20"/>
                          </w:rPr>
                          <w:t>A change in cognition (such as memory deficit, disorientation, language disturbance) or the development of a perceptual disturbance that is not better accounted for by a preexisting, established, or evolving</w:t>
                        </w:r>
                        <w:r>
                          <w:rPr>
                            <w:spacing w:val="-2"/>
                            <w:w w:val="105"/>
                            <w:sz w:val="20"/>
                          </w:rPr>
                          <w:t xml:space="preserve"> </w:t>
                        </w:r>
                        <w:r>
                          <w:rPr>
                            <w:w w:val="105"/>
                            <w:sz w:val="20"/>
                          </w:rPr>
                          <w:t>dementia.</w:t>
                        </w:r>
                      </w:p>
                      <w:p w:rsidR="00E675F0" w:rsidRDefault="00E675F0" w:rsidP="003048D3">
                        <w:pPr>
                          <w:numPr>
                            <w:ilvl w:val="1"/>
                            <w:numId w:val="65"/>
                          </w:numPr>
                          <w:tabs>
                            <w:tab w:val="left" w:pos="919"/>
                          </w:tabs>
                          <w:spacing w:before="182" w:line="261" w:lineRule="auto"/>
                          <w:ind w:left="922" w:right="246" w:hanging="304"/>
                          <w:rPr>
                            <w:sz w:val="19"/>
                          </w:rPr>
                        </w:pPr>
                        <w:r>
                          <w:rPr>
                            <w:w w:val="105"/>
                            <w:sz w:val="20"/>
                          </w:rPr>
                          <w:t>The disturbance develops over a short period of time (usually hours to days)</w:t>
                        </w:r>
                        <w:r>
                          <w:rPr>
                            <w:spacing w:val="8"/>
                            <w:w w:val="105"/>
                            <w:sz w:val="20"/>
                          </w:rPr>
                          <w:t xml:space="preserve"> </w:t>
                        </w:r>
                        <w:r>
                          <w:rPr>
                            <w:w w:val="105"/>
                            <w:sz w:val="20"/>
                          </w:rPr>
                          <w:t>and</w:t>
                        </w:r>
                        <w:r>
                          <w:rPr>
                            <w:spacing w:val="22"/>
                            <w:w w:val="105"/>
                            <w:sz w:val="20"/>
                          </w:rPr>
                          <w:t xml:space="preserve"> </w:t>
                        </w:r>
                        <w:r>
                          <w:rPr>
                            <w:w w:val="105"/>
                            <w:sz w:val="20"/>
                          </w:rPr>
                          <w:t>tends</w:t>
                        </w:r>
                        <w:r>
                          <w:rPr>
                            <w:spacing w:val="18"/>
                            <w:w w:val="105"/>
                            <w:sz w:val="20"/>
                          </w:rPr>
                          <w:t xml:space="preserve"> </w:t>
                        </w:r>
                        <w:r>
                          <w:rPr>
                            <w:w w:val="105"/>
                            <w:sz w:val="20"/>
                          </w:rPr>
                          <w:t>to</w:t>
                        </w:r>
                        <w:r>
                          <w:rPr>
                            <w:spacing w:val="5"/>
                            <w:w w:val="105"/>
                            <w:sz w:val="20"/>
                          </w:rPr>
                          <w:t xml:space="preserve"> </w:t>
                        </w:r>
                        <w:r>
                          <w:rPr>
                            <w:w w:val="105"/>
                            <w:sz w:val="20"/>
                          </w:rPr>
                          <w:t>fluctuate</w:t>
                        </w:r>
                        <w:r>
                          <w:rPr>
                            <w:spacing w:val="20"/>
                            <w:w w:val="105"/>
                            <w:sz w:val="20"/>
                          </w:rPr>
                          <w:t xml:space="preserve"> </w:t>
                        </w:r>
                        <w:r>
                          <w:rPr>
                            <w:w w:val="105"/>
                            <w:sz w:val="20"/>
                          </w:rPr>
                          <w:t>during</w:t>
                        </w:r>
                        <w:r>
                          <w:rPr>
                            <w:spacing w:val="14"/>
                            <w:w w:val="105"/>
                            <w:sz w:val="20"/>
                          </w:rPr>
                          <w:t xml:space="preserve"> </w:t>
                        </w:r>
                        <w:r>
                          <w:rPr>
                            <w:w w:val="105"/>
                            <w:sz w:val="20"/>
                          </w:rPr>
                          <w:t>the</w:t>
                        </w:r>
                        <w:r>
                          <w:rPr>
                            <w:spacing w:val="12"/>
                            <w:w w:val="105"/>
                            <w:sz w:val="20"/>
                          </w:rPr>
                          <w:t xml:space="preserve"> </w:t>
                        </w:r>
                        <w:r>
                          <w:rPr>
                            <w:w w:val="105"/>
                            <w:sz w:val="20"/>
                          </w:rPr>
                          <w:t>course</w:t>
                        </w:r>
                        <w:r>
                          <w:rPr>
                            <w:spacing w:val="22"/>
                            <w:w w:val="105"/>
                            <w:sz w:val="20"/>
                          </w:rPr>
                          <w:t xml:space="preserve"> </w:t>
                        </w:r>
                        <w:r>
                          <w:rPr>
                            <w:w w:val="105"/>
                            <w:sz w:val="20"/>
                          </w:rPr>
                          <w:t>of</w:t>
                        </w:r>
                        <w:r>
                          <w:rPr>
                            <w:spacing w:val="20"/>
                            <w:w w:val="105"/>
                            <w:sz w:val="20"/>
                          </w:rPr>
                          <w:t xml:space="preserve"> </w:t>
                        </w:r>
                        <w:r>
                          <w:rPr>
                            <w:w w:val="105"/>
                            <w:sz w:val="20"/>
                          </w:rPr>
                          <w:t>the</w:t>
                        </w:r>
                        <w:r>
                          <w:rPr>
                            <w:spacing w:val="8"/>
                            <w:w w:val="105"/>
                            <w:sz w:val="20"/>
                          </w:rPr>
                          <w:t xml:space="preserve"> </w:t>
                        </w:r>
                        <w:r>
                          <w:rPr>
                            <w:w w:val="105"/>
                            <w:sz w:val="20"/>
                          </w:rPr>
                          <w:t>day.</w:t>
                        </w:r>
                      </w:p>
                      <w:p w:rsidR="00E675F0" w:rsidRDefault="00E675F0" w:rsidP="00E675F0">
                        <w:pPr>
                          <w:spacing w:before="13"/>
                          <w:ind w:left="5988"/>
                          <w:rPr>
                            <w:i/>
                            <w:sz w:val="20"/>
                          </w:rPr>
                        </w:pPr>
                        <w:r>
                          <w:rPr>
                            <w:i/>
                            <w:w w:val="110"/>
                            <w:sz w:val="20"/>
                          </w:rPr>
                          <w:t>(continued)</w:t>
                        </w:r>
                      </w:p>
                    </w:txbxContent>
                  </v:textbox>
                </v:shape>
                <w10:wrap type="topAndBottom" anchorx="page"/>
              </v:group>
            </w:pict>
          </mc:Fallback>
        </mc:AlternateContent>
      </w:r>
    </w:p>
    <w:p w:rsidR="00E675F0" w:rsidRDefault="00E675F0" w:rsidP="00E675F0">
      <w:pPr>
        <w:rPr>
          <w:sz w:val="18"/>
        </w:rPr>
        <w:sectPr w:rsidR="00E675F0">
          <w:pgSz w:w="8960" w:h="14260"/>
          <w:pgMar w:top="1000" w:right="600" w:bottom="280" w:left="600" w:header="694" w:footer="0" w:gutter="0"/>
          <w:cols w:space="720"/>
        </w:sectPr>
      </w:pPr>
    </w:p>
    <w:p w:rsidR="00E675F0" w:rsidRDefault="00E675F0" w:rsidP="00E675F0">
      <w:pPr>
        <w:pStyle w:val="BodyText"/>
      </w:pPr>
      <w:r>
        <w:rPr>
          <w:noProof/>
        </w:rPr>
        <w:lastRenderedPageBreak/>
        <mc:AlternateContent>
          <mc:Choice Requires="wps">
            <w:drawing>
              <wp:anchor distT="0" distB="0" distL="114300" distR="114300" simplePos="0" relativeHeight="251696128" behindDoc="0" locked="0" layoutInCell="1" allowOverlap="1" wp14:anchorId="519EA0C5" wp14:editId="4D8A76DD">
                <wp:simplePos x="0" y="0"/>
                <wp:positionH relativeFrom="page">
                  <wp:posOffset>458470</wp:posOffset>
                </wp:positionH>
                <wp:positionV relativeFrom="page">
                  <wp:posOffset>8476615</wp:posOffset>
                </wp:positionV>
                <wp:extent cx="4765675" cy="0"/>
                <wp:effectExtent l="0" t="12700" r="22225" b="12700"/>
                <wp:wrapNone/>
                <wp:docPr id="1475" name="Line 14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765675" cy="0"/>
                        </a:xfrm>
                        <a:prstGeom prst="line">
                          <a:avLst/>
                        </a:prstGeom>
                        <a:noFill/>
                        <a:ln w="335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52EFE3" id="Line 1431" o:spid="_x0000_s1026" style="position:absolute;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1pt,667.45pt" to="411.35pt,667.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" strokeweight=".93264mm">
                <o:lock v:ext="edit" shapetype="f"/>
                <w10:wrap anchorx="page" anchory="page"/>
              </v:line>
            </w:pict>
          </mc:Fallback>
        </mc:AlternateContent>
      </w:r>
    </w:p>
    <w:p w:rsidR="00E675F0" w:rsidRDefault="00E675F0" w:rsidP="00E675F0">
      <w:pPr>
        <w:pStyle w:val="BodyText"/>
      </w:pPr>
    </w:p>
    <w:p w:rsidR="00E675F0" w:rsidRDefault="00E675F0" w:rsidP="00E675F0">
      <w:pPr>
        <w:pStyle w:val="BodyText"/>
        <w:spacing w:before="3"/>
        <w:rPr>
          <w:sz w:val="12"/>
        </w:rPr>
      </w:pPr>
    </w:p>
    <w:tbl>
      <w:tblPr>
        <w:tblW w:w="0" w:type="auto"/>
        <w:tblInd w:w="244"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7341"/>
      </w:tblGrid>
      <w:tr w:rsidR="00E675F0" w:rsidTr="00A330E1">
        <w:trPr>
          <w:trHeight w:val="3694"/>
        </w:trPr>
        <w:tc>
          <w:tcPr>
            <w:tcW w:w="7341" w:type="dxa"/>
          </w:tcPr>
          <w:p w:rsidR="00E675F0" w:rsidRDefault="00E675F0" w:rsidP="00A330E1">
            <w:pPr>
              <w:pStyle w:val="TableParagraph"/>
              <w:spacing w:before="69" w:line="405" w:lineRule="exact"/>
              <w:ind w:left="266"/>
              <w:rPr>
                <w:rFonts w:ascii="Arial" w:hAnsi="Arial"/>
                <w:b/>
              </w:rPr>
            </w:pPr>
            <w:bookmarkStart w:id="87" w:name="_bookmark70"/>
            <w:bookmarkEnd w:id="87"/>
            <w:r>
              <w:rPr>
                <w:rFonts w:ascii="Arial" w:hAnsi="Arial"/>
                <w:w w:val="105"/>
                <w:sz w:val="36"/>
              </w:rPr>
              <w:t xml:space="preserve">□ </w:t>
            </w:r>
            <w:r>
              <w:rPr>
                <w:rFonts w:ascii="Arial" w:hAnsi="Arial"/>
                <w:b/>
                <w:w w:val="105"/>
              </w:rPr>
              <w:t>Diagnostic criteria for Substance Withdrawal Delirium</w:t>
            </w:r>
          </w:p>
          <w:p w:rsidR="00E675F0" w:rsidRDefault="00E675F0" w:rsidP="00A330E1">
            <w:pPr>
              <w:pStyle w:val="TableParagraph"/>
              <w:spacing w:line="244" w:lineRule="exact"/>
              <w:ind w:left="591"/>
              <w:rPr>
                <w:rFonts w:ascii="Arial"/>
                <w:i/>
              </w:rPr>
            </w:pPr>
            <w:r>
              <w:rPr>
                <w:rFonts w:ascii="Arial"/>
                <w:i/>
              </w:rPr>
              <w:t>(continued)</w:t>
            </w:r>
          </w:p>
          <w:p w:rsidR="00E675F0" w:rsidRDefault="00E675F0" w:rsidP="00A330E1">
            <w:pPr>
              <w:pStyle w:val="TableParagraph"/>
              <w:spacing w:before="209" w:line="256" w:lineRule="auto"/>
              <w:ind w:left="956" w:right="222" w:hanging="297"/>
              <w:jc w:val="both"/>
              <w:rPr>
                <w:sz w:val="20"/>
              </w:rPr>
            </w:pPr>
            <w:r>
              <w:rPr>
                <w:w w:val="105"/>
                <w:sz w:val="20"/>
              </w:rPr>
              <w:t>D. There is evidence from the history, physical examination, or laboratory findings that the symptoms in Criteria A and B developed during, or shortly after, a withdrawal syndrome.</w:t>
            </w:r>
          </w:p>
          <w:p w:rsidR="00E675F0" w:rsidRDefault="00E675F0" w:rsidP="00A330E1">
            <w:pPr>
              <w:pStyle w:val="TableParagraph"/>
              <w:spacing w:before="112" w:line="247" w:lineRule="auto"/>
              <w:ind w:left="645" w:right="235" w:firstLine="5"/>
              <w:jc w:val="both"/>
              <w:rPr>
                <w:sz w:val="18"/>
              </w:rPr>
            </w:pPr>
            <w:r>
              <w:rPr>
                <w:b/>
                <w:w w:val="105"/>
                <w:sz w:val="17"/>
              </w:rPr>
              <w:t xml:space="preserve">Note: </w:t>
            </w:r>
            <w:r>
              <w:rPr>
                <w:w w:val="105"/>
                <w:sz w:val="18"/>
              </w:rPr>
              <w:t>This diagnosis should be made instead of a diagnosis of Substance Withdrawal only when the cognitive symptoms are in excess of those usually associated with the withdrawal syndrome and when the symptoms are sufficiently severe to warrant independent clinical</w:t>
            </w:r>
            <w:r>
              <w:rPr>
                <w:spacing w:val="30"/>
                <w:w w:val="105"/>
                <w:sz w:val="18"/>
              </w:rPr>
              <w:t xml:space="preserve"> </w:t>
            </w:r>
            <w:r>
              <w:rPr>
                <w:w w:val="105"/>
                <w:sz w:val="18"/>
              </w:rPr>
              <w:t>attention.</w:t>
            </w:r>
          </w:p>
          <w:p w:rsidR="00E675F0" w:rsidRDefault="00E675F0" w:rsidP="00A330E1">
            <w:pPr>
              <w:pStyle w:val="TableParagraph"/>
              <w:spacing w:before="134"/>
              <w:ind w:left="403"/>
              <w:rPr>
                <w:rFonts w:ascii="Arial"/>
                <w:sz w:val="18"/>
              </w:rPr>
            </w:pPr>
            <w:r>
              <w:rPr>
                <w:i/>
                <w:w w:val="105"/>
                <w:sz w:val="20"/>
              </w:rPr>
              <w:t xml:space="preserve">Code </w:t>
            </w:r>
            <w:r>
              <w:rPr>
                <w:rFonts w:ascii="Arial"/>
                <w:w w:val="105"/>
                <w:sz w:val="18"/>
              </w:rPr>
              <w:t>[Specific Substancej Withdrawal</w:t>
            </w:r>
            <w:r>
              <w:rPr>
                <w:rFonts w:ascii="Arial"/>
                <w:spacing w:val="-5"/>
                <w:w w:val="105"/>
                <w:sz w:val="18"/>
              </w:rPr>
              <w:t xml:space="preserve"> </w:t>
            </w:r>
            <w:r>
              <w:rPr>
                <w:rFonts w:ascii="Arial"/>
                <w:w w:val="105"/>
                <w:sz w:val="18"/>
              </w:rPr>
              <w:t>Delirium:</w:t>
            </w:r>
          </w:p>
          <w:p w:rsidR="00E675F0" w:rsidRDefault="00E675F0" w:rsidP="00A330E1">
            <w:pPr>
              <w:pStyle w:val="TableParagraph"/>
              <w:spacing w:before="10" w:line="256" w:lineRule="auto"/>
              <w:ind w:left="651" w:right="229" w:hanging="3"/>
              <w:jc w:val="both"/>
              <w:rPr>
                <w:sz w:val="20"/>
              </w:rPr>
            </w:pPr>
            <w:r>
              <w:rPr>
                <w:w w:val="105"/>
                <w:sz w:val="20"/>
              </w:rPr>
              <w:t>(291.0 Alcohol; 292.81 Sedative, Hypnotic, or Anxiolytic; 292.81 Other [or Unknown] Substance)</w:t>
            </w:r>
          </w:p>
        </w:tc>
      </w:tr>
    </w:tbl>
    <w:p w:rsidR="00E675F0" w:rsidRDefault="00E675F0" w:rsidP="00E675F0">
      <w:pPr>
        <w:pStyle w:val="BodyText"/>
      </w:pPr>
    </w:p>
    <w:p w:rsidR="00E675F0" w:rsidRDefault="00E675F0" w:rsidP="00E675F0">
      <w:pPr>
        <w:pStyle w:val="BodyText"/>
        <w:spacing w:before="1"/>
        <w:rPr>
          <w:sz w:val="23"/>
        </w:rPr>
      </w:pPr>
    </w:p>
    <w:p w:rsidR="00E675F0" w:rsidRDefault="00E675F0" w:rsidP="00E675F0">
      <w:pPr>
        <w:spacing w:before="89"/>
        <w:ind w:left="1205" w:right="1186"/>
        <w:jc w:val="center"/>
        <w:rPr>
          <w:b/>
          <w:sz w:val="28"/>
        </w:rPr>
      </w:pPr>
      <w:r>
        <w:rPr>
          <w:noProof/>
        </w:rPr>
        <mc:AlternateContent>
          <mc:Choice Requires="wps">
            <w:drawing>
              <wp:anchor distT="0" distB="0" distL="114300" distR="114300" simplePos="0" relativeHeight="251695104" behindDoc="0" locked="0" layoutInCell="1" allowOverlap="1" wp14:anchorId="53FED932" wp14:editId="72DF35FE">
                <wp:simplePos x="0" y="0"/>
                <wp:positionH relativeFrom="page">
                  <wp:posOffset>513715</wp:posOffset>
                </wp:positionH>
                <wp:positionV relativeFrom="paragraph">
                  <wp:posOffset>-266065</wp:posOffset>
                </wp:positionV>
                <wp:extent cx="0" cy="0"/>
                <wp:effectExtent l="0" t="0" r="0" b="0"/>
                <wp:wrapNone/>
                <wp:docPr id="1474" name="Line 14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305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4F913F" id="Line 1430" o:spid="_x0000_s1026" style="position:absolute;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45pt,-20.95pt" to="40.45pt,-20.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" strokeweight=".84856mm">
                <o:lock v:ext="edit" shapetype="f"/>
                <w10:wrap anchorx="page"/>
              </v:line>
            </w:pict>
          </mc:Fallback>
        </mc:AlternateContent>
      </w:r>
      <w:r>
        <w:rPr>
          <w:b/>
          <w:w w:val="105"/>
          <w:sz w:val="28"/>
        </w:rPr>
        <w:t>Delirium Due to Multiple Etiologies</w:t>
      </w:r>
    </w:p>
    <w:p w:rsidR="00E675F0" w:rsidRDefault="00E675F0" w:rsidP="00E675F0">
      <w:pPr>
        <w:pStyle w:val="BodyText"/>
        <w:spacing w:before="5"/>
        <w:rPr>
          <w:b/>
          <w:sz w:val="29"/>
        </w:rPr>
      </w:pPr>
    </w:p>
    <w:p w:rsidR="00E675F0" w:rsidRDefault="00E675F0" w:rsidP="00E675F0">
      <w:pPr>
        <w:pStyle w:val="BodyText"/>
        <w:spacing w:line="252" w:lineRule="auto"/>
        <w:ind w:left="139" w:right="125" w:hanging="4"/>
        <w:jc w:val="both"/>
      </w:pPr>
      <w:r>
        <w:rPr>
          <w:w w:val="105"/>
        </w:rPr>
        <w:t>The Delirium Due to Multiple Etiologies category is included to alert clinicians to the common situation in which the delirium has more than one etiology. There may be more than one general medical condition etiologically related to the delirium (e.g., Delirium Due to Hepatic Encephalopathy, Delirium Due to Head Trauma), or the delirium  may be due to the combined effects of a general medical condition (e.g., viral encephalitis) and substance use (e.g., Alcohol</w:t>
      </w:r>
      <w:r>
        <w:rPr>
          <w:spacing w:val="17"/>
          <w:w w:val="105"/>
        </w:rPr>
        <w:t xml:space="preserve"> </w:t>
      </w:r>
      <w:r>
        <w:rPr>
          <w:w w:val="105"/>
        </w:rPr>
        <w:t>Withdrawal).</w:t>
      </w:r>
    </w:p>
    <w:p w:rsidR="00E675F0" w:rsidRDefault="00E675F0" w:rsidP="00E675F0">
      <w:pPr>
        <w:pStyle w:val="BodyText"/>
        <w:rPr>
          <w:sz w:val="22"/>
        </w:rPr>
      </w:pPr>
    </w:p>
    <w:p w:rsidR="00E675F0" w:rsidRDefault="00E675F0" w:rsidP="00E675F0">
      <w:pPr>
        <w:pStyle w:val="BodyText"/>
        <w:spacing w:before="2"/>
      </w:pPr>
    </w:p>
    <w:p w:rsidR="00E675F0" w:rsidRDefault="00E675F0" w:rsidP="00E675F0">
      <w:pPr>
        <w:ind w:left="124"/>
        <w:jc w:val="both"/>
        <w:rPr>
          <w:rFonts w:ascii="TimesNewRomanPS-BoldItalicMT"/>
          <w:b/>
          <w:i/>
          <w:sz w:val="24"/>
        </w:rPr>
      </w:pPr>
      <w:r>
        <w:rPr>
          <w:rFonts w:ascii="TimesNewRomanPS-BoldItalicMT"/>
          <w:b/>
          <w:i/>
          <w:w w:val="115"/>
          <w:sz w:val="24"/>
        </w:rPr>
        <w:t>Recording Procedures</w:t>
      </w:r>
    </w:p>
    <w:p w:rsidR="00E675F0" w:rsidRDefault="00E675F0" w:rsidP="00E675F0">
      <w:pPr>
        <w:pStyle w:val="BodyText"/>
        <w:spacing w:before="170" w:line="254" w:lineRule="auto"/>
        <w:ind w:left="138" w:right="128" w:firstLine="4"/>
        <w:jc w:val="both"/>
      </w:pPr>
      <w:r>
        <w:rPr>
          <w:w w:val="110"/>
        </w:rPr>
        <w:t>Delirium Due to Multiple Etiologies does not have its own separate code and should not be recorded as a diagnosis. For example, to code a delirium due to both hepatic encephalopathy and withdrawal from alcohol, the clinician would list both 293.0 Delirium</w:t>
      </w:r>
      <w:r>
        <w:rPr>
          <w:spacing w:val="-8"/>
          <w:w w:val="110"/>
        </w:rPr>
        <w:t xml:space="preserve"> </w:t>
      </w:r>
      <w:r>
        <w:rPr>
          <w:w w:val="110"/>
        </w:rPr>
        <w:t>Due</w:t>
      </w:r>
      <w:r>
        <w:rPr>
          <w:spacing w:val="-13"/>
          <w:w w:val="110"/>
        </w:rPr>
        <w:t xml:space="preserve"> </w:t>
      </w:r>
      <w:r>
        <w:rPr>
          <w:w w:val="110"/>
        </w:rPr>
        <w:t>to</w:t>
      </w:r>
      <w:r>
        <w:rPr>
          <w:spacing w:val="-16"/>
          <w:w w:val="110"/>
        </w:rPr>
        <w:t xml:space="preserve"> </w:t>
      </w:r>
      <w:r>
        <w:rPr>
          <w:w w:val="110"/>
        </w:rPr>
        <w:t>Hepatic</w:t>
      </w:r>
      <w:r>
        <w:rPr>
          <w:spacing w:val="-11"/>
          <w:w w:val="110"/>
        </w:rPr>
        <w:t xml:space="preserve"> </w:t>
      </w:r>
      <w:r>
        <w:rPr>
          <w:w w:val="110"/>
        </w:rPr>
        <w:t>Encephalopathy</w:t>
      </w:r>
      <w:r>
        <w:rPr>
          <w:spacing w:val="-17"/>
          <w:w w:val="110"/>
        </w:rPr>
        <w:t xml:space="preserve"> </w:t>
      </w:r>
      <w:r>
        <w:rPr>
          <w:w w:val="110"/>
        </w:rPr>
        <w:t>and</w:t>
      </w:r>
      <w:r>
        <w:rPr>
          <w:spacing w:val="-13"/>
          <w:w w:val="110"/>
        </w:rPr>
        <w:t xml:space="preserve"> </w:t>
      </w:r>
      <w:r>
        <w:rPr>
          <w:w w:val="110"/>
        </w:rPr>
        <w:t>291.0</w:t>
      </w:r>
      <w:r>
        <w:rPr>
          <w:spacing w:val="-12"/>
          <w:w w:val="110"/>
        </w:rPr>
        <w:t xml:space="preserve"> </w:t>
      </w:r>
      <w:r>
        <w:rPr>
          <w:w w:val="110"/>
        </w:rPr>
        <w:t>Alcohol</w:t>
      </w:r>
      <w:r>
        <w:rPr>
          <w:spacing w:val="-10"/>
          <w:w w:val="110"/>
        </w:rPr>
        <w:t xml:space="preserve"> </w:t>
      </w:r>
      <w:r>
        <w:rPr>
          <w:w w:val="110"/>
        </w:rPr>
        <w:t>Withdrawal</w:t>
      </w:r>
      <w:r>
        <w:rPr>
          <w:spacing w:val="-2"/>
          <w:w w:val="110"/>
        </w:rPr>
        <w:t xml:space="preserve"> </w:t>
      </w:r>
      <w:r>
        <w:rPr>
          <w:w w:val="110"/>
        </w:rPr>
        <w:t>Delirium</w:t>
      </w:r>
      <w:r>
        <w:rPr>
          <w:spacing w:val="-11"/>
          <w:w w:val="110"/>
        </w:rPr>
        <w:t xml:space="preserve"> </w:t>
      </w:r>
      <w:r>
        <w:rPr>
          <w:w w:val="110"/>
        </w:rPr>
        <w:t>on Axis I and 572.2 hepatic encephalopathy on Axis</w:t>
      </w:r>
      <w:r>
        <w:rPr>
          <w:spacing w:val="41"/>
          <w:w w:val="110"/>
        </w:rPr>
        <w:t xml:space="preserve"> </w:t>
      </w:r>
      <w:r>
        <w:rPr>
          <w:w w:val="110"/>
        </w:rPr>
        <w:t>III.</w:t>
      </w:r>
    </w:p>
    <w:p w:rsidR="00E675F0" w:rsidRDefault="00E675F0" w:rsidP="00E675F0">
      <w:pPr>
        <w:pStyle w:val="BodyText"/>
        <w:spacing w:before="7"/>
        <w:rPr>
          <w:sz w:val="29"/>
        </w:rPr>
      </w:pPr>
    </w:p>
    <w:tbl>
      <w:tblPr>
        <w:tblW w:w="0" w:type="auto"/>
        <w:tblInd w:w="249"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7332"/>
      </w:tblGrid>
      <w:tr w:rsidR="00E675F0" w:rsidTr="00A330E1">
        <w:trPr>
          <w:trHeight w:val="2737"/>
        </w:trPr>
        <w:tc>
          <w:tcPr>
            <w:tcW w:w="7332" w:type="dxa"/>
          </w:tcPr>
          <w:p w:rsidR="00E675F0" w:rsidRDefault="00E675F0" w:rsidP="003048D3">
            <w:pPr>
              <w:pStyle w:val="TableParagraph"/>
              <w:numPr>
                <w:ilvl w:val="0"/>
                <w:numId w:val="64"/>
              </w:numPr>
              <w:tabs>
                <w:tab w:val="left" w:pos="626"/>
              </w:tabs>
              <w:spacing w:before="41" w:line="206" w:lineRule="auto"/>
              <w:ind w:right="1073"/>
              <w:rPr>
                <w:rFonts w:ascii="Arial" w:hAnsi="Arial"/>
                <w:b/>
                <w:sz w:val="24"/>
              </w:rPr>
            </w:pPr>
            <w:r>
              <w:rPr>
                <w:rFonts w:ascii="Arial" w:hAnsi="Arial"/>
                <w:b/>
                <w:w w:val="105"/>
                <w:sz w:val="24"/>
              </w:rPr>
              <w:t>Diagnostic criteria for Delirium Due to Multiple Etiologies</w:t>
            </w:r>
          </w:p>
          <w:p w:rsidR="00E675F0" w:rsidRDefault="00E675F0" w:rsidP="003048D3">
            <w:pPr>
              <w:pStyle w:val="TableParagraph"/>
              <w:numPr>
                <w:ilvl w:val="1"/>
                <w:numId w:val="64"/>
              </w:numPr>
              <w:tabs>
                <w:tab w:val="left" w:pos="958"/>
              </w:tabs>
              <w:spacing w:before="231" w:line="256" w:lineRule="auto"/>
              <w:ind w:right="221" w:hanging="307"/>
              <w:jc w:val="both"/>
              <w:rPr>
                <w:sz w:val="20"/>
              </w:rPr>
            </w:pPr>
            <w:r>
              <w:rPr>
                <w:w w:val="105"/>
                <w:sz w:val="20"/>
              </w:rPr>
              <w:t>Disturbance of consciousness (i.e., reduced clarity of awareness of the environment) with reduced ability to focus, sustain, or shift</w:t>
            </w:r>
            <w:r>
              <w:rPr>
                <w:spacing w:val="12"/>
                <w:w w:val="105"/>
                <w:sz w:val="20"/>
              </w:rPr>
              <w:t xml:space="preserve"> </w:t>
            </w:r>
            <w:r>
              <w:rPr>
                <w:w w:val="105"/>
                <w:sz w:val="20"/>
              </w:rPr>
              <w:t>attention.</w:t>
            </w:r>
          </w:p>
          <w:p w:rsidR="00E675F0" w:rsidRDefault="00E675F0" w:rsidP="003048D3">
            <w:pPr>
              <w:pStyle w:val="TableParagraph"/>
              <w:numPr>
                <w:ilvl w:val="1"/>
                <w:numId w:val="64"/>
              </w:numPr>
              <w:tabs>
                <w:tab w:val="left" w:pos="955"/>
              </w:tabs>
              <w:spacing w:before="186" w:line="256" w:lineRule="auto"/>
              <w:ind w:left="954" w:right="224" w:hanging="305"/>
              <w:jc w:val="both"/>
              <w:rPr>
                <w:sz w:val="20"/>
              </w:rPr>
            </w:pPr>
            <w:r>
              <w:rPr>
                <w:w w:val="105"/>
                <w:sz w:val="20"/>
              </w:rPr>
              <w:t>A change in cognition (such as memory deficit, disorientation, language disturbance) or the development of a perceptual disturbance that is not better accounted for by a preexisting, established, or evolving</w:t>
            </w:r>
            <w:r>
              <w:rPr>
                <w:spacing w:val="1"/>
                <w:w w:val="105"/>
                <w:sz w:val="20"/>
              </w:rPr>
              <w:t xml:space="preserve"> </w:t>
            </w:r>
            <w:r>
              <w:rPr>
                <w:w w:val="105"/>
                <w:sz w:val="20"/>
              </w:rPr>
              <w:t>dementia.</w:t>
            </w:r>
          </w:p>
          <w:p w:rsidR="00E675F0" w:rsidRDefault="00E675F0" w:rsidP="00A330E1">
            <w:pPr>
              <w:pStyle w:val="TableParagraph"/>
              <w:spacing w:before="7"/>
              <w:ind w:left="6018"/>
              <w:jc w:val="both"/>
              <w:rPr>
                <w:i/>
                <w:sz w:val="19"/>
              </w:rPr>
            </w:pPr>
            <w:r>
              <w:rPr>
                <w:i/>
                <w:w w:val="115"/>
                <w:sz w:val="19"/>
              </w:rPr>
              <w:t>( continued)</w:t>
            </w:r>
          </w:p>
        </w:tc>
      </w:tr>
    </w:tbl>
    <w:p w:rsidR="00E675F0" w:rsidRDefault="00E675F0" w:rsidP="00E675F0">
      <w:pPr>
        <w:jc w:val="both"/>
        <w:rPr>
          <w:sz w:val="19"/>
        </w:rPr>
        <w:sectPr w:rsidR="00E675F0">
          <w:pgSz w:w="8960" w:h="14260"/>
          <w:pgMar w:top="920" w:right="600" w:bottom="280" w:left="600" w:header="693" w:footer="0" w:gutter="0"/>
          <w:cols w:space="720"/>
        </w:sectPr>
      </w:pPr>
    </w:p>
    <w:p w:rsidR="00E675F0" w:rsidRDefault="00E675F0" w:rsidP="00E675F0">
      <w:pPr>
        <w:pStyle w:val="BodyText"/>
      </w:pPr>
      <w:r>
        <w:rPr>
          <w:noProof/>
        </w:rPr>
        <w:lastRenderedPageBreak/>
        <mc:AlternateContent>
          <mc:Choice Requires="wps">
            <w:drawing>
              <wp:anchor distT="0" distB="0" distL="114300" distR="114300" simplePos="0" relativeHeight="251697152" behindDoc="0" locked="0" layoutInCell="1" allowOverlap="1" wp14:anchorId="78274183" wp14:editId="150942B1">
                <wp:simplePos x="0" y="0"/>
                <wp:positionH relativeFrom="page">
                  <wp:posOffset>464185</wp:posOffset>
                </wp:positionH>
                <wp:positionV relativeFrom="page">
                  <wp:posOffset>979805</wp:posOffset>
                </wp:positionV>
                <wp:extent cx="4752975" cy="0"/>
                <wp:effectExtent l="0" t="12700" r="9525" b="0"/>
                <wp:wrapNone/>
                <wp:docPr id="1473" name="Line 14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752975" cy="0"/>
                        </a:xfrm>
                        <a:prstGeom prst="line">
                          <a:avLst/>
                        </a:prstGeom>
                        <a:noFill/>
                        <a:ln w="305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1FE81D" id="Line 1429" o:spid="_x0000_s1026" style="position:absolute;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55pt,77.15pt" to="410.8pt,77.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" strokeweight=".84781mm">
                <o:lock v:ext="edit" shapetype="f"/>
                <w10:wrap anchorx="page" anchory="page"/>
              </v:line>
            </w:pict>
          </mc:Fallback>
        </mc:AlternateContent>
      </w:r>
    </w:p>
    <w:p w:rsidR="00E675F0" w:rsidRDefault="00E675F0" w:rsidP="00E675F0">
      <w:pPr>
        <w:pStyle w:val="BodyText"/>
        <w:spacing w:before="3"/>
        <w:rPr>
          <w:sz w:val="27"/>
        </w:rPr>
      </w:pPr>
    </w:p>
    <w:tbl>
      <w:tblPr>
        <w:tblW w:w="0" w:type="auto"/>
        <w:tblInd w:w="234"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7326"/>
      </w:tblGrid>
      <w:tr w:rsidR="00E675F0" w:rsidTr="00A330E1">
        <w:trPr>
          <w:trHeight w:val="3564"/>
        </w:trPr>
        <w:tc>
          <w:tcPr>
            <w:tcW w:w="7326" w:type="dxa"/>
          </w:tcPr>
          <w:p w:rsidR="00E675F0" w:rsidRDefault="00E675F0" w:rsidP="003048D3">
            <w:pPr>
              <w:pStyle w:val="TableParagraph"/>
              <w:numPr>
                <w:ilvl w:val="0"/>
                <w:numId w:val="63"/>
              </w:numPr>
              <w:tabs>
                <w:tab w:val="left" w:pos="598"/>
              </w:tabs>
              <w:spacing w:before="65" w:line="402" w:lineRule="exact"/>
              <w:ind w:hanging="342"/>
              <w:rPr>
                <w:b/>
                <w:sz w:val="24"/>
              </w:rPr>
            </w:pPr>
            <w:bookmarkStart w:id="88" w:name="_bookmark71"/>
            <w:bookmarkEnd w:id="88"/>
            <w:r>
              <w:rPr>
                <w:b/>
                <w:w w:val="105"/>
                <w:sz w:val="24"/>
              </w:rPr>
              <w:t>Diagnostic criteria for Delirium Due to Multiple</w:t>
            </w:r>
            <w:r>
              <w:rPr>
                <w:b/>
                <w:spacing w:val="-4"/>
                <w:w w:val="105"/>
                <w:sz w:val="24"/>
              </w:rPr>
              <w:t xml:space="preserve"> </w:t>
            </w:r>
            <w:r>
              <w:rPr>
                <w:b/>
                <w:w w:val="105"/>
                <w:sz w:val="24"/>
              </w:rPr>
              <w:t>Etiologies</w:t>
            </w:r>
          </w:p>
          <w:p w:rsidR="00E675F0" w:rsidRDefault="00E675F0" w:rsidP="00A330E1">
            <w:pPr>
              <w:pStyle w:val="TableParagraph"/>
              <w:spacing w:line="241" w:lineRule="exact"/>
              <w:ind w:left="596"/>
              <w:rPr>
                <w:rFonts w:ascii="Arial"/>
                <w:i/>
              </w:rPr>
            </w:pPr>
            <w:r>
              <w:rPr>
                <w:rFonts w:ascii="Arial"/>
                <w:w w:val="95"/>
              </w:rPr>
              <w:t>(</w:t>
            </w:r>
            <w:r>
              <w:rPr>
                <w:rFonts w:ascii="Arial"/>
                <w:i/>
                <w:w w:val="95"/>
              </w:rPr>
              <w:t>continued)</w:t>
            </w:r>
          </w:p>
          <w:p w:rsidR="00E675F0" w:rsidRDefault="00E675F0" w:rsidP="00A330E1">
            <w:pPr>
              <w:pStyle w:val="TableParagraph"/>
              <w:spacing w:before="208" w:line="256" w:lineRule="auto"/>
              <w:ind w:left="954" w:right="214" w:hanging="305"/>
              <w:jc w:val="both"/>
              <w:rPr>
                <w:sz w:val="20"/>
              </w:rPr>
            </w:pPr>
            <w:r>
              <w:rPr>
                <w:rFonts w:ascii="Arial"/>
                <w:w w:val="105"/>
                <w:sz w:val="17"/>
              </w:rPr>
              <w:t xml:space="preserve">C. </w:t>
            </w:r>
            <w:r>
              <w:rPr>
                <w:w w:val="105"/>
                <w:sz w:val="20"/>
              </w:rPr>
              <w:t>The disturbance develops over a short period of time (usually hours to days) and tends to fluctuate during the course of the day.</w:t>
            </w:r>
          </w:p>
          <w:p w:rsidR="00E675F0" w:rsidRDefault="00E675F0" w:rsidP="00A330E1">
            <w:pPr>
              <w:pStyle w:val="TableParagraph"/>
              <w:spacing w:before="186" w:line="256" w:lineRule="auto"/>
              <w:ind w:left="948" w:right="223" w:hanging="295"/>
              <w:jc w:val="both"/>
              <w:rPr>
                <w:sz w:val="20"/>
              </w:rPr>
            </w:pPr>
            <w:r>
              <w:rPr>
                <w:w w:val="105"/>
                <w:sz w:val="20"/>
              </w:rPr>
              <w:t>D. There is evidence from the history, physical examination, or laboratory findings that the delirium has more than one etiology (e.g., more than one etiological general medical condition, a general medical condition plus Substance Intoxication or medication side effect).</w:t>
            </w:r>
          </w:p>
          <w:p w:rsidR="00E675F0" w:rsidRDefault="00E675F0" w:rsidP="00A330E1">
            <w:pPr>
              <w:pStyle w:val="TableParagraph"/>
              <w:spacing w:before="130" w:line="247" w:lineRule="auto"/>
              <w:ind w:left="647" w:right="226" w:hanging="2"/>
              <w:jc w:val="both"/>
              <w:rPr>
                <w:sz w:val="18"/>
              </w:rPr>
            </w:pPr>
            <w:r>
              <w:rPr>
                <w:b/>
                <w:w w:val="105"/>
                <w:sz w:val="18"/>
              </w:rPr>
              <w:t xml:space="preserve">Coding note: </w:t>
            </w:r>
            <w:r>
              <w:rPr>
                <w:w w:val="105"/>
                <w:sz w:val="18"/>
              </w:rPr>
              <w:t>Use multiple codes reflecting specific delirium and specific etiolo­ gies, e.g., 293.0 Delirium Due to Viral Encephalitis; 291.0 Alcohol Withdrawal Delirium.</w:t>
            </w:r>
          </w:p>
        </w:tc>
      </w:tr>
    </w:tbl>
    <w:p w:rsidR="00E675F0" w:rsidRDefault="00E675F0" w:rsidP="00E675F0">
      <w:pPr>
        <w:pStyle w:val="BodyText"/>
      </w:pPr>
    </w:p>
    <w:p w:rsidR="00E675F0" w:rsidRDefault="00E675F0" w:rsidP="00E675F0">
      <w:pPr>
        <w:pStyle w:val="BodyText"/>
        <w:spacing w:before="6"/>
        <w:rPr>
          <w:sz w:val="24"/>
        </w:rPr>
      </w:pPr>
    </w:p>
    <w:p w:rsidR="00E675F0" w:rsidRDefault="00E675F0" w:rsidP="00E675F0">
      <w:pPr>
        <w:tabs>
          <w:tab w:val="left" w:pos="2276"/>
        </w:tabs>
        <w:spacing w:before="92"/>
        <w:ind w:left="1212"/>
        <w:rPr>
          <w:rFonts w:ascii="Arial"/>
          <w:b/>
          <w:sz w:val="26"/>
        </w:rPr>
      </w:pPr>
      <w:r>
        <w:rPr>
          <w:noProof/>
        </w:rPr>
        <mc:AlternateContent>
          <mc:Choice Requires="wps">
            <w:drawing>
              <wp:anchor distT="0" distB="0" distL="114300" distR="114300" simplePos="0" relativeHeight="251698176" behindDoc="0" locked="0" layoutInCell="1" allowOverlap="1" wp14:anchorId="1F503CC5" wp14:editId="64381B72">
                <wp:simplePos x="0" y="0"/>
                <wp:positionH relativeFrom="page">
                  <wp:posOffset>464185</wp:posOffset>
                </wp:positionH>
                <wp:positionV relativeFrom="paragraph">
                  <wp:posOffset>-342265</wp:posOffset>
                </wp:positionV>
                <wp:extent cx="4752975" cy="0"/>
                <wp:effectExtent l="0" t="12700" r="22225" b="12700"/>
                <wp:wrapNone/>
                <wp:docPr id="1472" name="Line 14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752975" cy="0"/>
                        </a:xfrm>
                        <a:prstGeom prst="line">
                          <a:avLst/>
                        </a:prstGeom>
                        <a:noFill/>
                        <a:ln w="3357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192C00" id="Line 1428" o:spid="_x0000_s1026" style="position:absolute;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55pt,-26.95pt" to="410.8pt,-2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" strokeweight=".93258mm">
                <o:lock v:ext="edit" shapetype="f"/>
                <w10:wrap anchorx="page"/>
              </v:line>
            </w:pict>
          </mc:Fallback>
        </mc:AlternateContent>
      </w:r>
      <w:r>
        <w:rPr>
          <w:rFonts w:ascii="Arial"/>
          <w:b/>
          <w:w w:val="105"/>
          <w:sz w:val="26"/>
        </w:rPr>
        <w:t>780.09</w:t>
      </w:r>
      <w:r>
        <w:rPr>
          <w:rFonts w:ascii="Arial"/>
          <w:b/>
          <w:w w:val="105"/>
          <w:sz w:val="26"/>
        </w:rPr>
        <w:tab/>
        <w:t>Delirium Not Otherwise</w:t>
      </w:r>
      <w:r>
        <w:rPr>
          <w:rFonts w:ascii="Arial"/>
          <w:b/>
          <w:spacing w:val="-2"/>
          <w:w w:val="105"/>
          <w:sz w:val="26"/>
        </w:rPr>
        <w:t xml:space="preserve"> </w:t>
      </w:r>
      <w:r>
        <w:rPr>
          <w:rFonts w:ascii="Arial"/>
          <w:b/>
          <w:w w:val="105"/>
          <w:sz w:val="26"/>
        </w:rPr>
        <w:t>Specified</w:t>
      </w:r>
    </w:p>
    <w:p w:rsidR="00E675F0" w:rsidRDefault="00E675F0" w:rsidP="00E675F0">
      <w:pPr>
        <w:pStyle w:val="BodyText"/>
        <w:spacing w:before="7"/>
        <w:rPr>
          <w:rFonts w:ascii="Arial"/>
          <w:b/>
          <w:sz w:val="31"/>
        </w:rPr>
      </w:pPr>
    </w:p>
    <w:p w:rsidR="00E675F0" w:rsidRDefault="00E675F0" w:rsidP="00E675F0">
      <w:pPr>
        <w:pStyle w:val="BodyText"/>
        <w:spacing w:before="1" w:line="256" w:lineRule="auto"/>
        <w:ind w:left="133" w:right="156" w:hanging="4"/>
        <w:jc w:val="both"/>
      </w:pPr>
      <w:r>
        <w:rPr>
          <w:w w:val="105"/>
        </w:rPr>
        <w:t>This category should be used to diagnose a delirium that does not meet criteria for any of the specific types of delirium described in this</w:t>
      </w:r>
      <w:r>
        <w:rPr>
          <w:spacing w:val="51"/>
          <w:w w:val="105"/>
        </w:rPr>
        <w:t xml:space="preserve"> </w:t>
      </w:r>
      <w:r>
        <w:rPr>
          <w:w w:val="105"/>
        </w:rPr>
        <w:t>section.</w:t>
      </w:r>
    </w:p>
    <w:p w:rsidR="00E675F0" w:rsidRDefault="00E675F0" w:rsidP="00E675F0">
      <w:pPr>
        <w:pStyle w:val="BodyText"/>
        <w:spacing w:line="228" w:lineRule="exact"/>
        <w:ind w:left="492"/>
      </w:pPr>
      <w:r>
        <w:rPr>
          <w:w w:val="105"/>
        </w:rPr>
        <w:t>Examples include</w:t>
      </w:r>
    </w:p>
    <w:p w:rsidR="00E675F0" w:rsidRDefault="00E675F0" w:rsidP="003048D3">
      <w:pPr>
        <w:pStyle w:val="ListParagraph"/>
        <w:numPr>
          <w:ilvl w:val="2"/>
          <w:numId w:val="68"/>
        </w:numPr>
        <w:tabs>
          <w:tab w:val="left" w:pos="799"/>
        </w:tabs>
        <w:spacing w:before="193" w:line="256" w:lineRule="auto"/>
        <w:ind w:right="160" w:hanging="310"/>
        <w:jc w:val="both"/>
        <w:rPr>
          <w:sz w:val="20"/>
        </w:rPr>
      </w:pPr>
      <w:r>
        <w:rPr>
          <w:w w:val="105"/>
          <w:sz w:val="20"/>
        </w:rPr>
        <w:t>A</w:t>
      </w:r>
      <w:r>
        <w:rPr>
          <w:spacing w:val="-17"/>
          <w:w w:val="105"/>
          <w:sz w:val="20"/>
        </w:rPr>
        <w:t xml:space="preserve"> </w:t>
      </w:r>
      <w:r>
        <w:rPr>
          <w:w w:val="105"/>
          <w:sz w:val="20"/>
        </w:rPr>
        <w:t>clinical</w:t>
      </w:r>
      <w:r>
        <w:rPr>
          <w:spacing w:val="5"/>
          <w:w w:val="105"/>
          <w:sz w:val="20"/>
        </w:rPr>
        <w:t xml:space="preserve"> </w:t>
      </w:r>
      <w:r>
        <w:rPr>
          <w:w w:val="105"/>
          <w:sz w:val="20"/>
        </w:rPr>
        <w:t>presentation</w:t>
      </w:r>
      <w:r>
        <w:rPr>
          <w:spacing w:val="6"/>
          <w:w w:val="105"/>
          <w:sz w:val="20"/>
        </w:rPr>
        <w:t xml:space="preserve"> </w:t>
      </w:r>
      <w:r>
        <w:rPr>
          <w:w w:val="105"/>
          <w:sz w:val="20"/>
        </w:rPr>
        <w:t>of</w:t>
      </w:r>
      <w:r>
        <w:rPr>
          <w:spacing w:val="-8"/>
          <w:w w:val="105"/>
          <w:sz w:val="20"/>
        </w:rPr>
        <w:t xml:space="preserve"> </w:t>
      </w:r>
      <w:r>
        <w:rPr>
          <w:w w:val="105"/>
          <w:sz w:val="20"/>
        </w:rPr>
        <w:t>delirium</w:t>
      </w:r>
      <w:r>
        <w:rPr>
          <w:spacing w:val="-6"/>
          <w:w w:val="105"/>
          <w:sz w:val="20"/>
        </w:rPr>
        <w:t xml:space="preserve"> </w:t>
      </w:r>
      <w:r>
        <w:rPr>
          <w:w w:val="105"/>
          <w:sz w:val="20"/>
        </w:rPr>
        <w:t>that</w:t>
      </w:r>
      <w:r>
        <w:rPr>
          <w:spacing w:val="-10"/>
          <w:w w:val="105"/>
          <w:sz w:val="20"/>
        </w:rPr>
        <w:t xml:space="preserve"> </w:t>
      </w:r>
      <w:r>
        <w:rPr>
          <w:w w:val="105"/>
          <w:sz w:val="20"/>
        </w:rPr>
        <w:t>is</w:t>
      </w:r>
      <w:r>
        <w:rPr>
          <w:spacing w:val="-25"/>
          <w:w w:val="105"/>
          <w:sz w:val="20"/>
        </w:rPr>
        <w:t xml:space="preserve"> </w:t>
      </w:r>
      <w:r>
        <w:rPr>
          <w:w w:val="105"/>
          <w:sz w:val="20"/>
        </w:rPr>
        <w:t>suspected</w:t>
      </w:r>
      <w:r>
        <w:rPr>
          <w:spacing w:val="2"/>
          <w:w w:val="105"/>
          <w:sz w:val="20"/>
        </w:rPr>
        <w:t xml:space="preserve"> </w:t>
      </w:r>
      <w:r>
        <w:rPr>
          <w:w w:val="105"/>
          <w:sz w:val="20"/>
        </w:rPr>
        <w:t>to</w:t>
      </w:r>
      <w:r>
        <w:rPr>
          <w:spacing w:val="-14"/>
          <w:w w:val="105"/>
          <w:sz w:val="20"/>
        </w:rPr>
        <w:t xml:space="preserve"> </w:t>
      </w:r>
      <w:r>
        <w:rPr>
          <w:w w:val="105"/>
          <w:sz w:val="20"/>
        </w:rPr>
        <w:t>be</w:t>
      </w:r>
      <w:r>
        <w:rPr>
          <w:spacing w:val="-14"/>
          <w:w w:val="105"/>
          <w:sz w:val="20"/>
        </w:rPr>
        <w:t xml:space="preserve"> </w:t>
      </w:r>
      <w:r>
        <w:rPr>
          <w:w w:val="105"/>
          <w:sz w:val="20"/>
        </w:rPr>
        <w:t>due</w:t>
      </w:r>
      <w:r>
        <w:rPr>
          <w:spacing w:val="-7"/>
          <w:w w:val="105"/>
          <w:sz w:val="20"/>
        </w:rPr>
        <w:t xml:space="preserve"> </w:t>
      </w:r>
      <w:r>
        <w:rPr>
          <w:w w:val="105"/>
          <w:sz w:val="20"/>
        </w:rPr>
        <w:t>to</w:t>
      </w:r>
      <w:r>
        <w:rPr>
          <w:spacing w:val="-17"/>
          <w:w w:val="105"/>
          <w:sz w:val="20"/>
        </w:rPr>
        <w:t xml:space="preserve"> </w:t>
      </w:r>
      <w:r>
        <w:rPr>
          <w:w w:val="105"/>
          <w:sz w:val="20"/>
        </w:rPr>
        <w:t>a</w:t>
      </w:r>
      <w:r>
        <w:rPr>
          <w:spacing w:val="-15"/>
          <w:w w:val="105"/>
          <w:sz w:val="20"/>
        </w:rPr>
        <w:t xml:space="preserve"> </w:t>
      </w:r>
      <w:r>
        <w:rPr>
          <w:w w:val="105"/>
          <w:sz w:val="20"/>
        </w:rPr>
        <w:t>general</w:t>
      </w:r>
      <w:r>
        <w:rPr>
          <w:spacing w:val="-8"/>
          <w:w w:val="105"/>
          <w:sz w:val="20"/>
        </w:rPr>
        <w:t xml:space="preserve"> </w:t>
      </w:r>
      <w:r>
        <w:rPr>
          <w:w w:val="105"/>
          <w:sz w:val="20"/>
        </w:rPr>
        <w:t>medical condition</w:t>
      </w:r>
      <w:r>
        <w:rPr>
          <w:spacing w:val="-4"/>
          <w:w w:val="105"/>
          <w:sz w:val="20"/>
        </w:rPr>
        <w:t xml:space="preserve"> </w:t>
      </w:r>
      <w:r>
        <w:rPr>
          <w:w w:val="105"/>
          <w:sz w:val="20"/>
        </w:rPr>
        <w:t>or</w:t>
      </w:r>
      <w:r>
        <w:rPr>
          <w:spacing w:val="-21"/>
          <w:w w:val="105"/>
          <w:sz w:val="20"/>
        </w:rPr>
        <w:t xml:space="preserve"> </w:t>
      </w:r>
      <w:r>
        <w:rPr>
          <w:w w:val="105"/>
          <w:sz w:val="20"/>
        </w:rPr>
        <w:t>substance</w:t>
      </w:r>
      <w:r>
        <w:rPr>
          <w:spacing w:val="-6"/>
          <w:w w:val="105"/>
          <w:sz w:val="20"/>
        </w:rPr>
        <w:t xml:space="preserve"> </w:t>
      </w:r>
      <w:r>
        <w:rPr>
          <w:w w:val="105"/>
          <w:sz w:val="20"/>
        </w:rPr>
        <w:t>use</w:t>
      </w:r>
      <w:r>
        <w:rPr>
          <w:spacing w:val="-11"/>
          <w:w w:val="105"/>
          <w:sz w:val="20"/>
        </w:rPr>
        <w:t xml:space="preserve"> </w:t>
      </w:r>
      <w:r>
        <w:rPr>
          <w:w w:val="105"/>
          <w:sz w:val="20"/>
        </w:rPr>
        <w:t>but</w:t>
      </w:r>
      <w:r>
        <w:rPr>
          <w:spacing w:val="-17"/>
          <w:w w:val="105"/>
          <w:sz w:val="20"/>
        </w:rPr>
        <w:t xml:space="preserve"> </w:t>
      </w:r>
      <w:r>
        <w:rPr>
          <w:w w:val="105"/>
          <w:sz w:val="20"/>
        </w:rPr>
        <w:t>for</w:t>
      </w:r>
      <w:r>
        <w:rPr>
          <w:spacing w:val="-16"/>
          <w:w w:val="105"/>
          <w:sz w:val="20"/>
        </w:rPr>
        <w:t xml:space="preserve"> </w:t>
      </w:r>
      <w:r>
        <w:rPr>
          <w:w w:val="105"/>
          <w:sz w:val="20"/>
        </w:rPr>
        <w:t>which</w:t>
      </w:r>
      <w:r>
        <w:rPr>
          <w:spacing w:val="-12"/>
          <w:w w:val="105"/>
          <w:sz w:val="20"/>
        </w:rPr>
        <w:t xml:space="preserve"> </w:t>
      </w:r>
      <w:r>
        <w:rPr>
          <w:w w:val="105"/>
          <w:sz w:val="20"/>
        </w:rPr>
        <w:t>there</w:t>
      </w:r>
      <w:r>
        <w:rPr>
          <w:spacing w:val="-10"/>
          <w:w w:val="105"/>
          <w:sz w:val="20"/>
        </w:rPr>
        <w:t xml:space="preserve"> </w:t>
      </w:r>
      <w:r>
        <w:rPr>
          <w:w w:val="105"/>
          <w:sz w:val="20"/>
        </w:rPr>
        <w:t>is</w:t>
      </w:r>
      <w:r>
        <w:rPr>
          <w:spacing w:val="-21"/>
          <w:w w:val="105"/>
          <w:sz w:val="20"/>
        </w:rPr>
        <w:t xml:space="preserve"> </w:t>
      </w:r>
      <w:r>
        <w:rPr>
          <w:w w:val="105"/>
          <w:sz w:val="20"/>
        </w:rPr>
        <w:t>insufficient</w:t>
      </w:r>
      <w:r>
        <w:rPr>
          <w:spacing w:val="5"/>
          <w:w w:val="105"/>
          <w:sz w:val="20"/>
        </w:rPr>
        <w:t xml:space="preserve"> </w:t>
      </w:r>
      <w:r>
        <w:rPr>
          <w:w w:val="105"/>
          <w:sz w:val="20"/>
        </w:rPr>
        <w:t>evidence</w:t>
      </w:r>
      <w:r>
        <w:rPr>
          <w:spacing w:val="-11"/>
          <w:w w:val="105"/>
          <w:sz w:val="20"/>
        </w:rPr>
        <w:t xml:space="preserve"> </w:t>
      </w:r>
      <w:r>
        <w:rPr>
          <w:w w:val="105"/>
          <w:sz w:val="20"/>
        </w:rPr>
        <w:t>to</w:t>
      </w:r>
      <w:r>
        <w:rPr>
          <w:spacing w:val="-19"/>
          <w:w w:val="105"/>
          <w:sz w:val="20"/>
        </w:rPr>
        <w:t xml:space="preserve"> </w:t>
      </w:r>
      <w:r>
        <w:rPr>
          <w:w w:val="105"/>
          <w:sz w:val="20"/>
        </w:rPr>
        <w:t>establish a specific</w:t>
      </w:r>
      <w:r>
        <w:rPr>
          <w:spacing w:val="8"/>
          <w:w w:val="105"/>
          <w:sz w:val="20"/>
        </w:rPr>
        <w:t xml:space="preserve"> </w:t>
      </w:r>
      <w:r>
        <w:rPr>
          <w:w w:val="105"/>
          <w:sz w:val="20"/>
        </w:rPr>
        <w:t>etiology</w:t>
      </w:r>
    </w:p>
    <w:p w:rsidR="00E675F0" w:rsidRDefault="00E675F0" w:rsidP="003048D3">
      <w:pPr>
        <w:pStyle w:val="ListParagraph"/>
        <w:numPr>
          <w:ilvl w:val="2"/>
          <w:numId w:val="68"/>
        </w:numPr>
        <w:tabs>
          <w:tab w:val="left" w:pos="802"/>
        </w:tabs>
        <w:spacing w:line="222" w:lineRule="exact"/>
        <w:ind w:left="801" w:hanging="301"/>
        <w:jc w:val="both"/>
        <w:rPr>
          <w:rFonts w:ascii="Arial"/>
          <w:sz w:val="17"/>
        </w:rPr>
      </w:pPr>
      <w:r>
        <w:rPr>
          <w:w w:val="105"/>
          <w:sz w:val="20"/>
        </w:rPr>
        <w:t>Delirium</w:t>
      </w:r>
      <w:r>
        <w:rPr>
          <w:spacing w:val="16"/>
          <w:w w:val="105"/>
          <w:sz w:val="20"/>
        </w:rPr>
        <w:t xml:space="preserve"> </w:t>
      </w:r>
      <w:r>
        <w:rPr>
          <w:w w:val="105"/>
          <w:sz w:val="20"/>
        </w:rPr>
        <w:t>due</w:t>
      </w:r>
      <w:r>
        <w:rPr>
          <w:spacing w:val="40"/>
          <w:w w:val="105"/>
          <w:sz w:val="20"/>
        </w:rPr>
        <w:t xml:space="preserve"> </w:t>
      </w:r>
      <w:r>
        <w:rPr>
          <w:w w:val="105"/>
          <w:sz w:val="20"/>
        </w:rPr>
        <w:t>to</w:t>
      </w:r>
      <w:r>
        <w:rPr>
          <w:spacing w:val="2"/>
          <w:w w:val="105"/>
          <w:sz w:val="20"/>
        </w:rPr>
        <w:t xml:space="preserve"> </w:t>
      </w:r>
      <w:r>
        <w:rPr>
          <w:w w:val="105"/>
          <w:sz w:val="20"/>
        </w:rPr>
        <w:t>causes</w:t>
      </w:r>
      <w:r>
        <w:rPr>
          <w:spacing w:val="17"/>
          <w:w w:val="105"/>
          <w:sz w:val="20"/>
        </w:rPr>
        <w:t xml:space="preserve"> </w:t>
      </w:r>
      <w:r>
        <w:rPr>
          <w:w w:val="105"/>
          <w:sz w:val="20"/>
        </w:rPr>
        <w:t>not</w:t>
      </w:r>
      <w:r>
        <w:rPr>
          <w:spacing w:val="8"/>
          <w:w w:val="105"/>
          <w:sz w:val="20"/>
        </w:rPr>
        <w:t xml:space="preserve"> </w:t>
      </w:r>
      <w:r>
        <w:rPr>
          <w:w w:val="105"/>
          <w:sz w:val="20"/>
        </w:rPr>
        <w:t>listed</w:t>
      </w:r>
      <w:r>
        <w:rPr>
          <w:spacing w:val="14"/>
          <w:w w:val="105"/>
          <w:sz w:val="20"/>
        </w:rPr>
        <w:t xml:space="preserve"> </w:t>
      </w:r>
      <w:r>
        <w:rPr>
          <w:w w:val="105"/>
          <w:sz w:val="20"/>
        </w:rPr>
        <w:t>in</w:t>
      </w:r>
      <w:r>
        <w:rPr>
          <w:spacing w:val="12"/>
          <w:w w:val="105"/>
          <w:sz w:val="20"/>
        </w:rPr>
        <w:t xml:space="preserve"> </w:t>
      </w:r>
      <w:r>
        <w:rPr>
          <w:w w:val="105"/>
          <w:sz w:val="20"/>
        </w:rPr>
        <w:t>this</w:t>
      </w:r>
      <w:r>
        <w:rPr>
          <w:spacing w:val="1"/>
          <w:w w:val="105"/>
          <w:sz w:val="20"/>
        </w:rPr>
        <w:t xml:space="preserve"> </w:t>
      </w:r>
      <w:r>
        <w:rPr>
          <w:w w:val="105"/>
          <w:sz w:val="20"/>
        </w:rPr>
        <w:t>section</w:t>
      </w:r>
      <w:r>
        <w:rPr>
          <w:spacing w:val="14"/>
          <w:w w:val="105"/>
          <w:sz w:val="20"/>
        </w:rPr>
        <w:t xml:space="preserve"> </w:t>
      </w:r>
      <w:r>
        <w:rPr>
          <w:w w:val="105"/>
          <w:sz w:val="20"/>
        </w:rPr>
        <w:t>(e.g.,</w:t>
      </w:r>
      <w:r>
        <w:rPr>
          <w:spacing w:val="9"/>
          <w:w w:val="105"/>
          <w:sz w:val="20"/>
        </w:rPr>
        <w:t xml:space="preserve"> </w:t>
      </w:r>
      <w:r>
        <w:rPr>
          <w:w w:val="105"/>
          <w:sz w:val="20"/>
        </w:rPr>
        <w:t>sensory</w:t>
      </w:r>
      <w:r>
        <w:rPr>
          <w:spacing w:val="10"/>
          <w:w w:val="105"/>
          <w:sz w:val="20"/>
        </w:rPr>
        <w:t xml:space="preserve"> </w:t>
      </w:r>
      <w:r>
        <w:rPr>
          <w:w w:val="105"/>
          <w:sz w:val="20"/>
        </w:rPr>
        <w:t>deprivation)</w:t>
      </w:r>
    </w:p>
    <w:p w:rsidR="00E675F0" w:rsidRDefault="00E675F0" w:rsidP="00E675F0">
      <w:pPr>
        <w:pStyle w:val="BodyText"/>
      </w:pPr>
    </w:p>
    <w:p w:rsidR="00E675F0" w:rsidRDefault="00E675F0" w:rsidP="00E675F0">
      <w:pPr>
        <w:pStyle w:val="BodyText"/>
      </w:pPr>
    </w:p>
    <w:p w:rsidR="00E675F0" w:rsidRDefault="00E675F0" w:rsidP="00E675F0">
      <w:pPr>
        <w:pStyle w:val="BodyText"/>
      </w:pPr>
    </w:p>
    <w:p w:rsidR="00E675F0" w:rsidRDefault="00E675F0" w:rsidP="00E675F0">
      <w:pPr>
        <w:pStyle w:val="BodyText"/>
        <w:rPr>
          <w:sz w:val="13"/>
        </w:rPr>
      </w:pPr>
      <w:r>
        <w:rPr>
          <w:noProof/>
        </w:rPr>
        <mc:AlternateContent>
          <mc:Choice Requires="wps">
            <w:drawing>
              <wp:anchor distT="0" distB="0" distL="0" distR="0" simplePos="0" relativeHeight="251858944" behindDoc="1" locked="0" layoutInCell="1" allowOverlap="1" wp14:anchorId="5781C200" wp14:editId="27FC4ED2">
                <wp:simplePos x="0" y="0"/>
                <wp:positionH relativeFrom="page">
                  <wp:posOffset>476250</wp:posOffset>
                </wp:positionH>
                <wp:positionV relativeFrom="paragraph">
                  <wp:posOffset>123190</wp:posOffset>
                </wp:positionV>
                <wp:extent cx="1931035" cy="1270"/>
                <wp:effectExtent l="0" t="0" r="0" b="0"/>
                <wp:wrapTopAndBottom/>
                <wp:docPr id="1471" name="Freeform 1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31035" cy="1270"/>
                        </a:xfrm>
                        <a:custGeom>
                          <a:avLst/>
                          <a:gdLst>
                            <a:gd name="T0" fmla="+- 0 750 750"/>
                            <a:gd name="T1" fmla="*/ T0 w 3041"/>
                            <a:gd name="T2" fmla="+- 0 3791 750"/>
                            <a:gd name="T3" fmla="*/ T2 w 3041"/>
                          </a:gdLst>
                          <a:ahLst/>
                          <a:cxnLst>
                            <a:cxn ang="0">
                              <a:pos x="T1" y="0"/>
                            </a:cxn>
                            <a:cxn ang="0">
                              <a:pos x="T3" y="0"/>
                            </a:cxn>
                          </a:cxnLst>
                          <a:rect l="0" t="0" r="r" b="b"/>
                          <a:pathLst>
                            <a:path w="3041">
                              <a:moveTo>
                                <a:pt x="0" y="0"/>
                              </a:moveTo>
                              <a:lnTo>
                                <a:pt x="3041" y="0"/>
                              </a:lnTo>
                            </a:path>
                          </a:pathLst>
                        </a:custGeom>
                        <a:noFill/>
                        <a:ln w="61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35842" id="Freeform 1427" o:spid="_x0000_s1026" style="position:absolute;margin-left:37.5pt;margin-top:9.7pt;width:152.05pt;height:.1pt;z-index:-251457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04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" path="m,l3041,e" filled="f" strokeweight=".16956mm">
                <v:path arrowok="t" o:connecttype="custom" o:connectlocs="0,0;1931035,0" o:connectangles="0,0"/>
                <w10:wrap type="topAndBottom" anchorx="page"/>
              </v:shape>
            </w:pict>
          </mc:Fallback>
        </mc:AlternateContent>
      </w:r>
      <w:r>
        <w:rPr>
          <w:noProof/>
        </w:rPr>
        <mc:AlternateContent>
          <mc:Choice Requires="wps">
            <w:drawing>
              <wp:anchor distT="0" distB="0" distL="0" distR="0" simplePos="0" relativeHeight="251859968" behindDoc="1" locked="0" layoutInCell="1" allowOverlap="1" wp14:anchorId="15689972" wp14:editId="68D36501">
                <wp:simplePos x="0" y="0"/>
                <wp:positionH relativeFrom="page">
                  <wp:posOffset>3408680</wp:posOffset>
                </wp:positionH>
                <wp:positionV relativeFrom="paragraph">
                  <wp:posOffset>123190</wp:posOffset>
                </wp:positionV>
                <wp:extent cx="1796415" cy="1270"/>
                <wp:effectExtent l="0" t="0" r="0" b="0"/>
                <wp:wrapTopAndBottom/>
                <wp:docPr id="1470" name="Freeform 1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6415" cy="1270"/>
                        </a:xfrm>
                        <a:custGeom>
                          <a:avLst/>
                          <a:gdLst>
                            <a:gd name="T0" fmla="+- 0 5368 5368"/>
                            <a:gd name="T1" fmla="*/ T0 w 2829"/>
                            <a:gd name="T2" fmla="+- 0 8197 5368"/>
                            <a:gd name="T3" fmla="*/ T2 w 2829"/>
                          </a:gdLst>
                          <a:ahLst/>
                          <a:cxnLst>
                            <a:cxn ang="0">
                              <a:pos x="T1" y="0"/>
                            </a:cxn>
                            <a:cxn ang="0">
                              <a:pos x="T3" y="0"/>
                            </a:cxn>
                          </a:cxnLst>
                          <a:rect l="0" t="0" r="r" b="b"/>
                          <a:pathLst>
                            <a:path w="2829">
                              <a:moveTo>
                                <a:pt x="0" y="0"/>
                              </a:moveTo>
                              <a:lnTo>
                                <a:pt x="2829" y="0"/>
                              </a:lnTo>
                            </a:path>
                          </a:pathLst>
                        </a:custGeom>
                        <a:noFill/>
                        <a:ln w="61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341D9D" id="Freeform 1426" o:spid="_x0000_s1026" style="position:absolute;margin-left:268.4pt;margin-top:9.7pt;width:141.45pt;height:.1pt;z-index:-251456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29,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" path="m,l2829,e" filled="f" strokeweight=".16956mm">
                <v:path arrowok="t" o:connecttype="custom" o:connectlocs="0,0;1796415,0" o:connectangles="0,0"/>
                <w10:wrap type="topAndBottom" anchorx="page"/>
              </v:shape>
            </w:pict>
          </mc:Fallback>
        </mc:AlternateContent>
      </w:r>
    </w:p>
    <w:p w:rsidR="00E675F0" w:rsidRDefault="00E675F0" w:rsidP="00E675F0">
      <w:pPr>
        <w:spacing w:before="116"/>
        <w:ind w:left="1180" w:right="1189"/>
        <w:jc w:val="center"/>
        <w:rPr>
          <w:rFonts w:ascii="Arial"/>
          <w:b/>
          <w:sz w:val="26"/>
        </w:rPr>
      </w:pPr>
      <w:r>
        <w:rPr>
          <w:rFonts w:ascii="Arial"/>
          <w:b/>
          <w:color w:val="181818"/>
          <w:w w:val="105"/>
          <w:sz w:val="26"/>
        </w:rPr>
        <w:t>Dementia</w:t>
      </w:r>
    </w:p>
    <w:p w:rsidR="00E675F0" w:rsidRDefault="00E675F0" w:rsidP="00E675F0">
      <w:pPr>
        <w:pStyle w:val="BodyText"/>
        <w:rPr>
          <w:rFonts w:ascii="Arial"/>
          <w:b/>
          <w:sz w:val="32"/>
        </w:rPr>
      </w:pPr>
    </w:p>
    <w:p w:rsidR="00E675F0" w:rsidRDefault="00E675F0" w:rsidP="00E675F0">
      <w:pPr>
        <w:spacing w:before="1" w:line="254" w:lineRule="auto"/>
        <w:ind w:left="126" w:right="152" w:hanging="1"/>
        <w:jc w:val="both"/>
        <w:rPr>
          <w:sz w:val="20"/>
        </w:rPr>
      </w:pPr>
      <w:r>
        <w:rPr>
          <w:w w:val="105"/>
          <w:sz w:val="20"/>
        </w:rPr>
        <w:t>The</w:t>
      </w:r>
      <w:r>
        <w:rPr>
          <w:spacing w:val="-16"/>
          <w:w w:val="105"/>
          <w:sz w:val="20"/>
        </w:rPr>
        <w:t xml:space="preserve"> </w:t>
      </w:r>
      <w:r>
        <w:rPr>
          <w:w w:val="105"/>
          <w:sz w:val="20"/>
        </w:rPr>
        <w:t>disorders</w:t>
      </w:r>
      <w:r>
        <w:rPr>
          <w:spacing w:val="-11"/>
          <w:w w:val="105"/>
          <w:sz w:val="20"/>
        </w:rPr>
        <w:t xml:space="preserve"> </w:t>
      </w:r>
      <w:r>
        <w:rPr>
          <w:w w:val="105"/>
          <w:sz w:val="20"/>
        </w:rPr>
        <w:t>in</w:t>
      </w:r>
      <w:r>
        <w:rPr>
          <w:spacing w:val="-15"/>
          <w:w w:val="105"/>
          <w:sz w:val="20"/>
        </w:rPr>
        <w:t xml:space="preserve"> </w:t>
      </w:r>
      <w:r>
        <w:rPr>
          <w:w w:val="105"/>
          <w:sz w:val="20"/>
        </w:rPr>
        <w:t>the</w:t>
      </w:r>
      <w:r>
        <w:rPr>
          <w:spacing w:val="-19"/>
          <w:w w:val="105"/>
          <w:sz w:val="20"/>
        </w:rPr>
        <w:t xml:space="preserve"> </w:t>
      </w:r>
      <w:r>
        <w:rPr>
          <w:w w:val="105"/>
          <w:sz w:val="20"/>
        </w:rPr>
        <w:t>"Dementia"</w:t>
      </w:r>
      <w:r>
        <w:rPr>
          <w:spacing w:val="-5"/>
          <w:w w:val="105"/>
          <w:sz w:val="20"/>
        </w:rPr>
        <w:t xml:space="preserve"> </w:t>
      </w:r>
      <w:r>
        <w:rPr>
          <w:w w:val="105"/>
          <w:sz w:val="20"/>
        </w:rPr>
        <w:t>section</w:t>
      </w:r>
      <w:r>
        <w:rPr>
          <w:spacing w:val="-6"/>
          <w:w w:val="105"/>
          <w:sz w:val="20"/>
        </w:rPr>
        <w:t xml:space="preserve"> </w:t>
      </w:r>
      <w:r>
        <w:rPr>
          <w:w w:val="105"/>
          <w:sz w:val="20"/>
        </w:rPr>
        <w:t>are</w:t>
      </w:r>
      <w:r>
        <w:rPr>
          <w:spacing w:val="-13"/>
          <w:w w:val="105"/>
          <w:sz w:val="20"/>
        </w:rPr>
        <w:t xml:space="preserve"> </w:t>
      </w:r>
      <w:r>
        <w:rPr>
          <w:w w:val="105"/>
          <w:sz w:val="20"/>
        </w:rPr>
        <w:t>characterized</w:t>
      </w:r>
      <w:r>
        <w:rPr>
          <w:spacing w:val="11"/>
          <w:w w:val="105"/>
          <w:sz w:val="20"/>
        </w:rPr>
        <w:t xml:space="preserve"> </w:t>
      </w:r>
      <w:r>
        <w:rPr>
          <w:w w:val="105"/>
          <w:sz w:val="20"/>
        </w:rPr>
        <w:t>by</w:t>
      </w:r>
      <w:r>
        <w:rPr>
          <w:spacing w:val="-18"/>
          <w:w w:val="105"/>
          <w:sz w:val="20"/>
        </w:rPr>
        <w:t xml:space="preserve"> </w:t>
      </w:r>
      <w:r>
        <w:rPr>
          <w:w w:val="105"/>
          <w:sz w:val="20"/>
        </w:rPr>
        <w:t>the</w:t>
      </w:r>
      <w:r>
        <w:rPr>
          <w:spacing w:val="-13"/>
          <w:w w:val="105"/>
          <w:sz w:val="20"/>
        </w:rPr>
        <w:t xml:space="preserve"> </w:t>
      </w:r>
      <w:r>
        <w:rPr>
          <w:w w:val="105"/>
          <w:sz w:val="20"/>
        </w:rPr>
        <w:t>development of</w:t>
      </w:r>
      <w:r>
        <w:rPr>
          <w:spacing w:val="-5"/>
          <w:w w:val="105"/>
          <w:sz w:val="20"/>
        </w:rPr>
        <w:t xml:space="preserve"> </w:t>
      </w:r>
      <w:r>
        <w:rPr>
          <w:w w:val="105"/>
          <w:sz w:val="20"/>
        </w:rPr>
        <w:t>multiple cognitive</w:t>
      </w:r>
      <w:r>
        <w:rPr>
          <w:spacing w:val="-2"/>
          <w:w w:val="105"/>
          <w:sz w:val="20"/>
        </w:rPr>
        <w:t xml:space="preserve"> </w:t>
      </w:r>
      <w:r>
        <w:rPr>
          <w:w w:val="105"/>
          <w:sz w:val="20"/>
        </w:rPr>
        <w:t>deficits</w:t>
      </w:r>
      <w:r>
        <w:rPr>
          <w:spacing w:val="-9"/>
          <w:w w:val="105"/>
          <w:sz w:val="20"/>
        </w:rPr>
        <w:t xml:space="preserve"> </w:t>
      </w:r>
      <w:r>
        <w:rPr>
          <w:w w:val="105"/>
          <w:sz w:val="20"/>
        </w:rPr>
        <w:t>(including</w:t>
      </w:r>
      <w:r>
        <w:rPr>
          <w:spacing w:val="6"/>
          <w:w w:val="105"/>
          <w:sz w:val="20"/>
        </w:rPr>
        <w:t xml:space="preserve"> </w:t>
      </w:r>
      <w:r>
        <w:rPr>
          <w:w w:val="105"/>
          <w:sz w:val="20"/>
        </w:rPr>
        <w:t>memory</w:t>
      </w:r>
      <w:r>
        <w:rPr>
          <w:spacing w:val="-5"/>
          <w:w w:val="105"/>
          <w:sz w:val="20"/>
        </w:rPr>
        <w:t xml:space="preserve"> </w:t>
      </w:r>
      <w:r>
        <w:rPr>
          <w:w w:val="105"/>
          <w:sz w:val="20"/>
        </w:rPr>
        <w:t>impairment)</w:t>
      </w:r>
      <w:r>
        <w:rPr>
          <w:spacing w:val="-3"/>
          <w:w w:val="105"/>
          <w:sz w:val="20"/>
        </w:rPr>
        <w:t xml:space="preserve"> </w:t>
      </w:r>
      <w:r>
        <w:rPr>
          <w:w w:val="105"/>
          <w:sz w:val="20"/>
        </w:rPr>
        <w:t>that</w:t>
      </w:r>
      <w:r>
        <w:rPr>
          <w:spacing w:val="-8"/>
          <w:w w:val="105"/>
          <w:sz w:val="20"/>
        </w:rPr>
        <w:t xml:space="preserve"> </w:t>
      </w:r>
      <w:r>
        <w:rPr>
          <w:w w:val="105"/>
          <w:sz w:val="20"/>
        </w:rPr>
        <w:t>are</w:t>
      </w:r>
      <w:r>
        <w:rPr>
          <w:spacing w:val="-15"/>
          <w:w w:val="105"/>
          <w:sz w:val="20"/>
        </w:rPr>
        <w:t xml:space="preserve"> </w:t>
      </w:r>
      <w:r>
        <w:rPr>
          <w:w w:val="105"/>
          <w:sz w:val="20"/>
        </w:rPr>
        <w:t>due</w:t>
      </w:r>
      <w:r>
        <w:rPr>
          <w:spacing w:val="2"/>
          <w:w w:val="105"/>
          <w:sz w:val="20"/>
        </w:rPr>
        <w:t xml:space="preserve"> </w:t>
      </w:r>
      <w:r>
        <w:rPr>
          <w:w w:val="105"/>
          <w:sz w:val="20"/>
        </w:rPr>
        <w:t>to</w:t>
      </w:r>
      <w:r>
        <w:rPr>
          <w:spacing w:val="-14"/>
          <w:w w:val="105"/>
          <w:sz w:val="20"/>
        </w:rPr>
        <w:t xml:space="preserve"> </w:t>
      </w:r>
      <w:r>
        <w:rPr>
          <w:w w:val="105"/>
          <w:sz w:val="20"/>
        </w:rPr>
        <w:t>the</w:t>
      </w:r>
      <w:r>
        <w:rPr>
          <w:spacing w:val="-11"/>
          <w:w w:val="105"/>
          <w:sz w:val="20"/>
        </w:rPr>
        <w:t xml:space="preserve"> </w:t>
      </w:r>
      <w:r>
        <w:rPr>
          <w:w w:val="105"/>
          <w:sz w:val="20"/>
        </w:rPr>
        <w:t>direct</w:t>
      </w:r>
      <w:r>
        <w:rPr>
          <w:spacing w:val="-3"/>
          <w:w w:val="105"/>
          <w:sz w:val="20"/>
        </w:rPr>
        <w:t xml:space="preserve"> </w:t>
      </w:r>
      <w:r>
        <w:rPr>
          <w:w w:val="105"/>
          <w:sz w:val="20"/>
        </w:rPr>
        <w:t>physiological effects of a general medical condition, to the persisting effects of a substance, or to multiple</w:t>
      </w:r>
      <w:r>
        <w:rPr>
          <w:spacing w:val="-8"/>
          <w:w w:val="105"/>
          <w:sz w:val="20"/>
        </w:rPr>
        <w:t xml:space="preserve"> </w:t>
      </w:r>
      <w:r>
        <w:rPr>
          <w:w w:val="105"/>
          <w:sz w:val="20"/>
        </w:rPr>
        <w:t>etiologies</w:t>
      </w:r>
      <w:r>
        <w:rPr>
          <w:spacing w:val="-3"/>
          <w:w w:val="105"/>
          <w:sz w:val="20"/>
        </w:rPr>
        <w:t xml:space="preserve"> </w:t>
      </w:r>
      <w:r>
        <w:rPr>
          <w:w w:val="105"/>
          <w:sz w:val="20"/>
        </w:rPr>
        <w:t>(e.g.,</w:t>
      </w:r>
      <w:r>
        <w:rPr>
          <w:spacing w:val="-7"/>
          <w:w w:val="105"/>
          <w:sz w:val="20"/>
        </w:rPr>
        <w:t xml:space="preserve"> </w:t>
      </w:r>
      <w:r>
        <w:rPr>
          <w:w w:val="105"/>
          <w:sz w:val="20"/>
        </w:rPr>
        <w:t>the</w:t>
      </w:r>
      <w:r>
        <w:rPr>
          <w:spacing w:val="-20"/>
          <w:w w:val="105"/>
          <w:sz w:val="20"/>
        </w:rPr>
        <w:t xml:space="preserve"> </w:t>
      </w:r>
      <w:r>
        <w:rPr>
          <w:w w:val="105"/>
          <w:sz w:val="20"/>
        </w:rPr>
        <w:t>combined</w:t>
      </w:r>
      <w:r>
        <w:rPr>
          <w:spacing w:val="-5"/>
          <w:w w:val="105"/>
          <w:sz w:val="20"/>
        </w:rPr>
        <w:t xml:space="preserve"> </w:t>
      </w:r>
      <w:r>
        <w:rPr>
          <w:w w:val="105"/>
          <w:sz w:val="20"/>
        </w:rPr>
        <w:t>effects</w:t>
      </w:r>
      <w:r>
        <w:rPr>
          <w:spacing w:val="-11"/>
          <w:w w:val="105"/>
          <w:sz w:val="20"/>
        </w:rPr>
        <w:t xml:space="preserve"> </w:t>
      </w:r>
      <w:r>
        <w:rPr>
          <w:w w:val="105"/>
          <w:sz w:val="20"/>
        </w:rPr>
        <w:t>of</w:t>
      </w:r>
      <w:r>
        <w:rPr>
          <w:spacing w:val="-13"/>
          <w:w w:val="105"/>
          <w:sz w:val="20"/>
        </w:rPr>
        <w:t xml:space="preserve"> </w:t>
      </w:r>
      <w:r>
        <w:rPr>
          <w:w w:val="105"/>
          <w:sz w:val="20"/>
        </w:rPr>
        <w:t>cerebrovascular</w:t>
      </w:r>
      <w:r>
        <w:rPr>
          <w:spacing w:val="-30"/>
          <w:w w:val="105"/>
          <w:sz w:val="20"/>
        </w:rPr>
        <w:t xml:space="preserve"> </w:t>
      </w:r>
      <w:r>
        <w:rPr>
          <w:w w:val="105"/>
          <w:sz w:val="20"/>
        </w:rPr>
        <w:t>disease</w:t>
      </w:r>
      <w:r>
        <w:rPr>
          <w:spacing w:val="-20"/>
          <w:w w:val="105"/>
          <w:sz w:val="20"/>
        </w:rPr>
        <w:t xml:space="preserve"> </w:t>
      </w:r>
      <w:r>
        <w:rPr>
          <w:w w:val="105"/>
          <w:sz w:val="20"/>
        </w:rPr>
        <w:t>and</w:t>
      </w:r>
      <w:r>
        <w:rPr>
          <w:spacing w:val="-21"/>
          <w:w w:val="105"/>
          <w:sz w:val="20"/>
        </w:rPr>
        <w:t xml:space="preserve"> </w:t>
      </w:r>
      <w:r>
        <w:rPr>
          <w:w w:val="105"/>
          <w:sz w:val="20"/>
        </w:rPr>
        <w:t xml:space="preserve">Alzheimer's disease). The disorders in this section share a common symptom presentation but are differentiated based on etiology. The diagnostic features listed in the next section pertain to </w:t>
      </w:r>
      <w:r>
        <w:rPr>
          <w:b/>
          <w:w w:val="105"/>
          <w:sz w:val="20"/>
        </w:rPr>
        <w:t xml:space="preserve">Dementia of the Alzheimer's Type, Vascular Dementia, Dementia Due to HIV Disease, Dementia Due to Head Trauma, Dementia Due to Parkinson's Disease, Dementia Due to Huntington's Disease, Dementia Due to Pick's Disease,  Demen­ tia Due to Creutzfeldt-Jakob Disease, Dementia Due to Other General Medical Conditions, Substance-Induced Persisting Dementia, </w:t>
      </w:r>
      <w:r>
        <w:rPr>
          <w:w w:val="105"/>
          <w:sz w:val="20"/>
        </w:rPr>
        <w:t xml:space="preserve">and </w:t>
      </w:r>
      <w:r>
        <w:rPr>
          <w:b/>
          <w:w w:val="105"/>
          <w:sz w:val="20"/>
        </w:rPr>
        <w:t xml:space="preserve">Dementia Due to Mul­ tiple Etiologies. </w:t>
      </w:r>
      <w:r>
        <w:rPr>
          <w:w w:val="105"/>
          <w:sz w:val="20"/>
        </w:rPr>
        <w:t xml:space="preserve">In addition, </w:t>
      </w:r>
      <w:r>
        <w:rPr>
          <w:b/>
          <w:w w:val="105"/>
          <w:sz w:val="20"/>
        </w:rPr>
        <w:t xml:space="preserve">Dementia Not Otherwise Specified </w:t>
      </w:r>
      <w:r>
        <w:rPr>
          <w:w w:val="105"/>
          <w:sz w:val="20"/>
        </w:rPr>
        <w:t>is included in this section for presentations in which the clinician is unable to determine a specific etiology for the multiple cognitive deficits.</w:t>
      </w:r>
    </w:p>
    <w:p w:rsidR="00E675F0" w:rsidRDefault="00E675F0" w:rsidP="00E675F0">
      <w:pPr>
        <w:spacing w:line="254" w:lineRule="auto"/>
        <w:jc w:val="both"/>
        <w:rPr>
          <w:sz w:val="20"/>
        </w:rPr>
        <w:sectPr w:rsidR="00E675F0">
          <w:headerReference w:type="even" r:id="rId140"/>
          <w:headerReference w:type="default" r:id="rId141"/>
          <w:pgSz w:w="8960" w:h="14260"/>
          <w:pgMar w:top="960" w:right="600" w:bottom="280" w:left="600" w:header="656" w:footer="0" w:gutter="0"/>
          <w:pgNumType w:start="133"/>
          <w:cols w:space="720"/>
        </w:sectPr>
      </w:pPr>
    </w:p>
    <w:p w:rsidR="00E675F0" w:rsidRDefault="00E675F0" w:rsidP="00E675F0">
      <w:pPr>
        <w:pStyle w:val="BodyText"/>
      </w:pPr>
    </w:p>
    <w:p w:rsidR="00E675F0" w:rsidRDefault="00E675F0" w:rsidP="00E675F0">
      <w:pPr>
        <w:pStyle w:val="BodyText"/>
        <w:rPr>
          <w:sz w:val="21"/>
        </w:rPr>
      </w:pPr>
    </w:p>
    <w:p w:rsidR="00E675F0" w:rsidRDefault="00E675F0" w:rsidP="00E675F0">
      <w:pPr>
        <w:spacing w:before="90"/>
        <w:ind w:left="137"/>
        <w:jc w:val="both"/>
        <w:rPr>
          <w:rFonts w:ascii="TimesNewRomanPS-BoldItalicMT"/>
          <w:b/>
          <w:i/>
          <w:sz w:val="24"/>
        </w:rPr>
      </w:pPr>
      <w:r>
        <w:rPr>
          <w:rFonts w:ascii="TimesNewRomanPS-BoldItalicMT"/>
          <w:b/>
          <w:i/>
          <w:w w:val="110"/>
          <w:sz w:val="24"/>
        </w:rPr>
        <w:t>Di-agnostic Features</w:t>
      </w:r>
    </w:p>
    <w:p w:rsidR="00E675F0" w:rsidRDefault="00E675F0" w:rsidP="00E675F0">
      <w:pPr>
        <w:pStyle w:val="BodyText"/>
        <w:spacing w:before="204" w:line="254" w:lineRule="auto"/>
        <w:ind w:left="147" w:right="119" w:hanging="1"/>
        <w:jc w:val="both"/>
      </w:pPr>
      <w:r>
        <w:rPr>
          <w:w w:val="105"/>
        </w:rPr>
        <w:t>The essential feature of a dementia is the development of multiple cognitive deficits that include memory impairment and at least one of the following cognitive disturbances: aphasia, apraxia, agnosia, or a disturbance in executive functioning. The cognitive deficits must be sufficiently severe to cause impairment in occupational or social functioning and must represent a decline from a previously higher level of functioning. A diagnosis of a dementia should not be made if the cognitive deficits occur exclusively during the course of a delirium. However, a dementia and a delirium may both be diagnosed if the dementia is present at times when the delirium is not present. Dementia may be etiologically related to a general medical condition, to the persisting effects of substance use (including toxin exposure), or to a combination of these</w:t>
      </w:r>
      <w:r>
        <w:rPr>
          <w:spacing w:val="-23"/>
          <w:w w:val="105"/>
        </w:rPr>
        <w:t xml:space="preserve"> </w:t>
      </w:r>
      <w:r>
        <w:rPr>
          <w:w w:val="105"/>
        </w:rPr>
        <w:t>factors.</w:t>
      </w:r>
    </w:p>
    <w:p w:rsidR="00E675F0" w:rsidRDefault="00E675F0" w:rsidP="00E675F0">
      <w:pPr>
        <w:pStyle w:val="BodyText"/>
        <w:spacing w:before="4" w:line="254" w:lineRule="auto"/>
        <w:ind w:left="147" w:right="116" w:firstLine="367"/>
        <w:jc w:val="both"/>
      </w:pPr>
      <w:r>
        <w:rPr>
          <w:w w:val="110"/>
        </w:rPr>
        <w:t>Memory impairment is required to make the diagnosis of a dementia and is a prominent</w:t>
      </w:r>
      <w:r>
        <w:rPr>
          <w:spacing w:val="-6"/>
          <w:w w:val="110"/>
        </w:rPr>
        <w:t xml:space="preserve"> </w:t>
      </w:r>
      <w:r>
        <w:rPr>
          <w:w w:val="110"/>
        </w:rPr>
        <w:t>early</w:t>
      </w:r>
      <w:r>
        <w:rPr>
          <w:spacing w:val="-14"/>
          <w:w w:val="110"/>
        </w:rPr>
        <w:t xml:space="preserve"> </w:t>
      </w:r>
      <w:r>
        <w:rPr>
          <w:w w:val="110"/>
        </w:rPr>
        <w:t>symptom</w:t>
      </w:r>
      <w:r>
        <w:rPr>
          <w:spacing w:val="-6"/>
          <w:w w:val="110"/>
        </w:rPr>
        <w:t xml:space="preserve"> </w:t>
      </w:r>
      <w:r>
        <w:rPr>
          <w:w w:val="110"/>
        </w:rPr>
        <w:t>(Criterion</w:t>
      </w:r>
      <w:r>
        <w:rPr>
          <w:spacing w:val="-8"/>
          <w:w w:val="110"/>
        </w:rPr>
        <w:t xml:space="preserve"> </w:t>
      </w:r>
      <w:r>
        <w:rPr>
          <w:w w:val="110"/>
        </w:rPr>
        <w:t>Al).</w:t>
      </w:r>
      <w:r>
        <w:rPr>
          <w:spacing w:val="-11"/>
          <w:w w:val="110"/>
        </w:rPr>
        <w:t xml:space="preserve"> </w:t>
      </w:r>
      <w:r>
        <w:rPr>
          <w:w w:val="110"/>
        </w:rPr>
        <w:t>Individuals</w:t>
      </w:r>
      <w:r>
        <w:rPr>
          <w:spacing w:val="-6"/>
          <w:w w:val="110"/>
        </w:rPr>
        <w:t xml:space="preserve"> </w:t>
      </w:r>
      <w:r>
        <w:rPr>
          <w:w w:val="110"/>
        </w:rPr>
        <w:t>with</w:t>
      </w:r>
      <w:r>
        <w:rPr>
          <w:spacing w:val="-9"/>
          <w:w w:val="110"/>
        </w:rPr>
        <w:t xml:space="preserve"> </w:t>
      </w:r>
      <w:r>
        <w:rPr>
          <w:w w:val="110"/>
        </w:rPr>
        <w:t>dementia</w:t>
      </w:r>
      <w:r>
        <w:rPr>
          <w:spacing w:val="-2"/>
          <w:w w:val="110"/>
        </w:rPr>
        <w:t xml:space="preserve"> </w:t>
      </w:r>
      <w:r>
        <w:rPr>
          <w:w w:val="110"/>
        </w:rPr>
        <w:t>become</w:t>
      </w:r>
      <w:r>
        <w:rPr>
          <w:spacing w:val="-7"/>
          <w:w w:val="110"/>
        </w:rPr>
        <w:t xml:space="preserve"> </w:t>
      </w:r>
      <w:r>
        <w:rPr>
          <w:w w:val="110"/>
        </w:rPr>
        <w:t>impaired in their ability to learn new material, or they forget previously learned material.</w:t>
      </w:r>
      <w:r>
        <w:rPr>
          <w:spacing w:val="-37"/>
          <w:w w:val="110"/>
        </w:rPr>
        <w:t xml:space="preserve"> </w:t>
      </w:r>
      <w:r>
        <w:rPr>
          <w:w w:val="110"/>
        </w:rPr>
        <w:t>Most individuals with dementia have both forms of memory impairment, although it is sometimes</w:t>
      </w:r>
      <w:r>
        <w:rPr>
          <w:spacing w:val="-3"/>
          <w:w w:val="110"/>
        </w:rPr>
        <w:t xml:space="preserve"> </w:t>
      </w:r>
      <w:r>
        <w:rPr>
          <w:w w:val="110"/>
        </w:rPr>
        <w:t>difficult</w:t>
      </w:r>
      <w:r>
        <w:rPr>
          <w:spacing w:val="-2"/>
          <w:w w:val="110"/>
        </w:rPr>
        <w:t xml:space="preserve"> </w:t>
      </w:r>
      <w:r>
        <w:rPr>
          <w:w w:val="110"/>
        </w:rPr>
        <w:t>to</w:t>
      </w:r>
      <w:r>
        <w:rPr>
          <w:spacing w:val="-11"/>
          <w:w w:val="110"/>
        </w:rPr>
        <w:t xml:space="preserve"> </w:t>
      </w:r>
      <w:r>
        <w:rPr>
          <w:w w:val="110"/>
        </w:rPr>
        <w:t>demonstrate</w:t>
      </w:r>
      <w:r>
        <w:rPr>
          <w:spacing w:val="1"/>
          <w:w w:val="110"/>
        </w:rPr>
        <w:t xml:space="preserve"> </w:t>
      </w:r>
      <w:r>
        <w:rPr>
          <w:w w:val="110"/>
        </w:rPr>
        <w:t>the</w:t>
      </w:r>
      <w:r>
        <w:rPr>
          <w:spacing w:val="-10"/>
          <w:w w:val="110"/>
        </w:rPr>
        <w:t xml:space="preserve"> </w:t>
      </w:r>
      <w:r>
        <w:rPr>
          <w:w w:val="110"/>
        </w:rPr>
        <w:t>loss</w:t>
      </w:r>
      <w:r>
        <w:rPr>
          <w:spacing w:val="-10"/>
          <w:w w:val="110"/>
        </w:rPr>
        <w:t xml:space="preserve"> </w:t>
      </w:r>
      <w:r>
        <w:rPr>
          <w:w w:val="110"/>
        </w:rPr>
        <w:t>of previously</w:t>
      </w:r>
      <w:r>
        <w:rPr>
          <w:spacing w:val="-6"/>
          <w:w w:val="110"/>
        </w:rPr>
        <w:t xml:space="preserve"> </w:t>
      </w:r>
      <w:r>
        <w:rPr>
          <w:w w:val="110"/>
        </w:rPr>
        <w:t>learned</w:t>
      </w:r>
      <w:r>
        <w:rPr>
          <w:spacing w:val="-2"/>
          <w:w w:val="110"/>
        </w:rPr>
        <w:t xml:space="preserve"> </w:t>
      </w:r>
      <w:r>
        <w:rPr>
          <w:w w:val="110"/>
        </w:rPr>
        <w:t>material</w:t>
      </w:r>
      <w:r>
        <w:rPr>
          <w:spacing w:val="-3"/>
          <w:w w:val="110"/>
        </w:rPr>
        <w:t xml:space="preserve"> </w:t>
      </w:r>
      <w:r>
        <w:rPr>
          <w:w w:val="110"/>
        </w:rPr>
        <w:t>early</w:t>
      </w:r>
      <w:r>
        <w:rPr>
          <w:spacing w:val="-5"/>
          <w:w w:val="110"/>
        </w:rPr>
        <w:t xml:space="preserve"> </w:t>
      </w:r>
      <w:r>
        <w:rPr>
          <w:w w:val="110"/>
        </w:rPr>
        <w:t>in</w:t>
      </w:r>
      <w:r>
        <w:rPr>
          <w:spacing w:val="-8"/>
          <w:w w:val="110"/>
        </w:rPr>
        <w:t xml:space="preserve"> </w:t>
      </w:r>
      <w:r>
        <w:rPr>
          <w:w w:val="110"/>
        </w:rPr>
        <w:t>the course of the disorder. They may lose valuables like wallets and keys, forget food cooking</w:t>
      </w:r>
      <w:r>
        <w:rPr>
          <w:spacing w:val="-21"/>
          <w:w w:val="110"/>
        </w:rPr>
        <w:t xml:space="preserve"> </w:t>
      </w:r>
      <w:r>
        <w:rPr>
          <w:w w:val="110"/>
        </w:rPr>
        <w:t>on</w:t>
      </w:r>
      <w:r>
        <w:rPr>
          <w:spacing w:val="-11"/>
          <w:w w:val="110"/>
        </w:rPr>
        <w:t xml:space="preserve"> </w:t>
      </w:r>
      <w:r>
        <w:rPr>
          <w:w w:val="110"/>
        </w:rPr>
        <w:t>the</w:t>
      </w:r>
      <w:r>
        <w:rPr>
          <w:spacing w:val="-24"/>
          <w:w w:val="110"/>
        </w:rPr>
        <w:t xml:space="preserve"> </w:t>
      </w:r>
      <w:r>
        <w:rPr>
          <w:w w:val="110"/>
        </w:rPr>
        <w:t>stove,</w:t>
      </w:r>
      <w:r>
        <w:rPr>
          <w:spacing w:val="-17"/>
          <w:w w:val="110"/>
        </w:rPr>
        <w:t xml:space="preserve"> </w:t>
      </w:r>
      <w:r>
        <w:rPr>
          <w:w w:val="110"/>
        </w:rPr>
        <w:t>and</w:t>
      </w:r>
      <w:r>
        <w:rPr>
          <w:spacing w:val="-20"/>
          <w:w w:val="110"/>
        </w:rPr>
        <w:t xml:space="preserve"> </w:t>
      </w:r>
      <w:r>
        <w:rPr>
          <w:w w:val="110"/>
        </w:rPr>
        <w:t>become</w:t>
      </w:r>
      <w:r>
        <w:rPr>
          <w:spacing w:val="-20"/>
          <w:w w:val="110"/>
        </w:rPr>
        <w:t xml:space="preserve"> </w:t>
      </w:r>
      <w:r>
        <w:rPr>
          <w:w w:val="110"/>
        </w:rPr>
        <w:t>lost</w:t>
      </w:r>
      <w:r>
        <w:rPr>
          <w:spacing w:val="-19"/>
          <w:w w:val="110"/>
        </w:rPr>
        <w:t xml:space="preserve"> </w:t>
      </w:r>
      <w:r>
        <w:rPr>
          <w:w w:val="110"/>
        </w:rPr>
        <w:t>in</w:t>
      </w:r>
      <w:r>
        <w:rPr>
          <w:spacing w:val="-20"/>
          <w:w w:val="110"/>
        </w:rPr>
        <w:t xml:space="preserve"> </w:t>
      </w:r>
      <w:r>
        <w:rPr>
          <w:w w:val="110"/>
        </w:rPr>
        <w:t>unfamiliar</w:t>
      </w:r>
      <w:r>
        <w:rPr>
          <w:spacing w:val="-9"/>
          <w:w w:val="110"/>
        </w:rPr>
        <w:t xml:space="preserve"> </w:t>
      </w:r>
      <w:r>
        <w:rPr>
          <w:w w:val="110"/>
        </w:rPr>
        <w:t>neighborhoods.</w:t>
      </w:r>
      <w:r>
        <w:rPr>
          <w:spacing w:val="-30"/>
          <w:w w:val="110"/>
        </w:rPr>
        <w:t xml:space="preserve"> </w:t>
      </w:r>
      <w:r>
        <w:rPr>
          <w:w w:val="110"/>
        </w:rPr>
        <w:t>In</w:t>
      </w:r>
      <w:r>
        <w:rPr>
          <w:spacing w:val="-26"/>
          <w:w w:val="110"/>
        </w:rPr>
        <w:t xml:space="preserve"> </w:t>
      </w:r>
      <w:r>
        <w:rPr>
          <w:w w:val="110"/>
        </w:rPr>
        <w:t>advanced</w:t>
      </w:r>
      <w:r>
        <w:rPr>
          <w:spacing w:val="-19"/>
          <w:w w:val="110"/>
        </w:rPr>
        <w:t xml:space="preserve"> </w:t>
      </w:r>
      <w:r>
        <w:rPr>
          <w:w w:val="110"/>
        </w:rPr>
        <w:t>stages of dementia, memory impairment is so severe that the person forgets his or her occupation, schooling, birthday, family members, and sometimes even</w:t>
      </w:r>
      <w:r>
        <w:rPr>
          <w:spacing w:val="11"/>
          <w:w w:val="110"/>
        </w:rPr>
        <w:t xml:space="preserve"> </w:t>
      </w:r>
      <w:r>
        <w:rPr>
          <w:w w:val="110"/>
        </w:rPr>
        <w:t>name.</w:t>
      </w:r>
    </w:p>
    <w:p w:rsidR="00E675F0" w:rsidRDefault="00E675F0" w:rsidP="00E675F0">
      <w:pPr>
        <w:pStyle w:val="BodyText"/>
        <w:spacing w:before="7" w:line="252" w:lineRule="auto"/>
        <w:ind w:left="149" w:right="114" w:firstLine="366"/>
        <w:jc w:val="both"/>
      </w:pPr>
      <w:r>
        <w:rPr>
          <w:w w:val="105"/>
        </w:rPr>
        <w:t xml:space="preserve">Memory may be formally tested by asking the person to register, retain, recall, and recognize information. The ability to learn new information may be assessed by asking the individual to learn a list of words. The individual is requested to repeat the words (registration), to recall the information after a delay of several minutes (retention, recall), and to recognize the words from a multiple list (recognition). Individuals with difficulty learning new information are not helped by clues or prompts (e.g., multiple-choice questions) because they did not learn the material initially. In contrast, individuals with primarily retrieval deficits can be helped by clues and prompts because their impairment is in the ability to access their memories. Remote memory may be tested by asking the individual to recall personal information or past material that the individual found of interest (e.g., politics, sports, entertainment). </w:t>
      </w:r>
      <w:r>
        <w:rPr>
          <w:w w:val="105"/>
          <w:sz w:val="19"/>
        </w:rPr>
        <w:t xml:space="preserve">It </w:t>
      </w:r>
      <w:r>
        <w:rPr>
          <w:w w:val="105"/>
        </w:rPr>
        <w:t>is also useful to determine (from the individual and informants) the impact of the memory disturbances on the individual's functioning</w:t>
      </w:r>
      <w:r>
        <w:rPr>
          <w:spacing w:val="-3"/>
          <w:w w:val="105"/>
        </w:rPr>
        <w:t xml:space="preserve"> </w:t>
      </w:r>
      <w:r>
        <w:rPr>
          <w:w w:val="105"/>
        </w:rPr>
        <w:t>(e.g.,</w:t>
      </w:r>
      <w:r>
        <w:rPr>
          <w:spacing w:val="-10"/>
          <w:w w:val="105"/>
        </w:rPr>
        <w:t xml:space="preserve"> </w:t>
      </w:r>
      <w:r>
        <w:rPr>
          <w:w w:val="105"/>
        </w:rPr>
        <w:t>ability</w:t>
      </w:r>
      <w:r>
        <w:rPr>
          <w:spacing w:val="-6"/>
          <w:w w:val="105"/>
        </w:rPr>
        <w:t xml:space="preserve"> </w:t>
      </w:r>
      <w:r>
        <w:rPr>
          <w:w w:val="105"/>
        </w:rPr>
        <w:t>to</w:t>
      </w:r>
      <w:r>
        <w:rPr>
          <w:spacing w:val="-11"/>
          <w:w w:val="105"/>
        </w:rPr>
        <w:t xml:space="preserve"> </w:t>
      </w:r>
      <w:r>
        <w:rPr>
          <w:w w:val="105"/>
        </w:rPr>
        <w:t>work,</w:t>
      </w:r>
      <w:r>
        <w:rPr>
          <w:spacing w:val="-9"/>
          <w:w w:val="105"/>
        </w:rPr>
        <w:t xml:space="preserve"> </w:t>
      </w:r>
      <w:r>
        <w:rPr>
          <w:w w:val="105"/>
        </w:rPr>
        <w:t>shop,</w:t>
      </w:r>
      <w:r>
        <w:rPr>
          <w:spacing w:val="-9"/>
          <w:w w:val="105"/>
        </w:rPr>
        <w:t xml:space="preserve"> </w:t>
      </w:r>
      <w:r>
        <w:rPr>
          <w:w w:val="105"/>
        </w:rPr>
        <w:t>cook, pay</w:t>
      </w:r>
      <w:r>
        <w:rPr>
          <w:spacing w:val="-11"/>
          <w:w w:val="105"/>
        </w:rPr>
        <w:t xml:space="preserve"> </w:t>
      </w:r>
      <w:r>
        <w:rPr>
          <w:w w:val="105"/>
        </w:rPr>
        <w:t>bills,</w:t>
      </w:r>
      <w:r>
        <w:rPr>
          <w:spacing w:val="-9"/>
          <w:w w:val="105"/>
        </w:rPr>
        <w:t xml:space="preserve"> </w:t>
      </w:r>
      <w:r>
        <w:rPr>
          <w:w w:val="105"/>
        </w:rPr>
        <w:t>return</w:t>
      </w:r>
      <w:r>
        <w:rPr>
          <w:spacing w:val="-4"/>
          <w:w w:val="105"/>
        </w:rPr>
        <w:t xml:space="preserve"> </w:t>
      </w:r>
      <w:r>
        <w:rPr>
          <w:w w:val="105"/>
        </w:rPr>
        <w:t>home</w:t>
      </w:r>
      <w:r>
        <w:rPr>
          <w:spacing w:val="-7"/>
          <w:w w:val="105"/>
        </w:rPr>
        <w:t xml:space="preserve"> </w:t>
      </w:r>
      <w:r>
        <w:rPr>
          <w:w w:val="105"/>
        </w:rPr>
        <w:t>without</w:t>
      </w:r>
      <w:r>
        <w:rPr>
          <w:spacing w:val="-10"/>
          <w:w w:val="105"/>
        </w:rPr>
        <w:t xml:space="preserve"> </w:t>
      </w:r>
      <w:r>
        <w:rPr>
          <w:w w:val="105"/>
        </w:rPr>
        <w:t>getting</w:t>
      </w:r>
      <w:r>
        <w:rPr>
          <w:spacing w:val="-9"/>
          <w:w w:val="105"/>
        </w:rPr>
        <w:t xml:space="preserve"> </w:t>
      </w:r>
      <w:r>
        <w:rPr>
          <w:w w:val="105"/>
        </w:rPr>
        <w:t>lost).</w:t>
      </w:r>
    </w:p>
    <w:p w:rsidR="00E675F0" w:rsidRDefault="00E675F0" w:rsidP="00E675F0">
      <w:pPr>
        <w:pStyle w:val="BodyText"/>
        <w:spacing w:line="254" w:lineRule="auto"/>
        <w:ind w:left="152" w:right="118" w:firstLine="367"/>
        <w:jc w:val="both"/>
      </w:pPr>
      <w:r>
        <w:rPr>
          <w:w w:val="105"/>
        </w:rPr>
        <w:t>Deterioration of language function (aphasia) may be manifested by difficulty producing</w:t>
      </w:r>
      <w:r>
        <w:rPr>
          <w:spacing w:val="-6"/>
          <w:w w:val="105"/>
        </w:rPr>
        <w:t xml:space="preserve"> </w:t>
      </w:r>
      <w:r>
        <w:rPr>
          <w:w w:val="105"/>
        </w:rPr>
        <w:t>the</w:t>
      </w:r>
      <w:r>
        <w:rPr>
          <w:spacing w:val="-16"/>
          <w:w w:val="105"/>
        </w:rPr>
        <w:t xml:space="preserve"> </w:t>
      </w:r>
      <w:r>
        <w:rPr>
          <w:w w:val="105"/>
        </w:rPr>
        <w:t>names</w:t>
      </w:r>
      <w:r>
        <w:rPr>
          <w:spacing w:val="-18"/>
          <w:w w:val="105"/>
        </w:rPr>
        <w:t xml:space="preserve"> </w:t>
      </w:r>
      <w:r>
        <w:rPr>
          <w:w w:val="105"/>
        </w:rPr>
        <w:t>of</w:t>
      </w:r>
      <w:r>
        <w:rPr>
          <w:spacing w:val="-9"/>
          <w:w w:val="105"/>
        </w:rPr>
        <w:t xml:space="preserve"> </w:t>
      </w:r>
      <w:r>
        <w:rPr>
          <w:w w:val="105"/>
        </w:rPr>
        <w:t>individuals</w:t>
      </w:r>
      <w:r>
        <w:rPr>
          <w:spacing w:val="-15"/>
          <w:w w:val="105"/>
        </w:rPr>
        <w:t xml:space="preserve"> </w:t>
      </w:r>
      <w:r>
        <w:rPr>
          <w:w w:val="105"/>
        </w:rPr>
        <w:t>and</w:t>
      </w:r>
      <w:r>
        <w:rPr>
          <w:spacing w:val="4"/>
          <w:w w:val="105"/>
        </w:rPr>
        <w:t xml:space="preserve"> </w:t>
      </w:r>
      <w:r>
        <w:rPr>
          <w:w w:val="105"/>
        </w:rPr>
        <w:t>objects</w:t>
      </w:r>
      <w:r>
        <w:rPr>
          <w:spacing w:val="-19"/>
          <w:w w:val="105"/>
        </w:rPr>
        <w:t xml:space="preserve"> </w:t>
      </w:r>
      <w:r>
        <w:rPr>
          <w:w w:val="105"/>
        </w:rPr>
        <w:t>(Criterion</w:t>
      </w:r>
      <w:r>
        <w:rPr>
          <w:spacing w:val="-12"/>
          <w:w w:val="105"/>
        </w:rPr>
        <w:t xml:space="preserve"> </w:t>
      </w:r>
      <w:r>
        <w:rPr>
          <w:w w:val="105"/>
        </w:rPr>
        <w:t>A2a).</w:t>
      </w:r>
      <w:r>
        <w:rPr>
          <w:spacing w:val="-25"/>
          <w:w w:val="105"/>
        </w:rPr>
        <w:t xml:space="preserve"> </w:t>
      </w:r>
      <w:r>
        <w:rPr>
          <w:w w:val="105"/>
        </w:rPr>
        <w:t>The</w:t>
      </w:r>
      <w:r>
        <w:rPr>
          <w:spacing w:val="-22"/>
          <w:w w:val="105"/>
        </w:rPr>
        <w:t xml:space="preserve"> </w:t>
      </w:r>
      <w:r>
        <w:rPr>
          <w:w w:val="105"/>
        </w:rPr>
        <w:t>speech</w:t>
      </w:r>
      <w:r>
        <w:rPr>
          <w:spacing w:val="-18"/>
          <w:w w:val="105"/>
        </w:rPr>
        <w:t xml:space="preserve"> </w:t>
      </w:r>
      <w:r>
        <w:rPr>
          <w:w w:val="105"/>
        </w:rPr>
        <w:t>of</w:t>
      </w:r>
      <w:r>
        <w:rPr>
          <w:spacing w:val="-9"/>
          <w:w w:val="105"/>
        </w:rPr>
        <w:t xml:space="preserve"> </w:t>
      </w:r>
      <w:r>
        <w:rPr>
          <w:w w:val="105"/>
        </w:rPr>
        <w:t>individuals with aphasia may become vague or empty, with long circumlocutory phrases and excessive use of terms of indefinite  reference such as "thing" and "it." Comprehension of spoken and written language and repetition of language  may also be  compromised. In the advanced stages of dementia, individuals may be mute or have a deteriorated speech pattern characterized by echolalia (i.e., echoing what is heard) or palilalia (i.e., repeating sounds or words over and over). Language is tested by asking  the individual to name objects in the room (e.g., tie, dress, desk, lamp) or body parts (e.g., nose, chin, shoulder), follow commands ("Point at the door and then at the table"), or repeat phrases ("no ifs, ands, or</w:t>
      </w:r>
      <w:r>
        <w:rPr>
          <w:spacing w:val="13"/>
          <w:w w:val="105"/>
        </w:rPr>
        <w:t xml:space="preserve"> </w:t>
      </w:r>
      <w:r>
        <w:rPr>
          <w:w w:val="105"/>
        </w:rPr>
        <w:t>buts").</w:t>
      </w:r>
    </w:p>
    <w:p w:rsidR="00E675F0" w:rsidRDefault="00E675F0" w:rsidP="00E675F0">
      <w:pPr>
        <w:pStyle w:val="BodyText"/>
        <w:spacing w:before="10" w:line="252" w:lineRule="auto"/>
        <w:ind w:left="155" w:right="114" w:firstLine="367"/>
        <w:jc w:val="both"/>
      </w:pPr>
      <w:r>
        <w:rPr>
          <w:w w:val="105"/>
        </w:rPr>
        <w:t>Individuals</w:t>
      </w:r>
      <w:r>
        <w:rPr>
          <w:spacing w:val="-6"/>
          <w:w w:val="105"/>
        </w:rPr>
        <w:t xml:space="preserve"> </w:t>
      </w:r>
      <w:r>
        <w:rPr>
          <w:w w:val="105"/>
        </w:rPr>
        <w:t>with</w:t>
      </w:r>
      <w:r>
        <w:rPr>
          <w:spacing w:val="-14"/>
          <w:w w:val="105"/>
        </w:rPr>
        <w:t xml:space="preserve"> </w:t>
      </w:r>
      <w:r>
        <w:rPr>
          <w:w w:val="105"/>
        </w:rPr>
        <w:t>dementia</w:t>
      </w:r>
      <w:r>
        <w:rPr>
          <w:spacing w:val="-4"/>
          <w:w w:val="105"/>
        </w:rPr>
        <w:t xml:space="preserve"> </w:t>
      </w:r>
      <w:r>
        <w:rPr>
          <w:w w:val="105"/>
        </w:rPr>
        <w:t>may</w:t>
      </w:r>
      <w:r>
        <w:rPr>
          <w:spacing w:val="-21"/>
          <w:w w:val="105"/>
        </w:rPr>
        <w:t xml:space="preserve"> </w:t>
      </w:r>
      <w:r>
        <w:rPr>
          <w:w w:val="105"/>
        </w:rPr>
        <w:t>exhibit</w:t>
      </w:r>
      <w:r>
        <w:rPr>
          <w:spacing w:val="-10"/>
          <w:w w:val="105"/>
        </w:rPr>
        <w:t xml:space="preserve"> </w:t>
      </w:r>
      <w:r>
        <w:rPr>
          <w:w w:val="105"/>
        </w:rPr>
        <w:t>apraxia</w:t>
      </w:r>
      <w:r>
        <w:rPr>
          <w:spacing w:val="-12"/>
          <w:w w:val="105"/>
        </w:rPr>
        <w:t xml:space="preserve"> </w:t>
      </w:r>
      <w:r>
        <w:rPr>
          <w:w w:val="105"/>
        </w:rPr>
        <w:t>(i.e.,</w:t>
      </w:r>
      <w:r>
        <w:rPr>
          <w:spacing w:val="-15"/>
          <w:w w:val="105"/>
        </w:rPr>
        <w:t xml:space="preserve"> </w:t>
      </w:r>
      <w:r>
        <w:rPr>
          <w:w w:val="105"/>
        </w:rPr>
        <w:t>impaired</w:t>
      </w:r>
      <w:r>
        <w:rPr>
          <w:spacing w:val="-7"/>
          <w:w w:val="105"/>
        </w:rPr>
        <w:t xml:space="preserve"> </w:t>
      </w:r>
      <w:r>
        <w:rPr>
          <w:w w:val="105"/>
        </w:rPr>
        <w:t>ability</w:t>
      </w:r>
      <w:r>
        <w:rPr>
          <w:spacing w:val="-15"/>
          <w:w w:val="105"/>
        </w:rPr>
        <w:t xml:space="preserve"> </w:t>
      </w:r>
      <w:r>
        <w:rPr>
          <w:w w:val="105"/>
        </w:rPr>
        <w:t>to</w:t>
      </w:r>
      <w:r>
        <w:rPr>
          <w:spacing w:val="-11"/>
          <w:w w:val="105"/>
        </w:rPr>
        <w:t xml:space="preserve"> </w:t>
      </w:r>
      <w:r>
        <w:rPr>
          <w:w w:val="105"/>
        </w:rPr>
        <w:t>execute</w:t>
      </w:r>
      <w:r>
        <w:rPr>
          <w:spacing w:val="-9"/>
          <w:w w:val="105"/>
        </w:rPr>
        <w:t xml:space="preserve"> </w:t>
      </w:r>
      <w:r>
        <w:rPr>
          <w:w w:val="105"/>
        </w:rPr>
        <w:t>motor activities despite intact motor abilities, sensory function, and comprehension of the required task) (Criterion A2b). They will be impaired in their ability to pantomime the use of objects (e.g., combing hair) or to execute known motor acts (e.g.,</w:t>
      </w:r>
      <w:r>
        <w:rPr>
          <w:spacing w:val="43"/>
          <w:w w:val="105"/>
        </w:rPr>
        <w:t xml:space="preserve"> </w:t>
      </w:r>
      <w:r>
        <w:rPr>
          <w:w w:val="105"/>
        </w:rPr>
        <w:t>waving</w:t>
      </w:r>
    </w:p>
    <w:p w:rsidR="00E675F0" w:rsidRDefault="00E675F0" w:rsidP="00E675F0">
      <w:pPr>
        <w:spacing w:line="252" w:lineRule="auto"/>
        <w:jc w:val="both"/>
        <w:sectPr w:rsidR="00E675F0">
          <w:pgSz w:w="8960" w:h="14260"/>
          <w:pgMar w:top="980" w:right="600" w:bottom="280" w:left="600" w:header="690" w:footer="0" w:gutter="0"/>
          <w:cols w:space="720"/>
        </w:sectPr>
      </w:pPr>
    </w:p>
    <w:p w:rsidR="00E675F0" w:rsidRDefault="00E675F0" w:rsidP="00E675F0">
      <w:pPr>
        <w:pStyle w:val="BodyText"/>
      </w:pPr>
    </w:p>
    <w:p w:rsidR="00E675F0" w:rsidRDefault="00E675F0" w:rsidP="00E675F0">
      <w:pPr>
        <w:pStyle w:val="BodyText"/>
        <w:spacing w:before="3"/>
        <w:rPr>
          <w:sz w:val="19"/>
        </w:rPr>
      </w:pPr>
    </w:p>
    <w:p w:rsidR="00E675F0" w:rsidRDefault="00E675F0" w:rsidP="00E675F0">
      <w:pPr>
        <w:pStyle w:val="BodyText"/>
        <w:spacing w:before="92" w:line="252" w:lineRule="auto"/>
        <w:ind w:left="141" w:right="141" w:firstLine="1"/>
        <w:jc w:val="both"/>
      </w:pPr>
      <w:r>
        <w:rPr>
          <w:w w:val="105"/>
        </w:rPr>
        <w:t>goodbye). Apraxia may contribute to deficits in cooking, dressing, and drawing. Motor skill disturbances may be tested by asking the individual to execute motor functions (e.g., to show how to brush teeth, to copy intersecting pentagons,  to assemble  blocks, or to arrange sticks in specific designs).</w:t>
      </w:r>
    </w:p>
    <w:p w:rsidR="00E675F0" w:rsidRDefault="00E675F0" w:rsidP="00E675F0">
      <w:pPr>
        <w:pStyle w:val="BodyText"/>
        <w:spacing w:line="254" w:lineRule="auto"/>
        <w:ind w:left="146" w:right="139" w:firstLine="362"/>
        <w:jc w:val="both"/>
      </w:pPr>
      <w:r>
        <w:rPr>
          <w:w w:val="105"/>
        </w:rPr>
        <w:t>Individuals with dementia may exhibit agnosia (i.e., failure to recognize or identify objects despite intact sensory function) (Criterion A2c). For example, the individual may have normal visual acuity but lose the ability to recognize objects such as chairs or pencils. Eventually they may be unable to recognize family members or even their own reflection in the mirror. Similarly, they may have normal tactile sensation, but be unable to identify objects placed in their hands by touch alone (e.g., a coin or keys).</w:t>
      </w:r>
    </w:p>
    <w:p w:rsidR="00E675F0" w:rsidRDefault="00E675F0" w:rsidP="00E675F0">
      <w:pPr>
        <w:pStyle w:val="BodyText"/>
        <w:spacing w:before="4" w:line="254" w:lineRule="auto"/>
        <w:ind w:left="142" w:right="140" w:firstLine="368"/>
        <w:jc w:val="both"/>
      </w:pPr>
      <w:r>
        <w:rPr>
          <w:w w:val="105"/>
        </w:rPr>
        <w:t>Disturbances in executive functioning are a common manifestation of dementia (Criterion</w:t>
      </w:r>
      <w:r>
        <w:rPr>
          <w:spacing w:val="-9"/>
          <w:w w:val="105"/>
        </w:rPr>
        <w:t xml:space="preserve"> </w:t>
      </w:r>
      <w:r>
        <w:rPr>
          <w:w w:val="105"/>
        </w:rPr>
        <w:t>A2d)</w:t>
      </w:r>
      <w:r>
        <w:rPr>
          <w:spacing w:val="-13"/>
          <w:w w:val="105"/>
        </w:rPr>
        <w:t xml:space="preserve"> </w:t>
      </w:r>
      <w:r>
        <w:rPr>
          <w:w w:val="105"/>
        </w:rPr>
        <w:t>and</w:t>
      </w:r>
      <w:r>
        <w:rPr>
          <w:spacing w:val="-13"/>
          <w:w w:val="105"/>
        </w:rPr>
        <w:t xml:space="preserve"> </w:t>
      </w:r>
      <w:r>
        <w:rPr>
          <w:w w:val="105"/>
        </w:rPr>
        <w:t>may</w:t>
      </w:r>
      <w:r>
        <w:rPr>
          <w:spacing w:val="-14"/>
          <w:w w:val="105"/>
        </w:rPr>
        <w:t xml:space="preserve"> </w:t>
      </w:r>
      <w:r>
        <w:rPr>
          <w:w w:val="105"/>
        </w:rPr>
        <w:t>be</w:t>
      </w:r>
      <w:r>
        <w:rPr>
          <w:spacing w:val="-9"/>
          <w:w w:val="105"/>
        </w:rPr>
        <w:t xml:space="preserve"> </w:t>
      </w:r>
      <w:r>
        <w:rPr>
          <w:w w:val="105"/>
        </w:rPr>
        <w:t>related</w:t>
      </w:r>
      <w:r>
        <w:rPr>
          <w:spacing w:val="-8"/>
          <w:w w:val="105"/>
        </w:rPr>
        <w:t xml:space="preserve"> </w:t>
      </w:r>
      <w:r>
        <w:rPr>
          <w:w w:val="105"/>
        </w:rPr>
        <w:t>especially</w:t>
      </w:r>
      <w:r>
        <w:rPr>
          <w:spacing w:val="-4"/>
          <w:w w:val="105"/>
        </w:rPr>
        <w:t xml:space="preserve"> </w:t>
      </w:r>
      <w:r>
        <w:rPr>
          <w:w w:val="105"/>
        </w:rPr>
        <w:t>to</w:t>
      </w:r>
      <w:r>
        <w:rPr>
          <w:spacing w:val="-21"/>
          <w:w w:val="105"/>
        </w:rPr>
        <w:t xml:space="preserve"> </w:t>
      </w:r>
      <w:r>
        <w:rPr>
          <w:w w:val="105"/>
        </w:rPr>
        <w:t>disorders</w:t>
      </w:r>
      <w:r>
        <w:rPr>
          <w:spacing w:val="-11"/>
          <w:w w:val="105"/>
        </w:rPr>
        <w:t xml:space="preserve"> </w:t>
      </w:r>
      <w:r>
        <w:rPr>
          <w:w w:val="105"/>
        </w:rPr>
        <w:t>of</w:t>
      </w:r>
      <w:r>
        <w:rPr>
          <w:spacing w:val="-7"/>
          <w:w w:val="105"/>
        </w:rPr>
        <w:t xml:space="preserve"> </w:t>
      </w:r>
      <w:r>
        <w:rPr>
          <w:w w:val="105"/>
        </w:rPr>
        <w:t>the</w:t>
      </w:r>
      <w:r>
        <w:rPr>
          <w:spacing w:val="-20"/>
          <w:w w:val="105"/>
        </w:rPr>
        <w:t xml:space="preserve"> </w:t>
      </w:r>
      <w:r>
        <w:rPr>
          <w:w w:val="105"/>
        </w:rPr>
        <w:t>frontal</w:t>
      </w:r>
      <w:r>
        <w:rPr>
          <w:spacing w:val="-12"/>
          <w:w w:val="105"/>
        </w:rPr>
        <w:t xml:space="preserve"> </w:t>
      </w:r>
      <w:r>
        <w:rPr>
          <w:w w:val="105"/>
        </w:rPr>
        <w:t>lobe</w:t>
      </w:r>
      <w:r>
        <w:rPr>
          <w:spacing w:val="-11"/>
          <w:w w:val="105"/>
        </w:rPr>
        <w:t xml:space="preserve"> </w:t>
      </w:r>
      <w:r>
        <w:rPr>
          <w:w w:val="105"/>
        </w:rPr>
        <w:t>or</w:t>
      </w:r>
      <w:r>
        <w:rPr>
          <w:spacing w:val="-19"/>
          <w:w w:val="105"/>
        </w:rPr>
        <w:t xml:space="preserve"> </w:t>
      </w:r>
      <w:r>
        <w:rPr>
          <w:w w:val="105"/>
        </w:rPr>
        <w:t>associated subcortical pathways. Executive functioning involves the ability to think abstractly and to plan, initiate, sequence, monitor, and stop complex behavior. Impairment in abstract thinking may be manifested by the individual having difficulty coping with novel tasks and avoiding situations that require the processing of new and complex information.  The ability to abstract can be formally assessed by asking the person to find similarities or differences between related words. Executive dysfunction is also evident in a reduced ability to shift mental sets, to generate novel verbal or nonverbal information, and to execute serial motor activities. Tests for executive function include asking the individual to count to 10, recite the alphabet, subtract serial 7s, state as many animals as possible  in</w:t>
      </w:r>
      <w:r>
        <w:rPr>
          <w:spacing w:val="-19"/>
          <w:w w:val="105"/>
        </w:rPr>
        <w:t xml:space="preserve"> </w:t>
      </w:r>
      <w:r>
        <w:rPr>
          <w:w w:val="105"/>
        </w:rPr>
        <w:t>1</w:t>
      </w:r>
      <w:r>
        <w:rPr>
          <w:spacing w:val="-11"/>
          <w:w w:val="105"/>
        </w:rPr>
        <w:t xml:space="preserve"> </w:t>
      </w:r>
      <w:r>
        <w:rPr>
          <w:w w:val="105"/>
        </w:rPr>
        <w:t>minute,</w:t>
      </w:r>
      <w:r>
        <w:rPr>
          <w:spacing w:val="-6"/>
          <w:w w:val="105"/>
        </w:rPr>
        <w:t xml:space="preserve"> </w:t>
      </w:r>
      <w:r>
        <w:rPr>
          <w:w w:val="105"/>
        </w:rPr>
        <w:t>or</w:t>
      </w:r>
      <w:r>
        <w:rPr>
          <w:spacing w:val="-18"/>
          <w:w w:val="105"/>
        </w:rPr>
        <w:t xml:space="preserve"> </w:t>
      </w:r>
      <w:r>
        <w:rPr>
          <w:w w:val="105"/>
        </w:rPr>
        <w:t>draw</w:t>
      </w:r>
      <w:r>
        <w:rPr>
          <w:spacing w:val="-10"/>
          <w:w w:val="105"/>
        </w:rPr>
        <w:t xml:space="preserve"> </w:t>
      </w:r>
      <w:r>
        <w:rPr>
          <w:w w:val="105"/>
        </w:rPr>
        <w:t>a</w:t>
      </w:r>
      <w:r>
        <w:rPr>
          <w:spacing w:val="-18"/>
          <w:w w:val="105"/>
        </w:rPr>
        <w:t xml:space="preserve"> </w:t>
      </w:r>
      <w:r>
        <w:rPr>
          <w:w w:val="105"/>
        </w:rPr>
        <w:t>continuous</w:t>
      </w:r>
      <w:r>
        <w:rPr>
          <w:spacing w:val="-4"/>
          <w:w w:val="105"/>
        </w:rPr>
        <w:t xml:space="preserve"> </w:t>
      </w:r>
      <w:r>
        <w:rPr>
          <w:w w:val="105"/>
        </w:rPr>
        <w:t>line</w:t>
      </w:r>
      <w:r>
        <w:rPr>
          <w:spacing w:val="-11"/>
          <w:w w:val="105"/>
        </w:rPr>
        <w:t xml:space="preserve"> </w:t>
      </w:r>
      <w:r>
        <w:rPr>
          <w:w w:val="105"/>
        </w:rPr>
        <w:t>consisting</w:t>
      </w:r>
      <w:r>
        <w:rPr>
          <w:spacing w:val="-5"/>
          <w:w w:val="105"/>
        </w:rPr>
        <w:t xml:space="preserve"> </w:t>
      </w:r>
      <w:r>
        <w:rPr>
          <w:w w:val="105"/>
        </w:rPr>
        <w:t>of</w:t>
      </w:r>
      <w:r>
        <w:rPr>
          <w:spacing w:val="-8"/>
          <w:w w:val="105"/>
        </w:rPr>
        <w:t xml:space="preserve"> </w:t>
      </w:r>
      <w:r>
        <w:rPr>
          <w:w w:val="105"/>
        </w:rPr>
        <w:t>alternating</w:t>
      </w:r>
      <w:r>
        <w:rPr>
          <w:spacing w:val="-5"/>
          <w:w w:val="105"/>
        </w:rPr>
        <w:t xml:space="preserve"> </w:t>
      </w:r>
      <w:r>
        <w:rPr>
          <w:w w:val="105"/>
        </w:rPr>
        <w:t>m's</w:t>
      </w:r>
      <w:r>
        <w:rPr>
          <w:spacing w:val="-20"/>
          <w:w w:val="105"/>
        </w:rPr>
        <w:t xml:space="preserve"> </w:t>
      </w:r>
      <w:r>
        <w:rPr>
          <w:w w:val="105"/>
        </w:rPr>
        <w:t>and</w:t>
      </w:r>
      <w:r>
        <w:rPr>
          <w:spacing w:val="-6"/>
          <w:w w:val="105"/>
        </w:rPr>
        <w:t xml:space="preserve"> </w:t>
      </w:r>
      <w:r>
        <w:rPr>
          <w:w w:val="105"/>
        </w:rPr>
        <w:t>n's.</w:t>
      </w:r>
      <w:r>
        <w:rPr>
          <w:spacing w:val="-12"/>
          <w:w w:val="105"/>
        </w:rPr>
        <w:t xml:space="preserve"> </w:t>
      </w:r>
      <w:r>
        <w:rPr>
          <w:w w:val="105"/>
          <w:sz w:val="19"/>
        </w:rPr>
        <w:t>It</w:t>
      </w:r>
      <w:r>
        <w:rPr>
          <w:spacing w:val="-9"/>
          <w:w w:val="105"/>
          <w:sz w:val="19"/>
        </w:rPr>
        <w:t xml:space="preserve"> </w:t>
      </w:r>
      <w:r>
        <w:rPr>
          <w:w w:val="105"/>
        </w:rPr>
        <w:t>is</w:t>
      </w:r>
      <w:r>
        <w:rPr>
          <w:spacing w:val="-14"/>
          <w:w w:val="105"/>
        </w:rPr>
        <w:t xml:space="preserve"> </w:t>
      </w:r>
      <w:r>
        <w:rPr>
          <w:w w:val="105"/>
        </w:rPr>
        <w:t>also</w:t>
      </w:r>
      <w:r>
        <w:rPr>
          <w:spacing w:val="-12"/>
          <w:w w:val="105"/>
        </w:rPr>
        <w:t xml:space="preserve"> </w:t>
      </w:r>
      <w:r>
        <w:rPr>
          <w:w w:val="105"/>
        </w:rPr>
        <w:t>useful to</w:t>
      </w:r>
      <w:r>
        <w:rPr>
          <w:spacing w:val="-38"/>
          <w:w w:val="105"/>
        </w:rPr>
        <w:t xml:space="preserve"> </w:t>
      </w:r>
      <w:r>
        <w:rPr>
          <w:w w:val="105"/>
        </w:rPr>
        <w:t>determine</w:t>
      </w:r>
      <w:r>
        <w:rPr>
          <w:spacing w:val="-32"/>
          <w:w w:val="105"/>
        </w:rPr>
        <w:t xml:space="preserve"> </w:t>
      </w:r>
      <w:r>
        <w:rPr>
          <w:w w:val="105"/>
        </w:rPr>
        <w:t>(from</w:t>
      </w:r>
      <w:r>
        <w:rPr>
          <w:spacing w:val="-25"/>
          <w:w w:val="105"/>
        </w:rPr>
        <w:t xml:space="preserve"> </w:t>
      </w:r>
      <w:r>
        <w:rPr>
          <w:w w:val="105"/>
        </w:rPr>
        <w:t>the</w:t>
      </w:r>
      <w:r>
        <w:rPr>
          <w:spacing w:val="-33"/>
          <w:w w:val="105"/>
        </w:rPr>
        <w:t xml:space="preserve"> </w:t>
      </w:r>
      <w:r>
        <w:rPr>
          <w:w w:val="105"/>
        </w:rPr>
        <w:t>individual</w:t>
      </w:r>
      <w:r>
        <w:rPr>
          <w:spacing w:val="-25"/>
          <w:w w:val="105"/>
        </w:rPr>
        <w:t xml:space="preserve"> </w:t>
      </w:r>
      <w:r>
        <w:rPr>
          <w:w w:val="105"/>
        </w:rPr>
        <w:t>and</w:t>
      </w:r>
      <w:r>
        <w:rPr>
          <w:spacing w:val="-31"/>
          <w:w w:val="105"/>
        </w:rPr>
        <w:t xml:space="preserve"> </w:t>
      </w:r>
      <w:r>
        <w:rPr>
          <w:w w:val="105"/>
        </w:rPr>
        <w:t>informants)</w:t>
      </w:r>
      <w:r>
        <w:rPr>
          <w:spacing w:val="-26"/>
          <w:w w:val="105"/>
        </w:rPr>
        <w:t xml:space="preserve"> </w:t>
      </w:r>
      <w:r>
        <w:rPr>
          <w:w w:val="105"/>
        </w:rPr>
        <w:t>the</w:t>
      </w:r>
      <w:r>
        <w:rPr>
          <w:spacing w:val="-30"/>
          <w:w w:val="105"/>
        </w:rPr>
        <w:t xml:space="preserve"> </w:t>
      </w:r>
      <w:r>
        <w:rPr>
          <w:w w:val="105"/>
        </w:rPr>
        <w:t>impact</w:t>
      </w:r>
      <w:r>
        <w:rPr>
          <w:spacing w:val="-27"/>
          <w:w w:val="105"/>
        </w:rPr>
        <w:t xml:space="preserve"> </w:t>
      </w:r>
      <w:r>
        <w:rPr>
          <w:w w:val="105"/>
        </w:rPr>
        <w:t>of</w:t>
      </w:r>
      <w:r>
        <w:rPr>
          <w:spacing w:val="-29"/>
          <w:w w:val="105"/>
        </w:rPr>
        <w:t xml:space="preserve"> </w:t>
      </w:r>
      <w:r>
        <w:rPr>
          <w:w w:val="105"/>
        </w:rPr>
        <w:t>the</w:t>
      </w:r>
      <w:r>
        <w:rPr>
          <w:spacing w:val="-36"/>
          <w:w w:val="105"/>
        </w:rPr>
        <w:t xml:space="preserve"> </w:t>
      </w:r>
      <w:r>
        <w:rPr>
          <w:w w:val="105"/>
        </w:rPr>
        <w:t>disturbances</w:t>
      </w:r>
      <w:r>
        <w:rPr>
          <w:spacing w:val="-24"/>
          <w:w w:val="105"/>
        </w:rPr>
        <w:t xml:space="preserve"> </w:t>
      </w:r>
      <w:r>
        <w:rPr>
          <w:w w:val="105"/>
        </w:rPr>
        <w:t>in</w:t>
      </w:r>
      <w:r>
        <w:rPr>
          <w:spacing w:val="-34"/>
          <w:w w:val="105"/>
        </w:rPr>
        <w:t xml:space="preserve"> </w:t>
      </w:r>
      <w:r>
        <w:rPr>
          <w:w w:val="105"/>
        </w:rPr>
        <w:t>executive functioning</w:t>
      </w:r>
      <w:r>
        <w:rPr>
          <w:spacing w:val="-5"/>
          <w:w w:val="105"/>
        </w:rPr>
        <w:t xml:space="preserve"> </w:t>
      </w:r>
      <w:r>
        <w:rPr>
          <w:w w:val="105"/>
        </w:rPr>
        <w:t>on</w:t>
      </w:r>
      <w:r>
        <w:rPr>
          <w:spacing w:val="-10"/>
          <w:w w:val="105"/>
        </w:rPr>
        <w:t xml:space="preserve"> </w:t>
      </w:r>
      <w:r>
        <w:rPr>
          <w:w w:val="105"/>
        </w:rPr>
        <w:t>the</w:t>
      </w:r>
      <w:r>
        <w:rPr>
          <w:spacing w:val="-7"/>
          <w:w w:val="105"/>
        </w:rPr>
        <w:t xml:space="preserve"> </w:t>
      </w:r>
      <w:r>
        <w:rPr>
          <w:w w:val="105"/>
        </w:rPr>
        <w:t>individual's</w:t>
      </w:r>
      <w:r>
        <w:rPr>
          <w:spacing w:val="1"/>
          <w:w w:val="105"/>
        </w:rPr>
        <w:t xml:space="preserve"> </w:t>
      </w:r>
      <w:r>
        <w:rPr>
          <w:w w:val="105"/>
        </w:rPr>
        <w:t>daily</w:t>
      </w:r>
      <w:r>
        <w:rPr>
          <w:spacing w:val="-7"/>
          <w:w w:val="105"/>
        </w:rPr>
        <w:t xml:space="preserve"> </w:t>
      </w:r>
      <w:r>
        <w:rPr>
          <w:w w:val="105"/>
        </w:rPr>
        <w:t>life</w:t>
      </w:r>
      <w:r>
        <w:rPr>
          <w:spacing w:val="-13"/>
          <w:w w:val="105"/>
        </w:rPr>
        <w:t xml:space="preserve"> </w:t>
      </w:r>
      <w:r>
        <w:rPr>
          <w:w w:val="105"/>
        </w:rPr>
        <w:t>(e.g.,</w:t>
      </w:r>
      <w:r>
        <w:rPr>
          <w:spacing w:val="-4"/>
          <w:w w:val="105"/>
        </w:rPr>
        <w:t xml:space="preserve"> </w:t>
      </w:r>
      <w:r>
        <w:rPr>
          <w:w w:val="105"/>
        </w:rPr>
        <w:t>ability</w:t>
      </w:r>
      <w:r>
        <w:rPr>
          <w:spacing w:val="-7"/>
          <w:w w:val="105"/>
        </w:rPr>
        <w:t xml:space="preserve"> </w:t>
      </w:r>
      <w:r>
        <w:rPr>
          <w:w w:val="105"/>
        </w:rPr>
        <w:t>to</w:t>
      </w:r>
      <w:r>
        <w:rPr>
          <w:spacing w:val="-15"/>
          <w:w w:val="105"/>
        </w:rPr>
        <w:t xml:space="preserve"> </w:t>
      </w:r>
      <w:r>
        <w:rPr>
          <w:w w:val="105"/>
        </w:rPr>
        <w:t>work,</w:t>
      </w:r>
      <w:r>
        <w:rPr>
          <w:spacing w:val="-6"/>
          <w:w w:val="105"/>
        </w:rPr>
        <w:t xml:space="preserve"> </w:t>
      </w:r>
      <w:r>
        <w:rPr>
          <w:w w:val="105"/>
        </w:rPr>
        <w:t>plan</w:t>
      </w:r>
      <w:r>
        <w:rPr>
          <w:spacing w:val="-8"/>
          <w:w w:val="105"/>
        </w:rPr>
        <w:t xml:space="preserve"> </w:t>
      </w:r>
      <w:r>
        <w:rPr>
          <w:w w:val="105"/>
        </w:rPr>
        <w:t>activities,</w:t>
      </w:r>
      <w:r>
        <w:rPr>
          <w:spacing w:val="-1"/>
          <w:w w:val="105"/>
        </w:rPr>
        <w:t xml:space="preserve"> </w:t>
      </w:r>
      <w:r>
        <w:rPr>
          <w:w w:val="105"/>
        </w:rPr>
        <w:t>budget).</w:t>
      </w:r>
    </w:p>
    <w:p w:rsidR="00E675F0" w:rsidRDefault="00E675F0" w:rsidP="00E675F0">
      <w:pPr>
        <w:pStyle w:val="BodyText"/>
        <w:spacing w:line="252" w:lineRule="auto"/>
        <w:ind w:left="144" w:right="134" w:firstLine="363"/>
        <w:jc w:val="both"/>
      </w:pPr>
      <w:r>
        <w:rPr>
          <w:w w:val="105"/>
        </w:rPr>
        <w:t>The items in both Criterion Al (memory impairment) and Criterion A2 (aphasia, apraxia, agnosia, or disturbance in executive functioning) must be severe enough to cause significant impairment in social or occupational functioning (e.g., going to school, working, shopping, dressing, bathing, handling finances, and other activities of daily living) and must represent a decline from a previous level of functioning (Criterion B). The nature and degree of impairment are variable and often depend on the particular social</w:t>
      </w:r>
      <w:r>
        <w:rPr>
          <w:spacing w:val="-11"/>
          <w:w w:val="105"/>
        </w:rPr>
        <w:t xml:space="preserve"> </w:t>
      </w:r>
      <w:r>
        <w:rPr>
          <w:w w:val="105"/>
        </w:rPr>
        <w:t>setting</w:t>
      </w:r>
      <w:r>
        <w:rPr>
          <w:spacing w:val="-5"/>
          <w:w w:val="105"/>
        </w:rPr>
        <w:t xml:space="preserve"> </w:t>
      </w:r>
      <w:r>
        <w:rPr>
          <w:w w:val="105"/>
        </w:rPr>
        <w:t>of</w:t>
      </w:r>
      <w:r>
        <w:rPr>
          <w:spacing w:val="-4"/>
          <w:w w:val="105"/>
        </w:rPr>
        <w:t xml:space="preserve"> </w:t>
      </w:r>
      <w:r>
        <w:rPr>
          <w:w w:val="105"/>
        </w:rPr>
        <w:t>the</w:t>
      </w:r>
      <w:r>
        <w:rPr>
          <w:spacing w:val="-13"/>
          <w:w w:val="105"/>
        </w:rPr>
        <w:t xml:space="preserve"> </w:t>
      </w:r>
      <w:r>
        <w:rPr>
          <w:w w:val="105"/>
        </w:rPr>
        <w:t>individual.</w:t>
      </w:r>
      <w:r>
        <w:rPr>
          <w:spacing w:val="-7"/>
          <w:w w:val="105"/>
        </w:rPr>
        <w:t xml:space="preserve"> </w:t>
      </w:r>
      <w:r>
        <w:rPr>
          <w:w w:val="105"/>
        </w:rPr>
        <w:t>The</w:t>
      </w:r>
      <w:r>
        <w:rPr>
          <w:spacing w:val="-17"/>
          <w:w w:val="105"/>
        </w:rPr>
        <w:t xml:space="preserve"> </w:t>
      </w:r>
      <w:r>
        <w:rPr>
          <w:w w:val="105"/>
        </w:rPr>
        <w:t>same</w:t>
      </w:r>
      <w:r>
        <w:rPr>
          <w:spacing w:val="-20"/>
          <w:w w:val="105"/>
        </w:rPr>
        <w:t xml:space="preserve"> </w:t>
      </w:r>
      <w:r>
        <w:rPr>
          <w:w w:val="105"/>
        </w:rPr>
        <w:t>level</w:t>
      </w:r>
      <w:r>
        <w:rPr>
          <w:spacing w:val="-8"/>
          <w:w w:val="105"/>
        </w:rPr>
        <w:t xml:space="preserve"> </w:t>
      </w:r>
      <w:r>
        <w:rPr>
          <w:w w:val="105"/>
        </w:rPr>
        <w:t>of</w:t>
      </w:r>
      <w:r>
        <w:rPr>
          <w:spacing w:val="-7"/>
          <w:w w:val="105"/>
        </w:rPr>
        <w:t xml:space="preserve"> </w:t>
      </w:r>
      <w:r>
        <w:rPr>
          <w:w w:val="105"/>
        </w:rPr>
        <w:t>cognitive</w:t>
      </w:r>
      <w:r>
        <w:rPr>
          <w:spacing w:val="-5"/>
          <w:w w:val="105"/>
        </w:rPr>
        <w:t xml:space="preserve"> </w:t>
      </w:r>
      <w:r>
        <w:rPr>
          <w:w w:val="105"/>
        </w:rPr>
        <w:t>impairment</w:t>
      </w:r>
      <w:r>
        <w:rPr>
          <w:spacing w:val="8"/>
          <w:w w:val="105"/>
        </w:rPr>
        <w:t xml:space="preserve"> </w:t>
      </w:r>
      <w:r>
        <w:rPr>
          <w:w w:val="105"/>
        </w:rPr>
        <w:t>may</w:t>
      </w:r>
      <w:r>
        <w:rPr>
          <w:spacing w:val="-17"/>
          <w:w w:val="105"/>
        </w:rPr>
        <w:t xml:space="preserve"> </w:t>
      </w:r>
      <w:r>
        <w:rPr>
          <w:w w:val="105"/>
        </w:rPr>
        <w:t>significantly impair an individual's ability to perform a complex job, but not a job that is less demanding. Standardized published rating scales that measure physical maintenance (e.g., personal hygiene), intellectual functioning, and the ability to use implements or tools (e.g., telephone, washing machine) can be used to measure the severity of impairment.</w:t>
      </w:r>
    </w:p>
    <w:p w:rsidR="00E675F0" w:rsidRDefault="00E675F0" w:rsidP="00E675F0">
      <w:pPr>
        <w:pStyle w:val="BodyText"/>
        <w:spacing w:line="252" w:lineRule="auto"/>
        <w:ind w:left="146" w:right="131" w:firstLine="369"/>
        <w:jc w:val="both"/>
      </w:pPr>
      <w:r>
        <w:rPr>
          <w:w w:val="110"/>
        </w:rPr>
        <w:t>Dementia</w:t>
      </w:r>
      <w:r>
        <w:rPr>
          <w:spacing w:val="-4"/>
          <w:w w:val="110"/>
        </w:rPr>
        <w:t xml:space="preserve"> </w:t>
      </w:r>
      <w:r>
        <w:rPr>
          <w:w w:val="110"/>
        </w:rPr>
        <w:t>is</w:t>
      </w:r>
      <w:r>
        <w:rPr>
          <w:spacing w:val="-15"/>
          <w:w w:val="110"/>
        </w:rPr>
        <w:t xml:space="preserve"> </w:t>
      </w:r>
      <w:r>
        <w:rPr>
          <w:w w:val="110"/>
        </w:rPr>
        <w:t>not</w:t>
      </w:r>
      <w:r>
        <w:rPr>
          <w:spacing w:val="-12"/>
          <w:w w:val="110"/>
        </w:rPr>
        <w:t xml:space="preserve"> </w:t>
      </w:r>
      <w:r>
        <w:rPr>
          <w:w w:val="110"/>
        </w:rPr>
        <w:t>diagnosed</w:t>
      </w:r>
      <w:r>
        <w:rPr>
          <w:spacing w:val="-1"/>
          <w:w w:val="110"/>
        </w:rPr>
        <w:t xml:space="preserve"> </w:t>
      </w:r>
      <w:r>
        <w:rPr>
          <w:w w:val="110"/>
        </w:rPr>
        <w:t>if</w:t>
      </w:r>
      <w:r>
        <w:rPr>
          <w:spacing w:val="-8"/>
          <w:w w:val="110"/>
        </w:rPr>
        <w:t xml:space="preserve"> </w:t>
      </w:r>
      <w:r>
        <w:rPr>
          <w:w w:val="110"/>
        </w:rPr>
        <w:t>these</w:t>
      </w:r>
      <w:r>
        <w:rPr>
          <w:spacing w:val="-15"/>
          <w:w w:val="110"/>
        </w:rPr>
        <w:t xml:space="preserve"> </w:t>
      </w:r>
      <w:r>
        <w:rPr>
          <w:w w:val="110"/>
        </w:rPr>
        <w:t>symptoms</w:t>
      </w:r>
      <w:r>
        <w:rPr>
          <w:spacing w:val="-8"/>
          <w:w w:val="110"/>
        </w:rPr>
        <w:t xml:space="preserve"> </w:t>
      </w:r>
      <w:r>
        <w:rPr>
          <w:w w:val="110"/>
        </w:rPr>
        <w:t>occur</w:t>
      </w:r>
      <w:r>
        <w:rPr>
          <w:spacing w:val="-14"/>
          <w:w w:val="110"/>
        </w:rPr>
        <w:t xml:space="preserve"> </w:t>
      </w:r>
      <w:r>
        <w:rPr>
          <w:w w:val="110"/>
        </w:rPr>
        <w:t>exclusively</w:t>
      </w:r>
      <w:r>
        <w:rPr>
          <w:spacing w:val="1"/>
          <w:w w:val="110"/>
        </w:rPr>
        <w:t xml:space="preserve"> </w:t>
      </w:r>
      <w:r>
        <w:rPr>
          <w:w w:val="110"/>
        </w:rPr>
        <w:t>during</w:t>
      </w:r>
      <w:r>
        <w:rPr>
          <w:spacing w:val="-10"/>
          <w:w w:val="110"/>
        </w:rPr>
        <w:t xml:space="preserve"> </w:t>
      </w:r>
      <w:r>
        <w:rPr>
          <w:w w:val="110"/>
        </w:rPr>
        <w:t>the</w:t>
      </w:r>
      <w:r>
        <w:rPr>
          <w:spacing w:val="-11"/>
          <w:w w:val="110"/>
        </w:rPr>
        <w:t xml:space="preserve"> </w:t>
      </w:r>
      <w:r>
        <w:rPr>
          <w:w w:val="110"/>
        </w:rPr>
        <w:t>course of</w:t>
      </w:r>
      <w:r>
        <w:rPr>
          <w:spacing w:val="-14"/>
          <w:w w:val="110"/>
        </w:rPr>
        <w:t xml:space="preserve"> </w:t>
      </w:r>
      <w:r>
        <w:rPr>
          <w:w w:val="110"/>
        </w:rPr>
        <w:t>a</w:t>
      </w:r>
      <w:r>
        <w:rPr>
          <w:spacing w:val="-19"/>
          <w:w w:val="110"/>
        </w:rPr>
        <w:t xml:space="preserve"> </w:t>
      </w:r>
      <w:r>
        <w:rPr>
          <w:w w:val="110"/>
        </w:rPr>
        <w:t>delirium.</w:t>
      </w:r>
      <w:r>
        <w:rPr>
          <w:spacing w:val="-15"/>
          <w:w w:val="110"/>
        </w:rPr>
        <w:t xml:space="preserve"> </w:t>
      </w:r>
      <w:r>
        <w:rPr>
          <w:w w:val="110"/>
        </w:rPr>
        <w:t>However,</w:t>
      </w:r>
      <w:r>
        <w:rPr>
          <w:spacing w:val="-8"/>
          <w:w w:val="110"/>
        </w:rPr>
        <w:t xml:space="preserve"> </w:t>
      </w:r>
      <w:r>
        <w:rPr>
          <w:w w:val="110"/>
        </w:rPr>
        <w:t>a</w:t>
      </w:r>
      <w:r>
        <w:rPr>
          <w:spacing w:val="-18"/>
          <w:w w:val="110"/>
        </w:rPr>
        <w:t xml:space="preserve"> </w:t>
      </w:r>
      <w:r>
        <w:rPr>
          <w:w w:val="110"/>
        </w:rPr>
        <w:t>delirium</w:t>
      </w:r>
      <w:r>
        <w:rPr>
          <w:spacing w:val="-12"/>
          <w:w w:val="110"/>
        </w:rPr>
        <w:t xml:space="preserve"> </w:t>
      </w:r>
      <w:r>
        <w:rPr>
          <w:w w:val="110"/>
        </w:rPr>
        <w:t>may</w:t>
      </w:r>
      <w:r>
        <w:rPr>
          <w:spacing w:val="-18"/>
          <w:w w:val="110"/>
        </w:rPr>
        <w:t xml:space="preserve"> </w:t>
      </w:r>
      <w:r>
        <w:rPr>
          <w:w w:val="110"/>
        </w:rPr>
        <w:t>be</w:t>
      </w:r>
      <w:r>
        <w:rPr>
          <w:spacing w:val="-12"/>
          <w:w w:val="110"/>
        </w:rPr>
        <w:t xml:space="preserve"> </w:t>
      </w:r>
      <w:r>
        <w:rPr>
          <w:w w:val="110"/>
        </w:rPr>
        <w:t>superimposed</w:t>
      </w:r>
      <w:r>
        <w:rPr>
          <w:spacing w:val="-10"/>
          <w:w w:val="110"/>
        </w:rPr>
        <w:t xml:space="preserve"> </w:t>
      </w:r>
      <w:r>
        <w:rPr>
          <w:w w:val="110"/>
        </w:rPr>
        <w:t>on</w:t>
      </w:r>
      <w:r>
        <w:rPr>
          <w:spacing w:val="-15"/>
          <w:w w:val="110"/>
        </w:rPr>
        <w:t xml:space="preserve"> </w:t>
      </w:r>
      <w:r>
        <w:rPr>
          <w:w w:val="110"/>
        </w:rPr>
        <w:t>a</w:t>
      </w:r>
      <w:r>
        <w:rPr>
          <w:spacing w:val="-14"/>
          <w:w w:val="110"/>
        </w:rPr>
        <w:t xml:space="preserve"> </w:t>
      </w:r>
      <w:r>
        <w:rPr>
          <w:w w:val="110"/>
        </w:rPr>
        <w:t>preexisting</w:t>
      </w:r>
      <w:r>
        <w:rPr>
          <w:spacing w:val="-12"/>
          <w:w w:val="110"/>
        </w:rPr>
        <w:t xml:space="preserve"> </w:t>
      </w:r>
      <w:r>
        <w:rPr>
          <w:w w:val="110"/>
        </w:rPr>
        <w:t>dementia,</w:t>
      </w:r>
      <w:r>
        <w:rPr>
          <w:spacing w:val="-8"/>
          <w:w w:val="110"/>
        </w:rPr>
        <w:t xml:space="preserve"> </w:t>
      </w:r>
      <w:r>
        <w:rPr>
          <w:w w:val="110"/>
        </w:rPr>
        <w:t>in which case both diagnoses should be</w:t>
      </w:r>
      <w:r>
        <w:rPr>
          <w:spacing w:val="53"/>
          <w:w w:val="110"/>
        </w:rPr>
        <w:t xml:space="preserve"> </w:t>
      </w:r>
      <w:r>
        <w:rPr>
          <w:w w:val="110"/>
        </w:rPr>
        <w:t>given.</w:t>
      </w:r>
    </w:p>
    <w:p w:rsidR="00E675F0" w:rsidRDefault="00E675F0" w:rsidP="00E675F0">
      <w:pPr>
        <w:pStyle w:val="BodyText"/>
        <w:rPr>
          <w:sz w:val="22"/>
        </w:rPr>
      </w:pPr>
    </w:p>
    <w:p w:rsidR="00E675F0" w:rsidRDefault="00E675F0" w:rsidP="00E675F0">
      <w:pPr>
        <w:pStyle w:val="BodyText"/>
        <w:spacing w:before="6"/>
        <w:rPr>
          <w:sz w:val="22"/>
        </w:rPr>
      </w:pPr>
    </w:p>
    <w:p w:rsidR="00E675F0" w:rsidRDefault="00E675F0" w:rsidP="00E675F0">
      <w:pPr>
        <w:ind w:left="133"/>
        <w:jc w:val="both"/>
        <w:rPr>
          <w:rFonts w:ascii="TimesNewRomanPS-BoldItalicMT"/>
          <w:b/>
          <w:i/>
          <w:sz w:val="24"/>
        </w:rPr>
      </w:pPr>
      <w:r>
        <w:rPr>
          <w:rFonts w:ascii="TimesNewRomanPS-BoldItalicMT"/>
          <w:b/>
          <w:i/>
          <w:w w:val="115"/>
          <w:sz w:val="24"/>
        </w:rPr>
        <w:t>Associated Features and</w:t>
      </w:r>
      <w:r>
        <w:rPr>
          <w:rFonts w:ascii="TimesNewRomanPS-BoldItalicMT"/>
          <w:b/>
          <w:i/>
          <w:spacing w:val="51"/>
          <w:w w:val="115"/>
          <w:sz w:val="24"/>
        </w:rPr>
        <w:t xml:space="preserve"> </w:t>
      </w:r>
      <w:r>
        <w:rPr>
          <w:rFonts w:ascii="TimesNewRomanPS-BoldItalicMT"/>
          <w:b/>
          <w:i/>
          <w:w w:val="115"/>
          <w:sz w:val="24"/>
        </w:rPr>
        <w:t>Disorders</w:t>
      </w:r>
    </w:p>
    <w:p w:rsidR="00E675F0" w:rsidRDefault="00E675F0" w:rsidP="00E675F0">
      <w:pPr>
        <w:pStyle w:val="BodyText"/>
        <w:spacing w:before="185" w:line="254" w:lineRule="auto"/>
        <w:ind w:left="150" w:right="127" w:hanging="4"/>
        <w:jc w:val="both"/>
      </w:pPr>
      <w:r>
        <w:rPr>
          <w:b/>
          <w:w w:val="105"/>
          <w:sz w:val="21"/>
        </w:rPr>
        <w:t xml:space="preserve">Associated descriptive features and mental disorders. </w:t>
      </w:r>
      <w:r>
        <w:rPr>
          <w:w w:val="105"/>
        </w:rPr>
        <w:t>Individuals with dementia may become spatially disoriented and have difficulty with spatial tasks. Visuospatial functioning can be assessed by asking the individual to copy drawings, such as a circle, overlapping pentagons, and a cube. Poor judgment and poor insight are common in dementia. Individuals may exhibit little or no awareness of memory loss or other cognitive abnormalities. They may make unrealistic assessments of their abilities and</w:t>
      </w:r>
    </w:p>
    <w:p w:rsidR="00E675F0" w:rsidRDefault="00E675F0" w:rsidP="00E675F0">
      <w:pPr>
        <w:spacing w:line="254" w:lineRule="auto"/>
        <w:jc w:val="both"/>
        <w:sectPr w:rsidR="00E675F0">
          <w:pgSz w:w="8960" w:h="14260"/>
          <w:pgMar w:top="980" w:right="600" w:bottom="280" w:left="600" w:header="656" w:footer="0" w:gutter="0"/>
          <w:cols w:space="720"/>
        </w:sectPr>
      </w:pPr>
    </w:p>
    <w:p w:rsidR="00E675F0" w:rsidRDefault="00E675F0" w:rsidP="00E675F0">
      <w:pPr>
        <w:pStyle w:val="BodyText"/>
      </w:pPr>
    </w:p>
    <w:p w:rsidR="00E675F0" w:rsidRDefault="00E675F0" w:rsidP="00E675F0">
      <w:pPr>
        <w:pStyle w:val="BodyText"/>
        <w:spacing w:before="3"/>
        <w:rPr>
          <w:sz w:val="19"/>
        </w:rPr>
      </w:pPr>
    </w:p>
    <w:p w:rsidR="00E675F0" w:rsidRDefault="00E675F0" w:rsidP="00E675F0">
      <w:pPr>
        <w:pStyle w:val="BodyText"/>
        <w:spacing w:before="92" w:line="254" w:lineRule="auto"/>
        <w:ind w:left="111" w:right="147" w:firstLine="9"/>
        <w:jc w:val="both"/>
      </w:pPr>
      <w:r>
        <w:rPr>
          <w:w w:val="105"/>
        </w:rPr>
        <w:t>make plans that are not congruent with their deficits and prognosis (e.g., planning to  start a new business). They may underestimate the risks involved in activities (e.g., driving). Occasionally, they may harm others by becoming violent. Suicidal behavior may occur, particularly in early stages when the individual is more capable of carrying out a plan of action. Dementia is sometimes accompanied by motor disturbances of gait leading to falls. Some individuals with dementia show disinhibited behavior, including making inappropriate jokes, neglecting personal hygiene, exhibiting undue familiarity with strangers, or disregarding conventional rules of social conduct. Slurred speech may occur in dementia that is associated with subcortical pathology such as Parkinson's disease, Huntington's disease, and some cases of Vascular Dementia. The multiple cognitive impairments of dementia are often associated with anxiety, mood, and sleep disturbances. Delusions are common, especially those involving themes of persecution (e.g., that misplaced possessions have been stolen). Hallucinations can occur in all sensory modalities, but visual hallucinations are most common. Delirium is frequently superimposed on dementia because the underlying brain disease may increase suscep­ tibility to confusional states that may be produced by medications or other concurrent general medical conditions. Individuals with dementia may be especially vulnerable to physical stressors (e.g., illness or minor surgery) and psychosocial stressors (e.g., going to the hospital, bereavement), which may exacerbate their intellectual deficits and other associated</w:t>
      </w:r>
      <w:r>
        <w:rPr>
          <w:spacing w:val="29"/>
          <w:w w:val="105"/>
        </w:rPr>
        <w:t xml:space="preserve"> </w:t>
      </w:r>
      <w:r>
        <w:rPr>
          <w:w w:val="105"/>
        </w:rPr>
        <w:t>problems.</w:t>
      </w:r>
    </w:p>
    <w:p w:rsidR="00E675F0" w:rsidRDefault="00E675F0" w:rsidP="00E675F0">
      <w:pPr>
        <w:pStyle w:val="BodyText"/>
        <w:rPr>
          <w:sz w:val="22"/>
        </w:rPr>
      </w:pPr>
    </w:p>
    <w:p w:rsidR="00E675F0" w:rsidRDefault="00E675F0" w:rsidP="00E675F0">
      <w:pPr>
        <w:pStyle w:val="BodyText"/>
        <w:spacing w:before="11"/>
      </w:pPr>
    </w:p>
    <w:p w:rsidR="00E675F0" w:rsidRDefault="00E675F0" w:rsidP="00E675F0">
      <w:pPr>
        <w:pStyle w:val="BodyText"/>
        <w:spacing w:line="252" w:lineRule="auto"/>
        <w:ind w:left="117" w:right="146" w:hanging="7"/>
        <w:jc w:val="both"/>
      </w:pPr>
      <w:r>
        <w:rPr>
          <w:b/>
          <w:w w:val="105"/>
        </w:rPr>
        <w:t xml:space="preserve">Associated laboratory f'tndings. </w:t>
      </w:r>
      <w:r>
        <w:rPr>
          <w:w w:val="105"/>
        </w:rPr>
        <w:t>A discussion of associated  laboratory findings that are specific to types of dementia is included in the text for each dementia. Invariably there are abnormalities in cognitive and memory functioning, which can be assessed using mental status examinations and neuropsychological testing. Neuroimaging  may aid in the differential diagnosis of dementia. Computed tomography (CD or magnetic resonance imaging (MRI) may reveal cerebral atrophy, focal brain lesions (cortical strokes, tumors, subdural hematomas), hydrocephalus, or periventricular ischemic brain injury.</w:t>
      </w:r>
      <w:r>
        <w:rPr>
          <w:spacing w:val="-4"/>
          <w:w w:val="105"/>
        </w:rPr>
        <w:t xml:space="preserve"> </w:t>
      </w:r>
      <w:r>
        <w:rPr>
          <w:w w:val="105"/>
        </w:rPr>
        <w:t>Functional</w:t>
      </w:r>
      <w:r>
        <w:rPr>
          <w:spacing w:val="-7"/>
          <w:w w:val="105"/>
        </w:rPr>
        <w:t xml:space="preserve"> </w:t>
      </w:r>
      <w:r>
        <w:rPr>
          <w:w w:val="105"/>
        </w:rPr>
        <w:t>imaging</w:t>
      </w:r>
      <w:r>
        <w:rPr>
          <w:spacing w:val="-9"/>
          <w:w w:val="105"/>
        </w:rPr>
        <w:t xml:space="preserve"> </w:t>
      </w:r>
      <w:r>
        <w:rPr>
          <w:w w:val="105"/>
        </w:rPr>
        <w:t>such</w:t>
      </w:r>
      <w:r>
        <w:rPr>
          <w:spacing w:val="-8"/>
          <w:w w:val="105"/>
        </w:rPr>
        <w:t xml:space="preserve"> </w:t>
      </w:r>
      <w:r>
        <w:rPr>
          <w:w w:val="105"/>
        </w:rPr>
        <w:t>as</w:t>
      </w:r>
      <w:r>
        <w:rPr>
          <w:spacing w:val="-10"/>
          <w:w w:val="105"/>
        </w:rPr>
        <w:t xml:space="preserve"> </w:t>
      </w:r>
      <w:r>
        <w:rPr>
          <w:w w:val="105"/>
        </w:rPr>
        <w:t>positron-emission</w:t>
      </w:r>
      <w:r>
        <w:rPr>
          <w:spacing w:val="-7"/>
          <w:w w:val="105"/>
        </w:rPr>
        <w:t xml:space="preserve"> </w:t>
      </w:r>
      <w:r>
        <w:rPr>
          <w:w w:val="105"/>
        </w:rPr>
        <w:t>tomography</w:t>
      </w:r>
      <w:r>
        <w:rPr>
          <w:spacing w:val="-4"/>
          <w:w w:val="105"/>
        </w:rPr>
        <w:t xml:space="preserve"> </w:t>
      </w:r>
      <w:r>
        <w:rPr>
          <w:w w:val="105"/>
        </w:rPr>
        <w:t>(PET)</w:t>
      </w:r>
      <w:r>
        <w:rPr>
          <w:spacing w:val="-14"/>
          <w:w w:val="105"/>
        </w:rPr>
        <w:t xml:space="preserve"> </w:t>
      </w:r>
      <w:r>
        <w:rPr>
          <w:w w:val="105"/>
        </w:rPr>
        <w:t>or</w:t>
      </w:r>
      <w:r>
        <w:rPr>
          <w:spacing w:val="-16"/>
          <w:w w:val="105"/>
        </w:rPr>
        <w:t xml:space="preserve"> </w:t>
      </w:r>
      <w:r>
        <w:rPr>
          <w:w w:val="105"/>
        </w:rPr>
        <w:t>single</w:t>
      </w:r>
      <w:r>
        <w:rPr>
          <w:spacing w:val="-4"/>
          <w:w w:val="105"/>
        </w:rPr>
        <w:t xml:space="preserve"> </w:t>
      </w:r>
      <w:r>
        <w:rPr>
          <w:w w:val="105"/>
        </w:rPr>
        <w:t>photon emission computed tomography (SPECT) are not routinely used in the evaluation of dementia, but may provide useful differential diagnostic information (e.g., parietal lobe changes in Alzheimer's disease or frontal lobe alterations in frontal lobe degenerations) in individuals without evidence of structural changes on CT or MRI</w:t>
      </w:r>
      <w:r>
        <w:rPr>
          <w:spacing w:val="11"/>
          <w:w w:val="105"/>
        </w:rPr>
        <w:t xml:space="preserve"> </w:t>
      </w:r>
      <w:r>
        <w:rPr>
          <w:w w:val="105"/>
        </w:rPr>
        <w:t>scans.</w:t>
      </w:r>
    </w:p>
    <w:p w:rsidR="00E675F0" w:rsidRDefault="00E675F0" w:rsidP="00E675F0">
      <w:pPr>
        <w:pStyle w:val="BodyText"/>
        <w:rPr>
          <w:sz w:val="22"/>
        </w:rPr>
      </w:pPr>
    </w:p>
    <w:p w:rsidR="00E675F0" w:rsidRDefault="00E675F0" w:rsidP="00E675F0">
      <w:pPr>
        <w:pStyle w:val="BodyText"/>
        <w:spacing w:before="9"/>
        <w:rPr>
          <w:sz w:val="19"/>
        </w:rPr>
      </w:pPr>
    </w:p>
    <w:p w:rsidR="00E675F0" w:rsidRDefault="00E675F0" w:rsidP="00E675F0">
      <w:pPr>
        <w:pStyle w:val="BodyText"/>
        <w:spacing w:before="1" w:line="254" w:lineRule="auto"/>
        <w:ind w:left="116" w:right="140" w:hanging="1"/>
        <w:jc w:val="both"/>
      </w:pPr>
      <w:r>
        <w:rPr>
          <w:b/>
          <w:w w:val="105"/>
        </w:rPr>
        <w:t xml:space="preserve">Associated   physical   examination   findings   </w:t>
      </w:r>
      <w:r>
        <w:rPr>
          <w:b/>
          <w:spacing w:val="2"/>
          <w:w w:val="105"/>
        </w:rPr>
        <w:t xml:space="preserve">andgeneral   </w:t>
      </w:r>
      <w:r>
        <w:rPr>
          <w:b/>
          <w:w w:val="105"/>
        </w:rPr>
        <w:t xml:space="preserve">medical   conditions. </w:t>
      </w:r>
      <w:r>
        <w:rPr>
          <w:w w:val="105"/>
        </w:rPr>
        <w:t xml:space="preserve">The associated physical examination findings of dementia depend on the nature, locarion, and stage of progression of the underlying pathology. The most common cause of dementia is Alzheimer's disease, followed by vascular disease, and then by multiple etiologies. Other causes of dementia include Pick's disease, normal-pressure hydroceph­ alus, Parkinson's disease, Huntington's disease, traumatic brain injury, brain tumors, anoxia, infectious disorders (e.g., human immunodeficiency virus [HIV], syphilis), prion diseases (e.g., Creutzfeldt-Jakob disease), endocrine conditions (e.g., hypothyroidism, hypercalcemia, hypoglycemia), vitamin deficiencies (e.g., deficiencies of thiamine, niacin, vitamin </w:t>
      </w:r>
      <w:r>
        <w:rPr>
          <w:w w:val="105"/>
          <w:sz w:val="17"/>
        </w:rPr>
        <w:t xml:space="preserve">B12), </w:t>
      </w:r>
      <w:r>
        <w:rPr>
          <w:w w:val="105"/>
        </w:rPr>
        <w:t>immune disorders (e.g., polymyalgia rheumatica, systemic lupus erythematosus), hepatic conditions, metabolic conditions (e.g., Kufs' disease, adreno­ leukodystrophy, metachromatic leukodystrophy, and other storage diseases of adult­ hood and childhood), and other neurological conditions (e.g., multiple</w:t>
      </w:r>
      <w:r>
        <w:rPr>
          <w:spacing w:val="8"/>
          <w:w w:val="105"/>
        </w:rPr>
        <w:t xml:space="preserve"> </w:t>
      </w:r>
      <w:r>
        <w:rPr>
          <w:w w:val="105"/>
        </w:rPr>
        <w:t>sclerosis).</w:t>
      </w:r>
    </w:p>
    <w:p w:rsidR="00E675F0" w:rsidRDefault="00E675F0" w:rsidP="00E675F0">
      <w:pPr>
        <w:spacing w:line="254" w:lineRule="auto"/>
        <w:jc w:val="both"/>
        <w:sectPr w:rsidR="00E675F0">
          <w:pgSz w:w="8960" w:h="14260"/>
          <w:pgMar w:top="1000" w:right="600" w:bottom="280" w:left="600" w:header="690" w:footer="0" w:gutter="0"/>
          <w:cols w:space="720"/>
        </w:sectPr>
      </w:pPr>
    </w:p>
    <w:p w:rsidR="00E675F0" w:rsidRDefault="00E675F0" w:rsidP="00E675F0">
      <w:pPr>
        <w:spacing w:before="121"/>
        <w:ind w:left="128"/>
        <w:rPr>
          <w:rFonts w:ascii="TimesNewRomanPS-BoldItalicMT"/>
          <w:b/>
          <w:i/>
          <w:sz w:val="24"/>
        </w:rPr>
      </w:pPr>
      <w:r>
        <w:rPr>
          <w:rFonts w:ascii="TimesNewRomanPS-BoldItalicMT"/>
          <w:b/>
          <w:i/>
          <w:w w:val="115"/>
          <w:sz w:val="24"/>
        </w:rPr>
        <w:lastRenderedPageBreak/>
        <w:t>Specific Culture and Age Features</w:t>
      </w:r>
    </w:p>
    <w:p w:rsidR="00E675F0" w:rsidRDefault="00E675F0" w:rsidP="00E675F0">
      <w:pPr>
        <w:pStyle w:val="BodyText"/>
        <w:spacing w:before="131" w:line="254" w:lineRule="auto"/>
        <w:ind w:left="132" w:right="116" w:firstLine="2"/>
        <w:jc w:val="both"/>
      </w:pPr>
      <w:r>
        <w:rPr>
          <w:w w:val="105"/>
        </w:rPr>
        <w:t>Cultural and educational background should be taken into consideration in the evaluation of an individual's mental capacity. Individuals from certain backgrounds may not be familiar with the information used in certain tests of general knowledge (e.g., names of presidents, geographical knowledge), memory (e.g., date of birth in cultures that do not routinely celebrate birthdays), and orientation (e.g., sense of place and location may be conceptualized differently in some cultures). The prevalence of different causes of dementia (e.g., infections, nutritional deficiencies, traumatic brain injury, endocrine conditions, cerebrovascular diseases, seizure disorders, brain tumors, sub­ stance abuse) varies substantially across cultural</w:t>
      </w:r>
      <w:r>
        <w:rPr>
          <w:spacing w:val="23"/>
          <w:w w:val="105"/>
        </w:rPr>
        <w:t xml:space="preserve"> </w:t>
      </w:r>
      <w:r>
        <w:rPr>
          <w:w w:val="105"/>
        </w:rPr>
        <w:t>groups.</w:t>
      </w:r>
    </w:p>
    <w:p w:rsidR="00E675F0" w:rsidRDefault="00E675F0" w:rsidP="00E675F0">
      <w:pPr>
        <w:pStyle w:val="BodyText"/>
        <w:spacing w:line="254" w:lineRule="auto"/>
        <w:ind w:left="137" w:right="126" w:firstLine="359"/>
        <w:jc w:val="both"/>
      </w:pPr>
      <w:r>
        <w:rPr>
          <w:w w:val="105"/>
        </w:rPr>
        <w:t xml:space="preserve">The age at onset of dementia depends on the etiology, but is usually  late in life, with highest prevalence above age 85 years. A significant deterioration in memory and in multiple cognitive skills, which is necessary for the diagnosis of dementia, may be difficult </w:t>
      </w:r>
      <w:r>
        <w:rPr>
          <w:w w:val="105"/>
          <w:sz w:val="18"/>
        </w:rPr>
        <w:t xml:space="preserve">to </w:t>
      </w:r>
      <w:r>
        <w:rPr>
          <w:w w:val="105"/>
        </w:rPr>
        <w:t>document in very young children. Thus, the diagnosis of dementia may not be practical until the child is older (usually between ages 4 and 6 years). In individuals under</w:t>
      </w:r>
      <w:r>
        <w:rPr>
          <w:spacing w:val="-16"/>
          <w:w w:val="105"/>
        </w:rPr>
        <w:t xml:space="preserve"> </w:t>
      </w:r>
      <w:r>
        <w:rPr>
          <w:w w:val="105"/>
        </w:rPr>
        <w:t>age</w:t>
      </w:r>
      <w:r>
        <w:rPr>
          <w:spacing w:val="-18"/>
          <w:w w:val="105"/>
        </w:rPr>
        <w:t xml:space="preserve"> </w:t>
      </w:r>
      <w:r>
        <w:rPr>
          <w:w w:val="105"/>
        </w:rPr>
        <w:t>18</w:t>
      </w:r>
      <w:r>
        <w:rPr>
          <w:spacing w:val="-21"/>
          <w:w w:val="105"/>
        </w:rPr>
        <w:t xml:space="preserve"> </w:t>
      </w:r>
      <w:r>
        <w:rPr>
          <w:w w:val="105"/>
        </w:rPr>
        <w:t>years</w:t>
      </w:r>
      <w:r>
        <w:rPr>
          <w:spacing w:val="-9"/>
          <w:w w:val="105"/>
        </w:rPr>
        <w:t xml:space="preserve"> </w:t>
      </w:r>
      <w:r>
        <w:rPr>
          <w:w w:val="105"/>
        </w:rPr>
        <w:t>with</w:t>
      </w:r>
      <w:r>
        <w:rPr>
          <w:spacing w:val="-9"/>
          <w:w w:val="105"/>
        </w:rPr>
        <w:t xml:space="preserve"> </w:t>
      </w:r>
      <w:r>
        <w:rPr>
          <w:w w:val="105"/>
        </w:rPr>
        <w:t>Mental</w:t>
      </w:r>
      <w:r>
        <w:rPr>
          <w:spacing w:val="-2"/>
          <w:w w:val="105"/>
        </w:rPr>
        <w:t xml:space="preserve"> </w:t>
      </w:r>
      <w:r>
        <w:rPr>
          <w:w w:val="105"/>
        </w:rPr>
        <w:t>Retardation,</w:t>
      </w:r>
      <w:r>
        <w:rPr>
          <w:spacing w:val="-4"/>
          <w:w w:val="105"/>
        </w:rPr>
        <w:t xml:space="preserve"> </w:t>
      </w:r>
      <w:r>
        <w:rPr>
          <w:w w:val="105"/>
        </w:rPr>
        <w:t>an additional</w:t>
      </w:r>
      <w:r>
        <w:rPr>
          <w:spacing w:val="-5"/>
          <w:w w:val="105"/>
        </w:rPr>
        <w:t xml:space="preserve"> </w:t>
      </w:r>
      <w:r>
        <w:rPr>
          <w:w w:val="105"/>
        </w:rPr>
        <w:t>diagnosis</w:t>
      </w:r>
      <w:r>
        <w:rPr>
          <w:spacing w:val="-3"/>
          <w:w w:val="105"/>
        </w:rPr>
        <w:t xml:space="preserve"> </w:t>
      </w:r>
      <w:r>
        <w:rPr>
          <w:w w:val="105"/>
        </w:rPr>
        <w:t>of</w:t>
      </w:r>
      <w:r>
        <w:rPr>
          <w:spacing w:val="-9"/>
          <w:w w:val="105"/>
        </w:rPr>
        <w:t xml:space="preserve"> </w:t>
      </w:r>
      <w:r>
        <w:rPr>
          <w:w w:val="105"/>
        </w:rPr>
        <w:t>a</w:t>
      </w:r>
      <w:r>
        <w:rPr>
          <w:spacing w:val="-12"/>
          <w:w w:val="105"/>
        </w:rPr>
        <w:t xml:space="preserve"> </w:t>
      </w:r>
      <w:r>
        <w:rPr>
          <w:w w:val="105"/>
        </w:rPr>
        <w:t>dementia</w:t>
      </w:r>
      <w:r>
        <w:rPr>
          <w:spacing w:val="-5"/>
          <w:w w:val="105"/>
        </w:rPr>
        <w:t xml:space="preserve"> </w:t>
      </w:r>
      <w:r>
        <w:rPr>
          <w:w w:val="105"/>
        </w:rPr>
        <w:t>should be</w:t>
      </w:r>
      <w:r>
        <w:rPr>
          <w:spacing w:val="-6"/>
          <w:w w:val="105"/>
        </w:rPr>
        <w:t xml:space="preserve"> </w:t>
      </w:r>
      <w:r>
        <w:rPr>
          <w:w w:val="105"/>
        </w:rPr>
        <w:t>made</w:t>
      </w:r>
      <w:r>
        <w:rPr>
          <w:spacing w:val="-12"/>
          <w:w w:val="105"/>
        </w:rPr>
        <w:t xml:space="preserve"> </w:t>
      </w:r>
      <w:r>
        <w:rPr>
          <w:w w:val="105"/>
        </w:rPr>
        <w:t>only</w:t>
      </w:r>
      <w:r>
        <w:rPr>
          <w:spacing w:val="-9"/>
          <w:w w:val="105"/>
        </w:rPr>
        <w:t xml:space="preserve"> </w:t>
      </w:r>
      <w:r>
        <w:rPr>
          <w:w w:val="105"/>
        </w:rPr>
        <w:t>if</w:t>
      </w:r>
      <w:r>
        <w:rPr>
          <w:spacing w:val="-10"/>
          <w:w w:val="105"/>
        </w:rPr>
        <w:t xml:space="preserve"> </w:t>
      </w:r>
      <w:r>
        <w:rPr>
          <w:w w:val="105"/>
        </w:rPr>
        <w:t>the</w:t>
      </w:r>
      <w:r>
        <w:rPr>
          <w:spacing w:val="-19"/>
          <w:w w:val="105"/>
        </w:rPr>
        <w:t xml:space="preserve"> </w:t>
      </w:r>
      <w:r>
        <w:rPr>
          <w:w w:val="105"/>
        </w:rPr>
        <w:t>condition</w:t>
      </w:r>
      <w:r>
        <w:rPr>
          <w:spacing w:val="-3"/>
          <w:w w:val="105"/>
        </w:rPr>
        <w:t xml:space="preserve"> </w:t>
      </w:r>
      <w:r>
        <w:rPr>
          <w:w w:val="105"/>
        </w:rPr>
        <w:t>is</w:t>
      </w:r>
      <w:r>
        <w:rPr>
          <w:spacing w:val="-16"/>
          <w:w w:val="105"/>
        </w:rPr>
        <w:t xml:space="preserve"> </w:t>
      </w:r>
      <w:r>
        <w:rPr>
          <w:w w:val="105"/>
        </w:rPr>
        <w:t>not</w:t>
      </w:r>
      <w:r>
        <w:rPr>
          <w:spacing w:val="-15"/>
          <w:w w:val="105"/>
        </w:rPr>
        <w:t xml:space="preserve"> </w:t>
      </w:r>
      <w:r>
        <w:rPr>
          <w:w w:val="105"/>
        </w:rPr>
        <w:t>characterized</w:t>
      </w:r>
      <w:r>
        <w:rPr>
          <w:spacing w:val="-3"/>
          <w:w w:val="105"/>
        </w:rPr>
        <w:t xml:space="preserve"> </w:t>
      </w:r>
      <w:r>
        <w:rPr>
          <w:w w:val="105"/>
        </w:rPr>
        <w:t>satisfactorily</w:t>
      </w:r>
      <w:r>
        <w:rPr>
          <w:spacing w:val="-16"/>
          <w:w w:val="105"/>
        </w:rPr>
        <w:t xml:space="preserve"> </w:t>
      </w:r>
      <w:r>
        <w:rPr>
          <w:w w:val="105"/>
        </w:rPr>
        <w:t>by</w:t>
      </w:r>
      <w:r>
        <w:rPr>
          <w:spacing w:val="-18"/>
          <w:w w:val="105"/>
        </w:rPr>
        <w:t xml:space="preserve"> </w:t>
      </w:r>
      <w:r>
        <w:rPr>
          <w:w w:val="105"/>
        </w:rPr>
        <w:t>the</w:t>
      </w:r>
      <w:r>
        <w:rPr>
          <w:spacing w:val="-17"/>
          <w:w w:val="105"/>
        </w:rPr>
        <w:t xml:space="preserve"> </w:t>
      </w:r>
      <w:r>
        <w:rPr>
          <w:w w:val="105"/>
        </w:rPr>
        <w:t>diagnosis</w:t>
      </w:r>
      <w:r>
        <w:rPr>
          <w:spacing w:val="-9"/>
          <w:w w:val="105"/>
        </w:rPr>
        <w:t xml:space="preserve"> </w:t>
      </w:r>
      <w:r>
        <w:rPr>
          <w:w w:val="105"/>
        </w:rPr>
        <w:t>of</w:t>
      </w:r>
      <w:r>
        <w:rPr>
          <w:spacing w:val="-8"/>
          <w:w w:val="105"/>
        </w:rPr>
        <w:t xml:space="preserve"> </w:t>
      </w:r>
      <w:r>
        <w:rPr>
          <w:w w:val="105"/>
        </w:rPr>
        <w:t>Mental Retardation alone. Dementia is uncommon  in children and adolescents,  but can occur as a result of general medical conditions (e.g., head injury, brain tumors, HIV infection, strokes, adrenoleukodystrophies). Dementia in children  may present as a deterioration in</w:t>
      </w:r>
      <w:r>
        <w:rPr>
          <w:spacing w:val="-11"/>
          <w:w w:val="105"/>
        </w:rPr>
        <w:t xml:space="preserve"> </w:t>
      </w:r>
      <w:r>
        <w:rPr>
          <w:w w:val="105"/>
        </w:rPr>
        <w:t>functioning</w:t>
      </w:r>
      <w:r>
        <w:rPr>
          <w:spacing w:val="2"/>
          <w:w w:val="105"/>
        </w:rPr>
        <w:t xml:space="preserve"> </w:t>
      </w:r>
      <w:r>
        <w:rPr>
          <w:w w:val="105"/>
        </w:rPr>
        <w:t>(as</w:t>
      </w:r>
      <w:r>
        <w:rPr>
          <w:spacing w:val="-3"/>
          <w:w w:val="105"/>
        </w:rPr>
        <w:t xml:space="preserve"> </w:t>
      </w:r>
      <w:r>
        <w:rPr>
          <w:w w:val="105"/>
        </w:rPr>
        <w:t>in</w:t>
      </w:r>
      <w:r>
        <w:rPr>
          <w:spacing w:val="-10"/>
          <w:w w:val="105"/>
        </w:rPr>
        <w:t xml:space="preserve"> </w:t>
      </w:r>
      <w:r>
        <w:rPr>
          <w:w w:val="105"/>
        </w:rPr>
        <w:t>adults)</w:t>
      </w:r>
      <w:r>
        <w:rPr>
          <w:spacing w:val="-3"/>
          <w:w w:val="105"/>
        </w:rPr>
        <w:t xml:space="preserve"> </w:t>
      </w:r>
      <w:r>
        <w:rPr>
          <w:w w:val="105"/>
        </w:rPr>
        <w:t>or</w:t>
      </w:r>
      <w:r>
        <w:rPr>
          <w:spacing w:val="-6"/>
          <w:w w:val="105"/>
        </w:rPr>
        <w:t xml:space="preserve"> </w:t>
      </w:r>
      <w:r>
        <w:rPr>
          <w:w w:val="105"/>
        </w:rPr>
        <w:t>as</w:t>
      </w:r>
      <w:r>
        <w:rPr>
          <w:spacing w:val="-10"/>
          <w:w w:val="105"/>
        </w:rPr>
        <w:t xml:space="preserve"> </w:t>
      </w:r>
      <w:r>
        <w:rPr>
          <w:w w:val="105"/>
        </w:rPr>
        <w:t>a</w:t>
      </w:r>
      <w:r>
        <w:rPr>
          <w:spacing w:val="-8"/>
          <w:w w:val="105"/>
        </w:rPr>
        <w:t xml:space="preserve"> </w:t>
      </w:r>
      <w:r>
        <w:rPr>
          <w:w w:val="105"/>
        </w:rPr>
        <w:t>significant</w:t>
      </w:r>
      <w:r>
        <w:rPr>
          <w:spacing w:val="3"/>
          <w:w w:val="105"/>
        </w:rPr>
        <w:t xml:space="preserve"> </w:t>
      </w:r>
      <w:r>
        <w:rPr>
          <w:w w:val="105"/>
        </w:rPr>
        <w:t>delay</w:t>
      </w:r>
      <w:r>
        <w:rPr>
          <w:spacing w:val="-3"/>
          <w:w w:val="105"/>
        </w:rPr>
        <w:t xml:space="preserve"> </w:t>
      </w:r>
      <w:r>
        <w:rPr>
          <w:w w:val="105"/>
        </w:rPr>
        <w:t>or</w:t>
      </w:r>
      <w:r>
        <w:rPr>
          <w:spacing w:val="-5"/>
          <w:w w:val="105"/>
        </w:rPr>
        <w:t xml:space="preserve"> </w:t>
      </w:r>
      <w:r>
        <w:rPr>
          <w:w w:val="105"/>
        </w:rPr>
        <w:t>deviation</w:t>
      </w:r>
      <w:r>
        <w:rPr>
          <w:spacing w:val="3"/>
          <w:w w:val="105"/>
        </w:rPr>
        <w:t xml:space="preserve"> </w:t>
      </w:r>
      <w:r>
        <w:rPr>
          <w:w w:val="105"/>
        </w:rPr>
        <w:t>in</w:t>
      </w:r>
      <w:r>
        <w:rPr>
          <w:spacing w:val="-3"/>
          <w:w w:val="105"/>
        </w:rPr>
        <w:t xml:space="preserve"> </w:t>
      </w:r>
      <w:r>
        <w:rPr>
          <w:w w:val="105"/>
        </w:rPr>
        <w:t>normal development. Deteriorating school performance may be an early</w:t>
      </w:r>
      <w:r>
        <w:rPr>
          <w:spacing w:val="-3"/>
          <w:w w:val="105"/>
        </w:rPr>
        <w:t xml:space="preserve"> </w:t>
      </w:r>
      <w:r>
        <w:rPr>
          <w:w w:val="105"/>
        </w:rPr>
        <w:t>sign.</w:t>
      </w:r>
    </w:p>
    <w:p w:rsidR="00E675F0" w:rsidRDefault="00E675F0" w:rsidP="00E675F0">
      <w:pPr>
        <w:pStyle w:val="BodyText"/>
        <w:spacing w:before="2"/>
        <w:rPr>
          <w:sz w:val="32"/>
        </w:rPr>
      </w:pPr>
    </w:p>
    <w:p w:rsidR="00E675F0" w:rsidRDefault="00E675F0" w:rsidP="00E675F0">
      <w:pPr>
        <w:ind w:left="125"/>
        <w:rPr>
          <w:rFonts w:ascii="TimesNewRomanPS-BoldItalicMT"/>
          <w:b/>
          <w:i/>
          <w:sz w:val="24"/>
        </w:rPr>
      </w:pPr>
      <w:r>
        <w:rPr>
          <w:rFonts w:ascii="TimesNewRomanPS-BoldItalicMT"/>
          <w:b/>
          <w:i/>
          <w:w w:val="115"/>
          <w:sz w:val="24"/>
        </w:rPr>
        <w:t>Prevalence</w:t>
      </w:r>
    </w:p>
    <w:p w:rsidR="00E675F0" w:rsidRDefault="00E675F0" w:rsidP="00E675F0">
      <w:pPr>
        <w:pStyle w:val="BodyText"/>
        <w:spacing w:before="122" w:line="252" w:lineRule="auto"/>
        <w:ind w:left="134" w:right="115" w:firstLine="8"/>
        <w:jc w:val="both"/>
      </w:pPr>
      <w:r>
        <w:rPr>
          <w:w w:val="105"/>
        </w:rPr>
        <w:t xml:space="preserve">Reported prevalence of dementia varies among epidemiological studies, depending on the ages of the subjects sampled; methods of determining the presence, severity, and type of cognitive impairment; and the regions or countries studied. Community studies estimated a 1-year prospective prevalence of almost 3.0% with severe cognitive impairment in the adult population. The study assessed individuals with a brief instrument that assessed current cognitive status (the Mini-Mental State Exam), which does not identify specific diagnoses. It is estimated that </w:t>
      </w:r>
      <w:r>
        <w:rPr>
          <w:w w:val="105"/>
          <w:sz w:val="17"/>
        </w:rPr>
        <w:t xml:space="preserve">2%--4% </w:t>
      </w:r>
      <w:r>
        <w:rPr>
          <w:w w:val="105"/>
        </w:rPr>
        <w:t>of the population over age 65 years have Dementia of the Alzheimer's Type, with other types being much less common. The prevalence of dementia, especially Dementia of the Alzheimer's Type and Vascular Dementia, increases with age, particularly after age 75 years, with a prevalence of 20% or more over age 85</w:t>
      </w:r>
      <w:r>
        <w:rPr>
          <w:spacing w:val="-13"/>
          <w:w w:val="105"/>
        </w:rPr>
        <w:t xml:space="preserve"> </w:t>
      </w:r>
      <w:r>
        <w:rPr>
          <w:w w:val="105"/>
        </w:rPr>
        <w:t>years.</w:t>
      </w:r>
    </w:p>
    <w:p w:rsidR="00E675F0" w:rsidRDefault="00E675F0" w:rsidP="00E675F0">
      <w:pPr>
        <w:pStyle w:val="BodyText"/>
        <w:spacing w:before="6"/>
        <w:rPr>
          <w:sz w:val="31"/>
        </w:rPr>
      </w:pPr>
    </w:p>
    <w:p w:rsidR="00E675F0" w:rsidRDefault="00E675F0" w:rsidP="00E675F0">
      <w:pPr>
        <w:ind w:left="116"/>
        <w:rPr>
          <w:rFonts w:ascii="TimesNewRomanPS-BoldItalicMT"/>
          <w:b/>
          <w:i/>
          <w:sz w:val="24"/>
        </w:rPr>
      </w:pPr>
      <w:r>
        <w:rPr>
          <w:rFonts w:ascii="TimesNewRomanPS-BoldItalicMT"/>
          <w:b/>
          <w:i/>
          <w:w w:val="115"/>
          <w:sz w:val="24"/>
        </w:rPr>
        <w:t>Course</w:t>
      </w:r>
    </w:p>
    <w:p w:rsidR="00E675F0" w:rsidRDefault="00E675F0" w:rsidP="00E675F0">
      <w:pPr>
        <w:pStyle w:val="BodyText"/>
        <w:spacing w:before="131" w:line="254" w:lineRule="auto"/>
        <w:ind w:left="137" w:right="117" w:firstLine="6"/>
        <w:jc w:val="both"/>
      </w:pPr>
      <w:r>
        <w:rPr>
          <w:w w:val="110"/>
        </w:rPr>
        <w:t xml:space="preserve">Historically, the term </w:t>
      </w:r>
      <w:r>
        <w:rPr>
          <w:i/>
          <w:w w:val="110"/>
        </w:rPr>
        <w:t xml:space="preserve">dementia </w:t>
      </w:r>
      <w:r>
        <w:rPr>
          <w:w w:val="110"/>
        </w:rPr>
        <w:t>implied a progressive or irreversible course. The DSM-IV</w:t>
      </w:r>
      <w:r>
        <w:rPr>
          <w:spacing w:val="-9"/>
          <w:w w:val="110"/>
        </w:rPr>
        <w:t xml:space="preserve"> </w:t>
      </w:r>
      <w:r>
        <w:rPr>
          <w:w w:val="110"/>
        </w:rPr>
        <w:t>definition</w:t>
      </w:r>
      <w:r>
        <w:rPr>
          <w:spacing w:val="-10"/>
          <w:w w:val="110"/>
        </w:rPr>
        <w:t xml:space="preserve"> </w:t>
      </w:r>
      <w:r>
        <w:rPr>
          <w:w w:val="110"/>
        </w:rPr>
        <w:t>of</w:t>
      </w:r>
      <w:r>
        <w:rPr>
          <w:spacing w:val="3"/>
          <w:w w:val="110"/>
        </w:rPr>
        <w:t xml:space="preserve"> </w:t>
      </w:r>
      <w:r>
        <w:rPr>
          <w:i/>
          <w:w w:val="110"/>
        </w:rPr>
        <w:t>dementia,</w:t>
      </w:r>
      <w:r>
        <w:rPr>
          <w:i/>
          <w:spacing w:val="-10"/>
          <w:w w:val="110"/>
        </w:rPr>
        <w:t xml:space="preserve"> </w:t>
      </w:r>
      <w:r>
        <w:rPr>
          <w:w w:val="110"/>
        </w:rPr>
        <w:t>however,</w:t>
      </w:r>
      <w:r>
        <w:rPr>
          <w:spacing w:val="-5"/>
          <w:w w:val="110"/>
        </w:rPr>
        <w:t xml:space="preserve"> </w:t>
      </w:r>
      <w:r>
        <w:rPr>
          <w:w w:val="110"/>
        </w:rPr>
        <w:t>is</w:t>
      </w:r>
      <w:r>
        <w:rPr>
          <w:spacing w:val="-10"/>
          <w:w w:val="110"/>
        </w:rPr>
        <w:t xml:space="preserve"> </w:t>
      </w:r>
      <w:r>
        <w:rPr>
          <w:w w:val="110"/>
        </w:rPr>
        <w:t>based</w:t>
      </w:r>
      <w:r>
        <w:rPr>
          <w:spacing w:val="-12"/>
          <w:w w:val="110"/>
        </w:rPr>
        <w:t xml:space="preserve"> </w:t>
      </w:r>
      <w:r>
        <w:rPr>
          <w:w w:val="110"/>
        </w:rPr>
        <w:t>on</w:t>
      </w:r>
      <w:r>
        <w:rPr>
          <w:spacing w:val="-5"/>
          <w:w w:val="110"/>
        </w:rPr>
        <w:t xml:space="preserve"> </w:t>
      </w:r>
      <w:r>
        <w:rPr>
          <w:w w:val="110"/>
        </w:rPr>
        <w:t>the</w:t>
      </w:r>
      <w:r>
        <w:rPr>
          <w:spacing w:val="-7"/>
          <w:w w:val="110"/>
        </w:rPr>
        <w:t xml:space="preserve"> </w:t>
      </w:r>
      <w:r>
        <w:rPr>
          <w:w w:val="110"/>
        </w:rPr>
        <w:t>pattern</w:t>
      </w:r>
      <w:r>
        <w:rPr>
          <w:spacing w:val="-9"/>
          <w:w w:val="110"/>
        </w:rPr>
        <w:t xml:space="preserve"> </w:t>
      </w:r>
      <w:r>
        <w:rPr>
          <w:w w:val="110"/>
        </w:rPr>
        <w:t>of</w:t>
      </w:r>
      <w:r>
        <w:rPr>
          <w:spacing w:val="-11"/>
          <w:w w:val="110"/>
        </w:rPr>
        <w:t xml:space="preserve"> </w:t>
      </w:r>
      <w:r>
        <w:rPr>
          <w:w w:val="110"/>
        </w:rPr>
        <w:t>cognitive</w:t>
      </w:r>
      <w:r>
        <w:rPr>
          <w:spacing w:val="-8"/>
          <w:w w:val="110"/>
        </w:rPr>
        <w:t xml:space="preserve"> </w:t>
      </w:r>
      <w:r>
        <w:rPr>
          <w:w w:val="110"/>
        </w:rPr>
        <w:t>deficits and carries no connotation concerning prognosis. Dementia may be progressive, static, or remitting. The reversibility of a dementia is a function of the underlying pathology and of the availability and timely application of effective treatment. The mode of onset and subsequent course of dementia also depend on the underlying etiology. The level of disability depends not only on the severity of the individual's cognitive impairments but also on the available social supports. In advanced dementia,</w:t>
      </w:r>
      <w:r>
        <w:rPr>
          <w:spacing w:val="28"/>
          <w:w w:val="110"/>
        </w:rPr>
        <w:t xml:space="preserve"> </w:t>
      </w:r>
      <w:r>
        <w:rPr>
          <w:w w:val="110"/>
        </w:rPr>
        <w:t>the</w:t>
      </w:r>
      <w:r>
        <w:rPr>
          <w:spacing w:val="27"/>
          <w:w w:val="110"/>
        </w:rPr>
        <w:t xml:space="preserve"> </w:t>
      </w:r>
      <w:r>
        <w:rPr>
          <w:w w:val="110"/>
        </w:rPr>
        <w:t>individual</w:t>
      </w:r>
      <w:r>
        <w:rPr>
          <w:spacing w:val="41"/>
          <w:w w:val="110"/>
        </w:rPr>
        <w:t xml:space="preserve"> </w:t>
      </w:r>
      <w:r>
        <w:rPr>
          <w:w w:val="110"/>
        </w:rPr>
        <w:t>may</w:t>
      </w:r>
      <w:r>
        <w:rPr>
          <w:spacing w:val="32"/>
          <w:w w:val="110"/>
        </w:rPr>
        <w:t xml:space="preserve"> </w:t>
      </w:r>
      <w:r>
        <w:rPr>
          <w:w w:val="110"/>
        </w:rPr>
        <w:t>become</w:t>
      </w:r>
      <w:r>
        <w:rPr>
          <w:spacing w:val="27"/>
          <w:w w:val="110"/>
        </w:rPr>
        <w:t xml:space="preserve"> </w:t>
      </w:r>
      <w:r>
        <w:rPr>
          <w:w w:val="110"/>
        </w:rPr>
        <w:t>totally</w:t>
      </w:r>
      <w:r>
        <w:rPr>
          <w:spacing w:val="19"/>
          <w:w w:val="110"/>
        </w:rPr>
        <w:t xml:space="preserve"> </w:t>
      </w:r>
      <w:r>
        <w:rPr>
          <w:w w:val="110"/>
        </w:rPr>
        <w:t>oblivious</w:t>
      </w:r>
      <w:r>
        <w:rPr>
          <w:spacing w:val="32"/>
          <w:w w:val="110"/>
        </w:rPr>
        <w:t xml:space="preserve"> </w:t>
      </w:r>
      <w:r>
        <w:rPr>
          <w:w w:val="110"/>
        </w:rPr>
        <w:t>to</w:t>
      </w:r>
      <w:r>
        <w:rPr>
          <w:spacing w:val="21"/>
          <w:w w:val="110"/>
        </w:rPr>
        <w:t xml:space="preserve"> </w:t>
      </w:r>
      <w:r>
        <w:rPr>
          <w:w w:val="110"/>
        </w:rPr>
        <w:t>his</w:t>
      </w:r>
      <w:r>
        <w:rPr>
          <w:spacing w:val="21"/>
          <w:w w:val="110"/>
        </w:rPr>
        <w:t xml:space="preserve"> </w:t>
      </w:r>
      <w:r>
        <w:rPr>
          <w:w w:val="110"/>
        </w:rPr>
        <w:t>or</w:t>
      </w:r>
      <w:r>
        <w:rPr>
          <w:spacing w:val="28"/>
          <w:w w:val="110"/>
        </w:rPr>
        <w:t xml:space="preserve"> </w:t>
      </w:r>
      <w:r>
        <w:rPr>
          <w:w w:val="110"/>
        </w:rPr>
        <w:t>her</w:t>
      </w:r>
      <w:r>
        <w:rPr>
          <w:spacing w:val="27"/>
          <w:w w:val="110"/>
        </w:rPr>
        <w:t xml:space="preserve"> </w:t>
      </w:r>
      <w:r>
        <w:rPr>
          <w:w w:val="110"/>
        </w:rPr>
        <w:t>surroundings</w:t>
      </w:r>
    </w:p>
    <w:p w:rsidR="00E675F0" w:rsidRDefault="00E675F0" w:rsidP="00E675F0">
      <w:pPr>
        <w:spacing w:line="254" w:lineRule="auto"/>
        <w:jc w:val="both"/>
        <w:sectPr w:rsidR="00E675F0">
          <w:pgSz w:w="8960" w:h="14260"/>
          <w:pgMar w:top="1400" w:right="620" w:bottom="280" w:left="600" w:header="656" w:footer="0" w:gutter="0"/>
          <w:cols w:space="720"/>
        </w:sectPr>
      </w:pPr>
    </w:p>
    <w:p w:rsidR="00E675F0" w:rsidRDefault="00E675F0" w:rsidP="00E675F0">
      <w:pPr>
        <w:pStyle w:val="BodyText"/>
        <w:spacing w:before="128" w:line="256" w:lineRule="auto"/>
        <w:ind w:left="151" w:right="127"/>
        <w:jc w:val="both"/>
      </w:pPr>
      <w:r>
        <w:rPr>
          <w:w w:val="105"/>
        </w:rPr>
        <w:lastRenderedPageBreak/>
        <w:t>and require constant care. Individuals with severe dementia are susceptible to accidents and infectious diseases, which often prove fatal.</w:t>
      </w:r>
    </w:p>
    <w:p w:rsidR="00E675F0" w:rsidRDefault="00E675F0" w:rsidP="00E675F0">
      <w:pPr>
        <w:pStyle w:val="BodyText"/>
        <w:rPr>
          <w:sz w:val="22"/>
        </w:rPr>
      </w:pPr>
    </w:p>
    <w:p w:rsidR="00E675F0" w:rsidRDefault="00E675F0" w:rsidP="00E675F0">
      <w:pPr>
        <w:pStyle w:val="BodyText"/>
        <w:spacing w:before="2"/>
        <w:rPr>
          <w:sz w:val="22"/>
        </w:rPr>
      </w:pPr>
    </w:p>
    <w:p w:rsidR="00E675F0" w:rsidRDefault="00E675F0" w:rsidP="00E675F0">
      <w:pPr>
        <w:spacing w:before="1"/>
        <w:ind w:left="138"/>
        <w:jc w:val="both"/>
        <w:rPr>
          <w:rFonts w:ascii="TimesNewRomanPS-BoldItalicMT"/>
          <w:b/>
          <w:i/>
          <w:sz w:val="25"/>
        </w:rPr>
      </w:pPr>
      <w:r>
        <w:rPr>
          <w:rFonts w:ascii="TimesNewRomanPS-BoldItalicMT"/>
          <w:b/>
          <w:i/>
          <w:w w:val="110"/>
          <w:sz w:val="25"/>
        </w:rPr>
        <w:t>Differential Diagnosis</w:t>
      </w:r>
    </w:p>
    <w:p w:rsidR="00E675F0" w:rsidRDefault="00E675F0" w:rsidP="00E675F0">
      <w:pPr>
        <w:pStyle w:val="BodyText"/>
        <w:spacing w:before="172" w:line="254" w:lineRule="auto"/>
        <w:ind w:left="147" w:right="116" w:firstLine="3"/>
        <w:jc w:val="both"/>
      </w:pPr>
      <w:r>
        <w:rPr>
          <w:w w:val="110"/>
        </w:rPr>
        <w:t>Memory</w:t>
      </w:r>
      <w:r>
        <w:rPr>
          <w:spacing w:val="-19"/>
          <w:w w:val="110"/>
        </w:rPr>
        <w:t xml:space="preserve"> </w:t>
      </w:r>
      <w:r>
        <w:rPr>
          <w:w w:val="110"/>
        </w:rPr>
        <w:t>impairment</w:t>
      </w:r>
      <w:r>
        <w:rPr>
          <w:spacing w:val="-14"/>
          <w:w w:val="110"/>
        </w:rPr>
        <w:t xml:space="preserve"> </w:t>
      </w:r>
      <w:r>
        <w:rPr>
          <w:w w:val="110"/>
        </w:rPr>
        <w:t>occurs</w:t>
      </w:r>
      <w:r>
        <w:rPr>
          <w:spacing w:val="-21"/>
          <w:w w:val="110"/>
        </w:rPr>
        <w:t xml:space="preserve"> </w:t>
      </w:r>
      <w:r>
        <w:rPr>
          <w:w w:val="110"/>
        </w:rPr>
        <w:t>in</w:t>
      </w:r>
      <w:r>
        <w:rPr>
          <w:spacing w:val="-22"/>
          <w:w w:val="110"/>
        </w:rPr>
        <w:t xml:space="preserve"> </w:t>
      </w:r>
      <w:r>
        <w:rPr>
          <w:w w:val="110"/>
        </w:rPr>
        <w:t>both</w:t>
      </w:r>
      <w:r>
        <w:rPr>
          <w:spacing w:val="-23"/>
          <w:w w:val="110"/>
        </w:rPr>
        <w:t xml:space="preserve"> </w:t>
      </w:r>
      <w:r>
        <w:rPr>
          <w:b/>
          <w:w w:val="110"/>
        </w:rPr>
        <w:t>delirium</w:t>
      </w:r>
      <w:r>
        <w:rPr>
          <w:b/>
          <w:spacing w:val="-23"/>
          <w:w w:val="110"/>
        </w:rPr>
        <w:t xml:space="preserve"> </w:t>
      </w:r>
      <w:r>
        <w:rPr>
          <w:w w:val="110"/>
        </w:rPr>
        <w:t>and</w:t>
      </w:r>
      <w:r>
        <w:rPr>
          <w:spacing w:val="-21"/>
          <w:w w:val="110"/>
        </w:rPr>
        <w:t xml:space="preserve"> </w:t>
      </w:r>
      <w:r>
        <w:rPr>
          <w:w w:val="110"/>
        </w:rPr>
        <w:t>dementia.</w:t>
      </w:r>
      <w:r>
        <w:rPr>
          <w:spacing w:val="-13"/>
          <w:w w:val="110"/>
        </w:rPr>
        <w:t xml:space="preserve"> </w:t>
      </w:r>
      <w:r>
        <w:rPr>
          <w:w w:val="110"/>
        </w:rPr>
        <w:t>Delirium</w:t>
      </w:r>
      <w:r>
        <w:rPr>
          <w:spacing w:val="-15"/>
          <w:w w:val="110"/>
        </w:rPr>
        <w:t xml:space="preserve"> </w:t>
      </w:r>
      <w:r>
        <w:rPr>
          <w:w w:val="110"/>
        </w:rPr>
        <w:t>is</w:t>
      </w:r>
      <w:r>
        <w:rPr>
          <w:spacing w:val="-25"/>
          <w:w w:val="110"/>
        </w:rPr>
        <w:t xml:space="preserve"> </w:t>
      </w:r>
      <w:r>
        <w:rPr>
          <w:w w:val="110"/>
        </w:rPr>
        <w:t>also</w:t>
      </w:r>
      <w:r>
        <w:rPr>
          <w:spacing w:val="-23"/>
          <w:w w:val="110"/>
        </w:rPr>
        <w:t xml:space="preserve"> </w:t>
      </w:r>
      <w:r>
        <w:rPr>
          <w:w w:val="110"/>
        </w:rPr>
        <w:t>character­ ized</w:t>
      </w:r>
      <w:r>
        <w:rPr>
          <w:spacing w:val="-33"/>
          <w:w w:val="110"/>
        </w:rPr>
        <w:t xml:space="preserve"> </w:t>
      </w:r>
      <w:r>
        <w:rPr>
          <w:w w:val="110"/>
        </w:rPr>
        <w:t>by</w:t>
      </w:r>
      <w:r>
        <w:rPr>
          <w:spacing w:val="-35"/>
          <w:w w:val="110"/>
        </w:rPr>
        <w:t xml:space="preserve"> </w:t>
      </w:r>
      <w:r>
        <w:rPr>
          <w:w w:val="110"/>
        </w:rPr>
        <w:t>a</w:t>
      </w:r>
      <w:r>
        <w:rPr>
          <w:spacing w:val="-31"/>
          <w:w w:val="110"/>
        </w:rPr>
        <w:t xml:space="preserve"> </w:t>
      </w:r>
      <w:r>
        <w:rPr>
          <w:w w:val="110"/>
        </w:rPr>
        <w:t>reduced</w:t>
      </w:r>
      <w:r>
        <w:rPr>
          <w:spacing w:val="-33"/>
          <w:w w:val="110"/>
        </w:rPr>
        <w:t xml:space="preserve"> </w:t>
      </w:r>
      <w:r>
        <w:rPr>
          <w:w w:val="110"/>
        </w:rPr>
        <w:t>ability</w:t>
      </w:r>
      <w:r>
        <w:rPr>
          <w:spacing w:val="-31"/>
          <w:w w:val="110"/>
        </w:rPr>
        <w:t xml:space="preserve"> </w:t>
      </w:r>
      <w:r>
        <w:rPr>
          <w:w w:val="110"/>
        </w:rPr>
        <w:t>to</w:t>
      </w:r>
      <w:r>
        <w:rPr>
          <w:spacing w:val="-25"/>
          <w:w w:val="110"/>
        </w:rPr>
        <w:t xml:space="preserve"> </w:t>
      </w:r>
      <w:r>
        <w:rPr>
          <w:w w:val="110"/>
        </w:rPr>
        <w:t>maintain</w:t>
      </w:r>
      <w:r>
        <w:rPr>
          <w:spacing w:val="-32"/>
          <w:w w:val="110"/>
        </w:rPr>
        <w:t xml:space="preserve"> </w:t>
      </w:r>
      <w:r>
        <w:rPr>
          <w:w w:val="110"/>
        </w:rPr>
        <w:t>and</w:t>
      </w:r>
      <w:r>
        <w:rPr>
          <w:spacing w:val="-23"/>
          <w:w w:val="110"/>
        </w:rPr>
        <w:t xml:space="preserve"> </w:t>
      </w:r>
      <w:r>
        <w:rPr>
          <w:w w:val="110"/>
        </w:rPr>
        <w:t>shift</w:t>
      </w:r>
      <w:r>
        <w:rPr>
          <w:spacing w:val="-35"/>
          <w:w w:val="110"/>
        </w:rPr>
        <w:t xml:space="preserve"> </w:t>
      </w:r>
      <w:r>
        <w:rPr>
          <w:w w:val="110"/>
        </w:rPr>
        <w:t>attention</w:t>
      </w:r>
      <w:r>
        <w:rPr>
          <w:spacing w:val="-30"/>
          <w:w w:val="110"/>
        </w:rPr>
        <w:t xml:space="preserve"> </w:t>
      </w:r>
      <w:r>
        <w:rPr>
          <w:w w:val="110"/>
        </w:rPr>
        <w:t>appropriately.</w:t>
      </w:r>
      <w:r>
        <w:rPr>
          <w:spacing w:val="-39"/>
          <w:w w:val="110"/>
        </w:rPr>
        <w:t xml:space="preserve"> </w:t>
      </w:r>
      <w:r>
        <w:rPr>
          <w:w w:val="110"/>
        </w:rPr>
        <w:t>The</w:t>
      </w:r>
      <w:r>
        <w:rPr>
          <w:spacing w:val="-35"/>
          <w:w w:val="110"/>
        </w:rPr>
        <w:t xml:space="preserve"> </w:t>
      </w:r>
      <w:r>
        <w:rPr>
          <w:w w:val="110"/>
        </w:rPr>
        <w:t>clinical</w:t>
      </w:r>
      <w:r>
        <w:rPr>
          <w:spacing w:val="-32"/>
          <w:w w:val="110"/>
        </w:rPr>
        <w:t xml:space="preserve"> </w:t>
      </w:r>
      <w:r>
        <w:rPr>
          <w:w w:val="110"/>
        </w:rPr>
        <w:t>course can help to differentiate between delirium and dementia. Typically, symptoms in delirium</w:t>
      </w:r>
      <w:r>
        <w:rPr>
          <w:spacing w:val="-5"/>
          <w:w w:val="110"/>
        </w:rPr>
        <w:t xml:space="preserve"> </w:t>
      </w:r>
      <w:r>
        <w:rPr>
          <w:w w:val="110"/>
        </w:rPr>
        <w:t>fluctuate</w:t>
      </w:r>
      <w:r>
        <w:rPr>
          <w:spacing w:val="-3"/>
          <w:w w:val="110"/>
        </w:rPr>
        <w:t xml:space="preserve"> </w:t>
      </w:r>
      <w:r>
        <w:rPr>
          <w:w w:val="110"/>
        </w:rPr>
        <w:t>and</w:t>
      </w:r>
      <w:r>
        <w:rPr>
          <w:spacing w:val="-6"/>
          <w:w w:val="110"/>
        </w:rPr>
        <w:t xml:space="preserve"> </w:t>
      </w:r>
      <w:r>
        <w:rPr>
          <w:w w:val="110"/>
        </w:rPr>
        <w:t>symptoms in</w:t>
      </w:r>
      <w:r>
        <w:rPr>
          <w:spacing w:val="-7"/>
          <w:w w:val="110"/>
        </w:rPr>
        <w:t xml:space="preserve"> </w:t>
      </w:r>
      <w:r>
        <w:rPr>
          <w:w w:val="110"/>
        </w:rPr>
        <w:t>dementia</w:t>
      </w:r>
      <w:r>
        <w:rPr>
          <w:spacing w:val="-1"/>
          <w:w w:val="110"/>
        </w:rPr>
        <w:t xml:space="preserve"> </w:t>
      </w:r>
      <w:r>
        <w:rPr>
          <w:w w:val="110"/>
        </w:rPr>
        <w:t>are</w:t>
      </w:r>
      <w:r>
        <w:rPr>
          <w:spacing w:val="-5"/>
          <w:w w:val="110"/>
        </w:rPr>
        <w:t xml:space="preserve"> </w:t>
      </w:r>
      <w:r>
        <w:rPr>
          <w:w w:val="110"/>
        </w:rPr>
        <w:t>relatively</w:t>
      </w:r>
      <w:r>
        <w:rPr>
          <w:spacing w:val="-8"/>
          <w:w w:val="110"/>
        </w:rPr>
        <w:t xml:space="preserve"> </w:t>
      </w:r>
      <w:r>
        <w:rPr>
          <w:w w:val="110"/>
        </w:rPr>
        <w:t>stable.</w:t>
      </w:r>
      <w:r>
        <w:rPr>
          <w:spacing w:val="-5"/>
          <w:w w:val="110"/>
        </w:rPr>
        <w:t xml:space="preserve"> </w:t>
      </w:r>
      <w:r>
        <w:rPr>
          <w:w w:val="110"/>
        </w:rPr>
        <w:t>Multiple</w:t>
      </w:r>
      <w:r>
        <w:rPr>
          <w:spacing w:val="-5"/>
          <w:w w:val="110"/>
        </w:rPr>
        <w:t xml:space="preserve"> </w:t>
      </w:r>
      <w:r>
        <w:rPr>
          <w:w w:val="110"/>
        </w:rPr>
        <w:t>cognitive impairments that persist in an unchanged form for more than a few months suggest dementia</w:t>
      </w:r>
      <w:r>
        <w:rPr>
          <w:spacing w:val="-9"/>
          <w:w w:val="110"/>
        </w:rPr>
        <w:t xml:space="preserve"> </w:t>
      </w:r>
      <w:r>
        <w:rPr>
          <w:w w:val="110"/>
        </w:rPr>
        <w:t>rather</w:t>
      </w:r>
      <w:r>
        <w:rPr>
          <w:spacing w:val="-15"/>
          <w:w w:val="110"/>
        </w:rPr>
        <w:t xml:space="preserve"> </w:t>
      </w:r>
      <w:r>
        <w:rPr>
          <w:w w:val="110"/>
        </w:rPr>
        <w:t>than</w:t>
      </w:r>
      <w:r>
        <w:rPr>
          <w:spacing w:val="-16"/>
          <w:w w:val="110"/>
        </w:rPr>
        <w:t xml:space="preserve"> </w:t>
      </w:r>
      <w:r>
        <w:rPr>
          <w:w w:val="110"/>
        </w:rPr>
        <w:t>delirium.</w:t>
      </w:r>
      <w:r>
        <w:rPr>
          <w:spacing w:val="-14"/>
          <w:w w:val="110"/>
        </w:rPr>
        <w:t xml:space="preserve"> </w:t>
      </w:r>
      <w:r>
        <w:rPr>
          <w:w w:val="110"/>
        </w:rPr>
        <w:t>Delirium</w:t>
      </w:r>
      <w:r>
        <w:rPr>
          <w:spacing w:val="-13"/>
          <w:w w:val="110"/>
        </w:rPr>
        <w:t xml:space="preserve"> </w:t>
      </w:r>
      <w:r>
        <w:rPr>
          <w:w w:val="110"/>
        </w:rPr>
        <w:t>may</w:t>
      </w:r>
      <w:r>
        <w:rPr>
          <w:spacing w:val="-18"/>
          <w:w w:val="110"/>
        </w:rPr>
        <w:t xml:space="preserve"> </w:t>
      </w:r>
      <w:r>
        <w:rPr>
          <w:w w:val="110"/>
        </w:rPr>
        <w:t>be</w:t>
      </w:r>
      <w:r>
        <w:rPr>
          <w:spacing w:val="-22"/>
          <w:w w:val="110"/>
        </w:rPr>
        <w:t xml:space="preserve"> </w:t>
      </w:r>
      <w:r>
        <w:rPr>
          <w:w w:val="110"/>
        </w:rPr>
        <w:t>superimposed</w:t>
      </w:r>
      <w:r>
        <w:rPr>
          <w:spacing w:val="-12"/>
          <w:w w:val="110"/>
        </w:rPr>
        <w:t xml:space="preserve"> </w:t>
      </w:r>
      <w:r>
        <w:rPr>
          <w:w w:val="110"/>
        </w:rPr>
        <w:t>on</w:t>
      </w:r>
      <w:r>
        <w:rPr>
          <w:spacing w:val="-14"/>
          <w:w w:val="110"/>
        </w:rPr>
        <w:t xml:space="preserve"> </w:t>
      </w:r>
      <w:r>
        <w:rPr>
          <w:w w:val="110"/>
        </w:rPr>
        <w:t>a</w:t>
      </w:r>
      <w:r>
        <w:rPr>
          <w:spacing w:val="-22"/>
          <w:w w:val="110"/>
        </w:rPr>
        <w:t xml:space="preserve"> </w:t>
      </w:r>
      <w:r>
        <w:rPr>
          <w:w w:val="110"/>
        </w:rPr>
        <w:t>dementia,</w:t>
      </w:r>
      <w:r>
        <w:rPr>
          <w:spacing w:val="-10"/>
          <w:w w:val="110"/>
        </w:rPr>
        <w:t xml:space="preserve"> </w:t>
      </w:r>
      <w:r>
        <w:rPr>
          <w:w w:val="110"/>
        </w:rPr>
        <w:t>in</w:t>
      </w:r>
      <w:r>
        <w:rPr>
          <w:spacing w:val="-21"/>
          <w:w w:val="110"/>
        </w:rPr>
        <w:t xml:space="preserve"> </w:t>
      </w:r>
      <w:r>
        <w:rPr>
          <w:w w:val="110"/>
        </w:rPr>
        <w:t>which case both disorders are diagnosed. In situations in which it is unclear whether the cognitive deficits are due to a delirium or a dementia, it may be useful to make a provisional diagnosis of delirium and observe the person carefully while continuing efforts to identify the nature of</w:t>
      </w:r>
      <w:r>
        <w:rPr>
          <w:spacing w:val="5"/>
          <w:w w:val="110"/>
        </w:rPr>
        <w:t xml:space="preserve"> </w:t>
      </w:r>
      <w:r>
        <w:rPr>
          <w:w w:val="110"/>
        </w:rPr>
        <w:t>the disturbance.</w:t>
      </w:r>
    </w:p>
    <w:p w:rsidR="00E675F0" w:rsidRDefault="00E675F0" w:rsidP="00E675F0">
      <w:pPr>
        <w:pStyle w:val="BodyText"/>
        <w:spacing w:before="9" w:line="254" w:lineRule="auto"/>
        <w:ind w:left="148" w:right="120" w:firstLine="369"/>
        <w:jc w:val="both"/>
      </w:pPr>
      <w:r>
        <w:rPr>
          <w:w w:val="105"/>
        </w:rPr>
        <w:t xml:space="preserve">An </w:t>
      </w:r>
      <w:r>
        <w:rPr>
          <w:b/>
          <w:w w:val="105"/>
        </w:rPr>
        <w:t xml:space="preserve">amnestic disorder </w:t>
      </w:r>
      <w:r>
        <w:rPr>
          <w:w w:val="105"/>
        </w:rPr>
        <w:t>is characterized by severe memory impairment without other significant impairments of cognitive functioning (i.e., aphasia, apraxia, agnosia, or disturbances in executive functioning).</w:t>
      </w:r>
    </w:p>
    <w:p w:rsidR="00E675F0" w:rsidRDefault="00E675F0" w:rsidP="00E675F0">
      <w:pPr>
        <w:pStyle w:val="BodyText"/>
        <w:spacing w:line="252" w:lineRule="auto"/>
        <w:ind w:left="151" w:right="106" w:firstLine="362"/>
        <w:jc w:val="both"/>
      </w:pPr>
      <w:r>
        <w:rPr>
          <w:w w:val="105"/>
        </w:rPr>
        <w:t xml:space="preserve">The presumed etiology determines the specific dementia diagnosis. If the clinician has determined that the dementia is due to </w:t>
      </w:r>
      <w:r>
        <w:rPr>
          <w:b/>
          <w:w w:val="105"/>
        </w:rPr>
        <w:t xml:space="preserve">multiple etiologies,  </w:t>
      </w:r>
      <w:r>
        <w:rPr>
          <w:w w:val="105"/>
        </w:rPr>
        <w:t xml:space="preserve">multiple  codes  based on the specific dementias and their etiologies should be used (see Dementia Due to Multiple Etiologies, p. 154). In </w:t>
      </w:r>
      <w:r>
        <w:rPr>
          <w:b/>
          <w:w w:val="105"/>
        </w:rPr>
        <w:t xml:space="preserve">Vascular Dementia, </w:t>
      </w:r>
      <w:r>
        <w:rPr>
          <w:w w:val="105"/>
        </w:rPr>
        <w:t>focal neurological signs (e.g., exaggeration of deep tendon reflexes, extensor plantar response) and laboratory  evidence</w:t>
      </w:r>
      <w:r>
        <w:rPr>
          <w:spacing w:val="-7"/>
          <w:w w:val="105"/>
        </w:rPr>
        <w:t xml:space="preserve"> </w:t>
      </w:r>
      <w:r>
        <w:rPr>
          <w:w w:val="105"/>
        </w:rPr>
        <w:t>of</w:t>
      </w:r>
      <w:r>
        <w:rPr>
          <w:spacing w:val="-11"/>
          <w:w w:val="105"/>
        </w:rPr>
        <w:t xml:space="preserve"> </w:t>
      </w:r>
      <w:r>
        <w:rPr>
          <w:w w:val="105"/>
        </w:rPr>
        <w:t>vascular</w:t>
      </w:r>
      <w:r>
        <w:rPr>
          <w:spacing w:val="-5"/>
          <w:w w:val="105"/>
        </w:rPr>
        <w:t xml:space="preserve"> </w:t>
      </w:r>
      <w:r>
        <w:rPr>
          <w:w w:val="105"/>
        </w:rPr>
        <w:t>disease</w:t>
      </w:r>
      <w:r>
        <w:rPr>
          <w:spacing w:val="4"/>
          <w:w w:val="105"/>
        </w:rPr>
        <w:t xml:space="preserve"> </w:t>
      </w:r>
      <w:r>
        <w:rPr>
          <w:w w:val="105"/>
        </w:rPr>
        <w:t>judged to</w:t>
      </w:r>
      <w:r>
        <w:rPr>
          <w:spacing w:val="-3"/>
          <w:w w:val="105"/>
        </w:rPr>
        <w:t xml:space="preserve"> </w:t>
      </w:r>
      <w:r>
        <w:rPr>
          <w:w w:val="105"/>
        </w:rPr>
        <w:t>be</w:t>
      </w:r>
      <w:r>
        <w:rPr>
          <w:spacing w:val="7"/>
          <w:w w:val="105"/>
        </w:rPr>
        <w:t xml:space="preserve"> </w:t>
      </w:r>
      <w:r>
        <w:rPr>
          <w:w w:val="105"/>
        </w:rPr>
        <w:t>related</w:t>
      </w:r>
      <w:r>
        <w:rPr>
          <w:spacing w:val="-6"/>
          <w:w w:val="105"/>
        </w:rPr>
        <w:t xml:space="preserve"> </w:t>
      </w:r>
      <w:r>
        <w:rPr>
          <w:w w:val="105"/>
        </w:rPr>
        <w:t>to</w:t>
      </w:r>
      <w:r>
        <w:rPr>
          <w:spacing w:val="-11"/>
          <w:w w:val="105"/>
        </w:rPr>
        <w:t xml:space="preserve"> </w:t>
      </w:r>
      <w:r>
        <w:rPr>
          <w:w w:val="105"/>
        </w:rPr>
        <w:t>the</w:t>
      </w:r>
      <w:r>
        <w:rPr>
          <w:spacing w:val="-13"/>
          <w:w w:val="105"/>
        </w:rPr>
        <w:t xml:space="preserve"> </w:t>
      </w:r>
      <w:r>
        <w:rPr>
          <w:w w:val="105"/>
        </w:rPr>
        <w:t>dementia</w:t>
      </w:r>
      <w:r>
        <w:rPr>
          <w:spacing w:val="2"/>
          <w:w w:val="105"/>
        </w:rPr>
        <w:t xml:space="preserve"> </w:t>
      </w:r>
      <w:r>
        <w:rPr>
          <w:w w:val="105"/>
        </w:rPr>
        <w:t>are</w:t>
      </w:r>
      <w:r>
        <w:rPr>
          <w:spacing w:val="-5"/>
          <w:w w:val="105"/>
        </w:rPr>
        <w:t xml:space="preserve"> </w:t>
      </w:r>
      <w:r>
        <w:rPr>
          <w:w w:val="105"/>
        </w:rPr>
        <w:t>present.</w:t>
      </w:r>
      <w:r>
        <w:rPr>
          <w:spacing w:val="-8"/>
          <w:w w:val="105"/>
        </w:rPr>
        <w:t xml:space="preserve"> </w:t>
      </w:r>
      <w:r>
        <w:rPr>
          <w:w w:val="105"/>
        </w:rPr>
        <w:t>The</w:t>
      </w:r>
      <w:r>
        <w:rPr>
          <w:spacing w:val="-11"/>
          <w:w w:val="105"/>
        </w:rPr>
        <w:t xml:space="preserve"> </w:t>
      </w:r>
      <w:r>
        <w:rPr>
          <w:w w:val="105"/>
        </w:rPr>
        <w:t xml:space="preserve">clinical course of Vascular Dementia is variable and typically progresses in stepwise fashion. The presence of </w:t>
      </w:r>
      <w:r>
        <w:rPr>
          <w:b/>
          <w:w w:val="105"/>
        </w:rPr>
        <w:t xml:space="preserve">Dementia Due to Other General Medical Conditions </w:t>
      </w:r>
      <w:r>
        <w:rPr>
          <w:w w:val="105"/>
        </w:rPr>
        <w:t xml:space="preserve">(e.g., Pick's disease, HIV) requires evidence from the history, physical examination, and appropriate laboratory tests that a general medical condition is etiologically related </w:t>
      </w:r>
      <w:r>
        <w:rPr>
          <w:w w:val="105"/>
          <w:sz w:val="18"/>
        </w:rPr>
        <w:t xml:space="preserve">to </w:t>
      </w:r>
      <w:r>
        <w:rPr>
          <w:w w:val="105"/>
        </w:rPr>
        <w:t>the dementia. The onset of the deterioration (gradual or sudden) and its course (acute, subacute, or chronic) may be useful in suggesting the etiology. For example, the severity of the impairment in cognitive functioning often remains static after head injury, encephalitis, or</w:t>
      </w:r>
      <w:r>
        <w:rPr>
          <w:spacing w:val="9"/>
          <w:w w:val="105"/>
        </w:rPr>
        <w:t xml:space="preserve"> </w:t>
      </w:r>
      <w:r>
        <w:rPr>
          <w:w w:val="105"/>
        </w:rPr>
        <w:t>stroke.</w:t>
      </w:r>
    </w:p>
    <w:p w:rsidR="00E675F0" w:rsidRDefault="00E675F0" w:rsidP="00E675F0">
      <w:pPr>
        <w:pStyle w:val="BodyText"/>
        <w:spacing w:line="254" w:lineRule="auto"/>
        <w:ind w:left="160" w:right="101" w:firstLine="365"/>
        <w:jc w:val="right"/>
      </w:pPr>
      <w:r>
        <w:rPr>
          <w:w w:val="110"/>
        </w:rPr>
        <w:t>Multiple cognitive deficits that occur only in the context of substance</w:t>
      </w:r>
      <w:r>
        <w:rPr>
          <w:spacing w:val="2"/>
          <w:w w:val="110"/>
        </w:rPr>
        <w:t xml:space="preserve"> </w:t>
      </w:r>
      <w:r>
        <w:rPr>
          <w:w w:val="110"/>
        </w:rPr>
        <w:t>use</w:t>
      </w:r>
      <w:r>
        <w:rPr>
          <w:spacing w:val="23"/>
          <w:w w:val="110"/>
        </w:rPr>
        <w:t xml:space="preserve"> </w:t>
      </w:r>
      <w:r>
        <w:rPr>
          <w:w w:val="110"/>
        </w:rPr>
        <w:t>are</w:t>
      </w:r>
      <w:r>
        <w:rPr>
          <w:spacing w:val="-1"/>
          <w:w w:val="108"/>
        </w:rPr>
        <w:t xml:space="preserve"> </w:t>
      </w:r>
      <w:r>
        <w:rPr>
          <w:w w:val="110"/>
        </w:rPr>
        <w:t xml:space="preserve">diagnosed as </w:t>
      </w:r>
      <w:r>
        <w:rPr>
          <w:b/>
          <w:w w:val="110"/>
        </w:rPr>
        <w:t xml:space="preserve">Substance Intoxication or Substance Withdrawal. </w:t>
      </w:r>
      <w:r>
        <w:rPr>
          <w:w w:val="110"/>
        </w:rPr>
        <w:t>If</w:t>
      </w:r>
      <w:r>
        <w:rPr>
          <w:spacing w:val="19"/>
          <w:w w:val="110"/>
        </w:rPr>
        <w:t xml:space="preserve"> </w:t>
      </w:r>
      <w:r>
        <w:rPr>
          <w:w w:val="110"/>
        </w:rPr>
        <w:t>the</w:t>
      </w:r>
      <w:r>
        <w:rPr>
          <w:spacing w:val="22"/>
          <w:w w:val="110"/>
        </w:rPr>
        <w:t xml:space="preserve"> </w:t>
      </w:r>
      <w:r>
        <w:rPr>
          <w:w w:val="110"/>
        </w:rPr>
        <w:t>dementia</w:t>
      </w:r>
      <w:r>
        <w:rPr>
          <w:w w:val="107"/>
        </w:rPr>
        <w:t xml:space="preserve"> </w:t>
      </w:r>
      <w:r>
        <w:rPr>
          <w:w w:val="110"/>
        </w:rPr>
        <w:t>results</w:t>
      </w:r>
      <w:r>
        <w:rPr>
          <w:spacing w:val="-15"/>
          <w:w w:val="110"/>
        </w:rPr>
        <w:t xml:space="preserve"> </w:t>
      </w:r>
      <w:r>
        <w:rPr>
          <w:w w:val="110"/>
        </w:rPr>
        <w:t>from</w:t>
      </w:r>
      <w:r>
        <w:rPr>
          <w:spacing w:val="-10"/>
          <w:w w:val="110"/>
        </w:rPr>
        <w:t xml:space="preserve"> </w:t>
      </w:r>
      <w:r>
        <w:rPr>
          <w:w w:val="110"/>
        </w:rPr>
        <w:t>the</w:t>
      </w:r>
      <w:r>
        <w:rPr>
          <w:spacing w:val="-15"/>
          <w:w w:val="110"/>
        </w:rPr>
        <w:t xml:space="preserve"> </w:t>
      </w:r>
      <w:r>
        <w:rPr>
          <w:w w:val="110"/>
        </w:rPr>
        <w:t>persisting</w:t>
      </w:r>
      <w:r>
        <w:rPr>
          <w:spacing w:val="-11"/>
          <w:w w:val="110"/>
        </w:rPr>
        <w:t xml:space="preserve"> </w:t>
      </w:r>
      <w:r>
        <w:rPr>
          <w:w w:val="110"/>
        </w:rPr>
        <w:t>effects</w:t>
      </w:r>
      <w:r>
        <w:rPr>
          <w:spacing w:val="-13"/>
          <w:w w:val="110"/>
        </w:rPr>
        <w:t xml:space="preserve"> </w:t>
      </w:r>
      <w:r>
        <w:rPr>
          <w:w w:val="110"/>
        </w:rPr>
        <w:t>of</w:t>
      </w:r>
      <w:r>
        <w:rPr>
          <w:spacing w:val="-12"/>
          <w:w w:val="110"/>
        </w:rPr>
        <w:t xml:space="preserve"> </w:t>
      </w:r>
      <w:r>
        <w:rPr>
          <w:w w:val="110"/>
        </w:rPr>
        <w:t>a</w:t>
      </w:r>
      <w:r>
        <w:rPr>
          <w:spacing w:val="-16"/>
          <w:w w:val="110"/>
        </w:rPr>
        <w:t xml:space="preserve"> </w:t>
      </w:r>
      <w:r>
        <w:rPr>
          <w:w w:val="110"/>
        </w:rPr>
        <w:t>substance</w:t>
      </w:r>
      <w:r>
        <w:rPr>
          <w:spacing w:val="-12"/>
          <w:w w:val="110"/>
        </w:rPr>
        <w:t xml:space="preserve"> </w:t>
      </w:r>
      <w:r>
        <w:rPr>
          <w:w w:val="110"/>
        </w:rPr>
        <w:t>(i.e.,</w:t>
      </w:r>
      <w:r>
        <w:rPr>
          <w:spacing w:val="-12"/>
          <w:w w:val="110"/>
        </w:rPr>
        <w:t xml:space="preserve"> </w:t>
      </w:r>
      <w:r>
        <w:rPr>
          <w:w w:val="110"/>
        </w:rPr>
        <w:t>a</w:t>
      </w:r>
      <w:r>
        <w:rPr>
          <w:spacing w:val="-17"/>
          <w:w w:val="110"/>
        </w:rPr>
        <w:t xml:space="preserve"> </w:t>
      </w:r>
      <w:r>
        <w:rPr>
          <w:w w:val="110"/>
        </w:rPr>
        <w:t>drug</w:t>
      </w:r>
      <w:r>
        <w:rPr>
          <w:spacing w:val="-15"/>
          <w:w w:val="110"/>
        </w:rPr>
        <w:t xml:space="preserve"> </w:t>
      </w:r>
      <w:r>
        <w:rPr>
          <w:w w:val="110"/>
        </w:rPr>
        <w:t>of</w:t>
      </w:r>
      <w:r>
        <w:rPr>
          <w:spacing w:val="-12"/>
          <w:w w:val="110"/>
        </w:rPr>
        <w:t xml:space="preserve"> </w:t>
      </w:r>
      <w:r>
        <w:rPr>
          <w:w w:val="110"/>
        </w:rPr>
        <w:t>abuse,</w:t>
      </w:r>
      <w:r>
        <w:rPr>
          <w:spacing w:val="-12"/>
          <w:w w:val="110"/>
        </w:rPr>
        <w:t xml:space="preserve"> </w:t>
      </w:r>
      <w:r>
        <w:rPr>
          <w:w w:val="110"/>
        </w:rPr>
        <w:t>a</w:t>
      </w:r>
      <w:r>
        <w:rPr>
          <w:spacing w:val="-14"/>
          <w:w w:val="110"/>
        </w:rPr>
        <w:t xml:space="preserve"> </w:t>
      </w:r>
      <w:r>
        <w:rPr>
          <w:w w:val="110"/>
        </w:rPr>
        <w:t>medication,</w:t>
      </w:r>
      <w:r>
        <w:rPr>
          <w:spacing w:val="-4"/>
          <w:w w:val="110"/>
        </w:rPr>
        <w:t xml:space="preserve"> </w:t>
      </w:r>
      <w:r>
        <w:rPr>
          <w:w w:val="110"/>
        </w:rPr>
        <w:t>or</w:t>
      </w:r>
      <w:r>
        <w:rPr>
          <w:w w:val="105"/>
        </w:rPr>
        <w:t xml:space="preserve"> </w:t>
      </w:r>
      <w:r>
        <w:rPr>
          <w:w w:val="110"/>
        </w:rPr>
        <w:t xml:space="preserve">toxin exposure), then </w:t>
      </w:r>
      <w:r>
        <w:rPr>
          <w:b/>
          <w:w w:val="110"/>
        </w:rPr>
        <w:t xml:space="preserve">Substance-Induced Persisting Dementia </w:t>
      </w:r>
      <w:r>
        <w:rPr>
          <w:w w:val="110"/>
        </w:rPr>
        <w:t>is</w:t>
      </w:r>
      <w:r>
        <w:rPr>
          <w:spacing w:val="-13"/>
          <w:w w:val="110"/>
        </w:rPr>
        <w:t xml:space="preserve"> </w:t>
      </w:r>
      <w:r>
        <w:rPr>
          <w:w w:val="110"/>
        </w:rPr>
        <w:t>diagnosed.</w:t>
      </w:r>
      <w:r>
        <w:rPr>
          <w:spacing w:val="14"/>
          <w:w w:val="110"/>
        </w:rPr>
        <w:t xml:space="preserve"> </w:t>
      </w:r>
      <w:r>
        <w:rPr>
          <w:w w:val="110"/>
        </w:rPr>
        <w:t>Other</w:t>
      </w:r>
      <w:r>
        <w:rPr>
          <w:spacing w:val="-1"/>
          <w:w w:val="108"/>
        </w:rPr>
        <w:t xml:space="preserve"> </w:t>
      </w:r>
      <w:r>
        <w:rPr>
          <w:w w:val="110"/>
        </w:rPr>
        <w:t>causes</w:t>
      </w:r>
      <w:r>
        <w:rPr>
          <w:spacing w:val="-26"/>
          <w:w w:val="110"/>
        </w:rPr>
        <w:t xml:space="preserve"> </w:t>
      </w:r>
      <w:r>
        <w:rPr>
          <w:w w:val="110"/>
        </w:rPr>
        <w:t>of</w:t>
      </w:r>
      <w:r>
        <w:rPr>
          <w:spacing w:val="-24"/>
          <w:w w:val="110"/>
        </w:rPr>
        <w:t xml:space="preserve"> </w:t>
      </w:r>
      <w:r>
        <w:rPr>
          <w:w w:val="110"/>
        </w:rPr>
        <w:t>dementia</w:t>
      </w:r>
      <w:r>
        <w:rPr>
          <w:spacing w:val="-24"/>
          <w:w w:val="110"/>
        </w:rPr>
        <w:t xml:space="preserve"> </w:t>
      </w:r>
      <w:r>
        <w:rPr>
          <w:w w:val="110"/>
        </w:rPr>
        <w:t>(e.g.,</w:t>
      </w:r>
      <w:r>
        <w:rPr>
          <w:spacing w:val="-24"/>
          <w:w w:val="110"/>
        </w:rPr>
        <w:t xml:space="preserve"> </w:t>
      </w:r>
      <w:r>
        <w:rPr>
          <w:w w:val="110"/>
        </w:rPr>
        <w:t>Dementia</w:t>
      </w:r>
      <w:r>
        <w:rPr>
          <w:spacing w:val="-23"/>
          <w:w w:val="110"/>
        </w:rPr>
        <w:t xml:space="preserve"> </w:t>
      </w:r>
      <w:r>
        <w:rPr>
          <w:w w:val="110"/>
        </w:rPr>
        <w:t>Due</w:t>
      </w:r>
      <w:r>
        <w:rPr>
          <w:spacing w:val="-24"/>
          <w:w w:val="110"/>
        </w:rPr>
        <w:t xml:space="preserve"> </w:t>
      </w:r>
      <w:r>
        <w:rPr>
          <w:w w:val="110"/>
        </w:rPr>
        <w:t>to</w:t>
      </w:r>
      <w:r>
        <w:rPr>
          <w:spacing w:val="-31"/>
          <w:w w:val="110"/>
        </w:rPr>
        <w:t xml:space="preserve"> </w:t>
      </w:r>
      <w:r>
        <w:rPr>
          <w:w w:val="110"/>
        </w:rPr>
        <w:t>a</w:t>
      </w:r>
      <w:r>
        <w:rPr>
          <w:spacing w:val="-28"/>
          <w:w w:val="110"/>
        </w:rPr>
        <w:t xml:space="preserve"> </w:t>
      </w:r>
      <w:r>
        <w:rPr>
          <w:w w:val="110"/>
        </w:rPr>
        <w:t>General</w:t>
      </w:r>
      <w:r>
        <w:rPr>
          <w:spacing w:val="-25"/>
          <w:w w:val="110"/>
        </w:rPr>
        <w:t xml:space="preserve"> </w:t>
      </w:r>
      <w:r>
        <w:rPr>
          <w:w w:val="110"/>
        </w:rPr>
        <w:t>Medical</w:t>
      </w:r>
      <w:r>
        <w:rPr>
          <w:spacing w:val="-24"/>
          <w:w w:val="110"/>
        </w:rPr>
        <w:t xml:space="preserve"> </w:t>
      </w:r>
      <w:r>
        <w:rPr>
          <w:w w:val="110"/>
        </w:rPr>
        <w:t>Condition)</w:t>
      </w:r>
      <w:r>
        <w:rPr>
          <w:spacing w:val="-22"/>
          <w:w w:val="110"/>
        </w:rPr>
        <w:t xml:space="preserve"> </w:t>
      </w:r>
      <w:r>
        <w:rPr>
          <w:w w:val="110"/>
        </w:rPr>
        <w:t>should</w:t>
      </w:r>
      <w:r>
        <w:rPr>
          <w:spacing w:val="-27"/>
          <w:w w:val="110"/>
        </w:rPr>
        <w:t xml:space="preserve"> </w:t>
      </w:r>
      <w:r>
        <w:rPr>
          <w:w w:val="110"/>
        </w:rPr>
        <w:t>always</w:t>
      </w:r>
      <w:r>
        <w:rPr>
          <w:spacing w:val="-1"/>
          <w:w w:val="105"/>
        </w:rPr>
        <w:t xml:space="preserve"> </w:t>
      </w:r>
      <w:r>
        <w:rPr>
          <w:w w:val="110"/>
        </w:rPr>
        <w:t>be</w:t>
      </w:r>
      <w:r>
        <w:rPr>
          <w:spacing w:val="-24"/>
          <w:w w:val="110"/>
        </w:rPr>
        <w:t xml:space="preserve"> </w:t>
      </w:r>
      <w:r>
        <w:rPr>
          <w:w w:val="110"/>
        </w:rPr>
        <w:t>considered,</w:t>
      </w:r>
      <w:r>
        <w:rPr>
          <w:spacing w:val="-11"/>
          <w:w w:val="110"/>
        </w:rPr>
        <w:t xml:space="preserve"> </w:t>
      </w:r>
      <w:r>
        <w:rPr>
          <w:w w:val="110"/>
        </w:rPr>
        <w:t>even</w:t>
      </w:r>
      <w:r>
        <w:rPr>
          <w:spacing w:val="-19"/>
          <w:w w:val="110"/>
        </w:rPr>
        <w:t xml:space="preserve"> </w:t>
      </w:r>
      <w:r>
        <w:rPr>
          <w:w w:val="110"/>
        </w:rPr>
        <w:t>in</w:t>
      </w:r>
      <w:r>
        <w:rPr>
          <w:spacing w:val="-22"/>
          <w:w w:val="110"/>
        </w:rPr>
        <w:t xml:space="preserve"> </w:t>
      </w:r>
      <w:r>
        <w:rPr>
          <w:w w:val="110"/>
        </w:rPr>
        <w:t>a</w:t>
      </w:r>
      <w:r>
        <w:rPr>
          <w:spacing w:val="-16"/>
          <w:w w:val="110"/>
        </w:rPr>
        <w:t xml:space="preserve"> </w:t>
      </w:r>
      <w:r>
        <w:rPr>
          <w:w w:val="110"/>
        </w:rPr>
        <w:t>person</w:t>
      </w:r>
      <w:r>
        <w:rPr>
          <w:spacing w:val="-16"/>
          <w:w w:val="110"/>
        </w:rPr>
        <w:t xml:space="preserve"> </w:t>
      </w:r>
      <w:r>
        <w:rPr>
          <w:w w:val="110"/>
        </w:rPr>
        <w:t>with</w:t>
      </w:r>
      <w:r>
        <w:rPr>
          <w:spacing w:val="-21"/>
          <w:w w:val="110"/>
        </w:rPr>
        <w:t xml:space="preserve"> </w:t>
      </w:r>
      <w:r>
        <w:rPr>
          <w:w w:val="110"/>
        </w:rPr>
        <w:t>Substance</w:t>
      </w:r>
      <w:r>
        <w:rPr>
          <w:spacing w:val="-10"/>
          <w:w w:val="110"/>
        </w:rPr>
        <w:t xml:space="preserve"> </w:t>
      </w:r>
      <w:r>
        <w:rPr>
          <w:w w:val="110"/>
        </w:rPr>
        <w:t>Dependence.</w:t>
      </w:r>
      <w:r>
        <w:rPr>
          <w:spacing w:val="-13"/>
          <w:w w:val="110"/>
        </w:rPr>
        <w:t xml:space="preserve"> </w:t>
      </w:r>
      <w:r>
        <w:rPr>
          <w:w w:val="110"/>
        </w:rPr>
        <w:t>For</w:t>
      </w:r>
      <w:r>
        <w:rPr>
          <w:spacing w:val="-22"/>
          <w:w w:val="110"/>
        </w:rPr>
        <w:t xml:space="preserve"> </w:t>
      </w:r>
      <w:r>
        <w:rPr>
          <w:w w:val="110"/>
        </w:rPr>
        <w:t>example,</w:t>
      </w:r>
      <w:r>
        <w:rPr>
          <w:spacing w:val="-5"/>
          <w:w w:val="110"/>
        </w:rPr>
        <w:t xml:space="preserve"> </w:t>
      </w:r>
      <w:r>
        <w:rPr>
          <w:w w:val="110"/>
        </w:rPr>
        <w:t>head</w:t>
      </w:r>
      <w:r>
        <w:rPr>
          <w:spacing w:val="-20"/>
          <w:w w:val="110"/>
        </w:rPr>
        <w:t xml:space="preserve"> </w:t>
      </w:r>
      <w:r>
        <w:rPr>
          <w:w w:val="110"/>
        </w:rPr>
        <w:t>injury</w:t>
      </w:r>
      <w:r>
        <w:rPr>
          <w:spacing w:val="-1"/>
          <w:w w:val="102"/>
        </w:rPr>
        <w:t xml:space="preserve"> </w:t>
      </w:r>
      <w:r>
        <w:rPr>
          <w:w w:val="110"/>
        </w:rPr>
        <w:t>is not infrequent during substance use and may underlie the dementia.</w:t>
      </w:r>
      <w:r>
        <w:rPr>
          <w:spacing w:val="37"/>
          <w:w w:val="110"/>
        </w:rPr>
        <w:t xml:space="preserve"> </w:t>
      </w:r>
      <w:r>
        <w:rPr>
          <w:b/>
          <w:w w:val="110"/>
        </w:rPr>
        <w:t>Dementia</w:t>
      </w:r>
      <w:r>
        <w:rPr>
          <w:b/>
          <w:spacing w:val="-4"/>
          <w:w w:val="110"/>
        </w:rPr>
        <w:t xml:space="preserve"> </w:t>
      </w:r>
      <w:r>
        <w:rPr>
          <w:b/>
          <w:w w:val="110"/>
        </w:rPr>
        <w:t>of</w:t>
      </w:r>
      <w:r>
        <w:rPr>
          <w:b/>
          <w:w w:val="111"/>
        </w:rPr>
        <w:t xml:space="preserve"> </w:t>
      </w:r>
      <w:r>
        <w:rPr>
          <w:b/>
          <w:w w:val="110"/>
        </w:rPr>
        <w:t xml:space="preserve">the Alzheimer's Type </w:t>
      </w:r>
      <w:r>
        <w:rPr>
          <w:w w:val="110"/>
        </w:rPr>
        <w:t>is currently a diagnosis of exclusion, and other causes</w:t>
      </w:r>
      <w:r>
        <w:rPr>
          <w:spacing w:val="16"/>
          <w:w w:val="110"/>
        </w:rPr>
        <w:t xml:space="preserve"> </w:t>
      </w:r>
      <w:r>
        <w:rPr>
          <w:w w:val="110"/>
        </w:rPr>
        <w:t>for</w:t>
      </w:r>
      <w:r>
        <w:rPr>
          <w:spacing w:val="-5"/>
          <w:w w:val="110"/>
        </w:rPr>
        <w:t xml:space="preserve"> </w:t>
      </w:r>
      <w:r>
        <w:rPr>
          <w:w w:val="110"/>
        </w:rPr>
        <w:t>the</w:t>
      </w:r>
      <w:r>
        <w:rPr>
          <w:spacing w:val="-1"/>
          <w:w w:val="108"/>
        </w:rPr>
        <w:t xml:space="preserve"> </w:t>
      </w:r>
      <w:r>
        <w:rPr>
          <w:w w:val="110"/>
        </w:rPr>
        <w:t>cognitive</w:t>
      </w:r>
      <w:r>
        <w:rPr>
          <w:spacing w:val="51"/>
          <w:w w:val="110"/>
        </w:rPr>
        <w:t xml:space="preserve"> </w:t>
      </w:r>
      <w:r>
        <w:rPr>
          <w:w w:val="110"/>
        </w:rPr>
        <w:t>deficits</w:t>
      </w:r>
      <w:r>
        <w:rPr>
          <w:spacing w:val="41"/>
          <w:w w:val="110"/>
        </w:rPr>
        <w:t xml:space="preserve"> </w:t>
      </w:r>
      <w:r>
        <w:rPr>
          <w:w w:val="110"/>
        </w:rPr>
        <w:t>(see</w:t>
      </w:r>
      <w:r>
        <w:rPr>
          <w:spacing w:val="41"/>
          <w:w w:val="110"/>
        </w:rPr>
        <w:t xml:space="preserve"> </w:t>
      </w:r>
      <w:r>
        <w:rPr>
          <w:w w:val="110"/>
        </w:rPr>
        <w:t>above)</w:t>
      </w:r>
      <w:r>
        <w:rPr>
          <w:spacing w:val="46"/>
          <w:w w:val="110"/>
        </w:rPr>
        <w:t xml:space="preserve"> </w:t>
      </w:r>
      <w:r>
        <w:rPr>
          <w:w w:val="110"/>
        </w:rPr>
        <w:t>must</w:t>
      </w:r>
      <w:r>
        <w:rPr>
          <w:spacing w:val="38"/>
          <w:w w:val="110"/>
        </w:rPr>
        <w:t xml:space="preserve"> </w:t>
      </w:r>
      <w:r>
        <w:rPr>
          <w:w w:val="110"/>
        </w:rPr>
        <w:t>first</w:t>
      </w:r>
      <w:r>
        <w:rPr>
          <w:spacing w:val="42"/>
          <w:w w:val="110"/>
        </w:rPr>
        <w:t xml:space="preserve"> </w:t>
      </w:r>
      <w:r>
        <w:rPr>
          <w:w w:val="110"/>
        </w:rPr>
        <w:t>be</w:t>
      </w:r>
      <w:r>
        <w:rPr>
          <w:spacing w:val="9"/>
          <w:w w:val="110"/>
        </w:rPr>
        <w:t xml:space="preserve"> </w:t>
      </w:r>
      <w:r>
        <w:rPr>
          <w:w w:val="110"/>
        </w:rPr>
        <w:t>ruled</w:t>
      </w:r>
      <w:r>
        <w:rPr>
          <w:spacing w:val="39"/>
          <w:w w:val="110"/>
        </w:rPr>
        <w:t xml:space="preserve"> </w:t>
      </w:r>
      <w:r>
        <w:rPr>
          <w:w w:val="110"/>
        </w:rPr>
        <w:t>out.</w:t>
      </w:r>
      <w:r>
        <w:rPr>
          <w:spacing w:val="43"/>
          <w:w w:val="110"/>
        </w:rPr>
        <w:t xml:space="preserve"> </w:t>
      </w:r>
      <w:r>
        <w:rPr>
          <w:w w:val="110"/>
        </w:rPr>
        <w:t>In</w:t>
      </w:r>
      <w:r>
        <w:rPr>
          <w:spacing w:val="38"/>
          <w:w w:val="110"/>
        </w:rPr>
        <w:t xml:space="preserve"> </w:t>
      </w:r>
      <w:r>
        <w:rPr>
          <w:w w:val="110"/>
        </w:rPr>
        <w:t>addition,</w:t>
      </w:r>
      <w:r>
        <w:rPr>
          <w:spacing w:val="51"/>
          <w:w w:val="110"/>
        </w:rPr>
        <w:t xml:space="preserve"> </w:t>
      </w:r>
      <w:r>
        <w:rPr>
          <w:w w:val="110"/>
        </w:rPr>
        <w:t>the</w:t>
      </w:r>
      <w:r>
        <w:rPr>
          <w:spacing w:val="49"/>
          <w:w w:val="110"/>
        </w:rPr>
        <w:t xml:space="preserve"> </w:t>
      </w:r>
      <w:r>
        <w:rPr>
          <w:w w:val="110"/>
        </w:rPr>
        <w:t>course</w:t>
      </w:r>
      <w:r>
        <w:rPr>
          <w:spacing w:val="47"/>
          <w:w w:val="110"/>
        </w:rPr>
        <w:t xml:space="preserve"> </w:t>
      </w:r>
      <w:r>
        <w:rPr>
          <w:w w:val="110"/>
        </w:rPr>
        <w:t>is</w:t>
      </w:r>
      <w:r>
        <w:rPr>
          <w:spacing w:val="-1"/>
          <w:w w:val="102"/>
        </w:rPr>
        <w:t xml:space="preserve"> </w:t>
      </w:r>
      <w:r>
        <w:rPr>
          <w:w w:val="110"/>
        </w:rPr>
        <w:t>characterized</w:t>
      </w:r>
      <w:r>
        <w:rPr>
          <w:spacing w:val="-12"/>
          <w:w w:val="110"/>
        </w:rPr>
        <w:t xml:space="preserve"> </w:t>
      </w:r>
      <w:r>
        <w:rPr>
          <w:w w:val="110"/>
        </w:rPr>
        <w:t>by</w:t>
      </w:r>
      <w:r>
        <w:rPr>
          <w:spacing w:val="-24"/>
          <w:w w:val="110"/>
        </w:rPr>
        <w:t xml:space="preserve"> </w:t>
      </w:r>
      <w:r>
        <w:rPr>
          <w:w w:val="110"/>
        </w:rPr>
        <w:t>gradual</w:t>
      </w:r>
      <w:r>
        <w:rPr>
          <w:spacing w:val="-21"/>
          <w:w w:val="110"/>
        </w:rPr>
        <w:t xml:space="preserve"> </w:t>
      </w:r>
      <w:r>
        <w:rPr>
          <w:w w:val="110"/>
        </w:rPr>
        <w:t>onset</w:t>
      </w:r>
      <w:r>
        <w:rPr>
          <w:spacing w:val="-25"/>
          <w:w w:val="110"/>
        </w:rPr>
        <w:t xml:space="preserve"> </w:t>
      </w:r>
      <w:r>
        <w:rPr>
          <w:w w:val="110"/>
        </w:rPr>
        <w:t>and</w:t>
      </w:r>
      <w:r>
        <w:rPr>
          <w:spacing w:val="-23"/>
          <w:w w:val="110"/>
        </w:rPr>
        <w:t xml:space="preserve"> </w:t>
      </w:r>
      <w:r>
        <w:rPr>
          <w:w w:val="110"/>
        </w:rPr>
        <w:t>continuing</w:t>
      </w:r>
      <w:r>
        <w:rPr>
          <w:spacing w:val="-21"/>
          <w:w w:val="110"/>
        </w:rPr>
        <w:t xml:space="preserve"> </w:t>
      </w:r>
      <w:r>
        <w:rPr>
          <w:w w:val="110"/>
        </w:rPr>
        <w:t>cognitive</w:t>
      </w:r>
      <w:r>
        <w:rPr>
          <w:spacing w:val="-19"/>
          <w:w w:val="110"/>
        </w:rPr>
        <w:t xml:space="preserve"> </w:t>
      </w:r>
      <w:r>
        <w:rPr>
          <w:w w:val="110"/>
        </w:rPr>
        <w:t>declin</w:t>
      </w:r>
      <w:r>
        <w:rPr>
          <w:spacing w:val="-16"/>
          <w:w w:val="110"/>
        </w:rPr>
        <w:t xml:space="preserve"> </w:t>
      </w:r>
      <w:r>
        <w:rPr>
          <w:w w:val="110"/>
        </w:rPr>
        <w:t>.</w:t>
      </w:r>
      <w:r>
        <w:rPr>
          <w:spacing w:val="-22"/>
          <w:w w:val="110"/>
        </w:rPr>
        <w:t xml:space="preserve"> </w:t>
      </w:r>
      <w:r>
        <w:rPr>
          <w:w w:val="110"/>
        </w:rPr>
        <w:t>In</w:t>
      </w:r>
      <w:r>
        <w:rPr>
          <w:spacing w:val="-26"/>
          <w:w w:val="110"/>
        </w:rPr>
        <w:t xml:space="preserve"> </w:t>
      </w:r>
      <w:r>
        <w:rPr>
          <w:w w:val="110"/>
        </w:rPr>
        <w:t>those</w:t>
      </w:r>
      <w:r>
        <w:rPr>
          <w:spacing w:val="-26"/>
          <w:w w:val="110"/>
        </w:rPr>
        <w:t xml:space="preserve"> </w:t>
      </w:r>
      <w:r>
        <w:rPr>
          <w:w w:val="110"/>
        </w:rPr>
        <w:t>cases</w:t>
      </w:r>
      <w:r>
        <w:rPr>
          <w:spacing w:val="-19"/>
          <w:w w:val="110"/>
        </w:rPr>
        <w:t xml:space="preserve"> </w:t>
      </w:r>
      <w:r>
        <w:rPr>
          <w:w w:val="110"/>
        </w:rPr>
        <w:t>in</w:t>
      </w:r>
      <w:r>
        <w:rPr>
          <w:spacing w:val="-26"/>
          <w:w w:val="110"/>
        </w:rPr>
        <w:t xml:space="preserve"> </w:t>
      </w:r>
      <w:r>
        <w:rPr>
          <w:w w:val="110"/>
        </w:rPr>
        <w:t>which</w:t>
      </w:r>
      <w:r>
        <w:rPr>
          <w:spacing w:val="-1"/>
          <w:w w:val="108"/>
        </w:rPr>
        <w:t xml:space="preserve"> </w:t>
      </w:r>
      <w:r>
        <w:rPr>
          <w:w w:val="110"/>
        </w:rPr>
        <w:t>there is insufficient evidence to determine whether the dementia is</w:t>
      </w:r>
      <w:r>
        <w:rPr>
          <w:spacing w:val="30"/>
          <w:w w:val="110"/>
        </w:rPr>
        <w:t xml:space="preserve"> </w:t>
      </w:r>
      <w:r>
        <w:rPr>
          <w:w w:val="110"/>
        </w:rPr>
        <w:t>due to a</w:t>
      </w:r>
      <w:r>
        <w:rPr>
          <w:spacing w:val="3"/>
          <w:w w:val="110"/>
        </w:rPr>
        <w:t xml:space="preserve"> </w:t>
      </w:r>
      <w:r>
        <w:rPr>
          <w:w w:val="110"/>
        </w:rPr>
        <w:t>general</w:t>
      </w:r>
      <w:r>
        <w:rPr>
          <w:w w:val="108"/>
        </w:rPr>
        <w:t xml:space="preserve"> </w:t>
      </w:r>
      <w:r>
        <w:rPr>
          <w:w w:val="110"/>
        </w:rPr>
        <w:t>medical</w:t>
      </w:r>
      <w:r>
        <w:rPr>
          <w:spacing w:val="-25"/>
          <w:w w:val="110"/>
        </w:rPr>
        <w:t xml:space="preserve"> </w:t>
      </w:r>
      <w:r>
        <w:rPr>
          <w:w w:val="110"/>
        </w:rPr>
        <w:t>condition</w:t>
      </w:r>
      <w:r>
        <w:rPr>
          <w:spacing w:val="-17"/>
          <w:w w:val="110"/>
        </w:rPr>
        <w:t xml:space="preserve"> </w:t>
      </w:r>
      <w:r>
        <w:rPr>
          <w:w w:val="110"/>
        </w:rPr>
        <w:t>or</w:t>
      </w:r>
      <w:r>
        <w:rPr>
          <w:spacing w:val="-22"/>
          <w:w w:val="110"/>
        </w:rPr>
        <w:t xml:space="preserve"> </w:t>
      </w:r>
      <w:r>
        <w:rPr>
          <w:w w:val="110"/>
        </w:rPr>
        <w:t>is</w:t>
      </w:r>
      <w:r>
        <w:rPr>
          <w:spacing w:val="-33"/>
          <w:w w:val="110"/>
        </w:rPr>
        <w:t xml:space="preserve"> </w:t>
      </w:r>
      <w:r>
        <w:rPr>
          <w:w w:val="110"/>
        </w:rPr>
        <w:t>substance</w:t>
      </w:r>
      <w:r>
        <w:rPr>
          <w:spacing w:val="-20"/>
          <w:w w:val="110"/>
        </w:rPr>
        <w:t xml:space="preserve"> </w:t>
      </w:r>
      <w:r>
        <w:rPr>
          <w:w w:val="110"/>
        </w:rPr>
        <w:t>induced,</w:t>
      </w:r>
      <w:r>
        <w:rPr>
          <w:spacing w:val="-15"/>
          <w:w w:val="110"/>
        </w:rPr>
        <w:t xml:space="preserve"> </w:t>
      </w:r>
      <w:r>
        <w:rPr>
          <w:b/>
          <w:w w:val="110"/>
        </w:rPr>
        <w:t>Dementia</w:t>
      </w:r>
      <w:r>
        <w:rPr>
          <w:b/>
          <w:spacing w:val="-26"/>
          <w:w w:val="110"/>
        </w:rPr>
        <w:t xml:space="preserve"> </w:t>
      </w:r>
      <w:r>
        <w:rPr>
          <w:b/>
          <w:w w:val="110"/>
        </w:rPr>
        <w:t>Not</w:t>
      </w:r>
      <w:r>
        <w:rPr>
          <w:b/>
          <w:spacing w:val="-39"/>
          <w:w w:val="110"/>
        </w:rPr>
        <w:t xml:space="preserve"> </w:t>
      </w:r>
      <w:r>
        <w:rPr>
          <w:b/>
          <w:w w:val="110"/>
        </w:rPr>
        <w:t>Otherwise</w:t>
      </w:r>
      <w:r>
        <w:rPr>
          <w:b/>
          <w:spacing w:val="-27"/>
          <w:w w:val="110"/>
        </w:rPr>
        <w:t xml:space="preserve"> </w:t>
      </w:r>
      <w:r>
        <w:rPr>
          <w:b/>
          <w:w w:val="110"/>
        </w:rPr>
        <w:t>Specified</w:t>
      </w:r>
      <w:r>
        <w:rPr>
          <w:b/>
          <w:spacing w:val="-28"/>
          <w:w w:val="110"/>
        </w:rPr>
        <w:t xml:space="preserve"> </w:t>
      </w:r>
      <w:r>
        <w:rPr>
          <w:w w:val="110"/>
        </w:rPr>
        <w:t>should</w:t>
      </w:r>
      <w:r>
        <w:rPr>
          <w:spacing w:val="-1"/>
          <w:w w:val="109"/>
        </w:rPr>
        <w:t xml:space="preserve"> </w:t>
      </w:r>
      <w:r>
        <w:rPr>
          <w:w w:val="110"/>
        </w:rPr>
        <w:t>be</w:t>
      </w:r>
      <w:r>
        <w:rPr>
          <w:spacing w:val="-13"/>
          <w:w w:val="110"/>
        </w:rPr>
        <w:t xml:space="preserve"> </w:t>
      </w:r>
      <w:r>
        <w:rPr>
          <w:w w:val="110"/>
        </w:rPr>
        <w:t>coded.</w:t>
      </w:r>
      <w:r>
        <w:rPr>
          <w:spacing w:val="-11"/>
          <w:w w:val="110"/>
        </w:rPr>
        <w:t xml:space="preserve"> </w:t>
      </w:r>
      <w:r>
        <w:rPr>
          <w:w w:val="110"/>
        </w:rPr>
        <w:t>Individuals</w:t>
      </w:r>
      <w:r>
        <w:rPr>
          <w:spacing w:val="-9"/>
          <w:w w:val="110"/>
        </w:rPr>
        <w:t xml:space="preserve"> </w:t>
      </w:r>
      <w:r>
        <w:rPr>
          <w:w w:val="110"/>
        </w:rPr>
        <w:t>may</w:t>
      </w:r>
      <w:r>
        <w:rPr>
          <w:spacing w:val="-10"/>
          <w:w w:val="110"/>
        </w:rPr>
        <w:t xml:space="preserve"> </w:t>
      </w:r>
      <w:r>
        <w:rPr>
          <w:w w:val="110"/>
        </w:rPr>
        <w:t>present</w:t>
      </w:r>
      <w:r>
        <w:rPr>
          <w:spacing w:val="-11"/>
          <w:w w:val="110"/>
        </w:rPr>
        <w:t xml:space="preserve"> </w:t>
      </w:r>
      <w:r>
        <w:rPr>
          <w:w w:val="110"/>
        </w:rPr>
        <w:t>with</w:t>
      </w:r>
      <w:r>
        <w:rPr>
          <w:spacing w:val="-13"/>
          <w:w w:val="110"/>
        </w:rPr>
        <w:t xml:space="preserve"> </w:t>
      </w:r>
      <w:r>
        <w:rPr>
          <w:w w:val="110"/>
        </w:rPr>
        <w:t>some</w:t>
      </w:r>
      <w:r>
        <w:rPr>
          <w:spacing w:val="-13"/>
          <w:w w:val="110"/>
        </w:rPr>
        <w:t xml:space="preserve"> </w:t>
      </w:r>
      <w:r>
        <w:rPr>
          <w:w w:val="110"/>
        </w:rPr>
        <w:t>but</w:t>
      </w:r>
      <w:r>
        <w:rPr>
          <w:spacing w:val="-8"/>
          <w:w w:val="110"/>
        </w:rPr>
        <w:t xml:space="preserve"> </w:t>
      </w:r>
      <w:r>
        <w:rPr>
          <w:w w:val="110"/>
        </w:rPr>
        <w:t>not</w:t>
      </w:r>
      <w:r>
        <w:rPr>
          <w:spacing w:val="-11"/>
          <w:w w:val="110"/>
        </w:rPr>
        <w:t xml:space="preserve"> </w:t>
      </w:r>
      <w:r>
        <w:rPr>
          <w:w w:val="110"/>
        </w:rPr>
        <w:t>all</w:t>
      </w:r>
      <w:r>
        <w:rPr>
          <w:spacing w:val="-16"/>
          <w:w w:val="110"/>
        </w:rPr>
        <w:t xml:space="preserve"> </w:t>
      </w:r>
      <w:r>
        <w:rPr>
          <w:w w:val="110"/>
        </w:rPr>
        <w:t>of</w:t>
      </w:r>
      <w:r>
        <w:rPr>
          <w:spacing w:val="-6"/>
          <w:w w:val="110"/>
        </w:rPr>
        <w:t xml:space="preserve"> </w:t>
      </w:r>
      <w:r>
        <w:rPr>
          <w:w w:val="110"/>
        </w:rPr>
        <w:t>the</w:t>
      </w:r>
      <w:r>
        <w:rPr>
          <w:spacing w:val="-19"/>
          <w:w w:val="110"/>
        </w:rPr>
        <w:t xml:space="preserve"> </w:t>
      </w:r>
      <w:r>
        <w:rPr>
          <w:w w:val="110"/>
        </w:rPr>
        <w:t>symptoms</w:t>
      </w:r>
      <w:r>
        <w:rPr>
          <w:spacing w:val="-11"/>
          <w:w w:val="110"/>
        </w:rPr>
        <w:t xml:space="preserve"> </w:t>
      </w:r>
      <w:r>
        <w:rPr>
          <w:w w:val="110"/>
        </w:rPr>
        <w:t>of</w:t>
      </w:r>
      <w:r>
        <w:rPr>
          <w:spacing w:val="-8"/>
          <w:w w:val="110"/>
        </w:rPr>
        <w:t xml:space="preserve"> </w:t>
      </w:r>
      <w:r>
        <w:rPr>
          <w:w w:val="110"/>
        </w:rPr>
        <w:t>dementia.</w:t>
      </w:r>
      <w:r>
        <w:rPr>
          <w:w w:val="107"/>
        </w:rPr>
        <w:t xml:space="preserve"> </w:t>
      </w:r>
      <w:r>
        <w:rPr>
          <w:w w:val="110"/>
        </w:rPr>
        <w:t>Such</w:t>
      </w:r>
      <w:r>
        <w:rPr>
          <w:spacing w:val="-7"/>
          <w:w w:val="110"/>
        </w:rPr>
        <w:t xml:space="preserve"> </w:t>
      </w:r>
      <w:r>
        <w:rPr>
          <w:w w:val="110"/>
        </w:rPr>
        <w:t>presentations</w:t>
      </w:r>
      <w:r>
        <w:rPr>
          <w:spacing w:val="-9"/>
          <w:w w:val="110"/>
        </w:rPr>
        <w:t xml:space="preserve"> </w:t>
      </w:r>
      <w:r>
        <w:rPr>
          <w:w w:val="110"/>
        </w:rPr>
        <w:t>should</w:t>
      </w:r>
      <w:r>
        <w:rPr>
          <w:spacing w:val="-7"/>
          <w:w w:val="110"/>
        </w:rPr>
        <w:t xml:space="preserve"> </w:t>
      </w:r>
      <w:r>
        <w:rPr>
          <w:w w:val="110"/>
        </w:rPr>
        <w:t>be</w:t>
      </w:r>
      <w:r>
        <w:rPr>
          <w:spacing w:val="-19"/>
          <w:w w:val="110"/>
        </w:rPr>
        <w:t xml:space="preserve"> </w:t>
      </w:r>
      <w:r>
        <w:rPr>
          <w:w w:val="110"/>
        </w:rPr>
        <w:t>coded</w:t>
      </w:r>
      <w:r>
        <w:rPr>
          <w:spacing w:val="-13"/>
          <w:w w:val="110"/>
        </w:rPr>
        <w:t xml:space="preserve"> </w:t>
      </w:r>
      <w:r>
        <w:rPr>
          <w:w w:val="110"/>
        </w:rPr>
        <w:t>as</w:t>
      </w:r>
      <w:r>
        <w:rPr>
          <w:spacing w:val="-21"/>
          <w:w w:val="110"/>
        </w:rPr>
        <w:t xml:space="preserve"> </w:t>
      </w:r>
      <w:r>
        <w:rPr>
          <w:b/>
          <w:w w:val="110"/>
        </w:rPr>
        <w:t>Cognitive</w:t>
      </w:r>
      <w:r>
        <w:rPr>
          <w:b/>
          <w:spacing w:val="-20"/>
          <w:w w:val="110"/>
        </w:rPr>
        <w:t xml:space="preserve"> </w:t>
      </w:r>
      <w:r>
        <w:rPr>
          <w:b/>
          <w:w w:val="110"/>
        </w:rPr>
        <w:t>Disorder</w:t>
      </w:r>
      <w:r>
        <w:rPr>
          <w:b/>
          <w:spacing w:val="-27"/>
          <w:w w:val="110"/>
        </w:rPr>
        <w:t xml:space="preserve"> </w:t>
      </w:r>
      <w:r>
        <w:rPr>
          <w:b/>
          <w:w w:val="110"/>
        </w:rPr>
        <w:t>Not</w:t>
      </w:r>
      <w:r>
        <w:rPr>
          <w:b/>
          <w:spacing w:val="-31"/>
          <w:w w:val="110"/>
        </w:rPr>
        <w:t xml:space="preserve"> </w:t>
      </w:r>
      <w:r>
        <w:rPr>
          <w:b/>
          <w:w w:val="110"/>
        </w:rPr>
        <w:t>Otherwise</w:t>
      </w:r>
      <w:r>
        <w:rPr>
          <w:b/>
          <w:spacing w:val="-21"/>
          <w:w w:val="110"/>
        </w:rPr>
        <w:t xml:space="preserve"> </w:t>
      </w:r>
      <w:r>
        <w:rPr>
          <w:b/>
          <w:w w:val="110"/>
        </w:rPr>
        <w:t>Specified.</w:t>
      </w:r>
      <w:r>
        <w:rPr>
          <w:b/>
          <w:spacing w:val="-1"/>
          <w:w w:val="110"/>
        </w:rPr>
        <w:t xml:space="preserve"> </w:t>
      </w:r>
      <w:r>
        <w:rPr>
          <w:b/>
          <w:w w:val="110"/>
        </w:rPr>
        <w:t>Mental</w:t>
      </w:r>
      <w:r>
        <w:rPr>
          <w:b/>
          <w:spacing w:val="-23"/>
          <w:w w:val="110"/>
        </w:rPr>
        <w:t xml:space="preserve"> </w:t>
      </w:r>
      <w:r>
        <w:rPr>
          <w:b/>
          <w:w w:val="110"/>
        </w:rPr>
        <w:t>Retardation</w:t>
      </w:r>
      <w:r>
        <w:rPr>
          <w:b/>
          <w:spacing w:val="-4"/>
          <w:w w:val="110"/>
        </w:rPr>
        <w:t xml:space="preserve"> </w:t>
      </w:r>
      <w:r>
        <w:rPr>
          <w:w w:val="110"/>
        </w:rPr>
        <w:t>is</w:t>
      </w:r>
      <w:r>
        <w:rPr>
          <w:spacing w:val="-15"/>
          <w:w w:val="110"/>
        </w:rPr>
        <w:t xml:space="preserve"> </w:t>
      </w:r>
      <w:r>
        <w:rPr>
          <w:w w:val="110"/>
        </w:rPr>
        <w:t>characterized</w:t>
      </w:r>
      <w:r>
        <w:rPr>
          <w:spacing w:val="-3"/>
          <w:w w:val="110"/>
        </w:rPr>
        <w:t xml:space="preserve"> </w:t>
      </w:r>
      <w:r>
        <w:rPr>
          <w:w w:val="110"/>
        </w:rPr>
        <w:t>by</w:t>
      </w:r>
      <w:r>
        <w:rPr>
          <w:spacing w:val="-16"/>
          <w:w w:val="110"/>
        </w:rPr>
        <w:t xml:space="preserve"> </w:t>
      </w:r>
      <w:r>
        <w:rPr>
          <w:w w:val="110"/>
        </w:rPr>
        <w:t>significantly</w:t>
      </w:r>
      <w:r>
        <w:rPr>
          <w:spacing w:val="-8"/>
          <w:w w:val="110"/>
        </w:rPr>
        <w:t xml:space="preserve"> </w:t>
      </w:r>
      <w:r>
        <w:rPr>
          <w:w w:val="110"/>
        </w:rPr>
        <w:t>subaverage</w:t>
      </w:r>
      <w:r>
        <w:rPr>
          <w:spacing w:val="-10"/>
          <w:w w:val="110"/>
        </w:rPr>
        <w:t xml:space="preserve"> </w:t>
      </w:r>
      <w:r>
        <w:rPr>
          <w:w w:val="110"/>
        </w:rPr>
        <w:t>current</w:t>
      </w:r>
      <w:r>
        <w:rPr>
          <w:spacing w:val="-8"/>
          <w:w w:val="110"/>
        </w:rPr>
        <w:t xml:space="preserve"> </w:t>
      </w:r>
      <w:r>
        <w:rPr>
          <w:w w:val="110"/>
        </w:rPr>
        <w:t>general</w:t>
      </w:r>
      <w:r>
        <w:rPr>
          <w:w w:val="107"/>
        </w:rPr>
        <w:t xml:space="preserve"> </w:t>
      </w:r>
      <w:r>
        <w:rPr>
          <w:w w:val="110"/>
        </w:rPr>
        <w:t>intellectual</w:t>
      </w:r>
      <w:r>
        <w:rPr>
          <w:spacing w:val="-21"/>
          <w:w w:val="110"/>
        </w:rPr>
        <w:t xml:space="preserve"> </w:t>
      </w:r>
      <w:r>
        <w:rPr>
          <w:w w:val="110"/>
        </w:rPr>
        <w:t>functioning,</w:t>
      </w:r>
      <w:r>
        <w:rPr>
          <w:spacing w:val="-13"/>
          <w:w w:val="110"/>
        </w:rPr>
        <w:t xml:space="preserve"> </w:t>
      </w:r>
      <w:r>
        <w:rPr>
          <w:w w:val="110"/>
        </w:rPr>
        <w:t>with</w:t>
      </w:r>
      <w:r>
        <w:rPr>
          <w:spacing w:val="-23"/>
          <w:w w:val="110"/>
        </w:rPr>
        <w:t xml:space="preserve"> </w:t>
      </w:r>
      <w:r>
        <w:rPr>
          <w:w w:val="110"/>
        </w:rPr>
        <w:t>concurrent</w:t>
      </w:r>
      <w:r>
        <w:rPr>
          <w:spacing w:val="-17"/>
          <w:w w:val="110"/>
        </w:rPr>
        <w:t xml:space="preserve"> </w:t>
      </w:r>
      <w:r>
        <w:rPr>
          <w:w w:val="110"/>
        </w:rPr>
        <w:t>impairments</w:t>
      </w:r>
      <w:r>
        <w:rPr>
          <w:spacing w:val="-19"/>
          <w:w w:val="110"/>
        </w:rPr>
        <w:t xml:space="preserve"> </w:t>
      </w:r>
      <w:r>
        <w:rPr>
          <w:w w:val="110"/>
        </w:rPr>
        <w:t>in</w:t>
      </w:r>
      <w:r>
        <w:rPr>
          <w:spacing w:val="-25"/>
          <w:w w:val="110"/>
        </w:rPr>
        <w:t xml:space="preserve"> </w:t>
      </w:r>
      <w:r>
        <w:rPr>
          <w:w w:val="110"/>
        </w:rPr>
        <w:t>adaptive</w:t>
      </w:r>
      <w:r>
        <w:rPr>
          <w:spacing w:val="-21"/>
          <w:w w:val="110"/>
        </w:rPr>
        <w:t xml:space="preserve"> </w:t>
      </w:r>
      <w:r>
        <w:rPr>
          <w:w w:val="110"/>
        </w:rPr>
        <w:t>functioning</w:t>
      </w:r>
      <w:r>
        <w:rPr>
          <w:spacing w:val="-18"/>
          <w:w w:val="110"/>
        </w:rPr>
        <w:t xml:space="preserve"> </w:t>
      </w:r>
      <w:r>
        <w:rPr>
          <w:w w:val="110"/>
        </w:rPr>
        <w:t>and</w:t>
      </w:r>
      <w:r>
        <w:rPr>
          <w:spacing w:val="-24"/>
          <w:w w:val="110"/>
        </w:rPr>
        <w:t xml:space="preserve"> </w:t>
      </w:r>
      <w:r>
        <w:rPr>
          <w:w w:val="110"/>
        </w:rPr>
        <w:t>with</w:t>
      </w:r>
    </w:p>
    <w:p w:rsidR="00E675F0" w:rsidRDefault="00E675F0" w:rsidP="00E675F0">
      <w:pPr>
        <w:spacing w:line="254" w:lineRule="auto"/>
        <w:jc w:val="right"/>
        <w:sectPr w:rsidR="00E675F0">
          <w:pgSz w:w="8960" w:h="14260"/>
          <w:pgMar w:top="1400" w:right="600" w:bottom="280" w:left="600" w:header="690" w:footer="0" w:gutter="0"/>
          <w:cols w:space="720"/>
        </w:sectPr>
      </w:pPr>
    </w:p>
    <w:p w:rsidR="00E675F0" w:rsidRDefault="00E675F0" w:rsidP="00E675F0">
      <w:pPr>
        <w:pStyle w:val="BodyText"/>
        <w:spacing w:before="110" w:line="252" w:lineRule="auto"/>
        <w:ind w:left="132" w:right="136" w:hanging="1"/>
        <w:jc w:val="both"/>
      </w:pPr>
      <w:bookmarkStart w:id="89" w:name="_bookmark72"/>
      <w:bookmarkEnd w:id="89"/>
      <w:r>
        <w:rPr>
          <w:w w:val="105"/>
        </w:rPr>
        <w:lastRenderedPageBreak/>
        <w:t xml:space="preserve">an onset before age 18 years. Mental Retardation is not necessarily associated with memory impairment. In contrast, the age at onset of dementia  is usually late in life. </w:t>
      </w:r>
      <w:r>
        <w:rPr>
          <w:rFonts w:ascii="Arial"/>
          <w:w w:val="105"/>
          <w:sz w:val="19"/>
        </w:rPr>
        <w:t xml:space="preserve">If </w:t>
      </w:r>
      <w:r>
        <w:rPr>
          <w:w w:val="105"/>
        </w:rPr>
        <w:t>the onset of the dementia is before age 18 years, both dementia and Mental Retardation may be diagnosed if the criteria for both disorders are met. Documenting a significant deterioration</w:t>
      </w:r>
      <w:r>
        <w:rPr>
          <w:spacing w:val="1"/>
          <w:w w:val="105"/>
        </w:rPr>
        <w:t xml:space="preserve"> </w:t>
      </w:r>
      <w:r>
        <w:rPr>
          <w:w w:val="105"/>
        </w:rPr>
        <w:t>in</w:t>
      </w:r>
      <w:r>
        <w:rPr>
          <w:spacing w:val="-10"/>
          <w:w w:val="105"/>
        </w:rPr>
        <w:t xml:space="preserve"> </w:t>
      </w:r>
      <w:r>
        <w:rPr>
          <w:w w:val="105"/>
        </w:rPr>
        <w:t>memory</w:t>
      </w:r>
      <w:r>
        <w:rPr>
          <w:spacing w:val="-4"/>
          <w:w w:val="105"/>
        </w:rPr>
        <w:t xml:space="preserve"> </w:t>
      </w:r>
      <w:r>
        <w:rPr>
          <w:w w:val="105"/>
        </w:rPr>
        <w:t>and</w:t>
      </w:r>
      <w:r>
        <w:rPr>
          <w:spacing w:val="-12"/>
          <w:w w:val="105"/>
        </w:rPr>
        <w:t xml:space="preserve"> </w:t>
      </w:r>
      <w:r>
        <w:rPr>
          <w:w w:val="105"/>
        </w:rPr>
        <w:t>in</w:t>
      </w:r>
      <w:r>
        <w:rPr>
          <w:spacing w:val="-16"/>
          <w:w w:val="105"/>
        </w:rPr>
        <w:t xml:space="preserve"> </w:t>
      </w:r>
      <w:r>
        <w:rPr>
          <w:w w:val="105"/>
        </w:rPr>
        <w:t>other</w:t>
      </w:r>
      <w:r>
        <w:rPr>
          <w:spacing w:val="-12"/>
          <w:w w:val="105"/>
        </w:rPr>
        <w:t xml:space="preserve"> </w:t>
      </w:r>
      <w:r>
        <w:rPr>
          <w:w w:val="105"/>
        </w:rPr>
        <w:t>cognitive</w:t>
      </w:r>
      <w:r>
        <w:rPr>
          <w:spacing w:val="-8"/>
          <w:w w:val="105"/>
        </w:rPr>
        <w:t xml:space="preserve"> </w:t>
      </w:r>
      <w:r>
        <w:rPr>
          <w:w w:val="105"/>
        </w:rPr>
        <w:t>skills,</w:t>
      </w:r>
      <w:r>
        <w:rPr>
          <w:spacing w:val="-8"/>
          <w:w w:val="105"/>
        </w:rPr>
        <w:t xml:space="preserve"> </w:t>
      </w:r>
      <w:r>
        <w:rPr>
          <w:w w:val="105"/>
        </w:rPr>
        <w:t>which</w:t>
      </w:r>
      <w:r>
        <w:rPr>
          <w:spacing w:val="-10"/>
          <w:w w:val="105"/>
        </w:rPr>
        <w:t xml:space="preserve"> </w:t>
      </w:r>
      <w:r>
        <w:rPr>
          <w:w w:val="105"/>
        </w:rPr>
        <w:t>is</w:t>
      </w:r>
      <w:r>
        <w:rPr>
          <w:spacing w:val="-11"/>
          <w:w w:val="105"/>
        </w:rPr>
        <w:t xml:space="preserve"> </w:t>
      </w:r>
      <w:r>
        <w:rPr>
          <w:w w:val="105"/>
        </w:rPr>
        <w:t>necessary</w:t>
      </w:r>
      <w:r>
        <w:rPr>
          <w:spacing w:val="-7"/>
          <w:w w:val="105"/>
        </w:rPr>
        <w:t xml:space="preserve"> </w:t>
      </w:r>
      <w:r>
        <w:rPr>
          <w:w w:val="105"/>
        </w:rPr>
        <w:t>for</w:t>
      </w:r>
      <w:r>
        <w:rPr>
          <w:spacing w:val="-12"/>
          <w:w w:val="105"/>
        </w:rPr>
        <w:t xml:space="preserve"> </w:t>
      </w:r>
      <w:r>
        <w:rPr>
          <w:w w:val="105"/>
        </w:rPr>
        <w:t>the</w:t>
      </w:r>
      <w:r>
        <w:rPr>
          <w:spacing w:val="-14"/>
          <w:w w:val="105"/>
        </w:rPr>
        <w:t xml:space="preserve"> </w:t>
      </w:r>
      <w:r>
        <w:rPr>
          <w:w w:val="105"/>
        </w:rPr>
        <w:t>diagnosis of dementia, may be difficult in persons under age 4 years. In individuals under age 18 years,</w:t>
      </w:r>
      <w:r>
        <w:rPr>
          <w:spacing w:val="-1"/>
          <w:w w:val="105"/>
        </w:rPr>
        <w:t xml:space="preserve"> </w:t>
      </w:r>
      <w:r>
        <w:rPr>
          <w:w w:val="105"/>
        </w:rPr>
        <w:t>the</w:t>
      </w:r>
      <w:r>
        <w:rPr>
          <w:spacing w:val="-12"/>
          <w:w w:val="105"/>
        </w:rPr>
        <w:t xml:space="preserve"> </w:t>
      </w:r>
      <w:r>
        <w:rPr>
          <w:w w:val="105"/>
        </w:rPr>
        <w:t>diagnosis</w:t>
      </w:r>
      <w:r>
        <w:rPr>
          <w:spacing w:val="-4"/>
          <w:w w:val="105"/>
        </w:rPr>
        <w:t xml:space="preserve"> </w:t>
      </w:r>
      <w:r>
        <w:rPr>
          <w:w w:val="105"/>
        </w:rPr>
        <w:t>of</w:t>
      </w:r>
      <w:r>
        <w:rPr>
          <w:spacing w:val="-5"/>
          <w:w w:val="105"/>
        </w:rPr>
        <w:t xml:space="preserve"> </w:t>
      </w:r>
      <w:r>
        <w:rPr>
          <w:w w:val="105"/>
        </w:rPr>
        <w:t>dementia</w:t>
      </w:r>
      <w:r>
        <w:rPr>
          <w:spacing w:val="-8"/>
          <w:w w:val="105"/>
        </w:rPr>
        <w:t xml:space="preserve"> </w:t>
      </w:r>
      <w:r>
        <w:rPr>
          <w:w w:val="105"/>
        </w:rPr>
        <w:t>should</w:t>
      </w:r>
      <w:r>
        <w:rPr>
          <w:spacing w:val="-3"/>
          <w:w w:val="105"/>
        </w:rPr>
        <w:t xml:space="preserve"> </w:t>
      </w:r>
      <w:r>
        <w:rPr>
          <w:w w:val="105"/>
        </w:rPr>
        <w:t>be</w:t>
      </w:r>
      <w:r>
        <w:rPr>
          <w:spacing w:val="-11"/>
          <w:w w:val="105"/>
        </w:rPr>
        <w:t xml:space="preserve"> </w:t>
      </w:r>
      <w:r>
        <w:rPr>
          <w:w w:val="105"/>
        </w:rPr>
        <w:t>made</w:t>
      </w:r>
      <w:r>
        <w:rPr>
          <w:spacing w:val="-10"/>
          <w:w w:val="105"/>
        </w:rPr>
        <w:t xml:space="preserve"> </w:t>
      </w:r>
      <w:r>
        <w:rPr>
          <w:w w:val="105"/>
        </w:rPr>
        <w:t>only</w:t>
      </w:r>
      <w:r>
        <w:rPr>
          <w:spacing w:val="-10"/>
          <w:w w:val="105"/>
        </w:rPr>
        <w:t xml:space="preserve"> </w:t>
      </w:r>
      <w:r>
        <w:rPr>
          <w:w w:val="105"/>
        </w:rPr>
        <w:t>if</w:t>
      </w:r>
      <w:r>
        <w:rPr>
          <w:spacing w:val="-8"/>
          <w:w w:val="105"/>
        </w:rPr>
        <w:t xml:space="preserve"> </w:t>
      </w:r>
      <w:r>
        <w:rPr>
          <w:w w:val="105"/>
        </w:rPr>
        <w:t>the</w:t>
      </w:r>
      <w:r>
        <w:rPr>
          <w:spacing w:val="-18"/>
          <w:w w:val="105"/>
        </w:rPr>
        <w:t xml:space="preserve"> </w:t>
      </w:r>
      <w:r>
        <w:rPr>
          <w:w w:val="105"/>
        </w:rPr>
        <w:t>condition</w:t>
      </w:r>
      <w:r>
        <w:rPr>
          <w:spacing w:val="3"/>
          <w:w w:val="105"/>
        </w:rPr>
        <w:t xml:space="preserve"> </w:t>
      </w:r>
      <w:r>
        <w:rPr>
          <w:w w:val="105"/>
        </w:rPr>
        <w:t>is</w:t>
      </w:r>
      <w:r>
        <w:rPr>
          <w:spacing w:val="-8"/>
          <w:w w:val="105"/>
        </w:rPr>
        <w:t xml:space="preserve"> </w:t>
      </w:r>
      <w:r>
        <w:rPr>
          <w:w w:val="105"/>
        </w:rPr>
        <w:t>not</w:t>
      </w:r>
      <w:r>
        <w:rPr>
          <w:spacing w:val="-9"/>
          <w:w w:val="105"/>
        </w:rPr>
        <w:t xml:space="preserve"> </w:t>
      </w:r>
      <w:r>
        <w:rPr>
          <w:w w:val="105"/>
        </w:rPr>
        <w:t>characterized satisfactorily by the diagnosis of Mental Retardation</w:t>
      </w:r>
      <w:r>
        <w:rPr>
          <w:spacing w:val="33"/>
          <w:w w:val="105"/>
        </w:rPr>
        <w:t xml:space="preserve"> </w:t>
      </w:r>
      <w:r>
        <w:rPr>
          <w:w w:val="105"/>
        </w:rPr>
        <w:t>alone.</w:t>
      </w:r>
    </w:p>
    <w:p w:rsidR="00E675F0" w:rsidRDefault="00E675F0" w:rsidP="00E675F0">
      <w:pPr>
        <w:pStyle w:val="BodyText"/>
        <w:spacing w:before="10" w:line="254" w:lineRule="auto"/>
        <w:ind w:left="137" w:right="137" w:firstLine="361"/>
        <w:jc w:val="both"/>
      </w:pPr>
      <w:r>
        <w:rPr>
          <w:b/>
          <w:w w:val="105"/>
        </w:rPr>
        <w:t xml:space="preserve">Schizophrenia </w:t>
      </w:r>
      <w:r>
        <w:rPr>
          <w:w w:val="105"/>
        </w:rPr>
        <w:t>can also be associated with multiple cognitive impairments and a decline in functioning, but Schizophrenia is unlike dementia in its generally earlier age at onset, its characteristic symptom pattern, and the absence of a specific etiological general medical condition or substance. Typically, the cognitive impairment associated with Schizophrenia is less severe than that seen in</w:t>
      </w:r>
      <w:r>
        <w:rPr>
          <w:spacing w:val="51"/>
          <w:w w:val="105"/>
        </w:rPr>
        <w:t xml:space="preserve"> </w:t>
      </w:r>
      <w:r>
        <w:rPr>
          <w:w w:val="105"/>
        </w:rPr>
        <w:t>Dementia.</w:t>
      </w:r>
    </w:p>
    <w:p w:rsidR="00E675F0" w:rsidRDefault="00E675F0" w:rsidP="00E675F0">
      <w:pPr>
        <w:pStyle w:val="BodyText"/>
        <w:spacing w:before="2" w:line="254" w:lineRule="auto"/>
        <w:ind w:left="138" w:right="135" w:firstLine="361"/>
        <w:jc w:val="both"/>
      </w:pPr>
      <w:r>
        <w:rPr>
          <w:b/>
          <w:w w:val="110"/>
        </w:rPr>
        <w:t xml:space="preserve">Major Depressive Disorder </w:t>
      </w:r>
      <w:r>
        <w:rPr>
          <w:w w:val="110"/>
        </w:rPr>
        <w:t>may be associated with complaints of memory impairment,</w:t>
      </w:r>
      <w:r>
        <w:rPr>
          <w:spacing w:val="-37"/>
          <w:w w:val="110"/>
        </w:rPr>
        <w:t xml:space="preserve"> </w:t>
      </w:r>
      <w:r>
        <w:rPr>
          <w:w w:val="110"/>
        </w:rPr>
        <w:t>difficulty</w:t>
      </w:r>
      <w:r>
        <w:rPr>
          <w:spacing w:val="-38"/>
          <w:w w:val="110"/>
        </w:rPr>
        <w:t xml:space="preserve"> </w:t>
      </w:r>
      <w:r>
        <w:rPr>
          <w:w w:val="110"/>
        </w:rPr>
        <w:t>thinking</w:t>
      </w:r>
      <w:r>
        <w:rPr>
          <w:spacing w:val="-41"/>
          <w:w w:val="110"/>
        </w:rPr>
        <w:t xml:space="preserve"> </w:t>
      </w:r>
      <w:r>
        <w:rPr>
          <w:w w:val="110"/>
        </w:rPr>
        <w:t>and</w:t>
      </w:r>
      <w:r>
        <w:rPr>
          <w:spacing w:val="-40"/>
          <w:w w:val="110"/>
        </w:rPr>
        <w:t xml:space="preserve"> </w:t>
      </w:r>
      <w:r>
        <w:rPr>
          <w:w w:val="110"/>
        </w:rPr>
        <w:t>concentrating,</w:t>
      </w:r>
      <w:r>
        <w:rPr>
          <w:spacing w:val="-41"/>
          <w:w w:val="110"/>
        </w:rPr>
        <w:t xml:space="preserve"> </w:t>
      </w:r>
      <w:r>
        <w:rPr>
          <w:w w:val="110"/>
        </w:rPr>
        <w:t>and</w:t>
      </w:r>
      <w:r>
        <w:rPr>
          <w:spacing w:val="-39"/>
          <w:w w:val="110"/>
        </w:rPr>
        <w:t xml:space="preserve"> </w:t>
      </w:r>
      <w:r>
        <w:rPr>
          <w:w w:val="110"/>
        </w:rPr>
        <w:t>an</w:t>
      </w:r>
      <w:r>
        <w:rPr>
          <w:spacing w:val="-43"/>
          <w:w w:val="110"/>
        </w:rPr>
        <w:t xml:space="preserve"> </w:t>
      </w:r>
      <w:r>
        <w:rPr>
          <w:w w:val="110"/>
        </w:rPr>
        <w:t>overall</w:t>
      </w:r>
      <w:r>
        <w:rPr>
          <w:spacing w:val="-37"/>
          <w:w w:val="110"/>
        </w:rPr>
        <w:t xml:space="preserve"> </w:t>
      </w:r>
      <w:r>
        <w:rPr>
          <w:w w:val="110"/>
        </w:rPr>
        <w:t>reduction</w:t>
      </w:r>
      <w:r>
        <w:rPr>
          <w:spacing w:val="-36"/>
          <w:w w:val="110"/>
        </w:rPr>
        <w:t xml:space="preserve"> </w:t>
      </w:r>
      <w:r>
        <w:rPr>
          <w:w w:val="110"/>
        </w:rPr>
        <w:t>in</w:t>
      </w:r>
      <w:r>
        <w:rPr>
          <w:spacing w:val="-40"/>
          <w:w w:val="110"/>
        </w:rPr>
        <w:t xml:space="preserve"> </w:t>
      </w:r>
      <w:r>
        <w:rPr>
          <w:w w:val="110"/>
        </w:rPr>
        <w:t>intellectual abilities. Individuals sometimes perform poorly on mental status examinations and neuropsychological testing. Particularly in elderly persons, it is often difficult to determine</w:t>
      </w:r>
      <w:r>
        <w:rPr>
          <w:spacing w:val="-5"/>
          <w:w w:val="110"/>
        </w:rPr>
        <w:t xml:space="preserve"> </w:t>
      </w:r>
      <w:r>
        <w:rPr>
          <w:w w:val="110"/>
        </w:rPr>
        <w:t>whether</w:t>
      </w:r>
      <w:r>
        <w:rPr>
          <w:spacing w:val="-7"/>
          <w:w w:val="110"/>
        </w:rPr>
        <w:t xml:space="preserve"> </w:t>
      </w:r>
      <w:r>
        <w:rPr>
          <w:w w:val="110"/>
        </w:rPr>
        <w:t>cognitive</w:t>
      </w:r>
      <w:r>
        <w:rPr>
          <w:spacing w:val="-9"/>
          <w:w w:val="110"/>
        </w:rPr>
        <w:t xml:space="preserve"> </w:t>
      </w:r>
      <w:r>
        <w:rPr>
          <w:w w:val="110"/>
        </w:rPr>
        <w:t>symptoms</w:t>
      </w:r>
      <w:r>
        <w:rPr>
          <w:spacing w:val="-5"/>
          <w:w w:val="110"/>
        </w:rPr>
        <w:t xml:space="preserve"> </w:t>
      </w:r>
      <w:r>
        <w:rPr>
          <w:w w:val="110"/>
        </w:rPr>
        <w:t>are</w:t>
      </w:r>
      <w:r>
        <w:rPr>
          <w:spacing w:val="-11"/>
          <w:w w:val="110"/>
        </w:rPr>
        <w:t xml:space="preserve"> </w:t>
      </w:r>
      <w:r>
        <w:rPr>
          <w:w w:val="110"/>
        </w:rPr>
        <w:t>better</w:t>
      </w:r>
      <w:r>
        <w:rPr>
          <w:spacing w:val="-11"/>
          <w:w w:val="110"/>
        </w:rPr>
        <w:t xml:space="preserve"> </w:t>
      </w:r>
      <w:r>
        <w:rPr>
          <w:w w:val="110"/>
        </w:rPr>
        <w:t>accounted</w:t>
      </w:r>
      <w:r>
        <w:rPr>
          <w:spacing w:val="-8"/>
          <w:w w:val="110"/>
        </w:rPr>
        <w:t xml:space="preserve"> </w:t>
      </w:r>
      <w:r>
        <w:rPr>
          <w:w w:val="110"/>
        </w:rPr>
        <w:t>for</w:t>
      </w:r>
      <w:r>
        <w:rPr>
          <w:spacing w:val="-13"/>
          <w:w w:val="110"/>
        </w:rPr>
        <w:t xml:space="preserve"> </w:t>
      </w:r>
      <w:r>
        <w:rPr>
          <w:w w:val="110"/>
        </w:rPr>
        <w:t>by</w:t>
      </w:r>
      <w:r>
        <w:rPr>
          <w:spacing w:val="-14"/>
          <w:w w:val="110"/>
        </w:rPr>
        <w:t xml:space="preserve"> </w:t>
      </w:r>
      <w:r>
        <w:rPr>
          <w:w w:val="110"/>
        </w:rPr>
        <w:t>a</w:t>
      </w:r>
      <w:r>
        <w:rPr>
          <w:spacing w:val="-11"/>
          <w:w w:val="110"/>
        </w:rPr>
        <w:t xml:space="preserve"> </w:t>
      </w:r>
      <w:r>
        <w:rPr>
          <w:w w:val="110"/>
        </w:rPr>
        <w:t>dementia</w:t>
      </w:r>
      <w:r>
        <w:rPr>
          <w:spacing w:val="-3"/>
          <w:w w:val="110"/>
        </w:rPr>
        <w:t xml:space="preserve"> </w:t>
      </w:r>
      <w:r>
        <w:rPr>
          <w:w w:val="110"/>
        </w:rPr>
        <w:t>or</w:t>
      </w:r>
      <w:r>
        <w:rPr>
          <w:spacing w:val="-10"/>
          <w:w w:val="110"/>
        </w:rPr>
        <w:t xml:space="preserve"> </w:t>
      </w:r>
      <w:r>
        <w:rPr>
          <w:w w:val="110"/>
        </w:rPr>
        <w:t>by</w:t>
      </w:r>
      <w:r>
        <w:rPr>
          <w:spacing w:val="-10"/>
          <w:w w:val="110"/>
        </w:rPr>
        <w:t xml:space="preserve"> </w:t>
      </w:r>
      <w:r>
        <w:rPr>
          <w:w w:val="110"/>
        </w:rPr>
        <w:t>a Major</w:t>
      </w:r>
      <w:r>
        <w:rPr>
          <w:spacing w:val="-14"/>
          <w:w w:val="110"/>
        </w:rPr>
        <w:t xml:space="preserve"> </w:t>
      </w:r>
      <w:r>
        <w:rPr>
          <w:w w:val="110"/>
        </w:rPr>
        <w:t>Depressive</w:t>
      </w:r>
      <w:r>
        <w:rPr>
          <w:spacing w:val="-7"/>
          <w:w w:val="110"/>
        </w:rPr>
        <w:t xml:space="preserve"> </w:t>
      </w:r>
      <w:r>
        <w:rPr>
          <w:w w:val="110"/>
        </w:rPr>
        <w:t>Episode.</w:t>
      </w:r>
      <w:r>
        <w:rPr>
          <w:spacing w:val="-13"/>
          <w:w w:val="110"/>
        </w:rPr>
        <w:t xml:space="preserve"> </w:t>
      </w:r>
      <w:r>
        <w:rPr>
          <w:w w:val="110"/>
        </w:rPr>
        <w:t>This</w:t>
      </w:r>
      <w:r>
        <w:rPr>
          <w:spacing w:val="-18"/>
          <w:w w:val="110"/>
        </w:rPr>
        <w:t xml:space="preserve"> </w:t>
      </w:r>
      <w:r>
        <w:rPr>
          <w:w w:val="110"/>
        </w:rPr>
        <w:t>differential</w:t>
      </w:r>
      <w:r>
        <w:rPr>
          <w:spacing w:val="-14"/>
          <w:w w:val="110"/>
        </w:rPr>
        <w:t xml:space="preserve"> </w:t>
      </w:r>
      <w:r>
        <w:rPr>
          <w:w w:val="110"/>
        </w:rPr>
        <w:t>diagnosis</w:t>
      </w:r>
      <w:r>
        <w:rPr>
          <w:spacing w:val="-9"/>
          <w:w w:val="110"/>
        </w:rPr>
        <w:t xml:space="preserve"> </w:t>
      </w:r>
      <w:r>
        <w:rPr>
          <w:w w:val="110"/>
        </w:rPr>
        <w:t>may</w:t>
      </w:r>
      <w:r>
        <w:rPr>
          <w:spacing w:val="-13"/>
          <w:w w:val="110"/>
        </w:rPr>
        <w:t xml:space="preserve"> </w:t>
      </w:r>
      <w:r>
        <w:rPr>
          <w:w w:val="110"/>
        </w:rPr>
        <w:t>be</w:t>
      </w:r>
      <w:r>
        <w:rPr>
          <w:spacing w:val="-16"/>
          <w:w w:val="110"/>
        </w:rPr>
        <w:t xml:space="preserve"> </w:t>
      </w:r>
      <w:r>
        <w:rPr>
          <w:w w:val="110"/>
        </w:rPr>
        <w:t>informed</w:t>
      </w:r>
      <w:r>
        <w:rPr>
          <w:spacing w:val="-9"/>
          <w:w w:val="110"/>
        </w:rPr>
        <w:t xml:space="preserve"> </w:t>
      </w:r>
      <w:r>
        <w:rPr>
          <w:w w:val="110"/>
        </w:rPr>
        <w:t>by</w:t>
      </w:r>
      <w:r>
        <w:rPr>
          <w:spacing w:val="-14"/>
          <w:w w:val="110"/>
        </w:rPr>
        <w:t xml:space="preserve"> </w:t>
      </w:r>
      <w:r>
        <w:rPr>
          <w:w w:val="110"/>
        </w:rPr>
        <w:t>a</w:t>
      </w:r>
      <w:r>
        <w:rPr>
          <w:spacing w:val="-11"/>
          <w:w w:val="110"/>
        </w:rPr>
        <w:t xml:space="preserve"> </w:t>
      </w:r>
      <w:r>
        <w:rPr>
          <w:w w:val="110"/>
        </w:rPr>
        <w:t>thorough medical evaluation and an evaluation of the onset of the disturbance, the temporal sequencing</w:t>
      </w:r>
      <w:r>
        <w:rPr>
          <w:spacing w:val="-20"/>
          <w:w w:val="110"/>
        </w:rPr>
        <w:t xml:space="preserve"> </w:t>
      </w:r>
      <w:r>
        <w:rPr>
          <w:w w:val="110"/>
        </w:rPr>
        <w:t>of</w:t>
      </w:r>
      <w:r>
        <w:rPr>
          <w:spacing w:val="-20"/>
          <w:w w:val="110"/>
        </w:rPr>
        <w:t xml:space="preserve"> </w:t>
      </w:r>
      <w:r>
        <w:rPr>
          <w:w w:val="110"/>
        </w:rPr>
        <w:t>depressive</w:t>
      </w:r>
      <w:r>
        <w:rPr>
          <w:spacing w:val="-19"/>
          <w:w w:val="110"/>
        </w:rPr>
        <w:t xml:space="preserve"> </w:t>
      </w:r>
      <w:r>
        <w:rPr>
          <w:w w:val="110"/>
        </w:rPr>
        <w:t>and</w:t>
      </w:r>
      <w:r>
        <w:rPr>
          <w:spacing w:val="-25"/>
          <w:w w:val="110"/>
        </w:rPr>
        <w:t xml:space="preserve"> </w:t>
      </w:r>
      <w:r>
        <w:rPr>
          <w:w w:val="110"/>
        </w:rPr>
        <w:t>cognitive</w:t>
      </w:r>
      <w:r>
        <w:rPr>
          <w:spacing w:val="-21"/>
          <w:w w:val="110"/>
        </w:rPr>
        <w:t xml:space="preserve"> </w:t>
      </w:r>
      <w:r>
        <w:rPr>
          <w:w w:val="110"/>
        </w:rPr>
        <w:t>symptoms,</w:t>
      </w:r>
      <w:r>
        <w:rPr>
          <w:spacing w:val="-17"/>
          <w:w w:val="110"/>
        </w:rPr>
        <w:t xml:space="preserve"> </w:t>
      </w:r>
      <w:r>
        <w:rPr>
          <w:w w:val="110"/>
        </w:rPr>
        <w:t>the</w:t>
      </w:r>
      <w:r>
        <w:rPr>
          <w:spacing w:val="-27"/>
          <w:w w:val="110"/>
        </w:rPr>
        <w:t xml:space="preserve"> </w:t>
      </w:r>
      <w:r>
        <w:rPr>
          <w:w w:val="110"/>
        </w:rPr>
        <w:t>course</w:t>
      </w:r>
      <w:r>
        <w:rPr>
          <w:spacing w:val="-23"/>
          <w:w w:val="110"/>
        </w:rPr>
        <w:t xml:space="preserve"> </w:t>
      </w:r>
      <w:r>
        <w:rPr>
          <w:w w:val="110"/>
        </w:rPr>
        <w:t>of</w:t>
      </w:r>
      <w:r>
        <w:rPr>
          <w:spacing w:val="-21"/>
          <w:w w:val="110"/>
        </w:rPr>
        <w:t xml:space="preserve"> </w:t>
      </w:r>
      <w:r>
        <w:rPr>
          <w:w w:val="110"/>
        </w:rPr>
        <w:t>illness,</w:t>
      </w:r>
      <w:r>
        <w:rPr>
          <w:spacing w:val="-20"/>
          <w:w w:val="110"/>
        </w:rPr>
        <w:t xml:space="preserve"> </w:t>
      </w:r>
      <w:r>
        <w:rPr>
          <w:w w:val="110"/>
        </w:rPr>
        <w:t>family</w:t>
      </w:r>
      <w:r>
        <w:rPr>
          <w:spacing w:val="-21"/>
          <w:w w:val="110"/>
        </w:rPr>
        <w:t xml:space="preserve"> </w:t>
      </w:r>
      <w:r>
        <w:rPr>
          <w:w w:val="110"/>
        </w:rPr>
        <w:t>history, and</w:t>
      </w:r>
      <w:r>
        <w:rPr>
          <w:spacing w:val="-16"/>
          <w:w w:val="110"/>
        </w:rPr>
        <w:t xml:space="preserve"> </w:t>
      </w:r>
      <w:r>
        <w:rPr>
          <w:w w:val="110"/>
        </w:rPr>
        <w:t>treatment</w:t>
      </w:r>
      <w:r>
        <w:rPr>
          <w:spacing w:val="-9"/>
          <w:w w:val="110"/>
        </w:rPr>
        <w:t xml:space="preserve"> </w:t>
      </w:r>
      <w:r>
        <w:rPr>
          <w:w w:val="110"/>
        </w:rPr>
        <w:t>response.</w:t>
      </w:r>
      <w:r>
        <w:rPr>
          <w:spacing w:val="-15"/>
          <w:w w:val="110"/>
        </w:rPr>
        <w:t xml:space="preserve"> </w:t>
      </w:r>
      <w:r>
        <w:rPr>
          <w:w w:val="110"/>
        </w:rPr>
        <w:t>The</w:t>
      </w:r>
      <w:r>
        <w:rPr>
          <w:spacing w:val="-16"/>
          <w:w w:val="110"/>
        </w:rPr>
        <w:t xml:space="preserve"> </w:t>
      </w:r>
      <w:r>
        <w:rPr>
          <w:w w:val="110"/>
        </w:rPr>
        <w:t>premorbid</w:t>
      </w:r>
      <w:r>
        <w:rPr>
          <w:spacing w:val="-16"/>
          <w:w w:val="110"/>
        </w:rPr>
        <w:t xml:space="preserve"> </w:t>
      </w:r>
      <w:r>
        <w:rPr>
          <w:w w:val="110"/>
        </w:rPr>
        <w:t>state</w:t>
      </w:r>
      <w:r>
        <w:rPr>
          <w:spacing w:val="-22"/>
          <w:w w:val="110"/>
        </w:rPr>
        <w:t xml:space="preserve"> </w:t>
      </w:r>
      <w:r>
        <w:rPr>
          <w:w w:val="110"/>
        </w:rPr>
        <w:t>of</w:t>
      </w:r>
      <w:r>
        <w:rPr>
          <w:spacing w:val="-16"/>
          <w:w w:val="110"/>
        </w:rPr>
        <w:t xml:space="preserve"> </w:t>
      </w:r>
      <w:r>
        <w:rPr>
          <w:w w:val="110"/>
        </w:rPr>
        <w:t>the</w:t>
      </w:r>
      <w:r>
        <w:rPr>
          <w:spacing w:val="-21"/>
          <w:w w:val="110"/>
        </w:rPr>
        <w:t xml:space="preserve"> </w:t>
      </w:r>
      <w:r>
        <w:rPr>
          <w:w w:val="110"/>
        </w:rPr>
        <w:t>individual</w:t>
      </w:r>
      <w:r>
        <w:rPr>
          <w:spacing w:val="-11"/>
          <w:w w:val="110"/>
        </w:rPr>
        <w:t xml:space="preserve"> </w:t>
      </w:r>
      <w:r>
        <w:rPr>
          <w:w w:val="110"/>
        </w:rPr>
        <w:t>may</w:t>
      </w:r>
      <w:r>
        <w:rPr>
          <w:spacing w:val="-16"/>
          <w:w w:val="110"/>
        </w:rPr>
        <w:t xml:space="preserve"> </w:t>
      </w:r>
      <w:r>
        <w:rPr>
          <w:w w:val="110"/>
        </w:rPr>
        <w:t>help</w:t>
      </w:r>
      <w:r>
        <w:rPr>
          <w:spacing w:val="-18"/>
          <w:w w:val="110"/>
        </w:rPr>
        <w:t xml:space="preserve"> </w:t>
      </w:r>
      <w:r>
        <w:rPr>
          <w:w w:val="110"/>
        </w:rPr>
        <w:t>to</w:t>
      </w:r>
      <w:r>
        <w:rPr>
          <w:spacing w:val="-22"/>
          <w:w w:val="110"/>
        </w:rPr>
        <w:t xml:space="preserve"> </w:t>
      </w:r>
      <w:r>
        <w:rPr>
          <w:w w:val="110"/>
        </w:rPr>
        <w:t>differentiate "pseudodementia" (i.e., cognitive impairments due to the Major Depressive Episode) from</w:t>
      </w:r>
      <w:r>
        <w:rPr>
          <w:spacing w:val="-20"/>
          <w:w w:val="110"/>
        </w:rPr>
        <w:t xml:space="preserve"> </w:t>
      </w:r>
      <w:r>
        <w:rPr>
          <w:w w:val="110"/>
        </w:rPr>
        <w:t>dementia.</w:t>
      </w:r>
      <w:r>
        <w:rPr>
          <w:spacing w:val="-14"/>
          <w:w w:val="110"/>
        </w:rPr>
        <w:t xml:space="preserve"> </w:t>
      </w:r>
      <w:r>
        <w:rPr>
          <w:w w:val="110"/>
        </w:rPr>
        <w:t>In</w:t>
      </w:r>
      <w:r>
        <w:rPr>
          <w:spacing w:val="-22"/>
          <w:w w:val="110"/>
        </w:rPr>
        <w:t xml:space="preserve"> </w:t>
      </w:r>
      <w:r>
        <w:rPr>
          <w:w w:val="110"/>
        </w:rPr>
        <w:t>dementia,</w:t>
      </w:r>
      <w:r>
        <w:rPr>
          <w:spacing w:val="-10"/>
          <w:w w:val="110"/>
        </w:rPr>
        <w:t xml:space="preserve"> </w:t>
      </w:r>
      <w:r>
        <w:rPr>
          <w:w w:val="110"/>
        </w:rPr>
        <w:t>there</w:t>
      </w:r>
      <w:r>
        <w:rPr>
          <w:spacing w:val="-21"/>
          <w:w w:val="110"/>
        </w:rPr>
        <w:t xml:space="preserve"> </w:t>
      </w:r>
      <w:r>
        <w:rPr>
          <w:w w:val="110"/>
        </w:rPr>
        <w:t>is</w:t>
      </w:r>
      <w:r>
        <w:rPr>
          <w:spacing w:val="-19"/>
          <w:w w:val="110"/>
        </w:rPr>
        <w:t xml:space="preserve"> </w:t>
      </w:r>
      <w:r>
        <w:rPr>
          <w:w w:val="110"/>
        </w:rPr>
        <w:t>usually</w:t>
      </w:r>
      <w:r>
        <w:rPr>
          <w:spacing w:val="-19"/>
          <w:w w:val="110"/>
        </w:rPr>
        <w:t xml:space="preserve"> </w:t>
      </w:r>
      <w:r>
        <w:rPr>
          <w:w w:val="110"/>
        </w:rPr>
        <w:t>a</w:t>
      </w:r>
      <w:r>
        <w:rPr>
          <w:spacing w:val="-19"/>
          <w:w w:val="110"/>
        </w:rPr>
        <w:t xml:space="preserve"> </w:t>
      </w:r>
      <w:r>
        <w:rPr>
          <w:w w:val="110"/>
        </w:rPr>
        <w:t>premorbid</w:t>
      </w:r>
      <w:r>
        <w:rPr>
          <w:spacing w:val="-9"/>
          <w:w w:val="110"/>
        </w:rPr>
        <w:t xml:space="preserve"> </w:t>
      </w:r>
      <w:r>
        <w:rPr>
          <w:w w:val="110"/>
        </w:rPr>
        <w:t>history</w:t>
      </w:r>
      <w:r>
        <w:rPr>
          <w:spacing w:val="-16"/>
          <w:w w:val="110"/>
        </w:rPr>
        <w:t xml:space="preserve"> </w:t>
      </w:r>
      <w:r>
        <w:rPr>
          <w:w w:val="110"/>
        </w:rPr>
        <w:t>of</w:t>
      </w:r>
      <w:r>
        <w:rPr>
          <w:spacing w:val="-17"/>
          <w:w w:val="110"/>
        </w:rPr>
        <w:t xml:space="preserve"> </w:t>
      </w:r>
      <w:r>
        <w:rPr>
          <w:w w:val="110"/>
        </w:rPr>
        <w:t>declining</w:t>
      </w:r>
      <w:r>
        <w:rPr>
          <w:spacing w:val="-17"/>
          <w:w w:val="110"/>
        </w:rPr>
        <w:t xml:space="preserve"> </w:t>
      </w:r>
      <w:r>
        <w:rPr>
          <w:w w:val="110"/>
        </w:rPr>
        <w:t>cognitive function,</w:t>
      </w:r>
      <w:r>
        <w:rPr>
          <w:spacing w:val="-12"/>
          <w:w w:val="110"/>
        </w:rPr>
        <w:t xml:space="preserve"> </w:t>
      </w:r>
      <w:r>
        <w:rPr>
          <w:w w:val="110"/>
        </w:rPr>
        <w:t>whereas</w:t>
      </w:r>
      <w:r>
        <w:rPr>
          <w:spacing w:val="-15"/>
          <w:w w:val="110"/>
        </w:rPr>
        <w:t xml:space="preserve"> </w:t>
      </w:r>
      <w:r>
        <w:rPr>
          <w:w w:val="110"/>
        </w:rPr>
        <w:t>the</w:t>
      </w:r>
      <w:r>
        <w:rPr>
          <w:spacing w:val="-18"/>
          <w:w w:val="110"/>
        </w:rPr>
        <w:t xml:space="preserve"> </w:t>
      </w:r>
      <w:r>
        <w:rPr>
          <w:w w:val="110"/>
        </w:rPr>
        <w:t>individual</w:t>
      </w:r>
      <w:r>
        <w:rPr>
          <w:spacing w:val="-12"/>
          <w:w w:val="110"/>
        </w:rPr>
        <w:t xml:space="preserve"> </w:t>
      </w:r>
      <w:r>
        <w:rPr>
          <w:w w:val="110"/>
        </w:rPr>
        <w:t>with</w:t>
      </w:r>
      <w:r>
        <w:rPr>
          <w:spacing w:val="-16"/>
          <w:w w:val="110"/>
        </w:rPr>
        <w:t xml:space="preserve"> </w:t>
      </w:r>
      <w:r>
        <w:rPr>
          <w:w w:val="110"/>
        </w:rPr>
        <w:t>a</w:t>
      </w:r>
      <w:r>
        <w:rPr>
          <w:spacing w:val="-21"/>
          <w:w w:val="110"/>
        </w:rPr>
        <w:t xml:space="preserve"> </w:t>
      </w:r>
      <w:r>
        <w:rPr>
          <w:w w:val="110"/>
        </w:rPr>
        <w:t>Major</w:t>
      </w:r>
      <w:r>
        <w:rPr>
          <w:spacing w:val="-15"/>
          <w:w w:val="110"/>
        </w:rPr>
        <w:t xml:space="preserve"> </w:t>
      </w:r>
      <w:r>
        <w:rPr>
          <w:w w:val="110"/>
        </w:rPr>
        <w:t>Depressive</w:t>
      </w:r>
      <w:r>
        <w:rPr>
          <w:spacing w:val="-12"/>
          <w:w w:val="110"/>
        </w:rPr>
        <w:t xml:space="preserve"> </w:t>
      </w:r>
      <w:r>
        <w:rPr>
          <w:w w:val="110"/>
        </w:rPr>
        <w:t>Episode</w:t>
      </w:r>
      <w:r>
        <w:rPr>
          <w:spacing w:val="-14"/>
          <w:w w:val="110"/>
        </w:rPr>
        <w:t xml:space="preserve"> </w:t>
      </w:r>
      <w:r>
        <w:rPr>
          <w:w w:val="110"/>
        </w:rPr>
        <w:t>is</w:t>
      </w:r>
      <w:r>
        <w:rPr>
          <w:spacing w:val="-17"/>
          <w:w w:val="110"/>
        </w:rPr>
        <w:t xml:space="preserve"> </w:t>
      </w:r>
      <w:r>
        <w:rPr>
          <w:w w:val="110"/>
        </w:rPr>
        <w:t>much</w:t>
      </w:r>
      <w:r>
        <w:rPr>
          <w:spacing w:val="-16"/>
          <w:w w:val="110"/>
        </w:rPr>
        <w:t xml:space="preserve"> </w:t>
      </w:r>
      <w:r>
        <w:rPr>
          <w:w w:val="110"/>
        </w:rPr>
        <w:t>more</w:t>
      </w:r>
      <w:r>
        <w:rPr>
          <w:spacing w:val="-18"/>
          <w:w w:val="110"/>
        </w:rPr>
        <w:t xml:space="preserve"> </w:t>
      </w:r>
      <w:r>
        <w:rPr>
          <w:w w:val="110"/>
        </w:rPr>
        <w:t>likely to</w:t>
      </w:r>
      <w:r>
        <w:rPr>
          <w:spacing w:val="-24"/>
          <w:w w:val="110"/>
        </w:rPr>
        <w:t xml:space="preserve"> </w:t>
      </w:r>
      <w:r>
        <w:rPr>
          <w:w w:val="110"/>
        </w:rPr>
        <w:t>have</w:t>
      </w:r>
      <w:r>
        <w:rPr>
          <w:spacing w:val="-27"/>
          <w:w w:val="110"/>
        </w:rPr>
        <w:t xml:space="preserve"> </w:t>
      </w:r>
      <w:r>
        <w:rPr>
          <w:w w:val="110"/>
        </w:rPr>
        <w:t>a</w:t>
      </w:r>
      <w:r>
        <w:rPr>
          <w:spacing w:val="-24"/>
          <w:w w:val="110"/>
        </w:rPr>
        <w:t xml:space="preserve"> </w:t>
      </w:r>
      <w:r>
        <w:rPr>
          <w:w w:val="110"/>
        </w:rPr>
        <w:t>relatively</w:t>
      </w:r>
      <w:r>
        <w:rPr>
          <w:spacing w:val="-23"/>
          <w:w w:val="110"/>
        </w:rPr>
        <w:t xml:space="preserve"> </w:t>
      </w:r>
      <w:r>
        <w:rPr>
          <w:w w:val="110"/>
        </w:rPr>
        <w:t>normal</w:t>
      </w:r>
      <w:r>
        <w:rPr>
          <w:spacing w:val="-19"/>
          <w:w w:val="110"/>
        </w:rPr>
        <w:t xml:space="preserve"> </w:t>
      </w:r>
      <w:r>
        <w:rPr>
          <w:w w:val="110"/>
        </w:rPr>
        <w:t>premorbid</w:t>
      </w:r>
      <w:r>
        <w:rPr>
          <w:spacing w:val="-22"/>
          <w:w w:val="110"/>
        </w:rPr>
        <w:t xml:space="preserve"> </w:t>
      </w:r>
      <w:r>
        <w:rPr>
          <w:w w:val="110"/>
        </w:rPr>
        <w:t>state</w:t>
      </w:r>
      <w:r>
        <w:rPr>
          <w:spacing w:val="-27"/>
          <w:w w:val="110"/>
        </w:rPr>
        <w:t xml:space="preserve"> </w:t>
      </w:r>
      <w:r>
        <w:rPr>
          <w:w w:val="110"/>
        </w:rPr>
        <w:t>and</w:t>
      </w:r>
      <w:r>
        <w:rPr>
          <w:spacing w:val="-27"/>
          <w:w w:val="110"/>
        </w:rPr>
        <w:t xml:space="preserve"> </w:t>
      </w:r>
      <w:r>
        <w:rPr>
          <w:w w:val="110"/>
        </w:rPr>
        <w:t>abrupt</w:t>
      </w:r>
      <w:r>
        <w:rPr>
          <w:spacing w:val="-24"/>
          <w:w w:val="110"/>
        </w:rPr>
        <w:t xml:space="preserve"> </w:t>
      </w:r>
      <w:r>
        <w:rPr>
          <w:w w:val="110"/>
        </w:rPr>
        <w:t>cognitive</w:t>
      </w:r>
      <w:r>
        <w:rPr>
          <w:spacing w:val="-26"/>
          <w:w w:val="110"/>
        </w:rPr>
        <w:t xml:space="preserve"> </w:t>
      </w:r>
      <w:r>
        <w:rPr>
          <w:w w:val="110"/>
        </w:rPr>
        <w:t>decline</w:t>
      </w:r>
      <w:r>
        <w:rPr>
          <w:spacing w:val="-26"/>
          <w:w w:val="110"/>
        </w:rPr>
        <w:t xml:space="preserve"> </w:t>
      </w:r>
      <w:r>
        <w:rPr>
          <w:w w:val="110"/>
        </w:rPr>
        <w:t>associated</w:t>
      </w:r>
      <w:r>
        <w:rPr>
          <w:spacing w:val="-24"/>
          <w:w w:val="110"/>
        </w:rPr>
        <w:t xml:space="preserve"> </w:t>
      </w:r>
      <w:r>
        <w:rPr>
          <w:w w:val="110"/>
        </w:rPr>
        <w:t>with the</w:t>
      </w:r>
      <w:r>
        <w:rPr>
          <w:spacing w:val="-8"/>
          <w:w w:val="110"/>
        </w:rPr>
        <w:t xml:space="preserve"> </w:t>
      </w:r>
      <w:r>
        <w:rPr>
          <w:w w:val="110"/>
        </w:rPr>
        <w:t>depression.</w:t>
      </w:r>
      <w:r>
        <w:rPr>
          <w:spacing w:val="-5"/>
          <w:w w:val="110"/>
        </w:rPr>
        <w:t xml:space="preserve"> </w:t>
      </w:r>
      <w:r>
        <w:rPr>
          <w:rFonts w:ascii="Arial"/>
          <w:w w:val="110"/>
          <w:sz w:val="19"/>
        </w:rPr>
        <w:t>If</w:t>
      </w:r>
      <w:r>
        <w:rPr>
          <w:rFonts w:ascii="Arial"/>
          <w:spacing w:val="5"/>
          <w:w w:val="110"/>
          <w:sz w:val="19"/>
        </w:rPr>
        <w:t xml:space="preserve"> </w:t>
      </w:r>
      <w:r>
        <w:rPr>
          <w:w w:val="110"/>
        </w:rPr>
        <w:t>the</w:t>
      </w:r>
      <w:r>
        <w:rPr>
          <w:spacing w:val="-12"/>
          <w:w w:val="110"/>
        </w:rPr>
        <w:t xml:space="preserve"> </w:t>
      </w:r>
      <w:r>
        <w:rPr>
          <w:w w:val="110"/>
        </w:rPr>
        <w:t>clinician</w:t>
      </w:r>
      <w:r>
        <w:rPr>
          <w:spacing w:val="-2"/>
          <w:w w:val="110"/>
        </w:rPr>
        <w:t xml:space="preserve"> </w:t>
      </w:r>
      <w:r>
        <w:rPr>
          <w:w w:val="110"/>
        </w:rPr>
        <w:t>determines that</w:t>
      </w:r>
      <w:r>
        <w:rPr>
          <w:spacing w:val="-3"/>
          <w:w w:val="110"/>
        </w:rPr>
        <w:t xml:space="preserve"> </w:t>
      </w:r>
      <w:r>
        <w:rPr>
          <w:w w:val="110"/>
        </w:rPr>
        <w:t>both</w:t>
      </w:r>
      <w:r>
        <w:rPr>
          <w:spacing w:val="-6"/>
          <w:w w:val="110"/>
        </w:rPr>
        <w:t xml:space="preserve"> </w:t>
      </w:r>
      <w:r>
        <w:rPr>
          <w:w w:val="110"/>
        </w:rPr>
        <w:t>a</w:t>
      </w:r>
      <w:r>
        <w:rPr>
          <w:spacing w:val="-9"/>
          <w:w w:val="110"/>
        </w:rPr>
        <w:t xml:space="preserve"> </w:t>
      </w:r>
      <w:r>
        <w:rPr>
          <w:w w:val="110"/>
        </w:rPr>
        <w:t>dementia</w:t>
      </w:r>
      <w:r>
        <w:rPr>
          <w:spacing w:val="-3"/>
          <w:w w:val="110"/>
        </w:rPr>
        <w:t xml:space="preserve"> </w:t>
      </w:r>
      <w:r>
        <w:rPr>
          <w:w w:val="110"/>
        </w:rPr>
        <w:t>and</w:t>
      </w:r>
      <w:r>
        <w:rPr>
          <w:spacing w:val="-2"/>
          <w:w w:val="110"/>
        </w:rPr>
        <w:t xml:space="preserve"> </w:t>
      </w:r>
      <w:r>
        <w:rPr>
          <w:w w:val="110"/>
        </w:rPr>
        <w:t>Major</w:t>
      </w:r>
      <w:r>
        <w:rPr>
          <w:spacing w:val="-7"/>
          <w:w w:val="110"/>
        </w:rPr>
        <w:t xml:space="preserve"> </w:t>
      </w:r>
      <w:r>
        <w:rPr>
          <w:w w:val="110"/>
        </w:rPr>
        <w:t>Depressive Disorder are present with independent etiologies, both should be</w:t>
      </w:r>
      <w:r>
        <w:rPr>
          <w:spacing w:val="35"/>
          <w:w w:val="110"/>
        </w:rPr>
        <w:t xml:space="preserve"> </w:t>
      </w:r>
      <w:r>
        <w:rPr>
          <w:w w:val="110"/>
        </w:rPr>
        <w:t>diagnosed.</w:t>
      </w:r>
    </w:p>
    <w:p w:rsidR="00E675F0" w:rsidRDefault="00E675F0" w:rsidP="00E675F0">
      <w:pPr>
        <w:pStyle w:val="BodyText"/>
        <w:spacing w:before="7" w:line="249" w:lineRule="auto"/>
        <w:ind w:left="143" w:right="133" w:firstLine="367"/>
        <w:jc w:val="both"/>
      </w:pPr>
      <w:r>
        <w:rPr>
          <w:w w:val="105"/>
        </w:rPr>
        <w:t xml:space="preserve">Dementia must be distinguished from </w:t>
      </w:r>
      <w:r>
        <w:rPr>
          <w:b/>
          <w:w w:val="105"/>
        </w:rPr>
        <w:t xml:space="preserve">Malingering </w:t>
      </w:r>
      <w:r>
        <w:rPr>
          <w:w w:val="105"/>
        </w:rPr>
        <w:t xml:space="preserve">and </w:t>
      </w:r>
      <w:r>
        <w:rPr>
          <w:b/>
          <w:w w:val="105"/>
        </w:rPr>
        <w:t xml:space="preserve">Factitious Disorder. </w:t>
      </w:r>
      <w:r>
        <w:rPr>
          <w:w w:val="105"/>
        </w:rPr>
        <w:t>The patterns</w:t>
      </w:r>
      <w:r>
        <w:rPr>
          <w:spacing w:val="-15"/>
          <w:w w:val="105"/>
        </w:rPr>
        <w:t xml:space="preserve"> </w:t>
      </w:r>
      <w:r>
        <w:rPr>
          <w:w w:val="105"/>
        </w:rPr>
        <w:t>of</w:t>
      </w:r>
      <w:r>
        <w:rPr>
          <w:spacing w:val="-9"/>
          <w:w w:val="105"/>
        </w:rPr>
        <w:t xml:space="preserve"> </w:t>
      </w:r>
      <w:r>
        <w:rPr>
          <w:w w:val="105"/>
        </w:rPr>
        <w:t>cognitive</w:t>
      </w:r>
      <w:r>
        <w:rPr>
          <w:spacing w:val="-11"/>
          <w:w w:val="105"/>
        </w:rPr>
        <w:t xml:space="preserve"> </w:t>
      </w:r>
      <w:r>
        <w:rPr>
          <w:w w:val="105"/>
        </w:rPr>
        <w:t>deficits</w:t>
      </w:r>
      <w:r>
        <w:rPr>
          <w:spacing w:val="-10"/>
          <w:w w:val="105"/>
        </w:rPr>
        <w:t xml:space="preserve"> </w:t>
      </w:r>
      <w:r>
        <w:rPr>
          <w:w w:val="105"/>
        </w:rPr>
        <w:t>presented</w:t>
      </w:r>
      <w:r>
        <w:rPr>
          <w:spacing w:val="-6"/>
          <w:w w:val="105"/>
        </w:rPr>
        <w:t xml:space="preserve"> </w:t>
      </w:r>
      <w:r>
        <w:rPr>
          <w:w w:val="105"/>
        </w:rPr>
        <w:t>in</w:t>
      </w:r>
      <w:r>
        <w:rPr>
          <w:spacing w:val="-18"/>
          <w:w w:val="105"/>
        </w:rPr>
        <w:t xml:space="preserve"> </w:t>
      </w:r>
      <w:r>
        <w:rPr>
          <w:w w:val="105"/>
        </w:rPr>
        <w:t>Malingering</w:t>
      </w:r>
      <w:r>
        <w:rPr>
          <w:spacing w:val="-7"/>
          <w:w w:val="105"/>
        </w:rPr>
        <w:t xml:space="preserve"> </w:t>
      </w:r>
      <w:r>
        <w:rPr>
          <w:w w:val="105"/>
        </w:rPr>
        <w:t>and</w:t>
      </w:r>
      <w:r>
        <w:rPr>
          <w:spacing w:val="-13"/>
          <w:w w:val="105"/>
        </w:rPr>
        <w:t xml:space="preserve"> </w:t>
      </w:r>
      <w:r>
        <w:rPr>
          <w:w w:val="105"/>
        </w:rPr>
        <w:t>Factitious</w:t>
      </w:r>
      <w:r>
        <w:rPr>
          <w:spacing w:val="-6"/>
          <w:w w:val="105"/>
        </w:rPr>
        <w:t xml:space="preserve"> </w:t>
      </w:r>
      <w:r>
        <w:rPr>
          <w:w w:val="105"/>
        </w:rPr>
        <w:t>Disorder</w:t>
      </w:r>
      <w:r>
        <w:rPr>
          <w:spacing w:val="-13"/>
          <w:w w:val="105"/>
        </w:rPr>
        <w:t xml:space="preserve"> </w:t>
      </w:r>
      <w:r>
        <w:rPr>
          <w:w w:val="105"/>
        </w:rPr>
        <w:t>are</w:t>
      </w:r>
      <w:r>
        <w:rPr>
          <w:spacing w:val="-12"/>
          <w:w w:val="105"/>
        </w:rPr>
        <w:t xml:space="preserve"> </w:t>
      </w:r>
      <w:r>
        <w:rPr>
          <w:w w:val="105"/>
        </w:rPr>
        <w:t>usually not consistent over time and are not characteristic of those typically seen in dementia. For</w:t>
      </w:r>
      <w:r>
        <w:rPr>
          <w:spacing w:val="-26"/>
          <w:w w:val="105"/>
        </w:rPr>
        <w:t xml:space="preserve"> </w:t>
      </w:r>
      <w:r>
        <w:rPr>
          <w:w w:val="105"/>
        </w:rPr>
        <w:t>example,</w:t>
      </w:r>
      <w:r>
        <w:rPr>
          <w:spacing w:val="-9"/>
          <w:w w:val="105"/>
        </w:rPr>
        <w:t xml:space="preserve"> </w:t>
      </w:r>
      <w:r>
        <w:rPr>
          <w:w w:val="105"/>
        </w:rPr>
        <w:t>individuals</w:t>
      </w:r>
      <w:r>
        <w:rPr>
          <w:spacing w:val="-18"/>
          <w:w w:val="105"/>
        </w:rPr>
        <w:t xml:space="preserve"> </w:t>
      </w:r>
      <w:r>
        <w:rPr>
          <w:w w:val="105"/>
        </w:rPr>
        <w:t>with</w:t>
      </w:r>
      <w:r>
        <w:rPr>
          <w:spacing w:val="-15"/>
          <w:w w:val="105"/>
        </w:rPr>
        <w:t xml:space="preserve"> </w:t>
      </w:r>
      <w:r>
        <w:rPr>
          <w:w w:val="105"/>
        </w:rPr>
        <w:t>Factitious</w:t>
      </w:r>
      <w:r>
        <w:rPr>
          <w:spacing w:val="-12"/>
          <w:w w:val="105"/>
        </w:rPr>
        <w:t xml:space="preserve"> </w:t>
      </w:r>
      <w:r>
        <w:rPr>
          <w:w w:val="105"/>
        </w:rPr>
        <w:t>Disorder</w:t>
      </w:r>
      <w:r>
        <w:rPr>
          <w:spacing w:val="-18"/>
          <w:w w:val="105"/>
        </w:rPr>
        <w:t xml:space="preserve"> </w:t>
      </w:r>
      <w:r>
        <w:rPr>
          <w:w w:val="105"/>
        </w:rPr>
        <w:t>or</w:t>
      </w:r>
      <w:r>
        <w:rPr>
          <w:spacing w:val="-26"/>
          <w:w w:val="105"/>
        </w:rPr>
        <w:t xml:space="preserve"> </w:t>
      </w:r>
      <w:r>
        <w:rPr>
          <w:w w:val="105"/>
        </w:rPr>
        <w:t>Malingering</w:t>
      </w:r>
      <w:r>
        <w:rPr>
          <w:spacing w:val="-8"/>
          <w:w w:val="105"/>
        </w:rPr>
        <w:t xml:space="preserve"> </w:t>
      </w:r>
      <w:r>
        <w:rPr>
          <w:w w:val="105"/>
        </w:rPr>
        <w:t>manifesting</w:t>
      </w:r>
      <w:r>
        <w:rPr>
          <w:spacing w:val="-13"/>
          <w:w w:val="105"/>
        </w:rPr>
        <w:t xml:space="preserve"> </w:t>
      </w:r>
      <w:r>
        <w:rPr>
          <w:w w:val="105"/>
        </w:rPr>
        <w:t>as</w:t>
      </w:r>
      <w:r>
        <w:rPr>
          <w:spacing w:val="-30"/>
          <w:w w:val="105"/>
        </w:rPr>
        <w:t xml:space="preserve"> </w:t>
      </w:r>
      <w:r>
        <w:rPr>
          <w:w w:val="105"/>
        </w:rPr>
        <w:t>dementia may perform calculations while keeping score during a card game, but then claim to be unable to perform similar calculations during a mental status</w:t>
      </w:r>
      <w:r>
        <w:rPr>
          <w:spacing w:val="16"/>
          <w:w w:val="105"/>
        </w:rPr>
        <w:t xml:space="preserve"> </w:t>
      </w:r>
      <w:r>
        <w:rPr>
          <w:w w:val="105"/>
        </w:rPr>
        <w:t>examination.</w:t>
      </w:r>
    </w:p>
    <w:p w:rsidR="00E675F0" w:rsidRDefault="00E675F0" w:rsidP="00E675F0">
      <w:pPr>
        <w:pStyle w:val="BodyText"/>
        <w:spacing w:before="2" w:line="254" w:lineRule="auto"/>
        <w:ind w:left="138" w:right="132" w:firstLine="367"/>
        <w:jc w:val="both"/>
      </w:pPr>
      <w:r>
        <w:rPr>
          <w:w w:val="105"/>
        </w:rPr>
        <w:t>Dementia must be distinguished from the normal decline in cognitive functioning that</w:t>
      </w:r>
      <w:r>
        <w:rPr>
          <w:spacing w:val="-5"/>
          <w:w w:val="105"/>
        </w:rPr>
        <w:t xml:space="preserve"> </w:t>
      </w:r>
      <w:r>
        <w:rPr>
          <w:w w:val="105"/>
        </w:rPr>
        <w:t>occurs</w:t>
      </w:r>
      <w:r>
        <w:rPr>
          <w:spacing w:val="-10"/>
          <w:w w:val="105"/>
        </w:rPr>
        <w:t xml:space="preserve"> </w:t>
      </w:r>
      <w:r>
        <w:rPr>
          <w:w w:val="105"/>
        </w:rPr>
        <w:t>with</w:t>
      </w:r>
      <w:r>
        <w:rPr>
          <w:spacing w:val="-11"/>
          <w:w w:val="105"/>
        </w:rPr>
        <w:t xml:space="preserve"> </w:t>
      </w:r>
      <w:r>
        <w:rPr>
          <w:b/>
          <w:w w:val="105"/>
        </w:rPr>
        <w:t>aging</w:t>
      </w:r>
      <w:r>
        <w:rPr>
          <w:b/>
          <w:spacing w:val="-13"/>
          <w:w w:val="105"/>
        </w:rPr>
        <w:t xml:space="preserve"> </w:t>
      </w:r>
      <w:r>
        <w:rPr>
          <w:w w:val="105"/>
        </w:rPr>
        <w:t>(as</w:t>
      </w:r>
      <w:r>
        <w:rPr>
          <w:spacing w:val="-5"/>
          <w:w w:val="105"/>
        </w:rPr>
        <w:t xml:space="preserve"> </w:t>
      </w:r>
      <w:r>
        <w:rPr>
          <w:w w:val="105"/>
        </w:rPr>
        <w:t>in</w:t>
      </w:r>
      <w:r>
        <w:rPr>
          <w:spacing w:val="-10"/>
          <w:w w:val="105"/>
        </w:rPr>
        <w:t xml:space="preserve"> </w:t>
      </w:r>
      <w:r>
        <w:rPr>
          <w:w w:val="105"/>
        </w:rPr>
        <w:t>Age-Related</w:t>
      </w:r>
      <w:r>
        <w:rPr>
          <w:spacing w:val="5"/>
          <w:w w:val="105"/>
        </w:rPr>
        <w:t xml:space="preserve"> </w:t>
      </w:r>
      <w:r>
        <w:rPr>
          <w:w w:val="105"/>
        </w:rPr>
        <w:t>Cognitive</w:t>
      </w:r>
      <w:r>
        <w:rPr>
          <w:spacing w:val="7"/>
          <w:w w:val="105"/>
        </w:rPr>
        <w:t xml:space="preserve"> </w:t>
      </w:r>
      <w:r>
        <w:rPr>
          <w:w w:val="105"/>
        </w:rPr>
        <w:t>Decline).</w:t>
      </w:r>
      <w:r>
        <w:rPr>
          <w:spacing w:val="-2"/>
          <w:w w:val="105"/>
        </w:rPr>
        <w:t xml:space="preserve"> </w:t>
      </w:r>
      <w:r>
        <w:rPr>
          <w:w w:val="105"/>
        </w:rPr>
        <w:t>The</w:t>
      </w:r>
      <w:r>
        <w:rPr>
          <w:spacing w:val="-11"/>
          <w:w w:val="105"/>
        </w:rPr>
        <w:t xml:space="preserve"> </w:t>
      </w:r>
      <w:r>
        <w:rPr>
          <w:w w:val="105"/>
        </w:rPr>
        <w:t>diagnosis</w:t>
      </w:r>
      <w:r>
        <w:rPr>
          <w:spacing w:val="-2"/>
          <w:w w:val="105"/>
        </w:rPr>
        <w:t xml:space="preserve"> </w:t>
      </w:r>
      <w:r>
        <w:rPr>
          <w:w w:val="105"/>
        </w:rPr>
        <w:t>of</w:t>
      </w:r>
      <w:r>
        <w:rPr>
          <w:spacing w:val="-2"/>
          <w:w w:val="105"/>
        </w:rPr>
        <w:t xml:space="preserve"> </w:t>
      </w:r>
      <w:r>
        <w:rPr>
          <w:w w:val="105"/>
        </w:rPr>
        <w:t>dementia is warranted only if there is demonstrable evidence of greater memory and other cognitive impairment than would be expected due to normal aging processes and the symptoms cause impairment in social or occupational</w:t>
      </w:r>
      <w:r>
        <w:rPr>
          <w:spacing w:val="47"/>
          <w:w w:val="105"/>
        </w:rPr>
        <w:t xml:space="preserve"> </w:t>
      </w:r>
      <w:r>
        <w:rPr>
          <w:w w:val="105"/>
        </w:rPr>
        <w:t>functioning.</w:t>
      </w:r>
    </w:p>
    <w:p w:rsidR="00E675F0" w:rsidRDefault="00E675F0" w:rsidP="00E675F0">
      <w:pPr>
        <w:pStyle w:val="BodyText"/>
        <w:spacing w:before="11"/>
        <w:rPr>
          <w:sz w:val="26"/>
        </w:rPr>
      </w:pPr>
    </w:p>
    <w:p w:rsidR="00E675F0" w:rsidRDefault="00E675F0" w:rsidP="00E675F0">
      <w:pPr>
        <w:ind w:left="1194" w:right="1189"/>
        <w:jc w:val="center"/>
        <w:rPr>
          <w:rFonts w:ascii="Arial"/>
          <w:b/>
          <w:sz w:val="26"/>
        </w:rPr>
      </w:pPr>
      <w:r>
        <w:rPr>
          <w:rFonts w:ascii="Arial"/>
          <w:b/>
          <w:sz w:val="26"/>
        </w:rPr>
        <w:t>Dementia of the Alzheimer's Type</w:t>
      </w:r>
    </w:p>
    <w:p w:rsidR="00E675F0" w:rsidRDefault="00E675F0" w:rsidP="00E675F0">
      <w:pPr>
        <w:spacing w:before="206"/>
        <w:ind w:left="128"/>
        <w:jc w:val="both"/>
        <w:rPr>
          <w:rFonts w:ascii="TimesNewRomanPS-BoldItalicMT"/>
          <w:b/>
          <w:i/>
          <w:sz w:val="24"/>
        </w:rPr>
      </w:pPr>
      <w:r>
        <w:rPr>
          <w:rFonts w:ascii="TimesNewRomanPS-BoldItalicMT"/>
          <w:b/>
          <w:i/>
          <w:w w:val="115"/>
          <w:sz w:val="24"/>
        </w:rPr>
        <w:t>Diagnostic Features</w:t>
      </w:r>
    </w:p>
    <w:p w:rsidR="00E675F0" w:rsidRDefault="00E675F0" w:rsidP="00E675F0">
      <w:pPr>
        <w:pStyle w:val="BodyText"/>
        <w:spacing w:before="122" w:line="256" w:lineRule="auto"/>
        <w:ind w:left="142" w:right="132" w:hanging="5"/>
        <w:jc w:val="both"/>
      </w:pPr>
      <w:r>
        <w:rPr>
          <w:w w:val="105"/>
        </w:rPr>
        <w:t>The cognitive deficits (Criterion A) and the required impairment (Criterion B) are discussed on pp. 133-135. The onset of Dementia of the Alzheimer's Type is gradual  and involves continuing cognitive decline (Criterion C). Because of the difficulty of obtaining direct pathological evidence of the presence of Alzheimer's disease, the diagnosis can be made only when other etiologies for the dementia have been</w:t>
      </w:r>
      <w:r>
        <w:rPr>
          <w:spacing w:val="22"/>
          <w:w w:val="105"/>
        </w:rPr>
        <w:t xml:space="preserve"> </w:t>
      </w:r>
      <w:r>
        <w:rPr>
          <w:w w:val="105"/>
        </w:rPr>
        <w:t>ruled</w:t>
      </w:r>
    </w:p>
    <w:p w:rsidR="00E675F0" w:rsidRDefault="00E675F0" w:rsidP="00E675F0">
      <w:pPr>
        <w:spacing w:line="256" w:lineRule="auto"/>
        <w:jc w:val="both"/>
        <w:sectPr w:rsidR="00E675F0">
          <w:pgSz w:w="8960" w:h="14260"/>
          <w:pgMar w:top="1400" w:right="600" w:bottom="280" w:left="600" w:header="656" w:footer="0" w:gutter="0"/>
          <w:cols w:space="720"/>
        </w:sectPr>
      </w:pPr>
    </w:p>
    <w:p w:rsidR="00E675F0" w:rsidRDefault="00E675F0" w:rsidP="00E675F0">
      <w:pPr>
        <w:pStyle w:val="BodyText"/>
        <w:spacing w:before="128" w:line="254" w:lineRule="auto"/>
        <w:ind w:left="124" w:right="146"/>
        <w:jc w:val="both"/>
      </w:pPr>
      <w:r>
        <w:rPr>
          <w:w w:val="105"/>
        </w:rPr>
        <w:lastRenderedPageBreak/>
        <w:t xml:space="preserve">out. Specifically, the cognitive deficits are not due to other central nervous system conditions that cause progressive deficits in memory or cognition (e.g., cerebrovascular disease, Parkinson's disease, Huntington's disease), systemic conditions that are known to cause dementia (e.g., hypothyroidism, vitamin </w:t>
      </w:r>
      <w:r>
        <w:rPr>
          <w:spacing w:val="-3"/>
          <w:w w:val="105"/>
        </w:rPr>
        <w:t>B</w:t>
      </w:r>
      <w:r>
        <w:rPr>
          <w:rFonts w:ascii="Arial"/>
          <w:spacing w:val="-3"/>
          <w:w w:val="105"/>
          <w:vertAlign w:val="subscript"/>
        </w:rPr>
        <w:t>12</w:t>
      </w:r>
      <w:r>
        <w:rPr>
          <w:rFonts w:ascii="Arial"/>
          <w:spacing w:val="-3"/>
          <w:w w:val="105"/>
        </w:rPr>
        <w:t xml:space="preserve"> </w:t>
      </w:r>
      <w:r>
        <w:rPr>
          <w:w w:val="105"/>
        </w:rPr>
        <w:t>deficiency, HIV infection), or the persisting effects of a substance (e.g., alcohol) (Criterion D). If there is an additional etiology (e.g., head trauma worsening a Dementia of the Alzheimer's Type), both types of dementia should be coded (see Dementia Due to Multiple Etiologies, p. 154). Dementia of the Alzheimer's Type should not be diagnosed if the symptoms occur exclusively during delirium (Criterion  E). However, delirium may be superimposed  on a</w:t>
      </w:r>
      <w:r>
        <w:rPr>
          <w:spacing w:val="-12"/>
          <w:w w:val="105"/>
        </w:rPr>
        <w:t xml:space="preserve"> </w:t>
      </w:r>
      <w:r>
        <w:rPr>
          <w:w w:val="105"/>
        </w:rPr>
        <w:t>preexisting</w:t>
      </w:r>
      <w:r>
        <w:rPr>
          <w:spacing w:val="-5"/>
          <w:w w:val="105"/>
        </w:rPr>
        <w:t xml:space="preserve"> </w:t>
      </w:r>
      <w:r>
        <w:rPr>
          <w:w w:val="105"/>
        </w:rPr>
        <w:t>Dementia</w:t>
      </w:r>
      <w:r>
        <w:rPr>
          <w:spacing w:val="-2"/>
          <w:w w:val="105"/>
        </w:rPr>
        <w:t xml:space="preserve"> </w:t>
      </w:r>
      <w:r>
        <w:rPr>
          <w:w w:val="105"/>
        </w:rPr>
        <w:t>of</w:t>
      </w:r>
      <w:r>
        <w:rPr>
          <w:spacing w:val="-9"/>
          <w:w w:val="105"/>
        </w:rPr>
        <w:t xml:space="preserve"> </w:t>
      </w:r>
      <w:r>
        <w:rPr>
          <w:w w:val="105"/>
        </w:rPr>
        <w:t>the</w:t>
      </w:r>
      <w:r>
        <w:rPr>
          <w:spacing w:val="-21"/>
          <w:w w:val="105"/>
        </w:rPr>
        <w:t xml:space="preserve"> </w:t>
      </w:r>
      <w:r>
        <w:rPr>
          <w:w w:val="105"/>
        </w:rPr>
        <w:t>Alzheimer's</w:t>
      </w:r>
      <w:r>
        <w:rPr>
          <w:spacing w:val="-9"/>
          <w:w w:val="105"/>
        </w:rPr>
        <w:t xml:space="preserve"> </w:t>
      </w:r>
      <w:r>
        <w:rPr>
          <w:w w:val="105"/>
        </w:rPr>
        <w:t>Type,</w:t>
      </w:r>
      <w:r>
        <w:rPr>
          <w:spacing w:val="-11"/>
          <w:w w:val="105"/>
        </w:rPr>
        <w:t xml:space="preserve"> </w:t>
      </w:r>
      <w:r>
        <w:rPr>
          <w:w w:val="105"/>
        </w:rPr>
        <w:t>in</w:t>
      </w:r>
      <w:r>
        <w:rPr>
          <w:spacing w:val="-12"/>
          <w:w w:val="105"/>
        </w:rPr>
        <w:t xml:space="preserve"> </w:t>
      </w:r>
      <w:r>
        <w:rPr>
          <w:w w:val="105"/>
        </w:rPr>
        <w:t>which</w:t>
      </w:r>
      <w:r>
        <w:rPr>
          <w:spacing w:val="-13"/>
          <w:w w:val="105"/>
        </w:rPr>
        <w:t xml:space="preserve"> </w:t>
      </w:r>
      <w:r>
        <w:rPr>
          <w:w w:val="105"/>
        </w:rPr>
        <w:t>case</w:t>
      </w:r>
      <w:r>
        <w:rPr>
          <w:spacing w:val="-15"/>
          <w:w w:val="105"/>
        </w:rPr>
        <w:t xml:space="preserve"> </w:t>
      </w:r>
      <w:r>
        <w:rPr>
          <w:w w:val="105"/>
        </w:rPr>
        <w:t>the</w:t>
      </w:r>
      <w:r>
        <w:rPr>
          <w:spacing w:val="-17"/>
          <w:w w:val="105"/>
        </w:rPr>
        <w:t xml:space="preserve"> </w:t>
      </w:r>
      <w:r>
        <w:rPr>
          <w:w w:val="105"/>
        </w:rPr>
        <w:t>With</w:t>
      </w:r>
      <w:r>
        <w:rPr>
          <w:spacing w:val="-5"/>
          <w:w w:val="105"/>
        </w:rPr>
        <w:t xml:space="preserve"> </w:t>
      </w:r>
      <w:r>
        <w:rPr>
          <w:w w:val="105"/>
        </w:rPr>
        <w:t>Delirium</w:t>
      </w:r>
      <w:r>
        <w:rPr>
          <w:spacing w:val="-11"/>
          <w:w w:val="105"/>
        </w:rPr>
        <w:t xml:space="preserve"> </w:t>
      </w:r>
      <w:r>
        <w:rPr>
          <w:w w:val="105"/>
        </w:rPr>
        <w:t>subtype should</w:t>
      </w:r>
      <w:r>
        <w:rPr>
          <w:spacing w:val="-3"/>
          <w:w w:val="105"/>
        </w:rPr>
        <w:t xml:space="preserve"> </w:t>
      </w:r>
      <w:r>
        <w:rPr>
          <w:w w:val="105"/>
        </w:rPr>
        <w:t>be</w:t>
      </w:r>
      <w:r>
        <w:rPr>
          <w:spacing w:val="-4"/>
          <w:w w:val="105"/>
        </w:rPr>
        <w:t xml:space="preserve"> </w:t>
      </w:r>
      <w:r>
        <w:rPr>
          <w:w w:val="105"/>
        </w:rPr>
        <w:t>indicated.</w:t>
      </w:r>
      <w:r>
        <w:rPr>
          <w:spacing w:val="-3"/>
          <w:w w:val="105"/>
        </w:rPr>
        <w:t xml:space="preserve"> </w:t>
      </w:r>
      <w:r>
        <w:rPr>
          <w:w w:val="105"/>
        </w:rPr>
        <w:t>Finally,</w:t>
      </w:r>
      <w:r>
        <w:rPr>
          <w:spacing w:val="3"/>
          <w:w w:val="105"/>
        </w:rPr>
        <w:t xml:space="preserve"> </w:t>
      </w:r>
      <w:r>
        <w:rPr>
          <w:w w:val="105"/>
        </w:rPr>
        <w:t>the</w:t>
      </w:r>
      <w:r>
        <w:rPr>
          <w:spacing w:val="-18"/>
          <w:w w:val="105"/>
        </w:rPr>
        <w:t xml:space="preserve"> </w:t>
      </w:r>
      <w:r>
        <w:rPr>
          <w:w w:val="105"/>
        </w:rPr>
        <w:t>cognitive</w:t>
      </w:r>
      <w:r>
        <w:rPr>
          <w:spacing w:val="-4"/>
          <w:w w:val="105"/>
        </w:rPr>
        <w:t xml:space="preserve"> </w:t>
      </w:r>
      <w:r>
        <w:rPr>
          <w:w w:val="105"/>
        </w:rPr>
        <w:t>deficits</w:t>
      </w:r>
      <w:r>
        <w:rPr>
          <w:spacing w:val="-10"/>
          <w:w w:val="105"/>
        </w:rPr>
        <w:t xml:space="preserve"> </w:t>
      </w:r>
      <w:r>
        <w:rPr>
          <w:w w:val="105"/>
        </w:rPr>
        <w:t>are</w:t>
      </w:r>
      <w:r>
        <w:rPr>
          <w:spacing w:val="-6"/>
          <w:w w:val="105"/>
        </w:rPr>
        <w:t xml:space="preserve"> </w:t>
      </w:r>
      <w:r>
        <w:rPr>
          <w:w w:val="105"/>
        </w:rPr>
        <w:t>not</w:t>
      </w:r>
      <w:r>
        <w:rPr>
          <w:spacing w:val="-6"/>
          <w:w w:val="105"/>
        </w:rPr>
        <w:t xml:space="preserve"> </w:t>
      </w:r>
      <w:r>
        <w:rPr>
          <w:w w:val="105"/>
        </w:rPr>
        <w:t>better</w:t>
      </w:r>
      <w:r>
        <w:rPr>
          <w:spacing w:val="-8"/>
          <w:w w:val="105"/>
        </w:rPr>
        <w:t xml:space="preserve"> </w:t>
      </w:r>
      <w:r>
        <w:rPr>
          <w:w w:val="105"/>
        </w:rPr>
        <w:t>accounted</w:t>
      </w:r>
      <w:r>
        <w:rPr>
          <w:spacing w:val="5"/>
          <w:w w:val="105"/>
        </w:rPr>
        <w:t xml:space="preserve"> </w:t>
      </w:r>
      <w:r>
        <w:rPr>
          <w:w w:val="105"/>
        </w:rPr>
        <w:t>for</w:t>
      </w:r>
      <w:r>
        <w:rPr>
          <w:spacing w:val="-7"/>
          <w:w w:val="105"/>
        </w:rPr>
        <w:t xml:space="preserve"> </w:t>
      </w:r>
      <w:r>
        <w:rPr>
          <w:w w:val="105"/>
        </w:rPr>
        <w:t>by</w:t>
      </w:r>
      <w:r>
        <w:rPr>
          <w:spacing w:val="-17"/>
          <w:w w:val="105"/>
        </w:rPr>
        <w:t xml:space="preserve"> </w:t>
      </w:r>
      <w:r>
        <w:rPr>
          <w:w w:val="105"/>
        </w:rPr>
        <w:t>another Axis I disorder (e.g., Major Depressive Disorder or Schizophrenia) (Criterion</w:t>
      </w:r>
      <w:r>
        <w:rPr>
          <w:spacing w:val="15"/>
          <w:w w:val="105"/>
        </w:rPr>
        <w:t xml:space="preserve"> </w:t>
      </w:r>
      <w:r>
        <w:rPr>
          <w:w w:val="105"/>
        </w:rPr>
        <w:t>F).</w:t>
      </w:r>
    </w:p>
    <w:p w:rsidR="00E675F0" w:rsidRDefault="00E675F0" w:rsidP="00E675F0">
      <w:pPr>
        <w:pStyle w:val="BodyText"/>
        <w:rPr>
          <w:sz w:val="22"/>
        </w:rPr>
      </w:pPr>
    </w:p>
    <w:p w:rsidR="00E675F0" w:rsidRDefault="00E675F0" w:rsidP="00E675F0">
      <w:pPr>
        <w:pStyle w:val="BodyText"/>
        <w:spacing w:before="11"/>
        <w:rPr>
          <w:sz w:val="17"/>
        </w:rPr>
      </w:pPr>
    </w:p>
    <w:p w:rsidR="00E675F0" w:rsidRDefault="00E675F0" w:rsidP="00E675F0">
      <w:pPr>
        <w:ind w:left="122"/>
        <w:jc w:val="both"/>
        <w:rPr>
          <w:rFonts w:ascii="TimesNewRomanPS-BoldItalicMT"/>
          <w:b/>
          <w:i/>
          <w:sz w:val="24"/>
        </w:rPr>
      </w:pPr>
      <w:r>
        <w:rPr>
          <w:rFonts w:ascii="TimesNewRomanPS-BoldItalicMT"/>
          <w:b/>
          <w:i/>
          <w:w w:val="115"/>
          <w:sz w:val="24"/>
        </w:rPr>
        <w:t>Subtypes and Specifiers</w:t>
      </w:r>
    </w:p>
    <w:p w:rsidR="00E675F0" w:rsidRDefault="00E675F0" w:rsidP="00E675F0">
      <w:pPr>
        <w:pStyle w:val="BodyText"/>
        <w:spacing w:before="160" w:line="256" w:lineRule="auto"/>
        <w:ind w:left="134" w:right="209" w:hanging="9"/>
      </w:pPr>
      <w:r>
        <w:rPr>
          <w:w w:val="105"/>
        </w:rPr>
        <w:t>The age at onset of Dementia of the Alzheimer's Type can be indicated  by the use of one of the following</w:t>
      </w:r>
      <w:r>
        <w:rPr>
          <w:spacing w:val="21"/>
          <w:w w:val="105"/>
        </w:rPr>
        <w:t xml:space="preserve"> </w:t>
      </w:r>
      <w:r>
        <w:rPr>
          <w:w w:val="105"/>
        </w:rPr>
        <w:t>subtypes:</w:t>
      </w:r>
    </w:p>
    <w:p w:rsidR="00E675F0" w:rsidRDefault="00E675F0" w:rsidP="00E675F0">
      <w:pPr>
        <w:pStyle w:val="BodyText"/>
        <w:spacing w:before="61" w:line="256" w:lineRule="auto"/>
        <w:ind w:left="729" w:right="209" w:hanging="3"/>
      </w:pPr>
      <w:r>
        <w:rPr>
          <w:b/>
          <w:w w:val="105"/>
        </w:rPr>
        <w:t xml:space="preserve">With Early Onset. </w:t>
      </w:r>
      <w:r>
        <w:rPr>
          <w:w w:val="105"/>
        </w:rPr>
        <w:t>This subtype is  used  if  the onset  of  the  dementia  is age 65 years or</w:t>
      </w:r>
      <w:r>
        <w:rPr>
          <w:spacing w:val="33"/>
          <w:w w:val="105"/>
        </w:rPr>
        <w:t xml:space="preserve"> </w:t>
      </w:r>
      <w:r>
        <w:rPr>
          <w:w w:val="105"/>
        </w:rPr>
        <w:t>under.</w:t>
      </w:r>
    </w:p>
    <w:p w:rsidR="00E675F0" w:rsidRDefault="00E675F0" w:rsidP="00E675F0">
      <w:pPr>
        <w:pStyle w:val="BodyText"/>
        <w:spacing w:line="261" w:lineRule="auto"/>
        <w:ind w:left="729" w:right="209" w:firstLine="1"/>
      </w:pPr>
      <w:r>
        <w:rPr>
          <w:b/>
          <w:w w:val="105"/>
        </w:rPr>
        <w:t xml:space="preserve">With Late Onset. </w:t>
      </w:r>
      <w:r>
        <w:rPr>
          <w:w w:val="105"/>
        </w:rPr>
        <w:t>This subtype is used if the onset of the dementia  is after age 65</w:t>
      </w:r>
      <w:r>
        <w:rPr>
          <w:spacing w:val="-3"/>
          <w:w w:val="105"/>
        </w:rPr>
        <w:t xml:space="preserve"> </w:t>
      </w:r>
      <w:r>
        <w:rPr>
          <w:w w:val="105"/>
        </w:rPr>
        <w:t>years.</w:t>
      </w:r>
    </w:p>
    <w:p w:rsidR="00E675F0" w:rsidRDefault="00E675F0" w:rsidP="00E675F0">
      <w:pPr>
        <w:pStyle w:val="BodyText"/>
        <w:spacing w:before="160" w:line="256" w:lineRule="auto"/>
        <w:ind w:left="135" w:right="139" w:firstLine="351"/>
        <w:jc w:val="both"/>
      </w:pPr>
      <w:r>
        <w:rPr>
          <w:w w:val="105"/>
        </w:rPr>
        <w:t>The following subtypes (each of which has its own separate code) must be used to indicate the predominant feature of the current clinical presentation:</w:t>
      </w:r>
    </w:p>
    <w:p w:rsidR="00E675F0" w:rsidRDefault="00E675F0" w:rsidP="00E675F0">
      <w:pPr>
        <w:pStyle w:val="BodyText"/>
        <w:spacing w:before="60" w:line="256" w:lineRule="auto"/>
        <w:ind w:left="736" w:right="140" w:hanging="5"/>
        <w:jc w:val="both"/>
      </w:pPr>
      <w:r>
        <w:rPr>
          <w:b/>
          <w:w w:val="105"/>
        </w:rPr>
        <w:t xml:space="preserve">With Delirium. </w:t>
      </w:r>
      <w:r>
        <w:rPr>
          <w:w w:val="105"/>
        </w:rPr>
        <w:t>This subtype is used if delirium is superimposed on the dementia.</w:t>
      </w:r>
    </w:p>
    <w:p w:rsidR="00E675F0" w:rsidRDefault="00E675F0" w:rsidP="00E675F0">
      <w:pPr>
        <w:pStyle w:val="BodyText"/>
        <w:spacing w:line="247" w:lineRule="auto"/>
        <w:ind w:left="731" w:right="144" w:firstLine="4"/>
        <w:jc w:val="both"/>
      </w:pPr>
      <w:r>
        <w:rPr>
          <w:b/>
          <w:w w:val="105"/>
        </w:rPr>
        <w:t xml:space="preserve">With Delusions. </w:t>
      </w:r>
      <w:r>
        <w:rPr>
          <w:w w:val="105"/>
        </w:rPr>
        <w:t xml:space="preserve">This subtype is used if delusions are the predominant feature. </w:t>
      </w:r>
      <w:r>
        <w:rPr>
          <w:b/>
          <w:w w:val="105"/>
        </w:rPr>
        <w:t xml:space="preserve">With Depressed Mood. </w:t>
      </w:r>
      <w:r>
        <w:rPr>
          <w:w w:val="105"/>
        </w:rPr>
        <w:t>This subtype is used if depressed mood (including presentations that meet symptom criteria for a Major Depressive Episode) is the predominant feature. A separate diagnosis of Mood Disorder Due to a General Medical Condition is not given.</w:t>
      </w:r>
    </w:p>
    <w:p w:rsidR="00E675F0" w:rsidRDefault="00E675F0" w:rsidP="00E675F0">
      <w:pPr>
        <w:pStyle w:val="BodyText"/>
        <w:spacing w:before="1" w:line="252" w:lineRule="auto"/>
        <w:ind w:left="745" w:right="135" w:hanging="13"/>
        <w:jc w:val="both"/>
      </w:pPr>
      <w:r>
        <w:rPr>
          <w:b/>
          <w:w w:val="105"/>
        </w:rPr>
        <w:t xml:space="preserve">Uncomplicated. </w:t>
      </w:r>
      <w:r>
        <w:rPr>
          <w:w w:val="105"/>
        </w:rPr>
        <w:t>This subtype is used if none of the above predominates in the current clinical presentation.</w:t>
      </w:r>
    </w:p>
    <w:p w:rsidR="00E675F0" w:rsidRDefault="00E675F0" w:rsidP="00E675F0">
      <w:pPr>
        <w:pStyle w:val="BodyText"/>
        <w:spacing w:before="186" w:line="256" w:lineRule="auto"/>
        <w:ind w:left="141" w:right="149" w:firstLine="350"/>
        <w:jc w:val="both"/>
      </w:pPr>
      <w:r>
        <w:rPr>
          <w:w w:val="110"/>
        </w:rPr>
        <w:t>The</w:t>
      </w:r>
      <w:r>
        <w:rPr>
          <w:spacing w:val="-18"/>
          <w:w w:val="110"/>
        </w:rPr>
        <w:t xml:space="preserve"> </w:t>
      </w:r>
      <w:r>
        <w:rPr>
          <w:w w:val="110"/>
        </w:rPr>
        <w:t>specifier</w:t>
      </w:r>
      <w:r>
        <w:rPr>
          <w:spacing w:val="-11"/>
          <w:w w:val="110"/>
        </w:rPr>
        <w:t xml:space="preserve"> </w:t>
      </w:r>
      <w:r>
        <w:rPr>
          <w:b/>
          <w:w w:val="110"/>
        </w:rPr>
        <w:t>With</w:t>
      </w:r>
      <w:r>
        <w:rPr>
          <w:b/>
          <w:spacing w:val="-28"/>
          <w:w w:val="110"/>
        </w:rPr>
        <w:t xml:space="preserve"> </w:t>
      </w:r>
      <w:r>
        <w:rPr>
          <w:b/>
          <w:w w:val="110"/>
        </w:rPr>
        <w:t>Behavioral</w:t>
      </w:r>
      <w:r>
        <w:rPr>
          <w:b/>
          <w:spacing w:val="-17"/>
          <w:w w:val="110"/>
        </w:rPr>
        <w:t xml:space="preserve"> </w:t>
      </w:r>
      <w:r>
        <w:rPr>
          <w:b/>
          <w:w w:val="110"/>
        </w:rPr>
        <w:t>Disturbance</w:t>
      </w:r>
      <w:r>
        <w:rPr>
          <w:b/>
          <w:spacing w:val="-6"/>
          <w:w w:val="110"/>
        </w:rPr>
        <w:t xml:space="preserve"> </w:t>
      </w:r>
      <w:r>
        <w:rPr>
          <w:w w:val="110"/>
        </w:rPr>
        <w:t>(which</w:t>
      </w:r>
      <w:r>
        <w:rPr>
          <w:spacing w:val="-10"/>
          <w:w w:val="110"/>
        </w:rPr>
        <w:t xml:space="preserve"> </w:t>
      </w:r>
      <w:r>
        <w:rPr>
          <w:w w:val="110"/>
        </w:rPr>
        <w:t>cannot</w:t>
      </w:r>
      <w:r>
        <w:rPr>
          <w:spacing w:val="-3"/>
          <w:w w:val="110"/>
        </w:rPr>
        <w:t xml:space="preserve"> </w:t>
      </w:r>
      <w:r>
        <w:rPr>
          <w:w w:val="110"/>
        </w:rPr>
        <w:t>be</w:t>
      </w:r>
      <w:r>
        <w:rPr>
          <w:spacing w:val="-16"/>
          <w:w w:val="110"/>
        </w:rPr>
        <w:t xml:space="preserve"> </w:t>
      </w:r>
      <w:r>
        <w:rPr>
          <w:w w:val="110"/>
        </w:rPr>
        <w:t>coded)</w:t>
      </w:r>
      <w:r>
        <w:rPr>
          <w:spacing w:val="-14"/>
          <w:w w:val="110"/>
        </w:rPr>
        <w:t xml:space="preserve"> </w:t>
      </w:r>
      <w:r>
        <w:rPr>
          <w:w w:val="110"/>
        </w:rPr>
        <w:t>can</w:t>
      </w:r>
      <w:r>
        <w:rPr>
          <w:spacing w:val="-13"/>
          <w:w w:val="110"/>
        </w:rPr>
        <w:t xml:space="preserve"> </w:t>
      </w:r>
      <w:r>
        <w:rPr>
          <w:w w:val="110"/>
        </w:rPr>
        <w:t>also</w:t>
      </w:r>
      <w:r>
        <w:rPr>
          <w:spacing w:val="-13"/>
          <w:w w:val="110"/>
        </w:rPr>
        <w:t xml:space="preserve"> </w:t>
      </w:r>
      <w:r>
        <w:rPr>
          <w:w w:val="110"/>
        </w:rPr>
        <w:t>be used</w:t>
      </w:r>
      <w:r>
        <w:rPr>
          <w:spacing w:val="-5"/>
          <w:w w:val="110"/>
        </w:rPr>
        <w:t xml:space="preserve"> </w:t>
      </w:r>
      <w:r>
        <w:rPr>
          <w:w w:val="110"/>
        </w:rPr>
        <w:t>to</w:t>
      </w:r>
      <w:r>
        <w:rPr>
          <w:spacing w:val="-12"/>
          <w:w w:val="110"/>
        </w:rPr>
        <w:t xml:space="preserve"> </w:t>
      </w:r>
      <w:r>
        <w:rPr>
          <w:w w:val="110"/>
        </w:rPr>
        <w:t>indicate</w:t>
      </w:r>
      <w:r>
        <w:rPr>
          <w:spacing w:val="-8"/>
          <w:w w:val="110"/>
        </w:rPr>
        <w:t xml:space="preserve"> </w:t>
      </w:r>
      <w:r>
        <w:rPr>
          <w:w w:val="110"/>
        </w:rPr>
        <w:t>clinically</w:t>
      </w:r>
      <w:r>
        <w:rPr>
          <w:spacing w:val="-8"/>
          <w:w w:val="110"/>
        </w:rPr>
        <w:t xml:space="preserve"> </w:t>
      </w:r>
      <w:r>
        <w:rPr>
          <w:w w:val="110"/>
        </w:rPr>
        <w:t>significant</w:t>
      </w:r>
      <w:r>
        <w:rPr>
          <w:spacing w:val="1"/>
          <w:w w:val="110"/>
        </w:rPr>
        <w:t xml:space="preserve"> </w:t>
      </w:r>
      <w:r>
        <w:rPr>
          <w:w w:val="110"/>
        </w:rPr>
        <w:t>behavioral</w:t>
      </w:r>
      <w:r>
        <w:rPr>
          <w:spacing w:val="-2"/>
          <w:w w:val="110"/>
        </w:rPr>
        <w:t xml:space="preserve"> </w:t>
      </w:r>
      <w:r>
        <w:rPr>
          <w:w w:val="110"/>
        </w:rPr>
        <w:t>disturbances</w:t>
      </w:r>
      <w:r>
        <w:rPr>
          <w:spacing w:val="-6"/>
          <w:w w:val="110"/>
        </w:rPr>
        <w:t xml:space="preserve"> </w:t>
      </w:r>
      <w:r>
        <w:rPr>
          <w:w w:val="110"/>
        </w:rPr>
        <w:t>(e.g.,</w:t>
      </w:r>
      <w:r>
        <w:rPr>
          <w:spacing w:val="-9"/>
          <w:w w:val="110"/>
        </w:rPr>
        <w:t xml:space="preserve"> </w:t>
      </w:r>
      <w:r>
        <w:rPr>
          <w:w w:val="110"/>
        </w:rPr>
        <w:t>wandering).</w:t>
      </w:r>
    </w:p>
    <w:p w:rsidR="00E675F0" w:rsidRDefault="00E675F0" w:rsidP="00E675F0">
      <w:pPr>
        <w:pStyle w:val="BodyText"/>
        <w:rPr>
          <w:sz w:val="22"/>
        </w:rPr>
      </w:pPr>
    </w:p>
    <w:p w:rsidR="00E675F0" w:rsidRDefault="00E675F0" w:rsidP="00E675F0">
      <w:pPr>
        <w:pStyle w:val="BodyText"/>
        <w:spacing w:before="2"/>
        <w:rPr>
          <w:sz w:val="17"/>
        </w:rPr>
      </w:pPr>
    </w:p>
    <w:p w:rsidR="00E675F0" w:rsidRDefault="00E675F0" w:rsidP="00E675F0">
      <w:pPr>
        <w:ind w:left="120"/>
        <w:rPr>
          <w:rFonts w:ascii="TimesNewRomanPS-BoldItalicMT"/>
          <w:b/>
          <w:i/>
          <w:sz w:val="24"/>
        </w:rPr>
      </w:pPr>
      <w:r>
        <w:rPr>
          <w:rFonts w:ascii="TimesNewRomanPS-BoldItalicMT"/>
          <w:b/>
          <w:i/>
          <w:w w:val="115"/>
          <w:sz w:val="24"/>
        </w:rPr>
        <w:t>Recording Procedures</w:t>
      </w:r>
    </w:p>
    <w:p w:rsidR="00E675F0" w:rsidRDefault="00E675F0" w:rsidP="00E675F0">
      <w:pPr>
        <w:pStyle w:val="BodyText"/>
        <w:spacing w:before="161" w:line="261" w:lineRule="auto"/>
        <w:ind w:left="140" w:firstLine="2"/>
      </w:pPr>
      <w:r>
        <w:rPr>
          <w:w w:val="105"/>
        </w:rPr>
        <w:t>By</w:t>
      </w:r>
      <w:r>
        <w:rPr>
          <w:spacing w:val="-29"/>
          <w:w w:val="105"/>
        </w:rPr>
        <w:t xml:space="preserve"> </w:t>
      </w:r>
      <w:r>
        <w:rPr>
          <w:w w:val="105"/>
        </w:rPr>
        <w:t>ICD-9-CM</w:t>
      </w:r>
      <w:r>
        <w:rPr>
          <w:spacing w:val="-22"/>
          <w:w w:val="105"/>
        </w:rPr>
        <w:t xml:space="preserve"> </w:t>
      </w:r>
      <w:r>
        <w:rPr>
          <w:w w:val="105"/>
        </w:rPr>
        <w:t>convention,</w:t>
      </w:r>
      <w:r>
        <w:rPr>
          <w:spacing w:val="-15"/>
          <w:w w:val="105"/>
        </w:rPr>
        <w:t xml:space="preserve"> </w:t>
      </w:r>
      <w:r>
        <w:rPr>
          <w:w w:val="105"/>
        </w:rPr>
        <w:t>only</w:t>
      </w:r>
      <w:r>
        <w:rPr>
          <w:spacing w:val="-28"/>
          <w:w w:val="105"/>
        </w:rPr>
        <w:t xml:space="preserve"> </w:t>
      </w:r>
      <w:r>
        <w:rPr>
          <w:w w:val="105"/>
        </w:rPr>
        <w:t>Dementia</w:t>
      </w:r>
      <w:r>
        <w:rPr>
          <w:spacing w:val="-17"/>
          <w:w w:val="105"/>
        </w:rPr>
        <w:t xml:space="preserve"> </w:t>
      </w:r>
      <w:r>
        <w:rPr>
          <w:w w:val="105"/>
        </w:rPr>
        <w:t>of</w:t>
      </w:r>
      <w:r>
        <w:rPr>
          <w:spacing w:val="-22"/>
          <w:w w:val="105"/>
        </w:rPr>
        <w:t xml:space="preserve"> </w:t>
      </w:r>
      <w:r>
        <w:rPr>
          <w:w w:val="105"/>
        </w:rPr>
        <w:t>the</w:t>
      </w:r>
      <w:r>
        <w:rPr>
          <w:spacing w:val="-13"/>
          <w:w w:val="105"/>
        </w:rPr>
        <w:t xml:space="preserve"> </w:t>
      </w:r>
      <w:r>
        <w:rPr>
          <w:w w:val="105"/>
        </w:rPr>
        <w:t>Alzheimer's</w:t>
      </w:r>
      <w:r>
        <w:rPr>
          <w:spacing w:val="-22"/>
          <w:w w:val="105"/>
        </w:rPr>
        <w:t xml:space="preserve"> </w:t>
      </w:r>
      <w:r>
        <w:rPr>
          <w:w w:val="105"/>
        </w:rPr>
        <w:t>Type</w:t>
      </w:r>
      <w:r>
        <w:rPr>
          <w:spacing w:val="-24"/>
          <w:w w:val="105"/>
        </w:rPr>
        <w:t xml:space="preserve"> </w:t>
      </w:r>
      <w:r>
        <w:rPr>
          <w:w w:val="105"/>
        </w:rPr>
        <w:t>and</w:t>
      </w:r>
      <w:r>
        <w:rPr>
          <w:spacing w:val="-25"/>
          <w:w w:val="105"/>
        </w:rPr>
        <w:t xml:space="preserve"> </w:t>
      </w:r>
      <w:r>
        <w:rPr>
          <w:w w:val="105"/>
        </w:rPr>
        <w:t>Vascular</w:t>
      </w:r>
      <w:r>
        <w:rPr>
          <w:spacing w:val="-20"/>
          <w:w w:val="105"/>
        </w:rPr>
        <w:t xml:space="preserve"> </w:t>
      </w:r>
      <w:r>
        <w:rPr>
          <w:w w:val="105"/>
        </w:rPr>
        <w:t>Dementia have codable subtypes. The diagnostic codes are selected as</w:t>
      </w:r>
      <w:r>
        <w:rPr>
          <w:spacing w:val="3"/>
          <w:w w:val="105"/>
        </w:rPr>
        <w:t xml:space="preserve"> </w:t>
      </w:r>
      <w:r>
        <w:rPr>
          <w:w w:val="105"/>
        </w:rPr>
        <w:t>follows:</w:t>
      </w:r>
    </w:p>
    <w:p w:rsidR="00E675F0" w:rsidRDefault="00E675F0" w:rsidP="003048D3">
      <w:pPr>
        <w:pStyle w:val="ListParagraph"/>
        <w:numPr>
          <w:ilvl w:val="0"/>
          <w:numId w:val="62"/>
        </w:numPr>
        <w:tabs>
          <w:tab w:val="left" w:pos="745"/>
        </w:tabs>
        <w:spacing w:before="157" w:line="256" w:lineRule="auto"/>
        <w:ind w:right="136" w:hanging="221"/>
        <w:jc w:val="both"/>
        <w:rPr>
          <w:sz w:val="20"/>
        </w:rPr>
      </w:pPr>
      <w:r>
        <w:rPr>
          <w:w w:val="105"/>
          <w:sz w:val="20"/>
        </w:rPr>
        <w:t>For Dementia of the Alzheimer's Type, With Early Onset, the code depends on the subtype for predominant features: 290.11 for With Delirium, 290.12 for With Delusions, 290.13 for With Depressed Mood, 290.10 for</w:t>
      </w:r>
      <w:r>
        <w:rPr>
          <w:spacing w:val="-29"/>
          <w:w w:val="105"/>
          <w:sz w:val="20"/>
        </w:rPr>
        <w:t xml:space="preserve"> </w:t>
      </w:r>
      <w:r>
        <w:rPr>
          <w:w w:val="105"/>
          <w:sz w:val="20"/>
        </w:rPr>
        <w:t>Uncomplicated.</w:t>
      </w:r>
    </w:p>
    <w:p w:rsidR="00E675F0" w:rsidRDefault="00E675F0" w:rsidP="003048D3">
      <w:pPr>
        <w:pStyle w:val="ListParagraph"/>
        <w:numPr>
          <w:ilvl w:val="0"/>
          <w:numId w:val="62"/>
        </w:numPr>
        <w:tabs>
          <w:tab w:val="left" w:pos="740"/>
        </w:tabs>
        <w:spacing w:line="256" w:lineRule="auto"/>
        <w:ind w:left="739" w:right="141"/>
        <w:jc w:val="both"/>
        <w:rPr>
          <w:sz w:val="20"/>
        </w:rPr>
      </w:pPr>
      <w:r>
        <w:rPr>
          <w:w w:val="105"/>
          <w:sz w:val="20"/>
        </w:rPr>
        <w:t>For Dementia of the Alzheimer's Type, With Late Onset, the code also depends on</w:t>
      </w:r>
      <w:r>
        <w:rPr>
          <w:spacing w:val="-8"/>
          <w:w w:val="105"/>
          <w:sz w:val="20"/>
        </w:rPr>
        <w:t xml:space="preserve"> </w:t>
      </w:r>
      <w:r>
        <w:rPr>
          <w:w w:val="105"/>
          <w:sz w:val="20"/>
        </w:rPr>
        <w:t>the</w:t>
      </w:r>
      <w:r>
        <w:rPr>
          <w:spacing w:val="-16"/>
          <w:w w:val="105"/>
          <w:sz w:val="20"/>
        </w:rPr>
        <w:t xml:space="preserve"> </w:t>
      </w:r>
      <w:r>
        <w:rPr>
          <w:w w:val="105"/>
          <w:sz w:val="20"/>
        </w:rPr>
        <w:t>subtype</w:t>
      </w:r>
      <w:r>
        <w:rPr>
          <w:spacing w:val="-7"/>
          <w:w w:val="105"/>
          <w:sz w:val="20"/>
        </w:rPr>
        <w:t xml:space="preserve"> </w:t>
      </w:r>
      <w:r>
        <w:rPr>
          <w:w w:val="105"/>
          <w:sz w:val="20"/>
        </w:rPr>
        <w:t>for</w:t>
      </w:r>
      <w:r>
        <w:rPr>
          <w:spacing w:val="-8"/>
          <w:w w:val="105"/>
          <w:sz w:val="20"/>
        </w:rPr>
        <w:t xml:space="preserve"> </w:t>
      </w:r>
      <w:r>
        <w:rPr>
          <w:w w:val="105"/>
          <w:sz w:val="20"/>
        </w:rPr>
        <w:t>predominant</w:t>
      </w:r>
      <w:r>
        <w:rPr>
          <w:spacing w:val="-5"/>
          <w:w w:val="105"/>
          <w:sz w:val="20"/>
        </w:rPr>
        <w:t xml:space="preserve"> </w:t>
      </w:r>
      <w:r>
        <w:rPr>
          <w:w w:val="105"/>
          <w:sz w:val="20"/>
        </w:rPr>
        <w:t>features:</w:t>
      </w:r>
      <w:r>
        <w:rPr>
          <w:spacing w:val="-5"/>
          <w:w w:val="105"/>
          <w:sz w:val="20"/>
        </w:rPr>
        <w:t xml:space="preserve"> </w:t>
      </w:r>
      <w:r>
        <w:rPr>
          <w:w w:val="105"/>
          <w:sz w:val="20"/>
        </w:rPr>
        <w:t>290.3</w:t>
      </w:r>
      <w:r>
        <w:rPr>
          <w:spacing w:val="-20"/>
          <w:w w:val="105"/>
          <w:sz w:val="20"/>
        </w:rPr>
        <w:t xml:space="preserve"> </w:t>
      </w:r>
      <w:r>
        <w:rPr>
          <w:w w:val="105"/>
          <w:sz w:val="20"/>
        </w:rPr>
        <w:t>for</w:t>
      </w:r>
      <w:r>
        <w:rPr>
          <w:spacing w:val="-16"/>
          <w:w w:val="105"/>
          <w:sz w:val="20"/>
        </w:rPr>
        <w:t xml:space="preserve"> </w:t>
      </w:r>
      <w:r>
        <w:rPr>
          <w:w w:val="105"/>
          <w:sz w:val="20"/>
        </w:rPr>
        <w:t>With</w:t>
      </w:r>
      <w:r>
        <w:rPr>
          <w:spacing w:val="-5"/>
          <w:w w:val="105"/>
          <w:sz w:val="20"/>
        </w:rPr>
        <w:t xml:space="preserve"> </w:t>
      </w:r>
      <w:r>
        <w:rPr>
          <w:w w:val="105"/>
          <w:sz w:val="20"/>
        </w:rPr>
        <w:t>Delirium,</w:t>
      </w:r>
      <w:r>
        <w:rPr>
          <w:spacing w:val="6"/>
          <w:w w:val="105"/>
          <w:sz w:val="20"/>
        </w:rPr>
        <w:t xml:space="preserve"> </w:t>
      </w:r>
      <w:r>
        <w:rPr>
          <w:w w:val="105"/>
          <w:sz w:val="20"/>
        </w:rPr>
        <w:t>290.20</w:t>
      </w:r>
      <w:r>
        <w:rPr>
          <w:spacing w:val="-19"/>
          <w:w w:val="105"/>
          <w:sz w:val="20"/>
        </w:rPr>
        <w:t xml:space="preserve"> </w:t>
      </w:r>
      <w:r>
        <w:rPr>
          <w:w w:val="105"/>
          <w:sz w:val="20"/>
        </w:rPr>
        <w:t>for</w:t>
      </w:r>
      <w:r>
        <w:rPr>
          <w:spacing w:val="-19"/>
          <w:w w:val="105"/>
          <w:sz w:val="20"/>
        </w:rPr>
        <w:t xml:space="preserve"> </w:t>
      </w:r>
      <w:r>
        <w:rPr>
          <w:w w:val="105"/>
          <w:sz w:val="20"/>
        </w:rPr>
        <w:t>With Delusions, 290.21 for With Depressed Mood, and 290.0 for</w:t>
      </w:r>
      <w:r>
        <w:rPr>
          <w:spacing w:val="36"/>
          <w:w w:val="105"/>
          <w:sz w:val="20"/>
        </w:rPr>
        <w:t xml:space="preserve"> </w:t>
      </w:r>
      <w:r>
        <w:rPr>
          <w:w w:val="105"/>
          <w:sz w:val="20"/>
        </w:rPr>
        <w:t>Uncomplicated.</w:t>
      </w:r>
    </w:p>
    <w:p w:rsidR="00E675F0" w:rsidRDefault="00E675F0" w:rsidP="00E675F0">
      <w:pPr>
        <w:spacing w:line="256" w:lineRule="auto"/>
        <w:jc w:val="both"/>
        <w:rPr>
          <w:sz w:val="20"/>
        </w:rPr>
        <w:sectPr w:rsidR="00E675F0">
          <w:pgSz w:w="8960" w:h="14260"/>
          <w:pgMar w:top="1400" w:right="600" w:bottom="280" w:left="600" w:header="690" w:footer="0" w:gutter="0"/>
          <w:cols w:space="720"/>
        </w:sectPr>
      </w:pPr>
    </w:p>
    <w:p w:rsidR="00E675F0" w:rsidRDefault="00E675F0" w:rsidP="00E675F0">
      <w:pPr>
        <w:pStyle w:val="BodyText"/>
        <w:spacing w:before="129" w:line="252" w:lineRule="auto"/>
        <w:ind w:left="147" w:right="132" w:firstLine="362"/>
        <w:jc w:val="both"/>
      </w:pPr>
      <w:r>
        <w:rPr>
          <w:w w:val="105"/>
        </w:rPr>
        <w:lastRenderedPageBreak/>
        <w:t>The specifier With Behavioral  Disturbance is uncoded and can be applied to each  of the above subtypes (e.g., 290.21 Dementia of the Alzheimer's Type, With Late Onset, With Depressed Mood, With Behavioral Disturbance). In addition, 331.0 Alzheimer's disease should be coded on Axis</w:t>
      </w:r>
      <w:r>
        <w:rPr>
          <w:spacing w:val="35"/>
          <w:w w:val="105"/>
        </w:rPr>
        <w:t xml:space="preserve"> </w:t>
      </w:r>
      <w:r>
        <w:rPr>
          <w:w w:val="105"/>
        </w:rPr>
        <w:t>III.</w:t>
      </w:r>
    </w:p>
    <w:p w:rsidR="00E675F0" w:rsidRDefault="00E675F0" w:rsidP="00E675F0">
      <w:pPr>
        <w:pStyle w:val="BodyText"/>
        <w:spacing w:before="7"/>
        <w:rPr>
          <w:sz w:val="30"/>
        </w:rPr>
      </w:pPr>
    </w:p>
    <w:p w:rsidR="00E675F0" w:rsidRDefault="00E675F0" w:rsidP="00E675F0">
      <w:pPr>
        <w:ind w:left="135"/>
        <w:rPr>
          <w:rFonts w:ascii="TimesNewRomanPS-BoldItalicMT"/>
          <w:b/>
          <w:i/>
          <w:sz w:val="24"/>
        </w:rPr>
      </w:pPr>
      <w:r>
        <w:rPr>
          <w:rFonts w:ascii="TimesNewRomanPS-BoldItalicMT"/>
          <w:b/>
          <w:i/>
          <w:w w:val="115"/>
          <w:sz w:val="24"/>
        </w:rPr>
        <w:t>Associated Features and Di,sorders</w:t>
      </w:r>
    </w:p>
    <w:p w:rsidR="00E675F0" w:rsidRDefault="00E675F0" w:rsidP="00E675F0">
      <w:pPr>
        <w:pStyle w:val="BodyText"/>
        <w:spacing w:before="156" w:line="256" w:lineRule="auto"/>
        <w:ind w:left="148" w:right="131"/>
        <w:jc w:val="both"/>
      </w:pPr>
      <w:r>
        <w:rPr>
          <w:b/>
          <w:w w:val="105"/>
        </w:rPr>
        <w:t xml:space="preserve">Associated descriptive features and mental disorders. </w:t>
      </w:r>
      <w:r>
        <w:rPr>
          <w:w w:val="105"/>
        </w:rPr>
        <w:t>See p. 135 for a general discussion of features and disorders associated with dementia. The prevalence of Dementia of the Alzheimer's Type is increased in individuals with Down's syndrome and in individuals with a history of head trauma. Pathological changes that are characteristic of Alzheimer's disease are present in the brains of individuals with Down's syndrome by the time they are in their early 40s, although the clinical symptoms of dementia</w:t>
      </w:r>
      <w:r>
        <w:rPr>
          <w:spacing w:val="16"/>
          <w:w w:val="105"/>
        </w:rPr>
        <w:t xml:space="preserve"> </w:t>
      </w:r>
      <w:r>
        <w:rPr>
          <w:w w:val="105"/>
        </w:rPr>
        <w:t>are</w:t>
      </w:r>
      <w:r>
        <w:rPr>
          <w:spacing w:val="17"/>
          <w:w w:val="105"/>
        </w:rPr>
        <w:t xml:space="preserve"> </w:t>
      </w:r>
      <w:r>
        <w:rPr>
          <w:w w:val="105"/>
        </w:rPr>
        <w:t>not</w:t>
      </w:r>
      <w:r>
        <w:rPr>
          <w:spacing w:val="15"/>
          <w:w w:val="105"/>
        </w:rPr>
        <w:t xml:space="preserve"> </w:t>
      </w:r>
      <w:r>
        <w:rPr>
          <w:w w:val="105"/>
        </w:rPr>
        <w:t>usually</w:t>
      </w:r>
      <w:r>
        <w:rPr>
          <w:spacing w:val="13"/>
          <w:w w:val="105"/>
        </w:rPr>
        <w:t xml:space="preserve"> </w:t>
      </w:r>
      <w:r>
        <w:rPr>
          <w:w w:val="105"/>
        </w:rPr>
        <w:t>evident</w:t>
      </w:r>
      <w:r>
        <w:rPr>
          <w:spacing w:val="16"/>
          <w:w w:val="105"/>
        </w:rPr>
        <w:t xml:space="preserve"> </w:t>
      </w:r>
      <w:r>
        <w:rPr>
          <w:w w:val="105"/>
        </w:rPr>
        <w:t>until</w:t>
      </w:r>
      <w:r>
        <w:rPr>
          <w:spacing w:val="15"/>
          <w:w w:val="105"/>
        </w:rPr>
        <w:t xml:space="preserve"> </w:t>
      </w:r>
      <w:r>
        <w:rPr>
          <w:w w:val="105"/>
        </w:rPr>
        <w:t>later.</w:t>
      </w:r>
    </w:p>
    <w:p w:rsidR="00E675F0" w:rsidRDefault="00E675F0" w:rsidP="00E675F0">
      <w:pPr>
        <w:pStyle w:val="BodyText"/>
        <w:spacing w:before="4"/>
      </w:pPr>
    </w:p>
    <w:p w:rsidR="00E675F0" w:rsidRDefault="00E675F0" w:rsidP="00E675F0">
      <w:pPr>
        <w:pStyle w:val="BodyText"/>
        <w:spacing w:line="254" w:lineRule="auto"/>
        <w:ind w:left="148" w:right="136" w:firstLine="5"/>
        <w:jc w:val="both"/>
      </w:pPr>
      <w:r>
        <w:rPr>
          <w:b/>
          <w:w w:val="105"/>
        </w:rPr>
        <w:t xml:space="preserve">Associated laboratory findings.  </w:t>
      </w:r>
      <w:r>
        <w:rPr>
          <w:w w:val="105"/>
        </w:rPr>
        <w:t>In the  majority  of  cases,  brain  atrophy  is present in Dementia of the Alzheimer's Type, with wider cortical sulci and larger cerebral ventricles than would be expected given the normal aging process. This may be demonstrated by computed tomography (CT) or magnetic resonance imaging (MRI). Microscopic examination usually reveals histopathological changes, including senile plaques, neurofibrillary tangles, granulovascular degeneration, neuronal loss, astrocytic gliosis,</w:t>
      </w:r>
      <w:r>
        <w:rPr>
          <w:spacing w:val="-6"/>
          <w:w w:val="105"/>
        </w:rPr>
        <w:t xml:space="preserve"> </w:t>
      </w:r>
      <w:r>
        <w:rPr>
          <w:w w:val="105"/>
        </w:rPr>
        <w:t>and</w:t>
      </w:r>
      <w:r>
        <w:rPr>
          <w:spacing w:val="-10"/>
          <w:w w:val="105"/>
        </w:rPr>
        <w:t xml:space="preserve"> </w:t>
      </w:r>
      <w:r>
        <w:rPr>
          <w:w w:val="105"/>
        </w:rPr>
        <w:t>amyloid</w:t>
      </w:r>
      <w:r>
        <w:rPr>
          <w:spacing w:val="-5"/>
          <w:w w:val="105"/>
        </w:rPr>
        <w:t xml:space="preserve"> </w:t>
      </w:r>
      <w:r>
        <w:rPr>
          <w:w w:val="105"/>
        </w:rPr>
        <w:t>angiopathy.</w:t>
      </w:r>
      <w:r>
        <w:rPr>
          <w:spacing w:val="1"/>
          <w:w w:val="105"/>
        </w:rPr>
        <w:t xml:space="preserve"> </w:t>
      </w:r>
      <w:r>
        <w:rPr>
          <w:w w:val="105"/>
        </w:rPr>
        <w:t>Lewy</w:t>
      </w:r>
      <w:r>
        <w:rPr>
          <w:spacing w:val="-7"/>
          <w:w w:val="105"/>
        </w:rPr>
        <w:t xml:space="preserve"> </w:t>
      </w:r>
      <w:r>
        <w:rPr>
          <w:w w:val="105"/>
        </w:rPr>
        <w:t>bodies</w:t>
      </w:r>
      <w:r>
        <w:rPr>
          <w:spacing w:val="-16"/>
          <w:w w:val="105"/>
        </w:rPr>
        <w:t xml:space="preserve"> </w:t>
      </w:r>
      <w:r>
        <w:rPr>
          <w:w w:val="105"/>
        </w:rPr>
        <w:t>are</w:t>
      </w:r>
      <w:r>
        <w:rPr>
          <w:spacing w:val="-18"/>
          <w:w w:val="105"/>
        </w:rPr>
        <w:t xml:space="preserve"> </w:t>
      </w:r>
      <w:r>
        <w:rPr>
          <w:w w:val="105"/>
        </w:rPr>
        <w:t>sometimes</w:t>
      </w:r>
      <w:r>
        <w:rPr>
          <w:spacing w:val="-8"/>
          <w:w w:val="105"/>
        </w:rPr>
        <w:t xml:space="preserve"> </w:t>
      </w:r>
      <w:r>
        <w:rPr>
          <w:w w:val="105"/>
        </w:rPr>
        <w:t>seen</w:t>
      </w:r>
      <w:r>
        <w:rPr>
          <w:spacing w:val="-13"/>
          <w:w w:val="105"/>
        </w:rPr>
        <w:t xml:space="preserve"> </w:t>
      </w:r>
      <w:r>
        <w:rPr>
          <w:w w:val="105"/>
        </w:rPr>
        <w:t>in</w:t>
      </w:r>
      <w:r>
        <w:rPr>
          <w:spacing w:val="-13"/>
          <w:w w:val="105"/>
        </w:rPr>
        <w:t xml:space="preserve"> </w:t>
      </w:r>
      <w:r>
        <w:rPr>
          <w:w w:val="105"/>
        </w:rPr>
        <w:t>the</w:t>
      </w:r>
      <w:r>
        <w:rPr>
          <w:spacing w:val="-16"/>
          <w:w w:val="105"/>
        </w:rPr>
        <w:t xml:space="preserve"> </w:t>
      </w:r>
      <w:r>
        <w:rPr>
          <w:w w:val="105"/>
        </w:rPr>
        <w:t>cortical</w:t>
      </w:r>
      <w:r>
        <w:rPr>
          <w:spacing w:val="-2"/>
          <w:w w:val="105"/>
        </w:rPr>
        <w:t xml:space="preserve"> </w:t>
      </w:r>
      <w:r>
        <w:rPr>
          <w:w w:val="105"/>
        </w:rPr>
        <w:t>neurons.</w:t>
      </w:r>
    </w:p>
    <w:p w:rsidR="00E675F0" w:rsidRDefault="00E675F0" w:rsidP="00E675F0">
      <w:pPr>
        <w:pStyle w:val="BodyText"/>
        <w:spacing w:before="10"/>
      </w:pPr>
    </w:p>
    <w:p w:rsidR="00E675F0" w:rsidRDefault="00E675F0" w:rsidP="00E675F0">
      <w:pPr>
        <w:spacing w:line="256" w:lineRule="auto"/>
        <w:ind w:left="147" w:right="125" w:firstLine="6"/>
        <w:jc w:val="both"/>
        <w:rPr>
          <w:sz w:val="20"/>
        </w:rPr>
      </w:pPr>
      <w:r>
        <w:rPr>
          <w:b/>
          <w:w w:val="105"/>
          <w:sz w:val="20"/>
        </w:rPr>
        <w:t xml:space="preserve">Associated  physical  examination  findings  and general  medical  conditions.   </w:t>
      </w:r>
      <w:r>
        <w:rPr>
          <w:w w:val="105"/>
          <w:sz w:val="20"/>
        </w:rPr>
        <w:t>In the first years of illness, few motor and sensory signs are associated with Dementia of the Alzheimer's Type. Later in the course, myoclonus and gait disorder may appear. Seizures occur in approximately 10% of individuals with the disorder.</w:t>
      </w:r>
    </w:p>
    <w:p w:rsidR="00E675F0" w:rsidRDefault="00E675F0" w:rsidP="00E675F0">
      <w:pPr>
        <w:pStyle w:val="BodyText"/>
        <w:spacing w:before="3"/>
        <w:rPr>
          <w:sz w:val="30"/>
        </w:rPr>
      </w:pPr>
    </w:p>
    <w:p w:rsidR="00E675F0" w:rsidRDefault="00E675F0" w:rsidP="00E675F0">
      <w:pPr>
        <w:ind w:left="146"/>
        <w:rPr>
          <w:rFonts w:ascii="TimesNewRomanPS-BoldItalicMT"/>
          <w:b/>
          <w:i/>
          <w:sz w:val="24"/>
        </w:rPr>
      </w:pPr>
      <w:r>
        <w:rPr>
          <w:rFonts w:ascii="TimesNewRomanPS-BoldItalicMT"/>
          <w:b/>
          <w:i/>
          <w:w w:val="110"/>
          <w:sz w:val="24"/>
        </w:rPr>
        <w:t>Specific Culture, Age, and Gender Features</w:t>
      </w:r>
    </w:p>
    <w:p w:rsidR="00E675F0" w:rsidRDefault="00E675F0" w:rsidP="00E675F0">
      <w:pPr>
        <w:pStyle w:val="BodyText"/>
        <w:spacing w:before="122" w:line="249" w:lineRule="auto"/>
        <w:ind w:left="153" w:right="132" w:hanging="6"/>
        <w:jc w:val="both"/>
      </w:pPr>
      <w:r>
        <w:rPr>
          <w:w w:val="105"/>
        </w:rPr>
        <w:t>Seep. 137 for a general discussion of culture and age features associated with dementia. Late onset (after age 65 years) of Dementia of the Alzheimer's Type is much more common</w:t>
      </w:r>
      <w:r>
        <w:rPr>
          <w:spacing w:val="2"/>
          <w:w w:val="105"/>
        </w:rPr>
        <w:t xml:space="preserve"> </w:t>
      </w:r>
      <w:r>
        <w:rPr>
          <w:w w:val="105"/>
        </w:rPr>
        <w:t>than</w:t>
      </w:r>
      <w:r>
        <w:rPr>
          <w:spacing w:val="-7"/>
          <w:w w:val="105"/>
        </w:rPr>
        <w:t xml:space="preserve"> </w:t>
      </w:r>
      <w:r>
        <w:rPr>
          <w:w w:val="105"/>
        </w:rPr>
        <w:t>early</w:t>
      </w:r>
      <w:r>
        <w:rPr>
          <w:spacing w:val="-2"/>
          <w:w w:val="105"/>
        </w:rPr>
        <w:t xml:space="preserve"> </w:t>
      </w:r>
      <w:r>
        <w:rPr>
          <w:w w:val="105"/>
        </w:rPr>
        <w:t>onset.</w:t>
      </w:r>
      <w:r>
        <w:rPr>
          <w:spacing w:val="-6"/>
          <w:w w:val="105"/>
        </w:rPr>
        <w:t xml:space="preserve"> </w:t>
      </w:r>
      <w:r>
        <w:rPr>
          <w:w w:val="105"/>
        </w:rPr>
        <w:t>Few</w:t>
      </w:r>
      <w:r>
        <w:rPr>
          <w:spacing w:val="-10"/>
          <w:w w:val="105"/>
        </w:rPr>
        <w:t xml:space="preserve"> </w:t>
      </w:r>
      <w:r>
        <w:rPr>
          <w:w w:val="105"/>
        </w:rPr>
        <w:t>cases</w:t>
      </w:r>
      <w:r>
        <w:rPr>
          <w:spacing w:val="-8"/>
          <w:w w:val="105"/>
        </w:rPr>
        <w:t xml:space="preserve"> </w:t>
      </w:r>
      <w:r>
        <w:rPr>
          <w:w w:val="105"/>
        </w:rPr>
        <w:t>develop</w:t>
      </w:r>
      <w:r>
        <w:rPr>
          <w:spacing w:val="-5"/>
          <w:w w:val="105"/>
        </w:rPr>
        <w:t xml:space="preserve"> </w:t>
      </w:r>
      <w:r>
        <w:rPr>
          <w:w w:val="105"/>
        </w:rPr>
        <w:t>before</w:t>
      </w:r>
      <w:r>
        <w:rPr>
          <w:spacing w:val="-6"/>
          <w:w w:val="105"/>
        </w:rPr>
        <w:t xml:space="preserve"> </w:t>
      </w:r>
      <w:r>
        <w:rPr>
          <w:w w:val="105"/>
        </w:rPr>
        <w:t>age</w:t>
      </w:r>
      <w:r>
        <w:rPr>
          <w:spacing w:val="-11"/>
          <w:w w:val="105"/>
        </w:rPr>
        <w:t xml:space="preserve"> </w:t>
      </w:r>
      <w:r>
        <w:rPr>
          <w:w w:val="105"/>
        </w:rPr>
        <w:t>50</w:t>
      </w:r>
      <w:r>
        <w:rPr>
          <w:spacing w:val="-8"/>
          <w:w w:val="105"/>
        </w:rPr>
        <w:t xml:space="preserve"> </w:t>
      </w:r>
      <w:r>
        <w:rPr>
          <w:w w:val="105"/>
        </w:rPr>
        <w:t>years.</w:t>
      </w:r>
      <w:r>
        <w:rPr>
          <w:spacing w:val="-10"/>
          <w:w w:val="105"/>
        </w:rPr>
        <w:t xml:space="preserve"> </w:t>
      </w:r>
      <w:r>
        <w:rPr>
          <w:w w:val="105"/>
        </w:rPr>
        <w:t>The</w:t>
      </w:r>
      <w:r>
        <w:rPr>
          <w:spacing w:val="-11"/>
          <w:w w:val="105"/>
        </w:rPr>
        <w:t xml:space="preserve"> </w:t>
      </w:r>
      <w:r>
        <w:rPr>
          <w:w w:val="105"/>
        </w:rPr>
        <w:t>disorder</w:t>
      </w:r>
      <w:r>
        <w:rPr>
          <w:spacing w:val="-3"/>
          <w:w w:val="105"/>
        </w:rPr>
        <w:t xml:space="preserve"> </w:t>
      </w:r>
      <w:r>
        <w:rPr>
          <w:w w:val="105"/>
        </w:rPr>
        <w:t>is</w:t>
      </w:r>
      <w:r>
        <w:rPr>
          <w:spacing w:val="-18"/>
          <w:w w:val="105"/>
        </w:rPr>
        <w:t xml:space="preserve"> </w:t>
      </w:r>
      <w:r>
        <w:rPr>
          <w:w w:val="105"/>
        </w:rPr>
        <w:t>slightly more common in females than in</w:t>
      </w:r>
      <w:r>
        <w:rPr>
          <w:spacing w:val="24"/>
          <w:w w:val="105"/>
        </w:rPr>
        <w:t xml:space="preserve"> </w:t>
      </w:r>
      <w:r>
        <w:rPr>
          <w:w w:val="105"/>
        </w:rPr>
        <w:t>males.</w:t>
      </w:r>
    </w:p>
    <w:p w:rsidR="00E675F0" w:rsidRDefault="00E675F0" w:rsidP="00E675F0">
      <w:pPr>
        <w:pStyle w:val="BodyText"/>
        <w:spacing w:before="2"/>
        <w:rPr>
          <w:sz w:val="25"/>
        </w:rPr>
      </w:pPr>
    </w:p>
    <w:p w:rsidR="00E675F0" w:rsidRDefault="00E675F0" w:rsidP="00E675F0">
      <w:pPr>
        <w:ind w:left="138"/>
        <w:rPr>
          <w:rFonts w:ascii="TimesNewRomanPS-BoldItalicMT"/>
          <w:b/>
          <w:i/>
          <w:sz w:val="24"/>
        </w:rPr>
      </w:pPr>
      <w:r>
        <w:rPr>
          <w:rFonts w:ascii="TimesNewRomanPS-BoldItalicMT"/>
          <w:b/>
          <w:i/>
          <w:w w:val="115"/>
          <w:sz w:val="24"/>
        </w:rPr>
        <w:t>Prevalence</w:t>
      </w:r>
    </w:p>
    <w:p w:rsidR="00E675F0" w:rsidRDefault="00E675F0" w:rsidP="00E675F0">
      <w:pPr>
        <w:pStyle w:val="BodyText"/>
        <w:spacing w:before="127" w:line="256" w:lineRule="auto"/>
        <w:ind w:left="153" w:right="128" w:firstLine="3"/>
        <w:jc w:val="both"/>
      </w:pPr>
      <w:r>
        <w:rPr>
          <w:w w:val="105"/>
        </w:rPr>
        <w:t>Between 2% and 4% of the population over age 65 years is estimated to have Dementia of the Alzheimer's Type. The prevalence increases with increasing age, particularly after age 75</w:t>
      </w:r>
      <w:r>
        <w:rPr>
          <w:spacing w:val="18"/>
          <w:w w:val="105"/>
        </w:rPr>
        <w:t xml:space="preserve"> </w:t>
      </w:r>
      <w:r>
        <w:rPr>
          <w:w w:val="105"/>
        </w:rPr>
        <w:t>years.</w:t>
      </w:r>
    </w:p>
    <w:p w:rsidR="00E675F0" w:rsidRDefault="00E675F0" w:rsidP="00E675F0">
      <w:pPr>
        <w:pStyle w:val="BodyText"/>
        <w:spacing w:before="1"/>
        <w:rPr>
          <w:sz w:val="24"/>
        </w:rPr>
      </w:pPr>
    </w:p>
    <w:p w:rsidR="00E675F0" w:rsidRDefault="00E675F0" w:rsidP="00E675F0">
      <w:pPr>
        <w:ind w:left="130"/>
        <w:rPr>
          <w:rFonts w:ascii="TimesNewRomanPS-BoldItalicMT"/>
          <w:b/>
          <w:i/>
          <w:sz w:val="24"/>
        </w:rPr>
      </w:pPr>
      <w:r>
        <w:rPr>
          <w:rFonts w:ascii="TimesNewRomanPS-BoldItalicMT"/>
          <w:b/>
          <w:i/>
          <w:w w:val="115"/>
          <w:sz w:val="24"/>
        </w:rPr>
        <w:t>Course</w:t>
      </w:r>
    </w:p>
    <w:p w:rsidR="00E675F0" w:rsidRDefault="00E675F0" w:rsidP="00E675F0">
      <w:pPr>
        <w:pStyle w:val="BodyText"/>
        <w:spacing w:before="127" w:line="256" w:lineRule="auto"/>
        <w:ind w:left="154" w:right="128" w:hanging="2"/>
        <w:jc w:val="both"/>
      </w:pPr>
      <w:r>
        <w:rPr>
          <w:w w:val="105"/>
        </w:rPr>
        <w:t>Seep. 137 for a general discussion of the course of dementia.  The course  of Dementia of the Alzheimer's Type tends to be slowly progressive, with a loss of 3-4 points per year on a standard assessment instrument such as the Mini-Mental State Exam. Various patterns of deficits are seen. A common pattern is an insidious onset, with early deficits in recent memory followed by the development of aphasia, apraxia, and agnosia after several years. Some individuals may show personality changes or increased</w:t>
      </w:r>
      <w:r>
        <w:rPr>
          <w:spacing w:val="7"/>
          <w:w w:val="105"/>
        </w:rPr>
        <w:t xml:space="preserve"> </w:t>
      </w:r>
      <w:r>
        <w:rPr>
          <w:w w:val="105"/>
        </w:rPr>
        <w:t>irritability</w:t>
      </w:r>
    </w:p>
    <w:p w:rsidR="00E675F0" w:rsidRDefault="00E675F0" w:rsidP="00E675F0">
      <w:pPr>
        <w:spacing w:line="256" w:lineRule="auto"/>
        <w:jc w:val="both"/>
        <w:sectPr w:rsidR="00E675F0">
          <w:pgSz w:w="8960" w:h="14260"/>
          <w:pgMar w:top="1400" w:right="600" w:bottom="280" w:left="600" w:header="656" w:footer="0" w:gutter="0"/>
          <w:cols w:space="720"/>
        </w:sectPr>
      </w:pPr>
    </w:p>
    <w:p w:rsidR="00E675F0" w:rsidRDefault="00E675F0" w:rsidP="00E675F0">
      <w:pPr>
        <w:pStyle w:val="BodyText"/>
        <w:spacing w:before="135" w:line="254" w:lineRule="auto"/>
        <w:ind w:left="154" w:right="126" w:firstLine="1"/>
        <w:jc w:val="both"/>
      </w:pPr>
      <w:bookmarkStart w:id="90" w:name="_bookmark73"/>
      <w:bookmarkEnd w:id="90"/>
      <w:r>
        <w:rPr>
          <w:w w:val="105"/>
        </w:rPr>
        <w:lastRenderedPageBreak/>
        <w:t xml:space="preserve">in the early stages. In the later stages of the disease, individuals may develop gait and motor disturbances and eventually become mute and  bedridden.  The average duration of the illness from onset of symptoms to death is </w:t>
      </w:r>
      <w:r>
        <w:rPr>
          <w:w w:val="105"/>
          <w:sz w:val="19"/>
        </w:rPr>
        <w:t xml:space="preserve">8-10 </w:t>
      </w:r>
      <w:r>
        <w:rPr>
          <w:w w:val="105"/>
        </w:rPr>
        <w:t>years.</w:t>
      </w:r>
    </w:p>
    <w:p w:rsidR="00E675F0" w:rsidRDefault="00E675F0" w:rsidP="00E675F0">
      <w:pPr>
        <w:pStyle w:val="BodyText"/>
        <w:rPr>
          <w:sz w:val="22"/>
        </w:rPr>
      </w:pPr>
    </w:p>
    <w:p w:rsidR="00E675F0" w:rsidRDefault="00E675F0" w:rsidP="00E675F0">
      <w:pPr>
        <w:spacing w:before="132"/>
        <w:ind w:left="132"/>
        <w:jc w:val="both"/>
        <w:rPr>
          <w:rFonts w:ascii="TimesNewRomanPS-BoldItalicMT"/>
          <w:b/>
          <w:i/>
          <w:sz w:val="24"/>
        </w:rPr>
      </w:pPr>
      <w:r>
        <w:rPr>
          <w:rFonts w:ascii="TimesNewRomanPS-BoldItalicMT"/>
          <w:b/>
          <w:i/>
          <w:w w:val="115"/>
          <w:sz w:val="24"/>
        </w:rPr>
        <w:t>Familial Pattern</w:t>
      </w:r>
    </w:p>
    <w:p w:rsidR="00E675F0" w:rsidRDefault="00E675F0" w:rsidP="00E675F0">
      <w:pPr>
        <w:pStyle w:val="BodyText"/>
        <w:spacing w:before="126" w:line="256" w:lineRule="auto"/>
        <w:ind w:left="155" w:right="115" w:hanging="2"/>
        <w:jc w:val="both"/>
      </w:pPr>
      <w:r>
        <w:rPr>
          <w:w w:val="105"/>
        </w:rPr>
        <w:t xml:space="preserve">Compared with the general population, first-degree biological relatives of individuals with Dementia of the Alzheimer's Type, With Early Onset, are more likely </w:t>
      </w:r>
      <w:r>
        <w:rPr>
          <w:w w:val="105"/>
          <w:sz w:val="18"/>
        </w:rPr>
        <w:t xml:space="preserve">to </w:t>
      </w:r>
      <w:r>
        <w:rPr>
          <w:w w:val="105"/>
        </w:rPr>
        <w:t>develop the disorder. Late-onset cases may also have a genetic component. Dementia of the Alzheimer's Type in some families has been shown to be inherited as a dominant trait with linkage to several chromosomes, including chromosomes 21, 14, and 19. However, the</w:t>
      </w:r>
      <w:r>
        <w:rPr>
          <w:spacing w:val="6"/>
          <w:w w:val="105"/>
        </w:rPr>
        <w:t xml:space="preserve"> </w:t>
      </w:r>
      <w:r>
        <w:rPr>
          <w:w w:val="105"/>
        </w:rPr>
        <w:t>proportion</w:t>
      </w:r>
      <w:r>
        <w:rPr>
          <w:spacing w:val="16"/>
          <w:w w:val="105"/>
        </w:rPr>
        <w:t xml:space="preserve"> </w:t>
      </w:r>
      <w:r>
        <w:rPr>
          <w:w w:val="105"/>
        </w:rPr>
        <w:t>of</w:t>
      </w:r>
      <w:r>
        <w:rPr>
          <w:spacing w:val="5"/>
          <w:w w:val="105"/>
        </w:rPr>
        <w:t xml:space="preserve"> </w:t>
      </w:r>
      <w:r>
        <w:rPr>
          <w:w w:val="105"/>
        </w:rPr>
        <w:t>cases</w:t>
      </w:r>
      <w:r>
        <w:rPr>
          <w:spacing w:val="13"/>
          <w:w w:val="105"/>
        </w:rPr>
        <w:t xml:space="preserve"> </w:t>
      </w:r>
      <w:r>
        <w:rPr>
          <w:w w:val="105"/>
        </w:rPr>
        <w:t>that</w:t>
      </w:r>
      <w:r>
        <w:rPr>
          <w:spacing w:val="4"/>
          <w:w w:val="105"/>
        </w:rPr>
        <w:t xml:space="preserve"> </w:t>
      </w:r>
      <w:r>
        <w:rPr>
          <w:w w:val="105"/>
        </w:rPr>
        <w:t>are</w:t>
      </w:r>
      <w:r>
        <w:rPr>
          <w:spacing w:val="5"/>
          <w:w w:val="105"/>
        </w:rPr>
        <w:t xml:space="preserve"> </w:t>
      </w:r>
      <w:r>
        <w:rPr>
          <w:w w:val="105"/>
        </w:rPr>
        <w:t>related</w:t>
      </w:r>
      <w:r>
        <w:rPr>
          <w:spacing w:val="17"/>
          <w:w w:val="105"/>
        </w:rPr>
        <w:t xml:space="preserve"> </w:t>
      </w:r>
      <w:r>
        <w:rPr>
          <w:w w:val="105"/>
        </w:rPr>
        <w:t>to</w:t>
      </w:r>
      <w:r>
        <w:rPr>
          <w:spacing w:val="-7"/>
          <w:w w:val="105"/>
        </w:rPr>
        <w:t xml:space="preserve"> </w:t>
      </w:r>
      <w:r>
        <w:rPr>
          <w:w w:val="105"/>
        </w:rPr>
        <w:t>specific</w:t>
      </w:r>
      <w:r>
        <w:rPr>
          <w:spacing w:val="9"/>
          <w:w w:val="105"/>
        </w:rPr>
        <w:t xml:space="preserve"> </w:t>
      </w:r>
      <w:r>
        <w:rPr>
          <w:w w:val="105"/>
        </w:rPr>
        <w:t>inherited</w:t>
      </w:r>
      <w:r>
        <w:rPr>
          <w:spacing w:val="14"/>
          <w:w w:val="105"/>
        </w:rPr>
        <w:t xml:space="preserve"> </w:t>
      </w:r>
      <w:r>
        <w:rPr>
          <w:w w:val="105"/>
        </w:rPr>
        <w:t>abnormalities</w:t>
      </w:r>
      <w:r>
        <w:rPr>
          <w:spacing w:val="17"/>
          <w:w w:val="105"/>
        </w:rPr>
        <w:t xml:space="preserve"> </w:t>
      </w:r>
      <w:r>
        <w:rPr>
          <w:w w:val="105"/>
        </w:rPr>
        <w:t>is</w:t>
      </w:r>
      <w:r>
        <w:rPr>
          <w:spacing w:val="1"/>
          <w:w w:val="105"/>
        </w:rPr>
        <w:t xml:space="preserve"> </w:t>
      </w:r>
      <w:r>
        <w:rPr>
          <w:w w:val="105"/>
        </w:rPr>
        <w:t>not</w:t>
      </w:r>
      <w:r>
        <w:rPr>
          <w:spacing w:val="3"/>
          <w:w w:val="105"/>
        </w:rPr>
        <w:t xml:space="preserve"> </w:t>
      </w:r>
      <w:r>
        <w:rPr>
          <w:w w:val="105"/>
        </w:rPr>
        <w:t>known.</w:t>
      </w:r>
    </w:p>
    <w:p w:rsidR="00E675F0" w:rsidRDefault="00E675F0" w:rsidP="00E675F0">
      <w:pPr>
        <w:pStyle w:val="BodyText"/>
        <w:spacing w:before="10"/>
        <w:rPr>
          <w:sz w:val="31"/>
        </w:rPr>
      </w:pPr>
    </w:p>
    <w:p w:rsidR="00E675F0" w:rsidRDefault="00E675F0" w:rsidP="00E675F0">
      <w:pPr>
        <w:ind w:left="142"/>
        <w:jc w:val="both"/>
        <w:rPr>
          <w:rFonts w:ascii="TimesNewRomanPS-BoldItalicMT"/>
          <w:b/>
          <w:i/>
          <w:sz w:val="24"/>
        </w:rPr>
      </w:pPr>
      <w:r>
        <w:rPr>
          <w:rFonts w:ascii="TimesNewRomanPS-BoldItalicMT"/>
          <w:b/>
          <w:i/>
          <w:w w:val="115"/>
          <w:sz w:val="25"/>
        </w:rPr>
        <w:t>Di,ff</w:t>
      </w:r>
      <w:r>
        <w:rPr>
          <w:rFonts w:ascii="TimesNewRomanPS-BoldItalicMT"/>
          <w:b/>
          <w:i/>
          <w:w w:val="115"/>
          <w:sz w:val="24"/>
        </w:rPr>
        <w:t>erential magnosis</w:t>
      </w:r>
    </w:p>
    <w:p w:rsidR="00E675F0" w:rsidRDefault="00E675F0" w:rsidP="00E675F0">
      <w:pPr>
        <w:pStyle w:val="BodyText"/>
        <w:spacing w:before="129"/>
        <w:ind w:left="149"/>
        <w:jc w:val="both"/>
      </w:pPr>
      <w:r>
        <w:rPr>
          <w:noProof/>
        </w:rPr>
        <mc:AlternateContent>
          <mc:Choice Requires="wpg">
            <w:drawing>
              <wp:anchor distT="0" distB="0" distL="114300" distR="114300" simplePos="0" relativeHeight="251785216" behindDoc="1" locked="0" layoutInCell="1" allowOverlap="1" wp14:anchorId="10D6D938" wp14:editId="1D57E481">
                <wp:simplePos x="0" y="0"/>
                <wp:positionH relativeFrom="page">
                  <wp:posOffset>477520</wp:posOffset>
                </wp:positionH>
                <wp:positionV relativeFrom="paragraph">
                  <wp:posOffset>423545</wp:posOffset>
                </wp:positionV>
                <wp:extent cx="4765675" cy="4810760"/>
                <wp:effectExtent l="0" t="12700" r="9525" b="0"/>
                <wp:wrapNone/>
                <wp:docPr id="1467" name="Group 1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5675" cy="4810760"/>
                          <a:chOff x="752" y="667"/>
                          <a:chExt cx="7505" cy="7576"/>
                        </a:xfrm>
                      </wpg:grpSpPr>
                      <wps:wsp>
                        <wps:cNvPr id="1468" name="AutoShape 1425"/>
                        <wps:cNvSpPr>
                          <a:spLocks/>
                        </wps:cNvSpPr>
                        <wps:spPr bwMode="auto">
                          <a:xfrm>
                            <a:off x="829" y="666"/>
                            <a:ext cx="7337" cy="7576"/>
                          </a:xfrm>
                          <a:custGeom>
                            <a:avLst/>
                            <a:gdLst>
                              <a:gd name="T0" fmla="+- 0 829 829"/>
                              <a:gd name="T1" fmla="*/ T0 w 7337"/>
                              <a:gd name="T2" fmla="+- 0 8242 667"/>
                              <a:gd name="T3" fmla="*/ 8242 h 7576"/>
                              <a:gd name="T4" fmla="+- 0 829 829"/>
                              <a:gd name="T5" fmla="*/ T4 w 7337"/>
                              <a:gd name="T6" fmla="+- 0 667 667"/>
                              <a:gd name="T7" fmla="*/ 667 h 7576"/>
                              <a:gd name="T8" fmla="+- 0 8165 829"/>
                              <a:gd name="T9" fmla="*/ T8 w 7337"/>
                              <a:gd name="T10" fmla="+- 0 8242 667"/>
                              <a:gd name="T11" fmla="*/ 8242 h 7576"/>
                              <a:gd name="T12" fmla="+- 0 8165 829"/>
                              <a:gd name="T13" fmla="*/ T12 w 7337"/>
                              <a:gd name="T14" fmla="+- 0 667 667"/>
                              <a:gd name="T15" fmla="*/ 667 h 7576"/>
                            </a:gdLst>
                            <a:ahLst/>
                            <a:cxnLst>
                              <a:cxn ang="0">
                                <a:pos x="T1" y="T3"/>
                              </a:cxn>
                              <a:cxn ang="0">
                                <a:pos x="T5" y="T7"/>
                              </a:cxn>
                              <a:cxn ang="0">
                                <a:pos x="T9" y="T11"/>
                              </a:cxn>
                              <a:cxn ang="0">
                                <a:pos x="T13" y="T15"/>
                              </a:cxn>
                            </a:cxnLst>
                            <a:rect l="0" t="0" r="r" b="b"/>
                            <a:pathLst>
                              <a:path w="7337" h="7576">
                                <a:moveTo>
                                  <a:pt x="0" y="7575"/>
                                </a:moveTo>
                                <a:lnTo>
                                  <a:pt x="0" y="0"/>
                                </a:lnTo>
                                <a:moveTo>
                                  <a:pt x="7336" y="7575"/>
                                </a:moveTo>
                                <a:lnTo>
                                  <a:pt x="7336" y="0"/>
                                </a:lnTo>
                              </a:path>
                            </a:pathLst>
                          </a:custGeom>
                          <a:noFill/>
                          <a:ln w="3053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9" name="AutoShape 1424"/>
                        <wps:cNvSpPr>
                          <a:spLocks/>
                        </wps:cNvSpPr>
                        <wps:spPr bwMode="auto">
                          <a:xfrm>
                            <a:off x="752" y="748"/>
                            <a:ext cx="7505" cy="7403"/>
                          </a:xfrm>
                          <a:custGeom>
                            <a:avLst/>
                            <a:gdLst>
                              <a:gd name="T0" fmla="+- 0 752 752"/>
                              <a:gd name="T1" fmla="*/ T0 w 7505"/>
                              <a:gd name="T2" fmla="+- 0 748 748"/>
                              <a:gd name="T3" fmla="*/ 748 h 7403"/>
                              <a:gd name="T4" fmla="+- 0 8257 752"/>
                              <a:gd name="T5" fmla="*/ T4 w 7505"/>
                              <a:gd name="T6" fmla="+- 0 748 748"/>
                              <a:gd name="T7" fmla="*/ 748 h 7403"/>
                              <a:gd name="T8" fmla="+- 0 752 752"/>
                              <a:gd name="T9" fmla="*/ T8 w 7505"/>
                              <a:gd name="T10" fmla="+- 0 8151 748"/>
                              <a:gd name="T11" fmla="*/ 8151 h 7403"/>
                              <a:gd name="T12" fmla="+- 0 8257 752"/>
                              <a:gd name="T13" fmla="*/ T12 w 7505"/>
                              <a:gd name="T14" fmla="+- 0 8151 748"/>
                              <a:gd name="T15" fmla="*/ 8151 h 7403"/>
                            </a:gdLst>
                            <a:ahLst/>
                            <a:cxnLst>
                              <a:cxn ang="0">
                                <a:pos x="T1" y="T3"/>
                              </a:cxn>
                              <a:cxn ang="0">
                                <a:pos x="T5" y="T7"/>
                              </a:cxn>
                              <a:cxn ang="0">
                                <a:pos x="T9" y="T11"/>
                              </a:cxn>
                              <a:cxn ang="0">
                                <a:pos x="T13" y="T15"/>
                              </a:cxn>
                            </a:cxnLst>
                            <a:rect l="0" t="0" r="r" b="b"/>
                            <a:pathLst>
                              <a:path w="7505" h="7403">
                                <a:moveTo>
                                  <a:pt x="0" y="0"/>
                                </a:moveTo>
                                <a:lnTo>
                                  <a:pt x="7505" y="0"/>
                                </a:lnTo>
                                <a:moveTo>
                                  <a:pt x="0" y="7403"/>
                                </a:moveTo>
                                <a:lnTo>
                                  <a:pt x="7505" y="7403"/>
                                </a:lnTo>
                              </a:path>
                            </a:pathLst>
                          </a:custGeom>
                          <a:noFill/>
                          <a:ln w="3358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E9BC48" id="Group 1423" o:spid="_x0000_s1026" style="position:absolute;margin-left:37.6pt;margin-top:33.35pt;width:375.25pt;height:378.8pt;z-index:-251531264;mso-position-horizontal-relative:page" coordorigin="752,667" coordsize="7505,75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">
                <v:shape id="AutoShape 1425" o:spid="_x0000_s1027" style="position:absolute;left:829;top:666;width:7337;height:7576;visibility:visible;mso-wrap-style:square;v-text-anchor:top" coordsize="7337,75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" path="m,7575l,m7336,7575l7336,e" filled="f" strokeweight=".84819mm">
                  <v:path arrowok="t" o:connecttype="custom" o:connectlocs="0,8242;0,667;7336,8242;7336,667" o:connectangles="0,0,0,0"/>
                </v:shape>
                <v:shape id="AutoShape 1424" o:spid="_x0000_s1028" style="position:absolute;left:752;top:748;width:7505;height:7403;visibility:visible;mso-wrap-style:square;v-text-anchor:top" coordsize="7505,74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" path="m,l7505,m,7403r7505,e" filled="f" strokeweight=".93303mm">
                  <v:path arrowok="t" o:connecttype="custom" o:connectlocs="0,748;7505,748;0,8151;7505,8151" o:connectangles="0,0,0,0"/>
                </v:shape>
                <w10:wrap anchorx="page"/>
              </v:group>
            </w:pict>
          </mc:Fallback>
        </mc:AlternateContent>
      </w:r>
      <w:r>
        <w:rPr>
          <w:w w:val="105"/>
        </w:rPr>
        <w:t>See p. 138 for a general discussion of the differential diagnosis of dementia.</w:t>
      </w:r>
    </w:p>
    <w:p w:rsidR="00E675F0" w:rsidRDefault="00E675F0" w:rsidP="00E675F0">
      <w:pPr>
        <w:pStyle w:val="BodyText"/>
      </w:pPr>
    </w:p>
    <w:p w:rsidR="00E675F0" w:rsidRDefault="00E675F0" w:rsidP="00E675F0">
      <w:pPr>
        <w:pStyle w:val="BodyText"/>
        <w:spacing w:before="6" w:after="1"/>
        <w:rPr>
          <w:sz w:val="11"/>
        </w:rPr>
      </w:pPr>
    </w:p>
    <w:tbl>
      <w:tblPr>
        <w:tblW w:w="0" w:type="auto"/>
        <w:tblInd w:w="265"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7336"/>
      </w:tblGrid>
      <w:tr w:rsidR="00E675F0" w:rsidTr="00A330E1">
        <w:trPr>
          <w:trHeight w:val="7342"/>
        </w:trPr>
        <w:tc>
          <w:tcPr>
            <w:tcW w:w="7336" w:type="dxa"/>
          </w:tcPr>
          <w:p w:rsidR="00E675F0" w:rsidRDefault="00E675F0" w:rsidP="003048D3">
            <w:pPr>
              <w:pStyle w:val="TableParagraph"/>
              <w:numPr>
                <w:ilvl w:val="0"/>
                <w:numId w:val="61"/>
              </w:numPr>
              <w:tabs>
                <w:tab w:val="left" w:pos="622"/>
              </w:tabs>
              <w:spacing w:before="33" w:line="206" w:lineRule="auto"/>
              <w:ind w:right="2094" w:hanging="383"/>
              <w:rPr>
                <w:rFonts w:ascii="Arial" w:hAnsi="Arial"/>
                <w:b/>
                <w:sz w:val="24"/>
              </w:rPr>
            </w:pPr>
            <w:r>
              <w:rPr>
                <w:rFonts w:ascii="Arial" w:hAnsi="Arial"/>
                <w:b/>
                <w:w w:val="105"/>
                <w:sz w:val="24"/>
              </w:rPr>
              <w:t>Diagnostic criteria for Dementia of</w:t>
            </w:r>
            <w:r>
              <w:rPr>
                <w:rFonts w:ascii="Arial" w:hAnsi="Arial"/>
                <w:b/>
                <w:spacing w:val="-28"/>
                <w:w w:val="105"/>
                <w:sz w:val="24"/>
              </w:rPr>
              <w:t xml:space="preserve"> </w:t>
            </w:r>
            <w:r>
              <w:rPr>
                <w:rFonts w:ascii="Arial" w:hAnsi="Arial"/>
                <w:b/>
                <w:w w:val="105"/>
                <w:sz w:val="24"/>
              </w:rPr>
              <w:t>the Alzheimer's</w:t>
            </w:r>
            <w:r>
              <w:rPr>
                <w:rFonts w:ascii="Arial" w:hAnsi="Arial"/>
                <w:b/>
                <w:spacing w:val="9"/>
                <w:w w:val="105"/>
                <w:sz w:val="24"/>
              </w:rPr>
              <w:t xml:space="preserve"> </w:t>
            </w:r>
            <w:r>
              <w:rPr>
                <w:rFonts w:ascii="Arial" w:hAnsi="Arial"/>
                <w:b/>
                <w:w w:val="105"/>
                <w:sz w:val="24"/>
              </w:rPr>
              <w:t>Type</w:t>
            </w:r>
          </w:p>
          <w:p w:rsidR="00E675F0" w:rsidRDefault="00E675F0" w:rsidP="003048D3">
            <w:pPr>
              <w:pStyle w:val="TableParagraph"/>
              <w:numPr>
                <w:ilvl w:val="1"/>
                <w:numId w:val="61"/>
              </w:numPr>
              <w:tabs>
                <w:tab w:val="left" w:pos="946"/>
              </w:tabs>
              <w:spacing w:before="172"/>
              <w:ind w:hanging="305"/>
              <w:rPr>
                <w:sz w:val="20"/>
              </w:rPr>
            </w:pPr>
            <w:r>
              <w:rPr>
                <w:w w:val="105"/>
                <w:sz w:val="20"/>
              </w:rPr>
              <w:t>The development of multiple cognitive deficits manifested by</w:t>
            </w:r>
            <w:r>
              <w:rPr>
                <w:spacing w:val="39"/>
                <w:w w:val="105"/>
                <w:sz w:val="20"/>
              </w:rPr>
              <w:t xml:space="preserve"> </w:t>
            </w:r>
            <w:r>
              <w:rPr>
                <w:w w:val="105"/>
                <w:sz w:val="20"/>
              </w:rPr>
              <w:t>both</w:t>
            </w:r>
          </w:p>
          <w:p w:rsidR="00E675F0" w:rsidRDefault="00E675F0" w:rsidP="003048D3">
            <w:pPr>
              <w:pStyle w:val="TableParagraph"/>
              <w:numPr>
                <w:ilvl w:val="2"/>
                <w:numId w:val="61"/>
              </w:numPr>
              <w:tabs>
                <w:tab w:val="left" w:pos="1382"/>
                <w:tab w:val="left" w:pos="1383"/>
              </w:tabs>
              <w:spacing w:before="73" w:line="256" w:lineRule="auto"/>
              <w:ind w:right="238"/>
              <w:rPr>
                <w:sz w:val="18"/>
              </w:rPr>
            </w:pPr>
            <w:r>
              <w:rPr>
                <w:w w:val="105"/>
                <w:sz w:val="20"/>
              </w:rPr>
              <w:t>memory impairment (impaired ability to learn new information or to recall previously learned</w:t>
            </w:r>
            <w:r>
              <w:rPr>
                <w:spacing w:val="8"/>
                <w:w w:val="105"/>
                <w:sz w:val="20"/>
              </w:rPr>
              <w:t xml:space="preserve"> </w:t>
            </w:r>
            <w:r>
              <w:rPr>
                <w:w w:val="105"/>
                <w:sz w:val="20"/>
              </w:rPr>
              <w:t>information)</w:t>
            </w:r>
          </w:p>
          <w:p w:rsidR="00E675F0" w:rsidRDefault="00E675F0" w:rsidP="003048D3">
            <w:pPr>
              <w:pStyle w:val="TableParagraph"/>
              <w:numPr>
                <w:ilvl w:val="2"/>
                <w:numId w:val="61"/>
              </w:numPr>
              <w:tabs>
                <w:tab w:val="left" w:pos="1378"/>
              </w:tabs>
              <w:spacing w:line="223" w:lineRule="exact"/>
              <w:ind w:left="1377" w:hanging="426"/>
              <w:rPr>
                <w:sz w:val="20"/>
              </w:rPr>
            </w:pPr>
            <w:r>
              <w:rPr>
                <w:w w:val="105"/>
                <w:sz w:val="20"/>
              </w:rPr>
              <w:t>one (or more) of the following cognitive</w:t>
            </w:r>
            <w:r>
              <w:rPr>
                <w:spacing w:val="-4"/>
                <w:w w:val="105"/>
                <w:sz w:val="20"/>
              </w:rPr>
              <w:t xml:space="preserve"> </w:t>
            </w:r>
            <w:r>
              <w:rPr>
                <w:w w:val="105"/>
                <w:sz w:val="20"/>
              </w:rPr>
              <w:t>disturbances:</w:t>
            </w:r>
          </w:p>
          <w:p w:rsidR="00E675F0" w:rsidRDefault="00E675F0" w:rsidP="003048D3">
            <w:pPr>
              <w:pStyle w:val="TableParagraph"/>
              <w:numPr>
                <w:ilvl w:val="3"/>
                <w:numId w:val="61"/>
              </w:numPr>
              <w:tabs>
                <w:tab w:val="left" w:pos="1796"/>
              </w:tabs>
              <w:spacing w:before="72"/>
              <w:ind w:hanging="420"/>
              <w:rPr>
                <w:sz w:val="20"/>
              </w:rPr>
            </w:pPr>
            <w:r>
              <w:rPr>
                <w:w w:val="105"/>
                <w:sz w:val="20"/>
              </w:rPr>
              <w:t>aphasia (language</w:t>
            </w:r>
            <w:r>
              <w:rPr>
                <w:spacing w:val="35"/>
                <w:w w:val="105"/>
                <w:sz w:val="20"/>
              </w:rPr>
              <w:t xml:space="preserve"> </w:t>
            </w:r>
            <w:r>
              <w:rPr>
                <w:w w:val="105"/>
                <w:sz w:val="20"/>
              </w:rPr>
              <w:t>disturbance)</w:t>
            </w:r>
          </w:p>
          <w:p w:rsidR="00E675F0" w:rsidRDefault="00E675F0" w:rsidP="003048D3">
            <w:pPr>
              <w:pStyle w:val="TableParagraph"/>
              <w:numPr>
                <w:ilvl w:val="3"/>
                <w:numId w:val="61"/>
              </w:numPr>
              <w:tabs>
                <w:tab w:val="left" w:pos="1811"/>
              </w:tabs>
              <w:spacing w:before="6" w:line="252" w:lineRule="auto"/>
              <w:ind w:left="1816" w:right="236" w:hanging="445"/>
              <w:rPr>
                <w:sz w:val="20"/>
              </w:rPr>
            </w:pPr>
            <w:r>
              <w:rPr>
                <w:w w:val="105"/>
                <w:sz w:val="20"/>
              </w:rPr>
              <w:t>apraxia (impaired ability to carry out motor activities despite intact motor</w:t>
            </w:r>
            <w:r>
              <w:rPr>
                <w:spacing w:val="16"/>
                <w:w w:val="105"/>
                <w:sz w:val="20"/>
              </w:rPr>
              <w:t xml:space="preserve"> </w:t>
            </w:r>
            <w:r>
              <w:rPr>
                <w:w w:val="105"/>
                <w:sz w:val="20"/>
              </w:rPr>
              <w:t>function)</w:t>
            </w:r>
          </w:p>
          <w:p w:rsidR="00E675F0" w:rsidRDefault="00E675F0" w:rsidP="003048D3">
            <w:pPr>
              <w:pStyle w:val="TableParagraph"/>
              <w:numPr>
                <w:ilvl w:val="3"/>
                <w:numId w:val="61"/>
              </w:numPr>
              <w:tabs>
                <w:tab w:val="left" w:pos="1796"/>
              </w:tabs>
              <w:spacing w:before="3" w:line="252" w:lineRule="auto"/>
              <w:ind w:left="1793" w:right="237" w:hanging="417"/>
              <w:rPr>
                <w:sz w:val="20"/>
              </w:rPr>
            </w:pPr>
            <w:r>
              <w:rPr>
                <w:w w:val="105"/>
                <w:sz w:val="20"/>
              </w:rPr>
              <w:t>agnosia (failure to recognize or identify objects despite intact sensory</w:t>
            </w:r>
            <w:r>
              <w:rPr>
                <w:spacing w:val="1"/>
                <w:w w:val="105"/>
                <w:sz w:val="20"/>
              </w:rPr>
              <w:t xml:space="preserve"> </w:t>
            </w:r>
            <w:r>
              <w:rPr>
                <w:w w:val="105"/>
                <w:sz w:val="20"/>
              </w:rPr>
              <w:t>function)</w:t>
            </w:r>
          </w:p>
          <w:p w:rsidR="00E675F0" w:rsidRDefault="00E675F0" w:rsidP="003048D3">
            <w:pPr>
              <w:pStyle w:val="TableParagraph"/>
              <w:numPr>
                <w:ilvl w:val="3"/>
                <w:numId w:val="61"/>
              </w:numPr>
              <w:tabs>
                <w:tab w:val="left" w:pos="1811"/>
              </w:tabs>
              <w:spacing w:line="256" w:lineRule="auto"/>
              <w:ind w:left="1816" w:right="230" w:hanging="440"/>
              <w:rPr>
                <w:sz w:val="20"/>
              </w:rPr>
            </w:pPr>
            <w:r>
              <w:rPr>
                <w:w w:val="105"/>
                <w:sz w:val="20"/>
              </w:rPr>
              <w:t>disturbance in executive functioning (i.e., planning, organiz­ ing, sequencing,</w:t>
            </w:r>
            <w:r>
              <w:rPr>
                <w:spacing w:val="23"/>
                <w:w w:val="105"/>
                <w:sz w:val="20"/>
              </w:rPr>
              <w:t xml:space="preserve"> </w:t>
            </w:r>
            <w:r>
              <w:rPr>
                <w:w w:val="105"/>
                <w:sz w:val="20"/>
              </w:rPr>
              <w:t>abstracting)</w:t>
            </w:r>
          </w:p>
          <w:p w:rsidR="00E675F0" w:rsidRDefault="00E675F0" w:rsidP="003048D3">
            <w:pPr>
              <w:pStyle w:val="TableParagraph"/>
              <w:numPr>
                <w:ilvl w:val="1"/>
                <w:numId w:val="61"/>
              </w:numPr>
              <w:tabs>
                <w:tab w:val="left" w:pos="955"/>
              </w:tabs>
              <w:spacing w:before="168" w:line="256" w:lineRule="auto"/>
              <w:ind w:left="955" w:right="223" w:hanging="297"/>
              <w:jc w:val="both"/>
              <w:rPr>
                <w:sz w:val="20"/>
              </w:rPr>
            </w:pPr>
            <w:r>
              <w:rPr>
                <w:w w:val="105"/>
                <w:sz w:val="20"/>
              </w:rPr>
              <w:t>The cognitive deficits in Criteria Al and A2 each cause significant impairment in social or occupational functioning and represent a significant</w:t>
            </w:r>
            <w:r>
              <w:rPr>
                <w:spacing w:val="14"/>
                <w:w w:val="105"/>
                <w:sz w:val="20"/>
              </w:rPr>
              <w:t xml:space="preserve"> </w:t>
            </w:r>
            <w:r>
              <w:rPr>
                <w:w w:val="105"/>
                <w:sz w:val="20"/>
              </w:rPr>
              <w:t>decline</w:t>
            </w:r>
            <w:r>
              <w:rPr>
                <w:spacing w:val="8"/>
                <w:w w:val="105"/>
                <w:sz w:val="20"/>
              </w:rPr>
              <w:t xml:space="preserve"> </w:t>
            </w:r>
            <w:r>
              <w:rPr>
                <w:w w:val="105"/>
                <w:sz w:val="20"/>
              </w:rPr>
              <w:t>from</w:t>
            </w:r>
            <w:r>
              <w:rPr>
                <w:spacing w:val="13"/>
                <w:w w:val="105"/>
                <w:sz w:val="20"/>
              </w:rPr>
              <w:t xml:space="preserve"> </w:t>
            </w:r>
            <w:r>
              <w:rPr>
                <w:w w:val="105"/>
                <w:sz w:val="20"/>
              </w:rPr>
              <w:t>a</w:t>
            </w:r>
            <w:r>
              <w:rPr>
                <w:spacing w:val="15"/>
                <w:w w:val="105"/>
                <w:sz w:val="20"/>
              </w:rPr>
              <w:t xml:space="preserve"> </w:t>
            </w:r>
            <w:r>
              <w:rPr>
                <w:w w:val="105"/>
                <w:sz w:val="20"/>
              </w:rPr>
              <w:t>previous</w:t>
            </w:r>
            <w:r>
              <w:rPr>
                <w:spacing w:val="16"/>
                <w:w w:val="105"/>
                <w:sz w:val="20"/>
              </w:rPr>
              <w:t xml:space="preserve"> </w:t>
            </w:r>
            <w:r>
              <w:rPr>
                <w:w w:val="105"/>
                <w:sz w:val="20"/>
              </w:rPr>
              <w:t>level</w:t>
            </w:r>
            <w:r>
              <w:rPr>
                <w:spacing w:val="11"/>
                <w:w w:val="105"/>
                <w:sz w:val="20"/>
              </w:rPr>
              <w:t xml:space="preserve"> </w:t>
            </w:r>
            <w:r>
              <w:rPr>
                <w:w w:val="105"/>
                <w:sz w:val="20"/>
              </w:rPr>
              <w:t>of</w:t>
            </w:r>
            <w:r>
              <w:rPr>
                <w:spacing w:val="7"/>
                <w:w w:val="105"/>
                <w:sz w:val="20"/>
              </w:rPr>
              <w:t xml:space="preserve"> </w:t>
            </w:r>
            <w:r>
              <w:rPr>
                <w:w w:val="105"/>
                <w:sz w:val="20"/>
              </w:rPr>
              <w:t>functioning.</w:t>
            </w:r>
          </w:p>
          <w:p w:rsidR="00E675F0" w:rsidRDefault="00E675F0" w:rsidP="003048D3">
            <w:pPr>
              <w:pStyle w:val="TableParagraph"/>
              <w:numPr>
                <w:ilvl w:val="1"/>
                <w:numId w:val="61"/>
              </w:numPr>
              <w:tabs>
                <w:tab w:val="left" w:pos="951"/>
              </w:tabs>
              <w:spacing w:before="180" w:line="261" w:lineRule="auto"/>
              <w:ind w:left="959" w:right="230" w:hanging="308"/>
              <w:jc w:val="both"/>
              <w:rPr>
                <w:sz w:val="18"/>
              </w:rPr>
            </w:pPr>
            <w:r>
              <w:rPr>
                <w:w w:val="105"/>
                <w:sz w:val="20"/>
              </w:rPr>
              <w:t>The course is characterized by gradual onset and continuing cognitive decline.</w:t>
            </w:r>
          </w:p>
          <w:p w:rsidR="00E675F0" w:rsidRDefault="00E675F0" w:rsidP="003048D3">
            <w:pPr>
              <w:pStyle w:val="TableParagraph"/>
              <w:numPr>
                <w:ilvl w:val="1"/>
                <w:numId w:val="61"/>
              </w:numPr>
              <w:tabs>
                <w:tab w:val="left" w:pos="951"/>
              </w:tabs>
              <w:spacing w:before="167" w:line="256" w:lineRule="auto"/>
              <w:ind w:left="953" w:right="220" w:hanging="299"/>
              <w:jc w:val="both"/>
              <w:rPr>
                <w:sz w:val="20"/>
              </w:rPr>
            </w:pPr>
            <w:r>
              <w:rPr>
                <w:w w:val="105"/>
                <w:sz w:val="20"/>
              </w:rPr>
              <w:t>The cognitive deficits in Criteria Al and A2 are not due to any of the following:</w:t>
            </w:r>
          </w:p>
          <w:p w:rsidR="00E675F0" w:rsidRDefault="00E675F0" w:rsidP="003048D3">
            <w:pPr>
              <w:pStyle w:val="TableParagraph"/>
              <w:numPr>
                <w:ilvl w:val="2"/>
                <w:numId w:val="61"/>
              </w:numPr>
              <w:tabs>
                <w:tab w:val="left" w:pos="1383"/>
              </w:tabs>
              <w:spacing w:before="61" w:line="256" w:lineRule="auto"/>
              <w:ind w:right="233"/>
              <w:jc w:val="both"/>
              <w:rPr>
                <w:sz w:val="18"/>
              </w:rPr>
            </w:pPr>
            <w:r>
              <w:rPr>
                <w:w w:val="105"/>
                <w:sz w:val="20"/>
              </w:rPr>
              <w:t>other central nervous system conditions that cause progressive deficits in memory and cognition (e.g., cerebrovascular disease, Parkinson's disease, Huntington's disease, subdural hematoma, normal-pressure hydrocephalus, brain</w:t>
            </w:r>
            <w:r>
              <w:rPr>
                <w:spacing w:val="23"/>
                <w:w w:val="105"/>
                <w:sz w:val="20"/>
              </w:rPr>
              <w:t xml:space="preserve"> </w:t>
            </w:r>
            <w:r>
              <w:rPr>
                <w:w w:val="105"/>
                <w:sz w:val="20"/>
              </w:rPr>
              <w:t>tumor)</w:t>
            </w:r>
          </w:p>
          <w:p w:rsidR="00E675F0" w:rsidRDefault="00E675F0" w:rsidP="00A330E1">
            <w:pPr>
              <w:pStyle w:val="TableParagraph"/>
              <w:spacing w:line="226" w:lineRule="exact"/>
              <w:ind w:right="209"/>
              <w:jc w:val="right"/>
              <w:rPr>
                <w:i/>
                <w:sz w:val="20"/>
              </w:rPr>
            </w:pPr>
            <w:r>
              <w:rPr>
                <w:i/>
                <w:w w:val="110"/>
                <w:sz w:val="20"/>
              </w:rPr>
              <w:t>(continued)</w:t>
            </w:r>
          </w:p>
        </w:tc>
      </w:tr>
    </w:tbl>
    <w:p w:rsidR="00E675F0" w:rsidRDefault="00E675F0" w:rsidP="00E675F0">
      <w:pPr>
        <w:spacing w:line="226" w:lineRule="exact"/>
        <w:jc w:val="right"/>
        <w:rPr>
          <w:sz w:val="20"/>
        </w:rPr>
        <w:sectPr w:rsidR="00E675F0">
          <w:pgSz w:w="8960" w:h="14260"/>
          <w:pgMar w:top="1400" w:right="600" w:bottom="280" w:left="600" w:header="690" w:footer="0" w:gutter="0"/>
          <w:cols w:space="720"/>
        </w:sectPr>
      </w:pPr>
    </w:p>
    <w:p w:rsidR="00E675F0" w:rsidRDefault="00E675F0" w:rsidP="00E675F0">
      <w:pPr>
        <w:pStyle w:val="BodyText"/>
        <w:spacing w:before="2"/>
        <w:rPr>
          <w:sz w:val="10"/>
        </w:rPr>
      </w:pPr>
    </w:p>
    <w:tbl>
      <w:tblPr>
        <w:tblW w:w="0" w:type="auto"/>
        <w:tblInd w:w="244"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7328"/>
      </w:tblGrid>
      <w:tr w:rsidR="00E675F0" w:rsidTr="00A330E1">
        <w:trPr>
          <w:trHeight w:val="9153"/>
        </w:trPr>
        <w:tc>
          <w:tcPr>
            <w:tcW w:w="7328" w:type="dxa"/>
          </w:tcPr>
          <w:p w:rsidR="00E675F0" w:rsidRDefault="00E675F0" w:rsidP="00A330E1">
            <w:pPr>
              <w:pStyle w:val="TableParagraph"/>
              <w:spacing w:before="206"/>
              <w:ind w:left="273"/>
              <w:rPr>
                <w:rFonts w:ascii="Arial"/>
                <w:b/>
              </w:rPr>
            </w:pPr>
            <w:bookmarkStart w:id="91" w:name="_bookmark74"/>
            <w:bookmarkEnd w:id="91"/>
            <w:r>
              <w:rPr>
                <w:rFonts w:ascii="Arial"/>
                <w:b/>
                <w:w w:val="105"/>
              </w:rPr>
              <w:t>D Diagnostic criteria for Dementia of the Alzheimer's Type</w:t>
            </w:r>
          </w:p>
          <w:p w:rsidR="00E675F0" w:rsidRDefault="00E675F0" w:rsidP="00A330E1">
            <w:pPr>
              <w:pStyle w:val="TableParagraph"/>
              <w:spacing w:before="11"/>
              <w:ind w:left="589"/>
              <w:rPr>
                <w:rFonts w:ascii="Arial"/>
                <w:i/>
                <w:sz w:val="21"/>
              </w:rPr>
            </w:pPr>
            <w:r>
              <w:rPr>
                <w:rFonts w:ascii="Arial"/>
                <w:i/>
                <w:sz w:val="21"/>
              </w:rPr>
              <w:t>(continued)</w:t>
            </w:r>
          </w:p>
          <w:p w:rsidR="00E675F0" w:rsidRDefault="00E675F0" w:rsidP="00A330E1">
            <w:pPr>
              <w:pStyle w:val="TableParagraph"/>
              <w:spacing w:before="3"/>
              <w:rPr>
                <w:sz w:val="18"/>
              </w:rPr>
            </w:pPr>
          </w:p>
          <w:p w:rsidR="00E675F0" w:rsidRDefault="00E675F0" w:rsidP="003048D3">
            <w:pPr>
              <w:pStyle w:val="TableParagraph"/>
              <w:numPr>
                <w:ilvl w:val="0"/>
                <w:numId w:val="4"/>
              </w:numPr>
              <w:tabs>
                <w:tab w:val="left" w:pos="1378"/>
              </w:tabs>
              <w:spacing w:before="1" w:line="256" w:lineRule="auto"/>
              <w:ind w:right="218" w:hanging="425"/>
              <w:jc w:val="both"/>
              <w:rPr>
                <w:sz w:val="20"/>
              </w:rPr>
            </w:pPr>
            <w:r>
              <w:rPr>
                <w:w w:val="105"/>
                <w:sz w:val="20"/>
              </w:rPr>
              <w:t xml:space="preserve">systemic conditions that are known to cause dementia (e.g., hypothyroidism, vitamin </w:t>
            </w:r>
            <w:r>
              <w:rPr>
                <w:w w:val="105"/>
                <w:sz w:val="16"/>
              </w:rPr>
              <w:t xml:space="preserve">B12 </w:t>
            </w:r>
            <w:r>
              <w:rPr>
                <w:w w:val="105"/>
                <w:sz w:val="20"/>
              </w:rPr>
              <w:t>or folic acid deficiency, niacin defi­ ciency, hypercalcemia, neurosyphilis, HIV</w:t>
            </w:r>
            <w:r>
              <w:rPr>
                <w:spacing w:val="18"/>
                <w:w w:val="105"/>
                <w:sz w:val="20"/>
              </w:rPr>
              <w:t xml:space="preserve"> </w:t>
            </w:r>
            <w:r>
              <w:rPr>
                <w:w w:val="105"/>
                <w:sz w:val="20"/>
              </w:rPr>
              <w:t>infection)</w:t>
            </w:r>
          </w:p>
          <w:p w:rsidR="00E675F0" w:rsidRDefault="00E675F0" w:rsidP="003048D3">
            <w:pPr>
              <w:pStyle w:val="TableParagraph"/>
              <w:numPr>
                <w:ilvl w:val="0"/>
                <w:numId w:val="4"/>
              </w:numPr>
              <w:tabs>
                <w:tab w:val="left" w:pos="1378"/>
              </w:tabs>
              <w:spacing w:line="227" w:lineRule="exact"/>
              <w:ind w:left="1377" w:hanging="418"/>
              <w:jc w:val="both"/>
              <w:rPr>
                <w:sz w:val="20"/>
              </w:rPr>
            </w:pPr>
            <w:r>
              <w:rPr>
                <w:w w:val="110"/>
                <w:sz w:val="20"/>
              </w:rPr>
              <w:t>substance-induced</w:t>
            </w:r>
            <w:r>
              <w:rPr>
                <w:spacing w:val="-12"/>
                <w:w w:val="110"/>
                <w:sz w:val="20"/>
              </w:rPr>
              <w:t xml:space="preserve"> </w:t>
            </w:r>
            <w:r>
              <w:rPr>
                <w:w w:val="110"/>
                <w:sz w:val="20"/>
              </w:rPr>
              <w:t>conditions</w:t>
            </w:r>
          </w:p>
          <w:p w:rsidR="00E675F0" w:rsidRDefault="00E675F0" w:rsidP="00A330E1">
            <w:pPr>
              <w:pStyle w:val="TableParagraph"/>
              <w:spacing w:before="197"/>
              <w:ind w:left="661"/>
              <w:rPr>
                <w:sz w:val="20"/>
              </w:rPr>
            </w:pPr>
            <w:r>
              <w:rPr>
                <w:w w:val="105"/>
                <w:sz w:val="20"/>
              </w:rPr>
              <w:t>E. The deficits do not occur exclusively during the course of a delirium.</w:t>
            </w:r>
          </w:p>
          <w:p w:rsidR="00E675F0" w:rsidRDefault="00E675F0" w:rsidP="00A330E1">
            <w:pPr>
              <w:pStyle w:val="TableParagraph"/>
              <w:spacing w:before="7"/>
              <w:rPr>
                <w:sz w:val="17"/>
              </w:rPr>
            </w:pPr>
          </w:p>
          <w:p w:rsidR="00E675F0" w:rsidRDefault="00E675F0" w:rsidP="00A330E1">
            <w:pPr>
              <w:pStyle w:val="TableParagraph"/>
              <w:spacing w:before="1" w:line="249" w:lineRule="auto"/>
              <w:ind w:left="955" w:right="357" w:hanging="299"/>
              <w:rPr>
                <w:sz w:val="20"/>
              </w:rPr>
            </w:pPr>
            <w:r>
              <w:rPr>
                <w:w w:val="105"/>
                <w:sz w:val="20"/>
              </w:rPr>
              <w:t>F. The disturbance is not better accounted for by another Axis I disorder (e.g., Major Depressive Disorder, Schizophrenia).</w:t>
            </w:r>
          </w:p>
          <w:p w:rsidR="00E675F0" w:rsidRDefault="00E675F0" w:rsidP="00A330E1">
            <w:pPr>
              <w:pStyle w:val="TableParagraph"/>
              <w:spacing w:before="151"/>
              <w:ind w:left="405"/>
              <w:jc w:val="both"/>
              <w:rPr>
                <w:sz w:val="20"/>
              </w:rPr>
            </w:pPr>
            <w:r>
              <w:rPr>
                <w:i/>
                <w:sz w:val="21"/>
              </w:rPr>
              <w:t xml:space="preserve">Code </w:t>
            </w:r>
            <w:r>
              <w:rPr>
                <w:sz w:val="20"/>
              </w:rPr>
              <w:t>based on type of onset and predominant features:</w:t>
            </w:r>
          </w:p>
          <w:p w:rsidR="00E675F0" w:rsidRDefault="00E675F0" w:rsidP="00A330E1">
            <w:pPr>
              <w:pStyle w:val="TableParagraph"/>
              <w:spacing w:before="8"/>
              <w:ind w:left="648"/>
              <w:jc w:val="both"/>
              <w:rPr>
                <w:sz w:val="20"/>
              </w:rPr>
            </w:pPr>
            <w:r>
              <w:rPr>
                <w:b/>
                <w:w w:val="110"/>
                <w:sz w:val="20"/>
              </w:rPr>
              <w:t xml:space="preserve">With Early Onset: </w:t>
            </w:r>
            <w:r>
              <w:rPr>
                <w:w w:val="110"/>
                <w:sz w:val="20"/>
              </w:rPr>
              <w:t>if onset is at age 65 years or below</w:t>
            </w:r>
          </w:p>
          <w:p w:rsidR="00E675F0" w:rsidRDefault="00E675F0" w:rsidP="003048D3">
            <w:pPr>
              <w:pStyle w:val="TableParagraph"/>
              <w:numPr>
                <w:ilvl w:val="1"/>
                <w:numId w:val="60"/>
              </w:numPr>
              <w:tabs>
                <w:tab w:val="left" w:pos="1554"/>
              </w:tabs>
              <w:spacing w:before="15"/>
              <w:ind w:hanging="750"/>
              <w:jc w:val="both"/>
              <w:rPr>
                <w:sz w:val="20"/>
              </w:rPr>
            </w:pPr>
            <w:r>
              <w:rPr>
                <w:b/>
                <w:w w:val="105"/>
                <w:sz w:val="20"/>
              </w:rPr>
              <w:t xml:space="preserve">With Delirium: </w:t>
            </w:r>
            <w:r>
              <w:rPr>
                <w:w w:val="105"/>
                <w:sz w:val="20"/>
              </w:rPr>
              <w:t>if delirium is superimposed on the dementia</w:t>
            </w:r>
          </w:p>
          <w:p w:rsidR="00E675F0" w:rsidRDefault="00E675F0" w:rsidP="003048D3">
            <w:pPr>
              <w:pStyle w:val="TableParagraph"/>
              <w:numPr>
                <w:ilvl w:val="1"/>
                <w:numId w:val="60"/>
              </w:numPr>
              <w:tabs>
                <w:tab w:val="left" w:pos="1559"/>
              </w:tabs>
              <w:spacing w:before="11"/>
              <w:ind w:left="1558" w:hanging="755"/>
              <w:jc w:val="both"/>
              <w:rPr>
                <w:sz w:val="20"/>
              </w:rPr>
            </w:pPr>
            <w:r>
              <w:rPr>
                <w:b/>
                <w:w w:val="105"/>
                <w:sz w:val="20"/>
              </w:rPr>
              <w:t xml:space="preserve">With Delusions: </w:t>
            </w:r>
            <w:r>
              <w:rPr>
                <w:w w:val="105"/>
                <w:sz w:val="20"/>
              </w:rPr>
              <w:t>if delusions are the predominant</w:t>
            </w:r>
            <w:r>
              <w:rPr>
                <w:spacing w:val="50"/>
                <w:w w:val="105"/>
                <w:sz w:val="20"/>
              </w:rPr>
              <w:t xml:space="preserve"> </w:t>
            </w:r>
            <w:r>
              <w:rPr>
                <w:w w:val="105"/>
                <w:sz w:val="20"/>
              </w:rPr>
              <w:t>feature</w:t>
            </w:r>
          </w:p>
          <w:p w:rsidR="00E675F0" w:rsidRDefault="00E675F0" w:rsidP="003048D3">
            <w:pPr>
              <w:pStyle w:val="TableParagraph"/>
              <w:numPr>
                <w:ilvl w:val="1"/>
                <w:numId w:val="60"/>
              </w:numPr>
              <w:tabs>
                <w:tab w:val="left" w:pos="1554"/>
              </w:tabs>
              <w:spacing w:before="15" w:line="254" w:lineRule="auto"/>
              <w:ind w:left="956" w:right="224" w:hanging="152"/>
              <w:jc w:val="both"/>
              <w:rPr>
                <w:sz w:val="20"/>
              </w:rPr>
            </w:pPr>
            <w:r>
              <w:rPr>
                <w:b/>
                <w:w w:val="105"/>
                <w:sz w:val="20"/>
              </w:rPr>
              <w:t xml:space="preserve">With Depressed Mood: </w:t>
            </w:r>
            <w:r>
              <w:rPr>
                <w:w w:val="105"/>
                <w:sz w:val="20"/>
              </w:rPr>
              <w:t>if depressed mood (including presen- tations that meet full symptom criteria for a Major Depressive Episode) is the predominant feature. A separate diagnosis of Mood Disorder Due to a General Medical Condition is not</w:t>
            </w:r>
            <w:r>
              <w:rPr>
                <w:spacing w:val="-21"/>
                <w:w w:val="105"/>
                <w:sz w:val="20"/>
              </w:rPr>
              <w:t xml:space="preserve"> </w:t>
            </w:r>
            <w:r>
              <w:rPr>
                <w:w w:val="105"/>
                <w:sz w:val="20"/>
              </w:rPr>
              <w:t>given.</w:t>
            </w:r>
          </w:p>
          <w:p w:rsidR="00E675F0" w:rsidRDefault="00E675F0" w:rsidP="00A330E1">
            <w:pPr>
              <w:pStyle w:val="TableParagraph"/>
              <w:spacing w:before="1" w:line="256" w:lineRule="auto"/>
              <w:ind w:left="951" w:right="511" w:hanging="143"/>
              <w:jc w:val="both"/>
              <w:rPr>
                <w:sz w:val="20"/>
              </w:rPr>
            </w:pPr>
            <w:r>
              <w:rPr>
                <w:b/>
                <w:w w:val="105"/>
                <w:sz w:val="20"/>
              </w:rPr>
              <w:t xml:space="preserve">290.10 Uncomplicated: </w:t>
            </w:r>
            <w:r>
              <w:rPr>
                <w:w w:val="105"/>
                <w:sz w:val="20"/>
              </w:rPr>
              <w:t>if none of the above predominates in the current clinical presentation</w:t>
            </w:r>
          </w:p>
          <w:p w:rsidR="00E675F0" w:rsidRDefault="00E675F0" w:rsidP="00A330E1">
            <w:pPr>
              <w:pStyle w:val="TableParagraph"/>
              <w:spacing w:before="185"/>
              <w:ind w:left="653"/>
              <w:rPr>
                <w:sz w:val="20"/>
              </w:rPr>
            </w:pPr>
            <w:r>
              <w:rPr>
                <w:b/>
                <w:w w:val="105"/>
                <w:sz w:val="20"/>
              </w:rPr>
              <w:t xml:space="preserve">With Late Onset: </w:t>
            </w:r>
            <w:r>
              <w:rPr>
                <w:w w:val="105"/>
                <w:sz w:val="20"/>
              </w:rPr>
              <w:t>if onset is after age 65 years</w:t>
            </w:r>
          </w:p>
          <w:p w:rsidR="00E675F0" w:rsidRDefault="00E675F0" w:rsidP="00A330E1">
            <w:pPr>
              <w:pStyle w:val="TableParagraph"/>
              <w:tabs>
                <w:tab w:val="left" w:pos="1558"/>
              </w:tabs>
              <w:spacing w:before="10"/>
              <w:ind w:left="804"/>
              <w:rPr>
                <w:sz w:val="20"/>
              </w:rPr>
            </w:pPr>
            <w:r>
              <w:rPr>
                <w:b/>
                <w:w w:val="105"/>
                <w:sz w:val="20"/>
              </w:rPr>
              <w:t>290.3</w:t>
            </w:r>
            <w:r>
              <w:rPr>
                <w:b/>
                <w:w w:val="105"/>
                <w:sz w:val="20"/>
              </w:rPr>
              <w:tab/>
              <w:t xml:space="preserve">With Delirium: </w:t>
            </w:r>
            <w:r>
              <w:rPr>
                <w:w w:val="105"/>
                <w:sz w:val="20"/>
              </w:rPr>
              <w:t>if delirium is superimposed on the</w:t>
            </w:r>
            <w:r>
              <w:rPr>
                <w:spacing w:val="1"/>
                <w:w w:val="105"/>
                <w:sz w:val="20"/>
              </w:rPr>
              <w:t xml:space="preserve"> </w:t>
            </w:r>
            <w:r>
              <w:rPr>
                <w:w w:val="105"/>
                <w:sz w:val="20"/>
              </w:rPr>
              <w:t>dementia</w:t>
            </w:r>
          </w:p>
          <w:p w:rsidR="00E675F0" w:rsidRDefault="00E675F0" w:rsidP="003048D3">
            <w:pPr>
              <w:pStyle w:val="TableParagraph"/>
              <w:numPr>
                <w:ilvl w:val="1"/>
                <w:numId w:val="59"/>
              </w:numPr>
              <w:tabs>
                <w:tab w:val="left" w:pos="1559"/>
              </w:tabs>
              <w:spacing w:before="16"/>
              <w:ind w:hanging="755"/>
              <w:rPr>
                <w:sz w:val="20"/>
              </w:rPr>
            </w:pPr>
            <w:r>
              <w:rPr>
                <w:b/>
                <w:w w:val="105"/>
                <w:sz w:val="20"/>
              </w:rPr>
              <w:t xml:space="preserve">With Delusions: </w:t>
            </w:r>
            <w:r>
              <w:rPr>
                <w:w w:val="105"/>
                <w:sz w:val="20"/>
              </w:rPr>
              <w:t>if delusions are the predominant</w:t>
            </w:r>
            <w:r>
              <w:rPr>
                <w:spacing w:val="41"/>
                <w:w w:val="105"/>
                <w:sz w:val="20"/>
              </w:rPr>
              <w:t xml:space="preserve"> </w:t>
            </w:r>
            <w:r>
              <w:rPr>
                <w:w w:val="105"/>
                <w:sz w:val="20"/>
              </w:rPr>
              <w:t>feature</w:t>
            </w:r>
          </w:p>
          <w:p w:rsidR="00E675F0" w:rsidRDefault="00E675F0" w:rsidP="003048D3">
            <w:pPr>
              <w:pStyle w:val="TableParagraph"/>
              <w:numPr>
                <w:ilvl w:val="1"/>
                <w:numId w:val="59"/>
              </w:numPr>
              <w:tabs>
                <w:tab w:val="left" w:pos="1559"/>
              </w:tabs>
              <w:spacing w:before="10" w:line="252" w:lineRule="auto"/>
              <w:ind w:left="953" w:right="469" w:hanging="149"/>
              <w:rPr>
                <w:sz w:val="20"/>
              </w:rPr>
            </w:pPr>
            <w:r>
              <w:rPr>
                <w:b/>
                <w:w w:val="105"/>
                <w:sz w:val="20"/>
              </w:rPr>
              <w:t xml:space="preserve">With Depressed Mood: </w:t>
            </w:r>
            <w:r>
              <w:rPr>
                <w:w w:val="105"/>
                <w:sz w:val="20"/>
              </w:rPr>
              <w:t>if depressed mood (including pre- sentations that meet full symptom criteria for a Major Depressive Episode) is the predominant feature. A separate diagnosis of Mood Disorder Due to a General Medical Condition is not</w:t>
            </w:r>
            <w:r>
              <w:rPr>
                <w:spacing w:val="8"/>
                <w:w w:val="105"/>
                <w:sz w:val="20"/>
              </w:rPr>
              <w:t xml:space="preserve"> </w:t>
            </w:r>
            <w:r>
              <w:rPr>
                <w:w w:val="105"/>
                <w:sz w:val="20"/>
              </w:rPr>
              <w:t>given.</w:t>
            </w:r>
          </w:p>
          <w:p w:rsidR="00E675F0" w:rsidRDefault="00E675F0" w:rsidP="00A330E1">
            <w:pPr>
              <w:pStyle w:val="TableParagraph"/>
              <w:tabs>
                <w:tab w:val="left" w:pos="1555"/>
              </w:tabs>
              <w:spacing w:line="249" w:lineRule="auto"/>
              <w:ind w:left="956" w:right="568" w:hanging="147"/>
              <w:rPr>
                <w:sz w:val="20"/>
              </w:rPr>
            </w:pPr>
            <w:r>
              <w:rPr>
                <w:b/>
                <w:w w:val="105"/>
                <w:sz w:val="20"/>
              </w:rPr>
              <w:t>290.0</w:t>
            </w:r>
            <w:r>
              <w:rPr>
                <w:b/>
                <w:w w:val="105"/>
                <w:sz w:val="20"/>
              </w:rPr>
              <w:tab/>
              <w:t xml:space="preserve">Uncomplicated: </w:t>
            </w:r>
            <w:r>
              <w:rPr>
                <w:w w:val="105"/>
                <w:sz w:val="20"/>
              </w:rPr>
              <w:t>if none of the above predominates in the current clinical</w:t>
            </w:r>
            <w:r>
              <w:rPr>
                <w:spacing w:val="-4"/>
                <w:w w:val="105"/>
                <w:sz w:val="20"/>
              </w:rPr>
              <w:t xml:space="preserve"> </w:t>
            </w:r>
            <w:r>
              <w:rPr>
                <w:w w:val="105"/>
                <w:sz w:val="20"/>
              </w:rPr>
              <w:t>presentation</w:t>
            </w:r>
          </w:p>
          <w:p w:rsidR="00E675F0" w:rsidRDefault="00E675F0" w:rsidP="00A330E1">
            <w:pPr>
              <w:pStyle w:val="TableParagraph"/>
              <w:spacing w:before="147"/>
              <w:ind w:left="423"/>
              <w:jc w:val="both"/>
              <w:rPr>
                <w:sz w:val="20"/>
              </w:rPr>
            </w:pPr>
            <w:r>
              <w:rPr>
                <w:i/>
                <w:w w:val="95"/>
                <w:sz w:val="20"/>
              </w:rPr>
              <w:t xml:space="preserve">Specify </w:t>
            </w:r>
            <w:r>
              <w:rPr>
                <w:w w:val="95"/>
                <w:sz w:val="20"/>
              </w:rPr>
              <w:t>if:</w:t>
            </w:r>
          </w:p>
          <w:p w:rsidR="00E675F0" w:rsidRDefault="00E675F0" w:rsidP="00A330E1">
            <w:pPr>
              <w:pStyle w:val="TableParagraph"/>
              <w:spacing w:before="15"/>
              <w:ind w:left="653"/>
              <w:rPr>
                <w:b/>
                <w:sz w:val="20"/>
              </w:rPr>
            </w:pPr>
            <w:r>
              <w:rPr>
                <w:b/>
                <w:w w:val="110"/>
                <w:sz w:val="20"/>
              </w:rPr>
              <w:t>With Behavioral Disturbance</w:t>
            </w:r>
          </w:p>
          <w:p w:rsidR="00E675F0" w:rsidRDefault="00E675F0" w:rsidP="00A330E1">
            <w:pPr>
              <w:pStyle w:val="TableParagraph"/>
              <w:spacing w:before="154"/>
              <w:ind w:left="652"/>
              <w:rPr>
                <w:sz w:val="18"/>
              </w:rPr>
            </w:pPr>
            <w:r>
              <w:rPr>
                <w:rFonts w:ascii="Arial"/>
                <w:b/>
                <w:w w:val="110"/>
                <w:sz w:val="16"/>
              </w:rPr>
              <w:t xml:space="preserve">Coding </w:t>
            </w:r>
            <w:r>
              <w:rPr>
                <w:b/>
                <w:w w:val="110"/>
                <w:sz w:val="17"/>
              </w:rPr>
              <w:t xml:space="preserve">note: </w:t>
            </w:r>
            <w:r>
              <w:rPr>
                <w:w w:val="110"/>
                <w:sz w:val="18"/>
              </w:rPr>
              <w:t>Also code 331.0 Alzheimer's disease on Axis III.</w:t>
            </w:r>
          </w:p>
        </w:tc>
      </w:tr>
    </w:tbl>
    <w:p w:rsidR="00E675F0" w:rsidRDefault="00E675F0" w:rsidP="00E675F0">
      <w:pPr>
        <w:pStyle w:val="BodyText"/>
      </w:pPr>
    </w:p>
    <w:p w:rsidR="00E675F0" w:rsidRDefault="00E675F0" w:rsidP="00E675F0">
      <w:pPr>
        <w:pStyle w:val="BodyText"/>
        <w:spacing w:before="10"/>
        <w:rPr>
          <w:sz w:val="23"/>
        </w:rPr>
      </w:pPr>
    </w:p>
    <w:p w:rsidR="00E675F0" w:rsidRDefault="00E675F0" w:rsidP="00E675F0">
      <w:pPr>
        <w:tabs>
          <w:tab w:val="left" w:pos="1050"/>
        </w:tabs>
        <w:spacing w:before="92" w:line="297" w:lineRule="exact"/>
        <w:ind w:right="62"/>
        <w:jc w:val="center"/>
        <w:rPr>
          <w:rFonts w:ascii="Arial"/>
          <w:b/>
          <w:sz w:val="26"/>
        </w:rPr>
      </w:pPr>
      <w:r>
        <w:rPr>
          <w:noProof/>
        </w:rPr>
        <mc:AlternateContent>
          <mc:Choice Requires="wps">
            <w:drawing>
              <wp:anchor distT="0" distB="0" distL="114300" distR="114300" simplePos="0" relativeHeight="251699200" behindDoc="0" locked="0" layoutInCell="1" allowOverlap="1" wp14:anchorId="4FE5F451" wp14:editId="43DA9DE5">
                <wp:simplePos x="0" y="0"/>
                <wp:positionH relativeFrom="page">
                  <wp:posOffset>466090</wp:posOffset>
                </wp:positionH>
                <wp:positionV relativeFrom="paragraph">
                  <wp:posOffset>-339090</wp:posOffset>
                </wp:positionV>
                <wp:extent cx="4766310" cy="0"/>
                <wp:effectExtent l="0" t="12700" r="21590" b="12700"/>
                <wp:wrapNone/>
                <wp:docPr id="1466" name="Line 14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766310" cy="0"/>
                        </a:xfrm>
                        <a:prstGeom prst="line">
                          <a:avLst/>
                        </a:prstGeom>
                        <a:noFill/>
                        <a:ln w="366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03607F" id="Line 1422" o:spid="_x0000_s1026" style="position:absolute;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7pt,-26.7pt" to="412pt,-2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" strokeweight="1.0174mm">
                <o:lock v:ext="edit" shapetype="f"/>
                <w10:wrap anchorx="page"/>
              </v:line>
            </w:pict>
          </mc:Fallback>
        </mc:AlternateContent>
      </w:r>
      <w:r>
        <w:rPr>
          <w:rFonts w:ascii="Arial"/>
          <w:b/>
          <w:w w:val="105"/>
          <w:sz w:val="26"/>
        </w:rPr>
        <w:t>290.4x</w:t>
      </w:r>
      <w:r>
        <w:rPr>
          <w:rFonts w:ascii="Arial"/>
          <w:b/>
          <w:w w:val="105"/>
          <w:sz w:val="26"/>
        </w:rPr>
        <w:tab/>
        <w:t>Vascular</w:t>
      </w:r>
      <w:r>
        <w:rPr>
          <w:rFonts w:ascii="Arial"/>
          <w:b/>
          <w:spacing w:val="10"/>
          <w:w w:val="105"/>
          <w:sz w:val="26"/>
        </w:rPr>
        <w:t xml:space="preserve"> </w:t>
      </w:r>
      <w:r>
        <w:rPr>
          <w:rFonts w:ascii="Arial"/>
          <w:b/>
          <w:w w:val="105"/>
          <w:sz w:val="26"/>
        </w:rPr>
        <w:t>Dementia</w:t>
      </w:r>
    </w:p>
    <w:p w:rsidR="00E675F0" w:rsidRDefault="00E675F0" w:rsidP="00E675F0">
      <w:pPr>
        <w:spacing w:line="308" w:lineRule="exact"/>
        <w:ind w:left="1185" w:right="1189"/>
        <w:jc w:val="center"/>
        <w:rPr>
          <w:rFonts w:ascii="Arial"/>
          <w:b/>
          <w:sz w:val="26"/>
        </w:rPr>
      </w:pPr>
      <w:r>
        <w:rPr>
          <w:rFonts w:ascii="TimesNewRomanPS-BoldItalicMT"/>
          <w:b/>
          <w:i/>
          <w:sz w:val="27"/>
        </w:rPr>
        <w:t xml:space="preserve">(formerly </w:t>
      </w:r>
      <w:r>
        <w:rPr>
          <w:rFonts w:ascii="Arial"/>
          <w:b/>
          <w:sz w:val="26"/>
        </w:rPr>
        <w:t>Multi--Infarct Dementia)</w:t>
      </w:r>
    </w:p>
    <w:p w:rsidR="00E675F0" w:rsidRDefault="00E675F0" w:rsidP="00E675F0">
      <w:pPr>
        <w:pStyle w:val="BodyText"/>
        <w:spacing w:before="6"/>
        <w:rPr>
          <w:rFonts w:ascii="Arial"/>
          <w:b/>
          <w:sz w:val="26"/>
        </w:rPr>
      </w:pPr>
    </w:p>
    <w:p w:rsidR="00E675F0" w:rsidRDefault="00E675F0" w:rsidP="00E675F0">
      <w:pPr>
        <w:ind w:left="126"/>
        <w:jc w:val="both"/>
        <w:rPr>
          <w:rFonts w:ascii="TimesNewRomanPS-BoldItalicMT"/>
          <w:b/>
          <w:i/>
          <w:sz w:val="25"/>
        </w:rPr>
      </w:pPr>
      <w:r>
        <w:rPr>
          <w:rFonts w:ascii="TimesNewRomanPS-BoldItalicMT"/>
          <w:b/>
          <w:i/>
          <w:w w:val="115"/>
          <w:sz w:val="25"/>
        </w:rPr>
        <w:t>magnostic Features</w:t>
      </w:r>
    </w:p>
    <w:p w:rsidR="00E675F0" w:rsidRDefault="00E675F0" w:rsidP="00E675F0">
      <w:pPr>
        <w:pStyle w:val="BodyText"/>
        <w:spacing w:before="139" w:line="256" w:lineRule="auto"/>
        <w:ind w:left="151" w:right="125" w:hanging="10"/>
        <w:jc w:val="both"/>
      </w:pPr>
      <w:r>
        <w:rPr>
          <w:w w:val="105"/>
        </w:rPr>
        <w:t>The</w:t>
      </w:r>
      <w:r>
        <w:rPr>
          <w:spacing w:val="-17"/>
          <w:w w:val="105"/>
        </w:rPr>
        <w:t xml:space="preserve"> </w:t>
      </w:r>
      <w:r>
        <w:rPr>
          <w:w w:val="105"/>
        </w:rPr>
        <w:t>cognitive</w:t>
      </w:r>
      <w:r>
        <w:rPr>
          <w:spacing w:val="-14"/>
          <w:w w:val="105"/>
        </w:rPr>
        <w:t xml:space="preserve"> </w:t>
      </w:r>
      <w:r>
        <w:rPr>
          <w:w w:val="105"/>
        </w:rPr>
        <w:t>deficits</w:t>
      </w:r>
      <w:r>
        <w:rPr>
          <w:spacing w:val="-11"/>
          <w:w w:val="105"/>
        </w:rPr>
        <w:t xml:space="preserve"> </w:t>
      </w:r>
      <w:r>
        <w:rPr>
          <w:w w:val="105"/>
        </w:rPr>
        <w:t>(Criterion</w:t>
      </w:r>
      <w:r>
        <w:rPr>
          <w:spacing w:val="-6"/>
          <w:w w:val="105"/>
        </w:rPr>
        <w:t xml:space="preserve"> </w:t>
      </w:r>
      <w:r>
        <w:rPr>
          <w:w w:val="105"/>
        </w:rPr>
        <w:t>A)</w:t>
      </w:r>
      <w:r>
        <w:rPr>
          <w:spacing w:val="-19"/>
          <w:w w:val="105"/>
        </w:rPr>
        <w:t xml:space="preserve"> </w:t>
      </w:r>
      <w:r>
        <w:rPr>
          <w:w w:val="105"/>
        </w:rPr>
        <w:t>and</w:t>
      </w:r>
      <w:r>
        <w:rPr>
          <w:spacing w:val="-14"/>
          <w:w w:val="105"/>
        </w:rPr>
        <w:t xml:space="preserve"> </w:t>
      </w:r>
      <w:r>
        <w:rPr>
          <w:w w:val="105"/>
        </w:rPr>
        <w:t>the</w:t>
      </w:r>
      <w:r>
        <w:rPr>
          <w:spacing w:val="-13"/>
          <w:w w:val="105"/>
        </w:rPr>
        <w:t xml:space="preserve"> </w:t>
      </w:r>
      <w:r>
        <w:rPr>
          <w:w w:val="105"/>
        </w:rPr>
        <w:t>required</w:t>
      </w:r>
      <w:r>
        <w:rPr>
          <w:spacing w:val="-6"/>
          <w:w w:val="105"/>
        </w:rPr>
        <w:t xml:space="preserve"> </w:t>
      </w:r>
      <w:r>
        <w:rPr>
          <w:w w:val="105"/>
        </w:rPr>
        <w:t>impairment</w:t>
      </w:r>
      <w:r>
        <w:rPr>
          <w:spacing w:val="-5"/>
          <w:w w:val="105"/>
        </w:rPr>
        <w:t xml:space="preserve"> </w:t>
      </w:r>
      <w:r>
        <w:rPr>
          <w:w w:val="105"/>
        </w:rPr>
        <w:t>(Criterion</w:t>
      </w:r>
      <w:r>
        <w:rPr>
          <w:spacing w:val="-7"/>
          <w:w w:val="105"/>
        </w:rPr>
        <w:t xml:space="preserve"> </w:t>
      </w:r>
      <w:r>
        <w:rPr>
          <w:w w:val="105"/>
        </w:rPr>
        <w:t>B)</w:t>
      </w:r>
      <w:r>
        <w:rPr>
          <w:spacing w:val="-19"/>
          <w:w w:val="105"/>
        </w:rPr>
        <w:t xml:space="preserve"> </w:t>
      </w:r>
      <w:r>
        <w:rPr>
          <w:w w:val="105"/>
        </w:rPr>
        <w:t>in</w:t>
      </w:r>
      <w:r>
        <w:rPr>
          <w:spacing w:val="-18"/>
          <w:w w:val="105"/>
        </w:rPr>
        <w:t xml:space="preserve"> </w:t>
      </w:r>
      <w:r>
        <w:rPr>
          <w:w w:val="105"/>
        </w:rPr>
        <w:t>Vascular Dementia are discussed on pp. 133-135. There must be evidence of cerebrovascular disease (i.e., focal neurological signs and symptoms or laboratory evidence) that</w:t>
      </w:r>
      <w:r>
        <w:rPr>
          <w:spacing w:val="27"/>
          <w:w w:val="105"/>
        </w:rPr>
        <w:t xml:space="preserve"> </w:t>
      </w:r>
      <w:r>
        <w:rPr>
          <w:w w:val="105"/>
        </w:rPr>
        <w:t>is</w:t>
      </w:r>
    </w:p>
    <w:p w:rsidR="00E675F0" w:rsidRDefault="00E675F0" w:rsidP="00E675F0">
      <w:pPr>
        <w:spacing w:line="256" w:lineRule="auto"/>
        <w:jc w:val="both"/>
        <w:sectPr w:rsidR="00E675F0">
          <w:pgSz w:w="8960" w:h="14260"/>
          <w:pgMar w:top="1400" w:right="600" w:bottom="280" w:left="600" w:header="656" w:footer="0" w:gutter="0"/>
          <w:cols w:space="720"/>
        </w:sectPr>
      </w:pPr>
    </w:p>
    <w:p w:rsidR="00E675F0" w:rsidRDefault="00E675F0" w:rsidP="00E675F0">
      <w:pPr>
        <w:pStyle w:val="BodyText"/>
        <w:spacing w:before="141" w:line="254" w:lineRule="auto"/>
        <w:ind w:left="153" w:right="114" w:firstLine="25"/>
        <w:jc w:val="both"/>
      </w:pPr>
      <w:r>
        <w:rPr>
          <w:w w:val="105"/>
        </w:rPr>
        <w:lastRenderedPageBreak/>
        <w:t>judged to be etiologically related to the dementia (Criterion C). The focal neurological signs and symptoms include extensor plantar response, pseudobulbar palsy, gait abnormalities, exaggeration of deep tendon reflexes, or weakness of an extremity. Computed tomography (CT) of the head and magnetic resonance imaging (MRI) usually demonstrate multiple vascular lesions of the cerebral cortex and subcortical structures. Vascular Dementia is not diagnosed if the symptoms occur exclusively during delirium (Criterion D). However, delirium may be superimposed on a preexisting Vascular Dementia, in which case the subtype With Delirium should be indicated.</w:t>
      </w:r>
    </w:p>
    <w:p w:rsidR="00E675F0" w:rsidRDefault="00E675F0" w:rsidP="00E675F0">
      <w:pPr>
        <w:pStyle w:val="BodyText"/>
        <w:rPr>
          <w:sz w:val="22"/>
        </w:rPr>
      </w:pPr>
    </w:p>
    <w:p w:rsidR="00E675F0" w:rsidRDefault="00E675F0" w:rsidP="00E675F0">
      <w:pPr>
        <w:spacing w:before="139"/>
        <w:ind w:left="149"/>
        <w:rPr>
          <w:rFonts w:ascii="TimesNewRomanPS-BoldItalicMT"/>
          <w:b/>
          <w:i/>
          <w:sz w:val="24"/>
        </w:rPr>
      </w:pPr>
      <w:r>
        <w:rPr>
          <w:rFonts w:ascii="TimesNewRomanPS-BoldItalicMT"/>
          <w:b/>
          <w:i/>
          <w:w w:val="115"/>
          <w:sz w:val="24"/>
        </w:rPr>
        <w:t>Subtypes</w:t>
      </w:r>
    </w:p>
    <w:p w:rsidR="00E675F0" w:rsidRDefault="00E675F0" w:rsidP="00E675F0">
      <w:pPr>
        <w:pStyle w:val="BodyText"/>
        <w:spacing w:before="136" w:line="252" w:lineRule="auto"/>
        <w:ind w:left="162" w:right="106" w:hanging="10"/>
        <w:jc w:val="both"/>
      </w:pPr>
      <w:r>
        <w:rPr>
          <w:w w:val="105"/>
        </w:rPr>
        <w:t>The following subtypes (each of which has its own separate code) must be used to indicate the predominant feature of the current clinical presentation:</w:t>
      </w:r>
    </w:p>
    <w:p w:rsidR="00E675F0" w:rsidRDefault="00E675F0" w:rsidP="00E675F0">
      <w:pPr>
        <w:pStyle w:val="BodyText"/>
        <w:spacing w:before="65" w:line="256" w:lineRule="auto"/>
        <w:ind w:left="763" w:right="113" w:hanging="5"/>
        <w:jc w:val="both"/>
      </w:pPr>
      <w:r>
        <w:rPr>
          <w:b/>
          <w:w w:val="105"/>
        </w:rPr>
        <w:t xml:space="preserve">With Delirium. </w:t>
      </w:r>
      <w:r>
        <w:rPr>
          <w:w w:val="105"/>
        </w:rPr>
        <w:t>This subtype is used if delirium is superimposed on the dementia.</w:t>
      </w:r>
    </w:p>
    <w:p w:rsidR="00E675F0" w:rsidRDefault="00E675F0" w:rsidP="00E675F0">
      <w:pPr>
        <w:pStyle w:val="BodyText"/>
        <w:spacing w:line="254" w:lineRule="auto"/>
        <w:ind w:left="758" w:right="113"/>
        <w:jc w:val="both"/>
      </w:pPr>
      <w:r>
        <w:rPr>
          <w:b/>
          <w:w w:val="105"/>
        </w:rPr>
        <w:t xml:space="preserve">With Delusions. </w:t>
      </w:r>
      <w:r>
        <w:rPr>
          <w:w w:val="105"/>
        </w:rPr>
        <w:t xml:space="preserve">This subtype is used if delusions are the predominant feature. </w:t>
      </w:r>
      <w:r>
        <w:rPr>
          <w:b/>
          <w:w w:val="105"/>
        </w:rPr>
        <w:t xml:space="preserve">With Depressed Mood. </w:t>
      </w:r>
      <w:r>
        <w:rPr>
          <w:w w:val="105"/>
        </w:rPr>
        <w:t>This subtype is used if depressed mood (including presentations that meet symptom criteria for a Major Depressive Episode) is the predominant feature. A separate diagnosis of Mood Disorder Due to a General Medical Condition is not given.</w:t>
      </w:r>
    </w:p>
    <w:p w:rsidR="00E675F0" w:rsidRDefault="00E675F0" w:rsidP="00E675F0">
      <w:pPr>
        <w:pStyle w:val="BodyText"/>
        <w:spacing w:line="252" w:lineRule="auto"/>
        <w:ind w:left="762" w:right="113" w:hanging="8"/>
        <w:jc w:val="both"/>
      </w:pPr>
      <w:r>
        <w:rPr>
          <w:b/>
          <w:w w:val="105"/>
        </w:rPr>
        <w:t xml:space="preserve">Uncomplicated. </w:t>
      </w:r>
      <w:r>
        <w:rPr>
          <w:w w:val="105"/>
        </w:rPr>
        <w:t>This subtype is used if none of the above predominates in the current clinical presentation.</w:t>
      </w:r>
    </w:p>
    <w:p w:rsidR="00E675F0" w:rsidRDefault="00E675F0" w:rsidP="00E675F0">
      <w:pPr>
        <w:pStyle w:val="BodyText"/>
        <w:spacing w:before="180" w:line="252" w:lineRule="auto"/>
        <w:ind w:left="163" w:firstLine="350"/>
      </w:pPr>
      <w:r>
        <w:rPr>
          <w:w w:val="105"/>
        </w:rPr>
        <w:t xml:space="preserve">The specifier </w:t>
      </w:r>
      <w:r>
        <w:rPr>
          <w:b/>
          <w:w w:val="105"/>
        </w:rPr>
        <w:t xml:space="preserve">With Behavioral Disturbance </w:t>
      </w:r>
      <w:r>
        <w:rPr>
          <w:w w:val="105"/>
        </w:rPr>
        <w:t>(which cannot be coded) can also be used to indicate clinically significant behavioral disturbances (e.g., wandering).</w:t>
      </w:r>
    </w:p>
    <w:p w:rsidR="00E675F0" w:rsidRDefault="00E675F0" w:rsidP="00E675F0">
      <w:pPr>
        <w:pStyle w:val="BodyText"/>
        <w:rPr>
          <w:sz w:val="22"/>
        </w:rPr>
      </w:pPr>
    </w:p>
    <w:p w:rsidR="00E675F0" w:rsidRDefault="00E675F0" w:rsidP="00E675F0">
      <w:pPr>
        <w:spacing w:before="131"/>
        <w:ind w:left="147"/>
        <w:rPr>
          <w:rFonts w:ascii="TimesNewRomanPS-BoldItalicMT"/>
          <w:b/>
          <w:i/>
          <w:sz w:val="24"/>
        </w:rPr>
      </w:pPr>
      <w:r>
        <w:rPr>
          <w:rFonts w:ascii="TimesNewRomanPS-BoldItalicMT"/>
          <w:b/>
          <w:i/>
          <w:w w:val="115"/>
          <w:sz w:val="24"/>
        </w:rPr>
        <w:t>Recording Procedures</w:t>
      </w:r>
    </w:p>
    <w:p w:rsidR="00E675F0" w:rsidRDefault="00E675F0" w:rsidP="00E675F0">
      <w:pPr>
        <w:pStyle w:val="BodyText"/>
        <w:spacing w:before="131" w:line="252" w:lineRule="auto"/>
        <w:ind w:left="152" w:right="113" w:firstLine="12"/>
        <w:jc w:val="both"/>
      </w:pPr>
      <w:r>
        <w:rPr>
          <w:w w:val="105"/>
        </w:rPr>
        <w:t>By ICD-9-CM convention, only Vascular Dementia and Dementia of the Alzheimer's Type have codable subtypes. The diagnostic codes for Vascular Dementia depend  on the subtype for predominant features: 290.41 for With Delirium, 290.42 for With Delusions, 290.43 for With Depressed Mood, 290.40 for Uncomplicated. The specifier With Behavioral Disturbance is uncoded and can be applied to each of the above subtypes (e.g., 290.43 Vascular Dementia, With Depressed Mood, With Behavioral Disturbance). In addition, the cerebrovascular condition (e.g., 436 stroke) should be coded on Axis</w:t>
      </w:r>
      <w:r>
        <w:rPr>
          <w:spacing w:val="42"/>
          <w:w w:val="105"/>
        </w:rPr>
        <w:t xml:space="preserve"> </w:t>
      </w:r>
      <w:r>
        <w:rPr>
          <w:w w:val="105"/>
        </w:rPr>
        <w:t>III.</w:t>
      </w:r>
    </w:p>
    <w:p w:rsidR="00E675F0" w:rsidRDefault="00E675F0" w:rsidP="00E675F0">
      <w:pPr>
        <w:pStyle w:val="BodyText"/>
        <w:rPr>
          <w:sz w:val="22"/>
        </w:rPr>
      </w:pPr>
    </w:p>
    <w:p w:rsidR="00E675F0" w:rsidRDefault="00E675F0" w:rsidP="00E675F0">
      <w:pPr>
        <w:spacing w:before="138"/>
        <w:ind w:left="138"/>
        <w:rPr>
          <w:rFonts w:ascii="TimesNewRomanPS-BoldItalicMT"/>
          <w:b/>
          <w:i/>
          <w:sz w:val="24"/>
        </w:rPr>
      </w:pPr>
      <w:r>
        <w:rPr>
          <w:rFonts w:ascii="TimesNewRomanPS-BoldItalicMT"/>
          <w:b/>
          <w:i/>
          <w:w w:val="115"/>
          <w:sz w:val="24"/>
        </w:rPr>
        <w:t>Associated Features and Disorders</w:t>
      </w:r>
    </w:p>
    <w:p w:rsidR="00E675F0" w:rsidRDefault="00E675F0" w:rsidP="00E675F0">
      <w:pPr>
        <w:spacing w:before="161" w:line="256" w:lineRule="auto"/>
        <w:ind w:left="156" w:right="120" w:hanging="5"/>
        <w:jc w:val="both"/>
        <w:rPr>
          <w:sz w:val="20"/>
        </w:rPr>
      </w:pPr>
      <w:r>
        <w:rPr>
          <w:b/>
          <w:w w:val="105"/>
          <w:sz w:val="20"/>
        </w:rPr>
        <w:t xml:space="preserve">Associated descriptive features and mental disorders. </w:t>
      </w:r>
      <w:r>
        <w:rPr>
          <w:w w:val="105"/>
          <w:sz w:val="20"/>
        </w:rPr>
        <w:t>See p. 135 for a general discussion of features and disorders associated with dementia.</w:t>
      </w:r>
    </w:p>
    <w:p w:rsidR="00E675F0" w:rsidRDefault="00E675F0" w:rsidP="00E675F0">
      <w:pPr>
        <w:pStyle w:val="BodyText"/>
        <w:spacing w:before="9"/>
        <w:rPr>
          <w:sz w:val="22"/>
        </w:rPr>
      </w:pPr>
    </w:p>
    <w:p w:rsidR="00E675F0" w:rsidRDefault="00E675F0" w:rsidP="00E675F0">
      <w:pPr>
        <w:pStyle w:val="BodyText"/>
        <w:spacing w:line="254" w:lineRule="auto"/>
        <w:ind w:left="152" w:right="109" w:hanging="1"/>
        <w:jc w:val="both"/>
      </w:pPr>
      <w:r>
        <w:rPr>
          <w:b/>
          <w:w w:val="105"/>
        </w:rPr>
        <w:t xml:space="preserve">Associated laboratory findings. </w:t>
      </w:r>
      <w:r>
        <w:rPr>
          <w:w w:val="105"/>
        </w:rPr>
        <w:t>The extent of central nervous system lesions  de­ tected by CT and MRI in Vascular Dementia typically exceeds the extent of changes detected in the brains of healthy elderly persons (e.g., periventricular and white matter hyperintensities noted on MRI scans). Lesions often appear in both white matter and gray matter structures, including subcortical regions and nuclei. Evidence of old infarctions</w:t>
      </w:r>
      <w:r>
        <w:rPr>
          <w:spacing w:val="41"/>
          <w:w w:val="105"/>
        </w:rPr>
        <w:t xml:space="preserve"> </w:t>
      </w:r>
      <w:r>
        <w:rPr>
          <w:w w:val="105"/>
        </w:rPr>
        <w:t>(e.g.,</w:t>
      </w:r>
      <w:r>
        <w:rPr>
          <w:spacing w:val="36"/>
          <w:w w:val="105"/>
        </w:rPr>
        <w:t xml:space="preserve"> </w:t>
      </w:r>
      <w:r>
        <w:rPr>
          <w:w w:val="105"/>
        </w:rPr>
        <w:t>focal</w:t>
      </w:r>
      <w:r>
        <w:rPr>
          <w:spacing w:val="35"/>
          <w:w w:val="105"/>
        </w:rPr>
        <w:t xml:space="preserve"> </w:t>
      </w:r>
      <w:r>
        <w:rPr>
          <w:w w:val="105"/>
        </w:rPr>
        <w:t>atrophy)</w:t>
      </w:r>
      <w:r>
        <w:rPr>
          <w:spacing w:val="44"/>
          <w:w w:val="105"/>
        </w:rPr>
        <w:t xml:space="preserve"> </w:t>
      </w:r>
      <w:r>
        <w:rPr>
          <w:w w:val="105"/>
        </w:rPr>
        <w:t>may</w:t>
      </w:r>
      <w:r>
        <w:rPr>
          <w:spacing w:val="33"/>
          <w:w w:val="105"/>
        </w:rPr>
        <w:t xml:space="preserve"> </w:t>
      </w:r>
      <w:r>
        <w:rPr>
          <w:w w:val="105"/>
        </w:rPr>
        <w:t>be</w:t>
      </w:r>
      <w:r>
        <w:rPr>
          <w:spacing w:val="35"/>
          <w:w w:val="105"/>
        </w:rPr>
        <w:t xml:space="preserve"> </w:t>
      </w:r>
      <w:r>
        <w:rPr>
          <w:w w:val="105"/>
        </w:rPr>
        <w:t>detected,</w:t>
      </w:r>
      <w:r>
        <w:rPr>
          <w:spacing w:val="44"/>
          <w:w w:val="105"/>
        </w:rPr>
        <w:t xml:space="preserve"> </w:t>
      </w:r>
      <w:r>
        <w:rPr>
          <w:w w:val="105"/>
        </w:rPr>
        <w:t>as</w:t>
      </w:r>
      <w:r>
        <w:rPr>
          <w:spacing w:val="27"/>
          <w:w w:val="105"/>
        </w:rPr>
        <w:t xml:space="preserve"> </w:t>
      </w:r>
      <w:r>
        <w:rPr>
          <w:w w:val="105"/>
        </w:rPr>
        <w:t>well</w:t>
      </w:r>
      <w:r>
        <w:rPr>
          <w:spacing w:val="33"/>
          <w:w w:val="105"/>
        </w:rPr>
        <w:t xml:space="preserve"> </w:t>
      </w:r>
      <w:r>
        <w:rPr>
          <w:w w:val="105"/>
        </w:rPr>
        <w:t>as</w:t>
      </w:r>
      <w:r>
        <w:rPr>
          <w:spacing w:val="26"/>
          <w:w w:val="105"/>
        </w:rPr>
        <w:t xml:space="preserve"> </w:t>
      </w:r>
      <w:r>
        <w:rPr>
          <w:w w:val="105"/>
        </w:rPr>
        <w:t>findings</w:t>
      </w:r>
      <w:r>
        <w:rPr>
          <w:spacing w:val="39"/>
          <w:w w:val="105"/>
        </w:rPr>
        <w:t xml:space="preserve"> </w:t>
      </w:r>
      <w:r>
        <w:rPr>
          <w:w w:val="105"/>
        </w:rPr>
        <w:t>of</w:t>
      </w:r>
      <w:r>
        <w:rPr>
          <w:spacing w:val="37"/>
          <w:w w:val="105"/>
        </w:rPr>
        <w:t xml:space="preserve"> </w:t>
      </w:r>
      <w:r>
        <w:rPr>
          <w:w w:val="105"/>
        </w:rPr>
        <w:t>more</w:t>
      </w:r>
      <w:r>
        <w:rPr>
          <w:spacing w:val="40"/>
          <w:w w:val="105"/>
        </w:rPr>
        <w:t xml:space="preserve"> </w:t>
      </w:r>
      <w:r>
        <w:rPr>
          <w:w w:val="105"/>
        </w:rPr>
        <w:t>recent</w:t>
      </w:r>
    </w:p>
    <w:p w:rsidR="00E675F0" w:rsidRDefault="00E675F0" w:rsidP="00E675F0">
      <w:pPr>
        <w:spacing w:line="254" w:lineRule="auto"/>
        <w:jc w:val="both"/>
        <w:sectPr w:rsidR="00E675F0">
          <w:pgSz w:w="8960" w:h="14260"/>
          <w:pgMar w:top="1400" w:right="600" w:bottom="280" w:left="600" w:header="690" w:footer="0" w:gutter="0"/>
          <w:cols w:space="720"/>
        </w:sectPr>
      </w:pPr>
    </w:p>
    <w:p w:rsidR="00E675F0" w:rsidRDefault="00E675F0" w:rsidP="00E675F0">
      <w:pPr>
        <w:pStyle w:val="BodyText"/>
        <w:spacing w:before="147" w:line="252" w:lineRule="auto"/>
        <w:ind w:left="150" w:right="138"/>
        <w:jc w:val="both"/>
      </w:pPr>
      <w:r>
        <w:rPr>
          <w:w w:val="105"/>
        </w:rPr>
        <w:lastRenderedPageBreak/>
        <w:t>disease. EEG findings may reflect focal lesions in the brain. In addition, there may be laboratory evidence of associated cardiac and systemic vascular conditions (e.g., ECG abnormalities, laboratory evidence of renal failure).</w:t>
      </w:r>
    </w:p>
    <w:p w:rsidR="00E675F0" w:rsidRDefault="00E675F0" w:rsidP="00E675F0">
      <w:pPr>
        <w:pStyle w:val="BodyText"/>
        <w:spacing w:before="3"/>
        <w:rPr>
          <w:sz w:val="27"/>
        </w:rPr>
      </w:pPr>
    </w:p>
    <w:p w:rsidR="00E675F0" w:rsidRDefault="00E675F0" w:rsidP="00E675F0">
      <w:pPr>
        <w:pStyle w:val="BodyText"/>
        <w:spacing w:before="1" w:line="256" w:lineRule="auto"/>
        <w:ind w:left="150" w:right="137" w:hanging="9"/>
        <w:jc w:val="both"/>
      </w:pPr>
      <w:r>
        <w:rPr>
          <w:b/>
          <w:w w:val="105"/>
        </w:rPr>
        <w:t xml:space="preserve">Associated physical examination findings  </w:t>
      </w:r>
      <w:r>
        <w:rPr>
          <w:b/>
          <w:spacing w:val="2"/>
          <w:w w:val="105"/>
        </w:rPr>
        <w:t xml:space="preserve">andgeneral  </w:t>
      </w:r>
      <w:r>
        <w:rPr>
          <w:b/>
          <w:w w:val="105"/>
        </w:rPr>
        <w:t xml:space="preserve">medical  conditions. </w:t>
      </w:r>
      <w:r>
        <w:rPr>
          <w:w w:val="105"/>
        </w:rPr>
        <w:t>Common neurological signs (e.g., abnormal reflexes, weakness of an extremity, gait disturbance) are discussed in the "Diagnostic Features" section. There is often evidence of longstanding arterial hypertension (e.g., funduscopic abnormalities, enlarged heart), valvular heart disease (e.g., abnormal heart sounds), or extracranial vascular disease that may be sources of cerebral emboli. A single stroke may cause a relatively circumscribed change in mental state (e.g., an aphasia following damage to the left hemisphere, or an amnestic disorder from infarction in the distribution of the posterior cerebral arteries), but generally does not cause Vascular Dementia, which typically results from the occurrence of multiple strokes, usually at different</w:t>
      </w:r>
      <w:r>
        <w:rPr>
          <w:spacing w:val="48"/>
          <w:w w:val="105"/>
        </w:rPr>
        <w:t xml:space="preserve"> </w:t>
      </w:r>
      <w:r>
        <w:rPr>
          <w:w w:val="105"/>
        </w:rPr>
        <w:t>times.</w:t>
      </w:r>
    </w:p>
    <w:p w:rsidR="00E675F0" w:rsidRDefault="00E675F0" w:rsidP="00E675F0">
      <w:pPr>
        <w:pStyle w:val="BodyText"/>
        <w:rPr>
          <w:sz w:val="22"/>
        </w:rPr>
      </w:pPr>
    </w:p>
    <w:p w:rsidR="00E675F0" w:rsidRDefault="00E675F0" w:rsidP="00E675F0">
      <w:pPr>
        <w:pStyle w:val="BodyText"/>
        <w:spacing w:before="4"/>
        <w:rPr>
          <w:sz w:val="17"/>
        </w:rPr>
      </w:pPr>
    </w:p>
    <w:p w:rsidR="00E675F0" w:rsidRDefault="00E675F0" w:rsidP="00E675F0">
      <w:pPr>
        <w:ind w:left="138"/>
        <w:rPr>
          <w:rFonts w:ascii="TimesNewRomanPS-BoldItalicMT"/>
          <w:b/>
          <w:i/>
          <w:sz w:val="24"/>
        </w:rPr>
      </w:pPr>
      <w:r>
        <w:rPr>
          <w:rFonts w:ascii="TimesNewRomanPS-BoldItalicMT"/>
          <w:b/>
          <w:i/>
          <w:w w:val="110"/>
          <w:sz w:val="24"/>
        </w:rPr>
        <w:t>Specific Culture, Age, and  Gender</w:t>
      </w:r>
      <w:r>
        <w:rPr>
          <w:rFonts w:ascii="TimesNewRomanPS-BoldItalicMT"/>
          <w:b/>
          <w:i/>
          <w:spacing w:val="40"/>
          <w:w w:val="110"/>
          <w:sz w:val="24"/>
        </w:rPr>
        <w:t xml:space="preserve"> </w:t>
      </w:r>
      <w:r>
        <w:rPr>
          <w:rFonts w:ascii="TimesNewRomanPS-BoldItalicMT"/>
          <w:b/>
          <w:i/>
          <w:w w:val="110"/>
          <w:sz w:val="24"/>
        </w:rPr>
        <w:t>Features</w:t>
      </w:r>
    </w:p>
    <w:p w:rsidR="00E675F0" w:rsidRDefault="00E675F0" w:rsidP="00E675F0">
      <w:pPr>
        <w:pStyle w:val="BodyText"/>
        <w:spacing w:before="165"/>
        <w:ind w:left="145"/>
        <w:jc w:val="both"/>
      </w:pPr>
      <w:r>
        <w:rPr>
          <w:w w:val="105"/>
        </w:rPr>
        <w:t>See p. 137 for a general discussion of culture and age features of dementia.</w:t>
      </w:r>
    </w:p>
    <w:p w:rsidR="00E675F0" w:rsidRDefault="00E675F0" w:rsidP="00E675F0">
      <w:pPr>
        <w:pStyle w:val="BodyText"/>
        <w:spacing w:before="16" w:line="256" w:lineRule="auto"/>
        <w:ind w:left="155" w:right="170" w:firstLine="356"/>
        <w:jc w:val="both"/>
      </w:pPr>
      <w:r>
        <w:rPr>
          <w:w w:val="105"/>
        </w:rPr>
        <w:t>The onset of Vascular Dementia is typically earlier than that of Dementia of the Alzheimer's Type. The disorder is apparently more common in males than in females.</w:t>
      </w:r>
    </w:p>
    <w:p w:rsidR="00E675F0" w:rsidRDefault="00E675F0" w:rsidP="00E675F0">
      <w:pPr>
        <w:pStyle w:val="BodyText"/>
        <w:rPr>
          <w:sz w:val="22"/>
        </w:rPr>
      </w:pPr>
    </w:p>
    <w:p w:rsidR="00E675F0" w:rsidRDefault="00E675F0" w:rsidP="00E675F0">
      <w:pPr>
        <w:pStyle w:val="BodyText"/>
        <w:rPr>
          <w:sz w:val="18"/>
        </w:rPr>
      </w:pPr>
    </w:p>
    <w:p w:rsidR="00E675F0" w:rsidRDefault="00E675F0" w:rsidP="00E675F0">
      <w:pPr>
        <w:ind w:left="145"/>
        <w:rPr>
          <w:rFonts w:ascii="TimesNewRomanPS-BoldItalicMT"/>
          <w:b/>
          <w:i/>
          <w:sz w:val="24"/>
        </w:rPr>
      </w:pPr>
      <w:r>
        <w:rPr>
          <w:rFonts w:ascii="TimesNewRomanPS-BoldItalicMT"/>
          <w:b/>
          <w:i/>
          <w:w w:val="115"/>
          <w:sz w:val="24"/>
        </w:rPr>
        <w:t>Prevalence</w:t>
      </w:r>
    </w:p>
    <w:p w:rsidR="00E675F0" w:rsidRDefault="00E675F0" w:rsidP="00E675F0">
      <w:pPr>
        <w:pStyle w:val="BodyText"/>
        <w:spacing w:before="161" w:line="252" w:lineRule="auto"/>
        <w:ind w:left="151" w:right="154" w:firstLine="4"/>
        <w:jc w:val="both"/>
      </w:pPr>
      <w:r>
        <w:rPr>
          <w:w w:val="105"/>
        </w:rPr>
        <w:t>Vascular Dementia is reportedly much less common than Dementia of the Alzheimer's Type.</w:t>
      </w:r>
    </w:p>
    <w:p w:rsidR="00E675F0" w:rsidRDefault="00E675F0" w:rsidP="00E675F0">
      <w:pPr>
        <w:pStyle w:val="BodyText"/>
        <w:rPr>
          <w:sz w:val="22"/>
        </w:rPr>
      </w:pPr>
    </w:p>
    <w:p w:rsidR="00E675F0" w:rsidRDefault="00E675F0" w:rsidP="00E675F0">
      <w:pPr>
        <w:pStyle w:val="BodyText"/>
        <w:spacing w:before="5"/>
        <w:rPr>
          <w:sz w:val="18"/>
        </w:rPr>
      </w:pPr>
    </w:p>
    <w:p w:rsidR="00E675F0" w:rsidRDefault="00E675F0" w:rsidP="00E675F0">
      <w:pPr>
        <w:ind w:left="127"/>
        <w:rPr>
          <w:rFonts w:ascii="TimesNewRomanPS-BoldItalicMT"/>
          <w:b/>
          <w:i/>
          <w:sz w:val="24"/>
        </w:rPr>
      </w:pPr>
      <w:r>
        <w:rPr>
          <w:rFonts w:ascii="TimesNewRomanPS-BoldItalicMT"/>
          <w:b/>
          <w:i/>
          <w:w w:val="115"/>
          <w:sz w:val="24"/>
        </w:rPr>
        <w:t>Course</w:t>
      </w:r>
    </w:p>
    <w:p w:rsidR="00E675F0" w:rsidRDefault="00E675F0" w:rsidP="00E675F0">
      <w:pPr>
        <w:pStyle w:val="BodyText"/>
        <w:spacing w:before="155"/>
        <w:ind w:left="154"/>
        <w:jc w:val="both"/>
      </w:pPr>
      <w:r>
        <w:rPr>
          <w:w w:val="105"/>
        </w:rPr>
        <w:t>Seep. 137 for a general  discussion  of  the course  of</w:t>
      </w:r>
      <w:r>
        <w:rPr>
          <w:spacing w:val="-9"/>
          <w:w w:val="105"/>
        </w:rPr>
        <w:t xml:space="preserve"> </w:t>
      </w:r>
      <w:r>
        <w:rPr>
          <w:w w:val="105"/>
        </w:rPr>
        <w:t>dementia.</w:t>
      </w:r>
    </w:p>
    <w:p w:rsidR="00E675F0" w:rsidRDefault="00E675F0" w:rsidP="00E675F0">
      <w:pPr>
        <w:pStyle w:val="BodyText"/>
        <w:spacing w:before="11" w:line="252" w:lineRule="auto"/>
        <w:ind w:left="149" w:right="126" w:firstLine="362"/>
        <w:jc w:val="both"/>
      </w:pPr>
      <w:r>
        <w:rPr>
          <w:w w:val="105"/>
        </w:rPr>
        <w:t>The onset of Vascular Dementia is typically abrupt, followed by a stepwise and fluctuating course that is characterized by rapid changes in functioning rather than slow progression. The course, however, may be highly variable, and an insidious onset with gradual</w:t>
      </w:r>
      <w:r>
        <w:rPr>
          <w:spacing w:val="-6"/>
          <w:w w:val="105"/>
        </w:rPr>
        <w:t xml:space="preserve"> </w:t>
      </w:r>
      <w:r>
        <w:rPr>
          <w:w w:val="105"/>
        </w:rPr>
        <w:t>decline</w:t>
      </w:r>
      <w:r>
        <w:rPr>
          <w:spacing w:val="-5"/>
          <w:w w:val="105"/>
        </w:rPr>
        <w:t xml:space="preserve"> </w:t>
      </w:r>
      <w:r>
        <w:rPr>
          <w:w w:val="105"/>
        </w:rPr>
        <w:t>is</w:t>
      </w:r>
      <w:r>
        <w:rPr>
          <w:spacing w:val="-16"/>
          <w:w w:val="105"/>
        </w:rPr>
        <w:t xml:space="preserve"> </w:t>
      </w:r>
      <w:r>
        <w:rPr>
          <w:w w:val="105"/>
        </w:rPr>
        <w:t>also</w:t>
      </w:r>
      <w:r>
        <w:rPr>
          <w:spacing w:val="-17"/>
          <w:w w:val="105"/>
        </w:rPr>
        <w:t xml:space="preserve"> </w:t>
      </w:r>
      <w:r>
        <w:rPr>
          <w:w w:val="105"/>
        </w:rPr>
        <w:t>encountered.</w:t>
      </w:r>
      <w:r>
        <w:rPr>
          <w:spacing w:val="10"/>
          <w:w w:val="105"/>
        </w:rPr>
        <w:t xml:space="preserve"> </w:t>
      </w:r>
      <w:r>
        <w:rPr>
          <w:w w:val="105"/>
        </w:rPr>
        <w:t>Usually</w:t>
      </w:r>
      <w:r>
        <w:rPr>
          <w:spacing w:val="-1"/>
          <w:w w:val="105"/>
        </w:rPr>
        <w:t xml:space="preserve"> </w:t>
      </w:r>
      <w:r>
        <w:rPr>
          <w:w w:val="105"/>
        </w:rPr>
        <w:t>the</w:t>
      </w:r>
      <w:r>
        <w:rPr>
          <w:spacing w:val="-4"/>
          <w:w w:val="105"/>
        </w:rPr>
        <w:t xml:space="preserve"> </w:t>
      </w:r>
      <w:r>
        <w:rPr>
          <w:w w:val="105"/>
        </w:rPr>
        <w:t>pattern</w:t>
      </w:r>
      <w:r>
        <w:rPr>
          <w:spacing w:val="1"/>
          <w:w w:val="105"/>
        </w:rPr>
        <w:t xml:space="preserve"> </w:t>
      </w:r>
      <w:r>
        <w:rPr>
          <w:w w:val="105"/>
        </w:rPr>
        <w:t>of</w:t>
      </w:r>
      <w:r>
        <w:rPr>
          <w:spacing w:val="-5"/>
          <w:w w:val="105"/>
        </w:rPr>
        <w:t xml:space="preserve"> </w:t>
      </w:r>
      <w:r>
        <w:rPr>
          <w:w w:val="105"/>
        </w:rPr>
        <w:t>deficits</w:t>
      </w:r>
      <w:r>
        <w:rPr>
          <w:spacing w:val="-7"/>
          <w:w w:val="105"/>
        </w:rPr>
        <w:t xml:space="preserve"> </w:t>
      </w:r>
      <w:r>
        <w:rPr>
          <w:w w:val="105"/>
        </w:rPr>
        <w:t>is</w:t>
      </w:r>
      <w:r>
        <w:rPr>
          <w:spacing w:val="-17"/>
          <w:w w:val="105"/>
        </w:rPr>
        <w:t xml:space="preserve"> </w:t>
      </w:r>
      <w:r>
        <w:rPr>
          <w:w w:val="105"/>
        </w:rPr>
        <w:t>"patchy,"</w:t>
      </w:r>
      <w:r>
        <w:rPr>
          <w:spacing w:val="-9"/>
          <w:w w:val="105"/>
        </w:rPr>
        <w:t xml:space="preserve"> </w:t>
      </w:r>
      <w:r>
        <w:rPr>
          <w:w w:val="105"/>
        </w:rPr>
        <w:t>depending on which regions of the brain have been destroyed. Certain cognitive functions may be affected early, whereas others remain relatively unimpaired. Early treatment of hyper­ tension and vascular disease may prevent</w:t>
      </w:r>
      <w:r>
        <w:rPr>
          <w:spacing w:val="18"/>
          <w:w w:val="105"/>
        </w:rPr>
        <w:t xml:space="preserve"> </w:t>
      </w:r>
      <w:r>
        <w:rPr>
          <w:w w:val="105"/>
        </w:rPr>
        <w:t>further progression.</w:t>
      </w:r>
    </w:p>
    <w:p w:rsidR="00E675F0" w:rsidRDefault="00E675F0" w:rsidP="00E675F0">
      <w:pPr>
        <w:pStyle w:val="BodyText"/>
        <w:rPr>
          <w:sz w:val="22"/>
        </w:rPr>
      </w:pPr>
    </w:p>
    <w:p w:rsidR="00E675F0" w:rsidRDefault="00E675F0" w:rsidP="00E675F0">
      <w:pPr>
        <w:pStyle w:val="BodyText"/>
        <w:spacing w:before="10"/>
        <w:rPr>
          <w:sz w:val="17"/>
        </w:rPr>
      </w:pPr>
    </w:p>
    <w:p w:rsidR="00E675F0" w:rsidRDefault="00E675F0" w:rsidP="00E675F0">
      <w:pPr>
        <w:spacing w:before="1"/>
        <w:ind w:left="142"/>
        <w:rPr>
          <w:rFonts w:ascii="TimesNewRomanPS-BoldItalicMT"/>
          <w:b/>
          <w:i/>
          <w:sz w:val="24"/>
        </w:rPr>
      </w:pPr>
      <w:r>
        <w:rPr>
          <w:rFonts w:ascii="TimesNewRomanPS-BoldItalicMT"/>
          <w:b/>
          <w:i/>
          <w:w w:val="115"/>
          <w:sz w:val="24"/>
        </w:rPr>
        <w:t>Differential Diagnosis</w:t>
      </w:r>
    </w:p>
    <w:p w:rsidR="00E675F0" w:rsidRDefault="00E675F0" w:rsidP="00E675F0">
      <w:pPr>
        <w:pStyle w:val="BodyText"/>
        <w:spacing w:before="165"/>
        <w:ind w:left="149"/>
        <w:jc w:val="both"/>
      </w:pPr>
      <w:r>
        <w:rPr>
          <w:w w:val="105"/>
        </w:rPr>
        <w:t>Seep. 138 for a general discussion of the differential diagnosis of dementia.</w:t>
      </w:r>
    </w:p>
    <w:p w:rsidR="00E675F0" w:rsidRDefault="00E675F0" w:rsidP="00E675F0">
      <w:pPr>
        <w:jc w:val="both"/>
        <w:sectPr w:rsidR="00E675F0">
          <w:pgSz w:w="8960" w:h="14260"/>
          <w:pgMar w:top="1400" w:right="600" w:bottom="280" w:left="600" w:header="656" w:footer="0" w:gutter="0"/>
          <w:cols w:space="720"/>
        </w:sectPr>
      </w:pPr>
    </w:p>
    <w:p w:rsidR="00E675F0" w:rsidRDefault="00E675F0" w:rsidP="00E675F0">
      <w:pPr>
        <w:pStyle w:val="BodyText"/>
        <w:spacing w:before="5"/>
        <w:rPr>
          <w:sz w:val="11"/>
        </w:rPr>
      </w:pPr>
    </w:p>
    <w:tbl>
      <w:tblPr>
        <w:tblW w:w="0" w:type="auto"/>
        <w:tblInd w:w="256"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7336"/>
      </w:tblGrid>
      <w:tr w:rsidR="00E675F0" w:rsidTr="00A330E1">
        <w:trPr>
          <w:trHeight w:val="10043"/>
        </w:trPr>
        <w:tc>
          <w:tcPr>
            <w:tcW w:w="7336" w:type="dxa"/>
          </w:tcPr>
          <w:p w:rsidR="00E675F0" w:rsidRDefault="00E675F0" w:rsidP="003048D3">
            <w:pPr>
              <w:pStyle w:val="TableParagraph"/>
              <w:numPr>
                <w:ilvl w:val="0"/>
                <w:numId w:val="58"/>
              </w:numPr>
              <w:tabs>
                <w:tab w:val="left" w:pos="626"/>
              </w:tabs>
              <w:spacing w:line="537" w:lineRule="exact"/>
              <w:ind w:hanging="380"/>
              <w:rPr>
                <w:rFonts w:ascii="Arial" w:hAnsi="Arial"/>
                <w:b/>
                <w:sz w:val="24"/>
              </w:rPr>
            </w:pPr>
            <w:bookmarkStart w:id="92" w:name="_bookmark75"/>
            <w:bookmarkEnd w:id="92"/>
            <w:r>
              <w:rPr>
                <w:rFonts w:ascii="Arial" w:hAnsi="Arial"/>
                <w:b/>
                <w:w w:val="105"/>
                <w:sz w:val="24"/>
              </w:rPr>
              <w:t>Diagnostic criteria for 290.4x Vascular</w:t>
            </w:r>
            <w:r>
              <w:rPr>
                <w:rFonts w:ascii="Arial" w:hAnsi="Arial"/>
                <w:b/>
                <w:spacing w:val="-6"/>
                <w:w w:val="105"/>
                <w:sz w:val="24"/>
              </w:rPr>
              <w:t xml:space="preserve"> </w:t>
            </w:r>
            <w:r>
              <w:rPr>
                <w:rFonts w:ascii="Arial" w:hAnsi="Arial"/>
                <w:b/>
                <w:w w:val="105"/>
                <w:sz w:val="24"/>
              </w:rPr>
              <w:t>Dementia</w:t>
            </w:r>
          </w:p>
          <w:p w:rsidR="00E675F0" w:rsidRDefault="00E675F0" w:rsidP="003048D3">
            <w:pPr>
              <w:pStyle w:val="TableParagraph"/>
              <w:numPr>
                <w:ilvl w:val="1"/>
                <w:numId w:val="58"/>
              </w:numPr>
              <w:tabs>
                <w:tab w:val="left" w:pos="946"/>
              </w:tabs>
              <w:spacing w:before="120"/>
              <w:ind w:hanging="300"/>
              <w:rPr>
                <w:sz w:val="20"/>
              </w:rPr>
            </w:pPr>
            <w:r>
              <w:rPr>
                <w:w w:val="105"/>
                <w:sz w:val="20"/>
              </w:rPr>
              <w:t>The development of multiple cognitive deficits manifested by</w:t>
            </w:r>
            <w:r>
              <w:rPr>
                <w:spacing w:val="33"/>
                <w:w w:val="105"/>
                <w:sz w:val="20"/>
              </w:rPr>
              <w:t xml:space="preserve"> </w:t>
            </w:r>
            <w:r>
              <w:rPr>
                <w:w w:val="105"/>
                <w:sz w:val="20"/>
              </w:rPr>
              <w:t>both</w:t>
            </w:r>
          </w:p>
          <w:p w:rsidR="00E675F0" w:rsidRDefault="00E675F0" w:rsidP="003048D3">
            <w:pPr>
              <w:pStyle w:val="TableParagraph"/>
              <w:numPr>
                <w:ilvl w:val="2"/>
                <w:numId w:val="58"/>
              </w:numPr>
              <w:tabs>
                <w:tab w:val="left" w:pos="1382"/>
                <w:tab w:val="left" w:pos="1383"/>
              </w:tabs>
              <w:spacing w:before="78" w:line="261" w:lineRule="auto"/>
              <w:ind w:right="240"/>
              <w:rPr>
                <w:sz w:val="17"/>
              </w:rPr>
            </w:pPr>
            <w:r>
              <w:rPr>
                <w:w w:val="105"/>
                <w:sz w:val="20"/>
              </w:rPr>
              <w:t>memory impairment (impaired ability to learn new information or to recall previously learned information)</w:t>
            </w:r>
          </w:p>
          <w:p w:rsidR="00E675F0" w:rsidRDefault="00E675F0" w:rsidP="003048D3">
            <w:pPr>
              <w:pStyle w:val="TableParagraph"/>
              <w:numPr>
                <w:ilvl w:val="2"/>
                <w:numId w:val="58"/>
              </w:numPr>
              <w:tabs>
                <w:tab w:val="left" w:pos="1378"/>
              </w:tabs>
              <w:spacing w:line="219" w:lineRule="exact"/>
              <w:ind w:left="1377" w:hanging="426"/>
              <w:rPr>
                <w:sz w:val="20"/>
              </w:rPr>
            </w:pPr>
            <w:r>
              <w:rPr>
                <w:w w:val="105"/>
                <w:sz w:val="20"/>
              </w:rPr>
              <w:t>one (or more) of the following cognitive</w:t>
            </w:r>
            <w:r>
              <w:rPr>
                <w:spacing w:val="-10"/>
                <w:w w:val="105"/>
                <w:sz w:val="20"/>
              </w:rPr>
              <w:t xml:space="preserve"> </w:t>
            </w:r>
            <w:r>
              <w:rPr>
                <w:w w:val="105"/>
                <w:sz w:val="20"/>
              </w:rPr>
              <w:t>disturbances:</w:t>
            </w:r>
          </w:p>
          <w:p w:rsidR="00E675F0" w:rsidRDefault="00E675F0" w:rsidP="003048D3">
            <w:pPr>
              <w:pStyle w:val="TableParagraph"/>
              <w:numPr>
                <w:ilvl w:val="3"/>
                <w:numId w:val="58"/>
              </w:numPr>
              <w:tabs>
                <w:tab w:val="left" w:pos="1796"/>
              </w:tabs>
              <w:spacing w:before="73"/>
              <w:rPr>
                <w:sz w:val="20"/>
              </w:rPr>
            </w:pPr>
            <w:r>
              <w:rPr>
                <w:w w:val="105"/>
                <w:sz w:val="20"/>
              </w:rPr>
              <w:t>aphasia (language</w:t>
            </w:r>
            <w:r>
              <w:rPr>
                <w:spacing w:val="30"/>
                <w:w w:val="105"/>
                <w:sz w:val="20"/>
              </w:rPr>
              <w:t xml:space="preserve"> </w:t>
            </w:r>
            <w:r>
              <w:rPr>
                <w:w w:val="105"/>
                <w:sz w:val="20"/>
              </w:rPr>
              <w:t>disturbance)</w:t>
            </w:r>
          </w:p>
          <w:p w:rsidR="00E675F0" w:rsidRDefault="00E675F0" w:rsidP="003048D3">
            <w:pPr>
              <w:pStyle w:val="TableParagraph"/>
              <w:numPr>
                <w:ilvl w:val="3"/>
                <w:numId w:val="58"/>
              </w:numPr>
              <w:tabs>
                <w:tab w:val="left" w:pos="1811"/>
              </w:tabs>
              <w:spacing w:before="10" w:line="256" w:lineRule="auto"/>
              <w:ind w:left="1811" w:right="236" w:hanging="440"/>
              <w:rPr>
                <w:sz w:val="20"/>
              </w:rPr>
            </w:pPr>
            <w:r>
              <w:rPr>
                <w:w w:val="105"/>
                <w:sz w:val="20"/>
              </w:rPr>
              <w:t>apraxia (impaired ability to carry out motor activities despite intact motor</w:t>
            </w:r>
            <w:r>
              <w:rPr>
                <w:spacing w:val="24"/>
                <w:w w:val="105"/>
                <w:sz w:val="20"/>
              </w:rPr>
              <w:t xml:space="preserve"> </w:t>
            </w:r>
            <w:r>
              <w:rPr>
                <w:w w:val="105"/>
                <w:sz w:val="20"/>
              </w:rPr>
              <w:t>function)</w:t>
            </w:r>
          </w:p>
          <w:p w:rsidR="00E675F0" w:rsidRDefault="00E675F0" w:rsidP="003048D3">
            <w:pPr>
              <w:pStyle w:val="TableParagraph"/>
              <w:numPr>
                <w:ilvl w:val="3"/>
                <w:numId w:val="58"/>
              </w:numPr>
              <w:tabs>
                <w:tab w:val="left" w:pos="1791"/>
              </w:tabs>
              <w:spacing w:line="256" w:lineRule="auto"/>
              <w:ind w:left="1788" w:right="242" w:hanging="417"/>
              <w:rPr>
                <w:sz w:val="20"/>
              </w:rPr>
            </w:pPr>
            <w:r>
              <w:rPr>
                <w:w w:val="105"/>
                <w:sz w:val="20"/>
              </w:rPr>
              <w:t>agnosia (failure to recognize or identify objects despite intact sensory</w:t>
            </w:r>
            <w:r>
              <w:rPr>
                <w:spacing w:val="1"/>
                <w:w w:val="105"/>
                <w:sz w:val="20"/>
              </w:rPr>
              <w:t xml:space="preserve"> </w:t>
            </w:r>
            <w:r>
              <w:rPr>
                <w:w w:val="105"/>
                <w:sz w:val="20"/>
              </w:rPr>
              <w:t>function)</w:t>
            </w:r>
          </w:p>
          <w:p w:rsidR="00E675F0" w:rsidRDefault="00E675F0" w:rsidP="003048D3">
            <w:pPr>
              <w:pStyle w:val="TableParagraph"/>
              <w:numPr>
                <w:ilvl w:val="3"/>
                <w:numId w:val="58"/>
              </w:numPr>
              <w:tabs>
                <w:tab w:val="left" w:pos="1811"/>
              </w:tabs>
              <w:spacing w:line="261" w:lineRule="auto"/>
              <w:ind w:left="1811" w:right="242" w:hanging="440"/>
              <w:rPr>
                <w:sz w:val="20"/>
              </w:rPr>
            </w:pPr>
            <w:r>
              <w:rPr>
                <w:w w:val="105"/>
                <w:sz w:val="20"/>
              </w:rPr>
              <w:t>disturbance in executive functioning (i.e., planning, organiz­ ing, sequencing,</w:t>
            </w:r>
            <w:r>
              <w:rPr>
                <w:spacing w:val="26"/>
                <w:w w:val="105"/>
                <w:sz w:val="20"/>
              </w:rPr>
              <w:t xml:space="preserve"> </w:t>
            </w:r>
            <w:r>
              <w:rPr>
                <w:w w:val="105"/>
                <w:sz w:val="20"/>
              </w:rPr>
              <w:t>abstracting)</w:t>
            </w:r>
          </w:p>
          <w:p w:rsidR="00E675F0" w:rsidRDefault="00E675F0" w:rsidP="003048D3">
            <w:pPr>
              <w:pStyle w:val="TableParagraph"/>
              <w:numPr>
                <w:ilvl w:val="1"/>
                <w:numId w:val="58"/>
              </w:numPr>
              <w:tabs>
                <w:tab w:val="left" w:pos="946"/>
              </w:tabs>
              <w:spacing w:before="173" w:line="259" w:lineRule="auto"/>
              <w:ind w:left="946" w:right="233" w:hanging="302"/>
              <w:jc w:val="both"/>
              <w:rPr>
                <w:sz w:val="20"/>
              </w:rPr>
            </w:pPr>
            <w:r>
              <w:rPr>
                <w:w w:val="105"/>
                <w:sz w:val="20"/>
              </w:rPr>
              <w:t xml:space="preserve">The cognitive deficits in Criteria </w:t>
            </w:r>
            <w:r>
              <w:rPr>
                <w:w w:val="105"/>
                <w:sz w:val="19"/>
              </w:rPr>
              <w:t xml:space="preserve">Al </w:t>
            </w:r>
            <w:r>
              <w:rPr>
                <w:w w:val="105"/>
                <w:sz w:val="20"/>
              </w:rPr>
              <w:t xml:space="preserve">and </w:t>
            </w:r>
            <w:r>
              <w:rPr>
                <w:w w:val="105"/>
                <w:sz w:val="19"/>
              </w:rPr>
              <w:t xml:space="preserve">A2 </w:t>
            </w:r>
            <w:r>
              <w:rPr>
                <w:w w:val="105"/>
                <w:sz w:val="20"/>
              </w:rPr>
              <w:t>each cause significant impairment in social or occupational functioning and represent a significant decline from a previous level of</w:t>
            </w:r>
            <w:r>
              <w:rPr>
                <w:spacing w:val="40"/>
                <w:w w:val="105"/>
                <w:sz w:val="20"/>
              </w:rPr>
              <w:t xml:space="preserve"> </w:t>
            </w:r>
            <w:r>
              <w:rPr>
                <w:w w:val="105"/>
                <w:sz w:val="20"/>
              </w:rPr>
              <w:t>functioning.</w:t>
            </w:r>
          </w:p>
          <w:p w:rsidR="00E675F0" w:rsidRDefault="00E675F0" w:rsidP="003048D3">
            <w:pPr>
              <w:pStyle w:val="TableParagraph"/>
              <w:numPr>
                <w:ilvl w:val="1"/>
                <w:numId w:val="58"/>
              </w:numPr>
              <w:tabs>
                <w:tab w:val="left" w:pos="953"/>
              </w:tabs>
              <w:spacing w:before="173" w:line="254" w:lineRule="auto"/>
              <w:ind w:left="949" w:right="222" w:hanging="305"/>
              <w:jc w:val="both"/>
              <w:rPr>
                <w:rFonts w:ascii="Arial" w:hAnsi="Arial"/>
                <w:sz w:val="17"/>
              </w:rPr>
            </w:pPr>
            <w:r>
              <w:rPr>
                <w:w w:val="110"/>
                <w:sz w:val="20"/>
              </w:rPr>
              <w:t>Focal neurological signs and symptoms (e.g., exaggeration of deep tendon reflexes, extensor plantar response, pseudobulbar palsy, gait abnormalities,</w:t>
            </w:r>
            <w:r>
              <w:rPr>
                <w:spacing w:val="-26"/>
                <w:w w:val="110"/>
                <w:sz w:val="20"/>
              </w:rPr>
              <w:t xml:space="preserve"> </w:t>
            </w:r>
            <w:r>
              <w:rPr>
                <w:w w:val="110"/>
                <w:sz w:val="20"/>
              </w:rPr>
              <w:t>weakness</w:t>
            </w:r>
            <w:r>
              <w:rPr>
                <w:spacing w:val="-19"/>
                <w:w w:val="110"/>
                <w:sz w:val="20"/>
              </w:rPr>
              <w:t xml:space="preserve"> </w:t>
            </w:r>
            <w:r>
              <w:rPr>
                <w:w w:val="110"/>
                <w:sz w:val="20"/>
              </w:rPr>
              <w:t>of</w:t>
            </w:r>
            <w:r>
              <w:rPr>
                <w:spacing w:val="-19"/>
                <w:w w:val="110"/>
                <w:sz w:val="20"/>
              </w:rPr>
              <w:t xml:space="preserve"> </w:t>
            </w:r>
            <w:r>
              <w:rPr>
                <w:w w:val="110"/>
                <w:sz w:val="20"/>
              </w:rPr>
              <w:t>an</w:t>
            </w:r>
            <w:r>
              <w:rPr>
                <w:spacing w:val="-21"/>
                <w:w w:val="110"/>
                <w:sz w:val="20"/>
              </w:rPr>
              <w:t xml:space="preserve"> </w:t>
            </w:r>
            <w:r>
              <w:rPr>
                <w:w w:val="110"/>
                <w:sz w:val="20"/>
              </w:rPr>
              <w:t>extremity)</w:t>
            </w:r>
            <w:r>
              <w:rPr>
                <w:spacing w:val="-17"/>
                <w:w w:val="110"/>
                <w:sz w:val="20"/>
              </w:rPr>
              <w:t xml:space="preserve"> </w:t>
            </w:r>
            <w:r>
              <w:rPr>
                <w:w w:val="110"/>
                <w:sz w:val="20"/>
              </w:rPr>
              <w:t>or</w:t>
            </w:r>
            <w:r>
              <w:rPr>
                <w:spacing w:val="-18"/>
                <w:w w:val="110"/>
                <w:sz w:val="20"/>
              </w:rPr>
              <w:t xml:space="preserve"> </w:t>
            </w:r>
            <w:r>
              <w:rPr>
                <w:w w:val="110"/>
                <w:sz w:val="20"/>
              </w:rPr>
              <w:t>laboratory</w:t>
            </w:r>
            <w:r>
              <w:rPr>
                <w:spacing w:val="-16"/>
                <w:w w:val="110"/>
                <w:sz w:val="20"/>
              </w:rPr>
              <w:t xml:space="preserve"> </w:t>
            </w:r>
            <w:r>
              <w:rPr>
                <w:w w:val="110"/>
                <w:sz w:val="20"/>
              </w:rPr>
              <w:t>evidence</w:t>
            </w:r>
            <w:r>
              <w:rPr>
                <w:spacing w:val="-19"/>
                <w:w w:val="110"/>
                <w:sz w:val="20"/>
              </w:rPr>
              <w:t xml:space="preserve"> </w:t>
            </w:r>
            <w:r>
              <w:rPr>
                <w:w w:val="110"/>
                <w:sz w:val="20"/>
              </w:rPr>
              <w:t>indic­ ative of cerebrovascular disease (e.g., multiple infarctions involving cortex</w:t>
            </w:r>
            <w:r>
              <w:rPr>
                <w:spacing w:val="-16"/>
                <w:w w:val="110"/>
                <w:sz w:val="20"/>
              </w:rPr>
              <w:t xml:space="preserve"> </w:t>
            </w:r>
            <w:r>
              <w:rPr>
                <w:w w:val="110"/>
                <w:sz w:val="20"/>
              </w:rPr>
              <w:t>and</w:t>
            </w:r>
            <w:r>
              <w:rPr>
                <w:spacing w:val="-11"/>
                <w:w w:val="110"/>
                <w:sz w:val="20"/>
              </w:rPr>
              <w:t xml:space="preserve"> </w:t>
            </w:r>
            <w:r>
              <w:rPr>
                <w:w w:val="110"/>
                <w:sz w:val="20"/>
              </w:rPr>
              <w:t>underlying</w:t>
            </w:r>
            <w:r>
              <w:rPr>
                <w:spacing w:val="-4"/>
                <w:w w:val="110"/>
                <w:sz w:val="20"/>
              </w:rPr>
              <w:t xml:space="preserve"> </w:t>
            </w:r>
            <w:r>
              <w:rPr>
                <w:w w:val="110"/>
                <w:sz w:val="20"/>
              </w:rPr>
              <w:t>white</w:t>
            </w:r>
            <w:r>
              <w:rPr>
                <w:spacing w:val="-12"/>
                <w:w w:val="110"/>
                <w:sz w:val="20"/>
              </w:rPr>
              <w:t xml:space="preserve"> </w:t>
            </w:r>
            <w:r>
              <w:rPr>
                <w:w w:val="110"/>
                <w:sz w:val="20"/>
              </w:rPr>
              <w:t>matter)</w:t>
            </w:r>
            <w:r>
              <w:rPr>
                <w:spacing w:val="-9"/>
                <w:w w:val="110"/>
                <w:sz w:val="20"/>
              </w:rPr>
              <w:t xml:space="preserve"> </w:t>
            </w:r>
            <w:r>
              <w:rPr>
                <w:w w:val="110"/>
                <w:sz w:val="20"/>
              </w:rPr>
              <w:t>that</w:t>
            </w:r>
            <w:r>
              <w:rPr>
                <w:spacing w:val="-12"/>
                <w:w w:val="110"/>
                <w:sz w:val="20"/>
              </w:rPr>
              <w:t xml:space="preserve"> </w:t>
            </w:r>
            <w:r>
              <w:rPr>
                <w:w w:val="110"/>
                <w:sz w:val="20"/>
              </w:rPr>
              <w:t>are</w:t>
            </w:r>
            <w:r>
              <w:rPr>
                <w:spacing w:val="-6"/>
                <w:w w:val="110"/>
                <w:sz w:val="20"/>
              </w:rPr>
              <w:t xml:space="preserve"> </w:t>
            </w:r>
            <w:r>
              <w:rPr>
                <w:w w:val="110"/>
                <w:sz w:val="20"/>
              </w:rPr>
              <w:t>judged</w:t>
            </w:r>
            <w:r>
              <w:rPr>
                <w:spacing w:val="-6"/>
                <w:w w:val="110"/>
                <w:sz w:val="20"/>
              </w:rPr>
              <w:t xml:space="preserve"> </w:t>
            </w:r>
            <w:r>
              <w:rPr>
                <w:w w:val="110"/>
                <w:sz w:val="20"/>
              </w:rPr>
              <w:t>to</w:t>
            </w:r>
            <w:r>
              <w:rPr>
                <w:spacing w:val="-15"/>
                <w:w w:val="110"/>
                <w:sz w:val="20"/>
              </w:rPr>
              <w:t xml:space="preserve"> </w:t>
            </w:r>
            <w:r>
              <w:rPr>
                <w:w w:val="110"/>
                <w:sz w:val="20"/>
              </w:rPr>
              <w:t>be</w:t>
            </w:r>
            <w:r>
              <w:rPr>
                <w:spacing w:val="-17"/>
                <w:w w:val="110"/>
                <w:sz w:val="20"/>
              </w:rPr>
              <w:t xml:space="preserve"> </w:t>
            </w:r>
            <w:r>
              <w:rPr>
                <w:w w:val="110"/>
                <w:sz w:val="20"/>
              </w:rPr>
              <w:t>etiologically related to the</w:t>
            </w:r>
            <w:r>
              <w:rPr>
                <w:spacing w:val="16"/>
                <w:w w:val="110"/>
                <w:sz w:val="20"/>
              </w:rPr>
              <w:t xml:space="preserve"> </w:t>
            </w:r>
            <w:r>
              <w:rPr>
                <w:w w:val="110"/>
                <w:sz w:val="20"/>
              </w:rPr>
              <w:t>disturbance.</w:t>
            </w:r>
          </w:p>
          <w:p w:rsidR="00E675F0" w:rsidRDefault="00E675F0" w:rsidP="003048D3">
            <w:pPr>
              <w:pStyle w:val="TableParagraph"/>
              <w:numPr>
                <w:ilvl w:val="1"/>
                <w:numId w:val="58"/>
              </w:numPr>
              <w:tabs>
                <w:tab w:val="left" w:pos="946"/>
              </w:tabs>
              <w:spacing w:before="186"/>
              <w:ind w:hanging="297"/>
              <w:rPr>
                <w:sz w:val="20"/>
              </w:rPr>
            </w:pPr>
            <w:r>
              <w:rPr>
                <w:w w:val="105"/>
                <w:sz w:val="20"/>
              </w:rPr>
              <w:t>The deficits do not occur exclusively during the course of a</w:t>
            </w:r>
            <w:r>
              <w:rPr>
                <w:spacing w:val="43"/>
                <w:w w:val="105"/>
                <w:sz w:val="20"/>
              </w:rPr>
              <w:t xml:space="preserve"> </w:t>
            </w:r>
            <w:r>
              <w:rPr>
                <w:w w:val="105"/>
                <w:sz w:val="20"/>
              </w:rPr>
              <w:t>delirium.</w:t>
            </w:r>
          </w:p>
          <w:p w:rsidR="00E675F0" w:rsidRDefault="00E675F0" w:rsidP="00A330E1">
            <w:pPr>
              <w:pStyle w:val="TableParagraph"/>
              <w:spacing w:before="174"/>
              <w:ind w:left="399"/>
              <w:rPr>
                <w:rFonts w:ascii="Arial"/>
                <w:sz w:val="18"/>
              </w:rPr>
            </w:pPr>
            <w:r>
              <w:rPr>
                <w:i/>
                <w:w w:val="105"/>
                <w:sz w:val="20"/>
              </w:rPr>
              <w:t xml:space="preserve">Code </w:t>
            </w:r>
            <w:r>
              <w:rPr>
                <w:rFonts w:ascii="Arial"/>
                <w:w w:val="105"/>
                <w:sz w:val="18"/>
              </w:rPr>
              <w:t>based on predominant features:</w:t>
            </w:r>
          </w:p>
          <w:p w:rsidR="00E675F0" w:rsidRDefault="00E675F0" w:rsidP="003048D3">
            <w:pPr>
              <w:pStyle w:val="TableParagraph"/>
              <w:numPr>
                <w:ilvl w:val="1"/>
                <w:numId w:val="57"/>
              </w:numPr>
              <w:tabs>
                <w:tab w:val="left" w:pos="1407"/>
              </w:tabs>
              <w:spacing w:before="15"/>
              <w:rPr>
                <w:sz w:val="20"/>
              </w:rPr>
            </w:pPr>
            <w:r>
              <w:rPr>
                <w:b/>
                <w:w w:val="105"/>
                <w:sz w:val="20"/>
              </w:rPr>
              <w:t xml:space="preserve">With Delirium: </w:t>
            </w:r>
            <w:r>
              <w:rPr>
                <w:w w:val="105"/>
                <w:sz w:val="20"/>
              </w:rPr>
              <w:t>if delirium is superimposed on the</w:t>
            </w:r>
            <w:r>
              <w:rPr>
                <w:spacing w:val="4"/>
                <w:w w:val="105"/>
                <w:sz w:val="20"/>
              </w:rPr>
              <w:t xml:space="preserve"> </w:t>
            </w:r>
            <w:r>
              <w:rPr>
                <w:w w:val="105"/>
                <w:sz w:val="20"/>
              </w:rPr>
              <w:t>dementia</w:t>
            </w:r>
          </w:p>
          <w:p w:rsidR="00E675F0" w:rsidRDefault="00E675F0" w:rsidP="003048D3">
            <w:pPr>
              <w:pStyle w:val="TableParagraph"/>
              <w:numPr>
                <w:ilvl w:val="1"/>
                <w:numId w:val="57"/>
              </w:numPr>
              <w:tabs>
                <w:tab w:val="left" w:pos="1407"/>
              </w:tabs>
              <w:spacing w:before="5"/>
              <w:rPr>
                <w:sz w:val="20"/>
              </w:rPr>
            </w:pPr>
            <w:r>
              <w:rPr>
                <w:b/>
                <w:w w:val="105"/>
                <w:sz w:val="20"/>
              </w:rPr>
              <w:t xml:space="preserve">With Delusions: </w:t>
            </w:r>
            <w:r>
              <w:rPr>
                <w:w w:val="105"/>
                <w:sz w:val="20"/>
              </w:rPr>
              <w:t>if delusions are the predominant</w:t>
            </w:r>
            <w:r>
              <w:rPr>
                <w:spacing w:val="-9"/>
                <w:w w:val="105"/>
                <w:sz w:val="20"/>
              </w:rPr>
              <w:t xml:space="preserve"> </w:t>
            </w:r>
            <w:r>
              <w:rPr>
                <w:w w:val="105"/>
                <w:sz w:val="20"/>
              </w:rPr>
              <w:t>feature</w:t>
            </w:r>
          </w:p>
          <w:p w:rsidR="00E675F0" w:rsidRDefault="00E675F0" w:rsidP="003048D3">
            <w:pPr>
              <w:pStyle w:val="TableParagraph"/>
              <w:numPr>
                <w:ilvl w:val="1"/>
                <w:numId w:val="57"/>
              </w:numPr>
              <w:tabs>
                <w:tab w:val="left" w:pos="1412"/>
              </w:tabs>
              <w:spacing w:before="11" w:line="252" w:lineRule="auto"/>
              <w:ind w:left="803" w:right="637" w:hanging="146"/>
              <w:rPr>
                <w:sz w:val="20"/>
              </w:rPr>
            </w:pPr>
            <w:r>
              <w:rPr>
                <w:b/>
                <w:w w:val="105"/>
                <w:sz w:val="20"/>
              </w:rPr>
              <w:t xml:space="preserve">With Depressed Mood: </w:t>
            </w:r>
            <w:r>
              <w:rPr>
                <w:w w:val="105"/>
                <w:sz w:val="20"/>
              </w:rPr>
              <w:t>if depressed mood (including presentations that meet full symptom criteria for a Major Depressive Episode) is the predominant feature. A separate diagnosis of Mood Disorder Due to a General Medical Condition is not</w:t>
            </w:r>
            <w:r>
              <w:rPr>
                <w:spacing w:val="9"/>
                <w:w w:val="105"/>
                <w:sz w:val="20"/>
              </w:rPr>
              <w:t xml:space="preserve"> </w:t>
            </w:r>
            <w:r>
              <w:rPr>
                <w:w w:val="105"/>
                <w:sz w:val="20"/>
              </w:rPr>
              <w:t>given.</w:t>
            </w:r>
          </w:p>
          <w:p w:rsidR="00E675F0" w:rsidRDefault="00E675F0" w:rsidP="00A330E1">
            <w:pPr>
              <w:pStyle w:val="TableParagraph"/>
              <w:spacing w:line="252" w:lineRule="auto"/>
              <w:ind w:left="800" w:right="589" w:hanging="143"/>
              <w:rPr>
                <w:sz w:val="20"/>
              </w:rPr>
            </w:pPr>
            <w:r>
              <w:rPr>
                <w:b/>
                <w:w w:val="105"/>
                <w:sz w:val="20"/>
              </w:rPr>
              <w:t xml:space="preserve">290.40 Uncomplicated: </w:t>
            </w:r>
            <w:r>
              <w:rPr>
                <w:w w:val="105"/>
                <w:sz w:val="20"/>
              </w:rPr>
              <w:t>if none of the above predominates in the current clinical presentation</w:t>
            </w:r>
          </w:p>
          <w:p w:rsidR="00E675F0" w:rsidRDefault="00E675F0" w:rsidP="00A330E1">
            <w:pPr>
              <w:pStyle w:val="TableParagraph"/>
              <w:spacing w:before="152"/>
              <w:ind w:left="415"/>
              <w:rPr>
                <w:rFonts w:ascii="Arial"/>
                <w:sz w:val="20"/>
              </w:rPr>
            </w:pPr>
            <w:r>
              <w:rPr>
                <w:i/>
                <w:sz w:val="21"/>
              </w:rPr>
              <w:t xml:space="preserve">Specify </w:t>
            </w:r>
            <w:r>
              <w:rPr>
                <w:rFonts w:ascii="Arial"/>
                <w:sz w:val="20"/>
              </w:rPr>
              <w:t>if:</w:t>
            </w:r>
          </w:p>
          <w:p w:rsidR="00E675F0" w:rsidRDefault="00E675F0" w:rsidP="00A330E1">
            <w:pPr>
              <w:pStyle w:val="TableParagraph"/>
              <w:spacing w:before="18"/>
              <w:ind w:left="641"/>
              <w:rPr>
                <w:b/>
                <w:sz w:val="20"/>
              </w:rPr>
            </w:pPr>
            <w:r>
              <w:rPr>
                <w:b/>
                <w:w w:val="110"/>
                <w:sz w:val="20"/>
              </w:rPr>
              <w:t>With Behavioral Disturbance</w:t>
            </w:r>
          </w:p>
          <w:p w:rsidR="00E675F0" w:rsidRDefault="00E675F0" w:rsidP="00A330E1">
            <w:pPr>
              <w:pStyle w:val="TableParagraph"/>
              <w:spacing w:before="173"/>
              <w:ind w:left="645"/>
              <w:rPr>
                <w:sz w:val="18"/>
              </w:rPr>
            </w:pPr>
            <w:r>
              <w:rPr>
                <w:b/>
                <w:w w:val="105"/>
                <w:sz w:val="18"/>
              </w:rPr>
              <w:t xml:space="preserve">Coding note: </w:t>
            </w:r>
            <w:r>
              <w:rPr>
                <w:w w:val="105"/>
                <w:sz w:val="18"/>
              </w:rPr>
              <w:t>Also code cerebrovascular condition on Axis III.</w:t>
            </w:r>
          </w:p>
        </w:tc>
      </w:tr>
    </w:tbl>
    <w:p w:rsidR="00E675F0" w:rsidRDefault="00E675F0" w:rsidP="00E675F0">
      <w:pPr>
        <w:pStyle w:val="BodyText"/>
      </w:pPr>
    </w:p>
    <w:p w:rsidR="00E675F0" w:rsidRDefault="00E675F0" w:rsidP="00E675F0">
      <w:pPr>
        <w:spacing w:before="212"/>
        <w:ind w:left="408"/>
        <w:rPr>
          <w:rFonts w:ascii="TimesNewRomanPS-BoldItalicMT"/>
          <w:b/>
          <w:i/>
          <w:sz w:val="28"/>
        </w:rPr>
      </w:pPr>
      <w:r>
        <w:rPr>
          <w:noProof/>
        </w:rPr>
        <mc:AlternateContent>
          <mc:Choice Requires="wps">
            <w:drawing>
              <wp:anchor distT="0" distB="0" distL="114300" distR="114300" simplePos="0" relativeHeight="251786240" behindDoc="1" locked="0" layoutInCell="1" allowOverlap="1" wp14:anchorId="34E82532" wp14:editId="48E7C22F">
                <wp:simplePos x="0" y="0"/>
                <wp:positionH relativeFrom="page">
                  <wp:posOffset>5179060</wp:posOffset>
                </wp:positionH>
                <wp:positionV relativeFrom="paragraph">
                  <wp:posOffset>-102235</wp:posOffset>
                </wp:positionV>
                <wp:extent cx="0" cy="0"/>
                <wp:effectExtent l="0" t="0" r="0" b="0"/>
                <wp:wrapNone/>
                <wp:docPr id="1465" name="Line 14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3360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AA3DBF" id="Line 1421" o:spid="_x0000_s1026" style="position:absolute;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7.8pt,-8.05pt" to="407.8pt,-8.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" strokeweight=".93339mm">
                <o:lock v:ext="edit" shapetype="f"/>
                <w10:wrap anchorx="page"/>
              </v:line>
            </w:pict>
          </mc:Fallback>
        </mc:AlternateContent>
      </w:r>
      <w:r>
        <w:rPr>
          <w:rFonts w:ascii="TimesNewRomanPS-BoldItalicMT"/>
          <w:b/>
          <w:i/>
          <w:w w:val="110"/>
          <w:sz w:val="28"/>
        </w:rPr>
        <w:t>Dementia Due to Other General Medical Conditions</w:t>
      </w:r>
    </w:p>
    <w:p w:rsidR="00E675F0" w:rsidRDefault="00E675F0" w:rsidP="00E675F0">
      <w:pPr>
        <w:spacing w:before="144"/>
        <w:ind w:left="121"/>
        <w:rPr>
          <w:rFonts w:ascii="TimesNewRomanPS-BoldItalicMT"/>
          <w:b/>
          <w:i/>
          <w:sz w:val="24"/>
        </w:rPr>
      </w:pPr>
      <w:r>
        <w:rPr>
          <w:rFonts w:ascii="TimesNewRomanPS-BoldItalicMT"/>
          <w:b/>
          <w:i/>
          <w:w w:val="120"/>
          <w:sz w:val="24"/>
        </w:rPr>
        <w:t>magnostic Features</w:t>
      </w:r>
    </w:p>
    <w:p w:rsidR="00E675F0" w:rsidRDefault="00E675F0" w:rsidP="00E675F0">
      <w:pPr>
        <w:pStyle w:val="BodyText"/>
        <w:spacing w:before="136" w:line="261" w:lineRule="auto"/>
        <w:ind w:left="149" w:right="28" w:hanging="8"/>
      </w:pPr>
      <w:r>
        <w:rPr>
          <w:w w:val="105"/>
        </w:rPr>
        <w:t>The cognitive deficits (Criterion A) and the required impairment (Criterion B) of Dementia Due to Other General Medical Conditions are discussed on pp. 133-135. There</w:t>
      </w:r>
    </w:p>
    <w:p w:rsidR="00E675F0" w:rsidRDefault="00E675F0" w:rsidP="00E675F0">
      <w:pPr>
        <w:spacing w:line="261" w:lineRule="auto"/>
        <w:sectPr w:rsidR="00E675F0">
          <w:headerReference w:type="even" r:id="rId142"/>
          <w:headerReference w:type="default" r:id="rId143"/>
          <w:pgSz w:w="8960" w:h="14260"/>
          <w:pgMar w:top="1400" w:right="600" w:bottom="280" w:left="600" w:header="714" w:footer="0" w:gutter="0"/>
          <w:pgNumType w:start="146"/>
          <w:cols w:space="720"/>
        </w:sectPr>
      </w:pPr>
    </w:p>
    <w:p w:rsidR="00E675F0" w:rsidRDefault="00E675F0" w:rsidP="00E675F0">
      <w:pPr>
        <w:pStyle w:val="BodyText"/>
        <w:spacing w:before="132" w:line="254" w:lineRule="auto"/>
        <w:ind w:left="129" w:right="151" w:firstLine="5"/>
        <w:jc w:val="both"/>
      </w:pPr>
      <w:r>
        <w:rPr>
          <w:w w:val="105"/>
        </w:rPr>
        <w:lastRenderedPageBreak/>
        <w:t xml:space="preserve">must be evidence from the history, physical examination, or laboratory findings that a general medical condition is etiologically related to the dementia (e.g., infection with human immunodeficiency virus (HIV), traumatic brain injury, Parkinson's disease, Huntington's disease, Pick's disease, Creutzfeldt-Jakob disease, normal-pressure hydro­ cephalus, hypothyroidism, brain tumor, or vitamin </w:t>
      </w:r>
      <w:r>
        <w:rPr>
          <w:spacing w:val="-4"/>
          <w:w w:val="105"/>
        </w:rPr>
        <w:t>B</w:t>
      </w:r>
      <w:r>
        <w:rPr>
          <w:spacing w:val="-4"/>
          <w:w w:val="105"/>
          <w:vertAlign w:val="subscript"/>
        </w:rPr>
        <w:t>12</w:t>
      </w:r>
      <w:r>
        <w:rPr>
          <w:spacing w:val="-4"/>
          <w:w w:val="105"/>
        </w:rPr>
        <w:t xml:space="preserve"> </w:t>
      </w:r>
      <w:r>
        <w:rPr>
          <w:w w:val="105"/>
        </w:rPr>
        <w:t>deficiency) (Criterion C). Demen­ tia Due to a General Medical Condition is not diagnosed if the symptoms occur exclusively during delirium (Criterion D). However, delirium may be superimposed  on a preexisting Dementia Due to a General Medical Condition, in which case both diagnoses should be</w:t>
      </w:r>
      <w:r>
        <w:rPr>
          <w:spacing w:val="-10"/>
          <w:w w:val="105"/>
        </w:rPr>
        <w:t xml:space="preserve"> </w:t>
      </w:r>
      <w:r>
        <w:rPr>
          <w:w w:val="105"/>
        </w:rPr>
        <w:t>given.</w:t>
      </w:r>
    </w:p>
    <w:p w:rsidR="00E675F0" w:rsidRDefault="00E675F0" w:rsidP="00E675F0">
      <w:pPr>
        <w:pStyle w:val="BodyText"/>
        <w:spacing w:line="254" w:lineRule="auto"/>
        <w:ind w:left="129" w:right="151" w:firstLine="362"/>
        <w:jc w:val="both"/>
      </w:pPr>
      <w:r>
        <w:rPr>
          <w:w w:val="105"/>
        </w:rPr>
        <w:t>In determining whether the dementia is due to a general medical condition, the clinician must first establish the presence of a general medical condition. Further, the clinician must establish that the dementia is etiologically related to the general medical condition through a physiological mechanism. A careful and comprehensive assessment of multiple factors is necessary to make this judgment. Although there are no infallible guidelines for determining whether the relationship between the dementia and the general medical condition is etiological, several considerations provide some guidance in this area. One consideration is the presence of a temporal association between the onset or exacerbation of the general medical condition and that of the cognitive deficits. Evidence from the literature that suggests that there can be a direct association between the general medical condition in question and the development of a dementia can provide a useful context in the assessment of a particular situation. In addition, the clinician must also judge that the disturbance is not  better accounted  for by Dementia of the Alzheimer's Type, Vascular Dementia, a Substance-Induced Persisting Dementia, or another mental disorder (e.g., Major Depressive Disorder). These determinations are explained</w:t>
      </w:r>
      <w:r>
        <w:rPr>
          <w:spacing w:val="-2"/>
          <w:w w:val="105"/>
        </w:rPr>
        <w:t xml:space="preserve"> </w:t>
      </w:r>
      <w:r>
        <w:rPr>
          <w:w w:val="105"/>
        </w:rPr>
        <w:t>in</w:t>
      </w:r>
      <w:r>
        <w:rPr>
          <w:spacing w:val="-15"/>
          <w:w w:val="105"/>
        </w:rPr>
        <w:t xml:space="preserve"> </w:t>
      </w:r>
      <w:r>
        <w:rPr>
          <w:w w:val="105"/>
        </w:rPr>
        <w:t>greater</w:t>
      </w:r>
      <w:r>
        <w:rPr>
          <w:spacing w:val="-10"/>
          <w:w w:val="105"/>
        </w:rPr>
        <w:t xml:space="preserve"> </w:t>
      </w:r>
      <w:r>
        <w:rPr>
          <w:w w:val="105"/>
        </w:rPr>
        <w:t>detail</w:t>
      </w:r>
      <w:r>
        <w:rPr>
          <w:spacing w:val="-3"/>
          <w:w w:val="105"/>
        </w:rPr>
        <w:t xml:space="preserve"> </w:t>
      </w:r>
      <w:r>
        <w:rPr>
          <w:w w:val="105"/>
        </w:rPr>
        <w:t>in</w:t>
      </w:r>
      <w:r>
        <w:rPr>
          <w:spacing w:val="-7"/>
          <w:w w:val="105"/>
        </w:rPr>
        <w:t xml:space="preserve"> </w:t>
      </w:r>
      <w:r>
        <w:rPr>
          <w:w w:val="105"/>
        </w:rPr>
        <w:t>the</w:t>
      </w:r>
      <w:r>
        <w:rPr>
          <w:spacing w:val="-16"/>
          <w:w w:val="105"/>
        </w:rPr>
        <w:t xml:space="preserve"> </w:t>
      </w:r>
      <w:r>
        <w:rPr>
          <w:w w:val="105"/>
        </w:rPr>
        <w:t>"Mental</w:t>
      </w:r>
      <w:r>
        <w:rPr>
          <w:spacing w:val="4"/>
          <w:w w:val="105"/>
        </w:rPr>
        <w:t xml:space="preserve"> </w:t>
      </w:r>
      <w:r>
        <w:rPr>
          <w:w w:val="105"/>
        </w:rPr>
        <w:t>Disorders</w:t>
      </w:r>
      <w:r>
        <w:rPr>
          <w:spacing w:val="-4"/>
          <w:w w:val="105"/>
        </w:rPr>
        <w:t xml:space="preserve"> </w:t>
      </w:r>
      <w:r>
        <w:rPr>
          <w:w w:val="105"/>
        </w:rPr>
        <w:t>Due</w:t>
      </w:r>
      <w:r>
        <w:rPr>
          <w:spacing w:val="-15"/>
          <w:w w:val="105"/>
        </w:rPr>
        <w:t xml:space="preserve"> </w:t>
      </w:r>
      <w:r>
        <w:rPr>
          <w:w w:val="105"/>
        </w:rPr>
        <w:t>to</w:t>
      </w:r>
      <w:r>
        <w:rPr>
          <w:spacing w:val="-15"/>
          <w:w w:val="105"/>
        </w:rPr>
        <w:t xml:space="preserve"> </w:t>
      </w:r>
      <w:r>
        <w:rPr>
          <w:w w:val="105"/>
        </w:rPr>
        <w:t>a</w:t>
      </w:r>
      <w:r>
        <w:rPr>
          <w:spacing w:val="-8"/>
          <w:w w:val="105"/>
        </w:rPr>
        <w:t xml:space="preserve"> </w:t>
      </w:r>
      <w:r>
        <w:rPr>
          <w:w w:val="105"/>
        </w:rPr>
        <w:t>General</w:t>
      </w:r>
      <w:r>
        <w:rPr>
          <w:spacing w:val="-5"/>
          <w:w w:val="105"/>
        </w:rPr>
        <w:t xml:space="preserve"> </w:t>
      </w:r>
      <w:r>
        <w:rPr>
          <w:w w:val="105"/>
        </w:rPr>
        <w:t>Medical</w:t>
      </w:r>
      <w:r>
        <w:rPr>
          <w:spacing w:val="-4"/>
          <w:w w:val="105"/>
        </w:rPr>
        <w:t xml:space="preserve"> </w:t>
      </w:r>
      <w:r>
        <w:rPr>
          <w:w w:val="105"/>
        </w:rPr>
        <w:t>Condition" section (p.</w:t>
      </w:r>
      <w:r>
        <w:rPr>
          <w:spacing w:val="24"/>
          <w:w w:val="105"/>
        </w:rPr>
        <w:t xml:space="preserve"> </w:t>
      </w:r>
      <w:r>
        <w:rPr>
          <w:w w:val="105"/>
        </w:rPr>
        <w:t>165).</w:t>
      </w:r>
    </w:p>
    <w:p w:rsidR="00E675F0" w:rsidRDefault="00E675F0" w:rsidP="00E675F0">
      <w:pPr>
        <w:pStyle w:val="BodyText"/>
        <w:spacing w:before="5" w:line="256" w:lineRule="auto"/>
        <w:ind w:left="134" w:right="153" w:firstLine="359"/>
        <w:jc w:val="both"/>
      </w:pPr>
      <w:r>
        <w:rPr>
          <w:w w:val="105"/>
        </w:rPr>
        <w:t>See p. 135 for a general discussion of the features and disorders associated with dementia.</w:t>
      </w:r>
    </w:p>
    <w:p w:rsidR="00E675F0" w:rsidRDefault="00E675F0" w:rsidP="00E675F0">
      <w:pPr>
        <w:pStyle w:val="BodyText"/>
        <w:rPr>
          <w:sz w:val="22"/>
        </w:rPr>
      </w:pPr>
    </w:p>
    <w:p w:rsidR="00E675F0" w:rsidRDefault="00E675F0" w:rsidP="00E675F0">
      <w:pPr>
        <w:pStyle w:val="BodyText"/>
        <w:rPr>
          <w:sz w:val="22"/>
        </w:rPr>
      </w:pPr>
    </w:p>
    <w:p w:rsidR="00E675F0" w:rsidRDefault="00E675F0" w:rsidP="00E675F0">
      <w:pPr>
        <w:spacing w:before="180"/>
        <w:ind w:left="124"/>
        <w:jc w:val="both"/>
        <w:rPr>
          <w:rFonts w:ascii="TimesNewRomanPS-BoldItalicMT"/>
          <w:b/>
          <w:i/>
          <w:sz w:val="24"/>
        </w:rPr>
      </w:pPr>
      <w:r>
        <w:rPr>
          <w:rFonts w:ascii="TimesNewRomanPS-BoldItalicMT"/>
          <w:b/>
          <w:i/>
          <w:w w:val="115"/>
          <w:sz w:val="24"/>
        </w:rPr>
        <w:t>Recording Procedures</w:t>
      </w:r>
    </w:p>
    <w:p w:rsidR="00E675F0" w:rsidRDefault="00E675F0" w:rsidP="00E675F0">
      <w:pPr>
        <w:pStyle w:val="BodyText"/>
        <w:spacing w:before="7"/>
        <w:rPr>
          <w:rFonts w:ascii="TimesNewRomanPS-BoldItalicMT"/>
          <w:b/>
          <w:i/>
        </w:rPr>
      </w:pPr>
    </w:p>
    <w:p w:rsidR="00E675F0" w:rsidRDefault="00E675F0" w:rsidP="00E675F0">
      <w:pPr>
        <w:pStyle w:val="BodyText"/>
        <w:spacing w:line="252" w:lineRule="auto"/>
        <w:ind w:left="131" w:right="139" w:firstLine="2"/>
        <w:jc w:val="both"/>
      </w:pPr>
      <w:r>
        <w:rPr>
          <w:w w:val="105"/>
        </w:rPr>
        <w:t>Specific codes are available for some of the Dementias Due to a General Medical Condition (see criteria set). The diagnostic codes and terms are selected depending on the specific etiological condition (e.g., 294.1 Dementia Due to Parkinson's disease). The etiological condition (e.g., 332.0 Parkinson's Disease) should also be recorded on Axis Ill. An "other" category (coded 294.1) is included for etiological conditions not specifically</w:t>
      </w:r>
      <w:r>
        <w:rPr>
          <w:spacing w:val="-2"/>
          <w:w w:val="105"/>
        </w:rPr>
        <w:t xml:space="preserve"> </w:t>
      </w:r>
      <w:r>
        <w:rPr>
          <w:w w:val="105"/>
        </w:rPr>
        <w:t>listed</w:t>
      </w:r>
      <w:r>
        <w:rPr>
          <w:spacing w:val="-10"/>
          <w:w w:val="105"/>
        </w:rPr>
        <w:t xml:space="preserve"> </w:t>
      </w:r>
      <w:r>
        <w:rPr>
          <w:w w:val="105"/>
        </w:rPr>
        <w:t>and</w:t>
      </w:r>
      <w:r>
        <w:rPr>
          <w:spacing w:val="-10"/>
          <w:w w:val="105"/>
        </w:rPr>
        <w:t xml:space="preserve"> </w:t>
      </w:r>
      <w:r>
        <w:rPr>
          <w:w w:val="105"/>
        </w:rPr>
        <w:t>is</w:t>
      </w:r>
      <w:r>
        <w:rPr>
          <w:spacing w:val="-12"/>
          <w:w w:val="105"/>
        </w:rPr>
        <w:t xml:space="preserve"> </w:t>
      </w:r>
      <w:r>
        <w:rPr>
          <w:w w:val="105"/>
        </w:rPr>
        <w:t>recorded</w:t>
      </w:r>
      <w:r>
        <w:rPr>
          <w:spacing w:val="1"/>
          <w:w w:val="105"/>
        </w:rPr>
        <w:t xml:space="preserve"> </w:t>
      </w:r>
      <w:r>
        <w:rPr>
          <w:w w:val="105"/>
        </w:rPr>
        <w:t>by</w:t>
      </w:r>
      <w:r>
        <w:rPr>
          <w:spacing w:val="-13"/>
          <w:w w:val="105"/>
        </w:rPr>
        <w:t xml:space="preserve"> </w:t>
      </w:r>
      <w:r>
        <w:rPr>
          <w:w w:val="105"/>
        </w:rPr>
        <w:t>noting</w:t>
      </w:r>
      <w:r>
        <w:rPr>
          <w:spacing w:val="-8"/>
          <w:w w:val="105"/>
        </w:rPr>
        <w:t xml:space="preserve"> </w:t>
      </w:r>
      <w:r>
        <w:rPr>
          <w:w w:val="105"/>
        </w:rPr>
        <w:t>both</w:t>
      </w:r>
      <w:r>
        <w:rPr>
          <w:spacing w:val="-8"/>
          <w:w w:val="105"/>
        </w:rPr>
        <w:t xml:space="preserve"> </w:t>
      </w:r>
      <w:r>
        <w:rPr>
          <w:w w:val="105"/>
        </w:rPr>
        <w:t>the</w:t>
      </w:r>
      <w:r>
        <w:rPr>
          <w:spacing w:val="-15"/>
          <w:w w:val="105"/>
        </w:rPr>
        <w:t xml:space="preserve"> </w:t>
      </w:r>
      <w:r>
        <w:rPr>
          <w:w w:val="105"/>
        </w:rPr>
        <w:t>dementia</w:t>
      </w:r>
      <w:r>
        <w:rPr>
          <w:spacing w:val="-8"/>
          <w:w w:val="105"/>
        </w:rPr>
        <w:t xml:space="preserve"> </w:t>
      </w:r>
      <w:r>
        <w:rPr>
          <w:w w:val="105"/>
        </w:rPr>
        <w:t>and</w:t>
      </w:r>
      <w:r>
        <w:rPr>
          <w:spacing w:val="-2"/>
          <w:w w:val="105"/>
        </w:rPr>
        <w:t xml:space="preserve"> </w:t>
      </w:r>
      <w:r>
        <w:rPr>
          <w:w w:val="105"/>
        </w:rPr>
        <w:t>the</w:t>
      </w:r>
      <w:r>
        <w:rPr>
          <w:spacing w:val="-5"/>
          <w:w w:val="105"/>
        </w:rPr>
        <w:t xml:space="preserve"> </w:t>
      </w:r>
      <w:r>
        <w:rPr>
          <w:w w:val="105"/>
        </w:rPr>
        <w:t>specific</w:t>
      </w:r>
      <w:r>
        <w:rPr>
          <w:spacing w:val="-11"/>
          <w:w w:val="105"/>
        </w:rPr>
        <w:t xml:space="preserve"> </w:t>
      </w:r>
      <w:r>
        <w:rPr>
          <w:w w:val="105"/>
        </w:rPr>
        <w:t xml:space="preserve">etiological condition (e.g., 294.1 Dementia Due to Hypothyroidism) on Axis </w:t>
      </w:r>
      <w:r>
        <w:rPr>
          <w:w w:val="105"/>
          <w:sz w:val="19"/>
        </w:rPr>
        <w:t xml:space="preserve">I. </w:t>
      </w:r>
      <w:r>
        <w:rPr>
          <w:w w:val="105"/>
        </w:rPr>
        <w:t>The ICD-9-CM code for</w:t>
      </w:r>
      <w:r>
        <w:rPr>
          <w:spacing w:val="-14"/>
          <w:w w:val="105"/>
        </w:rPr>
        <w:t xml:space="preserve"> </w:t>
      </w:r>
      <w:r>
        <w:rPr>
          <w:w w:val="105"/>
        </w:rPr>
        <w:t>the</w:t>
      </w:r>
      <w:r>
        <w:rPr>
          <w:spacing w:val="-16"/>
          <w:w w:val="105"/>
        </w:rPr>
        <w:t xml:space="preserve"> </w:t>
      </w:r>
      <w:r>
        <w:rPr>
          <w:w w:val="105"/>
        </w:rPr>
        <w:t>etiological condition</w:t>
      </w:r>
      <w:r>
        <w:rPr>
          <w:spacing w:val="-8"/>
          <w:w w:val="105"/>
        </w:rPr>
        <w:t xml:space="preserve"> </w:t>
      </w:r>
      <w:r>
        <w:rPr>
          <w:w w:val="105"/>
        </w:rPr>
        <w:t>should</w:t>
      </w:r>
      <w:r>
        <w:rPr>
          <w:spacing w:val="-8"/>
          <w:w w:val="105"/>
        </w:rPr>
        <w:t xml:space="preserve"> </w:t>
      </w:r>
      <w:r>
        <w:rPr>
          <w:w w:val="105"/>
        </w:rPr>
        <w:t>also</w:t>
      </w:r>
      <w:r>
        <w:rPr>
          <w:spacing w:val="-11"/>
          <w:w w:val="105"/>
        </w:rPr>
        <w:t xml:space="preserve"> </w:t>
      </w:r>
      <w:r>
        <w:rPr>
          <w:w w:val="105"/>
        </w:rPr>
        <w:t>be</w:t>
      </w:r>
      <w:r>
        <w:rPr>
          <w:spacing w:val="-14"/>
          <w:w w:val="105"/>
        </w:rPr>
        <w:t xml:space="preserve"> </w:t>
      </w:r>
      <w:r>
        <w:rPr>
          <w:w w:val="105"/>
        </w:rPr>
        <w:t>noted</w:t>
      </w:r>
      <w:r>
        <w:rPr>
          <w:spacing w:val="-16"/>
          <w:w w:val="105"/>
        </w:rPr>
        <w:t xml:space="preserve"> </w:t>
      </w:r>
      <w:r>
        <w:rPr>
          <w:w w:val="105"/>
        </w:rPr>
        <w:t>on</w:t>
      </w:r>
      <w:r>
        <w:rPr>
          <w:spacing w:val="-15"/>
          <w:w w:val="105"/>
        </w:rPr>
        <w:t xml:space="preserve"> </w:t>
      </w:r>
      <w:r>
        <w:rPr>
          <w:w w:val="105"/>
        </w:rPr>
        <w:t>Axis</w:t>
      </w:r>
      <w:r>
        <w:rPr>
          <w:spacing w:val="-16"/>
          <w:w w:val="105"/>
        </w:rPr>
        <w:t xml:space="preserve"> </w:t>
      </w:r>
      <w:r>
        <w:rPr>
          <w:w w:val="105"/>
        </w:rPr>
        <w:t>III</w:t>
      </w:r>
      <w:r>
        <w:rPr>
          <w:spacing w:val="-15"/>
          <w:w w:val="105"/>
        </w:rPr>
        <w:t xml:space="preserve"> </w:t>
      </w:r>
      <w:r>
        <w:rPr>
          <w:w w:val="105"/>
        </w:rPr>
        <w:t>(e.g.,</w:t>
      </w:r>
      <w:r>
        <w:rPr>
          <w:spacing w:val="-5"/>
          <w:w w:val="105"/>
        </w:rPr>
        <w:t xml:space="preserve"> </w:t>
      </w:r>
      <w:r>
        <w:rPr>
          <w:w w:val="105"/>
        </w:rPr>
        <w:t>244.9</w:t>
      </w:r>
      <w:r>
        <w:rPr>
          <w:spacing w:val="-12"/>
          <w:w w:val="105"/>
        </w:rPr>
        <w:t xml:space="preserve"> </w:t>
      </w:r>
      <w:r>
        <w:rPr>
          <w:w w:val="105"/>
        </w:rPr>
        <w:t>hypothyroidism). (See Appendix G for a list of selected ICD-9-CM diagnostic codes for general medical conditions.)</w:t>
      </w:r>
    </w:p>
    <w:p w:rsidR="00E675F0" w:rsidRDefault="00E675F0" w:rsidP="00E675F0">
      <w:pPr>
        <w:pStyle w:val="BodyText"/>
        <w:spacing w:before="12" w:line="254" w:lineRule="auto"/>
        <w:ind w:left="136" w:right="139" w:firstLine="360"/>
        <w:jc w:val="both"/>
      </w:pPr>
      <w:r>
        <w:rPr>
          <w:w w:val="110"/>
        </w:rPr>
        <w:t>In</w:t>
      </w:r>
      <w:r>
        <w:rPr>
          <w:spacing w:val="-29"/>
          <w:w w:val="110"/>
        </w:rPr>
        <w:t xml:space="preserve"> </w:t>
      </w:r>
      <w:r>
        <w:rPr>
          <w:w w:val="110"/>
        </w:rPr>
        <w:t>an</w:t>
      </w:r>
      <w:r>
        <w:rPr>
          <w:spacing w:val="-27"/>
          <w:w w:val="110"/>
        </w:rPr>
        <w:t xml:space="preserve"> </w:t>
      </w:r>
      <w:r>
        <w:rPr>
          <w:w w:val="110"/>
        </w:rPr>
        <w:t>individual</w:t>
      </w:r>
      <w:r>
        <w:rPr>
          <w:spacing w:val="-24"/>
          <w:w w:val="110"/>
        </w:rPr>
        <w:t xml:space="preserve"> </w:t>
      </w:r>
      <w:r>
        <w:rPr>
          <w:w w:val="110"/>
        </w:rPr>
        <w:t>with</w:t>
      </w:r>
      <w:r>
        <w:rPr>
          <w:spacing w:val="-24"/>
          <w:w w:val="110"/>
        </w:rPr>
        <w:t xml:space="preserve"> </w:t>
      </w:r>
      <w:r>
        <w:rPr>
          <w:w w:val="110"/>
        </w:rPr>
        <w:t>an</w:t>
      </w:r>
      <w:r>
        <w:rPr>
          <w:spacing w:val="-28"/>
          <w:w w:val="110"/>
        </w:rPr>
        <w:t xml:space="preserve"> </w:t>
      </w:r>
      <w:r>
        <w:rPr>
          <w:w w:val="110"/>
        </w:rPr>
        <w:t>established</w:t>
      </w:r>
      <w:r>
        <w:rPr>
          <w:spacing w:val="-19"/>
          <w:w w:val="110"/>
        </w:rPr>
        <w:t xml:space="preserve"> </w:t>
      </w:r>
      <w:r>
        <w:rPr>
          <w:w w:val="110"/>
        </w:rPr>
        <w:t>history</w:t>
      </w:r>
      <w:r>
        <w:rPr>
          <w:spacing w:val="-26"/>
          <w:w w:val="110"/>
        </w:rPr>
        <w:t xml:space="preserve"> </w:t>
      </w:r>
      <w:r>
        <w:rPr>
          <w:w w:val="110"/>
        </w:rPr>
        <w:t>of</w:t>
      </w:r>
      <w:r>
        <w:rPr>
          <w:spacing w:val="-25"/>
          <w:w w:val="110"/>
        </w:rPr>
        <w:t xml:space="preserve"> </w:t>
      </w:r>
      <w:r>
        <w:rPr>
          <w:w w:val="110"/>
        </w:rPr>
        <w:t>a</w:t>
      </w:r>
      <w:r>
        <w:rPr>
          <w:spacing w:val="-29"/>
          <w:w w:val="110"/>
        </w:rPr>
        <w:t xml:space="preserve"> </w:t>
      </w:r>
      <w:r>
        <w:rPr>
          <w:w w:val="110"/>
        </w:rPr>
        <w:t>dementia,</w:t>
      </w:r>
      <w:r>
        <w:rPr>
          <w:spacing w:val="-19"/>
          <w:w w:val="110"/>
        </w:rPr>
        <w:t xml:space="preserve"> </w:t>
      </w:r>
      <w:r>
        <w:rPr>
          <w:w w:val="110"/>
        </w:rPr>
        <w:t>a</w:t>
      </w:r>
      <w:r>
        <w:rPr>
          <w:spacing w:val="-30"/>
          <w:w w:val="110"/>
        </w:rPr>
        <w:t xml:space="preserve"> </w:t>
      </w:r>
      <w:r>
        <w:rPr>
          <w:w w:val="110"/>
        </w:rPr>
        <w:t>superimposed</w:t>
      </w:r>
      <w:r>
        <w:rPr>
          <w:spacing w:val="-18"/>
          <w:w w:val="110"/>
        </w:rPr>
        <w:t xml:space="preserve"> </w:t>
      </w:r>
      <w:r>
        <w:rPr>
          <w:w w:val="110"/>
        </w:rPr>
        <w:t>Delirium Due</w:t>
      </w:r>
      <w:r>
        <w:rPr>
          <w:spacing w:val="-11"/>
          <w:w w:val="110"/>
        </w:rPr>
        <w:t xml:space="preserve"> </w:t>
      </w:r>
      <w:r>
        <w:rPr>
          <w:w w:val="110"/>
        </w:rPr>
        <w:t>to</w:t>
      </w:r>
      <w:r>
        <w:rPr>
          <w:spacing w:val="-15"/>
          <w:w w:val="110"/>
        </w:rPr>
        <w:t xml:space="preserve"> </w:t>
      </w:r>
      <w:r>
        <w:rPr>
          <w:w w:val="110"/>
        </w:rPr>
        <w:t>a</w:t>
      </w:r>
      <w:r>
        <w:rPr>
          <w:spacing w:val="-10"/>
          <w:w w:val="110"/>
        </w:rPr>
        <w:t xml:space="preserve"> </w:t>
      </w:r>
      <w:r>
        <w:rPr>
          <w:w w:val="110"/>
        </w:rPr>
        <w:t>General</w:t>
      </w:r>
      <w:r>
        <w:rPr>
          <w:spacing w:val="-9"/>
          <w:w w:val="110"/>
        </w:rPr>
        <w:t xml:space="preserve"> </w:t>
      </w:r>
      <w:r>
        <w:rPr>
          <w:w w:val="110"/>
        </w:rPr>
        <w:t>Medical</w:t>
      </w:r>
      <w:r>
        <w:rPr>
          <w:spacing w:val="-9"/>
          <w:w w:val="110"/>
        </w:rPr>
        <w:t xml:space="preserve"> </w:t>
      </w:r>
      <w:r>
        <w:rPr>
          <w:w w:val="110"/>
        </w:rPr>
        <w:t>Condition</w:t>
      </w:r>
      <w:r>
        <w:rPr>
          <w:spacing w:val="-8"/>
          <w:w w:val="110"/>
        </w:rPr>
        <w:t xml:space="preserve"> </w:t>
      </w:r>
      <w:r>
        <w:rPr>
          <w:w w:val="110"/>
        </w:rPr>
        <w:t>should</w:t>
      </w:r>
      <w:r>
        <w:rPr>
          <w:spacing w:val="-10"/>
          <w:w w:val="110"/>
        </w:rPr>
        <w:t xml:space="preserve"> </w:t>
      </w:r>
      <w:r>
        <w:rPr>
          <w:w w:val="110"/>
        </w:rPr>
        <w:t>be</w:t>
      </w:r>
      <w:r>
        <w:rPr>
          <w:spacing w:val="-8"/>
          <w:w w:val="110"/>
        </w:rPr>
        <w:t xml:space="preserve"> </w:t>
      </w:r>
      <w:r>
        <w:rPr>
          <w:w w:val="110"/>
        </w:rPr>
        <w:t>noted</w:t>
      </w:r>
      <w:r>
        <w:rPr>
          <w:spacing w:val="-4"/>
          <w:w w:val="110"/>
        </w:rPr>
        <w:t xml:space="preserve"> </w:t>
      </w:r>
      <w:r>
        <w:rPr>
          <w:w w:val="110"/>
        </w:rPr>
        <w:t>by</w:t>
      </w:r>
      <w:r>
        <w:rPr>
          <w:spacing w:val="-17"/>
          <w:w w:val="110"/>
        </w:rPr>
        <w:t xml:space="preserve"> </w:t>
      </w:r>
      <w:r>
        <w:rPr>
          <w:w w:val="110"/>
        </w:rPr>
        <w:t>coding</w:t>
      </w:r>
      <w:r>
        <w:rPr>
          <w:spacing w:val="-12"/>
          <w:w w:val="110"/>
        </w:rPr>
        <w:t xml:space="preserve"> </w:t>
      </w:r>
      <w:r>
        <w:rPr>
          <w:w w:val="110"/>
        </w:rPr>
        <w:t>both</w:t>
      </w:r>
      <w:r>
        <w:rPr>
          <w:spacing w:val="-11"/>
          <w:w w:val="110"/>
        </w:rPr>
        <w:t xml:space="preserve"> </w:t>
      </w:r>
      <w:r>
        <w:rPr>
          <w:w w:val="110"/>
        </w:rPr>
        <w:t>the</w:t>
      </w:r>
      <w:r>
        <w:rPr>
          <w:spacing w:val="-16"/>
          <w:w w:val="110"/>
        </w:rPr>
        <w:t xml:space="preserve"> </w:t>
      </w:r>
      <w:r>
        <w:rPr>
          <w:w w:val="110"/>
        </w:rPr>
        <w:t>dementia</w:t>
      </w:r>
      <w:r>
        <w:rPr>
          <w:spacing w:val="-7"/>
          <w:w w:val="110"/>
        </w:rPr>
        <w:t xml:space="preserve"> </w:t>
      </w:r>
      <w:r>
        <w:rPr>
          <w:w w:val="110"/>
        </w:rPr>
        <w:t>and the delirium on Axis I (e.g., 294.1 Dementia Due to Parkinson's Disease and 293.0 Delirium Due to Hepatic Encephalopathy). This is in contrast to Dementia of the Alzheimer's Type and Vascular Dementia, in which the With Delirium subtype is specified.</w:t>
      </w:r>
    </w:p>
    <w:p w:rsidR="00E675F0" w:rsidRDefault="00E675F0" w:rsidP="00E675F0">
      <w:pPr>
        <w:spacing w:line="254" w:lineRule="auto"/>
        <w:jc w:val="both"/>
        <w:sectPr w:rsidR="00E675F0">
          <w:pgSz w:w="8960" w:h="14260"/>
          <w:pgMar w:top="1400" w:right="600" w:bottom="280" w:left="600" w:header="701" w:footer="0" w:gutter="0"/>
          <w:cols w:space="720"/>
        </w:sectPr>
      </w:pPr>
    </w:p>
    <w:p w:rsidR="00E675F0" w:rsidRDefault="00E675F0" w:rsidP="00E675F0">
      <w:pPr>
        <w:tabs>
          <w:tab w:val="left" w:pos="2441"/>
        </w:tabs>
        <w:spacing w:before="165"/>
        <w:ind w:left="1539"/>
        <w:rPr>
          <w:rFonts w:ascii="Arial"/>
          <w:b/>
          <w:sz w:val="25"/>
        </w:rPr>
      </w:pPr>
      <w:bookmarkStart w:id="93" w:name="_bookmark76"/>
      <w:bookmarkEnd w:id="93"/>
      <w:r>
        <w:rPr>
          <w:rFonts w:ascii="Arial"/>
          <w:b/>
          <w:w w:val="110"/>
          <w:sz w:val="25"/>
        </w:rPr>
        <w:lastRenderedPageBreak/>
        <w:t>294.9</w:t>
      </w:r>
      <w:r>
        <w:rPr>
          <w:rFonts w:ascii="Arial"/>
          <w:b/>
          <w:w w:val="110"/>
          <w:sz w:val="25"/>
        </w:rPr>
        <w:tab/>
        <w:t>Dementia Due to HIV</w:t>
      </w:r>
      <w:r>
        <w:rPr>
          <w:rFonts w:ascii="Arial"/>
          <w:b/>
          <w:spacing w:val="2"/>
          <w:w w:val="110"/>
          <w:sz w:val="25"/>
        </w:rPr>
        <w:t xml:space="preserve"> </w:t>
      </w:r>
      <w:r>
        <w:rPr>
          <w:rFonts w:ascii="Arial"/>
          <w:b/>
          <w:w w:val="110"/>
          <w:sz w:val="25"/>
        </w:rPr>
        <w:t>Disease</w:t>
      </w:r>
    </w:p>
    <w:p w:rsidR="00E675F0" w:rsidRDefault="00E675F0" w:rsidP="00E675F0">
      <w:pPr>
        <w:pStyle w:val="BodyText"/>
        <w:spacing w:before="3"/>
        <w:rPr>
          <w:rFonts w:ascii="Arial"/>
          <w:b/>
          <w:sz w:val="24"/>
        </w:rPr>
      </w:pPr>
    </w:p>
    <w:p w:rsidR="00E675F0" w:rsidRDefault="00E675F0" w:rsidP="00E675F0">
      <w:pPr>
        <w:pStyle w:val="BodyText"/>
        <w:spacing w:line="254" w:lineRule="auto"/>
        <w:ind w:left="121" w:right="136" w:hanging="1"/>
        <w:jc w:val="both"/>
      </w:pPr>
      <w:r>
        <w:rPr>
          <w:w w:val="105"/>
        </w:rPr>
        <w:t>The essential feature of Dementia Due to HIV Disease is the presence  of  a dementia that is judged to be the direct pathophysiological consequence of human immunodefici­ ency virus (HIV) disease. Neuropathological findings most commonly involve diffuse, multifocal destruction of the white matter and subcortical structures. The spinal fluid may show normal or slightly elevated protein and a mild lymphocytosis, and HIV can usually be isolated directly from cerebrospinal fluid. Dementia that is associated with direct HIV infection of the central nervous system is typically characterized by forgetful­ ness, slowness, poor concentration, and difficulties with problem solving. Behavioral manifestations most commonly include apathy and social withdrawal, and occasionally these may be accompanied by delirium, delusions, or hallucinations. Tremor, impaired rapid repetitive movements, imbalance, ataxia, hypertonia, generalized hyperreflexia, positive frontal release signs, and impaired  pursuit and saccadic eye movements  may  be present on physical examination. Children may also develop Dementia Due to HIV Disease, typically manifested by developmental delay, hypertonia, microcephaly, and basal ganglia calcification. Dementia in association with HIV infection may also result from accompanying central nervous system tumors (e.g., primary central nervous system lymphoma) and from opportunistic infections (e.g., toxoplasmosis, cytomegalovirus infection, cryptococcosis, tuberculosis, and syphilis), in which case the appropriate type of dementia should be diagnosed (e.g., 294.1 Dementia Due to Toxoplasmosis). Unusual systemic infections (e.g., Pneumocystis carinii pneumonia) or neoplasms (e.g., Kaposi's sarcoma) may also be</w:t>
      </w:r>
      <w:r>
        <w:rPr>
          <w:spacing w:val="51"/>
          <w:w w:val="105"/>
        </w:rPr>
        <w:t xml:space="preserve"> </w:t>
      </w:r>
      <w:r>
        <w:rPr>
          <w:w w:val="105"/>
        </w:rPr>
        <w:t>present.</w:t>
      </w:r>
    </w:p>
    <w:p w:rsidR="00E675F0" w:rsidRDefault="00E675F0" w:rsidP="00E675F0">
      <w:pPr>
        <w:pStyle w:val="BodyText"/>
        <w:spacing w:before="9"/>
        <w:rPr>
          <w:sz w:val="25"/>
        </w:rPr>
      </w:pPr>
    </w:p>
    <w:p w:rsidR="00E675F0" w:rsidRDefault="00E675F0" w:rsidP="00E675F0">
      <w:pPr>
        <w:tabs>
          <w:tab w:val="left" w:pos="2344"/>
        </w:tabs>
        <w:ind w:left="1433"/>
        <w:rPr>
          <w:rFonts w:ascii="Arial"/>
          <w:b/>
          <w:sz w:val="25"/>
        </w:rPr>
      </w:pPr>
      <w:r>
        <w:rPr>
          <w:rFonts w:ascii="Arial"/>
          <w:b/>
          <w:w w:val="110"/>
          <w:sz w:val="25"/>
        </w:rPr>
        <w:t>294.</w:t>
      </w:r>
      <w:r>
        <w:rPr>
          <w:rFonts w:ascii="Arial"/>
          <w:b/>
          <w:spacing w:val="-52"/>
          <w:w w:val="110"/>
          <w:sz w:val="25"/>
        </w:rPr>
        <w:t xml:space="preserve"> </w:t>
      </w:r>
      <w:r>
        <w:rPr>
          <w:rFonts w:ascii="Arial"/>
          <w:b/>
          <w:w w:val="110"/>
          <w:sz w:val="25"/>
        </w:rPr>
        <w:t>I</w:t>
      </w:r>
      <w:r>
        <w:rPr>
          <w:rFonts w:ascii="Arial"/>
          <w:b/>
          <w:w w:val="110"/>
          <w:sz w:val="25"/>
        </w:rPr>
        <w:tab/>
        <w:t>Dementia Due to Head</w:t>
      </w:r>
      <w:r>
        <w:rPr>
          <w:rFonts w:ascii="Arial"/>
          <w:b/>
          <w:spacing w:val="-16"/>
          <w:w w:val="110"/>
          <w:sz w:val="25"/>
        </w:rPr>
        <w:t xml:space="preserve"> </w:t>
      </w:r>
      <w:r>
        <w:rPr>
          <w:rFonts w:ascii="Arial"/>
          <w:b/>
          <w:w w:val="110"/>
          <w:sz w:val="25"/>
        </w:rPr>
        <w:t>Trauma</w:t>
      </w:r>
    </w:p>
    <w:p w:rsidR="00E675F0" w:rsidRDefault="00E675F0" w:rsidP="00E675F0">
      <w:pPr>
        <w:pStyle w:val="BodyText"/>
        <w:spacing w:before="227" w:line="252" w:lineRule="auto"/>
        <w:ind w:left="123" w:right="140" w:hanging="4"/>
        <w:jc w:val="both"/>
      </w:pPr>
      <w:r>
        <w:rPr>
          <w:w w:val="105"/>
        </w:rPr>
        <w:t>The essential feature of Dementia Due to Head Trauma is the presence of a dementia that is judged to be the direct pathophysiological consequence of head trauma. The degree and type of cognitive impairments or behavioral disturbances depend on the location</w:t>
      </w:r>
      <w:r>
        <w:rPr>
          <w:spacing w:val="-6"/>
          <w:w w:val="105"/>
        </w:rPr>
        <w:t xml:space="preserve"> </w:t>
      </w:r>
      <w:r>
        <w:rPr>
          <w:w w:val="105"/>
        </w:rPr>
        <w:t>and</w:t>
      </w:r>
      <w:r>
        <w:rPr>
          <w:spacing w:val="-10"/>
          <w:w w:val="105"/>
        </w:rPr>
        <w:t xml:space="preserve"> </w:t>
      </w:r>
      <w:r>
        <w:rPr>
          <w:w w:val="105"/>
        </w:rPr>
        <w:t>extent</w:t>
      </w:r>
      <w:r>
        <w:rPr>
          <w:spacing w:val="-9"/>
          <w:w w:val="105"/>
        </w:rPr>
        <w:t xml:space="preserve"> </w:t>
      </w:r>
      <w:r>
        <w:rPr>
          <w:w w:val="105"/>
        </w:rPr>
        <w:t>of</w:t>
      </w:r>
      <w:r>
        <w:rPr>
          <w:spacing w:val="-1"/>
          <w:w w:val="105"/>
        </w:rPr>
        <w:t xml:space="preserve"> </w:t>
      </w:r>
      <w:r>
        <w:rPr>
          <w:w w:val="105"/>
        </w:rPr>
        <w:t>the</w:t>
      </w:r>
      <w:r>
        <w:rPr>
          <w:spacing w:val="-11"/>
          <w:w w:val="105"/>
        </w:rPr>
        <w:t xml:space="preserve"> </w:t>
      </w:r>
      <w:r>
        <w:rPr>
          <w:w w:val="105"/>
        </w:rPr>
        <w:t>brain</w:t>
      </w:r>
      <w:r>
        <w:rPr>
          <w:spacing w:val="-3"/>
          <w:w w:val="105"/>
        </w:rPr>
        <w:t xml:space="preserve"> </w:t>
      </w:r>
      <w:r>
        <w:rPr>
          <w:w w:val="105"/>
        </w:rPr>
        <w:t>injury.</w:t>
      </w:r>
      <w:r>
        <w:rPr>
          <w:spacing w:val="-6"/>
          <w:w w:val="105"/>
        </w:rPr>
        <w:t xml:space="preserve"> </w:t>
      </w:r>
      <w:r>
        <w:rPr>
          <w:w w:val="105"/>
        </w:rPr>
        <w:t>Posttraumatic amnesia</w:t>
      </w:r>
      <w:r>
        <w:rPr>
          <w:spacing w:val="-2"/>
          <w:w w:val="105"/>
        </w:rPr>
        <w:t xml:space="preserve"> </w:t>
      </w:r>
      <w:r>
        <w:rPr>
          <w:w w:val="105"/>
        </w:rPr>
        <w:t>is</w:t>
      </w:r>
      <w:r>
        <w:rPr>
          <w:spacing w:val="-17"/>
          <w:w w:val="105"/>
        </w:rPr>
        <w:t xml:space="preserve"> </w:t>
      </w:r>
      <w:r>
        <w:rPr>
          <w:w w:val="105"/>
        </w:rPr>
        <w:t>frequently</w:t>
      </w:r>
      <w:r>
        <w:rPr>
          <w:spacing w:val="-3"/>
          <w:w w:val="105"/>
        </w:rPr>
        <w:t xml:space="preserve"> </w:t>
      </w:r>
      <w:r>
        <w:rPr>
          <w:w w:val="105"/>
        </w:rPr>
        <w:t>present,</w:t>
      </w:r>
      <w:r>
        <w:rPr>
          <w:spacing w:val="-8"/>
          <w:w w:val="105"/>
        </w:rPr>
        <w:t xml:space="preserve"> </w:t>
      </w:r>
      <w:r>
        <w:rPr>
          <w:w w:val="105"/>
        </w:rPr>
        <w:t>along with persisting memory impairment. A variety of other behavioral symptoms may be evident, with or without the presence of motor or sensory deficits. These symptoms include</w:t>
      </w:r>
      <w:r>
        <w:rPr>
          <w:spacing w:val="-14"/>
          <w:w w:val="105"/>
        </w:rPr>
        <w:t xml:space="preserve"> </w:t>
      </w:r>
      <w:r>
        <w:rPr>
          <w:w w:val="105"/>
        </w:rPr>
        <w:t>aphasia,</w:t>
      </w:r>
      <w:r>
        <w:rPr>
          <w:spacing w:val="-10"/>
          <w:w w:val="105"/>
        </w:rPr>
        <w:t xml:space="preserve"> </w:t>
      </w:r>
      <w:r>
        <w:rPr>
          <w:w w:val="105"/>
        </w:rPr>
        <w:t>attentional</w:t>
      </w:r>
      <w:r>
        <w:rPr>
          <w:spacing w:val="1"/>
          <w:w w:val="105"/>
        </w:rPr>
        <w:t xml:space="preserve"> </w:t>
      </w:r>
      <w:r>
        <w:rPr>
          <w:w w:val="105"/>
        </w:rPr>
        <w:t>problems,</w:t>
      </w:r>
      <w:r>
        <w:rPr>
          <w:spacing w:val="-8"/>
          <w:w w:val="105"/>
        </w:rPr>
        <w:t xml:space="preserve"> </w:t>
      </w:r>
      <w:r>
        <w:rPr>
          <w:w w:val="105"/>
        </w:rPr>
        <w:t>irritability,</w:t>
      </w:r>
      <w:r>
        <w:rPr>
          <w:spacing w:val="-2"/>
          <w:w w:val="105"/>
        </w:rPr>
        <w:t xml:space="preserve"> </w:t>
      </w:r>
      <w:r>
        <w:rPr>
          <w:w w:val="105"/>
        </w:rPr>
        <w:t>anxiety,</w:t>
      </w:r>
      <w:r>
        <w:rPr>
          <w:spacing w:val="-13"/>
          <w:w w:val="105"/>
        </w:rPr>
        <w:t xml:space="preserve"> </w:t>
      </w:r>
      <w:r>
        <w:rPr>
          <w:w w:val="105"/>
        </w:rPr>
        <w:t>depression</w:t>
      </w:r>
      <w:r>
        <w:rPr>
          <w:spacing w:val="-4"/>
          <w:w w:val="105"/>
        </w:rPr>
        <w:t xml:space="preserve"> </w:t>
      </w:r>
      <w:r>
        <w:rPr>
          <w:w w:val="105"/>
        </w:rPr>
        <w:t>or</w:t>
      </w:r>
      <w:r>
        <w:rPr>
          <w:spacing w:val="-23"/>
          <w:w w:val="105"/>
        </w:rPr>
        <w:t xml:space="preserve"> </w:t>
      </w:r>
      <w:r>
        <w:rPr>
          <w:w w:val="105"/>
        </w:rPr>
        <w:t>affective</w:t>
      </w:r>
      <w:r>
        <w:rPr>
          <w:spacing w:val="-23"/>
          <w:w w:val="105"/>
        </w:rPr>
        <w:t xml:space="preserve"> </w:t>
      </w:r>
      <w:r>
        <w:rPr>
          <w:w w:val="105"/>
        </w:rPr>
        <w:t>!ability, apathy,</w:t>
      </w:r>
      <w:r>
        <w:rPr>
          <w:spacing w:val="-1"/>
          <w:w w:val="105"/>
        </w:rPr>
        <w:t xml:space="preserve"> </w:t>
      </w:r>
      <w:r>
        <w:rPr>
          <w:w w:val="105"/>
        </w:rPr>
        <w:t>increased</w:t>
      </w:r>
      <w:r>
        <w:rPr>
          <w:spacing w:val="3"/>
          <w:w w:val="105"/>
        </w:rPr>
        <w:t xml:space="preserve"> </w:t>
      </w:r>
      <w:r>
        <w:rPr>
          <w:w w:val="105"/>
        </w:rPr>
        <w:t>aggression,</w:t>
      </w:r>
      <w:r>
        <w:rPr>
          <w:spacing w:val="-1"/>
          <w:w w:val="105"/>
        </w:rPr>
        <w:t xml:space="preserve"> </w:t>
      </w:r>
      <w:r>
        <w:rPr>
          <w:w w:val="105"/>
        </w:rPr>
        <w:t>or</w:t>
      </w:r>
      <w:r>
        <w:rPr>
          <w:spacing w:val="-16"/>
          <w:w w:val="105"/>
        </w:rPr>
        <w:t xml:space="preserve"> </w:t>
      </w:r>
      <w:r>
        <w:rPr>
          <w:w w:val="105"/>
        </w:rPr>
        <w:t>other</w:t>
      </w:r>
      <w:r>
        <w:rPr>
          <w:spacing w:val="-10"/>
          <w:w w:val="105"/>
        </w:rPr>
        <w:t xml:space="preserve"> </w:t>
      </w:r>
      <w:r>
        <w:rPr>
          <w:w w:val="105"/>
        </w:rPr>
        <w:t>changes</w:t>
      </w:r>
      <w:r>
        <w:rPr>
          <w:spacing w:val="-11"/>
          <w:w w:val="105"/>
        </w:rPr>
        <w:t xml:space="preserve"> </w:t>
      </w:r>
      <w:r>
        <w:rPr>
          <w:w w:val="105"/>
        </w:rPr>
        <w:t>in</w:t>
      </w:r>
      <w:r>
        <w:rPr>
          <w:spacing w:val="-11"/>
          <w:w w:val="105"/>
        </w:rPr>
        <w:t xml:space="preserve"> </w:t>
      </w:r>
      <w:r>
        <w:rPr>
          <w:w w:val="105"/>
        </w:rPr>
        <w:t>personality.</w:t>
      </w:r>
      <w:r>
        <w:rPr>
          <w:spacing w:val="3"/>
          <w:w w:val="105"/>
        </w:rPr>
        <w:t xml:space="preserve"> </w:t>
      </w:r>
      <w:r>
        <w:rPr>
          <w:w w:val="105"/>
        </w:rPr>
        <w:t>Alcohol</w:t>
      </w:r>
      <w:r>
        <w:rPr>
          <w:spacing w:val="-2"/>
          <w:w w:val="105"/>
        </w:rPr>
        <w:t xml:space="preserve"> </w:t>
      </w:r>
      <w:r>
        <w:rPr>
          <w:w w:val="105"/>
        </w:rPr>
        <w:t>or</w:t>
      </w:r>
      <w:r>
        <w:rPr>
          <w:spacing w:val="-15"/>
          <w:w w:val="105"/>
        </w:rPr>
        <w:t xml:space="preserve"> </w:t>
      </w:r>
      <w:r>
        <w:rPr>
          <w:w w:val="105"/>
        </w:rPr>
        <w:t>other</w:t>
      </w:r>
      <w:r>
        <w:rPr>
          <w:spacing w:val="-15"/>
          <w:w w:val="105"/>
        </w:rPr>
        <w:t xml:space="preserve"> </w:t>
      </w:r>
      <w:r>
        <w:rPr>
          <w:w w:val="105"/>
        </w:rPr>
        <w:t>Substance Intoxication is often present in individuals with acute head injuries, and concurrent Substance Abuse or Dependence may be present. Head injury occurs most often in young males and has been associated with risk-taking behaviors. When it occurs in the context of a single injury, Dementia Due to Head Trauma is usually nonprogressive, but repeated head injury (e.g., from boxing) may lead to a progressive dementia (so called dementia pugilistica). A single head trauma that is followed by a progressive decline in cognitive function should raise the possibility of another superimposed process such as hydrocephalus or a Major Depressive</w:t>
      </w:r>
      <w:r>
        <w:rPr>
          <w:spacing w:val="13"/>
          <w:w w:val="105"/>
        </w:rPr>
        <w:t xml:space="preserve"> </w:t>
      </w:r>
      <w:r>
        <w:rPr>
          <w:w w:val="105"/>
        </w:rPr>
        <w:t>Episode.</w:t>
      </w:r>
    </w:p>
    <w:p w:rsidR="00E675F0" w:rsidRDefault="00E675F0" w:rsidP="00E675F0">
      <w:pPr>
        <w:pStyle w:val="BodyText"/>
        <w:spacing w:before="4"/>
        <w:rPr>
          <w:sz w:val="26"/>
        </w:rPr>
      </w:pPr>
    </w:p>
    <w:p w:rsidR="00E675F0" w:rsidRDefault="00E675F0" w:rsidP="00E675F0">
      <w:pPr>
        <w:tabs>
          <w:tab w:val="left" w:pos="1960"/>
        </w:tabs>
        <w:ind w:left="1048"/>
        <w:rPr>
          <w:rFonts w:ascii="Arial"/>
          <w:b/>
          <w:sz w:val="25"/>
        </w:rPr>
      </w:pPr>
      <w:r>
        <w:rPr>
          <w:rFonts w:ascii="Arial"/>
          <w:b/>
          <w:w w:val="110"/>
          <w:sz w:val="25"/>
        </w:rPr>
        <w:t>294.</w:t>
      </w:r>
      <w:r>
        <w:rPr>
          <w:rFonts w:ascii="Arial"/>
          <w:b/>
          <w:spacing w:val="-53"/>
          <w:w w:val="110"/>
          <w:sz w:val="25"/>
        </w:rPr>
        <w:t xml:space="preserve"> </w:t>
      </w:r>
      <w:r>
        <w:rPr>
          <w:rFonts w:ascii="Arial"/>
          <w:b/>
          <w:w w:val="110"/>
          <w:sz w:val="25"/>
        </w:rPr>
        <w:t>I</w:t>
      </w:r>
      <w:r>
        <w:rPr>
          <w:rFonts w:ascii="Arial"/>
          <w:b/>
          <w:w w:val="110"/>
          <w:sz w:val="25"/>
        </w:rPr>
        <w:tab/>
        <w:t>Dementia Due to Parkinson's</w:t>
      </w:r>
      <w:r>
        <w:rPr>
          <w:rFonts w:ascii="Arial"/>
          <w:b/>
          <w:spacing w:val="-41"/>
          <w:w w:val="110"/>
          <w:sz w:val="25"/>
        </w:rPr>
        <w:t xml:space="preserve"> </w:t>
      </w:r>
      <w:r>
        <w:rPr>
          <w:rFonts w:ascii="Arial"/>
          <w:b/>
          <w:w w:val="110"/>
          <w:sz w:val="25"/>
        </w:rPr>
        <w:t>Disease</w:t>
      </w:r>
    </w:p>
    <w:p w:rsidR="00E675F0" w:rsidRDefault="00E675F0" w:rsidP="00E675F0">
      <w:pPr>
        <w:pStyle w:val="BodyText"/>
        <w:spacing w:before="236" w:line="256" w:lineRule="auto"/>
        <w:ind w:left="124" w:right="148" w:hanging="5"/>
        <w:jc w:val="both"/>
      </w:pPr>
      <w:r>
        <w:rPr>
          <w:w w:val="105"/>
        </w:rPr>
        <w:t>The essential feature of Dementia Due to Parkinson's Disease is the presence of a dementia that is judged to be the direct pathophysiological consequence of Parkinson's disease. Parkinson's disease is a slowly progressive neurological condition, characterized</w:t>
      </w:r>
    </w:p>
    <w:p w:rsidR="00E675F0" w:rsidRDefault="00E675F0" w:rsidP="00E675F0">
      <w:pPr>
        <w:spacing w:line="256" w:lineRule="auto"/>
        <w:jc w:val="both"/>
        <w:sectPr w:rsidR="00E675F0">
          <w:pgSz w:w="8960" w:h="14260"/>
          <w:pgMar w:top="1400" w:right="600" w:bottom="280" w:left="600" w:header="714" w:footer="0" w:gutter="0"/>
          <w:cols w:space="720"/>
        </w:sectPr>
      </w:pPr>
    </w:p>
    <w:p w:rsidR="00E675F0" w:rsidRDefault="00E675F0" w:rsidP="00E675F0">
      <w:pPr>
        <w:pStyle w:val="BodyText"/>
        <w:spacing w:before="134" w:line="254" w:lineRule="auto"/>
        <w:ind w:left="115" w:right="157" w:firstLine="16"/>
        <w:jc w:val="both"/>
      </w:pPr>
      <w:bookmarkStart w:id="94" w:name="_bookmark77"/>
      <w:bookmarkEnd w:id="94"/>
      <w:r>
        <w:rPr>
          <w:w w:val="105"/>
        </w:rPr>
        <w:lastRenderedPageBreak/>
        <w:t>by tremor, rigidity, bradykinesia, and postural instability. Dementia  has been reported to occur in approximately 20%--60% of individuals with Parkinson's disease and is more likely to be present in older individuals or those with more severe or advanced disease. The dementia associated with Parkinson's disease is characterized by cognitive and motoric slowing, executive dysfunction, and impairment in memory retrieval. Declining cognitive performance in individuals with Parkinson's disease is frequently exacerbated by depression. Findings on physical examination include the characteristic abnormal motor signs of resting tremor, evidence of slowness and poverty of movement (such as micrographia), or muscular rigidity and loss of associated movements. At autopsy, neuronal loss and Lewy bodies are evident in the substantia  nigra. There are a number of syndromes that may manifest with dementia, parkinsonian movement disorders, and additional neurological features (e.g., progressive supranudear palsy, olivoponto­ cerebellar degeneration, and Vascular Dementia). Some individuals with Parkinson's disease and dementia are found at autopsy to have coexisting neuropathology indicative of Alzheimer's disease or of diffuse Lewy body</w:t>
      </w:r>
      <w:r>
        <w:rPr>
          <w:spacing w:val="14"/>
          <w:w w:val="105"/>
        </w:rPr>
        <w:t xml:space="preserve"> </w:t>
      </w:r>
      <w:r>
        <w:rPr>
          <w:w w:val="105"/>
        </w:rPr>
        <w:t>disease.</w:t>
      </w:r>
    </w:p>
    <w:p w:rsidR="00E675F0" w:rsidRDefault="00E675F0" w:rsidP="00E675F0">
      <w:pPr>
        <w:pStyle w:val="BodyText"/>
        <w:rPr>
          <w:sz w:val="22"/>
        </w:rPr>
      </w:pPr>
    </w:p>
    <w:p w:rsidR="00E675F0" w:rsidRDefault="00E675F0" w:rsidP="00E675F0">
      <w:pPr>
        <w:pStyle w:val="BodyText"/>
        <w:spacing w:before="3"/>
        <w:rPr>
          <w:sz w:val="23"/>
        </w:rPr>
      </w:pPr>
    </w:p>
    <w:p w:rsidR="00E675F0" w:rsidRDefault="00E675F0" w:rsidP="00E675F0">
      <w:pPr>
        <w:tabs>
          <w:tab w:val="left" w:pos="1882"/>
        </w:tabs>
        <w:ind w:left="976"/>
        <w:rPr>
          <w:rFonts w:ascii="Arial"/>
          <w:b/>
          <w:sz w:val="26"/>
        </w:rPr>
      </w:pPr>
      <w:r>
        <w:rPr>
          <w:rFonts w:ascii="Arial"/>
          <w:b/>
          <w:sz w:val="26"/>
        </w:rPr>
        <w:t>294.1</w:t>
      </w:r>
      <w:r>
        <w:rPr>
          <w:rFonts w:ascii="Arial"/>
          <w:b/>
          <w:sz w:val="26"/>
        </w:rPr>
        <w:tab/>
        <w:t>Dementia Due to Huntington's</w:t>
      </w:r>
      <w:r>
        <w:rPr>
          <w:rFonts w:ascii="Arial"/>
          <w:b/>
          <w:spacing w:val="31"/>
          <w:sz w:val="26"/>
        </w:rPr>
        <w:t xml:space="preserve"> </w:t>
      </w:r>
      <w:r>
        <w:rPr>
          <w:rFonts w:ascii="Arial"/>
          <w:b/>
          <w:sz w:val="26"/>
        </w:rPr>
        <w:t>Disease</w:t>
      </w:r>
    </w:p>
    <w:p w:rsidR="00E675F0" w:rsidRDefault="00E675F0" w:rsidP="00E675F0">
      <w:pPr>
        <w:pStyle w:val="BodyText"/>
        <w:spacing w:before="1"/>
        <w:rPr>
          <w:rFonts w:ascii="Arial"/>
          <w:b/>
          <w:sz w:val="24"/>
        </w:rPr>
      </w:pPr>
    </w:p>
    <w:p w:rsidR="00E675F0" w:rsidRDefault="00E675F0" w:rsidP="00E675F0">
      <w:pPr>
        <w:pStyle w:val="BodyText"/>
        <w:spacing w:before="1" w:line="254" w:lineRule="auto"/>
        <w:ind w:left="120" w:right="152" w:firstLine="4"/>
        <w:jc w:val="both"/>
      </w:pPr>
      <w:r>
        <w:rPr>
          <w:w w:val="105"/>
        </w:rPr>
        <w:t>The essential feature of Dementia Due to Huntington's Disease is the presence of a dementia that is judged to be the direct pathophysiological consequence of Huntington's disease. Huntington's disease is an inherited progressive degenerative disease of cognition, emotion, and movement. The disease affects men and women equally and is transmitted by a single autosomal dominant gene on the short arm of chromosome 4. The disease is usually diagnosed in the late 30s to early 40s but may begin as early as age 4 years in the juvenile form or as late as age 85 years in the late-onset form. The onset of Huntington's disease is often heralded by insidious changes in behavior and personality, including depression, irritability, and anxiety. Some individuals present with abnormalities of movement that resemble increased fidgeting and that later progress to characteristic generalized choreoathetosis. Difficulties with memory retrieval, executive functioning, and judgment are common early in the course, with more severe memory deficits occurring as the disease progresses. Disorganized speech and psychotic features are</w:t>
      </w:r>
      <w:r>
        <w:rPr>
          <w:spacing w:val="-17"/>
          <w:w w:val="105"/>
        </w:rPr>
        <w:t xml:space="preserve"> </w:t>
      </w:r>
      <w:r>
        <w:rPr>
          <w:w w:val="105"/>
        </w:rPr>
        <w:t>sometimes</w:t>
      </w:r>
      <w:r>
        <w:rPr>
          <w:spacing w:val="6"/>
          <w:w w:val="105"/>
        </w:rPr>
        <w:t xml:space="preserve"> </w:t>
      </w:r>
      <w:r>
        <w:rPr>
          <w:w w:val="105"/>
        </w:rPr>
        <w:t>present.</w:t>
      </w:r>
      <w:r>
        <w:rPr>
          <w:spacing w:val="1"/>
          <w:w w:val="105"/>
        </w:rPr>
        <w:t xml:space="preserve"> </w:t>
      </w:r>
      <w:r>
        <w:rPr>
          <w:w w:val="105"/>
        </w:rPr>
        <w:t>Late</w:t>
      </w:r>
      <w:r>
        <w:rPr>
          <w:spacing w:val="-11"/>
          <w:w w:val="105"/>
        </w:rPr>
        <w:t xml:space="preserve"> </w:t>
      </w:r>
      <w:r>
        <w:rPr>
          <w:w w:val="105"/>
        </w:rPr>
        <w:t>in</w:t>
      </w:r>
      <w:r>
        <w:rPr>
          <w:spacing w:val="-5"/>
          <w:w w:val="105"/>
        </w:rPr>
        <w:t xml:space="preserve"> </w:t>
      </w:r>
      <w:r>
        <w:rPr>
          <w:w w:val="105"/>
        </w:rPr>
        <w:t>the</w:t>
      </w:r>
      <w:r>
        <w:rPr>
          <w:spacing w:val="-14"/>
          <w:w w:val="105"/>
        </w:rPr>
        <w:t xml:space="preserve"> </w:t>
      </w:r>
      <w:r>
        <w:rPr>
          <w:w w:val="105"/>
        </w:rPr>
        <w:t>disease,</w:t>
      </w:r>
      <w:r>
        <w:rPr>
          <w:spacing w:val="2"/>
          <w:w w:val="105"/>
        </w:rPr>
        <w:t xml:space="preserve"> </w:t>
      </w:r>
      <w:r>
        <w:rPr>
          <w:w w:val="105"/>
        </w:rPr>
        <w:t>characteristic</w:t>
      </w:r>
      <w:r>
        <w:rPr>
          <w:spacing w:val="-20"/>
          <w:w w:val="105"/>
        </w:rPr>
        <w:t xml:space="preserve"> </w:t>
      </w:r>
      <w:r>
        <w:rPr>
          <w:w w:val="105"/>
        </w:rPr>
        <w:t>"boxcar</w:t>
      </w:r>
      <w:r>
        <w:rPr>
          <w:spacing w:val="-7"/>
          <w:w w:val="105"/>
        </w:rPr>
        <w:t xml:space="preserve"> </w:t>
      </w:r>
      <w:r>
        <w:rPr>
          <w:w w:val="105"/>
        </w:rPr>
        <w:t>ventricles"</w:t>
      </w:r>
      <w:r>
        <w:rPr>
          <w:spacing w:val="-2"/>
          <w:w w:val="105"/>
        </w:rPr>
        <w:t xml:space="preserve"> </w:t>
      </w:r>
      <w:r>
        <w:rPr>
          <w:w w:val="105"/>
        </w:rPr>
        <w:t>may</w:t>
      </w:r>
      <w:r>
        <w:rPr>
          <w:spacing w:val="-10"/>
          <w:w w:val="105"/>
        </w:rPr>
        <w:t xml:space="preserve"> </w:t>
      </w:r>
      <w:r>
        <w:rPr>
          <w:w w:val="105"/>
        </w:rPr>
        <w:t>be</w:t>
      </w:r>
      <w:r>
        <w:rPr>
          <w:spacing w:val="-11"/>
          <w:w w:val="105"/>
        </w:rPr>
        <w:t xml:space="preserve"> </w:t>
      </w:r>
      <w:r>
        <w:rPr>
          <w:w w:val="105"/>
        </w:rPr>
        <w:t>seen on structural brain imaging due to the atrophy of the striatum. Positron-emission tomography (PET) may show striatal hypometabolism early in the disease. Offspring of individuals with Huntington's disease have a 50% chance of developing the disease. A genetic test is available to determine with relative certainty whether a given at-risk individual is likely to develop the disease; however, such testing may be best adminis­ tered by centers with experience in counseling and follow-up of individuals at risk for Huntington's</w:t>
      </w:r>
      <w:r>
        <w:rPr>
          <w:spacing w:val="24"/>
          <w:w w:val="105"/>
        </w:rPr>
        <w:t xml:space="preserve"> </w:t>
      </w:r>
      <w:r>
        <w:rPr>
          <w:w w:val="105"/>
        </w:rPr>
        <w:t>disease.</w:t>
      </w:r>
    </w:p>
    <w:p w:rsidR="00E675F0" w:rsidRDefault="00E675F0" w:rsidP="00E675F0">
      <w:pPr>
        <w:pStyle w:val="BodyText"/>
        <w:rPr>
          <w:sz w:val="22"/>
        </w:rPr>
      </w:pPr>
    </w:p>
    <w:p w:rsidR="00E675F0" w:rsidRDefault="00E675F0" w:rsidP="00E675F0">
      <w:pPr>
        <w:pStyle w:val="BodyText"/>
        <w:spacing w:before="5"/>
        <w:rPr>
          <w:sz w:val="21"/>
        </w:rPr>
      </w:pPr>
    </w:p>
    <w:p w:rsidR="00E675F0" w:rsidRDefault="00E675F0" w:rsidP="00E675F0">
      <w:pPr>
        <w:tabs>
          <w:tab w:val="left" w:pos="2392"/>
        </w:tabs>
        <w:ind w:left="1322"/>
        <w:rPr>
          <w:rFonts w:ascii="Arial"/>
          <w:b/>
          <w:sz w:val="26"/>
        </w:rPr>
      </w:pPr>
      <w:r>
        <w:rPr>
          <w:rFonts w:ascii="Arial"/>
          <w:b/>
          <w:w w:val="105"/>
          <w:sz w:val="26"/>
        </w:rPr>
        <w:t>290.10</w:t>
      </w:r>
      <w:r>
        <w:rPr>
          <w:rFonts w:ascii="Arial"/>
          <w:b/>
          <w:w w:val="105"/>
          <w:sz w:val="26"/>
        </w:rPr>
        <w:tab/>
        <w:t>Dementia Due to Pick's</w:t>
      </w:r>
      <w:r>
        <w:rPr>
          <w:rFonts w:ascii="Arial"/>
          <w:b/>
          <w:spacing w:val="-24"/>
          <w:w w:val="105"/>
          <w:sz w:val="26"/>
        </w:rPr>
        <w:t xml:space="preserve"> </w:t>
      </w:r>
      <w:r>
        <w:rPr>
          <w:rFonts w:ascii="Arial"/>
          <w:b/>
          <w:w w:val="105"/>
          <w:sz w:val="26"/>
        </w:rPr>
        <w:t>Disease</w:t>
      </w:r>
    </w:p>
    <w:p w:rsidR="00E675F0" w:rsidRDefault="00E675F0" w:rsidP="00E675F0">
      <w:pPr>
        <w:pStyle w:val="BodyText"/>
        <w:spacing w:before="2"/>
        <w:rPr>
          <w:rFonts w:ascii="Arial"/>
          <w:b/>
          <w:sz w:val="24"/>
        </w:rPr>
      </w:pPr>
    </w:p>
    <w:p w:rsidR="00E675F0" w:rsidRDefault="00E675F0" w:rsidP="00E675F0">
      <w:pPr>
        <w:pStyle w:val="BodyText"/>
        <w:spacing w:line="256" w:lineRule="auto"/>
        <w:ind w:left="129" w:right="157" w:hanging="10"/>
        <w:jc w:val="both"/>
      </w:pPr>
      <w:r>
        <w:rPr>
          <w:w w:val="105"/>
        </w:rPr>
        <w:t>The essential feature of Dementia Due to Pick's Disease is the presence of a dementia that is judged to be the direct pathophysiological consequence of Pick's disease. Pick's disease is a degenerative disease of the brain that particularly affects the frontal and temporal lobes. As in other frontal lobe dementias, Pick's disease is characterized</w:t>
      </w:r>
    </w:p>
    <w:p w:rsidR="00E675F0" w:rsidRDefault="00E675F0" w:rsidP="00E675F0">
      <w:pPr>
        <w:spacing w:line="256" w:lineRule="auto"/>
        <w:jc w:val="both"/>
        <w:sectPr w:rsidR="00E675F0">
          <w:pgSz w:w="8960" w:h="14260"/>
          <w:pgMar w:top="1400" w:right="600" w:bottom="280" w:left="600" w:header="701" w:footer="0" w:gutter="0"/>
          <w:cols w:space="720"/>
        </w:sectPr>
      </w:pPr>
    </w:p>
    <w:p w:rsidR="00E675F0" w:rsidRDefault="00E675F0" w:rsidP="00E675F0">
      <w:pPr>
        <w:pStyle w:val="BodyText"/>
        <w:spacing w:before="130" w:line="254" w:lineRule="auto"/>
        <w:ind w:left="118" w:right="120" w:firstLine="12"/>
        <w:jc w:val="both"/>
      </w:pPr>
      <w:bookmarkStart w:id="95" w:name="_bookmark78"/>
      <w:bookmarkEnd w:id="95"/>
      <w:r>
        <w:rPr>
          <w:w w:val="105"/>
        </w:rPr>
        <w:lastRenderedPageBreak/>
        <w:t>clinically by changes in personality early in the course, deterioration of social skills, emotional blunting, behavioral disinhibition, and prominent language abnormalities. Difficulties with memory, apraxia, and other features of dementia usually follow later in the course. Prominent primitive reflexes (snout, suck, grasp) may be present. As the dementia progresses, it may be accompanied by either apathy or extreme agitation. Individuals may develop such severe  problems in language, attention, or  behavior that it</w:t>
      </w:r>
      <w:r>
        <w:rPr>
          <w:spacing w:val="-9"/>
          <w:w w:val="105"/>
        </w:rPr>
        <w:t xml:space="preserve"> </w:t>
      </w:r>
      <w:r>
        <w:rPr>
          <w:w w:val="105"/>
        </w:rPr>
        <w:t>may</w:t>
      </w:r>
      <w:r>
        <w:rPr>
          <w:spacing w:val="-10"/>
          <w:w w:val="105"/>
        </w:rPr>
        <w:t xml:space="preserve"> </w:t>
      </w:r>
      <w:r>
        <w:rPr>
          <w:w w:val="105"/>
        </w:rPr>
        <w:t>be</w:t>
      </w:r>
      <w:r>
        <w:rPr>
          <w:spacing w:val="-17"/>
          <w:w w:val="105"/>
        </w:rPr>
        <w:t xml:space="preserve"> </w:t>
      </w:r>
      <w:r>
        <w:rPr>
          <w:w w:val="105"/>
        </w:rPr>
        <w:t>difficult</w:t>
      </w:r>
      <w:r>
        <w:rPr>
          <w:spacing w:val="-2"/>
          <w:w w:val="105"/>
        </w:rPr>
        <w:t xml:space="preserve"> </w:t>
      </w:r>
      <w:r>
        <w:rPr>
          <w:w w:val="105"/>
        </w:rPr>
        <w:t>to</w:t>
      </w:r>
      <w:r>
        <w:rPr>
          <w:spacing w:val="-21"/>
          <w:w w:val="105"/>
        </w:rPr>
        <w:t xml:space="preserve"> </w:t>
      </w:r>
      <w:r>
        <w:rPr>
          <w:w w:val="105"/>
        </w:rPr>
        <w:t>assess</w:t>
      </w:r>
      <w:r>
        <w:rPr>
          <w:spacing w:val="-8"/>
          <w:w w:val="105"/>
        </w:rPr>
        <w:t xml:space="preserve"> </w:t>
      </w:r>
      <w:r>
        <w:rPr>
          <w:w w:val="105"/>
        </w:rPr>
        <w:t>their</w:t>
      </w:r>
      <w:r>
        <w:rPr>
          <w:spacing w:val="-17"/>
          <w:w w:val="105"/>
        </w:rPr>
        <w:t xml:space="preserve"> </w:t>
      </w:r>
      <w:r>
        <w:rPr>
          <w:w w:val="105"/>
        </w:rPr>
        <w:t>degree</w:t>
      </w:r>
      <w:r>
        <w:rPr>
          <w:spacing w:val="-15"/>
          <w:w w:val="105"/>
        </w:rPr>
        <w:t xml:space="preserve"> </w:t>
      </w:r>
      <w:r>
        <w:rPr>
          <w:w w:val="105"/>
        </w:rPr>
        <w:t>of</w:t>
      </w:r>
      <w:r>
        <w:rPr>
          <w:spacing w:val="-11"/>
          <w:w w:val="105"/>
        </w:rPr>
        <w:t xml:space="preserve"> </w:t>
      </w:r>
      <w:r>
        <w:rPr>
          <w:w w:val="105"/>
        </w:rPr>
        <w:t>cognitive</w:t>
      </w:r>
      <w:r>
        <w:rPr>
          <w:spacing w:val="-4"/>
          <w:w w:val="105"/>
        </w:rPr>
        <w:t xml:space="preserve"> </w:t>
      </w:r>
      <w:r>
        <w:rPr>
          <w:w w:val="105"/>
        </w:rPr>
        <w:t>impairment.</w:t>
      </w:r>
      <w:r>
        <w:rPr>
          <w:spacing w:val="-7"/>
          <w:w w:val="105"/>
        </w:rPr>
        <w:t xml:space="preserve"> </w:t>
      </w:r>
      <w:r>
        <w:rPr>
          <w:w w:val="105"/>
        </w:rPr>
        <w:t>Structural</w:t>
      </w:r>
      <w:r>
        <w:rPr>
          <w:spacing w:val="-8"/>
          <w:w w:val="105"/>
        </w:rPr>
        <w:t xml:space="preserve"> </w:t>
      </w:r>
      <w:r>
        <w:rPr>
          <w:w w:val="105"/>
        </w:rPr>
        <w:t>brain</w:t>
      </w:r>
      <w:r>
        <w:rPr>
          <w:spacing w:val="-10"/>
          <w:w w:val="105"/>
        </w:rPr>
        <w:t xml:space="preserve"> </w:t>
      </w:r>
      <w:r>
        <w:rPr>
          <w:w w:val="105"/>
        </w:rPr>
        <w:t>imaging typically reveals prominent frontal and/or temporal atrophy, and functional brain imaging may localize frontotemporal hypometabolism, even in the absence of clear structural atrophy. The disorder most commonly manifests itself in individuals between ages 50 and 60 years, although it can occur among older individuals. Pick's disease is one of the pathologically distinct etiologies among the heterogeneous group of dementing processes that are associated with frontotemporal brain atrophy. The specific diagnosis of a frontal lobe dementia such as Pick's disease is usually established at autopsy with the pathological finding of characteristic intraneuronal argentophilic Pick inclusion bodies. Clinically, Pick's disease often cannot be distinguished with certainty from atypical cases of Alzheimer's disease or from other dementias that affect the frontal lobes.</w:t>
      </w:r>
    </w:p>
    <w:p w:rsidR="00E675F0" w:rsidRDefault="00E675F0" w:rsidP="00E675F0">
      <w:pPr>
        <w:pStyle w:val="BodyText"/>
        <w:rPr>
          <w:sz w:val="22"/>
        </w:rPr>
      </w:pPr>
    </w:p>
    <w:p w:rsidR="00E675F0" w:rsidRDefault="00E675F0" w:rsidP="00E675F0">
      <w:pPr>
        <w:pStyle w:val="BodyText"/>
        <w:spacing w:before="4"/>
        <w:rPr>
          <w:sz w:val="30"/>
        </w:rPr>
      </w:pPr>
    </w:p>
    <w:p w:rsidR="00E675F0" w:rsidRDefault="00E675F0" w:rsidP="00E675F0">
      <w:pPr>
        <w:tabs>
          <w:tab w:val="left" w:pos="1648"/>
        </w:tabs>
        <w:ind w:left="574"/>
        <w:rPr>
          <w:rFonts w:ascii="Arial"/>
          <w:b/>
          <w:sz w:val="26"/>
        </w:rPr>
      </w:pPr>
      <w:r>
        <w:rPr>
          <w:rFonts w:ascii="Arial"/>
          <w:b/>
          <w:sz w:val="26"/>
        </w:rPr>
        <w:t>290.10</w:t>
      </w:r>
      <w:r>
        <w:rPr>
          <w:rFonts w:ascii="Arial"/>
          <w:b/>
          <w:sz w:val="26"/>
        </w:rPr>
        <w:tab/>
        <w:t>Dementia Due to Creutzfeldt.-Jakob</w:t>
      </w:r>
      <w:r>
        <w:rPr>
          <w:rFonts w:ascii="Arial"/>
          <w:b/>
          <w:spacing w:val="18"/>
          <w:sz w:val="26"/>
        </w:rPr>
        <w:t xml:space="preserve"> </w:t>
      </w:r>
      <w:r>
        <w:rPr>
          <w:rFonts w:ascii="Arial"/>
          <w:b/>
          <w:sz w:val="26"/>
        </w:rPr>
        <w:t>Disease</w:t>
      </w:r>
    </w:p>
    <w:p w:rsidR="00E675F0" w:rsidRDefault="00E675F0" w:rsidP="00E675F0">
      <w:pPr>
        <w:pStyle w:val="BodyText"/>
        <w:spacing w:before="3"/>
        <w:rPr>
          <w:rFonts w:ascii="Arial"/>
          <w:b/>
          <w:sz w:val="28"/>
        </w:rPr>
      </w:pPr>
    </w:p>
    <w:p w:rsidR="00E675F0" w:rsidRDefault="00E675F0" w:rsidP="00E675F0">
      <w:pPr>
        <w:pStyle w:val="BodyText"/>
        <w:spacing w:before="1" w:line="254" w:lineRule="auto"/>
        <w:ind w:left="109" w:right="110" w:firstLine="12"/>
        <w:jc w:val="both"/>
      </w:pPr>
      <w:r>
        <w:rPr>
          <w:w w:val="105"/>
        </w:rPr>
        <w:t>The essential feature of Dementia Due to Creutzfeldt-Jakob Disease  is the  presence  of a dementia that is judged to be the direct pathophysiological consequence of Creutzfeldt­ Jakob disease. Jacob-Creutzfeldt disease is one of the subacute spongiform encephalop­ athies, a group of central nervous system diseases caused by transmissible agents known as</w:t>
      </w:r>
      <w:r>
        <w:rPr>
          <w:spacing w:val="-23"/>
          <w:w w:val="105"/>
        </w:rPr>
        <w:t xml:space="preserve"> </w:t>
      </w:r>
      <w:r>
        <w:rPr>
          <w:w w:val="105"/>
        </w:rPr>
        <w:t>"slow</w:t>
      </w:r>
      <w:r>
        <w:rPr>
          <w:spacing w:val="-19"/>
          <w:w w:val="105"/>
        </w:rPr>
        <w:t xml:space="preserve"> </w:t>
      </w:r>
      <w:r>
        <w:rPr>
          <w:w w:val="105"/>
        </w:rPr>
        <w:t>viruses"</w:t>
      </w:r>
      <w:r>
        <w:rPr>
          <w:spacing w:val="-15"/>
          <w:w w:val="105"/>
        </w:rPr>
        <w:t xml:space="preserve"> </w:t>
      </w:r>
      <w:r>
        <w:rPr>
          <w:w w:val="105"/>
        </w:rPr>
        <w:t>or</w:t>
      </w:r>
      <w:r>
        <w:rPr>
          <w:spacing w:val="-8"/>
          <w:w w:val="105"/>
        </w:rPr>
        <w:t xml:space="preserve"> </w:t>
      </w:r>
      <w:r>
        <w:rPr>
          <w:w w:val="105"/>
        </w:rPr>
        <w:t>prions.</w:t>
      </w:r>
      <w:r>
        <w:rPr>
          <w:spacing w:val="-16"/>
          <w:w w:val="105"/>
        </w:rPr>
        <w:t xml:space="preserve"> </w:t>
      </w:r>
      <w:r>
        <w:rPr>
          <w:w w:val="105"/>
        </w:rPr>
        <w:t>Typically,</w:t>
      </w:r>
      <w:r>
        <w:rPr>
          <w:spacing w:val="-9"/>
          <w:w w:val="105"/>
        </w:rPr>
        <w:t xml:space="preserve"> </w:t>
      </w:r>
      <w:r>
        <w:rPr>
          <w:w w:val="105"/>
        </w:rPr>
        <w:t>individuals</w:t>
      </w:r>
      <w:r>
        <w:rPr>
          <w:spacing w:val="-12"/>
          <w:w w:val="105"/>
        </w:rPr>
        <w:t xml:space="preserve"> </w:t>
      </w:r>
      <w:r>
        <w:rPr>
          <w:w w:val="105"/>
        </w:rPr>
        <w:t>with</w:t>
      </w:r>
      <w:r>
        <w:rPr>
          <w:spacing w:val="-20"/>
          <w:w w:val="105"/>
        </w:rPr>
        <w:t xml:space="preserve"> </w:t>
      </w:r>
      <w:r>
        <w:rPr>
          <w:w w:val="105"/>
        </w:rPr>
        <w:t>Creutzfeldt-Jakob</w:t>
      </w:r>
      <w:r>
        <w:rPr>
          <w:spacing w:val="-29"/>
          <w:w w:val="105"/>
        </w:rPr>
        <w:t xml:space="preserve"> </w:t>
      </w:r>
      <w:r>
        <w:rPr>
          <w:w w:val="105"/>
        </w:rPr>
        <w:t>disease</w:t>
      </w:r>
      <w:r>
        <w:rPr>
          <w:spacing w:val="-13"/>
          <w:w w:val="105"/>
        </w:rPr>
        <w:t xml:space="preserve"> </w:t>
      </w:r>
      <w:r>
        <w:rPr>
          <w:w w:val="105"/>
        </w:rPr>
        <w:t>manifest the clinical triad of dementia, involuntary movements (particularly myoclonus), and periodic EEG activity. However, up to 25% of individuals with the disorder may have atypical presentations, and the disease can be confirmed only by biopsy or at autopsy with the demonstration of spongiform neuropathological changes. Creutzfeldt-Jakob disease may develop at any age in adults, but most typically when  they are  between ages</w:t>
      </w:r>
      <w:r>
        <w:rPr>
          <w:spacing w:val="-20"/>
          <w:w w:val="105"/>
        </w:rPr>
        <w:t xml:space="preserve"> </w:t>
      </w:r>
      <w:r>
        <w:rPr>
          <w:w w:val="105"/>
        </w:rPr>
        <w:t>40</w:t>
      </w:r>
      <w:r>
        <w:rPr>
          <w:spacing w:val="-28"/>
          <w:w w:val="105"/>
        </w:rPr>
        <w:t xml:space="preserve"> </w:t>
      </w:r>
      <w:r>
        <w:rPr>
          <w:w w:val="105"/>
        </w:rPr>
        <w:t>and</w:t>
      </w:r>
      <w:r>
        <w:rPr>
          <w:spacing w:val="-1"/>
          <w:w w:val="105"/>
        </w:rPr>
        <w:t xml:space="preserve"> </w:t>
      </w:r>
      <w:r>
        <w:rPr>
          <w:w w:val="105"/>
        </w:rPr>
        <w:t>60</w:t>
      </w:r>
      <w:r>
        <w:rPr>
          <w:spacing w:val="-24"/>
          <w:w w:val="105"/>
        </w:rPr>
        <w:t xml:space="preserve"> </w:t>
      </w:r>
      <w:r>
        <w:rPr>
          <w:w w:val="105"/>
        </w:rPr>
        <w:t>years.</w:t>
      </w:r>
      <w:r>
        <w:rPr>
          <w:spacing w:val="-19"/>
          <w:w w:val="105"/>
        </w:rPr>
        <w:t xml:space="preserve"> </w:t>
      </w:r>
      <w:r>
        <w:rPr>
          <w:w w:val="105"/>
        </w:rPr>
        <w:t>From</w:t>
      </w:r>
      <w:r>
        <w:rPr>
          <w:spacing w:val="-16"/>
          <w:w w:val="105"/>
        </w:rPr>
        <w:t xml:space="preserve"> </w:t>
      </w:r>
      <w:r>
        <w:rPr>
          <w:w w:val="105"/>
        </w:rPr>
        <w:t>5%</w:t>
      </w:r>
      <w:r>
        <w:rPr>
          <w:spacing w:val="-23"/>
          <w:w w:val="105"/>
        </w:rPr>
        <w:t xml:space="preserve"> </w:t>
      </w:r>
      <w:r>
        <w:rPr>
          <w:w w:val="105"/>
        </w:rPr>
        <w:t>to</w:t>
      </w:r>
      <w:r>
        <w:rPr>
          <w:spacing w:val="-8"/>
          <w:w w:val="105"/>
        </w:rPr>
        <w:t xml:space="preserve"> </w:t>
      </w:r>
      <w:r>
        <w:rPr>
          <w:w w:val="105"/>
        </w:rPr>
        <w:t>15%</w:t>
      </w:r>
      <w:r>
        <w:rPr>
          <w:spacing w:val="-21"/>
          <w:w w:val="105"/>
        </w:rPr>
        <w:t xml:space="preserve"> </w:t>
      </w:r>
      <w:r>
        <w:rPr>
          <w:w w:val="105"/>
        </w:rPr>
        <w:t>of</w:t>
      </w:r>
      <w:r>
        <w:rPr>
          <w:spacing w:val="-17"/>
          <w:w w:val="105"/>
        </w:rPr>
        <w:t xml:space="preserve"> </w:t>
      </w:r>
      <w:r>
        <w:rPr>
          <w:w w:val="105"/>
        </w:rPr>
        <w:t>cases</w:t>
      </w:r>
      <w:r>
        <w:rPr>
          <w:spacing w:val="-18"/>
          <w:w w:val="105"/>
        </w:rPr>
        <w:t xml:space="preserve"> </w:t>
      </w:r>
      <w:r>
        <w:rPr>
          <w:w w:val="105"/>
        </w:rPr>
        <w:t>may</w:t>
      </w:r>
      <w:r>
        <w:rPr>
          <w:spacing w:val="-16"/>
          <w:w w:val="105"/>
        </w:rPr>
        <w:t xml:space="preserve"> </w:t>
      </w:r>
      <w:r>
        <w:rPr>
          <w:w w:val="105"/>
        </w:rPr>
        <w:t>have</w:t>
      </w:r>
      <w:r>
        <w:rPr>
          <w:spacing w:val="-21"/>
          <w:w w:val="105"/>
        </w:rPr>
        <w:t xml:space="preserve"> </w:t>
      </w:r>
      <w:r>
        <w:rPr>
          <w:w w:val="105"/>
        </w:rPr>
        <w:t>a</w:t>
      </w:r>
      <w:r>
        <w:rPr>
          <w:spacing w:val="-21"/>
          <w:w w:val="105"/>
        </w:rPr>
        <w:t xml:space="preserve"> </w:t>
      </w:r>
      <w:r>
        <w:rPr>
          <w:w w:val="105"/>
        </w:rPr>
        <w:t>familial</w:t>
      </w:r>
      <w:r>
        <w:rPr>
          <w:spacing w:val="-13"/>
          <w:w w:val="105"/>
        </w:rPr>
        <w:t xml:space="preserve"> </w:t>
      </w:r>
      <w:r>
        <w:rPr>
          <w:w w:val="105"/>
        </w:rPr>
        <w:t>component.</w:t>
      </w:r>
      <w:r>
        <w:rPr>
          <w:spacing w:val="-3"/>
          <w:w w:val="105"/>
        </w:rPr>
        <w:t xml:space="preserve"> </w:t>
      </w:r>
      <w:r>
        <w:rPr>
          <w:w w:val="105"/>
        </w:rPr>
        <w:t>Prodromal symptoms of Creutzfeldt-Jakob disease may include fatigue, anxiety, or problems with appetite, sleeping, or concentration and may be followed after several weeks by incoordination, altered vision, or abnormal gait or other movements that may be myoclonic, choreoathetoid, or ballistic, along with a rapidly progressive dementia. The disease typically progresses very rapidly over several months, although more rarely it can progress over years and appear similar in its course  to other dementias. There are  no distinctive findings on cerebrospinal fluid analysis, and nonspecific atrophy may be apparent on neuroimaging. In most individuals, the EEG typically reveals periodic sharp, often triphasic and synchronous discharges at a rate of  0.5-2 Hz at some  point during the course of the disorder. The transmissible agent thought to be responsible for Creutzfeldt-Jakob disease is resistant to boiling, formalin, alcohol, and ultraviolet radiation, but it can be inactivated by pressured autoclaving or by bleach. Transmission by corneal transplantation and human growth factor injection  has  been  documented, and anecdotal cases of transmission to health care workers have been reported. Therefore, when neurosurgery, brain biopsy, or brain autopsy is</w:t>
      </w:r>
      <w:r>
        <w:rPr>
          <w:spacing w:val="33"/>
          <w:w w:val="105"/>
        </w:rPr>
        <w:t xml:space="preserve"> </w:t>
      </w:r>
      <w:r>
        <w:rPr>
          <w:w w:val="105"/>
        </w:rPr>
        <w:t>undertaken,</w:t>
      </w:r>
    </w:p>
    <w:p w:rsidR="00E675F0" w:rsidRDefault="00E675F0" w:rsidP="00E675F0">
      <w:pPr>
        <w:spacing w:line="254" w:lineRule="auto"/>
        <w:jc w:val="both"/>
        <w:sectPr w:rsidR="00E675F0">
          <w:headerReference w:type="even" r:id="rId144"/>
          <w:headerReference w:type="default" r:id="rId145"/>
          <w:pgSz w:w="8960" w:h="14260"/>
          <w:pgMar w:top="1400" w:right="600" w:bottom="280" w:left="620" w:header="686" w:footer="0" w:gutter="0"/>
          <w:pgNumType w:start="150"/>
          <w:cols w:space="720"/>
        </w:sectPr>
      </w:pPr>
    </w:p>
    <w:p w:rsidR="00E675F0" w:rsidRDefault="00E675F0" w:rsidP="00E675F0">
      <w:pPr>
        <w:pStyle w:val="BodyText"/>
        <w:spacing w:before="115" w:line="256" w:lineRule="auto"/>
        <w:ind w:left="150" w:right="135" w:firstLine="6"/>
        <w:jc w:val="both"/>
      </w:pPr>
      <w:bookmarkStart w:id="96" w:name="_bookmark79"/>
      <w:bookmarkEnd w:id="96"/>
      <w:r>
        <w:rPr>
          <w:w w:val="110"/>
        </w:rPr>
        <w:lastRenderedPageBreak/>
        <w:t>universal precautions should be taken with both tissue and equipment that comes in contact with tissue.</w:t>
      </w:r>
    </w:p>
    <w:p w:rsidR="00E675F0" w:rsidRDefault="00E675F0" w:rsidP="00E675F0">
      <w:pPr>
        <w:pStyle w:val="BodyText"/>
        <w:rPr>
          <w:sz w:val="22"/>
        </w:rPr>
      </w:pPr>
    </w:p>
    <w:p w:rsidR="00E675F0" w:rsidRDefault="00E675F0" w:rsidP="00E675F0">
      <w:pPr>
        <w:pStyle w:val="BodyText"/>
        <w:spacing w:before="10"/>
        <w:rPr>
          <w:sz w:val="28"/>
        </w:rPr>
      </w:pPr>
    </w:p>
    <w:p w:rsidR="00E675F0" w:rsidRDefault="00E675F0" w:rsidP="00E675F0">
      <w:pPr>
        <w:tabs>
          <w:tab w:val="left" w:pos="3261"/>
        </w:tabs>
        <w:spacing w:line="242" w:lineRule="auto"/>
        <w:ind w:left="1724" w:right="1724" w:firstLine="630"/>
        <w:rPr>
          <w:rFonts w:ascii="Arial"/>
          <w:b/>
          <w:sz w:val="26"/>
        </w:rPr>
      </w:pPr>
      <w:r>
        <w:rPr>
          <w:rFonts w:ascii="Arial"/>
          <w:b/>
          <w:w w:val="105"/>
          <w:sz w:val="26"/>
        </w:rPr>
        <w:t>294.1</w:t>
      </w:r>
      <w:r>
        <w:rPr>
          <w:rFonts w:ascii="Arial"/>
          <w:b/>
          <w:w w:val="105"/>
          <w:sz w:val="26"/>
        </w:rPr>
        <w:tab/>
        <w:t>Dementia Due to Other</w:t>
      </w:r>
      <w:r>
        <w:rPr>
          <w:rFonts w:ascii="Arial"/>
          <w:b/>
          <w:spacing w:val="-25"/>
          <w:w w:val="105"/>
          <w:sz w:val="26"/>
        </w:rPr>
        <w:t xml:space="preserve"> </w:t>
      </w:r>
      <w:r>
        <w:rPr>
          <w:rFonts w:ascii="Arial"/>
          <w:b/>
          <w:w w:val="105"/>
          <w:sz w:val="26"/>
        </w:rPr>
        <w:t>General</w:t>
      </w:r>
      <w:r>
        <w:rPr>
          <w:rFonts w:ascii="Arial"/>
          <w:b/>
          <w:spacing w:val="-39"/>
          <w:w w:val="105"/>
          <w:sz w:val="26"/>
        </w:rPr>
        <w:t xml:space="preserve"> </w:t>
      </w:r>
      <w:r>
        <w:rPr>
          <w:rFonts w:ascii="Arial"/>
          <w:b/>
          <w:w w:val="105"/>
          <w:sz w:val="26"/>
        </w:rPr>
        <w:t>Medical</w:t>
      </w:r>
      <w:r>
        <w:rPr>
          <w:rFonts w:ascii="Arial"/>
          <w:b/>
          <w:spacing w:val="-39"/>
          <w:w w:val="105"/>
          <w:sz w:val="26"/>
        </w:rPr>
        <w:t xml:space="preserve"> </w:t>
      </w:r>
      <w:r>
        <w:rPr>
          <w:rFonts w:ascii="Arial"/>
          <w:b/>
          <w:w w:val="105"/>
          <w:sz w:val="26"/>
        </w:rPr>
        <w:t>Conditions</w:t>
      </w:r>
    </w:p>
    <w:p w:rsidR="00E675F0" w:rsidRDefault="00E675F0" w:rsidP="00E675F0">
      <w:pPr>
        <w:pStyle w:val="BodyText"/>
        <w:spacing w:before="3"/>
        <w:rPr>
          <w:rFonts w:ascii="Arial"/>
          <w:b/>
          <w:sz w:val="27"/>
        </w:rPr>
      </w:pPr>
    </w:p>
    <w:p w:rsidR="00E675F0" w:rsidRDefault="00E675F0" w:rsidP="00E675F0">
      <w:pPr>
        <w:pStyle w:val="BodyText"/>
        <w:spacing w:line="254" w:lineRule="auto"/>
        <w:ind w:left="142" w:right="131" w:firstLine="4"/>
        <w:jc w:val="both"/>
      </w:pPr>
      <w:r>
        <w:rPr>
          <w:w w:val="105"/>
        </w:rPr>
        <w:t>In addition to the specific categories described above, a number of other general medical conditions can cause dementia. These conditions include structural lesions (primary or secondary brain tumors, subdural hematoma, slowly progressive or normal-pressure hydrocephalus), endocrine conditions (hypothyroidism, hypercalcemia, hypoglycemia), nutritional</w:t>
      </w:r>
      <w:r>
        <w:rPr>
          <w:spacing w:val="-6"/>
          <w:w w:val="105"/>
        </w:rPr>
        <w:t xml:space="preserve"> </w:t>
      </w:r>
      <w:r>
        <w:rPr>
          <w:w w:val="105"/>
        </w:rPr>
        <w:t>conditions</w:t>
      </w:r>
      <w:r>
        <w:rPr>
          <w:spacing w:val="-6"/>
          <w:w w:val="105"/>
        </w:rPr>
        <w:t xml:space="preserve"> </w:t>
      </w:r>
      <w:r>
        <w:rPr>
          <w:w w:val="105"/>
        </w:rPr>
        <w:t>(deficiencies</w:t>
      </w:r>
      <w:r>
        <w:rPr>
          <w:spacing w:val="-8"/>
          <w:w w:val="105"/>
        </w:rPr>
        <w:t xml:space="preserve"> </w:t>
      </w:r>
      <w:r>
        <w:rPr>
          <w:w w:val="105"/>
        </w:rPr>
        <w:t>of</w:t>
      </w:r>
      <w:r>
        <w:rPr>
          <w:spacing w:val="-8"/>
          <w:w w:val="105"/>
        </w:rPr>
        <w:t xml:space="preserve"> </w:t>
      </w:r>
      <w:r>
        <w:rPr>
          <w:w w:val="105"/>
        </w:rPr>
        <w:t>thiamine,</w:t>
      </w:r>
      <w:r>
        <w:rPr>
          <w:spacing w:val="1"/>
          <w:w w:val="105"/>
        </w:rPr>
        <w:t xml:space="preserve"> </w:t>
      </w:r>
      <w:r>
        <w:rPr>
          <w:w w:val="105"/>
        </w:rPr>
        <w:t>niacin,</w:t>
      </w:r>
      <w:r>
        <w:rPr>
          <w:spacing w:val="-11"/>
          <w:w w:val="105"/>
        </w:rPr>
        <w:t xml:space="preserve"> </w:t>
      </w:r>
      <w:r>
        <w:rPr>
          <w:w w:val="105"/>
        </w:rPr>
        <w:t>and</w:t>
      </w:r>
      <w:r>
        <w:rPr>
          <w:spacing w:val="-10"/>
          <w:w w:val="105"/>
        </w:rPr>
        <w:t xml:space="preserve"> </w:t>
      </w:r>
      <w:r>
        <w:rPr>
          <w:w w:val="105"/>
        </w:rPr>
        <w:t>vitamin</w:t>
      </w:r>
      <w:r>
        <w:rPr>
          <w:spacing w:val="-4"/>
          <w:w w:val="105"/>
        </w:rPr>
        <w:t xml:space="preserve"> </w:t>
      </w:r>
      <w:r>
        <w:rPr>
          <w:w w:val="105"/>
        </w:rPr>
        <w:t>Biz),</w:t>
      </w:r>
      <w:r>
        <w:rPr>
          <w:spacing w:val="-9"/>
          <w:w w:val="105"/>
        </w:rPr>
        <w:t xml:space="preserve"> </w:t>
      </w:r>
      <w:r>
        <w:rPr>
          <w:w w:val="105"/>
        </w:rPr>
        <w:t>other</w:t>
      </w:r>
      <w:r>
        <w:rPr>
          <w:spacing w:val="-11"/>
          <w:w w:val="105"/>
        </w:rPr>
        <w:t xml:space="preserve"> </w:t>
      </w:r>
      <w:r>
        <w:rPr>
          <w:w w:val="105"/>
        </w:rPr>
        <w:t>infectious conditions (neurosyphilis, cryptococcosis), derangements of renal and hepatic function, and other neurological conditions such as multiple sclerosis. Unusual causes of central nervous system injury, such as electrical shock or intracranial radiation, are generally evident from the history. Rare disorders such as the childhood and adult storage diseases have</w:t>
      </w:r>
      <w:r>
        <w:rPr>
          <w:spacing w:val="-19"/>
          <w:w w:val="105"/>
        </w:rPr>
        <w:t xml:space="preserve"> </w:t>
      </w:r>
      <w:r>
        <w:rPr>
          <w:w w:val="105"/>
        </w:rPr>
        <w:t>a</w:t>
      </w:r>
      <w:r>
        <w:rPr>
          <w:spacing w:val="-15"/>
          <w:w w:val="105"/>
        </w:rPr>
        <w:t xml:space="preserve"> </w:t>
      </w:r>
      <w:r>
        <w:rPr>
          <w:w w:val="105"/>
        </w:rPr>
        <w:t>distinctive</w:t>
      </w:r>
      <w:r>
        <w:rPr>
          <w:spacing w:val="-12"/>
          <w:w w:val="105"/>
        </w:rPr>
        <w:t xml:space="preserve"> </w:t>
      </w:r>
      <w:r>
        <w:rPr>
          <w:w w:val="105"/>
        </w:rPr>
        <w:t>family</w:t>
      </w:r>
      <w:r>
        <w:rPr>
          <w:spacing w:val="-12"/>
          <w:w w:val="105"/>
        </w:rPr>
        <w:t xml:space="preserve"> </w:t>
      </w:r>
      <w:r>
        <w:rPr>
          <w:w w:val="105"/>
        </w:rPr>
        <w:t>history</w:t>
      </w:r>
      <w:r>
        <w:rPr>
          <w:spacing w:val="-16"/>
          <w:w w:val="105"/>
        </w:rPr>
        <w:t xml:space="preserve"> </w:t>
      </w:r>
      <w:r>
        <w:rPr>
          <w:w w:val="105"/>
        </w:rPr>
        <w:t>or</w:t>
      </w:r>
      <w:r>
        <w:rPr>
          <w:spacing w:val="-9"/>
          <w:w w:val="105"/>
        </w:rPr>
        <w:t xml:space="preserve"> </w:t>
      </w:r>
      <w:r>
        <w:rPr>
          <w:w w:val="105"/>
        </w:rPr>
        <w:t>clinical</w:t>
      </w:r>
      <w:r>
        <w:rPr>
          <w:spacing w:val="-7"/>
          <w:w w:val="105"/>
        </w:rPr>
        <w:t xml:space="preserve"> </w:t>
      </w:r>
      <w:r>
        <w:rPr>
          <w:w w:val="105"/>
        </w:rPr>
        <w:t>presentation.</w:t>
      </w:r>
      <w:r>
        <w:rPr>
          <w:spacing w:val="-11"/>
          <w:w w:val="105"/>
        </w:rPr>
        <w:t xml:space="preserve"> </w:t>
      </w:r>
      <w:r>
        <w:rPr>
          <w:w w:val="105"/>
        </w:rPr>
        <w:t>Associated</w:t>
      </w:r>
      <w:r>
        <w:rPr>
          <w:spacing w:val="-6"/>
          <w:w w:val="105"/>
        </w:rPr>
        <w:t xml:space="preserve"> </w:t>
      </w:r>
      <w:r>
        <w:rPr>
          <w:w w:val="105"/>
        </w:rPr>
        <w:t>physical</w:t>
      </w:r>
      <w:r>
        <w:rPr>
          <w:spacing w:val="-10"/>
          <w:w w:val="105"/>
        </w:rPr>
        <w:t xml:space="preserve"> </w:t>
      </w:r>
      <w:r>
        <w:rPr>
          <w:w w:val="105"/>
        </w:rPr>
        <w:t>examination and laboratory findings and other clinical features depend on the nature and severity of the general medical</w:t>
      </w:r>
      <w:r>
        <w:rPr>
          <w:spacing w:val="21"/>
          <w:w w:val="105"/>
        </w:rPr>
        <w:t xml:space="preserve"> </w:t>
      </w:r>
      <w:r>
        <w:rPr>
          <w:w w:val="105"/>
        </w:rPr>
        <w:t>condition.</w:t>
      </w:r>
    </w:p>
    <w:p w:rsidR="00E675F0" w:rsidRDefault="00E675F0" w:rsidP="00E675F0">
      <w:pPr>
        <w:pStyle w:val="BodyText"/>
        <w:rPr>
          <w:sz w:val="22"/>
        </w:rPr>
      </w:pPr>
    </w:p>
    <w:p w:rsidR="00E675F0" w:rsidRDefault="00E675F0" w:rsidP="00E675F0">
      <w:pPr>
        <w:pStyle w:val="BodyText"/>
        <w:spacing w:before="8"/>
        <w:rPr>
          <w:sz w:val="19"/>
        </w:rPr>
      </w:pPr>
    </w:p>
    <w:p w:rsidR="00E675F0" w:rsidRDefault="00E675F0" w:rsidP="00E675F0">
      <w:pPr>
        <w:ind w:left="137"/>
        <w:jc w:val="both"/>
        <w:rPr>
          <w:rFonts w:ascii="TimesNewRomanPS-BoldItalicMT"/>
          <w:b/>
          <w:i/>
          <w:sz w:val="24"/>
        </w:rPr>
      </w:pPr>
      <w:r>
        <w:rPr>
          <w:rFonts w:ascii="TimesNewRomanPS-BoldItalicMT"/>
          <w:b/>
          <w:i/>
          <w:w w:val="115"/>
          <w:sz w:val="24"/>
        </w:rPr>
        <w:t>D/,fferential magnosis</w:t>
      </w:r>
    </w:p>
    <w:p w:rsidR="00E675F0" w:rsidRDefault="00E675F0" w:rsidP="00E675F0">
      <w:pPr>
        <w:pStyle w:val="BodyText"/>
        <w:spacing w:before="170"/>
        <w:ind w:left="149"/>
        <w:jc w:val="both"/>
      </w:pPr>
      <w:r>
        <w:rPr>
          <w:w w:val="105"/>
        </w:rPr>
        <w:t>See p. 138 for a general discussion of the differential diagnosis of dementia.</w:t>
      </w:r>
    </w:p>
    <w:p w:rsidR="00E675F0" w:rsidRDefault="00E675F0" w:rsidP="00E675F0">
      <w:pPr>
        <w:pStyle w:val="BodyText"/>
      </w:pPr>
    </w:p>
    <w:p w:rsidR="00E675F0" w:rsidRDefault="00E675F0" w:rsidP="00E675F0">
      <w:pPr>
        <w:pStyle w:val="BodyText"/>
        <w:spacing w:before="5"/>
        <w:rPr>
          <w:sz w:val="18"/>
        </w:rPr>
      </w:pPr>
    </w:p>
    <w:tbl>
      <w:tblPr>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28"/>
      </w:tblGrid>
      <w:tr w:rsidR="00E675F0" w:rsidTr="00A330E1">
        <w:trPr>
          <w:trHeight w:val="5233"/>
        </w:trPr>
        <w:tc>
          <w:tcPr>
            <w:tcW w:w="7328" w:type="dxa"/>
            <w:tcBorders>
              <w:left w:val="single" w:sz="24" w:space="0" w:color="000000"/>
              <w:bottom w:val="single" w:sz="24" w:space="0" w:color="000000"/>
              <w:right w:val="single" w:sz="24" w:space="0" w:color="000000"/>
            </w:tcBorders>
          </w:tcPr>
          <w:p w:rsidR="00E675F0" w:rsidRDefault="00E675F0" w:rsidP="003048D3">
            <w:pPr>
              <w:pStyle w:val="TableParagraph"/>
              <w:numPr>
                <w:ilvl w:val="0"/>
                <w:numId w:val="56"/>
              </w:numPr>
              <w:tabs>
                <w:tab w:val="left" w:pos="631"/>
              </w:tabs>
              <w:spacing w:before="128" w:line="206" w:lineRule="auto"/>
              <w:ind w:right="1261" w:hanging="380"/>
              <w:rPr>
                <w:rFonts w:ascii="Arial" w:hAnsi="Arial"/>
                <w:b/>
                <w:sz w:val="24"/>
              </w:rPr>
            </w:pPr>
            <w:r>
              <w:rPr>
                <w:rFonts w:ascii="Arial" w:hAnsi="Arial"/>
                <w:b/>
                <w:w w:val="105"/>
                <w:sz w:val="24"/>
              </w:rPr>
              <w:t>Diagnostic</w:t>
            </w:r>
            <w:r>
              <w:rPr>
                <w:rFonts w:ascii="Arial" w:hAnsi="Arial"/>
                <w:b/>
                <w:spacing w:val="-4"/>
                <w:w w:val="105"/>
                <w:sz w:val="24"/>
              </w:rPr>
              <w:t xml:space="preserve"> </w:t>
            </w:r>
            <w:r>
              <w:rPr>
                <w:rFonts w:ascii="Arial" w:hAnsi="Arial"/>
                <w:b/>
                <w:w w:val="105"/>
                <w:sz w:val="24"/>
              </w:rPr>
              <w:t>criteria</w:t>
            </w:r>
            <w:r>
              <w:rPr>
                <w:rFonts w:ascii="Arial" w:hAnsi="Arial"/>
                <w:b/>
                <w:spacing w:val="-7"/>
                <w:w w:val="105"/>
                <w:sz w:val="24"/>
              </w:rPr>
              <w:t xml:space="preserve"> </w:t>
            </w:r>
            <w:r>
              <w:rPr>
                <w:rFonts w:ascii="Arial" w:hAnsi="Arial"/>
                <w:b/>
                <w:w w:val="105"/>
                <w:sz w:val="24"/>
              </w:rPr>
              <w:t>for</w:t>
            </w:r>
            <w:r>
              <w:rPr>
                <w:rFonts w:ascii="Arial" w:hAnsi="Arial"/>
                <w:b/>
                <w:spacing w:val="-16"/>
                <w:w w:val="105"/>
                <w:sz w:val="24"/>
              </w:rPr>
              <w:t xml:space="preserve"> </w:t>
            </w:r>
            <w:r>
              <w:rPr>
                <w:rFonts w:ascii="Arial" w:hAnsi="Arial"/>
                <w:b/>
                <w:w w:val="105"/>
                <w:sz w:val="24"/>
              </w:rPr>
              <w:t>Dementia</w:t>
            </w:r>
            <w:r>
              <w:rPr>
                <w:rFonts w:ascii="Arial" w:hAnsi="Arial"/>
                <w:b/>
                <w:spacing w:val="-3"/>
                <w:w w:val="105"/>
                <w:sz w:val="24"/>
              </w:rPr>
              <w:t xml:space="preserve"> </w:t>
            </w:r>
            <w:r>
              <w:rPr>
                <w:rFonts w:ascii="Arial" w:hAnsi="Arial"/>
                <w:b/>
                <w:w w:val="105"/>
                <w:sz w:val="24"/>
              </w:rPr>
              <w:t>Due</w:t>
            </w:r>
            <w:r>
              <w:rPr>
                <w:rFonts w:ascii="Arial" w:hAnsi="Arial"/>
                <w:b/>
                <w:spacing w:val="-10"/>
                <w:w w:val="105"/>
                <w:sz w:val="24"/>
              </w:rPr>
              <w:t xml:space="preserve"> </w:t>
            </w:r>
            <w:r>
              <w:rPr>
                <w:rFonts w:ascii="Arial" w:hAnsi="Arial"/>
                <w:b/>
                <w:w w:val="105"/>
                <w:sz w:val="24"/>
              </w:rPr>
              <w:t>to</w:t>
            </w:r>
            <w:r>
              <w:rPr>
                <w:rFonts w:ascii="Arial" w:hAnsi="Arial"/>
                <w:b/>
                <w:spacing w:val="-19"/>
                <w:w w:val="105"/>
                <w:sz w:val="24"/>
              </w:rPr>
              <w:t xml:space="preserve"> </w:t>
            </w:r>
            <w:r>
              <w:rPr>
                <w:rFonts w:ascii="Arial" w:hAnsi="Arial"/>
                <w:b/>
                <w:w w:val="105"/>
                <w:sz w:val="24"/>
              </w:rPr>
              <w:t>Other General Medical</w:t>
            </w:r>
            <w:r>
              <w:rPr>
                <w:rFonts w:ascii="Arial" w:hAnsi="Arial"/>
                <w:b/>
                <w:spacing w:val="-32"/>
                <w:w w:val="105"/>
                <w:sz w:val="24"/>
              </w:rPr>
              <w:t xml:space="preserve"> </w:t>
            </w:r>
            <w:r>
              <w:rPr>
                <w:rFonts w:ascii="Arial" w:hAnsi="Arial"/>
                <w:b/>
                <w:w w:val="105"/>
                <w:sz w:val="24"/>
              </w:rPr>
              <w:t>Conditions</w:t>
            </w:r>
          </w:p>
          <w:p w:rsidR="00E675F0" w:rsidRDefault="00E675F0" w:rsidP="003048D3">
            <w:pPr>
              <w:pStyle w:val="TableParagraph"/>
              <w:numPr>
                <w:ilvl w:val="1"/>
                <w:numId w:val="56"/>
              </w:numPr>
              <w:tabs>
                <w:tab w:val="left" w:pos="951"/>
              </w:tabs>
              <w:spacing w:before="165"/>
              <w:ind w:hanging="300"/>
              <w:rPr>
                <w:sz w:val="20"/>
              </w:rPr>
            </w:pPr>
            <w:r>
              <w:rPr>
                <w:w w:val="105"/>
                <w:sz w:val="20"/>
              </w:rPr>
              <w:t>The development of multiple cognitive deficits manifested by</w:t>
            </w:r>
            <w:r>
              <w:rPr>
                <w:spacing w:val="-24"/>
                <w:w w:val="105"/>
                <w:sz w:val="20"/>
              </w:rPr>
              <w:t xml:space="preserve"> </w:t>
            </w:r>
            <w:r>
              <w:rPr>
                <w:w w:val="105"/>
                <w:sz w:val="20"/>
              </w:rPr>
              <w:t>both</w:t>
            </w:r>
          </w:p>
          <w:p w:rsidR="00E675F0" w:rsidRDefault="00E675F0" w:rsidP="003048D3">
            <w:pPr>
              <w:pStyle w:val="TableParagraph"/>
              <w:numPr>
                <w:ilvl w:val="2"/>
                <w:numId w:val="56"/>
              </w:numPr>
              <w:tabs>
                <w:tab w:val="left" w:pos="1382"/>
                <w:tab w:val="left" w:pos="1383"/>
              </w:tabs>
              <w:spacing w:before="68" w:line="244" w:lineRule="auto"/>
              <w:ind w:right="229"/>
              <w:rPr>
                <w:sz w:val="17"/>
              </w:rPr>
            </w:pPr>
            <w:r>
              <w:rPr>
                <w:w w:val="105"/>
                <w:sz w:val="20"/>
              </w:rPr>
              <w:t>memory impairment (impaired ability to learn new information or to recall previously learned</w:t>
            </w:r>
            <w:r>
              <w:rPr>
                <w:spacing w:val="11"/>
                <w:w w:val="105"/>
                <w:sz w:val="20"/>
              </w:rPr>
              <w:t xml:space="preserve"> </w:t>
            </w:r>
            <w:r>
              <w:rPr>
                <w:w w:val="105"/>
                <w:sz w:val="20"/>
              </w:rPr>
              <w:t>information)</w:t>
            </w:r>
          </w:p>
          <w:p w:rsidR="00E675F0" w:rsidRDefault="00E675F0" w:rsidP="003048D3">
            <w:pPr>
              <w:pStyle w:val="TableParagraph"/>
              <w:numPr>
                <w:ilvl w:val="2"/>
                <w:numId w:val="56"/>
              </w:numPr>
              <w:tabs>
                <w:tab w:val="left" w:pos="1383"/>
              </w:tabs>
              <w:spacing w:before="6"/>
              <w:ind w:hanging="426"/>
              <w:rPr>
                <w:sz w:val="20"/>
              </w:rPr>
            </w:pPr>
            <w:r>
              <w:rPr>
                <w:w w:val="105"/>
                <w:sz w:val="20"/>
              </w:rPr>
              <w:t>one (or more) of the following cognitive</w:t>
            </w:r>
            <w:r>
              <w:rPr>
                <w:spacing w:val="-16"/>
                <w:w w:val="105"/>
                <w:sz w:val="20"/>
              </w:rPr>
              <w:t xml:space="preserve"> </w:t>
            </w:r>
            <w:r>
              <w:rPr>
                <w:w w:val="105"/>
                <w:sz w:val="20"/>
              </w:rPr>
              <w:t>disturbances:</w:t>
            </w:r>
          </w:p>
          <w:p w:rsidR="00E675F0" w:rsidRDefault="00E675F0" w:rsidP="003048D3">
            <w:pPr>
              <w:pStyle w:val="TableParagraph"/>
              <w:numPr>
                <w:ilvl w:val="3"/>
                <w:numId w:val="56"/>
              </w:numPr>
              <w:tabs>
                <w:tab w:val="left" w:pos="1802"/>
              </w:tabs>
              <w:spacing w:before="73"/>
              <w:ind w:hanging="426"/>
              <w:rPr>
                <w:sz w:val="20"/>
              </w:rPr>
            </w:pPr>
            <w:r>
              <w:rPr>
                <w:w w:val="105"/>
                <w:sz w:val="20"/>
              </w:rPr>
              <w:t>aphasia (language</w:t>
            </w:r>
            <w:r>
              <w:rPr>
                <w:spacing w:val="35"/>
                <w:w w:val="105"/>
                <w:sz w:val="20"/>
              </w:rPr>
              <w:t xml:space="preserve"> </w:t>
            </w:r>
            <w:r>
              <w:rPr>
                <w:w w:val="105"/>
                <w:sz w:val="20"/>
              </w:rPr>
              <w:t>disturbance)</w:t>
            </w:r>
          </w:p>
          <w:p w:rsidR="00E675F0" w:rsidRDefault="00E675F0" w:rsidP="003048D3">
            <w:pPr>
              <w:pStyle w:val="TableParagraph"/>
              <w:numPr>
                <w:ilvl w:val="3"/>
                <w:numId w:val="56"/>
              </w:numPr>
              <w:tabs>
                <w:tab w:val="left" w:pos="1802"/>
              </w:tabs>
              <w:spacing w:before="15" w:line="256" w:lineRule="auto"/>
              <w:ind w:left="1802" w:right="217" w:hanging="426"/>
              <w:rPr>
                <w:sz w:val="20"/>
              </w:rPr>
            </w:pPr>
            <w:r>
              <w:rPr>
                <w:w w:val="105"/>
                <w:sz w:val="20"/>
              </w:rPr>
              <w:t>apraxia (impaired ability to carry out motor activities despite intact motor</w:t>
            </w:r>
            <w:r>
              <w:rPr>
                <w:spacing w:val="16"/>
                <w:w w:val="105"/>
                <w:sz w:val="20"/>
              </w:rPr>
              <w:t xml:space="preserve"> </w:t>
            </w:r>
            <w:r>
              <w:rPr>
                <w:w w:val="105"/>
                <w:sz w:val="20"/>
              </w:rPr>
              <w:t>function)</w:t>
            </w:r>
          </w:p>
          <w:p w:rsidR="00E675F0" w:rsidRDefault="00E675F0" w:rsidP="003048D3">
            <w:pPr>
              <w:pStyle w:val="TableParagraph"/>
              <w:numPr>
                <w:ilvl w:val="3"/>
                <w:numId w:val="56"/>
              </w:numPr>
              <w:tabs>
                <w:tab w:val="left" w:pos="1806"/>
              </w:tabs>
              <w:spacing w:line="256" w:lineRule="auto"/>
              <w:ind w:left="1798" w:right="218" w:hanging="422"/>
              <w:rPr>
                <w:sz w:val="20"/>
              </w:rPr>
            </w:pPr>
            <w:r>
              <w:rPr>
                <w:w w:val="105"/>
                <w:sz w:val="20"/>
              </w:rPr>
              <w:t>agnosia (failure to recognize or identify objects despite intact sensory</w:t>
            </w:r>
            <w:r>
              <w:rPr>
                <w:spacing w:val="6"/>
                <w:w w:val="105"/>
                <w:sz w:val="20"/>
              </w:rPr>
              <w:t xml:space="preserve"> </w:t>
            </w:r>
            <w:r>
              <w:rPr>
                <w:w w:val="105"/>
                <w:sz w:val="20"/>
              </w:rPr>
              <w:t>function)</w:t>
            </w:r>
          </w:p>
          <w:p w:rsidR="00E675F0" w:rsidRDefault="00E675F0" w:rsidP="003048D3">
            <w:pPr>
              <w:pStyle w:val="TableParagraph"/>
              <w:numPr>
                <w:ilvl w:val="3"/>
                <w:numId w:val="56"/>
              </w:numPr>
              <w:tabs>
                <w:tab w:val="left" w:pos="1807"/>
              </w:tabs>
              <w:spacing w:line="256" w:lineRule="auto"/>
              <w:ind w:left="1806" w:right="216" w:hanging="431"/>
              <w:rPr>
                <w:sz w:val="20"/>
              </w:rPr>
            </w:pPr>
            <w:r>
              <w:rPr>
                <w:w w:val="105"/>
                <w:sz w:val="20"/>
              </w:rPr>
              <w:t>disturbance in executive functioning (i.e., planning, organiz­ ing, sequencing,</w:t>
            </w:r>
            <w:r>
              <w:rPr>
                <w:spacing w:val="25"/>
                <w:w w:val="105"/>
                <w:sz w:val="20"/>
              </w:rPr>
              <w:t xml:space="preserve"> </w:t>
            </w:r>
            <w:r>
              <w:rPr>
                <w:w w:val="105"/>
                <w:sz w:val="20"/>
              </w:rPr>
              <w:t>abstracting)</w:t>
            </w:r>
          </w:p>
          <w:p w:rsidR="00E675F0" w:rsidRDefault="00E675F0" w:rsidP="003048D3">
            <w:pPr>
              <w:pStyle w:val="TableParagraph"/>
              <w:numPr>
                <w:ilvl w:val="1"/>
                <w:numId w:val="56"/>
              </w:numPr>
              <w:tabs>
                <w:tab w:val="left" w:pos="956"/>
              </w:tabs>
              <w:spacing w:before="173" w:line="256" w:lineRule="auto"/>
              <w:ind w:left="956" w:right="213" w:hanging="297"/>
              <w:jc w:val="both"/>
              <w:rPr>
                <w:sz w:val="20"/>
              </w:rPr>
            </w:pPr>
            <w:r>
              <w:rPr>
                <w:w w:val="105"/>
                <w:sz w:val="20"/>
              </w:rPr>
              <w:t>The cognitive deficits in Criteria Al and A2 each cause significant impairment in social or occupational functioning and represent a significant decline from a previous level of</w:t>
            </w:r>
            <w:r>
              <w:rPr>
                <w:spacing w:val="26"/>
                <w:w w:val="105"/>
                <w:sz w:val="20"/>
              </w:rPr>
              <w:t xml:space="preserve"> </w:t>
            </w:r>
            <w:r>
              <w:rPr>
                <w:w w:val="105"/>
                <w:sz w:val="20"/>
              </w:rPr>
              <w:t>functioning.</w:t>
            </w:r>
          </w:p>
          <w:p w:rsidR="00E675F0" w:rsidRDefault="00E675F0" w:rsidP="00A330E1">
            <w:pPr>
              <w:pStyle w:val="TableParagraph"/>
              <w:spacing w:before="179"/>
              <w:ind w:right="203"/>
              <w:jc w:val="right"/>
              <w:rPr>
                <w:i/>
                <w:sz w:val="20"/>
              </w:rPr>
            </w:pPr>
            <w:r>
              <w:rPr>
                <w:i/>
                <w:w w:val="110"/>
                <w:sz w:val="20"/>
              </w:rPr>
              <w:t>(continued)</w:t>
            </w:r>
          </w:p>
        </w:tc>
      </w:tr>
    </w:tbl>
    <w:p w:rsidR="00E675F0" w:rsidRDefault="00E675F0" w:rsidP="00E675F0">
      <w:pPr>
        <w:jc w:val="right"/>
        <w:rPr>
          <w:sz w:val="20"/>
        </w:rPr>
        <w:sectPr w:rsidR="00E675F0">
          <w:pgSz w:w="8960" w:h="14260"/>
          <w:pgMar w:top="1400" w:right="600" w:bottom="280" w:left="600" w:header="680" w:footer="0" w:gutter="0"/>
          <w:cols w:space="720"/>
        </w:sectPr>
      </w:pPr>
    </w:p>
    <w:p w:rsidR="00E675F0" w:rsidRDefault="00E675F0" w:rsidP="00E675F0">
      <w:pPr>
        <w:pStyle w:val="BodyText"/>
        <w:spacing w:before="11"/>
        <w:rPr>
          <w:sz w:val="8"/>
        </w:rPr>
      </w:pPr>
    </w:p>
    <w:tbl>
      <w:tblPr>
        <w:tblW w:w="0" w:type="auto"/>
        <w:tblInd w:w="235"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7346"/>
      </w:tblGrid>
      <w:tr w:rsidR="00E675F0" w:rsidTr="00A330E1">
        <w:trPr>
          <w:trHeight w:val="8798"/>
        </w:trPr>
        <w:tc>
          <w:tcPr>
            <w:tcW w:w="7346" w:type="dxa"/>
          </w:tcPr>
          <w:p w:rsidR="00E675F0" w:rsidRDefault="00E675F0" w:rsidP="003048D3">
            <w:pPr>
              <w:pStyle w:val="TableParagraph"/>
              <w:numPr>
                <w:ilvl w:val="0"/>
                <w:numId w:val="55"/>
              </w:numPr>
              <w:tabs>
                <w:tab w:val="left" w:pos="601"/>
              </w:tabs>
              <w:spacing w:before="101" w:line="220" w:lineRule="auto"/>
              <w:ind w:right="765" w:hanging="318"/>
              <w:rPr>
                <w:rFonts w:ascii="Arial" w:hAnsi="Arial"/>
                <w:i/>
              </w:rPr>
            </w:pPr>
            <w:bookmarkStart w:id="97" w:name="_bookmark80"/>
            <w:bookmarkEnd w:id="97"/>
            <w:r>
              <w:rPr>
                <w:rFonts w:ascii="Arial" w:hAnsi="Arial"/>
                <w:b/>
                <w:w w:val="105"/>
              </w:rPr>
              <w:t>Diagnostic criteria for Dementia Due to Other General Medical Conditions</w:t>
            </w:r>
            <w:r>
              <w:rPr>
                <w:rFonts w:ascii="Arial" w:hAnsi="Arial"/>
                <w:b/>
                <w:spacing w:val="-8"/>
                <w:w w:val="105"/>
              </w:rPr>
              <w:t xml:space="preserve"> </w:t>
            </w:r>
            <w:r>
              <w:rPr>
                <w:rFonts w:ascii="Arial" w:hAnsi="Arial"/>
                <w:i/>
                <w:w w:val="105"/>
              </w:rPr>
              <w:t>(continued)</w:t>
            </w:r>
          </w:p>
          <w:p w:rsidR="00E675F0" w:rsidRDefault="00E675F0" w:rsidP="00A330E1">
            <w:pPr>
              <w:pStyle w:val="TableParagraph"/>
              <w:spacing w:before="10"/>
              <w:rPr>
                <w:sz w:val="18"/>
              </w:rPr>
            </w:pPr>
          </w:p>
          <w:p w:rsidR="00E675F0" w:rsidRDefault="00E675F0" w:rsidP="00A330E1">
            <w:pPr>
              <w:pStyle w:val="TableParagraph"/>
              <w:spacing w:line="254" w:lineRule="auto"/>
              <w:ind w:left="955" w:right="230" w:hanging="294"/>
              <w:jc w:val="both"/>
              <w:rPr>
                <w:sz w:val="20"/>
              </w:rPr>
            </w:pPr>
            <w:r>
              <w:rPr>
                <w:w w:val="105"/>
                <w:sz w:val="20"/>
              </w:rPr>
              <w:t>C. There is evidence from the history, physical examination, or laboratory findings that the disturbance is the direct physiological consequence of one of the general medical conditions listed below.</w:t>
            </w:r>
          </w:p>
          <w:p w:rsidR="00E675F0" w:rsidRDefault="00E675F0" w:rsidP="00A330E1">
            <w:pPr>
              <w:pStyle w:val="TableParagraph"/>
              <w:spacing w:before="187" w:line="219" w:lineRule="exact"/>
              <w:ind w:left="656"/>
              <w:rPr>
                <w:sz w:val="20"/>
              </w:rPr>
            </w:pPr>
            <w:r>
              <w:rPr>
                <w:w w:val="105"/>
                <w:sz w:val="20"/>
              </w:rPr>
              <w:t>D. The deficits do not occur exclusively during the course of a delirium.</w:t>
            </w:r>
          </w:p>
          <w:p w:rsidR="00E675F0" w:rsidRDefault="00E675F0" w:rsidP="003048D3">
            <w:pPr>
              <w:pStyle w:val="TableParagraph"/>
              <w:numPr>
                <w:ilvl w:val="0"/>
                <w:numId w:val="54"/>
              </w:numPr>
              <w:tabs>
                <w:tab w:val="left" w:pos="640"/>
              </w:tabs>
              <w:spacing w:line="541" w:lineRule="exact"/>
              <w:ind w:left="639"/>
              <w:rPr>
                <w:rFonts w:ascii="Arial" w:hAnsi="Arial"/>
                <w:b/>
                <w:sz w:val="48"/>
              </w:rPr>
            </w:pPr>
            <w:r>
              <w:rPr>
                <w:rFonts w:ascii="Arial" w:hAnsi="Arial"/>
                <w:b/>
                <w:w w:val="105"/>
                <w:sz w:val="24"/>
              </w:rPr>
              <w:t>294.9 Dementia Due to HIV</w:t>
            </w:r>
            <w:r>
              <w:rPr>
                <w:rFonts w:ascii="Arial" w:hAnsi="Arial"/>
                <w:b/>
                <w:spacing w:val="15"/>
                <w:w w:val="105"/>
                <w:sz w:val="24"/>
              </w:rPr>
              <w:t xml:space="preserve"> </w:t>
            </w:r>
            <w:r>
              <w:rPr>
                <w:rFonts w:ascii="Arial" w:hAnsi="Arial"/>
                <w:b/>
                <w:w w:val="105"/>
                <w:sz w:val="24"/>
              </w:rPr>
              <w:t>Disease</w:t>
            </w:r>
          </w:p>
          <w:p w:rsidR="00E675F0" w:rsidRDefault="00E675F0" w:rsidP="00A330E1">
            <w:pPr>
              <w:pStyle w:val="TableParagraph"/>
              <w:spacing w:before="67" w:line="244" w:lineRule="auto"/>
              <w:ind w:left="654" w:right="334" w:hanging="1"/>
              <w:rPr>
                <w:sz w:val="18"/>
              </w:rPr>
            </w:pPr>
            <w:r>
              <w:rPr>
                <w:b/>
                <w:w w:val="105"/>
                <w:sz w:val="18"/>
              </w:rPr>
              <w:t xml:space="preserve">Coding note: </w:t>
            </w:r>
            <w:r>
              <w:rPr>
                <w:w w:val="105"/>
                <w:sz w:val="18"/>
              </w:rPr>
              <w:t>Also code 043.1 HIV infection affecting central nervous system on Axis III.</w:t>
            </w:r>
          </w:p>
          <w:p w:rsidR="00E675F0" w:rsidRDefault="00E675F0" w:rsidP="003048D3">
            <w:pPr>
              <w:pStyle w:val="TableParagraph"/>
              <w:numPr>
                <w:ilvl w:val="0"/>
                <w:numId w:val="54"/>
              </w:numPr>
              <w:tabs>
                <w:tab w:val="left" w:pos="645"/>
              </w:tabs>
              <w:spacing w:line="472" w:lineRule="exact"/>
              <w:ind w:left="644" w:hanging="390"/>
              <w:rPr>
                <w:rFonts w:ascii="Arial" w:hAnsi="Arial"/>
                <w:b/>
                <w:sz w:val="48"/>
              </w:rPr>
            </w:pPr>
            <w:r>
              <w:rPr>
                <w:rFonts w:ascii="Arial" w:hAnsi="Arial"/>
                <w:b/>
                <w:w w:val="105"/>
                <w:sz w:val="24"/>
              </w:rPr>
              <w:t xml:space="preserve">294. </w:t>
            </w:r>
            <w:r>
              <w:rPr>
                <w:b/>
                <w:w w:val="105"/>
                <w:sz w:val="25"/>
              </w:rPr>
              <w:t xml:space="preserve">l </w:t>
            </w:r>
            <w:r>
              <w:rPr>
                <w:rFonts w:ascii="Arial" w:hAnsi="Arial"/>
                <w:b/>
                <w:w w:val="105"/>
                <w:sz w:val="24"/>
              </w:rPr>
              <w:t>Dementia Due to Head</w:t>
            </w:r>
            <w:r>
              <w:rPr>
                <w:rFonts w:ascii="Arial" w:hAnsi="Arial"/>
                <w:b/>
                <w:spacing w:val="-7"/>
                <w:w w:val="105"/>
                <w:sz w:val="24"/>
              </w:rPr>
              <w:t xml:space="preserve"> </w:t>
            </w:r>
            <w:r>
              <w:rPr>
                <w:rFonts w:ascii="Arial" w:hAnsi="Arial"/>
                <w:b/>
                <w:w w:val="105"/>
                <w:sz w:val="24"/>
              </w:rPr>
              <w:t>Trauma</w:t>
            </w:r>
          </w:p>
          <w:p w:rsidR="00E675F0" w:rsidRDefault="00E675F0" w:rsidP="00A330E1">
            <w:pPr>
              <w:pStyle w:val="TableParagraph"/>
              <w:spacing w:before="62" w:line="164" w:lineRule="exact"/>
              <w:ind w:left="653"/>
              <w:rPr>
                <w:sz w:val="18"/>
              </w:rPr>
            </w:pPr>
            <w:r>
              <w:rPr>
                <w:b/>
                <w:w w:val="105"/>
                <w:sz w:val="18"/>
              </w:rPr>
              <w:t xml:space="preserve">Coding note: </w:t>
            </w:r>
            <w:r>
              <w:rPr>
                <w:w w:val="105"/>
                <w:sz w:val="18"/>
              </w:rPr>
              <w:t>Also code 854.00 head injury on Axis III.</w:t>
            </w:r>
          </w:p>
          <w:p w:rsidR="00E675F0" w:rsidRDefault="00E675F0" w:rsidP="003048D3">
            <w:pPr>
              <w:pStyle w:val="TableParagraph"/>
              <w:numPr>
                <w:ilvl w:val="0"/>
                <w:numId w:val="54"/>
              </w:numPr>
              <w:tabs>
                <w:tab w:val="left" w:pos="640"/>
              </w:tabs>
              <w:spacing w:line="509" w:lineRule="exact"/>
              <w:ind w:left="639"/>
              <w:rPr>
                <w:rFonts w:ascii="Arial" w:hAnsi="Arial"/>
                <w:b/>
                <w:sz w:val="48"/>
              </w:rPr>
            </w:pPr>
            <w:r>
              <w:rPr>
                <w:rFonts w:ascii="Arial" w:hAnsi="Arial"/>
                <w:b/>
                <w:spacing w:val="3"/>
                <w:w w:val="105"/>
                <w:sz w:val="24"/>
              </w:rPr>
              <w:t xml:space="preserve">294.l </w:t>
            </w:r>
            <w:r>
              <w:rPr>
                <w:rFonts w:ascii="Arial" w:hAnsi="Arial"/>
                <w:b/>
                <w:w w:val="105"/>
                <w:sz w:val="24"/>
              </w:rPr>
              <w:t>Dementia Due to Parkinson's</w:t>
            </w:r>
            <w:r>
              <w:rPr>
                <w:rFonts w:ascii="Arial" w:hAnsi="Arial"/>
                <w:b/>
                <w:spacing w:val="-41"/>
                <w:w w:val="105"/>
                <w:sz w:val="24"/>
              </w:rPr>
              <w:t xml:space="preserve"> </w:t>
            </w:r>
            <w:r>
              <w:rPr>
                <w:rFonts w:ascii="Arial" w:hAnsi="Arial"/>
                <w:b/>
                <w:w w:val="105"/>
                <w:sz w:val="24"/>
              </w:rPr>
              <w:t>Disease</w:t>
            </w:r>
          </w:p>
          <w:p w:rsidR="00E675F0" w:rsidRDefault="00E675F0" w:rsidP="00A330E1">
            <w:pPr>
              <w:pStyle w:val="TableParagraph"/>
              <w:spacing w:before="66" w:line="162" w:lineRule="exact"/>
              <w:ind w:left="653"/>
              <w:rPr>
                <w:sz w:val="18"/>
              </w:rPr>
            </w:pPr>
            <w:r>
              <w:rPr>
                <w:b/>
                <w:w w:val="105"/>
                <w:sz w:val="18"/>
              </w:rPr>
              <w:t xml:space="preserve">Coding note: </w:t>
            </w:r>
            <w:r>
              <w:rPr>
                <w:w w:val="105"/>
                <w:sz w:val="18"/>
              </w:rPr>
              <w:t>Also code 332.0 Parkinson's disease on Axis III.</w:t>
            </w:r>
          </w:p>
          <w:p w:rsidR="00E675F0" w:rsidRDefault="00E675F0" w:rsidP="003048D3">
            <w:pPr>
              <w:pStyle w:val="TableParagraph"/>
              <w:numPr>
                <w:ilvl w:val="0"/>
                <w:numId w:val="54"/>
              </w:numPr>
              <w:tabs>
                <w:tab w:val="left" w:pos="640"/>
              </w:tabs>
              <w:spacing w:line="518" w:lineRule="exact"/>
              <w:ind w:left="639" w:hanging="386"/>
              <w:rPr>
                <w:rFonts w:ascii="Arial" w:hAnsi="Arial"/>
                <w:b/>
                <w:sz w:val="49"/>
              </w:rPr>
            </w:pPr>
            <w:r>
              <w:rPr>
                <w:rFonts w:ascii="Arial" w:hAnsi="Arial"/>
                <w:b/>
                <w:w w:val="105"/>
                <w:sz w:val="24"/>
              </w:rPr>
              <w:t>294. l Dementia Due to Huntington's</w:t>
            </w:r>
            <w:r>
              <w:rPr>
                <w:rFonts w:ascii="Arial" w:hAnsi="Arial"/>
                <w:b/>
                <w:spacing w:val="-13"/>
                <w:w w:val="105"/>
                <w:sz w:val="24"/>
              </w:rPr>
              <w:t xml:space="preserve"> </w:t>
            </w:r>
            <w:r>
              <w:rPr>
                <w:rFonts w:ascii="Arial" w:hAnsi="Arial"/>
                <w:b/>
                <w:w w:val="105"/>
                <w:sz w:val="24"/>
              </w:rPr>
              <w:t>Disease</w:t>
            </w:r>
          </w:p>
          <w:p w:rsidR="00E675F0" w:rsidRDefault="00E675F0" w:rsidP="00A330E1">
            <w:pPr>
              <w:pStyle w:val="TableParagraph"/>
              <w:spacing w:before="65" w:line="169" w:lineRule="exact"/>
              <w:ind w:left="653"/>
              <w:rPr>
                <w:sz w:val="18"/>
              </w:rPr>
            </w:pPr>
            <w:r>
              <w:rPr>
                <w:b/>
                <w:w w:val="105"/>
                <w:sz w:val="18"/>
              </w:rPr>
              <w:t xml:space="preserve">Coding note: </w:t>
            </w:r>
            <w:r>
              <w:rPr>
                <w:i/>
                <w:w w:val="105"/>
                <w:sz w:val="18"/>
              </w:rPr>
              <w:t xml:space="preserve">Also </w:t>
            </w:r>
            <w:r>
              <w:rPr>
                <w:w w:val="105"/>
                <w:sz w:val="18"/>
              </w:rPr>
              <w:t>code 333.4 Huntington's disease on Axis III.</w:t>
            </w:r>
          </w:p>
          <w:p w:rsidR="00E675F0" w:rsidRDefault="00E675F0" w:rsidP="003048D3">
            <w:pPr>
              <w:pStyle w:val="TableParagraph"/>
              <w:numPr>
                <w:ilvl w:val="0"/>
                <w:numId w:val="54"/>
              </w:numPr>
              <w:tabs>
                <w:tab w:val="left" w:pos="640"/>
              </w:tabs>
              <w:spacing w:line="514" w:lineRule="exact"/>
              <w:ind w:left="639"/>
              <w:rPr>
                <w:rFonts w:ascii="Arial" w:hAnsi="Arial"/>
                <w:b/>
                <w:sz w:val="48"/>
              </w:rPr>
            </w:pPr>
            <w:r>
              <w:rPr>
                <w:rFonts w:ascii="Arial" w:hAnsi="Arial"/>
                <w:b/>
                <w:sz w:val="24"/>
              </w:rPr>
              <w:t>290. l O Dementia Due to Pick's</w:t>
            </w:r>
            <w:r>
              <w:rPr>
                <w:rFonts w:ascii="Arial" w:hAnsi="Arial"/>
                <w:b/>
                <w:spacing w:val="-28"/>
                <w:sz w:val="24"/>
              </w:rPr>
              <w:t xml:space="preserve"> </w:t>
            </w:r>
            <w:r>
              <w:rPr>
                <w:rFonts w:ascii="Arial" w:hAnsi="Arial"/>
                <w:b/>
                <w:sz w:val="24"/>
              </w:rPr>
              <w:t>Disease</w:t>
            </w:r>
          </w:p>
          <w:p w:rsidR="00E675F0" w:rsidRDefault="00E675F0" w:rsidP="00A330E1">
            <w:pPr>
              <w:pStyle w:val="TableParagraph"/>
              <w:spacing w:before="62" w:line="164" w:lineRule="exact"/>
              <w:ind w:left="653"/>
              <w:rPr>
                <w:sz w:val="18"/>
              </w:rPr>
            </w:pPr>
            <w:r>
              <w:rPr>
                <w:b/>
                <w:w w:val="105"/>
                <w:sz w:val="18"/>
              </w:rPr>
              <w:t xml:space="preserve">Coding note: </w:t>
            </w:r>
            <w:r>
              <w:rPr>
                <w:w w:val="105"/>
                <w:sz w:val="18"/>
              </w:rPr>
              <w:t>Also code 331.1 Pick's disease on Axis III.</w:t>
            </w:r>
          </w:p>
          <w:p w:rsidR="00E675F0" w:rsidRDefault="00E675F0" w:rsidP="003048D3">
            <w:pPr>
              <w:pStyle w:val="TableParagraph"/>
              <w:numPr>
                <w:ilvl w:val="0"/>
                <w:numId w:val="54"/>
              </w:numPr>
              <w:tabs>
                <w:tab w:val="left" w:pos="640"/>
              </w:tabs>
              <w:spacing w:line="509" w:lineRule="exact"/>
              <w:ind w:left="639" w:hanging="390"/>
              <w:rPr>
                <w:rFonts w:ascii="Arial" w:hAnsi="Arial"/>
                <w:b/>
                <w:sz w:val="48"/>
              </w:rPr>
            </w:pPr>
            <w:r>
              <w:rPr>
                <w:rFonts w:ascii="Arial" w:hAnsi="Arial"/>
                <w:b/>
                <w:spacing w:val="3"/>
                <w:sz w:val="24"/>
              </w:rPr>
              <w:t xml:space="preserve">290.l </w:t>
            </w:r>
            <w:r>
              <w:rPr>
                <w:rFonts w:ascii="Arial" w:hAnsi="Arial"/>
                <w:b/>
                <w:sz w:val="24"/>
              </w:rPr>
              <w:t>O Dementia Due to Creutzfeldt--Jakob</w:t>
            </w:r>
            <w:r>
              <w:rPr>
                <w:rFonts w:ascii="Arial" w:hAnsi="Arial"/>
                <w:b/>
                <w:spacing w:val="-2"/>
                <w:sz w:val="24"/>
              </w:rPr>
              <w:t xml:space="preserve"> </w:t>
            </w:r>
            <w:r>
              <w:rPr>
                <w:rFonts w:ascii="Arial" w:hAnsi="Arial"/>
                <w:b/>
                <w:sz w:val="24"/>
              </w:rPr>
              <w:t>Disease</w:t>
            </w:r>
          </w:p>
          <w:p w:rsidR="00E675F0" w:rsidRDefault="00E675F0" w:rsidP="00A330E1">
            <w:pPr>
              <w:pStyle w:val="TableParagraph"/>
              <w:spacing w:before="57" w:line="164" w:lineRule="exact"/>
              <w:ind w:left="648"/>
              <w:rPr>
                <w:sz w:val="18"/>
              </w:rPr>
            </w:pPr>
            <w:r>
              <w:rPr>
                <w:b/>
                <w:w w:val="105"/>
                <w:sz w:val="18"/>
              </w:rPr>
              <w:t xml:space="preserve">Coding note: </w:t>
            </w:r>
            <w:r>
              <w:rPr>
                <w:w w:val="105"/>
                <w:sz w:val="18"/>
              </w:rPr>
              <w:t>Also code 046.1 Creutzfeldt-Jakob disease on Axis III.</w:t>
            </w:r>
          </w:p>
          <w:p w:rsidR="00E675F0" w:rsidRDefault="00E675F0" w:rsidP="003048D3">
            <w:pPr>
              <w:pStyle w:val="TableParagraph"/>
              <w:numPr>
                <w:ilvl w:val="0"/>
                <w:numId w:val="54"/>
              </w:numPr>
              <w:tabs>
                <w:tab w:val="left" w:pos="640"/>
                <w:tab w:val="left" w:pos="3878"/>
              </w:tabs>
              <w:spacing w:before="70" w:line="180" w:lineRule="auto"/>
              <w:ind w:right="1130" w:hanging="400"/>
              <w:rPr>
                <w:rFonts w:ascii="Arial" w:hAnsi="Arial"/>
                <w:b/>
                <w:i/>
                <w:sz w:val="48"/>
              </w:rPr>
            </w:pPr>
            <w:r>
              <w:rPr>
                <w:rFonts w:ascii="Arial" w:hAnsi="Arial"/>
                <w:b/>
                <w:spacing w:val="2"/>
                <w:sz w:val="24"/>
              </w:rPr>
              <w:t xml:space="preserve">294.l   </w:t>
            </w:r>
            <w:r>
              <w:rPr>
                <w:rFonts w:ascii="Arial" w:hAnsi="Arial"/>
                <w:b/>
                <w:sz w:val="24"/>
              </w:rPr>
              <w:t>Dementia  Due</w:t>
            </w:r>
            <w:r>
              <w:rPr>
                <w:rFonts w:ascii="Arial" w:hAnsi="Arial"/>
                <w:b/>
                <w:spacing w:val="-20"/>
                <w:sz w:val="24"/>
              </w:rPr>
              <w:t xml:space="preserve"> </w:t>
            </w:r>
            <w:r>
              <w:rPr>
                <w:rFonts w:ascii="Arial" w:hAnsi="Arial"/>
                <w:b/>
                <w:sz w:val="24"/>
              </w:rPr>
              <w:t>to</w:t>
            </w:r>
            <w:r>
              <w:rPr>
                <w:rFonts w:ascii="Arial" w:hAnsi="Arial"/>
                <w:b/>
                <w:spacing w:val="26"/>
                <w:sz w:val="24"/>
              </w:rPr>
              <w:t xml:space="preserve"> </w:t>
            </w:r>
            <w:r>
              <w:rPr>
                <w:rFonts w:ascii="Arial" w:hAnsi="Arial"/>
                <w:sz w:val="24"/>
              </w:rPr>
              <w:t>...</w:t>
            </w:r>
            <w:r>
              <w:rPr>
                <w:rFonts w:ascii="Arial" w:hAnsi="Arial"/>
                <w:sz w:val="24"/>
              </w:rPr>
              <w:tab/>
            </w:r>
            <w:r>
              <w:rPr>
                <w:rFonts w:ascii="TimesNewRomanPS-BoldItalicMT" w:hAnsi="TimesNewRomanPS-BoldItalicMT"/>
                <w:b/>
                <w:i/>
                <w:w w:val="95"/>
                <w:sz w:val="28"/>
              </w:rPr>
              <w:t>(Indicate</w:t>
            </w:r>
            <w:r>
              <w:rPr>
                <w:rFonts w:ascii="TimesNewRomanPS-BoldItalicMT" w:hAnsi="TimesNewRomanPS-BoldItalicMT"/>
                <w:b/>
                <w:i/>
                <w:spacing w:val="-34"/>
                <w:w w:val="95"/>
                <w:sz w:val="28"/>
              </w:rPr>
              <w:t xml:space="preserve"> </w:t>
            </w:r>
            <w:r>
              <w:rPr>
                <w:rFonts w:ascii="TimesNewRomanPS-BoldItalicMT" w:hAnsi="TimesNewRomanPS-BoldItalicMT"/>
                <w:b/>
                <w:i/>
                <w:w w:val="95"/>
                <w:sz w:val="28"/>
              </w:rPr>
              <w:t>the</w:t>
            </w:r>
            <w:r>
              <w:rPr>
                <w:rFonts w:ascii="TimesNewRomanPS-BoldItalicMT" w:hAnsi="TimesNewRomanPS-BoldItalicMT"/>
                <w:b/>
                <w:i/>
                <w:spacing w:val="-45"/>
                <w:w w:val="95"/>
                <w:sz w:val="28"/>
              </w:rPr>
              <w:t xml:space="preserve"> </w:t>
            </w:r>
            <w:r>
              <w:rPr>
                <w:rFonts w:ascii="TimesNewRomanPS-BoldItalicMT" w:hAnsi="TimesNewRomanPS-BoldItalicMT"/>
                <w:b/>
                <w:i/>
                <w:w w:val="95"/>
                <w:sz w:val="28"/>
              </w:rPr>
              <w:t xml:space="preserve">General </w:t>
            </w:r>
            <w:r>
              <w:rPr>
                <w:rFonts w:ascii="TimesNewRomanPS-BoldItalicMT" w:hAnsi="TimesNewRomanPS-BoldItalicMT"/>
                <w:b/>
                <w:i/>
                <w:sz w:val="28"/>
              </w:rPr>
              <w:t>Medical Condition not listed</w:t>
            </w:r>
            <w:r>
              <w:rPr>
                <w:rFonts w:ascii="TimesNewRomanPS-BoldItalicMT" w:hAnsi="TimesNewRomanPS-BoldItalicMT"/>
                <w:b/>
                <w:i/>
                <w:spacing w:val="2"/>
                <w:sz w:val="28"/>
              </w:rPr>
              <w:t xml:space="preserve"> </w:t>
            </w:r>
            <w:r>
              <w:rPr>
                <w:rFonts w:ascii="TimesNewRomanPS-BoldItalicMT" w:hAnsi="TimesNewRomanPS-BoldItalicMT"/>
                <w:b/>
                <w:i/>
                <w:sz w:val="28"/>
              </w:rPr>
              <w:t>a6ove)</w:t>
            </w:r>
          </w:p>
          <w:p w:rsidR="00E675F0" w:rsidRDefault="00E675F0" w:rsidP="00A330E1">
            <w:pPr>
              <w:pStyle w:val="TableParagraph"/>
              <w:spacing w:before="67" w:line="256" w:lineRule="auto"/>
              <w:ind w:left="961" w:right="334" w:firstLine="3"/>
              <w:rPr>
                <w:sz w:val="20"/>
              </w:rPr>
            </w:pPr>
            <w:r>
              <w:rPr>
                <w:w w:val="105"/>
                <w:sz w:val="20"/>
              </w:rPr>
              <w:t xml:space="preserve">For example, normal-pressure hydrocephalus, hypothyroidism, brain tumor, vitamin </w:t>
            </w:r>
            <w:r>
              <w:rPr>
                <w:w w:val="105"/>
                <w:sz w:val="19"/>
              </w:rPr>
              <w:t xml:space="preserve">B12 </w:t>
            </w:r>
            <w:r>
              <w:rPr>
                <w:w w:val="105"/>
                <w:sz w:val="20"/>
              </w:rPr>
              <w:t>deficiency, intracranial radiation</w:t>
            </w:r>
          </w:p>
          <w:p w:rsidR="00E675F0" w:rsidRDefault="00E675F0" w:rsidP="00A330E1">
            <w:pPr>
              <w:pStyle w:val="TableParagraph"/>
              <w:spacing w:before="104" w:line="252" w:lineRule="auto"/>
              <w:ind w:left="654" w:right="334" w:hanging="1"/>
              <w:rPr>
                <w:sz w:val="18"/>
              </w:rPr>
            </w:pPr>
            <w:r>
              <w:rPr>
                <w:b/>
                <w:w w:val="105"/>
                <w:sz w:val="18"/>
              </w:rPr>
              <w:t xml:space="preserve">Coding note: </w:t>
            </w:r>
            <w:r>
              <w:rPr>
                <w:w w:val="105"/>
                <w:sz w:val="18"/>
              </w:rPr>
              <w:t>Also code the general medical condition on Axis III (see Appendix</w:t>
            </w:r>
            <w:r>
              <w:rPr>
                <w:spacing w:val="47"/>
                <w:w w:val="105"/>
                <w:sz w:val="18"/>
              </w:rPr>
              <w:t xml:space="preserve"> </w:t>
            </w:r>
            <w:r>
              <w:rPr>
                <w:w w:val="105"/>
                <w:sz w:val="18"/>
              </w:rPr>
              <w:t>G for</w:t>
            </w:r>
            <w:r>
              <w:rPr>
                <w:spacing w:val="16"/>
                <w:w w:val="105"/>
                <w:sz w:val="18"/>
              </w:rPr>
              <w:t xml:space="preserve"> </w:t>
            </w:r>
            <w:r>
              <w:rPr>
                <w:w w:val="105"/>
                <w:sz w:val="18"/>
              </w:rPr>
              <w:t>codes).</w:t>
            </w:r>
          </w:p>
        </w:tc>
      </w:tr>
    </w:tbl>
    <w:p w:rsidR="00E675F0" w:rsidRDefault="00E675F0" w:rsidP="00E675F0">
      <w:pPr>
        <w:pStyle w:val="BodyText"/>
      </w:pPr>
    </w:p>
    <w:p w:rsidR="00E675F0" w:rsidRDefault="00E675F0" w:rsidP="00E675F0">
      <w:pPr>
        <w:pStyle w:val="BodyText"/>
      </w:pPr>
    </w:p>
    <w:p w:rsidR="00E675F0" w:rsidRDefault="00E675F0" w:rsidP="00E675F0">
      <w:pPr>
        <w:pStyle w:val="BodyText"/>
        <w:spacing w:before="4"/>
      </w:pPr>
    </w:p>
    <w:p w:rsidR="00E675F0" w:rsidRDefault="00E675F0" w:rsidP="00E675F0">
      <w:pPr>
        <w:spacing w:before="93"/>
        <w:ind w:left="1190" w:right="1189"/>
        <w:jc w:val="center"/>
        <w:rPr>
          <w:rFonts w:ascii="Arial"/>
          <w:b/>
          <w:sz w:val="25"/>
        </w:rPr>
      </w:pPr>
      <w:r>
        <w:rPr>
          <w:noProof/>
        </w:rPr>
        <mc:AlternateContent>
          <mc:Choice Requires="wpg">
            <w:drawing>
              <wp:anchor distT="0" distB="0" distL="114300" distR="114300" simplePos="0" relativeHeight="251787264" behindDoc="1" locked="0" layoutInCell="1" allowOverlap="1" wp14:anchorId="7E1168CD" wp14:editId="7CEE779B">
                <wp:simplePos x="0" y="0"/>
                <wp:positionH relativeFrom="page">
                  <wp:posOffset>469265</wp:posOffset>
                </wp:positionH>
                <wp:positionV relativeFrom="paragraph">
                  <wp:posOffset>-6125210</wp:posOffset>
                </wp:positionV>
                <wp:extent cx="4765675" cy="5726430"/>
                <wp:effectExtent l="0" t="12700" r="0" b="13970"/>
                <wp:wrapNone/>
                <wp:docPr id="1462" name="Group 1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5675" cy="5726430"/>
                          <a:chOff x="739" y="-9646"/>
                          <a:chExt cx="7505" cy="9018"/>
                        </a:xfrm>
                      </wpg:grpSpPr>
                      <wps:wsp>
                        <wps:cNvPr id="1463" name="Line 1420"/>
                        <wps:cNvCnPr>
                          <a:cxnSpLocks/>
                        </wps:cNvCnPr>
                        <wps:spPr bwMode="auto">
                          <a:xfrm>
                            <a:off x="802" y="-629"/>
                            <a:ext cx="0" cy="0"/>
                          </a:xfrm>
                          <a:prstGeom prst="line">
                            <a:avLst/>
                          </a:prstGeom>
                          <a:noFill/>
                          <a:ln w="3360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4" name="AutoShape 1419"/>
                        <wps:cNvSpPr>
                          <a:spLocks/>
                        </wps:cNvSpPr>
                        <wps:spPr bwMode="auto">
                          <a:xfrm>
                            <a:off x="739" y="-9647"/>
                            <a:ext cx="7505" cy="9018"/>
                          </a:xfrm>
                          <a:custGeom>
                            <a:avLst/>
                            <a:gdLst>
                              <a:gd name="T0" fmla="+- 0 8148 739"/>
                              <a:gd name="T1" fmla="*/ T0 w 7505"/>
                              <a:gd name="T2" fmla="+- 0 -629 -9646"/>
                              <a:gd name="T3" fmla="*/ -629 h 9018"/>
                              <a:gd name="T4" fmla="+- 0 8148 739"/>
                              <a:gd name="T5" fmla="*/ T4 w 7505"/>
                              <a:gd name="T6" fmla="+- 0 -9646 -9646"/>
                              <a:gd name="T7" fmla="*/ -9646 h 9018"/>
                              <a:gd name="T8" fmla="+- 0 739 739"/>
                              <a:gd name="T9" fmla="*/ T8 w 7505"/>
                              <a:gd name="T10" fmla="+- 0 -9579 -9646"/>
                              <a:gd name="T11" fmla="*/ -9579 h 9018"/>
                              <a:gd name="T12" fmla="+- 0 8244 739"/>
                              <a:gd name="T13" fmla="*/ T12 w 7505"/>
                              <a:gd name="T14" fmla="+- 0 -9579 -9646"/>
                              <a:gd name="T15" fmla="*/ -9579 h 9018"/>
                            </a:gdLst>
                            <a:ahLst/>
                            <a:cxnLst>
                              <a:cxn ang="0">
                                <a:pos x="T1" y="T3"/>
                              </a:cxn>
                              <a:cxn ang="0">
                                <a:pos x="T5" y="T7"/>
                              </a:cxn>
                              <a:cxn ang="0">
                                <a:pos x="T9" y="T11"/>
                              </a:cxn>
                              <a:cxn ang="0">
                                <a:pos x="T13" y="T15"/>
                              </a:cxn>
                            </a:cxnLst>
                            <a:rect l="0" t="0" r="r" b="b"/>
                            <a:pathLst>
                              <a:path w="7505" h="9018">
                                <a:moveTo>
                                  <a:pt x="7409" y="9017"/>
                                </a:moveTo>
                                <a:lnTo>
                                  <a:pt x="7409" y="0"/>
                                </a:lnTo>
                                <a:moveTo>
                                  <a:pt x="0" y="67"/>
                                </a:moveTo>
                                <a:lnTo>
                                  <a:pt x="7505" y="67"/>
                                </a:lnTo>
                              </a:path>
                            </a:pathLst>
                          </a:custGeom>
                          <a:noFill/>
                          <a:ln w="3053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9C4F5C" id="Group 1418" o:spid="_x0000_s1026" style="position:absolute;margin-left:36.95pt;margin-top:-482.3pt;width:375.25pt;height:450.9pt;z-index:-251529216;mso-position-horizontal-relative:page" coordorigin="739,-9646" coordsize="7505,90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">
                <v:line id="Line 1420" o:spid="_x0000_s1027" style="position:absolute;visibility:visible;mso-wrap-style:square" from="802,-629" to="802,-6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" strokeweight=".93339mm">
                  <o:lock v:ext="edit" shapetype="f"/>
                </v:line>
                <v:shape id="AutoShape 1419" o:spid="_x0000_s1028" style="position:absolute;left:739;top:-9647;width:7505;height:9018;visibility:visible;mso-wrap-style:square;v-text-anchor:top" coordsize="7505,90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" path="m7409,9017l7409,m,67r7505,e" filled="f" strokeweight=".84819mm">
                  <v:path arrowok="t" o:connecttype="custom" o:connectlocs="7409,-629;7409,-9646;0,-9579;7505,-9579" o:connectangles="0,0,0,0"/>
                </v:shape>
                <w10:wrap anchorx="page"/>
              </v:group>
            </w:pict>
          </mc:Fallback>
        </mc:AlternateContent>
      </w:r>
      <w:r>
        <w:rPr>
          <w:rFonts w:ascii="Arial"/>
          <w:b/>
          <w:w w:val="105"/>
          <w:sz w:val="25"/>
        </w:rPr>
        <w:t>Substance--Induced Persisting Dementia</w:t>
      </w:r>
    </w:p>
    <w:p w:rsidR="00E675F0" w:rsidRDefault="00E675F0" w:rsidP="00E675F0">
      <w:pPr>
        <w:pStyle w:val="BodyText"/>
        <w:spacing w:before="8"/>
        <w:rPr>
          <w:rFonts w:ascii="Arial"/>
          <w:b/>
          <w:sz w:val="27"/>
        </w:rPr>
      </w:pPr>
    </w:p>
    <w:p w:rsidR="00E675F0" w:rsidRDefault="00E675F0" w:rsidP="00E675F0">
      <w:pPr>
        <w:ind w:left="112"/>
        <w:jc w:val="both"/>
        <w:rPr>
          <w:rFonts w:ascii="TimesNewRomanPS-BoldItalicMT"/>
          <w:b/>
          <w:i/>
          <w:sz w:val="24"/>
        </w:rPr>
      </w:pPr>
      <w:r>
        <w:rPr>
          <w:rFonts w:ascii="TimesNewRomanPS-BoldItalicMT"/>
          <w:b/>
          <w:i/>
          <w:w w:val="120"/>
          <w:sz w:val="24"/>
        </w:rPr>
        <w:t>magnostic and Associated Features</w:t>
      </w:r>
    </w:p>
    <w:p w:rsidR="00E675F0" w:rsidRDefault="00E675F0" w:rsidP="00E675F0">
      <w:pPr>
        <w:pStyle w:val="BodyText"/>
        <w:spacing w:before="146" w:line="256" w:lineRule="auto"/>
        <w:ind w:left="127" w:right="138" w:firstLine="5"/>
        <w:jc w:val="both"/>
      </w:pPr>
      <w:r>
        <w:rPr>
          <w:w w:val="110"/>
        </w:rPr>
        <w:t xml:space="preserve">The cognitive deficits (Criterion A) and the required impairment (Criterion </w:t>
      </w:r>
      <w:r>
        <w:rPr>
          <w:b/>
          <w:w w:val="110"/>
          <w:sz w:val="18"/>
        </w:rPr>
        <w:t xml:space="preserve">B) </w:t>
      </w:r>
      <w:r>
        <w:rPr>
          <w:w w:val="110"/>
        </w:rPr>
        <w:t>are discussed</w:t>
      </w:r>
      <w:r>
        <w:rPr>
          <w:spacing w:val="-3"/>
          <w:w w:val="110"/>
        </w:rPr>
        <w:t xml:space="preserve"> </w:t>
      </w:r>
      <w:r>
        <w:rPr>
          <w:w w:val="110"/>
        </w:rPr>
        <w:t>on</w:t>
      </w:r>
      <w:r>
        <w:rPr>
          <w:spacing w:val="-5"/>
          <w:w w:val="110"/>
        </w:rPr>
        <w:t xml:space="preserve"> </w:t>
      </w:r>
      <w:r>
        <w:rPr>
          <w:w w:val="110"/>
        </w:rPr>
        <w:t>pp.</w:t>
      </w:r>
      <w:r>
        <w:rPr>
          <w:spacing w:val="-11"/>
          <w:w w:val="110"/>
        </w:rPr>
        <w:t xml:space="preserve"> </w:t>
      </w:r>
      <w:r>
        <w:rPr>
          <w:w w:val="110"/>
        </w:rPr>
        <w:t>133-135.</w:t>
      </w:r>
      <w:r>
        <w:rPr>
          <w:spacing w:val="-8"/>
          <w:w w:val="110"/>
        </w:rPr>
        <w:t xml:space="preserve"> </w:t>
      </w:r>
      <w:r>
        <w:rPr>
          <w:w w:val="110"/>
        </w:rPr>
        <w:t>Substance-Induced</w:t>
      </w:r>
      <w:r>
        <w:rPr>
          <w:spacing w:val="-18"/>
          <w:w w:val="110"/>
        </w:rPr>
        <w:t xml:space="preserve"> </w:t>
      </w:r>
      <w:r>
        <w:rPr>
          <w:w w:val="110"/>
        </w:rPr>
        <w:t>Persisting</w:t>
      </w:r>
      <w:r>
        <w:rPr>
          <w:spacing w:val="-3"/>
          <w:w w:val="110"/>
        </w:rPr>
        <w:t xml:space="preserve"> </w:t>
      </w:r>
      <w:r>
        <w:rPr>
          <w:w w:val="110"/>
        </w:rPr>
        <w:t>Dementia</w:t>
      </w:r>
      <w:r>
        <w:rPr>
          <w:spacing w:val="2"/>
          <w:w w:val="110"/>
        </w:rPr>
        <w:t xml:space="preserve"> </w:t>
      </w:r>
      <w:r>
        <w:rPr>
          <w:w w:val="110"/>
        </w:rPr>
        <w:t>is</w:t>
      </w:r>
      <w:r>
        <w:rPr>
          <w:spacing w:val="-11"/>
          <w:w w:val="110"/>
        </w:rPr>
        <w:t xml:space="preserve"> </w:t>
      </w:r>
      <w:r>
        <w:rPr>
          <w:w w:val="110"/>
        </w:rPr>
        <w:t>not</w:t>
      </w:r>
      <w:r>
        <w:rPr>
          <w:spacing w:val="-10"/>
          <w:w w:val="110"/>
        </w:rPr>
        <w:t xml:space="preserve"> </w:t>
      </w:r>
      <w:r>
        <w:rPr>
          <w:w w:val="110"/>
        </w:rPr>
        <w:t>diagnosed</w:t>
      </w:r>
      <w:r>
        <w:rPr>
          <w:spacing w:val="-3"/>
          <w:w w:val="110"/>
        </w:rPr>
        <w:t xml:space="preserve"> </w:t>
      </w:r>
      <w:r>
        <w:rPr>
          <w:w w:val="110"/>
        </w:rPr>
        <w:t>if the</w:t>
      </w:r>
      <w:r>
        <w:rPr>
          <w:spacing w:val="-39"/>
          <w:w w:val="110"/>
        </w:rPr>
        <w:t xml:space="preserve"> </w:t>
      </w:r>
      <w:r>
        <w:rPr>
          <w:w w:val="110"/>
        </w:rPr>
        <w:t>symptoms</w:t>
      </w:r>
      <w:r>
        <w:rPr>
          <w:spacing w:val="-32"/>
          <w:w w:val="110"/>
        </w:rPr>
        <w:t xml:space="preserve"> </w:t>
      </w:r>
      <w:r>
        <w:rPr>
          <w:w w:val="110"/>
        </w:rPr>
        <w:t>persist</w:t>
      </w:r>
      <w:r>
        <w:rPr>
          <w:spacing w:val="-29"/>
          <w:w w:val="110"/>
        </w:rPr>
        <w:t xml:space="preserve"> </w:t>
      </w:r>
      <w:r>
        <w:rPr>
          <w:w w:val="110"/>
        </w:rPr>
        <w:t>beyond</w:t>
      </w:r>
      <w:r>
        <w:rPr>
          <w:spacing w:val="-30"/>
          <w:w w:val="110"/>
        </w:rPr>
        <w:t xml:space="preserve"> </w:t>
      </w:r>
      <w:r>
        <w:rPr>
          <w:w w:val="110"/>
        </w:rPr>
        <w:t>the</w:t>
      </w:r>
      <w:r>
        <w:rPr>
          <w:spacing w:val="-35"/>
          <w:w w:val="110"/>
        </w:rPr>
        <w:t xml:space="preserve"> </w:t>
      </w:r>
      <w:r>
        <w:rPr>
          <w:w w:val="110"/>
        </w:rPr>
        <w:t>usual</w:t>
      </w:r>
      <w:r>
        <w:rPr>
          <w:spacing w:val="-35"/>
          <w:w w:val="110"/>
        </w:rPr>
        <w:t xml:space="preserve"> </w:t>
      </w:r>
      <w:r>
        <w:rPr>
          <w:w w:val="110"/>
        </w:rPr>
        <w:t>duration</w:t>
      </w:r>
      <w:r>
        <w:rPr>
          <w:spacing w:val="-32"/>
          <w:w w:val="110"/>
        </w:rPr>
        <w:t xml:space="preserve"> </w:t>
      </w:r>
      <w:r>
        <w:rPr>
          <w:w w:val="110"/>
        </w:rPr>
        <w:t>of</w:t>
      </w:r>
      <w:r>
        <w:rPr>
          <w:spacing w:val="-37"/>
          <w:w w:val="110"/>
        </w:rPr>
        <w:t xml:space="preserve"> </w:t>
      </w:r>
      <w:r>
        <w:rPr>
          <w:w w:val="110"/>
        </w:rPr>
        <w:t>Substance</w:t>
      </w:r>
      <w:r>
        <w:rPr>
          <w:spacing w:val="-30"/>
          <w:w w:val="110"/>
        </w:rPr>
        <w:t xml:space="preserve"> </w:t>
      </w:r>
      <w:r>
        <w:rPr>
          <w:w w:val="110"/>
        </w:rPr>
        <w:t>Intoxication</w:t>
      </w:r>
      <w:r>
        <w:rPr>
          <w:spacing w:val="-33"/>
          <w:w w:val="110"/>
        </w:rPr>
        <w:t xml:space="preserve"> </w:t>
      </w:r>
      <w:r>
        <w:rPr>
          <w:w w:val="110"/>
        </w:rPr>
        <w:t>or</w:t>
      </w:r>
      <w:r>
        <w:rPr>
          <w:spacing w:val="-31"/>
          <w:w w:val="110"/>
        </w:rPr>
        <w:t xml:space="preserve"> </w:t>
      </w:r>
      <w:r>
        <w:rPr>
          <w:w w:val="110"/>
        </w:rPr>
        <w:t>Withdrawal or if they occur exclusively during the course of a delirium (Criterion C). However, delirium</w:t>
      </w:r>
      <w:r>
        <w:rPr>
          <w:spacing w:val="-38"/>
          <w:w w:val="110"/>
        </w:rPr>
        <w:t xml:space="preserve"> </w:t>
      </w:r>
      <w:r>
        <w:rPr>
          <w:w w:val="110"/>
        </w:rPr>
        <w:t>may</w:t>
      </w:r>
      <w:r>
        <w:rPr>
          <w:spacing w:val="-37"/>
          <w:w w:val="110"/>
        </w:rPr>
        <w:t xml:space="preserve"> </w:t>
      </w:r>
      <w:r>
        <w:rPr>
          <w:w w:val="110"/>
        </w:rPr>
        <w:t>be</w:t>
      </w:r>
      <w:r>
        <w:rPr>
          <w:spacing w:val="-36"/>
          <w:w w:val="110"/>
        </w:rPr>
        <w:t xml:space="preserve"> </w:t>
      </w:r>
      <w:r>
        <w:rPr>
          <w:w w:val="110"/>
        </w:rPr>
        <w:t>superimposed</w:t>
      </w:r>
      <w:r>
        <w:rPr>
          <w:spacing w:val="-33"/>
          <w:w w:val="110"/>
        </w:rPr>
        <w:t xml:space="preserve"> </w:t>
      </w:r>
      <w:r>
        <w:rPr>
          <w:w w:val="110"/>
        </w:rPr>
        <w:t>on</w:t>
      </w:r>
      <w:r>
        <w:rPr>
          <w:spacing w:val="-36"/>
          <w:w w:val="110"/>
        </w:rPr>
        <w:t xml:space="preserve"> </w:t>
      </w:r>
      <w:r>
        <w:rPr>
          <w:w w:val="110"/>
        </w:rPr>
        <w:t>a</w:t>
      </w:r>
      <w:r>
        <w:rPr>
          <w:spacing w:val="-36"/>
          <w:w w:val="110"/>
        </w:rPr>
        <w:t xml:space="preserve"> </w:t>
      </w:r>
      <w:r>
        <w:rPr>
          <w:w w:val="110"/>
        </w:rPr>
        <w:t>preexisting</w:t>
      </w:r>
      <w:r>
        <w:rPr>
          <w:spacing w:val="-38"/>
          <w:w w:val="110"/>
        </w:rPr>
        <w:t xml:space="preserve"> </w:t>
      </w:r>
      <w:r>
        <w:rPr>
          <w:w w:val="110"/>
        </w:rPr>
        <w:t>Substance-Induced</w:t>
      </w:r>
      <w:r>
        <w:rPr>
          <w:spacing w:val="-44"/>
          <w:w w:val="110"/>
        </w:rPr>
        <w:t xml:space="preserve"> </w:t>
      </w:r>
      <w:r>
        <w:rPr>
          <w:w w:val="110"/>
        </w:rPr>
        <w:t>Persisting</w:t>
      </w:r>
      <w:r>
        <w:rPr>
          <w:spacing w:val="-34"/>
          <w:w w:val="110"/>
        </w:rPr>
        <w:t xml:space="preserve"> </w:t>
      </w:r>
      <w:r>
        <w:rPr>
          <w:w w:val="110"/>
        </w:rPr>
        <w:t>Dementia,</w:t>
      </w:r>
    </w:p>
    <w:p w:rsidR="00E675F0" w:rsidRDefault="00E675F0" w:rsidP="00E675F0">
      <w:pPr>
        <w:spacing w:line="256" w:lineRule="auto"/>
        <w:jc w:val="both"/>
        <w:sectPr w:rsidR="00E675F0">
          <w:pgSz w:w="8960" w:h="14260"/>
          <w:pgMar w:top="1400" w:right="600" w:bottom="280" w:left="600" w:header="686" w:footer="0" w:gutter="0"/>
          <w:cols w:space="720"/>
        </w:sectPr>
      </w:pPr>
    </w:p>
    <w:p w:rsidR="00E675F0" w:rsidRDefault="00E675F0" w:rsidP="00E675F0">
      <w:pPr>
        <w:pStyle w:val="BodyText"/>
        <w:spacing w:before="125" w:line="252" w:lineRule="auto"/>
        <w:ind w:left="136" w:right="141" w:firstLine="3"/>
        <w:jc w:val="both"/>
      </w:pPr>
      <w:r>
        <w:rPr>
          <w:b/>
          <w:w w:val="105"/>
          <w:sz w:val="19"/>
        </w:rPr>
        <w:lastRenderedPageBreak/>
        <w:t xml:space="preserve">in </w:t>
      </w:r>
      <w:r>
        <w:rPr>
          <w:w w:val="105"/>
        </w:rPr>
        <w:t>which case both diagnoses should be given. There must be evidence from the history, physical examination, or laboratory findings that the deficits are etiologically related to the persisting effects of substance use (e.g., a drug of abuse, a medication, toxin exposure) (Criterion D). This disorder is termed "persisting" because the dementia persists long after the individual has experienced the effects of Substance Intoxication  or Substance</w:t>
      </w:r>
      <w:r>
        <w:rPr>
          <w:spacing w:val="13"/>
          <w:w w:val="105"/>
        </w:rPr>
        <w:t xml:space="preserve"> </w:t>
      </w:r>
      <w:r>
        <w:rPr>
          <w:w w:val="105"/>
        </w:rPr>
        <w:t>Withdrawal.</w:t>
      </w:r>
    </w:p>
    <w:p w:rsidR="00E675F0" w:rsidRDefault="00E675F0" w:rsidP="00E675F0">
      <w:pPr>
        <w:pStyle w:val="BodyText"/>
        <w:spacing w:before="3" w:line="254" w:lineRule="auto"/>
        <w:ind w:left="131" w:right="152" w:firstLine="369"/>
        <w:jc w:val="both"/>
      </w:pPr>
      <w:r>
        <w:rPr>
          <w:w w:val="105"/>
        </w:rPr>
        <w:t>Features that are associated with Substance-Induced Persisting Dementia are those associated with dementias generally (see p. 135). Even if currently abstinent from substance use, most individuals with this disorder have previously had a pattern of prolonged and heavy substance use that met criteria for Substance Dependence. Because these disorders persist long after use of the substance has stopped, blood or urine screens may be negative for the etiological substance. The age at onset of Substance-Induced Persisting Dementia is rarely before age 20 years. This disorder usually has an insidious onset and slow progression, typically during a period when the person qualifies for a Substance Dependence diagnosis. The deficits are usually permanent and may worsen even if the substance use stops, although some cases do show improvement.</w:t>
      </w:r>
    </w:p>
    <w:p w:rsidR="00E675F0" w:rsidRDefault="00E675F0" w:rsidP="00E675F0">
      <w:pPr>
        <w:pStyle w:val="BodyText"/>
        <w:spacing w:before="4" w:line="252" w:lineRule="auto"/>
        <w:ind w:left="140" w:right="160" w:firstLine="361"/>
        <w:jc w:val="both"/>
      </w:pPr>
      <w:r>
        <w:rPr>
          <w:w w:val="105"/>
        </w:rPr>
        <w:t>For a more detailed discussion of the features associated with Substance-Related Disorders, see p. 175.</w:t>
      </w:r>
    </w:p>
    <w:p w:rsidR="00E675F0" w:rsidRDefault="00E675F0" w:rsidP="00E675F0">
      <w:pPr>
        <w:pStyle w:val="BodyText"/>
        <w:rPr>
          <w:sz w:val="22"/>
        </w:rPr>
      </w:pPr>
    </w:p>
    <w:p w:rsidR="00E675F0" w:rsidRDefault="00E675F0" w:rsidP="00E675F0">
      <w:pPr>
        <w:pStyle w:val="BodyText"/>
        <w:spacing w:before="5"/>
        <w:rPr>
          <w:sz w:val="23"/>
        </w:rPr>
      </w:pPr>
    </w:p>
    <w:p w:rsidR="00E675F0" w:rsidRDefault="00E675F0" w:rsidP="00E675F0">
      <w:pPr>
        <w:ind w:left="117"/>
        <w:rPr>
          <w:rFonts w:ascii="TimesNewRomanPS-BoldItalicMT"/>
          <w:b/>
          <w:i/>
          <w:sz w:val="24"/>
        </w:rPr>
      </w:pPr>
      <w:r>
        <w:rPr>
          <w:rFonts w:ascii="TimesNewRomanPS-BoldItalicMT"/>
          <w:b/>
          <w:i/>
          <w:w w:val="115"/>
          <w:sz w:val="24"/>
        </w:rPr>
        <w:t>Recording Procedures</w:t>
      </w:r>
    </w:p>
    <w:p w:rsidR="00E675F0" w:rsidRDefault="00E675F0" w:rsidP="00E675F0">
      <w:pPr>
        <w:pStyle w:val="BodyText"/>
        <w:spacing w:before="175" w:line="254" w:lineRule="auto"/>
        <w:ind w:left="133" w:right="149" w:hanging="6"/>
        <w:jc w:val="both"/>
      </w:pPr>
      <w:r>
        <w:rPr>
          <w:w w:val="105"/>
        </w:rPr>
        <w:t xml:space="preserve">The name of the diagnosis begins with the specific substance (e.g., alcohol) that is presumed to have caused the dementia. The diagnostic code is selected from the listing of classes of substances provided in the criteria set. For substances that do not fit into any of the classes, the code for "Other Substance" should be used. In addition, for medications prescribed at therapeutic doses,  the specific medication  can be indicated by listing the appropriate E-code (see Appendix G). When more than one substance is judged to play a significant role in the development of the persisting dementia, each should be listed separately (e.g., 291.2 Alcohol-Induced Persisting Dementia; 292.82 Inhalant-Induced Persisting Dementia). </w:t>
      </w:r>
      <w:r>
        <w:rPr>
          <w:w w:val="105"/>
          <w:sz w:val="19"/>
        </w:rPr>
        <w:t xml:space="preserve">If </w:t>
      </w:r>
      <w:r>
        <w:rPr>
          <w:w w:val="105"/>
        </w:rPr>
        <w:t>a substance is judged to be the etiological factor, but the specific substance or class of substances is unknown, the diagnosis</w:t>
      </w:r>
      <w:r>
        <w:rPr>
          <w:spacing w:val="24"/>
          <w:w w:val="105"/>
        </w:rPr>
        <w:t xml:space="preserve"> </w:t>
      </w:r>
      <w:r>
        <w:rPr>
          <w:w w:val="105"/>
        </w:rPr>
        <w:t>is</w:t>
      </w:r>
    </w:p>
    <w:p w:rsidR="00E675F0" w:rsidRDefault="00E675F0" w:rsidP="00E675F0">
      <w:pPr>
        <w:pStyle w:val="BodyText"/>
        <w:spacing w:line="220" w:lineRule="exact"/>
        <w:ind w:left="148"/>
        <w:jc w:val="both"/>
      </w:pPr>
      <w:r>
        <w:rPr>
          <w:w w:val="105"/>
        </w:rPr>
        <w:t>292.82 Unknown Substance-Induced Persisting Dementia.</w:t>
      </w:r>
    </w:p>
    <w:p w:rsidR="00E675F0" w:rsidRDefault="00E675F0" w:rsidP="00E675F0">
      <w:pPr>
        <w:pStyle w:val="BodyText"/>
        <w:rPr>
          <w:sz w:val="22"/>
        </w:rPr>
      </w:pPr>
    </w:p>
    <w:p w:rsidR="00E675F0" w:rsidRDefault="00E675F0" w:rsidP="00E675F0">
      <w:pPr>
        <w:pStyle w:val="BodyText"/>
        <w:spacing w:before="8"/>
        <w:rPr>
          <w:sz w:val="23"/>
        </w:rPr>
      </w:pPr>
    </w:p>
    <w:p w:rsidR="00E675F0" w:rsidRDefault="00E675F0" w:rsidP="00E675F0">
      <w:pPr>
        <w:ind w:left="129"/>
        <w:rPr>
          <w:rFonts w:ascii="TimesNewRomanPS-BoldItalicMT"/>
          <w:b/>
          <w:i/>
          <w:sz w:val="24"/>
        </w:rPr>
      </w:pPr>
      <w:r>
        <w:rPr>
          <w:rFonts w:ascii="TimesNewRomanPS-BoldItalicMT"/>
          <w:b/>
          <w:i/>
          <w:w w:val="110"/>
          <w:sz w:val="24"/>
        </w:rPr>
        <w:t>Specific Substances</w:t>
      </w:r>
    </w:p>
    <w:p w:rsidR="00E675F0" w:rsidRDefault="00E675F0" w:rsidP="00E675F0">
      <w:pPr>
        <w:pStyle w:val="BodyText"/>
        <w:spacing w:before="175" w:line="254" w:lineRule="auto"/>
        <w:ind w:left="141" w:right="151" w:hanging="1"/>
        <w:jc w:val="both"/>
      </w:pPr>
      <w:r>
        <w:rPr>
          <w:w w:val="105"/>
        </w:rPr>
        <w:t xml:space="preserve">Substance-Induced Persisting Dementia can occur </w:t>
      </w:r>
      <w:r>
        <w:rPr>
          <w:b/>
          <w:w w:val="105"/>
          <w:sz w:val="19"/>
        </w:rPr>
        <w:t xml:space="preserve">in </w:t>
      </w:r>
      <w:r>
        <w:rPr>
          <w:w w:val="105"/>
        </w:rPr>
        <w:t>association with the following classes of substances: alcohol; inhalants; sedatives, hypnotics, and anxiolytics; or other or unknown substances. Medications reported to cause dementia include anticonvulsants and intrathecal methotrexate. Toxins reported to evoke symptoms of dementia include lead, mercury, carbon monoxide, organophosphate insecticides, and industrial solvents.</w:t>
      </w:r>
    </w:p>
    <w:p w:rsidR="00E675F0" w:rsidRDefault="00E675F0" w:rsidP="00E675F0">
      <w:pPr>
        <w:pStyle w:val="BodyText"/>
        <w:rPr>
          <w:sz w:val="22"/>
        </w:rPr>
      </w:pPr>
    </w:p>
    <w:p w:rsidR="00E675F0" w:rsidRDefault="00E675F0" w:rsidP="00E675F0">
      <w:pPr>
        <w:pStyle w:val="BodyText"/>
        <w:spacing w:before="9"/>
        <w:rPr>
          <w:sz w:val="23"/>
        </w:rPr>
      </w:pPr>
    </w:p>
    <w:p w:rsidR="00E675F0" w:rsidRDefault="00E675F0" w:rsidP="00E675F0">
      <w:pPr>
        <w:ind w:left="128"/>
        <w:rPr>
          <w:rFonts w:ascii="TimesNewRomanPS-BoldItalicMT"/>
          <w:b/>
          <w:i/>
          <w:sz w:val="24"/>
        </w:rPr>
      </w:pPr>
      <w:r>
        <w:rPr>
          <w:rFonts w:ascii="TimesNewRomanPS-BoldItalicMT"/>
          <w:b/>
          <w:i/>
          <w:w w:val="115"/>
          <w:sz w:val="24"/>
        </w:rPr>
        <w:t>Differential Diagnosis</w:t>
      </w:r>
    </w:p>
    <w:p w:rsidR="00E675F0" w:rsidRDefault="00E675F0" w:rsidP="00E675F0">
      <w:pPr>
        <w:pStyle w:val="BodyText"/>
        <w:spacing w:before="180"/>
        <w:ind w:left="135"/>
        <w:jc w:val="both"/>
      </w:pPr>
      <w:r>
        <w:rPr>
          <w:w w:val="105"/>
        </w:rPr>
        <w:t>Seep. 138 for a general discussion of the differential diagnosis of dementia.</w:t>
      </w:r>
    </w:p>
    <w:p w:rsidR="00E675F0" w:rsidRDefault="00E675F0" w:rsidP="00E675F0">
      <w:pPr>
        <w:jc w:val="both"/>
        <w:sectPr w:rsidR="00E675F0">
          <w:pgSz w:w="8960" w:h="14260"/>
          <w:pgMar w:top="1400" w:right="600" w:bottom="280" w:left="600" w:header="680" w:footer="0" w:gutter="0"/>
          <w:cols w:space="720"/>
        </w:sectPr>
      </w:pPr>
    </w:p>
    <w:p w:rsidR="00E675F0" w:rsidRDefault="00E675F0" w:rsidP="00E675F0">
      <w:pPr>
        <w:pStyle w:val="BodyText"/>
        <w:rPr>
          <w:sz w:val="11"/>
        </w:rPr>
      </w:pPr>
    </w:p>
    <w:tbl>
      <w:tblPr>
        <w:tblW w:w="0" w:type="auto"/>
        <w:tblInd w:w="244"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7346"/>
      </w:tblGrid>
      <w:tr w:rsidR="00E675F0" w:rsidTr="00A330E1">
        <w:trPr>
          <w:trHeight w:val="7582"/>
        </w:trPr>
        <w:tc>
          <w:tcPr>
            <w:tcW w:w="7346" w:type="dxa"/>
          </w:tcPr>
          <w:p w:rsidR="00E675F0" w:rsidRDefault="00E675F0" w:rsidP="003048D3">
            <w:pPr>
              <w:pStyle w:val="TableParagraph"/>
              <w:numPr>
                <w:ilvl w:val="0"/>
                <w:numId w:val="53"/>
              </w:numPr>
              <w:tabs>
                <w:tab w:val="left" w:pos="634"/>
              </w:tabs>
              <w:spacing w:before="4" w:line="216" w:lineRule="auto"/>
              <w:ind w:right="1700"/>
              <w:rPr>
                <w:rFonts w:ascii="Arial" w:hAnsi="Arial"/>
                <w:b/>
                <w:sz w:val="23"/>
              </w:rPr>
            </w:pPr>
            <w:bookmarkStart w:id="98" w:name="_bookmark81"/>
            <w:bookmarkEnd w:id="98"/>
            <w:r>
              <w:rPr>
                <w:rFonts w:ascii="Arial" w:hAnsi="Arial"/>
                <w:b/>
                <w:w w:val="105"/>
                <w:sz w:val="23"/>
              </w:rPr>
              <w:t>Diagnostic criteria for Substance..-Induced Persisting</w:t>
            </w:r>
            <w:r>
              <w:rPr>
                <w:rFonts w:ascii="Arial" w:hAnsi="Arial"/>
                <w:b/>
                <w:spacing w:val="-9"/>
                <w:w w:val="105"/>
                <w:sz w:val="23"/>
              </w:rPr>
              <w:t xml:space="preserve"> </w:t>
            </w:r>
            <w:r>
              <w:rPr>
                <w:rFonts w:ascii="Arial" w:hAnsi="Arial"/>
                <w:b/>
                <w:w w:val="105"/>
                <w:sz w:val="23"/>
              </w:rPr>
              <w:t>Dementia</w:t>
            </w:r>
          </w:p>
          <w:p w:rsidR="00E675F0" w:rsidRDefault="00E675F0" w:rsidP="003048D3">
            <w:pPr>
              <w:pStyle w:val="TableParagraph"/>
              <w:numPr>
                <w:ilvl w:val="1"/>
                <w:numId w:val="53"/>
              </w:numPr>
              <w:tabs>
                <w:tab w:val="left" w:pos="958"/>
              </w:tabs>
              <w:spacing w:before="177"/>
              <w:ind w:hanging="300"/>
              <w:rPr>
                <w:sz w:val="20"/>
              </w:rPr>
            </w:pPr>
            <w:r>
              <w:rPr>
                <w:w w:val="105"/>
                <w:sz w:val="20"/>
              </w:rPr>
              <w:t>The development of multiple cognitive deficits manifested by</w:t>
            </w:r>
            <w:r>
              <w:rPr>
                <w:spacing w:val="-20"/>
                <w:w w:val="105"/>
                <w:sz w:val="20"/>
              </w:rPr>
              <w:t xml:space="preserve"> </w:t>
            </w:r>
            <w:r>
              <w:rPr>
                <w:w w:val="105"/>
                <w:sz w:val="20"/>
              </w:rPr>
              <w:t>both</w:t>
            </w:r>
          </w:p>
          <w:p w:rsidR="00E675F0" w:rsidRDefault="00E675F0" w:rsidP="003048D3">
            <w:pPr>
              <w:pStyle w:val="TableParagraph"/>
              <w:numPr>
                <w:ilvl w:val="2"/>
                <w:numId w:val="53"/>
              </w:numPr>
              <w:tabs>
                <w:tab w:val="left" w:pos="1395"/>
              </w:tabs>
              <w:spacing w:before="78" w:line="256" w:lineRule="auto"/>
              <w:ind w:right="236" w:hanging="424"/>
              <w:rPr>
                <w:sz w:val="18"/>
              </w:rPr>
            </w:pPr>
            <w:r>
              <w:rPr>
                <w:w w:val="105"/>
                <w:sz w:val="20"/>
              </w:rPr>
              <w:t>memory impairment (impaired ability to learn new information or to recall previously learned</w:t>
            </w:r>
            <w:r>
              <w:rPr>
                <w:spacing w:val="19"/>
                <w:w w:val="105"/>
                <w:sz w:val="20"/>
              </w:rPr>
              <w:t xml:space="preserve"> </w:t>
            </w:r>
            <w:r>
              <w:rPr>
                <w:w w:val="105"/>
                <w:sz w:val="20"/>
              </w:rPr>
              <w:t>information)</w:t>
            </w:r>
          </w:p>
          <w:p w:rsidR="00E675F0" w:rsidRDefault="00E675F0" w:rsidP="003048D3">
            <w:pPr>
              <w:pStyle w:val="TableParagraph"/>
              <w:numPr>
                <w:ilvl w:val="2"/>
                <w:numId w:val="53"/>
              </w:numPr>
              <w:tabs>
                <w:tab w:val="left" w:pos="1390"/>
              </w:tabs>
              <w:spacing w:line="228" w:lineRule="exact"/>
              <w:ind w:hanging="426"/>
              <w:rPr>
                <w:sz w:val="20"/>
              </w:rPr>
            </w:pPr>
            <w:r>
              <w:rPr>
                <w:w w:val="105"/>
                <w:sz w:val="20"/>
              </w:rPr>
              <w:t>one (or more) of the following cognitive</w:t>
            </w:r>
            <w:r>
              <w:rPr>
                <w:spacing w:val="43"/>
                <w:w w:val="105"/>
                <w:sz w:val="20"/>
              </w:rPr>
              <w:t xml:space="preserve"> </w:t>
            </w:r>
            <w:r>
              <w:rPr>
                <w:w w:val="105"/>
                <w:sz w:val="20"/>
              </w:rPr>
              <w:t>disturbances:</w:t>
            </w:r>
          </w:p>
          <w:p w:rsidR="00E675F0" w:rsidRDefault="00E675F0" w:rsidP="003048D3">
            <w:pPr>
              <w:pStyle w:val="TableParagraph"/>
              <w:numPr>
                <w:ilvl w:val="3"/>
                <w:numId w:val="53"/>
              </w:numPr>
              <w:tabs>
                <w:tab w:val="left" w:pos="1808"/>
              </w:tabs>
              <w:spacing w:before="73"/>
              <w:rPr>
                <w:sz w:val="20"/>
              </w:rPr>
            </w:pPr>
            <w:r>
              <w:rPr>
                <w:w w:val="105"/>
                <w:sz w:val="20"/>
              </w:rPr>
              <w:t>aphasia (language</w:t>
            </w:r>
            <w:r>
              <w:rPr>
                <w:spacing w:val="30"/>
                <w:w w:val="105"/>
                <w:sz w:val="20"/>
              </w:rPr>
              <w:t xml:space="preserve"> </w:t>
            </w:r>
            <w:r>
              <w:rPr>
                <w:w w:val="105"/>
                <w:sz w:val="20"/>
              </w:rPr>
              <w:t>disturbance)</w:t>
            </w:r>
          </w:p>
          <w:p w:rsidR="00E675F0" w:rsidRDefault="00E675F0" w:rsidP="003048D3">
            <w:pPr>
              <w:pStyle w:val="TableParagraph"/>
              <w:numPr>
                <w:ilvl w:val="3"/>
                <w:numId w:val="53"/>
              </w:numPr>
              <w:tabs>
                <w:tab w:val="left" w:pos="1808"/>
              </w:tabs>
              <w:spacing w:before="15" w:line="256" w:lineRule="auto"/>
              <w:ind w:left="1808" w:right="224" w:hanging="426"/>
              <w:rPr>
                <w:sz w:val="20"/>
              </w:rPr>
            </w:pPr>
            <w:r>
              <w:rPr>
                <w:w w:val="105"/>
                <w:sz w:val="20"/>
              </w:rPr>
              <w:t>apraxia (impaired ability to carry out motor activities despite intact motor</w:t>
            </w:r>
            <w:r>
              <w:rPr>
                <w:spacing w:val="19"/>
                <w:w w:val="105"/>
                <w:sz w:val="20"/>
              </w:rPr>
              <w:t xml:space="preserve"> </w:t>
            </w:r>
            <w:r>
              <w:rPr>
                <w:w w:val="105"/>
                <w:sz w:val="20"/>
              </w:rPr>
              <w:t>function)</w:t>
            </w:r>
          </w:p>
          <w:p w:rsidR="00E675F0" w:rsidRDefault="00E675F0" w:rsidP="003048D3">
            <w:pPr>
              <w:pStyle w:val="TableParagraph"/>
              <w:numPr>
                <w:ilvl w:val="3"/>
                <w:numId w:val="53"/>
              </w:numPr>
              <w:tabs>
                <w:tab w:val="left" w:pos="1808"/>
              </w:tabs>
              <w:spacing w:line="256" w:lineRule="auto"/>
              <w:ind w:left="1805" w:right="231" w:hanging="422"/>
              <w:rPr>
                <w:sz w:val="20"/>
              </w:rPr>
            </w:pPr>
            <w:r>
              <w:rPr>
                <w:w w:val="105"/>
                <w:sz w:val="20"/>
              </w:rPr>
              <w:t>agnosia (failure to recognize or identify objects despite intact sensory</w:t>
            </w:r>
            <w:r>
              <w:rPr>
                <w:spacing w:val="1"/>
                <w:w w:val="105"/>
                <w:sz w:val="20"/>
              </w:rPr>
              <w:t xml:space="preserve"> </w:t>
            </w:r>
            <w:r>
              <w:rPr>
                <w:w w:val="105"/>
                <w:sz w:val="20"/>
              </w:rPr>
              <w:t>function)</w:t>
            </w:r>
          </w:p>
          <w:p w:rsidR="00E675F0" w:rsidRDefault="00E675F0" w:rsidP="003048D3">
            <w:pPr>
              <w:pStyle w:val="TableParagraph"/>
              <w:numPr>
                <w:ilvl w:val="3"/>
                <w:numId w:val="53"/>
              </w:numPr>
              <w:tabs>
                <w:tab w:val="left" w:pos="1809"/>
              </w:tabs>
              <w:spacing w:line="252" w:lineRule="auto"/>
              <w:ind w:left="1813" w:right="235" w:hanging="431"/>
              <w:rPr>
                <w:sz w:val="20"/>
              </w:rPr>
            </w:pPr>
            <w:r>
              <w:rPr>
                <w:w w:val="105"/>
                <w:sz w:val="20"/>
              </w:rPr>
              <w:t>disturbance in executive functioning (i.e., planning, organiz­ ing, sequencing,</w:t>
            </w:r>
            <w:r>
              <w:rPr>
                <w:spacing w:val="21"/>
                <w:w w:val="105"/>
                <w:sz w:val="20"/>
              </w:rPr>
              <w:t xml:space="preserve"> </w:t>
            </w:r>
            <w:r>
              <w:rPr>
                <w:w w:val="105"/>
                <w:sz w:val="20"/>
              </w:rPr>
              <w:t>abstracting)</w:t>
            </w:r>
          </w:p>
          <w:p w:rsidR="00E675F0" w:rsidRDefault="00E675F0" w:rsidP="003048D3">
            <w:pPr>
              <w:pStyle w:val="TableParagraph"/>
              <w:numPr>
                <w:ilvl w:val="1"/>
                <w:numId w:val="53"/>
              </w:numPr>
              <w:tabs>
                <w:tab w:val="left" w:pos="958"/>
              </w:tabs>
              <w:spacing w:before="181" w:line="254" w:lineRule="auto"/>
              <w:ind w:left="958" w:right="226" w:hanging="302"/>
              <w:jc w:val="both"/>
              <w:rPr>
                <w:sz w:val="20"/>
              </w:rPr>
            </w:pPr>
            <w:r>
              <w:rPr>
                <w:w w:val="105"/>
                <w:sz w:val="20"/>
              </w:rPr>
              <w:t>The cognitive deficits in Criteria Al and A2 each cause significant impairment in social or occupational functioning and represent a significant decline from a previous level of</w:t>
            </w:r>
            <w:r>
              <w:rPr>
                <w:spacing w:val="30"/>
                <w:w w:val="105"/>
                <w:sz w:val="20"/>
              </w:rPr>
              <w:t xml:space="preserve"> </w:t>
            </w:r>
            <w:r>
              <w:rPr>
                <w:w w:val="105"/>
                <w:sz w:val="20"/>
              </w:rPr>
              <w:t>functioning.</w:t>
            </w:r>
          </w:p>
          <w:p w:rsidR="00E675F0" w:rsidRDefault="00E675F0" w:rsidP="003048D3">
            <w:pPr>
              <w:pStyle w:val="TableParagraph"/>
              <w:numPr>
                <w:ilvl w:val="1"/>
                <w:numId w:val="53"/>
              </w:numPr>
              <w:tabs>
                <w:tab w:val="left" w:pos="958"/>
              </w:tabs>
              <w:spacing w:before="187" w:line="254" w:lineRule="auto"/>
              <w:ind w:left="960" w:right="233" w:hanging="310"/>
              <w:jc w:val="both"/>
              <w:rPr>
                <w:rFonts w:ascii="Arial"/>
                <w:sz w:val="18"/>
              </w:rPr>
            </w:pPr>
            <w:r>
              <w:rPr>
                <w:w w:val="105"/>
                <w:sz w:val="20"/>
              </w:rPr>
              <w:t>The deficits do not occur exclusively during the course of a delirium and persist beyond the usual duration of Substance Intoxication or Withdrawal.</w:t>
            </w:r>
          </w:p>
          <w:p w:rsidR="00E675F0" w:rsidRDefault="00E675F0" w:rsidP="003048D3">
            <w:pPr>
              <w:pStyle w:val="TableParagraph"/>
              <w:numPr>
                <w:ilvl w:val="1"/>
                <w:numId w:val="53"/>
              </w:numPr>
              <w:tabs>
                <w:tab w:val="left" w:pos="958"/>
              </w:tabs>
              <w:spacing w:before="182" w:line="254" w:lineRule="auto"/>
              <w:ind w:left="960" w:right="222" w:hanging="304"/>
              <w:jc w:val="both"/>
              <w:rPr>
                <w:sz w:val="20"/>
              </w:rPr>
            </w:pPr>
            <w:r>
              <w:rPr>
                <w:w w:val="105"/>
                <w:sz w:val="20"/>
              </w:rPr>
              <w:t>There is evidence from the history, physical examination, or laboratory findings that the deficits are etiologically related to the persisting effects of substance use (e.g., a drug of abuse, a</w:t>
            </w:r>
            <w:r>
              <w:rPr>
                <w:spacing w:val="12"/>
                <w:w w:val="105"/>
                <w:sz w:val="20"/>
              </w:rPr>
              <w:t xml:space="preserve"> </w:t>
            </w:r>
            <w:r>
              <w:rPr>
                <w:w w:val="105"/>
                <w:sz w:val="20"/>
              </w:rPr>
              <w:t>medication).</w:t>
            </w:r>
          </w:p>
          <w:p w:rsidR="00E675F0" w:rsidRDefault="00E675F0" w:rsidP="00A330E1">
            <w:pPr>
              <w:pStyle w:val="TableParagraph"/>
              <w:spacing w:before="158"/>
              <w:ind w:left="406"/>
              <w:rPr>
                <w:rFonts w:ascii="Arial"/>
                <w:sz w:val="18"/>
              </w:rPr>
            </w:pPr>
            <w:r>
              <w:rPr>
                <w:i/>
                <w:w w:val="105"/>
                <w:sz w:val="20"/>
              </w:rPr>
              <w:t xml:space="preserve">Code </w:t>
            </w:r>
            <w:r>
              <w:rPr>
                <w:rFonts w:ascii="Arial"/>
                <w:w w:val="105"/>
                <w:sz w:val="18"/>
              </w:rPr>
              <w:t>[Specific Substance I-Induced Persisting Dementia:</w:t>
            </w:r>
          </w:p>
          <w:p w:rsidR="00E675F0" w:rsidRDefault="00E675F0" w:rsidP="00A330E1">
            <w:pPr>
              <w:pStyle w:val="TableParagraph"/>
              <w:spacing w:before="10"/>
              <w:ind w:left="652"/>
              <w:rPr>
                <w:sz w:val="20"/>
              </w:rPr>
            </w:pPr>
            <w:r>
              <w:rPr>
                <w:sz w:val="20"/>
              </w:rPr>
              <w:t>(291.2 Alcohol; 292.82 Inhalant; 292.82 Sedative, Hypnotic, or Anxiolytic;</w:t>
            </w:r>
          </w:p>
          <w:p w:rsidR="00E675F0" w:rsidRDefault="00E675F0" w:rsidP="00A330E1">
            <w:pPr>
              <w:pStyle w:val="TableParagraph"/>
              <w:spacing w:before="6"/>
              <w:ind w:left="660"/>
              <w:rPr>
                <w:sz w:val="20"/>
              </w:rPr>
            </w:pPr>
            <w:r>
              <w:rPr>
                <w:w w:val="105"/>
                <w:sz w:val="20"/>
              </w:rPr>
              <w:t>292.82 Other [or Unknown] Substance)</w:t>
            </w:r>
          </w:p>
        </w:tc>
      </w:tr>
    </w:tbl>
    <w:p w:rsidR="00E675F0" w:rsidRDefault="00E675F0" w:rsidP="00E675F0">
      <w:pPr>
        <w:pStyle w:val="BodyText"/>
      </w:pPr>
    </w:p>
    <w:p w:rsidR="00E675F0" w:rsidRDefault="00E675F0" w:rsidP="00E675F0">
      <w:pPr>
        <w:pStyle w:val="BodyText"/>
        <w:spacing w:before="10"/>
        <w:rPr>
          <w:sz w:val="21"/>
        </w:rPr>
      </w:pPr>
    </w:p>
    <w:p w:rsidR="00E675F0" w:rsidRDefault="00E675F0" w:rsidP="00E675F0">
      <w:pPr>
        <w:pStyle w:val="Heading9"/>
        <w:spacing w:before="88"/>
        <w:ind w:left="1205" w:right="1187"/>
      </w:pPr>
      <w:r>
        <w:rPr>
          <w:noProof/>
        </w:rPr>
        <mc:AlternateContent>
          <mc:Choice Requires="wps">
            <w:drawing>
              <wp:anchor distT="0" distB="0" distL="114300" distR="114300" simplePos="0" relativeHeight="251788288" behindDoc="1" locked="0" layoutInCell="1" allowOverlap="1" wp14:anchorId="636F6E51" wp14:editId="44E800C0">
                <wp:simplePos x="0" y="0"/>
                <wp:positionH relativeFrom="page">
                  <wp:posOffset>5179695</wp:posOffset>
                </wp:positionH>
                <wp:positionV relativeFrom="paragraph">
                  <wp:posOffset>-263525</wp:posOffset>
                </wp:positionV>
                <wp:extent cx="0" cy="0"/>
                <wp:effectExtent l="0" t="0" r="0" b="0"/>
                <wp:wrapNone/>
                <wp:docPr id="1461" name="Line 14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3360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4F6B57" id="Line 1417" o:spid="_x0000_s1026" style="position:absolute;z-index:-251528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7.85pt,-20.75pt" to="407.85pt,-2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" strokeweight=".93339mm">
                <o:lock v:ext="edit" shapetype="f"/>
                <w10:wrap anchorx="page"/>
              </v:line>
            </w:pict>
          </mc:Fallback>
        </mc:AlternateContent>
      </w:r>
      <w:r>
        <w:rPr>
          <w:w w:val="105"/>
        </w:rPr>
        <w:t>Dementia Due to Multiple Etiologies</w:t>
      </w:r>
    </w:p>
    <w:p w:rsidR="00E675F0" w:rsidRDefault="00E675F0" w:rsidP="00E675F0">
      <w:pPr>
        <w:pStyle w:val="BodyText"/>
        <w:spacing w:before="3"/>
        <w:rPr>
          <w:b/>
          <w:sz w:val="28"/>
        </w:rPr>
      </w:pPr>
    </w:p>
    <w:p w:rsidR="00E675F0" w:rsidRDefault="00E675F0" w:rsidP="00E675F0">
      <w:pPr>
        <w:pStyle w:val="BodyText"/>
        <w:spacing w:line="254" w:lineRule="auto"/>
        <w:ind w:left="141" w:right="123" w:hanging="4"/>
        <w:jc w:val="both"/>
      </w:pPr>
      <w:r>
        <w:rPr>
          <w:w w:val="105"/>
        </w:rPr>
        <w:t>The Dementia Due to Multiple Etiologies category is included to alert clinicians to the common situation in which the dementia has more than one etiology. More than one general medical condition may be etiologically related to the dementia  (e.g., Dementia of the Alzheimer's Type and Dementia Due to Head Trauma), or the dementia may be due to the combined effects of a general medical condition (e.g., Parkinson's disease) and the long-term use of a substance (e.g., Alcohol-Induced Persisting</w:t>
      </w:r>
      <w:r>
        <w:rPr>
          <w:spacing w:val="16"/>
          <w:w w:val="105"/>
        </w:rPr>
        <w:t xml:space="preserve"> </w:t>
      </w:r>
      <w:r>
        <w:rPr>
          <w:w w:val="105"/>
        </w:rPr>
        <w:t>Dementia).</w:t>
      </w:r>
    </w:p>
    <w:p w:rsidR="00E675F0" w:rsidRDefault="00E675F0" w:rsidP="00E675F0">
      <w:pPr>
        <w:pStyle w:val="BodyText"/>
        <w:rPr>
          <w:sz w:val="22"/>
        </w:rPr>
      </w:pPr>
    </w:p>
    <w:p w:rsidR="00E675F0" w:rsidRDefault="00E675F0" w:rsidP="00E675F0">
      <w:pPr>
        <w:spacing w:before="131"/>
        <w:ind w:left="131"/>
        <w:jc w:val="both"/>
        <w:rPr>
          <w:rFonts w:ascii="TimesNewRomanPS-BoldItalicMT"/>
          <w:b/>
          <w:i/>
          <w:sz w:val="24"/>
        </w:rPr>
      </w:pPr>
      <w:r>
        <w:rPr>
          <w:rFonts w:ascii="TimesNewRomanPS-BoldItalicMT"/>
          <w:b/>
          <w:i/>
          <w:w w:val="115"/>
          <w:sz w:val="24"/>
        </w:rPr>
        <w:t>Recording Procedures</w:t>
      </w:r>
    </w:p>
    <w:p w:rsidR="00E675F0" w:rsidRDefault="00E675F0" w:rsidP="00E675F0">
      <w:pPr>
        <w:pStyle w:val="BodyText"/>
        <w:spacing w:before="180" w:line="254" w:lineRule="auto"/>
        <w:ind w:left="141" w:right="128" w:firstLine="3"/>
        <w:jc w:val="both"/>
      </w:pPr>
      <w:r>
        <w:rPr>
          <w:w w:val="105"/>
        </w:rPr>
        <w:t>Dementia Due to Multiple Etiologies does not have its own separate code and should  not be recorded as a diagnosis. For example, both Dementia of  the Alzheimer's Type and Vascular Dementia should be diagnosed for an individual with Dementia of</w:t>
      </w:r>
      <w:r>
        <w:rPr>
          <w:spacing w:val="-3"/>
          <w:w w:val="105"/>
        </w:rPr>
        <w:t xml:space="preserve"> </w:t>
      </w:r>
      <w:r>
        <w:rPr>
          <w:w w:val="105"/>
        </w:rPr>
        <w:t>the</w:t>
      </w:r>
    </w:p>
    <w:p w:rsidR="00E675F0" w:rsidRDefault="00E675F0" w:rsidP="00E675F0">
      <w:pPr>
        <w:spacing w:line="254" w:lineRule="auto"/>
        <w:jc w:val="both"/>
        <w:sectPr w:rsidR="00E675F0">
          <w:pgSz w:w="8960" w:h="14260"/>
          <w:pgMar w:top="1400" w:right="600" w:bottom="280" w:left="600" w:header="686" w:footer="0" w:gutter="0"/>
          <w:cols w:space="720"/>
        </w:sectPr>
      </w:pPr>
    </w:p>
    <w:p w:rsidR="00E675F0" w:rsidRDefault="00E675F0" w:rsidP="00E675F0">
      <w:pPr>
        <w:pStyle w:val="BodyText"/>
        <w:spacing w:before="115" w:line="252" w:lineRule="auto"/>
        <w:ind w:left="108" w:right="123" w:firstLine="3"/>
        <w:jc w:val="both"/>
      </w:pPr>
      <w:bookmarkStart w:id="99" w:name="_bookmark82"/>
      <w:bookmarkEnd w:id="99"/>
      <w:r>
        <w:rPr>
          <w:w w:val="105"/>
        </w:rPr>
        <w:lastRenderedPageBreak/>
        <w:t>Alzheimer's Type, With Late Onset, Uncomplicated, who, over the course of several strokes, develops a significant further decline in cognitive functioning. In this example, the clinician would list both 290.0 Dementia of the Alzheimer's Type, With Late Onset, Uncomplicated, and 290.40, Vascular Dementia, Uncomplicated, on Axis I, and 331.0 Alzheimer's Disease and 436 Stroke on Axis Ill.</w:t>
      </w:r>
    </w:p>
    <w:p w:rsidR="00E675F0" w:rsidRDefault="00E675F0" w:rsidP="00E675F0">
      <w:pPr>
        <w:pStyle w:val="BodyText"/>
      </w:pPr>
    </w:p>
    <w:p w:rsidR="00E675F0" w:rsidRDefault="00E675F0" w:rsidP="00E675F0">
      <w:pPr>
        <w:pStyle w:val="BodyText"/>
      </w:pPr>
    </w:p>
    <w:p w:rsidR="00E675F0" w:rsidRDefault="00E675F0" w:rsidP="00E675F0">
      <w:pPr>
        <w:pStyle w:val="BodyText"/>
        <w:spacing w:before="5"/>
        <w:rPr>
          <w:sz w:val="22"/>
        </w:rPr>
      </w:pPr>
    </w:p>
    <w:tbl>
      <w:tblPr>
        <w:tblW w:w="0" w:type="auto"/>
        <w:tblInd w:w="226"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7324"/>
      </w:tblGrid>
      <w:tr w:rsidR="00E675F0" w:rsidTr="00A330E1">
        <w:trPr>
          <w:trHeight w:val="7204"/>
        </w:trPr>
        <w:tc>
          <w:tcPr>
            <w:tcW w:w="7324" w:type="dxa"/>
          </w:tcPr>
          <w:p w:rsidR="00E675F0" w:rsidRDefault="00E675F0" w:rsidP="003048D3">
            <w:pPr>
              <w:pStyle w:val="TableParagraph"/>
              <w:numPr>
                <w:ilvl w:val="0"/>
                <w:numId w:val="52"/>
              </w:numPr>
              <w:tabs>
                <w:tab w:val="left" w:pos="641"/>
              </w:tabs>
              <w:spacing w:before="68" w:line="192" w:lineRule="auto"/>
              <w:ind w:right="1987" w:hanging="382"/>
              <w:rPr>
                <w:b/>
                <w:sz w:val="27"/>
              </w:rPr>
            </w:pPr>
            <w:r>
              <w:rPr>
                <w:b/>
                <w:sz w:val="27"/>
              </w:rPr>
              <w:t>Diagnostic criteria for Dementia Due to Multiple</w:t>
            </w:r>
            <w:r>
              <w:rPr>
                <w:b/>
                <w:spacing w:val="23"/>
                <w:sz w:val="27"/>
              </w:rPr>
              <w:t xml:space="preserve"> </w:t>
            </w:r>
            <w:r>
              <w:rPr>
                <w:b/>
                <w:sz w:val="27"/>
              </w:rPr>
              <w:t>Etiologies</w:t>
            </w:r>
          </w:p>
          <w:p w:rsidR="00E675F0" w:rsidRDefault="00E675F0" w:rsidP="003048D3">
            <w:pPr>
              <w:pStyle w:val="TableParagraph"/>
              <w:numPr>
                <w:ilvl w:val="1"/>
                <w:numId w:val="52"/>
              </w:numPr>
              <w:tabs>
                <w:tab w:val="left" w:pos="951"/>
              </w:tabs>
              <w:spacing w:before="170"/>
              <w:ind w:hanging="305"/>
              <w:rPr>
                <w:sz w:val="20"/>
              </w:rPr>
            </w:pPr>
            <w:r>
              <w:rPr>
                <w:w w:val="105"/>
                <w:sz w:val="20"/>
              </w:rPr>
              <w:t>The development of multiple cognitive deficits manifested by</w:t>
            </w:r>
            <w:r>
              <w:rPr>
                <w:spacing w:val="25"/>
                <w:w w:val="105"/>
                <w:sz w:val="20"/>
              </w:rPr>
              <w:t xml:space="preserve"> </w:t>
            </w:r>
            <w:r>
              <w:rPr>
                <w:w w:val="105"/>
                <w:sz w:val="20"/>
              </w:rPr>
              <w:t>both</w:t>
            </w:r>
          </w:p>
          <w:p w:rsidR="00E675F0" w:rsidRDefault="00E675F0" w:rsidP="003048D3">
            <w:pPr>
              <w:pStyle w:val="TableParagraph"/>
              <w:numPr>
                <w:ilvl w:val="2"/>
                <w:numId w:val="52"/>
              </w:numPr>
              <w:tabs>
                <w:tab w:val="left" w:pos="1382"/>
                <w:tab w:val="left" w:pos="1383"/>
              </w:tabs>
              <w:spacing w:before="68" w:line="252" w:lineRule="auto"/>
              <w:ind w:right="222"/>
              <w:rPr>
                <w:sz w:val="17"/>
              </w:rPr>
            </w:pPr>
            <w:r>
              <w:rPr>
                <w:w w:val="105"/>
                <w:sz w:val="20"/>
              </w:rPr>
              <w:t>memory impairment (impaired ability to learn new information or to recall previously learned information)</w:t>
            </w:r>
          </w:p>
          <w:p w:rsidR="00E675F0" w:rsidRDefault="00E675F0" w:rsidP="003048D3">
            <w:pPr>
              <w:pStyle w:val="TableParagraph"/>
              <w:numPr>
                <w:ilvl w:val="2"/>
                <w:numId w:val="52"/>
              </w:numPr>
              <w:tabs>
                <w:tab w:val="left" w:pos="1378"/>
              </w:tabs>
              <w:spacing w:before="2"/>
              <w:ind w:left="1377" w:hanging="430"/>
              <w:rPr>
                <w:sz w:val="20"/>
              </w:rPr>
            </w:pPr>
            <w:r>
              <w:rPr>
                <w:w w:val="105"/>
                <w:sz w:val="20"/>
              </w:rPr>
              <w:t>one (or more) of the following cognitive</w:t>
            </w:r>
            <w:r>
              <w:rPr>
                <w:spacing w:val="7"/>
                <w:w w:val="105"/>
                <w:sz w:val="20"/>
              </w:rPr>
              <w:t xml:space="preserve"> </w:t>
            </w:r>
            <w:r>
              <w:rPr>
                <w:w w:val="105"/>
                <w:sz w:val="20"/>
              </w:rPr>
              <w:t>disturbances:</w:t>
            </w:r>
          </w:p>
          <w:p w:rsidR="00E675F0" w:rsidRDefault="00E675F0" w:rsidP="003048D3">
            <w:pPr>
              <w:pStyle w:val="TableParagraph"/>
              <w:numPr>
                <w:ilvl w:val="3"/>
                <w:numId w:val="52"/>
              </w:numPr>
              <w:tabs>
                <w:tab w:val="left" w:pos="1802"/>
              </w:tabs>
              <w:spacing w:before="73"/>
              <w:ind w:hanging="431"/>
              <w:rPr>
                <w:sz w:val="20"/>
              </w:rPr>
            </w:pPr>
            <w:r>
              <w:rPr>
                <w:w w:val="105"/>
                <w:sz w:val="20"/>
              </w:rPr>
              <w:t>aphasia (language</w:t>
            </w:r>
            <w:r>
              <w:rPr>
                <w:spacing w:val="25"/>
                <w:w w:val="105"/>
                <w:sz w:val="20"/>
              </w:rPr>
              <w:t xml:space="preserve"> </w:t>
            </w:r>
            <w:r>
              <w:rPr>
                <w:w w:val="105"/>
                <w:sz w:val="20"/>
              </w:rPr>
              <w:t>disturbance)</w:t>
            </w:r>
          </w:p>
          <w:p w:rsidR="00E675F0" w:rsidRDefault="00E675F0" w:rsidP="003048D3">
            <w:pPr>
              <w:pStyle w:val="TableParagraph"/>
              <w:numPr>
                <w:ilvl w:val="3"/>
                <w:numId w:val="52"/>
              </w:numPr>
              <w:tabs>
                <w:tab w:val="left" w:pos="1811"/>
              </w:tabs>
              <w:spacing w:before="16" w:line="256" w:lineRule="auto"/>
              <w:ind w:left="1816" w:right="232" w:hanging="445"/>
              <w:rPr>
                <w:sz w:val="20"/>
              </w:rPr>
            </w:pPr>
            <w:r>
              <w:rPr>
                <w:w w:val="105"/>
                <w:sz w:val="20"/>
              </w:rPr>
              <w:t>apraxia (impaired ability to carry out motor activities despite intact motor</w:t>
            </w:r>
            <w:r>
              <w:rPr>
                <w:spacing w:val="19"/>
                <w:w w:val="105"/>
                <w:sz w:val="20"/>
              </w:rPr>
              <w:t xml:space="preserve"> </w:t>
            </w:r>
            <w:r>
              <w:rPr>
                <w:w w:val="105"/>
                <w:sz w:val="20"/>
              </w:rPr>
              <w:t>function)</w:t>
            </w:r>
          </w:p>
          <w:p w:rsidR="00E675F0" w:rsidRDefault="00E675F0" w:rsidP="003048D3">
            <w:pPr>
              <w:pStyle w:val="TableParagraph"/>
              <w:numPr>
                <w:ilvl w:val="3"/>
                <w:numId w:val="52"/>
              </w:numPr>
              <w:tabs>
                <w:tab w:val="left" w:pos="1792"/>
              </w:tabs>
              <w:spacing w:line="252" w:lineRule="auto"/>
              <w:ind w:left="1793" w:right="233" w:hanging="422"/>
              <w:rPr>
                <w:sz w:val="20"/>
              </w:rPr>
            </w:pPr>
            <w:r>
              <w:rPr>
                <w:w w:val="105"/>
                <w:sz w:val="20"/>
              </w:rPr>
              <w:t>agnosia (failure to recognize or identify objects despite intact sensory</w:t>
            </w:r>
            <w:r>
              <w:rPr>
                <w:spacing w:val="7"/>
                <w:w w:val="105"/>
                <w:sz w:val="20"/>
              </w:rPr>
              <w:t xml:space="preserve"> </w:t>
            </w:r>
            <w:r>
              <w:rPr>
                <w:w w:val="105"/>
                <w:sz w:val="20"/>
              </w:rPr>
              <w:t>function)</w:t>
            </w:r>
          </w:p>
          <w:p w:rsidR="00E675F0" w:rsidRDefault="00E675F0" w:rsidP="003048D3">
            <w:pPr>
              <w:pStyle w:val="TableParagraph"/>
              <w:numPr>
                <w:ilvl w:val="3"/>
                <w:numId w:val="52"/>
              </w:numPr>
              <w:tabs>
                <w:tab w:val="left" w:pos="1812"/>
              </w:tabs>
              <w:spacing w:before="1" w:line="256" w:lineRule="auto"/>
              <w:ind w:left="1816" w:right="232" w:hanging="445"/>
              <w:rPr>
                <w:sz w:val="20"/>
              </w:rPr>
            </w:pPr>
            <w:r>
              <w:rPr>
                <w:w w:val="105"/>
                <w:sz w:val="20"/>
              </w:rPr>
              <w:t>disturbance in executive functioning (i.e., planning, organiz­ ing, sequencing,</w:t>
            </w:r>
            <w:r>
              <w:rPr>
                <w:spacing w:val="20"/>
                <w:w w:val="105"/>
                <w:sz w:val="20"/>
              </w:rPr>
              <w:t xml:space="preserve"> </w:t>
            </w:r>
            <w:r>
              <w:rPr>
                <w:w w:val="105"/>
                <w:sz w:val="20"/>
              </w:rPr>
              <w:t>abstracting)</w:t>
            </w:r>
          </w:p>
          <w:p w:rsidR="00E675F0" w:rsidRDefault="00E675F0" w:rsidP="003048D3">
            <w:pPr>
              <w:pStyle w:val="TableParagraph"/>
              <w:numPr>
                <w:ilvl w:val="1"/>
                <w:numId w:val="52"/>
              </w:numPr>
              <w:tabs>
                <w:tab w:val="left" w:pos="951"/>
              </w:tabs>
              <w:spacing w:before="180" w:line="254" w:lineRule="auto"/>
              <w:ind w:left="951" w:right="218" w:hanging="297"/>
              <w:jc w:val="both"/>
              <w:rPr>
                <w:sz w:val="20"/>
              </w:rPr>
            </w:pPr>
            <w:r>
              <w:rPr>
                <w:w w:val="105"/>
                <w:sz w:val="20"/>
              </w:rPr>
              <w:t>The cognitive deficits in Criteria Al and A2 each cause significant impairment in social or occupational functioning and represent a significant decline from a previous level of</w:t>
            </w:r>
            <w:r>
              <w:rPr>
                <w:spacing w:val="-22"/>
                <w:w w:val="105"/>
                <w:sz w:val="20"/>
              </w:rPr>
              <w:t xml:space="preserve"> </w:t>
            </w:r>
            <w:r>
              <w:rPr>
                <w:w w:val="105"/>
                <w:sz w:val="20"/>
              </w:rPr>
              <w:t>functioning.</w:t>
            </w:r>
          </w:p>
          <w:p w:rsidR="00E675F0" w:rsidRDefault="00E675F0" w:rsidP="003048D3">
            <w:pPr>
              <w:pStyle w:val="TableParagraph"/>
              <w:numPr>
                <w:ilvl w:val="1"/>
                <w:numId w:val="52"/>
              </w:numPr>
              <w:tabs>
                <w:tab w:val="left" w:pos="951"/>
              </w:tabs>
              <w:spacing w:before="183" w:line="249" w:lineRule="auto"/>
              <w:ind w:left="953" w:right="215" w:hanging="299"/>
              <w:jc w:val="both"/>
              <w:rPr>
                <w:rFonts w:ascii="Arial"/>
                <w:sz w:val="16"/>
              </w:rPr>
            </w:pPr>
            <w:r>
              <w:rPr>
                <w:w w:val="105"/>
                <w:sz w:val="20"/>
              </w:rPr>
              <w:t>There is evidence from the history, physical examination, or laboratory findings that the disturbance has more than one etiology (e.g., head trauma</w:t>
            </w:r>
            <w:r>
              <w:rPr>
                <w:spacing w:val="-3"/>
                <w:w w:val="105"/>
                <w:sz w:val="20"/>
              </w:rPr>
              <w:t xml:space="preserve"> </w:t>
            </w:r>
            <w:r>
              <w:rPr>
                <w:w w:val="105"/>
                <w:sz w:val="20"/>
              </w:rPr>
              <w:t>plus</w:t>
            </w:r>
            <w:r>
              <w:rPr>
                <w:spacing w:val="-11"/>
                <w:w w:val="105"/>
                <w:sz w:val="20"/>
              </w:rPr>
              <w:t xml:space="preserve"> </w:t>
            </w:r>
            <w:r>
              <w:rPr>
                <w:w w:val="105"/>
                <w:sz w:val="20"/>
              </w:rPr>
              <w:t>chronic</w:t>
            </w:r>
            <w:r>
              <w:rPr>
                <w:spacing w:val="-6"/>
                <w:w w:val="105"/>
                <w:sz w:val="20"/>
              </w:rPr>
              <w:t xml:space="preserve"> </w:t>
            </w:r>
            <w:r>
              <w:rPr>
                <w:w w:val="105"/>
                <w:sz w:val="20"/>
              </w:rPr>
              <w:t>alcohol use,</w:t>
            </w:r>
            <w:r>
              <w:rPr>
                <w:spacing w:val="-6"/>
                <w:w w:val="105"/>
                <w:sz w:val="20"/>
              </w:rPr>
              <w:t xml:space="preserve"> </w:t>
            </w:r>
            <w:r>
              <w:rPr>
                <w:w w:val="105"/>
                <w:sz w:val="20"/>
              </w:rPr>
              <w:t>Dementia</w:t>
            </w:r>
            <w:r>
              <w:rPr>
                <w:spacing w:val="4"/>
                <w:w w:val="105"/>
                <w:sz w:val="20"/>
              </w:rPr>
              <w:t xml:space="preserve"> </w:t>
            </w:r>
            <w:r>
              <w:rPr>
                <w:w w:val="105"/>
                <w:sz w:val="20"/>
              </w:rPr>
              <w:t>of</w:t>
            </w:r>
            <w:r>
              <w:rPr>
                <w:spacing w:val="-6"/>
                <w:w w:val="105"/>
                <w:sz w:val="20"/>
              </w:rPr>
              <w:t xml:space="preserve"> </w:t>
            </w:r>
            <w:r>
              <w:rPr>
                <w:w w:val="105"/>
                <w:sz w:val="20"/>
              </w:rPr>
              <w:t>the</w:t>
            </w:r>
            <w:r>
              <w:rPr>
                <w:spacing w:val="-11"/>
                <w:w w:val="105"/>
                <w:sz w:val="20"/>
              </w:rPr>
              <w:t xml:space="preserve"> </w:t>
            </w:r>
            <w:r>
              <w:rPr>
                <w:w w:val="105"/>
                <w:sz w:val="20"/>
              </w:rPr>
              <w:t>Alzheimer's</w:t>
            </w:r>
            <w:r>
              <w:rPr>
                <w:spacing w:val="-2"/>
                <w:w w:val="105"/>
                <w:sz w:val="20"/>
              </w:rPr>
              <w:t xml:space="preserve"> </w:t>
            </w:r>
            <w:r>
              <w:rPr>
                <w:w w:val="105"/>
                <w:sz w:val="20"/>
              </w:rPr>
              <w:t>Type</w:t>
            </w:r>
            <w:r>
              <w:rPr>
                <w:spacing w:val="-7"/>
                <w:w w:val="105"/>
                <w:sz w:val="20"/>
              </w:rPr>
              <w:t xml:space="preserve"> </w:t>
            </w:r>
            <w:r>
              <w:rPr>
                <w:w w:val="105"/>
                <w:sz w:val="20"/>
              </w:rPr>
              <w:t>with the subsequent development of Vascular</w:t>
            </w:r>
            <w:r>
              <w:rPr>
                <w:spacing w:val="18"/>
                <w:w w:val="105"/>
                <w:sz w:val="20"/>
              </w:rPr>
              <w:t xml:space="preserve"> </w:t>
            </w:r>
            <w:r>
              <w:rPr>
                <w:w w:val="105"/>
                <w:sz w:val="20"/>
              </w:rPr>
              <w:t>Dementia).</w:t>
            </w:r>
          </w:p>
          <w:p w:rsidR="00E675F0" w:rsidRDefault="00E675F0" w:rsidP="003048D3">
            <w:pPr>
              <w:pStyle w:val="TableParagraph"/>
              <w:numPr>
                <w:ilvl w:val="1"/>
                <w:numId w:val="52"/>
              </w:numPr>
              <w:tabs>
                <w:tab w:val="left" w:pos="951"/>
              </w:tabs>
              <w:spacing w:before="182"/>
              <w:ind w:hanging="297"/>
              <w:rPr>
                <w:sz w:val="20"/>
              </w:rPr>
            </w:pPr>
            <w:r>
              <w:rPr>
                <w:w w:val="105"/>
                <w:sz w:val="20"/>
              </w:rPr>
              <w:t>The deficits do not occur exclusively during the course of a</w:t>
            </w:r>
            <w:r>
              <w:rPr>
                <w:spacing w:val="38"/>
                <w:w w:val="105"/>
                <w:sz w:val="20"/>
              </w:rPr>
              <w:t xml:space="preserve"> </w:t>
            </w:r>
            <w:r>
              <w:rPr>
                <w:w w:val="105"/>
                <w:sz w:val="20"/>
              </w:rPr>
              <w:t>delirium.</w:t>
            </w:r>
          </w:p>
          <w:p w:rsidR="00E675F0" w:rsidRDefault="00E675F0" w:rsidP="00A330E1">
            <w:pPr>
              <w:pStyle w:val="TableParagraph"/>
              <w:spacing w:before="154" w:line="244" w:lineRule="auto"/>
              <w:ind w:left="646" w:right="216" w:hanging="1"/>
              <w:jc w:val="both"/>
              <w:rPr>
                <w:sz w:val="18"/>
              </w:rPr>
            </w:pPr>
            <w:r>
              <w:rPr>
                <w:b/>
                <w:w w:val="105"/>
                <w:sz w:val="18"/>
              </w:rPr>
              <w:t xml:space="preserve">Coding note: </w:t>
            </w:r>
            <w:r>
              <w:rPr>
                <w:w w:val="105"/>
                <w:sz w:val="18"/>
              </w:rPr>
              <w:t>Use multiple codes based on specific dementias and specific etiologies, e.g., 290.0 Dementia of the Alzheimer's Type, With Late Onset, Uncom­ plicated; 290.40 Vascular Dementia, Uncomplicated.</w:t>
            </w:r>
          </w:p>
        </w:tc>
      </w:tr>
    </w:tbl>
    <w:p w:rsidR="00E675F0" w:rsidRDefault="00E675F0" w:rsidP="00E675F0">
      <w:pPr>
        <w:pStyle w:val="BodyText"/>
      </w:pPr>
    </w:p>
    <w:p w:rsidR="00E675F0" w:rsidRDefault="00E675F0" w:rsidP="00E675F0">
      <w:pPr>
        <w:pStyle w:val="BodyText"/>
        <w:spacing w:before="2"/>
        <w:rPr>
          <w:sz w:val="24"/>
        </w:rPr>
      </w:pPr>
    </w:p>
    <w:p w:rsidR="00E675F0" w:rsidRDefault="00E675F0" w:rsidP="00E675F0">
      <w:pPr>
        <w:tabs>
          <w:tab w:val="left" w:pos="2124"/>
        </w:tabs>
        <w:spacing w:before="92"/>
        <w:ind w:left="1203"/>
        <w:rPr>
          <w:rFonts w:ascii="Arial"/>
          <w:b/>
          <w:sz w:val="26"/>
        </w:rPr>
      </w:pPr>
      <w:r>
        <w:rPr>
          <w:noProof/>
        </w:rPr>
        <mc:AlternateContent>
          <mc:Choice Requires="wps">
            <w:drawing>
              <wp:anchor distT="0" distB="0" distL="114300" distR="114300" simplePos="0" relativeHeight="251700224" behindDoc="0" locked="0" layoutInCell="1" allowOverlap="1" wp14:anchorId="1371B219" wp14:editId="0BCA3596">
                <wp:simplePos x="0" y="0"/>
                <wp:positionH relativeFrom="page">
                  <wp:posOffset>459105</wp:posOffset>
                </wp:positionH>
                <wp:positionV relativeFrom="paragraph">
                  <wp:posOffset>-339090</wp:posOffset>
                </wp:positionV>
                <wp:extent cx="4754880" cy="0"/>
                <wp:effectExtent l="0" t="12700" r="20320" b="12700"/>
                <wp:wrapNone/>
                <wp:docPr id="1460" name="Line 14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754880" cy="0"/>
                        </a:xfrm>
                        <a:prstGeom prst="line">
                          <a:avLst/>
                        </a:prstGeom>
                        <a:noFill/>
                        <a:ln w="3358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5237BC" id="Line 1416" o:spid="_x0000_s1026" style="position:absolute;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15pt,-26.7pt" to="410.55pt,-2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" strokeweight=".93286mm">
                <o:lock v:ext="edit" shapetype="f"/>
                <w10:wrap anchorx="page"/>
              </v:line>
            </w:pict>
          </mc:Fallback>
        </mc:AlternateContent>
      </w:r>
      <w:r>
        <w:rPr>
          <w:rFonts w:ascii="Arial"/>
          <w:b/>
          <w:w w:val="105"/>
          <w:sz w:val="26"/>
        </w:rPr>
        <w:t>294.8</w:t>
      </w:r>
      <w:r>
        <w:rPr>
          <w:rFonts w:ascii="Arial"/>
          <w:b/>
          <w:w w:val="105"/>
          <w:sz w:val="26"/>
        </w:rPr>
        <w:tab/>
        <w:t>Dementia Not Otherwise</w:t>
      </w:r>
      <w:r>
        <w:rPr>
          <w:rFonts w:ascii="Arial"/>
          <w:b/>
          <w:spacing w:val="6"/>
          <w:w w:val="105"/>
          <w:sz w:val="26"/>
        </w:rPr>
        <w:t xml:space="preserve"> </w:t>
      </w:r>
      <w:r>
        <w:rPr>
          <w:rFonts w:ascii="Arial"/>
          <w:b/>
          <w:w w:val="105"/>
          <w:sz w:val="26"/>
        </w:rPr>
        <w:t>Specified</w:t>
      </w:r>
    </w:p>
    <w:p w:rsidR="00E675F0" w:rsidRDefault="00E675F0" w:rsidP="00E675F0">
      <w:pPr>
        <w:pStyle w:val="BodyText"/>
        <w:spacing w:before="248" w:line="256" w:lineRule="auto"/>
        <w:ind w:left="125" w:right="220" w:hanging="4"/>
      </w:pPr>
      <w:r>
        <w:rPr>
          <w:w w:val="105"/>
        </w:rPr>
        <w:t>This category should be used to diagnose a dementia that does not meet criteria for any of the specific types described in this section.</w:t>
      </w:r>
    </w:p>
    <w:p w:rsidR="00E675F0" w:rsidRDefault="00E675F0" w:rsidP="00E675F0">
      <w:pPr>
        <w:pStyle w:val="BodyText"/>
        <w:spacing w:line="256" w:lineRule="auto"/>
        <w:ind w:left="125" w:firstLine="361"/>
      </w:pPr>
      <w:r>
        <w:rPr>
          <w:w w:val="105"/>
        </w:rPr>
        <w:t>An example is a clinical presentation of dementia for which there is insufficient evidence to establish a specific etiology.</w:t>
      </w:r>
    </w:p>
    <w:p w:rsidR="00E675F0" w:rsidRDefault="00E675F0" w:rsidP="00E675F0">
      <w:pPr>
        <w:spacing w:line="256" w:lineRule="auto"/>
        <w:sectPr w:rsidR="00E675F0">
          <w:pgSz w:w="8960" w:h="14260"/>
          <w:pgMar w:top="1400" w:right="640" w:bottom="280" w:left="600" w:header="680" w:footer="0" w:gutter="0"/>
          <w:cols w:space="720"/>
        </w:sectPr>
      </w:pPr>
    </w:p>
    <w:p w:rsidR="00E675F0" w:rsidRDefault="00E675F0" w:rsidP="00E675F0">
      <w:pPr>
        <w:pStyle w:val="BodyText"/>
      </w:pPr>
    </w:p>
    <w:p w:rsidR="00E675F0" w:rsidRDefault="00E675F0" w:rsidP="00E675F0">
      <w:pPr>
        <w:pStyle w:val="BodyText"/>
        <w:spacing w:before="2"/>
        <w:rPr>
          <w:sz w:val="23"/>
        </w:rPr>
      </w:pPr>
    </w:p>
    <w:p w:rsidR="00E675F0" w:rsidRDefault="00E675F0" w:rsidP="00E675F0">
      <w:pPr>
        <w:tabs>
          <w:tab w:val="left" w:pos="5414"/>
        </w:tabs>
        <w:spacing w:line="20" w:lineRule="exact"/>
        <w:ind w:left="159"/>
        <w:rPr>
          <w:sz w:val="2"/>
        </w:rPr>
      </w:pPr>
      <w:r>
        <w:rPr>
          <w:noProof/>
          <w:sz w:val="2"/>
        </w:rPr>
        <mc:AlternateContent>
          <mc:Choice Requires="wpg">
            <w:drawing>
              <wp:inline distT="0" distB="0" distL="0" distR="0" wp14:anchorId="6776806D" wp14:editId="4829B3A2">
                <wp:extent cx="1417320" cy="12700"/>
                <wp:effectExtent l="0" t="0" r="5080" b="0"/>
                <wp:docPr id="1458" name="Group 1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7320" cy="12700"/>
                          <a:chOff x="0" y="0"/>
                          <a:chExt cx="2232" cy="20"/>
                        </a:xfrm>
                      </wpg:grpSpPr>
                      <wps:wsp>
                        <wps:cNvPr id="1459" name="Line 1415"/>
                        <wps:cNvCnPr>
                          <a:cxnSpLocks/>
                        </wps:cNvCnPr>
                        <wps:spPr bwMode="auto">
                          <a:xfrm>
                            <a:off x="0" y="10"/>
                            <a:ext cx="2232" cy="0"/>
                          </a:xfrm>
                          <a:prstGeom prst="line">
                            <a:avLst/>
                          </a:prstGeom>
                          <a:noFill/>
                          <a:ln w="1220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360A111" id="Group 1414" o:spid="_x0000_s1026" style="width:111.6pt;height:1pt;mso-position-horizontal-relative:char;mso-position-vertical-relative:line" coordsize="2232,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">
                <v:line id="Line 1415" o:spid="_x0000_s1027" style="position:absolute;visibility:visible;mso-wrap-style:square" from="0,10" to="2232,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" strokeweight=".33911mm">
                  <o:lock v:ext="edit" shapetype="f"/>
                </v:line>
                <w10:anchorlock/>
              </v:group>
            </w:pict>
          </mc:Fallback>
        </mc:AlternateContent>
      </w:r>
      <w:r>
        <w:rPr>
          <w:sz w:val="2"/>
        </w:rPr>
        <w:tab/>
      </w:r>
      <w:r>
        <w:rPr>
          <w:noProof/>
          <w:sz w:val="2"/>
        </w:rPr>
        <mc:AlternateContent>
          <mc:Choice Requires="wpg">
            <w:drawing>
              <wp:inline distT="0" distB="0" distL="0" distR="0" wp14:anchorId="02DD261F" wp14:editId="790C25AF">
                <wp:extent cx="1417320" cy="9525"/>
                <wp:effectExtent l="0" t="0" r="5080" b="0"/>
                <wp:docPr id="1456" name="Group 1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7320" cy="9525"/>
                          <a:chOff x="0" y="0"/>
                          <a:chExt cx="2232" cy="15"/>
                        </a:xfrm>
                      </wpg:grpSpPr>
                      <wps:wsp>
                        <wps:cNvPr id="1457" name="Line 1413"/>
                        <wps:cNvCnPr>
                          <a:cxnSpLocks/>
                        </wps:cNvCnPr>
                        <wps:spPr bwMode="auto">
                          <a:xfrm>
                            <a:off x="0" y="7"/>
                            <a:ext cx="2232" cy="0"/>
                          </a:xfrm>
                          <a:prstGeom prst="line">
                            <a:avLst/>
                          </a:prstGeom>
                          <a:noFill/>
                          <a:ln w="915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E35DA6E" id="Group 1412" o:spid="_x0000_s1026" style="width:111.6pt;height:.75pt;mso-position-horizontal-relative:char;mso-position-vertical-relative:line" coordsize="2232,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">
                <v:line id="Line 1413" o:spid="_x0000_s1027" style="position:absolute;visibility:visible;mso-wrap-style:square" from="0,7" to="223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" strokeweight=".25433mm">
                  <o:lock v:ext="edit" shapetype="f"/>
                </v:line>
                <w10:anchorlock/>
              </v:group>
            </w:pict>
          </mc:Fallback>
        </mc:AlternateContent>
      </w:r>
    </w:p>
    <w:p w:rsidR="00E675F0" w:rsidRDefault="00E675F0" w:rsidP="00E675F0">
      <w:pPr>
        <w:spacing w:before="120"/>
        <w:ind w:left="1205" w:right="1184"/>
        <w:jc w:val="center"/>
        <w:rPr>
          <w:rFonts w:ascii="Arial"/>
          <w:b/>
          <w:sz w:val="25"/>
        </w:rPr>
      </w:pPr>
      <w:bookmarkStart w:id="100" w:name="_bookmark83"/>
      <w:bookmarkEnd w:id="100"/>
      <w:r>
        <w:rPr>
          <w:rFonts w:ascii="Arial"/>
          <w:b/>
          <w:color w:val="0F0F0F"/>
          <w:w w:val="105"/>
          <w:sz w:val="25"/>
        </w:rPr>
        <w:t>Amnestic Disorders</w:t>
      </w:r>
    </w:p>
    <w:p w:rsidR="00E675F0" w:rsidRDefault="00E675F0" w:rsidP="00E675F0">
      <w:pPr>
        <w:pStyle w:val="BodyText"/>
        <w:spacing w:before="241" w:line="254" w:lineRule="auto"/>
        <w:ind w:left="156" w:right="107" w:hanging="2"/>
        <w:jc w:val="both"/>
        <w:rPr>
          <w:sz w:val="19"/>
        </w:rPr>
      </w:pPr>
      <w:r>
        <w:rPr>
          <w:w w:val="105"/>
        </w:rPr>
        <w:t xml:space="preserve">The disorders in the "Amnestic Disorders" section are characterized by a disturbance in memory that is either due to the direct physiological effects of a general medical condition or due to the persisting effects of a substance (i.e., a drug of abuse, a medication, or toxin exposure). The disorders in this section share the common symptom presentation of memory impairment, but are differentiated based on etiology. The diagnostic features listed below pertain to </w:t>
      </w:r>
      <w:r>
        <w:rPr>
          <w:b/>
          <w:w w:val="105"/>
        </w:rPr>
        <w:t xml:space="preserve">Amnestic Disorder Due to a General Medical Condition </w:t>
      </w:r>
      <w:r>
        <w:rPr>
          <w:w w:val="105"/>
        </w:rPr>
        <w:t xml:space="preserve">(e.g., physical trauma and vitamin deficiency) and </w:t>
      </w:r>
      <w:r>
        <w:rPr>
          <w:b/>
          <w:w w:val="105"/>
        </w:rPr>
        <w:t xml:space="preserve">Substance­ Induced Persisting Amnestic Disorder </w:t>
      </w:r>
      <w:r>
        <w:rPr>
          <w:w w:val="105"/>
        </w:rPr>
        <w:t xml:space="preserve">(including medication side effects). In addi­ tion, </w:t>
      </w:r>
      <w:r>
        <w:rPr>
          <w:b/>
          <w:w w:val="105"/>
        </w:rPr>
        <w:t xml:space="preserve">Amnestic Disorder Not Otherwise Specified </w:t>
      </w:r>
      <w:r>
        <w:rPr>
          <w:w w:val="105"/>
        </w:rPr>
        <w:t xml:space="preserve">is included in this section for presentations in which the clinician is unable to determine a specific etiology for the memory disturbance. Text and criteria for Dissociative Disorders involving memory loss are not included here and instead are contained </w:t>
      </w:r>
      <w:r>
        <w:rPr>
          <w:w w:val="105"/>
          <w:sz w:val="19"/>
        </w:rPr>
        <w:t xml:space="preserve">in </w:t>
      </w:r>
      <w:r>
        <w:rPr>
          <w:w w:val="105"/>
        </w:rPr>
        <w:t xml:space="preserve">the Dissociative Disorders section (see p. </w:t>
      </w:r>
      <w:r>
        <w:rPr>
          <w:w w:val="105"/>
          <w:sz w:val="19"/>
        </w:rPr>
        <w:t>477).</w:t>
      </w:r>
    </w:p>
    <w:p w:rsidR="00E675F0" w:rsidRDefault="00E675F0" w:rsidP="00E675F0">
      <w:pPr>
        <w:pStyle w:val="BodyText"/>
        <w:spacing w:before="9"/>
        <w:rPr>
          <w:sz w:val="31"/>
        </w:rPr>
      </w:pPr>
    </w:p>
    <w:p w:rsidR="00E675F0" w:rsidRDefault="00E675F0" w:rsidP="00E675F0">
      <w:pPr>
        <w:ind w:left="144"/>
        <w:jc w:val="both"/>
        <w:rPr>
          <w:rFonts w:ascii="TimesNewRomanPS-BoldItalicMT"/>
          <w:b/>
          <w:i/>
          <w:sz w:val="24"/>
        </w:rPr>
      </w:pPr>
      <w:r>
        <w:rPr>
          <w:rFonts w:ascii="TimesNewRomanPS-BoldItalicMT"/>
          <w:b/>
          <w:i/>
          <w:w w:val="110"/>
          <w:sz w:val="24"/>
        </w:rPr>
        <w:t>Di-agnostic Features</w:t>
      </w:r>
    </w:p>
    <w:p w:rsidR="00E675F0" w:rsidRDefault="00E675F0" w:rsidP="00E675F0">
      <w:pPr>
        <w:pStyle w:val="BodyText"/>
        <w:spacing w:before="131" w:line="252" w:lineRule="auto"/>
        <w:ind w:left="156" w:right="112" w:firstLine="3"/>
        <w:jc w:val="both"/>
      </w:pPr>
      <w:r>
        <w:rPr>
          <w:w w:val="105"/>
        </w:rPr>
        <w:t>Individuals with an amnestic disorder are impaired in their ability to learn new information or are unable to recall previously learned information or past events (Criterion A). The memory disturbance must be sufficiently severe to cause marked impairment in social or occupational functioning and must represent a significant decline from a previous level of functioning (Criterion B). The memory disturbance must not occur exclusively during the course of a delirium or a dementia (Criterion C). The ability to learn and recall new information is always affected in an amnestic disorder, whereas problems remembering previously learned information occur more variably, depending on the location and severity of brain damage. The memory deficit is most apparent on tasks that require spontaneous recall and may also be evident when the examiner provides stimuli for the person to recall at a later time. Depending  on  the specific area of the brain affected, deficits may be predominantly related  to verbal or visual stimuli. In some forms of an amnestic disorder, the individual may remember things from the very remote past better than more recent events (e.g., a person may remember in vivid detail a hospital stay that took place a decade before the examination, but may have no idea that he or she is currently in the</w:t>
      </w:r>
      <w:r>
        <w:rPr>
          <w:spacing w:val="-27"/>
          <w:w w:val="105"/>
        </w:rPr>
        <w:t xml:space="preserve"> </w:t>
      </w:r>
      <w:r>
        <w:rPr>
          <w:w w:val="105"/>
        </w:rPr>
        <w:t>hospital).</w:t>
      </w:r>
    </w:p>
    <w:p w:rsidR="00E675F0" w:rsidRDefault="00E675F0" w:rsidP="00E675F0">
      <w:pPr>
        <w:pStyle w:val="BodyText"/>
        <w:spacing w:before="6" w:line="254" w:lineRule="auto"/>
        <w:ind w:left="152" w:right="109" w:firstLine="362"/>
        <w:jc w:val="both"/>
      </w:pPr>
      <w:r>
        <w:rPr>
          <w:w w:val="105"/>
        </w:rPr>
        <w:t>The diagnosis is not made if the memory impairment occurs exclusively during the course of a delirium (i.e., occurs only in the context of reduced ability to maintain and shift attention). The ability to immediately repeat a sequential string of information (e.g., digit span) is typically not impaired in an amnestic disorder. When such impairment is evident, it suggests the presence of an attentional disturbance that may be  indicative of  a delirium. The diagnosis is also not made in the presence of other cognitive deficits (e.g., aphasia, apraxia, agnosia, disturbance in executive functioning) that are charac­ teristic of a dementia. Individuals with an amnestic disorder may experience major impairment</w:t>
      </w:r>
      <w:r>
        <w:rPr>
          <w:spacing w:val="3"/>
          <w:w w:val="105"/>
        </w:rPr>
        <w:t xml:space="preserve"> </w:t>
      </w:r>
      <w:r>
        <w:rPr>
          <w:w w:val="105"/>
        </w:rPr>
        <w:t>in</w:t>
      </w:r>
      <w:r>
        <w:rPr>
          <w:spacing w:val="-9"/>
          <w:w w:val="105"/>
        </w:rPr>
        <w:t xml:space="preserve"> </w:t>
      </w:r>
      <w:r>
        <w:rPr>
          <w:w w:val="105"/>
        </w:rPr>
        <w:t>their</w:t>
      </w:r>
      <w:r>
        <w:rPr>
          <w:spacing w:val="-15"/>
          <w:w w:val="105"/>
        </w:rPr>
        <w:t xml:space="preserve"> </w:t>
      </w:r>
      <w:r>
        <w:rPr>
          <w:w w:val="105"/>
        </w:rPr>
        <w:t>social</w:t>
      </w:r>
      <w:r>
        <w:rPr>
          <w:spacing w:val="-1"/>
          <w:w w:val="105"/>
        </w:rPr>
        <w:t xml:space="preserve"> </w:t>
      </w:r>
      <w:r>
        <w:rPr>
          <w:w w:val="105"/>
        </w:rPr>
        <w:t>and</w:t>
      </w:r>
      <w:r>
        <w:rPr>
          <w:spacing w:val="-5"/>
          <w:w w:val="105"/>
        </w:rPr>
        <w:t xml:space="preserve"> </w:t>
      </w:r>
      <w:r>
        <w:rPr>
          <w:w w:val="105"/>
        </w:rPr>
        <w:t>vocational</w:t>
      </w:r>
      <w:r>
        <w:rPr>
          <w:spacing w:val="-3"/>
          <w:w w:val="105"/>
        </w:rPr>
        <w:t xml:space="preserve"> </w:t>
      </w:r>
      <w:r>
        <w:rPr>
          <w:w w:val="105"/>
        </w:rPr>
        <w:t>functioning</w:t>
      </w:r>
      <w:r>
        <w:rPr>
          <w:spacing w:val="-1"/>
          <w:w w:val="105"/>
        </w:rPr>
        <w:t xml:space="preserve"> </w:t>
      </w:r>
      <w:r>
        <w:rPr>
          <w:w w:val="105"/>
        </w:rPr>
        <w:t>as</w:t>
      </w:r>
      <w:r>
        <w:rPr>
          <w:spacing w:val="-15"/>
          <w:w w:val="105"/>
        </w:rPr>
        <w:t xml:space="preserve"> </w:t>
      </w:r>
      <w:r>
        <w:rPr>
          <w:w w:val="105"/>
        </w:rPr>
        <w:t>a</w:t>
      </w:r>
      <w:r>
        <w:rPr>
          <w:spacing w:val="-4"/>
          <w:w w:val="105"/>
        </w:rPr>
        <w:t xml:space="preserve"> </w:t>
      </w:r>
      <w:r>
        <w:rPr>
          <w:w w:val="105"/>
        </w:rPr>
        <w:t>result</w:t>
      </w:r>
      <w:r>
        <w:rPr>
          <w:spacing w:val="-1"/>
          <w:w w:val="105"/>
        </w:rPr>
        <w:t xml:space="preserve"> </w:t>
      </w:r>
      <w:r>
        <w:rPr>
          <w:w w:val="105"/>
        </w:rPr>
        <w:t>of</w:t>
      </w:r>
      <w:r>
        <w:rPr>
          <w:spacing w:val="-1"/>
          <w:w w:val="105"/>
        </w:rPr>
        <w:t xml:space="preserve"> </w:t>
      </w:r>
      <w:r>
        <w:rPr>
          <w:w w:val="105"/>
        </w:rPr>
        <w:t>their</w:t>
      </w:r>
      <w:r>
        <w:rPr>
          <w:spacing w:val="-1"/>
          <w:w w:val="105"/>
        </w:rPr>
        <w:t xml:space="preserve"> </w:t>
      </w:r>
      <w:r>
        <w:rPr>
          <w:w w:val="105"/>
        </w:rPr>
        <w:t>memory</w:t>
      </w:r>
      <w:r>
        <w:rPr>
          <w:spacing w:val="-5"/>
          <w:w w:val="105"/>
        </w:rPr>
        <w:t xml:space="preserve"> </w:t>
      </w:r>
      <w:r>
        <w:rPr>
          <w:w w:val="105"/>
        </w:rPr>
        <w:t>deficits, which, at its extreme, may necessitate supervised living situations to ensure appropriate feeding and</w:t>
      </w:r>
      <w:r>
        <w:rPr>
          <w:spacing w:val="39"/>
          <w:w w:val="105"/>
        </w:rPr>
        <w:t xml:space="preserve"> </w:t>
      </w:r>
      <w:r>
        <w:rPr>
          <w:w w:val="105"/>
        </w:rPr>
        <w:t>care.</w:t>
      </w:r>
    </w:p>
    <w:p w:rsidR="00E675F0" w:rsidRDefault="00E675F0" w:rsidP="00E675F0">
      <w:pPr>
        <w:spacing w:line="254" w:lineRule="auto"/>
        <w:jc w:val="both"/>
        <w:sectPr w:rsidR="00E675F0">
          <w:pgSz w:w="8960" w:h="14260"/>
          <w:pgMar w:top="980" w:right="600" w:bottom="280" w:left="600" w:header="686" w:footer="0" w:gutter="0"/>
          <w:cols w:space="720"/>
        </w:sectPr>
      </w:pPr>
    </w:p>
    <w:p w:rsidR="00E675F0" w:rsidRDefault="00E675F0" w:rsidP="00E675F0">
      <w:pPr>
        <w:pStyle w:val="BodyText"/>
      </w:pPr>
    </w:p>
    <w:p w:rsidR="00E675F0" w:rsidRDefault="00E675F0" w:rsidP="00E675F0">
      <w:pPr>
        <w:pStyle w:val="BodyText"/>
        <w:spacing w:before="6"/>
        <w:rPr>
          <w:sz w:val="19"/>
        </w:rPr>
      </w:pPr>
    </w:p>
    <w:p w:rsidR="00E675F0" w:rsidRDefault="00E675F0" w:rsidP="00E675F0">
      <w:pPr>
        <w:spacing w:before="90"/>
        <w:ind w:left="141"/>
        <w:rPr>
          <w:rFonts w:ascii="TimesNewRomanPS-BoldItalicMT"/>
          <w:b/>
          <w:i/>
          <w:sz w:val="24"/>
        </w:rPr>
      </w:pPr>
      <w:r>
        <w:rPr>
          <w:rFonts w:ascii="TimesNewRomanPS-BoldItalicMT"/>
          <w:b/>
          <w:i/>
          <w:w w:val="115"/>
          <w:sz w:val="24"/>
        </w:rPr>
        <w:t>Associated Features and D/,Sorders</w:t>
      </w:r>
    </w:p>
    <w:p w:rsidR="00E675F0" w:rsidRDefault="00E675F0" w:rsidP="00E675F0">
      <w:pPr>
        <w:pStyle w:val="BodyText"/>
        <w:spacing w:before="151" w:line="254" w:lineRule="auto"/>
        <w:ind w:left="154" w:right="119" w:firstLine="5"/>
        <w:jc w:val="both"/>
      </w:pPr>
      <w:r>
        <w:rPr>
          <w:w w:val="105"/>
        </w:rPr>
        <w:t xml:space="preserve">An amnestic disorder is often preceded by an evolving clinical picture that includes confusion and disorientation, occasionally with attentional problems that suggest a delirium (e.g., Amnestic Disorder Due to Thiamine Deficiency). Confabulation, often evidenced by the recitation of imaginary events </w:t>
      </w:r>
      <w:r>
        <w:rPr>
          <w:w w:val="105"/>
          <w:sz w:val="18"/>
        </w:rPr>
        <w:t xml:space="preserve">to </w:t>
      </w:r>
      <w:r>
        <w:rPr>
          <w:w w:val="105"/>
        </w:rPr>
        <w:t xml:space="preserve">fill gaps in memory, may be noted during the early stages of an amnestic disorder but tends to disappear with time. </w:t>
      </w:r>
      <w:r>
        <w:rPr>
          <w:w w:val="105"/>
          <w:sz w:val="19"/>
        </w:rPr>
        <w:t xml:space="preserve">It </w:t>
      </w:r>
      <w:r>
        <w:rPr>
          <w:w w:val="105"/>
        </w:rPr>
        <w:t>may therefore</w:t>
      </w:r>
      <w:r>
        <w:rPr>
          <w:spacing w:val="3"/>
          <w:w w:val="105"/>
        </w:rPr>
        <w:t xml:space="preserve"> </w:t>
      </w:r>
      <w:r>
        <w:rPr>
          <w:w w:val="105"/>
        </w:rPr>
        <w:t>be</w:t>
      </w:r>
      <w:r>
        <w:rPr>
          <w:spacing w:val="-12"/>
          <w:w w:val="105"/>
        </w:rPr>
        <w:t xml:space="preserve"> </w:t>
      </w:r>
      <w:r>
        <w:rPr>
          <w:w w:val="105"/>
        </w:rPr>
        <w:t>important</w:t>
      </w:r>
      <w:r>
        <w:rPr>
          <w:spacing w:val="1"/>
          <w:w w:val="105"/>
        </w:rPr>
        <w:t xml:space="preserve"> </w:t>
      </w:r>
      <w:r>
        <w:rPr>
          <w:w w:val="105"/>
        </w:rPr>
        <w:t>to</w:t>
      </w:r>
      <w:r>
        <w:rPr>
          <w:spacing w:val="-20"/>
          <w:w w:val="105"/>
        </w:rPr>
        <w:t xml:space="preserve"> </w:t>
      </w:r>
      <w:r>
        <w:rPr>
          <w:w w:val="105"/>
        </w:rPr>
        <w:t>obtain</w:t>
      </w:r>
      <w:r>
        <w:rPr>
          <w:spacing w:val="-11"/>
          <w:w w:val="105"/>
        </w:rPr>
        <w:t xml:space="preserve"> </w:t>
      </w:r>
      <w:r>
        <w:rPr>
          <w:w w:val="105"/>
        </w:rPr>
        <w:t>corroborating</w:t>
      </w:r>
      <w:r>
        <w:rPr>
          <w:spacing w:val="2"/>
          <w:w w:val="105"/>
        </w:rPr>
        <w:t xml:space="preserve"> </w:t>
      </w:r>
      <w:r>
        <w:rPr>
          <w:w w:val="105"/>
        </w:rPr>
        <w:t>information</w:t>
      </w:r>
      <w:r>
        <w:rPr>
          <w:spacing w:val="-7"/>
          <w:w w:val="105"/>
        </w:rPr>
        <w:t xml:space="preserve"> </w:t>
      </w:r>
      <w:r>
        <w:rPr>
          <w:w w:val="105"/>
        </w:rPr>
        <w:t>from</w:t>
      </w:r>
      <w:r>
        <w:rPr>
          <w:spacing w:val="-10"/>
          <w:w w:val="105"/>
        </w:rPr>
        <w:t xml:space="preserve"> </w:t>
      </w:r>
      <w:r>
        <w:rPr>
          <w:w w:val="105"/>
        </w:rPr>
        <w:t>family</w:t>
      </w:r>
      <w:r>
        <w:rPr>
          <w:spacing w:val="-7"/>
          <w:w w:val="105"/>
        </w:rPr>
        <w:t xml:space="preserve"> </w:t>
      </w:r>
      <w:r>
        <w:rPr>
          <w:w w:val="105"/>
        </w:rPr>
        <w:t>members</w:t>
      </w:r>
      <w:r>
        <w:rPr>
          <w:spacing w:val="-3"/>
          <w:w w:val="105"/>
        </w:rPr>
        <w:t xml:space="preserve"> </w:t>
      </w:r>
      <w:r>
        <w:rPr>
          <w:w w:val="105"/>
        </w:rPr>
        <w:t>or</w:t>
      </w:r>
      <w:r>
        <w:rPr>
          <w:spacing w:val="-16"/>
          <w:w w:val="105"/>
        </w:rPr>
        <w:t xml:space="preserve"> </w:t>
      </w:r>
      <w:r>
        <w:rPr>
          <w:w w:val="105"/>
        </w:rPr>
        <w:t>other informants. Profound amnesia may result in disorientation to place and time, but rarely to self. Disorientation to self may be encountered in individuals with a dementia but is unusual in an amnestic disorder. Most individuals with a severe Amnestic Disorder lack insight</w:t>
      </w:r>
      <w:r>
        <w:rPr>
          <w:spacing w:val="2"/>
          <w:w w:val="105"/>
        </w:rPr>
        <w:t xml:space="preserve"> </w:t>
      </w:r>
      <w:r>
        <w:rPr>
          <w:w w:val="105"/>
        </w:rPr>
        <w:t>into</w:t>
      </w:r>
      <w:r>
        <w:rPr>
          <w:spacing w:val="-12"/>
          <w:w w:val="105"/>
        </w:rPr>
        <w:t xml:space="preserve"> </w:t>
      </w:r>
      <w:r>
        <w:rPr>
          <w:w w:val="105"/>
        </w:rPr>
        <w:t>their</w:t>
      </w:r>
      <w:r>
        <w:rPr>
          <w:spacing w:val="-13"/>
          <w:w w:val="105"/>
        </w:rPr>
        <w:t xml:space="preserve"> </w:t>
      </w:r>
      <w:r>
        <w:rPr>
          <w:w w:val="105"/>
        </w:rPr>
        <w:t>memory</w:t>
      </w:r>
      <w:r>
        <w:rPr>
          <w:spacing w:val="-6"/>
          <w:w w:val="105"/>
        </w:rPr>
        <w:t xml:space="preserve"> </w:t>
      </w:r>
      <w:r>
        <w:rPr>
          <w:w w:val="105"/>
        </w:rPr>
        <w:t>deficits</w:t>
      </w:r>
      <w:r>
        <w:rPr>
          <w:spacing w:val="-10"/>
          <w:w w:val="105"/>
        </w:rPr>
        <w:t xml:space="preserve"> </w:t>
      </w:r>
      <w:r>
        <w:rPr>
          <w:w w:val="105"/>
        </w:rPr>
        <w:t>and</w:t>
      </w:r>
      <w:r>
        <w:rPr>
          <w:spacing w:val="-8"/>
          <w:w w:val="105"/>
        </w:rPr>
        <w:t xml:space="preserve"> </w:t>
      </w:r>
      <w:r>
        <w:rPr>
          <w:w w:val="105"/>
        </w:rPr>
        <w:t>may</w:t>
      </w:r>
      <w:r>
        <w:rPr>
          <w:spacing w:val="-21"/>
          <w:w w:val="105"/>
        </w:rPr>
        <w:t xml:space="preserve"> </w:t>
      </w:r>
      <w:r>
        <w:rPr>
          <w:w w:val="105"/>
        </w:rPr>
        <w:t>explicitly</w:t>
      </w:r>
      <w:r>
        <w:rPr>
          <w:spacing w:val="-12"/>
          <w:w w:val="105"/>
        </w:rPr>
        <w:t xml:space="preserve"> </w:t>
      </w:r>
      <w:r>
        <w:rPr>
          <w:w w:val="105"/>
        </w:rPr>
        <w:t>deny</w:t>
      </w:r>
      <w:r>
        <w:rPr>
          <w:spacing w:val="-9"/>
          <w:w w:val="105"/>
        </w:rPr>
        <w:t xml:space="preserve"> </w:t>
      </w:r>
      <w:r>
        <w:rPr>
          <w:w w:val="105"/>
        </w:rPr>
        <w:t>the</w:t>
      </w:r>
      <w:r>
        <w:rPr>
          <w:spacing w:val="-11"/>
          <w:w w:val="105"/>
        </w:rPr>
        <w:t xml:space="preserve"> </w:t>
      </w:r>
      <w:r>
        <w:rPr>
          <w:w w:val="105"/>
        </w:rPr>
        <w:t>presence</w:t>
      </w:r>
      <w:r>
        <w:rPr>
          <w:spacing w:val="-8"/>
          <w:w w:val="105"/>
        </w:rPr>
        <w:t xml:space="preserve"> </w:t>
      </w:r>
      <w:r>
        <w:rPr>
          <w:w w:val="105"/>
        </w:rPr>
        <w:t>of</w:t>
      </w:r>
      <w:r>
        <w:rPr>
          <w:spacing w:val="-14"/>
          <w:w w:val="105"/>
        </w:rPr>
        <w:t xml:space="preserve"> </w:t>
      </w:r>
      <w:r>
        <w:rPr>
          <w:w w:val="105"/>
        </w:rPr>
        <w:t>severe</w:t>
      </w:r>
      <w:r>
        <w:rPr>
          <w:spacing w:val="-9"/>
          <w:w w:val="105"/>
        </w:rPr>
        <w:t xml:space="preserve"> </w:t>
      </w:r>
      <w:r>
        <w:rPr>
          <w:w w:val="105"/>
        </w:rPr>
        <w:t>memory impairment despite evidence to the contrary. This lack of insight may lead to accusations against others or, in rare instances, to agitation. Some individuals may acknowledge that they have a problem but appear unconcerned. Apathy, lack of initiative, emotional blandness, or other changes suggestive of altered personality function may be encoun­ tered.</w:t>
      </w:r>
      <w:r>
        <w:rPr>
          <w:spacing w:val="-14"/>
          <w:w w:val="105"/>
        </w:rPr>
        <w:t xml:space="preserve"> </w:t>
      </w:r>
      <w:r>
        <w:rPr>
          <w:w w:val="105"/>
        </w:rPr>
        <w:t>Individuals</w:t>
      </w:r>
      <w:r>
        <w:rPr>
          <w:spacing w:val="1"/>
          <w:w w:val="105"/>
        </w:rPr>
        <w:t xml:space="preserve"> </w:t>
      </w:r>
      <w:r>
        <w:rPr>
          <w:w w:val="105"/>
        </w:rPr>
        <w:t>may</w:t>
      </w:r>
      <w:r>
        <w:rPr>
          <w:spacing w:val="-4"/>
          <w:w w:val="105"/>
        </w:rPr>
        <w:t xml:space="preserve"> </w:t>
      </w:r>
      <w:r>
        <w:rPr>
          <w:w w:val="105"/>
        </w:rPr>
        <w:t>be</w:t>
      </w:r>
      <w:r>
        <w:rPr>
          <w:spacing w:val="-18"/>
          <w:w w:val="105"/>
        </w:rPr>
        <w:t xml:space="preserve"> </w:t>
      </w:r>
      <w:r>
        <w:rPr>
          <w:w w:val="105"/>
        </w:rPr>
        <w:t>superficially</w:t>
      </w:r>
      <w:r>
        <w:rPr>
          <w:spacing w:val="-11"/>
          <w:w w:val="105"/>
        </w:rPr>
        <w:t xml:space="preserve"> </w:t>
      </w:r>
      <w:r>
        <w:rPr>
          <w:w w:val="105"/>
        </w:rPr>
        <w:t>friendly</w:t>
      </w:r>
      <w:r>
        <w:rPr>
          <w:spacing w:val="-5"/>
          <w:w w:val="105"/>
        </w:rPr>
        <w:t xml:space="preserve"> </w:t>
      </w:r>
      <w:r>
        <w:rPr>
          <w:w w:val="105"/>
        </w:rPr>
        <w:t>or</w:t>
      </w:r>
      <w:r>
        <w:rPr>
          <w:spacing w:val="-10"/>
          <w:w w:val="105"/>
        </w:rPr>
        <w:t xml:space="preserve"> </w:t>
      </w:r>
      <w:r>
        <w:rPr>
          <w:w w:val="105"/>
        </w:rPr>
        <w:t>agreeable,</w:t>
      </w:r>
      <w:r>
        <w:rPr>
          <w:spacing w:val="3"/>
          <w:w w:val="105"/>
        </w:rPr>
        <w:t xml:space="preserve"> </w:t>
      </w:r>
      <w:r>
        <w:rPr>
          <w:w w:val="105"/>
        </w:rPr>
        <w:t>but</w:t>
      </w:r>
      <w:r>
        <w:rPr>
          <w:spacing w:val="-11"/>
          <w:w w:val="105"/>
        </w:rPr>
        <w:t xml:space="preserve"> </w:t>
      </w:r>
      <w:r>
        <w:rPr>
          <w:w w:val="105"/>
        </w:rPr>
        <w:t>they</w:t>
      </w:r>
      <w:r>
        <w:rPr>
          <w:spacing w:val="-11"/>
          <w:w w:val="105"/>
        </w:rPr>
        <w:t xml:space="preserve"> </w:t>
      </w:r>
      <w:r>
        <w:rPr>
          <w:w w:val="105"/>
        </w:rPr>
        <w:t>may</w:t>
      </w:r>
      <w:r>
        <w:rPr>
          <w:spacing w:val="-10"/>
          <w:w w:val="105"/>
        </w:rPr>
        <w:t xml:space="preserve"> </w:t>
      </w:r>
      <w:r>
        <w:rPr>
          <w:w w:val="105"/>
        </w:rPr>
        <w:t>have</w:t>
      </w:r>
      <w:r>
        <w:rPr>
          <w:spacing w:val="-18"/>
          <w:w w:val="105"/>
        </w:rPr>
        <w:t xml:space="preserve"> </w:t>
      </w:r>
      <w:r>
        <w:rPr>
          <w:w w:val="105"/>
        </w:rPr>
        <w:t>a</w:t>
      </w:r>
      <w:r>
        <w:rPr>
          <w:spacing w:val="-16"/>
          <w:w w:val="105"/>
        </w:rPr>
        <w:t xml:space="preserve"> </w:t>
      </w:r>
      <w:r>
        <w:rPr>
          <w:w w:val="105"/>
        </w:rPr>
        <w:t>shallow or diminished range of affective expression. Individuals with transient global amnesia often appear bewildered or befuddled. Subtle deficits in other cognitive functions may be noted, but, by definition, they are not severe enough to cause clinically significant impairment. Quantitative neuropsychological testing often demonstrates specific mem­ ory deficits in the absence of other cognitive disturbances. Performance on standardized tests that assess recall of well-known historical events or public figures may be variable among individuals with an Amnestic Disorder, depending on the nature and extent of  the</w:t>
      </w:r>
      <w:r>
        <w:rPr>
          <w:spacing w:val="5"/>
          <w:w w:val="105"/>
        </w:rPr>
        <w:t xml:space="preserve"> </w:t>
      </w:r>
      <w:r>
        <w:rPr>
          <w:w w:val="105"/>
        </w:rPr>
        <w:t>deficit.</w:t>
      </w:r>
    </w:p>
    <w:p w:rsidR="00E675F0" w:rsidRDefault="00E675F0" w:rsidP="00E675F0">
      <w:pPr>
        <w:pStyle w:val="BodyText"/>
        <w:rPr>
          <w:sz w:val="22"/>
        </w:rPr>
      </w:pPr>
    </w:p>
    <w:p w:rsidR="00E675F0" w:rsidRDefault="00E675F0" w:rsidP="00E675F0">
      <w:pPr>
        <w:spacing w:before="188"/>
        <w:ind w:left="147"/>
        <w:rPr>
          <w:rFonts w:ascii="TimesNewRomanPS-BoldItalicMT"/>
          <w:b/>
          <w:i/>
          <w:sz w:val="24"/>
        </w:rPr>
      </w:pPr>
      <w:r>
        <w:rPr>
          <w:rFonts w:ascii="TimesNewRomanPS-BoldItalicMT"/>
          <w:b/>
          <w:i/>
          <w:w w:val="115"/>
          <w:sz w:val="24"/>
        </w:rPr>
        <w:t>Specific Culture</w:t>
      </w:r>
      <w:r>
        <w:rPr>
          <w:rFonts w:ascii="TimesNewRomanPS-BoldItalicMT"/>
          <w:b/>
          <w:i/>
          <w:spacing w:val="-58"/>
          <w:w w:val="115"/>
          <w:sz w:val="24"/>
        </w:rPr>
        <w:t xml:space="preserve"> </w:t>
      </w:r>
      <w:r>
        <w:rPr>
          <w:rFonts w:ascii="TimesNewRomanPS-BoldItalicMT"/>
          <w:b/>
          <w:i/>
          <w:w w:val="115"/>
          <w:sz w:val="24"/>
        </w:rPr>
        <w:t>Features</w:t>
      </w:r>
    </w:p>
    <w:p w:rsidR="00E675F0" w:rsidRDefault="00E675F0" w:rsidP="00E675F0">
      <w:pPr>
        <w:pStyle w:val="BodyText"/>
        <w:spacing w:before="156" w:line="252" w:lineRule="auto"/>
        <w:ind w:left="154" w:right="132" w:firstLine="4"/>
        <w:jc w:val="both"/>
      </w:pPr>
      <w:r>
        <w:rPr>
          <w:w w:val="105"/>
        </w:rPr>
        <w:t>Cultural and educational background should be taken into consideration in the evaluation of memory. Individuals from certain backgrounds may not be familiar with the information used in certain tests of memory (e.g., date of birth in cultures  that do not routinely celebrate</w:t>
      </w:r>
      <w:r>
        <w:rPr>
          <w:spacing w:val="50"/>
          <w:w w:val="105"/>
        </w:rPr>
        <w:t xml:space="preserve"> </w:t>
      </w:r>
      <w:r>
        <w:rPr>
          <w:w w:val="105"/>
        </w:rPr>
        <w:t>birthdays).</w:t>
      </w:r>
    </w:p>
    <w:p w:rsidR="00E675F0" w:rsidRDefault="00E675F0" w:rsidP="00E675F0">
      <w:pPr>
        <w:pStyle w:val="BodyText"/>
        <w:rPr>
          <w:sz w:val="22"/>
        </w:rPr>
      </w:pPr>
    </w:p>
    <w:p w:rsidR="00E675F0" w:rsidRDefault="00E675F0" w:rsidP="00E675F0">
      <w:pPr>
        <w:spacing w:before="181"/>
        <w:ind w:left="131"/>
        <w:rPr>
          <w:rFonts w:ascii="TimesNewRomanPS-BoldItalicMT"/>
          <w:b/>
          <w:i/>
          <w:sz w:val="24"/>
        </w:rPr>
      </w:pPr>
      <w:r>
        <w:rPr>
          <w:rFonts w:ascii="TimesNewRomanPS-BoldItalicMT"/>
          <w:b/>
          <w:i/>
          <w:w w:val="115"/>
          <w:sz w:val="24"/>
        </w:rPr>
        <w:t>Course</w:t>
      </w:r>
    </w:p>
    <w:p w:rsidR="00E675F0" w:rsidRDefault="00E675F0" w:rsidP="00E675F0">
      <w:pPr>
        <w:pStyle w:val="BodyText"/>
        <w:spacing w:before="150" w:line="254" w:lineRule="auto"/>
        <w:ind w:left="149" w:right="124" w:firstLine="1"/>
        <w:jc w:val="both"/>
      </w:pPr>
      <w:r>
        <w:rPr>
          <w:w w:val="110"/>
        </w:rPr>
        <w:t>Age at onset and subsequent course of amnestic disorders may be quite variable, depending</w:t>
      </w:r>
      <w:r>
        <w:rPr>
          <w:spacing w:val="-36"/>
          <w:w w:val="110"/>
        </w:rPr>
        <w:t xml:space="preserve"> </w:t>
      </w:r>
      <w:r>
        <w:rPr>
          <w:w w:val="110"/>
        </w:rPr>
        <w:t>on</w:t>
      </w:r>
      <w:r>
        <w:rPr>
          <w:spacing w:val="-34"/>
          <w:w w:val="110"/>
        </w:rPr>
        <w:t xml:space="preserve"> </w:t>
      </w:r>
      <w:r>
        <w:rPr>
          <w:w w:val="110"/>
        </w:rPr>
        <w:t>the</w:t>
      </w:r>
      <w:r>
        <w:rPr>
          <w:spacing w:val="-32"/>
          <w:w w:val="110"/>
        </w:rPr>
        <w:t xml:space="preserve"> </w:t>
      </w:r>
      <w:r>
        <w:rPr>
          <w:w w:val="110"/>
        </w:rPr>
        <w:t>primary</w:t>
      </w:r>
      <w:r>
        <w:rPr>
          <w:spacing w:val="-30"/>
          <w:w w:val="110"/>
        </w:rPr>
        <w:t xml:space="preserve"> </w:t>
      </w:r>
      <w:r>
        <w:rPr>
          <w:w w:val="110"/>
        </w:rPr>
        <w:t>pathological</w:t>
      </w:r>
      <w:r>
        <w:rPr>
          <w:spacing w:val="-27"/>
          <w:w w:val="110"/>
        </w:rPr>
        <w:t xml:space="preserve"> </w:t>
      </w:r>
      <w:r>
        <w:rPr>
          <w:w w:val="110"/>
        </w:rPr>
        <w:t>process</w:t>
      </w:r>
      <w:r>
        <w:rPr>
          <w:spacing w:val="-36"/>
          <w:w w:val="110"/>
        </w:rPr>
        <w:t xml:space="preserve"> </w:t>
      </w:r>
      <w:r>
        <w:rPr>
          <w:w w:val="110"/>
        </w:rPr>
        <w:t>causing</w:t>
      </w:r>
      <w:r>
        <w:rPr>
          <w:spacing w:val="-34"/>
          <w:w w:val="110"/>
        </w:rPr>
        <w:t xml:space="preserve"> </w:t>
      </w:r>
      <w:r>
        <w:rPr>
          <w:w w:val="110"/>
        </w:rPr>
        <w:t>the</w:t>
      </w:r>
      <w:r>
        <w:rPr>
          <w:spacing w:val="-37"/>
          <w:w w:val="110"/>
        </w:rPr>
        <w:t xml:space="preserve"> </w:t>
      </w:r>
      <w:r>
        <w:rPr>
          <w:w w:val="110"/>
        </w:rPr>
        <w:t>amnestic</w:t>
      </w:r>
      <w:r>
        <w:rPr>
          <w:spacing w:val="-34"/>
          <w:w w:val="110"/>
        </w:rPr>
        <w:t xml:space="preserve"> </w:t>
      </w:r>
      <w:r>
        <w:rPr>
          <w:w w:val="110"/>
        </w:rPr>
        <w:t>disorder.</w:t>
      </w:r>
      <w:r>
        <w:rPr>
          <w:spacing w:val="-38"/>
          <w:w w:val="110"/>
        </w:rPr>
        <w:t xml:space="preserve"> </w:t>
      </w:r>
      <w:r>
        <w:rPr>
          <w:w w:val="110"/>
        </w:rPr>
        <w:t>Traumatic brain injury, stroke or other cerebrovascular events, or specific types of neurotoxic exposure</w:t>
      </w:r>
      <w:r>
        <w:rPr>
          <w:spacing w:val="-14"/>
          <w:w w:val="110"/>
        </w:rPr>
        <w:t xml:space="preserve"> </w:t>
      </w:r>
      <w:r>
        <w:rPr>
          <w:w w:val="110"/>
        </w:rPr>
        <w:t>(e.g.,</w:t>
      </w:r>
      <w:r>
        <w:rPr>
          <w:spacing w:val="-12"/>
          <w:w w:val="110"/>
        </w:rPr>
        <w:t xml:space="preserve"> </w:t>
      </w:r>
      <w:r>
        <w:rPr>
          <w:w w:val="110"/>
        </w:rPr>
        <w:t>carbon</w:t>
      </w:r>
      <w:r>
        <w:rPr>
          <w:spacing w:val="-6"/>
          <w:w w:val="110"/>
        </w:rPr>
        <w:t xml:space="preserve"> </w:t>
      </w:r>
      <w:r>
        <w:rPr>
          <w:w w:val="110"/>
        </w:rPr>
        <w:t>monoxide poisoning)</w:t>
      </w:r>
      <w:r>
        <w:rPr>
          <w:spacing w:val="-3"/>
          <w:w w:val="110"/>
        </w:rPr>
        <w:t xml:space="preserve"> </w:t>
      </w:r>
      <w:r>
        <w:rPr>
          <w:w w:val="110"/>
        </w:rPr>
        <w:t>may</w:t>
      </w:r>
      <w:r>
        <w:rPr>
          <w:spacing w:val="-18"/>
          <w:w w:val="110"/>
        </w:rPr>
        <w:t xml:space="preserve"> </w:t>
      </w:r>
      <w:r>
        <w:rPr>
          <w:w w:val="110"/>
        </w:rPr>
        <w:t>lead</w:t>
      </w:r>
      <w:r>
        <w:rPr>
          <w:spacing w:val="-9"/>
          <w:w w:val="110"/>
        </w:rPr>
        <w:t xml:space="preserve"> </w:t>
      </w:r>
      <w:r>
        <w:rPr>
          <w:w w:val="110"/>
        </w:rPr>
        <w:t>to</w:t>
      </w:r>
      <w:r>
        <w:rPr>
          <w:spacing w:val="-17"/>
          <w:w w:val="110"/>
        </w:rPr>
        <w:t xml:space="preserve"> </w:t>
      </w:r>
      <w:r>
        <w:rPr>
          <w:w w:val="110"/>
        </w:rPr>
        <w:t>an</w:t>
      </w:r>
      <w:r>
        <w:rPr>
          <w:spacing w:val="-17"/>
          <w:w w:val="110"/>
        </w:rPr>
        <w:t xml:space="preserve"> </w:t>
      </w:r>
      <w:r>
        <w:rPr>
          <w:w w:val="110"/>
        </w:rPr>
        <w:t>acute</w:t>
      </w:r>
      <w:r>
        <w:rPr>
          <w:spacing w:val="-15"/>
          <w:w w:val="110"/>
        </w:rPr>
        <w:t xml:space="preserve"> </w:t>
      </w:r>
      <w:r>
        <w:rPr>
          <w:w w:val="110"/>
        </w:rPr>
        <w:t>onset</w:t>
      </w:r>
      <w:r>
        <w:rPr>
          <w:spacing w:val="-15"/>
          <w:w w:val="110"/>
        </w:rPr>
        <w:t xml:space="preserve"> </w:t>
      </w:r>
      <w:r>
        <w:rPr>
          <w:w w:val="110"/>
        </w:rPr>
        <w:t>of</w:t>
      </w:r>
      <w:r>
        <w:rPr>
          <w:spacing w:val="-11"/>
          <w:w w:val="110"/>
        </w:rPr>
        <w:t xml:space="preserve"> </w:t>
      </w:r>
      <w:r>
        <w:rPr>
          <w:w w:val="110"/>
        </w:rPr>
        <w:t>an</w:t>
      </w:r>
      <w:r>
        <w:rPr>
          <w:spacing w:val="-17"/>
          <w:w w:val="110"/>
        </w:rPr>
        <w:t xml:space="preserve"> </w:t>
      </w:r>
      <w:r>
        <w:rPr>
          <w:w w:val="110"/>
        </w:rPr>
        <w:t>amnestic disorder. Other conditions such as prolonged substance abuse, chronic neurotoxic exposure,</w:t>
      </w:r>
      <w:r>
        <w:rPr>
          <w:spacing w:val="-8"/>
          <w:w w:val="110"/>
        </w:rPr>
        <w:t xml:space="preserve"> </w:t>
      </w:r>
      <w:r>
        <w:rPr>
          <w:w w:val="110"/>
        </w:rPr>
        <w:t>or</w:t>
      </w:r>
      <w:r>
        <w:rPr>
          <w:spacing w:val="-15"/>
          <w:w w:val="110"/>
        </w:rPr>
        <w:t xml:space="preserve"> </w:t>
      </w:r>
      <w:r>
        <w:rPr>
          <w:w w:val="110"/>
        </w:rPr>
        <w:t>sustained</w:t>
      </w:r>
      <w:r>
        <w:rPr>
          <w:spacing w:val="-2"/>
          <w:w w:val="110"/>
        </w:rPr>
        <w:t xml:space="preserve"> </w:t>
      </w:r>
      <w:r>
        <w:rPr>
          <w:w w:val="110"/>
        </w:rPr>
        <w:t>nutritional</w:t>
      </w:r>
      <w:r>
        <w:rPr>
          <w:spacing w:val="-10"/>
          <w:w w:val="110"/>
        </w:rPr>
        <w:t xml:space="preserve"> </w:t>
      </w:r>
      <w:r>
        <w:rPr>
          <w:w w:val="110"/>
        </w:rPr>
        <w:t>deficiency</w:t>
      </w:r>
      <w:r>
        <w:rPr>
          <w:spacing w:val="-2"/>
          <w:w w:val="110"/>
        </w:rPr>
        <w:t xml:space="preserve"> </w:t>
      </w:r>
      <w:r>
        <w:rPr>
          <w:w w:val="110"/>
        </w:rPr>
        <w:t>may</w:t>
      </w:r>
      <w:r>
        <w:rPr>
          <w:spacing w:val="-13"/>
          <w:w w:val="110"/>
        </w:rPr>
        <w:t xml:space="preserve"> </w:t>
      </w:r>
      <w:r>
        <w:rPr>
          <w:w w:val="110"/>
        </w:rPr>
        <w:t>lead</w:t>
      </w:r>
      <w:r>
        <w:rPr>
          <w:spacing w:val="-11"/>
          <w:w w:val="110"/>
        </w:rPr>
        <w:t xml:space="preserve"> </w:t>
      </w:r>
      <w:r>
        <w:rPr>
          <w:w w:val="110"/>
        </w:rPr>
        <w:t>to</w:t>
      </w:r>
      <w:r>
        <w:rPr>
          <w:spacing w:val="-10"/>
          <w:w w:val="110"/>
        </w:rPr>
        <w:t xml:space="preserve"> </w:t>
      </w:r>
      <w:r>
        <w:rPr>
          <w:w w:val="110"/>
        </w:rPr>
        <w:t>an</w:t>
      </w:r>
      <w:r>
        <w:rPr>
          <w:spacing w:val="-11"/>
          <w:w w:val="110"/>
        </w:rPr>
        <w:t xml:space="preserve"> </w:t>
      </w:r>
      <w:r>
        <w:rPr>
          <w:w w:val="110"/>
        </w:rPr>
        <w:t>insidious</w:t>
      </w:r>
      <w:r>
        <w:rPr>
          <w:spacing w:val="-11"/>
          <w:w w:val="110"/>
        </w:rPr>
        <w:t xml:space="preserve"> </w:t>
      </w:r>
      <w:r>
        <w:rPr>
          <w:w w:val="110"/>
        </w:rPr>
        <w:t>onset.</w:t>
      </w:r>
      <w:r>
        <w:rPr>
          <w:spacing w:val="-14"/>
          <w:w w:val="110"/>
        </w:rPr>
        <w:t xml:space="preserve"> </w:t>
      </w:r>
      <w:r>
        <w:rPr>
          <w:w w:val="110"/>
        </w:rPr>
        <w:t>Transient amnesia</w:t>
      </w:r>
      <w:r>
        <w:rPr>
          <w:spacing w:val="-14"/>
          <w:w w:val="110"/>
        </w:rPr>
        <w:t xml:space="preserve"> </w:t>
      </w:r>
      <w:r>
        <w:rPr>
          <w:w w:val="110"/>
        </w:rPr>
        <w:t>due</w:t>
      </w:r>
      <w:r>
        <w:rPr>
          <w:spacing w:val="-7"/>
          <w:w w:val="110"/>
        </w:rPr>
        <w:t xml:space="preserve"> </w:t>
      </w:r>
      <w:r>
        <w:rPr>
          <w:w w:val="110"/>
        </w:rPr>
        <w:t>to</w:t>
      </w:r>
      <w:r>
        <w:rPr>
          <w:spacing w:val="-26"/>
          <w:w w:val="110"/>
        </w:rPr>
        <w:t xml:space="preserve"> </w:t>
      </w:r>
      <w:r>
        <w:rPr>
          <w:w w:val="110"/>
        </w:rPr>
        <w:t>a</w:t>
      </w:r>
      <w:r>
        <w:rPr>
          <w:spacing w:val="-20"/>
          <w:w w:val="110"/>
        </w:rPr>
        <w:t xml:space="preserve"> </w:t>
      </w:r>
      <w:r>
        <w:rPr>
          <w:w w:val="110"/>
        </w:rPr>
        <w:t>cerebrovascular</w:t>
      </w:r>
      <w:r>
        <w:rPr>
          <w:spacing w:val="-32"/>
          <w:w w:val="110"/>
        </w:rPr>
        <w:t xml:space="preserve"> </w:t>
      </w:r>
      <w:r>
        <w:rPr>
          <w:w w:val="110"/>
        </w:rPr>
        <w:t>etiology</w:t>
      </w:r>
      <w:r>
        <w:rPr>
          <w:spacing w:val="-16"/>
          <w:w w:val="110"/>
        </w:rPr>
        <w:t xml:space="preserve"> </w:t>
      </w:r>
      <w:r>
        <w:rPr>
          <w:w w:val="110"/>
        </w:rPr>
        <w:t>may</w:t>
      </w:r>
      <w:r>
        <w:rPr>
          <w:spacing w:val="-21"/>
          <w:w w:val="110"/>
        </w:rPr>
        <w:t xml:space="preserve"> </w:t>
      </w:r>
      <w:r>
        <w:rPr>
          <w:w w:val="110"/>
        </w:rPr>
        <w:t>be</w:t>
      </w:r>
      <w:r>
        <w:rPr>
          <w:spacing w:val="-17"/>
          <w:w w:val="110"/>
        </w:rPr>
        <w:t xml:space="preserve"> </w:t>
      </w:r>
      <w:r>
        <w:rPr>
          <w:w w:val="110"/>
        </w:rPr>
        <w:t>recurrent,</w:t>
      </w:r>
      <w:r>
        <w:rPr>
          <w:spacing w:val="-13"/>
          <w:w w:val="110"/>
        </w:rPr>
        <w:t xml:space="preserve"> </w:t>
      </w:r>
      <w:r>
        <w:rPr>
          <w:w w:val="110"/>
        </w:rPr>
        <w:t>with</w:t>
      </w:r>
      <w:r>
        <w:rPr>
          <w:spacing w:val="-19"/>
          <w:w w:val="110"/>
        </w:rPr>
        <w:t xml:space="preserve"> </w:t>
      </w:r>
      <w:r>
        <w:rPr>
          <w:w w:val="110"/>
        </w:rPr>
        <w:t>episodes</w:t>
      </w:r>
      <w:r>
        <w:rPr>
          <w:spacing w:val="-19"/>
          <w:w w:val="110"/>
        </w:rPr>
        <w:t xml:space="preserve"> </w:t>
      </w:r>
      <w:r>
        <w:rPr>
          <w:w w:val="110"/>
        </w:rPr>
        <w:t>lasting</w:t>
      </w:r>
      <w:r>
        <w:rPr>
          <w:spacing w:val="-24"/>
          <w:w w:val="110"/>
        </w:rPr>
        <w:t xml:space="preserve"> </w:t>
      </w:r>
      <w:r>
        <w:rPr>
          <w:w w:val="110"/>
        </w:rPr>
        <w:t>from several hours to several days. Amnestic Disorders Due to Head Trauma may last for variable</w:t>
      </w:r>
      <w:r>
        <w:rPr>
          <w:spacing w:val="-5"/>
          <w:w w:val="110"/>
        </w:rPr>
        <w:t xml:space="preserve"> </w:t>
      </w:r>
      <w:r>
        <w:rPr>
          <w:w w:val="110"/>
        </w:rPr>
        <w:t>amounts</w:t>
      </w:r>
      <w:r>
        <w:rPr>
          <w:spacing w:val="-6"/>
          <w:w w:val="110"/>
        </w:rPr>
        <w:t xml:space="preserve"> </w:t>
      </w:r>
      <w:r>
        <w:rPr>
          <w:w w:val="110"/>
        </w:rPr>
        <w:t>of</w:t>
      </w:r>
      <w:r>
        <w:rPr>
          <w:spacing w:val="-1"/>
          <w:w w:val="110"/>
        </w:rPr>
        <w:t xml:space="preserve"> </w:t>
      </w:r>
      <w:r>
        <w:rPr>
          <w:w w:val="110"/>
        </w:rPr>
        <w:t>time,</w:t>
      </w:r>
      <w:r>
        <w:rPr>
          <w:spacing w:val="-2"/>
          <w:w w:val="110"/>
        </w:rPr>
        <w:t xml:space="preserve"> </w:t>
      </w:r>
      <w:r>
        <w:rPr>
          <w:w w:val="110"/>
        </w:rPr>
        <w:t>with</w:t>
      </w:r>
      <w:r>
        <w:rPr>
          <w:spacing w:val="-3"/>
          <w:w w:val="110"/>
        </w:rPr>
        <w:t xml:space="preserve"> </w:t>
      </w:r>
      <w:r>
        <w:rPr>
          <w:w w:val="110"/>
        </w:rPr>
        <w:t>a</w:t>
      </w:r>
      <w:r>
        <w:rPr>
          <w:spacing w:val="-6"/>
          <w:w w:val="110"/>
        </w:rPr>
        <w:t xml:space="preserve"> </w:t>
      </w:r>
      <w:r>
        <w:rPr>
          <w:w w:val="110"/>
        </w:rPr>
        <w:t>characteristic</w:t>
      </w:r>
      <w:r>
        <w:rPr>
          <w:spacing w:val="-5"/>
          <w:w w:val="110"/>
        </w:rPr>
        <w:t xml:space="preserve"> </w:t>
      </w:r>
      <w:r>
        <w:rPr>
          <w:w w:val="110"/>
        </w:rPr>
        <w:t>pattern</w:t>
      </w:r>
      <w:r>
        <w:rPr>
          <w:spacing w:val="-3"/>
          <w:w w:val="110"/>
        </w:rPr>
        <w:t xml:space="preserve"> </w:t>
      </w:r>
      <w:r>
        <w:rPr>
          <w:w w:val="110"/>
        </w:rPr>
        <w:t>of</w:t>
      </w:r>
      <w:r>
        <w:rPr>
          <w:spacing w:val="-6"/>
          <w:w w:val="110"/>
        </w:rPr>
        <w:t xml:space="preserve"> </w:t>
      </w:r>
      <w:r>
        <w:rPr>
          <w:w w:val="110"/>
        </w:rPr>
        <w:t>greatest</w:t>
      </w:r>
      <w:r>
        <w:rPr>
          <w:spacing w:val="-4"/>
          <w:w w:val="110"/>
        </w:rPr>
        <w:t xml:space="preserve"> </w:t>
      </w:r>
      <w:r>
        <w:rPr>
          <w:w w:val="110"/>
        </w:rPr>
        <w:t>deficit</w:t>
      </w:r>
      <w:r>
        <w:rPr>
          <w:spacing w:val="-3"/>
          <w:w w:val="110"/>
        </w:rPr>
        <w:t xml:space="preserve"> </w:t>
      </w:r>
      <w:r>
        <w:rPr>
          <w:w w:val="110"/>
        </w:rPr>
        <w:t>immediately after</w:t>
      </w:r>
      <w:r>
        <w:rPr>
          <w:spacing w:val="-18"/>
          <w:w w:val="110"/>
        </w:rPr>
        <w:t xml:space="preserve"> </w:t>
      </w:r>
      <w:r>
        <w:rPr>
          <w:w w:val="110"/>
        </w:rPr>
        <w:t>injury</w:t>
      </w:r>
      <w:r>
        <w:rPr>
          <w:spacing w:val="-19"/>
          <w:w w:val="110"/>
        </w:rPr>
        <w:t xml:space="preserve"> </w:t>
      </w:r>
      <w:r>
        <w:rPr>
          <w:w w:val="110"/>
        </w:rPr>
        <w:t>and</w:t>
      </w:r>
      <w:r>
        <w:rPr>
          <w:spacing w:val="-16"/>
          <w:w w:val="110"/>
        </w:rPr>
        <w:t xml:space="preserve"> </w:t>
      </w:r>
      <w:r>
        <w:rPr>
          <w:w w:val="110"/>
        </w:rPr>
        <w:t>improvement</w:t>
      </w:r>
      <w:r>
        <w:rPr>
          <w:spacing w:val="-12"/>
          <w:w w:val="110"/>
        </w:rPr>
        <w:t xml:space="preserve"> </w:t>
      </w:r>
      <w:r>
        <w:rPr>
          <w:w w:val="110"/>
        </w:rPr>
        <w:t>during</w:t>
      </w:r>
      <w:r>
        <w:rPr>
          <w:spacing w:val="-15"/>
          <w:w w:val="110"/>
        </w:rPr>
        <w:t xml:space="preserve"> </w:t>
      </w:r>
      <w:r>
        <w:rPr>
          <w:w w:val="110"/>
        </w:rPr>
        <w:t>the</w:t>
      </w:r>
      <w:r>
        <w:rPr>
          <w:spacing w:val="-23"/>
          <w:w w:val="110"/>
        </w:rPr>
        <w:t xml:space="preserve"> </w:t>
      </w:r>
      <w:r>
        <w:rPr>
          <w:w w:val="110"/>
        </w:rPr>
        <w:t>ensuing</w:t>
      </w:r>
      <w:r>
        <w:rPr>
          <w:spacing w:val="-14"/>
          <w:w w:val="110"/>
        </w:rPr>
        <w:t xml:space="preserve"> </w:t>
      </w:r>
      <w:r>
        <w:rPr>
          <w:w w:val="110"/>
        </w:rPr>
        <w:t>2</w:t>
      </w:r>
      <w:r>
        <w:rPr>
          <w:spacing w:val="-18"/>
          <w:w w:val="110"/>
        </w:rPr>
        <w:t xml:space="preserve"> </w:t>
      </w:r>
      <w:r>
        <w:rPr>
          <w:w w:val="110"/>
        </w:rPr>
        <w:t>years</w:t>
      </w:r>
      <w:r>
        <w:rPr>
          <w:spacing w:val="-20"/>
          <w:w w:val="110"/>
        </w:rPr>
        <w:t xml:space="preserve"> </w:t>
      </w:r>
      <w:r>
        <w:rPr>
          <w:w w:val="110"/>
        </w:rPr>
        <w:t>(further</w:t>
      </w:r>
      <w:r>
        <w:rPr>
          <w:spacing w:val="-11"/>
          <w:w w:val="110"/>
        </w:rPr>
        <w:t xml:space="preserve"> </w:t>
      </w:r>
      <w:r>
        <w:rPr>
          <w:w w:val="110"/>
        </w:rPr>
        <w:t>improvement</w:t>
      </w:r>
      <w:r>
        <w:rPr>
          <w:spacing w:val="-3"/>
          <w:w w:val="110"/>
        </w:rPr>
        <w:t xml:space="preserve"> </w:t>
      </w:r>
      <w:r>
        <w:rPr>
          <w:w w:val="110"/>
        </w:rPr>
        <w:t>beyond</w:t>
      </w:r>
    </w:p>
    <w:p w:rsidR="00E675F0" w:rsidRDefault="00E675F0" w:rsidP="00E675F0">
      <w:pPr>
        <w:pStyle w:val="BodyText"/>
        <w:spacing w:before="9" w:line="254" w:lineRule="auto"/>
        <w:ind w:left="154" w:right="133" w:firstLine="7"/>
        <w:jc w:val="both"/>
      </w:pPr>
      <w:r>
        <w:rPr>
          <w:w w:val="105"/>
        </w:rPr>
        <w:t>24 months has been noted, but less commonly). Disorders due to destruction of middle-temporal lobe structures (e.g., from infarction, surgical ablation, or malnutrition occurring in the context of Alcohol Dependence) may cause persisting impairments.</w:t>
      </w:r>
    </w:p>
    <w:p w:rsidR="00E675F0" w:rsidRDefault="00E675F0" w:rsidP="00E675F0">
      <w:pPr>
        <w:spacing w:line="254" w:lineRule="auto"/>
        <w:jc w:val="both"/>
        <w:sectPr w:rsidR="00E675F0">
          <w:headerReference w:type="even" r:id="rId146"/>
          <w:headerReference w:type="default" r:id="rId147"/>
          <w:pgSz w:w="8960" w:h="14260"/>
          <w:pgMar w:top="980" w:right="600" w:bottom="280" w:left="600" w:header="682" w:footer="0" w:gutter="0"/>
          <w:pgNumType w:start="157"/>
          <w:cols w:space="720"/>
        </w:sectPr>
      </w:pPr>
    </w:p>
    <w:p w:rsidR="00E675F0" w:rsidRDefault="00E675F0" w:rsidP="00E675F0">
      <w:pPr>
        <w:pStyle w:val="BodyText"/>
      </w:pPr>
    </w:p>
    <w:p w:rsidR="00E675F0" w:rsidRDefault="00E675F0" w:rsidP="00E675F0">
      <w:pPr>
        <w:pStyle w:val="BodyText"/>
        <w:spacing w:before="7"/>
        <w:rPr>
          <w:sz w:val="24"/>
        </w:rPr>
      </w:pPr>
    </w:p>
    <w:p w:rsidR="00E675F0" w:rsidRDefault="00E675F0" w:rsidP="00E675F0">
      <w:pPr>
        <w:spacing w:before="90"/>
        <w:ind w:left="135"/>
        <w:jc w:val="both"/>
        <w:rPr>
          <w:rFonts w:ascii="TimesNewRomanPS-BoldItalicMT"/>
          <w:b/>
          <w:i/>
          <w:sz w:val="25"/>
        </w:rPr>
      </w:pPr>
      <w:bookmarkStart w:id="101" w:name="_bookmark84"/>
      <w:bookmarkEnd w:id="101"/>
      <w:r>
        <w:rPr>
          <w:rFonts w:ascii="TimesNewRomanPS-BoldItalicMT"/>
          <w:b/>
          <w:i/>
          <w:w w:val="110"/>
          <w:sz w:val="25"/>
        </w:rPr>
        <w:t>Dif.ferential Diagnosis</w:t>
      </w:r>
    </w:p>
    <w:p w:rsidR="00E675F0" w:rsidRDefault="00E675F0" w:rsidP="00E675F0">
      <w:pPr>
        <w:pStyle w:val="BodyText"/>
        <w:spacing w:before="125" w:line="254" w:lineRule="auto"/>
        <w:ind w:left="147" w:right="115" w:hanging="1"/>
        <w:jc w:val="both"/>
      </w:pPr>
      <w:r>
        <w:rPr>
          <w:w w:val="105"/>
        </w:rPr>
        <w:t xml:space="preserve">Memory impairment is also a feature of </w:t>
      </w:r>
      <w:r>
        <w:rPr>
          <w:b/>
          <w:w w:val="105"/>
        </w:rPr>
        <w:t xml:space="preserve">delirium </w:t>
      </w:r>
      <w:r>
        <w:rPr>
          <w:w w:val="105"/>
        </w:rPr>
        <w:t xml:space="preserve">and </w:t>
      </w:r>
      <w:r>
        <w:rPr>
          <w:b/>
          <w:w w:val="105"/>
        </w:rPr>
        <w:t xml:space="preserve">dementia. </w:t>
      </w:r>
      <w:r>
        <w:rPr>
          <w:w w:val="105"/>
        </w:rPr>
        <w:t>In delirium, memory dysfunction occurs in association with impaired consciousness, with reduced ability to focus, sustain, or shift attention. In dementia, memory impairment must be accompanied by</w:t>
      </w:r>
      <w:r>
        <w:rPr>
          <w:spacing w:val="-15"/>
          <w:w w:val="105"/>
        </w:rPr>
        <w:t xml:space="preserve"> </w:t>
      </w:r>
      <w:r>
        <w:rPr>
          <w:w w:val="105"/>
        </w:rPr>
        <w:t>multiple</w:t>
      </w:r>
      <w:r>
        <w:rPr>
          <w:spacing w:val="-8"/>
          <w:w w:val="105"/>
        </w:rPr>
        <w:t xml:space="preserve"> </w:t>
      </w:r>
      <w:r>
        <w:rPr>
          <w:w w:val="105"/>
        </w:rPr>
        <w:t>cognitive</w:t>
      </w:r>
      <w:r>
        <w:rPr>
          <w:spacing w:val="-5"/>
          <w:w w:val="105"/>
        </w:rPr>
        <w:t xml:space="preserve"> </w:t>
      </w:r>
      <w:r>
        <w:rPr>
          <w:w w:val="105"/>
        </w:rPr>
        <w:t>deficits</w:t>
      </w:r>
      <w:r>
        <w:rPr>
          <w:spacing w:val="-18"/>
          <w:w w:val="105"/>
        </w:rPr>
        <w:t xml:space="preserve"> </w:t>
      </w:r>
      <w:r>
        <w:rPr>
          <w:w w:val="105"/>
        </w:rPr>
        <w:t>(i.e.,</w:t>
      </w:r>
      <w:r>
        <w:rPr>
          <w:spacing w:val="-12"/>
          <w:w w:val="105"/>
        </w:rPr>
        <w:t xml:space="preserve"> </w:t>
      </w:r>
      <w:r>
        <w:rPr>
          <w:w w:val="105"/>
        </w:rPr>
        <w:t>aphasia,</w:t>
      </w:r>
      <w:r>
        <w:rPr>
          <w:spacing w:val="-9"/>
          <w:w w:val="105"/>
        </w:rPr>
        <w:t xml:space="preserve"> </w:t>
      </w:r>
      <w:r>
        <w:rPr>
          <w:w w:val="105"/>
        </w:rPr>
        <w:t>apraxia,</w:t>
      </w:r>
      <w:r>
        <w:rPr>
          <w:spacing w:val="-10"/>
          <w:w w:val="105"/>
        </w:rPr>
        <w:t xml:space="preserve"> </w:t>
      </w:r>
      <w:r>
        <w:rPr>
          <w:w w:val="105"/>
        </w:rPr>
        <w:t>agnosia,</w:t>
      </w:r>
      <w:r>
        <w:rPr>
          <w:spacing w:val="-7"/>
          <w:w w:val="105"/>
        </w:rPr>
        <w:t xml:space="preserve"> </w:t>
      </w:r>
      <w:r>
        <w:rPr>
          <w:w w:val="105"/>
        </w:rPr>
        <w:t>or</w:t>
      </w:r>
      <w:r>
        <w:rPr>
          <w:spacing w:val="-18"/>
          <w:w w:val="105"/>
        </w:rPr>
        <w:t xml:space="preserve"> </w:t>
      </w:r>
      <w:r>
        <w:rPr>
          <w:w w:val="105"/>
        </w:rPr>
        <w:t>a</w:t>
      </w:r>
      <w:r>
        <w:rPr>
          <w:spacing w:val="-16"/>
          <w:w w:val="105"/>
        </w:rPr>
        <w:t xml:space="preserve"> </w:t>
      </w:r>
      <w:r>
        <w:rPr>
          <w:w w:val="105"/>
        </w:rPr>
        <w:t>disturbance</w:t>
      </w:r>
      <w:r>
        <w:rPr>
          <w:spacing w:val="1"/>
          <w:w w:val="105"/>
        </w:rPr>
        <w:t xml:space="preserve"> </w:t>
      </w:r>
      <w:r>
        <w:rPr>
          <w:w w:val="105"/>
        </w:rPr>
        <w:t>in</w:t>
      </w:r>
      <w:r>
        <w:rPr>
          <w:spacing w:val="-26"/>
          <w:w w:val="105"/>
        </w:rPr>
        <w:t xml:space="preserve"> </w:t>
      </w:r>
      <w:r>
        <w:rPr>
          <w:w w:val="105"/>
        </w:rPr>
        <w:t xml:space="preserve">executive functioning) that lead </w:t>
      </w:r>
      <w:r>
        <w:rPr>
          <w:w w:val="105"/>
          <w:sz w:val="18"/>
        </w:rPr>
        <w:t xml:space="preserve">to </w:t>
      </w:r>
      <w:r>
        <w:rPr>
          <w:w w:val="105"/>
        </w:rPr>
        <w:t>clinically significant</w:t>
      </w:r>
      <w:r>
        <w:rPr>
          <w:spacing w:val="45"/>
          <w:w w:val="105"/>
        </w:rPr>
        <w:t xml:space="preserve"> </w:t>
      </w:r>
      <w:r>
        <w:rPr>
          <w:w w:val="105"/>
        </w:rPr>
        <w:t>impairment.</w:t>
      </w:r>
    </w:p>
    <w:p w:rsidR="00E675F0" w:rsidRDefault="00E675F0" w:rsidP="00E675F0">
      <w:pPr>
        <w:pStyle w:val="BodyText"/>
        <w:spacing w:before="6" w:line="254" w:lineRule="auto"/>
        <w:ind w:left="147" w:right="115" w:firstLine="366"/>
        <w:jc w:val="both"/>
      </w:pPr>
      <w:r>
        <w:rPr>
          <w:w w:val="105"/>
        </w:rPr>
        <w:t xml:space="preserve">An amnestic disorder must be distinguished from </w:t>
      </w:r>
      <w:r>
        <w:rPr>
          <w:b/>
          <w:w w:val="105"/>
        </w:rPr>
        <w:t xml:space="preserve">Dissociative Amnesia </w:t>
      </w:r>
      <w:r>
        <w:rPr>
          <w:w w:val="105"/>
        </w:rPr>
        <w:t xml:space="preserve">and amnesia occurring in the context of </w:t>
      </w:r>
      <w:r>
        <w:rPr>
          <w:b/>
          <w:w w:val="105"/>
        </w:rPr>
        <w:t xml:space="preserve">other Dissociative Disorders </w:t>
      </w:r>
      <w:r>
        <w:rPr>
          <w:w w:val="105"/>
        </w:rPr>
        <w:t xml:space="preserve">(e.g., </w:t>
      </w:r>
      <w:r>
        <w:rPr>
          <w:b/>
          <w:w w:val="105"/>
        </w:rPr>
        <w:t xml:space="preserve">Dissociative Identity Disorder). </w:t>
      </w:r>
      <w:r>
        <w:rPr>
          <w:w w:val="105"/>
        </w:rPr>
        <w:t>By definition, an amnestic disorder is due to the direct physiological effects of a general medical condition or substance use. Furthermore, amnesia in Dissociative Disorders typically does not involve deficits in learning and recalling new information; rather, individuals present with a circumscribed inability to recall previous memories, usually of a traumatic or stressful nature.</w:t>
      </w:r>
    </w:p>
    <w:p w:rsidR="00E675F0" w:rsidRDefault="00E675F0" w:rsidP="00E675F0">
      <w:pPr>
        <w:pStyle w:val="BodyText"/>
        <w:spacing w:line="254" w:lineRule="auto"/>
        <w:ind w:left="144" w:right="115" w:firstLine="368"/>
        <w:jc w:val="both"/>
      </w:pPr>
      <w:r>
        <w:rPr>
          <w:w w:val="105"/>
        </w:rPr>
        <w:t xml:space="preserve">For memory disturbances (e.g., blackouts) that occur only during intoxication with or withdrawal from a drug of abuse, the appropriate </w:t>
      </w:r>
      <w:r>
        <w:rPr>
          <w:b/>
          <w:w w:val="105"/>
        </w:rPr>
        <w:t xml:space="preserve">Substance Intoxication </w:t>
      </w:r>
      <w:r>
        <w:rPr>
          <w:w w:val="105"/>
        </w:rPr>
        <w:t xml:space="preserve">or </w:t>
      </w:r>
      <w:r>
        <w:rPr>
          <w:b/>
          <w:w w:val="105"/>
        </w:rPr>
        <w:t xml:space="preserve">Substance Withdrawal </w:t>
      </w:r>
      <w:r>
        <w:rPr>
          <w:w w:val="105"/>
        </w:rPr>
        <w:t>should be diagnosed and a separate amnestic disorder diagnosis is not made. For memory disturbances that are associated with the use of medication, Adverse Effects of Medication Not Otherwise Specified (p. 680) may be noted, with the medication indicated by the use of an E-code (see Appendix</w:t>
      </w:r>
      <w:r>
        <w:rPr>
          <w:spacing w:val="7"/>
          <w:w w:val="105"/>
        </w:rPr>
        <w:t xml:space="preserve"> </w:t>
      </w:r>
      <w:r>
        <w:rPr>
          <w:w w:val="105"/>
        </w:rPr>
        <w:t>G).</w:t>
      </w:r>
    </w:p>
    <w:p w:rsidR="00E675F0" w:rsidRDefault="00E675F0" w:rsidP="00E675F0">
      <w:pPr>
        <w:pStyle w:val="BodyText"/>
        <w:spacing w:line="252" w:lineRule="auto"/>
        <w:ind w:left="136" w:right="115" w:firstLine="373"/>
        <w:jc w:val="both"/>
      </w:pPr>
      <w:r>
        <w:rPr>
          <w:w w:val="110"/>
        </w:rPr>
        <w:t>The</w:t>
      </w:r>
      <w:r>
        <w:rPr>
          <w:spacing w:val="-14"/>
          <w:w w:val="110"/>
        </w:rPr>
        <w:t xml:space="preserve"> </w:t>
      </w:r>
      <w:r>
        <w:rPr>
          <w:w w:val="110"/>
        </w:rPr>
        <w:t>presumed</w:t>
      </w:r>
      <w:r>
        <w:rPr>
          <w:spacing w:val="-12"/>
          <w:w w:val="110"/>
        </w:rPr>
        <w:t xml:space="preserve"> </w:t>
      </w:r>
      <w:r>
        <w:rPr>
          <w:w w:val="110"/>
        </w:rPr>
        <w:t>etiology</w:t>
      </w:r>
      <w:r>
        <w:rPr>
          <w:spacing w:val="-17"/>
          <w:w w:val="110"/>
        </w:rPr>
        <w:t xml:space="preserve"> </w:t>
      </w:r>
      <w:r>
        <w:rPr>
          <w:w w:val="110"/>
        </w:rPr>
        <w:t>of</w:t>
      </w:r>
      <w:r>
        <w:rPr>
          <w:spacing w:val="-12"/>
          <w:w w:val="110"/>
        </w:rPr>
        <w:t xml:space="preserve"> </w:t>
      </w:r>
      <w:r>
        <w:rPr>
          <w:w w:val="110"/>
        </w:rPr>
        <w:t>the</w:t>
      </w:r>
      <w:r>
        <w:rPr>
          <w:spacing w:val="-20"/>
          <w:w w:val="110"/>
        </w:rPr>
        <w:t xml:space="preserve"> </w:t>
      </w:r>
      <w:r>
        <w:rPr>
          <w:w w:val="110"/>
        </w:rPr>
        <w:t>amnestic</w:t>
      </w:r>
      <w:r>
        <w:rPr>
          <w:spacing w:val="-16"/>
          <w:w w:val="110"/>
        </w:rPr>
        <w:t xml:space="preserve"> </w:t>
      </w:r>
      <w:r>
        <w:rPr>
          <w:w w:val="110"/>
        </w:rPr>
        <w:t>disorder</w:t>
      </w:r>
      <w:r>
        <w:rPr>
          <w:spacing w:val="-14"/>
          <w:w w:val="110"/>
        </w:rPr>
        <w:t xml:space="preserve"> </w:t>
      </w:r>
      <w:r>
        <w:rPr>
          <w:w w:val="110"/>
        </w:rPr>
        <w:t>determines</w:t>
      </w:r>
      <w:r>
        <w:rPr>
          <w:spacing w:val="-10"/>
          <w:w w:val="110"/>
        </w:rPr>
        <w:t xml:space="preserve"> </w:t>
      </w:r>
      <w:r>
        <w:rPr>
          <w:w w:val="110"/>
        </w:rPr>
        <w:t>the</w:t>
      </w:r>
      <w:r>
        <w:rPr>
          <w:spacing w:val="-19"/>
          <w:w w:val="110"/>
        </w:rPr>
        <w:t xml:space="preserve"> </w:t>
      </w:r>
      <w:r>
        <w:rPr>
          <w:w w:val="110"/>
        </w:rPr>
        <w:t>diagnosis</w:t>
      </w:r>
      <w:r>
        <w:rPr>
          <w:spacing w:val="-13"/>
          <w:w w:val="110"/>
        </w:rPr>
        <w:t xml:space="preserve"> </w:t>
      </w:r>
      <w:r>
        <w:rPr>
          <w:w w:val="110"/>
        </w:rPr>
        <w:t>(text</w:t>
      </w:r>
      <w:r>
        <w:rPr>
          <w:spacing w:val="-20"/>
          <w:w w:val="110"/>
        </w:rPr>
        <w:t xml:space="preserve"> </w:t>
      </w:r>
      <w:r>
        <w:rPr>
          <w:w w:val="110"/>
        </w:rPr>
        <w:t>and criteria</w:t>
      </w:r>
      <w:r>
        <w:rPr>
          <w:spacing w:val="-29"/>
          <w:w w:val="110"/>
        </w:rPr>
        <w:t xml:space="preserve"> </w:t>
      </w:r>
      <w:r>
        <w:rPr>
          <w:w w:val="110"/>
        </w:rPr>
        <w:t>for</w:t>
      </w:r>
      <w:r>
        <w:rPr>
          <w:spacing w:val="-34"/>
          <w:w w:val="110"/>
        </w:rPr>
        <w:t xml:space="preserve"> </w:t>
      </w:r>
      <w:r>
        <w:rPr>
          <w:w w:val="110"/>
        </w:rPr>
        <w:t>each</w:t>
      </w:r>
      <w:r>
        <w:rPr>
          <w:spacing w:val="-32"/>
          <w:w w:val="110"/>
        </w:rPr>
        <w:t xml:space="preserve"> </w:t>
      </w:r>
      <w:r>
        <w:rPr>
          <w:w w:val="110"/>
        </w:rPr>
        <w:t>amnestic</w:t>
      </w:r>
      <w:r>
        <w:rPr>
          <w:spacing w:val="-28"/>
          <w:w w:val="110"/>
        </w:rPr>
        <w:t xml:space="preserve"> </w:t>
      </w:r>
      <w:r>
        <w:rPr>
          <w:w w:val="110"/>
        </w:rPr>
        <w:t>disorder</w:t>
      </w:r>
      <w:r>
        <w:rPr>
          <w:spacing w:val="-31"/>
          <w:w w:val="110"/>
        </w:rPr>
        <w:t xml:space="preserve"> </w:t>
      </w:r>
      <w:r>
        <w:rPr>
          <w:w w:val="110"/>
        </w:rPr>
        <w:t>diagnosis</w:t>
      </w:r>
      <w:r>
        <w:rPr>
          <w:spacing w:val="-29"/>
          <w:w w:val="110"/>
        </w:rPr>
        <w:t xml:space="preserve"> </w:t>
      </w:r>
      <w:r>
        <w:rPr>
          <w:w w:val="110"/>
        </w:rPr>
        <w:t>are</w:t>
      </w:r>
      <w:r>
        <w:rPr>
          <w:spacing w:val="-31"/>
          <w:w w:val="110"/>
        </w:rPr>
        <w:t xml:space="preserve"> </w:t>
      </w:r>
      <w:r>
        <w:rPr>
          <w:w w:val="110"/>
        </w:rPr>
        <w:t>provided</w:t>
      </w:r>
      <w:r>
        <w:rPr>
          <w:spacing w:val="-29"/>
          <w:w w:val="110"/>
        </w:rPr>
        <w:t xml:space="preserve"> </w:t>
      </w:r>
      <w:r>
        <w:rPr>
          <w:w w:val="110"/>
        </w:rPr>
        <w:t>separately</w:t>
      </w:r>
      <w:r>
        <w:rPr>
          <w:spacing w:val="-31"/>
          <w:w w:val="110"/>
        </w:rPr>
        <w:t xml:space="preserve"> </w:t>
      </w:r>
      <w:r>
        <w:rPr>
          <w:w w:val="110"/>
        </w:rPr>
        <w:t>later</w:t>
      </w:r>
      <w:r>
        <w:rPr>
          <w:spacing w:val="-31"/>
          <w:w w:val="110"/>
        </w:rPr>
        <w:t xml:space="preserve"> </w:t>
      </w:r>
      <w:r>
        <w:rPr>
          <w:w w:val="110"/>
        </w:rPr>
        <w:t>in</w:t>
      </w:r>
      <w:r>
        <w:rPr>
          <w:spacing w:val="-34"/>
          <w:w w:val="110"/>
        </w:rPr>
        <w:t xml:space="preserve"> </w:t>
      </w:r>
      <w:r>
        <w:rPr>
          <w:w w:val="110"/>
        </w:rPr>
        <w:t>this</w:t>
      </w:r>
      <w:r>
        <w:rPr>
          <w:spacing w:val="-38"/>
          <w:w w:val="110"/>
        </w:rPr>
        <w:t xml:space="preserve"> </w:t>
      </w:r>
      <w:r>
        <w:rPr>
          <w:w w:val="110"/>
        </w:rPr>
        <w:t xml:space="preserve">section). </w:t>
      </w:r>
      <w:r>
        <w:rPr>
          <w:rFonts w:ascii="Arial"/>
          <w:w w:val="110"/>
        </w:rPr>
        <w:t>If</w:t>
      </w:r>
      <w:r>
        <w:rPr>
          <w:rFonts w:ascii="Arial"/>
          <w:spacing w:val="-6"/>
          <w:w w:val="110"/>
        </w:rPr>
        <w:t xml:space="preserve"> </w:t>
      </w:r>
      <w:r>
        <w:rPr>
          <w:w w:val="110"/>
        </w:rPr>
        <w:t>it</w:t>
      </w:r>
      <w:r>
        <w:rPr>
          <w:spacing w:val="-18"/>
          <w:w w:val="110"/>
        </w:rPr>
        <w:t xml:space="preserve"> </w:t>
      </w:r>
      <w:r>
        <w:rPr>
          <w:w w:val="110"/>
        </w:rPr>
        <w:t>is</w:t>
      </w:r>
      <w:r>
        <w:rPr>
          <w:spacing w:val="-6"/>
          <w:w w:val="110"/>
        </w:rPr>
        <w:t xml:space="preserve"> </w:t>
      </w:r>
      <w:r>
        <w:rPr>
          <w:w w:val="110"/>
        </w:rPr>
        <w:t>judged</w:t>
      </w:r>
      <w:r>
        <w:rPr>
          <w:spacing w:val="-4"/>
          <w:w w:val="110"/>
        </w:rPr>
        <w:t xml:space="preserve"> </w:t>
      </w:r>
      <w:r>
        <w:rPr>
          <w:w w:val="110"/>
        </w:rPr>
        <w:t>that</w:t>
      </w:r>
      <w:r>
        <w:rPr>
          <w:spacing w:val="-9"/>
          <w:w w:val="110"/>
        </w:rPr>
        <w:t xml:space="preserve"> </w:t>
      </w:r>
      <w:r>
        <w:rPr>
          <w:w w:val="110"/>
        </w:rPr>
        <w:t>the</w:t>
      </w:r>
      <w:r>
        <w:rPr>
          <w:spacing w:val="-15"/>
          <w:w w:val="110"/>
        </w:rPr>
        <w:t xml:space="preserve"> </w:t>
      </w:r>
      <w:r>
        <w:rPr>
          <w:w w:val="110"/>
        </w:rPr>
        <w:t>memory</w:t>
      </w:r>
      <w:r>
        <w:rPr>
          <w:spacing w:val="-7"/>
          <w:w w:val="110"/>
        </w:rPr>
        <w:t xml:space="preserve"> </w:t>
      </w:r>
      <w:r>
        <w:rPr>
          <w:w w:val="110"/>
        </w:rPr>
        <w:t>disturbance</w:t>
      </w:r>
      <w:r>
        <w:rPr>
          <w:spacing w:val="-10"/>
          <w:w w:val="110"/>
        </w:rPr>
        <w:t xml:space="preserve"> </w:t>
      </w:r>
      <w:r>
        <w:rPr>
          <w:w w:val="110"/>
        </w:rPr>
        <w:t>is</w:t>
      </w:r>
      <w:r>
        <w:rPr>
          <w:spacing w:val="-17"/>
          <w:w w:val="110"/>
        </w:rPr>
        <w:t xml:space="preserve"> </w:t>
      </w:r>
      <w:r>
        <w:rPr>
          <w:w w:val="110"/>
        </w:rPr>
        <w:t>a</w:t>
      </w:r>
      <w:r>
        <w:rPr>
          <w:spacing w:val="-17"/>
          <w:w w:val="110"/>
        </w:rPr>
        <w:t xml:space="preserve"> </w:t>
      </w:r>
      <w:r>
        <w:rPr>
          <w:w w:val="110"/>
        </w:rPr>
        <w:t>consequence</w:t>
      </w:r>
      <w:r>
        <w:rPr>
          <w:spacing w:val="-5"/>
          <w:w w:val="110"/>
        </w:rPr>
        <w:t xml:space="preserve"> </w:t>
      </w:r>
      <w:r>
        <w:rPr>
          <w:w w:val="110"/>
        </w:rPr>
        <w:t>of</w:t>
      </w:r>
      <w:r>
        <w:rPr>
          <w:spacing w:val="-8"/>
          <w:w w:val="110"/>
        </w:rPr>
        <w:t xml:space="preserve"> </w:t>
      </w:r>
      <w:r>
        <w:rPr>
          <w:w w:val="110"/>
        </w:rPr>
        <w:t>the</w:t>
      </w:r>
      <w:r>
        <w:rPr>
          <w:spacing w:val="-15"/>
          <w:w w:val="110"/>
        </w:rPr>
        <w:t xml:space="preserve"> </w:t>
      </w:r>
      <w:r>
        <w:rPr>
          <w:w w:val="110"/>
        </w:rPr>
        <w:t>direct</w:t>
      </w:r>
      <w:r>
        <w:rPr>
          <w:spacing w:val="-6"/>
          <w:w w:val="110"/>
        </w:rPr>
        <w:t xml:space="preserve"> </w:t>
      </w:r>
      <w:r>
        <w:rPr>
          <w:w w:val="110"/>
        </w:rPr>
        <w:t>physiological effects</w:t>
      </w:r>
      <w:r>
        <w:rPr>
          <w:spacing w:val="-37"/>
          <w:w w:val="110"/>
        </w:rPr>
        <w:t xml:space="preserve"> </w:t>
      </w:r>
      <w:r>
        <w:rPr>
          <w:w w:val="110"/>
        </w:rPr>
        <w:t>of</w:t>
      </w:r>
      <w:r>
        <w:rPr>
          <w:spacing w:val="-28"/>
          <w:w w:val="110"/>
        </w:rPr>
        <w:t xml:space="preserve"> </w:t>
      </w:r>
      <w:r>
        <w:rPr>
          <w:w w:val="110"/>
        </w:rPr>
        <w:t>a</w:t>
      </w:r>
      <w:r>
        <w:rPr>
          <w:spacing w:val="-33"/>
          <w:w w:val="110"/>
        </w:rPr>
        <w:t xml:space="preserve"> </w:t>
      </w:r>
      <w:r>
        <w:rPr>
          <w:w w:val="110"/>
        </w:rPr>
        <w:t>general</w:t>
      </w:r>
      <w:r>
        <w:rPr>
          <w:spacing w:val="-28"/>
          <w:w w:val="110"/>
        </w:rPr>
        <w:t xml:space="preserve"> </w:t>
      </w:r>
      <w:r>
        <w:rPr>
          <w:w w:val="110"/>
        </w:rPr>
        <w:t>medical</w:t>
      </w:r>
      <w:r>
        <w:rPr>
          <w:spacing w:val="-30"/>
          <w:w w:val="110"/>
        </w:rPr>
        <w:t xml:space="preserve"> </w:t>
      </w:r>
      <w:r>
        <w:rPr>
          <w:w w:val="110"/>
        </w:rPr>
        <w:t>condition</w:t>
      </w:r>
      <w:r>
        <w:rPr>
          <w:spacing w:val="-28"/>
          <w:w w:val="110"/>
        </w:rPr>
        <w:t xml:space="preserve"> </w:t>
      </w:r>
      <w:r>
        <w:rPr>
          <w:w w:val="110"/>
        </w:rPr>
        <w:t>(including</w:t>
      </w:r>
      <w:r>
        <w:rPr>
          <w:spacing w:val="-24"/>
          <w:w w:val="110"/>
        </w:rPr>
        <w:t xml:space="preserve"> </w:t>
      </w:r>
      <w:r>
        <w:rPr>
          <w:w w:val="110"/>
        </w:rPr>
        <w:t>head</w:t>
      </w:r>
      <w:r>
        <w:rPr>
          <w:spacing w:val="-29"/>
          <w:w w:val="110"/>
        </w:rPr>
        <w:t xml:space="preserve"> </w:t>
      </w:r>
      <w:r>
        <w:rPr>
          <w:w w:val="110"/>
        </w:rPr>
        <w:t>trauma),</w:t>
      </w:r>
      <w:r>
        <w:rPr>
          <w:spacing w:val="-26"/>
          <w:w w:val="110"/>
        </w:rPr>
        <w:t xml:space="preserve"> </w:t>
      </w:r>
      <w:r>
        <w:rPr>
          <w:w w:val="110"/>
        </w:rPr>
        <w:t>then</w:t>
      </w:r>
      <w:r>
        <w:rPr>
          <w:spacing w:val="-33"/>
          <w:w w:val="110"/>
        </w:rPr>
        <w:t xml:space="preserve"> </w:t>
      </w:r>
      <w:r>
        <w:rPr>
          <w:b/>
          <w:w w:val="110"/>
        </w:rPr>
        <w:t>Amnestic</w:t>
      </w:r>
      <w:r>
        <w:rPr>
          <w:b/>
          <w:spacing w:val="-37"/>
          <w:w w:val="110"/>
        </w:rPr>
        <w:t xml:space="preserve"> </w:t>
      </w:r>
      <w:r>
        <w:rPr>
          <w:b/>
          <w:w w:val="110"/>
        </w:rPr>
        <w:t>Disorder Due</w:t>
      </w:r>
      <w:r>
        <w:rPr>
          <w:b/>
          <w:spacing w:val="-19"/>
          <w:w w:val="110"/>
        </w:rPr>
        <w:t xml:space="preserve"> </w:t>
      </w:r>
      <w:r>
        <w:rPr>
          <w:b/>
          <w:w w:val="110"/>
        </w:rPr>
        <w:t>to</w:t>
      </w:r>
      <w:r>
        <w:rPr>
          <w:b/>
          <w:spacing w:val="-15"/>
          <w:w w:val="110"/>
        </w:rPr>
        <w:t xml:space="preserve"> </w:t>
      </w:r>
      <w:r>
        <w:rPr>
          <w:b/>
          <w:w w:val="110"/>
        </w:rPr>
        <w:t>a</w:t>
      </w:r>
      <w:r>
        <w:rPr>
          <w:b/>
          <w:spacing w:val="-20"/>
          <w:w w:val="110"/>
        </w:rPr>
        <w:t xml:space="preserve"> </w:t>
      </w:r>
      <w:r>
        <w:rPr>
          <w:b/>
          <w:w w:val="110"/>
        </w:rPr>
        <w:t>General</w:t>
      </w:r>
      <w:r>
        <w:rPr>
          <w:b/>
          <w:spacing w:val="-21"/>
          <w:w w:val="110"/>
        </w:rPr>
        <w:t xml:space="preserve"> </w:t>
      </w:r>
      <w:r>
        <w:rPr>
          <w:b/>
          <w:w w:val="110"/>
        </w:rPr>
        <w:t>Medical</w:t>
      </w:r>
      <w:r>
        <w:rPr>
          <w:b/>
          <w:spacing w:val="-16"/>
          <w:w w:val="110"/>
        </w:rPr>
        <w:t xml:space="preserve"> </w:t>
      </w:r>
      <w:r>
        <w:rPr>
          <w:b/>
          <w:w w:val="110"/>
        </w:rPr>
        <w:t>Condition</w:t>
      </w:r>
      <w:r>
        <w:rPr>
          <w:b/>
          <w:spacing w:val="-8"/>
          <w:w w:val="110"/>
        </w:rPr>
        <w:t xml:space="preserve"> </w:t>
      </w:r>
      <w:r>
        <w:rPr>
          <w:w w:val="110"/>
        </w:rPr>
        <w:t>is</w:t>
      </w:r>
      <w:r>
        <w:rPr>
          <w:spacing w:val="-11"/>
          <w:w w:val="110"/>
        </w:rPr>
        <w:t xml:space="preserve"> </w:t>
      </w:r>
      <w:r>
        <w:rPr>
          <w:w w:val="110"/>
        </w:rPr>
        <w:t>diagnosed.</w:t>
      </w:r>
      <w:r>
        <w:rPr>
          <w:spacing w:val="-8"/>
          <w:w w:val="110"/>
        </w:rPr>
        <w:t xml:space="preserve"> </w:t>
      </w:r>
      <w:r>
        <w:rPr>
          <w:rFonts w:ascii="Arial"/>
          <w:w w:val="110"/>
        </w:rPr>
        <w:t>If</w:t>
      </w:r>
      <w:r>
        <w:rPr>
          <w:rFonts w:ascii="Arial"/>
          <w:spacing w:val="-2"/>
          <w:w w:val="110"/>
        </w:rPr>
        <w:t xml:space="preserve"> </w:t>
      </w:r>
      <w:r>
        <w:rPr>
          <w:w w:val="110"/>
        </w:rPr>
        <w:t>the</w:t>
      </w:r>
      <w:r>
        <w:rPr>
          <w:spacing w:val="-10"/>
          <w:w w:val="110"/>
        </w:rPr>
        <w:t xml:space="preserve"> </w:t>
      </w:r>
      <w:r>
        <w:rPr>
          <w:w w:val="110"/>
        </w:rPr>
        <w:t>memory</w:t>
      </w:r>
      <w:r>
        <w:rPr>
          <w:spacing w:val="-5"/>
          <w:w w:val="110"/>
        </w:rPr>
        <w:t xml:space="preserve"> </w:t>
      </w:r>
      <w:r>
        <w:rPr>
          <w:w w:val="110"/>
        </w:rPr>
        <w:t xml:space="preserve">disturbance results from the persisting effects of a substance (i.e., a drug of abuse, a medication, or toxin exposure), then </w:t>
      </w:r>
      <w:r>
        <w:rPr>
          <w:b/>
          <w:w w:val="110"/>
        </w:rPr>
        <w:t xml:space="preserve">Substance-Induced Persisting Amnestic Disorder </w:t>
      </w:r>
      <w:r>
        <w:rPr>
          <w:w w:val="110"/>
        </w:rPr>
        <w:t xml:space="preserve">is diagnosed. When both a substance (e.g., alcohol) and a general medical condition (e.g., head trauma) have had an etiological role in the development of the memory disturbance, both diagnoses are given. </w:t>
      </w:r>
      <w:r>
        <w:rPr>
          <w:rFonts w:ascii="Arial"/>
          <w:w w:val="110"/>
        </w:rPr>
        <w:t xml:space="preserve">If </w:t>
      </w:r>
      <w:r>
        <w:rPr>
          <w:w w:val="110"/>
        </w:rPr>
        <w:t xml:space="preserve">it is not possible to establish a specific etiology (i.e., dissociative, substance induced, or due to a general medical condition), </w:t>
      </w:r>
      <w:r>
        <w:rPr>
          <w:b/>
          <w:w w:val="110"/>
        </w:rPr>
        <w:t xml:space="preserve">Amnestic Disorder Not Otherwise Specified </w:t>
      </w:r>
      <w:r>
        <w:rPr>
          <w:w w:val="110"/>
        </w:rPr>
        <w:t>is</w:t>
      </w:r>
      <w:r>
        <w:rPr>
          <w:spacing w:val="-27"/>
          <w:w w:val="110"/>
        </w:rPr>
        <w:t xml:space="preserve"> </w:t>
      </w:r>
      <w:r>
        <w:rPr>
          <w:w w:val="110"/>
        </w:rPr>
        <w:t>diagnosed.</w:t>
      </w:r>
    </w:p>
    <w:p w:rsidR="00E675F0" w:rsidRDefault="00E675F0" w:rsidP="00E675F0">
      <w:pPr>
        <w:pStyle w:val="BodyText"/>
        <w:spacing w:line="252" w:lineRule="auto"/>
        <w:ind w:left="157" w:right="119" w:firstLine="361"/>
        <w:jc w:val="both"/>
      </w:pPr>
      <w:r>
        <w:rPr>
          <w:w w:val="105"/>
        </w:rPr>
        <w:t xml:space="preserve">Amnestic disorder must be distinguished from </w:t>
      </w:r>
      <w:r>
        <w:rPr>
          <w:b/>
          <w:w w:val="105"/>
        </w:rPr>
        <w:t xml:space="preserve">Malingering </w:t>
      </w:r>
      <w:r>
        <w:rPr>
          <w:w w:val="105"/>
        </w:rPr>
        <w:t xml:space="preserve">and from </w:t>
      </w:r>
      <w:r>
        <w:rPr>
          <w:b/>
          <w:w w:val="105"/>
        </w:rPr>
        <w:t xml:space="preserve">Factitious Disorder. </w:t>
      </w:r>
      <w:r>
        <w:rPr>
          <w:w w:val="105"/>
        </w:rPr>
        <w:t>This difficult distinction can be assisted by systematic memory testing (which often</w:t>
      </w:r>
      <w:r>
        <w:rPr>
          <w:spacing w:val="-11"/>
          <w:w w:val="105"/>
        </w:rPr>
        <w:t xml:space="preserve"> </w:t>
      </w:r>
      <w:r>
        <w:rPr>
          <w:w w:val="105"/>
        </w:rPr>
        <w:t>yields</w:t>
      </w:r>
      <w:r>
        <w:rPr>
          <w:spacing w:val="-11"/>
          <w:w w:val="105"/>
        </w:rPr>
        <w:t xml:space="preserve"> </w:t>
      </w:r>
      <w:r>
        <w:rPr>
          <w:w w:val="105"/>
        </w:rPr>
        <w:t>inconsistent</w:t>
      </w:r>
      <w:r>
        <w:rPr>
          <w:spacing w:val="3"/>
          <w:w w:val="105"/>
        </w:rPr>
        <w:t xml:space="preserve"> </w:t>
      </w:r>
      <w:r>
        <w:rPr>
          <w:w w:val="105"/>
        </w:rPr>
        <w:t>results</w:t>
      </w:r>
      <w:r>
        <w:rPr>
          <w:spacing w:val="-14"/>
          <w:w w:val="105"/>
        </w:rPr>
        <w:t xml:space="preserve"> </w:t>
      </w:r>
      <w:r>
        <w:rPr>
          <w:w w:val="105"/>
        </w:rPr>
        <w:t>in</w:t>
      </w:r>
      <w:r>
        <w:rPr>
          <w:spacing w:val="-14"/>
          <w:w w:val="105"/>
        </w:rPr>
        <w:t xml:space="preserve"> </w:t>
      </w:r>
      <w:r>
        <w:rPr>
          <w:w w:val="105"/>
        </w:rPr>
        <w:t>Factitious</w:t>
      </w:r>
      <w:r>
        <w:rPr>
          <w:spacing w:val="-7"/>
          <w:w w:val="105"/>
        </w:rPr>
        <w:t xml:space="preserve"> </w:t>
      </w:r>
      <w:r>
        <w:rPr>
          <w:w w:val="105"/>
        </w:rPr>
        <w:t>Disorder</w:t>
      </w:r>
      <w:r>
        <w:rPr>
          <w:spacing w:val="-7"/>
          <w:w w:val="105"/>
        </w:rPr>
        <w:t xml:space="preserve"> </w:t>
      </w:r>
      <w:r>
        <w:rPr>
          <w:w w:val="105"/>
        </w:rPr>
        <w:t>or</w:t>
      </w:r>
      <w:r>
        <w:rPr>
          <w:spacing w:val="-20"/>
          <w:w w:val="105"/>
        </w:rPr>
        <w:t xml:space="preserve"> </w:t>
      </w:r>
      <w:r>
        <w:rPr>
          <w:w w:val="105"/>
        </w:rPr>
        <w:t>Malingering)</w:t>
      </w:r>
      <w:r>
        <w:rPr>
          <w:spacing w:val="-7"/>
          <w:w w:val="105"/>
        </w:rPr>
        <w:t xml:space="preserve"> </w:t>
      </w:r>
      <w:r>
        <w:rPr>
          <w:w w:val="105"/>
        </w:rPr>
        <w:t>and</w:t>
      </w:r>
      <w:r>
        <w:rPr>
          <w:spacing w:val="-6"/>
          <w:w w:val="105"/>
        </w:rPr>
        <w:t xml:space="preserve"> </w:t>
      </w:r>
      <w:r>
        <w:rPr>
          <w:w w:val="105"/>
        </w:rPr>
        <w:t>by</w:t>
      </w:r>
      <w:r>
        <w:rPr>
          <w:spacing w:val="-16"/>
          <w:w w:val="105"/>
        </w:rPr>
        <w:t xml:space="preserve"> </w:t>
      </w:r>
      <w:r>
        <w:rPr>
          <w:w w:val="105"/>
        </w:rPr>
        <w:t>the</w:t>
      </w:r>
      <w:r>
        <w:rPr>
          <w:spacing w:val="-18"/>
          <w:w w:val="105"/>
        </w:rPr>
        <w:t xml:space="preserve"> </w:t>
      </w:r>
      <w:r>
        <w:rPr>
          <w:w w:val="105"/>
        </w:rPr>
        <w:t>absence of</w:t>
      </w:r>
      <w:r>
        <w:rPr>
          <w:spacing w:val="-7"/>
          <w:w w:val="105"/>
        </w:rPr>
        <w:t xml:space="preserve"> </w:t>
      </w:r>
      <w:r>
        <w:rPr>
          <w:w w:val="105"/>
        </w:rPr>
        <w:t>a</w:t>
      </w:r>
      <w:r>
        <w:rPr>
          <w:spacing w:val="-15"/>
          <w:w w:val="105"/>
        </w:rPr>
        <w:t xml:space="preserve"> </w:t>
      </w:r>
      <w:r>
        <w:rPr>
          <w:w w:val="105"/>
        </w:rPr>
        <w:t>general</w:t>
      </w:r>
      <w:r>
        <w:rPr>
          <w:spacing w:val="-7"/>
          <w:w w:val="105"/>
        </w:rPr>
        <w:t xml:space="preserve"> </w:t>
      </w:r>
      <w:r>
        <w:rPr>
          <w:w w:val="105"/>
        </w:rPr>
        <w:t>medical</w:t>
      </w:r>
      <w:r>
        <w:rPr>
          <w:spacing w:val="-5"/>
          <w:w w:val="105"/>
        </w:rPr>
        <w:t xml:space="preserve"> </w:t>
      </w:r>
      <w:r>
        <w:rPr>
          <w:w w:val="105"/>
        </w:rPr>
        <w:t>condition</w:t>
      </w:r>
      <w:r>
        <w:rPr>
          <w:spacing w:val="-2"/>
          <w:w w:val="105"/>
        </w:rPr>
        <w:t xml:space="preserve"> </w:t>
      </w:r>
      <w:r>
        <w:rPr>
          <w:w w:val="105"/>
        </w:rPr>
        <w:t>or</w:t>
      </w:r>
      <w:r>
        <w:rPr>
          <w:spacing w:val="-11"/>
          <w:w w:val="105"/>
        </w:rPr>
        <w:t xml:space="preserve"> </w:t>
      </w:r>
      <w:r>
        <w:rPr>
          <w:w w:val="105"/>
        </w:rPr>
        <w:t>substance</w:t>
      </w:r>
      <w:r>
        <w:rPr>
          <w:spacing w:val="1"/>
          <w:w w:val="105"/>
        </w:rPr>
        <w:t xml:space="preserve"> </w:t>
      </w:r>
      <w:r>
        <w:rPr>
          <w:w w:val="105"/>
        </w:rPr>
        <w:t>use</w:t>
      </w:r>
      <w:r>
        <w:rPr>
          <w:spacing w:val="-15"/>
          <w:w w:val="105"/>
        </w:rPr>
        <w:t xml:space="preserve"> </w:t>
      </w:r>
      <w:r>
        <w:rPr>
          <w:w w:val="105"/>
        </w:rPr>
        <w:t>that</w:t>
      </w:r>
      <w:r>
        <w:rPr>
          <w:spacing w:val="-3"/>
          <w:w w:val="105"/>
        </w:rPr>
        <w:t xml:space="preserve"> </w:t>
      </w:r>
      <w:r>
        <w:rPr>
          <w:w w:val="105"/>
        </w:rPr>
        <w:t>is</w:t>
      </w:r>
      <w:r>
        <w:rPr>
          <w:spacing w:val="-21"/>
          <w:w w:val="105"/>
        </w:rPr>
        <w:t xml:space="preserve"> </w:t>
      </w:r>
      <w:r>
        <w:rPr>
          <w:w w:val="105"/>
        </w:rPr>
        <w:t>etiologically related</w:t>
      </w:r>
      <w:r>
        <w:rPr>
          <w:spacing w:val="-5"/>
          <w:w w:val="105"/>
        </w:rPr>
        <w:t xml:space="preserve"> </w:t>
      </w:r>
      <w:r>
        <w:rPr>
          <w:w w:val="105"/>
        </w:rPr>
        <w:t>to</w:t>
      </w:r>
      <w:r>
        <w:rPr>
          <w:spacing w:val="-15"/>
          <w:w w:val="105"/>
        </w:rPr>
        <w:t xml:space="preserve"> </w:t>
      </w:r>
      <w:r>
        <w:rPr>
          <w:w w:val="105"/>
        </w:rPr>
        <w:t>the</w:t>
      </w:r>
      <w:r>
        <w:rPr>
          <w:spacing w:val="-14"/>
          <w:w w:val="105"/>
        </w:rPr>
        <w:t xml:space="preserve"> </w:t>
      </w:r>
      <w:r>
        <w:rPr>
          <w:w w:val="105"/>
        </w:rPr>
        <w:t>memory impairment.</w:t>
      </w:r>
    </w:p>
    <w:p w:rsidR="00E675F0" w:rsidRDefault="00E675F0" w:rsidP="00E675F0">
      <w:pPr>
        <w:pStyle w:val="BodyText"/>
        <w:spacing w:before="1" w:line="256" w:lineRule="auto"/>
        <w:ind w:left="162" w:right="119" w:firstLine="351"/>
        <w:jc w:val="both"/>
      </w:pPr>
      <w:r>
        <w:rPr>
          <w:w w:val="105"/>
        </w:rPr>
        <w:t xml:space="preserve">Amnestic disorder should be distinguished from the less efficient memory charac­ teristic of </w:t>
      </w:r>
      <w:r>
        <w:rPr>
          <w:b/>
          <w:w w:val="105"/>
        </w:rPr>
        <w:t xml:space="preserve">Age-Related Cognitive Decline, </w:t>
      </w:r>
      <w:r>
        <w:rPr>
          <w:w w:val="105"/>
        </w:rPr>
        <w:t>which is within the expected age-adjusted normative range for the individual.</w:t>
      </w:r>
    </w:p>
    <w:p w:rsidR="00E675F0" w:rsidRDefault="00E675F0" w:rsidP="00E675F0">
      <w:pPr>
        <w:pStyle w:val="BodyText"/>
        <w:rPr>
          <w:sz w:val="22"/>
        </w:rPr>
      </w:pPr>
    </w:p>
    <w:p w:rsidR="00E675F0" w:rsidRDefault="00E675F0" w:rsidP="00E675F0">
      <w:pPr>
        <w:pStyle w:val="BodyText"/>
      </w:pPr>
    </w:p>
    <w:p w:rsidR="00E675F0" w:rsidRDefault="00E675F0" w:rsidP="00E675F0">
      <w:pPr>
        <w:tabs>
          <w:tab w:val="left" w:pos="3190"/>
        </w:tabs>
        <w:ind w:left="2279"/>
        <w:rPr>
          <w:rFonts w:ascii="Arial"/>
          <w:b/>
          <w:sz w:val="26"/>
        </w:rPr>
      </w:pPr>
      <w:r>
        <w:rPr>
          <w:rFonts w:ascii="Arial"/>
          <w:b/>
          <w:sz w:val="26"/>
        </w:rPr>
        <w:t>294.0</w:t>
      </w:r>
      <w:r>
        <w:rPr>
          <w:rFonts w:ascii="Arial"/>
          <w:b/>
          <w:sz w:val="26"/>
        </w:rPr>
        <w:tab/>
        <w:t>Amnestic</w:t>
      </w:r>
      <w:r>
        <w:rPr>
          <w:rFonts w:ascii="Arial"/>
          <w:b/>
          <w:spacing w:val="21"/>
          <w:sz w:val="26"/>
        </w:rPr>
        <w:t xml:space="preserve"> </w:t>
      </w:r>
      <w:r>
        <w:rPr>
          <w:rFonts w:ascii="Arial"/>
          <w:b/>
          <w:sz w:val="26"/>
        </w:rPr>
        <w:t>Disorder</w:t>
      </w:r>
    </w:p>
    <w:p w:rsidR="00E675F0" w:rsidRDefault="00E675F0" w:rsidP="00E675F0">
      <w:pPr>
        <w:spacing w:before="4"/>
        <w:ind w:left="1622"/>
        <w:rPr>
          <w:rFonts w:ascii="Arial"/>
          <w:b/>
          <w:sz w:val="26"/>
        </w:rPr>
      </w:pPr>
      <w:r>
        <w:rPr>
          <w:rFonts w:ascii="Arial"/>
          <w:b/>
          <w:w w:val="105"/>
          <w:sz w:val="26"/>
        </w:rPr>
        <w:t>Due to a General Medical Condition</w:t>
      </w:r>
    </w:p>
    <w:p w:rsidR="00E675F0" w:rsidRDefault="00E675F0" w:rsidP="00E675F0">
      <w:pPr>
        <w:pStyle w:val="BodyText"/>
        <w:spacing w:before="9"/>
        <w:rPr>
          <w:rFonts w:ascii="Arial"/>
          <w:b/>
          <w:sz w:val="23"/>
        </w:rPr>
      </w:pPr>
    </w:p>
    <w:p w:rsidR="00E675F0" w:rsidRDefault="00E675F0" w:rsidP="00E675F0">
      <w:pPr>
        <w:ind w:left="140"/>
        <w:jc w:val="both"/>
        <w:rPr>
          <w:rFonts w:ascii="TimesNewRomanPS-BoldItalicMT"/>
          <w:b/>
          <w:i/>
          <w:sz w:val="25"/>
        </w:rPr>
      </w:pPr>
      <w:r>
        <w:rPr>
          <w:rFonts w:ascii="TimesNewRomanPS-BoldItalicMT"/>
          <w:b/>
          <w:i/>
          <w:w w:val="110"/>
          <w:sz w:val="25"/>
        </w:rPr>
        <w:t>Diagnostic and Associated Features</w:t>
      </w:r>
    </w:p>
    <w:p w:rsidR="00E675F0" w:rsidRDefault="00E675F0" w:rsidP="00E675F0">
      <w:pPr>
        <w:pStyle w:val="BodyText"/>
        <w:spacing w:before="135" w:line="256" w:lineRule="auto"/>
        <w:ind w:left="151" w:right="121" w:hanging="8"/>
        <w:jc w:val="both"/>
      </w:pPr>
      <w:r>
        <w:rPr>
          <w:w w:val="105"/>
        </w:rPr>
        <w:t>The descriptive features of Amnestic Disorder Due to a General Medical Condition (Criteria A-C) are discussed on p. 156. In addition, the diagnosis requires that there must</w:t>
      </w:r>
    </w:p>
    <w:p w:rsidR="00E675F0" w:rsidRDefault="00E675F0" w:rsidP="00E675F0">
      <w:pPr>
        <w:spacing w:line="256" w:lineRule="auto"/>
        <w:jc w:val="both"/>
        <w:sectPr w:rsidR="00E675F0">
          <w:pgSz w:w="8960" w:h="14260"/>
          <w:pgMar w:top="920" w:right="600" w:bottom="280" w:left="600" w:header="688" w:footer="0" w:gutter="0"/>
          <w:cols w:space="720"/>
        </w:sectPr>
      </w:pPr>
    </w:p>
    <w:p w:rsidR="00E675F0" w:rsidRDefault="00E675F0" w:rsidP="00E675F0">
      <w:pPr>
        <w:pStyle w:val="BodyText"/>
      </w:pPr>
    </w:p>
    <w:p w:rsidR="00E675F0" w:rsidRDefault="00E675F0" w:rsidP="00E675F0">
      <w:pPr>
        <w:pStyle w:val="BodyText"/>
        <w:spacing w:before="3"/>
        <w:rPr>
          <w:sz w:val="19"/>
        </w:rPr>
      </w:pPr>
    </w:p>
    <w:p w:rsidR="00E675F0" w:rsidRDefault="00E675F0" w:rsidP="00E675F0">
      <w:pPr>
        <w:pStyle w:val="BodyText"/>
        <w:spacing w:before="92" w:line="247" w:lineRule="auto"/>
        <w:ind w:left="137" w:right="142" w:firstLine="7"/>
        <w:jc w:val="both"/>
      </w:pPr>
      <w:r>
        <w:rPr>
          <w:w w:val="105"/>
        </w:rPr>
        <w:t>be evidence from the history, physical examination, or laboratory findings that the memory disturbance is the direct physiological consequence of a general medical condition (including physical trauma) (Criterion D).</w:t>
      </w:r>
    </w:p>
    <w:p w:rsidR="00E675F0" w:rsidRDefault="00E675F0" w:rsidP="00E675F0">
      <w:pPr>
        <w:pStyle w:val="BodyText"/>
        <w:spacing w:before="6" w:line="254" w:lineRule="auto"/>
        <w:ind w:left="131" w:right="147" w:firstLine="373"/>
        <w:jc w:val="both"/>
      </w:pPr>
      <w:r>
        <w:rPr>
          <w:w w:val="110"/>
        </w:rPr>
        <w:t>In determining whether the amnestic disturbance is due to a general medical condition,</w:t>
      </w:r>
      <w:r>
        <w:rPr>
          <w:spacing w:val="-13"/>
          <w:w w:val="110"/>
        </w:rPr>
        <w:t xml:space="preserve"> </w:t>
      </w:r>
      <w:r>
        <w:rPr>
          <w:w w:val="110"/>
        </w:rPr>
        <w:t>the</w:t>
      </w:r>
      <w:r>
        <w:rPr>
          <w:spacing w:val="-22"/>
          <w:w w:val="110"/>
        </w:rPr>
        <w:t xml:space="preserve"> </w:t>
      </w:r>
      <w:r>
        <w:rPr>
          <w:w w:val="110"/>
        </w:rPr>
        <w:t>clinician</w:t>
      </w:r>
      <w:r>
        <w:rPr>
          <w:spacing w:val="-14"/>
          <w:w w:val="110"/>
        </w:rPr>
        <w:t xml:space="preserve"> </w:t>
      </w:r>
      <w:r>
        <w:rPr>
          <w:w w:val="110"/>
        </w:rPr>
        <w:t>must</w:t>
      </w:r>
      <w:r>
        <w:rPr>
          <w:spacing w:val="-22"/>
          <w:w w:val="110"/>
        </w:rPr>
        <w:t xml:space="preserve"> </w:t>
      </w:r>
      <w:r>
        <w:rPr>
          <w:w w:val="110"/>
        </w:rPr>
        <w:t>first</w:t>
      </w:r>
      <w:r>
        <w:rPr>
          <w:spacing w:val="-26"/>
          <w:w w:val="110"/>
        </w:rPr>
        <w:t xml:space="preserve"> </w:t>
      </w:r>
      <w:r>
        <w:rPr>
          <w:w w:val="110"/>
        </w:rPr>
        <w:t>establish</w:t>
      </w:r>
      <w:r>
        <w:rPr>
          <w:spacing w:val="-17"/>
          <w:w w:val="110"/>
        </w:rPr>
        <w:t xml:space="preserve"> </w:t>
      </w:r>
      <w:r>
        <w:rPr>
          <w:w w:val="110"/>
        </w:rPr>
        <w:t>the</w:t>
      </w:r>
      <w:r>
        <w:rPr>
          <w:spacing w:val="-21"/>
          <w:w w:val="110"/>
        </w:rPr>
        <w:t xml:space="preserve"> </w:t>
      </w:r>
      <w:r>
        <w:rPr>
          <w:w w:val="110"/>
        </w:rPr>
        <w:t>presence</w:t>
      </w:r>
      <w:r>
        <w:rPr>
          <w:spacing w:val="-18"/>
          <w:w w:val="110"/>
        </w:rPr>
        <w:t xml:space="preserve"> </w:t>
      </w:r>
      <w:r>
        <w:rPr>
          <w:w w:val="110"/>
        </w:rPr>
        <w:t>of</w:t>
      </w:r>
      <w:r>
        <w:rPr>
          <w:spacing w:val="-18"/>
          <w:w w:val="110"/>
        </w:rPr>
        <w:t xml:space="preserve"> </w:t>
      </w:r>
      <w:r>
        <w:rPr>
          <w:w w:val="110"/>
        </w:rPr>
        <w:t>a</w:t>
      </w:r>
      <w:r>
        <w:rPr>
          <w:spacing w:val="-23"/>
          <w:w w:val="110"/>
        </w:rPr>
        <w:t xml:space="preserve"> </w:t>
      </w:r>
      <w:r>
        <w:rPr>
          <w:w w:val="110"/>
        </w:rPr>
        <w:t>general</w:t>
      </w:r>
      <w:r>
        <w:rPr>
          <w:spacing w:val="-18"/>
          <w:w w:val="110"/>
        </w:rPr>
        <w:t xml:space="preserve"> </w:t>
      </w:r>
      <w:r>
        <w:rPr>
          <w:w w:val="110"/>
        </w:rPr>
        <w:t>medical</w:t>
      </w:r>
      <w:r>
        <w:rPr>
          <w:spacing w:val="-20"/>
          <w:w w:val="110"/>
        </w:rPr>
        <w:t xml:space="preserve"> </w:t>
      </w:r>
      <w:r>
        <w:rPr>
          <w:w w:val="110"/>
        </w:rPr>
        <w:t>condition. Further,</w:t>
      </w:r>
      <w:r>
        <w:rPr>
          <w:spacing w:val="-25"/>
          <w:w w:val="110"/>
        </w:rPr>
        <w:t xml:space="preserve"> </w:t>
      </w:r>
      <w:r>
        <w:rPr>
          <w:w w:val="110"/>
        </w:rPr>
        <w:t>the</w:t>
      </w:r>
      <w:r>
        <w:rPr>
          <w:spacing w:val="-34"/>
          <w:w w:val="110"/>
        </w:rPr>
        <w:t xml:space="preserve"> </w:t>
      </w:r>
      <w:r>
        <w:rPr>
          <w:w w:val="110"/>
        </w:rPr>
        <w:t>clinician</w:t>
      </w:r>
      <w:r>
        <w:rPr>
          <w:spacing w:val="-28"/>
          <w:w w:val="110"/>
        </w:rPr>
        <w:t xml:space="preserve"> </w:t>
      </w:r>
      <w:r>
        <w:rPr>
          <w:w w:val="110"/>
        </w:rPr>
        <w:t>must</w:t>
      </w:r>
      <w:r>
        <w:rPr>
          <w:spacing w:val="-32"/>
          <w:w w:val="110"/>
        </w:rPr>
        <w:t xml:space="preserve"> </w:t>
      </w:r>
      <w:r>
        <w:rPr>
          <w:w w:val="110"/>
        </w:rPr>
        <w:t>establish</w:t>
      </w:r>
      <w:r>
        <w:rPr>
          <w:spacing w:val="-24"/>
          <w:w w:val="110"/>
        </w:rPr>
        <w:t xml:space="preserve"> </w:t>
      </w:r>
      <w:r>
        <w:rPr>
          <w:w w:val="110"/>
        </w:rPr>
        <w:t>that</w:t>
      </w:r>
      <w:r>
        <w:rPr>
          <w:spacing w:val="-29"/>
          <w:w w:val="110"/>
        </w:rPr>
        <w:t xml:space="preserve"> </w:t>
      </w:r>
      <w:r>
        <w:rPr>
          <w:w w:val="110"/>
        </w:rPr>
        <w:t>the</w:t>
      </w:r>
      <w:r>
        <w:rPr>
          <w:spacing w:val="-32"/>
          <w:w w:val="110"/>
        </w:rPr>
        <w:t xml:space="preserve"> </w:t>
      </w:r>
      <w:r>
        <w:rPr>
          <w:w w:val="110"/>
        </w:rPr>
        <w:t>amnestic</w:t>
      </w:r>
      <w:r>
        <w:rPr>
          <w:spacing w:val="-32"/>
          <w:w w:val="110"/>
        </w:rPr>
        <w:t xml:space="preserve"> </w:t>
      </w:r>
      <w:r>
        <w:rPr>
          <w:w w:val="110"/>
        </w:rPr>
        <w:t>disturbance</w:t>
      </w:r>
      <w:r>
        <w:rPr>
          <w:spacing w:val="-28"/>
          <w:w w:val="110"/>
        </w:rPr>
        <w:t xml:space="preserve"> </w:t>
      </w:r>
      <w:r>
        <w:rPr>
          <w:w w:val="110"/>
        </w:rPr>
        <w:t>is</w:t>
      </w:r>
      <w:r>
        <w:rPr>
          <w:spacing w:val="-33"/>
          <w:w w:val="110"/>
        </w:rPr>
        <w:t xml:space="preserve"> </w:t>
      </w:r>
      <w:r>
        <w:rPr>
          <w:w w:val="110"/>
        </w:rPr>
        <w:t>etiologically</w:t>
      </w:r>
      <w:r>
        <w:rPr>
          <w:spacing w:val="-22"/>
          <w:w w:val="110"/>
        </w:rPr>
        <w:t xml:space="preserve"> </w:t>
      </w:r>
      <w:r>
        <w:rPr>
          <w:w w:val="110"/>
        </w:rPr>
        <w:t>related to the general medical condition through a physiological mechanism. A careful and comprehensive assessment of multiple factors is necessary to make this judgment. Although there are no infallible guidelines for determining whether the relationship between the amnestic disturbance and the general medical condition is etiological, several considerations provide some guidance in this area. One consideration is the presence</w:t>
      </w:r>
      <w:r>
        <w:rPr>
          <w:spacing w:val="-20"/>
          <w:w w:val="110"/>
        </w:rPr>
        <w:t xml:space="preserve"> </w:t>
      </w:r>
      <w:r>
        <w:rPr>
          <w:w w:val="110"/>
        </w:rPr>
        <w:t>of</w:t>
      </w:r>
      <w:r>
        <w:rPr>
          <w:spacing w:val="-17"/>
          <w:w w:val="110"/>
        </w:rPr>
        <w:t xml:space="preserve"> </w:t>
      </w:r>
      <w:r>
        <w:rPr>
          <w:w w:val="110"/>
        </w:rPr>
        <w:t>a</w:t>
      </w:r>
      <w:r>
        <w:rPr>
          <w:spacing w:val="-22"/>
          <w:w w:val="110"/>
        </w:rPr>
        <w:t xml:space="preserve"> </w:t>
      </w:r>
      <w:r>
        <w:rPr>
          <w:w w:val="110"/>
        </w:rPr>
        <w:t>temporal</w:t>
      </w:r>
      <w:r>
        <w:rPr>
          <w:spacing w:val="-19"/>
          <w:w w:val="110"/>
        </w:rPr>
        <w:t xml:space="preserve"> </w:t>
      </w:r>
      <w:r>
        <w:rPr>
          <w:w w:val="110"/>
        </w:rPr>
        <w:t>association</w:t>
      </w:r>
      <w:r>
        <w:rPr>
          <w:spacing w:val="-14"/>
          <w:w w:val="110"/>
        </w:rPr>
        <w:t xml:space="preserve"> </w:t>
      </w:r>
      <w:r>
        <w:rPr>
          <w:w w:val="110"/>
        </w:rPr>
        <w:t>between</w:t>
      </w:r>
      <w:r>
        <w:rPr>
          <w:spacing w:val="-14"/>
          <w:w w:val="110"/>
        </w:rPr>
        <w:t xml:space="preserve"> </w:t>
      </w:r>
      <w:r>
        <w:rPr>
          <w:w w:val="110"/>
        </w:rPr>
        <w:t>the</w:t>
      </w:r>
      <w:r>
        <w:rPr>
          <w:spacing w:val="-25"/>
          <w:w w:val="110"/>
        </w:rPr>
        <w:t xml:space="preserve"> </w:t>
      </w:r>
      <w:r>
        <w:rPr>
          <w:w w:val="110"/>
        </w:rPr>
        <w:t>onset,</w:t>
      </w:r>
      <w:r>
        <w:rPr>
          <w:spacing w:val="-20"/>
          <w:w w:val="110"/>
        </w:rPr>
        <w:t xml:space="preserve"> </w:t>
      </w:r>
      <w:r>
        <w:rPr>
          <w:w w:val="110"/>
        </w:rPr>
        <w:t>exacerbation,</w:t>
      </w:r>
      <w:r>
        <w:rPr>
          <w:spacing w:val="-10"/>
          <w:w w:val="110"/>
        </w:rPr>
        <w:t xml:space="preserve"> </w:t>
      </w:r>
      <w:r>
        <w:rPr>
          <w:w w:val="110"/>
        </w:rPr>
        <w:t>or</w:t>
      </w:r>
      <w:r>
        <w:rPr>
          <w:spacing w:val="-23"/>
          <w:w w:val="110"/>
        </w:rPr>
        <w:t xml:space="preserve"> </w:t>
      </w:r>
      <w:r>
        <w:rPr>
          <w:w w:val="110"/>
        </w:rPr>
        <w:t>remission</w:t>
      </w:r>
      <w:r>
        <w:rPr>
          <w:spacing w:val="-13"/>
          <w:w w:val="110"/>
        </w:rPr>
        <w:t xml:space="preserve"> </w:t>
      </w:r>
      <w:r>
        <w:rPr>
          <w:w w:val="110"/>
        </w:rPr>
        <w:t>of</w:t>
      </w:r>
      <w:r>
        <w:rPr>
          <w:spacing w:val="-18"/>
          <w:w w:val="110"/>
        </w:rPr>
        <w:t xml:space="preserve"> </w:t>
      </w:r>
      <w:r>
        <w:rPr>
          <w:w w:val="110"/>
        </w:rPr>
        <w:t>the general</w:t>
      </w:r>
      <w:r>
        <w:rPr>
          <w:spacing w:val="-21"/>
          <w:w w:val="110"/>
        </w:rPr>
        <w:t xml:space="preserve"> </w:t>
      </w:r>
      <w:r>
        <w:rPr>
          <w:w w:val="110"/>
        </w:rPr>
        <w:t>medical</w:t>
      </w:r>
      <w:r>
        <w:rPr>
          <w:spacing w:val="-22"/>
          <w:w w:val="110"/>
        </w:rPr>
        <w:t xml:space="preserve"> </w:t>
      </w:r>
      <w:r>
        <w:rPr>
          <w:w w:val="110"/>
        </w:rPr>
        <w:t>condition</w:t>
      </w:r>
      <w:r>
        <w:rPr>
          <w:spacing w:val="-18"/>
          <w:w w:val="110"/>
        </w:rPr>
        <w:t xml:space="preserve"> </w:t>
      </w:r>
      <w:r>
        <w:rPr>
          <w:w w:val="110"/>
        </w:rPr>
        <w:t>and</w:t>
      </w:r>
      <w:r>
        <w:rPr>
          <w:spacing w:val="-22"/>
          <w:w w:val="110"/>
        </w:rPr>
        <w:t xml:space="preserve"> </w:t>
      </w:r>
      <w:r>
        <w:rPr>
          <w:w w:val="110"/>
        </w:rPr>
        <w:t>that</w:t>
      </w:r>
      <w:r>
        <w:rPr>
          <w:spacing w:val="-26"/>
          <w:w w:val="110"/>
        </w:rPr>
        <w:t xml:space="preserve"> </w:t>
      </w:r>
      <w:r>
        <w:rPr>
          <w:w w:val="110"/>
        </w:rPr>
        <w:t>of</w:t>
      </w:r>
      <w:r>
        <w:rPr>
          <w:spacing w:val="-20"/>
          <w:w w:val="110"/>
        </w:rPr>
        <w:t xml:space="preserve"> </w:t>
      </w:r>
      <w:r>
        <w:rPr>
          <w:w w:val="110"/>
        </w:rPr>
        <w:t>the</w:t>
      </w:r>
      <w:r>
        <w:rPr>
          <w:spacing w:val="-24"/>
          <w:w w:val="110"/>
        </w:rPr>
        <w:t xml:space="preserve"> </w:t>
      </w:r>
      <w:r>
        <w:rPr>
          <w:w w:val="110"/>
        </w:rPr>
        <w:t>amnestic</w:t>
      </w:r>
      <w:r>
        <w:rPr>
          <w:spacing w:val="-23"/>
          <w:w w:val="110"/>
        </w:rPr>
        <w:t xml:space="preserve"> </w:t>
      </w:r>
      <w:r>
        <w:rPr>
          <w:w w:val="110"/>
        </w:rPr>
        <w:t>disturbance.</w:t>
      </w:r>
      <w:r>
        <w:rPr>
          <w:spacing w:val="-24"/>
          <w:w w:val="110"/>
        </w:rPr>
        <w:t xml:space="preserve"> </w:t>
      </w:r>
      <w:r>
        <w:rPr>
          <w:w w:val="110"/>
        </w:rPr>
        <w:t>A</w:t>
      </w:r>
      <w:r>
        <w:rPr>
          <w:spacing w:val="-30"/>
          <w:w w:val="110"/>
        </w:rPr>
        <w:t xml:space="preserve"> </w:t>
      </w:r>
      <w:r>
        <w:rPr>
          <w:w w:val="110"/>
        </w:rPr>
        <w:t>second</w:t>
      </w:r>
      <w:r>
        <w:rPr>
          <w:spacing w:val="-24"/>
          <w:w w:val="110"/>
        </w:rPr>
        <w:t xml:space="preserve"> </w:t>
      </w:r>
      <w:r>
        <w:rPr>
          <w:w w:val="110"/>
        </w:rPr>
        <w:t>consideration is</w:t>
      </w:r>
      <w:r>
        <w:rPr>
          <w:spacing w:val="-8"/>
          <w:w w:val="110"/>
        </w:rPr>
        <w:t xml:space="preserve"> </w:t>
      </w:r>
      <w:r>
        <w:rPr>
          <w:w w:val="110"/>
        </w:rPr>
        <w:t>the</w:t>
      </w:r>
      <w:r>
        <w:rPr>
          <w:spacing w:val="-4"/>
          <w:w w:val="110"/>
        </w:rPr>
        <w:t xml:space="preserve"> </w:t>
      </w:r>
      <w:r>
        <w:rPr>
          <w:w w:val="110"/>
        </w:rPr>
        <w:t>presence</w:t>
      </w:r>
      <w:r>
        <w:rPr>
          <w:spacing w:val="-2"/>
          <w:w w:val="110"/>
        </w:rPr>
        <w:t xml:space="preserve"> </w:t>
      </w:r>
      <w:r>
        <w:rPr>
          <w:w w:val="110"/>
        </w:rPr>
        <w:t>of</w:t>
      </w:r>
      <w:r>
        <w:rPr>
          <w:spacing w:val="-5"/>
          <w:w w:val="110"/>
        </w:rPr>
        <w:t xml:space="preserve"> </w:t>
      </w:r>
      <w:r>
        <w:rPr>
          <w:w w:val="110"/>
        </w:rPr>
        <w:t>features</w:t>
      </w:r>
      <w:r>
        <w:rPr>
          <w:spacing w:val="-1"/>
          <w:w w:val="110"/>
        </w:rPr>
        <w:t xml:space="preserve"> </w:t>
      </w:r>
      <w:r>
        <w:rPr>
          <w:w w:val="110"/>
        </w:rPr>
        <w:t>that</w:t>
      </w:r>
      <w:r>
        <w:rPr>
          <w:spacing w:val="-11"/>
          <w:w w:val="110"/>
        </w:rPr>
        <w:t xml:space="preserve"> </w:t>
      </w:r>
      <w:r>
        <w:rPr>
          <w:w w:val="110"/>
        </w:rPr>
        <w:t>are</w:t>
      </w:r>
      <w:r>
        <w:rPr>
          <w:spacing w:val="-9"/>
          <w:w w:val="110"/>
        </w:rPr>
        <w:t xml:space="preserve"> </w:t>
      </w:r>
      <w:r>
        <w:rPr>
          <w:w w:val="110"/>
        </w:rPr>
        <w:t>atypical</w:t>
      </w:r>
      <w:r>
        <w:rPr>
          <w:spacing w:val="-2"/>
          <w:w w:val="110"/>
        </w:rPr>
        <w:t xml:space="preserve"> </w:t>
      </w:r>
      <w:r>
        <w:rPr>
          <w:w w:val="110"/>
        </w:rPr>
        <w:t>of</w:t>
      </w:r>
      <w:r>
        <w:rPr>
          <w:spacing w:val="-1"/>
          <w:w w:val="110"/>
        </w:rPr>
        <w:t xml:space="preserve"> </w:t>
      </w:r>
      <w:r>
        <w:rPr>
          <w:w w:val="110"/>
        </w:rPr>
        <w:t>memory</w:t>
      </w:r>
      <w:r>
        <w:rPr>
          <w:spacing w:val="-1"/>
          <w:w w:val="110"/>
        </w:rPr>
        <w:t xml:space="preserve"> </w:t>
      </w:r>
      <w:r>
        <w:rPr>
          <w:w w:val="110"/>
        </w:rPr>
        <w:t>impairment</w:t>
      </w:r>
      <w:r>
        <w:rPr>
          <w:spacing w:val="7"/>
          <w:w w:val="110"/>
        </w:rPr>
        <w:t xml:space="preserve"> </w:t>
      </w:r>
      <w:r>
        <w:rPr>
          <w:w w:val="110"/>
        </w:rPr>
        <w:t>in</w:t>
      </w:r>
      <w:r>
        <w:rPr>
          <w:spacing w:val="-3"/>
          <w:w w:val="110"/>
        </w:rPr>
        <w:t xml:space="preserve"> </w:t>
      </w:r>
      <w:r>
        <w:rPr>
          <w:w w:val="110"/>
        </w:rPr>
        <w:t>the</w:t>
      </w:r>
      <w:r>
        <w:rPr>
          <w:spacing w:val="-7"/>
          <w:w w:val="110"/>
        </w:rPr>
        <w:t xml:space="preserve"> </w:t>
      </w:r>
      <w:r>
        <w:rPr>
          <w:w w:val="110"/>
        </w:rPr>
        <w:t>context</w:t>
      </w:r>
      <w:r>
        <w:rPr>
          <w:spacing w:val="-1"/>
          <w:w w:val="110"/>
        </w:rPr>
        <w:t xml:space="preserve"> </w:t>
      </w:r>
      <w:r>
        <w:rPr>
          <w:w w:val="110"/>
        </w:rPr>
        <w:t>of a dissociative or other mental disorder (e.g., atypical age at onset or course). Evidence from</w:t>
      </w:r>
      <w:r>
        <w:rPr>
          <w:spacing w:val="-27"/>
          <w:w w:val="110"/>
        </w:rPr>
        <w:t xml:space="preserve"> </w:t>
      </w:r>
      <w:r>
        <w:rPr>
          <w:w w:val="110"/>
        </w:rPr>
        <w:t>the</w:t>
      </w:r>
      <w:r>
        <w:rPr>
          <w:spacing w:val="-31"/>
          <w:w w:val="110"/>
        </w:rPr>
        <w:t xml:space="preserve"> </w:t>
      </w:r>
      <w:r>
        <w:rPr>
          <w:w w:val="110"/>
        </w:rPr>
        <w:t>literature</w:t>
      </w:r>
      <w:r>
        <w:rPr>
          <w:spacing w:val="-24"/>
          <w:w w:val="110"/>
        </w:rPr>
        <w:t xml:space="preserve"> </w:t>
      </w:r>
      <w:r>
        <w:rPr>
          <w:w w:val="110"/>
        </w:rPr>
        <w:t>that</w:t>
      </w:r>
      <w:r>
        <w:rPr>
          <w:spacing w:val="-34"/>
          <w:w w:val="110"/>
        </w:rPr>
        <w:t xml:space="preserve"> </w:t>
      </w:r>
      <w:r>
        <w:rPr>
          <w:w w:val="110"/>
        </w:rPr>
        <w:t>suggests</w:t>
      </w:r>
      <w:r>
        <w:rPr>
          <w:spacing w:val="-26"/>
          <w:w w:val="110"/>
        </w:rPr>
        <w:t xml:space="preserve"> </w:t>
      </w:r>
      <w:r>
        <w:rPr>
          <w:w w:val="110"/>
        </w:rPr>
        <w:t>that</w:t>
      </w:r>
      <w:r>
        <w:rPr>
          <w:spacing w:val="-26"/>
          <w:w w:val="110"/>
        </w:rPr>
        <w:t xml:space="preserve"> </w:t>
      </w:r>
      <w:r>
        <w:rPr>
          <w:w w:val="110"/>
        </w:rPr>
        <w:t>there</w:t>
      </w:r>
      <w:r>
        <w:rPr>
          <w:spacing w:val="-32"/>
          <w:w w:val="110"/>
        </w:rPr>
        <w:t xml:space="preserve"> </w:t>
      </w:r>
      <w:r>
        <w:rPr>
          <w:w w:val="110"/>
        </w:rPr>
        <w:t>can</w:t>
      </w:r>
      <w:r>
        <w:rPr>
          <w:spacing w:val="-32"/>
          <w:w w:val="110"/>
        </w:rPr>
        <w:t xml:space="preserve"> </w:t>
      </w:r>
      <w:r>
        <w:rPr>
          <w:w w:val="110"/>
        </w:rPr>
        <w:t>be</w:t>
      </w:r>
      <w:r>
        <w:rPr>
          <w:spacing w:val="-28"/>
          <w:w w:val="110"/>
        </w:rPr>
        <w:t xml:space="preserve"> </w:t>
      </w:r>
      <w:r>
        <w:rPr>
          <w:w w:val="110"/>
        </w:rPr>
        <w:t>a</w:t>
      </w:r>
      <w:r>
        <w:rPr>
          <w:spacing w:val="-33"/>
          <w:w w:val="110"/>
        </w:rPr>
        <w:t xml:space="preserve"> </w:t>
      </w:r>
      <w:r>
        <w:rPr>
          <w:w w:val="110"/>
        </w:rPr>
        <w:t>direct</w:t>
      </w:r>
      <w:r>
        <w:rPr>
          <w:spacing w:val="-30"/>
          <w:w w:val="110"/>
        </w:rPr>
        <w:t xml:space="preserve"> </w:t>
      </w:r>
      <w:r>
        <w:rPr>
          <w:w w:val="110"/>
        </w:rPr>
        <w:t>association</w:t>
      </w:r>
      <w:r>
        <w:rPr>
          <w:spacing w:val="-17"/>
          <w:w w:val="110"/>
        </w:rPr>
        <w:t xml:space="preserve"> </w:t>
      </w:r>
      <w:r>
        <w:rPr>
          <w:w w:val="110"/>
        </w:rPr>
        <w:t>between</w:t>
      </w:r>
      <w:r>
        <w:rPr>
          <w:spacing w:val="-24"/>
          <w:w w:val="110"/>
        </w:rPr>
        <w:t xml:space="preserve"> </w:t>
      </w:r>
      <w:r>
        <w:rPr>
          <w:w w:val="110"/>
        </w:rPr>
        <w:t>the</w:t>
      </w:r>
      <w:r>
        <w:rPr>
          <w:spacing w:val="-37"/>
          <w:w w:val="110"/>
        </w:rPr>
        <w:t xml:space="preserve"> </w:t>
      </w:r>
      <w:r>
        <w:rPr>
          <w:w w:val="110"/>
        </w:rPr>
        <w:t>general medical</w:t>
      </w:r>
      <w:r>
        <w:rPr>
          <w:spacing w:val="-25"/>
          <w:w w:val="110"/>
        </w:rPr>
        <w:t xml:space="preserve"> </w:t>
      </w:r>
      <w:r>
        <w:rPr>
          <w:w w:val="110"/>
        </w:rPr>
        <w:t>condition</w:t>
      </w:r>
      <w:r>
        <w:rPr>
          <w:spacing w:val="-20"/>
          <w:w w:val="110"/>
        </w:rPr>
        <w:t xml:space="preserve"> </w:t>
      </w:r>
      <w:r>
        <w:rPr>
          <w:w w:val="110"/>
        </w:rPr>
        <w:t>in</w:t>
      </w:r>
      <w:r>
        <w:rPr>
          <w:spacing w:val="-24"/>
          <w:w w:val="110"/>
        </w:rPr>
        <w:t xml:space="preserve"> </w:t>
      </w:r>
      <w:r>
        <w:rPr>
          <w:w w:val="110"/>
        </w:rPr>
        <w:t>question</w:t>
      </w:r>
      <w:r>
        <w:rPr>
          <w:spacing w:val="-25"/>
          <w:w w:val="110"/>
        </w:rPr>
        <w:t xml:space="preserve"> </w:t>
      </w:r>
      <w:r>
        <w:rPr>
          <w:w w:val="110"/>
        </w:rPr>
        <w:t>and</w:t>
      </w:r>
      <w:r>
        <w:rPr>
          <w:spacing w:val="-20"/>
          <w:w w:val="110"/>
        </w:rPr>
        <w:t xml:space="preserve"> </w:t>
      </w:r>
      <w:r>
        <w:rPr>
          <w:w w:val="110"/>
        </w:rPr>
        <w:t>the</w:t>
      </w:r>
      <w:r>
        <w:rPr>
          <w:spacing w:val="-27"/>
          <w:w w:val="110"/>
        </w:rPr>
        <w:t xml:space="preserve"> </w:t>
      </w:r>
      <w:r>
        <w:rPr>
          <w:w w:val="110"/>
        </w:rPr>
        <w:t>development</w:t>
      </w:r>
      <w:r>
        <w:rPr>
          <w:spacing w:val="-15"/>
          <w:w w:val="110"/>
        </w:rPr>
        <w:t xml:space="preserve"> </w:t>
      </w:r>
      <w:r>
        <w:rPr>
          <w:w w:val="110"/>
        </w:rPr>
        <w:t>of</w:t>
      </w:r>
      <w:r>
        <w:rPr>
          <w:spacing w:val="-19"/>
          <w:w w:val="110"/>
        </w:rPr>
        <w:t xml:space="preserve"> </w:t>
      </w:r>
      <w:r>
        <w:rPr>
          <w:w w:val="110"/>
        </w:rPr>
        <w:t>memory</w:t>
      </w:r>
      <w:r>
        <w:rPr>
          <w:spacing w:val="-19"/>
          <w:w w:val="110"/>
        </w:rPr>
        <w:t xml:space="preserve"> </w:t>
      </w:r>
      <w:r>
        <w:rPr>
          <w:w w:val="110"/>
        </w:rPr>
        <w:t>impairment</w:t>
      </w:r>
      <w:r>
        <w:rPr>
          <w:spacing w:val="-16"/>
          <w:w w:val="110"/>
        </w:rPr>
        <w:t xml:space="preserve"> </w:t>
      </w:r>
      <w:r>
        <w:rPr>
          <w:w w:val="110"/>
        </w:rPr>
        <w:t>can</w:t>
      </w:r>
      <w:r>
        <w:rPr>
          <w:spacing w:val="-25"/>
          <w:w w:val="110"/>
        </w:rPr>
        <w:t xml:space="preserve"> </w:t>
      </w:r>
      <w:r>
        <w:rPr>
          <w:w w:val="110"/>
        </w:rPr>
        <w:t>provide a</w:t>
      </w:r>
      <w:r>
        <w:rPr>
          <w:spacing w:val="-27"/>
          <w:w w:val="110"/>
        </w:rPr>
        <w:t xml:space="preserve"> </w:t>
      </w:r>
      <w:r>
        <w:rPr>
          <w:w w:val="110"/>
        </w:rPr>
        <w:t>useful</w:t>
      </w:r>
      <w:r>
        <w:rPr>
          <w:spacing w:val="-27"/>
          <w:w w:val="110"/>
        </w:rPr>
        <w:t xml:space="preserve"> </w:t>
      </w:r>
      <w:r>
        <w:rPr>
          <w:w w:val="110"/>
        </w:rPr>
        <w:t>context</w:t>
      </w:r>
      <w:r>
        <w:rPr>
          <w:spacing w:val="-25"/>
          <w:w w:val="110"/>
        </w:rPr>
        <w:t xml:space="preserve"> </w:t>
      </w:r>
      <w:r>
        <w:rPr>
          <w:w w:val="110"/>
        </w:rPr>
        <w:t>in</w:t>
      </w:r>
      <w:r>
        <w:rPr>
          <w:spacing w:val="-30"/>
          <w:w w:val="110"/>
        </w:rPr>
        <w:t xml:space="preserve"> </w:t>
      </w:r>
      <w:r>
        <w:rPr>
          <w:w w:val="110"/>
        </w:rPr>
        <w:t>the</w:t>
      </w:r>
      <w:r>
        <w:rPr>
          <w:spacing w:val="-34"/>
          <w:w w:val="110"/>
        </w:rPr>
        <w:t xml:space="preserve"> </w:t>
      </w:r>
      <w:r>
        <w:rPr>
          <w:w w:val="110"/>
        </w:rPr>
        <w:t>assessment</w:t>
      </w:r>
      <w:r>
        <w:rPr>
          <w:spacing w:val="-24"/>
          <w:w w:val="110"/>
        </w:rPr>
        <w:t xml:space="preserve"> </w:t>
      </w:r>
      <w:r>
        <w:rPr>
          <w:w w:val="110"/>
        </w:rPr>
        <w:t>of</w:t>
      </w:r>
      <w:r>
        <w:rPr>
          <w:spacing w:val="-30"/>
          <w:w w:val="110"/>
        </w:rPr>
        <w:t xml:space="preserve"> </w:t>
      </w:r>
      <w:r>
        <w:rPr>
          <w:w w:val="110"/>
        </w:rPr>
        <w:t>a</w:t>
      </w:r>
      <w:r>
        <w:rPr>
          <w:spacing w:val="-23"/>
          <w:w w:val="110"/>
        </w:rPr>
        <w:t xml:space="preserve"> </w:t>
      </w:r>
      <w:r>
        <w:rPr>
          <w:w w:val="110"/>
        </w:rPr>
        <w:t>particular</w:t>
      </w:r>
      <w:r>
        <w:rPr>
          <w:spacing w:val="-25"/>
          <w:w w:val="110"/>
        </w:rPr>
        <w:t xml:space="preserve"> </w:t>
      </w:r>
      <w:r>
        <w:rPr>
          <w:w w:val="110"/>
        </w:rPr>
        <w:t>situation.</w:t>
      </w:r>
      <w:r>
        <w:rPr>
          <w:spacing w:val="-24"/>
          <w:w w:val="110"/>
        </w:rPr>
        <w:t xml:space="preserve"> </w:t>
      </w:r>
      <w:r>
        <w:rPr>
          <w:w w:val="110"/>
        </w:rPr>
        <w:t>In</w:t>
      </w:r>
      <w:r>
        <w:rPr>
          <w:spacing w:val="-30"/>
          <w:w w:val="110"/>
        </w:rPr>
        <w:t xml:space="preserve"> </w:t>
      </w:r>
      <w:r>
        <w:rPr>
          <w:w w:val="110"/>
        </w:rPr>
        <w:t>addition,</w:t>
      </w:r>
      <w:r>
        <w:rPr>
          <w:spacing w:val="-18"/>
          <w:w w:val="110"/>
        </w:rPr>
        <w:t xml:space="preserve"> </w:t>
      </w:r>
      <w:r>
        <w:rPr>
          <w:w w:val="110"/>
        </w:rPr>
        <w:t>the</w:t>
      </w:r>
      <w:r>
        <w:rPr>
          <w:spacing w:val="-35"/>
          <w:w w:val="110"/>
        </w:rPr>
        <w:t xml:space="preserve"> </w:t>
      </w:r>
      <w:r>
        <w:rPr>
          <w:w w:val="110"/>
        </w:rPr>
        <w:t>clinician</w:t>
      </w:r>
      <w:r>
        <w:rPr>
          <w:spacing w:val="-24"/>
          <w:w w:val="110"/>
        </w:rPr>
        <w:t xml:space="preserve"> </w:t>
      </w:r>
      <w:r>
        <w:rPr>
          <w:w w:val="110"/>
        </w:rPr>
        <w:t>must also judge that the disturbance is not better accounted for by a Dissociative Disorder, Substance-Induced</w:t>
      </w:r>
      <w:r>
        <w:rPr>
          <w:spacing w:val="-16"/>
          <w:w w:val="110"/>
        </w:rPr>
        <w:t xml:space="preserve"> </w:t>
      </w:r>
      <w:r>
        <w:rPr>
          <w:w w:val="110"/>
        </w:rPr>
        <w:t>Persisting</w:t>
      </w:r>
      <w:r>
        <w:rPr>
          <w:spacing w:val="-7"/>
          <w:w w:val="110"/>
        </w:rPr>
        <w:t xml:space="preserve"> </w:t>
      </w:r>
      <w:r>
        <w:rPr>
          <w:w w:val="110"/>
        </w:rPr>
        <w:t>Amnestic</w:t>
      </w:r>
      <w:r>
        <w:rPr>
          <w:spacing w:val="-5"/>
          <w:w w:val="110"/>
        </w:rPr>
        <w:t xml:space="preserve"> </w:t>
      </w:r>
      <w:r>
        <w:rPr>
          <w:w w:val="110"/>
        </w:rPr>
        <w:t>Disorder,</w:t>
      </w:r>
      <w:r>
        <w:rPr>
          <w:spacing w:val="-7"/>
          <w:w w:val="110"/>
        </w:rPr>
        <w:t xml:space="preserve"> </w:t>
      </w:r>
      <w:r>
        <w:rPr>
          <w:w w:val="110"/>
        </w:rPr>
        <w:t>or</w:t>
      </w:r>
      <w:r>
        <w:rPr>
          <w:spacing w:val="-7"/>
          <w:w w:val="110"/>
        </w:rPr>
        <w:t xml:space="preserve"> </w:t>
      </w:r>
      <w:r>
        <w:rPr>
          <w:w w:val="110"/>
        </w:rPr>
        <w:t>another</w:t>
      </w:r>
      <w:r>
        <w:rPr>
          <w:spacing w:val="-5"/>
          <w:w w:val="110"/>
        </w:rPr>
        <w:t xml:space="preserve"> </w:t>
      </w:r>
      <w:r>
        <w:rPr>
          <w:w w:val="110"/>
        </w:rPr>
        <w:t>primary</w:t>
      </w:r>
      <w:r>
        <w:rPr>
          <w:spacing w:val="-7"/>
          <w:w w:val="110"/>
        </w:rPr>
        <w:t xml:space="preserve"> </w:t>
      </w:r>
      <w:r>
        <w:rPr>
          <w:w w:val="110"/>
        </w:rPr>
        <w:t>mental</w:t>
      </w:r>
      <w:r>
        <w:rPr>
          <w:spacing w:val="-12"/>
          <w:w w:val="110"/>
        </w:rPr>
        <w:t xml:space="preserve"> </w:t>
      </w:r>
      <w:r>
        <w:rPr>
          <w:w w:val="110"/>
        </w:rPr>
        <w:t>disorder (e.g.,</w:t>
      </w:r>
      <w:r>
        <w:rPr>
          <w:spacing w:val="-21"/>
          <w:w w:val="110"/>
        </w:rPr>
        <w:t xml:space="preserve"> </w:t>
      </w:r>
      <w:r>
        <w:rPr>
          <w:w w:val="110"/>
        </w:rPr>
        <w:t>Major</w:t>
      </w:r>
      <w:r>
        <w:rPr>
          <w:spacing w:val="-20"/>
          <w:w w:val="110"/>
        </w:rPr>
        <w:t xml:space="preserve"> </w:t>
      </w:r>
      <w:r>
        <w:rPr>
          <w:w w:val="110"/>
        </w:rPr>
        <w:t>Depressive</w:t>
      </w:r>
      <w:r>
        <w:rPr>
          <w:spacing w:val="-13"/>
          <w:w w:val="110"/>
        </w:rPr>
        <w:t xml:space="preserve"> </w:t>
      </w:r>
      <w:r>
        <w:rPr>
          <w:w w:val="110"/>
        </w:rPr>
        <w:t>Disorder).</w:t>
      </w:r>
      <w:r>
        <w:rPr>
          <w:spacing w:val="-15"/>
          <w:w w:val="110"/>
        </w:rPr>
        <w:t xml:space="preserve"> </w:t>
      </w:r>
      <w:r>
        <w:rPr>
          <w:w w:val="110"/>
        </w:rPr>
        <w:t>These</w:t>
      </w:r>
      <w:r>
        <w:rPr>
          <w:spacing w:val="-19"/>
          <w:w w:val="110"/>
        </w:rPr>
        <w:t xml:space="preserve"> </w:t>
      </w:r>
      <w:r>
        <w:rPr>
          <w:w w:val="110"/>
        </w:rPr>
        <w:t>determinations</w:t>
      </w:r>
      <w:r>
        <w:rPr>
          <w:spacing w:val="-26"/>
          <w:w w:val="110"/>
        </w:rPr>
        <w:t xml:space="preserve"> </w:t>
      </w:r>
      <w:r>
        <w:rPr>
          <w:w w:val="110"/>
        </w:rPr>
        <w:t>are</w:t>
      </w:r>
      <w:r>
        <w:rPr>
          <w:spacing w:val="-23"/>
          <w:w w:val="110"/>
        </w:rPr>
        <w:t xml:space="preserve"> </w:t>
      </w:r>
      <w:r>
        <w:rPr>
          <w:w w:val="110"/>
        </w:rPr>
        <w:t>explained</w:t>
      </w:r>
      <w:r>
        <w:rPr>
          <w:spacing w:val="-11"/>
          <w:w w:val="110"/>
        </w:rPr>
        <w:t xml:space="preserve"> </w:t>
      </w:r>
      <w:r>
        <w:rPr>
          <w:w w:val="110"/>
        </w:rPr>
        <w:t>in</w:t>
      </w:r>
      <w:r>
        <w:rPr>
          <w:spacing w:val="-23"/>
          <w:w w:val="110"/>
        </w:rPr>
        <w:t xml:space="preserve"> </w:t>
      </w:r>
      <w:r>
        <w:rPr>
          <w:w w:val="110"/>
        </w:rPr>
        <w:t>greater</w:t>
      </w:r>
      <w:r>
        <w:rPr>
          <w:spacing w:val="-17"/>
          <w:w w:val="110"/>
        </w:rPr>
        <w:t xml:space="preserve"> </w:t>
      </w:r>
      <w:r>
        <w:rPr>
          <w:w w:val="110"/>
        </w:rPr>
        <w:t>detail in</w:t>
      </w:r>
      <w:r>
        <w:rPr>
          <w:spacing w:val="-10"/>
          <w:w w:val="110"/>
        </w:rPr>
        <w:t xml:space="preserve"> </w:t>
      </w:r>
      <w:r>
        <w:rPr>
          <w:w w:val="110"/>
        </w:rPr>
        <w:t>the</w:t>
      </w:r>
      <w:r>
        <w:rPr>
          <w:spacing w:val="-13"/>
          <w:w w:val="110"/>
        </w:rPr>
        <w:t xml:space="preserve"> </w:t>
      </w:r>
      <w:r>
        <w:rPr>
          <w:w w:val="110"/>
        </w:rPr>
        <w:t>"Mental</w:t>
      </w:r>
      <w:r>
        <w:rPr>
          <w:spacing w:val="-1"/>
          <w:w w:val="110"/>
        </w:rPr>
        <w:t xml:space="preserve"> </w:t>
      </w:r>
      <w:r>
        <w:rPr>
          <w:w w:val="110"/>
        </w:rPr>
        <w:t>Disorders</w:t>
      </w:r>
      <w:r>
        <w:rPr>
          <w:spacing w:val="1"/>
          <w:w w:val="110"/>
        </w:rPr>
        <w:t xml:space="preserve"> </w:t>
      </w:r>
      <w:r>
        <w:rPr>
          <w:w w:val="110"/>
        </w:rPr>
        <w:t>Due</w:t>
      </w:r>
      <w:r>
        <w:rPr>
          <w:spacing w:val="-7"/>
          <w:w w:val="110"/>
        </w:rPr>
        <w:t xml:space="preserve"> </w:t>
      </w:r>
      <w:r>
        <w:rPr>
          <w:w w:val="110"/>
        </w:rPr>
        <w:t>to</w:t>
      </w:r>
      <w:r>
        <w:rPr>
          <w:spacing w:val="-13"/>
          <w:w w:val="110"/>
        </w:rPr>
        <w:t xml:space="preserve"> </w:t>
      </w:r>
      <w:r>
        <w:rPr>
          <w:w w:val="110"/>
        </w:rPr>
        <w:t>a</w:t>
      </w:r>
      <w:r>
        <w:rPr>
          <w:spacing w:val="-10"/>
          <w:w w:val="110"/>
        </w:rPr>
        <w:t xml:space="preserve"> </w:t>
      </w:r>
      <w:r>
        <w:rPr>
          <w:w w:val="110"/>
        </w:rPr>
        <w:t>General</w:t>
      </w:r>
      <w:r>
        <w:rPr>
          <w:spacing w:val="-5"/>
          <w:w w:val="110"/>
        </w:rPr>
        <w:t xml:space="preserve"> </w:t>
      </w:r>
      <w:r>
        <w:rPr>
          <w:w w:val="110"/>
        </w:rPr>
        <w:t>Medical</w:t>
      </w:r>
      <w:r>
        <w:rPr>
          <w:spacing w:val="-3"/>
          <w:w w:val="110"/>
        </w:rPr>
        <w:t xml:space="preserve"> </w:t>
      </w:r>
      <w:r>
        <w:rPr>
          <w:w w:val="110"/>
        </w:rPr>
        <w:t>Condition"</w:t>
      </w:r>
      <w:r>
        <w:rPr>
          <w:spacing w:val="2"/>
          <w:w w:val="110"/>
        </w:rPr>
        <w:t xml:space="preserve"> </w:t>
      </w:r>
      <w:r>
        <w:rPr>
          <w:w w:val="110"/>
        </w:rPr>
        <w:t>section</w:t>
      </w:r>
      <w:r>
        <w:rPr>
          <w:spacing w:val="-8"/>
          <w:w w:val="110"/>
        </w:rPr>
        <w:t xml:space="preserve"> </w:t>
      </w:r>
      <w:r>
        <w:rPr>
          <w:w w:val="110"/>
        </w:rPr>
        <w:t>(p.</w:t>
      </w:r>
      <w:r>
        <w:rPr>
          <w:spacing w:val="-1"/>
          <w:w w:val="110"/>
        </w:rPr>
        <w:t xml:space="preserve"> </w:t>
      </w:r>
      <w:r>
        <w:rPr>
          <w:w w:val="110"/>
        </w:rPr>
        <w:t>165).</w:t>
      </w:r>
    </w:p>
    <w:p w:rsidR="00E675F0" w:rsidRDefault="00E675F0" w:rsidP="00E675F0">
      <w:pPr>
        <w:pStyle w:val="BodyText"/>
        <w:spacing w:before="6" w:line="254" w:lineRule="auto"/>
        <w:ind w:left="133" w:right="145" w:firstLine="371"/>
        <w:jc w:val="both"/>
      </w:pPr>
      <w:r>
        <w:rPr>
          <w:w w:val="105"/>
        </w:rPr>
        <w:t>Individuals</w:t>
      </w:r>
      <w:r>
        <w:rPr>
          <w:spacing w:val="-3"/>
          <w:w w:val="105"/>
        </w:rPr>
        <w:t xml:space="preserve"> </w:t>
      </w:r>
      <w:r>
        <w:rPr>
          <w:w w:val="105"/>
        </w:rPr>
        <w:t>with</w:t>
      </w:r>
      <w:r>
        <w:rPr>
          <w:spacing w:val="-10"/>
          <w:w w:val="105"/>
        </w:rPr>
        <w:t xml:space="preserve"> </w:t>
      </w:r>
      <w:r>
        <w:rPr>
          <w:w w:val="105"/>
        </w:rPr>
        <w:t>Amnestic</w:t>
      </w:r>
      <w:r>
        <w:rPr>
          <w:spacing w:val="2"/>
          <w:w w:val="105"/>
        </w:rPr>
        <w:t xml:space="preserve"> </w:t>
      </w:r>
      <w:r>
        <w:rPr>
          <w:w w:val="105"/>
        </w:rPr>
        <w:t>Disorder Due</w:t>
      </w:r>
      <w:r>
        <w:rPr>
          <w:spacing w:val="-2"/>
          <w:w w:val="105"/>
        </w:rPr>
        <w:t xml:space="preserve"> </w:t>
      </w:r>
      <w:r>
        <w:rPr>
          <w:w w:val="105"/>
        </w:rPr>
        <w:t>to</w:t>
      </w:r>
      <w:r>
        <w:rPr>
          <w:spacing w:val="-16"/>
          <w:w w:val="105"/>
        </w:rPr>
        <w:t xml:space="preserve"> </w:t>
      </w:r>
      <w:r>
        <w:rPr>
          <w:w w:val="105"/>
        </w:rPr>
        <w:t>a</w:t>
      </w:r>
      <w:r>
        <w:rPr>
          <w:spacing w:val="-11"/>
          <w:w w:val="105"/>
        </w:rPr>
        <w:t xml:space="preserve"> </w:t>
      </w:r>
      <w:r>
        <w:rPr>
          <w:w w:val="105"/>
        </w:rPr>
        <w:t>General</w:t>
      </w:r>
      <w:r>
        <w:rPr>
          <w:spacing w:val="-6"/>
          <w:w w:val="105"/>
        </w:rPr>
        <w:t xml:space="preserve"> </w:t>
      </w:r>
      <w:r>
        <w:rPr>
          <w:w w:val="105"/>
        </w:rPr>
        <w:t>Medical</w:t>
      </w:r>
      <w:r>
        <w:rPr>
          <w:spacing w:val="-4"/>
          <w:w w:val="105"/>
        </w:rPr>
        <w:t xml:space="preserve"> </w:t>
      </w:r>
      <w:r>
        <w:rPr>
          <w:w w:val="105"/>
        </w:rPr>
        <w:t>Condition</w:t>
      </w:r>
      <w:r>
        <w:rPr>
          <w:spacing w:val="3"/>
          <w:w w:val="105"/>
        </w:rPr>
        <w:t xml:space="preserve"> </w:t>
      </w:r>
      <w:r>
        <w:rPr>
          <w:w w:val="105"/>
        </w:rPr>
        <w:t>often</w:t>
      </w:r>
      <w:r>
        <w:rPr>
          <w:spacing w:val="-4"/>
          <w:w w:val="105"/>
        </w:rPr>
        <w:t xml:space="preserve"> </w:t>
      </w:r>
      <w:r>
        <w:rPr>
          <w:w w:val="105"/>
        </w:rPr>
        <w:t>show other features of the primary systemic or cerebral disease that caused the memory impairment. However, disordered mental status may be the sole presenting feature. There are no specific or diagnostic features detectable with procedures such as magnetic resonance imaging (MRI) or computed tomography (CT). However, damage to mediotemporal lobe structures is common and may be reflected by enlargement of third ventricle or temporal horns or by structural atrophy detected on</w:t>
      </w:r>
      <w:r>
        <w:rPr>
          <w:spacing w:val="-20"/>
          <w:w w:val="105"/>
        </w:rPr>
        <w:t xml:space="preserve"> </w:t>
      </w:r>
      <w:r>
        <w:rPr>
          <w:w w:val="105"/>
        </w:rPr>
        <w:t>MRI.</w:t>
      </w:r>
    </w:p>
    <w:p w:rsidR="00E675F0" w:rsidRDefault="00E675F0" w:rsidP="00E675F0">
      <w:pPr>
        <w:pStyle w:val="BodyText"/>
        <w:rPr>
          <w:sz w:val="22"/>
        </w:rPr>
      </w:pPr>
    </w:p>
    <w:p w:rsidR="00E675F0" w:rsidRDefault="00E675F0" w:rsidP="00E675F0">
      <w:pPr>
        <w:spacing w:before="138"/>
        <w:ind w:left="130"/>
        <w:rPr>
          <w:rFonts w:ascii="TimesNewRomanPS-BoldItalicMT"/>
          <w:b/>
          <w:i/>
          <w:sz w:val="24"/>
        </w:rPr>
      </w:pPr>
      <w:r>
        <w:rPr>
          <w:rFonts w:ascii="TimesNewRomanPS-BoldItalicMT"/>
          <w:b/>
          <w:i/>
          <w:w w:val="115"/>
          <w:sz w:val="24"/>
        </w:rPr>
        <w:t>Specifiers</w:t>
      </w:r>
    </w:p>
    <w:p w:rsidR="00E675F0" w:rsidRDefault="00E675F0" w:rsidP="00E675F0">
      <w:pPr>
        <w:pStyle w:val="BodyText"/>
        <w:spacing w:before="141"/>
        <w:ind w:left="133"/>
        <w:jc w:val="both"/>
      </w:pPr>
      <w:r>
        <w:rPr>
          <w:w w:val="105"/>
        </w:rPr>
        <w:t>The following specifiers may be noted to indicate the duration of the disturbance.</w:t>
      </w:r>
    </w:p>
    <w:p w:rsidR="00E675F0" w:rsidRDefault="00E675F0" w:rsidP="00E675F0">
      <w:pPr>
        <w:pStyle w:val="BodyText"/>
        <w:spacing w:before="68" w:line="252" w:lineRule="auto"/>
        <w:ind w:left="737" w:right="140" w:hanging="4"/>
        <w:jc w:val="both"/>
      </w:pPr>
      <w:r>
        <w:rPr>
          <w:b/>
          <w:w w:val="105"/>
        </w:rPr>
        <w:t xml:space="preserve">Transient. </w:t>
      </w:r>
      <w:r>
        <w:rPr>
          <w:w w:val="105"/>
        </w:rPr>
        <w:t>This specifier is used to indicate durations usually from several hours to a few days and for no more than 1 month. When the diagnosis is made within the</w:t>
      </w:r>
      <w:r>
        <w:rPr>
          <w:spacing w:val="-17"/>
          <w:w w:val="105"/>
        </w:rPr>
        <w:t xml:space="preserve"> </w:t>
      </w:r>
      <w:r>
        <w:rPr>
          <w:w w:val="105"/>
        </w:rPr>
        <w:t>first</w:t>
      </w:r>
      <w:r>
        <w:rPr>
          <w:spacing w:val="-13"/>
          <w:w w:val="105"/>
        </w:rPr>
        <w:t xml:space="preserve"> </w:t>
      </w:r>
      <w:r>
        <w:rPr>
          <w:w w:val="105"/>
        </w:rPr>
        <w:t>month</w:t>
      </w:r>
      <w:r>
        <w:rPr>
          <w:spacing w:val="-6"/>
          <w:w w:val="105"/>
        </w:rPr>
        <w:t xml:space="preserve"> </w:t>
      </w:r>
      <w:r>
        <w:rPr>
          <w:w w:val="105"/>
        </w:rPr>
        <w:t>without</w:t>
      </w:r>
      <w:r>
        <w:rPr>
          <w:spacing w:val="-7"/>
          <w:w w:val="105"/>
        </w:rPr>
        <w:t xml:space="preserve"> </w:t>
      </w:r>
      <w:r>
        <w:rPr>
          <w:w w:val="105"/>
        </w:rPr>
        <w:t>waiting</w:t>
      </w:r>
      <w:r>
        <w:rPr>
          <w:spacing w:val="-13"/>
          <w:w w:val="105"/>
        </w:rPr>
        <w:t xml:space="preserve"> </w:t>
      </w:r>
      <w:r>
        <w:rPr>
          <w:w w:val="105"/>
        </w:rPr>
        <w:t>for</w:t>
      </w:r>
      <w:r>
        <w:rPr>
          <w:spacing w:val="-13"/>
          <w:w w:val="105"/>
        </w:rPr>
        <w:t xml:space="preserve"> </w:t>
      </w:r>
      <w:r>
        <w:rPr>
          <w:w w:val="105"/>
        </w:rPr>
        <w:t>recovery,</w:t>
      </w:r>
      <w:r>
        <w:rPr>
          <w:spacing w:val="6"/>
          <w:w w:val="105"/>
        </w:rPr>
        <w:t xml:space="preserve"> </w:t>
      </w:r>
      <w:r>
        <w:rPr>
          <w:w w:val="105"/>
        </w:rPr>
        <w:t>the</w:t>
      </w:r>
      <w:r>
        <w:rPr>
          <w:spacing w:val="-11"/>
          <w:w w:val="105"/>
        </w:rPr>
        <w:t xml:space="preserve"> </w:t>
      </w:r>
      <w:r>
        <w:rPr>
          <w:w w:val="105"/>
        </w:rPr>
        <w:t>term</w:t>
      </w:r>
      <w:r>
        <w:rPr>
          <w:spacing w:val="-15"/>
          <w:w w:val="105"/>
        </w:rPr>
        <w:t xml:space="preserve"> </w:t>
      </w:r>
      <w:r>
        <w:rPr>
          <w:w w:val="105"/>
        </w:rPr>
        <w:t>"provisional"</w:t>
      </w:r>
      <w:r>
        <w:rPr>
          <w:spacing w:val="3"/>
          <w:w w:val="105"/>
        </w:rPr>
        <w:t xml:space="preserve"> </w:t>
      </w:r>
      <w:r>
        <w:rPr>
          <w:w w:val="105"/>
        </w:rPr>
        <w:t>may</w:t>
      </w:r>
      <w:r>
        <w:rPr>
          <w:spacing w:val="-12"/>
          <w:w w:val="105"/>
        </w:rPr>
        <w:t xml:space="preserve"> </w:t>
      </w:r>
      <w:r>
        <w:rPr>
          <w:w w:val="105"/>
        </w:rPr>
        <w:t>be</w:t>
      </w:r>
      <w:r>
        <w:rPr>
          <w:spacing w:val="-15"/>
          <w:w w:val="105"/>
        </w:rPr>
        <w:t xml:space="preserve"> </w:t>
      </w:r>
      <w:r>
        <w:rPr>
          <w:w w:val="105"/>
        </w:rPr>
        <w:t>added. "Transient global amnesia" is a specific form of transient amnestic disorder, characterized by a dense, transitory inability to learn new information and a variable impaired ability to recall events that occurred just before, or in the midst of, the etiological cerebrovascular</w:t>
      </w:r>
      <w:r>
        <w:rPr>
          <w:spacing w:val="3"/>
          <w:w w:val="105"/>
        </w:rPr>
        <w:t xml:space="preserve"> </w:t>
      </w:r>
      <w:r>
        <w:rPr>
          <w:w w:val="105"/>
        </w:rPr>
        <w:t>problem.</w:t>
      </w:r>
    </w:p>
    <w:p w:rsidR="00E675F0" w:rsidRDefault="00E675F0" w:rsidP="00E675F0">
      <w:pPr>
        <w:pStyle w:val="BodyText"/>
        <w:spacing w:before="2"/>
        <w:ind w:left="742"/>
        <w:jc w:val="both"/>
      </w:pPr>
      <w:r>
        <w:rPr>
          <w:b/>
          <w:w w:val="105"/>
        </w:rPr>
        <w:t xml:space="preserve">Chronic. </w:t>
      </w:r>
      <w:r>
        <w:rPr>
          <w:w w:val="105"/>
        </w:rPr>
        <w:t>This specifier is used for disturbances that last for more than 1 month.</w:t>
      </w:r>
    </w:p>
    <w:p w:rsidR="00E675F0" w:rsidRDefault="00E675F0" w:rsidP="00E675F0">
      <w:pPr>
        <w:pStyle w:val="BodyText"/>
        <w:rPr>
          <w:sz w:val="22"/>
        </w:rPr>
      </w:pPr>
    </w:p>
    <w:p w:rsidR="00E675F0" w:rsidRDefault="00E675F0" w:rsidP="00E675F0">
      <w:pPr>
        <w:spacing w:before="176"/>
        <w:ind w:left="127"/>
        <w:rPr>
          <w:rFonts w:ascii="TimesNewRomanPS-BoldItalicMT"/>
          <w:b/>
          <w:i/>
          <w:sz w:val="24"/>
        </w:rPr>
      </w:pPr>
      <w:r>
        <w:rPr>
          <w:rFonts w:ascii="TimesNewRomanPS-BoldItalicMT"/>
          <w:b/>
          <w:i/>
          <w:w w:val="115"/>
          <w:sz w:val="24"/>
        </w:rPr>
        <w:t>Recording Procedures</w:t>
      </w:r>
    </w:p>
    <w:p w:rsidR="00E675F0" w:rsidRDefault="00E675F0" w:rsidP="00E675F0">
      <w:pPr>
        <w:pStyle w:val="BodyText"/>
        <w:spacing w:before="141" w:line="256" w:lineRule="auto"/>
        <w:ind w:left="142" w:right="144" w:firstLine="1"/>
        <w:jc w:val="both"/>
      </w:pPr>
      <w:r>
        <w:rPr>
          <w:w w:val="105"/>
        </w:rPr>
        <w:t>In recording the diagnosis of Amnestic Disorder Due to a General Medical Condition, the clinician should note the identified general medical condition judged to be causing the disturbance on Axis I (e.g., 294.0 Amnestic Disorder Due to Stroke). The ICD-9-CM code</w:t>
      </w:r>
      <w:r>
        <w:rPr>
          <w:spacing w:val="-12"/>
          <w:w w:val="105"/>
        </w:rPr>
        <w:t xml:space="preserve"> </w:t>
      </w:r>
      <w:r>
        <w:rPr>
          <w:w w:val="105"/>
        </w:rPr>
        <w:t>for</w:t>
      </w:r>
      <w:r>
        <w:rPr>
          <w:spacing w:val="-5"/>
          <w:w w:val="105"/>
        </w:rPr>
        <w:t xml:space="preserve"> </w:t>
      </w:r>
      <w:r>
        <w:rPr>
          <w:w w:val="105"/>
        </w:rPr>
        <w:t>the</w:t>
      </w:r>
      <w:r>
        <w:rPr>
          <w:spacing w:val="-17"/>
          <w:w w:val="105"/>
        </w:rPr>
        <w:t xml:space="preserve"> </w:t>
      </w:r>
      <w:r>
        <w:rPr>
          <w:w w:val="105"/>
        </w:rPr>
        <w:t>general</w:t>
      </w:r>
      <w:r>
        <w:rPr>
          <w:spacing w:val="-6"/>
          <w:w w:val="105"/>
        </w:rPr>
        <w:t xml:space="preserve"> </w:t>
      </w:r>
      <w:r>
        <w:rPr>
          <w:w w:val="105"/>
        </w:rPr>
        <w:t>medical</w:t>
      </w:r>
      <w:r>
        <w:rPr>
          <w:spacing w:val="-5"/>
          <w:w w:val="105"/>
        </w:rPr>
        <w:t xml:space="preserve"> </w:t>
      </w:r>
      <w:r>
        <w:rPr>
          <w:w w:val="105"/>
        </w:rPr>
        <w:t>condition</w:t>
      </w:r>
      <w:r>
        <w:rPr>
          <w:spacing w:val="-8"/>
          <w:w w:val="105"/>
        </w:rPr>
        <w:t xml:space="preserve"> </w:t>
      </w:r>
      <w:r>
        <w:rPr>
          <w:w w:val="105"/>
        </w:rPr>
        <w:t>should</w:t>
      </w:r>
      <w:r>
        <w:rPr>
          <w:spacing w:val="-6"/>
          <w:w w:val="105"/>
        </w:rPr>
        <w:t xml:space="preserve"> </w:t>
      </w:r>
      <w:r>
        <w:rPr>
          <w:w w:val="105"/>
        </w:rPr>
        <w:t>also</w:t>
      </w:r>
      <w:r>
        <w:rPr>
          <w:spacing w:val="-2"/>
          <w:w w:val="105"/>
        </w:rPr>
        <w:t xml:space="preserve"> </w:t>
      </w:r>
      <w:r>
        <w:rPr>
          <w:w w:val="105"/>
        </w:rPr>
        <w:t>be</w:t>
      </w:r>
      <w:r>
        <w:rPr>
          <w:spacing w:val="-6"/>
          <w:w w:val="105"/>
        </w:rPr>
        <w:t xml:space="preserve"> </w:t>
      </w:r>
      <w:r>
        <w:rPr>
          <w:w w:val="105"/>
        </w:rPr>
        <w:t>noted</w:t>
      </w:r>
      <w:r>
        <w:rPr>
          <w:spacing w:val="1"/>
          <w:w w:val="105"/>
        </w:rPr>
        <w:t xml:space="preserve"> </w:t>
      </w:r>
      <w:r>
        <w:rPr>
          <w:w w:val="105"/>
        </w:rPr>
        <w:t>on</w:t>
      </w:r>
      <w:r>
        <w:rPr>
          <w:spacing w:val="-3"/>
          <w:w w:val="105"/>
        </w:rPr>
        <w:t xml:space="preserve"> </w:t>
      </w:r>
      <w:r>
        <w:rPr>
          <w:w w:val="105"/>
        </w:rPr>
        <w:t>Axis</w:t>
      </w:r>
      <w:r>
        <w:rPr>
          <w:spacing w:val="-8"/>
          <w:w w:val="105"/>
        </w:rPr>
        <w:t xml:space="preserve"> </w:t>
      </w:r>
      <w:r>
        <w:rPr>
          <w:w w:val="105"/>
        </w:rPr>
        <w:t>III</w:t>
      </w:r>
      <w:r>
        <w:rPr>
          <w:spacing w:val="-7"/>
          <w:w w:val="105"/>
        </w:rPr>
        <w:t xml:space="preserve"> </w:t>
      </w:r>
      <w:r>
        <w:rPr>
          <w:w w:val="105"/>
        </w:rPr>
        <w:t>(e.g.,</w:t>
      </w:r>
      <w:r>
        <w:rPr>
          <w:spacing w:val="-1"/>
          <w:w w:val="105"/>
        </w:rPr>
        <w:t xml:space="preserve"> </w:t>
      </w:r>
      <w:r>
        <w:rPr>
          <w:w w:val="105"/>
        </w:rPr>
        <w:t>436</w:t>
      </w:r>
      <w:r>
        <w:rPr>
          <w:spacing w:val="-19"/>
          <w:w w:val="105"/>
        </w:rPr>
        <w:t xml:space="preserve"> </w:t>
      </w:r>
      <w:r>
        <w:rPr>
          <w:w w:val="105"/>
        </w:rPr>
        <w:t>stroke).</w:t>
      </w:r>
    </w:p>
    <w:p w:rsidR="00E675F0" w:rsidRDefault="00E675F0" w:rsidP="00E675F0">
      <w:pPr>
        <w:spacing w:line="256" w:lineRule="auto"/>
        <w:jc w:val="both"/>
        <w:sectPr w:rsidR="00E675F0">
          <w:pgSz w:w="8960" w:h="14260"/>
          <w:pgMar w:top="980" w:right="600" w:bottom="280" w:left="600" w:header="682" w:footer="0" w:gutter="0"/>
          <w:cols w:space="720"/>
        </w:sectPr>
      </w:pPr>
    </w:p>
    <w:p w:rsidR="00E675F0" w:rsidRDefault="00E675F0" w:rsidP="00E675F0">
      <w:pPr>
        <w:pStyle w:val="BodyText"/>
      </w:pPr>
    </w:p>
    <w:p w:rsidR="00E675F0" w:rsidRDefault="00E675F0" w:rsidP="00E675F0">
      <w:pPr>
        <w:pStyle w:val="BodyText"/>
        <w:spacing w:before="4"/>
        <w:rPr>
          <w:sz w:val="24"/>
        </w:rPr>
      </w:pPr>
    </w:p>
    <w:p w:rsidR="00E675F0" w:rsidRDefault="00E675F0" w:rsidP="00E675F0">
      <w:pPr>
        <w:pStyle w:val="BodyText"/>
        <w:spacing w:before="92" w:line="256" w:lineRule="auto"/>
        <w:ind w:left="151" w:right="129" w:firstLine="3"/>
        <w:jc w:val="both"/>
      </w:pPr>
      <w:bookmarkStart w:id="102" w:name="_bookmark85"/>
      <w:bookmarkEnd w:id="102"/>
      <w:r>
        <w:rPr>
          <w:w w:val="105"/>
        </w:rPr>
        <w:t>(See Appendix G for a list of selected ICD-9-CM diagnostic codes for general medical conditions.)</w:t>
      </w:r>
    </w:p>
    <w:p w:rsidR="00E675F0" w:rsidRDefault="00E675F0" w:rsidP="00E675F0">
      <w:pPr>
        <w:pStyle w:val="BodyText"/>
        <w:rPr>
          <w:sz w:val="22"/>
        </w:rPr>
      </w:pPr>
    </w:p>
    <w:p w:rsidR="00E675F0" w:rsidRDefault="00E675F0" w:rsidP="00E675F0">
      <w:pPr>
        <w:pStyle w:val="BodyText"/>
        <w:rPr>
          <w:sz w:val="23"/>
        </w:rPr>
      </w:pPr>
    </w:p>
    <w:p w:rsidR="00E675F0" w:rsidRDefault="00E675F0" w:rsidP="00E675F0">
      <w:pPr>
        <w:spacing w:before="1"/>
        <w:ind w:left="133"/>
        <w:jc w:val="both"/>
        <w:rPr>
          <w:rFonts w:ascii="TimesNewRomanPS-BoldItalicMT"/>
          <w:b/>
          <w:i/>
          <w:sz w:val="24"/>
        </w:rPr>
      </w:pPr>
      <w:r>
        <w:rPr>
          <w:rFonts w:ascii="TimesNewRomanPS-BoldItalicMT"/>
          <w:b/>
          <w:i/>
          <w:w w:val="115"/>
          <w:sz w:val="24"/>
        </w:rPr>
        <w:t>Associated General Medical Conditions</w:t>
      </w:r>
    </w:p>
    <w:p w:rsidR="00E675F0" w:rsidRDefault="00E675F0" w:rsidP="00E675F0">
      <w:pPr>
        <w:pStyle w:val="BodyText"/>
        <w:spacing w:before="184" w:line="254" w:lineRule="auto"/>
        <w:ind w:left="149" w:right="111" w:hanging="3"/>
        <w:jc w:val="both"/>
      </w:pPr>
      <w:r>
        <w:rPr>
          <w:w w:val="105"/>
        </w:rPr>
        <w:t xml:space="preserve">An amnestic disorder often occurs as the result of pathological processes (e.g., closed head trauma, penetrating missile wounds, surgical intervention, hypoxia, infarction  of the distribution of the posterior cerebral artery, and herpes simplex encephalitis) that cause damage </w:t>
      </w:r>
      <w:r>
        <w:rPr>
          <w:w w:val="105"/>
          <w:sz w:val="18"/>
        </w:rPr>
        <w:t xml:space="preserve">to </w:t>
      </w:r>
      <w:r>
        <w:rPr>
          <w:w w:val="105"/>
        </w:rPr>
        <w:t>specific diencephalic and mediotemporal lobe structures (e.g., mammillary bodies, hippocampus, fornix). Pathology is most often bilateral, but deficits may arise from unilateral lesions. Transient Amnestic Disorder, when encountered as "transient global amnesia," is typically associated with cerebrovascular disease and pathology</w:t>
      </w:r>
      <w:r>
        <w:rPr>
          <w:spacing w:val="-8"/>
          <w:w w:val="105"/>
        </w:rPr>
        <w:t xml:space="preserve"> </w:t>
      </w:r>
      <w:r>
        <w:rPr>
          <w:w w:val="105"/>
        </w:rPr>
        <w:t>in</w:t>
      </w:r>
      <w:r>
        <w:rPr>
          <w:spacing w:val="-7"/>
          <w:w w:val="105"/>
        </w:rPr>
        <w:t xml:space="preserve"> </w:t>
      </w:r>
      <w:r>
        <w:rPr>
          <w:w w:val="105"/>
        </w:rPr>
        <w:t>the</w:t>
      </w:r>
      <w:r>
        <w:rPr>
          <w:spacing w:val="-20"/>
          <w:w w:val="105"/>
        </w:rPr>
        <w:t xml:space="preserve"> </w:t>
      </w:r>
      <w:r>
        <w:rPr>
          <w:w w:val="105"/>
        </w:rPr>
        <w:t>vertebrobasilar</w:t>
      </w:r>
      <w:r>
        <w:rPr>
          <w:spacing w:val="-26"/>
          <w:w w:val="105"/>
        </w:rPr>
        <w:t xml:space="preserve"> </w:t>
      </w:r>
      <w:r>
        <w:rPr>
          <w:w w:val="105"/>
        </w:rPr>
        <w:t>system.</w:t>
      </w:r>
      <w:r>
        <w:rPr>
          <w:spacing w:val="-18"/>
          <w:w w:val="105"/>
        </w:rPr>
        <w:t xml:space="preserve"> </w:t>
      </w:r>
      <w:r>
        <w:rPr>
          <w:w w:val="105"/>
        </w:rPr>
        <w:t>Transient</w:t>
      </w:r>
      <w:r>
        <w:rPr>
          <w:spacing w:val="-7"/>
          <w:w w:val="105"/>
        </w:rPr>
        <w:t xml:space="preserve"> </w:t>
      </w:r>
      <w:r>
        <w:rPr>
          <w:w w:val="105"/>
        </w:rPr>
        <w:t>Amnestic</w:t>
      </w:r>
      <w:r>
        <w:rPr>
          <w:spacing w:val="-7"/>
          <w:w w:val="105"/>
        </w:rPr>
        <w:t xml:space="preserve"> </w:t>
      </w:r>
      <w:r>
        <w:rPr>
          <w:w w:val="105"/>
        </w:rPr>
        <w:t>Disorder</w:t>
      </w:r>
      <w:r>
        <w:rPr>
          <w:spacing w:val="1"/>
          <w:w w:val="105"/>
        </w:rPr>
        <w:t xml:space="preserve"> </w:t>
      </w:r>
      <w:r>
        <w:rPr>
          <w:w w:val="105"/>
        </w:rPr>
        <w:t>may</w:t>
      </w:r>
      <w:r>
        <w:rPr>
          <w:spacing w:val="-12"/>
          <w:w w:val="105"/>
        </w:rPr>
        <w:t xml:space="preserve"> </w:t>
      </w:r>
      <w:r>
        <w:rPr>
          <w:w w:val="105"/>
        </w:rPr>
        <w:t>also</w:t>
      </w:r>
      <w:r>
        <w:rPr>
          <w:spacing w:val="-13"/>
          <w:w w:val="105"/>
        </w:rPr>
        <w:t xml:space="preserve"> </w:t>
      </w:r>
      <w:r>
        <w:rPr>
          <w:w w:val="105"/>
        </w:rPr>
        <w:t>arise</w:t>
      </w:r>
      <w:r>
        <w:rPr>
          <w:spacing w:val="-19"/>
          <w:w w:val="105"/>
        </w:rPr>
        <w:t xml:space="preserve"> </w:t>
      </w:r>
      <w:r>
        <w:rPr>
          <w:w w:val="105"/>
        </w:rPr>
        <w:t>from episodic general medical conditions (e.g., metabolic conditions or</w:t>
      </w:r>
      <w:r>
        <w:rPr>
          <w:spacing w:val="9"/>
          <w:w w:val="105"/>
        </w:rPr>
        <w:t xml:space="preserve"> </w:t>
      </w:r>
      <w:r>
        <w:rPr>
          <w:w w:val="105"/>
        </w:rPr>
        <w:t>seizures).</w:t>
      </w:r>
    </w:p>
    <w:p w:rsidR="00E675F0" w:rsidRDefault="00E675F0" w:rsidP="00E675F0">
      <w:pPr>
        <w:pStyle w:val="BodyText"/>
        <w:rPr>
          <w:sz w:val="22"/>
        </w:rPr>
      </w:pPr>
    </w:p>
    <w:p w:rsidR="00E675F0" w:rsidRDefault="00E675F0" w:rsidP="00E675F0">
      <w:pPr>
        <w:pStyle w:val="BodyText"/>
        <w:rPr>
          <w:sz w:val="23"/>
        </w:rPr>
      </w:pPr>
    </w:p>
    <w:p w:rsidR="00E675F0" w:rsidRDefault="00E675F0" w:rsidP="00E675F0">
      <w:pPr>
        <w:spacing w:before="1"/>
        <w:ind w:left="131"/>
        <w:jc w:val="both"/>
        <w:rPr>
          <w:rFonts w:ascii="TimesNewRomanPS-BoldItalicMT"/>
          <w:b/>
          <w:i/>
          <w:sz w:val="24"/>
        </w:rPr>
      </w:pPr>
      <w:r>
        <w:rPr>
          <w:rFonts w:ascii="TimesNewRomanPS-BoldItalicMT"/>
          <w:b/>
          <w:i/>
          <w:w w:val="120"/>
          <w:sz w:val="24"/>
        </w:rPr>
        <w:t>mfferential magnosis</w:t>
      </w:r>
    </w:p>
    <w:p w:rsidR="00E675F0" w:rsidRDefault="00E675F0" w:rsidP="00E675F0">
      <w:pPr>
        <w:pStyle w:val="BodyText"/>
        <w:spacing w:before="179"/>
        <w:ind w:left="150"/>
        <w:jc w:val="both"/>
      </w:pPr>
      <w:r>
        <w:rPr>
          <w:noProof/>
        </w:rPr>
        <mc:AlternateContent>
          <mc:Choice Requires="wpg">
            <w:drawing>
              <wp:anchor distT="0" distB="0" distL="114300" distR="114300" simplePos="0" relativeHeight="251789312" behindDoc="1" locked="0" layoutInCell="1" allowOverlap="1" wp14:anchorId="620EB425" wp14:editId="6921CCE0">
                <wp:simplePos x="0" y="0"/>
                <wp:positionH relativeFrom="page">
                  <wp:posOffset>472440</wp:posOffset>
                </wp:positionH>
                <wp:positionV relativeFrom="paragraph">
                  <wp:posOffset>531495</wp:posOffset>
                </wp:positionV>
                <wp:extent cx="4765675" cy="3956050"/>
                <wp:effectExtent l="0" t="0" r="22225" b="0"/>
                <wp:wrapNone/>
                <wp:docPr id="1452" name="Group 1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5675" cy="3956050"/>
                          <a:chOff x="744" y="837"/>
                          <a:chExt cx="7505" cy="6230"/>
                        </a:xfrm>
                      </wpg:grpSpPr>
                      <wps:wsp>
                        <wps:cNvPr id="1453" name="Line 1411"/>
                        <wps:cNvCnPr>
                          <a:cxnSpLocks/>
                        </wps:cNvCnPr>
                        <wps:spPr bwMode="auto">
                          <a:xfrm>
                            <a:off x="8157" y="7066"/>
                            <a:ext cx="0" cy="0"/>
                          </a:xfrm>
                          <a:prstGeom prst="line">
                            <a:avLst/>
                          </a:prstGeom>
                          <a:noFill/>
                          <a:ln w="2749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4" name="Line 1410"/>
                        <wps:cNvCnPr>
                          <a:cxnSpLocks/>
                        </wps:cNvCnPr>
                        <wps:spPr bwMode="auto">
                          <a:xfrm>
                            <a:off x="744" y="914"/>
                            <a:ext cx="7504" cy="0"/>
                          </a:xfrm>
                          <a:prstGeom prst="line">
                            <a:avLst/>
                          </a:prstGeom>
                          <a:noFill/>
                          <a:ln w="366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5" name="Line 1409"/>
                        <wps:cNvCnPr>
                          <a:cxnSpLocks/>
                        </wps:cNvCnPr>
                        <wps:spPr bwMode="auto">
                          <a:xfrm>
                            <a:off x="763" y="6970"/>
                            <a:ext cx="7485" cy="0"/>
                          </a:xfrm>
                          <a:prstGeom prst="line">
                            <a:avLst/>
                          </a:prstGeom>
                          <a:noFill/>
                          <a:ln w="335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E3D526" id="Group 1408" o:spid="_x0000_s1026" style="position:absolute;margin-left:37.2pt;margin-top:41.85pt;width:375.25pt;height:311.5pt;z-index:-251527168;mso-position-horizontal-relative:page" coordorigin="744,837" coordsize="7505,62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">
                <v:line id="Line 1411" o:spid="_x0000_s1027" style="position:absolute;visibility:visible;mso-wrap-style:square" from="8157,7066" to="8157,70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" strokeweight=".76369mm">
                  <o:lock v:ext="edit" shapetype="f"/>
                </v:line>
                <v:line id="Line 1410" o:spid="_x0000_s1028" style="position:absolute;visibility:visible;mso-wrap-style:square" from="744,914" to="8248,9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" strokeweight="1.0174mm">
                  <o:lock v:ext="edit" shapetype="f"/>
                </v:line>
                <v:line id="Line 1409" o:spid="_x0000_s1029" style="position:absolute;visibility:visible;mso-wrap-style:square" from="763,6970" to="8248,69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" strokeweight=".93264mm">
                  <o:lock v:ext="edit" shapetype="f"/>
                </v:line>
                <w10:wrap anchorx="page"/>
              </v:group>
            </w:pict>
          </mc:Fallback>
        </mc:AlternateContent>
      </w:r>
      <w:r>
        <w:rPr>
          <w:w w:val="105"/>
        </w:rPr>
        <w:t>Seep. 158 for a discussion of the differential diagnosis of amnestic disorders.</w:t>
      </w:r>
    </w:p>
    <w:p w:rsidR="00E675F0" w:rsidRDefault="00E675F0" w:rsidP="00E675F0">
      <w:pPr>
        <w:pStyle w:val="BodyText"/>
      </w:pPr>
    </w:p>
    <w:p w:rsidR="00E675F0" w:rsidRDefault="00E675F0" w:rsidP="00E675F0">
      <w:pPr>
        <w:pStyle w:val="BodyText"/>
        <w:spacing w:before="4" w:after="1"/>
        <w:rPr>
          <w:sz w:val="21"/>
        </w:rPr>
      </w:pPr>
    </w:p>
    <w:tbl>
      <w:tblPr>
        <w:tblW w:w="0" w:type="auto"/>
        <w:tblInd w:w="266"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7327"/>
      </w:tblGrid>
      <w:tr w:rsidR="00E675F0" w:rsidTr="00A330E1">
        <w:trPr>
          <w:trHeight w:val="5996"/>
        </w:trPr>
        <w:tc>
          <w:tcPr>
            <w:tcW w:w="7327" w:type="dxa"/>
            <w:tcBorders>
              <w:right w:val="single" w:sz="18" w:space="0" w:color="000000"/>
            </w:tcBorders>
          </w:tcPr>
          <w:p w:rsidR="00E675F0" w:rsidRDefault="00E675F0" w:rsidP="003048D3">
            <w:pPr>
              <w:pStyle w:val="TableParagraph"/>
              <w:numPr>
                <w:ilvl w:val="0"/>
                <w:numId w:val="51"/>
              </w:numPr>
              <w:tabs>
                <w:tab w:val="left" w:pos="622"/>
                <w:tab w:val="left" w:pos="1401"/>
              </w:tabs>
              <w:spacing w:before="61" w:line="189" w:lineRule="auto"/>
              <w:ind w:right="551" w:hanging="384"/>
              <w:rPr>
                <w:rFonts w:ascii="TimesNewRomanPS-BoldItalicMT" w:hAnsi="TimesNewRomanPS-BoldItalicMT"/>
                <w:b/>
                <w:i/>
                <w:sz w:val="28"/>
              </w:rPr>
            </w:pPr>
            <w:r>
              <w:rPr>
                <w:rFonts w:ascii="Arial" w:hAnsi="Arial"/>
                <w:b/>
                <w:sz w:val="24"/>
              </w:rPr>
              <w:t>Diagnostic criteria for 294.0 Amnestic Disorder Due to</w:t>
            </w:r>
            <w:r>
              <w:rPr>
                <w:rFonts w:ascii="Arial" w:hAnsi="Arial"/>
                <w:b/>
                <w:spacing w:val="1"/>
                <w:sz w:val="24"/>
              </w:rPr>
              <w:t xml:space="preserve"> </w:t>
            </w:r>
            <w:r>
              <w:rPr>
                <w:rFonts w:ascii="Arial" w:hAnsi="Arial"/>
                <w:sz w:val="24"/>
              </w:rPr>
              <w:t>...</w:t>
            </w:r>
            <w:r>
              <w:rPr>
                <w:rFonts w:ascii="Arial" w:hAnsi="Arial"/>
                <w:sz w:val="24"/>
              </w:rPr>
              <w:tab/>
            </w:r>
            <w:r>
              <w:rPr>
                <w:rFonts w:ascii="TimesNewRomanPS-BoldItalicMT" w:hAnsi="TimesNewRomanPS-BoldItalicMT"/>
                <w:b/>
                <w:i/>
                <w:sz w:val="28"/>
              </w:rPr>
              <w:t>[Indicate</w:t>
            </w:r>
            <w:r>
              <w:rPr>
                <w:rFonts w:ascii="TimesNewRomanPS-BoldItalicMT" w:hAnsi="TimesNewRomanPS-BoldItalicMT"/>
                <w:b/>
                <w:i/>
                <w:spacing w:val="-19"/>
                <w:sz w:val="28"/>
              </w:rPr>
              <w:t xml:space="preserve"> </w:t>
            </w:r>
            <w:r>
              <w:rPr>
                <w:rFonts w:ascii="TimesNewRomanPS-BoldItalicMT" w:hAnsi="TimesNewRomanPS-BoldItalicMT"/>
                <w:b/>
                <w:i/>
                <w:sz w:val="28"/>
              </w:rPr>
              <w:t>the</w:t>
            </w:r>
            <w:r>
              <w:rPr>
                <w:rFonts w:ascii="TimesNewRomanPS-BoldItalicMT" w:hAnsi="TimesNewRomanPS-BoldItalicMT"/>
                <w:b/>
                <w:i/>
                <w:spacing w:val="-31"/>
                <w:sz w:val="28"/>
              </w:rPr>
              <w:t xml:space="preserve"> </w:t>
            </w:r>
            <w:r>
              <w:rPr>
                <w:rFonts w:ascii="TimesNewRomanPS-BoldItalicMT" w:hAnsi="TimesNewRomanPS-BoldItalicMT"/>
                <w:b/>
                <w:i/>
                <w:sz w:val="28"/>
              </w:rPr>
              <w:t>General</w:t>
            </w:r>
            <w:r>
              <w:rPr>
                <w:rFonts w:ascii="TimesNewRomanPS-BoldItalicMT" w:hAnsi="TimesNewRomanPS-BoldItalicMT"/>
                <w:b/>
                <w:i/>
                <w:spacing w:val="4"/>
                <w:sz w:val="28"/>
              </w:rPr>
              <w:t xml:space="preserve"> </w:t>
            </w:r>
            <w:r>
              <w:rPr>
                <w:rFonts w:ascii="TimesNewRomanPS-BoldItalicMT" w:hAnsi="TimesNewRomanPS-BoldItalicMT"/>
                <w:b/>
                <w:i/>
                <w:sz w:val="28"/>
              </w:rPr>
              <w:t>Medical</w:t>
            </w:r>
            <w:r>
              <w:rPr>
                <w:rFonts w:ascii="TimesNewRomanPS-BoldItalicMT" w:hAnsi="TimesNewRomanPS-BoldItalicMT"/>
                <w:b/>
                <w:i/>
                <w:spacing w:val="-15"/>
                <w:sz w:val="28"/>
              </w:rPr>
              <w:t xml:space="preserve"> </w:t>
            </w:r>
            <w:r>
              <w:rPr>
                <w:rFonts w:ascii="TimesNewRomanPS-BoldItalicMT" w:hAnsi="TimesNewRomanPS-BoldItalicMT"/>
                <w:b/>
                <w:i/>
                <w:sz w:val="28"/>
              </w:rPr>
              <w:t>Condition)</w:t>
            </w:r>
          </w:p>
          <w:p w:rsidR="00E675F0" w:rsidRDefault="00E675F0" w:rsidP="003048D3">
            <w:pPr>
              <w:pStyle w:val="TableParagraph"/>
              <w:numPr>
                <w:ilvl w:val="1"/>
                <w:numId w:val="51"/>
              </w:numPr>
              <w:tabs>
                <w:tab w:val="left" w:pos="951"/>
              </w:tabs>
              <w:spacing w:before="148" w:line="254" w:lineRule="auto"/>
              <w:ind w:right="230" w:hanging="311"/>
              <w:jc w:val="both"/>
              <w:rPr>
                <w:rFonts w:ascii="Arial"/>
                <w:sz w:val="18"/>
              </w:rPr>
            </w:pPr>
            <w:r>
              <w:rPr>
                <w:w w:val="105"/>
                <w:sz w:val="20"/>
              </w:rPr>
              <w:t>The development of memory impairment as manifested by impairment in</w:t>
            </w:r>
            <w:r>
              <w:rPr>
                <w:spacing w:val="-14"/>
                <w:w w:val="105"/>
                <w:sz w:val="20"/>
              </w:rPr>
              <w:t xml:space="preserve"> </w:t>
            </w:r>
            <w:r>
              <w:rPr>
                <w:w w:val="105"/>
                <w:sz w:val="20"/>
              </w:rPr>
              <w:t>the</w:t>
            </w:r>
            <w:r>
              <w:rPr>
                <w:spacing w:val="-12"/>
                <w:w w:val="105"/>
                <w:sz w:val="20"/>
              </w:rPr>
              <w:t xml:space="preserve"> </w:t>
            </w:r>
            <w:r>
              <w:rPr>
                <w:w w:val="105"/>
                <w:sz w:val="20"/>
              </w:rPr>
              <w:t>ability</w:t>
            </w:r>
            <w:r>
              <w:rPr>
                <w:spacing w:val="-5"/>
                <w:w w:val="105"/>
                <w:sz w:val="20"/>
              </w:rPr>
              <w:t xml:space="preserve"> </w:t>
            </w:r>
            <w:r>
              <w:rPr>
                <w:w w:val="105"/>
                <w:sz w:val="20"/>
              </w:rPr>
              <w:t>to</w:t>
            </w:r>
            <w:r>
              <w:rPr>
                <w:spacing w:val="-18"/>
                <w:w w:val="105"/>
                <w:sz w:val="20"/>
              </w:rPr>
              <w:t xml:space="preserve"> </w:t>
            </w:r>
            <w:r>
              <w:rPr>
                <w:w w:val="105"/>
                <w:sz w:val="20"/>
              </w:rPr>
              <w:t>learn</w:t>
            </w:r>
            <w:r>
              <w:rPr>
                <w:spacing w:val="-3"/>
                <w:w w:val="105"/>
                <w:sz w:val="20"/>
              </w:rPr>
              <w:t xml:space="preserve"> </w:t>
            </w:r>
            <w:r>
              <w:rPr>
                <w:w w:val="105"/>
                <w:sz w:val="20"/>
              </w:rPr>
              <w:t>new</w:t>
            </w:r>
            <w:r>
              <w:rPr>
                <w:spacing w:val="-12"/>
                <w:w w:val="105"/>
                <w:sz w:val="20"/>
              </w:rPr>
              <w:t xml:space="preserve"> </w:t>
            </w:r>
            <w:r>
              <w:rPr>
                <w:w w:val="105"/>
                <w:sz w:val="20"/>
              </w:rPr>
              <w:t>information</w:t>
            </w:r>
            <w:r>
              <w:rPr>
                <w:spacing w:val="3"/>
                <w:w w:val="105"/>
                <w:sz w:val="20"/>
              </w:rPr>
              <w:t xml:space="preserve"> </w:t>
            </w:r>
            <w:r>
              <w:rPr>
                <w:w w:val="105"/>
                <w:sz w:val="20"/>
              </w:rPr>
              <w:t>or</w:t>
            </w:r>
            <w:r>
              <w:rPr>
                <w:spacing w:val="-10"/>
                <w:w w:val="105"/>
                <w:sz w:val="20"/>
              </w:rPr>
              <w:t xml:space="preserve"> </w:t>
            </w:r>
            <w:r>
              <w:rPr>
                <w:w w:val="105"/>
                <w:sz w:val="20"/>
              </w:rPr>
              <w:t>the</w:t>
            </w:r>
            <w:r>
              <w:rPr>
                <w:spacing w:val="-12"/>
                <w:w w:val="105"/>
                <w:sz w:val="20"/>
              </w:rPr>
              <w:t xml:space="preserve"> </w:t>
            </w:r>
            <w:r>
              <w:rPr>
                <w:w w:val="105"/>
                <w:sz w:val="20"/>
              </w:rPr>
              <w:t>inability</w:t>
            </w:r>
            <w:r>
              <w:rPr>
                <w:spacing w:val="-10"/>
                <w:w w:val="105"/>
                <w:sz w:val="20"/>
              </w:rPr>
              <w:t xml:space="preserve"> </w:t>
            </w:r>
            <w:r>
              <w:rPr>
                <w:w w:val="105"/>
                <w:sz w:val="20"/>
              </w:rPr>
              <w:t>to</w:t>
            </w:r>
            <w:r>
              <w:rPr>
                <w:spacing w:val="-14"/>
                <w:w w:val="105"/>
                <w:sz w:val="20"/>
              </w:rPr>
              <w:t xml:space="preserve"> </w:t>
            </w:r>
            <w:r>
              <w:rPr>
                <w:w w:val="105"/>
                <w:sz w:val="20"/>
              </w:rPr>
              <w:t>recall</w:t>
            </w:r>
            <w:r>
              <w:rPr>
                <w:spacing w:val="-3"/>
                <w:w w:val="105"/>
                <w:sz w:val="20"/>
              </w:rPr>
              <w:t xml:space="preserve"> </w:t>
            </w:r>
            <w:r>
              <w:rPr>
                <w:w w:val="105"/>
                <w:sz w:val="20"/>
              </w:rPr>
              <w:t>previously learned</w:t>
            </w:r>
            <w:r>
              <w:rPr>
                <w:spacing w:val="14"/>
                <w:w w:val="105"/>
                <w:sz w:val="20"/>
              </w:rPr>
              <w:t xml:space="preserve"> </w:t>
            </w:r>
            <w:r>
              <w:rPr>
                <w:w w:val="105"/>
                <w:sz w:val="20"/>
              </w:rPr>
              <w:t>information.</w:t>
            </w:r>
          </w:p>
          <w:p w:rsidR="00E675F0" w:rsidRDefault="00E675F0" w:rsidP="003048D3">
            <w:pPr>
              <w:pStyle w:val="TableParagraph"/>
              <w:numPr>
                <w:ilvl w:val="1"/>
                <w:numId w:val="51"/>
              </w:numPr>
              <w:tabs>
                <w:tab w:val="left" w:pos="951"/>
              </w:tabs>
              <w:spacing w:before="172" w:line="252" w:lineRule="auto"/>
              <w:ind w:left="958" w:right="221" w:hanging="310"/>
              <w:jc w:val="both"/>
              <w:rPr>
                <w:sz w:val="20"/>
              </w:rPr>
            </w:pPr>
            <w:r>
              <w:rPr>
                <w:w w:val="105"/>
                <w:sz w:val="20"/>
              </w:rPr>
              <w:t>The memory disturbance causes significant impairment in social or occupational functioning and represents a significant decline from a previous level of</w:t>
            </w:r>
            <w:r>
              <w:rPr>
                <w:spacing w:val="39"/>
                <w:w w:val="105"/>
                <w:sz w:val="20"/>
              </w:rPr>
              <w:t xml:space="preserve"> </w:t>
            </w:r>
            <w:r>
              <w:rPr>
                <w:w w:val="105"/>
                <w:sz w:val="20"/>
              </w:rPr>
              <w:t>functioning.</w:t>
            </w:r>
          </w:p>
          <w:p w:rsidR="00E675F0" w:rsidRDefault="00E675F0" w:rsidP="003048D3">
            <w:pPr>
              <w:pStyle w:val="TableParagraph"/>
              <w:numPr>
                <w:ilvl w:val="1"/>
                <w:numId w:val="51"/>
              </w:numPr>
              <w:tabs>
                <w:tab w:val="left" w:pos="951"/>
              </w:tabs>
              <w:spacing w:before="170" w:line="256" w:lineRule="auto"/>
              <w:ind w:left="958" w:right="232" w:hanging="310"/>
              <w:jc w:val="both"/>
              <w:rPr>
                <w:rFonts w:ascii="Arial"/>
                <w:sz w:val="17"/>
              </w:rPr>
            </w:pPr>
            <w:r>
              <w:rPr>
                <w:w w:val="105"/>
                <w:sz w:val="20"/>
              </w:rPr>
              <w:t>The memory disturbance does not occur exclusively during the course of a delirium or a</w:t>
            </w:r>
            <w:r>
              <w:rPr>
                <w:spacing w:val="8"/>
                <w:w w:val="105"/>
                <w:sz w:val="20"/>
              </w:rPr>
              <w:t xml:space="preserve"> </w:t>
            </w:r>
            <w:r>
              <w:rPr>
                <w:w w:val="105"/>
                <w:sz w:val="20"/>
              </w:rPr>
              <w:t>dementia.</w:t>
            </w:r>
          </w:p>
          <w:p w:rsidR="00E675F0" w:rsidRDefault="00E675F0" w:rsidP="003048D3">
            <w:pPr>
              <w:pStyle w:val="TableParagraph"/>
              <w:numPr>
                <w:ilvl w:val="1"/>
                <w:numId w:val="51"/>
              </w:numPr>
              <w:tabs>
                <w:tab w:val="left" w:pos="951"/>
              </w:tabs>
              <w:spacing w:before="181" w:line="256" w:lineRule="auto"/>
              <w:ind w:left="953" w:right="231" w:hanging="299"/>
              <w:jc w:val="both"/>
              <w:rPr>
                <w:sz w:val="20"/>
              </w:rPr>
            </w:pPr>
            <w:r>
              <w:rPr>
                <w:w w:val="105"/>
                <w:sz w:val="20"/>
              </w:rPr>
              <w:t>There is evidence from the history, physical examination, or laboratory findings that the disturbance is the direct physiological consequence of a general medical condition (including physical</w:t>
            </w:r>
            <w:r>
              <w:rPr>
                <w:spacing w:val="48"/>
                <w:w w:val="105"/>
                <w:sz w:val="20"/>
              </w:rPr>
              <w:t xml:space="preserve"> </w:t>
            </w:r>
            <w:r>
              <w:rPr>
                <w:w w:val="105"/>
                <w:sz w:val="20"/>
              </w:rPr>
              <w:t>trauma).</w:t>
            </w:r>
          </w:p>
          <w:p w:rsidR="00E675F0" w:rsidRDefault="00E675F0" w:rsidP="00A330E1">
            <w:pPr>
              <w:pStyle w:val="TableParagraph"/>
              <w:spacing w:before="136"/>
              <w:ind w:left="415"/>
              <w:rPr>
                <w:sz w:val="19"/>
              </w:rPr>
            </w:pPr>
            <w:r>
              <w:rPr>
                <w:i/>
                <w:sz w:val="21"/>
              </w:rPr>
              <w:t xml:space="preserve">Specify </w:t>
            </w:r>
            <w:r>
              <w:rPr>
                <w:sz w:val="19"/>
              </w:rPr>
              <w:t>if:</w:t>
            </w:r>
          </w:p>
          <w:p w:rsidR="00E675F0" w:rsidRDefault="00E675F0" w:rsidP="00A330E1">
            <w:pPr>
              <w:pStyle w:val="TableParagraph"/>
              <w:spacing w:before="4"/>
              <w:ind w:left="641"/>
              <w:rPr>
                <w:sz w:val="20"/>
              </w:rPr>
            </w:pPr>
            <w:r>
              <w:rPr>
                <w:b/>
                <w:w w:val="105"/>
                <w:sz w:val="20"/>
              </w:rPr>
              <w:t xml:space="preserve">Transient: </w:t>
            </w:r>
            <w:r>
              <w:rPr>
                <w:w w:val="105"/>
                <w:sz w:val="21"/>
              </w:rPr>
              <w:t xml:space="preserve">if </w:t>
            </w:r>
            <w:r>
              <w:rPr>
                <w:w w:val="105"/>
                <w:sz w:val="20"/>
              </w:rPr>
              <w:t>memory impairment lasts for 1 month or less</w:t>
            </w:r>
          </w:p>
          <w:p w:rsidR="00E675F0" w:rsidRDefault="00E675F0" w:rsidP="00A330E1">
            <w:pPr>
              <w:pStyle w:val="TableParagraph"/>
              <w:spacing w:before="18"/>
              <w:ind w:left="654"/>
              <w:rPr>
                <w:sz w:val="20"/>
              </w:rPr>
            </w:pPr>
            <w:r>
              <w:rPr>
                <w:b/>
                <w:w w:val="105"/>
                <w:sz w:val="20"/>
              </w:rPr>
              <w:t xml:space="preserve">Chronic: </w:t>
            </w:r>
            <w:r>
              <w:rPr>
                <w:w w:val="105"/>
                <w:sz w:val="20"/>
              </w:rPr>
              <w:t>if memory impairment lasts for more than 1 month</w:t>
            </w:r>
          </w:p>
          <w:p w:rsidR="00E675F0" w:rsidRDefault="00E675F0" w:rsidP="00A330E1">
            <w:pPr>
              <w:pStyle w:val="TableParagraph"/>
              <w:spacing w:before="144"/>
              <w:ind w:left="650"/>
              <w:rPr>
                <w:sz w:val="18"/>
              </w:rPr>
            </w:pPr>
            <w:r>
              <w:rPr>
                <w:b/>
                <w:w w:val="105"/>
                <w:sz w:val="18"/>
              </w:rPr>
              <w:t xml:space="preserve">Coding note: </w:t>
            </w:r>
            <w:r>
              <w:rPr>
                <w:w w:val="105"/>
                <w:sz w:val="18"/>
              </w:rPr>
              <w:t>Include the name of the general medical condition on Axis I, e.g.,</w:t>
            </w:r>
          </w:p>
          <w:p w:rsidR="00E675F0" w:rsidRDefault="00E675F0" w:rsidP="00A330E1">
            <w:pPr>
              <w:pStyle w:val="TableParagraph"/>
              <w:spacing w:before="5" w:line="244" w:lineRule="auto"/>
              <w:ind w:left="646" w:right="44" w:firstLine="12"/>
              <w:rPr>
                <w:sz w:val="18"/>
              </w:rPr>
            </w:pPr>
            <w:r>
              <w:rPr>
                <w:w w:val="105"/>
                <w:sz w:val="18"/>
              </w:rPr>
              <w:t>294.0 Amnestic Disorder Due to Head Trauma; also code the general medical condition on Axis III (see Appendix G for codes).</w:t>
            </w:r>
          </w:p>
        </w:tc>
      </w:tr>
    </w:tbl>
    <w:p w:rsidR="00E675F0" w:rsidRDefault="00E675F0" w:rsidP="00E675F0">
      <w:pPr>
        <w:spacing w:line="244" w:lineRule="auto"/>
        <w:rPr>
          <w:sz w:val="18"/>
        </w:rPr>
        <w:sectPr w:rsidR="00E675F0">
          <w:pgSz w:w="8960" w:h="14260"/>
          <w:pgMar w:top="960" w:right="600" w:bottom="280" w:left="600" w:header="688" w:footer="0" w:gutter="0"/>
          <w:cols w:space="720"/>
        </w:sectPr>
      </w:pPr>
    </w:p>
    <w:p w:rsidR="00E675F0" w:rsidRDefault="00E675F0" w:rsidP="00E675F0">
      <w:pPr>
        <w:pStyle w:val="BodyText"/>
      </w:pPr>
    </w:p>
    <w:p w:rsidR="00E675F0" w:rsidRDefault="00E675F0" w:rsidP="00E675F0">
      <w:pPr>
        <w:pStyle w:val="BodyText"/>
        <w:spacing w:before="6"/>
      </w:pPr>
    </w:p>
    <w:p w:rsidR="00E675F0" w:rsidRDefault="00E675F0" w:rsidP="00E675F0">
      <w:pPr>
        <w:spacing w:before="92"/>
        <w:ind w:left="779"/>
        <w:rPr>
          <w:rFonts w:ascii="Arial"/>
          <w:b/>
          <w:sz w:val="25"/>
        </w:rPr>
      </w:pPr>
      <w:bookmarkStart w:id="103" w:name="_bookmark86"/>
      <w:bookmarkEnd w:id="103"/>
      <w:r>
        <w:rPr>
          <w:rFonts w:ascii="Arial"/>
          <w:b/>
          <w:w w:val="105"/>
          <w:sz w:val="25"/>
        </w:rPr>
        <w:t>Substance-Induced Persisting Amnestic Disorder</w:t>
      </w:r>
    </w:p>
    <w:p w:rsidR="00E675F0" w:rsidRDefault="00E675F0" w:rsidP="00E675F0">
      <w:pPr>
        <w:pStyle w:val="BodyText"/>
        <w:rPr>
          <w:rFonts w:ascii="Arial"/>
          <w:b/>
          <w:sz w:val="24"/>
        </w:rPr>
      </w:pPr>
    </w:p>
    <w:p w:rsidR="00E675F0" w:rsidRDefault="00E675F0" w:rsidP="00E675F0">
      <w:pPr>
        <w:ind w:left="118"/>
        <w:rPr>
          <w:rFonts w:ascii="TimesNewRomanPS-BoldItalicMT"/>
          <w:b/>
          <w:i/>
          <w:sz w:val="24"/>
        </w:rPr>
      </w:pPr>
      <w:r>
        <w:rPr>
          <w:rFonts w:ascii="TimesNewRomanPS-BoldItalicMT"/>
          <w:b/>
          <w:i/>
          <w:w w:val="115"/>
          <w:sz w:val="24"/>
        </w:rPr>
        <w:t>Diagnostic and Associated Features</w:t>
      </w:r>
    </w:p>
    <w:p w:rsidR="00E675F0" w:rsidRDefault="00E675F0" w:rsidP="00E675F0">
      <w:pPr>
        <w:pStyle w:val="BodyText"/>
        <w:spacing w:before="132" w:line="254" w:lineRule="auto"/>
        <w:ind w:left="128" w:right="140" w:hanging="1"/>
        <w:jc w:val="both"/>
      </w:pPr>
      <w:r>
        <w:rPr>
          <w:w w:val="110"/>
        </w:rPr>
        <w:t>The</w:t>
      </w:r>
      <w:r>
        <w:rPr>
          <w:spacing w:val="-33"/>
          <w:w w:val="110"/>
        </w:rPr>
        <w:t xml:space="preserve"> </w:t>
      </w:r>
      <w:r>
        <w:rPr>
          <w:w w:val="110"/>
        </w:rPr>
        <w:t>descriptive</w:t>
      </w:r>
      <w:r>
        <w:rPr>
          <w:spacing w:val="-29"/>
          <w:w w:val="110"/>
        </w:rPr>
        <w:t xml:space="preserve"> </w:t>
      </w:r>
      <w:r>
        <w:rPr>
          <w:w w:val="110"/>
        </w:rPr>
        <w:t>features</w:t>
      </w:r>
      <w:r>
        <w:rPr>
          <w:spacing w:val="-29"/>
          <w:w w:val="110"/>
        </w:rPr>
        <w:t xml:space="preserve"> </w:t>
      </w:r>
      <w:r>
        <w:rPr>
          <w:w w:val="110"/>
        </w:rPr>
        <w:t>of</w:t>
      </w:r>
      <w:r>
        <w:rPr>
          <w:spacing w:val="-31"/>
          <w:w w:val="110"/>
        </w:rPr>
        <w:t xml:space="preserve"> </w:t>
      </w:r>
      <w:r>
        <w:rPr>
          <w:w w:val="110"/>
        </w:rPr>
        <w:t>Substance-Induced</w:t>
      </w:r>
      <w:r>
        <w:rPr>
          <w:spacing w:val="-36"/>
          <w:w w:val="110"/>
        </w:rPr>
        <w:t xml:space="preserve"> </w:t>
      </w:r>
      <w:r>
        <w:rPr>
          <w:w w:val="110"/>
        </w:rPr>
        <w:t>Persisting</w:t>
      </w:r>
      <w:r>
        <w:rPr>
          <w:spacing w:val="-29"/>
          <w:w w:val="110"/>
        </w:rPr>
        <w:t xml:space="preserve"> </w:t>
      </w:r>
      <w:r>
        <w:rPr>
          <w:w w:val="110"/>
        </w:rPr>
        <w:t>Amnestic</w:t>
      </w:r>
      <w:r>
        <w:rPr>
          <w:spacing w:val="-27"/>
          <w:w w:val="110"/>
        </w:rPr>
        <w:t xml:space="preserve"> </w:t>
      </w:r>
      <w:r>
        <w:rPr>
          <w:w w:val="110"/>
        </w:rPr>
        <w:t>Disorder</w:t>
      </w:r>
      <w:r>
        <w:rPr>
          <w:spacing w:val="-29"/>
          <w:w w:val="110"/>
        </w:rPr>
        <w:t xml:space="preserve"> </w:t>
      </w:r>
      <w:r>
        <w:rPr>
          <w:w w:val="110"/>
        </w:rPr>
        <w:t>(Criteria</w:t>
      </w:r>
      <w:r>
        <w:rPr>
          <w:spacing w:val="-26"/>
          <w:w w:val="110"/>
        </w:rPr>
        <w:t xml:space="preserve"> </w:t>
      </w:r>
      <w:r>
        <w:rPr>
          <w:w w:val="110"/>
        </w:rPr>
        <w:t>A and B) are discussed on p. 156. The memory disturbance does not occur exclusively during the course of a delirium or a dementia and persists beyond the usual duration of Substance Intoxication or Withdrawal (Criterion C). In addition, to diagnose Sub­ stance-Induced</w:t>
      </w:r>
      <w:r>
        <w:rPr>
          <w:spacing w:val="-23"/>
          <w:w w:val="110"/>
        </w:rPr>
        <w:t xml:space="preserve"> </w:t>
      </w:r>
      <w:r>
        <w:rPr>
          <w:w w:val="110"/>
        </w:rPr>
        <w:t>Persisting</w:t>
      </w:r>
      <w:r>
        <w:rPr>
          <w:spacing w:val="-17"/>
          <w:w w:val="110"/>
        </w:rPr>
        <w:t xml:space="preserve"> </w:t>
      </w:r>
      <w:r>
        <w:rPr>
          <w:w w:val="110"/>
        </w:rPr>
        <w:t>Amnestic</w:t>
      </w:r>
      <w:r>
        <w:rPr>
          <w:spacing w:val="-19"/>
          <w:w w:val="110"/>
        </w:rPr>
        <w:t xml:space="preserve"> </w:t>
      </w:r>
      <w:r>
        <w:rPr>
          <w:w w:val="110"/>
        </w:rPr>
        <w:t>Disorder,</w:t>
      </w:r>
      <w:r>
        <w:rPr>
          <w:spacing w:val="-13"/>
          <w:w w:val="110"/>
        </w:rPr>
        <w:t xml:space="preserve"> </w:t>
      </w:r>
      <w:r>
        <w:rPr>
          <w:w w:val="110"/>
        </w:rPr>
        <w:t>there</w:t>
      </w:r>
      <w:r>
        <w:rPr>
          <w:spacing w:val="-18"/>
          <w:w w:val="110"/>
        </w:rPr>
        <w:t xml:space="preserve"> </w:t>
      </w:r>
      <w:r>
        <w:rPr>
          <w:w w:val="110"/>
        </w:rPr>
        <w:t>must</w:t>
      </w:r>
      <w:r>
        <w:rPr>
          <w:spacing w:val="-17"/>
          <w:w w:val="110"/>
        </w:rPr>
        <w:t xml:space="preserve"> </w:t>
      </w:r>
      <w:r>
        <w:rPr>
          <w:w w:val="110"/>
        </w:rPr>
        <w:t>be</w:t>
      </w:r>
      <w:r>
        <w:rPr>
          <w:spacing w:val="-24"/>
          <w:w w:val="110"/>
        </w:rPr>
        <w:t xml:space="preserve"> </w:t>
      </w:r>
      <w:r>
        <w:rPr>
          <w:w w:val="110"/>
        </w:rPr>
        <w:t>evidence</w:t>
      </w:r>
      <w:r>
        <w:rPr>
          <w:spacing w:val="-20"/>
          <w:w w:val="110"/>
        </w:rPr>
        <w:t xml:space="preserve"> </w:t>
      </w:r>
      <w:r>
        <w:rPr>
          <w:w w:val="110"/>
        </w:rPr>
        <w:t>from</w:t>
      </w:r>
      <w:r>
        <w:rPr>
          <w:spacing w:val="-18"/>
          <w:w w:val="110"/>
        </w:rPr>
        <w:t xml:space="preserve"> </w:t>
      </w:r>
      <w:r>
        <w:rPr>
          <w:w w:val="110"/>
        </w:rPr>
        <w:t>the</w:t>
      </w:r>
      <w:r>
        <w:rPr>
          <w:spacing w:val="-21"/>
          <w:w w:val="110"/>
        </w:rPr>
        <w:t xml:space="preserve"> </w:t>
      </w:r>
      <w:r>
        <w:rPr>
          <w:w w:val="110"/>
        </w:rPr>
        <w:t>history, physical</w:t>
      </w:r>
      <w:r>
        <w:rPr>
          <w:spacing w:val="-34"/>
          <w:w w:val="110"/>
        </w:rPr>
        <w:t xml:space="preserve"> </w:t>
      </w:r>
      <w:r>
        <w:rPr>
          <w:w w:val="110"/>
        </w:rPr>
        <w:t>examination,</w:t>
      </w:r>
      <w:r>
        <w:rPr>
          <w:spacing w:val="-30"/>
          <w:w w:val="110"/>
        </w:rPr>
        <w:t xml:space="preserve"> </w:t>
      </w:r>
      <w:r>
        <w:rPr>
          <w:w w:val="110"/>
        </w:rPr>
        <w:t>or</w:t>
      </w:r>
      <w:r>
        <w:rPr>
          <w:spacing w:val="-40"/>
          <w:w w:val="110"/>
        </w:rPr>
        <w:t xml:space="preserve"> </w:t>
      </w:r>
      <w:r>
        <w:rPr>
          <w:w w:val="110"/>
        </w:rPr>
        <w:t>laboratory</w:t>
      </w:r>
      <w:r>
        <w:rPr>
          <w:spacing w:val="-35"/>
          <w:w w:val="110"/>
        </w:rPr>
        <w:t xml:space="preserve"> </w:t>
      </w:r>
      <w:r>
        <w:rPr>
          <w:w w:val="110"/>
        </w:rPr>
        <w:t>findings</w:t>
      </w:r>
      <w:r>
        <w:rPr>
          <w:spacing w:val="-36"/>
          <w:w w:val="110"/>
        </w:rPr>
        <w:t xml:space="preserve"> </w:t>
      </w:r>
      <w:r>
        <w:rPr>
          <w:w w:val="110"/>
        </w:rPr>
        <w:t>that</w:t>
      </w:r>
      <w:r>
        <w:rPr>
          <w:spacing w:val="-36"/>
          <w:w w:val="110"/>
        </w:rPr>
        <w:t xml:space="preserve"> </w:t>
      </w:r>
      <w:r>
        <w:rPr>
          <w:w w:val="110"/>
        </w:rPr>
        <w:t>the</w:t>
      </w:r>
      <w:r>
        <w:rPr>
          <w:spacing w:val="-39"/>
          <w:w w:val="110"/>
        </w:rPr>
        <w:t xml:space="preserve"> </w:t>
      </w:r>
      <w:r>
        <w:rPr>
          <w:w w:val="110"/>
        </w:rPr>
        <w:t>memory</w:t>
      </w:r>
      <w:r>
        <w:rPr>
          <w:spacing w:val="-35"/>
          <w:w w:val="110"/>
        </w:rPr>
        <w:t xml:space="preserve"> </w:t>
      </w:r>
      <w:r>
        <w:rPr>
          <w:w w:val="110"/>
        </w:rPr>
        <w:t>disturbance</w:t>
      </w:r>
      <w:r>
        <w:rPr>
          <w:spacing w:val="-36"/>
          <w:w w:val="110"/>
        </w:rPr>
        <w:t xml:space="preserve"> </w:t>
      </w:r>
      <w:r>
        <w:rPr>
          <w:w w:val="110"/>
        </w:rPr>
        <w:t>is</w:t>
      </w:r>
      <w:r>
        <w:rPr>
          <w:spacing w:val="-41"/>
          <w:w w:val="110"/>
        </w:rPr>
        <w:t xml:space="preserve"> </w:t>
      </w:r>
      <w:r>
        <w:rPr>
          <w:w w:val="110"/>
        </w:rPr>
        <w:t>etiologically related to the persisting effects of substance use (e.g., a drug of abuse, a medication, toxin</w:t>
      </w:r>
      <w:r>
        <w:rPr>
          <w:spacing w:val="-24"/>
          <w:w w:val="110"/>
        </w:rPr>
        <w:t xml:space="preserve"> </w:t>
      </w:r>
      <w:r>
        <w:rPr>
          <w:w w:val="110"/>
        </w:rPr>
        <w:t>exposure)</w:t>
      </w:r>
      <w:r>
        <w:rPr>
          <w:spacing w:val="-18"/>
          <w:w w:val="110"/>
        </w:rPr>
        <w:t xml:space="preserve"> </w:t>
      </w:r>
      <w:r>
        <w:rPr>
          <w:w w:val="110"/>
        </w:rPr>
        <w:t>(Criterion</w:t>
      </w:r>
      <w:r>
        <w:rPr>
          <w:spacing w:val="-15"/>
          <w:w w:val="110"/>
        </w:rPr>
        <w:t xml:space="preserve"> </w:t>
      </w:r>
      <w:r>
        <w:rPr>
          <w:w w:val="110"/>
        </w:rPr>
        <w:t>D).</w:t>
      </w:r>
      <w:r>
        <w:rPr>
          <w:spacing w:val="-25"/>
          <w:w w:val="110"/>
        </w:rPr>
        <w:t xml:space="preserve"> </w:t>
      </w:r>
      <w:r>
        <w:rPr>
          <w:w w:val="110"/>
        </w:rPr>
        <w:t>This</w:t>
      </w:r>
      <w:r>
        <w:rPr>
          <w:spacing w:val="-25"/>
          <w:w w:val="110"/>
        </w:rPr>
        <w:t xml:space="preserve"> </w:t>
      </w:r>
      <w:r>
        <w:rPr>
          <w:w w:val="110"/>
        </w:rPr>
        <w:t>disorder</w:t>
      </w:r>
      <w:r>
        <w:rPr>
          <w:spacing w:val="-21"/>
          <w:w w:val="110"/>
        </w:rPr>
        <w:t xml:space="preserve"> </w:t>
      </w:r>
      <w:r>
        <w:rPr>
          <w:w w:val="110"/>
        </w:rPr>
        <w:t>is</w:t>
      </w:r>
      <w:r>
        <w:rPr>
          <w:spacing w:val="-25"/>
          <w:w w:val="110"/>
        </w:rPr>
        <w:t xml:space="preserve"> </w:t>
      </w:r>
      <w:r>
        <w:rPr>
          <w:w w:val="110"/>
        </w:rPr>
        <w:t>termed</w:t>
      </w:r>
      <w:r>
        <w:rPr>
          <w:spacing w:val="-21"/>
          <w:w w:val="110"/>
        </w:rPr>
        <w:t xml:space="preserve"> </w:t>
      </w:r>
      <w:r>
        <w:rPr>
          <w:w w:val="110"/>
        </w:rPr>
        <w:t>"persisting"</w:t>
      </w:r>
      <w:r>
        <w:rPr>
          <w:spacing w:val="-19"/>
          <w:w w:val="110"/>
        </w:rPr>
        <w:t xml:space="preserve"> </w:t>
      </w:r>
      <w:r>
        <w:rPr>
          <w:w w:val="110"/>
        </w:rPr>
        <w:t>because</w:t>
      </w:r>
      <w:r>
        <w:rPr>
          <w:spacing w:val="-17"/>
          <w:w w:val="110"/>
        </w:rPr>
        <w:t xml:space="preserve"> </w:t>
      </w:r>
      <w:r>
        <w:rPr>
          <w:w w:val="110"/>
        </w:rPr>
        <w:t>the</w:t>
      </w:r>
      <w:r>
        <w:rPr>
          <w:spacing w:val="-23"/>
          <w:w w:val="110"/>
        </w:rPr>
        <w:t xml:space="preserve"> </w:t>
      </w:r>
      <w:r>
        <w:rPr>
          <w:w w:val="110"/>
        </w:rPr>
        <w:t>memory disturbance persists long after the individual is no longer experiencing the effects of Substance Intoxication or Substance</w:t>
      </w:r>
      <w:r>
        <w:rPr>
          <w:spacing w:val="28"/>
          <w:w w:val="110"/>
        </w:rPr>
        <w:t xml:space="preserve"> </w:t>
      </w:r>
      <w:r>
        <w:rPr>
          <w:w w:val="110"/>
        </w:rPr>
        <w:t>Withdrawal.</w:t>
      </w:r>
    </w:p>
    <w:p w:rsidR="00E675F0" w:rsidRDefault="00E675F0" w:rsidP="00E675F0">
      <w:pPr>
        <w:pStyle w:val="BodyText"/>
        <w:spacing w:line="254" w:lineRule="auto"/>
        <w:ind w:left="136" w:right="154" w:firstLine="365"/>
        <w:jc w:val="both"/>
      </w:pPr>
      <w:r>
        <w:rPr>
          <w:w w:val="105"/>
        </w:rPr>
        <w:t>Features that are associated with Substance-Induced Persisting Amnestic Disorder are those associated with amnestic disorders generally (see p. 156). Even if currently abstinent from substance use, most  individuals  with this disorder have previously  had a pattern of prolonged and heavy substance use that met criteria for Substance Dependence. Because these disorders persist long after use of the substance has stopped, blood or urine screens  may  be negative for the etiological substance.  The age at onset is rarely before age 20 years. The resulting impairment may remain stable or worsen, even if substance use</w:t>
      </w:r>
      <w:r>
        <w:rPr>
          <w:spacing w:val="-5"/>
          <w:w w:val="105"/>
        </w:rPr>
        <w:t xml:space="preserve"> </w:t>
      </w:r>
      <w:r>
        <w:rPr>
          <w:w w:val="105"/>
        </w:rPr>
        <w:t>stops.</w:t>
      </w:r>
    </w:p>
    <w:p w:rsidR="00E675F0" w:rsidRDefault="00E675F0" w:rsidP="00E675F0">
      <w:pPr>
        <w:pStyle w:val="BodyText"/>
        <w:spacing w:before="5" w:line="256" w:lineRule="auto"/>
        <w:ind w:left="140" w:right="139" w:firstLine="365"/>
        <w:jc w:val="both"/>
      </w:pPr>
      <w:r>
        <w:rPr>
          <w:w w:val="105"/>
        </w:rPr>
        <w:t>For a more detailed discussion of the features associated with Substance-Related Disorders, see p. 175.</w:t>
      </w:r>
    </w:p>
    <w:p w:rsidR="00E675F0" w:rsidRDefault="00E675F0" w:rsidP="00E675F0">
      <w:pPr>
        <w:pStyle w:val="BodyText"/>
        <w:spacing w:before="2"/>
        <w:rPr>
          <w:sz w:val="26"/>
        </w:rPr>
      </w:pPr>
    </w:p>
    <w:p w:rsidR="00E675F0" w:rsidRDefault="00E675F0" w:rsidP="00E675F0">
      <w:pPr>
        <w:spacing w:before="1"/>
        <w:ind w:left="122"/>
        <w:rPr>
          <w:rFonts w:ascii="TimesNewRomanPS-BoldItalicMT"/>
          <w:b/>
          <w:i/>
          <w:sz w:val="24"/>
        </w:rPr>
      </w:pPr>
      <w:r>
        <w:rPr>
          <w:rFonts w:ascii="TimesNewRomanPS-BoldItalicMT"/>
          <w:b/>
          <w:i/>
          <w:w w:val="115"/>
          <w:sz w:val="24"/>
        </w:rPr>
        <w:t>Recording Procedures</w:t>
      </w:r>
    </w:p>
    <w:p w:rsidR="00E675F0" w:rsidRDefault="00E675F0" w:rsidP="00E675F0">
      <w:pPr>
        <w:pStyle w:val="BodyText"/>
        <w:spacing w:before="136" w:line="252" w:lineRule="auto"/>
        <w:ind w:left="132" w:right="140"/>
        <w:jc w:val="both"/>
      </w:pPr>
      <w:r>
        <w:rPr>
          <w:w w:val="105"/>
        </w:rPr>
        <w:t xml:space="preserve">The name of the diagnosis begins with the specific substance (e.g., alcohol, secobarbital) that is presumed to be causing the memory disturbance. The diagnostic code is selected from the listing of classes of substances provided in the criteria set. For substances that do not </w:t>
      </w:r>
      <w:r>
        <w:rPr>
          <w:w w:val="105"/>
          <w:sz w:val="18"/>
        </w:rPr>
        <w:t xml:space="preserve">fit </w:t>
      </w:r>
      <w:r>
        <w:rPr>
          <w:w w:val="105"/>
        </w:rPr>
        <w:t>into any of the classes, the code for "Other Substance" should be used. In addition, for medications prescribed at therapeutic doses, the specific  medication  can be indicated by listing the appropriate E-code (see Appendix G). When more than one substance is judged to play a significant role in the development of the memory disturbance, each should be listed separately (e.g., 291.1 Alcohol-Induced Persisting Amnestic Disorder; 292.83 Secobarbital-Induced Persisting Amnestic Disorder). If a substance is judged to be the etiological factor but the specific substance or class of substances is unknown, the diagnosis is 292.83 Unknown Substance-Induced Persisting Amnestic</w:t>
      </w:r>
      <w:r>
        <w:rPr>
          <w:spacing w:val="15"/>
          <w:w w:val="105"/>
        </w:rPr>
        <w:t xml:space="preserve"> </w:t>
      </w:r>
      <w:r>
        <w:rPr>
          <w:w w:val="105"/>
        </w:rPr>
        <w:t>Disorder.</w:t>
      </w:r>
    </w:p>
    <w:p w:rsidR="00E675F0" w:rsidRDefault="00E675F0" w:rsidP="00E675F0">
      <w:pPr>
        <w:pStyle w:val="BodyText"/>
        <w:spacing w:before="5"/>
        <w:rPr>
          <w:sz w:val="26"/>
        </w:rPr>
      </w:pPr>
    </w:p>
    <w:p w:rsidR="00E675F0" w:rsidRDefault="00E675F0" w:rsidP="00E675F0">
      <w:pPr>
        <w:ind w:left="124"/>
        <w:rPr>
          <w:rFonts w:ascii="TimesNewRomanPS-BoldItalicMT"/>
          <w:b/>
          <w:i/>
          <w:sz w:val="24"/>
        </w:rPr>
      </w:pPr>
      <w:r>
        <w:rPr>
          <w:rFonts w:ascii="TimesNewRomanPS-BoldItalicMT"/>
          <w:b/>
          <w:i/>
          <w:w w:val="115"/>
          <w:sz w:val="24"/>
        </w:rPr>
        <w:t>Specific Substances</w:t>
      </w:r>
    </w:p>
    <w:p w:rsidR="00E675F0" w:rsidRDefault="00E675F0" w:rsidP="00E675F0">
      <w:pPr>
        <w:pStyle w:val="BodyText"/>
        <w:spacing w:before="137" w:line="261" w:lineRule="auto"/>
        <w:ind w:left="136" w:right="136"/>
        <w:jc w:val="both"/>
      </w:pPr>
      <w:r>
        <w:rPr>
          <w:w w:val="105"/>
        </w:rPr>
        <w:t>Substance-Induced Persisting Amnestic Disorder can occur in association with the following classes of substances: alcohol; sedatives, hypnotics, and anxiolytics; and other or unknown substances.</w:t>
      </w:r>
    </w:p>
    <w:p w:rsidR="00E675F0" w:rsidRDefault="00E675F0" w:rsidP="00E675F0">
      <w:pPr>
        <w:pStyle w:val="BodyText"/>
        <w:spacing w:line="254" w:lineRule="auto"/>
        <w:ind w:left="137" w:right="145" w:firstLine="361"/>
        <w:jc w:val="both"/>
      </w:pPr>
      <w:r>
        <w:rPr>
          <w:w w:val="105"/>
        </w:rPr>
        <w:t>Alcohol-Induced Persisting Amnestic Disorder is apparently due to the vitamin deficiency that is associated with prolonged, heavy ingestion of alcohol. Neurological disturbances such as peripheral neuropathy, cerebellar ataxia, and myopathy are among the associated features. Alcohol-Induced Persisting Amnestic Disorder due to thiamine</w:t>
      </w:r>
    </w:p>
    <w:p w:rsidR="00E675F0" w:rsidRDefault="00E675F0" w:rsidP="00E675F0">
      <w:pPr>
        <w:spacing w:line="254" w:lineRule="auto"/>
        <w:jc w:val="both"/>
        <w:sectPr w:rsidR="00E675F0">
          <w:pgSz w:w="8960" w:h="14260"/>
          <w:pgMar w:top="1000" w:right="600" w:bottom="280" w:left="600" w:header="682" w:footer="0" w:gutter="0"/>
          <w:cols w:space="720"/>
        </w:sectPr>
      </w:pPr>
    </w:p>
    <w:p w:rsidR="00E675F0" w:rsidRDefault="00E675F0" w:rsidP="00E675F0">
      <w:pPr>
        <w:pStyle w:val="BodyText"/>
        <w:spacing w:before="4"/>
        <w:rPr>
          <w:sz w:val="4"/>
        </w:rPr>
      </w:pPr>
    </w:p>
    <w:p w:rsidR="00E675F0" w:rsidRDefault="00E675F0" w:rsidP="00E675F0">
      <w:pPr>
        <w:pStyle w:val="BodyText"/>
        <w:spacing w:line="20" w:lineRule="exact"/>
        <w:ind w:left="120"/>
        <w:rPr>
          <w:sz w:val="2"/>
        </w:rPr>
      </w:pPr>
      <w:r>
        <w:rPr>
          <w:noProof/>
          <w:sz w:val="2"/>
        </w:rPr>
        <mc:AlternateContent>
          <mc:Choice Requires="wpg">
            <w:drawing>
              <wp:inline distT="0" distB="0" distL="0" distR="0" wp14:anchorId="50BD9A9F" wp14:editId="14E19929">
                <wp:extent cx="4753610" cy="9525"/>
                <wp:effectExtent l="0" t="0" r="0" b="0"/>
                <wp:docPr id="1450" name="Group 1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3610" cy="9525"/>
                          <a:chOff x="0" y="0"/>
                          <a:chExt cx="7486" cy="15"/>
                        </a:xfrm>
                      </wpg:grpSpPr>
                      <wps:wsp>
                        <wps:cNvPr id="1451" name="Line 1407"/>
                        <wps:cNvCnPr>
                          <a:cxnSpLocks/>
                        </wps:cNvCnPr>
                        <wps:spPr bwMode="auto">
                          <a:xfrm>
                            <a:off x="0" y="7"/>
                            <a:ext cx="7485" cy="0"/>
                          </a:xfrm>
                          <a:prstGeom prst="line">
                            <a:avLst/>
                          </a:prstGeom>
                          <a:noFill/>
                          <a:ln w="915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454B509" id="Group 1406" o:spid="_x0000_s1026" style="width:374.3pt;height:.75pt;mso-position-horizontal-relative:char;mso-position-vertical-relative:line" coordsize="7486,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">
                <v:line id="Line 1407" o:spid="_x0000_s1027" style="position:absolute;visibility:visible;mso-wrap-style:square" from="0,7" to="748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" strokeweight=".25436mm">
                  <o:lock v:ext="edit" shapetype="f"/>
                </v:line>
                <w10:anchorlock/>
              </v:group>
            </w:pict>
          </mc:Fallback>
        </mc:AlternateContent>
      </w:r>
    </w:p>
    <w:p w:rsidR="00E675F0" w:rsidRDefault="00E675F0" w:rsidP="00E675F0">
      <w:pPr>
        <w:pStyle w:val="BodyText"/>
      </w:pPr>
    </w:p>
    <w:p w:rsidR="00E675F0" w:rsidRDefault="00E675F0" w:rsidP="00E675F0">
      <w:pPr>
        <w:pStyle w:val="BodyText"/>
        <w:spacing w:before="8"/>
        <w:rPr>
          <w:sz w:val="18"/>
        </w:rPr>
      </w:pPr>
    </w:p>
    <w:p w:rsidR="00E675F0" w:rsidRDefault="00E675F0" w:rsidP="00E675F0">
      <w:pPr>
        <w:pStyle w:val="BodyText"/>
        <w:spacing w:before="92" w:line="254" w:lineRule="auto"/>
        <w:ind w:left="130" w:right="124"/>
        <w:jc w:val="both"/>
      </w:pPr>
      <w:bookmarkStart w:id="104" w:name="_bookmark87"/>
      <w:bookmarkEnd w:id="104"/>
      <w:r>
        <w:rPr>
          <w:w w:val="105"/>
        </w:rPr>
        <w:t xml:space="preserve">deficiency (Korsakoff's syndrome) often follows an acute episode of Wernicke's encephalopathy, a neurological condition manifested by confusion, ataxia, eye­ movement abnormalities (gaze palsies, nystagmus), and other neurological signs. Gradually, these manifestations subside, but a major impairment of memory remains. </w:t>
      </w:r>
      <w:r>
        <w:rPr>
          <w:w w:val="105"/>
          <w:sz w:val="21"/>
        </w:rPr>
        <w:t xml:space="preserve">If </w:t>
      </w:r>
      <w:r>
        <w:rPr>
          <w:w w:val="105"/>
        </w:rPr>
        <w:t>Wernicke's encephalopathy is treated early with large doses of thiamine, Alcohol­ Induced Persisting Amnestic Disorder may not develop. Although age is not a specific etiological factor in the condition, individuals who develop Alcohol-Induced Persisting Amnestic Disorder generally have histories of many years of heavy alcohol use and are most often over age 40 years. Although the mode of onset is typically abrupt, some individuals may develop deficits insidiously over many years, due to repeated toxic and nutritional insults, prior to the emergence of a final, more dramatically impairing episode apparently related to thiamine deficiency. Once established, Alcohol-Induced Persisting Amnestic Disorder usually persists indefinitely, although there may be slight improve­ ment over time and in a minority of the cases the condition can remit. Impairment is usually quite severe, and lifelong custodial care may be necessary. Sedative-, Hypnotic-, or Anxiolytic-Induced Persisting Amnestic Disorder can follow prolonged and heavy use of drugs from this class. The course is variable, and, unlike Alcohol-Induced Persisting Amnestic Disorder, full recovery can occur. Medications reported to cause amnestic disorders include anticonvulsants and intrathecal methotrexate. Toxins reported to evoke symptoms of amnesia include lead, mercury, carbon monoxide, organophosphate insecticides, and industrial solvents.</w:t>
      </w:r>
    </w:p>
    <w:p w:rsidR="00E675F0" w:rsidRDefault="00E675F0" w:rsidP="00E675F0">
      <w:pPr>
        <w:pStyle w:val="BodyText"/>
        <w:rPr>
          <w:sz w:val="22"/>
        </w:rPr>
      </w:pPr>
    </w:p>
    <w:p w:rsidR="00E675F0" w:rsidRDefault="00E675F0" w:rsidP="00E675F0">
      <w:pPr>
        <w:spacing w:before="130"/>
        <w:ind w:left="123"/>
        <w:jc w:val="both"/>
        <w:rPr>
          <w:rFonts w:ascii="TimesNewRomanPS-BoldItalicMT"/>
          <w:b/>
          <w:i/>
          <w:sz w:val="25"/>
        </w:rPr>
      </w:pPr>
      <w:r>
        <w:rPr>
          <w:rFonts w:ascii="TimesNewRomanPS-BoldItalicMT"/>
          <w:b/>
          <w:i/>
          <w:w w:val="110"/>
          <w:sz w:val="25"/>
        </w:rPr>
        <w:t>Differential Diagnosis</w:t>
      </w:r>
    </w:p>
    <w:p w:rsidR="00E675F0" w:rsidRDefault="00E675F0" w:rsidP="00E675F0">
      <w:pPr>
        <w:pStyle w:val="BodyText"/>
        <w:spacing w:before="172"/>
        <w:ind w:left="130"/>
        <w:jc w:val="both"/>
      </w:pPr>
      <w:r>
        <w:rPr>
          <w:noProof/>
        </w:rPr>
        <mc:AlternateContent>
          <mc:Choice Requires="wpg">
            <w:drawing>
              <wp:anchor distT="0" distB="0" distL="114300" distR="114300" simplePos="0" relativeHeight="251790336" behindDoc="1" locked="0" layoutInCell="1" allowOverlap="1" wp14:anchorId="2DBD73BE" wp14:editId="580DFC31">
                <wp:simplePos x="0" y="0"/>
                <wp:positionH relativeFrom="page">
                  <wp:posOffset>462280</wp:posOffset>
                </wp:positionH>
                <wp:positionV relativeFrom="paragraph">
                  <wp:posOffset>444500</wp:posOffset>
                </wp:positionV>
                <wp:extent cx="4777740" cy="3614420"/>
                <wp:effectExtent l="0" t="0" r="22860" b="0"/>
                <wp:wrapNone/>
                <wp:docPr id="1447" name="Group 1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7740" cy="3614420"/>
                          <a:chOff x="728" y="700"/>
                          <a:chExt cx="7524" cy="5692"/>
                        </a:xfrm>
                      </wpg:grpSpPr>
                      <wps:wsp>
                        <wps:cNvPr id="1448" name="Line 1405"/>
                        <wps:cNvCnPr>
                          <a:cxnSpLocks/>
                        </wps:cNvCnPr>
                        <wps:spPr bwMode="auto">
                          <a:xfrm>
                            <a:off x="8156" y="6391"/>
                            <a:ext cx="0" cy="0"/>
                          </a:xfrm>
                          <a:prstGeom prst="line">
                            <a:avLst/>
                          </a:prstGeom>
                          <a:noFill/>
                          <a:ln w="3360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9" name="Line 1404"/>
                        <wps:cNvCnPr>
                          <a:cxnSpLocks/>
                        </wps:cNvCnPr>
                        <wps:spPr bwMode="auto">
                          <a:xfrm>
                            <a:off x="728" y="6300"/>
                            <a:ext cx="7524" cy="0"/>
                          </a:xfrm>
                          <a:prstGeom prst="line">
                            <a:avLst/>
                          </a:prstGeom>
                          <a:noFill/>
                          <a:ln w="3662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AFED6A" id="Group 1403" o:spid="_x0000_s1026" style="position:absolute;margin-left:36.4pt;margin-top:35pt;width:376.2pt;height:284.6pt;z-index:-251526144;mso-position-horizontal-relative:page" coordorigin="728,700" coordsize="7524,569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">
                <v:line id="Line 1405" o:spid="_x0000_s1027" style="position:absolute;visibility:visible;mso-wrap-style:square" from="8156,6391" to="8156,63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" strokeweight=".93339mm">
                  <o:lock v:ext="edit" shapetype="f"/>
                </v:line>
                <v:line id="Line 1404" o:spid="_x0000_s1028" style="position:absolute;visibility:visible;mso-wrap-style:square" from="728,6300" to="8252,63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" strokeweight="1.0174mm">
                  <o:lock v:ext="edit" shapetype="f"/>
                </v:line>
                <w10:wrap anchorx="page"/>
              </v:group>
            </w:pict>
          </mc:Fallback>
        </mc:AlternateContent>
      </w:r>
      <w:r>
        <w:rPr>
          <w:w w:val="105"/>
        </w:rPr>
        <w:t>Seep. 158 for a general discussion of the differential diagnosis of amnestic disorders.</w:t>
      </w:r>
    </w:p>
    <w:p w:rsidR="00E675F0" w:rsidRDefault="00E675F0" w:rsidP="00E675F0">
      <w:pPr>
        <w:pStyle w:val="BodyText"/>
      </w:pPr>
    </w:p>
    <w:p w:rsidR="00E675F0" w:rsidRDefault="00E675F0" w:rsidP="00E675F0">
      <w:pPr>
        <w:pStyle w:val="BodyText"/>
        <w:spacing w:before="7"/>
        <w:rPr>
          <w:sz w:val="11"/>
        </w:rPr>
      </w:pPr>
    </w:p>
    <w:tbl>
      <w:tblPr>
        <w:tblW w:w="0" w:type="auto"/>
        <w:tblInd w:w="241"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7346"/>
      </w:tblGrid>
      <w:tr w:rsidR="00E675F0" w:rsidTr="00A330E1">
        <w:trPr>
          <w:trHeight w:val="5448"/>
        </w:trPr>
        <w:tc>
          <w:tcPr>
            <w:tcW w:w="7346" w:type="dxa"/>
          </w:tcPr>
          <w:p w:rsidR="00E675F0" w:rsidRDefault="00E675F0" w:rsidP="003048D3">
            <w:pPr>
              <w:pStyle w:val="TableParagraph"/>
              <w:numPr>
                <w:ilvl w:val="0"/>
                <w:numId w:val="50"/>
              </w:numPr>
              <w:tabs>
                <w:tab w:val="left" w:pos="631"/>
              </w:tabs>
              <w:spacing w:before="31" w:line="206" w:lineRule="auto"/>
              <w:ind w:right="489" w:hanging="377"/>
              <w:rPr>
                <w:rFonts w:ascii="Arial" w:hAnsi="Arial"/>
                <w:b/>
                <w:sz w:val="24"/>
              </w:rPr>
            </w:pPr>
            <w:r>
              <w:rPr>
                <w:rFonts w:ascii="Arial" w:hAnsi="Arial"/>
                <w:b/>
                <w:w w:val="105"/>
                <w:sz w:val="24"/>
              </w:rPr>
              <w:t>Diagnostic</w:t>
            </w:r>
            <w:r>
              <w:rPr>
                <w:rFonts w:ascii="Arial" w:hAnsi="Arial"/>
                <w:b/>
                <w:spacing w:val="-28"/>
                <w:w w:val="105"/>
                <w:sz w:val="24"/>
              </w:rPr>
              <w:t xml:space="preserve"> </w:t>
            </w:r>
            <w:r>
              <w:rPr>
                <w:rFonts w:ascii="Arial" w:hAnsi="Arial"/>
                <w:b/>
                <w:w w:val="105"/>
                <w:sz w:val="24"/>
              </w:rPr>
              <w:t>criteria</w:t>
            </w:r>
            <w:r>
              <w:rPr>
                <w:rFonts w:ascii="Arial" w:hAnsi="Arial"/>
                <w:b/>
                <w:spacing w:val="-35"/>
                <w:w w:val="105"/>
                <w:sz w:val="24"/>
              </w:rPr>
              <w:t xml:space="preserve"> </w:t>
            </w:r>
            <w:r>
              <w:rPr>
                <w:rFonts w:ascii="Arial" w:hAnsi="Arial"/>
                <w:b/>
                <w:w w:val="105"/>
                <w:sz w:val="24"/>
              </w:rPr>
              <w:t>for</w:t>
            </w:r>
            <w:r>
              <w:rPr>
                <w:rFonts w:ascii="Arial" w:hAnsi="Arial"/>
                <w:b/>
                <w:spacing w:val="-31"/>
                <w:w w:val="105"/>
                <w:sz w:val="24"/>
              </w:rPr>
              <w:t xml:space="preserve"> </w:t>
            </w:r>
            <w:r>
              <w:rPr>
                <w:rFonts w:ascii="Arial" w:hAnsi="Arial"/>
                <w:b/>
                <w:w w:val="105"/>
                <w:sz w:val="24"/>
              </w:rPr>
              <w:t>Substance-Induced</w:t>
            </w:r>
            <w:r>
              <w:rPr>
                <w:rFonts w:ascii="Arial" w:hAnsi="Arial"/>
                <w:b/>
                <w:spacing w:val="-47"/>
                <w:w w:val="105"/>
                <w:sz w:val="24"/>
              </w:rPr>
              <w:t xml:space="preserve"> </w:t>
            </w:r>
            <w:r>
              <w:rPr>
                <w:rFonts w:ascii="Arial" w:hAnsi="Arial"/>
                <w:b/>
                <w:w w:val="105"/>
                <w:sz w:val="24"/>
              </w:rPr>
              <w:t>Persisting Amnestic</w:t>
            </w:r>
            <w:r>
              <w:rPr>
                <w:rFonts w:ascii="Arial" w:hAnsi="Arial"/>
                <w:b/>
                <w:spacing w:val="-2"/>
                <w:w w:val="105"/>
                <w:sz w:val="24"/>
              </w:rPr>
              <w:t xml:space="preserve"> </w:t>
            </w:r>
            <w:r>
              <w:rPr>
                <w:rFonts w:ascii="Arial" w:hAnsi="Arial"/>
                <w:b/>
                <w:w w:val="105"/>
                <w:sz w:val="24"/>
              </w:rPr>
              <w:t>Disorder</w:t>
            </w:r>
          </w:p>
          <w:p w:rsidR="00E675F0" w:rsidRDefault="00E675F0" w:rsidP="003048D3">
            <w:pPr>
              <w:pStyle w:val="TableParagraph"/>
              <w:numPr>
                <w:ilvl w:val="1"/>
                <w:numId w:val="50"/>
              </w:numPr>
              <w:tabs>
                <w:tab w:val="left" w:pos="960"/>
              </w:tabs>
              <w:spacing w:before="145" w:line="252" w:lineRule="auto"/>
              <w:ind w:right="237" w:hanging="304"/>
              <w:jc w:val="both"/>
              <w:rPr>
                <w:sz w:val="20"/>
              </w:rPr>
            </w:pPr>
            <w:r>
              <w:rPr>
                <w:w w:val="105"/>
                <w:sz w:val="20"/>
              </w:rPr>
              <w:t>The development of memory impairment as manifested by impairment in</w:t>
            </w:r>
            <w:r>
              <w:rPr>
                <w:spacing w:val="-13"/>
                <w:w w:val="105"/>
                <w:sz w:val="20"/>
              </w:rPr>
              <w:t xml:space="preserve"> </w:t>
            </w:r>
            <w:r>
              <w:rPr>
                <w:w w:val="105"/>
                <w:sz w:val="20"/>
              </w:rPr>
              <w:t>the</w:t>
            </w:r>
            <w:r>
              <w:rPr>
                <w:spacing w:val="-16"/>
                <w:w w:val="105"/>
                <w:sz w:val="20"/>
              </w:rPr>
              <w:t xml:space="preserve"> </w:t>
            </w:r>
            <w:r>
              <w:rPr>
                <w:w w:val="105"/>
                <w:sz w:val="20"/>
              </w:rPr>
              <w:t>ability</w:t>
            </w:r>
            <w:r>
              <w:rPr>
                <w:spacing w:val="-3"/>
                <w:w w:val="105"/>
                <w:sz w:val="20"/>
              </w:rPr>
              <w:t xml:space="preserve"> </w:t>
            </w:r>
            <w:r>
              <w:rPr>
                <w:w w:val="105"/>
                <w:sz w:val="20"/>
              </w:rPr>
              <w:t>to</w:t>
            </w:r>
            <w:r>
              <w:rPr>
                <w:spacing w:val="-17"/>
                <w:w w:val="105"/>
                <w:sz w:val="20"/>
              </w:rPr>
              <w:t xml:space="preserve"> </w:t>
            </w:r>
            <w:r>
              <w:rPr>
                <w:w w:val="105"/>
                <w:sz w:val="20"/>
              </w:rPr>
              <w:t>learn</w:t>
            </w:r>
            <w:r>
              <w:rPr>
                <w:spacing w:val="-7"/>
                <w:w w:val="105"/>
                <w:sz w:val="20"/>
              </w:rPr>
              <w:t xml:space="preserve"> </w:t>
            </w:r>
            <w:r>
              <w:rPr>
                <w:w w:val="105"/>
                <w:sz w:val="20"/>
              </w:rPr>
              <w:t>new</w:t>
            </w:r>
            <w:r>
              <w:rPr>
                <w:spacing w:val="-13"/>
                <w:w w:val="105"/>
                <w:sz w:val="20"/>
              </w:rPr>
              <w:t xml:space="preserve"> </w:t>
            </w:r>
            <w:r>
              <w:rPr>
                <w:w w:val="105"/>
                <w:sz w:val="20"/>
              </w:rPr>
              <w:t>information</w:t>
            </w:r>
            <w:r>
              <w:rPr>
                <w:spacing w:val="5"/>
                <w:w w:val="105"/>
                <w:sz w:val="20"/>
              </w:rPr>
              <w:t xml:space="preserve"> </w:t>
            </w:r>
            <w:r>
              <w:rPr>
                <w:w w:val="105"/>
                <w:sz w:val="20"/>
              </w:rPr>
              <w:t>or</w:t>
            </w:r>
            <w:r>
              <w:rPr>
                <w:spacing w:val="-9"/>
                <w:w w:val="105"/>
                <w:sz w:val="20"/>
              </w:rPr>
              <w:t xml:space="preserve"> </w:t>
            </w:r>
            <w:r>
              <w:rPr>
                <w:w w:val="105"/>
                <w:sz w:val="20"/>
              </w:rPr>
              <w:t>the</w:t>
            </w:r>
            <w:r>
              <w:rPr>
                <w:spacing w:val="-15"/>
                <w:w w:val="105"/>
                <w:sz w:val="20"/>
              </w:rPr>
              <w:t xml:space="preserve"> </w:t>
            </w:r>
            <w:r>
              <w:rPr>
                <w:w w:val="105"/>
                <w:sz w:val="20"/>
              </w:rPr>
              <w:t>inability</w:t>
            </w:r>
            <w:r>
              <w:rPr>
                <w:spacing w:val="-9"/>
                <w:w w:val="105"/>
                <w:sz w:val="20"/>
              </w:rPr>
              <w:t xml:space="preserve"> </w:t>
            </w:r>
            <w:r>
              <w:rPr>
                <w:w w:val="105"/>
                <w:sz w:val="20"/>
              </w:rPr>
              <w:t>to</w:t>
            </w:r>
            <w:r>
              <w:rPr>
                <w:spacing w:val="-13"/>
                <w:w w:val="105"/>
                <w:sz w:val="20"/>
              </w:rPr>
              <w:t xml:space="preserve"> </w:t>
            </w:r>
            <w:r>
              <w:rPr>
                <w:w w:val="105"/>
                <w:sz w:val="20"/>
              </w:rPr>
              <w:t>recall</w:t>
            </w:r>
            <w:r>
              <w:rPr>
                <w:spacing w:val="-1"/>
                <w:w w:val="105"/>
                <w:sz w:val="20"/>
              </w:rPr>
              <w:t xml:space="preserve"> </w:t>
            </w:r>
            <w:r>
              <w:rPr>
                <w:w w:val="105"/>
                <w:sz w:val="20"/>
              </w:rPr>
              <w:t>previously learned</w:t>
            </w:r>
            <w:r>
              <w:rPr>
                <w:spacing w:val="8"/>
                <w:w w:val="105"/>
                <w:sz w:val="20"/>
              </w:rPr>
              <w:t xml:space="preserve"> </w:t>
            </w:r>
            <w:r>
              <w:rPr>
                <w:w w:val="105"/>
                <w:sz w:val="20"/>
              </w:rPr>
              <w:t>information.</w:t>
            </w:r>
          </w:p>
          <w:p w:rsidR="00E675F0" w:rsidRDefault="00E675F0" w:rsidP="003048D3">
            <w:pPr>
              <w:pStyle w:val="TableParagraph"/>
              <w:numPr>
                <w:ilvl w:val="1"/>
                <w:numId w:val="50"/>
              </w:numPr>
              <w:tabs>
                <w:tab w:val="left" w:pos="960"/>
              </w:tabs>
              <w:spacing w:before="175" w:line="256" w:lineRule="auto"/>
              <w:ind w:left="963" w:right="223" w:hanging="300"/>
              <w:jc w:val="both"/>
              <w:rPr>
                <w:sz w:val="20"/>
              </w:rPr>
            </w:pPr>
            <w:r>
              <w:rPr>
                <w:w w:val="105"/>
                <w:sz w:val="20"/>
              </w:rPr>
              <w:t>The memory disturbance causes significant impairment in social or occupational functioning and represents a significant decline from a previous level of</w:t>
            </w:r>
            <w:r>
              <w:rPr>
                <w:spacing w:val="34"/>
                <w:w w:val="105"/>
                <w:sz w:val="20"/>
              </w:rPr>
              <w:t xml:space="preserve"> </w:t>
            </w:r>
            <w:r>
              <w:rPr>
                <w:w w:val="105"/>
                <w:sz w:val="20"/>
              </w:rPr>
              <w:t>functioning.</w:t>
            </w:r>
          </w:p>
          <w:p w:rsidR="00E675F0" w:rsidRDefault="00E675F0" w:rsidP="003048D3">
            <w:pPr>
              <w:pStyle w:val="TableParagraph"/>
              <w:numPr>
                <w:ilvl w:val="1"/>
                <w:numId w:val="50"/>
              </w:numPr>
              <w:tabs>
                <w:tab w:val="left" w:pos="960"/>
              </w:tabs>
              <w:spacing w:before="184" w:line="256" w:lineRule="auto"/>
              <w:ind w:left="958" w:right="229" w:hanging="300"/>
              <w:jc w:val="both"/>
              <w:rPr>
                <w:rFonts w:ascii="Arial"/>
                <w:sz w:val="18"/>
              </w:rPr>
            </w:pPr>
            <w:r>
              <w:rPr>
                <w:w w:val="105"/>
                <w:sz w:val="20"/>
              </w:rPr>
              <w:t>The memory disturbance does not occur exclusively during the course of a delirium or a dementia and persists beyond the usual duration of Substance Intoxication or</w:t>
            </w:r>
            <w:r>
              <w:rPr>
                <w:spacing w:val="-5"/>
                <w:w w:val="105"/>
                <w:sz w:val="20"/>
              </w:rPr>
              <w:t xml:space="preserve"> </w:t>
            </w:r>
            <w:r>
              <w:rPr>
                <w:w w:val="105"/>
                <w:sz w:val="20"/>
              </w:rPr>
              <w:t>Withdrawal.</w:t>
            </w:r>
          </w:p>
          <w:p w:rsidR="00E675F0" w:rsidRDefault="00E675F0" w:rsidP="003048D3">
            <w:pPr>
              <w:pStyle w:val="TableParagraph"/>
              <w:numPr>
                <w:ilvl w:val="1"/>
                <w:numId w:val="50"/>
              </w:numPr>
              <w:tabs>
                <w:tab w:val="left" w:pos="965"/>
              </w:tabs>
              <w:spacing w:before="180" w:line="254" w:lineRule="auto"/>
              <w:ind w:left="962" w:right="220" w:hanging="295"/>
              <w:jc w:val="both"/>
              <w:rPr>
                <w:sz w:val="20"/>
              </w:rPr>
            </w:pPr>
            <w:r>
              <w:rPr>
                <w:w w:val="105"/>
                <w:sz w:val="20"/>
              </w:rPr>
              <w:t>There is evidence from the history, physical examination, or laboratory findings that the memory disturbance is etiologically related to the persisting effects of substance use (e.g., a drug of abuse, a</w:t>
            </w:r>
            <w:r>
              <w:rPr>
                <w:spacing w:val="51"/>
                <w:w w:val="105"/>
                <w:sz w:val="20"/>
              </w:rPr>
              <w:t xml:space="preserve"> </w:t>
            </w:r>
            <w:r>
              <w:rPr>
                <w:w w:val="105"/>
                <w:sz w:val="20"/>
              </w:rPr>
              <w:t>medication).</w:t>
            </w:r>
          </w:p>
          <w:p w:rsidR="00E675F0" w:rsidRDefault="00E675F0" w:rsidP="00A330E1">
            <w:pPr>
              <w:pStyle w:val="TableParagraph"/>
              <w:spacing w:before="129"/>
              <w:ind w:left="417"/>
              <w:rPr>
                <w:rFonts w:ascii="Arial"/>
                <w:sz w:val="18"/>
              </w:rPr>
            </w:pPr>
            <w:r>
              <w:rPr>
                <w:i/>
                <w:w w:val="105"/>
                <w:sz w:val="21"/>
              </w:rPr>
              <w:t xml:space="preserve">Code </w:t>
            </w:r>
            <w:r>
              <w:rPr>
                <w:rFonts w:ascii="Arial"/>
                <w:w w:val="105"/>
                <w:sz w:val="18"/>
              </w:rPr>
              <w:t>[Specific Substance ]-Induced Persisting Amnestic Disorder:</w:t>
            </w:r>
          </w:p>
          <w:p w:rsidR="00E675F0" w:rsidRDefault="00E675F0" w:rsidP="00A330E1">
            <w:pPr>
              <w:pStyle w:val="TableParagraph"/>
              <w:spacing w:before="13" w:line="252" w:lineRule="auto"/>
              <w:ind w:left="666" w:hanging="8"/>
              <w:rPr>
                <w:sz w:val="20"/>
              </w:rPr>
            </w:pPr>
            <w:r>
              <w:rPr>
                <w:w w:val="105"/>
                <w:sz w:val="20"/>
              </w:rPr>
              <w:t>(291.1 Alcohol; 292.83 Sedative, Hypnotic, or Anxiolytic; 292.83 Other [or Unknown] Substance)</w:t>
            </w:r>
          </w:p>
        </w:tc>
      </w:tr>
    </w:tbl>
    <w:p w:rsidR="00E675F0" w:rsidRDefault="00E675F0" w:rsidP="00E675F0">
      <w:pPr>
        <w:spacing w:line="252" w:lineRule="auto"/>
        <w:rPr>
          <w:sz w:val="20"/>
        </w:rPr>
        <w:sectPr w:rsidR="00E675F0">
          <w:headerReference w:type="even" r:id="rId148"/>
          <w:headerReference w:type="default" r:id="rId149"/>
          <w:pgSz w:w="8960" w:h="14260"/>
          <w:pgMar w:top="940" w:right="600" w:bottom="280" w:left="600" w:header="696" w:footer="0" w:gutter="0"/>
          <w:pgNumType w:start="162"/>
          <w:cols w:space="720"/>
        </w:sectPr>
      </w:pPr>
    </w:p>
    <w:p w:rsidR="00E675F0" w:rsidRDefault="00E675F0" w:rsidP="00E675F0">
      <w:pPr>
        <w:pStyle w:val="BodyText"/>
      </w:pPr>
    </w:p>
    <w:p w:rsidR="00E675F0" w:rsidRDefault="00E675F0" w:rsidP="00E675F0">
      <w:pPr>
        <w:pStyle w:val="BodyText"/>
        <w:spacing w:before="2"/>
      </w:pPr>
    </w:p>
    <w:p w:rsidR="00E675F0" w:rsidRDefault="00E675F0" w:rsidP="003048D3">
      <w:pPr>
        <w:numPr>
          <w:ilvl w:val="1"/>
          <w:numId w:val="49"/>
        </w:numPr>
        <w:tabs>
          <w:tab w:val="left" w:pos="1564"/>
          <w:tab w:val="left" w:pos="1565"/>
        </w:tabs>
        <w:spacing w:before="92"/>
        <w:ind w:hanging="912"/>
        <w:rPr>
          <w:rFonts w:ascii="Arial"/>
          <w:b/>
          <w:sz w:val="26"/>
        </w:rPr>
      </w:pPr>
      <w:bookmarkStart w:id="105" w:name="_bookmark88"/>
      <w:bookmarkEnd w:id="105"/>
      <w:r>
        <w:rPr>
          <w:rFonts w:ascii="Arial"/>
          <w:b/>
          <w:sz w:val="26"/>
        </w:rPr>
        <w:t>Amnestic Disorder Not Otherwise</w:t>
      </w:r>
      <w:r>
        <w:rPr>
          <w:rFonts w:ascii="Arial"/>
          <w:b/>
          <w:spacing w:val="59"/>
          <w:sz w:val="26"/>
        </w:rPr>
        <w:t xml:space="preserve"> </w:t>
      </w:r>
      <w:r>
        <w:rPr>
          <w:rFonts w:ascii="Arial"/>
          <w:b/>
          <w:sz w:val="26"/>
        </w:rPr>
        <w:t>Specified</w:t>
      </w:r>
    </w:p>
    <w:p w:rsidR="00E675F0" w:rsidRDefault="00E675F0" w:rsidP="00E675F0">
      <w:pPr>
        <w:pStyle w:val="BodyText"/>
        <w:spacing w:before="239" w:line="256" w:lineRule="auto"/>
        <w:ind w:left="113" w:right="180" w:firstLine="1"/>
        <w:jc w:val="both"/>
      </w:pPr>
      <w:r>
        <w:rPr>
          <w:w w:val="105"/>
        </w:rPr>
        <w:t>This</w:t>
      </w:r>
      <w:r>
        <w:rPr>
          <w:spacing w:val="-8"/>
          <w:w w:val="105"/>
        </w:rPr>
        <w:t xml:space="preserve"> </w:t>
      </w:r>
      <w:r>
        <w:rPr>
          <w:w w:val="105"/>
        </w:rPr>
        <w:t>category</w:t>
      </w:r>
      <w:r>
        <w:rPr>
          <w:spacing w:val="-11"/>
          <w:w w:val="105"/>
        </w:rPr>
        <w:t xml:space="preserve"> </w:t>
      </w:r>
      <w:r>
        <w:rPr>
          <w:w w:val="105"/>
        </w:rPr>
        <w:t>should</w:t>
      </w:r>
      <w:r>
        <w:rPr>
          <w:spacing w:val="5"/>
          <w:w w:val="105"/>
        </w:rPr>
        <w:t xml:space="preserve"> </w:t>
      </w:r>
      <w:r>
        <w:rPr>
          <w:w w:val="105"/>
        </w:rPr>
        <w:t>be</w:t>
      </w:r>
      <w:r>
        <w:rPr>
          <w:spacing w:val="-8"/>
          <w:w w:val="105"/>
        </w:rPr>
        <w:t xml:space="preserve"> </w:t>
      </w:r>
      <w:r>
        <w:rPr>
          <w:w w:val="105"/>
        </w:rPr>
        <w:t>used</w:t>
      </w:r>
      <w:r>
        <w:rPr>
          <w:spacing w:val="-6"/>
          <w:w w:val="105"/>
        </w:rPr>
        <w:t xml:space="preserve"> </w:t>
      </w:r>
      <w:r>
        <w:rPr>
          <w:w w:val="105"/>
        </w:rPr>
        <w:t>to</w:t>
      </w:r>
      <w:r>
        <w:rPr>
          <w:spacing w:val="-11"/>
          <w:w w:val="105"/>
        </w:rPr>
        <w:t xml:space="preserve"> </w:t>
      </w:r>
      <w:r>
        <w:rPr>
          <w:w w:val="105"/>
        </w:rPr>
        <w:t>diagnose</w:t>
      </w:r>
      <w:r>
        <w:rPr>
          <w:spacing w:val="2"/>
          <w:w w:val="105"/>
        </w:rPr>
        <w:t xml:space="preserve"> </w:t>
      </w:r>
      <w:r>
        <w:rPr>
          <w:w w:val="105"/>
        </w:rPr>
        <w:t>an</w:t>
      </w:r>
      <w:r>
        <w:rPr>
          <w:spacing w:val="-12"/>
          <w:w w:val="105"/>
        </w:rPr>
        <w:t xml:space="preserve"> </w:t>
      </w:r>
      <w:r>
        <w:rPr>
          <w:w w:val="105"/>
        </w:rPr>
        <w:t>amnestic</w:t>
      </w:r>
      <w:r>
        <w:rPr>
          <w:spacing w:val="-1"/>
          <w:w w:val="105"/>
        </w:rPr>
        <w:t xml:space="preserve"> </w:t>
      </w:r>
      <w:r>
        <w:rPr>
          <w:w w:val="105"/>
        </w:rPr>
        <w:t>disorder</w:t>
      </w:r>
      <w:r>
        <w:rPr>
          <w:spacing w:val="-1"/>
          <w:w w:val="105"/>
        </w:rPr>
        <w:t xml:space="preserve"> </w:t>
      </w:r>
      <w:r>
        <w:rPr>
          <w:w w:val="105"/>
        </w:rPr>
        <w:t>that</w:t>
      </w:r>
      <w:r>
        <w:rPr>
          <w:spacing w:val="-7"/>
          <w:w w:val="105"/>
        </w:rPr>
        <w:t xml:space="preserve"> </w:t>
      </w:r>
      <w:r>
        <w:rPr>
          <w:w w:val="105"/>
        </w:rPr>
        <w:t>does</w:t>
      </w:r>
      <w:r>
        <w:rPr>
          <w:spacing w:val="-9"/>
          <w:w w:val="105"/>
        </w:rPr>
        <w:t xml:space="preserve"> </w:t>
      </w:r>
      <w:r>
        <w:rPr>
          <w:w w:val="105"/>
        </w:rPr>
        <w:t>not</w:t>
      </w:r>
      <w:r>
        <w:rPr>
          <w:spacing w:val="-1"/>
          <w:w w:val="105"/>
        </w:rPr>
        <w:t xml:space="preserve"> </w:t>
      </w:r>
      <w:r>
        <w:rPr>
          <w:w w:val="105"/>
        </w:rPr>
        <w:t>meet</w:t>
      </w:r>
      <w:r>
        <w:rPr>
          <w:spacing w:val="-5"/>
          <w:w w:val="105"/>
        </w:rPr>
        <w:t xml:space="preserve"> </w:t>
      </w:r>
      <w:r>
        <w:rPr>
          <w:w w:val="105"/>
        </w:rPr>
        <w:t>criteria for any of the specific types described in this</w:t>
      </w:r>
      <w:r>
        <w:rPr>
          <w:spacing w:val="34"/>
          <w:w w:val="105"/>
        </w:rPr>
        <w:t xml:space="preserve"> </w:t>
      </w:r>
      <w:r>
        <w:rPr>
          <w:w w:val="105"/>
        </w:rPr>
        <w:t>section.</w:t>
      </w:r>
    </w:p>
    <w:p w:rsidR="00E675F0" w:rsidRDefault="00E675F0" w:rsidP="00E675F0">
      <w:pPr>
        <w:pStyle w:val="BodyText"/>
        <w:spacing w:line="256" w:lineRule="auto"/>
        <w:ind w:left="114" w:right="168" w:firstLine="361"/>
        <w:jc w:val="both"/>
      </w:pPr>
      <w:r>
        <w:rPr>
          <w:w w:val="105"/>
        </w:rPr>
        <w:t>An example is a clinical presentation of amnesia for which there is insufficient evidence to establish a specific etiology (i.e., dissociative, substance induced, or due  to a general medical</w:t>
      </w:r>
      <w:r>
        <w:rPr>
          <w:spacing w:val="36"/>
          <w:w w:val="105"/>
        </w:rPr>
        <w:t xml:space="preserve"> </w:t>
      </w:r>
      <w:r>
        <w:rPr>
          <w:w w:val="105"/>
        </w:rPr>
        <w:t>condition).</w:t>
      </w:r>
    </w:p>
    <w:p w:rsidR="00E675F0" w:rsidRDefault="00E675F0" w:rsidP="00E675F0">
      <w:pPr>
        <w:pStyle w:val="BodyText"/>
      </w:pPr>
    </w:p>
    <w:p w:rsidR="00E675F0" w:rsidRDefault="00E675F0" w:rsidP="00E675F0">
      <w:pPr>
        <w:pStyle w:val="BodyText"/>
        <w:spacing w:before="8"/>
        <w:rPr>
          <w:sz w:val="18"/>
        </w:rPr>
      </w:pPr>
      <w:r>
        <w:rPr>
          <w:noProof/>
        </w:rPr>
        <mc:AlternateContent>
          <mc:Choice Requires="wps">
            <w:drawing>
              <wp:anchor distT="0" distB="0" distL="0" distR="0" simplePos="0" relativeHeight="251860992" behindDoc="1" locked="0" layoutInCell="1" allowOverlap="1" wp14:anchorId="2B90B82C" wp14:editId="69F637B0">
                <wp:simplePos x="0" y="0"/>
                <wp:positionH relativeFrom="page">
                  <wp:posOffset>452120</wp:posOffset>
                </wp:positionH>
                <wp:positionV relativeFrom="paragraph">
                  <wp:posOffset>164465</wp:posOffset>
                </wp:positionV>
                <wp:extent cx="1454150" cy="1270"/>
                <wp:effectExtent l="0" t="0" r="6350" b="0"/>
                <wp:wrapTopAndBottom/>
                <wp:docPr id="1446" name="Freeform 1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54150" cy="1270"/>
                        </a:xfrm>
                        <a:custGeom>
                          <a:avLst/>
                          <a:gdLst>
                            <a:gd name="T0" fmla="+- 0 712 712"/>
                            <a:gd name="T1" fmla="*/ T0 w 2290"/>
                            <a:gd name="T2" fmla="+- 0 3002 712"/>
                            <a:gd name="T3" fmla="*/ T2 w 2290"/>
                          </a:gdLst>
                          <a:ahLst/>
                          <a:cxnLst>
                            <a:cxn ang="0">
                              <a:pos x="T1" y="0"/>
                            </a:cxn>
                            <a:cxn ang="0">
                              <a:pos x="T3" y="0"/>
                            </a:cxn>
                          </a:cxnLst>
                          <a:rect l="0" t="0" r="r" b="b"/>
                          <a:pathLst>
                            <a:path w="2290">
                              <a:moveTo>
                                <a:pt x="0" y="0"/>
                              </a:moveTo>
                              <a:lnTo>
                                <a:pt x="2290" y="0"/>
                              </a:lnTo>
                            </a:path>
                          </a:pathLst>
                        </a:custGeom>
                        <a:noFill/>
                        <a:ln w="61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BAFB0" id="Freeform 1402" o:spid="_x0000_s1026" style="position:absolute;margin-left:35.6pt;margin-top:12.95pt;width:114.5pt;height:.1pt;z-index:-251455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9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" path="m,l2290,e" filled="f" strokeweight=".16956mm">
                <v:path arrowok="t" o:connecttype="custom" o:connectlocs="0,0;1454150,0" o:connectangles="0,0"/>
                <w10:wrap type="topAndBottom" anchorx="page"/>
              </v:shape>
            </w:pict>
          </mc:Fallback>
        </mc:AlternateContent>
      </w:r>
      <w:r>
        <w:rPr>
          <w:noProof/>
        </w:rPr>
        <mc:AlternateContent>
          <mc:Choice Requires="wps">
            <w:drawing>
              <wp:anchor distT="0" distB="0" distL="0" distR="0" simplePos="0" relativeHeight="251862016" behindDoc="1" locked="0" layoutInCell="1" allowOverlap="1" wp14:anchorId="25C3549F" wp14:editId="51923100">
                <wp:simplePos x="0" y="0"/>
                <wp:positionH relativeFrom="page">
                  <wp:posOffset>4056380</wp:posOffset>
                </wp:positionH>
                <wp:positionV relativeFrom="paragraph">
                  <wp:posOffset>164465</wp:posOffset>
                </wp:positionV>
                <wp:extent cx="1136650" cy="1270"/>
                <wp:effectExtent l="0" t="0" r="6350" b="0"/>
                <wp:wrapTopAndBottom/>
                <wp:docPr id="1445" name="Freeform 1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6650" cy="1270"/>
                        </a:xfrm>
                        <a:custGeom>
                          <a:avLst/>
                          <a:gdLst>
                            <a:gd name="T0" fmla="+- 0 6388 6388"/>
                            <a:gd name="T1" fmla="*/ T0 w 1790"/>
                            <a:gd name="T2" fmla="+- 0 8177 6388"/>
                            <a:gd name="T3" fmla="*/ T2 w 1790"/>
                          </a:gdLst>
                          <a:ahLst/>
                          <a:cxnLst>
                            <a:cxn ang="0">
                              <a:pos x="T1" y="0"/>
                            </a:cxn>
                            <a:cxn ang="0">
                              <a:pos x="T3" y="0"/>
                            </a:cxn>
                          </a:cxnLst>
                          <a:rect l="0" t="0" r="r" b="b"/>
                          <a:pathLst>
                            <a:path w="1790">
                              <a:moveTo>
                                <a:pt x="0" y="0"/>
                              </a:moveTo>
                              <a:lnTo>
                                <a:pt x="1789" y="0"/>
                              </a:lnTo>
                            </a:path>
                          </a:pathLst>
                        </a:custGeom>
                        <a:noFill/>
                        <a:ln w="61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48353" id="Freeform 1401" o:spid="_x0000_s1026" style="position:absolute;margin-left:319.4pt;margin-top:12.95pt;width:89.5pt;height:.1pt;z-index:-251454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9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" path="m,l1789,e" filled="f" strokeweight=".16956mm">
                <v:path arrowok="t" o:connecttype="custom" o:connectlocs="0,0;1136015,0" o:connectangles="0,0"/>
                <w10:wrap type="topAndBottom" anchorx="page"/>
              </v:shape>
            </w:pict>
          </mc:Fallback>
        </mc:AlternateContent>
      </w:r>
    </w:p>
    <w:p w:rsidR="00E675F0" w:rsidRDefault="00E675F0" w:rsidP="00E675F0">
      <w:pPr>
        <w:spacing w:before="116" w:after="75"/>
        <w:ind w:left="1117" w:right="1189"/>
        <w:jc w:val="center"/>
        <w:rPr>
          <w:rFonts w:ascii="Arial"/>
          <w:b/>
          <w:sz w:val="26"/>
        </w:rPr>
      </w:pPr>
      <w:r>
        <w:rPr>
          <w:rFonts w:ascii="Arial"/>
          <w:b/>
          <w:color w:val="111111"/>
          <w:sz w:val="26"/>
        </w:rPr>
        <w:t>Other Cognitive Disorders</w:t>
      </w:r>
    </w:p>
    <w:p w:rsidR="00E675F0" w:rsidRDefault="00E675F0" w:rsidP="00E675F0">
      <w:pPr>
        <w:tabs>
          <w:tab w:val="left" w:pos="5783"/>
        </w:tabs>
        <w:spacing w:line="20" w:lineRule="exact"/>
        <w:ind w:left="106"/>
        <w:rPr>
          <w:rFonts w:ascii="Arial"/>
          <w:sz w:val="2"/>
        </w:rPr>
      </w:pPr>
      <w:r>
        <w:rPr>
          <w:rFonts w:ascii="Arial"/>
          <w:noProof/>
          <w:sz w:val="2"/>
        </w:rPr>
        <mc:AlternateContent>
          <mc:Choice Requires="wpg">
            <w:drawing>
              <wp:inline distT="0" distB="0" distL="0" distR="0" wp14:anchorId="706EB3A6" wp14:editId="61EEE1A9">
                <wp:extent cx="1209675" cy="6350"/>
                <wp:effectExtent l="0" t="0" r="0" b="0"/>
                <wp:docPr id="1443" name="Group 1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9675" cy="6350"/>
                          <a:chOff x="0" y="0"/>
                          <a:chExt cx="1905" cy="10"/>
                        </a:xfrm>
                      </wpg:grpSpPr>
                      <wps:wsp>
                        <wps:cNvPr id="1444" name="Line 1400"/>
                        <wps:cNvCnPr>
                          <a:cxnSpLocks/>
                        </wps:cNvCnPr>
                        <wps:spPr bwMode="auto">
                          <a:xfrm>
                            <a:off x="0" y="5"/>
                            <a:ext cx="1905" cy="0"/>
                          </a:xfrm>
                          <a:prstGeom prst="line">
                            <a:avLst/>
                          </a:prstGeom>
                          <a:noFill/>
                          <a:ln w="610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115935C" id="Group 1399" o:spid="_x0000_s1026" style="width:95.25pt;height:.5pt;mso-position-horizontal-relative:char;mso-position-vertical-relative:line" coordsize="1905,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">
                <v:line id="Line 1400" o:spid="_x0000_s1027" style="position:absolute;visibility:visible;mso-wrap-style:square" from="0,5" to="190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" strokeweight=".16956mm">
                  <o:lock v:ext="edit" shapetype="f"/>
                </v:line>
                <w10:anchorlock/>
              </v:group>
            </w:pict>
          </mc:Fallback>
        </mc:AlternateContent>
      </w:r>
      <w:r>
        <w:rPr>
          <w:rFonts w:ascii="Arial"/>
          <w:sz w:val="2"/>
        </w:rPr>
        <w:tab/>
      </w:r>
      <w:r>
        <w:rPr>
          <w:rFonts w:ascii="Arial"/>
          <w:noProof/>
          <w:sz w:val="2"/>
        </w:rPr>
        <mc:AlternateContent>
          <mc:Choice Requires="wpg">
            <w:drawing>
              <wp:inline distT="0" distB="0" distL="0" distR="0" wp14:anchorId="24540210" wp14:editId="45DFE858">
                <wp:extent cx="1136650" cy="6350"/>
                <wp:effectExtent l="0" t="0" r="0" b="0"/>
                <wp:docPr id="1441" name="Group 1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0" cy="6350"/>
                          <a:chOff x="0" y="0"/>
                          <a:chExt cx="1790" cy="10"/>
                        </a:xfrm>
                      </wpg:grpSpPr>
                      <wps:wsp>
                        <wps:cNvPr id="1442" name="Line 1398"/>
                        <wps:cNvCnPr>
                          <a:cxnSpLocks/>
                        </wps:cNvCnPr>
                        <wps:spPr bwMode="auto">
                          <a:xfrm>
                            <a:off x="0" y="5"/>
                            <a:ext cx="1789" cy="0"/>
                          </a:xfrm>
                          <a:prstGeom prst="line">
                            <a:avLst/>
                          </a:prstGeom>
                          <a:noFill/>
                          <a:ln w="610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E7185ED" id="Group 1397" o:spid="_x0000_s1026" style="width:89.5pt;height:.5pt;mso-position-horizontal-relative:char;mso-position-vertical-relative:line" coordsize="1790,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">
                <v:line id="Line 1398" o:spid="_x0000_s1027" style="position:absolute;visibility:visible;mso-wrap-style:square" from="0,5" to="178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" strokeweight=".16956mm">
                  <o:lock v:ext="edit" shapetype="f"/>
                </v:line>
                <w10:anchorlock/>
              </v:group>
            </w:pict>
          </mc:Fallback>
        </mc:AlternateContent>
      </w:r>
    </w:p>
    <w:p w:rsidR="00E675F0" w:rsidRDefault="00E675F0" w:rsidP="00E675F0">
      <w:pPr>
        <w:pStyle w:val="BodyText"/>
        <w:spacing w:before="9"/>
        <w:rPr>
          <w:rFonts w:ascii="Arial"/>
          <w:b/>
          <w:sz w:val="31"/>
        </w:rPr>
      </w:pPr>
    </w:p>
    <w:p w:rsidR="00E675F0" w:rsidRDefault="00E675F0" w:rsidP="003048D3">
      <w:pPr>
        <w:numPr>
          <w:ilvl w:val="1"/>
          <w:numId w:val="49"/>
        </w:numPr>
        <w:tabs>
          <w:tab w:val="left" w:pos="1557"/>
          <w:tab w:val="left" w:pos="1558"/>
        </w:tabs>
        <w:ind w:left="1557" w:hanging="914"/>
        <w:rPr>
          <w:rFonts w:ascii="Arial"/>
          <w:b/>
          <w:sz w:val="26"/>
        </w:rPr>
      </w:pPr>
      <w:r>
        <w:rPr>
          <w:rFonts w:ascii="Arial"/>
          <w:b/>
          <w:sz w:val="26"/>
        </w:rPr>
        <w:t>Cognitive Disorder Not Otherwise</w:t>
      </w:r>
      <w:r>
        <w:rPr>
          <w:rFonts w:ascii="Arial"/>
          <w:b/>
          <w:spacing w:val="57"/>
          <w:sz w:val="26"/>
        </w:rPr>
        <w:t xml:space="preserve"> </w:t>
      </w:r>
      <w:r>
        <w:rPr>
          <w:rFonts w:ascii="Arial"/>
          <w:b/>
          <w:sz w:val="26"/>
        </w:rPr>
        <w:t>Specified</w:t>
      </w:r>
    </w:p>
    <w:p w:rsidR="00E675F0" w:rsidRDefault="00E675F0" w:rsidP="00E675F0">
      <w:pPr>
        <w:pStyle w:val="BodyText"/>
        <w:spacing w:before="249" w:line="256" w:lineRule="auto"/>
        <w:ind w:left="119" w:right="169" w:hanging="4"/>
        <w:jc w:val="both"/>
      </w:pPr>
      <w:r>
        <w:rPr>
          <w:w w:val="105"/>
        </w:rPr>
        <w:t>This category is for disorders that are characterized by cognitive dysfunction presumed to be due to the direct physiological effect of a general medical condition that do not meet criteria for any of the specific deliriums, dementias, or amnestic disorders listed in this section and that are not better classified as Delirium Not Otherwise Specified, Dementia Not Otherwise Specified, or Amnestic Disorder Not Otherwise Specified. For cognitive dysfunction due to a specific or unknown substance, the specific Substance­ Related Disorder Not Otherwise Specified category should be used.</w:t>
      </w:r>
    </w:p>
    <w:p w:rsidR="00E675F0" w:rsidRDefault="00E675F0" w:rsidP="00E675F0">
      <w:pPr>
        <w:pStyle w:val="BodyText"/>
        <w:spacing w:line="223" w:lineRule="exact"/>
        <w:ind w:left="483"/>
        <w:jc w:val="both"/>
      </w:pPr>
      <w:r>
        <w:rPr>
          <w:w w:val="105"/>
        </w:rPr>
        <w:t>Examples include</w:t>
      </w:r>
    </w:p>
    <w:p w:rsidR="00E675F0" w:rsidRDefault="00E675F0" w:rsidP="003048D3">
      <w:pPr>
        <w:pStyle w:val="ListParagraph"/>
        <w:numPr>
          <w:ilvl w:val="0"/>
          <w:numId w:val="3"/>
        </w:numPr>
        <w:tabs>
          <w:tab w:val="left" w:pos="788"/>
        </w:tabs>
        <w:spacing w:before="135" w:line="254" w:lineRule="auto"/>
        <w:ind w:right="168" w:hanging="307"/>
        <w:jc w:val="both"/>
        <w:rPr>
          <w:sz w:val="20"/>
        </w:rPr>
      </w:pPr>
      <w:r>
        <w:rPr>
          <w:w w:val="105"/>
          <w:sz w:val="20"/>
        </w:rPr>
        <w:t>Mild neurocognitive disorder: impairment in cognitive functioning as evidenced by neuropsychological testing or quantified clinical assessment,  accompanied by objective evidence of a systemic general medical condition or central nervous system dysfunction (see p. 706 for suggested research</w:t>
      </w:r>
      <w:r>
        <w:rPr>
          <w:spacing w:val="-9"/>
          <w:w w:val="105"/>
          <w:sz w:val="20"/>
        </w:rPr>
        <w:t xml:space="preserve"> </w:t>
      </w:r>
      <w:r>
        <w:rPr>
          <w:w w:val="105"/>
          <w:sz w:val="20"/>
        </w:rPr>
        <w:t>criteria)</w:t>
      </w:r>
    </w:p>
    <w:p w:rsidR="00E675F0" w:rsidRDefault="00E675F0" w:rsidP="003048D3">
      <w:pPr>
        <w:pStyle w:val="ListParagraph"/>
        <w:numPr>
          <w:ilvl w:val="0"/>
          <w:numId w:val="3"/>
        </w:numPr>
        <w:tabs>
          <w:tab w:val="left" w:pos="792"/>
        </w:tabs>
        <w:spacing w:before="1" w:line="256" w:lineRule="auto"/>
        <w:ind w:left="792" w:right="162" w:hanging="301"/>
        <w:jc w:val="both"/>
        <w:rPr>
          <w:sz w:val="20"/>
        </w:rPr>
      </w:pPr>
      <w:r>
        <w:rPr>
          <w:w w:val="105"/>
          <w:sz w:val="20"/>
        </w:rPr>
        <w:t>Postconcussional disorder: following a head trauma, impairment in memory or attention with associated symptoms (see p. 704 for suggested research</w:t>
      </w:r>
      <w:r>
        <w:rPr>
          <w:spacing w:val="13"/>
          <w:w w:val="105"/>
          <w:sz w:val="20"/>
        </w:rPr>
        <w:t xml:space="preserve"> </w:t>
      </w:r>
      <w:r>
        <w:rPr>
          <w:w w:val="105"/>
          <w:sz w:val="20"/>
        </w:rPr>
        <w:t>criteria)</w:t>
      </w:r>
    </w:p>
    <w:p w:rsidR="00E675F0" w:rsidRDefault="00E675F0" w:rsidP="00E675F0">
      <w:pPr>
        <w:spacing w:line="256" w:lineRule="auto"/>
        <w:jc w:val="both"/>
        <w:rPr>
          <w:sz w:val="20"/>
        </w:rPr>
        <w:sectPr w:rsidR="00E675F0">
          <w:pgSz w:w="8960" w:h="14260"/>
          <w:pgMar w:top="1000" w:right="600" w:bottom="280" w:left="600" w:header="698" w:footer="0" w:gutter="0"/>
          <w:cols w:space="720"/>
        </w:sectPr>
      </w:pPr>
    </w:p>
    <w:p w:rsidR="00E675F0" w:rsidRDefault="00E675F0" w:rsidP="00E675F0">
      <w:pPr>
        <w:pStyle w:val="BodyText"/>
      </w:pPr>
    </w:p>
    <w:p w:rsidR="00E675F0" w:rsidRDefault="00E675F0" w:rsidP="00E675F0">
      <w:pPr>
        <w:pStyle w:val="BodyText"/>
      </w:pPr>
    </w:p>
    <w:p w:rsidR="00E675F0" w:rsidRDefault="00E675F0" w:rsidP="00E675F0">
      <w:pPr>
        <w:pStyle w:val="BodyText"/>
      </w:pPr>
    </w:p>
    <w:p w:rsidR="00E675F0" w:rsidRDefault="00E675F0" w:rsidP="00E675F0">
      <w:pPr>
        <w:pStyle w:val="BodyText"/>
      </w:pPr>
    </w:p>
    <w:p w:rsidR="00E675F0" w:rsidRDefault="00E675F0" w:rsidP="00E675F0">
      <w:pPr>
        <w:pStyle w:val="BodyText"/>
      </w:pPr>
    </w:p>
    <w:p w:rsidR="00E675F0" w:rsidRDefault="00E675F0" w:rsidP="00E675F0">
      <w:pPr>
        <w:pStyle w:val="BodyText"/>
      </w:pPr>
    </w:p>
    <w:p w:rsidR="00E675F0" w:rsidRDefault="00E675F0" w:rsidP="00E675F0">
      <w:pPr>
        <w:pStyle w:val="BodyText"/>
      </w:pPr>
    </w:p>
    <w:p w:rsidR="00E675F0" w:rsidRDefault="00E675F0" w:rsidP="00E675F0">
      <w:pPr>
        <w:pStyle w:val="BodyText"/>
      </w:pPr>
    </w:p>
    <w:p w:rsidR="00E675F0" w:rsidRDefault="00E675F0" w:rsidP="00E675F0">
      <w:pPr>
        <w:pStyle w:val="BodyText"/>
        <w:spacing w:before="4" w:after="1"/>
        <w:rPr>
          <w:sz w:val="23"/>
        </w:rPr>
      </w:pPr>
    </w:p>
    <w:p w:rsidR="00E675F0" w:rsidRDefault="00E675F0" w:rsidP="00E675F0">
      <w:pPr>
        <w:pStyle w:val="BodyText"/>
        <w:spacing w:line="220" w:lineRule="exact"/>
        <w:ind w:left="1660"/>
      </w:pPr>
      <w:r>
        <w:rPr>
          <w:noProof/>
          <w:position w:val="-3"/>
        </w:rPr>
        <w:drawing>
          <wp:inline distT="0" distB="0" distL="0" distR="0" wp14:anchorId="39E14B37" wp14:editId="130F4F41">
            <wp:extent cx="2008632" cy="140207"/>
            <wp:effectExtent l="0" t="0" r="0" b="0"/>
            <wp:docPr id="3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png"/>
                    <pic:cNvPicPr/>
                  </pic:nvPicPr>
                  <pic:blipFill>
                    <a:blip r:embed="rId8" cstate="print"/>
                    <a:stretch>
                      <a:fillRect/>
                    </a:stretch>
                  </pic:blipFill>
                  <pic:spPr>
                    <a:xfrm>
                      <a:off x="0" y="0"/>
                      <a:ext cx="2008632" cy="140207"/>
                    </a:xfrm>
                    <a:prstGeom prst="rect">
                      <a:avLst/>
                    </a:prstGeom>
                  </pic:spPr>
                </pic:pic>
              </a:graphicData>
            </a:graphic>
          </wp:inline>
        </w:drawing>
      </w:r>
    </w:p>
    <w:p w:rsidR="00E675F0" w:rsidRDefault="00E675F0" w:rsidP="00E675F0">
      <w:pPr>
        <w:spacing w:line="220" w:lineRule="exact"/>
        <w:sectPr w:rsidR="00E675F0">
          <w:headerReference w:type="default" r:id="rId150"/>
          <w:pgSz w:w="8960" w:h="14260"/>
          <w:pgMar w:top="1320" w:right="1240" w:bottom="280" w:left="1240" w:header="0" w:footer="0" w:gutter="0"/>
          <w:cols w:space="720"/>
        </w:sectPr>
      </w:pPr>
    </w:p>
    <w:p w:rsidR="00E675F0" w:rsidRDefault="00E675F0" w:rsidP="00E675F0">
      <w:pPr>
        <w:pStyle w:val="BodyText"/>
      </w:pPr>
    </w:p>
    <w:p w:rsidR="00E675F0" w:rsidRDefault="00E675F0" w:rsidP="00E675F0">
      <w:pPr>
        <w:pStyle w:val="BodyText"/>
        <w:spacing w:before="7"/>
        <w:rPr>
          <w:sz w:val="23"/>
        </w:rPr>
      </w:pPr>
    </w:p>
    <w:bookmarkStart w:id="106" w:name="Mental_Disorders_Due_to_a_General_Medica"/>
    <w:bookmarkStart w:id="107" w:name="_bookmark89"/>
    <w:bookmarkEnd w:id="106"/>
    <w:bookmarkEnd w:id="107"/>
    <w:p w:rsidR="00E675F0" w:rsidRDefault="00E675F0" w:rsidP="00E675F0">
      <w:pPr>
        <w:spacing w:before="83" w:line="276" w:lineRule="auto"/>
        <w:ind w:left="298" w:firstLine="59"/>
        <w:rPr>
          <w:rFonts w:ascii="Arial"/>
          <w:b/>
          <w:sz w:val="55"/>
        </w:rPr>
      </w:pPr>
      <w:r>
        <w:fldChar w:fldCharType="begin"/>
      </w:r>
      <w:r>
        <w:instrText xml:space="preserve"> HYPERLINK \l "_bookmark0" </w:instrText>
      </w:r>
      <w:r>
        <w:fldChar w:fldCharType="separate"/>
      </w:r>
      <w:r>
        <w:rPr>
          <w:rFonts w:ascii="Arial"/>
          <w:b/>
          <w:sz w:val="55"/>
        </w:rPr>
        <w:t>Mental Disorders Due to a General Medical</w:t>
      </w:r>
      <w:r>
        <w:rPr>
          <w:rFonts w:ascii="Arial"/>
          <w:b/>
          <w:spacing w:val="133"/>
          <w:sz w:val="55"/>
        </w:rPr>
        <w:t xml:space="preserve"> </w:t>
      </w:r>
      <w:r>
        <w:rPr>
          <w:rFonts w:ascii="Arial"/>
          <w:b/>
          <w:sz w:val="55"/>
        </w:rPr>
        <w:t>Condition</w:t>
      </w:r>
      <w:r>
        <w:rPr>
          <w:rFonts w:ascii="Arial"/>
          <w:b/>
          <w:sz w:val="55"/>
        </w:rPr>
        <w:fldChar w:fldCharType="end"/>
      </w:r>
    </w:p>
    <w:p w:rsidR="00E675F0" w:rsidRDefault="00E675F0" w:rsidP="00E675F0">
      <w:pPr>
        <w:pStyle w:val="BodyText"/>
        <w:rPr>
          <w:rFonts w:ascii="Arial"/>
          <w:b/>
        </w:rPr>
      </w:pPr>
    </w:p>
    <w:p w:rsidR="00E675F0" w:rsidRDefault="00E675F0" w:rsidP="00E675F0">
      <w:pPr>
        <w:pStyle w:val="BodyText"/>
        <w:rPr>
          <w:rFonts w:ascii="Arial"/>
          <w:b/>
        </w:rPr>
      </w:pPr>
    </w:p>
    <w:p w:rsidR="00E675F0" w:rsidRDefault="00E675F0" w:rsidP="00E675F0">
      <w:pPr>
        <w:pStyle w:val="BodyText"/>
        <w:rPr>
          <w:rFonts w:ascii="Arial"/>
          <w:b/>
        </w:rPr>
      </w:pPr>
    </w:p>
    <w:p w:rsidR="00E675F0" w:rsidRDefault="00E675F0" w:rsidP="00E675F0">
      <w:pPr>
        <w:pStyle w:val="BodyText"/>
        <w:rPr>
          <w:rFonts w:ascii="Arial"/>
          <w:b/>
        </w:rPr>
      </w:pPr>
    </w:p>
    <w:p w:rsidR="00E675F0" w:rsidRDefault="00E675F0" w:rsidP="00E675F0">
      <w:pPr>
        <w:pStyle w:val="BodyText"/>
        <w:rPr>
          <w:rFonts w:ascii="Arial"/>
          <w:b/>
        </w:rPr>
      </w:pPr>
    </w:p>
    <w:p w:rsidR="00E675F0" w:rsidRDefault="00E675F0" w:rsidP="00E675F0">
      <w:pPr>
        <w:pStyle w:val="BodyText"/>
        <w:rPr>
          <w:rFonts w:ascii="Arial"/>
          <w:b/>
        </w:rPr>
      </w:pPr>
    </w:p>
    <w:p w:rsidR="00E675F0" w:rsidRDefault="00E675F0" w:rsidP="00E675F0">
      <w:pPr>
        <w:pStyle w:val="BodyText"/>
        <w:rPr>
          <w:rFonts w:ascii="Arial"/>
          <w:b/>
        </w:rPr>
      </w:pPr>
    </w:p>
    <w:p w:rsidR="00E675F0" w:rsidRDefault="00E675F0" w:rsidP="00E675F0">
      <w:pPr>
        <w:pStyle w:val="BodyText"/>
        <w:rPr>
          <w:rFonts w:ascii="Arial"/>
          <w:b/>
        </w:rPr>
      </w:pPr>
    </w:p>
    <w:p w:rsidR="00E675F0" w:rsidRDefault="00E675F0" w:rsidP="00E675F0">
      <w:pPr>
        <w:pStyle w:val="BodyText"/>
        <w:spacing w:before="3"/>
        <w:rPr>
          <w:rFonts w:ascii="Arial"/>
          <w:b/>
          <w:sz w:val="21"/>
        </w:rPr>
      </w:pPr>
    </w:p>
    <w:p w:rsidR="00E675F0" w:rsidRDefault="00E675F0" w:rsidP="00E675F0">
      <w:pPr>
        <w:pStyle w:val="BodyText"/>
        <w:spacing w:before="92" w:line="254" w:lineRule="auto"/>
        <w:ind w:left="125" w:right="117" w:firstLine="489"/>
        <w:jc w:val="right"/>
      </w:pPr>
      <w:r>
        <w:rPr>
          <w:noProof/>
        </w:rPr>
        <mc:AlternateContent>
          <mc:Choice Requires="wps">
            <w:drawing>
              <wp:anchor distT="0" distB="0" distL="114300" distR="114300" simplePos="0" relativeHeight="251791360" behindDoc="1" locked="0" layoutInCell="1" allowOverlap="1" wp14:anchorId="4D603506" wp14:editId="7EDEFACC">
                <wp:simplePos x="0" y="0"/>
                <wp:positionH relativeFrom="page">
                  <wp:posOffset>472440</wp:posOffset>
                </wp:positionH>
                <wp:positionV relativeFrom="paragraph">
                  <wp:posOffset>-73025</wp:posOffset>
                </wp:positionV>
                <wp:extent cx="310515" cy="504825"/>
                <wp:effectExtent l="0" t="0" r="0" b="0"/>
                <wp:wrapNone/>
                <wp:docPr id="1440" name="Text Box 1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0515"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5F0" w:rsidRDefault="00E675F0" w:rsidP="00E675F0">
                            <w:pPr>
                              <w:spacing w:line="794" w:lineRule="exact"/>
                              <w:rPr>
                                <w:rFonts w:ascii="Arial"/>
                                <w:sz w:val="71"/>
                              </w:rPr>
                            </w:pPr>
                            <w:r>
                              <w:rPr>
                                <w:rFonts w:ascii="Arial"/>
                                <w:w w:val="103"/>
                                <w:sz w:val="71"/>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603506" id="Text Box 1396" o:spid="_x0000_s1097" type="#_x0000_t202" style="position:absolute;left:0;text-align:left;margin-left:37.2pt;margin-top:-5.75pt;width:24.45pt;height:39.75pt;z-index:-251525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" filled="f" stroked="f">
                <v:path arrowok="t"/>
                <v:textbox inset="0,0,0,0">
                  <w:txbxContent>
                    <w:p w:rsidR="00E675F0" w:rsidRDefault="00E675F0" w:rsidP="00E675F0">
                      <w:pPr>
                        <w:spacing w:line="794" w:lineRule="exact"/>
                        <w:rPr>
                          <w:rFonts w:ascii="Arial"/>
                          <w:sz w:val="71"/>
                        </w:rPr>
                      </w:pPr>
                      <w:r>
                        <w:rPr>
                          <w:rFonts w:ascii="Arial"/>
                          <w:w w:val="103"/>
                          <w:sz w:val="71"/>
                        </w:rPr>
                        <w:t>A</w:t>
                      </w:r>
                    </w:p>
                  </w:txbxContent>
                </v:textbox>
                <w10:wrap anchorx="page"/>
              </v:shape>
            </w:pict>
          </mc:Fallback>
        </mc:AlternateContent>
      </w:r>
      <w:r>
        <w:rPr>
          <w:w w:val="105"/>
        </w:rPr>
        <w:t>Me ntal Disorder Due to a General Medical Condition is characterized</w:t>
      </w:r>
      <w:r>
        <w:rPr>
          <w:spacing w:val="-11"/>
          <w:w w:val="105"/>
        </w:rPr>
        <w:t xml:space="preserve"> </w:t>
      </w:r>
      <w:r>
        <w:rPr>
          <w:w w:val="105"/>
        </w:rPr>
        <w:t>by</w:t>
      </w:r>
      <w:r>
        <w:rPr>
          <w:spacing w:val="35"/>
          <w:w w:val="105"/>
        </w:rPr>
        <w:t xml:space="preserve"> </w:t>
      </w:r>
      <w:r>
        <w:rPr>
          <w:w w:val="105"/>
        </w:rPr>
        <w:t>the</w:t>
      </w:r>
      <w:r>
        <w:rPr>
          <w:spacing w:val="-1"/>
          <w:w w:val="110"/>
        </w:rPr>
        <w:t xml:space="preserve"> </w:t>
      </w:r>
      <w:r>
        <w:rPr>
          <w:w w:val="105"/>
        </w:rPr>
        <w:t>presence of mental symptoms that are judged to be the</w:t>
      </w:r>
      <w:r>
        <w:rPr>
          <w:spacing w:val="45"/>
          <w:w w:val="105"/>
        </w:rPr>
        <w:t xml:space="preserve"> </w:t>
      </w:r>
      <w:r>
        <w:rPr>
          <w:w w:val="105"/>
        </w:rPr>
        <w:t>direct</w:t>
      </w:r>
      <w:r>
        <w:rPr>
          <w:spacing w:val="9"/>
          <w:w w:val="105"/>
        </w:rPr>
        <w:t xml:space="preserve"> </w:t>
      </w:r>
      <w:r>
        <w:rPr>
          <w:w w:val="105"/>
        </w:rPr>
        <w:t>physiological</w:t>
      </w:r>
      <w:r>
        <w:rPr>
          <w:w w:val="103"/>
        </w:rPr>
        <w:t xml:space="preserve"> </w:t>
      </w:r>
      <w:r>
        <w:rPr>
          <w:w w:val="105"/>
        </w:rPr>
        <w:t xml:space="preserve">consequence of a general medical condition. The term </w:t>
      </w:r>
      <w:r>
        <w:rPr>
          <w:i/>
          <w:w w:val="105"/>
        </w:rPr>
        <w:t>general medical</w:t>
      </w:r>
      <w:r>
        <w:rPr>
          <w:i/>
          <w:spacing w:val="32"/>
          <w:w w:val="105"/>
        </w:rPr>
        <w:t xml:space="preserve"> </w:t>
      </w:r>
      <w:r>
        <w:rPr>
          <w:i/>
          <w:w w:val="105"/>
        </w:rPr>
        <w:t>condition</w:t>
      </w:r>
      <w:r>
        <w:rPr>
          <w:i/>
          <w:spacing w:val="-2"/>
          <w:w w:val="105"/>
        </w:rPr>
        <w:t xml:space="preserve"> </w:t>
      </w:r>
      <w:r>
        <w:rPr>
          <w:w w:val="105"/>
        </w:rPr>
        <w:t>refers</w:t>
      </w:r>
      <w:r>
        <w:rPr>
          <w:w w:val="103"/>
        </w:rPr>
        <w:t xml:space="preserve"> </w:t>
      </w:r>
      <w:r>
        <w:rPr>
          <w:w w:val="105"/>
        </w:rPr>
        <w:t>to</w:t>
      </w:r>
      <w:r>
        <w:rPr>
          <w:spacing w:val="-15"/>
          <w:w w:val="105"/>
        </w:rPr>
        <w:t xml:space="preserve"> </w:t>
      </w:r>
      <w:r>
        <w:rPr>
          <w:w w:val="105"/>
        </w:rPr>
        <w:t>conditions</w:t>
      </w:r>
      <w:r>
        <w:rPr>
          <w:spacing w:val="7"/>
          <w:w w:val="105"/>
        </w:rPr>
        <w:t xml:space="preserve"> </w:t>
      </w:r>
      <w:r>
        <w:rPr>
          <w:w w:val="105"/>
        </w:rPr>
        <w:t>that</w:t>
      </w:r>
      <w:r>
        <w:rPr>
          <w:spacing w:val="-4"/>
          <w:w w:val="105"/>
        </w:rPr>
        <w:t xml:space="preserve"> </w:t>
      </w:r>
      <w:r>
        <w:rPr>
          <w:w w:val="105"/>
        </w:rPr>
        <w:t>are</w:t>
      </w:r>
      <w:r>
        <w:rPr>
          <w:spacing w:val="-8"/>
          <w:w w:val="105"/>
        </w:rPr>
        <w:t xml:space="preserve"> </w:t>
      </w:r>
      <w:r>
        <w:rPr>
          <w:w w:val="105"/>
        </w:rPr>
        <w:t>coded</w:t>
      </w:r>
      <w:r>
        <w:rPr>
          <w:spacing w:val="-1"/>
          <w:w w:val="105"/>
        </w:rPr>
        <w:t xml:space="preserve"> </w:t>
      </w:r>
      <w:r>
        <w:rPr>
          <w:w w:val="105"/>
        </w:rPr>
        <w:t>on</w:t>
      </w:r>
      <w:r>
        <w:rPr>
          <w:spacing w:val="-12"/>
          <w:w w:val="105"/>
        </w:rPr>
        <w:t xml:space="preserve"> </w:t>
      </w:r>
      <w:r>
        <w:rPr>
          <w:w w:val="105"/>
        </w:rPr>
        <w:t>Axis</w:t>
      </w:r>
      <w:r>
        <w:rPr>
          <w:spacing w:val="-11"/>
          <w:w w:val="105"/>
        </w:rPr>
        <w:t xml:space="preserve"> </w:t>
      </w:r>
      <w:r>
        <w:rPr>
          <w:w w:val="105"/>
        </w:rPr>
        <w:t>III</w:t>
      </w:r>
      <w:r>
        <w:rPr>
          <w:spacing w:val="-7"/>
          <w:w w:val="105"/>
        </w:rPr>
        <w:t xml:space="preserve"> </w:t>
      </w:r>
      <w:r>
        <w:rPr>
          <w:w w:val="105"/>
        </w:rPr>
        <w:t>and</w:t>
      </w:r>
      <w:r>
        <w:rPr>
          <w:spacing w:val="-4"/>
          <w:w w:val="105"/>
        </w:rPr>
        <w:t xml:space="preserve"> </w:t>
      </w:r>
      <w:r>
        <w:rPr>
          <w:w w:val="105"/>
        </w:rPr>
        <w:t>that</w:t>
      </w:r>
      <w:r>
        <w:rPr>
          <w:spacing w:val="-9"/>
          <w:w w:val="105"/>
        </w:rPr>
        <w:t xml:space="preserve"> </w:t>
      </w:r>
      <w:r>
        <w:rPr>
          <w:w w:val="105"/>
        </w:rPr>
        <w:t>are</w:t>
      </w:r>
      <w:r>
        <w:rPr>
          <w:spacing w:val="-12"/>
          <w:w w:val="105"/>
        </w:rPr>
        <w:t xml:space="preserve"> </w:t>
      </w:r>
      <w:r>
        <w:rPr>
          <w:w w:val="105"/>
        </w:rPr>
        <w:t>listed</w:t>
      </w:r>
      <w:r>
        <w:rPr>
          <w:spacing w:val="-3"/>
          <w:w w:val="105"/>
        </w:rPr>
        <w:t xml:space="preserve"> </w:t>
      </w:r>
      <w:r>
        <w:rPr>
          <w:w w:val="105"/>
        </w:rPr>
        <w:t>outside</w:t>
      </w:r>
      <w:r>
        <w:rPr>
          <w:spacing w:val="-3"/>
          <w:w w:val="105"/>
        </w:rPr>
        <w:t xml:space="preserve"> </w:t>
      </w:r>
      <w:r>
        <w:rPr>
          <w:w w:val="105"/>
        </w:rPr>
        <w:t>the</w:t>
      </w:r>
      <w:r>
        <w:rPr>
          <w:spacing w:val="-14"/>
          <w:w w:val="105"/>
        </w:rPr>
        <w:t xml:space="preserve"> </w:t>
      </w:r>
      <w:r>
        <w:rPr>
          <w:w w:val="105"/>
        </w:rPr>
        <w:t>"Mental</w:t>
      </w:r>
      <w:r>
        <w:rPr>
          <w:spacing w:val="2"/>
          <w:w w:val="105"/>
        </w:rPr>
        <w:t xml:space="preserve"> </w:t>
      </w:r>
      <w:r>
        <w:rPr>
          <w:w w:val="105"/>
        </w:rPr>
        <w:t>Disorders"</w:t>
      </w:r>
      <w:r>
        <w:rPr>
          <w:spacing w:val="-1"/>
          <w:w w:val="102"/>
        </w:rPr>
        <w:t xml:space="preserve"> </w:t>
      </w:r>
      <w:r>
        <w:rPr>
          <w:w w:val="105"/>
        </w:rPr>
        <w:t>chapter of ICD. (See Appendix G for a condensed list of these conditions.)</w:t>
      </w:r>
      <w:r>
        <w:rPr>
          <w:spacing w:val="-1"/>
          <w:w w:val="105"/>
        </w:rPr>
        <w:t xml:space="preserve"> </w:t>
      </w:r>
      <w:r>
        <w:rPr>
          <w:w w:val="105"/>
        </w:rPr>
        <w:t>As</w:t>
      </w:r>
      <w:r>
        <w:rPr>
          <w:spacing w:val="-8"/>
          <w:w w:val="105"/>
        </w:rPr>
        <w:t xml:space="preserve"> </w:t>
      </w:r>
      <w:r>
        <w:rPr>
          <w:w w:val="105"/>
        </w:rPr>
        <w:t>discussed in the "Introduction" to this manual, maintaining the distinction</w:t>
      </w:r>
      <w:r>
        <w:rPr>
          <w:spacing w:val="47"/>
          <w:w w:val="105"/>
        </w:rPr>
        <w:t xml:space="preserve"> </w:t>
      </w:r>
      <w:r>
        <w:rPr>
          <w:w w:val="105"/>
        </w:rPr>
        <w:t>between</w:t>
      </w:r>
      <w:r>
        <w:rPr>
          <w:spacing w:val="23"/>
          <w:w w:val="105"/>
        </w:rPr>
        <w:t xml:space="preserve"> </w:t>
      </w:r>
      <w:r>
        <w:rPr>
          <w:w w:val="105"/>
        </w:rPr>
        <w:t>mental</w:t>
      </w:r>
      <w:r>
        <w:rPr>
          <w:spacing w:val="-1"/>
          <w:w w:val="104"/>
        </w:rPr>
        <w:t xml:space="preserve"> </w:t>
      </w:r>
      <w:r>
        <w:rPr>
          <w:w w:val="105"/>
        </w:rPr>
        <w:t>disorders and general medical conditions does not imply that there</w:t>
      </w:r>
      <w:r>
        <w:rPr>
          <w:spacing w:val="33"/>
          <w:w w:val="105"/>
        </w:rPr>
        <w:t xml:space="preserve"> </w:t>
      </w:r>
      <w:r>
        <w:rPr>
          <w:w w:val="105"/>
        </w:rPr>
        <w:t>are</w:t>
      </w:r>
      <w:r>
        <w:rPr>
          <w:spacing w:val="30"/>
          <w:w w:val="105"/>
        </w:rPr>
        <w:t xml:space="preserve"> </w:t>
      </w:r>
      <w:r>
        <w:rPr>
          <w:w w:val="105"/>
        </w:rPr>
        <w:t>fundamental</w:t>
      </w:r>
      <w:r>
        <w:rPr>
          <w:w w:val="106"/>
        </w:rPr>
        <w:t xml:space="preserve"> </w:t>
      </w:r>
      <w:r>
        <w:rPr>
          <w:w w:val="105"/>
        </w:rPr>
        <w:t>differences in their conceptualization, that mental disorders are unrelated to</w:t>
      </w:r>
      <w:r>
        <w:rPr>
          <w:spacing w:val="38"/>
          <w:w w:val="105"/>
        </w:rPr>
        <w:t xml:space="preserve"> </w:t>
      </w:r>
      <w:r>
        <w:rPr>
          <w:w w:val="105"/>
        </w:rPr>
        <w:t>physical</w:t>
      </w:r>
      <w:r>
        <w:rPr>
          <w:spacing w:val="18"/>
          <w:w w:val="105"/>
        </w:rPr>
        <w:t xml:space="preserve"> </w:t>
      </w:r>
      <w:r>
        <w:rPr>
          <w:w w:val="105"/>
        </w:rPr>
        <w:t>or</w:t>
      </w:r>
      <w:r>
        <w:rPr>
          <w:w w:val="108"/>
        </w:rPr>
        <w:t xml:space="preserve"> </w:t>
      </w:r>
      <w:r>
        <w:rPr>
          <w:w w:val="105"/>
        </w:rPr>
        <w:t>biological factors or processes, or that general medical conditions are</w:t>
      </w:r>
      <w:r>
        <w:rPr>
          <w:spacing w:val="34"/>
          <w:w w:val="105"/>
        </w:rPr>
        <w:t xml:space="preserve"> </w:t>
      </w:r>
      <w:r>
        <w:rPr>
          <w:w w:val="105"/>
        </w:rPr>
        <w:t>unrelated</w:t>
      </w:r>
      <w:r>
        <w:rPr>
          <w:spacing w:val="3"/>
          <w:w w:val="105"/>
        </w:rPr>
        <w:t xml:space="preserve"> </w:t>
      </w:r>
      <w:r>
        <w:rPr>
          <w:w w:val="105"/>
        </w:rPr>
        <w:t>to</w:t>
      </w:r>
      <w:r>
        <w:rPr>
          <w:spacing w:val="-1"/>
          <w:w w:val="106"/>
        </w:rPr>
        <w:t xml:space="preserve"> </w:t>
      </w:r>
      <w:r>
        <w:rPr>
          <w:w w:val="105"/>
        </w:rPr>
        <w:t>behavioral or psychosocial factors or processes. The purpose</w:t>
      </w:r>
      <w:r>
        <w:rPr>
          <w:spacing w:val="-11"/>
          <w:w w:val="105"/>
        </w:rPr>
        <w:t xml:space="preserve"> </w:t>
      </w:r>
      <w:r>
        <w:rPr>
          <w:w w:val="105"/>
        </w:rPr>
        <w:t>of distinguishing</w:t>
      </w:r>
      <w:r>
        <w:rPr>
          <w:spacing w:val="2"/>
          <w:w w:val="105"/>
        </w:rPr>
        <w:t xml:space="preserve"> </w:t>
      </w:r>
      <w:r>
        <w:rPr>
          <w:w w:val="105"/>
        </w:rPr>
        <w:t>general</w:t>
      </w:r>
      <w:r>
        <w:rPr>
          <w:w w:val="106"/>
        </w:rPr>
        <w:t xml:space="preserve"> </w:t>
      </w:r>
      <w:r>
        <w:rPr>
          <w:w w:val="105"/>
        </w:rPr>
        <w:t>medical conditions from mental disorders is to encourage thoroughness</w:t>
      </w:r>
      <w:r>
        <w:rPr>
          <w:spacing w:val="35"/>
          <w:w w:val="105"/>
        </w:rPr>
        <w:t xml:space="preserve"> </w:t>
      </w:r>
      <w:r>
        <w:rPr>
          <w:w w:val="105"/>
        </w:rPr>
        <w:t>in</w:t>
      </w:r>
      <w:r>
        <w:rPr>
          <w:spacing w:val="19"/>
          <w:w w:val="105"/>
        </w:rPr>
        <w:t xml:space="preserve"> </w:t>
      </w:r>
      <w:r>
        <w:rPr>
          <w:w w:val="105"/>
        </w:rPr>
        <w:t>evaluation</w:t>
      </w:r>
      <w:r>
        <w:rPr>
          <w:spacing w:val="-1"/>
          <w:w w:val="105"/>
        </w:rPr>
        <w:t xml:space="preserve"> </w:t>
      </w:r>
      <w:r>
        <w:rPr>
          <w:w w:val="105"/>
        </w:rPr>
        <w:t>and to provide a shorthand term to enhance communication among</w:t>
      </w:r>
      <w:r>
        <w:rPr>
          <w:spacing w:val="-11"/>
          <w:w w:val="105"/>
        </w:rPr>
        <w:t xml:space="preserve"> </w:t>
      </w:r>
      <w:r>
        <w:rPr>
          <w:w w:val="105"/>
        </w:rPr>
        <w:t>health</w:t>
      </w:r>
      <w:r>
        <w:rPr>
          <w:spacing w:val="18"/>
          <w:w w:val="105"/>
        </w:rPr>
        <w:t xml:space="preserve"> </w:t>
      </w:r>
      <w:r>
        <w:rPr>
          <w:w w:val="105"/>
        </w:rPr>
        <w:t>care</w:t>
      </w:r>
      <w:r>
        <w:rPr>
          <w:spacing w:val="-1"/>
          <w:w w:val="108"/>
        </w:rPr>
        <w:t xml:space="preserve"> </w:t>
      </w:r>
      <w:r>
        <w:rPr>
          <w:w w:val="105"/>
        </w:rPr>
        <w:t>providers. However, in clinical practice, it is expected that more specific</w:t>
      </w:r>
      <w:r>
        <w:rPr>
          <w:spacing w:val="21"/>
          <w:w w:val="105"/>
        </w:rPr>
        <w:t xml:space="preserve"> </w:t>
      </w:r>
      <w:r>
        <w:rPr>
          <w:w w:val="105"/>
        </w:rPr>
        <w:t>terminology</w:t>
      </w:r>
    </w:p>
    <w:p w:rsidR="00E675F0" w:rsidRDefault="00E675F0" w:rsidP="00E675F0">
      <w:pPr>
        <w:pStyle w:val="BodyText"/>
        <w:spacing w:line="219" w:lineRule="exact"/>
        <w:ind w:left="122"/>
        <w:jc w:val="both"/>
      </w:pPr>
      <w:r>
        <w:rPr>
          <w:w w:val="105"/>
        </w:rPr>
        <w:t>will be used to identify the specific condition involved.</w:t>
      </w:r>
    </w:p>
    <w:p w:rsidR="00E675F0" w:rsidRDefault="00E675F0" w:rsidP="00E675F0">
      <w:pPr>
        <w:pStyle w:val="BodyText"/>
        <w:spacing w:before="10" w:line="254" w:lineRule="auto"/>
        <w:ind w:left="120" w:right="110" w:firstLine="363"/>
        <w:jc w:val="both"/>
      </w:pPr>
      <w:r>
        <w:rPr>
          <w:w w:val="110"/>
        </w:rPr>
        <w:t>In</w:t>
      </w:r>
      <w:r>
        <w:rPr>
          <w:spacing w:val="-8"/>
          <w:w w:val="110"/>
        </w:rPr>
        <w:t xml:space="preserve"> </w:t>
      </w:r>
      <w:r>
        <w:rPr>
          <w:w w:val="110"/>
        </w:rPr>
        <w:t>DSM-III-R,</w:t>
      </w:r>
      <w:r>
        <w:rPr>
          <w:spacing w:val="3"/>
          <w:w w:val="110"/>
        </w:rPr>
        <w:t xml:space="preserve"> </w:t>
      </w:r>
      <w:r>
        <w:rPr>
          <w:w w:val="110"/>
        </w:rPr>
        <w:t>the</w:t>
      </w:r>
      <w:r>
        <w:rPr>
          <w:spacing w:val="-9"/>
          <w:w w:val="110"/>
        </w:rPr>
        <w:t xml:space="preserve"> </w:t>
      </w:r>
      <w:r>
        <w:rPr>
          <w:w w:val="110"/>
        </w:rPr>
        <w:t>Mental</w:t>
      </w:r>
      <w:r>
        <w:rPr>
          <w:spacing w:val="-1"/>
          <w:w w:val="110"/>
        </w:rPr>
        <w:t xml:space="preserve"> </w:t>
      </w:r>
      <w:r>
        <w:rPr>
          <w:w w:val="110"/>
        </w:rPr>
        <w:t>Disorders</w:t>
      </w:r>
      <w:r>
        <w:rPr>
          <w:spacing w:val="-4"/>
          <w:w w:val="110"/>
        </w:rPr>
        <w:t xml:space="preserve"> </w:t>
      </w:r>
      <w:r>
        <w:rPr>
          <w:w w:val="110"/>
        </w:rPr>
        <w:t>Due</w:t>
      </w:r>
      <w:r>
        <w:rPr>
          <w:spacing w:val="-4"/>
          <w:w w:val="110"/>
        </w:rPr>
        <w:t xml:space="preserve"> </w:t>
      </w:r>
      <w:r>
        <w:rPr>
          <w:w w:val="110"/>
        </w:rPr>
        <w:t>to</w:t>
      </w:r>
      <w:r>
        <w:rPr>
          <w:spacing w:val="-16"/>
          <w:w w:val="110"/>
        </w:rPr>
        <w:t xml:space="preserve"> </w:t>
      </w:r>
      <w:r>
        <w:rPr>
          <w:w w:val="110"/>
        </w:rPr>
        <w:t>a</w:t>
      </w:r>
      <w:r>
        <w:rPr>
          <w:spacing w:val="-9"/>
          <w:w w:val="110"/>
        </w:rPr>
        <w:t xml:space="preserve"> </w:t>
      </w:r>
      <w:r>
        <w:rPr>
          <w:w w:val="110"/>
        </w:rPr>
        <w:t>General</w:t>
      </w:r>
      <w:r>
        <w:rPr>
          <w:spacing w:val="-4"/>
          <w:w w:val="110"/>
        </w:rPr>
        <w:t xml:space="preserve"> </w:t>
      </w:r>
      <w:r>
        <w:rPr>
          <w:w w:val="110"/>
        </w:rPr>
        <w:t>Medical</w:t>
      </w:r>
      <w:r>
        <w:rPr>
          <w:spacing w:val="-4"/>
          <w:w w:val="110"/>
        </w:rPr>
        <w:t xml:space="preserve"> </w:t>
      </w:r>
      <w:r>
        <w:rPr>
          <w:w w:val="110"/>
        </w:rPr>
        <w:t>Condition</w:t>
      </w:r>
      <w:r>
        <w:rPr>
          <w:spacing w:val="-3"/>
          <w:w w:val="110"/>
        </w:rPr>
        <w:t xml:space="preserve"> </w:t>
      </w:r>
      <w:r>
        <w:rPr>
          <w:w w:val="110"/>
        </w:rPr>
        <w:t>and</w:t>
      </w:r>
      <w:r>
        <w:rPr>
          <w:spacing w:val="-7"/>
          <w:w w:val="110"/>
        </w:rPr>
        <w:t xml:space="preserve"> </w:t>
      </w:r>
      <w:r>
        <w:rPr>
          <w:w w:val="110"/>
        </w:rPr>
        <w:t>the Substance-Induced</w:t>
      </w:r>
      <w:r>
        <w:rPr>
          <w:spacing w:val="-23"/>
          <w:w w:val="110"/>
        </w:rPr>
        <w:t xml:space="preserve"> </w:t>
      </w:r>
      <w:r>
        <w:rPr>
          <w:w w:val="110"/>
        </w:rPr>
        <w:t>Disorders</w:t>
      </w:r>
      <w:r>
        <w:rPr>
          <w:spacing w:val="-7"/>
          <w:w w:val="110"/>
        </w:rPr>
        <w:t xml:space="preserve"> </w:t>
      </w:r>
      <w:r>
        <w:rPr>
          <w:w w:val="110"/>
        </w:rPr>
        <w:t>were</w:t>
      </w:r>
      <w:r>
        <w:rPr>
          <w:spacing w:val="-14"/>
          <w:w w:val="110"/>
        </w:rPr>
        <w:t xml:space="preserve"> </w:t>
      </w:r>
      <w:r>
        <w:rPr>
          <w:w w:val="110"/>
        </w:rPr>
        <w:t>called</w:t>
      </w:r>
      <w:r>
        <w:rPr>
          <w:spacing w:val="-11"/>
          <w:w w:val="110"/>
        </w:rPr>
        <w:t xml:space="preserve"> </w:t>
      </w:r>
      <w:r>
        <w:rPr>
          <w:w w:val="110"/>
        </w:rPr>
        <w:t>"organic"</w:t>
      </w:r>
      <w:r>
        <w:rPr>
          <w:spacing w:val="-13"/>
          <w:w w:val="110"/>
        </w:rPr>
        <w:t xml:space="preserve"> </w:t>
      </w:r>
      <w:r>
        <w:rPr>
          <w:w w:val="110"/>
        </w:rPr>
        <w:t>disorders</w:t>
      </w:r>
      <w:r>
        <w:rPr>
          <w:spacing w:val="-14"/>
          <w:w w:val="110"/>
        </w:rPr>
        <w:t xml:space="preserve"> </w:t>
      </w:r>
      <w:r>
        <w:rPr>
          <w:w w:val="110"/>
        </w:rPr>
        <w:t>and</w:t>
      </w:r>
      <w:r>
        <w:rPr>
          <w:spacing w:val="-15"/>
          <w:w w:val="110"/>
        </w:rPr>
        <w:t xml:space="preserve"> </w:t>
      </w:r>
      <w:r>
        <w:rPr>
          <w:w w:val="110"/>
        </w:rPr>
        <w:t>were</w:t>
      </w:r>
      <w:r>
        <w:rPr>
          <w:spacing w:val="-14"/>
          <w:w w:val="110"/>
        </w:rPr>
        <w:t xml:space="preserve"> </w:t>
      </w:r>
      <w:r>
        <w:rPr>
          <w:w w:val="110"/>
        </w:rPr>
        <w:t>listed</w:t>
      </w:r>
      <w:r>
        <w:rPr>
          <w:spacing w:val="-11"/>
          <w:w w:val="110"/>
        </w:rPr>
        <w:t xml:space="preserve"> </w:t>
      </w:r>
      <w:r>
        <w:rPr>
          <w:w w:val="110"/>
        </w:rPr>
        <w:t>together in</w:t>
      </w:r>
      <w:r>
        <w:rPr>
          <w:spacing w:val="-21"/>
          <w:w w:val="110"/>
        </w:rPr>
        <w:t xml:space="preserve"> </w:t>
      </w:r>
      <w:r>
        <w:rPr>
          <w:w w:val="110"/>
        </w:rPr>
        <w:t>a</w:t>
      </w:r>
      <w:r>
        <w:rPr>
          <w:spacing w:val="-19"/>
          <w:w w:val="110"/>
        </w:rPr>
        <w:t xml:space="preserve"> </w:t>
      </w:r>
      <w:r>
        <w:rPr>
          <w:w w:val="110"/>
        </w:rPr>
        <w:t>single</w:t>
      </w:r>
      <w:r>
        <w:rPr>
          <w:spacing w:val="-19"/>
          <w:w w:val="110"/>
        </w:rPr>
        <w:t xml:space="preserve"> </w:t>
      </w:r>
      <w:r>
        <w:rPr>
          <w:w w:val="110"/>
        </w:rPr>
        <w:t>section.</w:t>
      </w:r>
      <w:r>
        <w:rPr>
          <w:spacing w:val="-17"/>
          <w:w w:val="110"/>
        </w:rPr>
        <w:t xml:space="preserve"> </w:t>
      </w:r>
      <w:r>
        <w:rPr>
          <w:w w:val="110"/>
        </w:rPr>
        <w:t>This</w:t>
      </w:r>
      <w:r>
        <w:rPr>
          <w:spacing w:val="-19"/>
          <w:w w:val="110"/>
        </w:rPr>
        <w:t xml:space="preserve"> </w:t>
      </w:r>
      <w:r>
        <w:rPr>
          <w:w w:val="110"/>
        </w:rPr>
        <w:t>differentiation</w:t>
      </w:r>
      <w:r>
        <w:rPr>
          <w:spacing w:val="-25"/>
          <w:w w:val="110"/>
        </w:rPr>
        <w:t xml:space="preserve"> </w:t>
      </w:r>
      <w:r>
        <w:rPr>
          <w:w w:val="110"/>
        </w:rPr>
        <w:t>of</w:t>
      </w:r>
      <w:r>
        <w:rPr>
          <w:spacing w:val="-12"/>
          <w:w w:val="110"/>
        </w:rPr>
        <w:t xml:space="preserve"> </w:t>
      </w:r>
      <w:r>
        <w:rPr>
          <w:w w:val="110"/>
        </w:rPr>
        <w:t>"organic"</w:t>
      </w:r>
      <w:r>
        <w:rPr>
          <w:spacing w:val="-15"/>
          <w:w w:val="110"/>
        </w:rPr>
        <w:t xml:space="preserve"> </w:t>
      </w:r>
      <w:r>
        <w:rPr>
          <w:w w:val="110"/>
        </w:rPr>
        <w:t>mental</w:t>
      </w:r>
      <w:r>
        <w:rPr>
          <w:spacing w:val="-13"/>
          <w:w w:val="110"/>
        </w:rPr>
        <w:t xml:space="preserve"> </w:t>
      </w:r>
      <w:r>
        <w:rPr>
          <w:w w:val="110"/>
        </w:rPr>
        <w:t>disorders</w:t>
      </w:r>
      <w:r>
        <w:rPr>
          <w:spacing w:val="-19"/>
          <w:w w:val="110"/>
        </w:rPr>
        <w:t xml:space="preserve"> </w:t>
      </w:r>
      <w:r>
        <w:rPr>
          <w:w w:val="110"/>
        </w:rPr>
        <w:t>as</w:t>
      </w:r>
      <w:r>
        <w:rPr>
          <w:spacing w:val="-21"/>
          <w:w w:val="110"/>
        </w:rPr>
        <w:t xml:space="preserve"> </w:t>
      </w:r>
      <w:r>
        <w:rPr>
          <w:w w:val="110"/>
        </w:rPr>
        <w:t>a</w:t>
      </w:r>
      <w:r>
        <w:rPr>
          <w:spacing w:val="-22"/>
          <w:w w:val="110"/>
        </w:rPr>
        <w:t xml:space="preserve"> </w:t>
      </w:r>
      <w:r>
        <w:rPr>
          <w:w w:val="110"/>
        </w:rPr>
        <w:t>separate</w:t>
      </w:r>
      <w:r>
        <w:rPr>
          <w:spacing w:val="-18"/>
          <w:w w:val="110"/>
        </w:rPr>
        <w:t xml:space="preserve"> </w:t>
      </w:r>
      <w:r>
        <w:rPr>
          <w:w w:val="110"/>
        </w:rPr>
        <w:t>class implied</w:t>
      </w:r>
      <w:r>
        <w:rPr>
          <w:spacing w:val="-16"/>
          <w:w w:val="110"/>
        </w:rPr>
        <w:t xml:space="preserve"> </w:t>
      </w:r>
      <w:r>
        <w:rPr>
          <w:w w:val="110"/>
        </w:rPr>
        <w:t>that</w:t>
      </w:r>
      <w:r>
        <w:rPr>
          <w:spacing w:val="-24"/>
          <w:w w:val="110"/>
        </w:rPr>
        <w:t xml:space="preserve"> </w:t>
      </w:r>
      <w:r>
        <w:rPr>
          <w:w w:val="110"/>
        </w:rPr>
        <w:t>"nonorganic"</w:t>
      </w:r>
      <w:r>
        <w:rPr>
          <w:spacing w:val="-15"/>
          <w:w w:val="110"/>
        </w:rPr>
        <w:t xml:space="preserve"> </w:t>
      </w:r>
      <w:r>
        <w:rPr>
          <w:w w:val="110"/>
        </w:rPr>
        <w:t>or</w:t>
      </w:r>
      <w:r>
        <w:rPr>
          <w:spacing w:val="-19"/>
          <w:w w:val="110"/>
        </w:rPr>
        <w:t xml:space="preserve"> </w:t>
      </w:r>
      <w:r>
        <w:rPr>
          <w:w w:val="110"/>
        </w:rPr>
        <w:t>"functional"</w:t>
      </w:r>
      <w:r>
        <w:rPr>
          <w:spacing w:val="-13"/>
          <w:w w:val="110"/>
        </w:rPr>
        <w:t xml:space="preserve"> </w:t>
      </w:r>
      <w:r>
        <w:rPr>
          <w:w w:val="110"/>
        </w:rPr>
        <w:t>mental</w:t>
      </w:r>
      <w:r>
        <w:rPr>
          <w:spacing w:val="-19"/>
          <w:w w:val="110"/>
        </w:rPr>
        <w:t xml:space="preserve"> </w:t>
      </w:r>
      <w:r>
        <w:rPr>
          <w:w w:val="110"/>
        </w:rPr>
        <w:t>disorders</w:t>
      </w:r>
      <w:r>
        <w:rPr>
          <w:spacing w:val="-19"/>
          <w:w w:val="110"/>
        </w:rPr>
        <w:t xml:space="preserve"> </w:t>
      </w:r>
      <w:r>
        <w:rPr>
          <w:w w:val="110"/>
        </w:rPr>
        <w:t>were</w:t>
      </w:r>
      <w:r>
        <w:rPr>
          <w:spacing w:val="-23"/>
          <w:w w:val="110"/>
        </w:rPr>
        <w:t xml:space="preserve"> </w:t>
      </w:r>
      <w:r>
        <w:rPr>
          <w:w w:val="110"/>
        </w:rPr>
        <w:t>somehow</w:t>
      </w:r>
      <w:r>
        <w:rPr>
          <w:spacing w:val="-20"/>
          <w:w w:val="110"/>
        </w:rPr>
        <w:t xml:space="preserve"> </w:t>
      </w:r>
      <w:r>
        <w:rPr>
          <w:w w:val="110"/>
        </w:rPr>
        <w:t>unrelated</w:t>
      </w:r>
      <w:r>
        <w:rPr>
          <w:spacing w:val="-15"/>
          <w:w w:val="110"/>
        </w:rPr>
        <w:t xml:space="preserve"> </w:t>
      </w:r>
      <w:r>
        <w:rPr>
          <w:w w:val="110"/>
        </w:rPr>
        <w:t xml:space="preserve">to physical or biological factors or processes. DSM-IV eliminates the term </w:t>
      </w:r>
      <w:r>
        <w:rPr>
          <w:i/>
          <w:w w:val="110"/>
        </w:rPr>
        <w:t xml:space="preserve">organic </w:t>
      </w:r>
      <w:r>
        <w:rPr>
          <w:w w:val="110"/>
        </w:rPr>
        <w:t xml:space="preserve">and distinguishes those mental disorders that are due to a general medical condition from those that are substance induced and those that have no specified etiology. The term </w:t>
      </w:r>
      <w:r>
        <w:rPr>
          <w:i/>
          <w:w w:val="110"/>
        </w:rPr>
        <w:t>primary</w:t>
      </w:r>
      <w:r>
        <w:rPr>
          <w:i/>
          <w:spacing w:val="-7"/>
          <w:w w:val="110"/>
        </w:rPr>
        <w:t xml:space="preserve"> </w:t>
      </w:r>
      <w:r>
        <w:rPr>
          <w:i/>
          <w:w w:val="110"/>
        </w:rPr>
        <w:t>mental</w:t>
      </w:r>
      <w:r>
        <w:rPr>
          <w:i/>
          <w:spacing w:val="-15"/>
          <w:w w:val="110"/>
        </w:rPr>
        <w:t xml:space="preserve"> </w:t>
      </w:r>
      <w:r>
        <w:rPr>
          <w:i/>
          <w:w w:val="110"/>
        </w:rPr>
        <w:t>disorder</w:t>
      </w:r>
      <w:r>
        <w:rPr>
          <w:i/>
          <w:spacing w:val="-17"/>
          <w:w w:val="110"/>
        </w:rPr>
        <w:t xml:space="preserve"> </w:t>
      </w:r>
      <w:r>
        <w:rPr>
          <w:w w:val="110"/>
        </w:rPr>
        <w:t>is</w:t>
      </w:r>
      <w:r>
        <w:rPr>
          <w:spacing w:val="-9"/>
          <w:w w:val="110"/>
        </w:rPr>
        <w:t xml:space="preserve"> </w:t>
      </w:r>
      <w:r>
        <w:rPr>
          <w:w w:val="110"/>
        </w:rPr>
        <w:t>used</w:t>
      </w:r>
      <w:r>
        <w:rPr>
          <w:spacing w:val="-5"/>
          <w:w w:val="110"/>
        </w:rPr>
        <w:t xml:space="preserve"> </w:t>
      </w:r>
      <w:r>
        <w:rPr>
          <w:w w:val="110"/>
        </w:rPr>
        <w:t>as</w:t>
      </w:r>
      <w:r>
        <w:rPr>
          <w:spacing w:val="-10"/>
          <w:w w:val="110"/>
        </w:rPr>
        <w:t xml:space="preserve"> </w:t>
      </w:r>
      <w:r>
        <w:rPr>
          <w:w w:val="110"/>
        </w:rPr>
        <w:t>a</w:t>
      </w:r>
      <w:r>
        <w:rPr>
          <w:spacing w:val="-8"/>
          <w:w w:val="110"/>
        </w:rPr>
        <w:t xml:space="preserve"> </w:t>
      </w:r>
      <w:r>
        <w:rPr>
          <w:w w:val="110"/>
        </w:rPr>
        <w:t>shorthand</w:t>
      </w:r>
      <w:r>
        <w:rPr>
          <w:spacing w:val="3"/>
          <w:w w:val="110"/>
        </w:rPr>
        <w:t xml:space="preserve"> </w:t>
      </w:r>
      <w:r>
        <w:rPr>
          <w:w w:val="110"/>
        </w:rPr>
        <w:t>to</w:t>
      </w:r>
      <w:r>
        <w:rPr>
          <w:spacing w:val="-9"/>
          <w:w w:val="110"/>
        </w:rPr>
        <w:t xml:space="preserve"> </w:t>
      </w:r>
      <w:r>
        <w:rPr>
          <w:w w:val="110"/>
        </w:rPr>
        <w:t>indicate</w:t>
      </w:r>
      <w:r>
        <w:rPr>
          <w:spacing w:val="-5"/>
          <w:w w:val="110"/>
        </w:rPr>
        <w:t xml:space="preserve"> </w:t>
      </w:r>
      <w:r>
        <w:rPr>
          <w:w w:val="110"/>
        </w:rPr>
        <w:t>those</w:t>
      </w:r>
      <w:r>
        <w:rPr>
          <w:spacing w:val="-1"/>
          <w:w w:val="110"/>
        </w:rPr>
        <w:t xml:space="preserve"> </w:t>
      </w:r>
      <w:r>
        <w:rPr>
          <w:w w:val="110"/>
        </w:rPr>
        <w:t>mental</w:t>
      </w:r>
      <w:r>
        <w:rPr>
          <w:spacing w:val="-5"/>
          <w:w w:val="110"/>
        </w:rPr>
        <w:t xml:space="preserve"> </w:t>
      </w:r>
      <w:r>
        <w:rPr>
          <w:w w:val="110"/>
        </w:rPr>
        <w:t>disorders</w:t>
      </w:r>
      <w:r>
        <w:rPr>
          <w:spacing w:val="-1"/>
          <w:w w:val="110"/>
        </w:rPr>
        <w:t xml:space="preserve"> </w:t>
      </w:r>
      <w:r>
        <w:rPr>
          <w:w w:val="110"/>
        </w:rPr>
        <w:t>that are not due to a general medical condition and that are not substance</w:t>
      </w:r>
      <w:r>
        <w:rPr>
          <w:spacing w:val="3"/>
          <w:w w:val="110"/>
        </w:rPr>
        <w:t xml:space="preserve"> </w:t>
      </w:r>
      <w:r>
        <w:rPr>
          <w:w w:val="110"/>
        </w:rPr>
        <w:t>induced.</w:t>
      </w:r>
    </w:p>
    <w:p w:rsidR="00E675F0" w:rsidRDefault="00E675F0" w:rsidP="00E675F0">
      <w:pPr>
        <w:spacing w:line="254" w:lineRule="auto"/>
        <w:ind w:left="119" w:right="115" w:firstLine="358"/>
        <w:jc w:val="both"/>
        <w:rPr>
          <w:sz w:val="20"/>
        </w:rPr>
      </w:pPr>
      <w:r>
        <w:rPr>
          <w:w w:val="110"/>
          <w:sz w:val="20"/>
        </w:rPr>
        <w:t xml:space="preserve">Text and criteria for three of these disorders (i.e., </w:t>
      </w:r>
      <w:r>
        <w:rPr>
          <w:b/>
          <w:w w:val="110"/>
          <w:sz w:val="20"/>
        </w:rPr>
        <w:t>Catatonic Disorder Due to a General Medical Condition, Personality Change Due to a General Medical Condition,</w:t>
      </w:r>
      <w:r>
        <w:rPr>
          <w:b/>
          <w:spacing w:val="-14"/>
          <w:w w:val="110"/>
          <w:sz w:val="20"/>
        </w:rPr>
        <w:t xml:space="preserve"> </w:t>
      </w:r>
      <w:r>
        <w:rPr>
          <w:w w:val="110"/>
          <w:sz w:val="20"/>
        </w:rPr>
        <w:t>and</w:t>
      </w:r>
      <w:r>
        <w:rPr>
          <w:spacing w:val="-26"/>
          <w:w w:val="110"/>
          <w:sz w:val="20"/>
        </w:rPr>
        <w:t xml:space="preserve"> </w:t>
      </w:r>
      <w:r>
        <w:rPr>
          <w:b/>
          <w:w w:val="110"/>
          <w:sz w:val="20"/>
        </w:rPr>
        <w:t>Mental</w:t>
      </w:r>
      <w:r>
        <w:rPr>
          <w:b/>
          <w:spacing w:val="-35"/>
          <w:w w:val="110"/>
          <w:sz w:val="20"/>
        </w:rPr>
        <w:t xml:space="preserve"> </w:t>
      </w:r>
      <w:r>
        <w:rPr>
          <w:b/>
          <w:w w:val="110"/>
          <w:sz w:val="20"/>
        </w:rPr>
        <w:t>Disorder</w:t>
      </w:r>
      <w:r>
        <w:rPr>
          <w:b/>
          <w:spacing w:val="-31"/>
          <w:w w:val="110"/>
          <w:sz w:val="20"/>
        </w:rPr>
        <w:t xml:space="preserve"> </w:t>
      </w:r>
      <w:r>
        <w:rPr>
          <w:b/>
          <w:w w:val="110"/>
          <w:sz w:val="20"/>
        </w:rPr>
        <w:t>Not</w:t>
      </w:r>
      <w:r>
        <w:rPr>
          <w:b/>
          <w:spacing w:val="-40"/>
          <w:w w:val="110"/>
          <w:sz w:val="20"/>
        </w:rPr>
        <w:t xml:space="preserve"> </w:t>
      </w:r>
      <w:r>
        <w:rPr>
          <w:b/>
          <w:w w:val="110"/>
          <w:sz w:val="20"/>
        </w:rPr>
        <w:t>Otherwise</w:t>
      </w:r>
      <w:r>
        <w:rPr>
          <w:b/>
          <w:spacing w:val="-33"/>
          <w:w w:val="110"/>
          <w:sz w:val="20"/>
        </w:rPr>
        <w:t xml:space="preserve"> </w:t>
      </w:r>
      <w:r>
        <w:rPr>
          <w:b/>
          <w:w w:val="110"/>
          <w:sz w:val="20"/>
        </w:rPr>
        <w:t>Specified</w:t>
      </w:r>
      <w:r>
        <w:rPr>
          <w:b/>
          <w:spacing w:val="-32"/>
          <w:w w:val="110"/>
          <w:sz w:val="20"/>
        </w:rPr>
        <w:t xml:space="preserve"> </w:t>
      </w:r>
      <w:r>
        <w:rPr>
          <w:b/>
          <w:w w:val="110"/>
          <w:sz w:val="20"/>
        </w:rPr>
        <w:t>Due</w:t>
      </w:r>
      <w:r>
        <w:rPr>
          <w:b/>
          <w:spacing w:val="-34"/>
          <w:w w:val="110"/>
          <w:sz w:val="20"/>
        </w:rPr>
        <w:t xml:space="preserve"> </w:t>
      </w:r>
      <w:r>
        <w:rPr>
          <w:b/>
          <w:w w:val="110"/>
          <w:sz w:val="20"/>
        </w:rPr>
        <w:t>to</w:t>
      </w:r>
      <w:r>
        <w:rPr>
          <w:b/>
          <w:spacing w:val="-28"/>
          <w:w w:val="110"/>
          <w:sz w:val="20"/>
        </w:rPr>
        <w:t xml:space="preserve"> </w:t>
      </w:r>
      <w:r>
        <w:rPr>
          <w:b/>
          <w:w w:val="110"/>
          <w:sz w:val="20"/>
        </w:rPr>
        <w:t>a</w:t>
      </w:r>
      <w:r>
        <w:rPr>
          <w:b/>
          <w:spacing w:val="-38"/>
          <w:w w:val="110"/>
          <w:sz w:val="20"/>
        </w:rPr>
        <w:t xml:space="preserve"> </w:t>
      </w:r>
      <w:r>
        <w:rPr>
          <w:b/>
          <w:w w:val="110"/>
          <w:sz w:val="20"/>
        </w:rPr>
        <w:t>General</w:t>
      </w:r>
      <w:r>
        <w:rPr>
          <w:b/>
          <w:spacing w:val="-28"/>
          <w:w w:val="110"/>
          <w:sz w:val="20"/>
        </w:rPr>
        <w:t xml:space="preserve"> </w:t>
      </w:r>
      <w:r>
        <w:rPr>
          <w:b/>
          <w:w w:val="110"/>
          <w:sz w:val="20"/>
        </w:rPr>
        <w:t xml:space="preserve">Medical Condition) </w:t>
      </w:r>
      <w:r>
        <w:rPr>
          <w:w w:val="110"/>
          <w:sz w:val="20"/>
        </w:rPr>
        <w:t>are included in this section. The text and criteria for the conditions listed below</w:t>
      </w:r>
      <w:r>
        <w:rPr>
          <w:spacing w:val="-8"/>
          <w:w w:val="110"/>
          <w:sz w:val="20"/>
        </w:rPr>
        <w:t xml:space="preserve"> </w:t>
      </w:r>
      <w:r>
        <w:rPr>
          <w:w w:val="110"/>
          <w:sz w:val="20"/>
        </w:rPr>
        <w:t>are</w:t>
      </w:r>
      <w:r>
        <w:rPr>
          <w:spacing w:val="-10"/>
          <w:w w:val="110"/>
          <w:sz w:val="20"/>
        </w:rPr>
        <w:t xml:space="preserve"> </w:t>
      </w:r>
      <w:r>
        <w:rPr>
          <w:w w:val="110"/>
          <w:sz w:val="20"/>
        </w:rPr>
        <w:t>placed</w:t>
      </w:r>
      <w:r>
        <w:rPr>
          <w:spacing w:val="-1"/>
          <w:w w:val="110"/>
          <w:sz w:val="20"/>
        </w:rPr>
        <w:t xml:space="preserve"> </w:t>
      </w:r>
      <w:r>
        <w:rPr>
          <w:w w:val="110"/>
          <w:sz w:val="20"/>
        </w:rPr>
        <w:t>in</w:t>
      </w:r>
      <w:r>
        <w:rPr>
          <w:spacing w:val="-10"/>
          <w:w w:val="110"/>
          <w:sz w:val="20"/>
        </w:rPr>
        <w:t xml:space="preserve"> </w:t>
      </w:r>
      <w:r>
        <w:rPr>
          <w:w w:val="110"/>
          <w:sz w:val="20"/>
        </w:rPr>
        <w:t>other</w:t>
      </w:r>
      <w:r>
        <w:rPr>
          <w:spacing w:val="-12"/>
          <w:w w:val="110"/>
          <w:sz w:val="20"/>
        </w:rPr>
        <w:t xml:space="preserve"> </w:t>
      </w:r>
      <w:r>
        <w:rPr>
          <w:w w:val="110"/>
          <w:sz w:val="20"/>
        </w:rPr>
        <w:t>sections</w:t>
      </w:r>
      <w:r>
        <w:rPr>
          <w:spacing w:val="-8"/>
          <w:w w:val="110"/>
          <w:sz w:val="20"/>
        </w:rPr>
        <w:t xml:space="preserve"> </w:t>
      </w:r>
      <w:r>
        <w:rPr>
          <w:w w:val="110"/>
          <w:sz w:val="20"/>
        </w:rPr>
        <w:t>of</w:t>
      </w:r>
      <w:r>
        <w:rPr>
          <w:spacing w:val="-6"/>
          <w:w w:val="110"/>
          <w:sz w:val="20"/>
        </w:rPr>
        <w:t xml:space="preserve"> </w:t>
      </w:r>
      <w:r>
        <w:rPr>
          <w:w w:val="110"/>
          <w:sz w:val="20"/>
        </w:rPr>
        <w:t>the</w:t>
      </w:r>
      <w:r>
        <w:rPr>
          <w:spacing w:val="-13"/>
          <w:w w:val="110"/>
          <w:sz w:val="20"/>
        </w:rPr>
        <w:t xml:space="preserve"> </w:t>
      </w:r>
      <w:r>
        <w:rPr>
          <w:w w:val="110"/>
          <w:sz w:val="20"/>
        </w:rPr>
        <w:t>manual</w:t>
      </w:r>
      <w:r>
        <w:rPr>
          <w:spacing w:val="-4"/>
          <w:w w:val="110"/>
          <w:sz w:val="20"/>
        </w:rPr>
        <w:t xml:space="preserve"> </w:t>
      </w:r>
      <w:r>
        <w:rPr>
          <w:w w:val="110"/>
          <w:sz w:val="20"/>
        </w:rPr>
        <w:t>with</w:t>
      </w:r>
      <w:r>
        <w:rPr>
          <w:spacing w:val="-6"/>
          <w:w w:val="110"/>
          <w:sz w:val="20"/>
        </w:rPr>
        <w:t xml:space="preserve"> </w:t>
      </w:r>
      <w:r>
        <w:rPr>
          <w:w w:val="110"/>
          <w:sz w:val="20"/>
        </w:rPr>
        <w:t>disorders</w:t>
      </w:r>
      <w:r>
        <w:rPr>
          <w:spacing w:val="-5"/>
          <w:w w:val="110"/>
          <w:sz w:val="20"/>
        </w:rPr>
        <w:t xml:space="preserve"> </w:t>
      </w:r>
      <w:r>
        <w:rPr>
          <w:w w:val="110"/>
          <w:sz w:val="20"/>
        </w:rPr>
        <w:t>with</w:t>
      </w:r>
      <w:r>
        <w:rPr>
          <w:spacing w:val="-5"/>
          <w:w w:val="110"/>
          <w:sz w:val="20"/>
        </w:rPr>
        <w:t xml:space="preserve"> </w:t>
      </w:r>
      <w:r>
        <w:rPr>
          <w:w w:val="110"/>
          <w:sz w:val="20"/>
        </w:rPr>
        <w:t>which</w:t>
      </w:r>
      <w:r>
        <w:rPr>
          <w:spacing w:val="-6"/>
          <w:w w:val="110"/>
          <w:sz w:val="20"/>
        </w:rPr>
        <w:t xml:space="preserve"> </w:t>
      </w:r>
      <w:r>
        <w:rPr>
          <w:w w:val="110"/>
          <w:sz w:val="20"/>
        </w:rPr>
        <w:t>they</w:t>
      </w:r>
      <w:r>
        <w:rPr>
          <w:spacing w:val="-14"/>
          <w:w w:val="110"/>
          <w:sz w:val="20"/>
        </w:rPr>
        <w:t xml:space="preserve"> </w:t>
      </w:r>
      <w:r>
        <w:rPr>
          <w:w w:val="110"/>
          <w:sz w:val="20"/>
        </w:rPr>
        <w:t>share phenomenology. The manual has been organized in this fashion to alert clinicians to consider these disorders in making a differential</w:t>
      </w:r>
      <w:r>
        <w:rPr>
          <w:spacing w:val="30"/>
          <w:w w:val="110"/>
          <w:sz w:val="20"/>
        </w:rPr>
        <w:t xml:space="preserve"> </w:t>
      </w:r>
      <w:r>
        <w:rPr>
          <w:w w:val="110"/>
          <w:sz w:val="20"/>
        </w:rPr>
        <w:t>diagnosis.</w:t>
      </w:r>
    </w:p>
    <w:p w:rsidR="00E675F0" w:rsidRDefault="00E675F0" w:rsidP="00E675F0">
      <w:pPr>
        <w:pStyle w:val="BodyText"/>
      </w:pPr>
    </w:p>
    <w:p w:rsidR="00E675F0" w:rsidRDefault="00E675F0" w:rsidP="00E675F0">
      <w:pPr>
        <w:pStyle w:val="BodyText"/>
        <w:spacing w:before="6"/>
        <w:rPr>
          <w:sz w:val="13"/>
        </w:rPr>
      </w:pPr>
      <w:r>
        <w:rPr>
          <w:noProof/>
        </w:rPr>
        <mc:AlternateContent>
          <mc:Choice Requires="wps">
            <w:drawing>
              <wp:anchor distT="0" distB="0" distL="0" distR="0" simplePos="0" relativeHeight="251863040" behindDoc="1" locked="0" layoutInCell="1" allowOverlap="1" wp14:anchorId="4B485939" wp14:editId="3193B5F3">
                <wp:simplePos x="0" y="0"/>
                <wp:positionH relativeFrom="page">
                  <wp:posOffset>466090</wp:posOffset>
                </wp:positionH>
                <wp:positionV relativeFrom="paragraph">
                  <wp:posOffset>127000</wp:posOffset>
                </wp:positionV>
                <wp:extent cx="4754245" cy="1270"/>
                <wp:effectExtent l="0" t="0" r="0" b="0"/>
                <wp:wrapTopAndBottom/>
                <wp:docPr id="1439" name="Freeform 1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54245" cy="1270"/>
                        </a:xfrm>
                        <a:custGeom>
                          <a:avLst/>
                          <a:gdLst>
                            <a:gd name="T0" fmla="+- 0 734 734"/>
                            <a:gd name="T1" fmla="*/ T0 w 7487"/>
                            <a:gd name="T2" fmla="+- 0 8221 734"/>
                            <a:gd name="T3" fmla="*/ T2 w 7487"/>
                          </a:gdLst>
                          <a:ahLst/>
                          <a:cxnLst>
                            <a:cxn ang="0">
                              <a:pos x="T1" y="0"/>
                            </a:cxn>
                            <a:cxn ang="0">
                              <a:pos x="T3" y="0"/>
                            </a:cxn>
                          </a:cxnLst>
                          <a:rect l="0" t="0" r="r" b="b"/>
                          <a:pathLst>
                            <a:path w="7487">
                              <a:moveTo>
                                <a:pt x="0" y="0"/>
                              </a:moveTo>
                              <a:lnTo>
                                <a:pt x="7487" y="0"/>
                              </a:lnTo>
                            </a:path>
                          </a:pathLst>
                        </a:custGeom>
                        <a:noFill/>
                        <a:ln w="61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E8B03" id="Freeform 1395" o:spid="_x0000_s1026" style="position:absolute;margin-left:36.7pt;margin-top:10pt;width:374.35pt;height:.1pt;z-index:-251453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48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" path="m,l7487,e" filled="f" strokeweight=".16956mm">
                <v:path arrowok="t" o:connecttype="custom" o:connectlocs="0,0;4754245,0" o:connectangles="0,0"/>
                <w10:wrap type="topAndBottom" anchorx="page"/>
              </v:shape>
            </w:pict>
          </mc:Fallback>
        </mc:AlternateContent>
      </w:r>
    </w:p>
    <w:p w:rsidR="00E675F0" w:rsidRDefault="00E675F0" w:rsidP="00E675F0">
      <w:pPr>
        <w:spacing w:before="6"/>
        <w:ind w:left="136" w:right="103"/>
        <w:jc w:val="center"/>
        <w:rPr>
          <w:b/>
          <w:sz w:val="24"/>
        </w:rPr>
      </w:pPr>
      <w:r>
        <w:rPr>
          <w:b/>
          <w:w w:val="105"/>
          <w:sz w:val="24"/>
        </w:rPr>
        <w:t>165</w:t>
      </w:r>
    </w:p>
    <w:p w:rsidR="00E675F0" w:rsidRDefault="00E675F0" w:rsidP="00E675F0">
      <w:pPr>
        <w:jc w:val="center"/>
        <w:rPr>
          <w:sz w:val="24"/>
        </w:rPr>
        <w:sectPr w:rsidR="00E675F0">
          <w:headerReference w:type="even" r:id="rId151"/>
          <w:pgSz w:w="8960" w:h="14260"/>
          <w:pgMar w:top="1340" w:right="620" w:bottom="280" w:left="620" w:header="0" w:footer="0" w:gutter="0"/>
          <w:cols w:space="720"/>
        </w:sectPr>
      </w:pPr>
    </w:p>
    <w:p w:rsidR="00E675F0" w:rsidRDefault="00E675F0" w:rsidP="00E675F0">
      <w:pPr>
        <w:spacing w:before="131" w:line="254" w:lineRule="auto"/>
        <w:ind w:left="143" w:right="144" w:firstLine="7"/>
        <w:jc w:val="both"/>
        <w:rPr>
          <w:sz w:val="20"/>
        </w:rPr>
      </w:pPr>
      <w:bookmarkStart w:id="108" w:name="_bookmark90"/>
      <w:bookmarkEnd w:id="108"/>
      <w:r>
        <w:rPr>
          <w:b/>
          <w:w w:val="105"/>
          <w:sz w:val="20"/>
        </w:rPr>
        <w:lastRenderedPageBreak/>
        <w:t xml:space="preserve">293.0 Delirium Due to a General Medical Condition </w:t>
      </w:r>
      <w:r>
        <w:rPr>
          <w:w w:val="105"/>
          <w:sz w:val="20"/>
        </w:rPr>
        <w:t>Text  and  criteria  are  in­ cluded</w:t>
      </w:r>
      <w:r>
        <w:rPr>
          <w:spacing w:val="-11"/>
          <w:w w:val="105"/>
          <w:sz w:val="20"/>
        </w:rPr>
        <w:t xml:space="preserve"> </w:t>
      </w:r>
      <w:r>
        <w:rPr>
          <w:w w:val="105"/>
          <w:sz w:val="20"/>
        </w:rPr>
        <w:t>in</w:t>
      </w:r>
      <w:r>
        <w:rPr>
          <w:spacing w:val="-22"/>
          <w:w w:val="105"/>
          <w:sz w:val="20"/>
        </w:rPr>
        <w:t xml:space="preserve"> </w:t>
      </w:r>
      <w:r>
        <w:rPr>
          <w:w w:val="105"/>
          <w:sz w:val="20"/>
        </w:rPr>
        <w:t>the</w:t>
      </w:r>
      <w:r>
        <w:rPr>
          <w:spacing w:val="-25"/>
          <w:w w:val="105"/>
          <w:sz w:val="20"/>
        </w:rPr>
        <w:t xml:space="preserve"> </w:t>
      </w:r>
      <w:r>
        <w:rPr>
          <w:w w:val="105"/>
          <w:sz w:val="20"/>
        </w:rPr>
        <w:t>"Delirium,</w:t>
      </w:r>
      <w:r>
        <w:rPr>
          <w:spacing w:val="-7"/>
          <w:w w:val="105"/>
          <w:sz w:val="20"/>
        </w:rPr>
        <w:t xml:space="preserve"> </w:t>
      </w:r>
      <w:r>
        <w:rPr>
          <w:w w:val="105"/>
          <w:sz w:val="20"/>
        </w:rPr>
        <w:t>Dementia,</w:t>
      </w:r>
      <w:r>
        <w:rPr>
          <w:spacing w:val="-15"/>
          <w:w w:val="105"/>
          <w:sz w:val="20"/>
        </w:rPr>
        <w:t xml:space="preserve"> </w:t>
      </w:r>
      <w:r>
        <w:rPr>
          <w:w w:val="105"/>
          <w:sz w:val="20"/>
        </w:rPr>
        <w:t>and</w:t>
      </w:r>
      <w:r>
        <w:rPr>
          <w:spacing w:val="-5"/>
          <w:w w:val="105"/>
          <w:sz w:val="20"/>
        </w:rPr>
        <w:t xml:space="preserve"> </w:t>
      </w:r>
      <w:r>
        <w:rPr>
          <w:w w:val="105"/>
          <w:sz w:val="20"/>
        </w:rPr>
        <w:t>Amnestic</w:t>
      </w:r>
      <w:r>
        <w:rPr>
          <w:spacing w:val="-16"/>
          <w:w w:val="105"/>
          <w:sz w:val="20"/>
        </w:rPr>
        <w:t xml:space="preserve"> </w:t>
      </w:r>
      <w:r>
        <w:rPr>
          <w:w w:val="105"/>
          <w:sz w:val="20"/>
        </w:rPr>
        <w:t>and</w:t>
      </w:r>
      <w:r>
        <w:rPr>
          <w:spacing w:val="-21"/>
          <w:w w:val="105"/>
          <w:sz w:val="20"/>
        </w:rPr>
        <w:t xml:space="preserve"> </w:t>
      </w:r>
      <w:r>
        <w:rPr>
          <w:w w:val="105"/>
          <w:sz w:val="20"/>
        </w:rPr>
        <w:t>Other</w:t>
      </w:r>
      <w:r>
        <w:rPr>
          <w:spacing w:val="-19"/>
          <w:w w:val="105"/>
          <w:sz w:val="20"/>
        </w:rPr>
        <w:t xml:space="preserve"> </w:t>
      </w:r>
      <w:r>
        <w:rPr>
          <w:w w:val="105"/>
          <w:sz w:val="20"/>
        </w:rPr>
        <w:t>Cognitive</w:t>
      </w:r>
      <w:r>
        <w:rPr>
          <w:spacing w:val="-8"/>
          <w:w w:val="105"/>
          <w:sz w:val="20"/>
        </w:rPr>
        <w:t xml:space="preserve"> </w:t>
      </w:r>
      <w:r>
        <w:rPr>
          <w:w w:val="105"/>
          <w:sz w:val="20"/>
        </w:rPr>
        <w:t>Disorders"</w:t>
      </w:r>
      <w:r>
        <w:rPr>
          <w:spacing w:val="-19"/>
          <w:w w:val="105"/>
          <w:sz w:val="20"/>
        </w:rPr>
        <w:t xml:space="preserve"> </w:t>
      </w:r>
      <w:r>
        <w:rPr>
          <w:w w:val="105"/>
          <w:sz w:val="20"/>
        </w:rPr>
        <w:t xml:space="preserve">section, </w:t>
      </w:r>
      <w:r>
        <w:rPr>
          <w:w w:val="105"/>
          <w:sz w:val="21"/>
        </w:rPr>
        <w:t>p.</w:t>
      </w:r>
      <w:r>
        <w:rPr>
          <w:spacing w:val="-5"/>
          <w:w w:val="105"/>
          <w:sz w:val="21"/>
        </w:rPr>
        <w:t xml:space="preserve"> </w:t>
      </w:r>
      <w:r>
        <w:rPr>
          <w:w w:val="105"/>
          <w:sz w:val="20"/>
        </w:rPr>
        <w:t>127.</w:t>
      </w:r>
    </w:p>
    <w:p w:rsidR="00E675F0" w:rsidRDefault="00E675F0" w:rsidP="00E675F0">
      <w:pPr>
        <w:pStyle w:val="BodyText"/>
        <w:rPr>
          <w:sz w:val="21"/>
        </w:rPr>
      </w:pPr>
    </w:p>
    <w:p w:rsidR="00E675F0" w:rsidRDefault="00E675F0" w:rsidP="00E675F0">
      <w:pPr>
        <w:spacing w:line="249" w:lineRule="auto"/>
        <w:ind w:left="142" w:right="144" w:hanging="11"/>
        <w:jc w:val="both"/>
      </w:pPr>
      <w:r>
        <w:rPr>
          <w:w w:val="105"/>
          <w:sz w:val="20"/>
        </w:rPr>
        <w:t xml:space="preserve">-.-  </w:t>
      </w:r>
      <w:r>
        <w:rPr>
          <w:b/>
          <w:w w:val="105"/>
          <w:sz w:val="20"/>
        </w:rPr>
        <w:t xml:space="preserve">Dementia Due to a General Medical Condition  </w:t>
      </w:r>
      <w:r>
        <w:rPr>
          <w:w w:val="105"/>
          <w:sz w:val="20"/>
        </w:rPr>
        <w:t>Text  and   criteria   are   in­ cluded</w:t>
      </w:r>
      <w:r>
        <w:rPr>
          <w:spacing w:val="-15"/>
          <w:w w:val="105"/>
          <w:sz w:val="20"/>
        </w:rPr>
        <w:t xml:space="preserve"> </w:t>
      </w:r>
      <w:r>
        <w:rPr>
          <w:w w:val="105"/>
          <w:sz w:val="20"/>
        </w:rPr>
        <w:t>in</w:t>
      </w:r>
      <w:r>
        <w:rPr>
          <w:spacing w:val="-20"/>
          <w:w w:val="105"/>
          <w:sz w:val="20"/>
        </w:rPr>
        <w:t xml:space="preserve"> </w:t>
      </w:r>
      <w:r>
        <w:rPr>
          <w:w w:val="105"/>
          <w:sz w:val="20"/>
        </w:rPr>
        <w:t>the</w:t>
      </w:r>
      <w:r>
        <w:rPr>
          <w:spacing w:val="-26"/>
          <w:w w:val="105"/>
          <w:sz w:val="20"/>
        </w:rPr>
        <w:t xml:space="preserve"> </w:t>
      </w:r>
      <w:r>
        <w:rPr>
          <w:w w:val="105"/>
          <w:sz w:val="20"/>
        </w:rPr>
        <w:t>"Delirium,</w:t>
      </w:r>
      <w:r>
        <w:rPr>
          <w:spacing w:val="-13"/>
          <w:w w:val="105"/>
          <w:sz w:val="20"/>
        </w:rPr>
        <w:t xml:space="preserve"> </w:t>
      </w:r>
      <w:r>
        <w:rPr>
          <w:w w:val="105"/>
          <w:sz w:val="20"/>
        </w:rPr>
        <w:t>Dementia,</w:t>
      </w:r>
      <w:r>
        <w:rPr>
          <w:spacing w:val="-11"/>
          <w:w w:val="105"/>
          <w:sz w:val="20"/>
        </w:rPr>
        <w:t xml:space="preserve"> </w:t>
      </w:r>
      <w:r>
        <w:rPr>
          <w:w w:val="105"/>
          <w:sz w:val="20"/>
        </w:rPr>
        <w:t>and</w:t>
      </w:r>
      <w:r>
        <w:rPr>
          <w:spacing w:val="-20"/>
          <w:w w:val="105"/>
          <w:sz w:val="20"/>
        </w:rPr>
        <w:t xml:space="preserve"> </w:t>
      </w:r>
      <w:r>
        <w:rPr>
          <w:w w:val="105"/>
          <w:sz w:val="20"/>
        </w:rPr>
        <w:t>Amnestic</w:t>
      </w:r>
      <w:r>
        <w:rPr>
          <w:spacing w:val="-22"/>
          <w:w w:val="105"/>
          <w:sz w:val="20"/>
        </w:rPr>
        <w:t xml:space="preserve"> </w:t>
      </w:r>
      <w:r>
        <w:rPr>
          <w:w w:val="105"/>
          <w:sz w:val="20"/>
        </w:rPr>
        <w:t>and</w:t>
      </w:r>
      <w:r>
        <w:rPr>
          <w:spacing w:val="-3"/>
          <w:w w:val="105"/>
          <w:sz w:val="20"/>
        </w:rPr>
        <w:t xml:space="preserve"> </w:t>
      </w:r>
      <w:r>
        <w:rPr>
          <w:w w:val="105"/>
          <w:sz w:val="20"/>
        </w:rPr>
        <w:t>Other</w:t>
      </w:r>
      <w:r>
        <w:rPr>
          <w:spacing w:val="-19"/>
          <w:w w:val="105"/>
          <w:sz w:val="20"/>
        </w:rPr>
        <w:t xml:space="preserve"> </w:t>
      </w:r>
      <w:r>
        <w:rPr>
          <w:w w:val="105"/>
          <w:sz w:val="20"/>
        </w:rPr>
        <w:t>Cognitive</w:t>
      </w:r>
      <w:r>
        <w:rPr>
          <w:spacing w:val="-7"/>
          <w:w w:val="105"/>
          <w:sz w:val="20"/>
        </w:rPr>
        <w:t xml:space="preserve"> </w:t>
      </w:r>
      <w:r>
        <w:rPr>
          <w:w w:val="105"/>
          <w:sz w:val="20"/>
        </w:rPr>
        <w:t>Disorders"</w:t>
      </w:r>
      <w:r>
        <w:rPr>
          <w:spacing w:val="-18"/>
          <w:w w:val="105"/>
          <w:sz w:val="20"/>
        </w:rPr>
        <w:t xml:space="preserve"> </w:t>
      </w:r>
      <w:r>
        <w:rPr>
          <w:w w:val="105"/>
          <w:sz w:val="20"/>
        </w:rPr>
        <w:t xml:space="preserve">section, </w:t>
      </w:r>
      <w:r>
        <w:rPr>
          <w:rFonts w:ascii="Arial" w:hAnsi="Arial"/>
          <w:w w:val="105"/>
          <w:sz w:val="19"/>
        </w:rPr>
        <w:t>p.</w:t>
      </w:r>
      <w:r>
        <w:rPr>
          <w:rFonts w:ascii="Arial" w:hAnsi="Arial"/>
          <w:spacing w:val="2"/>
          <w:w w:val="105"/>
          <w:sz w:val="19"/>
        </w:rPr>
        <w:t xml:space="preserve"> </w:t>
      </w:r>
      <w:r>
        <w:rPr>
          <w:w w:val="105"/>
        </w:rPr>
        <w:t>139.</w:t>
      </w:r>
    </w:p>
    <w:p w:rsidR="00E675F0" w:rsidRDefault="00E675F0" w:rsidP="00E675F0">
      <w:pPr>
        <w:pStyle w:val="BodyText"/>
        <w:spacing w:before="2"/>
        <w:rPr>
          <w:sz w:val="21"/>
        </w:rPr>
      </w:pPr>
    </w:p>
    <w:p w:rsidR="00E675F0" w:rsidRDefault="00E675F0" w:rsidP="00E675F0">
      <w:pPr>
        <w:spacing w:before="1" w:line="259" w:lineRule="auto"/>
        <w:ind w:left="145" w:right="155" w:firstLine="5"/>
        <w:jc w:val="both"/>
        <w:rPr>
          <w:sz w:val="20"/>
        </w:rPr>
      </w:pPr>
      <w:r>
        <w:rPr>
          <w:b/>
          <w:w w:val="105"/>
          <w:sz w:val="20"/>
        </w:rPr>
        <w:t xml:space="preserve">294.0   Amnestic  Disorder Due to a General Medical Condition   </w:t>
      </w:r>
      <w:r>
        <w:rPr>
          <w:w w:val="105"/>
          <w:sz w:val="20"/>
        </w:rPr>
        <w:t>Text and criteria are included in the "Delirium, Dementia, and Amnestic and Other Cognitive Disorders" section, p.</w:t>
      </w:r>
      <w:r>
        <w:rPr>
          <w:spacing w:val="-30"/>
          <w:w w:val="105"/>
          <w:sz w:val="20"/>
        </w:rPr>
        <w:t xml:space="preserve"> </w:t>
      </w:r>
      <w:r>
        <w:rPr>
          <w:w w:val="105"/>
          <w:sz w:val="20"/>
        </w:rPr>
        <w:t>158.</w:t>
      </w:r>
    </w:p>
    <w:p w:rsidR="00E675F0" w:rsidRDefault="00E675F0" w:rsidP="00E675F0">
      <w:pPr>
        <w:pStyle w:val="BodyText"/>
        <w:spacing w:before="8"/>
        <w:rPr>
          <w:sz w:val="21"/>
        </w:rPr>
      </w:pPr>
    </w:p>
    <w:p w:rsidR="00E675F0" w:rsidRDefault="00E675F0" w:rsidP="00E675F0">
      <w:pPr>
        <w:spacing w:line="252" w:lineRule="auto"/>
        <w:ind w:left="148" w:right="142" w:firstLine="2"/>
        <w:jc w:val="both"/>
        <w:rPr>
          <w:sz w:val="20"/>
        </w:rPr>
      </w:pPr>
      <w:r>
        <w:rPr>
          <w:b/>
          <w:w w:val="105"/>
          <w:sz w:val="20"/>
        </w:rPr>
        <w:t xml:space="preserve">293.8x  Psychotic  Disorder Due to a General Medical Condition  </w:t>
      </w:r>
      <w:r>
        <w:rPr>
          <w:w w:val="105"/>
          <w:sz w:val="20"/>
        </w:rPr>
        <w:t>Text  and   cri­ teria are included in the "Schizophrenia and Other Psychotic Disorders" section, p.</w:t>
      </w:r>
      <w:r>
        <w:rPr>
          <w:spacing w:val="2"/>
          <w:w w:val="105"/>
          <w:sz w:val="20"/>
        </w:rPr>
        <w:t xml:space="preserve"> </w:t>
      </w:r>
      <w:r>
        <w:rPr>
          <w:w w:val="105"/>
          <w:sz w:val="20"/>
        </w:rPr>
        <w:t>306.</w:t>
      </w:r>
    </w:p>
    <w:p w:rsidR="00E675F0" w:rsidRDefault="00E675F0" w:rsidP="00E675F0">
      <w:pPr>
        <w:pStyle w:val="BodyText"/>
        <w:spacing w:before="4"/>
        <w:rPr>
          <w:sz w:val="22"/>
        </w:rPr>
      </w:pPr>
    </w:p>
    <w:p w:rsidR="00E675F0" w:rsidRDefault="00E675F0" w:rsidP="00E675F0">
      <w:pPr>
        <w:spacing w:line="252" w:lineRule="auto"/>
        <w:ind w:left="148" w:right="160" w:firstLine="7"/>
        <w:jc w:val="both"/>
        <w:rPr>
          <w:sz w:val="20"/>
        </w:rPr>
      </w:pPr>
      <w:r>
        <w:rPr>
          <w:b/>
          <w:w w:val="110"/>
          <w:sz w:val="20"/>
        </w:rPr>
        <w:t xml:space="preserve">293.83 Mood Disorder Due to a General Medical Condition </w:t>
      </w:r>
      <w:r>
        <w:rPr>
          <w:w w:val="110"/>
          <w:sz w:val="20"/>
        </w:rPr>
        <w:t>Text  and  criteria are included in the "Mood Disorders" section,</w:t>
      </w:r>
      <w:r>
        <w:rPr>
          <w:spacing w:val="5"/>
          <w:w w:val="110"/>
          <w:sz w:val="20"/>
        </w:rPr>
        <w:t xml:space="preserve"> </w:t>
      </w:r>
      <w:r>
        <w:rPr>
          <w:w w:val="110"/>
          <w:sz w:val="20"/>
        </w:rPr>
        <w:t>p. 366.</w:t>
      </w:r>
    </w:p>
    <w:p w:rsidR="00E675F0" w:rsidRDefault="00E675F0" w:rsidP="00E675F0">
      <w:pPr>
        <w:pStyle w:val="BodyText"/>
        <w:rPr>
          <w:sz w:val="22"/>
        </w:rPr>
      </w:pPr>
    </w:p>
    <w:p w:rsidR="00E675F0" w:rsidRDefault="00E675F0" w:rsidP="00E675F0">
      <w:pPr>
        <w:spacing w:line="256" w:lineRule="auto"/>
        <w:ind w:left="148" w:right="156" w:firstLine="2"/>
        <w:jc w:val="both"/>
        <w:rPr>
          <w:sz w:val="20"/>
        </w:rPr>
      </w:pPr>
      <w:r>
        <w:rPr>
          <w:b/>
          <w:w w:val="110"/>
          <w:sz w:val="20"/>
        </w:rPr>
        <w:t xml:space="preserve">293.89 Anxiety Disorder Due to a General Medical Condition </w:t>
      </w:r>
      <w:r>
        <w:rPr>
          <w:w w:val="110"/>
          <w:sz w:val="20"/>
        </w:rPr>
        <w:t>Text and criteria are included in the "Anxiety Disorders" section, p. 436.</w:t>
      </w:r>
    </w:p>
    <w:p w:rsidR="00E675F0" w:rsidRDefault="00E675F0" w:rsidP="00E675F0">
      <w:pPr>
        <w:pStyle w:val="BodyText"/>
        <w:spacing w:before="4"/>
        <w:rPr>
          <w:sz w:val="22"/>
        </w:rPr>
      </w:pPr>
    </w:p>
    <w:p w:rsidR="00E675F0" w:rsidRDefault="00E675F0" w:rsidP="00E675F0">
      <w:pPr>
        <w:spacing w:line="256" w:lineRule="auto"/>
        <w:ind w:left="148" w:right="156" w:hanging="16"/>
        <w:jc w:val="both"/>
        <w:rPr>
          <w:sz w:val="20"/>
        </w:rPr>
      </w:pPr>
      <w:r>
        <w:rPr>
          <w:w w:val="110"/>
          <w:sz w:val="20"/>
        </w:rPr>
        <w:t xml:space="preserve">-.-  </w:t>
      </w:r>
      <w:r>
        <w:rPr>
          <w:b/>
          <w:w w:val="110"/>
          <w:sz w:val="20"/>
        </w:rPr>
        <w:t xml:space="preserve">Sexual Dysfunction Due to a General Medical Condition   </w:t>
      </w:r>
      <w:r>
        <w:rPr>
          <w:w w:val="110"/>
          <w:sz w:val="20"/>
        </w:rPr>
        <w:t>Text and criteria are included in the "Sexual and Gender Identity Disorders" section, p.</w:t>
      </w:r>
      <w:r>
        <w:rPr>
          <w:spacing w:val="4"/>
          <w:w w:val="110"/>
          <w:sz w:val="20"/>
        </w:rPr>
        <w:t xml:space="preserve"> </w:t>
      </w:r>
      <w:r>
        <w:rPr>
          <w:w w:val="110"/>
          <w:sz w:val="20"/>
        </w:rPr>
        <w:t>515.</w:t>
      </w:r>
    </w:p>
    <w:p w:rsidR="00E675F0" w:rsidRDefault="00E675F0" w:rsidP="00E675F0">
      <w:pPr>
        <w:pStyle w:val="BodyText"/>
        <w:rPr>
          <w:sz w:val="22"/>
        </w:rPr>
      </w:pPr>
    </w:p>
    <w:p w:rsidR="00E675F0" w:rsidRDefault="00E675F0" w:rsidP="00E675F0">
      <w:pPr>
        <w:spacing w:line="256" w:lineRule="auto"/>
        <w:ind w:left="148" w:right="148"/>
        <w:jc w:val="both"/>
        <w:rPr>
          <w:sz w:val="20"/>
        </w:rPr>
      </w:pPr>
      <w:r>
        <w:rPr>
          <w:b/>
          <w:w w:val="110"/>
          <w:sz w:val="20"/>
        </w:rPr>
        <w:t xml:space="preserve">780.Sx Sleep Disorder Due to a General Medical Condition  </w:t>
      </w:r>
      <w:r>
        <w:rPr>
          <w:w w:val="110"/>
          <w:sz w:val="20"/>
        </w:rPr>
        <w:t>Text  and  criteria are included in the "Sleep Disorders" section, p.</w:t>
      </w:r>
      <w:r>
        <w:rPr>
          <w:spacing w:val="7"/>
          <w:w w:val="110"/>
          <w:sz w:val="20"/>
        </w:rPr>
        <w:t xml:space="preserve"> </w:t>
      </w:r>
      <w:r>
        <w:rPr>
          <w:w w:val="110"/>
          <w:sz w:val="20"/>
        </w:rPr>
        <w:t>597.</w:t>
      </w:r>
    </w:p>
    <w:p w:rsidR="00E675F0" w:rsidRDefault="00E675F0" w:rsidP="00E675F0">
      <w:pPr>
        <w:pStyle w:val="BodyText"/>
        <w:spacing w:before="10"/>
        <w:rPr>
          <w:sz w:val="30"/>
        </w:rPr>
      </w:pPr>
    </w:p>
    <w:p w:rsidR="00E675F0" w:rsidRDefault="00E675F0" w:rsidP="00E675F0">
      <w:pPr>
        <w:ind w:left="139"/>
        <w:jc w:val="both"/>
        <w:rPr>
          <w:rFonts w:ascii="TimesNewRomanPS-BoldItalicMT"/>
          <w:b/>
          <w:i/>
          <w:sz w:val="24"/>
        </w:rPr>
      </w:pPr>
      <w:r>
        <w:rPr>
          <w:rFonts w:ascii="TimesNewRomanPS-BoldItalicMT"/>
          <w:b/>
          <w:i/>
          <w:w w:val="115"/>
          <w:sz w:val="24"/>
        </w:rPr>
        <w:t>Diagnostic Features</w:t>
      </w:r>
    </w:p>
    <w:p w:rsidR="00E675F0" w:rsidRDefault="00E675F0" w:rsidP="00E675F0">
      <w:pPr>
        <w:pStyle w:val="BodyText"/>
        <w:spacing w:before="122" w:line="256" w:lineRule="auto"/>
        <w:ind w:left="152" w:right="145" w:hanging="8"/>
        <w:jc w:val="both"/>
      </w:pPr>
      <w:r>
        <w:rPr>
          <w:w w:val="105"/>
        </w:rPr>
        <w:t>Three</w:t>
      </w:r>
      <w:r>
        <w:rPr>
          <w:spacing w:val="-10"/>
          <w:w w:val="105"/>
        </w:rPr>
        <w:t xml:space="preserve"> </w:t>
      </w:r>
      <w:r>
        <w:rPr>
          <w:w w:val="105"/>
        </w:rPr>
        <w:t>criteria</w:t>
      </w:r>
      <w:r>
        <w:rPr>
          <w:spacing w:val="-7"/>
          <w:w w:val="105"/>
        </w:rPr>
        <w:t xml:space="preserve"> </w:t>
      </w:r>
      <w:r>
        <w:rPr>
          <w:w w:val="105"/>
        </w:rPr>
        <w:t>appear</w:t>
      </w:r>
      <w:r>
        <w:rPr>
          <w:spacing w:val="-4"/>
          <w:w w:val="105"/>
        </w:rPr>
        <w:t xml:space="preserve"> </w:t>
      </w:r>
      <w:r>
        <w:rPr>
          <w:w w:val="105"/>
        </w:rPr>
        <w:t>in</w:t>
      </w:r>
      <w:r>
        <w:rPr>
          <w:spacing w:val="-11"/>
          <w:w w:val="105"/>
        </w:rPr>
        <w:t xml:space="preserve"> </w:t>
      </w:r>
      <w:r>
        <w:rPr>
          <w:w w:val="105"/>
        </w:rPr>
        <w:t>the</w:t>
      </w:r>
      <w:r>
        <w:rPr>
          <w:spacing w:val="-9"/>
          <w:w w:val="105"/>
        </w:rPr>
        <w:t xml:space="preserve"> </w:t>
      </w:r>
      <w:r>
        <w:rPr>
          <w:w w:val="105"/>
        </w:rPr>
        <w:t>criteria</w:t>
      </w:r>
      <w:r>
        <w:rPr>
          <w:spacing w:val="-4"/>
          <w:w w:val="105"/>
        </w:rPr>
        <w:t xml:space="preserve"> </w:t>
      </w:r>
      <w:r>
        <w:rPr>
          <w:w w:val="105"/>
        </w:rPr>
        <w:t>sets</w:t>
      </w:r>
      <w:r>
        <w:rPr>
          <w:spacing w:val="-14"/>
          <w:w w:val="105"/>
        </w:rPr>
        <w:t xml:space="preserve"> </w:t>
      </w:r>
      <w:r>
        <w:rPr>
          <w:w w:val="105"/>
        </w:rPr>
        <w:t>for</w:t>
      </w:r>
      <w:r>
        <w:rPr>
          <w:spacing w:val="-17"/>
          <w:w w:val="105"/>
        </w:rPr>
        <w:t xml:space="preserve"> </w:t>
      </w:r>
      <w:r>
        <w:rPr>
          <w:w w:val="105"/>
        </w:rPr>
        <w:t>each</w:t>
      </w:r>
      <w:r>
        <w:rPr>
          <w:spacing w:val="-12"/>
          <w:w w:val="105"/>
        </w:rPr>
        <w:t xml:space="preserve"> </w:t>
      </w:r>
      <w:r>
        <w:rPr>
          <w:w w:val="105"/>
        </w:rPr>
        <w:t>of</w:t>
      </w:r>
      <w:r>
        <w:rPr>
          <w:spacing w:val="-2"/>
          <w:w w:val="105"/>
        </w:rPr>
        <w:t xml:space="preserve"> </w:t>
      </w:r>
      <w:r>
        <w:rPr>
          <w:w w:val="105"/>
        </w:rPr>
        <w:t>the</w:t>
      </w:r>
      <w:r>
        <w:rPr>
          <w:spacing w:val="-10"/>
          <w:w w:val="105"/>
        </w:rPr>
        <w:t xml:space="preserve"> </w:t>
      </w:r>
      <w:r>
        <w:rPr>
          <w:w w:val="105"/>
        </w:rPr>
        <w:t>Mental</w:t>
      </w:r>
      <w:r>
        <w:rPr>
          <w:spacing w:val="-1"/>
          <w:w w:val="105"/>
        </w:rPr>
        <w:t xml:space="preserve"> </w:t>
      </w:r>
      <w:r>
        <w:rPr>
          <w:w w:val="105"/>
        </w:rPr>
        <w:t>Disorders</w:t>
      </w:r>
      <w:r>
        <w:rPr>
          <w:spacing w:val="-2"/>
          <w:w w:val="105"/>
        </w:rPr>
        <w:t xml:space="preserve"> </w:t>
      </w:r>
      <w:r>
        <w:rPr>
          <w:w w:val="105"/>
        </w:rPr>
        <w:t>Due</w:t>
      </w:r>
      <w:r>
        <w:rPr>
          <w:spacing w:val="-7"/>
          <w:w w:val="105"/>
        </w:rPr>
        <w:t xml:space="preserve"> </w:t>
      </w:r>
      <w:r>
        <w:rPr>
          <w:w w:val="105"/>
        </w:rPr>
        <w:t>to</w:t>
      </w:r>
      <w:r>
        <w:rPr>
          <w:spacing w:val="-6"/>
          <w:w w:val="105"/>
        </w:rPr>
        <w:t xml:space="preserve"> </w:t>
      </w:r>
      <w:r>
        <w:rPr>
          <w:w w:val="105"/>
        </w:rPr>
        <w:t>a</w:t>
      </w:r>
      <w:r>
        <w:rPr>
          <w:spacing w:val="-17"/>
          <w:w w:val="105"/>
        </w:rPr>
        <w:t xml:space="preserve"> </w:t>
      </w:r>
      <w:r>
        <w:rPr>
          <w:w w:val="105"/>
        </w:rPr>
        <w:t>General Medical</w:t>
      </w:r>
      <w:r>
        <w:rPr>
          <w:spacing w:val="14"/>
          <w:w w:val="105"/>
        </w:rPr>
        <w:t xml:space="preserve"> </w:t>
      </w:r>
      <w:r>
        <w:rPr>
          <w:w w:val="105"/>
        </w:rPr>
        <w:t>Condition:</w:t>
      </w:r>
    </w:p>
    <w:p w:rsidR="00E675F0" w:rsidRDefault="00E675F0" w:rsidP="003048D3">
      <w:pPr>
        <w:numPr>
          <w:ilvl w:val="0"/>
          <w:numId w:val="48"/>
        </w:numPr>
        <w:tabs>
          <w:tab w:val="left" w:pos="841"/>
        </w:tabs>
        <w:spacing w:before="171" w:line="254" w:lineRule="auto"/>
        <w:ind w:right="146" w:hanging="364"/>
        <w:jc w:val="both"/>
        <w:rPr>
          <w:b/>
          <w:sz w:val="20"/>
        </w:rPr>
      </w:pPr>
      <w:r>
        <w:rPr>
          <w:b/>
          <w:w w:val="115"/>
          <w:sz w:val="20"/>
        </w:rPr>
        <w:t>There</w:t>
      </w:r>
      <w:r>
        <w:rPr>
          <w:b/>
          <w:spacing w:val="-26"/>
          <w:w w:val="115"/>
          <w:sz w:val="20"/>
        </w:rPr>
        <w:t xml:space="preserve"> </w:t>
      </w:r>
      <w:r>
        <w:rPr>
          <w:b/>
          <w:w w:val="115"/>
          <w:sz w:val="20"/>
        </w:rPr>
        <w:t>is</w:t>
      </w:r>
      <w:r>
        <w:rPr>
          <w:b/>
          <w:spacing w:val="-24"/>
          <w:w w:val="115"/>
          <w:sz w:val="20"/>
        </w:rPr>
        <w:t xml:space="preserve"> </w:t>
      </w:r>
      <w:r>
        <w:rPr>
          <w:b/>
          <w:w w:val="115"/>
          <w:sz w:val="20"/>
        </w:rPr>
        <w:t>evidence</w:t>
      </w:r>
      <w:r>
        <w:rPr>
          <w:b/>
          <w:spacing w:val="-26"/>
          <w:w w:val="115"/>
          <w:sz w:val="20"/>
        </w:rPr>
        <w:t xml:space="preserve"> </w:t>
      </w:r>
      <w:r>
        <w:rPr>
          <w:b/>
          <w:w w:val="115"/>
          <w:sz w:val="20"/>
        </w:rPr>
        <w:t>from</w:t>
      </w:r>
      <w:r>
        <w:rPr>
          <w:b/>
          <w:spacing w:val="-33"/>
          <w:w w:val="115"/>
          <w:sz w:val="20"/>
        </w:rPr>
        <w:t xml:space="preserve"> </w:t>
      </w:r>
      <w:r>
        <w:rPr>
          <w:b/>
          <w:w w:val="115"/>
          <w:sz w:val="20"/>
        </w:rPr>
        <w:t>the</w:t>
      </w:r>
      <w:r>
        <w:rPr>
          <w:b/>
          <w:spacing w:val="-27"/>
          <w:w w:val="115"/>
          <w:sz w:val="20"/>
        </w:rPr>
        <w:t xml:space="preserve"> </w:t>
      </w:r>
      <w:r>
        <w:rPr>
          <w:b/>
          <w:w w:val="115"/>
          <w:sz w:val="20"/>
        </w:rPr>
        <w:t>history,</w:t>
      </w:r>
      <w:r>
        <w:rPr>
          <w:b/>
          <w:spacing w:val="-23"/>
          <w:w w:val="115"/>
          <w:sz w:val="20"/>
        </w:rPr>
        <w:t xml:space="preserve"> </w:t>
      </w:r>
      <w:r>
        <w:rPr>
          <w:b/>
          <w:w w:val="115"/>
          <w:sz w:val="20"/>
        </w:rPr>
        <w:t>physical</w:t>
      </w:r>
      <w:r>
        <w:rPr>
          <w:b/>
          <w:spacing w:val="-27"/>
          <w:w w:val="115"/>
          <w:sz w:val="20"/>
        </w:rPr>
        <w:t xml:space="preserve"> </w:t>
      </w:r>
      <w:r>
        <w:rPr>
          <w:b/>
          <w:w w:val="115"/>
          <w:sz w:val="20"/>
        </w:rPr>
        <w:t>examination,</w:t>
      </w:r>
      <w:r>
        <w:rPr>
          <w:b/>
          <w:spacing w:val="-17"/>
          <w:w w:val="115"/>
          <w:sz w:val="20"/>
        </w:rPr>
        <w:t xml:space="preserve"> </w:t>
      </w:r>
      <w:r>
        <w:rPr>
          <w:b/>
          <w:w w:val="115"/>
          <w:sz w:val="20"/>
        </w:rPr>
        <w:t>or</w:t>
      </w:r>
      <w:r>
        <w:rPr>
          <w:b/>
          <w:spacing w:val="-20"/>
          <w:w w:val="115"/>
          <w:sz w:val="20"/>
        </w:rPr>
        <w:t xml:space="preserve"> </w:t>
      </w:r>
      <w:r>
        <w:rPr>
          <w:b/>
          <w:w w:val="115"/>
          <w:sz w:val="20"/>
        </w:rPr>
        <w:t>laboratory findings</w:t>
      </w:r>
      <w:r>
        <w:rPr>
          <w:b/>
          <w:spacing w:val="-21"/>
          <w:w w:val="115"/>
          <w:sz w:val="20"/>
        </w:rPr>
        <w:t xml:space="preserve"> </w:t>
      </w:r>
      <w:r>
        <w:rPr>
          <w:b/>
          <w:w w:val="115"/>
          <w:sz w:val="20"/>
        </w:rPr>
        <w:t>that</w:t>
      </w:r>
      <w:r>
        <w:rPr>
          <w:b/>
          <w:spacing w:val="-26"/>
          <w:w w:val="115"/>
          <w:sz w:val="20"/>
        </w:rPr>
        <w:t xml:space="preserve"> </w:t>
      </w:r>
      <w:r>
        <w:rPr>
          <w:b/>
          <w:w w:val="115"/>
          <w:sz w:val="20"/>
        </w:rPr>
        <w:t>the</w:t>
      </w:r>
      <w:r>
        <w:rPr>
          <w:b/>
          <w:spacing w:val="-17"/>
          <w:w w:val="115"/>
          <w:sz w:val="20"/>
        </w:rPr>
        <w:t xml:space="preserve"> </w:t>
      </w:r>
      <w:r>
        <w:rPr>
          <w:b/>
          <w:w w:val="115"/>
          <w:sz w:val="20"/>
        </w:rPr>
        <w:t>disturbance</w:t>
      </w:r>
      <w:r>
        <w:rPr>
          <w:b/>
          <w:spacing w:val="-15"/>
          <w:w w:val="115"/>
          <w:sz w:val="20"/>
        </w:rPr>
        <w:t xml:space="preserve"> </w:t>
      </w:r>
      <w:r>
        <w:rPr>
          <w:b/>
          <w:w w:val="115"/>
          <w:sz w:val="20"/>
        </w:rPr>
        <w:t>is</w:t>
      </w:r>
      <w:r>
        <w:rPr>
          <w:b/>
          <w:spacing w:val="-19"/>
          <w:w w:val="115"/>
          <w:sz w:val="20"/>
        </w:rPr>
        <w:t xml:space="preserve"> </w:t>
      </w:r>
      <w:r>
        <w:rPr>
          <w:b/>
          <w:w w:val="115"/>
          <w:sz w:val="20"/>
        </w:rPr>
        <w:t>the</w:t>
      </w:r>
      <w:r>
        <w:rPr>
          <w:b/>
          <w:spacing w:val="-18"/>
          <w:w w:val="115"/>
          <w:sz w:val="20"/>
        </w:rPr>
        <w:t xml:space="preserve"> </w:t>
      </w:r>
      <w:r>
        <w:rPr>
          <w:b/>
          <w:w w:val="115"/>
          <w:sz w:val="20"/>
        </w:rPr>
        <w:t>direct</w:t>
      </w:r>
      <w:r>
        <w:rPr>
          <w:b/>
          <w:spacing w:val="-26"/>
          <w:w w:val="115"/>
          <w:sz w:val="20"/>
        </w:rPr>
        <w:t xml:space="preserve"> </w:t>
      </w:r>
      <w:r>
        <w:rPr>
          <w:b/>
          <w:w w:val="115"/>
          <w:sz w:val="20"/>
        </w:rPr>
        <w:t>physiological</w:t>
      </w:r>
      <w:r>
        <w:rPr>
          <w:b/>
          <w:spacing w:val="-22"/>
          <w:w w:val="115"/>
          <w:sz w:val="20"/>
        </w:rPr>
        <w:t xml:space="preserve"> </w:t>
      </w:r>
      <w:r>
        <w:rPr>
          <w:b/>
          <w:w w:val="115"/>
          <w:sz w:val="20"/>
        </w:rPr>
        <w:t>consequence</w:t>
      </w:r>
      <w:r>
        <w:rPr>
          <w:b/>
          <w:spacing w:val="-17"/>
          <w:w w:val="115"/>
          <w:sz w:val="20"/>
        </w:rPr>
        <w:t xml:space="preserve"> </w:t>
      </w:r>
      <w:r>
        <w:rPr>
          <w:b/>
          <w:w w:val="115"/>
          <w:sz w:val="20"/>
        </w:rPr>
        <w:t>of a</w:t>
      </w:r>
      <w:r>
        <w:rPr>
          <w:b/>
          <w:spacing w:val="-18"/>
          <w:w w:val="115"/>
          <w:sz w:val="20"/>
        </w:rPr>
        <w:t xml:space="preserve"> </w:t>
      </w:r>
      <w:r>
        <w:rPr>
          <w:b/>
          <w:w w:val="115"/>
          <w:sz w:val="20"/>
        </w:rPr>
        <w:t>general</w:t>
      </w:r>
      <w:r>
        <w:rPr>
          <w:b/>
          <w:spacing w:val="-17"/>
          <w:w w:val="115"/>
          <w:sz w:val="20"/>
        </w:rPr>
        <w:t xml:space="preserve"> </w:t>
      </w:r>
      <w:r>
        <w:rPr>
          <w:b/>
          <w:w w:val="115"/>
          <w:sz w:val="20"/>
        </w:rPr>
        <w:t>medical</w:t>
      </w:r>
      <w:r>
        <w:rPr>
          <w:b/>
          <w:spacing w:val="-15"/>
          <w:w w:val="115"/>
          <w:sz w:val="20"/>
        </w:rPr>
        <w:t xml:space="preserve"> </w:t>
      </w:r>
      <w:r>
        <w:rPr>
          <w:b/>
          <w:w w:val="115"/>
          <w:sz w:val="20"/>
        </w:rPr>
        <w:t>condition.</w:t>
      </w:r>
    </w:p>
    <w:p w:rsidR="00E675F0" w:rsidRDefault="00E675F0" w:rsidP="00E675F0">
      <w:pPr>
        <w:pStyle w:val="BodyText"/>
        <w:spacing w:before="187" w:line="254" w:lineRule="auto"/>
        <w:ind w:left="148" w:right="134" w:firstLine="366"/>
        <w:jc w:val="both"/>
      </w:pPr>
      <w:r>
        <w:rPr>
          <w:w w:val="105"/>
        </w:rPr>
        <w:t>Application of this criterion requires two separate judgments: that a general medical condition is present (ascertained by history, physical examination, or laboratory assess­ ment) and that the disturbance (e.g., psychotic, mood, anxiety symptoms) is etiologically related to the general medical condition through a physiological mechanism. Although there are no infallible guidelines for determining whether the relationship between the disturbance and the general medical condition is etiological, several considerations provide</w:t>
      </w:r>
      <w:r>
        <w:rPr>
          <w:spacing w:val="-10"/>
          <w:w w:val="105"/>
        </w:rPr>
        <w:t xml:space="preserve"> </w:t>
      </w:r>
      <w:r>
        <w:rPr>
          <w:w w:val="105"/>
        </w:rPr>
        <w:t>guidance</w:t>
      </w:r>
      <w:r>
        <w:rPr>
          <w:spacing w:val="-8"/>
          <w:w w:val="105"/>
        </w:rPr>
        <w:t xml:space="preserve"> </w:t>
      </w:r>
      <w:r>
        <w:rPr>
          <w:w w:val="105"/>
        </w:rPr>
        <w:t>in</w:t>
      </w:r>
      <w:r>
        <w:rPr>
          <w:spacing w:val="-12"/>
          <w:w w:val="105"/>
        </w:rPr>
        <w:t xml:space="preserve"> </w:t>
      </w:r>
      <w:r>
        <w:rPr>
          <w:w w:val="105"/>
        </w:rPr>
        <w:t>this</w:t>
      </w:r>
      <w:r>
        <w:rPr>
          <w:spacing w:val="-17"/>
          <w:w w:val="105"/>
        </w:rPr>
        <w:t xml:space="preserve"> </w:t>
      </w:r>
      <w:r>
        <w:rPr>
          <w:w w:val="105"/>
        </w:rPr>
        <w:t>area.</w:t>
      </w:r>
      <w:r>
        <w:rPr>
          <w:spacing w:val="-12"/>
          <w:w w:val="105"/>
        </w:rPr>
        <w:t xml:space="preserve"> </w:t>
      </w:r>
      <w:r>
        <w:rPr>
          <w:w w:val="105"/>
        </w:rPr>
        <w:t>One</w:t>
      </w:r>
      <w:r>
        <w:rPr>
          <w:spacing w:val="3"/>
          <w:w w:val="105"/>
        </w:rPr>
        <w:t xml:space="preserve"> </w:t>
      </w:r>
      <w:r>
        <w:rPr>
          <w:w w:val="105"/>
        </w:rPr>
        <w:t>consideration</w:t>
      </w:r>
      <w:r>
        <w:rPr>
          <w:spacing w:val="13"/>
          <w:w w:val="105"/>
        </w:rPr>
        <w:t xml:space="preserve"> </w:t>
      </w:r>
      <w:r>
        <w:rPr>
          <w:w w:val="105"/>
        </w:rPr>
        <w:t>is</w:t>
      </w:r>
      <w:r>
        <w:rPr>
          <w:spacing w:val="-19"/>
          <w:w w:val="105"/>
        </w:rPr>
        <w:t xml:space="preserve"> </w:t>
      </w:r>
      <w:r>
        <w:rPr>
          <w:w w:val="105"/>
        </w:rPr>
        <w:t>the</w:t>
      </w:r>
      <w:r>
        <w:rPr>
          <w:spacing w:val="-8"/>
          <w:w w:val="105"/>
        </w:rPr>
        <w:t xml:space="preserve"> </w:t>
      </w:r>
      <w:r>
        <w:rPr>
          <w:w w:val="105"/>
        </w:rPr>
        <w:t>presence</w:t>
      </w:r>
      <w:r>
        <w:rPr>
          <w:spacing w:val="-11"/>
          <w:w w:val="105"/>
        </w:rPr>
        <w:t xml:space="preserve"> </w:t>
      </w:r>
      <w:r>
        <w:rPr>
          <w:w w:val="105"/>
        </w:rPr>
        <w:t>of</w:t>
      </w:r>
      <w:r>
        <w:rPr>
          <w:spacing w:val="-8"/>
          <w:w w:val="105"/>
        </w:rPr>
        <w:t xml:space="preserve"> </w:t>
      </w:r>
      <w:r>
        <w:rPr>
          <w:w w:val="105"/>
        </w:rPr>
        <w:t>a</w:t>
      </w:r>
      <w:r>
        <w:rPr>
          <w:spacing w:val="-7"/>
          <w:w w:val="105"/>
        </w:rPr>
        <w:t xml:space="preserve"> </w:t>
      </w:r>
      <w:r>
        <w:rPr>
          <w:w w:val="105"/>
        </w:rPr>
        <w:t>temporal</w:t>
      </w:r>
      <w:r>
        <w:rPr>
          <w:spacing w:val="-5"/>
          <w:w w:val="105"/>
        </w:rPr>
        <w:t xml:space="preserve"> </w:t>
      </w:r>
      <w:r>
        <w:rPr>
          <w:w w:val="105"/>
        </w:rPr>
        <w:t>association between the onset, exacerbation, or remission of the general medical condition and that of the mental disorder (e.g., symptoms of anxiety in an individual with a parathyroid adenoma that resolve after surgical excision restores a normal serum calcium level). Although evidence of a close temporal relationship is often useful in making a judgment about etiology, there are many exceptions. For example, Psychotic Disorder Due to Epilepsy can emerge many years after the onset of seizures.</w:t>
      </w:r>
      <w:r>
        <w:rPr>
          <w:spacing w:val="20"/>
          <w:w w:val="105"/>
        </w:rPr>
        <w:t xml:space="preserve"> </w:t>
      </w:r>
      <w:r>
        <w:rPr>
          <w:w w:val="105"/>
        </w:rPr>
        <w:t>Alternatively, symptoms</w:t>
      </w:r>
    </w:p>
    <w:p w:rsidR="00E675F0" w:rsidRDefault="00E675F0" w:rsidP="00E675F0">
      <w:pPr>
        <w:spacing w:line="254" w:lineRule="auto"/>
        <w:jc w:val="both"/>
        <w:sectPr w:rsidR="00E675F0">
          <w:headerReference w:type="even" r:id="rId152"/>
          <w:headerReference w:type="default" r:id="rId153"/>
          <w:pgSz w:w="8960" w:h="14260"/>
          <w:pgMar w:top="1400" w:right="580" w:bottom="280" w:left="600" w:header="696" w:footer="0" w:gutter="0"/>
          <w:pgNumType w:start="166"/>
          <w:cols w:space="720"/>
        </w:sectPr>
      </w:pPr>
    </w:p>
    <w:p w:rsidR="00E675F0" w:rsidRDefault="00E675F0" w:rsidP="00E675F0">
      <w:pPr>
        <w:pStyle w:val="BodyText"/>
        <w:spacing w:before="129" w:line="252" w:lineRule="auto"/>
        <w:ind w:left="116" w:right="170"/>
        <w:jc w:val="both"/>
      </w:pPr>
      <w:r>
        <w:rPr>
          <w:w w:val="105"/>
        </w:rPr>
        <w:lastRenderedPageBreak/>
        <w:t>and signs of a mental disorder can be among the first manifestations of a systemic or cerebral disease, appearing months or more before the detection of the underlying pathological process (e.g., depressed mood preceding choreiform movements in Huntington's disease). Mental Disorders Due to a General Medical Condition can also persist after the general medical condition has resolved (e.g., depressed mood persisting after thyroid hormone replacement). Moreover, a Mental Disorder Due to a General Medical Condition can be amenable to symptomatic treatment even while the general medical condition remains active (e.g., depression in epilepsy). Treatment targeted  to the general medical condition that alleviates the symptoms of both the general medical condition and the mental disturbance may provide stronger evidence of an etiological relationship.</w:t>
      </w:r>
    </w:p>
    <w:p w:rsidR="00E675F0" w:rsidRDefault="00E675F0" w:rsidP="00E675F0">
      <w:pPr>
        <w:pStyle w:val="BodyText"/>
        <w:spacing w:before="11" w:line="254" w:lineRule="auto"/>
        <w:ind w:left="119" w:right="176" w:firstLine="362"/>
        <w:jc w:val="both"/>
      </w:pPr>
      <w:r>
        <w:rPr>
          <w:w w:val="105"/>
        </w:rPr>
        <w:t>A second important consideration is the presence of features that are atypical of the primary</w:t>
      </w:r>
      <w:r>
        <w:rPr>
          <w:spacing w:val="-6"/>
          <w:w w:val="105"/>
        </w:rPr>
        <w:t xml:space="preserve"> </w:t>
      </w:r>
      <w:r>
        <w:rPr>
          <w:w w:val="105"/>
        </w:rPr>
        <w:t>mental</w:t>
      </w:r>
      <w:r>
        <w:rPr>
          <w:spacing w:val="-6"/>
          <w:w w:val="105"/>
        </w:rPr>
        <w:t xml:space="preserve"> </w:t>
      </w:r>
      <w:r>
        <w:rPr>
          <w:w w:val="105"/>
        </w:rPr>
        <w:t>disorder.</w:t>
      </w:r>
      <w:r>
        <w:rPr>
          <w:spacing w:val="-4"/>
          <w:w w:val="105"/>
        </w:rPr>
        <w:t xml:space="preserve"> </w:t>
      </w:r>
      <w:r>
        <w:rPr>
          <w:w w:val="105"/>
        </w:rPr>
        <w:t>The</w:t>
      </w:r>
      <w:r>
        <w:rPr>
          <w:spacing w:val="-3"/>
          <w:w w:val="105"/>
        </w:rPr>
        <w:t xml:space="preserve"> </w:t>
      </w:r>
      <w:r>
        <w:rPr>
          <w:w w:val="105"/>
        </w:rPr>
        <w:t>most</w:t>
      </w:r>
      <w:r>
        <w:rPr>
          <w:spacing w:val="-6"/>
          <w:w w:val="105"/>
        </w:rPr>
        <w:t xml:space="preserve"> </w:t>
      </w:r>
      <w:r>
        <w:rPr>
          <w:w w:val="105"/>
        </w:rPr>
        <w:t>common</w:t>
      </w:r>
      <w:r>
        <w:rPr>
          <w:spacing w:val="-7"/>
          <w:w w:val="105"/>
        </w:rPr>
        <w:t xml:space="preserve"> </w:t>
      </w:r>
      <w:r>
        <w:rPr>
          <w:w w:val="105"/>
        </w:rPr>
        <w:t>example</w:t>
      </w:r>
      <w:r>
        <w:rPr>
          <w:spacing w:val="-1"/>
          <w:w w:val="105"/>
        </w:rPr>
        <w:t xml:space="preserve"> </w:t>
      </w:r>
      <w:r>
        <w:rPr>
          <w:w w:val="105"/>
        </w:rPr>
        <w:t>is</w:t>
      </w:r>
      <w:r>
        <w:rPr>
          <w:spacing w:val="-19"/>
          <w:w w:val="105"/>
        </w:rPr>
        <w:t xml:space="preserve"> </w:t>
      </w:r>
      <w:r>
        <w:rPr>
          <w:w w:val="105"/>
        </w:rPr>
        <w:t>an</w:t>
      </w:r>
      <w:r>
        <w:rPr>
          <w:spacing w:val="9"/>
          <w:w w:val="105"/>
        </w:rPr>
        <w:t xml:space="preserve"> </w:t>
      </w:r>
      <w:r>
        <w:rPr>
          <w:w w:val="105"/>
        </w:rPr>
        <w:t>atypical</w:t>
      </w:r>
      <w:r>
        <w:rPr>
          <w:spacing w:val="-6"/>
          <w:w w:val="105"/>
        </w:rPr>
        <w:t xml:space="preserve"> </w:t>
      </w:r>
      <w:r>
        <w:rPr>
          <w:w w:val="105"/>
        </w:rPr>
        <w:t>age</w:t>
      </w:r>
      <w:r>
        <w:rPr>
          <w:spacing w:val="-12"/>
          <w:w w:val="105"/>
        </w:rPr>
        <w:t xml:space="preserve"> </w:t>
      </w:r>
      <w:r>
        <w:rPr>
          <w:w w:val="105"/>
        </w:rPr>
        <w:t>at</w:t>
      </w:r>
      <w:r>
        <w:rPr>
          <w:spacing w:val="-10"/>
          <w:w w:val="105"/>
        </w:rPr>
        <w:t xml:space="preserve"> </w:t>
      </w:r>
      <w:r>
        <w:rPr>
          <w:w w:val="105"/>
        </w:rPr>
        <w:t>onset</w:t>
      </w:r>
      <w:r>
        <w:rPr>
          <w:spacing w:val="-11"/>
          <w:w w:val="105"/>
        </w:rPr>
        <w:t xml:space="preserve"> </w:t>
      </w:r>
      <w:r>
        <w:rPr>
          <w:w w:val="105"/>
        </w:rPr>
        <w:t>or</w:t>
      </w:r>
      <w:r>
        <w:rPr>
          <w:spacing w:val="-10"/>
          <w:w w:val="105"/>
        </w:rPr>
        <w:t xml:space="preserve"> </w:t>
      </w:r>
      <w:r>
        <w:rPr>
          <w:w w:val="105"/>
        </w:rPr>
        <w:t>course (e.g.,</w:t>
      </w:r>
      <w:r>
        <w:rPr>
          <w:spacing w:val="-15"/>
          <w:w w:val="105"/>
        </w:rPr>
        <w:t xml:space="preserve"> </w:t>
      </w:r>
      <w:r>
        <w:rPr>
          <w:w w:val="105"/>
        </w:rPr>
        <w:t>first</w:t>
      </w:r>
      <w:r>
        <w:rPr>
          <w:spacing w:val="-14"/>
          <w:w w:val="105"/>
        </w:rPr>
        <w:t xml:space="preserve"> </w:t>
      </w:r>
      <w:r>
        <w:rPr>
          <w:w w:val="105"/>
        </w:rPr>
        <w:t>appearance</w:t>
      </w:r>
      <w:r>
        <w:rPr>
          <w:spacing w:val="2"/>
          <w:w w:val="105"/>
        </w:rPr>
        <w:t xml:space="preserve"> </w:t>
      </w:r>
      <w:r>
        <w:rPr>
          <w:w w:val="105"/>
        </w:rPr>
        <w:t>of</w:t>
      </w:r>
      <w:r>
        <w:rPr>
          <w:spacing w:val="-9"/>
          <w:w w:val="105"/>
        </w:rPr>
        <w:t xml:space="preserve"> </w:t>
      </w:r>
      <w:r>
        <w:rPr>
          <w:w w:val="105"/>
        </w:rPr>
        <w:t>schizophrenic-like</w:t>
      </w:r>
      <w:r>
        <w:rPr>
          <w:spacing w:val="-25"/>
          <w:w w:val="105"/>
        </w:rPr>
        <w:t xml:space="preserve"> </w:t>
      </w:r>
      <w:r>
        <w:rPr>
          <w:w w:val="105"/>
        </w:rPr>
        <w:t>symptoms</w:t>
      </w:r>
      <w:r>
        <w:rPr>
          <w:spacing w:val="-8"/>
          <w:w w:val="105"/>
        </w:rPr>
        <w:t xml:space="preserve"> </w:t>
      </w:r>
      <w:r>
        <w:rPr>
          <w:w w:val="105"/>
        </w:rPr>
        <w:t>in</w:t>
      </w:r>
      <w:r>
        <w:rPr>
          <w:spacing w:val="-15"/>
          <w:w w:val="105"/>
        </w:rPr>
        <w:t xml:space="preserve"> </w:t>
      </w:r>
      <w:r>
        <w:rPr>
          <w:w w:val="105"/>
        </w:rPr>
        <w:t>a</w:t>
      </w:r>
      <w:r>
        <w:rPr>
          <w:spacing w:val="-16"/>
          <w:w w:val="105"/>
        </w:rPr>
        <w:t xml:space="preserve"> </w:t>
      </w:r>
      <w:r>
        <w:rPr>
          <w:w w:val="105"/>
        </w:rPr>
        <w:t>75-year-old</w:t>
      </w:r>
      <w:r>
        <w:rPr>
          <w:spacing w:val="1"/>
          <w:w w:val="105"/>
        </w:rPr>
        <w:t xml:space="preserve"> </w:t>
      </w:r>
      <w:r>
        <w:rPr>
          <w:w w:val="105"/>
        </w:rPr>
        <w:t>individual).</w:t>
      </w:r>
      <w:r>
        <w:rPr>
          <w:spacing w:val="-7"/>
          <w:w w:val="105"/>
        </w:rPr>
        <w:t xml:space="preserve"> </w:t>
      </w:r>
      <w:r>
        <w:rPr>
          <w:w w:val="105"/>
        </w:rPr>
        <w:t>There may be unusual associated features (e.g., visual or tactile hallucinations accompanying major depressive-like episodes) or diagnostic features that are disproportionately more severe than would be expected given the overall presentation (e.g., a SO-pound weight loss in an individual with otherwise mild depressive symptoms might suggest the presence of a underlying general medical condition). The clinician should be alerted especially by the presence of significant cognitive deficits that are out of proportion to those</w:t>
      </w:r>
      <w:r>
        <w:rPr>
          <w:spacing w:val="10"/>
          <w:w w:val="105"/>
        </w:rPr>
        <w:t xml:space="preserve"> </w:t>
      </w:r>
      <w:r>
        <w:rPr>
          <w:w w:val="105"/>
        </w:rPr>
        <w:t>typically</w:t>
      </w:r>
      <w:r>
        <w:rPr>
          <w:spacing w:val="12"/>
          <w:w w:val="105"/>
        </w:rPr>
        <w:t xml:space="preserve"> </w:t>
      </w:r>
      <w:r>
        <w:rPr>
          <w:w w:val="105"/>
        </w:rPr>
        <w:t>encountered</w:t>
      </w:r>
      <w:r>
        <w:rPr>
          <w:spacing w:val="18"/>
          <w:w w:val="105"/>
        </w:rPr>
        <w:t xml:space="preserve"> </w:t>
      </w:r>
      <w:r>
        <w:rPr>
          <w:w w:val="105"/>
        </w:rPr>
        <w:t>with</w:t>
      </w:r>
      <w:r>
        <w:rPr>
          <w:spacing w:val="15"/>
          <w:w w:val="105"/>
        </w:rPr>
        <w:t xml:space="preserve"> </w:t>
      </w:r>
      <w:r>
        <w:rPr>
          <w:w w:val="105"/>
        </w:rPr>
        <w:t>the</w:t>
      </w:r>
      <w:r>
        <w:rPr>
          <w:spacing w:val="13"/>
          <w:w w:val="105"/>
        </w:rPr>
        <w:t xml:space="preserve"> </w:t>
      </w:r>
      <w:r>
        <w:rPr>
          <w:w w:val="105"/>
        </w:rPr>
        <w:t>primary</w:t>
      </w:r>
      <w:r>
        <w:rPr>
          <w:spacing w:val="13"/>
          <w:w w:val="105"/>
        </w:rPr>
        <w:t xml:space="preserve"> </w:t>
      </w:r>
      <w:r>
        <w:rPr>
          <w:w w:val="105"/>
        </w:rPr>
        <w:t>mental</w:t>
      </w:r>
      <w:r>
        <w:rPr>
          <w:spacing w:val="16"/>
          <w:w w:val="105"/>
        </w:rPr>
        <w:t xml:space="preserve"> </w:t>
      </w:r>
      <w:r>
        <w:rPr>
          <w:w w:val="105"/>
        </w:rPr>
        <w:t>disorder.</w:t>
      </w:r>
    </w:p>
    <w:p w:rsidR="00E675F0" w:rsidRDefault="00E675F0" w:rsidP="00E675F0">
      <w:pPr>
        <w:pStyle w:val="BodyText"/>
        <w:spacing w:line="252" w:lineRule="auto"/>
        <w:ind w:left="121" w:right="176" w:firstLine="363"/>
        <w:jc w:val="both"/>
      </w:pPr>
      <w:r>
        <w:rPr>
          <w:w w:val="105"/>
        </w:rPr>
        <w:t>Evidence from the literature of a well-established or frequently encountered association between the general medical condition and the phenomenology of a specific mental disorder may be useful in the evaluation of a particular situation. Such studies may provide evidence of a plausible etiological association between the mental symptoms and the general medical condition (e.g., lesion location or a known pathophysiological mechanism likely to affect brain function) and of an elevated prevalence rate of the mental symptoms (i.e., above the base rate in an appropriate control population) in individuals with the general medical condition. Although such evidence suggests a possible causal link between a mental disorder and a particular general medical condition, it is not sufficient for making a determination in an individual case because research studies generally reflect group means, whereas the clinician seeks to make a decision regarding an individual. The text for each of the specific Mental Disorders Due to a General Medical Condition contains a list of some of the general medical conditions noted in the literature to be associated with that specific mental disorder.</w:t>
      </w:r>
    </w:p>
    <w:p w:rsidR="00E675F0" w:rsidRDefault="00E675F0" w:rsidP="003048D3">
      <w:pPr>
        <w:numPr>
          <w:ilvl w:val="0"/>
          <w:numId w:val="48"/>
        </w:numPr>
        <w:tabs>
          <w:tab w:val="left" w:pos="810"/>
        </w:tabs>
        <w:spacing w:before="197"/>
        <w:ind w:left="809" w:hanging="330"/>
        <w:rPr>
          <w:b/>
          <w:sz w:val="20"/>
        </w:rPr>
      </w:pPr>
      <w:r>
        <w:rPr>
          <w:b/>
          <w:w w:val="110"/>
          <w:sz w:val="20"/>
        </w:rPr>
        <w:t>The disturbance is not better accounted for by another mental</w:t>
      </w:r>
      <w:r>
        <w:rPr>
          <w:b/>
          <w:spacing w:val="1"/>
          <w:w w:val="110"/>
          <w:sz w:val="20"/>
        </w:rPr>
        <w:t xml:space="preserve"> </w:t>
      </w:r>
      <w:r>
        <w:rPr>
          <w:b/>
          <w:w w:val="110"/>
          <w:sz w:val="20"/>
        </w:rPr>
        <w:t>disorder.</w:t>
      </w:r>
    </w:p>
    <w:p w:rsidR="00E675F0" w:rsidRDefault="00E675F0" w:rsidP="00E675F0">
      <w:pPr>
        <w:pStyle w:val="BodyText"/>
        <w:spacing w:before="2"/>
        <w:rPr>
          <w:b/>
          <w:sz w:val="17"/>
        </w:rPr>
      </w:pPr>
    </w:p>
    <w:p w:rsidR="00E675F0" w:rsidRDefault="00E675F0" w:rsidP="00E675F0">
      <w:pPr>
        <w:pStyle w:val="BodyText"/>
        <w:spacing w:before="1" w:line="254" w:lineRule="auto"/>
        <w:ind w:left="118" w:right="174" w:firstLine="365"/>
        <w:jc w:val="both"/>
      </w:pPr>
      <w:r>
        <w:rPr>
          <w:w w:val="105"/>
        </w:rPr>
        <w:t xml:space="preserve">In making the diagnosis of a Mental Disorder Due to a General Medical Condition, it is necessary to rule out primary mental disorders and mental disorders that are substance induced. Ruling out primary mental disorders is often difficult because individuals with primary mental disorders commonly have co-occurring general medical conditions that are </w:t>
      </w:r>
      <w:r>
        <w:rPr>
          <w:i/>
          <w:w w:val="105"/>
        </w:rPr>
        <w:t xml:space="preserve">not </w:t>
      </w:r>
      <w:r>
        <w:rPr>
          <w:w w:val="105"/>
        </w:rPr>
        <w:t>causing the mental symptoms through direct physiological mechanisms. There may be a number of other relationships between a mental disorder and a general medical condition: the general medical condition may exacerbate the symptoms or complicate treatment of the mental disorder; the two may be related through nonphysiological mechanisms; or the co-occurrence may be coincidental. For example, when depressive symptoms are precipitated by the general medical</w:t>
      </w:r>
      <w:r>
        <w:rPr>
          <w:spacing w:val="-17"/>
          <w:w w:val="105"/>
        </w:rPr>
        <w:t xml:space="preserve"> </w:t>
      </w:r>
      <w:r>
        <w:rPr>
          <w:w w:val="105"/>
        </w:rPr>
        <w:t>condition</w:t>
      </w:r>
    </w:p>
    <w:p w:rsidR="00E675F0" w:rsidRDefault="00E675F0" w:rsidP="00E675F0">
      <w:pPr>
        <w:spacing w:line="254" w:lineRule="auto"/>
        <w:jc w:val="both"/>
        <w:sectPr w:rsidR="00E675F0">
          <w:pgSz w:w="8960" w:h="14260"/>
          <w:pgMar w:top="1400" w:right="580" w:bottom="280" w:left="600" w:header="685" w:footer="0" w:gutter="0"/>
          <w:cols w:space="720"/>
        </w:sectPr>
      </w:pPr>
    </w:p>
    <w:p w:rsidR="00E675F0" w:rsidRDefault="00E675F0" w:rsidP="00E675F0">
      <w:pPr>
        <w:pStyle w:val="BodyText"/>
        <w:spacing w:before="132" w:line="254" w:lineRule="auto"/>
        <w:ind w:left="143" w:right="145" w:firstLine="4"/>
        <w:jc w:val="both"/>
      </w:pPr>
      <w:r>
        <w:rPr>
          <w:w w:val="105"/>
        </w:rPr>
        <w:lastRenderedPageBreak/>
        <w:t>acting</w:t>
      </w:r>
      <w:r>
        <w:rPr>
          <w:spacing w:val="-16"/>
          <w:w w:val="105"/>
        </w:rPr>
        <w:t xml:space="preserve"> </w:t>
      </w:r>
      <w:r>
        <w:rPr>
          <w:w w:val="105"/>
        </w:rPr>
        <w:t>as</w:t>
      </w:r>
      <w:r>
        <w:rPr>
          <w:spacing w:val="-24"/>
          <w:w w:val="105"/>
        </w:rPr>
        <w:t xml:space="preserve"> </w:t>
      </w:r>
      <w:r>
        <w:rPr>
          <w:w w:val="105"/>
        </w:rPr>
        <w:t>a</w:t>
      </w:r>
      <w:r>
        <w:rPr>
          <w:spacing w:val="-16"/>
          <w:w w:val="105"/>
        </w:rPr>
        <w:t xml:space="preserve"> </w:t>
      </w:r>
      <w:r>
        <w:rPr>
          <w:w w:val="105"/>
        </w:rPr>
        <w:t>psychosocial</w:t>
      </w:r>
      <w:r>
        <w:rPr>
          <w:spacing w:val="-8"/>
          <w:w w:val="105"/>
        </w:rPr>
        <w:t xml:space="preserve"> </w:t>
      </w:r>
      <w:r>
        <w:rPr>
          <w:w w:val="105"/>
        </w:rPr>
        <w:t>stressor,</w:t>
      </w:r>
      <w:r>
        <w:rPr>
          <w:spacing w:val="-6"/>
          <w:w w:val="105"/>
        </w:rPr>
        <w:t xml:space="preserve"> </w:t>
      </w:r>
      <w:r>
        <w:rPr>
          <w:w w:val="105"/>
        </w:rPr>
        <w:t>rather</w:t>
      </w:r>
      <w:r>
        <w:rPr>
          <w:spacing w:val="-13"/>
          <w:w w:val="105"/>
        </w:rPr>
        <w:t xml:space="preserve"> </w:t>
      </w:r>
      <w:r>
        <w:rPr>
          <w:w w:val="105"/>
        </w:rPr>
        <w:t>than</w:t>
      </w:r>
      <w:r>
        <w:rPr>
          <w:spacing w:val="-12"/>
          <w:w w:val="105"/>
        </w:rPr>
        <w:t xml:space="preserve"> </w:t>
      </w:r>
      <w:r>
        <w:rPr>
          <w:w w:val="105"/>
        </w:rPr>
        <w:t>resulting</w:t>
      </w:r>
      <w:r>
        <w:rPr>
          <w:spacing w:val="-17"/>
          <w:w w:val="105"/>
        </w:rPr>
        <w:t xml:space="preserve"> </w:t>
      </w:r>
      <w:r>
        <w:rPr>
          <w:w w:val="105"/>
        </w:rPr>
        <w:t>from</w:t>
      </w:r>
      <w:r>
        <w:rPr>
          <w:spacing w:val="-13"/>
          <w:w w:val="105"/>
        </w:rPr>
        <w:t xml:space="preserve"> </w:t>
      </w:r>
      <w:r>
        <w:rPr>
          <w:w w:val="105"/>
        </w:rPr>
        <w:t>the</w:t>
      </w:r>
      <w:r>
        <w:rPr>
          <w:spacing w:val="-21"/>
          <w:w w:val="105"/>
        </w:rPr>
        <w:t xml:space="preserve"> </w:t>
      </w:r>
      <w:r>
        <w:rPr>
          <w:w w:val="105"/>
        </w:rPr>
        <w:t>direct</w:t>
      </w:r>
      <w:r>
        <w:rPr>
          <w:spacing w:val="-8"/>
          <w:w w:val="105"/>
        </w:rPr>
        <w:t xml:space="preserve"> </w:t>
      </w:r>
      <w:r>
        <w:rPr>
          <w:w w:val="105"/>
        </w:rPr>
        <w:t>physiological</w:t>
      </w:r>
      <w:r>
        <w:rPr>
          <w:spacing w:val="-3"/>
          <w:w w:val="105"/>
        </w:rPr>
        <w:t xml:space="preserve"> </w:t>
      </w:r>
      <w:r>
        <w:rPr>
          <w:w w:val="105"/>
        </w:rPr>
        <w:t>effects of the general medical condition, the diagnosis would be Major Depressive Disorder or Adjustment Disorder With Depressed Mood. In an individual with depressive symptoms that co-occur with a general medical condition, a history of many Major Depressive Episodes</w:t>
      </w:r>
      <w:r>
        <w:rPr>
          <w:spacing w:val="-12"/>
          <w:w w:val="105"/>
        </w:rPr>
        <w:t xml:space="preserve"> </w:t>
      </w:r>
      <w:r>
        <w:rPr>
          <w:w w:val="105"/>
        </w:rPr>
        <w:t>or</w:t>
      </w:r>
      <w:r>
        <w:rPr>
          <w:spacing w:val="-6"/>
          <w:w w:val="105"/>
        </w:rPr>
        <w:t xml:space="preserve"> </w:t>
      </w:r>
      <w:r>
        <w:rPr>
          <w:w w:val="105"/>
        </w:rPr>
        <w:t>a</w:t>
      </w:r>
      <w:r>
        <w:rPr>
          <w:spacing w:val="-19"/>
          <w:w w:val="105"/>
        </w:rPr>
        <w:t xml:space="preserve"> </w:t>
      </w:r>
      <w:r>
        <w:rPr>
          <w:w w:val="105"/>
        </w:rPr>
        <w:t>family</w:t>
      </w:r>
      <w:r>
        <w:rPr>
          <w:spacing w:val="-5"/>
          <w:w w:val="105"/>
        </w:rPr>
        <w:t xml:space="preserve"> </w:t>
      </w:r>
      <w:r>
        <w:rPr>
          <w:w w:val="105"/>
        </w:rPr>
        <w:t>history</w:t>
      </w:r>
      <w:r>
        <w:rPr>
          <w:spacing w:val="-9"/>
          <w:w w:val="105"/>
        </w:rPr>
        <w:t xml:space="preserve"> </w:t>
      </w:r>
      <w:r>
        <w:rPr>
          <w:w w:val="105"/>
        </w:rPr>
        <w:t>of</w:t>
      </w:r>
      <w:r>
        <w:rPr>
          <w:spacing w:val="-9"/>
          <w:w w:val="105"/>
        </w:rPr>
        <w:t xml:space="preserve"> </w:t>
      </w:r>
      <w:r>
        <w:rPr>
          <w:w w:val="105"/>
        </w:rPr>
        <w:t>depression</w:t>
      </w:r>
      <w:r>
        <w:rPr>
          <w:spacing w:val="-5"/>
          <w:w w:val="105"/>
        </w:rPr>
        <w:t xml:space="preserve"> </w:t>
      </w:r>
      <w:r>
        <w:rPr>
          <w:w w:val="105"/>
        </w:rPr>
        <w:t>would</w:t>
      </w:r>
      <w:r>
        <w:rPr>
          <w:spacing w:val="-17"/>
          <w:w w:val="105"/>
        </w:rPr>
        <w:t xml:space="preserve"> </w:t>
      </w:r>
      <w:r>
        <w:rPr>
          <w:w w:val="105"/>
        </w:rPr>
        <w:t>suggest</w:t>
      </w:r>
      <w:r>
        <w:rPr>
          <w:spacing w:val="-8"/>
          <w:w w:val="105"/>
        </w:rPr>
        <w:t xml:space="preserve"> </w:t>
      </w:r>
      <w:r>
        <w:rPr>
          <w:w w:val="105"/>
        </w:rPr>
        <w:t>a</w:t>
      </w:r>
      <w:r>
        <w:rPr>
          <w:spacing w:val="-13"/>
          <w:w w:val="105"/>
        </w:rPr>
        <w:t xml:space="preserve"> </w:t>
      </w:r>
      <w:r>
        <w:rPr>
          <w:w w:val="105"/>
        </w:rPr>
        <w:t>diagnosis</w:t>
      </w:r>
      <w:r>
        <w:rPr>
          <w:spacing w:val="-9"/>
          <w:w w:val="105"/>
        </w:rPr>
        <w:t xml:space="preserve"> </w:t>
      </w:r>
      <w:r>
        <w:rPr>
          <w:w w:val="105"/>
        </w:rPr>
        <w:t>of</w:t>
      </w:r>
      <w:r>
        <w:rPr>
          <w:spacing w:val="-10"/>
          <w:w w:val="105"/>
        </w:rPr>
        <w:t xml:space="preserve"> </w:t>
      </w:r>
      <w:r>
        <w:rPr>
          <w:w w:val="105"/>
        </w:rPr>
        <w:t>Major</w:t>
      </w:r>
      <w:r>
        <w:rPr>
          <w:spacing w:val="-13"/>
          <w:w w:val="105"/>
        </w:rPr>
        <w:t xml:space="preserve"> </w:t>
      </w:r>
      <w:r>
        <w:rPr>
          <w:w w:val="105"/>
        </w:rPr>
        <w:t>Depressive Disorder, rather than a Mood Disorder Due to a General Medical Condition. Finally, the clinician should also consider whether the mental symptoms are caused by a drug of abuse, a medication, or toxin exposure (see p. 192 for guidelines). This is especially important because many individuals with general medical conditions receive medica­ tions that may have the potential to cause a Substance-Induced Mental</w:t>
      </w:r>
      <w:r>
        <w:rPr>
          <w:spacing w:val="32"/>
          <w:w w:val="105"/>
        </w:rPr>
        <w:t xml:space="preserve"> </w:t>
      </w:r>
      <w:r>
        <w:rPr>
          <w:w w:val="105"/>
        </w:rPr>
        <w:t>Disorder.</w:t>
      </w:r>
    </w:p>
    <w:p w:rsidR="00E675F0" w:rsidRDefault="00E675F0" w:rsidP="003048D3">
      <w:pPr>
        <w:pStyle w:val="ListParagraph"/>
        <w:numPr>
          <w:ilvl w:val="0"/>
          <w:numId w:val="48"/>
        </w:numPr>
        <w:tabs>
          <w:tab w:val="left" w:pos="856"/>
        </w:tabs>
        <w:spacing w:before="178" w:line="244" w:lineRule="auto"/>
        <w:ind w:left="864" w:right="134" w:hanging="356"/>
        <w:rPr>
          <w:b/>
          <w:sz w:val="21"/>
        </w:rPr>
      </w:pPr>
      <w:r>
        <w:rPr>
          <w:b/>
          <w:w w:val="110"/>
          <w:sz w:val="21"/>
        </w:rPr>
        <w:t>The disturbance does not occur exclusively during the course of a delirium.</w:t>
      </w:r>
    </w:p>
    <w:p w:rsidR="00E675F0" w:rsidRDefault="00E675F0" w:rsidP="00E675F0">
      <w:pPr>
        <w:pStyle w:val="BodyText"/>
        <w:spacing w:before="180" w:line="254" w:lineRule="auto"/>
        <w:ind w:left="140" w:right="144" w:firstLine="365"/>
        <w:jc w:val="both"/>
      </w:pPr>
      <w:r>
        <w:rPr>
          <w:w w:val="105"/>
        </w:rPr>
        <w:t>If symptoms (e.g., psychotic, mood, anxiety) occur only during periods of delirium, they are considered to be associated features of the delirium and do not warrant a separate diagnosis. These conditions (e.g., Mood Disorder Due to a General Medical Condition) can be diagnosed separately only if  they occur at times other  than during  the</w:t>
      </w:r>
      <w:r>
        <w:rPr>
          <w:spacing w:val="5"/>
          <w:w w:val="105"/>
        </w:rPr>
        <w:t xml:space="preserve"> </w:t>
      </w:r>
      <w:r>
        <w:rPr>
          <w:w w:val="105"/>
        </w:rPr>
        <w:t>delirium.</w:t>
      </w:r>
    </w:p>
    <w:p w:rsidR="00E675F0" w:rsidRDefault="00E675F0" w:rsidP="00E675F0">
      <w:pPr>
        <w:pStyle w:val="BodyText"/>
        <w:rPr>
          <w:sz w:val="22"/>
        </w:rPr>
      </w:pPr>
    </w:p>
    <w:p w:rsidR="00E675F0" w:rsidRDefault="00E675F0" w:rsidP="00E675F0">
      <w:pPr>
        <w:spacing w:before="134"/>
        <w:ind w:left="134"/>
        <w:jc w:val="both"/>
        <w:rPr>
          <w:rFonts w:ascii="TimesNewRomanPS-BoldItalicMT"/>
          <w:b/>
          <w:i/>
          <w:sz w:val="24"/>
        </w:rPr>
      </w:pPr>
      <w:r>
        <w:rPr>
          <w:rFonts w:ascii="TimesNewRomanPS-BoldItalicMT"/>
          <w:b/>
          <w:i/>
          <w:w w:val="115"/>
          <w:sz w:val="24"/>
        </w:rPr>
        <w:t>Recording Procedures</w:t>
      </w:r>
    </w:p>
    <w:p w:rsidR="00E675F0" w:rsidRDefault="00E675F0" w:rsidP="00E675F0">
      <w:pPr>
        <w:pStyle w:val="BodyText"/>
        <w:spacing w:before="127" w:line="252" w:lineRule="auto"/>
        <w:ind w:left="144" w:right="141" w:firstLine="1"/>
        <w:jc w:val="both"/>
      </w:pPr>
      <w:r>
        <w:rPr>
          <w:w w:val="105"/>
        </w:rPr>
        <w:t>In recording a Mental Disorder Due to a General Medical Condition, the clinician should note both the type of mental disturbance and the etiological  general medical condition on Axis I (e.g., 293.83 Mood Disorder Due to Hypothyroidism, With Depressive Features). The ICD-9-CM code for the general medical condition (e.g., 244.9 hypo­ thyroidism) should also be noted on Axis III. In situations in which the clinician has determined that the mental symptoms are not a direct physiological consequence of the general medical condition, the primary mental disorder should be coded on Axis I and the general medical condition should be  coded on Axis III. (See Appendix  G for a list of selected ICD-9-CM diagnostic codes for general medical</w:t>
      </w:r>
      <w:r>
        <w:rPr>
          <w:spacing w:val="26"/>
          <w:w w:val="105"/>
        </w:rPr>
        <w:t xml:space="preserve"> </w:t>
      </w:r>
      <w:r>
        <w:rPr>
          <w:w w:val="105"/>
        </w:rPr>
        <w:t>conditions.)</w:t>
      </w:r>
    </w:p>
    <w:p w:rsidR="00E675F0" w:rsidRDefault="00E675F0" w:rsidP="00E675F0">
      <w:pPr>
        <w:pStyle w:val="BodyText"/>
        <w:rPr>
          <w:sz w:val="22"/>
        </w:rPr>
      </w:pPr>
    </w:p>
    <w:p w:rsidR="00E675F0" w:rsidRDefault="00E675F0" w:rsidP="00E675F0">
      <w:pPr>
        <w:spacing w:before="127"/>
        <w:ind w:left="135"/>
        <w:jc w:val="both"/>
        <w:rPr>
          <w:rFonts w:ascii="TimesNewRomanPS-BoldItalicMT"/>
          <w:b/>
          <w:i/>
          <w:sz w:val="24"/>
        </w:rPr>
      </w:pPr>
      <w:r>
        <w:rPr>
          <w:rFonts w:ascii="TimesNewRomanPS-BoldItalicMT"/>
          <w:b/>
          <w:i/>
          <w:w w:val="115"/>
          <w:sz w:val="24"/>
        </w:rPr>
        <w:t>Differential Diagnosis</w:t>
      </w:r>
    </w:p>
    <w:p w:rsidR="00E675F0" w:rsidRDefault="00E675F0" w:rsidP="00E675F0">
      <w:pPr>
        <w:pStyle w:val="BodyText"/>
        <w:spacing w:before="122" w:line="254" w:lineRule="auto"/>
        <w:ind w:left="142" w:right="136" w:firstLine="6"/>
        <w:jc w:val="both"/>
      </w:pPr>
      <w:r>
        <w:rPr>
          <w:w w:val="105"/>
        </w:rPr>
        <w:t>A</w:t>
      </w:r>
      <w:r>
        <w:rPr>
          <w:spacing w:val="-13"/>
          <w:w w:val="105"/>
        </w:rPr>
        <w:t xml:space="preserve"> </w:t>
      </w:r>
      <w:r>
        <w:rPr>
          <w:w w:val="105"/>
        </w:rPr>
        <w:t>Mental</w:t>
      </w:r>
      <w:r>
        <w:rPr>
          <w:spacing w:val="2"/>
          <w:w w:val="105"/>
        </w:rPr>
        <w:t xml:space="preserve"> </w:t>
      </w:r>
      <w:r>
        <w:rPr>
          <w:w w:val="105"/>
        </w:rPr>
        <w:t>Disorder</w:t>
      </w:r>
      <w:r>
        <w:rPr>
          <w:spacing w:val="-2"/>
          <w:w w:val="105"/>
        </w:rPr>
        <w:t xml:space="preserve"> </w:t>
      </w:r>
      <w:r>
        <w:rPr>
          <w:w w:val="105"/>
        </w:rPr>
        <w:t>Due</w:t>
      </w:r>
      <w:r>
        <w:rPr>
          <w:spacing w:val="-9"/>
          <w:w w:val="105"/>
        </w:rPr>
        <w:t xml:space="preserve"> </w:t>
      </w:r>
      <w:r>
        <w:rPr>
          <w:w w:val="105"/>
        </w:rPr>
        <w:t>to</w:t>
      </w:r>
      <w:r>
        <w:rPr>
          <w:spacing w:val="-10"/>
          <w:w w:val="105"/>
        </w:rPr>
        <w:t xml:space="preserve"> </w:t>
      </w:r>
      <w:r>
        <w:rPr>
          <w:w w:val="105"/>
        </w:rPr>
        <w:t>a</w:t>
      </w:r>
      <w:r>
        <w:rPr>
          <w:spacing w:val="-7"/>
          <w:w w:val="105"/>
        </w:rPr>
        <w:t xml:space="preserve"> </w:t>
      </w:r>
      <w:r>
        <w:rPr>
          <w:w w:val="105"/>
        </w:rPr>
        <w:t>General Medical Condition</w:t>
      </w:r>
      <w:r>
        <w:rPr>
          <w:spacing w:val="1"/>
          <w:w w:val="105"/>
        </w:rPr>
        <w:t xml:space="preserve"> </w:t>
      </w:r>
      <w:r>
        <w:rPr>
          <w:w w:val="105"/>
        </w:rPr>
        <w:t>is</w:t>
      </w:r>
      <w:r>
        <w:rPr>
          <w:spacing w:val="-11"/>
          <w:w w:val="105"/>
        </w:rPr>
        <w:t xml:space="preserve"> </w:t>
      </w:r>
      <w:r>
        <w:rPr>
          <w:w w:val="105"/>
        </w:rPr>
        <w:t>distinguished from</w:t>
      </w:r>
      <w:r>
        <w:rPr>
          <w:spacing w:val="-6"/>
          <w:w w:val="105"/>
        </w:rPr>
        <w:t xml:space="preserve"> </w:t>
      </w:r>
      <w:r>
        <w:rPr>
          <w:w w:val="105"/>
        </w:rPr>
        <w:t>a</w:t>
      </w:r>
      <w:r>
        <w:rPr>
          <w:spacing w:val="-4"/>
          <w:w w:val="105"/>
        </w:rPr>
        <w:t xml:space="preserve"> </w:t>
      </w:r>
      <w:r>
        <w:rPr>
          <w:b/>
          <w:w w:val="105"/>
          <w:sz w:val="21"/>
        </w:rPr>
        <w:t xml:space="preserve">primary mental disorder </w:t>
      </w:r>
      <w:r>
        <w:rPr>
          <w:w w:val="105"/>
        </w:rPr>
        <w:t>by applying the criteria discussed earlier in this section under "Diagnostic Features." When symptoms of a mental disorder and a general medical condition co-occur, it is especially important to determine whether the etiological relationship, if any, is directly physiological (in which case the diagnosis is Mental Disorder Due to a General Medical Condition) or through another mechanism (in which case the diagnosis is a primary mental disorder). In some cases, the development of a general medical condition or the presence of associated disability may precipitate or exacerbate a mental disorder, with no known physiological link (e.g., the disability associated</w:t>
      </w:r>
      <w:r>
        <w:rPr>
          <w:spacing w:val="6"/>
          <w:w w:val="105"/>
        </w:rPr>
        <w:t xml:space="preserve"> </w:t>
      </w:r>
      <w:r>
        <w:rPr>
          <w:w w:val="105"/>
        </w:rPr>
        <w:t>with</w:t>
      </w:r>
      <w:r>
        <w:rPr>
          <w:spacing w:val="-5"/>
          <w:w w:val="105"/>
        </w:rPr>
        <w:t xml:space="preserve"> </w:t>
      </w:r>
      <w:r>
        <w:rPr>
          <w:w w:val="105"/>
        </w:rPr>
        <w:t>osteoarthritis</w:t>
      </w:r>
      <w:r>
        <w:rPr>
          <w:spacing w:val="-14"/>
          <w:w w:val="105"/>
        </w:rPr>
        <w:t xml:space="preserve"> </w:t>
      </w:r>
      <w:r>
        <w:rPr>
          <w:w w:val="105"/>
        </w:rPr>
        <w:t>may</w:t>
      </w:r>
      <w:r>
        <w:rPr>
          <w:spacing w:val="-10"/>
          <w:w w:val="105"/>
        </w:rPr>
        <w:t xml:space="preserve"> </w:t>
      </w:r>
      <w:r>
        <w:rPr>
          <w:w w:val="105"/>
        </w:rPr>
        <w:t>play</w:t>
      </w:r>
      <w:r>
        <w:rPr>
          <w:spacing w:val="-12"/>
          <w:w w:val="105"/>
        </w:rPr>
        <w:t xml:space="preserve"> </w:t>
      </w:r>
      <w:r>
        <w:rPr>
          <w:w w:val="105"/>
        </w:rPr>
        <w:t>a</w:t>
      </w:r>
      <w:r>
        <w:rPr>
          <w:spacing w:val="-6"/>
          <w:w w:val="105"/>
        </w:rPr>
        <w:t xml:space="preserve"> </w:t>
      </w:r>
      <w:r>
        <w:rPr>
          <w:w w:val="105"/>
        </w:rPr>
        <w:t>role</w:t>
      </w:r>
      <w:r>
        <w:rPr>
          <w:spacing w:val="-14"/>
          <w:w w:val="105"/>
        </w:rPr>
        <w:t xml:space="preserve"> </w:t>
      </w:r>
      <w:r>
        <w:rPr>
          <w:w w:val="105"/>
        </w:rPr>
        <w:t>in</w:t>
      </w:r>
      <w:r>
        <w:rPr>
          <w:spacing w:val="-6"/>
          <w:w w:val="105"/>
        </w:rPr>
        <w:t xml:space="preserve"> </w:t>
      </w:r>
      <w:r>
        <w:rPr>
          <w:w w:val="105"/>
        </w:rPr>
        <w:t>the</w:t>
      </w:r>
      <w:r>
        <w:rPr>
          <w:spacing w:val="-14"/>
          <w:w w:val="105"/>
        </w:rPr>
        <w:t xml:space="preserve"> </w:t>
      </w:r>
      <w:r>
        <w:rPr>
          <w:w w:val="105"/>
        </w:rPr>
        <w:t>development</w:t>
      </w:r>
      <w:r>
        <w:rPr>
          <w:spacing w:val="3"/>
          <w:w w:val="105"/>
        </w:rPr>
        <w:t xml:space="preserve"> </w:t>
      </w:r>
      <w:r>
        <w:rPr>
          <w:w w:val="105"/>
        </w:rPr>
        <w:t>of</w:t>
      </w:r>
      <w:r>
        <w:rPr>
          <w:spacing w:val="-1"/>
          <w:w w:val="105"/>
        </w:rPr>
        <w:t xml:space="preserve"> </w:t>
      </w:r>
      <w:r>
        <w:rPr>
          <w:w w:val="105"/>
        </w:rPr>
        <w:t>depressive</w:t>
      </w:r>
      <w:r>
        <w:rPr>
          <w:spacing w:val="-15"/>
          <w:w w:val="105"/>
        </w:rPr>
        <w:t xml:space="preserve"> </w:t>
      </w:r>
      <w:r>
        <w:rPr>
          <w:w w:val="105"/>
        </w:rPr>
        <w:t>symptoms or a Major Depressive Episode, but there is no known physiological mechanism underlying the etiological relationship between the arthritis and the depressive symp­ toms). In this situation, the primary mental disorder (i.e., Adjustment Disorder or Major Depressive Disorder) should be diagnosed on Axis I and the general medical condition (i.e., osteoarthritis) should be listed on Axis</w:t>
      </w:r>
      <w:r>
        <w:rPr>
          <w:spacing w:val="-23"/>
          <w:w w:val="105"/>
        </w:rPr>
        <w:t xml:space="preserve"> </w:t>
      </w:r>
      <w:r>
        <w:rPr>
          <w:w w:val="105"/>
        </w:rPr>
        <w:t>III.</w:t>
      </w:r>
    </w:p>
    <w:p w:rsidR="00E675F0" w:rsidRDefault="00E675F0" w:rsidP="00E675F0">
      <w:pPr>
        <w:spacing w:line="254" w:lineRule="auto"/>
        <w:jc w:val="both"/>
        <w:sectPr w:rsidR="00E675F0">
          <w:pgSz w:w="8960" w:h="14260"/>
          <w:pgMar w:top="1400" w:right="580" w:bottom="280" w:left="600" w:header="696" w:footer="0" w:gutter="0"/>
          <w:cols w:space="720"/>
        </w:sectPr>
      </w:pPr>
    </w:p>
    <w:p w:rsidR="00E675F0" w:rsidRDefault="00E675F0" w:rsidP="00E675F0">
      <w:pPr>
        <w:pStyle w:val="BodyText"/>
        <w:spacing w:before="128" w:line="252" w:lineRule="auto"/>
        <w:ind w:left="130" w:right="154" w:firstLine="366"/>
        <w:jc w:val="both"/>
      </w:pPr>
      <w:bookmarkStart w:id="109" w:name="_bookmark91"/>
      <w:bookmarkEnd w:id="109"/>
      <w:r>
        <w:rPr>
          <w:w w:val="110"/>
        </w:rPr>
        <w:lastRenderedPageBreak/>
        <w:t>A</w:t>
      </w:r>
      <w:r>
        <w:rPr>
          <w:spacing w:val="-25"/>
          <w:w w:val="110"/>
        </w:rPr>
        <w:t xml:space="preserve"> </w:t>
      </w:r>
      <w:r>
        <w:rPr>
          <w:w w:val="110"/>
        </w:rPr>
        <w:t>Mental</w:t>
      </w:r>
      <w:r>
        <w:rPr>
          <w:spacing w:val="-15"/>
          <w:w w:val="110"/>
        </w:rPr>
        <w:t xml:space="preserve"> </w:t>
      </w:r>
      <w:r>
        <w:rPr>
          <w:w w:val="110"/>
        </w:rPr>
        <w:t>Disorder</w:t>
      </w:r>
      <w:r>
        <w:rPr>
          <w:spacing w:val="-15"/>
          <w:w w:val="110"/>
        </w:rPr>
        <w:t xml:space="preserve"> </w:t>
      </w:r>
      <w:r>
        <w:rPr>
          <w:w w:val="110"/>
        </w:rPr>
        <w:t>Due</w:t>
      </w:r>
      <w:r>
        <w:rPr>
          <w:spacing w:val="-17"/>
          <w:w w:val="110"/>
        </w:rPr>
        <w:t xml:space="preserve"> </w:t>
      </w:r>
      <w:r>
        <w:rPr>
          <w:w w:val="110"/>
        </w:rPr>
        <w:t>to</w:t>
      </w:r>
      <w:r>
        <w:rPr>
          <w:spacing w:val="-24"/>
          <w:w w:val="110"/>
        </w:rPr>
        <w:t xml:space="preserve"> </w:t>
      </w:r>
      <w:r>
        <w:rPr>
          <w:w w:val="110"/>
        </w:rPr>
        <w:t>a</w:t>
      </w:r>
      <w:r>
        <w:rPr>
          <w:spacing w:val="-21"/>
          <w:w w:val="110"/>
        </w:rPr>
        <w:t xml:space="preserve"> </w:t>
      </w:r>
      <w:r>
        <w:rPr>
          <w:w w:val="110"/>
        </w:rPr>
        <w:t>General</w:t>
      </w:r>
      <w:r>
        <w:rPr>
          <w:spacing w:val="-17"/>
          <w:w w:val="110"/>
        </w:rPr>
        <w:t xml:space="preserve"> </w:t>
      </w:r>
      <w:r>
        <w:rPr>
          <w:w w:val="110"/>
        </w:rPr>
        <w:t>Medical</w:t>
      </w:r>
      <w:r>
        <w:rPr>
          <w:spacing w:val="-12"/>
          <w:w w:val="110"/>
        </w:rPr>
        <w:t xml:space="preserve"> </w:t>
      </w:r>
      <w:r>
        <w:rPr>
          <w:w w:val="110"/>
        </w:rPr>
        <w:t>Condition</w:t>
      </w:r>
      <w:r>
        <w:rPr>
          <w:spacing w:val="-12"/>
          <w:w w:val="110"/>
        </w:rPr>
        <w:t xml:space="preserve"> </w:t>
      </w:r>
      <w:r>
        <w:rPr>
          <w:w w:val="110"/>
        </w:rPr>
        <w:t>must</w:t>
      </w:r>
      <w:r>
        <w:rPr>
          <w:spacing w:val="-20"/>
          <w:w w:val="110"/>
        </w:rPr>
        <w:t xml:space="preserve"> </w:t>
      </w:r>
      <w:r>
        <w:rPr>
          <w:w w:val="110"/>
        </w:rPr>
        <w:t>also</w:t>
      </w:r>
      <w:r>
        <w:rPr>
          <w:spacing w:val="-20"/>
          <w:w w:val="110"/>
        </w:rPr>
        <w:t xml:space="preserve"> </w:t>
      </w:r>
      <w:r>
        <w:rPr>
          <w:w w:val="110"/>
        </w:rPr>
        <w:t>be</w:t>
      </w:r>
      <w:r>
        <w:rPr>
          <w:spacing w:val="-20"/>
          <w:w w:val="110"/>
        </w:rPr>
        <w:t xml:space="preserve"> </w:t>
      </w:r>
      <w:r>
        <w:rPr>
          <w:w w:val="110"/>
        </w:rPr>
        <w:t xml:space="preserve">distinguished from a </w:t>
      </w:r>
      <w:r>
        <w:rPr>
          <w:b/>
          <w:w w:val="110"/>
        </w:rPr>
        <w:t xml:space="preserve">Substance-Induced Disorder. </w:t>
      </w:r>
      <w:r>
        <w:rPr>
          <w:w w:val="110"/>
          <w:sz w:val="21"/>
        </w:rPr>
        <w:t xml:space="preserve">If </w:t>
      </w:r>
      <w:r>
        <w:rPr>
          <w:w w:val="110"/>
        </w:rPr>
        <w:t>there is evidence of recent or prolonged use of a substance (including medications with psychoactive effects), withdrawal from a substance,</w:t>
      </w:r>
      <w:r>
        <w:rPr>
          <w:spacing w:val="-9"/>
          <w:w w:val="110"/>
        </w:rPr>
        <w:t xml:space="preserve"> </w:t>
      </w:r>
      <w:r>
        <w:rPr>
          <w:w w:val="110"/>
        </w:rPr>
        <w:t>or</w:t>
      </w:r>
      <w:r>
        <w:rPr>
          <w:spacing w:val="-17"/>
          <w:w w:val="110"/>
        </w:rPr>
        <w:t xml:space="preserve"> </w:t>
      </w:r>
      <w:r>
        <w:rPr>
          <w:w w:val="110"/>
        </w:rPr>
        <w:t>exposure</w:t>
      </w:r>
      <w:r>
        <w:rPr>
          <w:spacing w:val="-10"/>
          <w:w w:val="110"/>
        </w:rPr>
        <w:t xml:space="preserve"> </w:t>
      </w:r>
      <w:r>
        <w:rPr>
          <w:w w:val="110"/>
        </w:rPr>
        <w:t>to</w:t>
      </w:r>
      <w:r>
        <w:rPr>
          <w:spacing w:val="-20"/>
          <w:w w:val="110"/>
        </w:rPr>
        <w:t xml:space="preserve"> </w:t>
      </w:r>
      <w:r>
        <w:rPr>
          <w:w w:val="110"/>
        </w:rPr>
        <w:t>a</w:t>
      </w:r>
      <w:r>
        <w:rPr>
          <w:spacing w:val="-17"/>
          <w:w w:val="110"/>
        </w:rPr>
        <w:t xml:space="preserve"> </w:t>
      </w:r>
      <w:r>
        <w:rPr>
          <w:w w:val="110"/>
        </w:rPr>
        <w:t>toxin,</w:t>
      </w:r>
      <w:r>
        <w:rPr>
          <w:spacing w:val="-11"/>
          <w:w w:val="110"/>
        </w:rPr>
        <w:t xml:space="preserve"> </w:t>
      </w:r>
      <w:r>
        <w:rPr>
          <w:w w:val="110"/>
        </w:rPr>
        <w:t>a</w:t>
      </w:r>
      <w:r>
        <w:rPr>
          <w:spacing w:val="-23"/>
          <w:w w:val="110"/>
        </w:rPr>
        <w:t xml:space="preserve"> </w:t>
      </w:r>
      <w:r>
        <w:rPr>
          <w:w w:val="110"/>
        </w:rPr>
        <w:t>Substance-Induced</w:t>
      </w:r>
      <w:r>
        <w:rPr>
          <w:spacing w:val="-20"/>
          <w:w w:val="110"/>
        </w:rPr>
        <w:t xml:space="preserve"> </w:t>
      </w:r>
      <w:r>
        <w:rPr>
          <w:w w:val="110"/>
        </w:rPr>
        <w:t>Disorder</w:t>
      </w:r>
      <w:r>
        <w:rPr>
          <w:spacing w:val="-20"/>
          <w:w w:val="110"/>
        </w:rPr>
        <w:t xml:space="preserve"> </w:t>
      </w:r>
      <w:r>
        <w:rPr>
          <w:w w:val="110"/>
        </w:rPr>
        <w:t>should</w:t>
      </w:r>
      <w:r>
        <w:rPr>
          <w:spacing w:val="-12"/>
          <w:w w:val="110"/>
        </w:rPr>
        <w:t xml:space="preserve"> </w:t>
      </w:r>
      <w:r>
        <w:rPr>
          <w:w w:val="110"/>
        </w:rPr>
        <w:t>be</w:t>
      </w:r>
      <w:r>
        <w:rPr>
          <w:spacing w:val="-17"/>
          <w:w w:val="110"/>
        </w:rPr>
        <w:t xml:space="preserve"> </w:t>
      </w:r>
      <w:r>
        <w:rPr>
          <w:w w:val="110"/>
        </w:rPr>
        <w:t xml:space="preserve">considered. </w:t>
      </w:r>
      <w:r>
        <w:rPr>
          <w:w w:val="110"/>
          <w:sz w:val="19"/>
        </w:rPr>
        <w:t>It</w:t>
      </w:r>
      <w:r>
        <w:rPr>
          <w:spacing w:val="-2"/>
          <w:w w:val="110"/>
          <w:sz w:val="19"/>
        </w:rPr>
        <w:t xml:space="preserve"> </w:t>
      </w:r>
      <w:r>
        <w:rPr>
          <w:w w:val="110"/>
        </w:rPr>
        <w:t>may</w:t>
      </w:r>
      <w:r>
        <w:rPr>
          <w:spacing w:val="-6"/>
          <w:w w:val="110"/>
        </w:rPr>
        <w:t xml:space="preserve"> </w:t>
      </w:r>
      <w:r>
        <w:rPr>
          <w:w w:val="110"/>
        </w:rPr>
        <w:t>be</w:t>
      </w:r>
      <w:r>
        <w:rPr>
          <w:spacing w:val="-7"/>
          <w:w w:val="110"/>
        </w:rPr>
        <w:t xml:space="preserve"> </w:t>
      </w:r>
      <w:r>
        <w:rPr>
          <w:w w:val="110"/>
        </w:rPr>
        <w:t>useful</w:t>
      </w:r>
      <w:r>
        <w:rPr>
          <w:spacing w:val="-2"/>
          <w:w w:val="110"/>
        </w:rPr>
        <w:t xml:space="preserve"> </w:t>
      </w:r>
      <w:r>
        <w:rPr>
          <w:w w:val="110"/>
        </w:rPr>
        <w:t>to</w:t>
      </w:r>
      <w:r>
        <w:rPr>
          <w:spacing w:val="-11"/>
          <w:w w:val="110"/>
        </w:rPr>
        <w:t xml:space="preserve"> </w:t>
      </w:r>
      <w:r>
        <w:rPr>
          <w:w w:val="110"/>
        </w:rPr>
        <w:t>obtain</w:t>
      </w:r>
      <w:r>
        <w:rPr>
          <w:spacing w:val="-3"/>
          <w:w w:val="110"/>
        </w:rPr>
        <w:t xml:space="preserve"> </w:t>
      </w:r>
      <w:r>
        <w:rPr>
          <w:w w:val="110"/>
        </w:rPr>
        <w:t>a</w:t>
      </w:r>
      <w:r>
        <w:rPr>
          <w:spacing w:val="-5"/>
          <w:w w:val="110"/>
        </w:rPr>
        <w:t xml:space="preserve"> </w:t>
      </w:r>
      <w:r>
        <w:rPr>
          <w:w w:val="110"/>
        </w:rPr>
        <w:t>urine</w:t>
      </w:r>
      <w:r>
        <w:rPr>
          <w:spacing w:val="-10"/>
          <w:w w:val="110"/>
        </w:rPr>
        <w:t xml:space="preserve"> </w:t>
      </w:r>
      <w:r>
        <w:rPr>
          <w:w w:val="110"/>
        </w:rPr>
        <w:t>or</w:t>
      </w:r>
      <w:r>
        <w:rPr>
          <w:spacing w:val="-4"/>
          <w:w w:val="110"/>
        </w:rPr>
        <w:t xml:space="preserve"> </w:t>
      </w:r>
      <w:r>
        <w:rPr>
          <w:w w:val="110"/>
        </w:rPr>
        <w:t>blood</w:t>
      </w:r>
      <w:r>
        <w:rPr>
          <w:spacing w:val="-1"/>
          <w:w w:val="110"/>
        </w:rPr>
        <w:t xml:space="preserve"> </w:t>
      </w:r>
      <w:r>
        <w:rPr>
          <w:w w:val="110"/>
        </w:rPr>
        <w:t>drug</w:t>
      </w:r>
      <w:r>
        <w:rPr>
          <w:spacing w:val="-10"/>
          <w:w w:val="110"/>
        </w:rPr>
        <w:t xml:space="preserve"> </w:t>
      </w:r>
      <w:r>
        <w:rPr>
          <w:w w:val="110"/>
        </w:rPr>
        <w:t>screen</w:t>
      </w:r>
      <w:r>
        <w:rPr>
          <w:spacing w:val="-6"/>
          <w:w w:val="110"/>
        </w:rPr>
        <w:t xml:space="preserve"> </w:t>
      </w:r>
      <w:r>
        <w:rPr>
          <w:w w:val="110"/>
        </w:rPr>
        <w:t>or</w:t>
      </w:r>
      <w:r>
        <w:rPr>
          <w:spacing w:val="-8"/>
          <w:w w:val="110"/>
        </w:rPr>
        <w:t xml:space="preserve"> </w:t>
      </w:r>
      <w:r>
        <w:rPr>
          <w:w w:val="110"/>
        </w:rPr>
        <w:t>other</w:t>
      </w:r>
      <w:r>
        <w:rPr>
          <w:spacing w:val="-7"/>
          <w:w w:val="110"/>
        </w:rPr>
        <w:t xml:space="preserve"> </w:t>
      </w:r>
      <w:r>
        <w:rPr>
          <w:w w:val="110"/>
        </w:rPr>
        <w:t>appropriate</w:t>
      </w:r>
      <w:r>
        <w:rPr>
          <w:spacing w:val="-2"/>
          <w:w w:val="110"/>
        </w:rPr>
        <w:t xml:space="preserve"> </w:t>
      </w:r>
      <w:r>
        <w:rPr>
          <w:w w:val="110"/>
        </w:rPr>
        <w:t>laboratory evaluation. Symptoms that occur during or shortly after (i.e., within 4 weeks of) significant substance intoxication or withdrawal or medication use may be especially indicative of a Substance-Induced Disorder, depending on the type or the amount of the substance used or the duration of</w:t>
      </w:r>
      <w:r>
        <w:rPr>
          <w:spacing w:val="12"/>
          <w:w w:val="110"/>
        </w:rPr>
        <w:t xml:space="preserve"> </w:t>
      </w:r>
      <w:r>
        <w:rPr>
          <w:w w:val="110"/>
        </w:rPr>
        <w:t>use.</w:t>
      </w:r>
    </w:p>
    <w:p w:rsidR="00E675F0" w:rsidRDefault="00E675F0" w:rsidP="00E675F0">
      <w:pPr>
        <w:pStyle w:val="BodyText"/>
        <w:spacing w:line="254" w:lineRule="auto"/>
        <w:ind w:left="138" w:right="155" w:firstLine="371"/>
        <w:jc w:val="both"/>
      </w:pPr>
      <w:r>
        <w:rPr>
          <w:w w:val="110"/>
        </w:rPr>
        <w:t>Delirium, dementia, psychotic, mood, anxiety, or sleep symptoms or a sexual dysfunction</w:t>
      </w:r>
      <w:r>
        <w:rPr>
          <w:spacing w:val="20"/>
          <w:w w:val="110"/>
        </w:rPr>
        <w:t xml:space="preserve"> </w:t>
      </w:r>
      <w:r>
        <w:rPr>
          <w:w w:val="110"/>
        </w:rPr>
        <w:t>may</w:t>
      </w:r>
      <w:r>
        <w:rPr>
          <w:spacing w:val="5"/>
          <w:w w:val="110"/>
        </w:rPr>
        <w:t xml:space="preserve"> </w:t>
      </w:r>
      <w:r>
        <w:rPr>
          <w:w w:val="110"/>
        </w:rPr>
        <w:t>be</w:t>
      </w:r>
      <w:r>
        <w:rPr>
          <w:spacing w:val="-2"/>
          <w:w w:val="110"/>
        </w:rPr>
        <w:t xml:space="preserve"> </w:t>
      </w:r>
      <w:r>
        <w:rPr>
          <w:w w:val="110"/>
        </w:rPr>
        <w:t>caused</w:t>
      </w:r>
      <w:r>
        <w:rPr>
          <w:spacing w:val="16"/>
          <w:w w:val="110"/>
        </w:rPr>
        <w:t xml:space="preserve"> </w:t>
      </w:r>
      <w:r>
        <w:rPr>
          <w:w w:val="110"/>
        </w:rPr>
        <w:t>by</w:t>
      </w:r>
      <w:r>
        <w:rPr>
          <w:spacing w:val="-1"/>
          <w:w w:val="110"/>
        </w:rPr>
        <w:t xml:space="preserve"> </w:t>
      </w:r>
      <w:r>
        <w:rPr>
          <w:w w:val="110"/>
        </w:rPr>
        <w:t>the</w:t>
      </w:r>
      <w:r>
        <w:rPr>
          <w:spacing w:val="-6"/>
          <w:w w:val="110"/>
        </w:rPr>
        <w:t xml:space="preserve"> </w:t>
      </w:r>
      <w:r>
        <w:rPr>
          <w:b/>
          <w:w w:val="110"/>
        </w:rPr>
        <w:t>combined</w:t>
      </w:r>
      <w:r>
        <w:rPr>
          <w:b/>
          <w:spacing w:val="-10"/>
          <w:w w:val="110"/>
        </w:rPr>
        <w:t xml:space="preserve"> </w:t>
      </w:r>
      <w:r>
        <w:rPr>
          <w:b/>
          <w:w w:val="110"/>
        </w:rPr>
        <w:t>effects</w:t>
      </w:r>
      <w:r>
        <w:rPr>
          <w:b/>
          <w:spacing w:val="-15"/>
          <w:w w:val="110"/>
        </w:rPr>
        <w:t xml:space="preserve"> </w:t>
      </w:r>
      <w:r>
        <w:rPr>
          <w:b/>
          <w:w w:val="110"/>
        </w:rPr>
        <w:t>of</w:t>
      </w:r>
      <w:r>
        <w:rPr>
          <w:b/>
          <w:spacing w:val="-9"/>
          <w:w w:val="110"/>
        </w:rPr>
        <w:t xml:space="preserve"> </w:t>
      </w:r>
      <w:r>
        <w:rPr>
          <w:b/>
          <w:w w:val="110"/>
        </w:rPr>
        <w:t>a</w:t>
      </w:r>
      <w:r>
        <w:rPr>
          <w:b/>
          <w:spacing w:val="-22"/>
          <w:w w:val="110"/>
        </w:rPr>
        <w:t xml:space="preserve"> </w:t>
      </w:r>
      <w:r>
        <w:rPr>
          <w:b/>
          <w:w w:val="110"/>
        </w:rPr>
        <w:t>general</w:t>
      </w:r>
      <w:r>
        <w:rPr>
          <w:b/>
          <w:spacing w:val="-18"/>
          <w:w w:val="110"/>
        </w:rPr>
        <w:t xml:space="preserve"> </w:t>
      </w:r>
      <w:r>
        <w:rPr>
          <w:b/>
          <w:w w:val="110"/>
        </w:rPr>
        <w:t>medical</w:t>
      </w:r>
      <w:r>
        <w:rPr>
          <w:b/>
          <w:spacing w:val="-9"/>
          <w:w w:val="110"/>
        </w:rPr>
        <w:t xml:space="preserve"> </w:t>
      </w:r>
      <w:r>
        <w:rPr>
          <w:b/>
          <w:w w:val="110"/>
        </w:rPr>
        <w:t xml:space="preserve">condition and substance use </w:t>
      </w:r>
      <w:r>
        <w:rPr>
          <w:w w:val="110"/>
        </w:rPr>
        <w:t>(including medications). In such situations, both diagnoses (e.g., Mood Disorder Due to a General Medical Condition and Substance-Induced Mood Disorder)</w:t>
      </w:r>
      <w:r>
        <w:rPr>
          <w:spacing w:val="-23"/>
          <w:w w:val="110"/>
        </w:rPr>
        <w:t xml:space="preserve"> </w:t>
      </w:r>
      <w:r>
        <w:rPr>
          <w:w w:val="110"/>
        </w:rPr>
        <w:t>should</w:t>
      </w:r>
      <w:r>
        <w:rPr>
          <w:spacing w:val="-19"/>
          <w:w w:val="110"/>
        </w:rPr>
        <w:t xml:space="preserve"> </w:t>
      </w:r>
      <w:r>
        <w:rPr>
          <w:w w:val="110"/>
        </w:rPr>
        <w:t>be</w:t>
      </w:r>
      <w:r>
        <w:rPr>
          <w:spacing w:val="-31"/>
          <w:w w:val="110"/>
        </w:rPr>
        <w:t xml:space="preserve"> </w:t>
      </w:r>
      <w:r>
        <w:rPr>
          <w:w w:val="110"/>
        </w:rPr>
        <w:t>listed.</w:t>
      </w:r>
      <w:r>
        <w:rPr>
          <w:spacing w:val="-23"/>
          <w:w w:val="110"/>
        </w:rPr>
        <w:t xml:space="preserve"> </w:t>
      </w:r>
      <w:r>
        <w:rPr>
          <w:w w:val="110"/>
        </w:rPr>
        <w:t>If</w:t>
      </w:r>
      <w:r>
        <w:rPr>
          <w:spacing w:val="-24"/>
          <w:w w:val="110"/>
        </w:rPr>
        <w:t xml:space="preserve"> </w:t>
      </w:r>
      <w:r>
        <w:rPr>
          <w:w w:val="110"/>
        </w:rPr>
        <w:t>it</w:t>
      </w:r>
      <w:r>
        <w:rPr>
          <w:spacing w:val="-29"/>
          <w:w w:val="110"/>
        </w:rPr>
        <w:t xml:space="preserve"> </w:t>
      </w:r>
      <w:r>
        <w:rPr>
          <w:w w:val="110"/>
        </w:rPr>
        <w:t>is</w:t>
      </w:r>
      <w:r>
        <w:rPr>
          <w:spacing w:val="-29"/>
          <w:w w:val="110"/>
        </w:rPr>
        <w:t xml:space="preserve"> </w:t>
      </w:r>
      <w:r>
        <w:rPr>
          <w:w w:val="110"/>
        </w:rPr>
        <w:t>not</w:t>
      </w:r>
      <w:r>
        <w:rPr>
          <w:spacing w:val="-23"/>
          <w:w w:val="110"/>
        </w:rPr>
        <w:t xml:space="preserve"> </w:t>
      </w:r>
      <w:r>
        <w:rPr>
          <w:w w:val="110"/>
        </w:rPr>
        <w:t>possible</w:t>
      </w:r>
      <w:r>
        <w:rPr>
          <w:spacing w:val="-23"/>
          <w:w w:val="110"/>
        </w:rPr>
        <w:t xml:space="preserve"> </w:t>
      </w:r>
      <w:r>
        <w:rPr>
          <w:w w:val="110"/>
        </w:rPr>
        <w:t>to</w:t>
      </w:r>
      <w:r>
        <w:rPr>
          <w:spacing w:val="-31"/>
          <w:w w:val="110"/>
        </w:rPr>
        <w:t xml:space="preserve"> </w:t>
      </w:r>
      <w:r>
        <w:rPr>
          <w:w w:val="110"/>
        </w:rPr>
        <w:t>ascertain</w:t>
      </w:r>
      <w:r>
        <w:rPr>
          <w:spacing w:val="-21"/>
          <w:w w:val="110"/>
        </w:rPr>
        <w:t xml:space="preserve"> </w:t>
      </w:r>
      <w:r>
        <w:rPr>
          <w:w w:val="110"/>
        </w:rPr>
        <w:t>whether</w:t>
      </w:r>
      <w:r>
        <w:rPr>
          <w:spacing w:val="-22"/>
          <w:w w:val="110"/>
        </w:rPr>
        <w:t xml:space="preserve"> </w:t>
      </w:r>
      <w:r>
        <w:rPr>
          <w:w w:val="110"/>
        </w:rPr>
        <w:t>the</w:t>
      </w:r>
      <w:r>
        <w:rPr>
          <w:spacing w:val="-28"/>
          <w:w w:val="110"/>
        </w:rPr>
        <w:t xml:space="preserve"> </w:t>
      </w:r>
      <w:r>
        <w:rPr>
          <w:w w:val="110"/>
        </w:rPr>
        <w:t>mental</w:t>
      </w:r>
      <w:r>
        <w:rPr>
          <w:spacing w:val="-26"/>
          <w:w w:val="110"/>
        </w:rPr>
        <w:t xml:space="preserve"> </w:t>
      </w:r>
      <w:r>
        <w:rPr>
          <w:w w:val="110"/>
        </w:rPr>
        <w:t>symptoms are due to a general medical condition or are substance induced, the Not Otherwise Specified category may be used (see discussion</w:t>
      </w:r>
      <w:r>
        <w:rPr>
          <w:spacing w:val="9"/>
          <w:w w:val="110"/>
        </w:rPr>
        <w:t xml:space="preserve"> </w:t>
      </w:r>
      <w:r>
        <w:rPr>
          <w:w w:val="110"/>
        </w:rPr>
        <w:t>below).</w:t>
      </w:r>
    </w:p>
    <w:p w:rsidR="00E675F0" w:rsidRDefault="00E675F0" w:rsidP="00E675F0">
      <w:pPr>
        <w:pStyle w:val="BodyText"/>
        <w:spacing w:before="1" w:line="254" w:lineRule="auto"/>
        <w:ind w:left="141" w:right="149" w:firstLine="359"/>
        <w:jc w:val="both"/>
      </w:pPr>
      <w:r>
        <w:rPr>
          <w:w w:val="105"/>
        </w:rPr>
        <w:t>When, as often happens, the presentation of a Mental Disorder Due to a General Medical Condition contains a mix of different symptoms (e.g., mood and anxiety), it is generally desirable to assign a single diagnosis based on which symptoms predominate in the clinical presentation. In some situations, it is not possible  to determine whether the mental symptoms are primary, due to a general medical condition, or substance induced. The Not Otherwise Specified category should be used in such</w:t>
      </w:r>
      <w:r>
        <w:rPr>
          <w:spacing w:val="-14"/>
          <w:w w:val="105"/>
        </w:rPr>
        <w:t xml:space="preserve"> </w:t>
      </w:r>
      <w:r>
        <w:rPr>
          <w:w w:val="105"/>
        </w:rPr>
        <w:t>situations.</w:t>
      </w:r>
    </w:p>
    <w:p w:rsidR="00E675F0" w:rsidRDefault="00E675F0" w:rsidP="00E675F0">
      <w:pPr>
        <w:pStyle w:val="BodyText"/>
        <w:rPr>
          <w:sz w:val="22"/>
        </w:rPr>
      </w:pPr>
    </w:p>
    <w:p w:rsidR="00E675F0" w:rsidRDefault="00E675F0" w:rsidP="00E675F0">
      <w:pPr>
        <w:pStyle w:val="BodyText"/>
        <w:spacing w:before="6"/>
        <w:rPr>
          <w:sz w:val="25"/>
        </w:rPr>
      </w:pPr>
    </w:p>
    <w:p w:rsidR="00E675F0" w:rsidRDefault="00E675F0" w:rsidP="00E675F0">
      <w:pPr>
        <w:tabs>
          <w:tab w:val="left" w:pos="3233"/>
        </w:tabs>
        <w:spacing w:line="249" w:lineRule="auto"/>
        <w:ind w:left="1600" w:right="1621" w:firstLine="561"/>
        <w:rPr>
          <w:rFonts w:ascii="Arial"/>
          <w:b/>
          <w:sz w:val="26"/>
        </w:rPr>
      </w:pPr>
      <w:r>
        <w:rPr>
          <w:rFonts w:ascii="Arial"/>
          <w:b/>
          <w:sz w:val="26"/>
        </w:rPr>
        <w:t>293.89</w:t>
      </w:r>
      <w:r>
        <w:rPr>
          <w:rFonts w:ascii="Arial"/>
          <w:b/>
          <w:sz w:val="26"/>
        </w:rPr>
        <w:tab/>
        <w:t>Catatonic  Disorder Due to a General Medical</w:t>
      </w:r>
      <w:r>
        <w:rPr>
          <w:rFonts w:ascii="Arial"/>
          <w:b/>
          <w:spacing w:val="2"/>
          <w:sz w:val="26"/>
        </w:rPr>
        <w:t xml:space="preserve"> </w:t>
      </w:r>
      <w:r>
        <w:rPr>
          <w:rFonts w:ascii="Arial"/>
          <w:b/>
          <w:sz w:val="26"/>
        </w:rPr>
        <w:t>Condition</w:t>
      </w:r>
    </w:p>
    <w:p w:rsidR="00E675F0" w:rsidRDefault="00E675F0" w:rsidP="00E675F0">
      <w:pPr>
        <w:pStyle w:val="BodyText"/>
        <w:spacing w:before="9"/>
        <w:rPr>
          <w:rFonts w:ascii="Arial"/>
          <w:b/>
          <w:sz w:val="30"/>
        </w:rPr>
      </w:pPr>
    </w:p>
    <w:p w:rsidR="00E675F0" w:rsidRDefault="00E675F0" w:rsidP="00E675F0">
      <w:pPr>
        <w:spacing w:before="1"/>
        <w:ind w:left="131"/>
        <w:jc w:val="both"/>
        <w:rPr>
          <w:rFonts w:ascii="TimesNewRomanPS-BoldItalicMT"/>
          <w:b/>
          <w:i/>
          <w:sz w:val="24"/>
        </w:rPr>
      </w:pPr>
      <w:r>
        <w:rPr>
          <w:rFonts w:ascii="TimesNewRomanPS-BoldItalicMT"/>
          <w:b/>
          <w:i/>
          <w:w w:val="115"/>
          <w:sz w:val="24"/>
        </w:rPr>
        <w:t>Diagnostic Features</w:t>
      </w:r>
    </w:p>
    <w:p w:rsidR="00E675F0" w:rsidRDefault="00E675F0" w:rsidP="00E675F0">
      <w:pPr>
        <w:pStyle w:val="BodyText"/>
        <w:spacing w:before="150" w:line="249" w:lineRule="auto"/>
        <w:ind w:left="139" w:right="149" w:hanging="4"/>
        <w:jc w:val="both"/>
      </w:pPr>
      <w:r>
        <w:rPr>
          <w:w w:val="105"/>
        </w:rPr>
        <w:t>The essential feature of Catatonic Disorder Due to a General Medical Condition is the presence of catatonia that is judged to be due to the direct physiological effects of a general medical condition. Catatonia is manifested by any of the following: motoric immobility, excessive motor activity, extreme negativism or mutism, peculiarities of voluntary movement, echolalia, or echopraxia (Criterion A). There must be evidence from the history, physical examination, or laboratory findings that the catatonia is the direct physiological consequence of a general medical condition (Criterion B). The diagnosis is not given if the catatonia is better accounted for by another mental disorder (e.g., Manic Episode) (Criterion C) or if it occurs exclusively during the course of a delirium (Criterion D).</w:t>
      </w:r>
    </w:p>
    <w:p w:rsidR="00E675F0" w:rsidRDefault="00E675F0" w:rsidP="00E675F0">
      <w:pPr>
        <w:pStyle w:val="BodyText"/>
        <w:spacing w:before="21" w:line="256" w:lineRule="auto"/>
        <w:ind w:left="142" w:right="152" w:firstLine="362"/>
        <w:jc w:val="both"/>
      </w:pPr>
      <w:r>
        <w:rPr>
          <w:w w:val="105"/>
        </w:rPr>
        <w:t>Motoric</w:t>
      </w:r>
      <w:r>
        <w:rPr>
          <w:spacing w:val="-5"/>
          <w:w w:val="105"/>
        </w:rPr>
        <w:t xml:space="preserve"> </w:t>
      </w:r>
      <w:r>
        <w:rPr>
          <w:w w:val="105"/>
        </w:rPr>
        <w:t>immobility may</w:t>
      </w:r>
      <w:r>
        <w:rPr>
          <w:spacing w:val="-9"/>
          <w:w w:val="105"/>
        </w:rPr>
        <w:t xml:space="preserve"> </w:t>
      </w:r>
      <w:r>
        <w:rPr>
          <w:w w:val="105"/>
        </w:rPr>
        <w:t>be</w:t>
      </w:r>
      <w:r>
        <w:rPr>
          <w:spacing w:val="-8"/>
          <w:w w:val="105"/>
        </w:rPr>
        <w:t xml:space="preserve"> </w:t>
      </w:r>
      <w:r>
        <w:rPr>
          <w:w w:val="105"/>
        </w:rPr>
        <w:t>manifested</w:t>
      </w:r>
      <w:r>
        <w:rPr>
          <w:spacing w:val="6"/>
          <w:w w:val="105"/>
        </w:rPr>
        <w:t xml:space="preserve"> </w:t>
      </w:r>
      <w:r>
        <w:rPr>
          <w:w w:val="105"/>
        </w:rPr>
        <w:t>by</w:t>
      </w:r>
      <w:r>
        <w:rPr>
          <w:spacing w:val="-17"/>
          <w:w w:val="105"/>
        </w:rPr>
        <w:t xml:space="preserve"> </w:t>
      </w:r>
      <w:r>
        <w:rPr>
          <w:w w:val="105"/>
        </w:rPr>
        <w:t>catalepsy</w:t>
      </w:r>
      <w:r>
        <w:rPr>
          <w:spacing w:val="-7"/>
          <w:w w:val="105"/>
        </w:rPr>
        <w:t xml:space="preserve"> </w:t>
      </w:r>
      <w:r>
        <w:rPr>
          <w:w w:val="105"/>
        </w:rPr>
        <w:t>(waxy</w:t>
      </w:r>
      <w:r>
        <w:rPr>
          <w:spacing w:val="-13"/>
          <w:w w:val="105"/>
        </w:rPr>
        <w:t xml:space="preserve"> </w:t>
      </w:r>
      <w:r>
        <w:rPr>
          <w:w w:val="105"/>
        </w:rPr>
        <w:t>flexibility)</w:t>
      </w:r>
      <w:r>
        <w:rPr>
          <w:spacing w:val="-1"/>
          <w:w w:val="105"/>
        </w:rPr>
        <w:t xml:space="preserve"> </w:t>
      </w:r>
      <w:r>
        <w:rPr>
          <w:w w:val="105"/>
        </w:rPr>
        <w:t>or</w:t>
      </w:r>
      <w:r>
        <w:rPr>
          <w:spacing w:val="-18"/>
          <w:w w:val="105"/>
        </w:rPr>
        <w:t xml:space="preserve"> </w:t>
      </w:r>
      <w:r>
        <w:rPr>
          <w:w w:val="105"/>
        </w:rPr>
        <w:t>stupor.</w:t>
      </w:r>
      <w:r>
        <w:rPr>
          <w:spacing w:val="-16"/>
          <w:w w:val="105"/>
        </w:rPr>
        <w:t xml:space="preserve"> </w:t>
      </w:r>
      <w:r>
        <w:rPr>
          <w:w w:val="105"/>
        </w:rPr>
        <w:t>The excessive motor activity is apparently purposeless and is not influenced by external stimuli. There may be extreme negativism that is manifested by resistance to all instructions or the maintenance of a rigid posture against attempts to be moved. Peculiarities of voluntary movement are manifested by the voluntary assumption of inappropriate or bizarre postures or by prominent grimacing. Echolalia is the patholog­ ical, parrotlike, and apparently senseless repetition of a word or phrase just spoken by another person. Echopraxia is the repetitive imitation of the movements of another person.</w:t>
      </w:r>
    </w:p>
    <w:p w:rsidR="00E675F0" w:rsidRDefault="00E675F0" w:rsidP="00E675F0">
      <w:pPr>
        <w:spacing w:line="256" w:lineRule="auto"/>
        <w:jc w:val="both"/>
        <w:sectPr w:rsidR="00E675F0">
          <w:headerReference w:type="even" r:id="rId154"/>
          <w:headerReference w:type="default" r:id="rId155"/>
          <w:pgSz w:w="8960" w:h="14260"/>
          <w:pgMar w:top="1400" w:right="580" w:bottom="280" w:left="600" w:header="693" w:footer="0" w:gutter="0"/>
          <w:cols w:space="720"/>
        </w:sectPr>
      </w:pPr>
    </w:p>
    <w:p w:rsidR="00E675F0" w:rsidRDefault="00E675F0" w:rsidP="00E675F0">
      <w:pPr>
        <w:spacing w:before="115"/>
        <w:ind w:left="144"/>
        <w:rPr>
          <w:rFonts w:ascii="TimesNewRomanPS-BoldItalicMT"/>
          <w:b/>
          <w:i/>
          <w:sz w:val="24"/>
        </w:rPr>
      </w:pPr>
      <w:bookmarkStart w:id="110" w:name="_bookmark92"/>
      <w:bookmarkEnd w:id="110"/>
      <w:r>
        <w:rPr>
          <w:rFonts w:ascii="TimesNewRomanPS-BoldItalicMT"/>
          <w:b/>
          <w:i/>
          <w:w w:val="115"/>
          <w:sz w:val="24"/>
        </w:rPr>
        <w:lastRenderedPageBreak/>
        <w:t>Recording Procedures</w:t>
      </w:r>
    </w:p>
    <w:p w:rsidR="00E675F0" w:rsidRDefault="00E675F0" w:rsidP="00E675F0">
      <w:pPr>
        <w:pStyle w:val="BodyText"/>
        <w:spacing w:before="156" w:line="256" w:lineRule="auto"/>
        <w:ind w:left="159" w:right="132" w:firstLine="1"/>
        <w:jc w:val="both"/>
      </w:pPr>
      <w:r>
        <w:rPr>
          <w:w w:val="110"/>
        </w:rPr>
        <w:t>In</w:t>
      </w:r>
      <w:r>
        <w:rPr>
          <w:spacing w:val="-38"/>
          <w:w w:val="110"/>
        </w:rPr>
        <w:t xml:space="preserve"> </w:t>
      </w:r>
      <w:r>
        <w:rPr>
          <w:w w:val="110"/>
        </w:rPr>
        <w:t>recording</w:t>
      </w:r>
      <w:r>
        <w:rPr>
          <w:spacing w:val="-38"/>
          <w:w w:val="110"/>
        </w:rPr>
        <w:t xml:space="preserve"> </w:t>
      </w:r>
      <w:r>
        <w:rPr>
          <w:w w:val="110"/>
        </w:rPr>
        <w:t>Catatonic</w:t>
      </w:r>
      <w:r>
        <w:rPr>
          <w:spacing w:val="-32"/>
          <w:w w:val="110"/>
        </w:rPr>
        <w:t xml:space="preserve"> </w:t>
      </w:r>
      <w:r>
        <w:rPr>
          <w:w w:val="110"/>
        </w:rPr>
        <w:t>Disorder</w:t>
      </w:r>
      <w:r>
        <w:rPr>
          <w:spacing w:val="-36"/>
          <w:w w:val="110"/>
        </w:rPr>
        <w:t xml:space="preserve"> </w:t>
      </w:r>
      <w:r>
        <w:rPr>
          <w:w w:val="110"/>
        </w:rPr>
        <w:t>Due</w:t>
      </w:r>
      <w:r>
        <w:rPr>
          <w:spacing w:val="-37"/>
          <w:w w:val="110"/>
        </w:rPr>
        <w:t xml:space="preserve"> </w:t>
      </w:r>
      <w:r>
        <w:rPr>
          <w:w w:val="110"/>
        </w:rPr>
        <w:t>to</w:t>
      </w:r>
      <w:r>
        <w:rPr>
          <w:spacing w:val="-40"/>
          <w:w w:val="110"/>
        </w:rPr>
        <w:t xml:space="preserve"> </w:t>
      </w:r>
      <w:r>
        <w:rPr>
          <w:w w:val="110"/>
        </w:rPr>
        <w:t>a</w:t>
      </w:r>
      <w:r>
        <w:rPr>
          <w:spacing w:val="-39"/>
          <w:w w:val="110"/>
        </w:rPr>
        <w:t xml:space="preserve"> </w:t>
      </w:r>
      <w:r>
        <w:rPr>
          <w:w w:val="110"/>
        </w:rPr>
        <w:t>General</w:t>
      </w:r>
      <w:r>
        <w:rPr>
          <w:spacing w:val="-35"/>
          <w:w w:val="110"/>
        </w:rPr>
        <w:t xml:space="preserve"> </w:t>
      </w:r>
      <w:r>
        <w:rPr>
          <w:w w:val="110"/>
        </w:rPr>
        <w:t>Medical</w:t>
      </w:r>
      <w:r>
        <w:rPr>
          <w:spacing w:val="-34"/>
          <w:w w:val="110"/>
        </w:rPr>
        <w:t xml:space="preserve"> </w:t>
      </w:r>
      <w:r>
        <w:rPr>
          <w:w w:val="110"/>
        </w:rPr>
        <w:t>Condition,</w:t>
      </w:r>
      <w:r>
        <w:rPr>
          <w:spacing w:val="-31"/>
          <w:w w:val="110"/>
        </w:rPr>
        <w:t xml:space="preserve"> </w:t>
      </w:r>
      <w:r>
        <w:rPr>
          <w:w w:val="110"/>
        </w:rPr>
        <w:t>the</w:t>
      </w:r>
      <w:r>
        <w:rPr>
          <w:spacing w:val="-40"/>
          <w:w w:val="110"/>
        </w:rPr>
        <w:t xml:space="preserve"> </w:t>
      </w:r>
      <w:r>
        <w:rPr>
          <w:w w:val="110"/>
        </w:rPr>
        <w:t>clinician</w:t>
      </w:r>
      <w:r>
        <w:rPr>
          <w:spacing w:val="-37"/>
          <w:w w:val="110"/>
        </w:rPr>
        <w:t xml:space="preserve"> </w:t>
      </w:r>
      <w:r>
        <w:rPr>
          <w:w w:val="110"/>
        </w:rPr>
        <w:t>should note both the specific phenomenology of the disturbance and the identified general medical</w:t>
      </w:r>
      <w:r>
        <w:rPr>
          <w:spacing w:val="-26"/>
          <w:w w:val="110"/>
        </w:rPr>
        <w:t xml:space="preserve"> </w:t>
      </w:r>
      <w:r>
        <w:rPr>
          <w:w w:val="110"/>
        </w:rPr>
        <w:t>condition</w:t>
      </w:r>
      <w:r>
        <w:rPr>
          <w:spacing w:val="-16"/>
          <w:w w:val="110"/>
        </w:rPr>
        <w:t xml:space="preserve"> </w:t>
      </w:r>
      <w:r>
        <w:rPr>
          <w:w w:val="110"/>
        </w:rPr>
        <w:t>judged</w:t>
      </w:r>
      <w:r>
        <w:rPr>
          <w:spacing w:val="-23"/>
          <w:w w:val="110"/>
        </w:rPr>
        <w:t xml:space="preserve"> </w:t>
      </w:r>
      <w:r>
        <w:rPr>
          <w:w w:val="110"/>
        </w:rPr>
        <w:t>to</w:t>
      </w:r>
      <w:r>
        <w:rPr>
          <w:spacing w:val="-26"/>
          <w:w w:val="110"/>
        </w:rPr>
        <w:t xml:space="preserve"> </w:t>
      </w:r>
      <w:r>
        <w:rPr>
          <w:w w:val="110"/>
        </w:rPr>
        <w:t>be</w:t>
      </w:r>
      <w:r>
        <w:rPr>
          <w:spacing w:val="-30"/>
          <w:w w:val="110"/>
        </w:rPr>
        <w:t xml:space="preserve"> </w:t>
      </w:r>
      <w:r>
        <w:rPr>
          <w:w w:val="110"/>
        </w:rPr>
        <w:t>causing</w:t>
      </w:r>
      <w:r>
        <w:rPr>
          <w:spacing w:val="-21"/>
          <w:w w:val="110"/>
        </w:rPr>
        <w:t xml:space="preserve"> </w:t>
      </w:r>
      <w:r>
        <w:rPr>
          <w:w w:val="110"/>
        </w:rPr>
        <w:t>the</w:t>
      </w:r>
      <w:r>
        <w:rPr>
          <w:spacing w:val="-30"/>
          <w:w w:val="110"/>
        </w:rPr>
        <w:t xml:space="preserve"> </w:t>
      </w:r>
      <w:r>
        <w:rPr>
          <w:w w:val="110"/>
        </w:rPr>
        <w:t>disturbance</w:t>
      </w:r>
      <w:r>
        <w:rPr>
          <w:spacing w:val="-19"/>
          <w:w w:val="110"/>
        </w:rPr>
        <w:t xml:space="preserve"> </w:t>
      </w:r>
      <w:r>
        <w:rPr>
          <w:w w:val="110"/>
        </w:rPr>
        <w:t>on</w:t>
      </w:r>
      <w:r>
        <w:rPr>
          <w:spacing w:val="-25"/>
          <w:w w:val="110"/>
        </w:rPr>
        <w:t xml:space="preserve"> </w:t>
      </w:r>
      <w:r>
        <w:rPr>
          <w:w w:val="110"/>
        </w:rPr>
        <w:t>Axis</w:t>
      </w:r>
      <w:r>
        <w:rPr>
          <w:spacing w:val="-25"/>
          <w:w w:val="110"/>
        </w:rPr>
        <w:t xml:space="preserve"> </w:t>
      </w:r>
      <w:r>
        <w:rPr>
          <w:w w:val="110"/>
        </w:rPr>
        <w:t>I</w:t>
      </w:r>
      <w:r>
        <w:rPr>
          <w:spacing w:val="-28"/>
          <w:w w:val="110"/>
        </w:rPr>
        <w:t xml:space="preserve"> </w:t>
      </w:r>
      <w:r>
        <w:rPr>
          <w:w w:val="110"/>
        </w:rPr>
        <w:t>(e.g.,</w:t>
      </w:r>
      <w:r>
        <w:rPr>
          <w:spacing w:val="-22"/>
          <w:w w:val="110"/>
        </w:rPr>
        <w:t xml:space="preserve"> </w:t>
      </w:r>
      <w:r>
        <w:rPr>
          <w:w w:val="110"/>
        </w:rPr>
        <w:t>293.89</w:t>
      </w:r>
      <w:r>
        <w:rPr>
          <w:spacing w:val="-30"/>
          <w:w w:val="110"/>
        </w:rPr>
        <w:t xml:space="preserve"> </w:t>
      </w:r>
      <w:r>
        <w:rPr>
          <w:w w:val="110"/>
        </w:rPr>
        <w:t>Catatonic Disorder Due to Malignant Neoplasm of Brain). The ICD-9-CM code for the general medical condition (e.g., 191.9 malignant neoplasm of brain) should also be noted on Axis</w:t>
      </w:r>
      <w:r>
        <w:rPr>
          <w:spacing w:val="-17"/>
          <w:w w:val="110"/>
        </w:rPr>
        <w:t xml:space="preserve"> </w:t>
      </w:r>
      <w:r>
        <w:rPr>
          <w:w w:val="110"/>
        </w:rPr>
        <w:t>III.</w:t>
      </w:r>
      <w:r>
        <w:rPr>
          <w:spacing w:val="-16"/>
          <w:w w:val="110"/>
        </w:rPr>
        <w:t xml:space="preserve"> </w:t>
      </w:r>
      <w:r>
        <w:rPr>
          <w:w w:val="110"/>
        </w:rPr>
        <w:t>(See</w:t>
      </w:r>
      <w:r>
        <w:rPr>
          <w:spacing w:val="-17"/>
          <w:w w:val="110"/>
        </w:rPr>
        <w:t xml:space="preserve"> </w:t>
      </w:r>
      <w:r>
        <w:rPr>
          <w:w w:val="110"/>
        </w:rPr>
        <w:t>Appendix</w:t>
      </w:r>
      <w:r>
        <w:rPr>
          <w:spacing w:val="-7"/>
          <w:w w:val="110"/>
        </w:rPr>
        <w:t xml:space="preserve"> </w:t>
      </w:r>
      <w:r>
        <w:rPr>
          <w:w w:val="110"/>
        </w:rPr>
        <w:t>G</w:t>
      </w:r>
      <w:r>
        <w:rPr>
          <w:spacing w:val="-19"/>
          <w:w w:val="110"/>
        </w:rPr>
        <w:t xml:space="preserve"> </w:t>
      </w:r>
      <w:r>
        <w:rPr>
          <w:w w:val="110"/>
        </w:rPr>
        <w:t>for</w:t>
      </w:r>
      <w:r>
        <w:rPr>
          <w:spacing w:val="-18"/>
          <w:w w:val="110"/>
        </w:rPr>
        <w:t xml:space="preserve"> </w:t>
      </w:r>
      <w:r>
        <w:rPr>
          <w:w w:val="110"/>
        </w:rPr>
        <w:t>a</w:t>
      </w:r>
      <w:r>
        <w:rPr>
          <w:spacing w:val="-17"/>
          <w:w w:val="110"/>
        </w:rPr>
        <w:t xml:space="preserve"> </w:t>
      </w:r>
      <w:r>
        <w:rPr>
          <w:w w:val="110"/>
        </w:rPr>
        <w:t>list</w:t>
      </w:r>
      <w:r>
        <w:rPr>
          <w:spacing w:val="-18"/>
          <w:w w:val="110"/>
        </w:rPr>
        <w:t xml:space="preserve"> </w:t>
      </w:r>
      <w:r>
        <w:rPr>
          <w:w w:val="110"/>
        </w:rPr>
        <w:t>of</w:t>
      </w:r>
      <w:r>
        <w:rPr>
          <w:spacing w:val="-14"/>
          <w:w w:val="110"/>
        </w:rPr>
        <w:t xml:space="preserve"> </w:t>
      </w:r>
      <w:r>
        <w:rPr>
          <w:w w:val="110"/>
        </w:rPr>
        <w:t>selected</w:t>
      </w:r>
      <w:r>
        <w:rPr>
          <w:spacing w:val="-13"/>
          <w:w w:val="110"/>
        </w:rPr>
        <w:t xml:space="preserve"> </w:t>
      </w:r>
      <w:r>
        <w:rPr>
          <w:w w:val="110"/>
        </w:rPr>
        <w:t>ICD-9-CM</w:t>
      </w:r>
      <w:r>
        <w:rPr>
          <w:spacing w:val="-7"/>
          <w:w w:val="110"/>
        </w:rPr>
        <w:t xml:space="preserve"> </w:t>
      </w:r>
      <w:r>
        <w:rPr>
          <w:w w:val="110"/>
        </w:rPr>
        <w:t>diagnostic</w:t>
      </w:r>
      <w:r>
        <w:rPr>
          <w:spacing w:val="-14"/>
          <w:w w:val="110"/>
        </w:rPr>
        <w:t xml:space="preserve"> </w:t>
      </w:r>
      <w:r>
        <w:rPr>
          <w:w w:val="110"/>
        </w:rPr>
        <w:t>codes</w:t>
      </w:r>
      <w:r>
        <w:rPr>
          <w:spacing w:val="-17"/>
          <w:w w:val="110"/>
        </w:rPr>
        <w:t xml:space="preserve"> </w:t>
      </w:r>
      <w:r>
        <w:rPr>
          <w:w w:val="110"/>
        </w:rPr>
        <w:t>for</w:t>
      </w:r>
      <w:r>
        <w:rPr>
          <w:spacing w:val="-20"/>
          <w:w w:val="110"/>
        </w:rPr>
        <w:t xml:space="preserve"> </w:t>
      </w:r>
      <w:r>
        <w:rPr>
          <w:w w:val="110"/>
        </w:rPr>
        <w:t>general medical</w:t>
      </w:r>
      <w:r>
        <w:rPr>
          <w:spacing w:val="4"/>
          <w:w w:val="110"/>
        </w:rPr>
        <w:t xml:space="preserve"> </w:t>
      </w:r>
      <w:r>
        <w:rPr>
          <w:w w:val="110"/>
        </w:rPr>
        <w:t>conditions.)</w:t>
      </w:r>
    </w:p>
    <w:p w:rsidR="00E675F0" w:rsidRDefault="00E675F0" w:rsidP="00E675F0">
      <w:pPr>
        <w:pStyle w:val="BodyText"/>
        <w:rPr>
          <w:sz w:val="22"/>
        </w:rPr>
      </w:pPr>
    </w:p>
    <w:p w:rsidR="00E675F0" w:rsidRDefault="00E675F0" w:rsidP="00E675F0">
      <w:pPr>
        <w:spacing w:before="188"/>
        <w:ind w:left="141"/>
        <w:rPr>
          <w:rFonts w:ascii="TimesNewRomanPS-BoldItalicMT"/>
          <w:b/>
          <w:i/>
          <w:sz w:val="24"/>
        </w:rPr>
      </w:pPr>
      <w:r>
        <w:rPr>
          <w:rFonts w:ascii="TimesNewRomanPS-BoldItalicMT"/>
          <w:b/>
          <w:i/>
          <w:w w:val="115"/>
          <w:sz w:val="24"/>
        </w:rPr>
        <w:t>Associated General Medical Conditions</w:t>
      </w:r>
    </w:p>
    <w:p w:rsidR="00E675F0" w:rsidRDefault="00E675F0" w:rsidP="00E675F0">
      <w:pPr>
        <w:pStyle w:val="BodyText"/>
        <w:spacing w:before="151" w:line="254" w:lineRule="auto"/>
        <w:ind w:left="159" w:right="125"/>
        <w:jc w:val="both"/>
      </w:pPr>
      <w:r>
        <w:rPr>
          <w:w w:val="110"/>
        </w:rPr>
        <w:t xml:space="preserve">A variety of general medical conditions may cause catatonia, especially neurological conditions (e.g., neoplasms, head trauma, cerebrovascular disease, encephalitis) and metabolic conditions (e.g., hypercalcemia, hepatic encephalopathy, homocystinuria, </w:t>
      </w:r>
      <w:r>
        <w:rPr>
          <w:w w:val="105"/>
        </w:rPr>
        <w:t xml:space="preserve">diabetic ketoacidosis).The associated physical examination findings, laboratory findings, </w:t>
      </w:r>
      <w:r>
        <w:rPr>
          <w:w w:val="110"/>
        </w:rPr>
        <w:t>and patterns of prevalence and onset reflect those of the etiological general medical condition.</w:t>
      </w:r>
    </w:p>
    <w:p w:rsidR="00E675F0" w:rsidRDefault="00E675F0" w:rsidP="00E675F0">
      <w:pPr>
        <w:pStyle w:val="BodyText"/>
        <w:rPr>
          <w:sz w:val="22"/>
        </w:rPr>
      </w:pPr>
    </w:p>
    <w:p w:rsidR="00E675F0" w:rsidRDefault="00E675F0" w:rsidP="00E675F0">
      <w:pPr>
        <w:spacing w:before="194"/>
        <w:ind w:left="146"/>
        <w:rPr>
          <w:rFonts w:ascii="TimesNewRomanPS-BoldItalicMT"/>
          <w:b/>
          <w:i/>
          <w:sz w:val="24"/>
        </w:rPr>
      </w:pPr>
      <w:r>
        <w:rPr>
          <w:rFonts w:ascii="TimesNewRomanPS-BoldItalicMT"/>
          <w:b/>
          <w:i/>
          <w:w w:val="115"/>
          <w:sz w:val="24"/>
        </w:rPr>
        <w:t>Di,fferential magnosis</w:t>
      </w:r>
    </w:p>
    <w:p w:rsidR="00E675F0" w:rsidRDefault="00E675F0" w:rsidP="00E675F0">
      <w:pPr>
        <w:pStyle w:val="BodyText"/>
        <w:spacing w:before="160" w:line="252" w:lineRule="auto"/>
        <w:ind w:left="156" w:right="116" w:hanging="2"/>
        <w:jc w:val="both"/>
      </w:pPr>
      <w:r>
        <w:rPr>
          <w:w w:val="105"/>
        </w:rPr>
        <w:t xml:space="preserve">A separate diagnosis of Catatonic Disorder Due to a General Medical Condition is not given if the catatonia occurs exclusively during the course of a </w:t>
      </w:r>
      <w:r>
        <w:rPr>
          <w:b/>
          <w:w w:val="105"/>
          <w:sz w:val="19"/>
        </w:rPr>
        <w:t xml:space="preserve">delirium. </w:t>
      </w:r>
      <w:r>
        <w:rPr>
          <w:w w:val="105"/>
        </w:rPr>
        <w:t xml:space="preserve">If the individual is currently taking neuroleptic medication, </w:t>
      </w:r>
      <w:r>
        <w:rPr>
          <w:b/>
          <w:w w:val="105"/>
          <w:sz w:val="19"/>
        </w:rPr>
        <w:t xml:space="preserve">Medication-Induced Movement Disorders </w:t>
      </w:r>
      <w:r>
        <w:rPr>
          <w:w w:val="105"/>
        </w:rPr>
        <w:t xml:space="preserve">should be considered (e.g., abnormal positioning may be due to Neuroleptic-Induced Acute Dystonia). Catatonic symptoms may also be present in Schizophrenia and Mood Disorders. </w:t>
      </w:r>
      <w:r>
        <w:rPr>
          <w:b/>
          <w:w w:val="105"/>
          <w:sz w:val="19"/>
        </w:rPr>
        <w:t xml:space="preserve">Schizophrenia,Catatonic Type, </w:t>
      </w:r>
      <w:r>
        <w:rPr>
          <w:w w:val="105"/>
        </w:rPr>
        <w:t xml:space="preserve">is distinguished  by the absence  of evidence of a general medical condition that is etiologically related to the catatonia, and by the presence of other symptoms characteristic of Schizophrenia (e.g., delusions, hallucina­ tions, disorganized speech, negative symptoms). A </w:t>
      </w:r>
      <w:r>
        <w:rPr>
          <w:b/>
          <w:w w:val="105"/>
          <w:sz w:val="19"/>
        </w:rPr>
        <w:t xml:space="preserve">Mood Disorder With Catatonic Features </w:t>
      </w:r>
      <w:r>
        <w:rPr>
          <w:w w:val="105"/>
        </w:rPr>
        <w:t>is likewise differentiated by the absence of evidence of a general medical condition that is etiologically related to the catatonia, and by the presence of symptoms that meet the criteria for a Major Depressive or Manic Episode.</w:t>
      </w:r>
    </w:p>
    <w:p w:rsidR="00E675F0" w:rsidRDefault="00E675F0" w:rsidP="00E675F0">
      <w:pPr>
        <w:pStyle w:val="BodyText"/>
      </w:pPr>
    </w:p>
    <w:p w:rsidR="00E675F0" w:rsidRDefault="00E675F0" w:rsidP="00E675F0">
      <w:pPr>
        <w:pStyle w:val="BodyText"/>
        <w:spacing w:before="7"/>
        <w:rPr>
          <w:sz w:val="10"/>
        </w:rPr>
      </w:pPr>
      <w:r>
        <w:rPr>
          <w:noProof/>
        </w:rPr>
        <mc:AlternateContent>
          <mc:Choice Requires="wpg">
            <w:drawing>
              <wp:anchor distT="0" distB="0" distL="0" distR="0" simplePos="0" relativeHeight="251864064" behindDoc="1" locked="0" layoutInCell="1" allowOverlap="1" wp14:anchorId="0AB807BE" wp14:editId="510DBD0B">
                <wp:simplePos x="0" y="0"/>
                <wp:positionH relativeFrom="page">
                  <wp:posOffset>483235</wp:posOffset>
                </wp:positionH>
                <wp:positionV relativeFrom="paragraph">
                  <wp:posOffset>119380</wp:posOffset>
                </wp:positionV>
                <wp:extent cx="4765675" cy="2197735"/>
                <wp:effectExtent l="0" t="12700" r="9525" b="0"/>
                <wp:wrapTopAndBottom/>
                <wp:docPr id="1434" name="Group 1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5675" cy="2197735"/>
                          <a:chOff x="761" y="188"/>
                          <a:chExt cx="7505" cy="3461"/>
                        </a:xfrm>
                      </wpg:grpSpPr>
                      <wps:wsp>
                        <wps:cNvPr id="1435" name="Line 1394"/>
                        <wps:cNvCnPr>
                          <a:cxnSpLocks/>
                        </wps:cNvCnPr>
                        <wps:spPr bwMode="auto">
                          <a:xfrm>
                            <a:off x="766" y="3630"/>
                            <a:ext cx="0" cy="0"/>
                          </a:xfrm>
                          <a:prstGeom prst="line">
                            <a:avLst/>
                          </a:prstGeom>
                          <a:noFill/>
                          <a:ln w="61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6" name="Line 1393"/>
                        <wps:cNvCnPr>
                          <a:cxnSpLocks/>
                        </wps:cNvCnPr>
                        <wps:spPr bwMode="auto">
                          <a:xfrm>
                            <a:off x="858" y="3553"/>
                            <a:ext cx="0" cy="0"/>
                          </a:xfrm>
                          <a:prstGeom prst="line">
                            <a:avLst/>
                          </a:prstGeom>
                          <a:noFill/>
                          <a:ln w="2443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7" name="AutoShape 1392"/>
                        <wps:cNvSpPr>
                          <a:spLocks/>
                        </wps:cNvSpPr>
                        <wps:spPr bwMode="auto">
                          <a:xfrm>
                            <a:off x="761" y="188"/>
                            <a:ext cx="7505" cy="3461"/>
                          </a:xfrm>
                          <a:custGeom>
                            <a:avLst/>
                            <a:gdLst>
                              <a:gd name="T0" fmla="+- 0 8175 761"/>
                              <a:gd name="T1" fmla="*/ T0 w 7505"/>
                              <a:gd name="T2" fmla="+- 0 3649 188"/>
                              <a:gd name="T3" fmla="*/ 3649 h 3461"/>
                              <a:gd name="T4" fmla="+- 0 8175 761"/>
                              <a:gd name="T5" fmla="*/ T4 w 7505"/>
                              <a:gd name="T6" fmla="+- 0 188 188"/>
                              <a:gd name="T7" fmla="*/ 188 h 3461"/>
                              <a:gd name="T8" fmla="+- 0 761 761"/>
                              <a:gd name="T9" fmla="*/ T8 w 7505"/>
                              <a:gd name="T10" fmla="+- 0 265 188"/>
                              <a:gd name="T11" fmla="*/ 265 h 3461"/>
                              <a:gd name="T12" fmla="+- 0 8266 761"/>
                              <a:gd name="T13" fmla="*/ T12 w 7505"/>
                              <a:gd name="T14" fmla="+- 0 265 188"/>
                              <a:gd name="T15" fmla="*/ 265 h 3461"/>
                              <a:gd name="T16" fmla="+- 0 761 761"/>
                              <a:gd name="T17" fmla="*/ T16 w 7505"/>
                              <a:gd name="T18" fmla="+- 0 3548 188"/>
                              <a:gd name="T19" fmla="*/ 3548 h 3461"/>
                              <a:gd name="T20" fmla="+- 0 8266 761"/>
                              <a:gd name="T21" fmla="*/ T20 w 7505"/>
                              <a:gd name="T22" fmla="+- 0 3548 188"/>
                              <a:gd name="T23" fmla="*/ 3548 h 3461"/>
                            </a:gdLst>
                            <a:ahLst/>
                            <a:cxnLst>
                              <a:cxn ang="0">
                                <a:pos x="T1" y="T3"/>
                              </a:cxn>
                              <a:cxn ang="0">
                                <a:pos x="T5" y="T7"/>
                              </a:cxn>
                              <a:cxn ang="0">
                                <a:pos x="T9" y="T11"/>
                              </a:cxn>
                              <a:cxn ang="0">
                                <a:pos x="T13" y="T15"/>
                              </a:cxn>
                              <a:cxn ang="0">
                                <a:pos x="T17" y="T19"/>
                              </a:cxn>
                              <a:cxn ang="0">
                                <a:pos x="T21" y="T23"/>
                              </a:cxn>
                            </a:cxnLst>
                            <a:rect l="0" t="0" r="r" b="b"/>
                            <a:pathLst>
                              <a:path w="7505" h="3461">
                                <a:moveTo>
                                  <a:pt x="7414" y="3461"/>
                                </a:moveTo>
                                <a:lnTo>
                                  <a:pt x="7414" y="0"/>
                                </a:lnTo>
                                <a:moveTo>
                                  <a:pt x="0" y="77"/>
                                </a:moveTo>
                                <a:lnTo>
                                  <a:pt x="7505" y="77"/>
                                </a:lnTo>
                                <a:moveTo>
                                  <a:pt x="0" y="3360"/>
                                </a:moveTo>
                                <a:lnTo>
                                  <a:pt x="7505" y="3360"/>
                                </a:lnTo>
                              </a:path>
                            </a:pathLst>
                          </a:custGeom>
                          <a:noFill/>
                          <a:ln w="3358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8" name="Text Box 1391"/>
                        <wps:cNvSpPr txBox="1">
                          <a:spLocks/>
                        </wps:cNvSpPr>
                        <wps:spPr bwMode="auto">
                          <a:xfrm>
                            <a:off x="876" y="291"/>
                            <a:ext cx="7272" cy="3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5F0" w:rsidRDefault="00E675F0" w:rsidP="003048D3">
                              <w:pPr>
                                <w:numPr>
                                  <w:ilvl w:val="0"/>
                                  <w:numId w:val="47"/>
                                </w:numPr>
                                <w:tabs>
                                  <w:tab w:val="left" w:pos="594"/>
                                  <w:tab w:val="left" w:pos="1347"/>
                                </w:tabs>
                                <w:spacing w:before="78" w:line="184" w:lineRule="auto"/>
                                <w:ind w:right="392" w:hanging="384"/>
                                <w:rPr>
                                  <w:rFonts w:ascii="TimesNewRomanPS-BoldItalicMT"/>
                                  <w:b/>
                                  <w:i/>
                                  <w:sz w:val="28"/>
                                </w:rPr>
                              </w:pPr>
                              <w:r>
                                <w:rPr>
                                  <w:rFonts w:ascii="Arial"/>
                                  <w:b/>
                                  <w:sz w:val="24"/>
                                </w:rPr>
                                <w:t>Diagnostic criteria for 293.89 Catatonic Disorder Due to</w:t>
                              </w:r>
                              <w:r>
                                <w:rPr>
                                  <w:rFonts w:ascii="Arial"/>
                                  <w:b/>
                                  <w:spacing w:val="6"/>
                                  <w:sz w:val="24"/>
                                </w:rPr>
                                <w:t xml:space="preserve"> </w:t>
                              </w:r>
                              <w:r>
                                <w:rPr>
                                  <w:rFonts w:ascii="Arial"/>
                                  <w:sz w:val="24"/>
                                </w:rPr>
                                <w:t>...</w:t>
                              </w:r>
                              <w:r>
                                <w:rPr>
                                  <w:rFonts w:ascii="Arial"/>
                                  <w:sz w:val="24"/>
                                </w:rPr>
                                <w:tab/>
                              </w:r>
                              <w:r>
                                <w:rPr>
                                  <w:rFonts w:ascii="TimesNewRomanPS-BoldItalicMT"/>
                                  <w:b/>
                                  <w:i/>
                                  <w:sz w:val="28"/>
                                </w:rPr>
                                <w:t>(Indicate the General Medical</w:t>
                              </w:r>
                              <w:r>
                                <w:rPr>
                                  <w:rFonts w:ascii="TimesNewRomanPS-BoldItalicMT"/>
                                  <w:b/>
                                  <w:i/>
                                  <w:spacing w:val="-41"/>
                                  <w:sz w:val="28"/>
                                </w:rPr>
                                <w:t xml:space="preserve"> </w:t>
                              </w:r>
                              <w:r>
                                <w:rPr>
                                  <w:rFonts w:ascii="TimesNewRomanPS-BoldItalicMT"/>
                                  <w:b/>
                                  <w:i/>
                                  <w:sz w:val="28"/>
                                </w:rPr>
                                <w:t>Condition)</w:t>
                              </w:r>
                            </w:p>
                            <w:p w:rsidR="00E675F0" w:rsidRDefault="00E675F0" w:rsidP="003048D3">
                              <w:pPr>
                                <w:numPr>
                                  <w:ilvl w:val="1"/>
                                  <w:numId w:val="47"/>
                                </w:numPr>
                                <w:tabs>
                                  <w:tab w:val="left" w:pos="913"/>
                                </w:tabs>
                                <w:spacing w:before="229" w:line="256" w:lineRule="auto"/>
                                <w:ind w:right="255" w:hanging="305"/>
                                <w:jc w:val="both"/>
                                <w:rPr>
                                  <w:sz w:val="20"/>
                                </w:rPr>
                              </w:pPr>
                              <w:r>
                                <w:rPr>
                                  <w:w w:val="105"/>
                                  <w:sz w:val="20"/>
                                </w:rPr>
                                <w:t>The presence of catatonia as manifested by motoric immobility, exces­ sive motor activity (that is apparently purposeless and  not influenced by external stimuli), extreme negativism or mutism, peculiarities of voluntary movement, or echolalia or</w:t>
                              </w:r>
                              <w:r>
                                <w:rPr>
                                  <w:spacing w:val="-33"/>
                                  <w:w w:val="105"/>
                                  <w:sz w:val="20"/>
                                </w:rPr>
                                <w:t xml:space="preserve"> </w:t>
                              </w:r>
                              <w:r>
                                <w:rPr>
                                  <w:w w:val="105"/>
                                  <w:sz w:val="20"/>
                                </w:rPr>
                                <w:t>echopraxia.</w:t>
                              </w:r>
                            </w:p>
                            <w:p w:rsidR="00E675F0" w:rsidRDefault="00E675F0" w:rsidP="003048D3">
                              <w:pPr>
                                <w:numPr>
                                  <w:ilvl w:val="1"/>
                                  <w:numId w:val="47"/>
                                </w:numPr>
                                <w:tabs>
                                  <w:tab w:val="left" w:pos="913"/>
                                </w:tabs>
                                <w:spacing w:before="184" w:line="256" w:lineRule="auto"/>
                                <w:ind w:left="916" w:right="255"/>
                                <w:jc w:val="both"/>
                                <w:rPr>
                                  <w:sz w:val="20"/>
                                </w:rPr>
                              </w:pPr>
                              <w:r>
                                <w:rPr>
                                  <w:w w:val="105"/>
                                  <w:sz w:val="20"/>
                                </w:rPr>
                                <w:t>There is evidence from the history, physical examination, or laboratory findings that the disturbance is the direct physiological consequence  of a general medical</w:t>
                              </w:r>
                              <w:r>
                                <w:rPr>
                                  <w:spacing w:val="29"/>
                                  <w:w w:val="105"/>
                                  <w:sz w:val="20"/>
                                </w:rPr>
                                <w:t xml:space="preserve"> </w:t>
                              </w:r>
                              <w:r>
                                <w:rPr>
                                  <w:w w:val="105"/>
                                  <w:sz w:val="20"/>
                                </w:rPr>
                                <w:t>condition.</w:t>
                              </w:r>
                            </w:p>
                            <w:p w:rsidR="00E675F0" w:rsidRDefault="00E675F0" w:rsidP="00E675F0">
                              <w:pPr>
                                <w:spacing w:line="227" w:lineRule="exact"/>
                                <w:ind w:right="246"/>
                                <w:jc w:val="right"/>
                                <w:rPr>
                                  <w:i/>
                                  <w:sz w:val="20"/>
                                </w:rPr>
                              </w:pPr>
                              <w:r>
                                <w:rPr>
                                  <w:i/>
                                  <w:w w:val="110"/>
                                  <w:sz w:val="20"/>
                                </w:rPr>
                                <w:t>(continued)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B807BE" id="Group 1390" o:spid="_x0000_s1098" style="position:absolute;margin-left:38.05pt;margin-top:9.4pt;width:375.25pt;height:173.05pt;z-index:-251452416;mso-wrap-distance-left:0;mso-wrap-distance-right:0;mso-position-horizontal-relative:page;mso-position-vertical-relative:text" coordorigin="761,188" coordsize="7505,34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">
                <v:line id="Line 1394" o:spid="_x0000_s1099" style="position:absolute;visibility:visible;mso-wrap-style:square" from="766,3630" to="766,36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" strokeweight=".16972mm">
                  <o:lock v:ext="edit" shapetype="f"/>
                </v:line>
                <v:line id="Line 1393" o:spid="_x0000_s1100" style="position:absolute;visibility:visible;mso-wrap-style:square" from="858,3553" to="858,35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" strokeweight=".67883mm">
                  <o:lock v:ext="edit" shapetype="f"/>
                </v:line>
                <v:shape id="AutoShape 1392" o:spid="_x0000_s1101" style="position:absolute;left:761;top:188;width:7505;height:3461;visibility:visible;mso-wrap-style:square;v-text-anchor:top" coordsize="7505,34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" path="m7414,3461l7414,m,77r7505,m,3360r7505,e" filled="f" strokeweight=".93303mm">
                  <v:path arrowok="t" o:connecttype="custom" o:connectlocs="7414,3649;7414,188;0,265;7505,265;0,3548;7505,3548" o:connectangles="0,0,0,0,0,0"/>
                </v:shape>
                <v:shape id="Text Box 1391" o:spid="_x0000_s1102" type="#_x0000_t202" style="position:absolute;left:876;top:291;width:7272;height:3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" filled="f" stroked="f">
                  <v:path arrowok="t"/>
                  <v:textbox inset="0,0,0,0">
                    <w:txbxContent>
                      <w:p w:rsidR="00E675F0" w:rsidRDefault="00E675F0" w:rsidP="003048D3">
                        <w:pPr>
                          <w:numPr>
                            <w:ilvl w:val="0"/>
                            <w:numId w:val="47"/>
                          </w:numPr>
                          <w:tabs>
                            <w:tab w:val="left" w:pos="594"/>
                            <w:tab w:val="left" w:pos="1347"/>
                          </w:tabs>
                          <w:spacing w:before="78" w:line="184" w:lineRule="auto"/>
                          <w:ind w:right="392" w:hanging="384"/>
                          <w:rPr>
                            <w:rFonts w:ascii="TimesNewRomanPS-BoldItalicMT"/>
                            <w:b/>
                            <w:i/>
                            <w:sz w:val="28"/>
                          </w:rPr>
                        </w:pPr>
                        <w:r>
                          <w:rPr>
                            <w:rFonts w:ascii="Arial"/>
                            <w:b/>
                            <w:sz w:val="24"/>
                          </w:rPr>
                          <w:t>Diagnostic criteria for 293.89 Catatonic Disorder Due to</w:t>
                        </w:r>
                        <w:r>
                          <w:rPr>
                            <w:rFonts w:ascii="Arial"/>
                            <w:b/>
                            <w:spacing w:val="6"/>
                            <w:sz w:val="24"/>
                          </w:rPr>
                          <w:t xml:space="preserve"> </w:t>
                        </w:r>
                        <w:r>
                          <w:rPr>
                            <w:rFonts w:ascii="Arial"/>
                            <w:sz w:val="24"/>
                          </w:rPr>
                          <w:t>...</w:t>
                        </w:r>
                        <w:r>
                          <w:rPr>
                            <w:rFonts w:ascii="Arial"/>
                            <w:sz w:val="24"/>
                          </w:rPr>
                          <w:tab/>
                        </w:r>
                        <w:r>
                          <w:rPr>
                            <w:rFonts w:ascii="TimesNewRomanPS-BoldItalicMT"/>
                            <w:b/>
                            <w:i/>
                            <w:sz w:val="28"/>
                          </w:rPr>
                          <w:t>(Indicate the General Medical</w:t>
                        </w:r>
                        <w:r>
                          <w:rPr>
                            <w:rFonts w:ascii="TimesNewRomanPS-BoldItalicMT"/>
                            <w:b/>
                            <w:i/>
                            <w:spacing w:val="-41"/>
                            <w:sz w:val="28"/>
                          </w:rPr>
                          <w:t xml:space="preserve"> </w:t>
                        </w:r>
                        <w:r>
                          <w:rPr>
                            <w:rFonts w:ascii="TimesNewRomanPS-BoldItalicMT"/>
                            <w:b/>
                            <w:i/>
                            <w:sz w:val="28"/>
                          </w:rPr>
                          <w:t>Condition)</w:t>
                        </w:r>
                      </w:p>
                      <w:p w:rsidR="00E675F0" w:rsidRDefault="00E675F0" w:rsidP="003048D3">
                        <w:pPr>
                          <w:numPr>
                            <w:ilvl w:val="1"/>
                            <w:numId w:val="47"/>
                          </w:numPr>
                          <w:tabs>
                            <w:tab w:val="left" w:pos="913"/>
                          </w:tabs>
                          <w:spacing w:before="229" w:line="256" w:lineRule="auto"/>
                          <w:ind w:right="255" w:hanging="305"/>
                          <w:jc w:val="both"/>
                          <w:rPr>
                            <w:sz w:val="20"/>
                          </w:rPr>
                        </w:pPr>
                        <w:r>
                          <w:rPr>
                            <w:w w:val="105"/>
                            <w:sz w:val="20"/>
                          </w:rPr>
                          <w:t>The presence of catatonia as manifested by motoric immobility, exces­ sive motor activity (that is apparently purposeless and  not influenced by external stimuli), extreme negativism or mutism, peculiarities of voluntary movement, or echolalia or</w:t>
                        </w:r>
                        <w:r>
                          <w:rPr>
                            <w:spacing w:val="-33"/>
                            <w:w w:val="105"/>
                            <w:sz w:val="20"/>
                          </w:rPr>
                          <w:t xml:space="preserve"> </w:t>
                        </w:r>
                        <w:r>
                          <w:rPr>
                            <w:w w:val="105"/>
                            <w:sz w:val="20"/>
                          </w:rPr>
                          <w:t>echopraxia.</w:t>
                        </w:r>
                      </w:p>
                      <w:p w:rsidR="00E675F0" w:rsidRDefault="00E675F0" w:rsidP="003048D3">
                        <w:pPr>
                          <w:numPr>
                            <w:ilvl w:val="1"/>
                            <w:numId w:val="47"/>
                          </w:numPr>
                          <w:tabs>
                            <w:tab w:val="left" w:pos="913"/>
                          </w:tabs>
                          <w:spacing w:before="184" w:line="256" w:lineRule="auto"/>
                          <w:ind w:left="916" w:right="255"/>
                          <w:jc w:val="both"/>
                          <w:rPr>
                            <w:sz w:val="20"/>
                          </w:rPr>
                        </w:pPr>
                        <w:r>
                          <w:rPr>
                            <w:w w:val="105"/>
                            <w:sz w:val="20"/>
                          </w:rPr>
                          <w:t>There is evidence from the history, physical examination, or laboratory findings that the disturbance is the direct physiological consequence  of a general medical</w:t>
                        </w:r>
                        <w:r>
                          <w:rPr>
                            <w:spacing w:val="29"/>
                            <w:w w:val="105"/>
                            <w:sz w:val="20"/>
                          </w:rPr>
                          <w:t xml:space="preserve"> </w:t>
                        </w:r>
                        <w:r>
                          <w:rPr>
                            <w:w w:val="105"/>
                            <w:sz w:val="20"/>
                          </w:rPr>
                          <w:t>condition.</w:t>
                        </w:r>
                      </w:p>
                      <w:p w:rsidR="00E675F0" w:rsidRDefault="00E675F0" w:rsidP="00E675F0">
                        <w:pPr>
                          <w:spacing w:line="227" w:lineRule="exact"/>
                          <w:ind w:right="246"/>
                          <w:jc w:val="right"/>
                          <w:rPr>
                            <w:i/>
                            <w:sz w:val="20"/>
                          </w:rPr>
                        </w:pPr>
                        <w:r>
                          <w:rPr>
                            <w:i/>
                            <w:w w:val="110"/>
                            <w:sz w:val="20"/>
                          </w:rPr>
                          <w:t>(continued)</w:t>
                        </w:r>
                      </w:p>
                    </w:txbxContent>
                  </v:textbox>
                </v:shape>
                <w10:wrap type="topAndBottom" anchorx="page"/>
              </v:group>
            </w:pict>
          </mc:Fallback>
        </mc:AlternateContent>
      </w:r>
    </w:p>
    <w:p w:rsidR="00E675F0" w:rsidRDefault="00E675F0" w:rsidP="00E675F0">
      <w:pPr>
        <w:rPr>
          <w:sz w:val="10"/>
        </w:rPr>
        <w:sectPr w:rsidR="00E675F0">
          <w:pgSz w:w="8960" w:h="14260"/>
          <w:pgMar w:top="1400" w:right="580" w:bottom="280" w:left="600" w:header="684" w:footer="0" w:gutter="0"/>
          <w:cols w:space="720"/>
        </w:sectPr>
      </w:pPr>
    </w:p>
    <w:p w:rsidR="00E675F0" w:rsidRDefault="00E675F0" w:rsidP="00E675F0">
      <w:pPr>
        <w:pStyle w:val="BodyText"/>
        <w:spacing w:before="9"/>
        <w:rPr>
          <w:sz w:val="9"/>
        </w:rPr>
      </w:pPr>
      <w:r>
        <w:rPr>
          <w:noProof/>
        </w:rPr>
        <w:lastRenderedPageBreak/>
        <mc:AlternateContent>
          <mc:Choice Requires="wps">
            <w:drawing>
              <wp:anchor distT="0" distB="0" distL="114300" distR="114300" simplePos="0" relativeHeight="251701248" behindDoc="0" locked="0" layoutInCell="1" allowOverlap="1" wp14:anchorId="171A319B" wp14:editId="62EDBC48">
                <wp:simplePos x="0" y="0"/>
                <wp:positionH relativeFrom="page">
                  <wp:posOffset>456565</wp:posOffset>
                </wp:positionH>
                <wp:positionV relativeFrom="page">
                  <wp:posOffset>987425</wp:posOffset>
                </wp:positionV>
                <wp:extent cx="4765675" cy="0"/>
                <wp:effectExtent l="0" t="12700" r="22225" b="12700"/>
                <wp:wrapNone/>
                <wp:docPr id="1433" name="Line 13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765675" cy="0"/>
                        </a:xfrm>
                        <a:prstGeom prst="line">
                          <a:avLst/>
                        </a:prstGeom>
                        <a:noFill/>
                        <a:ln w="335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F3ADB5" id="Line 1389" o:spid="_x0000_s1026" style="position:absolute;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95pt,77.75pt" to="411.2pt,77.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" strokeweight=".93264mm">
                <o:lock v:ext="edit" shapetype="f"/>
                <w10:wrap anchorx="page" anchory="page"/>
              </v:line>
            </w:pict>
          </mc:Fallback>
        </mc:AlternateContent>
      </w:r>
    </w:p>
    <w:tbl>
      <w:tblPr>
        <w:tblW w:w="0" w:type="auto"/>
        <w:tblInd w:w="234"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7331"/>
      </w:tblGrid>
      <w:tr w:rsidR="00E675F0" w:rsidTr="00A330E1">
        <w:trPr>
          <w:trHeight w:val="3078"/>
        </w:trPr>
        <w:tc>
          <w:tcPr>
            <w:tcW w:w="7331" w:type="dxa"/>
          </w:tcPr>
          <w:p w:rsidR="00E675F0" w:rsidRDefault="00E675F0" w:rsidP="00A330E1">
            <w:pPr>
              <w:pStyle w:val="TableParagraph"/>
              <w:tabs>
                <w:tab w:val="left" w:pos="1297"/>
              </w:tabs>
              <w:spacing w:before="219" w:line="218" w:lineRule="auto"/>
              <w:ind w:left="584" w:right="870" w:hanging="316"/>
              <w:rPr>
                <w:rFonts w:ascii="Arial"/>
                <w:i/>
                <w:sz w:val="21"/>
              </w:rPr>
            </w:pPr>
            <w:bookmarkStart w:id="111" w:name="_bookmark93"/>
            <w:bookmarkEnd w:id="111"/>
            <w:r>
              <w:rPr>
                <w:rFonts w:ascii="Arial"/>
                <w:b/>
              </w:rPr>
              <w:t>D Diagnostic  criteria  for 293.89 Catatonic Disorder  Due to</w:t>
            </w:r>
            <w:r>
              <w:rPr>
                <w:rFonts w:ascii="Arial"/>
                <w:b/>
                <w:spacing w:val="5"/>
              </w:rPr>
              <w:t xml:space="preserve"> </w:t>
            </w:r>
            <w:r>
              <w:rPr>
                <w:rFonts w:ascii="Arial"/>
              </w:rPr>
              <w:t>...</w:t>
            </w:r>
            <w:r>
              <w:rPr>
                <w:rFonts w:ascii="Arial"/>
              </w:rPr>
              <w:tab/>
            </w:r>
            <w:r>
              <w:rPr>
                <w:rFonts w:ascii="TimesNewRomanPS-BoldItalicMT"/>
                <w:b/>
                <w:i/>
                <w:w w:val="95"/>
                <w:sz w:val="25"/>
              </w:rPr>
              <w:t>[Indicate tlie General Medical Condition]</w:t>
            </w:r>
            <w:r>
              <w:rPr>
                <w:rFonts w:ascii="TimesNewRomanPS-BoldItalicMT"/>
                <w:b/>
                <w:i/>
                <w:spacing w:val="-33"/>
                <w:w w:val="95"/>
                <w:sz w:val="25"/>
              </w:rPr>
              <w:t xml:space="preserve"> </w:t>
            </w:r>
            <w:r>
              <w:rPr>
                <w:rFonts w:ascii="Arial"/>
                <w:i/>
                <w:w w:val="95"/>
                <w:sz w:val="21"/>
              </w:rPr>
              <w:t>(continued)</w:t>
            </w:r>
          </w:p>
          <w:p w:rsidR="00E675F0" w:rsidRDefault="00E675F0" w:rsidP="00A330E1">
            <w:pPr>
              <w:pStyle w:val="TableParagraph"/>
              <w:spacing w:before="211" w:line="244" w:lineRule="auto"/>
              <w:ind w:left="955" w:right="296" w:hanging="303"/>
              <w:rPr>
                <w:sz w:val="20"/>
              </w:rPr>
            </w:pPr>
            <w:r>
              <w:rPr>
                <w:rFonts w:ascii="Arial"/>
                <w:w w:val="105"/>
                <w:sz w:val="16"/>
              </w:rPr>
              <w:t xml:space="preserve">C. </w:t>
            </w:r>
            <w:r>
              <w:rPr>
                <w:w w:val="105"/>
                <w:sz w:val="20"/>
              </w:rPr>
              <w:t>The disturbance is not better accounted for by another mental disorder (e.g., a Manic Episode).</w:t>
            </w:r>
          </w:p>
          <w:p w:rsidR="00E675F0" w:rsidRDefault="00E675F0" w:rsidP="00A330E1">
            <w:pPr>
              <w:pStyle w:val="TableParagraph"/>
              <w:spacing w:before="4"/>
              <w:rPr>
                <w:sz w:val="17"/>
              </w:rPr>
            </w:pPr>
          </w:p>
          <w:p w:rsidR="00E675F0" w:rsidRDefault="00E675F0" w:rsidP="00A330E1">
            <w:pPr>
              <w:pStyle w:val="TableParagraph"/>
              <w:spacing w:line="256" w:lineRule="auto"/>
              <w:ind w:left="956" w:right="296" w:hanging="300"/>
              <w:rPr>
                <w:sz w:val="20"/>
              </w:rPr>
            </w:pPr>
            <w:r>
              <w:rPr>
                <w:w w:val="105"/>
                <w:sz w:val="20"/>
              </w:rPr>
              <w:t>D. The disturbance does not occur exclusively during the course of a delirium.</w:t>
            </w:r>
          </w:p>
          <w:p w:rsidR="00E675F0" w:rsidRDefault="00E675F0" w:rsidP="00A330E1">
            <w:pPr>
              <w:pStyle w:val="TableParagraph"/>
              <w:spacing w:before="137"/>
              <w:ind w:left="653"/>
              <w:rPr>
                <w:sz w:val="18"/>
              </w:rPr>
            </w:pPr>
            <w:r>
              <w:rPr>
                <w:b/>
                <w:w w:val="105"/>
                <w:sz w:val="18"/>
              </w:rPr>
              <w:t xml:space="preserve">Coding note: </w:t>
            </w:r>
            <w:r>
              <w:rPr>
                <w:w w:val="105"/>
                <w:sz w:val="18"/>
              </w:rPr>
              <w:t>Include the name of the general medical condition on Axis I, e.g.,</w:t>
            </w:r>
          </w:p>
          <w:p w:rsidR="00E675F0" w:rsidRDefault="00E675F0" w:rsidP="00A330E1">
            <w:pPr>
              <w:pStyle w:val="TableParagraph"/>
              <w:spacing w:before="9" w:line="244" w:lineRule="auto"/>
              <w:ind w:left="658" w:right="296" w:firstLine="7"/>
              <w:rPr>
                <w:sz w:val="18"/>
              </w:rPr>
            </w:pPr>
            <w:r>
              <w:rPr>
                <w:w w:val="105"/>
                <w:sz w:val="18"/>
              </w:rPr>
              <w:t>293.89 Catatonic Disorder Due to Hepatic Encephalopathy; also code the general medical condition on Axis III (see Appendix G for codes).</w:t>
            </w:r>
          </w:p>
        </w:tc>
      </w:tr>
    </w:tbl>
    <w:p w:rsidR="00E675F0" w:rsidRDefault="00E675F0" w:rsidP="00E675F0">
      <w:pPr>
        <w:pStyle w:val="BodyText"/>
      </w:pPr>
    </w:p>
    <w:p w:rsidR="00E675F0" w:rsidRDefault="00E675F0" w:rsidP="00E675F0">
      <w:pPr>
        <w:pStyle w:val="BodyText"/>
        <w:spacing w:before="6"/>
        <w:rPr>
          <w:sz w:val="24"/>
        </w:rPr>
      </w:pPr>
    </w:p>
    <w:p w:rsidR="00E675F0" w:rsidRDefault="00E675F0" w:rsidP="00E675F0">
      <w:pPr>
        <w:tabs>
          <w:tab w:val="left" w:pos="3121"/>
        </w:tabs>
        <w:spacing w:before="92"/>
        <w:ind w:left="2202"/>
        <w:rPr>
          <w:rFonts w:ascii="Arial"/>
          <w:b/>
          <w:sz w:val="25"/>
        </w:rPr>
      </w:pPr>
      <w:r>
        <w:rPr>
          <w:noProof/>
        </w:rPr>
        <mc:AlternateContent>
          <mc:Choice Requires="wps">
            <w:drawing>
              <wp:anchor distT="0" distB="0" distL="114300" distR="114300" simplePos="0" relativeHeight="251702272" behindDoc="0" locked="0" layoutInCell="1" allowOverlap="1" wp14:anchorId="555D001B" wp14:editId="6BD9DF80">
                <wp:simplePos x="0" y="0"/>
                <wp:positionH relativeFrom="page">
                  <wp:posOffset>468630</wp:posOffset>
                </wp:positionH>
                <wp:positionV relativeFrom="paragraph">
                  <wp:posOffset>-342265</wp:posOffset>
                </wp:positionV>
                <wp:extent cx="4753610" cy="0"/>
                <wp:effectExtent l="0" t="12700" r="21590" b="12700"/>
                <wp:wrapNone/>
                <wp:docPr id="1432" name="Line 13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753610" cy="0"/>
                        </a:xfrm>
                        <a:prstGeom prst="line">
                          <a:avLst/>
                        </a:prstGeom>
                        <a:noFill/>
                        <a:ln w="335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31996B" id="Line 1388" o:spid="_x0000_s1026" style="position:absolute;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9pt,-26.95pt" to="411.2pt,-2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" strokeweight=".93264mm">
                <o:lock v:ext="edit" shapetype="f"/>
                <w10:wrap anchorx="page"/>
              </v:line>
            </w:pict>
          </mc:Fallback>
        </mc:AlternateContent>
      </w:r>
      <w:r>
        <w:rPr>
          <w:rFonts w:ascii="Arial"/>
          <w:b/>
          <w:w w:val="105"/>
          <w:sz w:val="25"/>
        </w:rPr>
        <w:t>310.1</w:t>
      </w:r>
      <w:r>
        <w:rPr>
          <w:rFonts w:ascii="Arial"/>
          <w:b/>
          <w:w w:val="105"/>
          <w:sz w:val="25"/>
        </w:rPr>
        <w:tab/>
        <w:t>Personality</w:t>
      </w:r>
      <w:r>
        <w:rPr>
          <w:rFonts w:ascii="Arial"/>
          <w:b/>
          <w:spacing w:val="4"/>
          <w:w w:val="105"/>
          <w:sz w:val="25"/>
        </w:rPr>
        <w:t xml:space="preserve"> </w:t>
      </w:r>
      <w:r>
        <w:rPr>
          <w:rFonts w:ascii="Arial"/>
          <w:b/>
          <w:w w:val="105"/>
          <w:sz w:val="25"/>
        </w:rPr>
        <w:t>Change</w:t>
      </w:r>
    </w:p>
    <w:p w:rsidR="00E675F0" w:rsidRDefault="00E675F0" w:rsidP="00E675F0">
      <w:pPr>
        <w:spacing w:before="11"/>
        <w:ind w:left="1592"/>
        <w:rPr>
          <w:rFonts w:ascii="Arial"/>
          <w:b/>
          <w:sz w:val="25"/>
        </w:rPr>
      </w:pPr>
      <w:r>
        <w:rPr>
          <w:rFonts w:ascii="Arial"/>
          <w:b/>
          <w:w w:val="110"/>
          <w:sz w:val="25"/>
        </w:rPr>
        <w:t>Due to a General Medical Condition</w:t>
      </w:r>
    </w:p>
    <w:p w:rsidR="00E675F0" w:rsidRDefault="00E675F0" w:rsidP="00E675F0">
      <w:pPr>
        <w:pStyle w:val="BodyText"/>
        <w:spacing w:before="8"/>
        <w:rPr>
          <w:rFonts w:ascii="Arial"/>
          <w:b/>
          <w:sz w:val="27"/>
        </w:rPr>
      </w:pPr>
    </w:p>
    <w:p w:rsidR="00E675F0" w:rsidRDefault="00E675F0" w:rsidP="00E675F0">
      <w:pPr>
        <w:ind w:left="111"/>
        <w:jc w:val="both"/>
        <w:rPr>
          <w:rFonts w:ascii="TimesNewRomanPS-BoldItalicMT"/>
          <w:b/>
          <w:i/>
          <w:sz w:val="24"/>
        </w:rPr>
      </w:pPr>
      <w:r>
        <w:rPr>
          <w:rFonts w:ascii="TimesNewRomanPS-BoldItalicMT"/>
          <w:b/>
          <w:i/>
          <w:w w:val="120"/>
          <w:sz w:val="24"/>
        </w:rPr>
        <w:t>magnostic Features</w:t>
      </w:r>
    </w:p>
    <w:p w:rsidR="00E675F0" w:rsidRDefault="00E675F0" w:rsidP="00E675F0">
      <w:pPr>
        <w:pStyle w:val="BodyText"/>
        <w:spacing w:before="141" w:line="252" w:lineRule="auto"/>
        <w:ind w:left="132" w:right="170" w:hanging="5"/>
        <w:jc w:val="both"/>
      </w:pPr>
      <w:r>
        <w:rPr>
          <w:w w:val="105"/>
        </w:rPr>
        <w:t>The essential feature of a Personality Change Due to a General Medical Condition is a persistent personality disturbance that is judged to be due to the direct physiological effects of a general medical condition. The personality disturbance represents a change from the individual's previous characteristic personality pattern. In children, this condition may be manifested as a marked deviation from normal development rather than as a change in a stable personality pattern (Criterion A). There must be evidence from</w:t>
      </w:r>
      <w:r>
        <w:rPr>
          <w:spacing w:val="-8"/>
          <w:w w:val="105"/>
        </w:rPr>
        <w:t xml:space="preserve"> </w:t>
      </w:r>
      <w:r>
        <w:rPr>
          <w:w w:val="105"/>
        </w:rPr>
        <w:t>the</w:t>
      </w:r>
      <w:r>
        <w:rPr>
          <w:spacing w:val="-10"/>
          <w:w w:val="105"/>
        </w:rPr>
        <w:t xml:space="preserve"> </w:t>
      </w:r>
      <w:r>
        <w:rPr>
          <w:w w:val="105"/>
        </w:rPr>
        <w:t>history,</w:t>
      </w:r>
      <w:r>
        <w:rPr>
          <w:spacing w:val="-4"/>
          <w:w w:val="105"/>
        </w:rPr>
        <w:t xml:space="preserve"> </w:t>
      </w:r>
      <w:r>
        <w:rPr>
          <w:w w:val="105"/>
        </w:rPr>
        <w:t>physical</w:t>
      </w:r>
      <w:r>
        <w:rPr>
          <w:spacing w:val="-7"/>
          <w:w w:val="105"/>
        </w:rPr>
        <w:t xml:space="preserve"> </w:t>
      </w:r>
      <w:r>
        <w:rPr>
          <w:w w:val="105"/>
        </w:rPr>
        <w:t>examination,</w:t>
      </w:r>
      <w:r>
        <w:rPr>
          <w:spacing w:val="9"/>
          <w:w w:val="105"/>
        </w:rPr>
        <w:t xml:space="preserve"> </w:t>
      </w:r>
      <w:r>
        <w:rPr>
          <w:w w:val="105"/>
        </w:rPr>
        <w:t>or</w:t>
      </w:r>
      <w:r>
        <w:rPr>
          <w:spacing w:val="-13"/>
          <w:w w:val="105"/>
        </w:rPr>
        <w:t xml:space="preserve"> </w:t>
      </w:r>
      <w:r>
        <w:rPr>
          <w:w w:val="105"/>
        </w:rPr>
        <w:t>laboratory</w:t>
      </w:r>
      <w:r>
        <w:rPr>
          <w:spacing w:val="-1"/>
          <w:w w:val="105"/>
        </w:rPr>
        <w:t xml:space="preserve"> </w:t>
      </w:r>
      <w:r>
        <w:rPr>
          <w:w w:val="105"/>
        </w:rPr>
        <w:t>findings</w:t>
      </w:r>
      <w:r>
        <w:rPr>
          <w:spacing w:val="-6"/>
          <w:w w:val="105"/>
        </w:rPr>
        <w:t xml:space="preserve"> </w:t>
      </w:r>
      <w:r>
        <w:rPr>
          <w:w w:val="105"/>
        </w:rPr>
        <w:t>that</w:t>
      </w:r>
      <w:r>
        <w:rPr>
          <w:spacing w:val="-12"/>
          <w:w w:val="105"/>
        </w:rPr>
        <w:t xml:space="preserve"> </w:t>
      </w:r>
      <w:r>
        <w:rPr>
          <w:w w:val="105"/>
        </w:rPr>
        <w:t>the</w:t>
      </w:r>
      <w:r>
        <w:rPr>
          <w:spacing w:val="-9"/>
          <w:w w:val="105"/>
        </w:rPr>
        <w:t xml:space="preserve"> </w:t>
      </w:r>
      <w:r>
        <w:rPr>
          <w:w w:val="105"/>
        </w:rPr>
        <w:t>personality</w:t>
      </w:r>
      <w:r>
        <w:rPr>
          <w:spacing w:val="-2"/>
          <w:w w:val="105"/>
        </w:rPr>
        <w:t xml:space="preserve"> </w:t>
      </w:r>
      <w:r>
        <w:rPr>
          <w:w w:val="105"/>
        </w:rPr>
        <w:t>change is the direct physiological consequence of a general medical condition (Criterion  B). The diagnosis is not given if the disturbance is better accounted for by another mental disorder (Criterion C). The diagnosis is not given if the disturbance occurs exclusively during</w:t>
      </w:r>
      <w:r>
        <w:rPr>
          <w:spacing w:val="-6"/>
          <w:w w:val="105"/>
        </w:rPr>
        <w:t xml:space="preserve"> </w:t>
      </w:r>
      <w:r>
        <w:rPr>
          <w:w w:val="105"/>
        </w:rPr>
        <w:t>the</w:t>
      </w:r>
      <w:r>
        <w:rPr>
          <w:spacing w:val="-11"/>
          <w:w w:val="105"/>
        </w:rPr>
        <w:t xml:space="preserve"> </w:t>
      </w:r>
      <w:r>
        <w:rPr>
          <w:w w:val="105"/>
        </w:rPr>
        <w:t>course of a</w:t>
      </w:r>
      <w:r>
        <w:rPr>
          <w:spacing w:val="-8"/>
          <w:w w:val="105"/>
        </w:rPr>
        <w:t xml:space="preserve"> </w:t>
      </w:r>
      <w:r>
        <w:rPr>
          <w:w w:val="105"/>
        </w:rPr>
        <w:t>delirium</w:t>
      </w:r>
      <w:r>
        <w:rPr>
          <w:spacing w:val="-3"/>
          <w:w w:val="105"/>
        </w:rPr>
        <w:t xml:space="preserve"> </w:t>
      </w:r>
      <w:r>
        <w:rPr>
          <w:w w:val="105"/>
        </w:rPr>
        <w:t>or</w:t>
      </w:r>
      <w:r>
        <w:rPr>
          <w:spacing w:val="-2"/>
          <w:w w:val="105"/>
        </w:rPr>
        <w:t xml:space="preserve"> </w:t>
      </w:r>
      <w:r>
        <w:rPr>
          <w:w w:val="105"/>
        </w:rPr>
        <w:t>if</w:t>
      </w:r>
      <w:r>
        <w:rPr>
          <w:spacing w:val="-9"/>
          <w:w w:val="105"/>
        </w:rPr>
        <w:t xml:space="preserve"> </w:t>
      </w:r>
      <w:r>
        <w:rPr>
          <w:w w:val="105"/>
        </w:rPr>
        <w:t>symptoms</w:t>
      </w:r>
      <w:r>
        <w:rPr>
          <w:spacing w:val="3"/>
          <w:w w:val="105"/>
        </w:rPr>
        <w:t xml:space="preserve"> </w:t>
      </w:r>
      <w:r>
        <w:rPr>
          <w:w w:val="105"/>
        </w:rPr>
        <w:t>meet</w:t>
      </w:r>
      <w:r>
        <w:rPr>
          <w:spacing w:val="-6"/>
          <w:w w:val="105"/>
        </w:rPr>
        <w:t xml:space="preserve"> </w:t>
      </w:r>
      <w:r>
        <w:rPr>
          <w:w w:val="105"/>
        </w:rPr>
        <w:t>the</w:t>
      </w:r>
      <w:r>
        <w:rPr>
          <w:spacing w:val="-3"/>
          <w:w w:val="105"/>
        </w:rPr>
        <w:t xml:space="preserve"> </w:t>
      </w:r>
      <w:r>
        <w:rPr>
          <w:w w:val="105"/>
        </w:rPr>
        <w:t>criteria</w:t>
      </w:r>
      <w:r>
        <w:rPr>
          <w:spacing w:val="1"/>
          <w:w w:val="105"/>
        </w:rPr>
        <w:t xml:space="preserve"> </w:t>
      </w:r>
      <w:r>
        <w:rPr>
          <w:w w:val="105"/>
        </w:rPr>
        <w:t>for</w:t>
      </w:r>
      <w:r>
        <w:rPr>
          <w:spacing w:val="-9"/>
          <w:w w:val="105"/>
        </w:rPr>
        <w:t xml:space="preserve"> </w:t>
      </w:r>
      <w:r>
        <w:rPr>
          <w:w w:val="105"/>
        </w:rPr>
        <w:t>a</w:t>
      </w:r>
      <w:r>
        <w:rPr>
          <w:spacing w:val="-9"/>
          <w:w w:val="105"/>
        </w:rPr>
        <w:t xml:space="preserve"> </w:t>
      </w:r>
      <w:r>
        <w:rPr>
          <w:w w:val="105"/>
        </w:rPr>
        <w:t>dementia</w:t>
      </w:r>
      <w:r>
        <w:rPr>
          <w:spacing w:val="1"/>
          <w:w w:val="105"/>
        </w:rPr>
        <w:t xml:space="preserve"> </w:t>
      </w:r>
      <w:r>
        <w:rPr>
          <w:w w:val="105"/>
        </w:rPr>
        <w:t>(Criterion D).</w:t>
      </w:r>
      <w:r>
        <w:rPr>
          <w:spacing w:val="-17"/>
          <w:w w:val="105"/>
        </w:rPr>
        <w:t xml:space="preserve"> </w:t>
      </w:r>
      <w:r>
        <w:rPr>
          <w:w w:val="105"/>
        </w:rPr>
        <w:t>The</w:t>
      </w:r>
      <w:r>
        <w:rPr>
          <w:spacing w:val="-12"/>
          <w:w w:val="105"/>
        </w:rPr>
        <w:t xml:space="preserve"> </w:t>
      </w:r>
      <w:r>
        <w:rPr>
          <w:w w:val="105"/>
        </w:rPr>
        <w:t>disturbance must</w:t>
      </w:r>
      <w:r>
        <w:rPr>
          <w:spacing w:val="-14"/>
          <w:w w:val="105"/>
        </w:rPr>
        <w:t xml:space="preserve"> </w:t>
      </w:r>
      <w:r>
        <w:rPr>
          <w:w w:val="105"/>
        </w:rPr>
        <w:t>also</w:t>
      </w:r>
      <w:r>
        <w:rPr>
          <w:spacing w:val="-18"/>
          <w:w w:val="105"/>
        </w:rPr>
        <w:t xml:space="preserve"> </w:t>
      </w:r>
      <w:r>
        <w:rPr>
          <w:w w:val="105"/>
        </w:rPr>
        <w:t>cause</w:t>
      </w:r>
      <w:r>
        <w:rPr>
          <w:spacing w:val="-14"/>
          <w:w w:val="105"/>
        </w:rPr>
        <w:t xml:space="preserve"> </w:t>
      </w:r>
      <w:r>
        <w:rPr>
          <w:w w:val="105"/>
        </w:rPr>
        <w:t>clinically</w:t>
      </w:r>
      <w:r>
        <w:rPr>
          <w:spacing w:val="-13"/>
          <w:w w:val="105"/>
        </w:rPr>
        <w:t xml:space="preserve"> </w:t>
      </w:r>
      <w:r>
        <w:rPr>
          <w:w w:val="105"/>
        </w:rPr>
        <w:t>significant</w:t>
      </w:r>
      <w:r>
        <w:rPr>
          <w:spacing w:val="-5"/>
          <w:w w:val="105"/>
        </w:rPr>
        <w:t xml:space="preserve"> </w:t>
      </w:r>
      <w:r>
        <w:rPr>
          <w:w w:val="105"/>
        </w:rPr>
        <w:t>distress</w:t>
      </w:r>
      <w:r>
        <w:rPr>
          <w:spacing w:val="-11"/>
          <w:w w:val="105"/>
        </w:rPr>
        <w:t xml:space="preserve"> </w:t>
      </w:r>
      <w:r>
        <w:rPr>
          <w:w w:val="105"/>
        </w:rPr>
        <w:t>or</w:t>
      </w:r>
      <w:r>
        <w:rPr>
          <w:spacing w:val="-12"/>
          <w:w w:val="105"/>
        </w:rPr>
        <w:t xml:space="preserve"> </w:t>
      </w:r>
      <w:r>
        <w:rPr>
          <w:w w:val="105"/>
        </w:rPr>
        <w:t>impairment</w:t>
      </w:r>
      <w:r>
        <w:rPr>
          <w:spacing w:val="-3"/>
          <w:w w:val="105"/>
        </w:rPr>
        <w:t xml:space="preserve"> </w:t>
      </w:r>
      <w:r>
        <w:rPr>
          <w:w w:val="105"/>
        </w:rPr>
        <w:t>in</w:t>
      </w:r>
      <w:r>
        <w:rPr>
          <w:spacing w:val="-18"/>
          <w:w w:val="105"/>
        </w:rPr>
        <w:t xml:space="preserve"> </w:t>
      </w:r>
      <w:r>
        <w:rPr>
          <w:w w:val="105"/>
        </w:rPr>
        <w:t>social, occupational, or other important areas of functioning (Criterion</w:t>
      </w:r>
      <w:r>
        <w:rPr>
          <w:spacing w:val="22"/>
          <w:w w:val="105"/>
        </w:rPr>
        <w:t xml:space="preserve"> </w:t>
      </w:r>
      <w:r>
        <w:rPr>
          <w:w w:val="105"/>
        </w:rPr>
        <w:t>E).</w:t>
      </w:r>
    </w:p>
    <w:p w:rsidR="00E675F0" w:rsidRDefault="00E675F0" w:rsidP="00E675F0">
      <w:pPr>
        <w:pStyle w:val="BodyText"/>
        <w:spacing w:before="14" w:line="252" w:lineRule="auto"/>
        <w:ind w:left="132" w:right="160" w:firstLine="364"/>
        <w:jc w:val="both"/>
      </w:pPr>
      <w:r>
        <w:rPr>
          <w:w w:val="105"/>
        </w:rPr>
        <w:t>Common manifestations of the personality change include affective instability, poor impulse control, outbursts of aggression or rage grossly out of proportion to any precipitating psychosocial stressor, marked apathy, suspiciousness, or paranoid ideation. The phenomenology of the change is indicated using the subtypes listed below. An individual with the disorder is often characterized by others as "not himself [or herself]." Although it shares the term "personality" with the Axis II Personality Disorders, this diagnosis is coded on Axis I and is distinct by virtue of its specific etiology, different phenomenology, and more variable onset and course.</w:t>
      </w:r>
    </w:p>
    <w:p w:rsidR="00E675F0" w:rsidRDefault="00E675F0" w:rsidP="00E675F0">
      <w:pPr>
        <w:pStyle w:val="BodyText"/>
        <w:spacing w:before="5" w:line="256" w:lineRule="auto"/>
        <w:ind w:left="135" w:right="160" w:firstLine="357"/>
        <w:jc w:val="both"/>
      </w:pPr>
      <w:r>
        <w:rPr>
          <w:w w:val="105"/>
        </w:rPr>
        <w:t>The clinical presentation in a given individual may depend on the nature and localization of the pathological process. For example, injury to the frontal lobes may yield such symptoms as lack of judgment or foresight, facetiousness, disinhibition, and euphoria. Right hemisphere strokes have often been shown to evoke personality changes in association with unilateral spatial neglect, anosognosia (inability of the individual to recognize a bodily or functional deficit such as the existence of hemiparesis), motor impersistence, and other neurological deficits.</w:t>
      </w:r>
    </w:p>
    <w:p w:rsidR="00E675F0" w:rsidRDefault="00E675F0" w:rsidP="00E675F0">
      <w:pPr>
        <w:spacing w:line="256" w:lineRule="auto"/>
        <w:jc w:val="both"/>
        <w:sectPr w:rsidR="00E675F0">
          <w:headerReference w:type="even" r:id="rId156"/>
          <w:headerReference w:type="default" r:id="rId157"/>
          <w:pgSz w:w="8960" w:h="14260"/>
          <w:pgMar w:top="1400" w:right="580" w:bottom="280" w:left="600" w:header="690" w:footer="0" w:gutter="0"/>
          <w:cols w:space="720"/>
        </w:sectPr>
      </w:pPr>
    </w:p>
    <w:p w:rsidR="00E675F0" w:rsidRDefault="00E675F0" w:rsidP="00E675F0">
      <w:pPr>
        <w:spacing w:before="115"/>
        <w:ind w:left="147"/>
        <w:rPr>
          <w:rFonts w:ascii="TimesNewRomanPS-BoldItalicMT"/>
          <w:b/>
          <w:i/>
          <w:sz w:val="25"/>
        </w:rPr>
      </w:pPr>
      <w:r>
        <w:rPr>
          <w:rFonts w:ascii="TimesNewRomanPS-BoldItalicMT"/>
          <w:b/>
          <w:i/>
          <w:w w:val="110"/>
          <w:sz w:val="25"/>
        </w:rPr>
        <w:lastRenderedPageBreak/>
        <w:t>Subtypes</w:t>
      </w:r>
    </w:p>
    <w:p w:rsidR="00E675F0" w:rsidRDefault="00E675F0" w:rsidP="00E675F0">
      <w:pPr>
        <w:pStyle w:val="BodyText"/>
        <w:spacing w:before="134" w:line="256" w:lineRule="auto"/>
        <w:ind w:left="154" w:right="140" w:hanging="4"/>
        <w:jc w:val="both"/>
      </w:pPr>
      <w:r>
        <w:rPr>
          <w:w w:val="105"/>
        </w:rPr>
        <w:t>The particular personality change can be specified by indicating the symptom presen­ tation that predominates in the clinical presentation:</w:t>
      </w:r>
    </w:p>
    <w:p w:rsidR="00E675F0" w:rsidRDefault="00E675F0" w:rsidP="00E675F0">
      <w:pPr>
        <w:pStyle w:val="BodyText"/>
        <w:spacing w:before="60" w:line="256" w:lineRule="auto"/>
        <w:ind w:left="761" w:right="135" w:hanging="3"/>
        <w:jc w:val="both"/>
      </w:pPr>
      <w:r>
        <w:rPr>
          <w:b/>
          <w:w w:val="105"/>
        </w:rPr>
        <w:t xml:space="preserve">Labile Type. </w:t>
      </w:r>
      <w:r>
        <w:rPr>
          <w:w w:val="105"/>
        </w:rPr>
        <w:t xml:space="preserve">This subtype is used if the predominant feature is affective !ability. </w:t>
      </w:r>
      <w:r>
        <w:rPr>
          <w:b/>
          <w:w w:val="105"/>
        </w:rPr>
        <w:t xml:space="preserve">Disinhibited Type. </w:t>
      </w:r>
      <w:r>
        <w:rPr>
          <w:w w:val="105"/>
        </w:rPr>
        <w:t>This subtype is used if the predominant feature is poor impulse control (e.g., as evidenced by sexual indiscretions).</w:t>
      </w:r>
    </w:p>
    <w:p w:rsidR="00E675F0" w:rsidRDefault="00E675F0" w:rsidP="00E675F0">
      <w:pPr>
        <w:pStyle w:val="BodyText"/>
        <w:spacing w:line="256" w:lineRule="auto"/>
        <w:ind w:left="768" w:right="150" w:hanging="12"/>
        <w:jc w:val="both"/>
      </w:pPr>
      <w:r>
        <w:rPr>
          <w:b/>
          <w:w w:val="105"/>
        </w:rPr>
        <w:t xml:space="preserve">Aggressive Type. </w:t>
      </w:r>
      <w:r>
        <w:rPr>
          <w:w w:val="105"/>
        </w:rPr>
        <w:t>This subtype is used if the predominant feature is aggressive behavior.</w:t>
      </w:r>
    </w:p>
    <w:p w:rsidR="00E675F0" w:rsidRDefault="00E675F0" w:rsidP="00E675F0">
      <w:pPr>
        <w:pStyle w:val="BodyText"/>
        <w:spacing w:line="256" w:lineRule="auto"/>
        <w:ind w:left="765" w:right="143" w:hanging="9"/>
        <w:jc w:val="both"/>
      </w:pPr>
      <w:r>
        <w:rPr>
          <w:b/>
          <w:w w:val="105"/>
        </w:rPr>
        <w:t xml:space="preserve">Apathetic Type. </w:t>
      </w:r>
      <w:r>
        <w:rPr>
          <w:w w:val="105"/>
        </w:rPr>
        <w:t>This subtype is used if the predominant feature is marked apathy and</w:t>
      </w:r>
      <w:r>
        <w:rPr>
          <w:spacing w:val="26"/>
          <w:w w:val="105"/>
        </w:rPr>
        <w:t xml:space="preserve"> </w:t>
      </w:r>
      <w:r>
        <w:rPr>
          <w:w w:val="105"/>
        </w:rPr>
        <w:t>indifference.</w:t>
      </w:r>
    </w:p>
    <w:p w:rsidR="00E675F0" w:rsidRDefault="00E675F0" w:rsidP="00E675F0">
      <w:pPr>
        <w:pStyle w:val="BodyText"/>
        <w:spacing w:line="256" w:lineRule="auto"/>
        <w:ind w:left="771" w:right="143" w:hanging="14"/>
        <w:jc w:val="both"/>
      </w:pPr>
      <w:r>
        <w:rPr>
          <w:b/>
          <w:w w:val="105"/>
        </w:rPr>
        <w:t xml:space="preserve">Paranoid Type. </w:t>
      </w:r>
      <w:r>
        <w:rPr>
          <w:w w:val="105"/>
        </w:rPr>
        <w:t xml:space="preserve">This subtype is used </w:t>
      </w:r>
      <w:r>
        <w:rPr>
          <w:rFonts w:ascii="Arial" w:hAnsi="Arial"/>
          <w:w w:val="105"/>
          <w:sz w:val="19"/>
        </w:rPr>
        <w:t xml:space="preserve">if </w:t>
      </w:r>
      <w:r>
        <w:rPr>
          <w:w w:val="105"/>
        </w:rPr>
        <w:t>the predominant feature is suspicious­ ness or paranoid ideation.</w:t>
      </w:r>
    </w:p>
    <w:p w:rsidR="00E675F0" w:rsidRDefault="00E675F0" w:rsidP="00E675F0">
      <w:pPr>
        <w:pStyle w:val="BodyText"/>
        <w:spacing w:line="252" w:lineRule="auto"/>
        <w:ind w:left="760" w:right="143" w:hanging="6"/>
        <w:jc w:val="both"/>
      </w:pPr>
      <w:r>
        <w:rPr>
          <w:b/>
          <w:w w:val="105"/>
        </w:rPr>
        <w:t xml:space="preserve">Other Type. </w:t>
      </w:r>
      <w:r>
        <w:rPr>
          <w:w w:val="105"/>
        </w:rPr>
        <w:t>This subtype would be used, for example, for a personality change associated with a seizure disorder.</w:t>
      </w:r>
    </w:p>
    <w:p w:rsidR="00E675F0" w:rsidRDefault="00E675F0" w:rsidP="00E675F0">
      <w:pPr>
        <w:pStyle w:val="BodyText"/>
        <w:spacing w:line="256" w:lineRule="auto"/>
        <w:ind w:left="761" w:right="140" w:hanging="7"/>
        <w:jc w:val="both"/>
      </w:pPr>
      <w:r>
        <w:rPr>
          <w:b/>
          <w:w w:val="105"/>
        </w:rPr>
        <w:t xml:space="preserve">Combined Type. </w:t>
      </w:r>
      <w:r>
        <w:rPr>
          <w:w w:val="105"/>
        </w:rPr>
        <w:t xml:space="preserve">This subtype is used </w:t>
      </w:r>
      <w:r>
        <w:rPr>
          <w:rFonts w:ascii="Arial"/>
          <w:w w:val="105"/>
          <w:sz w:val="19"/>
        </w:rPr>
        <w:t xml:space="preserve">if  </w:t>
      </w:r>
      <w:r>
        <w:rPr>
          <w:w w:val="105"/>
        </w:rPr>
        <w:t>more  than one  feature  predominates in the clinical picture.</w:t>
      </w:r>
    </w:p>
    <w:p w:rsidR="00E675F0" w:rsidRDefault="00E675F0" w:rsidP="00E675F0">
      <w:pPr>
        <w:spacing w:line="228" w:lineRule="exact"/>
        <w:ind w:left="753"/>
        <w:jc w:val="both"/>
        <w:rPr>
          <w:b/>
          <w:sz w:val="20"/>
        </w:rPr>
      </w:pPr>
      <w:r>
        <w:rPr>
          <w:b/>
          <w:w w:val="110"/>
          <w:sz w:val="20"/>
        </w:rPr>
        <w:t>Unspecified Type.</w:t>
      </w:r>
    </w:p>
    <w:p w:rsidR="00E675F0" w:rsidRDefault="00E675F0" w:rsidP="00E675F0">
      <w:pPr>
        <w:pStyle w:val="BodyText"/>
        <w:rPr>
          <w:b/>
          <w:sz w:val="22"/>
        </w:rPr>
      </w:pPr>
    </w:p>
    <w:p w:rsidR="00E675F0" w:rsidRDefault="00E675F0" w:rsidP="00E675F0">
      <w:pPr>
        <w:spacing w:before="133"/>
        <w:ind w:left="140"/>
        <w:rPr>
          <w:rFonts w:ascii="TimesNewRomanPS-BoldItalicMT"/>
          <w:b/>
          <w:i/>
          <w:sz w:val="25"/>
        </w:rPr>
      </w:pPr>
      <w:r>
        <w:rPr>
          <w:rFonts w:ascii="TimesNewRomanPS-BoldItalicMT"/>
          <w:b/>
          <w:i/>
          <w:w w:val="110"/>
          <w:sz w:val="25"/>
        </w:rPr>
        <w:t>Recording Procedures</w:t>
      </w:r>
    </w:p>
    <w:p w:rsidR="00E675F0" w:rsidRDefault="00E675F0" w:rsidP="00E675F0">
      <w:pPr>
        <w:pStyle w:val="BodyText"/>
        <w:spacing w:before="139" w:line="252" w:lineRule="auto"/>
        <w:ind w:left="145" w:right="137" w:firstLine="10"/>
        <w:jc w:val="both"/>
      </w:pPr>
      <w:r>
        <w:rPr>
          <w:w w:val="105"/>
        </w:rPr>
        <w:t>In</w:t>
      </w:r>
      <w:r>
        <w:rPr>
          <w:spacing w:val="-22"/>
          <w:w w:val="105"/>
        </w:rPr>
        <w:t xml:space="preserve"> </w:t>
      </w:r>
      <w:r>
        <w:rPr>
          <w:w w:val="105"/>
        </w:rPr>
        <w:t>recording</w:t>
      </w:r>
      <w:r>
        <w:rPr>
          <w:spacing w:val="-13"/>
          <w:w w:val="105"/>
        </w:rPr>
        <w:t xml:space="preserve"> </w:t>
      </w:r>
      <w:r>
        <w:rPr>
          <w:w w:val="105"/>
        </w:rPr>
        <w:t>Personality</w:t>
      </w:r>
      <w:r>
        <w:rPr>
          <w:spacing w:val="-11"/>
          <w:w w:val="105"/>
        </w:rPr>
        <w:t xml:space="preserve"> </w:t>
      </w:r>
      <w:r>
        <w:rPr>
          <w:w w:val="105"/>
        </w:rPr>
        <w:t>Change</w:t>
      </w:r>
      <w:r>
        <w:rPr>
          <w:spacing w:val="-12"/>
          <w:w w:val="105"/>
        </w:rPr>
        <w:t xml:space="preserve"> </w:t>
      </w:r>
      <w:r>
        <w:rPr>
          <w:w w:val="105"/>
        </w:rPr>
        <w:t>Due</w:t>
      </w:r>
      <w:r>
        <w:rPr>
          <w:spacing w:val="-15"/>
          <w:w w:val="105"/>
        </w:rPr>
        <w:t xml:space="preserve"> </w:t>
      </w:r>
      <w:r>
        <w:rPr>
          <w:w w:val="105"/>
        </w:rPr>
        <w:t>to</w:t>
      </w:r>
      <w:r>
        <w:rPr>
          <w:spacing w:val="-22"/>
          <w:w w:val="105"/>
        </w:rPr>
        <w:t xml:space="preserve"> </w:t>
      </w:r>
      <w:r>
        <w:rPr>
          <w:w w:val="105"/>
        </w:rPr>
        <w:t>a</w:t>
      </w:r>
      <w:r>
        <w:rPr>
          <w:spacing w:val="-18"/>
          <w:w w:val="105"/>
        </w:rPr>
        <w:t xml:space="preserve"> </w:t>
      </w:r>
      <w:r>
        <w:rPr>
          <w:w w:val="105"/>
        </w:rPr>
        <w:t>General</w:t>
      </w:r>
      <w:r>
        <w:rPr>
          <w:spacing w:val="-8"/>
          <w:w w:val="105"/>
        </w:rPr>
        <w:t xml:space="preserve"> </w:t>
      </w:r>
      <w:r>
        <w:rPr>
          <w:w w:val="105"/>
        </w:rPr>
        <w:t>Medical</w:t>
      </w:r>
      <w:r>
        <w:rPr>
          <w:spacing w:val="-9"/>
          <w:w w:val="105"/>
        </w:rPr>
        <w:t xml:space="preserve"> </w:t>
      </w:r>
      <w:r>
        <w:rPr>
          <w:w w:val="105"/>
        </w:rPr>
        <w:t>Condition,</w:t>
      </w:r>
      <w:r>
        <w:rPr>
          <w:spacing w:val="-6"/>
          <w:w w:val="105"/>
        </w:rPr>
        <w:t xml:space="preserve"> </w:t>
      </w:r>
      <w:r>
        <w:rPr>
          <w:w w:val="105"/>
        </w:rPr>
        <w:t>the</w:t>
      </w:r>
      <w:r>
        <w:rPr>
          <w:spacing w:val="-21"/>
          <w:w w:val="105"/>
        </w:rPr>
        <w:t xml:space="preserve"> </w:t>
      </w:r>
      <w:r>
        <w:rPr>
          <w:w w:val="105"/>
        </w:rPr>
        <w:t>clinician</w:t>
      </w:r>
      <w:r>
        <w:rPr>
          <w:spacing w:val="-11"/>
          <w:w w:val="105"/>
        </w:rPr>
        <w:t xml:space="preserve"> </w:t>
      </w:r>
      <w:r>
        <w:rPr>
          <w:w w:val="105"/>
        </w:rPr>
        <w:t>should note both the specific phenomenology of the disturbance,  including  appropriate subtype, and the general medical condition judged to be causing  the disturbance  on Axis I (e.g., 310.1 Personality Change Due to Systemic Lupus Erythematosus, Paranoid Type).</w:t>
      </w:r>
      <w:r>
        <w:rPr>
          <w:spacing w:val="-5"/>
          <w:w w:val="105"/>
        </w:rPr>
        <w:t xml:space="preserve"> </w:t>
      </w:r>
      <w:r>
        <w:rPr>
          <w:w w:val="105"/>
        </w:rPr>
        <w:t>The</w:t>
      </w:r>
      <w:r>
        <w:rPr>
          <w:spacing w:val="-9"/>
          <w:w w:val="105"/>
        </w:rPr>
        <w:t xml:space="preserve"> </w:t>
      </w:r>
      <w:r>
        <w:rPr>
          <w:w w:val="105"/>
        </w:rPr>
        <w:t>ICD-9-CM</w:t>
      </w:r>
      <w:r>
        <w:rPr>
          <w:spacing w:val="4"/>
          <w:w w:val="105"/>
        </w:rPr>
        <w:t xml:space="preserve"> </w:t>
      </w:r>
      <w:r>
        <w:rPr>
          <w:w w:val="105"/>
        </w:rPr>
        <w:t>code</w:t>
      </w:r>
      <w:r>
        <w:rPr>
          <w:spacing w:val="-10"/>
          <w:w w:val="105"/>
        </w:rPr>
        <w:t xml:space="preserve"> </w:t>
      </w:r>
      <w:r>
        <w:rPr>
          <w:w w:val="105"/>
        </w:rPr>
        <w:t>for</w:t>
      </w:r>
      <w:r>
        <w:rPr>
          <w:spacing w:val="-5"/>
          <w:w w:val="105"/>
        </w:rPr>
        <w:t xml:space="preserve"> </w:t>
      </w:r>
      <w:r>
        <w:rPr>
          <w:w w:val="105"/>
        </w:rPr>
        <w:t>the</w:t>
      </w:r>
      <w:r>
        <w:rPr>
          <w:spacing w:val="-6"/>
          <w:w w:val="105"/>
        </w:rPr>
        <w:t xml:space="preserve"> </w:t>
      </w:r>
      <w:r>
        <w:rPr>
          <w:w w:val="105"/>
        </w:rPr>
        <w:t>general medical</w:t>
      </w:r>
      <w:r>
        <w:rPr>
          <w:spacing w:val="-4"/>
          <w:w w:val="105"/>
        </w:rPr>
        <w:t xml:space="preserve"> </w:t>
      </w:r>
      <w:r>
        <w:rPr>
          <w:w w:val="105"/>
        </w:rPr>
        <w:t>condition (e.g.,</w:t>
      </w:r>
      <w:r>
        <w:rPr>
          <w:spacing w:val="-8"/>
          <w:w w:val="105"/>
        </w:rPr>
        <w:t xml:space="preserve"> </w:t>
      </w:r>
      <w:r>
        <w:rPr>
          <w:w w:val="105"/>
        </w:rPr>
        <w:t>710.0</w:t>
      </w:r>
      <w:r>
        <w:rPr>
          <w:spacing w:val="-13"/>
          <w:w w:val="105"/>
        </w:rPr>
        <w:t xml:space="preserve"> </w:t>
      </w:r>
      <w:r>
        <w:rPr>
          <w:w w:val="105"/>
        </w:rPr>
        <w:t>systemic</w:t>
      </w:r>
      <w:r>
        <w:rPr>
          <w:spacing w:val="4"/>
          <w:w w:val="105"/>
        </w:rPr>
        <w:t xml:space="preserve"> </w:t>
      </w:r>
      <w:r>
        <w:rPr>
          <w:w w:val="105"/>
        </w:rPr>
        <w:t>lupus erythematosus) should also be noted on Axis III. (See Appendix G for a list of selected ICD-9-CM diagnostic codes for general medical</w:t>
      </w:r>
      <w:r>
        <w:rPr>
          <w:spacing w:val="22"/>
          <w:w w:val="105"/>
        </w:rPr>
        <w:t xml:space="preserve"> </w:t>
      </w:r>
      <w:r>
        <w:rPr>
          <w:w w:val="105"/>
        </w:rPr>
        <w:t>conditions.)</w:t>
      </w:r>
    </w:p>
    <w:p w:rsidR="00E675F0" w:rsidRDefault="00E675F0" w:rsidP="00E675F0">
      <w:pPr>
        <w:pStyle w:val="BodyText"/>
        <w:rPr>
          <w:sz w:val="22"/>
        </w:rPr>
      </w:pPr>
    </w:p>
    <w:p w:rsidR="00E675F0" w:rsidRDefault="00E675F0" w:rsidP="00E675F0">
      <w:pPr>
        <w:spacing w:before="130"/>
        <w:ind w:left="137"/>
        <w:rPr>
          <w:rFonts w:ascii="TimesNewRomanPS-BoldItalicMT"/>
          <w:b/>
          <w:i/>
          <w:sz w:val="25"/>
        </w:rPr>
      </w:pPr>
      <w:r>
        <w:rPr>
          <w:rFonts w:ascii="TimesNewRomanPS-BoldItalicMT"/>
          <w:b/>
          <w:i/>
          <w:w w:val="110"/>
          <w:sz w:val="25"/>
        </w:rPr>
        <w:t>Associated General Medical Conditions</w:t>
      </w:r>
    </w:p>
    <w:p w:rsidR="00E675F0" w:rsidRDefault="00E675F0" w:rsidP="00E675F0">
      <w:pPr>
        <w:pStyle w:val="BodyText"/>
        <w:spacing w:before="138" w:line="252" w:lineRule="auto"/>
        <w:ind w:left="151" w:right="136" w:firstLine="3"/>
        <w:jc w:val="both"/>
      </w:pPr>
      <w:r>
        <w:rPr>
          <w:w w:val="105"/>
        </w:rPr>
        <w:t>A variety of neurological and other general medical conditions may cause personality changes, including central nervous system neoplasms, head trauma, cerebrovascular disease, Huntington's disease, epilepsy, infectious conditions with central nervous system involvement (e.g., human immunodeficiency virus), endocrine conditions (e.g., hypothyroidism, hypo- and hyperadrenocorticism), and autoimmune conditions with central nervous system involvement (e.g., systemic lupus erythematosus). The associated physical examination findings, laboratory findings, and patterns of prevalence and onset reflect those of the neurological or other general medical condition</w:t>
      </w:r>
      <w:r>
        <w:rPr>
          <w:spacing w:val="-8"/>
          <w:w w:val="105"/>
        </w:rPr>
        <w:t xml:space="preserve"> </w:t>
      </w:r>
      <w:r>
        <w:rPr>
          <w:w w:val="105"/>
        </w:rPr>
        <w:t>involved.</w:t>
      </w:r>
    </w:p>
    <w:p w:rsidR="00E675F0" w:rsidRDefault="00E675F0" w:rsidP="00E675F0">
      <w:pPr>
        <w:pStyle w:val="BodyText"/>
        <w:rPr>
          <w:sz w:val="22"/>
        </w:rPr>
      </w:pPr>
    </w:p>
    <w:p w:rsidR="00E675F0" w:rsidRDefault="00E675F0" w:rsidP="00E675F0">
      <w:pPr>
        <w:spacing w:before="148"/>
        <w:ind w:left="141"/>
        <w:rPr>
          <w:rFonts w:ascii="TimesNewRomanPS-BoldItalicMT"/>
          <w:b/>
          <w:i/>
          <w:sz w:val="25"/>
        </w:rPr>
      </w:pPr>
      <w:r>
        <w:rPr>
          <w:rFonts w:ascii="TimesNewRomanPS-BoldItalicMT"/>
          <w:b/>
          <w:i/>
          <w:w w:val="110"/>
          <w:sz w:val="25"/>
        </w:rPr>
        <w:t>Differential Diagnosis</w:t>
      </w:r>
    </w:p>
    <w:p w:rsidR="00E675F0" w:rsidRDefault="00E675F0" w:rsidP="00E675F0">
      <w:pPr>
        <w:pStyle w:val="BodyText"/>
        <w:spacing w:before="144" w:line="254" w:lineRule="auto"/>
        <w:ind w:left="144" w:right="138" w:firstLine="3"/>
        <w:jc w:val="both"/>
      </w:pPr>
      <w:r>
        <w:rPr>
          <w:b/>
          <w:w w:val="105"/>
        </w:rPr>
        <w:t xml:space="preserve">Chronic general medical conditions </w:t>
      </w:r>
      <w:r>
        <w:rPr>
          <w:w w:val="105"/>
        </w:rPr>
        <w:t xml:space="preserve">associated with pain and disability can also be associated with changes in personality. The diagnosis of Personality Change Due to a General Medical Condition is given only if a direct pathophysiological mechanism can be established. Personality change is a frequent associated feature of a </w:t>
      </w:r>
      <w:r>
        <w:rPr>
          <w:b/>
          <w:w w:val="105"/>
        </w:rPr>
        <w:t xml:space="preserve">dementia </w:t>
      </w:r>
      <w:r>
        <w:rPr>
          <w:w w:val="105"/>
        </w:rPr>
        <w:t>(e.g., Dementia of the Alzheimer's Type). A separate diagnosis of Personality Change Due to  a General Medical Condition is not given if criteria are also met for a</w:t>
      </w:r>
      <w:r>
        <w:rPr>
          <w:spacing w:val="43"/>
          <w:w w:val="105"/>
        </w:rPr>
        <w:t xml:space="preserve"> </w:t>
      </w:r>
      <w:r>
        <w:rPr>
          <w:w w:val="105"/>
        </w:rPr>
        <w:t>dementia or if the</w:t>
      </w:r>
    </w:p>
    <w:p w:rsidR="00E675F0" w:rsidRDefault="00E675F0" w:rsidP="00E675F0">
      <w:pPr>
        <w:spacing w:line="254" w:lineRule="auto"/>
        <w:jc w:val="both"/>
        <w:sectPr w:rsidR="00E675F0">
          <w:pgSz w:w="8960" w:h="14260"/>
          <w:pgMar w:top="1400" w:right="580" w:bottom="280" w:left="600" w:header="693" w:footer="0" w:gutter="0"/>
          <w:cols w:space="720"/>
        </w:sectPr>
      </w:pPr>
    </w:p>
    <w:p w:rsidR="00E675F0" w:rsidRDefault="00E675F0" w:rsidP="00E675F0">
      <w:pPr>
        <w:pStyle w:val="BodyText"/>
        <w:spacing w:line="20" w:lineRule="exact"/>
        <w:ind w:left="103"/>
        <w:rPr>
          <w:sz w:val="2"/>
        </w:rPr>
      </w:pPr>
      <w:r>
        <w:rPr>
          <w:noProof/>
          <w:sz w:val="2"/>
        </w:rPr>
        <w:lastRenderedPageBreak/>
        <mc:AlternateContent>
          <mc:Choice Requires="wpg">
            <w:drawing>
              <wp:inline distT="0" distB="0" distL="0" distR="0" wp14:anchorId="20602D95" wp14:editId="24C17F2D">
                <wp:extent cx="4753610" cy="9525"/>
                <wp:effectExtent l="0" t="0" r="0" b="0"/>
                <wp:docPr id="1430" name="Group 1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3610" cy="9525"/>
                          <a:chOff x="0" y="0"/>
                          <a:chExt cx="7486" cy="15"/>
                        </a:xfrm>
                      </wpg:grpSpPr>
                      <wps:wsp>
                        <wps:cNvPr id="1431" name="Line 1387"/>
                        <wps:cNvCnPr>
                          <a:cxnSpLocks/>
                        </wps:cNvCnPr>
                        <wps:spPr bwMode="auto">
                          <a:xfrm>
                            <a:off x="0" y="7"/>
                            <a:ext cx="7485" cy="0"/>
                          </a:xfrm>
                          <a:prstGeom prst="line">
                            <a:avLst/>
                          </a:prstGeom>
                          <a:noFill/>
                          <a:ln w="915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E0DA0F2" id="Group 1386" o:spid="_x0000_s1026" style="width:374.3pt;height:.75pt;mso-position-horizontal-relative:char;mso-position-vertical-relative:line" coordsize="7486,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">
                <v:line id="Line 1387" o:spid="_x0000_s1027" style="position:absolute;visibility:visible;mso-wrap-style:square" from="0,7" to="748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" strokeweight=".25436mm">
                  <o:lock v:ext="edit" shapetype="f"/>
                </v:line>
                <w10:anchorlock/>
              </v:group>
            </w:pict>
          </mc:Fallback>
        </mc:AlternateContent>
      </w:r>
    </w:p>
    <w:p w:rsidR="00E675F0" w:rsidRDefault="00E675F0" w:rsidP="00E675F0">
      <w:pPr>
        <w:pStyle w:val="BodyText"/>
      </w:pPr>
    </w:p>
    <w:p w:rsidR="00E675F0" w:rsidRDefault="00E675F0" w:rsidP="00E675F0">
      <w:pPr>
        <w:pStyle w:val="BodyText"/>
        <w:spacing w:before="5"/>
        <w:rPr>
          <w:sz w:val="19"/>
        </w:rPr>
      </w:pPr>
    </w:p>
    <w:p w:rsidR="00E675F0" w:rsidRDefault="00E675F0" w:rsidP="00E675F0">
      <w:pPr>
        <w:spacing w:before="92" w:line="252" w:lineRule="auto"/>
        <w:ind w:left="112" w:right="118" w:firstLine="1"/>
        <w:jc w:val="both"/>
        <w:rPr>
          <w:sz w:val="20"/>
        </w:rPr>
      </w:pPr>
      <w:bookmarkStart w:id="112" w:name="_bookmark94"/>
      <w:bookmarkEnd w:id="112"/>
      <w:r>
        <w:rPr>
          <w:w w:val="105"/>
          <w:sz w:val="20"/>
        </w:rPr>
        <w:t xml:space="preserve">change occurs exclusively during the course of a </w:t>
      </w:r>
      <w:r>
        <w:rPr>
          <w:b/>
          <w:w w:val="105"/>
          <w:sz w:val="20"/>
        </w:rPr>
        <w:t xml:space="preserve">delirium. </w:t>
      </w:r>
      <w:r>
        <w:rPr>
          <w:w w:val="105"/>
          <w:sz w:val="20"/>
        </w:rPr>
        <w:t>Furthermore, the diagnosis of</w:t>
      </w:r>
      <w:r>
        <w:rPr>
          <w:spacing w:val="-3"/>
          <w:w w:val="105"/>
          <w:sz w:val="20"/>
        </w:rPr>
        <w:t xml:space="preserve"> </w:t>
      </w:r>
      <w:r>
        <w:rPr>
          <w:w w:val="105"/>
          <w:sz w:val="20"/>
        </w:rPr>
        <w:t>Personality</w:t>
      </w:r>
      <w:r>
        <w:rPr>
          <w:spacing w:val="-3"/>
          <w:w w:val="105"/>
          <w:sz w:val="20"/>
        </w:rPr>
        <w:t xml:space="preserve"> </w:t>
      </w:r>
      <w:r>
        <w:rPr>
          <w:w w:val="105"/>
          <w:sz w:val="20"/>
        </w:rPr>
        <w:t>Change</w:t>
      </w:r>
      <w:r>
        <w:rPr>
          <w:spacing w:val="-9"/>
          <w:w w:val="105"/>
          <w:sz w:val="20"/>
        </w:rPr>
        <w:t xml:space="preserve"> </w:t>
      </w:r>
      <w:r>
        <w:rPr>
          <w:w w:val="105"/>
          <w:sz w:val="20"/>
        </w:rPr>
        <w:t>Due</w:t>
      </w:r>
      <w:r>
        <w:rPr>
          <w:spacing w:val="-7"/>
          <w:w w:val="105"/>
          <w:sz w:val="20"/>
        </w:rPr>
        <w:t xml:space="preserve"> </w:t>
      </w:r>
      <w:r>
        <w:rPr>
          <w:w w:val="105"/>
          <w:sz w:val="20"/>
        </w:rPr>
        <w:t>to</w:t>
      </w:r>
      <w:r>
        <w:rPr>
          <w:spacing w:val="-19"/>
          <w:w w:val="105"/>
          <w:sz w:val="20"/>
        </w:rPr>
        <w:t xml:space="preserve"> </w:t>
      </w:r>
      <w:r>
        <w:rPr>
          <w:w w:val="105"/>
          <w:sz w:val="20"/>
        </w:rPr>
        <w:t>a</w:t>
      </w:r>
      <w:r>
        <w:rPr>
          <w:spacing w:val="-10"/>
          <w:w w:val="105"/>
          <w:sz w:val="20"/>
        </w:rPr>
        <w:t xml:space="preserve"> </w:t>
      </w:r>
      <w:r>
        <w:rPr>
          <w:w w:val="105"/>
          <w:sz w:val="20"/>
        </w:rPr>
        <w:t>General</w:t>
      </w:r>
      <w:r>
        <w:rPr>
          <w:spacing w:val="-2"/>
          <w:w w:val="105"/>
          <w:sz w:val="20"/>
        </w:rPr>
        <w:t xml:space="preserve"> </w:t>
      </w:r>
      <w:r>
        <w:rPr>
          <w:w w:val="105"/>
          <w:sz w:val="20"/>
        </w:rPr>
        <w:t>Medical</w:t>
      </w:r>
      <w:r>
        <w:rPr>
          <w:spacing w:val="-2"/>
          <w:w w:val="105"/>
          <w:sz w:val="20"/>
        </w:rPr>
        <w:t xml:space="preserve"> </w:t>
      </w:r>
      <w:r>
        <w:rPr>
          <w:w w:val="105"/>
          <w:sz w:val="20"/>
        </w:rPr>
        <w:t>Condition</w:t>
      </w:r>
      <w:r>
        <w:rPr>
          <w:spacing w:val="6"/>
          <w:w w:val="105"/>
          <w:sz w:val="20"/>
        </w:rPr>
        <w:t xml:space="preserve"> </w:t>
      </w:r>
      <w:r>
        <w:rPr>
          <w:w w:val="105"/>
          <w:sz w:val="20"/>
        </w:rPr>
        <w:t>is</w:t>
      </w:r>
      <w:r>
        <w:rPr>
          <w:spacing w:val="-9"/>
          <w:w w:val="105"/>
          <w:sz w:val="20"/>
        </w:rPr>
        <w:t xml:space="preserve"> </w:t>
      </w:r>
      <w:r>
        <w:rPr>
          <w:w w:val="105"/>
          <w:sz w:val="20"/>
        </w:rPr>
        <w:t>not</w:t>
      </w:r>
      <w:r>
        <w:rPr>
          <w:spacing w:val="-8"/>
          <w:w w:val="105"/>
          <w:sz w:val="20"/>
        </w:rPr>
        <w:t xml:space="preserve"> </w:t>
      </w:r>
      <w:r>
        <w:rPr>
          <w:w w:val="105"/>
          <w:sz w:val="20"/>
        </w:rPr>
        <w:t>given</w:t>
      </w:r>
      <w:r>
        <w:rPr>
          <w:spacing w:val="-9"/>
          <w:w w:val="105"/>
          <w:sz w:val="20"/>
        </w:rPr>
        <w:t xml:space="preserve"> </w:t>
      </w:r>
      <w:r>
        <w:rPr>
          <w:w w:val="105"/>
          <w:sz w:val="20"/>
        </w:rPr>
        <w:t>if</w:t>
      </w:r>
      <w:r>
        <w:rPr>
          <w:spacing w:val="-5"/>
          <w:w w:val="105"/>
          <w:sz w:val="20"/>
        </w:rPr>
        <w:t xml:space="preserve"> </w:t>
      </w:r>
      <w:r>
        <w:rPr>
          <w:w w:val="105"/>
          <w:sz w:val="20"/>
        </w:rPr>
        <w:t>the</w:t>
      </w:r>
      <w:r>
        <w:rPr>
          <w:spacing w:val="-16"/>
          <w:w w:val="105"/>
          <w:sz w:val="20"/>
        </w:rPr>
        <w:t xml:space="preserve"> </w:t>
      </w:r>
      <w:r>
        <w:rPr>
          <w:w w:val="105"/>
          <w:sz w:val="20"/>
        </w:rPr>
        <w:t xml:space="preserve">disturbance is better accounted for by </w:t>
      </w:r>
      <w:r>
        <w:rPr>
          <w:b/>
          <w:w w:val="105"/>
          <w:sz w:val="20"/>
        </w:rPr>
        <w:t xml:space="preserve">another Mental Disorder Due to a General Medical Condition </w:t>
      </w:r>
      <w:r>
        <w:rPr>
          <w:w w:val="105"/>
          <w:sz w:val="20"/>
        </w:rPr>
        <w:t>(e.g., Mood Disorder Due to Brain Tumor, With Depressive</w:t>
      </w:r>
      <w:r>
        <w:rPr>
          <w:spacing w:val="23"/>
          <w:w w:val="105"/>
          <w:sz w:val="20"/>
        </w:rPr>
        <w:t xml:space="preserve"> </w:t>
      </w:r>
      <w:r>
        <w:rPr>
          <w:w w:val="105"/>
          <w:sz w:val="20"/>
        </w:rPr>
        <w:t>Features).</w:t>
      </w:r>
    </w:p>
    <w:p w:rsidR="00E675F0" w:rsidRDefault="00E675F0" w:rsidP="00E675F0">
      <w:pPr>
        <w:pStyle w:val="BodyText"/>
        <w:spacing w:line="252" w:lineRule="auto"/>
        <w:ind w:left="113" w:right="124" w:firstLine="369"/>
        <w:jc w:val="both"/>
      </w:pPr>
      <w:r>
        <w:rPr>
          <w:w w:val="105"/>
        </w:rPr>
        <w:t xml:space="preserve">Personality changes may also occur in the context of </w:t>
      </w:r>
      <w:r>
        <w:rPr>
          <w:b/>
          <w:w w:val="105"/>
        </w:rPr>
        <w:t xml:space="preserve">Substance Dependence, </w:t>
      </w:r>
      <w:r>
        <w:rPr>
          <w:w w:val="105"/>
        </w:rPr>
        <w:t xml:space="preserve">especially if the dependence is long-standing. The clinician should inquire carefully about the nature and extent of substance use. </w:t>
      </w:r>
      <w:r>
        <w:rPr>
          <w:w w:val="105"/>
          <w:sz w:val="21"/>
        </w:rPr>
        <w:t xml:space="preserve">If </w:t>
      </w:r>
      <w:r>
        <w:rPr>
          <w:w w:val="105"/>
        </w:rPr>
        <w:t>the clinician wishes to indicate an etiological relationship between the personality change and substance use, the Not Otherwise Specified category for the specific substance (e.g., Cocaine-Related Disorder Not Otherwise Specified) can be used.</w:t>
      </w:r>
    </w:p>
    <w:p w:rsidR="00E675F0" w:rsidRDefault="00E675F0" w:rsidP="00E675F0">
      <w:pPr>
        <w:pStyle w:val="BodyText"/>
        <w:spacing w:before="6" w:line="252" w:lineRule="auto"/>
        <w:ind w:left="113" w:right="113" w:firstLine="365"/>
        <w:jc w:val="both"/>
      </w:pPr>
      <w:r>
        <w:rPr>
          <w:noProof/>
        </w:rPr>
        <mc:AlternateContent>
          <mc:Choice Requires="wps">
            <w:drawing>
              <wp:anchor distT="0" distB="0" distL="114300" distR="114300" simplePos="0" relativeHeight="251703296" behindDoc="0" locked="0" layoutInCell="1" allowOverlap="1" wp14:anchorId="2E38B738" wp14:editId="50D998F7">
                <wp:simplePos x="0" y="0"/>
                <wp:positionH relativeFrom="page">
                  <wp:posOffset>500380</wp:posOffset>
                </wp:positionH>
                <wp:positionV relativeFrom="paragraph">
                  <wp:posOffset>6003925</wp:posOffset>
                </wp:positionV>
                <wp:extent cx="0" cy="0"/>
                <wp:effectExtent l="0" t="0" r="0" b="0"/>
                <wp:wrapNone/>
                <wp:docPr id="1429" name="Line 13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305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8C924E" id="Line 1385" o:spid="_x0000_s1026" style="position:absolute;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4pt,472.75pt" to="39.4pt,472.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" strokeweight=".84856mm">
                <o:lock v:ext="edit" shapetype="f"/>
                <w10:wrap anchorx="page"/>
              </v:line>
            </w:pict>
          </mc:Fallback>
        </mc:AlternateContent>
      </w:r>
      <w:r>
        <w:rPr>
          <w:noProof/>
        </w:rPr>
        <mc:AlternateContent>
          <mc:Choice Requires="wps">
            <w:drawing>
              <wp:anchor distT="0" distB="0" distL="114300" distR="114300" simplePos="0" relativeHeight="251792384" behindDoc="1" locked="0" layoutInCell="1" allowOverlap="1" wp14:anchorId="46CE095B" wp14:editId="6949C8CA">
                <wp:simplePos x="0" y="0"/>
                <wp:positionH relativeFrom="page">
                  <wp:posOffset>5149850</wp:posOffset>
                </wp:positionH>
                <wp:positionV relativeFrom="paragraph">
                  <wp:posOffset>6003925</wp:posOffset>
                </wp:positionV>
                <wp:extent cx="0" cy="0"/>
                <wp:effectExtent l="0" t="0" r="0" b="0"/>
                <wp:wrapNone/>
                <wp:docPr id="1428" name="Line 13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3360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422BA8" id="Line 1384" o:spid="_x0000_s1026" style="position:absolute;z-index:-251524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5.5pt,472.75pt" to="405.5pt,472.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" strokeweight=".93339mm">
                <o:lock v:ext="edit" shapetype="f"/>
                <w10:wrap anchorx="page"/>
              </v:line>
            </w:pict>
          </mc:Fallback>
        </mc:AlternateContent>
      </w:r>
      <w:r>
        <w:rPr>
          <w:w w:val="105"/>
        </w:rPr>
        <w:t xml:space="preserve">Marked personality changes may also be an </w:t>
      </w:r>
      <w:r>
        <w:rPr>
          <w:b/>
          <w:w w:val="105"/>
        </w:rPr>
        <w:t xml:space="preserve">associated feature of other mental disorders </w:t>
      </w:r>
      <w:r>
        <w:rPr>
          <w:w w:val="105"/>
        </w:rPr>
        <w:t xml:space="preserve">(e.g., Schizophrenia, Delusional Disorder, Mood Disorders, Impulse-Control Disorders Not Elsewhere Classified, Panic Disorder). However, in these disorders, no specific physiological factor is judged to be etiologically related to the personality change. Personality Change Due to a General Medical Condition can be distinguished from a </w:t>
      </w:r>
      <w:r>
        <w:rPr>
          <w:b/>
          <w:w w:val="105"/>
        </w:rPr>
        <w:t xml:space="preserve">Personality Disorder </w:t>
      </w:r>
      <w:r>
        <w:rPr>
          <w:w w:val="105"/>
        </w:rPr>
        <w:t>by the requirement for a clinically significant change from baseline personality functioning and the presence of a specific etiological general medical condition.</w:t>
      </w:r>
    </w:p>
    <w:p w:rsidR="00E675F0" w:rsidRDefault="00E675F0" w:rsidP="00E675F0">
      <w:pPr>
        <w:pStyle w:val="BodyText"/>
      </w:pPr>
    </w:p>
    <w:p w:rsidR="00E675F0" w:rsidRDefault="00E675F0" w:rsidP="00E675F0">
      <w:pPr>
        <w:pStyle w:val="BodyText"/>
        <w:spacing w:before="2"/>
        <w:rPr>
          <w:sz w:val="22"/>
        </w:rPr>
      </w:pPr>
    </w:p>
    <w:tbl>
      <w:tblPr>
        <w:tblW w:w="0" w:type="auto"/>
        <w:tblInd w:w="224"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7322"/>
      </w:tblGrid>
      <w:tr w:rsidR="00E675F0" w:rsidTr="00A330E1">
        <w:trPr>
          <w:trHeight w:val="6856"/>
        </w:trPr>
        <w:tc>
          <w:tcPr>
            <w:tcW w:w="7322" w:type="dxa"/>
          </w:tcPr>
          <w:p w:rsidR="00E675F0" w:rsidRDefault="00E675F0" w:rsidP="003048D3">
            <w:pPr>
              <w:pStyle w:val="TableParagraph"/>
              <w:numPr>
                <w:ilvl w:val="0"/>
                <w:numId w:val="46"/>
              </w:numPr>
              <w:tabs>
                <w:tab w:val="left" w:pos="626"/>
                <w:tab w:val="left" w:pos="1397"/>
              </w:tabs>
              <w:spacing w:before="73" w:line="189" w:lineRule="auto"/>
              <w:ind w:right="456" w:hanging="378"/>
              <w:rPr>
                <w:rFonts w:ascii="TimesNewRomanPS-BoldItalicMT" w:hAnsi="TimesNewRomanPS-BoldItalicMT"/>
                <w:b/>
                <w:i/>
                <w:sz w:val="28"/>
              </w:rPr>
            </w:pPr>
            <w:r>
              <w:rPr>
                <w:rFonts w:ascii="Arial" w:hAnsi="Arial"/>
                <w:b/>
                <w:sz w:val="24"/>
              </w:rPr>
              <w:t>Diagnostic criteria for 310.1 Personality Change Due to</w:t>
            </w:r>
            <w:r>
              <w:rPr>
                <w:rFonts w:ascii="Arial" w:hAnsi="Arial"/>
                <w:b/>
                <w:spacing w:val="1"/>
                <w:sz w:val="24"/>
              </w:rPr>
              <w:t xml:space="preserve"> </w:t>
            </w:r>
            <w:r>
              <w:rPr>
                <w:rFonts w:ascii="Arial" w:hAnsi="Arial"/>
                <w:sz w:val="24"/>
              </w:rPr>
              <w:t>...</w:t>
            </w:r>
            <w:r>
              <w:rPr>
                <w:rFonts w:ascii="Arial" w:hAnsi="Arial"/>
                <w:sz w:val="24"/>
              </w:rPr>
              <w:tab/>
            </w:r>
            <w:r>
              <w:rPr>
                <w:rFonts w:ascii="TimesNewRomanPS-BoldItalicMT" w:hAnsi="TimesNewRomanPS-BoldItalicMT"/>
                <w:b/>
                <w:i/>
                <w:sz w:val="28"/>
              </w:rPr>
              <w:t>[Indicate the</w:t>
            </w:r>
            <w:r>
              <w:rPr>
                <w:rFonts w:ascii="TimesNewRomanPS-BoldItalicMT" w:hAnsi="TimesNewRomanPS-BoldItalicMT"/>
                <w:b/>
                <w:i/>
                <w:spacing w:val="-57"/>
                <w:sz w:val="28"/>
              </w:rPr>
              <w:t xml:space="preserve"> </w:t>
            </w:r>
            <w:r>
              <w:rPr>
                <w:rFonts w:ascii="TimesNewRomanPS-BoldItalicMT" w:hAnsi="TimesNewRomanPS-BoldItalicMT"/>
                <w:b/>
                <w:i/>
                <w:sz w:val="28"/>
              </w:rPr>
              <w:t>General Medical Condition]</w:t>
            </w:r>
          </w:p>
          <w:p w:rsidR="00E675F0" w:rsidRDefault="00E675F0" w:rsidP="003048D3">
            <w:pPr>
              <w:pStyle w:val="TableParagraph"/>
              <w:numPr>
                <w:ilvl w:val="1"/>
                <w:numId w:val="46"/>
              </w:numPr>
              <w:tabs>
                <w:tab w:val="left" w:pos="950"/>
              </w:tabs>
              <w:spacing w:before="207" w:line="252" w:lineRule="auto"/>
              <w:ind w:right="220" w:hanging="301"/>
              <w:jc w:val="both"/>
              <w:rPr>
                <w:sz w:val="18"/>
              </w:rPr>
            </w:pPr>
            <w:r>
              <w:rPr>
                <w:w w:val="105"/>
                <w:sz w:val="20"/>
              </w:rPr>
              <w:t>A persistent personality disturbance that represents a change from the individual's previous characteristic personality pattern. (In children, the disturbance involves a marked deviation from  normal development  or a significant change in the child's usual behavior patterns lasting at least 1</w:t>
            </w:r>
            <w:r>
              <w:rPr>
                <w:spacing w:val="11"/>
                <w:w w:val="105"/>
                <w:sz w:val="20"/>
              </w:rPr>
              <w:t xml:space="preserve"> </w:t>
            </w:r>
            <w:r>
              <w:rPr>
                <w:w w:val="105"/>
                <w:sz w:val="20"/>
              </w:rPr>
              <w:t>year).</w:t>
            </w:r>
          </w:p>
          <w:p w:rsidR="00E675F0" w:rsidRDefault="00E675F0" w:rsidP="003048D3">
            <w:pPr>
              <w:pStyle w:val="TableParagraph"/>
              <w:numPr>
                <w:ilvl w:val="1"/>
                <w:numId w:val="46"/>
              </w:numPr>
              <w:tabs>
                <w:tab w:val="left" w:pos="946"/>
              </w:tabs>
              <w:spacing w:before="187" w:line="252" w:lineRule="auto"/>
              <w:ind w:left="948" w:right="227" w:hanging="299"/>
              <w:jc w:val="both"/>
              <w:rPr>
                <w:sz w:val="20"/>
              </w:rPr>
            </w:pPr>
            <w:r>
              <w:rPr>
                <w:w w:val="105"/>
                <w:sz w:val="20"/>
              </w:rPr>
              <w:t>There is evidence from the history, physical examination, or laboratory findings that the disturbance is the direct physiological consequence of a general medical</w:t>
            </w:r>
            <w:r>
              <w:rPr>
                <w:spacing w:val="36"/>
                <w:w w:val="105"/>
                <w:sz w:val="20"/>
              </w:rPr>
              <w:t xml:space="preserve"> </w:t>
            </w:r>
            <w:r>
              <w:rPr>
                <w:w w:val="105"/>
                <w:sz w:val="20"/>
              </w:rPr>
              <w:t>condition.</w:t>
            </w:r>
          </w:p>
          <w:p w:rsidR="00E675F0" w:rsidRDefault="00E675F0" w:rsidP="003048D3">
            <w:pPr>
              <w:pStyle w:val="TableParagraph"/>
              <w:numPr>
                <w:ilvl w:val="1"/>
                <w:numId w:val="46"/>
              </w:numPr>
              <w:tabs>
                <w:tab w:val="left" w:pos="946"/>
              </w:tabs>
              <w:spacing w:before="179" w:line="244" w:lineRule="auto"/>
              <w:ind w:right="226" w:hanging="302"/>
              <w:jc w:val="both"/>
              <w:rPr>
                <w:sz w:val="18"/>
              </w:rPr>
            </w:pPr>
            <w:r>
              <w:rPr>
                <w:w w:val="105"/>
                <w:sz w:val="20"/>
              </w:rPr>
              <w:t>The disturbance is not better accounted for by another mental disorder (including</w:t>
            </w:r>
            <w:r>
              <w:rPr>
                <w:spacing w:val="-5"/>
                <w:w w:val="105"/>
                <w:sz w:val="20"/>
              </w:rPr>
              <w:t xml:space="preserve"> </w:t>
            </w:r>
            <w:r>
              <w:rPr>
                <w:w w:val="105"/>
                <w:sz w:val="20"/>
              </w:rPr>
              <w:t>other</w:t>
            </w:r>
            <w:r>
              <w:rPr>
                <w:spacing w:val="-16"/>
                <w:w w:val="105"/>
                <w:sz w:val="20"/>
              </w:rPr>
              <w:t xml:space="preserve"> </w:t>
            </w:r>
            <w:r>
              <w:rPr>
                <w:w w:val="105"/>
                <w:sz w:val="20"/>
              </w:rPr>
              <w:t>Mental</w:t>
            </w:r>
            <w:r>
              <w:rPr>
                <w:spacing w:val="-4"/>
                <w:w w:val="105"/>
                <w:sz w:val="20"/>
              </w:rPr>
              <w:t xml:space="preserve"> </w:t>
            </w:r>
            <w:r>
              <w:rPr>
                <w:w w:val="105"/>
                <w:sz w:val="20"/>
              </w:rPr>
              <w:t>Disorders Due</w:t>
            </w:r>
            <w:r>
              <w:rPr>
                <w:spacing w:val="-9"/>
                <w:w w:val="105"/>
                <w:sz w:val="20"/>
              </w:rPr>
              <w:t xml:space="preserve"> </w:t>
            </w:r>
            <w:r>
              <w:rPr>
                <w:w w:val="105"/>
                <w:sz w:val="20"/>
              </w:rPr>
              <w:t>to</w:t>
            </w:r>
            <w:r>
              <w:rPr>
                <w:spacing w:val="-12"/>
                <w:w w:val="105"/>
                <w:sz w:val="20"/>
              </w:rPr>
              <w:t xml:space="preserve"> </w:t>
            </w:r>
            <w:r>
              <w:rPr>
                <w:w w:val="105"/>
                <w:sz w:val="20"/>
              </w:rPr>
              <w:t>a</w:t>
            </w:r>
            <w:r>
              <w:rPr>
                <w:spacing w:val="-9"/>
                <w:w w:val="105"/>
                <w:sz w:val="20"/>
              </w:rPr>
              <w:t xml:space="preserve"> </w:t>
            </w:r>
            <w:r>
              <w:rPr>
                <w:w w:val="105"/>
                <w:sz w:val="20"/>
              </w:rPr>
              <w:t>General</w:t>
            </w:r>
            <w:r>
              <w:rPr>
                <w:spacing w:val="-1"/>
                <w:w w:val="105"/>
                <w:sz w:val="20"/>
              </w:rPr>
              <w:t xml:space="preserve"> </w:t>
            </w:r>
            <w:r>
              <w:rPr>
                <w:w w:val="105"/>
                <w:sz w:val="20"/>
              </w:rPr>
              <w:t>Medical</w:t>
            </w:r>
            <w:r>
              <w:rPr>
                <w:spacing w:val="-5"/>
                <w:w w:val="105"/>
                <w:sz w:val="20"/>
              </w:rPr>
              <w:t xml:space="preserve"> </w:t>
            </w:r>
            <w:r>
              <w:rPr>
                <w:w w:val="105"/>
                <w:sz w:val="20"/>
              </w:rPr>
              <w:t>Condition).</w:t>
            </w:r>
          </w:p>
          <w:p w:rsidR="00E675F0" w:rsidRDefault="00E675F0" w:rsidP="003048D3">
            <w:pPr>
              <w:pStyle w:val="TableParagraph"/>
              <w:numPr>
                <w:ilvl w:val="1"/>
                <w:numId w:val="46"/>
              </w:numPr>
              <w:tabs>
                <w:tab w:val="left" w:pos="946"/>
              </w:tabs>
              <w:spacing w:before="190" w:line="256" w:lineRule="auto"/>
              <w:ind w:left="949" w:right="219" w:hanging="300"/>
              <w:jc w:val="both"/>
              <w:rPr>
                <w:sz w:val="20"/>
              </w:rPr>
            </w:pPr>
            <w:r>
              <w:rPr>
                <w:w w:val="105"/>
                <w:sz w:val="20"/>
              </w:rPr>
              <w:t>The disturbance does not occur exclusively during the course of a delirium and does not meet criteria for a dementia.</w:t>
            </w:r>
          </w:p>
          <w:p w:rsidR="00E675F0" w:rsidRDefault="00E675F0" w:rsidP="003048D3">
            <w:pPr>
              <w:pStyle w:val="TableParagraph"/>
              <w:numPr>
                <w:ilvl w:val="1"/>
                <w:numId w:val="46"/>
              </w:numPr>
              <w:tabs>
                <w:tab w:val="left" w:pos="946"/>
              </w:tabs>
              <w:spacing w:before="175" w:line="256" w:lineRule="auto"/>
              <w:ind w:left="941" w:right="214" w:hanging="293"/>
              <w:jc w:val="both"/>
              <w:rPr>
                <w:sz w:val="20"/>
              </w:rPr>
            </w:pPr>
            <w:r>
              <w:rPr>
                <w:w w:val="105"/>
                <w:sz w:val="20"/>
              </w:rPr>
              <w:t>The disturbance causes clinically significant distress or impairment in social, occupational, or other important areas of</w:t>
            </w:r>
            <w:r>
              <w:rPr>
                <w:spacing w:val="51"/>
                <w:w w:val="105"/>
                <w:sz w:val="20"/>
              </w:rPr>
              <w:t xml:space="preserve"> </w:t>
            </w:r>
            <w:r>
              <w:rPr>
                <w:w w:val="105"/>
                <w:sz w:val="20"/>
              </w:rPr>
              <w:t>functioning.</w:t>
            </w:r>
          </w:p>
          <w:p w:rsidR="00E675F0" w:rsidRDefault="00E675F0" w:rsidP="00A330E1">
            <w:pPr>
              <w:pStyle w:val="TableParagraph"/>
              <w:spacing w:before="10"/>
              <w:rPr>
                <w:sz w:val="17"/>
              </w:rPr>
            </w:pPr>
          </w:p>
          <w:p w:rsidR="00E675F0" w:rsidRDefault="00E675F0" w:rsidP="00A330E1">
            <w:pPr>
              <w:pStyle w:val="TableParagraph"/>
              <w:ind w:left="411"/>
              <w:rPr>
                <w:rFonts w:ascii="Arial"/>
                <w:sz w:val="18"/>
              </w:rPr>
            </w:pPr>
            <w:r>
              <w:rPr>
                <w:i/>
                <w:sz w:val="20"/>
              </w:rPr>
              <w:t xml:space="preserve">Specify </w:t>
            </w:r>
            <w:r>
              <w:rPr>
                <w:rFonts w:ascii="Arial"/>
                <w:sz w:val="18"/>
              </w:rPr>
              <w:t>type:</w:t>
            </w:r>
          </w:p>
          <w:p w:rsidR="00E675F0" w:rsidRDefault="00E675F0" w:rsidP="00A330E1">
            <w:pPr>
              <w:pStyle w:val="TableParagraph"/>
              <w:spacing w:before="15"/>
              <w:ind w:left="644"/>
              <w:rPr>
                <w:sz w:val="20"/>
              </w:rPr>
            </w:pPr>
            <w:r>
              <w:rPr>
                <w:b/>
                <w:sz w:val="20"/>
              </w:rPr>
              <w:t xml:space="preserve">Labile Type: </w:t>
            </w:r>
            <w:r>
              <w:rPr>
                <w:sz w:val="20"/>
              </w:rPr>
              <w:t>if the predominant feature is affective !ability</w:t>
            </w:r>
          </w:p>
          <w:p w:rsidR="00E675F0" w:rsidRDefault="00E675F0" w:rsidP="00A330E1">
            <w:pPr>
              <w:pStyle w:val="TableParagraph"/>
              <w:spacing w:before="15" w:line="256" w:lineRule="auto"/>
              <w:ind w:left="794" w:right="241" w:hanging="150"/>
              <w:rPr>
                <w:sz w:val="20"/>
              </w:rPr>
            </w:pPr>
            <w:r>
              <w:rPr>
                <w:b/>
                <w:w w:val="105"/>
                <w:sz w:val="20"/>
              </w:rPr>
              <w:t xml:space="preserve">Disinhibited Type: </w:t>
            </w:r>
            <w:r>
              <w:rPr>
                <w:w w:val="105"/>
                <w:sz w:val="20"/>
              </w:rPr>
              <w:t>if the predominant feature is poor impulse control as evidenced by sexual indiscretions, etc.</w:t>
            </w:r>
          </w:p>
          <w:p w:rsidR="00E675F0" w:rsidRDefault="00E675F0" w:rsidP="00A330E1">
            <w:pPr>
              <w:pStyle w:val="TableParagraph"/>
              <w:spacing w:line="228" w:lineRule="exact"/>
              <w:ind w:left="641"/>
              <w:rPr>
                <w:sz w:val="20"/>
              </w:rPr>
            </w:pPr>
            <w:r>
              <w:rPr>
                <w:b/>
                <w:w w:val="105"/>
                <w:sz w:val="20"/>
              </w:rPr>
              <w:t xml:space="preserve">Aggressive Type: </w:t>
            </w:r>
            <w:r>
              <w:rPr>
                <w:w w:val="105"/>
                <w:sz w:val="20"/>
              </w:rPr>
              <w:t>if the predominant feature is aggressive behavior</w:t>
            </w:r>
          </w:p>
          <w:p w:rsidR="00E675F0" w:rsidRDefault="00E675F0" w:rsidP="00A330E1">
            <w:pPr>
              <w:pStyle w:val="TableParagraph"/>
              <w:spacing w:before="15"/>
              <w:ind w:left="6017"/>
              <w:rPr>
                <w:i/>
                <w:sz w:val="20"/>
              </w:rPr>
            </w:pPr>
            <w:r>
              <w:rPr>
                <w:i/>
                <w:w w:val="110"/>
                <w:sz w:val="20"/>
              </w:rPr>
              <w:t>(continued)</w:t>
            </w:r>
          </w:p>
        </w:tc>
      </w:tr>
    </w:tbl>
    <w:p w:rsidR="00E675F0" w:rsidRDefault="00E675F0" w:rsidP="00E675F0">
      <w:pPr>
        <w:rPr>
          <w:sz w:val="20"/>
        </w:rPr>
        <w:sectPr w:rsidR="00E675F0">
          <w:headerReference w:type="even" r:id="rId158"/>
          <w:headerReference w:type="default" r:id="rId159"/>
          <w:pgSz w:w="8960" w:h="14260"/>
          <w:pgMar w:top="980" w:right="640" w:bottom="280" w:left="600" w:header="695" w:footer="0" w:gutter="0"/>
          <w:cols w:space="720"/>
        </w:sectPr>
      </w:pPr>
    </w:p>
    <w:p w:rsidR="00E675F0" w:rsidRDefault="00E675F0" w:rsidP="00E675F0">
      <w:pPr>
        <w:pStyle w:val="BodyText"/>
        <w:spacing w:before="6" w:after="1"/>
        <w:rPr>
          <w:sz w:val="9"/>
        </w:rPr>
      </w:pPr>
    </w:p>
    <w:tbl>
      <w:tblPr>
        <w:tblW w:w="0" w:type="auto"/>
        <w:tblInd w:w="2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7336"/>
      </w:tblGrid>
      <w:tr w:rsidR="00E675F0" w:rsidTr="00A330E1">
        <w:trPr>
          <w:trHeight w:val="4172"/>
        </w:trPr>
        <w:tc>
          <w:tcPr>
            <w:tcW w:w="7336" w:type="dxa"/>
            <w:tcBorders>
              <w:bottom w:val="single" w:sz="18" w:space="0" w:color="000000"/>
            </w:tcBorders>
          </w:tcPr>
          <w:p w:rsidR="00E675F0" w:rsidRDefault="00E675F0" w:rsidP="00A330E1">
            <w:pPr>
              <w:pStyle w:val="TableParagraph"/>
              <w:spacing w:before="55" w:line="405" w:lineRule="exact"/>
              <w:ind w:left="265"/>
              <w:rPr>
                <w:rFonts w:ascii="Arial" w:hAnsi="Arial"/>
              </w:rPr>
            </w:pPr>
            <w:bookmarkStart w:id="113" w:name="_bookmark95"/>
            <w:bookmarkEnd w:id="113"/>
            <w:r>
              <w:rPr>
                <w:rFonts w:ascii="Arial" w:hAnsi="Arial"/>
                <w:sz w:val="38"/>
              </w:rPr>
              <w:t xml:space="preserve">□ </w:t>
            </w:r>
            <w:r>
              <w:rPr>
                <w:rFonts w:ascii="Arial" w:hAnsi="Arial"/>
                <w:b/>
              </w:rPr>
              <w:t xml:space="preserve">Diagnostic criteria for 310.1 Personality Change Due to </w:t>
            </w:r>
            <w:r>
              <w:rPr>
                <w:rFonts w:ascii="Arial" w:hAnsi="Arial"/>
              </w:rPr>
              <w:t>...</w:t>
            </w:r>
          </w:p>
          <w:p w:rsidR="00E675F0" w:rsidRDefault="00E675F0" w:rsidP="00A330E1">
            <w:pPr>
              <w:pStyle w:val="TableParagraph"/>
              <w:spacing w:line="267" w:lineRule="exact"/>
              <w:ind w:left="631"/>
              <w:rPr>
                <w:rFonts w:ascii="Arial"/>
                <w:i/>
              </w:rPr>
            </w:pPr>
            <w:r>
              <w:rPr>
                <w:rFonts w:ascii="TimesNewRomanPS-BoldItalicMT"/>
                <w:b/>
                <w:i/>
                <w:sz w:val="26"/>
              </w:rPr>
              <w:t xml:space="preserve">[Indicate the General Medical Condition] </w:t>
            </w:r>
            <w:r>
              <w:rPr>
                <w:rFonts w:ascii="Arial"/>
                <w:i/>
              </w:rPr>
              <w:t>(continued)</w:t>
            </w:r>
          </w:p>
          <w:p w:rsidR="00E675F0" w:rsidRDefault="00E675F0" w:rsidP="00A330E1">
            <w:pPr>
              <w:pStyle w:val="TableParagraph"/>
              <w:spacing w:before="209" w:line="256" w:lineRule="auto"/>
              <w:ind w:left="810" w:right="589" w:hanging="160"/>
              <w:rPr>
                <w:sz w:val="20"/>
              </w:rPr>
            </w:pPr>
            <w:r>
              <w:rPr>
                <w:b/>
                <w:w w:val="105"/>
                <w:sz w:val="20"/>
              </w:rPr>
              <w:t xml:space="preserve">Apathetic Type: </w:t>
            </w:r>
            <w:r>
              <w:rPr>
                <w:w w:val="105"/>
                <w:sz w:val="20"/>
              </w:rPr>
              <w:t>if the predominant feature is marked apathy and indifference</w:t>
            </w:r>
          </w:p>
          <w:p w:rsidR="00E675F0" w:rsidRDefault="00E675F0" w:rsidP="00A330E1">
            <w:pPr>
              <w:pStyle w:val="TableParagraph"/>
              <w:spacing w:line="252" w:lineRule="auto"/>
              <w:ind w:left="810" w:hanging="153"/>
              <w:rPr>
                <w:sz w:val="20"/>
              </w:rPr>
            </w:pPr>
            <w:r>
              <w:rPr>
                <w:b/>
                <w:w w:val="105"/>
                <w:sz w:val="20"/>
              </w:rPr>
              <w:t xml:space="preserve">Paranoid Type: </w:t>
            </w:r>
            <w:r>
              <w:rPr>
                <w:w w:val="105"/>
                <w:sz w:val="20"/>
              </w:rPr>
              <w:t>if the predominant feature is suspiciousness or paranoid ideation</w:t>
            </w:r>
          </w:p>
          <w:p w:rsidR="00E675F0" w:rsidRDefault="00E675F0" w:rsidP="00A330E1">
            <w:pPr>
              <w:pStyle w:val="TableParagraph"/>
              <w:spacing w:line="252" w:lineRule="auto"/>
              <w:ind w:left="817" w:hanging="158"/>
              <w:rPr>
                <w:sz w:val="20"/>
              </w:rPr>
            </w:pPr>
            <w:r>
              <w:rPr>
                <w:b/>
                <w:w w:val="105"/>
                <w:sz w:val="20"/>
              </w:rPr>
              <w:t xml:space="preserve">Other Type: </w:t>
            </w:r>
            <w:r>
              <w:rPr>
                <w:w w:val="105"/>
                <w:sz w:val="21"/>
              </w:rPr>
              <w:t xml:space="preserve">if </w:t>
            </w:r>
            <w:r>
              <w:rPr>
                <w:w w:val="105"/>
                <w:sz w:val="20"/>
              </w:rPr>
              <w:t>the predominant feature is not one of the above, e.g., personality change associated with a seizure disorder</w:t>
            </w:r>
          </w:p>
          <w:p w:rsidR="00E675F0" w:rsidRDefault="00E675F0" w:rsidP="00A330E1">
            <w:pPr>
              <w:pStyle w:val="TableParagraph"/>
              <w:spacing w:line="256" w:lineRule="auto"/>
              <w:ind w:left="817" w:right="589" w:hanging="163"/>
              <w:rPr>
                <w:sz w:val="20"/>
              </w:rPr>
            </w:pPr>
            <w:r>
              <w:rPr>
                <w:b/>
                <w:w w:val="105"/>
                <w:sz w:val="20"/>
              </w:rPr>
              <w:t xml:space="preserve">Combined Type: </w:t>
            </w:r>
            <w:r>
              <w:rPr>
                <w:w w:val="105"/>
                <w:sz w:val="20"/>
              </w:rPr>
              <w:t>if more than one feature predominates in the clinical picture</w:t>
            </w:r>
          </w:p>
          <w:p w:rsidR="00E675F0" w:rsidRDefault="00E675F0" w:rsidP="00A330E1">
            <w:pPr>
              <w:pStyle w:val="TableParagraph"/>
              <w:spacing w:line="223" w:lineRule="exact"/>
              <w:ind w:left="653"/>
              <w:rPr>
                <w:b/>
                <w:sz w:val="20"/>
              </w:rPr>
            </w:pPr>
            <w:r>
              <w:rPr>
                <w:b/>
                <w:w w:val="110"/>
                <w:sz w:val="20"/>
              </w:rPr>
              <w:t>Unspecified Type</w:t>
            </w:r>
          </w:p>
          <w:p w:rsidR="00E675F0" w:rsidRDefault="00E675F0" w:rsidP="00A330E1">
            <w:pPr>
              <w:pStyle w:val="TableParagraph"/>
              <w:spacing w:before="1"/>
              <w:rPr>
                <w:sz w:val="18"/>
              </w:rPr>
            </w:pPr>
          </w:p>
          <w:p w:rsidR="00E675F0" w:rsidRDefault="00E675F0" w:rsidP="00A330E1">
            <w:pPr>
              <w:pStyle w:val="TableParagraph"/>
              <w:ind w:left="660"/>
              <w:rPr>
                <w:sz w:val="18"/>
              </w:rPr>
            </w:pPr>
            <w:r>
              <w:rPr>
                <w:b/>
                <w:w w:val="105"/>
                <w:sz w:val="18"/>
              </w:rPr>
              <w:t xml:space="preserve">Coding note: </w:t>
            </w:r>
            <w:r>
              <w:rPr>
                <w:w w:val="105"/>
                <w:sz w:val="18"/>
              </w:rPr>
              <w:t>Include the name of the general medical condition on Axis I, e.g.,</w:t>
            </w:r>
          </w:p>
          <w:p w:rsidR="00E675F0" w:rsidRDefault="00E675F0" w:rsidP="00A330E1">
            <w:pPr>
              <w:pStyle w:val="TableParagraph"/>
              <w:spacing w:before="4" w:line="252" w:lineRule="auto"/>
              <w:ind w:left="661" w:hanging="1"/>
              <w:rPr>
                <w:sz w:val="18"/>
              </w:rPr>
            </w:pPr>
            <w:r>
              <w:rPr>
                <w:w w:val="105"/>
                <w:sz w:val="18"/>
              </w:rPr>
              <w:t>310.1 Personality Change Due to Temporal Lobe Epilepsy; also code the general medical condition on Axis III (see Appendix G for codes).</w:t>
            </w:r>
          </w:p>
        </w:tc>
      </w:tr>
    </w:tbl>
    <w:p w:rsidR="00E675F0" w:rsidRDefault="00E675F0" w:rsidP="00E675F0">
      <w:pPr>
        <w:pStyle w:val="BodyText"/>
      </w:pPr>
    </w:p>
    <w:p w:rsidR="00E675F0" w:rsidRDefault="00E675F0" w:rsidP="00E675F0">
      <w:pPr>
        <w:pStyle w:val="BodyText"/>
        <w:spacing w:before="3"/>
        <w:rPr>
          <w:sz w:val="27"/>
        </w:rPr>
      </w:pPr>
    </w:p>
    <w:p w:rsidR="00E675F0" w:rsidRDefault="00E675F0" w:rsidP="00E675F0">
      <w:pPr>
        <w:tabs>
          <w:tab w:val="left" w:pos="1705"/>
        </w:tabs>
        <w:spacing w:before="92"/>
        <w:ind w:left="1704" w:right="771" w:hanging="916"/>
        <w:rPr>
          <w:rFonts w:ascii="Arial"/>
          <w:b/>
          <w:sz w:val="26"/>
        </w:rPr>
      </w:pPr>
      <w:r>
        <w:rPr>
          <w:noProof/>
        </w:rPr>
        <mc:AlternateContent>
          <mc:Choice Requires="wpg">
            <w:drawing>
              <wp:anchor distT="0" distB="0" distL="114300" distR="114300" simplePos="0" relativeHeight="251793408" behindDoc="1" locked="0" layoutInCell="1" allowOverlap="1" wp14:anchorId="4EA8DA54" wp14:editId="3ECCA667">
                <wp:simplePos x="0" y="0"/>
                <wp:positionH relativeFrom="page">
                  <wp:posOffset>452120</wp:posOffset>
                </wp:positionH>
                <wp:positionV relativeFrom="paragraph">
                  <wp:posOffset>-3086100</wp:posOffset>
                </wp:positionV>
                <wp:extent cx="4765675" cy="2795905"/>
                <wp:effectExtent l="0" t="0" r="22225" b="0"/>
                <wp:wrapNone/>
                <wp:docPr id="1424" name="Group 1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5675" cy="2795905"/>
                          <a:chOff x="712" y="-4860"/>
                          <a:chExt cx="7505" cy="4403"/>
                        </a:xfrm>
                      </wpg:grpSpPr>
                      <wps:wsp>
                        <wps:cNvPr id="1425" name="Line 1383"/>
                        <wps:cNvCnPr>
                          <a:cxnSpLocks/>
                        </wps:cNvCnPr>
                        <wps:spPr bwMode="auto">
                          <a:xfrm>
                            <a:off x="789" y="-457"/>
                            <a:ext cx="0" cy="0"/>
                          </a:xfrm>
                          <a:prstGeom prst="line">
                            <a:avLst/>
                          </a:prstGeom>
                          <a:noFill/>
                          <a:ln w="366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6" name="Line 1382"/>
                        <wps:cNvCnPr>
                          <a:cxnSpLocks/>
                        </wps:cNvCnPr>
                        <wps:spPr bwMode="auto">
                          <a:xfrm>
                            <a:off x="8125" y="-457"/>
                            <a:ext cx="0" cy="0"/>
                          </a:xfrm>
                          <a:prstGeom prst="line">
                            <a:avLst/>
                          </a:prstGeom>
                          <a:noFill/>
                          <a:ln w="3054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7" name="Line 1381"/>
                        <wps:cNvCnPr>
                          <a:cxnSpLocks/>
                        </wps:cNvCnPr>
                        <wps:spPr bwMode="auto">
                          <a:xfrm>
                            <a:off x="712" y="-4788"/>
                            <a:ext cx="7505" cy="0"/>
                          </a:xfrm>
                          <a:prstGeom prst="line">
                            <a:avLst/>
                          </a:prstGeom>
                          <a:noFill/>
                          <a:ln w="3662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DCBCBC" id="Group 1380" o:spid="_x0000_s1026" style="position:absolute;margin-left:35.6pt;margin-top:-243pt;width:375.25pt;height:220.15pt;z-index:-251523072;mso-position-horizontal-relative:page" coordorigin="712,-4860" coordsize="7505,440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">
                <v:line id="Line 1383" o:spid="_x0000_s1027" style="position:absolute;visibility:visible;mso-wrap-style:square" from="789,-457" to="789,-4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" strokeweight="1.01825mm">
                  <o:lock v:ext="edit" shapetype="f"/>
                </v:line>
                <v:line id="Line 1382" o:spid="_x0000_s1028" style="position:absolute;visibility:visible;mso-wrap-style:square" from="8125,-457" to="8125,-4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" strokeweight=".84853mm">
                  <o:lock v:ext="edit" shapetype="f"/>
                </v:line>
                <v:line id="Line 1381" o:spid="_x0000_s1029" style="position:absolute;visibility:visible;mso-wrap-style:square" from="712,-4788" to="8217,-47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" strokeweight="1.0174mm">
                  <o:lock v:ext="edit" shapetype="f"/>
                </v:line>
                <w10:wrap anchorx="page"/>
              </v:group>
            </w:pict>
          </mc:Fallback>
        </mc:AlternateContent>
      </w:r>
      <w:r>
        <w:rPr>
          <w:rFonts w:ascii="Arial"/>
          <w:b/>
          <w:w w:val="105"/>
          <w:sz w:val="26"/>
        </w:rPr>
        <w:t>293.9</w:t>
      </w:r>
      <w:r>
        <w:rPr>
          <w:rFonts w:ascii="Arial"/>
          <w:b/>
          <w:w w:val="105"/>
          <w:sz w:val="26"/>
        </w:rPr>
        <w:tab/>
      </w:r>
      <w:r>
        <w:rPr>
          <w:rFonts w:ascii="Arial"/>
          <w:b/>
          <w:w w:val="105"/>
          <w:sz w:val="26"/>
        </w:rPr>
        <w:tab/>
        <w:t>Mental Disorder Not</w:t>
      </w:r>
      <w:r>
        <w:rPr>
          <w:rFonts w:ascii="Arial"/>
          <w:b/>
          <w:spacing w:val="-59"/>
          <w:w w:val="105"/>
          <w:sz w:val="26"/>
        </w:rPr>
        <w:t xml:space="preserve"> </w:t>
      </w:r>
      <w:r>
        <w:rPr>
          <w:rFonts w:ascii="Arial"/>
          <w:b/>
          <w:w w:val="105"/>
          <w:sz w:val="26"/>
        </w:rPr>
        <w:t>Otherwise Specified Due to a General Medical</w:t>
      </w:r>
      <w:r>
        <w:rPr>
          <w:rFonts w:ascii="Arial"/>
          <w:b/>
          <w:spacing w:val="-35"/>
          <w:w w:val="105"/>
          <w:sz w:val="26"/>
        </w:rPr>
        <w:t xml:space="preserve"> </w:t>
      </w:r>
      <w:r>
        <w:rPr>
          <w:rFonts w:ascii="Arial"/>
          <w:b/>
          <w:w w:val="105"/>
          <w:sz w:val="26"/>
        </w:rPr>
        <w:t>Condition</w:t>
      </w:r>
    </w:p>
    <w:p w:rsidR="00E675F0" w:rsidRDefault="00E675F0" w:rsidP="00E675F0">
      <w:pPr>
        <w:pStyle w:val="BodyText"/>
        <w:spacing w:before="238" w:line="252" w:lineRule="auto"/>
        <w:ind w:left="118" w:right="114" w:hanging="3"/>
        <w:jc w:val="both"/>
      </w:pPr>
      <w:r>
        <w:rPr>
          <w:w w:val="105"/>
        </w:rPr>
        <w:t>This residual category should be used for situations in which it has been  established  that the disturbance is caused by the direct physiological effects of a general medical condition, but the criteria are not met for a specific Mental Disorder Due to a General Medical Condition (e.g., dissociative symptoms due to complex partial</w:t>
      </w:r>
      <w:r>
        <w:rPr>
          <w:spacing w:val="7"/>
          <w:w w:val="105"/>
        </w:rPr>
        <w:t xml:space="preserve"> </w:t>
      </w:r>
      <w:r>
        <w:rPr>
          <w:w w:val="105"/>
        </w:rPr>
        <w:t>seizures).</w:t>
      </w:r>
    </w:p>
    <w:p w:rsidR="00E675F0" w:rsidRDefault="00E675F0" w:rsidP="00E675F0">
      <w:pPr>
        <w:pStyle w:val="BodyText"/>
        <w:spacing w:before="188" w:line="247" w:lineRule="auto"/>
        <w:ind w:left="123" w:right="107" w:hanging="6"/>
        <w:jc w:val="both"/>
      </w:pPr>
      <w:r>
        <w:rPr>
          <w:b/>
          <w:w w:val="105"/>
        </w:rPr>
        <w:t xml:space="preserve">Coding note: </w:t>
      </w:r>
      <w:r>
        <w:rPr>
          <w:w w:val="105"/>
        </w:rPr>
        <w:t>Include the name of the general medical condition on Axis I, e.g., 293.9 Mental Disorder Not Otherwise Specified Due to HIV Disease; also code the general medical condition on Axis III (see Appendix G for codes).</w:t>
      </w:r>
    </w:p>
    <w:p w:rsidR="00E675F0" w:rsidRDefault="00E675F0" w:rsidP="00E675F0">
      <w:pPr>
        <w:spacing w:line="247" w:lineRule="auto"/>
        <w:jc w:val="both"/>
        <w:sectPr w:rsidR="00E675F0">
          <w:pgSz w:w="8960" w:h="14260"/>
          <w:pgMar w:top="1400" w:right="640" w:bottom="280" w:left="600" w:header="705" w:footer="0" w:gutter="0"/>
          <w:cols w:space="720"/>
        </w:sectPr>
      </w:pPr>
    </w:p>
    <w:p w:rsidR="00E675F0" w:rsidRDefault="00E675F0" w:rsidP="00E675F0">
      <w:pPr>
        <w:pStyle w:val="BodyText"/>
      </w:pPr>
    </w:p>
    <w:p w:rsidR="00E675F0" w:rsidRDefault="00E675F0" w:rsidP="00E675F0">
      <w:pPr>
        <w:pStyle w:val="BodyText"/>
      </w:pPr>
    </w:p>
    <w:bookmarkStart w:id="114" w:name="Substance-Related_Disorders"/>
    <w:bookmarkStart w:id="115" w:name="_bookmark96"/>
    <w:bookmarkStart w:id="116" w:name="_bookmark97"/>
    <w:bookmarkEnd w:id="114"/>
    <w:bookmarkEnd w:id="115"/>
    <w:bookmarkEnd w:id="116"/>
    <w:p w:rsidR="00E675F0" w:rsidRDefault="00E675F0" w:rsidP="00E675F0">
      <w:pPr>
        <w:spacing w:before="219" w:line="290" w:lineRule="auto"/>
        <w:ind w:left="2570" w:hanging="1212"/>
        <w:rPr>
          <w:rFonts w:ascii="Arial"/>
          <w:b/>
          <w:sz w:val="53"/>
        </w:rPr>
      </w:pPr>
      <w:r>
        <w:fldChar w:fldCharType="begin"/>
      </w:r>
      <w:r>
        <w:instrText xml:space="preserve"> HYPERLINK \l "_bookmark0" </w:instrText>
      </w:r>
      <w:r>
        <w:fldChar w:fldCharType="separate"/>
      </w:r>
      <w:r>
        <w:rPr>
          <w:rFonts w:ascii="Arial"/>
          <w:b/>
          <w:w w:val="105"/>
          <w:sz w:val="53"/>
        </w:rPr>
        <w:t>Substance Related Disorders</w:t>
      </w:r>
      <w:r>
        <w:rPr>
          <w:rFonts w:ascii="Arial"/>
          <w:b/>
          <w:w w:val="105"/>
          <w:sz w:val="53"/>
        </w:rPr>
        <w:fldChar w:fldCharType="end"/>
      </w:r>
    </w:p>
    <w:p w:rsidR="00E675F0" w:rsidRDefault="00E675F0" w:rsidP="00E675F0">
      <w:pPr>
        <w:pStyle w:val="BodyText"/>
        <w:rPr>
          <w:rFonts w:ascii="Arial"/>
          <w:b/>
        </w:rPr>
      </w:pPr>
    </w:p>
    <w:p w:rsidR="00E675F0" w:rsidRDefault="00E675F0" w:rsidP="00E675F0">
      <w:pPr>
        <w:pStyle w:val="BodyText"/>
        <w:rPr>
          <w:rFonts w:ascii="Arial"/>
          <w:b/>
        </w:rPr>
      </w:pPr>
    </w:p>
    <w:p w:rsidR="00E675F0" w:rsidRDefault="00E675F0" w:rsidP="00E675F0">
      <w:pPr>
        <w:pStyle w:val="BodyText"/>
        <w:rPr>
          <w:rFonts w:ascii="Arial"/>
          <w:b/>
        </w:rPr>
      </w:pPr>
    </w:p>
    <w:p w:rsidR="00E675F0" w:rsidRDefault="00E675F0" w:rsidP="00E675F0">
      <w:pPr>
        <w:pStyle w:val="BodyText"/>
        <w:rPr>
          <w:rFonts w:ascii="Arial"/>
          <w:b/>
        </w:rPr>
      </w:pPr>
    </w:p>
    <w:p w:rsidR="00E675F0" w:rsidRDefault="00E675F0" w:rsidP="00E675F0">
      <w:pPr>
        <w:pStyle w:val="BodyText"/>
        <w:rPr>
          <w:rFonts w:ascii="Arial"/>
          <w:b/>
        </w:rPr>
      </w:pPr>
    </w:p>
    <w:p w:rsidR="00E675F0" w:rsidRDefault="00E675F0" w:rsidP="00E675F0">
      <w:pPr>
        <w:pStyle w:val="BodyText"/>
        <w:spacing w:before="5"/>
        <w:rPr>
          <w:rFonts w:ascii="Arial"/>
          <w:b/>
          <w:sz w:val="24"/>
        </w:rPr>
      </w:pPr>
    </w:p>
    <w:p w:rsidR="00E675F0" w:rsidRDefault="00E675F0" w:rsidP="00E675F0">
      <w:pPr>
        <w:pStyle w:val="BodyText"/>
        <w:spacing w:before="92" w:line="256" w:lineRule="auto"/>
        <w:ind w:left="576" w:right="139" w:firstLine="5"/>
        <w:jc w:val="both"/>
      </w:pPr>
      <w:r>
        <w:rPr>
          <w:noProof/>
        </w:rPr>
        <mc:AlternateContent>
          <mc:Choice Requires="wps">
            <w:drawing>
              <wp:anchor distT="0" distB="0" distL="114300" distR="114300" simplePos="0" relativeHeight="251794432" behindDoc="1" locked="0" layoutInCell="1" allowOverlap="1" wp14:anchorId="4C1887BF" wp14:editId="641C8B6B">
                <wp:simplePos x="0" y="0"/>
                <wp:positionH relativeFrom="page">
                  <wp:posOffset>469265</wp:posOffset>
                </wp:positionH>
                <wp:positionV relativeFrom="paragraph">
                  <wp:posOffset>-69850</wp:posOffset>
                </wp:positionV>
                <wp:extent cx="287655" cy="504825"/>
                <wp:effectExtent l="0" t="0" r="0" b="0"/>
                <wp:wrapNone/>
                <wp:docPr id="1423" name="Text Box 1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7655"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5F0" w:rsidRDefault="00E675F0" w:rsidP="00E675F0">
                            <w:pPr>
                              <w:spacing w:line="794" w:lineRule="exact"/>
                              <w:rPr>
                                <w:rFonts w:ascii="Arial"/>
                                <w:sz w:val="71"/>
                              </w:rPr>
                            </w:pPr>
                            <w:r>
                              <w:rPr>
                                <w:rFonts w:ascii="Arial"/>
                                <w:w w:val="104"/>
                                <w:sz w:val="71"/>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887BF" id="Text Box 1379" o:spid="_x0000_s1103" type="#_x0000_t202" style="position:absolute;left:0;text-align:left;margin-left:36.95pt;margin-top:-5.5pt;width:22.65pt;height:39.75pt;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" filled="f" stroked="f">
                <v:path arrowok="t"/>
                <v:textbox inset="0,0,0,0">
                  <w:txbxContent>
                    <w:p w:rsidR="00E675F0" w:rsidRDefault="00E675F0" w:rsidP="00E675F0">
                      <w:pPr>
                        <w:spacing w:line="794" w:lineRule="exact"/>
                        <w:rPr>
                          <w:rFonts w:ascii="Arial"/>
                          <w:sz w:val="71"/>
                        </w:rPr>
                      </w:pPr>
                      <w:r>
                        <w:rPr>
                          <w:rFonts w:ascii="Arial"/>
                          <w:w w:val="104"/>
                          <w:sz w:val="71"/>
                        </w:rPr>
                        <w:t>T</w:t>
                      </w:r>
                    </w:p>
                  </w:txbxContent>
                </v:textbox>
                <w10:wrap anchorx="page"/>
              </v:shape>
            </w:pict>
          </mc:Fallback>
        </mc:AlternateContent>
      </w:r>
      <w:r>
        <w:rPr>
          <w:w w:val="105"/>
        </w:rPr>
        <w:t>he Substance-Related Disorders include disorders related to the taking of a drug of abuse</w:t>
      </w:r>
      <w:r>
        <w:rPr>
          <w:spacing w:val="-10"/>
          <w:w w:val="105"/>
        </w:rPr>
        <w:t xml:space="preserve"> </w:t>
      </w:r>
      <w:r>
        <w:rPr>
          <w:w w:val="105"/>
        </w:rPr>
        <w:t>(including</w:t>
      </w:r>
      <w:r>
        <w:rPr>
          <w:spacing w:val="2"/>
          <w:w w:val="105"/>
        </w:rPr>
        <w:t xml:space="preserve"> </w:t>
      </w:r>
      <w:r>
        <w:rPr>
          <w:w w:val="105"/>
        </w:rPr>
        <w:t>alcohol), to</w:t>
      </w:r>
      <w:r>
        <w:rPr>
          <w:spacing w:val="-19"/>
          <w:w w:val="105"/>
        </w:rPr>
        <w:t xml:space="preserve"> </w:t>
      </w:r>
      <w:r>
        <w:rPr>
          <w:w w:val="105"/>
        </w:rPr>
        <w:t>the</w:t>
      </w:r>
      <w:r>
        <w:rPr>
          <w:spacing w:val="-12"/>
          <w:w w:val="105"/>
        </w:rPr>
        <w:t xml:space="preserve"> </w:t>
      </w:r>
      <w:r>
        <w:rPr>
          <w:w w:val="105"/>
        </w:rPr>
        <w:t>side</w:t>
      </w:r>
      <w:r>
        <w:rPr>
          <w:spacing w:val="-16"/>
          <w:w w:val="105"/>
        </w:rPr>
        <w:t xml:space="preserve"> </w:t>
      </w:r>
      <w:r>
        <w:rPr>
          <w:w w:val="105"/>
        </w:rPr>
        <w:t>effects</w:t>
      </w:r>
      <w:r>
        <w:rPr>
          <w:spacing w:val="-7"/>
          <w:w w:val="105"/>
        </w:rPr>
        <w:t xml:space="preserve"> </w:t>
      </w:r>
      <w:r>
        <w:rPr>
          <w:w w:val="105"/>
        </w:rPr>
        <w:t>of</w:t>
      </w:r>
      <w:r>
        <w:rPr>
          <w:spacing w:val="-4"/>
          <w:w w:val="105"/>
        </w:rPr>
        <w:t xml:space="preserve"> </w:t>
      </w:r>
      <w:r>
        <w:rPr>
          <w:w w:val="105"/>
        </w:rPr>
        <w:t>a</w:t>
      </w:r>
      <w:r>
        <w:rPr>
          <w:spacing w:val="-3"/>
          <w:w w:val="105"/>
        </w:rPr>
        <w:t xml:space="preserve"> </w:t>
      </w:r>
      <w:r>
        <w:rPr>
          <w:w w:val="105"/>
        </w:rPr>
        <w:t>medication,</w:t>
      </w:r>
      <w:r>
        <w:rPr>
          <w:spacing w:val="8"/>
          <w:w w:val="105"/>
        </w:rPr>
        <w:t xml:space="preserve"> </w:t>
      </w:r>
      <w:r>
        <w:rPr>
          <w:w w:val="105"/>
        </w:rPr>
        <w:t>and</w:t>
      </w:r>
      <w:r>
        <w:rPr>
          <w:spacing w:val="-6"/>
          <w:w w:val="105"/>
        </w:rPr>
        <w:t xml:space="preserve"> </w:t>
      </w:r>
      <w:r>
        <w:rPr>
          <w:w w:val="105"/>
        </w:rPr>
        <w:t>to</w:t>
      </w:r>
      <w:r>
        <w:rPr>
          <w:spacing w:val="-13"/>
          <w:w w:val="105"/>
        </w:rPr>
        <w:t xml:space="preserve"> </w:t>
      </w:r>
      <w:r>
        <w:rPr>
          <w:w w:val="105"/>
        </w:rPr>
        <w:t>toxin</w:t>
      </w:r>
      <w:r>
        <w:rPr>
          <w:spacing w:val="-7"/>
          <w:w w:val="105"/>
        </w:rPr>
        <w:t xml:space="preserve"> </w:t>
      </w:r>
      <w:r>
        <w:rPr>
          <w:w w:val="105"/>
        </w:rPr>
        <w:t>exposure.</w:t>
      </w:r>
    </w:p>
    <w:p w:rsidR="00E675F0" w:rsidRDefault="00E675F0" w:rsidP="00E675F0">
      <w:pPr>
        <w:pStyle w:val="BodyText"/>
        <w:spacing w:line="254" w:lineRule="auto"/>
        <w:ind w:left="119" w:right="125" w:firstLine="10"/>
        <w:jc w:val="both"/>
      </w:pPr>
      <w:r>
        <w:rPr>
          <w:w w:val="105"/>
        </w:rPr>
        <w:t xml:space="preserve">In this manual, the term </w:t>
      </w:r>
      <w:r>
        <w:rPr>
          <w:i/>
          <w:w w:val="105"/>
          <w:sz w:val="21"/>
        </w:rPr>
        <w:t xml:space="preserve">substance </w:t>
      </w:r>
      <w:r>
        <w:rPr>
          <w:w w:val="105"/>
        </w:rPr>
        <w:t>can refer to a drug of abuse, a medication, or a toxin. The substances discussed in this section are grouped into 11 classes: alcohol; amphet­ amine or similarly acting sympathomimetics; caffeine; cannabis; cocaine; hallucinogens; inhalants; nicotine; opioids; phencyclidine (PCP) or similarly acting arylcyclohexyl­ amines; and sedatives, hypnotics, or anxiolytics. Although these 11 classes appear in alphabetical order, the following classes share similar features: alcohol shares features with the sedatives, hypnotics, and anxiolytics; and cocaine shares features with amphetamines or similarly acting sympathomimetics. Also included in this section are Polysubstance Dependence and Other or Unknown Substance-Related Disorders (which include most disorders related to medications or toxins).</w:t>
      </w:r>
    </w:p>
    <w:p w:rsidR="00E675F0" w:rsidRDefault="00E675F0" w:rsidP="00E675F0">
      <w:pPr>
        <w:pStyle w:val="BodyText"/>
        <w:spacing w:line="252" w:lineRule="auto"/>
        <w:ind w:left="128" w:right="129" w:firstLine="364"/>
        <w:jc w:val="both"/>
      </w:pPr>
      <w:r>
        <w:rPr>
          <w:w w:val="105"/>
        </w:rPr>
        <w:t>Many prescribed and over-the-counter medications can also cause Substance­ Related Disorders. Symptoms are often related to the dosage of the medication and usually disappear when the dosage is lowered or the medication is stopped. However, there may sometimes be an idiosyncratic reaction to a single dose. Medications that may cause Substance-Related Disorders include, but are not limited to, anesthetics and analgesics, anticholinergic agents, anticonvulsants, antihistamines, antihypertensive and cardiovascular medications, antimicrobial medications, antiparkinsonian medications, chemotherapeutic agents, corticosteroids, gastrointestinal medications, muscle relaxants, nonsteroidal anti-inflammatory medications, other over-the-counter medications, anti­ depressant medications, and disulfiram.</w:t>
      </w:r>
    </w:p>
    <w:p w:rsidR="00E675F0" w:rsidRDefault="00E675F0" w:rsidP="00E675F0">
      <w:pPr>
        <w:pStyle w:val="BodyText"/>
        <w:spacing w:line="254" w:lineRule="auto"/>
        <w:ind w:left="125" w:right="121" w:firstLine="366"/>
        <w:jc w:val="both"/>
      </w:pPr>
      <w:r>
        <w:rPr>
          <w:w w:val="105"/>
        </w:rPr>
        <w:t>Exposure to a wide range of other chemical substances can also lead to the development of a Substance-Related Disorder. Toxic substances that may cause Sub­ stance-Related Disorders include, but are not limited to, heavy metals (e.g., lead or aluminum), rat poisons containing strychnine, pesticides containing acetylcholinesterase inhibitors, nerve gases, ethylene glycol (antifreeze), carbon monoxide, and carbon dioxide.</w:t>
      </w:r>
      <w:r>
        <w:rPr>
          <w:spacing w:val="-7"/>
          <w:w w:val="105"/>
        </w:rPr>
        <w:t xml:space="preserve"> </w:t>
      </w:r>
      <w:r>
        <w:rPr>
          <w:w w:val="105"/>
        </w:rPr>
        <w:t>The</w:t>
      </w:r>
      <w:r>
        <w:rPr>
          <w:spacing w:val="-12"/>
          <w:w w:val="105"/>
        </w:rPr>
        <w:t xml:space="preserve"> </w:t>
      </w:r>
      <w:r>
        <w:rPr>
          <w:w w:val="105"/>
        </w:rPr>
        <w:t>volatile</w:t>
      </w:r>
      <w:r>
        <w:rPr>
          <w:spacing w:val="-6"/>
          <w:w w:val="105"/>
        </w:rPr>
        <w:t xml:space="preserve"> </w:t>
      </w:r>
      <w:r>
        <w:rPr>
          <w:w w:val="105"/>
        </w:rPr>
        <w:t>substances</w:t>
      </w:r>
      <w:r>
        <w:rPr>
          <w:spacing w:val="-7"/>
          <w:w w:val="105"/>
        </w:rPr>
        <w:t xml:space="preserve"> </w:t>
      </w:r>
      <w:r>
        <w:rPr>
          <w:w w:val="105"/>
        </w:rPr>
        <w:t>(e.g.,</w:t>
      </w:r>
      <w:r>
        <w:rPr>
          <w:spacing w:val="-2"/>
          <w:w w:val="105"/>
        </w:rPr>
        <w:t xml:space="preserve"> </w:t>
      </w:r>
      <w:r>
        <w:rPr>
          <w:w w:val="105"/>
        </w:rPr>
        <w:t>fuel,</w:t>
      </w:r>
      <w:r>
        <w:rPr>
          <w:spacing w:val="2"/>
          <w:w w:val="105"/>
        </w:rPr>
        <w:t xml:space="preserve"> </w:t>
      </w:r>
      <w:r>
        <w:rPr>
          <w:w w:val="105"/>
        </w:rPr>
        <w:t>paint)</w:t>
      </w:r>
      <w:r>
        <w:rPr>
          <w:spacing w:val="-8"/>
          <w:w w:val="105"/>
        </w:rPr>
        <w:t xml:space="preserve"> </w:t>
      </w:r>
      <w:r>
        <w:rPr>
          <w:w w:val="105"/>
        </w:rPr>
        <w:t>are</w:t>
      </w:r>
      <w:r>
        <w:rPr>
          <w:spacing w:val="-9"/>
          <w:w w:val="105"/>
        </w:rPr>
        <w:t xml:space="preserve"> </w:t>
      </w:r>
      <w:r>
        <w:rPr>
          <w:w w:val="105"/>
        </w:rPr>
        <w:t>classified</w:t>
      </w:r>
      <w:r>
        <w:rPr>
          <w:spacing w:val="2"/>
          <w:w w:val="105"/>
        </w:rPr>
        <w:t xml:space="preserve"> </w:t>
      </w:r>
      <w:r>
        <w:rPr>
          <w:w w:val="105"/>
        </w:rPr>
        <w:t>as</w:t>
      </w:r>
      <w:r>
        <w:rPr>
          <w:spacing w:val="-2"/>
          <w:w w:val="105"/>
        </w:rPr>
        <w:t xml:space="preserve"> </w:t>
      </w:r>
      <w:r>
        <w:rPr>
          <w:w w:val="105"/>
        </w:rPr>
        <w:t>"inhalants"</w:t>
      </w:r>
      <w:r>
        <w:rPr>
          <w:spacing w:val="-10"/>
          <w:w w:val="105"/>
        </w:rPr>
        <w:t xml:space="preserve"> </w:t>
      </w:r>
      <w:r>
        <w:rPr>
          <w:w w:val="105"/>
        </w:rPr>
        <w:t>(seep. 236) if they are used for the purpose of becoming  intoxicated;  they are considered  "toxins" if exposure is accidental or part of intentional poisoning. Impairments in cognition or mood are the most common symptoms associated with toxic substances, although anxiety, hallucinations, delusions, or seizures can also result. Symptoms usually disap­ pear when the individual is no longer exposed to the substance, but resolution</w:t>
      </w:r>
      <w:r>
        <w:rPr>
          <w:spacing w:val="-16"/>
          <w:w w:val="105"/>
        </w:rPr>
        <w:t xml:space="preserve"> </w:t>
      </w:r>
      <w:r>
        <w:rPr>
          <w:w w:val="105"/>
        </w:rPr>
        <w:t>of</w:t>
      </w:r>
    </w:p>
    <w:p w:rsidR="00E675F0" w:rsidRDefault="00E675F0" w:rsidP="00E675F0">
      <w:pPr>
        <w:pStyle w:val="BodyText"/>
        <w:spacing w:before="9"/>
        <w:rPr>
          <w:sz w:val="16"/>
        </w:rPr>
      </w:pPr>
      <w:r>
        <w:rPr>
          <w:noProof/>
        </w:rPr>
        <mc:AlternateContent>
          <mc:Choice Requires="wps">
            <w:drawing>
              <wp:anchor distT="0" distB="0" distL="0" distR="0" simplePos="0" relativeHeight="251865088" behindDoc="1" locked="0" layoutInCell="1" allowOverlap="1" wp14:anchorId="361D6A54" wp14:editId="2184E5EB">
                <wp:simplePos x="0" y="0"/>
                <wp:positionH relativeFrom="page">
                  <wp:posOffset>476885</wp:posOffset>
                </wp:positionH>
                <wp:positionV relativeFrom="paragraph">
                  <wp:posOffset>151130</wp:posOffset>
                </wp:positionV>
                <wp:extent cx="4755515" cy="1270"/>
                <wp:effectExtent l="0" t="0" r="0" b="0"/>
                <wp:wrapTopAndBottom/>
                <wp:docPr id="1422" name="Freeform 1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55515" cy="1270"/>
                        </a:xfrm>
                        <a:custGeom>
                          <a:avLst/>
                          <a:gdLst>
                            <a:gd name="T0" fmla="+- 0 751 751"/>
                            <a:gd name="T1" fmla="*/ T0 w 7489"/>
                            <a:gd name="T2" fmla="+- 0 8240 751"/>
                            <a:gd name="T3" fmla="*/ T2 w 7489"/>
                          </a:gdLst>
                          <a:ahLst/>
                          <a:cxnLst>
                            <a:cxn ang="0">
                              <a:pos x="T1" y="0"/>
                            </a:cxn>
                            <a:cxn ang="0">
                              <a:pos x="T3" y="0"/>
                            </a:cxn>
                          </a:cxnLst>
                          <a:rect l="0" t="0" r="r" b="b"/>
                          <a:pathLst>
                            <a:path w="7489">
                              <a:moveTo>
                                <a:pt x="0" y="0"/>
                              </a:moveTo>
                              <a:lnTo>
                                <a:pt x="7489" y="0"/>
                              </a:lnTo>
                            </a:path>
                          </a:pathLst>
                        </a:custGeom>
                        <a:noFill/>
                        <a:ln w="6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2329B" id="Freeform 1378" o:spid="_x0000_s1026" style="position:absolute;margin-left:37.55pt;margin-top:11.9pt;width:374.45pt;height:.1pt;z-index:-251451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489,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" path="m,l7489,e" filled="f" strokeweight=".16958mm">
                <v:path arrowok="t" o:connecttype="custom" o:connectlocs="0,0;4755515,0" o:connectangles="0,0"/>
                <w10:wrap type="topAndBottom" anchorx="page"/>
              </v:shape>
            </w:pict>
          </mc:Fallback>
        </mc:AlternateContent>
      </w:r>
    </w:p>
    <w:p w:rsidR="00E675F0" w:rsidRDefault="00E675F0" w:rsidP="00E675F0">
      <w:pPr>
        <w:spacing w:before="15"/>
        <w:ind w:left="33" w:right="17"/>
        <w:jc w:val="center"/>
        <w:rPr>
          <w:b/>
          <w:sz w:val="23"/>
        </w:rPr>
      </w:pPr>
      <w:r>
        <w:rPr>
          <w:b/>
          <w:w w:val="105"/>
          <w:sz w:val="23"/>
        </w:rPr>
        <w:t>175</w:t>
      </w:r>
    </w:p>
    <w:p w:rsidR="00E675F0" w:rsidRDefault="00E675F0" w:rsidP="00E675F0">
      <w:pPr>
        <w:jc w:val="center"/>
        <w:rPr>
          <w:sz w:val="23"/>
        </w:rPr>
        <w:sectPr w:rsidR="00E675F0">
          <w:headerReference w:type="even" r:id="rId160"/>
          <w:pgSz w:w="8960" w:h="14260"/>
          <w:pgMar w:top="1320" w:right="600" w:bottom="280" w:left="620" w:header="0" w:footer="0" w:gutter="0"/>
          <w:cols w:space="720"/>
        </w:sectPr>
      </w:pPr>
    </w:p>
    <w:p w:rsidR="00E675F0" w:rsidRDefault="00E675F0" w:rsidP="00E675F0">
      <w:pPr>
        <w:pStyle w:val="BodyText"/>
        <w:spacing w:before="127"/>
        <w:ind w:left="135"/>
        <w:jc w:val="both"/>
      </w:pPr>
      <w:bookmarkStart w:id="117" w:name="_bookmark98"/>
      <w:bookmarkEnd w:id="117"/>
      <w:r>
        <w:rPr>
          <w:w w:val="105"/>
        </w:rPr>
        <w:lastRenderedPageBreak/>
        <w:t>symptoms can take weeks or months and may require treatment.</w:t>
      </w:r>
    </w:p>
    <w:p w:rsidR="00E675F0" w:rsidRDefault="00E675F0" w:rsidP="00E675F0">
      <w:pPr>
        <w:pStyle w:val="BodyText"/>
        <w:spacing w:before="15" w:line="254" w:lineRule="auto"/>
        <w:ind w:left="127" w:right="126" w:firstLine="362"/>
        <w:jc w:val="both"/>
        <w:rPr>
          <w:rFonts w:ascii="Arial" w:hAnsi="Arial"/>
          <w:sz w:val="18"/>
        </w:rPr>
      </w:pPr>
      <w:r>
        <w:rPr>
          <w:w w:val="105"/>
        </w:rPr>
        <w:t>The Substance-Related Disorders are divided into two groups: the Substance Use Disorders (Substance Dependence and Substance Abuse) and the Substance-Induced Disorders (Substance Intoxication, Substance Withdrawal, Substance-Induced Delirium, Substance-Induced Persisting Dementia, Substance-Induced Persisting Amnestic Disor­ der, Substance-Induced Psychotic Disorder, Substance-Induced Mood Disorder, Sub­ stance-Induced Anxiety Disorder, Substance-Induced Sexual Dysfunction, and Substance-Induced Sleep Disorder). The section begins with the text and criteria sets for Substance Dependence, Abuse, Intoxication, and Withdrawal that are applicable across classes of substances. This is followed by general comments concerning associated features; culture, age, and gender features; course; impairment and complications; familial pattern; differential diagnosis; and recording procedures that apply to all substance classes. The remainder of the section is organized by class of substance and describes the specific aspects of Dependence, Abuse, Intoxication, and Withdrawal for each of the 11 classes of substances. To facilitate differential diagnosis, the text and criteria for the remaining Substance-Induced Disorders are included in the sections  of the manual with disorders with which they share phenomenology (e.g., Substance­ Induced Mood Disorder is included in the "Mood Disorders" section). The diagnoses associated with each specific group of substances are shown in Table</w:t>
      </w:r>
      <w:r>
        <w:rPr>
          <w:spacing w:val="38"/>
          <w:w w:val="105"/>
        </w:rPr>
        <w:t xml:space="preserve"> </w:t>
      </w:r>
      <w:r>
        <w:rPr>
          <w:rFonts w:ascii="Arial" w:hAnsi="Arial"/>
          <w:w w:val="105"/>
          <w:sz w:val="18"/>
        </w:rPr>
        <w:t>1.</w:t>
      </w:r>
    </w:p>
    <w:p w:rsidR="00E675F0" w:rsidRDefault="00E675F0" w:rsidP="00E675F0">
      <w:pPr>
        <w:pStyle w:val="BodyText"/>
        <w:spacing w:before="3"/>
        <w:rPr>
          <w:rFonts w:ascii="Arial"/>
          <w:sz w:val="18"/>
        </w:rPr>
      </w:pPr>
    </w:p>
    <w:p w:rsidR="00E675F0" w:rsidRDefault="00E675F0" w:rsidP="00E675F0">
      <w:pPr>
        <w:spacing w:line="780" w:lineRule="atLeast"/>
        <w:ind w:left="2377" w:right="1724" w:hanging="116"/>
        <w:rPr>
          <w:rFonts w:ascii="Arial"/>
          <w:b/>
          <w:sz w:val="26"/>
        </w:rPr>
      </w:pPr>
      <w:r>
        <w:rPr>
          <w:noProof/>
        </w:rPr>
        <mc:AlternateContent>
          <mc:Choice Requires="wps">
            <w:drawing>
              <wp:anchor distT="0" distB="0" distL="114300" distR="114300" simplePos="0" relativeHeight="251704320" behindDoc="0" locked="0" layoutInCell="1" allowOverlap="1" wp14:anchorId="02753434" wp14:editId="65605B79">
                <wp:simplePos x="0" y="0"/>
                <wp:positionH relativeFrom="page">
                  <wp:posOffset>4068445</wp:posOffset>
                </wp:positionH>
                <wp:positionV relativeFrom="paragraph">
                  <wp:posOffset>213360</wp:posOffset>
                </wp:positionV>
                <wp:extent cx="1185545" cy="0"/>
                <wp:effectExtent l="0" t="0" r="0" b="0"/>
                <wp:wrapNone/>
                <wp:docPr id="1421" name="Line 13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85545" cy="0"/>
                        </a:xfrm>
                        <a:prstGeom prst="line">
                          <a:avLst/>
                        </a:prstGeom>
                        <a:noFill/>
                        <a:ln w="305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10F623" id="Line 1377" o:spid="_x0000_s1026" style="position:absolute;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0.35pt,16.8pt" to="413.7pt,16.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" strokeweight=".08475mm">
                <o:lock v:ext="edit" shapetype="f"/>
                <w10:wrap anchorx="page"/>
              </v:line>
            </w:pict>
          </mc:Fallback>
        </mc:AlternateContent>
      </w:r>
      <w:r>
        <w:rPr>
          <w:noProof/>
        </w:rPr>
        <mc:AlternateContent>
          <mc:Choice Requires="wps">
            <w:drawing>
              <wp:anchor distT="0" distB="0" distL="114300" distR="114300" simplePos="0" relativeHeight="251705344" behindDoc="0" locked="0" layoutInCell="1" allowOverlap="1" wp14:anchorId="3CA20DB9" wp14:editId="2FF537BE">
                <wp:simplePos x="0" y="0"/>
                <wp:positionH relativeFrom="page">
                  <wp:posOffset>476250</wp:posOffset>
                </wp:positionH>
                <wp:positionV relativeFrom="paragraph">
                  <wp:posOffset>213360</wp:posOffset>
                </wp:positionV>
                <wp:extent cx="1185545" cy="0"/>
                <wp:effectExtent l="0" t="0" r="0" b="0"/>
                <wp:wrapNone/>
                <wp:docPr id="1420" name="Line 13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85545" cy="0"/>
                        </a:xfrm>
                        <a:prstGeom prst="line">
                          <a:avLst/>
                        </a:prstGeom>
                        <a:noFill/>
                        <a:ln w="305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1370FD" id="Line 1376" o:spid="_x0000_s1026" style="position:absolute;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5pt,16.8pt" to="130.85pt,16.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" strokeweight=".08475mm">
                <o:lock v:ext="edit" shapetype="f"/>
                <w10:wrap anchorx="page"/>
              </v:line>
            </w:pict>
          </mc:Fallback>
        </mc:AlternateContent>
      </w:r>
      <w:r>
        <w:rPr>
          <w:noProof/>
        </w:rPr>
        <mc:AlternateContent>
          <mc:Choice Requires="wps">
            <w:drawing>
              <wp:anchor distT="0" distB="0" distL="114300" distR="114300" simplePos="0" relativeHeight="251706368" behindDoc="0" locked="0" layoutInCell="1" allowOverlap="1" wp14:anchorId="6D683D13" wp14:editId="52FC05ED">
                <wp:simplePos x="0" y="0"/>
                <wp:positionH relativeFrom="page">
                  <wp:posOffset>4068445</wp:posOffset>
                </wp:positionH>
                <wp:positionV relativeFrom="paragraph">
                  <wp:posOffset>542925</wp:posOffset>
                </wp:positionV>
                <wp:extent cx="1185545" cy="0"/>
                <wp:effectExtent l="0" t="0" r="0" b="0"/>
                <wp:wrapNone/>
                <wp:docPr id="1419" name="Line 13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85545" cy="0"/>
                        </a:xfrm>
                        <a:prstGeom prst="line">
                          <a:avLst/>
                        </a:prstGeom>
                        <a:noFill/>
                        <a:ln w="305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CBC348" id="Line 1375" o:spid="_x0000_s1026" style="position:absolute;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0.35pt,42.75pt" to="413.7pt,42.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" strokeweight=".08475mm">
                <o:lock v:ext="edit" shapetype="f"/>
                <w10:wrap anchorx="page"/>
              </v:line>
            </w:pict>
          </mc:Fallback>
        </mc:AlternateContent>
      </w:r>
      <w:r>
        <w:rPr>
          <w:noProof/>
        </w:rPr>
        <mc:AlternateContent>
          <mc:Choice Requires="wps">
            <w:drawing>
              <wp:anchor distT="0" distB="0" distL="114300" distR="114300" simplePos="0" relativeHeight="251707392" behindDoc="0" locked="0" layoutInCell="1" allowOverlap="1" wp14:anchorId="297C3109" wp14:editId="1C71FB3E">
                <wp:simplePos x="0" y="0"/>
                <wp:positionH relativeFrom="page">
                  <wp:posOffset>476250</wp:posOffset>
                </wp:positionH>
                <wp:positionV relativeFrom="paragraph">
                  <wp:posOffset>542925</wp:posOffset>
                </wp:positionV>
                <wp:extent cx="1173480" cy="0"/>
                <wp:effectExtent l="0" t="0" r="0" b="0"/>
                <wp:wrapNone/>
                <wp:docPr id="1418" name="Line 13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73480" cy="0"/>
                        </a:xfrm>
                        <a:prstGeom prst="line">
                          <a:avLst/>
                        </a:prstGeom>
                        <a:noFill/>
                        <a:ln w="305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8CAFA1" id="Line 1374" o:spid="_x0000_s1026" style="position:absolute;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5pt,42.75pt" to="129.9pt,42.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" strokeweight=".08475mm">
                <o:lock v:ext="edit" shapetype="f"/>
                <w10:wrap anchorx="page"/>
              </v:line>
            </w:pict>
          </mc:Fallback>
        </mc:AlternateContent>
      </w:r>
      <w:r>
        <w:rPr>
          <w:rFonts w:ascii="Arial"/>
          <w:b/>
          <w:sz w:val="26"/>
        </w:rPr>
        <w:t>Substance Use Disorders Substance Dependence</w:t>
      </w:r>
    </w:p>
    <w:p w:rsidR="00E675F0" w:rsidRDefault="00E675F0" w:rsidP="00E675F0">
      <w:pPr>
        <w:pStyle w:val="BodyText"/>
        <w:spacing w:before="3"/>
        <w:rPr>
          <w:rFonts w:ascii="Arial"/>
          <w:b/>
          <w:sz w:val="23"/>
        </w:rPr>
      </w:pPr>
    </w:p>
    <w:p w:rsidR="00E675F0" w:rsidRDefault="00E675F0" w:rsidP="00E675F0">
      <w:pPr>
        <w:ind w:left="110"/>
        <w:rPr>
          <w:rFonts w:ascii="TimesNewRomanPS-BoldItalicMT"/>
          <w:b/>
          <w:i/>
          <w:sz w:val="24"/>
        </w:rPr>
      </w:pPr>
      <w:r>
        <w:rPr>
          <w:rFonts w:ascii="TimesNewRomanPS-BoldItalicMT"/>
          <w:b/>
          <w:i/>
          <w:w w:val="115"/>
          <w:sz w:val="24"/>
        </w:rPr>
        <w:t>Features</w:t>
      </w:r>
    </w:p>
    <w:p w:rsidR="00E675F0" w:rsidRDefault="00E675F0" w:rsidP="00E675F0">
      <w:pPr>
        <w:pStyle w:val="BodyText"/>
        <w:spacing w:before="131" w:line="254" w:lineRule="auto"/>
        <w:ind w:left="131" w:right="132" w:hanging="2"/>
        <w:jc w:val="both"/>
      </w:pPr>
      <w:r>
        <w:rPr>
          <w:w w:val="105"/>
        </w:rPr>
        <w:t>The essential feature of Substance Dependence is a cluster of cognitive, behavioral, and physiological symptoms indicating that the individual continues use of the substance despite significant substance-related problems. There is a pattern of repeated self­ administration that usually results in tolerance, withdrawal, and compulsive drug-taking behavior. A diagnosis of Substance Dependence can be applied to every class of substances except caffeine. The symptoms of Dependence are similar across the various categories of substances, but for certain classes some symptoms  are less salient, and  in a few instances not all symptoms apply (e.g., withdrawal symptoms  are not specified  for Hallucinogen Dependence). Although not specifically listed as a criterion item, "craving" (a strong subjective drive to use the substance) is likely to be experienced by most (if not all) individuals with Substance Dependence. Dependence is defined as a cluster of three or more of the symptoms listed below occurring at any time in the same 12-month</w:t>
      </w:r>
      <w:r>
        <w:rPr>
          <w:spacing w:val="28"/>
          <w:w w:val="105"/>
        </w:rPr>
        <w:t xml:space="preserve"> </w:t>
      </w:r>
      <w:r>
        <w:rPr>
          <w:w w:val="105"/>
        </w:rPr>
        <w:t>period.</w:t>
      </w:r>
    </w:p>
    <w:p w:rsidR="00E675F0" w:rsidRDefault="00E675F0" w:rsidP="00E675F0">
      <w:pPr>
        <w:pStyle w:val="BodyText"/>
        <w:spacing w:line="254" w:lineRule="auto"/>
        <w:ind w:left="130" w:right="129" w:firstLine="364"/>
        <w:jc w:val="both"/>
      </w:pPr>
      <w:r>
        <w:rPr>
          <w:w w:val="105"/>
        </w:rPr>
        <w:t>Tolerance (Criterion 1) is the need for greatly increased  amounts of the substance  to achieve intoxication (or the desired effect) or a markedly diminished effect with continued use of the same amount of the substance. The degree to which tolerance develops varies greatly across substances. Individuals with heavy use of opioids and stimulants can develop substantial (e.g., tenfold) levels of tolerance, often to a dosage that would be lethal to a nonuser. Alcohol tolerance can also be pronounced, but is usually much less extreme than for amphetamine. Many individuals who</w:t>
      </w:r>
      <w:r>
        <w:rPr>
          <w:spacing w:val="38"/>
          <w:w w:val="105"/>
        </w:rPr>
        <w:t xml:space="preserve"> </w:t>
      </w:r>
      <w:r>
        <w:rPr>
          <w:w w:val="105"/>
        </w:rPr>
        <w:t>smoke</w:t>
      </w:r>
    </w:p>
    <w:p w:rsidR="00E675F0" w:rsidRDefault="00E675F0" w:rsidP="00E675F0">
      <w:pPr>
        <w:spacing w:line="254" w:lineRule="auto"/>
        <w:jc w:val="both"/>
        <w:sectPr w:rsidR="00E675F0">
          <w:headerReference w:type="even" r:id="rId161"/>
          <w:pgSz w:w="8960" w:h="14260"/>
          <w:pgMar w:top="1400" w:right="580" w:bottom="280" w:left="620" w:header="697" w:footer="0" w:gutter="0"/>
          <w:pgNumType w:start="176"/>
          <w:cols w:space="720"/>
        </w:sectPr>
      </w:pPr>
    </w:p>
    <w:p w:rsidR="00E675F0" w:rsidRDefault="00E675F0" w:rsidP="00E675F0">
      <w:pPr>
        <w:pStyle w:val="BodyText"/>
        <w:spacing w:line="20" w:lineRule="exact"/>
        <w:ind w:left="122"/>
        <w:rPr>
          <w:sz w:val="2"/>
        </w:rPr>
      </w:pPr>
      <w:r>
        <w:rPr>
          <w:noProof/>
          <w:sz w:val="2"/>
        </w:rPr>
        <w:lastRenderedPageBreak/>
        <mc:AlternateContent>
          <mc:Choice Requires="wpg">
            <w:drawing>
              <wp:inline distT="0" distB="0" distL="0" distR="0" wp14:anchorId="5BC02C40" wp14:editId="766E6BF6">
                <wp:extent cx="7569835" cy="6350"/>
                <wp:effectExtent l="0" t="0" r="0" b="0"/>
                <wp:docPr id="1416" name="Group 1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9835" cy="6350"/>
                          <a:chOff x="0" y="0"/>
                          <a:chExt cx="11921" cy="10"/>
                        </a:xfrm>
                      </wpg:grpSpPr>
                      <wps:wsp>
                        <wps:cNvPr id="1417" name="Line 1373"/>
                        <wps:cNvCnPr>
                          <a:cxnSpLocks/>
                        </wps:cNvCnPr>
                        <wps:spPr bwMode="auto">
                          <a:xfrm>
                            <a:off x="0" y="5"/>
                            <a:ext cx="11921" cy="0"/>
                          </a:xfrm>
                          <a:prstGeom prst="line">
                            <a:avLst/>
                          </a:prstGeom>
                          <a:noFill/>
                          <a:ln w="611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45A9995" id="Group 1372" o:spid="_x0000_s1026" style="width:596.05pt;height:.5pt;mso-position-horizontal-relative:char;mso-position-vertical-relative:line" coordsize="11921,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">
                <v:line id="Line 1373" o:spid="_x0000_s1027" style="position:absolute;visibility:visible;mso-wrap-style:square" from="0,5" to="1192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" strokeweight=".16972mm">
                  <o:lock v:ext="edit" shapetype="f"/>
                </v:line>
                <w10:anchorlock/>
              </v:group>
            </w:pict>
          </mc:Fallback>
        </mc:AlternateContent>
      </w:r>
    </w:p>
    <w:p w:rsidR="00E675F0" w:rsidRDefault="00E675F0" w:rsidP="00E675F0">
      <w:pPr>
        <w:pStyle w:val="BodyText"/>
      </w:pPr>
    </w:p>
    <w:p w:rsidR="00E675F0" w:rsidRDefault="00E675F0" w:rsidP="00E675F0">
      <w:pPr>
        <w:pStyle w:val="BodyText"/>
      </w:pPr>
    </w:p>
    <w:p w:rsidR="00E675F0" w:rsidRDefault="00E675F0" w:rsidP="00E675F0">
      <w:pPr>
        <w:pStyle w:val="BodyText"/>
      </w:pPr>
    </w:p>
    <w:p w:rsidR="00E675F0" w:rsidRDefault="00E675F0" w:rsidP="00E675F0">
      <w:pPr>
        <w:pStyle w:val="BodyText"/>
      </w:pPr>
    </w:p>
    <w:p w:rsidR="00E675F0" w:rsidRDefault="00E675F0" w:rsidP="00E675F0">
      <w:pPr>
        <w:pStyle w:val="BodyText"/>
      </w:pPr>
    </w:p>
    <w:p w:rsidR="00E675F0" w:rsidRDefault="00E675F0" w:rsidP="00E675F0">
      <w:pPr>
        <w:pStyle w:val="BodyText"/>
      </w:pPr>
    </w:p>
    <w:p w:rsidR="00E675F0" w:rsidRDefault="00E675F0" w:rsidP="00E675F0">
      <w:pPr>
        <w:pStyle w:val="BodyText"/>
      </w:pPr>
    </w:p>
    <w:p w:rsidR="00E675F0" w:rsidRDefault="00E675F0" w:rsidP="00E675F0">
      <w:pPr>
        <w:pStyle w:val="BodyText"/>
      </w:pPr>
    </w:p>
    <w:p w:rsidR="00E675F0" w:rsidRDefault="00E675F0" w:rsidP="00E675F0">
      <w:pPr>
        <w:pStyle w:val="BodyText"/>
      </w:pPr>
    </w:p>
    <w:p w:rsidR="00E675F0" w:rsidRDefault="00E675F0" w:rsidP="00E675F0">
      <w:pPr>
        <w:pStyle w:val="BodyText"/>
      </w:pPr>
    </w:p>
    <w:p w:rsidR="00E675F0" w:rsidRDefault="00E675F0" w:rsidP="00E675F0">
      <w:pPr>
        <w:pStyle w:val="BodyText"/>
      </w:pPr>
    </w:p>
    <w:p w:rsidR="00E675F0" w:rsidRDefault="00E675F0" w:rsidP="00E675F0">
      <w:pPr>
        <w:pStyle w:val="BodyText"/>
      </w:pPr>
    </w:p>
    <w:p w:rsidR="00E675F0" w:rsidRDefault="00E675F0" w:rsidP="00E675F0">
      <w:pPr>
        <w:pStyle w:val="BodyText"/>
      </w:pPr>
    </w:p>
    <w:p w:rsidR="00E675F0" w:rsidRDefault="00E675F0" w:rsidP="00E675F0">
      <w:pPr>
        <w:pStyle w:val="BodyText"/>
      </w:pPr>
    </w:p>
    <w:p w:rsidR="00E675F0" w:rsidRDefault="00E675F0" w:rsidP="00E675F0">
      <w:pPr>
        <w:pStyle w:val="BodyText"/>
      </w:pPr>
    </w:p>
    <w:p w:rsidR="00E675F0" w:rsidRDefault="00E675F0" w:rsidP="00E675F0">
      <w:pPr>
        <w:pStyle w:val="BodyText"/>
      </w:pPr>
    </w:p>
    <w:p w:rsidR="00E675F0" w:rsidRDefault="00E675F0" w:rsidP="00E675F0">
      <w:pPr>
        <w:pStyle w:val="BodyText"/>
      </w:pPr>
    </w:p>
    <w:p w:rsidR="00E675F0" w:rsidRDefault="00E675F0" w:rsidP="00E675F0">
      <w:pPr>
        <w:pStyle w:val="BodyText"/>
        <w:spacing w:before="3"/>
        <w:rPr>
          <w:sz w:val="25"/>
        </w:rPr>
      </w:pPr>
    </w:p>
    <w:p w:rsidR="00E675F0" w:rsidRDefault="00E675F0" w:rsidP="00E675F0">
      <w:pPr>
        <w:spacing w:before="72"/>
        <w:ind w:left="12623"/>
        <w:rPr>
          <w:sz w:val="29"/>
        </w:rPr>
      </w:pPr>
      <w:r>
        <w:rPr>
          <w:spacing w:val="-31"/>
          <w:w w:val="54"/>
          <w:sz w:val="29"/>
        </w:rPr>
        <w:t>.</w:t>
      </w:r>
      <w:r>
        <w:rPr>
          <w:b/>
          <w:spacing w:val="-150"/>
          <w:w w:val="104"/>
          <w:position w:val="8"/>
          <w:sz w:val="62"/>
        </w:rPr>
        <w:t>i</w:t>
      </w:r>
      <w:r>
        <w:rPr>
          <w:w w:val="54"/>
          <w:sz w:val="29"/>
        </w:rPr>
        <w:t>...</w:t>
      </w:r>
    </w:p>
    <w:p w:rsidR="00E675F0" w:rsidRDefault="00E675F0" w:rsidP="00E675F0">
      <w:pPr>
        <w:pStyle w:val="BodyText"/>
        <w:spacing w:before="2"/>
        <w:rPr>
          <w:sz w:val="65"/>
        </w:rPr>
      </w:pPr>
    </w:p>
    <w:p w:rsidR="00E675F0" w:rsidRDefault="00E675F0" w:rsidP="00E675F0">
      <w:pPr>
        <w:ind w:left="12586"/>
        <w:rPr>
          <w:rFonts w:ascii="Arial"/>
          <w:b/>
          <w:sz w:val="17"/>
        </w:rPr>
      </w:pPr>
      <w:r>
        <w:rPr>
          <w:rFonts w:ascii="Arial"/>
          <w:b/>
          <w:w w:val="90"/>
          <w:sz w:val="17"/>
        </w:rPr>
        <w:t>"O</w:t>
      </w:r>
    </w:p>
    <w:p w:rsidR="00E675F0" w:rsidRDefault="00E675F0" w:rsidP="00E675F0">
      <w:pPr>
        <w:pStyle w:val="BodyText"/>
        <w:rPr>
          <w:rFonts w:ascii="Arial"/>
          <w:b/>
        </w:rPr>
      </w:pPr>
    </w:p>
    <w:p w:rsidR="00E675F0" w:rsidRDefault="00E675F0" w:rsidP="00E675F0">
      <w:pPr>
        <w:pStyle w:val="BodyText"/>
        <w:rPr>
          <w:rFonts w:ascii="Arial"/>
          <w:b/>
        </w:rPr>
      </w:pPr>
    </w:p>
    <w:p w:rsidR="00E675F0" w:rsidRDefault="00E675F0" w:rsidP="00E675F0">
      <w:pPr>
        <w:pStyle w:val="BodyText"/>
        <w:rPr>
          <w:rFonts w:ascii="Arial"/>
          <w:b/>
        </w:rPr>
      </w:pPr>
    </w:p>
    <w:p w:rsidR="00E675F0" w:rsidRDefault="00E675F0" w:rsidP="00E675F0">
      <w:pPr>
        <w:pStyle w:val="BodyText"/>
        <w:rPr>
          <w:rFonts w:ascii="Arial"/>
          <w:b/>
        </w:rPr>
      </w:pPr>
    </w:p>
    <w:p w:rsidR="00E675F0" w:rsidRDefault="00E675F0" w:rsidP="00E675F0">
      <w:pPr>
        <w:pStyle w:val="BodyText"/>
        <w:spacing w:before="6"/>
        <w:rPr>
          <w:rFonts w:ascii="Arial"/>
          <w:b/>
        </w:rPr>
      </w:pPr>
    </w:p>
    <w:p w:rsidR="00E675F0" w:rsidRDefault="00E675F0" w:rsidP="00E675F0">
      <w:pPr>
        <w:rPr>
          <w:rFonts w:ascii="Arial"/>
        </w:rPr>
        <w:sectPr w:rsidR="00E675F0">
          <w:headerReference w:type="even" r:id="rId162"/>
          <w:pgSz w:w="14260" w:h="8960" w:orient="landscape"/>
          <w:pgMar w:top="460" w:right="420" w:bottom="280" w:left="920" w:header="0" w:footer="0" w:gutter="0"/>
          <w:cols w:space="720"/>
        </w:sectPr>
      </w:pPr>
    </w:p>
    <w:p w:rsidR="00E675F0" w:rsidRDefault="00E675F0" w:rsidP="00E675F0">
      <w:pPr>
        <w:pStyle w:val="BodyText"/>
        <w:rPr>
          <w:rFonts w:ascii="Arial"/>
          <w:b/>
          <w:sz w:val="18"/>
        </w:rPr>
      </w:pPr>
      <w:r>
        <w:rPr>
          <w:noProof/>
        </w:rPr>
        <mc:AlternateContent>
          <mc:Choice Requires="wps">
            <w:drawing>
              <wp:anchor distT="0" distB="0" distL="114300" distR="114300" simplePos="0" relativeHeight="251708416" behindDoc="0" locked="0" layoutInCell="1" allowOverlap="1" wp14:anchorId="0530BEF9" wp14:editId="3A1AFAA6">
                <wp:simplePos x="0" y="0"/>
                <wp:positionH relativeFrom="page">
                  <wp:posOffset>659130</wp:posOffset>
                </wp:positionH>
                <wp:positionV relativeFrom="page">
                  <wp:posOffset>372110</wp:posOffset>
                </wp:positionV>
                <wp:extent cx="7887335" cy="4741545"/>
                <wp:effectExtent l="0" t="0" r="0" b="0"/>
                <wp:wrapNone/>
                <wp:docPr id="1415" name="Text Box 1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887335" cy="4741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615"/>
                              <w:gridCol w:w="641"/>
                              <w:gridCol w:w="761"/>
                              <w:gridCol w:w="789"/>
                              <w:gridCol w:w="806"/>
                              <w:gridCol w:w="936"/>
                              <w:gridCol w:w="870"/>
                              <w:gridCol w:w="922"/>
                              <w:gridCol w:w="872"/>
                              <w:gridCol w:w="836"/>
                              <w:gridCol w:w="791"/>
                              <w:gridCol w:w="815"/>
                              <w:gridCol w:w="1760"/>
                            </w:tblGrid>
                            <w:tr w:rsidR="00E675F0">
                              <w:trPr>
                                <w:trHeight w:val="245"/>
                              </w:trPr>
                              <w:tc>
                                <w:tcPr>
                                  <w:tcW w:w="12414" w:type="dxa"/>
                                  <w:gridSpan w:val="13"/>
                                  <w:tcBorders>
                                    <w:bottom w:val="single" w:sz="4" w:space="0" w:color="000000"/>
                                    <w:right w:val="single" w:sz="4" w:space="0" w:color="000000"/>
                                  </w:tcBorders>
                                </w:tcPr>
                                <w:p w:rsidR="00E675F0" w:rsidRDefault="00E675F0">
                                  <w:pPr>
                                    <w:pStyle w:val="TableParagraph"/>
                                    <w:spacing w:line="155" w:lineRule="exact"/>
                                    <w:ind w:left="-1"/>
                                    <w:rPr>
                                      <w:sz w:val="16"/>
                                    </w:rPr>
                                  </w:pPr>
                                  <w:r>
                                    <w:rPr>
                                      <w:b/>
                                      <w:w w:val="105"/>
                                      <w:sz w:val="16"/>
                                    </w:rPr>
                                    <w:t xml:space="preserve">Table 1. </w:t>
                                  </w:r>
                                  <w:r>
                                    <w:rPr>
                                      <w:w w:val="105"/>
                                      <w:sz w:val="16"/>
                                    </w:rPr>
                                    <w:t>Diagnoses associated with class of substances</w:t>
                                  </w:r>
                                </w:p>
                              </w:tc>
                            </w:tr>
                            <w:tr w:rsidR="00E675F0">
                              <w:trPr>
                                <w:trHeight w:val="774"/>
                              </w:trPr>
                              <w:tc>
                                <w:tcPr>
                                  <w:tcW w:w="2256" w:type="dxa"/>
                                  <w:gridSpan w:val="2"/>
                                  <w:tcBorders>
                                    <w:top w:val="single" w:sz="4" w:space="0" w:color="000000"/>
                                    <w:bottom w:val="single" w:sz="4" w:space="0" w:color="000000"/>
                                  </w:tcBorders>
                                </w:tcPr>
                                <w:p w:rsidR="00E675F0" w:rsidRDefault="00E675F0">
                                  <w:pPr>
                                    <w:pStyle w:val="TableParagraph"/>
                                    <w:spacing w:before="9"/>
                                    <w:rPr>
                                      <w:b/>
                                      <w:sz w:val="23"/>
                                    </w:rPr>
                                  </w:pPr>
                                </w:p>
                                <w:p w:rsidR="00E675F0" w:rsidRDefault="00E675F0">
                                  <w:pPr>
                                    <w:pStyle w:val="TableParagraph"/>
                                    <w:spacing w:line="268" w:lineRule="auto"/>
                                    <w:ind w:left="1613" w:right="136" w:hanging="44"/>
                                    <w:jc w:val="right"/>
                                    <w:rPr>
                                      <w:b/>
                                      <w:sz w:val="16"/>
                                    </w:rPr>
                                  </w:pPr>
                                  <w:r>
                                    <w:rPr>
                                      <w:b/>
                                      <w:w w:val="110"/>
                                      <w:sz w:val="16"/>
                                    </w:rPr>
                                    <w:t xml:space="preserve">Depen- </w:t>
                                  </w:r>
                                  <w:r>
                                    <w:rPr>
                                      <w:b/>
                                      <w:w w:val="115"/>
                                      <w:sz w:val="16"/>
                                    </w:rPr>
                                    <w:t>dence</w:t>
                                  </w:r>
                                </w:p>
                              </w:tc>
                              <w:tc>
                                <w:tcPr>
                                  <w:tcW w:w="761" w:type="dxa"/>
                                  <w:tcBorders>
                                    <w:top w:val="single" w:sz="4" w:space="0" w:color="000000"/>
                                    <w:bottom w:val="single" w:sz="4" w:space="0" w:color="000000"/>
                                  </w:tcBorders>
                                </w:tcPr>
                                <w:p w:rsidR="00E675F0" w:rsidRDefault="00E675F0">
                                  <w:pPr>
                                    <w:pStyle w:val="TableParagraph"/>
                                    <w:rPr>
                                      <w:b/>
                                      <w:sz w:val="18"/>
                                    </w:rPr>
                                  </w:pPr>
                                </w:p>
                                <w:p w:rsidR="00E675F0" w:rsidRDefault="00E675F0">
                                  <w:pPr>
                                    <w:pStyle w:val="TableParagraph"/>
                                    <w:spacing w:before="9"/>
                                    <w:rPr>
                                      <w:b/>
                                      <w:sz w:val="23"/>
                                    </w:rPr>
                                  </w:pPr>
                                </w:p>
                                <w:p w:rsidR="00E675F0" w:rsidRDefault="00E675F0">
                                  <w:pPr>
                                    <w:pStyle w:val="TableParagraph"/>
                                    <w:ind w:left="126" w:right="125"/>
                                    <w:jc w:val="center"/>
                                    <w:rPr>
                                      <w:b/>
                                      <w:sz w:val="16"/>
                                    </w:rPr>
                                  </w:pPr>
                                  <w:r>
                                    <w:rPr>
                                      <w:b/>
                                      <w:w w:val="110"/>
                                      <w:sz w:val="16"/>
                                    </w:rPr>
                                    <w:t>Abuse</w:t>
                                  </w:r>
                                </w:p>
                              </w:tc>
                              <w:tc>
                                <w:tcPr>
                                  <w:tcW w:w="789" w:type="dxa"/>
                                  <w:tcBorders>
                                    <w:top w:val="single" w:sz="4" w:space="0" w:color="000000"/>
                                    <w:bottom w:val="single" w:sz="4" w:space="0" w:color="000000"/>
                                  </w:tcBorders>
                                </w:tcPr>
                                <w:p w:rsidR="00E675F0" w:rsidRDefault="00E675F0">
                                  <w:pPr>
                                    <w:pStyle w:val="TableParagraph"/>
                                    <w:spacing w:before="9"/>
                                    <w:rPr>
                                      <w:b/>
                                      <w:sz w:val="23"/>
                                    </w:rPr>
                                  </w:pPr>
                                </w:p>
                                <w:p w:rsidR="00E675F0" w:rsidRDefault="00E675F0">
                                  <w:pPr>
                                    <w:pStyle w:val="TableParagraph"/>
                                    <w:spacing w:line="268" w:lineRule="auto"/>
                                    <w:ind w:left="168" w:right="109" w:hanging="17"/>
                                    <w:rPr>
                                      <w:b/>
                                      <w:sz w:val="16"/>
                                    </w:rPr>
                                  </w:pPr>
                                  <w:r>
                                    <w:rPr>
                                      <w:b/>
                                      <w:w w:val="110"/>
                                      <w:sz w:val="16"/>
                                    </w:rPr>
                                    <w:t>Intoxi- cation</w:t>
                                  </w:r>
                                </w:p>
                              </w:tc>
                              <w:tc>
                                <w:tcPr>
                                  <w:tcW w:w="806" w:type="dxa"/>
                                  <w:tcBorders>
                                    <w:top w:val="single" w:sz="4" w:space="0" w:color="000000"/>
                                    <w:bottom w:val="single" w:sz="4" w:space="0" w:color="000000"/>
                                  </w:tcBorders>
                                </w:tcPr>
                                <w:p w:rsidR="00E675F0" w:rsidRDefault="00E675F0">
                                  <w:pPr>
                                    <w:pStyle w:val="TableParagraph"/>
                                    <w:spacing w:before="9"/>
                                    <w:rPr>
                                      <w:b/>
                                      <w:sz w:val="23"/>
                                    </w:rPr>
                                  </w:pPr>
                                </w:p>
                                <w:p w:rsidR="00E675F0" w:rsidRDefault="00E675F0">
                                  <w:pPr>
                                    <w:pStyle w:val="TableParagraph"/>
                                    <w:spacing w:line="268" w:lineRule="auto"/>
                                    <w:ind w:left="134" w:firstLine="52"/>
                                    <w:rPr>
                                      <w:b/>
                                      <w:sz w:val="16"/>
                                    </w:rPr>
                                  </w:pPr>
                                  <w:r>
                                    <w:rPr>
                                      <w:b/>
                                      <w:w w:val="105"/>
                                      <w:sz w:val="16"/>
                                    </w:rPr>
                                    <w:t>With- drawal</w:t>
                                  </w:r>
                                </w:p>
                              </w:tc>
                              <w:tc>
                                <w:tcPr>
                                  <w:tcW w:w="936" w:type="dxa"/>
                                  <w:tcBorders>
                                    <w:top w:val="single" w:sz="4" w:space="0" w:color="000000"/>
                                    <w:bottom w:val="single" w:sz="4" w:space="0" w:color="000000"/>
                                  </w:tcBorders>
                                </w:tcPr>
                                <w:p w:rsidR="00E675F0" w:rsidRDefault="00E675F0">
                                  <w:pPr>
                                    <w:pStyle w:val="TableParagraph"/>
                                    <w:spacing w:before="76" w:line="264" w:lineRule="auto"/>
                                    <w:ind w:left="154" w:right="86" w:hanging="5"/>
                                    <w:jc w:val="center"/>
                                    <w:rPr>
                                      <w:b/>
                                      <w:sz w:val="16"/>
                                    </w:rPr>
                                  </w:pPr>
                                  <w:r>
                                    <w:rPr>
                                      <w:b/>
                                      <w:w w:val="115"/>
                                      <w:sz w:val="16"/>
                                    </w:rPr>
                                    <w:t xml:space="preserve">Intoxi- cation </w:t>
                                  </w:r>
                                  <w:r>
                                    <w:rPr>
                                      <w:b/>
                                      <w:w w:val="110"/>
                                      <w:sz w:val="16"/>
                                    </w:rPr>
                                    <w:t>Delirium</w:t>
                                  </w:r>
                                </w:p>
                              </w:tc>
                              <w:tc>
                                <w:tcPr>
                                  <w:tcW w:w="870" w:type="dxa"/>
                                  <w:tcBorders>
                                    <w:top w:val="single" w:sz="4" w:space="0" w:color="000000"/>
                                    <w:bottom w:val="single" w:sz="4" w:space="0" w:color="000000"/>
                                  </w:tcBorders>
                                </w:tcPr>
                                <w:p w:rsidR="00E675F0" w:rsidRDefault="00E675F0">
                                  <w:pPr>
                                    <w:pStyle w:val="TableParagraph"/>
                                    <w:spacing w:before="76" w:line="264" w:lineRule="auto"/>
                                    <w:ind w:left="93" w:right="87" w:hanging="40"/>
                                    <w:jc w:val="center"/>
                                    <w:rPr>
                                      <w:b/>
                                      <w:sz w:val="16"/>
                                    </w:rPr>
                                  </w:pPr>
                                  <w:r>
                                    <w:rPr>
                                      <w:b/>
                                      <w:w w:val="110"/>
                                      <w:sz w:val="16"/>
                                    </w:rPr>
                                    <w:t>With- drawal Delirium</w:t>
                                  </w:r>
                                </w:p>
                              </w:tc>
                              <w:tc>
                                <w:tcPr>
                                  <w:tcW w:w="922" w:type="dxa"/>
                                  <w:tcBorders>
                                    <w:top w:val="single" w:sz="4" w:space="0" w:color="000000"/>
                                    <w:bottom w:val="single" w:sz="4" w:space="0" w:color="000000"/>
                                  </w:tcBorders>
                                </w:tcPr>
                                <w:p w:rsidR="00E675F0" w:rsidRDefault="00E675F0">
                                  <w:pPr>
                                    <w:pStyle w:val="TableParagraph"/>
                                    <w:rPr>
                                      <w:b/>
                                      <w:sz w:val="18"/>
                                    </w:rPr>
                                  </w:pPr>
                                </w:p>
                                <w:p w:rsidR="00E675F0" w:rsidRDefault="00E675F0">
                                  <w:pPr>
                                    <w:pStyle w:val="TableParagraph"/>
                                    <w:spacing w:before="9"/>
                                    <w:rPr>
                                      <w:b/>
                                      <w:sz w:val="23"/>
                                    </w:rPr>
                                  </w:pPr>
                                </w:p>
                                <w:p w:rsidR="00E675F0" w:rsidRDefault="00E675F0">
                                  <w:pPr>
                                    <w:pStyle w:val="TableParagraph"/>
                                    <w:ind w:left="79" w:right="78"/>
                                    <w:jc w:val="center"/>
                                    <w:rPr>
                                      <w:b/>
                                      <w:sz w:val="16"/>
                                    </w:rPr>
                                  </w:pPr>
                                  <w:r>
                                    <w:rPr>
                                      <w:b/>
                                      <w:w w:val="110"/>
                                      <w:sz w:val="16"/>
                                    </w:rPr>
                                    <w:t>Dementia</w:t>
                                  </w:r>
                                </w:p>
                              </w:tc>
                              <w:tc>
                                <w:tcPr>
                                  <w:tcW w:w="872" w:type="dxa"/>
                                  <w:tcBorders>
                                    <w:top w:val="single" w:sz="4" w:space="0" w:color="000000"/>
                                    <w:bottom w:val="single" w:sz="4" w:space="0" w:color="000000"/>
                                  </w:tcBorders>
                                </w:tcPr>
                                <w:p w:rsidR="00E675F0" w:rsidRDefault="00E675F0">
                                  <w:pPr>
                                    <w:pStyle w:val="TableParagraph"/>
                                    <w:spacing w:before="2"/>
                                    <w:rPr>
                                      <w:b/>
                                      <w:sz w:val="24"/>
                                    </w:rPr>
                                  </w:pPr>
                                </w:p>
                                <w:p w:rsidR="00E675F0" w:rsidRDefault="00E675F0">
                                  <w:pPr>
                                    <w:pStyle w:val="TableParagraph"/>
                                    <w:spacing w:line="264" w:lineRule="auto"/>
                                    <w:ind w:left="113" w:right="54" w:hanging="19"/>
                                    <w:rPr>
                                      <w:b/>
                                      <w:sz w:val="16"/>
                                    </w:rPr>
                                  </w:pPr>
                                  <w:r>
                                    <w:rPr>
                                      <w:b/>
                                      <w:w w:val="110"/>
                                      <w:sz w:val="16"/>
                                    </w:rPr>
                                    <w:t>Amnestic Disorder</w:t>
                                  </w:r>
                                </w:p>
                              </w:tc>
                              <w:tc>
                                <w:tcPr>
                                  <w:tcW w:w="2442" w:type="dxa"/>
                                  <w:gridSpan w:val="3"/>
                                  <w:tcBorders>
                                    <w:top w:val="single" w:sz="4" w:space="0" w:color="000000"/>
                                    <w:bottom w:val="single" w:sz="4" w:space="0" w:color="000000"/>
                                  </w:tcBorders>
                                </w:tcPr>
                                <w:p w:rsidR="00E675F0" w:rsidRDefault="00E675F0">
                                  <w:pPr>
                                    <w:pStyle w:val="TableParagraph"/>
                                    <w:spacing w:before="2"/>
                                    <w:rPr>
                                      <w:b/>
                                      <w:sz w:val="24"/>
                                    </w:rPr>
                                  </w:pPr>
                                </w:p>
                                <w:p w:rsidR="00E675F0" w:rsidRDefault="00E675F0">
                                  <w:pPr>
                                    <w:pStyle w:val="TableParagraph"/>
                                    <w:tabs>
                                      <w:tab w:val="left" w:pos="1013"/>
                                      <w:tab w:val="left" w:pos="1717"/>
                                    </w:tabs>
                                    <w:spacing w:line="264" w:lineRule="auto"/>
                                    <w:ind w:left="67" w:right="36" w:firstLine="2"/>
                                    <w:rPr>
                                      <w:b/>
                                      <w:sz w:val="16"/>
                                    </w:rPr>
                                  </w:pPr>
                                  <w:r>
                                    <w:rPr>
                                      <w:b/>
                                      <w:w w:val="110"/>
                                      <w:sz w:val="16"/>
                                    </w:rPr>
                                    <w:t>Psychotic</w:t>
                                  </w:r>
                                  <w:r>
                                    <w:rPr>
                                      <w:b/>
                                      <w:w w:val="110"/>
                                      <w:sz w:val="16"/>
                                    </w:rPr>
                                    <w:tab/>
                                    <w:t>Mood</w:t>
                                  </w:r>
                                  <w:r>
                                    <w:rPr>
                                      <w:b/>
                                      <w:w w:val="110"/>
                                      <w:sz w:val="16"/>
                                    </w:rPr>
                                    <w:tab/>
                                    <w:t>Anxiety Disorders Disorders</w:t>
                                  </w:r>
                                  <w:r>
                                    <w:rPr>
                                      <w:b/>
                                      <w:spacing w:val="14"/>
                                      <w:w w:val="110"/>
                                      <w:sz w:val="16"/>
                                    </w:rPr>
                                    <w:t xml:space="preserve"> </w:t>
                                  </w:r>
                                  <w:r>
                                    <w:rPr>
                                      <w:b/>
                                      <w:w w:val="110"/>
                                      <w:sz w:val="16"/>
                                    </w:rPr>
                                    <w:t>Disorders</w:t>
                                  </w:r>
                                </w:p>
                              </w:tc>
                              <w:tc>
                                <w:tcPr>
                                  <w:tcW w:w="1760" w:type="dxa"/>
                                  <w:tcBorders>
                                    <w:top w:val="single" w:sz="4" w:space="0" w:color="000000"/>
                                    <w:bottom w:val="single" w:sz="4" w:space="0" w:color="000000"/>
                                    <w:right w:val="single" w:sz="4" w:space="0" w:color="000000"/>
                                  </w:tcBorders>
                                </w:tcPr>
                                <w:p w:rsidR="00E675F0" w:rsidRDefault="00E675F0">
                                  <w:pPr>
                                    <w:pStyle w:val="TableParagraph"/>
                                    <w:spacing w:before="76" w:line="264" w:lineRule="auto"/>
                                    <w:ind w:left="34" w:right="501" w:firstLine="85"/>
                                    <w:rPr>
                                      <w:b/>
                                      <w:sz w:val="16"/>
                                    </w:rPr>
                                  </w:pPr>
                                  <w:r>
                                    <w:rPr>
                                      <w:b/>
                                      <w:w w:val="110"/>
                                      <w:sz w:val="16"/>
                                    </w:rPr>
                                    <w:t>Sexual Dysfunc- Sleep</w:t>
                                  </w:r>
                                </w:p>
                                <w:p w:rsidR="00E675F0" w:rsidRDefault="00E675F0">
                                  <w:pPr>
                                    <w:pStyle w:val="TableParagraph"/>
                                    <w:spacing w:line="183" w:lineRule="exact"/>
                                    <w:ind w:left="182"/>
                                    <w:rPr>
                                      <w:b/>
                                      <w:sz w:val="16"/>
                                    </w:rPr>
                                  </w:pPr>
                                  <w:r>
                                    <w:rPr>
                                      <w:b/>
                                      <w:w w:val="115"/>
                                      <w:sz w:val="16"/>
                                    </w:rPr>
                                    <w:t>tions Disorders</w:t>
                                  </w:r>
                                </w:p>
                              </w:tc>
                            </w:tr>
                            <w:tr w:rsidR="00E675F0">
                              <w:trPr>
                                <w:trHeight w:val="390"/>
                              </w:trPr>
                              <w:tc>
                                <w:tcPr>
                                  <w:tcW w:w="1615" w:type="dxa"/>
                                  <w:tcBorders>
                                    <w:top w:val="single" w:sz="4" w:space="0" w:color="000000"/>
                                  </w:tcBorders>
                                </w:tcPr>
                                <w:p w:rsidR="00E675F0" w:rsidRDefault="00E675F0">
                                  <w:pPr>
                                    <w:pStyle w:val="TableParagraph"/>
                                    <w:spacing w:before="81"/>
                                    <w:ind w:left="8"/>
                                    <w:rPr>
                                      <w:sz w:val="16"/>
                                    </w:rPr>
                                  </w:pPr>
                                  <w:r>
                                    <w:rPr>
                                      <w:w w:val="105"/>
                                      <w:sz w:val="16"/>
                                    </w:rPr>
                                    <w:t>Alcohol</w:t>
                                  </w:r>
                                </w:p>
                              </w:tc>
                              <w:tc>
                                <w:tcPr>
                                  <w:tcW w:w="641" w:type="dxa"/>
                                  <w:tcBorders>
                                    <w:top w:val="single" w:sz="4" w:space="0" w:color="000000"/>
                                  </w:tcBorders>
                                </w:tcPr>
                                <w:p w:rsidR="00E675F0" w:rsidRDefault="00E675F0">
                                  <w:pPr>
                                    <w:pStyle w:val="TableParagraph"/>
                                    <w:spacing w:before="99"/>
                                    <w:ind w:left="177"/>
                                    <w:rPr>
                                      <w:rFonts w:ascii="Arial"/>
                                      <w:sz w:val="14"/>
                                    </w:rPr>
                                  </w:pPr>
                                  <w:r>
                                    <w:rPr>
                                      <w:rFonts w:ascii="Arial"/>
                                      <w:w w:val="103"/>
                                      <w:sz w:val="14"/>
                                    </w:rPr>
                                    <w:t>X</w:t>
                                  </w:r>
                                </w:p>
                              </w:tc>
                              <w:tc>
                                <w:tcPr>
                                  <w:tcW w:w="761" w:type="dxa"/>
                                  <w:tcBorders>
                                    <w:top w:val="single" w:sz="4" w:space="0" w:color="000000"/>
                                  </w:tcBorders>
                                </w:tcPr>
                                <w:p w:rsidR="00E675F0" w:rsidRDefault="00E675F0">
                                  <w:pPr>
                                    <w:pStyle w:val="TableParagraph"/>
                                    <w:spacing w:before="99"/>
                                    <w:ind w:left="3"/>
                                    <w:jc w:val="center"/>
                                    <w:rPr>
                                      <w:rFonts w:ascii="Arial"/>
                                      <w:sz w:val="14"/>
                                    </w:rPr>
                                  </w:pPr>
                                  <w:r>
                                    <w:rPr>
                                      <w:rFonts w:ascii="Arial"/>
                                      <w:w w:val="103"/>
                                      <w:sz w:val="14"/>
                                    </w:rPr>
                                    <w:t>X</w:t>
                                  </w:r>
                                </w:p>
                              </w:tc>
                              <w:tc>
                                <w:tcPr>
                                  <w:tcW w:w="789" w:type="dxa"/>
                                  <w:tcBorders>
                                    <w:top w:val="single" w:sz="4" w:space="0" w:color="000000"/>
                                  </w:tcBorders>
                                </w:tcPr>
                                <w:p w:rsidR="00E675F0" w:rsidRDefault="00E675F0">
                                  <w:pPr>
                                    <w:pStyle w:val="TableParagraph"/>
                                    <w:spacing w:before="99"/>
                                    <w:ind w:left="356"/>
                                    <w:rPr>
                                      <w:rFonts w:ascii="Arial"/>
                                      <w:sz w:val="14"/>
                                    </w:rPr>
                                  </w:pPr>
                                  <w:r>
                                    <w:rPr>
                                      <w:rFonts w:ascii="Arial"/>
                                      <w:w w:val="103"/>
                                      <w:sz w:val="14"/>
                                    </w:rPr>
                                    <w:t>X</w:t>
                                  </w:r>
                                </w:p>
                              </w:tc>
                              <w:tc>
                                <w:tcPr>
                                  <w:tcW w:w="806" w:type="dxa"/>
                                  <w:tcBorders>
                                    <w:top w:val="single" w:sz="4" w:space="0" w:color="000000"/>
                                  </w:tcBorders>
                                </w:tcPr>
                                <w:p w:rsidR="00E675F0" w:rsidRDefault="00E675F0">
                                  <w:pPr>
                                    <w:pStyle w:val="TableParagraph"/>
                                    <w:spacing w:before="99"/>
                                    <w:ind w:left="346"/>
                                    <w:rPr>
                                      <w:rFonts w:ascii="Arial"/>
                                      <w:sz w:val="14"/>
                                    </w:rPr>
                                  </w:pPr>
                                  <w:r>
                                    <w:rPr>
                                      <w:rFonts w:ascii="Arial"/>
                                      <w:w w:val="103"/>
                                      <w:sz w:val="14"/>
                                    </w:rPr>
                                    <w:t>X</w:t>
                                  </w:r>
                                </w:p>
                              </w:tc>
                              <w:tc>
                                <w:tcPr>
                                  <w:tcW w:w="1806" w:type="dxa"/>
                                  <w:gridSpan w:val="2"/>
                                  <w:tcBorders>
                                    <w:top w:val="single" w:sz="4" w:space="0" w:color="000000"/>
                                  </w:tcBorders>
                                </w:tcPr>
                                <w:p w:rsidR="00E675F0" w:rsidRDefault="00E675F0">
                                  <w:pPr>
                                    <w:pStyle w:val="TableParagraph"/>
                                    <w:spacing w:before="44"/>
                                    <w:ind w:right="369"/>
                                    <w:jc w:val="right"/>
                                    <w:rPr>
                                      <w:sz w:val="20"/>
                                    </w:rPr>
                                  </w:pPr>
                                  <w:r>
                                    <w:rPr>
                                      <w:w w:val="107"/>
                                      <w:sz w:val="20"/>
                                    </w:rPr>
                                    <w:t>w</w:t>
                                  </w:r>
                                </w:p>
                              </w:tc>
                              <w:tc>
                                <w:tcPr>
                                  <w:tcW w:w="922" w:type="dxa"/>
                                  <w:tcBorders>
                                    <w:top w:val="single" w:sz="4" w:space="0" w:color="000000"/>
                                  </w:tcBorders>
                                </w:tcPr>
                                <w:p w:rsidR="00E675F0" w:rsidRDefault="00E675F0">
                                  <w:pPr>
                                    <w:pStyle w:val="TableParagraph"/>
                                    <w:spacing w:before="84"/>
                                    <w:ind w:right="25"/>
                                    <w:jc w:val="center"/>
                                    <w:rPr>
                                      <w:rFonts w:ascii="Arial"/>
                                      <w:sz w:val="13"/>
                                    </w:rPr>
                                  </w:pPr>
                                  <w:r>
                                    <w:rPr>
                                      <w:rFonts w:ascii="Arial"/>
                                      <w:w w:val="107"/>
                                      <w:sz w:val="13"/>
                                    </w:rPr>
                                    <w:t>p</w:t>
                                  </w:r>
                                </w:p>
                              </w:tc>
                              <w:tc>
                                <w:tcPr>
                                  <w:tcW w:w="872" w:type="dxa"/>
                                  <w:tcBorders>
                                    <w:top w:val="single" w:sz="4" w:space="0" w:color="000000"/>
                                  </w:tcBorders>
                                </w:tcPr>
                                <w:p w:rsidR="00E675F0" w:rsidRDefault="00E675F0">
                                  <w:pPr>
                                    <w:pStyle w:val="TableParagraph"/>
                                    <w:spacing w:before="89"/>
                                    <w:ind w:left="34"/>
                                    <w:jc w:val="center"/>
                                    <w:rPr>
                                      <w:rFonts w:ascii="Arial"/>
                                      <w:sz w:val="13"/>
                                    </w:rPr>
                                  </w:pPr>
                                  <w:r>
                                    <w:rPr>
                                      <w:rFonts w:ascii="Arial"/>
                                      <w:w w:val="107"/>
                                      <w:sz w:val="13"/>
                                    </w:rPr>
                                    <w:t>p</w:t>
                                  </w:r>
                                </w:p>
                              </w:tc>
                              <w:tc>
                                <w:tcPr>
                                  <w:tcW w:w="836" w:type="dxa"/>
                                  <w:tcBorders>
                                    <w:top w:val="single" w:sz="4" w:space="0" w:color="000000"/>
                                  </w:tcBorders>
                                </w:tcPr>
                                <w:p w:rsidR="00E675F0" w:rsidRDefault="00E675F0">
                                  <w:pPr>
                                    <w:pStyle w:val="TableParagraph"/>
                                    <w:spacing w:before="86"/>
                                    <w:ind w:left="281" w:right="236"/>
                                    <w:jc w:val="center"/>
                                    <w:rPr>
                                      <w:sz w:val="16"/>
                                    </w:rPr>
                                  </w:pPr>
                                  <w:r>
                                    <w:rPr>
                                      <w:sz w:val="16"/>
                                    </w:rPr>
                                    <w:t>1/W</w:t>
                                  </w:r>
                                </w:p>
                              </w:tc>
                              <w:tc>
                                <w:tcPr>
                                  <w:tcW w:w="791" w:type="dxa"/>
                                  <w:tcBorders>
                                    <w:top w:val="single" w:sz="4" w:space="0" w:color="000000"/>
                                  </w:tcBorders>
                                </w:tcPr>
                                <w:p w:rsidR="00E675F0" w:rsidRDefault="00E675F0">
                                  <w:pPr>
                                    <w:pStyle w:val="TableParagraph"/>
                                    <w:spacing w:before="81"/>
                                    <w:ind w:left="227" w:right="230"/>
                                    <w:jc w:val="center"/>
                                    <w:rPr>
                                      <w:sz w:val="16"/>
                                    </w:rPr>
                                  </w:pPr>
                                  <w:r>
                                    <w:rPr>
                                      <w:sz w:val="16"/>
                                    </w:rPr>
                                    <w:t>1/W</w:t>
                                  </w:r>
                                </w:p>
                              </w:tc>
                              <w:tc>
                                <w:tcPr>
                                  <w:tcW w:w="815" w:type="dxa"/>
                                  <w:tcBorders>
                                    <w:top w:val="single" w:sz="4" w:space="0" w:color="000000"/>
                                  </w:tcBorders>
                                </w:tcPr>
                                <w:p w:rsidR="00E675F0" w:rsidRDefault="00E675F0">
                                  <w:pPr>
                                    <w:pStyle w:val="TableParagraph"/>
                                    <w:spacing w:before="86"/>
                                    <w:ind w:right="278"/>
                                    <w:jc w:val="right"/>
                                    <w:rPr>
                                      <w:sz w:val="16"/>
                                    </w:rPr>
                                  </w:pPr>
                                  <w:r>
                                    <w:rPr>
                                      <w:sz w:val="16"/>
                                    </w:rPr>
                                    <w:t>1/W</w:t>
                                  </w:r>
                                </w:p>
                              </w:tc>
                              <w:tc>
                                <w:tcPr>
                                  <w:tcW w:w="1760" w:type="dxa"/>
                                  <w:tcBorders>
                                    <w:top w:val="single" w:sz="4" w:space="0" w:color="000000"/>
                                    <w:right w:val="single" w:sz="4" w:space="0" w:color="000000"/>
                                  </w:tcBorders>
                                </w:tcPr>
                                <w:p w:rsidR="00E675F0" w:rsidRDefault="00E675F0">
                                  <w:pPr>
                                    <w:pStyle w:val="TableParagraph"/>
                                    <w:spacing w:before="81"/>
                                    <w:ind w:right="569"/>
                                    <w:jc w:val="right"/>
                                    <w:rPr>
                                      <w:sz w:val="16"/>
                                    </w:rPr>
                                  </w:pPr>
                                  <w:r>
                                    <w:rPr>
                                      <w:w w:val="105"/>
                                      <w:sz w:val="16"/>
                                    </w:rPr>
                                    <w:t>I/W</w:t>
                                  </w:r>
                                </w:p>
                              </w:tc>
                            </w:tr>
                            <w:tr w:rsidR="00E675F0">
                              <w:trPr>
                                <w:trHeight w:val="419"/>
                              </w:trPr>
                              <w:tc>
                                <w:tcPr>
                                  <w:tcW w:w="1615" w:type="dxa"/>
                                </w:tcPr>
                                <w:p w:rsidR="00E675F0" w:rsidRDefault="00E675F0">
                                  <w:pPr>
                                    <w:pStyle w:val="TableParagraph"/>
                                    <w:spacing w:before="109"/>
                                    <w:ind w:left="8"/>
                                    <w:rPr>
                                      <w:sz w:val="16"/>
                                    </w:rPr>
                                  </w:pPr>
                                  <w:r>
                                    <w:rPr>
                                      <w:w w:val="105"/>
                                      <w:sz w:val="16"/>
                                    </w:rPr>
                                    <w:t>Amphetamines</w:t>
                                  </w:r>
                                </w:p>
                              </w:tc>
                              <w:tc>
                                <w:tcPr>
                                  <w:tcW w:w="641" w:type="dxa"/>
                                </w:tcPr>
                                <w:p w:rsidR="00E675F0" w:rsidRDefault="00E675F0">
                                  <w:pPr>
                                    <w:pStyle w:val="TableParagraph"/>
                                    <w:spacing w:before="132"/>
                                    <w:ind w:left="177"/>
                                    <w:rPr>
                                      <w:rFonts w:ascii="Arial"/>
                                      <w:sz w:val="14"/>
                                    </w:rPr>
                                  </w:pPr>
                                  <w:r>
                                    <w:rPr>
                                      <w:rFonts w:ascii="Arial"/>
                                      <w:w w:val="106"/>
                                      <w:sz w:val="14"/>
                                    </w:rPr>
                                    <w:t>X</w:t>
                                  </w:r>
                                </w:p>
                              </w:tc>
                              <w:tc>
                                <w:tcPr>
                                  <w:tcW w:w="761" w:type="dxa"/>
                                </w:tcPr>
                                <w:p w:rsidR="00E675F0" w:rsidRDefault="00E675F0">
                                  <w:pPr>
                                    <w:pStyle w:val="TableParagraph"/>
                                    <w:spacing w:before="127"/>
                                    <w:ind w:left="6"/>
                                    <w:jc w:val="center"/>
                                    <w:rPr>
                                      <w:rFonts w:ascii="Arial"/>
                                      <w:sz w:val="14"/>
                                    </w:rPr>
                                  </w:pPr>
                                  <w:r>
                                    <w:rPr>
                                      <w:rFonts w:ascii="Arial"/>
                                      <w:w w:val="106"/>
                                      <w:sz w:val="14"/>
                                    </w:rPr>
                                    <w:t>X</w:t>
                                  </w:r>
                                </w:p>
                              </w:tc>
                              <w:tc>
                                <w:tcPr>
                                  <w:tcW w:w="789" w:type="dxa"/>
                                </w:tcPr>
                                <w:p w:rsidR="00E675F0" w:rsidRDefault="00E675F0">
                                  <w:pPr>
                                    <w:pStyle w:val="TableParagraph"/>
                                    <w:spacing w:before="127"/>
                                    <w:ind w:left="356"/>
                                    <w:rPr>
                                      <w:rFonts w:ascii="Arial"/>
                                      <w:sz w:val="14"/>
                                    </w:rPr>
                                  </w:pPr>
                                  <w:r>
                                    <w:rPr>
                                      <w:rFonts w:ascii="Arial"/>
                                      <w:w w:val="106"/>
                                      <w:sz w:val="14"/>
                                    </w:rPr>
                                    <w:t>X</w:t>
                                  </w:r>
                                </w:p>
                              </w:tc>
                              <w:tc>
                                <w:tcPr>
                                  <w:tcW w:w="806" w:type="dxa"/>
                                </w:tcPr>
                                <w:p w:rsidR="00E675F0" w:rsidRDefault="00E675F0">
                                  <w:pPr>
                                    <w:pStyle w:val="TableParagraph"/>
                                    <w:spacing w:before="127"/>
                                    <w:ind w:left="346"/>
                                    <w:rPr>
                                      <w:rFonts w:ascii="Arial"/>
                                      <w:sz w:val="14"/>
                                    </w:rPr>
                                  </w:pPr>
                                  <w:r>
                                    <w:rPr>
                                      <w:rFonts w:ascii="Arial"/>
                                      <w:w w:val="106"/>
                                      <w:sz w:val="14"/>
                                    </w:rPr>
                                    <w:t>X</w:t>
                                  </w:r>
                                </w:p>
                              </w:tc>
                              <w:tc>
                                <w:tcPr>
                                  <w:tcW w:w="1806" w:type="dxa"/>
                                  <w:gridSpan w:val="2"/>
                                </w:tcPr>
                                <w:p w:rsidR="00E675F0" w:rsidRDefault="00E675F0">
                                  <w:pPr>
                                    <w:pStyle w:val="TableParagraph"/>
                                    <w:rPr>
                                      <w:sz w:val="16"/>
                                    </w:rPr>
                                  </w:pPr>
                                </w:p>
                              </w:tc>
                              <w:tc>
                                <w:tcPr>
                                  <w:tcW w:w="922" w:type="dxa"/>
                                </w:tcPr>
                                <w:p w:rsidR="00E675F0" w:rsidRDefault="00E675F0">
                                  <w:pPr>
                                    <w:pStyle w:val="TableParagraph"/>
                                    <w:rPr>
                                      <w:sz w:val="16"/>
                                    </w:rPr>
                                  </w:pPr>
                                </w:p>
                              </w:tc>
                              <w:tc>
                                <w:tcPr>
                                  <w:tcW w:w="872" w:type="dxa"/>
                                </w:tcPr>
                                <w:p w:rsidR="00E675F0" w:rsidRDefault="00E675F0">
                                  <w:pPr>
                                    <w:pStyle w:val="TableParagraph"/>
                                    <w:rPr>
                                      <w:sz w:val="16"/>
                                    </w:rPr>
                                  </w:pPr>
                                </w:p>
                              </w:tc>
                              <w:tc>
                                <w:tcPr>
                                  <w:tcW w:w="836" w:type="dxa"/>
                                </w:tcPr>
                                <w:p w:rsidR="00E675F0" w:rsidRDefault="00E675F0">
                                  <w:pPr>
                                    <w:pStyle w:val="TableParagraph"/>
                                    <w:rPr>
                                      <w:sz w:val="16"/>
                                    </w:rPr>
                                  </w:pPr>
                                </w:p>
                              </w:tc>
                              <w:tc>
                                <w:tcPr>
                                  <w:tcW w:w="791" w:type="dxa"/>
                                </w:tcPr>
                                <w:p w:rsidR="00E675F0" w:rsidRDefault="00E675F0">
                                  <w:pPr>
                                    <w:pStyle w:val="TableParagraph"/>
                                    <w:spacing w:before="114"/>
                                    <w:ind w:left="227" w:right="230"/>
                                    <w:jc w:val="center"/>
                                    <w:rPr>
                                      <w:sz w:val="16"/>
                                    </w:rPr>
                                  </w:pPr>
                                  <w:r>
                                    <w:rPr>
                                      <w:sz w:val="16"/>
                                    </w:rPr>
                                    <w:t>1/W</w:t>
                                  </w:r>
                                </w:p>
                              </w:tc>
                              <w:tc>
                                <w:tcPr>
                                  <w:tcW w:w="815" w:type="dxa"/>
                                </w:tcPr>
                                <w:p w:rsidR="00E675F0" w:rsidRDefault="00E675F0">
                                  <w:pPr>
                                    <w:pStyle w:val="TableParagraph"/>
                                    <w:rPr>
                                      <w:sz w:val="16"/>
                                    </w:rPr>
                                  </w:pPr>
                                </w:p>
                              </w:tc>
                              <w:tc>
                                <w:tcPr>
                                  <w:tcW w:w="1760" w:type="dxa"/>
                                  <w:tcBorders>
                                    <w:right w:val="single" w:sz="4" w:space="0" w:color="000000"/>
                                  </w:tcBorders>
                                </w:tcPr>
                                <w:p w:rsidR="00E675F0" w:rsidRDefault="00E675F0">
                                  <w:pPr>
                                    <w:pStyle w:val="TableParagraph"/>
                                    <w:spacing w:before="109"/>
                                    <w:ind w:right="582"/>
                                    <w:jc w:val="right"/>
                                    <w:rPr>
                                      <w:sz w:val="16"/>
                                    </w:rPr>
                                  </w:pPr>
                                  <w:r>
                                    <w:rPr>
                                      <w:w w:val="95"/>
                                      <w:sz w:val="16"/>
                                    </w:rPr>
                                    <w:t>1/W</w:t>
                                  </w:r>
                                </w:p>
                              </w:tc>
                            </w:tr>
                            <w:tr w:rsidR="00E675F0">
                              <w:trPr>
                                <w:trHeight w:val="418"/>
                              </w:trPr>
                              <w:tc>
                                <w:tcPr>
                                  <w:tcW w:w="1615" w:type="dxa"/>
                                </w:tcPr>
                                <w:p w:rsidR="00E675F0" w:rsidRDefault="00E675F0">
                                  <w:pPr>
                                    <w:pStyle w:val="TableParagraph"/>
                                    <w:spacing w:before="114"/>
                                    <w:ind w:left="8"/>
                                    <w:rPr>
                                      <w:sz w:val="16"/>
                                    </w:rPr>
                                  </w:pPr>
                                  <w:r>
                                    <w:rPr>
                                      <w:w w:val="105"/>
                                      <w:sz w:val="16"/>
                                    </w:rPr>
                                    <w:t>Caffeine</w:t>
                                  </w:r>
                                </w:p>
                              </w:tc>
                              <w:tc>
                                <w:tcPr>
                                  <w:tcW w:w="641" w:type="dxa"/>
                                </w:tcPr>
                                <w:p w:rsidR="00E675F0" w:rsidRDefault="00E675F0">
                                  <w:pPr>
                                    <w:pStyle w:val="TableParagraph"/>
                                    <w:rPr>
                                      <w:sz w:val="16"/>
                                    </w:rPr>
                                  </w:pPr>
                                </w:p>
                              </w:tc>
                              <w:tc>
                                <w:tcPr>
                                  <w:tcW w:w="761" w:type="dxa"/>
                                </w:tcPr>
                                <w:p w:rsidR="00E675F0" w:rsidRDefault="00E675F0">
                                  <w:pPr>
                                    <w:pStyle w:val="TableParagraph"/>
                                    <w:rPr>
                                      <w:sz w:val="16"/>
                                    </w:rPr>
                                  </w:pPr>
                                </w:p>
                              </w:tc>
                              <w:tc>
                                <w:tcPr>
                                  <w:tcW w:w="789" w:type="dxa"/>
                                </w:tcPr>
                                <w:p w:rsidR="00E675F0" w:rsidRDefault="00E675F0">
                                  <w:pPr>
                                    <w:pStyle w:val="TableParagraph"/>
                                    <w:spacing w:before="132"/>
                                    <w:ind w:left="356"/>
                                    <w:rPr>
                                      <w:rFonts w:ascii="Arial"/>
                                      <w:sz w:val="14"/>
                                    </w:rPr>
                                  </w:pPr>
                                  <w:r>
                                    <w:rPr>
                                      <w:rFonts w:ascii="Arial"/>
                                      <w:w w:val="103"/>
                                      <w:sz w:val="14"/>
                                    </w:rPr>
                                    <w:t>X</w:t>
                                  </w:r>
                                </w:p>
                              </w:tc>
                              <w:tc>
                                <w:tcPr>
                                  <w:tcW w:w="806" w:type="dxa"/>
                                </w:tcPr>
                                <w:p w:rsidR="00E675F0" w:rsidRDefault="00E675F0">
                                  <w:pPr>
                                    <w:pStyle w:val="TableParagraph"/>
                                    <w:rPr>
                                      <w:sz w:val="16"/>
                                    </w:rPr>
                                  </w:pPr>
                                </w:p>
                              </w:tc>
                              <w:tc>
                                <w:tcPr>
                                  <w:tcW w:w="1806" w:type="dxa"/>
                                  <w:gridSpan w:val="2"/>
                                </w:tcPr>
                                <w:p w:rsidR="00E675F0" w:rsidRDefault="00E675F0">
                                  <w:pPr>
                                    <w:pStyle w:val="TableParagraph"/>
                                    <w:rPr>
                                      <w:sz w:val="16"/>
                                    </w:rPr>
                                  </w:pPr>
                                </w:p>
                              </w:tc>
                              <w:tc>
                                <w:tcPr>
                                  <w:tcW w:w="922" w:type="dxa"/>
                                </w:tcPr>
                                <w:p w:rsidR="00E675F0" w:rsidRDefault="00E675F0">
                                  <w:pPr>
                                    <w:pStyle w:val="TableParagraph"/>
                                    <w:rPr>
                                      <w:sz w:val="16"/>
                                    </w:rPr>
                                  </w:pPr>
                                </w:p>
                              </w:tc>
                              <w:tc>
                                <w:tcPr>
                                  <w:tcW w:w="872" w:type="dxa"/>
                                </w:tcPr>
                                <w:p w:rsidR="00E675F0" w:rsidRDefault="00E675F0">
                                  <w:pPr>
                                    <w:pStyle w:val="TableParagraph"/>
                                    <w:rPr>
                                      <w:sz w:val="16"/>
                                    </w:rPr>
                                  </w:pPr>
                                </w:p>
                              </w:tc>
                              <w:tc>
                                <w:tcPr>
                                  <w:tcW w:w="836" w:type="dxa"/>
                                </w:tcPr>
                                <w:p w:rsidR="00E675F0" w:rsidRDefault="00E675F0">
                                  <w:pPr>
                                    <w:pStyle w:val="TableParagraph"/>
                                    <w:rPr>
                                      <w:sz w:val="16"/>
                                    </w:rPr>
                                  </w:pPr>
                                </w:p>
                              </w:tc>
                              <w:tc>
                                <w:tcPr>
                                  <w:tcW w:w="791" w:type="dxa"/>
                                </w:tcPr>
                                <w:p w:rsidR="00E675F0" w:rsidRDefault="00E675F0">
                                  <w:pPr>
                                    <w:pStyle w:val="TableParagraph"/>
                                    <w:rPr>
                                      <w:sz w:val="16"/>
                                    </w:rPr>
                                  </w:pPr>
                                </w:p>
                              </w:tc>
                              <w:tc>
                                <w:tcPr>
                                  <w:tcW w:w="815" w:type="dxa"/>
                                </w:tcPr>
                                <w:p w:rsidR="00E675F0" w:rsidRDefault="00E675F0">
                                  <w:pPr>
                                    <w:pStyle w:val="TableParagraph"/>
                                    <w:rPr>
                                      <w:sz w:val="16"/>
                                    </w:rPr>
                                  </w:pPr>
                                </w:p>
                              </w:tc>
                              <w:tc>
                                <w:tcPr>
                                  <w:tcW w:w="1760" w:type="dxa"/>
                                  <w:tcBorders>
                                    <w:right w:val="single" w:sz="4" w:space="0" w:color="000000"/>
                                  </w:tcBorders>
                                </w:tcPr>
                                <w:p w:rsidR="00E675F0" w:rsidRDefault="00E675F0">
                                  <w:pPr>
                                    <w:pStyle w:val="TableParagraph"/>
                                    <w:rPr>
                                      <w:sz w:val="16"/>
                                    </w:rPr>
                                  </w:pPr>
                                </w:p>
                              </w:tc>
                            </w:tr>
                            <w:tr w:rsidR="00E675F0">
                              <w:trPr>
                                <w:trHeight w:val="424"/>
                              </w:trPr>
                              <w:tc>
                                <w:tcPr>
                                  <w:tcW w:w="1615" w:type="dxa"/>
                                </w:tcPr>
                                <w:p w:rsidR="00E675F0" w:rsidRDefault="00E675F0">
                                  <w:pPr>
                                    <w:pStyle w:val="TableParagraph"/>
                                    <w:spacing w:before="114"/>
                                    <w:ind w:left="8"/>
                                    <w:rPr>
                                      <w:sz w:val="16"/>
                                    </w:rPr>
                                  </w:pPr>
                                  <w:r>
                                    <w:rPr>
                                      <w:w w:val="105"/>
                                      <w:sz w:val="16"/>
                                    </w:rPr>
                                    <w:t>Cannabis</w:t>
                                  </w:r>
                                </w:p>
                              </w:tc>
                              <w:tc>
                                <w:tcPr>
                                  <w:tcW w:w="641" w:type="dxa"/>
                                </w:tcPr>
                                <w:p w:rsidR="00E675F0" w:rsidRDefault="00E675F0">
                                  <w:pPr>
                                    <w:pStyle w:val="TableParagraph"/>
                                    <w:spacing w:before="128"/>
                                    <w:ind w:left="176"/>
                                    <w:rPr>
                                      <w:sz w:val="15"/>
                                    </w:rPr>
                                  </w:pPr>
                                  <w:r>
                                    <w:rPr>
                                      <w:w w:val="107"/>
                                      <w:sz w:val="15"/>
                                    </w:rPr>
                                    <w:t>X</w:t>
                                  </w:r>
                                </w:p>
                              </w:tc>
                              <w:tc>
                                <w:tcPr>
                                  <w:tcW w:w="761" w:type="dxa"/>
                                </w:tcPr>
                                <w:p w:rsidR="00E675F0" w:rsidRDefault="00E675F0">
                                  <w:pPr>
                                    <w:pStyle w:val="TableParagraph"/>
                                    <w:spacing w:before="123"/>
                                    <w:ind w:left="18"/>
                                    <w:jc w:val="center"/>
                                    <w:rPr>
                                      <w:sz w:val="15"/>
                                    </w:rPr>
                                  </w:pPr>
                                  <w:r>
                                    <w:rPr>
                                      <w:w w:val="103"/>
                                      <w:sz w:val="15"/>
                                    </w:rPr>
                                    <w:t>X</w:t>
                                  </w:r>
                                </w:p>
                              </w:tc>
                              <w:tc>
                                <w:tcPr>
                                  <w:tcW w:w="789" w:type="dxa"/>
                                </w:tcPr>
                                <w:p w:rsidR="00E675F0" w:rsidRDefault="00E675F0">
                                  <w:pPr>
                                    <w:pStyle w:val="TableParagraph"/>
                                    <w:spacing w:before="132"/>
                                    <w:ind w:left="356"/>
                                    <w:rPr>
                                      <w:rFonts w:ascii="Arial"/>
                                      <w:sz w:val="14"/>
                                    </w:rPr>
                                  </w:pPr>
                                  <w:r>
                                    <w:rPr>
                                      <w:rFonts w:ascii="Arial"/>
                                      <w:w w:val="103"/>
                                      <w:sz w:val="14"/>
                                    </w:rPr>
                                    <w:t>X</w:t>
                                  </w:r>
                                </w:p>
                              </w:tc>
                              <w:tc>
                                <w:tcPr>
                                  <w:tcW w:w="806" w:type="dxa"/>
                                </w:tcPr>
                                <w:p w:rsidR="00E675F0" w:rsidRDefault="00E675F0">
                                  <w:pPr>
                                    <w:pStyle w:val="TableParagraph"/>
                                    <w:rPr>
                                      <w:sz w:val="16"/>
                                    </w:rPr>
                                  </w:pPr>
                                </w:p>
                              </w:tc>
                              <w:tc>
                                <w:tcPr>
                                  <w:tcW w:w="1806" w:type="dxa"/>
                                  <w:gridSpan w:val="2"/>
                                </w:tcPr>
                                <w:p w:rsidR="00E675F0" w:rsidRDefault="00E675F0">
                                  <w:pPr>
                                    <w:pStyle w:val="TableParagraph"/>
                                    <w:rPr>
                                      <w:sz w:val="16"/>
                                    </w:rPr>
                                  </w:pPr>
                                </w:p>
                              </w:tc>
                              <w:tc>
                                <w:tcPr>
                                  <w:tcW w:w="922" w:type="dxa"/>
                                </w:tcPr>
                                <w:p w:rsidR="00E675F0" w:rsidRDefault="00E675F0">
                                  <w:pPr>
                                    <w:pStyle w:val="TableParagraph"/>
                                    <w:rPr>
                                      <w:sz w:val="16"/>
                                    </w:rPr>
                                  </w:pPr>
                                </w:p>
                              </w:tc>
                              <w:tc>
                                <w:tcPr>
                                  <w:tcW w:w="872" w:type="dxa"/>
                                </w:tcPr>
                                <w:p w:rsidR="00E675F0" w:rsidRDefault="00E675F0">
                                  <w:pPr>
                                    <w:pStyle w:val="TableParagraph"/>
                                    <w:rPr>
                                      <w:sz w:val="16"/>
                                    </w:rPr>
                                  </w:pPr>
                                </w:p>
                              </w:tc>
                              <w:tc>
                                <w:tcPr>
                                  <w:tcW w:w="836" w:type="dxa"/>
                                </w:tcPr>
                                <w:p w:rsidR="00E675F0" w:rsidRDefault="00E675F0">
                                  <w:pPr>
                                    <w:pStyle w:val="TableParagraph"/>
                                    <w:rPr>
                                      <w:sz w:val="16"/>
                                    </w:rPr>
                                  </w:pPr>
                                </w:p>
                              </w:tc>
                              <w:tc>
                                <w:tcPr>
                                  <w:tcW w:w="791" w:type="dxa"/>
                                </w:tcPr>
                                <w:p w:rsidR="00E675F0" w:rsidRDefault="00E675F0">
                                  <w:pPr>
                                    <w:pStyle w:val="TableParagraph"/>
                                    <w:rPr>
                                      <w:sz w:val="16"/>
                                    </w:rPr>
                                  </w:pPr>
                                </w:p>
                              </w:tc>
                              <w:tc>
                                <w:tcPr>
                                  <w:tcW w:w="815" w:type="dxa"/>
                                </w:tcPr>
                                <w:p w:rsidR="00E675F0" w:rsidRDefault="00E675F0">
                                  <w:pPr>
                                    <w:pStyle w:val="TableParagraph"/>
                                    <w:rPr>
                                      <w:sz w:val="16"/>
                                    </w:rPr>
                                  </w:pPr>
                                </w:p>
                              </w:tc>
                              <w:tc>
                                <w:tcPr>
                                  <w:tcW w:w="1760" w:type="dxa"/>
                                  <w:tcBorders>
                                    <w:right w:val="single" w:sz="4" w:space="0" w:color="000000"/>
                                  </w:tcBorders>
                                </w:tcPr>
                                <w:p w:rsidR="00E675F0" w:rsidRDefault="00E675F0">
                                  <w:pPr>
                                    <w:pStyle w:val="TableParagraph"/>
                                    <w:rPr>
                                      <w:sz w:val="16"/>
                                    </w:rPr>
                                  </w:pPr>
                                </w:p>
                              </w:tc>
                            </w:tr>
                            <w:tr w:rsidR="00E675F0">
                              <w:trPr>
                                <w:trHeight w:val="842"/>
                              </w:trPr>
                              <w:tc>
                                <w:tcPr>
                                  <w:tcW w:w="1615" w:type="dxa"/>
                                </w:tcPr>
                                <w:p w:rsidR="00E675F0" w:rsidRDefault="00E675F0">
                                  <w:pPr>
                                    <w:pStyle w:val="TableParagraph"/>
                                    <w:spacing w:before="117"/>
                                    <w:ind w:left="8"/>
                                    <w:rPr>
                                      <w:sz w:val="16"/>
                                    </w:rPr>
                                  </w:pPr>
                                  <w:r>
                                    <w:rPr>
                                      <w:w w:val="105"/>
                                      <w:sz w:val="16"/>
                                    </w:rPr>
                                    <w:t>Cocaine</w:t>
                                  </w:r>
                                </w:p>
                                <w:p w:rsidR="00E675F0" w:rsidRDefault="00E675F0">
                                  <w:pPr>
                                    <w:pStyle w:val="TableParagraph"/>
                                    <w:spacing w:before="5"/>
                                    <w:rPr>
                                      <w:b/>
                                      <w:sz w:val="20"/>
                                    </w:rPr>
                                  </w:pPr>
                                </w:p>
                                <w:p w:rsidR="00E675F0" w:rsidRDefault="00E675F0">
                                  <w:pPr>
                                    <w:pStyle w:val="TableParagraph"/>
                                    <w:ind w:left="11"/>
                                    <w:rPr>
                                      <w:sz w:val="16"/>
                                    </w:rPr>
                                  </w:pPr>
                                  <w:r>
                                    <w:rPr>
                                      <w:w w:val="105"/>
                                      <w:sz w:val="16"/>
                                    </w:rPr>
                                    <w:t>Hallucinogens</w:t>
                                  </w:r>
                                </w:p>
                              </w:tc>
                              <w:tc>
                                <w:tcPr>
                                  <w:tcW w:w="641" w:type="dxa"/>
                                </w:tcPr>
                                <w:p w:rsidR="00E675F0" w:rsidRDefault="00E675F0">
                                  <w:pPr>
                                    <w:pStyle w:val="TableParagraph"/>
                                    <w:spacing w:before="135"/>
                                    <w:ind w:left="182"/>
                                    <w:rPr>
                                      <w:rFonts w:ascii="Arial"/>
                                      <w:sz w:val="14"/>
                                    </w:rPr>
                                  </w:pPr>
                                  <w:r>
                                    <w:rPr>
                                      <w:rFonts w:ascii="Arial"/>
                                      <w:w w:val="107"/>
                                      <w:sz w:val="14"/>
                                    </w:rPr>
                                    <w:t>X</w:t>
                                  </w:r>
                                </w:p>
                                <w:p w:rsidR="00E675F0" w:rsidRDefault="00E675F0">
                                  <w:pPr>
                                    <w:pStyle w:val="TableParagraph"/>
                                    <w:spacing w:before="5"/>
                                    <w:rPr>
                                      <w:b/>
                                    </w:rPr>
                                  </w:pPr>
                                </w:p>
                                <w:p w:rsidR="00E675F0" w:rsidRDefault="00E675F0">
                                  <w:pPr>
                                    <w:pStyle w:val="TableParagraph"/>
                                    <w:ind w:left="177"/>
                                    <w:rPr>
                                      <w:rFonts w:ascii="Arial"/>
                                      <w:sz w:val="14"/>
                                    </w:rPr>
                                  </w:pPr>
                                  <w:r>
                                    <w:rPr>
                                      <w:rFonts w:ascii="Arial"/>
                                      <w:w w:val="102"/>
                                      <w:sz w:val="14"/>
                                    </w:rPr>
                                    <w:t>X</w:t>
                                  </w:r>
                                </w:p>
                              </w:tc>
                              <w:tc>
                                <w:tcPr>
                                  <w:tcW w:w="761" w:type="dxa"/>
                                </w:tcPr>
                                <w:p w:rsidR="00E675F0" w:rsidRDefault="00E675F0">
                                  <w:pPr>
                                    <w:pStyle w:val="TableParagraph"/>
                                    <w:spacing w:before="127"/>
                                    <w:ind w:left="18"/>
                                    <w:jc w:val="center"/>
                                    <w:rPr>
                                      <w:sz w:val="15"/>
                                    </w:rPr>
                                  </w:pPr>
                                  <w:r>
                                    <w:rPr>
                                      <w:w w:val="103"/>
                                      <w:sz w:val="15"/>
                                    </w:rPr>
                                    <w:t>X</w:t>
                                  </w:r>
                                </w:p>
                                <w:p w:rsidR="00E675F0" w:rsidRDefault="00E675F0">
                                  <w:pPr>
                                    <w:pStyle w:val="TableParagraph"/>
                                    <w:spacing w:before="1"/>
                                    <w:rPr>
                                      <w:b/>
                                    </w:rPr>
                                  </w:pPr>
                                </w:p>
                                <w:p w:rsidR="00E675F0" w:rsidRDefault="00E675F0">
                                  <w:pPr>
                                    <w:pStyle w:val="TableParagraph"/>
                                    <w:ind w:left="2"/>
                                    <w:jc w:val="center"/>
                                    <w:rPr>
                                      <w:rFonts w:ascii="Arial"/>
                                      <w:sz w:val="14"/>
                                    </w:rPr>
                                  </w:pPr>
                                  <w:r>
                                    <w:rPr>
                                      <w:rFonts w:ascii="Arial"/>
                                      <w:w w:val="102"/>
                                      <w:sz w:val="14"/>
                                    </w:rPr>
                                    <w:t>X</w:t>
                                  </w:r>
                                </w:p>
                              </w:tc>
                              <w:tc>
                                <w:tcPr>
                                  <w:tcW w:w="789" w:type="dxa"/>
                                </w:tcPr>
                                <w:p w:rsidR="00E675F0" w:rsidRDefault="00E675F0">
                                  <w:pPr>
                                    <w:pStyle w:val="TableParagraph"/>
                                    <w:spacing w:before="135"/>
                                    <w:ind w:left="20"/>
                                    <w:jc w:val="center"/>
                                    <w:rPr>
                                      <w:rFonts w:ascii="Arial"/>
                                      <w:sz w:val="14"/>
                                    </w:rPr>
                                  </w:pPr>
                                  <w:r>
                                    <w:rPr>
                                      <w:rFonts w:ascii="Arial"/>
                                      <w:w w:val="103"/>
                                      <w:sz w:val="14"/>
                                    </w:rPr>
                                    <w:t>X</w:t>
                                  </w:r>
                                </w:p>
                                <w:p w:rsidR="00E675F0" w:rsidRDefault="00E675F0">
                                  <w:pPr>
                                    <w:pStyle w:val="TableParagraph"/>
                                    <w:spacing w:before="5"/>
                                    <w:rPr>
                                      <w:b/>
                                    </w:rPr>
                                  </w:pPr>
                                </w:p>
                                <w:p w:rsidR="00E675F0" w:rsidRDefault="00E675F0">
                                  <w:pPr>
                                    <w:pStyle w:val="TableParagraph"/>
                                    <w:ind w:left="19"/>
                                    <w:jc w:val="center"/>
                                    <w:rPr>
                                      <w:rFonts w:ascii="Arial"/>
                                      <w:sz w:val="14"/>
                                    </w:rPr>
                                  </w:pPr>
                                  <w:r>
                                    <w:rPr>
                                      <w:rFonts w:ascii="Arial"/>
                                      <w:w w:val="102"/>
                                      <w:sz w:val="14"/>
                                    </w:rPr>
                                    <w:t>X</w:t>
                                  </w:r>
                                </w:p>
                              </w:tc>
                              <w:tc>
                                <w:tcPr>
                                  <w:tcW w:w="806" w:type="dxa"/>
                                </w:tcPr>
                                <w:p w:rsidR="00E675F0" w:rsidRDefault="00E675F0">
                                  <w:pPr>
                                    <w:pStyle w:val="TableParagraph"/>
                                    <w:spacing w:before="135"/>
                                    <w:ind w:left="351"/>
                                    <w:rPr>
                                      <w:rFonts w:ascii="Arial"/>
                                      <w:sz w:val="14"/>
                                    </w:rPr>
                                  </w:pPr>
                                  <w:r>
                                    <w:rPr>
                                      <w:rFonts w:ascii="Arial"/>
                                      <w:w w:val="103"/>
                                      <w:sz w:val="14"/>
                                    </w:rPr>
                                    <w:t>X</w:t>
                                  </w:r>
                                </w:p>
                              </w:tc>
                              <w:tc>
                                <w:tcPr>
                                  <w:tcW w:w="1806" w:type="dxa"/>
                                  <w:gridSpan w:val="2"/>
                                </w:tcPr>
                                <w:p w:rsidR="00E675F0" w:rsidRDefault="00E675F0">
                                  <w:pPr>
                                    <w:pStyle w:val="TableParagraph"/>
                                    <w:rPr>
                                      <w:sz w:val="16"/>
                                    </w:rPr>
                                  </w:pPr>
                                </w:p>
                              </w:tc>
                              <w:tc>
                                <w:tcPr>
                                  <w:tcW w:w="922" w:type="dxa"/>
                                </w:tcPr>
                                <w:p w:rsidR="00E675F0" w:rsidRDefault="00E675F0">
                                  <w:pPr>
                                    <w:pStyle w:val="TableParagraph"/>
                                    <w:rPr>
                                      <w:sz w:val="16"/>
                                    </w:rPr>
                                  </w:pPr>
                                </w:p>
                              </w:tc>
                              <w:tc>
                                <w:tcPr>
                                  <w:tcW w:w="872" w:type="dxa"/>
                                </w:tcPr>
                                <w:p w:rsidR="00E675F0" w:rsidRDefault="00E675F0">
                                  <w:pPr>
                                    <w:pStyle w:val="TableParagraph"/>
                                    <w:rPr>
                                      <w:sz w:val="16"/>
                                    </w:rPr>
                                  </w:pPr>
                                </w:p>
                              </w:tc>
                              <w:tc>
                                <w:tcPr>
                                  <w:tcW w:w="836" w:type="dxa"/>
                                </w:tcPr>
                                <w:p w:rsidR="00E675F0" w:rsidRDefault="00E675F0">
                                  <w:pPr>
                                    <w:pStyle w:val="TableParagraph"/>
                                    <w:spacing w:before="133" w:line="466" w:lineRule="exact"/>
                                    <w:ind w:left="407"/>
                                    <w:rPr>
                                      <w:rFonts w:ascii="Arial"/>
                                      <w:sz w:val="46"/>
                                    </w:rPr>
                                  </w:pPr>
                                  <w:r>
                                    <w:rPr>
                                      <w:rFonts w:ascii="Arial"/>
                                      <w:w w:val="102"/>
                                      <w:sz w:val="46"/>
                                    </w:rPr>
                                    <w:t>.</w:t>
                                  </w:r>
                                </w:p>
                                <w:p w:rsidR="00E675F0" w:rsidRDefault="00E675F0">
                                  <w:pPr>
                                    <w:pStyle w:val="TableParagraph"/>
                                    <w:spacing w:line="121" w:lineRule="exact"/>
                                    <w:ind w:left="388"/>
                                    <w:rPr>
                                      <w:sz w:val="16"/>
                                    </w:rPr>
                                  </w:pPr>
                                  <w:r>
                                    <w:rPr>
                                      <w:w w:val="104"/>
                                      <w:sz w:val="16"/>
                                    </w:rPr>
                                    <w:t>I</w:t>
                                  </w:r>
                                </w:p>
                              </w:tc>
                              <w:tc>
                                <w:tcPr>
                                  <w:tcW w:w="791" w:type="dxa"/>
                                </w:tcPr>
                                <w:p w:rsidR="00E675F0" w:rsidRDefault="00E675F0">
                                  <w:pPr>
                                    <w:pStyle w:val="TableParagraph"/>
                                    <w:spacing w:before="117"/>
                                    <w:ind w:left="230" w:right="230"/>
                                    <w:jc w:val="center"/>
                                    <w:rPr>
                                      <w:sz w:val="16"/>
                                    </w:rPr>
                                  </w:pPr>
                                  <w:r>
                                    <w:rPr>
                                      <w:sz w:val="16"/>
                                    </w:rPr>
                                    <w:t>1/W</w:t>
                                  </w:r>
                                </w:p>
                              </w:tc>
                              <w:tc>
                                <w:tcPr>
                                  <w:tcW w:w="815" w:type="dxa"/>
                                </w:tcPr>
                                <w:p w:rsidR="00E675F0" w:rsidRDefault="00E675F0">
                                  <w:pPr>
                                    <w:pStyle w:val="TableParagraph"/>
                                    <w:spacing w:before="117"/>
                                    <w:ind w:right="277"/>
                                    <w:jc w:val="right"/>
                                    <w:rPr>
                                      <w:sz w:val="16"/>
                                    </w:rPr>
                                  </w:pPr>
                                  <w:r>
                                    <w:rPr>
                                      <w:sz w:val="16"/>
                                    </w:rPr>
                                    <w:t>1/W</w:t>
                                  </w:r>
                                </w:p>
                              </w:tc>
                              <w:tc>
                                <w:tcPr>
                                  <w:tcW w:w="1760" w:type="dxa"/>
                                  <w:tcBorders>
                                    <w:right w:val="single" w:sz="4" w:space="0" w:color="000000"/>
                                  </w:tcBorders>
                                </w:tcPr>
                                <w:p w:rsidR="00E675F0" w:rsidRDefault="00E675F0">
                                  <w:pPr>
                                    <w:pStyle w:val="TableParagraph"/>
                                    <w:spacing w:before="117"/>
                                    <w:ind w:right="569"/>
                                    <w:jc w:val="right"/>
                                    <w:rPr>
                                      <w:sz w:val="16"/>
                                    </w:rPr>
                                  </w:pPr>
                                  <w:r>
                                    <w:rPr>
                                      <w:w w:val="105"/>
                                      <w:sz w:val="16"/>
                                    </w:rPr>
                                    <w:t>I/W</w:t>
                                  </w:r>
                                </w:p>
                              </w:tc>
                            </w:tr>
                            <w:tr w:rsidR="00E675F0">
                              <w:trPr>
                                <w:trHeight w:val="420"/>
                              </w:trPr>
                              <w:tc>
                                <w:tcPr>
                                  <w:tcW w:w="1615" w:type="dxa"/>
                                </w:tcPr>
                                <w:p w:rsidR="00E675F0" w:rsidRDefault="00E675F0">
                                  <w:pPr>
                                    <w:pStyle w:val="TableParagraph"/>
                                    <w:spacing w:before="116"/>
                                    <w:ind w:left="10"/>
                                    <w:rPr>
                                      <w:sz w:val="16"/>
                                    </w:rPr>
                                  </w:pPr>
                                  <w:r>
                                    <w:rPr>
                                      <w:w w:val="105"/>
                                      <w:sz w:val="16"/>
                                    </w:rPr>
                                    <w:t>Inhalants</w:t>
                                  </w:r>
                                </w:p>
                              </w:tc>
                              <w:tc>
                                <w:tcPr>
                                  <w:tcW w:w="641" w:type="dxa"/>
                                </w:tcPr>
                                <w:p w:rsidR="00E675F0" w:rsidRDefault="00E675F0">
                                  <w:pPr>
                                    <w:pStyle w:val="TableParagraph"/>
                                    <w:spacing w:before="134"/>
                                    <w:ind w:left="182"/>
                                    <w:rPr>
                                      <w:rFonts w:ascii="Arial"/>
                                      <w:sz w:val="14"/>
                                    </w:rPr>
                                  </w:pPr>
                                  <w:r>
                                    <w:rPr>
                                      <w:rFonts w:ascii="Arial"/>
                                      <w:w w:val="107"/>
                                      <w:sz w:val="14"/>
                                    </w:rPr>
                                    <w:t>X</w:t>
                                  </w:r>
                                </w:p>
                              </w:tc>
                              <w:tc>
                                <w:tcPr>
                                  <w:tcW w:w="761" w:type="dxa"/>
                                </w:tcPr>
                                <w:p w:rsidR="00E675F0" w:rsidRDefault="00E675F0">
                                  <w:pPr>
                                    <w:pStyle w:val="TableParagraph"/>
                                    <w:spacing w:before="134"/>
                                    <w:ind w:left="7"/>
                                    <w:jc w:val="center"/>
                                    <w:rPr>
                                      <w:rFonts w:ascii="Arial"/>
                                      <w:sz w:val="14"/>
                                    </w:rPr>
                                  </w:pPr>
                                  <w:r>
                                    <w:rPr>
                                      <w:rFonts w:ascii="Arial"/>
                                      <w:w w:val="107"/>
                                      <w:sz w:val="14"/>
                                    </w:rPr>
                                    <w:t>X</w:t>
                                  </w:r>
                                </w:p>
                              </w:tc>
                              <w:tc>
                                <w:tcPr>
                                  <w:tcW w:w="789" w:type="dxa"/>
                                </w:tcPr>
                                <w:p w:rsidR="00E675F0" w:rsidRDefault="00E675F0">
                                  <w:pPr>
                                    <w:pStyle w:val="TableParagraph"/>
                                    <w:spacing w:before="134"/>
                                    <w:ind w:left="356"/>
                                    <w:rPr>
                                      <w:rFonts w:ascii="Arial"/>
                                      <w:sz w:val="14"/>
                                    </w:rPr>
                                  </w:pPr>
                                  <w:r>
                                    <w:rPr>
                                      <w:rFonts w:ascii="Arial"/>
                                      <w:w w:val="107"/>
                                      <w:sz w:val="14"/>
                                    </w:rPr>
                                    <w:t>X</w:t>
                                  </w:r>
                                </w:p>
                              </w:tc>
                              <w:tc>
                                <w:tcPr>
                                  <w:tcW w:w="806" w:type="dxa"/>
                                </w:tcPr>
                                <w:p w:rsidR="00E675F0" w:rsidRDefault="00E675F0">
                                  <w:pPr>
                                    <w:pStyle w:val="TableParagraph"/>
                                    <w:rPr>
                                      <w:sz w:val="16"/>
                                    </w:rPr>
                                  </w:pPr>
                                </w:p>
                              </w:tc>
                              <w:tc>
                                <w:tcPr>
                                  <w:tcW w:w="1806" w:type="dxa"/>
                                  <w:gridSpan w:val="2"/>
                                </w:tcPr>
                                <w:p w:rsidR="00E675F0" w:rsidRDefault="00E675F0">
                                  <w:pPr>
                                    <w:pStyle w:val="TableParagraph"/>
                                    <w:rPr>
                                      <w:sz w:val="16"/>
                                    </w:rPr>
                                  </w:pPr>
                                </w:p>
                              </w:tc>
                              <w:tc>
                                <w:tcPr>
                                  <w:tcW w:w="922" w:type="dxa"/>
                                </w:tcPr>
                                <w:p w:rsidR="00E675F0" w:rsidRDefault="00E675F0">
                                  <w:pPr>
                                    <w:pStyle w:val="TableParagraph"/>
                                    <w:spacing w:before="119"/>
                                    <w:ind w:right="25"/>
                                    <w:jc w:val="center"/>
                                    <w:rPr>
                                      <w:rFonts w:ascii="Arial"/>
                                      <w:sz w:val="13"/>
                                    </w:rPr>
                                  </w:pPr>
                                  <w:r>
                                    <w:rPr>
                                      <w:rFonts w:ascii="Arial"/>
                                      <w:w w:val="107"/>
                                      <w:sz w:val="13"/>
                                    </w:rPr>
                                    <w:t>p</w:t>
                                  </w:r>
                                </w:p>
                              </w:tc>
                              <w:tc>
                                <w:tcPr>
                                  <w:tcW w:w="872" w:type="dxa"/>
                                </w:tcPr>
                                <w:p w:rsidR="00E675F0" w:rsidRDefault="00E675F0">
                                  <w:pPr>
                                    <w:pStyle w:val="TableParagraph"/>
                                    <w:rPr>
                                      <w:sz w:val="16"/>
                                    </w:rPr>
                                  </w:pPr>
                                </w:p>
                              </w:tc>
                              <w:tc>
                                <w:tcPr>
                                  <w:tcW w:w="836" w:type="dxa"/>
                                </w:tcPr>
                                <w:p w:rsidR="00E675F0" w:rsidRDefault="00E675F0">
                                  <w:pPr>
                                    <w:pStyle w:val="TableParagraph"/>
                                    <w:rPr>
                                      <w:sz w:val="16"/>
                                    </w:rPr>
                                  </w:pPr>
                                </w:p>
                              </w:tc>
                              <w:tc>
                                <w:tcPr>
                                  <w:tcW w:w="791" w:type="dxa"/>
                                </w:tcPr>
                                <w:p w:rsidR="00E675F0" w:rsidRDefault="00E675F0">
                                  <w:pPr>
                                    <w:pStyle w:val="TableParagraph"/>
                                    <w:rPr>
                                      <w:sz w:val="16"/>
                                    </w:rPr>
                                  </w:pPr>
                                </w:p>
                              </w:tc>
                              <w:tc>
                                <w:tcPr>
                                  <w:tcW w:w="815" w:type="dxa"/>
                                </w:tcPr>
                                <w:p w:rsidR="00E675F0" w:rsidRDefault="00E675F0">
                                  <w:pPr>
                                    <w:pStyle w:val="TableParagraph"/>
                                    <w:rPr>
                                      <w:sz w:val="16"/>
                                    </w:rPr>
                                  </w:pPr>
                                </w:p>
                              </w:tc>
                              <w:tc>
                                <w:tcPr>
                                  <w:tcW w:w="1760" w:type="dxa"/>
                                  <w:tcBorders>
                                    <w:right w:val="single" w:sz="4" w:space="0" w:color="000000"/>
                                  </w:tcBorders>
                                </w:tcPr>
                                <w:p w:rsidR="00E675F0" w:rsidRDefault="00E675F0">
                                  <w:pPr>
                                    <w:pStyle w:val="TableParagraph"/>
                                    <w:rPr>
                                      <w:sz w:val="16"/>
                                    </w:rPr>
                                  </w:pPr>
                                </w:p>
                              </w:tc>
                            </w:tr>
                            <w:tr w:rsidR="00E675F0">
                              <w:trPr>
                                <w:trHeight w:val="420"/>
                              </w:trPr>
                              <w:tc>
                                <w:tcPr>
                                  <w:tcW w:w="1615" w:type="dxa"/>
                                </w:tcPr>
                                <w:p w:rsidR="00E675F0" w:rsidRDefault="00E675F0">
                                  <w:pPr>
                                    <w:pStyle w:val="TableParagraph"/>
                                    <w:spacing w:before="114"/>
                                    <w:ind w:left="16"/>
                                    <w:rPr>
                                      <w:sz w:val="16"/>
                                    </w:rPr>
                                  </w:pPr>
                                  <w:r>
                                    <w:rPr>
                                      <w:w w:val="105"/>
                                      <w:sz w:val="16"/>
                                    </w:rPr>
                                    <w:t>Nicotine</w:t>
                                  </w:r>
                                </w:p>
                              </w:tc>
                              <w:tc>
                                <w:tcPr>
                                  <w:tcW w:w="641" w:type="dxa"/>
                                </w:tcPr>
                                <w:p w:rsidR="00E675F0" w:rsidRDefault="00E675F0">
                                  <w:pPr>
                                    <w:pStyle w:val="TableParagraph"/>
                                    <w:spacing w:before="137"/>
                                    <w:ind w:left="182"/>
                                    <w:rPr>
                                      <w:rFonts w:ascii="Arial"/>
                                      <w:sz w:val="14"/>
                                    </w:rPr>
                                  </w:pPr>
                                  <w:r>
                                    <w:rPr>
                                      <w:rFonts w:ascii="Arial"/>
                                      <w:w w:val="104"/>
                                      <w:sz w:val="14"/>
                                    </w:rPr>
                                    <w:t>X</w:t>
                                  </w:r>
                                </w:p>
                              </w:tc>
                              <w:tc>
                                <w:tcPr>
                                  <w:tcW w:w="761" w:type="dxa"/>
                                </w:tcPr>
                                <w:p w:rsidR="00E675F0" w:rsidRDefault="00E675F0">
                                  <w:pPr>
                                    <w:pStyle w:val="TableParagraph"/>
                                    <w:rPr>
                                      <w:sz w:val="16"/>
                                    </w:rPr>
                                  </w:pPr>
                                </w:p>
                              </w:tc>
                              <w:tc>
                                <w:tcPr>
                                  <w:tcW w:w="789" w:type="dxa"/>
                                </w:tcPr>
                                <w:p w:rsidR="00E675F0" w:rsidRDefault="00E675F0">
                                  <w:pPr>
                                    <w:pStyle w:val="TableParagraph"/>
                                    <w:rPr>
                                      <w:sz w:val="16"/>
                                    </w:rPr>
                                  </w:pPr>
                                </w:p>
                              </w:tc>
                              <w:tc>
                                <w:tcPr>
                                  <w:tcW w:w="806" w:type="dxa"/>
                                </w:tcPr>
                                <w:p w:rsidR="00E675F0" w:rsidRDefault="00E675F0">
                                  <w:pPr>
                                    <w:pStyle w:val="TableParagraph"/>
                                    <w:spacing w:before="132"/>
                                    <w:ind w:left="341"/>
                                    <w:rPr>
                                      <w:rFonts w:ascii="Arial"/>
                                      <w:sz w:val="14"/>
                                    </w:rPr>
                                  </w:pPr>
                                  <w:r>
                                    <w:rPr>
                                      <w:rFonts w:ascii="Arial"/>
                                      <w:w w:val="104"/>
                                      <w:sz w:val="14"/>
                                    </w:rPr>
                                    <w:t>X</w:t>
                                  </w:r>
                                </w:p>
                              </w:tc>
                              <w:tc>
                                <w:tcPr>
                                  <w:tcW w:w="1806" w:type="dxa"/>
                                  <w:gridSpan w:val="2"/>
                                </w:tcPr>
                                <w:p w:rsidR="00E675F0" w:rsidRDefault="00E675F0">
                                  <w:pPr>
                                    <w:pStyle w:val="TableParagraph"/>
                                    <w:rPr>
                                      <w:sz w:val="16"/>
                                    </w:rPr>
                                  </w:pPr>
                                </w:p>
                              </w:tc>
                              <w:tc>
                                <w:tcPr>
                                  <w:tcW w:w="922" w:type="dxa"/>
                                </w:tcPr>
                                <w:p w:rsidR="00E675F0" w:rsidRDefault="00E675F0">
                                  <w:pPr>
                                    <w:pStyle w:val="TableParagraph"/>
                                    <w:rPr>
                                      <w:sz w:val="16"/>
                                    </w:rPr>
                                  </w:pPr>
                                </w:p>
                              </w:tc>
                              <w:tc>
                                <w:tcPr>
                                  <w:tcW w:w="872" w:type="dxa"/>
                                </w:tcPr>
                                <w:p w:rsidR="00E675F0" w:rsidRDefault="00E675F0">
                                  <w:pPr>
                                    <w:pStyle w:val="TableParagraph"/>
                                    <w:rPr>
                                      <w:sz w:val="16"/>
                                    </w:rPr>
                                  </w:pPr>
                                </w:p>
                              </w:tc>
                              <w:tc>
                                <w:tcPr>
                                  <w:tcW w:w="836" w:type="dxa"/>
                                </w:tcPr>
                                <w:p w:rsidR="00E675F0" w:rsidRDefault="00E675F0">
                                  <w:pPr>
                                    <w:pStyle w:val="TableParagraph"/>
                                    <w:rPr>
                                      <w:sz w:val="16"/>
                                    </w:rPr>
                                  </w:pPr>
                                </w:p>
                              </w:tc>
                              <w:tc>
                                <w:tcPr>
                                  <w:tcW w:w="791" w:type="dxa"/>
                                </w:tcPr>
                                <w:p w:rsidR="00E675F0" w:rsidRDefault="00E675F0">
                                  <w:pPr>
                                    <w:pStyle w:val="TableParagraph"/>
                                    <w:rPr>
                                      <w:sz w:val="16"/>
                                    </w:rPr>
                                  </w:pPr>
                                </w:p>
                              </w:tc>
                              <w:tc>
                                <w:tcPr>
                                  <w:tcW w:w="815" w:type="dxa"/>
                                </w:tcPr>
                                <w:p w:rsidR="00E675F0" w:rsidRDefault="00E675F0">
                                  <w:pPr>
                                    <w:pStyle w:val="TableParagraph"/>
                                    <w:rPr>
                                      <w:sz w:val="16"/>
                                    </w:rPr>
                                  </w:pPr>
                                </w:p>
                              </w:tc>
                              <w:tc>
                                <w:tcPr>
                                  <w:tcW w:w="1760" w:type="dxa"/>
                                  <w:tcBorders>
                                    <w:right w:val="single" w:sz="4" w:space="0" w:color="000000"/>
                                  </w:tcBorders>
                                </w:tcPr>
                                <w:p w:rsidR="00E675F0" w:rsidRDefault="00E675F0">
                                  <w:pPr>
                                    <w:pStyle w:val="TableParagraph"/>
                                    <w:rPr>
                                      <w:sz w:val="16"/>
                                    </w:rPr>
                                  </w:pPr>
                                </w:p>
                              </w:tc>
                            </w:tr>
                            <w:tr w:rsidR="00E675F0">
                              <w:trPr>
                                <w:trHeight w:val="420"/>
                              </w:trPr>
                              <w:tc>
                                <w:tcPr>
                                  <w:tcW w:w="1615" w:type="dxa"/>
                                </w:tcPr>
                                <w:p w:rsidR="00E675F0" w:rsidRDefault="00E675F0">
                                  <w:pPr>
                                    <w:pStyle w:val="TableParagraph"/>
                                    <w:spacing w:before="116"/>
                                    <w:ind w:left="13"/>
                                    <w:rPr>
                                      <w:sz w:val="16"/>
                                    </w:rPr>
                                  </w:pPr>
                                  <w:r>
                                    <w:rPr>
                                      <w:w w:val="110"/>
                                      <w:sz w:val="16"/>
                                    </w:rPr>
                                    <w:t>Opioids</w:t>
                                  </w:r>
                                </w:p>
                              </w:tc>
                              <w:tc>
                                <w:tcPr>
                                  <w:tcW w:w="641" w:type="dxa"/>
                                </w:tcPr>
                                <w:p w:rsidR="00E675F0" w:rsidRDefault="00E675F0">
                                  <w:pPr>
                                    <w:pStyle w:val="TableParagraph"/>
                                    <w:spacing w:before="125"/>
                                    <w:ind w:left="176"/>
                                    <w:rPr>
                                      <w:sz w:val="15"/>
                                    </w:rPr>
                                  </w:pPr>
                                  <w:r>
                                    <w:rPr>
                                      <w:w w:val="107"/>
                                      <w:sz w:val="15"/>
                                    </w:rPr>
                                    <w:t>X</w:t>
                                  </w:r>
                                </w:p>
                              </w:tc>
                              <w:tc>
                                <w:tcPr>
                                  <w:tcW w:w="761" w:type="dxa"/>
                                </w:tcPr>
                                <w:p w:rsidR="00E675F0" w:rsidRDefault="00E675F0">
                                  <w:pPr>
                                    <w:pStyle w:val="TableParagraph"/>
                                    <w:spacing w:before="121"/>
                                    <w:ind w:left="18"/>
                                    <w:jc w:val="center"/>
                                    <w:rPr>
                                      <w:sz w:val="15"/>
                                    </w:rPr>
                                  </w:pPr>
                                  <w:r>
                                    <w:rPr>
                                      <w:w w:val="103"/>
                                      <w:sz w:val="15"/>
                                    </w:rPr>
                                    <w:t>X</w:t>
                                  </w:r>
                                </w:p>
                              </w:tc>
                              <w:tc>
                                <w:tcPr>
                                  <w:tcW w:w="789" w:type="dxa"/>
                                </w:tcPr>
                                <w:p w:rsidR="00E675F0" w:rsidRDefault="00E675F0">
                                  <w:pPr>
                                    <w:pStyle w:val="TableParagraph"/>
                                    <w:spacing w:before="129"/>
                                    <w:ind w:left="356"/>
                                    <w:rPr>
                                      <w:rFonts w:ascii="Arial"/>
                                      <w:sz w:val="14"/>
                                    </w:rPr>
                                  </w:pPr>
                                  <w:r>
                                    <w:rPr>
                                      <w:rFonts w:ascii="Arial"/>
                                      <w:w w:val="103"/>
                                      <w:sz w:val="14"/>
                                    </w:rPr>
                                    <w:t>X</w:t>
                                  </w:r>
                                </w:p>
                              </w:tc>
                              <w:tc>
                                <w:tcPr>
                                  <w:tcW w:w="806" w:type="dxa"/>
                                </w:tcPr>
                                <w:p w:rsidR="00E675F0" w:rsidRDefault="00E675F0">
                                  <w:pPr>
                                    <w:pStyle w:val="TableParagraph"/>
                                    <w:spacing w:before="129"/>
                                    <w:ind w:left="351"/>
                                    <w:rPr>
                                      <w:rFonts w:ascii="Arial"/>
                                      <w:sz w:val="14"/>
                                    </w:rPr>
                                  </w:pPr>
                                  <w:r>
                                    <w:rPr>
                                      <w:rFonts w:ascii="Arial"/>
                                      <w:w w:val="103"/>
                                      <w:sz w:val="14"/>
                                    </w:rPr>
                                    <w:t>X</w:t>
                                  </w:r>
                                </w:p>
                              </w:tc>
                              <w:tc>
                                <w:tcPr>
                                  <w:tcW w:w="1806" w:type="dxa"/>
                                  <w:gridSpan w:val="2"/>
                                </w:tcPr>
                                <w:p w:rsidR="00E675F0" w:rsidRDefault="00E675F0">
                                  <w:pPr>
                                    <w:pStyle w:val="TableParagraph"/>
                                    <w:rPr>
                                      <w:sz w:val="16"/>
                                    </w:rPr>
                                  </w:pPr>
                                </w:p>
                              </w:tc>
                              <w:tc>
                                <w:tcPr>
                                  <w:tcW w:w="922" w:type="dxa"/>
                                </w:tcPr>
                                <w:p w:rsidR="00E675F0" w:rsidRDefault="00E675F0">
                                  <w:pPr>
                                    <w:pStyle w:val="TableParagraph"/>
                                    <w:rPr>
                                      <w:sz w:val="16"/>
                                    </w:rPr>
                                  </w:pPr>
                                </w:p>
                              </w:tc>
                              <w:tc>
                                <w:tcPr>
                                  <w:tcW w:w="872" w:type="dxa"/>
                                </w:tcPr>
                                <w:p w:rsidR="00E675F0" w:rsidRDefault="00E675F0">
                                  <w:pPr>
                                    <w:pStyle w:val="TableParagraph"/>
                                    <w:rPr>
                                      <w:sz w:val="16"/>
                                    </w:rPr>
                                  </w:pPr>
                                </w:p>
                              </w:tc>
                              <w:tc>
                                <w:tcPr>
                                  <w:tcW w:w="836" w:type="dxa"/>
                                </w:tcPr>
                                <w:p w:rsidR="00E675F0" w:rsidRDefault="00E675F0">
                                  <w:pPr>
                                    <w:pStyle w:val="TableParagraph"/>
                                    <w:rPr>
                                      <w:sz w:val="16"/>
                                    </w:rPr>
                                  </w:pPr>
                                </w:p>
                              </w:tc>
                              <w:tc>
                                <w:tcPr>
                                  <w:tcW w:w="791" w:type="dxa"/>
                                </w:tcPr>
                                <w:p w:rsidR="00E675F0" w:rsidRDefault="00E675F0">
                                  <w:pPr>
                                    <w:pStyle w:val="TableParagraph"/>
                                    <w:rPr>
                                      <w:sz w:val="16"/>
                                    </w:rPr>
                                  </w:pPr>
                                </w:p>
                              </w:tc>
                              <w:tc>
                                <w:tcPr>
                                  <w:tcW w:w="815" w:type="dxa"/>
                                </w:tcPr>
                                <w:p w:rsidR="00E675F0" w:rsidRDefault="00E675F0">
                                  <w:pPr>
                                    <w:pStyle w:val="TableParagraph"/>
                                    <w:rPr>
                                      <w:sz w:val="16"/>
                                    </w:rPr>
                                  </w:pPr>
                                </w:p>
                              </w:tc>
                              <w:tc>
                                <w:tcPr>
                                  <w:tcW w:w="1760" w:type="dxa"/>
                                  <w:tcBorders>
                                    <w:right w:val="single" w:sz="4" w:space="0" w:color="000000"/>
                                  </w:tcBorders>
                                </w:tcPr>
                                <w:p w:rsidR="00E675F0" w:rsidRDefault="00E675F0">
                                  <w:pPr>
                                    <w:pStyle w:val="TableParagraph"/>
                                    <w:spacing w:before="116"/>
                                    <w:ind w:right="581"/>
                                    <w:jc w:val="right"/>
                                    <w:rPr>
                                      <w:sz w:val="16"/>
                                    </w:rPr>
                                  </w:pPr>
                                  <w:r>
                                    <w:rPr>
                                      <w:sz w:val="16"/>
                                    </w:rPr>
                                    <w:t>1/W</w:t>
                                  </w:r>
                                </w:p>
                              </w:tc>
                            </w:tr>
                            <w:tr w:rsidR="00E675F0">
                              <w:trPr>
                                <w:trHeight w:val="403"/>
                              </w:trPr>
                              <w:tc>
                                <w:tcPr>
                                  <w:tcW w:w="1615" w:type="dxa"/>
                                </w:tcPr>
                                <w:p w:rsidR="00E675F0" w:rsidRDefault="00E675F0">
                                  <w:pPr>
                                    <w:pStyle w:val="TableParagraph"/>
                                    <w:spacing w:before="114"/>
                                    <w:ind w:left="16"/>
                                    <w:rPr>
                                      <w:sz w:val="16"/>
                                    </w:rPr>
                                  </w:pPr>
                                  <w:r>
                                    <w:rPr>
                                      <w:w w:val="105"/>
                                      <w:sz w:val="16"/>
                                    </w:rPr>
                                    <w:t>Phencyclidine</w:t>
                                  </w:r>
                                </w:p>
                              </w:tc>
                              <w:tc>
                                <w:tcPr>
                                  <w:tcW w:w="641" w:type="dxa"/>
                                </w:tcPr>
                                <w:p w:rsidR="00E675F0" w:rsidRDefault="00E675F0">
                                  <w:pPr>
                                    <w:pStyle w:val="TableParagraph"/>
                                    <w:spacing w:before="132"/>
                                    <w:ind w:left="182"/>
                                    <w:rPr>
                                      <w:rFonts w:ascii="Arial"/>
                                      <w:sz w:val="14"/>
                                    </w:rPr>
                                  </w:pPr>
                                  <w:r>
                                    <w:rPr>
                                      <w:rFonts w:ascii="Arial"/>
                                      <w:sz w:val="14"/>
                                    </w:rPr>
                                    <w:t>X</w:t>
                                  </w:r>
                                </w:p>
                              </w:tc>
                              <w:tc>
                                <w:tcPr>
                                  <w:tcW w:w="761" w:type="dxa"/>
                                </w:tcPr>
                                <w:p w:rsidR="00E675F0" w:rsidRDefault="00E675F0">
                                  <w:pPr>
                                    <w:pStyle w:val="TableParagraph"/>
                                    <w:spacing w:before="132"/>
                                    <w:jc w:val="center"/>
                                    <w:rPr>
                                      <w:rFonts w:ascii="Arial"/>
                                      <w:sz w:val="14"/>
                                    </w:rPr>
                                  </w:pPr>
                                  <w:r>
                                    <w:rPr>
                                      <w:rFonts w:ascii="Arial"/>
                                      <w:sz w:val="14"/>
                                    </w:rPr>
                                    <w:t>X</w:t>
                                  </w:r>
                                </w:p>
                              </w:tc>
                              <w:tc>
                                <w:tcPr>
                                  <w:tcW w:w="789" w:type="dxa"/>
                                </w:tcPr>
                                <w:p w:rsidR="00E675F0" w:rsidRDefault="00E675F0">
                                  <w:pPr>
                                    <w:pStyle w:val="TableParagraph"/>
                                    <w:spacing w:before="123"/>
                                    <w:ind w:left="356"/>
                                    <w:rPr>
                                      <w:sz w:val="15"/>
                                    </w:rPr>
                                  </w:pPr>
                                  <w:r>
                                    <w:rPr>
                                      <w:w w:val="103"/>
                                      <w:sz w:val="15"/>
                                    </w:rPr>
                                    <w:t>X</w:t>
                                  </w:r>
                                </w:p>
                              </w:tc>
                              <w:tc>
                                <w:tcPr>
                                  <w:tcW w:w="806" w:type="dxa"/>
                                </w:tcPr>
                                <w:p w:rsidR="00E675F0" w:rsidRDefault="00E675F0">
                                  <w:pPr>
                                    <w:pStyle w:val="TableParagraph"/>
                                    <w:rPr>
                                      <w:sz w:val="16"/>
                                    </w:rPr>
                                  </w:pPr>
                                </w:p>
                              </w:tc>
                              <w:tc>
                                <w:tcPr>
                                  <w:tcW w:w="1806" w:type="dxa"/>
                                  <w:gridSpan w:val="2"/>
                                </w:tcPr>
                                <w:p w:rsidR="00E675F0" w:rsidRDefault="00E675F0">
                                  <w:pPr>
                                    <w:pStyle w:val="TableParagraph"/>
                                    <w:rPr>
                                      <w:sz w:val="16"/>
                                    </w:rPr>
                                  </w:pPr>
                                </w:p>
                              </w:tc>
                              <w:tc>
                                <w:tcPr>
                                  <w:tcW w:w="922" w:type="dxa"/>
                                </w:tcPr>
                                <w:p w:rsidR="00E675F0" w:rsidRDefault="00E675F0">
                                  <w:pPr>
                                    <w:pStyle w:val="TableParagraph"/>
                                    <w:rPr>
                                      <w:sz w:val="16"/>
                                    </w:rPr>
                                  </w:pPr>
                                </w:p>
                              </w:tc>
                              <w:tc>
                                <w:tcPr>
                                  <w:tcW w:w="872" w:type="dxa"/>
                                </w:tcPr>
                                <w:p w:rsidR="00E675F0" w:rsidRDefault="00E675F0">
                                  <w:pPr>
                                    <w:pStyle w:val="TableParagraph"/>
                                    <w:rPr>
                                      <w:sz w:val="16"/>
                                    </w:rPr>
                                  </w:pPr>
                                </w:p>
                              </w:tc>
                              <w:tc>
                                <w:tcPr>
                                  <w:tcW w:w="836" w:type="dxa"/>
                                </w:tcPr>
                                <w:p w:rsidR="00E675F0" w:rsidRDefault="00E675F0">
                                  <w:pPr>
                                    <w:pStyle w:val="TableParagraph"/>
                                    <w:rPr>
                                      <w:sz w:val="16"/>
                                    </w:rPr>
                                  </w:pPr>
                                </w:p>
                              </w:tc>
                              <w:tc>
                                <w:tcPr>
                                  <w:tcW w:w="791" w:type="dxa"/>
                                </w:tcPr>
                                <w:p w:rsidR="00E675F0" w:rsidRDefault="00E675F0">
                                  <w:pPr>
                                    <w:pStyle w:val="TableParagraph"/>
                                    <w:rPr>
                                      <w:sz w:val="16"/>
                                    </w:rPr>
                                  </w:pPr>
                                </w:p>
                              </w:tc>
                              <w:tc>
                                <w:tcPr>
                                  <w:tcW w:w="815" w:type="dxa"/>
                                </w:tcPr>
                                <w:p w:rsidR="00E675F0" w:rsidRDefault="00E675F0">
                                  <w:pPr>
                                    <w:pStyle w:val="TableParagraph"/>
                                    <w:rPr>
                                      <w:sz w:val="16"/>
                                    </w:rPr>
                                  </w:pPr>
                                </w:p>
                              </w:tc>
                              <w:tc>
                                <w:tcPr>
                                  <w:tcW w:w="1760" w:type="dxa"/>
                                  <w:tcBorders>
                                    <w:right w:val="single" w:sz="4" w:space="0" w:color="000000"/>
                                  </w:tcBorders>
                                </w:tcPr>
                                <w:p w:rsidR="00E675F0" w:rsidRDefault="00E675F0">
                                  <w:pPr>
                                    <w:pStyle w:val="TableParagraph"/>
                                    <w:rPr>
                                      <w:sz w:val="16"/>
                                    </w:rPr>
                                  </w:pPr>
                                </w:p>
                              </w:tc>
                            </w:tr>
                            <w:tr w:rsidR="00E675F0">
                              <w:trPr>
                                <w:trHeight w:val="334"/>
                              </w:trPr>
                              <w:tc>
                                <w:tcPr>
                                  <w:tcW w:w="1615" w:type="dxa"/>
                                </w:tcPr>
                                <w:p w:rsidR="00E675F0" w:rsidRDefault="00E675F0">
                                  <w:pPr>
                                    <w:pStyle w:val="TableParagraph"/>
                                    <w:spacing w:before="134" w:line="181" w:lineRule="exact"/>
                                    <w:ind w:left="9"/>
                                    <w:rPr>
                                      <w:sz w:val="16"/>
                                    </w:rPr>
                                  </w:pPr>
                                  <w:r>
                                    <w:rPr>
                                      <w:w w:val="105"/>
                                      <w:sz w:val="16"/>
                                    </w:rPr>
                                    <w:t>Sedatives, hypnotics,</w:t>
                                  </w:r>
                                </w:p>
                              </w:tc>
                              <w:tc>
                                <w:tcPr>
                                  <w:tcW w:w="641" w:type="dxa"/>
                                </w:tcPr>
                                <w:p w:rsidR="00E675F0" w:rsidRDefault="00E675F0">
                                  <w:pPr>
                                    <w:pStyle w:val="TableParagraph"/>
                                    <w:spacing w:before="7"/>
                                    <w:rPr>
                                      <w:b/>
                                      <w:sz w:val="13"/>
                                    </w:rPr>
                                  </w:pPr>
                                </w:p>
                                <w:p w:rsidR="00E675F0" w:rsidRDefault="00E675F0">
                                  <w:pPr>
                                    <w:pStyle w:val="TableParagraph"/>
                                    <w:spacing w:line="158" w:lineRule="exact"/>
                                    <w:ind w:left="182"/>
                                    <w:rPr>
                                      <w:rFonts w:ascii="Arial"/>
                                      <w:sz w:val="14"/>
                                    </w:rPr>
                                  </w:pPr>
                                  <w:r>
                                    <w:rPr>
                                      <w:rFonts w:ascii="Arial"/>
                                      <w:w w:val="106"/>
                                      <w:sz w:val="14"/>
                                    </w:rPr>
                                    <w:t>X</w:t>
                                  </w:r>
                                </w:p>
                              </w:tc>
                              <w:tc>
                                <w:tcPr>
                                  <w:tcW w:w="761" w:type="dxa"/>
                                </w:tcPr>
                                <w:p w:rsidR="00E675F0" w:rsidRDefault="00E675F0">
                                  <w:pPr>
                                    <w:pStyle w:val="TableParagraph"/>
                                    <w:spacing w:before="7"/>
                                    <w:rPr>
                                      <w:b/>
                                      <w:sz w:val="13"/>
                                    </w:rPr>
                                  </w:pPr>
                                </w:p>
                                <w:p w:rsidR="00E675F0" w:rsidRDefault="00E675F0">
                                  <w:pPr>
                                    <w:pStyle w:val="TableParagraph"/>
                                    <w:spacing w:line="158" w:lineRule="exact"/>
                                    <w:ind w:left="16"/>
                                    <w:jc w:val="center"/>
                                    <w:rPr>
                                      <w:rFonts w:ascii="Arial"/>
                                      <w:sz w:val="14"/>
                                    </w:rPr>
                                  </w:pPr>
                                  <w:r>
                                    <w:rPr>
                                      <w:rFonts w:ascii="Arial"/>
                                      <w:w w:val="106"/>
                                      <w:sz w:val="14"/>
                                    </w:rPr>
                                    <w:t>X</w:t>
                                  </w:r>
                                </w:p>
                              </w:tc>
                              <w:tc>
                                <w:tcPr>
                                  <w:tcW w:w="789" w:type="dxa"/>
                                </w:tcPr>
                                <w:p w:rsidR="00E675F0" w:rsidRDefault="00E675F0">
                                  <w:pPr>
                                    <w:pStyle w:val="TableParagraph"/>
                                    <w:spacing w:before="2"/>
                                    <w:rPr>
                                      <w:b/>
                                      <w:sz w:val="13"/>
                                    </w:rPr>
                                  </w:pPr>
                                </w:p>
                                <w:p w:rsidR="00E675F0" w:rsidRDefault="00E675F0">
                                  <w:pPr>
                                    <w:pStyle w:val="TableParagraph"/>
                                    <w:spacing w:before="1"/>
                                    <w:ind w:left="356"/>
                                    <w:rPr>
                                      <w:rFonts w:ascii="Arial"/>
                                      <w:sz w:val="14"/>
                                    </w:rPr>
                                  </w:pPr>
                                  <w:r>
                                    <w:rPr>
                                      <w:rFonts w:ascii="Arial"/>
                                      <w:w w:val="106"/>
                                      <w:sz w:val="14"/>
                                    </w:rPr>
                                    <w:t>X</w:t>
                                  </w:r>
                                </w:p>
                              </w:tc>
                              <w:tc>
                                <w:tcPr>
                                  <w:tcW w:w="806" w:type="dxa"/>
                                </w:tcPr>
                                <w:p w:rsidR="00E675F0" w:rsidRDefault="00E675F0">
                                  <w:pPr>
                                    <w:pStyle w:val="TableParagraph"/>
                                    <w:spacing w:before="2"/>
                                    <w:rPr>
                                      <w:b/>
                                      <w:sz w:val="13"/>
                                    </w:rPr>
                                  </w:pPr>
                                </w:p>
                                <w:p w:rsidR="00E675F0" w:rsidRDefault="00E675F0">
                                  <w:pPr>
                                    <w:pStyle w:val="TableParagraph"/>
                                    <w:spacing w:before="1"/>
                                    <w:ind w:left="351"/>
                                    <w:rPr>
                                      <w:rFonts w:ascii="Arial"/>
                                      <w:sz w:val="14"/>
                                    </w:rPr>
                                  </w:pPr>
                                  <w:r>
                                    <w:rPr>
                                      <w:rFonts w:ascii="Arial"/>
                                      <w:w w:val="106"/>
                                      <w:sz w:val="14"/>
                                    </w:rPr>
                                    <w:t>X</w:t>
                                  </w:r>
                                </w:p>
                              </w:tc>
                              <w:tc>
                                <w:tcPr>
                                  <w:tcW w:w="1806" w:type="dxa"/>
                                  <w:gridSpan w:val="2"/>
                                </w:tcPr>
                                <w:p w:rsidR="00E675F0" w:rsidRDefault="00E675F0">
                                  <w:pPr>
                                    <w:pStyle w:val="TableParagraph"/>
                                    <w:spacing w:before="97" w:line="218" w:lineRule="exact"/>
                                    <w:ind w:right="364"/>
                                    <w:jc w:val="right"/>
                                    <w:rPr>
                                      <w:sz w:val="20"/>
                                    </w:rPr>
                                  </w:pPr>
                                  <w:r>
                                    <w:rPr>
                                      <w:w w:val="107"/>
                                      <w:sz w:val="20"/>
                                    </w:rPr>
                                    <w:t>w</w:t>
                                  </w:r>
                                </w:p>
                              </w:tc>
                              <w:tc>
                                <w:tcPr>
                                  <w:tcW w:w="922" w:type="dxa"/>
                                </w:tcPr>
                                <w:p w:rsidR="00E675F0" w:rsidRDefault="00E675F0">
                                  <w:pPr>
                                    <w:pStyle w:val="TableParagraph"/>
                                    <w:spacing w:before="11"/>
                                    <w:rPr>
                                      <w:b/>
                                      <w:sz w:val="11"/>
                                    </w:rPr>
                                  </w:pPr>
                                </w:p>
                                <w:p w:rsidR="00E675F0" w:rsidRDefault="00E675F0">
                                  <w:pPr>
                                    <w:pStyle w:val="TableParagraph"/>
                                    <w:ind w:right="15"/>
                                    <w:jc w:val="center"/>
                                    <w:rPr>
                                      <w:rFonts w:ascii="Arial"/>
                                      <w:sz w:val="13"/>
                                    </w:rPr>
                                  </w:pPr>
                                  <w:r>
                                    <w:rPr>
                                      <w:rFonts w:ascii="Arial"/>
                                      <w:w w:val="107"/>
                                      <w:sz w:val="13"/>
                                    </w:rPr>
                                    <w:t>p</w:t>
                                  </w:r>
                                </w:p>
                              </w:tc>
                              <w:tc>
                                <w:tcPr>
                                  <w:tcW w:w="872" w:type="dxa"/>
                                </w:tcPr>
                                <w:p w:rsidR="00E675F0" w:rsidRDefault="00E675F0">
                                  <w:pPr>
                                    <w:pStyle w:val="TableParagraph"/>
                                    <w:spacing w:before="11"/>
                                    <w:rPr>
                                      <w:b/>
                                      <w:sz w:val="11"/>
                                    </w:rPr>
                                  </w:pPr>
                                </w:p>
                                <w:p w:rsidR="00E675F0" w:rsidRDefault="00E675F0">
                                  <w:pPr>
                                    <w:pStyle w:val="TableParagraph"/>
                                    <w:ind w:left="34"/>
                                    <w:jc w:val="center"/>
                                    <w:rPr>
                                      <w:rFonts w:ascii="Arial"/>
                                      <w:sz w:val="13"/>
                                    </w:rPr>
                                  </w:pPr>
                                  <w:r>
                                    <w:rPr>
                                      <w:rFonts w:ascii="Arial"/>
                                      <w:w w:val="107"/>
                                      <w:sz w:val="13"/>
                                    </w:rPr>
                                    <w:t>p</w:t>
                                  </w:r>
                                </w:p>
                              </w:tc>
                              <w:tc>
                                <w:tcPr>
                                  <w:tcW w:w="836" w:type="dxa"/>
                                </w:tcPr>
                                <w:p w:rsidR="00E675F0" w:rsidRDefault="00E675F0">
                                  <w:pPr>
                                    <w:pStyle w:val="TableParagraph"/>
                                    <w:spacing w:before="134" w:line="181" w:lineRule="exact"/>
                                    <w:ind w:left="282" w:right="220"/>
                                    <w:jc w:val="center"/>
                                    <w:rPr>
                                      <w:sz w:val="16"/>
                                    </w:rPr>
                                  </w:pPr>
                                  <w:r>
                                    <w:rPr>
                                      <w:w w:val="105"/>
                                      <w:sz w:val="16"/>
                                    </w:rPr>
                                    <w:t>I/W</w:t>
                                  </w:r>
                                </w:p>
                              </w:tc>
                              <w:tc>
                                <w:tcPr>
                                  <w:tcW w:w="791" w:type="dxa"/>
                                </w:tcPr>
                                <w:p w:rsidR="00E675F0" w:rsidRDefault="00E675F0">
                                  <w:pPr>
                                    <w:pStyle w:val="TableParagraph"/>
                                    <w:spacing w:before="134" w:line="181" w:lineRule="exact"/>
                                    <w:ind w:left="230" w:right="230"/>
                                    <w:jc w:val="center"/>
                                    <w:rPr>
                                      <w:sz w:val="16"/>
                                    </w:rPr>
                                  </w:pPr>
                                  <w:r>
                                    <w:rPr>
                                      <w:w w:val="105"/>
                                      <w:sz w:val="16"/>
                                    </w:rPr>
                                    <w:t>1/W</w:t>
                                  </w:r>
                                </w:p>
                              </w:tc>
                              <w:tc>
                                <w:tcPr>
                                  <w:tcW w:w="815" w:type="dxa"/>
                                </w:tcPr>
                                <w:p w:rsidR="00E675F0" w:rsidRDefault="00E675F0">
                                  <w:pPr>
                                    <w:pStyle w:val="TableParagraph"/>
                                    <w:spacing w:before="97" w:line="218" w:lineRule="exact"/>
                                    <w:ind w:right="332"/>
                                    <w:jc w:val="right"/>
                                    <w:rPr>
                                      <w:sz w:val="20"/>
                                    </w:rPr>
                                  </w:pPr>
                                  <w:r>
                                    <w:rPr>
                                      <w:w w:val="107"/>
                                      <w:sz w:val="20"/>
                                    </w:rPr>
                                    <w:t>w</w:t>
                                  </w:r>
                                </w:p>
                              </w:tc>
                              <w:tc>
                                <w:tcPr>
                                  <w:tcW w:w="1760" w:type="dxa"/>
                                  <w:tcBorders>
                                    <w:right w:val="single" w:sz="4" w:space="0" w:color="000000"/>
                                  </w:tcBorders>
                                </w:tcPr>
                                <w:p w:rsidR="00E675F0" w:rsidRDefault="00E675F0">
                                  <w:pPr>
                                    <w:pStyle w:val="TableParagraph"/>
                                    <w:spacing w:before="139" w:line="176" w:lineRule="exact"/>
                                    <w:ind w:right="572"/>
                                    <w:jc w:val="right"/>
                                    <w:rPr>
                                      <w:sz w:val="16"/>
                                    </w:rPr>
                                  </w:pPr>
                                  <w:r>
                                    <w:rPr>
                                      <w:sz w:val="16"/>
                                    </w:rPr>
                                    <w:t>1/W</w:t>
                                  </w:r>
                                </w:p>
                              </w:tc>
                            </w:tr>
                            <w:tr w:rsidR="00E675F0">
                              <w:trPr>
                                <w:trHeight w:val="207"/>
                              </w:trPr>
                              <w:tc>
                                <w:tcPr>
                                  <w:tcW w:w="1615" w:type="dxa"/>
                                </w:tcPr>
                                <w:p w:rsidR="00E675F0" w:rsidRDefault="00E675F0">
                                  <w:pPr>
                                    <w:pStyle w:val="TableParagraph"/>
                                    <w:spacing w:before="1"/>
                                    <w:ind w:left="133"/>
                                    <w:rPr>
                                      <w:sz w:val="16"/>
                                    </w:rPr>
                                  </w:pPr>
                                  <w:r>
                                    <w:rPr>
                                      <w:w w:val="105"/>
                                      <w:sz w:val="16"/>
                                    </w:rPr>
                                    <w:t>or anxiolytics</w:t>
                                  </w:r>
                                </w:p>
                              </w:tc>
                              <w:tc>
                                <w:tcPr>
                                  <w:tcW w:w="641" w:type="dxa"/>
                                </w:tcPr>
                                <w:p w:rsidR="00E675F0" w:rsidRDefault="00E675F0">
                                  <w:pPr>
                                    <w:pStyle w:val="TableParagraph"/>
                                    <w:rPr>
                                      <w:sz w:val="14"/>
                                    </w:rPr>
                                  </w:pPr>
                                </w:p>
                              </w:tc>
                              <w:tc>
                                <w:tcPr>
                                  <w:tcW w:w="761" w:type="dxa"/>
                                </w:tcPr>
                                <w:p w:rsidR="00E675F0" w:rsidRDefault="00E675F0">
                                  <w:pPr>
                                    <w:pStyle w:val="TableParagraph"/>
                                    <w:rPr>
                                      <w:sz w:val="14"/>
                                    </w:rPr>
                                  </w:pPr>
                                </w:p>
                              </w:tc>
                              <w:tc>
                                <w:tcPr>
                                  <w:tcW w:w="789" w:type="dxa"/>
                                </w:tcPr>
                                <w:p w:rsidR="00E675F0" w:rsidRDefault="00E675F0">
                                  <w:pPr>
                                    <w:pStyle w:val="TableParagraph"/>
                                    <w:rPr>
                                      <w:sz w:val="14"/>
                                    </w:rPr>
                                  </w:pPr>
                                </w:p>
                              </w:tc>
                              <w:tc>
                                <w:tcPr>
                                  <w:tcW w:w="806" w:type="dxa"/>
                                </w:tcPr>
                                <w:p w:rsidR="00E675F0" w:rsidRDefault="00E675F0">
                                  <w:pPr>
                                    <w:pStyle w:val="TableParagraph"/>
                                    <w:rPr>
                                      <w:sz w:val="14"/>
                                    </w:rPr>
                                  </w:pPr>
                                </w:p>
                              </w:tc>
                              <w:tc>
                                <w:tcPr>
                                  <w:tcW w:w="1806" w:type="dxa"/>
                                  <w:gridSpan w:val="2"/>
                                </w:tcPr>
                                <w:p w:rsidR="00E675F0" w:rsidRDefault="00E675F0">
                                  <w:pPr>
                                    <w:pStyle w:val="TableParagraph"/>
                                    <w:rPr>
                                      <w:sz w:val="14"/>
                                    </w:rPr>
                                  </w:pPr>
                                </w:p>
                              </w:tc>
                              <w:tc>
                                <w:tcPr>
                                  <w:tcW w:w="922" w:type="dxa"/>
                                </w:tcPr>
                                <w:p w:rsidR="00E675F0" w:rsidRDefault="00E675F0">
                                  <w:pPr>
                                    <w:pStyle w:val="TableParagraph"/>
                                    <w:rPr>
                                      <w:sz w:val="14"/>
                                    </w:rPr>
                                  </w:pPr>
                                </w:p>
                              </w:tc>
                              <w:tc>
                                <w:tcPr>
                                  <w:tcW w:w="872" w:type="dxa"/>
                                </w:tcPr>
                                <w:p w:rsidR="00E675F0" w:rsidRDefault="00E675F0">
                                  <w:pPr>
                                    <w:pStyle w:val="TableParagraph"/>
                                    <w:rPr>
                                      <w:sz w:val="14"/>
                                    </w:rPr>
                                  </w:pPr>
                                </w:p>
                              </w:tc>
                              <w:tc>
                                <w:tcPr>
                                  <w:tcW w:w="836" w:type="dxa"/>
                                </w:tcPr>
                                <w:p w:rsidR="00E675F0" w:rsidRDefault="00E675F0">
                                  <w:pPr>
                                    <w:pStyle w:val="TableParagraph"/>
                                    <w:rPr>
                                      <w:sz w:val="14"/>
                                    </w:rPr>
                                  </w:pPr>
                                </w:p>
                              </w:tc>
                              <w:tc>
                                <w:tcPr>
                                  <w:tcW w:w="791" w:type="dxa"/>
                                </w:tcPr>
                                <w:p w:rsidR="00E675F0" w:rsidRDefault="00E675F0">
                                  <w:pPr>
                                    <w:pStyle w:val="TableParagraph"/>
                                    <w:rPr>
                                      <w:sz w:val="14"/>
                                    </w:rPr>
                                  </w:pPr>
                                </w:p>
                              </w:tc>
                              <w:tc>
                                <w:tcPr>
                                  <w:tcW w:w="815" w:type="dxa"/>
                                </w:tcPr>
                                <w:p w:rsidR="00E675F0" w:rsidRDefault="00E675F0">
                                  <w:pPr>
                                    <w:pStyle w:val="TableParagraph"/>
                                    <w:rPr>
                                      <w:sz w:val="14"/>
                                    </w:rPr>
                                  </w:pPr>
                                </w:p>
                              </w:tc>
                              <w:tc>
                                <w:tcPr>
                                  <w:tcW w:w="1760" w:type="dxa"/>
                                  <w:tcBorders>
                                    <w:right w:val="single" w:sz="4" w:space="0" w:color="000000"/>
                                  </w:tcBorders>
                                </w:tcPr>
                                <w:p w:rsidR="00E675F0" w:rsidRDefault="00E675F0">
                                  <w:pPr>
                                    <w:pStyle w:val="TableParagraph"/>
                                    <w:rPr>
                                      <w:sz w:val="14"/>
                                    </w:rPr>
                                  </w:pPr>
                                </w:p>
                              </w:tc>
                            </w:tr>
                            <w:tr w:rsidR="00E675F0">
                              <w:trPr>
                                <w:trHeight w:val="297"/>
                              </w:trPr>
                              <w:tc>
                                <w:tcPr>
                                  <w:tcW w:w="1615" w:type="dxa"/>
                                </w:tcPr>
                                <w:p w:rsidR="00E675F0" w:rsidRDefault="00E675F0">
                                  <w:pPr>
                                    <w:pStyle w:val="TableParagraph"/>
                                    <w:spacing w:before="15"/>
                                    <w:ind w:left="16"/>
                                    <w:rPr>
                                      <w:sz w:val="16"/>
                                    </w:rPr>
                                  </w:pPr>
                                  <w:r>
                                    <w:rPr>
                                      <w:w w:val="105"/>
                                      <w:sz w:val="16"/>
                                    </w:rPr>
                                    <w:t>Polysubstance</w:t>
                                  </w:r>
                                </w:p>
                              </w:tc>
                              <w:tc>
                                <w:tcPr>
                                  <w:tcW w:w="641" w:type="dxa"/>
                                </w:tcPr>
                                <w:p w:rsidR="00E675F0" w:rsidRDefault="00E675F0">
                                  <w:pPr>
                                    <w:pStyle w:val="TableParagraph"/>
                                    <w:spacing w:before="24"/>
                                    <w:ind w:left="181"/>
                                    <w:rPr>
                                      <w:sz w:val="15"/>
                                    </w:rPr>
                                  </w:pPr>
                                  <w:r>
                                    <w:rPr>
                                      <w:w w:val="98"/>
                                      <w:sz w:val="15"/>
                                    </w:rPr>
                                    <w:t>X</w:t>
                                  </w:r>
                                </w:p>
                              </w:tc>
                              <w:tc>
                                <w:tcPr>
                                  <w:tcW w:w="761" w:type="dxa"/>
                                </w:tcPr>
                                <w:p w:rsidR="00E675F0" w:rsidRDefault="00E675F0">
                                  <w:pPr>
                                    <w:pStyle w:val="TableParagraph"/>
                                    <w:rPr>
                                      <w:sz w:val="16"/>
                                    </w:rPr>
                                  </w:pPr>
                                </w:p>
                              </w:tc>
                              <w:tc>
                                <w:tcPr>
                                  <w:tcW w:w="789" w:type="dxa"/>
                                </w:tcPr>
                                <w:p w:rsidR="00E675F0" w:rsidRDefault="00E675F0">
                                  <w:pPr>
                                    <w:pStyle w:val="TableParagraph"/>
                                    <w:rPr>
                                      <w:sz w:val="16"/>
                                    </w:rPr>
                                  </w:pPr>
                                </w:p>
                              </w:tc>
                              <w:tc>
                                <w:tcPr>
                                  <w:tcW w:w="806" w:type="dxa"/>
                                </w:tcPr>
                                <w:p w:rsidR="00E675F0" w:rsidRDefault="00E675F0">
                                  <w:pPr>
                                    <w:pStyle w:val="TableParagraph"/>
                                    <w:rPr>
                                      <w:sz w:val="16"/>
                                    </w:rPr>
                                  </w:pPr>
                                </w:p>
                              </w:tc>
                              <w:tc>
                                <w:tcPr>
                                  <w:tcW w:w="1806" w:type="dxa"/>
                                  <w:gridSpan w:val="2"/>
                                </w:tcPr>
                                <w:p w:rsidR="00E675F0" w:rsidRDefault="00E675F0">
                                  <w:pPr>
                                    <w:pStyle w:val="TableParagraph"/>
                                    <w:rPr>
                                      <w:sz w:val="16"/>
                                    </w:rPr>
                                  </w:pPr>
                                </w:p>
                              </w:tc>
                              <w:tc>
                                <w:tcPr>
                                  <w:tcW w:w="922" w:type="dxa"/>
                                </w:tcPr>
                                <w:p w:rsidR="00E675F0" w:rsidRDefault="00E675F0">
                                  <w:pPr>
                                    <w:pStyle w:val="TableParagraph"/>
                                    <w:rPr>
                                      <w:sz w:val="16"/>
                                    </w:rPr>
                                  </w:pPr>
                                </w:p>
                              </w:tc>
                              <w:tc>
                                <w:tcPr>
                                  <w:tcW w:w="872" w:type="dxa"/>
                                </w:tcPr>
                                <w:p w:rsidR="00E675F0" w:rsidRDefault="00E675F0">
                                  <w:pPr>
                                    <w:pStyle w:val="TableParagraph"/>
                                    <w:rPr>
                                      <w:sz w:val="16"/>
                                    </w:rPr>
                                  </w:pPr>
                                </w:p>
                              </w:tc>
                              <w:tc>
                                <w:tcPr>
                                  <w:tcW w:w="836" w:type="dxa"/>
                                </w:tcPr>
                                <w:p w:rsidR="00E675F0" w:rsidRDefault="00E675F0">
                                  <w:pPr>
                                    <w:pStyle w:val="TableParagraph"/>
                                    <w:rPr>
                                      <w:sz w:val="16"/>
                                    </w:rPr>
                                  </w:pPr>
                                </w:p>
                              </w:tc>
                              <w:tc>
                                <w:tcPr>
                                  <w:tcW w:w="791" w:type="dxa"/>
                                </w:tcPr>
                                <w:p w:rsidR="00E675F0" w:rsidRDefault="00E675F0">
                                  <w:pPr>
                                    <w:pStyle w:val="TableParagraph"/>
                                    <w:rPr>
                                      <w:sz w:val="16"/>
                                    </w:rPr>
                                  </w:pPr>
                                </w:p>
                              </w:tc>
                              <w:tc>
                                <w:tcPr>
                                  <w:tcW w:w="815" w:type="dxa"/>
                                </w:tcPr>
                                <w:p w:rsidR="00E675F0" w:rsidRDefault="00E675F0">
                                  <w:pPr>
                                    <w:pStyle w:val="TableParagraph"/>
                                    <w:rPr>
                                      <w:sz w:val="16"/>
                                    </w:rPr>
                                  </w:pPr>
                                </w:p>
                              </w:tc>
                              <w:tc>
                                <w:tcPr>
                                  <w:tcW w:w="1760" w:type="dxa"/>
                                  <w:tcBorders>
                                    <w:right w:val="single" w:sz="4" w:space="0" w:color="000000"/>
                                  </w:tcBorders>
                                </w:tcPr>
                                <w:p w:rsidR="00E675F0" w:rsidRDefault="00E675F0">
                                  <w:pPr>
                                    <w:pStyle w:val="TableParagraph"/>
                                    <w:rPr>
                                      <w:sz w:val="16"/>
                                    </w:rPr>
                                  </w:pPr>
                                </w:p>
                              </w:tc>
                            </w:tr>
                            <w:tr w:rsidR="00E675F0">
                              <w:trPr>
                                <w:trHeight w:val="473"/>
                              </w:trPr>
                              <w:tc>
                                <w:tcPr>
                                  <w:tcW w:w="1615" w:type="dxa"/>
                                  <w:tcBorders>
                                    <w:bottom w:val="single" w:sz="4" w:space="0" w:color="000000"/>
                                  </w:tcBorders>
                                </w:tcPr>
                                <w:p w:rsidR="00E675F0" w:rsidRDefault="00E675F0">
                                  <w:pPr>
                                    <w:pStyle w:val="TableParagraph"/>
                                    <w:spacing w:before="136"/>
                                    <w:ind w:left="13"/>
                                    <w:rPr>
                                      <w:sz w:val="16"/>
                                    </w:rPr>
                                  </w:pPr>
                                  <w:r>
                                    <w:rPr>
                                      <w:w w:val="110"/>
                                      <w:sz w:val="16"/>
                                    </w:rPr>
                                    <w:t>Other</w:t>
                                  </w:r>
                                </w:p>
                              </w:tc>
                              <w:tc>
                                <w:tcPr>
                                  <w:tcW w:w="641" w:type="dxa"/>
                                  <w:tcBorders>
                                    <w:bottom w:val="single" w:sz="4" w:space="0" w:color="000000"/>
                                  </w:tcBorders>
                                </w:tcPr>
                                <w:p w:rsidR="00E675F0" w:rsidRDefault="00E675F0">
                                  <w:pPr>
                                    <w:pStyle w:val="TableParagraph"/>
                                    <w:spacing w:before="136"/>
                                    <w:ind w:left="181"/>
                                    <w:rPr>
                                      <w:sz w:val="16"/>
                                    </w:rPr>
                                  </w:pPr>
                                  <w:r>
                                    <w:rPr>
                                      <w:w w:val="96"/>
                                      <w:sz w:val="16"/>
                                    </w:rPr>
                                    <w:t>X</w:t>
                                  </w:r>
                                </w:p>
                              </w:tc>
                              <w:tc>
                                <w:tcPr>
                                  <w:tcW w:w="761" w:type="dxa"/>
                                  <w:tcBorders>
                                    <w:bottom w:val="single" w:sz="4" w:space="0" w:color="000000"/>
                                  </w:tcBorders>
                                </w:tcPr>
                                <w:p w:rsidR="00E675F0" w:rsidRDefault="00E675F0">
                                  <w:pPr>
                                    <w:pStyle w:val="TableParagraph"/>
                                    <w:spacing w:before="8"/>
                                    <w:rPr>
                                      <w:b/>
                                      <w:sz w:val="12"/>
                                    </w:rPr>
                                  </w:pPr>
                                </w:p>
                                <w:p w:rsidR="00E675F0" w:rsidRDefault="00E675F0">
                                  <w:pPr>
                                    <w:pStyle w:val="TableParagraph"/>
                                    <w:ind w:left="18"/>
                                    <w:jc w:val="center"/>
                                    <w:rPr>
                                      <w:sz w:val="15"/>
                                    </w:rPr>
                                  </w:pPr>
                                  <w:r>
                                    <w:rPr>
                                      <w:w w:val="103"/>
                                      <w:sz w:val="15"/>
                                    </w:rPr>
                                    <w:t>X</w:t>
                                  </w:r>
                                </w:p>
                              </w:tc>
                              <w:tc>
                                <w:tcPr>
                                  <w:tcW w:w="789" w:type="dxa"/>
                                  <w:tcBorders>
                                    <w:bottom w:val="single" w:sz="4" w:space="0" w:color="000000"/>
                                  </w:tcBorders>
                                </w:tcPr>
                                <w:p w:rsidR="00E675F0" w:rsidRDefault="00E675F0">
                                  <w:pPr>
                                    <w:pStyle w:val="TableParagraph"/>
                                    <w:spacing w:before="5"/>
                                    <w:rPr>
                                      <w:b/>
                                      <w:sz w:val="13"/>
                                    </w:rPr>
                                  </w:pPr>
                                </w:p>
                                <w:p w:rsidR="00E675F0" w:rsidRDefault="00E675F0">
                                  <w:pPr>
                                    <w:pStyle w:val="TableParagraph"/>
                                    <w:ind w:left="356"/>
                                    <w:rPr>
                                      <w:rFonts w:ascii="Arial"/>
                                      <w:sz w:val="14"/>
                                    </w:rPr>
                                  </w:pPr>
                                  <w:r>
                                    <w:rPr>
                                      <w:rFonts w:ascii="Arial"/>
                                      <w:w w:val="103"/>
                                      <w:sz w:val="14"/>
                                    </w:rPr>
                                    <w:t>X</w:t>
                                  </w:r>
                                </w:p>
                              </w:tc>
                              <w:tc>
                                <w:tcPr>
                                  <w:tcW w:w="806" w:type="dxa"/>
                                  <w:tcBorders>
                                    <w:bottom w:val="single" w:sz="4" w:space="0" w:color="000000"/>
                                  </w:tcBorders>
                                </w:tcPr>
                                <w:p w:rsidR="00E675F0" w:rsidRDefault="00E675F0">
                                  <w:pPr>
                                    <w:pStyle w:val="TableParagraph"/>
                                    <w:rPr>
                                      <w:b/>
                                      <w:sz w:val="13"/>
                                    </w:rPr>
                                  </w:pPr>
                                </w:p>
                                <w:p w:rsidR="00E675F0" w:rsidRDefault="00E675F0">
                                  <w:pPr>
                                    <w:pStyle w:val="TableParagraph"/>
                                    <w:ind w:left="351"/>
                                    <w:rPr>
                                      <w:rFonts w:ascii="Arial"/>
                                      <w:sz w:val="14"/>
                                    </w:rPr>
                                  </w:pPr>
                                  <w:r>
                                    <w:rPr>
                                      <w:rFonts w:ascii="Arial"/>
                                      <w:w w:val="103"/>
                                      <w:sz w:val="14"/>
                                    </w:rPr>
                                    <w:t>X</w:t>
                                  </w:r>
                                </w:p>
                              </w:tc>
                              <w:tc>
                                <w:tcPr>
                                  <w:tcW w:w="1806" w:type="dxa"/>
                                  <w:gridSpan w:val="2"/>
                                  <w:tcBorders>
                                    <w:bottom w:val="single" w:sz="4" w:space="0" w:color="000000"/>
                                  </w:tcBorders>
                                </w:tcPr>
                                <w:p w:rsidR="00E675F0" w:rsidRDefault="00E675F0">
                                  <w:pPr>
                                    <w:pStyle w:val="TableParagraph"/>
                                    <w:spacing w:before="89"/>
                                    <w:ind w:right="364"/>
                                    <w:jc w:val="right"/>
                                    <w:rPr>
                                      <w:sz w:val="20"/>
                                    </w:rPr>
                                  </w:pPr>
                                  <w:r>
                                    <w:rPr>
                                      <w:w w:val="107"/>
                                      <w:sz w:val="20"/>
                                    </w:rPr>
                                    <w:t>w</w:t>
                                  </w:r>
                                </w:p>
                              </w:tc>
                              <w:tc>
                                <w:tcPr>
                                  <w:tcW w:w="922" w:type="dxa"/>
                                  <w:tcBorders>
                                    <w:bottom w:val="single" w:sz="4" w:space="0" w:color="000000"/>
                                  </w:tcBorders>
                                </w:tcPr>
                                <w:p w:rsidR="00E675F0" w:rsidRDefault="00E675F0">
                                  <w:pPr>
                                    <w:pStyle w:val="TableParagraph"/>
                                    <w:spacing w:before="8"/>
                                    <w:rPr>
                                      <w:b/>
                                      <w:sz w:val="11"/>
                                    </w:rPr>
                                  </w:pPr>
                                </w:p>
                                <w:p w:rsidR="00E675F0" w:rsidRDefault="00E675F0">
                                  <w:pPr>
                                    <w:pStyle w:val="TableParagraph"/>
                                    <w:ind w:right="15"/>
                                    <w:jc w:val="center"/>
                                    <w:rPr>
                                      <w:rFonts w:ascii="Arial"/>
                                      <w:sz w:val="13"/>
                                    </w:rPr>
                                  </w:pPr>
                                  <w:r>
                                    <w:rPr>
                                      <w:rFonts w:ascii="Arial"/>
                                      <w:w w:val="107"/>
                                      <w:sz w:val="13"/>
                                    </w:rPr>
                                    <w:t>p</w:t>
                                  </w:r>
                                </w:p>
                              </w:tc>
                              <w:tc>
                                <w:tcPr>
                                  <w:tcW w:w="872" w:type="dxa"/>
                                  <w:tcBorders>
                                    <w:bottom w:val="single" w:sz="4" w:space="0" w:color="000000"/>
                                  </w:tcBorders>
                                </w:tcPr>
                                <w:p w:rsidR="00E675F0" w:rsidRDefault="00E675F0">
                                  <w:pPr>
                                    <w:pStyle w:val="TableParagraph"/>
                                    <w:spacing w:before="8"/>
                                    <w:rPr>
                                      <w:b/>
                                      <w:sz w:val="11"/>
                                    </w:rPr>
                                  </w:pPr>
                                </w:p>
                                <w:p w:rsidR="00E675F0" w:rsidRDefault="00E675F0">
                                  <w:pPr>
                                    <w:pStyle w:val="TableParagraph"/>
                                    <w:ind w:left="34"/>
                                    <w:jc w:val="center"/>
                                    <w:rPr>
                                      <w:rFonts w:ascii="Arial"/>
                                      <w:sz w:val="13"/>
                                    </w:rPr>
                                  </w:pPr>
                                  <w:r>
                                    <w:rPr>
                                      <w:rFonts w:ascii="Arial"/>
                                      <w:w w:val="107"/>
                                      <w:sz w:val="13"/>
                                    </w:rPr>
                                    <w:t>p</w:t>
                                  </w:r>
                                </w:p>
                              </w:tc>
                              <w:tc>
                                <w:tcPr>
                                  <w:tcW w:w="836" w:type="dxa"/>
                                  <w:tcBorders>
                                    <w:bottom w:val="single" w:sz="4" w:space="0" w:color="000000"/>
                                  </w:tcBorders>
                                </w:tcPr>
                                <w:p w:rsidR="00E675F0" w:rsidRDefault="00E675F0">
                                  <w:pPr>
                                    <w:pStyle w:val="TableParagraph"/>
                                    <w:spacing w:before="136"/>
                                    <w:ind w:left="282" w:right="220"/>
                                    <w:jc w:val="center"/>
                                    <w:rPr>
                                      <w:sz w:val="16"/>
                                    </w:rPr>
                                  </w:pPr>
                                  <w:r>
                                    <w:rPr>
                                      <w:w w:val="105"/>
                                      <w:sz w:val="16"/>
                                    </w:rPr>
                                    <w:t>I/W</w:t>
                                  </w:r>
                                </w:p>
                              </w:tc>
                              <w:tc>
                                <w:tcPr>
                                  <w:tcW w:w="791" w:type="dxa"/>
                                  <w:tcBorders>
                                    <w:bottom w:val="single" w:sz="4" w:space="0" w:color="000000"/>
                                  </w:tcBorders>
                                </w:tcPr>
                                <w:p w:rsidR="00E675F0" w:rsidRDefault="00E675F0">
                                  <w:pPr>
                                    <w:pStyle w:val="TableParagraph"/>
                                    <w:spacing w:before="136"/>
                                    <w:ind w:left="230" w:right="230"/>
                                    <w:jc w:val="center"/>
                                    <w:rPr>
                                      <w:sz w:val="16"/>
                                    </w:rPr>
                                  </w:pPr>
                                  <w:r>
                                    <w:rPr>
                                      <w:w w:val="105"/>
                                      <w:sz w:val="16"/>
                                    </w:rPr>
                                    <w:t>1/W</w:t>
                                  </w:r>
                                </w:p>
                              </w:tc>
                              <w:tc>
                                <w:tcPr>
                                  <w:tcW w:w="815" w:type="dxa"/>
                                  <w:tcBorders>
                                    <w:bottom w:val="single" w:sz="4" w:space="0" w:color="000000"/>
                                  </w:tcBorders>
                                </w:tcPr>
                                <w:p w:rsidR="00E675F0" w:rsidRDefault="00E675F0">
                                  <w:pPr>
                                    <w:pStyle w:val="TableParagraph"/>
                                    <w:spacing w:before="132"/>
                                    <w:ind w:right="273"/>
                                    <w:jc w:val="right"/>
                                    <w:rPr>
                                      <w:sz w:val="16"/>
                                    </w:rPr>
                                  </w:pPr>
                                  <w:r>
                                    <w:rPr>
                                      <w:w w:val="105"/>
                                      <w:sz w:val="16"/>
                                    </w:rPr>
                                    <w:t>I/W</w:t>
                                  </w:r>
                                </w:p>
                              </w:tc>
                              <w:tc>
                                <w:tcPr>
                                  <w:tcW w:w="1760" w:type="dxa"/>
                                  <w:tcBorders>
                                    <w:bottom w:val="single" w:sz="4" w:space="0" w:color="000000"/>
                                    <w:right w:val="single" w:sz="4" w:space="0" w:color="000000"/>
                                  </w:tcBorders>
                                </w:tcPr>
                                <w:p w:rsidR="00E675F0" w:rsidRDefault="00E675F0">
                                  <w:pPr>
                                    <w:pStyle w:val="TableParagraph"/>
                                    <w:spacing w:before="141"/>
                                    <w:ind w:right="578"/>
                                    <w:jc w:val="right"/>
                                    <w:rPr>
                                      <w:sz w:val="16"/>
                                    </w:rPr>
                                  </w:pPr>
                                  <w:r>
                                    <w:rPr>
                                      <w:w w:val="105"/>
                                      <w:sz w:val="16"/>
                                    </w:rPr>
                                    <w:t>l/W</w:t>
                                  </w:r>
                                </w:p>
                              </w:tc>
                            </w:tr>
                            <w:tr w:rsidR="00E675F0">
                              <w:trPr>
                                <w:trHeight w:val="937"/>
                              </w:trPr>
                              <w:tc>
                                <w:tcPr>
                                  <w:tcW w:w="12414" w:type="dxa"/>
                                  <w:gridSpan w:val="13"/>
                                  <w:tcBorders>
                                    <w:top w:val="single" w:sz="4" w:space="0" w:color="000000"/>
                                    <w:right w:val="single" w:sz="4" w:space="0" w:color="000000"/>
                                  </w:tcBorders>
                                </w:tcPr>
                                <w:p w:rsidR="00E675F0" w:rsidRDefault="00E675F0">
                                  <w:pPr>
                                    <w:pStyle w:val="TableParagraph"/>
                                    <w:spacing w:before="120"/>
                                    <w:ind w:left="7"/>
                                    <w:rPr>
                                      <w:sz w:val="16"/>
                                    </w:rPr>
                                  </w:pPr>
                                  <w:r>
                                    <w:rPr>
                                      <w:w w:val="105"/>
                                      <w:sz w:val="16"/>
                                    </w:rPr>
                                    <w:t>*Also Hallucinogen Persisting Perception Disorder (Flashbacks).</w:t>
                                  </w:r>
                                </w:p>
                                <w:p w:rsidR="00E675F0" w:rsidRDefault="00E675F0">
                                  <w:pPr>
                                    <w:pStyle w:val="TableParagraph"/>
                                    <w:spacing w:before="1" w:line="202" w:lineRule="exact"/>
                                    <w:ind w:left="16" w:right="706"/>
                                    <w:rPr>
                                      <w:sz w:val="16"/>
                                    </w:rPr>
                                  </w:pPr>
                                  <w:r>
                                    <w:rPr>
                                      <w:b/>
                                      <w:w w:val="105"/>
                                      <w:sz w:val="16"/>
                                    </w:rPr>
                                    <w:t xml:space="preserve">Note: </w:t>
                                  </w:r>
                                  <w:r>
                                    <w:rPr>
                                      <w:w w:val="105"/>
                                      <w:sz w:val="16"/>
                                    </w:rPr>
                                    <w:t xml:space="preserve">X, I, W, I/W, or  P indicates that the category is recognized  in DSM-IV.  In addition, !indicates that the specifier With Onset During Intoxication  may be  noted for the category (except for Intoxication Delirium); Windicates that the specifier With Onset During Withdrawal may be noted for the category (except for Withdrawal Delirium); and </w:t>
                                  </w:r>
                                  <w:r>
                                    <w:rPr>
                                      <w:rFonts w:ascii="Arial"/>
                                      <w:i/>
                                      <w:w w:val="105"/>
                                      <w:sz w:val="16"/>
                                    </w:rPr>
                                    <w:t xml:space="preserve">YW </w:t>
                                  </w:r>
                                  <w:r>
                                    <w:rPr>
                                      <w:w w:val="105"/>
                                      <w:sz w:val="16"/>
                                    </w:rPr>
                                    <w:t xml:space="preserve">indicates that either With Onset During Intoxication or With Onset During Withdrawal may be noted for the catego1y. </w:t>
                                  </w:r>
                                  <w:r>
                                    <w:rPr>
                                      <w:i/>
                                      <w:w w:val="105"/>
                                      <w:sz w:val="15"/>
                                    </w:rPr>
                                    <w:t xml:space="preserve">P </w:t>
                                  </w:r>
                                  <w:r>
                                    <w:rPr>
                                      <w:w w:val="105"/>
                                      <w:sz w:val="16"/>
                                    </w:rPr>
                                    <w:t>indicates that the disorder</w:t>
                                  </w:r>
                                  <w:r>
                                    <w:rPr>
                                      <w:spacing w:val="13"/>
                                      <w:w w:val="105"/>
                                      <w:sz w:val="16"/>
                                    </w:rPr>
                                    <w:t xml:space="preserve"> </w:t>
                                  </w:r>
                                  <w:r>
                                    <w:rPr>
                                      <w:w w:val="105"/>
                                      <w:sz w:val="16"/>
                                    </w:rPr>
                                    <w:t>is</w:t>
                                  </w:r>
                                </w:p>
                              </w:tc>
                            </w:tr>
                          </w:tbl>
                          <w:p w:rsidR="00E675F0" w:rsidRDefault="00E675F0" w:rsidP="00E675F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0BEF9" id="Text Box 1371" o:spid="_x0000_s1104" type="#_x0000_t202" style="position:absolute;margin-left:51.9pt;margin-top:29.3pt;width:621.05pt;height:373.3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" filled="f" stroked="f">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615"/>
                        <w:gridCol w:w="641"/>
                        <w:gridCol w:w="761"/>
                        <w:gridCol w:w="789"/>
                        <w:gridCol w:w="806"/>
                        <w:gridCol w:w="936"/>
                        <w:gridCol w:w="870"/>
                        <w:gridCol w:w="922"/>
                        <w:gridCol w:w="872"/>
                        <w:gridCol w:w="836"/>
                        <w:gridCol w:w="791"/>
                        <w:gridCol w:w="815"/>
                        <w:gridCol w:w="1760"/>
                      </w:tblGrid>
                      <w:tr w:rsidR="00E675F0">
                        <w:trPr>
                          <w:trHeight w:val="245"/>
                        </w:trPr>
                        <w:tc>
                          <w:tcPr>
                            <w:tcW w:w="12414" w:type="dxa"/>
                            <w:gridSpan w:val="13"/>
                            <w:tcBorders>
                              <w:bottom w:val="single" w:sz="4" w:space="0" w:color="000000"/>
                              <w:right w:val="single" w:sz="4" w:space="0" w:color="000000"/>
                            </w:tcBorders>
                          </w:tcPr>
                          <w:p w:rsidR="00E675F0" w:rsidRDefault="00E675F0">
                            <w:pPr>
                              <w:pStyle w:val="TableParagraph"/>
                              <w:spacing w:line="155" w:lineRule="exact"/>
                              <w:ind w:left="-1"/>
                              <w:rPr>
                                <w:sz w:val="16"/>
                              </w:rPr>
                            </w:pPr>
                            <w:r>
                              <w:rPr>
                                <w:b/>
                                <w:w w:val="105"/>
                                <w:sz w:val="16"/>
                              </w:rPr>
                              <w:t xml:space="preserve">Table 1. </w:t>
                            </w:r>
                            <w:r>
                              <w:rPr>
                                <w:w w:val="105"/>
                                <w:sz w:val="16"/>
                              </w:rPr>
                              <w:t>Diagnoses associated with class of substances</w:t>
                            </w:r>
                          </w:p>
                        </w:tc>
                      </w:tr>
                      <w:tr w:rsidR="00E675F0">
                        <w:trPr>
                          <w:trHeight w:val="774"/>
                        </w:trPr>
                        <w:tc>
                          <w:tcPr>
                            <w:tcW w:w="2256" w:type="dxa"/>
                            <w:gridSpan w:val="2"/>
                            <w:tcBorders>
                              <w:top w:val="single" w:sz="4" w:space="0" w:color="000000"/>
                              <w:bottom w:val="single" w:sz="4" w:space="0" w:color="000000"/>
                            </w:tcBorders>
                          </w:tcPr>
                          <w:p w:rsidR="00E675F0" w:rsidRDefault="00E675F0">
                            <w:pPr>
                              <w:pStyle w:val="TableParagraph"/>
                              <w:spacing w:before="9"/>
                              <w:rPr>
                                <w:b/>
                                <w:sz w:val="23"/>
                              </w:rPr>
                            </w:pPr>
                          </w:p>
                          <w:p w:rsidR="00E675F0" w:rsidRDefault="00E675F0">
                            <w:pPr>
                              <w:pStyle w:val="TableParagraph"/>
                              <w:spacing w:line="268" w:lineRule="auto"/>
                              <w:ind w:left="1613" w:right="136" w:hanging="44"/>
                              <w:jc w:val="right"/>
                              <w:rPr>
                                <w:b/>
                                <w:sz w:val="16"/>
                              </w:rPr>
                            </w:pPr>
                            <w:r>
                              <w:rPr>
                                <w:b/>
                                <w:w w:val="110"/>
                                <w:sz w:val="16"/>
                              </w:rPr>
                              <w:t xml:space="preserve">Depen- </w:t>
                            </w:r>
                            <w:r>
                              <w:rPr>
                                <w:b/>
                                <w:w w:val="115"/>
                                <w:sz w:val="16"/>
                              </w:rPr>
                              <w:t>dence</w:t>
                            </w:r>
                          </w:p>
                        </w:tc>
                        <w:tc>
                          <w:tcPr>
                            <w:tcW w:w="761" w:type="dxa"/>
                            <w:tcBorders>
                              <w:top w:val="single" w:sz="4" w:space="0" w:color="000000"/>
                              <w:bottom w:val="single" w:sz="4" w:space="0" w:color="000000"/>
                            </w:tcBorders>
                          </w:tcPr>
                          <w:p w:rsidR="00E675F0" w:rsidRDefault="00E675F0">
                            <w:pPr>
                              <w:pStyle w:val="TableParagraph"/>
                              <w:rPr>
                                <w:b/>
                                <w:sz w:val="18"/>
                              </w:rPr>
                            </w:pPr>
                          </w:p>
                          <w:p w:rsidR="00E675F0" w:rsidRDefault="00E675F0">
                            <w:pPr>
                              <w:pStyle w:val="TableParagraph"/>
                              <w:spacing w:before="9"/>
                              <w:rPr>
                                <w:b/>
                                <w:sz w:val="23"/>
                              </w:rPr>
                            </w:pPr>
                          </w:p>
                          <w:p w:rsidR="00E675F0" w:rsidRDefault="00E675F0">
                            <w:pPr>
                              <w:pStyle w:val="TableParagraph"/>
                              <w:ind w:left="126" w:right="125"/>
                              <w:jc w:val="center"/>
                              <w:rPr>
                                <w:b/>
                                <w:sz w:val="16"/>
                              </w:rPr>
                            </w:pPr>
                            <w:r>
                              <w:rPr>
                                <w:b/>
                                <w:w w:val="110"/>
                                <w:sz w:val="16"/>
                              </w:rPr>
                              <w:t>Abuse</w:t>
                            </w:r>
                          </w:p>
                        </w:tc>
                        <w:tc>
                          <w:tcPr>
                            <w:tcW w:w="789" w:type="dxa"/>
                            <w:tcBorders>
                              <w:top w:val="single" w:sz="4" w:space="0" w:color="000000"/>
                              <w:bottom w:val="single" w:sz="4" w:space="0" w:color="000000"/>
                            </w:tcBorders>
                          </w:tcPr>
                          <w:p w:rsidR="00E675F0" w:rsidRDefault="00E675F0">
                            <w:pPr>
                              <w:pStyle w:val="TableParagraph"/>
                              <w:spacing w:before="9"/>
                              <w:rPr>
                                <w:b/>
                                <w:sz w:val="23"/>
                              </w:rPr>
                            </w:pPr>
                          </w:p>
                          <w:p w:rsidR="00E675F0" w:rsidRDefault="00E675F0">
                            <w:pPr>
                              <w:pStyle w:val="TableParagraph"/>
                              <w:spacing w:line="268" w:lineRule="auto"/>
                              <w:ind w:left="168" w:right="109" w:hanging="17"/>
                              <w:rPr>
                                <w:b/>
                                <w:sz w:val="16"/>
                              </w:rPr>
                            </w:pPr>
                            <w:r>
                              <w:rPr>
                                <w:b/>
                                <w:w w:val="110"/>
                                <w:sz w:val="16"/>
                              </w:rPr>
                              <w:t>Intoxi- cation</w:t>
                            </w:r>
                          </w:p>
                        </w:tc>
                        <w:tc>
                          <w:tcPr>
                            <w:tcW w:w="806" w:type="dxa"/>
                            <w:tcBorders>
                              <w:top w:val="single" w:sz="4" w:space="0" w:color="000000"/>
                              <w:bottom w:val="single" w:sz="4" w:space="0" w:color="000000"/>
                            </w:tcBorders>
                          </w:tcPr>
                          <w:p w:rsidR="00E675F0" w:rsidRDefault="00E675F0">
                            <w:pPr>
                              <w:pStyle w:val="TableParagraph"/>
                              <w:spacing w:before="9"/>
                              <w:rPr>
                                <w:b/>
                                <w:sz w:val="23"/>
                              </w:rPr>
                            </w:pPr>
                          </w:p>
                          <w:p w:rsidR="00E675F0" w:rsidRDefault="00E675F0">
                            <w:pPr>
                              <w:pStyle w:val="TableParagraph"/>
                              <w:spacing w:line="268" w:lineRule="auto"/>
                              <w:ind w:left="134" w:firstLine="52"/>
                              <w:rPr>
                                <w:b/>
                                <w:sz w:val="16"/>
                              </w:rPr>
                            </w:pPr>
                            <w:r>
                              <w:rPr>
                                <w:b/>
                                <w:w w:val="105"/>
                                <w:sz w:val="16"/>
                              </w:rPr>
                              <w:t>With- drawal</w:t>
                            </w:r>
                          </w:p>
                        </w:tc>
                        <w:tc>
                          <w:tcPr>
                            <w:tcW w:w="936" w:type="dxa"/>
                            <w:tcBorders>
                              <w:top w:val="single" w:sz="4" w:space="0" w:color="000000"/>
                              <w:bottom w:val="single" w:sz="4" w:space="0" w:color="000000"/>
                            </w:tcBorders>
                          </w:tcPr>
                          <w:p w:rsidR="00E675F0" w:rsidRDefault="00E675F0">
                            <w:pPr>
                              <w:pStyle w:val="TableParagraph"/>
                              <w:spacing w:before="76" w:line="264" w:lineRule="auto"/>
                              <w:ind w:left="154" w:right="86" w:hanging="5"/>
                              <w:jc w:val="center"/>
                              <w:rPr>
                                <w:b/>
                                <w:sz w:val="16"/>
                              </w:rPr>
                            </w:pPr>
                            <w:r>
                              <w:rPr>
                                <w:b/>
                                <w:w w:val="115"/>
                                <w:sz w:val="16"/>
                              </w:rPr>
                              <w:t xml:space="preserve">Intoxi- cation </w:t>
                            </w:r>
                            <w:r>
                              <w:rPr>
                                <w:b/>
                                <w:w w:val="110"/>
                                <w:sz w:val="16"/>
                              </w:rPr>
                              <w:t>Delirium</w:t>
                            </w:r>
                          </w:p>
                        </w:tc>
                        <w:tc>
                          <w:tcPr>
                            <w:tcW w:w="870" w:type="dxa"/>
                            <w:tcBorders>
                              <w:top w:val="single" w:sz="4" w:space="0" w:color="000000"/>
                              <w:bottom w:val="single" w:sz="4" w:space="0" w:color="000000"/>
                            </w:tcBorders>
                          </w:tcPr>
                          <w:p w:rsidR="00E675F0" w:rsidRDefault="00E675F0">
                            <w:pPr>
                              <w:pStyle w:val="TableParagraph"/>
                              <w:spacing w:before="76" w:line="264" w:lineRule="auto"/>
                              <w:ind w:left="93" w:right="87" w:hanging="40"/>
                              <w:jc w:val="center"/>
                              <w:rPr>
                                <w:b/>
                                <w:sz w:val="16"/>
                              </w:rPr>
                            </w:pPr>
                            <w:r>
                              <w:rPr>
                                <w:b/>
                                <w:w w:val="110"/>
                                <w:sz w:val="16"/>
                              </w:rPr>
                              <w:t>With- drawal Delirium</w:t>
                            </w:r>
                          </w:p>
                        </w:tc>
                        <w:tc>
                          <w:tcPr>
                            <w:tcW w:w="922" w:type="dxa"/>
                            <w:tcBorders>
                              <w:top w:val="single" w:sz="4" w:space="0" w:color="000000"/>
                              <w:bottom w:val="single" w:sz="4" w:space="0" w:color="000000"/>
                            </w:tcBorders>
                          </w:tcPr>
                          <w:p w:rsidR="00E675F0" w:rsidRDefault="00E675F0">
                            <w:pPr>
                              <w:pStyle w:val="TableParagraph"/>
                              <w:rPr>
                                <w:b/>
                                <w:sz w:val="18"/>
                              </w:rPr>
                            </w:pPr>
                          </w:p>
                          <w:p w:rsidR="00E675F0" w:rsidRDefault="00E675F0">
                            <w:pPr>
                              <w:pStyle w:val="TableParagraph"/>
                              <w:spacing w:before="9"/>
                              <w:rPr>
                                <w:b/>
                                <w:sz w:val="23"/>
                              </w:rPr>
                            </w:pPr>
                          </w:p>
                          <w:p w:rsidR="00E675F0" w:rsidRDefault="00E675F0">
                            <w:pPr>
                              <w:pStyle w:val="TableParagraph"/>
                              <w:ind w:left="79" w:right="78"/>
                              <w:jc w:val="center"/>
                              <w:rPr>
                                <w:b/>
                                <w:sz w:val="16"/>
                              </w:rPr>
                            </w:pPr>
                            <w:r>
                              <w:rPr>
                                <w:b/>
                                <w:w w:val="110"/>
                                <w:sz w:val="16"/>
                              </w:rPr>
                              <w:t>Dementia</w:t>
                            </w:r>
                          </w:p>
                        </w:tc>
                        <w:tc>
                          <w:tcPr>
                            <w:tcW w:w="872" w:type="dxa"/>
                            <w:tcBorders>
                              <w:top w:val="single" w:sz="4" w:space="0" w:color="000000"/>
                              <w:bottom w:val="single" w:sz="4" w:space="0" w:color="000000"/>
                            </w:tcBorders>
                          </w:tcPr>
                          <w:p w:rsidR="00E675F0" w:rsidRDefault="00E675F0">
                            <w:pPr>
                              <w:pStyle w:val="TableParagraph"/>
                              <w:spacing w:before="2"/>
                              <w:rPr>
                                <w:b/>
                                <w:sz w:val="24"/>
                              </w:rPr>
                            </w:pPr>
                          </w:p>
                          <w:p w:rsidR="00E675F0" w:rsidRDefault="00E675F0">
                            <w:pPr>
                              <w:pStyle w:val="TableParagraph"/>
                              <w:spacing w:line="264" w:lineRule="auto"/>
                              <w:ind w:left="113" w:right="54" w:hanging="19"/>
                              <w:rPr>
                                <w:b/>
                                <w:sz w:val="16"/>
                              </w:rPr>
                            </w:pPr>
                            <w:r>
                              <w:rPr>
                                <w:b/>
                                <w:w w:val="110"/>
                                <w:sz w:val="16"/>
                              </w:rPr>
                              <w:t>Amnestic Disorder</w:t>
                            </w:r>
                          </w:p>
                        </w:tc>
                        <w:tc>
                          <w:tcPr>
                            <w:tcW w:w="2442" w:type="dxa"/>
                            <w:gridSpan w:val="3"/>
                            <w:tcBorders>
                              <w:top w:val="single" w:sz="4" w:space="0" w:color="000000"/>
                              <w:bottom w:val="single" w:sz="4" w:space="0" w:color="000000"/>
                            </w:tcBorders>
                          </w:tcPr>
                          <w:p w:rsidR="00E675F0" w:rsidRDefault="00E675F0">
                            <w:pPr>
                              <w:pStyle w:val="TableParagraph"/>
                              <w:spacing w:before="2"/>
                              <w:rPr>
                                <w:b/>
                                <w:sz w:val="24"/>
                              </w:rPr>
                            </w:pPr>
                          </w:p>
                          <w:p w:rsidR="00E675F0" w:rsidRDefault="00E675F0">
                            <w:pPr>
                              <w:pStyle w:val="TableParagraph"/>
                              <w:tabs>
                                <w:tab w:val="left" w:pos="1013"/>
                                <w:tab w:val="left" w:pos="1717"/>
                              </w:tabs>
                              <w:spacing w:line="264" w:lineRule="auto"/>
                              <w:ind w:left="67" w:right="36" w:firstLine="2"/>
                              <w:rPr>
                                <w:b/>
                                <w:sz w:val="16"/>
                              </w:rPr>
                            </w:pPr>
                            <w:r>
                              <w:rPr>
                                <w:b/>
                                <w:w w:val="110"/>
                                <w:sz w:val="16"/>
                              </w:rPr>
                              <w:t>Psychotic</w:t>
                            </w:r>
                            <w:r>
                              <w:rPr>
                                <w:b/>
                                <w:w w:val="110"/>
                                <w:sz w:val="16"/>
                              </w:rPr>
                              <w:tab/>
                              <w:t>Mood</w:t>
                            </w:r>
                            <w:r>
                              <w:rPr>
                                <w:b/>
                                <w:w w:val="110"/>
                                <w:sz w:val="16"/>
                              </w:rPr>
                              <w:tab/>
                              <w:t>Anxiety Disorders Disorders</w:t>
                            </w:r>
                            <w:r>
                              <w:rPr>
                                <w:b/>
                                <w:spacing w:val="14"/>
                                <w:w w:val="110"/>
                                <w:sz w:val="16"/>
                              </w:rPr>
                              <w:t xml:space="preserve"> </w:t>
                            </w:r>
                            <w:r>
                              <w:rPr>
                                <w:b/>
                                <w:w w:val="110"/>
                                <w:sz w:val="16"/>
                              </w:rPr>
                              <w:t>Disorders</w:t>
                            </w:r>
                          </w:p>
                        </w:tc>
                        <w:tc>
                          <w:tcPr>
                            <w:tcW w:w="1760" w:type="dxa"/>
                            <w:tcBorders>
                              <w:top w:val="single" w:sz="4" w:space="0" w:color="000000"/>
                              <w:bottom w:val="single" w:sz="4" w:space="0" w:color="000000"/>
                              <w:right w:val="single" w:sz="4" w:space="0" w:color="000000"/>
                            </w:tcBorders>
                          </w:tcPr>
                          <w:p w:rsidR="00E675F0" w:rsidRDefault="00E675F0">
                            <w:pPr>
                              <w:pStyle w:val="TableParagraph"/>
                              <w:spacing w:before="76" w:line="264" w:lineRule="auto"/>
                              <w:ind w:left="34" w:right="501" w:firstLine="85"/>
                              <w:rPr>
                                <w:b/>
                                <w:sz w:val="16"/>
                              </w:rPr>
                            </w:pPr>
                            <w:r>
                              <w:rPr>
                                <w:b/>
                                <w:w w:val="110"/>
                                <w:sz w:val="16"/>
                              </w:rPr>
                              <w:t>Sexual Dysfunc- Sleep</w:t>
                            </w:r>
                          </w:p>
                          <w:p w:rsidR="00E675F0" w:rsidRDefault="00E675F0">
                            <w:pPr>
                              <w:pStyle w:val="TableParagraph"/>
                              <w:spacing w:line="183" w:lineRule="exact"/>
                              <w:ind w:left="182"/>
                              <w:rPr>
                                <w:b/>
                                <w:sz w:val="16"/>
                              </w:rPr>
                            </w:pPr>
                            <w:r>
                              <w:rPr>
                                <w:b/>
                                <w:w w:val="115"/>
                                <w:sz w:val="16"/>
                              </w:rPr>
                              <w:t>tions Disorders</w:t>
                            </w:r>
                          </w:p>
                        </w:tc>
                      </w:tr>
                      <w:tr w:rsidR="00E675F0">
                        <w:trPr>
                          <w:trHeight w:val="390"/>
                        </w:trPr>
                        <w:tc>
                          <w:tcPr>
                            <w:tcW w:w="1615" w:type="dxa"/>
                            <w:tcBorders>
                              <w:top w:val="single" w:sz="4" w:space="0" w:color="000000"/>
                            </w:tcBorders>
                          </w:tcPr>
                          <w:p w:rsidR="00E675F0" w:rsidRDefault="00E675F0">
                            <w:pPr>
                              <w:pStyle w:val="TableParagraph"/>
                              <w:spacing w:before="81"/>
                              <w:ind w:left="8"/>
                              <w:rPr>
                                <w:sz w:val="16"/>
                              </w:rPr>
                            </w:pPr>
                            <w:r>
                              <w:rPr>
                                <w:w w:val="105"/>
                                <w:sz w:val="16"/>
                              </w:rPr>
                              <w:t>Alcohol</w:t>
                            </w:r>
                          </w:p>
                        </w:tc>
                        <w:tc>
                          <w:tcPr>
                            <w:tcW w:w="641" w:type="dxa"/>
                            <w:tcBorders>
                              <w:top w:val="single" w:sz="4" w:space="0" w:color="000000"/>
                            </w:tcBorders>
                          </w:tcPr>
                          <w:p w:rsidR="00E675F0" w:rsidRDefault="00E675F0">
                            <w:pPr>
                              <w:pStyle w:val="TableParagraph"/>
                              <w:spacing w:before="99"/>
                              <w:ind w:left="177"/>
                              <w:rPr>
                                <w:rFonts w:ascii="Arial"/>
                                <w:sz w:val="14"/>
                              </w:rPr>
                            </w:pPr>
                            <w:r>
                              <w:rPr>
                                <w:rFonts w:ascii="Arial"/>
                                <w:w w:val="103"/>
                                <w:sz w:val="14"/>
                              </w:rPr>
                              <w:t>X</w:t>
                            </w:r>
                          </w:p>
                        </w:tc>
                        <w:tc>
                          <w:tcPr>
                            <w:tcW w:w="761" w:type="dxa"/>
                            <w:tcBorders>
                              <w:top w:val="single" w:sz="4" w:space="0" w:color="000000"/>
                            </w:tcBorders>
                          </w:tcPr>
                          <w:p w:rsidR="00E675F0" w:rsidRDefault="00E675F0">
                            <w:pPr>
                              <w:pStyle w:val="TableParagraph"/>
                              <w:spacing w:before="99"/>
                              <w:ind w:left="3"/>
                              <w:jc w:val="center"/>
                              <w:rPr>
                                <w:rFonts w:ascii="Arial"/>
                                <w:sz w:val="14"/>
                              </w:rPr>
                            </w:pPr>
                            <w:r>
                              <w:rPr>
                                <w:rFonts w:ascii="Arial"/>
                                <w:w w:val="103"/>
                                <w:sz w:val="14"/>
                              </w:rPr>
                              <w:t>X</w:t>
                            </w:r>
                          </w:p>
                        </w:tc>
                        <w:tc>
                          <w:tcPr>
                            <w:tcW w:w="789" w:type="dxa"/>
                            <w:tcBorders>
                              <w:top w:val="single" w:sz="4" w:space="0" w:color="000000"/>
                            </w:tcBorders>
                          </w:tcPr>
                          <w:p w:rsidR="00E675F0" w:rsidRDefault="00E675F0">
                            <w:pPr>
                              <w:pStyle w:val="TableParagraph"/>
                              <w:spacing w:before="99"/>
                              <w:ind w:left="356"/>
                              <w:rPr>
                                <w:rFonts w:ascii="Arial"/>
                                <w:sz w:val="14"/>
                              </w:rPr>
                            </w:pPr>
                            <w:r>
                              <w:rPr>
                                <w:rFonts w:ascii="Arial"/>
                                <w:w w:val="103"/>
                                <w:sz w:val="14"/>
                              </w:rPr>
                              <w:t>X</w:t>
                            </w:r>
                          </w:p>
                        </w:tc>
                        <w:tc>
                          <w:tcPr>
                            <w:tcW w:w="806" w:type="dxa"/>
                            <w:tcBorders>
                              <w:top w:val="single" w:sz="4" w:space="0" w:color="000000"/>
                            </w:tcBorders>
                          </w:tcPr>
                          <w:p w:rsidR="00E675F0" w:rsidRDefault="00E675F0">
                            <w:pPr>
                              <w:pStyle w:val="TableParagraph"/>
                              <w:spacing w:before="99"/>
                              <w:ind w:left="346"/>
                              <w:rPr>
                                <w:rFonts w:ascii="Arial"/>
                                <w:sz w:val="14"/>
                              </w:rPr>
                            </w:pPr>
                            <w:r>
                              <w:rPr>
                                <w:rFonts w:ascii="Arial"/>
                                <w:w w:val="103"/>
                                <w:sz w:val="14"/>
                              </w:rPr>
                              <w:t>X</w:t>
                            </w:r>
                          </w:p>
                        </w:tc>
                        <w:tc>
                          <w:tcPr>
                            <w:tcW w:w="1806" w:type="dxa"/>
                            <w:gridSpan w:val="2"/>
                            <w:tcBorders>
                              <w:top w:val="single" w:sz="4" w:space="0" w:color="000000"/>
                            </w:tcBorders>
                          </w:tcPr>
                          <w:p w:rsidR="00E675F0" w:rsidRDefault="00E675F0">
                            <w:pPr>
                              <w:pStyle w:val="TableParagraph"/>
                              <w:spacing w:before="44"/>
                              <w:ind w:right="369"/>
                              <w:jc w:val="right"/>
                              <w:rPr>
                                <w:sz w:val="20"/>
                              </w:rPr>
                            </w:pPr>
                            <w:r>
                              <w:rPr>
                                <w:w w:val="107"/>
                                <w:sz w:val="20"/>
                              </w:rPr>
                              <w:t>w</w:t>
                            </w:r>
                          </w:p>
                        </w:tc>
                        <w:tc>
                          <w:tcPr>
                            <w:tcW w:w="922" w:type="dxa"/>
                            <w:tcBorders>
                              <w:top w:val="single" w:sz="4" w:space="0" w:color="000000"/>
                            </w:tcBorders>
                          </w:tcPr>
                          <w:p w:rsidR="00E675F0" w:rsidRDefault="00E675F0">
                            <w:pPr>
                              <w:pStyle w:val="TableParagraph"/>
                              <w:spacing w:before="84"/>
                              <w:ind w:right="25"/>
                              <w:jc w:val="center"/>
                              <w:rPr>
                                <w:rFonts w:ascii="Arial"/>
                                <w:sz w:val="13"/>
                              </w:rPr>
                            </w:pPr>
                            <w:r>
                              <w:rPr>
                                <w:rFonts w:ascii="Arial"/>
                                <w:w w:val="107"/>
                                <w:sz w:val="13"/>
                              </w:rPr>
                              <w:t>p</w:t>
                            </w:r>
                          </w:p>
                        </w:tc>
                        <w:tc>
                          <w:tcPr>
                            <w:tcW w:w="872" w:type="dxa"/>
                            <w:tcBorders>
                              <w:top w:val="single" w:sz="4" w:space="0" w:color="000000"/>
                            </w:tcBorders>
                          </w:tcPr>
                          <w:p w:rsidR="00E675F0" w:rsidRDefault="00E675F0">
                            <w:pPr>
                              <w:pStyle w:val="TableParagraph"/>
                              <w:spacing w:before="89"/>
                              <w:ind w:left="34"/>
                              <w:jc w:val="center"/>
                              <w:rPr>
                                <w:rFonts w:ascii="Arial"/>
                                <w:sz w:val="13"/>
                              </w:rPr>
                            </w:pPr>
                            <w:r>
                              <w:rPr>
                                <w:rFonts w:ascii="Arial"/>
                                <w:w w:val="107"/>
                                <w:sz w:val="13"/>
                              </w:rPr>
                              <w:t>p</w:t>
                            </w:r>
                          </w:p>
                        </w:tc>
                        <w:tc>
                          <w:tcPr>
                            <w:tcW w:w="836" w:type="dxa"/>
                            <w:tcBorders>
                              <w:top w:val="single" w:sz="4" w:space="0" w:color="000000"/>
                            </w:tcBorders>
                          </w:tcPr>
                          <w:p w:rsidR="00E675F0" w:rsidRDefault="00E675F0">
                            <w:pPr>
                              <w:pStyle w:val="TableParagraph"/>
                              <w:spacing w:before="86"/>
                              <w:ind w:left="281" w:right="236"/>
                              <w:jc w:val="center"/>
                              <w:rPr>
                                <w:sz w:val="16"/>
                              </w:rPr>
                            </w:pPr>
                            <w:r>
                              <w:rPr>
                                <w:sz w:val="16"/>
                              </w:rPr>
                              <w:t>1/W</w:t>
                            </w:r>
                          </w:p>
                        </w:tc>
                        <w:tc>
                          <w:tcPr>
                            <w:tcW w:w="791" w:type="dxa"/>
                            <w:tcBorders>
                              <w:top w:val="single" w:sz="4" w:space="0" w:color="000000"/>
                            </w:tcBorders>
                          </w:tcPr>
                          <w:p w:rsidR="00E675F0" w:rsidRDefault="00E675F0">
                            <w:pPr>
                              <w:pStyle w:val="TableParagraph"/>
                              <w:spacing w:before="81"/>
                              <w:ind w:left="227" w:right="230"/>
                              <w:jc w:val="center"/>
                              <w:rPr>
                                <w:sz w:val="16"/>
                              </w:rPr>
                            </w:pPr>
                            <w:r>
                              <w:rPr>
                                <w:sz w:val="16"/>
                              </w:rPr>
                              <w:t>1/W</w:t>
                            </w:r>
                          </w:p>
                        </w:tc>
                        <w:tc>
                          <w:tcPr>
                            <w:tcW w:w="815" w:type="dxa"/>
                            <w:tcBorders>
                              <w:top w:val="single" w:sz="4" w:space="0" w:color="000000"/>
                            </w:tcBorders>
                          </w:tcPr>
                          <w:p w:rsidR="00E675F0" w:rsidRDefault="00E675F0">
                            <w:pPr>
                              <w:pStyle w:val="TableParagraph"/>
                              <w:spacing w:before="86"/>
                              <w:ind w:right="278"/>
                              <w:jc w:val="right"/>
                              <w:rPr>
                                <w:sz w:val="16"/>
                              </w:rPr>
                            </w:pPr>
                            <w:r>
                              <w:rPr>
                                <w:sz w:val="16"/>
                              </w:rPr>
                              <w:t>1/W</w:t>
                            </w:r>
                          </w:p>
                        </w:tc>
                        <w:tc>
                          <w:tcPr>
                            <w:tcW w:w="1760" w:type="dxa"/>
                            <w:tcBorders>
                              <w:top w:val="single" w:sz="4" w:space="0" w:color="000000"/>
                              <w:right w:val="single" w:sz="4" w:space="0" w:color="000000"/>
                            </w:tcBorders>
                          </w:tcPr>
                          <w:p w:rsidR="00E675F0" w:rsidRDefault="00E675F0">
                            <w:pPr>
                              <w:pStyle w:val="TableParagraph"/>
                              <w:spacing w:before="81"/>
                              <w:ind w:right="569"/>
                              <w:jc w:val="right"/>
                              <w:rPr>
                                <w:sz w:val="16"/>
                              </w:rPr>
                            </w:pPr>
                            <w:r>
                              <w:rPr>
                                <w:w w:val="105"/>
                                <w:sz w:val="16"/>
                              </w:rPr>
                              <w:t>I/W</w:t>
                            </w:r>
                          </w:p>
                        </w:tc>
                      </w:tr>
                      <w:tr w:rsidR="00E675F0">
                        <w:trPr>
                          <w:trHeight w:val="419"/>
                        </w:trPr>
                        <w:tc>
                          <w:tcPr>
                            <w:tcW w:w="1615" w:type="dxa"/>
                          </w:tcPr>
                          <w:p w:rsidR="00E675F0" w:rsidRDefault="00E675F0">
                            <w:pPr>
                              <w:pStyle w:val="TableParagraph"/>
                              <w:spacing w:before="109"/>
                              <w:ind w:left="8"/>
                              <w:rPr>
                                <w:sz w:val="16"/>
                              </w:rPr>
                            </w:pPr>
                            <w:r>
                              <w:rPr>
                                <w:w w:val="105"/>
                                <w:sz w:val="16"/>
                              </w:rPr>
                              <w:t>Amphetamines</w:t>
                            </w:r>
                          </w:p>
                        </w:tc>
                        <w:tc>
                          <w:tcPr>
                            <w:tcW w:w="641" w:type="dxa"/>
                          </w:tcPr>
                          <w:p w:rsidR="00E675F0" w:rsidRDefault="00E675F0">
                            <w:pPr>
                              <w:pStyle w:val="TableParagraph"/>
                              <w:spacing w:before="132"/>
                              <w:ind w:left="177"/>
                              <w:rPr>
                                <w:rFonts w:ascii="Arial"/>
                                <w:sz w:val="14"/>
                              </w:rPr>
                            </w:pPr>
                            <w:r>
                              <w:rPr>
                                <w:rFonts w:ascii="Arial"/>
                                <w:w w:val="106"/>
                                <w:sz w:val="14"/>
                              </w:rPr>
                              <w:t>X</w:t>
                            </w:r>
                          </w:p>
                        </w:tc>
                        <w:tc>
                          <w:tcPr>
                            <w:tcW w:w="761" w:type="dxa"/>
                          </w:tcPr>
                          <w:p w:rsidR="00E675F0" w:rsidRDefault="00E675F0">
                            <w:pPr>
                              <w:pStyle w:val="TableParagraph"/>
                              <w:spacing w:before="127"/>
                              <w:ind w:left="6"/>
                              <w:jc w:val="center"/>
                              <w:rPr>
                                <w:rFonts w:ascii="Arial"/>
                                <w:sz w:val="14"/>
                              </w:rPr>
                            </w:pPr>
                            <w:r>
                              <w:rPr>
                                <w:rFonts w:ascii="Arial"/>
                                <w:w w:val="106"/>
                                <w:sz w:val="14"/>
                              </w:rPr>
                              <w:t>X</w:t>
                            </w:r>
                          </w:p>
                        </w:tc>
                        <w:tc>
                          <w:tcPr>
                            <w:tcW w:w="789" w:type="dxa"/>
                          </w:tcPr>
                          <w:p w:rsidR="00E675F0" w:rsidRDefault="00E675F0">
                            <w:pPr>
                              <w:pStyle w:val="TableParagraph"/>
                              <w:spacing w:before="127"/>
                              <w:ind w:left="356"/>
                              <w:rPr>
                                <w:rFonts w:ascii="Arial"/>
                                <w:sz w:val="14"/>
                              </w:rPr>
                            </w:pPr>
                            <w:r>
                              <w:rPr>
                                <w:rFonts w:ascii="Arial"/>
                                <w:w w:val="106"/>
                                <w:sz w:val="14"/>
                              </w:rPr>
                              <w:t>X</w:t>
                            </w:r>
                          </w:p>
                        </w:tc>
                        <w:tc>
                          <w:tcPr>
                            <w:tcW w:w="806" w:type="dxa"/>
                          </w:tcPr>
                          <w:p w:rsidR="00E675F0" w:rsidRDefault="00E675F0">
                            <w:pPr>
                              <w:pStyle w:val="TableParagraph"/>
                              <w:spacing w:before="127"/>
                              <w:ind w:left="346"/>
                              <w:rPr>
                                <w:rFonts w:ascii="Arial"/>
                                <w:sz w:val="14"/>
                              </w:rPr>
                            </w:pPr>
                            <w:r>
                              <w:rPr>
                                <w:rFonts w:ascii="Arial"/>
                                <w:w w:val="106"/>
                                <w:sz w:val="14"/>
                              </w:rPr>
                              <w:t>X</w:t>
                            </w:r>
                          </w:p>
                        </w:tc>
                        <w:tc>
                          <w:tcPr>
                            <w:tcW w:w="1806" w:type="dxa"/>
                            <w:gridSpan w:val="2"/>
                          </w:tcPr>
                          <w:p w:rsidR="00E675F0" w:rsidRDefault="00E675F0">
                            <w:pPr>
                              <w:pStyle w:val="TableParagraph"/>
                              <w:rPr>
                                <w:sz w:val="16"/>
                              </w:rPr>
                            </w:pPr>
                          </w:p>
                        </w:tc>
                        <w:tc>
                          <w:tcPr>
                            <w:tcW w:w="922" w:type="dxa"/>
                          </w:tcPr>
                          <w:p w:rsidR="00E675F0" w:rsidRDefault="00E675F0">
                            <w:pPr>
                              <w:pStyle w:val="TableParagraph"/>
                              <w:rPr>
                                <w:sz w:val="16"/>
                              </w:rPr>
                            </w:pPr>
                          </w:p>
                        </w:tc>
                        <w:tc>
                          <w:tcPr>
                            <w:tcW w:w="872" w:type="dxa"/>
                          </w:tcPr>
                          <w:p w:rsidR="00E675F0" w:rsidRDefault="00E675F0">
                            <w:pPr>
                              <w:pStyle w:val="TableParagraph"/>
                              <w:rPr>
                                <w:sz w:val="16"/>
                              </w:rPr>
                            </w:pPr>
                          </w:p>
                        </w:tc>
                        <w:tc>
                          <w:tcPr>
                            <w:tcW w:w="836" w:type="dxa"/>
                          </w:tcPr>
                          <w:p w:rsidR="00E675F0" w:rsidRDefault="00E675F0">
                            <w:pPr>
                              <w:pStyle w:val="TableParagraph"/>
                              <w:rPr>
                                <w:sz w:val="16"/>
                              </w:rPr>
                            </w:pPr>
                          </w:p>
                        </w:tc>
                        <w:tc>
                          <w:tcPr>
                            <w:tcW w:w="791" w:type="dxa"/>
                          </w:tcPr>
                          <w:p w:rsidR="00E675F0" w:rsidRDefault="00E675F0">
                            <w:pPr>
                              <w:pStyle w:val="TableParagraph"/>
                              <w:spacing w:before="114"/>
                              <w:ind w:left="227" w:right="230"/>
                              <w:jc w:val="center"/>
                              <w:rPr>
                                <w:sz w:val="16"/>
                              </w:rPr>
                            </w:pPr>
                            <w:r>
                              <w:rPr>
                                <w:sz w:val="16"/>
                              </w:rPr>
                              <w:t>1/W</w:t>
                            </w:r>
                          </w:p>
                        </w:tc>
                        <w:tc>
                          <w:tcPr>
                            <w:tcW w:w="815" w:type="dxa"/>
                          </w:tcPr>
                          <w:p w:rsidR="00E675F0" w:rsidRDefault="00E675F0">
                            <w:pPr>
                              <w:pStyle w:val="TableParagraph"/>
                              <w:rPr>
                                <w:sz w:val="16"/>
                              </w:rPr>
                            </w:pPr>
                          </w:p>
                        </w:tc>
                        <w:tc>
                          <w:tcPr>
                            <w:tcW w:w="1760" w:type="dxa"/>
                            <w:tcBorders>
                              <w:right w:val="single" w:sz="4" w:space="0" w:color="000000"/>
                            </w:tcBorders>
                          </w:tcPr>
                          <w:p w:rsidR="00E675F0" w:rsidRDefault="00E675F0">
                            <w:pPr>
                              <w:pStyle w:val="TableParagraph"/>
                              <w:spacing w:before="109"/>
                              <w:ind w:right="582"/>
                              <w:jc w:val="right"/>
                              <w:rPr>
                                <w:sz w:val="16"/>
                              </w:rPr>
                            </w:pPr>
                            <w:r>
                              <w:rPr>
                                <w:w w:val="95"/>
                                <w:sz w:val="16"/>
                              </w:rPr>
                              <w:t>1/W</w:t>
                            </w:r>
                          </w:p>
                        </w:tc>
                      </w:tr>
                      <w:tr w:rsidR="00E675F0">
                        <w:trPr>
                          <w:trHeight w:val="418"/>
                        </w:trPr>
                        <w:tc>
                          <w:tcPr>
                            <w:tcW w:w="1615" w:type="dxa"/>
                          </w:tcPr>
                          <w:p w:rsidR="00E675F0" w:rsidRDefault="00E675F0">
                            <w:pPr>
                              <w:pStyle w:val="TableParagraph"/>
                              <w:spacing w:before="114"/>
                              <w:ind w:left="8"/>
                              <w:rPr>
                                <w:sz w:val="16"/>
                              </w:rPr>
                            </w:pPr>
                            <w:r>
                              <w:rPr>
                                <w:w w:val="105"/>
                                <w:sz w:val="16"/>
                              </w:rPr>
                              <w:t>Caffeine</w:t>
                            </w:r>
                          </w:p>
                        </w:tc>
                        <w:tc>
                          <w:tcPr>
                            <w:tcW w:w="641" w:type="dxa"/>
                          </w:tcPr>
                          <w:p w:rsidR="00E675F0" w:rsidRDefault="00E675F0">
                            <w:pPr>
                              <w:pStyle w:val="TableParagraph"/>
                              <w:rPr>
                                <w:sz w:val="16"/>
                              </w:rPr>
                            </w:pPr>
                          </w:p>
                        </w:tc>
                        <w:tc>
                          <w:tcPr>
                            <w:tcW w:w="761" w:type="dxa"/>
                          </w:tcPr>
                          <w:p w:rsidR="00E675F0" w:rsidRDefault="00E675F0">
                            <w:pPr>
                              <w:pStyle w:val="TableParagraph"/>
                              <w:rPr>
                                <w:sz w:val="16"/>
                              </w:rPr>
                            </w:pPr>
                          </w:p>
                        </w:tc>
                        <w:tc>
                          <w:tcPr>
                            <w:tcW w:w="789" w:type="dxa"/>
                          </w:tcPr>
                          <w:p w:rsidR="00E675F0" w:rsidRDefault="00E675F0">
                            <w:pPr>
                              <w:pStyle w:val="TableParagraph"/>
                              <w:spacing w:before="132"/>
                              <w:ind w:left="356"/>
                              <w:rPr>
                                <w:rFonts w:ascii="Arial"/>
                                <w:sz w:val="14"/>
                              </w:rPr>
                            </w:pPr>
                            <w:r>
                              <w:rPr>
                                <w:rFonts w:ascii="Arial"/>
                                <w:w w:val="103"/>
                                <w:sz w:val="14"/>
                              </w:rPr>
                              <w:t>X</w:t>
                            </w:r>
                          </w:p>
                        </w:tc>
                        <w:tc>
                          <w:tcPr>
                            <w:tcW w:w="806" w:type="dxa"/>
                          </w:tcPr>
                          <w:p w:rsidR="00E675F0" w:rsidRDefault="00E675F0">
                            <w:pPr>
                              <w:pStyle w:val="TableParagraph"/>
                              <w:rPr>
                                <w:sz w:val="16"/>
                              </w:rPr>
                            </w:pPr>
                          </w:p>
                        </w:tc>
                        <w:tc>
                          <w:tcPr>
                            <w:tcW w:w="1806" w:type="dxa"/>
                            <w:gridSpan w:val="2"/>
                          </w:tcPr>
                          <w:p w:rsidR="00E675F0" w:rsidRDefault="00E675F0">
                            <w:pPr>
                              <w:pStyle w:val="TableParagraph"/>
                              <w:rPr>
                                <w:sz w:val="16"/>
                              </w:rPr>
                            </w:pPr>
                          </w:p>
                        </w:tc>
                        <w:tc>
                          <w:tcPr>
                            <w:tcW w:w="922" w:type="dxa"/>
                          </w:tcPr>
                          <w:p w:rsidR="00E675F0" w:rsidRDefault="00E675F0">
                            <w:pPr>
                              <w:pStyle w:val="TableParagraph"/>
                              <w:rPr>
                                <w:sz w:val="16"/>
                              </w:rPr>
                            </w:pPr>
                          </w:p>
                        </w:tc>
                        <w:tc>
                          <w:tcPr>
                            <w:tcW w:w="872" w:type="dxa"/>
                          </w:tcPr>
                          <w:p w:rsidR="00E675F0" w:rsidRDefault="00E675F0">
                            <w:pPr>
                              <w:pStyle w:val="TableParagraph"/>
                              <w:rPr>
                                <w:sz w:val="16"/>
                              </w:rPr>
                            </w:pPr>
                          </w:p>
                        </w:tc>
                        <w:tc>
                          <w:tcPr>
                            <w:tcW w:w="836" w:type="dxa"/>
                          </w:tcPr>
                          <w:p w:rsidR="00E675F0" w:rsidRDefault="00E675F0">
                            <w:pPr>
                              <w:pStyle w:val="TableParagraph"/>
                              <w:rPr>
                                <w:sz w:val="16"/>
                              </w:rPr>
                            </w:pPr>
                          </w:p>
                        </w:tc>
                        <w:tc>
                          <w:tcPr>
                            <w:tcW w:w="791" w:type="dxa"/>
                          </w:tcPr>
                          <w:p w:rsidR="00E675F0" w:rsidRDefault="00E675F0">
                            <w:pPr>
                              <w:pStyle w:val="TableParagraph"/>
                              <w:rPr>
                                <w:sz w:val="16"/>
                              </w:rPr>
                            </w:pPr>
                          </w:p>
                        </w:tc>
                        <w:tc>
                          <w:tcPr>
                            <w:tcW w:w="815" w:type="dxa"/>
                          </w:tcPr>
                          <w:p w:rsidR="00E675F0" w:rsidRDefault="00E675F0">
                            <w:pPr>
                              <w:pStyle w:val="TableParagraph"/>
                              <w:rPr>
                                <w:sz w:val="16"/>
                              </w:rPr>
                            </w:pPr>
                          </w:p>
                        </w:tc>
                        <w:tc>
                          <w:tcPr>
                            <w:tcW w:w="1760" w:type="dxa"/>
                            <w:tcBorders>
                              <w:right w:val="single" w:sz="4" w:space="0" w:color="000000"/>
                            </w:tcBorders>
                          </w:tcPr>
                          <w:p w:rsidR="00E675F0" w:rsidRDefault="00E675F0">
                            <w:pPr>
                              <w:pStyle w:val="TableParagraph"/>
                              <w:rPr>
                                <w:sz w:val="16"/>
                              </w:rPr>
                            </w:pPr>
                          </w:p>
                        </w:tc>
                      </w:tr>
                      <w:tr w:rsidR="00E675F0">
                        <w:trPr>
                          <w:trHeight w:val="424"/>
                        </w:trPr>
                        <w:tc>
                          <w:tcPr>
                            <w:tcW w:w="1615" w:type="dxa"/>
                          </w:tcPr>
                          <w:p w:rsidR="00E675F0" w:rsidRDefault="00E675F0">
                            <w:pPr>
                              <w:pStyle w:val="TableParagraph"/>
                              <w:spacing w:before="114"/>
                              <w:ind w:left="8"/>
                              <w:rPr>
                                <w:sz w:val="16"/>
                              </w:rPr>
                            </w:pPr>
                            <w:r>
                              <w:rPr>
                                <w:w w:val="105"/>
                                <w:sz w:val="16"/>
                              </w:rPr>
                              <w:t>Cannabis</w:t>
                            </w:r>
                          </w:p>
                        </w:tc>
                        <w:tc>
                          <w:tcPr>
                            <w:tcW w:w="641" w:type="dxa"/>
                          </w:tcPr>
                          <w:p w:rsidR="00E675F0" w:rsidRDefault="00E675F0">
                            <w:pPr>
                              <w:pStyle w:val="TableParagraph"/>
                              <w:spacing w:before="128"/>
                              <w:ind w:left="176"/>
                              <w:rPr>
                                <w:sz w:val="15"/>
                              </w:rPr>
                            </w:pPr>
                            <w:r>
                              <w:rPr>
                                <w:w w:val="107"/>
                                <w:sz w:val="15"/>
                              </w:rPr>
                              <w:t>X</w:t>
                            </w:r>
                          </w:p>
                        </w:tc>
                        <w:tc>
                          <w:tcPr>
                            <w:tcW w:w="761" w:type="dxa"/>
                          </w:tcPr>
                          <w:p w:rsidR="00E675F0" w:rsidRDefault="00E675F0">
                            <w:pPr>
                              <w:pStyle w:val="TableParagraph"/>
                              <w:spacing w:before="123"/>
                              <w:ind w:left="18"/>
                              <w:jc w:val="center"/>
                              <w:rPr>
                                <w:sz w:val="15"/>
                              </w:rPr>
                            </w:pPr>
                            <w:r>
                              <w:rPr>
                                <w:w w:val="103"/>
                                <w:sz w:val="15"/>
                              </w:rPr>
                              <w:t>X</w:t>
                            </w:r>
                          </w:p>
                        </w:tc>
                        <w:tc>
                          <w:tcPr>
                            <w:tcW w:w="789" w:type="dxa"/>
                          </w:tcPr>
                          <w:p w:rsidR="00E675F0" w:rsidRDefault="00E675F0">
                            <w:pPr>
                              <w:pStyle w:val="TableParagraph"/>
                              <w:spacing w:before="132"/>
                              <w:ind w:left="356"/>
                              <w:rPr>
                                <w:rFonts w:ascii="Arial"/>
                                <w:sz w:val="14"/>
                              </w:rPr>
                            </w:pPr>
                            <w:r>
                              <w:rPr>
                                <w:rFonts w:ascii="Arial"/>
                                <w:w w:val="103"/>
                                <w:sz w:val="14"/>
                              </w:rPr>
                              <w:t>X</w:t>
                            </w:r>
                          </w:p>
                        </w:tc>
                        <w:tc>
                          <w:tcPr>
                            <w:tcW w:w="806" w:type="dxa"/>
                          </w:tcPr>
                          <w:p w:rsidR="00E675F0" w:rsidRDefault="00E675F0">
                            <w:pPr>
                              <w:pStyle w:val="TableParagraph"/>
                              <w:rPr>
                                <w:sz w:val="16"/>
                              </w:rPr>
                            </w:pPr>
                          </w:p>
                        </w:tc>
                        <w:tc>
                          <w:tcPr>
                            <w:tcW w:w="1806" w:type="dxa"/>
                            <w:gridSpan w:val="2"/>
                          </w:tcPr>
                          <w:p w:rsidR="00E675F0" w:rsidRDefault="00E675F0">
                            <w:pPr>
                              <w:pStyle w:val="TableParagraph"/>
                              <w:rPr>
                                <w:sz w:val="16"/>
                              </w:rPr>
                            </w:pPr>
                          </w:p>
                        </w:tc>
                        <w:tc>
                          <w:tcPr>
                            <w:tcW w:w="922" w:type="dxa"/>
                          </w:tcPr>
                          <w:p w:rsidR="00E675F0" w:rsidRDefault="00E675F0">
                            <w:pPr>
                              <w:pStyle w:val="TableParagraph"/>
                              <w:rPr>
                                <w:sz w:val="16"/>
                              </w:rPr>
                            </w:pPr>
                          </w:p>
                        </w:tc>
                        <w:tc>
                          <w:tcPr>
                            <w:tcW w:w="872" w:type="dxa"/>
                          </w:tcPr>
                          <w:p w:rsidR="00E675F0" w:rsidRDefault="00E675F0">
                            <w:pPr>
                              <w:pStyle w:val="TableParagraph"/>
                              <w:rPr>
                                <w:sz w:val="16"/>
                              </w:rPr>
                            </w:pPr>
                          </w:p>
                        </w:tc>
                        <w:tc>
                          <w:tcPr>
                            <w:tcW w:w="836" w:type="dxa"/>
                          </w:tcPr>
                          <w:p w:rsidR="00E675F0" w:rsidRDefault="00E675F0">
                            <w:pPr>
                              <w:pStyle w:val="TableParagraph"/>
                              <w:rPr>
                                <w:sz w:val="16"/>
                              </w:rPr>
                            </w:pPr>
                          </w:p>
                        </w:tc>
                        <w:tc>
                          <w:tcPr>
                            <w:tcW w:w="791" w:type="dxa"/>
                          </w:tcPr>
                          <w:p w:rsidR="00E675F0" w:rsidRDefault="00E675F0">
                            <w:pPr>
                              <w:pStyle w:val="TableParagraph"/>
                              <w:rPr>
                                <w:sz w:val="16"/>
                              </w:rPr>
                            </w:pPr>
                          </w:p>
                        </w:tc>
                        <w:tc>
                          <w:tcPr>
                            <w:tcW w:w="815" w:type="dxa"/>
                          </w:tcPr>
                          <w:p w:rsidR="00E675F0" w:rsidRDefault="00E675F0">
                            <w:pPr>
                              <w:pStyle w:val="TableParagraph"/>
                              <w:rPr>
                                <w:sz w:val="16"/>
                              </w:rPr>
                            </w:pPr>
                          </w:p>
                        </w:tc>
                        <w:tc>
                          <w:tcPr>
                            <w:tcW w:w="1760" w:type="dxa"/>
                            <w:tcBorders>
                              <w:right w:val="single" w:sz="4" w:space="0" w:color="000000"/>
                            </w:tcBorders>
                          </w:tcPr>
                          <w:p w:rsidR="00E675F0" w:rsidRDefault="00E675F0">
                            <w:pPr>
                              <w:pStyle w:val="TableParagraph"/>
                              <w:rPr>
                                <w:sz w:val="16"/>
                              </w:rPr>
                            </w:pPr>
                          </w:p>
                        </w:tc>
                      </w:tr>
                      <w:tr w:rsidR="00E675F0">
                        <w:trPr>
                          <w:trHeight w:val="842"/>
                        </w:trPr>
                        <w:tc>
                          <w:tcPr>
                            <w:tcW w:w="1615" w:type="dxa"/>
                          </w:tcPr>
                          <w:p w:rsidR="00E675F0" w:rsidRDefault="00E675F0">
                            <w:pPr>
                              <w:pStyle w:val="TableParagraph"/>
                              <w:spacing w:before="117"/>
                              <w:ind w:left="8"/>
                              <w:rPr>
                                <w:sz w:val="16"/>
                              </w:rPr>
                            </w:pPr>
                            <w:r>
                              <w:rPr>
                                <w:w w:val="105"/>
                                <w:sz w:val="16"/>
                              </w:rPr>
                              <w:t>Cocaine</w:t>
                            </w:r>
                          </w:p>
                          <w:p w:rsidR="00E675F0" w:rsidRDefault="00E675F0">
                            <w:pPr>
                              <w:pStyle w:val="TableParagraph"/>
                              <w:spacing w:before="5"/>
                              <w:rPr>
                                <w:b/>
                                <w:sz w:val="20"/>
                              </w:rPr>
                            </w:pPr>
                          </w:p>
                          <w:p w:rsidR="00E675F0" w:rsidRDefault="00E675F0">
                            <w:pPr>
                              <w:pStyle w:val="TableParagraph"/>
                              <w:ind w:left="11"/>
                              <w:rPr>
                                <w:sz w:val="16"/>
                              </w:rPr>
                            </w:pPr>
                            <w:r>
                              <w:rPr>
                                <w:w w:val="105"/>
                                <w:sz w:val="16"/>
                              </w:rPr>
                              <w:t>Hallucinogens</w:t>
                            </w:r>
                          </w:p>
                        </w:tc>
                        <w:tc>
                          <w:tcPr>
                            <w:tcW w:w="641" w:type="dxa"/>
                          </w:tcPr>
                          <w:p w:rsidR="00E675F0" w:rsidRDefault="00E675F0">
                            <w:pPr>
                              <w:pStyle w:val="TableParagraph"/>
                              <w:spacing w:before="135"/>
                              <w:ind w:left="182"/>
                              <w:rPr>
                                <w:rFonts w:ascii="Arial"/>
                                <w:sz w:val="14"/>
                              </w:rPr>
                            </w:pPr>
                            <w:r>
                              <w:rPr>
                                <w:rFonts w:ascii="Arial"/>
                                <w:w w:val="107"/>
                                <w:sz w:val="14"/>
                              </w:rPr>
                              <w:t>X</w:t>
                            </w:r>
                          </w:p>
                          <w:p w:rsidR="00E675F0" w:rsidRDefault="00E675F0">
                            <w:pPr>
                              <w:pStyle w:val="TableParagraph"/>
                              <w:spacing w:before="5"/>
                              <w:rPr>
                                <w:b/>
                              </w:rPr>
                            </w:pPr>
                          </w:p>
                          <w:p w:rsidR="00E675F0" w:rsidRDefault="00E675F0">
                            <w:pPr>
                              <w:pStyle w:val="TableParagraph"/>
                              <w:ind w:left="177"/>
                              <w:rPr>
                                <w:rFonts w:ascii="Arial"/>
                                <w:sz w:val="14"/>
                              </w:rPr>
                            </w:pPr>
                            <w:r>
                              <w:rPr>
                                <w:rFonts w:ascii="Arial"/>
                                <w:w w:val="102"/>
                                <w:sz w:val="14"/>
                              </w:rPr>
                              <w:t>X</w:t>
                            </w:r>
                          </w:p>
                        </w:tc>
                        <w:tc>
                          <w:tcPr>
                            <w:tcW w:w="761" w:type="dxa"/>
                          </w:tcPr>
                          <w:p w:rsidR="00E675F0" w:rsidRDefault="00E675F0">
                            <w:pPr>
                              <w:pStyle w:val="TableParagraph"/>
                              <w:spacing w:before="127"/>
                              <w:ind w:left="18"/>
                              <w:jc w:val="center"/>
                              <w:rPr>
                                <w:sz w:val="15"/>
                              </w:rPr>
                            </w:pPr>
                            <w:r>
                              <w:rPr>
                                <w:w w:val="103"/>
                                <w:sz w:val="15"/>
                              </w:rPr>
                              <w:t>X</w:t>
                            </w:r>
                          </w:p>
                          <w:p w:rsidR="00E675F0" w:rsidRDefault="00E675F0">
                            <w:pPr>
                              <w:pStyle w:val="TableParagraph"/>
                              <w:spacing w:before="1"/>
                              <w:rPr>
                                <w:b/>
                              </w:rPr>
                            </w:pPr>
                          </w:p>
                          <w:p w:rsidR="00E675F0" w:rsidRDefault="00E675F0">
                            <w:pPr>
                              <w:pStyle w:val="TableParagraph"/>
                              <w:ind w:left="2"/>
                              <w:jc w:val="center"/>
                              <w:rPr>
                                <w:rFonts w:ascii="Arial"/>
                                <w:sz w:val="14"/>
                              </w:rPr>
                            </w:pPr>
                            <w:r>
                              <w:rPr>
                                <w:rFonts w:ascii="Arial"/>
                                <w:w w:val="102"/>
                                <w:sz w:val="14"/>
                              </w:rPr>
                              <w:t>X</w:t>
                            </w:r>
                          </w:p>
                        </w:tc>
                        <w:tc>
                          <w:tcPr>
                            <w:tcW w:w="789" w:type="dxa"/>
                          </w:tcPr>
                          <w:p w:rsidR="00E675F0" w:rsidRDefault="00E675F0">
                            <w:pPr>
                              <w:pStyle w:val="TableParagraph"/>
                              <w:spacing w:before="135"/>
                              <w:ind w:left="20"/>
                              <w:jc w:val="center"/>
                              <w:rPr>
                                <w:rFonts w:ascii="Arial"/>
                                <w:sz w:val="14"/>
                              </w:rPr>
                            </w:pPr>
                            <w:r>
                              <w:rPr>
                                <w:rFonts w:ascii="Arial"/>
                                <w:w w:val="103"/>
                                <w:sz w:val="14"/>
                              </w:rPr>
                              <w:t>X</w:t>
                            </w:r>
                          </w:p>
                          <w:p w:rsidR="00E675F0" w:rsidRDefault="00E675F0">
                            <w:pPr>
                              <w:pStyle w:val="TableParagraph"/>
                              <w:spacing w:before="5"/>
                              <w:rPr>
                                <w:b/>
                              </w:rPr>
                            </w:pPr>
                          </w:p>
                          <w:p w:rsidR="00E675F0" w:rsidRDefault="00E675F0">
                            <w:pPr>
                              <w:pStyle w:val="TableParagraph"/>
                              <w:ind w:left="19"/>
                              <w:jc w:val="center"/>
                              <w:rPr>
                                <w:rFonts w:ascii="Arial"/>
                                <w:sz w:val="14"/>
                              </w:rPr>
                            </w:pPr>
                            <w:r>
                              <w:rPr>
                                <w:rFonts w:ascii="Arial"/>
                                <w:w w:val="102"/>
                                <w:sz w:val="14"/>
                              </w:rPr>
                              <w:t>X</w:t>
                            </w:r>
                          </w:p>
                        </w:tc>
                        <w:tc>
                          <w:tcPr>
                            <w:tcW w:w="806" w:type="dxa"/>
                          </w:tcPr>
                          <w:p w:rsidR="00E675F0" w:rsidRDefault="00E675F0">
                            <w:pPr>
                              <w:pStyle w:val="TableParagraph"/>
                              <w:spacing w:before="135"/>
                              <w:ind w:left="351"/>
                              <w:rPr>
                                <w:rFonts w:ascii="Arial"/>
                                <w:sz w:val="14"/>
                              </w:rPr>
                            </w:pPr>
                            <w:r>
                              <w:rPr>
                                <w:rFonts w:ascii="Arial"/>
                                <w:w w:val="103"/>
                                <w:sz w:val="14"/>
                              </w:rPr>
                              <w:t>X</w:t>
                            </w:r>
                          </w:p>
                        </w:tc>
                        <w:tc>
                          <w:tcPr>
                            <w:tcW w:w="1806" w:type="dxa"/>
                            <w:gridSpan w:val="2"/>
                          </w:tcPr>
                          <w:p w:rsidR="00E675F0" w:rsidRDefault="00E675F0">
                            <w:pPr>
                              <w:pStyle w:val="TableParagraph"/>
                              <w:rPr>
                                <w:sz w:val="16"/>
                              </w:rPr>
                            </w:pPr>
                          </w:p>
                        </w:tc>
                        <w:tc>
                          <w:tcPr>
                            <w:tcW w:w="922" w:type="dxa"/>
                          </w:tcPr>
                          <w:p w:rsidR="00E675F0" w:rsidRDefault="00E675F0">
                            <w:pPr>
                              <w:pStyle w:val="TableParagraph"/>
                              <w:rPr>
                                <w:sz w:val="16"/>
                              </w:rPr>
                            </w:pPr>
                          </w:p>
                        </w:tc>
                        <w:tc>
                          <w:tcPr>
                            <w:tcW w:w="872" w:type="dxa"/>
                          </w:tcPr>
                          <w:p w:rsidR="00E675F0" w:rsidRDefault="00E675F0">
                            <w:pPr>
                              <w:pStyle w:val="TableParagraph"/>
                              <w:rPr>
                                <w:sz w:val="16"/>
                              </w:rPr>
                            </w:pPr>
                          </w:p>
                        </w:tc>
                        <w:tc>
                          <w:tcPr>
                            <w:tcW w:w="836" w:type="dxa"/>
                          </w:tcPr>
                          <w:p w:rsidR="00E675F0" w:rsidRDefault="00E675F0">
                            <w:pPr>
                              <w:pStyle w:val="TableParagraph"/>
                              <w:spacing w:before="133" w:line="466" w:lineRule="exact"/>
                              <w:ind w:left="407"/>
                              <w:rPr>
                                <w:rFonts w:ascii="Arial"/>
                                <w:sz w:val="46"/>
                              </w:rPr>
                            </w:pPr>
                            <w:r>
                              <w:rPr>
                                <w:rFonts w:ascii="Arial"/>
                                <w:w w:val="102"/>
                                <w:sz w:val="46"/>
                              </w:rPr>
                              <w:t>.</w:t>
                            </w:r>
                          </w:p>
                          <w:p w:rsidR="00E675F0" w:rsidRDefault="00E675F0">
                            <w:pPr>
                              <w:pStyle w:val="TableParagraph"/>
                              <w:spacing w:line="121" w:lineRule="exact"/>
                              <w:ind w:left="388"/>
                              <w:rPr>
                                <w:sz w:val="16"/>
                              </w:rPr>
                            </w:pPr>
                            <w:r>
                              <w:rPr>
                                <w:w w:val="104"/>
                                <w:sz w:val="16"/>
                              </w:rPr>
                              <w:t>I</w:t>
                            </w:r>
                          </w:p>
                        </w:tc>
                        <w:tc>
                          <w:tcPr>
                            <w:tcW w:w="791" w:type="dxa"/>
                          </w:tcPr>
                          <w:p w:rsidR="00E675F0" w:rsidRDefault="00E675F0">
                            <w:pPr>
                              <w:pStyle w:val="TableParagraph"/>
                              <w:spacing w:before="117"/>
                              <w:ind w:left="230" w:right="230"/>
                              <w:jc w:val="center"/>
                              <w:rPr>
                                <w:sz w:val="16"/>
                              </w:rPr>
                            </w:pPr>
                            <w:r>
                              <w:rPr>
                                <w:sz w:val="16"/>
                              </w:rPr>
                              <w:t>1/W</w:t>
                            </w:r>
                          </w:p>
                        </w:tc>
                        <w:tc>
                          <w:tcPr>
                            <w:tcW w:w="815" w:type="dxa"/>
                          </w:tcPr>
                          <w:p w:rsidR="00E675F0" w:rsidRDefault="00E675F0">
                            <w:pPr>
                              <w:pStyle w:val="TableParagraph"/>
                              <w:spacing w:before="117"/>
                              <w:ind w:right="277"/>
                              <w:jc w:val="right"/>
                              <w:rPr>
                                <w:sz w:val="16"/>
                              </w:rPr>
                            </w:pPr>
                            <w:r>
                              <w:rPr>
                                <w:sz w:val="16"/>
                              </w:rPr>
                              <w:t>1/W</w:t>
                            </w:r>
                          </w:p>
                        </w:tc>
                        <w:tc>
                          <w:tcPr>
                            <w:tcW w:w="1760" w:type="dxa"/>
                            <w:tcBorders>
                              <w:right w:val="single" w:sz="4" w:space="0" w:color="000000"/>
                            </w:tcBorders>
                          </w:tcPr>
                          <w:p w:rsidR="00E675F0" w:rsidRDefault="00E675F0">
                            <w:pPr>
                              <w:pStyle w:val="TableParagraph"/>
                              <w:spacing w:before="117"/>
                              <w:ind w:right="569"/>
                              <w:jc w:val="right"/>
                              <w:rPr>
                                <w:sz w:val="16"/>
                              </w:rPr>
                            </w:pPr>
                            <w:r>
                              <w:rPr>
                                <w:w w:val="105"/>
                                <w:sz w:val="16"/>
                              </w:rPr>
                              <w:t>I/W</w:t>
                            </w:r>
                          </w:p>
                        </w:tc>
                      </w:tr>
                      <w:tr w:rsidR="00E675F0">
                        <w:trPr>
                          <w:trHeight w:val="420"/>
                        </w:trPr>
                        <w:tc>
                          <w:tcPr>
                            <w:tcW w:w="1615" w:type="dxa"/>
                          </w:tcPr>
                          <w:p w:rsidR="00E675F0" w:rsidRDefault="00E675F0">
                            <w:pPr>
                              <w:pStyle w:val="TableParagraph"/>
                              <w:spacing w:before="116"/>
                              <w:ind w:left="10"/>
                              <w:rPr>
                                <w:sz w:val="16"/>
                              </w:rPr>
                            </w:pPr>
                            <w:r>
                              <w:rPr>
                                <w:w w:val="105"/>
                                <w:sz w:val="16"/>
                              </w:rPr>
                              <w:t>Inhalants</w:t>
                            </w:r>
                          </w:p>
                        </w:tc>
                        <w:tc>
                          <w:tcPr>
                            <w:tcW w:w="641" w:type="dxa"/>
                          </w:tcPr>
                          <w:p w:rsidR="00E675F0" w:rsidRDefault="00E675F0">
                            <w:pPr>
                              <w:pStyle w:val="TableParagraph"/>
                              <w:spacing w:before="134"/>
                              <w:ind w:left="182"/>
                              <w:rPr>
                                <w:rFonts w:ascii="Arial"/>
                                <w:sz w:val="14"/>
                              </w:rPr>
                            </w:pPr>
                            <w:r>
                              <w:rPr>
                                <w:rFonts w:ascii="Arial"/>
                                <w:w w:val="107"/>
                                <w:sz w:val="14"/>
                              </w:rPr>
                              <w:t>X</w:t>
                            </w:r>
                          </w:p>
                        </w:tc>
                        <w:tc>
                          <w:tcPr>
                            <w:tcW w:w="761" w:type="dxa"/>
                          </w:tcPr>
                          <w:p w:rsidR="00E675F0" w:rsidRDefault="00E675F0">
                            <w:pPr>
                              <w:pStyle w:val="TableParagraph"/>
                              <w:spacing w:before="134"/>
                              <w:ind w:left="7"/>
                              <w:jc w:val="center"/>
                              <w:rPr>
                                <w:rFonts w:ascii="Arial"/>
                                <w:sz w:val="14"/>
                              </w:rPr>
                            </w:pPr>
                            <w:r>
                              <w:rPr>
                                <w:rFonts w:ascii="Arial"/>
                                <w:w w:val="107"/>
                                <w:sz w:val="14"/>
                              </w:rPr>
                              <w:t>X</w:t>
                            </w:r>
                          </w:p>
                        </w:tc>
                        <w:tc>
                          <w:tcPr>
                            <w:tcW w:w="789" w:type="dxa"/>
                          </w:tcPr>
                          <w:p w:rsidR="00E675F0" w:rsidRDefault="00E675F0">
                            <w:pPr>
                              <w:pStyle w:val="TableParagraph"/>
                              <w:spacing w:before="134"/>
                              <w:ind w:left="356"/>
                              <w:rPr>
                                <w:rFonts w:ascii="Arial"/>
                                <w:sz w:val="14"/>
                              </w:rPr>
                            </w:pPr>
                            <w:r>
                              <w:rPr>
                                <w:rFonts w:ascii="Arial"/>
                                <w:w w:val="107"/>
                                <w:sz w:val="14"/>
                              </w:rPr>
                              <w:t>X</w:t>
                            </w:r>
                          </w:p>
                        </w:tc>
                        <w:tc>
                          <w:tcPr>
                            <w:tcW w:w="806" w:type="dxa"/>
                          </w:tcPr>
                          <w:p w:rsidR="00E675F0" w:rsidRDefault="00E675F0">
                            <w:pPr>
                              <w:pStyle w:val="TableParagraph"/>
                              <w:rPr>
                                <w:sz w:val="16"/>
                              </w:rPr>
                            </w:pPr>
                          </w:p>
                        </w:tc>
                        <w:tc>
                          <w:tcPr>
                            <w:tcW w:w="1806" w:type="dxa"/>
                            <w:gridSpan w:val="2"/>
                          </w:tcPr>
                          <w:p w:rsidR="00E675F0" w:rsidRDefault="00E675F0">
                            <w:pPr>
                              <w:pStyle w:val="TableParagraph"/>
                              <w:rPr>
                                <w:sz w:val="16"/>
                              </w:rPr>
                            </w:pPr>
                          </w:p>
                        </w:tc>
                        <w:tc>
                          <w:tcPr>
                            <w:tcW w:w="922" w:type="dxa"/>
                          </w:tcPr>
                          <w:p w:rsidR="00E675F0" w:rsidRDefault="00E675F0">
                            <w:pPr>
                              <w:pStyle w:val="TableParagraph"/>
                              <w:spacing w:before="119"/>
                              <w:ind w:right="25"/>
                              <w:jc w:val="center"/>
                              <w:rPr>
                                <w:rFonts w:ascii="Arial"/>
                                <w:sz w:val="13"/>
                              </w:rPr>
                            </w:pPr>
                            <w:r>
                              <w:rPr>
                                <w:rFonts w:ascii="Arial"/>
                                <w:w w:val="107"/>
                                <w:sz w:val="13"/>
                              </w:rPr>
                              <w:t>p</w:t>
                            </w:r>
                          </w:p>
                        </w:tc>
                        <w:tc>
                          <w:tcPr>
                            <w:tcW w:w="872" w:type="dxa"/>
                          </w:tcPr>
                          <w:p w:rsidR="00E675F0" w:rsidRDefault="00E675F0">
                            <w:pPr>
                              <w:pStyle w:val="TableParagraph"/>
                              <w:rPr>
                                <w:sz w:val="16"/>
                              </w:rPr>
                            </w:pPr>
                          </w:p>
                        </w:tc>
                        <w:tc>
                          <w:tcPr>
                            <w:tcW w:w="836" w:type="dxa"/>
                          </w:tcPr>
                          <w:p w:rsidR="00E675F0" w:rsidRDefault="00E675F0">
                            <w:pPr>
                              <w:pStyle w:val="TableParagraph"/>
                              <w:rPr>
                                <w:sz w:val="16"/>
                              </w:rPr>
                            </w:pPr>
                          </w:p>
                        </w:tc>
                        <w:tc>
                          <w:tcPr>
                            <w:tcW w:w="791" w:type="dxa"/>
                          </w:tcPr>
                          <w:p w:rsidR="00E675F0" w:rsidRDefault="00E675F0">
                            <w:pPr>
                              <w:pStyle w:val="TableParagraph"/>
                              <w:rPr>
                                <w:sz w:val="16"/>
                              </w:rPr>
                            </w:pPr>
                          </w:p>
                        </w:tc>
                        <w:tc>
                          <w:tcPr>
                            <w:tcW w:w="815" w:type="dxa"/>
                          </w:tcPr>
                          <w:p w:rsidR="00E675F0" w:rsidRDefault="00E675F0">
                            <w:pPr>
                              <w:pStyle w:val="TableParagraph"/>
                              <w:rPr>
                                <w:sz w:val="16"/>
                              </w:rPr>
                            </w:pPr>
                          </w:p>
                        </w:tc>
                        <w:tc>
                          <w:tcPr>
                            <w:tcW w:w="1760" w:type="dxa"/>
                            <w:tcBorders>
                              <w:right w:val="single" w:sz="4" w:space="0" w:color="000000"/>
                            </w:tcBorders>
                          </w:tcPr>
                          <w:p w:rsidR="00E675F0" w:rsidRDefault="00E675F0">
                            <w:pPr>
                              <w:pStyle w:val="TableParagraph"/>
                              <w:rPr>
                                <w:sz w:val="16"/>
                              </w:rPr>
                            </w:pPr>
                          </w:p>
                        </w:tc>
                      </w:tr>
                      <w:tr w:rsidR="00E675F0">
                        <w:trPr>
                          <w:trHeight w:val="420"/>
                        </w:trPr>
                        <w:tc>
                          <w:tcPr>
                            <w:tcW w:w="1615" w:type="dxa"/>
                          </w:tcPr>
                          <w:p w:rsidR="00E675F0" w:rsidRDefault="00E675F0">
                            <w:pPr>
                              <w:pStyle w:val="TableParagraph"/>
                              <w:spacing w:before="114"/>
                              <w:ind w:left="16"/>
                              <w:rPr>
                                <w:sz w:val="16"/>
                              </w:rPr>
                            </w:pPr>
                            <w:r>
                              <w:rPr>
                                <w:w w:val="105"/>
                                <w:sz w:val="16"/>
                              </w:rPr>
                              <w:t>Nicotine</w:t>
                            </w:r>
                          </w:p>
                        </w:tc>
                        <w:tc>
                          <w:tcPr>
                            <w:tcW w:w="641" w:type="dxa"/>
                          </w:tcPr>
                          <w:p w:rsidR="00E675F0" w:rsidRDefault="00E675F0">
                            <w:pPr>
                              <w:pStyle w:val="TableParagraph"/>
                              <w:spacing w:before="137"/>
                              <w:ind w:left="182"/>
                              <w:rPr>
                                <w:rFonts w:ascii="Arial"/>
                                <w:sz w:val="14"/>
                              </w:rPr>
                            </w:pPr>
                            <w:r>
                              <w:rPr>
                                <w:rFonts w:ascii="Arial"/>
                                <w:w w:val="104"/>
                                <w:sz w:val="14"/>
                              </w:rPr>
                              <w:t>X</w:t>
                            </w:r>
                          </w:p>
                        </w:tc>
                        <w:tc>
                          <w:tcPr>
                            <w:tcW w:w="761" w:type="dxa"/>
                          </w:tcPr>
                          <w:p w:rsidR="00E675F0" w:rsidRDefault="00E675F0">
                            <w:pPr>
                              <w:pStyle w:val="TableParagraph"/>
                              <w:rPr>
                                <w:sz w:val="16"/>
                              </w:rPr>
                            </w:pPr>
                          </w:p>
                        </w:tc>
                        <w:tc>
                          <w:tcPr>
                            <w:tcW w:w="789" w:type="dxa"/>
                          </w:tcPr>
                          <w:p w:rsidR="00E675F0" w:rsidRDefault="00E675F0">
                            <w:pPr>
                              <w:pStyle w:val="TableParagraph"/>
                              <w:rPr>
                                <w:sz w:val="16"/>
                              </w:rPr>
                            </w:pPr>
                          </w:p>
                        </w:tc>
                        <w:tc>
                          <w:tcPr>
                            <w:tcW w:w="806" w:type="dxa"/>
                          </w:tcPr>
                          <w:p w:rsidR="00E675F0" w:rsidRDefault="00E675F0">
                            <w:pPr>
                              <w:pStyle w:val="TableParagraph"/>
                              <w:spacing w:before="132"/>
                              <w:ind w:left="341"/>
                              <w:rPr>
                                <w:rFonts w:ascii="Arial"/>
                                <w:sz w:val="14"/>
                              </w:rPr>
                            </w:pPr>
                            <w:r>
                              <w:rPr>
                                <w:rFonts w:ascii="Arial"/>
                                <w:w w:val="104"/>
                                <w:sz w:val="14"/>
                              </w:rPr>
                              <w:t>X</w:t>
                            </w:r>
                          </w:p>
                        </w:tc>
                        <w:tc>
                          <w:tcPr>
                            <w:tcW w:w="1806" w:type="dxa"/>
                            <w:gridSpan w:val="2"/>
                          </w:tcPr>
                          <w:p w:rsidR="00E675F0" w:rsidRDefault="00E675F0">
                            <w:pPr>
                              <w:pStyle w:val="TableParagraph"/>
                              <w:rPr>
                                <w:sz w:val="16"/>
                              </w:rPr>
                            </w:pPr>
                          </w:p>
                        </w:tc>
                        <w:tc>
                          <w:tcPr>
                            <w:tcW w:w="922" w:type="dxa"/>
                          </w:tcPr>
                          <w:p w:rsidR="00E675F0" w:rsidRDefault="00E675F0">
                            <w:pPr>
                              <w:pStyle w:val="TableParagraph"/>
                              <w:rPr>
                                <w:sz w:val="16"/>
                              </w:rPr>
                            </w:pPr>
                          </w:p>
                        </w:tc>
                        <w:tc>
                          <w:tcPr>
                            <w:tcW w:w="872" w:type="dxa"/>
                          </w:tcPr>
                          <w:p w:rsidR="00E675F0" w:rsidRDefault="00E675F0">
                            <w:pPr>
                              <w:pStyle w:val="TableParagraph"/>
                              <w:rPr>
                                <w:sz w:val="16"/>
                              </w:rPr>
                            </w:pPr>
                          </w:p>
                        </w:tc>
                        <w:tc>
                          <w:tcPr>
                            <w:tcW w:w="836" w:type="dxa"/>
                          </w:tcPr>
                          <w:p w:rsidR="00E675F0" w:rsidRDefault="00E675F0">
                            <w:pPr>
                              <w:pStyle w:val="TableParagraph"/>
                              <w:rPr>
                                <w:sz w:val="16"/>
                              </w:rPr>
                            </w:pPr>
                          </w:p>
                        </w:tc>
                        <w:tc>
                          <w:tcPr>
                            <w:tcW w:w="791" w:type="dxa"/>
                          </w:tcPr>
                          <w:p w:rsidR="00E675F0" w:rsidRDefault="00E675F0">
                            <w:pPr>
                              <w:pStyle w:val="TableParagraph"/>
                              <w:rPr>
                                <w:sz w:val="16"/>
                              </w:rPr>
                            </w:pPr>
                          </w:p>
                        </w:tc>
                        <w:tc>
                          <w:tcPr>
                            <w:tcW w:w="815" w:type="dxa"/>
                          </w:tcPr>
                          <w:p w:rsidR="00E675F0" w:rsidRDefault="00E675F0">
                            <w:pPr>
                              <w:pStyle w:val="TableParagraph"/>
                              <w:rPr>
                                <w:sz w:val="16"/>
                              </w:rPr>
                            </w:pPr>
                          </w:p>
                        </w:tc>
                        <w:tc>
                          <w:tcPr>
                            <w:tcW w:w="1760" w:type="dxa"/>
                            <w:tcBorders>
                              <w:right w:val="single" w:sz="4" w:space="0" w:color="000000"/>
                            </w:tcBorders>
                          </w:tcPr>
                          <w:p w:rsidR="00E675F0" w:rsidRDefault="00E675F0">
                            <w:pPr>
                              <w:pStyle w:val="TableParagraph"/>
                              <w:rPr>
                                <w:sz w:val="16"/>
                              </w:rPr>
                            </w:pPr>
                          </w:p>
                        </w:tc>
                      </w:tr>
                      <w:tr w:rsidR="00E675F0">
                        <w:trPr>
                          <w:trHeight w:val="420"/>
                        </w:trPr>
                        <w:tc>
                          <w:tcPr>
                            <w:tcW w:w="1615" w:type="dxa"/>
                          </w:tcPr>
                          <w:p w:rsidR="00E675F0" w:rsidRDefault="00E675F0">
                            <w:pPr>
                              <w:pStyle w:val="TableParagraph"/>
                              <w:spacing w:before="116"/>
                              <w:ind w:left="13"/>
                              <w:rPr>
                                <w:sz w:val="16"/>
                              </w:rPr>
                            </w:pPr>
                            <w:r>
                              <w:rPr>
                                <w:w w:val="110"/>
                                <w:sz w:val="16"/>
                              </w:rPr>
                              <w:t>Opioids</w:t>
                            </w:r>
                          </w:p>
                        </w:tc>
                        <w:tc>
                          <w:tcPr>
                            <w:tcW w:w="641" w:type="dxa"/>
                          </w:tcPr>
                          <w:p w:rsidR="00E675F0" w:rsidRDefault="00E675F0">
                            <w:pPr>
                              <w:pStyle w:val="TableParagraph"/>
                              <w:spacing w:before="125"/>
                              <w:ind w:left="176"/>
                              <w:rPr>
                                <w:sz w:val="15"/>
                              </w:rPr>
                            </w:pPr>
                            <w:r>
                              <w:rPr>
                                <w:w w:val="107"/>
                                <w:sz w:val="15"/>
                              </w:rPr>
                              <w:t>X</w:t>
                            </w:r>
                          </w:p>
                        </w:tc>
                        <w:tc>
                          <w:tcPr>
                            <w:tcW w:w="761" w:type="dxa"/>
                          </w:tcPr>
                          <w:p w:rsidR="00E675F0" w:rsidRDefault="00E675F0">
                            <w:pPr>
                              <w:pStyle w:val="TableParagraph"/>
                              <w:spacing w:before="121"/>
                              <w:ind w:left="18"/>
                              <w:jc w:val="center"/>
                              <w:rPr>
                                <w:sz w:val="15"/>
                              </w:rPr>
                            </w:pPr>
                            <w:r>
                              <w:rPr>
                                <w:w w:val="103"/>
                                <w:sz w:val="15"/>
                              </w:rPr>
                              <w:t>X</w:t>
                            </w:r>
                          </w:p>
                        </w:tc>
                        <w:tc>
                          <w:tcPr>
                            <w:tcW w:w="789" w:type="dxa"/>
                          </w:tcPr>
                          <w:p w:rsidR="00E675F0" w:rsidRDefault="00E675F0">
                            <w:pPr>
                              <w:pStyle w:val="TableParagraph"/>
                              <w:spacing w:before="129"/>
                              <w:ind w:left="356"/>
                              <w:rPr>
                                <w:rFonts w:ascii="Arial"/>
                                <w:sz w:val="14"/>
                              </w:rPr>
                            </w:pPr>
                            <w:r>
                              <w:rPr>
                                <w:rFonts w:ascii="Arial"/>
                                <w:w w:val="103"/>
                                <w:sz w:val="14"/>
                              </w:rPr>
                              <w:t>X</w:t>
                            </w:r>
                          </w:p>
                        </w:tc>
                        <w:tc>
                          <w:tcPr>
                            <w:tcW w:w="806" w:type="dxa"/>
                          </w:tcPr>
                          <w:p w:rsidR="00E675F0" w:rsidRDefault="00E675F0">
                            <w:pPr>
                              <w:pStyle w:val="TableParagraph"/>
                              <w:spacing w:before="129"/>
                              <w:ind w:left="351"/>
                              <w:rPr>
                                <w:rFonts w:ascii="Arial"/>
                                <w:sz w:val="14"/>
                              </w:rPr>
                            </w:pPr>
                            <w:r>
                              <w:rPr>
                                <w:rFonts w:ascii="Arial"/>
                                <w:w w:val="103"/>
                                <w:sz w:val="14"/>
                              </w:rPr>
                              <w:t>X</w:t>
                            </w:r>
                          </w:p>
                        </w:tc>
                        <w:tc>
                          <w:tcPr>
                            <w:tcW w:w="1806" w:type="dxa"/>
                            <w:gridSpan w:val="2"/>
                          </w:tcPr>
                          <w:p w:rsidR="00E675F0" w:rsidRDefault="00E675F0">
                            <w:pPr>
                              <w:pStyle w:val="TableParagraph"/>
                              <w:rPr>
                                <w:sz w:val="16"/>
                              </w:rPr>
                            </w:pPr>
                          </w:p>
                        </w:tc>
                        <w:tc>
                          <w:tcPr>
                            <w:tcW w:w="922" w:type="dxa"/>
                          </w:tcPr>
                          <w:p w:rsidR="00E675F0" w:rsidRDefault="00E675F0">
                            <w:pPr>
                              <w:pStyle w:val="TableParagraph"/>
                              <w:rPr>
                                <w:sz w:val="16"/>
                              </w:rPr>
                            </w:pPr>
                          </w:p>
                        </w:tc>
                        <w:tc>
                          <w:tcPr>
                            <w:tcW w:w="872" w:type="dxa"/>
                          </w:tcPr>
                          <w:p w:rsidR="00E675F0" w:rsidRDefault="00E675F0">
                            <w:pPr>
                              <w:pStyle w:val="TableParagraph"/>
                              <w:rPr>
                                <w:sz w:val="16"/>
                              </w:rPr>
                            </w:pPr>
                          </w:p>
                        </w:tc>
                        <w:tc>
                          <w:tcPr>
                            <w:tcW w:w="836" w:type="dxa"/>
                          </w:tcPr>
                          <w:p w:rsidR="00E675F0" w:rsidRDefault="00E675F0">
                            <w:pPr>
                              <w:pStyle w:val="TableParagraph"/>
                              <w:rPr>
                                <w:sz w:val="16"/>
                              </w:rPr>
                            </w:pPr>
                          </w:p>
                        </w:tc>
                        <w:tc>
                          <w:tcPr>
                            <w:tcW w:w="791" w:type="dxa"/>
                          </w:tcPr>
                          <w:p w:rsidR="00E675F0" w:rsidRDefault="00E675F0">
                            <w:pPr>
                              <w:pStyle w:val="TableParagraph"/>
                              <w:rPr>
                                <w:sz w:val="16"/>
                              </w:rPr>
                            </w:pPr>
                          </w:p>
                        </w:tc>
                        <w:tc>
                          <w:tcPr>
                            <w:tcW w:w="815" w:type="dxa"/>
                          </w:tcPr>
                          <w:p w:rsidR="00E675F0" w:rsidRDefault="00E675F0">
                            <w:pPr>
                              <w:pStyle w:val="TableParagraph"/>
                              <w:rPr>
                                <w:sz w:val="16"/>
                              </w:rPr>
                            </w:pPr>
                          </w:p>
                        </w:tc>
                        <w:tc>
                          <w:tcPr>
                            <w:tcW w:w="1760" w:type="dxa"/>
                            <w:tcBorders>
                              <w:right w:val="single" w:sz="4" w:space="0" w:color="000000"/>
                            </w:tcBorders>
                          </w:tcPr>
                          <w:p w:rsidR="00E675F0" w:rsidRDefault="00E675F0">
                            <w:pPr>
                              <w:pStyle w:val="TableParagraph"/>
                              <w:spacing w:before="116"/>
                              <w:ind w:right="581"/>
                              <w:jc w:val="right"/>
                              <w:rPr>
                                <w:sz w:val="16"/>
                              </w:rPr>
                            </w:pPr>
                            <w:r>
                              <w:rPr>
                                <w:sz w:val="16"/>
                              </w:rPr>
                              <w:t>1/W</w:t>
                            </w:r>
                          </w:p>
                        </w:tc>
                      </w:tr>
                      <w:tr w:rsidR="00E675F0">
                        <w:trPr>
                          <w:trHeight w:val="403"/>
                        </w:trPr>
                        <w:tc>
                          <w:tcPr>
                            <w:tcW w:w="1615" w:type="dxa"/>
                          </w:tcPr>
                          <w:p w:rsidR="00E675F0" w:rsidRDefault="00E675F0">
                            <w:pPr>
                              <w:pStyle w:val="TableParagraph"/>
                              <w:spacing w:before="114"/>
                              <w:ind w:left="16"/>
                              <w:rPr>
                                <w:sz w:val="16"/>
                              </w:rPr>
                            </w:pPr>
                            <w:r>
                              <w:rPr>
                                <w:w w:val="105"/>
                                <w:sz w:val="16"/>
                              </w:rPr>
                              <w:t>Phencyclidine</w:t>
                            </w:r>
                          </w:p>
                        </w:tc>
                        <w:tc>
                          <w:tcPr>
                            <w:tcW w:w="641" w:type="dxa"/>
                          </w:tcPr>
                          <w:p w:rsidR="00E675F0" w:rsidRDefault="00E675F0">
                            <w:pPr>
                              <w:pStyle w:val="TableParagraph"/>
                              <w:spacing w:before="132"/>
                              <w:ind w:left="182"/>
                              <w:rPr>
                                <w:rFonts w:ascii="Arial"/>
                                <w:sz w:val="14"/>
                              </w:rPr>
                            </w:pPr>
                            <w:r>
                              <w:rPr>
                                <w:rFonts w:ascii="Arial"/>
                                <w:sz w:val="14"/>
                              </w:rPr>
                              <w:t>X</w:t>
                            </w:r>
                          </w:p>
                        </w:tc>
                        <w:tc>
                          <w:tcPr>
                            <w:tcW w:w="761" w:type="dxa"/>
                          </w:tcPr>
                          <w:p w:rsidR="00E675F0" w:rsidRDefault="00E675F0">
                            <w:pPr>
                              <w:pStyle w:val="TableParagraph"/>
                              <w:spacing w:before="132"/>
                              <w:jc w:val="center"/>
                              <w:rPr>
                                <w:rFonts w:ascii="Arial"/>
                                <w:sz w:val="14"/>
                              </w:rPr>
                            </w:pPr>
                            <w:r>
                              <w:rPr>
                                <w:rFonts w:ascii="Arial"/>
                                <w:sz w:val="14"/>
                              </w:rPr>
                              <w:t>X</w:t>
                            </w:r>
                          </w:p>
                        </w:tc>
                        <w:tc>
                          <w:tcPr>
                            <w:tcW w:w="789" w:type="dxa"/>
                          </w:tcPr>
                          <w:p w:rsidR="00E675F0" w:rsidRDefault="00E675F0">
                            <w:pPr>
                              <w:pStyle w:val="TableParagraph"/>
                              <w:spacing w:before="123"/>
                              <w:ind w:left="356"/>
                              <w:rPr>
                                <w:sz w:val="15"/>
                              </w:rPr>
                            </w:pPr>
                            <w:r>
                              <w:rPr>
                                <w:w w:val="103"/>
                                <w:sz w:val="15"/>
                              </w:rPr>
                              <w:t>X</w:t>
                            </w:r>
                          </w:p>
                        </w:tc>
                        <w:tc>
                          <w:tcPr>
                            <w:tcW w:w="806" w:type="dxa"/>
                          </w:tcPr>
                          <w:p w:rsidR="00E675F0" w:rsidRDefault="00E675F0">
                            <w:pPr>
                              <w:pStyle w:val="TableParagraph"/>
                              <w:rPr>
                                <w:sz w:val="16"/>
                              </w:rPr>
                            </w:pPr>
                          </w:p>
                        </w:tc>
                        <w:tc>
                          <w:tcPr>
                            <w:tcW w:w="1806" w:type="dxa"/>
                            <w:gridSpan w:val="2"/>
                          </w:tcPr>
                          <w:p w:rsidR="00E675F0" w:rsidRDefault="00E675F0">
                            <w:pPr>
                              <w:pStyle w:val="TableParagraph"/>
                              <w:rPr>
                                <w:sz w:val="16"/>
                              </w:rPr>
                            </w:pPr>
                          </w:p>
                        </w:tc>
                        <w:tc>
                          <w:tcPr>
                            <w:tcW w:w="922" w:type="dxa"/>
                          </w:tcPr>
                          <w:p w:rsidR="00E675F0" w:rsidRDefault="00E675F0">
                            <w:pPr>
                              <w:pStyle w:val="TableParagraph"/>
                              <w:rPr>
                                <w:sz w:val="16"/>
                              </w:rPr>
                            </w:pPr>
                          </w:p>
                        </w:tc>
                        <w:tc>
                          <w:tcPr>
                            <w:tcW w:w="872" w:type="dxa"/>
                          </w:tcPr>
                          <w:p w:rsidR="00E675F0" w:rsidRDefault="00E675F0">
                            <w:pPr>
                              <w:pStyle w:val="TableParagraph"/>
                              <w:rPr>
                                <w:sz w:val="16"/>
                              </w:rPr>
                            </w:pPr>
                          </w:p>
                        </w:tc>
                        <w:tc>
                          <w:tcPr>
                            <w:tcW w:w="836" w:type="dxa"/>
                          </w:tcPr>
                          <w:p w:rsidR="00E675F0" w:rsidRDefault="00E675F0">
                            <w:pPr>
                              <w:pStyle w:val="TableParagraph"/>
                              <w:rPr>
                                <w:sz w:val="16"/>
                              </w:rPr>
                            </w:pPr>
                          </w:p>
                        </w:tc>
                        <w:tc>
                          <w:tcPr>
                            <w:tcW w:w="791" w:type="dxa"/>
                          </w:tcPr>
                          <w:p w:rsidR="00E675F0" w:rsidRDefault="00E675F0">
                            <w:pPr>
                              <w:pStyle w:val="TableParagraph"/>
                              <w:rPr>
                                <w:sz w:val="16"/>
                              </w:rPr>
                            </w:pPr>
                          </w:p>
                        </w:tc>
                        <w:tc>
                          <w:tcPr>
                            <w:tcW w:w="815" w:type="dxa"/>
                          </w:tcPr>
                          <w:p w:rsidR="00E675F0" w:rsidRDefault="00E675F0">
                            <w:pPr>
                              <w:pStyle w:val="TableParagraph"/>
                              <w:rPr>
                                <w:sz w:val="16"/>
                              </w:rPr>
                            </w:pPr>
                          </w:p>
                        </w:tc>
                        <w:tc>
                          <w:tcPr>
                            <w:tcW w:w="1760" w:type="dxa"/>
                            <w:tcBorders>
                              <w:right w:val="single" w:sz="4" w:space="0" w:color="000000"/>
                            </w:tcBorders>
                          </w:tcPr>
                          <w:p w:rsidR="00E675F0" w:rsidRDefault="00E675F0">
                            <w:pPr>
                              <w:pStyle w:val="TableParagraph"/>
                              <w:rPr>
                                <w:sz w:val="16"/>
                              </w:rPr>
                            </w:pPr>
                          </w:p>
                        </w:tc>
                      </w:tr>
                      <w:tr w:rsidR="00E675F0">
                        <w:trPr>
                          <w:trHeight w:val="334"/>
                        </w:trPr>
                        <w:tc>
                          <w:tcPr>
                            <w:tcW w:w="1615" w:type="dxa"/>
                          </w:tcPr>
                          <w:p w:rsidR="00E675F0" w:rsidRDefault="00E675F0">
                            <w:pPr>
                              <w:pStyle w:val="TableParagraph"/>
                              <w:spacing w:before="134" w:line="181" w:lineRule="exact"/>
                              <w:ind w:left="9"/>
                              <w:rPr>
                                <w:sz w:val="16"/>
                              </w:rPr>
                            </w:pPr>
                            <w:r>
                              <w:rPr>
                                <w:w w:val="105"/>
                                <w:sz w:val="16"/>
                              </w:rPr>
                              <w:t>Sedatives, hypnotics,</w:t>
                            </w:r>
                          </w:p>
                        </w:tc>
                        <w:tc>
                          <w:tcPr>
                            <w:tcW w:w="641" w:type="dxa"/>
                          </w:tcPr>
                          <w:p w:rsidR="00E675F0" w:rsidRDefault="00E675F0">
                            <w:pPr>
                              <w:pStyle w:val="TableParagraph"/>
                              <w:spacing w:before="7"/>
                              <w:rPr>
                                <w:b/>
                                <w:sz w:val="13"/>
                              </w:rPr>
                            </w:pPr>
                          </w:p>
                          <w:p w:rsidR="00E675F0" w:rsidRDefault="00E675F0">
                            <w:pPr>
                              <w:pStyle w:val="TableParagraph"/>
                              <w:spacing w:line="158" w:lineRule="exact"/>
                              <w:ind w:left="182"/>
                              <w:rPr>
                                <w:rFonts w:ascii="Arial"/>
                                <w:sz w:val="14"/>
                              </w:rPr>
                            </w:pPr>
                            <w:r>
                              <w:rPr>
                                <w:rFonts w:ascii="Arial"/>
                                <w:w w:val="106"/>
                                <w:sz w:val="14"/>
                              </w:rPr>
                              <w:t>X</w:t>
                            </w:r>
                          </w:p>
                        </w:tc>
                        <w:tc>
                          <w:tcPr>
                            <w:tcW w:w="761" w:type="dxa"/>
                          </w:tcPr>
                          <w:p w:rsidR="00E675F0" w:rsidRDefault="00E675F0">
                            <w:pPr>
                              <w:pStyle w:val="TableParagraph"/>
                              <w:spacing w:before="7"/>
                              <w:rPr>
                                <w:b/>
                                <w:sz w:val="13"/>
                              </w:rPr>
                            </w:pPr>
                          </w:p>
                          <w:p w:rsidR="00E675F0" w:rsidRDefault="00E675F0">
                            <w:pPr>
                              <w:pStyle w:val="TableParagraph"/>
                              <w:spacing w:line="158" w:lineRule="exact"/>
                              <w:ind w:left="16"/>
                              <w:jc w:val="center"/>
                              <w:rPr>
                                <w:rFonts w:ascii="Arial"/>
                                <w:sz w:val="14"/>
                              </w:rPr>
                            </w:pPr>
                            <w:r>
                              <w:rPr>
                                <w:rFonts w:ascii="Arial"/>
                                <w:w w:val="106"/>
                                <w:sz w:val="14"/>
                              </w:rPr>
                              <w:t>X</w:t>
                            </w:r>
                          </w:p>
                        </w:tc>
                        <w:tc>
                          <w:tcPr>
                            <w:tcW w:w="789" w:type="dxa"/>
                          </w:tcPr>
                          <w:p w:rsidR="00E675F0" w:rsidRDefault="00E675F0">
                            <w:pPr>
                              <w:pStyle w:val="TableParagraph"/>
                              <w:spacing w:before="2"/>
                              <w:rPr>
                                <w:b/>
                                <w:sz w:val="13"/>
                              </w:rPr>
                            </w:pPr>
                          </w:p>
                          <w:p w:rsidR="00E675F0" w:rsidRDefault="00E675F0">
                            <w:pPr>
                              <w:pStyle w:val="TableParagraph"/>
                              <w:spacing w:before="1"/>
                              <w:ind w:left="356"/>
                              <w:rPr>
                                <w:rFonts w:ascii="Arial"/>
                                <w:sz w:val="14"/>
                              </w:rPr>
                            </w:pPr>
                            <w:r>
                              <w:rPr>
                                <w:rFonts w:ascii="Arial"/>
                                <w:w w:val="106"/>
                                <w:sz w:val="14"/>
                              </w:rPr>
                              <w:t>X</w:t>
                            </w:r>
                          </w:p>
                        </w:tc>
                        <w:tc>
                          <w:tcPr>
                            <w:tcW w:w="806" w:type="dxa"/>
                          </w:tcPr>
                          <w:p w:rsidR="00E675F0" w:rsidRDefault="00E675F0">
                            <w:pPr>
                              <w:pStyle w:val="TableParagraph"/>
                              <w:spacing w:before="2"/>
                              <w:rPr>
                                <w:b/>
                                <w:sz w:val="13"/>
                              </w:rPr>
                            </w:pPr>
                          </w:p>
                          <w:p w:rsidR="00E675F0" w:rsidRDefault="00E675F0">
                            <w:pPr>
                              <w:pStyle w:val="TableParagraph"/>
                              <w:spacing w:before="1"/>
                              <w:ind w:left="351"/>
                              <w:rPr>
                                <w:rFonts w:ascii="Arial"/>
                                <w:sz w:val="14"/>
                              </w:rPr>
                            </w:pPr>
                            <w:r>
                              <w:rPr>
                                <w:rFonts w:ascii="Arial"/>
                                <w:w w:val="106"/>
                                <w:sz w:val="14"/>
                              </w:rPr>
                              <w:t>X</w:t>
                            </w:r>
                          </w:p>
                        </w:tc>
                        <w:tc>
                          <w:tcPr>
                            <w:tcW w:w="1806" w:type="dxa"/>
                            <w:gridSpan w:val="2"/>
                          </w:tcPr>
                          <w:p w:rsidR="00E675F0" w:rsidRDefault="00E675F0">
                            <w:pPr>
                              <w:pStyle w:val="TableParagraph"/>
                              <w:spacing w:before="97" w:line="218" w:lineRule="exact"/>
                              <w:ind w:right="364"/>
                              <w:jc w:val="right"/>
                              <w:rPr>
                                <w:sz w:val="20"/>
                              </w:rPr>
                            </w:pPr>
                            <w:r>
                              <w:rPr>
                                <w:w w:val="107"/>
                                <w:sz w:val="20"/>
                              </w:rPr>
                              <w:t>w</w:t>
                            </w:r>
                          </w:p>
                        </w:tc>
                        <w:tc>
                          <w:tcPr>
                            <w:tcW w:w="922" w:type="dxa"/>
                          </w:tcPr>
                          <w:p w:rsidR="00E675F0" w:rsidRDefault="00E675F0">
                            <w:pPr>
                              <w:pStyle w:val="TableParagraph"/>
                              <w:spacing w:before="11"/>
                              <w:rPr>
                                <w:b/>
                                <w:sz w:val="11"/>
                              </w:rPr>
                            </w:pPr>
                          </w:p>
                          <w:p w:rsidR="00E675F0" w:rsidRDefault="00E675F0">
                            <w:pPr>
                              <w:pStyle w:val="TableParagraph"/>
                              <w:ind w:right="15"/>
                              <w:jc w:val="center"/>
                              <w:rPr>
                                <w:rFonts w:ascii="Arial"/>
                                <w:sz w:val="13"/>
                              </w:rPr>
                            </w:pPr>
                            <w:r>
                              <w:rPr>
                                <w:rFonts w:ascii="Arial"/>
                                <w:w w:val="107"/>
                                <w:sz w:val="13"/>
                              </w:rPr>
                              <w:t>p</w:t>
                            </w:r>
                          </w:p>
                        </w:tc>
                        <w:tc>
                          <w:tcPr>
                            <w:tcW w:w="872" w:type="dxa"/>
                          </w:tcPr>
                          <w:p w:rsidR="00E675F0" w:rsidRDefault="00E675F0">
                            <w:pPr>
                              <w:pStyle w:val="TableParagraph"/>
                              <w:spacing w:before="11"/>
                              <w:rPr>
                                <w:b/>
                                <w:sz w:val="11"/>
                              </w:rPr>
                            </w:pPr>
                          </w:p>
                          <w:p w:rsidR="00E675F0" w:rsidRDefault="00E675F0">
                            <w:pPr>
                              <w:pStyle w:val="TableParagraph"/>
                              <w:ind w:left="34"/>
                              <w:jc w:val="center"/>
                              <w:rPr>
                                <w:rFonts w:ascii="Arial"/>
                                <w:sz w:val="13"/>
                              </w:rPr>
                            </w:pPr>
                            <w:r>
                              <w:rPr>
                                <w:rFonts w:ascii="Arial"/>
                                <w:w w:val="107"/>
                                <w:sz w:val="13"/>
                              </w:rPr>
                              <w:t>p</w:t>
                            </w:r>
                          </w:p>
                        </w:tc>
                        <w:tc>
                          <w:tcPr>
                            <w:tcW w:w="836" w:type="dxa"/>
                          </w:tcPr>
                          <w:p w:rsidR="00E675F0" w:rsidRDefault="00E675F0">
                            <w:pPr>
                              <w:pStyle w:val="TableParagraph"/>
                              <w:spacing w:before="134" w:line="181" w:lineRule="exact"/>
                              <w:ind w:left="282" w:right="220"/>
                              <w:jc w:val="center"/>
                              <w:rPr>
                                <w:sz w:val="16"/>
                              </w:rPr>
                            </w:pPr>
                            <w:r>
                              <w:rPr>
                                <w:w w:val="105"/>
                                <w:sz w:val="16"/>
                              </w:rPr>
                              <w:t>I/W</w:t>
                            </w:r>
                          </w:p>
                        </w:tc>
                        <w:tc>
                          <w:tcPr>
                            <w:tcW w:w="791" w:type="dxa"/>
                          </w:tcPr>
                          <w:p w:rsidR="00E675F0" w:rsidRDefault="00E675F0">
                            <w:pPr>
                              <w:pStyle w:val="TableParagraph"/>
                              <w:spacing w:before="134" w:line="181" w:lineRule="exact"/>
                              <w:ind w:left="230" w:right="230"/>
                              <w:jc w:val="center"/>
                              <w:rPr>
                                <w:sz w:val="16"/>
                              </w:rPr>
                            </w:pPr>
                            <w:r>
                              <w:rPr>
                                <w:w w:val="105"/>
                                <w:sz w:val="16"/>
                              </w:rPr>
                              <w:t>1/W</w:t>
                            </w:r>
                          </w:p>
                        </w:tc>
                        <w:tc>
                          <w:tcPr>
                            <w:tcW w:w="815" w:type="dxa"/>
                          </w:tcPr>
                          <w:p w:rsidR="00E675F0" w:rsidRDefault="00E675F0">
                            <w:pPr>
                              <w:pStyle w:val="TableParagraph"/>
                              <w:spacing w:before="97" w:line="218" w:lineRule="exact"/>
                              <w:ind w:right="332"/>
                              <w:jc w:val="right"/>
                              <w:rPr>
                                <w:sz w:val="20"/>
                              </w:rPr>
                            </w:pPr>
                            <w:r>
                              <w:rPr>
                                <w:w w:val="107"/>
                                <w:sz w:val="20"/>
                              </w:rPr>
                              <w:t>w</w:t>
                            </w:r>
                          </w:p>
                        </w:tc>
                        <w:tc>
                          <w:tcPr>
                            <w:tcW w:w="1760" w:type="dxa"/>
                            <w:tcBorders>
                              <w:right w:val="single" w:sz="4" w:space="0" w:color="000000"/>
                            </w:tcBorders>
                          </w:tcPr>
                          <w:p w:rsidR="00E675F0" w:rsidRDefault="00E675F0">
                            <w:pPr>
                              <w:pStyle w:val="TableParagraph"/>
                              <w:spacing w:before="139" w:line="176" w:lineRule="exact"/>
                              <w:ind w:right="572"/>
                              <w:jc w:val="right"/>
                              <w:rPr>
                                <w:sz w:val="16"/>
                              </w:rPr>
                            </w:pPr>
                            <w:r>
                              <w:rPr>
                                <w:sz w:val="16"/>
                              </w:rPr>
                              <w:t>1/W</w:t>
                            </w:r>
                          </w:p>
                        </w:tc>
                      </w:tr>
                      <w:tr w:rsidR="00E675F0">
                        <w:trPr>
                          <w:trHeight w:val="207"/>
                        </w:trPr>
                        <w:tc>
                          <w:tcPr>
                            <w:tcW w:w="1615" w:type="dxa"/>
                          </w:tcPr>
                          <w:p w:rsidR="00E675F0" w:rsidRDefault="00E675F0">
                            <w:pPr>
                              <w:pStyle w:val="TableParagraph"/>
                              <w:spacing w:before="1"/>
                              <w:ind w:left="133"/>
                              <w:rPr>
                                <w:sz w:val="16"/>
                              </w:rPr>
                            </w:pPr>
                            <w:r>
                              <w:rPr>
                                <w:w w:val="105"/>
                                <w:sz w:val="16"/>
                              </w:rPr>
                              <w:t>or anxiolytics</w:t>
                            </w:r>
                          </w:p>
                        </w:tc>
                        <w:tc>
                          <w:tcPr>
                            <w:tcW w:w="641" w:type="dxa"/>
                          </w:tcPr>
                          <w:p w:rsidR="00E675F0" w:rsidRDefault="00E675F0">
                            <w:pPr>
                              <w:pStyle w:val="TableParagraph"/>
                              <w:rPr>
                                <w:sz w:val="14"/>
                              </w:rPr>
                            </w:pPr>
                          </w:p>
                        </w:tc>
                        <w:tc>
                          <w:tcPr>
                            <w:tcW w:w="761" w:type="dxa"/>
                          </w:tcPr>
                          <w:p w:rsidR="00E675F0" w:rsidRDefault="00E675F0">
                            <w:pPr>
                              <w:pStyle w:val="TableParagraph"/>
                              <w:rPr>
                                <w:sz w:val="14"/>
                              </w:rPr>
                            </w:pPr>
                          </w:p>
                        </w:tc>
                        <w:tc>
                          <w:tcPr>
                            <w:tcW w:w="789" w:type="dxa"/>
                          </w:tcPr>
                          <w:p w:rsidR="00E675F0" w:rsidRDefault="00E675F0">
                            <w:pPr>
                              <w:pStyle w:val="TableParagraph"/>
                              <w:rPr>
                                <w:sz w:val="14"/>
                              </w:rPr>
                            </w:pPr>
                          </w:p>
                        </w:tc>
                        <w:tc>
                          <w:tcPr>
                            <w:tcW w:w="806" w:type="dxa"/>
                          </w:tcPr>
                          <w:p w:rsidR="00E675F0" w:rsidRDefault="00E675F0">
                            <w:pPr>
                              <w:pStyle w:val="TableParagraph"/>
                              <w:rPr>
                                <w:sz w:val="14"/>
                              </w:rPr>
                            </w:pPr>
                          </w:p>
                        </w:tc>
                        <w:tc>
                          <w:tcPr>
                            <w:tcW w:w="1806" w:type="dxa"/>
                            <w:gridSpan w:val="2"/>
                          </w:tcPr>
                          <w:p w:rsidR="00E675F0" w:rsidRDefault="00E675F0">
                            <w:pPr>
                              <w:pStyle w:val="TableParagraph"/>
                              <w:rPr>
                                <w:sz w:val="14"/>
                              </w:rPr>
                            </w:pPr>
                          </w:p>
                        </w:tc>
                        <w:tc>
                          <w:tcPr>
                            <w:tcW w:w="922" w:type="dxa"/>
                          </w:tcPr>
                          <w:p w:rsidR="00E675F0" w:rsidRDefault="00E675F0">
                            <w:pPr>
                              <w:pStyle w:val="TableParagraph"/>
                              <w:rPr>
                                <w:sz w:val="14"/>
                              </w:rPr>
                            </w:pPr>
                          </w:p>
                        </w:tc>
                        <w:tc>
                          <w:tcPr>
                            <w:tcW w:w="872" w:type="dxa"/>
                          </w:tcPr>
                          <w:p w:rsidR="00E675F0" w:rsidRDefault="00E675F0">
                            <w:pPr>
                              <w:pStyle w:val="TableParagraph"/>
                              <w:rPr>
                                <w:sz w:val="14"/>
                              </w:rPr>
                            </w:pPr>
                          </w:p>
                        </w:tc>
                        <w:tc>
                          <w:tcPr>
                            <w:tcW w:w="836" w:type="dxa"/>
                          </w:tcPr>
                          <w:p w:rsidR="00E675F0" w:rsidRDefault="00E675F0">
                            <w:pPr>
                              <w:pStyle w:val="TableParagraph"/>
                              <w:rPr>
                                <w:sz w:val="14"/>
                              </w:rPr>
                            </w:pPr>
                          </w:p>
                        </w:tc>
                        <w:tc>
                          <w:tcPr>
                            <w:tcW w:w="791" w:type="dxa"/>
                          </w:tcPr>
                          <w:p w:rsidR="00E675F0" w:rsidRDefault="00E675F0">
                            <w:pPr>
                              <w:pStyle w:val="TableParagraph"/>
                              <w:rPr>
                                <w:sz w:val="14"/>
                              </w:rPr>
                            </w:pPr>
                          </w:p>
                        </w:tc>
                        <w:tc>
                          <w:tcPr>
                            <w:tcW w:w="815" w:type="dxa"/>
                          </w:tcPr>
                          <w:p w:rsidR="00E675F0" w:rsidRDefault="00E675F0">
                            <w:pPr>
                              <w:pStyle w:val="TableParagraph"/>
                              <w:rPr>
                                <w:sz w:val="14"/>
                              </w:rPr>
                            </w:pPr>
                          </w:p>
                        </w:tc>
                        <w:tc>
                          <w:tcPr>
                            <w:tcW w:w="1760" w:type="dxa"/>
                            <w:tcBorders>
                              <w:right w:val="single" w:sz="4" w:space="0" w:color="000000"/>
                            </w:tcBorders>
                          </w:tcPr>
                          <w:p w:rsidR="00E675F0" w:rsidRDefault="00E675F0">
                            <w:pPr>
                              <w:pStyle w:val="TableParagraph"/>
                              <w:rPr>
                                <w:sz w:val="14"/>
                              </w:rPr>
                            </w:pPr>
                          </w:p>
                        </w:tc>
                      </w:tr>
                      <w:tr w:rsidR="00E675F0">
                        <w:trPr>
                          <w:trHeight w:val="297"/>
                        </w:trPr>
                        <w:tc>
                          <w:tcPr>
                            <w:tcW w:w="1615" w:type="dxa"/>
                          </w:tcPr>
                          <w:p w:rsidR="00E675F0" w:rsidRDefault="00E675F0">
                            <w:pPr>
                              <w:pStyle w:val="TableParagraph"/>
                              <w:spacing w:before="15"/>
                              <w:ind w:left="16"/>
                              <w:rPr>
                                <w:sz w:val="16"/>
                              </w:rPr>
                            </w:pPr>
                            <w:r>
                              <w:rPr>
                                <w:w w:val="105"/>
                                <w:sz w:val="16"/>
                              </w:rPr>
                              <w:t>Polysubstance</w:t>
                            </w:r>
                          </w:p>
                        </w:tc>
                        <w:tc>
                          <w:tcPr>
                            <w:tcW w:w="641" w:type="dxa"/>
                          </w:tcPr>
                          <w:p w:rsidR="00E675F0" w:rsidRDefault="00E675F0">
                            <w:pPr>
                              <w:pStyle w:val="TableParagraph"/>
                              <w:spacing w:before="24"/>
                              <w:ind w:left="181"/>
                              <w:rPr>
                                <w:sz w:val="15"/>
                              </w:rPr>
                            </w:pPr>
                            <w:r>
                              <w:rPr>
                                <w:w w:val="98"/>
                                <w:sz w:val="15"/>
                              </w:rPr>
                              <w:t>X</w:t>
                            </w:r>
                          </w:p>
                        </w:tc>
                        <w:tc>
                          <w:tcPr>
                            <w:tcW w:w="761" w:type="dxa"/>
                          </w:tcPr>
                          <w:p w:rsidR="00E675F0" w:rsidRDefault="00E675F0">
                            <w:pPr>
                              <w:pStyle w:val="TableParagraph"/>
                              <w:rPr>
                                <w:sz w:val="16"/>
                              </w:rPr>
                            </w:pPr>
                          </w:p>
                        </w:tc>
                        <w:tc>
                          <w:tcPr>
                            <w:tcW w:w="789" w:type="dxa"/>
                          </w:tcPr>
                          <w:p w:rsidR="00E675F0" w:rsidRDefault="00E675F0">
                            <w:pPr>
                              <w:pStyle w:val="TableParagraph"/>
                              <w:rPr>
                                <w:sz w:val="16"/>
                              </w:rPr>
                            </w:pPr>
                          </w:p>
                        </w:tc>
                        <w:tc>
                          <w:tcPr>
                            <w:tcW w:w="806" w:type="dxa"/>
                          </w:tcPr>
                          <w:p w:rsidR="00E675F0" w:rsidRDefault="00E675F0">
                            <w:pPr>
                              <w:pStyle w:val="TableParagraph"/>
                              <w:rPr>
                                <w:sz w:val="16"/>
                              </w:rPr>
                            </w:pPr>
                          </w:p>
                        </w:tc>
                        <w:tc>
                          <w:tcPr>
                            <w:tcW w:w="1806" w:type="dxa"/>
                            <w:gridSpan w:val="2"/>
                          </w:tcPr>
                          <w:p w:rsidR="00E675F0" w:rsidRDefault="00E675F0">
                            <w:pPr>
                              <w:pStyle w:val="TableParagraph"/>
                              <w:rPr>
                                <w:sz w:val="16"/>
                              </w:rPr>
                            </w:pPr>
                          </w:p>
                        </w:tc>
                        <w:tc>
                          <w:tcPr>
                            <w:tcW w:w="922" w:type="dxa"/>
                          </w:tcPr>
                          <w:p w:rsidR="00E675F0" w:rsidRDefault="00E675F0">
                            <w:pPr>
                              <w:pStyle w:val="TableParagraph"/>
                              <w:rPr>
                                <w:sz w:val="16"/>
                              </w:rPr>
                            </w:pPr>
                          </w:p>
                        </w:tc>
                        <w:tc>
                          <w:tcPr>
                            <w:tcW w:w="872" w:type="dxa"/>
                          </w:tcPr>
                          <w:p w:rsidR="00E675F0" w:rsidRDefault="00E675F0">
                            <w:pPr>
                              <w:pStyle w:val="TableParagraph"/>
                              <w:rPr>
                                <w:sz w:val="16"/>
                              </w:rPr>
                            </w:pPr>
                          </w:p>
                        </w:tc>
                        <w:tc>
                          <w:tcPr>
                            <w:tcW w:w="836" w:type="dxa"/>
                          </w:tcPr>
                          <w:p w:rsidR="00E675F0" w:rsidRDefault="00E675F0">
                            <w:pPr>
                              <w:pStyle w:val="TableParagraph"/>
                              <w:rPr>
                                <w:sz w:val="16"/>
                              </w:rPr>
                            </w:pPr>
                          </w:p>
                        </w:tc>
                        <w:tc>
                          <w:tcPr>
                            <w:tcW w:w="791" w:type="dxa"/>
                          </w:tcPr>
                          <w:p w:rsidR="00E675F0" w:rsidRDefault="00E675F0">
                            <w:pPr>
                              <w:pStyle w:val="TableParagraph"/>
                              <w:rPr>
                                <w:sz w:val="16"/>
                              </w:rPr>
                            </w:pPr>
                          </w:p>
                        </w:tc>
                        <w:tc>
                          <w:tcPr>
                            <w:tcW w:w="815" w:type="dxa"/>
                          </w:tcPr>
                          <w:p w:rsidR="00E675F0" w:rsidRDefault="00E675F0">
                            <w:pPr>
                              <w:pStyle w:val="TableParagraph"/>
                              <w:rPr>
                                <w:sz w:val="16"/>
                              </w:rPr>
                            </w:pPr>
                          </w:p>
                        </w:tc>
                        <w:tc>
                          <w:tcPr>
                            <w:tcW w:w="1760" w:type="dxa"/>
                            <w:tcBorders>
                              <w:right w:val="single" w:sz="4" w:space="0" w:color="000000"/>
                            </w:tcBorders>
                          </w:tcPr>
                          <w:p w:rsidR="00E675F0" w:rsidRDefault="00E675F0">
                            <w:pPr>
                              <w:pStyle w:val="TableParagraph"/>
                              <w:rPr>
                                <w:sz w:val="16"/>
                              </w:rPr>
                            </w:pPr>
                          </w:p>
                        </w:tc>
                      </w:tr>
                      <w:tr w:rsidR="00E675F0">
                        <w:trPr>
                          <w:trHeight w:val="473"/>
                        </w:trPr>
                        <w:tc>
                          <w:tcPr>
                            <w:tcW w:w="1615" w:type="dxa"/>
                            <w:tcBorders>
                              <w:bottom w:val="single" w:sz="4" w:space="0" w:color="000000"/>
                            </w:tcBorders>
                          </w:tcPr>
                          <w:p w:rsidR="00E675F0" w:rsidRDefault="00E675F0">
                            <w:pPr>
                              <w:pStyle w:val="TableParagraph"/>
                              <w:spacing w:before="136"/>
                              <w:ind w:left="13"/>
                              <w:rPr>
                                <w:sz w:val="16"/>
                              </w:rPr>
                            </w:pPr>
                            <w:r>
                              <w:rPr>
                                <w:w w:val="110"/>
                                <w:sz w:val="16"/>
                              </w:rPr>
                              <w:t>Other</w:t>
                            </w:r>
                          </w:p>
                        </w:tc>
                        <w:tc>
                          <w:tcPr>
                            <w:tcW w:w="641" w:type="dxa"/>
                            <w:tcBorders>
                              <w:bottom w:val="single" w:sz="4" w:space="0" w:color="000000"/>
                            </w:tcBorders>
                          </w:tcPr>
                          <w:p w:rsidR="00E675F0" w:rsidRDefault="00E675F0">
                            <w:pPr>
                              <w:pStyle w:val="TableParagraph"/>
                              <w:spacing w:before="136"/>
                              <w:ind w:left="181"/>
                              <w:rPr>
                                <w:sz w:val="16"/>
                              </w:rPr>
                            </w:pPr>
                            <w:r>
                              <w:rPr>
                                <w:w w:val="96"/>
                                <w:sz w:val="16"/>
                              </w:rPr>
                              <w:t>X</w:t>
                            </w:r>
                          </w:p>
                        </w:tc>
                        <w:tc>
                          <w:tcPr>
                            <w:tcW w:w="761" w:type="dxa"/>
                            <w:tcBorders>
                              <w:bottom w:val="single" w:sz="4" w:space="0" w:color="000000"/>
                            </w:tcBorders>
                          </w:tcPr>
                          <w:p w:rsidR="00E675F0" w:rsidRDefault="00E675F0">
                            <w:pPr>
                              <w:pStyle w:val="TableParagraph"/>
                              <w:spacing w:before="8"/>
                              <w:rPr>
                                <w:b/>
                                <w:sz w:val="12"/>
                              </w:rPr>
                            </w:pPr>
                          </w:p>
                          <w:p w:rsidR="00E675F0" w:rsidRDefault="00E675F0">
                            <w:pPr>
                              <w:pStyle w:val="TableParagraph"/>
                              <w:ind w:left="18"/>
                              <w:jc w:val="center"/>
                              <w:rPr>
                                <w:sz w:val="15"/>
                              </w:rPr>
                            </w:pPr>
                            <w:r>
                              <w:rPr>
                                <w:w w:val="103"/>
                                <w:sz w:val="15"/>
                              </w:rPr>
                              <w:t>X</w:t>
                            </w:r>
                          </w:p>
                        </w:tc>
                        <w:tc>
                          <w:tcPr>
                            <w:tcW w:w="789" w:type="dxa"/>
                            <w:tcBorders>
                              <w:bottom w:val="single" w:sz="4" w:space="0" w:color="000000"/>
                            </w:tcBorders>
                          </w:tcPr>
                          <w:p w:rsidR="00E675F0" w:rsidRDefault="00E675F0">
                            <w:pPr>
                              <w:pStyle w:val="TableParagraph"/>
                              <w:spacing w:before="5"/>
                              <w:rPr>
                                <w:b/>
                                <w:sz w:val="13"/>
                              </w:rPr>
                            </w:pPr>
                          </w:p>
                          <w:p w:rsidR="00E675F0" w:rsidRDefault="00E675F0">
                            <w:pPr>
                              <w:pStyle w:val="TableParagraph"/>
                              <w:ind w:left="356"/>
                              <w:rPr>
                                <w:rFonts w:ascii="Arial"/>
                                <w:sz w:val="14"/>
                              </w:rPr>
                            </w:pPr>
                            <w:r>
                              <w:rPr>
                                <w:rFonts w:ascii="Arial"/>
                                <w:w w:val="103"/>
                                <w:sz w:val="14"/>
                              </w:rPr>
                              <w:t>X</w:t>
                            </w:r>
                          </w:p>
                        </w:tc>
                        <w:tc>
                          <w:tcPr>
                            <w:tcW w:w="806" w:type="dxa"/>
                            <w:tcBorders>
                              <w:bottom w:val="single" w:sz="4" w:space="0" w:color="000000"/>
                            </w:tcBorders>
                          </w:tcPr>
                          <w:p w:rsidR="00E675F0" w:rsidRDefault="00E675F0">
                            <w:pPr>
                              <w:pStyle w:val="TableParagraph"/>
                              <w:rPr>
                                <w:b/>
                                <w:sz w:val="13"/>
                              </w:rPr>
                            </w:pPr>
                          </w:p>
                          <w:p w:rsidR="00E675F0" w:rsidRDefault="00E675F0">
                            <w:pPr>
                              <w:pStyle w:val="TableParagraph"/>
                              <w:ind w:left="351"/>
                              <w:rPr>
                                <w:rFonts w:ascii="Arial"/>
                                <w:sz w:val="14"/>
                              </w:rPr>
                            </w:pPr>
                            <w:r>
                              <w:rPr>
                                <w:rFonts w:ascii="Arial"/>
                                <w:w w:val="103"/>
                                <w:sz w:val="14"/>
                              </w:rPr>
                              <w:t>X</w:t>
                            </w:r>
                          </w:p>
                        </w:tc>
                        <w:tc>
                          <w:tcPr>
                            <w:tcW w:w="1806" w:type="dxa"/>
                            <w:gridSpan w:val="2"/>
                            <w:tcBorders>
                              <w:bottom w:val="single" w:sz="4" w:space="0" w:color="000000"/>
                            </w:tcBorders>
                          </w:tcPr>
                          <w:p w:rsidR="00E675F0" w:rsidRDefault="00E675F0">
                            <w:pPr>
                              <w:pStyle w:val="TableParagraph"/>
                              <w:spacing w:before="89"/>
                              <w:ind w:right="364"/>
                              <w:jc w:val="right"/>
                              <w:rPr>
                                <w:sz w:val="20"/>
                              </w:rPr>
                            </w:pPr>
                            <w:r>
                              <w:rPr>
                                <w:w w:val="107"/>
                                <w:sz w:val="20"/>
                              </w:rPr>
                              <w:t>w</w:t>
                            </w:r>
                          </w:p>
                        </w:tc>
                        <w:tc>
                          <w:tcPr>
                            <w:tcW w:w="922" w:type="dxa"/>
                            <w:tcBorders>
                              <w:bottom w:val="single" w:sz="4" w:space="0" w:color="000000"/>
                            </w:tcBorders>
                          </w:tcPr>
                          <w:p w:rsidR="00E675F0" w:rsidRDefault="00E675F0">
                            <w:pPr>
                              <w:pStyle w:val="TableParagraph"/>
                              <w:spacing w:before="8"/>
                              <w:rPr>
                                <w:b/>
                                <w:sz w:val="11"/>
                              </w:rPr>
                            </w:pPr>
                          </w:p>
                          <w:p w:rsidR="00E675F0" w:rsidRDefault="00E675F0">
                            <w:pPr>
                              <w:pStyle w:val="TableParagraph"/>
                              <w:ind w:right="15"/>
                              <w:jc w:val="center"/>
                              <w:rPr>
                                <w:rFonts w:ascii="Arial"/>
                                <w:sz w:val="13"/>
                              </w:rPr>
                            </w:pPr>
                            <w:r>
                              <w:rPr>
                                <w:rFonts w:ascii="Arial"/>
                                <w:w w:val="107"/>
                                <w:sz w:val="13"/>
                              </w:rPr>
                              <w:t>p</w:t>
                            </w:r>
                          </w:p>
                        </w:tc>
                        <w:tc>
                          <w:tcPr>
                            <w:tcW w:w="872" w:type="dxa"/>
                            <w:tcBorders>
                              <w:bottom w:val="single" w:sz="4" w:space="0" w:color="000000"/>
                            </w:tcBorders>
                          </w:tcPr>
                          <w:p w:rsidR="00E675F0" w:rsidRDefault="00E675F0">
                            <w:pPr>
                              <w:pStyle w:val="TableParagraph"/>
                              <w:spacing w:before="8"/>
                              <w:rPr>
                                <w:b/>
                                <w:sz w:val="11"/>
                              </w:rPr>
                            </w:pPr>
                          </w:p>
                          <w:p w:rsidR="00E675F0" w:rsidRDefault="00E675F0">
                            <w:pPr>
                              <w:pStyle w:val="TableParagraph"/>
                              <w:ind w:left="34"/>
                              <w:jc w:val="center"/>
                              <w:rPr>
                                <w:rFonts w:ascii="Arial"/>
                                <w:sz w:val="13"/>
                              </w:rPr>
                            </w:pPr>
                            <w:r>
                              <w:rPr>
                                <w:rFonts w:ascii="Arial"/>
                                <w:w w:val="107"/>
                                <w:sz w:val="13"/>
                              </w:rPr>
                              <w:t>p</w:t>
                            </w:r>
                          </w:p>
                        </w:tc>
                        <w:tc>
                          <w:tcPr>
                            <w:tcW w:w="836" w:type="dxa"/>
                            <w:tcBorders>
                              <w:bottom w:val="single" w:sz="4" w:space="0" w:color="000000"/>
                            </w:tcBorders>
                          </w:tcPr>
                          <w:p w:rsidR="00E675F0" w:rsidRDefault="00E675F0">
                            <w:pPr>
                              <w:pStyle w:val="TableParagraph"/>
                              <w:spacing w:before="136"/>
                              <w:ind w:left="282" w:right="220"/>
                              <w:jc w:val="center"/>
                              <w:rPr>
                                <w:sz w:val="16"/>
                              </w:rPr>
                            </w:pPr>
                            <w:r>
                              <w:rPr>
                                <w:w w:val="105"/>
                                <w:sz w:val="16"/>
                              </w:rPr>
                              <w:t>I/W</w:t>
                            </w:r>
                          </w:p>
                        </w:tc>
                        <w:tc>
                          <w:tcPr>
                            <w:tcW w:w="791" w:type="dxa"/>
                            <w:tcBorders>
                              <w:bottom w:val="single" w:sz="4" w:space="0" w:color="000000"/>
                            </w:tcBorders>
                          </w:tcPr>
                          <w:p w:rsidR="00E675F0" w:rsidRDefault="00E675F0">
                            <w:pPr>
                              <w:pStyle w:val="TableParagraph"/>
                              <w:spacing w:before="136"/>
                              <w:ind w:left="230" w:right="230"/>
                              <w:jc w:val="center"/>
                              <w:rPr>
                                <w:sz w:val="16"/>
                              </w:rPr>
                            </w:pPr>
                            <w:r>
                              <w:rPr>
                                <w:w w:val="105"/>
                                <w:sz w:val="16"/>
                              </w:rPr>
                              <w:t>1/W</w:t>
                            </w:r>
                          </w:p>
                        </w:tc>
                        <w:tc>
                          <w:tcPr>
                            <w:tcW w:w="815" w:type="dxa"/>
                            <w:tcBorders>
                              <w:bottom w:val="single" w:sz="4" w:space="0" w:color="000000"/>
                            </w:tcBorders>
                          </w:tcPr>
                          <w:p w:rsidR="00E675F0" w:rsidRDefault="00E675F0">
                            <w:pPr>
                              <w:pStyle w:val="TableParagraph"/>
                              <w:spacing w:before="132"/>
                              <w:ind w:right="273"/>
                              <w:jc w:val="right"/>
                              <w:rPr>
                                <w:sz w:val="16"/>
                              </w:rPr>
                            </w:pPr>
                            <w:r>
                              <w:rPr>
                                <w:w w:val="105"/>
                                <w:sz w:val="16"/>
                              </w:rPr>
                              <w:t>I/W</w:t>
                            </w:r>
                          </w:p>
                        </w:tc>
                        <w:tc>
                          <w:tcPr>
                            <w:tcW w:w="1760" w:type="dxa"/>
                            <w:tcBorders>
                              <w:bottom w:val="single" w:sz="4" w:space="0" w:color="000000"/>
                              <w:right w:val="single" w:sz="4" w:space="0" w:color="000000"/>
                            </w:tcBorders>
                          </w:tcPr>
                          <w:p w:rsidR="00E675F0" w:rsidRDefault="00E675F0">
                            <w:pPr>
                              <w:pStyle w:val="TableParagraph"/>
                              <w:spacing w:before="141"/>
                              <w:ind w:right="578"/>
                              <w:jc w:val="right"/>
                              <w:rPr>
                                <w:sz w:val="16"/>
                              </w:rPr>
                            </w:pPr>
                            <w:r>
                              <w:rPr>
                                <w:w w:val="105"/>
                                <w:sz w:val="16"/>
                              </w:rPr>
                              <w:t>l/W</w:t>
                            </w:r>
                          </w:p>
                        </w:tc>
                      </w:tr>
                      <w:tr w:rsidR="00E675F0">
                        <w:trPr>
                          <w:trHeight w:val="937"/>
                        </w:trPr>
                        <w:tc>
                          <w:tcPr>
                            <w:tcW w:w="12414" w:type="dxa"/>
                            <w:gridSpan w:val="13"/>
                            <w:tcBorders>
                              <w:top w:val="single" w:sz="4" w:space="0" w:color="000000"/>
                              <w:right w:val="single" w:sz="4" w:space="0" w:color="000000"/>
                            </w:tcBorders>
                          </w:tcPr>
                          <w:p w:rsidR="00E675F0" w:rsidRDefault="00E675F0">
                            <w:pPr>
                              <w:pStyle w:val="TableParagraph"/>
                              <w:spacing w:before="120"/>
                              <w:ind w:left="7"/>
                              <w:rPr>
                                <w:sz w:val="16"/>
                              </w:rPr>
                            </w:pPr>
                            <w:r>
                              <w:rPr>
                                <w:w w:val="105"/>
                                <w:sz w:val="16"/>
                              </w:rPr>
                              <w:t>*Also Hallucinogen Persisting Perception Disorder (Flashbacks).</w:t>
                            </w:r>
                          </w:p>
                          <w:p w:rsidR="00E675F0" w:rsidRDefault="00E675F0">
                            <w:pPr>
                              <w:pStyle w:val="TableParagraph"/>
                              <w:spacing w:before="1" w:line="202" w:lineRule="exact"/>
                              <w:ind w:left="16" w:right="706"/>
                              <w:rPr>
                                <w:sz w:val="16"/>
                              </w:rPr>
                            </w:pPr>
                            <w:r>
                              <w:rPr>
                                <w:b/>
                                <w:w w:val="105"/>
                                <w:sz w:val="16"/>
                              </w:rPr>
                              <w:t xml:space="preserve">Note: </w:t>
                            </w:r>
                            <w:r>
                              <w:rPr>
                                <w:w w:val="105"/>
                                <w:sz w:val="16"/>
                              </w:rPr>
                              <w:t xml:space="preserve">X, I, W, I/W, or  P indicates that the category is recognized  in DSM-IV.  In addition, !indicates that the specifier With Onset During Intoxication  may be  noted for the category (except for Intoxication Delirium); Windicates that the specifier With Onset During Withdrawal may be noted for the category (except for Withdrawal Delirium); and </w:t>
                            </w:r>
                            <w:r>
                              <w:rPr>
                                <w:rFonts w:ascii="Arial"/>
                                <w:i/>
                                <w:w w:val="105"/>
                                <w:sz w:val="16"/>
                              </w:rPr>
                              <w:t xml:space="preserve">YW </w:t>
                            </w:r>
                            <w:r>
                              <w:rPr>
                                <w:w w:val="105"/>
                                <w:sz w:val="16"/>
                              </w:rPr>
                              <w:t xml:space="preserve">indicates that either With Onset During Intoxication or With Onset During Withdrawal may be noted for the catego1y. </w:t>
                            </w:r>
                            <w:r>
                              <w:rPr>
                                <w:i/>
                                <w:w w:val="105"/>
                                <w:sz w:val="15"/>
                              </w:rPr>
                              <w:t xml:space="preserve">P </w:t>
                            </w:r>
                            <w:r>
                              <w:rPr>
                                <w:w w:val="105"/>
                                <w:sz w:val="16"/>
                              </w:rPr>
                              <w:t>indicates that the disorder</w:t>
                            </w:r>
                            <w:r>
                              <w:rPr>
                                <w:spacing w:val="13"/>
                                <w:w w:val="105"/>
                                <w:sz w:val="16"/>
                              </w:rPr>
                              <w:t xml:space="preserve"> </w:t>
                            </w:r>
                            <w:r>
                              <w:rPr>
                                <w:w w:val="105"/>
                                <w:sz w:val="16"/>
                              </w:rPr>
                              <w:t>is</w:t>
                            </w:r>
                          </w:p>
                        </w:tc>
                      </w:tr>
                    </w:tbl>
                    <w:p w:rsidR="00E675F0" w:rsidRDefault="00E675F0" w:rsidP="00E675F0">
                      <w:pPr>
                        <w:pStyle w:val="BodyText"/>
                      </w:pPr>
                    </w:p>
                  </w:txbxContent>
                </v:textbox>
                <w10:wrap anchorx="page" anchory="page"/>
              </v:shape>
            </w:pict>
          </mc:Fallback>
        </mc:AlternateContent>
      </w:r>
    </w:p>
    <w:p w:rsidR="00E675F0" w:rsidRDefault="00E675F0" w:rsidP="00E675F0">
      <w:pPr>
        <w:pStyle w:val="BodyText"/>
        <w:spacing w:before="7"/>
        <w:rPr>
          <w:rFonts w:ascii="Arial"/>
          <w:b/>
        </w:rPr>
      </w:pPr>
    </w:p>
    <w:p w:rsidR="00E675F0" w:rsidRDefault="00E675F0" w:rsidP="00E675F0">
      <w:pPr>
        <w:ind w:left="134"/>
        <w:rPr>
          <w:sz w:val="16"/>
        </w:rPr>
      </w:pPr>
      <w:r>
        <w:rPr>
          <w:w w:val="105"/>
          <w:sz w:val="16"/>
        </w:rPr>
        <w:t>Persisting.</w:t>
      </w:r>
    </w:p>
    <w:p w:rsidR="00E675F0" w:rsidRDefault="00E675F0" w:rsidP="00E675F0">
      <w:pPr>
        <w:spacing w:before="93" w:line="160" w:lineRule="exact"/>
        <w:ind w:left="134"/>
        <w:rPr>
          <w:b/>
          <w:sz w:val="17"/>
        </w:rPr>
      </w:pPr>
      <w:r>
        <w:br w:type="column"/>
      </w:r>
      <w:r>
        <w:rPr>
          <w:b/>
          <w:w w:val="85"/>
          <w:sz w:val="17"/>
        </w:rPr>
        <w:t>---l</w:t>
      </w:r>
    </w:p>
    <w:p w:rsidR="00E675F0" w:rsidRDefault="00E675F0" w:rsidP="00E675F0">
      <w:pPr>
        <w:spacing w:line="160" w:lineRule="exact"/>
        <w:ind w:left="134"/>
        <w:rPr>
          <w:b/>
          <w:sz w:val="17"/>
        </w:rPr>
      </w:pPr>
      <w:r>
        <w:rPr>
          <w:b/>
          <w:w w:val="85"/>
          <w:sz w:val="17"/>
        </w:rPr>
        <w:t>---l</w:t>
      </w:r>
    </w:p>
    <w:p w:rsidR="00E675F0" w:rsidRDefault="00E675F0" w:rsidP="00E675F0">
      <w:pPr>
        <w:spacing w:line="160" w:lineRule="exact"/>
        <w:rPr>
          <w:sz w:val="17"/>
        </w:rPr>
        <w:sectPr w:rsidR="00E675F0">
          <w:type w:val="continuous"/>
          <w:pgSz w:w="14260" w:h="8960" w:orient="landscape"/>
          <w:pgMar w:top="640" w:right="420" w:bottom="0" w:left="920" w:header="720" w:footer="720" w:gutter="0"/>
          <w:cols w:num="2" w:space="720" w:equalWidth="0">
            <w:col w:w="867" w:space="11629"/>
            <w:col w:w="424"/>
          </w:cols>
        </w:sectPr>
      </w:pPr>
    </w:p>
    <w:p w:rsidR="00E675F0" w:rsidRDefault="00E675F0" w:rsidP="00E675F0">
      <w:pPr>
        <w:pStyle w:val="BodyText"/>
        <w:spacing w:before="111" w:line="254" w:lineRule="auto"/>
        <w:ind w:left="106" w:right="114" w:firstLine="2"/>
        <w:jc w:val="both"/>
      </w:pPr>
      <w:r>
        <w:rPr>
          <w:w w:val="105"/>
        </w:rPr>
        <w:lastRenderedPageBreak/>
        <w:t xml:space="preserve">cigarettes consume more than 20 cigarettes a day, an amount that would have produced symptoms of toxicity when they first started smoking. Individuals with heavy use of cannabis are generally not aware of having developed tolerance (although it has been demonstrated in animal studies and in some individuals). </w:t>
      </w:r>
      <w:r>
        <w:rPr>
          <w:w w:val="105"/>
          <w:sz w:val="19"/>
        </w:rPr>
        <w:t xml:space="preserve">It </w:t>
      </w:r>
      <w:r>
        <w:rPr>
          <w:w w:val="105"/>
        </w:rPr>
        <w:t>is uncertain whether any tolerance develops to phencyclidine (PCP). Tolerance may be difficult to determine by history alone when the substance used is illegal and perhaps mixed with various diluents or with other substances. In such situations, laboratory tests may be helpful (e.g., high blood levels of the substance coupled with little evidence of intoxication suggest that tolerance is likely). Tolerance must also be distinguished from individual variability in the initial sensitivity to the effects of particular substances. For example, some first-time drinkers show very little evidence of intoxication with three or four drinks, whereas others of similar weight and drinking histories have slurred speech  and  incoordi­ nation.</w:t>
      </w:r>
    </w:p>
    <w:p w:rsidR="00E675F0" w:rsidRDefault="00E675F0" w:rsidP="00E675F0">
      <w:pPr>
        <w:pStyle w:val="BodyText"/>
        <w:spacing w:before="3" w:line="254" w:lineRule="auto"/>
        <w:ind w:left="111" w:right="106" w:firstLine="367"/>
        <w:jc w:val="both"/>
      </w:pPr>
      <w:r>
        <w:rPr>
          <w:w w:val="105"/>
        </w:rPr>
        <w:t>Withdrawal (Criterion 2a) is a maladaptive behavioral change, with physiological and cognitive concomitants, that occurs when blood or tissue concentrations of a substance decline in an individual who had maintained prolonged heavy use of the substance. After developing unpleasant withdrawal symptoms, the person is likely to take the substance to relieve or to avoid those symptoms (Criterion 26), typically using the substance throughout the day beginning soon after awakening. Withdrawal symp­ toms vary greatly across the classes of substances, and separate criteria sets for Withdrawal are provided for most of the classes. Marked and generally easily measured physiological signs of withdrawal are common with alcohol, opioids, and sedatives, hypnotics, and anxiolytics. Withdrawal signs and symptoms are often present, but may be less apparent, with stimulants such as amphetamines and cocaine, as well as with nicotine. No significant withdrawal is seen even after repeated use of hallucinogens. Withdrawal from phencyclidine and related substances has not yet been described in humans (although it has been demonstrated in animals).</w:t>
      </w:r>
    </w:p>
    <w:p w:rsidR="00E675F0" w:rsidRDefault="00E675F0" w:rsidP="00E675F0">
      <w:pPr>
        <w:pStyle w:val="BodyText"/>
        <w:spacing w:line="252" w:lineRule="auto"/>
        <w:ind w:left="113" w:right="112" w:firstLine="375"/>
        <w:jc w:val="both"/>
      </w:pPr>
      <w:r>
        <w:rPr>
          <w:w w:val="105"/>
        </w:rPr>
        <w:t>Neither tolerance nor withdrawal is necessary or sufficient for a diagnosis of Substance Dependence. Some individuals (e.g., those with Cannabis Dependence) show a pattern of compulsive use without any signs of tolerance or withdrawal. Conversely, some postsurgical patients without Opioid Dependence may develop a tolerance to prescribed opioids and experience withdrawal symptoms without showing any signs of compulsive use. The specifiers With Physiological Dependence and Without Physiolog­ ical Dependence are provided to indicate the presence or absence of tolerance or withdrawal.</w:t>
      </w:r>
    </w:p>
    <w:p w:rsidR="00E675F0" w:rsidRDefault="00E675F0" w:rsidP="00E675F0">
      <w:pPr>
        <w:pStyle w:val="BodyText"/>
        <w:spacing w:line="254" w:lineRule="auto"/>
        <w:ind w:left="119" w:right="103" w:firstLine="356"/>
        <w:jc w:val="both"/>
      </w:pPr>
      <w:r>
        <w:rPr>
          <w:w w:val="105"/>
        </w:rPr>
        <w:t>The following items describe the pattern of compulsive substance use that is characteristic of Dependence. The individual may take the substance in larger amounts or over a longer period than was originally intended (e.g., continuing to drink until severely intoxicated despite having set a limit of only one drink) (Criterion 3). The individual may express a persistent desire to cut down or regulate substance use. Often, there have been many unsuccessful efforts to decrease or discontinue use (Criterion 4). The individual may spend a great deal of time obtaining the substance, using the substance, or recovering from its effects (Criterion 5). In some instances of Substance Dependence, virtually all of the person's daily activities revolve around the substance. Important social, occupational, or recreational activities may be given up or reduced because of substance use (Criterion 6). The individual may withdraw from family activities and hobbies in order to use the substance in private or  to spend  more time with substance-using friends. Despite recognizing the contributing role of the substance to a psychological or physical problem (e.g., severe depressive symptoms or damage</w:t>
      </w:r>
      <w:r>
        <w:rPr>
          <w:spacing w:val="-27"/>
          <w:w w:val="105"/>
        </w:rPr>
        <w:t xml:space="preserve"> </w:t>
      </w:r>
      <w:r>
        <w:rPr>
          <w:w w:val="105"/>
        </w:rPr>
        <w:t>to</w:t>
      </w:r>
    </w:p>
    <w:p w:rsidR="00E675F0" w:rsidRDefault="00E675F0" w:rsidP="00E675F0">
      <w:pPr>
        <w:spacing w:line="254" w:lineRule="auto"/>
        <w:jc w:val="both"/>
        <w:sectPr w:rsidR="00E675F0">
          <w:headerReference w:type="even" r:id="rId163"/>
          <w:headerReference w:type="default" r:id="rId164"/>
          <w:pgSz w:w="8960" w:h="14260"/>
          <w:pgMar w:top="1400" w:right="620" w:bottom="280" w:left="620" w:header="681" w:footer="0" w:gutter="0"/>
          <w:pgNumType w:start="178"/>
          <w:cols w:space="720"/>
        </w:sectPr>
      </w:pPr>
    </w:p>
    <w:p w:rsidR="00E675F0" w:rsidRDefault="00E675F0" w:rsidP="00E675F0">
      <w:pPr>
        <w:pStyle w:val="BodyText"/>
        <w:spacing w:before="122" w:line="252" w:lineRule="auto"/>
        <w:ind w:left="117" w:right="108"/>
        <w:jc w:val="both"/>
      </w:pPr>
      <w:r>
        <w:rPr>
          <w:w w:val="105"/>
        </w:rPr>
        <w:lastRenderedPageBreak/>
        <w:t>organ systems), the person continues to use the substance (Criterion  7). The key issue  in evaluating this criterion is not the existence of the problem, but rather the individual's failure to abstain from using the substance despite having evidence of the difficulty it is causing.</w:t>
      </w:r>
    </w:p>
    <w:p w:rsidR="00E675F0" w:rsidRDefault="00E675F0" w:rsidP="00E675F0">
      <w:pPr>
        <w:pStyle w:val="BodyText"/>
        <w:rPr>
          <w:sz w:val="22"/>
        </w:rPr>
      </w:pPr>
    </w:p>
    <w:p w:rsidR="00E675F0" w:rsidRDefault="00E675F0" w:rsidP="00E675F0">
      <w:pPr>
        <w:spacing w:before="152"/>
        <w:ind w:left="116"/>
        <w:rPr>
          <w:rFonts w:ascii="TimesNewRomanPS-BoldItalicMT"/>
          <w:b/>
          <w:i/>
          <w:sz w:val="24"/>
        </w:rPr>
      </w:pPr>
      <w:r>
        <w:rPr>
          <w:rFonts w:ascii="TimesNewRomanPS-BoldItalicMT"/>
          <w:b/>
          <w:i/>
          <w:w w:val="115"/>
          <w:sz w:val="24"/>
        </w:rPr>
        <w:t>Specifiers</w:t>
      </w:r>
    </w:p>
    <w:p w:rsidR="00E675F0" w:rsidRDefault="00E675F0" w:rsidP="00E675F0">
      <w:pPr>
        <w:pStyle w:val="BodyText"/>
        <w:spacing w:before="146" w:line="256" w:lineRule="auto"/>
        <w:ind w:left="123" w:right="123" w:hanging="5"/>
        <w:jc w:val="both"/>
      </w:pPr>
      <w:r>
        <w:rPr>
          <w:w w:val="105"/>
        </w:rPr>
        <w:t>Tolerance and withdrawal may be associated with a higher risk for immediate general medical</w:t>
      </w:r>
      <w:r>
        <w:rPr>
          <w:spacing w:val="1"/>
          <w:w w:val="105"/>
        </w:rPr>
        <w:t xml:space="preserve"> </w:t>
      </w:r>
      <w:r>
        <w:rPr>
          <w:w w:val="105"/>
        </w:rPr>
        <w:t>problems and</w:t>
      </w:r>
      <w:r>
        <w:rPr>
          <w:spacing w:val="-11"/>
          <w:w w:val="105"/>
        </w:rPr>
        <w:t xml:space="preserve"> </w:t>
      </w:r>
      <w:r>
        <w:rPr>
          <w:w w:val="105"/>
        </w:rPr>
        <w:t>a</w:t>
      </w:r>
      <w:r>
        <w:rPr>
          <w:spacing w:val="-1"/>
          <w:w w:val="105"/>
        </w:rPr>
        <w:t xml:space="preserve"> </w:t>
      </w:r>
      <w:r>
        <w:rPr>
          <w:w w:val="105"/>
        </w:rPr>
        <w:t>higher</w:t>
      </w:r>
      <w:r>
        <w:rPr>
          <w:spacing w:val="-10"/>
          <w:w w:val="105"/>
        </w:rPr>
        <w:t xml:space="preserve"> </w:t>
      </w:r>
      <w:r>
        <w:rPr>
          <w:w w:val="105"/>
        </w:rPr>
        <w:t>relapse</w:t>
      </w:r>
      <w:r>
        <w:rPr>
          <w:spacing w:val="-6"/>
          <w:w w:val="105"/>
        </w:rPr>
        <w:t xml:space="preserve"> </w:t>
      </w:r>
      <w:r>
        <w:rPr>
          <w:w w:val="105"/>
        </w:rPr>
        <w:t>rate.</w:t>
      </w:r>
      <w:r>
        <w:rPr>
          <w:spacing w:val="-18"/>
          <w:w w:val="105"/>
        </w:rPr>
        <w:t xml:space="preserve"> </w:t>
      </w:r>
      <w:r>
        <w:rPr>
          <w:w w:val="105"/>
        </w:rPr>
        <w:t>Specifiers</w:t>
      </w:r>
      <w:r>
        <w:rPr>
          <w:spacing w:val="-1"/>
          <w:w w:val="105"/>
        </w:rPr>
        <w:t xml:space="preserve"> </w:t>
      </w:r>
      <w:r>
        <w:rPr>
          <w:w w:val="105"/>
        </w:rPr>
        <w:t>are</w:t>
      </w:r>
      <w:r>
        <w:rPr>
          <w:spacing w:val="-7"/>
          <w:w w:val="105"/>
        </w:rPr>
        <w:t xml:space="preserve"> </w:t>
      </w:r>
      <w:r>
        <w:rPr>
          <w:w w:val="105"/>
        </w:rPr>
        <w:t>provided</w:t>
      </w:r>
      <w:r>
        <w:rPr>
          <w:spacing w:val="3"/>
          <w:w w:val="105"/>
        </w:rPr>
        <w:t xml:space="preserve"> </w:t>
      </w:r>
      <w:r>
        <w:rPr>
          <w:w w:val="105"/>
        </w:rPr>
        <w:t>to</w:t>
      </w:r>
      <w:r>
        <w:rPr>
          <w:spacing w:val="-12"/>
          <w:w w:val="105"/>
        </w:rPr>
        <w:t xml:space="preserve"> </w:t>
      </w:r>
      <w:r>
        <w:rPr>
          <w:w w:val="105"/>
        </w:rPr>
        <w:t>note</w:t>
      </w:r>
      <w:r>
        <w:rPr>
          <w:spacing w:val="-8"/>
          <w:w w:val="105"/>
        </w:rPr>
        <w:t xml:space="preserve"> </w:t>
      </w:r>
      <w:r>
        <w:rPr>
          <w:w w:val="105"/>
        </w:rPr>
        <w:t>their</w:t>
      </w:r>
      <w:r>
        <w:rPr>
          <w:spacing w:val="-6"/>
          <w:w w:val="105"/>
        </w:rPr>
        <w:t xml:space="preserve"> </w:t>
      </w:r>
      <w:r>
        <w:rPr>
          <w:w w:val="105"/>
        </w:rPr>
        <w:t>presence or</w:t>
      </w:r>
      <w:r>
        <w:rPr>
          <w:spacing w:val="2"/>
          <w:w w:val="105"/>
        </w:rPr>
        <w:t xml:space="preserve"> </w:t>
      </w:r>
      <w:r>
        <w:rPr>
          <w:w w:val="105"/>
        </w:rPr>
        <w:t>absence:</w:t>
      </w:r>
    </w:p>
    <w:p w:rsidR="00E675F0" w:rsidRDefault="00E675F0" w:rsidP="00E675F0">
      <w:pPr>
        <w:pStyle w:val="BodyText"/>
        <w:spacing w:before="50" w:line="254" w:lineRule="auto"/>
        <w:ind w:left="726" w:right="117" w:hanging="2"/>
        <w:jc w:val="both"/>
      </w:pPr>
      <w:r>
        <w:rPr>
          <w:b/>
          <w:w w:val="105"/>
        </w:rPr>
        <w:t xml:space="preserve">With Physiological Dependence. </w:t>
      </w:r>
      <w:r>
        <w:rPr>
          <w:w w:val="105"/>
        </w:rPr>
        <w:t>This specifier should be used when Sub­ stance Dependence is accompanied by evidence of tolerance (Criterion 1) or withdrawal (Criterion</w:t>
      </w:r>
      <w:r>
        <w:rPr>
          <w:spacing w:val="40"/>
          <w:w w:val="105"/>
        </w:rPr>
        <w:t xml:space="preserve"> </w:t>
      </w:r>
      <w:r>
        <w:rPr>
          <w:w w:val="105"/>
        </w:rPr>
        <w:t>2).</w:t>
      </w:r>
    </w:p>
    <w:p w:rsidR="00E675F0" w:rsidRDefault="00E675F0" w:rsidP="00E675F0">
      <w:pPr>
        <w:pStyle w:val="BodyText"/>
        <w:spacing w:line="256" w:lineRule="auto"/>
        <w:ind w:left="734" w:right="119" w:hanging="10"/>
        <w:jc w:val="both"/>
      </w:pPr>
      <w:r>
        <w:rPr>
          <w:b/>
          <w:w w:val="105"/>
        </w:rPr>
        <w:t xml:space="preserve">Without Physiological Dependence. </w:t>
      </w:r>
      <w:r>
        <w:rPr>
          <w:w w:val="105"/>
        </w:rPr>
        <w:t>This  specifier  should  be  used  when there is no evidence of tolerance (Criterion 1) or withdrawal (Criterion 2). In these individuals, Substance Dependence is characterized by a pattern of compulsive use (at least three items from Criteria</w:t>
      </w:r>
      <w:r>
        <w:rPr>
          <w:spacing w:val="47"/>
          <w:w w:val="105"/>
        </w:rPr>
        <w:t xml:space="preserve"> </w:t>
      </w:r>
      <w:r>
        <w:rPr>
          <w:w w:val="105"/>
        </w:rPr>
        <w:t>3-7).</w:t>
      </w:r>
    </w:p>
    <w:p w:rsidR="00E675F0" w:rsidRDefault="00E675F0" w:rsidP="00E675F0">
      <w:pPr>
        <w:pStyle w:val="BodyText"/>
        <w:rPr>
          <w:sz w:val="22"/>
        </w:rPr>
      </w:pPr>
    </w:p>
    <w:p w:rsidR="00E675F0" w:rsidRDefault="00E675F0" w:rsidP="00E675F0">
      <w:pPr>
        <w:spacing w:before="157"/>
        <w:ind w:left="104"/>
        <w:rPr>
          <w:rFonts w:ascii="TimesNewRomanPS-BoldItalicMT"/>
          <w:b/>
          <w:i/>
          <w:sz w:val="24"/>
        </w:rPr>
      </w:pPr>
      <w:r>
        <w:rPr>
          <w:rFonts w:ascii="TimesNewRomanPS-BoldItalicMT"/>
          <w:b/>
          <w:i/>
          <w:w w:val="115"/>
          <w:sz w:val="24"/>
        </w:rPr>
        <w:t>Course SpeciJiers</w:t>
      </w:r>
    </w:p>
    <w:p w:rsidR="00E675F0" w:rsidRDefault="00E675F0" w:rsidP="00E675F0">
      <w:pPr>
        <w:pStyle w:val="BodyText"/>
        <w:spacing w:before="132" w:line="254" w:lineRule="auto"/>
        <w:ind w:left="123" w:right="105" w:hanging="2"/>
        <w:jc w:val="both"/>
      </w:pPr>
      <w:r>
        <w:rPr>
          <w:w w:val="105"/>
        </w:rPr>
        <w:t>Six course specifiers are available for Substance Dependence. The four Remission specifiers can be applied only after none of the criteria for Substance Dependence or Substance Abuse have been present for at least 1 month. The definition of these four types of Remission is based on the interval of time that has elapsed since the cessation  of Dependence (Early versus Sustained Remission) and whether there is continued presence of one or more of the items included in the criteria sets for Dependence or Abuse</w:t>
      </w:r>
      <w:r>
        <w:rPr>
          <w:spacing w:val="-24"/>
          <w:w w:val="105"/>
        </w:rPr>
        <w:t xml:space="preserve"> </w:t>
      </w:r>
      <w:r>
        <w:rPr>
          <w:w w:val="105"/>
        </w:rPr>
        <w:t>(Partial</w:t>
      </w:r>
      <w:r>
        <w:rPr>
          <w:spacing w:val="-9"/>
          <w:w w:val="105"/>
        </w:rPr>
        <w:t xml:space="preserve"> </w:t>
      </w:r>
      <w:r>
        <w:rPr>
          <w:w w:val="105"/>
        </w:rPr>
        <w:t>versus</w:t>
      </w:r>
      <w:r>
        <w:rPr>
          <w:spacing w:val="-15"/>
          <w:w w:val="105"/>
        </w:rPr>
        <w:t xml:space="preserve"> </w:t>
      </w:r>
      <w:r>
        <w:rPr>
          <w:w w:val="105"/>
        </w:rPr>
        <w:t>Full</w:t>
      </w:r>
      <w:r>
        <w:rPr>
          <w:spacing w:val="-16"/>
          <w:w w:val="105"/>
        </w:rPr>
        <w:t xml:space="preserve"> </w:t>
      </w:r>
      <w:r>
        <w:rPr>
          <w:w w:val="105"/>
        </w:rPr>
        <w:t>Remission).</w:t>
      </w:r>
      <w:r>
        <w:rPr>
          <w:spacing w:val="-1"/>
          <w:w w:val="105"/>
        </w:rPr>
        <w:t xml:space="preserve"> </w:t>
      </w:r>
      <w:r>
        <w:rPr>
          <w:w w:val="105"/>
        </w:rPr>
        <w:t>Because</w:t>
      </w:r>
      <w:r>
        <w:rPr>
          <w:spacing w:val="-10"/>
          <w:w w:val="105"/>
        </w:rPr>
        <w:t xml:space="preserve"> </w:t>
      </w:r>
      <w:r>
        <w:rPr>
          <w:w w:val="105"/>
        </w:rPr>
        <w:t>the</w:t>
      </w:r>
      <w:r>
        <w:rPr>
          <w:spacing w:val="-27"/>
          <w:w w:val="105"/>
        </w:rPr>
        <w:t xml:space="preserve"> </w:t>
      </w:r>
      <w:r>
        <w:rPr>
          <w:w w:val="105"/>
        </w:rPr>
        <w:t>first</w:t>
      </w:r>
      <w:r>
        <w:rPr>
          <w:spacing w:val="-18"/>
          <w:w w:val="105"/>
        </w:rPr>
        <w:t xml:space="preserve"> </w:t>
      </w:r>
      <w:r>
        <w:rPr>
          <w:w w:val="105"/>
        </w:rPr>
        <w:t>12</w:t>
      </w:r>
      <w:r>
        <w:rPr>
          <w:spacing w:val="-16"/>
          <w:w w:val="105"/>
        </w:rPr>
        <w:t xml:space="preserve"> </w:t>
      </w:r>
      <w:r>
        <w:rPr>
          <w:w w:val="105"/>
        </w:rPr>
        <w:t>months</w:t>
      </w:r>
      <w:r>
        <w:rPr>
          <w:spacing w:val="-20"/>
          <w:w w:val="105"/>
        </w:rPr>
        <w:t xml:space="preserve"> </w:t>
      </w:r>
      <w:r>
        <w:rPr>
          <w:w w:val="105"/>
        </w:rPr>
        <w:t>following</w:t>
      </w:r>
      <w:r>
        <w:rPr>
          <w:spacing w:val="-15"/>
          <w:w w:val="105"/>
        </w:rPr>
        <w:t xml:space="preserve"> </w:t>
      </w:r>
      <w:r>
        <w:rPr>
          <w:w w:val="105"/>
        </w:rPr>
        <w:t>Dependence is a time of particularly high risk for relapse, this period is designated Early Remission. After 12 months of Early Remission have passed without relapse to Dependence, the person enters into Sustained Remission. For both Early Remission and Sustained Remission, a further designation of Full is given if no criteria for Dependence or Abuse have been met during the period of remission; a designation of Partial is given if at least one</w:t>
      </w:r>
      <w:r>
        <w:rPr>
          <w:spacing w:val="4"/>
          <w:w w:val="105"/>
        </w:rPr>
        <w:t xml:space="preserve"> </w:t>
      </w:r>
      <w:r>
        <w:rPr>
          <w:w w:val="105"/>
        </w:rPr>
        <w:t>of</w:t>
      </w:r>
      <w:r>
        <w:rPr>
          <w:spacing w:val="-1"/>
          <w:w w:val="105"/>
        </w:rPr>
        <w:t xml:space="preserve"> </w:t>
      </w:r>
      <w:r>
        <w:rPr>
          <w:w w:val="105"/>
        </w:rPr>
        <w:t>the</w:t>
      </w:r>
      <w:r>
        <w:rPr>
          <w:spacing w:val="-14"/>
          <w:w w:val="105"/>
        </w:rPr>
        <w:t xml:space="preserve"> </w:t>
      </w:r>
      <w:r>
        <w:rPr>
          <w:w w:val="105"/>
        </w:rPr>
        <w:t>criteria</w:t>
      </w:r>
      <w:r>
        <w:rPr>
          <w:spacing w:val="-10"/>
          <w:w w:val="105"/>
        </w:rPr>
        <w:t xml:space="preserve"> </w:t>
      </w:r>
      <w:r>
        <w:rPr>
          <w:w w:val="105"/>
        </w:rPr>
        <w:t>for</w:t>
      </w:r>
      <w:r>
        <w:rPr>
          <w:spacing w:val="-12"/>
          <w:w w:val="105"/>
        </w:rPr>
        <w:t xml:space="preserve"> </w:t>
      </w:r>
      <w:r>
        <w:rPr>
          <w:w w:val="105"/>
        </w:rPr>
        <w:t>Dependence or</w:t>
      </w:r>
      <w:r>
        <w:rPr>
          <w:spacing w:val="-16"/>
          <w:w w:val="105"/>
        </w:rPr>
        <w:t xml:space="preserve"> </w:t>
      </w:r>
      <w:r>
        <w:rPr>
          <w:w w:val="105"/>
        </w:rPr>
        <w:t>Abuse</w:t>
      </w:r>
      <w:r>
        <w:rPr>
          <w:spacing w:val="-3"/>
          <w:w w:val="105"/>
        </w:rPr>
        <w:t xml:space="preserve"> </w:t>
      </w:r>
      <w:r>
        <w:rPr>
          <w:w w:val="105"/>
        </w:rPr>
        <w:t>has</w:t>
      </w:r>
      <w:r>
        <w:rPr>
          <w:spacing w:val="-7"/>
          <w:w w:val="105"/>
        </w:rPr>
        <w:t xml:space="preserve"> </w:t>
      </w:r>
      <w:r>
        <w:rPr>
          <w:w w:val="105"/>
        </w:rPr>
        <w:t>been</w:t>
      </w:r>
      <w:r>
        <w:rPr>
          <w:spacing w:val="-9"/>
          <w:w w:val="105"/>
        </w:rPr>
        <w:t xml:space="preserve"> </w:t>
      </w:r>
      <w:r>
        <w:rPr>
          <w:w w:val="105"/>
        </w:rPr>
        <w:t>met,</w:t>
      </w:r>
      <w:r>
        <w:rPr>
          <w:spacing w:val="-11"/>
          <w:w w:val="105"/>
        </w:rPr>
        <w:t xml:space="preserve"> </w:t>
      </w:r>
      <w:r>
        <w:rPr>
          <w:w w:val="105"/>
        </w:rPr>
        <w:t>intermittently</w:t>
      </w:r>
      <w:r>
        <w:rPr>
          <w:spacing w:val="-18"/>
          <w:w w:val="105"/>
        </w:rPr>
        <w:t xml:space="preserve"> </w:t>
      </w:r>
      <w:r>
        <w:rPr>
          <w:w w:val="105"/>
        </w:rPr>
        <w:t>or</w:t>
      </w:r>
      <w:r>
        <w:rPr>
          <w:spacing w:val="-7"/>
          <w:w w:val="105"/>
        </w:rPr>
        <w:t xml:space="preserve"> </w:t>
      </w:r>
      <w:r>
        <w:rPr>
          <w:w w:val="105"/>
        </w:rPr>
        <w:t>continuously, during the period of remission. The differentiation of Sustained Full Remission from recovered (no current Substance Use Disorder) requires consideration of the length of time since the last period of disturbance, the total duration of the disturbance, and the need for continued evaluation. If, after a period of remission or recovery, the individual again becomes dependent, the application of the Early Remission specifier requires that there again be at least 1 month in which no criteria for Dependence or Abuse are met. Two additional specifiers have been provided: On Agonist Therapy and In a Controlled Environment. For an individual to qualify for Early Remission after cessation of agonist therapy or release from a controlled environment, there must be a 1-month period in which none of the criteria for Dependence or Abuse are</w:t>
      </w:r>
      <w:r>
        <w:rPr>
          <w:spacing w:val="-15"/>
          <w:w w:val="105"/>
        </w:rPr>
        <w:t xml:space="preserve"> </w:t>
      </w:r>
      <w:r>
        <w:rPr>
          <w:w w:val="105"/>
        </w:rPr>
        <w:t>met.</w:t>
      </w:r>
    </w:p>
    <w:p w:rsidR="00E675F0" w:rsidRDefault="00E675F0" w:rsidP="00E675F0">
      <w:pPr>
        <w:pStyle w:val="BodyText"/>
        <w:spacing w:before="156" w:line="254" w:lineRule="auto"/>
        <w:ind w:left="136" w:right="108" w:firstLine="353"/>
        <w:jc w:val="both"/>
      </w:pPr>
      <w:r>
        <w:rPr>
          <w:w w:val="105"/>
        </w:rPr>
        <w:t>The following Remission specifiers can be applied only after no criteria for Dependence or Abuse have been met for at least 1 month. Note that these specifiers do not apply if the individual is on agonist therapy or in a controlled environment (see below).</w:t>
      </w:r>
    </w:p>
    <w:p w:rsidR="00E675F0" w:rsidRDefault="00E675F0" w:rsidP="00E675F0">
      <w:pPr>
        <w:spacing w:line="254" w:lineRule="auto"/>
        <w:jc w:val="both"/>
        <w:sectPr w:rsidR="00E675F0">
          <w:pgSz w:w="8960" w:h="14260"/>
          <w:pgMar w:top="1400" w:right="640" w:bottom="280" w:left="600" w:header="692" w:footer="0" w:gutter="0"/>
          <w:cols w:space="720"/>
        </w:sectPr>
      </w:pPr>
    </w:p>
    <w:p w:rsidR="00E675F0" w:rsidRDefault="00E675F0" w:rsidP="00E675F0">
      <w:pPr>
        <w:pStyle w:val="BodyText"/>
        <w:spacing w:before="118" w:line="256" w:lineRule="auto"/>
        <w:ind w:left="710" w:right="119" w:hanging="2"/>
        <w:jc w:val="both"/>
      </w:pPr>
      <w:r>
        <w:rPr>
          <w:b/>
          <w:w w:val="105"/>
        </w:rPr>
        <w:lastRenderedPageBreak/>
        <w:t xml:space="preserve">Early Full Remission. </w:t>
      </w:r>
      <w:r>
        <w:rPr>
          <w:w w:val="105"/>
        </w:rPr>
        <w:t>This specifier is used if, for at least 1 month, but for less than 12 months, no criteria for Dependence or Abuse have been met.</w:t>
      </w:r>
    </w:p>
    <w:p w:rsidR="00E675F0" w:rsidRDefault="00E675F0" w:rsidP="00E675F0">
      <w:pPr>
        <w:pStyle w:val="BodyText"/>
      </w:pPr>
    </w:p>
    <w:p w:rsidR="00E675F0" w:rsidRDefault="00E675F0" w:rsidP="00E675F0">
      <w:pPr>
        <w:pStyle w:val="BodyText"/>
        <w:spacing w:before="1"/>
        <w:rPr>
          <w:sz w:val="18"/>
        </w:rPr>
      </w:pPr>
      <w:r>
        <w:rPr>
          <w:noProof/>
        </w:rPr>
        <mc:AlternateContent>
          <mc:Choice Requires="wps">
            <w:drawing>
              <wp:anchor distT="0" distB="0" distL="0" distR="0" simplePos="0" relativeHeight="251866112" behindDoc="1" locked="0" layoutInCell="1" allowOverlap="1" wp14:anchorId="380E81E1" wp14:editId="1F996AD5">
                <wp:simplePos x="0" y="0"/>
                <wp:positionH relativeFrom="page">
                  <wp:posOffset>457835</wp:posOffset>
                </wp:positionH>
                <wp:positionV relativeFrom="paragraph">
                  <wp:posOffset>182245</wp:posOffset>
                </wp:positionV>
                <wp:extent cx="2957195" cy="1270"/>
                <wp:effectExtent l="0" t="25400" r="14605" b="11430"/>
                <wp:wrapTopAndBottom/>
                <wp:docPr id="1414" name="Freeform 1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7195" cy="1270"/>
                        </a:xfrm>
                        <a:custGeom>
                          <a:avLst/>
                          <a:gdLst>
                            <a:gd name="T0" fmla="+- 0 721 721"/>
                            <a:gd name="T1" fmla="*/ T0 w 4657"/>
                            <a:gd name="T2" fmla="+- 0 5377 721"/>
                            <a:gd name="T3" fmla="*/ T2 w 4657"/>
                          </a:gdLst>
                          <a:ahLst/>
                          <a:cxnLst>
                            <a:cxn ang="0">
                              <a:pos x="T1" y="0"/>
                            </a:cxn>
                            <a:cxn ang="0">
                              <a:pos x="T3" y="0"/>
                            </a:cxn>
                          </a:cxnLst>
                          <a:rect l="0" t="0" r="r" b="b"/>
                          <a:pathLst>
                            <a:path w="4657">
                              <a:moveTo>
                                <a:pt x="0" y="0"/>
                              </a:moveTo>
                              <a:lnTo>
                                <a:pt x="4656" y="0"/>
                              </a:lnTo>
                            </a:path>
                          </a:pathLst>
                        </a:custGeom>
                        <a:noFill/>
                        <a:ln w="4883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8C176" id="Freeform 1370" o:spid="_x0000_s1026" style="position:absolute;margin-left:36.05pt;margin-top:14.35pt;width:232.85pt;height:.1pt;z-index:-251450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5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" path="m,l4656,e" filled="f" strokeweight="1.3566mm">
                <v:path arrowok="t" o:connecttype="custom" o:connectlocs="0,0;2956560,0" o:connectangles="0,0"/>
                <w10:wrap type="topAndBottom" anchorx="page"/>
              </v:shape>
            </w:pict>
          </mc:Fallback>
        </mc:AlternateContent>
      </w:r>
    </w:p>
    <w:p w:rsidR="00E675F0" w:rsidRDefault="00E675F0" w:rsidP="003048D3">
      <w:pPr>
        <w:numPr>
          <w:ilvl w:val="0"/>
          <w:numId w:val="45"/>
        </w:numPr>
        <w:tabs>
          <w:tab w:val="left" w:pos="386"/>
          <w:tab w:val="left" w:pos="2057"/>
          <w:tab w:val="left" w:pos="2709"/>
          <w:tab w:val="left" w:leader="hyphen" w:pos="4538"/>
        </w:tabs>
        <w:spacing w:before="114" w:line="226" w:lineRule="exact"/>
        <w:ind w:hanging="248"/>
        <w:rPr>
          <w:rFonts w:ascii="Arial"/>
          <w:b/>
          <w:sz w:val="10"/>
        </w:rPr>
      </w:pPr>
      <w:r>
        <w:rPr>
          <w:rFonts w:ascii="Arial"/>
          <w:b/>
          <w:sz w:val="20"/>
        </w:rPr>
        <w:t>Dependence</w:t>
      </w:r>
      <w:r>
        <w:rPr>
          <w:rFonts w:ascii="Arial"/>
          <w:b/>
          <w:spacing w:val="2"/>
          <w:sz w:val="20"/>
        </w:rPr>
        <w:t xml:space="preserve"> </w:t>
      </w:r>
      <w:r>
        <w:rPr>
          <w:rFonts w:ascii="Arial"/>
          <w:b/>
          <w:sz w:val="20"/>
        </w:rPr>
        <w:t>-</w:t>
      </w:r>
      <w:r>
        <w:rPr>
          <w:rFonts w:ascii="Arial"/>
          <w:b/>
          <w:sz w:val="20"/>
        </w:rPr>
        <w:tab/>
      </w:r>
      <w:r>
        <w:rPr>
          <w:rFonts w:ascii="Arial"/>
          <w:b/>
          <w:w w:val="105"/>
          <w:sz w:val="20"/>
        </w:rPr>
        <w:t xml:space="preserve">1 </w:t>
      </w:r>
      <w:r>
        <w:rPr>
          <w:rFonts w:ascii="Arial"/>
          <w:b/>
          <w:spacing w:val="13"/>
          <w:w w:val="105"/>
          <w:sz w:val="20"/>
        </w:rPr>
        <w:t xml:space="preserve"> </w:t>
      </w:r>
      <w:r>
        <w:rPr>
          <w:rFonts w:ascii="Arial"/>
          <w:b/>
          <w:w w:val="105"/>
          <w:sz w:val="20"/>
        </w:rPr>
        <w:t>-</w:t>
      </w:r>
      <w:r>
        <w:rPr>
          <w:rFonts w:ascii="Arial"/>
          <w:b/>
          <w:w w:val="105"/>
          <w:sz w:val="20"/>
        </w:rPr>
        <w:tab/>
        <w:t>0-11</w:t>
      </w:r>
      <w:r>
        <w:rPr>
          <w:rFonts w:ascii="Arial"/>
          <w:b/>
          <w:spacing w:val="-36"/>
          <w:w w:val="105"/>
          <w:sz w:val="20"/>
        </w:rPr>
        <w:t xml:space="preserve"> </w:t>
      </w:r>
      <w:r>
        <w:rPr>
          <w:rFonts w:ascii="Arial"/>
          <w:b/>
          <w:w w:val="105"/>
          <w:sz w:val="20"/>
        </w:rPr>
        <w:t>months</w:t>
      </w:r>
      <w:r>
        <w:rPr>
          <w:rFonts w:ascii="Arial"/>
          <w:b/>
          <w:w w:val="105"/>
          <w:sz w:val="20"/>
        </w:rPr>
        <w:tab/>
      </w:r>
      <w:r>
        <w:rPr>
          <w:rFonts w:ascii="Arial"/>
          <w:b/>
          <w:w w:val="330"/>
          <w:sz w:val="10"/>
        </w:rPr>
        <w:t>+I</w:t>
      </w:r>
    </w:p>
    <w:p w:rsidR="00E675F0" w:rsidRDefault="00E675F0" w:rsidP="00E675F0">
      <w:pPr>
        <w:spacing w:line="226" w:lineRule="exact"/>
        <w:ind w:left="1840"/>
        <w:rPr>
          <w:rFonts w:ascii="Arial"/>
          <w:b/>
          <w:sz w:val="20"/>
        </w:rPr>
      </w:pPr>
      <w:r>
        <w:rPr>
          <w:rFonts w:ascii="Arial"/>
          <w:b/>
          <w:sz w:val="20"/>
        </w:rPr>
        <w:t>month</w:t>
      </w:r>
    </w:p>
    <w:p w:rsidR="00E675F0" w:rsidRDefault="00E675F0" w:rsidP="00E675F0">
      <w:pPr>
        <w:pStyle w:val="BodyText"/>
        <w:spacing w:before="10"/>
        <w:rPr>
          <w:rFonts w:ascii="Arial"/>
          <w:b/>
          <w:sz w:val="26"/>
        </w:rPr>
      </w:pPr>
    </w:p>
    <w:p w:rsidR="00E675F0" w:rsidRDefault="00E675F0" w:rsidP="00E675F0">
      <w:pPr>
        <w:pStyle w:val="BodyText"/>
        <w:spacing w:line="256" w:lineRule="auto"/>
        <w:ind w:left="713" w:right="115" w:hanging="6"/>
        <w:jc w:val="both"/>
      </w:pPr>
      <w:r>
        <w:rPr>
          <w:b/>
          <w:w w:val="110"/>
        </w:rPr>
        <w:t>Early</w:t>
      </w:r>
      <w:r>
        <w:rPr>
          <w:b/>
          <w:spacing w:val="-31"/>
          <w:w w:val="110"/>
        </w:rPr>
        <w:t xml:space="preserve"> </w:t>
      </w:r>
      <w:r>
        <w:rPr>
          <w:b/>
          <w:w w:val="110"/>
        </w:rPr>
        <w:t>Partial</w:t>
      </w:r>
      <w:r>
        <w:rPr>
          <w:b/>
          <w:spacing w:val="-27"/>
          <w:w w:val="110"/>
        </w:rPr>
        <w:t xml:space="preserve"> </w:t>
      </w:r>
      <w:r>
        <w:rPr>
          <w:b/>
          <w:w w:val="110"/>
        </w:rPr>
        <w:t>Remission.</w:t>
      </w:r>
      <w:r>
        <w:rPr>
          <w:b/>
          <w:spacing w:val="2"/>
          <w:w w:val="110"/>
        </w:rPr>
        <w:t xml:space="preserve"> </w:t>
      </w:r>
      <w:r>
        <w:rPr>
          <w:w w:val="110"/>
        </w:rPr>
        <w:t>This</w:t>
      </w:r>
      <w:r>
        <w:rPr>
          <w:spacing w:val="-20"/>
          <w:w w:val="110"/>
        </w:rPr>
        <w:t xml:space="preserve"> </w:t>
      </w:r>
      <w:r>
        <w:rPr>
          <w:w w:val="110"/>
        </w:rPr>
        <w:t>specifier</w:t>
      </w:r>
      <w:r>
        <w:rPr>
          <w:spacing w:val="-11"/>
          <w:w w:val="110"/>
        </w:rPr>
        <w:t xml:space="preserve"> </w:t>
      </w:r>
      <w:r>
        <w:rPr>
          <w:w w:val="110"/>
        </w:rPr>
        <w:t>is</w:t>
      </w:r>
      <w:r>
        <w:rPr>
          <w:spacing w:val="-16"/>
          <w:w w:val="110"/>
        </w:rPr>
        <w:t xml:space="preserve"> </w:t>
      </w:r>
      <w:r>
        <w:rPr>
          <w:w w:val="110"/>
        </w:rPr>
        <w:t>used</w:t>
      </w:r>
      <w:r>
        <w:rPr>
          <w:spacing w:val="-12"/>
          <w:w w:val="110"/>
        </w:rPr>
        <w:t xml:space="preserve"> </w:t>
      </w:r>
      <w:r>
        <w:rPr>
          <w:w w:val="110"/>
        </w:rPr>
        <w:t>if,</w:t>
      </w:r>
      <w:r>
        <w:rPr>
          <w:spacing w:val="-18"/>
          <w:w w:val="110"/>
        </w:rPr>
        <w:t xml:space="preserve"> </w:t>
      </w:r>
      <w:r>
        <w:rPr>
          <w:w w:val="110"/>
        </w:rPr>
        <w:t>for</w:t>
      </w:r>
      <w:r>
        <w:rPr>
          <w:spacing w:val="-17"/>
          <w:w w:val="110"/>
        </w:rPr>
        <w:t xml:space="preserve"> </w:t>
      </w:r>
      <w:r>
        <w:rPr>
          <w:w w:val="110"/>
        </w:rPr>
        <w:t>at</w:t>
      </w:r>
      <w:r>
        <w:rPr>
          <w:spacing w:val="-18"/>
          <w:w w:val="110"/>
        </w:rPr>
        <w:t xml:space="preserve"> </w:t>
      </w:r>
      <w:r>
        <w:rPr>
          <w:w w:val="110"/>
        </w:rPr>
        <w:t>least</w:t>
      </w:r>
      <w:r>
        <w:rPr>
          <w:spacing w:val="-18"/>
          <w:w w:val="110"/>
        </w:rPr>
        <w:t xml:space="preserve"> </w:t>
      </w:r>
      <w:r>
        <w:rPr>
          <w:w w:val="110"/>
        </w:rPr>
        <w:t>1</w:t>
      </w:r>
      <w:r>
        <w:rPr>
          <w:spacing w:val="-17"/>
          <w:w w:val="110"/>
        </w:rPr>
        <w:t xml:space="preserve"> </w:t>
      </w:r>
      <w:r>
        <w:rPr>
          <w:w w:val="110"/>
        </w:rPr>
        <w:t>month,</w:t>
      </w:r>
      <w:r>
        <w:rPr>
          <w:spacing w:val="-7"/>
          <w:w w:val="110"/>
        </w:rPr>
        <w:t xml:space="preserve"> </w:t>
      </w:r>
      <w:r>
        <w:rPr>
          <w:w w:val="110"/>
        </w:rPr>
        <w:t>but</w:t>
      </w:r>
      <w:r>
        <w:rPr>
          <w:spacing w:val="-15"/>
          <w:w w:val="110"/>
        </w:rPr>
        <w:t xml:space="preserve"> </w:t>
      </w:r>
      <w:r>
        <w:rPr>
          <w:w w:val="110"/>
        </w:rPr>
        <w:t>less than 12 months, one or more criteria for Dependence or Abuse have been met (but the full criteria for Dependence have not been</w:t>
      </w:r>
      <w:r>
        <w:rPr>
          <w:spacing w:val="16"/>
          <w:w w:val="110"/>
        </w:rPr>
        <w:t xml:space="preserve"> </w:t>
      </w:r>
      <w:r>
        <w:rPr>
          <w:w w:val="110"/>
        </w:rPr>
        <w:t>met).</w:t>
      </w:r>
    </w:p>
    <w:p w:rsidR="00E675F0" w:rsidRDefault="00E675F0" w:rsidP="00E675F0">
      <w:pPr>
        <w:pStyle w:val="BodyText"/>
      </w:pPr>
    </w:p>
    <w:p w:rsidR="00E675F0" w:rsidRDefault="00E675F0" w:rsidP="00E675F0">
      <w:pPr>
        <w:pStyle w:val="BodyText"/>
        <w:spacing w:before="6"/>
        <w:rPr>
          <w:sz w:val="18"/>
        </w:rPr>
      </w:pPr>
      <w:r>
        <w:rPr>
          <w:noProof/>
        </w:rPr>
        <mc:AlternateContent>
          <mc:Choice Requires="wps">
            <w:drawing>
              <wp:anchor distT="0" distB="0" distL="0" distR="0" simplePos="0" relativeHeight="251867136" behindDoc="1" locked="0" layoutInCell="1" allowOverlap="1" wp14:anchorId="5BA43BE7" wp14:editId="469AF48B">
                <wp:simplePos x="0" y="0"/>
                <wp:positionH relativeFrom="page">
                  <wp:posOffset>457835</wp:posOffset>
                </wp:positionH>
                <wp:positionV relativeFrom="paragraph">
                  <wp:posOffset>187960</wp:posOffset>
                </wp:positionV>
                <wp:extent cx="2957195" cy="1270"/>
                <wp:effectExtent l="0" t="25400" r="14605" b="11430"/>
                <wp:wrapTopAndBottom/>
                <wp:docPr id="1413" name="Freeform 1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7195" cy="1270"/>
                        </a:xfrm>
                        <a:custGeom>
                          <a:avLst/>
                          <a:gdLst>
                            <a:gd name="T0" fmla="+- 0 721 721"/>
                            <a:gd name="T1" fmla="*/ T0 w 4657"/>
                            <a:gd name="T2" fmla="+- 0 5377 721"/>
                            <a:gd name="T3" fmla="*/ T2 w 4657"/>
                          </a:gdLst>
                          <a:ahLst/>
                          <a:cxnLst>
                            <a:cxn ang="0">
                              <a:pos x="T1" y="0"/>
                            </a:cxn>
                            <a:cxn ang="0">
                              <a:pos x="T3" y="0"/>
                            </a:cxn>
                          </a:cxnLst>
                          <a:rect l="0" t="0" r="r" b="b"/>
                          <a:pathLst>
                            <a:path w="4657">
                              <a:moveTo>
                                <a:pt x="0" y="0"/>
                              </a:moveTo>
                              <a:lnTo>
                                <a:pt x="4656" y="0"/>
                              </a:lnTo>
                            </a:path>
                          </a:pathLst>
                        </a:custGeom>
                        <a:noFill/>
                        <a:ln w="5494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6CC54" id="Freeform 1369" o:spid="_x0000_s1026" style="position:absolute;margin-left:36.05pt;margin-top:14.8pt;width:232.85pt;height:.1pt;z-index:-251449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5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" path="m,l4656,e" filled="f" strokeweight="1.52614mm">
                <v:path arrowok="t" o:connecttype="custom" o:connectlocs="0,0;2956560,0" o:connectangles="0,0"/>
                <w10:wrap type="topAndBottom" anchorx="page"/>
              </v:shape>
            </w:pict>
          </mc:Fallback>
        </mc:AlternateContent>
      </w:r>
    </w:p>
    <w:p w:rsidR="00E675F0" w:rsidRDefault="00E675F0" w:rsidP="00E675F0">
      <w:pPr>
        <w:pStyle w:val="BodyText"/>
        <w:spacing w:before="1"/>
        <w:rPr>
          <w:sz w:val="6"/>
        </w:rPr>
      </w:pPr>
    </w:p>
    <w:p w:rsidR="00E675F0" w:rsidRDefault="00E675F0" w:rsidP="00E675F0">
      <w:pPr>
        <w:rPr>
          <w:sz w:val="6"/>
        </w:rPr>
        <w:sectPr w:rsidR="00E675F0">
          <w:pgSz w:w="8960" w:h="14260"/>
          <w:pgMar w:top="1400" w:right="660" w:bottom="280" w:left="600" w:header="681" w:footer="0" w:gutter="0"/>
          <w:cols w:space="720"/>
        </w:sectPr>
      </w:pPr>
    </w:p>
    <w:p w:rsidR="00E675F0" w:rsidRDefault="00E675F0" w:rsidP="003048D3">
      <w:pPr>
        <w:numPr>
          <w:ilvl w:val="0"/>
          <w:numId w:val="45"/>
        </w:numPr>
        <w:tabs>
          <w:tab w:val="left" w:pos="386"/>
          <w:tab w:val="left" w:pos="2053"/>
          <w:tab w:val="left" w:pos="2709"/>
          <w:tab w:val="left" w:pos="4286"/>
        </w:tabs>
        <w:spacing w:before="25"/>
        <w:ind w:hanging="253"/>
        <w:rPr>
          <w:rFonts w:ascii="Arial"/>
          <w:b/>
          <w:sz w:val="20"/>
        </w:rPr>
      </w:pPr>
      <w:r>
        <w:rPr>
          <w:rFonts w:ascii="Arial"/>
          <w:b/>
          <w:sz w:val="20"/>
        </w:rPr>
        <w:t>Dependence</w:t>
      </w:r>
      <w:r>
        <w:rPr>
          <w:rFonts w:ascii="Arial"/>
          <w:b/>
          <w:spacing w:val="1"/>
          <w:sz w:val="20"/>
        </w:rPr>
        <w:t xml:space="preserve"> </w:t>
      </w:r>
      <w:r>
        <w:rPr>
          <w:rFonts w:ascii="Arial"/>
          <w:b/>
          <w:sz w:val="20"/>
        </w:rPr>
        <w:t>-</w:t>
      </w:r>
      <w:r>
        <w:rPr>
          <w:rFonts w:ascii="Arial"/>
          <w:b/>
          <w:sz w:val="20"/>
        </w:rPr>
        <w:tab/>
        <w:t xml:space="preserve">1 </w:t>
      </w:r>
      <w:r>
        <w:rPr>
          <w:rFonts w:ascii="Arial"/>
          <w:b/>
          <w:spacing w:val="28"/>
          <w:sz w:val="20"/>
        </w:rPr>
        <w:t xml:space="preserve"> </w:t>
      </w:r>
      <w:r>
        <w:rPr>
          <w:rFonts w:ascii="Arial"/>
          <w:b/>
          <w:sz w:val="20"/>
        </w:rPr>
        <w:t>-</w:t>
      </w:r>
      <w:r>
        <w:rPr>
          <w:rFonts w:ascii="Arial"/>
          <w:b/>
          <w:sz w:val="20"/>
        </w:rPr>
        <w:tab/>
      </w:r>
      <w:r>
        <w:rPr>
          <w:rFonts w:ascii="Arial"/>
          <w:b/>
          <w:w w:val="95"/>
          <w:sz w:val="20"/>
        </w:rPr>
        <w:t>0-11</w:t>
      </w:r>
      <w:r>
        <w:rPr>
          <w:rFonts w:ascii="Arial"/>
          <w:b/>
          <w:spacing w:val="8"/>
          <w:w w:val="95"/>
          <w:sz w:val="20"/>
        </w:rPr>
        <w:t xml:space="preserve"> </w:t>
      </w:r>
      <w:r>
        <w:rPr>
          <w:rFonts w:ascii="Arial"/>
          <w:b/>
          <w:w w:val="95"/>
          <w:sz w:val="20"/>
        </w:rPr>
        <w:t>months</w:t>
      </w:r>
      <w:r>
        <w:rPr>
          <w:rFonts w:ascii="Arial"/>
          <w:b/>
          <w:sz w:val="20"/>
        </w:rPr>
        <w:t xml:space="preserve"> </w:t>
      </w:r>
      <w:r>
        <w:rPr>
          <w:rFonts w:ascii="Arial"/>
          <w:b/>
          <w:spacing w:val="-19"/>
          <w:sz w:val="20"/>
        </w:rPr>
        <w:t xml:space="preserve"> </w:t>
      </w:r>
      <w:r>
        <w:rPr>
          <w:rFonts w:ascii="Arial"/>
          <w:b/>
          <w:sz w:val="20"/>
          <w:u w:val="single"/>
        </w:rPr>
        <w:t xml:space="preserve"> </w:t>
      </w:r>
      <w:r>
        <w:rPr>
          <w:rFonts w:ascii="Arial"/>
          <w:b/>
          <w:sz w:val="20"/>
          <w:u w:val="single"/>
        </w:rPr>
        <w:tab/>
      </w:r>
    </w:p>
    <w:p w:rsidR="00E675F0" w:rsidRDefault="00E675F0" w:rsidP="00E675F0">
      <w:pPr>
        <w:spacing w:before="5"/>
        <w:ind w:left="1840"/>
        <w:rPr>
          <w:rFonts w:ascii="Arial"/>
          <w:b/>
          <w:sz w:val="20"/>
        </w:rPr>
      </w:pPr>
      <w:r>
        <w:rPr>
          <w:rFonts w:ascii="Arial"/>
          <w:b/>
          <w:sz w:val="20"/>
        </w:rPr>
        <w:t>month</w:t>
      </w:r>
    </w:p>
    <w:p w:rsidR="00E675F0" w:rsidRDefault="00E675F0" w:rsidP="00E675F0">
      <w:pPr>
        <w:pStyle w:val="BodyText"/>
        <w:spacing w:before="25"/>
        <w:ind w:left="133"/>
        <w:rPr>
          <w:rFonts w:ascii="Arial"/>
        </w:rPr>
      </w:pPr>
      <w:r>
        <w:br w:type="column"/>
      </w:r>
      <w:r>
        <w:rPr>
          <w:rFonts w:ascii="Arial"/>
          <w:w w:val="55"/>
        </w:rPr>
        <w:t>_..,</w:t>
      </w:r>
    </w:p>
    <w:p w:rsidR="00E675F0" w:rsidRDefault="00E675F0" w:rsidP="00E675F0">
      <w:pPr>
        <w:rPr>
          <w:rFonts w:ascii="Arial"/>
        </w:rPr>
        <w:sectPr w:rsidR="00E675F0">
          <w:type w:val="continuous"/>
          <w:pgSz w:w="8960" w:h="14260"/>
          <w:pgMar w:top="640" w:right="660" w:bottom="0" w:left="600" w:header="720" w:footer="720" w:gutter="0"/>
          <w:cols w:num="2" w:space="720" w:equalWidth="0">
            <w:col w:w="4327" w:space="224"/>
            <w:col w:w="3149"/>
          </w:cols>
        </w:sectPr>
      </w:pPr>
    </w:p>
    <w:p w:rsidR="00E675F0" w:rsidRDefault="00E675F0" w:rsidP="00E675F0">
      <w:pPr>
        <w:pStyle w:val="BodyText"/>
        <w:spacing w:before="11"/>
        <w:rPr>
          <w:rFonts w:ascii="Arial"/>
          <w:sz w:val="18"/>
        </w:rPr>
      </w:pPr>
    </w:p>
    <w:p w:rsidR="00E675F0" w:rsidRDefault="00E675F0" w:rsidP="00E675F0">
      <w:pPr>
        <w:pStyle w:val="BodyText"/>
        <w:spacing w:before="92" w:line="256" w:lineRule="auto"/>
        <w:ind w:left="713" w:right="108" w:hanging="8"/>
        <w:jc w:val="both"/>
      </w:pPr>
      <w:r>
        <w:rPr>
          <w:b/>
          <w:w w:val="110"/>
        </w:rPr>
        <w:t xml:space="preserve">Sustained Full Remission. </w:t>
      </w:r>
      <w:r>
        <w:rPr>
          <w:w w:val="110"/>
        </w:rPr>
        <w:t>This specifier is used if none of the criteria for Dependence</w:t>
      </w:r>
      <w:r>
        <w:rPr>
          <w:spacing w:val="1"/>
          <w:w w:val="110"/>
        </w:rPr>
        <w:t xml:space="preserve"> </w:t>
      </w:r>
      <w:r>
        <w:rPr>
          <w:w w:val="110"/>
        </w:rPr>
        <w:t>or</w:t>
      </w:r>
      <w:r>
        <w:rPr>
          <w:spacing w:val="-10"/>
          <w:w w:val="110"/>
        </w:rPr>
        <w:t xml:space="preserve"> </w:t>
      </w:r>
      <w:r>
        <w:rPr>
          <w:w w:val="110"/>
        </w:rPr>
        <w:t>Abuse</w:t>
      </w:r>
      <w:r>
        <w:rPr>
          <w:spacing w:val="-1"/>
          <w:w w:val="110"/>
        </w:rPr>
        <w:t xml:space="preserve"> </w:t>
      </w:r>
      <w:r>
        <w:rPr>
          <w:w w:val="110"/>
        </w:rPr>
        <w:t>have been</w:t>
      </w:r>
      <w:r>
        <w:rPr>
          <w:spacing w:val="-2"/>
          <w:w w:val="110"/>
        </w:rPr>
        <w:t xml:space="preserve"> </w:t>
      </w:r>
      <w:r>
        <w:rPr>
          <w:w w:val="110"/>
        </w:rPr>
        <w:t>met</w:t>
      </w:r>
      <w:r>
        <w:rPr>
          <w:spacing w:val="-7"/>
          <w:w w:val="110"/>
        </w:rPr>
        <w:t xml:space="preserve"> </w:t>
      </w:r>
      <w:r>
        <w:rPr>
          <w:w w:val="110"/>
        </w:rPr>
        <w:t>at</w:t>
      </w:r>
      <w:r>
        <w:rPr>
          <w:spacing w:val="-9"/>
          <w:w w:val="110"/>
        </w:rPr>
        <w:t xml:space="preserve"> </w:t>
      </w:r>
      <w:r>
        <w:rPr>
          <w:w w:val="110"/>
        </w:rPr>
        <w:t>any</w:t>
      </w:r>
      <w:r>
        <w:rPr>
          <w:spacing w:val="-8"/>
          <w:w w:val="110"/>
        </w:rPr>
        <w:t xml:space="preserve"> </w:t>
      </w:r>
      <w:r>
        <w:rPr>
          <w:w w:val="110"/>
        </w:rPr>
        <w:t>time</w:t>
      </w:r>
      <w:r>
        <w:rPr>
          <w:spacing w:val="-7"/>
          <w:w w:val="110"/>
        </w:rPr>
        <w:t xml:space="preserve"> </w:t>
      </w:r>
      <w:r>
        <w:rPr>
          <w:w w:val="110"/>
        </w:rPr>
        <w:t>during</w:t>
      </w:r>
      <w:r>
        <w:rPr>
          <w:spacing w:val="-7"/>
          <w:w w:val="110"/>
        </w:rPr>
        <w:t xml:space="preserve"> </w:t>
      </w:r>
      <w:r>
        <w:rPr>
          <w:w w:val="110"/>
        </w:rPr>
        <w:t>a</w:t>
      </w:r>
      <w:r>
        <w:rPr>
          <w:spacing w:val="-5"/>
          <w:w w:val="110"/>
        </w:rPr>
        <w:t xml:space="preserve"> </w:t>
      </w:r>
      <w:r>
        <w:rPr>
          <w:w w:val="110"/>
        </w:rPr>
        <w:t>period</w:t>
      </w:r>
      <w:r>
        <w:rPr>
          <w:spacing w:val="-4"/>
          <w:w w:val="110"/>
        </w:rPr>
        <w:t xml:space="preserve"> </w:t>
      </w:r>
      <w:r>
        <w:rPr>
          <w:w w:val="110"/>
        </w:rPr>
        <w:t>of</w:t>
      </w:r>
      <w:r>
        <w:rPr>
          <w:spacing w:val="-9"/>
          <w:w w:val="110"/>
        </w:rPr>
        <w:t xml:space="preserve"> </w:t>
      </w:r>
      <w:r>
        <w:rPr>
          <w:w w:val="110"/>
        </w:rPr>
        <w:t>12</w:t>
      </w:r>
      <w:r>
        <w:rPr>
          <w:spacing w:val="-8"/>
          <w:w w:val="110"/>
        </w:rPr>
        <w:t xml:space="preserve"> </w:t>
      </w:r>
      <w:r>
        <w:rPr>
          <w:w w:val="110"/>
        </w:rPr>
        <w:t>months or longer.</w:t>
      </w:r>
    </w:p>
    <w:p w:rsidR="00E675F0" w:rsidRDefault="00E675F0" w:rsidP="00E675F0">
      <w:pPr>
        <w:pStyle w:val="BodyText"/>
      </w:pPr>
    </w:p>
    <w:p w:rsidR="00E675F0" w:rsidRDefault="00E675F0" w:rsidP="00E675F0">
      <w:pPr>
        <w:pStyle w:val="BodyText"/>
        <w:spacing w:before="3"/>
      </w:pPr>
      <w:r>
        <w:rPr>
          <w:noProof/>
        </w:rPr>
        <mc:AlternateContent>
          <mc:Choice Requires="wps">
            <w:drawing>
              <wp:anchor distT="0" distB="0" distL="0" distR="0" simplePos="0" relativeHeight="251868160" behindDoc="1" locked="0" layoutInCell="1" allowOverlap="1" wp14:anchorId="41A45A5A" wp14:editId="592B1113">
                <wp:simplePos x="0" y="0"/>
                <wp:positionH relativeFrom="page">
                  <wp:posOffset>457835</wp:posOffset>
                </wp:positionH>
                <wp:positionV relativeFrom="paragraph">
                  <wp:posOffset>190500</wp:posOffset>
                </wp:positionV>
                <wp:extent cx="4728845" cy="1270"/>
                <wp:effectExtent l="0" t="12700" r="8255" b="11430"/>
                <wp:wrapTopAndBottom/>
                <wp:docPr id="1412" name="Freeform 1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28845" cy="1270"/>
                        </a:xfrm>
                        <a:custGeom>
                          <a:avLst/>
                          <a:gdLst>
                            <a:gd name="T0" fmla="+- 0 721 721"/>
                            <a:gd name="T1" fmla="*/ T0 w 7447"/>
                            <a:gd name="T2" fmla="+- 0 8167 721"/>
                            <a:gd name="T3" fmla="*/ T2 w 7447"/>
                          </a:gdLst>
                          <a:ahLst/>
                          <a:cxnLst>
                            <a:cxn ang="0">
                              <a:pos x="T1" y="0"/>
                            </a:cxn>
                            <a:cxn ang="0">
                              <a:pos x="T3" y="0"/>
                            </a:cxn>
                          </a:cxnLst>
                          <a:rect l="0" t="0" r="r" b="b"/>
                          <a:pathLst>
                            <a:path w="7447">
                              <a:moveTo>
                                <a:pt x="0" y="0"/>
                              </a:moveTo>
                              <a:lnTo>
                                <a:pt x="7446" y="0"/>
                              </a:lnTo>
                            </a:path>
                          </a:pathLst>
                        </a:custGeom>
                        <a:noFill/>
                        <a:ln w="335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CAD2DF" id="Freeform 1368" o:spid="_x0000_s1026" style="position:absolute;margin-left:36.05pt;margin-top:15pt;width:372.35pt;height:.1pt;z-index:-251448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44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" path="m,l7446,e" filled="f" strokeweight=".93264mm">
                <v:path arrowok="t" o:connecttype="custom" o:connectlocs="0,0;4728210,0" o:connectangles="0,0"/>
                <w10:wrap type="topAndBottom" anchorx="page"/>
              </v:shape>
            </w:pict>
          </mc:Fallback>
        </mc:AlternateContent>
      </w:r>
    </w:p>
    <w:p w:rsidR="00E675F0" w:rsidRDefault="00E675F0" w:rsidP="003048D3">
      <w:pPr>
        <w:numPr>
          <w:ilvl w:val="0"/>
          <w:numId w:val="45"/>
        </w:numPr>
        <w:tabs>
          <w:tab w:val="left" w:pos="410"/>
          <w:tab w:val="left" w:pos="2067"/>
          <w:tab w:val="left" w:pos="2774"/>
        </w:tabs>
        <w:spacing w:before="121" w:line="218" w:lineRule="exact"/>
        <w:ind w:left="409" w:hanging="272"/>
        <w:rPr>
          <w:rFonts w:ascii="Arial"/>
          <w:b/>
          <w:sz w:val="20"/>
        </w:rPr>
      </w:pPr>
      <w:r>
        <w:rPr>
          <w:rFonts w:ascii="Arial"/>
          <w:b/>
          <w:sz w:val="20"/>
        </w:rPr>
        <w:t>Dependence</w:t>
      </w:r>
      <w:r>
        <w:rPr>
          <w:rFonts w:ascii="Arial"/>
          <w:b/>
          <w:spacing w:val="-23"/>
          <w:sz w:val="20"/>
        </w:rPr>
        <w:t xml:space="preserve"> </w:t>
      </w:r>
      <w:r>
        <w:rPr>
          <w:rFonts w:ascii="Arial"/>
          <w:b/>
          <w:sz w:val="20"/>
        </w:rPr>
        <w:t>-</w:t>
      </w:r>
      <w:r>
        <w:rPr>
          <w:rFonts w:ascii="Arial"/>
          <w:b/>
          <w:sz w:val="20"/>
        </w:rPr>
        <w:tab/>
        <w:t>1</w:t>
      </w:r>
      <w:r>
        <w:rPr>
          <w:rFonts w:ascii="Arial"/>
          <w:b/>
          <w:spacing w:val="54"/>
          <w:sz w:val="20"/>
        </w:rPr>
        <w:t xml:space="preserve"> </w:t>
      </w:r>
      <w:r>
        <w:rPr>
          <w:rFonts w:ascii="Arial"/>
          <w:b/>
          <w:sz w:val="20"/>
        </w:rPr>
        <w:t>-</w:t>
      </w:r>
      <w:r>
        <w:rPr>
          <w:rFonts w:ascii="Arial"/>
          <w:b/>
          <w:sz w:val="20"/>
        </w:rPr>
        <w:tab/>
        <w:t>11</w:t>
      </w:r>
      <w:r>
        <w:rPr>
          <w:rFonts w:ascii="Arial"/>
          <w:b/>
          <w:sz w:val="19"/>
        </w:rPr>
        <w:t>+</w:t>
      </w:r>
      <w:r>
        <w:rPr>
          <w:rFonts w:ascii="Arial"/>
          <w:b/>
          <w:spacing w:val="-12"/>
          <w:sz w:val="19"/>
        </w:rPr>
        <w:t xml:space="preserve"> </w:t>
      </w:r>
      <w:r>
        <w:rPr>
          <w:rFonts w:ascii="Arial"/>
          <w:b/>
          <w:sz w:val="20"/>
        </w:rPr>
        <w:t>months</w:t>
      </w:r>
    </w:p>
    <w:p w:rsidR="00E675F0" w:rsidRDefault="00E675F0" w:rsidP="00E675F0">
      <w:pPr>
        <w:spacing w:line="218" w:lineRule="exact"/>
        <w:ind w:left="1825"/>
        <w:rPr>
          <w:rFonts w:ascii="Arial"/>
          <w:b/>
          <w:sz w:val="20"/>
        </w:rPr>
      </w:pPr>
      <w:r>
        <w:rPr>
          <w:noProof/>
        </w:rPr>
        <mc:AlternateContent>
          <mc:Choice Requires="wps">
            <w:drawing>
              <wp:anchor distT="0" distB="0" distL="114300" distR="114300" simplePos="0" relativeHeight="251709440" behindDoc="0" locked="0" layoutInCell="1" allowOverlap="1" wp14:anchorId="643AF2B2" wp14:editId="447D8CFA">
                <wp:simplePos x="0" y="0"/>
                <wp:positionH relativeFrom="page">
                  <wp:posOffset>2864485</wp:posOffset>
                </wp:positionH>
                <wp:positionV relativeFrom="paragraph">
                  <wp:posOffset>-71120</wp:posOffset>
                </wp:positionV>
                <wp:extent cx="2334260" cy="0"/>
                <wp:effectExtent l="0" t="0" r="2540" b="0"/>
                <wp:wrapNone/>
                <wp:docPr id="1411" name="Line 13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34260" cy="0"/>
                        </a:xfrm>
                        <a:prstGeom prst="line">
                          <a:avLst/>
                        </a:prstGeom>
                        <a:noFill/>
                        <a:ln w="61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82D5C0" id="Line 1367" o:spid="_x0000_s1026" style="position:absolute;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5.55pt,-5.6pt" to="409.35pt,-5.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" strokeweight=".16958mm">
                <o:lock v:ext="edit" shapetype="f"/>
                <w10:wrap anchorx="page"/>
              </v:line>
            </w:pict>
          </mc:Fallback>
        </mc:AlternateContent>
      </w:r>
      <w:r>
        <w:rPr>
          <w:rFonts w:ascii="Arial"/>
          <w:b/>
          <w:sz w:val="20"/>
        </w:rPr>
        <w:t>month</w:t>
      </w:r>
    </w:p>
    <w:p w:rsidR="00E675F0" w:rsidRDefault="00E675F0" w:rsidP="00E675F0">
      <w:pPr>
        <w:pStyle w:val="BodyText"/>
        <w:spacing w:before="9"/>
        <w:rPr>
          <w:rFonts w:ascii="Arial"/>
          <w:b/>
          <w:sz w:val="27"/>
        </w:rPr>
      </w:pPr>
    </w:p>
    <w:p w:rsidR="00E675F0" w:rsidRDefault="00E675F0" w:rsidP="00E675F0">
      <w:pPr>
        <w:pStyle w:val="BodyText"/>
        <w:spacing w:line="247" w:lineRule="auto"/>
        <w:ind w:left="715" w:right="115" w:hanging="4"/>
        <w:jc w:val="both"/>
      </w:pPr>
      <w:r>
        <w:rPr>
          <w:b/>
          <w:w w:val="110"/>
        </w:rPr>
        <w:t xml:space="preserve">Sustained Partial Remission. </w:t>
      </w:r>
      <w:r>
        <w:rPr>
          <w:w w:val="110"/>
        </w:rPr>
        <w:t>This specifier is used if full criteria for Depen­ dence have not been met for a period of 12 months or longer; however, one or more criteria for Dependence or Abuse have been</w:t>
      </w:r>
      <w:r>
        <w:rPr>
          <w:spacing w:val="52"/>
          <w:w w:val="110"/>
        </w:rPr>
        <w:t xml:space="preserve"> </w:t>
      </w:r>
      <w:r>
        <w:rPr>
          <w:w w:val="110"/>
        </w:rPr>
        <w:t>met.</w:t>
      </w:r>
    </w:p>
    <w:p w:rsidR="00E675F0" w:rsidRDefault="00E675F0" w:rsidP="00E675F0">
      <w:pPr>
        <w:pStyle w:val="BodyText"/>
      </w:pPr>
    </w:p>
    <w:p w:rsidR="00E675F0" w:rsidRDefault="00E675F0" w:rsidP="00E675F0">
      <w:pPr>
        <w:pStyle w:val="BodyText"/>
        <w:spacing w:before="7"/>
      </w:pPr>
      <w:r>
        <w:rPr>
          <w:noProof/>
        </w:rPr>
        <mc:AlternateContent>
          <mc:Choice Requires="wps">
            <w:drawing>
              <wp:anchor distT="0" distB="0" distL="0" distR="0" simplePos="0" relativeHeight="251869184" behindDoc="1" locked="0" layoutInCell="1" allowOverlap="1" wp14:anchorId="1F962565" wp14:editId="5E254D9C">
                <wp:simplePos x="0" y="0"/>
                <wp:positionH relativeFrom="page">
                  <wp:posOffset>457835</wp:posOffset>
                </wp:positionH>
                <wp:positionV relativeFrom="paragraph">
                  <wp:posOffset>198755</wp:posOffset>
                </wp:positionV>
                <wp:extent cx="4740910" cy="1270"/>
                <wp:effectExtent l="0" t="25400" r="8890" b="11430"/>
                <wp:wrapTopAndBottom/>
                <wp:docPr id="1410" name="Freeform 1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40910" cy="1270"/>
                        </a:xfrm>
                        <a:custGeom>
                          <a:avLst/>
                          <a:gdLst>
                            <a:gd name="T0" fmla="+- 0 721 721"/>
                            <a:gd name="T1" fmla="*/ T0 w 7466"/>
                            <a:gd name="T2" fmla="+- 0 8187 721"/>
                            <a:gd name="T3" fmla="*/ T2 w 7466"/>
                          </a:gdLst>
                          <a:ahLst/>
                          <a:cxnLst>
                            <a:cxn ang="0">
                              <a:pos x="T1" y="0"/>
                            </a:cxn>
                            <a:cxn ang="0">
                              <a:pos x="T3" y="0"/>
                            </a:cxn>
                          </a:cxnLst>
                          <a:rect l="0" t="0" r="r" b="b"/>
                          <a:pathLst>
                            <a:path w="7466">
                              <a:moveTo>
                                <a:pt x="0" y="0"/>
                              </a:moveTo>
                              <a:lnTo>
                                <a:pt x="7466" y="0"/>
                              </a:lnTo>
                            </a:path>
                          </a:pathLst>
                        </a:custGeom>
                        <a:noFill/>
                        <a:ln w="457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9B261" id="Freeform 1366" o:spid="_x0000_s1026" style="position:absolute;margin-left:36.05pt;margin-top:15.65pt;width:373.3pt;height:.1pt;z-index:-251447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466,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" path="m,l7466,e" filled="f" strokeweight="1.2718mm">
                <v:path arrowok="t" o:connecttype="custom" o:connectlocs="0,0;4740910,0" o:connectangles="0,0"/>
                <w10:wrap type="topAndBottom" anchorx="page"/>
              </v:shape>
            </w:pict>
          </mc:Fallback>
        </mc:AlternateContent>
      </w:r>
    </w:p>
    <w:p w:rsidR="00E675F0" w:rsidRDefault="00E675F0" w:rsidP="003048D3">
      <w:pPr>
        <w:numPr>
          <w:ilvl w:val="0"/>
          <w:numId w:val="45"/>
        </w:numPr>
        <w:tabs>
          <w:tab w:val="left" w:pos="413"/>
          <w:tab w:val="left" w:pos="414"/>
          <w:tab w:val="left" w:pos="2072"/>
          <w:tab w:val="left" w:pos="2774"/>
        </w:tabs>
        <w:spacing w:before="97" w:line="221" w:lineRule="exact"/>
        <w:ind w:left="413" w:hanging="271"/>
        <w:rPr>
          <w:rFonts w:ascii="Arial"/>
          <w:b/>
          <w:sz w:val="20"/>
        </w:rPr>
      </w:pPr>
      <w:r>
        <w:rPr>
          <w:rFonts w:ascii="Arial"/>
          <w:b/>
          <w:sz w:val="20"/>
        </w:rPr>
        <w:t>Dependence</w:t>
      </w:r>
      <w:r>
        <w:rPr>
          <w:rFonts w:ascii="Arial"/>
          <w:b/>
          <w:spacing w:val="-23"/>
          <w:sz w:val="20"/>
        </w:rPr>
        <w:t xml:space="preserve"> </w:t>
      </w:r>
      <w:r>
        <w:rPr>
          <w:rFonts w:ascii="Arial"/>
          <w:b/>
          <w:sz w:val="20"/>
        </w:rPr>
        <w:t>-</w:t>
      </w:r>
      <w:r>
        <w:rPr>
          <w:rFonts w:ascii="Arial"/>
          <w:b/>
          <w:sz w:val="20"/>
        </w:rPr>
        <w:tab/>
        <w:t>1</w:t>
      </w:r>
      <w:r>
        <w:rPr>
          <w:rFonts w:ascii="Arial"/>
          <w:b/>
          <w:spacing w:val="51"/>
          <w:sz w:val="20"/>
        </w:rPr>
        <w:t xml:space="preserve"> </w:t>
      </w:r>
      <w:r>
        <w:rPr>
          <w:rFonts w:ascii="Arial"/>
          <w:b/>
          <w:sz w:val="20"/>
        </w:rPr>
        <w:t>-</w:t>
      </w:r>
      <w:r>
        <w:rPr>
          <w:rFonts w:ascii="Arial"/>
          <w:b/>
          <w:sz w:val="20"/>
        </w:rPr>
        <w:tab/>
        <w:t>11</w:t>
      </w:r>
      <w:r>
        <w:rPr>
          <w:b/>
          <w:sz w:val="18"/>
        </w:rPr>
        <w:t>+</w:t>
      </w:r>
      <w:r>
        <w:rPr>
          <w:b/>
          <w:spacing w:val="19"/>
          <w:sz w:val="18"/>
        </w:rPr>
        <w:t xml:space="preserve"> </w:t>
      </w:r>
      <w:r>
        <w:rPr>
          <w:rFonts w:ascii="Arial"/>
          <w:b/>
          <w:sz w:val="20"/>
        </w:rPr>
        <w:t>months</w:t>
      </w:r>
    </w:p>
    <w:p w:rsidR="00E675F0" w:rsidRDefault="00E675F0" w:rsidP="00E675F0">
      <w:pPr>
        <w:spacing w:line="221" w:lineRule="exact"/>
        <w:ind w:left="1825"/>
        <w:rPr>
          <w:rFonts w:ascii="Arial"/>
          <w:b/>
          <w:sz w:val="20"/>
        </w:rPr>
      </w:pPr>
      <w:r>
        <w:rPr>
          <w:noProof/>
        </w:rPr>
        <mc:AlternateContent>
          <mc:Choice Requires="wps">
            <w:drawing>
              <wp:anchor distT="0" distB="0" distL="114300" distR="114300" simplePos="0" relativeHeight="251710464" behindDoc="0" locked="0" layoutInCell="1" allowOverlap="1" wp14:anchorId="581F432B" wp14:editId="4260BF3C">
                <wp:simplePos x="0" y="0"/>
                <wp:positionH relativeFrom="page">
                  <wp:posOffset>2864485</wp:posOffset>
                </wp:positionH>
                <wp:positionV relativeFrom="paragraph">
                  <wp:posOffset>-69850</wp:posOffset>
                </wp:positionV>
                <wp:extent cx="2321560" cy="0"/>
                <wp:effectExtent l="0" t="0" r="2540" b="0"/>
                <wp:wrapNone/>
                <wp:docPr id="1409" name="Line 13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21560" cy="0"/>
                        </a:xfrm>
                        <a:prstGeom prst="line">
                          <a:avLst/>
                        </a:prstGeom>
                        <a:noFill/>
                        <a:ln w="61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22A628" id="Line 1365" o:spid="_x0000_s1026" style="position:absolute;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5.55pt,-5.5pt" to="408.35pt,-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" strokeweight=".16958mm">
                <o:lock v:ext="edit" shapetype="f"/>
                <w10:wrap anchorx="page"/>
              </v:line>
            </w:pict>
          </mc:Fallback>
        </mc:AlternateContent>
      </w:r>
      <w:r>
        <w:rPr>
          <w:rFonts w:ascii="Arial"/>
          <w:b/>
          <w:sz w:val="20"/>
        </w:rPr>
        <w:t>month</w:t>
      </w:r>
    </w:p>
    <w:p w:rsidR="00E675F0" w:rsidRDefault="00E675F0" w:rsidP="00E675F0">
      <w:pPr>
        <w:pStyle w:val="BodyText"/>
        <w:rPr>
          <w:rFonts w:ascii="Arial"/>
          <w:b/>
          <w:sz w:val="22"/>
        </w:rPr>
      </w:pPr>
    </w:p>
    <w:p w:rsidR="00E675F0" w:rsidRDefault="00E675F0" w:rsidP="00E675F0">
      <w:pPr>
        <w:pStyle w:val="BodyText"/>
        <w:spacing w:before="9"/>
        <w:rPr>
          <w:rFonts w:ascii="Arial"/>
          <w:b/>
        </w:rPr>
      </w:pPr>
    </w:p>
    <w:p w:rsidR="00E675F0" w:rsidRDefault="00E675F0" w:rsidP="00E675F0">
      <w:pPr>
        <w:pStyle w:val="BodyText"/>
        <w:spacing w:line="261" w:lineRule="auto"/>
        <w:ind w:left="113" w:right="121" w:firstLine="362"/>
        <w:jc w:val="both"/>
      </w:pPr>
      <w:r>
        <w:rPr>
          <w:w w:val="105"/>
        </w:rPr>
        <w:t>The</w:t>
      </w:r>
      <w:r>
        <w:rPr>
          <w:spacing w:val="-20"/>
          <w:w w:val="105"/>
        </w:rPr>
        <w:t xml:space="preserve"> </w:t>
      </w:r>
      <w:r>
        <w:rPr>
          <w:w w:val="105"/>
        </w:rPr>
        <w:t>following</w:t>
      </w:r>
      <w:r>
        <w:rPr>
          <w:spacing w:val="-13"/>
          <w:w w:val="105"/>
        </w:rPr>
        <w:t xml:space="preserve"> </w:t>
      </w:r>
      <w:r>
        <w:rPr>
          <w:w w:val="105"/>
        </w:rPr>
        <w:t>specifiers</w:t>
      </w:r>
      <w:r>
        <w:rPr>
          <w:spacing w:val="-6"/>
          <w:w w:val="105"/>
        </w:rPr>
        <w:t xml:space="preserve"> </w:t>
      </w:r>
      <w:r>
        <w:rPr>
          <w:w w:val="105"/>
        </w:rPr>
        <w:t>apply</w:t>
      </w:r>
      <w:r>
        <w:rPr>
          <w:spacing w:val="-12"/>
          <w:w w:val="105"/>
        </w:rPr>
        <w:t xml:space="preserve"> </w:t>
      </w:r>
      <w:r>
        <w:rPr>
          <w:w w:val="105"/>
        </w:rPr>
        <w:t>if</w:t>
      </w:r>
      <w:r>
        <w:rPr>
          <w:spacing w:val="-16"/>
          <w:w w:val="105"/>
        </w:rPr>
        <w:t xml:space="preserve"> </w:t>
      </w:r>
      <w:r>
        <w:rPr>
          <w:w w:val="105"/>
        </w:rPr>
        <w:t>the</w:t>
      </w:r>
      <w:r>
        <w:rPr>
          <w:spacing w:val="-21"/>
          <w:w w:val="105"/>
        </w:rPr>
        <w:t xml:space="preserve"> </w:t>
      </w:r>
      <w:r>
        <w:rPr>
          <w:w w:val="105"/>
        </w:rPr>
        <w:t>individual</w:t>
      </w:r>
      <w:r>
        <w:rPr>
          <w:spacing w:val="-4"/>
          <w:w w:val="105"/>
        </w:rPr>
        <w:t xml:space="preserve"> </w:t>
      </w:r>
      <w:r>
        <w:rPr>
          <w:w w:val="105"/>
        </w:rPr>
        <w:t>is</w:t>
      </w:r>
      <w:r>
        <w:rPr>
          <w:spacing w:val="-19"/>
          <w:w w:val="105"/>
        </w:rPr>
        <w:t xml:space="preserve"> </w:t>
      </w:r>
      <w:r>
        <w:rPr>
          <w:w w:val="105"/>
        </w:rPr>
        <w:t>on</w:t>
      </w:r>
      <w:r>
        <w:rPr>
          <w:spacing w:val="-16"/>
          <w:w w:val="105"/>
        </w:rPr>
        <w:t xml:space="preserve"> </w:t>
      </w:r>
      <w:r>
        <w:rPr>
          <w:w w:val="105"/>
        </w:rPr>
        <w:t>agonist</w:t>
      </w:r>
      <w:r>
        <w:rPr>
          <w:spacing w:val="-9"/>
          <w:w w:val="105"/>
        </w:rPr>
        <w:t xml:space="preserve"> </w:t>
      </w:r>
      <w:r>
        <w:rPr>
          <w:w w:val="105"/>
        </w:rPr>
        <w:t>therapy</w:t>
      </w:r>
      <w:r>
        <w:rPr>
          <w:spacing w:val="-13"/>
          <w:w w:val="105"/>
        </w:rPr>
        <w:t xml:space="preserve"> </w:t>
      </w:r>
      <w:r>
        <w:rPr>
          <w:w w:val="105"/>
        </w:rPr>
        <w:t>or</w:t>
      </w:r>
      <w:r>
        <w:rPr>
          <w:spacing w:val="-18"/>
          <w:w w:val="105"/>
        </w:rPr>
        <w:t xml:space="preserve"> </w:t>
      </w:r>
      <w:r>
        <w:rPr>
          <w:w w:val="105"/>
        </w:rPr>
        <w:t>in</w:t>
      </w:r>
      <w:r>
        <w:rPr>
          <w:spacing w:val="-18"/>
          <w:w w:val="105"/>
        </w:rPr>
        <w:t xml:space="preserve"> </w:t>
      </w:r>
      <w:r>
        <w:rPr>
          <w:w w:val="105"/>
        </w:rPr>
        <w:t>a</w:t>
      </w:r>
      <w:r>
        <w:rPr>
          <w:spacing w:val="-18"/>
          <w:w w:val="105"/>
        </w:rPr>
        <w:t xml:space="preserve"> </w:t>
      </w:r>
      <w:r>
        <w:rPr>
          <w:w w:val="105"/>
        </w:rPr>
        <w:t>controlled environment:</w:t>
      </w:r>
    </w:p>
    <w:p w:rsidR="00E675F0" w:rsidRDefault="00E675F0" w:rsidP="00E675F0">
      <w:pPr>
        <w:pStyle w:val="BodyText"/>
        <w:spacing w:before="51" w:line="256" w:lineRule="auto"/>
        <w:ind w:left="719" w:right="108"/>
        <w:jc w:val="both"/>
      </w:pPr>
      <w:r>
        <w:rPr>
          <w:b/>
          <w:w w:val="105"/>
        </w:rPr>
        <w:t xml:space="preserve">On Agonist Therapy. </w:t>
      </w:r>
      <w:r>
        <w:rPr>
          <w:w w:val="105"/>
        </w:rPr>
        <w:t>This specifier is used if the individual is on a prescribed agonist medication, and no criteria for Dependence or Abuse have been met for that class of medication for at least the past month (except tolerance to, or withdrawal from, the agonist). This category also applies to those being treated for Dependence using a partial agonist or an agonist/antagonist.</w:t>
      </w:r>
    </w:p>
    <w:p w:rsidR="00E675F0" w:rsidRDefault="00E675F0" w:rsidP="00E675F0">
      <w:pPr>
        <w:pStyle w:val="BodyText"/>
        <w:spacing w:line="256" w:lineRule="auto"/>
        <w:ind w:left="719" w:right="110" w:firstLine="3"/>
        <w:jc w:val="both"/>
      </w:pPr>
      <w:r>
        <w:rPr>
          <w:b/>
          <w:w w:val="110"/>
        </w:rPr>
        <w:t>In</w:t>
      </w:r>
      <w:r>
        <w:rPr>
          <w:b/>
          <w:spacing w:val="-18"/>
          <w:w w:val="110"/>
        </w:rPr>
        <w:t xml:space="preserve"> </w:t>
      </w:r>
      <w:r>
        <w:rPr>
          <w:b/>
          <w:w w:val="110"/>
        </w:rPr>
        <w:t>a</w:t>
      </w:r>
      <w:r>
        <w:rPr>
          <w:b/>
          <w:spacing w:val="-20"/>
          <w:w w:val="110"/>
        </w:rPr>
        <w:t xml:space="preserve"> </w:t>
      </w:r>
      <w:r>
        <w:rPr>
          <w:b/>
          <w:w w:val="110"/>
        </w:rPr>
        <w:t>Controlled</w:t>
      </w:r>
      <w:r>
        <w:rPr>
          <w:b/>
          <w:spacing w:val="-12"/>
          <w:w w:val="110"/>
        </w:rPr>
        <w:t xml:space="preserve"> </w:t>
      </w:r>
      <w:r>
        <w:rPr>
          <w:b/>
          <w:w w:val="110"/>
        </w:rPr>
        <w:t>Environment.</w:t>
      </w:r>
      <w:r>
        <w:rPr>
          <w:b/>
          <w:spacing w:val="9"/>
          <w:w w:val="110"/>
        </w:rPr>
        <w:t xml:space="preserve"> </w:t>
      </w:r>
      <w:r>
        <w:rPr>
          <w:w w:val="110"/>
        </w:rPr>
        <w:t>This</w:t>
      </w:r>
      <w:r>
        <w:rPr>
          <w:spacing w:val="-10"/>
          <w:w w:val="110"/>
        </w:rPr>
        <w:t xml:space="preserve"> </w:t>
      </w:r>
      <w:r>
        <w:rPr>
          <w:w w:val="110"/>
        </w:rPr>
        <w:t>specifier</w:t>
      </w:r>
      <w:r>
        <w:rPr>
          <w:spacing w:val="-3"/>
          <w:w w:val="110"/>
        </w:rPr>
        <w:t xml:space="preserve"> </w:t>
      </w:r>
      <w:r>
        <w:rPr>
          <w:w w:val="110"/>
        </w:rPr>
        <w:t>is</w:t>
      </w:r>
      <w:r>
        <w:rPr>
          <w:spacing w:val="-9"/>
          <w:w w:val="110"/>
        </w:rPr>
        <w:t xml:space="preserve"> </w:t>
      </w:r>
      <w:r>
        <w:rPr>
          <w:w w:val="110"/>
        </w:rPr>
        <w:t>used</w:t>
      </w:r>
      <w:r>
        <w:rPr>
          <w:spacing w:val="-6"/>
          <w:w w:val="110"/>
        </w:rPr>
        <w:t xml:space="preserve"> </w:t>
      </w:r>
      <w:r>
        <w:rPr>
          <w:w w:val="110"/>
        </w:rPr>
        <w:t>if</w:t>
      </w:r>
      <w:r>
        <w:rPr>
          <w:spacing w:val="-2"/>
          <w:w w:val="110"/>
        </w:rPr>
        <w:t xml:space="preserve"> </w:t>
      </w:r>
      <w:r>
        <w:rPr>
          <w:w w:val="110"/>
        </w:rPr>
        <w:t>the</w:t>
      </w:r>
      <w:r>
        <w:rPr>
          <w:spacing w:val="-9"/>
          <w:w w:val="110"/>
        </w:rPr>
        <w:t xml:space="preserve"> </w:t>
      </w:r>
      <w:r>
        <w:rPr>
          <w:w w:val="110"/>
        </w:rPr>
        <w:t>individual</w:t>
      </w:r>
      <w:r>
        <w:rPr>
          <w:spacing w:val="2"/>
          <w:w w:val="110"/>
        </w:rPr>
        <w:t xml:space="preserve"> </w:t>
      </w:r>
      <w:r>
        <w:rPr>
          <w:w w:val="110"/>
        </w:rPr>
        <w:t>is</w:t>
      </w:r>
      <w:r>
        <w:rPr>
          <w:spacing w:val="-7"/>
          <w:w w:val="110"/>
        </w:rPr>
        <w:t xml:space="preserve"> </w:t>
      </w:r>
      <w:r>
        <w:rPr>
          <w:w w:val="110"/>
        </w:rPr>
        <w:t>in</w:t>
      </w:r>
      <w:r>
        <w:rPr>
          <w:spacing w:val="-11"/>
          <w:w w:val="110"/>
        </w:rPr>
        <w:t xml:space="preserve"> </w:t>
      </w:r>
      <w:r>
        <w:rPr>
          <w:w w:val="110"/>
        </w:rPr>
        <w:t>an environment</w:t>
      </w:r>
      <w:r>
        <w:rPr>
          <w:spacing w:val="-19"/>
          <w:w w:val="110"/>
        </w:rPr>
        <w:t xml:space="preserve"> </w:t>
      </w:r>
      <w:r>
        <w:rPr>
          <w:w w:val="110"/>
        </w:rPr>
        <w:t>where</w:t>
      </w:r>
      <w:r>
        <w:rPr>
          <w:spacing w:val="-28"/>
          <w:w w:val="110"/>
        </w:rPr>
        <w:t xml:space="preserve"> </w:t>
      </w:r>
      <w:r>
        <w:rPr>
          <w:w w:val="110"/>
        </w:rPr>
        <w:t>access</w:t>
      </w:r>
      <w:r>
        <w:rPr>
          <w:spacing w:val="-21"/>
          <w:w w:val="110"/>
        </w:rPr>
        <w:t xml:space="preserve"> </w:t>
      </w:r>
      <w:r>
        <w:rPr>
          <w:w w:val="110"/>
        </w:rPr>
        <w:t>to</w:t>
      </w:r>
      <w:r>
        <w:rPr>
          <w:spacing w:val="-31"/>
          <w:w w:val="110"/>
        </w:rPr>
        <w:t xml:space="preserve"> </w:t>
      </w:r>
      <w:r>
        <w:rPr>
          <w:w w:val="110"/>
        </w:rPr>
        <w:t>alcohol</w:t>
      </w:r>
      <w:r>
        <w:rPr>
          <w:spacing w:val="-22"/>
          <w:w w:val="110"/>
        </w:rPr>
        <w:t xml:space="preserve"> </w:t>
      </w:r>
      <w:r>
        <w:rPr>
          <w:w w:val="110"/>
        </w:rPr>
        <w:t>and</w:t>
      </w:r>
      <w:r>
        <w:rPr>
          <w:spacing w:val="-25"/>
          <w:w w:val="110"/>
        </w:rPr>
        <w:t xml:space="preserve"> </w:t>
      </w:r>
      <w:r>
        <w:rPr>
          <w:w w:val="110"/>
        </w:rPr>
        <w:t>controlled</w:t>
      </w:r>
      <w:r>
        <w:rPr>
          <w:spacing w:val="-19"/>
          <w:w w:val="110"/>
        </w:rPr>
        <w:t xml:space="preserve"> </w:t>
      </w:r>
      <w:r>
        <w:rPr>
          <w:w w:val="110"/>
        </w:rPr>
        <w:t>substances</w:t>
      </w:r>
      <w:r>
        <w:rPr>
          <w:spacing w:val="-16"/>
          <w:w w:val="110"/>
        </w:rPr>
        <w:t xml:space="preserve"> </w:t>
      </w:r>
      <w:r>
        <w:rPr>
          <w:w w:val="110"/>
        </w:rPr>
        <w:t>is</w:t>
      </w:r>
      <w:r>
        <w:rPr>
          <w:spacing w:val="-29"/>
          <w:w w:val="110"/>
        </w:rPr>
        <w:t xml:space="preserve"> </w:t>
      </w:r>
      <w:r>
        <w:rPr>
          <w:w w:val="110"/>
        </w:rPr>
        <w:t>restricted,</w:t>
      </w:r>
      <w:r>
        <w:rPr>
          <w:spacing w:val="-18"/>
          <w:w w:val="110"/>
        </w:rPr>
        <w:t xml:space="preserve"> </w:t>
      </w:r>
      <w:r>
        <w:rPr>
          <w:w w:val="110"/>
        </w:rPr>
        <w:t>and no</w:t>
      </w:r>
      <w:r>
        <w:rPr>
          <w:spacing w:val="-8"/>
          <w:w w:val="110"/>
        </w:rPr>
        <w:t xml:space="preserve"> </w:t>
      </w:r>
      <w:r>
        <w:rPr>
          <w:w w:val="110"/>
        </w:rPr>
        <w:t>criteria</w:t>
      </w:r>
      <w:r>
        <w:rPr>
          <w:spacing w:val="-5"/>
          <w:w w:val="110"/>
        </w:rPr>
        <w:t xml:space="preserve"> </w:t>
      </w:r>
      <w:r>
        <w:rPr>
          <w:w w:val="110"/>
        </w:rPr>
        <w:t>for</w:t>
      </w:r>
      <w:r>
        <w:rPr>
          <w:spacing w:val="-10"/>
          <w:w w:val="110"/>
        </w:rPr>
        <w:t xml:space="preserve"> </w:t>
      </w:r>
      <w:r>
        <w:rPr>
          <w:w w:val="110"/>
        </w:rPr>
        <w:t>Dependence</w:t>
      </w:r>
      <w:r>
        <w:rPr>
          <w:spacing w:val="2"/>
          <w:w w:val="110"/>
        </w:rPr>
        <w:t xml:space="preserve"> </w:t>
      </w:r>
      <w:r>
        <w:rPr>
          <w:w w:val="110"/>
        </w:rPr>
        <w:t>or</w:t>
      </w:r>
      <w:r>
        <w:rPr>
          <w:spacing w:val="-12"/>
          <w:w w:val="110"/>
        </w:rPr>
        <w:t xml:space="preserve"> </w:t>
      </w:r>
      <w:r>
        <w:rPr>
          <w:w w:val="110"/>
        </w:rPr>
        <w:t>Abuse</w:t>
      </w:r>
      <w:r>
        <w:rPr>
          <w:spacing w:val="1"/>
          <w:w w:val="110"/>
        </w:rPr>
        <w:t xml:space="preserve"> </w:t>
      </w:r>
      <w:r>
        <w:rPr>
          <w:w w:val="110"/>
        </w:rPr>
        <w:t>have</w:t>
      </w:r>
      <w:r>
        <w:rPr>
          <w:spacing w:val="-8"/>
          <w:w w:val="110"/>
        </w:rPr>
        <w:t xml:space="preserve"> </w:t>
      </w:r>
      <w:r>
        <w:rPr>
          <w:w w:val="110"/>
        </w:rPr>
        <w:t>been</w:t>
      </w:r>
      <w:r>
        <w:rPr>
          <w:spacing w:val="-1"/>
          <w:w w:val="110"/>
        </w:rPr>
        <w:t xml:space="preserve"> </w:t>
      </w:r>
      <w:r>
        <w:rPr>
          <w:w w:val="110"/>
        </w:rPr>
        <w:t>met</w:t>
      </w:r>
      <w:r>
        <w:rPr>
          <w:spacing w:val="-9"/>
          <w:w w:val="110"/>
        </w:rPr>
        <w:t xml:space="preserve"> </w:t>
      </w:r>
      <w:r>
        <w:rPr>
          <w:w w:val="110"/>
        </w:rPr>
        <w:t>for</w:t>
      </w:r>
      <w:r>
        <w:rPr>
          <w:spacing w:val="-13"/>
          <w:w w:val="110"/>
        </w:rPr>
        <w:t xml:space="preserve"> </w:t>
      </w:r>
      <w:r>
        <w:rPr>
          <w:w w:val="110"/>
        </w:rPr>
        <w:t>at</w:t>
      </w:r>
      <w:r>
        <w:rPr>
          <w:spacing w:val="-10"/>
          <w:w w:val="110"/>
        </w:rPr>
        <w:t xml:space="preserve"> </w:t>
      </w:r>
      <w:r>
        <w:rPr>
          <w:w w:val="110"/>
        </w:rPr>
        <w:t>least</w:t>
      </w:r>
      <w:r>
        <w:rPr>
          <w:spacing w:val="-3"/>
          <w:w w:val="110"/>
        </w:rPr>
        <w:t xml:space="preserve"> </w:t>
      </w:r>
      <w:r>
        <w:rPr>
          <w:w w:val="110"/>
        </w:rPr>
        <w:t>the</w:t>
      </w:r>
      <w:r>
        <w:rPr>
          <w:spacing w:val="-9"/>
          <w:w w:val="110"/>
        </w:rPr>
        <w:t xml:space="preserve"> </w:t>
      </w:r>
      <w:r>
        <w:rPr>
          <w:w w:val="110"/>
        </w:rPr>
        <w:t>past</w:t>
      </w:r>
      <w:r>
        <w:rPr>
          <w:spacing w:val="-7"/>
          <w:w w:val="110"/>
        </w:rPr>
        <w:t xml:space="preserve"> </w:t>
      </w:r>
      <w:r>
        <w:rPr>
          <w:w w:val="110"/>
        </w:rPr>
        <w:t>month. Examples</w:t>
      </w:r>
      <w:r>
        <w:rPr>
          <w:spacing w:val="-21"/>
          <w:w w:val="110"/>
        </w:rPr>
        <w:t xml:space="preserve"> </w:t>
      </w:r>
      <w:r>
        <w:rPr>
          <w:w w:val="110"/>
        </w:rPr>
        <w:t>of</w:t>
      </w:r>
      <w:r>
        <w:rPr>
          <w:spacing w:val="-20"/>
          <w:w w:val="110"/>
        </w:rPr>
        <w:t xml:space="preserve"> </w:t>
      </w:r>
      <w:r>
        <w:rPr>
          <w:w w:val="110"/>
        </w:rPr>
        <w:t>these</w:t>
      </w:r>
      <w:r>
        <w:rPr>
          <w:spacing w:val="-26"/>
          <w:w w:val="110"/>
        </w:rPr>
        <w:t xml:space="preserve"> </w:t>
      </w:r>
      <w:r>
        <w:rPr>
          <w:w w:val="110"/>
        </w:rPr>
        <w:t>environments</w:t>
      </w:r>
      <w:r>
        <w:rPr>
          <w:spacing w:val="-17"/>
          <w:w w:val="110"/>
        </w:rPr>
        <w:t xml:space="preserve"> </w:t>
      </w:r>
      <w:r>
        <w:rPr>
          <w:w w:val="110"/>
        </w:rPr>
        <w:t>are</w:t>
      </w:r>
      <w:r>
        <w:rPr>
          <w:spacing w:val="-26"/>
          <w:w w:val="110"/>
        </w:rPr>
        <w:t xml:space="preserve"> </w:t>
      </w:r>
      <w:r>
        <w:rPr>
          <w:w w:val="110"/>
        </w:rPr>
        <w:t>closely</w:t>
      </w:r>
      <w:r>
        <w:rPr>
          <w:spacing w:val="-25"/>
          <w:w w:val="110"/>
        </w:rPr>
        <w:t xml:space="preserve"> </w:t>
      </w:r>
      <w:r>
        <w:rPr>
          <w:w w:val="110"/>
        </w:rPr>
        <w:t>supervised</w:t>
      </w:r>
      <w:r>
        <w:rPr>
          <w:spacing w:val="-18"/>
          <w:w w:val="110"/>
        </w:rPr>
        <w:t xml:space="preserve"> </w:t>
      </w:r>
      <w:r>
        <w:rPr>
          <w:w w:val="110"/>
        </w:rPr>
        <w:t>and</w:t>
      </w:r>
      <w:r>
        <w:rPr>
          <w:spacing w:val="-27"/>
          <w:w w:val="110"/>
        </w:rPr>
        <w:t xml:space="preserve"> </w:t>
      </w:r>
      <w:r>
        <w:rPr>
          <w:w w:val="110"/>
        </w:rPr>
        <w:t>substance-free</w:t>
      </w:r>
      <w:r>
        <w:rPr>
          <w:spacing w:val="-23"/>
          <w:w w:val="110"/>
        </w:rPr>
        <w:t xml:space="preserve"> </w:t>
      </w:r>
      <w:r>
        <w:rPr>
          <w:w w:val="110"/>
        </w:rPr>
        <w:t>jails, therapeutic communities, or locked hospital</w:t>
      </w:r>
      <w:r>
        <w:rPr>
          <w:spacing w:val="8"/>
          <w:w w:val="110"/>
        </w:rPr>
        <w:t xml:space="preserve"> </w:t>
      </w:r>
      <w:r>
        <w:rPr>
          <w:w w:val="110"/>
        </w:rPr>
        <w:t>units.</w:t>
      </w:r>
    </w:p>
    <w:p w:rsidR="00E675F0" w:rsidRDefault="00E675F0" w:rsidP="00E675F0">
      <w:pPr>
        <w:spacing w:line="256" w:lineRule="auto"/>
        <w:jc w:val="both"/>
        <w:sectPr w:rsidR="00E675F0">
          <w:type w:val="continuous"/>
          <w:pgSz w:w="8960" w:h="14260"/>
          <w:pgMar w:top="640" w:right="660" w:bottom="0" w:left="600" w:header="720" w:footer="720" w:gutter="0"/>
          <w:cols w:space="720"/>
        </w:sectPr>
      </w:pPr>
    </w:p>
    <w:p w:rsidR="00E675F0" w:rsidRDefault="00E675F0" w:rsidP="00E675F0">
      <w:pPr>
        <w:pStyle w:val="BodyText"/>
        <w:spacing w:before="6"/>
        <w:rPr>
          <w:sz w:val="9"/>
        </w:rPr>
      </w:pPr>
      <w:r>
        <w:rPr>
          <w:noProof/>
        </w:rPr>
        <w:lastRenderedPageBreak/>
        <mc:AlternateContent>
          <mc:Choice Requires="wps">
            <w:drawing>
              <wp:anchor distT="0" distB="0" distL="114300" distR="114300" simplePos="0" relativeHeight="251711488" behindDoc="0" locked="0" layoutInCell="1" allowOverlap="1" wp14:anchorId="149528E2" wp14:editId="394E0F8A">
                <wp:simplePos x="0" y="0"/>
                <wp:positionH relativeFrom="page">
                  <wp:posOffset>445135</wp:posOffset>
                </wp:positionH>
                <wp:positionV relativeFrom="page">
                  <wp:posOffset>984250</wp:posOffset>
                </wp:positionV>
                <wp:extent cx="4765675" cy="0"/>
                <wp:effectExtent l="0" t="12700" r="9525" b="0"/>
                <wp:wrapNone/>
                <wp:docPr id="1408" name="Line 13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765675" cy="0"/>
                        </a:xfrm>
                        <a:prstGeom prst="line">
                          <a:avLst/>
                        </a:prstGeom>
                        <a:noFill/>
                        <a:ln w="3052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6EBE94" id="Line 1364" o:spid="_x0000_s1026" style="position:absolute;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05pt,77.5pt" to="410.3pt,7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" strokeweight=".84786mm">
                <o:lock v:ext="edit" shapetype="f"/>
                <w10:wrap anchorx="page" anchory="page"/>
              </v:line>
            </w:pict>
          </mc:Fallback>
        </mc:AlternateContent>
      </w:r>
    </w:p>
    <w:tbl>
      <w:tblPr>
        <w:tblW w:w="0" w:type="auto"/>
        <w:tblInd w:w="176"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7327"/>
      </w:tblGrid>
      <w:tr w:rsidR="00E675F0" w:rsidTr="00A330E1">
        <w:trPr>
          <w:trHeight w:val="11735"/>
        </w:trPr>
        <w:tc>
          <w:tcPr>
            <w:tcW w:w="7327" w:type="dxa"/>
          </w:tcPr>
          <w:p w:rsidR="00E675F0" w:rsidRDefault="00E675F0" w:rsidP="003048D3">
            <w:pPr>
              <w:pStyle w:val="TableParagraph"/>
              <w:numPr>
                <w:ilvl w:val="0"/>
                <w:numId w:val="44"/>
              </w:numPr>
              <w:tabs>
                <w:tab w:val="left" w:pos="630"/>
              </w:tabs>
              <w:spacing w:line="535" w:lineRule="exact"/>
              <w:rPr>
                <w:rFonts w:ascii="Arial" w:hAnsi="Arial"/>
                <w:b/>
                <w:sz w:val="24"/>
              </w:rPr>
            </w:pPr>
            <w:bookmarkStart w:id="118" w:name="_bookmark99"/>
            <w:bookmarkEnd w:id="118"/>
            <w:r>
              <w:rPr>
                <w:rFonts w:ascii="Arial" w:hAnsi="Arial"/>
                <w:b/>
                <w:w w:val="105"/>
                <w:sz w:val="24"/>
              </w:rPr>
              <w:t>Criteria</w:t>
            </w:r>
            <w:r>
              <w:rPr>
                <w:rFonts w:ascii="Arial" w:hAnsi="Arial"/>
                <w:b/>
                <w:spacing w:val="-27"/>
                <w:w w:val="105"/>
                <w:sz w:val="24"/>
              </w:rPr>
              <w:t xml:space="preserve"> </w:t>
            </w:r>
            <w:r>
              <w:rPr>
                <w:rFonts w:ascii="Arial" w:hAnsi="Arial"/>
                <w:b/>
                <w:w w:val="105"/>
                <w:sz w:val="24"/>
              </w:rPr>
              <w:t>for</w:t>
            </w:r>
            <w:r>
              <w:rPr>
                <w:rFonts w:ascii="Arial" w:hAnsi="Arial"/>
                <w:b/>
                <w:spacing w:val="-30"/>
                <w:w w:val="105"/>
                <w:sz w:val="24"/>
              </w:rPr>
              <w:t xml:space="preserve"> </w:t>
            </w:r>
            <w:r>
              <w:rPr>
                <w:rFonts w:ascii="Arial" w:hAnsi="Arial"/>
                <w:b/>
                <w:w w:val="105"/>
                <w:sz w:val="24"/>
              </w:rPr>
              <w:t>Substance</w:t>
            </w:r>
            <w:r>
              <w:rPr>
                <w:rFonts w:ascii="Arial" w:hAnsi="Arial"/>
                <w:b/>
                <w:spacing w:val="-22"/>
                <w:w w:val="105"/>
                <w:sz w:val="24"/>
              </w:rPr>
              <w:t xml:space="preserve"> </w:t>
            </w:r>
            <w:r>
              <w:rPr>
                <w:rFonts w:ascii="Arial" w:hAnsi="Arial"/>
                <w:b/>
                <w:w w:val="105"/>
                <w:sz w:val="24"/>
              </w:rPr>
              <w:t>Dependence</w:t>
            </w:r>
          </w:p>
          <w:p w:rsidR="00E675F0" w:rsidRDefault="00E675F0" w:rsidP="00A330E1">
            <w:pPr>
              <w:pStyle w:val="TableParagraph"/>
              <w:spacing w:before="132" w:line="256" w:lineRule="auto"/>
              <w:ind w:left="957" w:right="222" w:hanging="1"/>
              <w:jc w:val="both"/>
              <w:rPr>
                <w:sz w:val="20"/>
              </w:rPr>
            </w:pPr>
            <w:r>
              <w:rPr>
                <w:w w:val="105"/>
                <w:sz w:val="20"/>
              </w:rPr>
              <w:t>A maladaptive pattern of substance use, leading to clinically significant impairment</w:t>
            </w:r>
            <w:r>
              <w:rPr>
                <w:spacing w:val="2"/>
                <w:w w:val="105"/>
                <w:sz w:val="20"/>
              </w:rPr>
              <w:t xml:space="preserve"> </w:t>
            </w:r>
            <w:r>
              <w:rPr>
                <w:w w:val="105"/>
                <w:sz w:val="20"/>
              </w:rPr>
              <w:t>or</w:t>
            </w:r>
            <w:r>
              <w:rPr>
                <w:spacing w:val="-17"/>
                <w:w w:val="105"/>
                <w:sz w:val="20"/>
              </w:rPr>
              <w:t xml:space="preserve"> </w:t>
            </w:r>
            <w:r>
              <w:rPr>
                <w:w w:val="105"/>
                <w:sz w:val="20"/>
              </w:rPr>
              <w:t>distress,</w:t>
            </w:r>
            <w:r>
              <w:rPr>
                <w:spacing w:val="-8"/>
                <w:w w:val="105"/>
                <w:sz w:val="20"/>
              </w:rPr>
              <w:t xml:space="preserve"> </w:t>
            </w:r>
            <w:r>
              <w:rPr>
                <w:w w:val="105"/>
                <w:sz w:val="20"/>
              </w:rPr>
              <w:t>as</w:t>
            </w:r>
            <w:r>
              <w:rPr>
                <w:spacing w:val="-17"/>
                <w:w w:val="105"/>
                <w:sz w:val="20"/>
              </w:rPr>
              <w:t xml:space="preserve"> </w:t>
            </w:r>
            <w:r>
              <w:rPr>
                <w:w w:val="105"/>
                <w:sz w:val="20"/>
              </w:rPr>
              <w:t>manifested</w:t>
            </w:r>
            <w:r>
              <w:rPr>
                <w:spacing w:val="13"/>
                <w:w w:val="105"/>
                <w:sz w:val="20"/>
              </w:rPr>
              <w:t xml:space="preserve"> </w:t>
            </w:r>
            <w:r>
              <w:rPr>
                <w:w w:val="105"/>
                <w:sz w:val="20"/>
              </w:rPr>
              <w:t>by</w:t>
            </w:r>
            <w:r>
              <w:rPr>
                <w:spacing w:val="-19"/>
                <w:w w:val="105"/>
                <w:sz w:val="20"/>
              </w:rPr>
              <w:t xml:space="preserve"> </w:t>
            </w:r>
            <w:r>
              <w:rPr>
                <w:w w:val="105"/>
                <w:sz w:val="20"/>
              </w:rPr>
              <w:t>three</w:t>
            </w:r>
            <w:r>
              <w:rPr>
                <w:spacing w:val="-15"/>
                <w:w w:val="105"/>
                <w:sz w:val="20"/>
              </w:rPr>
              <w:t xml:space="preserve"> </w:t>
            </w:r>
            <w:r>
              <w:rPr>
                <w:w w:val="105"/>
                <w:sz w:val="20"/>
              </w:rPr>
              <w:t>(or</w:t>
            </w:r>
            <w:r>
              <w:rPr>
                <w:spacing w:val="-16"/>
                <w:w w:val="105"/>
                <w:sz w:val="20"/>
              </w:rPr>
              <w:t xml:space="preserve"> </w:t>
            </w:r>
            <w:r>
              <w:rPr>
                <w:w w:val="105"/>
                <w:sz w:val="20"/>
              </w:rPr>
              <w:t>more)</w:t>
            </w:r>
            <w:r>
              <w:rPr>
                <w:spacing w:val="-11"/>
                <w:w w:val="105"/>
                <w:sz w:val="20"/>
              </w:rPr>
              <w:t xml:space="preserve"> </w:t>
            </w:r>
            <w:r>
              <w:rPr>
                <w:w w:val="105"/>
                <w:sz w:val="20"/>
              </w:rPr>
              <w:t>of</w:t>
            </w:r>
            <w:r>
              <w:rPr>
                <w:spacing w:val="-12"/>
                <w:w w:val="105"/>
                <w:sz w:val="20"/>
              </w:rPr>
              <w:t xml:space="preserve"> </w:t>
            </w:r>
            <w:r>
              <w:rPr>
                <w:w w:val="105"/>
                <w:sz w:val="20"/>
              </w:rPr>
              <w:t>the</w:t>
            </w:r>
            <w:r>
              <w:rPr>
                <w:spacing w:val="-20"/>
                <w:w w:val="105"/>
                <w:sz w:val="20"/>
              </w:rPr>
              <w:t xml:space="preserve"> </w:t>
            </w:r>
            <w:r>
              <w:rPr>
                <w:w w:val="105"/>
                <w:sz w:val="20"/>
              </w:rPr>
              <w:t>following, occurring at any time in the same 12-month</w:t>
            </w:r>
            <w:r>
              <w:rPr>
                <w:spacing w:val="42"/>
                <w:w w:val="105"/>
                <w:sz w:val="20"/>
              </w:rPr>
              <w:t xml:space="preserve"> </w:t>
            </w:r>
            <w:r>
              <w:rPr>
                <w:w w:val="105"/>
                <w:sz w:val="20"/>
              </w:rPr>
              <w:t>period:</w:t>
            </w:r>
          </w:p>
          <w:p w:rsidR="00E675F0" w:rsidRDefault="00E675F0" w:rsidP="003048D3">
            <w:pPr>
              <w:pStyle w:val="TableParagraph"/>
              <w:numPr>
                <w:ilvl w:val="1"/>
                <w:numId w:val="44"/>
              </w:numPr>
              <w:tabs>
                <w:tab w:val="left" w:pos="1390"/>
              </w:tabs>
              <w:spacing w:before="170"/>
              <w:jc w:val="both"/>
              <w:rPr>
                <w:sz w:val="17"/>
              </w:rPr>
            </w:pPr>
            <w:r>
              <w:rPr>
                <w:w w:val="105"/>
                <w:sz w:val="20"/>
              </w:rPr>
              <w:t>tolerance, as defined by either of the</w:t>
            </w:r>
            <w:r>
              <w:rPr>
                <w:spacing w:val="-9"/>
                <w:w w:val="105"/>
                <w:sz w:val="20"/>
              </w:rPr>
              <w:t xml:space="preserve"> </w:t>
            </w:r>
            <w:r>
              <w:rPr>
                <w:w w:val="105"/>
                <w:sz w:val="20"/>
              </w:rPr>
              <w:t>following:</w:t>
            </w:r>
          </w:p>
          <w:p w:rsidR="00E675F0" w:rsidRDefault="00E675F0" w:rsidP="003048D3">
            <w:pPr>
              <w:pStyle w:val="TableParagraph"/>
              <w:numPr>
                <w:ilvl w:val="2"/>
                <w:numId w:val="44"/>
              </w:numPr>
              <w:tabs>
                <w:tab w:val="left" w:pos="1856"/>
              </w:tabs>
              <w:spacing w:before="78" w:line="256" w:lineRule="auto"/>
              <w:ind w:right="207"/>
              <w:jc w:val="both"/>
              <w:rPr>
                <w:sz w:val="20"/>
              </w:rPr>
            </w:pPr>
            <w:r>
              <w:rPr>
                <w:w w:val="105"/>
                <w:sz w:val="20"/>
              </w:rPr>
              <w:t>a need for markedly increased amounts of the substance to achieve intoxication or desired</w:t>
            </w:r>
            <w:r>
              <w:rPr>
                <w:spacing w:val="16"/>
                <w:w w:val="105"/>
                <w:sz w:val="20"/>
              </w:rPr>
              <w:t xml:space="preserve"> </w:t>
            </w:r>
            <w:r>
              <w:rPr>
                <w:w w:val="105"/>
                <w:sz w:val="20"/>
              </w:rPr>
              <w:t>effect</w:t>
            </w:r>
          </w:p>
          <w:p w:rsidR="00E675F0" w:rsidRDefault="00E675F0" w:rsidP="003048D3">
            <w:pPr>
              <w:pStyle w:val="TableParagraph"/>
              <w:numPr>
                <w:ilvl w:val="2"/>
                <w:numId w:val="44"/>
              </w:numPr>
              <w:tabs>
                <w:tab w:val="left" w:pos="1871"/>
              </w:tabs>
              <w:spacing w:line="256" w:lineRule="auto"/>
              <w:ind w:left="1870" w:right="215" w:hanging="439"/>
              <w:jc w:val="both"/>
              <w:rPr>
                <w:sz w:val="20"/>
              </w:rPr>
            </w:pPr>
            <w:r>
              <w:rPr>
                <w:w w:val="105"/>
                <w:sz w:val="20"/>
              </w:rPr>
              <w:t>markedly diminished effect with continued use of the same amount of the</w:t>
            </w:r>
            <w:r>
              <w:rPr>
                <w:spacing w:val="41"/>
                <w:w w:val="105"/>
                <w:sz w:val="20"/>
              </w:rPr>
              <w:t xml:space="preserve"> </w:t>
            </w:r>
            <w:r>
              <w:rPr>
                <w:w w:val="105"/>
                <w:sz w:val="20"/>
              </w:rPr>
              <w:t>substance</w:t>
            </w:r>
          </w:p>
          <w:p w:rsidR="00E675F0" w:rsidRDefault="00E675F0" w:rsidP="003048D3">
            <w:pPr>
              <w:pStyle w:val="TableParagraph"/>
              <w:numPr>
                <w:ilvl w:val="1"/>
                <w:numId w:val="44"/>
              </w:numPr>
              <w:tabs>
                <w:tab w:val="left" w:pos="1381"/>
              </w:tabs>
              <w:spacing w:before="54"/>
              <w:ind w:left="1380" w:hanging="426"/>
              <w:jc w:val="both"/>
              <w:rPr>
                <w:sz w:val="20"/>
              </w:rPr>
            </w:pPr>
            <w:r>
              <w:rPr>
                <w:w w:val="105"/>
                <w:sz w:val="20"/>
              </w:rPr>
              <w:t>withdrawal, as manifested by either of the</w:t>
            </w:r>
            <w:r>
              <w:rPr>
                <w:spacing w:val="-11"/>
                <w:w w:val="105"/>
                <w:sz w:val="20"/>
              </w:rPr>
              <w:t xml:space="preserve"> </w:t>
            </w:r>
            <w:r>
              <w:rPr>
                <w:w w:val="105"/>
                <w:sz w:val="20"/>
              </w:rPr>
              <w:t>following:</w:t>
            </w:r>
          </w:p>
          <w:p w:rsidR="00E675F0" w:rsidRDefault="00E675F0" w:rsidP="003048D3">
            <w:pPr>
              <w:pStyle w:val="TableParagraph"/>
              <w:numPr>
                <w:ilvl w:val="2"/>
                <w:numId w:val="44"/>
              </w:numPr>
              <w:tabs>
                <w:tab w:val="left" w:pos="1857"/>
              </w:tabs>
              <w:spacing w:before="82" w:line="256" w:lineRule="auto"/>
              <w:ind w:left="1850" w:right="221" w:hanging="420"/>
              <w:jc w:val="both"/>
              <w:rPr>
                <w:sz w:val="20"/>
              </w:rPr>
            </w:pPr>
            <w:r>
              <w:rPr>
                <w:w w:val="105"/>
                <w:sz w:val="20"/>
              </w:rPr>
              <w:t>the characteristic withdrawal syndrome for the substance (refer to Criteria A and B of the criteria sets for Withdrawal from the specific</w:t>
            </w:r>
            <w:r>
              <w:rPr>
                <w:spacing w:val="18"/>
                <w:w w:val="105"/>
                <w:sz w:val="20"/>
              </w:rPr>
              <w:t xml:space="preserve"> </w:t>
            </w:r>
            <w:r>
              <w:rPr>
                <w:w w:val="105"/>
                <w:sz w:val="20"/>
              </w:rPr>
              <w:t>substances)</w:t>
            </w:r>
          </w:p>
          <w:p w:rsidR="00E675F0" w:rsidRDefault="00E675F0" w:rsidP="00A330E1">
            <w:pPr>
              <w:pStyle w:val="TableParagraph"/>
              <w:spacing w:line="256" w:lineRule="auto"/>
              <w:ind w:left="1870" w:right="233" w:hanging="439"/>
              <w:jc w:val="both"/>
              <w:rPr>
                <w:sz w:val="20"/>
              </w:rPr>
            </w:pPr>
            <w:r>
              <w:rPr>
                <w:w w:val="105"/>
                <w:sz w:val="20"/>
              </w:rPr>
              <w:t>Cb) the same (or a closely  related) substance is taken  to relieve or avoid withdrawal</w:t>
            </w:r>
            <w:r>
              <w:rPr>
                <w:spacing w:val="38"/>
                <w:w w:val="105"/>
                <w:sz w:val="20"/>
              </w:rPr>
              <w:t xml:space="preserve"> </w:t>
            </w:r>
            <w:r>
              <w:rPr>
                <w:w w:val="105"/>
                <w:sz w:val="20"/>
              </w:rPr>
              <w:t>symptoms</w:t>
            </w:r>
          </w:p>
          <w:p w:rsidR="00E675F0" w:rsidRDefault="00E675F0" w:rsidP="003048D3">
            <w:pPr>
              <w:pStyle w:val="TableParagraph"/>
              <w:numPr>
                <w:ilvl w:val="1"/>
                <w:numId w:val="44"/>
              </w:numPr>
              <w:tabs>
                <w:tab w:val="left" w:pos="1385"/>
              </w:tabs>
              <w:spacing w:before="49" w:line="256" w:lineRule="auto"/>
              <w:ind w:left="1392" w:right="229" w:hanging="438"/>
              <w:jc w:val="both"/>
              <w:rPr>
                <w:sz w:val="20"/>
              </w:rPr>
            </w:pPr>
            <w:r>
              <w:rPr>
                <w:w w:val="105"/>
                <w:sz w:val="20"/>
              </w:rPr>
              <w:t>the substance is often taken in larger amounts or over a longer period than was</w:t>
            </w:r>
            <w:r>
              <w:rPr>
                <w:spacing w:val="49"/>
                <w:w w:val="105"/>
                <w:sz w:val="20"/>
              </w:rPr>
              <w:t xml:space="preserve"> </w:t>
            </w:r>
            <w:r>
              <w:rPr>
                <w:w w:val="105"/>
                <w:sz w:val="20"/>
              </w:rPr>
              <w:t>intended</w:t>
            </w:r>
          </w:p>
          <w:p w:rsidR="00E675F0" w:rsidRDefault="00E675F0" w:rsidP="003048D3">
            <w:pPr>
              <w:pStyle w:val="TableParagraph"/>
              <w:numPr>
                <w:ilvl w:val="1"/>
                <w:numId w:val="44"/>
              </w:numPr>
              <w:tabs>
                <w:tab w:val="left" w:pos="1385"/>
              </w:tabs>
              <w:spacing w:line="256" w:lineRule="auto"/>
              <w:ind w:left="1379" w:right="223" w:hanging="425"/>
              <w:jc w:val="both"/>
              <w:rPr>
                <w:sz w:val="20"/>
              </w:rPr>
            </w:pPr>
            <w:r>
              <w:rPr>
                <w:w w:val="105"/>
                <w:sz w:val="20"/>
              </w:rPr>
              <w:t>there is a persistent desire or unsuccessful efforts to cut down or control substance</w:t>
            </w:r>
            <w:r>
              <w:rPr>
                <w:spacing w:val="27"/>
                <w:w w:val="105"/>
                <w:sz w:val="20"/>
              </w:rPr>
              <w:t xml:space="preserve"> </w:t>
            </w:r>
            <w:r>
              <w:rPr>
                <w:w w:val="105"/>
                <w:sz w:val="20"/>
              </w:rPr>
              <w:t>use</w:t>
            </w:r>
          </w:p>
          <w:p w:rsidR="00E675F0" w:rsidRDefault="00E675F0" w:rsidP="003048D3">
            <w:pPr>
              <w:pStyle w:val="TableParagraph"/>
              <w:numPr>
                <w:ilvl w:val="1"/>
                <w:numId w:val="44"/>
              </w:numPr>
              <w:tabs>
                <w:tab w:val="left" w:pos="1380"/>
              </w:tabs>
              <w:spacing w:line="254" w:lineRule="auto"/>
              <w:ind w:left="1376" w:right="228" w:hanging="422"/>
              <w:jc w:val="both"/>
              <w:rPr>
                <w:sz w:val="20"/>
              </w:rPr>
            </w:pPr>
            <w:r>
              <w:rPr>
                <w:w w:val="105"/>
                <w:sz w:val="20"/>
              </w:rPr>
              <w:t>a great deal of time is spent in activities necessary to obtain the substance (e.g., visiting multiple doctors or driving long distances), use the substance (e.g., chain-smoking), or recover from its</w:t>
            </w:r>
            <w:r>
              <w:rPr>
                <w:spacing w:val="20"/>
                <w:w w:val="105"/>
                <w:sz w:val="20"/>
              </w:rPr>
              <w:t xml:space="preserve"> </w:t>
            </w:r>
            <w:r>
              <w:rPr>
                <w:w w:val="105"/>
                <w:sz w:val="20"/>
              </w:rPr>
              <w:t>effects</w:t>
            </w:r>
          </w:p>
          <w:p w:rsidR="00E675F0" w:rsidRDefault="00E675F0" w:rsidP="003048D3">
            <w:pPr>
              <w:pStyle w:val="TableParagraph"/>
              <w:numPr>
                <w:ilvl w:val="1"/>
                <w:numId w:val="44"/>
              </w:numPr>
              <w:tabs>
                <w:tab w:val="left" w:pos="1381"/>
              </w:tabs>
              <w:spacing w:line="256" w:lineRule="auto"/>
              <w:ind w:left="1386" w:right="226" w:hanging="432"/>
              <w:jc w:val="both"/>
              <w:rPr>
                <w:sz w:val="20"/>
              </w:rPr>
            </w:pPr>
            <w:r>
              <w:rPr>
                <w:w w:val="105"/>
                <w:sz w:val="20"/>
              </w:rPr>
              <w:t>important social, occupational, or recreational activities are given up or reduced because of substance</w:t>
            </w:r>
            <w:r>
              <w:rPr>
                <w:spacing w:val="20"/>
                <w:w w:val="105"/>
                <w:sz w:val="20"/>
              </w:rPr>
              <w:t xml:space="preserve"> </w:t>
            </w:r>
            <w:r>
              <w:rPr>
                <w:w w:val="105"/>
                <w:sz w:val="20"/>
              </w:rPr>
              <w:t>use</w:t>
            </w:r>
          </w:p>
          <w:p w:rsidR="00E675F0" w:rsidRDefault="00E675F0" w:rsidP="003048D3">
            <w:pPr>
              <w:pStyle w:val="TableParagraph"/>
              <w:numPr>
                <w:ilvl w:val="1"/>
                <w:numId w:val="44"/>
              </w:numPr>
              <w:tabs>
                <w:tab w:val="left" w:pos="1385"/>
              </w:tabs>
              <w:spacing w:line="252" w:lineRule="auto"/>
              <w:ind w:left="1374" w:right="220" w:hanging="420"/>
              <w:jc w:val="both"/>
              <w:rPr>
                <w:sz w:val="20"/>
              </w:rPr>
            </w:pPr>
            <w:r>
              <w:rPr>
                <w:w w:val="110"/>
                <w:sz w:val="20"/>
              </w:rPr>
              <w:t>the substance use is continued despite knowledge of having a persistent or recurrent physical or psychological problem that is likely to have been caused or exacerbated by the</w:t>
            </w:r>
            <w:r>
              <w:rPr>
                <w:spacing w:val="-40"/>
                <w:w w:val="110"/>
                <w:sz w:val="20"/>
              </w:rPr>
              <w:t xml:space="preserve"> </w:t>
            </w:r>
            <w:r>
              <w:rPr>
                <w:w w:val="110"/>
                <w:sz w:val="20"/>
              </w:rPr>
              <w:t>substance (e.g., current</w:t>
            </w:r>
            <w:r>
              <w:rPr>
                <w:spacing w:val="-29"/>
                <w:w w:val="110"/>
                <w:sz w:val="20"/>
              </w:rPr>
              <w:t xml:space="preserve"> </w:t>
            </w:r>
            <w:r>
              <w:rPr>
                <w:w w:val="110"/>
                <w:sz w:val="20"/>
              </w:rPr>
              <w:t>cocaine</w:t>
            </w:r>
            <w:r>
              <w:rPr>
                <w:spacing w:val="-27"/>
                <w:w w:val="110"/>
                <w:sz w:val="20"/>
              </w:rPr>
              <w:t xml:space="preserve"> </w:t>
            </w:r>
            <w:r>
              <w:rPr>
                <w:w w:val="110"/>
                <w:sz w:val="20"/>
              </w:rPr>
              <w:t>use</w:t>
            </w:r>
            <w:r>
              <w:rPr>
                <w:spacing w:val="-34"/>
                <w:w w:val="110"/>
                <w:sz w:val="20"/>
              </w:rPr>
              <w:t xml:space="preserve"> </w:t>
            </w:r>
            <w:r>
              <w:rPr>
                <w:w w:val="110"/>
                <w:sz w:val="20"/>
              </w:rPr>
              <w:t>despite</w:t>
            </w:r>
            <w:r>
              <w:rPr>
                <w:spacing w:val="-27"/>
                <w:w w:val="110"/>
                <w:sz w:val="20"/>
              </w:rPr>
              <w:t xml:space="preserve"> </w:t>
            </w:r>
            <w:r>
              <w:rPr>
                <w:w w:val="110"/>
                <w:sz w:val="20"/>
              </w:rPr>
              <w:t>recognition</w:t>
            </w:r>
            <w:r>
              <w:rPr>
                <w:spacing w:val="-27"/>
                <w:w w:val="110"/>
                <w:sz w:val="20"/>
              </w:rPr>
              <w:t xml:space="preserve"> </w:t>
            </w:r>
            <w:r>
              <w:rPr>
                <w:w w:val="110"/>
                <w:sz w:val="20"/>
              </w:rPr>
              <w:t>of</w:t>
            </w:r>
            <w:r>
              <w:rPr>
                <w:spacing w:val="-32"/>
                <w:w w:val="110"/>
                <w:sz w:val="20"/>
              </w:rPr>
              <w:t xml:space="preserve"> </w:t>
            </w:r>
            <w:r>
              <w:rPr>
                <w:w w:val="110"/>
                <w:sz w:val="20"/>
              </w:rPr>
              <w:t>cocaine-induced</w:t>
            </w:r>
            <w:r>
              <w:rPr>
                <w:spacing w:val="-42"/>
                <w:w w:val="110"/>
                <w:sz w:val="20"/>
              </w:rPr>
              <w:t xml:space="preserve"> </w:t>
            </w:r>
            <w:r>
              <w:rPr>
                <w:w w:val="110"/>
                <w:sz w:val="20"/>
              </w:rPr>
              <w:t>depres­ sion, or continued drinking despite recognition that an ulcer was made worse by alcohol</w:t>
            </w:r>
            <w:r>
              <w:rPr>
                <w:spacing w:val="24"/>
                <w:w w:val="110"/>
                <w:sz w:val="20"/>
              </w:rPr>
              <w:t xml:space="preserve"> </w:t>
            </w:r>
            <w:r>
              <w:rPr>
                <w:w w:val="110"/>
                <w:sz w:val="20"/>
              </w:rPr>
              <w:t>consumption)</w:t>
            </w:r>
          </w:p>
          <w:p w:rsidR="00E675F0" w:rsidRDefault="00E675F0" w:rsidP="00A330E1">
            <w:pPr>
              <w:pStyle w:val="TableParagraph"/>
              <w:spacing w:before="102"/>
              <w:ind w:left="413"/>
              <w:jc w:val="both"/>
              <w:rPr>
                <w:sz w:val="19"/>
              </w:rPr>
            </w:pPr>
            <w:r>
              <w:rPr>
                <w:i/>
                <w:w w:val="95"/>
                <w:sz w:val="21"/>
              </w:rPr>
              <w:t xml:space="preserve">Specify </w:t>
            </w:r>
            <w:r>
              <w:rPr>
                <w:w w:val="95"/>
                <w:sz w:val="19"/>
              </w:rPr>
              <w:t>if:</w:t>
            </w:r>
          </w:p>
          <w:p w:rsidR="00E675F0" w:rsidRDefault="00E675F0" w:rsidP="00A330E1">
            <w:pPr>
              <w:pStyle w:val="TableParagraph"/>
              <w:spacing w:before="13" w:line="252" w:lineRule="auto"/>
              <w:ind w:left="796" w:right="359" w:hanging="153"/>
              <w:rPr>
                <w:sz w:val="20"/>
              </w:rPr>
            </w:pPr>
            <w:r>
              <w:rPr>
                <w:b/>
                <w:w w:val="105"/>
                <w:sz w:val="20"/>
              </w:rPr>
              <w:t xml:space="preserve">With Physiological Dependence: </w:t>
            </w:r>
            <w:r>
              <w:rPr>
                <w:w w:val="105"/>
                <w:sz w:val="20"/>
              </w:rPr>
              <w:t>evidence of tolerance or withdrawal (i.e., either Item 1 or 2 is present)</w:t>
            </w:r>
          </w:p>
          <w:p w:rsidR="00E675F0" w:rsidRDefault="00E675F0" w:rsidP="00A330E1">
            <w:pPr>
              <w:pStyle w:val="TableParagraph"/>
              <w:spacing w:before="3" w:line="252" w:lineRule="auto"/>
              <w:ind w:left="803" w:right="359" w:hanging="160"/>
              <w:rPr>
                <w:sz w:val="20"/>
              </w:rPr>
            </w:pPr>
            <w:r>
              <w:rPr>
                <w:b/>
                <w:w w:val="105"/>
                <w:sz w:val="20"/>
              </w:rPr>
              <w:t xml:space="preserve">Without Physiological Dependence: </w:t>
            </w:r>
            <w:r>
              <w:rPr>
                <w:w w:val="105"/>
                <w:sz w:val="20"/>
              </w:rPr>
              <w:t>no evidence of tolerance or withdrawal (i.e., neither Item 1 nor 2 is present)</w:t>
            </w:r>
          </w:p>
          <w:p w:rsidR="00E675F0" w:rsidRDefault="00E675F0" w:rsidP="00A330E1">
            <w:pPr>
              <w:pStyle w:val="TableParagraph"/>
              <w:spacing w:before="132"/>
              <w:ind w:left="400"/>
              <w:jc w:val="both"/>
              <w:rPr>
                <w:rFonts w:ascii="Arial"/>
                <w:sz w:val="18"/>
              </w:rPr>
            </w:pPr>
            <w:r>
              <w:rPr>
                <w:i/>
                <w:sz w:val="21"/>
              </w:rPr>
              <w:t xml:space="preserve">Course specifiers </w:t>
            </w:r>
            <w:r>
              <w:rPr>
                <w:rFonts w:ascii="Arial"/>
                <w:sz w:val="18"/>
              </w:rPr>
              <w:t>(see text for definitions):</w:t>
            </w:r>
          </w:p>
          <w:p w:rsidR="00E675F0" w:rsidRDefault="00E675F0" w:rsidP="00A330E1">
            <w:pPr>
              <w:pStyle w:val="TableParagraph"/>
              <w:spacing w:before="196" w:line="254" w:lineRule="auto"/>
              <w:ind w:left="645" w:right="4135" w:firstLine="1"/>
              <w:rPr>
                <w:b/>
                <w:sz w:val="20"/>
              </w:rPr>
            </w:pPr>
            <w:r>
              <w:rPr>
                <w:b/>
                <w:w w:val="110"/>
                <w:sz w:val="20"/>
              </w:rPr>
              <w:t>Early Full Remission Early Partial Remission Sustained Full Remission</w:t>
            </w:r>
          </w:p>
          <w:p w:rsidR="00E675F0" w:rsidRDefault="00E675F0" w:rsidP="00A330E1">
            <w:pPr>
              <w:pStyle w:val="TableParagraph"/>
              <w:spacing w:line="256" w:lineRule="auto"/>
              <w:ind w:left="647" w:right="3709" w:hanging="3"/>
              <w:rPr>
                <w:b/>
                <w:sz w:val="20"/>
              </w:rPr>
            </w:pPr>
            <w:r>
              <w:rPr>
                <w:b/>
                <w:w w:val="110"/>
                <w:sz w:val="20"/>
              </w:rPr>
              <w:t>Sustained Partial Remission On Agonist Therapy</w:t>
            </w:r>
          </w:p>
          <w:p w:rsidR="00E675F0" w:rsidRDefault="00E675F0" w:rsidP="00A330E1">
            <w:pPr>
              <w:pStyle w:val="TableParagraph"/>
              <w:spacing w:line="228" w:lineRule="exact"/>
              <w:ind w:left="646"/>
              <w:rPr>
                <w:b/>
                <w:sz w:val="20"/>
              </w:rPr>
            </w:pPr>
            <w:r>
              <w:rPr>
                <w:b/>
                <w:w w:val="110"/>
                <w:sz w:val="20"/>
              </w:rPr>
              <w:t>In a Controlled Environment</w:t>
            </w:r>
          </w:p>
        </w:tc>
      </w:tr>
    </w:tbl>
    <w:p w:rsidR="00E675F0" w:rsidRDefault="00E675F0" w:rsidP="00E675F0">
      <w:pPr>
        <w:spacing w:line="228" w:lineRule="exact"/>
        <w:rPr>
          <w:sz w:val="20"/>
        </w:rPr>
        <w:sectPr w:rsidR="00E675F0">
          <w:pgSz w:w="8960" w:h="14260"/>
          <w:pgMar w:top="1400" w:right="680" w:bottom="280" w:left="640" w:header="692" w:footer="0" w:gutter="0"/>
          <w:cols w:space="720"/>
        </w:sectPr>
      </w:pPr>
    </w:p>
    <w:p w:rsidR="00E675F0" w:rsidRDefault="00E675F0" w:rsidP="00E675F0">
      <w:pPr>
        <w:spacing w:before="145"/>
        <w:ind w:left="33" w:right="42"/>
        <w:jc w:val="center"/>
        <w:rPr>
          <w:rFonts w:ascii="Arial"/>
          <w:b/>
          <w:sz w:val="25"/>
        </w:rPr>
      </w:pPr>
      <w:bookmarkStart w:id="119" w:name="_bookmark100"/>
      <w:bookmarkEnd w:id="119"/>
      <w:r>
        <w:rPr>
          <w:rFonts w:ascii="Arial"/>
          <w:b/>
          <w:w w:val="105"/>
          <w:sz w:val="25"/>
        </w:rPr>
        <w:lastRenderedPageBreak/>
        <w:t>Substance Abuse</w:t>
      </w:r>
    </w:p>
    <w:p w:rsidR="00E675F0" w:rsidRDefault="00E675F0" w:rsidP="00E675F0">
      <w:pPr>
        <w:pStyle w:val="BodyText"/>
        <w:rPr>
          <w:rFonts w:ascii="Arial"/>
          <w:b/>
        </w:rPr>
      </w:pPr>
    </w:p>
    <w:p w:rsidR="00E675F0" w:rsidRDefault="00E675F0" w:rsidP="00E675F0">
      <w:pPr>
        <w:pStyle w:val="BodyText"/>
        <w:spacing w:before="3"/>
        <w:rPr>
          <w:rFonts w:ascii="Arial"/>
          <w:b/>
          <w:sz w:val="28"/>
        </w:rPr>
      </w:pPr>
    </w:p>
    <w:p w:rsidR="00E675F0" w:rsidRDefault="00E675F0" w:rsidP="00E675F0">
      <w:pPr>
        <w:spacing w:before="91"/>
        <w:ind w:left="101"/>
        <w:rPr>
          <w:rFonts w:ascii="TimesNewRomanPS-BoldItalicMT"/>
          <w:b/>
          <w:i/>
          <w:sz w:val="24"/>
        </w:rPr>
      </w:pPr>
      <w:r>
        <w:rPr>
          <w:rFonts w:ascii="TimesNewRomanPS-BoldItalicMT"/>
          <w:b/>
          <w:i/>
          <w:w w:val="115"/>
          <w:sz w:val="24"/>
        </w:rPr>
        <w:t>Features</w:t>
      </w:r>
    </w:p>
    <w:p w:rsidR="00E675F0" w:rsidRDefault="00E675F0" w:rsidP="00E675F0">
      <w:pPr>
        <w:pStyle w:val="BodyText"/>
        <w:spacing w:before="7"/>
        <w:rPr>
          <w:rFonts w:ascii="TimesNewRomanPS-BoldItalicMT"/>
          <w:b/>
          <w:i/>
        </w:rPr>
      </w:pPr>
    </w:p>
    <w:p w:rsidR="00E675F0" w:rsidRDefault="00E675F0" w:rsidP="00E675F0">
      <w:pPr>
        <w:pStyle w:val="BodyText"/>
        <w:spacing w:line="254" w:lineRule="auto"/>
        <w:ind w:left="119" w:right="120" w:firstLine="1"/>
        <w:jc w:val="both"/>
      </w:pPr>
      <w:r>
        <w:rPr>
          <w:w w:val="110"/>
        </w:rPr>
        <w:t>The essential feature of Substance Abuse is a maladaptive pattern of substance use manifested by recurrent and significant adverse consequences related to the repeated use</w:t>
      </w:r>
      <w:r>
        <w:rPr>
          <w:spacing w:val="-36"/>
          <w:w w:val="110"/>
        </w:rPr>
        <w:t xml:space="preserve"> </w:t>
      </w:r>
      <w:r>
        <w:rPr>
          <w:w w:val="110"/>
        </w:rPr>
        <w:t>of</w:t>
      </w:r>
      <w:r>
        <w:rPr>
          <w:spacing w:val="-33"/>
          <w:w w:val="110"/>
        </w:rPr>
        <w:t xml:space="preserve"> </w:t>
      </w:r>
      <w:r>
        <w:rPr>
          <w:w w:val="110"/>
        </w:rPr>
        <w:t>substances.</w:t>
      </w:r>
      <w:r>
        <w:rPr>
          <w:spacing w:val="-34"/>
          <w:w w:val="110"/>
        </w:rPr>
        <w:t xml:space="preserve"> </w:t>
      </w:r>
      <w:r>
        <w:rPr>
          <w:w w:val="110"/>
        </w:rPr>
        <w:t>There</w:t>
      </w:r>
      <w:r>
        <w:rPr>
          <w:spacing w:val="-33"/>
          <w:w w:val="110"/>
        </w:rPr>
        <w:t xml:space="preserve"> </w:t>
      </w:r>
      <w:r>
        <w:rPr>
          <w:w w:val="110"/>
        </w:rPr>
        <w:t>may</w:t>
      </w:r>
      <w:r>
        <w:rPr>
          <w:spacing w:val="-36"/>
          <w:w w:val="110"/>
        </w:rPr>
        <w:t xml:space="preserve"> </w:t>
      </w:r>
      <w:r>
        <w:rPr>
          <w:w w:val="110"/>
        </w:rPr>
        <w:t>be</w:t>
      </w:r>
      <w:r>
        <w:rPr>
          <w:spacing w:val="-35"/>
          <w:w w:val="110"/>
        </w:rPr>
        <w:t xml:space="preserve"> </w:t>
      </w:r>
      <w:r>
        <w:rPr>
          <w:w w:val="110"/>
        </w:rPr>
        <w:t>repeated</w:t>
      </w:r>
      <w:r>
        <w:rPr>
          <w:spacing w:val="-36"/>
          <w:w w:val="110"/>
        </w:rPr>
        <w:t xml:space="preserve"> </w:t>
      </w:r>
      <w:r>
        <w:rPr>
          <w:w w:val="110"/>
        </w:rPr>
        <w:t>failure</w:t>
      </w:r>
      <w:r>
        <w:rPr>
          <w:spacing w:val="-36"/>
          <w:w w:val="110"/>
        </w:rPr>
        <w:t xml:space="preserve"> </w:t>
      </w:r>
      <w:r>
        <w:rPr>
          <w:w w:val="110"/>
        </w:rPr>
        <w:t>to</w:t>
      </w:r>
      <w:r>
        <w:rPr>
          <w:spacing w:val="-34"/>
          <w:w w:val="110"/>
        </w:rPr>
        <w:t xml:space="preserve"> </w:t>
      </w:r>
      <w:r>
        <w:rPr>
          <w:w w:val="110"/>
        </w:rPr>
        <w:t>fulfill</w:t>
      </w:r>
      <w:r>
        <w:rPr>
          <w:spacing w:val="-31"/>
          <w:w w:val="110"/>
        </w:rPr>
        <w:t xml:space="preserve"> </w:t>
      </w:r>
      <w:r>
        <w:rPr>
          <w:w w:val="110"/>
        </w:rPr>
        <w:t>major</w:t>
      </w:r>
      <w:r>
        <w:rPr>
          <w:spacing w:val="-31"/>
          <w:w w:val="110"/>
        </w:rPr>
        <w:t xml:space="preserve"> </w:t>
      </w:r>
      <w:r>
        <w:rPr>
          <w:w w:val="110"/>
        </w:rPr>
        <w:t>role</w:t>
      </w:r>
      <w:r>
        <w:rPr>
          <w:spacing w:val="-38"/>
          <w:w w:val="110"/>
        </w:rPr>
        <w:t xml:space="preserve"> </w:t>
      </w:r>
      <w:r>
        <w:rPr>
          <w:w w:val="110"/>
        </w:rPr>
        <w:t>obligations,</w:t>
      </w:r>
      <w:r>
        <w:rPr>
          <w:spacing w:val="-27"/>
          <w:w w:val="110"/>
        </w:rPr>
        <w:t xml:space="preserve"> </w:t>
      </w:r>
      <w:r>
        <w:rPr>
          <w:w w:val="110"/>
        </w:rPr>
        <w:t>repeated use in situations in which it is physically hazardous, multiple legal problems, and recurrent</w:t>
      </w:r>
      <w:r>
        <w:rPr>
          <w:spacing w:val="-12"/>
          <w:w w:val="110"/>
        </w:rPr>
        <w:t xml:space="preserve"> </w:t>
      </w:r>
      <w:r>
        <w:rPr>
          <w:w w:val="110"/>
        </w:rPr>
        <w:t>social</w:t>
      </w:r>
      <w:r>
        <w:rPr>
          <w:spacing w:val="-9"/>
          <w:w w:val="110"/>
        </w:rPr>
        <w:t xml:space="preserve"> </w:t>
      </w:r>
      <w:r>
        <w:rPr>
          <w:w w:val="110"/>
        </w:rPr>
        <w:t>and</w:t>
      </w:r>
      <w:r>
        <w:rPr>
          <w:spacing w:val="-8"/>
          <w:w w:val="110"/>
        </w:rPr>
        <w:t xml:space="preserve"> </w:t>
      </w:r>
      <w:r>
        <w:rPr>
          <w:w w:val="110"/>
        </w:rPr>
        <w:t>interpersonal problems</w:t>
      </w:r>
      <w:r>
        <w:rPr>
          <w:spacing w:val="-10"/>
          <w:w w:val="110"/>
        </w:rPr>
        <w:t xml:space="preserve"> </w:t>
      </w:r>
      <w:r>
        <w:rPr>
          <w:w w:val="110"/>
        </w:rPr>
        <w:t>(Criterion</w:t>
      </w:r>
      <w:r>
        <w:rPr>
          <w:spacing w:val="-10"/>
          <w:w w:val="110"/>
        </w:rPr>
        <w:t xml:space="preserve"> </w:t>
      </w:r>
      <w:r>
        <w:rPr>
          <w:w w:val="110"/>
        </w:rPr>
        <w:t>A).</w:t>
      </w:r>
      <w:r>
        <w:rPr>
          <w:spacing w:val="-17"/>
          <w:w w:val="110"/>
        </w:rPr>
        <w:t xml:space="preserve"> </w:t>
      </w:r>
      <w:r>
        <w:rPr>
          <w:w w:val="110"/>
        </w:rPr>
        <w:t>These</w:t>
      </w:r>
      <w:r>
        <w:rPr>
          <w:spacing w:val="-4"/>
          <w:w w:val="110"/>
        </w:rPr>
        <w:t xml:space="preserve"> </w:t>
      </w:r>
      <w:r>
        <w:rPr>
          <w:w w:val="110"/>
        </w:rPr>
        <w:t>problems</w:t>
      </w:r>
      <w:r>
        <w:rPr>
          <w:spacing w:val="-13"/>
          <w:w w:val="110"/>
        </w:rPr>
        <w:t xml:space="preserve"> </w:t>
      </w:r>
      <w:r>
        <w:rPr>
          <w:w w:val="110"/>
        </w:rPr>
        <w:t>must</w:t>
      </w:r>
      <w:r>
        <w:rPr>
          <w:spacing w:val="-11"/>
          <w:w w:val="110"/>
        </w:rPr>
        <w:t xml:space="preserve"> </w:t>
      </w:r>
      <w:r>
        <w:rPr>
          <w:w w:val="110"/>
        </w:rPr>
        <w:t>occur recurrently</w:t>
      </w:r>
      <w:r>
        <w:rPr>
          <w:spacing w:val="-15"/>
          <w:w w:val="110"/>
        </w:rPr>
        <w:t xml:space="preserve"> </w:t>
      </w:r>
      <w:r>
        <w:rPr>
          <w:w w:val="110"/>
        </w:rPr>
        <w:t>during</w:t>
      </w:r>
      <w:r>
        <w:rPr>
          <w:spacing w:val="-17"/>
          <w:w w:val="110"/>
        </w:rPr>
        <w:t xml:space="preserve"> </w:t>
      </w:r>
      <w:r>
        <w:rPr>
          <w:w w:val="110"/>
        </w:rPr>
        <w:t>the</w:t>
      </w:r>
      <w:r>
        <w:rPr>
          <w:spacing w:val="-20"/>
          <w:w w:val="110"/>
        </w:rPr>
        <w:t xml:space="preserve"> </w:t>
      </w:r>
      <w:r>
        <w:rPr>
          <w:w w:val="110"/>
        </w:rPr>
        <w:t>same</w:t>
      </w:r>
      <w:r>
        <w:rPr>
          <w:spacing w:val="-21"/>
          <w:w w:val="110"/>
        </w:rPr>
        <w:t xml:space="preserve"> </w:t>
      </w:r>
      <w:r>
        <w:rPr>
          <w:w w:val="110"/>
        </w:rPr>
        <w:t>12-month</w:t>
      </w:r>
      <w:r>
        <w:rPr>
          <w:spacing w:val="-5"/>
          <w:w w:val="110"/>
        </w:rPr>
        <w:t xml:space="preserve"> </w:t>
      </w:r>
      <w:r>
        <w:rPr>
          <w:w w:val="110"/>
        </w:rPr>
        <w:t>period.</w:t>
      </w:r>
      <w:r>
        <w:rPr>
          <w:spacing w:val="-10"/>
          <w:w w:val="110"/>
        </w:rPr>
        <w:t xml:space="preserve"> </w:t>
      </w:r>
      <w:r>
        <w:rPr>
          <w:w w:val="110"/>
        </w:rPr>
        <w:t>Unlike</w:t>
      </w:r>
      <w:r>
        <w:rPr>
          <w:spacing w:val="-15"/>
          <w:w w:val="110"/>
        </w:rPr>
        <w:t xml:space="preserve"> </w:t>
      </w:r>
      <w:r>
        <w:rPr>
          <w:w w:val="110"/>
        </w:rPr>
        <w:t>the</w:t>
      </w:r>
      <w:r>
        <w:rPr>
          <w:spacing w:val="-18"/>
          <w:w w:val="110"/>
        </w:rPr>
        <w:t xml:space="preserve"> </w:t>
      </w:r>
      <w:r>
        <w:rPr>
          <w:w w:val="110"/>
        </w:rPr>
        <w:t>criteria</w:t>
      </w:r>
      <w:r>
        <w:rPr>
          <w:spacing w:val="-12"/>
          <w:w w:val="110"/>
        </w:rPr>
        <w:t xml:space="preserve"> </w:t>
      </w:r>
      <w:r>
        <w:rPr>
          <w:w w:val="110"/>
        </w:rPr>
        <w:t>for</w:t>
      </w:r>
      <w:r>
        <w:rPr>
          <w:spacing w:val="-23"/>
          <w:w w:val="110"/>
        </w:rPr>
        <w:t xml:space="preserve"> </w:t>
      </w:r>
      <w:r>
        <w:rPr>
          <w:w w:val="110"/>
        </w:rPr>
        <w:t>Substance</w:t>
      </w:r>
      <w:r>
        <w:rPr>
          <w:spacing w:val="-4"/>
          <w:w w:val="110"/>
        </w:rPr>
        <w:t xml:space="preserve"> </w:t>
      </w:r>
      <w:r>
        <w:rPr>
          <w:w w:val="110"/>
        </w:rPr>
        <w:t>Depen­ dence,</w:t>
      </w:r>
      <w:r>
        <w:rPr>
          <w:spacing w:val="-28"/>
          <w:w w:val="110"/>
        </w:rPr>
        <w:t xml:space="preserve"> </w:t>
      </w:r>
      <w:r>
        <w:rPr>
          <w:w w:val="110"/>
        </w:rPr>
        <w:t>the</w:t>
      </w:r>
      <w:r>
        <w:rPr>
          <w:spacing w:val="-34"/>
          <w:w w:val="110"/>
        </w:rPr>
        <w:t xml:space="preserve"> </w:t>
      </w:r>
      <w:r>
        <w:rPr>
          <w:w w:val="110"/>
        </w:rPr>
        <w:t>criteria</w:t>
      </w:r>
      <w:r>
        <w:rPr>
          <w:spacing w:val="-27"/>
          <w:w w:val="110"/>
        </w:rPr>
        <w:t xml:space="preserve"> </w:t>
      </w:r>
      <w:r>
        <w:rPr>
          <w:w w:val="110"/>
        </w:rPr>
        <w:t>for</w:t>
      </w:r>
      <w:r>
        <w:rPr>
          <w:spacing w:val="-36"/>
          <w:w w:val="110"/>
        </w:rPr>
        <w:t xml:space="preserve"> </w:t>
      </w:r>
      <w:r>
        <w:rPr>
          <w:w w:val="110"/>
        </w:rPr>
        <w:t>Substance</w:t>
      </w:r>
      <w:r>
        <w:rPr>
          <w:spacing w:val="-29"/>
          <w:w w:val="110"/>
        </w:rPr>
        <w:t xml:space="preserve"> </w:t>
      </w:r>
      <w:r>
        <w:rPr>
          <w:w w:val="110"/>
        </w:rPr>
        <w:t>Abuse</w:t>
      </w:r>
      <w:r>
        <w:rPr>
          <w:spacing w:val="-31"/>
          <w:w w:val="110"/>
        </w:rPr>
        <w:t xml:space="preserve"> </w:t>
      </w:r>
      <w:r>
        <w:rPr>
          <w:w w:val="110"/>
        </w:rPr>
        <w:t>do</w:t>
      </w:r>
      <w:r>
        <w:rPr>
          <w:spacing w:val="-20"/>
          <w:w w:val="110"/>
        </w:rPr>
        <w:t xml:space="preserve"> </w:t>
      </w:r>
      <w:r>
        <w:rPr>
          <w:w w:val="110"/>
        </w:rPr>
        <w:t>not</w:t>
      </w:r>
      <w:r>
        <w:rPr>
          <w:spacing w:val="-32"/>
          <w:w w:val="110"/>
        </w:rPr>
        <w:t xml:space="preserve"> </w:t>
      </w:r>
      <w:r>
        <w:rPr>
          <w:w w:val="110"/>
        </w:rPr>
        <w:t>include</w:t>
      </w:r>
      <w:r>
        <w:rPr>
          <w:spacing w:val="-29"/>
          <w:w w:val="110"/>
        </w:rPr>
        <w:t xml:space="preserve"> </w:t>
      </w:r>
      <w:r>
        <w:rPr>
          <w:w w:val="110"/>
        </w:rPr>
        <w:t>tolerance,</w:t>
      </w:r>
      <w:r>
        <w:rPr>
          <w:spacing w:val="-24"/>
          <w:w w:val="110"/>
        </w:rPr>
        <w:t xml:space="preserve"> </w:t>
      </w:r>
      <w:r>
        <w:rPr>
          <w:w w:val="110"/>
        </w:rPr>
        <w:t>withdrawal,</w:t>
      </w:r>
      <w:r>
        <w:rPr>
          <w:spacing w:val="-20"/>
          <w:w w:val="110"/>
        </w:rPr>
        <w:t xml:space="preserve"> </w:t>
      </w:r>
      <w:r>
        <w:rPr>
          <w:w w:val="110"/>
        </w:rPr>
        <w:t>or</w:t>
      </w:r>
      <w:r>
        <w:rPr>
          <w:spacing w:val="-30"/>
          <w:w w:val="110"/>
        </w:rPr>
        <w:t xml:space="preserve"> </w:t>
      </w:r>
      <w:r>
        <w:rPr>
          <w:w w:val="110"/>
        </w:rPr>
        <w:t>a</w:t>
      </w:r>
      <w:r>
        <w:rPr>
          <w:spacing w:val="-28"/>
          <w:w w:val="110"/>
        </w:rPr>
        <w:t xml:space="preserve"> </w:t>
      </w:r>
      <w:r>
        <w:rPr>
          <w:w w:val="110"/>
        </w:rPr>
        <w:t>pattern of</w:t>
      </w:r>
      <w:r>
        <w:rPr>
          <w:spacing w:val="-13"/>
          <w:w w:val="110"/>
        </w:rPr>
        <w:t xml:space="preserve"> </w:t>
      </w:r>
      <w:r>
        <w:rPr>
          <w:w w:val="110"/>
        </w:rPr>
        <w:t>compulsive</w:t>
      </w:r>
      <w:r>
        <w:rPr>
          <w:spacing w:val="-4"/>
          <w:w w:val="110"/>
        </w:rPr>
        <w:t xml:space="preserve"> </w:t>
      </w:r>
      <w:r>
        <w:rPr>
          <w:w w:val="110"/>
        </w:rPr>
        <w:t>use</w:t>
      </w:r>
      <w:r>
        <w:rPr>
          <w:spacing w:val="-15"/>
          <w:w w:val="110"/>
        </w:rPr>
        <w:t xml:space="preserve"> </w:t>
      </w:r>
      <w:r>
        <w:rPr>
          <w:w w:val="110"/>
        </w:rPr>
        <w:t>and</w:t>
      </w:r>
      <w:r>
        <w:rPr>
          <w:spacing w:val="-12"/>
          <w:w w:val="110"/>
        </w:rPr>
        <w:t xml:space="preserve"> </w:t>
      </w:r>
      <w:r>
        <w:rPr>
          <w:w w:val="110"/>
        </w:rPr>
        <w:t>instead</w:t>
      </w:r>
      <w:r>
        <w:rPr>
          <w:spacing w:val="-7"/>
          <w:w w:val="110"/>
        </w:rPr>
        <w:t xml:space="preserve"> </w:t>
      </w:r>
      <w:r>
        <w:rPr>
          <w:w w:val="110"/>
        </w:rPr>
        <w:t>include</w:t>
      </w:r>
      <w:r>
        <w:rPr>
          <w:spacing w:val="-11"/>
          <w:w w:val="110"/>
        </w:rPr>
        <w:t xml:space="preserve"> </w:t>
      </w:r>
      <w:r>
        <w:rPr>
          <w:w w:val="110"/>
        </w:rPr>
        <w:t>only</w:t>
      </w:r>
      <w:r>
        <w:rPr>
          <w:spacing w:val="-15"/>
          <w:w w:val="110"/>
        </w:rPr>
        <w:t xml:space="preserve"> </w:t>
      </w:r>
      <w:r>
        <w:rPr>
          <w:w w:val="110"/>
        </w:rPr>
        <w:t>the</w:t>
      </w:r>
      <w:r>
        <w:rPr>
          <w:spacing w:val="-11"/>
          <w:w w:val="110"/>
        </w:rPr>
        <w:t xml:space="preserve"> </w:t>
      </w:r>
      <w:r>
        <w:rPr>
          <w:w w:val="110"/>
        </w:rPr>
        <w:t>harmful</w:t>
      </w:r>
      <w:r>
        <w:rPr>
          <w:spacing w:val="-11"/>
          <w:w w:val="110"/>
        </w:rPr>
        <w:t xml:space="preserve"> </w:t>
      </w:r>
      <w:r>
        <w:rPr>
          <w:w w:val="110"/>
        </w:rPr>
        <w:t>consequences</w:t>
      </w:r>
      <w:r>
        <w:rPr>
          <w:spacing w:val="-3"/>
          <w:w w:val="110"/>
        </w:rPr>
        <w:t xml:space="preserve"> </w:t>
      </w:r>
      <w:r>
        <w:rPr>
          <w:w w:val="110"/>
        </w:rPr>
        <w:t>of</w:t>
      </w:r>
      <w:r>
        <w:rPr>
          <w:spacing w:val="-8"/>
          <w:w w:val="110"/>
        </w:rPr>
        <w:t xml:space="preserve"> </w:t>
      </w:r>
      <w:r>
        <w:rPr>
          <w:w w:val="110"/>
        </w:rPr>
        <w:t>repeated</w:t>
      </w:r>
      <w:r>
        <w:rPr>
          <w:spacing w:val="-6"/>
          <w:w w:val="110"/>
        </w:rPr>
        <w:t xml:space="preserve"> </w:t>
      </w:r>
      <w:r>
        <w:rPr>
          <w:w w:val="110"/>
        </w:rPr>
        <w:t>use. A</w:t>
      </w:r>
      <w:r>
        <w:rPr>
          <w:spacing w:val="-37"/>
          <w:w w:val="110"/>
        </w:rPr>
        <w:t xml:space="preserve"> </w:t>
      </w:r>
      <w:r>
        <w:rPr>
          <w:w w:val="110"/>
        </w:rPr>
        <w:t>diagnosis</w:t>
      </w:r>
      <w:r>
        <w:rPr>
          <w:spacing w:val="-31"/>
          <w:w w:val="110"/>
        </w:rPr>
        <w:t xml:space="preserve"> </w:t>
      </w:r>
      <w:r>
        <w:rPr>
          <w:w w:val="110"/>
        </w:rPr>
        <w:t>of</w:t>
      </w:r>
      <w:r>
        <w:rPr>
          <w:spacing w:val="-32"/>
          <w:w w:val="110"/>
        </w:rPr>
        <w:t xml:space="preserve"> </w:t>
      </w:r>
      <w:r>
        <w:rPr>
          <w:w w:val="110"/>
        </w:rPr>
        <w:t>Substance</w:t>
      </w:r>
      <w:r>
        <w:rPr>
          <w:spacing w:val="-29"/>
          <w:w w:val="110"/>
        </w:rPr>
        <w:t xml:space="preserve"> </w:t>
      </w:r>
      <w:r>
        <w:rPr>
          <w:w w:val="110"/>
        </w:rPr>
        <w:t>Abuse</w:t>
      </w:r>
      <w:r>
        <w:rPr>
          <w:spacing w:val="-29"/>
          <w:w w:val="110"/>
        </w:rPr>
        <w:t xml:space="preserve"> </w:t>
      </w:r>
      <w:r>
        <w:rPr>
          <w:w w:val="110"/>
        </w:rPr>
        <w:t>is</w:t>
      </w:r>
      <w:r>
        <w:rPr>
          <w:spacing w:val="-34"/>
          <w:w w:val="110"/>
        </w:rPr>
        <w:t xml:space="preserve"> </w:t>
      </w:r>
      <w:r>
        <w:rPr>
          <w:w w:val="110"/>
        </w:rPr>
        <w:t>preempted</w:t>
      </w:r>
      <w:r>
        <w:rPr>
          <w:spacing w:val="-27"/>
          <w:w w:val="110"/>
        </w:rPr>
        <w:t xml:space="preserve"> </w:t>
      </w:r>
      <w:r>
        <w:rPr>
          <w:w w:val="110"/>
        </w:rPr>
        <w:t>by</w:t>
      </w:r>
      <w:r>
        <w:rPr>
          <w:spacing w:val="-33"/>
          <w:w w:val="110"/>
        </w:rPr>
        <w:t xml:space="preserve"> </w:t>
      </w:r>
      <w:r>
        <w:rPr>
          <w:w w:val="110"/>
        </w:rPr>
        <w:t>the</w:t>
      </w:r>
      <w:r>
        <w:rPr>
          <w:spacing w:val="-35"/>
          <w:w w:val="110"/>
        </w:rPr>
        <w:t xml:space="preserve"> </w:t>
      </w:r>
      <w:r>
        <w:rPr>
          <w:w w:val="110"/>
        </w:rPr>
        <w:t>diagnosis</w:t>
      </w:r>
      <w:r>
        <w:rPr>
          <w:spacing w:val="-29"/>
          <w:w w:val="110"/>
        </w:rPr>
        <w:t xml:space="preserve"> </w:t>
      </w:r>
      <w:r>
        <w:rPr>
          <w:w w:val="110"/>
        </w:rPr>
        <w:t>of</w:t>
      </w:r>
      <w:r>
        <w:rPr>
          <w:spacing w:val="-31"/>
          <w:w w:val="110"/>
        </w:rPr>
        <w:t xml:space="preserve"> </w:t>
      </w:r>
      <w:r>
        <w:rPr>
          <w:w w:val="110"/>
        </w:rPr>
        <w:t>Substance</w:t>
      </w:r>
      <w:r>
        <w:rPr>
          <w:spacing w:val="-29"/>
          <w:w w:val="110"/>
        </w:rPr>
        <w:t xml:space="preserve"> </w:t>
      </w:r>
      <w:r>
        <w:rPr>
          <w:w w:val="110"/>
        </w:rPr>
        <w:t>Dependence if</w:t>
      </w:r>
      <w:r>
        <w:rPr>
          <w:spacing w:val="-12"/>
          <w:w w:val="110"/>
        </w:rPr>
        <w:t xml:space="preserve"> </w:t>
      </w:r>
      <w:r>
        <w:rPr>
          <w:w w:val="110"/>
        </w:rPr>
        <w:t>the</w:t>
      </w:r>
      <w:r>
        <w:rPr>
          <w:spacing w:val="-15"/>
          <w:w w:val="110"/>
        </w:rPr>
        <w:t xml:space="preserve"> </w:t>
      </w:r>
      <w:r>
        <w:rPr>
          <w:w w:val="110"/>
        </w:rPr>
        <w:t>individual's pattern</w:t>
      </w:r>
      <w:r>
        <w:rPr>
          <w:spacing w:val="-12"/>
          <w:w w:val="110"/>
        </w:rPr>
        <w:t xml:space="preserve"> </w:t>
      </w:r>
      <w:r>
        <w:rPr>
          <w:w w:val="110"/>
        </w:rPr>
        <w:t>of</w:t>
      </w:r>
      <w:r>
        <w:rPr>
          <w:spacing w:val="-12"/>
          <w:w w:val="110"/>
        </w:rPr>
        <w:t xml:space="preserve"> </w:t>
      </w:r>
      <w:r>
        <w:rPr>
          <w:w w:val="110"/>
        </w:rPr>
        <w:t>substance</w:t>
      </w:r>
      <w:r>
        <w:rPr>
          <w:spacing w:val="-8"/>
          <w:w w:val="110"/>
        </w:rPr>
        <w:t xml:space="preserve"> </w:t>
      </w:r>
      <w:r>
        <w:rPr>
          <w:w w:val="110"/>
        </w:rPr>
        <w:t>use</w:t>
      </w:r>
      <w:r>
        <w:rPr>
          <w:spacing w:val="-11"/>
          <w:w w:val="110"/>
        </w:rPr>
        <w:t xml:space="preserve"> </w:t>
      </w:r>
      <w:r>
        <w:rPr>
          <w:w w:val="110"/>
        </w:rPr>
        <w:t>has</w:t>
      </w:r>
      <w:r>
        <w:rPr>
          <w:spacing w:val="-23"/>
          <w:w w:val="110"/>
        </w:rPr>
        <w:t xml:space="preserve"> </w:t>
      </w:r>
      <w:r>
        <w:rPr>
          <w:w w:val="110"/>
        </w:rPr>
        <w:t>ever</w:t>
      </w:r>
      <w:r>
        <w:rPr>
          <w:spacing w:val="-11"/>
          <w:w w:val="110"/>
        </w:rPr>
        <w:t xml:space="preserve"> </w:t>
      </w:r>
      <w:r>
        <w:rPr>
          <w:w w:val="110"/>
        </w:rPr>
        <w:t>met</w:t>
      </w:r>
      <w:r>
        <w:rPr>
          <w:spacing w:val="-15"/>
          <w:w w:val="110"/>
        </w:rPr>
        <w:t xml:space="preserve"> </w:t>
      </w:r>
      <w:r>
        <w:rPr>
          <w:w w:val="110"/>
        </w:rPr>
        <w:t>the</w:t>
      </w:r>
      <w:r>
        <w:rPr>
          <w:spacing w:val="-18"/>
          <w:w w:val="110"/>
        </w:rPr>
        <w:t xml:space="preserve"> </w:t>
      </w:r>
      <w:r>
        <w:rPr>
          <w:w w:val="110"/>
        </w:rPr>
        <w:t>criteria</w:t>
      </w:r>
      <w:r>
        <w:rPr>
          <w:spacing w:val="-9"/>
          <w:w w:val="110"/>
        </w:rPr>
        <w:t xml:space="preserve"> </w:t>
      </w:r>
      <w:r>
        <w:rPr>
          <w:w w:val="110"/>
        </w:rPr>
        <w:t>for</w:t>
      </w:r>
      <w:r>
        <w:rPr>
          <w:spacing w:val="-17"/>
          <w:w w:val="110"/>
        </w:rPr>
        <w:t xml:space="preserve"> </w:t>
      </w:r>
      <w:r>
        <w:rPr>
          <w:w w:val="110"/>
        </w:rPr>
        <w:t>Dependence</w:t>
      </w:r>
      <w:r>
        <w:rPr>
          <w:spacing w:val="-6"/>
          <w:w w:val="110"/>
        </w:rPr>
        <w:t xml:space="preserve"> </w:t>
      </w:r>
      <w:r>
        <w:rPr>
          <w:w w:val="110"/>
        </w:rPr>
        <w:t>for that</w:t>
      </w:r>
      <w:r>
        <w:rPr>
          <w:spacing w:val="-21"/>
          <w:w w:val="110"/>
        </w:rPr>
        <w:t xml:space="preserve"> </w:t>
      </w:r>
      <w:r>
        <w:rPr>
          <w:w w:val="110"/>
        </w:rPr>
        <w:t>class</w:t>
      </w:r>
      <w:r>
        <w:rPr>
          <w:spacing w:val="-22"/>
          <w:w w:val="110"/>
        </w:rPr>
        <w:t xml:space="preserve"> </w:t>
      </w:r>
      <w:r>
        <w:rPr>
          <w:w w:val="110"/>
        </w:rPr>
        <w:t>of</w:t>
      </w:r>
      <w:r>
        <w:rPr>
          <w:spacing w:val="-24"/>
          <w:w w:val="110"/>
        </w:rPr>
        <w:t xml:space="preserve"> </w:t>
      </w:r>
      <w:r>
        <w:rPr>
          <w:w w:val="110"/>
        </w:rPr>
        <w:t>substances</w:t>
      </w:r>
      <w:r>
        <w:rPr>
          <w:spacing w:val="-16"/>
          <w:w w:val="110"/>
        </w:rPr>
        <w:t xml:space="preserve"> </w:t>
      </w:r>
      <w:r>
        <w:rPr>
          <w:w w:val="110"/>
        </w:rPr>
        <w:t>(Criterion</w:t>
      </w:r>
      <w:r>
        <w:rPr>
          <w:spacing w:val="-14"/>
          <w:w w:val="110"/>
        </w:rPr>
        <w:t xml:space="preserve"> </w:t>
      </w:r>
      <w:r>
        <w:rPr>
          <w:w w:val="110"/>
        </w:rPr>
        <w:t>B).</w:t>
      </w:r>
      <w:r>
        <w:rPr>
          <w:spacing w:val="-24"/>
          <w:w w:val="110"/>
        </w:rPr>
        <w:t xml:space="preserve"> </w:t>
      </w:r>
      <w:r>
        <w:rPr>
          <w:w w:val="110"/>
        </w:rPr>
        <w:t>Although</w:t>
      </w:r>
      <w:r>
        <w:rPr>
          <w:spacing w:val="-14"/>
          <w:w w:val="110"/>
        </w:rPr>
        <w:t xml:space="preserve"> </w:t>
      </w:r>
      <w:r>
        <w:rPr>
          <w:w w:val="110"/>
        </w:rPr>
        <w:t>a</w:t>
      </w:r>
      <w:r>
        <w:rPr>
          <w:spacing w:val="-21"/>
          <w:w w:val="110"/>
        </w:rPr>
        <w:t xml:space="preserve"> </w:t>
      </w:r>
      <w:r>
        <w:rPr>
          <w:w w:val="110"/>
        </w:rPr>
        <w:t>diagnosis</w:t>
      </w:r>
      <w:r>
        <w:rPr>
          <w:spacing w:val="-22"/>
          <w:w w:val="110"/>
        </w:rPr>
        <w:t xml:space="preserve"> </w:t>
      </w:r>
      <w:r>
        <w:rPr>
          <w:w w:val="110"/>
        </w:rPr>
        <w:t>of</w:t>
      </w:r>
      <w:r>
        <w:rPr>
          <w:spacing w:val="-25"/>
          <w:w w:val="110"/>
        </w:rPr>
        <w:t xml:space="preserve"> </w:t>
      </w:r>
      <w:r>
        <w:rPr>
          <w:w w:val="110"/>
        </w:rPr>
        <w:t>Substance</w:t>
      </w:r>
      <w:r>
        <w:rPr>
          <w:spacing w:val="-23"/>
          <w:w w:val="110"/>
        </w:rPr>
        <w:t xml:space="preserve"> </w:t>
      </w:r>
      <w:r>
        <w:rPr>
          <w:w w:val="110"/>
        </w:rPr>
        <w:t>Abuse</w:t>
      </w:r>
      <w:r>
        <w:rPr>
          <w:spacing w:val="-23"/>
          <w:w w:val="110"/>
        </w:rPr>
        <w:t xml:space="preserve"> </w:t>
      </w:r>
      <w:r>
        <w:rPr>
          <w:w w:val="110"/>
        </w:rPr>
        <w:t>is</w:t>
      </w:r>
      <w:r>
        <w:rPr>
          <w:spacing w:val="-25"/>
          <w:w w:val="110"/>
        </w:rPr>
        <w:t xml:space="preserve"> </w:t>
      </w:r>
      <w:r>
        <w:rPr>
          <w:w w:val="110"/>
        </w:rPr>
        <w:t>more likely in individuals who have only recently started taking the substance, some individuals</w:t>
      </w:r>
      <w:r>
        <w:rPr>
          <w:spacing w:val="-19"/>
          <w:w w:val="110"/>
        </w:rPr>
        <w:t xml:space="preserve"> </w:t>
      </w:r>
      <w:r>
        <w:rPr>
          <w:w w:val="110"/>
        </w:rPr>
        <w:t>continue</w:t>
      </w:r>
      <w:r>
        <w:rPr>
          <w:spacing w:val="-17"/>
          <w:w w:val="110"/>
        </w:rPr>
        <w:t xml:space="preserve"> </w:t>
      </w:r>
      <w:r>
        <w:rPr>
          <w:w w:val="110"/>
        </w:rPr>
        <w:t>to</w:t>
      </w:r>
      <w:r>
        <w:rPr>
          <w:spacing w:val="-24"/>
          <w:w w:val="110"/>
        </w:rPr>
        <w:t xml:space="preserve"> </w:t>
      </w:r>
      <w:r>
        <w:rPr>
          <w:w w:val="110"/>
        </w:rPr>
        <w:t>have</w:t>
      </w:r>
      <w:r>
        <w:rPr>
          <w:spacing w:val="-23"/>
          <w:w w:val="110"/>
        </w:rPr>
        <w:t xml:space="preserve"> </w:t>
      </w:r>
      <w:r>
        <w:rPr>
          <w:w w:val="110"/>
        </w:rPr>
        <w:t>substance-related</w:t>
      </w:r>
      <w:r>
        <w:rPr>
          <w:spacing w:val="-26"/>
          <w:w w:val="110"/>
        </w:rPr>
        <w:t xml:space="preserve"> </w:t>
      </w:r>
      <w:r>
        <w:rPr>
          <w:w w:val="110"/>
        </w:rPr>
        <w:t>adverse</w:t>
      </w:r>
      <w:r>
        <w:rPr>
          <w:spacing w:val="-21"/>
          <w:w w:val="110"/>
        </w:rPr>
        <w:t xml:space="preserve"> </w:t>
      </w:r>
      <w:r>
        <w:rPr>
          <w:w w:val="110"/>
        </w:rPr>
        <w:t>social</w:t>
      </w:r>
      <w:r>
        <w:rPr>
          <w:spacing w:val="-22"/>
          <w:w w:val="110"/>
        </w:rPr>
        <w:t xml:space="preserve"> </w:t>
      </w:r>
      <w:r>
        <w:rPr>
          <w:w w:val="110"/>
        </w:rPr>
        <w:t>consequences</w:t>
      </w:r>
      <w:r>
        <w:rPr>
          <w:spacing w:val="-15"/>
          <w:w w:val="110"/>
        </w:rPr>
        <w:t xml:space="preserve"> </w:t>
      </w:r>
      <w:r>
        <w:rPr>
          <w:w w:val="110"/>
        </w:rPr>
        <w:t>over</w:t>
      </w:r>
      <w:r>
        <w:rPr>
          <w:spacing w:val="-26"/>
          <w:w w:val="110"/>
        </w:rPr>
        <w:t xml:space="preserve"> </w:t>
      </w:r>
      <w:r>
        <w:rPr>
          <w:w w:val="110"/>
        </w:rPr>
        <w:t>a</w:t>
      </w:r>
      <w:r>
        <w:rPr>
          <w:spacing w:val="-23"/>
          <w:w w:val="110"/>
        </w:rPr>
        <w:t xml:space="preserve"> </w:t>
      </w:r>
      <w:r>
        <w:rPr>
          <w:w w:val="110"/>
        </w:rPr>
        <w:t>long period</w:t>
      </w:r>
      <w:r>
        <w:rPr>
          <w:spacing w:val="-21"/>
          <w:w w:val="110"/>
        </w:rPr>
        <w:t xml:space="preserve"> </w:t>
      </w:r>
      <w:r>
        <w:rPr>
          <w:w w:val="110"/>
        </w:rPr>
        <w:t>of</w:t>
      </w:r>
      <w:r>
        <w:rPr>
          <w:spacing w:val="-17"/>
          <w:w w:val="110"/>
        </w:rPr>
        <w:t xml:space="preserve"> </w:t>
      </w:r>
      <w:r>
        <w:rPr>
          <w:w w:val="110"/>
        </w:rPr>
        <w:t>time</w:t>
      </w:r>
      <w:r>
        <w:rPr>
          <w:spacing w:val="-26"/>
          <w:w w:val="110"/>
        </w:rPr>
        <w:t xml:space="preserve"> </w:t>
      </w:r>
      <w:r>
        <w:rPr>
          <w:w w:val="110"/>
        </w:rPr>
        <w:t>without</w:t>
      </w:r>
      <w:r>
        <w:rPr>
          <w:spacing w:val="-16"/>
          <w:w w:val="110"/>
        </w:rPr>
        <w:t xml:space="preserve"> </w:t>
      </w:r>
      <w:r>
        <w:rPr>
          <w:w w:val="110"/>
        </w:rPr>
        <w:t>developing</w:t>
      </w:r>
      <w:r>
        <w:rPr>
          <w:spacing w:val="-17"/>
          <w:w w:val="110"/>
        </w:rPr>
        <w:t xml:space="preserve"> </w:t>
      </w:r>
      <w:r>
        <w:rPr>
          <w:w w:val="110"/>
        </w:rPr>
        <w:t>evidence</w:t>
      </w:r>
      <w:r>
        <w:rPr>
          <w:spacing w:val="-20"/>
          <w:w w:val="110"/>
        </w:rPr>
        <w:t xml:space="preserve"> </w:t>
      </w:r>
      <w:r>
        <w:rPr>
          <w:w w:val="110"/>
        </w:rPr>
        <w:t>of</w:t>
      </w:r>
      <w:r>
        <w:rPr>
          <w:spacing w:val="-17"/>
          <w:w w:val="110"/>
        </w:rPr>
        <w:t xml:space="preserve"> </w:t>
      </w:r>
      <w:r>
        <w:rPr>
          <w:w w:val="110"/>
        </w:rPr>
        <w:t>Substance</w:t>
      </w:r>
      <w:r>
        <w:rPr>
          <w:spacing w:val="-18"/>
          <w:w w:val="110"/>
        </w:rPr>
        <w:t xml:space="preserve"> </w:t>
      </w:r>
      <w:r>
        <w:rPr>
          <w:w w:val="110"/>
        </w:rPr>
        <w:t>Dependence.</w:t>
      </w:r>
      <w:r>
        <w:rPr>
          <w:spacing w:val="-22"/>
          <w:w w:val="110"/>
        </w:rPr>
        <w:t xml:space="preserve"> </w:t>
      </w:r>
      <w:r>
        <w:rPr>
          <w:w w:val="110"/>
        </w:rPr>
        <w:t>The</w:t>
      </w:r>
      <w:r>
        <w:rPr>
          <w:spacing w:val="-25"/>
          <w:w w:val="110"/>
        </w:rPr>
        <w:t xml:space="preserve"> </w:t>
      </w:r>
      <w:r>
        <w:rPr>
          <w:w w:val="110"/>
        </w:rPr>
        <w:t>category</w:t>
      </w:r>
      <w:r>
        <w:rPr>
          <w:spacing w:val="-19"/>
          <w:w w:val="110"/>
        </w:rPr>
        <w:t xml:space="preserve"> </w:t>
      </w:r>
      <w:r>
        <w:rPr>
          <w:w w:val="110"/>
        </w:rPr>
        <w:t>of Substance Abuse does not apply to caffeine and</w:t>
      </w:r>
      <w:r>
        <w:rPr>
          <w:spacing w:val="51"/>
          <w:w w:val="110"/>
        </w:rPr>
        <w:t xml:space="preserve"> </w:t>
      </w:r>
      <w:r>
        <w:rPr>
          <w:w w:val="110"/>
        </w:rPr>
        <w:t>nicotine.</w:t>
      </w:r>
    </w:p>
    <w:p w:rsidR="00E675F0" w:rsidRDefault="00E675F0" w:rsidP="00E675F0">
      <w:pPr>
        <w:pStyle w:val="BodyText"/>
        <w:spacing w:before="11" w:line="252" w:lineRule="auto"/>
        <w:ind w:left="126" w:right="114" w:firstLine="354"/>
        <w:jc w:val="both"/>
      </w:pPr>
      <w:r>
        <w:rPr>
          <w:noProof/>
        </w:rPr>
        <mc:AlternateContent>
          <mc:Choice Requires="wps">
            <w:drawing>
              <wp:anchor distT="0" distB="0" distL="114300" distR="114300" simplePos="0" relativeHeight="251712512" behindDoc="0" locked="0" layoutInCell="1" allowOverlap="1" wp14:anchorId="02B6E5C5" wp14:editId="3D9978BB">
                <wp:simplePos x="0" y="0"/>
                <wp:positionH relativeFrom="page">
                  <wp:posOffset>522605</wp:posOffset>
                </wp:positionH>
                <wp:positionV relativeFrom="paragraph">
                  <wp:posOffset>4307205</wp:posOffset>
                </wp:positionV>
                <wp:extent cx="0" cy="0"/>
                <wp:effectExtent l="0" t="0" r="0" b="0"/>
                <wp:wrapNone/>
                <wp:docPr id="1407" name="Line 13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3054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B5D20D" id="Line 1363" o:spid="_x0000_s1026" style="position:absolute;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15pt,339.15pt" to="41.15pt,339.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" strokeweight=".84853mm">
                <o:lock v:ext="edit" shapetype="f"/>
                <w10:wrap anchorx="page"/>
              </v:line>
            </w:pict>
          </mc:Fallback>
        </mc:AlternateContent>
      </w:r>
      <w:r>
        <w:rPr>
          <w:noProof/>
        </w:rPr>
        <mc:AlternateContent>
          <mc:Choice Requires="wps">
            <w:drawing>
              <wp:anchor distT="0" distB="0" distL="114300" distR="114300" simplePos="0" relativeHeight="251713536" behindDoc="0" locked="0" layoutInCell="1" allowOverlap="1" wp14:anchorId="43B96053" wp14:editId="39B11816">
                <wp:simplePos x="0" y="0"/>
                <wp:positionH relativeFrom="page">
                  <wp:posOffset>5224145</wp:posOffset>
                </wp:positionH>
                <wp:positionV relativeFrom="paragraph">
                  <wp:posOffset>4307205</wp:posOffset>
                </wp:positionV>
                <wp:extent cx="0" cy="0"/>
                <wp:effectExtent l="0" t="0" r="0" b="0"/>
                <wp:wrapNone/>
                <wp:docPr id="1406" name="Line 13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916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B3A415" id="Line 1362" o:spid="_x0000_s1026" style="position:absolute;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1.35pt,339.15pt" to="411.35pt,339.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" strokeweight=".25456mm">
                <o:lock v:ext="edit" shapetype="f"/>
                <w10:wrap anchorx="page"/>
              </v:line>
            </w:pict>
          </mc:Fallback>
        </mc:AlternateContent>
      </w:r>
      <w:r>
        <w:rPr>
          <w:w w:val="110"/>
        </w:rPr>
        <w:t>The</w:t>
      </w:r>
      <w:r>
        <w:rPr>
          <w:spacing w:val="-22"/>
          <w:w w:val="110"/>
        </w:rPr>
        <w:t xml:space="preserve"> </w:t>
      </w:r>
      <w:r>
        <w:rPr>
          <w:w w:val="110"/>
        </w:rPr>
        <w:t>individual</w:t>
      </w:r>
      <w:r>
        <w:rPr>
          <w:spacing w:val="-14"/>
          <w:w w:val="110"/>
        </w:rPr>
        <w:t xml:space="preserve"> </w:t>
      </w:r>
      <w:r>
        <w:rPr>
          <w:w w:val="110"/>
        </w:rPr>
        <w:t>may</w:t>
      </w:r>
      <w:r>
        <w:rPr>
          <w:spacing w:val="-23"/>
          <w:w w:val="110"/>
        </w:rPr>
        <w:t xml:space="preserve"> </w:t>
      </w:r>
      <w:r>
        <w:rPr>
          <w:w w:val="110"/>
        </w:rPr>
        <w:t>repeatedly</w:t>
      </w:r>
      <w:r>
        <w:rPr>
          <w:spacing w:val="-17"/>
          <w:w w:val="110"/>
        </w:rPr>
        <w:t xml:space="preserve"> </w:t>
      </w:r>
      <w:r>
        <w:rPr>
          <w:w w:val="110"/>
        </w:rPr>
        <w:t>demonstrate</w:t>
      </w:r>
      <w:r>
        <w:rPr>
          <w:spacing w:val="-16"/>
          <w:w w:val="110"/>
        </w:rPr>
        <w:t xml:space="preserve"> </w:t>
      </w:r>
      <w:r>
        <w:rPr>
          <w:w w:val="110"/>
        </w:rPr>
        <w:t>intoxication</w:t>
      </w:r>
      <w:r>
        <w:rPr>
          <w:spacing w:val="-9"/>
          <w:w w:val="110"/>
        </w:rPr>
        <w:t xml:space="preserve"> </w:t>
      </w:r>
      <w:r>
        <w:rPr>
          <w:w w:val="110"/>
        </w:rPr>
        <w:t>or</w:t>
      </w:r>
      <w:r>
        <w:rPr>
          <w:spacing w:val="-17"/>
          <w:w w:val="110"/>
        </w:rPr>
        <w:t xml:space="preserve"> </w:t>
      </w:r>
      <w:r>
        <w:rPr>
          <w:w w:val="110"/>
        </w:rPr>
        <w:t>other</w:t>
      </w:r>
      <w:r>
        <w:rPr>
          <w:spacing w:val="-23"/>
          <w:w w:val="110"/>
        </w:rPr>
        <w:t xml:space="preserve"> </w:t>
      </w:r>
      <w:r>
        <w:rPr>
          <w:w w:val="110"/>
        </w:rPr>
        <w:t>substance-related symptoms when expected to fulfill major role obligations at work, school, or home (Criterion Al). There may be repeated absences or poor work performance related to recurrent</w:t>
      </w:r>
      <w:r>
        <w:rPr>
          <w:spacing w:val="-13"/>
          <w:w w:val="110"/>
        </w:rPr>
        <w:t xml:space="preserve"> </w:t>
      </w:r>
      <w:r>
        <w:rPr>
          <w:w w:val="110"/>
        </w:rPr>
        <w:t>hangovers.</w:t>
      </w:r>
      <w:r>
        <w:rPr>
          <w:spacing w:val="-16"/>
          <w:w w:val="110"/>
        </w:rPr>
        <w:t xml:space="preserve"> </w:t>
      </w:r>
      <w:r>
        <w:rPr>
          <w:w w:val="110"/>
        </w:rPr>
        <w:t>A</w:t>
      </w:r>
      <w:r>
        <w:rPr>
          <w:spacing w:val="-26"/>
          <w:w w:val="110"/>
        </w:rPr>
        <w:t xml:space="preserve"> </w:t>
      </w:r>
      <w:r>
        <w:rPr>
          <w:w w:val="110"/>
        </w:rPr>
        <w:t>student</w:t>
      </w:r>
      <w:r>
        <w:rPr>
          <w:spacing w:val="-19"/>
          <w:w w:val="110"/>
        </w:rPr>
        <w:t xml:space="preserve"> </w:t>
      </w:r>
      <w:r>
        <w:rPr>
          <w:w w:val="110"/>
        </w:rPr>
        <w:t>might</w:t>
      </w:r>
      <w:r>
        <w:rPr>
          <w:spacing w:val="-11"/>
          <w:w w:val="110"/>
        </w:rPr>
        <w:t xml:space="preserve"> </w:t>
      </w:r>
      <w:r>
        <w:rPr>
          <w:w w:val="110"/>
        </w:rPr>
        <w:t>have</w:t>
      </w:r>
      <w:r>
        <w:rPr>
          <w:spacing w:val="-26"/>
          <w:w w:val="110"/>
        </w:rPr>
        <w:t xml:space="preserve"> </w:t>
      </w:r>
      <w:r>
        <w:rPr>
          <w:w w:val="110"/>
        </w:rPr>
        <w:t>substance-related</w:t>
      </w:r>
      <w:r>
        <w:rPr>
          <w:spacing w:val="-22"/>
          <w:w w:val="110"/>
        </w:rPr>
        <w:t xml:space="preserve"> </w:t>
      </w:r>
      <w:r>
        <w:rPr>
          <w:w w:val="110"/>
        </w:rPr>
        <w:t>absences,</w:t>
      </w:r>
      <w:r>
        <w:rPr>
          <w:spacing w:val="-17"/>
          <w:w w:val="110"/>
        </w:rPr>
        <w:t xml:space="preserve"> </w:t>
      </w:r>
      <w:r>
        <w:rPr>
          <w:w w:val="110"/>
        </w:rPr>
        <w:t>suspensions,</w:t>
      </w:r>
      <w:r>
        <w:rPr>
          <w:spacing w:val="-13"/>
          <w:w w:val="110"/>
        </w:rPr>
        <w:t xml:space="preserve"> </w:t>
      </w:r>
      <w:r>
        <w:rPr>
          <w:w w:val="110"/>
        </w:rPr>
        <w:t>or expulsions from school. While intoxicated, the individual may neglect children or household duties. The person may repeatedly be intoxicated in situations that are physically</w:t>
      </w:r>
      <w:r>
        <w:rPr>
          <w:spacing w:val="-28"/>
          <w:w w:val="110"/>
        </w:rPr>
        <w:t xml:space="preserve"> </w:t>
      </w:r>
      <w:r>
        <w:rPr>
          <w:w w:val="110"/>
        </w:rPr>
        <w:t>hazardous</w:t>
      </w:r>
      <w:r>
        <w:rPr>
          <w:spacing w:val="-33"/>
          <w:w w:val="110"/>
        </w:rPr>
        <w:t xml:space="preserve"> </w:t>
      </w:r>
      <w:r>
        <w:rPr>
          <w:w w:val="110"/>
        </w:rPr>
        <w:t>(e.g.,</w:t>
      </w:r>
      <w:r>
        <w:rPr>
          <w:spacing w:val="-32"/>
          <w:w w:val="110"/>
        </w:rPr>
        <w:t xml:space="preserve"> </w:t>
      </w:r>
      <w:r>
        <w:rPr>
          <w:w w:val="110"/>
        </w:rPr>
        <w:t>while</w:t>
      </w:r>
      <w:r>
        <w:rPr>
          <w:spacing w:val="-33"/>
          <w:w w:val="110"/>
        </w:rPr>
        <w:t xml:space="preserve"> </w:t>
      </w:r>
      <w:r>
        <w:rPr>
          <w:w w:val="110"/>
        </w:rPr>
        <w:t>driving</w:t>
      </w:r>
      <w:r>
        <w:rPr>
          <w:spacing w:val="-35"/>
          <w:w w:val="110"/>
        </w:rPr>
        <w:t xml:space="preserve"> </w:t>
      </w:r>
      <w:r>
        <w:rPr>
          <w:w w:val="110"/>
        </w:rPr>
        <w:t>a</w:t>
      </w:r>
      <w:r>
        <w:rPr>
          <w:spacing w:val="-33"/>
          <w:w w:val="110"/>
        </w:rPr>
        <w:t xml:space="preserve"> </w:t>
      </w:r>
      <w:r>
        <w:rPr>
          <w:w w:val="110"/>
        </w:rPr>
        <w:t>car,</w:t>
      </w:r>
      <w:r>
        <w:rPr>
          <w:spacing w:val="-36"/>
          <w:w w:val="110"/>
        </w:rPr>
        <w:t xml:space="preserve"> </w:t>
      </w:r>
      <w:r>
        <w:rPr>
          <w:w w:val="110"/>
        </w:rPr>
        <w:t>operating</w:t>
      </w:r>
      <w:r>
        <w:rPr>
          <w:spacing w:val="-30"/>
          <w:w w:val="110"/>
        </w:rPr>
        <w:t xml:space="preserve"> </w:t>
      </w:r>
      <w:r>
        <w:rPr>
          <w:w w:val="110"/>
        </w:rPr>
        <w:t>machinery,</w:t>
      </w:r>
      <w:r>
        <w:rPr>
          <w:spacing w:val="-26"/>
          <w:w w:val="110"/>
        </w:rPr>
        <w:t xml:space="preserve"> </w:t>
      </w:r>
      <w:r>
        <w:rPr>
          <w:w w:val="110"/>
        </w:rPr>
        <w:t>or</w:t>
      </w:r>
      <w:r>
        <w:rPr>
          <w:spacing w:val="-39"/>
          <w:w w:val="110"/>
        </w:rPr>
        <w:t xml:space="preserve"> </w:t>
      </w:r>
      <w:r>
        <w:rPr>
          <w:w w:val="110"/>
        </w:rPr>
        <w:t>engaging</w:t>
      </w:r>
      <w:r>
        <w:rPr>
          <w:spacing w:val="-29"/>
          <w:w w:val="110"/>
        </w:rPr>
        <w:t xml:space="preserve"> </w:t>
      </w:r>
      <w:r>
        <w:rPr>
          <w:w w:val="110"/>
        </w:rPr>
        <w:t>in</w:t>
      </w:r>
      <w:r>
        <w:rPr>
          <w:spacing w:val="-33"/>
          <w:w w:val="110"/>
        </w:rPr>
        <w:t xml:space="preserve"> </w:t>
      </w:r>
      <w:r>
        <w:rPr>
          <w:w w:val="110"/>
        </w:rPr>
        <w:t>risky recreational</w:t>
      </w:r>
      <w:r>
        <w:rPr>
          <w:spacing w:val="-24"/>
          <w:w w:val="110"/>
        </w:rPr>
        <w:t xml:space="preserve"> </w:t>
      </w:r>
      <w:r>
        <w:rPr>
          <w:w w:val="110"/>
        </w:rPr>
        <w:t>behavior</w:t>
      </w:r>
      <w:r>
        <w:rPr>
          <w:spacing w:val="-24"/>
          <w:w w:val="110"/>
        </w:rPr>
        <w:t xml:space="preserve"> </w:t>
      </w:r>
      <w:r>
        <w:rPr>
          <w:w w:val="110"/>
        </w:rPr>
        <w:t>such</w:t>
      </w:r>
      <w:r>
        <w:rPr>
          <w:spacing w:val="-27"/>
          <w:w w:val="110"/>
        </w:rPr>
        <w:t xml:space="preserve"> </w:t>
      </w:r>
      <w:r>
        <w:rPr>
          <w:w w:val="110"/>
        </w:rPr>
        <w:t>as</w:t>
      </w:r>
      <w:r>
        <w:rPr>
          <w:spacing w:val="-33"/>
          <w:w w:val="110"/>
        </w:rPr>
        <w:t xml:space="preserve"> </w:t>
      </w:r>
      <w:r>
        <w:rPr>
          <w:w w:val="110"/>
        </w:rPr>
        <w:t>swimming</w:t>
      </w:r>
      <w:r>
        <w:rPr>
          <w:spacing w:val="-22"/>
          <w:w w:val="110"/>
        </w:rPr>
        <w:t xml:space="preserve"> </w:t>
      </w:r>
      <w:r>
        <w:rPr>
          <w:w w:val="110"/>
        </w:rPr>
        <w:t>or</w:t>
      </w:r>
      <w:r>
        <w:rPr>
          <w:spacing w:val="-20"/>
          <w:w w:val="110"/>
        </w:rPr>
        <w:t xml:space="preserve"> </w:t>
      </w:r>
      <w:r>
        <w:rPr>
          <w:w w:val="110"/>
        </w:rPr>
        <w:t>rock</w:t>
      </w:r>
      <w:r>
        <w:rPr>
          <w:spacing w:val="-31"/>
          <w:w w:val="110"/>
        </w:rPr>
        <w:t xml:space="preserve"> </w:t>
      </w:r>
      <w:r>
        <w:rPr>
          <w:w w:val="110"/>
        </w:rPr>
        <w:t>climbing)</w:t>
      </w:r>
      <w:r>
        <w:rPr>
          <w:spacing w:val="-24"/>
          <w:w w:val="110"/>
        </w:rPr>
        <w:t xml:space="preserve"> </w:t>
      </w:r>
      <w:r>
        <w:rPr>
          <w:w w:val="110"/>
        </w:rPr>
        <w:t>(Criterion</w:t>
      </w:r>
      <w:r>
        <w:rPr>
          <w:spacing w:val="-24"/>
          <w:w w:val="110"/>
        </w:rPr>
        <w:t xml:space="preserve"> </w:t>
      </w:r>
      <w:r>
        <w:rPr>
          <w:w w:val="110"/>
        </w:rPr>
        <w:t>A2).</w:t>
      </w:r>
      <w:r>
        <w:rPr>
          <w:spacing w:val="-30"/>
          <w:w w:val="110"/>
        </w:rPr>
        <w:t xml:space="preserve"> </w:t>
      </w:r>
      <w:r>
        <w:rPr>
          <w:w w:val="110"/>
        </w:rPr>
        <w:t>There</w:t>
      </w:r>
      <w:r>
        <w:rPr>
          <w:spacing w:val="-23"/>
          <w:w w:val="110"/>
        </w:rPr>
        <w:t xml:space="preserve"> </w:t>
      </w:r>
      <w:r>
        <w:rPr>
          <w:w w:val="110"/>
        </w:rPr>
        <w:t>may</w:t>
      </w:r>
      <w:r>
        <w:rPr>
          <w:spacing w:val="-25"/>
          <w:w w:val="110"/>
        </w:rPr>
        <w:t xml:space="preserve"> </w:t>
      </w:r>
      <w:r>
        <w:rPr>
          <w:w w:val="110"/>
        </w:rPr>
        <w:t>be recurrent</w:t>
      </w:r>
      <w:r>
        <w:rPr>
          <w:spacing w:val="-13"/>
          <w:w w:val="110"/>
        </w:rPr>
        <w:t xml:space="preserve"> </w:t>
      </w:r>
      <w:r>
        <w:rPr>
          <w:w w:val="110"/>
        </w:rPr>
        <w:t>substance-related</w:t>
      </w:r>
      <w:r>
        <w:rPr>
          <w:spacing w:val="-16"/>
          <w:w w:val="110"/>
        </w:rPr>
        <w:t xml:space="preserve"> </w:t>
      </w:r>
      <w:r>
        <w:rPr>
          <w:w w:val="110"/>
        </w:rPr>
        <w:t>legal</w:t>
      </w:r>
      <w:r>
        <w:rPr>
          <w:spacing w:val="-14"/>
          <w:w w:val="110"/>
        </w:rPr>
        <w:t xml:space="preserve"> </w:t>
      </w:r>
      <w:r>
        <w:rPr>
          <w:w w:val="110"/>
        </w:rPr>
        <w:t>problems</w:t>
      </w:r>
      <w:r>
        <w:rPr>
          <w:spacing w:val="-14"/>
          <w:w w:val="110"/>
        </w:rPr>
        <w:t xml:space="preserve"> </w:t>
      </w:r>
      <w:r>
        <w:rPr>
          <w:w w:val="110"/>
        </w:rPr>
        <w:t>(e.g.,</w:t>
      </w:r>
      <w:r>
        <w:rPr>
          <w:spacing w:val="-13"/>
          <w:w w:val="110"/>
        </w:rPr>
        <w:t xml:space="preserve"> </w:t>
      </w:r>
      <w:r>
        <w:rPr>
          <w:w w:val="110"/>
        </w:rPr>
        <w:t>arrests</w:t>
      </w:r>
      <w:r>
        <w:rPr>
          <w:spacing w:val="-18"/>
          <w:w w:val="110"/>
        </w:rPr>
        <w:t xml:space="preserve"> </w:t>
      </w:r>
      <w:r>
        <w:rPr>
          <w:w w:val="110"/>
        </w:rPr>
        <w:t>for</w:t>
      </w:r>
      <w:r>
        <w:rPr>
          <w:spacing w:val="-16"/>
          <w:w w:val="110"/>
        </w:rPr>
        <w:t xml:space="preserve"> </w:t>
      </w:r>
      <w:r>
        <w:rPr>
          <w:w w:val="110"/>
        </w:rPr>
        <w:t>disorderly</w:t>
      </w:r>
      <w:r>
        <w:rPr>
          <w:spacing w:val="-9"/>
          <w:w w:val="110"/>
        </w:rPr>
        <w:t xml:space="preserve"> </w:t>
      </w:r>
      <w:r>
        <w:rPr>
          <w:w w:val="110"/>
        </w:rPr>
        <w:t>conduct,</w:t>
      </w:r>
      <w:r>
        <w:rPr>
          <w:spacing w:val="-9"/>
          <w:w w:val="110"/>
        </w:rPr>
        <w:t xml:space="preserve"> </w:t>
      </w:r>
      <w:r>
        <w:rPr>
          <w:w w:val="110"/>
        </w:rPr>
        <w:t>assault and battery, driving under the influence) (Criterion A3). The person may continue to use the substance despite a history of undesirable persistent or recurrent social or interpersonal</w:t>
      </w:r>
      <w:r>
        <w:rPr>
          <w:spacing w:val="-39"/>
          <w:w w:val="110"/>
        </w:rPr>
        <w:t xml:space="preserve"> </w:t>
      </w:r>
      <w:r>
        <w:rPr>
          <w:w w:val="110"/>
        </w:rPr>
        <w:t>consequences</w:t>
      </w:r>
      <w:r>
        <w:rPr>
          <w:spacing w:val="-36"/>
          <w:w w:val="110"/>
        </w:rPr>
        <w:t xml:space="preserve"> </w:t>
      </w:r>
      <w:r>
        <w:rPr>
          <w:w w:val="110"/>
        </w:rPr>
        <w:t>(e.g.,</w:t>
      </w:r>
      <w:r>
        <w:rPr>
          <w:spacing w:val="-39"/>
          <w:w w:val="110"/>
        </w:rPr>
        <w:t xml:space="preserve"> </w:t>
      </w:r>
      <w:r>
        <w:rPr>
          <w:w w:val="110"/>
        </w:rPr>
        <w:t>marital</w:t>
      </w:r>
      <w:r>
        <w:rPr>
          <w:spacing w:val="-42"/>
          <w:w w:val="110"/>
        </w:rPr>
        <w:t xml:space="preserve"> </w:t>
      </w:r>
      <w:r>
        <w:rPr>
          <w:w w:val="110"/>
        </w:rPr>
        <w:t>difficulties</w:t>
      </w:r>
      <w:r>
        <w:rPr>
          <w:spacing w:val="-38"/>
          <w:w w:val="110"/>
        </w:rPr>
        <w:t xml:space="preserve"> </w:t>
      </w:r>
      <w:r>
        <w:rPr>
          <w:w w:val="110"/>
        </w:rPr>
        <w:t>or</w:t>
      </w:r>
      <w:r>
        <w:rPr>
          <w:spacing w:val="-37"/>
          <w:w w:val="110"/>
        </w:rPr>
        <w:t xml:space="preserve"> </w:t>
      </w:r>
      <w:r>
        <w:rPr>
          <w:w w:val="110"/>
        </w:rPr>
        <w:t>divorce,</w:t>
      </w:r>
      <w:r>
        <w:rPr>
          <w:spacing w:val="-39"/>
          <w:w w:val="110"/>
        </w:rPr>
        <w:t xml:space="preserve"> </w:t>
      </w:r>
      <w:r>
        <w:rPr>
          <w:w w:val="110"/>
        </w:rPr>
        <w:t>verbal</w:t>
      </w:r>
      <w:r>
        <w:rPr>
          <w:spacing w:val="-40"/>
          <w:w w:val="110"/>
        </w:rPr>
        <w:t xml:space="preserve"> </w:t>
      </w:r>
      <w:r>
        <w:rPr>
          <w:w w:val="110"/>
        </w:rPr>
        <w:t>or</w:t>
      </w:r>
      <w:r>
        <w:rPr>
          <w:spacing w:val="-38"/>
          <w:w w:val="110"/>
        </w:rPr>
        <w:t xml:space="preserve"> </w:t>
      </w:r>
      <w:r>
        <w:rPr>
          <w:w w:val="110"/>
        </w:rPr>
        <w:t>physical</w:t>
      </w:r>
      <w:r>
        <w:rPr>
          <w:spacing w:val="-40"/>
          <w:w w:val="110"/>
        </w:rPr>
        <w:t xml:space="preserve"> </w:t>
      </w:r>
      <w:r>
        <w:rPr>
          <w:w w:val="110"/>
        </w:rPr>
        <w:t>fights) (Criterion</w:t>
      </w:r>
      <w:r>
        <w:rPr>
          <w:spacing w:val="4"/>
          <w:w w:val="110"/>
        </w:rPr>
        <w:t xml:space="preserve"> </w:t>
      </w:r>
      <w:r>
        <w:rPr>
          <w:w w:val="110"/>
        </w:rPr>
        <w:t>A4).</w:t>
      </w:r>
    </w:p>
    <w:p w:rsidR="00E675F0" w:rsidRDefault="00E675F0" w:rsidP="00E675F0">
      <w:pPr>
        <w:pStyle w:val="BodyText"/>
      </w:pPr>
    </w:p>
    <w:p w:rsidR="00E675F0" w:rsidRDefault="00E675F0" w:rsidP="00E675F0">
      <w:pPr>
        <w:pStyle w:val="BodyText"/>
        <w:spacing w:before="9" w:after="1"/>
      </w:pPr>
    </w:p>
    <w:tbl>
      <w:tblPr>
        <w:tblW w:w="0" w:type="auto"/>
        <w:tblInd w:w="239"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7353"/>
      </w:tblGrid>
      <w:tr w:rsidR="00E675F0" w:rsidTr="00A330E1">
        <w:trPr>
          <w:trHeight w:val="2982"/>
        </w:trPr>
        <w:tc>
          <w:tcPr>
            <w:tcW w:w="7353" w:type="dxa"/>
            <w:tcBorders>
              <w:right w:val="single" w:sz="18" w:space="0" w:color="000000"/>
            </w:tcBorders>
          </w:tcPr>
          <w:p w:rsidR="00E675F0" w:rsidRDefault="00E675F0" w:rsidP="003048D3">
            <w:pPr>
              <w:pStyle w:val="TableParagraph"/>
              <w:numPr>
                <w:ilvl w:val="0"/>
                <w:numId w:val="43"/>
              </w:numPr>
              <w:tabs>
                <w:tab w:val="left" w:pos="628"/>
              </w:tabs>
              <w:spacing w:line="545" w:lineRule="exact"/>
              <w:ind w:hanging="381"/>
              <w:rPr>
                <w:rFonts w:ascii="Arial" w:hAnsi="Arial"/>
                <w:b/>
                <w:sz w:val="24"/>
              </w:rPr>
            </w:pPr>
            <w:r>
              <w:rPr>
                <w:rFonts w:ascii="Arial" w:hAnsi="Arial"/>
                <w:b/>
                <w:sz w:val="24"/>
              </w:rPr>
              <w:t>Criteria for Substance</w:t>
            </w:r>
            <w:r>
              <w:rPr>
                <w:rFonts w:ascii="Arial" w:hAnsi="Arial"/>
                <w:b/>
                <w:spacing w:val="41"/>
                <w:sz w:val="24"/>
              </w:rPr>
              <w:t xml:space="preserve"> </w:t>
            </w:r>
            <w:r>
              <w:rPr>
                <w:rFonts w:ascii="Arial" w:hAnsi="Arial"/>
                <w:b/>
                <w:sz w:val="24"/>
              </w:rPr>
              <w:t>Abuse</w:t>
            </w:r>
          </w:p>
          <w:p w:rsidR="00E675F0" w:rsidRDefault="00E675F0" w:rsidP="00A330E1">
            <w:pPr>
              <w:pStyle w:val="TableParagraph"/>
              <w:spacing w:before="70" w:line="254" w:lineRule="auto"/>
              <w:ind w:left="958" w:right="255" w:hanging="308"/>
              <w:jc w:val="both"/>
              <w:rPr>
                <w:sz w:val="20"/>
              </w:rPr>
            </w:pPr>
            <w:r>
              <w:rPr>
                <w:w w:val="105"/>
                <w:sz w:val="20"/>
              </w:rPr>
              <w:t>A. A maladaptive pattern of substance use leading to clinically significant impairment or distress, as manifested by one (or more) of the following, occurring within a 12-month period:</w:t>
            </w:r>
          </w:p>
          <w:p w:rsidR="00E675F0" w:rsidRDefault="00E675F0" w:rsidP="003048D3">
            <w:pPr>
              <w:pStyle w:val="TableParagraph"/>
              <w:numPr>
                <w:ilvl w:val="1"/>
                <w:numId w:val="43"/>
              </w:numPr>
              <w:tabs>
                <w:tab w:val="left" w:pos="1388"/>
              </w:tabs>
              <w:spacing w:before="61" w:line="256" w:lineRule="auto"/>
              <w:ind w:right="246" w:hanging="429"/>
              <w:jc w:val="both"/>
              <w:rPr>
                <w:sz w:val="20"/>
              </w:rPr>
            </w:pPr>
            <w:r>
              <w:rPr>
                <w:w w:val="105"/>
                <w:sz w:val="20"/>
              </w:rPr>
              <w:t>recurrent substance use resulting in a failure to fulfill major role obligations at work, school, or home (e.g., repeated absences or poor work performance related to substance use; substance-related absences, suspensions, or expulsions from school; neglect of children or</w:t>
            </w:r>
            <w:r>
              <w:rPr>
                <w:spacing w:val="-23"/>
                <w:w w:val="105"/>
                <w:sz w:val="20"/>
              </w:rPr>
              <w:t xml:space="preserve"> </w:t>
            </w:r>
            <w:r>
              <w:rPr>
                <w:w w:val="105"/>
                <w:sz w:val="20"/>
              </w:rPr>
              <w:t>household)</w:t>
            </w:r>
          </w:p>
          <w:p w:rsidR="00E675F0" w:rsidRDefault="00E675F0" w:rsidP="00A330E1">
            <w:pPr>
              <w:pStyle w:val="TableParagraph"/>
              <w:spacing w:before="15"/>
              <w:ind w:right="233"/>
              <w:jc w:val="right"/>
              <w:rPr>
                <w:i/>
                <w:sz w:val="20"/>
              </w:rPr>
            </w:pPr>
            <w:r>
              <w:rPr>
                <w:i/>
                <w:w w:val="110"/>
                <w:sz w:val="20"/>
              </w:rPr>
              <w:t>(continued)</w:t>
            </w:r>
          </w:p>
        </w:tc>
      </w:tr>
    </w:tbl>
    <w:p w:rsidR="00E675F0" w:rsidRDefault="00E675F0" w:rsidP="00E675F0">
      <w:pPr>
        <w:jc w:val="right"/>
        <w:rPr>
          <w:sz w:val="20"/>
        </w:rPr>
        <w:sectPr w:rsidR="00E675F0">
          <w:pgSz w:w="8960" w:h="14260"/>
          <w:pgMar w:top="1400" w:right="600" w:bottom="280" w:left="620" w:header="681" w:footer="0" w:gutter="0"/>
          <w:cols w:space="720"/>
        </w:sectPr>
      </w:pPr>
    </w:p>
    <w:p w:rsidR="00E675F0" w:rsidRDefault="00E675F0" w:rsidP="00E675F0">
      <w:pPr>
        <w:pStyle w:val="BodyText"/>
        <w:spacing w:before="2"/>
        <w:rPr>
          <w:sz w:val="9"/>
        </w:rPr>
      </w:pPr>
      <w:r>
        <w:rPr>
          <w:noProof/>
        </w:rPr>
        <w:lastRenderedPageBreak/>
        <mc:AlternateContent>
          <mc:Choice Requires="wps">
            <w:drawing>
              <wp:anchor distT="0" distB="0" distL="114300" distR="114300" simplePos="0" relativeHeight="251714560" behindDoc="0" locked="0" layoutInCell="1" allowOverlap="1" wp14:anchorId="59F5C5DA" wp14:editId="44B42F6F">
                <wp:simplePos x="0" y="0"/>
                <wp:positionH relativeFrom="page">
                  <wp:posOffset>452120</wp:posOffset>
                </wp:positionH>
                <wp:positionV relativeFrom="page">
                  <wp:posOffset>982980</wp:posOffset>
                </wp:positionV>
                <wp:extent cx="4765040" cy="0"/>
                <wp:effectExtent l="0" t="12700" r="22860" b="12700"/>
                <wp:wrapNone/>
                <wp:docPr id="1405" name="Line 13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765040" cy="0"/>
                        </a:xfrm>
                        <a:prstGeom prst="line">
                          <a:avLst/>
                        </a:prstGeom>
                        <a:noFill/>
                        <a:ln w="3357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D92721" id="Line 1361" o:spid="_x0000_s1026" style="position:absolute;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pt,77.4pt" to="410.8pt,77.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" strokeweight=".93258mm">
                <o:lock v:ext="edit" shapetype="f"/>
                <w10:wrap anchorx="page" anchory="page"/>
              </v:line>
            </w:pict>
          </mc:Fallback>
        </mc:AlternateContent>
      </w:r>
    </w:p>
    <w:tbl>
      <w:tblPr>
        <w:tblW w:w="0" w:type="auto"/>
        <w:tblInd w:w="232"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7326"/>
      </w:tblGrid>
      <w:tr w:rsidR="00E675F0" w:rsidTr="00A330E1">
        <w:trPr>
          <w:trHeight w:val="3809"/>
        </w:trPr>
        <w:tc>
          <w:tcPr>
            <w:tcW w:w="7326" w:type="dxa"/>
          </w:tcPr>
          <w:p w:rsidR="00E675F0" w:rsidRDefault="00E675F0" w:rsidP="003048D3">
            <w:pPr>
              <w:pStyle w:val="TableParagraph"/>
              <w:numPr>
                <w:ilvl w:val="0"/>
                <w:numId w:val="42"/>
              </w:numPr>
              <w:tabs>
                <w:tab w:val="left" w:pos="583"/>
              </w:tabs>
              <w:spacing w:before="51"/>
              <w:rPr>
                <w:rFonts w:ascii="Arial" w:hAnsi="Arial"/>
                <w:i/>
              </w:rPr>
            </w:pPr>
            <w:bookmarkStart w:id="120" w:name="_bookmark101"/>
            <w:bookmarkEnd w:id="120"/>
            <w:r>
              <w:rPr>
                <w:rFonts w:ascii="Arial" w:hAnsi="Arial"/>
                <w:b/>
              </w:rPr>
              <w:t>Criteria for Substance Abuse</w:t>
            </w:r>
            <w:r>
              <w:rPr>
                <w:rFonts w:ascii="Arial" w:hAnsi="Arial"/>
                <w:b/>
                <w:spacing w:val="23"/>
              </w:rPr>
              <w:t xml:space="preserve"> </w:t>
            </w:r>
            <w:r>
              <w:rPr>
                <w:rFonts w:ascii="Arial" w:hAnsi="Arial"/>
                <w:i/>
              </w:rPr>
              <w:t>(continued)</w:t>
            </w:r>
          </w:p>
          <w:p w:rsidR="00E675F0" w:rsidRDefault="00E675F0" w:rsidP="003048D3">
            <w:pPr>
              <w:pStyle w:val="TableParagraph"/>
              <w:numPr>
                <w:ilvl w:val="1"/>
                <w:numId w:val="42"/>
              </w:numPr>
              <w:tabs>
                <w:tab w:val="left" w:pos="1381"/>
              </w:tabs>
              <w:spacing w:before="189" w:line="254" w:lineRule="auto"/>
              <w:ind w:right="230"/>
              <w:jc w:val="both"/>
              <w:rPr>
                <w:sz w:val="20"/>
              </w:rPr>
            </w:pPr>
            <w:r>
              <w:rPr>
                <w:w w:val="105"/>
                <w:sz w:val="20"/>
              </w:rPr>
              <w:t>recurrent substance use in situations in which it is physically hazardous (e.g., driving an automobile or operating a machine when impaired by substance</w:t>
            </w:r>
            <w:r>
              <w:rPr>
                <w:spacing w:val="20"/>
                <w:w w:val="105"/>
                <w:sz w:val="20"/>
              </w:rPr>
              <w:t xml:space="preserve"> </w:t>
            </w:r>
            <w:r>
              <w:rPr>
                <w:w w:val="105"/>
                <w:sz w:val="20"/>
              </w:rPr>
              <w:t>use)</w:t>
            </w:r>
          </w:p>
          <w:p w:rsidR="00E675F0" w:rsidRDefault="00E675F0" w:rsidP="003048D3">
            <w:pPr>
              <w:pStyle w:val="TableParagraph"/>
              <w:numPr>
                <w:ilvl w:val="1"/>
                <w:numId w:val="42"/>
              </w:numPr>
              <w:tabs>
                <w:tab w:val="left" w:pos="1386"/>
              </w:tabs>
              <w:spacing w:line="256" w:lineRule="auto"/>
              <w:ind w:left="1376" w:right="216" w:hanging="422"/>
              <w:jc w:val="both"/>
              <w:rPr>
                <w:sz w:val="20"/>
              </w:rPr>
            </w:pPr>
            <w:r>
              <w:rPr>
                <w:w w:val="105"/>
                <w:sz w:val="20"/>
              </w:rPr>
              <w:t>recurrent substance-related legal problems (e.g., arrests for sub­ stance-related disorderly</w:t>
            </w:r>
            <w:r>
              <w:rPr>
                <w:spacing w:val="16"/>
                <w:w w:val="105"/>
                <w:sz w:val="20"/>
              </w:rPr>
              <w:t xml:space="preserve"> </w:t>
            </w:r>
            <w:r>
              <w:rPr>
                <w:w w:val="105"/>
                <w:sz w:val="20"/>
              </w:rPr>
              <w:t>conduct)</w:t>
            </w:r>
          </w:p>
          <w:p w:rsidR="00E675F0" w:rsidRDefault="00E675F0" w:rsidP="003048D3">
            <w:pPr>
              <w:pStyle w:val="TableParagraph"/>
              <w:numPr>
                <w:ilvl w:val="1"/>
                <w:numId w:val="42"/>
              </w:numPr>
              <w:tabs>
                <w:tab w:val="left" w:pos="1380"/>
              </w:tabs>
              <w:spacing w:line="256" w:lineRule="auto"/>
              <w:ind w:left="1376" w:right="216" w:hanging="422"/>
              <w:jc w:val="both"/>
              <w:rPr>
                <w:sz w:val="20"/>
              </w:rPr>
            </w:pPr>
            <w:r>
              <w:rPr>
                <w:w w:val="105"/>
                <w:sz w:val="20"/>
              </w:rPr>
              <w:t>continued substance use despite having persistent or recurrent social or interpersonal problems caused or exacerbated by the effects of the substance (e.g., arguments with spouse about conse­ quences of intoxication, physical</w:t>
            </w:r>
            <w:r>
              <w:rPr>
                <w:spacing w:val="14"/>
                <w:w w:val="105"/>
                <w:sz w:val="20"/>
              </w:rPr>
              <w:t xml:space="preserve"> </w:t>
            </w:r>
            <w:r>
              <w:rPr>
                <w:w w:val="105"/>
                <w:sz w:val="20"/>
              </w:rPr>
              <w:t>fights)</w:t>
            </w:r>
          </w:p>
          <w:p w:rsidR="00E675F0" w:rsidRDefault="00E675F0" w:rsidP="00A330E1">
            <w:pPr>
              <w:pStyle w:val="TableParagraph"/>
              <w:spacing w:before="171" w:line="261" w:lineRule="auto"/>
              <w:ind w:left="955" w:right="294" w:hanging="299"/>
              <w:rPr>
                <w:sz w:val="20"/>
              </w:rPr>
            </w:pPr>
            <w:r>
              <w:rPr>
                <w:w w:val="105"/>
                <w:sz w:val="20"/>
              </w:rPr>
              <w:t>B. The symptoms have never met the criteria for Substance Dependence  for this class of</w:t>
            </w:r>
            <w:r>
              <w:rPr>
                <w:spacing w:val="33"/>
                <w:w w:val="105"/>
                <w:sz w:val="20"/>
              </w:rPr>
              <w:t xml:space="preserve"> </w:t>
            </w:r>
            <w:r>
              <w:rPr>
                <w:w w:val="105"/>
                <w:sz w:val="20"/>
              </w:rPr>
              <w:t>substance.</w:t>
            </w:r>
          </w:p>
        </w:tc>
      </w:tr>
    </w:tbl>
    <w:p w:rsidR="00E675F0" w:rsidRDefault="00E675F0" w:rsidP="00E675F0">
      <w:pPr>
        <w:pStyle w:val="BodyText"/>
      </w:pPr>
    </w:p>
    <w:p w:rsidR="00E675F0" w:rsidRDefault="00E675F0" w:rsidP="00E675F0">
      <w:pPr>
        <w:pStyle w:val="BodyText"/>
        <w:spacing w:before="6"/>
        <w:rPr>
          <w:sz w:val="22"/>
        </w:rPr>
      </w:pPr>
      <w:r>
        <w:rPr>
          <w:noProof/>
        </w:rPr>
        <mc:AlternateContent>
          <mc:Choice Requires="wps">
            <w:drawing>
              <wp:anchor distT="0" distB="0" distL="0" distR="0" simplePos="0" relativeHeight="251870208" behindDoc="1" locked="0" layoutInCell="1" allowOverlap="1" wp14:anchorId="4F8C9D19" wp14:editId="6073B7E0">
                <wp:simplePos x="0" y="0"/>
                <wp:positionH relativeFrom="page">
                  <wp:posOffset>464185</wp:posOffset>
                </wp:positionH>
                <wp:positionV relativeFrom="paragraph">
                  <wp:posOffset>191135</wp:posOffset>
                </wp:positionV>
                <wp:extent cx="1002030" cy="1270"/>
                <wp:effectExtent l="0" t="0" r="1270" b="0"/>
                <wp:wrapTopAndBottom/>
                <wp:docPr id="1404" name="Freeform 1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2030" cy="1270"/>
                        </a:xfrm>
                        <a:custGeom>
                          <a:avLst/>
                          <a:gdLst>
                            <a:gd name="T0" fmla="+- 0 731 731"/>
                            <a:gd name="T1" fmla="*/ T0 w 1578"/>
                            <a:gd name="T2" fmla="+- 0 2309 731"/>
                            <a:gd name="T3" fmla="*/ T2 w 1578"/>
                          </a:gdLst>
                          <a:ahLst/>
                          <a:cxnLst>
                            <a:cxn ang="0">
                              <a:pos x="T1" y="0"/>
                            </a:cxn>
                            <a:cxn ang="0">
                              <a:pos x="T3" y="0"/>
                            </a:cxn>
                          </a:cxnLst>
                          <a:rect l="0" t="0" r="r" b="b"/>
                          <a:pathLst>
                            <a:path w="1578">
                              <a:moveTo>
                                <a:pt x="0" y="0"/>
                              </a:moveTo>
                              <a:lnTo>
                                <a:pt x="1578" y="0"/>
                              </a:lnTo>
                            </a:path>
                          </a:pathLst>
                        </a:custGeom>
                        <a:noFill/>
                        <a:ln w="305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9EEBC" id="Freeform 1360" o:spid="_x0000_s1026" style="position:absolute;margin-left:36.55pt;margin-top:15.05pt;width:78.9pt;height:.1pt;z-index:-251446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78,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" path="m,l1578,e" filled="f" strokeweight=".08478mm">
                <v:path arrowok="t" o:connecttype="custom" o:connectlocs="0,0;1002030,0" o:connectangles="0,0"/>
                <w10:wrap type="topAndBottom" anchorx="page"/>
              </v:shape>
            </w:pict>
          </mc:Fallback>
        </mc:AlternateContent>
      </w:r>
      <w:r>
        <w:rPr>
          <w:noProof/>
        </w:rPr>
        <mc:AlternateContent>
          <mc:Choice Requires="wps">
            <w:drawing>
              <wp:anchor distT="0" distB="0" distL="0" distR="0" simplePos="0" relativeHeight="251871232" behindDoc="1" locked="0" layoutInCell="1" allowOverlap="1" wp14:anchorId="5261E683" wp14:editId="10D51D23">
                <wp:simplePos x="0" y="0"/>
                <wp:positionH relativeFrom="page">
                  <wp:posOffset>4227195</wp:posOffset>
                </wp:positionH>
                <wp:positionV relativeFrom="paragraph">
                  <wp:posOffset>191135</wp:posOffset>
                </wp:positionV>
                <wp:extent cx="965835" cy="1270"/>
                <wp:effectExtent l="0" t="0" r="0" b="0"/>
                <wp:wrapTopAndBottom/>
                <wp:docPr id="1403" name="Freeform 1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835" cy="1270"/>
                        </a:xfrm>
                        <a:custGeom>
                          <a:avLst/>
                          <a:gdLst>
                            <a:gd name="T0" fmla="+- 0 6657 6657"/>
                            <a:gd name="T1" fmla="*/ T0 w 1521"/>
                            <a:gd name="T2" fmla="+- 0 8177 6657"/>
                            <a:gd name="T3" fmla="*/ T2 w 1521"/>
                          </a:gdLst>
                          <a:ahLst/>
                          <a:cxnLst>
                            <a:cxn ang="0">
                              <a:pos x="T1" y="0"/>
                            </a:cxn>
                            <a:cxn ang="0">
                              <a:pos x="T3" y="0"/>
                            </a:cxn>
                          </a:cxnLst>
                          <a:rect l="0" t="0" r="r" b="b"/>
                          <a:pathLst>
                            <a:path w="1521">
                              <a:moveTo>
                                <a:pt x="0" y="0"/>
                              </a:moveTo>
                              <a:lnTo>
                                <a:pt x="1520" y="0"/>
                              </a:lnTo>
                            </a:path>
                          </a:pathLst>
                        </a:custGeom>
                        <a:noFill/>
                        <a:ln w="305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F2C18" id="Freeform 1359" o:spid="_x0000_s1026" style="position:absolute;margin-left:332.85pt;margin-top:15.05pt;width:76.05pt;height:.1pt;z-index:-251445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2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" path="m,l1520,e" filled="f" strokeweight=".08478mm">
                <v:path arrowok="t" o:connecttype="custom" o:connectlocs="0,0;965200,0" o:connectangles="0,0"/>
                <w10:wrap type="topAndBottom" anchorx="page"/>
              </v:shape>
            </w:pict>
          </mc:Fallback>
        </mc:AlternateContent>
      </w:r>
    </w:p>
    <w:p w:rsidR="00E675F0" w:rsidRDefault="00E675F0" w:rsidP="00E675F0">
      <w:pPr>
        <w:spacing w:before="94" w:after="72"/>
        <w:ind w:left="1954"/>
        <w:rPr>
          <w:rFonts w:ascii="Arial"/>
          <w:b/>
          <w:sz w:val="26"/>
        </w:rPr>
      </w:pPr>
      <w:r>
        <w:rPr>
          <w:rFonts w:ascii="Arial"/>
          <w:b/>
          <w:w w:val="105"/>
          <w:sz w:val="26"/>
        </w:rPr>
        <w:t>Substance-Induced Disorders</w:t>
      </w:r>
    </w:p>
    <w:p w:rsidR="00E675F0" w:rsidRDefault="00E675F0" w:rsidP="00E675F0">
      <w:pPr>
        <w:tabs>
          <w:tab w:val="left" w:pos="6052"/>
        </w:tabs>
        <w:spacing w:line="20" w:lineRule="exact"/>
        <w:ind w:left="123"/>
        <w:rPr>
          <w:rFonts w:ascii="Arial"/>
          <w:sz w:val="2"/>
        </w:rPr>
      </w:pPr>
      <w:r>
        <w:rPr>
          <w:rFonts w:ascii="Arial"/>
          <w:noProof/>
          <w:sz w:val="2"/>
        </w:rPr>
        <mc:AlternateContent>
          <mc:Choice Requires="wpg">
            <w:drawing>
              <wp:inline distT="0" distB="0" distL="0" distR="0" wp14:anchorId="5ACB909E" wp14:editId="4E77F37C">
                <wp:extent cx="977900" cy="9525"/>
                <wp:effectExtent l="0" t="0" r="0" b="0"/>
                <wp:docPr id="1401" name="Group 1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9525"/>
                          <a:chOff x="0" y="0"/>
                          <a:chExt cx="1540" cy="15"/>
                        </a:xfrm>
                      </wpg:grpSpPr>
                      <wps:wsp>
                        <wps:cNvPr id="1402" name="Line 1358"/>
                        <wps:cNvCnPr>
                          <a:cxnSpLocks/>
                        </wps:cNvCnPr>
                        <wps:spPr bwMode="auto">
                          <a:xfrm>
                            <a:off x="0" y="7"/>
                            <a:ext cx="1539" cy="0"/>
                          </a:xfrm>
                          <a:prstGeom prst="line">
                            <a:avLst/>
                          </a:prstGeom>
                          <a:noFill/>
                          <a:ln w="915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FA12367" id="Group 1357" o:spid="_x0000_s1026" style="width:77pt;height:.75pt;mso-position-horizontal-relative:char;mso-position-vertical-relative:line" coordsize="1540,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">
                <v:line id="Line 1358" o:spid="_x0000_s1027" style="position:absolute;visibility:visible;mso-wrap-style:square" from="0,7" to="153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" strokeweight=".25433mm">
                  <o:lock v:ext="edit" shapetype="f"/>
                </v:line>
                <w10:anchorlock/>
              </v:group>
            </w:pict>
          </mc:Fallback>
        </mc:AlternateContent>
      </w:r>
      <w:r>
        <w:rPr>
          <w:rFonts w:ascii="Arial"/>
          <w:sz w:val="2"/>
        </w:rPr>
        <w:tab/>
      </w:r>
      <w:r>
        <w:rPr>
          <w:rFonts w:ascii="Arial"/>
          <w:noProof/>
          <w:sz w:val="2"/>
        </w:rPr>
        <mc:AlternateContent>
          <mc:Choice Requires="wpg">
            <w:drawing>
              <wp:inline distT="0" distB="0" distL="0" distR="0" wp14:anchorId="6AC4C013" wp14:editId="1909858D">
                <wp:extent cx="965835" cy="6350"/>
                <wp:effectExtent l="0" t="0" r="0" b="0"/>
                <wp:docPr id="1399" name="Group 1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5835" cy="6350"/>
                          <a:chOff x="0" y="0"/>
                          <a:chExt cx="1521" cy="10"/>
                        </a:xfrm>
                      </wpg:grpSpPr>
                      <wps:wsp>
                        <wps:cNvPr id="1400" name="Line 1356"/>
                        <wps:cNvCnPr>
                          <a:cxnSpLocks/>
                        </wps:cNvCnPr>
                        <wps:spPr bwMode="auto">
                          <a:xfrm>
                            <a:off x="0" y="5"/>
                            <a:ext cx="1520" cy="0"/>
                          </a:xfrm>
                          <a:prstGeom prst="line">
                            <a:avLst/>
                          </a:prstGeom>
                          <a:noFill/>
                          <a:ln w="610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34E7A12" id="Group 1355" o:spid="_x0000_s1026" style="width:76.05pt;height:.5pt;mso-position-horizontal-relative:char;mso-position-vertical-relative:line" coordsize="1521,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">
                <v:line id="Line 1356" o:spid="_x0000_s1027" style="position:absolute;visibility:visible;mso-wrap-style:square" from="0,5" to="152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" strokeweight=".16956mm">
                  <o:lock v:ext="edit" shapetype="f"/>
                </v:line>
                <w10:anchorlock/>
              </v:group>
            </w:pict>
          </mc:Fallback>
        </mc:AlternateContent>
      </w:r>
    </w:p>
    <w:p w:rsidR="00E675F0" w:rsidRDefault="00E675F0" w:rsidP="00E675F0">
      <w:pPr>
        <w:pStyle w:val="BodyText"/>
        <w:spacing w:before="2"/>
        <w:rPr>
          <w:rFonts w:ascii="Arial"/>
          <w:b/>
          <w:sz w:val="26"/>
        </w:rPr>
      </w:pPr>
    </w:p>
    <w:p w:rsidR="00E675F0" w:rsidRDefault="00E675F0" w:rsidP="00E675F0">
      <w:pPr>
        <w:spacing w:before="92"/>
        <w:ind w:left="134" w:right="119"/>
        <w:jc w:val="center"/>
        <w:rPr>
          <w:rFonts w:ascii="Arial"/>
          <w:b/>
          <w:sz w:val="26"/>
        </w:rPr>
      </w:pPr>
      <w:r>
        <w:rPr>
          <w:rFonts w:ascii="Arial"/>
          <w:b/>
          <w:sz w:val="26"/>
        </w:rPr>
        <w:t>Substance Intoxication</w:t>
      </w:r>
    </w:p>
    <w:p w:rsidR="00E675F0" w:rsidRDefault="00E675F0" w:rsidP="00E675F0">
      <w:pPr>
        <w:pStyle w:val="BodyText"/>
        <w:spacing w:before="11"/>
        <w:rPr>
          <w:rFonts w:ascii="Arial"/>
          <w:b/>
          <w:sz w:val="22"/>
        </w:rPr>
      </w:pPr>
    </w:p>
    <w:p w:rsidR="00E675F0" w:rsidRDefault="00E675F0" w:rsidP="00E675F0">
      <w:pPr>
        <w:ind w:left="120"/>
        <w:rPr>
          <w:rFonts w:ascii="TimesNewRomanPS-BoldItalicMT"/>
          <w:b/>
          <w:i/>
          <w:sz w:val="25"/>
        </w:rPr>
      </w:pPr>
      <w:r>
        <w:rPr>
          <w:rFonts w:ascii="TimesNewRomanPS-BoldItalicMT"/>
          <w:b/>
          <w:i/>
          <w:w w:val="110"/>
          <w:sz w:val="25"/>
        </w:rPr>
        <w:t>Diagnostic Features</w:t>
      </w:r>
    </w:p>
    <w:p w:rsidR="00E675F0" w:rsidRDefault="00E675F0" w:rsidP="00E675F0">
      <w:pPr>
        <w:pStyle w:val="BodyText"/>
        <w:spacing w:before="124" w:line="252" w:lineRule="auto"/>
        <w:ind w:left="129" w:right="101"/>
        <w:jc w:val="both"/>
      </w:pPr>
      <w:r>
        <w:rPr>
          <w:w w:val="105"/>
        </w:rPr>
        <w:t>The essential feature of Substance Intoxication is the development of a reversible substance-specific syndrome due to the recent ingestion of (or exposure to) a substance (Criterion</w:t>
      </w:r>
      <w:r>
        <w:rPr>
          <w:spacing w:val="-6"/>
          <w:w w:val="105"/>
        </w:rPr>
        <w:t xml:space="preserve"> </w:t>
      </w:r>
      <w:r>
        <w:rPr>
          <w:w w:val="105"/>
        </w:rPr>
        <w:t>A).</w:t>
      </w:r>
      <w:r>
        <w:rPr>
          <w:spacing w:val="-16"/>
          <w:w w:val="105"/>
        </w:rPr>
        <w:t xml:space="preserve"> </w:t>
      </w:r>
      <w:r>
        <w:rPr>
          <w:w w:val="105"/>
        </w:rPr>
        <w:t>The</w:t>
      </w:r>
      <w:r>
        <w:rPr>
          <w:spacing w:val="-18"/>
          <w:w w:val="105"/>
        </w:rPr>
        <w:t xml:space="preserve"> </w:t>
      </w:r>
      <w:r>
        <w:rPr>
          <w:w w:val="105"/>
        </w:rPr>
        <w:t>clinically</w:t>
      </w:r>
      <w:r>
        <w:rPr>
          <w:spacing w:val="-11"/>
          <w:w w:val="105"/>
        </w:rPr>
        <w:t xml:space="preserve"> </w:t>
      </w:r>
      <w:r>
        <w:rPr>
          <w:w w:val="105"/>
        </w:rPr>
        <w:t>significant</w:t>
      </w:r>
      <w:r>
        <w:rPr>
          <w:spacing w:val="-3"/>
          <w:w w:val="105"/>
        </w:rPr>
        <w:t xml:space="preserve"> </w:t>
      </w:r>
      <w:r>
        <w:rPr>
          <w:w w:val="105"/>
        </w:rPr>
        <w:t>maladaptive</w:t>
      </w:r>
      <w:r>
        <w:rPr>
          <w:spacing w:val="-1"/>
          <w:w w:val="105"/>
        </w:rPr>
        <w:t xml:space="preserve"> </w:t>
      </w:r>
      <w:r>
        <w:rPr>
          <w:w w:val="105"/>
        </w:rPr>
        <w:t>behavioral</w:t>
      </w:r>
      <w:r>
        <w:rPr>
          <w:spacing w:val="-2"/>
          <w:w w:val="105"/>
        </w:rPr>
        <w:t xml:space="preserve"> </w:t>
      </w:r>
      <w:r>
        <w:rPr>
          <w:w w:val="105"/>
        </w:rPr>
        <w:t>or</w:t>
      </w:r>
      <w:r>
        <w:rPr>
          <w:spacing w:val="-2"/>
          <w:w w:val="105"/>
        </w:rPr>
        <w:t xml:space="preserve"> </w:t>
      </w:r>
      <w:r>
        <w:rPr>
          <w:w w:val="105"/>
        </w:rPr>
        <w:t>psychological</w:t>
      </w:r>
      <w:r>
        <w:rPr>
          <w:spacing w:val="-4"/>
          <w:w w:val="105"/>
        </w:rPr>
        <w:t xml:space="preserve"> </w:t>
      </w:r>
      <w:r>
        <w:rPr>
          <w:w w:val="105"/>
        </w:rPr>
        <w:t>changes associated with intoxication (e.g., belligerence, mood !ability, cognitive impairment, impaired judgment, impaired social or occupational functioning) are due to the direct physiological effects of the substance on the central nervous system and develop during or</w:t>
      </w:r>
      <w:r>
        <w:rPr>
          <w:spacing w:val="-11"/>
          <w:w w:val="105"/>
        </w:rPr>
        <w:t xml:space="preserve"> </w:t>
      </w:r>
      <w:r>
        <w:rPr>
          <w:w w:val="105"/>
        </w:rPr>
        <w:t>shortly</w:t>
      </w:r>
      <w:r>
        <w:rPr>
          <w:spacing w:val="-4"/>
          <w:w w:val="105"/>
        </w:rPr>
        <w:t xml:space="preserve"> </w:t>
      </w:r>
      <w:r>
        <w:rPr>
          <w:w w:val="105"/>
        </w:rPr>
        <w:t>after</w:t>
      </w:r>
      <w:r>
        <w:rPr>
          <w:spacing w:val="-6"/>
          <w:w w:val="105"/>
        </w:rPr>
        <w:t xml:space="preserve"> </w:t>
      </w:r>
      <w:r>
        <w:rPr>
          <w:w w:val="105"/>
        </w:rPr>
        <w:t>use</w:t>
      </w:r>
      <w:r>
        <w:rPr>
          <w:spacing w:val="-9"/>
          <w:w w:val="105"/>
        </w:rPr>
        <w:t xml:space="preserve"> </w:t>
      </w:r>
      <w:r>
        <w:rPr>
          <w:w w:val="105"/>
        </w:rPr>
        <w:t>of the</w:t>
      </w:r>
      <w:r>
        <w:rPr>
          <w:spacing w:val="-12"/>
          <w:w w:val="105"/>
        </w:rPr>
        <w:t xml:space="preserve"> </w:t>
      </w:r>
      <w:r>
        <w:rPr>
          <w:w w:val="105"/>
        </w:rPr>
        <w:t>substance</w:t>
      </w:r>
      <w:r>
        <w:rPr>
          <w:spacing w:val="-7"/>
          <w:w w:val="105"/>
        </w:rPr>
        <w:t xml:space="preserve"> </w:t>
      </w:r>
      <w:r>
        <w:rPr>
          <w:w w:val="105"/>
        </w:rPr>
        <w:t>(Criterion</w:t>
      </w:r>
      <w:r>
        <w:rPr>
          <w:spacing w:val="15"/>
          <w:w w:val="105"/>
        </w:rPr>
        <w:t xml:space="preserve"> </w:t>
      </w:r>
      <w:r>
        <w:rPr>
          <w:w w:val="105"/>
        </w:rPr>
        <w:t>B).</w:t>
      </w:r>
      <w:r>
        <w:rPr>
          <w:spacing w:val="-8"/>
          <w:w w:val="105"/>
        </w:rPr>
        <w:t xml:space="preserve"> </w:t>
      </w:r>
      <w:r>
        <w:rPr>
          <w:w w:val="105"/>
        </w:rPr>
        <w:t>The</w:t>
      </w:r>
      <w:r>
        <w:rPr>
          <w:spacing w:val="-9"/>
          <w:w w:val="105"/>
        </w:rPr>
        <w:t xml:space="preserve"> </w:t>
      </w:r>
      <w:r>
        <w:rPr>
          <w:w w:val="105"/>
        </w:rPr>
        <w:t>symptoms</w:t>
      </w:r>
      <w:r>
        <w:rPr>
          <w:spacing w:val="-3"/>
          <w:w w:val="105"/>
        </w:rPr>
        <w:t xml:space="preserve"> </w:t>
      </w:r>
      <w:r>
        <w:rPr>
          <w:w w:val="105"/>
        </w:rPr>
        <w:t>are</w:t>
      </w:r>
      <w:r>
        <w:rPr>
          <w:spacing w:val="-3"/>
          <w:w w:val="105"/>
        </w:rPr>
        <w:t xml:space="preserve"> </w:t>
      </w:r>
      <w:r>
        <w:rPr>
          <w:w w:val="105"/>
        </w:rPr>
        <w:t>not</w:t>
      </w:r>
      <w:r>
        <w:rPr>
          <w:spacing w:val="-5"/>
          <w:w w:val="105"/>
        </w:rPr>
        <w:t xml:space="preserve"> </w:t>
      </w:r>
      <w:r>
        <w:rPr>
          <w:w w:val="105"/>
        </w:rPr>
        <w:t>due</w:t>
      </w:r>
      <w:r>
        <w:rPr>
          <w:spacing w:val="9"/>
          <w:w w:val="105"/>
        </w:rPr>
        <w:t xml:space="preserve"> </w:t>
      </w:r>
      <w:r>
        <w:rPr>
          <w:w w:val="105"/>
        </w:rPr>
        <w:t>to</w:t>
      </w:r>
      <w:r>
        <w:rPr>
          <w:spacing w:val="-16"/>
          <w:w w:val="105"/>
        </w:rPr>
        <w:t xml:space="preserve"> </w:t>
      </w:r>
      <w:r>
        <w:rPr>
          <w:w w:val="105"/>
        </w:rPr>
        <w:t>a</w:t>
      </w:r>
      <w:r>
        <w:rPr>
          <w:spacing w:val="-4"/>
          <w:w w:val="105"/>
        </w:rPr>
        <w:t xml:space="preserve"> </w:t>
      </w:r>
      <w:r>
        <w:rPr>
          <w:w w:val="105"/>
        </w:rPr>
        <w:t>general medical condition and are not better accounted for by another mental disorder (Criterion C). Substance Intoxication is often associated with Substance Abuse or Dependence. This category does not apply to nicotine. Evidence for recent  intake of  the substance can be obtained from the history, physical examination (e.g., smell of alcohol on the breath), or toxicological analysis of body fluids (e.g., urine or</w:t>
      </w:r>
      <w:r>
        <w:rPr>
          <w:spacing w:val="-6"/>
          <w:w w:val="105"/>
        </w:rPr>
        <w:t xml:space="preserve"> </w:t>
      </w:r>
      <w:r>
        <w:rPr>
          <w:w w:val="105"/>
        </w:rPr>
        <w:t>blood).</w:t>
      </w:r>
    </w:p>
    <w:p w:rsidR="00E675F0" w:rsidRDefault="00E675F0" w:rsidP="00E675F0">
      <w:pPr>
        <w:pStyle w:val="BodyText"/>
        <w:spacing w:before="1" w:line="254" w:lineRule="auto"/>
        <w:ind w:left="130" w:right="101" w:firstLine="364"/>
        <w:jc w:val="both"/>
      </w:pPr>
      <w:r>
        <w:rPr>
          <w:w w:val="105"/>
        </w:rPr>
        <w:t>The most common changes involve disturbances of perception, wakefulness, attention, thinking, judgment, psychomotor behavior, and interpersonal behavior. The specific clinical picture in Substance Intoxication varies dramatically among individuals and also depends on which substance  is involved,  the dose,  the duration or chronicity of dosing, the person's tolerance for the substance, the period of time since the last dose, the expectations of the person as to the substance's effects, and the environment or setting in which the substance is taken. Short-term or "acute" intoxications may have different signs and symptoms from sustained or "chronic" intoxications. For example, moderate cocaine doses may initially produce gregariousness, but social withdrawal may develop if such doses are frequently repeated over days or weeks. Different substances (sometimes even different substance classes) may produce identical symptoms.</w:t>
      </w:r>
      <w:r>
        <w:rPr>
          <w:spacing w:val="14"/>
          <w:w w:val="105"/>
        </w:rPr>
        <w:t xml:space="preserve"> </w:t>
      </w:r>
      <w:r>
        <w:rPr>
          <w:w w:val="105"/>
        </w:rPr>
        <w:t>For</w:t>
      </w:r>
    </w:p>
    <w:p w:rsidR="00E675F0" w:rsidRDefault="00E675F0" w:rsidP="00E675F0">
      <w:pPr>
        <w:spacing w:line="254" w:lineRule="auto"/>
        <w:jc w:val="both"/>
        <w:sectPr w:rsidR="00E675F0">
          <w:headerReference w:type="even" r:id="rId165"/>
          <w:headerReference w:type="default" r:id="rId166"/>
          <w:pgSz w:w="8960" w:h="14260"/>
          <w:pgMar w:top="1400" w:right="640" w:bottom="280" w:left="600" w:header="692" w:footer="0" w:gutter="0"/>
          <w:pgNumType w:start="183"/>
          <w:cols w:space="720"/>
        </w:sectPr>
      </w:pPr>
    </w:p>
    <w:p w:rsidR="00E675F0" w:rsidRDefault="00E675F0" w:rsidP="00E675F0">
      <w:pPr>
        <w:pStyle w:val="BodyText"/>
        <w:spacing w:before="131" w:line="254" w:lineRule="auto"/>
        <w:ind w:left="114" w:right="124" w:hanging="1"/>
        <w:jc w:val="both"/>
      </w:pPr>
      <w:bookmarkStart w:id="121" w:name="_bookmark102"/>
      <w:bookmarkEnd w:id="121"/>
      <w:r>
        <w:rPr>
          <w:w w:val="105"/>
        </w:rPr>
        <w:lastRenderedPageBreak/>
        <w:t>example, Amphetamine and Cocaine Intoxication can both present with grandiosity and hyperactivity, accompanied by tachycardia, pupillary dilation, elevated blood pressure, and perspiration or chills.</w:t>
      </w:r>
    </w:p>
    <w:p w:rsidR="00E675F0" w:rsidRDefault="00E675F0" w:rsidP="00E675F0">
      <w:pPr>
        <w:pStyle w:val="BodyText"/>
        <w:spacing w:line="254" w:lineRule="auto"/>
        <w:ind w:left="111" w:right="117" w:firstLine="367"/>
        <w:jc w:val="both"/>
      </w:pPr>
      <w:r>
        <w:rPr>
          <w:w w:val="110"/>
        </w:rPr>
        <w:t xml:space="preserve">When used in the physiological sense, the term </w:t>
      </w:r>
      <w:r>
        <w:rPr>
          <w:i/>
          <w:w w:val="110"/>
          <w:sz w:val="19"/>
        </w:rPr>
        <w:t xml:space="preserve">intoxication </w:t>
      </w:r>
      <w:r>
        <w:rPr>
          <w:w w:val="110"/>
        </w:rPr>
        <w:t>is broader than Substance</w:t>
      </w:r>
      <w:r>
        <w:rPr>
          <w:spacing w:val="-21"/>
          <w:w w:val="110"/>
        </w:rPr>
        <w:t xml:space="preserve"> </w:t>
      </w:r>
      <w:r>
        <w:rPr>
          <w:w w:val="110"/>
        </w:rPr>
        <w:t>Intoxication</w:t>
      </w:r>
      <w:r>
        <w:rPr>
          <w:spacing w:val="-20"/>
          <w:w w:val="110"/>
        </w:rPr>
        <w:t xml:space="preserve"> </w:t>
      </w:r>
      <w:r>
        <w:rPr>
          <w:w w:val="110"/>
        </w:rPr>
        <w:t>as</w:t>
      </w:r>
      <w:r>
        <w:rPr>
          <w:spacing w:val="-29"/>
          <w:w w:val="110"/>
        </w:rPr>
        <w:t xml:space="preserve"> </w:t>
      </w:r>
      <w:r>
        <w:rPr>
          <w:w w:val="110"/>
        </w:rPr>
        <w:t>defined</w:t>
      </w:r>
      <w:r>
        <w:rPr>
          <w:spacing w:val="-17"/>
          <w:w w:val="110"/>
        </w:rPr>
        <w:t xml:space="preserve"> </w:t>
      </w:r>
      <w:r>
        <w:rPr>
          <w:w w:val="110"/>
        </w:rPr>
        <w:t>here.</w:t>
      </w:r>
      <w:r>
        <w:rPr>
          <w:spacing w:val="-24"/>
          <w:w w:val="110"/>
        </w:rPr>
        <w:t xml:space="preserve"> </w:t>
      </w:r>
      <w:r>
        <w:rPr>
          <w:w w:val="110"/>
        </w:rPr>
        <w:t>Many</w:t>
      </w:r>
      <w:r>
        <w:rPr>
          <w:spacing w:val="-30"/>
          <w:w w:val="110"/>
        </w:rPr>
        <w:t xml:space="preserve"> </w:t>
      </w:r>
      <w:r>
        <w:rPr>
          <w:w w:val="110"/>
        </w:rPr>
        <w:t>substances</w:t>
      </w:r>
      <w:r>
        <w:rPr>
          <w:spacing w:val="-18"/>
          <w:w w:val="110"/>
        </w:rPr>
        <w:t xml:space="preserve"> </w:t>
      </w:r>
      <w:r>
        <w:rPr>
          <w:w w:val="110"/>
        </w:rPr>
        <w:t>may</w:t>
      </w:r>
      <w:r>
        <w:rPr>
          <w:spacing w:val="-24"/>
          <w:w w:val="110"/>
        </w:rPr>
        <w:t xml:space="preserve"> </w:t>
      </w:r>
      <w:r>
        <w:rPr>
          <w:w w:val="110"/>
        </w:rPr>
        <w:t>produce</w:t>
      </w:r>
      <w:r>
        <w:rPr>
          <w:spacing w:val="-21"/>
          <w:w w:val="110"/>
        </w:rPr>
        <w:t xml:space="preserve"> </w:t>
      </w:r>
      <w:r>
        <w:rPr>
          <w:w w:val="110"/>
        </w:rPr>
        <w:t>physiological</w:t>
      </w:r>
      <w:r>
        <w:rPr>
          <w:spacing w:val="-21"/>
          <w:w w:val="110"/>
        </w:rPr>
        <w:t xml:space="preserve"> </w:t>
      </w:r>
      <w:r>
        <w:rPr>
          <w:w w:val="110"/>
        </w:rPr>
        <w:t>or psychological</w:t>
      </w:r>
      <w:r>
        <w:rPr>
          <w:spacing w:val="-17"/>
          <w:w w:val="110"/>
        </w:rPr>
        <w:t xml:space="preserve"> </w:t>
      </w:r>
      <w:r>
        <w:rPr>
          <w:w w:val="110"/>
        </w:rPr>
        <w:t>changes</w:t>
      </w:r>
      <w:r>
        <w:rPr>
          <w:spacing w:val="-22"/>
          <w:w w:val="110"/>
        </w:rPr>
        <w:t xml:space="preserve"> </w:t>
      </w:r>
      <w:r>
        <w:rPr>
          <w:w w:val="110"/>
        </w:rPr>
        <w:t>that</w:t>
      </w:r>
      <w:r>
        <w:rPr>
          <w:spacing w:val="-25"/>
          <w:w w:val="110"/>
        </w:rPr>
        <w:t xml:space="preserve"> </w:t>
      </w:r>
      <w:r>
        <w:rPr>
          <w:w w:val="110"/>
        </w:rPr>
        <w:t>are</w:t>
      </w:r>
      <w:r>
        <w:rPr>
          <w:spacing w:val="-22"/>
          <w:w w:val="110"/>
        </w:rPr>
        <w:t xml:space="preserve"> </w:t>
      </w:r>
      <w:r>
        <w:rPr>
          <w:w w:val="110"/>
        </w:rPr>
        <w:t>not</w:t>
      </w:r>
      <w:r>
        <w:rPr>
          <w:spacing w:val="-22"/>
          <w:w w:val="110"/>
        </w:rPr>
        <w:t xml:space="preserve"> </w:t>
      </w:r>
      <w:r>
        <w:rPr>
          <w:w w:val="110"/>
        </w:rPr>
        <w:t>necessarily</w:t>
      </w:r>
      <w:r>
        <w:rPr>
          <w:spacing w:val="-20"/>
          <w:w w:val="110"/>
        </w:rPr>
        <w:t xml:space="preserve"> </w:t>
      </w:r>
      <w:r>
        <w:rPr>
          <w:w w:val="110"/>
        </w:rPr>
        <w:t>maladaptive.</w:t>
      </w:r>
      <w:r>
        <w:rPr>
          <w:spacing w:val="-14"/>
          <w:w w:val="110"/>
        </w:rPr>
        <w:t xml:space="preserve"> </w:t>
      </w:r>
      <w:r>
        <w:rPr>
          <w:w w:val="110"/>
        </w:rPr>
        <w:t>For</w:t>
      </w:r>
      <w:r>
        <w:rPr>
          <w:spacing w:val="-28"/>
          <w:w w:val="110"/>
        </w:rPr>
        <w:t xml:space="preserve"> </w:t>
      </w:r>
      <w:r>
        <w:rPr>
          <w:w w:val="110"/>
        </w:rPr>
        <w:t>example,</w:t>
      </w:r>
      <w:r>
        <w:rPr>
          <w:spacing w:val="-19"/>
          <w:w w:val="110"/>
        </w:rPr>
        <w:t xml:space="preserve"> </w:t>
      </w:r>
      <w:r>
        <w:rPr>
          <w:w w:val="110"/>
        </w:rPr>
        <w:t>an</w:t>
      </w:r>
      <w:r>
        <w:rPr>
          <w:spacing w:val="-26"/>
          <w:w w:val="110"/>
        </w:rPr>
        <w:t xml:space="preserve"> </w:t>
      </w:r>
      <w:r>
        <w:rPr>
          <w:w w:val="110"/>
        </w:rPr>
        <w:t>individual with</w:t>
      </w:r>
      <w:r>
        <w:rPr>
          <w:spacing w:val="-25"/>
          <w:w w:val="110"/>
        </w:rPr>
        <w:t xml:space="preserve"> </w:t>
      </w:r>
      <w:r>
        <w:rPr>
          <w:w w:val="110"/>
        </w:rPr>
        <w:t>tachycardia</w:t>
      </w:r>
      <w:r>
        <w:rPr>
          <w:spacing w:val="-21"/>
          <w:w w:val="110"/>
        </w:rPr>
        <w:t xml:space="preserve"> </w:t>
      </w:r>
      <w:r>
        <w:rPr>
          <w:w w:val="110"/>
        </w:rPr>
        <w:t>from</w:t>
      </w:r>
      <w:r>
        <w:rPr>
          <w:spacing w:val="-29"/>
          <w:w w:val="110"/>
        </w:rPr>
        <w:t xml:space="preserve"> </w:t>
      </w:r>
      <w:r>
        <w:rPr>
          <w:w w:val="110"/>
        </w:rPr>
        <w:t>excessive</w:t>
      </w:r>
      <w:r>
        <w:rPr>
          <w:spacing w:val="-22"/>
          <w:w w:val="110"/>
        </w:rPr>
        <w:t xml:space="preserve"> </w:t>
      </w:r>
      <w:r>
        <w:rPr>
          <w:w w:val="110"/>
        </w:rPr>
        <w:t>caffeine</w:t>
      </w:r>
      <w:r>
        <w:rPr>
          <w:spacing w:val="-21"/>
          <w:w w:val="110"/>
        </w:rPr>
        <w:t xml:space="preserve"> </w:t>
      </w:r>
      <w:r>
        <w:rPr>
          <w:w w:val="110"/>
        </w:rPr>
        <w:t>use</w:t>
      </w:r>
      <w:r>
        <w:rPr>
          <w:spacing w:val="-24"/>
          <w:w w:val="110"/>
        </w:rPr>
        <w:t xml:space="preserve"> </w:t>
      </w:r>
      <w:r>
        <w:rPr>
          <w:w w:val="110"/>
        </w:rPr>
        <w:t>has</w:t>
      </w:r>
      <w:r>
        <w:rPr>
          <w:spacing w:val="-31"/>
          <w:w w:val="110"/>
        </w:rPr>
        <w:t xml:space="preserve"> </w:t>
      </w:r>
      <w:r>
        <w:rPr>
          <w:w w:val="110"/>
        </w:rPr>
        <w:t>a</w:t>
      </w:r>
      <w:r>
        <w:rPr>
          <w:spacing w:val="-23"/>
          <w:w w:val="110"/>
        </w:rPr>
        <w:t xml:space="preserve"> </w:t>
      </w:r>
      <w:r>
        <w:rPr>
          <w:w w:val="110"/>
        </w:rPr>
        <w:t>physiological</w:t>
      </w:r>
      <w:r>
        <w:rPr>
          <w:spacing w:val="-21"/>
          <w:w w:val="110"/>
        </w:rPr>
        <w:t xml:space="preserve"> </w:t>
      </w:r>
      <w:r>
        <w:rPr>
          <w:w w:val="110"/>
        </w:rPr>
        <w:t>intoxication,</w:t>
      </w:r>
      <w:r>
        <w:rPr>
          <w:spacing w:val="-18"/>
          <w:w w:val="110"/>
        </w:rPr>
        <w:t xml:space="preserve"> </w:t>
      </w:r>
      <w:r>
        <w:rPr>
          <w:w w:val="110"/>
        </w:rPr>
        <w:t>but</w:t>
      </w:r>
      <w:r>
        <w:rPr>
          <w:spacing w:val="-26"/>
          <w:w w:val="110"/>
        </w:rPr>
        <w:t xml:space="preserve"> </w:t>
      </w:r>
      <w:r>
        <w:rPr>
          <w:w w:val="110"/>
        </w:rPr>
        <w:t>if</w:t>
      </w:r>
      <w:r>
        <w:rPr>
          <w:spacing w:val="-27"/>
          <w:w w:val="110"/>
        </w:rPr>
        <w:t xml:space="preserve"> </w:t>
      </w:r>
      <w:r>
        <w:rPr>
          <w:w w:val="110"/>
        </w:rPr>
        <w:t>this is</w:t>
      </w:r>
      <w:r>
        <w:rPr>
          <w:spacing w:val="-19"/>
          <w:w w:val="110"/>
        </w:rPr>
        <w:t xml:space="preserve"> </w:t>
      </w:r>
      <w:r>
        <w:rPr>
          <w:w w:val="110"/>
        </w:rPr>
        <w:t>the</w:t>
      </w:r>
      <w:r>
        <w:rPr>
          <w:spacing w:val="-17"/>
          <w:w w:val="110"/>
        </w:rPr>
        <w:t xml:space="preserve"> </w:t>
      </w:r>
      <w:r>
        <w:rPr>
          <w:w w:val="110"/>
        </w:rPr>
        <w:t>only</w:t>
      </w:r>
      <w:r>
        <w:rPr>
          <w:spacing w:val="-16"/>
          <w:w w:val="110"/>
        </w:rPr>
        <w:t xml:space="preserve"> </w:t>
      </w:r>
      <w:r>
        <w:rPr>
          <w:w w:val="110"/>
        </w:rPr>
        <w:t>symptom</w:t>
      </w:r>
      <w:r>
        <w:rPr>
          <w:spacing w:val="-9"/>
          <w:w w:val="110"/>
        </w:rPr>
        <w:t xml:space="preserve"> </w:t>
      </w:r>
      <w:r>
        <w:rPr>
          <w:w w:val="110"/>
        </w:rPr>
        <w:t>in</w:t>
      </w:r>
      <w:r>
        <w:rPr>
          <w:spacing w:val="-14"/>
          <w:w w:val="110"/>
        </w:rPr>
        <w:t xml:space="preserve"> </w:t>
      </w:r>
      <w:r>
        <w:rPr>
          <w:w w:val="110"/>
        </w:rPr>
        <w:t>the</w:t>
      </w:r>
      <w:r>
        <w:rPr>
          <w:spacing w:val="-14"/>
          <w:w w:val="110"/>
        </w:rPr>
        <w:t xml:space="preserve"> </w:t>
      </w:r>
      <w:r>
        <w:rPr>
          <w:w w:val="110"/>
        </w:rPr>
        <w:t>absence</w:t>
      </w:r>
      <w:r>
        <w:rPr>
          <w:spacing w:val="-12"/>
          <w:w w:val="110"/>
        </w:rPr>
        <w:t xml:space="preserve"> </w:t>
      </w:r>
      <w:r>
        <w:rPr>
          <w:w w:val="110"/>
        </w:rPr>
        <w:t>of</w:t>
      </w:r>
      <w:r>
        <w:rPr>
          <w:spacing w:val="-8"/>
          <w:w w:val="110"/>
        </w:rPr>
        <w:t xml:space="preserve"> </w:t>
      </w:r>
      <w:r>
        <w:rPr>
          <w:w w:val="110"/>
        </w:rPr>
        <w:t>maladaptive</w:t>
      </w:r>
      <w:r>
        <w:rPr>
          <w:spacing w:val="-4"/>
          <w:w w:val="110"/>
        </w:rPr>
        <w:t xml:space="preserve"> </w:t>
      </w:r>
      <w:r>
        <w:rPr>
          <w:w w:val="110"/>
        </w:rPr>
        <w:t>behavior,</w:t>
      </w:r>
      <w:r>
        <w:rPr>
          <w:spacing w:val="-5"/>
          <w:w w:val="110"/>
        </w:rPr>
        <w:t xml:space="preserve"> </w:t>
      </w:r>
      <w:r>
        <w:rPr>
          <w:w w:val="110"/>
        </w:rPr>
        <w:t>the</w:t>
      </w:r>
      <w:r>
        <w:rPr>
          <w:spacing w:val="-17"/>
          <w:w w:val="110"/>
        </w:rPr>
        <w:t xml:space="preserve"> </w:t>
      </w:r>
      <w:r>
        <w:rPr>
          <w:w w:val="110"/>
        </w:rPr>
        <w:t>diagnosis</w:t>
      </w:r>
      <w:r>
        <w:rPr>
          <w:spacing w:val="-8"/>
          <w:w w:val="110"/>
        </w:rPr>
        <w:t xml:space="preserve"> </w:t>
      </w:r>
      <w:r>
        <w:rPr>
          <w:w w:val="110"/>
        </w:rPr>
        <w:t>of</w:t>
      </w:r>
      <w:r>
        <w:rPr>
          <w:spacing w:val="-8"/>
          <w:w w:val="110"/>
        </w:rPr>
        <w:t xml:space="preserve"> </w:t>
      </w:r>
      <w:r>
        <w:rPr>
          <w:w w:val="110"/>
        </w:rPr>
        <w:t>Caffeine Intoxication would not apply. The maladaptive nature of a substance-induced change in</w:t>
      </w:r>
      <w:r>
        <w:rPr>
          <w:spacing w:val="-27"/>
          <w:w w:val="110"/>
        </w:rPr>
        <w:t xml:space="preserve"> </w:t>
      </w:r>
      <w:r>
        <w:rPr>
          <w:w w:val="110"/>
        </w:rPr>
        <w:t>behavior</w:t>
      </w:r>
      <w:r>
        <w:rPr>
          <w:spacing w:val="-27"/>
          <w:w w:val="110"/>
        </w:rPr>
        <w:t xml:space="preserve"> </w:t>
      </w:r>
      <w:r>
        <w:rPr>
          <w:w w:val="110"/>
        </w:rPr>
        <w:t>depends</w:t>
      </w:r>
      <w:r>
        <w:rPr>
          <w:spacing w:val="-30"/>
          <w:w w:val="110"/>
        </w:rPr>
        <w:t xml:space="preserve"> </w:t>
      </w:r>
      <w:r>
        <w:rPr>
          <w:w w:val="110"/>
        </w:rPr>
        <w:t>on</w:t>
      </w:r>
      <w:r>
        <w:rPr>
          <w:spacing w:val="-26"/>
          <w:w w:val="110"/>
        </w:rPr>
        <w:t xml:space="preserve"> </w:t>
      </w:r>
      <w:r>
        <w:rPr>
          <w:w w:val="110"/>
        </w:rPr>
        <w:t>the</w:t>
      </w:r>
      <w:r>
        <w:rPr>
          <w:spacing w:val="-35"/>
          <w:w w:val="110"/>
        </w:rPr>
        <w:t xml:space="preserve"> </w:t>
      </w:r>
      <w:r>
        <w:rPr>
          <w:w w:val="110"/>
        </w:rPr>
        <w:t>social</w:t>
      </w:r>
      <w:r>
        <w:rPr>
          <w:spacing w:val="-29"/>
          <w:w w:val="110"/>
        </w:rPr>
        <w:t xml:space="preserve"> </w:t>
      </w:r>
      <w:r>
        <w:rPr>
          <w:w w:val="110"/>
        </w:rPr>
        <w:t>and</w:t>
      </w:r>
      <w:r>
        <w:rPr>
          <w:spacing w:val="-17"/>
          <w:w w:val="110"/>
        </w:rPr>
        <w:t xml:space="preserve"> </w:t>
      </w:r>
      <w:r>
        <w:rPr>
          <w:w w:val="110"/>
        </w:rPr>
        <w:t>environmental</w:t>
      </w:r>
      <w:r>
        <w:rPr>
          <w:spacing w:val="-21"/>
          <w:w w:val="110"/>
        </w:rPr>
        <w:t xml:space="preserve"> </w:t>
      </w:r>
      <w:r>
        <w:rPr>
          <w:w w:val="110"/>
        </w:rPr>
        <w:t>context.</w:t>
      </w:r>
      <w:r>
        <w:rPr>
          <w:spacing w:val="-29"/>
          <w:w w:val="110"/>
        </w:rPr>
        <w:t xml:space="preserve"> </w:t>
      </w:r>
      <w:r>
        <w:rPr>
          <w:w w:val="110"/>
        </w:rPr>
        <w:t>The</w:t>
      </w:r>
      <w:r>
        <w:rPr>
          <w:spacing w:val="-31"/>
          <w:w w:val="110"/>
        </w:rPr>
        <w:t xml:space="preserve"> </w:t>
      </w:r>
      <w:r>
        <w:rPr>
          <w:w w:val="110"/>
        </w:rPr>
        <w:t>maladaptive</w:t>
      </w:r>
      <w:r>
        <w:rPr>
          <w:spacing w:val="-19"/>
          <w:w w:val="110"/>
        </w:rPr>
        <w:t xml:space="preserve"> </w:t>
      </w:r>
      <w:r>
        <w:rPr>
          <w:w w:val="110"/>
        </w:rPr>
        <w:t>behavior generally places the individual at significant risk for adverse effects (e.g., accidents, general</w:t>
      </w:r>
      <w:r>
        <w:rPr>
          <w:spacing w:val="-21"/>
          <w:w w:val="110"/>
        </w:rPr>
        <w:t xml:space="preserve"> </w:t>
      </w:r>
      <w:r>
        <w:rPr>
          <w:w w:val="110"/>
        </w:rPr>
        <w:t>medical</w:t>
      </w:r>
      <w:r>
        <w:rPr>
          <w:spacing w:val="-25"/>
          <w:w w:val="110"/>
        </w:rPr>
        <w:t xml:space="preserve"> </w:t>
      </w:r>
      <w:r>
        <w:rPr>
          <w:w w:val="110"/>
        </w:rPr>
        <w:t>complications,</w:t>
      </w:r>
      <w:r>
        <w:rPr>
          <w:spacing w:val="-30"/>
          <w:w w:val="110"/>
        </w:rPr>
        <w:t xml:space="preserve"> </w:t>
      </w:r>
      <w:r>
        <w:rPr>
          <w:w w:val="110"/>
        </w:rPr>
        <w:t>disruption</w:t>
      </w:r>
      <w:r>
        <w:rPr>
          <w:spacing w:val="-21"/>
          <w:w w:val="110"/>
        </w:rPr>
        <w:t xml:space="preserve"> </w:t>
      </w:r>
      <w:r>
        <w:rPr>
          <w:w w:val="110"/>
        </w:rPr>
        <w:t>in</w:t>
      </w:r>
      <w:r>
        <w:rPr>
          <w:spacing w:val="-33"/>
          <w:w w:val="110"/>
        </w:rPr>
        <w:t xml:space="preserve"> </w:t>
      </w:r>
      <w:r>
        <w:rPr>
          <w:w w:val="110"/>
        </w:rPr>
        <w:t>social</w:t>
      </w:r>
      <w:r>
        <w:rPr>
          <w:spacing w:val="-26"/>
          <w:w w:val="110"/>
        </w:rPr>
        <w:t xml:space="preserve"> </w:t>
      </w:r>
      <w:r>
        <w:rPr>
          <w:w w:val="110"/>
        </w:rPr>
        <w:t>and</w:t>
      </w:r>
      <w:r>
        <w:rPr>
          <w:spacing w:val="-24"/>
          <w:w w:val="110"/>
        </w:rPr>
        <w:t xml:space="preserve"> </w:t>
      </w:r>
      <w:r>
        <w:rPr>
          <w:w w:val="110"/>
        </w:rPr>
        <w:t>family</w:t>
      </w:r>
      <w:r>
        <w:rPr>
          <w:spacing w:val="-18"/>
          <w:w w:val="110"/>
        </w:rPr>
        <w:t xml:space="preserve"> </w:t>
      </w:r>
      <w:r>
        <w:rPr>
          <w:w w:val="110"/>
        </w:rPr>
        <w:t>relationships,</w:t>
      </w:r>
      <w:r>
        <w:rPr>
          <w:spacing w:val="-28"/>
          <w:w w:val="110"/>
        </w:rPr>
        <w:t xml:space="preserve"> </w:t>
      </w:r>
      <w:r>
        <w:rPr>
          <w:w w:val="110"/>
        </w:rPr>
        <w:t>vocational or financial difficulties, legal problems). Signs and symptoms of intoxication may sometimes</w:t>
      </w:r>
      <w:r>
        <w:rPr>
          <w:spacing w:val="5"/>
          <w:w w:val="110"/>
        </w:rPr>
        <w:t xml:space="preserve"> </w:t>
      </w:r>
      <w:r>
        <w:rPr>
          <w:w w:val="110"/>
        </w:rPr>
        <w:t>persist</w:t>
      </w:r>
      <w:r>
        <w:rPr>
          <w:spacing w:val="-2"/>
          <w:w w:val="110"/>
        </w:rPr>
        <w:t xml:space="preserve"> </w:t>
      </w:r>
      <w:r>
        <w:rPr>
          <w:w w:val="110"/>
        </w:rPr>
        <w:t>for</w:t>
      </w:r>
      <w:r>
        <w:rPr>
          <w:spacing w:val="-4"/>
          <w:w w:val="110"/>
        </w:rPr>
        <w:t xml:space="preserve"> </w:t>
      </w:r>
      <w:r>
        <w:rPr>
          <w:w w:val="110"/>
        </w:rPr>
        <w:t>hours</w:t>
      </w:r>
      <w:r>
        <w:rPr>
          <w:spacing w:val="-3"/>
          <w:w w:val="110"/>
        </w:rPr>
        <w:t xml:space="preserve"> </w:t>
      </w:r>
      <w:r>
        <w:rPr>
          <w:w w:val="110"/>
        </w:rPr>
        <w:t>or</w:t>
      </w:r>
      <w:r>
        <w:rPr>
          <w:spacing w:val="-4"/>
          <w:w w:val="110"/>
        </w:rPr>
        <w:t xml:space="preserve"> </w:t>
      </w:r>
      <w:r>
        <w:rPr>
          <w:w w:val="110"/>
        </w:rPr>
        <w:t>days</w:t>
      </w:r>
      <w:r>
        <w:rPr>
          <w:spacing w:val="-8"/>
          <w:w w:val="110"/>
        </w:rPr>
        <w:t xml:space="preserve"> </w:t>
      </w:r>
      <w:r>
        <w:rPr>
          <w:w w:val="110"/>
        </w:rPr>
        <w:t>beyond</w:t>
      </w:r>
      <w:r>
        <w:rPr>
          <w:spacing w:val="1"/>
          <w:w w:val="110"/>
        </w:rPr>
        <w:t xml:space="preserve"> </w:t>
      </w:r>
      <w:r>
        <w:rPr>
          <w:w w:val="110"/>
        </w:rPr>
        <w:t>the</w:t>
      </w:r>
      <w:r>
        <w:rPr>
          <w:spacing w:val="-5"/>
          <w:w w:val="110"/>
        </w:rPr>
        <w:t xml:space="preserve"> </w:t>
      </w:r>
      <w:r>
        <w:rPr>
          <w:w w:val="110"/>
        </w:rPr>
        <w:t>time</w:t>
      </w:r>
      <w:r>
        <w:rPr>
          <w:spacing w:val="-5"/>
          <w:w w:val="110"/>
        </w:rPr>
        <w:t xml:space="preserve"> </w:t>
      </w:r>
      <w:r>
        <w:rPr>
          <w:w w:val="110"/>
        </w:rPr>
        <w:t>when</w:t>
      </w:r>
      <w:r>
        <w:rPr>
          <w:spacing w:val="-5"/>
          <w:w w:val="110"/>
        </w:rPr>
        <w:t xml:space="preserve"> </w:t>
      </w:r>
      <w:r>
        <w:rPr>
          <w:w w:val="110"/>
        </w:rPr>
        <w:t>the</w:t>
      </w:r>
      <w:r>
        <w:rPr>
          <w:spacing w:val="-12"/>
          <w:w w:val="110"/>
        </w:rPr>
        <w:t xml:space="preserve"> </w:t>
      </w:r>
      <w:r>
        <w:rPr>
          <w:w w:val="110"/>
        </w:rPr>
        <w:t>substance</w:t>
      </w:r>
      <w:r>
        <w:rPr>
          <w:spacing w:val="1"/>
          <w:w w:val="110"/>
        </w:rPr>
        <w:t xml:space="preserve"> </w:t>
      </w:r>
      <w:r>
        <w:rPr>
          <w:w w:val="110"/>
        </w:rPr>
        <w:t>is</w:t>
      </w:r>
      <w:r>
        <w:rPr>
          <w:spacing w:val="-12"/>
          <w:w w:val="110"/>
        </w:rPr>
        <w:t xml:space="preserve"> </w:t>
      </w:r>
      <w:r>
        <w:rPr>
          <w:w w:val="110"/>
        </w:rPr>
        <w:t xml:space="preserve">detectable in body fluids. This may be due to continuing low concentrations of the substance in certain areas of the brain or to a </w:t>
      </w:r>
      <w:r>
        <w:rPr>
          <w:b/>
          <w:w w:val="110"/>
          <w:sz w:val="19"/>
        </w:rPr>
        <w:t xml:space="preserve">"hit </w:t>
      </w:r>
      <w:r>
        <w:rPr>
          <w:w w:val="110"/>
        </w:rPr>
        <w:t>and run" effect in which the substance alters a physiological</w:t>
      </w:r>
      <w:r>
        <w:rPr>
          <w:spacing w:val="-4"/>
          <w:w w:val="110"/>
        </w:rPr>
        <w:t xml:space="preserve"> </w:t>
      </w:r>
      <w:r>
        <w:rPr>
          <w:w w:val="110"/>
        </w:rPr>
        <w:t>process,</w:t>
      </w:r>
      <w:r>
        <w:rPr>
          <w:spacing w:val="-11"/>
          <w:w w:val="110"/>
        </w:rPr>
        <w:t xml:space="preserve"> </w:t>
      </w:r>
      <w:r>
        <w:rPr>
          <w:w w:val="110"/>
        </w:rPr>
        <w:t>the</w:t>
      </w:r>
      <w:r>
        <w:rPr>
          <w:spacing w:val="-20"/>
          <w:w w:val="110"/>
        </w:rPr>
        <w:t xml:space="preserve"> </w:t>
      </w:r>
      <w:r>
        <w:rPr>
          <w:w w:val="110"/>
        </w:rPr>
        <w:t>recovery</w:t>
      </w:r>
      <w:r>
        <w:rPr>
          <w:spacing w:val="-18"/>
          <w:w w:val="110"/>
        </w:rPr>
        <w:t xml:space="preserve"> </w:t>
      </w:r>
      <w:r>
        <w:rPr>
          <w:w w:val="110"/>
        </w:rPr>
        <w:t>of</w:t>
      </w:r>
      <w:r>
        <w:rPr>
          <w:spacing w:val="-15"/>
          <w:w w:val="110"/>
        </w:rPr>
        <w:t xml:space="preserve"> </w:t>
      </w:r>
      <w:r>
        <w:rPr>
          <w:w w:val="110"/>
        </w:rPr>
        <w:t>which</w:t>
      </w:r>
      <w:r>
        <w:rPr>
          <w:spacing w:val="-12"/>
          <w:w w:val="110"/>
        </w:rPr>
        <w:t xml:space="preserve"> </w:t>
      </w:r>
      <w:r>
        <w:rPr>
          <w:w w:val="110"/>
        </w:rPr>
        <w:t>takes</w:t>
      </w:r>
      <w:r>
        <w:rPr>
          <w:spacing w:val="-18"/>
          <w:w w:val="110"/>
        </w:rPr>
        <w:t xml:space="preserve"> </w:t>
      </w:r>
      <w:r>
        <w:rPr>
          <w:w w:val="110"/>
        </w:rPr>
        <w:t>longer</w:t>
      </w:r>
      <w:r>
        <w:rPr>
          <w:spacing w:val="-14"/>
          <w:w w:val="110"/>
        </w:rPr>
        <w:t xml:space="preserve"> </w:t>
      </w:r>
      <w:r>
        <w:rPr>
          <w:w w:val="110"/>
        </w:rPr>
        <w:t>than</w:t>
      </w:r>
      <w:r>
        <w:rPr>
          <w:spacing w:val="-12"/>
          <w:w w:val="110"/>
        </w:rPr>
        <w:t xml:space="preserve"> </w:t>
      </w:r>
      <w:r>
        <w:rPr>
          <w:w w:val="110"/>
        </w:rPr>
        <w:t>the</w:t>
      </w:r>
      <w:r>
        <w:rPr>
          <w:spacing w:val="-16"/>
          <w:w w:val="110"/>
        </w:rPr>
        <w:t xml:space="preserve"> </w:t>
      </w:r>
      <w:r>
        <w:rPr>
          <w:w w:val="110"/>
        </w:rPr>
        <w:t>time</w:t>
      </w:r>
      <w:r>
        <w:rPr>
          <w:spacing w:val="-21"/>
          <w:w w:val="110"/>
        </w:rPr>
        <w:t xml:space="preserve"> </w:t>
      </w:r>
      <w:r>
        <w:rPr>
          <w:w w:val="110"/>
        </w:rPr>
        <w:t>for</w:t>
      </w:r>
      <w:r>
        <w:rPr>
          <w:spacing w:val="-22"/>
          <w:w w:val="110"/>
        </w:rPr>
        <w:t xml:space="preserve"> </w:t>
      </w:r>
      <w:r>
        <w:rPr>
          <w:w w:val="110"/>
        </w:rPr>
        <w:t>elimination of</w:t>
      </w:r>
      <w:r>
        <w:rPr>
          <w:spacing w:val="-13"/>
          <w:w w:val="110"/>
        </w:rPr>
        <w:t xml:space="preserve"> </w:t>
      </w:r>
      <w:r>
        <w:rPr>
          <w:w w:val="110"/>
        </w:rPr>
        <w:t>the</w:t>
      </w:r>
      <w:r>
        <w:rPr>
          <w:spacing w:val="-20"/>
          <w:w w:val="110"/>
        </w:rPr>
        <w:t xml:space="preserve"> </w:t>
      </w:r>
      <w:r>
        <w:rPr>
          <w:w w:val="110"/>
        </w:rPr>
        <w:t>substance.</w:t>
      </w:r>
      <w:r>
        <w:rPr>
          <w:spacing w:val="-12"/>
          <w:w w:val="110"/>
        </w:rPr>
        <w:t xml:space="preserve"> </w:t>
      </w:r>
      <w:r>
        <w:rPr>
          <w:w w:val="110"/>
        </w:rPr>
        <w:t>These</w:t>
      </w:r>
      <w:r>
        <w:rPr>
          <w:spacing w:val="-13"/>
          <w:w w:val="110"/>
        </w:rPr>
        <w:t xml:space="preserve"> </w:t>
      </w:r>
      <w:r>
        <w:rPr>
          <w:w w:val="110"/>
        </w:rPr>
        <w:t>longer-term</w:t>
      </w:r>
      <w:r>
        <w:rPr>
          <w:spacing w:val="-10"/>
          <w:w w:val="110"/>
        </w:rPr>
        <w:t xml:space="preserve"> </w:t>
      </w:r>
      <w:r>
        <w:rPr>
          <w:w w:val="110"/>
        </w:rPr>
        <w:t>effects</w:t>
      </w:r>
      <w:r>
        <w:rPr>
          <w:spacing w:val="-18"/>
          <w:w w:val="110"/>
        </w:rPr>
        <w:t xml:space="preserve"> </w:t>
      </w:r>
      <w:r>
        <w:rPr>
          <w:w w:val="110"/>
        </w:rPr>
        <w:t>of</w:t>
      </w:r>
      <w:r>
        <w:rPr>
          <w:spacing w:val="-9"/>
          <w:w w:val="110"/>
        </w:rPr>
        <w:t xml:space="preserve"> </w:t>
      </w:r>
      <w:r>
        <w:rPr>
          <w:w w:val="110"/>
        </w:rPr>
        <w:t>intoxication</w:t>
      </w:r>
      <w:r>
        <w:rPr>
          <w:spacing w:val="-2"/>
          <w:w w:val="110"/>
        </w:rPr>
        <w:t xml:space="preserve"> </w:t>
      </w:r>
      <w:r>
        <w:rPr>
          <w:w w:val="110"/>
        </w:rPr>
        <w:t>must</w:t>
      </w:r>
      <w:r>
        <w:rPr>
          <w:spacing w:val="-11"/>
          <w:w w:val="110"/>
        </w:rPr>
        <w:t xml:space="preserve"> </w:t>
      </w:r>
      <w:r>
        <w:rPr>
          <w:w w:val="110"/>
        </w:rPr>
        <w:t>be</w:t>
      </w:r>
      <w:r>
        <w:rPr>
          <w:spacing w:val="-17"/>
          <w:w w:val="110"/>
        </w:rPr>
        <w:t xml:space="preserve"> </w:t>
      </w:r>
      <w:r>
        <w:rPr>
          <w:w w:val="110"/>
        </w:rPr>
        <w:t>distinguished</w:t>
      </w:r>
      <w:r>
        <w:rPr>
          <w:spacing w:val="-7"/>
          <w:w w:val="110"/>
        </w:rPr>
        <w:t xml:space="preserve"> </w:t>
      </w:r>
      <w:r>
        <w:rPr>
          <w:w w:val="110"/>
        </w:rPr>
        <w:t>from withdrawal</w:t>
      </w:r>
      <w:r>
        <w:rPr>
          <w:spacing w:val="-9"/>
          <w:w w:val="110"/>
        </w:rPr>
        <w:t xml:space="preserve"> </w:t>
      </w:r>
      <w:r>
        <w:rPr>
          <w:w w:val="110"/>
        </w:rPr>
        <w:t>(i.e.,</w:t>
      </w:r>
      <w:r>
        <w:rPr>
          <w:spacing w:val="-11"/>
          <w:w w:val="110"/>
        </w:rPr>
        <w:t xml:space="preserve"> </w:t>
      </w:r>
      <w:r>
        <w:rPr>
          <w:w w:val="110"/>
        </w:rPr>
        <w:t>symptoms</w:t>
      </w:r>
      <w:r>
        <w:rPr>
          <w:spacing w:val="-6"/>
          <w:w w:val="110"/>
        </w:rPr>
        <w:t xml:space="preserve"> </w:t>
      </w:r>
      <w:r>
        <w:rPr>
          <w:w w:val="110"/>
        </w:rPr>
        <w:t>initiated</w:t>
      </w:r>
      <w:r>
        <w:rPr>
          <w:spacing w:val="-6"/>
          <w:w w:val="110"/>
        </w:rPr>
        <w:t xml:space="preserve"> </w:t>
      </w:r>
      <w:r>
        <w:rPr>
          <w:w w:val="110"/>
        </w:rPr>
        <w:t>by</w:t>
      </w:r>
      <w:r>
        <w:rPr>
          <w:spacing w:val="-15"/>
          <w:w w:val="110"/>
        </w:rPr>
        <w:t xml:space="preserve"> </w:t>
      </w:r>
      <w:r>
        <w:rPr>
          <w:w w:val="110"/>
        </w:rPr>
        <w:t>a</w:t>
      </w:r>
      <w:r>
        <w:rPr>
          <w:spacing w:val="-16"/>
          <w:w w:val="110"/>
        </w:rPr>
        <w:t xml:space="preserve"> </w:t>
      </w:r>
      <w:r>
        <w:rPr>
          <w:w w:val="110"/>
        </w:rPr>
        <w:t>decline</w:t>
      </w:r>
      <w:r>
        <w:rPr>
          <w:spacing w:val="-11"/>
          <w:w w:val="110"/>
        </w:rPr>
        <w:t xml:space="preserve"> </w:t>
      </w:r>
      <w:r>
        <w:rPr>
          <w:w w:val="110"/>
        </w:rPr>
        <w:t>in</w:t>
      </w:r>
      <w:r>
        <w:rPr>
          <w:spacing w:val="-11"/>
          <w:w w:val="110"/>
        </w:rPr>
        <w:t xml:space="preserve"> </w:t>
      </w:r>
      <w:r>
        <w:rPr>
          <w:w w:val="110"/>
        </w:rPr>
        <w:t>blood</w:t>
      </w:r>
      <w:r>
        <w:rPr>
          <w:spacing w:val="-9"/>
          <w:w w:val="110"/>
        </w:rPr>
        <w:t xml:space="preserve"> </w:t>
      </w:r>
      <w:r>
        <w:rPr>
          <w:w w:val="110"/>
        </w:rPr>
        <w:t>or</w:t>
      </w:r>
      <w:r>
        <w:rPr>
          <w:spacing w:val="-9"/>
          <w:w w:val="110"/>
        </w:rPr>
        <w:t xml:space="preserve"> </w:t>
      </w:r>
      <w:r>
        <w:rPr>
          <w:w w:val="110"/>
        </w:rPr>
        <w:t>tissue</w:t>
      </w:r>
      <w:r>
        <w:rPr>
          <w:spacing w:val="-14"/>
          <w:w w:val="110"/>
        </w:rPr>
        <w:t xml:space="preserve"> </w:t>
      </w:r>
      <w:r>
        <w:rPr>
          <w:w w:val="110"/>
        </w:rPr>
        <w:t>concentrations</w:t>
      </w:r>
      <w:r>
        <w:rPr>
          <w:spacing w:val="-23"/>
          <w:w w:val="110"/>
        </w:rPr>
        <w:t xml:space="preserve"> </w:t>
      </w:r>
      <w:r>
        <w:rPr>
          <w:w w:val="110"/>
        </w:rPr>
        <w:t>of</w:t>
      </w:r>
      <w:r>
        <w:rPr>
          <w:spacing w:val="-10"/>
          <w:w w:val="110"/>
        </w:rPr>
        <w:t xml:space="preserve"> </w:t>
      </w:r>
      <w:r>
        <w:rPr>
          <w:w w:val="110"/>
        </w:rPr>
        <w:t>a substance).</w:t>
      </w:r>
    </w:p>
    <w:p w:rsidR="00E675F0" w:rsidRDefault="00E675F0" w:rsidP="00E675F0">
      <w:pPr>
        <w:pStyle w:val="BodyText"/>
      </w:pPr>
    </w:p>
    <w:p w:rsidR="00E675F0" w:rsidRDefault="00E675F0" w:rsidP="00E675F0">
      <w:pPr>
        <w:pStyle w:val="BodyText"/>
      </w:pPr>
    </w:p>
    <w:p w:rsidR="00E675F0" w:rsidRDefault="00E675F0" w:rsidP="00E675F0">
      <w:pPr>
        <w:pStyle w:val="BodyText"/>
        <w:spacing w:before="3"/>
        <w:rPr>
          <w:sz w:val="11"/>
        </w:rPr>
      </w:pPr>
      <w:r>
        <w:rPr>
          <w:noProof/>
        </w:rPr>
        <mc:AlternateContent>
          <mc:Choice Requires="wpg">
            <w:drawing>
              <wp:anchor distT="0" distB="0" distL="0" distR="0" simplePos="0" relativeHeight="251872256" behindDoc="1" locked="0" layoutInCell="1" allowOverlap="1" wp14:anchorId="1D55343D" wp14:editId="68C1BC9C">
                <wp:simplePos x="0" y="0"/>
                <wp:positionH relativeFrom="page">
                  <wp:posOffset>458470</wp:posOffset>
                </wp:positionH>
                <wp:positionV relativeFrom="paragraph">
                  <wp:posOffset>124460</wp:posOffset>
                </wp:positionV>
                <wp:extent cx="4765675" cy="2479040"/>
                <wp:effectExtent l="0" t="0" r="22225" b="10160"/>
                <wp:wrapTopAndBottom/>
                <wp:docPr id="1392" name="Group 1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5675" cy="2479040"/>
                          <a:chOff x="722" y="196"/>
                          <a:chExt cx="7505" cy="3904"/>
                        </a:xfrm>
                      </wpg:grpSpPr>
                      <wps:wsp>
                        <wps:cNvPr id="1393" name="Line 1354"/>
                        <wps:cNvCnPr>
                          <a:cxnSpLocks/>
                        </wps:cNvCnPr>
                        <wps:spPr bwMode="auto">
                          <a:xfrm>
                            <a:off x="804" y="4099"/>
                            <a:ext cx="0" cy="0"/>
                          </a:xfrm>
                          <a:prstGeom prst="line">
                            <a:avLst/>
                          </a:prstGeom>
                          <a:noFill/>
                          <a:ln w="3360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4" name="Line 1353"/>
                        <wps:cNvCnPr>
                          <a:cxnSpLocks/>
                        </wps:cNvCnPr>
                        <wps:spPr bwMode="auto">
                          <a:xfrm>
                            <a:off x="8121" y="4042"/>
                            <a:ext cx="0" cy="0"/>
                          </a:xfrm>
                          <a:prstGeom prst="line">
                            <a:avLst/>
                          </a:prstGeom>
                          <a:noFill/>
                          <a:ln w="2443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5" name="Line 1352"/>
                        <wps:cNvCnPr>
                          <a:cxnSpLocks/>
                        </wps:cNvCnPr>
                        <wps:spPr bwMode="auto">
                          <a:xfrm>
                            <a:off x="8208" y="4099"/>
                            <a:ext cx="0" cy="0"/>
                          </a:xfrm>
                          <a:prstGeom prst="line">
                            <a:avLst/>
                          </a:prstGeom>
                          <a:noFill/>
                          <a:ln w="61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6" name="Line 1351"/>
                        <wps:cNvCnPr>
                          <a:cxnSpLocks/>
                        </wps:cNvCnPr>
                        <wps:spPr bwMode="auto">
                          <a:xfrm>
                            <a:off x="722" y="283"/>
                            <a:ext cx="7505" cy="0"/>
                          </a:xfrm>
                          <a:prstGeom prst="line">
                            <a:avLst/>
                          </a:prstGeom>
                          <a:noFill/>
                          <a:ln w="305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7" name="Line 1350"/>
                        <wps:cNvCnPr>
                          <a:cxnSpLocks/>
                        </wps:cNvCnPr>
                        <wps:spPr bwMode="auto">
                          <a:xfrm>
                            <a:off x="722" y="4018"/>
                            <a:ext cx="7505" cy="0"/>
                          </a:xfrm>
                          <a:prstGeom prst="line">
                            <a:avLst/>
                          </a:prstGeom>
                          <a:noFill/>
                          <a:ln w="335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8" name="Text Box 1349"/>
                        <wps:cNvSpPr txBox="1">
                          <a:spLocks/>
                        </wps:cNvSpPr>
                        <wps:spPr bwMode="auto">
                          <a:xfrm>
                            <a:off x="830" y="306"/>
                            <a:ext cx="7272" cy="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5F0" w:rsidRDefault="00E675F0" w:rsidP="003048D3">
                              <w:pPr>
                                <w:numPr>
                                  <w:ilvl w:val="0"/>
                                  <w:numId w:val="41"/>
                                </w:numPr>
                                <w:tabs>
                                  <w:tab w:val="left" w:pos="612"/>
                                </w:tabs>
                                <w:spacing w:line="541" w:lineRule="exact"/>
                                <w:ind w:hanging="381"/>
                                <w:rPr>
                                  <w:rFonts w:ascii="Arial"/>
                                  <w:b/>
                                  <w:sz w:val="24"/>
                                </w:rPr>
                              </w:pPr>
                              <w:r>
                                <w:rPr>
                                  <w:rFonts w:ascii="Arial"/>
                                  <w:b/>
                                  <w:w w:val="105"/>
                                  <w:sz w:val="24"/>
                                </w:rPr>
                                <w:t>Criteria for Substance</w:t>
                              </w:r>
                              <w:r>
                                <w:rPr>
                                  <w:rFonts w:ascii="Arial"/>
                                  <w:b/>
                                  <w:spacing w:val="17"/>
                                  <w:w w:val="105"/>
                                  <w:sz w:val="24"/>
                                </w:rPr>
                                <w:t xml:space="preserve"> </w:t>
                              </w:r>
                              <w:r>
                                <w:rPr>
                                  <w:rFonts w:ascii="Arial"/>
                                  <w:b/>
                                  <w:w w:val="105"/>
                                  <w:sz w:val="24"/>
                                </w:rPr>
                                <w:t>Intoxication</w:t>
                              </w:r>
                            </w:p>
                            <w:p w:rsidR="00E675F0" w:rsidRDefault="00E675F0" w:rsidP="003048D3">
                              <w:pPr>
                                <w:numPr>
                                  <w:ilvl w:val="1"/>
                                  <w:numId w:val="41"/>
                                </w:numPr>
                                <w:tabs>
                                  <w:tab w:val="left" w:pos="930"/>
                                </w:tabs>
                                <w:spacing w:before="156" w:line="244" w:lineRule="auto"/>
                                <w:ind w:right="234" w:hanging="310"/>
                                <w:jc w:val="both"/>
                                <w:rPr>
                                  <w:sz w:val="18"/>
                                </w:rPr>
                              </w:pPr>
                              <w:r>
                                <w:rPr>
                                  <w:w w:val="105"/>
                                  <w:sz w:val="20"/>
                                </w:rPr>
                                <w:t xml:space="preserve">The development of a reversible substance-specific syndrome due to recent ingestion of (or exposure to) a substance. </w:t>
                              </w:r>
                              <w:r>
                                <w:rPr>
                                  <w:rFonts w:ascii="Arial"/>
                                  <w:b/>
                                  <w:w w:val="105"/>
                                  <w:sz w:val="18"/>
                                </w:rPr>
                                <w:t xml:space="preserve">Note: </w:t>
                              </w:r>
                              <w:r>
                                <w:rPr>
                                  <w:w w:val="105"/>
                                  <w:sz w:val="20"/>
                                </w:rPr>
                                <w:t>Different substances may produce similar or identical</w:t>
                              </w:r>
                              <w:r>
                                <w:rPr>
                                  <w:spacing w:val="34"/>
                                  <w:w w:val="105"/>
                                  <w:sz w:val="20"/>
                                </w:rPr>
                                <w:t xml:space="preserve"> </w:t>
                              </w:r>
                              <w:r>
                                <w:rPr>
                                  <w:w w:val="105"/>
                                  <w:sz w:val="20"/>
                                </w:rPr>
                                <w:t>syndromes.</w:t>
                              </w:r>
                            </w:p>
                            <w:p w:rsidR="00E675F0" w:rsidRDefault="00E675F0" w:rsidP="003048D3">
                              <w:pPr>
                                <w:numPr>
                                  <w:ilvl w:val="1"/>
                                  <w:numId w:val="41"/>
                                </w:numPr>
                                <w:tabs>
                                  <w:tab w:val="left" w:pos="938"/>
                                </w:tabs>
                                <w:spacing w:before="190" w:line="252" w:lineRule="auto"/>
                                <w:ind w:left="937" w:right="238" w:hanging="299"/>
                                <w:jc w:val="both"/>
                                <w:rPr>
                                  <w:sz w:val="20"/>
                                </w:rPr>
                              </w:pPr>
                              <w:r>
                                <w:rPr>
                                  <w:w w:val="105"/>
                                  <w:sz w:val="20"/>
                                </w:rPr>
                                <w:t>Clinically significant maladaptive behavioral or psychological changes that are due to the effect of the substance on the central nervous system (e.g., belligerence, mood !ability, cognitive impairment, impaired judg­ ment, impaired social or occupational functioning) and develop during or shortly after use of the</w:t>
                              </w:r>
                              <w:r>
                                <w:rPr>
                                  <w:spacing w:val="41"/>
                                  <w:w w:val="105"/>
                                  <w:sz w:val="20"/>
                                </w:rPr>
                                <w:t xml:space="preserve"> </w:t>
                              </w:r>
                              <w:r>
                                <w:rPr>
                                  <w:w w:val="105"/>
                                  <w:sz w:val="20"/>
                                </w:rPr>
                                <w:t>substance.</w:t>
                              </w:r>
                            </w:p>
                            <w:p w:rsidR="00E675F0" w:rsidRDefault="00E675F0" w:rsidP="003048D3">
                              <w:pPr>
                                <w:numPr>
                                  <w:ilvl w:val="1"/>
                                  <w:numId w:val="41"/>
                                </w:numPr>
                                <w:tabs>
                                  <w:tab w:val="left" w:pos="935"/>
                                </w:tabs>
                                <w:spacing w:before="187" w:line="256" w:lineRule="auto"/>
                                <w:ind w:left="945" w:right="240" w:hanging="313"/>
                                <w:jc w:val="both"/>
                                <w:rPr>
                                  <w:rFonts w:ascii="Arial"/>
                                  <w:sz w:val="18"/>
                                </w:rPr>
                              </w:pPr>
                              <w:r>
                                <w:rPr>
                                  <w:w w:val="105"/>
                                  <w:sz w:val="20"/>
                                </w:rPr>
                                <w:t>The symptoms are not due to a general medical condition and are not better accounted for by another mental</w:t>
                              </w:r>
                              <w:r>
                                <w:rPr>
                                  <w:spacing w:val="31"/>
                                  <w:w w:val="105"/>
                                  <w:sz w:val="20"/>
                                </w:rPr>
                                <w:t xml:space="preserve"> </w:t>
                              </w:r>
                              <w:r>
                                <w:rPr>
                                  <w:w w:val="105"/>
                                  <w:sz w:val="20"/>
                                </w:rPr>
                                <w:t>disorder.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55343D" id="Group 1348" o:spid="_x0000_s1105" style="position:absolute;margin-left:36.1pt;margin-top:9.8pt;width:375.25pt;height:195.2pt;z-index:-251444224;mso-wrap-distance-left:0;mso-wrap-distance-right:0;mso-position-horizontal-relative:page;mso-position-vertical-relative:text" coordorigin="722,196" coordsize="7505,39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">
                <v:line id="Line 1354" o:spid="_x0000_s1106" style="position:absolute;visibility:visible;mso-wrap-style:square" from="804,4099" to="804,40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" strokeweight=".93339mm">
                  <o:lock v:ext="edit" shapetype="f"/>
                </v:line>
                <v:line id="Line 1353" o:spid="_x0000_s1107" style="position:absolute;visibility:visible;mso-wrap-style:square" from="8121,4042" to="8121,40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" strokeweight=".67883mm">
                  <o:lock v:ext="edit" shapetype="f"/>
                </v:line>
                <v:line id="Line 1352" o:spid="_x0000_s1108" style="position:absolute;visibility:visible;mso-wrap-style:square" from="8208,4099" to="8208,40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" strokeweight=".16972mm">
                  <o:lock v:ext="edit" shapetype="f"/>
                </v:line>
                <v:line id="Line 1351" o:spid="_x0000_s1109" style="position:absolute;visibility:visible;mso-wrap-style:square" from="722,283" to="8227,2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" strokeweight=".84786mm">
                  <o:lock v:ext="edit" shapetype="f"/>
                </v:line>
                <v:line id="Line 1350" o:spid="_x0000_s1110" style="position:absolute;visibility:visible;mso-wrap-style:square" from="722,4018" to="8227,40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" strokeweight=".93264mm">
                  <o:lock v:ext="edit" shapetype="f"/>
                </v:line>
                <v:shape id="Text Box 1349" o:spid="_x0000_s1111" type="#_x0000_t202" style="position:absolute;left:830;top:306;width:7272;height:36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" filled="f" stroked="f">
                  <v:path arrowok="t"/>
                  <v:textbox inset="0,0,0,0">
                    <w:txbxContent>
                      <w:p w:rsidR="00E675F0" w:rsidRDefault="00E675F0" w:rsidP="003048D3">
                        <w:pPr>
                          <w:numPr>
                            <w:ilvl w:val="0"/>
                            <w:numId w:val="41"/>
                          </w:numPr>
                          <w:tabs>
                            <w:tab w:val="left" w:pos="612"/>
                          </w:tabs>
                          <w:spacing w:line="541" w:lineRule="exact"/>
                          <w:ind w:hanging="381"/>
                          <w:rPr>
                            <w:rFonts w:ascii="Arial"/>
                            <w:b/>
                            <w:sz w:val="24"/>
                          </w:rPr>
                        </w:pPr>
                        <w:r>
                          <w:rPr>
                            <w:rFonts w:ascii="Arial"/>
                            <w:b/>
                            <w:w w:val="105"/>
                            <w:sz w:val="24"/>
                          </w:rPr>
                          <w:t>Criteria for Substance</w:t>
                        </w:r>
                        <w:r>
                          <w:rPr>
                            <w:rFonts w:ascii="Arial"/>
                            <w:b/>
                            <w:spacing w:val="17"/>
                            <w:w w:val="105"/>
                            <w:sz w:val="24"/>
                          </w:rPr>
                          <w:t xml:space="preserve"> </w:t>
                        </w:r>
                        <w:r>
                          <w:rPr>
                            <w:rFonts w:ascii="Arial"/>
                            <w:b/>
                            <w:w w:val="105"/>
                            <w:sz w:val="24"/>
                          </w:rPr>
                          <w:t>Intoxication</w:t>
                        </w:r>
                      </w:p>
                      <w:p w:rsidR="00E675F0" w:rsidRDefault="00E675F0" w:rsidP="003048D3">
                        <w:pPr>
                          <w:numPr>
                            <w:ilvl w:val="1"/>
                            <w:numId w:val="41"/>
                          </w:numPr>
                          <w:tabs>
                            <w:tab w:val="left" w:pos="930"/>
                          </w:tabs>
                          <w:spacing w:before="156" w:line="244" w:lineRule="auto"/>
                          <w:ind w:right="234" w:hanging="310"/>
                          <w:jc w:val="both"/>
                          <w:rPr>
                            <w:sz w:val="18"/>
                          </w:rPr>
                        </w:pPr>
                        <w:r>
                          <w:rPr>
                            <w:w w:val="105"/>
                            <w:sz w:val="20"/>
                          </w:rPr>
                          <w:t xml:space="preserve">The development of a reversible substance-specific syndrome due to recent ingestion of (or exposure to) a substance. </w:t>
                        </w:r>
                        <w:r>
                          <w:rPr>
                            <w:rFonts w:ascii="Arial"/>
                            <w:b/>
                            <w:w w:val="105"/>
                            <w:sz w:val="18"/>
                          </w:rPr>
                          <w:t xml:space="preserve">Note: </w:t>
                        </w:r>
                        <w:r>
                          <w:rPr>
                            <w:w w:val="105"/>
                            <w:sz w:val="20"/>
                          </w:rPr>
                          <w:t>Different substances may produce similar or identical</w:t>
                        </w:r>
                        <w:r>
                          <w:rPr>
                            <w:spacing w:val="34"/>
                            <w:w w:val="105"/>
                            <w:sz w:val="20"/>
                          </w:rPr>
                          <w:t xml:space="preserve"> </w:t>
                        </w:r>
                        <w:r>
                          <w:rPr>
                            <w:w w:val="105"/>
                            <w:sz w:val="20"/>
                          </w:rPr>
                          <w:t>syndromes.</w:t>
                        </w:r>
                      </w:p>
                      <w:p w:rsidR="00E675F0" w:rsidRDefault="00E675F0" w:rsidP="003048D3">
                        <w:pPr>
                          <w:numPr>
                            <w:ilvl w:val="1"/>
                            <w:numId w:val="41"/>
                          </w:numPr>
                          <w:tabs>
                            <w:tab w:val="left" w:pos="938"/>
                          </w:tabs>
                          <w:spacing w:before="190" w:line="252" w:lineRule="auto"/>
                          <w:ind w:left="937" w:right="238" w:hanging="299"/>
                          <w:jc w:val="both"/>
                          <w:rPr>
                            <w:sz w:val="20"/>
                          </w:rPr>
                        </w:pPr>
                        <w:r>
                          <w:rPr>
                            <w:w w:val="105"/>
                            <w:sz w:val="20"/>
                          </w:rPr>
                          <w:t>Clinically significant maladaptive behavioral or psychological changes that are due to the effect of the substance on the central nervous system (e.g., belligerence, mood !ability, cognitive impairment, impaired judg­ ment, impaired social or occupational functioning) and develop during or shortly after use of the</w:t>
                        </w:r>
                        <w:r>
                          <w:rPr>
                            <w:spacing w:val="41"/>
                            <w:w w:val="105"/>
                            <w:sz w:val="20"/>
                          </w:rPr>
                          <w:t xml:space="preserve"> </w:t>
                        </w:r>
                        <w:r>
                          <w:rPr>
                            <w:w w:val="105"/>
                            <w:sz w:val="20"/>
                          </w:rPr>
                          <w:t>substance.</w:t>
                        </w:r>
                      </w:p>
                      <w:p w:rsidR="00E675F0" w:rsidRDefault="00E675F0" w:rsidP="003048D3">
                        <w:pPr>
                          <w:numPr>
                            <w:ilvl w:val="1"/>
                            <w:numId w:val="41"/>
                          </w:numPr>
                          <w:tabs>
                            <w:tab w:val="left" w:pos="935"/>
                          </w:tabs>
                          <w:spacing w:before="187" w:line="256" w:lineRule="auto"/>
                          <w:ind w:left="945" w:right="240" w:hanging="313"/>
                          <w:jc w:val="both"/>
                          <w:rPr>
                            <w:rFonts w:ascii="Arial"/>
                            <w:sz w:val="18"/>
                          </w:rPr>
                        </w:pPr>
                        <w:r>
                          <w:rPr>
                            <w:w w:val="105"/>
                            <w:sz w:val="20"/>
                          </w:rPr>
                          <w:t>The symptoms are not due to a general medical condition and are not better accounted for by another mental</w:t>
                        </w:r>
                        <w:r>
                          <w:rPr>
                            <w:spacing w:val="31"/>
                            <w:w w:val="105"/>
                            <w:sz w:val="20"/>
                          </w:rPr>
                          <w:t xml:space="preserve"> </w:t>
                        </w:r>
                        <w:r>
                          <w:rPr>
                            <w:w w:val="105"/>
                            <w:sz w:val="20"/>
                          </w:rPr>
                          <w:t>disorder.</w:t>
                        </w:r>
                      </w:p>
                    </w:txbxContent>
                  </v:textbox>
                </v:shape>
                <w10:wrap type="topAndBottom" anchorx="page"/>
              </v:group>
            </w:pict>
          </mc:Fallback>
        </mc:AlternateContent>
      </w:r>
    </w:p>
    <w:p w:rsidR="00E675F0" w:rsidRDefault="00E675F0" w:rsidP="00E675F0">
      <w:pPr>
        <w:pStyle w:val="BodyText"/>
      </w:pPr>
    </w:p>
    <w:p w:rsidR="00E675F0" w:rsidRDefault="00E675F0" w:rsidP="00E675F0">
      <w:pPr>
        <w:pStyle w:val="BodyText"/>
        <w:spacing w:before="10"/>
        <w:rPr>
          <w:sz w:val="22"/>
        </w:rPr>
      </w:pPr>
    </w:p>
    <w:p w:rsidR="00E675F0" w:rsidRDefault="00E675F0" w:rsidP="00E675F0">
      <w:pPr>
        <w:ind w:left="120" w:right="119"/>
        <w:jc w:val="center"/>
        <w:rPr>
          <w:rFonts w:ascii="Arial"/>
          <w:b/>
          <w:sz w:val="26"/>
        </w:rPr>
      </w:pPr>
      <w:r>
        <w:rPr>
          <w:rFonts w:ascii="Arial"/>
          <w:b/>
          <w:sz w:val="26"/>
        </w:rPr>
        <w:t>Substance Withdrawal</w:t>
      </w:r>
    </w:p>
    <w:p w:rsidR="00E675F0" w:rsidRDefault="00E675F0" w:rsidP="00E675F0">
      <w:pPr>
        <w:pStyle w:val="BodyText"/>
        <w:spacing w:before="1"/>
        <w:rPr>
          <w:rFonts w:ascii="Arial"/>
          <w:b/>
          <w:sz w:val="22"/>
        </w:rPr>
      </w:pPr>
    </w:p>
    <w:p w:rsidR="00E675F0" w:rsidRDefault="00E675F0" w:rsidP="00E675F0">
      <w:pPr>
        <w:ind w:left="106"/>
        <w:rPr>
          <w:rFonts w:ascii="TimesNewRomanPS-BoldItalicMT"/>
          <w:b/>
          <w:i/>
          <w:sz w:val="24"/>
        </w:rPr>
      </w:pPr>
      <w:r>
        <w:rPr>
          <w:rFonts w:ascii="TimesNewRomanPS-BoldItalicMT"/>
          <w:b/>
          <w:i/>
          <w:w w:val="115"/>
          <w:sz w:val="24"/>
        </w:rPr>
        <w:t>Diagnostic Features</w:t>
      </w:r>
    </w:p>
    <w:p w:rsidR="00E675F0" w:rsidRDefault="00E675F0" w:rsidP="00E675F0">
      <w:pPr>
        <w:pStyle w:val="BodyText"/>
        <w:spacing w:before="137" w:line="256" w:lineRule="auto"/>
        <w:ind w:left="110" w:right="112" w:firstLine="4"/>
        <w:jc w:val="both"/>
      </w:pPr>
      <w:r>
        <w:rPr>
          <w:w w:val="105"/>
        </w:rPr>
        <w:t>The</w:t>
      </w:r>
      <w:r>
        <w:rPr>
          <w:spacing w:val="-12"/>
          <w:w w:val="105"/>
        </w:rPr>
        <w:t xml:space="preserve"> </w:t>
      </w:r>
      <w:r>
        <w:rPr>
          <w:w w:val="105"/>
        </w:rPr>
        <w:t>essential</w:t>
      </w:r>
      <w:r>
        <w:rPr>
          <w:spacing w:val="-5"/>
          <w:w w:val="105"/>
        </w:rPr>
        <w:t xml:space="preserve"> </w:t>
      </w:r>
      <w:r>
        <w:rPr>
          <w:w w:val="105"/>
        </w:rPr>
        <w:t>feature</w:t>
      </w:r>
      <w:r>
        <w:rPr>
          <w:spacing w:val="-13"/>
          <w:w w:val="105"/>
        </w:rPr>
        <w:t xml:space="preserve"> </w:t>
      </w:r>
      <w:r>
        <w:rPr>
          <w:w w:val="105"/>
        </w:rPr>
        <w:t>of</w:t>
      </w:r>
      <w:r>
        <w:rPr>
          <w:spacing w:val="-11"/>
          <w:w w:val="105"/>
        </w:rPr>
        <w:t xml:space="preserve"> </w:t>
      </w:r>
      <w:r>
        <w:rPr>
          <w:w w:val="105"/>
        </w:rPr>
        <w:t>Substance</w:t>
      </w:r>
      <w:r>
        <w:rPr>
          <w:spacing w:val="-6"/>
          <w:w w:val="105"/>
        </w:rPr>
        <w:t xml:space="preserve"> </w:t>
      </w:r>
      <w:r>
        <w:rPr>
          <w:w w:val="105"/>
        </w:rPr>
        <w:t>Withdrawal</w:t>
      </w:r>
      <w:r>
        <w:rPr>
          <w:spacing w:val="7"/>
          <w:w w:val="105"/>
        </w:rPr>
        <w:t xml:space="preserve"> </w:t>
      </w:r>
      <w:r>
        <w:rPr>
          <w:w w:val="105"/>
        </w:rPr>
        <w:t>is</w:t>
      </w:r>
      <w:r>
        <w:rPr>
          <w:spacing w:val="-10"/>
          <w:w w:val="105"/>
        </w:rPr>
        <w:t xml:space="preserve"> </w:t>
      </w:r>
      <w:r>
        <w:rPr>
          <w:w w:val="105"/>
        </w:rPr>
        <w:t>the</w:t>
      </w:r>
      <w:r>
        <w:rPr>
          <w:spacing w:val="-18"/>
          <w:w w:val="105"/>
        </w:rPr>
        <w:t xml:space="preserve"> </w:t>
      </w:r>
      <w:r>
        <w:rPr>
          <w:w w:val="105"/>
        </w:rPr>
        <w:t>development</w:t>
      </w:r>
      <w:r>
        <w:rPr>
          <w:spacing w:val="9"/>
          <w:w w:val="105"/>
        </w:rPr>
        <w:t xml:space="preserve"> </w:t>
      </w:r>
      <w:r>
        <w:rPr>
          <w:w w:val="105"/>
        </w:rPr>
        <w:t>of</w:t>
      </w:r>
      <w:r>
        <w:rPr>
          <w:spacing w:val="-10"/>
          <w:w w:val="105"/>
        </w:rPr>
        <w:t xml:space="preserve"> </w:t>
      </w:r>
      <w:r>
        <w:rPr>
          <w:w w:val="105"/>
        </w:rPr>
        <w:t>a</w:t>
      </w:r>
      <w:r>
        <w:rPr>
          <w:spacing w:val="-14"/>
          <w:w w:val="105"/>
        </w:rPr>
        <w:t xml:space="preserve"> </w:t>
      </w:r>
      <w:r>
        <w:rPr>
          <w:w w:val="105"/>
        </w:rPr>
        <w:t>substance-specific maladaptive behavioral change, with physiological and cognitive concomitants, that is due to the cessation of, or reduction in, heavy and prolonged substance use (Criterion A). The substance-specific syndrome causes clinically significant distress or impairment</w:t>
      </w:r>
      <w:r>
        <w:rPr>
          <w:spacing w:val="7"/>
          <w:w w:val="105"/>
        </w:rPr>
        <w:t xml:space="preserve"> </w:t>
      </w:r>
      <w:r>
        <w:rPr>
          <w:w w:val="105"/>
        </w:rPr>
        <w:t>in</w:t>
      </w:r>
    </w:p>
    <w:p w:rsidR="00E675F0" w:rsidRDefault="00E675F0" w:rsidP="00E675F0">
      <w:pPr>
        <w:spacing w:line="256" w:lineRule="auto"/>
        <w:jc w:val="both"/>
        <w:sectPr w:rsidR="00E675F0">
          <w:pgSz w:w="8960" w:h="14260"/>
          <w:pgMar w:top="1400" w:right="620" w:bottom="280" w:left="620" w:header="701" w:footer="0" w:gutter="0"/>
          <w:cols w:space="720"/>
        </w:sectPr>
      </w:pPr>
    </w:p>
    <w:p w:rsidR="00E675F0" w:rsidRDefault="00E675F0" w:rsidP="00E675F0">
      <w:pPr>
        <w:pStyle w:val="BodyText"/>
        <w:spacing w:before="123" w:line="254" w:lineRule="auto"/>
        <w:ind w:left="125" w:right="111" w:hanging="3"/>
        <w:jc w:val="both"/>
      </w:pPr>
      <w:r>
        <w:rPr>
          <w:noProof/>
        </w:rPr>
        <w:lastRenderedPageBreak/>
        <mc:AlternateContent>
          <mc:Choice Requires="wps">
            <w:drawing>
              <wp:anchor distT="0" distB="0" distL="114300" distR="114300" simplePos="0" relativeHeight="251715584" behindDoc="0" locked="0" layoutInCell="1" allowOverlap="1" wp14:anchorId="6B6D8C34" wp14:editId="64A8976E">
                <wp:simplePos x="0" y="0"/>
                <wp:positionH relativeFrom="page">
                  <wp:posOffset>520700</wp:posOffset>
                </wp:positionH>
                <wp:positionV relativeFrom="paragraph">
                  <wp:posOffset>4387215</wp:posOffset>
                </wp:positionV>
                <wp:extent cx="0" cy="0"/>
                <wp:effectExtent l="0" t="0" r="0" b="0"/>
                <wp:wrapNone/>
                <wp:docPr id="1391" name="Line 13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305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B745DC" id="Line 1347" o:spid="_x0000_s1026" style="position:absolute;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pt,345.45pt" to="41pt,345.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" strokeweight=".84872mm">
                <o:lock v:ext="edit" shapetype="f"/>
                <w10:wrap anchorx="page"/>
              </v:line>
            </w:pict>
          </mc:Fallback>
        </mc:AlternateContent>
      </w:r>
      <w:r>
        <w:rPr>
          <w:noProof/>
        </w:rPr>
        <mc:AlternateContent>
          <mc:Choice Requires="wps">
            <w:drawing>
              <wp:anchor distT="0" distB="0" distL="114300" distR="114300" simplePos="0" relativeHeight="251795456" behindDoc="1" locked="0" layoutInCell="1" allowOverlap="1" wp14:anchorId="32C65092" wp14:editId="7D0DC34F">
                <wp:simplePos x="0" y="0"/>
                <wp:positionH relativeFrom="page">
                  <wp:posOffset>5171440</wp:posOffset>
                </wp:positionH>
                <wp:positionV relativeFrom="paragraph">
                  <wp:posOffset>4387215</wp:posOffset>
                </wp:positionV>
                <wp:extent cx="0" cy="0"/>
                <wp:effectExtent l="0" t="0" r="0" b="0"/>
                <wp:wrapNone/>
                <wp:docPr id="1390" name="Line 13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336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490D8E" id="Line 1346" o:spid="_x0000_s1026" style="position:absolute;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7.2pt,345.45pt" to="407.2pt,345.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" strokeweight=".93358mm">
                <o:lock v:ext="edit" shapetype="f"/>
                <w10:wrap anchorx="page"/>
              </v:line>
            </w:pict>
          </mc:Fallback>
        </mc:AlternateContent>
      </w:r>
      <w:bookmarkStart w:id="122" w:name="_bookmark103"/>
      <w:bookmarkEnd w:id="122"/>
      <w:r>
        <w:rPr>
          <w:w w:val="105"/>
        </w:rPr>
        <w:t>social,</w:t>
      </w:r>
      <w:r>
        <w:rPr>
          <w:spacing w:val="-7"/>
          <w:w w:val="105"/>
        </w:rPr>
        <w:t xml:space="preserve"> </w:t>
      </w:r>
      <w:r>
        <w:rPr>
          <w:w w:val="105"/>
        </w:rPr>
        <w:t>occupational,</w:t>
      </w:r>
      <w:r>
        <w:rPr>
          <w:spacing w:val="11"/>
          <w:w w:val="105"/>
        </w:rPr>
        <w:t xml:space="preserve"> </w:t>
      </w:r>
      <w:r>
        <w:rPr>
          <w:w w:val="105"/>
        </w:rPr>
        <w:t>or</w:t>
      </w:r>
      <w:r>
        <w:rPr>
          <w:spacing w:val="-17"/>
          <w:w w:val="105"/>
        </w:rPr>
        <w:t xml:space="preserve"> </w:t>
      </w:r>
      <w:r>
        <w:rPr>
          <w:w w:val="105"/>
        </w:rPr>
        <w:t>other</w:t>
      </w:r>
      <w:r>
        <w:rPr>
          <w:spacing w:val="-11"/>
          <w:w w:val="105"/>
        </w:rPr>
        <w:t xml:space="preserve"> </w:t>
      </w:r>
      <w:r>
        <w:rPr>
          <w:w w:val="105"/>
        </w:rPr>
        <w:t>important</w:t>
      </w:r>
      <w:r>
        <w:rPr>
          <w:spacing w:val="1"/>
          <w:w w:val="105"/>
        </w:rPr>
        <w:t xml:space="preserve"> </w:t>
      </w:r>
      <w:r>
        <w:rPr>
          <w:w w:val="105"/>
        </w:rPr>
        <w:t>areas</w:t>
      </w:r>
      <w:r>
        <w:rPr>
          <w:spacing w:val="-13"/>
          <w:w w:val="105"/>
        </w:rPr>
        <w:t xml:space="preserve"> </w:t>
      </w:r>
      <w:r>
        <w:rPr>
          <w:w w:val="105"/>
        </w:rPr>
        <w:t>of</w:t>
      </w:r>
      <w:r>
        <w:rPr>
          <w:spacing w:val="-4"/>
          <w:w w:val="105"/>
        </w:rPr>
        <w:t xml:space="preserve"> </w:t>
      </w:r>
      <w:r>
        <w:rPr>
          <w:w w:val="105"/>
        </w:rPr>
        <w:t>functioning</w:t>
      </w:r>
      <w:r>
        <w:rPr>
          <w:spacing w:val="-5"/>
          <w:w w:val="105"/>
        </w:rPr>
        <w:t xml:space="preserve"> </w:t>
      </w:r>
      <w:r>
        <w:rPr>
          <w:w w:val="105"/>
        </w:rPr>
        <w:t>(Criterion</w:t>
      </w:r>
      <w:r>
        <w:rPr>
          <w:spacing w:val="-5"/>
          <w:w w:val="105"/>
        </w:rPr>
        <w:t xml:space="preserve"> </w:t>
      </w:r>
      <w:r>
        <w:rPr>
          <w:w w:val="105"/>
        </w:rPr>
        <w:t>B).</w:t>
      </w:r>
      <w:r>
        <w:rPr>
          <w:spacing w:val="-20"/>
          <w:w w:val="105"/>
        </w:rPr>
        <w:t xml:space="preserve"> </w:t>
      </w:r>
      <w:r>
        <w:rPr>
          <w:w w:val="105"/>
        </w:rPr>
        <w:t>The</w:t>
      </w:r>
      <w:r>
        <w:rPr>
          <w:spacing w:val="-15"/>
          <w:w w:val="105"/>
        </w:rPr>
        <w:t xml:space="preserve"> </w:t>
      </w:r>
      <w:r>
        <w:rPr>
          <w:w w:val="105"/>
        </w:rPr>
        <w:t>symptoms are not due to a general medical condition and are not better accounted for by another mental disorder (Criterion C). Withdrawal is usually, but not always, associated with Substance Dependence (see p. 178). Most (perhaps all) individuals with Withdrawal have a craving to readminister the substance to reduce the symptoms. The diagnosis of Withdrawal</w:t>
      </w:r>
      <w:r>
        <w:rPr>
          <w:spacing w:val="1"/>
          <w:w w:val="105"/>
        </w:rPr>
        <w:t xml:space="preserve"> </w:t>
      </w:r>
      <w:r>
        <w:rPr>
          <w:w w:val="105"/>
        </w:rPr>
        <w:t>is</w:t>
      </w:r>
      <w:r>
        <w:rPr>
          <w:spacing w:val="-9"/>
          <w:w w:val="105"/>
        </w:rPr>
        <w:t xml:space="preserve"> </w:t>
      </w:r>
      <w:r>
        <w:rPr>
          <w:w w:val="105"/>
        </w:rPr>
        <w:t>recognized</w:t>
      </w:r>
      <w:r>
        <w:rPr>
          <w:spacing w:val="-4"/>
          <w:w w:val="105"/>
        </w:rPr>
        <w:t xml:space="preserve"> </w:t>
      </w:r>
      <w:r>
        <w:rPr>
          <w:w w:val="105"/>
        </w:rPr>
        <w:t>for</w:t>
      </w:r>
      <w:r>
        <w:rPr>
          <w:spacing w:val="-10"/>
          <w:w w:val="105"/>
        </w:rPr>
        <w:t xml:space="preserve"> </w:t>
      </w:r>
      <w:r>
        <w:rPr>
          <w:w w:val="105"/>
        </w:rPr>
        <w:t>the</w:t>
      </w:r>
      <w:r>
        <w:rPr>
          <w:spacing w:val="-19"/>
          <w:w w:val="105"/>
        </w:rPr>
        <w:t xml:space="preserve"> </w:t>
      </w:r>
      <w:r>
        <w:rPr>
          <w:w w:val="105"/>
        </w:rPr>
        <w:t>following</w:t>
      </w:r>
      <w:r>
        <w:rPr>
          <w:spacing w:val="-5"/>
          <w:w w:val="105"/>
        </w:rPr>
        <w:t xml:space="preserve"> </w:t>
      </w:r>
      <w:r>
        <w:rPr>
          <w:w w:val="105"/>
        </w:rPr>
        <w:t>groups</w:t>
      </w:r>
      <w:r>
        <w:rPr>
          <w:spacing w:val="-7"/>
          <w:w w:val="105"/>
        </w:rPr>
        <w:t xml:space="preserve"> </w:t>
      </w:r>
      <w:r>
        <w:rPr>
          <w:w w:val="105"/>
        </w:rPr>
        <w:t>of</w:t>
      </w:r>
      <w:r>
        <w:rPr>
          <w:spacing w:val="-9"/>
          <w:w w:val="105"/>
        </w:rPr>
        <w:t xml:space="preserve"> </w:t>
      </w:r>
      <w:r>
        <w:rPr>
          <w:w w:val="105"/>
        </w:rPr>
        <w:t>substances:</w:t>
      </w:r>
      <w:r>
        <w:rPr>
          <w:spacing w:val="-1"/>
          <w:w w:val="105"/>
        </w:rPr>
        <w:t xml:space="preserve"> </w:t>
      </w:r>
      <w:r>
        <w:rPr>
          <w:w w:val="105"/>
        </w:rPr>
        <w:t>alcohol;</w:t>
      </w:r>
      <w:r>
        <w:rPr>
          <w:spacing w:val="-3"/>
          <w:w w:val="105"/>
        </w:rPr>
        <w:t xml:space="preserve"> </w:t>
      </w:r>
      <w:r>
        <w:rPr>
          <w:w w:val="105"/>
        </w:rPr>
        <w:t>amphetamines and other related substances; cocaine; nicotine; opioids; and sedatives, hypnotics, or anxiolytics. The signs and symptoms of Withdrawal vary according to the substance used, with most symptoms being the opposite of those observed  in Intoxication  with the same substance. The dose and duration of use and other factors such as the presence or</w:t>
      </w:r>
      <w:r>
        <w:rPr>
          <w:spacing w:val="-13"/>
          <w:w w:val="105"/>
        </w:rPr>
        <w:t xml:space="preserve"> </w:t>
      </w:r>
      <w:r>
        <w:rPr>
          <w:w w:val="105"/>
        </w:rPr>
        <w:t>absence</w:t>
      </w:r>
      <w:r>
        <w:rPr>
          <w:spacing w:val="-15"/>
          <w:w w:val="105"/>
        </w:rPr>
        <w:t xml:space="preserve"> </w:t>
      </w:r>
      <w:r>
        <w:rPr>
          <w:w w:val="105"/>
        </w:rPr>
        <w:t>of</w:t>
      </w:r>
      <w:r>
        <w:rPr>
          <w:spacing w:val="-8"/>
          <w:w w:val="105"/>
        </w:rPr>
        <w:t xml:space="preserve"> </w:t>
      </w:r>
      <w:r>
        <w:rPr>
          <w:w w:val="105"/>
        </w:rPr>
        <w:t>additional</w:t>
      </w:r>
      <w:r>
        <w:rPr>
          <w:spacing w:val="1"/>
          <w:w w:val="105"/>
        </w:rPr>
        <w:t xml:space="preserve"> </w:t>
      </w:r>
      <w:r>
        <w:rPr>
          <w:w w:val="105"/>
        </w:rPr>
        <w:t>illnesses</w:t>
      </w:r>
      <w:r>
        <w:rPr>
          <w:spacing w:val="-11"/>
          <w:w w:val="105"/>
        </w:rPr>
        <w:t xml:space="preserve"> </w:t>
      </w:r>
      <w:r>
        <w:rPr>
          <w:w w:val="105"/>
        </w:rPr>
        <w:t>also</w:t>
      </w:r>
      <w:r>
        <w:rPr>
          <w:spacing w:val="-25"/>
          <w:w w:val="105"/>
        </w:rPr>
        <w:t xml:space="preserve"> </w:t>
      </w:r>
      <w:r>
        <w:rPr>
          <w:w w:val="105"/>
        </w:rPr>
        <w:t>affect</w:t>
      </w:r>
      <w:r>
        <w:rPr>
          <w:spacing w:val="-13"/>
          <w:w w:val="105"/>
        </w:rPr>
        <w:t xml:space="preserve"> </w:t>
      </w:r>
      <w:r>
        <w:rPr>
          <w:w w:val="105"/>
        </w:rPr>
        <w:t>withdrawal</w:t>
      </w:r>
      <w:r>
        <w:rPr>
          <w:spacing w:val="-5"/>
          <w:w w:val="105"/>
        </w:rPr>
        <w:t xml:space="preserve"> </w:t>
      </w:r>
      <w:r>
        <w:rPr>
          <w:w w:val="105"/>
        </w:rPr>
        <w:t>symptoms.</w:t>
      </w:r>
      <w:r>
        <w:rPr>
          <w:spacing w:val="-3"/>
          <w:w w:val="105"/>
        </w:rPr>
        <w:t xml:space="preserve"> </w:t>
      </w:r>
      <w:r>
        <w:rPr>
          <w:w w:val="105"/>
        </w:rPr>
        <w:t>Withdrawal</w:t>
      </w:r>
      <w:r>
        <w:rPr>
          <w:spacing w:val="2"/>
          <w:w w:val="105"/>
        </w:rPr>
        <w:t xml:space="preserve"> </w:t>
      </w:r>
      <w:r>
        <w:rPr>
          <w:w w:val="105"/>
        </w:rPr>
        <w:t>develops when doses are reduced or stopped, whereas signs and symptoms of Intoxication improve (gradually in some cases) after dosing</w:t>
      </w:r>
      <w:r>
        <w:rPr>
          <w:spacing w:val="41"/>
          <w:w w:val="105"/>
        </w:rPr>
        <w:t xml:space="preserve"> </w:t>
      </w:r>
      <w:r>
        <w:rPr>
          <w:w w:val="105"/>
        </w:rPr>
        <w:t>stops.</w:t>
      </w:r>
    </w:p>
    <w:p w:rsidR="00E675F0" w:rsidRDefault="00E675F0" w:rsidP="00E675F0">
      <w:pPr>
        <w:pStyle w:val="BodyText"/>
      </w:pPr>
    </w:p>
    <w:p w:rsidR="00E675F0" w:rsidRDefault="00E675F0" w:rsidP="00E675F0">
      <w:pPr>
        <w:pStyle w:val="BodyText"/>
        <w:spacing w:before="4"/>
      </w:pPr>
    </w:p>
    <w:tbl>
      <w:tblPr>
        <w:tblW w:w="0" w:type="auto"/>
        <w:tblInd w:w="236"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7323"/>
      </w:tblGrid>
      <w:tr w:rsidR="00E675F0" w:rsidTr="00A330E1">
        <w:trPr>
          <w:trHeight w:val="2963"/>
        </w:trPr>
        <w:tc>
          <w:tcPr>
            <w:tcW w:w="7323" w:type="dxa"/>
          </w:tcPr>
          <w:p w:rsidR="00E675F0" w:rsidRDefault="00E675F0" w:rsidP="003048D3">
            <w:pPr>
              <w:pStyle w:val="TableParagraph"/>
              <w:numPr>
                <w:ilvl w:val="0"/>
                <w:numId w:val="40"/>
              </w:numPr>
              <w:tabs>
                <w:tab w:val="left" w:pos="628"/>
              </w:tabs>
              <w:spacing w:line="537" w:lineRule="exact"/>
              <w:rPr>
                <w:rFonts w:ascii="Arial" w:hAnsi="Arial"/>
                <w:b/>
                <w:sz w:val="24"/>
              </w:rPr>
            </w:pPr>
            <w:r>
              <w:rPr>
                <w:rFonts w:ascii="Arial" w:hAnsi="Arial"/>
                <w:b/>
                <w:w w:val="105"/>
                <w:sz w:val="24"/>
              </w:rPr>
              <w:t>Criteria for Substance</w:t>
            </w:r>
            <w:r>
              <w:rPr>
                <w:rFonts w:ascii="Arial" w:hAnsi="Arial"/>
                <w:b/>
                <w:spacing w:val="15"/>
                <w:w w:val="105"/>
                <w:sz w:val="24"/>
              </w:rPr>
              <w:t xml:space="preserve"> </w:t>
            </w:r>
            <w:r>
              <w:rPr>
                <w:rFonts w:ascii="Arial" w:hAnsi="Arial"/>
                <w:b/>
                <w:w w:val="105"/>
                <w:sz w:val="24"/>
              </w:rPr>
              <w:t>Withdrawal</w:t>
            </w:r>
          </w:p>
          <w:p w:rsidR="00E675F0" w:rsidRDefault="00E675F0" w:rsidP="003048D3">
            <w:pPr>
              <w:pStyle w:val="TableParagraph"/>
              <w:numPr>
                <w:ilvl w:val="1"/>
                <w:numId w:val="40"/>
              </w:numPr>
              <w:tabs>
                <w:tab w:val="left" w:pos="951"/>
              </w:tabs>
              <w:spacing w:before="154" w:line="252" w:lineRule="auto"/>
              <w:ind w:right="229" w:hanging="303"/>
              <w:jc w:val="both"/>
              <w:rPr>
                <w:sz w:val="20"/>
              </w:rPr>
            </w:pPr>
            <w:r>
              <w:rPr>
                <w:w w:val="105"/>
                <w:sz w:val="20"/>
              </w:rPr>
              <w:t>The development of a substance-specific syndrome due to the cessation of (or reduction in) substance use that has been heavy and</w:t>
            </w:r>
            <w:r>
              <w:rPr>
                <w:spacing w:val="18"/>
                <w:w w:val="105"/>
                <w:sz w:val="20"/>
              </w:rPr>
              <w:t xml:space="preserve"> </w:t>
            </w:r>
            <w:r>
              <w:rPr>
                <w:w w:val="105"/>
                <w:sz w:val="20"/>
              </w:rPr>
              <w:t>prolonged.</w:t>
            </w:r>
          </w:p>
          <w:p w:rsidR="00E675F0" w:rsidRDefault="00E675F0" w:rsidP="003048D3">
            <w:pPr>
              <w:pStyle w:val="TableParagraph"/>
              <w:numPr>
                <w:ilvl w:val="1"/>
                <w:numId w:val="40"/>
              </w:numPr>
              <w:tabs>
                <w:tab w:val="left" w:pos="951"/>
              </w:tabs>
              <w:spacing w:before="185" w:line="259" w:lineRule="auto"/>
              <w:ind w:right="217" w:hanging="300"/>
              <w:jc w:val="both"/>
              <w:rPr>
                <w:sz w:val="20"/>
              </w:rPr>
            </w:pPr>
            <w:r>
              <w:rPr>
                <w:w w:val="105"/>
                <w:sz w:val="20"/>
              </w:rPr>
              <w:t>The substance-specific syndrome causes clinically significant distress or impairment in social, occupational, or other important areas of func­ tioning.</w:t>
            </w:r>
          </w:p>
          <w:p w:rsidR="00E675F0" w:rsidRDefault="00E675F0" w:rsidP="003048D3">
            <w:pPr>
              <w:pStyle w:val="TableParagraph"/>
              <w:numPr>
                <w:ilvl w:val="1"/>
                <w:numId w:val="40"/>
              </w:numPr>
              <w:tabs>
                <w:tab w:val="left" w:pos="951"/>
              </w:tabs>
              <w:spacing w:before="173" w:line="252" w:lineRule="auto"/>
              <w:ind w:left="956" w:right="224" w:hanging="307"/>
              <w:jc w:val="both"/>
              <w:rPr>
                <w:sz w:val="20"/>
              </w:rPr>
            </w:pPr>
            <w:r>
              <w:rPr>
                <w:w w:val="105"/>
                <w:sz w:val="20"/>
              </w:rPr>
              <w:t>The symptoms are not due to a general medical condition and are not better accounted for by another mental</w:t>
            </w:r>
            <w:r>
              <w:rPr>
                <w:spacing w:val="37"/>
                <w:w w:val="105"/>
                <w:sz w:val="20"/>
              </w:rPr>
              <w:t xml:space="preserve"> </w:t>
            </w:r>
            <w:r>
              <w:rPr>
                <w:w w:val="105"/>
                <w:sz w:val="20"/>
              </w:rPr>
              <w:t>disorder.</w:t>
            </w:r>
          </w:p>
        </w:tc>
      </w:tr>
    </w:tbl>
    <w:p w:rsidR="00E675F0" w:rsidRDefault="00E675F0" w:rsidP="00E675F0">
      <w:pPr>
        <w:pStyle w:val="BodyText"/>
      </w:pPr>
    </w:p>
    <w:p w:rsidR="00E675F0" w:rsidRDefault="00E675F0" w:rsidP="00E675F0">
      <w:pPr>
        <w:pStyle w:val="BodyText"/>
        <w:spacing w:before="10"/>
        <w:rPr>
          <w:sz w:val="24"/>
        </w:rPr>
      </w:pPr>
    </w:p>
    <w:p w:rsidR="00E675F0" w:rsidRDefault="00E675F0" w:rsidP="00E675F0">
      <w:pPr>
        <w:spacing w:before="91" w:line="252" w:lineRule="auto"/>
        <w:ind w:left="121" w:hanging="15"/>
        <w:rPr>
          <w:rFonts w:ascii="TimesNewRomanPS-BoldItalicMT"/>
          <w:b/>
          <w:i/>
          <w:sz w:val="23"/>
        </w:rPr>
      </w:pPr>
      <w:r>
        <w:rPr>
          <w:rFonts w:ascii="TimesNewRomanPS-BoldItalicMT"/>
          <w:b/>
          <w:i/>
          <w:w w:val="120"/>
          <w:sz w:val="23"/>
        </w:rPr>
        <w:t>Associated Features of Substance Dependence, Abuse, Intoxication, and Withdrawal</w:t>
      </w:r>
    </w:p>
    <w:p w:rsidR="00E675F0" w:rsidRDefault="00E675F0" w:rsidP="00E675F0">
      <w:pPr>
        <w:pStyle w:val="BodyText"/>
        <w:spacing w:before="6"/>
        <w:rPr>
          <w:rFonts w:ascii="TimesNewRomanPS-BoldItalicMT"/>
          <w:b/>
          <w:i/>
          <w:sz w:val="28"/>
        </w:rPr>
      </w:pPr>
    </w:p>
    <w:p w:rsidR="00E675F0" w:rsidRDefault="00E675F0" w:rsidP="00E675F0">
      <w:pPr>
        <w:pStyle w:val="BodyText"/>
        <w:spacing w:line="252" w:lineRule="auto"/>
        <w:ind w:left="131" w:right="115" w:hanging="5"/>
        <w:jc w:val="both"/>
      </w:pPr>
      <w:r>
        <w:rPr>
          <w:b/>
          <w:w w:val="105"/>
        </w:rPr>
        <w:t xml:space="preserve">Assessment issues. </w:t>
      </w:r>
      <w:r>
        <w:rPr>
          <w:w w:val="105"/>
        </w:rPr>
        <w:t>The diagnosis of Substance Dependence requires obtaining a detailed history from the individual and, whenever possible, from additional sources of information (e.g., medical records; a spouse, relative, or close friend). In addition, physical examination findings and laboratory test results can be</w:t>
      </w:r>
      <w:r>
        <w:rPr>
          <w:spacing w:val="-22"/>
          <w:w w:val="105"/>
        </w:rPr>
        <w:t xml:space="preserve"> </w:t>
      </w:r>
      <w:r>
        <w:rPr>
          <w:w w:val="105"/>
        </w:rPr>
        <w:t>helpful.</w:t>
      </w:r>
    </w:p>
    <w:p w:rsidR="00E675F0" w:rsidRDefault="00E675F0" w:rsidP="00E675F0">
      <w:pPr>
        <w:pStyle w:val="BodyText"/>
        <w:spacing w:before="9"/>
        <w:rPr>
          <w:sz w:val="26"/>
        </w:rPr>
      </w:pPr>
    </w:p>
    <w:p w:rsidR="00E675F0" w:rsidRDefault="00E675F0" w:rsidP="00E675F0">
      <w:pPr>
        <w:pStyle w:val="BodyText"/>
        <w:spacing w:line="256" w:lineRule="auto"/>
        <w:ind w:left="129" w:right="105" w:hanging="1"/>
        <w:jc w:val="both"/>
      </w:pPr>
      <w:r>
        <w:rPr>
          <w:b/>
          <w:w w:val="105"/>
        </w:rPr>
        <w:t xml:space="preserve">Route of administration. </w:t>
      </w:r>
      <w:r>
        <w:rPr>
          <w:w w:val="105"/>
        </w:rPr>
        <w:t>The route of administration of a substance is an important factor in determining its effects (including the time course of developing Intoxication, the probability that its use will produce physiological changes associated with With­ drawal, the likelihood that use will lead to Dependence or Abuse, and whether consumption patterns will be characterized by periodic binges or daily use). Routes of administration that produce more rapid and efficient absorption into the bloodstream (e.g., intravenous, smoking, or "snorting") tend to result in a more intense intoxication and an increased likelihood of an escalating pattern of substance use leading to Dependence. Routes of administration that quickly deliver a large amount of the substance to the brain are also associated with higher levels of substance</w:t>
      </w:r>
      <w:r>
        <w:rPr>
          <w:spacing w:val="9"/>
          <w:w w:val="105"/>
        </w:rPr>
        <w:t xml:space="preserve"> </w:t>
      </w:r>
      <w:r>
        <w:rPr>
          <w:w w:val="105"/>
        </w:rPr>
        <w:t>consumption</w:t>
      </w:r>
    </w:p>
    <w:p w:rsidR="00E675F0" w:rsidRDefault="00E675F0" w:rsidP="00E675F0">
      <w:pPr>
        <w:spacing w:line="256" w:lineRule="auto"/>
        <w:jc w:val="both"/>
        <w:sectPr w:rsidR="00E675F0">
          <w:headerReference w:type="even" r:id="rId167"/>
          <w:headerReference w:type="default" r:id="rId168"/>
          <w:pgSz w:w="8960" w:h="14260"/>
          <w:pgMar w:top="1400" w:right="620" w:bottom="280" w:left="620" w:header="693" w:footer="0" w:gutter="0"/>
          <w:pgNumType w:start="185"/>
          <w:cols w:space="720"/>
        </w:sectPr>
      </w:pPr>
    </w:p>
    <w:p w:rsidR="00E675F0" w:rsidRDefault="00E675F0" w:rsidP="00E675F0">
      <w:pPr>
        <w:pStyle w:val="BodyText"/>
        <w:spacing w:before="126" w:line="254" w:lineRule="auto"/>
        <w:ind w:left="124" w:right="132" w:firstLine="9"/>
        <w:jc w:val="both"/>
      </w:pPr>
      <w:r>
        <w:rPr>
          <w:w w:val="105"/>
        </w:rPr>
        <w:lastRenderedPageBreak/>
        <w:t>and an increased likelihood of toxic effects. For example, a person who uses intravenous amphetamine is more likely to consume large amounts of the substance and  thereby  risk an overdose than the person who only takes amphetamine orally or</w:t>
      </w:r>
      <w:r>
        <w:rPr>
          <w:spacing w:val="6"/>
          <w:w w:val="105"/>
        </w:rPr>
        <w:t xml:space="preserve"> </w:t>
      </w:r>
      <w:r>
        <w:rPr>
          <w:w w:val="105"/>
        </w:rPr>
        <w:t>intranasally.</w:t>
      </w:r>
    </w:p>
    <w:p w:rsidR="00E675F0" w:rsidRDefault="00E675F0" w:rsidP="00E675F0">
      <w:pPr>
        <w:pStyle w:val="BodyText"/>
        <w:spacing w:before="3"/>
        <w:rPr>
          <w:sz w:val="21"/>
        </w:rPr>
      </w:pPr>
    </w:p>
    <w:p w:rsidR="00E675F0" w:rsidRDefault="00E675F0" w:rsidP="00E675F0">
      <w:pPr>
        <w:pStyle w:val="BodyText"/>
        <w:spacing w:line="254" w:lineRule="auto"/>
        <w:ind w:left="128" w:right="119" w:hanging="8"/>
        <w:jc w:val="both"/>
      </w:pPr>
      <w:r>
        <w:rPr>
          <w:b/>
          <w:w w:val="110"/>
        </w:rPr>
        <w:t xml:space="preserve">Speed of onset within a class of substance. </w:t>
      </w:r>
      <w:r>
        <w:rPr>
          <w:w w:val="110"/>
        </w:rPr>
        <w:t>Rapidly acting substances are more likely than slower-acting substances to produce immediate intoxication and lead to Dependence or Abuse. For example, because diazepam and alprazolam both have a more rapid onset than oxazepam, they may consequently be more likely to lead to Substance Dependence or Abuse.</w:t>
      </w:r>
    </w:p>
    <w:p w:rsidR="00E675F0" w:rsidRDefault="00E675F0" w:rsidP="00E675F0">
      <w:pPr>
        <w:pStyle w:val="BodyText"/>
        <w:spacing w:before="5"/>
        <w:rPr>
          <w:sz w:val="21"/>
        </w:rPr>
      </w:pPr>
    </w:p>
    <w:p w:rsidR="00E675F0" w:rsidRDefault="00E675F0" w:rsidP="00E675F0">
      <w:pPr>
        <w:pStyle w:val="BodyText"/>
        <w:spacing w:before="1" w:line="252" w:lineRule="auto"/>
        <w:ind w:left="124" w:right="118" w:firstLine="9"/>
        <w:jc w:val="both"/>
      </w:pPr>
      <w:r>
        <w:rPr>
          <w:b/>
          <w:w w:val="110"/>
        </w:rPr>
        <w:t>Duration of effects.</w:t>
      </w:r>
      <w:r>
        <w:rPr>
          <w:b/>
          <w:spacing w:val="17"/>
          <w:w w:val="110"/>
        </w:rPr>
        <w:t xml:space="preserve"> </w:t>
      </w:r>
      <w:r>
        <w:rPr>
          <w:w w:val="110"/>
        </w:rPr>
        <w:t>The duration of effects associated with a particular substance is also important in determining the time course of Intoxication and whether use of the substance</w:t>
      </w:r>
      <w:r>
        <w:rPr>
          <w:spacing w:val="-2"/>
          <w:w w:val="110"/>
        </w:rPr>
        <w:t xml:space="preserve"> </w:t>
      </w:r>
      <w:r>
        <w:rPr>
          <w:w w:val="110"/>
        </w:rPr>
        <w:t>will</w:t>
      </w:r>
      <w:r>
        <w:rPr>
          <w:spacing w:val="-9"/>
          <w:w w:val="110"/>
        </w:rPr>
        <w:t xml:space="preserve"> </w:t>
      </w:r>
      <w:r>
        <w:rPr>
          <w:w w:val="110"/>
        </w:rPr>
        <w:t>lead</w:t>
      </w:r>
      <w:r>
        <w:rPr>
          <w:spacing w:val="-7"/>
          <w:w w:val="110"/>
        </w:rPr>
        <w:t xml:space="preserve"> </w:t>
      </w:r>
      <w:r>
        <w:rPr>
          <w:w w:val="110"/>
        </w:rPr>
        <w:t>to</w:t>
      </w:r>
      <w:r>
        <w:rPr>
          <w:spacing w:val="-9"/>
          <w:w w:val="110"/>
        </w:rPr>
        <w:t xml:space="preserve"> </w:t>
      </w:r>
      <w:r>
        <w:rPr>
          <w:w w:val="110"/>
        </w:rPr>
        <w:t>Dependence</w:t>
      </w:r>
      <w:r>
        <w:rPr>
          <w:spacing w:val="-2"/>
          <w:w w:val="110"/>
        </w:rPr>
        <w:t xml:space="preserve"> </w:t>
      </w:r>
      <w:r>
        <w:rPr>
          <w:w w:val="110"/>
        </w:rPr>
        <w:t>or</w:t>
      </w:r>
      <w:r>
        <w:rPr>
          <w:spacing w:val="-10"/>
          <w:w w:val="110"/>
        </w:rPr>
        <w:t xml:space="preserve"> </w:t>
      </w:r>
      <w:r>
        <w:rPr>
          <w:w w:val="110"/>
        </w:rPr>
        <w:t>Abuse.</w:t>
      </w:r>
      <w:r>
        <w:rPr>
          <w:spacing w:val="-5"/>
          <w:w w:val="110"/>
        </w:rPr>
        <w:t xml:space="preserve"> </w:t>
      </w:r>
      <w:r>
        <w:rPr>
          <w:w w:val="110"/>
        </w:rPr>
        <w:t>Relatively</w:t>
      </w:r>
      <w:r>
        <w:rPr>
          <w:spacing w:val="-9"/>
          <w:w w:val="110"/>
        </w:rPr>
        <w:t xml:space="preserve"> </w:t>
      </w:r>
      <w:r>
        <w:rPr>
          <w:w w:val="110"/>
        </w:rPr>
        <w:t>short-acting</w:t>
      </w:r>
      <w:r>
        <w:rPr>
          <w:spacing w:val="-8"/>
          <w:w w:val="110"/>
        </w:rPr>
        <w:t xml:space="preserve"> </w:t>
      </w:r>
      <w:r>
        <w:rPr>
          <w:w w:val="110"/>
        </w:rPr>
        <w:t>substances</w:t>
      </w:r>
      <w:r>
        <w:rPr>
          <w:spacing w:val="-2"/>
          <w:w w:val="110"/>
        </w:rPr>
        <w:t xml:space="preserve"> </w:t>
      </w:r>
      <w:r>
        <w:rPr>
          <w:w w:val="110"/>
        </w:rPr>
        <w:t>(e.g., certain</w:t>
      </w:r>
      <w:r>
        <w:rPr>
          <w:spacing w:val="-14"/>
          <w:w w:val="110"/>
        </w:rPr>
        <w:t xml:space="preserve"> </w:t>
      </w:r>
      <w:r>
        <w:rPr>
          <w:w w:val="110"/>
        </w:rPr>
        <w:t>anxiolytics)</w:t>
      </w:r>
      <w:r>
        <w:rPr>
          <w:spacing w:val="-8"/>
          <w:w w:val="110"/>
        </w:rPr>
        <w:t xml:space="preserve"> </w:t>
      </w:r>
      <w:r>
        <w:rPr>
          <w:w w:val="110"/>
        </w:rPr>
        <w:t>tend</w:t>
      </w:r>
      <w:r>
        <w:rPr>
          <w:spacing w:val="-18"/>
          <w:w w:val="110"/>
        </w:rPr>
        <w:t xml:space="preserve"> </w:t>
      </w:r>
      <w:r>
        <w:rPr>
          <w:w w:val="110"/>
        </w:rPr>
        <w:t>to</w:t>
      </w:r>
      <w:r>
        <w:rPr>
          <w:spacing w:val="-16"/>
          <w:w w:val="110"/>
        </w:rPr>
        <w:t xml:space="preserve"> </w:t>
      </w:r>
      <w:r>
        <w:rPr>
          <w:w w:val="110"/>
        </w:rPr>
        <w:t>have</w:t>
      </w:r>
      <w:r>
        <w:rPr>
          <w:spacing w:val="-16"/>
          <w:w w:val="110"/>
        </w:rPr>
        <w:t xml:space="preserve"> </w:t>
      </w:r>
      <w:r>
        <w:rPr>
          <w:w w:val="110"/>
        </w:rPr>
        <w:t>a</w:t>
      </w:r>
      <w:r>
        <w:rPr>
          <w:spacing w:val="-11"/>
          <w:w w:val="110"/>
        </w:rPr>
        <w:t xml:space="preserve"> </w:t>
      </w:r>
      <w:r>
        <w:rPr>
          <w:w w:val="110"/>
        </w:rPr>
        <w:t>higher</w:t>
      </w:r>
      <w:r>
        <w:rPr>
          <w:spacing w:val="-9"/>
          <w:w w:val="110"/>
        </w:rPr>
        <w:t xml:space="preserve"> </w:t>
      </w:r>
      <w:r>
        <w:rPr>
          <w:w w:val="110"/>
        </w:rPr>
        <w:t>potential</w:t>
      </w:r>
      <w:r>
        <w:rPr>
          <w:spacing w:val="-15"/>
          <w:w w:val="110"/>
        </w:rPr>
        <w:t xml:space="preserve"> </w:t>
      </w:r>
      <w:r>
        <w:rPr>
          <w:w w:val="110"/>
        </w:rPr>
        <w:t>for</w:t>
      </w:r>
      <w:r>
        <w:rPr>
          <w:spacing w:val="-16"/>
          <w:w w:val="110"/>
        </w:rPr>
        <w:t xml:space="preserve"> </w:t>
      </w:r>
      <w:r>
        <w:rPr>
          <w:w w:val="110"/>
        </w:rPr>
        <w:t>the</w:t>
      </w:r>
      <w:r>
        <w:rPr>
          <w:spacing w:val="-20"/>
          <w:w w:val="110"/>
        </w:rPr>
        <w:t xml:space="preserve"> </w:t>
      </w:r>
      <w:r>
        <w:rPr>
          <w:w w:val="110"/>
        </w:rPr>
        <w:t>development</w:t>
      </w:r>
      <w:r>
        <w:rPr>
          <w:spacing w:val="-13"/>
          <w:w w:val="110"/>
        </w:rPr>
        <w:t xml:space="preserve"> </w:t>
      </w:r>
      <w:r>
        <w:rPr>
          <w:w w:val="110"/>
        </w:rPr>
        <w:t>of</w:t>
      </w:r>
      <w:r>
        <w:rPr>
          <w:spacing w:val="-9"/>
          <w:w w:val="110"/>
        </w:rPr>
        <w:t xml:space="preserve"> </w:t>
      </w:r>
      <w:r>
        <w:rPr>
          <w:w w:val="110"/>
        </w:rPr>
        <w:t>Dependence or</w:t>
      </w:r>
      <w:r>
        <w:rPr>
          <w:spacing w:val="-24"/>
          <w:w w:val="110"/>
        </w:rPr>
        <w:t xml:space="preserve"> </w:t>
      </w:r>
      <w:r>
        <w:rPr>
          <w:w w:val="110"/>
        </w:rPr>
        <w:t>Abuse</w:t>
      </w:r>
      <w:r>
        <w:rPr>
          <w:spacing w:val="-18"/>
          <w:w w:val="110"/>
        </w:rPr>
        <w:t xml:space="preserve"> </w:t>
      </w:r>
      <w:r>
        <w:rPr>
          <w:w w:val="110"/>
        </w:rPr>
        <w:t>than</w:t>
      </w:r>
      <w:r>
        <w:rPr>
          <w:spacing w:val="-21"/>
          <w:w w:val="110"/>
        </w:rPr>
        <w:t xml:space="preserve"> </w:t>
      </w:r>
      <w:r>
        <w:rPr>
          <w:w w:val="110"/>
        </w:rPr>
        <w:t>substances</w:t>
      </w:r>
      <w:r>
        <w:rPr>
          <w:spacing w:val="-11"/>
          <w:w w:val="110"/>
        </w:rPr>
        <w:t xml:space="preserve"> </w:t>
      </w:r>
      <w:r>
        <w:rPr>
          <w:w w:val="110"/>
        </w:rPr>
        <w:t>with</w:t>
      </w:r>
      <w:r>
        <w:rPr>
          <w:spacing w:val="-24"/>
          <w:w w:val="110"/>
        </w:rPr>
        <w:t xml:space="preserve"> </w:t>
      </w:r>
      <w:r>
        <w:rPr>
          <w:w w:val="110"/>
        </w:rPr>
        <w:t>similar</w:t>
      </w:r>
      <w:r>
        <w:rPr>
          <w:spacing w:val="-23"/>
          <w:w w:val="110"/>
        </w:rPr>
        <w:t xml:space="preserve"> </w:t>
      </w:r>
      <w:r>
        <w:rPr>
          <w:w w:val="110"/>
        </w:rPr>
        <w:t>effects</w:t>
      </w:r>
      <w:r>
        <w:rPr>
          <w:spacing w:val="-19"/>
          <w:w w:val="110"/>
        </w:rPr>
        <w:t xml:space="preserve"> </w:t>
      </w:r>
      <w:r>
        <w:rPr>
          <w:w w:val="110"/>
        </w:rPr>
        <w:t>that</w:t>
      </w:r>
      <w:r>
        <w:rPr>
          <w:spacing w:val="-18"/>
          <w:w w:val="110"/>
        </w:rPr>
        <w:t xml:space="preserve"> </w:t>
      </w:r>
      <w:r>
        <w:rPr>
          <w:w w:val="110"/>
        </w:rPr>
        <w:t>have</w:t>
      </w:r>
      <w:r>
        <w:rPr>
          <w:spacing w:val="-22"/>
          <w:w w:val="110"/>
        </w:rPr>
        <w:t xml:space="preserve"> </w:t>
      </w:r>
      <w:r>
        <w:rPr>
          <w:w w:val="110"/>
        </w:rPr>
        <w:t>a</w:t>
      </w:r>
      <w:r>
        <w:rPr>
          <w:spacing w:val="-22"/>
          <w:w w:val="110"/>
        </w:rPr>
        <w:t xml:space="preserve"> </w:t>
      </w:r>
      <w:r>
        <w:rPr>
          <w:w w:val="110"/>
        </w:rPr>
        <w:t>longer</w:t>
      </w:r>
      <w:r>
        <w:rPr>
          <w:spacing w:val="-21"/>
          <w:w w:val="110"/>
        </w:rPr>
        <w:t xml:space="preserve"> </w:t>
      </w:r>
      <w:r>
        <w:rPr>
          <w:w w:val="110"/>
        </w:rPr>
        <w:t>duration</w:t>
      </w:r>
      <w:r>
        <w:rPr>
          <w:spacing w:val="-13"/>
          <w:w w:val="110"/>
        </w:rPr>
        <w:t xml:space="preserve"> </w:t>
      </w:r>
      <w:r>
        <w:rPr>
          <w:w w:val="110"/>
        </w:rPr>
        <w:t>of</w:t>
      </w:r>
      <w:r>
        <w:rPr>
          <w:spacing w:val="-20"/>
          <w:w w:val="110"/>
        </w:rPr>
        <w:t xml:space="preserve"> </w:t>
      </w:r>
      <w:r>
        <w:rPr>
          <w:w w:val="110"/>
        </w:rPr>
        <w:t>action</w:t>
      </w:r>
      <w:r>
        <w:rPr>
          <w:spacing w:val="-18"/>
          <w:w w:val="110"/>
        </w:rPr>
        <w:t xml:space="preserve"> </w:t>
      </w:r>
      <w:r>
        <w:rPr>
          <w:w w:val="110"/>
        </w:rPr>
        <w:t>(e.g., phenobarbital).</w:t>
      </w:r>
      <w:r>
        <w:rPr>
          <w:spacing w:val="-42"/>
          <w:w w:val="110"/>
        </w:rPr>
        <w:t xml:space="preserve"> </w:t>
      </w:r>
      <w:r>
        <w:rPr>
          <w:w w:val="110"/>
        </w:rPr>
        <w:t>The</w:t>
      </w:r>
      <w:r>
        <w:rPr>
          <w:spacing w:val="-32"/>
          <w:w w:val="110"/>
        </w:rPr>
        <w:t xml:space="preserve"> </w:t>
      </w:r>
      <w:r>
        <w:rPr>
          <w:w w:val="110"/>
        </w:rPr>
        <w:t>half-life</w:t>
      </w:r>
      <w:r>
        <w:rPr>
          <w:spacing w:val="-29"/>
          <w:w w:val="110"/>
        </w:rPr>
        <w:t xml:space="preserve"> </w:t>
      </w:r>
      <w:r>
        <w:rPr>
          <w:w w:val="110"/>
        </w:rPr>
        <w:t>of</w:t>
      </w:r>
      <w:r>
        <w:rPr>
          <w:spacing w:val="-31"/>
          <w:w w:val="110"/>
        </w:rPr>
        <w:t xml:space="preserve"> </w:t>
      </w:r>
      <w:r>
        <w:rPr>
          <w:w w:val="110"/>
        </w:rPr>
        <w:t>the</w:t>
      </w:r>
      <w:r>
        <w:rPr>
          <w:spacing w:val="-20"/>
          <w:w w:val="110"/>
        </w:rPr>
        <w:t xml:space="preserve"> </w:t>
      </w:r>
      <w:r>
        <w:rPr>
          <w:w w:val="110"/>
        </w:rPr>
        <w:t>substance</w:t>
      </w:r>
      <w:r>
        <w:rPr>
          <w:spacing w:val="-26"/>
          <w:w w:val="110"/>
        </w:rPr>
        <w:t xml:space="preserve"> </w:t>
      </w:r>
      <w:r>
        <w:rPr>
          <w:w w:val="110"/>
        </w:rPr>
        <w:t>parallels</w:t>
      </w:r>
      <w:r>
        <w:rPr>
          <w:spacing w:val="-31"/>
          <w:w w:val="110"/>
        </w:rPr>
        <w:t xml:space="preserve"> </w:t>
      </w:r>
      <w:r>
        <w:rPr>
          <w:w w:val="110"/>
        </w:rPr>
        <w:t>aspects</w:t>
      </w:r>
      <w:r>
        <w:rPr>
          <w:spacing w:val="-32"/>
          <w:w w:val="110"/>
        </w:rPr>
        <w:t xml:space="preserve"> </w:t>
      </w:r>
      <w:r>
        <w:rPr>
          <w:w w:val="110"/>
        </w:rPr>
        <w:t>of</w:t>
      </w:r>
      <w:r>
        <w:rPr>
          <w:spacing w:val="-33"/>
          <w:w w:val="110"/>
        </w:rPr>
        <w:t xml:space="preserve"> </w:t>
      </w:r>
      <w:r>
        <w:rPr>
          <w:w w:val="110"/>
        </w:rPr>
        <w:t>Withdrawal:</w:t>
      </w:r>
      <w:r>
        <w:rPr>
          <w:spacing w:val="-27"/>
          <w:w w:val="110"/>
        </w:rPr>
        <w:t xml:space="preserve"> </w:t>
      </w:r>
      <w:r>
        <w:rPr>
          <w:w w:val="110"/>
        </w:rPr>
        <w:t>the</w:t>
      </w:r>
      <w:r>
        <w:rPr>
          <w:spacing w:val="-25"/>
          <w:w w:val="110"/>
        </w:rPr>
        <w:t xml:space="preserve"> </w:t>
      </w:r>
      <w:r>
        <w:rPr>
          <w:w w:val="110"/>
        </w:rPr>
        <w:t>longer the</w:t>
      </w:r>
      <w:r>
        <w:rPr>
          <w:spacing w:val="-30"/>
          <w:w w:val="110"/>
        </w:rPr>
        <w:t xml:space="preserve"> </w:t>
      </w:r>
      <w:r>
        <w:rPr>
          <w:w w:val="110"/>
        </w:rPr>
        <w:t>duration</w:t>
      </w:r>
      <w:r>
        <w:rPr>
          <w:spacing w:val="-21"/>
          <w:w w:val="110"/>
        </w:rPr>
        <w:t xml:space="preserve"> </w:t>
      </w:r>
      <w:r>
        <w:rPr>
          <w:w w:val="110"/>
        </w:rPr>
        <w:t>of</w:t>
      </w:r>
      <w:r>
        <w:rPr>
          <w:spacing w:val="-25"/>
          <w:w w:val="110"/>
        </w:rPr>
        <w:t xml:space="preserve"> </w:t>
      </w:r>
      <w:r>
        <w:rPr>
          <w:w w:val="110"/>
        </w:rPr>
        <w:t>action,</w:t>
      </w:r>
      <w:r>
        <w:rPr>
          <w:spacing w:val="-23"/>
          <w:w w:val="110"/>
        </w:rPr>
        <w:t xml:space="preserve"> </w:t>
      </w:r>
      <w:r>
        <w:rPr>
          <w:w w:val="110"/>
        </w:rPr>
        <w:t>the</w:t>
      </w:r>
      <w:r>
        <w:rPr>
          <w:spacing w:val="-30"/>
          <w:w w:val="110"/>
        </w:rPr>
        <w:t xml:space="preserve"> </w:t>
      </w:r>
      <w:r>
        <w:rPr>
          <w:w w:val="110"/>
        </w:rPr>
        <w:t>longer</w:t>
      </w:r>
      <w:r>
        <w:rPr>
          <w:spacing w:val="-26"/>
          <w:w w:val="110"/>
        </w:rPr>
        <w:t xml:space="preserve"> </w:t>
      </w:r>
      <w:r>
        <w:rPr>
          <w:w w:val="110"/>
        </w:rPr>
        <w:t>the</w:t>
      </w:r>
      <w:r>
        <w:rPr>
          <w:spacing w:val="-23"/>
          <w:w w:val="110"/>
        </w:rPr>
        <w:t xml:space="preserve"> </w:t>
      </w:r>
      <w:r>
        <w:rPr>
          <w:w w:val="110"/>
        </w:rPr>
        <w:t>time</w:t>
      </w:r>
      <w:r>
        <w:rPr>
          <w:spacing w:val="-22"/>
          <w:w w:val="110"/>
        </w:rPr>
        <w:t xml:space="preserve"> </w:t>
      </w:r>
      <w:r>
        <w:rPr>
          <w:w w:val="110"/>
        </w:rPr>
        <w:t>between</w:t>
      </w:r>
      <w:r>
        <w:rPr>
          <w:spacing w:val="-19"/>
          <w:w w:val="110"/>
        </w:rPr>
        <w:t xml:space="preserve"> </w:t>
      </w:r>
      <w:r>
        <w:rPr>
          <w:w w:val="110"/>
        </w:rPr>
        <w:t>cessation</w:t>
      </w:r>
      <w:r>
        <w:rPr>
          <w:spacing w:val="-25"/>
          <w:w w:val="110"/>
        </w:rPr>
        <w:t xml:space="preserve"> </w:t>
      </w:r>
      <w:r>
        <w:rPr>
          <w:w w:val="110"/>
        </w:rPr>
        <w:t>and</w:t>
      </w:r>
      <w:r>
        <w:rPr>
          <w:spacing w:val="-25"/>
          <w:w w:val="110"/>
        </w:rPr>
        <w:t xml:space="preserve"> </w:t>
      </w:r>
      <w:r>
        <w:rPr>
          <w:w w:val="110"/>
        </w:rPr>
        <w:t>the</w:t>
      </w:r>
      <w:r>
        <w:rPr>
          <w:spacing w:val="-30"/>
          <w:w w:val="110"/>
        </w:rPr>
        <w:t xml:space="preserve"> </w:t>
      </w:r>
      <w:r>
        <w:rPr>
          <w:w w:val="110"/>
        </w:rPr>
        <w:t>onset</w:t>
      </w:r>
      <w:r>
        <w:rPr>
          <w:spacing w:val="-28"/>
          <w:w w:val="110"/>
        </w:rPr>
        <w:t xml:space="preserve"> </w:t>
      </w:r>
      <w:r>
        <w:rPr>
          <w:w w:val="110"/>
        </w:rPr>
        <w:t>of</w:t>
      </w:r>
      <w:r>
        <w:rPr>
          <w:spacing w:val="-25"/>
          <w:w w:val="110"/>
        </w:rPr>
        <w:t xml:space="preserve"> </w:t>
      </w:r>
      <w:r>
        <w:rPr>
          <w:w w:val="110"/>
        </w:rPr>
        <w:t>withdrawal symptoms and the longer the Withdrawal is likely to</w:t>
      </w:r>
      <w:r>
        <w:rPr>
          <w:spacing w:val="5"/>
          <w:w w:val="110"/>
        </w:rPr>
        <w:t xml:space="preserve"> </w:t>
      </w:r>
      <w:r>
        <w:rPr>
          <w:w w:val="110"/>
        </w:rPr>
        <w:t>last.</w:t>
      </w:r>
    </w:p>
    <w:p w:rsidR="00E675F0" w:rsidRDefault="00E675F0" w:rsidP="00E675F0">
      <w:pPr>
        <w:pStyle w:val="BodyText"/>
        <w:spacing w:before="7"/>
        <w:rPr>
          <w:sz w:val="22"/>
        </w:rPr>
      </w:pPr>
    </w:p>
    <w:p w:rsidR="00E675F0" w:rsidRDefault="00E675F0" w:rsidP="00E675F0">
      <w:pPr>
        <w:pStyle w:val="BodyText"/>
        <w:spacing w:line="252" w:lineRule="auto"/>
        <w:ind w:left="128" w:right="119" w:hanging="2"/>
        <w:jc w:val="both"/>
      </w:pPr>
      <w:r>
        <w:rPr>
          <w:b/>
          <w:w w:val="105"/>
        </w:rPr>
        <w:t xml:space="preserve">Use of multiple substances. </w:t>
      </w:r>
      <w:r>
        <w:rPr>
          <w:w w:val="105"/>
        </w:rPr>
        <w:t>Substance Dependence, Abuse, Intoxication, and With­ drawal often involve several substances used simultaneously or sequentially. For example, individuals with Cocaine Dependence frequently also use alcohol, anxiolytics, or opioids, often to counteract lingering cocaine-induced anxiety symptoms. Similarly, individuals with Opioid Dependence or Cannabis Dependence usually have  several other Substance-Related Disorders, most often involving alcohol, anxiolytics, amphet­ amine, or cocaine. When criteria for more than one Substance-Related Disorder are met, multiple</w:t>
      </w:r>
      <w:r>
        <w:rPr>
          <w:spacing w:val="-3"/>
          <w:w w:val="105"/>
        </w:rPr>
        <w:t xml:space="preserve"> </w:t>
      </w:r>
      <w:r>
        <w:rPr>
          <w:w w:val="105"/>
        </w:rPr>
        <w:t>diagnoses</w:t>
      </w:r>
      <w:r>
        <w:rPr>
          <w:spacing w:val="-8"/>
          <w:w w:val="105"/>
        </w:rPr>
        <w:t xml:space="preserve"> </w:t>
      </w:r>
      <w:r>
        <w:rPr>
          <w:w w:val="105"/>
        </w:rPr>
        <w:t>should</w:t>
      </w:r>
      <w:r>
        <w:rPr>
          <w:spacing w:val="3"/>
          <w:w w:val="105"/>
        </w:rPr>
        <w:t xml:space="preserve"> </w:t>
      </w:r>
      <w:r>
        <w:rPr>
          <w:w w:val="105"/>
        </w:rPr>
        <w:t>be</w:t>
      </w:r>
      <w:r>
        <w:rPr>
          <w:spacing w:val="-20"/>
          <w:w w:val="105"/>
        </w:rPr>
        <w:t xml:space="preserve"> </w:t>
      </w:r>
      <w:r>
        <w:rPr>
          <w:w w:val="105"/>
        </w:rPr>
        <w:t>given.</w:t>
      </w:r>
      <w:r>
        <w:rPr>
          <w:spacing w:val="-8"/>
          <w:w w:val="105"/>
        </w:rPr>
        <w:t xml:space="preserve"> </w:t>
      </w:r>
      <w:r>
        <w:rPr>
          <w:w w:val="105"/>
        </w:rPr>
        <w:t>The</w:t>
      </w:r>
      <w:r>
        <w:rPr>
          <w:spacing w:val="-12"/>
          <w:w w:val="105"/>
        </w:rPr>
        <w:t xml:space="preserve"> </w:t>
      </w:r>
      <w:r>
        <w:rPr>
          <w:w w:val="105"/>
        </w:rPr>
        <w:t>situations</w:t>
      </w:r>
      <w:r>
        <w:rPr>
          <w:spacing w:val="-10"/>
          <w:w w:val="105"/>
        </w:rPr>
        <w:t xml:space="preserve"> </w:t>
      </w:r>
      <w:r>
        <w:rPr>
          <w:w w:val="105"/>
        </w:rPr>
        <w:t>in</w:t>
      </w:r>
      <w:r>
        <w:rPr>
          <w:spacing w:val="-12"/>
          <w:w w:val="105"/>
        </w:rPr>
        <w:t xml:space="preserve"> </w:t>
      </w:r>
      <w:r>
        <w:rPr>
          <w:w w:val="105"/>
        </w:rPr>
        <w:t>which</w:t>
      </w:r>
      <w:r>
        <w:rPr>
          <w:spacing w:val="-8"/>
          <w:w w:val="105"/>
        </w:rPr>
        <w:t xml:space="preserve"> </w:t>
      </w:r>
      <w:r>
        <w:rPr>
          <w:w w:val="105"/>
        </w:rPr>
        <w:t>a</w:t>
      </w:r>
      <w:r>
        <w:rPr>
          <w:spacing w:val="-13"/>
          <w:w w:val="105"/>
        </w:rPr>
        <w:t xml:space="preserve"> </w:t>
      </w:r>
      <w:r>
        <w:rPr>
          <w:w w:val="105"/>
        </w:rPr>
        <w:t>diagnosis</w:t>
      </w:r>
      <w:r>
        <w:rPr>
          <w:spacing w:val="-4"/>
          <w:w w:val="105"/>
        </w:rPr>
        <w:t xml:space="preserve"> </w:t>
      </w:r>
      <w:r>
        <w:rPr>
          <w:w w:val="105"/>
        </w:rPr>
        <w:t>of</w:t>
      </w:r>
      <w:r>
        <w:rPr>
          <w:spacing w:val="5"/>
          <w:w w:val="105"/>
        </w:rPr>
        <w:t xml:space="preserve"> </w:t>
      </w:r>
      <w:r>
        <w:rPr>
          <w:w w:val="105"/>
        </w:rPr>
        <w:t>Polysubstance Dependence should be given are described on p.</w:t>
      </w:r>
      <w:r>
        <w:rPr>
          <w:spacing w:val="-17"/>
          <w:w w:val="105"/>
        </w:rPr>
        <w:t xml:space="preserve"> </w:t>
      </w:r>
      <w:r>
        <w:rPr>
          <w:w w:val="105"/>
        </w:rPr>
        <w:t>270.</w:t>
      </w:r>
    </w:p>
    <w:p w:rsidR="00E675F0" w:rsidRDefault="00E675F0" w:rsidP="00E675F0">
      <w:pPr>
        <w:pStyle w:val="BodyText"/>
        <w:spacing w:before="7"/>
        <w:rPr>
          <w:sz w:val="21"/>
        </w:rPr>
      </w:pPr>
    </w:p>
    <w:p w:rsidR="00E675F0" w:rsidRDefault="00E675F0" w:rsidP="00E675F0">
      <w:pPr>
        <w:pStyle w:val="BodyText"/>
        <w:spacing w:line="252" w:lineRule="auto"/>
        <w:ind w:left="133" w:right="109" w:hanging="5"/>
        <w:jc w:val="both"/>
      </w:pPr>
      <w:r>
        <w:rPr>
          <w:b/>
          <w:w w:val="105"/>
        </w:rPr>
        <w:t xml:space="preserve">Associated laboratory findings. </w:t>
      </w:r>
      <w:r>
        <w:rPr>
          <w:w w:val="105"/>
        </w:rPr>
        <w:t xml:space="preserve">Laboratory  analyses  of  blood  and  urine  samples can help determine recent use of a substance. Blood levels offer additional information on the amount of substance still present in the body. </w:t>
      </w:r>
      <w:r>
        <w:rPr>
          <w:w w:val="105"/>
          <w:sz w:val="18"/>
        </w:rPr>
        <w:t xml:space="preserve">It </w:t>
      </w:r>
      <w:r>
        <w:rPr>
          <w:w w:val="105"/>
        </w:rPr>
        <w:t>should be noted that a positive blood</w:t>
      </w:r>
      <w:r>
        <w:rPr>
          <w:spacing w:val="-11"/>
          <w:w w:val="105"/>
        </w:rPr>
        <w:t xml:space="preserve"> </w:t>
      </w:r>
      <w:r>
        <w:rPr>
          <w:w w:val="105"/>
        </w:rPr>
        <w:t>or</w:t>
      </w:r>
      <w:r>
        <w:rPr>
          <w:spacing w:val="-3"/>
          <w:w w:val="105"/>
        </w:rPr>
        <w:t xml:space="preserve"> </w:t>
      </w:r>
      <w:r>
        <w:rPr>
          <w:w w:val="105"/>
        </w:rPr>
        <w:t>urine</w:t>
      </w:r>
      <w:r>
        <w:rPr>
          <w:spacing w:val="-8"/>
          <w:w w:val="105"/>
        </w:rPr>
        <w:t xml:space="preserve"> </w:t>
      </w:r>
      <w:r>
        <w:rPr>
          <w:w w:val="105"/>
        </w:rPr>
        <w:t>test</w:t>
      </w:r>
      <w:r>
        <w:rPr>
          <w:spacing w:val="-9"/>
          <w:w w:val="105"/>
        </w:rPr>
        <w:t xml:space="preserve"> </w:t>
      </w:r>
      <w:r>
        <w:rPr>
          <w:w w:val="105"/>
        </w:rPr>
        <w:t>does</w:t>
      </w:r>
      <w:r>
        <w:rPr>
          <w:spacing w:val="-8"/>
          <w:w w:val="105"/>
        </w:rPr>
        <w:t xml:space="preserve"> </w:t>
      </w:r>
      <w:r>
        <w:rPr>
          <w:w w:val="105"/>
        </w:rPr>
        <w:t>not</w:t>
      </w:r>
      <w:r>
        <w:rPr>
          <w:spacing w:val="-2"/>
          <w:w w:val="105"/>
        </w:rPr>
        <w:t xml:space="preserve"> </w:t>
      </w:r>
      <w:r>
        <w:rPr>
          <w:w w:val="105"/>
        </w:rPr>
        <w:t>by</w:t>
      </w:r>
      <w:r>
        <w:rPr>
          <w:spacing w:val="-17"/>
          <w:w w:val="105"/>
        </w:rPr>
        <w:t xml:space="preserve"> </w:t>
      </w:r>
      <w:r>
        <w:rPr>
          <w:w w:val="105"/>
        </w:rPr>
        <w:t>itself</w:t>
      </w:r>
      <w:r>
        <w:rPr>
          <w:spacing w:val="-2"/>
          <w:w w:val="105"/>
        </w:rPr>
        <w:t xml:space="preserve"> </w:t>
      </w:r>
      <w:r>
        <w:rPr>
          <w:w w:val="105"/>
        </w:rPr>
        <w:t>indicate</w:t>
      </w:r>
      <w:r>
        <w:rPr>
          <w:spacing w:val="-8"/>
          <w:w w:val="105"/>
        </w:rPr>
        <w:t xml:space="preserve"> </w:t>
      </w:r>
      <w:r>
        <w:rPr>
          <w:w w:val="105"/>
        </w:rPr>
        <w:t>that</w:t>
      </w:r>
      <w:r>
        <w:rPr>
          <w:spacing w:val="-10"/>
          <w:w w:val="105"/>
        </w:rPr>
        <w:t xml:space="preserve"> </w:t>
      </w:r>
      <w:r>
        <w:rPr>
          <w:w w:val="105"/>
        </w:rPr>
        <w:t>the</w:t>
      </w:r>
      <w:r>
        <w:rPr>
          <w:spacing w:val="2"/>
          <w:w w:val="105"/>
        </w:rPr>
        <w:t xml:space="preserve"> </w:t>
      </w:r>
      <w:r>
        <w:rPr>
          <w:w w:val="105"/>
        </w:rPr>
        <w:t>individual</w:t>
      </w:r>
      <w:r>
        <w:rPr>
          <w:spacing w:val="-8"/>
          <w:w w:val="105"/>
        </w:rPr>
        <w:t xml:space="preserve"> </w:t>
      </w:r>
      <w:r>
        <w:rPr>
          <w:w w:val="105"/>
        </w:rPr>
        <w:t>has</w:t>
      </w:r>
      <w:r>
        <w:rPr>
          <w:spacing w:val="-15"/>
          <w:w w:val="105"/>
        </w:rPr>
        <w:t xml:space="preserve"> </w:t>
      </w:r>
      <w:r>
        <w:rPr>
          <w:w w:val="105"/>
        </w:rPr>
        <w:t>a</w:t>
      </w:r>
      <w:r>
        <w:rPr>
          <w:spacing w:val="-3"/>
          <w:w w:val="105"/>
        </w:rPr>
        <w:t xml:space="preserve"> </w:t>
      </w:r>
      <w:r>
        <w:rPr>
          <w:w w:val="105"/>
        </w:rPr>
        <w:t>pattern</w:t>
      </w:r>
      <w:r>
        <w:rPr>
          <w:spacing w:val="-6"/>
          <w:w w:val="105"/>
        </w:rPr>
        <w:t xml:space="preserve"> </w:t>
      </w:r>
      <w:r>
        <w:rPr>
          <w:w w:val="105"/>
        </w:rPr>
        <w:t>of</w:t>
      </w:r>
      <w:r>
        <w:rPr>
          <w:spacing w:val="-9"/>
          <w:w w:val="105"/>
        </w:rPr>
        <w:t xml:space="preserve"> </w:t>
      </w:r>
      <w:r>
        <w:rPr>
          <w:w w:val="105"/>
        </w:rPr>
        <w:t>substance use that meets criteria for a Substance-Related Disorder and that a negative blood or urine</w:t>
      </w:r>
      <w:r>
        <w:rPr>
          <w:spacing w:val="13"/>
          <w:w w:val="105"/>
        </w:rPr>
        <w:t xml:space="preserve"> </w:t>
      </w:r>
      <w:r>
        <w:rPr>
          <w:w w:val="105"/>
        </w:rPr>
        <w:t>test</w:t>
      </w:r>
      <w:r>
        <w:rPr>
          <w:spacing w:val="9"/>
          <w:w w:val="105"/>
        </w:rPr>
        <w:t xml:space="preserve"> </w:t>
      </w:r>
      <w:r>
        <w:rPr>
          <w:w w:val="105"/>
        </w:rPr>
        <w:t>does</w:t>
      </w:r>
      <w:r>
        <w:rPr>
          <w:spacing w:val="16"/>
          <w:w w:val="105"/>
        </w:rPr>
        <w:t xml:space="preserve"> </w:t>
      </w:r>
      <w:r>
        <w:rPr>
          <w:w w:val="105"/>
        </w:rPr>
        <w:t>not</w:t>
      </w:r>
      <w:r>
        <w:rPr>
          <w:spacing w:val="16"/>
          <w:w w:val="105"/>
        </w:rPr>
        <w:t xml:space="preserve"> </w:t>
      </w:r>
      <w:r>
        <w:rPr>
          <w:w w:val="105"/>
        </w:rPr>
        <w:t>by</w:t>
      </w:r>
      <w:r>
        <w:rPr>
          <w:spacing w:val="6"/>
          <w:w w:val="105"/>
        </w:rPr>
        <w:t xml:space="preserve"> </w:t>
      </w:r>
      <w:r>
        <w:rPr>
          <w:w w:val="105"/>
        </w:rPr>
        <w:t>itself</w:t>
      </w:r>
      <w:r>
        <w:rPr>
          <w:spacing w:val="20"/>
          <w:w w:val="105"/>
        </w:rPr>
        <w:t xml:space="preserve"> </w:t>
      </w:r>
      <w:r>
        <w:rPr>
          <w:w w:val="105"/>
        </w:rPr>
        <w:t>rule</w:t>
      </w:r>
      <w:r>
        <w:rPr>
          <w:spacing w:val="5"/>
          <w:w w:val="105"/>
        </w:rPr>
        <w:t xml:space="preserve"> </w:t>
      </w:r>
      <w:r>
        <w:rPr>
          <w:w w:val="105"/>
        </w:rPr>
        <w:t>out</w:t>
      </w:r>
      <w:r>
        <w:rPr>
          <w:spacing w:val="17"/>
          <w:w w:val="105"/>
        </w:rPr>
        <w:t xml:space="preserve"> </w:t>
      </w:r>
      <w:r>
        <w:rPr>
          <w:w w:val="105"/>
        </w:rPr>
        <w:t>a</w:t>
      </w:r>
      <w:r>
        <w:rPr>
          <w:spacing w:val="8"/>
          <w:w w:val="105"/>
        </w:rPr>
        <w:t xml:space="preserve"> </w:t>
      </w:r>
      <w:r>
        <w:rPr>
          <w:w w:val="105"/>
        </w:rPr>
        <w:t>diagnosis</w:t>
      </w:r>
      <w:r>
        <w:rPr>
          <w:spacing w:val="17"/>
          <w:w w:val="105"/>
        </w:rPr>
        <w:t xml:space="preserve"> </w:t>
      </w:r>
      <w:r>
        <w:rPr>
          <w:w w:val="105"/>
        </w:rPr>
        <w:t>of</w:t>
      </w:r>
      <w:r>
        <w:rPr>
          <w:spacing w:val="11"/>
          <w:w w:val="105"/>
        </w:rPr>
        <w:t xml:space="preserve"> </w:t>
      </w:r>
      <w:r>
        <w:rPr>
          <w:w w:val="105"/>
        </w:rPr>
        <w:t>a</w:t>
      </w:r>
      <w:r>
        <w:rPr>
          <w:spacing w:val="2"/>
          <w:w w:val="105"/>
        </w:rPr>
        <w:t xml:space="preserve"> </w:t>
      </w:r>
      <w:r>
        <w:rPr>
          <w:w w:val="105"/>
        </w:rPr>
        <w:t>Substance-Related</w:t>
      </w:r>
      <w:r>
        <w:rPr>
          <w:spacing w:val="6"/>
          <w:w w:val="105"/>
        </w:rPr>
        <w:t xml:space="preserve"> </w:t>
      </w:r>
      <w:r>
        <w:rPr>
          <w:w w:val="105"/>
        </w:rPr>
        <w:t>Disorder.</w:t>
      </w:r>
    </w:p>
    <w:p w:rsidR="00E675F0" w:rsidRDefault="00E675F0" w:rsidP="00E675F0">
      <w:pPr>
        <w:pStyle w:val="BodyText"/>
        <w:spacing w:before="3" w:line="254" w:lineRule="auto"/>
        <w:ind w:left="130" w:right="109" w:firstLine="370"/>
        <w:jc w:val="both"/>
      </w:pPr>
      <w:r>
        <w:rPr>
          <w:w w:val="105"/>
        </w:rPr>
        <w:t>In the case of Intoxication, blood and urine tests can help to determine the relevant substance(s) involved. Specific confirmation of the suspected substance may require toxicological analysis, because various substances have similar Intoxication syndromes; individuals often take a number of different substances; and because substitution and contamination of street drugs are frequent, those who obtain  substances  illicitly often do not know the specific contents of what they have taken. Toxicological tests may also be helpful in differential diagnosis to determine the role of Substance Intoxication or Withdrawal</w:t>
      </w:r>
      <w:r>
        <w:rPr>
          <w:spacing w:val="-6"/>
          <w:w w:val="105"/>
        </w:rPr>
        <w:t xml:space="preserve"> </w:t>
      </w:r>
      <w:r>
        <w:rPr>
          <w:w w:val="105"/>
        </w:rPr>
        <w:t>in</w:t>
      </w:r>
      <w:r>
        <w:rPr>
          <w:spacing w:val="-12"/>
          <w:w w:val="105"/>
        </w:rPr>
        <w:t xml:space="preserve"> </w:t>
      </w:r>
      <w:r>
        <w:rPr>
          <w:w w:val="105"/>
        </w:rPr>
        <w:t>the</w:t>
      </w:r>
      <w:r>
        <w:rPr>
          <w:spacing w:val="-20"/>
          <w:w w:val="105"/>
        </w:rPr>
        <w:t xml:space="preserve"> </w:t>
      </w:r>
      <w:r>
        <w:rPr>
          <w:w w:val="105"/>
        </w:rPr>
        <w:t>etiology</w:t>
      </w:r>
      <w:r>
        <w:rPr>
          <w:spacing w:val="-8"/>
          <w:w w:val="105"/>
        </w:rPr>
        <w:t xml:space="preserve"> </w:t>
      </w:r>
      <w:r>
        <w:rPr>
          <w:w w:val="105"/>
        </w:rPr>
        <w:t>(or</w:t>
      </w:r>
      <w:r>
        <w:rPr>
          <w:spacing w:val="-16"/>
          <w:w w:val="105"/>
        </w:rPr>
        <w:t xml:space="preserve"> </w:t>
      </w:r>
      <w:r>
        <w:rPr>
          <w:w w:val="105"/>
        </w:rPr>
        <w:t>exacerbation)</w:t>
      </w:r>
      <w:r>
        <w:rPr>
          <w:spacing w:val="-2"/>
          <w:w w:val="105"/>
        </w:rPr>
        <w:t xml:space="preserve"> </w:t>
      </w:r>
      <w:r>
        <w:rPr>
          <w:w w:val="105"/>
        </w:rPr>
        <w:t>of</w:t>
      </w:r>
      <w:r>
        <w:rPr>
          <w:spacing w:val="-11"/>
          <w:w w:val="105"/>
        </w:rPr>
        <w:t xml:space="preserve"> </w:t>
      </w:r>
      <w:r>
        <w:rPr>
          <w:w w:val="105"/>
        </w:rPr>
        <w:t>symptoms</w:t>
      </w:r>
      <w:r>
        <w:rPr>
          <w:spacing w:val="-10"/>
          <w:w w:val="105"/>
        </w:rPr>
        <w:t xml:space="preserve"> </w:t>
      </w:r>
      <w:r>
        <w:rPr>
          <w:w w:val="105"/>
        </w:rPr>
        <w:t>of</w:t>
      </w:r>
      <w:r>
        <w:rPr>
          <w:spacing w:val="-13"/>
          <w:w w:val="105"/>
        </w:rPr>
        <w:t xml:space="preserve"> </w:t>
      </w:r>
      <w:r>
        <w:rPr>
          <w:w w:val="105"/>
        </w:rPr>
        <w:t>a</w:t>
      </w:r>
      <w:r>
        <w:rPr>
          <w:spacing w:val="-11"/>
          <w:w w:val="105"/>
        </w:rPr>
        <w:t xml:space="preserve"> </w:t>
      </w:r>
      <w:r>
        <w:rPr>
          <w:w w:val="105"/>
        </w:rPr>
        <w:t>variety</w:t>
      </w:r>
      <w:r>
        <w:rPr>
          <w:spacing w:val="-7"/>
          <w:w w:val="105"/>
        </w:rPr>
        <w:t xml:space="preserve"> </w:t>
      </w:r>
      <w:r>
        <w:rPr>
          <w:w w:val="105"/>
        </w:rPr>
        <w:t>of</w:t>
      </w:r>
      <w:r>
        <w:rPr>
          <w:spacing w:val="-8"/>
          <w:w w:val="105"/>
        </w:rPr>
        <w:t xml:space="preserve"> </w:t>
      </w:r>
      <w:r>
        <w:rPr>
          <w:w w:val="105"/>
        </w:rPr>
        <w:t>mental</w:t>
      </w:r>
      <w:r>
        <w:rPr>
          <w:spacing w:val="-10"/>
          <w:w w:val="105"/>
        </w:rPr>
        <w:t xml:space="preserve"> </w:t>
      </w:r>
      <w:r>
        <w:rPr>
          <w:w w:val="105"/>
        </w:rPr>
        <w:t>disorders (e.g., Mood Disorders, Psychotic Disorders). Furthermore, serial blood levels help to differentiate Intoxication from</w:t>
      </w:r>
      <w:r>
        <w:rPr>
          <w:spacing w:val="-14"/>
          <w:w w:val="105"/>
        </w:rPr>
        <w:t xml:space="preserve"> </w:t>
      </w:r>
      <w:r>
        <w:rPr>
          <w:w w:val="105"/>
        </w:rPr>
        <w:t>Withdrawal.</w:t>
      </w:r>
    </w:p>
    <w:p w:rsidR="00E675F0" w:rsidRDefault="00E675F0" w:rsidP="00E675F0">
      <w:pPr>
        <w:pStyle w:val="BodyText"/>
        <w:spacing w:before="9" w:line="252" w:lineRule="auto"/>
        <w:ind w:left="133" w:right="115" w:firstLine="361"/>
        <w:jc w:val="both"/>
      </w:pPr>
      <w:r>
        <w:rPr>
          <w:w w:val="105"/>
        </w:rPr>
        <w:t>The blood level of a substance may be a useful clue in determining whether the person has a high tolerance to a given group of substances (e.g., a person  presenting with a blood alcohol level of over 150 mg/di without signs of Alcohol Intoxication  has  a significant tolerance to alcohol and is likely to be a chronic user of either alcohol</w:t>
      </w:r>
      <w:r>
        <w:rPr>
          <w:spacing w:val="48"/>
          <w:w w:val="105"/>
        </w:rPr>
        <w:t xml:space="preserve"> </w:t>
      </w:r>
      <w:r>
        <w:rPr>
          <w:w w:val="105"/>
        </w:rPr>
        <w:t>or</w:t>
      </w:r>
    </w:p>
    <w:p w:rsidR="00E675F0" w:rsidRDefault="00E675F0" w:rsidP="00E675F0">
      <w:pPr>
        <w:spacing w:line="252" w:lineRule="auto"/>
        <w:jc w:val="both"/>
        <w:sectPr w:rsidR="00E675F0">
          <w:pgSz w:w="8960" w:h="14260"/>
          <w:pgMar w:top="1400" w:right="620" w:bottom="280" w:left="600" w:header="691" w:footer="0" w:gutter="0"/>
          <w:cols w:space="720"/>
        </w:sectPr>
      </w:pPr>
    </w:p>
    <w:p w:rsidR="00E675F0" w:rsidRDefault="00E675F0" w:rsidP="00E675F0">
      <w:pPr>
        <w:pStyle w:val="BodyText"/>
        <w:spacing w:before="128" w:line="254" w:lineRule="auto"/>
        <w:ind w:left="130" w:right="119"/>
        <w:jc w:val="both"/>
      </w:pPr>
      <w:r>
        <w:rPr>
          <w:w w:val="105"/>
        </w:rPr>
        <w:lastRenderedPageBreak/>
        <w:t>a sedative, hypnotic, or an:xiolytic). Another method for assessing tolerance is to determine the individual's response to an agonist or antagonist medication. For example, a person who does not exhibit  any signs of  intoxication  from a dose of  pentobarbital of 200 mg or higher has a significant tolerance to sedatives, hypnotics,  or anxiolytics and may need treatment to prevent the development of Withdrawal. Similarly, in cases in which opioid tolerance or Dependence cannot be clearly confirmed by history,  the use of an antagonist (e.g., naloxone) to demonstrate whether withdrawal symptoms are induced may be</w:t>
      </w:r>
      <w:r>
        <w:rPr>
          <w:spacing w:val="1"/>
          <w:w w:val="105"/>
        </w:rPr>
        <w:t xml:space="preserve"> </w:t>
      </w:r>
      <w:r>
        <w:rPr>
          <w:w w:val="105"/>
        </w:rPr>
        <w:t>informative.</w:t>
      </w:r>
    </w:p>
    <w:p w:rsidR="00E675F0" w:rsidRDefault="00E675F0" w:rsidP="00E675F0">
      <w:pPr>
        <w:pStyle w:val="BodyText"/>
        <w:spacing w:line="254" w:lineRule="auto"/>
        <w:ind w:left="131" w:right="125" w:firstLine="368"/>
        <w:jc w:val="both"/>
      </w:pPr>
      <w:r>
        <w:rPr>
          <w:w w:val="105"/>
        </w:rPr>
        <w:t>Laboratory tests can be useful in identifying Withdrawal in individuals with Substance Dependence. Evidence for cessation or reduction of dosing may be obtained by history or by toxicological analysis of body fluids (e.g., urine or blood). Although most</w:t>
      </w:r>
      <w:r>
        <w:rPr>
          <w:spacing w:val="-13"/>
          <w:w w:val="105"/>
        </w:rPr>
        <w:t xml:space="preserve"> </w:t>
      </w:r>
      <w:r>
        <w:rPr>
          <w:w w:val="105"/>
        </w:rPr>
        <w:t>substances</w:t>
      </w:r>
      <w:r>
        <w:rPr>
          <w:spacing w:val="-6"/>
          <w:w w:val="105"/>
        </w:rPr>
        <w:t xml:space="preserve"> </w:t>
      </w:r>
      <w:r>
        <w:rPr>
          <w:w w:val="105"/>
        </w:rPr>
        <w:t>and</w:t>
      </w:r>
      <w:r>
        <w:rPr>
          <w:spacing w:val="-9"/>
          <w:w w:val="105"/>
        </w:rPr>
        <w:t xml:space="preserve"> </w:t>
      </w:r>
      <w:r>
        <w:rPr>
          <w:w w:val="105"/>
        </w:rPr>
        <w:t>their</w:t>
      </w:r>
      <w:r>
        <w:rPr>
          <w:spacing w:val="-6"/>
          <w:w w:val="105"/>
        </w:rPr>
        <w:t xml:space="preserve"> </w:t>
      </w:r>
      <w:r>
        <w:rPr>
          <w:w w:val="105"/>
        </w:rPr>
        <w:t>metabolites</w:t>
      </w:r>
      <w:r>
        <w:rPr>
          <w:spacing w:val="-1"/>
          <w:w w:val="105"/>
        </w:rPr>
        <w:t xml:space="preserve"> </w:t>
      </w:r>
      <w:r>
        <w:rPr>
          <w:w w:val="105"/>
        </w:rPr>
        <w:t>clear</w:t>
      </w:r>
      <w:r>
        <w:rPr>
          <w:spacing w:val="-9"/>
          <w:w w:val="105"/>
        </w:rPr>
        <w:t xml:space="preserve"> </w:t>
      </w:r>
      <w:r>
        <w:rPr>
          <w:w w:val="105"/>
        </w:rPr>
        <w:t>the</w:t>
      </w:r>
      <w:r>
        <w:rPr>
          <w:spacing w:val="-12"/>
          <w:w w:val="105"/>
        </w:rPr>
        <w:t xml:space="preserve"> </w:t>
      </w:r>
      <w:r>
        <w:rPr>
          <w:w w:val="105"/>
        </w:rPr>
        <w:t>urine</w:t>
      </w:r>
      <w:r>
        <w:rPr>
          <w:spacing w:val="-14"/>
          <w:w w:val="105"/>
        </w:rPr>
        <w:t xml:space="preserve"> </w:t>
      </w:r>
      <w:r>
        <w:rPr>
          <w:w w:val="105"/>
        </w:rPr>
        <w:t>within</w:t>
      </w:r>
      <w:r>
        <w:rPr>
          <w:spacing w:val="-5"/>
          <w:w w:val="105"/>
        </w:rPr>
        <w:t xml:space="preserve"> </w:t>
      </w:r>
      <w:r>
        <w:rPr>
          <w:w w:val="105"/>
        </w:rPr>
        <w:t>48</w:t>
      </w:r>
      <w:r>
        <w:rPr>
          <w:spacing w:val="-24"/>
          <w:w w:val="105"/>
        </w:rPr>
        <w:t xml:space="preserve"> </w:t>
      </w:r>
      <w:r>
        <w:rPr>
          <w:w w:val="105"/>
        </w:rPr>
        <w:t>hours</w:t>
      </w:r>
      <w:r>
        <w:rPr>
          <w:spacing w:val="-11"/>
          <w:w w:val="105"/>
        </w:rPr>
        <w:t xml:space="preserve"> </w:t>
      </w:r>
      <w:r>
        <w:rPr>
          <w:w w:val="105"/>
        </w:rPr>
        <w:t>of</w:t>
      </w:r>
      <w:r>
        <w:rPr>
          <w:spacing w:val="-5"/>
          <w:w w:val="105"/>
        </w:rPr>
        <w:t xml:space="preserve"> </w:t>
      </w:r>
      <w:r>
        <w:rPr>
          <w:w w:val="105"/>
        </w:rPr>
        <w:t>ingestion,</w:t>
      </w:r>
      <w:r>
        <w:rPr>
          <w:spacing w:val="1"/>
          <w:w w:val="105"/>
        </w:rPr>
        <w:t xml:space="preserve"> </w:t>
      </w:r>
      <w:r>
        <w:rPr>
          <w:w w:val="105"/>
        </w:rPr>
        <w:t>certain metabolites may be present for a longer period in those who use the substance chronically. If the person presents with Withdrawal from an unknown substance, urine tests may help identify the substance from which the person is withdrawing  and  make  it possible to initiate appropriate treatment. Urine tests may also be helpful in differentiating Withdrawal from other mental disorders, because withdrawal symptoms can mimic the symptoms of mental disorders unrelated to use of a</w:t>
      </w:r>
      <w:r>
        <w:rPr>
          <w:spacing w:val="19"/>
          <w:w w:val="105"/>
        </w:rPr>
        <w:t xml:space="preserve"> </w:t>
      </w:r>
      <w:r>
        <w:rPr>
          <w:w w:val="105"/>
        </w:rPr>
        <w:t>substance.</w:t>
      </w:r>
    </w:p>
    <w:p w:rsidR="00E675F0" w:rsidRDefault="00E675F0" w:rsidP="00E675F0">
      <w:pPr>
        <w:pStyle w:val="BodyText"/>
        <w:rPr>
          <w:sz w:val="21"/>
        </w:rPr>
      </w:pPr>
    </w:p>
    <w:p w:rsidR="00E675F0" w:rsidRDefault="00E675F0" w:rsidP="00E675F0">
      <w:pPr>
        <w:pStyle w:val="BodyText"/>
        <w:spacing w:line="254" w:lineRule="auto"/>
        <w:ind w:left="130" w:right="126"/>
        <w:jc w:val="both"/>
      </w:pPr>
      <w:r>
        <w:rPr>
          <w:b/>
          <w:w w:val="105"/>
          <w:sz w:val="21"/>
        </w:rPr>
        <w:t xml:space="preserve">Associated physical  examination  findings  and  general  medical  conditions. </w:t>
      </w:r>
      <w:r>
        <w:rPr>
          <w:w w:val="105"/>
        </w:rPr>
        <w:t>As presented in the sections specific to the 11 classes of substance, intoxication and withdrawal states are likely to include physical signs and symptoms that are often the first clue to a substance-related state. In general, intoxication with amphetamines or cocaine is accompanied by increases in blood pressure, respiratory rate, pulse, and body temperature.</w:t>
      </w:r>
      <w:r>
        <w:rPr>
          <w:spacing w:val="2"/>
          <w:w w:val="105"/>
        </w:rPr>
        <w:t xml:space="preserve"> </w:t>
      </w:r>
      <w:r>
        <w:rPr>
          <w:w w:val="105"/>
        </w:rPr>
        <w:t>Intoxication</w:t>
      </w:r>
      <w:r>
        <w:rPr>
          <w:spacing w:val="1"/>
          <w:w w:val="105"/>
        </w:rPr>
        <w:t xml:space="preserve"> </w:t>
      </w:r>
      <w:r>
        <w:rPr>
          <w:w w:val="105"/>
        </w:rPr>
        <w:t>with</w:t>
      </w:r>
      <w:r>
        <w:rPr>
          <w:spacing w:val="-14"/>
          <w:w w:val="105"/>
        </w:rPr>
        <w:t xml:space="preserve"> </w:t>
      </w:r>
      <w:r>
        <w:rPr>
          <w:w w:val="105"/>
        </w:rPr>
        <w:t>sedative,</w:t>
      </w:r>
      <w:r>
        <w:rPr>
          <w:spacing w:val="-4"/>
          <w:w w:val="105"/>
        </w:rPr>
        <w:t xml:space="preserve"> </w:t>
      </w:r>
      <w:r>
        <w:rPr>
          <w:w w:val="105"/>
        </w:rPr>
        <w:t>hypnotic,</w:t>
      </w:r>
      <w:r>
        <w:rPr>
          <w:spacing w:val="-2"/>
          <w:w w:val="105"/>
        </w:rPr>
        <w:t xml:space="preserve"> </w:t>
      </w:r>
      <w:r>
        <w:rPr>
          <w:w w:val="105"/>
        </w:rPr>
        <w:t>or</w:t>
      </w:r>
      <w:r>
        <w:rPr>
          <w:spacing w:val="-17"/>
          <w:w w:val="105"/>
        </w:rPr>
        <w:t xml:space="preserve"> </w:t>
      </w:r>
      <w:r>
        <w:rPr>
          <w:w w:val="105"/>
        </w:rPr>
        <w:t>anxiolytic</w:t>
      </w:r>
      <w:r>
        <w:rPr>
          <w:spacing w:val="-7"/>
          <w:w w:val="105"/>
        </w:rPr>
        <w:t xml:space="preserve"> </w:t>
      </w:r>
      <w:r>
        <w:rPr>
          <w:w w:val="105"/>
        </w:rPr>
        <w:t>substances</w:t>
      </w:r>
      <w:r>
        <w:rPr>
          <w:spacing w:val="-6"/>
          <w:w w:val="105"/>
        </w:rPr>
        <w:t xml:space="preserve"> </w:t>
      </w:r>
      <w:r>
        <w:rPr>
          <w:w w:val="105"/>
        </w:rPr>
        <w:t>or</w:t>
      </w:r>
      <w:r>
        <w:rPr>
          <w:spacing w:val="-16"/>
          <w:w w:val="105"/>
        </w:rPr>
        <w:t xml:space="preserve"> </w:t>
      </w:r>
      <w:r>
        <w:rPr>
          <w:w w:val="105"/>
        </w:rPr>
        <w:t>with</w:t>
      </w:r>
      <w:r>
        <w:rPr>
          <w:spacing w:val="-16"/>
          <w:w w:val="105"/>
        </w:rPr>
        <w:t xml:space="preserve"> </w:t>
      </w:r>
      <w:r>
        <w:rPr>
          <w:w w:val="105"/>
        </w:rPr>
        <w:t>opioid medication often involves the opposite pattern. Substance Dependence and Abuse are often associated with general medical conditions often related to the toxic effects of the substances on particular organ systems (e.g., cirrhosis in Alcohol Dependence) or the routes of administration (e.g., human immunodeficiency virus [HIV] infection from shared</w:t>
      </w:r>
      <w:r>
        <w:rPr>
          <w:spacing w:val="15"/>
          <w:w w:val="105"/>
        </w:rPr>
        <w:t xml:space="preserve"> </w:t>
      </w:r>
      <w:r>
        <w:rPr>
          <w:w w:val="105"/>
        </w:rPr>
        <w:t>needles).</w:t>
      </w:r>
    </w:p>
    <w:p w:rsidR="00E675F0" w:rsidRDefault="00E675F0" w:rsidP="00E675F0">
      <w:pPr>
        <w:pStyle w:val="BodyText"/>
        <w:spacing w:before="3"/>
      </w:pPr>
    </w:p>
    <w:p w:rsidR="00E675F0" w:rsidRDefault="00E675F0" w:rsidP="00E675F0">
      <w:pPr>
        <w:pStyle w:val="BodyText"/>
        <w:spacing w:before="1" w:line="249" w:lineRule="auto"/>
        <w:ind w:left="129" w:right="128" w:firstLine="1"/>
        <w:jc w:val="both"/>
      </w:pPr>
      <w:r>
        <w:rPr>
          <w:b/>
          <w:w w:val="105"/>
          <w:sz w:val="21"/>
        </w:rPr>
        <w:t xml:space="preserve">Associated mental disorders. </w:t>
      </w:r>
      <w:r>
        <w:rPr>
          <w:w w:val="105"/>
        </w:rPr>
        <w:t>Substance use is often a component of the presenta­ tion of symptoms of mental disorders. When the symptoms are judged to be a direct physiological consequence of a substance, a Substance-Induced Disorder is diagnosed (see p. 192). Substance-Related Disorders are also commonly comorbid with, and complicate the course and treatment of, many mental disorders (e.g., Conduct Disorder in adolescents; Antisocial and Borderline Personality Disorders, Schizophrenia, Mood Disorders).</w:t>
      </w:r>
    </w:p>
    <w:p w:rsidR="00E675F0" w:rsidRDefault="00E675F0" w:rsidP="00E675F0">
      <w:pPr>
        <w:pStyle w:val="BodyText"/>
        <w:rPr>
          <w:sz w:val="22"/>
        </w:rPr>
      </w:pPr>
    </w:p>
    <w:p w:rsidR="00E675F0" w:rsidRDefault="00E675F0" w:rsidP="00E675F0">
      <w:pPr>
        <w:spacing w:before="133" w:line="254" w:lineRule="auto"/>
        <w:ind w:left="122" w:right="1443" w:hanging="6"/>
        <w:rPr>
          <w:rFonts w:ascii="TimesNewRomanPS-BoldItalicMT"/>
          <w:b/>
          <w:i/>
          <w:sz w:val="24"/>
        </w:rPr>
      </w:pPr>
      <w:r>
        <w:rPr>
          <w:rFonts w:ascii="TimesNewRomanPS-BoldItalicMT"/>
          <w:b/>
          <w:i/>
          <w:w w:val="115"/>
          <w:sz w:val="24"/>
        </w:rPr>
        <w:t>Recording Procedures for Dependence, Abuse, Intoxication, and Withdrawal</w:t>
      </w:r>
    </w:p>
    <w:p w:rsidR="00E675F0" w:rsidRDefault="00E675F0" w:rsidP="00E675F0">
      <w:pPr>
        <w:pStyle w:val="BodyText"/>
        <w:spacing w:before="6"/>
        <w:rPr>
          <w:rFonts w:ascii="TimesNewRomanPS-BoldItalicMT"/>
          <w:b/>
          <w:i/>
        </w:rPr>
      </w:pPr>
    </w:p>
    <w:p w:rsidR="00E675F0" w:rsidRDefault="00E675F0" w:rsidP="00E675F0">
      <w:pPr>
        <w:pStyle w:val="BodyText"/>
        <w:spacing w:line="254" w:lineRule="auto"/>
        <w:ind w:left="127" w:right="125" w:firstLine="4"/>
        <w:jc w:val="both"/>
      </w:pPr>
      <w:r>
        <w:rPr>
          <w:b/>
          <w:w w:val="105"/>
          <w:sz w:val="21"/>
        </w:rPr>
        <w:t xml:space="preserve">For drugs of abuse. </w:t>
      </w:r>
      <w:r>
        <w:rPr>
          <w:w w:val="105"/>
        </w:rPr>
        <w:t>The clinician should use the code that applies to the class of substances, but record the name of the specific substance rather than the name of the class. For example, the clinician should record 292.0 Secobarbital Withdrawal (rather than Sedative, Hypnotic, or Anxiolytic Withdrawal) or 305.70 Methamphetamine Abuse (rather than Amphetamine Abuse). For substances that do not fit into any of the classes (e.g., amyl nitrite), the appropriate code for "Other Substance Dependence," "Other</w:t>
      </w:r>
    </w:p>
    <w:p w:rsidR="00E675F0" w:rsidRDefault="00E675F0" w:rsidP="00E675F0">
      <w:pPr>
        <w:spacing w:line="254" w:lineRule="auto"/>
        <w:jc w:val="both"/>
        <w:sectPr w:rsidR="00E675F0">
          <w:headerReference w:type="even" r:id="rId169"/>
          <w:headerReference w:type="default" r:id="rId170"/>
          <w:pgSz w:w="8960" w:h="14260"/>
          <w:pgMar w:top="1400" w:right="620" w:bottom="280" w:left="600" w:header="689" w:footer="0" w:gutter="0"/>
          <w:cols w:space="720"/>
        </w:sectPr>
      </w:pPr>
    </w:p>
    <w:p w:rsidR="00E675F0" w:rsidRDefault="00E675F0" w:rsidP="00E675F0">
      <w:pPr>
        <w:pStyle w:val="BodyText"/>
        <w:spacing w:before="126" w:line="254" w:lineRule="auto"/>
        <w:ind w:left="107" w:right="115" w:firstLine="5"/>
        <w:jc w:val="both"/>
      </w:pPr>
      <w:r>
        <w:rPr>
          <w:w w:val="105"/>
        </w:rPr>
        <w:lastRenderedPageBreak/>
        <w:t xml:space="preserve">Substance Abuse," "Other Substance Intoxication," or "Other Substance Withdrawal" should be used and the specific substance  indicated (e.g., 305.90 Amyl  Nitrite Abuse). </w:t>
      </w:r>
      <w:r>
        <w:rPr>
          <w:rFonts w:ascii="Arial"/>
          <w:w w:val="105"/>
          <w:sz w:val="19"/>
        </w:rPr>
        <w:t xml:space="preserve">If </w:t>
      </w:r>
      <w:r>
        <w:rPr>
          <w:w w:val="105"/>
        </w:rPr>
        <w:t>the substance taken by the individual is unknown, the code for the class "Other (or Unknown)" should be used (e.g., 292.89 Unknown Substance Intoxication). For a particular substance, if criteria are met for more than one Substance-Related Disorder,  all should be diagnosed (e.g., 292.0 Heroin Withdrawal; 304.10 Heroin Dependence). If there are symptoms or problems associated with a particular substance but criteria are not</w:t>
      </w:r>
      <w:r>
        <w:rPr>
          <w:spacing w:val="-6"/>
          <w:w w:val="105"/>
        </w:rPr>
        <w:t xml:space="preserve"> </w:t>
      </w:r>
      <w:r>
        <w:rPr>
          <w:w w:val="105"/>
        </w:rPr>
        <w:t>met</w:t>
      </w:r>
      <w:r>
        <w:rPr>
          <w:spacing w:val="-12"/>
          <w:w w:val="105"/>
        </w:rPr>
        <w:t xml:space="preserve"> </w:t>
      </w:r>
      <w:r>
        <w:rPr>
          <w:w w:val="105"/>
        </w:rPr>
        <w:t>for</w:t>
      </w:r>
      <w:r>
        <w:rPr>
          <w:spacing w:val="-11"/>
          <w:w w:val="105"/>
        </w:rPr>
        <w:t xml:space="preserve"> </w:t>
      </w:r>
      <w:r>
        <w:rPr>
          <w:w w:val="105"/>
        </w:rPr>
        <w:t>any</w:t>
      </w:r>
      <w:r>
        <w:rPr>
          <w:spacing w:val="-9"/>
          <w:w w:val="105"/>
        </w:rPr>
        <w:t xml:space="preserve"> </w:t>
      </w:r>
      <w:r>
        <w:rPr>
          <w:w w:val="105"/>
        </w:rPr>
        <w:t>of</w:t>
      </w:r>
      <w:r>
        <w:rPr>
          <w:spacing w:val="4"/>
          <w:w w:val="105"/>
        </w:rPr>
        <w:t xml:space="preserve"> </w:t>
      </w:r>
      <w:r>
        <w:rPr>
          <w:w w:val="105"/>
        </w:rPr>
        <w:t>the</w:t>
      </w:r>
      <w:r>
        <w:rPr>
          <w:spacing w:val="-18"/>
          <w:w w:val="105"/>
        </w:rPr>
        <w:t xml:space="preserve"> </w:t>
      </w:r>
      <w:r>
        <w:rPr>
          <w:w w:val="105"/>
        </w:rPr>
        <w:t>substance-specific</w:t>
      </w:r>
      <w:r>
        <w:rPr>
          <w:spacing w:val="-24"/>
          <w:w w:val="105"/>
        </w:rPr>
        <w:t xml:space="preserve"> </w:t>
      </w:r>
      <w:r>
        <w:rPr>
          <w:w w:val="105"/>
        </w:rPr>
        <w:t>disorders,</w:t>
      </w:r>
      <w:r>
        <w:rPr>
          <w:spacing w:val="4"/>
          <w:w w:val="105"/>
        </w:rPr>
        <w:t xml:space="preserve"> </w:t>
      </w:r>
      <w:r>
        <w:rPr>
          <w:w w:val="105"/>
        </w:rPr>
        <w:t>the</w:t>
      </w:r>
      <w:r>
        <w:rPr>
          <w:spacing w:val="-4"/>
          <w:w w:val="105"/>
        </w:rPr>
        <w:t xml:space="preserve"> </w:t>
      </w:r>
      <w:r>
        <w:rPr>
          <w:w w:val="105"/>
        </w:rPr>
        <w:t>Not</w:t>
      </w:r>
      <w:r>
        <w:rPr>
          <w:spacing w:val="-10"/>
          <w:w w:val="105"/>
        </w:rPr>
        <w:t xml:space="preserve"> </w:t>
      </w:r>
      <w:r>
        <w:rPr>
          <w:w w:val="105"/>
        </w:rPr>
        <w:t>Otherwise</w:t>
      </w:r>
      <w:r>
        <w:rPr>
          <w:spacing w:val="-2"/>
          <w:w w:val="105"/>
        </w:rPr>
        <w:t xml:space="preserve"> </w:t>
      </w:r>
      <w:r>
        <w:rPr>
          <w:w w:val="105"/>
        </w:rPr>
        <w:t>Specified</w:t>
      </w:r>
      <w:r>
        <w:rPr>
          <w:spacing w:val="-5"/>
          <w:w w:val="105"/>
        </w:rPr>
        <w:t xml:space="preserve"> </w:t>
      </w:r>
      <w:r>
        <w:rPr>
          <w:w w:val="105"/>
        </w:rPr>
        <w:t xml:space="preserve">category can be used (e.g., 292.9 Cannabis-Related Disorder Not Otherwise Specified). </w:t>
      </w:r>
      <w:r>
        <w:rPr>
          <w:rFonts w:ascii="Arial"/>
          <w:w w:val="105"/>
          <w:sz w:val="19"/>
        </w:rPr>
        <w:t xml:space="preserve">If </w:t>
      </w:r>
      <w:r>
        <w:rPr>
          <w:w w:val="105"/>
        </w:rPr>
        <w:t>multiple substances are used, all relevant Substance-Related Disorders should  be  diagnosed (e.g., 292.89 Mescaline Intoxication; 304.20 Cocaine Dependence). The situations in which a diagnosis of 304.80 Polysubstance Dependence should be given are described on p. 270.</w:t>
      </w:r>
    </w:p>
    <w:p w:rsidR="00E675F0" w:rsidRDefault="00E675F0" w:rsidP="00E675F0">
      <w:pPr>
        <w:pStyle w:val="BodyText"/>
        <w:spacing w:before="10"/>
        <w:rPr>
          <w:sz w:val="24"/>
        </w:rPr>
      </w:pPr>
    </w:p>
    <w:p w:rsidR="00E675F0" w:rsidRDefault="00E675F0" w:rsidP="00E675F0">
      <w:pPr>
        <w:pStyle w:val="BodyText"/>
        <w:spacing w:before="1" w:line="256" w:lineRule="auto"/>
        <w:ind w:left="118" w:right="109" w:firstLine="2"/>
        <w:jc w:val="both"/>
      </w:pPr>
      <w:r>
        <w:rPr>
          <w:b/>
          <w:w w:val="105"/>
        </w:rPr>
        <w:t xml:space="preserve">For medications and toxins. </w:t>
      </w:r>
      <w:r>
        <w:rPr>
          <w:w w:val="105"/>
        </w:rPr>
        <w:t>For medications not covered above (as well  as  for toxins), the code for "Other Substance" should be used. The specific medication can coded by also listing the appropriate E-code on Axis I (see Appendix G) (e.g., 292.89 Benztropine Intoxication; E941.1 Benztropine). E-codes should also be used for classes of substances listed above when they are taken as prescribed medications (e.g.,</w:t>
      </w:r>
      <w:r>
        <w:rPr>
          <w:spacing w:val="1"/>
          <w:w w:val="105"/>
        </w:rPr>
        <w:t xml:space="preserve"> </w:t>
      </w:r>
      <w:r>
        <w:rPr>
          <w:w w:val="105"/>
        </w:rPr>
        <w:t>opioids).</w:t>
      </w:r>
    </w:p>
    <w:p w:rsidR="00E675F0" w:rsidRDefault="00E675F0" w:rsidP="00E675F0">
      <w:pPr>
        <w:pStyle w:val="BodyText"/>
        <w:rPr>
          <w:sz w:val="22"/>
        </w:rPr>
      </w:pPr>
    </w:p>
    <w:p w:rsidR="00E675F0" w:rsidRDefault="00E675F0" w:rsidP="00E675F0">
      <w:pPr>
        <w:spacing w:before="156"/>
        <w:ind w:left="111"/>
        <w:rPr>
          <w:rFonts w:ascii="TimesNewRomanPS-BoldItalicMT"/>
          <w:b/>
          <w:i/>
          <w:sz w:val="24"/>
        </w:rPr>
      </w:pPr>
      <w:r>
        <w:rPr>
          <w:rFonts w:ascii="TimesNewRomanPS-BoldItalicMT"/>
          <w:b/>
          <w:i/>
          <w:w w:val="110"/>
          <w:sz w:val="24"/>
        </w:rPr>
        <w:t>Specific Culture, Age, and Gender Features</w:t>
      </w:r>
    </w:p>
    <w:p w:rsidR="00E675F0" w:rsidRDefault="00E675F0" w:rsidP="00E675F0">
      <w:pPr>
        <w:pStyle w:val="BodyText"/>
        <w:spacing w:before="146" w:line="252" w:lineRule="auto"/>
        <w:ind w:left="118" w:right="109" w:firstLine="1"/>
        <w:jc w:val="both"/>
      </w:pPr>
      <w:r>
        <w:rPr>
          <w:w w:val="105"/>
        </w:rPr>
        <w:t>There are wide cultural variations in attitudes toward substance consumption,  patterns of substance use, accessibility of substances, physiological reactions to substances, and prevalence of Substance-Related Disorders. Some groups forbid use of alcohol, whereas in others the use of various substances for mood-altering effects is widely accepted. The evaluation of any individual's pattern of substance use must take these factors into account. Patterns of medication use and toxin exposure also vary widely within and between</w:t>
      </w:r>
      <w:r>
        <w:rPr>
          <w:spacing w:val="14"/>
          <w:w w:val="105"/>
        </w:rPr>
        <w:t xml:space="preserve"> </w:t>
      </w:r>
      <w:r>
        <w:rPr>
          <w:w w:val="105"/>
        </w:rPr>
        <w:t>countries.</w:t>
      </w:r>
    </w:p>
    <w:p w:rsidR="00E675F0" w:rsidRDefault="00E675F0" w:rsidP="00E675F0">
      <w:pPr>
        <w:pStyle w:val="BodyText"/>
        <w:spacing w:before="2" w:line="254" w:lineRule="auto"/>
        <w:ind w:left="122" w:right="105" w:firstLine="362"/>
        <w:jc w:val="both"/>
      </w:pPr>
      <w:r>
        <w:rPr>
          <w:w w:val="105"/>
        </w:rPr>
        <w:t>Individuals between ages 18 and 24 years have relatively high prevalence rates for the use of virtually every substance, including alcohol. For drugs of abuse, Intoxication is usually the initial Substance-Related Disorder and usually begins in the teens. Withdrawal can occur at any age as long as the relevant drug has been taken in high-enough doses over a long-enough period of time. Dependence  can also occur at any age, but typically has its initial onset for most drugs of abuse in the 20s, 30s, and 40s. When a Substance-Related Disorder other than Intoxication begins in early adolescence, it is often associated with Conduct Disorder and failure to complete school. For drugs of abuse, Substance-Related Disorders are usually diagnosed more commonly in</w:t>
      </w:r>
      <w:r>
        <w:rPr>
          <w:spacing w:val="8"/>
          <w:w w:val="105"/>
        </w:rPr>
        <w:t xml:space="preserve"> </w:t>
      </w:r>
      <w:r>
        <w:rPr>
          <w:w w:val="105"/>
        </w:rPr>
        <w:t>males</w:t>
      </w:r>
      <w:r>
        <w:rPr>
          <w:spacing w:val="10"/>
          <w:w w:val="105"/>
        </w:rPr>
        <w:t xml:space="preserve"> </w:t>
      </w:r>
      <w:r>
        <w:rPr>
          <w:w w:val="105"/>
        </w:rPr>
        <w:t>than</w:t>
      </w:r>
      <w:r>
        <w:rPr>
          <w:spacing w:val="14"/>
          <w:w w:val="105"/>
        </w:rPr>
        <w:t xml:space="preserve"> </w:t>
      </w:r>
      <w:r>
        <w:rPr>
          <w:w w:val="105"/>
        </w:rPr>
        <w:t>in</w:t>
      </w:r>
      <w:r>
        <w:rPr>
          <w:spacing w:val="4"/>
          <w:w w:val="105"/>
        </w:rPr>
        <w:t xml:space="preserve"> </w:t>
      </w:r>
      <w:r>
        <w:rPr>
          <w:w w:val="105"/>
        </w:rPr>
        <w:t>females,</w:t>
      </w:r>
      <w:r>
        <w:rPr>
          <w:spacing w:val="19"/>
          <w:w w:val="105"/>
        </w:rPr>
        <w:t xml:space="preserve"> </w:t>
      </w:r>
      <w:r>
        <w:rPr>
          <w:w w:val="105"/>
        </w:rPr>
        <w:t>but</w:t>
      </w:r>
      <w:r>
        <w:rPr>
          <w:spacing w:val="15"/>
          <w:w w:val="105"/>
        </w:rPr>
        <w:t xml:space="preserve"> </w:t>
      </w:r>
      <w:r>
        <w:rPr>
          <w:w w:val="105"/>
        </w:rPr>
        <w:t>the</w:t>
      </w:r>
      <w:r>
        <w:rPr>
          <w:spacing w:val="8"/>
          <w:w w:val="105"/>
        </w:rPr>
        <w:t xml:space="preserve"> </w:t>
      </w:r>
      <w:r>
        <w:rPr>
          <w:w w:val="105"/>
        </w:rPr>
        <w:t>sex</w:t>
      </w:r>
      <w:r>
        <w:rPr>
          <w:spacing w:val="10"/>
          <w:w w:val="105"/>
        </w:rPr>
        <w:t xml:space="preserve"> </w:t>
      </w:r>
      <w:r>
        <w:rPr>
          <w:w w:val="105"/>
        </w:rPr>
        <w:t>ratios</w:t>
      </w:r>
      <w:r>
        <w:rPr>
          <w:spacing w:val="4"/>
          <w:w w:val="105"/>
        </w:rPr>
        <w:t xml:space="preserve"> </w:t>
      </w:r>
      <w:r>
        <w:rPr>
          <w:w w:val="105"/>
        </w:rPr>
        <w:t>vary</w:t>
      </w:r>
      <w:r>
        <w:rPr>
          <w:spacing w:val="8"/>
          <w:w w:val="105"/>
        </w:rPr>
        <w:t xml:space="preserve"> </w:t>
      </w:r>
      <w:r>
        <w:rPr>
          <w:w w:val="105"/>
        </w:rPr>
        <w:t>with</w:t>
      </w:r>
      <w:r>
        <w:rPr>
          <w:spacing w:val="15"/>
          <w:w w:val="105"/>
        </w:rPr>
        <w:t xml:space="preserve"> </w:t>
      </w:r>
      <w:r>
        <w:rPr>
          <w:w w:val="105"/>
        </w:rPr>
        <w:t>class</w:t>
      </w:r>
      <w:r>
        <w:rPr>
          <w:spacing w:val="8"/>
          <w:w w:val="105"/>
        </w:rPr>
        <w:t xml:space="preserve"> </w:t>
      </w:r>
      <w:r>
        <w:rPr>
          <w:w w:val="105"/>
        </w:rPr>
        <w:t>of</w:t>
      </w:r>
      <w:r>
        <w:rPr>
          <w:spacing w:val="15"/>
          <w:w w:val="105"/>
        </w:rPr>
        <w:t xml:space="preserve"> </w:t>
      </w:r>
      <w:r>
        <w:rPr>
          <w:w w:val="105"/>
        </w:rPr>
        <w:t>substance.</w:t>
      </w:r>
    </w:p>
    <w:p w:rsidR="00E675F0" w:rsidRDefault="00E675F0" w:rsidP="00E675F0">
      <w:pPr>
        <w:pStyle w:val="BodyText"/>
        <w:rPr>
          <w:sz w:val="22"/>
        </w:rPr>
      </w:pPr>
    </w:p>
    <w:p w:rsidR="00E675F0" w:rsidRDefault="00E675F0" w:rsidP="00E675F0">
      <w:pPr>
        <w:spacing w:before="156"/>
        <w:ind w:left="104"/>
        <w:rPr>
          <w:rFonts w:ascii="TimesNewRomanPS-BoldItalicMT"/>
          <w:b/>
          <w:i/>
          <w:sz w:val="24"/>
        </w:rPr>
      </w:pPr>
      <w:r>
        <w:rPr>
          <w:rFonts w:ascii="TimesNewRomanPS-BoldItalicMT"/>
          <w:b/>
          <w:i/>
          <w:w w:val="115"/>
          <w:sz w:val="24"/>
        </w:rPr>
        <w:t>Course</w:t>
      </w:r>
    </w:p>
    <w:p w:rsidR="00E675F0" w:rsidRDefault="00E675F0" w:rsidP="00E675F0">
      <w:pPr>
        <w:pStyle w:val="BodyText"/>
        <w:spacing w:before="146" w:line="254" w:lineRule="auto"/>
        <w:ind w:left="123" w:right="110" w:hanging="5"/>
        <w:jc w:val="both"/>
      </w:pPr>
      <w:r>
        <w:rPr>
          <w:w w:val="105"/>
        </w:rPr>
        <w:t>The course of Dependence, Abuse, Intoxication,  and Withdrawal  varies with the class of substance, route of administration, and other factors. The "Course" sections for the various classes of substances indicate the specific features characteristic of each. However, some generalizations across substances can be</w:t>
      </w:r>
      <w:r>
        <w:rPr>
          <w:spacing w:val="-8"/>
          <w:w w:val="105"/>
        </w:rPr>
        <w:t xml:space="preserve"> </w:t>
      </w:r>
      <w:r>
        <w:rPr>
          <w:w w:val="105"/>
        </w:rPr>
        <w:t>made.</w:t>
      </w:r>
    </w:p>
    <w:p w:rsidR="00E675F0" w:rsidRDefault="00E675F0" w:rsidP="00E675F0">
      <w:pPr>
        <w:pStyle w:val="BodyText"/>
        <w:spacing w:before="5" w:line="252" w:lineRule="auto"/>
        <w:ind w:left="123" w:right="116" w:firstLine="362"/>
        <w:jc w:val="both"/>
      </w:pPr>
      <w:r>
        <w:rPr>
          <w:w w:val="105"/>
        </w:rPr>
        <w:t>Intoxication</w:t>
      </w:r>
      <w:r>
        <w:rPr>
          <w:spacing w:val="9"/>
          <w:w w:val="105"/>
        </w:rPr>
        <w:t xml:space="preserve"> </w:t>
      </w:r>
      <w:r>
        <w:rPr>
          <w:w w:val="105"/>
        </w:rPr>
        <w:t>usually</w:t>
      </w:r>
      <w:r>
        <w:rPr>
          <w:spacing w:val="-9"/>
          <w:w w:val="105"/>
        </w:rPr>
        <w:t xml:space="preserve"> </w:t>
      </w:r>
      <w:r>
        <w:rPr>
          <w:w w:val="105"/>
        </w:rPr>
        <w:t>develops</w:t>
      </w:r>
      <w:r>
        <w:rPr>
          <w:spacing w:val="-2"/>
          <w:w w:val="105"/>
        </w:rPr>
        <w:t xml:space="preserve"> </w:t>
      </w:r>
      <w:r>
        <w:rPr>
          <w:w w:val="105"/>
        </w:rPr>
        <w:t>within</w:t>
      </w:r>
      <w:r>
        <w:rPr>
          <w:spacing w:val="-3"/>
          <w:w w:val="105"/>
        </w:rPr>
        <w:t xml:space="preserve"> </w:t>
      </w:r>
      <w:r>
        <w:rPr>
          <w:w w:val="105"/>
        </w:rPr>
        <w:t>minutes</w:t>
      </w:r>
      <w:r>
        <w:rPr>
          <w:spacing w:val="-1"/>
          <w:w w:val="105"/>
        </w:rPr>
        <w:t xml:space="preserve"> </w:t>
      </w:r>
      <w:r>
        <w:rPr>
          <w:w w:val="105"/>
        </w:rPr>
        <w:t>to</w:t>
      </w:r>
      <w:r>
        <w:rPr>
          <w:spacing w:val="-8"/>
          <w:w w:val="105"/>
        </w:rPr>
        <w:t xml:space="preserve"> </w:t>
      </w:r>
      <w:r>
        <w:rPr>
          <w:w w:val="105"/>
        </w:rPr>
        <w:t>hours</w:t>
      </w:r>
      <w:r>
        <w:rPr>
          <w:spacing w:val="-9"/>
          <w:w w:val="105"/>
        </w:rPr>
        <w:t xml:space="preserve"> </w:t>
      </w:r>
      <w:r>
        <w:rPr>
          <w:w w:val="105"/>
        </w:rPr>
        <w:t>after</w:t>
      </w:r>
      <w:r>
        <w:rPr>
          <w:spacing w:val="-10"/>
          <w:w w:val="105"/>
        </w:rPr>
        <w:t xml:space="preserve"> </w:t>
      </w:r>
      <w:r>
        <w:rPr>
          <w:w w:val="105"/>
        </w:rPr>
        <w:t>a</w:t>
      </w:r>
      <w:r>
        <w:rPr>
          <w:spacing w:val="-11"/>
          <w:w w:val="105"/>
        </w:rPr>
        <w:t xml:space="preserve"> </w:t>
      </w:r>
      <w:r>
        <w:rPr>
          <w:w w:val="105"/>
        </w:rPr>
        <w:t>sufficiently</w:t>
      </w:r>
      <w:r>
        <w:rPr>
          <w:spacing w:val="-3"/>
          <w:w w:val="105"/>
        </w:rPr>
        <w:t xml:space="preserve"> </w:t>
      </w:r>
      <w:r>
        <w:rPr>
          <w:w w:val="105"/>
        </w:rPr>
        <w:t>large</w:t>
      </w:r>
      <w:r>
        <w:rPr>
          <w:spacing w:val="-11"/>
          <w:w w:val="105"/>
        </w:rPr>
        <w:t xml:space="preserve"> </w:t>
      </w:r>
      <w:r>
        <w:rPr>
          <w:w w:val="105"/>
        </w:rPr>
        <w:t>single dose and continues or intensifies with frequently repeated doses.</w:t>
      </w:r>
      <w:r>
        <w:rPr>
          <w:spacing w:val="39"/>
          <w:w w:val="105"/>
        </w:rPr>
        <w:t xml:space="preserve"> </w:t>
      </w:r>
      <w:r>
        <w:rPr>
          <w:w w:val="105"/>
        </w:rPr>
        <w:t>Intoxication usually</w:t>
      </w:r>
    </w:p>
    <w:p w:rsidR="00E675F0" w:rsidRDefault="00E675F0" w:rsidP="00E675F0">
      <w:pPr>
        <w:spacing w:line="252" w:lineRule="auto"/>
        <w:jc w:val="both"/>
        <w:sectPr w:rsidR="00E675F0">
          <w:pgSz w:w="8960" w:h="14260"/>
          <w:pgMar w:top="1400" w:right="620" w:bottom="280" w:left="620" w:header="704" w:footer="0" w:gutter="0"/>
          <w:cols w:space="720"/>
        </w:sectPr>
      </w:pPr>
    </w:p>
    <w:p w:rsidR="00E675F0" w:rsidRDefault="00E675F0" w:rsidP="00E675F0">
      <w:pPr>
        <w:pStyle w:val="BodyText"/>
        <w:spacing w:before="122" w:line="252" w:lineRule="auto"/>
        <w:ind w:left="110" w:right="115" w:firstLine="10"/>
        <w:jc w:val="both"/>
      </w:pPr>
      <w:r>
        <w:rPr>
          <w:w w:val="105"/>
        </w:rPr>
        <w:lastRenderedPageBreak/>
        <w:t>begins to abate as blood or tissue concentrations of the substance decline, but signs and symptoms may resolve slowly, in some situations lasting for hours or days after the substance is no longer detectable in bodily fluids. The onset of Intoxication may be delayed with slowly absorbed substances or with those that must be metabolized to active compounds. Long-acting substances may produce prolonged</w:t>
      </w:r>
      <w:r>
        <w:rPr>
          <w:spacing w:val="-18"/>
          <w:w w:val="105"/>
        </w:rPr>
        <w:t xml:space="preserve"> </w:t>
      </w:r>
      <w:r>
        <w:rPr>
          <w:w w:val="105"/>
        </w:rPr>
        <w:t>intoxications.</w:t>
      </w:r>
    </w:p>
    <w:p w:rsidR="00E675F0" w:rsidRDefault="00E675F0" w:rsidP="00E675F0">
      <w:pPr>
        <w:pStyle w:val="BodyText"/>
        <w:spacing w:line="254" w:lineRule="auto"/>
        <w:ind w:left="115" w:right="119" w:firstLine="363"/>
        <w:jc w:val="both"/>
      </w:pPr>
      <w:r>
        <w:rPr>
          <w:w w:val="105"/>
        </w:rPr>
        <w:t>Withdrawal</w:t>
      </w:r>
      <w:r>
        <w:rPr>
          <w:spacing w:val="7"/>
          <w:w w:val="105"/>
        </w:rPr>
        <w:t xml:space="preserve"> </w:t>
      </w:r>
      <w:r>
        <w:rPr>
          <w:w w:val="105"/>
        </w:rPr>
        <w:t>develops</w:t>
      </w:r>
      <w:r>
        <w:rPr>
          <w:spacing w:val="-11"/>
          <w:w w:val="105"/>
        </w:rPr>
        <w:t xml:space="preserve"> </w:t>
      </w:r>
      <w:r>
        <w:rPr>
          <w:w w:val="105"/>
        </w:rPr>
        <w:t>with</w:t>
      </w:r>
      <w:r>
        <w:rPr>
          <w:spacing w:val="-2"/>
          <w:w w:val="105"/>
        </w:rPr>
        <w:t xml:space="preserve"> </w:t>
      </w:r>
      <w:r>
        <w:rPr>
          <w:w w:val="105"/>
        </w:rPr>
        <w:t>the</w:t>
      </w:r>
      <w:r>
        <w:rPr>
          <w:spacing w:val="-11"/>
          <w:w w:val="105"/>
        </w:rPr>
        <w:t xml:space="preserve"> </w:t>
      </w:r>
      <w:r>
        <w:rPr>
          <w:w w:val="105"/>
        </w:rPr>
        <w:t>decline</w:t>
      </w:r>
      <w:r>
        <w:rPr>
          <w:spacing w:val="-6"/>
          <w:w w:val="105"/>
        </w:rPr>
        <w:t xml:space="preserve"> </w:t>
      </w:r>
      <w:r>
        <w:rPr>
          <w:w w:val="105"/>
        </w:rPr>
        <w:t>of</w:t>
      </w:r>
      <w:r>
        <w:rPr>
          <w:spacing w:val="-4"/>
          <w:w w:val="105"/>
        </w:rPr>
        <w:t xml:space="preserve"> </w:t>
      </w:r>
      <w:r>
        <w:rPr>
          <w:w w:val="105"/>
        </w:rPr>
        <w:t>the</w:t>
      </w:r>
      <w:r>
        <w:rPr>
          <w:spacing w:val="-19"/>
          <w:w w:val="105"/>
        </w:rPr>
        <w:t xml:space="preserve"> </w:t>
      </w:r>
      <w:r>
        <w:rPr>
          <w:w w:val="105"/>
        </w:rPr>
        <w:t>substance</w:t>
      </w:r>
      <w:r>
        <w:rPr>
          <w:spacing w:val="-3"/>
          <w:w w:val="105"/>
        </w:rPr>
        <w:t xml:space="preserve"> </w:t>
      </w:r>
      <w:r>
        <w:rPr>
          <w:w w:val="105"/>
        </w:rPr>
        <w:t>in</w:t>
      </w:r>
      <w:r>
        <w:rPr>
          <w:spacing w:val="-8"/>
          <w:w w:val="105"/>
        </w:rPr>
        <w:t xml:space="preserve"> </w:t>
      </w:r>
      <w:r>
        <w:rPr>
          <w:w w:val="105"/>
        </w:rPr>
        <w:t>the</w:t>
      </w:r>
      <w:r>
        <w:rPr>
          <w:spacing w:val="-18"/>
          <w:w w:val="105"/>
        </w:rPr>
        <w:t xml:space="preserve"> </w:t>
      </w:r>
      <w:r>
        <w:rPr>
          <w:w w:val="105"/>
        </w:rPr>
        <w:t>central</w:t>
      </w:r>
      <w:r>
        <w:rPr>
          <w:spacing w:val="5"/>
          <w:w w:val="105"/>
        </w:rPr>
        <w:t xml:space="preserve"> </w:t>
      </w:r>
      <w:r>
        <w:rPr>
          <w:w w:val="105"/>
        </w:rPr>
        <w:t>nervous</w:t>
      </w:r>
      <w:r>
        <w:rPr>
          <w:spacing w:val="-11"/>
          <w:w w:val="105"/>
        </w:rPr>
        <w:t xml:space="preserve"> </w:t>
      </w:r>
      <w:r>
        <w:rPr>
          <w:w w:val="105"/>
        </w:rPr>
        <w:t>system. Early symptoms of Withdrawal usually develop a few hours after dosing stops for substances with short elimination half-lives (e.g., alcohol, lorazepam, or heroin), although withdrawal seizures may develop several weeks after termination of high doses of</w:t>
      </w:r>
      <w:r>
        <w:rPr>
          <w:spacing w:val="-9"/>
          <w:w w:val="105"/>
        </w:rPr>
        <w:t xml:space="preserve"> </w:t>
      </w:r>
      <w:r>
        <w:rPr>
          <w:w w:val="105"/>
        </w:rPr>
        <w:t>long-half-life</w:t>
      </w:r>
      <w:r>
        <w:rPr>
          <w:spacing w:val="-14"/>
          <w:w w:val="105"/>
        </w:rPr>
        <w:t xml:space="preserve"> </w:t>
      </w:r>
      <w:r>
        <w:rPr>
          <w:w w:val="105"/>
        </w:rPr>
        <w:t>anxiolytic</w:t>
      </w:r>
      <w:r>
        <w:rPr>
          <w:spacing w:val="-8"/>
          <w:w w:val="105"/>
        </w:rPr>
        <w:t xml:space="preserve"> </w:t>
      </w:r>
      <w:r>
        <w:rPr>
          <w:w w:val="105"/>
        </w:rPr>
        <w:t>substances.</w:t>
      </w:r>
      <w:r>
        <w:rPr>
          <w:spacing w:val="-4"/>
          <w:w w:val="105"/>
        </w:rPr>
        <w:t xml:space="preserve"> </w:t>
      </w:r>
      <w:r>
        <w:rPr>
          <w:w w:val="105"/>
        </w:rPr>
        <w:t>The</w:t>
      </w:r>
      <w:r>
        <w:rPr>
          <w:spacing w:val="-13"/>
          <w:w w:val="105"/>
        </w:rPr>
        <w:t xml:space="preserve"> </w:t>
      </w:r>
      <w:r>
        <w:rPr>
          <w:w w:val="105"/>
        </w:rPr>
        <w:t>more</w:t>
      </w:r>
      <w:r>
        <w:rPr>
          <w:spacing w:val="-6"/>
          <w:w w:val="105"/>
        </w:rPr>
        <w:t xml:space="preserve"> </w:t>
      </w:r>
      <w:r>
        <w:rPr>
          <w:w w:val="105"/>
        </w:rPr>
        <w:t>intense</w:t>
      </w:r>
      <w:r>
        <w:rPr>
          <w:spacing w:val="-15"/>
          <w:w w:val="105"/>
        </w:rPr>
        <w:t xml:space="preserve"> </w:t>
      </w:r>
      <w:r>
        <w:rPr>
          <w:w w:val="105"/>
        </w:rPr>
        <w:t>signs</w:t>
      </w:r>
      <w:r>
        <w:rPr>
          <w:spacing w:val="-16"/>
          <w:w w:val="105"/>
        </w:rPr>
        <w:t xml:space="preserve"> </w:t>
      </w:r>
      <w:r>
        <w:rPr>
          <w:w w:val="105"/>
        </w:rPr>
        <w:t>of</w:t>
      </w:r>
      <w:r>
        <w:rPr>
          <w:spacing w:val="-10"/>
          <w:w w:val="105"/>
        </w:rPr>
        <w:t xml:space="preserve"> </w:t>
      </w:r>
      <w:r>
        <w:rPr>
          <w:w w:val="105"/>
        </w:rPr>
        <w:t>Withdrawal</w:t>
      </w:r>
      <w:r>
        <w:rPr>
          <w:spacing w:val="1"/>
          <w:w w:val="105"/>
        </w:rPr>
        <w:t xml:space="preserve"> </w:t>
      </w:r>
      <w:r>
        <w:rPr>
          <w:w w:val="105"/>
        </w:rPr>
        <w:t>usually</w:t>
      </w:r>
      <w:r>
        <w:rPr>
          <w:spacing w:val="-10"/>
          <w:w w:val="105"/>
        </w:rPr>
        <w:t xml:space="preserve"> </w:t>
      </w:r>
      <w:r>
        <w:rPr>
          <w:w w:val="105"/>
        </w:rPr>
        <w:t>end within a few days to a few weeks after the cessation of substance use, although some subtle physiological signs may be detectable for many weeks or even months as part of  a protracted withdrawal</w:t>
      </w:r>
      <w:r>
        <w:rPr>
          <w:spacing w:val="-4"/>
          <w:w w:val="105"/>
        </w:rPr>
        <w:t xml:space="preserve"> </w:t>
      </w:r>
      <w:r>
        <w:rPr>
          <w:w w:val="105"/>
        </w:rPr>
        <w:t>syndrome.</w:t>
      </w:r>
    </w:p>
    <w:p w:rsidR="00E675F0" w:rsidRDefault="00E675F0" w:rsidP="00E675F0">
      <w:pPr>
        <w:pStyle w:val="BodyText"/>
        <w:spacing w:line="254" w:lineRule="auto"/>
        <w:ind w:left="117" w:right="119" w:firstLine="362"/>
        <w:jc w:val="both"/>
        <w:rPr>
          <w:sz w:val="19"/>
        </w:rPr>
      </w:pPr>
      <w:r>
        <w:rPr>
          <w:w w:val="110"/>
        </w:rPr>
        <w:t>A</w:t>
      </w:r>
      <w:r>
        <w:rPr>
          <w:spacing w:val="-31"/>
          <w:w w:val="110"/>
        </w:rPr>
        <w:t xml:space="preserve"> </w:t>
      </w:r>
      <w:r>
        <w:rPr>
          <w:w w:val="110"/>
        </w:rPr>
        <w:t>diagnosis</w:t>
      </w:r>
      <w:r>
        <w:rPr>
          <w:spacing w:val="-23"/>
          <w:w w:val="110"/>
        </w:rPr>
        <w:t xml:space="preserve"> </w:t>
      </w:r>
      <w:r>
        <w:rPr>
          <w:w w:val="110"/>
        </w:rPr>
        <w:t>of</w:t>
      </w:r>
      <w:r>
        <w:rPr>
          <w:spacing w:val="-25"/>
          <w:w w:val="110"/>
        </w:rPr>
        <w:t xml:space="preserve"> </w:t>
      </w:r>
      <w:r>
        <w:rPr>
          <w:w w:val="110"/>
        </w:rPr>
        <w:t>Substance</w:t>
      </w:r>
      <w:r>
        <w:rPr>
          <w:spacing w:val="-22"/>
          <w:w w:val="110"/>
        </w:rPr>
        <w:t xml:space="preserve"> </w:t>
      </w:r>
      <w:r>
        <w:rPr>
          <w:w w:val="110"/>
        </w:rPr>
        <w:t>Abuse</w:t>
      </w:r>
      <w:r>
        <w:rPr>
          <w:spacing w:val="-26"/>
          <w:w w:val="110"/>
        </w:rPr>
        <w:t xml:space="preserve"> </w:t>
      </w:r>
      <w:r>
        <w:rPr>
          <w:w w:val="110"/>
        </w:rPr>
        <w:t>is</w:t>
      </w:r>
      <w:r>
        <w:rPr>
          <w:spacing w:val="-28"/>
          <w:w w:val="110"/>
        </w:rPr>
        <w:t xml:space="preserve"> </w:t>
      </w:r>
      <w:r>
        <w:rPr>
          <w:w w:val="110"/>
        </w:rPr>
        <w:t>more</w:t>
      </w:r>
      <w:r>
        <w:rPr>
          <w:spacing w:val="-23"/>
          <w:w w:val="110"/>
        </w:rPr>
        <w:t xml:space="preserve"> </w:t>
      </w:r>
      <w:r>
        <w:rPr>
          <w:w w:val="110"/>
        </w:rPr>
        <w:t>likely</w:t>
      </w:r>
      <w:r>
        <w:rPr>
          <w:spacing w:val="-24"/>
          <w:w w:val="110"/>
        </w:rPr>
        <w:t xml:space="preserve"> </w:t>
      </w:r>
      <w:r>
        <w:rPr>
          <w:w w:val="110"/>
        </w:rPr>
        <w:t>in</w:t>
      </w:r>
      <w:r>
        <w:rPr>
          <w:spacing w:val="-27"/>
          <w:w w:val="110"/>
        </w:rPr>
        <w:t xml:space="preserve"> </w:t>
      </w:r>
      <w:r>
        <w:rPr>
          <w:w w:val="110"/>
        </w:rPr>
        <w:t>individuals</w:t>
      </w:r>
      <w:r>
        <w:rPr>
          <w:spacing w:val="-22"/>
          <w:w w:val="110"/>
        </w:rPr>
        <w:t xml:space="preserve"> </w:t>
      </w:r>
      <w:r>
        <w:rPr>
          <w:w w:val="110"/>
        </w:rPr>
        <w:t>who</w:t>
      </w:r>
      <w:r>
        <w:rPr>
          <w:spacing w:val="-13"/>
          <w:w w:val="110"/>
        </w:rPr>
        <w:t xml:space="preserve"> </w:t>
      </w:r>
      <w:r>
        <w:rPr>
          <w:w w:val="110"/>
        </w:rPr>
        <w:t>have</w:t>
      </w:r>
      <w:r>
        <w:rPr>
          <w:spacing w:val="-22"/>
          <w:w w:val="110"/>
        </w:rPr>
        <w:t xml:space="preserve"> </w:t>
      </w:r>
      <w:r>
        <w:rPr>
          <w:w w:val="110"/>
        </w:rPr>
        <w:t>begun</w:t>
      </w:r>
      <w:r>
        <w:rPr>
          <w:spacing w:val="-19"/>
          <w:w w:val="110"/>
        </w:rPr>
        <w:t xml:space="preserve"> </w:t>
      </w:r>
      <w:r>
        <w:rPr>
          <w:w w:val="110"/>
        </w:rPr>
        <w:t>using substances</w:t>
      </w:r>
      <w:r>
        <w:rPr>
          <w:spacing w:val="-24"/>
          <w:w w:val="110"/>
        </w:rPr>
        <w:t xml:space="preserve"> </w:t>
      </w:r>
      <w:r>
        <w:rPr>
          <w:w w:val="110"/>
        </w:rPr>
        <w:t>only</w:t>
      </w:r>
      <w:r>
        <w:rPr>
          <w:spacing w:val="-29"/>
          <w:w w:val="110"/>
        </w:rPr>
        <w:t xml:space="preserve"> </w:t>
      </w:r>
      <w:r>
        <w:rPr>
          <w:w w:val="110"/>
        </w:rPr>
        <w:t>recently.</w:t>
      </w:r>
      <w:r>
        <w:rPr>
          <w:spacing w:val="-24"/>
          <w:w w:val="110"/>
        </w:rPr>
        <w:t xml:space="preserve"> </w:t>
      </w:r>
      <w:r>
        <w:rPr>
          <w:w w:val="110"/>
        </w:rPr>
        <w:t>For</w:t>
      </w:r>
      <w:r>
        <w:rPr>
          <w:spacing w:val="-26"/>
          <w:w w:val="110"/>
        </w:rPr>
        <w:t xml:space="preserve"> </w:t>
      </w:r>
      <w:r>
        <w:rPr>
          <w:w w:val="110"/>
        </w:rPr>
        <w:t>many</w:t>
      </w:r>
      <w:r>
        <w:rPr>
          <w:spacing w:val="-29"/>
          <w:w w:val="110"/>
        </w:rPr>
        <w:t xml:space="preserve"> </w:t>
      </w:r>
      <w:r>
        <w:rPr>
          <w:w w:val="110"/>
        </w:rPr>
        <w:t>individuals,</w:t>
      </w:r>
      <w:r>
        <w:rPr>
          <w:spacing w:val="-22"/>
          <w:w w:val="110"/>
        </w:rPr>
        <w:t xml:space="preserve"> </w:t>
      </w:r>
      <w:r>
        <w:rPr>
          <w:w w:val="110"/>
        </w:rPr>
        <w:t>Substance</w:t>
      </w:r>
      <w:r>
        <w:rPr>
          <w:spacing w:val="-26"/>
          <w:w w:val="110"/>
        </w:rPr>
        <w:t xml:space="preserve"> </w:t>
      </w:r>
      <w:r>
        <w:rPr>
          <w:w w:val="110"/>
        </w:rPr>
        <w:t>Abuse</w:t>
      </w:r>
      <w:r>
        <w:rPr>
          <w:spacing w:val="-28"/>
          <w:w w:val="110"/>
        </w:rPr>
        <w:t xml:space="preserve"> </w:t>
      </w:r>
      <w:r>
        <w:rPr>
          <w:w w:val="110"/>
        </w:rPr>
        <w:t>with</w:t>
      </w:r>
      <w:r>
        <w:rPr>
          <w:spacing w:val="-26"/>
          <w:w w:val="110"/>
        </w:rPr>
        <w:t xml:space="preserve"> </w:t>
      </w:r>
      <w:r>
        <w:rPr>
          <w:w w:val="110"/>
        </w:rPr>
        <w:t>a</w:t>
      </w:r>
      <w:r>
        <w:rPr>
          <w:spacing w:val="-25"/>
          <w:w w:val="110"/>
        </w:rPr>
        <w:t xml:space="preserve"> </w:t>
      </w:r>
      <w:r>
        <w:rPr>
          <w:w w:val="110"/>
        </w:rPr>
        <w:t>particular</w:t>
      </w:r>
      <w:r>
        <w:rPr>
          <w:spacing w:val="-27"/>
          <w:w w:val="110"/>
        </w:rPr>
        <w:t xml:space="preserve"> </w:t>
      </w:r>
      <w:r>
        <w:rPr>
          <w:w w:val="110"/>
        </w:rPr>
        <w:t>class of</w:t>
      </w:r>
      <w:r>
        <w:rPr>
          <w:spacing w:val="-19"/>
          <w:w w:val="110"/>
        </w:rPr>
        <w:t xml:space="preserve"> </w:t>
      </w:r>
      <w:r>
        <w:rPr>
          <w:w w:val="110"/>
        </w:rPr>
        <w:t>substances</w:t>
      </w:r>
      <w:r>
        <w:rPr>
          <w:spacing w:val="-17"/>
          <w:w w:val="110"/>
        </w:rPr>
        <w:t xml:space="preserve"> </w:t>
      </w:r>
      <w:r>
        <w:rPr>
          <w:w w:val="110"/>
        </w:rPr>
        <w:t>evolves</w:t>
      </w:r>
      <w:r>
        <w:rPr>
          <w:spacing w:val="-18"/>
          <w:w w:val="110"/>
        </w:rPr>
        <w:t xml:space="preserve"> </w:t>
      </w:r>
      <w:r>
        <w:rPr>
          <w:w w:val="110"/>
        </w:rPr>
        <w:t>into</w:t>
      </w:r>
      <w:r>
        <w:rPr>
          <w:spacing w:val="-24"/>
          <w:w w:val="110"/>
        </w:rPr>
        <w:t xml:space="preserve"> </w:t>
      </w:r>
      <w:r>
        <w:rPr>
          <w:w w:val="110"/>
        </w:rPr>
        <w:t>Substance</w:t>
      </w:r>
      <w:r>
        <w:rPr>
          <w:spacing w:val="-14"/>
          <w:w w:val="110"/>
        </w:rPr>
        <w:t xml:space="preserve"> </w:t>
      </w:r>
      <w:r>
        <w:rPr>
          <w:w w:val="110"/>
        </w:rPr>
        <w:t>Dependence</w:t>
      </w:r>
      <w:r>
        <w:rPr>
          <w:spacing w:val="-14"/>
          <w:w w:val="110"/>
        </w:rPr>
        <w:t xml:space="preserve"> </w:t>
      </w:r>
      <w:r>
        <w:rPr>
          <w:w w:val="110"/>
        </w:rPr>
        <w:t>for</w:t>
      </w:r>
      <w:r>
        <w:rPr>
          <w:spacing w:val="-24"/>
          <w:w w:val="110"/>
        </w:rPr>
        <w:t xml:space="preserve"> </w:t>
      </w:r>
      <w:r>
        <w:rPr>
          <w:w w:val="110"/>
        </w:rPr>
        <w:t>the</w:t>
      </w:r>
      <w:r>
        <w:rPr>
          <w:spacing w:val="-24"/>
          <w:w w:val="110"/>
        </w:rPr>
        <w:t xml:space="preserve"> </w:t>
      </w:r>
      <w:r>
        <w:rPr>
          <w:w w:val="110"/>
        </w:rPr>
        <w:t>same</w:t>
      </w:r>
      <w:r>
        <w:rPr>
          <w:spacing w:val="-19"/>
          <w:w w:val="110"/>
        </w:rPr>
        <w:t xml:space="preserve"> </w:t>
      </w:r>
      <w:r>
        <w:rPr>
          <w:w w:val="110"/>
        </w:rPr>
        <w:t>class</w:t>
      </w:r>
      <w:r>
        <w:rPr>
          <w:spacing w:val="-21"/>
          <w:w w:val="110"/>
        </w:rPr>
        <w:t xml:space="preserve"> </w:t>
      </w:r>
      <w:r>
        <w:rPr>
          <w:w w:val="110"/>
        </w:rPr>
        <w:t>of</w:t>
      </w:r>
      <w:r>
        <w:rPr>
          <w:spacing w:val="-19"/>
          <w:w w:val="110"/>
        </w:rPr>
        <w:t xml:space="preserve"> </w:t>
      </w:r>
      <w:r>
        <w:rPr>
          <w:w w:val="110"/>
        </w:rPr>
        <w:t>substance.</w:t>
      </w:r>
      <w:r>
        <w:rPr>
          <w:spacing w:val="-15"/>
          <w:w w:val="110"/>
        </w:rPr>
        <w:t xml:space="preserve"> </w:t>
      </w:r>
      <w:r>
        <w:rPr>
          <w:w w:val="110"/>
        </w:rPr>
        <w:t>This is</w:t>
      </w:r>
      <w:r>
        <w:rPr>
          <w:spacing w:val="-11"/>
          <w:w w:val="110"/>
        </w:rPr>
        <w:t xml:space="preserve"> </w:t>
      </w:r>
      <w:r>
        <w:rPr>
          <w:w w:val="110"/>
        </w:rPr>
        <w:t>particularly</w:t>
      </w:r>
      <w:r>
        <w:rPr>
          <w:spacing w:val="3"/>
          <w:w w:val="110"/>
        </w:rPr>
        <w:t xml:space="preserve"> </w:t>
      </w:r>
      <w:r>
        <w:rPr>
          <w:w w:val="110"/>
        </w:rPr>
        <w:t>true</w:t>
      </w:r>
      <w:r>
        <w:rPr>
          <w:spacing w:val="-11"/>
          <w:w w:val="110"/>
        </w:rPr>
        <w:t xml:space="preserve"> </w:t>
      </w:r>
      <w:r>
        <w:rPr>
          <w:w w:val="110"/>
        </w:rPr>
        <w:t>for</w:t>
      </w:r>
      <w:r>
        <w:rPr>
          <w:spacing w:val="-9"/>
          <w:w w:val="110"/>
        </w:rPr>
        <w:t xml:space="preserve"> </w:t>
      </w:r>
      <w:r>
        <w:rPr>
          <w:w w:val="110"/>
        </w:rPr>
        <w:t>those</w:t>
      </w:r>
      <w:r>
        <w:rPr>
          <w:spacing w:val="-13"/>
          <w:w w:val="110"/>
        </w:rPr>
        <w:t xml:space="preserve"> </w:t>
      </w:r>
      <w:r>
        <w:rPr>
          <w:w w:val="110"/>
        </w:rPr>
        <w:t>substances</w:t>
      </w:r>
      <w:r>
        <w:rPr>
          <w:spacing w:val="-5"/>
          <w:w w:val="110"/>
        </w:rPr>
        <w:t xml:space="preserve"> </w:t>
      </w:r>
      <w:r>
        <w:rPr>
          <w:w w:val="110"/>
        </w:rPr>
        <w:t>that</w:t>
      </w:r>
      <w:r>
        <w:rPr>
          <w:spacing w:val="-4"/>
          <w:w w:val="110"/>
        </w:rPr>
        <w:t xml:space="preserve"> </w:t>
      </w:r>
      <w:r>
        <w:rPr>
          <w:w w:val="110"/>
        </w:rPr>
        <w:t>have</w:t>
      </w:r>
      <w:r>
        <w:rPr>
          <w:spacing w:val="-11"/>
          <w:w w:val="110"/>
        </w:rPr>
        <w:t xml:space="preserve"> </w:t>
      </w:r>
      <w:r>
        <w:rPr>
          <w:w w:val="110"/>
        </w:rPr>
        <w:t>a</w:t>
      </w:r>
      <w:r>
        <w:rPr>
          <w:spacing w:val="-5"/>
          <w:w w:val="110"/>
        </w:rPr>
        <w:t xml:space="preserve"> </w:t>
      </w:r>
      <w:r>
        <w:rPr>
          <w:w w:val="110"/>
        </w:rPr>
        <w:t>high</w:t>
      </w:r>
      <w:r>
        <w:rPr>
          <w:spacing w:val="-1"/>
          <w:w w:val="110"/>
        </w:rPr>
        <w:t xml:space="preserve"> </w:t>
      </w:r>
      <w:r>
        <w:rPr>
          <w:w w:val="110"/>
        </w:rPr>
        <w:t>potential</w:t>
      </w:r>
      <w:r>
        <w:rPr>
          <w:spacing w:val="-8"/>
          <w:w w:val="110"/>
        </w:rPr>
        <w:t xml:space="preserve"> </w:t>
      </w:r>
      <w:r>
        <w:rPr>
          <w:w w:val="110"/>
        </w:rPr>
        <w:t>for</w:t>
      </w:r>
      <w:r>
        <w:rPr>
          <w:spacing w:val="-13"/>
          <w:w w:val="110"/>
        </w:rPr>
        <w:t xml:space="preserve"> </w:t>
      </w:r>
      <w:r>
        <w:rPr>
          <w:w w:val="110"/>
        </w:rPr>
        <w:t>the</w:t>
      </w:r>
      <w:r>
        <w:rPr>
          <w:spacing w:val="-14"/>
          <w:w w:val="110"/>
        </w:rPr>
        <w:t xml:space="preserve"> </w:t>
      </w:r>
      <w:r>
        <w:rPr>
          <w:w w:val="110"/>
        </w:rPr>
        <w:t>development of tolerance, withdrawal, and patterns of compulsive use. Some individuals have episodes</w:t>
      </w:r>
      <w:r>
        <w:rPr>
          <w:spacing w:val="-4"/>
          <w:w w:val="110"/>
        </w:rPr>
        <w:t xml:space="preserve"> </w:t>
      </w:r>
      <w:r>
        <w:rPr>
          <w:w w:val="110"/>
        </w:rPr>
        <w:t>of</w:t>
      </w:r>
      <w:r>
        <w:rPr>
          <w:spacing w:val="-8"/>
          <w:w w:val="110"/>
        </w:rPr>
        <w:t xml:space="preserve"> </w:t>
      </w:r>
      <w:r>
        <w:rPr>
          <w:w w:val="110"/>
        </w:rPr>
        <w:t>Substance</w:t>
      </w:r>
      <w:r>
        <w:rPr>
          <w:spacing w:val="-4"/>
          <w:w w:val="110"/>
        </w:rPr>
        <w:t xml:space="preserve"> </w:t>
      </w:r>
      <w:r>
        <w:rPr>
          <w:w w:val="110"/>
        </w:rPr>
        <w:t>Abuse</w:t>
      </w:r>
      <w:r>
        <w:rPr>
          <w:spacing w:val="-6"/>
          <w:w w:val="110"/>
        </w:rPr>
        <w:t xml:space="preserve"> </w:t>
      </w:r>
      <w:r>
        <w:rPr>
          <w:w w:val="110"/>
        </w:rPr>
        <w:t>that</w:t>
      </w:r>
      <w:r>
        <w:rPr>
          <w:spacing w:val="-7"/>
          <w:w w:val="110"/>
        </w:rPr>
        <w:t xml:space="preserve"> </w:t>
      </w:r>
      <w:r>
        <w:rPr>
          <w:w w:val="110"/>
        </w:rPr>
        <w:t>occur</w:t>
      </w:r>
      <w:r>
        <w:rPr>
          <w:spacing w:val="-6"/>
          <w:w w:val="110"/>
        </w:rPr>
        <w:t xml:space="preserve"> </w:t>
      </w:r>
      <w:r>
        <w:rPr>
          <w:w w:val="110"/>
        </w:rPr>
        <w:t>over</w:t>
      </w:r>
      <w:r>
        <w:rPr>
          <w:spacing w:val="-8"/>
          <w:w w:val="110"/>
        </w:rPr>
        <w:t xml:space="preserve"> </w:t>
      </w:r>
      <w:r>
        <w:rPr>
          <w:w w:val="110"/>
        </w:rPr>
        <w:t>an</w:t>
      </w:r>
      <w:r>
        <w:rPr>
          <w:spacing w:val="-10"/>
          <w:w w:val="110"/>
        </w:rPr>
        <w:t xml:space="preserve"> </w:t>
      </w:r>
      <w:r>
        <w:rPr>
          <w:w w:val="110"/>
        </w:rPr>
        <w:t>extended</w:t>
      </w:r>
      <w:r>
        <w:rPr>
          <w:spacing w:val="2"/>
          <w:w w:val="110"/>
        </w:rPr>
        <w:t xml:space="preserve"> </w:t>
      </w:r>
      <w:r>
        <w:rPr>
          <w:w w:val="110"/>
        </w:rPr>
        <w:t>period</w:t>
      </w:r>
      <w:r>
        <w:rPr>
          <w:spacing w:val="-5"/>
          <w:w w:val="110"/>
        </w:rPr>
        <w:t xml:space="preserve"> </w:t>
      </w:r>
      <w:r>
        <w:rPr>
          <w:w w:val="110"/>
        </w:rPr>
        <w:t>of</w:t>
      </w:r>
      <w:r>
        <w:rPr>
          <w:spacing w:val="-2"/>
          <w:w w:val="110"/>
        </w:rPr>
        <w:t xml:space="preserve"> </w:t>
      </w:r>
      <w:r>
        <w:rPr>
          <w:w w:val="110"/>
        </w:rPr>
        <w:t>time</w:t>
      </w:r>
      <w:r>
        <w:rPr>
          <w:spacing w:val="-6"/>
          <w:w w:val="110"/>
        </w:rPr>
        <w:t xml:space="preserve"> </w:t>
      </w:r>
      <w:r>
        <w:rPr>
          <w:w w:val="110"/>
        </w:rPr>
        <w:t>without</w:t>
      </w:r>
      <w:r>
        <w:rPr>
          <w:spacing w:val="-3"/>
          <w:w w:val="110"/>
        </w:rPr>
        <w:t xml:space="preserve"> </w:t>
      </w:r>
      <w:r>
        <w:rPr>
          <w:w w:val="110"/>
        </w:rPr>
        <w:t>ever developing</w:t>
      </w:r>
      <w:r>
        <w:rPr>
          <w:spacing w:val="-5"/>
          <w:w w:val="110"/>
        </w:rPr>
        <w:t xml:space="preserve"> </w:t>
      </w:r>
      <w:r>
        <w:rPr>
          <w:w w:val="110"/>
        </w:rPr>
        <w:t>Substance</w:t>
      </w:r>
      <w:r>
        <w:rPr>
          <w:spacing w:val="-2"/>
          <w:w w:val="110"/>
        </w:rPr>
        <w:t xml:space="preserve"> </w:t>
      </w:r>
      <w:r>
        <w:rPr>
          <w:w w:val="110"/>
        </w:rPr>
        <w:t>Dependence.</w:t>
      </w:r>
      <w:r>
        <w:rPr>
          <w:spacing w:val="-1"/>
          <w:w w:val="110"/>
        </w:rPr>
        <w:t xml:space="preserve"> </w:t>
      </w:r>
      <w:r>
        <w:rPr>
          <w:w w:val="110"/>
        </w:rPr>
        <w:t>This</w:t>
      </w:r>
      <w:r>
        <w:rPr>
          <w:spacing w:val="-5"/>
          <w:w w:val="110"/>
        </w:rPr>
        <w:t xml:space="preserve"> </w:t>
      </w:r>
      <w:r>
        <w:rPr>
          <w:w w:val="110"/>
        </w:rPr>
        <w:t>is</w:t>
      </w:r>
      <w:r>
        <w:rPr>
          <w:spacing w:val="-9"/>
          <w:w w:val="110"/>
        </w:rPr>
        <w:t xml:space="preserve"> </w:t>
      </w:r>
      <w:r>
        <w:rPr>
          <w:w w:val="110"/>
        </w:rPr>
        <w:t>more</w:t>
      </w:r>
      <w:r>
        <w:rPr>
          <w:spacing w:val="-6"/>
          <w:w w:val="110"/>
        </w:rPr>
        <w:t xml:space="preserve"> </w:t>
      </w:r>
      <w:r>
        <w:rPr>
          <w:w w:val="110"/>
        </w:rPr>
        <w:t>true</w:t>
      </w:r>
      <w:r>
        <w:rPr>
          <w:spacing w:val="-8"/>
          <w:w w:val="110"/>
        </w:rPr>
        <w:t xml:space="preserve"> </w:t>
      </w:r>
      <w:r>
        <w:rPr>
          <w:w w:val="110"/>
        </w:rPr>
        <w:t>for</w:t>
      </w:r>
      <w:r>
        <w:rPr>
          <w:spacing w:val="-9"/>
          <w:w w:val="110"/>
        </w:rPr>
        <w:t xml:space="preserve"> </w:t>
      </w:r>
      <w:r>
        <w:rPr>
          <w:w w:val="110"/>
        </w:rPr>
        <w:t>those</w:t>
      </w:r>
      <w:r>
        <w:rPr>
          <w:spacing w:val="-8"/>
          <w:w w:val="110"/>
        </w:rPr>
        <w:t xml:space="preserve"> </w:t>
      </w:r>
      <w:r>
        <w:rPr>
          <w:w w:val="110"/>
        </w:rPr>
        <w:t>substances</w:t>
      </w:r>
      <w:r>
        <w:rPr>
          <w:spacing w:val="-3"/>
          <w:w w:val="110"/>
        </w:rPr>
        <w:t xml:space="preserve"> </w:t>
      </w:r>
      <w:r>
        <w:rPr>
          <w:w w:val="110"/>
        </w:rPr>
        <w:t>that</w:t>
      </w:r>
      <w:r>
        <w:rPr>
          <w:spacing w:val="-3"/>
          <w:w w:val="110"/>
        </w:rPr>
        <w:t xml:space="preserve"> </w:t>
      </w:r>
      <w:r>
        <w:rPr>
          <w:w w:val="110"/>
        </w:rPr>
        <w:t>have</w:t>
      </w:r>
      <w:r>
        <w:rPr>
          <w:spacing w:val="-11"/>
          <w:w w:val="110"/>
        </w:rPr>
        <w:t xml:space="preserve"> </w:t>
      </w:r>
      <w:r>
        <w:rPr>
          <w:w w:val="110"/>
        </w:rPr>
        <w:t>a lower</w:t>
      </w:r>
      <w:r>
        <w:rPr>
          <w:spacing w:val="-36"/>
          <w:w w:val="110"/>
        </w:rPr>
        <w:t xml:space="preserve"> </w:t>
      </w:r>
      <w:r>
        <w:rPr>
          <w:w w:val="110"/>
        </w:rPr>
        <w:t>potential</w:t>
      </w:r>
      <w:r>
        <w:rPr>
          <w:spacing w:val="-36"/>
          <w:w w:val="110"/>
        </w:rPr>
        <w:t xml:space="preserve"> </w:t>
      </w:r>
      <w:r>
        <w:rPr>
          <w:w w:val="110"/>
        </w:rPr>
        <w:t>for</w:t>
      </w:r>
      <w:r>
        <w:rPr>
          <w:spacing w:val="-37"/>
          <w:w w:val="110"/>
        </w:rPr>
        <w:t xml:space="preserve"> </w:t>
      </w:r>
      <w:r>
        <w:rPr>
          <w:w w:val="110"/>
        </w:rPr>
        <w:t>the</w:t>
      </w:r>
      <w:r>
        <w:rPr>
          <w:spacing w:val="-41"/>
          <w:w w:val="110"/>
        </w:rPr>
        <w:t xml:space="preserve"> </w:t>
      </w:r>
      <w:r>
        <w:rPr>
          <w:w w:val="110"/>
        </w:rPr>
        <w:t>development</w:t>
      </w:r>
      <w:r>
        <w:rPr>
          <w:spacing w:val="-33"/>
          <w:w w:val="110"/>
        </w:rPr>
        <w:t xml:space="preserve"> </w:t>
      </w:r>
      <w:r>
        <w:rPr>
          <w:w w:val="110"/>
        </w:rPr>
        <w:t>of</w:t>
      </w:r>
      <w:r>
        <w:rPr>
          <w:spacing w:val="-34"/>
          <w:w w:val="110"/>
        </w:rPr>
        <w:t xml:space="preserve"> </w:t>
      </w:r>
      <w:r>
        <w:rPr>
          <w:w w:val="110"/>
        </w:rPr>
        <w:t>tolerance,</w:t>
      </w:r>
      <w:r>
        <w:rPr>
          <w:spacing w:val="-30"/>
          <w:w w:val="110"/>
        </w:rPr>
        <w:t xml:space="preserve"> </w:t>
      </w:r>
      <w:r>
        <w:rPr>
          <w:w w:val="110"/>
        </w:rPr>
        <w:t>withdrawal,</w:t>
      </w:r>
      <w:r>
        <w:rPr>
          <w:spacing w:val="-29"/>
          <w:w w:val="110"/>
        </w:rPr>
        <w:t xml:space="preserve"> </w:t>
      </w:r>
      <w:r>
        <w:rPr>
          <w:w w:val="110"/>
        </w:rPr>
        <w:t>and</w:t>
      </w:r>
      <w:r>
        <w:rPr>
          <w:spacing w:val="-33"/>
          <w:w w:val="110"/>
        </w:rPr>
        <w:t xml:space="preserve"> </w:t>
      </w:r>
      <w:r>
        <w:rPr>
          <w:w w:val="110"/>
        </w:rPr>
        <w:t>patterns</w:t>
      </w:r>
      <w:r>
        <w:rPr>
          <w:spacing w:val="-36"/>
          <w:w w:val="110"/>
        </w:rPr>
        <w:t xml:space="preserve"> </w:t>
      </w:r>
      <w:r>
        <w:rPr>
          <w:w w:val="110"/>
        </w:rPr>
        <w:t>of</w:t>
      </w:r>
      <w:r>
        <w:rPr>
          <w:spacing w:val="-39"/>
          <w:w w:val="110"/>
        </w:rPr>
        <w:t xml:space="preserve"> </w:t>
      </w:r>
      <w:r>
        <w:rPr>
          <w:w w:val="110"/>
        </w:rPr>
        <w:t>compulsive use. Once criteria for Substance Dependence are met, a subsequent diagnosis of Substance</w:t>
      </w:r>
      <w:r>
        <w:rPr>
          <w:spacing w:val="-15"/>
          <w:w w:val="110"/>
        </w:rPr>
        <w:t xml:space="preserve"> </w:t>
      </w:r>
      <w:r>
        <w:rPr>
          <w:w w:val="110"/>
        </w:rPr>
        <w:t>Abuse</w:t>
      </w:r>
      <w:r>
        <w:rPr>
          <w:spacing w:val="-21"/>
          <w:w w:val="110"/>
        </w:rPr>
        <w:t xml:space="preserve"> </w:t>
      </w:r>
      <w:r>
        <w:rPr>
          <w:w w:val="110"/>
        </w:rPr>
        <w:t>cannot</w:t>
      </w:r>
      <w:r>
        <w:rPr>
          <w:spacing w:val="-11"/>
          <w:w w:val="110"/>
        </w:rPr>
        <w:t xml:space="preserve"> </w:t>
      </w:r>
      <w:r>
        <w:rPr>
          <w:w w:val="110"/>
        </w:rPr>
        <w:t>be</w:t>
      </w:r>
      <w:r>
        <w:rPr>
          <w:spacing w:val="-26"/>
          <w:w w:val="110"/>
        </w:rPr>
        <w:t xml:space="preserve"> </w:t>
      </w:r>
      <w:r>
        <w:rPr>
          <w:w w:val="110"/>
        </w:rPr>
        <w:t>given</w:t>
      </w:r>
      <w:r>
        <w:rPr>
          <w:spacing w:val="-26"/>
          <w:w w:val="110"/>
        </w:rPr>
        <w:t xml:space="preserve"> </w:t>
      </w:r>
      <w:r>
        <w:rPr>
          <w:w w:val="110"/>
        </w:rPr>
        <w:t>for</w:t>
      </w:r>
      <w:r>
        <w:rPr>
          <w:spacing w:val="-22"/>
          <w:w w:val="110"/>
        </w:rPr>
        <w:t xml:space="preserve"> </w:t>
      </w:r>
      <w:r>
        <w:rPr>
          <w:w w:val="110"/>
        </w:rPr>
        <w:t>any</w:t>
      </w:r>
      <w:r>
        <w:rPr>
          <w:spacing w:val="-25"/>
          <w:w w:val="110"/>
        </w:rPr>
        <w:t xml:space="preserve"> </w:t>
      </w:r>
      <w:r>
        <w:rPr>
          <w:w w:val="110"/>
        </w:rPr>
        <w:t>substance</w:t>
      </w:r>
      <w:r>
        <w:rPr>
          <w:spacing w:val="-18"/>
          <w:w w:val="110"/>
        </w:rPr>
        <w:t xml:space="preserve"> </w:t>
      </w:r>
      <w:r>
        <w:rPr>
          <w:w w:val="110"/>
        </w:rPr>
        <w:t>in</w:t>
      </w:r>
      <w:r>
        <w:rPr>
          <w:spacing w:val="-21"/>
          <w:w w:val="110"/>
        </w:rPr>
        <w:t xml:space="preserve"> </w:t>
      </w:r>
      <w:r>
        <w:rPr>
          <w:w w:val="110"/>
        </w:rPr>
        <w:t>the</w:t>
      </w:r>
      <w:r>
        <w:rPr>
          <w:spacing w:val="-23"/>
          <w:w w:val="110"/>
        </w:rPr>
        <w:t xml:space="preserve"> </w:t>
      </w:r>
      <w:r>
        <w:rPr>
          <w:w w:val="110"/>
        </w:rPr>
        <w:t>same</w:t>
      </w:r>
      <w:r>
        <w:rPr>
          <w:spacing w:val="-17"/>
          <w:w w:val="110"/>
        </w:rPr>
        <w:t xml:space="preserve"> </w:t>
      </w:r>
      <w:r>
        <w:rPr>
          <w:w w:val="110"/>
        </w:rPr>
        <w:t>class.</w:t>
      </w:r>
      <w:r>
        <w:rPr>
          <w:spacing w:val="-19"/>
          <w:w w:val="110"/>
        </w:rPr>
        <w:t xml:space="preserve"> </w:t>
      </w:r>
      <w:r>
        <w:rPr>
          <w:w w:val="110"/>
        </w:rPr>
        <w:t>For</w:t>
      </w:r>
      <w:r>
        <w:rPr>
          <w:spacing w:val="-22"/>
          <w:w w:val="110"/>
        </w:rPr>
        <w:t xml:space="preserve"> </w:t>
      </w:r>
      <w:r>
        <w:rPr>
          <w:w w:val="110"/>
        </w:rPr>
        <w:t>a</w:t>
      </w:r>
      <w:r>
        <w:rPr>
          <w:spacing w:val="-17"/>
          <w:w w:val="110"/>
        </w:rPr>
        <w:t xml:space="preserve"> </w:t>
      </w:r>
      <w:r>
        <w:rPr>
          <w:w w:val="110"/>
        </w:rPr>
        <w:t>person</w:t>
      </w:r>
      <w:r>
        <w:rPr>
          <w:spacing w:val="-18"/>
          <w:w w:val="110"/>
        </w:rPr>
        <w:t xml:space="preserve"> </w:t>
      </w:r>
      <w:r>
        <w:rPr>
          <w:w w:val="110"/>
        </w:rPr>
        <w:t>with Substance</w:t>
      </w:r>
      <w:r>
        <w:rPr>
          <w:spacing w:val="-2"/>
          <w:w w:val="110"/>
        </w:rPr>
        <w:t xml:space="preserve"> </w:t>
      </w:r>
      <w:r>
        <w:rPr>
          <w:w w:val="110"/>
        </w:rPr>
        <w:t>Dependence</w:t>
      </w:r>
      <w:r>
        <w:rPr>
          <w:spacing w:val="-3"/>
          <w:w w:val="110"/>
        </w:rPr>
        <w:t xml:space="preserve"> </w:t>
      </w:r>
      <w:r>
        <w:rPr>
          <w:w w:val="110"/>
        </w:rPr>
        <w:t>in</w:t>
      </w:r>
      <w:r>
        <w:rPr>
          <w:spacing w:val="-17"/>
          <w:w w:val="110"/>
        </w:rPr>
        <w:t xml:space="preserve"> </w:t>
      </w:r>
      <w:r>
        <w:rPr>
          <w:w w:val="110"/>
        </w:rPr>
        <w:t>full</w:t>
      </w:r>
      <w:r>
        <w:rPr>
          <w:spacing w:val="-7"/>
          <w:w w:val="110"/>
        </w:rPr>
        <w:t xml:space="preserve"> </w:t>
      </w:r>
      <w:r>
        <w:rPr>
          <w:w w:val="110"/>
        </w:rPr>
        <w:t>remission,</w:t>
      </w:r>
      <w:r>
        <w:rPr>
          <w:spacing w:val="1"/>
          <w:w w:val="110"/>
        </w:rPr>
        <w:t xml:space="preserve"> </w:t>
      </w:r>
      <w:r>
        <w:rPr>
          <w:w w:val="110"/>
        </w:rPr>
        <w:t>any</w:t>
      </w:r>
      <w:r>
        <w:rPr>
          <w:spacing w:val="-9"/>
          <w:w w:val="110"/>
        </w:rPr>
        <w:t xml:space="preserve"> </w:t>
      </w:r>
      <w:r>
        <w:rPr>
          <w:w w:val="110"/>
        </w:rPr>
        <w:t>relapses</w:t>
      </w:r>
      <w:r>
        <w:rPr>
          <w:spacing w:val="-7"/>
          <w:w w:val="110"/>
        </w:rPr>
        <w:t xml:space="preserve"> </w:t>
      </w:r>
      <w:r>
        <w:rPr>
          <w:w w:val="110"/>
        </w:rPr>
        <w:t>that</w:t>
      </w:r>
      <w:r>
        <w:rPr>
          <w:spacing w:val="-7"/>
          <w:w w:val="110"/>
        </w:rPr>
        <w:t xml:space="preserve"> </w:t>
      </w:r>
      <w:r>
        <w:rPr>
          <w:w w:val="110"/>
        </w:rPr>
        <w:t>meet</w:t>
      </w:r>
      <w:r>
        <w:rPr>
          <w:spacing w:val="-9"/>
          <w:w w:val="110"/>
        </w:rPr>
        <w:t xml:space="preserve"> </w:t>
      </w:r>
      <w:r>
        <w:rPr>
          <w:w w:val="110"/>
        </w:rPr>
        <w:t>criteria</w:t>
      </w:r>
      <w:r>
        <w:rPr>
          <w:spacing w:val="-6"/>
          <w:w w:val="110"/>
        </w:rPr>
        <w:t xml:space="preserve"> </w:t>
      </w:r>
      <w:r>
        <w:rPr>
          <w:w w:val="110"/>
        </w:rPr>
        <w:t>for</w:t>
      </w:r>
      <w:r>
        <w:rPr>
          <w:spacing w:val="-15"/>
          <w:w w:val="110"/>
        </w:rPr>
        <w:t xml:space="preserve"> </w:t>
      </w:r>
      <w:r>
        <w:rPr>
          <w:w w:val="110"/>
        </w:rPr>
        <w:t xml:space="preserve">Substance Abuse would be considered Dependence in partial remission (see course specifiers, p. </w:t>
      </w:r>
      <w:r>
        <w:rPr>
          <w:w w:val="110"/>
          <w:sz w:val="19"/>
        </w:rPr>
        <w:t>179).</w:t>
      </w:r>
    </w:p>
    <w:p w:rsidR="00E675F0" w:rsidRDefault="00E675F0" w:rsidP="00E675F0">
      <w:pPr>
        <w:pStyle w:val="BodyText"/>
        <w:spacing w:line="252" w:lineRule="auto"/>
        <w:ind w:left="123" w:right="105" w:firstLine="361"/>
        <w:jc w:val="both"/>
      </w:pPr>
      <w:r>
        <w:rPr>
          <w:w w:val="105"/>
        </w:rPr>
        <w:t>The course of Substance Dependence is variable. Although relatively brief and self-limited episodes may occur (particularly during periods of psychosocial stress), the course is usually chronic, lasting years, with periods of exacerbation and partial or full remission. There may be periods of heavy intake and severe problems, periods of total abstinence, and times of nonproblematic use of the substance, sometimes lasting for months. Substance Dependence is sometimes associated with spontaneous, long-term remissions. For example, follow-ups reveal that 20% (or more) of individuals with Alcohol Dependence become permanently abstinent, usually following a severe life stress (e.g., the threat or imposition of social or legal sanctions, discovery of a life-threatening medical complication). During the first 12 months after the onset of remission, the individual is particularly vulnerable to having a relapse. Many individuals underestimate their vulnerability to developing a pattern of Dependence. When in a period of remission, they incorrectly assure themselves that they will have no problem regulating substance use and may experiment with gradually less restrictive rules governing the use of the substance, only to experience a return to Dependence. The presence of co-occurring mental disorders (e.g., Antisocial Personality Disorder, Major Depressive Disorder) often increases the risk of complications and a poor outcome.</w:t>
      </w:r>
    </w:p>
    <w:p w:rsidR="00E675F0" w:rsidRDefault="00E675F0" w:rsidP="00E675F0">
      <w:pPr>
        <w:pStyle w:val="BodyText"/>
        <w:spacing w:before="4"/>
        <w:rPr>
          <w:sz w:val="28"/>
        </w:rPr>
      </w:pPr>
    </w:p>
    <w:p w:rsidR="00E675F0" w:rsidRDefault="00E675F0" w:rsidP="00E675F0">
      <w:pPr>
        <w:spacing w:before="1"/>
        <w:ind w:left="119"/>
        <w:jc w:val="both"/>
        <w:rPr>
          <w:rFonts w:ascii="TimesNewRomanPS-BoldItalicMT"/>
          <w:b/>
          <w:i/>
          <w:sz w:val="25"/>
        </w:rPr>
      </w:pPr>
      <w:r>
        <w:rPr>
          <w:rFonts w:ascii="TimesNewRomanPS-BoldItalicMT"/>
          <w:b/>
          <w:i/>
          <w:w w:val="110"/>
          <w:sz w:val="25"/>
        </w:rPr>
        <w:t>Impairment and Complications</w:t>
      </w:r>
    </w:p>
    <w:p w:rsidR="00E675F0" w:rsidRDefault="00E675F0" w:rsidP="00E675F0">
      <w:pPr>
        <w:pStyle w:val="BodyText"/>
        <w:spacing w:before="138" w:line="254" w:lineRule="auto"/>
        <w:ind w:left="137" w:right="105" w:hanging="10"/>
        <w:jc w:val="both"/>
      </w:pPr>
      <w:r>
        <w:rPr>
          <w:w w:val="105"/>
        </w:rPr>
        <w:t>Although</w:t>
      </w:r>
      <w:r>
        <w:rPr>
          <w:spacing w:val="7"/>
          <w:w w:val="105"/>
        </w:rPr>
        <w:t xml:space="preserve"> </w:t>
      </w:r>
      <w:r>
        <w:rPr>
          <w:w w:val="105"/>
        </w:rPr>
        <w:t>many</w:t>
      </w:r>
      <w:r>
        <w:rPr>
          <w:spacing w:val="-12"/>
          <w:w w:val="105"/>
        </w:rPr>
        <w:t xml:space="preserve"> </w:t>
      </w:r>
      <w:r>
        <w:rPr>
          <w:w w:val="105"/>
        </w:rPr>
        <w:t>individuals</w:t>
      </w:r>
      <w:r>
        <w:rPr>
          <w:spacing w:val="-3"/>
          <w:w w:val="105"/>
        </w:rPr>
        <w:t xml:space="preserve"> </w:t>
      </w:r>
      <w:r>
        <w:rPr>
          <w:w w:val="105"/>
        </w:rPr>
        <w:t>with</w:t>
      </w:r>
      <w:r>
        <w:rPr>
          <w:spacing w:val="-17"/>
          <w:w w:val="105"/>
        </w:rPr>
        <w:t xml:space="preserve"> </w:t>
      </w:r>
      <w:r>
        <w:rPr>
          <w:w w:val="105"/>
        </w:rPr>
        <w:t>substance-related</w:t>
      </w:r>
      <w:r>
        <w:rPr>
          <w:spacing w:val="-7"/>
          <w:w w:val="105"/>
        </w:rPr>
        <w:t xml:space="preserve"> </w:t>
      </w:r>
      <w:r>
        <w:rPr>
          <w:w w:val="105"/>
        </w:rPr>
        <w:t>problems</w:t>
      </w:r>
      <w:r>
        <w:rPr>
          <w:spacing w:val="3"/>
          <w:w w:val="105"/>
        </w:rPr>
        <w:t xml:space="preserve"> </w:t>
      </w:r>
      <w:r>
        <w:rPr>
          <w:w w:val="105"/>
        </w:rPr>
        <w:t>have</w:t>
      </w:r>
      <w:r>
        <w:rPr>
          <w:spacing w:val="-15"/>
          <w:w w:val="105"/>
        </w:rPr>
        <w:t xml:space="preserve"> </w:t>
      </w:r>
      <w:r>
        <w:rPr>
          <w:w w:val="105"/>
        </w:rPr>
        <w:t>good</w:t>
      </w:r>
      <w:r>
        <w:rPr>
          <w:spacing w:val="-9"/>
          <w:w w:val="105"/>
        </w:rPr>
        <w:t xml:space="preserve"> </w:t>
      </w:r>
      <w:r>
        <w:rPr>
          <w:w w:val="105"/>
        </w:rPr>
        <w:t>functioning</w:t>
      </w:r>
      <w:r>
        <w:rPr>
          <w:spacing w:val="-6"/>
          <w:w w:val="105"/>
        </w:rPr>
        <w:t xml:space="preserve"> </w:t>
      </w:r>
      <w:r>
        <w:rPr>
          <w:w w:val="105"/>
        </w:rPr>
        <w:t>(e.g., in personal relationships, job performance, earning abilities), these disorders often cause marked impairment and severe complications. Individuals with</w:t>
      </w:r>
      <w:r>
        <w:rPr>
          <w:spacing w:val="31"/>
          <w:w w:val="105"/>
        </w:rPr>
        <w:t xml:space="preserve"> </w:t>
      </w:r>
      <w:r>
        <w:rPr>
          <w:w w:val="105"/>
        </w:rPr>
        <w:t>Substance-Related</w:t>
      </w:r>
    </w:p>
    <w:p w:rsidR="00E675F0" w:rsidRDefault="00E675F0" w:rsidP="00E675F0">
      <w:pPr>
        <w:spacing w:line="254" w:lineRule="auto"/>
        <w:jc w:val="both"/>
        <w:sectPr w:rsidR="00E675F0">
          <w:headerReference w:type="even" r:id="rId171"/>
          <w:headerReference w:type="default" r:id="rId172"/>
          <w:pgSz w:w="8960" w:h="14260"/>
          <w:pgMar w:top="1400" w:right="620" w:bottom="280" w:left="620" w:header="677" w:footer="0" w:gutter="0"/>
          <w:pgNumType w:start="189"/>
          <w:cols w:space="720"/>
        </w:sectPr>
      </w:pPr>
    </w:p>
    <w:p w:rsidR="00E675F0" w:rsidRDefault="00E675F0" w:rsidP="00E675F0">
      <w:pPr>
        <w:pStyle w:val="BodyText"/>
        <w:spacing w:before="118" w:line="254" w:lineRule="auto"/>
        <w:ind w:left="130" w:right="117" w:firstLine="6"/>
        <w:jc w:val="both"/>
      </w:pPr>
      <w:r>
        <w:rPr>
          <w:w w:val="105"/>
        </w:rPr>
        <w:lastRenderedPageBreak/>
        <w:t>Disorders frequently experience a deterioration in their general health. Malnutrition and other general medical conditions may result from improper diet and inadequate personal hygiene. Intoxication or Withdrawal may be complicated by trauma related to impaired motor coordination or faulty judgment. The materials used to "cut" certain substances can produce toxic or allergic reactions. Using substances intranasally ("snorting") may cause erosion of the nasal septum. Stimulant use can result in sudden death from cardiac arrhythmias, myocardial infarction, a cerebrovascular accident, or respiratory arrest. The use of contaminated needles during intravenous administration of substances can cause human</w:t>
      </w:r>
      <w:r>
        <w:rPr>
          <w:spacing w:val="-5"/>
          <w:w w:val="105"/>
        </w:rPr>
        <w:t xml:space="preserve"> </w:t>
      </w:r>
      <w:r>
        <w:rPr>
          <w:w w:val="105"/>
        </w:rPr>
        <w:t>immunodeficiency</w:t>
      </w:r>
      <w:r>
        <w:rPr>
          <w:spacing w:val="-23"/>
          <w:w w:val="105"/>
        </w:rPr>
        <w:t xml:space="preserve"> </w:t>
      </w:r>
      <w:r>
        <w:rPr>
          <w:w w:val="105"/>
        </w:rPr>
        <w:t>virus</w:t>
      </w:r>
      <w:r>
        <w:rPr>
          <w:spacing w:val="-17"/>
          <w:w w:val="105"/>
        </w:rPr>
        <w:t xml:space="preserve"> </w:t>
      </w:r>
      <w:r>
        <w:rPr>
          <w:w w:val="105"/>
        </w:rPr>
        <w:t>(HIV)</w:t>
      </w:r>
      <w:r>
        <w:rPr>
          <w:spacing w:val="-13"/>
          <w:w w:val="105"/>
        </w:rPr>
        <w:t xml:space="preserve"> </w:t>
      </w:r>
      <w:r>
        <w:rPr>
          <w:w w:val="105"/>
        </w:rPr>
        <w:t>infection,</w:t>
      </w:r>
      <w:r>
        <w:rPr>
          <w:spacing w:val="3"/>
          <w:w w:val="105"/>
        </w:rPr>
        <w:t xml:space="preserve"> </w:t>
      </w:r>
      <w:r>
        <w:rPr>
          <w:w w:val="105"/>
        </w:rPr>
        <w:t>hepatitis,</w:t>
      </w:r>
      <w:r>
        <w:rPr>
          <w:spacing w:val="-7"/>
          <w:w w:val="105"/>
        </w:rPr>
        <w:t xml:space="preserve"> </w:t>
      </w:r>
      <w:r>
        <w:rPr>
          <w:w w:val="105"/>
        </w:rPr>
        <w:t>tetanus,</w:t>
      </w:r>
      <w:r>
        <w:rPr>
          <w:spacing w:val="-7"/>
          <w:w w:val="105"/>
        </w:rPr>
        <w:t xml:space="preserve"> </w:t>
      </w:r>
      <w:r>
        <w:rPr>
          <w:w w:val="105"/>
        </w:rPr>
        <w:t>vasculitis,</w:t>
      </w:r>
      <w:r>
        <w:rPr>
          <w:spacing w:val="-8"/>
          <w:w w:val="105"/>
        </w:rPr>
        <w:t xml:space="preserve"> </w:t>
      </w:r>
      <w:r>
        <w:rPr>
          <w:w w:val="105"/>
        </w:rPr>
        <w:t>septicemia, subacute bacterial endocarditis, embolic phenomena, and</w:t>
      </w:r>
      <w:r>
        <w:rPr>
          <w:spacing w:val="-29"/>
          <w:w w:val="105"/>
        </w:rPr>
        <w:t xml:space="preserve"> </w:t>
      </w:r>
      <w:r>
        <w:rPr>
          <w:w w:val="105"/>
        </w:rPr>
        <w:t>malaria.</w:t>
      </w:r>
    </w:p>
    <w:p w:rsidR="00E675F0" w:rsidRDefault="00E675F0" w:rsidP="00E675F0">
      <w:pPr>
        <w:pStyle w:val="BodyText"/>
        <w:spacing w:before="4" w:line="254" w:lineRule="auto"/>
        <w:ind w:left="130" w:right="116" w:firstLine="358"/>
        <w:jc w:val="both"/>
      </w:pPr>
      <w:r>
        <w:rPr>
          <w:w w:val="110"/>
        </w:rPr>
        <w:t>Substance</w:t>
      </w:r>
      <w:r>
        <w:rPr>
          <w:spacing w:val="-12"/>
          <w:w w:val="110"/>
        </w:rPr>
        <w:t xml:space="preserve"> </w:t>
      </w:r>
      <w:r>
        <w:rPr>
          <w:w w:val="110"/>
        </w:rPr>
        <w:t>use</w:t>
      </w:r>
      <w:r>
        <w:rPr>
          <w:spacing w:val="-25"/>
          <w:w w:val="110"/>
        </w:rPr>
        <w:t xml:space="preserve"> </w:t>
      </w:r>
      <w:r>
        <w:rPr>
          <w:w w:val="110"/>
        </w:rPr>
        <w:t>can</w:t>
      </w:r>
      <w:r>
        <w:rPr>
          <w:spacing w:val="-21"/>
          <w:w w:val="110"/>
        </w:rPr>
        <w:t xml:space="preserve"> </w:t>
      </w:r>
      <w:r>
        <w:rPr>
          <w:w w:val="110"/>
        </w:rPr>
        <w:t>be</w:t>
      </w:r>
      <w:r>
        <w:rPr>
          <w:spacing w:val="-21"/>
          <w:w w:val="110"/>
        </w:rPr>
        <w:t xml:space="preserve"> </w:t>
      </w:r>
      <w:r>
        <w:rPr>
          <w:w w:val="110"/>
        </w:rPr>
        <w:t>associated</w:t>
      </w:r>
      <w:r>
        <w:rPr>
          <w:spacing w:val="-11"/>
          <w:w w:val="110"/>
        </w:rPr>
        <w:t xml:space="preserve"> </w:t>
      </w:r>
      <w:r>
        <w:rPr>
          <w:w w:val="110"/>
        </w:rPr>
        <w:t>with</w:t>
      </w:r>
      <w:r>
        <w:rPr>
          <w:spacing w:val="-17"/>
          <w:w w:val="110"/>
        </w:rPr>
        <w:t xml:space="preserve"> </w:t>
      </w:r>
      <w:r>
        <w:rPr>
          <w:w w:val="110"/>
        </w:rPr>
        <w:t>violent</w:t>
      </w:r>
      <w:r>
        <w:rPr>
          <w:spacing w:val="-18"/>
          <w:w w:val="110"/>
        </w:rPr>
        <w:t xml:space="preserve"> </w:t>
      </w:r>
      <w:r>
        <w:rPr>
          <w:w w:val="110"/>
        </w:rPr>
        <w:t>or</w:t>
      </w:r>
      <w:r>
        <w:rPr>
          <w:spacing w:val="-23"/>
          <w:w w:val="110"/>
        </w:rPr>
        <w:t xml:space="preserve"> </w:t>
      </w:r>
      <w:r>
        <w:rPr>
          <w:w w:val="110"/>
        </w:rPr>
        <w:t>aggressive</w:t>
      </w:r>
      <w:r>
        <w:rPr>
          <w:spacing w:val="-17"/>
          <w:w w:val="110"/>
        </w:rPr>
        <w:t xml:space="preserve"> </w:t>
      </w:r>
      <w:r>
        <w:rPr>
          <w:w w:val="110"/>
        </w:rPr>
        <w:t>behavior,</w:t>
      </w:r>
      <w:r>
        <w:rPr>
          <w:spacing w:val="-18"/>
          <w:w w:val="110"/>
        </w:rPr>
        <w:t xml:space="preserve"> </w:t>
      </w:r>
      <w:r>
        <w:rPr>
          <w:w w:val="110"/>
        </w:rPr>
        <w:t>which</w:t>
      </w:r>
      <w:r>
        <w:rPr>
          <w:spacing w:val="-20"/>
          <w:w w:val="110"/>
        </w:rPr>
        <w:t xml:space="preserve"> </w:t>
      </w:r>
      <w:r>
        <w:rPr>
          <w:w w:val="110"/>
        </w:rPr>
        <w:t>may</w:t>
      </w:r>
      <w:r>
        <w:rPr>
          <w:spacing w:val="-24"/>
          <w:w w:val="110"/>
        </w:rPr>
        <w:t xml:space="preserve"> </w:t>
      </w:r>
      <w:r>
        <w:rPr>
          <w:w w:val="110"/>
        </w:rPr>
        <w:t>be manifested</w:t>
      </w:r>
      <w:r>
        <w:rPr>
          <w:spacing w:val="-7"/>
          <w:w w:val="110"/>
        </w:rPr>
        <w:t xml:space="preserve"> </w:t>
      </w:r>
      <w:r>
        <w:rPr>
          <w:w w:val="110"/>
        </w:rPr>
        <w:t>by</w:t>
      </w:r>
      <w:r>
        <w:rPr>
          <w:spacing w:val="-26"/>
          <w:w w:val="110"/>
        </w:rPr>
        <w:t xml:space="preserve"> </w:t>
      </w:r>
      <w:r>
        <w:rPr>
          <w:w w:val="110"/>
        </w:rPr>
        <w:t>fights</w:t>
      </w:r>
      <w:r>
        <w:rPr>
          <w:spacing w:val="-25"/>
          <w:w w:val="110"/>
        </w:rPr>
        <w:t xml:space="preserve"> </w:t>
      </w:r>
      <w:r>
        <w:rPr>
          <w:w w:val="110"/>
        </w:rPr>
        <w:t>or</w:t>
      </w:r>
      <w:r>
        <w:rPr>
          <w:spacing w:val="-18"/>
          <w:w w:val="110"/>
        </w:rPr>
        <w:t xml:space="preserve"> </w:t>
      </w:r>
      <w:r>
        <w:rPr>
          <w:w w:val="110"/>
        </w:rPr>
        <w:t>criminal</w:t>
      </w:r>
      <w:r>
        <w:rPr>
          <w:spacing w:val="-17"/>
          <w:w w:val="110"/>
        </w:rPr>
        <w:t xml:space="preserve"> </w:t>
      </w:r>
      <w:r>
        <w:rPr>
          <w:w w:val="110"/>
        </w:rPr>
        <w:t>activity,</w:t>
      </w:r>
      <w:r>
        <w:rPr>
          <w:spacing w:val="-17"/>
          <w:w w:val="110"/>
        </w:rPr>
        <w:t xml:space="preserve"> </w:t>
      </w:r>
      <w:r>
        <w:rPr>
          <w:w w:val="110"/>
        </w:rPr>
        <w:t>and</w:t>
      </w:r>
      <w:r>
        <w:rPr>
          <w:spacing w:val="-1"/>
          <w:w w:val="110"/>
        </w:rPr>
        <w:t xml:space="preserve"> </w:t>
      </w:r>
      <w:r>
        <w:rPr>
          <w:w w:val="110"/>
        </w:rPr>
        <w:t>can</w:t>
      </w:r>
      <w:r>
        <w:rPr>
          <w:spacing w:val="-23"/>
          <w:w w:val="110"/>
        </w:rPr>
        <w:t xml:space="preserve"> </w:t>
      </w:r>
      <w:r>
        <w:rPr>
          <w:w w:val="110"/>
        </w:rPr>
        <w:t>result</w:t>
      </w:r>
      <w:r>
        <w:rPr>
          <w:spacing w:val="-18"/>
          <w:w w:val="110"/>
        </w:rPr>
        <w:t xml:space="preserve"> </w:t>
      </w:r>
      <w:r>
        <w:rPr>
          <w:w w:val="110"/>
        </w:rPr>
        <w:t>in</w:t>
      </w:r>
      <w:r>
        <w:rPr>
          <w:spacing w:val="-21"/>
          <w:w w:val="110"/>
        </w:rPr>
        <w:t xml:space="preserve"> </w:t>
      </w:r>
      <w:r>
        <w:rPr>
          <w:w w:val="110"/>
        </w:rPr>
        <w:t>injury</w:t>
      </w:r>
      <w:r>
        <w:rPr>
          <w:spacing w:val="-19"/>
          <w:w w:val="110"/>
        </w:rPr>
        <w:t xml:space="preserve"> </w:t>
      </w:r>
      <w:r>
        <w:rPr>
          <w:w w:val="110"/>
        </w:rPr>
        <w:t>to</w:t>
      </w:r>
      <w:r>
        <w:rPr>
          <w:spacing w:val="-21"/>
          <w:w w:val="110"/>
        </w:rPr>
        <w:t xml:space="preserve"> </w:t>
      </w:r>
      <w:r>
        <w:rPr>
          <w:w w:val="110"/>
        </w:rPr>
        <w:t>the</w:t>
      </w:r>
      <w:r>
        <w:rPr>
          <w:spacing w:val="-18"/>
          <w:w w:val="110"/>
        </w:rPr>
        <w:t xml:space="preserve"> </w:t>
      </w:r>
      <w:r>
        <w:rPr>
          <w:w w:val="110"/>
        </w:rPr>
        <w:t>person</w:t>
      </w:r>
      <w:r>
        <w:rPr>
          <w:spacing w:val="-15"/>
          <w:w w:val="110"/>
        </w:rPr>
        <w:t xml:space="preserve"> </w:t>
      </w:r>
      <w:r>
        <w:rPr>
          <w:w w:val="110"/>
        </w:rPr>
        <w:t>using</w:t>
      </w:r>
      <w:r>
        <w:rPr>
          <w:spacing w:val="-15"/>
          <w:w w:val="110"/>
        </w:rPr>
        <w:t xml:space="preserve"> </w:t>
      </w:r>
      <w:r>
        <w:rPr>
          <w:w w:val="110"/>
        </w:rPr>
        <w:t>the substance or to others. Automobile, home, and industrial accidents are a major complication of Substance Intoxication and result in an appreciable rate of morbidity and</w:t>
      </w:r>
      <w:r>
        <w:rPr>
          <w:spacing w:val="-27"/>
          <w:w w:val="110"/>
        </w:rPr>
        <w:t xml:space="preserve"> </w:t>
      </w:r>
      <w:r>
        <w:rPr>
          <w:w w:val="110"/>
        </w:rPr>
        <w:t>mortality.</w:t>
      </w:r>
      <w:r>
        <w:rPr>
          <w:spacing w:val="-24"/>
          <w:w w:val="110"/>
        </w:rPr>
        <w:t xml:space="preserve"> </w:t>
      </w:r>
      <w:r>
        <w:rPr>
          <w:w w:val="110"/>
        </w:rPr>
        <w:t>Approximately</w:t>
      </w:r>
      <w:r>
        <w:rPr>
          <w:spacing w:val="-22"/>
          <w:w w:val="110"/>
        </w:rPr>
        <w:t xml:space="preserve"> </w:t>
      </w:r>
      <w:r>
        <w:rPr>
          <w:w w:val="110"/>
        </w:rPr>
        <w:t>one-half</w:t>
      </w:r>
      <w:r>
        <w:rPr>
          <w:spacing w:val="-23"/>
          <w:w w:val="110"/>
        </w:rPr>
        <w:t xml:space="preserve"> </w:t>
      </w:r>
      <w:r>
        <w:rPr>
          <w:w w:val="110"/>
        </w:rPr>
        <w:t>of</w:t>
      </w:r>
      <w:r>
        <w:rPr>
          <w:spacing w:val="-28"/>
          <w:w w:val="110"/>
        </w:rPr>
        <w:t xml:space="preserve"> </w:t>
      </w:r>
      <w:r>
        <w:rPr>
          <w:w w:val="110"/>
        </w:rPr>
        <w:t>all</w:t>
      </w:r>
      <w:r>
        <w:rPr>
          <w:spacing w:val="-27"/>
          <w:w w:val="110"/>
        </w:rPr>
        <w:t xml:space="preserve"> </w:t>
      </w:r>
      <w:r>
        <w:rPr>
          <w:w w:val="110"/>
        </w:rPr>
        <w:t>highway</w:t>
      </w:r>
      <w:r>
        <w:rPr>
          <w:spacing w:val="-26"/>
          <w:w w:val="110"/>
        </w:rPr>
        <w:t xml:space="preserve"> </w:t>
      </w:r>
      <w:r>
        <w:rPr>
          <w:w w:val="110"/>
        </w:rPr>
        <w:t>fatalities</w:t>
      </w:r>
      <w:r>
        <w:rPr>
          <w:spacing w:val="-27"/>
          <w:w w:val="110"/>
        </w:rPr>
        <w:t xml:space="preserve"> </w:t>
      </w:r>
      <w:r>
        <w:rPr>
          <w:w w:val="110"/>
        </w:rPr>
        <w:t>involve</w:t>
      </w:r>
      <w:r>
        <w:rPr>
          <w:spacing w:val="-29"/>
          <w:w w:val="110"/>
        </w:rPr>
        <w:t xml:space="preserve"> </w:t>
      </w:r>
      <w:r>
        <w:rPr>
          <w:w w:val="110"/>
        </w:rPr>
        <w:t>either</w:t>
      </w:r>
      <w:r>
        <w:rPr>
          <w:spacing w:val="-29"/>
          <w:w w:val="110"/>
        </w:rPr>
        <w:t xml:space="preserve"> </w:t>
      </w:r>
      <w:r>
        <w:rPr>
          <w:w w:val="110"/>
        </w:rPr>
        <w:t>a</w:t>
      </w:r>
      <w:r>
        <w:rPr>
          <w:spacing w:val="-30"/>
          <w:w w:val="110"/>
        </w:rPr>
        <w:t xml:space="preserve"> </w:t>
      </w:r>
      <w:r>
        <w:rPr>
          <w:w w:val="110"/>
        </w:rPr>
        <w:t>driver</w:t>
      </w:r>
      <w:r>
        <w:rPr>
          <w:spacing w:val="-29"/>
          <w:w w:val="110"/>
        </w:rPr>
        <w:t xml:space="preserve"> </w:t>
      </w:r>
      <w:r>
        <w:rPr>
          <w:w w:val="110"/>
        </w:rPr>
        <w:t>or a</w:t>
      </w:r>
      <w:r>
        <w:rPr>
          <w:spacing w:val="-20"/>
          <w:w w:val="110"/>
        </w:rPr>
        <w:t xml:space="preserve"> </w:t>
      </w:r>
      <w:r>
        <w:rPr>
          <w:w w:val="110"/>
        </w:rPr>
        <w:t>pedestrian</w:t>
      </w:r>
      <w:r>
        <w:rPr>
          <w:spacing w:val="-19"/>
          <w:w w:val="110"/>
        </w:rPr>
        <w:t xml:space="preserve"> </w:t>
      </w:r>
      <w:r>
        <w:rPr>
          <w:w w:val="110"/>
        </w:rPr>
        <w:t>who</w:t>
      </w:r>
      <w:r>
        <w:rPr>
          <w:spacing w:val="-15"/>
          <w:w w:val="110"/>
        </w:rPr>
        <w:t xml:space="preserve"> </w:t>
      </w:r>
      <w:r>
        <w:rPr>
          <w:w w:val="110"/>
        </w:rPr>
        <w:t>is</w:t>
      </w:r>
      <w:r>
        <w:rPr>
          <w:spacing w:val="-26"/>
          <w:w w:val="110"/>
        </w:rPr>
        <w:t xml:space="preserve"> </w:t>
      </w:r>
      <w:r>
        <w:rPr>
          <w:w w:val="110"/>
        </w:rPr>
        <w:t>intoxicated.</w:t>
      </w:r>
      <w:r>
        <w:rPr>
          <w:spacing w:val="-17"/>
          <w:w w:val="110"/>
        </w:rPr>
        <w:t xml:space="preserve"> </w:t>
      </w:r>
      <w:r>
        <w:rPr>
          <w:w w:val="110"/>
        </w:rPr>
        <w:t>In</w:t>
      </w:r>
      <w:r>
        <w:rPr>
          <w:spacing w:val="-27"/>
          <w:w w:val="110"/>
        </w:rPr>
        <w:t xml:space="preserve"> </w:t>
      </w:r>
      <w:r>
        <w:rPr>
          <w:w w:val="110"/>
        </w:rPr>
        <w:t>addition,</w:t>
      </w:r>
      <w:r>
        <w:rPr>
          <w:spacing w:val="-16"/>
          <w:w w:val="110"/>
        </w:rPr>
        <w:t xml:space="preserve"> </w:t>
      </w:r>
      <w:r>
        <w:rPr>
          <w:w w:val="110"/>
        </w:rPr>
        <w:t>perhaps</w:t>
      </w:r>
      <w:r>
        <w:rPr>
          <w:spacing w:val="-26"/>
          <w:w w:val="110"/>
        </w:rPr>
        <w:t xml:space="preserve"> </w:t>
      </w:r>
      <w:r>
        <w:rPr>
          <w:w w:val="110"/>
        </w:rPr>
        <w:t>10%</w:t>
      </w:r>
      <w:r>
        <w:rPr>
          <w:spacing w:val="-28"/>
          <w:w w:val="110"/>
        </w:rPr>
        <w:t xml:space="preserve"> </w:t>
      </w:r>
      <w:r>
        <w:rPr>
          <w:w w:val="110"/>
        </w:rPr>
        <w:t>of</w:t>
      </w:r>
      <w:r>
        <w:rPr>
          <w:spacing w:val="-18"/>
          <w:w w:val="110"/>
        </w:rPr>
        <w:t xml:space="preserve"> </w:t>
      </w:r>
      <w:r>
        <w:rPr>
          <w:w w:val="110"/>
        </w:rPr>
        <w:t>individuals</w:t>
      </w:r>
      <w:r>
        <w:rPr>
          <w:spacing w:val="-19"/>
          <w:w w:val="110"/>
        </w:rPr>
        <w:t xml:space="preserve"> </w:t>
      </w:r>
      <w:r>
        <w:rPr>
          <w:w w:val="110"/>
        </w:rPr>
        <w:t>with</w:t>
      </w:r>
      <w:r>
        <w:rPr>
          <w:spacing w:val="-23"/>
          <w:w w:val="110"/>
        </w:rPr>
        <w:t xml:space="preserve"> </w:t>
      </w:r>
      <w:r>
        <w:rPr>
          <w:w w:val="110"/>
        </w:rPr>
        <w:t>Substance Dependence commit suicide, often in the context of a Substance-Induced Mood Disorder. Finally, because most, if not all, of the substances described in this section cross</w:t>
      </w:r>
      <w:r>
        <w:rPr>
          <w:spacing w:val="-27"/>
          <w:w w:val="110"/>
        </w:rPr>
        <w:t xml:space="preserve"> </w:t>
      </w:r>
      <w:r>
        <w:rPr>
          <w:w w:val="110"/>
        </w:rPr>
        <w:t>the</w:t>
      </w:r>
      <w:r>
        <w:rPr>
          <w:spacing w:val="-15"/>
          <w:w w:val="110"/>
        </w:rPr>
        <w:t xml:space="preserve"> </w:t>
      </w:r>
      <w:r>
        <w:rPr>
          <w:w w:val="110"/>
        </w:rPr>
        <w:t>placenta,</w:t>
      </w:r>
      <w:r>
        <w:rPr>
          <w:spacing w:val="-19"/>
          <w:w w:val="110"/>
        </w:rPr>
        <w:t xml:space="preserve"> </w:t>
      </w:r>
      <w:r>
        <w:rPr>
          <w:w w:val="110"/>
        </w:rPr>
        <w:t>they</w:t>
      </w:r>
      <w:r>
        <w:rPr>
          <w:spacing w:val="-22"/>
          <w:w w:val="110"/>
        </w:rPr>
        <w:t xml:space="preserve"> </w:t>
      </w:r>
      <w:r>
        <w:rPr>
          <w:w w:val="110"/>
        </w:rPr>
        <w:t>may</w:t>
      </w:r>
      <w:r>
        <w:rPr>
          <w:spacing w:val="-24"/>
          <w:w w:val="110"/>
        </w:rPr>
        <w:t xml:space="preserve"> </w:t>
      </w:r>
      <w:r>
        <w:rPr>
          <w:w w:val="110"/>
        </w:rPr>
        <w:t>have</w:t>
      </w:r>
      <w:r>
        <w:rPr>
          <w:spacing w:val="-21"/>
          <w:w w:val="110"/>
        </w:rPr>
        <w:t xml:space="preserve"> </w:t>
      </w:r>
      <w:r>
        <w:rPr>
          <w:w w:val="110"/>
        </w:rPr>
        <w:t>potential</w:t>
      </w:r>
      <w:r>
        <w:rPr>
          <w:spacing w:val="-20"/>
          <w:w w:val="110"/>
        </w:rPr>
        <w:t xml:space="preserve"> </w:t>
      </w:r>
      <w:r>
        <w:rPr>
          <w:w w:val="110"/>
        </w:rPr>
        <w:t>adverse</w:t>
      </w:r>
      <w:r>
        <w:rPr>
          <w:spacing w:val="-21"/>
          <w:w w:val="110"/>
        </w:rPr>
        <w:t xml:space="preserve"> </w:t>
      </w:r>
      <w:r>
        <w:rPr>
          <w:w w:val="110"/>
        </w:rPr>
        <w:t>effects</w:t>
      </w:r>
      <w:r>
        <w:rPr>
          <w:spacing w:val="-26"/>
          <w:w w:val="110"/>
        </w:rPr>
        <w:t xml:space="preserve"> </w:t>
      </w:r>
      <w:r>
        <w:rPr>
          <w:w w:val="110"/>
        </w:rPr>
        <w:t>on</w:t>
      </w:r>
      <w:r>
        <w:rPr>
          <w:spacing w:val="-27"/>
          <w:w w:val="110"/>
        </w:rPr>
        <w:t xml:space="preserve"> </w:t>
      </w:r>
      <w:r>
        <w:rPr>
          <w:w w:val="110"/>
        </w:rPr>
        <w:t>the</w:t>
      </w:r>
      <w:r>
        <w:rPr>
          <w:spacing w:val="-29"/>
          <w:w w:val="110"/>
        </w:rPr>
        <w:t xml:space="preserve"> </w:t>
      </w:r>
      <w:r>
        <w:rPr>
          <w:w w:val="110"/>
        </w:rPr>
        <w:t>developing</w:t>
      </w:r>
      <w:r>
        <w:rPr>
          <w:spacing w:val="-20"/>
          <w:w w:val="110"/>
        </w:rPr>
        <w:t xml:space="preserve"> </w:t>
      </w:r>
      <w:r>
        <w:rPr>
          <w:w w:val="110"/>
        </w:rPr>
        <w:t>fetus</w:t>
      </w:r>
      <w:r>
        <w:rPr>
          <w:spacing w:val="-28"/>
          <w:w w:val="110"/>
        </w:rPr>
        <w:t xml:space="preserve"> </w:t>
      </w:r>
      <w:r>
        <w:rPr>
          <w:w w:val="110"/>
        </w:rPr>
        <w:t>(e.g., fetal</w:t>
      </w:r>
      <w:r>
        <w:rPr>
          <w:spacing w:val="-20"/>
          <w:w w:val="110"/>
        </w:rPr>
        <w:t xml:space="preserve"> </w:t>
      </w:r>
      <w:r>
        <w:rPr>
          <w:w w:val="110"/>
        </w:rPr>
        <w:t>alcohol</w:t>
      </w:r>
      <w:r>
        <w:rPr>
          <w:spacing w:val="-14"/>
          <w:w w:val="110"/>
        </w:rPr>
        <w:t xml:space="preserve"> </w:t>
      </w:r>
      <w:r>
        <w:rPr>
          <w:w w:val="110"/>
        </w:rPr>
        <w:t>syndrome).</w:t>
      </w:r>
      <w:r>
        <w:rPr>
          <w:spacing w:val="-11"/>
          <w:w w:val="110"/>
        </w:rPr>
        <w:t xml:space="preserve"> </w:t>
      </w:r>
      <w:r>
        <w:rPr>
          <w:w w:val="110"/>
        </w:rPr>
        <w:t>When</w:t>
      </w:r>
      <w:r>
        <w:rPr>
          <w:spacing w:val="-10"/>
          <w:w w:val="110"/>
        </w:rPr>
        <w:t xml:space="preserve"> </w:t>
      </w:r>
      <w:r>
        <w:rPr>
          <w:w w:val="110"/>
        </w:rPr>
        <w:t>taken</w:t>
      </w:r>
      <w:r>
        <w:rPr>
          <w:spacing w:val="-13"/>
          <w:w w:val="110"/>
        </w:rPr>
        <w:t xml:space="preserve"> </w:t>
      </w:r>
      <w:r>
        <w:rPr>
          <w:w w:val="110"/>
        </w:rPr>
        <w:t>repeatedly</w:t>
      </w:r>
      <w:r>
        <w:rPr>
          <w:spacing w:val="-8"/>
          <w:w w:val="110"/>
        </w:rPr>
        <w:t xml:space="preserve"> </w:t>
      </w:r>
      <w:r>
        <w:rPr>
          <w:w w:val="110"/>
        </w:rPr>
        <w:t>in</w:t>
      </w:r>
      <w:r>
        <w:rPr>
          <w:spacing w:val="-16"/>
          <w:w w:val="110"/>
        </w:rPr>
        <w:t xml:space="preserve"> </w:t>
      </w:r>
      <w:r>
        <w:rPr>
          <w:w w:val="110"/>
        </w:rPr>
        <w:t>high</w:t>
      </w:r>
      <w:r>
        <w:rPr>
          <w:spacing w:val="-16"/>
          <w:w w:val="110"/>
        </w:rPr>
        <w:t xml:space="preserve"> </w:t>
      </w:r>
      <w:r>
        <w:rPr>
          <w:w w:val="110"/>
        </w:rPr>
        <w:t>doses</w:t>
      </w:r>
      <w:r>
        <w:rPr>
          <w:spacing w:val="-14"/>
          <w:w w:val="110"/>
        </w:rPr>
        <w:t xml:space="preserve"> </w:t>
      </w:r>
      <w:r>
        <w:rPr>
          <w:w w:val="110"/>
        </w:rPr>
        <w:t>by</w:t>
      </w:r>
      <w:r>
        <w:rPr>
          <w:spacing w:val="-19"/>
          <w:w w:val="110"/>
        </w:rPr>
        <w:t xml:space="preserve"> </w:t>
      </w:r>
      <w:r>
        <w:rPr>
          <w:w w:val="110"/>
        </w:rPr>
        <w:t>the</w:t>
      </w:r>
      <w:r>
        <w:rPr>
          <w:spacing w:val="-19"/>
          <w:w w:val="110"/>
        </w:rPr>
        <w:t xml:space="preserve"> </w:t>
      </w:r>
      <w:r>
        <w:rPr>
          <w:w w:val="110"/>
        </w:rPr>
        <w:t>mother,</w:t>
      </w:r>
      <w:r>
        <w:rPr>
          <w:spacing w:val="-13"/>
          <w:w w:val="110"/>
        </w:rPr>
        <w:t xml:space="preserve"> </w:t>
      </w:r>
      <w:r>
        <w:rPr>
          <w:w w:val="110"/>
        </w:rPr>
        <w:t>a</w:t>
      </w:r>
      <w:r>
        <w:rPr>
          <w:spacing w:val="-19"/>
          <w:w w:val="110"/>
        </w:rPr>
        <w:t xml:space="preserve"> </w:t>
      </w:r>
      <w:r>
        <w:rPr>
          <w:w w:val="110"/>
        </w:rPr>
        <w:t>number of</w:t>
      </w:r>
      <w:r>
        <w:rPr>
          <w:spacing w:val="-28"/>
          <w:w w:val="110"/>
        </w:rPr>
        <w:t xml:space="preserve"> </w:t>
      </w:r>
      <w:r>
        <w:rPr>
          <w:w w:val="110"/>
        </w:rPr>
        <w:t>substances</w:t>
      </w:r>
      <w:r>
        <w:rPr>
          <w:spacing w:val="-26"/>
          <w:w w:val="110"/>
        </w:rPr>
        <w:t xml:space="preserve"> </w:t>
      </w:r>
      <w:r>
        <w:rPr>
          <w:w w:val="110"/>
        </w:rPr>
        <w:t>(e.g.,</w:t>
      </w:r>
      <w:r>
        <w:rPr>
          <w:spacing w:val="-28"/>
          <w:w w:val="110"/>
        </w:rPr>
        <w:t xml:space="preserve"> </w:t>
      </w:r>
      <w:r>
        <w:rPr>
          <w:w w:val="110"/>
        </w:rPr>
        <w:t>cocaine,</w:t>
      </w:r>
      <w:r>
        <w:rPr>
          <w:spacing w:val="-23"/>
          <w:w w:val="110"/>
        </w:rPr>
        <w:t xml:space="preserve"> </w:t>
      </w:r>
      <w:r>
        <w:rPr>
          <w:w w:val="110"/>
        </w:rPr>
        <w:t>opioids,</w:t>
      </w:r>
      <w:r>
        <w:rPr>
          <w:spacing w:val="-21"/>
          <w:w w:val="110"/>
        </w:rPr>
        <w:t xml:space="preserve"> </w:t>
      </w:r>
      <w:r>
        <w:rPr>
          <w:w w:val="110"/>
        </w:rPr>
        <w:t>alcohol,</w:t>
      </w:r>
      <w:r>
        <w:rPr>
          <w:spacing w:val="-22"/>
          <w:w w:val="110"/>
        </w:rPr>
        <w:t xml:space="preserve"> </w:t>
      </w:r>
      <w:r>
        <w:rPr>
          <w:w w:val="110"/>
        </w:rPr>
        <w:t>and</w:t>
      </w:r>
      <w:r>
        <w:rPr>
          <w:spacing w:val="-30"/>
          <w:w w:val="110"/>
        </w:rPr>
        <w:t xml:space="preserve"> </w:t>
      </w:r>
      <w:r>
        <w:rPr>
          <w:w w:val="110"/>
        </w:rPr>
        <w:t>sedatives,</w:t>
      </w:r>
      <w:r>
        <w:rPr>
          <w:spacing w:val="-19"/>
          <w:w w:val="110"/>
        </w:rPr>
        <w:t xml:space="preserve"> </w:t>
      </w:r>
      <w:r>
        <w:rPr>
          <w:w w:val="110"/>
        </w:rPr>
        <w:t>hypnotics,</w:t>
      </w:r>
      <w:r>
        <w:rPr>
          <w:spacing w:val="-20"/>
          <w:w w:val="110"/>
        </w:rPr>
        <w:t xml:space="preserve"> </w:t>
      </w:r>
      <w:r>
        <w:rPr>
          <w:w w:val="110"/>
        </w:rPr>
        <w:t>and</w:t>
      </w:r>
      <w:r>
        <w:rPr>
          <w:spacing w:val="-29"/>
          <w:w w:val="110"/>
        </w:rPr>
        <w:t xml:space="preserve"> </w:t>
      </w:r>
      <w:r>
        <w:rPr>
          <w:w w:val="110"/>
        </w:rPr>
        <w:t>anxiolytics) are</w:t>
      </w:r>
      <w:r>
        <w:rPr>
          <w:spacing w:val="-32"/>
          <w:w w:val="110"/>
        </w:rPr>
        <w:t xml:space="preserve"> </w:t>
      </w:r>
      <w:r>
        <w:rPr>
          <w:w w:val="110"/>
        </w:rPr>
        <w:t>capable</w:t>
      </w:r>
      <w:r>
        <w:rPr>
          <w:spacing w:val="-31"/>
          <w:w w:val="110"/>
        </w:rPr>
        <w:t xml:space="preserve"> </w:t>
      </w:r>
      <w:r>
        <w:rPr>
          <w:w w:val="110"/>
        </w:rPr>
        <w:t>of</w:t>
      </w:r>
      <w:r>
        <w:rPr>
          <w:spacing w:val="-28"/>
          <w:w w:val="110"/>
        </w:rPr>
        <w:t xml:space="preserve"> </w:t>
      </w:r>
      <w:r>
        <w:rPr>
          <w:w w:val="110"/>
        </w:rPr>
        <w:t>causing</w:t>
      </w:r>
      <w:r>
        <w:rPr>
          <w:spacing w:val="-23"/>
          <w:w w:val="110"/>
        </w:rPr>
        <w:t xml:space="preserve"> </w:t>
      </w:r>
      <w:r>
        <w:rPr>
          <w:w w:val="110"/>
        </w:rPr>
        <w:t>physiological</w:t>
      </w:r>
      <w:r>
        <w:rPr>
          <w:spacing w:val="-24"/>
          <w:w w:val="110"/>
        </w:rPr>
        <w:t xml:space="preserve"> </w:t>
      </w:r>
      <w:r>
        <w:rPr>
          <w:w w:val="110"/>
        </w:rPr>
        <w:t>dependence</w:t>
      </w:r>
      <w:r>
        <w:rPr>
          <w:spacing w:val="-24"/>
          <w:w w:val="110"/>
        </w:rPr>
        <w:t xml:space="preserve"> </w:t>
      </w:r>
      <w:r>
        <w:rPr>
          <w:w w:val="110"/>
        </w:rPr>
        <w:t>in</w:t>
      </w:r>
      <w:r>
        <w:rPr>
          <w:spacing w:val="-33"/>
          <w:w w:val="110"/>
        </w:rPr>
        <w:t xml:space="preserve"> </w:t>
      </w:r>
      <w:r>
        <w:rPr>
          <w:w w:val="110"/>
        </w:rPr>
        <w:t>the</w:t>
      </w:r>
      <w:r>
        <w:rPr>
          <w:spacing w:val="-35"/>
          <w:w w:val="110"/>
        </w:rPr>
        <w:t xml:space="preserve"> </w:t>
      </w:r>
      <w:r>
        <w:rPr>
          <w:w w:val="110"/>
        </w:rPr>
        <w:t>fetus</w:t>
      </w:r>
      <w:r>
        <w:rPr>
          <w:spacing w:val="-35"/>
          <w:w w:val="110"/>
        </w:rPr>
        <w:t xml:space="preserve"> </w:t>
      </w:r>
      <w:r>
        <w:rPr>
          <w:w w:val="110"/>
        </w:rPr>
        <w:t>and</w:t>
      </w:r>
      <w:r>
        <w:rPr>
          <w:spacing w:val="-32"/>
          <w:w w:val="110"/>
        </w:rPr>
        <w:t xml:space="preserve"> </w:t>
      </w:r>
      <w:r>
        <w:rPr>
          <w:w w:val="110"/>
        </w:rPr>
        <w:t>a</w:t>
      </w:r>
      <w:r>
        <w:rPr>
          <w:spacing w:val="-33"/>
          <w:w w:val="110"/>
        </w:rPr>
        <w:t xml:space="preserve"> </w:t>
      </w:r>
      <w:r>
        <w:rPr>
          <w:w w:val="110"/>
        </w:rPr>
        <w:t>withdrawal</w:t>
      </w:r>
      <w:r>
        <w:rPr>
          <w:spacing w:val="-29"/>
          <w:w w:val="110"/>
        </w:rPr>
        <w:t xml:space="preserve"> </w:t>
      </w:r>
      <w:r>
        <w:rPr>
          <w:w w:val="110"/>
        </w:rPr>
        <w:t>syndrome in the</w:t>
      </w:r>
      <w:r>
        <w:rPr>
          <w:spacing w:val="23"/>
          <w:w w:val="110"/>
        </w:rPr>
        <w:t xml:space="preserve"> </w:t>
      </w:r>
      <w:r>
        <w:rPr>
          <w:w w:val="110"/>
        </w:rPr>
        <w:t>newborn.</w:t>
      </w:r>
    </w:p>
    <w:p w:rsidR="00E675F0" w:rsidRDefault="00E675F0" w:rsidP="00E675F0">
      <w:pPr>
        <w:pStyle w:val="BodyText"/>
        <w:rPr>
          <w:sz w:val="22"/>
        </w:rPr>
      </w:pPr>
    </w:p>
    <w:p w:rsidR="00E675F0" w:rsidRDefault="00E675F0" w:rsidP="00E675F0">
      <w:pPr>
        <w:spacing w:before="174"/>
        <w:ind w:left="111"/>
        <w:jc w:val="both"/>
        <w:rPr>
          <w:rFonts w:ascii="TimesNewRomanPS-BoldItalicMT"/>
          <w:b/>
          <w:i/>
          <w:sz w:val="24"/>
        </w:rPr>
      </w:pPr>
      <w:r>
        <w:rPr>
          <w:rFonts w:ascii="TimesNewRomanPS-BoldItalicMT"/>
          <w:b/>
          <w:i/>
          <w:w w:val="115"/>
          <w:sz w:val="24"/>
        </w:rPr>
        <w:t>Familial Pattern</w:t>
      </w:r>
    </w:p>
    <w:p w:rsidR="00E675F0" w:rsidRDefault="00E675F0" w:rsidP="00E675F0">
      <w:pPr>
        <w:pStyle w:val="BodyText"/>
        <w:spacing w:before="146" w:line="252" w:lineRule="auto"/>
        <w:ind w:left="134" w:right="112" w:firstLine="1"/>
        <w:jc w:val="both"/>
      </w:pPr>
      <w:r>
        <w:rPr>
          <w:w w:val="105"/>
        </w:rPr>
        <w:t>Information about familial associations has been best studied for the Alcohol-Related Disorders (see the detailed discussion on p. 203). There is some evidence for genetically determined differences among individuals in the doses required to produce Alcohol Intoxication. Although Substance Abuse and Dependence appear to aggregate in families, some of this effect may be explained by the concurrent familial distribution of Antisocial Personality Disorder, which may predispose individuals to the development of Substance Abuse or Dependence.</w:t>
      </w:r>
    </w:p>
    <w:p w:rsidR="00E675F0" w:rsidRDefault="00E675F0" w:rsidP="00E675F0">
      <w:pPr>
        <w:pStyle w:val="BodyText"/>
        <w:rPr>
          <w:sz w:val="22"/>
        </w:rPr>
      </w:pPr>
    </w:p>
    <w:p w:rsidR="00E675F0" w:rsidRDefault="00E675F0" w:rsidP="00E675F0">
      <w:pPr>
        <w:spacing w:before="163"/>
        <w:ind w:left="125"/>
        <w:jc w:val="both"/>
        <w:rPr>
          <w:rFonts w:ascii="TimesNewRomanPS-BoldItalicMT"/>
          <w:b/>
          <w:i/>
          <w:sz w:val="24"/>
        </w:rPr>
      </w:pPr>
      <w:r>
        <w:rPr>
          <w:rFonts w:ascii="TimesNewRomanPS-BoldItalicMT"/>
          <w:b/>
          <w:i/>
          <w:w w:val="115"/>
          <w:sz w:val="24"/>
        </w:rPr>
        <w:t>Differential Diagnosis</w:t>
      </w:r>
    </w:p>
    <w:p w:rsidR="00E675F0" w:rsidRDefault="00E675F0" w:rsidP="00E675F0">
      <w:pPr>
        <w:spacing w:before="156" w:line="254" w:lineRule="auto"/>
        <w:ind w:left="130" w:right="106" w:firstLine="2"/>
        <w:jc w:val="both"/>
        <w:rPr>
          <w:sz w:val="20"/>
        </w:rPr>
      </w:pPr>
      <w:r>
        <w:rPr>
          <w:w w:val="105"/>
          <w:sz w:val="20"/>
        </w:rPr>
        <w:t xml:space="preserve">Substance-Related Disorders are distinguished from </w:t>
      </w:r>
      <w:r>
        <w:rPr>
          <w:b/>
          <w:w w:val="105"/>
          <w:sz w:val="20"/>
        </w:rPr>
        <w:t xml:space="preserve">nonpathological substance use </w:t>
      </w:r>
      <w:r>
        <w:rPr>
          <w:w w:val="105"/>
          <w:sz w:val="20"/>
        </w:rPr>
        <w:t xml:space="preserve">(e.g., </w:t>
      </w:r>
      <w:r>
        <w:rPr>
          <w:b/>
          <w:w w:val="105"/>
          <w:sz w:val="20"/>
        </w:rPr>
        <w:t xml:space="preserve">"social" drinking) </w:t>
      </w:r>
      <w:r>
        <w:rPr>
          <w:w w:val="105"/>
          <w:sz w:val="20"/>
        </w:rPr>
        <w:t xml:space="preserve">and from the </w:t>
      </w:r>
      <w:r>
        <w:rPr>
          <w:b/>
          <w:w w:val="105"/>
          <w:sz w:val="20"/>
        </w:rPr>
        <w:t xml:space="preserve">use of medications for appropriate medical purposes </w:t>
      </w:r>
      <w:r>
        <w:rPr>
          <w:w w:val="105"/>
          <w:sz w:val="20"/>
        </w:rPr>
        <w:t xml:space="preserve">by the presence of tolerance, withdrawal, compulsive use, or substance­ related problems (e.g., medical complications, disruption in social and family relation­ ships, vocational or financial difficulties, legal problems). Repeated episodes of </w:t>
      </w:r>
      <w:r>
        <w:rPr>
          <w:b/>
          <w:w w:val="105"/>
          <w:sz w:val="20"/>
        </w:rPr>
        <w:t xml:space="preserve">Substance Intoxication </w:t>
      </w:r>
      <w:r>
        <w:rPr>
          <w:w w:val="105"/>
          <w:sz w:val="20"/>
        </w:rPr>
        <w:t xml:space="preserve">are almost invariably prominent features of </w:t>
      </w:r>
      <w:r>
        <w:rPr>
          <w:b/>
          <w:w w:val="105"/>
          <w:sz w:val="20"/>
        </w:rPr>
        <w:t xml:space="preserve">Substance Abuse </w:t>
      </w:r>
      <w:r>
        <w:rPr>
          <w:w w:val="105"/>
          <w:sz w:val="20"/>
        </w:rPr>
        <w:t xml:space="preserve">or </w:t>
      </w:r>
      <w:r>
        <w:rPr>
          <w:b/>
          <w:w w:val="105"/>
          <w:sz w:val="20"/>
        </w:rPr>
        <w:t xml:space="preserve">Dependence. </w:t>
      </w:r>
      <w:r>
        <w:rPr>
          <w:w w:val="105"/>
          <w:sz w:val="20"/>
        </w:rPr>
        <w:t>However, one or more episodes of Intoxication alone are not sufficient for a diagnosis of either Substance Dependence</w:t>
      </w:r>
      <w:r>
        <w:rPr>
          <w:spacing w:val="10"/>
          <w:w w:val="105"/>
          <w:sz w:val="20"/>
        </w:rPr>
        <w:t xml:space="preserve"> </w:t>
      </w:r>
      <w:r>
        <w:rPr>
          <w:w w:val="105"/>
          <w:sz w:val="20"/>
        </w:rPr>
        <w:t>or Abuse.</w:t>
      </w:r>
    </w:p>
    <w:p w:rsidR="00E675F0" w:rsidRDefault="00E675F0" w:rsidP="00E675F0">
      <w:pPr>
        <w:pStyle w:val="BodyText"/>
        <w:spacing w:before="6" w:line="249" w:lineRule="auto"/>
        <w:ind w:left="130" w:right="110" w:firstLine="371"/>
        <w:jc w:val="both"/>
      </w:pPr>
      <w:r>
        <w:rPr>
          <w:w w:val="105"/>
          <w:sz w:val="19"/>
        </w:rPr>
        <w:t xml:space="preserve">It </w:t>
      </w:r>
      <w:r>
        <w:rPr>
          <w:w w:val="105"/>
        </w:rPr>
        <w:t xml:space="preserve">may sometimes be difficult to distinguish between </w:t>
      </w:r>
      <w:r>
        <w:rPr>
          <w:b/>
          <w:w w:val="105"/>
        </w:rPr>
        <w:t xml:space="preserve">Substance Intoxication </w:t>
      </w:r>
      <w:r>
        <w:rPr>
          <w:w w:val="105"/>
        </w:rPr>
        <w:t xml:space="preserve">and </w:t>
      </w:r>
      <w:r>
        <w:rPr>
          <w:b/>
          <w:w w:val="105"/>
        </w:rPr>
        <w:t xml:space="preserve">Substance Withdrawal. </w:t>
      </w:r>
      <w:r>
        <w:rPr>
          <w:w w:val="105"/>
          <w:sz w:val="21"/>
        </w:rPr>
        <w:t xml:space="preserve">If </w:t>
      </w:r>
      <w:r>
        <w:rPr>
          <w:w w:val="105"/>
        </w:rPr>
        <w:t>a symptom arises during the time of dosing and then gradually abates after dosing stops, it is likely to be part of Intoxication. If the symptom arises</w:t>
      </w:r>
      <w:r>
        <w:rPr>
          <w:spacing w:val="-17"/>
          <w:w w:val="105"/>
        </w:rPr>
        <w:t xml:space="preserve"> </w:t>
      </w:r>
      <w:r>
        <w:rPr>
          <w:w w:val="105"/>
        </w:rPr>
        <w:t>after</w:t>
      </w:r>
      <w:r>
        <w:rPr>
          <w:spacing w:val="-18"/>
          <w:w w:val="105"/>
        </w:rPr>
        <w:t xml:space="preserve"> </w:t>
      </w:r>
      <w:r>
        <w:rPr>
          <w:w w:val="105"/>
        </w:rPr>
        <w:t>stopping</w:t>
      </w:r>
      <w:r>
        <w:rPr>
          <w:spacing w:val="-8"/>
          <w:w w:val="105"/>
        </w:rPr>
        <w:t xml:space="preserve"> </w:t>
      </w:r>
      <w:r>
        <w:rPr>
          <w:w w:val="105"/>
        </w:rPr>
        <w:t>the</w:t>
      </w:r>
      <w:r>
        <w:rPr>
          <w:spacing w:val="-22"/>
          <w:w w:val="105"/>
        </w:rPr>
        <w:t xml:space="preserve"> </w:t>
      </w:r>
      <w:r>
        <w:rPr>
          <w:w w:val="105"/>
        </w:rPr>
        <w:t>substance,</w:t>
      </w:r>
      <w:r>
        <w:rPr>
          <w:spacing w:val="1"/>
          <w:w w:val="105"/>
        </w:rPr>
        <w:t xml:space="preserve"> </w:t>
      </w:r>
      <w:r>
        <w:rPr>
          <w:w w:val="105"/>
        </w:rPr>
        <w:t>or</w:t>
      </w:r>
      <w:r>
        <w:rPr>
          <w:spacing w:val="-12"/>
          <w:w w:val="105"/>
        </w:rPr>
        <w:t xml:space="preserve"> </w:t>
      </w:r>
      <w:r>
        <w:rPr>
          <w:w w:val="105"/>
        </w:rPr>
        <w:t>reducing</w:t>
      </w:r>
      <w:r>
        <w:rPr>
          <w:spacing w:val="-15"/>
          <w:w w:val="105"/>
        </w:rPr>
        <w:t xml:space="preserve"> </w:t>
      </w:r>
      <w:r>
        <w:rPr>
          <w:w w:val="105"/>
        </w:rPr>
        <w:t>its</w:t>
      </w:r>
      <w:r>
        <w:rPr>
          <w:spacing w:val="-13"/>
          <w:w w:val="105"/>
        </w:rPr>
        <w:t xml:space="preserve"> </w:t>
      </w:r>
      <w:r>
        <w:rPr>
          <w:w w:val="105"/>
        </w:rPr>
        <w:t>use,</w:t>
      </w:r>
      <w:r>
        <w:rPr>
          <w:spacing w:val="-11"/>
          <w:w w:val="105"/>
        </w:rPr>
        <w:t xml:space="preserve"> </w:t>
      </w:r>
      <w:r>
        <w:rPr>
          <w:w w:val="105"/>
        </w:rPr>
        <w:t>it</w:t>
      </w:r>
      <w:r>
        <w:rPr>
          <w:spacing w:val="-17"/>
          <w:w w:val="105"/>
        </w:rPr>
        <w:t xml:space="preserve"> </w:t>
      </w:r>
      <w:r>
        <w:rPr>
          <w:w w:val="105"/>
        </w:rPr>
        <w:t>is</w:t>
      </w:r>
      <w:r>
        <w:rPr>
          <w:spacing w:val="-22"/>
          <w:w w:val="105"/>
        </w:rPr>
        <w:t xml:space="preserve"> </w:t>
      </w:r>
      <w:r>
        <w:rPr>
          <w:w w:val="105"/>
        </w:rPr>
        <w:t>likely</w:t>
      </w:r>
      <w:r>
        <w:rPr>
          <w:spacing w:val="-13"/>
          <w:w w:val="105"/>
        </w:rPr>
        <w:t xml:space="preserve"> </w:t>
      </w:r>
      <w:r>
        <w:rPr>
          <w:w w:val="105"/>
        </w:rPr>
        <w:t>to</w:t>
      </w:r>
      <w:r>
        <w:rPr>
          <w:spacing w:val="-14"/>
          <w:w w:val="105"/>
        </w:rPr>
        <w:t xml:space="preserve"> </w:t>
      </w:r>
      <w:r>
        <w:rPr>
          <w:w w:val="105"/>
        </w:rPr>
        <w:t>be</w:t>
      </w:r>
      <w:r>
        <w:rPr>
          <w:spacing w:val="-7"/>
          <w:w w:val="105"/>
        </w:rPr>
        <w:t xml:space="preserve"> </w:t>
      </w:r>
      <w:r>
        <w:rPr>
          <w:w w:val="105"/>
        </w:rPr>
        <w:t>part</w:t>
      </w:r>
      <w:r>
        <w:rPr>
          <w:spacing w:val="-14"/>
          <w:w w:val="105"/>
        </w:rPr>
        <w:t xml:space="preserve"> </w:t>
      </w:r>
      <w:r>
        <w:rPr>
          <w:w w:val="105"/>
        </w:rPr>
        <w:t>of</w:t>
      </w:r>
      <w:r>
        <w:rPr>
          <w:spacing w:val="-13"/>
          <w:w w:val="105"/>
        </w:rPr>
        <w:t xml:space="preserve"> </w:t>
      </w:r>
      <w:r>
        <w:rPr>
          <w:w w:val="105"/>
        </w:rPr>
        <w:t>Withdrawal.</w:t>
      </w:r>
    </w:p>
    <w:p w:rsidR="00E675F0" w:rsidRDefault="00E675F0" w:rsidP="00E675F0">
      <w:pPr>
        <w:spacing w:line="249" w:lineRule="auto"/>
        <w:jc w:val="both"/>
        <w:sectPr w:rsidR="00E675F0">
          <w:pgSz w:w="8960" w:h="14260"/>
          <w:pgMar w:top="1400" w:right="620" w:bottom="280" w:left="600" w:header="693" w:footer="0" w:gutter="0"/>
          <w:cols w:space="720"/>
        </w:sectPr>
      </w:pPr>
    </w:p>
    <w:p w:rsidR="00E675F0" w:rsidRDefault="00E675F0" w:rsidP="00E675F0">
      <w:pPr>
        <w:spacing w:before="127" w:line="254" w:lineRule="auto"/>
        <w:ind w:left="115" w:right="104" w:firstLine="4"/>
        <w:jc w:val="both"/>
        <w:rPr>
          <w:sz w:val="20"/>
        </w:rPr>
      </w:pPr>
      <w:r>
        <w:rPr>
          <w:w w:val="110"/>
          <w:sz w:val="20"/>
        </w:rPr>
        <w:lastRenderedPageBreak/>
        <w:t>Individuals</w:t>
      </w:r>
      <w:r>
        <w:rPr>
          <w:spacing w:val="-13"/>
          <w:w w:val="110"/>
          <w:sz w:val="20"/>
        </w:rPr>
        <w:t xml:space="preserve"> </w:t>
      </w:r>
      <w:r>
        <w:rPr>
          <w:w w:val="110"/>
          <w:sz w:val="20"/>
        </w:rPr>
        <w:t>with</w:t>
      </w:r>
      <w:r>
        <w:rPr>
          <w:spacing w:val="-16"/>
          <w:w w:val="110"/>
          <w:sz w:val="20"/>
        </w:rPr>
        <w:t xml:space="preserve"> </w:t>
      </w:r>
      <w:r>
        <w:rPr>
          <w:w w:val="110"/>
          <w:sz w:val="20"/>
        </w:rPr>
        <w:t>Substance-Related</w:t>
      </w:r>
      <w:r>
        <w:rPr>
          <w:spacing w:val="-11"/>
          <w:w w:val="110"/>
          <w:sz w:val="20"/>
        </w:rPr>
        <w:t xml:space="preserve"> </w:t>
      </w:r>
      <w:r>
        <w:rPr>
          <w:w w:val="110"/>
          <w:sz w:val="20"/>
        </w:rPr>
        <w:t>Disorders</w:t>
      </w:r>
      <w:r>
        <w:rPr>
          <w:spacing w:val="-12"/>
          <w:w w:val="110"/>
          <w:sz w:val="20"/>
        </w:rPr>
        <w:t xml:space="preserve"> </w:t>
      </w:r>
      <w:r>
        <w:rPr>
          <w:w w:val="110"/>
          <w:sz w:val="20"/>
        </w:rPr>
        <w:t>often</w:t>
      </w:r>
      <w:r>
        <w:rPr>
          <w:spacing w:val="-6"/>
          <w:w w:val="110"/>
          <w:sz w:val="20"/>
        </w:rPr>
        <w:t xml:space="preserve"> </w:t>
      </w:r>
      <w:r>
        <w:rPr>
          <w:w w:val="110"/>
          <w:sz w:val="20"/>
        </w:rPr>
        <w:t>take</w:t>
      </w:r>
      <w:r>
        <w:rPr>
          <w:spacing w:val="-10"/>
          <w:w w:val="110"/>
          <w:sz w:val="20"/>
        </w:rPr>
        <w:t xml:space="preserve"> </w:t>
      </w:r>
      <w:r>
        <w:rPr>
          <w:w w:val="110"/>
          <w:sz w:val="20"/>
        </w:rPr>
        <w:t>more</w:t>
      </w:r>
      <w:r>
        <w:rPr>
          <w:spacing w:val="-13"/>
          <w:w w:val="110"/>
          <w:sz w:val="20"/>
        </w:rPr>
        <w:t xml:space="preserve"> </w:t>
      </w:r>
      <w:r>
        <w:rPr>
          <w:w w:val="110"/>
          <w:sz w:val="20"/>
        </w:rPr>
        <w:t>than</w:t>
      </w:r>
      <w:r>
        <w:rPr>
          <w:spacing w:val="-10"/>
          <w:w w:val="110"/>
          <w:sz w:val="20"/>
        </w:rPr>
        <w:t xml:space="preserve"> </w:t>
      </w:r>
      <w:r>
        <w:rPr>
          <w:w w:val="110"/>
          <w:sz w:val="20"/>
        </w:rPr>
        <w:t>one</w:t>
      </w:r>
      <w:r>
        <w:rPr>
          <w:spacing w:val="-4"/>
          <w:w w:val="110"/>
          <w:sz w:val="20"/>
        </w:rPr>
        <w:t xml:space="preserve"> </w:t>
      </w:r>
      <w:r>
        <w:rPr>
          <w:w w:val="110"/>
          <w:sz w:val="20"/>
        </w:rPr>
        <w:t>substance</w:t>
      </w:r>
      <w:r>
        <w:rPr>
          <w:spacing w:val="-10"/>
          <w:w w:val="110"/>
          <w:sz w:val="20"/>
        </w:rPr>
        <w:t xml:space="preserve"> </w:t>
      </w:r>
      <w:r>
        <w:rPr>
          <w:w w:val="110"/>
          <w:sz w:val="20"/>
        </w:rPr>
        <w:t>and may be intoxicated with one substance (e.g., heroin) while withdrawing from another (e.g., diazepam). This differential is further complicated by the fact that the signs and symptoms of Withdrawal from some substances (e.g., sedatives) may partially mimic Intoxication</w:t>
      </w:r>
      <w:r>
        <w:rPr>
          <w:spacing w:val="-8"/>
          <w:w w:val="110"/>
          <w:sz w:val="20"/>
        </w:rPr>
        <w:t xml:space="preserve"> </w:t>
      </w:r>
      <w:r>
        <w:rPr>
          <w:w w:val="110"/>
          <w:sz w:val="20"/>
        </w:rPr>
        <w:t>with</w:t>
      </w:r>
      <w:r>
        <w:rPr>
          <w:spacing w:val="-8"/>
          <w:w w:val="110"/>
          <w:sz w:val="20"/>
        </w:rPr>
        <w:t xml:space="preserve"> </w:t>
      </w:r>
      <w:r>
        <w:rPr>
          <w:w w:val="110"/>
          <w:sz w:val="20"/>
        </w:rPr>
        <w:t>others</w:t>
      </w:r>
      <w:r>
        <w:rPr>
          <w:spacing w:val="-11"/>
          <w:w w:val="110"/>
          <w:sz w:val="20"/>
        </w:rPr>
        <w:t xml:space="preserve"> </w:t>
      </w:r>
      <w:r>
        <w:rPr>
          <w:w w:val="110"/>
          <w:sz w:val="20"/>
        </w:rPr>
        <w:t>(e.g.,</w:t>
      </w:r>
      <w:r>
        <w:rPr>
          <w:spacing w:val="-11"/>
          <w:w w:val="110"/>
          <w:sz w:val="20"/>
        </w:rPr>
        <w:t xml:space="preserve"> </w:t>
      </w:r>
      <w:r>
        <w:rPr>
          <w:w w:val="110"/>
          <w:sz w:val="20"/>
        </w:rPr>
        <w:t>amphetamines).</w:t>
      </w:r>
      <w:r>
        <w:rPr>
          <w:spacing w:val="-18"/>
          <w:w w:val="110"/>
          <w:sz w:val="20"/>
        </w:rPr>
        <w:t xml:space="preserve"> </w:t>
      </w:r>
      <w:r>
        <w:rPr>
          <w:w w:val="110"/>
          <w:sz w:val="20"/>
        </w:rPr>
        <w:t>Substance</w:t>
      </w:r>
      <w:r>
        <w:rPr>
          <w:spacing w:val="-5"/>
          <w:w w:val="110"/>
          <w:sz w:val="20"/>
        </w:rPr>
        <w:t xml:space="preserve"> </w:t>
      </w:r>
      <w:r>
        <w:rPr>
          <w:w w:val="110"/>
          <w:sz w:val="20"/>
        </w:rPr>
        <w:t>Intoxication</w:t>
      </w:r>
      <w:r>
        <w:rPr>
          <w:spacing w:val="-4"/>
          <w:w w:val="110"/>
          <w:sz w:val="20"/>
        </w:rPr>
        <w:t xml:space="preserve"> </w:t>
      </w:r>
      <w:r>
        <w:rPr>
          <w:w w:val="110"/>
          <w:sz w:val="20"/>
        </w:rPr>
        <w:t>is</w:t>
      </w:r>
      <w:r>
        <w:rPr>
          <w:spacing w:val="-16"/>
          <w:w w:val="110"/>
          <w:sz w:val="20"/>
        </w:rPr>
        <w:t xml:space="preserve"> </w:t>
      </w:r>
      <w:r>
        <w:rPr>
          <w:w w:val="110"/>
          <w:sz w:val="20"/>
        </w:rPr>
        <w:t xml:space="preserve">differentiated from </w:t>
      </w:r>
      <w:r>
        <w:rPr>
          <w:b/>
          <w:w w:val="110"/>
          <w:sz w:val="20"/>
        </w:rPr>
        <w:t xml:space="preserve">Substance Intoxication Delirium </w:t>
      </w:r>
      <w:r>
        <w:rPr>
          <w:w w:val="110"/>
          <w:sz w:val="20"/>
        </w:rPr>
        <w:t xml:space="preserve">(p. 129), </w:t>
      </w:r>
      <w:r>
        <w:rPr>
          <w:b/>
          <w:w w:val="110"/>
          <w:sz w:val="20"/>
        </w:rPr>
        <w:t xml:space="preserve">Substance-Induced Psychotic Disorder, With Onset During Intoxication </w:t>
      </w:r>
      <w:r>
        <w:rPr>
          <w:rFonts w:ascii="Arial"/>
          <w:w w:val="110"/>
          <w:sz w:val="18"/>
        </w:rPr>
        <w:t xml:space="preserve">(p. </w:t>
      </w:r>
      <w:r>
        <w:rPr>
          <w:w w:val="110"/>
          <w:sz w:val="19"/>
        </w:rPr>
        <w:t xml:space="preserve">310), </w:t>
      </w:r>
      <w:r>
        <w:rPr>
          <w:b/>
          <w:w w:val="110"/>
          <w:sz w:val="20"/>
        </w:rPr>
        <w:t xml:space="preserve">Substance-Induced Mood Disorder, With Onset During Intoxication </w:t>
      </w:r>
      <w:r>
        <w:rPr>
          <w:w w:val="110"/>
          <w:sz w:val="21"/>
        </w:rPr>
        <w:t xml:space="preserve">(p. </w:t>
      </w:r>
      <w:r>
        <w:rPr>
          <w:w w:val="110"/>
          <w:sz w:val="19"/>
        </w:rPr>
        <w:t xml:space="preserve">370), </w:t>
      </w:r>
      <w:r>
        <w:rPr>
          <w:b/>
          <w:w w:val="110"/>
          <w:sz w:val="20"/>
        </w:rPr>
        <w:t xml:space="preserve">Substance-Induced Anxiety Disorder, With Onset During Intoxication </w:t>
      </w:r>
      <w:r>
        <w:rPr>
          <w:w w:val="110"/>
          <w:sz w:val="20"/>
        </w:rPr>
        <w:t xml:space="preserve">(p. 439), </w:t>
      </w:r>
      <w:r>
        <w:rPr>
          <w:b/>
          <w:w w:val="110"/>
          <w:sz w:val="20"/>
        </w:rPr>
        <w:t xml:space="preserve">Substance-Induced Sexual Dysfunction, With Onset During Intoxication </w:t>
      </w:r>
      <w:r>
        <w:rPr>
          <w:w w:val="110"/>
          <w:sz w:val="20"/>
        </w:rPr>
        <w:t xml:space="preserve">(p. 519), and </w:t>
      </w:r>
      <w:r>
        <w:rPr>
          <w:b/>
          <w:w w:val="110"/>
          <w:sz w:val="20"/>
        </w:rPr>
        <w:t xml:space="preserve">Substance-Induced Sleep Disorder, With Onset During Intoxication </w:t>
      </w:r>
      <w:r>
        <w:rPr>
          <w:w w:val="110"/>
          <w:sz w:val="20"/>
        </w:rPr>
        <w:t>(p. 601), by the fact that the symptoms in these latter disorders are in excess of those usually associated with Substance</w:t>
      </w:r>
      <w:r>
        <w:rPr>
          <w:spacing w:val="-21"/>
          <w:w w:val="110"/>
          <w:sz w:val="20"/>
        </w:rPr>
        <w:t xml:space="preserve"> </w:t>
      </w:r>
      <w:r>
        <w:rPr>
          <w:w w:val="110"/>
          <w:sz w:val="20"/>
        </w:rPr>
        <w:t>Intoxication</w:t>
      </w:r>
      <w:r>
        <w:rPr>
          <w:spacing w:val="-18"/>
          <w:w w:val="110"/>
          <w:sz w:val="20"/>
        </w:rPr>
        <w:t xml:space="preserve"> </w:t>
      </w:r>
      <w:r>
        <w:rPr>
          <w:w w:val="110"/>
          <w:sz w:val="20"/>
        </w:rPr>
        <w:t>and</w:t>
      </w:r>
      <w:r>
        <w:rPr>
          <w:spacing w:val="-24"/>
          <w:w w:val="110"/>
          <w:sz w:val="20"/>
        </w:rPr>
        <w:t xml:space="preserve"> </w:t>
      </w:r>
      <w:r>
        <w:rPr>
          <w:w w:val="110"/>
          <w:sz w:val="20"/>
        </w:rPr>
        <w:t>are</w:t>
      </w:r>
      <w:r>
        <w:rPr>
          <w:spacing w:val="-34"/>
          <w:w w:val="110"/>
          <w:sz w:val="20"/>
        </w:rPr>
        <w:t xml:space="preserve"> </w:t>
      </w:r>
      <w:r>
        <w:rPr>
          <w:w w:val="110"/>
          <w:sz w:val="20"/>
        </w:rPr>
        <w:t>severe</w:t>
      </w:r>
      <w:r>
        <w:rPr>
          <w:spacing w:val="-25"/>
          <w:w w:val="110"/>
          <w:sz w:val="20"/>
        </w:rPr>
        <w:t xml:space="preserve"> </w:t>
      </w:r>
      <w:r>
        <w:rPr>
          <w:w w:val="110"/>
          <w:sz w:val="20"/>
        </w:rPr>
        <w:t>enough</w:t>
      </w:r>
      <w:r>
        <w:rPr>
          <w:spacing w:val="-23"/>
          <w:w w:val="110"/>
          <w:sz w:val="20"/>
        </w:rPr>
        <w:t xml:space="preserve"> </w:t>
      </w:r>
      <w:r>
        <w:rPr>
          <w:w w:val="110"/>
          <w:sz w:val="20"/>
        </w:rPr>
        <w:t>to</w:t>
      </w:r>
      <w:r>
        <w:rPr>
          <w:spacing w:val="-31"/>
          <w:w w:val="110"/>
          <w:sz w:val="20"/>
        </w:rPr>
        <w:t xml:space="preserve"> </w:t>
      </w:r>
      <w:r>
        <w:rPr>
          <w:w w:val="110"/>
          <w:sz w:val="20"/>
        </w:rPr>
        <w:t>warrant</w:t>
      </w:r>
      <w:r>
        <w:rPr>
          <w:spacing w:val="-20"/>
          <w:w w:val="110"/>
          <w:sz w:val="20"/>
        </w:rPr>
        <w:t xml:space="preserve"> </w:t>
      </w:r>
      <w:r>
        <w:rPr>
          <w:w w:val="110"/>
          <w:sz w:val="20"/>
        </w:rPr>
        <w:t>independent</w:t>
      </w:r>
      <w:r>
        <w:rPr>
          <w:spacing w:val="-18"/>
          <w:w w:val="110"/>
          <w:sz w:val="20"/>
        </w:rPr>
        <w:t xml:space="preserve"> </w:t>
      </w:r>
      <w:r>
        <w:rPr>
          <w:w w:val="110"/>
          <w:sz w:val="20"/>
        </w:rPr>
        <w:t>clinical</w:t>
      </w:r>
      <w:r>
        <w:rPr>
          <w:spacing w:val="-20"/>
          <w:w w:val="110"/>
          <w:sz w:val="20"/>
        </w:rPr>
        <w:t xml:space="preserve"> </w:t>
      </w:r>
      <w:r>
        <w:rPr>
          <w:w w:val="110"/>
          <w:sz w:val="20"/>
        </w:rPr>
        <w:t>attention. Substance</w:t>
      </w:r>
      <w:r>
        <w:rPr>
          <w:spacing w:val="-33"/>
          <w:w w:val="110"/>
          <w:sz w:val="20"/>
        </w:rPr>
        <w:t xml:space="preserve"> </w:t>
      </w:r>
      <w:r>
        <w:rPr>
          <w:w w:val="110"/>
          <w:sz w:val="20"/>
        </w:rPr>
        <w:t>Withdrawal</w:t>
      </w:r>
      <w:r>
        <w:rPr>
          <w:spacing w:val="-28"/>
          <w:w w:val="110"/>
          <w:sz w:val="20"/>
        </w:rPr>
        <w:t xml:space="preserve"> </w:t>
      </w:r>
      <w:r>
        <w:rPr>
          <w:w w:val="110"/>
          <w:sz w:val="20"/>
        </w:rPr>
        <w:t>is</w:t>
      </w:r>
      <w:r>
        <w:rPr>
          <w:spacing w:val="-39"/>
          <w:w w:val="110"/>
          <w:sz w:val="20"/>
        </w:rPr>
        <w:t xml:space="preserve"> </w:t>
      </w:r>
      <w:r>
        <w:rPr>
          <w:w w:val="110"/>
          <w:sz w:val="20"/>
        </w:rPr>
        <w:t>distinguished</w:t>
      </w:r>
      <w:r>
        <w:rPr>
          <w:spacing w:val="-31"/>
          <w:w w:val="110"/>
          <w:sz w:val="20"/>
        </w:rPr>
        <w:t xml:space="preserve"> </w:t>
      </w:r>
      <w:r>
        <w:rPr>
          <w:w w:val="110"/>
          <w:sz w:val="20"/>
        </w:rPr>
        <w:t>from</w:t>
      </w:r>
      <w:r>
        <w:rPr>
          <w:spacing w:val="-37"/>
          <w:w w:val="110"/>
          <w:sz w:val="20"/>
        </w:rPr>
        <w:t xml:space="preserve"> </w:t>
      </w:r>
      <w:r>
        <w:rPr>
          <w:b/>
          <w:w w:val="110"/>
          <w:sz w:val="20"/>
        </w:rPr>
        <w:t>Substance</w:t>
      </w:r>
      <w:r>
        <w:rPr>
          <w:b/>
          <w:spacing w:val="-43"/>
          <w:w w:val="110"/>
          <w:sz w:val="20"/>
        </w:rPr>
        <w:t xml:space="preserve"> </w:t>
      </w:r>
      <w:r>
        <w:rPr>
          <w:b/>
          <w:w w:val="110"/>
          <w:sz w:val="20"/>
        </w:rPr>
        <w:t>Withdrawal</w:t>
      </w:r>
      <w:r>
        <w:rPr>
          <w:b/>
          <w:spacing w:val="-39"/>
          <w:w w:val="110"/>
          <w:sz w:val="20"/>
        </w:rPr>
        <w:t xml:space="preserve"> </w:t>
      </w:r>
      <w:r>
        <w:rPr>
          <w:b/>
          <w:w w:val="110"/>
          <w:sz w:val="20"/>
        </w:rPr>
        <w:t>Delirium</w:t>
      </w:r>
      <w:r>
        <w:rPr>
          <w:b/>
          <w:spacing w:val="-33"/>
          <w:w w:val="110"/>
          <w:sz w:val="20"/>
        </w:rPr>
        <w:t xml:space="preserve"> </w:t>
      </w:r>
      <w:r>
        <w:rPr>
          <w:w w:val="110"/>
          <w:sz w:val="20"/>
        </w:rPr>
        <w:t>(p.</w:t>
      </w:r>
      <w:r>
        <w:rPr>
          <w:spacing w:val="-34"/>
          <w:w w:val="110"/>
          <w:sz w:val="20"/>
        </w:rPr>
        <w:t xml:space="preserve"> </w:t>
      </w:r>
      <w:r>
        <w:rPr>
          <w:w w:val="110"/>
          <w:sz w:val="20"/>
        </w:rPr>
        <w:t xml:space="preserve">129), </w:t>
      </w:r>
      <w:r>
        <w:rPr>
          <w:b/>
          <w:w w:val="110"/>
          <w:sz w:val="20"/>
        </w:rPr>
        <w:t xml:space="preserve">Substance-Induced Psychotic Disorder, With Onset During Withdrawal </w:t>
      </w:r>
      <w:r>
        <w:rPr>
          <w:rFonts w:ascii="Arial"/>
          <w:w w:val="110"/>
          <w:sz w:val="18"/>
        </w:rPr>
        <w:t xml:space="preserve">(p. </w:t>
      </w:r>
      <w:r>
        <w:rPr>
          <w:w w:val="110"/>
          <w:sz w:val="19"/>
        </w:rPr>
        <w:t xml:space="preserve">310), </w:t>
      </w:r>
      <w:r>
        <w:rPr>
          <w:b/>
          <w:w w:val="110"/>
          <w:sz w:val="20"/>
        </w:rPr>
        <w:t xml:space="preserve">Substance-Induced Mood Disorder, With Onset During Withdrawal </w:t>
      </w:r>
      <w:r>
        <w:rPr>
          <w:rFonts w:ascii="Arial"/>
          <w:w w:val="110"/>
          <w:sz w:val="18"/>
        </w:rPr>
        <w:t xml:space="preserve">(p. </w:t>
      </w:r>
      <w:r>
        <w:rPr>
          <w:w w:val="110"/>
          <w:sz w:val="19"/>
        </w:rPr>
        <w:t xml:space="preserve">370), </w:t>
      </w:r>
      <w:r>
        <w:rPr>
          <w:b/>
          <w:w w:val="110"/>
          <w:sz w:val="20"/>
        </w:rPr>
        <w:t xml:space="preserve">Substance-Induced Anxiety Disorder, With Onset During Withdrawal </w:t>
      </w:r>
      <w:r>
        <w:rPr>
          <w:w w:val="110"/>
          <w:sz w:val="18"/>
        </w:rPr>
        <w:t xml:space="preserve">(p. </w:t>
      </w:r>
      <w:r>
        <w:rPr>
          <w:w w:val="110"/>
          <w:sz w:val="20"/>
        </w:rPr>
        <w:t>439), and</w:t>
      </w:r>
      <w:r>
        <w:rPr>
          <w:spacing w:val="22"/>
          <w:w w:val="110"/>
          <w:sz w:val="20"/>
        </w:rPr>
        <w:t xml:space="preserve"> </w:t>
      </w:r>
      <w:r>
        <w:rPr>
          <w:b/>
          <w:w w:val="110"/>
          <w:sz w:val="20"/>
        </w:rPr>
        <w:t>Substance-Induced</w:t>
      </w:r>
      <w:r>
        <w:rPr>
          <w:b/>
          <w:spacing w:val="-25"/>
          <w:w w:val="110"/>
          <w:sz w:val="20"/>
        </w:rPr>
        <w:t xml:space="preserve"> </w:t>
      </w:r>
      <w:r>
        <w:rPr>
          <w:b/>
          <w:w w:val="110"/>
          <w:sz w:val="20"/>
        </w:rPr>
        <w:t>Sleep</w:t>
      </w:r>
      <w:r>
        <w:rPr>
          <w:b/>
          <w:spacing w:val="-19"/>
          <w:w w:val="110"/>
          <w:sz w:val="20"/>
        </w:rPr>
        <w:t xml:space="preserve"> </w:t>
      </w:r>
      <w:r>
        <w:rPr>
          <w:b/>
          <w:w w:val="110"/>
          <w:sz w:val="20"/>
        </w:rPr>
        <w:t>Disorder,</w:t>
      </w:r>
      <w:r>
        <w:rPr>
          <w:b/>
          <w:spacing w:val="-11"/>
          <w:w w:val="110"/>
          <w:sz w:val="20"/>
        </w:rPr>
        <w:t xml:space="preserve"> </w:t>
      </w:r>
      <w:r>
        <w:rPr>
          <w:b/>
          <w:w w:val="110"/>
          <w:sz w:val="20"/>
        </w:rPr>
        <w:t>With</w:t>
      </w:r>
      <w:r>
        <w:rPr>
          <w:b/>
          <w:spacing w:val="-20"/>
          <w:w w:val="110"/>
          <w:sz w:val="20"/>
        </w:rPr>
        <w:t xml:space="preserve"> </w:t>
      </w:r>
      <w:r>
        <w:rPr>
          <w:b/>
          <w:w w:val="110"/>
          <w:sz w:val="20"/>
        </w:rPr>
        <w:t>Onset</w:t>
      </w:r>
      <w:r>
        <w:rPr>
          <w:b/>
          <w:spacing w:val="-15"/>
          <w:w w:val="110"/>
          <w:sz w:val="20"/>
        </w:rPr>
        <w:t xml:space="preserve"> </w:t>
      </w:r>
      <w:r>
        <w:rPr>
          <w:b/>
          <w:w w:val="110"/>
          <w:sz w:val="20"/>
        </w:rPr>
        <w:t>During</w:t>
      </w:r>
      <w:r>
        <w:rPr>
          <w:b/>
          <w:spacing w:val="-12"/>
          <w:w w:val="110"/>
          <w:sz w:val="20"/>
        </w:rPr>
        <w:t xml:space="preserve"> </w:t>
      </w:r>
      <w:r>
        <w:rPr>
          <w:b/>
          <w:w w:val="110"/>
          <w:sz w:val="20"/>
        </w:rPr>
        <w:t>Withdrawal</w:t>
      </w:r>
      <w:r>
        <w:rPr>
          <w:b/>
          <w:spacing w:val="-3"/>
          <w:w w:val="110"/>
          <w:sz w:val="20"/>
        </w:rPr>
        <w:t xml:space="preserve"> </w:t>
      </w:r>
      <w:r>
        <w:rPr>
          <w:w w:val="110"/>
          <w:sz w:val="20"/>
        </w:rPr>
        <w:t>(p.</w:t>
      </w:r>
      <w:r>
        <w:rPr>
          <w:spacing w:val="2"/>
          <w:w w:val="110"/>
          <w:sz w:val="20"/>
        </w:rPr>
        <w:t xml:space="preserve"> </w:t>
      </w:r>
      <w:r>
        <w:rPr>
          <w:w w:val="110"/>
          <w:sz w:val="20"/>
        </w:rPr>
        <w:t>601), by the fact that the symptoms in these latter disorders are in excess of those usually associated with Substance Withdrawal and are severe enough to warrant independent clinical</w:t>
      </w:r>
      <w:r>
        <w:rPr>
          <w:spacing w:val="2"/>
          <w:w w:val="110"/>
          <w:sz w:val="20"/>
        </w:rPr>
        <w:t xml:space="preserve"> </w:t>
      </w:r>
      <w:r>
        <w:rPr>
          <w:w w:val="110"/>
          <w:sz w:val="20"/>
        </w:rPr>
        <w:t>attention.</w:t>
      </w:r>
    </w:p>
    <w:p w:rsidR="00E675F0" w:rsidRDefault="00E675F0" w:rsidP="00E675F0">
      <w:pPr>
        <w:spacing w:line="256" w:lineRule="auto"/>
        <w:ind w:left="138" w:right="127" w:firstLine="352"/>
        <w:jc w:val="both"/>
        <w:rPr>
          <w:sz w:val="20"/>
        </w:rPr>
      </w:pPr>
      <w:r>
        <w:rPr>
          <w:w w:val="110"/>
          <w:sz w:val="20"/>
        </w:rPr>
        <w:t>The</w:t>
      </w:r>
      <w:r>
        <w:rPr>
          <w:spacing w:val="-11"/>
          <w:w w:val="110"/>
          <w:sz w:val="20"/>
        </w:rPr>
        <w:t xml:space="preserve"> </w:t>
      </w:r>
      <w:r>
        <w:rPr>
          <w:w w:val="110"/>
          <w:sz w:val="20"/>
        </w:rPr>
        <w:t>additional</w:t>
      </w:r>
      <w:r>
        <w:rPr>
          <w:spacing w:val="-7"/>
          <w:w w:val="110"/>
          <w:sz w:val="20"/>
        </w:rPr>
        <w:t xml:space="preserve"> </w:t>
      </w:r>
      <w:r>
        <w:rPr>
          <w:w w:val="110"/>
          <w:sz w:val="20"/>
        </w:rPr>
        <w:t>Substance-Induced</w:t>
      </w:r>
      <w:r>
        <w:rPr>
          <w:spacing w:val="-9"/>
          <w:w w:val="110"/>
          <w:sz w:val="20"/>
        </w:rPr>
        <w:t xml:space="preserve"> </w:t>
      </w:r>
      <w:r>
        <w:rPr>
          <w:w w:val="110"/>
          <w:sz w:val="20"/>
        </w:rPr>
        <w:t>Disorders</w:t>
      </w:r>
      <w:r>
        <w:rPr>
          <w:spacing w:val="-6"/>
          <w:w w:val="110"/>
          <w:sz w:val="20"/>
        </w:rPr>
        <w:t xml:space="preserve"> </w:t>
      </w:r>
      <w:r>
        <w:rPr>
          <w:w w:val="110"/>
          <w:sz w:val="20"/>
        </w:rPr>
        <w:t>described</w:t>
      </w:r>
      <w:r>
        <w:rPr>
          <w:spacing w:val="-2"/>
          <w:w w:val="110"/>
          <w:sz w:val="20"/>
        </w:rPr>
        <w:t xml:space="preserve"> </w:t>
      </w:r>
      <w:r>
        <w:rPr>
          <w:w w:val="110"/>
          <w:sz w:val="20"/>
        </w:rPr>
        <w:t>above</w:t>
      </w:r>
      <w:r>
        <w:rPr>
          <w:spacing w:val="-1"/>
          <w:w w:val="110"/>
          <w:sz w:val="20"/>
        </w:rPr>
        <w:t xml:space="preserve"> </w:t>
      </w:r>
      <w:r>
        <w:rPr>
          <w:w w:val="110"/>
          <w:sz w:val="20"/>
        </w:rPr>
        <w:t>present</w:t>
      </w:r>
      <w:r>
        <w:rPr>
          <w:spacing w:val="-2"/>
          <w:w w:val="110"/>
          <w:sz w:val="20"/>
        </w:rPr>
        <w:t xml:space="preserve"> </w:t>
      </w:r>
      <w:r>
        <w:rPr>
          <w:w w:val="110"/>
          <w:sz w:val="20"/>
        </w:rPr>
        <w:t>with</w:t>
      </w:r>
      <w:r>
        <w:rPr>
          <w:spacing w:val="-9"/>
          <w:w w:val="110"/>
          <w:sz w:val="20"/>
        </w:rPr>
        <w:t xml:space="preserve"> </w:t>
      </w:r>
      <w:r>
        <w:rPr>
          <w:w w:val="110"/>
          <w:sz w:val="20"/>
        </w:rPr>
        <w:t xml:space="preserve">symp­ toms that resemble </w:t>
      </w:r>
      <w:r>
        <w:rPr>
          <w:b/>
          <w:w w:val="110"/>
          <w:sz w:val="20"/>
        </w:rPr>
        <w:t xml:space="preserve">non-substance-induced </w:t>
      </w:r>
      <w:r>
        <w:rPr>
          <w:w w:val="110"/>
          <w:sz w:val="20"/>
        </w:rPr>
        <w:t xml:space="preserve">(i.e., </w:t>
      </w:r>
      <w:r>
        <w:rPr>
          <w:b/>
          <w:w w:val="110"/>
          <w:sz w:val="20"/>
        </w:rPr>
        <w:t>primary) mental disorders.</w:t>
      </w:r>
      <w:r>
        <w:rPr>
          <w:b/>
          <w:spacing w:val="4"/>
          <w:w w:val="110"/>
          <w:sz w:val="20"/>
        </w:rPr>
        <w:t xml:space="preserve"> </w:t>
      </w:r>
      <w:r>
        <w:rPr>
          <w:w w:val="110"/>
          <w:sz w:val="20"/>
        </w:rPr>
        <w:t>See</w:t>
      </w:r>
    </w:p>
    <w:p w:rsidR="00E675F0" w:rsidRDefault="00E675F0" w:rsidP="00E675F0">
      <w:pPr>
        <w:pStyle w:val="BodyText"/>
        <w:spacing w:line="254" w:lineRule="auto"/>
        <w:ind w:left="132" w:right="119" w:firstLine="13"/>
        <w:jc w:val="both"/>
      </w:pPr>
      <w:r>
        <w:rPr>
          <w:w w:val="105"/>
        </w:rPr>
        <w:t xml:space="preserve">p. 193 for a discussion of this important but often difficult differential diagnosis. An additional diagnosis of a Substance-Induced Disorder is usually not made when </w:t>
      </w:r>
      <w:r>
        <w:rPr>
          <w:b/>
          <w:w w:val="105"/>
        </w:rPr>
        <w:t xml:space="preserve">symptoms of preexisting mental disorders are exacerbated by Substance Intox­ ication or Substance Withdrawal </w:t>
      </w:r>
      <w:r>
        <w:rPr>
          <w:w w:val="105"/>
        </w:rPr>
        <w:t>(although a diagnosis of Substance Intoxication or Withdrawal might be appropriate). For example, Intoxication with some substances may exacerbate the mood swings in Bipolar Disorder, the auditory hallucinations and paranoid delusions in Schizophrenia, the intrusive thoughts and terrifying dreams in Posttraumatic Stress Disorder, and the anxiety symptoms in Panic Disorder, Generalized Anxiety Disorder, Social Phobia, and Agoraphobia. Intoxication or Withdrawal may also increase the risk of suicide, violence, and impulsive behavior in individuals with a preexisting Antisocial or Borderline Personality Disorder.</w:t>
      </w:r>
    </w:p>
    <w:p w:rsidR="00E675F0" w:rsidRDefault="00E675F0" w:rsidP="00E675F0">
      <w:pPr>
        <w:pStyle w:val="BodyText"/>
        <w:spacing w:line="211" w:lineRule="exact"/>
        <w:ind w:left="502"/>
        <w:jc w:val="both"/>
      </w:pPr>
      <w:r>
        <w:rPr>
          <w:w w:val="105"/>
        </w:rPr>
        <w:t>Many neurological (e.g., head injuries) or metabolic conditions produce symptoms</w:t>
      </w:r>
    </w:p>
    <w:p w:rsidR="00E675F0" w:rsidRDefault="00E675F0" w:rsidP="00E675F0">
      <w:pPr>
        <w:pStyle w:val="BodyText"/>
        <w:spacing w:line="254" w:lineRule="auto"/>
        <w:ind w:left="140" w:right="103" w:firstLine="1"/>
        <w:jc w:val="both"/>
      </w:pPr>
      <w:r>
        <w:rPr>
          <w:w w:val="105"/>
        </w:rPr>
        <w:t xml:space="preserve">that resemble, and are sometimes misattributed to, Intoxication or Withdrawal (e.g., fluctuating levels of consciousness, slurred speech, incoordination). The symptoms of infectious diseases may also resemble Withdrawal from some substances (e.g., viral gastroenteritis can be similar to Opioid Withdrawal). If the symptoms are  judged  to be a direct physiological consequence of a general medical condition, the appropriate </w:t>
      </w:r>
      <w:r>
        <w:rPr>
          <w:b/>
          <w:w w:val="105"/>
        </w:rPr>
        <w:t xml:space="preserve">Mental Disorder Due to a General Medical Condition </w:t>
      </w:r>
      <w:r>
        <w:rPr>
          <w:w w:val="105"/>
        </w:rPr>
        <w:t xml:space="preserve">should be diagnosed. </w:t>
      </w:r>
      <w:r>
        <w:rPr>
          <w:rFonts w:ascii="Arial"/>
          <w:w w:val="105"/>
          <w:sz w:val="19"/>
        </w:rPr>
        <w:t xml:space="preserve">If </w:t>
      </w:r>
      <w:r>
        <w:rPr>
          <w:w w:val="105"/>
        </w:rPr>
        <w:t>the symptoms are judged to be a direct physiological consequence of both substance  use and a general medical condition, both a Substance-Related Disorder and a Mental Disorder</w:t>
      </w:r>
      <w:r>
        <w:rPr>
          <w:spacing w:val="-6"/>
          <w:w w:val="105"/>
        </w:rPr>
        <w:t xml:space="preserve"> </w:t>
      </w:r>
      <w:r>
        <w:rPr>
          <w:w w:val="105"/>
        </w:rPr>
        <w:t>Due</w:t>
      </w:r>
      <w:r>
        <w:rPr>
          <w:spacing w:val="-9"/>
          <w:w w:val="105"/>
        </w:rPr>
        <w:t xml:space="preserve"> </w:t>
      </w:r>
      <w:r>
        <w:rPr>
          <w:w w:val="105"/>
        </w:rPr>
        <w:t>to</w:t>
      </w:r>
      <w:r>
        <w:rPr>
          <w:spacing w:val="-17"/>
          <w:w w:val="105"/>
        </w:rPr>
        <w:t xml:space="preserve"> </w:t>
      </w:r>
      <w:r>
        <w:rPr>
          <w:w w:val="105"/>
        </w:rPr>
        <w:t>a</w:t>
      </w:r>
      <w:r>
        <w:rPr>
          <w:spacing w:val="-6"/>
          <w:w w:val="105"/>
        </w:rPr>
        <w:t xml:space="preserve"> </w:t>
      </w:r>
      <w:r>
        <w:rPr>
          <w:w w:val="105"/>
        </w:rPr>
        <w:t>General</w:t>
      </w:r>
      <w:r>
        <w:rPr>
          <w:spacing w:val="-5"/>
          <w:w w:val="105"/>
        </w:rPr>
        <w:t xml:space="preserve"> </w:t>
      </w:r>
      <w:r>
        <w:rPr>
          <w:w w:val="105"/>
        </w:rPr>
        <w:t>Medical</w:t>
      </w:r>
      <w:r>
        <w:rPr>
          <w:spacing w:val="-7"/>
          <w:w w:val="105"/>
        </w:rPr>
        <w:t xml:space="preserve"> </w:t>
      </w:r>
      <w:r>
        <w:rPr>
          <w:w w:val="105"/>
        </w:rPr>
        <w:t>Condition</w:t>
      </w:r>
      <w:r>
        <w:rPr>
          <w:spacing w:val="2"/>
          <w:w w:val="105"/>
        </w:rPr>
        <w:t xml:space="preserve"> </w:t>
      </w:r>
      <w:r>
        <w:rPr>
          <w:w w:val="105"/>
        </w:rPr>
        <w:t>may</w:t>
      </w:r>
      <w:r>
        <w:rPr>
          <w:spacing w:val="-6"/>
          <w:w w:val="105"/>
        </w:rPr>
        <w:t xml:space="preserve"> </w:t>
      </w:r>
      <w:r>
        <w:rPr>
          <w:w w:val="105"/>
        </w:rPr>
        <w:t>be</w:t>
      </w:r>
      <w:r>
        <w:rPr>
          <w:spacing w:val="-14"/>
          <w:w w:val="105"/>
        </w:rPr>
        <w:t xml:space="preserve"> </w:t>
      </w:r>
      <w:r>
        <w:rPr>
          <w:w w:val="105"/>
        </w:rPr>
        <w:t>diagnosed.</w:t>
      </w:r>
      <w:r>
        <w:rPr>
          <w:spacing w:val="-11"/>
          <w:w w:val="105"/>
        </w:rPr>
        <w:t xml:space="preserve"> </w:t>
      </w:r>
      <w:r>
        <w:rPr>
          <w:rFonts w:ascii="Arial"/>
          <w:w w:val="105"/>
          <w:sz w:val="19"/>
        </w:rPr>
        <w:t>If</w:t>
      </w:r>
      <w:r>
        <w:rPr>
          <w:rFonts w:ascii="Arial"/>
          <w:spacing w:val="10"/>
          <w:w w:val="105"/>
          <w:sz w:val="19"/>
        </w:rPr>
        <w:t xml:space="preserve"> </w:t>
      </w:r>
      <w:r>
        <w:rPr>
          <w:w w:val="105"/>
        </w:rPr>
        <w:t>the</w:t>
      </w:r>
      <w:r>
        <w:rPr>
          <w:spacing w:val="-15"/>
          <w:w w:val="105"/>
        </w:rPr>
        <w:t xml:space="preserve"> </w:t>
      </w:r>
      <w:r>
        <w:rPr>
          <w:w w:val="105"/>
        </w:rPr>
        <w:t>clinician is</w:t>
      </w:r>
      <w:r>
        <w:rPr>
          <w:spacing w:val="-15"/>
          <w:w w:val="105"/>
        </w:rPr>
        <w:t xml:space="preserve"> </w:t>
      </w:r>
      <w:r>
        <w:rPr>
          <w:w w:val="105"/>
        </w:rPr>
        <w:t xml:space="preserve">unable to determine whether the presenting symptoms are substance induced, due to a general medical condition, or primary, the appropriate </w:t>
      </w:r>
      <w:r>
        <w:rPr>
          <w:b/>
          <w:w w:val="105"/>
        </w:rPr>
        <w:t xml:space="preserve">Not Otherwise Specified Category </w:t>
      </w:r>
      <w:r>
        <w:rPr>
          <w:w w:val="105"/>
        </w:rPr>
        <w:t>should be diagnosed (e.g., psychotic symptoms with indeterminate etiology would be diagnosed as Psychotic Disorder Not Otherwise</w:t>
      </w:r>
      <w:r>
        <w:rPr>
          <w:spacing w:val="-19"/>
          <w:w w:val="105"/>
        </w:rPr>
        <w:t xml:space="preserve"> </w:t>
      </w:r>
      <w:r>
        <w:rPr>
          <w:w w:val="105"/>
        </w:rPr>
        <w:t>Specified).</w:t>
      </w:r>
    </w:p>
    <w:p w:rsidR="00E675F0" w:rsidRDefault="00E675F0" w:rsidP="00E675F0">
      <w:pPr>
        <w:spacing w:line="254" w:lineRule="auto"/>
        <w:jc w:val="both"/>
        <w:sectPr w:rsidR="00E675F0">
          <w:pgSz w:w="8960" w:h="14260"/>
          <w:pgMar w:top="1400" w:right="620" w:bottom="280" w:left="600" w:header="677" w:footer="0" w:gutter="0"/>
          <w:cols w:space="720"/>
        </w:sectPr>
      </w:pPr>
    </w:p>
    <w:p w:rsidR="00E675F0" w:rsidRDefault="00E675F0" w:rsidP="00E675F0">
      <w:pPr>
        <w:spacing w:before="120" w:line="242" w:lineRule="auto"/>
        <w:ind w:left="1694" w:right="1392" w:hanging="194"/>
        <w:rPr>
          <w:rFonts w:ascii="Arial"/>
          <w:b/>
          <w:sz w:val="26"/>
        </w:rPr>
      </w:pPr>
      <w:r>
        <w:rPr>
          <w:rFonts w:ascii="Arial"/>
          <w:b/>
          <w:w w:val="99"/>
          <w:sz w:val="26"/>
        </w:rPr>
        <w:lastRenderedPageBreak/>
        <w:t>Substance</w:t>
      </w:r>
      <w:r>
        <w:rPr>
          <w:rFonts w:ascii="Arial"/>
          <w:b/>
          <w:w w:val="48"/>
          <w:sz w:val="26"/>
        </w:rPr>
        <w:t>...</w:t>
      </w:r>
      <w:r>
        <w:rPr>
          <w:rFonts w:ascii="Arial"/>
          <w:b/>
          <w:w w:val="97"/>
          <w:sz w:val="26"/>
        </w:rPr>
        <w:t>Jnduced</w:t>
      </w:r>
      <w:r>
        <w:rPr>
          <w:rFonts w:ascii="Arial"/>
          <w:b/>
          <w:sz w:val="26"/>
        </w:rPr>
        <w:t xml:space="preserve"> </w:t>
      </w:r>
      <w:r>
        <w:rPr>
          <w:rFonts w:ascii="Arial"/>
          <w:b/>
          <w:w w:val="110"/>
          <w:sz w:val="26"/>
        </w:rPr>
        <w:t>Mental</w:t>
      </w:r>
      <w:r>
        <w:rPr>
          <w:rFonts w:ascii="Arial"/>
          <w:b/>
          <w:sz w:val="26"/>
        </w:rPr>
        <w:t xml:space="preserve"> </w:t>
      </w:r>
      <w:r>
        <w:rPr>
          <w:rFonts w:ascii="Arial"/>
          <w:b/>
          <w:w w:val="101"/>
          <w:sz w:val="26"/>
        </w:rPr>
        <w:t xml:space="preserve">Disorders </w:t>
      </w:r>
      <w:r>
        <w:rPr>
          <w:rFonts w:ascii="Arial"/>
          <w:b/>
          <w:w w:val="105"/>
          <w:sz w:val="26"/>
        </w:rPr>
        <w:t>Included Elsewhere in the Manual</w:t>
      </w:r>
    </w:p>
    <w:p w:rsidR="00E675F0" w:rsidRDefault="00E675F0" w:rsidP="00E675F0">
      <w:pPr>
        <w:pStyle w:val="BodyText"/>
        <w:spacing w:before="10"/>
        <w:rPr>
          <w:rFonts w:ascii="Arial"/>
          <w:b/>
          <w:sz w:val="31"/>
        </w:rPr>
      </w:pPr>
    </w:p>
    <w:p w:rsidR="00E675F0" w:rsidRDefault="00E675F0" w:rsidP="00E675F0">
      <w:pPr>
        <w:pStyle w:val="BodyText"/>
        <w:spacing w:line="254" w:lineRule="auto"/>
        <w:ind w:left="113" w:right="114" w:hanging="1"/>
        <w:jc w:val="both"/>
      </w:pPr>
      <w:r>
        <w:rPr>
          <w:w w:val="105"/>
        </w:rPr>
        <w:t>Substance-Induced Disorders cause a variety of symptoms that are characteristic of other mental disorders (see Table 1, p. 177). To facilitate differential diagnosis, the text and criteria for these other Substance-Induced Disorders are included in the sections of the manual with disorders with which they share phenomenology:</w:t>
      </w:r>
    </w:p>
    <w:p w:rsidR="00E675F0" w:rsidRDefault="00E675F0" w:rsidP="00E675F0">
      <w:pPr>
        <w:spacing w:line="256" w:lineRule="auto"/>
        <w:ind w:left="118" w:right="127" w:firstLine="357"/>
        <w:jc w:val="both"/>
        <w:rPr>
          <w:sz w:val="20"/>
        </w:rPr>
      </w:pPr>
      <w:r>
        <w:rPr>
          <w:b/>
          <w:w w:val="110"/>
          <w:sz w:val="20"/>
        </w:rPr>
        <w:t>Substance-Induced</w:t>
      </w:r>
      <w:r>
        <w:rPr>
          <w:b/>
          <w:spacing w:val="-42"/>
          <w:w w:val="110"/>
          <w:sz w:val="20"/>
        </w:rPr>
        <w:t xml:space="preserve"> </w:t>
      </w:r>
      <w:r>
        <w:rPr>
          <w:b/>
          <w:w w:val="110"/>
          <w:sz w:val="20"/>
        </w:rPr>
        <w:t>Delirium</w:t>
      </w:r>
      <w:r>
        <w:rPr>
          <w:b/>
          <w:spacing w:val="-19"/>
          <w:w w:val="110"/>
          <w:sz w:val="20"/>
        </w:rPr>
        <w:t xml:space="preserve"> </w:t>
      </w:r>
      <w:r>
        <w:rPr>
          <w:w w:val="110"/>
          <w:sz w:val="20"/>
        </w:rPr>
        <w:t>(seep.</w:t>
      </w:r>
      <w:r>
        <w:rPr>
          <w:spacing w:val="-25"/>
          <w:w w:val="110"/>
          <w:sz w:val="20"/>
        </w:rPr>
        <w:t xml:space="preserve"> </w:t>
      </w:r>
      <w:r>
        <w:rPr>
          <w:w w:val="110"/>
          <w:sz w:val="20"/>
        </w:rPr>
        <w:t>129)</w:t>
      </w:r>
      <w:r>
        <w:rPr>
          <w:spacing w:val="-18"/>
          <w:w w:val="110"/>
          <w:sz w:val="20"/>
        </w:rPr>
        <w:t xml:space="preserve"> </w:t>
      </w:r>
      <w:r>
        <w:rPr>
          <w:w w:val="110"/>
          <w:sz w:val="20"/>
        </w:rPr>
        <w:t>is</w:t>
      </w:r>
      <w:r>
        <w:rPr>
          <w:spacing w:val="-20"/>
          <w:w w:val="110"/>
          <w:sz w:val="20"/>
        </w:rPr>
        <w:t xml:space="preserve"> </w:t>
      </w:r>
      <w:r>
        <w:rPr>
          <w:w w:val="110"/>
          <w:sz w:val="20"/>
        </w:rPr>
        <w:t>included</w:t>
      </w:r>
      <w:r>
        <w:rPr>
          <w:spacing w:val="-8"/>
          <w:w w:val="110"/>
          <w:sz w:val="20"/>
        </w:rPr>
        <w:t xml:space="preserve"> </w:t>
      </w:r>
      <w:r>
        <w:rPr>
          <w:w w:val="110"/>
          <w:sz w:val="20"/>
        </w:rPr>
        <w:t>in</w:t>
      </w:r>
      <w:r>
        <w:rPr>
          <w:spacing w:val="-18"/>
          <w:w w:val="110"/>
          <w:sz w:val="20"/>
        </w:rPr>
        <w:t xml:space="preserve"> </w:t>
      </w:r>
      <w:r>
        <w:rPr>
          <w:w w:val="110"/>
          <w:sz w:val="20"/>
        </w:rPr>
        <w:t>the</w:t>
      </w:r>
      <w:r>
        <w:rPr>
          <w:spacing w:val="-20"/>
          <w:w w:val="110"/>
          <w:sz w:val="20"/>
        </w:rPr>
        <w:t xml:space="preserve"> </w:t>
      </w:r>
      <w:r>
        <w:rPr>
          <w:w w:val="110"/>
          <w:sz w:val="20"/>
        </w:rPr>
        <w:t>"Delirium,</w:t>
      </w:r>
      <w:r>
        <w:rPr>
          <w:spacing w:val="-7"/>
          <w:w w:val="110"/>
          <w:sz w:val="20"/>
        </w:rPr>
        <w:t xml:space="preserve"> </w:t>
      </w:r>
      <w:r>
        <w:rPr>
          <w:w w:val="110"/>
          <w:sz w:val="20"/>
        </w:rPr>
        <w:t>Dementia, and Amnestic and Other Cognitive Disorders"</w:t>
      </w:r>
      <w:r>
        <w:rPr>
          <w:spacing w:val="40"/>
          <w:w w:val="110"/>
          <w:sz w:val="20"/>
        </w:rPr>
        <w:t xml:space="preserve"> </w:t>
      </w:r>
      <w:r>
        <w:rPr>
          <w:w w:val="110"/>
          <w:sz w:val="20"/>
        </w:rPr>
        <w:t>section.</w:t>
      </w:r>
    </w:p>
    <w:p w:rsidR="00E675F0" w:rsidRDefault="00E675F0" w:rsidP="00E675F0">
      <w:pPr>
        <w:spacing w:line="256" w:lineRule="auto"/>
        <w:ind w:left="116" w:right="129" w:firstLine="358"/>
        <w:jc w:val="both"/>
        <w:rPr>
          <w:sz w:val="20"/>
        </w:rPr>
      </w:pPr>
      <w:r>
        <w:rPr>
          <w:b/>
          <w:w w:val="110"/>
          <w:sz w:val="20"/>
        </w:rPr>
        <w:t>Substance-InducedPersisting</w:t>
      </w:r>
      <w:r>
        <w:rPr>
          <w:b/>
          <w:spacing w:val="-33"/>
          <w:w w:val="110"/>
          <w:sz w:val="20"/>
        </w:rPr>
        <w:t xml:space="preserve"> </w:t>
      </w:r>
      <w:r>
        <w:rPr>
          <w:b/>
          <w:w w:val="110"/>
          <w:sz w:val="20"/>
        </w:rPr>
        <w:t>Dementia</w:t>
      </w:r>
      <w:r>
        <w:rPr>
          <w:b/>
          <w:spacing w:val="-24"/>
          <w:w w:val="110"/>
          <w:sz w:val="20"/>
        </w:rPr>
        <w:t xml:space="preserve"> </w:t>
      </w:r>
      <w:r>
        <w:rPr>
          <w:w w:val="110"/>
          <w:sz w:val="20"/>
        </w:rPr>
        <w:t>(seep.</w:t>
      </w:r>
      <w:r>
        <w:rPr>
          <w:spacing w:val="-28"/>
          <w:w w:val="110"/>
          <w:sz w:val="20"/>
        </w:rPr>
        <w:t xml:space="preserve"> </w:t>
      </w:r>
      <w:r>
        <w:rPr>
          <w:w w:val="110"/>
          <w:sz w:val="20"/>
        </w:rPr>
        <w:t>152)</w:t>
      </w:r>
      <w:r>
        <w:rPr>
          <w:spacing w:val="-27"/>
          <w:w w:val="110"/>
          <w:sz w:val="20"/>
        </w:rPr>
        <w:t xml:space="preserve"> </w:t>
      </w:r>
      <w:r>
        <w:rPr>
          <w:w w:val="110"/>
          <w:sz w:val="20"/>
        </w:rPr>
        <w:t>is</w:t>
      </w:r>
      <w:r>
        <w:rPr>
          <w:spacing w:val="-29"/>
          <w:w w:val="110"/>
          <w:sz w:val="20"/>
        </w:rPr>
        <w:t xml:space="preserve"> </w:t>
      </w:r>
      <w:r>
        <w:rPr>
          <w:w w:val="110"/>
          <w:sz w:val="20"/>
        </w:rPr>
        <w:t>included</w:t>
      </w:r>
      <w:r>
        <w:rPr>
          <w:spacing w:val="-18"/>
          <w:w w:val="110"/>
          <w:sz w:val="20"/>
        </w:rPr>
        <w:t xml:space="preserve"> </w:t>
      </w:r>
      <w:r>
        <w:rPr>
          <w:w w:val="110"/>
          <w:sz w:val="20"/>
        </w:rPr>
        <w:t>in</w:t>
      </w:r>
      <w:r>
        <w:rPr>
          <w:spacing w:val="-21"/>
          <w:w w:val="110"/>
          <w:sz w:val="20"/>
        </w:rPr>
        <w:t xml:space="preserve"> </w:t>
      </w:r>
      <w:r>
        <w:rPr>
          <w:w w:val="110"/>
          <w:sz w:val="20"/>
        </w:rPr>
        <w:t>the</w:t>
      </w:r>
      <w:r>
        <w:rPr>
          <w:spacing w:val="-25"/>
          <w:w w:val="110"/>
          <w:sz w:val="20"/>
        </w:rPr>
        <w:t xml:space="preserve"> </w:t>
      </w:r>
      <w:r>
        <w:rPr>
          <w:w w:val="110"/>
          <w:sz w:val="20"/>
        </w:rPr>
        <w:t>"Delirium, Dementia, and Amnestic and Other Cognitive Disorders"</w:t>
      </w:r>
      <w:r>
        <w:rPr>
          <w:spacing w:val="44"/>
          <w:w w:val="110"/>
          <w:sz w:val="20"/>
        </w:rPr>
        <w:t xml:space="preserve"> </w:t>
      </w:r>
      <w:r>
        <w:rPr>
          <w:w w:val="110"/>
          <w:sz w:val="20"/>
        </w:rPr>
        <w:t>section.</w:t>
      </w:r>
    </w:p>
    <w:p w:rsidR="00E675F0" w:rsidRDefault="00E675F0" w:rsidP="00E675F0">
      <w:pPr>
        <w:spacing w:line="261" w:lineRule="auto"/>
        <w:ind w:left="112" w:right="111" w:firstLine="363"/>
        <w:jc w:val="both"/>
        <w:rPr>
          <w:sz w:val="20"/>
        </w:rPr>
      </w:pPr>
      <w:r>
        <w:rPr>
          <w:b/>
          <w:w w:val="105"/>
          <w:sz w:val="20"/>
        </w:rPr>
        <w:t xml:space="preserve">Substance-InducedPersistingAmnestic Disorder </w:t>
      </w:r>
      <w:r>
        <w:rPr>
          <w:w w:val="105"/>
          <w:sz w:val="20"/>
        </w:rPr>
        <w:t>(seep. 161) is included in the "Delirium, Dementia, and Amnestic and Other Cognitive Disorders" section.</w:t>
      </w:r>
    </w:p>
    <w:p w:rsidR="00E675F0" w:rsidRDefault="00E675F0" w:rsidP="00E675F0">
      <w:pPr>
        <w:pStyle w:val="BodyText"/>
        <w:spacing w:line="256" w:lineRule="auto"/>
        <w:ind w:left="118" w:right="114" w:firstLine="357"/>
        <w:jc w:val="both"/>
      </w:pPr>
      <w:r>
        <w:rPr>
          <w:b/>
          <w:w w:val="110"/>
        </w:rPr>
        <w:t xml:space="preserve">Substance-Induced Psychotic Disorder </w:t>
      </w:r>
      <w:r>
        <w:rPr>
          <w:w w:val="110"/>
        </w:rPr>
        <w:t>(seep. 310) is included in the "Schizo­ phrenia and Other Psychotic Disorders" section. (In DSM-III-R these disorders were classified as "organic hallucinosis" and "organic delusional disorder.")</w:t>
      </w:r>
    </w:p>
    <w:p w:rsidR="00E675F0" w:rsidRDefault="00E675F0" w:rsidP="00E675F0">
      <w:pPr>
        <w:spacing w:line="256" w:lineRule="auto"/>
        <w:ind w:left="116" w:right="118" w:firstLine="353"/>
        <w:jc w:val="both"/>
        <w:rPr>
          <w:sz w:val="20"/>
        </w:rPr>
      </w:pPr>
      <w:r>
        <w:rPr>
          <w:b/>
          <w:w w:val="110"/>
          <w:sz w:val="20"/>
        </w:rPr>
        <w:t xml:space="preserve">Substance-Induced Mood Disorder </w:t>
      </w:r>
      <w:r>
        <w:rPr>
          <w:w w:val="110"/>
          <w:sz w:val="20"/>
        </w:rPr>
        <w:t>(see p. 370) is included in the "Mood Disorders"</w:t>
      </w:r>
      <w:r>
        <w:rPr>
          <w:spacing w:val="-1"/>
          <w:w w:val="110"/>
          <w:sz w:val="20"/>
        </w:rPr>
        <w:t xml:space="preserve"> </w:t>
      </w:r>
      <w:r>
        <w:rPr>
          <w:w w:val="110"/>
          <w:sz w:val="20"/>
        </w:rPr>
        <w:t>section.</w:t>
      </w:r>
    </w:p>
    <w:p w:rsidR="00E675F0" w:rsidRDefault="00E675F0" w:rsidP="00E675F0">
      <w:pPr>
        <w:spacing w:line="256" w:lineRule="auto"/>
        <w:ind w:left="116" w:right="118" w:firstLine="358"/>
        <w:jc w:val="both"/>
        <w:rPr>
          <w:sz w:val="20"/>
        </w:rPr>
      </w:pPr>
      <w:r>
        <w:rPr>
          <w:b/>
          <w:w w:val="110"/>
          <w:sz w:val="20"/>
        </w:rPr>
        <w:t xml:space="preserve">Substance-Induced Anxiety Disorder </w:t>
      </w:r>
      <w:r>
        <w:rPr>
          <w:w w:val="110"/>
          <w:sz w:val="20"/>
        </w:rPr>
        <w:t>(see p. 439) is included in the "Anxiety Disorders"</w:t>
      </w:r>
      <w:r>
        <w:rPr>
          <w:spacing w:val="-1"/>
          <w:w w:val="110"/>
          <w:sz w:val="20"/>
        </w:rPr>
        <w:t xml:space="preserve"> </w:t>
      </w:r>
      <w:r>
        <w:rPr>
          <w:w w:val="110"/>
          <w:sz w:val="20"/>
        </w:rPr>
        <w:t>section.</w:t>
      </w:r>
    </w:p>
    <w:p w:rsidR="00E675F0" w:rsidRDefault="00E675F0" w:rsidP="00E675F0">
      <w:pPr>
        <w:spacing w:line="256" w:lineRule="auto"/>
        <w:ind w:left="118" w:right="118" w:firstLine="357"/>
        <w:jc w:val="both"/>
        <w:rPr>
          <w:sz w:val="20"/>
        </w:rPr>
      </w:pPr>
      <w:r>
        <w:rPr>
          <w:b/>
          <w:w w:val="110"/>
          <w:sz w:val="20"/>
        </w:rPr>
        <w:t xml:space="preserve">Substance-Induced Sexual Dysfunction </w:t>
      </w:r>
      <w:r>
        <w:rPr>
          <w:w w:val="110"/>
          <w:sz w:val="20"/>
        </w:rPr>
        <w:t>(seep. 519) is included in the "Sexual and Gender Identity Disorders" section.</w:t>
      </w:r>
    </w:p>
    <w:p w:rsidR="00E675F0" w:rsidRDefault="00E675F0" w:rsidP="00E675F0">
      <w:pPr>
        <w:spacing w:line="256" w:lineRule="auto"/>
        <w:ind w:left="121" w:right="118" w:firstLine="348"/>
        <w:jc w:val="both"/>
        <w:rPr>
          <w:sz w:val="20"/>
        </w:rPr>
      </w:pPr>
      <w:r>
        <w:rPr>
          <w:b/>
          <w:w w:val="110"/>
          <w:sz w:val="20"/>
        </w:rPr>
        <w:t xml:space="preserve">Substance-Induced Sleep Disorder </w:t>
      </w:r>
      <w:r>
        <w:rPr>
          <w:w w:val="110"/>
          <w:sz w:val="20"/>
        </w:rPr>
        <w:t>(see p. 601) is included in the "Sleep Disorders" section.</w:t>
      </w:r>
    </w:p>
    <w:p w:rsidR="00E675F0" w:rsidRDefault="00E675F0" w:rsidP="00E675F0">
      <w:pPr>
        <w:spacing w:line="228" w:lineRule="exact"/>
        <w:ind w:left="480"/>
        <w:jc w:val="both"/>
        <w:rPr>
          <w:b/>
          <w:sz w:val="20"/>
        </w:rPr>
      </w:pPr>
      <w:r>
        <w:rPr>
          <w:w w:val="110"/>
          <w:sz w:val="20"/>
        </w:rPr>
        <w:t xml:space="preserve">In addition, </w:t>
      </w:r>
      <w:r>
        <w:rPr>
          <w:b/>
          <w:w w:val="110"/>
          <w:sz w:val="20"/>
        </w:rPr>
        <w:t>Hallucinogen Persisting Perception Disorder (Flashbacks)</w:t>
      </w:r>
    </w:p>
    <w:p w:rsidR="00E675F0" w:rsidRDefault="00E675F0" w:rsidP="00E675F0">
      <w:pPr>
        <w:pStyle w:val="BodyText"/>
        <w:ind w:left="116"/>
        <w:jc w:val="both"/>
      </w:pPr>
      <w:r>
        <w:rPr>
          <w:w w:val="105"/>
        </w:rPr>
        <w:t>(p. 233) is included under "Hallucinogen-Related Disorders" in this section.</w:t>
      </w:r>
    </w:p>
    <w:p w:rsidR="00E675F0" w:rsidRDefault="00E675F0" w:rsidP="00E675F0">
      <w:pPr>
        <w:pStyle w:val="BodyText"/>
        <w:spacing w:line="247" w:lineRule="auto"/>
        <w:ind w:left="113" w:right="109" w:firstLine="367"/>
        <w:jc w:val="both"/>
      </w:pPr>
      <w:r>
        <w:rPr>
          <w:w w:val="110"/>
        </w:rPr>
        <w:t>In</w:t>
      </w:r>
      <w:r>
        <w:rPr>
          <w:spacing w:val="-24"/>
          <w:w w:val="110"/>
        </w:rPr>
        <w:t xml:space="preserve"> </w:t>
      </w:r>
      <w:r>
        <w:rPr>
          <w:w w:val="110"/>
        </w:rPr>
        <w:t>DSM-III-R,</w:t>
      </w:r>
      <w:r>
        <w:rPr>
          <w:spacing w:val="-12"/>
          <w:w w:val="110"/>
        </w:rPr>
        <w:t xml:space="preserve"> </w:t>
      </w:r>
      <w:r>
        <w:rPr>
          <w:w w:val="110"/>
        </w:rPr>
        <w:t>the</w:t>
      </w:r>
      <w:r>
        <w:rPr>
          <w:spacing w:val="-27"/>
          <w:w w:val="110"/>
        </w:rPr>
        <w:t xml:space="preserve"> </w:t>
      </w:r>
      <w:r>
        <w:rPr>
          <w:w w:val="110"/>
        </w:rPr>
        <w:t>Substance-Induced</w:t>
      </w:r>
      <w:r>
        <w:rPr>
          <w:spacing w:val="-25"/>
          <w:w w:val="110"/>
        </w:rPr>
        <w:t xml:space="preserve"> </w:t>
      </w:r>
      <w:r>
        <w:rPr>
          <w:w w:val="110"/>
        </w:rPr>
        <w:t>Disorders</w:t>
      </w:r>
      <w:r>
        <w:rPr>
          <w:spacing w:val="-20"/>
          <w:w w:val="110"/>
        </w:rPr>
        <w:t xml:space="preserve"> </w:t>
      </w:r>
      <w:r>
        <w:rPr>
          <w:w w:val="110"/>
        </w:rPr>
        <w:t>and</w:t>
      </w:r>
      <w:r>
        <w:rPr>
          <w:spacing w:val="-20"/>
          <w:w w:val="110"/>
        </w:rPr>
        <w:t xml:space="preserve"> </w:t>
      </w:r>
      <w:r>
        <w:rPr>
          <w:w w:val="110"/>
        </w:rPr>
        <w:t>the</w:t>
      </w:r>
      <w:r>
        <w:rPr>
          <w:spacing w:val="-27"/>
          <w:w w:val="110"/>
        </w:rPr>
        <w:t xml:space="preserve"> </w:t>
      </w:r>
      <w:r>
        <w:rPr>
          <w:w w:val="110"/>
        </w:rPr>
        <w:t>Mental</w:t>
      </w:r>
      <w:r>
        <w:rPr>
          <w:spacing w:val="-18"/>
          <w:w w:val="110"/>
        </w:rPr>
        <w:t xml:space="preserve"> </w:t>
      </w:r>
      <w:r>
        <w:rPr>
          <w:w w:val="110"/>
        </w:rPr>
        <w:t>Disorders</w:t>
      </w:r>
      <w:r>
        <w:rPr>
          <w:spacing w:val="-19"/>
          <w:w w:val="110"/>
        </w:rPr>
        <w:t xml:space="preserve"> </w:t>
      </w:r>
      <w:r>
        <w:rPr>
          <w:w w:val="110"/>
        </w:rPr>
        <w:t>Due</w:t>
      </w:r>
      <w:r>
        <w:rPr>
          <w:spacing w:val="-21"/>
          <w:w w:val="110"/>
        </w:rPr>
        <w:t xml:space="preserve"> </w:t>
      </w:r>
      <w:r>
        <w:rPr>
          <w:w w:val="110"/>
        </w:rPr>
        <w:t>to</w:t>
      </w:r>
      <w:r>
        <w:rPr>
          <w:spacing w:val="-23"/>
          <w:w w:val="110"/>
        </w:rPr>
        <w:t xml:space="preserve"> </w:t>
      </w:r>
      <w:r>
        <w:rPr>
          <w:w w:val="110"/>
        </w:rPr>
        <w:t>a General</w:t>
      </w:r>
      <w:r>
        <w:rPr>
          <w:spacing w:val="-13"/>
          <w:w w:val="110"/>
        </w:rPr>
        <w:t xml:space="preserve"> </w:t>
      </w:r>
      <w:r>
        <w:rPr>
          <w:w w:val="110"/>
        </w:rPr>
        <w:t>Medical</w:t>
      </w:r>
      <w:r>
        <w:rPr>
          <w:spacing w:val="-11"/>
          <w:w w:val="110"/>
        </w:rPr>
        <w:t xml:space="preserve"> </w:t>
      </w:r>
      <w:r>
        <w:rPr>
          <w:w w:val="110"/>
        </w:rPr>
        <w:t>Condition</w:t>
      </w:r>
      <w:r>
        <w:rPr>
          <w:spacing w:val="-8"/>
          <w:w w:val="110"/>
        </w:rPr>
        <w:t xml:space="preserve"> </w:t>
      </w:r>
      <w:r>
        <w:rPr>
          <w:w w:val="110"/>
        </w:rPr>
        <w:t>were</w:t>
      </w:r>
      <w:r>
        <w:rPr>
          <w:spacing w:val="-19"/>
          <w:w w:val="110"/>
        </w:rPr>
        <w:t xml:space="preserve"> </w:t>
      </w:r>
      <w:r>
        <w:rPr>
          <w:w w:val="110"/>
        </w:rPr>
        <w:t>called</w:t>
      </w:r>
      <w:r>
        <w:rPr>
          <w:spacing w:val="-14"/>
          <w:w w:val="110"/>
        </w:rPr>
        <w:t xml:space="preserve"> </w:t>
      </w:r>
      <w:r>
        <w:rPr>
          <w:w w:val="110"/>
        </w:rPr>
        <w:t>"organic"</w:t>
      </w:r>
      <w:r>
        <w:rPr>
          <w:spacing w:val="-16"/>
          <w:w w:val="110"/>
        </w:rPr>
        <w:t xml:space="preserve"> </w:t>
      </w:r>
      <w:r>
        <w:rPr>
          <w:w w:val="110"/>
        </w:rPr>
        <w:t>disorders</w:t>
      </w:r>
      <w:r>
        <w:rPr>
          <w:spacing w:val="-17"/>
          <w:w w:val="110"/>
        </w:rPr>
        <w:t xml:space="preserve"> </w:t>
      </w:r>
      <w:r>
        <w:rPr>
          <w:w w:val="110"/>
        </w:rPr>
        <w:t>and</w:t>
      </w:r>
      <w:r>
        <w:rPr>
          <w:spacing w:val="-16"/>
          <w:w w:val="110"/>
        </w:rPr>
        <w:t xml:space="preserve"> </w:t>
      </w:r>
      <w:r>
        <w:rPr>
          <w:w w:val="110"/>
        </w:rPr>
        <w:t>were</w:t>
      </w:r>
      <w:r>
        <w:rPr>
          <w:spacing w:val="-15"/>
          <w:w w:val="110"/>
        </w:rPr>
        <w:t xml:space="preserve"> </w:t>
      </w:r>
      <w:r>
        <w:rPr>
          <w:w w:val="110"/>
        </w:rPr>
        <w:t>listed</w:t>
      </w:r>
      <w:r>
        <w:rPr>
          <w:spacing w:val="-15"/>
          <w:w w:val="110"/>
        </w:rPr>
        <w:t xml:space="preserve"> </w:t>
      </w:r>
      <w:r>
        <w:rPr>
          <w:w w:val="110"/>
        </w:rPr>
        <w:t>together</w:t>
      </w:r>
      <w:r>
        <w:rPr>
          <w:spacing w:val="-12"/>
          <w:w w:val="110"/>
        </w:rPr>
        <w:t xml:space="preserve"> </w:t>
      </w:r>
      <w:r>
        <w:rPr>
          <w:w w:val="110"/>
        </w:rPr>
        <w:t>in a single section. This differentiation of "organic" mental disorders as a separate class implied</w:t>
      </w:r>
      <w:r>
        <w:rPr>
          <w:spacing w:val="-16"/>
          <w:w w:val="110"/>
        </w:rPr>
        <w:t xml:space="preserve"> </w:t>
      </w:r>
      <w:r>
        <w:rPr>
          <w:w w:val="110"/>
        </w:rPr>
        <w:t>that</w:t>
      </w:r>
      <w:r>
        <w:rPr>
          <w:spacing w:val="-25"/>
          <w:w w:val="110"/>
        </w:rPr>
        <w:t xml:space="preserve"> </w:t>
      </w:r>
      <w:r>
        <w:rPr>
          <w:w w:val="110"/>
        </w:rPr>
        <w:t>"nonorganic"</w:t>
      </w:r>
      <w:r>
        <w:rPr>
          <w:spacing w:val="-17"/>
          <w:w w:val="110"/>
        </w:rPr>
        <w:t xml:space="preserve"> </w:t>
      </w:r>
      <w:r>
        <w:rPr>
          <w:w w:val="110"/>
        </w:rPr>
        <w:t>or</w:t>
      </w:r>
      <w:r>
        <w:rPr>
          <w:spacing w:val="-19"/>
          <w:w w:val="110"/>
        </w:rPr>
        <w:t xml:space="preserve"> </w:t>
      </w:r>
      <w:r>
        <w:rPr>
          <w:w w:val="110"/>
        </w:rPr>
        <w:t>"functional"</w:t>
      </w:r>
      <w:r>
        <w:rPr>
          <w:spacing w:val="-16"/>
          <w:w w:val="110"/>
        </w:rPr>
        <w:t xml:space="preserve"> </w:t>
      </w:r>
      <w:r>
        <w:rPr>
          <w:w w:val="110"/>
        </w:rPr>
        <w:t>mental</w:t>
      </w:r>
      <w:r>
        <w:rPr>
          <w:spacing w:val="-16"/>
          <w:w w:val="110"/>
        </w:rPr>
        <w:t xml:space="preserve"> </w:t>
      </w:r>
      <w:r>
        <w:rPr>
          <w:w w:val="110"/>
        </w:rPr>
        <w:t>disorders</w:t>
      </w:r>
      <w:r>
        <w:rPr>
          <w:spacing w:val="-16"/>
          <w:w w:val="110"/>
        </w:rPr>
        <w:t xml:space="preserve"> </w:t>
      </w:r>
      <w:r>
        <w:rPr>
          <w:w w:val="110"/>
        </w:rPr>
        <w:t>were</w:t>
      </w:r>
      <w:r>
        <w:rPr>
          <w:spacing w:val="-23"/>
          <w:w w:val="110"/>
        </w:rPr>
        <w:t xml:space="preserve"> </w:t>
      </w:r>
      <w:r>
        <w:rPr>
          <w:w w:val="110"/>
        </w:rPr>
        <w:t>somehow</w:t>
      </w:r>
      <w:r>
        <w:rPr>
          <w:spacing w:val="-15"/>
          <w:w w:val="110"/>
        </w:rPr>
        <w:t xml:space="preserve"> </w:t>
      </w:r>
      <w:r>
        <w:rPr>
          <w:w w:val="110"/>
        </w:rPr>
        <w:t>unrelated</w:t>
      </w:r>
      <w:r>
        <w:rPr>
          <w:spacing w:val="-15"/>
          <w:w w:val="110"/>
        </w:rPr>
        <w:t xml:space="preserve"> </w:t>
      </w:r>
      <w:r>
        <w:rPr>
          <w:w w:val="110"/>
        </w:rPr>
        <w:t xml:space="preserve">to physical or biological factors or processes. DSM-IV eliminates the term </w:t>
      </w:r>
      <w:r>
        <w:rPr>
          <w:i/>
          <w:w w:val="110"/>
          <w:sz w:val="21"/>
        </w:rPr>
        <w:t xml:space="preserve">organic </w:t>
      </w:r>
      <w:r>
        <w:rPr>
          <w:w w:val="110"/>
        </w:rPr>
        <w:t>and distinguishes</w:t>
      </w:r>
      <w:r>
        <w:rPr>
          <w:spacing w:val="-6"/>
          <w:w w:val="110"/>
        </w:rPr>
        <w:t xml:space="preserve"> </w:t>
      </w:r>
      <w:r>
        <w:rPr>
          <w:w w:val="110"/>
        </w:rPr>
        <w:t>those</w:t>
      </w:r>
      <w:r>
        <w:rPr>
          <w:spacing w:val="-17"/>
          <w:w w:val="110"/>
        </w:rPr>
        <w:t xml:space="preserve"> </w:t>
      </w:r>
      <w:r>
        <w:rPr>
          <w:w w:val="110"/>
        </w:rPr>
        <w:t>mental</w:t>
      </w:r>
      <w:r>
        <w:rPr>
          <w:spacing w:val="-16"/>
          <w:w w:val="110"/>
        </w:rPr>
        <w:t xml:space="preserve"> </w:t>
      </w:r>
      <w:r>
        <w:rPr>
          <w:w w:val="110"/>
        </w:rPr>
        <w:t>disorders</w:t>
      </w:r>
      <w:r>
        <w:rPr>
          <w:spacing w:val="-16"/>
          <w:w w:val="110"/>
        </w:rPr>
        <w:t xml:space="preserve"> </w:t>
      </w:r>
      <w:r>
        <w:rPr>
          <w:w w:val="110"/>
        </w:rPr>
        <w:t>that</w:t>
      </w:r>
      <w:r>
        <w:rPr>
          <w:spacing w:val="-17"/>
          <w:w w:val="110"/>
        </w:rPr>
        <w:t xml:space="preserve"> </w:t>
      </w:r>
      <w:r>
        <w:rPr>
          <w:w w:val="110"/>
        </w:rPr>
        <w:t>are</w:t>
      </w:r>
      <w:r>
        <w:rPr>
          <w:spacing w:val="-22"/>
          <w:w w:val="110"/>
        </w:rPr>
        <w:t xml:space="preserve"> </w:t>
      </w:r>
      <w:r>
        <w:rPr>
          <w:w w:val="110"/>
        </w:rPr>
        <w:t>substance</w:t>
      </w:r>
      <w:r>
        <w:rPr>
          <w:spacing w:val="-9"/>
          <w:w w:val="110"/>
        </w:rPr>
        <w:t xml:space="preserve"> </w:t>
      </w:r>
      <w:r>
        <w:rPr>
          <w:w w:val="110"/>
        </w:rPr>
        <w:t>induced</w:t>
      </w:r>
      <w:r>
        <w:rPr>
          <w:spacing w:val="-15"/>
          <w:w w:val="110"/>
        </w:rPr>
        <w:t xml:space="preserve"> </w:t>
      </w:r>
      <w:r>
        <w:rPr>
          <w:w w:val="110"/>
        </w:rPr>
        <w:t>from</w:t>
      </w:r>
      <w:r>
        <w:rPr>
          <w:spacing w:val="-14"/>
          <w:w w:val="110"/>
        </w:rPr>
        <w:t xml:space="preserve"> </w:t>
      </w:r>
      <w:r>
        <w:rPr>
          <w:w w:val="110"/>
        </w:rPr>
        <w:t>those</w:t>
      </w:r>
      <w:r>
        <w:rPr>
          <w:spacing w:val="-14"/>
          <w:w w:val="110"/>
        </w:rPr>
        <w:t xml:space="preserve"> </w:t>
      </w:r>
      <w:r>
        <w:rPr>
          <w:w w:val="110"/>
        </w:rPr>
        <w:t>that</w:t>
      </w:r>
      <w:r>
        <w:rPr>
          <w:spacing w:val="-17"/>
          <w:w w:val="110"/>
        </w:rPr>
        <w:t xml:space="preserve"> </w:t>
      </w:r>
      <w:r>
        <w:rPr>
          <w:w w:val="110"/>
        </w:rPr>
        <w:t>are</w:t>
      </w:r>
      <w:r>
        <w:rPr>
          <w:spacing w:val="-19"/>
          <w:w w:val="110"/>
        </w:rPr>
        <w:t xml:space="preserve"> </w:t>
      </w:r>
      <w:r>
        <w:rPr>
          <w:w w:val="110"/>
        </w:rPr>
        <w:t xml:space="preserve">due to a general medical condition and those that have no specified etiology. The term </w:t>
      </w:r>
      <w:r>
        <w:rPr>
          <w:i/>
          <w:w w:val="110"/>
          <w:sz w:val="21"/>
        </w:rPr>
        <w:t>primary</w:t>
      </w:r>
      <w:r>
        <w:rPr>
          <w:i/>
          <w:spacing w:val="-22"/>
          <w:w w:val="110"/>
          <w:sz w:val="21"/>
        </w:rPr>
        <w:t xml:space="preserve"> </w:t>
      </w:r>
      <w:r>
        <w:rPr>
          <w:i/>
          <w:w w:val="110"/>
          <w:sz w:val="21"/>
        </w:rPr>
        <w:t>mental</w:t>
      </w:r>
      <w:r>
        <w:rPr>
          <w:i/>
          <w:spacing w:val="-21"/>
          <w:w w:val="110"/>
          <w:sz w:val="21"/>
        </w:rPr>
        <w:t xml:space="preserve"> </w:t>
      </w:r>
      <w:r>
        <w:rPr>
          <w:i/>
          <w:w w:val="110"/>
          <w:sz w:val="21"/>
        </w:rPr>
        <w:t>disorder</w:t>
      </w:r>
      <w:r>
        <w:rPr>
          <w:i/>
          <w:spacing w:val="-24"/>
          <w:w w:val="110"/>
          <w:sz w:val="21"/>
        </w:rPr>
        <w:t xml:space="preserve"> </w:t>
      </w:r>
      <w:r>
        <w:rPr>
          <w:w w:val="110"/>
        </w:rPr>
        <w:t>is</w:t>
      </w:r>
      <w:r>
        <w:rPr>
          <w:spacing w:val="-19"/>
          <w:w w:val="110"/>
        </w:rPr>
        <w:t xml:space="preserve"> </w:t>
      </w:r>
      <w:r>
        <w:rPr>
          <w:w w:val="110"/>
        </w:rPr>
        <w:t>used</w:t>
      </w:r>
      <w:r>
        <w:rPr>
          <w:spacing w:val="-11"/>
          <w:w w:val="110"/>
        </w:rPr>
        <w:t xml:space="preserve"> </w:t>
      </w:r>
      <w:r>
        <w:rPr>
          <w:w w:val="110"/>
        </w:rPr>
        <w:t>as</w:t>
      </w:r>
      <w:r>
        <w:rPr>
          <w:spacing w:val="-17"/>
          <w:w w:val="110"/>
        </w:rPr>
        <w:t xml:space="preserve"> </w:t>
      </w:r>
      <w:r>
        <w:rPr>
          <w:w w:val="110"/>
        </w:rPr>
        <w:t>a</w:t>
      </w:r>
      <w:r>
        <w:rPr>
          <w:spacing w:val="-14"/>
          <w:w w:val="110"/>
        </w:rPr>
        <w:t xml:space="preserve"> </w:t>
      </w:r>
      <w:r>
        <w:rPr>
          <w:w w:val="110"/>
        </w:rPr>
        <w:t>shorthand</w:t>
      </w:r>
      <w:r>
        <w:rPr>
          <w:spacing w:val="-3"/>
          <w:w w:val="110"/>
        </w:rPr>
        <w:t xml:space="preserve"> </w:t>
      </w:r>
      <w:r>
        <w:rPr>
          <w:w w:val="110"/>
        </w:rPr>
        <w:t>to</w:t>
      </w:r>
      <w:r>
        <w:rPr>
          <w:spacing w:val="-15"/>
          <w:w w:val="110"/>
        </w:rPr>
        <w:t xml:space="preserve"> </w:t>
      </w:r>
      <w:r>
        <w:rPr>
          <w:w w:val="110"/>
        </w:rPr>
        <w:t>indicate</w:t>
      </w:r>
      <w:r>
        <w:rPr>
          <w:spacing w:val="-12"/>
          <w:w w:val="110"/>
        </w:rPr>
        <w:t xml:space="preserve"> </w:t>
      </w:r>
      <w:r>
        <w:rPr>
          <w:w w:val="110"/>
        </w:rPr>
        <w:t>those</w:t>
      </w:r>
      <w:r>
        <w:rPr>
          <w:spacing w:val="-8"/>
          <w:w w:val="110"/>
        </w:rPr>
        <w:t xml:space="preserve"> </w:t>
      </w:r>
      <w:r>
        <w:rPr>
          <w:w w:val="110"/>
        </w:rPr>
        <w:t>mental</w:t>
      </w:r>
      <w:r>
        <w:rPr>
          <w:spacing w:val="-12"/>
          <w:w w:val="110"/>
        </w:rPr>
        <w:t xml:space="preserve"> </w:t>
      </w:r>
      <w:r>
        <w:rPr>
          <w:w w:val="110"/>
        </w:rPr>
        <w:t>disorders</w:t>
      </w:r>
      <w:r>
        <w:rPr>
          <w:spacing w:val="-9"/>
          <w:w w:val="110"/>
        </w:rPr>
        <w:t xml:space="preserve"> </w:t>
      </w:r>
      <w:r>
        <w:rPr>
          <w:w w:val="110"/>
        </w:rPr>
        <w:t>that are not substance induced and that are not due to a general medical</w:t>
      </w:r>
      <w:r>
        <w:rPr>
          <w:spacing w:val="-2"/>
          <w:w w:val="110"/>
        </w:rPr>
        <w:t xml:space="preserve"> </w:t>
      </w:r>
      <w:r>
        <w:rPr>
          <w:w w:val="110"/>
        </w:rPr>
        <w:t>condition.</w:t>
      </w:r>
    </w:p>
    <w:p w:rsidR="00E675F0" w:rsidRDefault="00E675F0" w:rsidP="00E675F0">
      <w:pPr>
        <w:pStyle w:val="BodyText"/>
        <w:spacing w:line="254" w:lineRule="auto"/>
        <w:ind w:left="109" w:right="112" w:firstLine="365"/>
        <w:jc w:val="both"/>
      </w:pPr>
      <w:r>
        <w:rPr>
          <w:w w:val="105"/>
        </w:rPr>
        <w:t xml:space="preserve">The context in which a Substance-Induced Disorder develops can have important management implications. Substance-Induced Disorders can develop in the context of Substance Intoxication or Substance Withdrawal, or they can persist long after the substance has been eliminated from the body (Substance-Induced Persisting Disorders). Substance-induced presentations that develop in the context of Substance Intoxication can be indicated by using the specifier With Onset During Intoxication. Substance­ induced presentations that develop in the context of Substance Withdrawal can be indicated by the specifier With Onset During Withdrawal. </w:t>
      </w:r>
      <w:r>
        <w:rPr>
          <w:w w:val="105"/>
          <w:sz w:val="18"/>
        </w:rPr>
        <w:t xml:space="preserve">It </w:t>
      </w:r>
      <w:r>
        <w:rPr>
          <w:w w:val="105"/>
        </w:rPr>
        <w:t>should be noted that a diagnosis of a Substance-Induced Disorder, With Onset During Intoxication or With­ drawal, should be made instead of a diagnosis of Substance Intoxication or Substance Withdrawal only when the symptoms are in excess of those usually associated with the intoxication or withdrawal syndrome that is characteristic of the particular substance and when they are sufficiently severe to warrant independent clinical attention. Three</w:t>
      </w:r>
    </w:p>
    <w:p w:rsidR="00E675F0" w:rsidRDefault="00E675F0" w:rsidP="00E675F0">
      <w:pPr>
        <w:spacing w:line="254" w:lineRule="auto"/>
        <w:jc w:val="both"/>
        <w:sectPr w:rsidR="00E675F0">
          <w:pgSz w:w="8960" w:h="14260"/>
          <w:pgMar w:top="1400" w:right="620" w:bottom="280" w:left="620" w:header="693" w:footer="0" w:gutter="0"/>
          <w:cols w:space="720"/>
        </w:sectPr>
      </w:pPr>
    </w:p>
    <w:p w:rsidR="00E675F0" w:rsidRDefault="00E675F0" w:rsidP="00E675F0">
      <w:pPr>
        <w:pStyle w:val="BodyText"/>
        <w:spacing w:before="123" w:line="254" w:lineRule="auto"/>
        <w:ind w:left="104" w:right="125" w:hanging="2"/>
        <w:jc w:val="both"/>
      </w:pPr>
      <w:r>
        <w:rPr>
          <w:w w:val="105"/>
        </w:rPr>
        <w:lastRenderedPageBreak/>
        <w:t>Substance-Induced Persisting Disorders are included: Substance-Induced Persisting Dementia (see p. 152) and Substance-Induced Persisting Amnestic Disorder (seep. 161) in the "Delirium, Dementia, and Amnestic and Other Cognitive Disorders" section and Hallucinogen Persisting Perception Disorder under "Hallucinogen-Related Disorders" in this section (seep. 233). The essential feature of a Substance-Induced Persisting Disorder is prolonged or permanent persistence of substance-related symptoms that continue long after the usual course of Intoxication or Withdrawal has ended.</w:t>
      </w:r>
    </w:p>
    <w:p w:rsidR="00E675F0" w:rsidRDefault="00E675F0" w:rsidP="00E675F0">
      <w:pPr>
        <w:pStyle w:val="BodyText"/>
        <w:spacing w:line="254" w:lineRule="auto"/>
        <w:ind w:left="107" w:right="124" w:firstLine="370"/>
        <w:jc w:val="both"/>
      </w:pPr>
      <w:r>
        <w:rPr>
          <w:w w:val="105"/>
        </w:rPr>
        <w:t>For drugs of abuse, a diagnosis of a Substance-Induced Mental Disorder requires that there be evidence from the history, physical examination, or laboratory findings of Substance Intoxication or Substance Withdrawal. In evaluating whether the symptoms  of a mental disorder are the direct physiological effect of substance use, it is important  to note the temporal relationship between the onset and offset of substance use and the onset and offset of the symptoms. If the symptoms precede the onset of substance  use  or persist during extended periods of abstinence from the substance, it is likely that the symptoms are not substance induced. As a rule of thumb, symptoms that  persist for more than 4 weeks after the cessation of acute Intoxication or Withdrawal should be considered to be manifestations of an independent non-substance-induced mental disorder or of a Substance-Induced Persisting Disorder. Clinical judgment is necessary in making this distinction, particularly because different substances have different characteristic durations of intoxication and withdrawal and varying relationships with symptoms of mental disorders. Because  the withdrawal  state for some substances can be relatively protracted, it is useful to carefully observe the course of symptoms for an extended period of time (e.g., 4 weeks or more) after the cessation of acute Intoxication or Withdrawal, making all possible efforts to maintain the individual's abstinence. This can be accomplished in various ways, including inpatient hospitalization or residential treatment, requiring frequent follow-up visits, recruiting friends and family members to help keep the person substance free, regularly evaluating urine or blood for the presence of substances, and, if alcohol is involved, routinely evaluating changes in state markers of heavy drinking such as gamma-glutamyltransferase</w:t>
      </w:r>
      <w:r>
        <w:rPr>
          <w:spacing w:val="12"/>
          <w:w w:val="105"/>
        </w:rPr>
        <w:t xml:space="preserve"> </w:t>
      </w:r>
      <w:r>
        <w:rPr>
          <w:w w:val="105"/>
        </w:rPr>
        <w:t>(GGT).</w:t>
      </w:r>
    </w:p>
    <w:p w:rsidR="00E675F0" w:rsidRDefault="00E675F0" w:rsidP="00E675F0">
      <w:pPr>
        <w:pStyle w:val="BodyText"/>
        <w:spacing w:before="1" w:line="252" w:lineRule="auto"/>
        <w:ind w:left="118" w:right="112" w:firstLine="365"/>
        <w:jc w:val="both"/>
      </w:pPr>
      <w:r>
        <w:rPr>
          <w:w w:val="110"/>
        </w:rPr>
        <w:t>Another</w:t>
      </w:r>
      <w:r>
        <w:rPr>
          <w:spacing w:val="-37"/>
          <w:w w:val="110"/>
        </w:rPr>
        <w:t xml:space="preserve"> </w:t>
      </w:r>
      <w:r>
        <w:rPr>
          <w:w w:val="110"/>
        </w:rPr>
        <w:t>consideration</w:t>
      </w:r>
      <w:r>
        <w:rPr>
          <w:spacing w:val="-34"/>
          <w:w w:val="110"/>
        </w:rPr>
        <w:t xml:space="preserve"> </w:t>
      </w:r>
      <w:r>
        <w:rPr>
          <w:w w:val="110"/>
        </w:rPr>
        <w:t>in</w:t>
      </w:r>
      <w:r>
        <w:rPr>
          <w:spacing w:val="-42"/>
          <w:w w:val="110"/>
        </w:rPr>
        <w:t xml:space="preserve"> </w:t>
      </w:r>
      <w:r>
        <w:rPr>
          <w:w w:val="110"/>
        </w:rPr>
        <w:t>differentiating</w:t>
      </w:r>
      <w:r>
        <w:rPr>
          <w:spacing w:val="-42"/>
          <w:w w:val="110"/>
        </w:rPr>
        <w:t xml:space="preserve"> </w:t>
      </w:r>
      <w:r>
        <w:rPr>
          <w:w w:val="110"/>
        </w:rPr>
        <w:t>a</w:t>
      </w:r>
      <w:r>
        <w:rPr>
          <w:spacing w:val="-38"/>
          <w:w w:val="110"/>
        </w:rPr>
        <w:t xml:space="preserve"> </w:t>
      </w:r>
      <w:r>
        <w:rPr>
          <w:w w:val="110"/>
        </w:rPr>
        <w:t>primary</w:t>
      </w:r>
      <w:r>
        <w:rPr>
          <w:spacing w:val="-37"/>
          <w:w w:val="110"/>
        </w:rPr>
        <w:t xml:space="preserve"> </w:t>
      </w:r>
      <w:r>
        <w:rPr>
          <w:w w:val="110"/>
        </w:rPr>
        <w:t>mental</w:t>
      </w:r>
      <w:r>
        <w:rPr>
          <w:spacing w:val="-38"/>
          <w:w w:val="110"/>
        </w:rPr>
        <w:t xml:space="preserve"> </w:t>
      </w:r>
      <w:r>
        <w:rPr>
          <w:w w:val="110"/>
        </w:rPr>
        <w:t>disorder</w:t>
      </w:r>
      <w:r>
        <w:rPr>
          <w:spacing w:val="-40"/>
          <w:w w:val="110"/>
        </w:rPr>
        <w:t xml:space="preserve"> </w:t>
      </w:r>
      <w:r>
        <w:rPr>
          <w:w w:val="110"/>
        </w:rPr>
        <w:t>from</w:t>
      </w:r>
      <w:r>
        <w:rPr>
          <w:spacing w:val="-39"/>
          <w:w w:val="110"/>
        </w:rPr>
        <w:t xml:space="preserve"> </w:t>
      </w:r>
      <w:r>
        <w:rPr>
          <w:w w:val="110"/>
        </w:rPr>
        <w:t>a</w:t>
      </w:r>
      <w:r>
        <w:rPr>
          <w:spacing w:val="-42"/>
          <w:w w:val="110"/>
        </w:rPr>
        <w:t xml:space="preserve"> </w:t>
      </w:r>
      <w:r>
        <w:rPr>
          <w:w w:val="110"/>
        </w:rPr>
        <w:t>Substance­ Induced Disorder is the presence of features that are atypical of the primary disorder (e.g.,</w:t>
      </w:r>
      <w:r>
        <w:rPr>
          <w:spacing w:val="-9"/>
          <w:w w:val="110"/>
        </w:rPr>
        <w:t xml:space="preserve"> </w:t>
      </w:r>
      <w:r>
        <w:rPr>
          <w:w w:val="110"/>
        </w:rPr>
        <w:t>atypical</w:t>
      </w:r>
      <w:r>
        <w:rPr>
          <w:spacing w:val="-7"/>
          <w:w w:val="110"/>
        </w:rPr>
        <w:t xml:space="preserve"> </w:t>
      </w:r>
      <w:r>
        <w:rPr>
          <w:w w:val="110"/>
        </w:rPr>
        <w:t>age</w:t>
      </w:r>
      <w:r>
        <w:rPr>
          <w:spacing w:val="-13"/>
          <w:w w:val="110"/>
        </w:rPr>
        <w:t xml:space="preserve"> </w:t>
      </w:r>
      <w:r>
        <w:rPr>
          <w:w w:val="110"/>
        </w:rPr>
        <w:t>at</w:t>
      </w:r>
      <w:r>
        <w:rPr>
          <w:spacing w:val="-15"/>
          <w:w w:val="110"/>
        </w:rPr>
        <w:t xml:space="preserve"> </w:t>
      </w:r>
      <w:r>
        <w:rPr>
          <w:w w:val="110"/>
        </w:rPr>
        <w:t>onset</w:t>
      </w:r>
      <w:r>
        <w:rPr>
          <w:spacing w:val="-7"/>
          <w:w w:val="110"/>
        </w:rPr>
        <w:t xml:space="preserve"> </w:t>
      </w:r>
      <w:r>
        <w:rPr>
          <w:w w:val="110"/>
        </w:rPr>
        <w:t>or</w:t>
      </w:r>
      <w:r>
        <w:rPr>
          <w:spacing w:val="-13"/>
          <w:w w:val="110"/>
        </w:rPr>
        <w:t xml:space="preserve"> </w:t>
      </w:r>
      <w:r>
        <w:rPr>
          <w:w w:val="110"/>
        </w:rPr>
        <w:t>course).</w:t>
      </w:r>
      <w:r>
        <w:rPr>
          <w:spacing w:val="-6"/>
          <w:w w:val="110"/>
        </w:rPr>
        <w:t xml:space="preserve"> </w:t>
      </w:r>
      <w:r>
        <w:rPr>
          <w:w w:val="110"/>
        </w:rPr>
        <w:t>For</w:t>
      </w:r>
      <w:r>
        <w:rPr>
          <w:spacing w:val="-11"/>
          <w:w w:val="110"/>
        </w:rPr>
        <w:t xml:space="preserve"> </w:t>
      </w:r>
      <w:r>
        <w:rPr>
          <w:w w:val="110"/>
        </w:rPr>
        <w:t>example,</w:t>
      </w:r>
      <w:r>
        <w:rPr>
          <w:spacing w:val="-3"/>
          <w:w w:val="110"/>
        </w:rPr>
        <w:t xml:space="preserve"> </w:t>
      </w:r>
      <w:r>
        <w:rPr>
          <w:w w:val="110"/>
        </w:rPr>
        <w:t>the</w:t>
      </w:r>
      <w:r>
        <w:rPr>
          <w:spacing w:val="-4"/>
          <w:w w:val="110"/>
        </w:rPr>
        <w:t xml:space="preserve"> </w:t>
      </w:r>
      <w:r>
        <w:rPr>
          <w:w w:val="110"/>
        </w:rPr>
        <w:t>onset</w:t>
      </w:r>
      <w:r>
        <w:rPr>
          <w:spacing w:val="-11"/>
          <w:w w:val="110"/>
        </w:rPr>
        <w:t xml:space="preserve"> </w:t>
      </w:r>
      <w:r>
        <w:rPr>
          <w:w w:val="110"/>
        </w:rPr>
        <w:t>of</w:t>
      </w:r>
      <w:r>
        <w:rPr>
          <w:spacing w:val="-7"/>
          <w:w w:val="110"/>
        </w:rPr>
        <w:t xml:space="preserve"> </w:t>
      </w:r>
      <w:r>
        <w:rPr>
          <w:w w:val="110"/>
        </w:rPr>
        <w:t>a</w:t>
      </w:r>
      <w:r>
        <w:rPr>
          <w:spacing w:val="-9"/>
          <w:w w:val="110"/>
        </w:rPr>
        <w:t xml:space="preserve"> </w:t>
      </w:r>
      <w:r>
        <w:rPr>
          <w:w w:val="110"/>
        </w:rPr>
        <w:t>Manic</w:t>
      </w:r>
      <w:r>
        <w:rPr>
          <w:spacing w:val="-10"/>
          <w:w w:val="110"/>
        </w:rPr>
        <w:t xml:space="preserve"> </w:t>
      </w:r>
      <w:r>
        <w:rPr>
          <w:w w:val="110"/>
        </w:rPr>
        <w:t>Episode</w:t>
      </w:r>
      <w:r>
        <w:rPr>
          <w:spacing w:val="-10"/>
          <w:w w:val="110"/>
        </w:rPr>
        <w:t xml:space="preserve"> </w:t>
      </w:r>
      <w:r>
        <w:rPr>
          <w:w w:val="110"/>
        </w:rPr>
        <w:t>after age</w:t>
      </w:r>
      <w:r>
        <w:rPr>
          <w:spacing w:val="-22"/>
          <w:w w:val="110"/>
        </w:rPr>
        <w:t xml:space="preserve"> </w:t>
      </w:r>
      <w:r>
        <w:rPr>
          <w:w w:val="110"/>
        </w:rPr>
        <w:t>45</w:t>
      </w:r>
      <w:r>
        <w:rPr>
          <w:spacing w:val="-27"/>
          <w:w w:val="110"/>
        </w:rPr>
        <w:t xml:space="preserve"> </w:t>
      </w:r>
      <w:r>
        <w:rPr>
          <w:w w:val="110"/>
        </w:rPr>
        <w:t>years</w:t>
      </w:r>
      <w:r>
        <w:rPr>
          <w:spacing w:val="-22"/>
          <w:w w:val="110"/>
        </w:rPr>
        <w:t xml:space="preserve"> </w:t>
      </w:r>
      <w:r>
        <w:rPr>
          <w:w w:val="110"/>
        </w:rPr>
        <w:t>may</w:t>
      </w:r>
      <w:r>
        <w:rPr>
          <w:spacing w:val="-27"/>
          <w:w w:val="110"/>
        </w:rPr>
        <w:t xml:space="preserve"> </w:t>
      </w:r>
      <w:r>
        <w:rPr>
          <w:w w:val="110"/>
        </w:rPr>
        <w:t>suggest</w:t>
      </w:r>
      <w:r>
        <w:rPr>
          <w:spacing w:val="-20"/>
          <w:w w:val="110"/>
        </w:rPr>
        <w:t xml:space="preserve"> </w:t>
      </w:r>
      <w:r>
        <w:rPr>
          <w:w w:val="110"/>
        </w:rPr>
        <w:t>a</w:t>
      </w:r>
      <w:r>
        <w:rPr>
          <w:spacing w:val="-24"/>
          <w:w w:val="110"/>
        </w:rPr>
        <w:t xml:space="preserve"> </w:t>
      </w:r>
      <w:r>
        <w:rPr>
          <w:w w:val="110"/>
        </w:rPr>
        <w:t>substance-induced</w:t>
      </w:r>
      <w:r>
        <w:rPr>
          <w:spacing w:val="-29"/>
          <w:w w:val="110"/>
        </w:rPr>
        <w:t xml:space="preserve"> </w:t>
      </w:r>
      <w:r>
        <w:rPr>
          <w:w w:val="110"/>
        </w:rPr>
        <w:t>etiology.</w:t>
      </w:r>
      <w:r>
        <w:rPr>
          <w:spacing w:val="-15"/>
          <w:w w:val="110"/>
        </w:rPr>
        <w:t xml:space="preserve"> </w:t>
      </w:r>
      <w:r>
        <w:rPr>
          <w:w w:val="110"/>
        </w:rPr>
        <w:t>In</w:t>
      </w:r>
      <w:r>
        <w:rPr>
          <w:spacing w:val="-22"/>
          <w:w w:val="110"/>
        </w:rPr>
        <w:t xml:space="preserve"> </w:t>
      </w:r>
      <w:r>
        <w:rPr>
          <w:w w:val="110"/>
        </w:rPr>
        <w:t>contrast,</w:t>
      </w:r>
      <w:r>
        <w:rPr>
          <w:spacing w:val="-19"/>
          <w:w w:val="110"/>
        </w:rPr>
        <w:t xml:space="preserve"> </w:t>
      </w:r>
      <w:r>
        <w:rPr>
          <w:w w:val="110"/>
        </w:rPr>
        <w:t>factors</w:t>
      </w:r>
      <w:r>
        <w:rPr>
          <w:spacing w:val="-17"/>
          <w:w w:val="110"/>
        </w:rPr>
        <w:t xml:space="preserve"> </w:t>
      </w:r>
      <w:r>
        <w:rPr>
          <w:w w:val="110"/>
        </w:rPr>
        <w:t>that</w:t>
      </w:r>
      <w:r>
        <w:rPr>
          <w:spacing w:val="-22"/>
          <w:w w:val="110"/>
        </w:rPr>
        <w:t xml:space="preserve"> </w:t>
      </w:r>
      <w:r>
        <w:rPr>
          <w:w w:val="110"/>
        </w:rPr>
        <w:t>suggest that</w:t>
      </w:r>
      <w:r>
        <w:rPr>
          <w:spacing w:val="-31"/>
          <w:w w:val="110"/>
        </w:rPr>
        <w:t xml:space="preserve"> </w:t>
      </w:r>
      <w:r>
        <w:rPr>
          <w:w w:val="110"/>
        </w:rPr>
        <w:t>the</w:t>
      </w:r>
      <w:r>
        <w:rPr>
          <w:spacing w:val="-34"/>
          <w:w w:val="110"/>
        </w:rPr>
        <w:t xml:space="preserve"> </w:t>
      </w:r>
      <w:r>
        <w:rPr>
          <w:w w:val="110"/>
        </w:rPr>
        <w:t>symptoms</w:t>
      </w:r>
      <w:r>
        <w:rPr>
          <w:spacing w:val="-28"/>
          <w:w w:val="110"/>
        </w:rPr>
        <w:t xml:space="preserve"> </w:t>
      </w:r>
      <w:r>
        <w:rPr>
          <w:w w:val="110"/>
        </w:rPr>
        <w:t>are</w:t>
      </w:r>
      <w:r>
        <w:rPr>
          <w:spacing w:val="-31"/>
          <w:w w:val="110"/>
        </w:rPr>
        <w:t xml:space="preserve"> </w:t>
      </w:r>
      <w:r>
        <w:rPr>
          <w:w w:val="110"/>
        </w:rPr>
        <w:t>better</w:t>
      </w:r>
      <w:r>
        <w:rPr>
          <w:spacing w:val="-33"/>
          <w:w w:val="110"/>
        </w:rPr>
        <w:t xml:space="preserve"> </w:t>
      </w:r>
      <w:r>
        <w:rPr>
          <w:w w:val="110"/>
        </w:rPr>
        <w:t>accounted</w:t>
      </w:r>
      <w:r>
        <w:rPr>
          <w:spacing w:val="-27"/>
          <w:w w:val="110"/>
        </w:rPr>
        <w:t xml:space="preserve"> </w:t>
      </w:r>
      <w:r>
        <w:rPr>
          <w:w w:val="110"/>
        </w:rPr>
        <w:t>for</w:t>
      </w:r>
      <w:r>
        <w:rPr>
          <w:spacing w:val="-32"/>
          <w:w w:val="110"/>
        </w:rPr>
        <w:t xml:space="preserve"> </w:t>
      </w:r>
      <w:r>
        <w:rPr>
          <w:w w:val="110"/>
        </w:rPr>
        <w:t>by</w:t>
      </w:r>
      <w:r>
        <w:rPr>
          <w:spacing w:val="-35"/>
          <w:w w:val="110"/>
        </w:rPr>
        <w:t xml:space="preserve"> </w:t>
      </w:r>
      <w:r>
        <w:rPr>
          <w:w w:val="110"/>
        </w:rPr>
        <w:t>a</w:t>
      </w:r>
      <w:r>
        <w:rPr>
          <w:spacing w:val="-29"/>
          <w:w w:val="110"/>
        </w:rPr>
        <w:t xml:space="preserve"> </w:t>
      </w:r>
      <w:r>
        <w:rPr>
          <w:w w:val="110"/>
        </w:rPr>
        <w:t>primary</w:t>
      </w:r>
      <w:r>
        <w:rPr>
          <w:spacing w:val="-30"/>
          <w:w w:val="110"/>
        </w:rPr>
        <w:t xml:space="preserve"> </w:t>
      </w:r>
      <w:r>
        <w:rPr>
          <w:w w:val="110"/>
        </w:rPr>
        <w:t>mental</w:t>
      </w:r>
      <w:r>
        <w:rPr>
          <w:spacing w:val="-29"/>
          <w:w w:val="110"/>
        </w:rPr>
        <w:t xml:space="preserve"> </w:t>
      </w:r>
      <w:r>
        <w:rPr>
          <w:w w:val="110"/>
        </w:rPr>
        <w:t>disorder</w:t>
      </w:r>
      <w:r>
        <w:rPr>
          <w:spacing w:val="-30"/>
          <w:w w:val="110"/>
        </w:rPr>
        <w:t xml:space="preserve"> </w:t>
      </w:r>
      <w:r>
        <w:rPr>
          <w:w w:val="110"/>
        </w:rPr>
        <w:t>include</w:t>
      </w:r>
      <w:r>
        <w:rPr>
          <w:spacing w:val="-30"/>
          <w:w w:val="110"/>
        </w:rPr>
        <w:t xml:space="preserve"> </w:t>
      </w:r>
      <w:r>
        <w:rPr>
          <w:w w:val="110"/>
        </w:rPr>
        <w:t>a</w:t>
      </w:r>
      <w:r>
        <w:rPr>
          <w:spacing w:val="-28"/>
          <w:w w:val="110"/>
        </w:rPr>
        <w:t xml:space="preserve"> </w:t>
      </w:r>
      <w:r>
        <w:rPr>
          <w:w w:val="110"/>
        </w:rPr>
        <w:t>history of prior episodes of the disturbance that were not substance induced. Finally, the presence</w:t>
      </w:r>
      <w:r>
        <w:rPr>
          <w:spacing w:val="-13"/>
          <w:w w:val="110"/>
        </w:rPr>
        <w:t xml:space="preserve"> </w:t>
      </w:r>
      <w:r>
        <w:rPr>
          <w:w w:val="110"/>
        </w:rPr>
        <w:t>or</w:t>
      </w:r>
      <w:r>
        <w:rPr>
          <w:spacing w:val="-16"/>
          <w:w w:val="110"/>
        </w:rPr>
        <w:t xml:space="preserve"> </w:t>
      </w:r>
      <w:r>
        <w:rPr>
          <w:w w:val="110"/>
        </w:rPr>
        <w:t>absence</w:t>
      </w:r>
      <w:r>
        <w:rPr>
          <w:spacing w:val="-11"/>
          <w:w w:val="110"/>
        </w:rPr>
        <w:t xml:space="preserve"> </w:t>
      </w:r>
      <w:r>
        <w:rPr>
          <w:w w:val="110"/>
        </w:rPr>
        <w:t>of</w:t>
      </w:r>
      <w:r>
        <w:rPr>
          <w:spacing w:val="-7"/>
          <w:w w:val="110"/>
        </w:rPr>
        <w:t xml:space="preserve"> </w:t>
      </w:r>
      <w:r>
        <w:rPr>
          <w:w w:val="110"/>
        </w:rPr>
        <w:t>the</w:t>
      </w:r>
      <w:r>
        <w:rPr>
          <w:spacing w:val="-17"/>
          <w:w w:val="110"/>
        </w:rPr>
        <w:t xml:space="preserve"> </w:t>
      </w:r>
      <w:r>
        <w:rPr>
          <w:w w:val="110"/>
        </w:rPr>
        <w:t>substance-specific</w:t>
      </w:r>
      <w:r>
        <w:rPr>
          <w:spacing w:val="-20"/>
          <w:w w:val="110"/>
        </w:rPr>
        <w:t xml:space="preserve"> </w:t>
      </w:r>
      <w:r>
        <w:rPr>
          <w:w w:val="110"/>
        </w:rPr>
        <w:t>physiological</w:t>
      </w:r>
      <w:r>
        <w:rPr>
          <w:spacing w:val="-6"/>
          <w:w w:val="110"/>
        </w:rPr>
        <w:t xml:space="preserve"> </w:t>
      </w:r>
      <w:r>
        <w:rPr>
          <w:w w:val="110"/>
        </w:rPr>
        <w:t>and</w:t>
      </w:r>
      <w:r>
        <w:rPr>
          <w:spacing w:val="-11"/>
          <w:w w:val="110"/>
        </w:rPr>
        <w:t xml:space="preserve"> </w:t>
      </w:r>
      <w:r>
        <w:rPr>
          <w:w w:val="110"/>
        </w:rPr>
        <w:t>behavioral</w:t>
      </w:r>
      <w:r>
        <w:rPr>
          <w:spacing w:val="-10"/>
          <w:w w:val="110"/>
        </w:rPr>
        <w:t xml:space="preserve"> </w:t>
      </w:r>
      <w:r>
        <w:rPr>
          <w:w w:val="110"/>
        </w:rPr>
        <w:t>features</w:t>
      </w:r>
      <w:r>
        <w:rPr>
          <w:spacing w:val="-11"/>
          <w:w w:val="110"/>
        </w:rPr>
        <w:t xml:space="preserve"> </w:t>
      </w:r>
      <w:r>
        <w:rPr>
          <w:w w:val="110"/>
        </w:rPr>
        <w:t>of Intoxication</w:t>
      </w:r>
      <w:r>
        <w:rPr>
          <w:spacing w:val="-33"/>
          <w:w w:val="110"/>
        </w:rPr>
        <w:t xml:space="preserve"> </w:t>
      </w:r>
      <w:r>
        <w:rPr>
          <w:w w:val="110"/>
        </w:rPr>
        <w:t>or</w:t>
      </w:r>
      <w:r>
        <w:rPr>
          <w:spacing w:val="-31"/>
          <w:w w:val="110"/>
        </w:rPr>
        <w:t xml:space="preserve"> </w:t>
      </w:r>
      <w:r>
        <w:rPr>
          <w:w w:val="110"/>
        </w:rPr>
        <w:t>Withdrawal</w:t>
      </w:r>
      <w:r>
        <w:rPr>
          <w:spacing w:val="-27"/>
          <w:w w:val="110"/>
        </w:rPr>
        <w:t xml:space="preserve"> </w:t>
      </w:r>
      <w:r>
        <w:rPr>
          <w:w w:val="110"/>
        </w:rPr>
        <w:t>should</w:t>
      </w:r>
      <w:r>
        <w:rPr>
          <w:spacing w:val="-28"/>
          <w:w w:val="110"/>
        </w:rPr>
        <w:t xml:space="preserve"> </w:t>
      </w:r>
      <w:r>
        <w:rPr>
          <w:w w:val="110"/>
        </w:rPr>
        <w:t>be</w:t>
      </w:r>
      <w:r>
        <w:rPr>
          <w:spacing w:val="-35"/>
          <w:w w:val="110"/>
        </w:rPr>
        <w:t xml:space="preserve"> </w:t>
      </w:r>
      <w:r>
        <w:rPr>
          <w:w w:val="110"/>
        </w:rPr>
        <w:t>considered.</w:t>
      </w:r>
      <w:r>
        <w:rPr>
          <w:spacing w:val="-25"/>
          <w:w w:val="110"/>
        </w:rPr>
        <w:t xml:space="preserve"> </w:t>
      </w:r>
      <w:r>
        <w:rPr>
          <w:w w:val="110"/>
        </w:rPr>
        <w:t>For</w:t>
      </w:r>
      <w:r>
        <w:rPr>
          <w:spacing w:val="-36"/>
          <w:w w:val="110"/>
        </w:rPr>
        <w:t xml:space="preserve"> </w:t>
      </w:r>
      <w:r>
        <w:rPr>
          <w:w w:val="110"/>
        </w:rPr>
        <w:t>example,</w:t>
      </w:r>
      <w:r>
        <w:rPr>
          <w:spacing w:val="-27"/>
          <w:w w:val="110"/>
        </w:rPr>
        <w:t xml:space="preserve"> </w:t>
      </w:r>
      <w:r>
        <w:rPr>
          <w:w w:val="110"/>
        </w:rPr>
        <w:t>the</w:t>
      </w:r>
      <w:r>
        <w:rPr>
          <w:spacing w:val="-31"/>
          <w:w w:val="110"/>
        </w:rPr>
        <w:t xml:space="preserve"> </w:t>
      </w:r>
      <w:r>
        <w:rPr>
          <w:w w:val="110"/>
        </w:rPr>
        <w:t>presence</w:t>
      </w:r>
      <w:r>
        <w:rPr>
          <w:spacing w:val="-33"/>
          <w:w w:val="110"/>
        </w:rPr>
        <w:t xml:space="preserve"> </w:t>
      </w:r>
      <w:r>
        <w:rPr>
          <w:w w:val="110"/>
        </w:rPr>
        <w:t>of</w:t>
      </w:r>
      <w:r>
        <w:rPr>
          <w:spacing w:val="-27"/>
          <w:w w:val="110"/>
        </w:rPr>
        <w:t xml:space="preserve"> </w:t>
      </w:r>
      <w:r>
        <w:rPr>
          <w:w w:val="110"/>
        </w:rPr>
        <w:t>paranoid delusions would not be surprising in the context of Phencyclidine Intoxication, but would</w:t>
      </w:r>
      <w:r>
        <w:rPr>
          <w:spacing w:val="-2"/>
          <w:w w:val="110"/>
        </w:rPr>
        <w:t xml:space="preserve"> </w:t>
      </w:r>
      <w:r>
        <w:rPr>
          <w:w w:val="110"/>
        </w:rPr>
        <w:t>be</w:t>
      </w:r>
      <w:r>
        <w:rPr>
          <w:spacing w:val="-6"/>
          <w:w w:val="110"/>
        </w:rPr>
        <w:t xml:space="preserve"> </w:t>
      </w:r>
      <w:r>
        <w:rPr>
          <w:w w:val="110"/>
        </w:rPr>
        <w:t>unusual</w:t>
      </w:r>
      <w:r>
        <w:rPr>
          <w:spacing w:val="-4"/>
          <w:w w:val="110"/>
        </w:rPr>
        <w:t xml:space="preserve"> </w:t>
      </w:r>
      <w:r>
        <w:rPr>
          <w:w w:val="110"/>
        </w:rPr>
        <w:t>with</w:t>
      </w:r>
      <w:r>
        <w:rPr>
          <w:spacing w:val="-9"/>
          <w:w w:val="110"/>
        </w:rPr>
        <w:t xml:space="preserve"> </w:t>
      </w:r>
      <w:r>
        <w:rPr>
          <w:w w:val="110"/>
        </w:rPr>
        <w:t>Sedative</w:t>
      </w:r>
      <w:r>
        <w:rPr>
          <w:spacing w:val="-2"/>
          <w:w w:val="110"/>
        </w:rPr>
        <w:t xml:space="preserve"> </w:t>
      </w:r>
      <w:r>
        <w:rPr>
          <w:w w:val="110"/>
        </w:rPr>
        <w:t>Intoxication,</w:t>
      </w:r>
      <w:r>
        <w:rPr>
          <w:spacing w:val="1"/>
          <w:w w:val="110"/>
        </w:rPr>
        <w:t xml:space="preserve"> </w:t>
      </w:r>
      <w:r>
        <w:rPr>
          <w:w w:val="110"/>
        </w:rPr>
        <w:t>increasing</w:t>
      </w:r>
      <w:r>
        <w:rPr>
          <w:spacing w:val="-4"/>
          <w:w w:val="110"/>
        </w:rPr>
        <w:t xml:space="preserve"> </w:t>
      </w:r>
      <w:r>
        <w:rPr>
          <w:w w:val="110"/>
        </w:rPr>
        <w:t>the</w:t>
      </w:r>
      <w:r>
        <w:rPr>
          <w:spacing w:val="-10"/>
          <w:w w:val="110"/>
        </w:rPr>
        <w:t xml:space="preserve"> </w:t>
      </w:r>
      <w:r>
        <w:rPr>
          <w:w w:val="110"/>
        </w:rPr>
        <w:t>likelihood</w:t>
      </w:r>
      <w:r>
        <w:rPr>
          <w:spacing w:val="4"/>
          <w:w w:val="110"/>
        </w:rPr>
        <w:t xml:space="preserve"> </w:t>
      </w:r>
      <w:r>
        <w:rPr>
          <w:w w:val="110"/>
        </w:rPr>
        <w:t>that</w:t>
      </w:r>
      <w:r>
        <w:rPr>
          <w:spacing w:val="-8"/>
          <w:w w:val="110"/>
        </w:rPr>
        <w:t xml:space="preserve"> </w:t>
      </w:r>
      <w:r>
        <w:rPr>
          <w:w w:val="110"/>
        </w:rPr>
        <w:t>a</w:t>
      </w:r>
      <w:r>
        <w:rPr>
          <w:spacing w:val="-7"/>
          <w:w w:val="110"/>
        </w:rPr>
        <w:t xml:space="preserve"> </w:t>
      </w:r>
      <w:r>
        <w:rPr>
          <w:w w:val="110"/>
        </w:rPr>
        <w:t>primary Psychotic</w:t>
      </w:r>
      <w:r>
        <w:rPr>
          <w:spacing w:val="-31"/>
          <w:w w:val="110"/>
        </w:rPr>
        <w:t xml:space="preserve"> </w:t>
      </w:r>
      <w:r>
        <w:rPr>
          <w:w w:val="110"/>
        </w:rPr>
        <w:t>Disorder</w:t>
      </w:r>
      <w:r>
        <w:rPr>
          <w:spacing w:val="-31"/>
          <w:w w:val="110"/>
        </w:rPr>
        <w:t xml:space="preserve"> </w:t>
      </w:r>
      <w:r>
        <w:rPr>
          <w:w w:val="110"/>
        </w:rPr>
        <w:t>accounts</w:t>
      </w:r>
      <w:r>
        <w:rPr>
          <w:spacing w:val="-34"/>
          <w:w w:val="110"/>
        </w:rPr>
        <w:t xml:space="preserve"> </w:t>
      </w:r>
      <w:r>
        <w:rPr>
          <w:w w:val="110"/>
        </w:rPr>
        <w:t>for</w:t>
      </w:r>
      <w:r>
        <w:rPr>
          <w:spacing w:val="-36"/>
          <w:w w:val="110"/>
        </w:rPr>
        <w:t xml:space="preserve"> </w:t>
      </w:r>
      <w:r>
        <w:rPr>
          <w:w w:val="110"/>
        </w:rPr>
        <w:t>the</w:t>
      </w:r>
      <w:r>
        <w:rPr>
          <w:spacing w:val="-39"/>
          <w:w w:val="110"/>
        </w:rPr>
        <w:t xml:space="preserve"> </w:t>
      </w:r>
      <w:r>
        <w:rPr>
          <w:w w:val="110"/>
        </w:rPr>
        <w:t>symptoms.</w:t>
      </w:r>
      <w:r>
        <w:rPr>
          <w:spacing w:val="-31"/>
          <w:w w:val="110"/>
        </w:rPr>
        <w:t xml:space="preserve"> </w:t>
      </w:r>
      <w:r>
        <w:rPr>
          <w:w w:val="110"/>
        </w:rPr>
        <w:t>Furthermore,</w:t>
      </w:r>
      <w:r>
        <w:rPr>
          <w:spacing w:val="-29"/>
          <w:w w:val="110"/>
        </w:rPr>
        <w:t xml:space="preserve"> </w:t>
      </w:r>
      <w:r>
        <w:rPr>
          <w:w w:val="110"/>
        </w:rPr>
        <w:t>the</w:t>
      </w:r>
      <w:r>
        <w:rPr>
          <w:spacing w:val="-39"/>
          <w:w w:val="110"/>
        </w:rPr>
        <w:t xml:space="preserve"> </w:t>
      </w:r>
      <w:r>
        <w:rPr>
          <w:w w:val="110"/>
        </w:rPr>
        <w:t>dosage</w:t>
      </w:r>
      <w:r>
        <w:rPr>
          <w:spacing w:val="-36"/>
          <w:w w:val="110"/>
        </w:rPr>
        <w:t xml:space="preserve"> </w:t>
      </w:r>
      <w:r>
        <w:rPr>
          <w:w w:val="110"/>
        </w:rPr>
        <w:t>of</w:t>
      </w:r>
      <w:r>
        <w:rPr>
          <w:spacing w:val="-31"/>
          <w:w w:val="110"/>
        </w:rPr>
        <w:t xml:space="preserve"> </w:t>
      </w:r>
      <w:r>
        <w:rPr>
          <w:w w:val="110"/>
        </w:rPr>
        <w:t>the</w:t>
      </w:r>
      <w:r>
        <w:rPr>
          <w:spacing w:val="-39"/>
          <w:w w:val="110"/>
        </w:rPr>
        <w:t xml:space="preserve"> </w:t>
      </w:r>
      <w:r>
        <w:rPr>
          <w:w w:val="110"/>
        </w:rPr>
        <w:t>substance used should be taken into account. For example, the presence of paranoid delusions would be unusual after a single puff of marijuana, but might be compatible with high doses of</w:t>
      </w:r>
      <w:r>
        <w:rPr>
          <w:spacing w:val="26"/>
          <w:w w:val="110"/>
        </w:rPr>
        <w:t xml:space="preserve"> </w:t>
      </w:r>
      <w:r>
        <w:rPr>
          <w:w w:val="110"/>
        </w:rPr>
        <w:t>hashish.</w:t>
      </w:r>
    </w:p>
    <w:p w:rsidR="00E675F0" w:rsidRDefault="00E675F0" w:rsidP="00E675F0">
      <w:pPr>
        <w:pStyle w:val="BodyText"/>
        <w:spacing w:before="13" w:line="254" w:lineRule="auto"/>
        <w:ind w:left="127" w:right="104" w:firstLine="356"/>
        <w:jc w:val="both"/>
      </w:pPr>
      <w:r>
        <w:rPr>
          <w:w w:val="110"/>
        </w:rPr>
        <w:t>Substance-Induced</w:t>
      </w:r>
      <w:r>
        <w:rPr>
          <w:spacing w:val="-30"/>
          <w:w w:val="110"/>
        </w:rPr>
        <w:t xml:space="preserve"> </w:t>
      </w:r>
      <w:r>
        <w:rPr>
          <w:w w:val="110"/>
        </w:rPr>
        <w:t>Disorders</w:t>
      </w:r>
      <w:r>
        <w:rPr>
          <w:spacing w:val="-17"/>
          <w:w w:val="110"/>
        </w:rPr>
        <w:t xml:space="preserve"> </w:t>
      </w:r>
      <w:r>
        <w:rPr>
          <w:w w:val="110"/>
        </w:rPr>
        <w:t>can</w:t>
      </w:r>
      <w:r>
        <w:rPr>
          <w:spacing w:val="-25"/>
          <w:w w:val="110"/>
        </w:rPr>
        <w:t xml:space="preserve"> </w:t>
      </w:r>
      <w:r>
        <w:rPr>
          <w:w w:val="110"/>
        </w:rPr>
        <w:t>also</w:t>
      </w:r>
      <w:r>
        <w:rPr>
          <w:spacing w:val="-28"/>
          <w:w w:val="110"/>
        </w:rPr>
        <w:t xml:space="preserve"> </w:t>
      </w:r>
      <w:r>
        <w:rPr>
          <w:w w:val="110"/>
        </w:rPr>
        <w:t>occur</w:t>
      </w:r>
      <w:r>
        <w:rPr>
          <w:spacing w:val="-22"/>
          <w:w w:val="110"/>
        </w:rPr>
        <w:t xml:space="preserve"> </w:t>
      </w:r>
      <w:r>
        <w:rPr>
          <w:w w:val="110"/>
        </w:rPr>
        <w:t>as</w:t>
      </w:r>
      <w:r>
        <w:rPr>
          <w:spacing w:val="-30"/>
          <w:w w:val="110"/>
        </w:rPr>
        <w:t xml:space="preserve"> </w:t>
      </w:r>
      <w:r>
        <w:rPr>
          <w:w w:val="110"/>
        </w:rPr>
        <w:t>a</w:t>
      </w:r>
      <w:r>
        <w:rPr>
          <w:spacing w:val="-25"/>
          <w:w w:val="110"/>
        </w:rPr>
        <w:t xml:space="preserve"> </w:t>
      </w:r>
      <w:r>
        <w:rPr>
          <w:w w:val="110"/>
        </w:rPr>
        <w:t>side</w:t>
      </w:r>
      <w:r>
        <w:rPr>
          <w:spacing w:val="-25"/>
          <w:w w:val="110"/>
        </w:rPr>
        <w:t xml:space="preserve"> </w:t>
      </w:r>
      <w:r>
        <w:rPr>
          <w:w w:val="110"/>
        </w:rPr>
        <w:t>effect</w:t>
      </w:r>
      <w:r>
        <w:rPr>
          <w:spacing w:val="-21"/>
          <w:w w:val="110"/>
        </w:rPr>
        <w:t xml:space="preserve"> </w:t>
      </w:r>
      <w:r>
        <w:rPr>
          <w:w w:val="110"/>
        </w:rPr>
        <w:t>of</w:t>
      </w:r>
      <w:r>
        <w:rPr>
          <w:spacing w:val="-21"/>
          <w:w w:val="110"/>
        </w:rPr>
        <w:t xml:space="preserve"> </w:t>
      </w:r>
      <w:r>
        <w:rPr>
          <w:w w:val="110"/>
        </w:rPr>
        <w:t>a</w:t>
      </w:r>
      <w:r>
        <w:rPr>
          <w:spacing w:val="-23"/>
          <w:w w:val="110"/>
        </w:rPr>
        <w:t xml:space="preserve"> </w:t>
      </w:r>
      <w:r>
        <w:rPr>
          <w:w w:val="110"/>
        </w:rPr>
        <w:t>medication</w:t>
      </w:r>
      <w:r>
        <w:rPr>
          <w:spacing w:val="-12"/>
          <w:w w:val="110"/>
        </w:rPr>
        <w:t xml:space="preserve"> </w:t>
      </w:r>
      <w:r>
        <w:rPr>
          <w:w w:val="110"/>
        </w:rPr>
        <w:t>or</w:t>
      </w:r>
      <w:r>
        <w:rPr>
          <w:spacing w:val="-27"/>
          <w:w w:val="110"/>
        </w:rPr>
        <w:t xml:space="preserve"> </w:t>
      </w:r>
      <w:r>
        <w:rPr>
          <w:w w:val="110"/>
        </w:rPr>
        <w:t>from exposure to a toxin. Substance-Induced Disorders due to a prescribed treatment for a mental</w:t>
      </w:r>
      <w:r>
        <w:rPr>
          <w:spacing w:val="-12"/>
          <w:w w:val="110"/>
        </w:rPr>
        <w:t xml:space="preserve"> </w:t>
      </w:r>
      <w:r>
        <w:rPr>
          <w:w w:val="110"/>
        </w:rPr>
        <w:t>disorder</w:t>
      </w:r>
      <w:r>
        <w:rPr>
          <w:spacing w:val="-8"/>
          <w:w w:val="110"/>
        </w:rPr>
        <w:t xml:space="preserve"> </w:t>
      </w:r>
      <w:r>
        <w:rPr>
          <w:w w:val="110"/>
        </w:rPr>
        <w:t>or</w:t>
      </w:r>
      <w:r>
        <w:rPr>
          <w:spacing w:val="-16"/>
          <w:w w:val="110"/>
        </w:rPr>
        <w:t xml:space="preserve"> </w:t>
      </w:r>
      <w:r>
        <w:rPr>
          <w:w w:val="110"/>
        </w:rPr>
        <w:t>general</w:t>
      </w:r>
      <w:r>
        <w:rPr>
          <w:spacing w:val="-10"/>
          <w:w w:val="110"/>
        </w:rPr>
        <w:t xml:space="preserve"> </w:t>
      </w:r>
      <w:r>
        <w:rPr>
          <w:w w:val="110"/>
        </w:rPr>
        <w:t>medical</w:t>
      </w:r>
      <w:r>
        <w:rPr>
          <w:spacing w:val="-12"/>
          <w:w w:val="110"/>
        </w:rPr>
        <w:t xml:space="preserve"> </w:t>
      </w:r>
      <w:r>
        <w:rPr>
          <w:w w:val="110"/>
        </w:rPr>
        <w:t>condition</w:t>
      </w:r>
      <w:r>
        <w:rPr>
          <w:spacing w:val="-5"/>
          <w:w w:val="110"/>
        </w:rPr>
        <w:t xml:space="preserve"> </w:t>
      </w:r>
      <w:r>
        <w:rPr>
          <w:w w:val="110"/>
        </w:rPr>
        <w:t>must</w:t>
      </w:r>
      <w:r>
        <w:rPr>
          <w:spacing w:val="-6"/>
          <w:w w:val="110"/>
        </w:rPr>
        <w:t xml:space="preserve"> </w:t>
      </w:r>
      <w:r>
        <w:rPr>
          <w:w w:val="110"/>
        </w:rPr>
        <w:t>have</w:t>
      </w:r>
      <w:r>
        <w:rPr>
          <w:spacing w:val="-13"/>
          <w:w w:val="110"/>
        </w:rPr>
        <w:t xml:space="preserve"> </w:t>
      </w:r>
      <w:r>
        <w:rPr>
          <w:w w:val="110"/>
        </w:rPr>
        <w:t>their</w:t>
      </w:r>
      <w:r>
        <w:rPr>
          <w:spacing w:val="-18"/>
          <w:w w:val="110"/>
        </w:rPr>
        <w:t xml:space="preserve"> </w:t>
      </w:r>
      <w:r>
        <w:rPr>
          <w:w w:val="110"/>
        </w:rPr>
        <w:t>onset</w:t>
      </w:r>
      <w:r>
        <w:rPr>
          <w:spacing w:val="-10"/>
          <w:w w:val="110"/>
        </w:rPr>
        <w:t xml:space="preserve"> </w:t>
      </w:r>
      <w:r>
        <w:rPr>
          <w:w w:val="110"/>
        </w:rPr>
        <w:t>while</w:t>
      </w:r>
      <w:r>
        <w:rPr>
          <w:spacing w:val="-10"/>
          <w:w w:val="110"/>
        </w:rPr>
        <w:t xml:space="preserve"> </w:t>
      </w:r>
      <w:r>
        <w:rPr>
          <w:w w:val="110"/>
        </w:rPr>
        <w:t>the</w:t>
      </w:r>
      <w:r>
        <w:rPr>
          <w:spacing w:val="-10"/>
          <w:w w:val="110"/>
        </w:rPr>
        <w:t xml:space="preserve"> </w:t>
      </w:r>
      <w:r>
        <w:rPr>
          <w:w w:val="110"/>
        </w:rPr>
        <w:t>person</w:t>
      </w:r>
      <w:r>
        <w:rPr>
          <w:spacing w:val="-8"/>
          <w:w w:val="110"/>
        </w:rPr>
        <w:t xml:space="preserve"> </w:t>
      </w:r>
      <w:r>
        <w:rPr>
          <w:w w:val="110"/>
        </w:rPr>
        <w:t>is receiving the medication (or during withdrawal if the medication is associated with a withdrawal</w:t>
      </w:r>
      <w:r>
        <w:rPr>
          <w:spacing w:val="-11"/>
          <w:w w:val="110"/>
        </w:rPr>
        <w:t xml:space="preserve"> </w:t>
      </w:r>
      <w:r>
        <w:rPr>
          <w:w w:val="110"/>
        </w:rPr>
        <w:t>syndrome).</w:t>
      </w:r>
      <w:r>
        <w:rPr>
          <w:spacing w:val="-13"/>
          <w:w w:val="110"/>
        </w:rPr>
        <w:t xml:space="preserve"> </w:t>
      </w:r>
      <w:r>
        <w:rPr>
          <w:w w:val="110"/>
        </w:rPr>
        <w:t>Once</w:t>
      </w:r>
      <w:r>
        <w:rPr>
          <w:spacing w:val="-14"/>
          <w:w w:val="110"/>
        </w:rPr>
        <w:t xml:space="preserve"> </w:t>
      </w:r>
      <w:r>
        <w:rPr>
          <w:w w:val="110"/>
        </w:rPr>
        <w:t>the</w:t>
      </w:r>
      <w:r>
        <w:rPr>
          <w:spacing w:val="-18"/>
          <w:w w:val="110"/>
        </w:rPr>
        <w:t xml:space="preserve"> </w:t>
      </w:r>
      <w:r>
        <w:rPr>
          <w:w w:val="110"/>
        </w:rPr>
        <w:t>treatment</w:t>
      </w:r>
      <w:r>
        <w:rPr>
          <w:spacing w:val="-10"/>
          <w:w w:val="110"/>
        </w:rPr>
        <w:t xml:space="preserve"> </w:t>
      </w:r>
      <w:r>
        <w:rPr>
          <w:w w:val="110"/>
        </w:rPr>
        <w:t>is</w:t>
      </w:r>
      <w:r>
        <w:rPr>
          <w:spacing w:val="-19"/>
          <w:w w:val="110"/>
        </w:rPr>
        <w:t xml:space="preserve"> </w:t>
      </w:r>
      <w:r>
        <w:rPr>
          <w:w w:val="110"/>
        </w:rPr>
        <w:t>discontinued,</w:t>
      </w:r>
      <w:r>
        <w:rPr>
          <w:spacing w:val="-3"/>
          <w:w w:val="110"/>
        </w:rPr>
        <w:t xml:space="preserve"> </w:t>
      </w:r>
      <w:r>
        <w:rPr>
          <w:w w:val="110"/>
        </w:rPr>
        <w:t>the</w:t>
      </w:r>
      <w:r>
        <w:rPr>
          <w:spacing w:val="-17"/>
          <w:w w:val="110"/>
        </w:rPr>
        <w:t xml:space="preserve"> </w:t>
      </w:r>
      <w:r>
        <w:rPr>
          <w:w w:val="110"/>
        </w:rPr>
        <w:t>symptoms</w:t>
      </w:r>
      <w:r>
        <w:rPr>
          <w:spacing w:val="-9"/>
          <w:w w:val="110"/>
        </w:rPr>
        <w:t xml:space="preserve"> </w:t>
      </w:r>
      <w:r>
        <w:rPr>
          <w:w w:val="110"/>
        </w:rPr>
        <w:t>will</w:t>
      </w:r>
      <w:r>
        <w:rPr>
          <w:spacing w:val="-12"/>
          <w:w w:val="110"/>
        </w:rPr>
        <w:t xml:space="preserve"> </w:t>
      </w:r>
      <w:r>
        <w:rPr>
          <w:w w:val="110"/>
        </w:rPr>
        <w:t>usually remit</w:t>
      </w:r>
      <w:r>
        <w:rPr>
          <w:spacing w:val="9"/>
          <w:w w:val="110"/>
        </w:rPr>
        <w:t xml:space="preserve"> </w:t>
      </w:r>
      <w:r>
        <w:rPr>
          <w:w w:val="110"/>
        </w:rPr>
        <w:t>within</w:t>
      </w:r>
      <w:r>
        <w:rPr>
          <w:spacing w:val="12"/>
          <w:w w:val="110"/>
        </w:rPr>
        <w:t xml:space="preserve"> </w:t>
      </w:r>
      <w:r>
        <w:rPr>
          <w:w w:val="110"/>
        </w:rPr>
        <w:t>days</w:t>
      </w:r>
      <w:r>
        <w:rPr>
          <w:spacing w:val="8"/>
          <w:w w:val="110"/>
        </w:rPr>
        <w:t xml:space="preserve"> </w:t>
      </w:r>
      <w:r>
        <w:rPr>
          <w:w w:val="110"/>
        </w:rPr>
        <w:t>to several</w:t>
      </w:r>
      <w:r>
        <w:rPr>
          <w:spacing w:val="11"/>
          <w:w w:val="110"/>
        </w:rPr>
        <w:t xml:space="preserve"> </w:t>
      </w:r>
      <w:r>
        <w:rPr>
          <w:w w:val="110"/>
        </w:rPr>
        <w:t>weeks</w:t>
      </w:r>
      <w:r>
        <w:rPr>
          <w:spacing w:val="8"/>
          <w:w w:val="110"/>
        </w:rPr>
        <w:t xml:space="preserve"> </w:t>
      </w:r>
      <w:r>
        <w:rPr>
          <w:w w:val="110"/>
        </w:rPr>
        <w:t>(depending</w:t>
      </w:r>
      <w:r>
        <w:rPr>
          <w:spacing w:val="15"/>
          <w:w w:val="110"/>
        </w:rPr>
        <w:t xml:space="preserve"> </w:t>
      </w:r>
      <w:r>
        <w:rPr>
          <w:w w:val="110"/>
        </w:rPr>
        <w:t>on</w:t>
      </w:r>
      <w:r>
        <w:rPr>
          <w:spacing w:val="13"/>
          <w:w w:val="110"/>
        </w:rPr>
        <w:t xml:space="preserve"> </w:t>
      </w:r>
      <w:r>
        <w:rPr>
          <w:w w:val="110"/>
        </w:rPr>
        <w:t>the</w:t>
      </w:r>
      <w:r>
        <w:rPr>
          <w:spacing w:val="14"/>
          <w:w w:val="110"/>
        </w:rPr>
        <w:t xml:space="preserve"> </w:t>
      </w:r>
      <w:r>
        <w:rPr>
          <w:w w:val="110"/>
        </w:rPr>
        <w:t>half-life</w:t>
      </w:r>
      <w:r>
        <w:rPr>
          <w:spacing w:val="12"/>
          <w:w w:val="110"/>
        </w:rPr>
        <w:t xml:space="preserve"> </w:t>
      </w:r>
      <w:r>
        <w:rPr>
          <w:w w:val="110"/>
        </w:rPr>
        <w:t>of</w:t>
      </w:r>
      <w:r>
        <w:rPr>
          <w:spacing w:val="18"/>
          <w:w w:val="110"/>
        </w:rPr>
        <w:t xml:space="preserve"> </w:t>
      </w:r>
      <w:r>
        <w:rPr>
          <w:w w:val="110"/>
        </w:rPr>
        <w:t>the</w:t>
      </w:r>
      <w:r>
        <w:rPr>
          <w:spacing w:val="5"/>
          <w:w w:val="110"/>
        </w:rPr>
        <w:t xml:space="preserve"> </w:t>
      </w:r>
      <w:r>
        <w:rPr>
          <w:w w:val="110"/>
        </w:rPr>
        <w:t>substance,</w:t>
      </w:r>
      <w:r>
        <w:rPr>
          <w:spacing w:val="18"/>
          <w:w w:val="110"/>
        </w:rPr>
        <w:t xml:space="preserve"> </w:t>
      </w:r>
      <w:r>
        <w:rPr>
          <w:w w:val="110"/>
        </w:rPr>
        <w:t>the</w:t>
      </w:r>
    </w:p>
    <w:p w:rsidR="00E675F0" w:rsidRDefault="00E675F0" w:rsidP="00E675F0">
      <w:pPr>
        <w:spacing w:line="254" w:lineRule="auto"/>
        <w:jc w:val="both"/>
        <w:sectPr w:rsidR="00E675F0">
          <w:pgSz w:w="8960" w:h="14260"/>
          <w:pgMar w:top="1400" w:right="620" w:bottom="280" w:left="620" w:header="677" w:footer="0" w:gutter="0"/>
          <w:cols w:space="720"/>
        </w:sectPr>
      </w:pPr>
    </w:p>
    <w:p w:rsidR="00E675F0" w:rsidRDefault="00E675F0" w:rsidP="00E675F0">
      <w:pPr>
        <w:pStyle w:val="BodyText"/>
        <w:spacing w:before="128" w:line="254" w:lineRule="auto"/>
        <w:ind w:left="132" w:right="115" w:firstLine="12"/>
        <w:jc w:val="both"/>
      </w:pPr>
      <w:bookmarkStart w:id="123" w:name="_bookmark104"/>
      <w:bookmarkEnd w:id="123"/>
      <w:r>
        <w:rPr>
          <w:color w:val="0F0F0F"/>
          <w:w w:val="110"/>
        </w:rPr>
        <w:lastRenderedPageBreak/>
        <w:t>pre</w:t>
      </w:r>
      <w:r>
        <w:rPr>
          <w:color w:val="282828"/>
          <w:w w:val="110"/>
        </w:rPr>
        <w:t>se</w:t>
      </w:r>
      <w:r>
        <w:rPr>
          <w:color w:val="0F0F0F"/>
          <w:w w:val="110"/>
        </w:rPr>
        <w:t>nce</w:t>
      </w:r>
      <w:r>
        <w:rPr>
          <w:color w:val="0F0F0F"/>
          <w:spacing w:val="-11"/>
          <w:w w:val="110"/>
        </w:rPr>
        <w:t xml:space="preserve"> </w:t>
      </w:r>
      <w:r>
        <w:rPr>
          <w:color w:val="0F0F0F"/>
          <w:w w:val="110"/>
        </w:rPr>
        <w:t>of</w:t>
      </w:r>
      <w:r>
        <w:rPr>
          <w:color w:val="0F0F0F"/>
          <w:spacing w:val="-13"/>
          <w:w w:val="110"/>
        </w:rPr>
        <w:t xml:space="preserve"> </w:t>
      </w:r>
      <w:r>
        <w:rPr>
          <w:color w:val="0F0F0F"/>
          <w:w w:val="110"/>
        </w:rPr>
        <w:t>a</w:t>
      </w:r>
      <w:r>
        <w:rPr>
          <w:color w:val="0F0F0F"/>
          <w:spacing w:val="-14"/>
          <w:w w:val="110"/>
        </w:rPr>
        <w:t xml:space="preserve"> </w:t>
      </w:r>
      <w:r>
        <w:rPr>
          <w:color w:val="0F0F0F"/>
          <w:w w:val="110"/>
        </w:rPr>
        <w:t>withdrawal</w:t>
      </w:r>
      <w:r>
        <w:rPr>
          <w:color w:val="0F0F0F"/>
          <w:spacing w:val="-11"/>
          <w:w w:val="110"/>
        </w:rPr>
        <w:t xml:space="preserve"> </w:t>
      </w:r>
      <w:r>
        <w:rPr>
          <w:color w:val="0F0F0F"/>
          <w:w w:val="110"/>
        </w:rPr>
        <w:t>synd</w:t>
      </w:r>
      <w:r>
        <w:rPr>
          <w:color w:val="0F0F0F"/>
          <w:spacing w:val="-42"/>
          <w:w w:val="110"/>
        </w:rPr>
        <w:t xml:space="preserve"> </w:t>
      </w:r>
      <w:r>
        <w:rPr>
          <w:color w:val="0F0F0F"/>
          <w:w w:val="110"/>
        </w:rPr>
        <w:t>rome</w:t>
      </w:r>
      <w:r>
        <w:rPr>
          <w:color w:val="282828"/>
          <w:w w:val="110"/>
        </w:rPr>
        <w:t>,</w:t>
      </w:r>
      <w:r>
        <w:rPr>
          <w:color w:val="282828"/>
          <w:spacing w:val="-14"/>
          <w:w w:val="110"/>
        </w:rPr>
        <w:t xml:space="preserve"> </w:t>
      </w:r>
      <w:r>
        <w:rPr>
          <w:color w:val="0F0F0F"/>
          <w:w w:val="110"/>
        </w:rPr>
        <w:t>and</w:t>
      </w:r>
      <w:r>
        <w:rPr>
          <w:color w:val="0F0F0F"/>
          <w:spacing w:val="-17"/>
          <w:w w:val="110"/>
        </w:rPr>
        <w:t xml:space="preserve"> </w:t>
      </w:r>
      <w:r>
        <w:rPr>
          <w:color w:val="0F0F0F"/>
          <w:w w:val="110"/>
        </w:rPr>
        <w:t>individual</w:t>
      </w:r>
      <w:r>
        <w:rPr>
          <w:color w:val="0F0F0F"/>
          <w:spacing w:val="-10"/>
          <w:w w:val="110"/>
        </w:rPr>
        <w:t xml:space="preserve"> </w:t>
      </w:r>
      <w:r>
        <w:rPr>
          <w:color w:val="0F0F0F"/>
          <w:w w:val="110"/>
        </w:rPr>
        <w:t>variability</w:t>
      </w:r>
      <w:r>
        <w:rPr>
          <w:color w:val="282828"/>
          <w:w w:val="110"/>
        </w:rPr>
        <w:t>)</w:t>
      </w:r>
      <w:r>
        <w:rPr>
          <w:color w:val="0F0F0F"/>
          <w:w w:val="110"/>
        </w:rPr>
        <w:t>.</w:t>
      </w:r>
      <w:r>
        <w:rPr>
          <w:color w:val="0F0F0F"/>
          <w:spacing w:val="-26"/>
          <w:w w:val="110"/>
        </w:rPr>
        <w:t xml:space="preserve"> </w:t>
      </w:r>
      <w:r>
        <w:rPr>
          <w:rFonts w:ascii="Arial"/>
          <w:color w:val="0F0F0F"/>
          <w:w w:val="110"/>
          <w:sz w:val="19"/>
        </w:rPr>
        <w:t>If</w:t>
      </w:r>
      <w:r>
        <w:rPr>
          <w:rFonts w:ascii="Arial"/>
          <w:color w:val="0F0F0F"/>
          <w:spacing w:val="-13"/>
          <w:w w:val="110"/>
          <w:sz w:val="19"/>
        </w:rPr>
        <w:t xml:space="preserve"> </w:t>
      </w:r>
      <w:r>
        <w:rPr>
          <w:color w:val="0F0F0F"/>
          <w:w w:val="110"/>
        </w:rPr>
        <w:t>symptoms</w:t>
      </w:r>
      <w:r>
        <w:rPr>
          <w:color w:val="0F0F0F"/>
          <w:spacing w:val="-10"/>
          <w:w w:val="110"/>
        </w:rPr>
        <w:t xml:space="preserve"> </w:t>
      </w:r>
      <w:r>
        <w:rPr>
          <w:color w:val="0F0F0F"/>
          <w:spacing w:val="2"/>
          <w:w w:val="110"/>
        </w:rPr>
        <w:t>persist</w:t>
      </w:r>
      <w:r>
        <w:rPr>
          <w:color w:val="0F0F0F"/>
          <w:spacing w:val="-41"/>
          <w:w w:val="110"/>
        </w:rPr>
        <w:t xml:space="preserve"> </w:t>
      </w:r>
      <w:r>
        <w:rPr>
          <w:color w:val="282828"/>
          <w:w w:val="110"/>
        </w:rPr>
        <w:t>,</w:t>
      </w:r>
      <w:r>
        <w:rPr>
          <w:color w:val="282828"/>
          <w:spacing w:val="-16"/>
          <w:w w:val="110"/>
        </w:rPr>
        <w:t xml:space="preserve"> </w:t>
      </w:r>
      <w:r>
        <w:rPr>
          <w:color w:val="0F0F0F"/>
          <w:w w:val="110"/>
        </w:rPr>
        <w:t>a primary mental disorder (not r</w:t>
      </w:r>
      <w:r>
        <w:rPr>
          <w:color w:val="282828"/>
          <w:w w:val="110"/>
        </w:rPr>
        <w:t>e</w:t>
      </w:r>
      <w:r>
        <w:rPr>
          <w:color w:val="0F0F0F"/>
          <w:w w:val="110"/>
        </w:rPr>
        <w:t>lated to a medication) should be considered. Because individuals</w:t>
      </w:r>
      <w:r>
        <w:rPr>
          <w:color w:val="0F0F0F"/>
          <w:spacing w:val="-27"/>
          <w:w w:val="110"/>
        </w:rPr>
        <w:t xml:space="preserve"> </w:t>
      </w:r>
      <w:r>
        <w:rPr>
          <w:color w:val="0F0F0F"/>
          <w:w w:val="110"/>
        </w:rPr>
        <w:t>with</w:t>
      </w:r>
      <w:r>
        <w:rPr>
          <w:color w:val="0F0F0F"/>
          <w:spacing w:val="-30"/>
          <w:w w:val="110"/>
        </w:rPr>
        <w:t xml:space="preserve"> </w:t>
      </w:r>
      <w:r>
        <w:rPr>
          <w:color w:val="0F0F0F"/>
          <w:w w:val="110"/>
        </w:rPr>
        <w:t>general</w:t>
      </w:r>
      <w:r>
        <w:rPr>
          <w:color w:val="0F0F0F"/>
          <w:spacing w:val="-28"/>
          <w:w w:val="110"/>
        </w:rPr>
        <w:t xml:space="preserve"> </w:t>
      </w:r>
      <w:r>
        <w:rPr>
          <w:color w:val="0F0F0F"/>
          <w:w w:val="110"/>
        </w:rPr>
        <w:t>medic</w:t>
      </w:r>
      <w:r>
        <w:rPr>
          <w:color w:val="282828"/>
          <w:w w:val="110"/>
        </w:rPr>
        <w:t>a</w:t>
      </w:r>
      <w:r>
        <w:rPr>
          <w:color w:val="0F0F0F"/>
          <w:w w:val="110"/>
        </w:rPr>
        <w:t>l</w:t>
      </w:r>
      <w:r>
        <w:rPr>
          <w:color w:val="0F0F0F"/>
          <w:spacing w:val="-36"/>
          <w:w w:val="110"/>
        </w:rPr>
        <w:t xml:space="preserve"> </w:t>
      </w:r>
      <w:r>
        <w:rPr>
          <w:color w:val="0F0F0F"/>
          <w:w w:val="110"/>
        </w:rPr>
        <w:t>conditions</w:t>
      </w:r>
      <w:r>
        <w:rPr>
          <w:color w:val="0F0F0F"/>
          <w:spacing w:val="-25"/>
          <w:w w:val="110"/>
        </w:rPr>
        <w:t xml:space="preserve"> </w:t>
      </w:r>
      <w:r>
        <w:rPr>
          <w:color w:val="0F0F0F"/>
          <w:w w:val="110"/>
        </w:rPr>
        <w:t>often</w:t>
      </w:r>
      <w:r>
        <w:rPr>
          <w:color w:val="0F0F0F"/>
          <w:spacing w:val="-32"/>
          <w:w w:val="110"/>
        </w:rPr>
        <w:t xml:space="preserve"> </w:t>
      </w:r>
      <w:r>
        <w:rPr>
          <w:color w:val="0F0F0F"/>
          <w:w w:val="110"/>
        </w:rPr>
        <w:t>take</w:t>
      </w:r>
      <w:r>
        <w:rPr>
          <w:color w:val="0F0F0F"/>
          <w:spacing w:val="-29"/>
          <w:w w:val="110"/>
        </w:rPr>
        <w:t xml:space="preserve"> </w:t>
      </w:r>
      <w:r>
        <w:rPr>
          <w:color w:val="0F0F0F"/>
          <w:w w:val="110"/>
        </w:rPr>
        <w:t>medications</w:t>
      </w:r>
      <w:r>
        <w:rPr>
          <w:color w:val="0F0F0F"/>
          <w:spacing w:val="-27"/>
          <w:w w:val="110"/>
        </w:rPr>
        <w:t xml:space="preserve"> </w:t>
      </w:r>
      <w:r>
        <w:rPr>
          <w:color w:val="0F0F0F"/>
          <w:w w:val="110"/>
        </w:rPr>
        <w:t>for</w:t>
      </w:r>
      <w:r>
        <w:rPr>
          <w:color w:val="0F0F0F"/>
          <w:spacing w:val="-33"/>
          <w:w w:val="110"/>
        </w:rPr>
        <w:t xml:space="preserve"> </w:t>
      </w:r>
      <w:r>
        <w:rPr>
          <w:color w:val="0F0F0F"/>
          <w:w w:val="110"/>
        </w:rPr>
        <w:t>those</w:t>
      </w:r>
      <w:r>
        <w:rPr>
          <w:color w:val="0F0F0F"/>
          <w:spacing w:val="-30"/>
          <w:w w:val="110"/>
        </w:rPr>
        <w:t xml:space="preserve"> </w:t>
      </w:r>
      <w:r>
        <w:rPr>
          <w:color w:val="0F0F0F"/>
          <w:w w:val="110"/>
        </w:rPr>
        <w:t xml:space="preserve">conditions, the clinician must consider th </w:t>
      </w:r>
      <w:r>
        <w:rPr>
          <w:color w:val="282828"/>
          <w:w w:val="110"/>
        </w:rPr>
        <w:t xml:space="preserve">e </w:t>
      </w:r>
      <w:r>
        <w:rPr>
          <w:color w:val="0F0F0F"/>
          <w:w w:val="110"/>
        </w:rPr>
        <w:t>possibility that the symptoms are caused by the physiological</w:t>
      </w:r>
      <w:r>
        <w:rPr>
          <w:color w:val="0F0F0F"/>
          <w:spacing w:val="-30"/>
          <w:w w:val="110"/>
        </w:rPr>
        <w:t xml:space="preserve"> </w:t>
      </w:r>
      <w:r>
        <w:rPr>
          <w:color w:val="0F0F0F"/>
          <w:w w:val="110"/>
        </w:rPr>
        <w:t>consequences</w:t>
      </w:r>
      <w:r>
        <w:rPr>
          <w:color w:val="0F0F0F"/>
          <w:spacing w:val="-27"/>
          <w:w w:val="110"/>
        </w:rPr>
        <w:t xml:space="preserve"> </w:t>
      </w:r>
      <w:r>
        <w:rPr>
          <w:color w:val="0F0F0F"/>
          <w:w w:val="110"/>
        </w:rPr>
        <w:t>of</w:t>
      </w:r>
      <w:r>
        <w:rPr>
          <w:color w:val="0F0F0F"/>
          <w:spacing w:val="-30"/>
          <w:w w:val="110"/>
        </w:rPr>
        <w:t xml:space="preserve"> </w:t>
      </w:r>
      <w:r>
        <w:rPr>
          <w:color w:val="0F0F0F"/>
          <w:w w:val="110"/>
        </w:rPr>
        <w:t>the</w:t>
      </w:r>
      <w:r>
        <w:rPr>
          <w:color w:val="0F0F0F"/>
          <w:spacing w:val="-36"/>
          <w:w w:val="110"/>
        </w:rPr>
        <w:t xml:space="preserve"> </w:t>
      </w:r>
      <w:r>
        <w:rPr>
          <w:color w:val="0F0F0F"/>
          <w:w w:val="110"/>
        </w:rPr>
        <w:t>general</w:t>
      </w:r>
      <w:r>
        <w:rPr>
          <w:color w:val="0F0F0F"/>
          <w:spacing w:val="-31"/>
          <w:w w:val="110"/>
        </w:rPr>
        <w:t xml:space="preserve"> </w:t>
      </w:r>
      <w:r>
        <w:rPr>
          <w:color w:val="0F0F0F"/>
          <w:w w:val="110"/>
        </w:rPr>
        <w:t>medical</w:t>
      </w:r>
      <w:r>
        <w:rPr>
          <w:color w:val="0F0F0F"/>
          <w:spacing w:val="-31"/>
          <w:w w:val="110"/>
        </w:rPr>
        <w:t xml:space="preserve"> </w:t>
      </w:r>
      <w:r>
        <w:rPr>
          <w:color w:val="0F0F0F"/>
          <w:w w:val="110"/>
        </w:rPr>
        <w:t>condition</w:t>
      </w:r>
      <w:r>
        <w:rPr>
          <w:color w:val="0F0F0F"/>
          <w:spacing w:val="-30"/>
          <w:w w:val="110"/>
        </w:rPr>
        <w:t xml:space="preserve"> </w:t>
      </w:r>
      <w:r>
        <w:rPr>
          <w:color w:val="0F0F0F"/>
          <w:w w:val="110"/>
        </w:rPr>
        <w:t>rather</w:t>
      </w:r>
      <w:r>
        <w:rPr>
          <w:color w:val="0F0F0F"/>
          <w:spacing w:val="-32"/>
          <w:w w:val="110"/>
        </w:rPr>
        <w:t xml:space="preserve"> </w:t>
      </w:r>
      <w:r>
        <w:rPr>
          <w:color w:val="0F0F0F"/>
          <w:w w:val="110"/>
        </w:rPr>
        <w:t>than</w:t>
      </w:r>
      <w:r>
        <w:rPr>
          <w:color w:val="0F0F0F"/>
          <w:spacing w:val="-32"/>
          <w:w w:val="110"/>
        </w:rPr>
        <w:t xml:space="preserve"> </w:t>
      </w:r>
      <w:r>
        <w:rPr>
          <w:color w:val="0F0F0F"/>
          <w:w w:val="110"/>
        </w:rPr>
        <w:t>the</w:t>
      </w:r>
      <w:r>
        <w:rPr>
          <w:color w:val="0F0F0F"/>
          <w:spacing w:val="-34"/>
          <w:w w:val="110"/>
        </w:rPr>
        <w:t xml:space="preserve"> </w:t>
      </w:r>
      <w:r>
        <w:rPr>
          <w:color w:val="0F0F0F"/>
          <w:w w:val="110"/>
        </w:rPr>
        <w:t>medication, in</w:t>
      </w:r>
      <w:r>
        <w:rPr>
          <w:color w:val="0F0F0F"/>
          <w:spacing w:val="-13"/>
          <w:w w:val="110"/>
        </w:rPr>
        <w:t xml:space="preserve"> </w:t>
      </w:r>
      <w:r>
        <w:rPr>
          <w:color w:val="0F0F0F"/>
          <w:w w:val="110"/>
        </w:rPr>
        <w:t>which</w:t>
      </w:r>
      <w:r>
        <w:rPr>
          <w:color w:val="0F0F0F"/>
          <w:spacing w:val="-6"/>
          <w:w w:val="110"/>
        </w:rPr>
        <w:t xml:space="preserve"> </w:t>
      </w:r>
      <w:r>
        <w:rPr>
          <w:color w:val="0F0F0F"/>
          <w:w w:val="110"/>
        </w:rPr>
        <w:t>case</w:t>
      </w:r>
      <w:r>
        <w:rPr>
          <w:color w:val="0F0F0F"/>
          <w:spacing w:val="-12"/>
          <w:w w:val="110"/>
        </w:rPr>
        <w:t xml:space="preserve"> </w:t>
      </w:r>
      <w:r>
        <w:rPr>
          <w:color w:val="0F0F0F"/>
          <w:w w:val="110"/>
        </w:rPr>
        <w:t>Mental</w:t>
      </w:r>
      <w:r>
        <w:rPr>
          <w:color w:val="0F0F0F"/>
          <w:spacing w:val="-7"/>
          <w:w w:val="110"/>
        </w:rPr>
        <w:t xml:space="preserve"> </w:t>
      </w:r>
      <w:r>
        <w:rPr>
          <w:color w:val="0F0F0F"/>
          <w:w w:val="110"/>
        </w:rPr>
        <w:t>Disorder</w:t>
      </w:r>
      <w:r>
        <w:rPr>
          <w:color w:val="0F0F0F"/>
          <w:spacing w:val="-4"/>
          <w:w w:val="110"/>
        </w:rPr>
        <w:t xml:space="preserve"> </w:t>
      </w:r>
      <w:r>
        <w:rPr>
          <w:color w:val="0F0F0F"/>
          <w:w w:val="110"/>
        </w:rPr>
        <w:t>Due</w:t>
      </w:r>
      <w:r>
        <w:rPr>
          <w:color w:val="0F0F0F"/>
          <w:spacing w:val="-12"/>
          <w:w w:val="110"/>
        </w:rPr>
        <w:t xml:space="preserve"> </w:t>
      </w:r>
      <w:r>
        <w:rPr>
          <w:color w:val="0F0F0F"/>
          <w:w w:val="110"/>
        </w:rPr>
        <w:t>to</w:t>
      </w:r>
      <w:r>
        <w:rPr>
          <w:color w:val="0F0F0F"/>
          <w:spacing w:val="-13"/>
          <w:w w:val="110"/>
        </w:rPr>
        <w:t xml:space="preserve"> </w:t>
      </w:r>
      <w:r>
        <w:rPr>
          <w:color w:val="0F0F0F"/>
          <w:w w:val="110"/>
        </w:rPr>
        <w:t>a</w:t>
      </w:r>
      <w:r>
        <w:rPr>
          <w:color w:val="0F0F0F"/>
          <w:spacing w:val="-14"/>
          <w:w w:val="110"/>
        </w:rPr>
        <w:t xml:space="preserve"> </w:t>
      </w:r>
      <w:r>
        <w:rPr>
          <w:color w:val="0F0F0F"/>
          <w:w w:val="110"/>
        </w:rPr>
        <w:t>General</w:t>
      </w:r>
      <w:r>
        <w:rPr>
          <w:color w:val="0F0F0F"/>
          <w:spacing w:val="-5"/>
          <w:w w:val="110"/>
        </w:rPr>
        <w:t xml:space="preserve"> </w:t>
      </w:r>
      <w:r>
        <w:rPr>
          <w:color w:val="0F0F0F"/>
          <w:w w:val="110"/>
        </w:rPr>
        <w:t>Medical</w:t>
      </w:r>
      <w:r>
        <w:rPr>
          <w:color w:val="0F0F0F"/>
          <w:spacing w:val="-4"/>
          <w:w w:val="110"/>
        </w:rPr>
        <w:t xml:space="preserve"> </w:t>
      </w:r>
      <w:r>
        <w:rPr>
          <w:color w:val="0F0F0F"/>
          <w:w w:val="110"/>
        </w:rPr>
        <w:t>Condition</w:t>
      </w:r>
      <w:r>
        <w:rPr>
          <w:color w:val="0F0F0F"/>
          <w:spacing w:val="1"/>
          <w:w w:val="110"/>
        </w:rPr>
        <w:t xml:space="preserve"> </w:t>
      </w:r>
      <w:r>
        <w:rPr>
          <w:color w:val="0F0F0F"/>
          <w:w w:val="110"/>
        </w:rPr>
        <w:t>is</w:t>
      </w:r>
      <w:r>
        <w:rPr>
          <w:color w:val="0F0F0F"/>
          <w:spacing w:val="-17"/>
          <w:w w:val="110"/>
        </w:rPr>
        <w:t xml:space="preserve"> </w:t>
      </w:r>
      <w:r>
        <w:rPr>
          <w:color w:val="0F0F0F"/>
          <w:w w:val="110"/>
        </w:rPr>
        <w:t>diagnosed.</w:t>
      </w:r>
      <w:r>
        <w:rPr>
          <w:color w:val="0F0F0F"/>
          <w:spacing w:val="-8"/>
          <w:w w:val="110"/>
        </w:rPr>
        <w:t xml:space="preserve"> </w:t>
      </w:r>
      <w:r>
        <w:rPr>
          <w:color w:val="0F0F0F"/>
          <w:w w:val="110"/>
        </w:rPr>
        <w:t>The history</w:t>
      </w:r>
      <w:r>
        <w:rPr>
          <w:color w:val="0F0F0F"/>
          <w:spacing w:val="-15"/>
          <w:w w:val="110"/>
        </w:rPr>
        <w:t xml:space="preserve"> </w:t>
      </w:r>
      <w:r>
        <w:rPr>
          <w:color w:val="0F0F0F"/>
          <w:w w:val="110"/>
        </w:rPr>
        <w:t>may</w:t>
      </w:r>
      <w:r>
        <w:rPr>
          <w:color w:val="0F0F0F"/>
          <w:spacing w:val="-18"/>
          <w:w w:val="110"/>
        </w:rPr>
        <w:t xml:space="preserve"> </w:t>
      </w:r>
      <w:r>
        <w:rPr>
          <w:color w:val="0F0F0F"/>
          <w:w w:val="110"/>
        </w:rPr>
        <w:t>provide</w:t>
      </w:r>
      <w:r>
        <w:rPr>
          <w:color w:val="0F0F0F"/>
          <w:spacing w:val="-18"/>
          <w:w w:val="110"/>
        </w:rPr>
        <w:t xml:space="preserve"> </w:t>
      </w:r>
      <w:r>
        <w:rPr>
          <w:color w:val="0F0F0F"/>
          <w:w w:val="110"/>
        </w:rPr>
        <w:t>a</w:t>
      </w:r>
      <w:r>
        <w:rPr>
          <w:color w:val="0F0F0F"/>
          <w:spacing w:val="-19"/>
          <w:w w:val="110"/>
        </w:rPr>
        <w:t xml:space="preserve"> </w:t>
      </w:r>
      <w:r>
        <w:rPr>
          <w:color w:val="0F0F0F"/>
          <w:w w:val="110"/>
        </w:rPr>
        <w:t>basis</w:t>
      </w:r>
      <w:r>
        <w:rPr>
          <w:color w:val="0F0F0F"/>
          <w:spacing w:val="-23"/>
          <w:w w:val="110"/>
        </w:rPr>
        <w:t xml:space="preserve"> </w:t>
      </w:r>
      <w:r>
        <w:rPr>
          <w:color w:val="0F0F0F"/>
          <w:w w:val="110"/>
        </w:rPr>
        <w:t>for</w:t>
      </w:r>
      <w:r>
        <w:rPr>
          <w:color w:val="0F0F0F"/>
          <w:spacing w:val="-20"/>
          <w:w w:val="110"/>
        </w:rPr>
        <w:t xml:space="preserve"> </w:t>
      </w:r>
      <w:r>
        <w:rPr>
          <w:color w:val="0F0F0F"/>
          <w:w w:val="110"/>
        </w:rPr>
        <w:t>m</w:t>
      </w:r>
      <w:r>
        <w:rPr>
          <w:color w:val="282828"/>
          <w:w w:val="110"/>
        </w:rPr>
        <w:t>a</w:t>
      </w:r>
      <w:r>
        <w:rPr>
          <w:color w:val="0F0F0F"/>
          <w:w w:val="110"/>
        </w:rPr>
        <w:t>king</w:t>
      </w:r>
      <w:r>
        <w:rPr>
          <w:color w:val="0F0F0F"/>
          <w:spacing w:val="-6"/>
          <w:w w:val="110"/>
        </w:rPr>
        <w:t xml:space="preserve"> </w:t>
      </w:r>
      <w:r>
        <w:rPr>
          <w:color w:val="0F0F0F"/>
          <w:w w:val="110"/>
        </w:rPr>
        <w:t>this</w:t>
      </w:r>
      <w:r>
        <w:rPr>
          <w:color w:val="0F0F0F"/>
          <w:spacing w:val="-10"/>
          <w:w w:val="110"/>
        </w:rPr>
        <w:t xml:space="preserve"> </w:t>
      </w:r>
      <w:r>
        <w:rPr>
          <w:color w:val="0F0F0F"/>
          <w:w w:val="110"/>
        </w:rPr>
        <w:t>judgment,</w:t>
      </w:r>
      <w:r>
        <w:rPr>
          <w:color w:val="0F0F0F"/>
          <w:spacing w:val="-7"/>
          <w:w w:val="110"/>
        </w:rPr>
        <w:t xml:space="preserve"> </w:t>
      </w:r>
      <w:r>
        <w:rPr>
          <w:color w:val="0F0F0F"/>
          <w:w w:val="110"/>
        </w:rPr>
        <w:t>but</w:t>
      </w:r>
      <w:r>
        <w:rPr>
          <w:color w:val="0F0F0F"/>
          <w:spacing w:val="-16"/>
          <w:w w:val="110"/>
        </w:rPr>
        <w:t xml:space="preserve"> </w:t>
      </w:r>
      <w:r>
        <w:rPr>
          <w:color w:val="0F0F0F"/>
          <w:w w:val="110"/>
        </w:rPr>
        <w:t>a</w:t>
      </w:r>
      <w:r>
        <w:rPr>
          <w:color w:val="0F0F0F"/>
          <w:spacing w:val="-21"/>
          <w:w w:val="110"/>
        </w:rPr>
        <w:t xml:space="preserve"> </w:t>
      </w:r>
      <w:r>
        <w:rPr>
          <w:color w:val="282828"/>
          <w:spacing w:val="4"/>
          <w:w w:val="110"/>
        </w:rPr>
        <w:t>c</w:t>
      </w:r>
      <w:r>
        <w:rPr>
          <w:color w:val="0F0F0F"/>
          <w:spacing w:val="4"/>
          <w:w w:val="110"/>
        </w:rPr>
        <w:t>hang</w:t>
      </w:r>
      <w:r>
        <w:rPr>
          <w:color w:val="282828"/>
          <w:spacing w:val="4"/>
          <w:w w:val="110"/>
        </w:rPr>
        <w:t>e</w:t>
      </w:r>
      <w:r>
        <w:rPr>
          <w:color w:val="282828"/>
          <w:spacing w:val="-10"/>
          <w:w w:val="110"/>
        </w:rPr>
        <w:t xml:space="preserve"> </w:t>
      </w:r>
      <w:r>
        <w:rPr>
          <w:color w:val="0F0F0F"/>
          <w:w w:val="110"/>
        </w:rPr>
        <w:t>in</w:t>
      </w:r>
      <w:r>
        <w:rPr>
          <w:color w:val="0F0F0F"/>
          <w:spacing w:val="-17"/>
          <w:w w:val="110"/>
        </w:rPr>
        <w:t xml:space="preserve"> </w:t>
      </w:r>
      <w:r>
        <w:rPr>
          <w:color w:val="0F0F0F"/>
          <w:w w:val="110"/>
        </w:rPr>
        <w:t>the</w:t>
      </w:r>
      <w:r>
        <w:rPr>
          <w:color w:val="0F0F0F"/>
          <w:spacing w:val="-18"/>
          <w:w w:val="110"/>
        </w:rPr>
        <w:t xml:space="preserve"> </w:t>
      </w:r>
      <w:r>
        <w:rPr>
          <w:color w:val="0F0F0F"/>
          <w:w w:val="110"/>
        </w:rPr>
        <w:t>treatment</w:t>
      </w:r>
      <w:r>
        <w:rPr>
          <w:color w:val="0F0F0F"/>
          <w:spacing w:val="-17"/>
          <w:w w:val="110"/>
        </w:rPr>
        <w:t xml:space="preserve"> </w:t>
      </w:r>
      <w:r>
        <w:rPr>
          <w:color w:val="0F0F0F"/>
          <w:w w:val="110"/>
        </w:rPr>
        <w:t>for the</w:t>
      </w:r>
      <w:r>
        <w:rPr>
          <w:color w:val="0F0F0F"/>
          <w:spacing w:val="-26"/>
          <w:w w:val="110"/>
        </w:rPr>
        <w:t xml:space="preserve"> </w:t>
      </w:r>
      <w:r>
        <w:rPr>
          <w:color w:val="0F0F0F"/>
          <w:w w:val="110"/>
        </w:rPr>
        <w:t>general</w:t>
      </w:r>
      <w:r>
        <w:rPr>
          <w:color w:val="0F0F0F"/>
          <w:spacing w:val="-16"/>
          <w:w w:val="110"/>
        </w:rPr>
        <w:t xml:space="preserve"> </w:t>
      </w:r>
      <w:r>
        <w:rPr>
          <w:color w:val="0F0F0F"/>
          <w:w w:val="110"/>
        </w:rPr>
        <w:t>medical</w:t>
      </w:r>
      <w:r>
        <w:rPr>
          <w:color w:val="0F0F0F"/>
          <w:spacing w:val="-15"/>
          <w:w w:val="110"/>
        </w:rPr>
        <w:t xml:space="preserve"> </w:t>
      </w:r>
      <w:r>
        <w:rPr>
          <w:color w:val="0F0F0F"/>
          <w:w w:val="110"/>
        </w:rPr>
        <w:t>condition</w:t>
      </w:r>
      <w:r>
        <w:rPr>
          <w:color w:val="0F0F0F"/>
          <w:spacing w:val="-16"/>
          <w:w w:val="110"/>
        </w:rPr>
        <w:t xml:space="preserve"> </w:t>
      </w:r>
      <w:r>
        <w:rPr>
          <w:color w:val="0F0F0F"/>
          <w:w w:val="110"/>
        </w:rPr>
        <w:t>(e</w:t>
      </w:r>
      <w:r>
        <w:rPr>
          <w:color w:val="424242"/>
          <w:w w:val="110"/>
        </w:rPr>
        <w:t>.</w:t>
      </w:r>
      <w:r>
        <w:rPr>
          <w:color w:val="0F0F0F"/>
          <w:w w:val="110"/>
        </w:rPr>
        <w:t>g.</w:t>
      </w:r>
      <w:r>
        <w:rPr>
          <w:color w:val="282828"/>
          <w:w w:val="110"/>
        </w:rPr>
        <w:t>,</w:t>
      </w:r>
      <w:r>
        <w:rPr>
          <w:color w:val="282828"/>
          <w:spacing w:val="-22"/>
          <w:w w:val="110"/>
        </w:rPr>
        <w:t xml:space="preserve"> </w:t>
      </w:r>
      <w:r>
        <w:rPr>
          <w:color w:val="0F0F0F"/>
          <w:w w:val="110"/>
        </w:rPr>
        <w:t>medication</w:t>
      </w:r>
      <w:r>
        <w:rPr>
          <w:color w:val="0F0F0F"/>
          <w:spacing w:val="-14"/>
          <w:w w:val="110"/>
        </w:rPr>
        <w:t xml:space="preserve"> </w:t>
      </w:r>
      <w:r>
        <w:rPr>
          <w:color w:val="0F0F0F"/>
          <w:w w:val="110"/>
        </w:rPr>
        <w:t>substitution</w:t>
      </w:r>
      <w:r>
        <w:rPr>
          <w:color w:val="0F0F0F"/>
          <w:spacing w:val="-11"/>
          <w:w w:val="110"/>
        </w:rPr>
        <w:t xml:space="preserve"> </w:t>
      </w:r>
      <w:r>
        <w:rPr>
          <w:color w:val="0F0F0F"/>
          <w:w w:val="110"/>
        </w:rPr>
        <w:t>or</w:t>
      </w:r>
      <w:r>
        <w:rPr>
          <w:color w:val="0F0F0F"/>
          <w:spacing w:val="-19"/>
          <w:w w:val="110"/>
        </w:rPr>
        <w:t xml:space="preserve"> </w:t>
      </w:r>
      <w:r>
        <w:rPr>
          <w:color w:val="0F0F0F"/>
          <w:w w:val="110"/>
        </w:rPr>
        <w:t>discontinuation)</w:t>
      </w:r>
      <w:r>
        <w:rPr>
          <w:color w:val="0F0F0F"/>
          <w:spacing w:val="-28"/>
          <w:w w:val="110"/>
        </w:rPr>
        <w:t xml:space="preserve"> </w:t>
      </w:r>
      <w:r>
        <w:rPr>
          <w:color w:val="0F0F0F"/>
          <w:w w:val="110"/>
        </w:rPr>
        <w:t>may</w:t>
      </w:r>
      <w:r>
        <w:rPr>
          <w:color w:val="0F0F0F"/>
          <w:spacing w:val="-18"/>
          <w:w w:val="110"/>
        </w:rPr>
        <w:t xml:space="preserve"> </w:t>
      </w:r>
      <w:r>
        <w:rPr>
          <w:color w:val="0F0F0F"/>
          <w:w w:val="110"/>
        </w:rPr>
        <w:t xml:space="preserve">be needed to determine empirically for that person whether or not the medication is the </w:t>
      </w:r>
      <w:r>
        <w:rPr>
          <w:color w:val="282828"/>
          <w:w w:val="110"/>
        </w:rPr>
        <w:t>c</w:t>
      </w:r>
      <w:r>
        <w:rPr>
          <w:color w:val="0F0F0F"/>
          <w:w w:val="110"/>
        </w:rPr>
        <w:t>au</w:t>
      </w:r>
      <w:r>
        <w:rPr>
          <w:color w:val="282828"/>
          <w:w w:val="110"/>
        </w:rPr>
        <w:t>s</w:t>
      </w:r>
      <w:r>
        <w:rPr>
          <w:color w:val="0F0F0F"/>
          <w:w w:val="110"/>
        </w:rPr>
        <w:t>ative</w:t>
      </w:r>
      <w:r>
        <w:rPr>
          <w:color w:val="0F0F0F"/>
          <w:spacing w:val="25"/>
          <w:w w:val="110"/>
        </w:rPr>
        <w:t xml:space="preserve"> </w:t>
      </w:r>
      <w:r>
        <w:rPr>
          <w:color w:val="0F0F0F"/>
          <w:w w:val="110"/>
        </w:rPr>
        <w:t>agent.</w:t>
      </w:r>
    </w:p>
    <w:p w:rsidR="00E675F0" w:rsidRDefault="00E675F0" w:rsidP="00E675F0">
      <w:pPr>
        <w:pStyle w:val="BodyText"/>
        <w:rPr>
          <w:sz w:val="22"/>
        </w:rPr>
      </w:pPr>
    </w:p>
    <w:p w:rsidR="00E675F0" w:rsidRDefault="00E675F0" w:rsidP="00E675F0">
      <w:pPr>
        <w:spacing w:before="151" w:line="244" w:lineRule="auto"/>
        <w:ind w:left="118" w:right="1621" w:firstLine="4"/>
        <w:rPr>
          <w:rFonts w:ascii="TimesNewRomanPS-BoldItalicMT"/>
          <w:b/>
          <w:i/>
          <w:sz w:val="25"/>
        </w:rPr>
      </w:pPr>
      <w:r>
        <w:rPr>
          <w:rFonts w:ascii="TimesNewRomanPS-BoldItalicMT"/>
          <w:b/>
          <w:i/>
          <w:color w:val="0F0F0F"/>
          <w:w w:val="110"/>
          <w:sz w:val="25"/>
        </w:rPr>
        <w:t>Recording Procedures for Substance-Induced Mental Disorders Included Elsewhere in the Manual</w:t>
      </w:r>
    </w:p>
    <w:p w:rsidR="00E675F0" w:rsidRDefault="00E675F0" w:rsidP="00E675F0">
      <w:pPr>
        <w:pStyle w:val="BodyText"/>
        <w:spacing w:before="133" w:line="254" w:lineRule="auto"/>
        <w:ind w:left="124" w:right="108" w:firstLine="3"/>
        <w:jc w:val="both"/>
      </w:pPr>
      <w:r>
        <w:rPr>
          <w:color w:val="0F0F0F"/>
          <w:w w:val="105"/>
        </w:rPr>
        <w:t>The name of the diagnosis b</w:t>
      </w:r>
      <w:r>
        <w:rPr>
          <w:color w:val="282828"/>
          <w:w w:val="105"/>
        </w:rPr>
        <w:t>e</w:t>
      </w:r>
      <w:r>
        <w:rPr>
          <w:color w:val="0F0F0F"/>
          <w:w w:val="105"/>
        </w:rPr>
        <w:t xml:space="preserve">gins with the specific substance </w:t>
      </w:r>
      <w:r>
        <w:rPr>
          <w:color w:val="282828"/>
          <w:w w:val="105"/>
        </w:rPr>
        <w:t>(</w:t>
      </w:r>
      <w:r>
        <w:rPr>
          <w:color w:val="0F0F0F"/>
          <w:w w:val="105"/>
        </w:rPr>
        <w:t>e.g.</w:t>
      </w:r>
      <w:r>
        <w:rPr>
          <w:color w:val="282828"/>
          <w:w w:val="105"/>
        </w:rPr>
        <w:t xml:space="preserve">, </w:t>
      </w:r>
      <w:r>
        <w:rPr>
          <w:color w:val="0F0F0F"/>
          <w:w w:val="105"/>
        </w:rPr>
        <w:t>cocaine, diazepam</w:t>
      </w:r>
      <w:r>
        <w:rPr>
          <w:color w:val="282828"/>
          <w:w w:val="105"/>
        </w:rPr>
        <w:t xml:space="preserve">, </w:t>
      </w:r>
      <w:r>
        <w:rPr>
          <w:color w:val="0F0F0F"/>
          <w:spacing w:val="2"/>
          <w:w w:val="105"/>
        </w:rPr>
        <w:t>d</w:t>
      </w:r>
      <w:r>
        <w:rPr>
          <w:color w:val="282828"/>
          <w:spacing w:val="2"/>
          <w:w w:val="105"/>
        </w:rPr>
        <w:t>e</w:t>
      </w:r>
      <w:r>
        <w:rPr>
          <w:color w:val="0F0F0F"/>
          <w:spacing w:val="2"/>
          <w:w w:val="105"/>
        </w:rPr>
        <w:t>xam</w:t>
      </w:r>
      <w:r>
        <w:rPr>
          <w:color w:val="282828"/>
          <w:spacing w:val="2"/>
          <w:w w:val="105"/>
        </w:rPr>
        <w:t>e</w:t>
      </w:r>
      <w:r>
        <w:rPr>
          <w:color w:val="0F0F0F"/>
          <w:spacing w:val="2"/>
          <w:w w:val="105"/>
        </w:rPr>
        <w:t>th</w:t>
      </w:r>
      <w:r>
        <w:rPr>
          <w:color w:val="282828"/>
          <w:spacing w:val="2"/>
          <w:w w:val="105"/>
        </w:rPr>
        <w:t>a</w:t>
      </w:r>
      <w:r>
        <w:rPr>
          <w:color w:val="0F0F0F"/>
          <w:spacing w:val="2"/>
          <w:w w:val="105"/>
        </w:rPr>
        <w:t xml:space="preserve">sone) </w:t>
      </w:r>
      <w:r>
        <w:rPr>
          <w:color w:val="0F0F0F"/>
          <w:w w:val="105"/>
        </w:rPr>
        <w:t xml:space="preserve">that is presum </w:t>
      </w:r>
      <w:r>
        <w:rPr>
          <w:color w:val="282828"/>
          <w:spacing w:val="5"/>
          <w:w w:val="105"/>
        </w:rPr>
        <w:t>e</w:t>
      </w:r>
      <w:r>
        <w:rPr>
          <w:color w:val="0F0F0F"/>
          <w:spacing w:val="5"/>
          <w:w w:val="105"/>
        </w:rPr>
        <w:t xml:space="preserve">d </w:t>
      </w:r>
      <w:r>
        <w:rPr>
          <w:color w:val="0F0F0F"/>
          <w:w w:val="105"/>
        </w:rPr>
        <w:t xml:space="preserve">to be causing the </w:t>
      </w:r>
      <w:r>
        <w:rPr>
          <w:color w:val="0F0F0F"/>
          <w:spacing w:val="-4"/>
          <w:w w:val="105"/>
        </w:rPr>
        <w:t>symptoms</w:t>
      </w:r>
      <w:r>
        <w:rPr>
          <w:color w:val="282828"/>
          <w:spacing w:val="-4"/>
          <w:w w:val="105"/>
        </w:rPr>
        <w:t xml:space="preserve">. </w:t>
      </w:r>
      <w:r>
        <w:rPr>
          <w:color w:val="0F0F0F"/>
          <w:w w:val="105"/>
        </w:rPr>
        <w:t xml:space="preserve">The diagnostic code is </w:t>
      </w:r>
      <w:r>
        <w:rPr>
          <w:color w:val="0F0F0F"/>
          <w:spacing w:val="2"/>
          <w:w w:val="105"/>
        </w:rPr>
        <w:t>sel</w:t>
      </w:r>
      <w:r>
        <w:rPr>
          <w:color w:val="282828"/>
          <w:spacing w:val="2"/>
          <w:w w:val="105"/>
        </w:rPr>
        <w:t xml:space="preserve">e </w:t>
      </w:r>
      <w:r>
        <w:rPr>
          <w:color w:val="0F0F0F"/>
          <w:w w:val="105"/>
        </w:rPr>
        <w:t>cted from the listing of cla</w:t>
      </w:r>
      <w:r>
        <w:rPr>
          <w:color w:val="282828"/>
          <w:w w:val="105"/>
        </w:rPr>
        <w:t>ss</w:t>
      </w:r>
      <w:r>
        <w:rPr>
          <w:color w:val="0F0F0F"/>
          <w:w w:val="105"/>
        </w:rPr>
        <w:t>e</w:t>
      </w:r>
      <w:r>
        <w:rPr>
          <w:color w:val="282828"/>
          <w:w w:val="105"/>
        </w:rPr>
        <w:t xml:space="preserve">s </w:t>
      </w:r>
      <w:r>
        <w:rPr>
          <w:color w:val="0F0F0F"/>
          <w:w w:val="105"/>
        </w:rPr>
        <w:t>of substances provided in the criteria sets for the particular Substance-Induced Disorder. For substances that do not fit into any of the classes (e</w:t>
      </w:r>
      <w:r>
        <w:rPr>
          <w:color w:val="424242"/>
          <w:w w:val="105"/>
        </w:rPr>
        <w:t>.</w:t>
      </w:r>
      <w:r>
        <w:rPr>
          <w:color w:val="0F0F0F"/>
          <w:w w:val="105"/>
        </w:rPr>
        <w:t>g</w:t>
      </w:r>
      <w:r>
        <w:rPr>
          <w:color w:val="282828"/>
          <w:w w:val="105"/>
        </w:rPr>
        <w:t xml:space="preserve">., </w:t>
      </w:r>
      <w:r>
        <w:rPr>
          <w:color w:val="0F0F0F"/>
          <w:w w:val="105"/>
        </w:rPr>
        <w:t>dexamethaso ne</w:t>
      </w:r>
      <w:r>
        <w:rPr>
          <w:color w:val="282828"/>
          <w:w w:val="105"/>
        </w:rPr>
        <w:t>)</w:t>
      </w:r>
      <w:r>
        <w:rPr>
          <w:color w:val="424242"/>
          <w:w w:val="105"/>
        </w:rPr>
        <w:t xml:space="preserve">, </w:t>
      </w:r>
      <w:r>
        <w:rPr>
          <w:color w:val="0F0F0F"/>
          <w:w w:val="105"/>
        </w:rPr>
        <w:t xml:space="preserve">the code for </w:t>
      </w:r>
      <w:r>
        <w:rPr>
          <w:color w:val="282828"/>
          <w:spacing w:val="-3"/>
          <w:w w:val="105"/>
        </w:rPr>
        <w:t>"</w:t>
      </w:r>
      <w:r>
        <w:rPr>
          <w:color w:val="0F0F0F"/>
          <w:spacing w:val="-3"/>
          <w:w w:val="105"/>
        </w:rPr>
        <w:t xml:space="preserve">Othe </w:t>
      </w:r>
      <w:r>
        <w:rPr>
          <w:color w:val="0F0F0F"/>
          <w:w w:val="105"/>
        </w:rPr>
        <w:t xml:space="preserve">r Sub </w:t>
      </w:r>
      <w:r>
        <w:rPr>
          <w:color w:val="282828"/>
          <w:spacing w:val="4"/>
          <w:w w:val="105"/>
        </w:rPr>
        <w:t>s</w:t>
      </w:r>
      <w:r>
        <w:rPr>
          <w:color w:val="0F0F0F"/>
          <w:spacing w:val="4"/>
          <w:w w:val="105"/>
        </w:rPr>
        <w:t>t</w:t>
      </w:r>
      <w:r>
        <w:rPr>
          <w:color w:val="282828"/>
          <w:spacing w:val="4"/>
          <w:w w:val="105"/>
        </w:rPr>
        <w:t>a</w:t>
      </w:r>
      <w:r>
        <w:rPr>
          <w:color w:val="0F0F0F"/>
          <w:spacing w:val="4"/>
          <w:w w:val="105"/>
        </w:rPr>
        <w:t>nce</w:t>
      </w:r>
      <w:r>
        <w:rPr>
          <w:color w:val="282828"/>
          <w:spacing w:val="4"/>
          <w:w w:val="105"/>
        </w:rPr>
        <w:t xml:space="preserve">" </w:t>
      </w:r>
      <w:r>
        <w:rPr>
          <w:color w:val="0F0F0F"/>
          <w:w w:val="105"/>
        </w:rPr>
        <w:t xml:space="preserve">should be used </w:t>
      </w:r>
      <w:r>
        <w:rPr>
          <w:color w:val="282828"/>
          <w:w w:val="105"/>
        </w:rPr>
        <w:t xml:space="preserve">. </w:t>
      </w:r>
      <w:r>
        <w:rPr>
          <w:color w:val="0F0F0F"/>
          <w:w w:val="105"/>
        </w:rPr>
        <w:t xml:space="preserve">In addition </w:t>
      </w:r>
      <w:r>
        <w:rPr>
          <w:color w:val="282828"/>
          <w:w w:val="105"/>
        </w:rPr>
        <w:t xml:space="preserve">, </w:t>
      </w:r>
      <w:r>
        <w:rPr>
          <w:color w:val="0F0F0F"/>
          <w:w w:val="105"/>
        </w:rPr>
        <w:t>for medications pr</w:t>
      </w:r>
      <w:r>
        <w:rPr>
          <w:color w:val="282828"/>
          <w:w w:val="105"/>
        </w:rPr>
        <w:t>e</w:t>
      </w:r>
      <w:r>
        <w:rPr>
          <w:color w:val="0F0F0F"/>
          <w:w w:val="105"/>
        </w:rPr>
        <w:t xml:space="preserve">scribed </w:t>
      </w:r>
      <w:r>
        <w:rPr>
          <w:color w:val="282828"/>
          <w:w w:val="105"/>
        </w:rPr>
        <w:t>a</w:t>
      </w:r>
      <w:r>
        <w:rPr>
          <w:color w:val="0F0F0F"/>
          <w:w w:val="105"/>
        </w:rPr>
        <w:t xml:space="preserve">t therapeutic </w:t>
      </w:r>
      <w:r>
        <w:rPr>
          <w:color w:val="0F0F0F"/>
          <w:spacing w:val="2"/>
          <w:w w:val="105"/>
        </w:rPr>
        <w:t>doses</w:t>
      </w:r>
      <w:r>
        <w:rPr>
          <w:color w:val="424242"/>
          <w:spacing w:val="2"/>
          <w:w w:val="105"/>
        </w:rPr>
        <w:t xml:space="preserve">, </w:t>
      </w:r>
      <w:r>
        <w:rPr>
          <w:color w:val="0F0F0F"/>
          <w:w w:val="105"/>
        </w:rPr>
        <w:t xml:space="preserve">the </w:t>
      </w:r>
      <w:r>
        <w:rPr>
          <w:color w:val="282828"/>
          <w:w w:val="105"/>
        </w:rPr>
        <w:t>s</w:t>
      </w:r>
      <w:r>
        <w:rPr>
          <w:color w:val="0F0F0F"/>
          <w:w w:val="105"/>
        </w:rPr>
        <w:t xml:space="preserve">pecific  medication  can be indicated by listing the </w:t>
      </w:r>
      <w:r>
        <w:rPr>
          <w:color w:val="282828"/>
          <w:spacing w:val="2"/>
          <w:w w:val="105"/>
        </w:rPr>
        <w:t>a</w:t>
      </w:r>
      <w:r>
        <w:rPr>
          <w:color w:val="0F0F0F"/>
          <w:spacing w:val="2"/>
          <w:w w:val="105"/>
        </w:rPr>
        <w:t xml:space="preserve">ppropriate </w:t>
      </w:r>
      <w:r>
        <w:rPr>
          <w:color w:val="0F0F0F"/>
          <w:w w:val="105"/>
        </w:rPr>
        <w:t>E</w:t>
      </w:r>
      <w:r>
        <w:rPr>
          <w:color w:val="282828"/>
          <w:w w:val="105"/>
        </w:rPr>
        <w:t>-</w:t>
      </w:r>
      <w:r>
        <w:rPr>
          <w:color w:val="0F0F0F"/>
          <w:w w:val="105"/>
        </w:rPr>
        <w:t xml:space="preserve">code on  Axis I (se </w:t>
      </w:r>
      <w:r>
        <w:rPr>
          <w:color w:val="282828"/>
          <w:w w:val="105"/>
        </w:rPr>
        <w:t xml:space="preserve">e  </w:t>
      </w:r>
      <w:r>
        <w:rPr>
          <w:color w:val="0F0F0F"/>
          <w:w w:val="105"/>
        </w:rPr>
        <w:t xml:space="preserve">Appendix G). The name of the disorder (e.g., Cocain </w:t>
      </w:r>
      <w:r>
        <w:rPr>
          <w:color w:val="282828"/>
          <w:w w:val="105"/>
        </w:rPr>
        <w:t>e-</w:t>
      </w:r>
      <w:r>
        <w:rPr>
          <w:color w:val="0F0F0F"/>
          <w:w w:val="105"/>
        </w:rPr>
        <w:t xml:space="preserve">Induc </w:t>
      </w:r>
      <w:r>
        <w:rPr>
          <w:color w:val="282828"/>
          <w:spacing w:val="4"/>
          <w:w w:val="105"/>
        </w:rPr>
        <w:t>e</w:t>
      </w:r>
      <w:r>
        <w:rPr>
          <w:color w:val="0F0F0F"/>
          <w:spacing w:val="4"/>
          <w:w w:val="105"/>
        </w:rPr>
        <w:t xml:space="preserve">d </w:t>
      </w:r>
      <w:r>
        <w:rPr>
          <w:color w:val="0F0F0F"/>
          <w:w w:val="105"/>
        </w:rPr>
        <w:t>Psychotic Disord</w:t>
      </w:r>
      <w:r>
        <w:rPr>
          <w:color w:val="282828"/>
          <w:w w:val="105"/>
        </w:rPr>
        <w:t>e</w:t>
      </w:r>
      <w:r>
        <w:rPr>
          <w:color w:val="0F0F0F"/>
          <w:w w:val="105"/>
        </w:rPr>
        <w:t xml:space="preserve">r; Diazepam-Induced Anxiety </w:t>
      </w:r>
      <w:r>
        <w:rPr>
          <w:color w:val="0F0F0F"/>
          <w:spacing w:val="-2"/>
          <w:w w:val="105"/>
        </w:rPr>
        <w:t>Di</w:t>
      </w:r>
      <w:r>
        <w:rPr>
          <w:color w:val="282828"/>
          <w:spacing w:val="-2"/>
          <w:w w:val="105"/>
        </w:rPr>
        <w:t>s</w:t>
      </w:r>
      <w:r>
        <w:rPr>
          <w:color w:val="282828"/>
          <w:spacing w:val="-33"/>
          <w:w w:val="105"/>
        </w:rPr>
        <w:t xml:space="preserve"> </w:t>
      </w:r>
      <w:r>
        <w:rPr>
          <w:color w:val="0F0F0F"/>
          <w:w w:val="105"/>
        </w:rPr>
        <w:t>orde</w:t>
      </w:r>
      <w:r>
        <w:rPr>
          <w:color w:val="0F0F0F"/>
          <w:spacing w:val="41"/>
          <w:w w:val="105"/>
        </w:rPr>
        <w:t xml:space="preserve"> </w:t>
      </w:r>
      <w:r>
        <w:rPr>
          <w:color w:val="0F0F0F"/>
          <w:w w:val="105"/>
        </w:rPr>
        <w:t>r)</w:t>
      </w:r>
      <w:r>
        <w:rPr>
          <w:color w:val="0F0F0F"/>
          <w:spacing w:val="-3"/>
          <w:w w:val="105"/>
        </w:rPr>
        <w:t xml:space="preserve"> </w:t>
      </w:r>
      <w:r>
        <w:rPr>
          <w:color w:val="0F0F0F"/>
          <w:w w:val="105"/>
        </w:rPr>
        <w:t>is</w:t>
      </w:r>
      <w:r>
        <w:rPr>
          <w:color w:val="0F0F0F"/>
          <w:spacing w:val="-21"/>
          <w:w w:val="105"/>
        </w:rPr>
        <w:t xml:space="preserve"> </w:t>
      </w:r>
      <w:r>
        <w:rPr>
          <w:color w:val="0F0F0F"/>
          <w:w w:val="105"/>
        </w:rPr>
        <w:t>followed</w:t>
      </w:r>
      <w:r>
        <w:rPr>
          <w:color w:val="0F0F0F"/>
          <w:spacing w:val="1"/>
          <w:w w:val="105"/>
        </w:rPr>
        <w:t xml:space="preserve"> </w:t>
      </w:r>
      <w:r>
        <w:rPr>
          <w:color w:val="0F0F0F"/>
          <w:w w:val="105"/>
        </w:rPr>
        <w:t>by</w:t>
      </w:r>
      <w:r>
        <w:rPr>
          <w:color w:val="0F0F0F"/>
          <w:spacing w:val="-14"/>
          <w:w w:val="105"/>
        </w:rPr>
        <w:t xml:space="preserve"> </w:t>
      </w:r>
      <w:r>
        <w:rPr>
          <w:color w:val="0F0F0F"/>
          <w:w w:val="105"/>
        </w:rPr>
        <w:t>the</w:t>
      </w:r>
      <w:r>
        <w:rPr>
          <w:color w:val="0F0F0F"/>
          <w:spacing w:val="-21"/>
          <w:w w:val="105"/>
        </w:rPr>
        <w:t xml:space="preserve"> </w:t>
      </w:r>
      <w:r>
        <w:rPr>
          <w:color w:val="0F0F0F"/>
          <w:w w:val="105"/>
        </w:rPr>
        <w:t>sp</w:t>
      </w:r>
      <w:r>
        <w:rPr>
          <w:color w:val="282828"/>
          <w:w w:val="105"/>
        </w:rPr>
        <w:t>ec</w:t>
      </w:r>
      <w:r>
        <w:rPr>
          <w:color w:val="0F0F0F"/>
          <w:w w:val="105"/>
        </w:rPr>
        <w:t>ification</w:t>
      </w:r>
      <w:r>
        <w:rPr>
          <w:color w:val="0F0F0F"/>
          <w:spacing w:val="-21"/>
          <w:w w:val="105"/>
        </w:rPr>
        <w:t xml:space="preserve"> </w:t>
      </w:r>
      <w:r>
        <w:rPr>
          <w:color w:val="0F0F0F"/>
          <w:w w:val="105"/>
        </w:rPr>
        <w:t>of</w:t>
      </w:r>
      <w:r>
        <w:rPr>
          <w:color w:val="0F0F0F"/>
          <w:spacing w:val="-2"/>
          <w:w w:val="105"/>
        </w:rPr>
        <w:t xml:space="preserve"> </w:t>
      </w:r>
      <w:r>
        <w:rPr>
          <w:color w:val="0F0F0F"/>
          <w:w w:val="105"/>
        </w:rPr>
        <w:t>the</w:t>
      </w:r>
      <w:r>
        <w:rPr>
          <w:color w:val="0F0F0F"/>
          <w:spacing w:val="-12"/>
          <w:w w:val="105"/>
        </w:rPr>
        <w:t xml:space="preserve"> </w:t>
      </w:r>
      <w:r>
        <w:rPr>
          <w:color w:val="0F0F0F"/>
          <w:w w:val="105"/>
        </w:rPr>
        <w:t>predominant</w:t>
      </w:r>
      <w:r>
        <w:rPr>
          <w:color w:val="0F0F0F"/>
          <w:spacing w:val="-3"/>
          <w:w w:val="105"/>
        </w:rPr>
        <w:t xml:space="preserve"> </w:t>
      </w:r>
      <w:r>
        <w:rPr>
          <w:color w:val="282828"/>
          <w:w w:val="105"/>
        </w:rPr>
        <w:t>s</w:t>
      </w:r>
      <w:r>
        <w:rPr>
          <w:color w:val="0F0F0F"/>
          <w:w w:val="105"/>
        </w:rPr>
        <w:t>ymptom</w:t>
      </w:r>
      <w:r>
        <w:rPr>
          <w:color w:val="0F0F0F"/>
          <w:spacing w:val="28"/>
          <w:w w:val="105"/>
        </w:rPr>
        <w:t xml:space="preserve"> </w:t>
      </w:r>
      <w:r>
        <w:rPr>
          <w:color w:val="0F0F0F"/>
          <w:w w:val="105"/>
        </w:rPr>
        <w:t>presentation</w:t>
      </w:r>
      <w:r>
        <w:rPr>
          <w:color w:val="0F0F0F"/>
          <w:spacing w:val="-3"/>
          <w:w w:val="105"/>
        </w:rPr>
        <w:t xml:space="preserve"> </w:t>
      </w:r>
      <w:r>
        <w:rPr>
          <w:color w:val="0F0F0F"/>
          <w:w w:val="105"/>
        </w:rPr>
        <w:t xml:space="preserve">and the context in which the symptoms developed (e.g., 292.11 Cocaine-Induced Psychotic </w:t>
      </w:r>
      <w:r>
        <w:rPr>
          <w:color w:val="0F0F0F"/>
          <w:spacing w:val="2"/>
          <w:w w:val="105"/>
        </w:rPr>
        <w:t>Dis</w:t>
      </w:r>
      <w:r>
        <w:rPr>
          <w:color w:val="282828"/>
          <w:spacing w:val="2"/>
          <w:w w:val="105"/>
        </w:rPr>
        <w:t>o</w:t>
      </w:r>
      <w:r>
        <w:rPr>
          <w:color w:val="0F0F0F"/>
          <w:spacing w:val="2"/>
          <w:w w:val="105"/>
        </w:rPr>
        <w:t xml:space="preserve">rder, </w:t>
      </w:r>
      <w:r>
        <w:rPr>
          <w:color w:val="0F0F0F"/>
          <w:w w:val="105"/>
        </w:rPr>
        <w:t xml:space="preserve">With Delusions, With On </w:t>
      </w:r>
      <w:r>
        <w:rPr>
          <w:color w:val="282828"/>
          <w:w w:val="105"/>
        </w:rPr>
        <w:t>s</w:t>
      </w:r>
      <w:r>
        <w:rPr>
          <w:color w:val="0F0F0F"/>
          <w:w w:val="105"/>
        </w:rPr>
        <w:t xml:space="preserve">et During Intoxication </w:t>
      </w:r>
      <w:r>
        <w:rPr>
          <w:color w:val="282828"/>
          <w:w w:val="105"/>
        </w:rPr>
        <w:t xml:space="preserve">; </w:t>
      </w:r>
      <w:r>
        <w:rPr>
          <w:color w:val="0F0F0F"/>
          <w:spacing w:val="-4"/>
          <w:w w:val="105"/>
        </w:rPr>
        <w:t>292</w:t>
      </w:r>
      <w:r>
        <w:rPr>
          <w:color w:val="282828"/>
          <w:spacing w:val="-4"/>
          <w:w w:val="105"/>
        </w:rPr>
        <w:t>.</w:t>
      </w:r>
      <w:r>
        <w:rPr>
          <w:color w:val="0F0F0F"/>
          <w:spacing w:val="-4"/>
          <w:w w:val="105"/>
        </w:rPr>
        <w:t xml:space="preserve">89 </w:t>
      </w:r>
      <w:r>
        <w:rPr>
          <w:color w:val="0F0F0F"/>
          <w:w w:val="105"/>
        </w:rPr>
        <w:t xml:space="preserve">Diazepam-Induced Anxi </w:t>
      </w:r>
      <w:r>
        <w:rPr>
          <w:color w:val="282828"/>
          <w:w w:val="105"/>
        </w:rPr>
        <w:t xml:space="preserve">e </w:t>
      </w:r>
      <w:r>
        <w:rPr>
          <w:color w:val="0F0F0F"/>
          <w:w w:val="105"/>
        </w:rPr>
        <w:t xml:space="preserve">ty Disorder </w:t>
      </w:r>
      <w:r>
        <w:rPr>
          <w:color w:val="282828"/>
          <w:w w:val="105"/>
        </w:rPr>
        <w:t xml:space="preserve">, </w:t>
      </w:r>
      <w:r>
        <w:rPr>
          <w:color w:val="0F0F0F"/>
          <w:w w:val="105"/>
        </w:rPr>
        <w:t>With Ons</w:t>
      </w:r>
      <w:r>
        <w:rPr>
          <w:color w:val="282828"/>
          <w:w w:val="105"/>
        </w:rPr>
        <w:t>e</w:t>
      </w:r>
      <w:r>
        <w:rPr>
          <w:color w:val="0F0F0F"/>
          <w:w w:val="105"/>
        </w:rPr>
        <w:t xml:space="preserve">t During Withdrawal). When more than one substance is </w:t>
      </w:r>
      <w:r>
        <w:rPr>
          <w:color w:val="0F0F0F"/>
          <w:spacing w:val="5"/>
          <w:w w:val="105"/>
        </w:rPr>
        <w:t>judg</w:t>
      </w:r>
      <w:r>
        <w:rPr>
          <w:color w:val="282828"/>
          <w:spacing w:val="5"/>
          <w:w w:val="105"/>
        </w:rPr>
        <w:t>e</w:t>
      </w:r>
      <w:r>
        <w:rPr>
          <w:color w:val="0F0F0F"/>
          <w:spacing w:val="5"/>
          <w:w w:val="105"/>
        </w:rPr>
        <w:t xml:space="preserve">d </w:t>
      </w:r>
      <w:r>
        <w:rPr>
          <w:color w:val="0F0F0F"/>
          <w:w w:val="105"/>
        </w:rPr>
        <w:t xml:space="preserve">to play a significant </w:t>
      </w:r>
      <w:r>
        <w:rPr>
          <w:color w:val="0F0F0F"/>
          <w:spacing w:val="-4"/>
          <w:w w:val="105"/>
        </w:rPr>
        <w:t>rol</w:t>
      </w:r>
      <w:r>
        <w:rPr>
          <w:color w:val="282828"/>
          <w:spacing w:val="-4"/>
          <w:w w:val="105"/>
        </w:rPr>
        <w:t xml:space="preserve">e </w:t>
      </w:r>
      <w:r>
        <w:rPr>
          <w:color w:val="0F0F0F"/>
          <w:w w:val="105"/>
        </w:rPr>
        <w:t>in th</w:t>
      </w:r>
      <w:r>
        <w:rPr>
          <w:color w:val="282828"/>
          <w:w w:val="105"/>
        </w:rPr>
        <w:t xml:space="preserve">e </w:t>
      </w:r>
      <w:r>
        <w:rPr>
          <w:color w:val="0F0F0F"/>
          <w:spacing w:val="4"/>
          <w:w w:val="105"/>
        </w:rPr>
        <w:t>d</w:t>
      </w:r>
      <w:r>
        <w:rPr>
          <w:color w:val="282828"/>
          <w:spacing w:val="4"/>
          <w:w w:val="105"/>
        </w:rPr>
        <w:t>e</w:t>
      </w:r>
      <w:r>
        <w:rPr>
          <w:color w:val="0F0F0F"/>
          <w:spacing w:val="4"/>
          <w:w w:val="105"/>
        </w:rPr>
        <w:t xml:space="preserve">velop </w:t>
      </w:r>
      <w:r>
        <w:rPr>
          <w:color w:val="0F0F0F"/>
          <w:spacing w:val="3"/>
          <w:w w:val="105"/>
        </w:rPr>
        <w:t xml:space="preserve">ment </w:t>
      </w:r>
      <w:r>
        <w:rPr>
          <w:color w:val="0F0F0F"/>
          <w:w w:val="105"/>
        </w:rPr>
        <w:t xml:space="preserve">of symptoms </w:t>
      </w:r>
      <w:r>
        <w:rPr>
          <w:color w:val="282828"/>
          <w:w w:val="105"/>
        </w:rPr>
        <w:t xml:space="preserve">, </w:t>
      </w:r>
      <w:r>
        <w:rPr>
          <w:color w:val="0F0F0F"/>
          <w:w w:val="105"/>
        </w:rPr>
        <w:t xml:space="preserve">each should be listed separately </w:t>
      </w:r>
      <w:r>
        <w:rPr>
          <w:color w:val="282828"/>
          <w:w w:val="105"/>
        </w:rPr>
        <w:t xml:space="preserve">. </w:t>
      </w:r>
      <w:r>
        <w:rPr>
          <w:rFonts w:ascii="Arial"/>
          <w:color w:val="0F0F0F"/>
          <w:w w:val="105"/>
          <w:sz w:val="19"/>
        </w:rPr>
        <w:t xml:space="preserve">If </w:t>
      </w:r>
      <w:r>
        <w:rPr>
          <w:color w:val="0F0F0F"/>
          <w:w w:val="105"/>
        </w:rPr>
        <w:t>a substance is judged to be the etiological fa</w:t>
      </w:r>
      <w:r>
        <w:rPr>
          <w:color w:val="282828"/>
          <w:w w:val="105"/>
        </w:rPr>
        <w:t>c</w:t>
      </w:r>
      <w:r>
        <w:rPr>
          <w:color w:val="0F0F0F"/>
          <w:w w:val="105"/>
        </w:rPr>
        <w:t>tor, but th</w:t>
      </w:r>
      <w:r>
        <w:rPr>
          <w:color w:val="282828"/>
          <w:w w:val="105"/>
        </w:rPr>
        <w:t xml:space="preserve">e </w:t>
      </w:r>
      <w:r>
        <w:rPr>
          <w:color w:val="282828"/>
          <w:spacing w:val="2"/>
          <w:w w:val="105"/>
        </w:rPr>
        <w:t>s</w:t>
      </w:r>
      <w:r>
        <w:rPr>
          <w:color w:val="0F0F0F"/>
          <w:spacing w:val="2"/>
          <w:w w:val="105"/>
        </w:rPr>
        <w:t xml:space="preserve">pecific </w:t>
      </w:r>
      <w:r>
        <w:rPr>
          <w:color w:val="0F0F0F"/>
          <w:w w:val="105"/>
        </w:rPr>
        <w:t>substance or cl</w:t>
      </w:r>
      <w:r>
        <w:rPr>
          <w:color w:val="282828"/>
          <w:w w:val="105"/>
        </w:rPr>
        <w:t xml:space="preserve">ass </w:t>
      </w:r>
      <w:r>
        <w:rPr>
          <w:color w:val="0F0F0F"/>
          <w:w w:val="105"/>
        </w:rPr>
        <w:t xml:space="preserve">of substances is unknown </w:t>
      </w:r>
      <w:r>
        <w:rPr>
          <w:color w:val="282828"/>
          <w:w w:val="105"/>
        </w:rPr>
        <w:t xml:space="preserve">, </w:t>
      </w:r>
      <w:r>
        <w:rPr>
          <w:color w:val="0F0F0F"/>
          <w:w w:val="105"/>
        </w:rPr>
        <w:t xml:space="preserve">the class </w:t>
      </w:r>
      <w:r>
        <w:rPr>
          <w:color w:val="282828"/>
          <w:w w:val="105"/>
        </w:rPr>
        <w:t>"</w:t>
      </w:r>
      <w:r>
        <w:rPr>
          <w:color w:val="0F0F0F"/>
          <w:w w:val="105"/>
        </w:rPr>
        <w:t xml:space="preserve">Unknown Substance </w:t>
      </w:r>
      <w:r>
        <w:rPr>
          <w:color w:val="282828"/>
          <w:w w:val="105"/>
        </w:rPr>
        <w:t xml:space="preserve">" </w:t>
      </w:r>
      <w:r>
        <w:rPr>
          <w:color w:val="0F0F0F"/>
          <w:w w:val="105"/>
        </w:rPr>
        <w:t>should be</w:t>
      </w:r>
      <w:r>
        <w:rPr>
          <w:color w:val="0F0F0F"/>
          <w:spacing w:val="8"/>
          <w:w w:val="105"/>
        </w:rPr>
        <w:t xml:space="preserve"> </w:t>
      </w:r>
      <w:r>
        <w:rPr>
          <w:color w:val="0F0F0F"/>
          <w:spacing w:val="4"/>
          <w:w w:val="105"/>
        </w:rPr>
        <w:t>used</w:t>
      </w:r>
      <w:r>
        <w:rPr>
          <w:color w:val="282828"/>
          <w:spacing w:val="4"/>
          <w:w w:val="105"/>
        </w:rPr>
        <w:t>.</w:t>
      </w:r>
    </w:p>
    <w:p w:rsidR="00E675F0" w:rsidRDefault="00E675F0" w:rsidP="00E675F0">
      <w:pPr>
        <w:pStyle w:val="BodyText"/>
      </w:pPr>
    </w:p>
    <w:p w:rsidR="00E675F0" w:rsidRDefault="00E675F0" w:rsidP="00E675F0">
      <w:pPr>
        <w:pStyle w:val="BodyText"/>
        <w:spacing w:before="9"/>
        <w:rPr>
          <w:sz w:val="26"/>
        </w:rPr>
      </w:pPr>
      <w:r>
        <w:rPr>
          <w:noProof/>
        </w:rPr>
        <mc:AlternateContent>
          <mc:Choice Requires="wps">
            <w:drawing>
              <wp:anchor distT="0" distB="0" distL="0" distR="0" simplePos="0" relativeHeight="251873280" behindDoc="1" locked="0" layoutInCell="1" allowOverlap="1" wp14:anchorId="140A987A" wp14:editId="75882DA6">
                <wp:simplePos x="0" y="0"/>
                <wp:positionH relativeFrom="page">
                  <wp:posOffset>1454150</wp:posOffset>
                </wp:positionH>
                <wp:positionV relativeFrom="paragraph">
                  <wp:posOffset>226695</wp:posOffset>
                </wp:positionV>
                <wp:extent cx="464820" cy="1270"/>
                <wp:effectExtent l="0" t="0" r="5080" b="0"/>
                <wp:wrapTopAndBottom/>
                <wp:docPr id="1389" name="Freeform 1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4820" cy="1270"/>
                        </a:xfrm>
                        <a:custGeom>
                          <a:avLst/>
                          <a:gdLst>
                            <a:gd name="T0" fmla="+- 0 2290 2290"/>
                            <a:gd name="T1" fmla="*/ T0 w 732"/>
                            <a:gd name="T2" fmla="+- 0 3021 2290"/>
                            <a:gd name="T3" fmla="*/ T2 w 732"/>
                          </a:gdLst>
                          <a:ahLst/>
                          <a:cxnLst>
                            <a:cxn ang="0">
                              <a:pos x="T1" y="0"/>
                            </a:cxn>
                            <a:cxn ang="0">
                              <a:pos x="T3" y="0"/>
                            </a:cxn>
                          </a:cxnLst>
                          <a:rect l="0" t="0" r="r" b="b"/>
                          <a:pathLst>
                            <a:path w="732">
                              <a:moveTo>
                                <a:pt x="0" y="0"/>
                              </a:moveTo>
                              <a:lnTo>
                                <a:pt x="731" y="0"/>
                              </a:lnTo>
                            </a:path>
                          </a:pathLst>
                        </a:custGeom>
                        <a:noFill/>
                        <a:ln w="122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228E38" id="Freeform 1345" o:spid="_x0000_s1026" style="position:absolute;margin-left:114.5pt;margin-top:17.85pt;width:36.6pt;height:.1pt;z-index:-251443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32,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" path="m,l731,e" filled="f" strokeweight=".33911mm">
                <v:path arrowok="t" o:connecttype="custom" o:connectlocs="0,0;464185,0" o:connectangles="0,0"/>
                <w10:wrap type="topAndBottom" anchorx="page"/>
              </v:shape>
            </w:pict>
          </mc:Fallback>
        </mc:AlternateContent>
      </w:r>
      <w:r>
        <w:rPr>
          <w:noProof/>
        </w:rPr>
        <mc:AlternateContent>
          <mc:Choice Requires="wps">
            <w:drawing>
              <wp:anchor distT="0" distB="0" distL="0" distR="0" simplePos="0" relativeHeight="251874304" behindDoc="1" locked="0" layoutInCell="1" allowOverlap="1" wp14:anchorId="044C3564" wp14:editId="7AA8E902">
                <wp:simplePos x="0" y="0"/>
                <wp:positionH relativeFrom="page">
                  <wp:posOffset>4130040</wp:posOffset>
                </wp:positionH>
                <wp:positionV relativeFrom="paragraph">
                  <wp:posOffset>229870</wp:posOffset>
                </wp:positionV>
                <wp:extent cx="1111885" cy="1270"/>
                <wp:effectExtent l="0" t="0" r="5715" b="0"/>
                <wp:wrapTopAndBottom/>
                <wp:docPr id="1388" name="Freeform 1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1885" cy="1270"/>
                        </a:xfrm>
                        <a:custGeom>
                          <a:avLst/>
                          <a:gdLst>
                            <a:gd name="T0" fmla="+- 0 6504 6504"/>
                            <a:gd name="T1" fmla="*/ T0 w 1751"/>
                            <a:gd name="T2" fmla="+- 0 8254 6504"/>
                            <a:gd name="T3" fmla="*/ T2 w 1751"/>
                          </a:gdLst>
                          <a:ahLst/>
                          <a:cxnLst>
                            <a:cxn ang="0">
                              <a:pos x="T1" y="0"/>
                            </a:cxn>
                            <a:cxn ang="0">
                              <a:pos x="T3" y="0"/>
                            </a:cxn>
                          </a:cxnLst>
                          <a:rect l="0" t="0" r="r" b="b"/>
                          <a:pathLst>
                            <a:path w="1751">
                              <a:moveTo>
                                <a:pt x="0" y="0"/>
                              </a:moveTo>
                              <a:lnTo>
                                <a:pt x="1750" y="0"/>
                              </a:lnTo>
                            </a:path>
                          </a:pathLst>
                        </a:custGeom>
                        <a:noFill/>
                        <a:ln w="305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F2070" id="Freeform 1344" o:spid="_x0000_s1026" style="position:absolute;margin-left:325.2pt;margin-top:18.1pt;width:87.55pt;height:.1pt;z-index:-251442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5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" path="m,l1750,e" filled="f" strokeweight=".08478mm">
                <v:path arrowok="t" o:connecttype="custom" o:connectlocs="0,0;1111250,0" o:connectangles="0,0"/>
                <w10:wrap type="topAndBottom" anchorx="page"/>
              </v:shape>
            </w:pict>
          </mc:Fallback>
        </mc:AlternateContent>
      </w:r>
    </w:p>
    <w:p w:rsidR="00E675F0" w:rsidRDefault="00E675F0" w:rsidP="00E675F0">
      <w:pPr>
        <w:spacing w:before="87"/>
        <w:ind w:left="33" w:right="17"/>
        <w:jc w:val="center"/>
        <w:rPr>
          <w:rFonts w:ascii="Arial"/>
          <w:b/>
          <w:sz w:val="26"/>
        </w:rPr>
      </w:pPr>
      <w:r>
        <w:rPr>
          <w:rFonts w:ascii="Arial"/>
          <w:b/>
          <w:color w:val="0F0F0F"/>
          <w:w w:val="105"/>
          <w:sz w:val="26"/>
        </w:rPr>
        <w:t>Alcohol-Related Disorders</w:t>
      </w:r>
    </w:p>
    <w:p w:rsidR="00E675F0" w:rsidRDefault="00E675F0" w:rsidP="00E675F0">
      <w:pPr>
        <w:pStyle w:val="BodyText"/>
        <w:spacing w:before="6"/>
        <w:rPr>
          <w:rFonts w:ascii="Arial"/>
          <w:b/>
          <w:sz w:val="24"/>
        </w:rPr>
      </w:pPr>
    </w:p>
    <w:p w:rsidR="00E675F0" w:rsidRDefault="00E675F0" w:rsidP="00E675F0">
      <w:pPr>
        <w:pStyle w:val="BodyText"/>
        <w:spacing w:line="256" w:lineRule="auto"/>
        <w:ind w:left="133" w:right="126" w:firstLine="6"/>
        <w:jc w:val="both"/>
      </w:pPr>
      <w:r>
        <w:rPr>
          <w:color w:val="0F0F0F"/>
          <w:w w:val="105"/>
        </w:rPr>
        <w:t>In most cultures, alcohol is the most frequently used brain depressant and a cause of considerable morbidity and mo rt</w:t>
      </w:r>
      <w:r>
        <w:rPr>
          <w:color w:val="282828"/>
          <w:w w:val="105"/>
        </w:rPr>
        <w:t>a</w:t>
      </w:r>
      <w:r>
        <w:rPr>
          <w:color w:val="0F0F0F"/>
          <w:w w:val="105"/>
        </w:rPr>
        <w:t>li ty. At some time in th</w:t>
      </w:r>
      <w:r>
        <w:rPr>
          <w:color w:val="282828"/>
          <w:w w:val="105"/>
        </w:rPr>
        <w:t>e</w:t>
      </w:r>
      <w:r>
        <w:rPr>
          <w:color w:val="0F0F0F"/>
          <w:w w:val="105"/>
        </w:rPr>
        <w:t>ir lives, as many as 90% of adults in the United States have h</w:t>
      </w:r>
      <w:r>
        <w:rPr>
          <w:color w:val="282828"/>
          <w:w w:val="105"/>
        </w:rPr>
        <w:t>a</w:t>
      </w:r>
      <w:r>
        <w:rPr>
          <w:color w:val="0F0F0F"/>
          <w:w w:val="105"/>
        </w:rPr>
        <w:t xml:space="preserve">d some experience with </w:t>
      </w:r>
      <w:r>
        <w:rPr>
          <w:color w:val="282828"/>
          <w:w w:val="105"/>
        </w:rPr>
        <w:t>a</w:t>
      </w:r>
      <w:r>
        <w:rPr>
          <w:color w:val="0F0F0F"/>
          <w:w w:val="105"/>
        </w:rPr>
        <w:t xml:space="preserve">lcoho </w:t>
      </w:r>
      <w:r>
        <w:rPr>
          <w:color w:val="0F0F0F"/>
          <w:spacing w:val="3"/>
          <w:w w:val="105"/>
        </w:rPr>
        <w:t>l</w:t>
      </w:r>
      <w:r>
        <w:rPr>
          <w:color w:val="282828"/>
          <w:spacing w:val="3"/>
          <w:w w:val="105"/>
        </w:rPr>
        <w:t xml:space="preserve">, </w:t>
      </w:r>
      <w:r>
        <w:rPr>
          <w:color w:val="0F0F0F"/>
          <w:w w:val="105"/>
        </w:rPr>
        <w:t>and a substantial number</w:t>
      </w:r>
      <w:r>
        <w:rPr>
          <w:color w:val="0F0F0F"/>
          <w:spacing w:val="-13"/>
          <w:w w:val="105"/>
        </w:rPr>
        <w:t xml:space="preserve"> </w:t>
      </w:r>
      <w:r>
        <w:rPr>
          <w:color w:val="0F0F0F"/>
          <w:w w:val="105"/>
        </w:rPr>
        <w:t>(60</w:t>
      </w:r>
      <w:r>
        <w:rPr>
          <w:color w:val="282828"/>
          <w:w w:val="105"/>
        </w:rPr>
        <w:t>%</w:t>
      </w:r>
      <w:r>
        <w:rPr>
          <w:color w:val="282828"/>
          <w:spacing w:val="-31"/>
          <w:w w:val="105"/>
        </w:rPr>
        <w:t xml:space="preserve"> </w:t>
      </w:r>
      <w:r>
        <w:rPr>
          <w:color w:val="0F0F0F"/>
          <w:w w:val="105"/>
        </w:rPr>
        <w:t>of</w:t>
      </w:r>
      <w:r>
        <w:rPr>
          <w:color w:val="0F0F0F"/>
          <w:spacing w:val="-6"/>
          <w:w w:val="105"/>
        </w:rPr>
        <w:t xml:space="preserve"> </w:t>
      </w:r>
      <w:r>
        <w:rPr>
          <w:color w:val="0F0F0F"/>
          <w:w w:val="105"/>
        </w:rPr>
        <w:t>males</w:t>
      </w:r>
      <w:r>
        <w:rPr>
          <w:color w:val="0F0F0F"/>
          <w:spacing w:val="-10"/>
          <w:w w:val="105"/>
        </w:rPr>
        <w:t xml:space="preserve"> </w:t>
      </w:r>
      <w:r>
        <w:rPr>
          <w:color w:val="0F0F0F"/>
          <w:w w:val="105"/>
        </w:rPr>
        <w:t>and</w:t>
      </w:r>
      <w:r>
        <w:rPr>
          <w:color w:val="0F0F0F"/>
          <w:spacing w:val="-15"/>
          <w:w w:val="105"/>
        </w:rPr>
        <w:t xml:space="preserve"> </w:t>
      </w:r>
      <w:r>
        <w:rPr>
          <w:color w:val="0F0F0F"/>
          <w:w w:val="105"/>
        </w:rPr>
        <w:t>30%</w:t>
      </w:r>
      <w:r>
        <w:rPr>
          <w:color w:val="0F0F0F"/>
          <w:spacing w:val="-23"/>
          <w:w w:val="105"/>
        </w:rPr>
        <w:t xml:space="preserve"> </w:t>
      </w:r>
      <w:r>
        <w:rPr>
          <w:color w:val="0F0F0F"/>
          <w:w w:val="105"/>
        </w:rPr>
        <w:t>of</w:t>
      </w:r>
      <w:r>
        <w:rPr>
          <w:color w:val="0F0F0F"/>
          <w:spacing w:val="-12"/>
          <w:w w:val="105"/>
        </w:rPr>
        <w:t xml:space="preserve"> </w:t>
      </w:r>
      <w:r>
        <w:rPr>
          <w:color w:val="0F0F0F"/>
          <w:w w:val="105"/>
        </w:rPr>
        <w:t>fe</w:t>
      </w:r>
      <w:r>
        <w:rPr>
          <w:color w:val="0F0F0F"/>
          <w:spacing w:val="-23"/>
          <w:w w:val="105"/>
        </w:rPr>
        <w:t xml:space="preserve"> </w:t>
      </w:r>
      <w:r>
        <w:rPr>
          <w:color w:val="0F0F0F"/>
          <w:spacing w:val="-4"/>
          <w:w w:val="105"/>
        </w:rPr>
        <w:t>males</w:t>
      </w:r>
      <w:r>
        <w:rPr>
          <w:color w:val="282828"/>
          <w:spacing w:val="-4"/>
          <w:w w:val="105"/>
        </w:rPr>
        <w:t>)</w:t>
      </w:r>
      <w:r>
        <w:rPr>
          <w:color w:val="282828"/>
          <w:w w:val="105"/>
        </w:rPr>
        <w:t xml:space="preserve"> </w:t>
      </w:r>
      <w:r>
        <w:rPr>
          <w:color w:val="0F0F0F"/>
          <w:w w:val="105"/>
        </w:rPr>
        <w:t>have</w:t>
      </w:r>
      <w:r>
        <w:rPr>
          <w:color w:val="0F0F0F"/>
          <w:spacing w:val="-6"/>
          <w:w w:val="105"/>
        </w:rPr>
        <w:t xml:space="preserve"> </w:t>
      </w:r>
      <w:r>
        <w:rPr>
          <w:color w:val="0F0F0F"/>
          <w:w w:val="105"/>
        </w:rPr>
        <w:t>had</w:t>
      </w:r>
      <w:r>
        <w:rPr>
          <w:color w:val="0F0F0F"/>
          <w:spacing w:val="-10"/>
          <w:w w:val="105"/>
        </w:rPr>
        <w:t xml:space="preserve"> </w:t>
      </w:r>
      <w:r>
        <w:rPr>
          <w:color w:val="0F0F0F"/>
          <w:w w:val="105"/>
        </w:rPr>
        <w:t>one</w:t>
      </w:r>
      <w:r>
        <w:rPr>
          <w:color w:val="0F0F0F"/>
          <w:spacing w:val="6"/>
          <w:w w:val="105"/>
        </w:rPr>
        <w:t xml:space="preserve"> </w:t>
      </w:r>
      <w:r>
        <w:rPr>
          <w:color w:val="0F0F0F"/>
          <w:w w:val="105"/>
        </w:rPr>
        <w:t>or</w:t>
      </w:r>
      <w:r>
        <w:rPr>
          <w:color w:val="0F0F0F"/>
          <w:spacing w:val="-12"/>
          <w:w w:val="105"/>
        </w:rPr>
        <w:t xml:space="preserve"> </w:t>
      </w:r>
      <w:r>
        <w:rPr>
          <w:color w:val="0F0F0F"/>
          <w:w w:val="105"/>
        </w:rPr>
        <w:t>more</w:t>
      </w:r>
      <w:r>
        <w:rPr>
          <w:color w:val="0F0F0F"/>
          <w:spacing w:val="-13"/>
          <w:w w:val="105"/>
        </w:rPr>
        <w:t xml:space="preserve"> </w:t>
      </w:r>
      <w:r>
        <w:rPr>
          <w:color w:val="0F0F0F"/>
          <w:w w:val="105"/>
        </w:rPr>
        <w:t>alcohol</w:t>
      </w:r>
      <w:r>
        <w:rPr>
          <w:color w:val="282828"/>
          <w:w w:val="105"/>
        </w:rPr>
        <w:t>-</w:t>
      </w:r>
      <w:r>
        <w:rPr>
          <w:color w:val="0F0F0F"/>
          <w:w w:val="105"/>
        </w:rPr>
        <w:t>related</w:t>
      </w:r>
      <w:r>
        <w:rPr>
          <w:color w:val="0F0F0F"/>
          <w:spacing w:val="-21"/>
          <w:w w:val="105"/>
        </w:rPr>
        <w:t xml:space="preserve"> </w:t>
      </w:r>
      <w:r>
        <w:rPr>
          <w:color w:val="0F0F0F"/>
          <w:w w:val="105"/>
        </w:rPr>
        <w:t>adverse life events (e</w:t>
      </w:r>
      <w:r>
        <w:rPr>
          <w:color w:val="282828"/>
          <w:w w:val="105"/>
        </w:rPr>
        <w:t>.</w:t>
      </w:r>
      <w:r>
        <w:rPr>
          <w:color w:val="0F0F0F"/>
          <w:w w:val="105"/>
        </w:rPr>
        <w:t>g.</w:t>
      </w:r>
      <w:r>
        <w:rPr>
          <w:color w:val="282828"/>
          <w:w w:val="105"/>
        </w:rPr>
        <w:t xml:space="preserve">, </w:t>
      </w:r>
      <w:r>
        <w:rPr>
          <w:color w:val="0F0F0F"/>
          <w:w w:val="105"/>
        </w:rPr>
        <w:t>driving after consuming too much alcoho l</w:t>
      </w:r>
      <w:r>
        <w:rPr>
          <w:color w:val="424242"/>
          <w:w w:val="105"/>
        </w:rPr>
        <w:t xml:space="preserve">, </w:t>
      </w:r>
      <w:r>
        <w:rPr>
          <w:color w:val="0F0F0F"/>
          <w:w w:val="105"/>
        </w:rPr>
        <w:t>mi</w:t>
      </w:r>
      <w:r>
        <w:rPr>
          <w:color w:val="282828"/>
          <w:w w:val="105"/>
        </w:rPr>
        <w:t>s</w:t>
      </w:r>
      <w:r>
        <w:rPr>
          <w:color w:val="0F0F0F"/>
          <w:w w:val="105"/>
        </w:rPr>
        <w:t xml:space="preserve">sing school or work due to </w:t>
      </w:r>
      <w:r>
        <w:rPr>
          <w:color w:val="282828"/>
          <w:w w:val="105"/>
        </w:rPr>
        <w:t xml:space="preserve">a </w:t>
      </w:r>
      <w:r>
        <w:rPr>
          <w:color w:val="0F0F0F"/>
          <w:spacing w:val="2"/>
          <w:w w:val="105"/>
        </w:rPr>
        <w:t>h</w:t>
      </w:r>
      <w:r>
        <w:rPr>
          <w:color w:val="282828"/>
          <w:spacing w:val="2"/>
          <w:w w:val="105"/>
        </w:rPr>
        <w:t>a</w:t>
      </w:r>
      <w:r>
        <w:rPr>
          <w:color w:val="0F0F0F"/>
          <w:spacing w:val="2"/>
          <w:w w:val="105"/>
        </w:rPr>
        <w:t>ngover</w:t>
      </w:r>
      <w:r>
        <w:rPr>
          <w:color w:val="282828"/>
          <w:spacing w:val="2"/>
          <w:w w:val="105"/>
        </w:rPr>
        <w:t xml:space="preserve">). </w:t>
      </w:r>
      <w:r>
        <w:rPr>
          <w:color w:val="0F0F0F"/>
          <w:w w:val="105"/>
        </w:rPr>
        <w:t xml:space="preserve">Fortunately </w:t>
      </w:r>
      <w:r>
        <w:rPr>
          <w:color w:val="282828"/>
          <w:w w:val="105"/>
        </w:rPr>
        <w:t xml:space="preserve">, </w:t>
      </w:r>
      <w:r>
        <w:rPr>
          <w:color w:val="0F0F0F"/>
          <w:w w:val="105"/>
        </w:rPr>
        <w:t>mo</w:t>
      </w:r>
      <w:r>
        <w:rPr>
          <w:color w:val="282828"/>
          <w:w w:val="105"/>
        </w:rPr>
        <w:t>s</w:t>
      </w:r>
      <w:r>
        <w:rPr>
          <w:color w:val="0F0F0F"/>
          <w:w w:val="105"/>
        </w:rPr>
        <w:t>t individuals learn from th</w:t>
      </w:r>
      <w:r>
        <w:rPr>
          <w:color w:val="282828"/>
          <w:w w:val="105"/>
        </w:rPr>
        <w:t>es</w:t>
      </w:r>
      <w:r>
        <w:rPr>
          <w:color w:val="0F0F0F"/>
          <w:w w:val="105"/>
        </w:rPr>
        <w:t xml:space="preserve">e experiences </w:t>
      </w:r>
      <w:r>
        <w:rPr>
          <w:rFonts w:ascii="Arial"/>
          <w:b/>
          <w:color w:val="0F0F0F"/>
          <w:w w:val="105"/>
          <w:sz w:val="15"/>
        </w:rPr>
        <w:t xml:space="preserve">to </w:t>
      </w:r>
      <w:r>
        <w:rPr>
          <w:color w:val="0F0F0F"/>
          <w:w w:val="105"/>
        </w:rPr>
        <w:t>moderat</w:t>
      </w:r>
      <w:r>
        <w:rPr>
          <w:color w:val="282828"/>
          <w:w w:val="105"/>
        </w:rPr>
        <w:t xml:space="preserve">e </w:t>
      </w:r>
      <w:r>
        <w:rPr>
          <w:color w:val="0F0F0F"/>
          <w:w w:val="105"/>
        </w:rPr>
        <w:t xml:space="preserve">their drinking and do not </w:t>
      </w:r>
      <w:r>
        <w:rPr>
          <w:color w:val="0F0F0F"/>
          <w:spacing w:val="2"/>
          <w:w w:val="105"/>
        </w:rPr>
        <w:t>d</w:t>
      </w:r>
      <w:r>
        <w:rPr>
          <w:color w:val="282828"/>
          <w:spacing w:val="2"/>
          <w:w w:val="105"/>
        </w:rPr>
        <w:t>e</w:t>
      </w:r>
      <w:r>
        <w:rPr>
          <w:color w:val="0F0F0F"/>
          <w:spacing w:val="2"/>
          <w:w w:val="105"/>
        </w:rPr>
        <w:t xml:space="preserve">velo </w:t>
      </w:r>
      <w:r>
        <w:rPr>
          <w:color w:val="0F0F0F"/>
          <w:w w:val="105"/>
        </w:rPr>
        <w:t>p Alcohol Depende nc</w:t>
      </w:r>
      <w:r>
        <w:rPr>
          <w:color w:val="282828"/>
          <w:w w:val="105"/>
        </w:rPr>
        <w:t xml:space="preserve">e </w:t>
      </w:r>
      <w:r>
        <w:rPr>
          <w:color w:val="0F0F0F"/>
          <w:w w:val="105"/>
        </w:rPr>
        <w:t>or</w:t>
      </w:r>
      <w:r>
        <w:rPr>
          <w:color w:val="0F0F0F"/>
          <w:spacing w:val="33"/>
          <w:w w:val="105"/>
        </w:rPr>
        <w:t xml:space="preserve"> </w:t>
      </w:r>
      <w:r>
        <w:rPr>
          <w:color w:val="0F0F0F"/>
          <w:w w:val="105"/>
        </w:rPr>
        <w:t xml:space="preserve">Abu </w:t>
      </w:r>
      <w:r>
        <w:rPr>
          <w:color w:val="282828"/>
          <w:spacing w:val="5"/>
          <w:w w:val="105"/>
        </w:rPr>
        <w:t>s</w:t>
      </w:r>
      <w:r>
        <w:rPr>
          <w:color w:val="0F0F0F"/>
          <w:spacing w:val="5"/>
          <w:w w:val="105"/>
        </w:rPr>
        <w:t>e</w:t>
      </w:r>
      <w:r>
        <w:rPr>
          <w:color w:val="424242"/>
          <w:spacing w:val="5"/>
          <w:w w:val="105"/>
        </w:rPr>
        <w:t>.</w:t>
      </w:r>
    </w:p>
    <w:p w:rsidR="00E675F0" w:rsidRDefault="00E675F0" w:rsidP="00E675F0">
      <w:pPr>
        <w:pStyle w:val="BodyText"/>
        <w:spacing w:line="254" w:lineRule="auto"/>
        <w:ind w:left="123" w:right="125" w:firstLine="365"/>
        <w:jc w:val="both"/>
      </w:pPr>
      <w:r>
        <w:rPr>
          <w:color w:val="0F0F0F"/>
          <w:w w:val="105"/>
        </w:rPr>
        <w:t>This section contains discu</w:t>
      </w:r>
      <w:r>
        <w:rPr>
          <w:color w:val="282828"/>
          <w:w w:val="105"/>
        </w:rPr>
        <w:t>ss</w:t>
      </w:r>
      <w:r>
        <w:rPr>
          <w:color w:val="0F0F0F"/>
          <w:w w:val="105"/>
        </w:rPr>
        <w:t>ions specific to the Alcohol-Related Disorders. Texts and crit</w:t>
      </w:r>
      <w:r>
        <w:rPr>
          <w:color w:val="282828"/>
          <w:w w:val="105"/>
        </w:rPr>
        <w:t xml:space="preserve">e </w:t>
      </w:r>
      <w:r>
        <w:rPr>
          <w:color w:val="0F0F0F"/>
          <w:w w:val="105"/>
        </w:rPr>
        <w:t xml:space="preserve">ria sets have already </w:t>
      </w:r>
      <w:r>
        <w:rPr>
          <w:color w:val="0F0F0F"/>
          <w:spacing w:val="4"/>
          <w:w w:val="105"/>
        </w:rPr>
        <w:t>be</w:t>
      </w:r>
      <w:r>
        <w:rPr>
          <w:color w:val="282828"/>
          <w:spacing w:val="4"/>
          <w:w w:val="105"/>
        </w:rPr>
        <w:t>e</w:t>
      </w:r>
      <w:r>
        <w:rPr>
          <w:color w:val="0F0F0F"/>
          <w:spacing w:val="4"/>
          <w:w w:val="105"/>
        </w:rPr>
        <w:t xml:space="preserve">n </w:t>
      </w:r>
      <w:r>
        <w:rPr>
          <w:color w:val="0F0F0F"/>
          <w:w w:val="105"/>
        </w:rPr>
        <w:t xml:space="preserve">provided earlier for the generic aspects of Substance Dependence (p. 176) and Substance Abuse (p. 182) that apply across all substances. Texts specific to Alcohol Dependen </w:t>
      </w:r>
      <w:r>
        <w:rPr>
          <w:color w:val="282828"/>
          <w:w w:val="105"/>
        </w:rPr>
        <w:t>c</w:t>
      </w:r>
      <w:r>
        <w:rPr>
          <w:color w:val="0F0F0F"/>
          <w:w w:val="105"/>
        </w:rPr>
        <w:t>e and Abuse are provided below; however, there are</w:t>
      </w:r>
      <w:r>
        <w:rPr>
          <w:color w:val="0F0F0F"/>
          <w:spacing w:val="-17"/>
          <w:w w:val="105"/>
        </w:rPr>
        <w:t xml:space="preserve"> </w:t>
      </w:r>
      <w:r>
        <w:rPr>
          <w:color w:val="0F0F0F"/>
          <w:w w:val="105"/>
        </w:rPr>
        <w:t>no</w:t>
      </w:r>
      <w:r>
        <w:rPr>
          <w:color w:val="0F0F0F"/>
          <w:spacing w:val="-15"/>
          <w:w w:val="105"/>
        </w:rPr>
        <w:t xml:space="preserve"> </w:t>
      </w:r>
      <w:r>
        <w:rPr>
          <w:color w:val="0F0F0F"/>
          <w:w w:val="105"/>
        </w:rPr>
        <w:t>additional</w:t>
      </w:r>
      <w:r>
        <w:rPr>
          <w:color w:val="0F0F0F"/>
          <w:spacing w:val="-9"/>
          <w:w w:val="105"/>
        </w:rPr>
        <w:t xml:space="preserve"> </w:t>
      </w:r>
      <w:r>
        <w:rPr>
          <w:color w:val="0F0F0F"/>
          <w:w w:val="105"/>
        </w:rPr>
        <w:t>specific</w:t>
      </w:r>
      <w:r>
        <w:rPr>
          <w:color w:val="0F0F0F"/>
          <w:spacing w:val="-15"/>
          <w:w w:val="105"/>
        </w:rPr>
        <w:t xml:space="preserve"> </w:t>
      </w:r>
      <w:r>
        <w:rPr>
          <w:color w:val="0F0F0F"/>
          <w:w w:val="105"/>
        </w:rPr>
        <w:t>criteria</w:t>
      </w:r>
      <w:r>
        <w:rPr>
          <w:color w:val="0F0F0F"/>
          <w:spacing w:val="-8"/>
          <w:w w:val="105"/>
        </w:rPr>
        <w:t xml:space="preserve"> </w:t>
      </w:r>
      <w:r>
        <w:rPr>
          <w:color w:val="0F0F0F"/>
          <w:w w:val="105"/>
        </w:rPr>
        <w:t>set</w:t>
      </w:r>
      <w:r>
        <w:rPr>
          <w:color w:val="282828"/>
          <w:w w:val="105"/>
        </w:rPr>
        <w:t>s</w:t>
      </w:r>
      <w:r>
        <w:rPr>
          <w:color w:val="282828"/>
          <w:spacing w:val="-17"/>
          <w:w w:val="105"/>
        </w:rPr>
        <w:t xml:space="preserve"> </w:t>
      </w:r>
      <w:r>
        <w:rPr>
          <w:color w:val="0F0F0F"/>
          <w:w w:val="105"/>
        </w:rPr>
        <w:t>for</w:t>
      </w:r>
      <w:r>
        <w:rPr>
          <w:color w:val="0F0F0F"/>
          <w:spacing w:val="-20"/>
          <w:w w:val="105"/>
        </w:rPr>
        <w:t xml:space="preserve"> </w:t>
      </w:r>
      <w:r>
        <w:rPr>
          <w:color w:val="0F0F0F"/>
          <w:w w:val="105"/>
        </w:rPr>
        <w:t>Alcohol</w:t>
      </w:r>
      <w:r>
        <w:rPr>
          <w:color w:val="0F0F0F"/>
          <w:spacing w:val="-7"/>
          <w:w w:val="105"/>
        </w:rPr>
        <w:t xml:space="preserve"> </w:t>
      </w:r>
      <w:r>
        <w:rPr>
          <w:color w:val="0F0F0F"/>
          <w:w w:val="105"/>
        </w:rPr>
        <w:t>Dependence</w:t>
      </w:r>
      <w:r>
        <w:rPr>
          <w:color w:val="0F0F0F"/>
          <w:spacing w:val="-6"/>
          <w:w w:val="105"/>
        </w:rPr>
        <w:t xml:space="preserve"> </w:t>
      </w:r>
      <w:r>
        <w:rPr>
          <w:color w:val="0F0F0F"/>
          <w:w w:val="105"/>
        </w:rPr>
        <w:t>or</w:t>
      </w:r>
      <w:r>
        <w:rPr>
          <w:color w:val="0F0F0F"/>
          <w:spacing w:val="-21"/>
          <w:w w:val="105"/>
        </w:rPr>
        <w:t xml:space="preserve"> </w:t>
      </w:r>
      <w:r>
        <w:rPr>
          <w:color w:val="0F0F0F"/>
          <w:w w:val="105"/>
        </w:rPr>
        <w:t>Alcohol</w:t>
      </w:r>
      <w:r>
        <w:rPr>
          <w:color w:val="0F0F0F"/>
          <w:spacing w:val="-14"/>
          <w:w w:val="105"/>
        </w:rPr>
        <w:t xml:space="preserve"> </w:t>
      </w:r>
      <w:r>
        <w:rPr>
          <w:color w:val="0F0F0F"/>
          <w:w w:val="105"/>
        </w:rPr>
        <w:t>Abuse.</w:t>
      </w:r>
      <w:r>
        <w:rPr>
          <w:color w:val="0F0F0F"/>
          <w:spacing w:val="-18"/>
          <w:w w:val="105"/>
        </w:rPr>
        <w:t xml:space="preserve"> </w:t>
      </w:r>
      <w:r>
        <w:rPr>
          <w:color w:val="0F0F0F"/>
          <w:w w:val="105"/>
        </w:rPr>
        <w:t>Specific texts</w:t>
      </w:r>
      <w:r>
        <w:rPr>
          <w:color w:val="0F0F0F"/>
          <w:spacing w:val="-16"/>
          <w:w w:val="105"/>
        </w:rPr>
        <w:t xml:space="preserve"> </w:t>
      </w:r>
      <w:r>
        <w:rPr>
          <w:color w:val="0F0F0F"/>
          <w:w w:val="105"/>
        </w:rPr>
        <w:t>and</w:t>
      </w:r>
      <w:r>
        <w:rPr>
          <w:color w:val="0F0F0F"/>
          <w:spacing w:val="-8"/>
          <w:w w:val="105"/>
        </w:rPr>
        <w:t xml:space="preserve"> </w:t>
      </w:r>
      <w:r>
        <w:rPr>
          <w:color w:val="0F0F0F"/>
          <w:w w:val="105"/>
        </w:rPr>
        <w:t>criteria</w:t>
      </w:r>
      <w:r>
        <w:rPr>
          <w:color w:val="0F0F0F"/>
          <w:spacing w:val="-4"/>
          <w:w w:val="105"/>
        </w:rPr>
        <w:t xml:space="preserve"> </w:t>
      </w:r>
      <w:r>
        <w:rPr>
          <w:color w:val="0F0F0F"/>
          <w:w w:val="105"/>
        </w:rPr>
        <w:t>sets</w:t>
      </w:r>
      <w:r>
        <w:rPr>
          <w:color w:val="0F0F0F"/>
          <w:spacing w:val="-18"/>
          <w:w w:val="105"/>
        </w:rPr>
        <w:t xml:space="preserve"> </w:t>
      </w:r>
      <w:r>
        <w:rPr>
          <w:color w:val="0F0F0F"/>
          <w:w w:val="105"/>
        </w:rPr>
        <w:t>for</w:t>
      </w:r>
      <w:r>
        <w:rPr>
          <w:color w:val="0F0F0F"/>
          <w:spacing w:val="-18"/>
          <w:w w:val="105"/>
        </w:rPr>
        <w:t xml:space="preserve"> </w:t>
      </w:r>
      <w:r>
        <w:rPr>
          <w:color w:val="0F0F0F"/>
          <w:w w:val="105"/>
        </w:rPr>
        <w:t>Alcohol</w:t>
      </w:r>
      <w:r>
        <w:rPr>
          <w:color w:val="0F0F0F"/>
          <w:spacing w:val="-3"/>
          <w:w w:val="105"/>
        </w:rPr>
        <w:t xml:space="preserve"> </w:t>
      </w:r>
      <w:r>
        <w:rPr>
          <w:color w:val="0F0F0F"/>
          <w:w w:val="105"/>
        </w:rPr>
        <w:t>Into</w:t>
      </w:r>
      <w:r>
        <w:rPr>
          <w:color w:val="0F0F0F"/>
          <w:spacing w:val="-12"/>
          <w:w w:val="105"/>
        </w:rPr>
        <w:t xml:space="preserve"> </w:t>
      </w:r>
      <w:r>
        <w:rPr>
          <w:color w:val="0F0F0F"/>
          <w:w w:val="105"/>
        </w:rPr>
        <w:t>xic</w:t>
      </w:r>
      <w:r>
        <w:rPr>
          <w:color w:val="282828"/>
          <w:w w:val="105"/>
        </w:rPr>
        <w:t>a</w:t>
      </w:r>
      <w:r>
        <w:rPr>
          <w:color w:val="0F0F0F"/>
          <w:w w:val="105"/>
        </w:rPr>
        <w:t>tion</w:t>
      </w:r>
      <w:r>
        <w:rPr>
          <w:color w:val="0F0F0F"/>
          <w:spacing w:val="12"/>
          <w:w w:val="105"/>
        </w:rPr>
        <w:t xml:space="preserve"> </w:t>
      </w:r>
      <w:r>
        <w:rPr>
          <w:color w:val="0F0F0F"/>
          <w:w w:val="105"/>
        </w:rPr>
        <w:t>and</w:t>
      </w:r>
      <w:r>
        <w:rPr>
          <w:color w:val="0F0F0F"/>
          <w:spacing w:val="-13"/>
          <w:w w:val="105"/>
        </w:rPr>
        <w:t xml:space="preserve"> </w:t>
      </w:r>
      <w:r>
        <w:rPr>
          <w:color w:val="0F0F0F"/>
          <w:w w:val="105"/>
        </w:rPr>
        <w:t>Alcohol</w:t>
      </w:r>
      <w:r>
        <w:rPr>
          <w:color w:val="0F0F0F"/>
          <w:spacing w:val="-4"/>
          <w:w w:val="105"/>
        </w:rPr>
        <w:t xml:space="preserve"> </w:t>
      </w:r>
      <w:r>
        <w:rPr>
          <w:color w:val="0F0F0F"/>
          <w:w w:val="105"/>
        </w:rPr>
        <w:t>Withdrawal</w:t>
      </w:r>
      <w:r>
        <w:rPr>
          <w:color w:val="0F0F0F"/>
          <w:spacing w:val="1"/>
          <w:w w:val="105"/>
        </w:rPr>
        <w:t xml:space="preserve"> </w:t>
      </w:r>
      <w:r>
        <w:rPr>
          <w:color w:val="0F0F0F"/>
          <w:w w:val="105"/>
        </w:rPr>
        <w:t>are</w:t>
      </w:r>
      <w:r>
        <w:rPr>
          <w:color w:val="0F0F0F"/>
          <w:spacing w:val="-17"/>
          <w:w w:val="105"/>
        </w:rPr>
        <w:t xml:space="preserve"> </w:t>
      </w:r>
      <w:r>
        <w:rPr>
          <w:color w:val="0F0F0F"/>
          <w:w w:val="105"/>
        </w:rPr>
        <w:t>also</w:t>
      </w:r>
      <w:r>
        <w:rPr>
          <w:color w:val="0F0F0F"/>
          <w:spacing w:val="-11"/>
          <w:w w:val="105"/>
        </w:rPr>
        <w:t xml:space="preserve"> </w:t>
      </w:r>
      <w:r>
        <w:rPr>
          <w:color w:val="0F0F0F"/>
          <w:w w:val="105"/>
        </w:rPr>
        <w:t xml:space="preserve">provided </w:t>
      </w:r>
      <w:r>
        <w:rPr>
          <w:color w:val="0F0F0F"/>
          <w:spacing w:val="3"/>
          <w:w w:val="105"/>
        </w:rPr>
        <w:t>below</w:t>
      </w:r>
      <w:r>
        <w:rPr>
          <w:color w:val="424242"/>
          <w:spacing w:val="3"/>
          <w:w w:val="105"/>
        </w:rPr>
        <w:t>.</w:t>
      </w:r>
      <w:r>
        <w:rPr>
          <w:color w:val="424242"/>
          <w:spacing w:val="-24"/>
          <w:w w:val="105"/>
        </w:rPr>
        <w:t xml:space="preserve"> </w:t>
      </w:r>
      <w:r>
        <w:rPr>
          <w:color w:val="0F0F0F"/>
          <w:w w:val="105"/>
        </w:rPr>
        <w:t>The</w:t>
      </w:r>
      <w:r>
        <w:rPr>
          <w:color w:val="0F0F0F"/>
          <w:spacing w:val="-22"/>
          <w:w w:val="105"/>
        </w:rPr>
        <w:t xml:space="preserve"> </w:t>
      </w:r>
      <w:r>
        <w:rPr>
          <w:color w:val="0F0F0F"/>
          <w:w w:val="105"/>
        </w:rPr>
        <w:t>Alcohol-Induced</w:t>
      </w:r>
      <w:r>
        <w:rPr>
          <w:color w:val="0F0F0F"/>
          <w:spacing w:val="-10"/>
          <w:w w:val="105"/>
        </w:rPr>
        <w:t xml:space="preserve"> </w:t>
      </w:r>
      <w:r>
        <w:rPr>
          <w:color w:val="0F0F0F"/>
          <w:w w:val="105"/>
        </w:rPr>
        <w:t>Disorders</w:t>
      </w:r>
      <w:r>
        <w:rPr>
          <w:color w:val="0F0F0F"/>
          <w:spacing w:val="-14"/>
          <w:w w:val="105"/>
        </w:rPr>
        <w:t xml:space="preserve"> </w:t>
      </w:r>
      <w:r>
        <w:rPr>
          <w:color w:val="0F0F0F"/>
          <w:w w:val="105"/>
        </w:rPr>
        <w:t>(other</w:t>
      </w:r>
      <w:r>
        <w:rPr>
          <w:color w:val="0F0F0F"/>
          <w:spacing w:val="-7"/>
          <w:w w:val="105"/>
        </w:rPr>
        <w:t xml:space="preserve"> </w:t>
      </w:r>
      <w:r>
        <w:rPr>
          <w:color w:val="0F0F0F"/>
          <w:w w:val="105"/>
        </w:rPr>
        <w:t>than</w:t>
      </w:r>
      <w:r>
        <w:rPr>
          <w:color w:val="0F0F0F"/>
          <w:spacing w:val="-11"/>
          <w:w w:val="105"/>
        </w:rPr>
        <w:t xml:space="preserve"> </w:t>
      </w:r>
      <w:r>
        <w:rPr>
          <w:color w:val="0F0F0F"/>
          <w:w w:val="105"/>
        </w:rPr>
        <w:t>Alcohol</w:t>
      </w:r>
      <w:r>
        <w:rPr>
          <w:color w:val="0F0F0F"/>
          <w:spacing w:val="-9"/>
          <w:w w:val="105"/>
        </w:rPr>
        <w:t xml:space="preserve"> </w:t>
      </w:r>
      <w:r>
        <w:rPr>
          <w:color w:val="0F0F0F"/>
          <w:w w:val="105"/>
        </w:rPr>
        <w:t>Intoxication</w:t>
      </w:r>
      <w:r>
        <w:rPr>
          <w:color w:val="0F0F0F"/>
          <w:spacing w:val="-6"/>
          <w:w w:val="105"/>
        </w:rPr>
        <w:t xml:space="preserve"> </w:t>
      </w:r>
      <w:r>
        <w:rPr>
          <w:color w:val="0F0F0F"/>
          <w:w w:val="105"/>
        </w:rPr>
        <w:t>and</w:t>
      </w:r>
      <w:r>
        <w:rPr>
          <w:color w:val="0F0F0F"/>
          <w:spacing w:val="-9"/>
          <w:w w:val="105"/>
        </w:rPr>
        <w:t xml:space="preserve"> </w:t>
      </w:r>
      <w:r>
        <w:rPr>
          <w:color w:val="0F0F0F"/>
          <w:w w:val="105"/>
        </w:rPr>
        <w:t>Withdrawal)</w:t>
      </w:r>
    </w:p>
    <w:p w:rsidR="00E675F0" w:rsidRDefault="00E675F0" w:rsidP="00E675F0">
      <w:pPr>
        <w:spacing w:line="254" w:lineRule="auto"/>
        <w:jc w:val="both"/>
        <w:sectPr w:rsidR="00E675F0">
          <w:pgSz w:w="8960" w:h="14260"/>
          <w:pgMar w:top="1400" w:right="580" w:bottom="280" w:left="640" w:header="693" w:footer="0" w:gutter="0"/>
          <w:cols w:space="720"/>
        </w:sectPr>
      </w:pPr>
    </w:p>
    <w:p w:rsidR="00E675F0" w:rsidRDefault="00E675F0" w:rsidP="00E675F0">
      <w:pPr>
        <w:pStyle w:val="BodyText"/>
        <w:spacing w:before="119" w:line="252" w:lineRule="auto"/>
        <w:ind w:left="137" w:right="116" w:hanging="4"/>
        <w:jc w:val="both"/>
      </w:pPr>
      <w:bookmarkStart w:id="124" w:name="_bookmark105"/>
      <w:bookmarkEnd w:id="124"/>
      <w:r>
        <w:rPr>
          <w:w w:val="105"/>
        </w:rPr>
        <w:lastRenderedPageBreak/>
        <w:t>are described in the sections of the manual with disorders with which they share phenomenology (e.g., Alcohol-Induced Mood Disorder is included in the "Mood Disorders"</w:t>
      </w:r>
      <w:r>
        <w:rPr>
          <w:spacing w:val="-9"/>
          <w:w w:val="105"/>
        </w:rPr>
        <w:t xml:space="preserve"> </w:t>
      </w:r>
      <w:r>
        <w:rPr>
          <w:w w:val="105"/>
        </w:rPr>
        <w:t>section).</w:t>
      </w:r>
      <w:r>
        <w:rPr>
          <w:spacing w:val="-5"/>
          <w:w w:val="105"/>
        </w:rPr>
        <w:t xml:space="preserve"> </w:t>
      </w:r>
      <w:r>
        <w:rPr>
          <w:w w:val="105"/>
        </w:rPr>
        <w:t>Listed</w:t>
      </w:r>
      <w:r>
        <w:rPr>
          <w:spacing w:val="-5"/>
          <w:w w:val="105"/>
        </w:rPr>
        <w:t xml:space="preserve"> </w:t>
      </w:r>
      <w:r>
        <w:rPr>
          <w:w w:val="105"/>
        </w:rPr>
        <w:t>below</w:t>
      </w:r>
      <w:r>
        <w:rPr>
          <w:spacing w:val="-12"/>
          <w:w w:val="105"/>
        </w:rPr>
        <w:t xml:space="preserve"> </w:t>
      </w:r>
      <w:r>
        <w:rPr>
          <w:w w:val="105"/>
        </w:rPr>
        <w:t>are</w:t>
      </w:r>
      <w:r>
        <w:rPr>
          <w:spacing w:val="-13"/>
          <w:w w:val="105"/>
        </w:rPr>
        <w:t xml:space="preserve"> </w:t>
      </w:r>
      <w:r>
        <w:rPr>
          <w:w w:val="105"/>
        </w:rPr>
        <w:t>the</w:t>
      </w:r>
      <w:r>
        <w:rPr>
          <w:spacing w:val="-23"/>
          <w:w w:val="105"/>
        </w:rPr>
        <w:t xml:space="preserve"> </w:t>
      </w:r>
      <w:r>
        <w:rPr>
          <w:w w:val="105"/>
        </w:rPr>
        <w:t>Alcohol</w:t>
      </w:r>
      <w:r>
        <w:rPr>
          <w:spacing w:val="-5"/>
          <w:w w:val="105"/>
        </w:rPr>
        <w:t xml:space="preserve"> </w:t>
      </w:r>
      <w:r>
        <w:rPr>
          <w:w w:val="105"/>
        </w:rPr>
        <w:t>Use</w:t>
      </w:r>
      <w:r>
        <w:rPr>
          <w:spacing w:val="-14"/>
          <w:w w:val="105"/>
        </w:rPr>
        <w:t xml:space="preserve"> </w:t>
      </w:r>
      <w:r>
        <w:rPr>
          <w:w w:val="105"/>
        </w:rPr>
        <w:t>Disorders</w:t>
      </w:r>
      <w:r>
        <w:rPr>
          <w:spacing w:val="-6"/>
          <w:w w:val="105"/>
        </w:rPr>
        <w:t xml:space="preserve"> </w:t>
      </w:r>
      <w:r>
        <w:rPr>
          <w:w w:val="105"/>
        </w:rPr>
        <w:t>and</w:t>
      </w:r>
      <w:r>
        <w:rPr>
          <w:spacing w:val="-14"/>
          <w:w w:val="105"/>
        </w:rPr>
        <w:t xml:space="preserve"> </w:t>
      </w:r>
      <w:r>
        <w:rPr>
          <w:w w:val="105"/>
        </w:rPr>
        <w:t>the</w:t>
      </w:r>
      <w:r>
        <w:rPr>
          <w:spacing w:val="-18"/>
          <w:w w:val="105"/>
        </w:rPr>
        <w:t xml:space="preserve"> </w:t>
      </w:r>
      <w:r>
        <w:rPr>
          <w:w w:val="105"/>
        </w:rPr>
        <w:t>Alcohol-Induced Disorders.</w:t>
      </w:r>
    </w:p>
    <w:p w:rsidR="00E675F0" w:rsidRDefault="00E675F0" w:rsidP="00E675F0">
      <w:pPr>
        <w:pStyle w:val="BodyText"/>
        <w:rPr>
          <w:sz w:val="22"/>
        </w:rPr>
      </w:pPr>
    </w:p>
    <w:p w:rsidR="00E675F0" w:rsidRDefault="00E675F0" w:rsidP="00E675F0">
      <w:pPr>
        <w:spacing w:before="128"/>
        <w:ind w:left="116"/>
        <w:jc w:val="both"/>
        <w:rPr>
          <w:rFonts w:ascii="TimesNewRomanPS-BoldItalicMT"/>
          <w:b/>
          <w:i/>
          <w:sz w:val="24"/>
        </w:rPr>
      </w:pPr>
      <w:r>
        <w:rPr>
          <w:rFonts w:ascii="TimesNewRomanPS-BoldItalicMT"/>
          <w:b/>
          <w:i/>
          <w:w w:val="115"/>
          <w:sz w:val="24"/>
        </w:rPr>
        <w:t>Alcohol Use Disorders</w:t>
      </w:r>
    </w:p>
    <w:p w:rsidR="00E675F0" w:rsidRDefault="00E675F0" w:rsidP="00E675F0">
      <w:pPr>
        <w:tabs>
          <w:tab w:val="left" w:pos="976"/>
        </w:tabs>
        <w:spacing w:before="131"/>
        <w:ind w:left="147"/>
        <w:rPr>
          <w:sz w:val="20"/>
        </w:rPr>
      </w:pPr>
      <w:r>
        <w:rPr>
          <w:b/>
          <w:w w:val="110"/>
          <w:sz w:val="20"/>
        </w:rPr>
        <w:t>303.90</w:t>
      </w:r>
      <w:r>
        <w:rPr>
          <w:b/>
          <w:w w:val="110"/>
          <w:sz w:val="20"/>
        </w:rPr>
        <w:tab/>
        <w:t xml:space="preserve">Alcohol Dependence </w:t>
      </w:r>
      <w:r>
        <w:rPr>
          <w:w w:val="110"/>
          <w:sz w:val="20"/>
        </w:rPr>
        <w:t>(see p.</w:t>
      </w:r>
      <w:r>
        <w:rPr>
          <w:spacing w:val="-25"/>
          <w:w w:val="110"/>
          <w:sz w:val="20"/>
        </w:rPr>
        <w:t xml:space="preserve"> </w:t>
      </w:r>
      <w:r>
        <w:rPr>
          <w:w w:val="110"/>
          <w:sz w:val="20"/>
        </w:rPr>
        <w:t>195)</w:t>
      </w:r>
    </w:p>
    <w:p w:rsidR="00E675F0" w:rsidRDefault="00E675F0" w:rsidP="00E675F0">
      <w:pPr>
        <w:tabs>
          <w:tab w:val="left" w:pos="976"/>
        </w:tabs>
        <w:spacing w:before="11"/>
        <w:ind w:left="147"/>
        <w:rPr>
          <w:sz w:val="20"/>
        </w:rPr>
      </w:pPr>
      <w:r>
        <w:rPr>
          <w:b/>
          <w:w w:val="110"/>
          <w:sz w:val="20"/>
        </w:rPr>
        <w:t>305.00</w:t>
      </w:r>
      <w:r>
        <w:rPr>
          <w:b/>
          <w:w w:val="110"/>
          <w:sz w:val="20"/>
        </w:rPr>
        <w:tab/>
        <w:t xml:space="preserve">Alcohol Abuse </w:t>
      </w:r>
      <w:r>
        <w:rPr>
          <w:w w:val="110"/>
          <w:sz w:val="20"/>
        </w:rPr>
        <w:t>(see p.</w:t>
      </w:r>
      <w:r>
        <w:rPr>
          <w:spacing w:val="17"/>
          <w:w w:val="110"/>
          <w:sz w:val="20"/>
        </w:rPr>
        <w:t xml:space="preserve"> </w:t>
      </w:r>
      <w:r>
        <w:rPr>
          <w:w w:val="110"/>
          <w:sz w:val="20"/>
        </w:rPr>
        <w:t>196)</w:t>
      </w:r>
    </w:p>
    <w:p w:rsidR="00E675F0" w:rsidRDefault="00E675F0" w:rsidP="00E675F0">
      <w:pPr>
        <w:pStyle w:val="BodyText"/>
        <w:rPr>
          <w:sz w:val="22"/>
        </w:rPr>
      </w:pPr>
    </w:p>
    <w:p w:rsidR="00E675F0" w:rsidRDefault="00E675F0" w:rsidP="00E675F0">
      <w:pPr>
        <w:spacing w:before="133"/>
        <w:ind w:left="121"/>
        <w:jc w:val="both"/>
        <w:rPr>
          <w:rFonts w:ascii="TimesNewRomanPS-BoldItalicMT"/>
          <w:b/>
          <w:i/>
          <w:sz w:val="24"/>
        </w:rPr>
      </w:pPr>
      <w:r>
        <w:rPr>
          <w:rFonts w:ascii="TimesNewRomanPS-BoldItalicMT"/>
          <w:b/>
          <w:i/>
          <w:w w:val="115"/>
          <w:sz w:val="24"/>
        </w:rPr>
        <w:t>Alcohol-Induced Disorders</w:t>
      </w:r>
    </w:p>
    <w:p w:rsidR="00E675F0" w:rsidRDefault="00E675F0" w:rsidP="00E675F0">
      <w:pPr>
        <w:jc w:val="both"/>
        <w:rPr>
          <w:rFonts w:ascii="TimesNewRomanPS-BoldItalicMT"/>
          <w:sz w:val="24"/>
        </w:rPr>
        <w:sectPr w:rsidR="00E675F0">
          <w:headerReference w:type="even" r:id="rId173"/>
          <w:headerReference w:type="default" r:id="rId174"/>
          <w:pgSz w:w="8960" w:h="14260"/>
          <w:pgMar w:top="1400" w:right="600" w:bottom="280" w:left="620" w:header="684" w:footer="0" w:gutter="0"/>
          <w:pgNumType w:start="195"/>
          <w:cols w:space="720"/>
        </w:sectPr>
      </w:pPr>
    </w:p>
    <w:p w:rsidR="00E675F0" w:rsidRDefault="00E675F0" w:rsidP="00E675F0">
      <w:pPr>
        <w:spacing w:before="141"/>
        <w:ind w:left="147"/>
        <w:rPr>
          <w:b/>
          <w:sz w:val="20"/>
        </w:rPr>
      </w:pPr>
      <w:r>
        <w:rPr>
          <w:b/>
          <w:w w:val="110"/>
          <w:sz w:val="20"/>
        </w:rPr>
        <w:t>303.00</w:t>
      </w:r>
    </w:p>
    <w:p w:rsidR="00E675F0" w:rsidRDefault="00E675F0" w:rsidP="00E675F0">
      <w:pPr>
        <w:spacing w:before="11"/>
        <w:ind w:left="150"/>
        <w:rPr>
          <w:b/>
          <w:sz w:val="20"/>
        </w:rPr>
      </w:pPr>
      <w:r>
        <w:rPr>
          <w:b/>
          <w:w w:val="110"/>
          <w:sz w:val="20"/>
        </w:rPr>
        <w:t>291.8</w:t>
      </w:r>
    </w:p>
    <w:p w:rsidR="00E675F0" w:rsidRDefault="00E675F0" w:rsidP="00E675F0">
      <w:pPr>
        <w:spacing w:before="19"/>
        <w:ind w:left="145"/>
        <w:rPr>
          <w:b/>
          <w:sz w:val="20"/>
        </w:rPr>
      </w:pPr>
      <w:r>
        <w:rPr>
          <w:b/>
          <w:w w:val="110"/>
          <w:sz w:val="20"/>
        </w:rPr>
        <w:t>291.0</w:t>
      </w:r>
    </w:p>
    <w:p w:rsidR="00E675F0" w:rsidRDefault="00E675F0" w:rsidP="00E675F0">
      <w:pPr>
        <w:spacing w:before="16"/>
        <w:ind w:left="150"/>
        <w:rPr>
          <w:b/>
          <w:sz w:val="20"/>
        </w:rPr>
      </w:pPr>
      <w:r>
        <w:rPr>
          <w:b/>
          <w:w w:val="110"/>
          <w:sz w:val="20"/>
        </w:rPr>
        <w:t>291.0</w:t>
      </w:r>
    </w:p>
    <w:p w:rsidR="00E675F0" w:rsidRDefault="00E675F0" w:rsidP="00E675F0">
      <w:pPr>
        <w:spacing w:before="10"/>
        <w:ind w:left="150"/>
        <w:rPr>
          <w:b/>
          <w:sz w:val="20"/>
        </w:rPr>
      </w:pPr>
      <w:r>
        <w:rPr>
          <w:b/>
          <w:w w:val="110"/>
          <w:sz w:val="20"/>
        </w:rPr>
        <w:t>291.2</w:t>
      </w:r>
    </w:p>
    <w:p w:rsidR="00E675F0" w:rsidRDefault="00E675F0" w:rsidP="00E675F0">
      <w:pPr>
        <w:spacing w:before="15"/>
        <w:ind w:left="150"/>
        <w:rPr>
          <w:b/>
          <w:sz w:val="20"/>
        </w:rPr>
      </w:pPr>
      <w:r>
        <w:rPr>
          <w:b/>
          <w:w w:val="110"/>
          <w:sz w:val="20"/>
        </w:rPr>
        <w:t>291.1</w:t>
      </w:r>
    </w:p>
    <w:p w:rsidR="00E675F0" w:rsidRDefault="00E675F0" w:rsidP="00E675F0">
      <w:pPr>
        <w:spacing w:before="20"/>
        <w:ind w:left="150"/>
        <w:rPr>
          <w:b/>
          <w:sz w:val="20"/>
        </w:rPr>
      </w:pPr>
      <w:r>
        <w:rPr>
          <w:b/>
          <w:w w:val="110"/>
          <w:sz w:val="20"/>
        </w:rPr>
        <w:t>291.5</w:t>
      </w:r>
    </w:p>
    <w:p w:rsidR="00E675F0" w:rsidRDefault="00E675F0" w:rsidP="00E675F0">
      <w:pPr>
        <w:pStyle w:val="BodyText"/>
        <w:spacing w:before="2"/>
        <w:rPr>
          <w:b/>
          <w:sz w:val="22"/>
        </w:rPr>
      </w:pPr>
    </w:p>
    <w:p w:rsidR="00E675F0" w:rsidRDefault="00E675F0" w:rsidP="00E675F0">
      <w:pPr>
        <w:spacing w:before="1"/>
        <w:ind w:left="150"/>
        <w:rPr>
          <w:b/>
          <w:sz w:val="20"/>
        </w:rPr>
      </w:pPr>
      <w:r>
        <w:rPr>
          <w:b/>
          <w:w w:val="110"/>
          <w:sz w:val="20"/>
        </w:rPr>
        <w:t>291.3</w:t>
      </w:r>
    </w:p>
    <w:p w:rsidR="00E675F0" w:rsidRDefault="00E675F0" w:rsidP="00E675F0">
      <w:pPr>
        <w:pStyle w:val="BodyText"/>
        <w:spacing w:before="9"/>
        <w:rPr>
          <w:b/>
          <w:sz w:val="21"/>
        </w:rPr>
      </w:pPr>
    </w:p>
    <w:p w:rsidR="00E675F0" w:rsidRDefault="00E675F0" w:rsidP="00E675F0">
      <w:pPr>
        <w:ind w:left="150"/>
        <w:rPr>
          <w:b/>
          <w:sz w:val="20"/>
        </w:rPr>
      </w:pPr>
      <w:r>
        <w:rPr>
          <w:b/>
          <w:w w:val="110"/>
          <w:sz w:val="20"/>
        </w:rPr>
        <w:t>291.8</w:t>
      </w:r>
    </w:p>
    <w:p w:rsidR="00E675F0" w:rsidRDefault="00E675F0" w:rsidP="00E675F0">
      <w:pPr>
        <w:pStyle w:val="BodyText"/>
        <w:spacing w:before="7"/>
        <w:rPr>
          <w:b/>
          <w:sz w:val="22"/>
        </w:rPr>
      </w:pPr>
    </w:p>
    <w:p w:rsidR="00E675F0" w:rsidRDefault="00E675F0" w:rsidP="00E675F0">
      <w:pPr>
        <w:ind w:left="150"/>
        <w:rPr>
          <w:b/>
          <w:sz w:val="20"/>
        </w:rPr>
      </w:pPr>
      <w:r>
        <w:rPr>
          <w:b/>
          <w:w w:val="110"/>
          <w:sz w:val="20"/>
        </w:rPr>
        <w:t>291.8</w:t>
      </w:r>
    </w:p>
    <w:p w:rsidR="00E675F0" w:rsidRDefault="00E675F0" w:rsidP="00E675F0">
      <w:pPr>
        <w:pStyle w:val="BodyText"/>
        <w:spacing w:before="3"/>
        <w:rPr>
          <w:b/>
          <w:sz w:val="22"/>
        </w:rPr>
      </w:pPr>
    </w:p>
    <w:p w:rsidR="00E675F0" w:rsidRDefault="00E675F0" w:rsidP="00E675F0">
      <w:pPr>
        <w:ind w:left="150"/>
        <w:rPr>
          <w:b/>
          <w:sz w:val="20"/>
        </w:rPr>
      </w:pPr>
      <w:r>
        <w:rPr>
          <w:b/>
          <w:w w:val="110"/>
          <w:sz w:val="20"/>
        </w:rPr>
        <w:t>291.8</w:t>
      </w:r>
    </w:p>
    <w:p w:rsidR="00E675F0" w:rsidRDefault="00E675F0" w:rsidP="00E675F0">
      <w:pPr>
        <w:pStyle w:val="BodyText"/>
        <w:rPr>
          <w:b/>
          <w:sz w:val="23"/>
        </w:rPr>
      </w:pPr>
    </w:p>
    <w:p w:rsidR="00E675F0" w:rsidRDefault="00E675F0" w:rsidP="00E675F0">
      <w:pPr>
        <w:ind w:left="150"/>
        <w:rPr>
          <w:b/>
          <w:sz w:val="20"/>
        </w:rPr>
      </w:pPr>
      <w:r>
        <w:rPr>
          <w:b/>
          <w:w w:val="110"/>
          <w:sz w:val="20"/>
        </w:rPr>
        <w:t>291.8</w:t>
      </w:r>
    </w:p>
    <w:p w:rsidR="00E675F0" w:rsidRDefault="00E675F0" w:rsidP="00E675F0">
      <w:pPr>
        <w:pStyle w:val="BodyText"/>
        <w:rPr>
          <w:b/>
          <w:sz w:val="22"/>
        </w:rPr>
      </w:pPr>
    </w:p>
    <w:p w:rsidR="00E675F0" w:rsidRDefault="00E675F0" w:rsidP="00E675F0">
      <w:pPr>
        <w:pStyle w:val="BodyText"/>
        <w:spacing w:before="8"/>
        <w:rPr>
          <w:b/>
        </w:rPr>
      </w:pPr>
    </w:p>
    <w:p w:rsidR="00E675F0" w:rsidRDefault="00E675F0" w:rsidP="00E675F0">
      <w:pPr>
        <w:ind w:left="150"/>
        <w:rPr>
          <w:b/>
          <w:sz w:val="20"/>
        </w:rPr>
      </w:pPr>
      <w:r>
        <w:rPr>
          <w:b/>
          <w:w w:val="110"/>
          <w:sz w:val="20"/>
        </w:rPr>
        <w:t>291.9</w:t>
      </w:r>
    </w:p>
    <w:p w:rsidR="00E675F0" w:rsidRDefault="00E675F0" w:rsidP="00E675F0">
      <w:pPr>
        <w:spacing w:before="132" w:line="211" w:lineRule="exact"/>
        <w:ind w:left="145"/>
        <w:rPr>
          <w:sz w:val="20"/>
        </w:rPr>
      </w:pPr>
      <w:r>
        <w:br w:type="column"/>
      </w:r>
      <w:r>
        <w:rPr>
          <w:b/>
          <w:w w:val="115"/>
          <w:sz w:val="20"/>
        </w:rPr>
        <w:t xml:space="preserve">Alcohol Intoxication </w:t>
      </w:r>
      <w:r>
        <w:rPr>
          <w:w w:val="115"/>
          <w:sz w:val="20"/>
        </w:rPr>
        <w:t>(seep. 196)</w:t>
      </w:r>
    </w:p>
    <w:p w:rsidR="00E675F0" w:rsidRDefault="00E675F0" w:rsidP="00E675F0">
      <w:pPr>
        <w:spacing w:line="280" w:lineRule="exact"/>
        <w:ind w:left="145"/>
        <w:rPr>
          <w:sz w:val="20"/>
        </w:rPr>
      </w:pPr>
      <w:r>
        <w:rPr>
          <w:b/>
          <w:w w:val="105"/>
          <w:sz w:val="20"/>
        </w:rPr>
        <w:t xml:space="preserve">Alcohol Withdrawal </w:t>
      </w:r>
      <w:r>
        <w:rPr>
          <w:w w:val="105"/>
          <w:sz w:val="20"/>
        </w:rPr>
        <w:t xml:space="preserve">(seep. 197) </w:t>
      </w:r>
      <w:r>
        <w:rPr>
          <w:i/>
          <w:w w:val="105"/>
          <w:sz w:val="20"/>
        </w:rPr>
        <w:t xml:space="preserve">Specify </w:t>
      </w:r>
      <w:r>
        <w:rPr>
          <w:rFonts w:ascii="Arial"/>
          <w:i/>
          <w:w w:val="105"/>
          <w:sz w:val="26"/>
        </w:rPr>
        <w:t xml:space="preserve">if </w:t>
      </w:r>
      <w:r>
        <w:rPr>
          <w:w w:val="105"/>
          <w:sz w:val="20"/>
        </w:rPr>
        <w:t>With Perceptual Disturbances</w:t>
      </w:r>
    </w:p>
    <w:p w:rsidR="00E675F0" w:rsidRDefault="00E675F0" w:rsidP="00E675F0">
      <w:pPr>
        <w:spacing w:line="256" w:lineRule="auto"/>
        <w:ind w:left="145" w:right="2132"/>
        <w:rPr>
          <w:sz w:val="20"/>
        </w:rPr>
      </w:pPr>
      <w:r>
        <w:rPr>
          <w:b/>
          <w:w w:val="110"/>
          <w:sz w:val="20"/>
        </w:rPr>
        <w:t xml:space="preserve">Alcohol Intoxication  Delirium </w:t>
      </w:r>
      <w:r>
        <w:rPr>
          <w:w w:val="110"/>
          <w:sz w:val="20"/>
        </w:rPr>
        <w:t xml:space="preserve">(seep. 129) </w:t>
      </w:r>
      <w:r>
        <w:rPr>
          <w:b/>
          <w:w w:val="110"/>
          <w:sz w:val="20"/>
        </w:rPr>
        <w:t xml:space="preserve">Alcohol Withdrawal Delirium </w:t>
      </w:r>
      <w:r>
        <w:rPr>
          <w:w w:val="110"/>
          <w:sz w:val="20"/>
        </w:rPr>
        <w:t xml:space="preserve">(see p. 129) </w:t>
      </w:r>
      <w:r>
        <w:rPr>
          <w:b/>
          <w:w w:val="110"/>
          <w:sz w:val="20"/>
        </w:rPr>
        <w:t xml:space="preserve">Alcohol-Induced Persisting Dementia </w:t>
      </w:r>
      <w:r>
        <w:rPr>
          <w:w w:val="110"/>
          <w:sz w:val="20"/>
        </w:rPr>
        <w:t>(see p.</w:t>
      </w:r>
      <w:r>
        <w:rPr>
          <w:spacing w:val="-6"/>
          <w:w w:val="110"/>
          <w:sz w:val="20"/>
        </w:rPr>
        <w:t xml:space="preserve"> </w:t>
      </w:r>
      <w:r>
        <w:rPr>
          <w:w w:val="110"/>
          <w:sz w:val="20"/>
        </w:rPr>
        <w:t>152)</w:t>
      </w:r>
    </w:p>
    <w:p w:rsidR="00E675F0" w:rsidRDefault="00E675F0" w:rsidP="00E675F0">
      <w:pPr>
        <w:spacing w:line="227" w:lineRule="exact"/>
        <w:ind w:left="145"/>
        <w:rPr>
          <w:sz w:val="20"/>
        </w:rPr>
      </w:pPr>
      <w:r>
        <w:rPr>
          <w:b/>
          <w:w w:val="110"/>
          <w:sz w:val="20"/>
        </w:rPr>
        <w:t xml:space="preserve">Alcohol-Induced Persisting Amnestic Disorder </w:t>
      </w:r>
      <w:r>
        <w:rPr>
          <w:w w:val="110"/>
          <w:sz w:val="20"/>
        </w:rPr>
        <w:t>(see p. 161)</w:t>
      </w:r>
    </w:p>
    <w:p w:rsidR="00E675F0" w:rsidRDefault="00E675F0" w:rsidP="00E675F0">
      <w:pPr>
        <w:spacing w:before="29" w:line="220" w:lineRule="auto"/>
        <w:ind w:left="150" w:right="242" w:hanging="5"/>
        <w:rPr>
          <w:sz w:val="20"/>
        </w:rPr>
      </w:pPr>
      <w:r>
        <w:rPr>
          <w:b/>
          <w:w w:val="105"/>
          <w:sz w:val="20"/>
        </w:rPr>
        <w:t xml:space="preserve">Alcohol-Induced Psychotic Disorder,  With  Delusions  </w:t>
      </w:r>
      <w:r>
        <w:rPr>
          <w:w w:val="105"/>
          <w:sz w:val="20"/>
        </w:rPr>
        <w:t xml:space="preserve">(seep.  310) </w:t>
      </w:r>
      <w:r>
        <w:rPr>
          <w:i/>
          <w:w w:val="105"/>
          <w:sz w:val="20"/>
        </w:rPr>
        <w:t xml:space="preserve">Specify </w:t>
      </w:r>
      <w:r>
        <w:rPr>
          <w:rFonts w:ascii="Arial"/>
          <w:i/>
          <w:w w:val="105"/>
          <w:sz w:val="26"/>
        </w:rPr>
        <w:t xml:space="preserve">if </w:t>
      </w:r>
      <w:r>
        <w:rPr>
          <w:w w:val="105"/>
          <w:sz w:val="20"/>
        </w:rPr>
        <w:t xml:space="preserve">With Onset During Intoxication/With Onset During Withdrawal </w:t>
      </w:r>
      <w:r>
        <w:rPr>
          <w:b/>
          <w:w w:val="105"/>
          <w:sz w:val="20"/>
        </w:rPr>
        <w:t xml:space="preserve">Alcohol-Induced Psychotic Disorder, With Hallucinations </w:t>
      </w:r>
      <w:r>
        <w:rPr>
          <w:w w:val="105"/>
          <w:sz w:val="20"/>
        </w:rPr>
        <w:t xml:space="preserve">(seep. 310) </w:t>
      </w:r>
      <w:r>
        <w:rPr>
          <w:i/>
          <w:w w:val="105"/>
          <w:sz w:val="20"/>
        </w:rPr>
        <w:t xml:space="preserve">Specify </w:t>
      </w:r>
      <w:r>
        <w:rPr>
          <w:rFonts w:ascii="Arial"/>
          <w:i/>
          <w:w w:val="105"/>
          <w:sz w:val="26"/>
        </w:rPr>
        <w:t xml:space="preserve">if </w:t>
      </w:r>
      <w:r>
        <w:rPr>
          <w:w w:val="105"/>
          <w:sz w:val="20"/>
        </w:rPr>
        <w:t xml:space="preserve">With Onset During Intoxication/With Onset During Withdrawal </w:t>
      </w:r>
      <w:r>
        <w:rPr>
          <w:b/>
          <w:w w:val="105"/>
          <w:sz w:val="20"/>
        </w:rPr>
        <w:t xml:space="preserve">Alcohol-Induced Mood Disorder </w:t>
      </w:r>
      <w:r>
        <w:rPr>
          <w:w w:val="105"/>
          <w:sz w:val="20"/>
        </w:rPr>
        <w:t>(see p. 370)</w:t>
      </w:r>
    </w:p>
    <w:p w:rsidR="00E675F0" w:rsidRDefault="00E675F0" w:rsidP="00E675F0">
      <w:pPr>
        <w:pStyle w:val="BodyText"/>
        <w:spacing w:line="258" w:lineRule="exact"/>
        <w:ind w:left="170"/>
      </w:pPr>
      <w:r>
        <w:rPr>
          <w:i/>
          <w:w w:val="105"/>
        </w:rPr>
        <w:t xml:space="preserve">Specify </w:t>
      </w:r>
      <w:r>
        <w:rPr>
          <w:rFonts w:ascii="Arial"/>
          <w:i/>
          <w:w w:val="105"/>
          <w:sz w:val="26"/>
        </w:rPr>
        <w:t xml:space="preserve">if </w:t>
      </w:r>
      <w:r>
        <w:rPr>
          <w:w w:val="105"/>
        </w:rPr>
        <w:t>With Onset During Intoxication/With Onset During Withdrawal</w:t>
      </w:r>
    </w:p>
    <w:p w:rsidR="00E675F0" w:rsidRDefault="00E675F0" w:rsidP="00E675F0">
      <w:pPr>
        <w:spacing w:before="3" w:line="209" w:lineRule="exact"/>
        <w:ind w:left="150"/>
        <w:rPr>
          <w:sz w:val="20"/>
        </w:rPr>
      </w:pPr>
      <w:r>
        <w:rPr>
          <w:b/>
          <w:w w:val="110"/>
          <w:sz w:val="20"/>
        </w:rPr>
        <w:t xml:space="preserve">Alcohol-Induced Anxiety Disorder </w:t>
      </w:r>
      <w:r>
        <w:rPr>
          <w:w w:val="110"/>
          <w:sz w:val="20"/>
        </w:rPr>
        <w:t>(see p. 439)</w:t>
      </w:r>
    </w:p>
    <w:p w:rsidR="00E675F0" w:rsidRDefault="00E675F0" w:rsidP="00E675F0">
      <w:pPr>
        <w:pStyle w:val="BodyText"/>
        <w:spacing w:line="277" w:lineRule="exact"/>
        <w:ind w:left="170"/>
      </w:pPr>
      <w:r>
        <w:rPr>
          <w:i/>
          <w:w w:val="105"/>
        </w:rPr>
        <w:t xml:space="preserve">Specify </w:t>
      </w:r>
      <w:r>
        <w:rPr>
          <w:rFonts w:ascii="Arial"/>
          <w:i/>
          <w:w w:val="105"/>
          <w:sz w:val="26"/>
        </w:rPr>
        <w:t xml:space="preserve">if </w:t>
      </w:r>
      <w:r>
        <w:rPr>
          <w:w w:val="105"/>
        </w:rPr>
        <w:t>With Onset During Intoxication/With Onset During Withdrawal</w:t>
      </w:r>
    </w:p>
    <w:p w:rsidR="00E675F0" w:rsidRDefault="00E675F0" w:rsidP="00E675F0">
      <w:pPr>
        <w:spacing w:line="211" w:lineRule="exact"/>
        <w:ind w:left="155"/>
        <w:rPr>
          <w:sz w:val="20"/>
        </w:rPr>
      </w:pPr>
      <w:r>
        <w:rPr>
          <w:b/>
          <w:w w:val="110"/>
          <w:sz w:val="20"/>
        </w:rPr>
        <w:t xml:space="preserve">Alcohol-Induced Sexual Dysfunction </w:t>
      </w:r>
      <w:r>
        <w:rPr>
          <w:w w:val="110"/>
          <w:sz w:val="20"/>
        </w:rPr>
        <w:t>(seep. 519)</w:t>
      </w:r>
    </w:p>
    <w:p w:rsidR="00E675F0" w:rsidRDefault="00E675F0" w:rsidP="00E675F0">
      <w:pPr>
        <w:spacing w:line="280" w:lineRule="exact"/>
        <w:ind w:left="170"/>
        <w:rPr>
          <w:sz w:val="20"/>
        </w:rPr>
      </w:pPr>
      <w:r>
        <w:rPr>
          <w:i/>
          <w:w w:val="105"/>
          <w:sz w:val="20"/>
        </w:rPr>
        <w:t xml:space="preserve">Specify </w:t>
      </w:r>
      <w:r>
        <w:rPr>
          <w:rFonts w:ascii="Arial"/>
          <w:i/>
          <w:w w:val="105"/>
          <w:sz w:val="26"/>
        </w:rPr>
        <w:t xml:space="preserve">if </w:t>
      </w:r>
      <w:r>
        <w:rPr>
          <w:w w:val="105"/>
          <w:sz w:val="20"/>
        </w:rPr>
        <w:t>With Onset During Intoxication</w:t>
      </w:r>
    </w:p>
    <w:p w:rsidR="00E675F0" w:rsidRDefault="00E675F0" w:rsidP="00E675F0">
      <w:pPr>
        <w:spacing w:line="208" w:lineRule="exact"/>
        <w:ind w:left="150"/>
        <w:rPr>
          <w:sz w:val="20"/>
        </w:rPr>
      </w:pPr>
      <w:r>
        <w:rPr>
          <w:b/>
          <w:w w:val="110"/>
          <w:sz w:val="20"/>
        </w:rPr>
        <w:t xml:space="preserve">Alcohol-Induced Sleep Disorder </w:t>
      </w:r>
      <w:r>
        <w:rPr>
          <w:w w:val="110"/>
          <w:sz w:val="20"/>
        </w:rPr>
        <w:t>(seep. 601)</w:t>
      </w:r>
    </w:p>
    <w:p w:rsidR="00E675F0" w:rsidRDefault="00E675F0" w:rsidP="00E675F0">
      <w:pPr>
        <w:pStyle w:val="BodyText"/>
        <w:spacing w:line="278" w:lineRule="exact"/>
        <w:ind w:left="170"/>
      </w:pPr>
      <w:r>
        <w:rPr>
          <w:i/>
          <w:w w:val="105"/>
        </w:rPr>
        <w:t xml:space="preserve">Specify </w:t>
      </w:r>
      <w:r>
        <w:rPr>
          <w:rFonts w:ascii="Arial"/>
          <w:i/>
          <w:w w:val="105"/>
          <w:sz w:val="26"/>
        </w:rPr>
        <w:t xml:space="preserve">if </w:t>
      </w:r>
      <w:r>
        <w:rPr>
          <w:w w:val="105"/>
        </w:rPr>
        <w:t>With Onset During Intoxication/With Onset During Withdrawal</w:t>
      </w:r>
    </w:p>
    <w:p w:rsidR="00E675F0" w:rsidRDefault="00E675F0" w:rsidP="00E675F0">
      <w:pPr>
        <w:spacing w:before="229"/>
        <w:ind w:left="155"/>
        <w:rPr>
          <w:sz w:val="20"/>
        </w:rPr>
      </w:pPr>
      <w:r>
        <w:rPr>
          <w:b/>
          <w:w w:val="110"/>
          <w:sz w:val="20"/>
        </w:rPr>
        <w:t xml:space="preserve">Alcohol-Related Disorder Not Otherwise Specified </w:t>
      </w:r>
      <w:r>
        <w:rPr>
          <w:w w:val="110"/>
          <w:sz w:val="20"/>
        </w:rPr>
        <w:t>(see p. 204)</w:t>
      </w:r>
    </w:p>
    <w:p w:rsidR="00E675F0" w:rsidRDefault="00E675F0" w:rsidP="00E675F0">
      <w:pPr>
        <w:pStyle w:val="BodyText"/>
        <w:rPr>
          <w:sz w:val="22"/>
        </w:rPr>
      </w:pPr>
    </w:p>
    <w:p w:rsidR="00E675F0" w:rsidRDefault="00E675F0" w:rsidP="00E675F0">
      <w:pPr>
        <w:pStyle w:val="BodyText"/>
        <w:spacing w:before="3"/>
        <w:rPr>
          <w:sz w:val="29"/>
        </w:rPr>
      </w:pPr>
    </w:p>
    <w:p w:rsidR="00E675F0" w:rsidRDefault="00E675F0" w:rsidP="00E675F0">
      <w:pPr>
        <w:ind w:left="1535"/>
        <w:rPr>
          <w:rFonts w:ascii="TimesNewRomanPS-BoldItalicMT"/>
          <w:b/>
          <w:i/>
          <w:sz w:val="28"/>
        </w:rPr>
      </w:pPr>
      <w:r>
        <w:rPr>
          <w:rFonts w:ascii="TimesNewRomanPS-BoldItalicMT"/>
          <w:b/>
          <w:i/>
          <w:w w:val="115"/>
          <w:sz w:val="28"/>
        </w:rPr>
        <w:t>Alcohol Use Disorders</w:t>
      </w:r>
    </w:p>
    <w:p w:rsidR="00E675F0" w:rsidRDefault="00E675F0" w:rsidP="00E675F0">
      <w:pPr>
        <w:tabs>
          <w:tab w:val="left" w:pos="2279"/>
        </w:tabs>
        <w:spacing w:before="148"/>
        <w:ind w:left="1206"/>
        <w:rPr>
          <w:rFonts w:ascii="Arial"/>
          <w:b/>
          <w:sz w:val="25"/>
        </w:rPr>
      </w:pPr>
      <w:r>
        <w:rPr>
          <w:rFonts w:ascii="Arial"/>
          <w:b/>
          <w:w w:val="110"/>
          <w:sz w:val="25"/>
        </w:rPr>
        <w:t>303.90</w:t>
      </w:r>
      <w:r>
        <w:rPr>
          <w:rFonts w:ascii="Arial"/>
          <w:b/>
          <w:w w:val="110"/>
          <w:sz w:val="25"/>
        </w:rPr>
        <w:tab/>
        <w:t>Alcohol</w:t>
      </w:r>
      <w:r>
        <w:rPr>
          <w:rFonts w:ascii="Arial"/>
          <w:b/>
          <w:spacing w:val="-11"/>
          <w:w w:val="110"/>
          <w:sz w:val="25"/>
        </w:rPr>
        <w:t xml:space="preserve"> </w:t>
      </w:r>
      <w:r>
        <w:rPr>
          <w:rFonts w:ascii="Arial"/>
          <w:b/>
          <w:w w:val="110"/>
          <w:sz w:val="25"/>
        </w:rPr>
        <w:t>Dependence</w:t>
      </w:r>
    </w:p>
    <w:p w:rsidR="00E675F0" w:rsidRDefault="00E675F0" w:rsidP="00E675F0">
      <w:pPr>
        <w:rPr>
          <w:rFonts w:ascii="Arial"/>
          <w:sz w:val="25"/>
        </w:rPr>
        <w:sectPr w:rsidR="00E675F0">
          <w:type w:val="continuous"/>
          <w:pgSz w:w="8960" w:h="14260"/>
          <w:pgMar w:top="640" w:right="600" w:bottom="0" w:left="620" w:header="720" w:footer="720" w:gutter="0"/>
          <w:cols w:num="2" w:space="720" w:equalWidth="0">
            <w:col w:w="760" w:space="76"/>
            <w:col w:w="6904"/>
          </w:cols>
        </w:sectPr>
      </w:pPr>
    </w:p>
    <w:p w:rsidR="00E675F0" w:rsidRDefault="00E675F0" w:rsidP="00E675F0">
      <w:pPr>
        <w:pStyle w:val="BodyText"/>
        <w:spacing w:before="7"/>
        <w:rPr>
          <w:rFonts w:ascii="Arial"/>
          <w:b/>
          <w:sz w:val="14"/>
        </w:rPr>
      </w:pPr>
    </w:p>
    <w:p w:rsidR="00E675F0" w:rsidRDefault="00E675F0" w:rsidP="00E675F0">
      <w:pPr>
        <w:pStyle w:val="BodyText"/>
        <w:spacing w:before="92" w:line="254" w:lineRule="auto"/>
        <w:ind w:left="145" w:right="101" w:firstLine="3"/>
        <w:jc w:val="both"/>
      </w:pPr>
      <w:r>
        <w:rPr>
          <w:w w:val="105"/>
        </w:rPr>
        <w:t>Also refer to the text and criteria for Substance Dependence (seep. 176). Physiological dependence on alcohol is indicated by evidence of tolerance or symptoms of With­ drawal. Alcohol Withdrawal (see p. 197) is characterized by the development of withdrawal symptoms 12 hours or so after the reduction of intake following prolonged, heavy, ak:ohol ingestion. Because Withdrawal from alcohol can be unpleasant and intense, individuals with Alcohol Dependence may continue to consume alcohol, despite adverse consequences, often to avoid or to relieve the symptoms of withdrawal. A substantial minority of individuals who have Alcohol Dependence never experience clinically relevant levels of Alcohol Withdrawal, and only about 5% of individuals with Alcohol Dependence ever experience severe complications of withdrawal (e.g., delirium,</w:t>
      </w:r>
    </w:p>
    <w:p w:rsidR="00E675F0" w:rsidRDefault="00E675F0" w:rsidP="00E675F0">
      <w:pPr>
        <w:spacing w:line="254" w:lineRule="auto"/>
        <w:jc w:val="both"/>
        <w:sectPr w:rsidR="00E675F0">
          <w:type w:val="continuous"/>
          <w:pgSz w:w="8960" w:h="14260"/>
          <w:pgMar w:top="640" w:right="600" w:bottom="0" w:left="620" w:header="720" w:footer="720" w:gutter="0"/>
          <w:cols w:space="720"/>
        </w:sectPr>
      </w:pPr>
    </w:p>
    <w:p w:rsidR="00E675F0" w:rsidRDefault="00E675F0" w:rsidP="00E675F0">
      <w:pPr>
        <w:pStyle w:val="BodyText"/>
        <w:spacing w:before="143" w:line="254" w:lineRule="auto"/>
        <w:ind w:left="128" w:right="101" w:firstLine="1"/>
        <w:jc w:val="both"/>
      </w:pPr>
      <w:bookmarkStart w:id="125" w:name="_bookmark106"/>
      <w:bookmarkEnd w:id="125"/>
      <w:r>
        <w:rPr>
          <w:w w:val="105"/>
        </w:rPr>
        <w:lastRenderedPageBreak/>
        <w:t>grand mal seizures). Once a pattern of compulsive use develops, individuals with Dependence may devote substantial periods of time to obtaining and consuming alcoholic beverages. These individuals  often continue to use alcohol  despite evidence of adverse psychological or physical consequences (e.g., depression, blackouts, liver disease, or other</w:t>
      </w:r>
      <w:r>
        <w:rPr>
          <w:spacing w:val="30"/>
          <w:w w:val="105"/>
        </w:rPr>
        <w:t xml:space="preserve"> </w:t>
      </w:r>
      <w:r>
        <w:rPr>
          <w:w w:val="105"/>
        </w:rPr>
        <w:t>sequelae).</w:t>
      </w:r>
    </w:p>
    <w:p w:rsidR="00E675F0" w:rsidRDefault="00E675F0" w:rsidP="00E675F0">
      <w:pPr>
        <w:pStyle w:val="BodyText"/>
        <w:spacing w:before="7"/>
        <w:rPr>
          <w:sz w:val="31"/>
        </w:rPr>
      </w:pPr>
    </w:p>
    <w:p w:rsidR="00E675F0" w:rsidRDefault="00E675F0" w:rsidP="00E675F0">
      <w:pPr>
        <w:ind w:left="121"/>
        <w:rPr>
          <w:rFonts w:ascii="TimesNewRomanPS-BoldItalicMT"/>
          <w:b/>
          <w:i/>
          <w:sz w:val="24"/>
        </w:rPr>
      </w:pPr>
      <w:r>
        <w:rPr>
          <w:rFonts w:ascii="TimesNewRomanPS-BoldItalicMT"/>
          <w:b/>
          <w:i/>
          <w:w w:val="115"/>
          <w:sz w:val="24"/>
        </w:rPr>
        <w:t>Specifiers</w:t>
      </w:r>
    </w:p>
    <w:p w:rsidR="00E675F0" w:rsidRDefault="00E675F0" w:rsidP="00E675F0">
      <w:pPr>
        <w:pStyle w:val="BodyText"/>
        <w:spacing w:before="131"/>
        <w:ind w:left="124"/>
      </w:pPr>
      <w:r>
        <w:rPr>
          <w:w w:val="105"/>
        </w:rPr>
        <w:t>The following specifiers may be applied to a diagnosis of Alcohol Dependence (see</w:t>
      </w:r>
    </w:p>
    <w:p w:rsidR="00E675F0" w:rsidRDefault="00E675F0" w:rsidP="00E675F0">
      <w:pPr>
        <w:pStyle w:val="BodyText"/>
        <w:spacing w:before="16"/>
        <w:ind w:left="135"/>
      </w:pPr>
      <w:r>
        <w:rPr>
          <w:w w:val="105"/>
        </w:rPr>
        <w:t>p. 179 for more details):</w:t>
      </w:r>
    </w:p>
    <w:p w:rsidR="00E675F0" w:rsidRDefault="00E675F0" w:rsidP="00E675F0">
      <w:pPr>
        <w:spacing w:before="77" w:line="256" w:lineRule="auto"/>
        <w:ind w:left="724" w:right="3650" w:firstLine="4"/>
        <w:rPr>
          <w:b/>
          <w:sz w:val="20"/>
        </w:rPr>
      </w:pPr>
      <w:r>
        <w:rPr>
          <w:b/>
          <w:w w:val="110"/>
          <w:sz w:val="20"/>
        </w:rPr>
        <w:t>With Physiological Dependence Without Physiological Dependence</w:t>
      </w:r>
    </w:p>
    <w:p w:rsidR="00E675F0" w:rsidRDefault="00E675F0" w:rsidP="00E675F0">
      <w:pPr>
        <w:spacing w:before="61" w:line="254" w:lineRule="auto"/>
        <w:ind w:left="726" w:right="4602" w:firstLine="1"/>
        <w:rPr>
          <w:b/>
          <w:sz w:val="20"/>
        </w:rPr>
      </w:pPr>
      <w:r>
        <w:rPr>
          <w:b/>
          <w:w w:val="110"/>
          <w:sz w:val="20"/>
        </w:rPr>
        <w:t>Early Full Remission Early Partial Remission Sustained Full Remission</w:t>
      </w:r>
    </w:p>
    <w:p w:rsidR="00E675F0" w:rsidRDefault="00E675F0" w:rsidP="00E675F0">
      <w:pPr>
        <w:spacing w:line="256" w:lineRule="auto"/>
        <w:ind w:left="728" w:right="4190" w:hanging="3"/>
        <w:rPr>
          <w:b/>
          <w:sz w:val="20"/>
        </w:rPr>
      </w:pPr>
      <w:r>
        <w:rPr>
          <w:b/>
          <w:w w:val="110"/>
          <w:sz w:val="20"/>
        </w:rPr>
        <w:t>Sustained Partial Remission On Agonist Therapy</w:t>
      </w:r>
    </w:p>
    <w:p w:rsidR="00E675F0" w:rsidRDefault="00E675F0" w:rsidP="00E675F0">
      <w:pPr>
        <w:spacing w:line="223" w:lineRule="exact"/>
        <w:ind w:left="727"/>
        <w:rPr>
          <w:b/>
          <w:sz w:val="20"/>
        </w:rPr>
      </w:pPr>
      <w:r>
        <w:rPr>
          <w:b/>
          <w:w w:val="110"/>
          <w:sz w:val="20"/>
        </w:rPr>
        <w:t>In a Controlled Environment</w:t>
      </w:r>
    </w:p>
    <w:p w:rsidR="00E675F0" w:rsidRDefault="00E675F0" w:rsidP="00E675F0">
      <w:pPr>
        <w:pStyle w:val="BodyText"/>
        <w:rPr>
          <w:b/>
          <w:sz w:val="22"/>
        </w:rPr>
      </w:pPr>
    </w:p>
    <w:p w:rsidR="00E675F0" w:rsidRDefault="00E675F0" w:rsidP="00E675F0">
      <w:pPr>
        <w:pStyle w:val="BodyText"/>
        <w:rPr>
          <w:b/>
          <w:sz w:val="19"/>
        </w:rPr>
      </w:pPr>
    </w:p>
    <w:p w:rsidR="00E675F0" w:rsidRDefault="00E675F0" w:rsidP="00E675F0">
      <w:pPr>
        <w:tabs>
          <w:tab w:val="left" w:pos="3512"/>
        </w:tabs>
        <w:ind w:left="2439"/>
        <w:rPr>
          <w:rFonts w:ascii="Arial"/>
          <w:b/>
          <w:sz w:val="26"/>
        </w:rPr>
      </w:pPr>
      <w:r>
        <w:rPr>
          <w:rFonts w:ascii="Arial"/>
          <w:b/>
          <w:sz w:val="26"/>
        </w:rPr>
        <w:t>305.00</w:t>
      </w:r>
      <w:r>
        <w:rPr>
          <w:rFonts w:ascii="Arial"/>
          <w:b/>
          <w:sz w:val="26"/>
        </w:rPr>
        <w:tab/>
        <w:t>Alcohol</w:t>
      </w:r>
      <w:r>
        <w:rPr>
          <w:rFonts w:ascii="Arial"/>
          <w:b/>
          <w:spacing w:val="-1"/>
          <w:sz w:val="26"/>
        </w:rPr>
        <w:t xml:space="preserve"> </w:t>
      </w:r>
      <w:r>
        <w:rPr>
          <w:rFonts w:ascii="Arial"/>
          <w:b/>
          <w:sz w:val="26"/>
        </w:rPr>
        <w:t>Abuse</w:t>
      </w:r>
    </w:p>
    <w:p w:rsidR="00E675F0" w:rsidRDefault="00E675F0" w:rsidP="00E675F0">
      <w:pPr>
        <w:pStyle w:val="BodyText"/>
        <w:rPr>
          <w:rFonts w:ascii="Arial"/>
          <w:b/>
          <w:sz w:val="22"/>
        </w:rPr>
      </w:pPr>
    </w:p>
    <w:p w:rsidR="00E675F0" w:rsidRDefault="00E675F0" w:rsidP="00E675F0">
      <w:pPr>
        <w:pStyle w:val="BodyText"/>
        <w:spacing w:line="252" w:lineRule="auto"/>
        <w:ind w:left="118" w:right="102"/>
        <w:jc w:val="both"/>
      </w:pPr>
      <w:r>
        <w:rPr>
          <w:w w:val="105"/>
        </w:rPr>
        <w:t>Also refer to the text and criteria for Substance Abuse (see p. 182). School and job performance</w:t>
      </w:r>
      <w:r>
        <w:rPr>
          <w:spacing w:val="-5"/>
          <w:w w:val="105"/>
        </w:rPr>
        <w:t xml:space="preserve"> </w:t>
      </w:r>
      <w:r>
        <w:rPr>
          <w:w w:val="105"/>
        </w:rPr>
        <w:t>may</w:t>
      </w:r>
      <w:r>
        <w:rPr>
          <w:spacing w:val="-25"/>
          <w:w w:val="105"/>
        </w:rPr>
        <w:t xml:space="preserve"> </w:t>
      </w:r>
      <w:r>
        <w:rPr>
          <w:w w:val="105"/>
        </w:rPr>
        <w:t>suffer</w:t>
      </w:r>
      <w:r>
        <w:rPr>
          <w:spacing w:val="-22"/>
          <w:w w:val="105"/>
        </w:rPr>
        <w:t xml:space="preserve"> </w:t>
      </w:r>
      <w:r>
        <w:rPr>
          <w:w w:val="105"/>
        </w:rPr>
        <w:t>either</w:t>
      </w:r>
      <w:r>
        <w:rPr>
          <w:spacing w:val="-20"/>
          <w:w w:val="105"/>
        </w:rPr>
        <w:t xml:space="preserve"> </w:t>
      </w:r>
      <w:r>
        <w:rPr>
          <w:w w:val="105"/>
        </w:rPr>
        <w:t>from</w:t>
      </w:r>
      <w:r>
        <w:rPr>
          <w:spacing w:val="-18"/>
          <w:w w:val="105"/>
        </w:rPr>
        <w:t xml:space="preserve"> </w:t>
      </w:r>
      <w:r>
        <w:rPr>
          <w:w w:val="105"/>
        </w:rPr>
        <w:t>the</w:t>
      </w:r>
      <w:r>
        <w:rPr>
          <w:spacing w:val="-7"/>
          <w:w w:val="105"/>
        </w:rPr>
        <w:t xml:space="preserve"> </w:t>
      </w:r>
      <w:r>
        <w:rPr>
          <w:w w:val="105"/>
        </w:rPr>
        <w:t>aftereffects</w:t>
      </w:r>
      <w:r>
        <w:rPr>
          <w:spacing w:val="-5"/>
          <w:w w:val="105"/>
        </w:rPr>
        <w:t xml:space="preserve"> </w:t>
      </w:r>
      <w:r>
        <w:rPr>
          <w:w w:val="105"/>
        </w:rPr>
        <w:t>of</w:t>
      </w:r>
      <w:r>
        <w:rPr>
          <w:spacing w:val="-16"/>
          <w:w w:val="105"/>
        </w:rPr>
        <w:t xml:space="preserve"> </w:t>
      </w:r>
      <w:r>
        <w:rPr>
          <w:w w:val="105"/>
        </w:rPr>
        <w:t>drinking</w:t>
      </w:r>
      <w:r>
        <w:rPr>
          <w:spacing w:val="-11"/>
          <w:w w:val="105"/>
        </w:rPr>
        <w:t xml:space="preserve"> </w:t>
      </w:r>
      <w:r>
        <w:rPr>
          <w:w w:val="105"/>
        </w:rPr>
        <w:t>or</w:t>
      </w:r>
      <w:r>
        <w:rPr>
          <w:spacing w:val="-17"/>
          <w:w w:val="105"/>
        </w:rPr>
        <w:t xml:space="preserve"> </w:t>
      </w:r>
      <w:r>
        <w:rPr>
          <w:w w:val="105"/>
        </w:rPr>
        <w:t>from</w:t>
      </w:r>
      <w:r>
        <w:rPr>
          <w:spacing w:val="-16"/>
          <w:w w:val="105"/>
        </w:rPr>
        <w:t xml:space="preserve"> </w:t>
      </w:r>
      <w:r>
        <w:rPr>
          <w:w w:val="105"/>
        </w:rPr>
        <w:t>actual</w:t>
      </w:r>
      <w:r>
        <w:rPr>
          <w:spacing w:val="-14"/>
          <w:w w:val="105"/>
        </w:rPr>
        <w:t xml:space="preserve"> </w:t>
      </w:r>
      <w:r>
        <w:rPr>
          <w:w w:val="105"/>
        </w:rPr>
        <w:t>intoxication on the job or at school; child care or household responsibilities may be neglected; and alcohol-related absences may occur from school or job. The person may use alcohol in physically hazardous circumstances (e.g., driving an automobile or operating machinery while drunk). Legal difficulties may arise because of alcohol use (e.g., arrests for intoxicated</w:t>
      </w:r>
      <w:r>
        <w:rPr>
          <w:spacing w:val="5"/>
          <w:w w:val="105"/>
        </w:rPr>
        <w:t xml:space="preserve"> </w:t>
      </w:r>
      <w:r>
        <w:rPr>
          <w:w w:val="105"/>
        </w:rPr>
        <w:t>behavior</w:t>
      </w:r>
      <w:r>
        <w:rPr>
          <w:spacing w:val="-10"/>
          <w:w w:val="105"/>
        </w:rPr>
        <w:t xml:space="preserve"> </w:t>
      </w:r>
      <w:r>
        <w:rPr>
          <w:w w:val="105"/>
        </w:rPr>
        <w:t>or</w:t>
      </w:r>
      <w:r>
        <w:rPr>
          <w:spacing w:val="-14"/>
          <w:w w:val="105"/>
        </w:rPr>
        <w:t xml:space="preserve"> </w:t>
      </w:r>
      <w:r>
        <w:rPr>
          <w:w w:val="105"/>
        </w:rPr>
        <w:t>for</w:t>
      </w:r>
      <w:r>
        <w:rPr>
          <w:spacing w:val="-19"/>
          <w:w w:val="105"/>
        </w:rPr>
        <w:t xml:space="preserve"> </w:t>
      </w:r>
      <w:r>
        <w:rPr>
          <w:w w:val="105"/>
        </w:rPr>
        <w:t>driving</w:t>
      </w:r>
      <w:r>
        <w:rPr>
          <w:spacing w:val="-13"/>
          <w:w w:val="105"/>
        </w:rPr>
        <w:t xml:space="preserve"> </w:t>
      </w:r>
      <w:r>
        <w:rPr>
          <w:w w:val="105"/>
        </w:rPr>
        <w:t>under</w:t>
      </w:r>
      <w:r>
        <w:rPr>
          <w:spacing w:val="-8"/>
          <w:w w:val="105"/>
        </w:rPr>
        <w:t xml:space="preserve"> </w:t>
      </w:r>
      <w:r>
        <w:rPr>
          <w:w w:val="105"/>
        </w:rPr>
        <w:t>the</w:t>
      </w:r>
      <w:r>
        <w:rPr>
          <w:spacing w:val="-17"/>
          <w:w w:val="105"/>
        </w:rPr>
        <w:t xml:space="preserve"> </w:t>
      </w:r>
      <w:r>
        <w:rPr>
          <w:w w:val="105"/>
        </w:rPr>
        <w:t>influence).</w:t>
      </w:r>
      <w:r>
        <w:rPr>
          <w:spacing w:val="2"/>
          <w:w w:val="105"/>
        </w:rPr>
        <w:t xml:space="preserve"> </w:t>
      </w:r>
      <w:r>
        <w:rPr>
          <w:w w:val="105"/>
        </w:rPr>
        <w:t>Finally,</w:t>
      </w:r>
      <w:r>
        <w:rPr>
          <w:spacing w:val="-3"/>
          <w:w w:val="105"/>
        </w:rPr>
        <w:t xml:space="preserve"> </w:t>
      </w:r>
      <w:r>
        <w:rPr>
          <w:w w:val="105"/>
        </w:rPr>
        <w:t>individuals</w:t>
      </w:r>
      <w:r>
        <w:rPr>
          <w:spacing w:val="-7"/>
          <w:w w:val="105"/>
        </w:rPr>
        <w:t xml:space="preserve"> </w:t>
      </w:r>
      <w:r>
        <w:rPr>
          <w:w w:val="105"/>
        </w:rPr>
        <w:t>with</w:t>
      </w:r>
      <w:r>
        <w:rPr>
          <w:spacing w:val="-17"/>
          <w:w w:val="105"/>
        </w:rPr>
        <w:t xml:space="preserve"> </w:t>
      </w:r>
      <w:r>
        <w:rPr>
          <w:w w:val="105"/>
        </w:rPr>
        <w:t>Alcohol Abuse may continue to consume alcohol despite the knowledge that continued consumption poses significant social or interpersonal problems for them (e.g., violent arguments with spouse while intoxicated, child abuse). When these problems are accompanied by evidence of tolerance, withdrawal, or compulsive behavior related to alcohol use, a diagnosis of Alcohol Dependence, rather than Alcohol Abuse, should be considered.</w:t>
      </w:r>
    </w:p>
    <w:p w:rsidR="00E675F0" w:rsidRDefault="00E675F0" w:rsidP="00E675F0">
      <w:pPr>
        <w:pStyle w:val="BodyText"/>
        <w:spacing w:before="1"/>
        <w:rPr>
          <w:sz w:val="15"/>
        </w:rPr>
      </w:pPr>
    </w:p>
    <w:p w:rsidR="00E675F0" w:rsidRDefault="00E675F0" w:rsidP="00E675F0">
      <w:pPr>
        <w:spacing w:before="88"/>
        <w:ind w:left="84" w:right="119"/>
        <w:jc w:val="center"/>
        <w:rPr>
          <w:rFonts w:ascii="TimesNewRomanPS-BoldItalicMT"/>
          <w:b/>
          <w:i/>
          <w:sz w:val="28"/>
        </w:rPr>
      </w:pPr>
      <w:r>
        <w:rPr>
          <w:rFonts w:ascii="TimesNewRomanPS-BoldItalicMT"/>
          <w:b/>
          <w:i/>
          <w:w w:val="115"/>
          <w:sz w:val="28"/>
        </w:rPr>
        <w:t>Alcohol-Induced</w:t>
      </w:r>
      <w:r>
        <w:rPr>
          <w:rFonts w:ascii="TimesNewRomanPS-BoldItalicMT"/>
          <w:b/>
          <w:i/>
          <w:spacing w:val="-29"/>
          <w:w w:val="115"/>
          <w:sz w:val="28"/>
        </w:rPr>
        <w:t xml:space="preserve"> </w:t>
      </w:r>
      <w:r>
        <w:rPr>
          <w:rFonts w:ascii="TimesNewRomanPS-BoldItalicMT"/>
          <w:b/>
          <w:i/>
          <w:w w:val="115"/>
          <w:sz w:val="28"/>
        </w:rPr>
        <w:t>Disorders</w:t>
      </w:r>
    </w:p>
    <w:p w:rsidR="00E675F0" w:rsidRDefault="00E675F0" w:rsidP="00E675F0">
      <w:pPr>
        <w:tabs>
          <w:tab w:val="left" w:pos="3151"/>
        </w:tabs>
        <w:spacing w:before="138"/>
        <w:ind w:left="2083"/>
        <w:rPr>
          <w:rFonts w:ascii="Arial"/>
          <w:b/>
          <w:sz w:val="26"/>
        </w:rPr>
      </w:pPr>
      <w:r>
        <w:rPr>
          <w:rFonts w:ascii="Arial"/>
          <w:b/>
          <w:sz w:val="26"/>
        </w:rPr>
        <w:t>303.00</w:t>
      </w:r>
      <w:r>
        <w:rPr>
          <w:rFonts w:ascii="Arial"/>
          <w:b/>
          <w:sz w:val="26"/>
        </w:rPr>
        <w:tab/>
        <w:t>Alcohol</w:t>
      </w:r>
      <w:r>
        <w:rPr>
          <w:rFonts w:ascii="Arial"/>
          <w:b/>
          <w:spacing w:val="-15"/>
          <w:sz w:val="26"/>
        </w:rPr>
        <w:t xml:space="preserve"> </w:t>
      </w:r>
      <w:r>
        <w:rPr>
          <w:rFonts w:ascii="Arial"/>
          <w:b/>
          <w:sz w:val="26"/>
        </w:rPr>
        <w:t>Intoxication</w:t>
      </w:r>
    </w:p>
    <w:p w:rsidR="00E675F0" w:rsidRDefault="00E675F0" w:rsidP="00E675F0">
      <w:pPr>
        <w:pStyle w:val="BodyText"/>
        <w:spacing w:before="248" w:line="256" w:lineRule="auto"/>
        <w:ind w:left="113" w:right="117" w:firstLine="8"/>
        <w:jc w:val="both"/>
      </w:pPr>
      <w:r>
        <w:rPr>
          <w:w w:val="105"/>
        </w:rPr>
        <w:t xml:space="preserve">Refer to the text and criteria for Substance Intoxication (seep. 183). The essential feature of Alcohol Intoxication is the presence of clinically significant maladaptive behavioral or  psychological  changes  (e.g.,  inappropriate  sexual  or  aggressive  behavior,  </w:t>
      </w:r>
      <w:r>
        <w:rPr>
          <w:spacing w:val="16"/>
          <w:w w:val="105"/>
        </w:rPr>
        <w:t xml:space="preserve"> </w:t>
      </w:r>
      <w:r>
        <w:rPr>
          <w:w w:val="105"/>
        </w:rPr>
        <w:t>mood</w:t>
      </w:r>
    </w:p>
    <w:p w:rsidR="00E675F0" w:rsidRDefault="00E675F0" w:rsidP="00E675F0">
      <w:pPr>
        <w:pStyle w:val="BodyText"/>
        <w:spacing w:line="256" w:lineRule="auto"/>
        <w:ind w:left="113" w:right="111" w:hanging="11"/>
        <w:jc w:val="both"/>
      </w:pPr>
      <w:r>
        <w:rPr>
          <w:w w:val="105"/>
        </w:rPr>
        <w:t>!ability, impaired judgment, impaired social or occupational functioning) that develop during, or shortly after, the ingestion of alcohol (Criteria A and B). These changes are accompanied by evidence of slurred speech, incoordination, unsteady gait, nystagmus, impairment</w:t>
      </w:r>
      <w:r>
        <w:rPr>
          <w:spacing w:val="8"/>
          <w:w w:val="105"/>
        </w:rPr>
        <w:t xml:space="preserve"> </w:t>
      </w:r>
      <w:r>
        <w:rPr>
          <w:w w:val="105"/>
        </w:rPr>
        <w:t>in</w:t>
      </w:r>
      <w:r>
        <w:rPr>
          <w:spacing w:val="-14"/>
          <w:w w:val="105"/>
        </w:rPr>
        <w:t xml:space="preserve"> </w:t>
      </w:r>
      <w:r>
        <w:rPr>
          <w:w w:val="105"/>
        </w:rPr>
        <w:t>attention</w:t>
      </w:r>
      <w:r>
        <w:rPr>
          <w:spacing w:val="-2"/>
          <w:w w:val="105"/>
        </w:rPr>
        <w:t xml:space="preserve"> </w:t>
      </w:r>
      <w:r>
        <w:rPr>
          <w:w w:val="105"/>
        </w:rPr>
        <w:t>or</w:t>
      </w:r>
      <w:r>
        <w:rPr>
          <w:spacing w:val="-8"/>
          <w:w w:val="105"/>
        </w:rPr>
        <w:t xml:space="preserve"> </w:t>
      </w:r>
      <w:r>
        <w:rPr>
          <w:w w:val="105"/>
        </w:rPr>
        <w:t>memory, or</w:t>
      </w:r>
      <w:r>
        <w:rPr>
          <w:spacing w:val="-6"/>
          <w:w w:val="105"/>
        </w:rPr>
        <w:t xml:space="preserve"> </w:t>
      </w:r>
      <w:r>
        <w:rPr>
          <w:w w:val="105"/>
        </w:rPr>
        <w:t>stupor</w:t>
      </w:r>
      <w:r>
        <w:rPr>
          <w:spacing w:val="-8"/>
          <w:w w:val="105"/>
        </w:rPr>
        <w:t xml:space="preserve"> </w:t>
      </w:r>
      <w:r>
        <w:rPr>
          <w:w w:val="105"/>
        </w:rPr>
        <w:t>or</w:t>
      </w:r>
      <w:r>
        <w:rPr>
          <w:spacing w:val="-12"/>
          <w:w w:val="105"/>
        </w:rPr>
        <w:t xml:space="preserve"> </w:t>
      </w:r>
      <w:r>
        <w:rPr>
          <w:w w:val="105"/>
        </w:rPr>
        <w:t>coma</w:t>
      </w:r>
      <w:r>
        <w:rPr>
          <w:spacing w:val="-3"/>
          <w:w w:val="105"/>
        </w:rPr>
        <w:t xml:space="preserve"> </w:t>
      </w:r>
      <w:r>
        <w:rPr>
          <w:w w:val="105"/>
        </w:rPr>
        <w:t>(Criterion</w:t>
      </w:r>
      <w:r>
        <w:rPr>
          <w:spacing w:val="1"/>
          <w:w w:val="105"/>
        </w:rPr>
        <w:t xml:space="preserve"> </w:t>
      </w:r>
      <w:r>
        <w:rPr>
          <w:w w:val="105"/>
        </w:rPr>
        <w:t>C).</w:t>
      </w:r>
      <w:r>
        <w:rPr>
          <w:spacing w:val="-13"/>
          <w:w w:val="105"/>
        </w:rPr>
        <w:t xml:space="preserve"> </w:t>
      </w:r>
      <w:r>
        <w:rPr>
          <w:w w:val="105"/>
        </w:rPr>
        <w:t>The</w:t>
      </w:r>
      <w:r>
        <w:rPr>
          <w:spacing w:val="-13"/>
          <w:w w:val="105"/>
        </w:rPr>
        <w:t xml:space="preserve"> </w:t>
      </w:r>
      <w:r>
        <w:rPr>
          <w:w w:val="105"/>
        </w:rPr>
        <w:t>symptoms</w:t>
      </w:r>
      <w:r>
        <w:rPr>
          <w:spacing w:val="5"/>
          <w:w w:val="105"/>
        </w:rPr>
        <w:t xml:space="preserve"> </w:t>
      </w:r>
      <w:r>
        <w:rPr>
          <w:w w:val="105"/>
        </w:rPr>
        <w:t>must not be due  to a general medical  condition  and  are not better accounted  for by</w:t>
      </w:r>
      <w:r>
        <w:rPr>
          <w:spacing w:val="46"/>
          <w:w w:val="105"/>
        </w:rPr>
        <w:t xml:space="preserve"> </w:t>
      </w:r>
      <w:r>
        <w:rPr>
          <w:w w:val="105"/>
        </w:rPr>
        <w:t>another</w:t>
      </w:r>
    </w:p>
    <w:p w:rsidR="00E675F0" w:rsidRDefault="00E675F0" w:rsidP="00E675F0">
      <w:pPr>
        <w:spacing w:line="256" w:lineRule="auto"/>
        <w:jc w:val="both"/>
        <w:sectPr w:rsidR="00E675F0">
          <w:pgSz w:w="8960" w:h="14260"/>
          <w:pgMar w:top="1400" w:right="640" w:bottom="280" w:left="600" w:header="708" w:footer="0" w:gutter="0"/>
          <w:cols w:space="720"/>
        </w:sectPr>
      </w:pPr>
    </w:p>
    <w:p w:rsidR="00E675F0" w:rsidRDefault="00E675F0" w:rsidP="00E675F0">
      <w:pPr>
        <w:pStyle w:val="BodyText"/>
        <w:spacing w:before="125" w:line="252" w:lineRule="auto"/>
        <w:ind w:left="116" w:right="113" w:firstLine="9"/>
        <w:jc w:val="both"/>
      </w:pPr>
      <w:r>
        <w:rPr>
          <w:noProof/>
        </w:rPr>
        <w:lastRenderedPageBreak/>
        <mc:AlternateContent>
          <mc:Choice Requires="wps">
            <w:drawing>
              <wp:anchor distT="0" distB="0" distL="114300" distR="114300" simplePos="0" relativeHeight="251716608" behindDoc="0" locked="0" layoutInCell="1" allowOverlap="1" wp14:anchorId="3CFFEDF5" wp14:editId="4158B023">
                <wp:simplePos x="0" y="0"/>
                <wp:positionH relativeFrom="page">
                  <wp:posOffset>449580</wp:posOffset>
                </wp:positionH>
                <wp:positionV relativeFrom="paragraph">
                  <wp:posOffset>1477010</wp:posOffset>
                </wp:positionV>
                <wp:extent cx="4767580" cy="0"/>
                <wp:effectExtent l="0" t="12700" r="7620" b="0"/>
                <wp:wrapNone/>
                <wp:docPr id="1387" name="Line 13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767580" cy="0"/>
                        </a:xfrm>
                        <a:prstGeom prst="line">
                          <a:avLst/>
                        </a:prstGeom>
                        <a:noFill/>
                        <a:ln w="3052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0482A4" id="Line 1343" o:spid="_x0000_s1026" style="position:absolute;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4pt,116.3pt" to="410.8pt,116.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" strokeweight=".84786mm">
                <o:lock v:ext="edit" shapetype="f"/>
                <w10:wrap anchorx="page"/>
              </v:line>
            </w:pict>
          </mc:Fallback>
        </mc:AlternateContent>
      </w:r>
      <w:bookmarkStart w:id="126" w:name="_bookmark107"/>
      <w:bookmarkEnd w:id="126"/>
      <w:r>
        <w:rPr>
          <w:w w:val="105"/>
        </w:rPr>
        <w:t>mental disorder (Criterion D). The resulting picture is similar to what is observed during Benzodiazepine or Barbiturate Intoxication. The levels of incoordination can interfere with driving abilities and with performing usual activities to the point of causing accidents. Evidence of alcohol use can be obtained by smelling alcohol on the individual's breath, eliciting a history from the individual or another observer, and, when needed, having the individual undertake breath, blood, or urine toxicology analyses.</w:t>
      </w:r>
    </w:p>
    <w:p w:rsidR="00E675F0" w:rsidRDefault="00E675F0" w:rsidP="00E675F0">
      <w:pPr>
        <w:pStyle w:val="BodyText"/>
      </w:pPr>
    </w:p>
    <w:p w:rsidR="00E675F0" w:rsidRDefault="00E675F0" w:rsidP="00E675F0">
      <w:pPr>
        <w:pStyle w:val="BodyText"/>
      </w:pPr>
    </w:p>
    <w:p w:rsidR="00E675F0" w:rsidRDefault="00E675F0" w:rsidP="00E675F0">
      <w:pPr>
        <w:pStyle w:val="BodyText"/>
        <w:spacing w:before="3"/>
        <w:rPr>
          <w:sz w:val="23"/>
        </w:rPr>
      </w:pPr>
    </w:p>
    <w:tbl>
      <w:tblPr>
        <w:tblW w:w="0" w:type="auto"/>
        <w:tblInd w:w="223"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7329"/>
      </w:tblGrid>
      <w:tr w:rsidR="00E675F0" w:rsidTr="00A330E1">
        <w:trPr>
          <w:trHeight w:val="5169"/>
        </w:trPr>
        <w:tc>
          <w:tcPr>
            <w:tcW w:w="7329" w:type="dxa"/>
          </w:tcPr>
          <w:p w:rsidR="00E675F0" w:rsidRDefault="00E675F0" w:rsidP="003048D3">
            <w:pPr>
              <w:pStyle w:val="TableParagraph"/>
              <w:numPr>
                <w:ilvl w:val="0"/>
                <w:numId w:val="39"/>
              </w:numPr>
              <w:tabs>
                <w:tab w:val="left" w:pos="643"/>
              </w:tabs>
              <w:spacing w:line="535" w:lineRule="exact"/>
              <w:rPr>
                <w:b/>
                <w:sz w:val="26"/>
              </w:rPr>
            </w:pPr>
            <w:r>
              <w:rPr>
                <w:b/>
                <w:w w:val="105"/>
                <w:sz w:val="26"/>
              </w:rPr>
              <w:t>Diagnostic criteria for 303.00 Alcohol</w:t>
            </w:r>
            <w:r>
              <w:rPr>
                <w:b/>
                <w:spacing w:val="6"/>
                <w:w w:val="105"/>
                <w:sz w:val="26"/>
              </w:rPr>
              <w:t xml:space="preserve"> </w:t>
            </w:r>
            <w:r>
              <w:rPr>
                <w:b/>
                <w:w w:val="105"/>
                <w:sz w:val="26"/>
              </w:rPr>
              <w:t>Intoxication</w:t>
            </w:r>
          </w:p>
          <w:p w:rsidR="00E675F0" w:rsidRDefault="00E675F0" w:rsidP="003048D3">
            <w:pPr>
              <w:pStyle w:val="TableParagraph"/>
              <w:numPr>
                <w:ilvl w:val="1"/>
                <w:numId w:val="39"/>
              </w:numPr>
              <w:tabs>
                <w:tab w:val="left" w:pos="961"/>
              </w:tabs>
              <w:spacing w:before="161"/>
              <w:ind w:hanging="312"/>
              <w:rPr>
                <w:sz w:val="20"/>
              </w:rPr>
            </w:pPr>
            <w:r>
              <w:rPr>
                <w:w w:val="105"/>
                <w:sz w:val="20"/>
              </w:rPr>
              <w:t>Recent ingestion of</w:t>
            </w:r>
            <w:r>
              <w:rPr>
                <w:spacing w:val="-5"/>
                <w:w w:val="105"/>
                <w:sz w:val="20"/>
              </w:rPr>
              <w:t xml:space="preserve"> </w:t>
            </w:r>
            <w:r>
              <w:rPr>
                <w:w w:val="105"/>
                <w:sz w:val="20"/>
              </w:rPr>
              <w:t>alcohol.</w:t>
            </w:r>
          </w:p>
          <w:p w:rsidR="00E675F0" w:rsidRDefault="00E675F0" w:rsidP="00A330E1">
            <w:pPr>
              <w:pStyle w:val="TableParagraph"/>
              <w:spacing w:before="2"/>
              <w:rPr>
                <w:sz w:val="17"/>
              </w:rPr>
            </w:pPr>
          </w:p>
          <w:p w:rsidR="00E675F0" w:rsidRDefault="00E675F0" w:rsidP="003048D3">
            <w:pPr>
              <w:pStyle w:val="TableParagraph"/>
              <w:numPr>
                <w:ilvl w:val="1"/>
                <w:numId w:val="39"/>
              </w:numPr>
              <w:tabs>
                <w:tab w:val="left" w:pos="957"/>
              </w:tabs>
              <w:spacing w:line="254" w:lineRule="auto"/>
              <w:ind w:left="955" w:right="221" w:hanging="299"/>
              <w:jc w:val="both"/>
              <w:rPr>
                <w:sz w:val="20"/>
              </w:rPr>
            </w:pPr>
            <w:r>
              <w:rPr>
                <w:w w:val="105"/>
                <w:sz w:val="20"/>
              </w:rPr>
              <w:t>Clinically significant maladaptive behavioral or psychological changes (e.g., inappropriate sexual or aggressive behavior, mood !ability, im­ paired judgment, impaired social or occupational functioning) that developed during, or shortly after, alcohol</w:t>
            </w:r>
            <w:r>
              <w:rPr>
                <w:spacing w:val="25"/>
                <w:w w:val="105"/>
                <w:sz w:val="20"/>
              </w:rPr>
              <w:t xml:space="preserve"> </w:t>
            </w:r>
            <w:r>
              <w:rPr>
                <w:w w:val="105"/>
                <w:sz w:val="20"/>
              </w:rPr>
              <w:t>ingestion.</w:t>
            </w:r>
          </w:p>
          <w:p w:rsidR="00E675F0" w:rsidRDefault="00E675F0" w:rsidP="003048D3">
            <w:pPr>
              <w:pStyle w:val="TableParagraph"/>
              <w:numPr>
                <w:ilvl w:val="1"/>
                <w:numId w:val="39"/>
              </w:numPr>
              <w:tabs>
                <w:tab w:val="left" w:pos="957"/>
              </w:tabs>
              <w:spacing w:before="179" w:line="256" w:lineRule="auto"/>
              <w:ind w:left="956" w:right="226" w:hanging="303"/>
              <w:rPr>
                <w:sz w:val="18"/>
              </w:rPr>
            </w:pPr>
            <w:r>
              <w:rPr>
                <w:w w:val="105"/>
                <w:sz w:val="20"/>
              </w:rPr>
              <w:t>One</w:t>
            </w:r>
            <w:r>
              <w:rPr>
                <w:spacing w:val="2"/>
                <w:w w:val="105"/>
                <w:sz w:val="20"/>
              </w:rPr>
              <w:t xml:space="preserve"> </w:t>
            </w:r>
            <w:r>
              <w:rPr>
                <w:w w:val="105"/>
                <w:sz w:val="20"/>
              </w:rPr>
              <w:t>(or</w:t>
            </w:r>
            <w:r>
              <w:rPr>
                <w:spacing w:val="-11"/>
                <w:w w:val="105"/>
                <w:sz w:val="20"/>
              </w:rPr>
              <w:t xml:space="preserve"> </w:t>
            </w:r>
            <w:r>
              <w:rPr>
                <w:w w:val="105"/>
                <w:sz w:val="20"/>
              </w:rPr>
              <w:t>more)</w:t>
            </w:r>
            <w:r>
              <w:rPr>
                <w:spacing w:val="-11"/>
                <w:w w:val="105"/>
                <w:sz w:val="20"/>
              </w:rPr>
              <w:t xml:space="preserve"> </w:t>
            </w:r>
            <w:r>
              <w:rPr>
                <w:w w:val="105"/>
                <w:sz w:val="20"/>
              </w:rPr>
              <w:t>of</w:t>
            </w:r>
            <w:r>
              <w:rPr>
                <w:spacing w:val="-2"/>
                <w:w w:val="105"/>
                <w:sz w:val="20"/>
              </w:rPr>
              <w:t xml:space="preserve"> </w:t>
            </w:r>
            <w:r>
              <w:rPr>
                <w:w w:val="105"/>
                <w:sz w:val="20"/>
              </w:rPr>
              <w:t>the</w:t>
            </w:r>
            <w:r>
              <w:rPr>
                <w:spacing w:val="-20"/>
                <w:w w:val="105"/>
                <w:sz w:val="20"/>
              </w:rPr>
              <w:t xml:space="preserve"> </w:t>
            </w:r>
            <w:r>
              <w:rPr>
                <w:w w:val="105"/>
                <w:sz w:val="20"/>
              </w:rPr>
              <w:t>following</w:t>
            </w:r>
            <w:r>
              <w:rPr>
                <w:spacing w:val="-9"/>
                <w:w w:val="105"/>
                <w:sz w:val="20"/>
              </w:rPr>
              <w:t xml:space="preserve"> </w:t>
            </w:r>
            <w:r>
              <w:rPr>
                <w:w w:val="105"/>
                <w:sz w:val="20"/>
              </w:rPr>
              <w:t>signs,</w:t>
            </w:r>
            <w:r>
              <w:rPr>
                <w:spacing w:val="-6"/>
                <w:w w:val="105"/>
                <w:sz w:val="20"/>
              </w:rPr>
              <w:t xml:space="preserve"> </w:t>
            </w:r>
            <w:r>
              <w:rPr>
                <w:w w:val="105"/>
                <w:sz w:val="20"/>
              </w:rPr>
              <w:t>developing</w:t>
            </w:r>
            <w:r>
              <w:rPr>
                <w:spacing w:val="3"/>
                <w:w w:val="105"/>
                <w:sz w:val="20"/>
              </w:rPr>
              <w:t xml:space="preserve"> </w:t>
            </w:r>
            <w:r>
              <w:rPr>
                <w:w w:val="105"/>
                <w:sz w:val="20"/>
              </w:rPr>
              <w:t>during,</w:t>
            </w:r>
            <w:r>
              <w:rPr>
                <w:spacing w:val="-1"/>
                <w:w w:val="105"/>
                <w:sz w:val="20"/>
              </w:rPr>
              <w:t xml:space="preserve"> </w:t>
            </w:r>
            <w:r>
              <w:rPr>
                <w:w w:val="105"/>
                <w:sz w:val="20"/>
              </w:rPr>
              <w:t>or</w:t>
            </w:r>
            <w:r>
              <w:rPr>
                <w:spacing w:val="-15"/>
                <w:w w:val="105"/>
                <w:sz w:val="20"/>
              </w:rPr>
              <w:t xml:space="preserve"> </w:t>
            </w:r>
            <w:r>
              <w:rPr>
                <w:w w:val="105"/>
                <w:sz w:val="20"/>
              </w:rPr>
              <w:t>shortly</w:t>
            </w:r>
            <w:r>
              <w:rPr>
                <w:spacing w:val="-9"/>
                <w:w w:val="105"/>
                <w:sz w:val="20"/>
              </w:rPr>
              <w:t xml:space="preserve"> </w:t>
            </w:r>
            <w:r>
              <w:rPr>
                <w:w w:val="105"/>
                <w:sz w:val="20"/>
              </w:rPr>
              <w:t>after, alcohol</w:t>
            </w:r>
            <w:r>
              <w:rPr>
                <w:spacing w:val="28"/>
                <w:w w:val="105"/>
                <w:sz w:val="20"/>
              </w:rPr>
              <w:t xml:space="preserve"> </w:t>
            </w:r>
            <w:r>
              <w:rPr>
                <w:w w:val="105"/>
                <w:sz w:val="20"/>
              </w:rPr>
              <w:t>use:</w:t>
            </w:r>
          </w:p>
          <w:p w:rsidR="00E675F0" w:rsidRDefault="00E675F0" w:rsidP="003048D3">
            <w:pPr>
              <w:pStyle w:val="TableParagraph"/>
              <w:numPr>
                <w:ilvl w:val="2"/>
                <w:numId w:val="39"/>
              </w:numPr>
              <w:tabs>
                <w:tab w:val="left" w:pos="1377"/>
                <w:tab w:val="left" w:pos="1378"/>
              </w:tabs>
              <w:spacing w:before="56"/>
              <w:ind w:hanging="422"/>
              <w:rPr>
                <w:sz w:val="17"/>
              </w:rPr>
            </w:pPr>
            <w:r>
              <w:rPr>
                <w:w w:val="110"/>
                <w:sz w:val="20"/>
              </w:rPr>
              <w:t>slurred</w:t>
            </w:r>
            <w:r>
              <w:rPr>
                <w:spacing w:val="-28"/>
                <w:w w:val="110"/>
                <w:sz w:val="20"/>
              </w:rPr>
              <w:t xml:space="preserve"> </w:t>
            </w:r>
            <w:r>
              <w:rPr>
                <w:w w:val="110"/>
                <w:sz w:val="20"/>
              </w:rPr>
              <w:t>speech</w:t>
            </w:r>
          </w:p>
          <w:p w:rsidR="00E675F0" w:rsidRDefault="00E675F0" w:rsidP="003048D3">
            <w:pPr>
              <w:pStyle w:val="TableParagraph"/>
              <w:numPr>
                <w:ilvl w:val="2"/>
                <w:numId w:val="39"/>
              </w:numPr>
              <w:tabs>
                <w:tab w:val="left" w:pos="1387"/>
              </w:tabs>
              <w:spacing w:before="15"/>
              <w:ind w:left="1386" w:hanging="432"/>
              <w:rPr>
                <w:sz w:val="20"/>
              </w:rPr>
            </w:pPr>
            <w:r>
              <w:rPr>
                <w:w w:val="110"/>
                <w:sz w:val="20"/>
              </w:rPr>
              <w:t>incoordination</w:t>
            </w:r>
          </w:p>
          <w:p w:rsidR="00E675F0" w:rsidRDefault="00E675F0" w:rsidP="003048D3">
            <w:pPr>
              <w:pStyle w:val="TableParagraph"/>
              <w:numPr>
                <w:ilvl w:val="2"/>
                <w:numId w:val="39"/>
              </w:numPr>
              <w:tabs>
                <w:tab w:val="left" w:pos="1383"/>
              </w:tabs>
              <w:spacing w:before="15"/>
              <w:ind w:left="1382" w:hanging="428"/>
              <w:rPr>
                <w:sz w:val="20"/>
              </w:rPr>
            </w:pPr>
            <w:r>
              <w:rPr>
                <w:w w:val="105"/>
                <w:sz w:val="20"/>
              </w:rPr>
              <w:t>unsteady</w:t>
            </w:r>
            <w:r>
              <w:rPr>
                <w:spacing w:val="11"/>
                <w:w w:val="105"/>
                <w:sz w:val="20"/>
              </w:rPr>
              <w:t xml:space="preserve"> </w:t>
            </w:r>
            <w:r>
              <w:rPr>
                <w:w w:val="105"/>
                <w:sz w:val="20"/>
              </w:rPr>
              <w:t>gait</w:t>
            </w:r>
          </w:p>
          <w:p w:rsidR="00E675F0" w:rsidRDefault="00E675F0" w:rsidP="003048D3">
            <w:pPr>
              <w:pStyle w:val="TableParagraph"/>
              <w:numPr>
                <w:ilvl w:val="2"/>
                <w:numId w:val="39"/>
              </w:numPr>
              <w:tabs>
                <w:tab w:val="left" w:pos="1387"/>
              </w:tabs>
              <w:spacing w:before="10"/>
              <w:ind w:left="1386" w:hanging="432"/>
              <w:rPr>
                <w:sz w:val="20"/>
              </w:rPr>
            </w:pPr>
            <w:r>
              <w:rPr>
                <w:w w:val="105"/>
                <w:sz w:val="20"/>
              </w:rPr>
              <w:t>nystagmus</w:t>
            </w:r>
          </w:p>
          <w:p w:rsidR="00E675F0" w:rsidRDefault="00E675F0" w:rsidP="003048D3">
            <w:pPr>
              <w:pStyle w:val="TableParagraph"/>
              <w:numPr>
                <w:ilvl w:val="2"/>
                <w:numId w:val="39"/>
              </w:numPr>
              <w:tabs>
                <w:tab w:val="left" w:pos="1387"/>
              </w:tabs>
              <w:spacing w:before="20"/>
              <w:ind w:left="1386" w:hanging="432"/>
              <w:rPr>
                <w:sz w:val="20"/>
              </w:rPr>
            </w:pPr>
            <w:r>
              <w:rPr>
                <w:w w:val="105"/>
                <w:sz w:val="20"/>
              </w:rPr>
              <w:t>impairment in attention or</w:t>
            </w:r>
            <w:r>
              <w:rPr>
                <w:spacing w:val="16"/>
                <w:w w:val="105"/>
                <w:sz w:val="20"/>
              </w:rPr>
              <w:t xml:space="preserve"> </w:t>
            </w:r>
            <w:r>
              <w:rPr>
                <w:w w:val="105"/>
                <w:sz w:val="20"/>
              </w:rPr>
              <w:t>memory</w:t>
            </w:r>
          </w:p>
          <w:p w:rsidR="00E675F0" w:rsidRDefault="00E675F0" w:rsidP="003048D3">
            <w:pPr>
              <w:pStyle w:val="TableParagraph"/>
              <w:numPr>
                <w:ilvl w:val="2"/>
                <w:numId w:val="39"/>
              </w:numPr>
              <w:tabs>
                <w:tab w:val="left" w:pos="1382"/>
                <w:tab w:val="left" w:pos="1383"/>
              </w:tabs>
              <w:spacing w:before="15"/>
              <w:ind w:left="1382" w:hanging="422"/>
              <w:rPr>
                <w:sz w:val="17"/>
              </w:rPr>
            </w:pPr>
            <w:r>
              <w:rPr>
                <w:w w:val="110"/>
                <w:sz w:val="20"/>
              </w:rPr>
              <w:t>stupor or</w:t>
            </w:r>
            <w:r>
              <w:rPr>
                <w:spacing w:val="16"/>
                <w:w w:val="110"/>
                <w:sz w:val="20"/>
              </w:rPr>
              <w:t xml:space="preserve"> </w:t>
            </w:r>
            <w:r>
              <w:rPr>
                <w:w w:val="110"/>
                <w:sz w:val="20"/>
              </w:rPr>
              <w:t>coma</w:t>
            </w:r>
          </w:p>
          <w:p w:rsidR="00E675F0" w:rsidRDefault="00E675F0" w:rsidP="00A330E1">
            <w:pPr>
              <w:pStyle w:val="TableParagraph"/>
              <w:spacing w:before="3"/>
              <w:rPr>
                <w:sz w:val="17"/>
              </w:rPr>
            </w:pPr>
          </w:p>
          <w:p w:rsidR="00E675F0" w:rsidRDefault="00E675F0" w:rsidP="003048D3">
            <w:pPr>
              <w:pStyle w:val="TableParagraph"/>
              <w:numPr>
                <w:ilvl w:val="1"/>
                <w:numId w:val="39"/>
              </w:numPr>
              <w:tabs>
                <w:tab w:val="left" w:pos="953"/>
              </w:tabs>
              <w:spacing w:line="256" w:lineRule="auto"/>
              <w:ind w:left="964" w:right="226" w:hanging="308"/>
              <w:rPr>
                <w:sz w:val="20"/>
              </w:rPr>
            </w:pPr>
            <w:r>
              <w:rPr>
                <w:w w:val="105"/>
                <w:sz w:val="20"/>
              </w:rPr>
              <w:t>The symptoms are not due to a general medical condition and are not better accounted for by another mental</w:t>
            </w:r>
            <w:r>
              <w:rPr>
                <w:spacing w:val="45"/>
                <w:w w:val="105"/>
                <w:sz w:val="20"/>
              </w:rPr>
              <w:t xml:space="preserve"> </w:t>
            </w:r>
            <w:r>
              <w:rPr>
                <w:w w:val="105"/>
                <w:sz w:val="20"/>
              </w:rPr>
              <w:t>disorder.</w:t>
            </w:r>
          </w:p>
        </w:tc>
      </w:tr>
    </w:tbl>
    <w:p w:rsidR="00E675F0" w:rsidRDefault="00E675F0" w:rsidP="00E675F0">
      <w:pPr>
        <w:pStyle w:val="BodyText"/>
      </w:pPr>
    </w:p>
    <w:p w:rsidR="00E675F0" w:rsidRDefault="00E675F0" w:rsidP="00E675F0">
      <w:pPr>
        <w:pStyle w:val="BodyText"/>
        <w:rPr>
          <w:sz w:val="21"/>
        </w:rPr>
      </w:pPr>
    </w:p>
    <w:p w:rsidR="00E675F0" w:rsidRDefault="00E675F0" w:rsidP="003048D3">
      <w:pPr>
        <w:pStyle w:val="ListParagraph"/>
        <w:numPr>
          <w:ilvl w:val="1"/>
          <w:numId w:val="38"/>
        </w:numPr>
        <w:tabs>
          <w:tab w:val="left" w:pos="3094"/>
          <w:tab w:val="left" w:pos="3095"/>
        </w:tabs>
        <w:spacing w:before="89"/>
        <w:jc w:val="left"/>
        <w:rPr>
          <w:b/>
          <w:sz w:val="28"/>
        </w:rPr>
      </w:pPr>
      <w:r>
        <w:rPr>
          <w:b/>
          <w:sz w:val="28"/>
        </w:rPr>
        <w:t>Alcohol</w:t>
      </w:r>
      <w:r>
        <w:rPr>
          <w:b/>
          <w:spacing w:val="13"/>
          <w:sz w:val="28"/>
        </w:rPr>
        <w:t xml:space="preserve"> </w:t>
      </w:r>
      <w:r>
        <w:rPr>
          <w:b/>
          <w:sz w:val="28"/>
        </w:rPr>
        <w:t>Withdrawal</w:t>
      </w:r>
    </w:p>
    <w:p w:rsidR="00E675F0" w:rsidRDefault="00E675F0" w:rsidP="00E675F0">
      <w:pPr>
        <w:pStyle w:val="BodyText"/>
        <w:spacing w:before="8"/>
        <w:rPr>
          <w:b/>
          <w:sz w:val="35"/>
        </w:rPr>
      </w:pPr>
    </w:p>
    <w:p w:rsidR="00E675F0" w:rsidRDefault="00E675F0" w:rsidP="00E675F0">
      <w:pPr>
        <w:pStyle w:val="BodyText"/>
        <w:spacing w:before="1" w:line="254" w:lineRule="auto"/>
        <w:ind w:left="119" w:right="121" w:firstLine="1"/>
        <w:jc w:val="both"/>
      </w:pPr>
      <w:r>
        <w:rPr>
          <w:w w:val="105"/>
        </w:rPr>
        <w:t>Also refer to the text and criteria for Substance Withdrawal (see p. 184). The essential feature of Alcohol Withdrawal is the presence of a characteristic withdrawal syndrome that develops after the cessation of (or reduction in) heavy and prolonged alcohol use (Criteria A and B). The withdrawal syndrome includes two or more of the following symptoms: autonomic hyperactivity (e.g., sweating or pulse rate greater than 100); increased</w:t>
      </w:r>
      <w:r>
        <w:rPr>
          <w:spacing w:val="-2"/>
          <w:w w:val="105"/>
        </w:rPr>
        <w:t xml:space="preserve"> </w:t>
      </w:r>
      <w:r>
        <w:rPr>
          <w:w w:val="105"/>
        </w:rPr>
        <w:t>hand</w:t>
      </w:r>
      <w:r>
        <w:rPr>
          <w:spacing w:val="-6"/>
          <w:w w:val="105"/>
        </w:rPr>
        <w:t xml:space="preserve"> </w:t>
      </w:r>
      <w:r>
        <w:rPr>
          <w:w w:val="105"/>
        </w:rPr>
        <w:t>tremor;</w:t>
      </w:r>
      <w:r>
        <w:rPr>
          <w:spacing w:val="-7"/>
          <w:w w:val="105"/>
        </w:rPr>
        <w:t xml:space="preserve"> </w:t>
      </w:r>
      <w:r>
        <w:rPr>
          <w:w w:val="105"/>
        </w:rPr>
        <w:t>insomnia;</w:t>
      </w:r>
      <w:r>
        <w:rPr>
          <w:spacing w:val="-3"/>
          <w:w w:val="105"/>
        </w:rPr>
        <w:t xml:space="preserve"> </w:t>
      </w:r>
      <w:r>
        <w:rPr>
          <w:w w:val="105"/>
        </w:rPr>
        <w:t>nausea</w:t>
      </w:r>
      <w:r>
        <w:rPr>
          <w:spacing w:val="-9"/>
          <w:w w:val="105"/>
        </w:rPr>
        <w:t xml:space="preserve"> </w:t>
      </w:r>
      <w:r>
        <w:rPr>
          <w:w w:val="105"/>
        </w:rPr>
        <w:t>or</w:t>
      </w:r>
      <w:r>
        <w:rPr>
          <w:spacing w:val="-13"/>
          <w:w w:val="105"/>
        </w:rPr>
        <w:t xml:space="preserve"> </w:t>
      </w:r>
      <w:r>
        <w:rPr>
          <w:w w:val="105"/>
        </w:rPr>
        <w:t>vomiting;</w:t>
      </w:r>
      <w:r>
        <w:rPr>
          <w:spacing w:val="-2"/>
          <w:w w:val="105"/>
        </w:rPr>
        <w:t xml:space="preserve"> </w:t>
      </w:r>
      <w:r>
        <w:rPr>
          <w:w w:val="105"/>
        </w:rPr>
        <w:t>transient</w:t>
      </w:r>
      <w:r>
        <w:rPr>
          <w:spacing w:val="-3"/>
          <w:w w:val="105"/>
        </w:rPr>
        <w:t xml:space="preserve"> </w:t>
      </w:r>
      <w:r>
        <w:rPr>
          <w:w w:val="105"/>
        </w:rPr>
        <w:t>visual,</w:t>
      </w:r>
      <w:r>
        <w:rPr>
          <w:spacing w:val="-4"/>
          <w:w w:val="105"/>
        </w:rPr>
        <w:t xml:space="preserve"> </w:t>
      </w:r>
      <w:r>
        <w:rPr>
          <w:w w:val="105"/>
        </w:rPr>
        <w:t>tactile,</w:t>
      </w:r>
      <w:r>
        <w:rPr>
          <w:spacing w:val="-3"/>
          <w:w w:val="105"/>
        </w:rPr>
        <w:t xml:space="preserve"> </w:t>
      </w:r>
      <w:r>
        <w:rPr>
          <w:w w:val="105"/>
        </w:rPr>
        <w:t>or</w:t>
      </w:r>
      <w:r>
        <w:rPr>
          <w:spacing w:val="-22"/>
          <w:w w:val="105"/>
        </w:rPr>
        <w:t xml:space="preserve"> </w:t>
      </w:r>
      <w:r>
        <w:rPr>
          <w:w w:val="105"/>
        </w:rPr>
        <w:t>auditory hallucinations</w:t>
      </w:r>
      <w:r>
        <w:rPr>
          <w:spacing w:val="-21"/>
          <w:w w:val="105"/>
        </w:rPr>
        <w:t xml:space="preserve"> </w:t>
      </w:r>
      <w:r>
        <w:rPr>
          <w:w w:val="105"/>
        </w:rPr>
        <w:t>or</w:t>
      </w:r>
      <w:r>
        <w:rPr>
          <w:spacing w:val="-10"/>
          <w:w w:val="105"/>
        </w:rPr>
        <w:t xml:space="preserve"> </w:t>
      </w:r>
      <w:r>
        <w:rPr>
          <w:w w:val="105"/>
        </w:rPr>
        <w:t>illusions;</w:t>
      </w:r>
      <w:r>
        <w:rPr>
          <w:spacing w:val="-3"/>
          <w:w w:val="105"/>
        </w:rPr>
        <w:t xml:space="preserve"> </w:t>
      </w:r>
      <w:r>
        <w:rPr>
          <w:w w:val="105"/>
        </w:rPr>
        <w:t>psychomotor</w:t>
      </w:r>
      <w:r>
        <w:rPr>
          <w:spacing w:val="-10"/>
          <w:w w:val="105"/>
        </w:rPr>
        <w:t xml:space="preserve"> </w:t>
      </w:r>
      <w:r>
        <w:rPr>
          <w:w w:val="105"/>
        </w:rPr>
        <w:t>agitation;</w:t>
      </w:r>
      <w:r>
        <w:rPr>
          <w:spacing w:val="-6"/>
          <w:w w:val="105"/>
        </w:rPr>
        <w:t xml:space="preserve"> </w:t>
      </w:r>
      <w:r>
        <w:rPr>
          <w:w w:val="105"/>
        </w:rPr>
        <w:t>anxiety;</w:t>
      </w:r>
      <w:r>
        <w:rPr>
          <w:spacing w:val="-2"/>
          <w:w w:val="105"/>
        </w:rPr>
        <w:t xml:space="preserve"> </w:t>
      </w:r>
      <w:r>
        <w:rPr>
          <w:w w:val="105"/>
        </w:rPr>
        <w:t>and</w:t>
      </w:r>
      <w:r>
        <w:rPr>
          <w:spacing w:val="-18"/>
          <w:w w:val="105"/>
        </w:rPr>
        <w:t xml:space="preserve"> </w:t>
      </w:r>
      <w:r>
        <w:rPr>
          <w:w w:val="105"/>
        </w:rPr>
        <w:t>grand</w:t>
      </w:r>
      <w:r>
        <w:rPr>
          <w:spacing w:val="-10"/>
          <w:w w:val="105"/>
        </w:rPr>
        <w:t xml:space="preserve"> </w:t>
      </w:r>
      <w:r>
        <w:rPr>
          <w:w w:val="105"/>
        </w:rPr>
        <w:t>ma!</w:t>
      </w:r>
      <w:r>
        <w:rPr>
          <w:spacing w:val="-35"/>
          <w:w w:val="105"/>
        </w:rPr>
        <w:t xml:space="preserve"> </w:t>
      </w:r>
      <w:r>
        <w:rPr>
          <w:w w:val="105"/>
        </w:rPr>
        <w:t>seizures.</w:t>
      </w:r>
      <w:r>
        <w:rPr>
          <w:spacing w:val="-13"/>
          <w:w w:val="105"/>
        </w:rPr>
        <w:t xml:space="preserve"> </w:t>
      </w:r>
      <w:r>
        <w:rPr>
          <w:w w:val="105"/>
        </w:rPr>
        <w:t>When hallucinations or illusions are observed, the clinician can specify With Perceptual Disturbances (see below). The symptoms cause clinically significant distress or impair­ ment in social, occupational, or other important areas of functioning (Criterion C). The symptoms must not be due to a general medical condition and are not better accounted for by another mental disorder (e.g., Sedative, Hypnotic, or Anxiolytic Withdrawal or Generalized Anxiety Disorder) (Criterion</w:t>
      </w:r>
      <w:r>
        <w:rPr>
          <w:spacing w:val="9"/>
          <w:w w:val="105"/>
        </w:rPr>
        <w:t xml:space="preserve"> </w:t>
      </w:r>
      <w:r>
        <w:rPr>
          <w:w w:val="105"/>
        </w:rPr>
        <w:t>D).</w:t>
      </w:r>
    </w:p>
    <w:p w:rsidR="00E675F0" w:rsidRDefault="00E675F0" w:rsidP="00E675F0">
      <w:pPr>
        <w:spacing w:line="254" w:lineRule="auto"/>
        <w:jc w:val="both"/>
        <w:sectPr w:rsidR="00E675F0">
          <w:pgSz w:w="8960" w:h="14260"/>
          <w:pgMar w:top="1400" w:right="640" w:bottom="280" w:left="600" w:header="684" w:footer="0" w:gutter="0"/>
          <w:cols w:space="720"/>
        </w:sectPr>
      </w:pPr>
    </w:p>
    <w:p w:rsidR="00E675F0" w:rsidRDefault="00E675F0" w:rsidP="00E675F0">
      <w:pPr>
        <w:pStyle w:val="BodyText"/>
        <w:spacing w:before="113" w:line="254" w:lineRule="auto"/>
        <w:ind w:left="103" w:right="144" w:firstLine="363"/>
        <w:jc w:val="both"/>
      </w:pPr>
      <w:bookmarkStart w:id="127" w:name="_bookmark108"/>
      <w:bookmarkEnd w:id="127"/>
      <w:r>
        <w:rPr>
          <w:w w:val="110"/>
        </w:rPr>
        <w:lastRenderedPageBreak/>
        <w:t>Symptoms</w:t>
      </w:r>
      <w:r>
        <w:rPr>
          <w:spacing w:val="-19"/>
          <w:w w:val="110"/>
        </w:rPr>
        <w:t xml:space="preserve"> </w:t>
      </w:r>
      <w:r>
        <w:rPr>
          <w:w w:val="110"/>
        </w:rPr>
        <w:t>are</w:t>
      </w:r>
      <w:r>
        <w:rPr>
          <w:spacing w:val="-20"/>
          <w:w w:val="110"/>
        </w:rPr>
        <w:t xml:space="preserve"> </w:t>
      </w:r>
      <w:r>
        <w:rPr>
          <w:w w:val="110"/>
        </w:rPr>
        <w:t>usually</w:t>
      </w:r>
      <w:r>
        <w:rPr>
          <w:spacing w:val="-16"/>
          <w:w w:val="110"/>
        </w:rPr>
        <w:t xml:space="preserve"> </w:t>
      </w:r>
      <w:r>
        <w:rPr>
          <w:w w:val="110"/>
        </w:rPr>
        <w:t>relieved</w:t>
      </w:r>
      <w:r>
        <w:rPr>
          <w:spacing w:val="-10"/>
          <w:w w:val="110"/>
        </w:rPr>
        <w:t xml:space="preserve"> </w:t>
      </w:r>
      <w:r>
        <w:rPr>
          <w:w w:val="110"/>
        </w:rPr>
        <w:t>by</w:t>
      </w:r>
      <w:r>
        <w:rPr>
          <w:spacing w:val="-21"/>
          <w:w w:val="110"/>
        </w:rPr>
        <w:t xml:space="preserve"> </w:t>
      </w:r>
      <w:r>
        <w:rPr>
          <w:w w:val="110"/>
        </w:rPr>
        <w:t>administering</w:t>
      </w:r>
      <w:r>
        <w:rPr>
          <w:spacing w:val="-9"/>
          <w:w w:val="110"/>
        </w:rPr>
        <w:t xml:space="preserve"> </w:t>
      </w:r>
      <w:r>
        <w:rPr>
          <w:w w:val="110"/>
        </w:rPr>
        <w:t>alcohol</w:t>
      </w:r>
      <w:r>
        <w:rPr>
          <w:spacing w:val="-14"/>
          <w:w w:val="110"/>
        </w:rPr>
        <w:t xml:space="preserve"> </w:t>
      </w:r>
      <w:r>
        <w:rPr>
          <w:w w:val="110"/>
        </w:rPr>
        <w:t>or</w:t>
      </w:r>
      <w:r>
        <w:rPr>
          <w:spacing w:val="-20"/>
          <w:w w:val="110"/>
        </w:rPr>
        <w:t xml:space="preserve"> </w:t>
      </w:r>
      <w:r>
        <w:rPr>
          <w:w w:val="110"/>
        </w:rPr>
        <w:t>any</w:t>
      </w:r>
      <w:r>
        <w:rPr>
          <w:spacing w:val="-23"/>
          <w:w w:val="110"/>
        </w:rPr>
        <w:t xml:space="preserve"> </w:t>
      </w:r>
      <w:r>
        <w:rPr>
          <w:w w:val="110"/>
        </w:rPr>
        <w:t>other</w:t>
      </w:r>
      <w:r>
        <w:rPr>
          <w:spacing w:val="-17"/>
          <w:w w:val="110"/>
        </w:rPr>
        <w:t xml:space="preserve"> </w:t>
      </w:r>
      <w:r>
        <w:rPr>
          <w:w w:val="110"/>
        </w:rPr>
        <w:t>brain</w:t>
      </w:r>
      <w:r>
        <w:rPr>
          <w:spacing w:val="-15"/>
          <w:w w:val="110"/>
        </w:rPr>
        <w:t xml:space="preserve"> </w:t>
      </w:r>
      <w:r>
        <w:rPr>
          <w:w w:val="110"/>
        </w:rPr>
        <w:t>depres­ sant.</w:t>
      </w:r>
      <w:r>
        <w:rPr>
          <w:spacing w:val="-16"/>
          <w:w w:val="110"/>
        </w:rPr>
        <w:t xml:space="preserve"> </w:t>
      </w:r>
      <w:r>
        <w:rPr>
          <w:w w:val="110"/>
        </w:rPr>
        <w:t>The</w:t>
      </w:r>
      <w:r>
        <w:rPr>
          <w:spacing w:val="-13"/>
          <w:w w:val="110"/>
        </w:rPr>
        <w:t xml:space="preserve"> </w:t>
      </w:r>
      <w:r>
        <w:rPr>
          <w:w w:val="110"/>
        </w:rPr>
        <w:t>withdrawal</w:t>
      </w:r>
      <w:r>
        <w:rPr>
          <w:spacing w:val="-4"/>
          <w:w w:val="110"/>
        </w:rPr>
        <w:t xml:space="preserve"> </w:t>
      </w:r>
      <w:r>
        <w:rPr>
          <w:w w:val="110"/>
        </w:rPr>
        <w:t>symptoms</w:t>
      </w:r>
      <w:r>
        <w:rPr>
          <w:spacing w:val="-9"/>
          <w:w w:val="110"/>
        </w:rPr>
        <w:t xml:space="preserve"> </w:t>
      </w:r>
      <w:r>
        <w:rPr>
          <w:w w:val="110"/>
        </w:rPr>
        <w:t>typically</w:t>
      </w:r>
      <w:r>
        <w:rPr>
          <w:spacing w:val="-3"/>
          <w:w w:val="110"/>
        </w:rPr>
        <w:t xml:space="preserve"> </w:t>
      </w:r>
      <w:r>
        <w:rPr>
          <w:w w:val="110"/>
        </w:rPr>
        <w:t>begin</w:t>
      </w:r>
      <w:r>
        <w:rPr>
          <w:spacing w:val="-11"/>
          <w:w w:val="110"/>
        </w:rPr>
        <w:t xml:space="preserve"> </w:t>
      </w:r>
      <w:r>
        <w:rPr>
          <w:w w:val="110"/>
        </w:rPr>
        <w:t>when</w:t>
      </w:r>
      <w:r>
        <w:rPr>
          <w:spacing w:val="-8"/>
          <w:w w:val="110"/>
        </w:rPr>
        <w:t xml:space="preserve"> </w:t>
      </w:r>
      <w:r>
        <w:rPr>
          <w:w w:val="110"/>
        </w:rPr>
        <w:t>blood</w:t>
      </w:r>
      <w:r>
        <w:rPr>
          <w:spacing w:val="-10"/>
          <w:w w:val="110"/>
        </w:rPr>
        <w:t xml:space="preserve"> </w:t>
      </w:r>
      <w:r>
        <w:rPr>
          <w:w w:val="110"/>
        </w:rPr>
        <w:t>concentrations</w:t>
      </w:r>
      <w:r>
        <w:rPr>
          <w:spacing w:val="-14"/>
          <w:w w:val="110"/>
        </w:rPr>
        <w:t xml:space="preserve"> </w:t>
      </w:r>
      <w:r>
        <w:rPr>
          <w:w w:val="110"/>
        </w:rPr>
        <w:t>of</w:t>
      </w:r>
      <w:r>
        <w:rPr>
          <w:spacing w:val="-11"/>
          <w:w w:val="110"/>
        </w:rPr>
        <w:t xml:space="preserve"> </w:t>
      </w:r>
      <w:r>
        <w:rPr>
          <w:w w:val="110"/>
        </w:rPr>
        <w:t>alcohol decline</w:t>
      </w:r>
      <w:r>
        <w:rPr>
          <w:spacing w:val="-22"/>
          <w:w w:val="110"/>
        </w:rPr>
        <w:t xml:space="preserve"> </w:t>
      </w:r>
      <w:r>
        <w:rPr>
          <w:w w:val="110"/>
        </w:rPr>
        <w:t>sharply</w:t>
      </w:r>
      <w:r>
        <w:rPr>
          <w:spacing w:val="-20"/>
          <w:w w:val="110"/>
        </w:rPr>
        <w:t xml:space="preserve"> </w:t>
      </w:r>
      <w:r>
        <w:rPr>
          <w:w w:val="110"/>
        </w:rPr>
        <w:t>(i.e.,</w:t>
      </w:r>
      <w:r>
        <w:rPr>
          <w:spacing w:val="-17"/>
          <w:w w:val="110"/>
        </w:rPr>
        <w:t xml:space="preserve"> </w:t>
      </w:r>
      <w:r>
        <w:rPr>
          <w:w w:val="110"/>
        </w:rPr>
        <w:t>within</w:t>
      </w:r>
      <w:r>
        <w:rPr>
          <w:spacing w:val="-15"/>
          <w:w w:val="110"/>
        </w:rPr>
        <w:t xml:space="preserve"> </w:t>
      </w:r>
      <w:r>
        <w:rPr>
          <w:w w:val="110"/>
        </w:rPr>
        <w:t>4--12</w:t>
      </w:r>
      <w:r>
        <w:rPr>
          <w:spacing w:val="-9"/>
          <w:w w:val="110"/>
        </w:rPr>
        <w:t xml:space="preserve"> </w:t>
      </w:r>
      <w:r>
        <w:rPr>
          <w:w w:val="110"/>
        </w:rPr>
        <w:t>hours)</w:t>
      </w:r>
      <w:r>
        <w:rPr>
          <w:spacing w:val="-17"/>
          <w:w w:val="110"/>
        </w:rPr>
        <w:t xml:space="preserve"> </w:t>
      </w:r>
      <w:r>
        <w:rPr>
          <w:w w:val="110"/>
        </w:rPr>
        <w:t>after</w:t>
      </w:r>
      <w:r>
        <w:rPr>
          <w:spacing w:val="-18"/>
          <w:w w:val="110"/>
        </w:rPr>
        <w:t xml:space="preserve"> </w:t>
      </w:r>
      <w:r>
        <w:rPr>
          <w:w w:val="110"/>
        </w:rPr>
        <w:t>alcohol</w:t>
      </w:r>
      <w:r>
        <w:rPr>
          <w:spacing w:val="-12"/>
          <w:w w:val="110"/>
        </w:rPr>
        <w:t xml:space="preserve"> </w:t>
      </w:r>
      <w:r>
        <w:rPr>
          <w:w w:val="110"/>
        </w:rPr>
        <w:t>use</w:t>
      </w:r>
      <w:r>
        <w:rPr>
          <w:spacing w:val="-19"/>
          <w:w w:val="110"/>
        </w:rPr>
        <w:t xml:space="preserve"> </w:t>
      </w:r>
      <w:r>
        <w:rPr>
          <w:w w:val="110"/>
        </w:rPr>
        <w:t>has</w:t>
      </w:r>
      <w:r>
        <w:rPr>
          <w:spacing w:val="-15"/>
          <w:w w:val="110"/>
        </w:rPr>
        <w:t xml:space="preserve"> </w:t>
      </w:r>
      <w:r>
        <w:rPr>
          <w:w w:val="110"/>
        </w:rPr>
        <w:t>been</w:t>
      </w:r>
      <w:r>
        <w:rPr>
          <w:spacing w:val="-19"/>
          <w:w w:val="110"/>
        </w:rPr>
        <w:t xml:space="preserve"> </w:t>
      </w:r>
      <w:r>
        <w:rPr>
          <w:w w:val="110"/>
        </w:rPr>
        <w:t>stopped</w:t>
      </w:r>
      <w:r>
        <w:rPr>
          <w:spacing w:val="-14"/>
          <w:w w:val="110"/>
        </w:rPr>
        <w:t xml:space="preserve"> </w:t>
      </w:r>
      <w:r>
        <w:rPr>
          <w:w w:val="110"/>
        </w:rPr>
        <w:t>or</w:t>
      </w:r>
      <w:r>
        <w:rPr>
          <w:spacing w:val="-17"/>
          <w:w w:val="110"/>
        </w:rPr>
        <w:t xml:space="preserve"> </w:t>
      </w:r>
      <w:r>
        <w:rPr>
          <w:w w:val="110"/>
        </w:rPr>
        <w:t>reduced. However, withdrawal symptoms can develop after longer periods of time (i.e., for up to</w:t>
      </w:r>
      <w:r>
        <w:rPr>
          <w:spacing w:val="-35"/>
          <w:w w:val="110"/>
        </w:rPr>
        <w:t xml:space="preserve"> </w:t>
      </w:r>
      <w:r>
        <w:rPr>
          <w:w w:val="110"/>
        </w:rPr>
        <w:t>a</w:t>
      </w:r>
      <w:r>
        <w:rPr>
          <w:spacing w:val="-40"/>
          <w:w w:val="110"/>
        </w:rPr>
        <w:t xml:space="preserve"> </w:t>
      </w:r>
      <w:r>
        <w:rPr>
          <w:w w:val="110"/>
        </w:rPr>
        <w:t>few</w:t>
      </w:r>
      <w:r>
        <w:rPr>
          <w:spacing w:val="-38"/>
          <w:w w:val="110"/>
        </w:rPr>
        <w:t xml:space="preserve"> </w:t>
      </w:r>
      <w:r>
        <w:rPr>
          <w:w w:val="110"/>
        </w:rPr>
        <w:t>days).</w:t>
      </w:r>
      <w:r>
        <w:rPr>
          <w:spacing w:val="-36"/>
          <w:w w:val="110"/>
        </w:rPr>
        <w:t xml:space="preserve"> </w:t>
      </w:r>
      <w:r>
        <w:rPr>
          <w:w w:val="110"/>
        </w:rPr>
        <w:t>Because</w:t>
      </w:r>
      <w:r>
        <w:rPr>
          <w:spacing w:val="-33"/>
          <w:w w:val="110"/>
        </w:rPr>
        <w:t xml:space="preserve"> </w:t>
      </w:r>
      <w:r>
        <w:rPr>
          <w:w w:val="110"/>
        </w:rPr>
        <w:t>of</w:t>
      </w:r>
      <w:r>
        <w:rPr>
          <w:spacing w:val="-34"/>
          <w:w w:val="110"/>
        </w:rPr>
        <w:t xml:space="preserve"> </w:t>
      </w:r>
      <w:r>
        <w:rPr>
          <w:w w:val="110"/>
        </w:rPr>
        <w:t>the</w:t>
      </w:r>
      <w:r>
        <w:rPr>
          <w:spacing w:val="-40"/>
          <w:w w:val="110"/>
        </w:rPr>
        <w:t xml:space="preserve"> </w:t>
      </w:r>
      <w:r>
        <w:rPr>
          <w:w w:val="110"/>
        </w:rPr>
        <w:t>short</w:t>
      </w:r>
      <w:r>
        <w:rPr>
          <w:spacing w:val="-34"/>
          <w:w w:val="110"/>
        </w:rPr>
        <w:t xml:space="preserve"> </w:t>
      </w:r>
      <w:r>
        <w:rPr>
          <w:w w:val="110"/>
        </w:rPr>
        <w:t>half-life</w:t>
      </w:r>
      <w:r>
        <w:rPr>
          <w:spacing w:val="-33"/>
          <w:w w:val="110"/>
        </w:rPr>
        <w:t xml:space="preserve"> </w:t>
      </w:r>
      <w:r>
        <w:rPr>
          <w:w w:val="110"/>
        </w:rPr>
        <w:t>of</w:t>
      </w:r>
      <w:r>
        <w:rPr>
          <w:spacing w:val="-36"/>
          <w:w w:val="110"/>
        </w:rPr>
        <w:t xml:space="preserve"> </w:t>
      </w:r>
      <w:r>
        <w:rPr>
          <w:w w:val="110"/>
        </w:rPr>
        <w:t>alcohol,</w:t>
      </w:r>
      <w:r>
        <w:rPr>
          <w:spacing w:val="-33"/>
          <w:w w:val="110"/>
        </w:rPr>
        <w:t xml:space="preserve"> </w:t>
      </w:r>
      <w:r>
        <w:rPr>
          <w:w w:val="110"/>
        </w:rPr>
        <w:t>symptoms</w:t>
      </w:r>
      <w:r>
        <w:rPr>
          <w:spacing w:val="-34"/>
          <w:w w:val="110"/>
        </w:rPr>
        <w:t xml:space="preserve"> </w:t>
      </w:r>
      <w:r>
        <w:rPr>
          <w:w w:val="110"/>
        </w:rPr>
        <w:t>of</w:t>
      </w:r>
      <w:r>
        <w:rPr>
          <w:spacing w:val="-33"/>
          <w:w w:val="110"/>
        </w:rPr>
        <w:t xml:space="preserve"> </w:t>
      </w:r>
      <w:r>
        <w:rPr>
          <w:w w:val="110"/>
        </w:rPr>
        <w:t>Alcohol</w:t>
      </w:r>
      <w:r>
        <w:rPr>
          <w:spacing w:val="-35"/>
          <w:w w:val="110"/>
        </w:rPr>
        <w:t xml:space="preserve"> </w:t>
      </w:r>
      <w:r>
        <w:rPr>
          <w:w w:val="110"/>
        </w:rPr>
        <w:t>Withdrawal usually</w:t>
      </w:r>
      <w:r>
        <w:rPr>
          <w:spacing w:val="-8"/>
          <w:w w:val="110"/>
        </w:rPr>
        <w:t xml:space="preserve"> </w:t>
      </w:r>
      <w:r>
        <w:rPr>
          <w:w w:val="110"/>
        </w:rPr>
        <w:t>peak</w:t>
      </w:r>
      <w:r>
        <w:rPr>
          <w:spacing w:val="-6"/>
          <w:w w:val="110"/>
        </w:rPr>
        <w:t xml:space="preserve"> </w:t>
      </w:r>
      <w:r>
        <w:rPr>
          <w:w w:val="110"/>
        </w:rPr>
        <w:t>in</w:t>
      </w:r>
      <w:r>
        <w:rPr>
          <w:spacing w:val="-15"/>
          <w:w w:val="110"/>
        </w:rPr>
        <w:t xml:space="preserve"> </w:t>
      </w:r>
      <w:r>
        <w:rPr>
          <w:w w:val="110"/>
        </w:rPr>
        <w:t>intensity</w:t>
      </w:r>
      <w:r>
        <w:rPr>
          <w:spacing w:val="-11"/>
          <w:w w:val="110"/>
        </w:rPr>
        <w:t xml:space="preserve"> </w:t>
      </w:r>
      <w:r>
        <w:rPr>
          <w:w w:val="110"/>
        </w:rPr>
        <w:t>during</w:t>
      </w:r>
      <w:r>
        <w:rPr>
          <w:spacing w:val="-13"/>
          <w:w w:val="110"/>
        </w:rPr>
        <w:t xml:space="preserve"> </w:t>
      </w:r>
      <w:r>
        <w:rPr>
          <w:w w:val="110"/>
        </w:rPr>
        <w:t>the</w:t>
      </w:r>
      <w:r>
        <w:rPr>
          <w:spacing w:val="-17"/>
          <w:w w:val="110"/>
        </w:rPr>
        <w:t xml:space="preserve"> </w:t>
      </w:r>
      <w:r>
        <w:rPr>
          <w:w w:val="110"/>
        </w:rPr>
        <w:t>second</w:t>
      </w:r>
      <w:r>
        <w:rPr>
          <w:spacing w:val="-9"/>
          <w:w w:val="110"/>
        </w:rPr>
        <w:t xml:space="preserve"> </w:t>
      </w:r>
      <w:r>
        <w:rPr>
          <w:w w:val="110"/>
        </w:rPr>
        <w:t>day</w:t>
      </w:r>
      <w:r>
        <w:rPr>
          <w:spacing w:val="-17"/>
          <w:w w:val="110"/>
        </w:rPr>
        <w:t xml:space="preserve"> </w:t>
      </w:r>
      <w:r>
        <w:rPr>
          <w:w w:val="110"/>
        </w:rPr>
        <w:t>of</w:t>
      </w:r>
      <w:r>
        <w:rPr>
          <w:spacing w:val="-9"/>
          <w:w w:val="110"/>
        </w:rPr>
        <w:t xml:space="preserve"> </w:t>
      </w:r>
      <w:r>
        <w:rPr>
          <w:w w:val="110"/>
        </w:rPr>
        <w:t>abstinence</w:t>
      </w:r>
      <w:r>
        <w:rPr>
          <w:spacing w:val="-11"/>
          <w:w w:val="110"/>
        </w:rPr>
        <w:t xml:space="preserve"> </w:t>
      </w:r>
      <w:r>
        <w:rPr>
          <w:w w:val="110"/>
        </w:rPr>
        <w:t>and</w:t>
      </w:r>
      <w:r>
        <w:rPr>
          <w:spacing w:val="-15"/>
          <w:w w:val="110"/>
        </w:rPr>
        <w:t xml:space="preserve"> </w:t>
      </w:r>
      <w:r>
        <w:rPr>
          <w:w w:val="110"/>
        </w:rPr>
        <w:t>are</w:t>
      </w:r>
      <w:r>
        <w:rPr>
          <w:spacing w:val="-17"/>
          <w:w w:val="110"/>
        </w:rPr>
        <w:t xml:space="preserve"> </w:t>
      </w:r>
      <w:r>
        <w:rPr>
          <w:w w:val="110"/>
        </w:rPr>
        <w:t>likely</w:t>
      </w:r>
      <w:r>
        <w:rPr>
          <w:spacing w:val="-14"/>
          <w:w w:val="110"/>
        </w:rPr>
        <w:t xml:space="preserve"> </w:t>
      </w:r>
      <w:r>
        <w:rPr>
          <w:w w:val="110"/>
        </w:rPr>
        <w:t>to</w:t>
      </w:r>
      <w:r>
        <w:rPr>
          <w:spacing w:val="-18"/>
          <w:w w:val="110"/>
        </w:rPr>
        <w:t xml:space="preserve"> </w:t>
      </w:r>
      <w:r>
        <w:rPr>
          <w:w w:val="110"/>
        </w:rPr>
        <w:t>improve markedly</w:t>
      </w:r>
      <w:r>
        <w:rPr>
          <w:spacing w:val="-9"/>
          <w:w w:val="110"/>
        </w:rPr>
        <w:t xml:space="preserve"> </w:t>
      </w:r>
      <w:r>
        <w:rPr>
          <w:w w:val="110"/>
        </w:rPr>
        <w:t>by</w:t>
      </w:r>
      <w:r>
        <w:rPr>
          <w:spacing w:val="-15"/>
          <w:w w:val="110"/>
        </w:rPr>
        <w:t xml:space="preserve"> </w:t>
      </w:r>
      <w:r>
        <w:rPr>
          <w:w w:val="110"/>
        </w:rPr>
        <w:t>the</w:t>
      </w:r>
      <w:r>
        <w:rPr>
          <w:spacing w:val="-19"/>
          <w:w w:val="110"/>
        </w:rPr>
        <w:t xml:space="preserve"> </w:t>
      </w:r>
      <w:r>
        <w:rPr>
          <w:w w:val="110"/>
        </w:rPr>
        <w:t>fourth</w:t>
      </w:r>
      <w:r>
        <w:rPr>
          <w:spacing w:val="-10"/>
          <w:w w:val="110"/>
        </w:rPr>
        <w:t xml:space="preserve"> </w:t>
      </w:r>
      <w:r>
        <w:rPr>
          <w:w w:val="110"/>
        </w:rPr>
        <w:t>or</w:t>
      </w:r>
      <w:r>
        <w:rPr>
          <w:spacing w:val="-18"/>
          <w:w w:val="110"/>
        </w:rPr>
        <w:t xml:space="preserve"> </w:t>
      </w:r>
      <w:r>
        <w:rPr>
          <w:w w:val="110"/>
        </w:rPr>
        <w:t>fifth</w:t>
      </w:r>
      <w:r>
        <w:rPr>
          <w:spacing w:val="-13"/>
          <w:w w:val="110"/>
        </w:rPr>
        <w:t xml:space="preserve"> </w:t>
      </w:r>
      <w:r>
        <w:rPr>
          <w:w w:val="110"/>
        </w:rPr>
        <w:t>day.</w:t>
      </w:r>
      <w:r>
        <w:rPr>
          <w:spacing w:val="-12"/>
          <w:w w:val="110"/>
        </w:rPr>
        <w:t xml:space="preserve"> </w:t>
      </w:r>
      <w:r>
        <w:rPr>
          <w:w w:val="110"/>
        </w:rPr>
        <w:t>Following</w:t>
      </w:r>
      <w:r>
        <w:rPr>
          <w:spacing w:val="-8"/>
          <w:w w:val="110"/>
        </w:rPr>
        <w:t xml:space="preserve"> </w:t>
      </w:r>
      <w:r>
        <w:rPr>
          <w:w w:val="110"/>
        </w:rPr>
        <w:t>acute</w:t>
      </w:r>
      <w:r>
        <w:rPr>
          <w:spacing w:val="-13"/>
          <w:w w:val="110"/>
        </w:rPr>
        <w:t xml:space="preserve"> </w:t>
      </w:r>
      <w:r>
        <w:rPr>
          <w:w w:val="110"/>
        </w:rPr>
        <w:t>Withdrawal,</w:t>
      </w:r>
      <w:r>
        <w:rPr>
          <w:spacing w:val="2"/>
          <w:w w:val="110"/>
        </w:rPr>
        <w:t xml:space="preserve"> </w:t>
      </w:r>
      <w:r>
        <w:rPr>
          <w:w w:val="110"/>
        </w:rPr>
        <w:t>however,</w:t>
      </w:r>
      <w:r>
        <w:rPr>
          <w:spacing w:val="-10"/>
          <w:w w:val="110"/>
        </w:rPr>
        <w:t xml:space="preserve"> </w:t>
      </w:r>
      <w:r>
        <w:rPr>
          <w:w w:val="110"/>
        </w:rPr>
        <w:t xml:space="preserve">symptoms of anxiety, insomnia, and autonomic dysfunction may persist for up to </w:t>
      </w:r>
      <w:r>
        <w:rPr>
          <w:w w:val="110"/>
          <w:sz w:val="21"/>
        </w:rPr>
        <w:t xml:space="preserve">3-6 </w:t>
      </w:r>
      <w:r>
        <w:rPr>
          <w:w w:val="110"/>
        </w:rPr>
        <w:t>months at lower levels of</w:t>
      </w:r>
      <w:r>
        <w:rPr>
          <w:spacing w:val="24"/>
          <w:w w:val="110"/>
        </w:rPr>
        <w:t xml:space="preserve"> </w:t>
      </w:r>
      <w:r>
        <w:rPr>
          <w:w w:val="110"/>
        </w:rPr>
        <w:t>intensity.</w:t>
      </w:r>
    </w:p>
    <w:p w:rsidR="00E675F0" w:rsidRDefault="00E675F0" w:rsidP="00E675F0">
      <w:pPr>
        <w:pStyle w:val="BodyText"/>
        <w:spacing w:line="254" w:lineRule="auto"/>
        <w:ind w:left="109" w:right="139" w:firstLine="370"/>
        <w:jc w:val="both"/>
      </w:pPr>
      <w:r>
        <w:rPr>
          <w:w w:val="105"/>
        </w:rPr>
        <w:t>Fewer than 5% of individuals who develop Alcohol Withdrawal develop dramatic symptoms (e.g., severe autonomic hyperactivity, tremors, and Alcohol Withdrawal Delirium).</w:t>
      </w:r>
      <w:r>
        <w:rPr>
          <w:spacing w:val="-8"/>
          <w:w w:val="105"/>
        </w:rPr>
        <w:t xml:space="preserve"> </w:t>
      </w:r>
      <w:r>
        <w:rPr>
          <w:w w:val="105"/>
        </w:rPr>
        <w:t>Grand</w:t>
      </w:r>
      <w:r>
        <w:rPr>
          <w:spacing w:val="-10"/>
          <w:w w:val="105"/>
        </w:rPr>
        <w:t xml:space="preserve"> </w:t>
      </w:r>
      <w:r>
        <w:rPr>
          <w:w w:val="105"/>
        </w:rPr>
        <w:t>ma!</w:t>
      </w:r>
      <w:r>
        <w:rPr>
          <w:spacing w:val="-35"/>
          <w:w w:val="105"/>
        </w:rPr>
        <w:t xml:space="preserve"> </w:t>
      </w:r>
      <w:r>
        <w:rPr>
          <w:w w:val="105"/>
        </w:rPr>
        <w:t>seizures</w:t>
      </w:r>
      <w:r>
        <w:rPr>
          <w:spacing w:val="-15"/>
          <w:w w:val="105"/>
        </w:rPr>
        <w:t xml:space="preserve"> </w:t>
      </w:r>
      <w:r>
        <w:rPr>
          <w:w w:val="105"/>
        </w:rPr>
        <w:t>occur</w:t>
      </w:r>
      <w:r>
        <w:rPr>
          <w:spacing w:val="-20"/>
          <w:w w:val="105"/>
        </w:rPr>
        <w:t xml:space="preserve"> </w:t>
      </w:r>
      <w:r>
        <w:rPr>
          <w:w w:val="105"/>
        </w:rPr>
        <w:t>in</w:t>
      </w:r>
      <w:r>
        <w:rPr>
          <w:spacing w:val="-22"/>
          <w:w w:val="105"/>
        </w:rPr>
        <w:t xml:space="preserve"> </w:t>
      </w:r>
      <w:r>
        <w:rPr>
          <w:w w:val="105"/>
        </w:rPr>
        <w:t>fewer</w:t>
      </w:r>
      <w:r>
        <w:rPr>
          <w:spacing w:val="-14"/>
          <w:w w:val="105"/>
        </w:rPr>
        <w:t xml:space="preserve"> </w:t>
      </w:r>
      <w:r>
        <w:rPr>
          <w:w w:val="105"/>
        </w:rPr>
        <w:t>than</w:t>
      </w:r>
      <w:r>
        <w:rPr>
          <w:spacing w:val="-15"/>
          <w:w w:val="105"/>
        </w:rPr>
        <w:t xml:space="preserve"> </w:t>
      </w:r>
      <w:r>
        <w:rPr>
          <w:w w:val="105"/>
        </w:rPr>
        <w:t>3%</w:t>
      </w:r>
      <w:r>
        <w:rPr>
          <w:spacing w:val="-19"/>
          <w:w w:val="105"/>
        </w:rPr>
        <w:t xml:space="preserve"> </w:t>
      </w:r>
      <w:r>
        <w:rPr>
          <w:w w:val="105"/>
        </w:rPr>
        <w:t>of</w:t>
      </w:r>
      <w:r>
        <w:rPr>
          <w:spacing w:val="-11"/>
          <w:w w:val="105"/>
        </w:rPr>
        <w:t xml:space="preserve"> </w:t>
      </w:r>
      <w:r>
        <w:rPr>
          <w:w w:val="105"/>
        </w:rPr>
        <w:t>individuals.</w:t>
      </w:r>
      <w:r>
        <w:rPr>
          <w:spacing w:val="-9"/>
          <w:w w:val="105"/>
        </w:rPr>
        <w:t xml:space="preserve"> </w:t>
      </w:r>
      <w:r>
        <w:rPr>
          <w:w w:val="105"/>
        </w:rPr>
        <w:t>Alcohol</w:t>
      </w:r>
      <w:r>
        <w:rPr>
          <w:spacing w:val="-9"/>
          <w:w w:val="105"/>
        </w:rPr>
        <w:t xml:space="preserve"> </w:t>
      </w:r>
      <w:r>
        <w:rPr>
          <w:w w:val="105"/>
        </w:rPr>
        <w:t>Withdrawal Delirium (p. 129) includes disturbances in consciousness and cognition and visual, tactile, or auditory hallucinations ("delirium tremens," or "DTs"). When Alcohol With­ drawal Delirium develops, it is likely that a clinically relevant general medical condition may be present (e.g., liver failure, pneumonia, gastrointestinal bleeding, sequelae of</w:t>
      </w:r>
      <w:r>
        <w:rPr>
          <w:spacing w:val="-37"/>
          <w:w w:val="105"/>
        </w:rPr>
        <w:t xml:space="preserve"> </w:t>
      </w:r>
      <w:r>
        <w:rPr>
          <w:w w:val="105"/>
        </w:rPr>
        <w:t>head trauma, hypoglycemia, an electrolyte imbalance, or postoperative</w:t>
      </w:r>
      <w:r>
        <w:rPr>
          <w:spacing w:val="1"/>
          <w:w w:val="105"/>
        </w:rPr>
        <w:t xml:space="preserve"> </w:t>
      </w:r>
      <w:r>
        <w:rPr>
          <w:w w:val="105"/>
        </w:rPr>
        <w:t>status).</w:t>
      </w:r>
    </w:p>
    <w:p w:rsidR="00E675F0" w:rsidRDefault="00E675F0" w:rsidP="00E675F0">
      <w:pPr>
        <w:pStyle w:val="BodyText"/>
        <w:rPr>
          <w:sz w:val="22"/>
        </w:rPr>
      </w:pPr>
    </w:p>
    <w:p w:rsidR="00E675F0" w:rsidRDefault="00E675F0" w:rsidP="00E675F0">
      <w:pPr>
        <w:pStyle w:val="BodyText"/>
        <w:spacing w:before="4"/>
        <w:rPr>
          <w:sz w:val="18"/>
        </w:rPr>
      </w:pPr>
    </w:p>
    <w:p w:rsidR="00E675F0" w:rsidRDefault="00E675F0" w:rsidP="00E675F0">
      <w:pPr>
        <w:ind w:left="108"/>
        <w:rPr>
          <w:rFonts w:ascii="TimesNewRomanPS-BoldItalicMT"/>
          <w:b/>
          <w:i/>
          <w:sz w:val="24"/>
        </w:rPr>
      </w:pPr>
      <w:r>
        <w:rPr>
          <w:rFonts w:ascii="TimesNewRomanPS-BoldItalicMT"/>
          <w:b/>
          <w:i/>
          <w:w w:val="115"/>
          <w:sz w:val="24"/>
        </w:rPr>
        <w:t>Specifier</w:t>
      </w:r>
    </w:p>
    <w:p w:rsidR="00E675F0" w:rsidRDefault="00E675F0" w:rsidP="00E675F0">
      <w:pPr>
        <w:pStyle w:val="BodyText"/>
        <w:spacing w:before="160"/>
        <w:ind w:left="111"/>
        <w:jc w:val="both"/>
      </w:pPr>
      <w:r>
        <w:rPr>
          <w:w w:val="105"/>
        </w:rPr>
        <w:t>The following specifier may be applied to a diagnosis of Alcohol Withdrawal:</w:t>
      </w:r>
    </w:p>
    <w:p w:rsidR="00E675F0" w:rsidRDefault="00E675F0" w:rsidP="00E675F0">
      <w:pPr>
        <w:pStyle w:val="BodyText"/>
        <w:spacing w:before="83" w:line="252" w:lineRule="auto"/>
        <w:ind w:left="720" w:right="129" w:hanging="4"/>
        <w:jc w:val="both"/>
      </w:pPr>
      <w:r>
        <w:rPr>
          <w:noProof/>
        </w:rPr>
        <mc:AlternateContent>
          <mc:Choice Requires="wps">
            <w:drawing>
              <wp:anchor distT="0" distB="0" distL="114300" distR="114300" simplePos="0" relativeHeight="251717632" behindDoc="0" locked="0" layoutInCell="1" allowOverlap="1" wp14:anchorId="026A0A48" wp14:editId="39191E49">
                <wp:simplePos x="0" y="0"/>
                <wp:positionH relativeFrom="page">
                  <wp:posOffset>471170</wp:posOffset>
                </wp:positionH>
                <wp:positionV relativeFrom="paragraph">
                  <wp:posOffset>1285240</wp:posOffset>
                </wp:positionV>
                <wp:extent cx="4765675" cy="0"/>
                <wp:effectExtent l="0" t="12700" r="9525" b="0"/>
                <wp:wrapNone/>
                <wp:docPr id="1386" name="Line 13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765675" cy="0"/>
                        </a:xfrm>
                        <a:prstGeom prst="line">
                          <a:avLst/>
                        </a:prstGeom>
                        <a:noFill/>
                        <a:ln w="3052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D78D86" id="Line 1342" o:spid="_x0000_s1026" style="position:absolute;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1pt,101.2pt" to="412.35pt,101.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" strokeweight=".84786mm">
                <o:lock v:ext="edit" shapetype="f"/>
                <w10:wrap anchorx="page"/>
              </v:line>
            </w:pict>
          </mc:Fallback>
        </mc:AlternateContent>
      </w:r>
      <w:r>
        <w:rPr>
          <w:b/>
          <w:w w:val="105"/>
        </w:rPr>
        <w:t xml:space="preserve">With Perceptual Disturbances. </w:t>
      </w:r>
      <w:r>
        <w:rPr>
          <w:w w:val="105"/>
        </w:rPr>
        <w:t xml:space="preserve">This specifier may be noted when hallucina­ tions with intact reality testing or auditory, visual, or tactile illusions occur in the absence of a delirium. </w:t>
      </w:r>
      <w:r>
        <w:rPr>
          <w:i/>
          <w:w w:val="105"/>
        </w:rPr>
        <w:t xml:space="preserve">Intact reality testing </w:t>
      </w:r>
      <w:r>
        <w:rPr>
          <w:w w:val="105"/>
        </w:rPr>
        <w:t>means that the person knows that the hallucinations are induced by the substance and do not represent external reality. When hallucinations occur in the absence of intact reality testing, a diagnosis of Substance-Induced</w:t>
      </w:r>
      <w:r>
        <w:rPr>
          <w:spacing w:val="-27"/>
          <w:w w:val="105"/>
        </w:rPr>
        <w:t xml:space="preserve"> </w:t>
      </w:r>
      <w:r>
        <w:rPr>
          <w:w w:val="105"/>
        </w:rPr>
        <w:t>Psychotic</w:t>
      </w:r>
      <w:r>
        <w:rPr>
          <w:spacing w:val="-19"/>
          <w:w w:val="105"/>
        </w:rPr>
        <w:t xml:space="preserve"> </w:t>
      </w:r>
      <w:r>
        <w:rPr>
          <w:w w:val="105"/>
        </w:rPr>
        <w:t>Disorder,</w:t>
      </w:r>
      <w:r>
        <w:rPr>
          <w:spacing w:val="-23"/>
          <w:w w:val="105"/>
        </w:rPr>
        <w:t xml:space="preserve"> </w:t>
      </w:r>
      <w:r>
        <w:rPr>
          <w:w w:val="105"/>
        </w:rPr>
        <w:t>With</w:t>
      </w:r>
      <w:r>
        <w:rPr>
          <w:spacing w:val="-21"/>
          <w:w w:val="105"/>
        </w:rPr>
        <w:t xml:space="preserve"> </w:t>
      </w:r>
      <w:r>
        <w:rPr>
          <w:w w:val="105"/>
        </w:rPr>
        <w:t>Hallucinations,</w:t>
      </w:r>
      <w:r>
        <w:rPr>
          <w:spacing w:val="-29"/>
          <w:w w:val="105"/>
        </w:rPr>
        <w:t xml:space="preserve"> </w:t>
      </w:r>
      <w:r>
        <w:rPr>
          <w:w w:val="105"/>
        </w:rPr>
        <w:t>should</w:t>
      </w:r>
      <w:r>
        <w:rPr>
          <w:spacing w:val="-23"/>
          <w:w w:val="105"/>
        </w:rPr>
        <w:t xml:space="preserve"> </w:t>
      </w:r>
      <w:r>
        <w:rPr>
          <w:rFonts w:ascii="Arial" w:hAnsi="Arial"/>
          <w:w w:val="105"/>
          <w:sz w:val="18"/>
        </w:rPr>
        <w:t>be</w:t>
      </w:r>
      <w:r>
        <w:rPr>
          <w:rFonts w:ascii="Arial" w:hAnsi="Arial"/>
          <w:spacing w:val="-26"/>
          <w:w w:val="105"/>
          <w:sz w:val="18"/>
        </w:rPr>
        <w:t xml:space="preserve"> </w:t>
      </w:r>
      <w:r>
        <w:rPr>
          <w:w w:val="105"/>
        </w:rPr>
        <w:t>considered.</w:t>
      </w:r>
    </w:p>
    <w:p w:rsidR="00E675F0" w:rsidRDefault="00E675F0" w:rsidP="00E675F0">
      <w:pPr>
        <w:pStyle w:val="BodyText"/>
      </w:pPr>
    </w:p>
    <w:p w:rsidR="00E675F0" w:rsidRDefault="00E675F0" w:rsidP="00E675F0">
      <w:pPr>
        <w:pStyle w:val="BodyText"/>
        <w:spacing w:before="8"/>
      </w:pPr>
    </w:p>
    <w:tbl>
      <w:tblPr>
        <w:tblW w:w="0" w:type="auto"/>
        <w:tblInd w:w="232"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7331"/>
      </w:tblGrid>
      <w:tr w:rsidR="00E675F0" w:rsidTr="00A330E1">
        <w:trPr>
          <w:trHeight w:val="4424"/>
        </w:trPr>
        <w:tc>
          <w:tcPr>
            <w:tcW w:w="7331" w:type="dxa"/>
          </w:tcPr>
          <w:p w:rsidR="00E675F0" w:rsidRDefault="00E675F0" w:rsidP="003048D3">
            <w:pPr>
              <w:pStyle w:val="TableParagraph"/>
              <w:numPr>
                <w:ilvl w:val="0"/>
                <w:numId w:val="37"/>
              </w:numPr>
              <w:tabs>
                <w:tab w:val="left" w:pos="624"/>
              </w:tabs>
              <w:spacing w:line="530" w:lineRule="exact"/>
              <w:rPr>
                <w:rFonts w:ascii="Arial" w:hAnsi="Arial"/>
                <w:b/>
                <w:sz w:val="24"/>
              </w:rPr>
            </w:pPr>
            <w:r>
              <w:rPr>
                <w:rFonts w:ascii="Arial" w:hAnsi="Arial"/>
                <w:b/>
                <w:w w:val="105"/>
                <w:sz w:val="24"/>
              </w:rPr>
              <w:t>Diagnostic criteria for 291.8 Alcohol</w:t>
            </w:r>
            <w:r>
              <w:rPr>
                <w:rFonts w:ascii="Arial" w:hAnsi="Arial"/>
                <w:b/>
                <w:spacing w:val="-11"/>
                <w:w w:val="105"/>
                <w:sz w:val="24"/>
              </w:rPr>
              <w:t xml:space="preserve"> </w:t>
            </w:r>
            <w:r>
              <w:rPr>
                <w:rFonts w:ascii="Arial" w:hAnsi="Arial"/>
                <w:b/>
                <w:w w:val="105"/>
                <w:sz w:val="24"/>
              </w:rPr>
              <w:t>Withdrawal</w:t>
            </w:r>
          </w:p>
          <w:p w:rsidR="00E675F0" w:rsidRDefault="00E675F0" w:rsidP="003048D3">
            <w:pPr>
              <w:pStyle w:val="TableParagraph"/>
              <w:numPr>
                <w:ilvl w:val="1"/>
                <w:numId w:val="37"/>
              </w:numPr>
              <w:tabs>
                <w:tab w:val="left" w:pos="956"/>
              </w:tabs>
              <w:spacing w:before="151" w:line="256" w:lineRule="auto"/>
              <w:ind w:right="226" w:hanging="316"/>
              <w:rPr>
                <w:sz w:val="20"/>
              </w:rPr>
            </w:pPr>
            <w:r>
              <w:rPr>
                <w:w w:val="105"/>
                <w:sz w:val="20"/>
              </w:rPr>
              <w:t>Cessation of (or reduction in) alcohol use that has been heavy and prolonged.</w:t>
            </w:r>
          </w:p>
          <w:p w:rsidR="00E675F0" w:rsidRDefault="00E675F0" w:rsidP="003048D3">
            <w:pPr>
              <w:pStyle w:val="TableParagraph"/>
              <w:numPr>
                <w:ilvl w:val="1"/>
                <w:numId w:val="37"/>
              </w:numPr>
              <w:tabs>
                <w:tab w:val="left" w:pos="958"/>
              </w:tabs>
              <w:spacing w:before="176" w:line="256" w:lineRule="auto"/>
              <w:ind w:left="955" w:right="221" w:hanging="299"/>
              <w:rPr>
                <w:sz w:val="20"/>
              </w:rPr>
            </w:pPr>
            <w:r>
              <w:rPr>
                <w:w w:val="105"/>
                <w:sz w:val="20"/>
              </w:rPr>
              <w:t>Two (or more) of the following, developing within several hours to a few days after Criterion</w:t>
            </w:r>
            <w:r>
              <w:rPr>
                <w:spacing w:val="42"/>
                <w:w w:val="105"/>
                <w:sz w:val="20"/>
              </w:rPr>
              <w:t xml:space="preserve"> </w:t>
            </w:r>
            <w:r>
              <w:rPr>
                <w:w w:val="105"/>
                <w:sz w:val="20"/>
              </w:rPr>
              <w:t>A:</w:t>
            </w:r>
          </w:p>
          <w:p w:rsidR="00E675F0" w:rsidRDefault="00E675F0" w:rsidP="003048D3">
            <w:pPr>
              <w:pStyle w:val="TableParagraph"/>
              <w:numPr>
                <w:ilvl w:val="2"/>
                <w:numId w:val="37"/>
              </w:numPr>
              <w:tabs>
                <w:tab w:val="left" w:pos="1384"/>
                <w:tab w:val="left" w:pos="1385"/>
              </w:tabs>
              <w:spacing w:before="61" w:line="256" w:lineRule="auto"/>
              <w:ind w:right="1349" w:hanging="430"/>
              <w:rPr>
                <w:sz w:val="17"/>
              </w:rPr>
            </w:pPr>
            <w:r>
              <w:rPr>
                <w:w w:val="105"/>
                <w:sz w:val="20"/>
              </w:rPr>
              <w:t>autonomic hyperactivity (e.g., sweating or pulse rate greater than</w:t>
            </w:r>
            <w:r>
              <w:rPr>
                <w:spacing w:val="-31"/>
                <w:w w:val="105"/>
                <w:sz w:val="20"/>
              </w:rPr>
              <w:t xml:space="preserve"> </w:t>
            </w:r>
            <w:r>
              <w:rPr>
                <w:w w:val="105"/>
                <w:sz w:val="20"/>
              </w:rPr>
              <w:t>100)</w:t>
            </w:r>
          </w:p>
          <w:p w:rsidR="00E675F0" w:rsidRDefault="00E675F0" w:rsidP="003048D3">
            <w:pPr>
              <w:pStyle w:val="TableParagraph"/>
              <w:numPr>
                <w:ilvl w:val="2"/>
                <w:numId w:val="37"/>
              </w:numPr>
              <w:tabs>
                <w:tab w:val="left" w:pos="1391"/>
              </w:tabs>
              <w:spacing w:line="223" w:lineRule="exact"/>
              <w:ind w:left="1390" w:hanging="432"/>
              <w:rPr>
                <w:sz w:val="20"/>
              </w:rPr>
            </w:pPr>
            <w:r>
              <w:rPr>
                <w:w w:val="105"/>
                <w:sz w:val="20"/>
              </w:rPr>
              <w:t>increased hand</w:t>
            </w:r>
            <w:r>
              <w:rPr>
                <w:spacing w:val="-7"/>
                <w:w w:val="105"/>
                <w:sz w:val="20"/>
              </w:rPr>
              <w:t xml:space="preserve"> </w:t>
            </w:r>
            <w:r>
              <w:rPr>
                <w:w w:val="105"/>
                <w:sz w:val="20"/>
              </w:rPr>
              <w:t>tremor</w:t>
            </w:r>
          </w:p>
          <w:p w:rsidR="00E675F0" w:rsidRDefault="00E675F0" w:rsidP="003048D3">
            <w:pPr>
              <w:pStyle w:val="TableParagraph"/>
              <w:numPr>
                <w:ilvl w:val="2"/>
                <w:numId w:val="37"/>
              </w:numPr>
              <w:tabs>
                <w:tab w:val="left" w:pos="1391"/>
              </w:tabs>
              <w:spacing w:before="10"/>
              <w:ind w:left="1390" w:hanging="432"/>
              <w:rPr>
                <w:sz w:val="20"/>
              </w:rPr>
            </w:pPr>
            <w:r>
              <w:rPr>
                <w:w w:val="105"/>
                <w:sz w:val="20"/>
              </w:rPr>
              <w:t>insomnia</w:t>
            </w:r>
          </w:p>
          <w:p w:rsidR="00E675F0" w:rsidRDefault="00E675F0" w:rsidP="003048D3">
            <w:pPr>
              <w:pStyle w:val="TableParagraph"/>
              <w:numPr>
                <w:ilvl w:val="2"/>
                <w:numId w:val="37"/>
              </w:numPr>
              <w:tabs>
                <w:tab w:val="left" w:pos="1391"/>
              </w:tabs>
              <w:spacing w:before="15"/>
              <w:ind w:left="1390" w:hanging="432"/>
              <w:rPr>
                <w:sz w:val="20"/>
              </w:rPr>
            </w:pPr>
            <w:r>
              <w:rPr>
                <w:w w:val="105"/>
                <w:sz w:val="20"/>
              </w:rPr>
              <w:t>nausea or</w:t>
            </w:r>
            <w:r>
              <w:rPr>
                <w:spacing w:val="24"/>
                <w:w w:val="105"/>
                <w:sz w:val="20"/>
              </w:rPr>
              <w:t xml:space="preserve"> </w:t>
            </w:r>
            <w:r>
              <w:rPr>
                <w:w w:val="105"/>
                <w:sz w:val="20"/>
              </w:rPr>
              <w:t>vomiting</w:t>
            </w:r>
          </w:p>
          <w:p w:rsidR="00E675F0" w:rsidRDefault="00E675F0" w:rsidP="003048D3">
            <w:pPr>
              <w:pStyle w:val="TableParagraph"/>
              <w:numPr>
                <w:ilvl w:val="2"/>
                <w:numId w:val="37"/>
              </w:numPr>
              <w:tabs>
                <w:tab w:val="left" w:pos="1395"/>
              </w:tabs>
              <w:spacing w:before="20"/>
              <w:ind w:left="1394" w:hanging="436"/>
              <w:rPr>
                <w:sz w:val="20"/>
              </w:rPr>
            </w:pPr>
            <w:r>
              <w:rPr>
                <w:w w:val="105"/>
                <w:sz w:val="20"/>
              </w:rPr>
              <w:t>transient visual, tactile, or auditory hallucinations or</w:t>
            </w:r>
            <w:r>
              <w:rPr>
                <w:spacing w:val="28"/>
                <w:w w:val="105"/>
                <w:sz w:val="20"/>
              </w:rPr>
              <w:t xml:space="preserve"> </w:t>
            </w:r>
            <w:r>
              <w:rPr>
                <w:w w:val="105"/>
                <w:sz w:val="20"/>
              </w:rPr>
              <w:t>illusions</w:t>
            </w:r>
          </w:p>
          <w:p w:rsidR="00E675F0" w:rsidRDefault="00E675F0" w:rsidP="003048D3">
            <w:pPr>
              <w:pStyle w:val="TableParagraph"/>
              <w:numPr>
                <w:ilvl w:val="2"/>
                <w:numId w:val="37"/>
              </w:numPr>
              <w:tabs>
                <w:tab w:val="left" w:pos="1398"/>
              </w:tabs>
              <w:spacing w:before="11"/>
              <w:ind w:left="1397" w:hanging="439"/>
              <w:rPr>
                <w:sz w:val="20"/>
              </w:rPr>
            </w:pPr>
            <w:r>
              <w:rPr>
                <w:w w:val="105"/>
                <w:sz w:val="20"/>
              </w:rPr>
              <w:t>psychomotor</w:t>
            </w:r>
            <w:r>
              <w:rPr>
                <w:spacing w:val="23"/>
                <w:w w:val="105"/>
                <w:sz w:val="20"/>
              </w:rPr>
              <w:t xml:space="preserve"> </w:t>
            </w:r>
            <w:r>
              <w:rPr>
                <w:w w:val="105"/>
                <w:sz w:val="20"/>
              </w:rPr>
              <w:t>agitation</w:t>
            </w:r>
          </w:p>
          <w:p w:rsidR="00E675F0" w:rsidRDefault="00E675F0" w:rsidP="003048D3">
            <w:pPr>
              <w:pStyle w:val="TableParagraph"/>
              <w:numPr>
                <w:ilvl w:val="2"/>
                <w:numId w:val="37"/>
              </w:numPr>
              <w:tabs>
                <w:tab w:val="left" w:pos="1390"/>
              </w:tabs>
              <w:spacing w:before="15"/>
              <w:ind w:left="1389" w:hanging="431"/>
              <w:rPr>
                <w:sz w:val="20"/>
              </w:rPr>
            </w:pPr>
            <w:r>
              <w:rPr>
                <w:w w:val="105"/>
                <w:sz w:val="20"/>
              </w:rPr>
              <w:t>anxiety</w:t>
            </w:r>
          </w:p>
          <w:p w:rsidR="00E675F0" w:rsidRDefault="00E675F0" w:rsidP="003048D3">
            <w:pPr>
              <w:pStyle w:val="TableParagraph"/>
              <w:numPr>
                <w:ilvl w:val="2"/>
                <w:numId w:val="37"/>
              </w:numPr>
              <w:tabs>
                <w:tab w:val="left" w:pos="1391"/>
              </w:tabs>
              <w:spacing w:before="15"/>
              <w:ind w:left="1390" w:hanging="432"/>
              <w:rPr>
                <w:sz w:val="20"/>
              </w:rPr>
            </w:pPr>
            <w:r>
              <w:rPr>
                <w:w w:val="105"/>
                <w:sz w:val="20"/>
              </w:rPr>
              <w:t>grand ma!</w:t>
            </w:r>
            <w:r>
              <w:rPr>
                <w:spacing w:val="6"/>
                <w:w w:val="105"/>
                <w:sz w:val="20"/>
              </w:rPr>
              <w:t xml:space="preserve"> </w:t>
            </w:r>
            <w:r>
              <w:rPr>
                <w:w w:val="105"/>
                <w:sz w:val="20"/>
              </w:rPr>
              <w:t>seizures</w:t>
            </w:r>
          </w:p>
          <w:p w:rsidR="00E675F0" w:rsidRDefault="00E675F0" w:rsidP="00A330E1">
            <w:pPr>
              <w:pStyle w:val="TableParagraph"/>
              <w:spacing w:before="20"/>
              <w:ind w:left="6025"/>
              <w:rPr>
                <w:i/>
                <w:sz w:val="20"/>
              </w:rPr>
            </w:pPr>
            <w:r>
              <w:rPr>
                <w:i/>
                <w:w w:val="110"/>
                <w:sz w:val="20"/>
              </w:rPr>
              <w:t>(continued)</w:t>
            </w:r>
          </w:p>
        </w:tc>
      </w:tr>
    </w:tbl>
    <w:p w:rsidR="00E675F0" w:rsidRDefault="00E675F0" w:rsidP="00E675F0">
      <w:pPr>
        <w:rPr>
          <w:sz w:val="20"/>
        </w:rPr>
        <w:sectPr w:rsidR="00E675F0">
          <w:headerReference w:type="even" r:id="rId175"/>
          <w:headerReference w:type="default" r:id="rId176"/>
          <w:pgSz w:w="8960" w:h="14260"/>
          <w:pgMar w:top="1400" w:right="600" w:bottom="280" w:left="620" w:header="683" w:footer="0" w:gutter="0"/>
          <w:pgNumType w:start="198"/>
          <w:cols w:space="720"/>
        </w:sectPr>
      </w:pPr>
    </w:p>
    <w:p w:rsidR="00E675F0" w:rsidRDefault="00E675F0" w:rsidP="00E675F0">
      <w:pPr>
        <w:pStyle w:val="BodyText"/>
        <w:spacing w:before="8"/>
        <w:rPr>
          <w:sz w:val="10"/>
        </w:rPr>
      </w:pPr>
    </w:p>
    <w:tbl>
      <w:tblPr>
        <w:tblW w:w="0" w:type="auto"/>
        <w:tblInd w:w="225"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7324"/>
      </w:tblGrid>
      <w:tr w:rsidR="00E675F0" w:rsidTr="00A330E1">
        <w:trPr>
          <w:trHeight w:val="2718"/>
        </w:trPr>
        <w:tc>
          <w:tcPr>
            <w:tcW w:w="7324" w:type="dxa"/>
          </w:tcPr>
          <w:p w:rsidR="00E675F0" w:rsidRDefault="00E675F0" w:rsidP="003048D3">
            <w:pPr>
              <w:pStyle w:val="TableParagraph"/>
              <w:numPr>
                <w:ilvl w:val="0"/>
                <w:numId w:val="36"/>
              </w:numPr>
              <w:tabs>
                <w:tab w:val="left" w:pos="598"/>
              </w:tabs>
              <w:spacing w:before="74"/>
              <w:rPr>
                <w:rFonts w:ascii="Arial" w:hAnsi="Arial"/>
                <w:i/>
                <w:sz w:val="21"/>
              </w:rPr>
            </w:pPr>
            <w:bookmarkStart w:id="128" w:name="_bookmark109"/>
            <w:bookmarkEnd w:id="128"/>
            <w:r>
              <w:rPr>
                <w:b/>
                <w:sz w:val="24"/>
              </w:rPr>
              <w:t>Diagnostic criteria for 291.8 Alcohol Withdrawal</w:t>
            </w:r>
            <w:r>
              <w:rPr>
                <w:b/>
                <w:spacing w:val="19"/>
                <w:sz w:val="24"/>
              </w:rPr>
              <w:t xml:space="preserve"> </w:t>
            </w:r>
            <w:r>
              <w:rPr>
                <w:rFonts w:ascii="Arial" w:hAnsi="Arial"/>
                <w:i/>
                <w:sz w:val="21"/>
              </w:rPr>
              <w:t>(continued)</w:t>
            </w:r>
          </w:p>
          <w:p w:rsidR="00E675F0" w:rsidRDefault="00E675F0" w:rsidP="00A330E1">
            <w:pPr>
              <w:pStyle w:val="TableParagraph"/>
              <w:spacing w:before="203" w:line="264" w:lineRule="auto"/>
              <w:ind w:left="960" w:right="204" w:hanging="311"/>
              <w:rPr>
                <w:sz w:val="19"/>
              </w:rPr>
            </w:pPr>
            <w:r>
              <w:rPr>
                <w:rFonts w:ascii="Arial"/>
                <w:w w:val="105"/>
                <w:sz w:val="17"/>
              </w:rPr>
              <w:t xml:space="preserve">C. </w:t>
            </w:r>
            <w:r>
              <w:rPr>
                <w:w w:val="105"/>
                <w:sz w:val="19"/>
              </w:rPr>
              <w:t>The symptoms in Criterion B cause clinically significant distress or impairment in social, occupational, or other important areas of functioning.</w:t>
            </w:r>
          </w:p>
          <w:p w:rsidR="00E675F0" w:rsidRDefault="00E675F0" w:rsidP="00A330E1">
            <w:pPr>
              <w:pStyle w:val="TableParagraph"/>
              <w:spacing w:before="8"/>
              <w:rPr>
                <w:sz w:val="16"/>
              </w:rPr>
            </w:pPr>
          </w:p>
          <w:p w:rsidR="00E675F0" w:rsidRDefault="00E675F0" w:rsidP="00A330E1">
            <w:pPr>
              <w:pStyle w:val="TableParagraph"/>
              <w:spacing w:before="1" w:line="264" w:lineRule="auto"/>
              <w:ind w:left="957" w:right="312" w:hanging="307"/>
              <w:rPr>
                <w:sz w:val="19"/>
              </w:rPr>
            </w:pPr>
            <w:r>
              <w:rPr>
                <w:w w:val="110"/>
                <w:sz w:val="19"/>
              </w:rPr>
              <w:t>D. The symptoms are not due to a general medical condition and are not better accounted for by another mental disorder.</w:t>
            </w:r>
          </w:p>
          <w:p w:rsidR="00E675F0" w:rsidRDefault="00E675F0" w:rsidP="00A330E1">
            <w:pPr>
              <w:pStyle w:val="TableParagraph"/>
              <w:spacing w:before="177"/>
              <w:ind w:left="416"/>
              <w:rPr>
                <w:rFonts w:ascii="Arial"/>
                <w:sz w:val="20"/>
              </w:rPr>
            </w:pPr>
            <w:r>
              <w:rPr>
                <w:i/>
                <w:w w:val="95"/>
                <w:sz w:val="20"/>
              </w:rPr>
              <w:t xml:space="preserve">Specify </w:t>
            </w:r>
            <w:r>
              <w:rPr>
                <w:rFonts w:ascii="Arial"/>
                <w:w w:val="95"/>
                <w:sz w:val="20"/>
              </w:rPr>
              <w:t>if</w:t>
            </w:r>
          </w:p>
          <w:p w:rsidR="00E675F0" w:rsidRDefault="00E675F0" w:rsidP="00A330E1">
            <w:pPr>
              <w:pStyle w:val="TableParagraph"/>
              <w:spacing w:before="20"/>
              <w:ind w:left="646"/>
              <w:rPr>
                <w:b/>
                <w:sz w:val="20"/>
              </w:rPr>
            </w:pPr>
            <w:r>
              <w:rPr>
                <w:b/>
                <w:w w:val="110"/>
                <w:sz w:val="20"/>
              </w:rPr>
              <w:t>With Perceptual Disturbances</w:t>
            </w:r>
          </w:p>
        </w:tc>
      </w:tr>
    </w:tbl>
    <w:p w:rsidR="00E675F0" w:rsidRDefault="00E675F0" w:rsidP="00E675F0">
      <w:pPr>
        <w:pStyle w:val="BodyText"/>
      </w:pPr>
    </w:p>
    <w:p w:rsidR="00E675F0" w:rsidRDefault="00E675F0" w:rsidP="00E675F0">
      <w:pPr>
        <w:pStyle w:val="BodyText"/>
        <w:spacing w:before="1"/>
        <w:rPr>
          <w:sz w:val="25"/>
        </w:rPr>
      </w:pPr>
    </w:p>
    <w:p w:rsidR="00E675F0" w:rsidRDefault="00E675F0" w:rsidP="00E675F0">
      <w:pPr>
        <w:spacing w:before="93"/>
        <w:ind w:left="33" w:right="63"/>
        <w:jc w:val="center"/>
        <w:rPr>
          <w:rFonts w:ascii="Arial"/>
          <w:b/>
          <w:sz w:val="25"/>
        </w:rPr>
      </w:pPr>
      <w:r>
        <w:rPr>
          <w:noProof/>
        </w:rPr>
        <mc:AlternateContent>
          <mc:Choice Requires="wps">
            <w:drawing>
              <wp:anchor distT="0" distB="0" distL="114300" distR="114300" simplePos="0" relativeHeight="251796480" behindDoc="1" locked="0" layoutInCell="1" allowOverlap="1" wp14:anchorId="13AB9DDB" wp14:editId="39D3A20A">
                <wp:simplePos x="0" y="0"/>
                <wp:positionH relativeFrom="page">
                  <wp:posOffset>467995</wp:posOffset>
                </wp:positionH>
                <wp:positionV relativeFrom="paragraph">
                  <wp:posOffset>-2154555</wp:posOffset>
                </wp:positionV>
                <wp:extent cx="4754880" cy="1868170"/>
                <wp:effectExtent l="0" t="12700" r="0" b="0"/>
                <wp:wrapNone/>
                <wp:docPr id="1385" name="AutoShape 1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54880" cy="1868170"/>
                        </a:xfrm>
                        <a:custGeom>
                          <a:avLst/>
                          <a:gdLst>
                            <a:gd name="T0" fmla="+- 0 810 737"/>
                            <a:gd name="T1" fmla="*/ T0 w 7488"/>
                            <a:gd name="T2" fmla="+- 0 -451 -3393"/>
                            <a:gd name="T3" fmla="*/ -451 h 2942"/>
                            <a:gd name="T4" fmla="+- 0 810 737"/>
                            <a:gd name="T5" fmla="*/ T4 w 7488"/>
                            <a:gd name="T6" fmla="+- 0 -3393 -3393"/>
                            <a:gd name="T7" fmla="*/ -3393 h 2942"/>
                            <a:gd name="T8" fmla="+- 0 8134 737"/>
                            <a:gd name="T9" fmla="*/ T8 w 7488"/>
                            <a:gd name="T10" fmla="+- 0 -451 -3393"/>
                            <a:gd name="T11" fmla="*/ -451 h 2942"/>
                            <a:gd name="T12" fmla="+- 0 8134 737"/>
                            <a:gd name="T13" fmla="*/ T12 w 7488"/>
                            <a:gd name="T14" fmla="+- 0 -3393 -3393"/>
                            <a:gd name="T15" fmla="*/ -3393 h 2942"/>
                            <a:gd name="T16" fmla="+- 0 737 737"/>
                            <a:gd name="T17" fmla="*/ T16 w 7488"/>
                            <a:gd name="T18" fmla="+- 0 -3321 -3393"/>
                            <a:gd name="T19" fmla="*/ -3321 h 2942"/>
                            <a:gd name="T20" fmla="+- 0 8225 737"/>
                            <a:gd name="T21" fmla="*/ T20 w 7488"/>
                            <a:gd name="T22" fmla="+- 0 -3321 -3393"/>
                            <a:gd name="T23" fmla="*/ -3321 h 2942"/>
                            <a:gd name="T24" fmla="+- 0 737 737"/>
                            <a:gd name="T25" fmla="*/ T24 w 7488"/>
                            <a:gd name="T26" fmla="+- 0 -543 -3393"/>
                            <a:gd name="T27" fmla="*/ -543 h 2942"/>
                            <a:gd name="T28" fmla="+- 0 8225 737"/>
                            <a:gd name="T29" fmla="*/ T28 w 7488"/>
                            <a:gd name="T30" fmla="+- 0 -543 -3393"/>
                            <a:gd name="T31" fmla="*/ -543 h 294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488" h="2942">
                              <a:moveTo>
                                <a:pt x="73" y="2942"/>
                              </a:moveTo>
                              <a:lnTo>
                                <a:pt x="73" y="0"/>
                              </a:lnTo>
                              <a:moveTo>
                                <a:pt x="7397" y="2942"/>
                              </a:moveTo>
                              <a:lnTo>
                                <a:pt x="7397" y="0"/>
                              </a:lnTo>
                              <a:moveTo>
                                <a:pt x="0" y="72"/>
                              </a:moveTo>
                              <a:lnTo>
                                <a:pt x="7488" y="72"/>
                              </a:lnTo>
                              <a:moveTo>
                                <a:pt x="0" y="2850"/>
                              </a:moveTo>
                              <a:lnTo>
                                <a:pt x="7488" y="2850"/>
                              </a:lnTo>
                            </a:path>
                          </a:pathLst>
                        </a:custGeom>
                        <a:noFill/>
                        <a:ln w="305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ECC2E" id="AutoShape 1341" o:spid="_x0000_s1026" style="position:absolute;margin-left:36.85pt;margin-top:-169.65pt;width:374.4pt;height:147.1pt;z-index:-251520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488,294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" path="m73,2942l73,m7397,2942l7397,m,72r7488,m,2850r7488,e" filled="f" strokeweight=".84833mm">
                <v:path arrowok="t" o:connecttype="custom" o:connectlocs="46355,-286385;46355,-2154555;4697095,-286385;4697095,-2154555;0,-2108835;4754880,-2108835;0,-344805;4754880,-344805" o:connectangles="0,0,0,0,0,0,0,0"/>
                <w10:wrap anchorx="page"/>
              </v:shape>
            </w:pict>
          </mc:Fallback>
        </mc:AlternateContent>
      </w:r>
      <w:r>
        <w:rPr>
          <w:rFonts w:ascii="Arial"/>
          <w:b/>
          <w:w w:val="105"/>
          <w:sz w:val="25"/>
        </w:rPr>
        <w:t>Other Alcohol-Induced Disorders</w:t>
      </w:r>
    </w:p>
    <w:p w:rsidR="00E675F0" w:rsidRDefault="00E675F0" w:rsidP="00E675F0">
      <w:pPr>
        <w:pStyle w:val="BodyText"/>
        <w:spacing w:before="9"/>
        <w:rPr>
          <w:rFonts w:ascii="Arial"/>
          <w:b/>
          <w:sz w:val="23"/>
        </w:rPr>
      </w:pPr>
    </w:p>
    <w:p w:rsidR="00E675F0" w:rsidRDefault="00E675F0" w:rsidP="00E675F0">
      <w:pPr>
        <w:spacing w:before="1" w:line="259" w:lineRule="auto"/>
        <w:ind w:left="120" w:right="112"/>
        <w:jc w:val="both"/>
        <w:rPr>
          <w:sz w:val="19"/>
        </w:rPr>
      </w:pPr>
      <w:r>
        <w:rPr>
          <w:w w:val="115"/>
          <w:sz w:val="19"/>
        </w:rPr>
        <w:t>The following Alcohol-Induced Disorders are described in the sections of the manual with</w:t>
      </w:r>
      <w:r>
        <w:rPr>
          <w:spacing w:val="-15"/>
          <w:w w:val="115"/>
          <w:sz w:val="19"/>
        </w:rPr>
        <w:t xml:space="preserve"> </w:t>
      </w:r>
      <w:r>
        <w:rPr>
          <w:w w:val="115"/>
          <w:sz w:val="19"/>
        </w:rPr>
        <w:t>disorders</w:t>
      </w:r>
      <w:r>
        <w:rPr>
          <w:spacing w:val="-14"/>
          <w:w w:val="115"/>
          <w:sz w:val="19"/>
        </w:rPr>
        <w:t xml:space="preserve"> </w:t>
      </w:r>
      <w:r>
        <w:rPr>
          <w:w w:val="115"/>
          <w:sz w:val="19"/>
        </w:rPr>
        <w:t>with</w:t>
      </w:r>
      <w:r>
        <w:rPr>
          <w:spacing w:val="-19"/>
          <w:w w:val="115"/>
          <w:sz w:val="19"/>
        </w:rPr>
        <w:t xml:space="preserve"> </w:t>
      </w:r>
      <w:r>
        <w:rPr>
          <w:w w:val="115"/>
          <w:sz w:val="19"/>
        </w:rPr>
        <w:t>which</w:t>
      </w:r>
      <w:r>
        <w:rPr>
          <w:spacing w:val="-15"/>
          <w:w w:val="115"/>
          <w:sz w:val="19"/>
        </w:rPr>
        <w:t xml:space="preserve"> </w:t>
      </w:r>
      <w:r>
        <w:rPr>
          <w:w w:val="115"/>
          <w:sz w:val="19"/>
        </w:rPr>
        <w:t>they</w:t>
      </w:r>
      <w:r>
        <w:rPr>
          <w:spacing w:val="-23"/>
          <w:w w:val="115"/>
          <w:sz w:val="19"/>
        </w:rPr>
        <w:t xml:space="preserve"> </w:t>
      </w:r>
      <w:r>
        <w:rPr>
          <w:w w:val="115"/>
          <w:sz w:val="19"/>
        </w:rPr>
        <w:t>share</w:t>
      </w:r>
      <w:r>
        <w:rPr>
          <w:spacing w:val="-17"/>
          <w:w w:val="115"/>
          <w:sz w:val="19"/>
        </w:rPr>
        <w:t xml:space="preserve"> </w:t>
      </w:r>
      <w:r>
        <w:rPr>
          <w:w w:val="115"/>
          <w:sz w:val="19"/>
        </w:rPr>
        <w:t>phenomenology:</w:t>
      </w:r>
      <w:r>
        <w:rPr>
          <w:spacing w:val="-31"/>
          <w:w w:val="115"/>
          <w:sz w:val="19"/>
        </w:rPr>
        <w:t xml:space="preserve"> </w:t>
      </w:r>
      <w:r>
        <w:rPr>
          <w:b/>
          <w:w w:val="115"/>
          <w:sz w:val="20"/>
        </w:rPr>
        <w:t xml:space="preserve">AlcohollntoxicationDelirium </w:t>
      </w:r>
      <w:r>
        <w:rPr>
          <w:rFonts w:ascii="Arial"/>
          <w:w w:val="115"/>
          <w:sz w:val="18"/>
        </w:rPr>
        <w:t xml:space="preserve">(p. </w:t>
      </w:r>
      <w:r>
        <w:rPr>
          <w:w w:val="115"/>
          <w:sz w:val="19"/>
        </w:rPr>
        <w:t xml:space="preserve">129), </w:t>
      </w:r>
      <w:r>
        <w:rPr>
          <w:b/>
          <w:w w:val="115"/>
          <w:sz w:val="20"/>
        </w:rPr>
        <w:t xml:space="preserve">Alcohol Withdrawal Delirium </w:t>
      </w:r>
      <w:r>
        <w:rPr>
          <w:w w:val="115"/>
          <w:sz w:val="19"/>
        </w:rPr>
        <w:t xml:space="preserve">(p. 129), </w:t>
      </w:r>
      <w:r>
        <w:rPr>
          <w:b/>
          <w:w w:val="115"/>
          <w:sz w:val="20"/>
        </w:rPr>
        <w:t xml:space="preserve">Alcohol-Induced Persisting Dementia </w:t>
      </w:r>
      <w:r>
        <w:rPr>
          <w:w w:val="115"/>
          <w:sz w:val="19"/>
        </w:rPr>
        <w:t xml:space="preserve">(p. 152), </w:t>
      </w:r>
      <w:r>
        <w:rPr>
          <w:b/>
          <w:w w:val="115"/>
          <w:sz w:val="20"/>
        </w:rPr>
        <w:t xml:space="preserve">Alcohol-Induced Persisting Amnestic Disorder </w:t>
      </w:r>
      <w:r>
        <w:rPr>
          <w:w w:val="115"/>
          <w:sz w:val="19"/>
        </w:rPr>
        <w:t xml:space="preserve">(p. 161), </w:t>
      </w:r>
      <w:r>
        <w:rPr>
          <w:b/>
          <w:w w:val="115"/>
          <w:sz w:val="20"/>
        </w:rPr>
        <w:t>Alcohol-Induced</w:t>
      </w:r>
      <w:r>
        <w:rPr>
          <w:b/>
          <w:spacing w:val="-31"/>
          <w:w w:val="115"/>
          <w:sz w:val="20"/>
        </w:rPr>
        <w:t xml:space="preserve"> </w:t>
      </w:r>
      <w:r>
        <w:rPr>
          <w:b/>
          <w:w w:val="115"/>
          <w:sz w:val="20"/>
        </w:rPr>
        <w:t>Psychotic</w:t>
      </w:r>
      <w:r>
        <w:rPr>
          <w:b/>
          <w:spacing w:val="-21"/>
          <w:w w:val="115"/>
          <w:sz w:val="20"/>
        </w:rPr>
        <w:t xml:space="preserve"> </w:t>
      </w:r>
      <w:r>
        <w:rPr>
          <w:b/>
          <w:w w:val="115"/>
          <w:sz w:val="20"/>
        </w:rPr>
        <w:t>Disorder</w:t>
      </w:r>
      <w:r>
        <w:rPr>
          <w:b/>
          <w:spacing w:val="-17"/>
          <w:w w:val="115"/>
          <w:sz w:val="20"/>
        </w:rPr>
        <w:t xml:space="preserve"> </w:t>
      </w:r>
      <w:r>
        <w:rPr>
          <w:rFonts w:ascii="Arial"/>
          <w:w w:val="115"/>
          <w:sz w:val="18"/>
        </w:rPr>
        <w:t>(p.</w:t>
      </w:r>
      <w:r>
        <w:rPr>
          <w:rFonts w:ascii="Arial"/>
          <w:spacing w:val="-12"/>
          <w:w w:val="115"/>
          <w:sz w:val="18"/>
        </w:rPr>
        <w:t xml:space="preserve"> </w:t>
      </w:r>
      <w:r>
        <w:rPr>
          <w:w w:val="115"/>
          <w:sz w:val="19"/>
        </w:rPr>
        <w:t>310),</w:t>
      </w:r>
      <w:r>
        <w:rPr>
          <w:spacing w:val="-15"/>
          <w:w w:val="115"/>
          <w:sz w:val="19"/>
        </w:rPr>
        <w:t xml:space="preserve"> </w:t>
      </w:r>
      <w:r>
        <w:rPr>
          <w:b/>
          <w:w w:val="115"/>
          <w:sz w:val="20"/>
        </w:rPr>
        <w:t>Alcohol-Induced</w:t>
      </w:r>
      <w:r>
        <w:rPr>
          <w:b/>
          <w:spacing w:val="-30"/>
          <w:w w:val="115"/>
          <w:sz w:val="20"/>
        </w:rPr>
        <w:t xml:space="preserve"> </w:t>
      </w:r>
      <w:r>
        <w:rPr>
          <w:b/>
          <w:w w:val="115"/>
          <w:sz w:val="20"/>
        </w:rPr>
        <w:t>Mood</w:t>
      </w:r>
      <w:r>
        <w:rPr>
          <w:b/>
          <w:spacing w:val="-22"/>
          <w:w w:val="115"/>
          <w:sz w:val="20"/>
        </w:rPr>
        <w:t xml:space="preserve"> </w:t>
      </w:r>
      <w:r>
        <w:rPr>
          <w:b/>
          <w:w w:val="115"/>
          <w:sz w:val="20"/>
        </w:rPr>
        <w:t xml:space="preserve">Disorder </w:t>
      </w:r>
      <w:r>
        <w:rPr>
          <w:rFonts w:ascii="Arial"/>
          <w:w w:val="115"/>
          <w:sz w:val="18"/>
        </w:rPr>
        <w:t xml:space="preserve">(p. </w:t>
      </w:r>
      <w:r>
        <w:rPr>
          <w:w w:val="115"/>
          <w:sz w:val="19"/>
        </w:rPr>
        <w:t xml:space="preserve">370), </w:t>
      </w:r>
      <w:r>
        <w:rPr>
          <w:b/>
          <w:w w:val="115"/>
          <w:sz w:val="20"/>
        </w:rPr>
        <w:t xml:space="preserve">Alcohol-Induced Anxiety Disorder </w:t>
      </w:r>
      <w:r>
        <w:rPr>
          <w:rFonts w:ascii="Arial"/>
          <w:w w:val="115"/>
          <w:sz w:val="18"/>
        </w:rPr>
        <w:t xml:space="preserve">(p. </w:t>
      </w:r>
      <w:r>
        <w:rPr>
          <w:w w:val="115"/>
          <w:sz w:val="19"/>
        </w:rPr>
        <w:t xml:space="preserve">439), </w:t>
      </w:r>
      <w:r>
        <w:rPr>
          <w:b/>
          <w:w w:val="115"/>
          <w:sz w:val="20"/>
        </w:rPr>
        <w:t>Alcohol-Induced Sexual Dysfunction</w:t>
      </w:r>
      <w:r>
        <w:rPr>
          <w:b/>
          <w:spacing w:val="-31"/>
          <w:w w:val="115"/>
          <w:sz w:val="20"/>
        </w:rPr>
        <w:t xml:space="preserve"> </w:t>
      </w:r>
      <w:r>
        <w:rPr>
          <w:w w:val="115"/>
          <w:sz w:val="19"/>
        </w:rPr>
        <w:t>(p.</w:t>
      </w:r>
      <w:r>
        <w:rPr>
          <w:spacing w:val="-28"/>
          <w:w w:val="115"/>
          <w:sz w:val="19"/>
        </w:rPr>
        <w:t xml:space="preserve"> </w:t>
      </w:r>
      <w:r>
        <w:rPr>
          <w:w w:val="115"/>
          <w:sz w:val="19"/>
        </w:rPr>
        <w:t>519),</w:t>
      </w:r>
      <w:r>
        <w:rPr>
          <w:spacing w:val="-30"/>
          <w:w w:val="115"/>
          <w:sz w:val="19"/>
        </w:rPr>
        <w:t xml:space="preserve"> </w:t>
      </w:r>
      <w:r>
        <w:rPr>
          <w:w w:val="115"/>
          <w:sz w:val="19"/>
        </w:rPr>
        <w:t>and</w:t>
      </w:r>
      <w:r>
        <w:rPr>
          <w:spacing w:val="-22"/>
          <w:w w:val="115"/>
          <w:sz w:val="19"/>
        </w:rPr>
        <w:t xml:space="preserve"> </w:t>
      </w:r>
      <w:r>
        <w:rPr>
          <w:b/>
          <w:w w:val="115"/>
          <w:sz w:val="20"/>
        </w:rPr>
        <w:t>Alcohol-Induced</w:t>
      </w:r>
      <w:r>
        <w:rPr>
          <w:b/>
          <w:spacing w:val="-48"/>
          <w:w w:val="115"/>
          <w:sz w:val="20"/>
        </w:rPr>
        <w:t xml:space="preserve"> </w:t>
      </w:r>
      <w:r>
        <w:rPr>
          <w:b/>
          <w:w w:val="115"/>
          <w:sz w:val="20"/>
        </w:rPr>
        <w:t>Sleep</w:t>
      </w:r>
      <w:r>
        <w:rPr>
          <w:b/>
          <w:spacing w:val="-43"/>
          <w:w w:val="115"/>
          <w:sz w:val="20"/>
        </w:rPr>
        <w:t xml:space="preserve"> </w:t>
      </w:r>
      <w:r>
        <w:rPr>
          <w:b/>
          <w:w w:val="115"/>
          <w:sz w:val="20"/>
        </w:rPr>
        <w:t>Disorder</w:t>
      </w:r>
      <w:r>
        <w:rPr>
          <w:b/>
          <w:spacing w:val="-35"/>
          <w:w w:val="115"/>
          <w:sz w:val="20"/>
        </w:rPr>
        <w:t xml:space="preserve"> </w:t>
      </w:r>
      <w:r>
        <w:rPr>
          <w:w w:val="115"/>
          <w:sz w:val="19"/>
        </w:rPr>
        <w:t>(p.</w:t>
      </w:r>
      <w:r>
        <w:rPr>
          <w:spacing w:val="-28"/>
          <w:w w:val="115"/>
          <w:sz w:val="19"/>
        </w:rPr>
        <w:t xml:space="preserve"> </w:t>
      </w:r>
      <w:r>
        <w:rPr>
          <w:w w:val="115"/>
          <w:sz w:val="19"/>
        </w:rPr>
        <w:t>601).</w:t>
      </w:r>
      <w:r>
        <w:rPr>
          <w:spacing w:val="-32"/>
          <w:w w:val="115"/>
          <w:sz w:val="19"/>
        </w:rPr>
        <w:t xml:space="preserve"> </w:t>
      </w:r>
      <w:r>
        <w:rPr>
          <w:w w:val="115"/>
          <w:sz w:val="19"/>
        </w:rPr>
        <w:t>These</w:t>
      </w:r>
      <w:r>
        <w:rPr>
          <w:spacing w:val="-32"/>
          <w:w w:val="115"/>
          <w:sz w:val="19"/>
        </w:rPr>
        <w:t xml:space="preserve"> </w:t>
      </w:r>
      <w:r>
        <w:rPr>
          <w:w w:val="115"/>
          <w:sz w:val="19"/>
        </w:rPr>
        <w:t>disorders are diagnosed instead of Alcohol Intoxication or Alcohol Withdrawal only when the symptoms are in excess of those usually associated with the Alcohol Intoxication or Withdrawal syndrome and when the symptoms are sufficiently severe to warrant independent clinical</w:t>
      </w:r>
      <w:r>
        <w:rPr>
          <w:spacing w:val="14"/>
          <w:w w:val="115"/>
          <w:sz w:val="19"/>
        </w:rPr>
        <w:t xml:space="preserve"> </w:t>
      </w:r>
      <w:r>
        <w:rPr>
          <w:w w:val="115"/>
          <w:sz w:val="19"/>
        </w:rPr>
        <w:t>attention.</w:t>
      </w:r>
    </w:p>
    <w:p w:rsidR="00E675F0" w:rsidRDefault="00E675F0" w:rsidP="00E675F0">
      <w:pPr>
        <w:pStyle w:val="BodyText"/>
      </w:pPr>
    </w:p>
    <w:p w:rsidR="00E675F0" w:rsidRDefault="00E675F0" w:rsidP="00E675F0">
      <w:pPr>
        <w:pStyle w:val="BodyText"/>
      </w:pPr>
    </w:p>
    <w:p w:rsidR="00E675F0" w:rsidRDefault="00E675F0" w:rsidP="00E675F0">
      <w:pPr>
        <w:spacing w:before="150"/>
        <w:ind w:left="33" w:right="103"/>
        <w:jc w:val="center"/>
        <w:rPr>
          <w:rFonts w:ascii="TimesNewRomanPS-BoldItalicMT"/>
          <w:b/>
          <w:i/>
          <w:sz w:val="27"/>
        </w:rPr>
      </w:pPr>
      <w:r>
        <w:rPr>
          <w:rFonts w:ascii="TimesNewRomanPS-BoldItalicMT"/>
          <w:b/>
          <w:i/>
          <w:w w:val="120"/>
          <w:sz w:val="27"/>
        </w:rPr>
        <w:t>Additional Information on Alcohol-Related Disorders</w:t>
      </w:r>
    </w:p>
    <w:p w:rsidR="00E675F0" w:rsidRDefault="00E675F0" w:rsidP="00E675F0">
      <w:pPr>
        <w:pStyle w:val="BodyText"/>
        <w:spacing w:before="6"/>
        <w:rPr>
          <w:rFonts w:ascii="TimesNewRomanPS-BoldItalicMT"/>
          <w:b/>
          <w:i/>
          <w:sz w:val="33"/>
        </w:rPr>
      </w:pPr>
    </w:p>
    <w:p w:rsidR="00E675F0" w:rsidRDefault="00E675F0" w:rsidP="00E675F0">
      <w:pPr>
        <w:ind w:left="107"/>
        <w:jc w:val="both"/>
        <w:rPr>
          <w:rFonts w:ascii="TimesNewRomanPS-BoldItalicMT"/>
          <w:b/>
          <w:i/>
          <w:sz w:val="24"/>
        </w:rPr>
      </w:pPr>
      <w:r>
        <w:rPr>
          <w:rFonts w:ascii="TimesNewRomanPS-BoldItalicMT"/>
          <w:b/>
          <w:i/>
          <w:w w:val="115"/>
          <w:sz w:val="24"/>
        </w:rPr>
        <w:t>Associated  Features and</w:t>
      </w:r>
      <w:r>
        <w:rPr>
          <w:rFonts w:ascii="TimesNewRomanPS-BoldItalicMT"/>
          <w:b/>
          <w:i/>
          <w:spacing w:val="16"/>
          <w:w w:val="115"/>
          <w:sz w:val="24"/>
        </w:rPr>
        <w:t xml:space="preserve"> </w:t>
      </w:r>
      <w:r>
        <w:rPr>
          <w:rFonts w:ascii="TimesNewRomanPS-BoldItalicMT"/>
          <w:b/>
          <w:i/>
          <w:w w:val="115"/>
          <w:sz w:val="24"/>
        </w:rPr>
        <w:t>Disorders</w:t>
      </w:r>
    </w:p>
    <w:p w:rsidR="00E675F0" w:rsidRDefault="00E675F0" w:rsidP="00E675F0">
      <w:pPr>
        <w:pStyle w:val="BodyText"/>
        <w:spacing w:before="6"/>
        <w:rPr>
          <w:rFonts w:ascii="TimesNewRomanPS-BoldItalicMT"/>
          <w:b/>
          <w:i/>
          <w:sz w:val="23"/>
        </w:rPr>
      </w:pPr>
    </w:p>
    <w:p w:rsidR="00E675F0" w:rsidRDefault="00E675F0" w:rsidP="00E675F0">
      <w:pPr>
        <w:spacing w:before="1" w:line="266" w:lineRule="auto"/>
        <w:ind w:left="125" w:right="130" w:hanging="5"/>
        <w:jc w:val="both"/>
        <w:rPr>
          <w:sz w:val="19"/>
        </w:rPr>
      </w:pPr>
      <w:r>
        <w:rPr>
          <w:b/>
          <w:w w:val="110"/>
          <w:sz w:val="20"/>
        </w:rPr>
        <w:t xml:space="preserve">Associated descriptive features and mental disorders. </w:t>
      </w:r>
      <w:r>
        <w:rPr>
          <w:w w:val="110"/>
          <w:sz w:val="19"/>
        </w:rPr>
        <w:t>Alcohol Dependence and Abuse are often associated with Dependence on, or Abuse of, other substances (e.g., cannabis; cocaine; heroin; amphetamines; the sedatives, hypnotics, and anxiolytics; and nicotine). Alcohol may be used to alleviate the unwanted effects of these other substances or to substitute for them when they are not available. Symptoms of depression, anxiety, and insomnia frequently accompany Alcohol Dependence and sometimes precede it. Alcohol Intoxication is sometimes associated with an amnesia for the events that occurred during the course of the intoxication ("blackouts"). This phenomenon may be related to the presence of a high blood alcohol level and, perhaps, to the rapidity with which this level is</w:t>
      </w:r>
      <w:r>
        <w:rPr>
          <w:spacing w:val="49"/>
          <w:w w:val="110"/>
          <w:sz w:val="19"/>
        </w:rPr>
        <w:t xml:space="preserve"> </w:t>
      </w:r>
      <w:r>
        <w:rPr>
          <w:w w:val="110"/>
          <w:sz w:val="19"/>
        </w:rPr>
        <w:t>reached.</w:t>
      </w:r>
    </w:p>
    <w:p w:rsidR="00E675F0" w:rsidRDefault="00E675F0" w:rsidP="00E675F0">
      <w:pPr>
        <w:spacing w:before="8" w:line="266" w:lineRule="auto"/>
        <w:ind w:left="130" w:right="124" w:firstLine="361"/>
        <w:jc w:val="both"/>
        <w:rPr>
          <w:sz w:val="19"/>
        </w:rPr>
      </w:pPr>
      <w:r>
        <w:rPr>
          <w:w w:val="110"/>
          <w:sz w:val="19"/>
        </w:rPr>
        <w:t>Alcohol-Related Disorders are associated with a significant increase in the risk of accidents, violence, and suicide. It is estimated that approximately one-half of all highway fatalities involve either a driver or a pedestrian who has been drinking. Severe Alcohol Intoxication, especially in individuals with Antisocial Personality Disorder, is</w:t>
      </w:r>
    </w:p>
    <w:p w:rsidR="00E675F0" w:rsidRDefault="00E675F0" w:rsidP="00E675F0">
      <w:pPr>
        <w:spacing w:line="266" w:lineRule="auto"/>
        <w:jc w:val="both"/>
        <w:rPr>
          <w:sz w:val="19"/>
        </w:rPr>
        <w:sectPr w:rsidR="00E675F0">
          <w:pgSz w:w="8960" w:h="14260"/>
          <w:pgMar w:top="1400" w:right="600" w:bottom="280" w:left="620" w:header="698" w:footer="0" w:gutter="0"/>
          <w:cols w:space="720"/>
        </w:sectPr>
      </w:pPr>
    </w:p>
    <w:p w:rsidR="00E675F0" w:rsidRDefault="00E675F0" w:rsidP="00E675F0">
      <w:pPr>
        <w:pStyle w:val="BodyText"/>
        <w:spacing w:before="124" w:line="254" w:lineRule="auto"/>
        <w:ind w:left="111" w:right="119"/>
        <w:jc w:val="both"/>
      </w:pPr>
      <w:r>
        <w:rPr>
          <w:w w:val="105"/>
        </w:rPr>
        <w:lastRenderedPageBreak/>
        <w:t>associated with the commission of criminal acts. For example, more than one-half of all murderers and their victims are believed to have been intoxicated with alcohol at the time of the murder. Severe Alcohol Intoxication also contributes to disinhibition and feelings of sadness and irritability, which contribute to suicide attempts and completed suicides. Alcohol-Related Disorders contribute to absenteeism from work, job-related accidents, and low employee productivity. Alcohol Abuse and Dependence, along with Abuse and Dependence of other substances, are prevalent among homeless individuals in the United States. Mood Disorders, Anxiety Disorders, and Schizophrenia may also be associated with Alcohol Dependence. Although antisocial behavior and Antisocial Personality Disorder are associated with Alcohol-Related Disorders, they are even more common with disorders related to illegal substances (e.g., cocaine, heroin, or amphet­ amine) whose cost commonly leads to criminal</w:t>
      </w:r>
      <w:r>
        <w:rPr>
          <w:spacing w:val="30"/>
          <w:w w:val="105"/>
        </w:rPr>
        <w:t xml:space="preserve"> </w:t>
      </w:r>
      <w:r>
        <w:rPr>
          <w:w w:val="105"/>
        </w:rPr>
        <w:t>activity.</w:t>
      </w:r>
    </w:p>
    <w:p w:rsidR="00E675F0" w:rsidRDefault="00E675F0" w:rsidP="00E675F0">
      <w:pPr>
        <w:pStyle w:val="BodyText"/>
        <w:spacing w:before="5"/>
        <w:rPr>
          <w:sz w:val="21"/>
        </w:rPr>
      </w:pPr>
    </w:p>
    <w:p w:rsidR="00E675F0" w:rsidRDefault="00E675F0" w:rsidP="00E675F0">
      <w:pPr>
        <w:pStyle w:val="BodyText"/>
        <w:spacing w:before="1" w:line="254" w:lineRule="auto"/>
        <w:ind w:left="120" w:right="106" w:hanging="9"/>
        <w:jc w:val="both"/>
      </w:pPr>
      <w:r>
        <w:rPr>
          <w:b/>
          <w:w w:val="105"/>
        </w:rPr>
        <w:t xml:space="preserve">Associated laboratory findings. </w:t>
      </w:r>
      <w:r>
        <w:rPr>
          <w:w w:val="105"/>
        </w:rPr>
        <w:t>One sensitive  laboratory  indicator of  heavy drink­ ing is an elevation(&gt; 30 units) of gamma-glutamyltransferase (GGT). This finding may be the only laboratory abnormality. At least 70% of individuals with a high GGT level are persistent heavy drinkers. Mean corpuscular volume (MCV) may be elevated to high-normal values in individuals who drink heavily due to deficiencies of some B vitamins, as well as to the direct toxic effects of alcohol on erythropoiesis. Although the MCV can be used to help identify those who drink heavily, it is a poor method of monitoring abstinence because of the long half-life of red blood cells. Liver function tests (e.g., serum glutamic oxaloacetic transaminase [SGOT] and alkaline phosphatase) can reveal liver injury that is a consequence of heavy drinking. Elevations of lipid levels in the blood (e.g., triglycerides and lipoprotein cholesterol) can be observed, resulting from decreases in gluconeogenesis associated with heavy drinking. High fat content in the blood also contributes to the development of fatty liver. High-normal levels of uric acid can occur with heavy drinking, but are relatively nonspecific. The most direct test available to measure alcohol consumption cross-sectionally is blood alcohol concentra­ tion, which can also be used to judge tolerance to alcohol. An individual with a concentration of 100 mg of ethanol per deciliter of blood who does not show signs of intoxication can be presumed to have acquired at least some degree of tolerance to alcohol.</w:t>
      </w:r>
      <w:r>
        <w:rPr>
          <w:spacing w:val="10"/>
          <w:w w:val="105"/>
        </w:rPr>
        <w:t xml:space="preserve"> </w:t>
      </w:r>
      <w:r>
        <w:rPr>
          <w:w w:val="105"/>
        </w:rPr>
        <w:t>At</w:t>
      </w:r>
      <w:r>
        <w:rPr>
          <w:spacing w:val="11"/>
          <w:w w:val="105"/>
        </w:rPr>
        <w:t xml:space="preserve"> </w:t>
      </w:r>
      <w:r>
        <w:rPr>
          <w:w w:val="105"/>
        </w:rPr>
        <w:t>200</w:t>
      </w:r>
      <w:r>
        <w:rPr>
          <w:spacing w:val="5"/>
          <w:w w:val="105"/>
        </w:rPr>
        <w:t xml:space="preserve"> </w:t>
      </w:r>
      <w:r>
        <w:rPr>
          <w:w w:val="105"/>
        </w:rPr>
        <w:t>mg/dl,</w:t>
      </w:r>
      <w:r>
        <w:rPr>
          <w:spacing w:val="17"/>
          <w:w w:val="105"/>
        </w:rPr>
        <w:t xml:space="preserve"> </w:t>
      </w:r>
      <w:r>
        <w:rPr>
          <w:w w:val="105"/>
        </w:rPr>
        <w:t>most</w:t>
      </w:r>
      <w:r>
        <w:rPr>
          <w:spacing w:val="16"/>
          <w:w w:val="105"/>
        </w:rPr>
        <w:t xml:space="preserve"> </w:t>
      </w:r>
      <w:r>
        <w:rPr>
          <w:w w:val="105"/>
        </w:rPr>
        <w:t>nontolerant</w:t>
      </w:r>
      <w:r>
        <w:rPr>
          <w:spacing w:val="16"/>
          <w:w w:val="105"/>
        </w:rPr>
        <w:t xml:space="preserve"> </w:t>
      </w:r>
      <w:r>
        <w:rPr>
          <w:w w:val="105"/>
        </w:rPr>
        <w:t>individuals</w:t>
      </w:r>
      <w:r>
        <w:rPr>
          <w:spacing w:val="15"/>
          <w:w w:val="105"/>
        </w:rPr>
        <w:t xml:space="preserve"> </w:t>
      </w:r>
      <w:r>
        <w:rPr>
          <w:w w:val="105"/>
        </w:rPr>
        <w:t>demonstrate</w:t>
      </w:r>
      <w:r>
        <w:rPr>
          <w:spacing w:val="10"/>
          <w:w w:val="105"/>
        </w:rPr>
        <w:t xml:space="preserve"> </w:t>
      </w:r>
      <w:r>
        <w:rPr>
          <w:w w:val="105"/>
        </w:rPr>
        <w:t>severe</w:t>
      </w:r>
      <w:r>
        <w:rPr>
          <w:spacing w:val="7"/>
          <w:w w:val="105"/>
        </w:rPr>
        <w:t xml:space="preserve"> </w:t>
      </w:r>
      <w:r>
        <w:rPr>
          <w:w w:val="105"/>
        </w:rPr>
        <w:t>intoxication.</w:t>
      </w:r>
    </w:p>
    <w:p w:rsidR="00E675F0" w:rsidRDefault="00E675F0" w:rsidP="00E675F0">
      <w:pPr>
        <w:pStyle w:val="BodyText"/>
        <w:spacing w:before="4"/>
        <w:rPr>
          <w:sz w:val="19"/>
        </w:rPr>
      </w:pPr>
    </w:p>
    <w:p w:rsidR="00E675F0" w:rsidRDefault="00E675F0" w:rsidP="00E675F0">
      <w:pPr>
        <w:pStyle w:val="BodyText"/>
        <w:spacing w:line="254" w:lineRule="auto"/>
        <w:ind w:left="126" w:right="101" w:hanging="5"/>
        <w:jc w:val="both"/>
      </w:pPr>
      <w:r>
        <w:rPr>
          <w:b/>
          <w:w w:val="105"/>
        </w:rPr>
        <w:t xml:space="preserve">Associated physical examination findings and general  medical  conditions. </w:t>
      </w:r>
      <w:r>
        <w:rPr>
          <w:w w:val="105"/>
        </w:rPr>
        <w:t>Repeated</w:t>
      </w:r>
      <w:r>
        <w:rPr>
          <w:spacing w:val="1"/>
          <w:w w:val="105"/>
        </w:rPr>
        <w:t xml:space="preserve"> </w:t>
      </w:r>
      <w:r>
        <w:rPr>
          <w:w w:val="105"/>
        </w:rPr>
        <w:t>intake</w:t>
      </w:r>
      <w:r>
        <w:rPr>
          <w:spacing w:val="-7"/>
          <w:w w:val="105"/>
        </w:rPr>
        <w:t xml:space="preserve"> </w:t>
      </w:r>
      <w:r>
        <w:rPr>
          <w:w w:val="105"/>
        </w:rPr>
        <w:t>of high</w:t>
      </w:r>
      <w:r>
        <w:rPr>
          <w:spacing w:val="-8"/>
          <w:w w:val="105"/>
        </w:rPr>
        <w:t xml:space="preserve"> </w:t>
      </w:r>
      <w:r>
        <w:rPr>
          <w:w w:val="105"/>
        </w:rPr>
        <w:t>doses</w:t>
      </w:r>
      <w:r>
        <w:rPr>
          <w:spacing w:val="-7"/>
          <w:w w:val="105"/>
        </w:rPr>
        <w:t xml:space="preserve"> </w:t>
      </w:r>
      <w:r>
        <w:rPr>
          <w:w w:val="105"/>
        </w:rPr>
        <w:t>of</w:t>
      </w:r>
      <w:r>
        <w:rPr>
          <w:spacing w:val="-4"/>
          <w:w w:val="105"/>
        </w:rPr>
        <w:t xml:space="preserve"> </w:t>
      </w:r>
      <w:r>
        <w:rPr>
          <w:w w:val="105"/>
        </w:rPr>
        <w:t>alcohol can</w:t>
      </w:r>
      <w:r>
        <w:rPr>
          <w:spacing w:val="-17"/>
          <w:w w:val="105"/>
        </w:rPr>
        <w:t xml:space="preserve"> </w:t>
      </w:r>
      <w:r>
        <w:rPr>
          <w:w w:val="105"/>
        </w:rPr>
        <w:t>affect</w:t>
      </w:r>
      <w:r>
        <w:rPr>
          <w:spacing w:val="-4"/>
          <w:w w:val="105"/>
        </w:rPr>
        <w:t xml:space="preserve"> </w:t>
      </w:r>
      <w:r>
        <w:rPr>
          <w:w w:val="105"/>
        </w:rPr>
        <w:t>nearly</w:t>
      </w:r>
      <w:r>
        <w:rPr>
          <w:spacing w:val="-10"/>
          <w:w w:val="105"/>
        </w:rPr>
        <w:t xml:space="preserve"> </w:t>
      </w:r>
      <w:r>
        <w:rPr>
          <w:w w:val="105"/>
        </w:rPr>
        <w:t>every</w:t>
      </w:r>
      <w:r>
        <w:rPr>
          <w:spacing w:val="-11"/>
          <w:w w:val="105"/>
        </w:rPr>
        <w:t xml:space="preserve"> </w:t>
      </w:r>
      <w:r>
        <w:rPr>
          <w:w w:val="105"/>
        </w:rPr>
        <w:t>organ</w:t>
      </w:r>
      <w:r>
        <w:rPr>
          <w:spacing w:val="-8"/>
          <w:w w:val="105"/>
        </w:rPr>
        <w:t xml:space="preserve"> </w:t>
      </w:r>
      <w:r>
        <w:rPr>
          <w:w w:val="105"/>
        </w:rPr>
        <w:t>system,</w:t>
      </w:r>
      <w:r>
        <w:rPr>
          <w:spacing w:val="-6"/>
          <w:w w:val="105"/>
        </w:rPr>
        <w:t xml:space="preserve"> </w:t>
      </w:r>
      <w:r>
        <w:rPr>
          <w:w w:val="105"/>
        </w:rPr>
        <w:t>especially the gastrointestinal tract, cardiovascular system, and the central and peripheral nervous systems. Gastrointestinal effects include gastritis, stomach or duodenal ulcers, and, in about 15% of those who use alcohol heavily, liver cirrhosis and pancreatitis. There is also an increased rate of cancer of the esophagus, stomach, and other parts of the gastrointestinal tract. One of the most common associated general medical conditions is low-grade hypertension. Cardiomyopathy and other myopathies are less common, but occur at an increased rate among those who drink very heavily. These factors,  along with marked increases in levels of triglycerides and low-density lipoprotein cholesterol, contribute to an elevated risk of heart disease. Peripheral neuropathy may be evidenced by muscular weakness, paresthesias, and decreased peripheral sensation. More persistent central nervous system effects include cognitive deficits, severe memory impairment, and degenerative changes in the cerebellum. These effects are related to vitamin deficiencies (particularly of the B vitamins, including thiamine). The most devastating central nervous system effect is the relatively rare Alcohol-Induced Persisting</w:t>
      </w:r>
      <w:r>
        <w:rPr>
          <w:spacing w:val="-17"/>
          <w:w w:val="105"/>
        </w:rPr>
        <w:t xml:space="preserve"> </w:t>
      </w:r>
      <w:r>
        <w:rPr>
          <w:w w:val="105"/>
        </w:rPr>
        <w:t>Amnestic</w:t>
      </w:r>
    </w:p>
    <w:p w:rsidR="00E675F0" w:rsidRDefault="00E675F0" w:rsidP="00E675F0">
      <w:pPr>
        <w:spacing w:line="254" w:lineRule="auto"/>
        <w:jc w:val="both"/>
        <w:sectPr w:rsidR="00E675F0">
          <w:pgSz w:w="8960" w:h="14260"/>
          <w:pgMar w:top="1400" w:right="640" w:bottom="280" w:left="600" w:header="683" w:footer="0" w:gutter="0"/>
          <w:cols w:space="720"/>
        </w:sectPr>
      </w:pPr>
    </w:p>
    <w:p w:rsidR="00E675F0" w:rsidRDefault="00E675F0" w:rsidP="00E675F0">
      <w:pPr>
        <w:pStyle w:val="BodyText"/>
        <w:spacing w:before="118" w:line="252" w:lineRule="auto"/>
        <w:ind w:left="137" w:right="108" w:hanging="2"/>
        <w:jc w:val="both"/>
      </w:pPr>
      <w:r>
        <w:rPr>
          <w:w w:val="105"/>
        </w:rPr>
        <w:lastRenderedPageBreak/>
        <w:t>Disorder (p. 161) (Wernicke-Korsakoff syndrome), in which the ability to encode new memory is severely impaired.</w:t>
      </w:r>
    </w:p>
    <w:p w:rsidR="00E675F0" w:rsidRDefault="00E675F0" w:rsidP="00E675F0">
      <w:pPr>
        <w:pStyle w:val="BodyText"/>
        <w:spacing w:line="254" w:lineRule="auto"/>
        <w:ind w:left="128" w:right="107" w:firstLine="364"/>
        <w:jc w:val="both"/>
      </w:pPr>
      <w:r>
        <w:rPr>
          <w:w w:val="105"/>
        </w:rPr>
        <w:t>Many of the symptoms and physical findings associated with the Alcohol-Related Disorders are a consequence of the disease states noted above. Examples are the dyspepsia, nausea, and bloating that accompany gastritis and the hepatomegaly, esophageal varices, and hemorrhoids that accompany alcohol-induced changes in the liver. Other physical signs include tremor, unsteady gait, insomnia, and erectile dysfunction. Individuals with chronic Alcohol Dependence may exhibit decreased testicular size and feminizing effects associated with reduced testosterone levels. Repeated heavy drinking during pregnancy is associated with spontaneous abortion and fetal alcohol syndrome. Individuals with preexisting histories of epilepsy or severe head trauma are more likely to develop alcohol-related seizures. Alcohol Withdrawal may be associated with nausea, vomiting, gastritis, hematemesis, dry mouth, puffy blotchy complexion, and mild peripheral edema. Alcohol Intoxication may result in falls and accidents that may cause fractures, subdural hematomas, and other forms of brain trauma. Severe, repeated Alcohol Intoxication may also suppress immune mechanisms and predispose individuals to infections and increase the risk for cancers. Finally, unanticipated Alcohol Withdrawal in hospitalized patients for whom a diagnosis of Alcohol Dependence has been overlooked can add to the risks and costs of hospital­ ization and to time spent in the hospital.</w:t>
      </w:r>
    </w:p>
    <w:p w:rsidR="00E675F0" w:rsidRDefault="00E675F0" w:rsidP="00E675F0">
      <w:pPr>
        <w:pStyle w:val="BodyText"/>
        <w:rPr>
          <w:sz w:val="22"/>
        </w:rPr>
      </w:pPr>
    </w:p>
    <w:p w:rsidR="00E675F0" w:rsidRDefault="00E675F0" w:rsidP="00E675F0">
      <w:pPr>
        <w:pStyle w:val="BodyText"/>
        <w:spacing w:before="5"/>
        <w:rPr>
          <w:sz w:val="21"/>
        </w:rPr>
      </w:pPr>
    </w:p>
    <w:p w:rsidR="00E675F0" w:rsidRDefault="00E675F0" w:rsidP="00E675F0">
      <w:pPr>
        <w:spacing w:line="247" w:lineRule="auto"/>
        <w:ind w:left="108" w:right="4707" w:firstLine="17"/>
        <w:rPr>
          <w:rFonts w:ascii="TimesNewRomanPS-BoldItalicMT"/>
          <w:b/>
          <w:i/>
          <w:sz w:val="24"/>
        </w:rPr>
      </w:pPr>
      <w:r>
        <w:rPr>
          <w:rFonts w:ascii="TimesNewRomanPS-BoldItalicMT"/>
          <w:b/>
          <w:i/>
          <w:w w:val="110"/>
          <w:sz w:val="24"/>
        </w:rPr>
        <w:t>Specific Culture, Age, and Gender Features</w:t>
      </w:r>
    </w:p>
    <w:p w:rsidR="00E675F0" w:rsidRDefault="00E675F0" w:rsidP="00E675F0">
      <w:pPr>
        <w:pStyle w:val="BodyText"/>
        <w:spacing w:before="161" w:line="252" w:lineRule="auto"/>
        <w:ind w:left="125" w:right="116" w:firstLine="8"/>
        <w:jc w:val="both"/>
      </w:pPr>
      <w:r>
        <w:rPr>
          <w:w w:val="105"/>
        </w:rPr>
        <w:t>The cultural traditions surrounding the use of alcohol in family, religious, and social settings, especially during childhood, can affect both alcohol use patterns and the likelihood that alcohol problems will develop. Marked differences characterize the quantity, frequency, and patterning of alcohol consumption in the countries of the world. In most Asian cultures, the overall prevalence of Alcohol-Related Disorders may be relatively low, and the male-to-female ratio high. These findings appear to relate to the absence, in perhaps 50% of Japanese, Chinese, and Korean individuals, of the form of aldehyde dehydrogenase that eliminates low levels of the first breakdown product of alcohol, acetaldehyde. When such individuals consume alcohol, they experience a flushed face and palpitations and are less likely to consume large amounts. In the United States, whites and African-Americans have nearly identical rates of Alcohol Abuse and Dependence. Latino males have somewhat higher rates, although prevalence is lower among Latino females than among females from other ethnic groups. Low educational level, unemployment, and lower socioeconomic status are associated with Alcohol­ Related Disorders, although it is often difficult to separate cause from effect. Years of schooling may not be as important in determining risk as completing the immediate educational goal (i.e., those who drop out of high school or college have particularly high rates of Alcohol-Related</w:t>
      </w:r>
      <w:r>
        <w:rPr>
          <w:spacing w:val="45"/>
          <w:w w:val="105"/>
        </w:rPr>
        <w:t xml:space="preserve"> </w:t>
      </w:r>
      <w:r>
        <w:rPr>
          <w:w w:val="105"/>
        </w:rPr>
        <w:t>Disorders).</w:t>
      </w:r>
    </w:p>
    <w:p w:rsidR="00E675F0" w:rsidRDefault="00E675F0" w:rsidP="00E675F0">
      <w:pPr>
        <w:pStyle w:val="BodyText"/>
        <w:spacing w:before="13" w:line="254" w:lineRule="auto"/>
        <w:ind w:left="127" w:right="119" w:firstLine="361"/>
        <w:jc w:val="both"/>
      </w:pPr>
      <w:r>
        <w:rPr>
          <w:w w:val="105"/>
        </w:rPr>
        <w:t>Among adolescents, Conduct Disorder and repeated antisocial behavior often co-occur with Alcohol Abuse or Dependence and with other Substance-Related Disor­ ders. Age-related physical changes in elderly persons result in increased brain suscep­ tibility to the depressant effects of alcohol, decreased rates of liver metabolism of a variety</w:t>
      </w:r>
      <w:r>
        <w:rPr>
          <w:spacing w:val="-14"/>
          <w:w w:val="105"/>
        </w:rPr>
        <w:t xml:space="preserve"> </w:t>
      </w:r>
      <w:r>
        <w:rPr>
          <w:w w:val="105"/>
        </w:rPr>
        <w:t>of</w:t>
      </w:r>
      <w:r>
        <w:rPr>
          <w:spacing w:val="-8"/>
          <w:w w:val="105"/>
        </w:rPr>
        <w:t xml:space="preserve"> </w:t>
      </w:r>
      <w:r>
        <w:rPr>
          <w:w w:val="105"/>
        </w:rPr>
        <w:t>substances,</w:t>
      </w:r>
      <w:r>
        <w:rPr>
          <w:spacing w:val="7"/>
          <w:w w:val="105"/>
        </w:rPr>
        <w:t xml:space="preserve"> </w:t>
      </w:r>
      <w:r>
        <w:rPr>
          <w:w w:val="105"/>
        </w:rPr>
        <w:t>including</w:t>
      </w:r>
      <w:r>
        <w:rPr>
          <w:spacing w:val="-9"/>
          <w:w w:val="105"/>
        </w:rPr>
        <w:t xml:space="preserve"> </w:t>
      </w:r>
      <w:r>
        <w:rPr>
          <w:w w:val="105"/>
        </w:rPr>
        <w:t>alcohol,</w:t>
      </w:r>
      <w:r>
        <w:rPr>
          <w:spacing w:val="-1"/>
          <w:w w:val="105"/>
        </w:rPr>
        <w:t xml:space="preserve"> </w:t>
      </w:r>
      <w:r>
        <w:rPr>
          <w:w w:val="105"/>
        </w:rPr>
        <w:t>and</w:t>
      </w:r>
      <w:r>
        <w:rPr>
          <w:spacing w:val="-10"/>
          <w:w w:val="105"/>
        </w:rPr>
        <w:t xml:space="preserve"> </w:t>
      </w:r>
      <w:r>
        <w:rPr>
          <w:w w:val="105"/>
        </w:rPr>
        <w:t>decreased</w:t>
      </w:r>
      <w:r>
        <w:rPr>
          <w:spacing w:val="3"/>
          <w:w w:val="105"/>
        </w:rPr>
        <w:t xml:space="preserve"> </w:t>
      </w:r>
      <w:r>
        <w:rPr>
          <w:w w:val="105"/>
        </w:rPr>
        <w:t>percentages</w:t>
      </w:r>
      <w:r>
        <w:rPr>
          <w:spacing w:val="-4"/>
          <w:w w:val="105"/>
        </w:rPr>
        <w:t xml:space="preserve"> </w:t>
      </w:r>
      <w:r>
        <w:rPr>
          <w:w w:val="105"/>
        </w:rPr>
        <w:t>of</w:t>
      </w:r>
      <w:r>
        <w:rPr>
          <w:spacing w:val="-4"/>
          <w:w w:val="105"/>
        </w:rPr>
        <w:t xml:space="preserve"> </w:t>
      </w:r>
      <w:r>
        <w:rPr>
          <w:w w:val="105"/>
        </w:rPr>
        <w:t>body</w:t>
      </w:r>
      <w:r>
        <w:rPr>
          <w:spacing w:val="-11"/>
          <w:w w:val="105"/>
        </w:rPr>
        <w:t xml:space="preserve"> </w:t>
      </w:r>
      <w:r>
        <w:rPr>
          <w:w w:val="105"/>
        </w:rPr>
        <w:t>water.</w:t>
      </w:r>
      <w:r>
        <w:rPr>
          <w:spacing w:val="-19"/>
          <w:w w:val="105"/>
        </w:rPr>
        <w:t xml:space="preserve"> </w:t>
      </w:r>
      <w:r>
        <w:rPr>
          <w:w w:val="105"/>
        </w:rPr>
        <w:t xml:space="preserve">These changes can cause older people </w:t>
      </w:r>
      <w:r>
        <w:rPr>
          <w:w w:val="105"/>
          <w:sz w:val="18"/>
        </w:rPr>
        <w:t xml:space="preserve">to </w:t>
      </w:r>
      <w:r>
        <w:rPr>
          <w:w w:val="105"/>
        </w:rPr>
        <w:t>develop more severe intoxication and</w:t>
      </w:r>
      <w:r>
        <w:rPr>
          <w:spacing w:val="20"/>
          <w:w w:val="105"/>
        </w:rPr>
        <w:t xml:space="preserve"> </w:t>
      </w:r>
      <w:r>
        <w:rPr>
          <w:w w:val="105"/>
        </w:rPr>
        <w:t>subsequent</w:t>
      </w:r>
    </w:p>
    <w:p w:rsidR="00E675F0" w:rsidRDefault="00E675F0" w:rsidP="00E675F0">
      <w:pPr>
        <w:spacing w:line="254" w:lineRule="auto"/>
        <w:jc w:val="both"/>
        <w:sectPr w:rsidR="00E675F0">
          <w:headerReference w:type="even" r:id="rId177"/>
          <w:headerReference w:type="default" r:id="rId178"/>
          <w:pgSz w:w="8960" w:h="14260"/>
          <w:pgMar w:top="1400" w:right="640" w:bottom="280" w:left="600" w:header="683" w:footer="0" w:gutter="0"/>
          <w:cols w:space="720"/>
        </w:sectPr>
      </w:pPr>
    </w:p>
    <w:p w:rsidR="00E675F0" w:rsidRDefault="00E675F0" w:rsidP="00E675F0">
      <w:pPr>
        <w:pStyle w:val="BodyText"/>
        <w:spacing w:before="116" w:line="256" w:lineRule="auto"/>
        <w:ind w:left="121" w:right="118" w:firstLine="7"/>
        <w:jc w:val="both"/>
      </w:pPr>
      <w:r>
        <w:rPr>
          <w:w w:val="105"/>
        </w:rPr>
        <w:lastRenderedPageBreak/>
        <w:t>problems at lower levels of consumption. Alcohol-related problems in older people are also especially likely to be associated with other medical complications.</w:t>
      </w:r>
    </w:p>
    <w:p w:rsidR="00E675F0" w:rsidRDefault="00E675F0" w:rsidP="00E675F0">
      <w:pPr>
        <w:pStyle w:val="BodyText"/>
        <w:spacing w:line="254" w:lineRule="auto"/>
        <w:ind w:left="116" w:right="113" w:firstLine="366"/>
        <w:jc w:val="both"/>
      </w:pPr>
      <w:r>
        <w:rPr>
          <w:w w:val="105"/>
        </w:rPr>
        <w:t>Alcohol Abuse and Dependence  are more common  in males than in females,  with a male-to-female ratio as high as 5:1. However, this ratio varies substantially depending on the age group. Females tend to start drinking heavily later in life than do males and may develop Alcohol-Related Disorders later. Once Alcohol Abuse or Dependence develops in females, it may progress more rapidly, so that by middle age females may have the same range of health problems and social, interpersonal, and occupational consequences as do males. Females tend to develop higher blood alcohol concentrations than males at a given dose of alcohol per kilogram  because  of  their lower percentage of body water, higher percentage of body fat, and the fact that they tend to metabolize alcohol more slowly (in part because of lower levels of alcohol dehydrogenase in the mucosa! lining of the stomach). Because of these higher alcohol levels, they may be at greater risk than males for some of the health-related consequences of heavy alcohol intake (in particular, liver</w:t>
      </w:r>
      <w:r>
        <w:rPr>
          <w:spacing w:val="2"/>
          <w:w w:val="105"/>
        </w:rPr>
        <w:t xml:space="preserve"> </w:t>
      </w:r>
      <w:r>
        <w:rPr>
          <w:w w:val="105"/>
        </w:rPr>
        <w:t>damage).</w:t>
      </w:r>
    </w:p>
    <w:p w:rsidR="00E675F0" w:rsidRDefault="00E675F0" w:rsidP="00E675F0">
      <w:pPr>
        <w:pStyle w:val="BodyText"/>
        <w:rPr>
          <w:sz w:val="22"/>
        </w:rPr>
      </w:pPr>
    </w:p>
    <w:p w:rsidR="00E675F0" w:rsidRDefault="00E675F0" w:rsidP="00E675F0">
      <w:pPr>
        <w:pStyle w:val="BodyText"/>
        <w:spacing w:before="11"/>
        <w:rPr>
          <w:sz w:val="27"/>
        </w:rPr>
      </w:pPr>
    </w:p>
    <w:p w:rsidR="00E675F0" w:rsidRDefault="00E675F0" w:rsidP="00E675F0">
      <w:pPr>
        <w:ind w:left="106"/>
        <w:rPr>
          <w:rFonts w:ascii="TimesNewRomanPS-BoldItalicMT"/>
          <w:b/>
          <w:i/>
          <w:sz w:val="24"/>
        </w:rPr>
      </w:pPr>
      <w:r>
        <w:rPr>
          <w:rFonts w:ascii="TimesNewRomanPS-BoldItalicMT"/>
          <w:b/>
          <w:i/>
          <w:w w:val="115"/>
          <w:sz w:val="24"/>
        </w:rPr>
        <w:t>Prevalence</w:t>
      </w:r>
    </w:p>
    <w:p w:rsidR="00E675F0" w:rsidRDefault="00E675F0" w:rsidP="00E675F0">
      <w:pPr>
        <w:pStyle w:val="BodyText"/>
        <w:spacing w:before="132" w:line="252" w:lineRule="auto"/>
        <w:ind w:left="119" w:right="102" w:firstLine="2"/>
        <w:jc w:val="both"/>
      </w:pPr>
      <w:r>
        <w:rPr>
          <w:w w:val="105"/>
        </w:rPr>
        <w:t>Alcohol Dependence and Abuse are among the most prevalent mental disorders in the general population. A community study conducted in the United States from 1980 to 1985 using DSM-III criteria found that about 8% of the adult population had Alcohol Dependence</w:t>
      </w:r>
      <w:r>
        <w:rPr>
          <w:spacing w:val="1"/>
          <w:w w:val="105"/>
        </w:rPr>
        <w:t xml:space="preserve"> </w:t>
      </w:r>
      <w:r>
        <w:rPr>
          <w:w w:val="105"/>
        </w:rPr>
        <w:t>and</w:t>
      </w:r>
      <w:r>
        <w:rPr>
          <w:spacing w:val="-8"/>
          <w:w w:val="105"/>
        </w:rPr>
        <w:t xml:space="preserve"> </w:t>
      </w:r>
      <w:r>
        <w:rPr>
          <w:w w:val="105"/>
        </w:rPr>
        <w:t>about</w:t>
      </w:r>
      <w:r>
        <w:rPr>
          <w:spacing w:val="-8"/>
          <w:w w:val="105"/>
        </w:rPr>
        <w:t xml:space="preserve"> </w:t>
      </w:r>
      <w:r>
        <w:rPr>
          <w:w w:val="105"/>
        </w:rPr>
        <w:t>5%</w:t>
      </w:r>
      <w:r>
        <w:rPr>
          <w:spacing w:val="-15"/>
          <w:w w:val="105"/>
        </w:rPr>
        <w:t xml:space="preserve"> </w:t>
      </w:r>
      <w:r>
        <w:rPr>
          <w:w w:val="105"/>
        </w:rPr>
        <w:t>had</w:t>
      </w:r>
      <w:r>
        <w:rPr>
          <w:spacing w:val="-11"/>
          <w:w w:val="105"/>
        </w:rPr>
        <w:t xml:space="preserve"> </w:t>
      </w:r>
      <w:r>
        <w:rPr>
          <w:w w:val="105"/>
        </w:rPr>
        <w:t>Alcohol</w:t>
      </w:r>
      <w:r>
        <w:rPr>
          <w:spacing w:val="-2"/>
          <w:w w:val="105"/>
        </w:rPr>
        <w:t xml:space="preserve"> </w:t>
      </w:r>
      <w:r>
        <w:rPr>
          <w:w w:val="105"/>
        </w:rPr>
        <w:t>Abuse</w:t>
      </w:r>
      <w:r>
        <w:rPr>
          <w:spacing w:val="-5"/>
          <w:w w:val="105"/>
        </w:rPr>
        <w:t xml:space="preserve"> </w:t>
      </w:r>
      <w:r>
        <w:rPr>
          <w:w w:val="105"/>
        </w:rPr>
        <w:t>at</w:t>
      </w:r>
      <w:r>
        <w:rPr>
          <w:spacing w:val="-14"/>
          <w:w w:val="105"/>
        </w:rPr>
        <w:t xml:space="preserve"> </w:t>
      </w:r>
      <w:r>
        <w:rPr>
          <w:w w:val="105"/>
        </w:rPr>
        <w:t>some</w:t>
      </w:r>
      <w:r>
        <w:rPr>
          <w:spacing w:val="-8"/>
          <w:w w:val="105"/>
        </w:rPr>
        <w:t xml:space="preserve"> </w:t>
      </w:r>
      <w:r>
        <w:rPr>
          <w:w w:val="105"/>
        </w:rPr>
        <w:t>time</w:t>
      </w:r>
      <w:r>
        <w:rPr>
          <w:spacing w:val="-7"/>
          <w:w w:val="105"/>
        </w:rPr>
        <w:t xml:space="preserve"> </w:t>
      </w:r>
      <w:r>
        <w:rPr>
          <w:w w:val="105"/>
        </w:rPr>
        <w:t>in</w:t>
      </w:r>
      <w:r>
        <w:rPr>
          <w:spacing w:val="-12"/>
          <w:w w:val="105"/>
        </w:rPr>
        <w:t xml:space="preserve"> </w:t>
      </w:r>
      <w:r>
        <w:rPr>
          <w:w w:val="105"/>
        </w:rPr>
        <w:t>their</w:t>
      </w:r>
      <w:r>
        <w:rPr>
          <w:spacing w:val="-14"/>
          <w:w w:val="105"/>
        </w:rPr>
        <w:t xml:space="preserve"> </w:t>
      </w:r>
      <w:r>
        <w:rPr>
          <w:w w:val="105"/>
        </w:rPr>
        <w:t>lives.</w:t>
      </w:r>
      <w:r>
        <w:rPr>
          <w:spacing w:val="-10"/>
          <w:w w:val="105"/>
        </w:rPr>
        <w:t xml:space="preserve"> </w:t>
      </w:r>
      <w:r>
        <w:rPr>
          <w:w w:val="105"/>
        </w:rPr>
        <w:t>Approximately 6% had Alcohol Dependence or Abuse during the preceding year. From data collected prospectively,</w:t>
      </w:r>
      <w:r>
        <w:rPr>
          <w:spacing w:val="-21"/>
          <w:w w:val="105"/>
        </w:rPr>
        <w:t xml:space="preserve"> </w:t>
      </w:r>
      <w:r>
        <w:rPr>
          <w:w w:val="105"/>
        </w:rPr>
        <w:t>about</w:t>
      </w:r>
      <w:r>
        <w:rPr>
          <w:spacing w:val="-12"/>
          <w:w w:val="105"/>
        </w:rPr>
        <w:t xml:space="preserve"> </w:t>
      </w:r>
      <w:r>
        <w:rPr>
          <w:w w:val="105"/>
        </w:rPr>
        <w:t>7.5%</w:t>
      </w:r>
      <w:r>
        <w:rPr>
          <w:spacing w:val="-17"/>
          <w:w w:val="105"/>
        </w:rPr>
        <w:t xml:space="preserve"> </w:t>
      </w:r>
      <w:r>
        <w:rPr>
          <w:w w:val="105"/>
        </w:rPr>
        <w:t>had</w:t>
      </w:r>
      <w:r>
        <w:rPr>
          <w:spacing w:val="-21"/>
          <w:w w:val="105"/>
        </w:rPr>
        <w:t xml:space="preserve"> </w:t>
      </w:r>
      <w:r>
        <w:rPr>
          <w:w w:val="105"/>
        </w:rPr>
        <w:t>symptoms</w:t>
      </w:r>
      <w:r>
        <w:rPr>
          <w:spacing w:val="-15"/>
          <w:w w:val="105"/>
        </w:rPr>
        <w:t xml:space="preserve"> </w:t>
      </w:r>
      <w:r>
        <w:rPr>
          <w:w w:val="105"/>
        </w:rPr>
        <w:t>that</w:t>
      </w:r>
      <w:r>
        <w:rPr>
          <w:spacing w:val="-14"/>
          <w:w w:val="105"/>
        </w:rPr>
        <w:t xml:space="preserve"> </w:t>
      </w:r>
      <w:r>
        <w:rPr>
          <w:w w:val="105"/>
        </w:rPr>
        <w:t>met</w:t>
      </w:r>
      <w:r>
        <w:rPr>
          <w:spacing w:val="-23"/>
          <w:w w:val="105"/>
        </w:rPr>
        <w:t xml:space="preserve"> </w:t>
      </w:r>
      <w:r>
        <w:rPr>
          <w:w w:val="105"/>
        </w:rPr>
        <w:t>criteria</w:t>
      </w:r>
      <w:r>
        <w:rPr>
          <w:spacing w:val="-10"/>
          <w:w w:val="105"/>
        </w:rPr>
        <w:t xml:space="preserve"> </w:t>
      </w:r>
      <w:r>
        <w:rPr>
          <w:w w:val="105"/>
        </w:rPr>
        <w:t>for</w:t>
      </w:r>
      <w:r>
        <w:rPr>
          <w:spacing w:val="-24"/>
          <w:w w:val="105"/>
        </w:rPr>
        <w:t xml:space="preserve"> </w:t>
      </w:r>
      <w:r>
        <w:rPr>
          <w:w w:val="105"/>
        </w:rPr>
        <w:t>an</w:t>
      </w:r>
      <w:r>
        <w:rPr>
          <w:spacing w:val="-17"/>
          <w:w w:val="105"/>
        </w:rPr>
        <w:t xml:space="preserve"> </w:t>
      </w:r>
      <w:r>
        <w:rPr>
          <w:w w:val="105"/>
        </w:rPr>
        <w:t>Alcohol-Related</w:t>
      </w:r>
      <w:r>
        <w:rPr>
          <w:spacing w:val="-22"/>
          <w:w w:val="105"/>
        </w:rPr>
        <w:t xml:space="preserve"> </w:t>
      </w:r>
      <w:r>
        <w:rPr>
          <w:w w:val="105"/>
        </w:rPr>
        <w:t>Disorder during a 1-year period. A United States national probability sample of noninstitutional­ ized</w:t>
      </w:r>
      <w:r>
        <w:rPr>
          <w:spacing w:val="-6"/>
          <w:w w:val="105"/>
        </w:rPr>
        <w:t xml:space="preserve"> </w:t>
      </w:r>
      <w:r>
        <w:rPr>
          <w:w w:val="105"/>
        </w:rPr>
        <w:t>adults</w:t>
      </w:r>
      <w:r>
        <w:rPr>
          <w:spacing w:val="-13"/>
          <w:w w:val="105"/>
        </w:rPr>
        <w:t xml:space="preserve"> </w:t>
      </w:r>
      <w:r>
        <w:rPr>
          <w:w w:val="105"/>
        </w:rPr>
        <w:t>(ages</w:t>
      </w:r>
      <w:r>
        <w:rPr>
          <w:spacing w:val="-14"/>
          <w:w w:val="105"/>
        </w:rPr>
        <w:t xml:space="preserve"> </w:t>
      </w:r>
      <w:r>
        <w:rPr>
          <w:w w:val="105"/>
        </w:rPr>
        <w:t>15-54</w:t>
      </w:r>
      <w:r>
        <w:rPr>
          <w:spacing w:val="-8"/>
          <w:w w:val="105"/>
        </w:rPr>
        <w:t xml:space="preserve"> </w:t>
      </w:r>
      <w:r>
        <w:rPr>
          <w:w w:val="105"/>
        </w:rPr>
        <w:t>years)</w:t>
      </w:r>
      <w:r>
        <w:rPr>
          <w:spacing w:val="-6"/>
          <w:w w:val="105"/>
        </w:rPr>
        <w:t xml:space="preserve"> </w:t>
      </w:r>
      <w:r>
        <w:rPr>
          <w:w w:val="105"/>
        </w:rPr>
        <w:t>conducted</w:t>
      </w:r>
      <w:r>
        <w:rPr>
          <w:spacing w:val="1"/>
          <w:w w:val="105"/>
        </w:rPr>
        <w:t xml:space="preserve"> </w:t>
      </w:r>
      <w:r>
        <w:rPr>
          <w:w w:val="105"/>
        </w:rPr>
        <w:t>in</w:t>
      </w:r>
      <w:r>
        <w:rPr>
          <w:spacing w:val="-12"/>
          <w:w w:val="105"/>
        </w:rPr>
        <w:t xml:space="preserve"> </w:t>
      </w:r>
      <w:r>
        <w:rPr>
          <w:w w:val="105"/>
        </w:rPr>
        <w:t>1990-1991</w:t>
      </w:r>
      <w:r>
        <w:rPr>
          <w:spacing w:val="-6"/>
          <w:w w:val="105"/>
        </w:rPr>
        <w:t xml:space="preserve"> </w:t>
      </w:r>
      <w:r>
        <w:rPr>
          <w:w w:val="105"/>
        </w:rPr>
        <w:t>using</w:t>
      </w:r>
      <w:r>
        <w:rPr>
          <w:spacing w:val="-4"/>
          <w:w w:val="105"/>
        </w:rPr>
        <w:t xml:space="preserve"> </w:t>
      </w:r>
      <w:r>
        <w:rPr>
          <w:w w:val="105"/>
        </w:rPr>
        <w:t>DSM-III-R</w:t>
      </w:r>
      <w:r>
        <w:rPr>
          <w:spacing w:val="-3"/>
          <w:w w:val="105"/>
        </w:rPr>
        <w:t xml:space="preserve"> </w:t>
      </w:r>
      <w:r>
        <w:rPr>
          <w:w w:val="105"/>
        </w:rPr>
        <w:t>criteria</w:t>
      </w:r>
      <w:r>
        <w:rPr>
          <w:spacing w:val="8"/>
          <w:w w:val="105"/>
        </w:rPr>
        <w:t xml:space="preserve"> </w:t>
      </w:r>
      <w:r>
        <w:rPr>
          <w:w w:val="105"/>
        </w:rPr>
        <w:t>reported that</w:t>
      </w:r>
      <w:r>
        <w:rPr>
          <w:spacing w:val="-10"/>
          <w:w w:val="105"/>
        </w:rPr>
        <w:t xml:space="preserve"> </w:t>
      </w:r>
      <w:r>
        <w:rPr>
          <w:w w:val="105"/>
        </w:rPr>
        <w:t>around</w:t>
      </w:r>
      <w:r>
        <w:rPr>
          <w:spacing w:val="-8"/>
          <w:w w:val="105"/>
        </w:rPr>
        <w:t xml:space="preserve"> </w:t>
      </w:r>
      <w:r>
        <w:rPr>
          <w:w w:val="105"/>
        </w:rPr>
        <w:t>14%</w:t>
      </w:r>
      <w:r>
        <w:rPr>
          <w:spacing w:val="-16"/>
          <w:w w:val="105"/>
        </w:rPr>
        <w:t xml:space="preserve"> </w:t>
      </w:r>
      <w:r>
        <w:rPr>
          <w:w w:val="105"/>
        </w:rPr>
        <w:t>had</w:t>
      </w:r>
      <w:r>
        <w:rPr>
          <w:spacing w:val="-11"/>
          <w:w w:val="105"/>
        </w:rPr>
        <w:t xml:space="preserve"> </w:t>
      </w:r>
      <w:r>
        <w:rPr>
          <w:w w:val="105"/>
        </w:rPr>
        <w:t>Alcohol</w:t>
      </w:r>
      <w:r>
        <w:rPr>
          <w:spacing w:val="-4"/>
          <w:w w:val="105"/>
        </w:rPr>
        <w:t xml:space="preserve"> </w:t>
      </w:r>
      <w:r>
        <w:rPr>
          <w:w w:val="105"/>
        </w:rPr>
        <w:t>Dependence</w:t>
      </w:r>
      <w:r>
        <w:rPr>
          <w:spacing w:val="-1"/>
          <w:w w:val="105"/>
        </w:rPr>
        <w:t xml:space="preserve"> </w:t>
      </w:r>
      <w:r>
        <w:rPr>
          <w:w w:val="105"/>
        </w:rPr>
        <w:t>at</w:t>
      </w:r>
      <w:r>
        <w:rPr>
          <w:spacing w:val="-22"/>
          <w:w w:val="105"/>
        </w:rPr>
        <w:t xml:space="preserve"> </w:t>
      </w:r>
      <w:r>
        <w:rPr>
          <w:w w:val="105"/>
        </w:rPr>
        <w:t>some</w:t>
      </w:r>
      <w:r>
        <w:rPr>
          <w:spacing w:val="-11"/>
          <w:w w:val="105"/>
        </w:rPr>
        <w:t xml:space="preserve"> </w:t>
      </w:r>
      <w:r>
        <w:rPr>
          <w:w w:val="105"/>
        </w:rPr>
        <w:t>time</w:t>
      </w:r>
      <w:r>
        <w:rPr>
          <w:spacing w:val="-10"/>
          <w:w w:val="105"/>
        </w:rPr>
        <w:t xml:space="preserve"> </w:t>
      </w:r>
      <w:r>
        <w:rPr>
          <w:w w:val="105"/>
        </w:rPr>
        <w:t>in</w:t>
      </w:r>
      <w:r>
        <w:rPr>
          <w:spacing w:val="-10"/>
          <w:w w:val="105"/>
        </w:rPr>
        <w:t xml:space="preserve"> </w:t>
      </w:r>
      <w:r>
        <w:rPr>
          <w:w w:val="105"/>
        </w:rPr>
        <w:t>their</w:t>
      </w:r>
      <w:r>
        <w:rPr>
          <w:spacing w:val="-11"/>
          <w:w w:val="105"/>
        </w:rPr>
        <w:t xml:space="preserve"> </w:t>
      </w:r>
      <w:r>
        <w:rPr>
          <w:w w:val="105"/>
        </w:rPr>
        <w:t>lives,</w:t>
      </w:r>
      <w:r>
        <w:rPr>
          <w:spacing w:val="-4"/>
          <w:w w:val="105"/>
        </w:rPr>
        <w:t xml:space="preserve"> </w:t>
      </w:r>
      <w:r>
        <w:rPr>
          <w:w w:val="105"/>
        </w:rPr>
        <w:t>with</w:t>
      </w:r>
      <w:r>
        <w:rPr>
          <w:spacing w:val="-8"/>
          <w:w w:val="105"/>
        </w:rPr>
        <w:t xml:space="preserve"> </w:t>
      </w:r>
      <w:r>
        <w:rPr>
          <w:w w:val="105"/>
        </w:rPr>
        <w:t>approximately 7% having had Dependence in the past year.</w:t>
      </w:r>
    </w:p>
    <w:p w:rsidR="00E675F0" w:rsidRDefault="00E675F0" w:rsidP="00E675F0">
      <w:pPr>
        <w:pStyle w:val="BodyText"/>
        <w:rPr>
          <w:sz w:val="22"/>
        </w:rPr>
      </w:pPr>
    </w:p>
    <w:p w:rsidR="00E675F0" w:rsidRDefault="00E675F0" w:rsidP="00E675F0">
      <w:pPr>
        <w:pStyle w:val="BodyText"/>
        <w:spacing w:before="2"/>
        <w:rPr>
          <w:sz w:val="27"/>
        </w:rPr>
      </w:pPr>
    </w:p>
    <w:p w:rsidR="00E675F0" w:rsidRDefault="00E675F0" w:rsidP="00E675F0">
      <w:pPr>
        <w:spacing w:before="1"/>
        <w:ind w:left="103"/>
        <w:rPr>
          <w:rFonts w:ascii="TimesNewRomanPS-BoldItalicMT"/>
          <w:b/>
          <w:i/>
          <w:sz w:val="24"/>
        </w:rPr>
      </w:pPr>
      <w:r>
        <w:rPr>
          <w:rFonts w:ascii="TimesNewRomanPS-BoldItalicMT"/>
          <w:b/>
          <w:i/>
          <w:w w:val="115"/>
          <w:sz w:val="24"/>
        </w:rPr>
        <w:t>Course</w:t>
      </w:r>
    </w:p>
    <w:p w:rsidR="00E675F0" w:rsidRDefault="00E675F0" w:rsidP="00E675F0">
      <w:pPr>
        <w:pStyle w:val="BodyText"/>
        <w:spacing w:before="126" w:line="254" w:lineRule="auto"/>
        <w:ind w:left="126" w:right="100" w:hanging="4"/>
        <w:jc w:val="both"/>
      </w:pPr>
      <w:r>
        <w:rPr>
          <w:w w:val="105"/>
        </w:rPr>
        <w:t>The first episode of Alcohol Intoxication is likely to occur in the mid-teens, with the age at onset of Alcohol Dependence peaking in the 20s to mid-30s. The large majority of those who develop Alcohol-Related Disorders do so by their late 30s. The first evidence of Withdrawal is not likely to appear until after many other aspects of Dependence have developed. Alcohol Abuse and Dependence have a variable course that is frequently characterized by periods of remission and relapse. A decision to stop drinking, often in response to a crisis, is likely to be followed by weeks or more of abstinence, which is often followed by limited periods of controlled or nonproblematic drinking. However, once alcohol intake resumes, it is highly likely that consumption will rapidly escalate and that severe problems will once again develop. Clinicians often have the erroneous impression that Alcohol Dependence and Abuse are intractable disorders based on the fact that those who present for treatment typically have a history of many years of severe alcohol-related problems. However, these most severe cases represent only a small proportion of individuals with Alcohol Dependence or Abuse, and the typical person with an Alcohol Use Disorder has a much more promising prognosis. Follow-up studies of more highly functioning individuals show a higher than 65% 1-year abstinence</w:t>
      </w:r>
      <w:r>
        <w:rPr>
          <w:spacing w:val="10"/>
          <w:w w:val="105"/>
        </w:rPr>
        <w:t xml:space="preserve"> </w:t>
      </w:r>
      <w:r>
        <w:rPr>
          <w:w w:val="105"/>
        </w:rPr>
        <w:t>rate</w:t>
      </w:r>
    </w:p>
    <w:p w:rsidR="00E675F0" w:rsidRDefault="00E675F0" w:rsidP="00E675F0">
      <w:pPr>
        <w:spacing w:line="254" w:lineRule="auto"/>
        <w:jc w:val="both"/>
        <w:sectPr w:rsidR="00E675F0">
          <w:pgSz w:w="8960" w:h="14260"/>
          <w:pgMar w:top="1400" w:right="620" w:bottom="280" w:left="620" w:header="700" w:footer="0" w:gutter="0"/>
          <w:cols w:space="720"/>
        </w:sectPr>
      </w:pPr>
    </w:p>
    <w:p w:rsidR="00E675F0" w:rsidRDefault="00E675F0" w:rsidP="00E675F0">
      <w:pPr>
        <w:spacing w:before="129" w:line="264" w:lineRule="auto"/>
        <w:ind w:left="128" w:right="143" w:hanging="6"/>
        <w:jc w:val="both"/>
        <w:rPr>
          <w:sz w:val="19"/>
        </w:rPr>
      </w:pPr>
      <w:r>
        <w:rPr>
          <w:w w:val="110"/>
          <w:sz w:val="19"/>
        </w:rPr>
        <w:lastRenderedPageBreak/>
        <w:t>following treatment. Some individuals (perhaps 20% or more) with Alcohol Dependence achieve long-term sobriety even without active treatment.</w:t>
      </w:r>
    </w:p>
    <w:p w:rsidR="00E675F0" w:rsidRDefault="00E675F0" w:rsidP="00E675F0">
      <w:pPr>
        <w:spacing w:line="266" w:lineRule="auto"/>
        <w:ind w:left="128" w:right="140" w:firstLine="364"/>
        <w:jc w:val="both"/>
        <w:rPr>
          <w:sz w:val="19"/>
        </w:rPr>
      </w:pPr>
      <w:r>
        <w:rPr>
          <w:w w:val="110"/>
          <w:sz w:val="19"/>
        </w:rPr>
        <w:t>During even mild Alcohol Intoxication, different symptoms are likely to be observed at different time points. Early in the drinking period, when blood alcohol levels are rising, symptoms often include talkativeness, a sensation of well-being, and a bright, expansive mood. Later, especially when blood alcohol levels are falling, the individual  is likely to become progressively more depressed, withdrawn, and cognitively impaired. At very high blood alcohol levels (e.g., 200-300 mg/di), a nontolerant individual is likely to fall asleep and enter a first stage of anesthesia. Higher blood alcohol levels (e.g., in excess of 300-400 mg/di) can cause inhibition of respiration and  pulse and even death  in nontolerant individuals. The duration of Intoxication depends on how much alcohol was consumed over what period of time. In general, the body is able to metabolize approximately one drink  per  hour, so  that the  blood alcohol level generally decreases at a rate of 15-20 mg/di per hour. Signs and symptoms of intoxication are likely to be more intense when the blood alcohol level is rising than when it is</w:t>
      </w:r>
      <w:r>
        <w:rPr>
          <w:spacing w:val="38"/>
          <w:w w:val="110"/>
          <w:sz w:val="19"/>
        </w:rPr>
        <w:t xml:space="preserve"> </w:t>
      </w:r>
      <w:r>
        <w:rPr>
          <w:w w:val="110"/>
          <w:sz w:val="19"/>
        </w:rPr>
        <w:t>falling.</w:t>
      </w:r>
    </w:p>
    <w:p w:rsidR="00E675F0" w:rsidRDefault="00E675F0" w:rsidP="00E675F0">
      <w:pPr>
        <w:pStyle w:val="BodyText"/>
      </w:pPr>
    </w:p>
    <w:p w:rsidR="00E675F0" w:rsidRDefault="00E675F0" w:rsidP="00E675F0">
      <w:pPr>
        <w:pStyle w:val="BodyText"/>
        <w:spacing w:before="2"/>
        <w:rPr>
          <w:sz w:val="18"/>
        </w:rPr>
      </w:pPr>
    </w:p>
    <w:p w:rsidR="00E675F0" w:rsidRDefault="00E675F0" w:rsidP="00E675F0">
      <w:pPr>
        <w:ind w:left="110"/>
        <w:jc w:val="both"/>
        <w:rPr>
          <w:rFonts w:ascii="TimesNewRomanPS-BoldItalicMT"/>
          <w:b/>
          <w:i/>
          <w:sz w:val="24"/>
        </w:rPr>
      </w:pPr>
      <w:r>
        <w:rPr>
          <w:rFonts w:ascii="TimesNewRomanPS-BoldItalicMT"/>
          <w:b/>
          <w:i/>
          <w:w w:val="115"/>
          <w:sz w:val="24"/>
        </w:rPr>
        <w:t>Familial Pattern</w:t>
      </w:r>
    </w:p>
    <w:p w:rsidR="00E675F0" w:rsidRDefault="00E675F0" w:rsidP="00E675F0">
      <w:pPr>
        <w:spacing w:before="160" w:line="266" w:lineRule="auto"/>
        <w:ind w:left="130" w:right="130" w:hanging="2"/>
        <w:jc w:val="both"/>
        <w:rPr>
          <w:sz w:val="19"/>
        </w:rPr>
      </w:pPr>
      <w:r>
        <w:rPr>
          <w:w w:val="110"/>
          <w:sz w:val="19"/>
        </w:rPr>
        <w:t>Alcohol Dependence often has a familial pattern, and at least some of the transmission can be traced to genetic factors. The risk for Alcohol Dependence is three to four times higher in close relatives of people with Alcohol Dependence. Higher risk is associated with a greater number of affected relatives, closer genetic relationships, and the severity of the alcohol-related problems in the affected relative. Most studies have found a significantly higher risk for Alcohol Dependence in the monozygotic twin than in the dizygotic twin of a person  with Alcohol  Dependence.  Adoption studies have revealed  a three- to fourfold increase in risk for Alcohol Dependence in the children of individuals with Alcohol Dependence when these children were adopted away at birth and  raised  by adoptive parents who did not have this disorder. However, genetic factors explain only a part of the risk for Alcohol Dependence, with a significant part of the risk coming from environmental or interpersonal factors that may include cultural attitudes toward drinking and drunkenness, the availability of alcohol (including price), expectations of the effects of alcohol on mood and behavior, acquired personal experiences</w:t>
      </w:r>
      <w:r>
        <w:rPr>
          <w:spacing w:val="52"/>
          <w:w w:val="110"/>
          <w:sz w:val="19"/>
        </w:rPr>
        <w:t xml:space="preserve"> </w:t>
      </w:r>
      <w:r>
        <w:rPr>
          <w:w w:val="110"/>
          <w:sz w:val="19"/>
        </w:rPr>
        <w:t>with alcohol, and</w:t>
      </w:r>
      <w:r>
        <w:rPr>
          <w:spacing w:val="-5"/>
          <w:w w:val="110"/>
          <w:sz w:val="19"/>
        </w:rPr>
        <w:t xml:space="preserve"> </w:t>
      </w:r>
      <w:r>
        <w:rPr>
          <w:w w:val="110"/>
          <w:sz w:val="19"/>
        </w:rPr>
        <w:t>stress.</w:t>
      </w:r>
    </w:p>
    <w:p w:rsidR="00E675F0" w:rsidRDefault="00E675F0" w:rsidP="00E675F0">
      <w:pPr>
        <w:pStyle w:val="BodyText"/>
      </w:pPr>
    </w:p>
    <w:p w:rsidR="00E675F0" w:rsidRDefault="00E675F0" w:rsidP="00E675F0">
      <w:pPr>
        <w:pStyle w:val="BodyText"/>
        <w:spacing w:before="8"/>
        <w:rPr>
          <w:sz w:val="15"/>
        </w:rPr>
      </w:pPr>
    </w:p>
    <w:p w:rsidR="00E675F0" w:rsidRDefault="00E675F0" w:rsidP="00E675F0">
      <w:pPr>
        <w:ind w:left="119"/>
        <w:jc w:val="both"/>
        <w:rPr>
          <w:rFonts w:ascii="TimesNewRomanPS-BoldItalicMT"/>
          <w:b/>
          <w:i/>
          <w:sz w:val="24"/>
        </w:rPr>
      </w:pPr>
      <w:r>
        <w:rPr>
          <w:rFonts w:ascii="TimesNewRomanPS-BoldItalicMT"/>
          <w:b/>
          <w:i/>
          <w:w w:val="105"/>
          <w:sz w:val="24"/>
        </w:rPr>
        <w:t>Di-fferential Di-agnosis</w:t>
      </w:r>
    </w:p>
    <w:p w:rsidR="00E675F0" w:rsidRDefault="00E675F0" w:rsidP="00E675F0">
      <w:pPr>
        <w:spacing w:before="151"/>
        <w:ind w:left="137"/>
        <w:jc w:val="both"/>
        <w:rPr>
          <w:sz w:val="19"/>
        </w:rPr>
      </w:pPr>
      <w:r>
        <w:rPr>
          <w:w w:val="110"/>
          <w:sz w:val="19"/>
        </w:rPr>
        <w:t>For a general discussion of the differential diagnosis of Substance-Related Disorders, see</w:t>
      </w:r>
    </w:p>
    <w:p w:rsidR="00E675F0" w:rsidRDefault="00E675F0" w:rsidP="00E675F0">
      <w:pPr>
        <w:spacing w:before="27" w:line="264" w:lineRule="auto"/>
        <w:ind w:left="128" w:right="131" w:firstLine="12"/>
        <w:jc w:val="both"/>
        <w:rPr>
          <w:sz w:val="19"/>
        </w:rPr>
      </w:pPr>
      <w:r>
        <w:rPr>
          <w:w w:val="110"/>
          <w:sz w:val="19"/>
        </w:rPr>
        <w:t xml:space="preserve">p. 190. Alcohol-Induced Disorders may be characterized by symptoms (e.g., depressed mood) that resemble </w:t>
      </w:r>
      <w:r>
        <w:rPr>
          <w:b/>
          <w:w w:val="110"/>
          <w:sz w:val="20"/>
        </w:rPr>
        <w:t xml:space="preserve">primary mental disorders </w:t>
      </w:r>
      <w:r>
        <w:rPr>
          <w:w w:val="110"/>
          <w:sz w:val="19"/>
        </w:rPr>
        <w:t>(e.g., Major Depressive Disorder versus Alcohol-Induced Mood Disorder, With Depressive Features, With Onset During Intoxication). See p. 193 for a discussion of this differential diagnosis.</w:t>
      </w:r>
    </w:p>
    <w:p w:rsidR="00E675F0" w:rsidRDefault="00E675F0" w:rsidP="00E675F0">
      <w:pPr>
        <w:spacing w:before="6" w:line="261" w:lineRule="auto"/>
        <w:ind w:left="130" w:right="116" w:firstLine="359"/>
        <w:jc w:val="both"/>
        <w:rPr>
          <w:sz w:val="19"/>
        </w:rPr>
      </w:pPr>
      <w:r>
        <w:rPr>
          <w:w w:val="110"/>
          <w:sz w:val="19"/>
        </w:rPr>
        <w:t xml:space="preserve">The incoordination and impaired judgment that are associated with Alcohol Intoxication can resemble the symptoms of </w:t>
      </w:r>
      <w:r>
        <w:rPr>
          <w:b/>
          <w:w w:val="110"/>
          <w:sz w:val="20"/>
        </w:rPr>
        <w:t xml:space="preserve">certain general medical conditions </w:t>
      </w:r>
      <w:r>
        <w:rPr>
          <w:w w:val="110"/>
          <w:sz w:val="19"/>
        </w:rPr>
        <w:t xml:space="preserve">(e.g., diabetic acidosis, cerebellar ataxias, and other neurological conditions such as multiple sclerosis). Similarly, the symptoms of Alcohol Withdrawal can also be mimicked by </w:t>
      </w:r>
      <w:r>
        <w:rPr>
          <w:b/>
          <w:w w:val="110"/>
          <w:sz w:val="20"/>
        </w:rPr>
        <w:t xml:space="preserve">certain general medical conditions </w:t>
      </w:r>
      <w:r>
        <w:rPr>
          <w:w w:val="110"/>
          <w:sz w:val="19"/>
        </w:rPr>
        <w:t xml:space="preserve">(e.g., hypoglycemia and diabetic ketoacidosis). </w:t>
      </w:r>
      <w:r>
        <w:rPr>
          <w:b/>
          <w:w w:val="110"/>
          <w:sz w:val="20"/>
        </w:rPr>
        <w:t xml:space="preserve">Essential tremor, </w:t>
      </w:r>
      <w:r>
        <w:rPr>
          <w:w w:val="110"/>
          <w:sz w:val="19"/>
        </w:rPr>
        <w:t>a disorder that frequently runs in families, may suggest the tremu­ lousness associated with Alcohol Withdrawal.</w:t>
      </w:r>
    </w:p>
    <w:p w:rsidR="00E675F0" w:rsidRDefault="00E675F0" w:rsidP="00E675F0">
      <w:pPr>
        <w:spacing w:line="261" w:lineRule="auto"/>
        <w:jc w:val="both"/>
        <w:rPr>
          <w:sz w:val="19"/>
        </w:rPr>
        <w:sectPr w:rsidR="00E675F0">
          <w:headerReference w:type="even" r:id="rId179"/>
          <w:headerReference w:type="default" r:id="rId180"/>
          <w:pgSz w:w="8960" w:h="14260"/>
          <w:pgMar w:top="1400" w:right="600" w:bottom="280" w:left="620" w:header="684" w:footer="0" w:gutter="0"/>
          <w:cols w:space="720"/>
        </w:sectPr>
      </w:pPr>
    </w:p>
    <w:p w:rsidR="00E675F0" w:rsidRDefault="00E675F0" w:rsidP="00E675F0">
      <w:pPr>
        <w:pStyle w:val="BodyText"/>
        <w:spacing w:before="118" w:line="256" w:lineRule="auto"/>
        <w:ind w:left="115" w:right="129" w:firstLine="369"/>
        <w:jc w:val="both"/>
      </w:pPr>
      <w:bookmarkStart w:id="129" w:name="_bookmark110"/>
      <w:bookmarkEnd w:id="129"/>
      <w:r>
        <w:rPr>
          <w:w w:val="105"/>
        </w:rPr>
        <w:lastRenderedPageBreak/>
        <w:t>Alcohol</w:t>
      </w:r>
      <w:r>
        <w:rPr>
          <w:spacing w:val="-9"/>
          <w:w w:val="105"/>
        </w:rPr>
        <w:t xml:space="preserve"> </w:t>
      </w:r>
      <w:r>
        <w:rPr>
          <w:w w:val="105"/>
        </w:rPr>
        <w:t>Intoxication</w:t>
      </w:r>
      <w:r>
        <w:rPr>
          <w:spacing w:val="-6"/>
          <w:w w:val="105"/>
        </w:rPr>
        <w:t xml:space="preserve"> </w:t>
      </w:r>
      <w:r>
        <w:rPr>
          <w:w w:val="105"/>
        </w:rPr>
        <w:t>(except</w:t>
      </w:r>
      <w:r>
        <w:rPr>
          <w:spacing w:val="-13"/>
          <w:w w:val="105"/>
        </w:rPr>
        <w:t xml:space="preserve"> </w:t>
      </w:r>
      <w:r>
        <w:rPr>
          <w:w w:val="105"/>
        </w:rPr>
        <w:t>for</w:t>
      </w:r>
      <w:r>
        <w:rPr>
          <w:spacing w:val="-12"/>
          <w:w w:val="105"/>
        </w:rPr>
        <w:t xml:space="preserve"> </w:t>
      </w:r>
      <w:r>
        <w:rPr>
          <w:w w:val="105"/>
        </w:rPr>
        <w:t>the</w:t>
      </w:r>
      <w:r>
        <w:rPr>
          <w:spacing w:val="-22"/>
          <w:w w:val="105"/>
        </w:rPr>
        <w:t xml:space="preserve"> </w:t>
      </w:r>
      <w:r>
        <w:rPr>
          <w:w w:val="105"/>
        </w:rPr>
        <w:t>smell</w:t>
      </w:r>
      <w:r>
        <w:rPr>
          <w:spacing w:val="-17"/>
          <w:w w:val="105"/>
        </w:rPr>
        <w:t xml:space="preserve"> </w:t>
      </w:r>
      <w:r>
        <w:rPr>
          <w:w w:val="105"/>
        </w:rPr>
        <w:t>of</w:t>
      </w:r>
      <w:r>
        <w:rPr>
          <w:spacing w:val="-7"/>
          <w:w w:val="105"/>
        </w:rPr>
        <w:t xml:space="preserve"> </w:t>
      </w:r>
      <w:r>
        <w:rPr>
          <w:w w:val="105"/>
        </w:rPr>
        <w:t>alcohol</w:t>
      </w:r>
      <w:r>
        <w:rPr>
          <w:spacing w:val="-14"/>
          <w:w w:val="105"/>
        </w:rPr>
        <w:t xml:space="preserve"> </w:t>
      </w:r>
      <w:r>
        <w:rPr>
          <w:w w:val="105"/>
        </w:rPr>
        <w:t>on</w:t>
      </w:r>
      <w:r>
        <w:rPr>
          <w:spacing w:val="-2"/>
          <w:w w:val="105"/>
        </w:rPr>
        <w:t xml:space="preserve"> </w:t>
      </w:r>
      <w:r>
        <w:rPr>
          <w:w w:val="105"/>
        </w:rPr>
        <w:t>the</w:t>
      </w:r>
      <w:r>
        <w:rPr>
          <w:spacing w:val="-2"/>
          <w:w w:val="105"/>
        </w:rPr>
        <w:t xml:space="preserve"> </w:t>
      </w:r>
      <w:r>
        <w:rPr>
          <w:w w:val="105"/>
        </w:rPr>
        <w:t>breath)</w:t>
      </w:r>
      <w:r>
        <w:rPr>
          <w:spacing w:val="-10"/>
          <w:w w:val="105"/>
        </w:rPr>
        <w:t xml:space="preserve"> </w:t>
      </w:r>
      <w:r>
        <w:rPr>
          <w:w w:val="105"/>
        </w:rPr>
        <w:t>closely</w:t>
      </w:r>
      <w:r>
        <w:rPr>
          <w:spacing w:val="-1"/>
          <w:w w:val="105"/>
        </w:rPr>
        <w:t xml:space="preserve"> </w:t>
      </w:r>
      <w:r>
        <w:rPr>
          <w:w w:val="105"/>
        </w:rPr>
        <w:t xml:space="preserve">resembles </w:t>
      </w:r>
      <w:r>
        <w:rPr>
          <w:b/>
          <w:w w:val="105"/>
        </w:rPr>
        <w:t xml:space="preserve">Sedative, Hypnotic, or Anxiolytic Intoxication. </w:t>
      </w:r>
      <w:r>
        <w:rPr>
          <w:w w:val="105"/>
        </w:rPr>
        <w:t xml:space="preserve">The presence of  alcohol  on  the breath does not by itself exclude intoxications with other substances because multiple substances are not uncommonly used concurrently. Although intoxication at some time during their lives is likely to be a part of the history of most individuals who drink alcohol, when this phenomenon occurs regularly or causes  impairment  it  is important to consider the possibility of a diagnosis of Alcohol Dependence or Alcohol Abuse. </w:t>
      </w:r>
      <w:r>
        <w:rPr>
          <w:b/>
          <w:w w:val="105"/>
        </w:rPr>
        <w:t xml:space="preserve">Sedative, Hypnotic, or Anxiolytic Withdrawal </w:t>
      </w:r>
      <w:r>
        <w:rPr>
          <w:w w:val="105"/>
        </w:rPr>
        <w:t>produces a syndrome very similar to that of Alcohol</w:t>
      </w:r>
      <w:r>
        <w:rPr>
          <w:spacing w:val="38"/>
          <w:w w:val="105"/>
        </w:rPr>
        <w:t xml:space="preserve"> </w:t>
      </w:r>
      <w:r>
        <w:rPr>
          <w:w w:val="105"/>
        </w:rPr>
        <w:t>Withdrawal.</w:t>
      </w:r>
    </w:p>
    <w:p w:rsidR="00E675F0" w:rsidRDefault="00E675F0" w:rsidP="00E675F0">
      <w:pPr>
        <w:pStyle w:val="BodyText"/>
        <w:spacing w:line="212" w:lineRule="exact"/>
        <w:ind w:left="485"/>
        <w:jc w:val="both"/>
        <w:rPr>
          <w:b/>
        </w:rPr>
      </w:pPr>
      <w:r>
        <w:rPr>
          <w:w w:val="105"/>
        </w:rPr>
        <w:t xml:space="preserve">Alcohol Intoxication and Alcohol Withdrawal are distinguished from the </w:t>
      </w:r>
      <w:r>
        <w:rPr>
          <w:b/>
          <w:w w:val="105"/>
        </w:rPr>
        <w:t>other</w:t>
      </w:r>
    </w:p>
    <w:p w:rsidR="00E675F0" w:rsidRDefault="00E675F0" w:rsidP="00E675F0">
      <w:pPr>
        <w:pStyle w:val="BodyText"/>
        <w:spacing w:before="15" w:line="254" w:lineRule="auto"/>
        <w:ind w:left="119" w:right="128" w:hanging="5"/>
        <w:jc w:val="both"/>
      </w:pPr>
      <w:r>
        <w:rPr>
          <w:b/>
          <w:w w:val="105"/>
        </w:rPr>
        <w:t xml:space="preserve">Alcohol-Induced Disorders </w:t>
      </w:r>
      <w:r>
        <w:rPr>
          <w:w w:val="105"/>
        </w:rPr>
        <w:t>(e.g., Alcohol-Induced Anxiety Disorder, With Onset During Withdrawal) because the symptoms in these latter disorders are in excess of those</w:t>
      </w:r>
      <w:r>
        <w:rPr>
          <w:spacing w:val="-2"/>
          <w:w w:val="105"/>
        </w:rPr>
        <w:t xml:space="preserve"> </w:t>
      </w:r>
      <w:r>
        <w:rPr>
          <w:w w:val="105"/>
        </w:rPr>
        <w:t>usually</w:t>
      </w:r>
      <w:r>
        <w:rPr>
          <w:spacing w:val="-7"/>
          <w:w w:val="105"/>
        </w:rPr>
        <w:t xml:space="preserve"> </w:t>
      </w:r>
      <w:r>
        <w:rPr>
          <w:w w:val="105"/>
        </w:rPr>
        <w:t>associated</w:t>
      </w:r>
      <w:r>
        <w:rPr>
          <w:spacing w:val="4"/>
          <w:w w:val="105"/>
        </w:rPr>
        <w:t xml:space="preserve"> </w:t>
      </w:r>
      <w:r>
        <w:rPr>
          <w:w w:val="105"/>
        </w:rPr>
        <w:t>with</w:t>
      </w:r>
      <w:r>
        <w:rPr>
          <w:spacing w:val="-10"/>
          <w:w w:val="105"/>
        </w:rPr>
        <w:t xml:space="preserve"> </w:t>
      </w:r>
      <w:r>
        <w:rPr>
          <w:w w:val="105"/>
        </w:rPr>
        <w:t>Alcohol</w:t>
      </w:r>
      <w:r>
        <w:rPr>
          <w:spacing w:val="-3"/>
          <w:w w:val="105"/>
        </w:rPr>
        <w:t xml:space="preserve"> </w:t>
      </w:r>
      <w:r>
        <w:rPr>
          <w:w w:val="105"/>
        </w:rPr>
        <w:t>Intoxication</w:t>
      </w:r>
      <w:r>
        <w:rPr>
          <w:spacing w:val="-3"/>
          <w:w w:val="105"/>
        </w:rPr>
        <w:t xml:space="preserve"> </w:t>
      </w:r>
      <w:r>
        <w:rPr>
          <w:w w:val="105"/>
        </w:rPr>
        <w:t>or</w:t>
      </w:r>
      <w:r>
        <w:rPr>
          <w:spacing w:val="-15"/>
          <w:w w:val="105"/>
        </w:rPr>
        <w:t xml:space="preserve"> </w:t>
      </w:r>
      <w:r>
        <w:rPr>
          <w:w w:val="105"/>
        </w:rPr>
        <w:t>Alcohol</w:t>
      </w:r>
      <w:r>
        <w:rPr>
          <w:spacing w:val="-4"/>
          <w:w w:val="105"/>
        </w:rPr>
        <w:t xml:space="preserve"> </w:t>
      </w:r>
      <w:r>
        <w:rPr>
          <w:w w:val="105"/>
        </w:rPr>
        <w:t>Withdrawal</w:t>
      </w:r>
      <w:r>
        <w:rPr>
          <w:spacing w:val="4"/>
          <w:w w:val="105"/>
        </w:rPr>
        <w:t xml:space="preserve"> </w:t>
      </w:r>
      <w:r>
        <w:rPr>
          <w:w w:val="105"/>
        </w:rPr>
        <w:t>and</w:t>
      </w:r>
      <w:r>
        <w:rPr>
          <w:spacing w:val="-10"/>
          <w:w w:val="105"/>
        </w:rPr>
        <w:t xml:space="preserve"> </w:t>
      </w:r>
      <w:r>
        <w:rPr>
          <w:w w:val="105"/>
        </w:rPr>
        <w:t>are</w:t>
      </w:r>
      <w:r>
        <w:rPr>
          <w:spacing w:val="-15"/>
          <w:w w:val="105"/>
        </w:rPr>
        <w:t xml:space="preserve"> </w:t>
      </w:r>
      <w:r>
        <w:rPr>
          <w:w w:val="105"/>
        </w:rPr>
        <w:t xml:space="preserve">severe enough to warrant independent clinical attention. </w:t>
      </w:r>
      <w:r>
        <w:rPr>
          <w:b/>
          <w:w w:val="105"/>
        </w:rPr>
        <w:t xml:space="preserve">Alcoholidiosyncratic intoxication, </w:t>
      </w:r>
      <w:r>
        <w:rPr>
          <w:w w:val="105"/>
        </w:rPr>
        <w:t>defined as marked behavioral change,  usually aggressiveness, following  the ingestion of</w:t>
      </w:r>
      <w:r>
        <w:rPr>
          <w:spacing w:val="-8"/>
          <w:w w:val="105"/>
        </w:rPr>
        <w:t xml:space="preserve"> </w:t>
      </w:r>
      <w:r>
        <w:rPr>
          <w:w w:val="105"/>
        </w:rPr>
        <w:t>a</w:t>
      </w:r>
      <w:r>
        <w:rPr>
          <w:spacing w:val="-10"/>
          <w:w w:val="105"/>
        </w:rPr>
        <w:t xml:space="preserve"> </w:t>
      </w:r>
      <w:r>
        <w:rPr>
          <w:w w:val="105"/>
        </w:rPr>
        <w:t>relatively</w:t>
      </w:r>
      <w:r>
        <w:rPr>
          <w:spacing w:val="-8"/>
          <w:w w:val="105"/>
        </w:rPr>
        <w:t xml:space="preserve"> </w:t>
      </w:r>
      <w:r>
        <w:rPr>
          <w:w w:val="105"/>
        </w:rPr>
        <w:t>small</w:t>
      </w:r>
      <w:r>
        <w:rPr>
          <w:spacing w:val="-12"/>
          <w:w w:val="105"/>
        </w:rPr>
        <w:t xml:space="preserve"> </w:t>
      </w:r>
      <w:r>
        <w:rPr>
          <w:w w:val="105"/>
        </w:rPr>
        <w:t>of</w:t>
      </w:r>
      <w:r>
        <w:rPr>
          <w:spacing w:val="-11"/>
          <w:w w:val="105"/>
        </w:rPr>
        <w:t xml:space="preserve"> </w:t>
      </w:r>
      <w:r>
        <w:rPr>
          <w:w w:val="105"/>
        </w:rPr>
        <w:t>amount</w:t>
      </w:r>
      <w:r>
        <w:rPr>
          <w:spacing w:val="-13"/>
          <w:w w:val="105"/>
        </w:rPr>
        <w:t xml:space="preserve"> </w:t>
      </w:r>
      <w:r>
        <w:rPr>
          <w:w w:val="105"/>
        </w:rPr>
        <w:t>of</w:t>
      </w:r>
      <w:r>
        <w:rPr>
          <w:spacing w:val="-12"/>
          <w:w w:val="105"/>
        </w:rPr>
        <w:t xml:space="preserve"> </w:t>
      </w:r>
      <w:r>
        <w:rPr>
          <w:w w:val="105"/>
        </w:rPr>
        <w:t>alcohol,</w:t>
      </w:r>
      <w:r>
        <w:rPr>
          <w:spacing w:val="-6"/>
          <w:w w:val="105"/>
        </w:rPr>
        <w:t xml:space="preserve"> </w:t>
      </w:r>
      <w:r>
        <w:rPr>
          <w:w w:val="105"/>
        </w:rPr>
        <w:t>was</w:t>
      </w:r>
      <w:r>
        <w:rPr>
          <w:spacing w:val="-16"/>
          <w:w w:val="105"/>
        </w:rPr>
        <w:t xml:space="preserve"> </w:t>
      </w:r>
      <w:r>
        <w:rPr>
          <w:w w:val="105"/>
        </w:rPr>
        <w:t>included</w:t>
      </w:r>
      <w:r>
        <w:rPr>
          <w:spacing w:val="-5"/>
          <w:w w:val="105"/>
        </w:rPr>
        <w:t xml:space="preserve"> </w:t>
      </w:r>
      <w:r>
        <w:rPr>
          <w:w w:val="105"/>
        </w:rPr>
        <w:t>in</w:t>
      </w:r>
      <w:r>
        <w:rPr>
          <w:spacing w:val="-19"/>
          <w:w w:val="105"/>
        </w:rPr>
        <w:t xml:space="preserve"> </w:t>
      </w:r>
      <w:r>
        <w:rPr>
          <w:w w:val="105"/>
        </w:rPr>
        <w:t>DSM-III-R.</w:t>
      </w:r>
      <w:r>
        <w:rPr>
          <w:spacing w:val="1"/>
          <w:w w:val="105"/>
        </w:rPr>
        <w:t xml:space="preserve"> </w:t>
      </w:r>
      <w:r>
        <w:rPr>
          <w:w w:val="105"/>
        </w:rPr>
        <w:t>Because</w:t>
      </w:r>
      <w:r>
        <w:rPr>
          <w:spacing w:val="-10"/>
          <w:w w:val="105"/>
        </w:rPr>
        <w:t xml:space="preserve"> </w:t>
      </w:r>
      <w:r>
        <w:rPr>
          <w:w w:val="105"/>
        </w:rPr>
        <w:t>of</w:t>
      </w:r>
      <w:r>
        <w:rPr>
          <w:spacing w:val="-12"/>
          <w:w w:val="105"/>
        </w:rPr>
        <w:t xml:space="preserve"> </w:t>
      </w:r>
      <w:r>
        <w:rPr>
          <w:w w:val="105"/>
        </w:rPr>
        <w:t>limited support in the literature for the validity of this condition, it is no longer included as a separate diagnosis in DSM-IV. Such presentations would most likely be diagnosed as Alcohol Intoxication or Alcohol-Related Disorder Not Otherwise</w:t>
      </w:r>
      <w:r>
        <w:rPr>
          <w:spacing w:val="7"/>
          <w:w w:val="105"/>
        </w:rPr>
        <w:t xml:space="preserve"> </w:t>
      </w:r>
      <w:r>
        <w:rPr>
          <w:w w:val="105"/>
        </w:rPr>
        <w:t>Specified.</w:t>
      </w:r>
    </w:p>
    <w:p w:rsidR="00E675F0" w:rsidRDefault="00E675F0" w:rsidP="00E675F0">
      <w:pPr>
        <w:pStyle w:val="BodyText"/>
        <w:rPr>
          <w:sz w:val="22"/>
        </w:rPr>
      </w:pPr>
    </w:p>
    <w:p w:rsidR="00E675F0" w:rsidRDefault="00E675F0" w:rsidP="00E675F0">
      <w:pPr>
        <w:pStyle w:val="BodyText"/>
        <w:rPr>
          <w:sz w:val="23"/>
        </w:rPr>
      </w:pPr>
    </w:p>
    <w:p w:rsidR="00E675F0" w:rsidRDefault="00E675F0" w:rsidP="003048D3">
      <w:pPr>
        <w:pStyle w:val="ListParagraph"/>
        <w:numPr>
          <w:ilvl w:val="1"/>
          <w:numId w:val="38"/>
        </w:numPr>
        <w:tabs>
          <w:tab w:val="left" w:pos="2733"/>
          <w:tab w:val="left" w:pos="2734"/>
        </w:tabs>
        <w:spacing w:line="242" w:lineRule="auto"/>
        <w:ind w:left="2324" w:right="1816" w:hanging="503"/>
        <w:jc w:val="left"/>
        <w:rPr>
          <w:rFonts w:ascii="Arial"/>
          <w:b/>
          <w:sz w:val="26"/>
        </w:rPr>
      </w:pPr>
      <w:r>
        <w:rPr>
          <w:rFonts w:ascii="Arial"/>
          <w:b/>
          <w:sz w:val="26"/>
        </w:rPr>
        <w:t>Alcohol--Related</w:t>
      </w:r>
      <w:r>
        <w:rPr>
          <w:rFonts w:ascii="Arial"/>
          <w:b/>
          <w:spacing w:val="-39"/>
          <w:sz w:val="26"/>
        </w:rPr>
        <w:t xml:space="preserve"> </w:t>
      </w:r>
      <w:r>
        <w:rPr>
          <w:rFonts w:ascii="Arial"/>
          <w:b/>
          <w:sz w:val="26"/>
        </w:rPr>
        <w:t>Disorder Not Otherwise</w:t>
      </w:r>
      <w:r>
        <w:rPr>
          <w:rFonts w:ascii="Arial"/>
          <w:b/>
          <w:spacing w:val="15"/>
          <w:sz w:val="26"/>
        </w:rPr>
        <w:t xml:space="preserve"> </w:t>
      </w:r>
      <w:r>
        <w:rPr>
          <w:rFonts w:ascii="Arial"/>
          <w:b/>
          <w:sz w:val="26"/>
        </w:rPr>
        <w:t>Specified</w:t>
      </w:r>
    </w:p>
    <w:p w:rsidR="00E675F0" w:rsidRDefault="00E675F0" w:rsidP="00E675F0">
      <w:pPr>
        <w:pStyle w:val="BodyText"/>
        <w:spacing w:before="4"/>
        <w:rPr>
          <w:rFonts w:ascii="Arial"/>
          <w:b/>
          <w:sz w:val="24"/>
        </w:rPr>
      </w:pPr>
    </w:p>
    <w:p w:rsidR="00E675F0" w:rsidRDefault="00E675F0" w:rsidP="00E675F0">
      <w:pPr>
        <w:pStyle w:val="BodyText"/>
        <w:spacing w:line="249" w:lineRule="auto"/>
        <w:ind w:left="128" w:right="121" w:hanging="4"/>
        <w:jc w:val="both"/>
      </w:pPr>
      <w:r>
        <w:rPr>
          <w:w w:val="105"/>
        </w:rPr>
        <w:t>The Alcohol-Related Disorder Not Otherwise Specified category is for disorders associ­ ated with the use of alcohol that are not classifiable as Alcohol Dependence, Alcohol Abuse,</w:t>
      </w:r>
      <w:r>
        <w:rPr>
          <w:spacing w:val="-30"/>
          <w:w w:val="105"/>
        </w:rPr>
        <w:t xml:space="preserve"> </w:t>
      </w:r>
      <w:r>
        <w:rPr>
          <w:w w:val="105"/>
        </w:rPr>
        <w:t>Alcohol</w:t>
      </w:r>
      <w:r>
        <w:rPr>
          <w:spacing w:val="-24"/>
          <w:w w:val="105"/>
        </w:rPr>
        <w:t xml:space="preserve"> </w:t>
      </w:r>
      <w:r>
        <w:rPr>
          <w:w w:val="105"/>
        </w:rPr>
        <w:t>Intoxication,</w:t>
      </w:r>
      <w:r>
        <w:rPr>
          <w:spacing w:val="-23"/>
          <w:w w:val="105"/>
        </w:rPr>
        <w:t xml:space="preserve"> </w:t>
      </w:r>
      <w:r>
        <w:rPr>
          <w:w w:val="105"/>
        </w:rPr>
        <w:t>Alcohol</w:t>
      </w:r>
      <w:r>
        <w:rPr>
          <w:spacing w:val="-25"/>
          <w:w w:val="105"/>
        </w:rPr>
        <w:t xml:space="preserve"> </w:t>
      </w:r>
      <w:r>
        <w:rPr>
          <w:w w:val="105"/>
        </w:rPr>
        <w:t>Withdrawal,</w:t>
      </w:r>
      <w:r>
        <w:rPr>
          <w:spacing w:val="-18"/>
          <w:w w:val="105"/>
        </w:rPr>
        <w:t xml:space="preserve"> </w:t>
      </w:r>
      <w:r>
        <w:rPr>
          <w:w w:val="105"/>
        </w:rPr>
        <w:t>Alcohol</w:t>
      </w:r>
      <w:r>
        <w:rPr>
          <w:spacing w:val="-26"/>
          <w:w w:val="105"/>
        </w:rPr>
        <w:t xml:space="preserve"> </w:t>
      </w:r>
      <w:r>
        <w:rPr>
          <w:w w:val="105"/>
        </w:rPr>
        <w:t>Intoxication</w:t>
      </w:r>
      <w:r>
        <w:rPr>
          <w:spacing w:val="-23"/>
          <w:w w:val="105"/>
        </w:rPr>
        <w:t xml:space="preserve"> </w:t>
      </w:r>
      <w:r>
        <w:rPr>
          <w:w w:val="105"/>
        </w:rPr>
        <w:t>Delirium,</w:t>
      </w:r>
      <w:r>
        <w:rPr>
          <w:spacing w:val="-24"/>
          <w:w w:val="105"/>
        </w:rPr>
        <w:t xml:space="preserve"> </w:t>
      </w:r>
      <w:r>
        <w:rPr>
          <w:w w:val="105"/>
        </w:rPr>
        <w:t>Alcohol Withdrawal Delirium, Alcohol-Induced Persisting Dementia, Alcohol-Induced Persisting Amnestic Disorder, Alcohol-Induced Psychotic Disorder, Alcohol-Induced Mood Disor­ der, Alcohol-Induced Anxiety Disorder, Alcohol-Induced Sexual Dysfunction, or Alco­ hol-Induced Sleep</w:t>
      </w:r>
      <w:r>
        <w:rPr>
          <w:spacing w:val="-20"/>
          <w:w w:val="105"/>
        </w:rPr>
        <w:t xml:space="preserve"> </w:t>
      </w:r>
      <w:r>
        <w:rPr>
          <w:w w:val="105"/>
        </w:rPr>
        <w:t>Disorder.</w:t>
      </w:r>
    </w:p>
    <w:p w:rsidR="00E675F0" w:rsidRDefault="00E675F0" w:rsidP="00E675F0">
      <w:pPr>
        <w:pStyle w:val="BodyText"/>
        <w:rPr>
          <w:sz w:val="22"/>
        </w:rPr>
      </w:pPr>
    </w:p>
    <w:p w:rsidR="00E675F0" w:rsidRDefault="00E675F0" w:rsidP="00E675F0">
      <w:pPr>
        <w:pStyle w:val="BodyText"/>
        <w:rPr>
          <w:sz w:val="22"/>
        </w:rPr>
      </w:pPr>
    </w:p>
    <w:p w:rsidR="00E675F0" w:rsidRDefault="00E675F0" w:rsidP="00E675F0">
      <w:pPr>
        <w:spacing w:before="128"/>
        <w:ind w:left="33" w:right="27"/>
        <w:jc w:val="center"/>
        <w:rPr>
          <w:rFonts w:ascii="Arial"/>
          <w:b/>
          <w:sz w:val="26"/>
        </w:rPr>
      </w:pPr>
      <w:r>
        <w:rPr>
          <w:noProof/>
        </w:rPr>
        <mc:AlternateContent>
          <mc:Choice Requires="wpg">
            <w:drawing>
              <wp:anchor distT="0" distB="0" distL="114300" distR="114300" simplePos="0" relativeHeight="251797504" behindDoc="1" locked="0" layoutInCell="1" allowOverlap="1" wp14:anchorId="06FC3E6A" wp14:editId="15F327C0">
                <wp:simplePos x="0" y="0"/>
                <wp:positionH relativeFrom="page">
                  <wp:posOffset>464185</wp:posOffset>
                </wp:positionH>
                <wp:positionV relativeFrom="paragraph">
                  <wp:posOffset>-13970</wp:posOffset>
                </wp:positionV>
                <wp:extent cx="1661795" cy="501015"/>
                <wp:effectExtent l="0" t="0" r="1905" b="0"/>
                <wp:wrapNone/>
                <wp:docPr id="1382" name="Group 1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1795" cy="501015"/>
                          <a:chOff x="731" y="-22"/>
                          <a:chExt cx="2617" cy="789"/>
                        </a:xfrm>
                      </wpg:grpSpPr>
                      <wps:wsp>
                        <wps:cNvPr id="1383" name="Line 1340"/>
                        <wps:cNvCnPr>
                          <a:cxnSpLocks/>
                        </wps:cNvCnPr>
                        <wps:spPr bwMode="auto">
                          <a:xfrm>
                            <a:off x="755" y="766"/>
                            <a:ext cx="0" cy="0"/>
                          </a:xfrm>
                          <a:prstGeom prst="line">
                            <a:avLst/>
                          </a:prstGeom>
                          <a:noFill/>
                          <a:ln w="122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4" name="Line 1339"/>
                        <wps:cNvCnPr>
                          <a:cxnSpLocks/>
                        </wps:cNvCnPr>
                        <wps:spPr bwMode="auto">
                          <a:xfrm>
                            <a:off x="731" y="-8"/>
                            <a:ext cx="2617" cy="0"/>
                          </a:xfrm>
                          <a:prstGeom prst="line">
                            <a:avLst/>
                          </a:prstGeom>
                          <a:noFill/>
                          <a:ln w="305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19B439" id="Group 1338" o:spid="_x0000_s1026" style="position:absolute;margin-left:36.55pt;margin-top:-1.1pt;width:130.85pt;height:39.45pt;z-index:-251518976;mso-position-horizontal-relative:page" coordorigin="731,-22" coordsize="2617,7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">
                <v:line id="Line 1340" o:spid="_x0000_s1027" style="position:absolute;visibility:visible;mso-wrap-style:square" from="755,766" to="755,7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" strokeweight=".33939mm">
                  <o:lock v:ext="edit" shapetype="f"/>
                </v:line>
                <v:line id="Line 1339" o:spid="_x0000_s1028" style="position:absolute;visibility:visible;mso-wrap-style:square" from="731,-8" to="334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" strokeweight=".08478mm">
                  <o:lock v:ext="edit" shapetype="f"/>
                </v:line>
                <w10:wrap anchorx="page"/>
              </v:group>
            </w:pict>
          </mc:Fallback>
        </mc:AlternateContent>
      </w:r>
      <w:r>
        <w:rPr>
          <w:noProof/>
        </w:rPr>
        <mc:AlternateContent>
          <mc:Choice Requires="wpg">
            <w:drawing>
              <wp:anchor distT="0" distB="0" distL="114300" distR="114300" simplePos="0" relativeHeight="251798528" behindDoc="1" locked="0" layoutInCell="1" allowOverlap="1" wp14:anchorId="2C48AFEB" wp14:editId="7B918290">
                <wp:simplePos x="0" y="0"/>
                <wp:positionH relativeFrom="page">
                  <wp:posOffset>3580130</wp:posOffset>
                </wp:positionH>
                <wp:positionV relativeFrom="paragraph">
                  <wp:posOffset>-13970</wp:posOffset>
                </wp:positionV>
                <wp:extent cx="1637665" cy="501015"/>
                <wp:effectExtent l="0" t="0" r="635" b="0"/>
                <wp:wrapNone/>
                <wp:docPr id="1379" name="Group 1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7665" cy="501015"/>
                          <a:chOff x="5638" y="-22"/>
                          <a:chExt cx="2579" cy="789"/>
                        </a:xfrm>
                      </wpg:grpSpPr>
                      <wps:wsp>
                        <wps:cNvPr id="1380" name="Line 1337"/>
                        <wps:cNvCnPr>
                          <a:cxnSpLocks/>
                        </wps:cNvCnPr>
                        <wps:spPr bwMode="auto">
                          <a:xfrm>
                            <a:off x="8197" y="766"/>
                            <a:ext cx="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1" name="Line 1336"/>
                        <wps:cNvCnPr>
                          <a:cxnSpLocks/>
                        </wps:cNvCnPr>
                        <wps:spPr bwMode="auto">
                          <a:xfrm>
                            <a:off x="5638" y="-8"/>
                            <a:ext cx="2578" cy="0"/>
                          </a:xfrm>
                          <a:prstGeom prst="line">
                            <a:avLst/>
                          </a:prstGeom>
                          <a:noFill/>
                          <a:ln w="305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C2A442" id="Group 1335" o:spid="_x0000_s1026" style="position:absolute;margin-left:281.9pt;margin-top:-1.1pt;width:128.95pt;height:39.45pt;z-index:-251517952;mso-position-horizontal-relative:page" coordorigin="5638,-22" coordsize="2579,7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">
                <v:line id="Line 1337" o:spid="_x0000_s1027" style="position:absolute;visibility:visible;mso-wrap-style:square" from="8197,766" to="8197,7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" strokeweight=".16969mm">
                  <o:lock v:ext="edit" shapetype="f"/>
                </v:line>
                <v:line id="Line 1336" o:spid="_x0000_s1028" style="position:absolute;visibility:visible;mso-wrap-style:square" from="5638,-8" to="821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" strokeweight=".08478mm">
                  <o:lock v:ext="edit" shapetype="f"/>
                </v:line>
                <w10:wrap anchorx="page"/>
              </v:group>
            </w:pict>
          </mc:Fallback>
        </mc:AlternateContent>
      </w:r>
      <w:r>
        <w:rPr>
          <w:rFonts w:ascii="Arial"/>
          <w:b/>
          <w:color w:val="111111"/>
          <w:sz w:val="26"/>
        </w:rPr>
        <w:t>Amphetamine</w:t>
      </w:r>
    </w:p>
    <w:p w:rsidR="00E675F0" w:rsidRDefault="00E675F0" w:rsidP="00E675F0">
      <w:pPr>
        <w:spacing w:before="3"/>
        <w:ind w:left="33" w:right="21"/>
        <w:jc w:val="center"/>
        <w:rPr>
          <w:rFonts w:ascii="Arial"/>
          <w:b/>
          <w:sz w:val="26"/>
        </w:rPr>
      </w:pPr>
      <w:r>
        <w:rPr>
          <w:rFonts w:ascii="Arial"/>
          <w:b/>
          <w:color w:val="111111"/>
          <w:w w:val="105"/>
          <w:sz w:val="26"/>
        </w:rPr>
        <w:t>(or Amphetamine-Like)-Related Disorders</w:t>
      </w:r>
    </w:p>
    <w:p w:rsidR="00E675F0" w:rsidRDefault="00E675F0" w:rsidP="00E675F0">
      <w:pPr>
        <w:pStyle w:val="BodyText"/>
        <w:spacing w:before="9"/>
        <w:rPr>
          <w:rFonts w:ascii="Arial"/>
          <w:b/>
          <w:sz w:val="25"/>
        </w:rPr>
      </w:pPr>
    </w:p>
    <w:p w:rsidR="00E675F0" w:rsidRDefault="00E675F0" w:rsidP="00E675F0">
      <w:pPr>
        <w:pStyle w:val="BodyText"/>
        <w:spacing w:line="254" w:lineRule="auto"/>
        <w:ind w:left="132" w:right="115" w:firstLine="2"/>
        <w:jc w:val="both"/>
      </w:pPr>
      <w:r>
        <w:rPr>
          <w:w w:val="110"/>
        </w:rPr>
        <w:t>The</w:t>
      </w:r>
      <w:r>
        <w:rPr>
          <w:spacing w:val="-37"/>
          <w:w w:val="110"/>
        </w:rPr>
        <w:t xml:space="preserve"> </w:t>
      </w:r>
      <w:r>
        <w:rPr>
          <w:w w:val="110"/>
        </w:rPr>
        <w:t>class</w:t>
      </w:r>
      <w:r>
        <w:rPr>
          <w:spacing w:val="-37"/>
          <w:w w:val="110"/>
        </w:rPr>
        <w:t xml:space="preserve"> </w:t>
      </w:r>
      <w:r>
        <w:rPr>
          <w:w w:val="110"/>
        </w:rPr>
        <w:t>of</w:t>
      </w:r>
      <w:r>
        <w:rPr>
          <w:spacing w:val="-37"/>
          <w:w w:val="110"/>
        </w:rPr>
        <w:t xml:space="preserve"> </w:t>
      </w:r>
      <w:r>
        <w:rPr>
          <w:w w:val="110"/>
        </w:rPr>
        <w:t>amphetamine</w:t>
      </w:r>
      <w:r>
        <w:rPr>
          <w:spacing w:val="-34"/>
          <w:w w:val="110"/>
        </w:rPr>
        <w:t xml:space="preserve"> </w:t>
      </w:r>
      <w:r>
        <w:rPr>
          <w:w w:val="110"/>
        </w:rPr>
        <w:t>and</w:t>
      </w:r>
      <w:r>
        <w:rPr>
          <w:spacing w:val="-37"/>
          <w:w w:val="110"/>
        </w:rPr>
        <w:t xml:space="preserve"> </w:t>
      </w:r>
      <w:r>
        <w:rPr>
          <w:w w:val="110"/>
        </w:rPr>
        <w:t>amphetamine-like</w:t>
      </w:r>
      <w:r>
        <w:rPr>
          <w:spacing w:val="-42"/>
          <w:w w:val="110"/>
        </w:rPr>
        <w:t xml:space="preserve"> </w:t>
      </w:r>
      <w:r>
        <w:rPr>
          <w:w w:val="110"/>
        </w:rPr>
        <w:t>substances</w:t>
      </w:r>
      <w:r>
        <w:rPr>
          <w:spacing w:val="-34"/>
          <w:w w:val="110"/>
        </w:rPr>
        <w:t xml:space="preserve"> </w:t>
      </w:r>
      <w:r>
        <w:rPr>
          <w:w w:val="110"/>
        </w:rPr>
        <w:t>includes</w:t>
      </w:r>
      <w:r>
        <w:rPr>
          <w:spacing w:val="-33"/>
          <w:w w:val="110"/>
        </w:rPr>
        <w:t xml:space="preserve"> </w:t>
      </w:r>
      <w:r>
        <w:rPr>
          <w:w w:val="110"/>
        </w:rPr>
        <w:t>all</w:t>
      </w:r>
      <w:r>
        <w:rPr>
          <w:spacing w:val="-41"/>
          <w:w w:val="110"/>
        </w:rPr>
        <w:t xml:space="preserve"> </w:t>
      </w:r>
      <w:r>
        <w:rPr>
          <w:w w:val="110"/>
        </w:rPr>
        <w:t>substances</w:t>
      </w:r>
      <w:r>
        <w:rPr>
          <w:spacing w:val="-31"/>
          <w:w w:val="110"/>
        </w:rPr>
        <w:t xml:space="preserve"> </w:t>
      </w:r>
      <w:r>
        <w:rPr>
          <w:w w:val="110"/>
        </w:rPr>
        <w:t>with a substituted-phenylethylamine structure, such as amphetamine, dextroamphetamine, and</w:t>
      </w:r>
      <w:r>
        <w:rPr>
          <w:spacing w:val="-34"/>
          <w:w w:val="110"/>
        </w:rPr>
        <w:t xml:space="preserve"> </w:t>
      </w:r>
      <w:r>
        <w:rPr>
          <w:w w:val="110"/>
        </w:rPr>
        <w:t>methamphetamine</w:t>
      </w:r>
      <w:r>
        <w:rPr>
          <w:spacing w:val="-41"/>
          <w:w w:val="110"/>
        </w:rPr>
        <w:t xml:space="preserve"> </w:t>
      </w:r>
      <w:r>
        <w:rPr>
          <w:w w:val="110"/>
        </w:rPr>
        <w:t>("speed").</w:t>
      </w:r>
      <w:r>
        <w:rPr>
          <w:spacing w:val="-33"/>
          <w:w w:val="110"/>
        </w:rPr>
        <w:t xml:space="preserve"> </w:t>
      </w:r>
      <w:r>
        <w:rPr>
          <w:w w:val="110"/>
        </w:rPr>
        <w:t>Also</w:t>
      </w:r>
      <w:r>
        <w:rPr>
          <w:spacing w:val="-39"/>
          <w:w w:val="110"/>
        </w:rPr>
        <w:t xml:space="preserve"> </w:t>
      </w:r>
      <w:r>
        <w:rPr>
          <w:w w:val="110"/>
        </w:rPr>
        <w:t>included</w:t>
      </w:r>
      <w:r>
        <w:rPr>
          <w:spacing w:val="-33"/>
          <w:w w:val="110"/>
        </w:rPr>
        <w:t xml:space="preserve"> </w:t>
      </w:r>
      <w:r>
        <w:rPr>
          <w:w w:val="110"/>
        </w:rPr>
        <w:t>are</w:t>
      </w:r>
      <w:r>
        <w:rPr>
          <w:spacing w:val="-38"/>
          <w:w w:val="110"/>
        </w:rPr>
        <w:t xml:space="preserve"> </w:t>
      </w:r>
      <w:r>
        <w:rPr>
          <w:w w:val="110"/>
        </w:rPr>
        <w:t>those</w:t>
      </w:r>
      <w:r>
        <w:rPr>
          <w:spacing w:val="-39"/>
          <w:w w:val="110"/>
        </w:rPr>
        <w:t xml:space="preserve"> </w:t>
      </w:r>
      <w:r>
        <w:rPr>
          <w:w w:val="110"/>
        </w:rPr>
        <w:t>substances</w:t>
      </w:r>
      <w:r>
        <w:rPr>
          <w:spacing w:val="-33"/>
          <w:w w:val="110"/>
        </w:rPr>
        <w:t xml:space="preserve"> </w:t>
      </w:r>
      <w:r>
        <w:rPr>
          <w:w w:val="110"/>
        </w:rPr>
        <w:t>that</w:t>
      </w:r>
      <w:r>
        <w:rPr>
          <w:spacing w:val="-39"/>
          <w:w w:val="110"/>
        </w:rPr>
        <w:t xml:space="preserve"> </w:t>
      </w:r>
      <w:r>
        <w:rPr>
          <w:w w:val="110"/>
        </w:rPr>
        <w:t>are</w:t>
      </w:r>
      <w:r>
        <w:rPr>
          <w:spacing w:val="-41"/>
          <w:w w:val="110"/>
        </w:rPr>
        <w:t xml:space="preserve"> </w:t>
      </w:r>
      <w:r>
        <w:rPr>
          <w:w w:val="110"/>
        </w:rPr>
        <w:t>structurally different but also have amphetamine-like action, such as methylphenidate and other agents</w:t>
      </w:r>
      <w:r>
        <w:rPr>
          <w:spacing w:val="-4"/>
          <w:w w:val="110"/>
        </w:rPr>
        <w:t xml:space="preserve"> </w:t>
      </w:r>
      <w:r>
        <w:rPr>
          <w:w w:val="110"/>
        </w:rPr>
        <w:t>used</w:t>
      </w:r>
      <w:r>
        <w:rPr>
          <w:spacing w:val="-8"/>
          <w:w w:val="110"/>
        </w:rPr>
        <w:t xml:space="preserve"> </w:t>
      </w:r>
      <w:r>
        <w:rPr>
          <w:w w:val="110"/>
        </w:rPr>
        <w:t>as</w:t>
      </w:r>
      <w:r>
        <w:rPr>
          <w:spacing w:val="-8"/>
          <w:w w:val="110"/>
        </w:rPr>
        <w:t xml:space="preserve"> </w:t>
      </w:r>
      <w:r>
        <w:rPr>
          <w:w w:val="110"/>
        </w:rPr>
        <w:t>appetite</w:t>
      </w:r>
      <w:r>
        <w:rPr>
          <w:spacing w:val="-4"/>
          <w:w w:val="110"/>
        </w:rPr>
        <w:t xml:space="preserve"> </w:t>
      </w:r>
      <w:r>
        <w:rPr>
          <w:w w:val="110"/>
        </w:rPr>
        <w:t>suppressants</w:t>
      </w:r>
      <w:r>
        <w:rPr>
          <w:spacing w:val="-3"/>
          <w:w w:val="110"/>
        </w:rPr>
        <w:t xml:space="preserve"> </w:t>
      </w:r>
      <w:r>
        <w:rPr>
          <w:w w:val="110"/>
        </w:rPr>
        <w:t>("diet</w:t>
      </w:r>
      <w:r>
        <w:rPr>
          <w:spacing w:val="-2"/>
          <w:w w:val="110"/>
        </w:rPr>
        <w:t xml:space="preserve"> </w:t>
      </w:r>
      <w:r>
        <w:rPr>
          <w:w w:val="110"/>
        </w:rPr>
        <w:t>pills").</w:t>
      </w:r>
      <w:r>
        <w:rPr>
          <w:spacing w:val="-11"/>
          <w:w w:val="110"/>
        </w:rPr>
        <w:t xml:space="preserve"> </w:t>
      </w:r>
      <w:r>
        <w:rPr>
          <w:w w:val="110"/>
        </w:rPr>
        <w:t>These</w:t>
      </w:r>
      <w:r>
        <w:rPr>
          <w:spacing w:val="-9"/>
          <w:w w:val="110"/>
        </w:rPr>
        <w:t xml:space="preserve"> </w:t>
      </w:r>
      <w:r>
        <w:rPr>
          <w:w w:val="110"/>
        </w:rPr>
        <w:t>substances</w:t>
      </w:r>
      <w:r>
        <w:rPr>
          <w:spacing w:val="-3"/>
          <w:w w:val="110"/>
        </w:rPr>
        <w:t xml:space="preserve"> </w:t>
      </w:r>
      <w:r>
        <w:rPr>
          <w:w w:val="110"/>
        </w:rPr>
        <w:t>are</w:t>
      </w:r>
      <w:r>
        <w:rPr>
          <w:spacing w:val="-4"/>
          <w:w w:val="110"/>
        </w:rPr>
        <w:t xml:space="preserve"> </w:t>
      </w:r>
      <w:r>
        <w:rPr>
          <w:w w:val="110"/>
        </w:rPr>
        <w:t>usually</w:t>
      </w:r>
      <w:r>
        <w:rPr>
          <w:spacing w:val="1"/>
          <w:w w:val="110"/>
        </w:rPr>
        <w:t xml:space="preserve"> </w:t>
      </w:r>
      <w:r>
        <w:rPr>
          <w:w w:val="110"/>
        </w:rPr>
        <w:t>taken orally or intravenously, although methamphetamine is also taken by the nasal route ("snorting"). A very pure form of methamphetamine is called "ice" because of the appearance of its crystals when observed under magnification. Due to its high purity and</w:t>
      </w:r>
      <w:r>
        <w:rPr>
          <w:spacing w:val="2"/>
          <w:w w:val="110"/>
        </w:rPr>
        <w:t xml:space="preserve"> </w:t>
      </w:r>
      <w:r>
        <w:rPr>
          <w:w w:val="110"/>
        </w:rPr>
        <w:t>relatively</w:t>
      </w:r>
      <w:r>
        <w:rPr>
          <w:spacing w:val="-9"/>
          <w:w w:val="110"/>
        </w:rPr>
        <w:t xml:space="preserve"> </w:t>
      </w:r>
      <w:r>
        <w:rPr>
          <w:w w:val="110"/>
        </w:rPr>
        <w:t>low</w:t>
      </w:r>
      <w:r>
        <w:rPr>
          <w:spacing w:val="-16"/>
          <w:w w:val="110"/>
        </w:rPr>
        <w:t xml:space="preserve"> </w:t>
      </w:r>
      <w:r>
        <w:rPr>
          <w:w w:val="110"/>
        </w:rPr>
        <w:t>vaporization</w:t>
      </w:r>
      <w:r>
        <w:rPr>
          <w:spacing w:val="3"/>
          <w:w w:val="110"/>
        </w:rPr>
        <w:t xml:space="preserve"> </w:t>
      </w:r>
      <w:r>
        <w:rPr>
          <w:w w:val="110"/>
        </w:rPr>
        <w:t>point,</w:t>
      </w:r>
      <w:r>
        <w:rPr>
          <w:spacing w:val="-9"/>
          <w:w w:val="110"/>
        </w:rPr>
        <w:t xml:space="preserve"> </w:t>
      </w:r>
      <w:r>
        <w:rPr>
          <w:w w:val="110"/>
        </w:rPr>
        <w:t>ice</w:t>
      </w:r>
      <w:r>
        <w:rPr>
          <w:spacing w:val="-14"/>
          <w:w w:val="110"/>
        </w:rPr>
        <w:t xml:space="preserve"> </w:t>
      </w:r>
      <w:r>
        <w:rPr>
          <w:w w:val="110"/>
        </w:rPr>
        <w:t>can</w:t>
      </w:r>
      <w:r>
        <w:rPr>
          <w:spacing w:val="-8"/>
          <w:w w:val="110"/>
        </w:rPr>
        <w:t xml:space="preserve"> </w:t>
      </w:r>
      <w:r>
        <w:rPr>
          <w:w w:val="110"/>
        </w:rPr>
        <w:t>be</w:t>
      </w:r>
      <w:r>
        <w:rPr>
          <w:spacing w:val="-20"/>
          <w:w w:val="110"/>
        </w:rPr>
        <w:t xml:space="preserve"> </w:t>
      </w:r>
      <w:r>
        <w:rPr>
          <w:w w:val="110"/>
        </w:rPr>
        <w:t>smoked</w:t>
      </w:r>
      <w:r>
        <w:rPr>
          <w:spacing w:val="-9"/>
          <w:w w:val="110"/>
        </w:rPr>
        <w:t xml:space="preserve"> </w:t>
      </w:r>
      <w:r>
        <w:rPr>
          <w:w w:val="110"/>
        </w:rPr>
        <w:t>to</w:t>
      </w:r>
      <w:r>
        <w:rPr>
          <w:spacing w:val="-13"/>
          <w:w w:val="110"/>
        </w:rPr>
        <w:t xml:space="preserve"> </w:t>
      </w:r>
      <w:r>
        <w:rPr>
          <w:w w:val="110"/>
        </w:rPr>
        <w:t>produce</w:t>
      </w:r>
      <w:r>
        <w:rPr>
          <w:spacing w:val="-10"/>
          <w:w w:val="110"/>
        </w:rPr>
        <w:t xml:space="preserve"> </w:t>
      </w:r>
      <w:r>
        <w:rPr>
          <w:w w:val="110"/>
        </w:rPr>
        <w:t>an</w:t>
      </w:r>
      <w:r>
        <w:rPr>
          <w:spacing w:val="-14"/>
          <w:w w:val="110"/>
        </w:rPr>
        <w:t xml:space="preserve"> </w:t>
      </w:r>
      <w:r>
        <w:rPr>
          <w:w w:val="110"/>
        </w:rPr>
        <w:t>immediate</w:t>
      </w:r>
      <w:r>
        <w:rPr>
          <w:spacing w:val="-7"/>
          <w:w w:val="110"/>
        </w:rPr>
        <w:t xml:space="preserve"> </w:t>
      </w:r>
      <w:r>
        <w:rPr>
          <w:w w:val="110"/>
        </w:rPr>
        <w:t>and powerful</w:t>
      </w:r>
      <w:r>
        <w:rPr>
          <w:spacing w:val="-15"/>
          <w:w w:val="110"/>
        </w:rPr>
        <w:t xml:space="preserve"> </w:t>
      </w:r>
      <w:r>
        <w:rPr>
          <w:w w:val="110"/>
        </w:rPr>
        <w:t>stimulant</w:t>
      </w:r>
      <w:r>
        <w:rPr>
          <w:spacing w:val="-16"/>
          <w:w w:val="110"/>
        </w:rPr>
        <w:t xml:space="preserve"> </w:t>
      </w:r>
      <w:r>
        <w:rPr>
          <w:w w:val="110"/>
        </w:rPr>
        <w:t>effect</w:t>
      </w:r>
      <w:r>
        <w:rPr>
          <w:spacing w:val="-14"/>
          <w:w w:val="110"/>
        </w:rPr>
        <w:t xml:space="preserve"> </w:t>
      </w:r>
      <w:r>
        <w:rPr>
          <w:w w:val="110"/>
        </w:rPr>
        <w:t>(as</w:t>
      </w:r>
      <w:r>
        <w:rPr>
          <w:spacing w:val="-19"/>
          <w:w w:val="110"/>
        </w:rPr>
        <w:t xml:space="preserve"> </w:t>
      </w:r>
      <w:r>
        <w:rPr>
          <w:w w:val="110"/>
        </w:rPr>
        <w:t>is</w:t>
      </w:r>
      <w:r>
        <w:rPr>
          <w:spacing w:val="-19"/>
          <w:w w:val="110"/>
        </w:rPr>
        <w:t xml:space="preserve"> </w:t>
      </w:r>
      <w:r>
        <w:rPr>
          <w:w w:val="110"/>
        </w:rPr>
        <w:t>done</w:t>
      </w:r>
      <w:r>
        <w:rPr>
          <w:spacing w:val="-14"/>
          <w:w w:val="110"/>
        </w:rPr>
        <w:t xml:space="preserve"> </w:t>
      </w:r>
      <w:r>
        <w:rPr>
          <w:w w:val="110"/>
        </w:rPr>
        <w:t>with</w:t>
      </w:r>
      <w:r>
        <w:rPr>
          <w:spacing w:val="-12"/>
          <w:w w:val="110"/>
        </w:rPr>
        <w:t xml:space="preserve"> </w:t>
      </w:r>
      <w:r>
        <w:rPr>
          <w:w w:val="110"/>
        </w:rPr>
        <w:t>"crack"</w:t>
      </w:r>
      <w:r>
        <w:rPr>
          <w:spacing w:val="-17"/>
          <w:w w:val="110"/>
        </w:rPr>
        <w:t xml:space="preserve"> </w:t>
      </w:r>
      <w:r>
        <w:rPr>
          <w:w w:val="110"/>
        </w:rPr>
        <w:t>cocaine).</w:t>
      </w:r>
      <w:r>
        <w:rPr>
          <w:spacing w:val="-12"/>
          <w:w w:val="110"/>
        </w:rPr>
        <w:t xml:space="preserve"> </w:t>
      </w:r>
      <w:r>
        <w:rPr>
          <w:w w:val="110"/>
        </w:rPr>
        <w:t>In</w:t>
      </w:r>
      <w:r>
        <w:rPr>
          <w:spacing w:val="-16"/>
          <w:w w:val="110"/>
        </w:rPr>
        <w:t xml:space="preserve"> </w:t>
      </w:r>
      <w:r>
        <w:rPr>
          <w:w w:val="110"/>
        </w:rPr>
        <w:t>addition</w:t>
      </w:r>
      <w:r>
        <w:rPr>
          <w:spacing w:val="-11"/>
          <w:w w:val="110"/>
        </w:rPr>
        <w:t xml:space="preserve"> </w:t>
      </w:r>
      <w:r>
        <w:rPr>
          <w:w w:val="110"/>
        </w:rPr>
        <w:t>to</w:t>
      </w:r>
      <w:r>
        <w:rPr>
          <w:spacing w:val="-13"/>
          <w:w w:val="110"/>
        </w:rPr>
        <w:t xml:space="preserve"> </w:t>
      </w:r>
      <w:r>
        <w:rPr>
          <w:w w:val="110"/>
        </w:rPr>
        <w:t>the</w:t>
      </w:r>
      <w:r>
        <w:rPr>
          <w:spacing w:val="-20"/>
          <w:w w:val="110"/>
        </w:rPr>
        <w:t xml:space="preserve"> </w:t>
      </w:r>
      <w:r>
        <w:rPr>
          <w:w w:val="110"/>
        </w:rPr>
        <w:t>synthetic amphetamine-like</w:t>
      </w:r>
      <w:r>
        <w:rPr>
          <w:spacing w:val="-13"/>
          <w:w w:val="110"/>
        </w:rPr>
        <w:t xml:space="preserve"> </w:t>
      </w:r>
      <w:r>
        <w:rPr>
          <w:w w:val="110"/>
        </w:rPr>
        <w:t>compounds,</w:t>
      </w:r>
      <w:r>
        <w:rPr>
          <w:spacing w:val="-2"/>
          <w:w w:val="110"/>
        </w:rPr>
        <w:t xml:space="preserve"> </w:t>
      </w:r>
      <w:r>
        <w:rPr>
          <w:w w:val="110"/>
        </w:rPr>
        <w:t>there</w:t>
      </w:r>
      <w:r>
        <w:rPr>
          <w:spacing w:val="-8"/>
          <w:w w:val="110"/>
        </w:rPr>
        <w:t xml:space="preserve"> </w:t>
      </w:r>
      <w:r>
        <w:rPr>
          <w:w w:val="110"/>
        </w:rPr>
        <w:t>are</w:t>
      </w:r>
      <w:r>
        <w:rPr>
          <w:spacing w:val="-11"/>
          <w:w w:val="110"/>
        </w:rPr>
        <w:t xml:space="preserve"> </w:t>
      </w:r>
      <w:r>
        <w:rPr>
          <w:w w:val="110"/>
        </w:rPr>
        <w:t>naturally</w:t>
      </w:r>
      <w:r>
        <w:rPr>
          <w:spacing w:val="-8"/>
          <w:w w:val="110"/>
        </w:rPr>
        <w:t xml:space="preserve"> </w:t>
      </w:r>
      <w:r>
        <w:rPr>
          <w:w w:val="110"/>
        </w:rPr>
        <w:t>occurring,</w:t>
      </w:r>
      <w:r>
        <w:rPr>
          <w:spacing w:val="-1"/>
          <w:w w:val="110"/>
        </w:rPr>
        <w:t xml:space="preserve"> </w:t>
      </w:r>
      <w:r>
        <w:rPr>
          <w:w w:val="110"/>
        </w:rPr>
        <w:t>plant-derived</w:t>
      </w:r>
      <w:r>
        <w:rPr>
          <w:spacing w:val="-5"/>
          <w:w w:val="110"/>
        </w:rPr>
        <w:t xml:space="preserve"> </w:t>
      </w:r>
      <w:r>
        <w:rPr>
          <w:w w:val="110"/>
        </w:rPr>
        <w:t>stimulants</w:t>
      </w:r>
    </w:p>
    <w:p w:rsidR="00E675F0" w:rsidRDefault="00E675F0" w:rsidP="00E675F0">
      <w:pPr>
        <w:spacing w:line="254" w:lineRule="auto"/>
        <w:jc w:val="both"/>
        <w:sectPr w:rsidR="00E675F0">
          <w:pgSz w:w="8960" w:h="14260"/>
          <w:pgMar w:top="1400" w:right="620" w:bottom="280" w:left="600" w:header="688" w:footer="0" w:gutter="0"/>
          <w:cols w:space="720"/>
        </w:sectPr>
      </w:pPr>
    </w:p>
    <w:p w:rsidR="00E675F0" w:rsidRDefault="00E675F0" w:rsidP="00E675F0">
      <w:pPr>
        <w:spacing w:before="139" w:line="266" w:lineRule="auto"/>
        <w:ind w:left="151" w:right="200" w:hanging="3"/>
        <w:jc w:val="both"/>
        <w:rPr>
          <w:sz w:val="19"/>
        </w:rPr>
      </w:pPr>
      <w:r>
        <w:rPr>
          <w:w w:val="110"/>
          <w:sz w:val="19"/>
        </w:rPr>
        <w:lastRenderedPageBreak/>
        <w:t>such as khat that can produce Abuse or Dependence. Unlike cocaine, which is almost always purchased on the illegal market, amphetamines and other stimulants may be obtained by prescription for the treatment of obesity, Attention-Deficit/Hyperactivity Disorder, and Narcolepsy. Prescribed stimulants have sometimes been diverted into the illegal market, often in the context of weight-control programs. Most of the effects of amphetamines and amphetamine-like drugs are similar to those of cocaine. However, unlike cocaine, these substances do not have local anesthetic (i.e., membrane ion channel) activity; therefore, their risk for inducing certain general medical conditions (e.g., cardiac arrhythmias and seizures) may be lower. The psychoactive effects of most amphetamine-like substances last longer than those of cocaine, and the peripheral sympathomimetic effects may be more</w:t>
      </w:r>
      <w:r>
        <w:rPr>
          <w:spacing w:val="25"/>
          <w:w w:val="110"/>
          <w:sz w:val="19"/>
        </w:rPr>
        <w:t xml:space="preserve"> </w:t>
      </w:r>
      <w:r>
        <w:rPr>
          <w:w w:val="110"/>
          <w:sz w:val="19"/>
        </w:rPr>
        <w:t>potent.</w:t>
      </w:r>
    </w:p>
    <w:p w:rsidR="00E675F0" w:rsidRDefault="00E675F0" w:rsidP="00E675F0">
      <w:pPr>
        <w:spacing w:before="5" w:line="266" w:lineRule="auto"/>
        <w:ind w:left="147" w:right="205" w:firstLine="361"/>
        <w:jc w:val="both"/>
        <w:rPr>
          <w:sz w:val="19"/>
        </w:rPr>
      </w:pPr>
      <w:r>
        <w:rPr>
          <w:w w:val="110"/>
          <w:sz w:val="19"/>
        </w:rPr>
        <w:t>This section contains discussions that are specific to the Amphetamine-Related Disorders. Texts and criteria sets have already been provided for the generic aspects of Substance Dependence (p. 176) and Substance Abuse (p. 182) that apply across all substances. Texts specific to Amphetamine Dependence and Abuse are provided below; however, there are no additional specific criteria sets for Amphetamine Dependence or Amphetamine Abuse. Specific texts and criteria sets for Amphetamine Intoxication and Amphetamine Withdrawal are also provided below. The Amphetamine-Induced Disor­ ders (other than Amphetamine Intoxication and Withdrawal) are described in</w:t>
      </w:r>
      <w:r>
        <w:rPr>
          <w:spacing w:val="52"/>
          <w:w w:val="110"/>
          <w:sz w:val="19"/>
        </w:rPr>
        <w:t xml:space="preserve"> </w:t>
      </w:r>
      <w:r>
        <w:rPr>
          <w:w w:val="110"/>
          <w:sz w:val="19"/>
        </w:rPr>
        <w:t>the sections of the manual with disorders with which they share phenomenology (e.g., Amphetamine-Induced Mood Disorder is included in the "Mood Disorders" section). Listed below are the Amphetamine Use Disorders and the Amphetamine-Induced Disorders.</w:t>
      </w:r>
    </w:p>
    <w:p w:rsidR="00E675F0" w:rsidRDefault="00E675F0" w:rsidP="00E675F0">
      <w:pPr>
        <w:pStyle w:val="BodyText"/>
      </w:pPr>
    </w:p>
    <w:p w:rsidR="00E675F0" w:rsidRDefault="00E675F0" w:rsidP="00E675F0">
      <w:pPr>
        <w:spacing w:before="140"/>
        <w:ind w:left="138"/>
        <w:jc w:val="both"/>
        <w:rPr>
          <w:rFonts w:ascii="TimesNewRomanPS-BoldItalicMT"/>
          <w:b/>
          <w:i/>
          <w:sz w:val="24"/>
        </w:rPr>
      </w:pPr>
      <w:r>
        <w:rPr>
          <w:rFonts w:ascii="TimesNewRomanPS-BoldItalicMT"/>
          <w:b/>
          <w:i/>
          <w:w w:val="115"/>
          <w:sz w:val="24"/>
        </w:rPr>
        <w:t>Amphetamine Use Disorders</w:t>
      </w:r>
    </w:p>
    <w:p w:rsidR="00E675F0" w:rsidRDefault="00E675F0" w:rsidP="00E675F0">
      <w:pPr>
        <w:tabs>
          <w:tab w:val="left" w:pos="998"/>
        </w:tabs>
        <w:spacing w:before="126"/>
        <w:ind w:left="164"/>
        <w:rPr>
          <w:sz w:val="19"/>
        </w:rPr>
      </w:pPr>
      <w:r>
        <w:rPr>
          <w:b/>
          <w:w w:val="110"/>
          <w:sz w:val="20"/>
        </w:rPr>
        <w:t>304.40</w:t>
      </w:r>
      <w:r>
        <w:rPr>
          <w:b/>
          <w:w w:val="110"/>
          <w:sz w:val="20"/>
        </w:rPr>
        <w:tab/>
        <w:t xml:space="preserve">Amphetamine Dependence </w:t>
      </w:r>
      <w:r>
        <w:rPr>
          <w:w w:val="110"/>
          <w:sz w:val="19"/>
        </w:rPr>
        <w:t>(see p.</w:t>
      </w:r>
      <w:r>
        <w:rPr>
          <w:spacing w:val="5"/>
          <w:w w:val="110"/>
          <w:sz w:val="19"/>
        </w:rPr>
        <w:t xml:space="preserve"> </w:t>
      </w:r>
      <w:r>
        <w:rPr>
          <w:w w:val="110"/>
          <w:sz w:val="19"/>
        </w:rPr>
        <w:t>206)</w:t>
      </w:r>
    </w:p>
    <w:p w:rsidR="00E675F0" w:rsidRDefault="00E675F0" w:rsidP="00E675F0">
      <w:pPr>
        <w:tabs>
          <w:tab w:val="left" w:pos="998"/>
        </w:tabs>
        <w:spacing w:before="15"/>
        <w:ind w:left="169"/>
        <w:rPr>
          <w:sz w:val="19"/>
        </w:rPr>
      </w:pPr>
      <w:r>
        <w:rPr>
          <w:b/>
          <w:w w:val="110"/>
          <w:sz w:val="20"/>
        </w:rPr>
        <w:t>305.70</w:t>
      </w:r>
      <w:r>
        <w:rPr>
          <w:b/>
          <w:w w:val="110"/>
          <w:sz w:val="20"/>
        </w:rPr>
        <w:tab/>
        <w:t xml:space="preserve">Amphetamine Abuse </w:t>
      </w:r>
      <w:r>
        <w:rPr>
          <w:w w:val="110"/>
          <w:sz w:val="19"/>
        </w:rPr>
        <w:t>(see p.</w:t>
      </w:r>
      <w:r>
        <w:rPr>
          <w:spacing w:val="46"/>
          <w:w w:val="110"/>
          <w:sz w:val="19"/>
        </w:rPr>
        <w:t xml:space="preserve"> </w:t>
      </w:r>
      <w:r>
        <w:rPr>
          <w:w w:val="110"/>
          <w:sz w:val="19"/>
        </w:rPr>
        <w:t>206)</w:t>
      </w:r>
    </w:p>
    <w:p w:rsidR="00E675F0" w:rsidRDefault="00E675F0" w:rsidP="00E675F0">
      <w:pPr>
        <w:pStyle w:val="BodyText"/>
        <w:spacing w:before="11"/>
        <w:rPr>
          <w:sz w:val="26"/>
        </w:rPr>
      </w:pPr>
    </w:p>
    <w:p w:rsidR="00E675F0" w:rsidRDefault="00E675F0" w:rsidP="00E675F0">
      <w:pPr>
        <w:ind w:left="138"/>
        <w:jc w:val="both"/>
        <w:rPr>
          <w:rFonts w:ascii="TimesNewRomanPS-BoldItalicMT"/>
          <w:b/>
          <w:i/>
          <w:sz w:val="24"/>
        </w:rPr>
      </w:pPr>
      <w:r>
        <w:rPr>
          <w:rFonts w:ascii="TimesNewRomanPS-BoldItalicMT"/>
          <w:b/>
          <w:i/>
          <w:w w:val="115"/>
          <w:sz w:val="24"/>
        </w:rPr>
        <w:t>Amphetamine-Induced Disorders</w:t>
      </w:r>
    </w:p>
    <w:p w:rsidR="00E675F0" w:rsidRDefault="00E675F0" w:rsidP="00E675F0">
      <w:pPr>
        <w:pStyle w:val="BodyText"/>
        <w:spacing w:after="1"/>
        <w:rPr>
          <w:rFonts w:ascii="TimesNewRomanPS-BoldItalicMT"/>
          <w:b/>
          <w:i/>
          <w:sz w:val="10"/>
        </w:rPr>
      </w:pPr>
    </w:p>
    <w:tbl>
      <w:tblPr>
        <w:tblW w:w="0" w:type="auto"/>
        <w:tblInd w:w="120" w:type="dxa"/>
        <w:tblLayout w:type="fixed"/>
        <w:tblCellMar>
          <w:left w:w="0" w:type="dxa"/>
          <w:right w:w="0" w:type="dxa"/>
        </w:tblCellMar>
        <w:tblLook w:val="01E0" w:firstRow="1" w:lastRow="1" w:firstColumn="1" w:lastColumn="1" w:noHBand="0" w:noVBand="0"/>
      </w:tblPr>
      <w:tblGrid>
        <w:gridCol w:w="776"/>
        <w:gridCol w:w="6831"/>
      </w:tblGrid>
      <w:tr w:rsidR="00E675F0" w:rsidTr="00A330E1">
        <w:trPr>
          <w:trHeight w:val="476"/>
        </w:trPr>
        <w:tc>
          <w:tcPr>
            <w:tcW w:w="776" w:type="dxa"/>
          </w:tcPr>
          <w:p w:rsidR="00E675F0" w:rsidRDefault="00E675F0" w:rsidP="00A330E1">
            <w:pPr>
              <w:pStyle w:val="TableParagraph"/>
              <w:spacing w:before="1"/>
              <w:ind w:left="54"/>
              <w:rPr>
                <w:b/>
                <w:sz w:val="20"/>
              </w:rPr>
            </w:pPr>
            <w:r>
              <w:rPr>
                <w:b/>
                <w:w w:val="110"/>
                <w:sz w:val="20"/>
              </w:rPr>
              <w:t>292.89</w:t>
            </w:r>
          </w:p>
        </w:tc>
        <w:tc>
          <w:tcPr>
            <w:tcW w:w="6831" w:type="dxa"/>
          </w:tcPr>
          <w:p w:rsidR="00E675F0" w:rsidRDefault="00E675F0" w:rsidP="00A330E1">
            <w:pPr>
              <w:pStyle w:val="TableParagraph"/>
              <w:spacing w:line="215" w:lineRule="exact"/>
              <w:ind w:left="109"/>
              <w:rPr>
                <w:sz w:val="19"/>
              </w:rPr>
            </w:pPr>
            <w:r>
              <w:rPr>
                <w:b/>
                <w:w w:val="110"/>
                <w:sz w:val="20"/>
              </w:rPr>
              <w:t xml:space="preserve">Amphetamine Intoxication </w:t>
            </w:r>
            <w:r>
              <w:rPr>
                <w:w w:val="110"/>
                <w:sz w:val="19"/>
              </w:rPr>
              <w:t>(see p. 207)</w:t>
            </w:r>
          </w:p>
          <w:p w:rsidR="00E675F0" w:rsidRDefault="00E675F0" w:rsidP="00A330E1">
            <w:pPr>
              <w:pStyle w:val="TableParagraph"/>
              <w:spacing w:line="242" w:lineRule="exact"/>
              <w:ind w:left="124"/>
              <w:rPr>
                <w:sz w:val="19"/>
              </w:rPr>
            </w:pPr>
            <w:r>
              <w:rPr>
                <w:i/>
                <w:w w:val="110"/>
                <w:sz w:val="20"/>
              </w:rPr>
              <w:t xml:space="preserve">Specify </w:t>
            </w:r>
            <w:r>
              <w:rPr>
                <w:rFonts w:ascii="Arial"/>
                <w:i/>
                <w:w w:val="110"/>
                <w:sz w:val="23"/>
              </w:rPr>
              <w:t xml:space="preserve">if </w:t>
            </w:r>
            <w:r>
              <w:rPr>
                <w:w w:val="110"/>
                <w:sz w:val="19"/>
              </w:rPr>
              <w:t>With Perceptual Disturbances</w:t>
            </w:r>
          </w:p>
        </w:tc>
      </w:tr>
      <w:tr w:rsidR="00E675F0" w:rsidTr="00A330E1">
        <w:trPr>
          <w:trHeight w:val="237"/>
        </w:trPr>
        <w:tc>
          <w:tcPr>
            <w:tcW w:w="776" w:type="dxa"/>
          </w:tcPr>
          <w:p w:rsidR="00E675F0" w:rsidRDefault="00E675F0" w:rsidP="00A330E1">
            <w:pPr>
              <w:pStyle w:val="TableParagraph"/>
              <w:spacing w:line="217" w:lineRule="exact"/>
              <w:ind w:left="50"/>
              <w:rPr>
                <w:b/>
                <w:sz w:val="20"/>
              </w:rPr>
            </w:pPr>
            <w:r>
              <w:rPr>
                <w:b/>
                <w:w w:val="110"/>
                <w:sz w:val="20"/>
              </w:rPr>
              <w:t>292.0</w:t>
            </w:r>
          </w:p>
        </w:tc>
        <w:tc>
          <w:tcPr>
            <w:tcW w:w="6831" w:type="dxa"/>
          </w:tcPr>
          <w:p w:rsidR="00E675F0" w:rsidRDefault="00E675F0" w:rsidP="00A330E1">
            <w:pPr>
              <w:pStyle w:val="TableParagraph"/>
              <w:spacing w:line="218" w:lineRule="exact"/>
              <w:ind w:left="109"/>
              <w:rPr>
                <w:sz w:val="19"/>
              </w:rPr>
            </w:pPr>
            <w:r>
              <w:rPr>
                <w:b/>
                <w:w w:val="110"/>
                <w:sz w:val="20"/>
              </w:rPr>
              <w:t xml:space="preserve">Amphetamine Withdrawal </w:t>
            </w:r>
            <w:r>
              <w:rPr>
                <w:w w:val="110"/>
                <w:sz w:val="19"/>
              </w:rPr>
              <w:t>(see p. 208)</w:t>
            </w:r>
          </w:p>
        </w:tc>
      </w:tr>
      <w:tr w:rsidR="00E675F0" w:rsidTr="00A330E1">
        <w:trPr>
          <w:trHeight w:val="240"/>
        </w:trPr>
        <w:tc>
          <w:tcPr>
            <w:tcW w:w="776" w:type="dxa"/>
          </w:tcPr>
          <w:p w:rsidR="00E675F0" w:rsidRDefault="00E675F0" w:rsidP="00A330E1">
            <w:pPr>
              <w:pStyle w:val="TableParagraph"/>
              <w:spacing w:before="3" w:line="217" w:lineRule="exact"/>
              <w:ind w:left="50"/>
              <w:rPr>
                <w:b/>
                <w:sz w:val="20"/>
              </w:rPr>
            </w:pPr>
            <w:r>
              <w:rPr>
                <w:b/>
                <w:w w:val="110"/>
                <w:sz w:val="20"/>
              </w:rPr>
              <w:t>292.81</w:t>
            </w:r>
          </w:p>
        </w:tc>
        <w:tc>
          <w:tcPr>
            <w:tcW w:w="6831" w:type="dxa"/>
          </w:tcPr>
          <w:p w:rsidR="00E675F0" w:rsidRDefault="00E675F0" w:rsidP="00A330E1">
            <w:pPr>
              <w:pStyle w:val="TableParagraph"/>
              <w:spacing w:line="220" w:lineRule="exact"/>
              <w:ind w:left="109"/>
              <w:rPr>
                <w:sz w:val="19"/>
              </w:rPr>
            </w:pPr>
            <w:r>
              <w:rPr>
                <w:b/>
                <w:w w:val="115"/>
                <w:sz w:val="20"/>
              </w:rPr>
              <w:t xml:space="preserve">Amphetamine Intoxication Delirium </w:t>
            </w:r>
            <w:r>
              <w:rPr>
                <w:w w:val="115"/>
                <w:sz w:val="19"/>
              </w:rPr>
              <w:t>(see p. 129)</w:t>
            </w:r>
          </w:p>
        </w:tc>
      </w:tr>
      <w:tr w:rsidR="00E675F0" w:rsidTr="00A330E1">
        <w:trPr>
          <w:trHeight w:val="481"/>
        </w:trPr>
        <w:tc>
          <w:tcPr>
            <w:tcW w:w="776" w:type="dxa"/>
          </w:tcPr>
          <w:p w:rsidR="00E675F0" w:rsidRDefault="00E675F0" w:rsidP="00A330E1">
            <w:pPr>
              <w:pStyle w:val="TableParagraph"/>
              <w:spacing w:before="3"/>
              <w:ind w:left="50"/>
              <w:rPr>
                <w:b/>
                <w:sz w:val="20"/>
              </w:rPr>
            </w:pPr>
            <w:r>
              <w:rPr>
                <w:b/>
                <w:w w:val="110"/>
                <w:sz w:val="20"/>
              </w:rPr>
              <w:t>292.11</w:t>
            </w:r>
          </w:p>
        </w:tc>
        <w:tc>
          <w:tcPr>
            <w:tcW w:w="6831" w:type="dxa"/>
          </w:tcPr>
          <w:p w:rsidR="00E675F0" w:rsidRDefault="00E675F0" w:rsidP="00A330E1">
            <w:pPr>
              <w:pStyle w:val="TableParagraph"/>
              <w:spacing w:line="219" w:lineRule="exact"/>
              <w:ind w:left="109"/>
              <w:rPr>
                <w:sz w:val="19"/>
              </w:rPr>
            </w:pPr>
            <w:r>
              <w:rPr>
                <w:b/>
                <w:w w:val="110"/>
                <w:sz w:val="20"/>
              </w:rPr>
              <w:t xml:space="preserve">Amphetamine-Induced Psychotic Disorder, With Delusions </w:t>
            </w:r>
            <w:r>
              <w:rPr>
                <w:w w:val="110"/>
                <w:sz w:val="19"/>
              </w:rPr>
              <w:t>(see p. 310)</w:t>
            </w:r>
          </w:p>
          <w:p w:rsidR="00E675F0" w:rsidRDefault="00E675F0" w:rsidP="00A330E1">
            <w:pPr>
              <w:pStyle w:val="TableParagraph"/>
              <w:spacing w:line="242" w:lineRule="exact"/>
              <w:ind w:left="124"/>
              <w:rPr>
                <w:sz w:val="19"/>
              </w:rPr>
            </w:pPr>
            <w:r>
              <w:rPr>
                <w:i/>
                <w:w w:val="110"/>
                <w:sz w:val="20"/>
              </w:rPr>
              <w:t xml:space="preserve">Spec(fy </w:t>
            </w:r>
            <w:r>
              <w:rPr>
                <w:rFonts w:ascii="Arial"/>
                <w:i/>
                <w:w w:val="110"/>
                <w:sz w:val="23"/>
              </w:rPr>
              <w:t xml:space="preserve">if </w:t>
            </w:r>
            <w:r>
              <w:rPr>
                <w:w w:val="110"/>
                <w:sz w:val="19"/>
              </w:rPr>
              <w:t>With Onset During Intoxication</w:t>
            </w:r>
          </w:p>
        </w:tc>
      </w:tr>
      <w:tr w:rsidR="00E675F0" w:rsidTr="00A330E1">
        <w:trPr>
          <w:trHeight w:val="490"/>
        </w:trPr>
        <w:tc>
          <w:tcPr>
            <w:tcW w:w="776" w:type="dxa"/>
          </w:tcPr>
          <w:p w:rsidR="00E675F0" w:rsidRDefault="00E675F0" w:rsidP="00A330E1">
            <w:pPr>
              <w:pStyle w:val="TableParagraph"/>
              <w:spacing w:before="3"/>
              <w:ind w:left="54"/>
              <w:rPr>
                <w:b/>
                <w:sz w:val="20"/>
              </w:rPr>
            </w:pPr>
            <w:r>
              <w:rPr>
                <w:b/>
                <w:w w:val="110"/>
                <w:sz w:val="20"/>
              </w:rPr>
              <w:t>292.12</w:t>
            </w:r>
          </w:p>
        </w:tc>
        <w:tc>
          <w:tcPr>
            <w:tcW w:w="6831" w:type="dxa"/>
          </w:tcPr>
          <w:p w:rsidR="00E675F0" w:rsidRDefault="00E675F0" w:rsidP="00A330E1">
            <w:pPr>
              <w:pStyle w:val="TableParagraph"/>
              <w:spacing w:line="224" w:lineRule="exact"/>
              <w:ind w:left="109"/>
              <w:rPr>
                <w:b/>
                <w:sz w:val="20"/>
              </w:rPr>
            </w:pPr>
            <w:r>
              <w:rPr>
                <w:b/>
                <w:w w:val="110"/>
                <w:sz w:val="20"/>
              </w:rPr>
              <w:t>Amphetamine-Induced Psychotic Disorder, With Hallucinations</w:t>
            </w:r>
          </w:p>
          <w:p w:rsidR="00E675F0" w:rsidRDefault="00E675F0" w:rsidP="00A330E1">
            <w:pPr>
              <w:pStyle w:val="TableParagraph"/>
              <w:spacing w:line="247" w:lineRule="exact"/>
              <w:ind w:left="112"/>
              <w:rPr>
                <w:sz w:val="19"/>
              </w:rPr>
            </w:pPr>
            <w:r>
              <w:rPr>
                <w:w w:val="110"/>
                <w:sz w:val="19"/>
              </w:rPr>
              <w:t xml:space="preserve">(seep. 310) </w:t>
            </w:r>
            <w:r>
              <w:rPr>
                <w:i/>
                <w:w w:val="110"/>
                <w:sz w:val="20"/>
              </w:rPr>
              <w:t xml:space="preserve">Specify </w:t>
            </w:r>
            <w:r>
              <w:rPr>
                <w:rFonts w:ascii="Arial"/>
                <w:i/>
                <w:w w:val="110"/>
                <w:sz w:val="23"/>
              </w:rPr>
              <w:t xml:space="preserve">if </w:t>
            </w:r>
            <w:r>
              <w:rPr>
                <w:w w:val="110"/>
                <w:sz w:val="19"/>
              </w:rPr>
              <w:t>With Onset During Intoxication</w:t>
            </w:r>
          </w:p>
        </w:tc>
      </w:tr>
      <w:tr w:rsidR="00E675F0" w:rsidTr="00A330E1">
        <w:trPr>
          <w:trHeight w:val="490"/>
        </w:trPr>
        <w:tc>
          <w:tcPr>
            <w:tcW w:w="776" w:type="dxa"/>
          </w:tcPr>
          <w:p w:rsidR="00E675F0" w:rsidRDefault="00E675F0" w:rsidP="00A330E1">
            <w:pPr>
              <w:pStyle w:val="TableParagraph"/>
              <w:spacing w:before="3"/>
              <w:ind w:left="54"/>
              <w:rPr>
                <w:b/>
                <w:sz w:val="20"/>
              </w:rPr>
            </w:pPr>
            <w:r>
              <w:rPr>
                <w:b/>
                <w:w w:val="110"/>
                <w:sz w:val="20"/>
              </w:rPr>
              <w:t>292.84</w:t>
            </w:r>
          </w:p>
        </w:tc>
        <w:tc>
          <w:tcPr>
            <w:tcW w:w="6831" w:type="dxa"/>
          </w:tcPr>
          <w:p w:rsidR="00E675F0" w:rsidRDefault="00E675F0" w:rsidP="00A330E1">
            <w:pPr>
              <w:pStyle w:val="TableParagraph"/>
              <w:spacing w:line="224" w:lineRule="exact"/>
              <w:ind w:left="109"/>
              <w:rPr>
                <w:sz w:val="19"/>
              </w:rPr>
            </w:pPr>
            <w:r>
              <w:rPr>
                <w:b/>
                <w:w w:val="110"/>
                <w:sz w:val="20"/>
              </w:rPr>
              <w:t xml:space="preserve">Amphetamine-Induced Mood Disorder </w:t>
            </w:r>
            <w:r>
              <w:rPr>
                <w:w w:val="110"/>
                <w:sz w:val="19"/>
              </w:rPr>
              <w:t>(see p. 370)</w:t>
            </w:r>
          </w:p>
          <w:p w:rsidR="00E675F0" w:rsidRDefault="00E675F0" w:rsidP="00A330E1">
            <w:pPr>
              <w:pStyle w:val="TableParagraph"/>
              <w:spacing w:line="247" w:lineRule="exact"/>
              <w:ind w:left="128"/>
              <w:rPr>
                <w:sz w:val="19"/>
              </w:rPr>
            </w:pPr>
            <w:r>
              <w:rPr>
                <w:i/>
                <w:w w:val="110"/>
                <w:sz w:val="20"/>
              </w:rPr>
              <w:t xml:space="preserve">Specify </w:t>
            </w:r>
            <w:r>
              <w:rPr>
                <w:rFonts w:ascii="Arial"/>
                <w:i/>
                <w:w w:val="110"/>
                <w:sz w:val="23"/>
              </w:rPr>
              <w:t xml:space="preserve">if </w:t>
            </w:r>
            <w:r>
              <w:rPr>
                <w:w w:val="110"/>
                <w:sz w:val="19"/>
              </w:rPr>
              <w:t>With Onset During Intoxication/With Onset During Withdrawal</w:t>
            </w:r>
          </w:p>
        </w:tc>
      </w:tr>
      <w:tr w:rsidR="00E675F0" w:rsidTr="00A330E1">
        <w:trPr>
          <w:trHeight w:val="490"/>
        </w:trPr>
        <w:tc>
          <w:tcPr>
            <w:tcW w:w="776" w:type="dxa"/>
          </w:tcPr>
          <w:p w:rsidR="00E675F0" w:rsidRDefault="00E675F0" w:rsidP="00A330E1">
            <w:pPr>
              <w:pStyle w:val="TableParagraph"/>
              <w:spacing w:before="8"/>
              <w:ind w:left="54"/>
              <w:rPr>
                <w:b/>
                <w:sz w:val="20"/>
              </w:rPr>
            </w:pPr>
            <w:r>
              <w:rPr>
                <w:b/>
                <w:w w:val="110"/>
                <w:sz w:val="20"/>
              </w:rPr>
              <w:t>292.89</w:t>
            </w:r>
          </w:p>
        </w:tc>
        <w:tc>
          <w:tcPr>
            <w:tcW w:w="6831" w:type="dxa"/>
          </w:tcPr>
          <w:p w:rsidR="00E675F0" w:rsidRDefault="00E675F0" w:rsidP="00A330E1">
            <w:pPr>
              <w:pStyle w:val="TableParagraph"/>
              <w:spacing w:line="224" w:lineRule="exact"/>
              <w:ind w:left="109"/>
              <w:rPr>
                <w:sz w:val="19"/>
              </w:rPr>
            </w:pPr>
            <w:r>
              <w:rPr>
                <w:b/>
                <w:w w:val="110"/>
                <w:sz w:val="20"/>
              </w:rPr>
              <w:t xml:space="preserve">Amphetamine-Induced Anxiety Disorder </w:t>
            </w:r>
            <w:r>
              <w:rPr>
                <w:w w:val="110"/>
                <w:sz w:val="19"/>
              </w:rPr>
              <w:t>(see p. 439)</w:t>
            </w:r>
          </w:p>
          <w:p w:rsidR="00E675F0" w:rsidRDefault="00E675F0" w:rsidP="00A330E1">
            <w:pPr>
              <w:pStyle w:val="TableParagraph"/>
              <w:spacing w:line="247" w:lineRule="exact"/>
              <w:ind w:left="128"/>
              <w:rPr>
                <w:sz w:val="19"/>
              </w:rPr>
            </w:pPr>
            <w:r>
              <w:rPr>
                <w:i/>
                <w:w w:val="110"/>
                <w:sz w:val="20"/>
              </w:rPr>
              <w:t xml:space="preserve">Specify </w:t>
            </w:r>
            <w:r>
              <w:rPr>
                <w:rFonts w:ascii="Arial"/>
                <w:i/>
                <w:w w:val="110"/>
                <w:sz w:val="23"/>
              </w:rPr>
              <w:t xml:space="preserve">if </w:t>
            </w:r>
            <w:r>
              <w:rPr>
                <w:w w:val="110"/>
                <w:sz w:val="19"/>
              </w:rPr>
              <w:t>With Onset During Intoxication</w:t>
            </w:r>
          </w:p>
        </w:tc>
      </w:tr>
      <w:tr w:rsidR="00E675F0" w:rsidTr="00A330E1">
        <w:trPr>
          <w:trHeight w:val="485"/>
        </w:trPr>
        <w:tc>
          <w:tcPr>
            <w:tcW w:w="776" w:type="dxa"/>
          </w:tcPr>
          <w:p w:rsidR="00E675F0" w:rsidRDefault="00E675F0" w:rsidP="00A330E1">
            <w:pPr>
              <w:pStyle w:val="TableParagraph"/>
              <w:spacing w:before="8"/>
              <w:ind w:left="54"/>
              <w:rPr>
                <w:b/>
                <w:sz w:val="20"/>
              </w:rPr>
            </w:pPr>
            <w:r>
              <w:rPr>
                <w:b/>
                <w:w w:val="110"/>
                <w:sz w:val="20"/>
              </w:rPr>
              <w:t>292.89</w:t>
            </w:r>
          </w:p>
        </w:tc>
        <w:tc>
          <w:tcPr>
            <w:tcW w:w="6831" w:type="dxa"/>
          </w:tcPr>
          <w:p w:rsidR="00E675F0" w:rsidRDefault="00E675F0" w:rsidP="00A330E1">
            <w:pPr>
              <w:pStyle w:val="TableParagraph"/>
              <w:spacing w:line="221" w:lineRule="exact"/>
              <w:ind w:left="109"/>
              <w:rPr>
                <w:sz w:val="19"/>
              </w:rPr>
            </w:pPr>
            <w:r>
              <w:rPr>
                <w:b/>
                <w:w w:val="110"/>
                <w:sz w:val="20"/>
              </w:rPr>
              <w:t xml:space="preserve">Amphetamine-Induced Sexual Dysfunction </w:t>
            </w:r>
            <w:r>
              <w:rPr>
                <w:w w:val="110"/>
                <w:sz w:val="19"/>
              </w:rPr>
              <w:t>(see p. 519)</w:t>
            </w:r>
          </w:p>
          <w:p w:rsidR="00E675F0" w:rsidRDefault="00E675F0" w:rsidP="00A330E1">
            <w:pPr>
              <w:pStyle w:val="TableParagraph"/>
              <w:spacing w:line="244" w:lineRule="exact"/>
              <w:ind w:left="128"/>
              <w:rPr>
                <w:sz w:val="19"/>
              </w:rPr>
            </w:pPr>
            <w:r>
              <w:rPr>
                <w:i/>
                <w:w w:val="110"/>
                <w:sz w:val="20"/>
              </w:rPr>
              <w:t xml:space="preserve">Specify </w:t>
            </w:r>
            <w:r>
              <w:rPr>
                <w:rFonts w:ascii="Arial"/>
                <w:i/>
                <w:w w:val="110"/>
                <w:sz w:val="23"/>
              </w:rPr>
              <w:t xml:space="preserve">if </w:t>
            </w:r>
            <w:r>
              <w:rPr>
                <w:w w:val="110"/>
                <w:sz w:val="19"/>
              </w:rPr>
              <w:t>With Onset During Intoxication</w:t>
            </w:r>
          </w:p>
        </w:tc>
      </w:tr>
      <w:tr w:rsidR="00E675F0" w:rsidTr="00A330E1">
        <w:trPr>
          <w:trHeight w:val="608"/>
        </w:trPr>
        <w:tc>
          <w:tcPr>
            <w:tcW w:w="776" w:type="dxa"/>
          </w:tcPr>
          <w:p w:rsidR="00E675F0" w:rsidRDefault="00E675F0" w:rsidP="00A330E1">
            <w:pPr>
              <w:pStyle w:val="TableParagraph"/>
              <w:spacing w:before="8"/>
              <w:ind w:left="54"/>
              <w:rPr>
                <w:b/>
                <w:sz w:val="20"/>
              </w:rPr>
            </w:pPr>
            <w:r>
              <w:rPr>
                <w:b/>
                <w:w w:val="110"/>
                <w:sz w:val="20"/>
              </w:rPr>
              <w:t>292.89</w:t>
            </w:r>
          </w:p>
        </w:tc>
        <w:tc>
          <w:tcPr>
            <w:tcW w:w="6831" w:type="dxa"/>
          </w:tcPr>
          <w:p w:rsidR="00E675F0" w:rsidRDefault="00E675F0" w:rsidP="00A330E1">
            <w:pPr>
              <w:pStyle w:val="TableParagraph"/>
              <w:spacing w:line="221" w:lineRule="exact"/>
              <w:ind w:left="109"/>
              <w:rPr>
                <w:sz w:val="19"/>
              </w:rPr>
            </w:pPr>
            <w:r>
              <w:rPr>
                <w:b/>
                <w:w w:val="110"/>
                <w:sz w:val="20"/>
              </w:rPr>
              <w:t xml:space="preserve">Amphetamine-Induced Sleep Disorder </w:t>
            </w:r>
            <w:r>
              <w:rPr>
                <w:w w:val="110"/>
                <w:sz w:val="19"/>
              </w:rPr>
              <w:t>(see p. 601)</w:t>
            </w:r>
          </w:p>
          <w:p w:rsidR="00E675F0" w:rsidRDefault="00E675F0" w:rsidP="00A330E1">
            <w:pPr>
              <w:pStyle w:val="TableParagraph"/>
              <w:spacing w:line="258" w:lineRule="exact"/>
              <w:ind w:left="128"/>
              <w:rPr>
                <w:sz w:val="19"/>
              </w:rPr>
            </w:pPr>
            <w:r>
              <w:rPr>
                <w:i/>
                <w:w w:val="110"/>
                <w:sz w:val="20"/>
              </w:rPr>
              <w:t xml:space="preserve">Specify </w:t>
            </w:r>
            <w:r>
              <w:rPr>
                <w:rFonts w:ascii="Arial"/>
                <w:i/>
                <w:w w:val="110"/>
                <w:sz w:val="23"/>
              </w:rPr>
              <w:t xml:space="preserve">if </w:t>
            </w:r>
            <w:r>
              <w:rPr>
                <w:w w:val="110"/>
                <w:sz w:val="19"/>
              </w:rPr>
              <w:t>With Onset During Intoxication/With Onset During Withdrawal</w:t>
            </w:r>
          </w:p>
        </w:tc>
      </w:tr>
      <w:tr w:rsidR="00E675F0" w:rsidTr="00A330E1">
        <w:trPr>
          <w:trHeight w:val="365"/>
        </w:trPr>
        <w:tc>
          <w:tcPr>
            <w:tcW w:w="776" w:type="dxa"/>
          </w:tcPr>
          <w:p w:rsidR="00E675F0" w:rsidRDefault="00E675F0" w:rsidP="00A330E1">
            <w:pPr>
              <w:pStyle w:val="TableParagraph"/>
              <w:spacing w:before="135" w:line="210" w:lineRule="exact"/>
              <w:ind w:left="59"/>
              <w:rPr>
                <w:b/>
                <w:sz w:val="20"/>
              </w:rPr>
            </w:pPr>
            <w:r>
              <w:rPr>
                <w:b/>
                <w:w w:val="110"/>
                <w:sz w:val="20"/>
              </w:rPr>
              <w:t>292.9</w:t>
            </w:r>
          </w:p>
        </w:tc>
        <w:tc>
          <w:tcPr>
            <w:tcW w:w="6831" w:type="dxa"/>
          </w:tcPr>
          <w:p w:rsidR="00E675F0" w:rsidRDefault="00E675F0" w:rsidP="00A330E1">
            <w:pPr>
              <w:pStyle w:val="TableParagraph"/>
              <w:spacing w:before="121" w:line="224" w:lineRule="exact"/>
              <w:ind w:left="114"/>
              <w:rPr>
                <w:sz w:val="19"/>
              </w:rPr>
            </w:pPr>
            <w:r>
              <w:rPr>
                <w:b/>
                <w:w w:val="110"/>
                <w:sz w:val="20"/>
              </w:rPr>
              <w:t xml:space="preserve">Amphetamine-Related Disorder Not Otherwise Specified </w:t>
            </w:r>
            <w:r>
              <w:rPr>
                <w:w w:val="110"/>
                <w:sz w:val="19"/>
              </w:rPr>
              <w:t>(see p. 211)</w:t>
            </w:r>
          </w:p>
        </w:tc>
      </w:tr>
    </w:tbl>
    <w:p w:rsidR="00E675F0" w:rsidRDefault="00E675F0" w:rsidP="00E675F0">
      <w:pPr>
        <w:spacing w:line="224" w:lineRule="exact"/>
        <w:rPr>
          <w:sz w:val="19"/>
        </w:rPr>
        <w:sectPr w:rsidR="00E675F0">
          <w:headerReference w:type="even" r:id="rId181"/>
          <w:headerReference w:type="default" r:id="rId182"/>
          <w:pgSz w:w="8960" w:h="14260"/>
          <w:pgMar w:top="1400" w:right="520" w:bottom="280" w:left="600" w:header="704" w:footer="0" w:gutter="0"/>
          <w:pgNumType w:start="205"/>
          <w:cols w:space="720"/>
        </w:sectPr>
      </w:pPr>
    </w:p>
    <w:p w:rsidR="00E675F0" w:rsidRDefault="00E675F0" w:rsidP="00E675F0">
      <w:pPr>
        <w:spacing w:before="149"/>
        <w:ind w:left="1916"/>
        <w:rPr>
          <w:rFonts w:ascii="TimesNewRomanPS-BoldItalicMT"/>
          <w:b/>
          <w:i/>
          <w:sz w:val="28"/>
        </w:rPr>
      </w:pPr>
      <w:bookmarkStart w:id="130" w:name="_bookmark111"/>
      <w:bookmarkEnd w:id="130"/>
      <w:r>
        <w:rPr>
          <w:rFonts w:ascii="TimesNewRomanPS-BoldItalicMT"/>
          <w:b/>
          <w:i/>
          <w:w w:val="115"/>
          <w:sz w:val="28"/>
        </w:rPr>
        <w:lastRenderedPageBreak/>
        <w:t>Amphetamine Use Disorders</w:t>
      </w:r>
    </w:p>
    <w:p w:rsidR="00E675F0" w:rsidRDefault="00E675F0" w:rsidP="00E675F0">
      <w:pPr>
        <w:tabs>
          <w:tab w:val="left" w:pos="2665"/>
        </w:tabs>
        <w:spacing w:before="180"/>
        <w:ind w:left="1602"/>
        <w:rPr>
          <w:rFonts w:ascii="Arial"/>
          <w:b/>
          <w:sz w:val="25"/>
        </w:rPr>
      </w:pPr>
      <w:r>
        <w:rPr>
          <w:rFonts w:ascii="Arial"/>
          <w:b/>
          <w:w w:val="110"/>
          <w:sz w:val="25"/>
        </w:rPr>
        <w:t>304.40</w:t>
      </w:r>
      <w:r>
        <w:rPr>
          <w:rFonts w:ascii="Arial"/>
          <w:b/>
          <w:w w:val="110"/>
          <w:sz w:val="25"/>
        </w:rPr>
        <w:tab/>
        <w:t>Amphetamine</w:t>
      </w:r>
      <w:r>
        <w:rPr>
          <w:rFonts w:ascii="Arial"/>
          <w:b/>
          <w:spacing w:val="4"/>
          <w:w w:val="110"/>
          <w:sz w:val="25"/>
        </w:rPr>
        <w:t xml:space="preserve"> </w:t>
      </w:r>
      <w:r>
        <w:rPr>
          <w:rFonts w:ascii="Arial"/>
          <w:b/>
          <w:w w:val="110"/>
          <w:sz w:val="25"/>
        </w:rPr>
        <w:t>Dependence</w:t>
      </w:r>
    </w:p>
    <w:p w:rsidR="00E675F0" w:rsidRDefault="00E675F0" w:rsidP="00E675F0">
      <w:pPr>
        <w:pStyle w:val="BodyText"/>
        <w:spacing w:before="2"/>
        <w:rPr>
          <w:rFonts w:ascii="Arial"/>
          <w:b/>
          <w:sz w:val="25"/>
        </w:rPr>
      </w:pPr>
    </w:p>
    <w:p w:rsidR="00E675F0" w:rsidRDefault="00E675F0" w:rsidP="00E675F0">
      <w:pPr>
        <w:pStyle w:val="BodyText"/>
        <w:spacing w:line="254" w:lineRule="auto"/>
        <w:ind w:left="113" w:right="114"/>
        <w:jc w:val="both"/>
      </w:pPr>
      <w:r>
        <w:rPr>
          <w:w w:val="105"/>
        </w:rPr>
        <w:t>Also refer to the text and criteria for Substance Dependence  (see p. 176). The  patterns of use and course of Amphetamine Dependence are similar to those of Cocaine Dependence because both substances are potent central nervous system stimulants with similar psychoactive and sympathomimetic effects. However, amphetamines are longer acting than cocaine and thus are usually self-administered less frequently. As with Cocaine Dependence, usage may be chronic or episodic, with binges ("speed runs") punctuated by brief drug-free periods. Aggressive or violent behavior is associated with Amphetamine Dependence, especially when high doses are smoked (e.g., "ice") or administered intravenously. As with cocaine, intense but temporary anxiety, as well as paranoid ideation and psychotic episodes that resemble Schizophrenia, Paranoid Type, are often seen, especially in association with high-dose use. Tolerance to amphetamines develops and often leads to substantial escalation of the dose. Conversely, some individuals with Amphetamine Dependence  develop reverse tolerance (sensitization).  In these cases, small doses may produce marked stimulant  and other adverse  mental and neurological</w:t>
      </w:r>
      <w:r>
        <w:rPr>
          <w:spacing w:val="41"/>
          <w:w w:val="105"/>
        </w:rPr>
        <w:t xml:space="preserve"> </w:t>
      </w:r>
      <w:r>
        <w:rPr>
          <w:w w:val="105"/>
        </w:rPr>
        <w:t>effects.</w:t>
      </w:r>
    </w:p>
    <w:p w:rsidR="00E675F0" w:rsidRDefault="00E675F0" w:rsidP="00E675F0">
      <w:pPr>
        <w:pStyle w:val="BodyText"/>
        <w:rPr>
          <w:sz w:val="22"/>
        </w:rPr>
      </w:pPr>
    </w:p>
    <w:p w:rsidR="00E675F0" w:rsidRDefault="00E675F0" w:rsidP="00E675F0">
      <w:pPr>
        <w:spacing w:before="158"/>
        <w:ind w:left="106"/>
        <w:rPr>
          <w:rFonts w:ascii="TimesNewRomanPS-BoldItalicMT"/>
          <w:b/>
          <w:i/>
          <w:sz w:val="24"/>
        </w:rPr>
      </w:pPr>
      <w:r>
        <w:rPr>
          <w:rFonts w:ascii="TimesNewRomanPS-BoldItalicMT"/>
          <w:b/>
          <w:i/>
          <w:w w:val="115"/>
          <w:sz w:val="24"/>
        </w:rPr>
        <w:t>Specifiers</w:t>
      </w:r>
    </w:p>
    <w:p w:rsidR="00E675F0" w:rsidRDefault="00E675F0" w:rsidP="00E675F0">
      <w:pPr>
        <w:pStyle w:val="BodyText"/>
        <w:spacing w:before="151" w:line="252" w:lineRule="auto"/>
        <w:ind w:left="116" w:right="220" w:hanging="3"/>
      </w:pPr>
      <w:r>
        <w:rPr>
          <w:w w:val="105"/>
        </w:rPr>
        <w:t>The following specifiers may be applied to a diagnosis of Amphetamine Dependence (see p. 179 for more details):</w:t>
      </w:r>
    </w:p>
    <w:p w:rsidR="00E675F0" w:rsidRDefault="00E675F0" w:rsidP="00E675F0">
      <w:pPr>
        <w:spacing w:before="60" w:line="261" w:lineRule="auto"/>
        <w:ind w:left="714" w:right="3650"/>
        <w:rPr>
          <w:b/>
          <w:sz w:val="20"/>
        </w:rPr>
      </w:pPr>
      <w:r>
        <w:rPr>
          <w:b/>
          <w:w w:val="110"/>
          <w:sz w:val="20"/>
        </w:rPr>
        <w:t>With Physiological Dependence Without Physiological Dependence</w:t>
      </w:r>
    </w:p>
    <w:p w:rsidR="00E675F0" w:rsidRDefault="00E675F0" w:rsidP="00E675F0">
      <w:pPr>
        <w:spacing w:before="46" w:line="247" w:lineRule="auto"/>
        <w:ind w:left="720" w:right="4518" w:hanging="4"/>
        <w:rPr>
          <w:b/>
          <w:sz w:val="20"/>
        </w:rPr>
      </w:pPr>
      <w:r>
        <w:rPr>
          <w:b/>
          <w:w w:val="110"/>
          <w:sz w:val="20"/>
        </w:rPr>
        <w:t>Early Full Remission Early Partial Remission Sustained Full Remission</w:t>
      </w:r>
    </w:p>
    <w:p w:rsidR="00E675F0" w:rsidRDefault="00E675F0" w:rsidP="00E675F0">
      <w:pPr>
        <w:spacing w:before="1" w:line="252" w:lineRule="auto"/>
        <w:ind w:left="723" w:right="4190" w:hanging="3"/>
        <w:rPr>
          <w:b/>
          <w:sz w:val="20"/>
        </w:rPr>
      </w:pPr>
      <w:r>
        <w:rPr>
          <w:b/>
          <w:w w:val="110"/>
          <w:sz w:val="20"/>
        </w:rPr>
        <w:t>Sustained Partial Remission On Agonist Therapy</w:t>
      </w:r>
    </w:p>
    <w:p w:rsidR="00E675F0" w:rsidRDefault="00E675F0" w:rsidP="00E675F0">
      <w:pPr>
        <w:spacing w:before="3"/>
        <w:ind w:left="722"/>
        <w:rPr>
          <w:b/>
          <w:sz w:val="20"/>
        </w:rPr>
      </w:pPr>
      <w:r>
        <w:rPr>
          <w:b/>
          <w:w w:val="110"/>
          <w:sz w:val="20"/>
        </w:rPr>
        <w:t>In a Controlled Environment</w:t>
      </w:r>
    </w:p>
    <w:p w:rsidR="00E675F0" w:rsidRDefault="00E675F0" w:rsidP="00E675F0">
      <w:pPr>
        <w:pStyle w:val="BodyText"/>
        <w:rPr>
          <w:b/>
          <w:sz w:val="22"/>
        </w:rPr>
      </w:pPr>
    </w:p>
    <w:p w:rsidR="00E675F0" w:rsidRDefault="00E675F0" w:rsidP="00E675F0">
      <w:pPr>
        <w:pStyle w:val="BodyText"/>
        <w:spacing w:before="3"/>
        <w:rPr>
          <w:b/>
          <w:sz w:val="25"/>
        </w:rPr>
      </w:pPr>
    </w:p>
    <w:p w:rsidR="00E675F0" w:rsidRDefault="00E675F0" w:rsidP="00E675F0">
      <w:pPr>
        <w:tabs>
          <w:tab w:val="left" w:pos="3093"/>
        </w:tabs>
        <w:ind w:left="2020"/>
        <w:rPr>
          <w:rFonts w:ascii="Arial"/>
          <w:b/>
          <w:sz w:val="25"/>
        </w:rPr>
      </w:pPr>
      <w:r>
        <w:rPr>
          <w:rFonts w:ascii="Arial"/>
          <w:b/>
          <w:w w:val="105"/>
          <w:sz w:val="25"/>
        </w:rPr>
        <w:t>305.70</w:t>
      </w:r>
      <w:r>
        <w:rPr>
          <w:rFonts w:ascii="Arial"/>
          <w:b/>
          <w:w w:val="105"/>
          <w:sz w:val="25"/>
        </w:rPr>
        <w:tab/>
        <w:t>Amphetamine</w:t>
      </w:r>
      <w:r>
        <w:rPr>
          <w:rFonts w:ascii="Arial"/>
          <w:b/>
          <w:spacing w:val="18"/>
          <w:w w:val="105"/>
          <w:sz w:val="25"/>
        </w:rPr>
        <w:t xml:space="preserve"> </w:t>
      </w:r>
      <w:r>
        <w:rPr>
          <w:rFonts w:ascii="Arial"/>
          <w:b/>
          <w:w w:val="105"/>
          <w:sz w:val="25"/>
        </w:rPr>
        <w:t>Abuse</w:t>
      </w:r>
    </w:p>
    <w:p w:rsidR="00E675F0" w:rsidRDefault="00E675F0" w:rsidP="00E675F0">
      <w:pPr>
        <w:pStyle w:val="BodyText"/>
        <w:spacing w:before="2"/>
        <w:rPr>
          <w:rFonts w:ascii="Arial"/>
          <w:b/>
          <w:sz w:val="25"/>
        </w:rPr>
      </w:pPr>
    </w:p>
    <w:p w:rsidR="00E675F0" w:rsidRDefault="00E675F0" w:rsidP="00E675F0">
      <w:pPr>
        <w:pStyle w:val="BodyText"/>
        <w:spacing w:line="254" w:lineRule="auto"/>
        <w:ind w:left="109" w:right="120" w:firstLine="4"/>
        <w:jc w:val="both"/>
      </w:pPr>
      <w:r>
        <w:rPr>
          <w:w w:val="105"/>
        </w:rPr>
        <w:t>Also refer to the text and criteria for Substance Abuse (see p. 182). Legal difficulties typically arise as a result of behavior while intoxicated with amphetamines (especially aggressive behavior), as a consequence  of obtaining  the drug on the illegal market, or as</w:t>
      </w:r>
      <w:r>
        <w:rPr>
          <w:spacing w:val="-15"/>
          <w:w w:val="105"/>
        </w:rPr>
        <w:t xml:space="preserve"> </w:t>
      </w:r>
      <w:r>
        <w:rPr>
          <w:w w:val="105"/>
        </w:rPr>
        <w:t>a</w:t>
      </w:r>
      <w:r>
        <w:rPr>
          <w:spacing w:val="-5"/>
          <w:w w:val="105"/>
        </w:rPr>
        <w:t xml:space="preserve"> </w:t>
      </w:r>
      <w:r>
        <w:rPr>
          <w:w w:val="105"/>
        </w:rPr>
        <w:t>result</w:t>
      </w:r>
      <w:r>
        <w:rPr>
          <w:spacing w:val="-10"/>
          <w:w w:val="105"/>
        </w:rPr>
        <w:t xml:space="preserve"> </w:t>
      </w:r>
      <w:r>
        <w:rPr>
          <w:w w:val="105"/>
        </w:rPr>
        <w:t>of</w:t>
      </w:r>
      <w:r>
        <w:rPr>
          <w:spacing w:val="-10"/>
          <w:w w:val="105"/>
        </w:rPr>
        <w:t xml:space="preserve"> </w:t>
      </w:r>
      <w:r>
        <w:rPr>
          <w:w w:val="105"/>
        </w:rPr>
        <w:t>drug</w:t>
      </w:r>
      <w:r>
        <w:rPr>
          <w:spacing w:val="-3"/>
          <w:w w:val="105"/>
        </w:rPr>
        <w:t xml:space="preserve"> </w:t>
      </w:r>
      <w:r>
        <w:rPr>
          <w:w w:val="105"/>
        </w:rPr>
        <w:t>possession</w:t>
      </w:r>
      <w:r>
        <w:rPr>
          <w:spacing w:val="1"/>
          <w:w w:val="105"/>
        </w:rPr>
        <w:t xml:space="preserve"> </w:t>
      </w:r>
      <w:r>
        <w:rPr>
          <w:w w:val="105"/>
        </w:rPr>
        <w:t>or</w:t>
      </w:r>
      <w:r>
        <w:rPr>
          <w:spacing w:val="-4"/>
          <w:w w:val="105"/>
        </w:rPr>
        <w:t xml:space="preserve"> </w:t>
      </w:r>
      <w:r>
        <w:rPr>
          <w:w w:val="105"/>
        </w:rPr>
        <w:t>use.</w:t>
      </w:r>
      <w:r>
        <w:rPr>
          <w:spacing w:val="-12"/>
          <w:w w:val="105"/>
        </w:rPr>
        <w:t xml:space="preserve"> </w:t>
      </w:r>
      <w:r>
        <w:rPr>
          <w:w w:val="105"/>
        </w:rPr>
        <w:t>Occasionally,</w:t>
      </w:r>
      <w:r>
        <w:rPr>
          <w:spacing w:val="3"/>
          <w:w w:val="105"/>
        </w:rPr>
        <w:t xml:space="preserve"> </w:t>
      </w:r>
      <w:r>
        <w:rPr>
          <w:w w:val="105"/>
        </w:rPr>
        <w:t>individuals</w:t>
      </w:r>
      <w:r>
        <w:rPr>
          <w:spacing w:val="-6"/>
          <w:w w:val="105"/>
        </w:rPr>
        <w:t xml:space="preserve"> </w:t>
      </w:r>
      <w:r>
        <w:rPr>
          <w:w w:val="105"/>
        </w:rPr>
        <w:t>with</w:t>
      </w:r>
      <w:r>
        <w:rPr>
          <w:spacing w:val="-9"/>
          <w:w w:val="105"/>
        </w:rPr>
        <w:t xml:space="preserve"> </w:t>
      </w:r>
      <w:r>
        <w:rPr>
          <w:w w:val="105"/>
        </w:rPr>
        <w:t>Amphetamine</w:t>
      </w:r>
      <w:r>
        <w:rPr>
          <w:spacing w:val="-7"/>
          <w:w w:val="105"/>
        </w:rPr>
        <w:t xml:space="preserve"> </w:t>
      </w:r>
      <w:r>
        <w:rPr>
          <w:w w:val="105"/>
        </w:rPr>
        <w:t>Abuse will engage in illegal acts (e.g., manufacturing amphetamines, theft) to obtain the drug; however, this behavior is more common among those with Dependence. Individuals  may continue to use the substance despite the knowledge that continued use results in arguments</w:t>
      </w:r>
      <w:r>
        <w:rPr>
          <w:spacing w:val="-3"/>
          <w:w w:val="105"/>
        </w:rPr>
        <w:t xml:space="preserve"> </w:t>
      </w:r>
      <w:r>
        <w:rPr>
          <w:w w:val="105"/>
        </w:rPr>
        <w:t>with</w:t>
      </w:r>
      <w:r>
        <w:rPr>
          <w:spacing w:val="-8"/>
          <w:w w:val="105"/>
        </w:rPr>
        <w:t xml:space="preserve"> </w:t>
      </w:r>
      <w:r>
        <w:rPr>
          <w:w w:val="105"/>
        </w:rPr>
        <w:t>family</w:t>
      </w:r>
      <w:r>
        <w:rPr>
          <w:spacing w:val="-8"/>
          <w:w w:val="105"/>
        </w:rPr>
        <w:t xml:space="preserve"> </w:t>
      </w:r>
      <w:r>
        <w:rPr>
          <w:w w:val="105"/>
        </w:rPr>
        <w:t>members</w:t>
      </w:r>
      <w:r>
        <w:rPr>
          <w:spacing w:val="-4"/>
          <w:w w:val="105"/>
        </w:rPr>
        <w:t xml:space="preserve"> </w:t>
      </w:r>
      <w:r>
        <w:rPr>
          <w:w w:val="105"/>
        </w:rPr>
        <w:t>while</w:t>
      </w:r>
      <w:r>
        <w:rPr>
          <w:spacing w:val="-8"/>
          <w:w w:val="105"/>
        </w:rPr>
        <w:t xml:space="preserve"> </w:t>
      </w:r>
      <w:r>
        <w:rPr>
          <w:w w:val="105"/>
        </w:rPr>
        <w:t>the</w:t>
      </w:r>
      <w:r>
        <w:rPr>
          <w:spacing w:val="-14"/>
          <w:w w:val="105"/>
        </w:rPr>
        <w:t xml:space="preserve"> </w:t>
      </w:r>
      <w:r>
        <w:rPr>
          <w:w w:val="105"/>
        </w:rPr>
        <w:t>individual</w:t>
      </w:r>
      <w:r>
        <w:rPr>
          <w:spacing w:val="1"/>
          <w:w w:val="105"/>
        </w:rPr>
        <w:t xml:space="preserve"> </w:t>
      </w:r>
      <w:r>
        <w:rPr>
          <w:w w:val="105"/>
        </w:rPr>
        <w:t>is</w:t>
      </w:r>
      <w:r>
        <w:rPr>
          <w:spacing w:val="-12"/>
          <w:w w:val="105"/>
        </w:rPr>
        <w:t xml:space="preserve"> </w:t>
      </w:r>
      <w:r>
        <w:rPr>
          <w:w w:val="105"/>
        </w:rPr>
        <w:t>intoxicated</w:t>
      </w:r>
      <w:r>
        <w:rPr>
          <w:spacing w:val="6"/>
          <w:w w:val="105"/>
        </w:rPr>
        <w:t xml:space="preserve"> </w:t>
      </w:r>
      <w:r>
        <w:rPr>
          <w:w w:val="105"/>
        </w:rPr>
        <w:t>or</w:t>
      </w:r>
      <w:r>
        <w:rPr>
          <w:spacing w:val="-10"/>
          <w:w w:val="105"/>
        </w:rPr>
        <w:t xml:space="preserve"> </w:t>
      </w:r>
      <w:r>
        <w:rPr>
          <w:w w:val="105"/>
        </w:rPr>
        <w:t>presents</w:t>
      </w:r>
      <w:r>
        <w:rPr>
          <w:spacing w:val="-10"/>
          <w:w w:val="105"/>
        </w:rPr>
        <w:t xml:space="preserve"> </w:t>
      </w:r>
      <w:r>
        <w:rPr>
          <w:w w:val="105"/>
        </w:rPr>
        <w:t>a</w:t>
      </w:r>
      <w:r>
        <w:rPr>
          <w:spacing w:val="-6"/>
          <w:w w:val="105"/>
        </w:rPr>
        <w:t xml:space="preserve"> </w:t>
      </w:r>
      <w:r>
        <w:rPr>
          <w:w w:val="105"/>
        </w:rPr>
        <w:t>negative example to children or other close family members. When these problems are accom­ panied by evidence of tolerance, withdrawal, or compulsive behavior, a diagnosis of Amphetamine Dependence rather than Abuse should be</w:t>
      </w:r>
      <w:r>
        <w:rPr>
          <w:spacing w:val="-24"/>
          <w:w w:val="105"/>
        </w:rPr>
        <w:t xml:space="preserve"> </w:t>
      </w:r>
      <w:r>
        <w:rPr>
          <w:w w:val="105"/>
        </w:rPr>
        <w:t>considered.</w:t>
      </w:r>
    </w:p>
    <w:p w:rsidR="00E675F0" w:rsidRDefault="00E675F0" w:rsidP="00E675F0">
      <w:pPr>
        <w:spacing w:line="254" w:lineRule="auto"/>
        <w:jc w:val="both"/>
        <w:sectPr w:rsidR="00E675F0">
          <w:pgSz w:w="8960" w:h="14260"/>
          <w:pgMar w:top="1400" w:right="620" w:bottom="280" w:left="620" w:header="702" w:footer="0" w:gutter="0"/>
          <w:cols w:space="720"/>
        </w:sectPr>
      </w:pPr>
    </w:p>
    <w:p w:rsidR="00E675F0" w:rsidRDefault="00E675F0" w:rsidP="00E675F0">
      <w:pPr>
        <w:spacing w:before="133"/>
        <w:ind w:left="33" w:right="119"/>
        <w:jc w:val="center"/>
        <w:rPr>
          <w:rFonts w:ascii="TimesNewRomanPS-BoldItalicMT"/>
          <w:b/>
          <w:i/>
          <w:sz w:val="28"/>
        </w:rPr>
      </w:pPr>
      <w:bookmarkStart w:id="131" w:name="_bookmark112"/>
      <w:bookmarkEnd w:id="131"/>
      <w:r>
        <w:rPr>
          <w:rFonts w:ascii="TimesNewRomanPS-BoldItalicMT"/>
          <w:b/>
          <w:i/>
          <w:w w:val="115"/>
          <w:sz w:val="28"/>
        </w:rPr>
        <w:lastRenderedPageBreak/>
        <w:t>Amphetamine-Induced</w:t>
      </w:r>
      <w:r>
        <w:rPr>
          <w:rFonts w:ascii="TimesNewRomanPS-BoldItalicMT"/>
          <w:b/>
          <w:i/>
          <w:spacing w:val="-26"/>
          <w:w w:val="115"/>
          <w:sz w:val="28"/>
        </w:rPr>
        <w:t xml:space="preserve"> </w:t>
      </w:r>
      <w:r>
        <w:rPr>
          <w:rFonts w:ascii="TimesNewRomanPS-BoldItalicMT"/>
          <w:b/>
          <w:i/>
          <w:w w:val="115"/>
          <w:sz w:val="28"/>
        </w:rPr>
        <w:t>Disorders</w:t>
      </w:r>
    </w:p>
    <w:p w:rsidR="00E675F0" w:rsidRDefault="00E675F0" w:rsidP="00E675F0">
      <w:pPr>
        <w:tabs>
          <w:tab w:val="left" w:pos="2726"/>
        </w:tabs>
        <w:spacing w:before="234"/>
        <w:ind w:left="1657"/>
        <w:rPr>
          <w:rFonts w:ascii="Arial"/>
          <w:b/>
          <w:sz w:val="25"/>
        </w:rPr>
      </w:pPr>
      <w:r>
        <w:rPr>
          <w:rFonts w:ascii="Arial"/>
          <w:b/>
          <w:w w:val="105"/>
          <w:sz w:val="25"/>
        </w:rPr>
        <w:t>292.89</w:t>
      </w:r>
      <w:r>
        <w:rPr>
          <w:rFonts w:ascii="Arial"/>
          <w:b/>
          <w:w w:val="105"/>
          <w:sz w:val="25"/>
        </w:rPr>
        <w:tab/>
        <w:t>Amphetamine</w:t>
      </w:r>
      <w:r>
        <w:rPr>
          <w:rFonts w:ascii="Arial"/>
          <w:b/>
          <w:spacing w:val="2"/>
          <w:w w:val="105"/>
          <w:sz w:val="25"/>
        </w:rPr>
        <w:t xml:space="preserve"> </w:t>
      </w:r>
      <w:r>
        <w:rPr>
          <w:rFonts w:ascii="Arial"/>
          <w:b/>
          <w:w w:val="105"/>
          <w:sz w:val="25"/>
        </w:rPr>
        <w:t>Intoxication</w:t>
      </w:r>
    </w:p>
    <w:p w:rsidR="00E675F0" w:rsidRDefault="00E675F0" w:rsidP="00E675F0">
      <w:pPr>
        <w:pStyle w:val="BodyText"/>
        <w:spacing w:before="10"/>
        <w:rPr>
          <w:rFonts w:ascii="Arial"/>
          <w:b/>
          <w:sz w:val="28"/>
        </w:rPr>
      </w:pPr>
    </w:p>
    <w:p w:rsidR="00E675F0" w:rsidRDefault="00E675F0" w:rsidP="00E675F0">
      <w:pPr>
        <w:pStyle w:val="BodyText"/>
        <w:spacing w:line="254" w:lineRule="auto"/>
        <w:ind w:left="121" w:right="131" w:firstLine="1"/>
        <w:jc w:val="both"/>
      </w:pPr>
      <w:r>
        <w:rPr>
          <w:w w:val="105"/>
        </w:rPr>
        <w:t>Also refer to the text and criteria for Substance Intoxication (see p. 183). The essential feature</w:t>
      </w:r>
      <w:r>
        <w:rPr>
          <w:spacing w:val="-11"/>
          <w:w w:val="105"/>
        </w:rPr>
        <w:t xml:space="preserve"> </w:t>
      </w:r>
      <w:r>
        <w:rPr>
          <w:w w:val="105"/>
        </w:rPr>
        <w:t>of</w:t>
      </w:r>
      <w:r>
        <w:rPr>
          <w:spacing w:val="-7"/>
          <w:w w:val="105"/>
        </w:rPr>
        <w:t xml:space="preserve"> </w:t>
      </w:r>
      <w:r>
        <w:rPr>
          <w:w w:val="105"/>
        </w:rPr>
        <w:t>Amphetamine</w:t>
      </w:r>
      <w:r>
        <w:rPr>
          <w:spacing w:val="-2"/>
          <w:w w:val="105"/>
        </w:rPr>
        <w:t xml:space="preserve"> </w:t>
      </w:r>
      <w:r>
        <w:rPr>
          <w:w w:val="105"/>
        </w:rPr>
        <w:t>Intoxication</w:t>
      </w:r>
      <w:r>
        <w:rPr>
          <w:spacing w:val="-3"/>
          <w:w w:val="105"/>
        </w:rPr>
        <w:t xml:space="preserve"> </w:t>
      </w:r>
      <w:r>
        <w:rPr>
          <w:w w:val="105"/>
        </w:rPr>
        <w:t>is</w:t>
      </w:r>
      <w:r>
        <w:rPr>
          <w:spacing w:val="-18"/>
          <w:w w:val="105"/>
        </w:rPr>
        <w:t xml:space="preserve"> </w:t>
      </w:r>
      <w:r>
        <w:rPr>
          <w:w w:val="105"/>
        </w:rPr>
        <w:t>the</w:t>
      </w:r>
      <w:r>
        <w:rPr>
          <w:spacing w:val="-10"/>
          <w:w w:val="105"/>
        </w:rPr>
        <w:t xml:space="preserve"> </w:t>
      </w:r>
      <w:r>
        <w:rPr>
          <w:w w:val="105"/>
        </w:rPr>
        <w:t>presence</w:t>
      </w:r>
      <w:r>
        <w:rPr>
          <w:spacing w:val="-3"/>
          <w:w w:val="105"/>
        </w:rPr>
        <w:t xml:space="preserve"> </w:t>
      </w:r>
      <w:r>
        <w:rPr>
          <w:w w:val="105"/>
        </w:rPr>
        <w:t>of</w:t>
      </w:r>
      <w:r>
        <w:rPr>
          <w:spacing w:val="-7"/>
          <w:w w:val="105"/>
        </w:rPr>
        <w:t xml:space="preserve"> </w:t>
      </w:r>
      <w:r>
        <w:rPr>
          <w:w w:val="105"/>
        </w:rPr>
        <w:t>clinically</w:t>
      </w:r>
      <w:r>
        <w:rPr>
          <w:spacing w:val="-10"/>
          <w:w w:val="105"/>
        </w:rPr>
        <w:t xml:space="preserve"> </w:t>
      </w:r>
      <w:r>
        <w:rPr>
          <w:w w:val="105"/>
        </w:rPr>
        <w:t>significant</w:t>
      </w:r>
      <w:r>
        <w:rPr>
          <w:spacing w:val="-3"/>
          <w:w w:val="105"/>
        </w:rPr>
        <w:t xml:space="preserve"> </w:t>
      </w:r>
      <w:r>
        <w:rPr>
          <w:w w:val="105"/>
        </w:rPr>
        <w:t>maladaptive behavioral or psychological changes that develop during, or shortly after, use of amphetamine or a related substance (Criteria A and B). Amphetamine Intoxication generally begins with a "high" feeling, followed by the development of symptoms such as euphoria with enhanced vigor, gregariousness, hyperactivity, restlessness, hypervigi­ lance, interpersonal sensitivity, talkativeness, anxiety, tension, alertness, grandiosity, stereotypical and repetitive behavior, anger, fighting, and impaired judgment. In the case of</w:t>
      </w:r>
      <w:r>
        <w:rPr>
          <w:spacing w:val="-6"/>
          <w:w w:val="105"/>
        </w:rPr>
        <w:t xml:space="preserve"> </w:t>
      </w:r>
      <w:r>
        <w:rPr>
          <w:w w:val="105"/>
        </w:rPr>
        <w:t>chronic</w:t>
      </w:r>
      <w:r>
        <w:rPr>
          <w:spacing w:val="-3"/>
          <w:w w:val="105"/>
        </w:rPr>
        <w:t xml:space="preserve"> </w:t>
      </w:r>
      <w:r>
        <w:rPr>
          <w:w w:val="105"/>
        </w:rPr>
        <w:t>intoxication,</w:t>
      </w:r>
      <w:r>
        <w:rPr>
          <w:spacing w:val="8"/>
          <w:w w:val="105"/>
        </w:rPr>
        <w:t xml:space="preserve"> </w:t>
      </w:r>
      <w:r>
        <w:rPr>
          <w:w w:val="105"/>
        </w:rPr>
        <w:t>there</w:t>
      </w:r>
      <w:r>
        <w:rPr>
          <w:spacing w:val="-3"/>
          <w:w w:val="105"/>
        </w:rPr>
        <w:t xml:space="preserve"> </w:t>
      </w:r>
      <w:r>
        <w:rPr>
          <w:w w:val="105"/>
        </w:rPr>
        <w:t>may</w:t>
      </w:r>
      <w:r>
        <w:rPr>
          <w:spacing w:val="-11"/>
          <w:w w:val="105"/>
        </w:rPr>
        <w:t xml:space="preserve"> </w:t>
      </w:r>
      <w:r>
        <w:rPr>
          <w:w w:val="105"/>
        </w:rPr>
        <w:t>be</w:t>
      </w:r>
      <w:r>
        <w:rPr>
          <w:spacing w:val="-16"/>
          <w:w w:val="105"/>
        </w:rPr>
        <w:t xml:space="preserve"> </w:t>
      </w:r>
      <w:r>
        <w:rPr>
          <w:w w:val="105"/>
        </w:rPr>
        <w:t>affective</w:t>
      </w:r>
      <w:r>
        <w:rPr>
          <w:spacing w:val="-8"/>
          <w:w w:val="105"/>
        </w:rPr>
        <w:t xml:space="preserve"> </w:t>
      </w:r>
      <w:r>
        <w:rPr>
          <w:w w:val="105"/>
        </w:rPr>
        <w:t>blunting</w:t>
      </w:r>
      <w:r>
        <w:rPr>
          <w:spacing w:val="-9"/>
          <w:w w:val="105"/>
        </w:rPr>
        <w:t xml:space="preserve"> </w:t>
      </w:r>
      <w:r>
        <w:rPr>
          <w:w w:val="105"/>
        </w:rPr>
        <w:t>with</w:t>
      </w:r>
      <w:r>
        <w:rPr>
          <w:spacing w:val="-14"/>
          <w:w w:val="105"/>
        </w:rPr>
        <w:t xml:space="preserve"> </w:t>
      </w:r>
      <w:r>
        <w:rPr>
          <w:w w:val="105"/>
        </w:rPr>
        <w:t>fatigue</w:t>
      </w:r>
      <w:r>
        <w:rPr>
          <w:spacing w:val="-9"/>
          <w:w w:val="105"/>
        </w:rPr>
        <w:t xml:space="preserve"> </w:t>
      </w:r>
      <w:r>
        <w:rPr>
          <w:w w:val="105"/>
        </w:rPr>
        <w:t>or</w:t>
      </w:r>
      <w:r>
        <w:rPr>
          <w:spacing w:val="-17"/>
          <w:w w:val="105"/>
        </w:rPr>
        <w:t xml:space="preserve"> </w:t>
      </w:r>
      <w:r>
        <w:rPr>
          <w:w w:val="105"/>
        </w:rPr>
        <w:t>sadness</w:t>
      </w:r>
      <w:r>
        <w:rPr>
          <w:spacing w:val="-12"/>
          <w:w w:val="105"/>
        </w:rPr>
        <w:t xml:space="preserve"> </w:t>
      </w:r>
      <w:r>
        <w:rPr>
          <w:w w:val="105"/>
        </w:rPr>
        <w:t>and</w:t>
      </w:r>
      <w:r>
        <w:rPr>
          <w:spacing w:val="-14"/>
          <w:w w:val="105"/>
        </w:rPr>
        <w:t xml:space="preserve"> </w:t>
      </w:r>
      <w:r>
        <w:rPr>
          <w:w w:val="105"/>
        </w:rPr>
        <w:t>social withdrawal. These behavioral and psychological changes are accompanied by two or more</w:t>
      </w:r>
      <w:r>
        <w:rPr>
          <w:spacing w:val="-14"/>
          <w:w w:val="105"/>
        </w:rPr>
        <w:t xml:space="preserve"> </w:t>
      </w:r>
      <w:r>
        <w:rPr>
          <w:w w:val="105"/>
        </w:rPr>
        <w:t>of</w:t>
      </w:r>
      <w:r>
        <w:rPr>
          <w:spacing w:val="-10"/>
          <w:w w:val="105"/>
        </w:rPr>
        <w:t xml:space="preserve"> </w:t>
      </w:r>
      <w:r>
        <w:rPr>
          <w:w w:val="105"/>
        </w:rPr>
        <w:t>the</w:t>
      </w:r>
      <w:r>
        <w:rPr>
          <w:spacing w:val="-24"/>
          <w:w w:val="105"/>
        </w:rPr>
        <w:t xml:space="preserve"> </w:t>
      </w:r>
      <w:r>
        <w:rPr>
          <w:w w:val="105"/>
        </w:rPr>
        <w:t>following</w:t>
      </w:r>
      <w:r>
        <w:rPr>
          <w:spacing w:val="-19"/>
          <w:w w:val="105"/>
        </w:rPr>
        <w:t xml:space="preserve"> </w:t>
      </w:r>
      <w:r>
        <w:rPr>
          <w:w w:val="105"/>
        </w:rPr>
        <w:t>signs</w:t>
      </w:r>
      <w:r>
        <w:rPr>
          <w:spacing w:val="-21"/>
          <w:w w:val="105"/>
        </w:rPr>
        <w:t xml:space="preserve"> </w:t>
      </w:r>
      <w:r>
        <w:rPr>
          <w:w w:val="105"/>
        </w:rPr>
        <w:t>and</w:t>
      </w:r>
      <w:r>
        <w:rPr>
          <w:spacing w:val="-17"/>
          <w:w w:val="105"/>
        </w:rPr>
        <w:t xml:space="preserve"> </w:t>
      </w:r>
      <w:r>
        <w:rPr>
          <w:w w:val="105"/>
        </w:rPr>
        <w:t>symptoms:</w:t>
      </w:r>
      <w:r>
        <w:rPr>
          <w:spacing w:val="-9"/>
          <w:w w:val="105"/>
        </w:rPr>
        <w:t xml:space="preserve"> </w:t>
      </w:r>
      <w:r>
        <w:rPr>
          <w:w w:val="105"/>
        </w:rPr>
        <w:t>tachycardia or</w:t>
      </w:r>
      <w:r>
        <w:rPr>
          <w:spacing w:val="-19"/>
          <w:w w:val="105"/>
        </w:rPr>
        <w:t xml:space="preserve"> </w:t>
      </w:r>
      <w:r>
        <w:rPr>
          <w:w w:val="105"/>
        </w:rPr>
        <w:t>bradycardia;</w:t>
      </w:r>
      <w:r>
        <w:rPr>
          <w:spacing w:val="-4"/>
          <w:w w:val="105"/>
        </w:rPr>
        <w:t xml:space="preserve"> </w:t>
      </w:r>
      <w:r>
        <w:rPr>
          <w:w w:val="105"/>
        </w:rPr>
        <w:t>pupillary</w:t>
      </w:r>
      <w:r>
        <w:rPr>
          <w:spacing w:val="-13"/>
          <w:w w:val="105"/>
        </w:rPr>
        <w:t xml:space="preserve"> </w:t>
      </w:r>
      <w:r>
        <w:rPr>
          <w:w w:val="105"/>
        </w:rPr>
        <w:t>dilation; elevated or lowered blood pressure; perspiration or chills; nausea or vomiting; evidence of weight loss; psychomotor agitation or retardation; muscular weakness, respiratory depression, chest pain, or cardiac arrhythmias; and confusion, seizures, dyskinesias, dystonias, or coma (Criterion C). Amphetamine Intoxication, either acute or chronic, is often associated with impaired social or occupational functioning. The symptoms must not be due to a general medical condition and are not better accounted for by another mental disorder (Criterion D). The magnitude and manifestations of the behavioral and physiological changes depend on the dose used and individual characteristics of the person using the substance (e.g., tolerance, rate of absorption, chronicity of use). The changes associated with intoxication begin no longer than 1 hour after substance  use and sometimes within seconds, depending on the</w:t>
      </w:r>
      <w:r>
        <w:rPr>
          <w:spacing w:val="25"/>
          <w:w w:val="105"/>
        </w:rPr>
        <w:t xml:space="preserve"> </w:t>
      </w:r>
      <w:r>
        <w:rPr>
          <w:w w:val="105"/>
        </w:rPr>
        <w:t>specific drug and method of delivery.</w:t>
      </w:r>
    </w:p>
    <w:p w:rsidR="00E675F0" w:rsidRDefault="00E675F0" w:rsidP="00E675F0">
      <w:pPr>
        <w:pStyle w:val="BodyText"/>
        <w:rPr>
          <w:sz w:val="22"/>
        </w:rPr>
      </w:pPr>
    </w:p>
    <w:p w:rsidR="00E675F0" w:rsidRDefault="00E675F0" w:rsidP="00E675F0">
      <w:pPr>
        <w:pStyle w:val="BodyText"/>
        <w:spacing w:before="1"/>
        <w:rPr>
          <w:sz w:val="22"/>
        </w:rPr>
      </w:pPr>
    </w:p>
    <w:p w:rsidR="00E675F0" w:rsidRDefault="00E675F0" w:rsidP="00E675F0">
      <w:pPr>
        <w:ind w:left="114"/>
        <w:rPr>
          <w:rFonts w:ascii="TimesNewRomanPS-BoldItalicMT"/>
          <w:b/>
          <w:i/>
          <w:sz w:val="24"/>
        </w:rPr>
      </w:pPr>
      <w:r>
        <w:rPr>
          <w:rFonts w:ascii="TimesNewRomanPS-BoldItalicMT"/>
          <w:b/>
          <w:i/>
          <w:w w:val="115"/>
          <w:sz w:val="24"/>
        </w:rPr>
        <w:t>Specifier</w:t>
      </w:r>
    </w:p>
    <w:p w:rsidR="00E675F0" w:rsidRDefault="00E675F0" w:rsidP="00E675F0">
      <w:pPr>
        <w:pStyle w:val="BodyText"/>
        <w:spacing w:before="161"/>
        <w:ind w:left="122"/>
        <w:jc w:val="both"/>
      </w:pPr>
      <w:r>
        <w:rPr>
          <w:w w:val="105"/>
        </w:rPr>
        <w:t>The following specifier may be applied to a diagnosis of Amphetamine Intoxication:</w:t>
      </w:r>
    </w:p>
    <w:p w:rsidR="00E675F0" w:rsidRDefault="00E675F0" w:rsidP="00E675F0">
      <w:pPr>
        <w:pStyle w:val="BodyText"/>
        <w:spacing w:before="73" w:line="252" w:lineRule="auto"/>
        <w:ind w:left="722" w:right="126" w:hanging="4"/>
        <w:jc w:val="both"/>
      </w:pPr>
      <w:r>
        <w:rPr>
          <w:b/>
          <w:w w:val="105"/>
        </w:rPr>
        <w:t xml:space="preserve">With Perceptual Disturbances. </w:t>
      </w:r>
      <w:r>
        <w:rPr>
          <w:w w:val="105"/>
        </w:rPr>
        <w:t xml:space="preserve">This specifier may be noted when hallucina­ tions with intact reality testing or auditory, visual, or tactile illusions occur in the absence of a delirium. </w:t>
      </w:r>
      <w:r>
        <w:rPr>
          <w:i/>
          <w:w w:val="105"/>
          <w:sz w:val="19"/>
        </w:rPr>
        <w:t xml:space="preserve">Intact reali(y testing </w:t>
      </w:r>
      <w:r>
        <w:rPr>
          <w:w w:val="105"/>
        </w:rPr>
        <w:t>means that the person knows that the hallucinations are induced by the substance and do not represent external reality. When hallucinations occur in the absence of intact reality testing, a diagnosis of Substance-Induced</w:t>
      </w:r>
      <w:r>
        <w:rPr>
          <w:spacing w:val="-26"/>
          <w:w w:val="105"/>
        </w:rPr>
        <w:t xml:space="preserve"> </w:t>
      </w:r>
      <w:r>
        <w:rPr>
          <w:w w:val="105"/>
        </w:rPr>
        <w:t>Psychotic</w:t>
      </w:r>
      <w:r>
        <w:rPr>
          <w:spacing w:val="-22"/>
          <w:w w:val="105"/>
        </w:rPr>
        <w:t xml:space="preserve"> </w:t>
      </w:r>
      <w:r>
        <w:rPr>
          <w:w w:val="105"/>
        </w:rPr>
        <w:t>Disorder,</w:t>
      </w:r>
      <w:r>
        <w:rPr>
          <w:spacing w:val="-23"/>
          <w:w w:val="105"/>
        </w:rPr>
        <w:t xml:space="preserve"> </w:t>
      </w:r>
      <w:r>
        <w:rPr>
          <w:w w:val="105"/>
        </w:rPr>
        <w:t>With</w:t>
      </w:r>
      <w:r>
        <w:rPr>
          <w:spacing w:val="-26"/>
          <w:w w:val="105"/>
        </w:rPr>
        <w:t xml:space="preserve"> </w:t>
      </w:r>
      <w:r>
        <w:rPr>
          <w:w w:val="105"/>
        </w:rPr>
        <w:t>Hallucinations,</w:t>
      </w:r>
      <w:r>
        <w:rPr>
          <w:spacing w:val="-30"/>
          <w:w w:val="105"/>
        </w:rPr>
        <w:t xml:space="preserve"> </w:t>
      </w:r>
      <w:r>
        <w:rPr>
          <w:w w:val="105"/>
        </w:rPr>
        <w:t>should</w:t>
      </w:r>
      <w:r>
        <w:rPr>
          <w:spacing w:val="-25"/>
          <w:w w:val="105"/>
        </w:rPr>
        <w:t xml:space="preserve"> </w:t>
      </w:r>
      <w:r>
        <w:rPr>
          <w:rFonts w:ascii="Arial" w:hAnsi="Arial"/>
          <w:w w:val="105"/>
          <w:sz w:val="18"/>
        </w:rPr>
        <w:t>be</w:t>
      </w:r>
      <w:r>
        <w:rPr>
          <w:rFonts w:ascii="Arial" w:hAnsi="Arial"/>
          <w:spacing w:val="-26"/>
          <w:w w:val="105"/>
          <w:sz w:val="18"/>
        </w:rPr>
        <w:t xml:space="preserve"> </w:t>
      </w:r>
      <w:r>
        <w:rPr>
          <w:w w:val="105"/>
        </w:rPr>
        <w:t>considered.</w:t>
      </w:r>
    </w:p>
    <w:p w:rsidR="00E675F0" w:rsidRDefault="00E675F0" w:rsidP="00E675F0">
      <w:pPr>
        <w:pStyle w:val="BodyText"/>
      </w:pPr>
    </w:p>
    <w:p w:rsidR="00E675F0" w:rsidRDefault="00E675F0" w:rsidP="00E675F0">
      <w:pPr>
        <w:pStyle w:val="BodyText"/>
        <w:spacing w:before="11"/>
        <w:rPr>
          <w:sz w:val="10"/>
        </w:rPr>
      </w:pPr>
      <w:r>
        <w:rPr>
          <w:noProof/>
        </w:rPr>
        <mc:AlternateContent>
          <mc:Choice Requires="wpg">
            <w:drawing>
              <wp:anchor distT="0" distB="0" distL="0" distR="0" simplePos="0" relativeHeight="251875328" behindDoc="1" locked="0" layoutInCell="1" allowOverlap="1" wp14:anchorId="184AD75C" wp14:editId="0A34A071">
                <wp:simplePos x="0" y="0"/>
                <wp:positionH relativeFrom="page">
                  <wp:posOffset>466090</wp:posOffset>
                </wp:positionH>
                <wp:positionV relativeFrom="paragraph">
                  <wp:posOffset>117475</wp:posOffset>
                </wp:positionV>
                <wp:extent cx="4754245" cy="1416685"/>
                <wp:effectExtent l="0" t="0" r="0" b="0"/>
                <wp:wrapTopAndBottom/>
                <wp:docPr id="1374" name="Group 1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4245" cy="1416685"/>
                          <a:chOff x="734" y="185"/>
                          <a:chExt cx="7487" cy="2231"/>
                        </a:xfrm>
                      </wpg:grpSpPr>
                      <wps:wsp>
                        <wps:cNvPr id="1375" name="Line 1334"/>
                        <wps:cNvCnPr>
                          <a:cxnSpLocks/>
                        </wps:cNvCnPr>
                        <wps:spPr bwMode="auto">
                          <a:xfrm>
                            <a:off x="821" y="2416"/>
                            <a:ext cx="0" cy="0"/>
                          </a:xfrm>
                          <a:prstGeom prst="line">
                            <a:avLst/>
                          </a:prstGeom>
                          <a:noFill/>
                          <a:ln w="3055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6" name="Line 1333"/>
                        <wps:cNvCnPr>
                          <a:cxnSpLocks/>
                        </wps:cNvCnPr>
                        <wps:spPr bwMode="auto">
                          <a:xfrm>
                            <a:off x="8110" y="2416"/>
                            <a:ext cx="0" cy="0"/>
                          </a:xfrm>
                          <a:prstGeom prst="line">
                            <a:avLst/>
                          </a:prstGeom>
                          <a:noFill/>
                          <a:ln w="2444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7" name="AutoShape 1332"/>
                        <wps:cNvSpPr>
                          <a:spLocks/>
                        </wps:cNvSpPr>
                        <wps:spPr bwMode="auto">
                          <a:xfrm>
                            <a:off x="734" y="276"/>
                            <a:ext cx="7487" cy="2058"/>
                          </a:xfrm>
                          <a:custGeom>
                            <a:avLst/>
                            <a:gdLst>
                              <a:gd name="T0" fmla="+- 0 734 734"/>
                              <a:gd name="T1" fmla="*/ T0 w 7487"/>
                              <a:gd name="T2" fmla="+- 0 277 277"/>
                              <a:gd name="T3" fmla="*/ 277 h 2058"/>
                              <a:gd name="T4" fmla="+- 0 8221 734"/>
                              <a:gd name="T5" fmla="*/ T4 w 7487"/>
                              <a:gd name="T6" fmla="+- 0 277 277"/>
                              <a:gd name="T7" fmla="*/ 277 h 2058"/>
                              <a:gd name="T8" fmla="+- 0 754 734"/>
                              <a:gd name="T9" fmla="*/ T8 w 7487"/>
                              <a:gd name="T10" fmla="+- 0 2334 277"/>
                              <a:gd name="T11" fmla="*/ 2334 h 2058"/>
                              <a:gd name="T12" fmla="+- 0 8221 734"/>
                              <a:gd name="T13" fmla="*/ T12 w 7487"/>
                              <a:gd name="T14" fmla="+- 0 2334 277"/>
                              <a:gd name="T15" fmla="*/ 2334 h 2058"/>
                            </a:gdLst>
                            <a:ahLst/>
                            <a:cxnLst>
                              <a:cxn ang="0">
                                <a:pos x="T1" y="T3"/>
                              </a:cxn>
                              <a:cxn ang="0">
                                <a:pos x="T5" y="T7"/>
                              </a:cxn>
                              <a:cxn ang="0">
                                <a:pos x="T9" y="T11"/>
                              </a:cxn>
                              <a:cxn ang="0">
                                <a:pos x="T13" y="T15"/>
                              </a:cxn>
                            </a:cxnLst>
                            <a:rect l="0" t="0" r="r" b="b"/>
                            <a:pathLst>
                              <a:path w="7487" h="2058">
                                <a:moveTo>
                                  <a:pt x="0" y="0"/>
                                </a:moveTo>
                                <a:lnTo>
                                  <a:pt x="7487" y="0"/>
                                </a:lnTo>
                                <a:moveTo>
                                  <a:pt x="20" y="2057"/>
                                </a:moveTo>
                                <a:lnTo>
                                  <a:pt x="7487" y="2057"/>
                                </a:lnTo>
                              </a:path>
                            </a:pathLst>
                          </a:custGeom>
                          <a:noFill/>
                          <a:ln w="305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8" name="Text Box 1331"/>
                        <wps:cNvSpPr txBox="1">
                          <a:spLocks/>
                        </wps:cNvSpPr>
                        <wps:spPr bwMode="auto">
                          <a:xfrm>
                            <a:off x="845" y="300"/>
                            <a:ext cx="7246" cy="2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5F0" w:rsidRDefault="00E675F0" w:rsidP="003048D3">
                              <w:pPr>
                                <w:numPr>
                                  <w:ilvl w:val="0"/>
                                  <w:numId w:val="35"/>
                                </w:numPr>
                                <w:tabs>
                                  <w:tab w:val="left" w:pos="604"/>
                                </w:tabs>
                                <w:spacing w:before="28" w:line="211" w:lineRule="auto"/>
                                <w:ind w:right="1512" w:hanging="375"/>
                                <w:rPr>
                                  <w:rFonts w:ascii="Arial"/>
                                  <w:b/>
                                  <w:sz w:val="24"/>
                                </w:rPr>
                              </w:pPr>
                              <w:r>
                                <w:rPr>
                                  <w:rFonts w:ascii="Arial"/>
                                  <w:b/>
                                  <w:w w:val="105"/>
                                  <w:sz w:val="24"/>
                                </w:rPr>
                                <w:t>Diagnostic</w:t>
                              </w:r>
                              <w:r>
                                <w:rPr>
                                  <w:rFonts w:ascii="Arial"/>
                                  <w:b/>
                                  <w:spacing w:val="-11"/>
                                  <w:w w:val="105"/>
                                  <w:sz w:val="24"/>
                                </w:rPr>
                                <w:t xml:space="preserve"> </w:t>
                              </w:r>
                              <w:r>
                                <w:rPr>
                                  <w:rFonts w:ascii="Arial"/>
                                  <w:b/>
                                  <w:w w:val="105"/>
                                  <w:sz w:val="24"/>
                                </w:rPr>
                                <w:t>criteria</w:t>
                              </w:r>
                              <w:r>
                                <w:rPr>
                                  <w:rFonts w:ascii="Arial"/>
                                  <w:b/>
                                  <w:spacing w:val="-22"/>
                                  <w:w w:val="105"/>
                                  <w:sz w:val="24"/>
                                </w:rPr>
                                <w:t xml:space="preserve"> </w:t>
                              </w:r>
                              <w:r>
                                <w:rPr>
                                  <w:rFonts w:ascii="Arial"/>
                                  <w:b/>
                                  <w:w w:val="105"/>
                                  <w:sz w:val="24"/>
                                </w:rPr>
                                <w:t>for</w:t>
                              </w:r>
                              <w:r>
                                <w:rPr>
                                  <w:rFonts w:ascii="Arial"/>
                                  <w:b/>
                                  <w:spacing w:val="-18"/>
                                  <w:w w:val="105"/>
                                  <w:sz w:val="24"/>
                                </w:rPr>
                                <w:t xml:space="preserve"> </w:t>
                              </w:r>
                              <w:r>
                                <w:rPr>
                                  <w:rFonts w:ascii="Arial"/>
                                  <w:b/>
                                  <w:w w:val="105"/>
                                  <w:sz w:val="24"/>
                                </w:rPr>
                                <w:t>292.89</w:t>
                              </w:r>
                              <w:r>
                                <w:rPr>
                                  <w:rFonts w:ascii="Arial"/>
                                  <w:b/>
                                  <w:spacing w:val="-24"/>
                                  <w:w w:val="105"/>
                                  <w:sz w:val="24"/>
                                </w:rPr>
                                <w:t xml:space="preserve"> </w:t>
                              </w:r>
                              <w:r>
                                <w:rPr>
                                  <w:rFonts w:ascii="Arial"/>
                                  <w:b/>
                                  <w:w w:val="105"/>
                                  <w:sz w:val="24"/>
                                </w:rPr>
                                <w:t>Amphetamine Intoxication</w:t>
                              </w:r>
                            </w:p>
                            <w:p w:rsidR="00E675F0" w:rsidRDefault="00E675F0" w:rsidP="003048D3">
                              <w:pPr>
                                <w:numPr>
                                  <w:ilvl w:val="1"/>
                                  <w:numId w:val="35"/>
                                </w:numPr>
                                <w:tabs>
                                  <w:tab w:val="left" w:pos="935"/>
                                </w:tabs>
                                <w:spacing w:before="229" w:line="252" w:lineRule="auto"/>
                                <w:ind w:left="938" w:right="245" w:hanging="314"/>
                                <w:rPr>
                                  <w:sz w:val="20"/>
                                </w:rPr>
                              </w:pPr>
                              <w:r>
                                <w:rPr>
                                  <w:w w:val="105"/>
                                  <w:sz w:val="20"/>
                                </w:rPr>
                                <w:t>Recent use of amphetamine or a related substance (e.g., methyl­ phenidate).</w:t>
                              </w:r>
                            </w:p>
                            <w:p w:rsidR="00E675F0" w:rsidRDefault="00E675F0" w:rsidP="00E675F0">
                              <w:pPr>
                                <w:spacing w:before="3"/>
                                <w:rPr>
                                  <w:sz w:val="17"/>
                                </w:rPr>
                              </w:pPr>
                            </w:p>
                            <w:p w:rsidR="00E675F0" w:rsidRDefault="00E675F0" w:rsidP="00E675F0">
                              <w:pPr>
                                <w:spacing w:before="1"/>
                                <w:ind w:right="218"/>
                                <w:jc w:val="right"/>
                                <w:rPr>
                                  <w:i/>
                                  <w:sz w:val="19"/>
                                </w:rPr>
                              </w:pPr>
                              <w:r>
                                <w:rPr>
                                  <w:i/>
                                  <w:w w:val="115"/>
                                  <w:sz w:val="19"/>
                                </w:rPr>
                                <w:t>(continued)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4AD75C" id="Group 1330" o:spid="_x0000_s1112" style="position:absolute;margin-left:36.7pt;margin-top:9.25pt;width:374.35pt;height:111.55pt;z-index:-251441152;mso-wrap-distance-left:0;mso-wrap-distance-right:0;mso-position-horizontal-relative:page;mso-position-vertical-relative:text" coordorigin="734,185" coordsize="7487,22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">
                <v:line id="Line 1334" o:spid="_x0000_s1113" style="position:absolute;visibility:visible;mso-wrap-style:square" from="821,2416" to="821,24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" strokeweight=".84864mm">
                  <o:lock v:ext="edit" shapetype="f"/>
                </v:line>
                <v:line id="Line 1333" o:spid="_x0000_s1114" style="position:absolute;visibility:visible;mso-wrap-style:square" from="8110,2416" to="8110,24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" strokeweight=".67892mm">
                  <o:lock v:ext="edit" shapetype="f"/>
                </v:line>
                <v:shape id="AutoShape 1332" o:spid="_x0000_s1115" style="position:absolute;left:734;top:276;width:7487;height:2058;visibility:visible;mso-wrap-style:square;v-text-anchor:top" coordsize="7487,20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" path="m,l7487,m20,2057r7467,e" filled="f" strokeweight=".84825mm">
                  <v:path arrowok="t" o:connecttype="custom" o:connectlocs="0,277;7487,277;20,2334;7487,2334" o:connectangles="0,0,0,0"/>
                </v:shape>
                <v:shape id="Text Box 1331" o:spid="_x0000_s1116" type="#_x0000_t202" style="position:absolute;left:845;top:300;width:7246;height:20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" filled="f" stroked="f">
                  <v:path arrowok="t"/>
                  <v:textbox inset="0,0,0,0">
                    <w:txbxContent>
                      <w:p w:rsidR="00E675F0" w:rsidRDefault="00E675F0" w:rsidP="003048D3">
                        <w:pPr>
                          <w:numPr>
                            <w:ilvl w:val="0"/>
                            <w:numId w:val="35"/>
                          </w:numPr>
                          <w:tabs>
                            <w:tab w:val="left" w:pos="604"/>
                          </w:tabs>
                          <w:spacing w:before="28" w:line="211" w:lineRule="auto"/>
                          <w:ind w:right="1512" w:hanging="375"/>
                          <w:rPr>
                            <w:rFonts w:ascii="Arial"/>
                            <w:b/>
                            <w:sz w:val="24"/>
                          </w:rPr>
                        </w:pPr>
                        <w:r>
                          <w:rPr>
                            <w:rFonts w:ascii="Arial"/>
                            <w:b/>
                            <w:w w:val="105"/>
                            <w:sz w:val="24"/>
                          </w:rPr>
                          <w:t>Diagnostic</w:t>
                        </w:r>
                        <w:r>
                          <w:rPr>
                            <w:rFonts w:ascii="Arial"/>
                            <w:b/>
                            <w:spacing w:val="-11"/>
                            <w:w w:val="105"/>
                            <w:sz w:val="24"/>
                          </w:rPr>
                          <w:t xml:space="preserve"> </w:t>
                        </w:r>
                        <w:r>
                          <w:rPr>
                            <w:rFonts w:ascii="Arial"/>
                            <w:b/>
                            <w:w w:val="105"/>
                            <w:sz w:val="24"/>
                          </w:rPr>
                          <w:t>criteria</w:t>
                        </w:r>
                        <w:r>
                          <w:rPr>
                            <w:rFonts w:ascii="Arial"/>
                            <w:b/>
                            <w:spacing w:val="-22"/>
                            <w:w w:val="105"/>
                            <w:sz w:val="24"/>
                          </w:rPr>
                          <w:t xml:space="preserve"> </w:t>
                        </w:r>
                        <w:r>
                          <w:rPr>
                            <w:rFonts w:ascii="Arial"/>
                            <w:b/>
                            <w:w w:val="105"/>
                            <w:sz w:val="24"/>
                          </w:rPr>
                          <w:t>for</w:t>
                        </w:r>
                        <w:r>
                          <w:rPr>
                            <w:rFonts w:ascii="Arial"/>
                            <w:b/>
                            <w:spacing w:val="-18"/>
                            <w:w w:val="105"/>
                            <w:sz w:val="24"/>
                          </w:rPr>
                          <w:t xml:space="preserve"> </w:t>
                        </w:r>
                        <w:r>
                          <w:rPr>
                            <w:rFonts w:ascii="Arial"/>
                            <w:b/>
                            <w:w w:val="105"/>
                            <w:sz w:val="24"/>
                          </w:rPr>
                          <w:t>292.89</w:t>
                        </w:r>
                        <w:r>
                          <w:rPr>
                            <w:rFonts w:ascii="Arial"/>
                            <w:b/>
                            <w:spacing w:val="-24"/>
                            <w:w w:val="105"/>
                            <w:sz w:val="24"/>
                          </w:rPr>
                          <w:t xml:space="preserve"> </w:t>
                        </w:r>
                        <w:r>
                          <w:rPr>
                            <w:rFonts w:ascii="Arial"/>
                            <w:b/>
                            <w:w w:val="105"/>
                            <w:sz w:val="24"/>
                          </w:rPr>
                          <w:t>Amphetamine Intoxication</w:t>
                        </w:r>
                      </w:p>
                      <w:p w:rsidR="00E675F0" w:rsidRDefault="00E675F0" w:rsidP="003048D3">
                        <w:pPr>
                          <w:numPr>
                            <w:ilvl w:val="1"/>
                            <w:numId w:val="35"/>
                          </w:numPr>
                          <w:tabs>
                            <w:tab w:val="left" w:pos="935"/>
                          </w:tabs>
                          <w:spacing w:before="229" w:line="252" w:lineRule="auto"/>
                          <w:ind w:left="938" w:right="245" w:hanging="314"/>
                          <w:rPr>
                            <w:sz w:val="20"/>
                          </w:rPr>
                        </w:pPr>
                        <w:r>
                          <w:rPr>
                            <w:w w:val="105"/>
                            <w:sz w:val="20"/>
                          </w:rPr>
                          <w:t>Recent use of amphetamine or a related substance (e.g., methyl­ phenidate).</w:t>
                        </w:r>
                      </w:p>
                      <w:p w:rsidR="00E675F0" w:rsidRDefault="00E675F0" w:rsidP="00E675F0">
                        <w:pPr>
                          <w:spacing w:before="3"/>
                          <w:rPr>
                            <w:sz w:val="17"/>
                          </w:rPr>
                        </w:pPr>
                      </w:p>
                      <w:p w:rsidR="00E675F0" w:rsidRDefault="00E675F0" w:rsidP="00E675F0">
                        <w:pPr>
                          <w:spacing w:before="1"/>
                          <w:ind w:right="218"/>
                          <w:jc w:val="right"/>
                          <w:rPr>
                            <w:i/>
                            <w:sz w:val="19"/>
                          </w:rPr>
                        </w:pPr>
                        <w:r>
                          <w:rPr>
                            <w:i/>
                            <w:w w:val="115"/>
                            <w:sz w:val="19"/>
                          </w:rPr>
                          <w:t>(continued)</w:t>
                        </w:r>
                      </w:p>
                    </w:txbxContent>
                  </v:textbox>
                </v:shape>
                <w10:wrap type="topAndBottom" anchorx="page"/>
              </v:group>
            </w:pict>
          </mc:Fallback>
        </mc:AlternateContent>
      </w:r>
    </w:p>
    <w:p w:rsidR="00E675F0" w:rsidRDefault="00E675F0" w:rsidP="00E675F0">
      <w:pPr>
        <w:rPr>
          <w:sz w:val="10"/>
        </w:rPr>
        <w:sectPr w:rsidR="00E675F0">
          <w:pgSz w:w="8960" w:h="14260"/>
          <w:pgMar w:top="1400" w:right="620" w:bottom="280" w:left="620" w:header="704" w:footer="0" w:gutter="0"/>
          <w:cols w:space="720"/>
        </w:sectPr>
      </w:pPr>
    </w:p>
    <w:p w:rsidR="00E675F0" w:rsidRDefault="00E675F0" w:rsidP="00E675F0">
      <w:pPr>
        <w:pStyle w:val="BodyText"/>
        <w:spacing w:before="9"/>
        <w:rPr>
          <w:sz w:val="9"/>
        </w:rPr>
      </w:pPr>
    </w:p>
    <w:tbl>
      <w:tblPr>
        <w:tblW w:w="0" w:type="auto"/>
        <w:tblInd w:w="225"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7331"/>
      </w:tblGrid>
      <w:tr w:rsidR="00E675F0" w:rsidTr="00A330E1">
        <w:trPr>
          <w:trHeight w:val="7085"/>
        </w:trPr>
        <w:tc>
          <w:tcPr>
            <w:tcW w:w="7331" w:type="dxa"/>
            <w:tcBorders>
              <w:bottom w:val="single" w:sz="18" w:space="0" w:color="000000"/>
            </w:tcBorders>
          </w:tcPr>
          <w:p w:rsidR="00E675F0" w:rsidRDefault="00E675F0" w:rsidP="003048D3">
            <w:pPr>
              <w:pStyle w:val="TableParagraph"/>
              <w:numPr>
                <w:ilvl w:val="0"/>
                <w:numId w:val="34"/>
              </w:numPr>
              <w:tabs>
                <w:tab w:val="left" w:pos="597"/>
              </w:tabs>
              <w:spacing w:before="74" w:line="402" w:lineRule="exact"/>
              <w:ind w:hanging="329"/>
              <w:rPr>
                <w:rFonts w:ascii="Arial" w:hAnsi="Arial"/>
                <w:b/>
              </w:rPr>
            </w:pPr>
            <w:bookmarkStart w:id="132" w:name="_bookmark113"/>
            <w:bookmarkEnd w:id="132"/>
            <w:r>
              <w:rPr>
                <w:rFonts w:ascii="Arial" w:hAnsi="Arial"/>
                <w:b/>
                <w:w w:val="105"/>
              </w:rPr>
              <w:t>Diagnostic criteria for 292.89 Amphetamine</w:t>
            </w:r>
            <w:r>
              <w:rPr>
                <w:rFonts w:ascii="Arial" w:hAnsi="Arial"/>
                <w:b/>
                <w:spacing w:val="2"/>
                <w:w w:val="105"/>
              </w:rPr>
              <w:t xml:space="preserve"> </w:t>
            </w:r>
            <w:r>
              <w:rPr>
                <w:rFonts w:ascii="Arial" w:hAnsi="Arial"/>
                <w:b/>
                <w:w w:val="105"/>
              </w:rPr>
              <w:t>Intoxication</w:t>
            </w:r>
          </w:p>
          <w:p w:rsidR="00E675F0" w:rsidRDefault="00E675F0" w:rsidP="00A330E1">
            <w:pPr>
              <w:pStyle w:val="TableParagraph"/>
              <w:spacing w:line="241" w:lineRule="exact"/>
              <w:ind w:left="593"/>
              <w:rPr>
                <w:rFonts w:ascii="Arial"/>
                <w:i/>
              </w:rPr>
            </w:pPr>
            <w:r>
              <w:rPr>
                <w:rFonts w:ascii="Arial"/>
                <w:i/>
              </w:rPr>
              <w:t>(continued}</w:t>
            </w:r>
          </w:p>
          <w:p w:rsidR="00E675F0" w:rsidRDefault="00E675F0" w:rsidP="003048D3">
            <w:pPr>
              <w:pStyle w:val="TableParagraph"/>
              <w:numPr>
                <w:ilvl w:val="1"/>
                <w:numId w:val="34"/>
              </w:numPr>
              <w:tabs>
                <w:tab w:val="left" w:pos="961"/>
              </w:tabs>
              <w:spacing w:before="214" w:line="254" w:lineRule="auto"/>
              <w:ind w:right="225" w:hanging="299"/>
              <w:jc w:val="both"/>
              <w:rPr>
                <w:sz w:val="20"/>
              </w:rPr>
            </w:pPr>
            <w:r>
              <w:rPr>
                <w:w w:val="105"/>
                <w:sz w:val="20"/>
              </w:rPr>
              <w:t>Clinically significant maladaptive behavioral or psychological changes (e.g., euphoria or affective blunting; changes in sociability; hypervigi­ lance; interpersonal sensitivity; anxiety, tension, or anger; stereotyped behaviors; impaired judgment; or impaired social or occupational functioning) that developed during, or shortly after, use of amphetamine or a related</w:t>
            </w:r>
            <w:r>
              <w:rPr>
                <w:spacing w:val="32"/>
                <w:w w:val="105"/>
                <w:sz w:val="20"/>
              </w:rPr>
              <w:t xml:space="preserve"> </w:t>
            </w:r>
            <w:r>
              <w:rPr>
                <w:w w:val="105"/>
                <w:sz w:val="20"/>
              </w:rPr>
              <w:t>substance.</w:t>
            </w:r>
          </w:p>
          <w:p w:rsidR="00E675F0" w:rsidRDefault="00E675F0" w:rsidP="003048D3">
            <w:pPr>
              <w:pStyle w:val="TableParagraph"/>
              <w:numPr>
                <w:ilvl w:val="1"/>
                <w:numId w:val="34"/>
              </w:numPr>
              <w:tabs>
                <w:tab w:val="left" w:pos="958"/>
              </w:tabs>
              <w:spacing w:before="186" w:line="256" w:lineRule="auto"/>
              <w:ind w:left="961" w:right="218" w:hanging="308"/>
              <w:rPr>
                <w:sz w:val="18"/>
              </w:rPr>
            </w:pPr>
            <w:r>
              <w:rPr>
                <w:w w:val="105"/>
                <w:sz w:val="20"/>
              </w:rPr>
              <w:t>Two (or more) of the following, developing during, or shortly after, use of amphetamine or a related</w:t>
            </w:r>
            <w:r>
              <w:rPr>
                <w:spacing w:val="-22"/>
                <w:w w:val="105"/>
                <w:sz w:val="20"/>
              </w:rPr>
              <w:t xml:space="preserve"> </w:t>
            </w:r>
            <w:r>
              <w:rPr>
                <w:w w:val="105"/>
                <w:sz w:val="20"/>
              </w:rPr>
              <w:t>substance:</w:t>
            </w:r>
          </w:p>
          <w:p w:rsidR="00E675F0" w:rsidRDefault="00E675F0" w:rsidP="003048D3">
            <w:pPr>
              <w:pStyle w:val="TableParagraph"/>
              <w:numPr>
                <w:ilvl w:val="2"/>
                <w:numId w:val="34"/>
              </w:numPr>
              <w:tabs>
                <w:tab w:val="left" w:pos="1384"/>
                <w:tab w:val="left" w:pos="1385"/>
              </w:tabs>
              <w:spacing w:before="51"/>
              <w:rPr>
                <w:sz w:val="17"/>
              </w:rPr>
            </w:pPr>
            <w:r>
              <w:rPr>
                <w:w w:val="105"/>
                <w:sz w:val="20"/>
              </w:rPr>
              <w:t>tachycardia or</w:t>
            </w:r>
            <w:r>
              <w:rPr>
                <w:spacing w:val="42"/>
                <w:w w:val="105"/>
                <w:sz w:val="20"/>
              </w:rPr>
              <w:t xml:space="preserve"> </w:t>
            </w:r>
            <w:r>
              <w:rPr>
                <w:w w:val="105"/>
                <w:sz w:val="20"/>
              </w:rPr>
              <w:t>bradycardia</w:t>
            </w:r>
          </w:p>
          <w:p w:rsidR="00E675F0" w:rsidRDefault="00E675F0" w:rsidP="003048D3">
            <w:pPr>
              <w:pStyle w:val="TableParagraph"/>
              <w:numPr>
                <w:ilvl w:val="2"/>
                <w:numId w:val="34"/>
              </w:numPr>
              <w:tabs>
                <w:tab w:val="left" w:pos="1393"/>
              </w:tabs>
              <w:spacing w:before="15"/>
              <w:ind w:left="1392" w:hanging="434"/>
              <w:rPr>
                <w:sz w:val="20"/>
              </w:rPr>
            </w:pPr>
            <w:r>
              <w:rPr>
                <w:w w:val="105"/>
                <w:sz w:val="20"/>
              </w:rPr>
              <w:t>pupillary</w:t>
            </w:r>
            <w:r>
              <w:rPr>
                <w:spacing w:val="16"/>
                <w:w w:val="105"/>
                <w:sz w:val="20"/>
              </w:rPr>
              <w:t xml:space="preserve"> </w:t>
            </w:r>
            <w:r>
              <w:rPr>
                <w:w w:val="105"/>
                <w:sz w:val="20"/>
              </w:rPr>
              <w:t>dilation</w:t>
            </w:r>
          </w:p>
          <w:p w:rsidR="00E675F0" w:rsidRDefault="00E675F0" w:rsidP="003048D3">
            <w:pPr>
              <w:pStyle w:val="TableParagraph"/>
              <w:numPr>
                <w:ilvl w:val="2"/>
                <w:numId w:val="34"/>
              </w:numPr>
              <w:tabs>
                <w:tab w:val="left" w:pos="1385"/>
              </w:tabs>
              <w:spacing w:before="15"/>
              <w:ind w:hanging="426"/>
              <w:rPr>
                <w:sz w:val="20"/>
              </w:rPr>
            </w:pPr>
            <w:r>
              <w:rPr>
                <w:w w:val="105"/>
                <w:sz w:val="20"/>
              </w:rPr>
              <w:t>elevated or lowered blood</w:t>
            </w:r>
            <w:r>
              <w:rPr>
                <w:spacing w:val="25"/>
                <w:w w:val="105"/>
                <w:sz w:val="20"/>
              </w:rPr>
              <w:t xml:space="preserve"> </w:t>
            </w:r>
            <w:r>
              <w:rPr>
                <w:w w:val="105"/>
                <w:sz w:val="20"/>
              </w:rPr>
              <w:t>pressure</w:t>
            </w:r>
          </w:p>
          <w:p w:rsidR="00E675F0" w:rsidRDefault="00E675F0" w:rsidP="003048D3">
            <w:pPr>
              <w:pStyle w:val="TableParagraph"/>
              <w:numPr>
                <w:ilvl w:val="2"/>
                <w:numId w:val="34"/>
              </w:numPr>
              <w:tabs>
                <w:tab w:val="left" w:pos="1393"/>
              </w:tabs>
              <w:spacing w:before="11"/>
              <w:ind w:left="1392" w:hanging="438"/>
              <w:rPr>
                <w:sz w:val="20"/>
              </w:rPr>
            </w:pPr>
            <w:r>
              <w:rPr>
                <w:w w:val="105"/>
                <w:sz w:val="20"/>
              </w:rPr>
              <w:t>perspiration or</w:t>
            </w:r>
            <w:r>
              <w:rPr>
                <w:spacing w:val="-19"/>
                <w:w w:val="105"/>
                <w:sz w:val="20"/>
              </w:rPr>
              <w:t xml:space="preserve"> </w:t>
            </w:r>
            <w:r>
              <w:rPr>
                <w:w w:val="105"/>
                <w:sz w:val="20"/>
              </w:rPr>
              <w:t>chills</w:t>
            </w:r>
          </w:p>
          <w:p w:rsidR="00E675F0" w:rsidRDefault="00E675F0" w:rsidP="003048D3">
            <w:pPr>
              <w:pStyle w:val="TableParagraph"/>
              <w:numPr>
                <w:ilvl w:val="2"/>
                <w:numId w:val="34"/>
              </w:numPr>
              <w:tabs>
                <w:tab w:val="left" w:pos="1386"/>
              </w:tabs>
              <w:spacing w:before="15"/>
              <w:ind w:left="1385" w:hanging="431"/>
              <w:rPr>
                <w:sz w:val="20"/>
              </w:rPr>
            </w:pPr>
            <w:r>
              <w:rPr>
                <w:w w:val="105"/>
                <w:sz w:val="20"/>
              </w:rPr>
              <w:t>nausea or</w:t>
            </w:r>
            <w:r>
              <w:rPr>
                <w:spacing w:val="19"/>
                <w:w w:val="105"/>
                <w:sz w:val="20"/>
              </w:rPr>
              <w:t xml:space="preserve"> </w:t>
            </w:r>
            <w:r>
              <w:rPr>
                <w:w w:val="105"/>
                <w:sz w:val="20"/>
              </w:rPr>
              <w:t>vomiting</w:t>
            </w:r>
          </w:p>
          <w:p w:rsidR="00E675F0" w:rsidRDefault="00E675F0" w:rsidP="003048D3">
            <w:pPr>
              <w:pStyle w:val="TableParagraph"/>
              <w:numPr>
                <w:ilvl w:val="2"/>
                <w:numId w:val="34"/>
              </w:numPr>
              <w:tabs>
                <w:tab w:val="left" w:pos="1385"/>
              </w:tabs>
              <w:spacing w:before="15"/>
              <w:ind w:hanging="426"/>
              <w:rPr>
                <w:sz w:val="20"/>
              </w:rPr>
            </w:pPr>
            <w:r>
              <w:rPr>
                <w:w w:val="105"/>
                <w:sz w:val="20"/>
              </w:rPr>
              <w:t>evidence of weight</w:t>
            </w:r>
            <w:r>
              <w:rPr>
                <w:spacing w:val="41"/>
                <w:w w:val="105"/>
                <w:sz w:val="20"/>
              </w:rPr>
              <w:t xml:space="preserve"> </w:t>
            </w:r>
            <w:r>
              <w:rPr>
                <w:w w:val="105"/>
                <w:sz w:val="20"/>
              </w:rPr>
              <w:t>loss</w:t>
            </w:r>
          </w:p>
          <w:p w:rsidR="00E675F0" w:rsidRDefault="00E675F0" w:rsidP="003048D3">
            <w:pPr>
              <w:pStyle w:val="TableParagraph"/>
              <w:numPr>
                <w:ilvl w:val="2"/>
                <w:numId w:val="34"/>
              </w:numPr>
              <w:tabs>
                <w:tab w:val="left" w:pos="1388"/>
              </w:tabs>
              <w:spacing w:before="15"/>
              <w:ind w:left="1387" w:hanging="433"/>
              <w:rPr>
                <w:sz w:val="20"/>
              </w:rPr>
            </w:pPr>
            <w:r>
              <w:rPr>
                <w:w w:val="105"/>
                <w:sz w:val="20"/>
              </w:rPr>
              <w:t>psychomotor agitation or</w:t>
            </w:r>
            <w:r>
              <w:rPr>
                <w:spacing w:val="7"/>
                <w:w w:val="105"/>
                <w:sz w:val="20"/>
              </w:rPr>
              <w:t xml:space="preserve"> </w:t>
            </w:r>
            <w:r>
              <w:rPr>
                <w:w w:val="105"/>
                <w:sz w:val="20"/>
              </w:rPr>
              <w:t>retardation</w:t>
            </w:r>
          </w:p>
          <w:p w:rsidR="00E675F0" w:rsidRDefault="00E675F0" w:rsidP="003048D3">
            <w:pPr>
              <w:pStyle w:val="TableParagraph"/>
              <w:numPr>
                <w:ilvl w:val="2"/>
                <w:numId w:val="34"/>
              </w:numPr>
              <w:tabs>
                <w:tab w:val="left" w:pos="1390"/>
              </w:tabs>
              <w:spacing w:before="15" w:line="256" w:lineRule="auto"/>
              <w:ind w:right="227" w:hanging="430"/>
              <w:rPr>
                <w:sz w:val="20"/>
              </w:rPr>
            </w:pPr>
            <w:r>
              <w:rPr>
                <w:w w:val="105"/>
                <w:sz w:val="20"/>
              </w:rPr>
              <w:t>muscular weakness, respiratory depression, chest pain, or cardiac arrhythmias</w:t>
            </w:r>
          </w:p>
          <w:p w:rsidR="00E675F0" w:rsidRDefault="00E675F0" w:rsidP="003048D3">
            <w:pPr>
              <w:pStyle w:val="TableParagraph"/>
              <w:numPr>
                <w:ilvl w:val="2"/>
                <w:numId w:val="34"/>
              </w:numPr>
              <w:tabs>
                <w:tab w:val="left" w:pos="1385"/>
              </w:tabs>
              <w:spacing w:line="228" w:lineRule="exact"/>
              <w:ind w:hanging="430"/>
              <w:rPr>
                <w:sz w:val="20"/>
              </w:rPr>
            </w:pPr>
            <w:r>
              <w:rPr>
                <w:w w:val="105"/>
                <w:sz w:val="20"/>
              </w:rPr>
              <w:t>confusion, seizures, dyskinesias, dystonias, or</w:t>
            </w:r>
            <w:r>
              <w:rPr>
                <w:spacing w:val="35"/>
                <w:w w:val="105"/>
                <w:sz w:val="20"/>
              </w:rPr>
              <w:t xml:space="preserve"> </w:t>
            </w:r>
            <w:r>
              <w:rPr>
                <w:w w:val="105"/>
                <w:sz w:val="20"/>
              </w:rPr>
              <w:t>coma</w:t>
            </w:r>
          </w:p>
          <w:p w:rsidR="00E675F0" w:rsidRDefault="00E675F0" w:rsidP="00A330E1">
            <w:pPr>
              <w:pStyle w:val="TableParagraph"/>
              <w:spacing w:before="2"/>
              <w:rPr>
                <w:sz w:val="17"/>
              </w:rPr>
            </w:pPr>
          </w:p>
          <w:p w:rsidR="00E675F0" w:rsidRDefault="00E675F0" w:rsidP="003048D3">
            <w:pPr>
              <w:pStyle w:val="TableParagraph"/>
              <w:numPr>
                <w:ilvl w:val="1"/>
                <w:numId w:val="34"/>
              </w:numPr>
              <w:tabs>
                <w:tab w:val="left" w:pos="953"/>
              </w:tabs>
              <w:spacing w:before="1" w:line="252" w:lineRule="auto"/>
              <w:ind w:left="963" w:right="221" w:hanging="308"/>
              <w:rPr>
                <w:sz w:val="20"/>
              </w:rPr>
            </w:pPr>
            <w:r>
              <w:rPr>
                <w:w w:val="105"/>
                <w:sz w:val="20"/>
              </w:rPr>
              <w:t>The symptoms are not due to a general medical condition and are not better accounted for by another mental</w:t>
            </w:r>
            <w:r>
              <w:rPr>
                <w:spacing w:val="30"/>
                <w:w w:val="105"/>
                <w:sz w:val="20"/>
              </w:rPr>
              <w:t xml:space="preserve"> </w:t>
            </w:r>
            <w:r>
              <w:rPr>
                <w:w w:val="105"/>
                <w:sz w:val="20"/>
              </w:rPr>
              <w:t>disorder.</w:t>
            </w:r>
          </w:p>
          <w:p w:rsidR="00E675F0" w:rsidRDefault="00E675F0" w:rsidP="00A330E1">
            <w:pPr>
              <w:pStyle w:val="TableParagraph"/>
              <w:spacing w:before="180"/>
              <w:ind w:left="423"/>
              <w:rPr>
                <w:sz w:val="19"/>
              </w:rPr>
            </w:pPr>
            <w:r>
              <w:rPr>
                <w:i/>
                <w:sz w:val="20"/>
              </w:rPr>
              <w:t xml:space="preserve">Specify </w:t>
            </w:r>
            <w:r>
              <w:rPr>
                <w:sz w:val="19"/>
              </w:rPr>
              <w:t>if:</w:t>
            </w:r>
          </w:p>
          <w:p w:rsidR="00E675F0" w:rsidRDefault="00E675F0" w:rsidP="00A330E1">
            <w:pPr>
              <w:pStyle w:val="TableParagraph"/>
              <w:spacing w:before="6"/>
              <w:ind w:left="644"/>
              <w:rPr>
                <w:b/>
                <w:sz w:val="20"/>
              </w:rPr>
            </w:pPr>
            <w:r>
              <w:rPr>
                <w:b/>
                <w:w w:val="110"/>
                <w:sz w:val="20"/>
              </w:rPr>
              <w:t>With Perceptual Disturbances</w:t>
            </w:r>
          </w:p>
        </w:tc>
      </w:tr>
    </w:tbl>
    <w:p w:rsidR="00E675F0" w:rsidRDefault="00E675F0" w:rsidP="00E675F0">
      <w:pPr>
        <w:pStyle w:val="BodyText"/>
      </w:pPr>
    </w:p>
    <w:p w:rsidR="00E675F0" w:rsidRDefault="00E675F0" w:rsidP="00E675F0">
      <w:pPr>
        <w:pStyle w:val="BodyText"/>
        <w:spacing w:before="6"/>
      </w:pPr>
    </w:p>
    <w:p w:rsidR="00E675F0" w:rsidRDefault="00E675F0" w:rsidP="00E675F0">
      <w:pPr>
        <w:tabs>
          <w:tab w:val="left" w:pos="2693"/>
        </w:tabs>
        <w:spacing w:before="92"/>
        <w:ind w:left="1772"/>
        <w:rPr>
          <w:rFonts w:ascii="Arial"/>
          <w:b/>
          <w:sz w:val="25"/>
        </w:rPr>
      </w:pPr>
      <w:r>
        <w:rPr>
          <w:noProof/>
        </w:rPr>
        <mc:AlternateContent>
          <mc:Choice Requires="wpg">
            <w:drawing>
              <wp:anchor distT="0" distB="0" distL="114300" distR="114300" simplePos="0" relativeHeight="251799552" behindDoc="1" locked="0" layoutInCell="1" allowOverlap="1" wp14:anchorId="1FFBD57C" wp14:editId="1B39C5FF">
                <wp:simplePos x="0" y="0"/>
                <wp:positionH relativeFrom="page">
                  <wp:posOffset>475615</wp:posOffset>
                </wp:positionH>
                <wp:positionV relativeFrom="paragraph">
                  <wp:posOffset>-4883785</wp:posOffset>
                </wp:positionV>
                <wp:extent cx="4753610" cy="4639945"/>
                <wp:effectExtent l="0" t="0" r="21590" b="0"/>
                <wp:wrapNone/>
                <wp:docPr id="1370" name="Group 1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3610" cy="4639945"/>
                          <a:chOff x="749" y="-7691"/>
                          <a:chExt cx="7486" cy="7307"/>
                        </a:xfrm>
                      </wpg:grpSpPr>
                      <wps:wsp>
                        <wps:cNvPr id="1371" name="Line 1329"/>
                        <wps:cNvCnPr>
                          <a:cxnSpLocks/>
                        </wps:cNvCnPr>
                        <wps:spPr bwMode="auto">
                          <a:xfrm>
                            <a:off x="812" y="-385"/>
                            <a:ext cx="0" cy="0"/>
                          </a:xfrm>
                          <a:prstGeom prst="line">
                            <a:avLst/>
                          </a:prstGeom>
                          <a:noFill/>
                          <a:ln w="3360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2" name="Line 1328"/>
                        <wps:cNvCnPr>
                          <a:cxnSpLocks/>
                        </wps:cNvCnPr>
                        <wps:spPr bwMode="auto">
                          <a:xfrm>
                            <a:off x="8143" y="-385"/>
                            <a:ext cx="0" cy="0"/>
                          </a:xfrm>
                          <a:prstGeom prst="line">
                            <a:avLst/>
                          </a:prstGeom>
                          <a:noFill/>
                          <a:ln w="305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3" name="Line 1327"/>
                        <wps:cNvCnPr>
                          <a:cxnSpLocks/>
                        </wps:cNvCnPr>
                        <wps:spPr bwMode="auto">
                          <a:xfrm>
                            <a:off x="749" y="-7624"/>
                            <a:ext cx="7486" cy="0"/>
                          </a:xfrm>
                          <a:prstGeom prst="line">
                            <a:avLst/>
                          </a:prstGeom>
                          <a:noFill/>
                          <a:ln w="335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C17457" id="Group 1326" o:spid="_x0000_s1026" style="position:absolute;margin-left:37.45pt;margin-top:-384.55pt;width:374.3pt;height:365.35pt;z-index:-251516928;mso-position-horizontal-relative:page" coordorigin="749,-7691" coordsize="7486,730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">
                <v:line id="Line 1329" o:spid="_x0000_s1027" style="position:absolute;visibility:visible;mso-wrap-style:square" from="812,-385" to="812,-3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" strokeweight=".93339mm">
                  <o:lock v:ext="edit" shapetype="f"/>
                </v:line>
                <v:line id="Line 1328" o:spid="_x0000_s1028" style="position:absolute;visibility:visible;mso-wrap-style:square" from="8143,-385" to="8143,-3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" strokeweight=".84856mm">
                  <o:lock v:ext="edit" shapetype="f"/>
                </v:line>
                <v:line id="Line 1327" o:spid="_x0000_s1029" style="position:absolute;visibility:visible;mso-wrap-style:square" from="749,-7624" to="8235,-76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" strokeweight=".93264mm">
                  <o:lock v:ext="edit" shapetype="f"/>
                </v:line>
                <w10:wrap anchorx="page"/>
              </v:group>
            </w:pict>
          </mc:Fallback>
        </mc:AlternateContent>
      </w:r>
      <w:r>
        <w:rPr>
          <w:rFonts w:ascii="Arial"/>
          <w:b/>
          <w:w w:val="110"/>
          <w:sz w:val="25"/>
        </w:rPr>
        <w:t>292.0</w:t>
      </w:r>
      <w:r>
        <w:rPr>
          <w:rFonts w:ascii="Arial"/>
          <w:b/>
          <w:w w:val="110"/>
          <w:sz w:val="25"/>
        </w:rPr>
        <w:tab/>
        <w:t>Amphetamine</w:t>
      </w:r>
      <w:r>
        <w:rPr>
          <w:rFonts w:ascii="Arial"/>
          <w:b/>
          <w:spacing w:val="9"/>
          <w:w w:val="110"/>
          <w:sz w:val="25"/>
        </w:rPr>
        <w:t xml:space="preserve"> </w:t>
      </w:r>
      <w:r>
        <w:rPr>
          <w:rFonts w:ascii="Arial"/>
          <w:b/>
          <w:w w:val="110"/>
          <w:sz w:val="25"/>
        </w:rPr>
        <w:t>Withdrawal</w:t>
      </w:r>
    </w:p>
    <w:p w:rsidR="00E675F0" w:rsidRDefault="00E675F0" w:rsidP="00E675F0">
      <w:pPr>
        <w:pStyle w:val="BodyText"/>
        <w:spacing w:before="241" w:line="254" w:lineRule="auto"/>
        <w:ind w:left="117" w:right="114" w:firstLine="5"/>
        <w:jc w:val="both"/>
      </w:pPr>
      <w:r>
        <w:rPr>
          <w:w w:val="105"/>
        </w:rPr>
        <w:t>Also refer to the text and criteria for Substance Withdrawal (see p. 184). The essential feature of Amphetamine Withdrawal is the presence of a characteristic withdrawal syndrome</w:t>
      </w:r>
      <w:r>
        <w:rPr>
          <w:spacing w:val="-6"/>
          <w:w w:val="105"/>
        </w:rPr>
        <w:t xml:space="preserve"> </w:t>
      </w:r>
      <w:r>
        <w:rPr>
          <w:w w:val="105"/>
        </w:rPr>
        <w:t>that</w:t>
      </w:r>
      <w:r>
        <w:rPr>
          <w:spacing w:val="-8"/>
          <w:w w:val="105"/>
        </w:rPr>
        <w:t xml:space="preserve"> </w:t>
      </w:r>
      <w:r>
        <w:rPr>
          <w:w w:val="105"/>
        </w:rPr>
        <w:t>develops</w:t>
      </w:r>
      <w:r>
        <w:rPr>
          <w:spacing w:val="-11"/>
          <w:w w:val="105"/>
        </w:rPr>
        <w:t xml:space="preserve"> </w:t>
      </w:r>
      <w:r>
        <w:rPr>
          <w:w w:val="105"/>
        </w:rPr>
        <w:t>within</w:t>
      </w:r>
      <w:r>
        <w:rPr>
          <w:spacing w:val="-7"/>
          <w:w w:val="105"/>
        </w:rPr>
        <w:t xml:space="preserve"> </w:t>
      </w:r>
      <w:r>
        <w:rPr>
          <w:w w:val="105"/>
        </w:rPr>
        <w:t>a</w:t>
      </w:r>
      <w:r>
        <w:rPr>
          <w:spacing w:val="-14"/>
          <w:w w:val="105"/>
        </w:rPr>
        <w:t xml:space="preserve"> </w:t>
      </w:r>
      <w:r>
        <w:rPr>
          <w:w w:val="105"/>
        </w:rPr>
        <w:t>few</w:t>
      </w:r>
      <w:r>
        <w:rPr>
          <w:spacing w:val="-10"/>
          <w:w w:val="105"/>
        </w:rPr>
        <w:t xml:space="preserve"> </w:t>
      </w:r>
      <w:r>
        <w:rPr>
          <w:w w:val="105"/>
        </w:rPr>
        <w:t>hours</w:t>
      </w:r>
      <w:r>
        <w:rPr>
          <w:spacing w:val="-8"/>
          <w:w w:val="105"/>
        </w:rPr>
        <w:t xml:space="preserve"> </w:t>
      </w:r>
      <w:r>
        <w:rPr>
          <w:w w:val="105"/>
        </w:rPr>
        <w:t>to</w:t>
      </w:r>
      <w:r>
        <w:rPr>
          <w:spacing w:val="-22"/>
          <w:w w:val="105"/>
        </w:rPr>
        <w:t xml:space="preserve"> </w:t>
      </w:r>
      <w:r>
        <w:rPr>
          <w:w w:val="105"/>
        </w:rPr>
        <w:t>several</w:t>
      </w:r>
      <w:r>
        <w:rPr>
          <w:spacing w:val="-8"/>
          <w:w w:val="105"/>
        </w:rPr>
        <w:t xml:space="preserve"> </w:t>
      </w:r>
      <w:r>
        <w:rPr>
          <w:w w:val="105"/>
        </w:rPr>
        <w:t>days</w:t>
      </w:r>
      <w:r>
        <w:rPr>
          <w:spacing w:val="-9"/>
          <w:w w:val="105"/>
        </w:rPr>
        <w:t xml:space="preserve"> </w:t>
      </w:r>
      <w:r>
        <w:rPr>
          <w:w w:val="105"/>
        </w:rPr>
        <w:t>after</w:t>
      </w:r>
      <w:r>
        <w:rPr>
          <w:spacing w:val="-9"/>
          <w:w w:val="105"/>
        </w:rPr>
        <w:t xml:space="preserve"> </w:t>
      </w:r>
      <w:r>
        <w:rPr>
          <w:w w:val="105"/>
        </w:rPr>
        <w:t>cessation</w:t>
      </w:r>
      <w:r>
        <w:rPr>
          <w:spacing w:val="1"/>
          <w:w w:val="105"/>
        </w:rPr>
        <w:t xml:space="preserve"> </w:t>
      </w:r>
      <w:r>
        <w:rPr>
          <w:w w:val="105"/>
        </w:rPr>
        <w:t>of</w:t>
      </w:r>
      <w:r>
        <w:rPr>
          <w:spacing w:val="-10"/>
          <w:w w:val="105"/>
        </w:rPr>
        <w:t xml:space="preserve"> </w:t>
      </w:r>
      <w:r>
        <w:rPr>
          <w:w w:val="105"/>
        </w:rPr>
        <w:t>(or</w:t>
      </w:r>
      <w:r>
        <w:rPr>
          <w:spacing w:val="2"/>
          <w:w w:val="105"/>
        </w:rPr>
        <w:t xml:space="preserve"> </w:t>
      </w:r>
      <w:r>
        <w:rPr>
          <w:w w:val="105"/>
        </w:rPr>
        <w:t>reduction in) heavy and prolonged amphetamine use (Criteria A and B). The withdrawal syndrome is</w:t>
      </w:r>
      <w:r>
        <w:rPr>
          <w:spacing w:val="-20"/>
          <w:w w:val="105"/>
        </w:rPr>
        <w:t xml:space="preserve"> </w:t>
      </w:r>
      <w:r>
        <w:rPr>
          <w:w w:val="105"/>
        </w:rPr>
        <w:t>characterized</w:t>
      </w:r>
      <w:r>
        <w:rPr>
          <w:spacing w:val="12"/>
          <w:w w:val="105"/>
        </w:rPr>
        <w:t xml:space="preserve"> </w:t>
      </w:r>
      <w:r>
        <w:rPr>
          <w:w w:val="105"/>
        </w:rPr>
        <w:t>by</w:t>
      </w:r>
      <w:r>
        <w:rPr>
          <w:spacing w:val="-11"/>
          <w:w w:val="105"/>
        </w:rPr>
        <w:t xml:space="preserve"> </w:t>
      </w:r>
      <w:r>
        <w:rPr>
          <w:w w:val="105"/>
        </w:rPr>
        <w:t>the</w:t>
      </w:r>
      <w:r>
        <w:rPr>
          <w:spacing w:val="-11"/>
          <w:w w:val="105"/>
        </w:rPr>
        <w:t xml:space="preserve"> </w:t>
      </w:r>
      <w:r>
        <w:rPr>
          <w:w w:val="105"/>
        </w:rPr>
        <w:t>development</w:t>
      </w:r>
      <w:r>
        <w:rPr>
          <w:spacing w:val="8"/>
          <w:w w:val="105"/>
        </w:rPr>
        <w:t xml:space="preserve"> </w:t>
      </w:r>
      <w:r>
        <w:rPr>
          <w:w w:val="105"/>
        </w:rPr>
        <w:t>of</w:t>
      </w:r>
      <w:r>
        <w:rPr>
          <w:spacing w:val="1"/>
          <w:w w:val="105"/>
        </w:rPr>
        <w:t xml:space="preserve"> </w:t>
      </w:r>
      <w:r>
        <w:rPr>
          <w:w w:val="105"/>
        </w:rPr>
        <w:t>dysphoric</w:t>
      </w:r>
      <w:r>
        <w:rPr>
          <w:spacing w:val="3"/>
          <w:w w:val="105"/>
        </w:rPr>
        <w:t xml:space="preserve"> </w:t>
      </w:r>
      <w:r>
        <w:rPr>
          <w:w w:val="105"/>
        </w:rPr>
        <w:t>mood</w:t>
      </w:r>
      <w:r>
        <w:rPr>
          <w:spacing w:val="1"/>
          <w:w w:val="105"/>
        </w:rPr>
        <w:t xml:space="preserve"> </w:t>
      </w:r>
      <w:r>
        <w:rPr>
          <w:w w:val="105"/>
        </w:rPr>
        <w:t>and</w:t>
      </w:r>
      <w:r>
        <w:rPr>
          <w:spacing w:val="-5"/>
          <w:w w:val="105"/>
        </w:rPr>
        <w:t xml:space="preserve"> </w:t>
      </w:r>
      <w:r>
        <w:rPr>
          <w:w w:val="105"/>
        </w:rPr>
        <w:t>two</w:t>
      </w:r>
      <w:r>
        <w:rPr>
          <w:spacing w:val="-11"/>
          <w:w w:val="105"/>
        </w:rPr>
        <w:t xml:space="preserve"> </w:t>
      </w:r>
      <w:r>
        <w:rPr>
          <w:w w:val="105"/>
        </w:rPr>
        <w:t>or</w:t>
      </w:r>
      <w:r>
        <w:rPr>
          <w:spacing w:val="-9"/>
          <w:w w:val="105"/>
        </w:rPr>
        <w:t xml:space="preserve"> </w:t>
      </w:r>
      <w:r>
        <w:rPr>
          <w:w w:val="105"/>
        </w:rPr>
        <w:t>more</w:t>
      </w:r>
      <w:r>
        <w:rPr>
          <w:spacing w:val="-6"/>
          <w:w w:val="105"/>
        </w:rPr>
        <w:t xml:space="preserve"> </w:t>
      </w:r>
      <w:r>
        <w:rPr>
          <w:w w:val="105"/>
        </w:rPr>
        <w:t>of</w:t>
      </w:r>
      <w:r>
        <w:rPr>
          <w:spacing w:val="2"/>
          <w:w w:val="105"/>
        </w:rPr>
        <w:t xml:space="preserve"> </w:t>
      </w:r>
      <w:r>
        <w:rPr>
          <w:w w:val="105"/>
        </w:rPr>
        <w:t>the</w:t>
      </w:r>
      <w:r>
        <w:rPr>
          <w:spacing w:val="-13"/>
          <w:w w:val="105"/>
        </w:rPr>
        <w:t xml:space="preserve"> </w:t>
      </w:r>
      <w:r>
        <w:rPr>
          <w:w w:val="105"/>
        </w:rPr>
        <w:t>following physiological changes: fatigue, vivid and unpleasant dreams, insomnia or hypersomnia, increased appetite, and psychomotor retardation or agitation. Anhedonia and drug craving can also be present but are not part of the diagnostic criteria. The symptoms cause clinically significant distress or impairment in social, occupational, or other important areas of functioning (Criterion C). The symptoms must not be due to a general medical condition and are not better accounted for by another mental</w:t>
      </w:r>
      <w:r>
        <w:rPr>
          <w:spacing w:val="34"/>
          <w:w w:val="105"/>
        </w:rPr>
        <w:t xml:space="preserve"> </w:t>
      </w:r>
      <w:r>
        <w:rPr>
          <w:w w:val="105"/>
        </w:rPr>
        <w:t>disorder.</w:t>
      </w:r>
    </w:p>
    <w:p w:rsidR="00E675F0" w:rsidRDefault="00E675F0" w:rsidP="00E675F0">
      <w:pPr>
        <w:pStyle w:val="BodyText"/>
        <w:spacing w:before="6" w:line="256" w:lineRule="auto"/>
        <w:ind w:left="116" w:right="120" w:firstLine="365"/>
        <w:jc w:val="both"/>
      </w:pPr>
      <w:r>
        <w:rPr>
          <w:w w:val="105"/>
        </w:rPr>
        <w:t>Marked withdrawal symptoms ("crashing") often follow an episode of intense, high-dose use (a "speed run"). These periods are characterized by intense and unpleasant feelings of lassitude and depression, generally requiring several days of rest and recuperation. Weight loss commonly occurs during heavy stimulant use, whereas a</w:t>
      </w:r>
    </w:p>
    <w:p w:rsidR="00E675F0" w:rsidRDefault="00E675F0" w:rsidP="00E675F0">
      <w:pPr>
        <w:spacing w:line="256" w:lineRule="auto"/>
        <w:jc w:val="both"/>
        <w:sectPr w:rsidR="00E675F0">
          <w:pgSz w:w="8960" w:h="14260"/>
          <w:pgMar w:top="1400" w:right="620" w:bottom="280" w:left="620" w:header="702" w:footer="0" w:gutter="0"/>
          <w:cols w:space="720"/>
        </w:sectPr>
      </w:pPr>
    </w:p>
    <w:p w:rsidR="00E675F0" w:rsidRDefault="00E675F0" w:rsidP="00E675F0">
      <w:pPr>
        <w:pStyle w:val="BodyText"/>
        <w:spacing w:before="138" w:line="252" w:lineRule="auto"/>
        <w:ind w:left="136" w:right="115" w:firstLine="4"/>
        <w:jc w:val="both"/>
      </w:pPr>
      <w:bookmarkStart w:id="133" w:name="_bookmark114"/>
      <w:bookmarkEnd w:id="133"/>
      <w:r>
        <w:rPr>
          <w:w w:val="105"/>
        </w:rPr>
        <w:lastRenderedPageBreak/>
        <w:t>marked increase in appetite with rapid weight gain is often observed during withdrawal. Depressive symptoms may last several days and may be accompanied by suicidal ideation.</w:t>
      </w:r>
    </w:p>
    <w:p w:rsidR="00E675F0" w:rsidRDefault="00E675F0" w:rsidP="00E675F0">
      <w:pPr>
        <w:pStyle w:val="BodyText"/>
      </w:pPr>
    </w:p>
    <w:p w:rsidR="00E675F0" w:rsidRDefault="00E675F0" w:rsidP="00E675F0">
      <w:pPr>
        <w:pStyle w:val="BodyText"/>
        <w:spacing w:before="4"/>
        <w:rPr>
          <w:sz w:val="10"/>
        </w:rPr>
      </w:pPr>
      <w:r>
        <w:rPr>
          <w:noProof/>
        </w:rPr>
        <mc:AlternateContent>
          <mc:Choice Requires="wpg">
            <w:drawing>
              <wp:anchor distT="0" distB="0" distL="0" distR="0" simplePos="0" relativeHeight="251876352" behindDoc="1" locked="0" layoutInCell="1" allowOverlap="1" wp14:anchorId="126D9A36" wp14:editId="11C1C38A">
                <wp:simplePos x="0" y="0"/>
                <wp:positionH relativeFrom="page">
                  <wp:posOffset>471805</wp:posOffset>
                </wp:positionH>
                <wp:positionV relativeFrom="paragraph">
                  <wp:posOffset>116840</wp:posOffset>
                </wp:positionV>
                <wp:extent cx="4754880" cy="3113405"/>
                <wp:effectExtent l="0" t="0" r="0" b="0"/>
                <wp:wrapTopAndBottom/>
                <wp:docPr id="1364" name="Group 1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4880" cy="3113405"/>
                          <a:chOff x="743" y="184"/>
                          <a:chExt cx="7488" cy="4903"/>
                        </a:xfrm>
                      </wpg:grpSpPr>
                      <wps:wsp>
                        <wps:cNvPr id="1365" name="Line 1325"/>
                        <wps:cNvCnPr>
                          <a:cxnSpLocks/>
                        </wps:cNvCnPr>
                        <wps:spPr bwMode="auto">
                          <a:xfrm>
                            <a:off x="830" y="5087"/>
                            <a:ext cx="0" cy="0"/>
                          </a:xfrm>
                          <a:prstGeom prst="line">
                            <a:avLst/>
                          </a:prstGeom>
                          <a:noFill/>
                          <a:ln w="305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6" name="Line 1324"/>
                        <wps:cNvCnPr>
                          <a:cxnSpLocks/>
                        </wps:cNvCnPr>
                        <wps:spPr bwMode="auto">
                          <a:xfrm>
                            <a:off x="8124" y="5010"/>
                            <a:ext cx="0" cy="0"/>
                          </a:xfrm>
                          <a:prstGeom prst="line">
                            <a:avLst/>
                          </a:prstGeom>
                          <a:noFill/>
                          <a:ln w="244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7" name="Line 1323"/>
                        <wps:cNvCnPr>
                          <a:cxnSpLocks/>
                        </wps:cNvCnPr>
                        <wps:spPr bwMode="auto">
                          <a:xfrm>
                            <a:off x="8211" y="5087"/>
                            <a:ext cx="0" cy="0"/>
                          </a:xfrm>
                          <a:prstGeom prst="line">
                            <a:avLst/>
                          </a:prstGeom>
                          <a:noFill/>
                          <a:ln w="611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8" name="AutoShape 1322"/>
                        <wps:cNvSpPr>
                          <a:spLocks/>
                        </wps:cNvSpPr>
                        <wps:spPr bwMode="auto">
                          <a:xfrm>
                            <a:off x="742" y="270"/>
                            <a:ext cx="7488" cy="4726"/>
                          </a:xfrm>
                          <a:custGeom>
                            <a:avLst/>
                            <a:gdLst>
                              <a:gd name="T0" fmla="+- 0 743 743"/>
                              <a:gd name="T1" fmla="*/ T0 w 7488"/>
                              <a:gd name="T2" fmla="+- 0 270 270"/>
                              <a:gd name="T3" fmla="*/ 270 h 4726"/>
                              <a:gd name="T4" fmla="+- 0 8230 743"/>
                              <a:gd name="T5" fmla="*/ T4 w 7488"/>
                              <a:gd name="T6" fmla="+- 0 270 270"/>
                              <a:gd name="T7" fmla="*/ 270 h 4726"/>
                              <a:gd name="T8" fmla="+- 0 762 743"/>
                              <a:gd name="T9" fmla="*/ T8 w 7488"/>
                              <a:gd name="T10" fmla="+- 0 4995 270"/>
                              <a:gd name="T11" fmla="*/ 4995 h 4726"/>
                              <a:gd name="T12" fmla="+- 0 8230 743"/>
                              <a:gd name="T13" fmla="*/ T12 w 7488"/>
                              <a:gd name="T14" fmla="+- 0 4995 270"/>
                              <a:gd name="T15" fmla="*/ 4995 h 4726"/>
                            </a:gdLst>
                            <a:ahLst/>
                            <a:cxnLst>
                              <a:cxn ang="0">
                                <a:pos x="T1" y="T3"/>
                              </a:cxn>
                              <a:cxn ang="0">
                                <a:pos x="T5" y="T7"/>
                              </a:cxn>
                              <a:cxn ang="0">
                                <a:pos x="T9" y="T11"/>
                              </a:cxn>
                              <a:cxn ang="0">
                                <a:pos x="T13" y="T15"/>
                              </a:cxn>
                            </a:cxnLst>
                            <a:rect l="0" t="0" r="r" b="b"/>
                            <a:pathLst>
                              <a:path w="7488" h="4726">
                                <a:moveTo>
                                  <a:pt x="0" y="0"/>
                                </a:moveTo>
                                <a:lnTo>
                                  <a:pt x="7487" y="0"/>
                                </a:lnTo>
                                <a:moveTo>
                                  <a:pt x="19" y="4725"/>
                                </a:moveTo>
                                <a:lnTo>
                                  <a:pt x="7487" y="4725"/>
                                </a:lnTo>
                              </a:path>
                            </a:pathLst>
                          </a:custGeom>
                          <a:noFill/>
                          <a:ln w="3053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9" name="Text Box 1321"/>
                        <wps:cNvSpPr txBox="1">
                          <a:spLocks/>
                        </wps:cNvSpPr>
                        <wps:spPr bwMode="auto">
                          <a:xfrm>
                            <a:off x="853" y="294"/>
                            <a:ext cx="7252" cy="4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5F0" w:rsidRDefault="00E675F0" w:rsidP="003048D3">
                              <w:pPr>
                                <w:numPr>
                                  <w:ilvl w:val="0"/>
                                  <w:numId w:val="33"/>
                                </w:numPr>
                                <w:tabs>
                                  <w:tab w:val="left" w:pos="599"/>
                                </w:tabs>
                                <w:spacing w:line="534" w:lineRule="exact"/>
                                <w:rPr>
                                  <w:rFonts w:ascii="Arial"/>
                                  <w:b/>
                                  <w:sz w:val="24"/>
                                </w:rPr>
                              </w:pPr>
                              <w:r>
                                <w:rPr>
                                  <w:rFonts w:ascii="Arial"/>
                                  <w:b/>
                                  <w:w w:val="105"/>
                                  <w:sz w:val="24"/>
                                </w:rPr>
                                <w:t>Diagnostic criteria for 292.0 Amphetamine</w:t>
                              </w:r>
                              <w:r>
                                <w:rPr>
                                  <w:rFonts w:ascii="Arial"/>
                                  <w:b/>
                                  <w:spacing w:val="-37"/>
                                  <w:w w:val="105"/>
                                  <w:sz w:val="24"/>
                                </w:rPr>
                                <w:t xml:space="preserve"> </w:t>
                              </w:r>
                              <w:r>
                                <w:rPr>
                                  <w:rFonts w:ascii="Arial"/>
                                  <w:b/>
                                  <w:w w:val="105"/>
                                  <w:sz w:val="24"/>
                                </w:rPr>
                                <w:t>Withdrawal</w:t>
                              </w:r>
                            </w:p>
                            <w:p w:rsidR="00E675F0" w:rsidRDefault="00E675F0" w:rsidP="003048D3">
                              <w:pPr>
                                <w:numPr>
                                  <w:ilvl w:val="1"/>
                                  <w:numId w:val="33"/>
                                </w:numPr>
                                <w:tabs>
                                  <w:tab w:val="left" w:pos="927"/>
                                </w:tabs>
                                <w:spacing w:before="149" w:line="261" w:lineRule="auto"/>
                                <w:ind w:right="231" w:hanging="313"/>
                                <w:rPr>
                                  <w:sz w:val="20"/>
                                </w:rPr>
                              </w:pPr>
                              <w:r>
                                <w:rPr>
                                  <w:w w:val="105"/>
                                  <w:sz w:val="20"/>
                                </w:rPr>
                                <w:t>Cessation of (or reduction in) amphetamine (or a related substance) use that has been heavy and</w:t>
                              </w:r>
                              <w:r>
                                <w:rPr>
                                  <w:spacing w:val="30"/>
                                  <w:w w:val="105"/>
                                  <w:sz w:val="20"/>
                                </w:rPr>
                                <w:t xml:space="preserve"> </w:t>
                              </w:r>
                              <w:r>
                                <w:rPr>
                                  <w:w w:val="105"/>
                                  <w:sz w:val="20"/>
                                </w:rPr>
                                <w:t>prolonged.</w:t>
                              </w:r>
                            </w:p>
                            <w:p w:rsidR="00E675F0" w:rsidRDefault="00E675F0" w:rsidP="003048D3">
                              <w:pPr>
                                <w:numPr>
                                  <w:ilvl w:val="1"/>
                                  <w:numId w:val="33"/>
                                </w:numPr>
                                <w:tabs>
                                  <w:tab w:val="left" w:pos="935"/>
                                </w:tabs>
                                <w:spacing w:before="177" w:line="256" w:lineRule="auto"/>
                                <w:ind w:left="931" w:right="246" w:hanging="300"/>
                                <w:rPr>
                                  <w:sz w:val="20"/>
                                </w:rPr>
                              </w:pPr>
                              <w:r>
                                <w:rPr>
                                  <w:w w:val="105"/>
                                  <w:sz w:val="20"/>
                                </w:rPr>
                                <w:t>Dysphoric mood and two (or more) of the following physiological changes,</w:t>
                              </w:r>
                              <w:r>
                                <w:rPr>
                                  <w:spacing w:val="-5"/>
                                  <w:w w:val="105"/>
                                  <w:sz w:val="20"/>
                                </w:rPr>
                                <w:t xml:space="preserve"> </w:t>
                              </w:r>
                              <w:r>
                                <w:rPr>
                                  <w:w w:val="105"/>
                                  <w:sz w:val="20"/>
                                </w:rPr>
                                <w:t>developing</w:t>
                              </w:r>
                              <w:r>
                                <w:rPr>
                                  <w:spacing w:val="-9"/>
                                  <w:w w:val="105"/>
                                  <w:sz w:val="20"/>
                                </w:rPr>
                                <w:t xml:space="preserve"> </w:t>
                              </w:r>
                              <w:r>
                                <w:rPr>
                                  <w:w w:val="105"/>
                                  <w:sz w:val="20"/>
                                </w:rPr>
                                <w:t>within</w:t>
                              </w:r>
                              <w:r>
                                <w:rPr>
                                  <w:spacing w:val="-6"/>
                                  <w:w w:val="105"/>
                                  <w:sz w:val="20"/>
                                </w:rPr>
                                <w:t xml:space="preserve"> </w:t>
                              </w:r>
                              <w:r>
                                <w:rPr>
                                  <w:w w:val="105"/>
                                  <w:sz w:val="20"/>
                                </w:rPr>
                                <w:t>a</w:t>
                              </w:r>
                              <w:r>
                                <w:rPr>
                                  <w:spacing w:val="-9"/>
                                  <w:w w:val="105"/>
                                  <w:sz w:val="20"/>
                                </w:rPr>
                                <w:t xml:space="preserve"> </w:t>
                              </w:r>
                              <w:r>
                                <w:rPr>
                                  <w:w w:val="105"/>
                                  <w:sz w:val="20"/>
                                </w:rPr>
                                <w:t>few</w:t>
                              </w:r>
                              <w:r>
                                <w:rPr>
                                  <w:spacing w:val="-9"/>
                                  <w:w w:val="105"/>
                                  <w:sz w:val="20"/>
                                </w:rPr>
                                <w:t xml:space="preserve"> </w:t>
                              </w:r>
                              <w:r>
                                <w:rPr>
                                  <w:w w:val="105"/>
                                  <w:sz w:val="20"/>
                                </w:rPr>
                                <w:t>hours</w:t>
                              </w:r>
                              <w:r>
                                <w:rPr>
                                  <w:spacing w:val="-13"/>
                                  <w:w w:val="105"/>
                                  <w:sz w:val="20"/>
                                </w:rPr>
                                <w:t xml:space="preserve"> </w:t>
                              </w:r>
                              <w:r>
                                <w:rPr>
                                  <w:w w:val="105"/>
                                  <w:sz w:val="20"/>
                                </w:rPr>
                                <w:t>to</w:t>
                              </w:r>
                              <w:r>
                                <w:rPr>
                                  <w:spacing w:val="-17"/>
                                  <w:w w:val="105"/>
                                  <w:sz w:val="20"/>
                                </w:rPr>
                                <w:t xml:space="preserve"> </w:t>
                              </w:r>
                              <w:r>
                                <w:rPr>
                                  <w:w w:val="105"/>
                                  <w:sz w:val="20"/>
                                </w:rPr>
                                <w:t>several</w:t>
                              </w:r>
                              <w:r>
                                <w:rPr>
                                  <w:spacing w:val="-8"/>
                                  <w:w w:val="105"/>
                                  <w:sz w:val="20"/>
                                </w:rPr>
                                <w:t xml:space="preserve"> </w:t>
                              </w:r>
                              <w:r>
                                <w:rPr>
                                  <w:w w:val="105"/>
                                  <w:sz w:val="20"/>
                                </w:rPr>
                                <w:t>days</w:t>
                              </w:r>
                              <w:r>
                                <w:rPr>
                                  <w:spacing w:val="-14"/>
                                  <w:w w:val="105"/>
                                  <w:sz w:val="20"/>
                                </w:rPr>
                                <w:t xml:space="preserve"> </w:t>
                              </w:r>
                              <w:r>
                                <w:rPr>
                                  <w:w w:val="105"/>
                                  <w:sz w:val="20"/>
                                </w:rPr>
                                <w:t>after</w:t>
                              </w:r>
                              <w:r>
                                <w:rPr>
                                  <w:spacing w:val="-6"/>
                                  <w:w w:val="105"/>
                                  <w:sz w:val="20"/>
                                </w:rPr>
                                <w:t xml:space="preserve"> </w:t>
                              </w:r>
                              <w:r>
                                <w:rPr>
                                  <w:w w:val="105"/>
                                  <w:sz w:val="20"/>
                                </w:rPr>
                                <w:t>Criterion</w:t>
                              </w:r>
                              <w:r>
                                <w:rPr>
                                  <w:spacing w:val="-2"/>
                                  <w:w w:val="105"/>
                                  <w:sz w:val="20"/>
                                </w:rPr>
                                <w:t xml:space="preserve"> </w:t>
                              </w:r>
                              <w:r>
                                <w:rPr>
                                  <w:rFonts w:ascii="Arial"/>
                                  <w:w w:val="105"/>
                                  <w:sz w:val="18"/>
                                </w:rPr>
                                <w:t>A:</w:t>
                              </w:r>
                            </w:p>
                            <w:p w:rsidR="00E675F0" w:rsidRDefault="00E675F0" w:rsidP="003048D3">
                              <w:pPr>
                                <w:numPr>
                                  <w:ilvl w:val="2"/>
                                  <w:numId w:val="33"/>
                                </w:numPr>
                                <w:tabs>
                                  <w:tab w:val="left" w:pos="1354"/>
                                  <w:tab w:val="left" w:pos="1355"/>
                                </w:tabs>
                                <w:spacing w:before="55"/>
                                <w:ind w:hanging="424"/>
                                <w:rPr>
                                  <w:sz w:val="17"/>
                                </w:rPr>
                              </w:pPr>
                              <w:r>
                                <w:rPr>
                                  <w:w w:val="105"/>
                                  <w:sz w:val="20"/>
                                </w:rPr>
                                <w:t>fatigue</w:t>
                              </w:r>
                            </w:p>
                            <w:p w:rsidR="00E675F0" w:rsidRDefault="00E675F0" w:rsidP="003048D3">
                              <w:pPr>
                                <w:numPr>
                                  <w:ilvl w:val="2"/>
                                  <w:numId w:val="33"/>
                                </w:numPr>
                                <w:tabs>
                                  <w:tab w:val="left" w:pos="1356"/>
                                </w:tabs>
                                <w:spacing w:before="16"/>
                                <w:ind w:left="1355" w:hanging="426"/>
                                <w:rPr>
                                  <w:sz w:val="20"/>
                                </w:rPr>
                              </w:pPr>
                              <w:r>
                                <w:rPr>
                                  <w:w w:val="105"/>
                                  <w:sz w:val="20"/>
                                </w:rPr>
                                <w:t>vivid,  unpleasant</w:t>
                              </w:r>
                              <w:r>
                                <w:rPr>
                                  <w:spacing w:val="-7"/>
                                  <w:w w:val="105"/>
                                  <w:sz w:val="20"/>
                                </w:rPr>
                                <w:t xml:space="preserve"> </w:t>
                              </w:r>
                              <w:r>
                                <w:rPr>
                                  <w:w w:val="105"/>
                                  <w:sz w:val="20"/>
                                </w:rPr>
                                <w:t>dreams</w:t>
                              </w:r>
                            </w:p>
                            <w:p w:rsidR="00E675F0" w:rsidRDefault="00E675F0" w:rsidP="003048D3">
                              <w:pPr>
                                <w:numPr>
                                  <w:ilvl w:val="2"/>
                                  <w:numId w:val="33"/>
                                </w:numPr>
                                <w:tabs>
                                  <w:tab w:val="left" w:pos="1361"/>
                                </w:tabs>
                                <w:spacing w:before="15"/>
                                <w:ind w:left="1360" w:hanging="431"/>
                                <w:rPr>
                                  <w:sz w:val="20"/>
                                </w:rPr>
                              </w:pPr>
                              <w:r>
                                <w:rPr>
                                  <w:w w:val="105"/>
                                  <w:sz w:val="20"/>
                                </w:rPr>
                                <w:t>insomnia or</w:t>
                              </w:r>
                              <w:r>
                                <w:rPr>
                                  <w:spacing w:val="28"/>
                                  <w:w w:val="105"/>
                                  <w:sz w:val="20"/>
                                </w:rPr>
                                <w:t xml:space="preserve"> </w:t>
                              </w:r>
                              <w:r>
                                <w:rPr>
                                  <w:w w:val="105"/>
                                  <w:sz w:val="20"/>
                                </w:rPr>
                                <w:t>hypersomnia</w:t>
                              </w:r>
                            </w:p>
                            <w:p w:rsidR="00E675F0" w:rsidRDefault="00E675F0" w:rsidP="003048D3">
                              <w:pPr>
                                <w:numPr>
                                  <w:ilvl w:val="2"/>
                                  <w:numId w:val="33"/>
                                </w:numPr>
                                <w:tabs>
                                  <w:tab w:val="left" w:pos="1361"/>
                                </w:tabs>
                                <w:spacing w:before="10"/>
                                <w:ind w:left="1360" w:hanging="427"/>
                                <w:rPr>
                                  <w:sz w:val="20"/>
                                </w:rPr>
                              </w:pPr>
                              <w:r>
                                <w:rPr>
                                  <w:w w:val="105"/>
                                  <w:sz w:val="20"/>
                                </w:rPr>
                                <w:t>increased</w:t>
                              </w:r>
                              <w:r>
                                <w:rPr>
                                  <w:spacing w:val="16"/>
                                  <w:w w:val="105"/>
                                  <w:sz w:val="20"/>
                                </w:rPr>
                                <w:t xml:space="preserve"> </w:t>
                              </w:r>
                              <w:r>
                                <w:rPr>
                                  <w:w w:val="105"/>
                                  <w:sz w:val="20"/>
                                </w:rPr>
                                <w:t>appetite</w:t>
                              </w:r>
                            </w:p>
                            <w:p w:rsidR="00E675F0" w:rsidRDefault="00E675F0" w:rsidP="003048D3">
                              <w:pPr>
                                <w:numPr>
                                  <w:ilvl w:val="2"/>
                                  <w:numId w:val="33"/>
                                </w:numPr>
                                <w:tabs>
                                  <w:tab w:val="left" w:pos="1368"/>
                                </w:tabs>
                                <w:spacing w:before="15"/>
                                <w:ind w:left="1367" w:hanging="438"/>
                                <w:rPr>
                                  <w:sz w:val="20"/>
                                </w:rPr>
                              </w:pPr>
                              <w:r>
                                <w:rPr>
                                  <w:w w:val="105"/>
                                  <w:sz w:val="20"/>
                                </w:rPr>
                                <w:t>psychomotor retardation or</w:t>
                              </w:r>
                              <w:r>
                                <w:rPr>
                                  <w:spacing w:val="-1"/>
                                  <w:w w:val="105"/>
                                  <w:sz w:val="20"/>
                                </w:rPr>
                                <w:t xml:space="preserve"> </w:t>
                              </w:r>
                              <w:r>
                                <w:rPr>
                                  <w:w w:val="105"/>
                                  <w:sz w:val="20"/>
                                </w:rPr>
                                <w:t>agitation</w:t>
                              </w:r>
                            </w:p>
                            <w:p w:rsidR="00E675F0" w:rsidRDefault="00E675F0" w:rsidP="00E675F0">
                              <w:pPr>
                                <w:spacing w:before="2"/>
                                <w:rPr>
                                  <w:sz w:val="17"/>
                                </w:rPr>
                              </w:pPr>
                            </w:p>
                            <w:p w:rsidR="00E675F0" w:rsidRDefault="00E675F0" w:rsidP="003048D3">
                              <w:pPr>
                                <w:numPr>
                                  <w:ilvl w:val="1"/>
                                  <w:numId w:val="33"/>
                                </w:numPr>
                                <w:tabs>
                                  <w:tab w:val="left" w:pos="928"/>
                                </w:tabs>
                                <w:spacing w:before="1" w:line="252" w:lineRule="auto"/>
                                <w:ind w:left="937" w:right="233" w:hanging="311"/>
                                <w:rPr>
                                  <w:rFonts w:ascii="Arial"/>
                                  <w:sz w:val="18"/>
                                </w:rPr>
                              </w:pPr>
                              <w:r>
                                <w:rPr>
                                  <w:sz w:val="20"/>
                                </w:rPr>
                                <w:t>The symptoms in Criterion B cause clinically significant distress or impairment in social, occupational, or other important areas of</w:t>
                              </w:r>
                              <w:r>
                                <w:rPr>
                                  <w:spacing w:val="-35"/>
                                  <w:sz w:val="20"/>
                                </w:rPr>
                                <w:t xml:space="preserve"> </w:t>
                              </w:r>
                              <w:r>
                                <w:rPr>
                                  <w:sz w:val="20"/>
                                </w:rPr>
                                <w:t>functioning.</w:t>
                              </w:r>
                            </w:p>
                            <w:p w:rsidR="00E675F0" w:rsidRDefault="00E675F0" w:rsidP="003048D3">
                              <w:pPr>
                                <w:numPr>
                                  <w:ilvl w:val="1"/>
                                  <w:numId w:val="33"/>
                                </w:numPr>
                                <w:tabs>
                                  <w:tab w:val="left" w:pos="928"/>
                                </w:tabs>
                                <w:spacing w:before="185" w:line="256" w:lineRule="auto"/>
                                <w:ind w:left="938" w:right="235" w:hanging="308"/>
                                <w:rPr>
                                  <w:sz w:val="20"/>
                                </w:rPr>
                              </w:pPr>
                              <w:r>
                                <w:rPr>
                                  <w:w w:val="105"/>
                                  <w:sz w:val="20"/>
                                </w:rPr>
                                <w:t>The symptoms are not due to a general medical condition and are not better accounted for by another mental</w:t>
                              </w:r>
                              <w:r>
                                <w:rPr>
                                  <w:spacing w:val="32"/>
                                  <w:w w:val="105"/>
                                  <w:sz w:val="20"/>
                                </w:rPr>
                                <w:t xml:space="preserve"> </w:t>
                              </w:r>
                              <w:r>
                                <w:rPr>
                                  <w:w w:val="105"/>
                                  <w:sz w:val="20"/>
                                </w:rPr>
                                <w:t>disorder.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6D9A36" id="Group 1320" o:spid="_x0000_s1117" style="position:absolute;margin-left:37.15pt;margin-top:9.2pt;width:374.4pt;height:245.15pt;z-index:-251440128;mso-wrap-distance-left:0;mso-wrap-distance-right:0;mso-position-horizontal-relative:page;mso-position-vertical-relative:text" coordorigin="743,184" coordsize="7488,490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">
                <v:line id="Line 1325" o:spid="_x0000_s1118" style="position:absolute;visibility:visible;mso-wrap-style:square" from="830,5087" to="830,50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" strokeweight=".84875mm">
                  <o:lock v:ext="edit" shapetype="f"/>
                </v:line>
                <v:line id="Line 1324" o:spid="_x0000_s1119" style="position:absolute;visibility:visible;mso-wrap-style:square" from="8124,5010" to="8124,50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" strokeweight=".679mm">
                  <o:lock v:ext="edit" shapetype="f"/>
                </v:line>
                <v:line id="Line 1323" o:spid="_x0000_s1120" style="position:absolute;visibility:visible;mso-wrap-style:square" from="8211,5087" to="8211,50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" strokeweight=".16975mm">
                  <o:lock v:ext="edit" shapetype="f"/>
                </v:line>
                <v:shape id="AutoShape 1322" o:spid="_x0000_s1121" style="position:absolute;left:742;top:270;width:7488;height:4726;visibility:visible;mso-wrap-style:square;v-text-anchor:top" coordsize="7488,47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" path="m,l7487,m19,4725r7468,e" filled="f" strokeweight=".84831mm">
                  <v:path arrowok="t" o:connecttype="custom" o:connectlocs="0,270;7487,270;19,4995;7487,4995" o:connectangles="0,0,0,0"/>
                </v:shape>
                <v:shape id="Text Box 1321" o:spid="_x0000_s1122" type="#_x0000_t202" style="position:absolute;left:853;top:294;width:7252;height:46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" filled="f" stroked="f">
                  <v:path arrowok="t"/>
                  <v:textbox inset="0,0,0,0">
                    <w:txbxContent>
                      <w:p w:rsidR="00E675F0" w:rsidRDefault="00E675F0" w:rsidP="003048D3">
                        <w:pPr>
                          <w:numPr>
                            <w:ilvl w:val="0"/>
                            <w:numId w:val="33"/>
                          </w:numPr>
                          <w:tabs>
                            <w:tab w:val="left" w:pos="599"/>
                          </w:tabs>
                          <w:spacing w:line="534" w:lineRule="exact"/>
                          <w:rPr>
                            <w:rFonts w:ascii="Arial"/>
                            <w:b/>
                            <w:sz w:val="24"/>
                          </w:rPr>
                        </w:pPr>
                        <w:r>
                          <w:rPr>
                            <w:rFonts w:ascii="Arial"/>
                            <w:b/>
                            <w:w w:val="105"/>
                            <w:sz w:val="24"/>
                          </w:rPr>
                          <w:t>Diagnostic criteria for 292.0 Amphetamine</w:t>
                        </w:r>
                        <w:r>
                          <w:rPr>
                            <w:rFonts w:ascii="Arial"/>
                            <w:b/>
                            <w:spacing w:val="-37"/>
                            <w:w w:val="105"/>
                            <w:sz w:val="24"/>
                          </w:rPr>
                          <w:t xml:space="preserve"> </w:t>
                        </w:r>
                        <w:r>
                          <w:rPr>
                            <w:rFonts w:ascii="Arial"/>
                            <w:b/>
                            <w:w w:val="105"/>
                            <w:sz w:val="24"/>
                          </w:rPr>
                          <w:t>Withdrawal</w:t>
                        </w:r>
                      </w:p>
                      <w:p w:rsidR="00E675F0" w:rsidRDefault="00E675F0" w:rsidP="003048D3">
                        <w:pPr>
                          <w:numPr>
                            <w:ilvl w:val="1"/>
                            <w:numId w:val="33"/>
                          </w:numPr>
                          <w:tabs>
                            <w:tab w:val="left" w:pos="927"/>
                          </w:tabs>
                          <w:spacing w:before="149" w:line="261" w:lineRule="auto"/>
                          <w:ind w:right="231" w:hanging="313"/>
                          <w:rPr>
                            <w:sz w:val="20"/>
                          </w:rPr>
                        </w:pPr>
                        <w:r>
                          <w:rPr>
                            <w:w w:val="105"/>
                            <w:sz w:val="20"/>
                          </w:rPr>
                          <w:t>Cessation of (or reduction in) amphetamine (or a related substance) use that has been heavy and</w:t>
                        </w:r>
                        <w:r>
                          <w:rPr>
                            <w:spacing w:val="30"/>
                            <w:w w:val="105"/>
                            <w:sz w:val="20"/>
                          </w:rPr>
                          <w:t xml:space="preserve"> </w:t>
                        </w:r>
                        <w:r>
                          <w:rPr>
                            <w:w w:val="105"/>
                            <w:sz w:val="20"/>
                          </w:rPr>
                          <w:t>prolonged.</w:t>
                        </w:r>
                      </w:p>
                      <w:p w:rsidR="00E675F0" w:rsidRDefault="00E675F0" w:rsidP="003048D3">
                        <w:pPr>
                          <w:numPr>
                            <w:ilvl w:val="1"/>
                            <w:numId w:val="33"/>
                          </w:numPr>
                          <w:tabs>
                            <w:tab w:val="left" w:pos="935"/>
                          </w:tabs>
                          <w:spacing w:before="177" w:line="256" w:lineRule="auto"/>
                          <w:ind w:left="931" w:right="246" w:hanging="300"/>
                          <w:rPr>
                            <w:sz w:val="20"/>
                          </w:rPr>
                        </w:pPr>
                        <w:r>
                          <w:rPr>
                            <w:w w:val="105"/>
                            <w:sz w:val="20"/>
                          </w:rPr>
                          <w:t>Dysphoric mood and two (or more) of the following physiological changes,</w:t>
                        </w:r>
                        <w:r>
                          <w:rPr>
                            <w:spacing w:val="-5"/>
                            <w:w w:val="105"/>
                            <w:sz w:val="20"/>
                          </w:rPr>
                          <w:t xml:space="preserve"> </w:t>
                        </w:r>
                        <w:r>
                          <w:rPr>
                            <w:w w:val="105"/>
                            <w:sz w:val="20"/>
                          </w:rPr>
                          <w:t>developing</w:t>
                        </w:r>
                        <w:r>
                          <w:rPr>
                            <w:spacing w:val="-9"/>
                            <w:w w:val="105"/>
                            <w:sz w:val="20"/>
                          </w:rPr>
                          <w:t xml:space="preserve"> </w:t>
                        </w:r>
                        <w:r>
                          <w:rPr>
                            <w:w w:val="105"/>
                            <w:sz w:val="20"/>
                          </w:rPr>
                          <w:t>within</w:t>
                        </w:r>
                        <w:r>
                          <w:rPr>
                            <w:spacing w:val="-6"/>
                            <w:w w:val="105"/>
                            <w:sz w:val="20"/>
                          </w:rPr>
                          <w:t xml:space="preserve"> </w:t>
                        </w:r>
                        <w:r>
                          <w:rPr>
                            <w:w w:val="105"/>
                            <w:sz w:val="20"/>
                          </w:rPr>
                          <w:t>a</w:t>
                        </w:r>
                        <w:r>
                          <w:rPr>
                            <w:spacing w:val="-9"/>
                            <w:w w:val="105"/>
                            <w:sz w:val="20"/>
                          </w:rPr>
                          <w:t xml:space="preserve"> </w:t>
                        </w:r>
                        <w:r>
                          <w:rPr>
                            <w:w w:val="105"/>
                            <w:sz w:val="20"/>
                          </w:rPr>
                          <w:t>few</w:t>
                        </w:r>
                        <w:r>
                          <w:rPr>
                            <w:spacing w:val="-9"/>
                            <w:w w:val="105"/>
                            <w:sz w:val="20"/>
                          </w:rPr>
                          <w:t xml:space="preserve"> </w:t>
                        </w:r>
                        <w:r>
                          <w:rPr>
                            <w:w w:val="105"/>
                            <w:sz w:val="20"/>
                          </w:rPr>
                          <w:t>hours</w:t>
                        </w:r>
                        <w:r>
                          <w:rPr>
                            <w:spacing w:val="-13"/>
                            <w:w w:val="105"/>
                            <w:sz w:val="20"/>
                          </w:rPr>
                          <w:t xml:space="preserve"> </w:t>
                        </w:r>
                        <w:r>
                          <w:rPr>
                            <w:w w:val="105"/>
                            <w:sz w:val="20"/>
                          </w:rPr>
                          <w:t>to</w:t>
                        </w:r>
                        <w:r>
                          <w:rPr>
                            <w:spacing w:val="-17"/>
                            <w:w w:val="105"/>
                            <w:sz w:val="20"/>
                          </w:rPr>
                          <w:t xml:space="preserve"> </w:t>
                        </w:r>
                        <w:r>
                          <w:rPr>
                            <w:w w:val="105"/>
                            <w:sz w:val="20"/>
                          </w:rPr>
                          <w:t>several</w:t>
                        </w:r>
                        <w:r>
                          <w:rPr>
                            <w:spacing w:val="-8"/>
                            <w:w w:val="105"/>
                            <w:sz w:val="20"/>
                          </w:rPr>
                          <w:t xml:space="preserve"> </w:t>
                        </w:r>
                        <w:r>
                          <w:rPr>
                            <w:w w:val="105"/>
                            <w:sz w:val="20"/>
                          </w:rPr>
                          <w:t>days</w:t>
                        </w:r>
                        <w:r>
                          <w:rPr>
                            <w:spacing w:val="-14"/>
                            <w:w w:val="105"/>
                            <w:sz w:val="20"/>
                          </w:rPr>
                          <w:t xml:space="preserve"> </w:t>
                        </w:r>
                        <w:r>
                          <w:rPr>
                            <w:w w:val="105"/>
                            <w:sz w:val="20"/>
                          </w:rPr>
                          <w:t>after</w:t>
                        </w:r>
                        <w:r>
                          <w:rPr>
                            <w:spacing w:val="-6"/>
                            <w:w w:val="105"/>
                            <w:sz w:val="20"/>
                          </w:rPr>
                          <w:t xml:space="preserve"> </w:t>
                        </w:r>
                        <w:r>
                          <w:rPr>
                            <w:w w:val="105"/>
                            <w:sz w:val="20"/>
                          </w:rPr>
                          <w:t>Criterion</w:t>
                        </w:r>
                        <w:r>
                          <w:rPr>
                            <w:spacing w:val="-2"/>
                            <w:w w:val="105"/>
                            <w:sz w:val="20"/>
                          </w:rPr>
                          <w:t xml:space="preserve"> </w:t>
                        </w:r>
                        <w:r>
                          <w:rPr>
                            <w:rFonts w:ascii="Arial"/>
                            <w:w w:val="105"/>
                            <w:sz w:val="18"/>
                          </w:rPr>
                          <w:t>A:</w:t>
                        </w:r>
                      </w:p>
                      <w:p w:rsidR="00E675F0" w:rsidRDefault="00E675F0" w:rsidP="003048D3">
                        <w:pPr>
                          <w:numPr>
                            <w:ilvl w:val="2"/>
                            <w:numId w:val="33"/>
                          </w:numPr>
                          <w:tabs>
                            <w:tab w:val="left" w:pos="1354"/>
                            <w:tab w:val="left" w:pos="1355"/>
                          </w:tabs>
                          <w:spacing w:before="55"/>
                          <w:ind w:hanging="424"/>
                          <w:rPr>
                            <w:sz w:val="17"/>
                          </w:rPr>
                        </w:pPr>
                        <w:r>
                          <w:rPr>
                            <w:w w:val="105"/>
                            <w:sz w:val="20"/>
                          </w:rPr>
                          <w:t>fatigue</w:t>
                        </w:r>
                      </w:p>
                      <w:p w:rsidR="00E675F0" w:rsidRDefault="00E675F0" w:rsidP="003048D3">
                        <w:pPr>
                          <w:numPr>
                            <w:ilvl w:val="2"/>
                            <w:numId w:val="33"/>
                          </w:numPr>
                          <w:tabs>
                            <w:tab w:val="left" w:pos="1356"/>
                          </w:tabs>
                          <w:spacing w:before="16"/>
                          <w:ind w:left="1355" w:hanging="426"/>
                          <w:rPr>
                            <w:sz w:val="20"/>
                          </w:rPr>
                        </w:pPr>
                        <w:r>
                          <w:rPr>
                            <w:w w:val="105"/>
                            <w:sz w:val="20"/>
                          </w:rPr>
                          <w:t>vivid,  unpleasant</w:t>
                        </w:r>
                        <w:r>
                          <w:rPr>
                            <w:spacing w:val="-7"/>
                            <w:w w:val="105"/>
                            <w:sz w:val="20"/>
                          </w:rPr>
                          <w:t xml:space="preserve"> </w:t>
                        </w:r>
                        <w:r>
                          <w:rPr>
                            <w:w w:val="105"/>
                            <w:sz w:val="20"/>
                          </w:rPr>
                          <w:t>dreams</w:t>
                        </w:r>
                      </w:p>
                      <w:p w:rsidR="00E675F0" w:rsidRDefault="00E675F0" w:rsidP="003048D3">
                        <w:pPr>
                          <w:numPr>
                            <w:ilvl w:val="2"/>
                            <w:numId w:val="33"/>
                          </w:numPr>
                          <w:tabs>
                            <w:tab w:val="left" w:pos="1361"/>
                          </w:tabs>
                          <w:spacing w:before="15"/>
                          <w:ind w:left="1360" w:hanging="431"/>
                          <w:rPr>
                            <w:sz w:val="20"/>
                          </w:rPr>
                        </w:pPr>
                        <w:r>
                          <w:rPr>
                            <w:w w:val="105"/>
                            <w:sz w:val="20"/>
                          </w:rPr>
                          <w:t>insomnia or</w:t>
                        </w:r>
                        <w:r>
                          <w:rPr>
                            <w:spacing w:val="28"/>
                            <w:w w:val="105"/>
                            <w:sz w:val="20"/>
                          </w:rPr>
                          <w:t xml:space="preserve"> </w:t>
                        </w:r>
                        <w:r>
                          <w:rPr>
                            <w:w w:val="105"/>
                            <w:sz w:val="20"/>
                          </w:rPr>
                          <w:t>hypersomnia</w:t>
                        </w:r>
                      </w:p>
                      <w:p w:rsidR="00E675F0" w:rsidRDefault="00E675F0" w:rsidP="003048D3">
                        <w:pPr>
                          <w:numPr>
                            <w:ilvl w:val="2"/>
                            <w:numId w:val="33"/>
                          </w:numPr>
                          <w:tabs>
                            <w:tab w:val="left" w:pos="1361"/>
                          </w:tabs>
                          <w:spacing w:before="10"/>
                          <w:ind w:left="1360" w:hanging="427"/>
                          <w:rPr>
                            <w:sz w:val="20"/>
                          </w:rPr>
                        </w:pPr>
                        <w:r>
                          <w:rPr>
                            <w:w w:val="105"/>
                            <w:sz w:val="20"/>
                          </w:rPr>
                          <w:t>increased</w:t>
                        </w:r>
                        <w:r>
                          <w:rPr>
                            <w:spacing w:val="16"/>
                            <w:w w:val="105"/>
                            <w:sz w:val="20"/>
                          </w:rPr>
                          <w:t xml:space="preserve"> </w:t>
                        </w:r>
                        <w:r>
                          <w:rPr>
                            <w:w w:val="105"/>
                            <w:sz w:val="20"/>
                          </w:rPr>
                          <w:t>appetite</w:t>
                        </w:r>
                      </w:p>
                      <w:p w:rsidR="00E675F0" w:rsidRDefault="00E675F0" w:rsidP="003048D3">
                        <w:pPr>
                          <w:numPr>
                            <w:ilvl w:val="2"/>
                            <w:numId w:val="33"/>
                          </w:numPr>
                          <w:tabs>
                            <w:tab w:val="left" w:pos="1368"/>
                          </w:tabs>
                          <w:spacing w:before="15"/>
                          <w:ind w:left="1367" w:hanging="438"/>
                          <w:rPr>
                            <w:sz w:val="20"/>
                          </w:rPr>
                        </w:pPr>
                        <w:r>
                          <w:rPr>
                            <w:w w:val="105"/>
                            <w:sz w:val="20"/>
                          </w:rPr>
                          <w:t>psychomotor retardation or</w:t>
                        </w:r>
                        <w:r>
                          <w:rPr>
                            <w:spacing w:val="-1"/>
                            <w:w w:val="105"/>
                            <w:sz w:val="20"/>
                          </w:rPr>
                          <w:t xml:space="preserve"> </w:t>
                        </w:r>
                        <w:r>
                          <w:rPr>
                            <w:w w:val="105"/>
                            <w:sz w:val="20"/>
                          </w:rPr>
                          <w:t>agitation</w:t>
                        </w:r>
                      </w:p>
                      <w:p w:rsidR="00E675F0" w:rsidRDefault="00E675F0" w:rsidP="00E675F0">
                        <w:pPr>
                          <w:spacing w:before="2"/>
                          <w:rPr>
                            <w:sz w:val="17"/>
                          </w:rPr>
                        </w:pPr>
                      </w:p>
                      <w:p w:rsidR="00E675F0" w:rsidRDefault="00E675F0" w:rsidP="003048D3">
                        <w:pPr>
                          <w:numPr>
                            <w:ilvl w:val="1"/>
                            <w:numId w:val="33"/>
                          </w:numPr>
                          <w:tabs>
                            <w:tab w:val="left" w:pos="928"/>
                          </w:tabs>
                          <w:spacing w:before="1" w:line="252" w:lineRule="auto"/>
                          <w:ind w:left="937" w:right="233" w:hanging="311"/>
                          <w:rPr>
                            <w:rFonts w:ascii="Arial"/>
                            <w:sz w:val="18"/>
                          </w:rPr>
                        </w:pPr>
                        <w:r>
                          <w:rPr>
                            <w:sz w:val="20"/>
                          </w:rPr>
                          <w:t>The symptoms in Criterion B cause clinically significant distress or impairment in social, occupational, or other important areas of</w:t>
                        </w:r>
                        <w:r>
                          <w:rPr>
                            <w:spacing w:val="-35"/>
                            <w:sz w:val="20"/>
                          </w:rPr>
                          <w:t xml:space="preserve"> </w:t>
                        </w:r>
                        <w:r>
                          <w:rPr>
                            <w:sz w:val="20"/>
                          </w:rPr>
                          <w:t>functioning.</w:t>
                        </w:r>
                      </w:p>
                      <w:p w:rsidR="00E675F0" w:rsidRDefault="00E675F0" w:rsidP="003048D3">
                        <w:pPr>
                          <w:numPr>
                            <w:ilvl w:val="1"/>
                            <w:numId w:val="33"/>
                          </w:numPr>
                          <w:tabs>
                            <w:tab w:val="left" w:pos="928"/>
                          </w:tabs>
                          <w:spacing w:before="185" w:line="256" w:lineRule="auto"/>
                          <w:ind w:left="938" w:right="235" w:hanging="308"/>
                          <w:rPr>
                            <w:sz w:val="20"/>
                          </w:rPr>
                        </w:pPr>
                        <w:r>
                          <w:rPr>
                            <w:w w:val="105"/>
                            <w:sz w:val="20"/>
                          </w:rPr>
                          <w:t>The symptoms are not due to a general medical condition and are not better accounted for by another mental</w:t>
                        </w:r>
                        <w:r>
                          <w:rPr>
                            <w:spacing w:val="32"/>
                            <w:w w:val="105"/>
                            <w:sz w:val="20"/>
                          </w:rPr>
                          <w:t xml:space="preserve"> </w:t>
                        </w:r>
                        <w:r>
                          <w:rPr>
                            <w:w w:val="105"/>
                            <w:sz w:val="20"/>
                          </w:rPr>
                          <w:t>disorder.</w:t>
                        </w:r>
                      </w:p>
                    </w:txbxContent>
                  </v:textbox>
                </v:shape>
                <w10:wrap type="topAndBottom" anchorx="page"/>
              </v:group>
            </w:pict>
          </mc:Fallback>
        </mc:AlternateContent>
      </w:r>
    </w:p>
    <w:p w:rsidR="00E675F0" w:rsidRDefault="00E675F0" w:rsidP="00E675F0">
      <w:pPr>
        <w:pStyle w:val="BodyText"/>
        <w:spacing w:before="1"/>
        <w:rPr>
          <w:sz w:val="24"/>
        </w:rPr>
      </w:pPr>
    </w:p>
    <w:p w:rsidR="00E675F0" w:rsidRDefault="00E675F0" w:rsidP="00E675F0">
      <w:pPr>
        <w:spacing w:before="93"/>
        <w:ind w:left="136" w:right="105"/>
        <w:jc w:val="center"/>
        <w:rPr>
          <w:rFonts w:ascii="Arial"/>
          <w:b/>
          <w:sz w:val="25"/>
        </w:rPr>
      </w:pPr>
      <w:r>
        <w:rPr>
          <w:rFonts w:ascii="Arial"/>
          <w:b/>
          <w:w w:val="105"/>
          <w:sz w:val="25"/>
        </w:rPr>
        <w:t>Other Amphetamine--Induced Disorders</w:t>
      </w:r>
    </w:p>
    <w:p w:rsidR="00E675F0" w:rsidRDefault="00E675F0" w:rsidP="00E675F0">
      <w:pPr>
        <w:spacing w:before="246" w:line="252" w:lineRule="auto"/>
        <w:ind w:left="135" w:right="99"/>
        <w:jc w:val="both"/>
        <w:rPr>
          <w:sz w:val="20"/>
        </w:rPr>
      </w:pPr>
      <w:r>
        <w:rPr>
          <w:w w:val="105"/>
          <w:sz w:val="20"/>
        </w:rPr>
        <w:t xml:space="preserve">The following Amphetamine-Induced Disorders are described in the sections of the manual with disorders with which they share phenomenology: </w:t>
      </w:r>
      <w:r>
        <w:rPr>
          <w:b/>
          <w:w w:val="105"/>
          <w:sz w:val="20"/>
        </w:rPr>
        <w:t xml:space="preserve">Amphetamine Intox­ ication Delirium </w:t>
      </w:r>
      <w:r>
        <w:rPr>
          <w:w w:val="105"/>
          <w:sz w:val="17"/>
        </w:rPr>
        <w:t xml:space="preserve">(p. </w:t>
      </w:r>
      <w:r>
        <w:rPr>
          <w:w w:val="105"/>
          <w:sz w:val="20"/>
        </w:rPr>
        <w:t xml:space="preserve">129), </w:t>
      </w:r>
      <w:r>
        <w:rPr>
          <w:b/>
          <w:w w:val="105"/>
          <w:sz w:val="20"/>
        </w:rPr>
        <w:t xml:space="preserve">Amphetamine-Induced Psychotic Disorder </w:t>
      </w:r>
      <w:r>
        <w:rPr>
          <w:w w:val="105"/>
          <w:sz w:val="20"/>
        </w:rPr>
        <w:t xml:space="preserve">(p. 310), </w:t>
      </w:r>
      <w:r>
        <w:rPr>
          <w:b/>
          <w:w w:val="105"/>
          <w:sz w:val="20"/>
        </w:rPr>
        <w:t xml:space="preserve">Amphetamine-Induced Mood Disorder </w:t>
      </w:r>
      <w:r>
        <w:rPr>
          <w:w w:val="105"/>
          <w:sz w:val="17"/>
        </w:rPr>
        <w:t xml:space="preserve">(p. </w:t>
      </w:r>
      <w:r>
        <w:rPr>
          <w:w w:val="105"/>
          <w:sz w:val="19"/>
        </w:rPr>
        <w:t xml:space="preserve">370), </w:t>
      </w:r>
      <w:r>
        <w:rPr>
          <w:b/>
          <w:w w:val="105"/>
          <w:sz w:val="20"/>
        </w:rPr>
        <w:t xml:space="preserve">Amphetamine-Induced Anxiety Disorder </w:t>
      </w:r>
      <w:r>
        <w:rPr>
          <w:w w:val="105"/>
          <w:sz w:val="20"/>
        </w:rPr>
        <w:t xml:space="preserve">(p. 439), </w:t>
      </w:r>
      <w:r>
        <w:rPr>
          <w:b/>
          <w:w w:val="105"/>
          <w:sz w:val="20"/>
        </w:rPr>
        <w:t xml:space="preserve">Amphetamine-Induced Sexual Dysfunction </w:t>
      </w:r>
      <w:r>
        <w:rPr>
          <w:w w:val="105"/>
          <w:sz w:val="20"/>
        </w:rPr>
        <w:t xml:space="preserve">(p. 519), and </w:t>
      </w:r>
      <w:r>
        <w:rPr>
          <w:b/>
          <w:w w:val="105"/>
          <w:sz w:val="20"/>
        </w:rPr>
        <w:t xml:space="preserve">Am­ phetamine-Induced Sleep Disorder </w:t>
      </w:r>
      <w:r>
        <w:rPr>
          <w:w w:val="105"/>
          <w:sz w:val="20"/>
        </w:rPr>
        <w:t>(p. 601). These  disorders  are diagnosed  instead of Amphetamine Intoxication or Amphetamine Withdrawal only when  the symptoms are in excess of those usually associated with Amphetamine Intoxication or Withdrawal and</w:t>
      </w:r>
      <w:r>
        <w:rPr>
          <w:spacing w:val="-9"/>
          <w:w w:val="105"/>
          <w:sz w:val="20"/>
        </w:rPr>
        <w:t xml:space="preserve"> </w:t>
      </w:r>
      <w:r>
        <w:rPr>
          <w:w w:val="105"/>
          <w:sz w:val="20"/>
        </w:rPr>
        <w:t>when</w:t>
      </w:r>
      <w:r>
        <w:rPr>
          <w:spacing w:val="-1"/>
          <w:w w:val="105"/>
          <w:sz w:val="20"/>
        </w:rPr>
        <w:t xml:space="preserve"> </w:t>
      </w:r>
      <w:r>
        <w:rPr>
          <w:w w:val="105"/>
          <w:sz w:val="20"/>
        </w:rPr>
        <w:t>the</w:t>
      </w:r>
      <w:r>
        <w:rPr>
          <w:spacing w:val="-17"/>
          <w:w w:val="105"/>
          <w:sz w:val="20"/>
        </w:rPr>
        <w:t xml:space="preserve"> </w:t>
      </w:r>
      <w:r>
        <w:rPr>
          <w:w w:val="105"/>
          <w:sz w:val="20"/>
        </w:rPr>
        <w:t>symptoms</w:t>
      </w:r>
      <w:r>
        <w:rPr>
          <w:spacing w:val="-3"/>
          <w:w w:val="105"/>
          <w:sz w:val="20"/>
        </w:rPr>
        <w:t xml:space="preserve"> </w:t>
      </w:r>
      <w:r>
        <w:rPr>
          <w:w w:val="105"/>
          <w:sz w:val="20"/>
        </w:rPr>
        <w:t>are</w:t>
      </w:r>
      <w:r>
        <w:rPr>
          <w:spacing w:val="-11"/>
          <w:w w:val="105"/>
          <w:sz w:val="20"/>
        </w:rPr>
        <w:t xml:space="preserve"> </w:t>
      </w:r>
      <w:r>
        <w:rPr>
          <w:w w:val="105"/>
          <w:sz w:val="20"/>
        </w:rPr>
        <w:t>sufficiently</w:t>
      </w:r>
      <w:r>
        <w:rPr>
          <w:spacing w:val="-1"/>
          <w:w w:val="105"/>
          <w:sz w:val="20"/>
        </w:rPr>
        <w:t xml:space="preserve"> </w:t>
      </w:r>
      <w:r>
        <w:rPr>
          <w:w w:val="105"/>
          <w:sz w:val="20"/>
        </w:rPr>
        <w:t>severe</w:t>
      </w:r>
      <w:r>
        <w:rPr>
          <w:spacing w:val="-6"/>
          <w:w w:val="105"/>
          <w:sz w:val="20"/>
        </w:rPr>
        <w:t xml:space="preserve"> </w:t>
      </w:r>
      <w:r>
        <w:rPr>
          <w:w w:val="105"/>
          <w:sz w:val="20"/>
        </w:rPr>
        <w:t>to</w:t>
      </w:r>
      <w:r>
        <w:rPr>
          <w:spacing w:val="-9"/>
          <w:w w:val="105"/>
          <w:sz w:val="20"/>
        </w:rPr>
        <w:t xml:space="preserve"> </w:t>
      </w:r>
      <w:r>
        <w:rPr>
          <w:w w:val="105"/>
          <w:sz w:val="20"/>
        </w:rPr>
        <w:t>warrant</w:t>
      </w:r>
      <w:r>
        <w:rPr>
          <w:spacing w:val="4"/>
          <w:w w:val="105"/>
          <w:sz w:val="20"/>
        </w:rPr>
        <w:t xml:space="preserve"> </w:t>
      </w:r>
      <w:r>
        <w:rPr>
          <w:w w:val="105"/>
          <w:sz w:val="20"/>
        </w:rPr>
        <w:t>independent</w:t>
      </w:r>
      <w:r>
        <w:rPr>
          <w:spacing w:val="6"/>
          <w:w w:val="105"/>
          <w:sz w:val="20"/>
        </w:rPr>
        <w:t xml:space="preserve"> </w:t>
      </w:r>
      <w:r>
        <w:rPr>
          <w:w w:val="105"/>
          <w:sz w:val="20"/>
        </w:rPr>
        <w:t>clinical</w:t>
      </w:r>
      <w:r>
        <w:rPr>
          <w:spacing w:val="-1"/>
          <w:w w:val="105"/>
          <w:sz w:val="20"/>
        </w:rPr>
        <w:t xml:space="preserve"> </w:t>
      </w:r>
      <w:r>
        <w:rPr>
          <w:w w:val="105"/>
          <w:sz w:val="20"/>
        </w:rPr>
        <w:t>attention.</w:t>
      </w:r>
    </w:p>
    <w:p w:rsidR="00E675F0" w:rsidRDefault="00E675F0" w:rsidP="00E675F0">
      <w:pPr>
        <w:pStyle w:val="BodyText"/>
        <w:rPr>
          <w:sz w:val="22"/>
        </w:rPr>
      </w:pPr>
    </w:p>
    <w:p w:rsidR="00E675F0" w:rsidRDefault="00E675F0" w:rsidP="00E675F0">
      <w:pPr>
        <w:pStyle w:val="BodyText"/>
        <w:spacing w:before="3"/>
        <w:rPr>
          <w:sz w:val="28"/>
        </w:rPr>
      </w:pPr>
    </w:p>
    <w:p w:rsidR="00E675F0" w:rsidRDefault="00E675F0" w:rsidP="00E675F0">
      <w:pPr>
        <w:ind w:left="1673" w:right="1684" w:firstLine="15"/>
        <w:jc w:val="center"/>
        <w:rPr>
          <w:rFonts w:ascii="TimesNewRomanPS-BoldItalicMT"/>
          <w:b/>
          <w:i/>
          <w:sz w:val="28"/>
        </w:rPr>
      </w:pPr>
      <w:r>
        <w:rPr>
          <w:rFonts w:ascii="TimesNewRomanPS-BoldItalicMT"/>
          <w:b/>
          <w:i/>
          <w:w w:val="115"/>
          <w:sz w:val="28"/>
        </w:rPr>
        <w:t>Additional Information on Amphetamine-Related Disorders</w:t>
      </w:r>
    </w:p>
    <w:p w:rsidR="00E675F0" w:rsidRDefault="00E675F0" w:rsidP="00E675F0">
      <w:pPr>
        <w:pStyle w:val="BodyText"/>
        <w:spacing w:before="8"/>
        <w:rPr>
          <w:rFonts w:ascii="TimesNewRomanPS-BoldItalicMT"/>
          <w:b/>
          <w:i/>
          <w:sz w:val="31"/>
        </w:rPr>
      </w:pPr>
    </w:p>
    <w:p w:rsidR="00E675F0" w:rsidRDefault="00E675F0" w:rsidP="00E675F0">
      <w:pPr>
        <w:ind w:left="122"/>
        <w:jc w:val="both"/>
        <w:rPr>
          <w:rFonts w:ascii="TimesNewRomanPS-BoldItalicMT"/>
          <w:b/>
          <w:i/>
          <w:sz w:val="25"/>
        </w:rPr>
      </w:pPr>
      <w:r>
        <w:rPr>
          <w:rFonts w:ascii="TimesNewRomanPS-BoldItalicMT"/>
          <w:b/>
          <w:i/>
          <w:w w:val="110"/>
          <w:sz w:val="25"/>
        </w:rPr>
        <w:t>Associated Features and</w:t>
      </w:r>
      <w:r>
        <w:rPr>
          <w:rFonts w:ascii="TimesNewRomanPS-BoldItalicMT"/>
          <w:b/>
          <w:i/>
          <w:spacing w:val="53"/>
          <w:w w:val="110"/>
          <w:sz w:val="25"/>
        </w:rPr>
        <w:t xml:space="preserve"> </w:t>
      </w:r>
      <w:r>
        <w:rPr>
          <w:rFonts w:ascii="TimesNewRomanPS-BoldItalicMT"/>
          <w:b/>
          <w:i/>
          <w:w w:val="110"/>
          <w:sz w:val="25"/>
        </w:rPr>
        <w:t>Disorders</w:t>
      </w:r>
    </w:p>
    <w:p w:rsidR="00E675F0" w:rsidRDefault="00E675F0" w:rsidP="00E675F0">
      <w:pPr>
        <w:pStyle w:val="BodyText"/>
        <w:spacing w:before="129" w:line="256" w:lineRule="auto"/>
        <w:ind w:left="146" w:right="101" w:hanging="2"/>
        <w:jc w:val="both"/>
      </w:pPr>
      <w:r>
        <w:rPr>
          <w:w w:val="105"/>
        </w:rPr>
        <w:t>Acute Amphetamine Intoxication is sometimes associated with confusion, rambling speech, headache, transient ideas of reference, and tinnitus. During intense Amphet­ amine Intoxication, paranoid ideation, auditory hallucinations in a clear sensorium, and</w:t>
      </w:r>
    </w:p>
    <w:p w:rsidR="00E675F0" w:rsidRDefault="00E675F0" w:rsidP="00E675F0">
      <w:pPr>
        <w:spacing w:line="256" w:lineRule="auto"/>
        <w:jc w:val="both"/>
        <w:sectPr w:rsidR="00E675F0">
          <w:pgSz w:w="8960" w:h="14260"/>
          <w:pgMar w:top="1400" w:right="620" w:bottom="280" w:left="620" w:header="704" w:footer="0" w:gutter="0"/>
          <w:cols w:space="720"/>
        </w:sectPr>
      </w:pPr>
    </w:p>
    <w:p w:rsidR="00E675F0" w:rsidRDefault="00E675F0" w:rsidP="00E675F0">
      <w:pPr>
        <w:pStyle w:val="BodyText"/>
        <w:spacing w:before="117" w:line="254" w:lineRule="auto"/>
        <w:ind w:left="113" w:right="124" w:firstLine="14"/>
        <w:jc w:val="both"/>
      </w:pPr>
      <w:r>
        <w:rPr>
          <w:w w:val="105"/>
        </w:rPr>
        <w:lastRenderedPageBreak/>
        <w:t>tactile hallucinations may be experienced. Frequently, the person using the substance recognizes these symptoms as resulting from the stimulants. Extreme anger with threats or acting out of aggressive behavior may occur. Mood changes such as depression with suicidal ideation, irritability, anhedonia, emotional lability, or disturbances in attention and concentration are common, especially during withdrawal. Weight loss, anemia, and other signs of malnutrition and impaired personal hygiene are often seen with sustained Amphetamine Dependence.</w:t>
      </w:r>
    </w:p>
    <w:p w:rsidR="00E675F0" w:rsidRDefault="00E675F0" w:rsidP="00E675F0">
      <w:pPr>
        <w:pStyle w:val="BodyText"/>
        <w:spacing w:line="254" w:lineRule="auto"/>
        <w:ind w:left="114" w:right="110" w:firstLine="364"/>
        <w:jc w:val="both"/>
      </w:pPr>
      <w:r>
        <w:rPr>
          <w:w w:val="105"/>
        </w:rPr>
        <w:t>Amphetamine-Related Disorders and other stimulant-related disorders are often associated with Dependence on or Abuse of other substances, especially those with sedative properties (such as alcohol or benzodiazepines), which are usually taken to reduce the unpleasant, "jittery" feelings that result from stimulant drug effects. The intravenous use of amphetamines is sometimes associated with Opioid Dependence.</w:t>
      </w:r>
    </w:p>
    <w:p w:rsidR="00E675F0" w:rsidRDefault="00E675F0" w:rsidP="00E675F0">
      <w:pPr>
        <w:pStyle w:val="BodyText"/>
        <w:spacing w:line="254" w:lineRule="auto"/>
        <w:ind w:left="118" w:right="114" w:firstLine="355"/>
        <w:jc w:val="both"/>
      </w:pPr>
      <w:r>
        <w:rPr>
          <w:w w:val="105"/>
        </w:rPr>
        <w:t>The laboratory and physical examination findings and the mental disorders and general medical conditions that are associated with the Amphetamine-Related Disorders are generally similar to those that are associated with the Cocaine-Related Disorders (see</w:t>
      </w:r>
    </w:p>
    <w:p w:rsidR="00E675F0" w:rsidRDefault="00E675F0" w:rsidP="00E675F0">
      <w:pPr>
        <w:pStyle w:val="BodyText"/>
        <w:spacing w:line="254" w:lineRule="auto"/>
        <w:ind w:left="118" w:right="106" w:firstLine="11"/>
        <w:jc w:val="both"/>
      </w:pPr>
      <w:r>
        <w:rPr>
          <w:w w:val="105"/>
        </w:rPr>
        <w:t xml:space="preserve">p. 226). Urine tests for substances in this class usually remain positive for only </w:t>
      </w:r>
      <w:r>
        <w:rPr>
          <w:w w:val="105"/>
          <w:sz w:val="21"/>
        </w:rPr>
        <w:t xml:space="preserve">1-3 </w:t>
      </w:r>
      <w:r>
        <w:rPr>
          <w:w w:val="105"/>
        </w:rPr>
        <w:t>days, even after a "binge." Adverse pulmonary effects are seen less often than with cocaine because substances in this class are inhaled much less frequently. Fewer maternal and neonatal complications have been attributed to this class of substances than to cocaine. This difference may reflect the greater prevalence of cocaine use rather than lower toxicity from amphetamines. Seizures, human immunodeficiency virus (HIV) infection, malnutrition, gunshot or knife wounds, nosebleeds, and cardiovascular problems are often seen as presenting complaints in individuals with Amphetamine-Related Disorders. A</w:t>
      </w:r>
      <w:r>
        <w:rPr>
          <w:spacing w:val="-20"/>
          <w:w w:val="105"/>
        </w:rPr>
        <w:t xml:space="preserve"> </w:t>
      </w:r>
      <w:r>
        <w:rPr>
          <w:w w:val="105"/>
        </w:rPr>
        <w:t>history</w:t>
      </w:r>
      <w:r>
        <w:rPr>
          <w:spacing w:val="-14"/>
          <w:w w:val="105"/>
        </w:rPr>
        <w:t xml:space="preserve"> </w:t>
      </w:r>
      <w:r>
        <w:rPr>
          <w:w w:val="105"/>
        </w:rPr>
        <w:t>of</w:t>
      </w:r>
      <w:r>
        <w:rPr>
          <w:spacing w:val="-9"/>
          <w:w w:val="105"/>
        </w:rPr>
        <w:t xml:space="preserve"> </w:t>
      </w:r>
      <w:r>
        <w:rPr>
          <w:w w:val="105"/>
        </w:rPr>
        <w:t>childhood</w:t>
      </w:r>
      <w:r>
        <w:rPr>
          <w:spacing w:val="-5"/>
          <w:w w:val="105"/>
        </w:rPr>
        <w:t xml:space="preserve"> </w:t>
      </w:r>
      <w:r>
        <w:rPr>
          <w:w w:val="105"/>
        </w:rPr>
        <w:t>Conduct</w:t>
      </w:r>
      <w:r>
        <w:rPr>
          <w:spacing w:val="-8"/>
          <w:w w:val="105"/>
        </w:rPr>
        <w:t xml:space="preserve"> </w:t>
      </w:r>
      <w:r>
        <w:rPr>
          <w:w w:val="105"/>
        </w:rPr>
        <w:t>Disorder,</w:t>
      </w:r>
      <w:r>
        <w:rPr>
          <w:spacing w:val="-8"/>
          <w:w w:val="105"/>
        </w:rPr>
        <w:t xml:space="preserve"> </w:t>
      </w:r>
      <w:r>
        <w:rPr>
          <w:w w:val="105"/>
        </w:rPr>
        <w:t>Antisocial</w:t>
      </w:r>
      <w:r>
        <w:rPr>
          <w:spacing w:val="-7"/>
          <w:w w:val="105"/>
        </w:rPr>
        <w:t xml:space="preserve"> </w:t>
      </w:r>
      <w:r>
        <w:rPr>
          <w:w w:val="105"/>
        </w:rPr>
        <w:t>Personality</w:t>
      </w:r>
      <w:r>
        <w:rPr>
          <w:spacing w:val="-4"/>
          <w:w w:val="105"/>
        </w:rPr>
        <w:t xml:space="preserve"> </w:t>
      </w:r>
      <w:r>
        <w:rPr>
          <w:w w:val="105"/>
        </w:rPr>
        <w:t>Disorder,</w:t>
      </w:r>
      <w:r>
        <w:rPr>
          <w:spacing w:val="-8"/>
          <w:w w:val="105"/>
        </w:rPr>
        <w:t xml:space="preserve"> </w:t>
      </w:r>
      <w:r>
        <w:rPr>
          <w:w w:val="105"/>
        </w:rPr>
        <w:t>and</w:t>
      </w:r>
      <w:r>
        <w:rPr>
          <w:spacing w:val="-15"/>
          <w:w w:val="105"/>
        </w:rPr>
        <w:t xml:space="preserve"> </w:t>
      </w:r>
      <w:r>
        <w:rPr>
          <w:w w:val="105"/>
        </w:rPr>
        <w:t>Attention­ Deficit/Hyperactivity Disorder may be associated with the later development of Amphet­ amine-Related</w:t>
      </w:r>
      <w:r>
        <w:rPr>
          <w:spacing w:val="21"/>
          <w:w w:val="105"/>
        </w:rPr>
        <w:t xml:space="preserve"> </w:t>
      </w:r>
      <w:r>
        <w:rPr>
          <w:w w:val="105"/>
        </w:rPr>
        <w:t>Disorders.</w:t>
      </w:r>
    </w:p>
    <w:p w:rsidR="00E675F0" w:rsidRDefault="00E675F0" w:rsidP="00E675F0">
      <w:pPr>
        <w:pStyle w:val="BodyText"/>
        <w:rPr>
          <w:sz w:val="22"/>
        </w:rPr>
      </w:pPr>
    </w:p>
    <w:p w:rsidR="00E675F0" w:rsidRDefault="00E675F0" w:rsidP="00E675F0">
      <w:pPr>
        <w:pStyle w:val="BodyText"/>
        <w:spacing w:before="2"/>
        <w:rPr>
          <w:sz w:val="28"/>
        </w:rPr>
      </w:pPr>
    </w:p>
    <w:p w:rsidR="00E675F0" w:rsidRDefault="00E675F0" w:rsidP="00E675F0">
      <w:pPr>
        <w:ind w:left="125"/>
        <w:rPr>
          <w:rFonts w:ascii="TimesNewRomanPS-BoldItalicMT"/>
          <w:b/>
          <w:i/>
          <w:sz w:val="24"/>
        </w:rPr>
      </w:pPr>
      <w:r>
        <w:rPr>
          <w:rFonts w:ascii="TimesNewRomanPS-BoldItalicMT"/>
          <w:b/>
          <w:i/>
          <w:w w:val="110"/>
          <w:sz w:val="24"/>
        </w:rPr>
        <w:t>Specific Culture, Age, and Gender Features</w:t>
      </w:r>
    </w:p>
    <w:p w:rsidR="00E675F0" w:rsidRDefault="00E675F0" w:rsidP="00E675F0">
      <w:pPr>
        <w:pStyle w:val="BodyText"/>
        <w:spacing w:before="204" w:line="254" w:lineRule="auto"/>
        <w:ind w:left="127" w:right="107"/>
        <w:jc w:val="both"/>
      </w:pPr>
      <w:r>
        <w:rPr>
          <w:w w:val="105"/>
        </w:rPr>
        <w:t>Amphetamine Dependence and Abuse are seen throughout all levels of society and are more common among persons between ages 18 and 30 years. Intravenous use is more common among persons from lower socioeconomic groups and has a male-to-female ratio of 3 or 4:1. The male-to-female ratio is more evenly divided among those with nonintravenous use.</w:t>
      </w:r>
    </w:p>
    <w:p w:rsidR="00E675F0" w:rsidRDefault="00E675F0" w:rsidP="00E675F0">
      <w:pPr>
        <w:pStyle w:val="BodyText"/>
        <w:rPr>
          <w:sz w:val="22"/>
        </w:rPr>
      </w:pPr>
    </w:p>
    <w:p w:rsidR="00E675F0" w:rsidRDefault="00E675F0" w:rsidP="00E675F0">
      <w:pPr>
        <w:pStyle w:val="BodyText"/>
        <w:spacing w:before="6"/>
        <w:rPr>
          <w:sz w:val="30"/>
        </w:rPr>
      </w:pPr>
    </w:p>
    <w:p w:rsidR="00E675F0" w:rsidRDefault="00E675F0" w:rsidP="00E675F0">
      <w:pPr>
        <w:ind w:left="122"/>
        <w:rPr>
          <w:rFonts w:ascii="TimesNewRomanPS-BoldItalicMT"/>
          <w:b/>
          <w:i/>
          <w:sz w:val="24"/>
        </w:rPr>
      </w:pPr>
      <w:r>
        <w:rPr>
          <w:rFonts w:ascii="TimesNewRomanPS-BoldItalicMT"/>
          <w:b/>
          <w:i/>
          <w:w w:val="115"/>
          <w:sz w:val="24"/>
        </w:rPr>
        <w:t>Prevalence</w:t>
      </w:r>
    </w:p>
    <w:p w:rsidR="00E675F0" w:rsidRDefault="00E675F0" w:rsidP="00E675F0">
      <w:pPr>
        <w:pStyle w:val="BodyText"/>
        <w:spacing w:before="213" w:line="254" w:lineRule="auto"/>
        <w:ind w:left="126" w:right="102" w:firstLine="6"/>
        <w:jc w:val="both"/>
      </w:pPr>
      <w:r>
        <w:rPr>
          <w:w w:val="105"/>
        </w:rPr>
        <w:t>A community survey conducted in the United States in 1991 reported that 7% of the population had nonmedical use of amphetamines or amphetamine-like substances  one or more times in their lifetime; 1.3% had used them in the last year; and 0.3% had used them</w:t>
      </w:r>
      <w:r>
        <w:rPr>
          <w:spacing w:val="-11"/>
          <w:w w:val="105"/>
        </w:rPr>
        <w:t xml:space="preserve"> </w:t>
      </w:r>
      <w:r>
        <w:rPr>
          <w:w w:val="105"/>
        </w:rPr>
        <w:t>in</w:t>
      </w:r>
      <w:r>
        <w:rPr>
          <w:spacing w:val="-13"/>
          <w:w w:val="105"/>
        </w:rPr>
        <w:t xml:space="preserve"> </w:t>
      </w:r>
      <w:r>
        <w:rPr>
          <w:w w:val="105"/>
        </w:rPr>
        <w:t>the</w:t>
      </w:r>
      <w:r>
        <w:rPr>
          <w:spacing w:val="-16"/>
          <w:w w:val="105"/>
        </w:rPr>
        <w:t xml:space="preserve"> </w:t>
      </w:r>
      <w:r>
        <w:rPr>
          <w:w w:val="105"/>
        </w:rPr>
        <w:t>last</w:t>
      </w:r>
      <w:r>
        <w:rPr>
          <w:spacing w:val="-7"/>
          <w:w w:val="105"/>
        </w:rPr>
        <w:t xml:space="preserve"> </w:t>
      </w:r>
      <w:r>
        <w:rPr>
          <w:w w:val="105"/>
        </w:rPr>
        <w:t>month.</w:t>
      </w:r>
      <w:r>
        <w:rPr>
          <w:spacing w:val="9"/>
          <w:w w:val="105"/>
        </w:rPr>
        <w:t xml:space="preserve"> </w:t>
      </w:r>
      <w:r>
        <w:rPr>
          <w:w w:val="105"/>
        </w:rPr>
        <w:t>Because</w:t>
      </w:r>
      <w:r>
        <w:rPr>
          <w:spacing w:val="-1"/>
          <w:w w:val="105"/>
        </w:rPr>
        <w:t xml:space="preserve"> </w:t>
      </w:r>
      <w:r>
        <w:rPr>
          <w:w w:val="105"/>
        </w:rPr>
        <w:t>the</w:t>
      </w:r>
      <w:r>
        <w:rPr>
          <w:spacing w:val="-25"/>
          <w:w w:val="105"/>
        </w:rPr>
        <w:t xml:space="preserve"> </w:t>
      </w:r>
      <w:r>
        <w:rPr>
          <w:w w:val="105"/>
        </w:rPr>
        <w:t>survey</w:t>
      </w:r>
      <w:r>
        <w:rPr>
          <w:spacing w:val="-18"/>
          <w:w w:val="105"/>
        </w:rPr>
        <w:t xml:space="preserve"> </w:t>
      </w:r>
      <w:r>
        <w:rPr>
          <w:w w:val="105"/>
        </w:rPr>
        <w:t>assessed</w:t>
      </w:r>
      <w:r>
        <w:rPr>
          <w:spacing w:val="5"/>
          <w:w w:val="105"/>
        </w:rPr>
        <w:t xml:space="preserve"> </w:t>
      </w:r>
      <w:r>
        <w:rPr>
          <w:w w:val="105"/>
        </w:rPr>
        <w:t>patterns</w:t>
      </w:r>
      <w:r>
        <w:rPr>
          <w:spacing w:val="-11"/>
          <w:w w:val="105"/>
        </w:rPr>
        <w:t xml:space="preserve"> </w:t>
      </w:r>
      <w:r>
        <w:rPr>
          <w:w w:val="105"/>
        </w:rPr>
        <w:t>of</w:t>
      </w:r>
      <w:r>
        <w:rPr>
          <w:spacing w:val="-1"/>
          <w:w w:val="105"/>
        </w:rPr>
        <w:t xml:space="preserve"> </w:t>
      </w:r>
      <w:r>
        <w:rPr>
          <w:w w:val="105"/>
        </w:rPr>
        <w:t>use</w:t>
      </w:r>
      <w:r>
        <w:rPr>
          <w:spacing w:val="-10"/>
          <w:w w:val="105"/>
        </w:rPr>
        <w:t xml:space="preserve"> </w:t>
      </w:r>
      <w:r>
        <w:rPr>
          <w:w w:val="105"/>
        </w:rPr>
        <w:t>rather</w:t>
      </w:r>
      <w:r>
        <w:rPr>
          <w:spacing w:val="-7"/>
          <w:w w:val="105"/>
        </w:rPr>
        <w:t xml:space="preserve"> </w:t>
      </w:r>
      <w:r>
        <w:rPr>
          <w:w w:val="105"/>
        </w:rPr>
        <w:t>than</w:t>
      </w:r>
      <w:r>
        <w:rPr>
          <w:spacing w:val="-14"/>
          <w:w w:val="105"/>
        </w:rPr>
        <w:t xml:space="preserve"> </w:t>
      </w:r>
      <w:r>
        <w:rPr>
          <w:w w:val="105"/>
        </w:rPr>
        <w:t>diagnoses, it is not known how many of those in the survey who used amphetamines had symptoms that met criteria for Dependence or Abuse. A community study conducted in the United States</w:t>
      </w:r>
      <w:r>
        <w:rPr>
          <w:spacing w:val="-11"/>
          <w:w w:val="105"/>
        </w:rPr>
        <w:t xml:space="preserve"> </w:t>
      </w:r>
      <w:r>
        <w:rPr>
          <w:w w:val="105"/>
        </w:rPr>
        <w:t>from</w:t>
      </w:r>
      <w:r>
        <w:rPr>
          <w:spacing w:val="-11"/>
          <w:w w:val="105"/>
        </w:rPr>
        <w:t xml:space="preserve"> </w:t>
      </w:r>
      <w:r>
        <w:rPr>
          <w:w w:val="105"/>
        </w:rPr>
        <w:t>1980</w:t>
      </w:r>
      <w:r>
        <w:rPr>
          <w:spacing w:val="-11"/>
          <w:w w:val="105"/>
        </w:rPr>
        <w:t xml:space="preserve"> </w:t>
      </w:r>
      <w:r>
        <w:rPr>
          <w:w w:val="105"/>
          <w:sz w:val="18"/>
        </w:rPr>
        <w:t>to</w:t>
      </w:r>
      <w:r>
        <w:rPr>
          <w:spacing w:val="8"/>
          <w:w w:val="105"/>
          <w:sz w:val="18"/>
        </w:rPr>
        <w:t xml:space="preserve"> </w:t>
      </w:r>
      <w:r>
        <w:rPr>
          <w:w w:val="105"/>
        </w:rPr>
        <w:t>1985</w:t>
      </w:r>
      <w:r>
        <w:rPr>
          <w:spacing w:val="-15"/>
          <w:w w:val="105"/>
        </w:rPr>
        <w:t xml:space="preserve"> </w:t>
      </w:r>
      <w:r>
        <w:rPr>
          <w:w w:val="105"/>
        </w:rPr>
        <w:t>that</w:t>
      </w:r>
      <w:r>
        <w:rPr>
          <w:spacing w:val="-4"/>
          <w:w w:val="105"/>
        </w:rPr>
        <w:t xml:space="preserve"> </w:t>
      </w:r>
      <w:r>
        <w:rPr>
          <w:w w:val="105"/>
        </w:rPr>
        <w:t>used</w:t>
      </w:r>
      <w:r>
        <w:rPr>
          <w:spacing w:val="-9"/>
          <w:w w:val="105"/>
        </w:rPr>
        <w:t xml:space="preserve"> </w:t>
      </w:r>
      <w:r>
        <w:rPr>
          <w:w w:val="105"/>
        </w:rPr>
        <w:t>the</w:t>
      </w:r>
      <w:r>
        <w:rPr>
          <w:spacing w:val="-8"/>
          <w:w w:val="105"/>
        </w:rPr>
        <w:t xml:space="preserve"> </w:t>
      </w:r>
      <w:r>
        <w:rPr>
          <w:w w:val="105"/>
        </w:rPr>
        <w:t>more</w:t>
      </w:r>
      <w:r>
        <w:rPr>
          <w:spacing w:val="-5"/>
          <w:w w:val="105"/>
        </w:rPr>
        <w:t xml:space="preserve"> </w:t>
      </w:r>
      <w:r>
        <w:rPr>
          <w:w w:val="105"/>
        </w:rPr>
        <w:t>narrowly</w:t>
      </w:r>
      <w:r>
        <w:rPr>
          <w:spacing w:val="-1"/>
          <w:w w:val="105"/>
        </w:rPr>
        <w:t xml:space="preserve"> </w:t>
      </w:r>
      <w:r>
        <w:rPr>
          <w:w w:val="105"/>
        </w:rPr>
        <w:t>defined</w:t>
      </w:r>
      <w:r>
        <w:rPr>
          <w:spacing w:val="-4"/>
          <w:w w:val="105"/>
        </w:rPr>
        <w:t xml:space="preserve"> </w:t>
      </w:r>
      <w:r>
        <w:rPr>
          <w:w w:val="105"/>
        </w:rPr>
        <w:t>DSM-III</w:t>
      </w:r>
      <w:r>
        <w:rPr>
          <w:spacing w:val="1"/>
          <w:w w:val="105"/>
        </w:rPr>
        <w:t xml:space="preserve"> </w:t>
      </w:r>
      <w:r>
        <w:rPr>
          <w:w w:val="105"/>
        </w:rPr>
        <w:t>criteria</w:t>
      </w:r>
      <w:r>
        <w:rPr>
          <w:spacing w:val="-5"/>
          <w:w w:val="105"/>
        </w:rPr>
        <w:t xml:space="preserve"> </w:t>
      </w:r>
      <w:r>
        <w:rPr>
          <w:w w:val="105"/>
        </w:rPr>
        <w:t>found</w:t>
      </w:r>
      <w:r>
        <w:rPr>
          <w:spacing w:val="-8"/>
          <w:w w:val="105"/>
        </w:rPr>
        <w:t xml:space="preserve"> </w:t>
      </w:r>
      <w:r>
        <w:rPr>
          <w:w w:val="105"/>
        </w:rPr>
        <w:t>that about 2% of the adult population had Amphetamine Dependence or Abuse at some time in their</w:t>
      </w:r>
      <w:r>
        <w:rPr>
          <w:spacing w:val="19"/>
          <w:w w:val="105"/>
        </w:rPr>
        <w:t xml:space="preserve"> </w:t>
      </w:r>
      <w:r>
        <w:rPr>
          <w:w w:val="105"/>
        </w:rPr>
        <w:t>lives.</w:t>
      </w:r>
    </w:p>
    <w:p w:rsidR="00E675F0" w:rsidRDefault="00E675F0" w:rsidP="00E675F0">
      <w:pPr>
        <w:spacing w:line="254" w:lineRule="auto"/>
        <w:jc w:val="both"/>
        <w:sectPr w:rsidR="00E675F0">
          <w:headerReference w:type="even" r:id="rId183"/>
          <w:headerReference w:type="default" r:id="rId184"/>
          <w:pgSz w:w="8960" w:h="14260"/>
          <w:pgMar w:top="1400" w:right="620" w:bottom="280" w:left="620" w:header="687" w:footer="0" w:gutter="0"/>
          <w:pgNumType w:start="210"/>
          <w:cols w:space="720"/>
        </w:sectPr>
      </w:pPr>
    </w:p>
    <w:p w:rsidR="00E675F0" w:rsidRDefault="00E675F0" w:rsidP="00E675F0">
      <w:pPr>
        <w:spacing w:before="123"/>
        <w:ind w:left="112"/>
        <w:rPr>
          <w:rFonts w:ascii="TimesNewRomanPS-BoldItalicMT"/>
          <w:b/>
          <w:i/>
          <w:sz w:val="24"/>
        </w:rPr>
      </w:pPr>
      <w:bookmarkStart w:id="134" w:name="_bookmark115"/>
      <w:bookmarkEnd w:id="134"/>
      <w:r>
        <w:rPr>
          <w:rFonts w:ascii="TimesNewRomanPS-BoldItalicMT"/>
          <w:b/>
          <w:i/>
          <w:w w:val="115"/>
          <w:sz w:val="24"/>
        </w:rPr>
        <w:lastRenderedPageBreak/>
        <w:t>Course</w:t>
      </w:r>
    </w:p>
    <w:p w:rsidR="00E675F0" w:rsidRDefault="00E675F0" w:rsidP="00E675F0">
      <w:pPr>
        <w:pStyle w:val="BodyText"/>
        <w:spacing w:before="136" w:line="254" w:lineRule="auto"/>
        <w:ind w:left="129" w:right="136"/>
        <w:jc w:val="both"/>
      </w:pPr>
      <w:r>
        <w:rPr>
          <w:w w:val="105"/>
        </w:rPr>
        <w:t>Some individuals who abuse or become dependent on amphetamines or amphetamine­ like substances begin use in an attempt to control their weight. Others become introduced to these substances through the illegal market. Dependence can occur rapidly when the substance is used intravenously or smoked. Oral administration usually results in a slower progression from use to Dependence. Amphetamine Dependence is associated with two patterns of administration: episodic use or daily (or almost daily) use. In the episodic pattern, substance use is separated by days of nonuse (e.g., intense use over a weekend or on one or more weekdays). These periods of intensive high-dose use (often called "speed runs" or "binges") are often associated with intravenous use. Runs tend to terminate only when drug supplies are depleted. Chronic daily use may involve high or low doses and may occur throughout the day or be restricted to only a few hours. In chronic daily use, there are generally no wide fluctuations in dose on successive days, but there is often an increase in dose over time. Chronic use of high doses often becomes unpleasant because of sensitization and the emergence  of dysphoric and other negative drug effects. The few long-term data available  indicate that there is a tendency for persons who have been dependent on amphetamines to decrease or stop use after 8-10 years. This appears to result from the development of adverse mental and physical effects that emerge in association with long-term depen­ dence.</w:t>
      </w:r>
      <w:r>
        <w:rPr>
          <w:spacing w:val="14"/>
          <w:w w:val="105"/>
        </w:rPr>
        <w:t xml:space="preserve"> </w:t>
      </w:r>
      <w:r>
        <w:rPr>
          <w:w w:val="105"/>
        </w:rPr>
        <w:t>Little</w:t>
      </w:r>
      <w:r>
        <w:rPr>
          <w:spacing w:val="13"/>
          <w:w w:val="105"/>
        </w:rPr>
        <w:t xml:space="preserve"> </w:t>
      </w:r>
      <w:r>
        <w:rPr>
          <w:w w:val="105"/>
        </w:rPr>
        <w:t>or</w:t>
      </w:r>
      <w:r>
        <w:rPr>
          <w:spacing w:val="9"/>
          <w:w w:val="105"/>
        </w:rPr>
        <w:t xml:space="preserve"> </w:t>
      </w:r>
      <w:r>
        <w:rPr>
          <w:w w:val="105"/>
        </w:rPr>
        <w:t>no</w:t>
      </w:r>
      <w:r>
        <w:rPr>
          <w:spacing w:val="12"/>
          <w:w w:val="105"/>
        </w:rPr>
        <w:t xml:space="preserve"> </w:t>
      </w:r>
      <w:r>
        <w:rPr>
          <w:w w:val="105"/>
        </w:rPr>
        <w:t>data</w:t>
      </w:r>
      <w:r>
        <w:rPr>
          <w:spacing w:val="16"/>
          <w:w w:val="105"/>
        </w:rPr>
        <w:t xml:space="preserve"> </w:t>
      </w:r>
      <w:r>
        <w:rPr>
          <w:w w:val="105"/>
        </w:rPr>
        <w:t>are</w:t>
      </w:r>
      <w:r>
        <w:rPr>
          <w:spacing w:val="6"/>
          <w:w w:val="105"/>
        </w:rPr>
        <w:t xml:space="preserve"> </w:t>
      </w:r>
      <w:r>
        <w:rPr>
          <w:w w:val="105"/>
        </w:rPr>
        <w:t>available</w:t>
      </w:r>
      <w:r>
        <w:rPr>
          <w:spacing w:val="17"/>
          <w:w w:val="105"/>
        </w:rPr>
        <w:t xml:space="preserve"> </w:t>
      </w:r>
      <w:r>
        <w:rPr>
          <w:w w:val="105"/>
        </w:rPr>
        <w:t>on</w:t>
      </w:r>
      <w:r>
        <w:rPr>
          <w:spacing w:val="15"/>
          <w:w w:val="105"/>
        </w:rPr>
        <w:t xml:space="preserve"> </w:t>
      </w:r>
      <w:r>
        <w:rPr>
          <w:w w:val="105"/>
        </w:rPr>
        <w:t>the</w:t>
      </w:r>
      <w:r>
        <w:rPr>
          <w:spacing w:val="6"/>
          <w:w w:val="105"/>
        </w:rPr>
        <w:t xml:space="preserve"> </w:t>
      </w:r>
      <w:r>
        <w:rPr>
          <w:w w:val="105"/>
        </w:rPr>
        <w:t>long-term</w:t>
      </w:r>
      <w:r>
        <w:rPr>
          <w:spacing w:val="19"/>
          <w:w w:val="105"/>
        </w:rPr>
        <w:t xml:space="preserve"> </w:t>
      </w:r>
      <w:r>
        <w:rPr>
          <w:w w:val="105"/>
        </w:rPr>
        <w:t>course</w:t>
      </w:r>
      <w:r>
        <w:rPr>
          <w:spacing w:val="18"/>
          <w:w w:val="105"/>
        </w:rPr>
        <w:t xml:space="preserve"> </w:t>
      </w:r>
      <w:r>
        <w:rPr>
          <w:w w:val="105"/>
        </w:rPr>
        <w:t>of</w:t>
      </w:r>
      <w:r>
        <w:rPr>
          <w:spacing w:val="8"/>
          <w:w w:val="105"/>
        </w:rPr>
        <w:t xml:space="preserve"> </w:t>
      </w:r>
      <w:r>
        <w:rPr>
          <w:w w:val="105"/>
        </w:rPr>
        <w:t>Abuse.</w:t>
      </w:r>
    </w:p>
    <w:p w:rsidR="00E675F0" w:rsidRDefault="00E675F0" w:rsidP="00E675F0">
      <w:pPr>
        <w:pStyle w:val="BodyText"/>
        <w:rPr>
          <w:sz w:val="22"/>
        </w:rPr>
      </w:pPr>
    </w:p>
    <w:p w:rsidR="00E675F0" w:rsidRDefault="00E675F0" w:rsidP="00E675F0">
      <w:pPr>
        <w:spacing w:before="163"/>
        <w:ind w:left="110"/>
        <w:rPr>
          <w:rFonts w:ascii="TimesNewRomanPS-BoldItalicMT"/>
          <w:b/>
          <w:i/>
          <w:sz w:val="24"/>
        </w:rPr>
      </w:pPr>
      <w:r>
        <w:rPr>
          <w:rFonts w:ascii="TimesNewRomanPS-BoldItalicMT"/>
          <w:b/>
          <w:i/>
          <w:w w:val="120"/>
          <w:sz w:val="24"/>
        </w:rPr>
        <w:t>m.[ferential magnosis</w:t>
      </w:r>
    </w:p>
    <w:p w:rsidR="00E675F0" w:rsidRDefault="00E675F0" w:rsidP="00E675F0">
      <w:pPr>
        <w:pStyle w:val="BodyText"/>
        <w:spacing w:before="141"/>
        <w:ind w:left="138"/>
        <w:jc w:val="both"/>
      </w:pPr>
      <w:r>
        <w:rPr>
          <w:w w:val="105"/>
        </w:rPr>
        <w:t>For a general discussion of the differential diagnosis of Substance-Related Disorders, see</w:t>
      </w:r>
    </w:p>
    <w:p w:rsidR="00E675F0" w:rsidRDefault="00E675F0" w:rsidP="00E675F0">
      <w:pPr>
        <w:pStyle w:val="BodyText"/>
        <w:spacing w:before="15" w:line="252" w:lineRule="auto"/>
        <w:ind w:left="135" w:right="133" w:firstLine="12"/>
        <w:jc w:val="both"/>
      </w:pPr>
      <w:r>
        <w:rPr>
          <w:w w:val="105"/>
        </w:rPr>
        <w:t xml:space="preserve">p. 190. Amphetamine-Induced Disorders may be characterized by symptoms (e.g., delusions) that resemble </w:t>
      </w:r>
      <w:r>
        <w:rPr>
          <w:b/>
          <w:w w:val="105"/>
          <w:sz w:val="19"/>
        </w:rPr>
        <w:t xml:space="preserve">pritnarymentaldisorders </w:t>
      </w:r>
      <w:r>
        <w:rPr>
          <w:w w:val="105"/>
        </w:rPr>
        <w:t>(e.g., Schizophreniform Disorder versus Amphetamine-Induced Psychotic Disorder, With Delusions, With Onset During Intoxication). See p. 193 for a discussion of this differential diagnosis.</w:t>
      </w:r>
    </w:p>
    <w:p w:rsidR="00E675F0" w:rsidRDefault="00E675F0" w:rsidP="00E675F0">
      <w:pPr>
        <w:spacing w:before="6" w:line="252" w:lineRule="auto"/>
        <w:ind w:left="132" w:right="120" w:firstLine="363"/>
        <w:jc w:val="both"/>
        <w:rPr>
          <w:sz w:val="20"/>
        </w:rPr>
      </w:pPr>
      <w:r>
        <w:rPr>
          <w:b/>
          <w:w w:val="105"/>
          <w:sz w:val="19"/>
        </w:rPr>
        <w:t>Cocaine Intoxication,</w:t>
      </w:r>
      <w:r>
        <w:rPr>
          <w:b/>
          <w:spacing w:val="49"/>
          <w:w w:val="105"/>
          <w:sz w:val="19"/>
        </w:rPr>
        <w:t xml:space="preserve"> </w:t>
      </w:r>
      <w:r>
        <w:rPr>
          <w:b/>
          <w:w w:val="105"/>
          <w:sz w:val="19"/>
        </w:rPr>
        <w:t xml:space="preserve">Hallucinogen  Intoxication,  </w:t>
      </w:r>
      <w:r>
        <w:rPr>
          <w:w w:val="105"/>
          <w:sz w:val="20"/>
        </w:rPr>
        <w:t xml:space="preserve">and  </w:t>
      </w:r>
      <w:r>
        <w:rPr>
          <w:b/>
          <w:w w:val="105"/>
          <w:sz w:val="19"/>
        </w:rPr>
        <w:t xml:space="preserve">Phencyclidine  Intoxi­ cation </w:t>
      </w:r>
      <w:r>
        <w:rPr>
          <w:w w:val="105"/>
          <w:sz w:val="20"/>
        </w:rPr>
        <w:t xml:space="preserve">may cause a similar clinical picture and can sometimes be distinguished from Amphetamine Intoxication only by the presence of amphetamine metabolites in a urine specimen or amphetamine in plasma. Amphetamine Dependence and Abuse should be distinguished from </w:t>
      </w:r>
      <w:r>
        <w:rPr>
          <w:b/>
          <w:w w:val="105"/>
          <w:sz w:val="19"/>
        </w:rPr>
        <w:t>Cocaine, Phencyclidine,</w:t>
      </w:r>
      <w:r>
        <w:rPr>
          <w:b/>
          <w:spacing w:val="49"/>
          <w:w w:val="105"/>
          <w:sz w:val="19"/>
        </w:rPr>
        <w:t xml:space="preserve"> </w:t>
      </w:r>
      <w:r>
        <w:rPr>
          <w:w w:val="105"/>
          <w:sz w:val="20"/>
        </w:rPr>
        <w:t xml:space="preserve">and  </w:t>
      </w:r>
      <w:r>
        <w:rPr>
          <w:b/>
          <w:w w:val="105"/>
          <w:sz w:val="19"/>
        </w:rPr>
        <w:t xml:space="preserve">Hallucinogen  Dependence  </w:t>
      </w:r>
      <w:r>
        <w:rPr>
          <w:w w:val="105"/>
          <w:sz w:val="20"/>
        </w:rPr>
        <w:t xml:space="preserve">and </w:t>
      </w:r>
      <w:r>
        <w:rPr>
          <w:b/>
          <w:w w:val="105"/>
          <w:sz w:val="20"/>
        </w:rPr>
        <w:t>Abuse.</w:t>
      </w:r>
      <w:r>
        <w:rPr>
          <w:b/>
          <w:spacing w:val="-12"/>
          <w:w w:val="105"/>
          <w:sz w:val="20"/>
        </w:rPr>
        <w:t xml:space="preserve"> </w:t>
      </w:r>
      <w:r>
        <w:rPr>
          <w:w w:val="105"/>
          <w:sz w:val="20"/>
        </w:rPr>
        <w:t>Amphetamine</w:t>
      </w:r>
      <w:r>
        <w:rPr>
          <w:spacing w:val="-5"/>
          <w:w w:val="105"/>
          <w:sz w:val="20"/>
        </w:rPr>
        <w:t xml:space="preserve"> </w:t>
      </w:r>
      <w:r>
        <w:rPr>
          <w:w w:val="105"/>
          <w:sz w:val="20"/>
        </w:rPr>
        <w:t>Intoxication</w:t>
      </w:r>
      <w:r>
        <w:rPr>
          <w:spacing w:val="-2"/>
          <w:w w:val="105"/>
          <w:sz w:val="20"/>
        </w:rPr>
        <w:t xml:space="preserve"> </w:t>
      </w:r>
      <w:r>
        <w:rPr>
          <w:w w:val="105"/>
          <w:sz w:val="20"/>
        </w:rPr>
        <w:t>and</w:t>
      </w:r>
      <w:r>
        <w:rPr>
          <w:spacing w:val="-16"/>
          <w:w w:val="105"/>
          <w:sz w:val="20"/>
        </w:rPr>
        <w:t xml:space="preserve"> </w:t>
      </w:r>
      <w:r>
        <w:rPr>
          <w:w w:val="105"/>
          <w:sz w:val="20"/>
        </w:rPr>
        <w:t>Amphetamine</w:t>
      </w:r>
      <w:r>
        <w:rPr>
          <w:spacing w:val="-6"/>
          <w:w w:val="105"/>
          <w:sz w:val="20"/>
        </w:rPr>
        <w:t xml:space="preserve"> </w:t>
      </w:r>
      <w:r>
        <w:rPr>
          <w:w w:val="105"/>
          <w:sz w:val="20"/>
        </w:rPr>
        <w:t>Withdrawal</w:t>
      </w:r>
      <w:r>
        <w:rPr>
          <w:spacing w:val="2"/>
          <w:w w:val="105"/>
          <w:sz w:val="20"/>
        </w:rPr>
        <w:t xml:space="preserve"> </w:t>
      </w:r>
      <w:r>
        <w:rPr>
          <w:w w:val="105"/>
          <w:sz w:val="20"/>
        </w:rPr>
        <w:t>are</w:t>
      </w:r>
      <w:r>
        <w:rPr>
          <w:spacing w:val="-16"/>
          <w:w w:val="105"/>
          <w:sz w:val="20"/>
        </w:rPr>
        <w:t xml:space="preserve"> </w:t>
      </w:r>
      <w:r>
        <w:rPr>
          <w:w w:val="105"/>
          <w:sz w:val="20"/>
        </w:rPr>
        <w:t>distinguished</w:t>
      </w:r>
      <w:r>
        <w:rPr>
          <w:spacing w:val="-9"/>
          <w:w w:val="105"/>
          <w:sz w:val="20"/>
        </w:rPr>
        <w:t xml:space="preserve"> </w:t>
      </w:r>
      <w:r>
        <w:rPr>
          <w:w w:val="105"/>
          <w:sz w:val="20"/>
        </w:rPr>
        <w:t xml:space="preserve">from the </w:t>
      </w:r>
      <w:r>
        <w:rPr>
          <w:b/>
          <w:w w:val="105"/>
          <w:sz w:val="19"/>
        </w:rPr>
        <w:t xml:space="preserve">other Amphetamine-Induced Disorders </w:t>
      </w:r>
      <w:r>
        <w:rPr>
          <w:w w:val="105"/>
          <w:sz w:val="20"/>
        </w:rPr>
        <w:t>(e.g., Amphetamine-Induced Anxiety Disorder, With</w:t>
      </w:r>
      <w:r>
        <w:rPr>
          <w:spacing w:val="-5"/>
          <w:w w:val="105"/>
          <w:sz w:val="20"/>
        </w:rPr>
        <w:t xml:space="preserve"> </w:t>
      </w:r>
      <w:r>
        <w:rPr>
          <w:w w:val="105"/>
          <w:sz w:val="20"/>
        </w:rPr>
        <w:t>Onset</w:t>
      </w:r>
      <w:r>
        <w:rPr>
          <w:spacing w:val="-9"/>
          <w:w w:val="105"/>
          <w:sz w:val="20"/>
        </w:rPr>
        <w:t xml:space="preserve"> </w:t>
      </w:r>
      <w:r>
        <w:rPr>
          <w:w w:val="105"/>
          <w:sz w:val="20"/>
        </w:rPr>
        <w:t>During</w:t>
      </w:r>
      <w:r>
        <w:rPr>
          <w:spacing w:val="-14"/>
          <w:w w:val="105"/>
          <w:sz w:val="20"/>
        </w:rPr>
        <w:t xml:space="preserve"> </w:t>
      </w:r>
      <w:r>
        <w:rPr>
          <w:w w:val="105"/>
          <w:sz w:val="20"/>
        </w:rPr>
        <w:t>Intoxication)</w:t>
      </w:r>
      <w:r>
        <w:rPr>
          <w:spacing w:val="2"/>
          <w:w w:val="105"/>
          <w:sz w:val="20"/>
        </w:rPr>
        <w:t xml:space="preserve"> </w:t>
      </w:r>
      <w:r>
        <w:rPr>
          <w:w w:val="105"/>
          <w:sz w:val="20"/>
        </w:rPr>
        <w:t>because</w:t>
      </w:r>
      <w:r>
        <w:rPr>
          <w:spacing w:val="-8"/>
          <w:w w:val="105"/>
          <w:sz w:val="20"/>
        </w:rPr>
        <w:t xml:space="preserve"> </w:t>
      </w:r>
      <w:r>
        <w:rPr>
          <w:w w:val="105"/>
          <w:sz w:val="20"/>
        </w:rPr>
        <w:t>the</w:t>
      </w:r>
      <w:r>
        <w:rPr>
          <w:spacing w:val="-26"/>
          <w:w w:val="105"/>
          <w:sz w:val="20"/>
        </w:rPr>
        <w:t xml:space="preserve"> </w:t>
      </w:r>
      <w:r>
        <w:rPr>
          <w:w w:val="105"/>
          <w:sz w:val="20"/>
        </w:rPr>
        <w:t>symptoms</w:t>
      </w:r>
      <w:r>
        <w:rPr>
          <w:spacing w:val="-7"/>
          <w:w w:val="105"/>
          <w:sz w:val="20"/>
        </w:rPr>
        <w:t xml:space="preserve"> </w:t>
      </w:r>
      <w:r>
        <w:rPr>
          <w:w w:val="105"/>
          <w:sz w:val="20"/>
        </w:rPr>
        <w:t>in</w:t>
      </w:r>
      <w:r>
        <w:rPr>
          <w:spacing w:val="-10"/>
          <w:w w:val="105"/>
          <w:sz w:val="20"/>
        </w:rPr>
        <w:t xml:space="preserve"> </w:t>
      </w:r>
      <w:r>
        <w:rPr>
          <w:w w:val="105"/>
          <w:sz w:val="20"/>
        </w:rPr>
        <w:t>these</w:t>
      </w:r>
      <w:r>
        <w:rPr>
          <w:spacing w:val="-19"/>
          <w:w w:val="105"/>
          <w:sz w:val="20"/>
        </w:rPr>
        <w:t xml:space="preserve"> </w:t>
      </w:r>
      <w:r>
        <w:rPr>
          <w:w w:val="105"/>
          <w:sz w:val="20"/>
        </w:rPr>
        <w:t>latter</w:t>
      </w:r>
      <w:r>
        <w:rPr>
          <w:spacing w:val="-18"/>
          <w:w w:val="105"/>
          <w:sz w:val="20"/>
        </w:rPr>
        <w:t xml:space="preserve"> </w:t>
      </w:r>
      <w:r>
        <w:rPr>
          <w:w w:val="105"/>
          <w:sz w:val="20"/>
        </w:rPr>
        <w:t>disorders are in excess of those usually associated with Amphetamine Intoxication or Amphet­ amine Withdrawal and are severe enough to warrant independent clinical</w:t>
      </w:r>
      <w:r>
        <w:rPr>
          <w:spacing w:val="21"/>
          <w:w w:val="105"/>
          <w:sz w:val="20"/>
        </w:rPr>
        <w:t xml:space="preserve"> </w:t>
      </w:r>
      <w:r>
        <w:rPr>
          <w:w w:val="105"/>
          <w:sz w:val="20"/>
        </w:rPr>
        <w:t>attention.</w:t>
      </w:r>
    </w:p>
    <w:p w:rsidR="00E675F0" w:rsidRDefault="00E675F0" w:rsidP="00E675F0">
      <w:pPr>
        <w:pStyle w:val="BodyText"/>
        <w:rPr>
          <w:sz w:val="22"/>
        </w:rPr>
      </w:pPr>
    </w:p>
    <w:p w:rsidR="00E675F0" w:rsidRDefault="00E675F0" w:rsidP="00E675F0">
      <w:pPr>
        <w:pStyle w:val="BodyText"/>
        <w:rPr>
          <w:sz w:val="23"/>
        </w:rPr>
      </w:pPr>
    </w:p>
    <w:p w:rsidR="00E675F0" w:rsidRDefault="00E675F0" w:rsidP="00E675F0">
      <w:pPr>
        <w:tabs>
          <w:tab w:val="left" w:pos="2322"/>
        </w:tabs>
        <w:spacing w:line="247" w:lineRule="auto"/>
        <w:ind w:left="2331" w:right="1398" w:hanging="922"/>
        <w:rPr>
          <w:rFonts w:ascii="Arial"/>
          <w:b/>
          <w:sz w:val="26"/>
        </w:rPr>
      </w:pPr>
      <w:r>
        <w:rPr>
          <w:rFonts w:ascii="Arial"/>
          <w:b/>
          <w:w w:val="105"/>
          <w:sz w:val="26"/>
        </w:rPr>
        <w:t>292.9</w:t>
      </w:r>
      <w:r>
        <w:rPr>
          <w:rFonts w:ascii="Arial"/>
          <w:b/>
          <w:w w:val="105"/>
          <w:sz w:val="26"/>
        </w:rPr>
        <w:tab/>
      </w:r>
      <w:r>
        <w:rPr>
          <w:rFonts w:ascii="Arial"/>
          <w:b/>
          <w:sz w:val="26"/>
        </w:rPr>
        <w:t xml:space="preserve">Amphetamine--Related Disorder </w:t>
      </w:r>
      <w:r>
        <w:rPr>
          <w:rFonts w:ascii="Arial"/>
          <w:b/>
          <w:w w:val="105"/>
          <w:sz w:val="26"/>
        </w:rPr>
        <w:t>Not Otherwise</w:t>
      </w:r>
      <w:r>
        <w:rPr>
          <w:rFonts w:ascii="Arial"/>
          <w:b/>
          <w:spacing w:val="-5"/>
          <w:w w:val="105"/>
          <w:sz w:val="26"/>
        </w:rPr>
        <w:t xml:space="preserve"> </w:t>
      </w:r>
      <w:r>
        <w:rPr>
          <w:rFonts w:ascii="Arial"/>
          <w:b/>
          <w:w w:val="105"/>
          <w:sz w:val="26"/>
        </w:rPr>
        <w:t>Specified</w:t>
      </w:r>
    </w:p>
    <w:p w:rsidR="00E675F0" w:rsidRDefault="00E675F0" w:rsidP="00E675F0">
      <w:pPr>
        <w:pStyle w:val="BodyText"/>
        <w:spacing w:before="6"/>
        <w:rPr>
          <w:rFonts w:ascii="Arial"/>
          <w:b/>
          <w:sz w:val="24"/>
        </w:rPr>
      </w:pPr>
    </w:p>
    <w:p w:rsidR="00E675F0" w:rsidRDefault="00E675F0" w:rsidP="00E675F0">
      <w:pPr>
        <w:pStyle w:val="BodyText"/>
        <w:spacing w:line="254" w:lineRule="auto"/>
        <w:ind w:left="149" w:right="111" w:hanging="9"/>
        <w:jc w:val="both"/>
      </w:pPr>
      <w:r>
        <w:rPr>
          <w:w w:val="105"/>
        </w:rPr>
        <w:t>The Amphetamine-Related Disorder Not Otherwise Specified category is for disorders associated with the use of amphetamine (or a related substance) that are not classifiable as Amphetamine Dependence, Amphetamine Abuse, Amphetamine Intoxication, Am­ phetamine Withdrawal, Amphetamine Intoxication Delirium, Amphetamine-Induced</w:t>
      </w:r>
    </w:p>
    <w:p w:rsidR="00E675F0" w:rsidRDefault="00E675F0" w:rsidP="00E675F0">
      <w:pPr>
        <w:spacing w:line="254" w:lineRule="auto"/>
        <w:jc w:val="both"/>
        <w:sectPr w:rsidR="00E675F0">
          <w:pgSz w:w="8960" w:h="14260"/>
          <w:pgMar w:top="1400" w:right="620" w:bottom="280" w:left="600" w:header="672" w:footer="0" w:gutter="0"/>
          <w:cols w:space="720"/>
        </w:sectPr>
      </w:pPr>
    </w:p>
    <w:p w:rsidR="00E675F0" w:rsidRDefault="00E675F0" w:rsidP="00E675F0">
      <w:pPr>
        <w:pStyle w:val="BodyText"/>
        <w:spacing w:before="113" w:line="254" w:lineRule="auto"/>
        <w:ind w:left="143" w:right="121" w:firstLine="14"/>
        <w:jc w:val="both"/>
      </w:pPr>
      <w:bookmarkStart w:id="135" w:name="_bookmark116"/>
      <w:bookmarkEnd w:id="135"/>
      <w:r>
        <w:rPr>
          <w:w w:val="105"/>
        </w:rPr>
        <w:lastRenderedPageBreak/>
        <w:t>Psychotic</w:t>
      </w:r>
      <w:r>
        <w:rPr>
          <w:spacing w:val="-24"/>
          <w:w w:val="105"/>
        </w:rPr>
        <w:t xml:space="preserve"> </w:t>
      </w:r>
      <w:r>
        <w:rPr>
          <w:w w:val="105"/>
        </w:rPr>
        <w:t>Disorder,</w:t>
      </w:r>
      <w:r>
        <w:rPr>
          <w:spacing w:val="-17"/>
          <w:w w:val="105"/>
        </w:rPr>
        <w:t xml:space="preserve"> </w:t>
      </w:r>
      <w:r>
        <w:rPr>
          <w:w w:val="105"/>
        </w:rPr>
        <w:t>Amphetamine-Induced</w:t>
      </w:r>
      <w:r>
        <w:rPr>
          <w:spacing w:val="-27"/>
          <w:w w:val="105"/>
        </w:rPr>
        <w:t xml:space="preserve"> </w:t>
      </w:r>
      <w:r>
        <w:rPr>
          <w:w w:val="105"/>
        </w:rPr>
        <w:t>Mood</w:t>
      </w:r>
      <w:r>
        <w:rPr>
          <w:spacing w:val="-22"/>
          <w:w w:val="105"/>
        </w:rPr>
        <w:t xml:space="preserve"> </w:t>
      </w:r>
      <w:r>
        <w:rPr>
          <w:w w:val="105"/>
        </w:rPr>
        <w:t>Disorder,</w:t>
      </w:r>
      <w:r>
        <w:rPr>
          <w:spacing w:val="-20"/>
          <w:w w:val="105"/>
        </w:rPr>
        <w:t xml:space="preserve"> </w:t>
      </w:r>
      <w:r>
        <w:rPr>
          <w:w w:val="105"/>
        </w:rPr>
        <w:t>Amphetamine-Induced</w:t>
      </w:r>
      <w:r>
        <w:rPr>
          <w:spacing w:val="-33"/>
          <w:w w:val="105"/>
        </w:rPr>
        <w:t xml:space="preserve"> </w:t>
      </w:r>
      <w:r>
        <w:rPr>
          <w:w w:val="105"/>
        </w:rPr>
        <w:t>Aruc­ iety Disorder, Amphetamine-Induced Sexual Dysfunction, or Amphetamine-Induced Sleep</w:t>
      </w:r>
      <w:r>
        <w:rPr>
          <w:spacing w:val="8"/>
          <w:w w:val="105"/>
        </w:rPr>
        <w:t xml:space="preserve"> </w:t>
      </w:r>
      <w:r>
        <w:rPr>
          <w:w w:val="105"/>
        </w:rPr>
        <w:t>Disorder.</w:t>
      </w:r>
    </w:p>
    <w:p w:rsidR="00E675F0" w:rsidRDefault="00E675F0" w:rsidP="00E675F0">
      <w:pPr>
        <w:pStyle w:val="BodyText"/>
      </w:pPr>
    </w:p>
    <w:p w:rsidR="00E675F0" w:rsidRDefault="00E675F0" w:rsidP="00E675F0">
      <w:pPr>
        <w:pStyle w:val="BodyText"/>
        <w:spacing w:before="11"/>
        <w:rPr>
          <w:sz w:val="25"/>
        </w:rPr>
      </w:pPr>
      <w:r>
        <w:rPr>
          <w:noProof/>
        </w:rPr>
        <mc:AlternateContent>
          <mc:Choice Requires="wps">
            <w:drawing>
              <wp:anchor distT="0" distB="0" distL="0" distR="0" simplePos="0" relativeHeight="251877376" behindDoc="1" locked="0" layoutInCell="1" allowOverlap="1" wp14:anchorId="51774845" wp14:editId="681C4F50">
                <wp:simplePos x="0" y="0"/>
                <wp:positionH relativeFrom="page">
                  <wp:posOffset>476250</wp:posOffset>
                </wp:positionH>
                <wp:positionV relativeFrom="paragraph">
                  <wp:posOffset>219710</wp:posOffset>
                </wp:positionV>
                <wp:extent cx="1099820" cy="1270"/>
                <wp:effectExtent l="0" t="0" r="5080" b="0"/>
                <wp:wrapTopAndBottom/>
                <wp:docPr id="1363" name="Freeform 1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9820" cy="1270"/>
                        </a:xfrm>
                        <a:custGeom>
                          <a:avLst/>
                          <a:gdLst>
                            <a:gd name="T0" fmla="+- 0 750 750"/>
                            <a:gd name="T1" fmla="*/ T0 w 1732"/>
                            <a:gd name="T2" fmla="+- 0 2482 750"/>
                            <a:gd name="T3" fmla="*/ T2 w 1732"/>
                          </a:gdLst>
                          <a:ahLst/>
                          <a:cxnLst>
                            <a:cxn ang="0">
                              <a:pos x="T1" y="0"/>
                            </a:cxn>
                            <a:cxn ang="0">
                              <a:pos x="T3" y="0"/>
                            </a:cxn>
                          </a:cxnLst>
                          <a:rect l="0" t="0" r="r" b="b"/>
                          <a:pathLst>
                            <a:path w="1732">
                              <a:moveTo>
                                <a:pt x="0" y="0"/>
                              </a:moveTo>
                              <a:lnTo>
                                <a:pt x="1732" y="0"/>
                              </a:lnTo>
                            </a:path>
                          </a:pathLst>
                        </a:custGeom>
                        <a:noFill/>
                        <a:ln w="915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FF04D" id="Freeform 1319" o:spid="_x0000_s1026" style="position:absolute;margin-left:37.5pt;margin-top:17.3pt;width:86.6pt;height:.1pt;z-index:-251439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32,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" path="m,l1732,e" filled="f" strokeweight=".25433mm">
                <v:path arrowok="t" o:connecttype="custom" o:connectlocs="0,0;1099820,0" o:connectangles="0,0"/>
                <w10:wrap type="topAndBottom" anchorx="page"/>
              </v:shape>
            </w:pict>
          </mc:Fallback>
        </mc:AlternateContent>
      </w:r>
      <w:r>
        <w:rPr>
          <w:noProof/>
        </w:rPr>
        <mc:AlternateContent>
          <mc:Choice Requires="wps">
            <w:drawing>
              <wp:anchor distT="0" distB="0" distL="0" distR="0" simplePos="0" relativeHeight="251878400" behindDoc="1" locked="0" layoutInCell="1" allowOverlap="1" wp14:anchorId="211B9E82" wp14:editId="3B9CB107">
                <wp:simplePos x="0" y="0"/>
                <wp:positionH relativeFrom="page">
                  <wp:posOffset>4142105</wp:posOffset>
                </wp:positionH>
                <wp:positionV relativeFrom="paragraph">
                  <wp:posOffset>219710</wp:posOffset>
                </wp:positionV>
                <wp:extent cx="1062990" cy="1270"/>
                <wp:effectExtent l="0" t="0" r="3810" b="0"/>
                <wp:wrapTopAndBottom/>
                <wp:docPr id="1362" name="Freeform 1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2990" cy="1270"/>
                        </a:xfrm>
                        <a:custGeom>
                          <a:avLst/>
                          <a:gdLst>
                            <a:gd name="T0" fmla="+- 0 6523 6523"/>
                            <a:gd name="T1" fmla="*/ T0 w 1674"/>
                            <a:gd name="T2" fmla="+- 0 8197 6523"/>
                            <a:gd name="T3" fmla="*/ T2 w 1674"/>
                          </a:gdLst>
                          <a:ahLst/>
                          <a:cxnLst>
                            <a:cxn ang="0">
                              <a:pos x="T1" y="0"/>
                            </a:cxn>
                            <a:cxn ang="0">
                              <a:pos x="T3" y="0"/>
                            </a:cxn>
                          </a:cxnLst>
                          <a:rect l="0" t="0" r="r" b="b"/>
                          <a:pathLst>
                            <a:path w="1674">
                              <a:moveTo>
                                <a:pt x="0" y="0"/>
                              </a:moveTo>
                              <a:lnTo>
                                <a:pt x="1674" y="0"/>
                              </a:lnTo>
                            </a:path>
                          </a:pathLst>
                        </a:custGeom>
                        <a:noFill/>
                        <a:ln w="915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1AA28A" id="Freeform 1318" o:spid="_x0000_s1026" style="position:absolute;margin-left:326.15pt;margin-top:17.3pt;width:83.7pt;height:.1pt;z-index:-251438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74,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" path="m,l1674,e" filled="f" strokeweight=".25433mm">
                <v:path arrowok="t" o:connecttype="custom" o:connectlocs="0,0;1062990,0" o:connectangles="0,0"/>
                <w10:wrap type="topAndBottom" anchorx="page"/>
              </v:shape>
            </w:pict>
          </mc:Fallback>
        </mc:AlternateContent>
      </w:r>
    </w:p>
    <w:p w:rsidR="00E675F0" w:rsidRDefault="00E675F0" w:rsidP="00E675F0">
      <w:pPr>
        <w:spacing w:before="70"/>
        <w:ind w:left="1205" w:right="1152"/>
        <w:jc w:val="center"/>
        <w:rPr>
          <w:rFonts w:ascii="Arial"/>
          <w:b/>
          <w:sz w:val="26"/>
        </w:rPr>
      </w:pPr>
      <w:r>
        <w:rPr>
          <w:rFonts w:ascii="Arial"/>
          <w:b/>
          <w:color w:val="0F0F0F"/>
          <w:sz w:val="26"/>
        </w:rPr>
        <w:t xml:space="preserve">Caffeine </w:t>
      </w:r>
      <w:r>
        <w:rPr>
          <w:rFonts w:ascii="Arial"/>
          <w:b/>
          <w:color w:val="282828"/>
          <w:sz w:val="26"/>
        </w:rPr>
        <w:t>-</w:t>
      </w:r>
      <w:r>
        <w:rPr>
          <w:rFonts w:ascii="Arial"/>
          <w:b/>
          <w:color w:val="0F0F0F"/>
          <w:sz w:val="26"/>
        </w:rPr>
        <w:t>Related</w:t>
      </w:r>
      <w:r>
        <w:rPr>
          <w:rFonts w:ascii="Arial"/>
          <w:b/>
          <w:color w:val="0F0F0F"/>
          <w:spacing w:val="53"/>
          <w:sz w:val="26"/>
        </w:rPr>
        <w:t xml:space="preserve"> </w:t>
      </w:r>
      <w:r>
        <w:rPr>
          <w:rFonts w:ascii="Arial"/>
          <w:b/>
          <w:color w:val="0F0F0F"/>
          <w:sz w:val="26"/>
        </w:rPr>
        <w:t>Disorders</w:t>
      </w:r>
    </w:p>
    <w:p w:rsidR="00E675F0" w:rsidRDefault="00E675F0" w:rsidP="00E675F0">
      <w:pPr>
        <w:pStyle w:val="BodyText"/>
        <w:spacing w:before="3"/>
        <w:rPr>
          <w:rFonts w:ascii="Arial"/>
          <w:b/>
          <w:sz w:val="23"/>
        </w:rPr>
      </w:pPr>
    </w:p>
    <w:p w:rsidR="00E675F0" w:rsidRDefault="00E675F0" w:rsidP="00E675F0">
      <w:pPr>
        <w:pStyle w:val="BodyText"/>
        <w:spacing w:line="252" w:lineRule="auto"/>
        <w:ind w:left="146" w:right="117" w:firstLine="7"/>
        <w:jc w:val="both"/>
      </w:pPr>
      <w:r>
        <w:rPr>
          <w:w w:val="105"/>
        </w:rPr>
        <w:t xml:space="preserve">Caffeine can be consumed from a number of different sources,  including  coffee (brewed </w:t>
      </w:r>
      <w:r>
        <w:rPr>
          <w:w w:val="105"/>
          <w:sz w:val="21"/>
        </w:rPr>
        <w:t xml:space="preserve">= </w:t>
      </w:r>
      <w:r>
        <w:rPr>
          <w:w w:val="105"/>
        </w:rPr>
        <w:t xml:space="preserve">100 mg/6 oz, instant </w:t>
      </w:r>
      <w:r>
        <w:rPr>
          <w:w w:val="105"/>
          <w:sz w:val="21"/>
        </w:rPr>
        <w:t xml:space="preserve">= </w:t>
      </w:r>
      <w:r>
        <w:rPr>
          <w:w w:val="105"/>
        </w:rPr>
        <w:t xml:space="preserve">65 mg/6 oz), tea </w:t>
      </w:r>
      <w:r>
        <w:rPr>
          <w:spacing w:val="3"/>
          <w:w w:val="105"/>
        </w:rPr>
        <w:t xml:space="preserve">(40 </w:t>
      </w:r>
      <w:r>
        <w:rPr>
          <w:w w:val="105"/>
        </w:rPr>
        <w:t xml:space="preserve">mg/6 oz), caffeinated soda (45 mg/12 oz), over-the-counter analgesics and cold remedies (25-50 mg/tablet), stimulants (100-200 mg/tablet), and weight-loss aids (75-200 mg/tablet). Chocolate and cocoa have much lower levels of caffeine (e.g., 5 mg/chocolate bar). The consumption  of  caffeine is ubiquitous in much of the United States, with the average caffeine intake being approximately 200 mg/day. Some individuals who drink large amounts of coffee display some aspects of dependence on caffeine and exhibit tolerance and perhaps withdrawal. However, the data are insufficient at this time to determine whether these symptoms are associated with clinically significant impairment that meets the criteria for Substance Dependence or Substance Abuse. In contrast, there is evidence </w:t>
      </w:r>
      <w:r>
        <w:rPr>
          <w:color w:val="0F0F0F"/>
          <w:w w:val="105"/>
        </w:rPr>
        <w:t xml:space="preserve">that </w:t>
      </w:r>
      <w:r>
        <w:rPr>
          <w:w w:val="105"/>
        </w:rPr>
        <w:t>Caffeine Intoxication can be clinically significant, and specific text and criteria are provided below. Recent evidence also suggests the possible clinical relevance of caffeine withdrawal; a set of research criteria is included on p. 709. The Caffeine-Induced Disorders (other than Caffeine Intoxication) are described in the sections of the manual with disorders with which they share phenomenology (e.g., Caffeine-Induced Anxiety Disorder is included in the "Anxiety Disorders" section). Listed below are the Caffeine-Induced</w:t>
      </w:r>
      <w:r>
        <w:rPr>
          <w:spacing w:val="4"/>
          <w:w w:val="105"/>
        </w:rPr>
        <w:t xml:space="preserve"> </w:t>
      </w:r>
      <w:r>
        <w:rPr>
          <w:w w:val="105"/>
        </w:rPr>
        <w:t>Disorders.</w:t>
      </w:r>
    </w:p>
    <w:p w:rsidR="00E675F0" w:rsidRDefault="00E675F0" w:rsidP="00E675F0">
      <w:pPr>
        <w:pStyle w:val="BodyText"/>
        <w:rPr>
          <w:sz w:val="22"/>
        </w:rPr>
      </w:pPr>
    </w:p>
    <w:p w:rsidR="00E675F0" w:rsidRDefault="00E675F0" w:rsidP="00E675F0">
      <w:pPr>
        <w:spacing w:before="154"/>
        <w:ind w:left="135"/>
        <w:jc w:val="both"/>
        <w:rPr>
          <w:rFonts w:ascii="TimesNewRomanPS-BoldItalicMT"/>
          <w:b/>
          <w:i/>
          <w:sz w:val="24"/>
        </w:rPr>
      </w:pPr>
      <w:r>
        <w:rPr>
          <w:rFonts w:ascii="TimesNewRomanPS-BoldItalicMT"/>
          <w:b/>
          <w:i/>
          <w:w w:val="115"/>
          <w:sz w:val="24"/>
        </w:rPr>
        <w:t>Caffeine-Induced Disorders</w:t>
      </w:r>
    </w:p>
    <w:p w:rsidR="00E675F0" w:rsidRDefault="00E675F0" w:rsidP="00E675F0">
      <w:pPr>
        <w:pStyle w:val="BodyText"/>
        <w:spacing w:before="3"/>
        <w:rPr>
          <w:rFonts w:ascii="TimesNewRomanPS-BoldItalicMT"/>
          <w:b/>
          <w:i/>
          <w:sz w:val="11"/>
        </w:rPr>
      </w:pPr>
    </w:p>
    <w:tbl>
      <w:tblPr>
        <w:tblW w:w="0" w:type="auto"/>
        <w:tblInd w:w="115" w:type="dxa"/>
        <w:tblLayout w:type="fixed"/>
        <w:tblCellMar>
          <w:left w:w="0" w:type="dxa"/>
          <w:right w:w="0" w:type="dxa"/>
        </w:tblCellMar>
        <w:tblLook w:val="01E0" w:firstRow="1" w:lastRow="1" w:firstColumn="1" w:lastColumn="1" w:noHBand="0" w:noVBand="0"/>
      </w:tblPr>
      <w:tblGrid>
        <w:gridCol w:w="779"/>
        <w:gridCol w:w="6013"/>
      </w:tblGrid>
      <w:tr w:rsidR="00E675F0" w:rsidTr="00A330E1">
        <w:trPr>
          <w:trHeight w:val="231"/>
        </w:trPr>
        <w:tc>
          <w:tcPr>
            <w:tcW w:w="779" w:type="dxa"/>
          </w:tcPr>
          <w:p w:rsidR="00E675F0" w:rsidRDefault="00E675F0" w:rsidP="00A330E1">
            <w:pPr>
              <w:pStyle w:val="TableParagraph"/>
              <w:spacing w:line="211" w:lineRule="exact"/>
              <w:ind w:left="50"/>
              <w:rPr>
                <w:b/>
                <w:sz w:val="20"/>
              </w:rPr>
            </w:pPr>
            <w:r>
              <w:rPr>
                <w:b/>
                <w:w w:val="110"/>
                <w:sz w:val="20"/>
              </w:rPr>
              <w:t>305.90</w:t>
            </w:r>
          </w:p>
        </w:tc>
        <w:tc>
          <w:tcPr>
            <w:tcW w:w="6013" w:type="dxa"/>
          </w:tcPr>
          <w:p w:rsidR="00E675F0" w:rsidRDefault="00E675F0" w:rsidP="00A330E1">
            <w:pPr>
              <w:pStyle w:val="TableParagraph"/>
              <w:spacing w:line="211" w:lineRule="exact"/>
              <w:ind w:left="107"/>
              <w:rPr>
                <w:sz w:val="20"/>
              </w:rPr>
            </w:pPr>
            <w:r>
              <w:rPr>
                <w:b/>
                <w:w w:val="115"/>
                <w:sz w:val="20"/>
              </w:rPr>
              <w:t xml:space="preserve">Caffeine Intoxication </w:t>
            </w:r>
            <w:r>
              <w:rPr>
                <w:w w:val="115"/>
                <w:sz w:val="20"/>
              </w:rPr>
              <w:t>(seep. 212)</w:t>
            </w:r>
          </w:p>
        </w:tc>
      </w:tr>
      <w:tr w:rsidR="00E675F0" w:rsidTr="00A330E1">
        <w:trPr>
          <w:trHeight w:val="486"/>
        </w:trPr>
        <w:tc>
          <w:tcPr>
            <w:tcW w:w="779" w:type="dxa"/>
          </w:tcPr>
          <w:p w:rsidR="00E675F0" w:rsidRDefault="00E675F0" w:rsidP="00A330E1">
            <w:pPr>
              <w:pStyle w:val="TableParagraph"/>
              <w:spacing w:before="1"/>
              <w:ind w:left="53"/>
              <w:rPr>
                <w:b/>
                <w:sz w:val="20"/>
              </w:rPr>
            </w:pPr>
            <w:r>
              <w:rPr>
                <w:b/>
                <w:w w:val="110"/>
                <w:sz w:val="20"/>
              </w:rPr>
              <w:t>292.89</w:t>
            </w:r>
          </w:p>
        </w:tc>
        <w:tc>
          <w:tcPr>
            <w:tcW w:w="6013" w:type="dxa"/>
          </w:tcPr>
          <w:p w:rsidR="00E675F0" w:rsidRDefault="00E675F0" w:rsidP="00A330E1">
            <w:pPr>
              <w:pStyle w:val="TableParagraph"/>
              <w:spacing w:before="1" w:line="218" w:lineRule="exact"/>
              <w:ind w:left="112"/>
              <w:rPr>
                <w:sz w:val="20"/>
              </w:rPr>
            </w:pPr>
            <w:r>
              <w:rPr>
                <w:b/>
                <w:w w:val="110"/>
                <w:sz w:val="20"/>
              </w:rPr>
              <w:t xml:space="preserve">Caffeine-Induced Anxiety Disorder </w:t>
            </w:r>
            <w:r>
              <w:rPr>
                <w:w w:val="110"/>
                <w:sz w:val="20"/>
              </w:rPr>
              <w:t>(see p. 439)</w:t>
            </w:r>
          </w:p>
          <w:p w:rsidR="00E675F0" w:rsidRDefault="00E675F0" w:rsidP="00A330E1">
            <w:pPr>
              <w:pStyle w:val="TableParagraph"/>
              <w:spacing w:line="247" w:lineRule="exact"/>
              <w:ind w:left="129"/>
              <w:rPr>
                <w:sz w:val="20"/>
              </w:rPr>
            </w:pPr>
            <w:r>
              <w:rPr>
                <w:i/>
                <w:w w:val="105"/>
                <w:sz w:val="20"/>
              </w:rPr>
              <w:t xml:space="preserve">Specify </w:t>
            </w:r>
            <w:r>
              <w:rPr>
                <w:rFonts w:ascii="Arial"/>
                <w:i/>
                <w:w w:val="105"/>
                <w:sz w:val="24"/>
              </w:rPr>
              <w:t xml:space="preserve">if </w:t>
            </w:r>
            <w:r>
              <w:rPr>
                <w:w w:val="105"/>
                <w:sz w:val="20"/>
              </w:rPr>
              <w:t>With Onset During Intoxication</w:t>
            </w:r>
          </w:p>
        </w:tc>
      </w:tr>
      <w:tr w:rsidR="00E675F0" w:rsidTr="00A330E1">
        <w:trPr>
          <w:trHeight w:val="596"/>
        </w:trPr>
        <w:tc>
          <w:tcPr>
            <w:tcW w:w="779" w:type="dxa"/>
          </w:tcPr>
          <w:p w:rsidR="00E675F0" w:rsidRDefault="00E675F0" w:rsidP="00A330E1">
            <w:pPr>
              <w:pStyle w:val="TableParagraph"/>
              <w:spacing w:line="225" w:lineRule="exact"/>
              <w:ind w:left="53"/>
              <w:rPr>
                <w:b/>
                <w:sz w:val="20"/>
              </w:rPr>
            </w:pPr>
            <w:r>
              <w:rPr>
                <w:b/>
                <w:w w:val="110"/>
                <w:sz w:val="20"/>
              </w:rPr>
              <w:t>292.89</w:t>
            </w:r>
          </w:p>
        </w:tc>
        <w:tc>
          <w:tcPr>
            <w:tcW w:w="6013" w:type="dxa"/>
          </w:tcPr>
          <w:p w:rsidR="00E675F0" w:rsidRDefault="00E675F0" w:rsidP="00A330E1">
            <w:pPr>
              <w:pStyle w:val="TableParagraph"/>
              <w:spacing w:line="211" w:lineRule="exact"/>
              <w:ind w:left="117"/>
              <w:rPr>
                <w:sz w:val="20"/>
              </w:rPr>
            </w:pPr>
            <w:r>
              <w:rPr>
                <w:b/>
                <w:w w:val="110"/>
                <w:sz w:val="20"/>
              </w:rPr>
              <w:t xml:space="preserve">Caffeine-Induced Sleep Disorder </w:t>
            </w:r>
            <w:r>
              <w:rPr>
                <w:w w:val="110"/>
                <w:sz w:val="20"/>
              </w:rPr>
              <w:t>(seep. 601)</w:t>
            </w:r>
          </w:p>
          <w:p w:rsidR="00E675F0" w:rsidRDefault="00E675F0" w:rsidP="00A330E1">
            <w:pPr>
              <w:pStyle w:val="TableParagraph"/>
              <w:spacing w:line="262" w:lineRule="exact"/>
              <w:ind w:left="129"/>
              <w:rPr>
                <w:sz w:val="20"/>
              </w:rPr>
            </w:pPr>
            <w:r>
              <w:rPr>
                <w:i/>
                <w:w w:val="105"/>
                <w:sz w:val="20"/>
              </w:rPr>
              <w:t xml:space="preserve">Specify </w:t>
            </w:r>
            <w:r>
              <w:rPr>
                <w:rFonts w:ascii="Arial"/>
                <w:i/>
                <w:w w:val="105"/>
                <w:sz w:val="24"/>
              </w:rPr>
              <w:t xml:space="preserve">if </w:t>
            </w:r>
            <w:r>
              <w:rPr>
                <w:w w:val="105"/>
                <w:sz w:val="20"/>
              </w:rPr>
              <w:t>With Onset During Intoxication</w:t>
            </w:r>
          </w:p>
        </w:tc>
      </w:tr>
      <w:tr w:rsidR="00E675F0" w:rsidTr="00A330E1">
        <w:trPr>
          <w:trHeight w:val="359"/>
        </w:trPr>
        <w:tc>
          <w:tcPr>
            <w:tcW w:w="779" w:type="dxa"/>
          </w:tcPr>
          <w:p w:rsidR="00E675F0" w:rsidRDefault="00E675F0" w:rsidP="00A330E1">
            <w:pPr>
              <w:pStyle w:val="TableParagraph"/>
              <w:spacing w:before="129" w:line="210" w:lineRule="exact"/>
              <w:ind w:left="53"/>
              <w:rPr>
                <w:b/>
                <w:sz w:val="20"/>
              </w:rPr>
            </w:pPr>
            <w:r>
              <w:rPr>
                <w:b/>
                <w:w w:val="110"/>
                <w:sz w:val="20"/>
              </w:rPr>
              <w:t>292.9</w:t>
            </w:r>
          </w:p>
        </w:tc>
        <w:tc>
          <w:tcPr>
            <w:tcW w:w="6013" w:type="dxa"/>
          </w:tcPr>
          <w:p w:rsidR="00E675F0" w:rsidRDefault="00E675F0" w:rsidP="00A330E1">
            <w:pPr>
              <w:pStyle w:val="TableParagraph"/>
              <w:spacing w:before="115" w:line="224" w:lineRule="exact"/>
              <w:ind w:left="112"/>
              <w:rPr>
                <w:sz w:val="20"/>
              </w:rPr>
            </w:pPr>
            <w:r>
              <w:rPr>
                <w:b/>
                <w:w w:val="110"/>
                <w:sz w:val="20"/>
              </w:rPr>
              <w:t xml:space="preserve">Caffeine-Related Disorder Not Otherwise Specified </w:t>
            </w:r>
            <w:r>
              <w:rPr>
                <w:w w:val="110"/>
                <w:sz w:val="20"/>
              </w:rPr>
              <w:t>(seep. 215)</w:t>
            </w:r>
          </w:p>
        </w:tc>
      </w:tr>
    </w:tbl>
    <w:p w:rsidR="00E675F0" w:rsidRDefault="00E675F0" w:rsidP="00E675F0">
      <w:pPr>
        <w:pStyle w:val="BodyText"/>
        <w:rPr>
          <w:rFonts w:ascii="TimesNewRomanPS-BoldItalicMT"/>
          <w:b/>
          <w:i/>
          <w:sz w:val="26"/>
        </w:rPr>
      </w:pPr>
    </w:p>
    <w:p w:rsidR="00E675F0" w:rsidRDefault="00E675F0" w:rsidP="00E675F0">
      <w:pPr>
        <w:pStyle w:val="BodyText"/>
        <w:spacing w:before="2"/>
        <w:rPr>
          <w:rFonts w:ascii="TimesNewRomanPS-BoldItalicMT"/>
          <w:b/>
          <w:i/>
          <w:sz w:val="25"/>
        </w:rPr>
      </w:pPr>
    </w:p>
    <w:p w:rsidR="00E675F0" w:rsidRDefault="00E675F0" w:rsidP="00E675F0">
      <w:pPr>
        <w:spacing w:before="1"/>
        <w:ind w:left="1173" w:right="1189"/>
        <w:jc w:val="center"/>
        <w:rPr>
          <w:rFonts w:ascii="TimesNewRomanPS-BoldItalicMT"/>
          <w:b/>
          <w:i/>
          <w:sz w:val="28"/>
        </w:rPr>
      </w:pPr>
      <w:r>
        <w:rPr>
          <w:rFonts w:ascii="TimesNewRomanPS-BoldItalicMT"/>
          <w:b/>
          <w:i/>
          <w:w w:val="115"/>
          <w:sz w:val="28"/>
        </w:rPr>
        <w:t>Caffeine-Induced</w:t>
      </w:r>
      <w:r>
        <w:rPr>
          <w:rFonts w:ascii="TimesNewRomanPS-BoldItalicMT"/>
          <w:b/>
          <w:i/>
          <w:spacing w:val="-20"/>
          <w:w w:val="115"/>
          <w:sz w:val="28"/>
        </w:rPr>
        <w:t xml:space="preserve"> </w:t>
      </w:r>
      <w:r>
        <w:rPr>
          <w:rFonts w:ascii="TimesNewRomanPS-BoldItalicMT"/>
          <w:b/>
          <w:i/>
          <w:w w:val="115"/>
          <w:sz w:val="28"/>
        </w:rPr>
        <w:t>Disorders</w:t>
      </w:r>
    </w:p>
    <w:p w:rsidR="00E675F0" w:rsidRDefault="00E675F0" w:rsidP="00E675F0">
      <w:pPr>
        <w:tabs>
          <w:tab w:val="left" w:pos="3126"/>
        </w:tabs>
        <w:spacing w:before="157"/>
        <w:ind w:left="2055"/>
        <w:rPr>
          <w:rFonts w:ascii="Arial"/>
          <w:b/>
          <w:sz w:val="26"/>
        </w:rPr>
      </w:pPr>
      <w:r>
        <w:rPr>
          <w:rFonts w:ascii="Arial"/>
          <w:b/>
          <w:w w:val="105"/>
          <w:sz w:val="26"/>
        </w:rPr>
        <w:t>305.90</w:t>
      </w:r>
      <w:r>
        <w:rPr>
          <w:rFonts w:ascii="Arial"/>
          <w:b/>
          <w:w w:val="105"/>
          <w:sz w:val="26"/>
        </w:rPr>
        <w:tab/>
      </w:r>
      <w:r>
        <w:rPr>
          <w:rFonts w:ascii="Arial"/>
          <w:b/>
          <w:sz w:val="26"/>
        </w:rPr>
        <w:t>Caffeine</w:t>
      </w:r>
      <w:r>
        <w:rPr>
          <w:rFonts w:ascii="Arial"/>
          <w:b/>
          <w:spacing w:val="30"/>
          <w:sz w:val="26"/>
        </w:rPr>
        <w:t xml:space="preserve"> </w:t>
      </w:r>
      <w:r>
        <w:rPr>
          <w:rFonts w:ascii="Arial"/>
          <w:b/>
          <w:sz w:val="26"/>
        </w:rPr>
        <w:t>Intoxication</w:t>
      </w:r>
    </w:p>
    <w:p w:rsidR="00E675F0" w:rsidRDefault="00E675F0" w:rsidP="00E675F0">
      <w:pPr>
        <w:pStyle w:val="BodyText"/>
        <w:spacing w:before="4"/>
        <w:rPr>
          <w:rFonts w:ascii="Arial"/>
          <w:b/>
          <w:sz w:val="22"/>
        </w:rPr>
      </w:pPr>
    </w:p>
    <w:p w:rsidR="00E675F0" w:rsidRDefault="00E675F0" w:rsidP="00E675F0">
      <w:pPr>
        <w:pStyle w:val="BodyText"/>
        <w:spacing w:before="1" w:line="254" w:lineRule="auto"/>
        <w:ind w:left="153" w:right="119"/>
        <w:jc w:val="both"/>
      </w:pPr>
      <w:r>
        <w:rPr>
          <w:w w:val="105"/>
        </w:rPr>
        <w:t>Also refer to the text and criteria for Substance Intoxication (see p. 183). The essential feature of Caffeine Intoxication is recent consumption of caffeine and five or more symptoms</w:t>
      </w:r>
      <w:r>
        <w:rPr>
          <w:spacing w:val="-13"/>
          <w:w w:val="105"/>
        </w:rPr>
        <w:t xml:space="preserve"> </w:t>
      </w:r>
      <w:r>
        <w:rPr>
          <w:w w:val="105"/>
        </w:rPr>
        <w:t>that</w:t>
      </w:r>
      <w:r>
        <w:rPr>
          <w:spacing w:val="-14"/>
          <w:w w:val="105"/>
        </w:rPr>
        <w:t xml:space="preserve"> </w:t>
      </w:r>
      <w:r>
        <w:rPr>
          <w:w w:val="105"/>
        </w:rPr>
        <w:t>develop</w:t>
      </w:r>
      <w:r>
        <w:rPr>
          <w:spacing w:val="-16"/>
          <w:w w:val="105"/>
        </w:rPr>
        <w:t xml:space="preserve"> </w:t>
      </w:r>
      <w:r>
        <w:rPr>
          <w:w w:val="105"/>
        </w:rPr>
        <w:t>during,</w:t>
      </w:r>
      <w:r>
        <w:rPr>
          <w:spacing w:val="-10"/>
          <w:w w:val="105"/>
        </w:rPr>
        <w:t xml:space="preserve"> </w:t>
      </w:r>
      <w:r>
        <w:rPr>
          <w:w w:val="105"/>
        </w:rPr>
        <w:t>or</w:t>
      </w:r>
      <w:r>
        <w:rPr>
          <w:spacing w:val="-16"/>
          <w:w w:val="105"/>
        </w:rPr>
        <w:t xml:space="preserve"> </w:t>
      </w:r>
      <w:r>
        <w:rPr>
          <w:w w:val="105"/>
        </w:rPr>
        <w:t>shortly</w:t>
      </w:r>
      <w:r>
        <w:rPr>
          <w:spacing w:val="-11"/>
          <w:w w:val="105"/>
        </w:rPr>
        <w:t xml:space="preserve"> </w:t>
      </w:r>
      <w:r>
        <w:rPr>
          <w:w w:val="105"/>
        </w:rPr>
        <w:t>after,</w:t>
      </w:r>
      <w:r>
        <w:rPr>
          <w:spacing w:val="-13"/>
          <w:w w:val="105"/>
        </w:rPr>
        <w:t xml:space="preserve"> </w:t>
      </w:r>
      <w:r>
        <w:rPr>
          <w:w w:val="105"/>
        </w:rPr>
        <w:t>caffeine</w:t>
      </w:r>
      <w:r>
        <w:rPr>
          <w:spacing w:val="-7"/>
          <w:w w:val="105"/>
        </w:rPr>
        <w:t xml:space="preserve"> </w:t>
      </w:r>
      <w:r>
        <w:rPr>
          <w:w w:val="105"/>
        </w:rPr>
        <w:t>use</w:t>
      </w:r>
      <w:r>
        <w:rPr>
          <w:spacing w:val="-18"/>
          <w:w w:val="105"/>
        </w:rPr>
        <w:t xml:space="preserve"> </w:t>
      </w:r>
      <w:r>
        <w:rPr>
          <w:w w:val="105"/>
        </w:rPr>
        <w:t>(Criteria</w:t>
      </w:r>
      <w:r>
        <w:rPr>
          <w:spacing w:val="-5"/>
          <w:w w:val="105"/>
        </w:rPr>
        <w:t xml:space="preserve"> </w:t>
      </w:r>
      <w:r>
        <w:rPr>
          <w:w w:val="105"/>
        </w:rPr>
        <w:t>A</w:t>
      </w:r>
      <w:r>
        <w:rPr>
          <w:spacing w:val="-23"/>
          <w:w w:val="105"/>
        </w:rPr>
        <w:t xml:space="preserve"> </w:t>
      </w:r>
      <w:r>
        <w:rPr>
          <w:w w:val="105"/>
        </w:rPr>
        <w:t>and</w:t>
      </w:r>
      <w:r>
        <w:rPr>
          <w:spacing w:val="-10"/>
          <w:w w:val="105"/>
        </w:rPr>
        <w:t xml:space="preserve"> </w:t>
      </w:r>
      <w:r>
        <w:rPr>
          <w:w w:val="105"/>
        </w:rPr>
        <w:t>B).</w:t>
      </w:r>
      <w:r>
        <w:rPr>
          <w:spacing w:val="-18"/>
          <w:w w:val="105"/>
        </w:rPr>
        <w:t xml:space="preserve"> </w:t>
      </w:r>
      <w:r>
        <w:rPr>
          <w:w w:val="105"/>
        </w:rPr>
        <w:t>Symptoms that can appear following the ingestion of as little as 100 mg of caffeine per day include restlessness, nervousness, excitement, insomnia, flushed face, diuresis, and gastrointes­ tinal complaints. Symptoms that generally appear at levels of more than 1 g/day include muscle twitching, rambling flow of thoughts and speech, tachycardia or</w:t>
      </w:r>
      <w:r>
        <w:rPr>
          <w:spacing w:val="11"/>
          <w:w w:val="105"/>
        </w:rPr>
        <w:t xml:space="preserve"> </w:t>
      </w:r>
      <w:r>
        <w:rPr>
          <w:w w:val="105"/>
        </w:rPr>
        <w:t>cardiac</w:t>
      </w:r>
    </w:p>
    <w:p w:rsidR="00E675F0" w:rsidRDefault="00E675F0" w:rsidP="00E675F0">
      <w:pPr>
        <w:spacing w:line="254" w:lineRule="auto"/>
        <w:jc w:val="both"/>
        <w:sectPr w:rsidR="00E675F0">
          <w:pgSz w:w="8960" w:h="14260"/>
          <w:pgMar w:top="1400" w:right="620" w:bottom="280" w:left="580" w:header="687" w:footer="0" w:gutter="0"/>
          <w:cols w:space="720"/>
        </w:sectPr>
      </w:pPr>
    </w:p>
    <w:p w:rsidR="00E675F0" w:rsidRDefault="00E675F0" w:rsidP="00E675F0">
      <w:pPr>
        <w:pStyle w:val="BodyText"/>
        <w:spacing w:before="127" w:line="252" w:lineRule="auto"/>
        <w:ind w:left="121" w:right="127" w:firstLine="8"/>
        <w:jc w:val="both"/>
      </w:pPr>
      <w:bookmarkStart w:id="136" w:name="_bookmark117"/>
      <w:bookmarkEnd w:id="136"/>
      <w:r>
        <w:rPr>
          <w:w w:val="105"/>
        </w:rPr>
        <w:lastRenderedPageBreak/>
        <w:t>arrhythmia,</w:t>
      </w:r>
      <w:r>
        <w:rPr>
          <w:spacing w:val="8"/>
          <w:w w:val="105"/>
        </w:rPr>
        <w:t xml:space="preserve"> </w:t>
      </w:r>
      <w:r>
        <w:rPr>
          <w:w w:val="105"/>
        </w:rPr>
        <w:t>periods</w:t>
      </w:r>
      <w:r>
        <w:rPr>
          <w:spacing w:val="-14"/>
          <w:w w:val="105"/>
        </w:rPr>
        <w:t xml:space="preserve"> </w:t>
      </w:r>
      <w:r>
        <w:rPr>
          <w:w w:val="105"/>
        </w:rPr>
        <w:t>of</w:t>
      </w:r>
      <w:r>
        <w:rPr>
          <w:spacing w:val="-4"/>
          <w:w w:val="105"/>
        </w:rPr>
        <w:t xml:space="preserve"> </w:t>
      </w:r>
      <w:r>
        <w:rPr>
          <w:w w:val="105"/>
        </w:rPr>
        <w:t>inexhaustibility,</w:t>
      </w:r>
      <w:r>
        <w:rPr>
          <w:spacing w:val="-23"/>
          <w:w w:val="105"/>
        </w:rPr>
        <w:t xml:space="preserve"> </w:t>
      </w:r>
      <w:r>
        <w:rPr>
          <w:w w:val="105"/>
        </w:rPr>
        <w:t>and</w:t>
      </w:r>
      <w:r>
        <w:rPr>
          <w:spacing w:val="-6"/>
          <w:w w:val="105"/>
        </w:rPr>
        <w:t xml:space="preserve"> </w:t>
      </w:r>
      <w:r>
        <w:rPr>
          <w:w w:val="105"/>
        </w:rPr>
        <w:t>psychomotor agitation.</w:t>
      </w:r>
      <w:r>
        <w:rPr>
          <w:spacing w:val="-4"/>
          <w:w w:val="105"/>
        </w:rPr>
        <w:t xml:space="preserve"> </w:t>
      </w:r>
      <w:r>
        <w:rPr>
          <w:w w:val="105"/>
        </w:rPr>
        <w:t>Caffeine</w:t>
      </w:r>
      <w:r>
        <w:rPr>
          <w:spacing w:val="-9"/>
          <w:w w:val="105"/>
        </w:rPr>
        <w:t xml:space="preserve"> </w:t>
      </w:r>
      <w:r>
        <w:rPr>
          <w:w w:val="105"/>
        </w:rPr>
        <w:t>Intoxication may not occur despite high caffeine intake because of the development of  tolerance. The symptoms must cause clinically significant distress or impairment in social, occupational, or other important areas of functioning (Criterion C). The symptoms must not be due to a general medical condition and are not better accounted for by another mental disorder (e.g., an Anxiety Disorder) (Criterion</w:t>
      </w:r>
      <w:r>
        <w:rPr>
          <w:spacing w:val="50"/>
          <w:w w:val="105"/>
        </w:rPr>
        <w:t xml:space="preserve"> </w:t>
      </w:r>
      <w:r>
        <w:rPr>
          <w:w w:val="105"/>
        </w:rPr>
        <w:t>D).</w:t>
      </w:r>
    </w:p>
    <w:p w:rsidR="00E675F0" w:rsidRDefault="00E675F0" w:rsidP="00E675F0">
      <w:pPr>
        <w:pStyle w:val="BodyText"/>
        <w:rPr>
          <w:sz w:val="22"/>
        </w:rPr>
      </w:pPr>
    </w:p>
    <w:p w:rsidR="00E675F0" w:rsidRDefault="00E675F0" w:rsidP="00E675F0">
      <w:pPr>
        <w:pStyle w:val="BodyText"/>
        <w:rPr>
          <w:sz w:val="22"/>
        </w:rPr>
      </w:pPr>
    </w:p>
    <w:p w:rsidR="00E675F0" w:rsidRDefault="00E675F0" w:rsidP="00E675F0">
      <w:pPr>
        <w:pStyle w:val="BodyText"/>
        <w:spacing w:before="8"/>
      </w:pPr>
    </w:p>
    <w:p w:rsidR="00E675F0" w:rsidRDefault="00E675F0" w:rsidP="003048D3">
      <w:pPr>
        <w:numPr>
          <w:ilvl w:val="0"/>
          <w:numId w:val="2"/>
        </w:numPr>
        <w:tabs>
          <w:tab w:val="left" w:pos="841"/>
        </w:tabs>
        <w:rPr>
          <w:b/>
          <w:sz w:val="26"/>
        </w:rPr>
      </w:pPr>
      <w:r>
        <w:rPr>
          <w:noProof/>
        </w:rPr>
        <mc:AlternateContent>
          <mc:Choice Requires="wpg">
            <w:drawing>
              <wp:anchor distT="0" distB="0" distL="114300" distR="114300" simplePos="0" relativeHeight="251800576" behindDoc="1" locked="0" layoutInCell="1" allowOverlap="1" wp14:anchorId="05401E2E" wp14:editId="07D28CE0">
                <wp:simplePos x="0" y="0"/>
                <wp:positionH relativeFrom="page">
                  <wp:posOffset>455295</wp:posOffset>
                </wp:positionH>
                <wp:positionV relativeFrom="paragraph">
                  <wp:posOffset>-46990</wp:posOffset>
                </wp:positionV>
                <wp:extent cx="4753610" cy="4481195"/>
                <wp:effectExtent l="0" t="0" r="8890" b="1905"/>
                <wp:wrapNone/>
                <wp:docPr id="1356" name="Group 1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3610" cy="4481195"/>
                          <a:chOff x="717" y="-74"/>
                          <a:chExt cx="7486" cy="7057"/>
                        </a:xfrm>
                      </wpg:grpSpPr>
                      <wps:wsp>
                        <wps:cNvPr id="1357" name="Line 1317"/>
                        <wps:cNvCnPr>
                          <a:cxnSpLocks/>
                        </wps:cNvCnPr>
                        <wps:spPr bwMode="auto">
                          <a:xfrm>
                            <a:off x="727" y="6982"/>
                            <a:ext cx="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8" name="Line 1316"/>
                        <wps:cNvCnPr>
                          <a:cxnSpLocks/>
                        </wps:cNvCnPr>
                        <wps:spPr bwMode="auto">
                          <a:xfrm>
                            <a:off x="814" y="6924"/>
                            <a:ext cx="0" cy="0"/>
                          </a:xfrm>
                          <a:prstGeom prst="line">
                            <a:avLst/>
                          </a:prstGeom>
                          <a:noFill/>
                          <a:ln w="2443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9" name="Line 1315"/>
                        <wps:cNvCnPr>
                          <a:cxnSpLocks/>
                        </wps:cNvCnPr>
                        <wps:spPr bwMode="auto">
                          <a:xfrm>
                            <a:off x="8107" y="6982"/>
                            <a:ext cx="0" cy="0"/>
                          </a:xfrm>
                          <a:prstGeom prst="line">
                            <a:avLst/>
                          </a:prstGeom>
                          <a:noFill/>
                          <a:ln w="3054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0" name="Line 1314"/>
                        <wps:cNvCnPr>
                          <a:cxnSpLocks/>
                        </wps:cNvCnPr>
                        <wps:spPr bwMode="auto">
                          <a:xfrm>
                            <a:off x="717" y="-65"/>
                            <a:ext cx="7467" cy="0"/>
                          </a:xfrm>
                          <a:prstGeom prst="line">
                            <a:avLst/>
                          </a:prstGeom>
                          <a:noFill/>
                          <a:ln w="61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1" name="Line 1313"/>
                        <wps:cNvCnPr>
                          <a:cxnSpLocks/>
                        </wps:cNvCnPr>
                        <wps:spPr bwMode="auto">
                          <a:xfrm>
                            <a:off x="717" y="6905"/>
                            <a:ext cx="7486" cy="0"/>
                          </a:xfrm>
                          <a:prstGeom prst="line">
                            <a:avLst/>
                          </a:prstGeom>
                          <a:noFill/>
                          <a:ln w="3052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6CE1F2" id="Group 1312" o:spid="_x0000_s1026" style="position:absolute;margin-left:35.85pt;margin-top:-3.7pt;width:374.3pt;height:352.85pt;z-index:-251515904;mso-position-horizontal-relative:page" coordorigin="717,-74" coordsize="7486,70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">
                <v:line id="Line 1317" o:spid="_x0000_s1027" style="position:absolute;visibility:visible;mso-wrap-style:square" from="727,6982" to="727,69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" strokeweight=".16969mm">
                  <o:lock v:ext="edit" shapetype="f"/>
                </v:line>
                <v:line id="Line 1316" o:spid="_x0000_s1028" style="position:absolute;visibility:visible;mso-wrap-style:square" from="814,6924" to="814,69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" strokeweight=".67883mm">
                  <o:lock v:ext="edit" shapetype="f"/>
                </v:line>
                <v:line id="Line 1315" o:spid="_x0000_s1029" style="position:absolute;visibility:visible;mso-wrap-style:square" from="8107,6982" to="8107,69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" strokeweight=".84853mm">
                  <o:lock v:ext="edit" shapetype="f"/>
                </v:line>
                <v:line id="Line 1314" o:spid="_x0000_s1030" style="position:absolute;visibility:visible;mso-wrap-style:square" from="717,-65" to="8184,-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" strokeweight=".16958mm">
                  <o:lock v:ext="edit" shapetype="f"/>
                </v:line>
                <v:line id="Line 1313" o:spid="_x0000_s1031" style="position:absolute;visibility:visible;mso-wrap-style:square" from="717,6905" to="8203,69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" strokeweight=".84786mm">
                  <o:lock v:ext="edit" shapetype="f"/>
                </v:line>
                <w10:wrap anchorx="page"/>
              </v:group>
            </w:pict>
          </mc:Fallback>
        </mc:AlternateContent>
      </w:r>
      <w:r>
        <w:rPr>
          <w:b/>
          <w:w w:val="105"/>
          <w:sz w:val="26"/>
        </w:rPr>
        <w:t>Diagnostic criteria for 305.90 Caffeine</w:t>
      </w:r>
      <w:r>
        <w:rPr>
          <w:b/>
          <w:spacing w:val="18"/>
          <w:w w:val="105"/>
          <w:sz w:val="26"/>
        </w:rPr>
        <w:t xml:space="preserve"> </w:t>
      </w:r>
      <w:r>
        <w:rPr>
          <w:b/>
          <w:w w:val="105"/>
          <w:sz w:val="26"/>
        </w:rPr>
        <w:t>Intoxication</w:t>
      </w:r>
    </w:p>
    <w:p w:rsidR="00E675F0" w:rsidRDefault="00E675F0" w:rsidP="003048D3">
      <w:pPr>
        <w:pStyle w:val="ListParagraph"/>
        <w:numPr>
          <w:ilvl w:val="0"/>
          <w:numId w:val="32"/>
        </w:numPr>
        <w:tabs>
          <w:tab w:val="left" w:pos="1158"/>
        </w:tabs>
        <w:spacing w:before="150"/>
        <w:ind w:right="492" w:hanging="308"/>
        <w:rPr>
          <w:sz w:val="18"/>
        </w:rPr>
      </w:pPr>
      <w:r>
        <w:rPr>
          <w:w w:val="105"/>
          <w:sz w:val="20"/>
        </w:rPr>
        <w:t>Recent</w:t>
      </w:r>
      <w:r>
        <w:rPr>
          <w:spacing w:val="-2"/>
          <w:w w:val="105"/>
          <w:sz w:val="20"/>
        </w:rPr>
        <w:t xml:space="preserve"> </w:t>
      </w:r>
      <w:r>
        <w:rPr>
          <w:w w:val="105"/>
          <w:sz w:val="20"/>
        </w:rPr>
        <w:t>consumption</w:t>
      </w:r>
      <w:r>
        <w:rPr>
          <w:spacing w:val="4"/>
          <w:w w:val="105"/>
          <w:sz w:val="20"/>
        </w:rPr>
        <w:t xml:space="preserve"> </w:t>
      </w:r>
      <w:r>
        <w:rPr>
          <w:w w:val="105"/>
          <w:sz w:val="20"/>
        </w:rPr>
        <w:t>of</w:t>
      </w:r>
      <w:r>
        <w:rPr>
          <w:spacing w:val="-6"/>
          <w:w w:val="105"/>
          <w:sz w:val="20"/>
        </w:rPr>
        <w:t xml:space="preserve"> </w:t>
      </w:r>
      <w:r>
        <w:rPr>
          <w:w w:val="105"/>
          <w:sz w:val="20"/>
        </w:rPr>
        <w:t>caffeine,</w:t>
      </w:r>
      <w:r>
        <w:rPr>
          <w:spacing w:val="3"/>
          <w:w w:val="105"/>
          <w:sz w:val="20"/>
        </w:rPr>
        <w:t xml:space="preserve"> </w:t>
      </w:r>
      <w:r>
        <w:rPr>
          <w:w w:val="105"/>
          <w:sz w:val="20"/>
        </w:rPr>
        <w:t>usually</w:t>
      </w:r>
      <w:r>
        <w:rPr>
          <w:spacing w:val="-5"/>
          <w:w w:val="105"/>
          <w:sz w:val="20"/>
        </w:rPr>
        <w:t xml:space="preserve"> </w:t>
      </w:r>
      <w:r>
        <w:rPr>
          <w:w w:val="105"/>
          <w:sz w:val="20"/>
        </w:rPr>
        <w:t>in</w:t>
      </w:r>
      <w:r>
        <w:rPr>
          <w:spacing w:val="-9"/>
          <w:w w:val="105"/>
          <w:sz w:val="20"/>
        </w:rPr>
        <w:t xml:space="preserve"> </w:t>
      </w:r>
      <w:r>
        <w:rPr>
          <w:w w:val="105"/>
          <w:sz w:val="20"/>
        </w:rPr>
        <w:t>excess</w:t>
      </w:r>
      <w:r>
        <w:rPr>
          <w:spacing w:val="-8"/>
          <w:w w:val="105"/>
          <w:sz w:val="20"/>
        </w:rPr>
        <w:t xml:space="preserve"> </w:t>
      </w:r>
      <w:r>
        <w:rPr>
          <w:w w:val="105"/>
          <w:sz w:val="20"/>
        </w:rPr>
        <w:t>of</w:t>
      </w:r>
      <w:r>
        <w:rPr>
          <w:spacing w:val="-3"/>
          <w:w w:val="105"/>
          <w:sz w:val="20"/>
        </w:rPr>
        <w:t xml:space="preserve"> </w:t>
      </w:r>
      <w:r>
        <w:rPr>
          <w:w w:val="105"/>
          <w:sz w:val="20"/>
        </w:rPr>
        <w:t>250</w:t>
      </w:r>
      <w:r>
        <w:rPr>
          <w:spacing w:val="-10"/>
          <w:w w:val="105"/>
          <w:sz w:val="20"/>
        </w:rPr>
        <w:t xml:space="preserve"> </w:t>
      </w:r>
      <w:r>
        <w:rPr>
          <w:w w:val="105"/>
          <w:sz w:val="20"/>
        </w:rPr>
        <w:t>mg</w:t>
      </w:r>
      <w:r>
        <w:rPr>
          <w:spacing w:val="-10"/>
          <w:w w:val="105"/>
          <w:sz w:val="20"/>
        </w:rPr>
        <w:t xml:space="preserve"> </w:t>
      </w:r>
      <w:r>
        <w:rPr>
          <w:w w:val="105"/>
          <w:sz w:val="20"/>
        </w:rPr>
        <w:t>(e.g.,</w:t>
      </w:r>
      <w:r>
        <w:rPr>
          <w:spacing w:val="-2"/>
          <w:w w:val="105"/>
          <w:sz w:val="20"/>
        </w:rPr>
        <w:t xml:space="preserve"> </w:t>
      </w:r>
      <w:r>
        <w:rPr>
          <w:w w:val="105"/>
          <w:sz w:val="20"/>
        </w:rPr>
        <w:t xml:space="preserve">more than </w:t>
      </w:r>
      <w:r>
        <w:rPr>
          <w:w w:val="105"/>
          <w:sz w:val="21"/>
        </w:rPr>
        <w:t xml:space="preserve">2-3 </w:t>
      </w:r>
      <w:r>
        <w:rPr>
          <w:w w:val="105"/>
          <w:sz w:val="20"/>
        </w:rPr>
        <w:t>cups of brewed</w:t>
      </w:r>
      <w:r>
        <w:rPr>
          <w:spacing w:val="-29"/>
          <w:w w:val="105"/>
          <w:sz w:val="20"/>
        </w:rPr>
        <w:t xml:space="preserve"> </w:t>
      </w:r>
      <w:r>
        <w:rPr>
          <w:w w:val="105"/>
          <w:sz w:val="20"/>
        </w:rPr>
        <w:t>coffee).</w:t>
      </w:r>
    </w:p>
    <w:p w:rsidR="00E675F0" w:rsidRDefault="00E675F0" w:rsidP="00E675F0">
      <w:pPr>
        <w:pStyle w:val="BodyText"/>
        <w:spacing w:before="6"/>
        <w:rPr>
          <w:sz w:val="17"/>
        </w:rPr>
      </w:pPr>
    </w:p>
    <w:p w:rsidR="00E675F0" w:rsidRDefault="00E675F0" w:rsidP="003048D3">
      <w:pPr>
        <w:pStyle w:val="ListParagraph"/>
        <w:numPr>
          <w:ilvl w:val="0"/>
          <w:numId w:val="32"/>
        </w:numPr>
        <w:tabs>
          <w:tab w:val="left" w:pos="1154"/>
        </w:tabs>
        <w:spacing w:line="261" w:lineRule="auto"/>
        <w:ind w:left="1149" w:right="488" w:hanging="295"/>
        <w:rPr>
          <w:sz w:val="20"/>
        </w:rPr>
      </w:pPr>
      <w:r>
        <w:rPr>
          <w:w w:val="105"/>
          <w:sz w:val="20"/>
        </w:rPr>
        <w:t>Five</w:t>
      </w:r>
      <w:r>
        <w:rPr>
          <w:spacing w:val="-14"/>
          <w:w w:val="105"/>
          <w:sz w:val="20"/>
        </w:rPr>
        <w:t xml:space="preserve"> </w:t>
      </w:r>
      <w:r>
        <w:rPr>
          <w:w w:val="105"/>
          <w:sz w:val="20"/>
        </w:rPr>
        <w:t>(or</w:t>
      </w:r>
      <w:r>
        <w:rPr>
          <w:spacing w:val="-8"/>
          <w:w w:val="105"/>
          <w:sz w:val="20"/>
        </w:rPr>
        <w:t xml:space="preserve"> </w:t>
      </w:r>
      <w:r>
        <w:rPr>
          <w:w w:val="105"/>
          <w:sz w:val="20"/>
        </w:rPr>
        <w:t>more)</w:t>
      </w:r>
      <w:r>
        <w:rPr>
          <w:spacing w:val="-14"/>
          <w:w w:val="105"/>
          <w:sz w:val="20"/>
        </w:rPr>
        <w:t xml:space="preserve"> </w:t>
      </w:r>
      <w:r>
        <w:rPr>
          <w:w w:val="105"/>
          <w:sz w:val="20"/>
        </w:rPr>
        <w:t>of</w:t>
      </w:r>
      <w:r>
        <w:rPr>
          <w:spacing w:val="-4"/>
          <w:w w:val="105"/>
          <w:sz w:val="20"/>
        </w:rPr>
        <w:t xml:space="preserve"> </w:t>
      </w:r>
      <w:r>
        <w:rPr>
          <w:w w:val="105"/>
          <w:sz w:val="20"/>
        </w:rPr>
        <w:t>the</w:t>
      </w:r>
      <w:r>
        <w:rPr>
          <w:spacing w:val="-16"/>
          <w:w w:val="105"/>
          <w:sz w:val="20"/>
        </w:rPr>
        <w:t xml:space="preserve"> </w:t>
      </w:r>
      <w:r>
        <w:rPr>
          <w:w w:val="105"/>
          <w:sz w:val="20"/>
        </w:rPr>
        <w:t>following</w:t>
      </w:r>
      <w:r>
        <w:rPr>
          <w:spacing w:val="-9"/>
          <w:w w:val="105"/>
          <w:sz w:val="20"/>
        </w:rPr>
        <w:t xml:space="preserve"> </w:t>
      </w:r>
      <w:r>
        <w:rPr>
          <w:w w:val="105"/>
          <w:sz w:val="20"/>
        </w:rPr>
        <w:t>signs,</w:t>
      </w:r>
      <w:r>
        <w:rPr>
          <w:spacing w:val="-13"/>
          <w:w w:val="105"/>
          <w:sz w:val="20"/>
        </w:rPr>
        <w:t xml:space="preserve"> </w:t>
      </w:r>
      <w:r>
        <w:rPr>
          <w:w w:val="105"/>
          <w:sz w:val="20"/>
        </w:rPr>
        <w:t>developing</w:t>
      </w:r>
      <w:r>
        <w:rPr>
          <w:spacing w:val="-3"/>
          <w:w w:val="105"/>
          <w:sz w:val="20"/>
        </w:rPr>
        <w:t xml:space="preserve"> </w:t>
      </w:r>
      <w:r>
        <w:rPr>
          <w:w w:val="105"/>
          <w:sz w:val="20"/>
        </w:rPr>
        <w:t>during,</w:t>
      </w:r>
      <w:r>
        <w:rPr>
          <w:spacing w:val="-4"/>
          <w:w w:val="105"/>
          <w:sz w:val="20"/>
        </w:rPr>
        <w:t xml:space="preserve"> </w:t>
      </w:r>
      <w:r>
        <w:rPr>
          <w:w w:val="105"/>
          <w:sz w:val="20"/>
        </w:rPr>
        <w:t>or</w:t>
      </w:r>
      <w:r>
        <w:rPr>
          <w:spacing w:val="-17"/>
          <w:w w:val="105"/>
          <w:sz w:val="20"/>
        </w:rPr>
        <w:t xml:space="preserve"> </w:t>
      </w:r>
      <w:r>
        <w:rPr>
          <w:w w:val="105"/>
          <w:sz w:val="20"/>
        </w:rPr>
        <w:t>shortly</w:t>
      </w:r>
      <w:r>
        <w:rPr>
          <w:spacing w:val="-10"/>
          <w:w w:val="105"/>
          <w:sz w:val="20"/>
        </w:rPr>
        <w:t xml:space="preserve"> </w:t>
      </w:r>
      <w:r>
        <w:rPr>
          <w:w w:val="105"/>
          <w:sz w:val="20"/>
        </w:rPr>
        <w:t>after, caffeine</w:t>
      </w:r>
      <w:r>
        <w:rPr>
          <w:spacing w:val="15"/>
          <w:w w:val="105"/>
          <w:sz w:val="20"/>
        </w:rPr>
        <w:t xml:space="preserve"> </w:t>
      </w:r>
      <w:r>
        <w:rPr>
          <w:w w:val="105"/>
          <w:sz w:val="20"/>
        </w:rPr>
        <w:t>use:</w:t>
      </w:r>
    </w:p>
    <w:p w:rsidR="00E675F0" w:rsidRDefault="00E675F0" w:rsidP="003048D3">
      <w:pPr>
        <w:pStyle w:val="ListParagraph"/>
        <w:numPr>
          <w:ilvl w:val="1"/>
          <w:numId w:val="32"/>
        </w:numPr>
        <w:tabs>
          <w:tab w:val="left" w:pos="1679"/>
          <w:tab w:val="left" w:pos="1680"/>
        </w:tabs>
        <w:spacing w:before="47"/>
        <w:ind w:hanging="430"/>
        <w:jc w:val="left"/>
        <w:rPr>
          <w:sz w:val="17"/>
        </w:rPr>
      </w:pPr>
      <w:r>
        <w:rPr>
          <w:w w:val="105"/>
          <w:sz w:val="20"/>
        </w:rPr>
        <w:t>restlessness</w:t>
      </w:r>
    </w:p>
    <w:p w:rsidR="00E675F0" w:rsidRDefault="00E675F0" w:rsidP="003048D3">
      <w:pPr>
        <w:pStyle w:val="ListParagraph"/>
        <w:numPr>
          <w:ilvl w:val="1"/>
          <w:numId w:val="32"/>
        </w:numPr>
        <w:tabs>
          <w:tab w:val="left" w:pos="1685"/>
        </w:tabs>
        <w:spacing w:before="10"/>
        <w:ind w:left="1684" w:hanging="436"/>
        <w:jc w:val="left"/>
        <w:rPr>
          <w:sz w:val="20"/>
        </w:rPr>
      </w:pPr>
      <w:r>
        <w:rPr>
          <w:w w:val="105"/>
          <w:sz w:val="20"/>
        </w:rPr>
        <w:t>nervousness</w:t>
      </w:r>
    </w:p>
    <w:p w:rsidR="00E675F0" w:rsidRDefault="00E675F0" w:rsidP="003048D3">
      <w:pPr>
        <w:pStyle w:val="ListParagraph"/>
        <w:numPr>
          <w:ilvl w:val="1"/>
          <w:numId w:val="32"/>
        </w:numPr>
        <w:tabs>
          <w:tab w:val="left" w:pos="1674"/>
        </w:tabs>
        <w:spacing w:before="15"/>
        <w:ind w:left="1673" w:hanging="425"/>
        <w:jc w:val="left"/>
        <w:rPr>
          <w:sz w:val="20"/>
        </w:rPr>
      </w:pPr>
      <w:r>
        <w:rPr>
          <w:w w:val="105"/>
          <w:sz w:val="20"/>
        </w:rPr>
        <w:t>excitement</w:t>
      </w:r>
    </w:p>
    <w:p w:rsidR="00E675F0" w:rsidRDefault="00E675F0" w:rsidP="003048D3">
      <w:pPr>
        <w:pStyle w:val="ListParagraph"/>
        <w:numPr>
          <w:ilvl w:val="1"/>
          <w:numId w:val="32"/>
        </w:numPr>
        <w:tabs>
          <w:tab w:val="left" w:pos="1675"/>
        </w:tabs>
        <w:spacing w:before="15"/>
        <w:ind w:left="1674" w:hanging="421"/>
        <w:jc w:val="left"/>
        <w:rPr>
          <w:sz w:val="20"/>
        </w:rPr>
      </w:pPr>
      <w:r>
        <w:rPr>
          <w:w w:val="105"/>
          <w:sz w:val="20"/>
        </w:rPr>
        <w:t>insomnia</w:t>
      </w:r>
    </w:p>
    <w:p w:rsidR="00E675F0" w:rsidRDefault="00E675F0" w:rsidP="003048D3">
      <w:pPr>
        <w:pStyle w:val="ListParagraph"/>
        <w:numPr>
          <w:ilvl w:val="1"/>
          <w:numId w:val="32"/>
        </w:numPr>
        <w:tabs>
          <w:tab w:val="left" w:pos="1679"/>
        </w:tabs>
        <w:spacing w:before="15"/>
        <w:ind w:left="1678" w:hanging="430"/>
        <w:jc w:val="left"/>
        <w:rPr>
          <w:sz w:val="20"/>
        </w:rPr>
      </w:pPr>
      <w:r>
        <w:rPr>
          <w:w w:val="105"/>
          <w:sz w:val="20"/>
        </w:rPr>
        <w:t>flushed</w:t>
      </w:r>
      <w:r>
        <w:rPr>
          <w:spacing w:val="15"/>
          <w:w w:val="105"/>
          <w:sz w:val="20"/>
        </w:rPr>
        <w:t xml:space="preserve"> </w:t>
      </w:r>
      <w:r>
        <w:rPr>
          <w:w w:val="105"/>
          <w:sz w:val="20"/>
        </w:rPr>
        <w:t>face</w:t>
      </w:r>
    </w:p>
    <w:p w:rsidR="00E675F0" w:rsidRDefault="00E675F0" w:rsidP="003048D3">
      <w:pPr>
        <w:pStyle w:val="ListParagraph"/>
        <w:numPr>
          <w:ilvl w:val="1"/>
          <w:numId w:val="32"/>
        </w:numPr>
        <w:tabs>
          <w:tab w:val="left" w:pos="1680"/>
        </w:tabs>
        <w:spacing w:before="11"/>
        <w:ind w:hanging="431"/>
        <w:jc w:val="left"/>
        <w:rPr>
          <w:sz w:val="20"/>
        </w:rPr>
      </w:pPr>
      <w:r>
        <w:rPr>
          <w:w w:val="105"/>
          <w:sz w:val="20"/>
        </w:rPr>
        <w:t>diuresis</w:t>
      </w:r>
    </w:p>
    <w:p w:rsidR="00E675F0" w:rsidRDefault="00E675F0" w:rsidP="003048D3">
      <w:pPr>
        <w:pStyle w:val="ListParagraph"/>
        <w:numPr>
          <w:ilvl w:val="1"/>
          <w:numId w:val="32"/>
        </w:numPr>
        <w:tabs>
          <w:tab w:val="left" w:pos="1680"/>
        </w:tabs>
        <w:spacing w:before="10"/>
        <w:ind w:hanging="426"/>
        <w:jc w:val="left"/>
        <w:rPr>
          <w:sz w:val="20"/>
        </w:rPr>
      </w:pPr>
      <w:r>
        <w:rPr>
          <w:w w:val="105"/>
          <w:sz w:val="20"/>
        </w:rPr>
        <w:t>gastrointestinal</w:t>
      </w:r>
      <w:r>
        <w:rPr>
          <w:spacing w:val="2"/>
          <w:w w:val="105"/>
          <w:sz w:val="20"/>
        </w:rPr>
        <w:t xml:space="preserve"> </w:t>
      </w:r>
      <w:r>
        <w:rPr>
          <w:w w:val="105"/>
          <w:sz w:val="20"/>
        </w:rPr>
        <w:t>disturbance</w:t>
      </w:r>
    </w:p>
    <w:p w:rsidR="00E675F0" w:rsidRDefault="00E675F0" w:rsidP="003048D3">
      <w:pPr>
        <w:pStyle w:val="ListParagraph"/>
        <w:numPr>
          <w:ilvl w:val="1"/>
          <w:numId w:val="32"/>
        </w:numPr>
        <w:tabs>
          <w:tab w:val="left" w:pos="1684"/>
        </w:tabs>
        <w:spacing w:before="15"/>
        <w:ind w:left="1683" w:hanging="435"/>
        <w:jc w:val="left"/>
        <w:rPr>
          <w:sz w:val="20"/>
        </w:rPr>
      </w:pPr>
      <w:r>
        <w:rPr>
          <w:w w:val="105"/>
          <w:sz w:val="20"/>
        </w:rPr>
        <w:t>muscle</w:t>
      </w:r>
      <w:r>
        <w:rPr>
          <w:spacing w:val="16"/>
          <w:w w:val="105"/>
          <w:sz w:val="20"/>
        </w:rPr>
        <w:t xml:space="preserve"> </w:t>
      </w:r>
      <w:r>
        <w:rPr>
          <w:w w:val="105"/>
          <w:sz w:val="20"/>
        </w:rPr>
        <w:t>twitching</w:t>
      </w:r>
    </w:p>
    <w:p w:rsidR="00E675F0" w:rsidRDefault="00E675F0" w:rsidP="003048D3">
      <w:pPr>
        <w:pStyle w:val="ListParagraph"/>
        <w:numPr>
          <w:ilvl w:val="1"/>
          <w:numId w:val="32"/>
        </w:numPr>
        <w:tabs>
          <w:tab w:val="left" w:pos="1685"/>
        </w:tabs>
        <w:spacing w:before="15"/>
        <w:ind w:left="1684" w:hanging="436"/>
        <w:jc w:val="left"/>
        <w:rPr>
          <w:sz w:val="20"/>
        </w:rPr>
      </w:pPr>
      <w:r>
        <w:rPr>
          <w:w w:val="105"/>
          <w:sz w:val="20"/>
        </w:rPr>
        <w:t>rambling flow of thought and</w:t>
      </w:r>
      <w:r>
        <w:rPr>
          <w:spacing w:val="-29"/>
          <w:w w:val="105"/>
          <w:sz w:val="20"/>
        </w:rPr>
        <w:t xml:space="preserve"> </w:t>
      </w:r>
      <w:r>
        <w:rPr>
          <w:w w:val="105"/>
          <w:sz w:val="20"/>
        </w:rPr>
        <w:t>speech</w:t>
      </w:r>
    </w:p>
    <w:p w:rsidR="00E675F0" w:rsidRDefault="00E675F0" w:rsidP="003048D3">
      <w:pPr>
        <w:pStyle w:val="ListParagraph"/>
        <w:numPr>
          <w:ilvl w:val="1"/>
          <w:numId w:val="32"/>
        </w:numPr>
        <w:tabs>
          <w:tab w:val="left" w:pos="1679"/>
        </w:tabs>
        <w:spacing w:before="16"/>
        <w:ind w:left="1678" w:hanging="531"/>
        <w:jc w:val="left"/>
        <w:rPr>
          <w:sz w:val="20"/>
        </w:rPr>
      </w:pPr>
      <w:r>
        <w:rPr>
          <w:w w:val="105"/>
          <w:sz w:val="20"/>
        </w:rPr>
        <w:t>tachycardia or cardiac</w:t>
      </w:r>
      <w:r>
        <w:rPr>
          <w:spacing w:val="-21"/>
          <w:w w:val="105"/>
          <w:sz w:val="20"/>
        </w:rPr>
        <w:t xml:space="preserve"> </w:t>
      </w:r>
      <w:r>
        <w:rPr>
          <w:w w:val="105"/>
          <w:sz w:val="20"/>
        </w:rPr>
        <w:t>arrhythmia</w:t>
      </w:r>
    </w:p>
    <w:p w:rsidR="00E675F0" w:rsidRDefault="00E675F0" w:rsidP="003048D3">
      <w:pPr>
        <w:pStyle w:val="ListParagraph"/>
        <w:numPr>
          <w:ilvl w:val="1"/>
          <w:numId w:val="32"/>
        </w:numPr>
        <w:tabs>
          <w:tab w:val="left" w:pos="1687"/>
        </w:tabs>
        <w:spacing w:before="10"/>
        <w:ind w:left="1686" w:hanging="534"/>
        <w:jc w:val="left"/>
        <w:rPr>
          <w:sz w:val="20"/>
        </w:rPr>
      </w:pPr>
      <w:r>
        <w:rPr>
          <w:w w:val="105"/>
          <w:sz w:val="20"/>
        </w:rPr>
        <w:t>periods of</w:t>
      </w:r>
      <w:r>
        <w:rPr>
          <w:spacing w:val="13"/>
          <w:w w:val="105"/>
          <w:sz w:val="20"/>
        </w:rPr>
        <w:t xml:space="preserve"> </w:t>
      </w:r>
      <w:r>
        <w:rPr>
          <w:w w:val="105"/>
          <w:sz w:val="20"/>
        </w:rPr>
        <w:t>inexhaustibility</w:t>
      </w:r>
    </w:p>
    <w:p w:rsidR="00E675F0" w:rsidRDefault="00E675F0" w:rsidP="003048D3">
      <w:pPr>
        <w:pStyle w:val="ListParagraph"/>
        <w:numPr>
          <w:ilvl w:val="1"/>
          <w:numId w:val="32"/>
        </w:numPr>
        <w:tabs>
          <w:tab w:val="left" w:pos="1687"/>
        </w:tabs>
        <w:spacing w:before="15"/>
        <w:ind w:left="1686" w:hanging="534"/>
        <w:jc w:val="left"/>
        <w:rPr>
          <w:sz w:val="20"/>
        </w:rPr>
      </w:pPr>
      <w:r>
        <w:rPr>
          <w:w w:val="105"/>
          <w:sz w:val="20"/>
        </w:rPr>
        <w:t>psychomotor</w:t>
      </w:r>
      <w:r>
        <w:rPr>
          <w:spacing w:val="23"/>
          <w:w w:val="105"/>
          <w:sz w:val="20"/>
        </w:rPr>
        <w:t xml:space="preserve"> </w:t>
      </w:r>
      <w:r>
        <w:rPr>
          <w:w w:val="105"/>
          <w:sz w:val="20"/>
        </w:rPr>
        <w:t>agitation</w:t>
      </w:r>
    </w:p>
    <w:p w:rsidR="00E675F0" w:rsidRDefault="00E675F0" w:rsidP="00E675F0">
      <w:pPr>
        <w:pStyle w:val="BodyText"/>
        <w:spacing w:before="7"/>
        <w:rPr>
          <w:sz w:val="17"/>
        </w:rPr>
      </w:pPr>
    </w:p>
    <w:p w:rsidR="00E675F0" w:rsidRDefault="00E675F0" w:rsidP="003048D3">
      <w:pPr>
        <w:pStyle w:val="ListParagraph"/>
        <w:numPr>
          <w:ilvl w:val="0"/>
          <w:numId w:val="32"/>
        </w:numPr>
        <w:tabs>
          <w:tab w:val="left" w:pos="1151"/>
        </w:tabs>
        <w:spacing w:line="252" w:lineRule="auto"/>
        <w:ind w:right="483" w:hanging="304"/>
        <w:jc w:val="both"/>
        <w:rPr>
          <w:sz w:val="20"/>
        </w:rPr>
      </w:pPr>
      <w:r>
        <w:rPr>
          <w:w w:val="105"/>
          <w:sz w:val="20"/>
        </w:rPr>
        <w:t>The symptoms in Criterion B cause clinically significant distress or impairment in social, occupational, or other important areas of func­ tioning.</w:t>
      </w:r>
    </w:p>
    <w:p w:rsidR="00E675F0" w:rsidRDefault="00E675F0" w:rsidP="003048D3">
      <w:pPr>
        <w:pStyle w:val="ListParagraph"/>
        <w:numPr>
          <w:ilvl w:val="0"/>
          <w:numId w:val="32"/>
        </w:numPr>
        <w:tabs>
          <w:tab w:val="left" w:pos="1151"/>
        </w:tabs>
        <w:spacing w:before="170" w:line="252" w:lineRule="auto"/>
        <w:ind w:left="1153" w:right="474" w:hanging="304"/>
        <w:jc w:val="both"/>
        <w:rPr>
          <w:sz w:val="20"/>
        </w:rPr>
      </w:pPr>
      <w:r>
        <w:rPr>
          <w:w w:val="105"/>
          <w:sz w:val="20"/>
        </w:rPr>
        <w:t>The symptoms are not due to a general medical condition and are not better accounted for by another mental disorder (e.g., an Anxiety Disorder).</w:t>
      </w:r>
    </w:p>
    <w:p w:rsidR="00E675F0" w:rsidRDefault="00E675F0" w:rsidP="00E675F0">
      <w:pPr>
        <w:pStyle w:val="BodyText"/>
        <w:rPr>
          <w:sz w:val="22"/>
        </w:rPr>
      </w:pPr>
    </w:p>
    <w:p w:rsidR="00E675F0" w:rsidRDefault="00E675F0" w:rsidP="00E675F0">
      <w:pPr>
        <w:pStyle w:val="BodyText"/>
        <w:rPr>
          <w:sz w:val="22"/>
        </w:rPr>
      </w:pPr>
    </w:p>
    <w:p w:rsidR="00E675F0" w:rsidRDefault="00E675F0" w:rsidP="00E675F0">
      <w:pPr>
        <w:pStyle w:val="BodyText"/>
        <w:spacing w:before="4"/>
        <w:rPr>
          <w:sz w:val="31"/>
        </w:rPr>
      </w:pPr>
    </w:p>
    <w:p w:rsidR="00E675F0" w:rsidRDefault="00E675F0" w:rsidP="00E675F0">
      <w:pPr>
        <w:ind w:left="119" w:right="119"/>
        <w:jc w:val="center"/>
        <w:rPr>
          <w:rFonts w:ascii="Arial"/>
          <w:b/>
          <w:sz w:val="25"/>
        </w:rPr>
      </w:pPr>
      <w:r>
        <w:rPr>
          <w:rFonts w:ascii="Arial"/>
          <w:b/>
          <w:w w:val="105"/>
          <w:sz w:val="25"/>
        </w:rPr>
        <w:t>Other Caffeine--Induced Disorders</w:t>
      </w:r>
    </w:p>
    <w:p w:rsidR="00E675F0" w:rsidRDefault="00E675F0" w:rsidP="00E675F0">
      <w:pPr>
        <w:pStyle w:val="BodyText"/>
        <w:spacing w:before="3"/>
        <w:rPr>
          <w:rFonts w:ascii="Arial"/>
          <w:b/>
          <w:sz w:val="37"/>
        </w:rPr>
      </w:pPr>
    </w:p>
    <w:p w:rsidR="00E675F0" w:rsidRDefault="00E675F0" w:rsidP="00E675F0">
      <w:pPr>
        <w:pStyle w:val="BodyText"/>
        <w:spacing w:line="254" w:lineRule="auto"/>
        <w:ind w:left="125" w:right="115"/>
        <w:jc w:val="both"/>
      </w:pPr>
      <w:r>
        <w:rPr>
          <w:w w:val="105"/>
        </w:rPr>
        <w:t xml:space="preserve">The following Caffeine-Induced Disorders are described in other sections of the manual with disorders with which they share phenomenology: </w:t>
      </w:r>
      <w:r>
        <w:rPr>
          <w:b/>
          <w:w w:val="105"/>
        </w:rPr>
        <w:t xml:space="preserve">Caffeine-Induced Anxiety Disorder </w:t>
      </w:r>
      <w:r>
        <w:rPr>
          <w:w w:val="105"/>
        </w:rPr>
        <w:t xml:space="preserve">(p. 439) and </w:t>
      </w:r>
      <w:r>
        <w:rPr>
          <w:b/>
          <w:w w:val="105"/>
        </w:rPr>
        <w:t xml:space="preserve">Caffeine-InducedSleep Disorder </w:t>
      </w:r>
      <w:r>
        <w:rPr>
          <w:w w:val="105"/>
        </w:rPr>
        <w:t>(p. 601). These disorders are diagnosed instead of Caffeine Intoxication only when the symptoms are in excess of those usually associated with Caffeine Intoxication and when the symptoms are sufficiently severe to warrant independent clinical attention.</w:t>
      </w:r>
    </w:p>
    <w:p w:rsidR="00E675F0" w:rsidRDefault="00E675F0" w:rsidP="00E675F0">
      <w:pPr>
        <w:spacing w:line="254" w:lineRule="auto"/>
        <w:jc w:val="both"/>
        <w:sectPr w:rsidR="00E675F0">
          <w:headerReference w:type="even" r:id="rId185"/>
          <w:headerReference w:type="default" r:id="rId186"/>
          <w:pgSz w:w="8960" w:h="14260"/>
          <w:pgMar w:top="1400" w:right="640" w:bottom="280" w:left="600" w:header="697" w:footer="0" w:gutter="0"/>
          <w:pgNumType w:start="213"/>
          <w:cols w:space="720"/>
        </w:sectPr>
      </w:pPr>
    </w:p>
    <w:p w:rsidR="00E675F0" w:rsidRDefault="00E675F0" w:rsidP="00E675F0">
      <w:pPr>
        <w:spacing w:before="128"/>
        <w:ind w:left="2029" w:right="2090" w:firstLine="72"/>
        <w:rPr>
          <w:rFonts w:ascii="TimesNewRomanPS-BoldItalicMT"/>
          <w:b/>
          <w:i/>
          <w:sz w:val="28"/>
        </w:rPr>
      </w:pPr>
      <w:r>
        <w:rPr>
          <w:rFonts w:ascii="TimesNewRomanPS-BoldItalicMT"/>
          <w:b/>
          <w:i/>
          <w:w w:val="115"/>
          <w:sz w:val="28"/>
        </w:rPr>
        <w:lastRenderedPageBreak/>
        <w:t>Additional Information on Caffeine-Related Disorders</w:t>
      </w:r>
    </w:p>
    <w:p w:rsidR="00E675F0" w:rsidRDefault="00E675F0" w:rsidP="00E675F0">
      <w:pPr>
        <w:pStyle w:val="BodyText"/>
        <w:spacing w:before="5"/>
        <w:rPr>
          <w:rFonts w:ascii="TimesNewRomanPS-BoldItalicMT"/>
          <w:b/>
          <w:i/>
          <w:sz w:val="35"/>
        </w:rPr>
      </w:pPr>
    </w:p>
    <w:p w:rsidR="00E675F0" w:rsidRDefault="00E675F0" w:rsidP="00E675F0">
      <w:pPr>
        <w:spacing w:before="1"/>
        <w:ind w:left="113"/>
        <w:rPr>
          <w:rFonts w:ascii="TimesNewRomanPS-BoldItalicMT"/>
          <w:b/>
          <w:i/>
          <w:sz w:val="24"/>
        </w:rPr>
      </w:pPr>
      <w:r>
        <w:rPr>
          <w:rFonts w:ascii="TimesNewRomanPS-BoldItalicMT"/>
          <w:b/>
          <w:i/>
          <w:w w:val="115"/>
          <w:sz w:val="24"/>
        </w:rPr>
        <w:t>Associated Features and Disorders</w:t>
      </w:r>
    </w:p>
    <w:p w:rsidR="00E675F0" w:rsidRDefault="00E675F0" w:rsidP="00E675F0">
      <w:pPr>
        <w:pStyle w:val="BodyText"/>
        <w:spacing w:before="141" w:line="254" w:lineRule="auto"/>
        <w:ind w:left="135" w:right="137" w:hanging="1"/>
        <w:jc w:val="both"/>
      </w:pPr>
      <w:r>
        <w:rPr>
          <w:w w:val="105"/>
        </w:rPr>
        <w:t>Mild sensory disturbances (e.g., ringing in the ears and flashes of light) have been reported at</w:t>
      </w:r>
      <w:r>
        <w:rPr>
          <w:spacing w:val="-12"/>
          <w:w w:val="105"/>
        </w:rPr>
        <w:t xml:space="preserve"> </w:t>
      </w:r>
      <w:r>
        <w:rPr>
          <w:w w:val="105"/>
        </w:rPr>
        <w:t>higher</w:t>
      </w:r>
      <w:r>
        <w:rPr>
          <w:spacing w:val="-3"/>
          <w:w w:val="105"/>
        </w:rPr>
        <w:t xml:space="preserve"> </w:t>
      </w:r>
      <w:r>
        <w:rPr>
          <w:w w:val="105"/>
        </w:rPr>
        <w:t>doses.</w:t>
      </w:r>
      <w:r>
        <w:rPr>
          <w:spacing w:val="-10"/>
          <w:w w:val="105"/>
        </w:rPr>
        <w:t xml:space="preserve"> </w:t>
      </w:r>
      <w:r>
        <w:rPr>
          <w:w w:val="105"/>
        </w:rPr>
        <w:t>Although</w:t>
      </w:r>
      <w:r>
        <w:rPr>
          <w:spacing w:val="1"/>
          <w:w w:val="105"/>
        </w:rPr>
        <w:t xml:space="preserve"> </w:t>
      </w:r>
      <w:r>
        <w:rPr>
          <w:w w:val="105"/>
        </w:rPr>
        <w:t>large</w:t>
      </w:r>
      <w:r>
        <w:rPr>
          <w:spacing w:val="-10"/>
          <w:w w:val="105"/>
        </w:rPr>
        <w:t xml:space="preserve"> </w:t>
      </w:r>
      <w:r>
        <w:rPr>
          <w:w w:val="105"/>
        </w:rPr>
        <w:t>doses</w:t>
      </w:r>
      <w:r>
        <w:rPr>
          <w:spacing w:val="-9"/>
          <w:w w:val="105"/>
        </w:rPr>
        <w:t xml:space="preserve"> </w:t>
      </w:r>
      <w:r>
        <w:rPr>
          <w:w w:val="105"/>
        </w:rPr>
        <w:t>of caffeine</w:t>
      </w:r>
      <w:r>
        <w:rPr>
          <w:spacing w:val="-3"/>
          <w:w w:val="105"/>
        </w:rPr>
        <w:t xml:space="preserve"> </w:t>
      </w:r>
      <w:r>
        <w:rPr>
          <w:w w:val="105"/>
        </w:rPr>
        <w:t>can</w:t>
      </w:r>
      <w:r>
        <w:rPr>
          <w:spacing w:val="-6"/>
          <w:w w:val="105"/>
        </w:rPr>
        <w:t xml:space="preserve"> </w:t>
      </w:r>
      <w:r>
        <w:rPr>
          <w:w w:val="105"/>
        </w:rPr>
        <w:t>increase</w:t>
      </w:r>
      <w:r>
        <w:rPr>
          <w:spacing w:val="-1"/>
          <w:w w:val="105"/>
        </w:rPr>
        <w:t xml:space="preserve"> </w:t>
      </w:r>
      <w:r>
        <w:rPr>
          <w:w w:val="105"/>
        </w:rPr>
        <w:t>heart</w:t>
      </w:r>
      <w:r>
        <w:rPr>
          <w:spacing w:val="-6"/>
          <w:w w:val="105"/>
        </w:rPr>
        <w:t xml:space="preserve"> </w:t>
      </w:r>
      <w:r>
        <w:rPr>
          <w:w w:val="105"/>
        </w:rPr>
        <w:t>rate,</w:t>
      </w:r>
      <w:r>
        <w:rPr>
          <w:spacing w:val="-9"/>
          <w:w w:val="105"/>
        </w:rPr>
        <w:t xml:space="preserve"> </w:t>
      </w:r>
      <w:r>
        <w:rPr>
          <w:w w:val="105"/>
        </w:rPr>
        <w:t>smaller doses can slow the pulse. Whether excess caffeine intake can cause headaches is unclear. On physical examination, agitation, restlessness, sweating, tachycardia, flushed face, and increased bowel motility may be seen. Typical patterns of caffeine intake have not been consistently associated with other medical problems. However, heavy use is associated with the development or exacerbation of anxiety and somatic symptoms such as cardiac arrhythmias and gastrointestinal pain or diarrhea. With acute doses exceeding 10 g of caffeine,</w:t>
      </w:r>
      <w:r>
        <w:rPr>
          <w:spacing w:val="-12"/>
          <w:w w:val="105"/>
        </w:rPr>
        <w:t xml:space="preserve"> </w:t>
      </w:r>
      <w:r>
        <w:rPr>
          <w:w w:val="105"/>
        </w:rPr>
        <w:t>grand</w:t>
      </w:r>
      <w:r>
        <w:rPr>
          <w:spacing w:val="-13"/>
          <w:w w:val="105"/>
        </w:rPr>
        <w:t xml:space="preserve"> </w:t>
      </w:r>
      <w:r>
        <w:rPr>
          <w:w w:val="105"/>
        </w:rPr>
        <w:t>mal</w:t>
      </w:r>
      <w:r>
        <w:rPr>
          <w:spacing w:val="-19"/>
          <w:w w:val="105"/>
        </w:rPr>
        <w:t xml:space="preserve"> </w:t>
      </w:r>
      <w:r>
        <w:rPr>
          <w:w w:val="105"/>
        </w:rPr>
        <w:t>seizures</w:t>
      </w:r>
      <w:r>
        <w:rPr>
          <w:spacing w:val="-12"/>
          <w:w w:val="105"/>
        </w:rPr>
        <w:t xml:space="preserve"> </w:t>
      </w:r>
      <w:r>
        <w:rPr>
          <w:w w:val="105"/>
        </w:rPr>
        <w:t>and</w:t>
      </w:r>
      <w:r>
        <w:rPr>
          <w:spacing w:val="-7"/>
          <w:w w:val="105"/>
        </w:rPr>
        <w:t xml:space="preserve"> </w:t>
      </w:r>
      <w:r>
        <w:rPr>
          <w:w w:val="105"/>
        </w:rPr>
        <w:t>respiratory</w:t>
      </w:r>
      <w:r>
        <w:rPr>
          <w:spacing w:val="-15"/>
          <w:w w:val="105"/>
        </w:rPr>
        <w:t xml:space="preserve"> </w:t>
      </w:r>
      <w:r>
        <w:rPr>
          <w:w w:val="105"/>
        </w:rPr>
        <w:t>failure</w:t>
      </w:r>
      <w:r>
        <w:rPr>
          <w:spacing w:val="-14"/>
          <w:w w:val="105"/>
        </w:rPr>
        <w:t xml:space="preserve"> </w:t>
      </w:r>
      <w:r>
        <w:rPr>
          <w:w w:val="105"/>
        </w:rPr>
        <w:t>may</w:t>
      </w:r>
      <w:r>
        <w:rPr>
          <w:spacing w:val="-13"/>
          <w:w w:val="105"/>
        </w:rPr>
        <w:t xml:space="preserve"> </w:t>
      </w:r>
      <w:r>
        <w:rPr>
          <w:w w:val="105"/>
        </w:rPr>
        <w:t>result</w:t>
      </w:r>
      <w:r>
        <w:rPr>
          <w:spacing w:val="-12"/>
          <w:w w:val="105"/>
        </w:rPr>
        <w:t xml:space="preserve"> </w:t>
      </w:r>
      <w:r>
        <w:rPr>
          <w:w w:val="105"/>
        </w:rPr>
        <w:t>in</w:t>
      </w:r>
      <w:r>
        <w:rPr>
          <w:spacing w:val="-19"/>
          <w:w w:val="105"/>
        </w:rPr>
        <w:t xml:space="preserve"> </w:t>
      </w:r>
      <w:r>
        <w:rPr>
          <w:w w:val="105"/>
        </w:rPr>
        <w:t>death.</w:t>
      </w:r>
      <w:r>
        <w:rPr>
          <w:spacing w:val="-16"/>
          <w:w w:val="105"/>
        </w:rPr>
        <w:t xml:space="preserve"> </w:t>
      </w:r>
      <w:r>
        <w:rPr>
          <w:w w:val="105"/>
        </w:rPr>
        <w:t>Excessive</w:t>
      </w:r>
      <w:r>
        <w:rPr>
          <w:spacing w:val="-9"/>
          <w:w w:val="105"/>
        </w:rPr>
        <w:t xml:space="preserve"> </w:t>
      </w:r>
      <w:r>
        <w:rPr>
          <w:w w:val="105"/>
        </w:rPr>
        <w:t>caffeine use is associated with Mood, Eating, Psychotic, Sleep, and Substance-Related Disorders, whereas individuals with Anxiety Disorders are likely to avoid this substance.</w:t>
      </w:r>
    </w:p>
    <w:p w:rsidR="00E675F0" w:rsidRDefault="00E675F0" w:rsidP="00E675F0">
      <w:pPr>
        <w:pStyle w:val="BodyText"/>
        <w:rPr>
          <w:sz w:val="22"/>
        </w:rPr>
      </w:pPr>
    </w:p>
    <w:p w:rsidR="00E675F0" w:rsidRDefault="00E675F0" w:rsidP="00E675F0">
      <w:pPr>
        <w:spacing w:before="138"/>
        <w:ind w:left="133"/>
        <w:rPr>
          <w:rFonts w:ascii="TimesNewRomanPS-BoldItalicMT"/>
          <w:b/>
          <w:i/>
          <w:sz w:val="24"/>
        </w:rPr>
      </w:pPr>
      <w:r>
        <w:rPr>
          <w:rFonts w:ascii="TimesNewRomanPS-BoldItalicMT"/>
          <w:b/>
          <w:i/>
          <w:w w:val="110"/>
          <w:sz w:val="24"/>
        </w:rPr>
        <w:t>Specific Culture, Age, and Gender Features</w:t>
      </w:r>
    </w:p>
    <w:p w:rsidR="00E675F0" w:rsidRDefault="00E675F0" w:rsidP="00E675F0">
      <w:pPr>
        <w:pStyle w:val="BodyText"/>
        <w:spacing w:before="141" w:line="254" w:lineRule="auto"/>
        <w:ind w:left="140" w:right="124" w:firstLine="4"/>
        <w:jc w:val="both"/>
      </w:pPr>
      <w:r>
        <w:rPr>
          <w:w w:val="105"/>
        </w:rPr>
        <w:t xml:space="preserve">Caffeine use and the sources from which caffeine is consumed vary widely across cultures. </w:t>
      </w:r>
      <w:r>
        <w:rPr>
          <w:i/>
          <w:w w:val="105"/>
        </w:rPr>
        <w:t xml:space="preserve">The </w:t>
      </w:r>
      <w:r>
        <w:rPr>
          <w:w w:val="105"/>
        </w:rPr>
        <w:t>average caffeine intake  in  most  of  the  developing  world  is  less  than 50 mg/day, compared to as much as 400 mg/day or more in Sweden, the United Kingdom, and other European nations. Caffeine consumption increases during the 20s and</w:t>
      </w:r>
      <w:r>
        <w:rPr>
          <w:spacing w:val="40"/>
          <w:w w:val="105"/>
        </w:rPr>
        <w:t xml:space="preserve"> </w:t>
      </w:r>
      <w:r>
        <w:rPr>
          <w:w w:val="105"/>
        </w:rPr>
        <w:t>often decreases after age 65 years. Intake is greater in males than in females.</w:t>
      </w:r>
    </w:p>
    <w:p w:rsidR="00E675F0" w:rsidRDefault="00E675F0" w:rsidP="00E675F0">
      <w:pPr>
        <w:pStyle w:val="BodyText"/>
        <w:rPr>
          <w:sz w:val="22"/>
        </w:rPr>
      </w:pPr>
    </w:p>
    <w:p w:rsidR="00E675F0" w:rsidRDefault="00E675F0" w:rsidP="00E675F0">
      <w:pPr>
        <w:spacing w:before="149"/>
        <w:ind w:left="122"/>
        <w:rPr>
          <w:rFonts w:ascii="TimesNewRomanPS-BoldItalicMT"/>
          <w:b/>
          <w:i/>
          <w:sz w:val="24"/>
        </w:rPr>
      </w:pPr>
      <w:r>
        <w:rPr>
          <w:rFonts w:ascii="TimesNewRomanPS-BoldItalicMT"/>
          <w:b/>
          <w:i/>
          <w:w w:val="115"/>
          <w:sz w:val="24"/>
        </w:rPr>
        <w:t>Course</w:t>
      </w:r>
    </w:p>
    <w:p w:rsidR="00E675F0" w:rsidRDefault="00E675F0" w:rsidP="00E675F0">
      <w:pPr>
        <w:pStyle w:val="BodyText"/>
        <w:spacing w:before="122" w:line="252" w:lineRule="auto"/>
        <w:ind w:left="145" w:right="128" w:hanging="9"/>
        <w:jc w:val="both"/>
      </w:pPr>
      <w:r>
        <w:rPr>
          <w:w w:val="105"/>
        </w:rPr>
        <w:t>The half-life of caffeine is 2--6 hours, so that most symptoms of intoxication are likely to last 6-16 hours after caffeine ingestion. Because tolerance  to the  behavioral  effects of caffeine occurs, Caffeine Intoxication is usually seen in infrequent users or in those who have recently increased their caffeine intake by a substantial</w:t>
      </w:r>
      <w:r>
        <w:rPr>
          <w:spacing w:val="7"/>
          <w:w w:val="105"/>
        </w:rPr>
        <w:t xml:space="preserve"> </w:t>
      </w:r>
      <w:r>
        <w:rPr>
          <w:w w:val="105"/>
        </w:rPr>
        <w:t>amount.</w:t>
      </w:r>
    </w:p>
    <w:p w:rsidR="00E675F0" w:rsidRDefault="00E675F0" w:rsidP="00E675F0">
      <w:pPr>
        <w:pStyle w:val="BodyText"/>
        <w:rPr>
          <w:sz w:val="22"/>
        </w:rPr>
      </w:pPr>
    </w:p>
    <w:p w:rsidR="00E675F0" w:rsidRDefault="00E675F0" w:rsidP="00E675F0">
      <w:pPr>
        <w:spacing w:before="128"/>
        <w:ind w:left="137"/>
        <w:rPr>
          <w:rFonts w:ascii="TimesNewRomanPS-BoldItalicMT"/>
          <w:b/>
          <w:i/>
          <w:sz w:val="24"/>
        </w:rPr>
      </w:pPr>
      <w:r>
        <w:rPr>
          <w:rFonts w:ascii="TimesNewRomanPS-BoldItalicMT"/>
          <w:b/>
          <w:i/>
          <w:w w:val="115"/>
          <w:sz w:val="24"/>
        </w:rPr>
        <w:t>Differential Diagnosis</w:t>
      </w:r>
    </w:p>
    <w:p w:rsidR="00E675F0" w:rsidRDefault="00E675F0" w:rsidP="00E675F0">
      <w:pPr>
        <w:pStyle w:val="BodyText"/>
        <w:spacing w:before="136"/>
        <w:ind w:left="154"/>
        <w:jc w:val="both"/>
      </w:pPr>
      <w:r>
        <w:rPr>
          <w:w w:val="105"/>
        </w:rPr>
        <w:t>For</w:t>
      </w:r>
      <w:r>
        <w:rPr>
          <w:spacing w:val="-10"/>
          <w:w w:val="105"/>
        </w:rPr>
        <w:t xml:space="preserve"> </w:t>
      </w:r>
      <w:r>
        <w:rPr>
          <w:w w:val="105"/>
        </w:rPr>
        <w:t>a</w:t>
      </w:r>
      <w:r>
        <w:rPr>
          <w:spacing w:val="-9"/>
          <w:w w:val="105"/>
        </w:rPr>
        <w:t xml:space="preserve"> </w:t>
      </w:r>
      <w:r>
        <w:rPr>
          <w:w w:val="105"/>
        </w:rPr>
        <w:t>general</w:t>
      </w:r>
      <w:r>
        <w:rPr>
          <w:spacing w:val="-5"/>
          <w:w w:val="105"/>
        </w:rPr>
        <w:t xml:space="preserve"> </w:t>
      </w:r>
      <w:r>
        <w:rPr>
          <w:w w:val="105"/>
        </w:rPr>
        <w:t>discussion</w:t>
      </w:r>
      <w:r>
        <w:rPr>
          <w:spacing w:val="-1"/>
          <w:w w:val="105"/>
        </w:rPr>
        <w:t xml:space="preserve"> </w:t>
      </w:r>
      <w:r>
        <w:rPr>
          <w:w w:val="105"/>
        </w:rPr>
        <w:t>of</w:t>
      </w:r>
      <w:r>
        <w:rPr>
          <w:spacing w:val="5"/>
          <w:w w:val="105"/>
        </w:rPr>
        <w:t xml:space="preserve"> </w:t>
      </w:r>
      <w:r>
        <w:rPr>
          <w:w w:val="105"/>
        </w:rPr>
        <w:t>the</w:t>
      </w:r>
      <w:r>
        <w:rPr>
          <w:spacing w:val="-13"/>
          <w:w w:val="105"/>
        </w:rPr>
        <w:t xml:space="preserve"> </w:t>
      </w:r>
      <w:r>
        <w:rPr>
          <w:w w:val="105"/>
        </w:rPr>
        <w:t>differential</w:t>
      </w:r>
      <w:r>
        <w:rPr>
          <w:spacing w:val="3"/>
          <w:w w:val="105"/>
        </w:rPr>
        <w:t xml:space="preserve"> </w:t>
      </w:r>
      <w:r>
        <w:rPr>
          <w:w w:val="105"/>
        </w:rPr>
        <w:t>diagnosis</w:t>
      </w:r>
      <w:r>
        <w:rPr>
          <w:spacing w:val="-1"/>
          <w:w w:val="105"/>
        </w:rPr>
        <w:t xml:space="preserve"> </w:t>
      </w:r>
      <w:r>
        <w:rPr>
          <w:w w:val="105"/>
        </w:rPr>
        <w:t>of</w:t>
      </w:r>
      <w:r>
        <w:rPr>
          <w:spacing w:val="-6"/>
          <w:w w:val="105"/>
        </w:rPr>
        <w:t xml:space="preserve"> </w:t>
      </w:r>
      <w:r>
        <w:rPr>
          <w:w w:val="105"/>
        </w:rPr>
        <w:t>Substance-Related</w:t>
      </w:r>
      <w:r>
        <w:rPr>
          <w:spacing w:val="-11"/>
          <w:w w:val="105"/>
        </w:rPr>
        <w:t xml:space="preserve"> </w:t>
      </w:r>
      <w:r>
        <w:rPr>
          <w:w w:val="105"/>
        </w:rPr>
        <w:t>Disorders,</w:t>
      </w:r>
      <w:r>
        <w:rPr>
          <w:spacing w:val="-2"/>
          <w:w w:val="105"/>
        </w:rPr>
        <w:t xml:space="preserve"> </w:t>
      </w:r>
      <w:r>
        <w:rPr>
          <w:w w:val="105"/>
        </w:rPr>
        <w:t>see</w:t>
      </w:r>
    </w:p>
    <w:p w:rsidR="00E675F0" w:rsidRDefault="00E675F0" w:rsidP="00E675F0">
      <w:pPr>
        <w:pStyle w:val="BodyText"/>
        <w:spacing w:before="20" w:line="256" w:lineRule="auto"/>
        <w:ind w:left="150" w:right="124" w:firstLine="7"/>
        <w:jc w:val="both"/>
      </w:pPr>
      <w:r>
        <w:rPr>
          <w:w w:val="105"/>
        </w:rPr>
        <w:t xml:space="preserve">p. 190. Caffeine-Induced Disorders may be characterized by symptoms (e.g., Panic Attacks) that resemble </w:t>
      </w:r>
      <w:r>
        <w:rPr>
          <w:b/>
          <w:w w:val="105"/>
        </w:rPr>
        <w:t xml:space="preserve">primary mentaldisorders </w:t>
      </w:r>
      <w:r>
        <w:rPr>
          <w:w w:val="105"/>
        </w:rPr>
        <w:t>(e.g., Panic Disorder versus Caffeine­ Induced Anxiety  Disorder,  With  Panic Attacks,  With Onset During Intoxication).</w:t>
      </w:r>
      <w:r>
        <w:rPr>
          <w:spacing w:val="31"/>
          <w:w w:val="105"/>
        </w:rPr>
        <w:t xml:space="preserve"> </w:t>
      </w:r>
      <w:r>
        <w:rPr>
          <w:w w:val="105"/>
        </w:rPr>
        <w:t>See</w:t>
      </w:r>
    </w:p>
    <w:p w:rsidR="00E675F0" w:rsidRDefault="00E675F0" w:rsidP="00E675F0">
      <w:pPr>
        <w:pStyle w:val="BodyText"/>
        <w:spacing w:line="227" w:lineRule="exact"/>
        <w:ind w:left="158"/>
        <w:jc w:val="both"/>
      </w:pPr>
      <w:r>
        <w:rPr>
          <w:w w:val="105"/>
        </w:rPr>
        <w:t>p. 193 for a discussion of this differential diagnosis.</w:t>
      </w:r>
    </w:p>
    <w:p w:rsidR="00E675F0" w:rsidRDefault="00E675F0" w:rsidP="00E675F0">
      <w:pPr>
        <w:spacing w:before="15" w:line="254" w:lineRule="auto"/>
        <w:ind w:left="146" w:right="117" w:firstLine="365"/>
        <w:jc w:val="both"/>
        <w:rPr>
          <w:sz w:val="20"/>
        </w:rPr>
      </w:pPr>
      <w:r>
        <w:rPr>
          <w:w w:val="105"/>
          <w:sz w:val="20"/>
        </w:rPr>
        <w:t xml:space="preserve">To meet criteria for Caffeine Intoxication, the symptoms must not be due to a </w:t>
      </w:r>
      <w:r>
        <w:rPr>
          <w:b/>
          <w:w w:val="105"/>
          <w:sz w:val="20"/>
        </w:rPr>
        <w:t xml:space="preserve">general medical condition </w:t>
      </w:r>
      <w:r>
        <w:rPr>
          <w:rFonts w:ascii="Arial" w:hAnsi="Arial"/>
          <w:b/>
          <w:w w:val="105"/>
          <w:sz w:val="17"/>
        </w:rPr>
        <w:t xml:space="preserve">or </w:t>
      </w:r>
      <w:r>
        <w:rPr>
          <w:b/>
          <w:w w:val="105"/>
          <w:sz w:val="20"/>
        </w:rPr>
        <w:t xml:space="preserve">another mental disorder, </w:t>
      </w:r>
      <w:r>
        <w:rPr>
          <w:w w:val="105"/>
          <w:sz w:val="20"/>
        </w:rPr>
        <w:t>such</w:t>
      </w:r>
      <w:r>
        <w:rPr>
          <w:spacing w:val="52"/>
          <w:w w:val="105"/>
          <w:sz w:val="20"/>
        </w:rPr>
        <w:t xml:space="preserve"> </w:t>
      </w:r>
      <w:r>
        <w:rPr>
          <w:w w:val="105"/>
          <w:sz w:val="20"/>
        </w:rPr>
        <w:t xml:space="preserve">as  an  </w:t>
      </w:r>
      <w:r>
        <w:rPr>
          <w:b/>
          <w:w w:val="105"/>
          <w:sz w:val="20"/>
        </w:rPr>
        <w:t xml:space="preserve">Anxiety Disorder, </w:t>
      </w:r>
      <w:r>
        <w:rPr>
          <w:w w:val="105"/>
          <w:sz w:val="20"/>
        </w:rPr>
        <w:t xml:space="preserve">that could better explain them. </w:t>
      </w:r>
      <w:r>
        <w:rPr>
          <w:b/>
          <w:w w:val="105"/>
          <w:sz w:val="20"/>
        </w:rPr>
        <w:t xml:space="preserve">Manic Episodes, Panic Disorder, Gener­ alized Anxiety Disorder, Amphetamine Intoxication, Sedative, Hypnotic, or Anxiolytic Withdrawal or Nicotine Withdrawal, Sleep Disorders, </w:t>
      </w:r>
      <w:r>
        <w:rPr>
          <w:w w:val="105"/>
          <w:sz w:val="20"/>
        </w:rPr>
        <w:t xml:space="preserve">and </w:t>
      </w:r>
      <w:r>
        <w:rPr>
          <w:b/>
          <w:w w:val="105"/>
          <w:sz w:val="20"/>
        </w:rPr>
        <w:t xml:space="preserve">medication­ induced side effects </w:t>
      </w:r>
      <w:r>
        <w:rPr>
          <w:w w:val="105"/>
          <w:sz w:val="20"/>
        </w:rPr>
        <w:t>(e.g., akathisia) can cause a clinical picture that is similar  to  that of</w:t>
      </w:r>
      <w:r>
        <w:rPr>
          <w:spacing w:val="-8"/>
          <w:w w:val="105"/>
          <w:sz w:val="20"/>
        </w:rPr>
        <w:t xml:space="preserve"> </w:t>
      </w:r>
      <w:r>
        <w:rPr>
          <w:w w:val="105"/>
          <w:sz w:val="20"/>
        </w:rPr>
        <w:t>Caffeine</w:t>
      </w:r>
      <w:r>
        <w:rPr>
          <w:spacing w:val="-10"/>
          <w:w w:val="105"/>
          <w:sz w:val="20"/>
        </w:rPr>
        <w:t xml:space="preserve"> </w:t>
      </w:r>
      <w:r>
        <w:rPr>
          <w:w w:val="105"/>
          <w:sz w:val="20"/>
        </w:rPr>
        <w:t>Intoxication.</w:t>
      </w:r>
      <w:r>
        <w:rPr>
          <w:spacing w:val="-2"/>
          <w:w w:val="105"/>
          <w:sz w:val="20"/>
        </w:rPr>
        <w:t xml:space="preserve"> </w:t>
      </w:r>
      <w:r>
        <w:rPr>
          <w:w w:val="105"/>
          <w:sz w:val="20"/>
        </w:rPr>
        <w:t>The</w:t>
      </w:r>
      <w:r>
        <w:rPr>
          <w:spacing w:val="-14"/>
          <w:w w:val="105"/>
          <w:sz w:val="20"/>
        </w:rPr>
        <w:t xml:space="preserve"> </w:t>
      </w:r>
      <w:r>
        <w:rPr>
          <w:w w:val="105"/>
          <w:sz w:val="20"/>
        </w:rPr>
        <w:t>temporal</w:t>
      </w:r>
      <w:r>
        <w:rPr>
          <w:spacing w:val="-3"/>
          <w:w w:val="105"/>
          <w:sz w:val="20"/>
        </w:rPr>
        <w:t xml:space="preserve"> </w:t>
      </w:r>
      <w:r>
        <w:rPr>
          <w:w w:val="105"/>
          <w:sz w:val="20"/>
        </w:rPr>
        <w:t>relationship</w:t>
      </w:r>
      <w:r>
        <w:rPr>
          <w:spacing w:val="-7"/>
          <w:w w:val="105"/>
          <w:sz w:val="20"/>
        </w:rPr>
        <w:t xml:space="preserve"> </w:t>
      </w:r>
      <w:r>
        <w:rPr>
          <w:w w:val="105"/>
          <w:sz w:val="20"/>
        </w:rPr>
        <w:t>of</w:t>
      </w:r>
      <w:r>
        <w:rPr>
          <w:spacing w:val="-7"/>
          <w:w w:val="105"/>
          <w:sz w:val="20"/>
        </w:rPr>
        <w:t xml:space="preserve"> </w:t>
      </w:r>
      <w:r>
        <w:rPr>
          <w:w w:val="105"/>
          <w:sz w:val="20"/>
        </w:rPr>
        <w:t>the</w:t>
      </w:r>
      <w:r>
        <w:rPr>
          <w:spacing w:val="-20"/>
          <w:w w:val="105"/>
          <w:sz w:val="20"/>
        </w:rPr>
        <w:t xml:space="preserve"> </w:t>
      </w:r>
      <w:r>
        <w:rPr>
          <w:w w:val="105"/>
          <w:sz w:val="20"/>
        </w:rPr>
        <w:t>symptoms</w:t>
      </w:r>
      <w:r>
        <w:rPr>
          <w:spacing w:val="-5"/>
          <w:w w:val="105"/>
          <w:sz w:val="20"/>
        </w:rPr>
        <w:t xml:space="preserve"> </w:t>
      </w:r>
      <w:r>
        <w:rPr>
          <w:w w:val="105"/>
          <w:sz w:val="20"/>
        </w:rPr>
        <w:t>to</w:t>
      </w:r>
      <w:r>
        <w:rPr>
          <w:spacing w:val="-18"/>
          <w:w w:val="105"/>
          <w:sz w:val="20"/>
        </w:rPr>
        <w:t xml:space="preserve"> </w:t>
      </w:r>
      <w:r>
        <w:rPr>
          <w:w w:val="105"/>
          <w:sz w:val="20"/>
        </w:rPr>
        <w:t>increased</w:t>
      </w:r>
      <w:r>
        <w:rPr>
          <w:spacing w:val="-7"/>
          <w:w w:val="105"/>
          <w:sz w:val="20"/>
        </w:rPr>
        <w:t xml:space="preserve"> </w:t>
      </w:r>
      <w:r>
        <w:rPr>
          <w:w w:val="105"/>
          <w:sz w:val="20"/>
        </w:rPr>
        <w:t>caffeine use or to abstinence from caffeine helps to establish the diagnosis. Caffeine</w:t>
      </w:r>
      <w:r>
        <w:rPr>
          <w:spacing w:val="25"/>
          <w:w w:val="105"/>
          <w:sz w:val="20"/>
        </w:rPr>
        <w:t xml:space="preserve"> </w:t>
      </w:r>
      <w:r>
        <w:rPr>
          <w:w w:val="105"/>
          <w:sz w:val="20"/>
        </w:rPr>
        <w:t>Intoxication</w:t>
      </w:r>
    </w:p>
    <w:p w:rsidR="00E675F0" w:rsidRDefault="00E675F0" w:rsidP="00E675F0">
      <w:pPr>
        <w:spacing w:line="254" w:lineRule="auto"/>
        <w:jc w:val="both"/>
        <w:rPr>
          <w:sz w:val="20"/>
        </w:rPr>
        <w:sectPr w:rsidR="00E675F0">
          <w:pgSz w:w="8960" w:h="14260"/>
          <w:pgMar w:top="1400" w:right="580" w:bottom="280" w:left="620" w:header="691" w:footer="0" w:gutter="0"/>
          <w:cols w:space="720"/>
        </w:sectPr>
      </w:pPr>
    </w:p>
    <w:p w:rsidR="00E675F0" w:rsidRDefault="00E675F0" w:rsidP="00E675F0">
      <w:pPr>
        <w:spacing w:before="108" w:line="254" w:lineRule="auto"/>
        <w:ind w:left="122" w:right="117" w:firstLine="7"/>
        <w:jc w:val="both"/>
        <w:rPr>
          <w:sz w:val="20"/>
        </w:rPr>
      </w:pPr>
      <w:bookmarkStart w:id="137" w:name="_bookmark118"/>
      <w:bookmarkEnd w:id="137"/>
      <w:r>
        <w:rPr>
          <w:w w:val="110"/>
          <w:sz w:val="20"/>
        </w:rPr>
        <w:lastRenderedPageBreak/>
        <w:t xml:space="preserve">is differentiated from </w:t>
      </w:r>
      <w:r>
        <w:rPr>
          <w:b/>
          <w:w w:val="110"/>
          <w:sz w:val="19"/>
        </w:rPr>
        <w:t xml:space="preserve">Caffeine-Induced Anxiety Disorder, With Onset During Intoxication </w:t>
      </w:r>
      <w:r>
        <w:rPr>
          <w:w w:val="110"/>
          <w:sz w:val="20"/>
        </w:rPr>
        <w:t xml:space="preserve">(p. 439), and from </w:t>
      </w:r>
      <w:r>
        <w:rPr>
          <w:b/>
          <w:w w:val="110"/>
          <w:sz w:val="19"/>
        </w:rPr>
        <w:t xml:space="preserve">Caffeine-Induced Sleep Disorder, With Onset During Intoxication </w:t>
      </w:r>
      <w:r>
        <w:rPr>
          <w:w w:val="110"/>
          <w:sz w:val="20"/>
        </w:rPr>
        <w:t>(p. 601), by the fact that the symptoms in these latter disorders are in excess of those usually associated with Caffeine Intoxication and are severe enough to warrant independent clinical attention.</w:t>
      </w:r>
    </w:p>
    <w:p w:rsidR="00E675F0" w:rsidRDefault="00E675F0" w:rsidP="00E675F0">
      <w:pPr>
        <w:pStyle w:val="BodyText"/>
        <w:rPr>
          <w:sz w:val="22"/>
        </w:rPr>
      </w:pPr>
    </w:p>
    <w:p w:rsidR="00E675F0" w:rsidRDefault="00E675F0" w:rsidP="00E675F0">
      <w:pPr>
        <w:pStyle w:val="BodyText"/>
        <w:spacing w:before="3"/>
        <w:rPr>
          <w:sz w:val="23"/>
        </w:rPr>
      </w:pPr>
    </w:p>
    <w:p w:rsidR="00E675F0" w:rsidRDefault="00E675F0" w:rsidP="00E675F0">
      <w:pPr>
        <w:tabs>
          <w:tab w:val="left" w:pos="1076"/>
        </w:tabs>
        <w:ind w:left="158"/>
        <w:rPr>
          <w:rFonts w:ascii="Arial"/>
          <w:b/>
          <w:sz w:val="26"/>
        </w:rPr>
      </w:pPr>
      <w:r>
        <w:rPr>
          <w:rFonts w:ascii="Arial"/>
          <w:b/>
          <w:w w:val="105"/>
          <w:sz w:val="26"/>
        </w:rPr>
        <w:t>292.9</w:t>
      </w:r>
      <w:r>
        <w:rPr>
          <w:rFonts w:ascii="Arial"/>
          <w:b/>
          <w:w w:val="105"/>
          <w:sz w:val="26"/>
        </w:rPr>
        <w:tab/>
        <w:t>Caffeine-Related</w:t>
      </w:r>
      <w:r>
        <w:rPr>
          <w:rFonts w:ascii="Arial"/>
          <w:b/>
          <w:spacing w:val="-34"/>
          <w:w w:val="105"/>
          <w:sz w:val="26"/>
        </w:rPr>
        <w:t xml:space="preserve"> </w:t>
      </w:r>
      <w:r>
        <w:rPr>
          <w:rFonts w:ascii="Arial"/>
          <w:b/>
          <w:w w:val="105"/>
          <w:sz w:val="26"/>
        </w:rPr>
        <w:t>Disorder</w:t>
      </w:r>
      <w:r>
        <w:rPr>
          <w:rFonts w:ascii="Arial"/>
          <w:b/>
          <w:spacing w:val="-14"/>
          <w:w w:val="105"/>
          <w:sz w:val="26"/>
        </w:rPr>
        <w:t xml:space="preserve"> </w:t>
      </w:r>
      <w:r>
        <w:rPr>
          <w:rFonts w:ascii="Arial"/>
          <w:b/>
          <w:w w:val="105"/>
          <w:sz w:val="26"/>
        </w:rPr>
        <w:t>Not</w:t>
      </w:r>
      <w:r>
        <w:rPr>
          <w:rFonts w:ascii="Arial"/>
          <w:b/>
          <w:spacing w:val="-21"/>
          <w:w w:val="105"/>
          <w:sz w:val="26"/>
        </w:rPr>
        <w:t xml:space="preserve"> </w:t>
      </w:r>
      <w:r>
        <w:rPr>
          <w:rFonts w:ascii="Arial"/>
          <w:b/>
          <w:w w:val="105"/>
          <w:sz w:val="26"/>
        </w:rPr>
        <w:t>Otherwise</w:t>
      </w:r>
      <w:r>
        <w:rPr>
          <w:rFonts w:ascii="Arial"/>
          <w:b/>
          <w:spacing w:val="-2"/>
          <w:w w:val="105"/>
          <w:sz w:val="26"/>
        </w:rPr>
        <w:t xml:space="preserve"> </w:t>
      </w:r>
      <w:r>
        <w:rPr>
          <w:rFonts w:ascii="Arial"/>
          <w:b/>
          <w:w w:val="105"/>
          <w:sz w:val="26"/>
        </w:rPr>
        <w:t>Specified</w:t>
      </w:r>
    </w:p>
    <w:p w:rsidR="00E675F0" w:rsidRDefault="00E675F0" w:rsidP="00E675F0">
      <w:pPr>
        <w:pStyle w:val="BodyText"/>
        <w:spacing w:before="1"/>
        <w:rPr>
          <w:rFonts w:ascii="Arial"/>
          <w:b/>
          <w:sz w:val="24"/>
        </w:rPr>
      </w:pPr>
    </w:p>
    <w:p w:rsidR="00E675F0" w:rsidRDefault="00E675F0" w:rsidP="00E675F0">
      <w:pPr>
        <w:pStyle w:val="BodyText"/>
        <w:spacing w:before="1" w:line="254" w:lineRule="auto"/>
        <w:ind w:left="128" w:right="122" w:hanging="9"/>
        <w:jc w:val="both"/>
      </w:pPr>
      <w:r>
        <w:rPr>
          <w:w w:val="105"/>
        </w:rPr>
        <w:t>The Caffeine-Related Disorder Not Otherwise Specified category is for disorders associated with the use of caffeine that are not classifiable as Caffeine Intoxication, Caffeine-Induced Anxiety Disorder, or Caffeine-Induced Sleep Disorder. An example is caffeine withdrawal (see p. 708 for suggested research criteria).</w:t>
      </w:r>
    </w:p>
    <w:p w:rsidR="00E675F0" w:rsidRDefault="00E675F0" w:rsidP="00E675F0">
      <w:pPr>
        <w:pStyle w:val="BodyText"/>
      </w:pPr>
    </w:p>
    <w:p w:rsidR="00E675F0" w:rsidRDefault="00E675F0" w:rsidP="00E675F0">
      <w:pPr>
        <w:pStyle w:val="BodyText"/>
        <w:spacing w:before="7"/>
        <w:rPr>
          <w:sz w:val="29"/>
        </w:rPr>
      </w:pPr>
      <w:r>
        <w:rPr>
          <w:noProof/>
        </w:rPr>
        <mc:AlternateContent>
          <mc:Choice Requires="wps">
            <w:drawing>
              <wp:anchor distT="0" distB="0" distL="0" distR="0" simplePos="0" relativeHeight="251879424" behindDoc="1" locked="0" layoutInCell="1" allowOverlap="1" wp14:anchorId="33732FC3" wp14:editId="64FC2321">
                <wp:simplePos x="0" y="0"/>
                <wp:positionH relativeFrom="page">
                  <wp:posOffset>452120</wp:posOffset>
                </wp:positionH>
                <wp:positionV relativeFrom="paragraph">
                  <wp:posOffset>243840</wp:posOffset>
                </wp:positionV>
                <wp:extent cx="1062990" cy="1270"/>
                <wp:effectExtent l="0" t="0" r="3810" b="0"/>
                <wp:wrapTopAndBottom/>
                <wp:docPr id="1355" name="Freeform 1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2990" cy="1270"/>
                        </a:xfrm>
                        <a:custGeom>
                          <a:avLst/>
                          <a:gdLst>
                            <a:gd name="T0" fmla="+- 0 712 712"/>
                            <a:gd name="T1" fmla="*/ T0 w 1674"/>
                            <a:gd name="T2" fmla="+- 0 2386 712"/>
                            <a:gd name="T3" fmla="*/ T2 w 1674"/>
                          </a:gdLst>
                          <a:ahLst/>
                          <a:cxnLst>
                            <a:cxn ang="0">
                              <a:pos x="T1" y="0"/>
                            </a:cxn>
                            <a:cxn ang="0">
                              <a:pos x="T3" y="0"/>
                            </a:cxn>
                          </a:cxnLst>
                          <a:rect l="0" t="0" r="r" b="b"/>
                          <a:pathLst>
                            <a:path w="1674">
                              <a:moveTo>
                                <a:pt x="0" y="0"/>
                              </a:moveTo>
                              <a:lnTo>
                                <a:pt x="1674" y="0"/>
                              </a:lnTo>
                            </a:path>
                          </a:pathLst>
                        </a:custGeom>
                        <a:noFill/>
                        <a:ln w="610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82B39" id="Freeform 1311" o:spid="_x0000_s1026" style="position:absolute;margin-left:35.6pt;margin-top:19.2pt;width:83.7pt;height:.1pt;z-index:-251437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74,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" path="m,l1674,e" filled="f" strokeweight=".1695mm">
                <v:path arrowok="t" o:connecttype="custom" o:connectlocs="0,0;1062990,0" o:connectangles="0,0"/>
                <w10:wrap type="topAndBottom" anchorx="page"/>
              </v:shape>
            </w:pict>
          </mc:Fallback>
        </mc:AlternateContent>
      </w:r>
      <w:r>
        <w:rPr>
          <w:noProof/>
        </w:rPr>
        <mc:AlternateContent>
          <mc:Choice Requires="wps">
            <w:drawing>
              <wp:anchor distT="0" distB="0" distL="0" distR="0" simplePos="0" relativeHeight="251880448" behindDoc="1" locked="0" layoutInCell="1" allowOverlap="1" wp14:anchorId="37DC9A48" wp14:editId="25178836">
                <wp:simplePos x="0" y="0"/>
                <wp:positionH relativeFrom="page">
                  <wp:posOffset>4154170</wp:posOffset>
                </wp:positionH>
                <wp:positionV relativeFrom="paragraph">
                  <wp:posOffset>243840</wp:posOffset>
                </wp:positionV>
                <wp:extent cx="1038860" cy="1270"/>
                <wp:effectExtent l="0" t="0" r="2540" b="0"/>
                <wp:wrapTopAndBottom/>
                <wp:docPr id="1354" name="Freeform 1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8860" cy="1270"/>
                        </a:xfrm>
                        <a:custGeom>
                          <a:avLst/>
                          <a:gdLst>
                            <a:gd name="T0" fmla="+- 0 6542 6542"/>
                            <a:gd name="T1" fmla="*/ T0 w 1636"/>
                            <a:gd name="T2" fmla="+- 0 8177 6542"/>
                            <a:gd name="T3" fmla="*/ T2 w 1636"/>
                          </a:gdLst>
                          <a:ahLst/>
                          <a:cxnLst>
                            <a:cxn ang="0">
                              <a:pos x="T1" y="0"/>
                            </a:cxn>
                            <a:cxn ang="0">
                              <a:pos x="T3" y="0"/>
                            </a:cxn>
                          </a:cxnLst>
                          <a:rect l="0" t="0" r="r" b="b"/>
                          <a:pathLst>
                            <a:path w="1636">
                              <a:moveTo>
                                <a:pt x="0" y="0"/>
                              </a:moveTo>
                              <a:lnTo>
                                <a:pt x="1635" y="0"/>
                              </a:lnTo>
                            </a:path>
                          </a:pathLst>
                        </a:custGeom>
                        <a:noFill/>
                        <a:ln w="610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CA38E" id="Freeform 1310" o:spid="_x0000_s1026" style="position:absolute;margin-left:327.1pt;margin-top:19.2pt;width:81.8pt;height:.1pt;z-index:-251436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36,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" path="m,l1635,e" filled="f" strokeweight=".1695mm">
                <v:path arrowok="t" o:connecttype="custom" o:connectlocs="0,0;1038225,0" o:connectangles="0,0"/>
                <w10:wrap type="topAndBottom" anchorx="page"/>
              </v:shape>
            </w:pict>
          </mc:Fallback>
        </mc:AlternateContent>
      </w:r>
    </w:p>
    <w:p w:rsidR="00E675F0" w:rsidRDefault="00E675F0" w:rsidP="00E675F0">
      <w:pPr>
        <w:spacing w:before="111"/>
        <w:ind w:left="86" w:right="119"/>
        <w:jc w:val="center"/>
        <w:rPr>
          <w:rFonts w:ascii="Arial"/>
          <w:b/>
          <w:sz w:val="25"/>
        </w:rPr>
      </w:pPr>
      <w:r>
        <w:rPr>
          <w:rFonts w:ascii="Arial"/>
          <w:b/>
          <w:color w:val="2F2F2F"/>
          <w:w w:val="105"/>
          <w:sz w:val="25"/>
        </w:rPr>
        <w:t>Cannabis-Related Disorders</w:t>
      </w:r>
    </w:p>
    <w:p w:rsidR="00E675F0" w:rsidRDefault="00E675F0" w:rsidP="00E675F0">
      <w:pPr>
        <w:pStyle w:val="BodyText"/>
        <w:spacing w:before="8"/>
        <w:rPr>
          <w:rFonts w:ascii="Arial"/>
          <w:b/>
          <w:sz w:val="24"/>
        </w:rPr>
      </w:pPr>
    </w:p>
    <w:p w:rsidR="00E675F0" w:rsidRDefault="00E675F0" w:rsidP="00E675F0">
      <w:pPr>
        <w:pStyle w:val="BodyText"/>
        <w:spacing w:line="254" w:lineRule="auto"/>
        <w:ind w:left="126" w:right="109" w:hanging="1"/>
        <w:jc w:val="both"/>
      </w:pPr>
      <w:r>
        <w:rPr>
          <w:w w:val="105"/>
        </w:rPr>
        <w:t>This section includes problems that are associated with cannabinoids and chemically similar synthetic compounds. Cannabinoids are substances that are derived from the cannabis plant. When the upper leaves, tops, and stems of the plant are cut, dried, and rolled into cigarettes, the product is usually called marijuana. Hashish is the dried, resinous exudate that seeps from the tops and undersides of  cannabis  leaves;  hashish oil is a concentrated distillate of hashish. Cannabinoids are usually smoked, but may be taken orally and are sometimes mixed with tea or food. The cannabinoid that has been identified as primarily responsible for the psychoactive effects of cannabis is delta-9- tetrahydrocannabinol</w:t>
      </w:r>
      <w:r>
        <w:rPr>
          <w:spacing w:val="-29"/>
          <w:w w:val="105"/>
        </w:rPr>
        <w:t xml:space="preserve"> </w:t>
      </w:r>
      <w:r>
        <w:rPr>
          <w:w w:val="105"/>
        </w:rPr>
        <w:t>(also</w:t>
      </w:r>
      <w:r>
        <w:rPr>
          <w:spacing w:val="-17"/>
          <w:w w:val="105"/>
        </w:rPr>
        <w:t xml:space="preserve"> </w:t>
      </w:r>
      <w:r>
        <w:rPr>
          <w:w w:val="105"/>
        </w:rPr>
        <w:t>known</w:t>
      </w:r>
      <w:r>
        <w:rPr>
          <w:spacing w:val="-10"/>
          <w:w w:val="105"/>
        </w:rPr>
        <w:t xml:space="preserve"> </w:t>
      </w:r>
      <w:r>
        <w:rPr>
          <w:w w:val="105"/>
        </w:rPr>
        <w:t>as</w:t>
      </w:r>
      <w:r>
        <w:rPr>
          <w:spacing w:val="-25"/>
          <w:w w:val="105"/>
        </w:rPr>
        <w:t xml:space="preserve"> </w:t>
      </w:r>
      <w:r>
        <w:rPr>
          <w:w w:val="105"/>
        </w:rPr>
        <w:t>THC,</w:t>
      </w:r>
      <w:r>
        <w:rPr>
          <w:spacing w:val="-17"/>
          <w:w w:val="105"/>
        </w:rPr>
        <w:t xml:space="preserve"> </w:t>
      </w:r>
      <w:r>
        <w:rPr>
          <w:w w:val="105"/>
        </w:rPr>
        <w:t>or</w:t>
      </w:r>
      <w:r>
        <w:rPr>
          <w:spacing w:val="-7"/>
          <w:w w:val="105"/>
        </w:rPr>
        <w:t xml:space="preserve"> </w:t>
      </w:r>
      <w:r>
        <w:rPr>
          <w:w w:val="105"/>
        </w:rPr>
        <w:t>delta-9-THC).</w:t>
      </w:r>
      <w:r>
        <w:rPr>
          <w:spacing w:val="-5"/>
          <w:w w:val="105"/>
        </w:rPr>
        <w:t xml:space="preserve"> </w:t>
      </w:r>
      <w:r>
        <w:rPr>
          <w:w w:val="105"/>
        </w:rPr>
        <w:t>This</w:t>
      </w:r>
      <w:r>
        <w:rPr>
          <w:spacing w:val="-21"/>
          <w:w w:val="105"/>
        </w:rPr>
        <w:t xml:space="preserve"> </w:t>
      </w:r>
      <w:r>
        <w:rPr>
          <w:w w:val="105"/>
        </w:rPr>
        <w:t>substance</w:t>
      </w:r>
      <w:r>
        <w:rPr>
          <w:spacing w:val="-17"/>
          <w:w w:val="105"/>
        </w:rPr>
        <w:t xml:space="preserve"> </w:t>
      </w:r>
      <w:r>
        <w:rPr>
          <w:w w:val="105"/>
        </w:rPr>
        <w:t>itself</w:t>
      </w:r>
      <w:r>
        <w:rPr>
          <w:spacing w:val="-7"/>
          <w:w w:val="105"/>
        </w:rPr>
        <w:t xml:space="preserve"> </w:t>
      </w:r>
      <w:r>
        <w:rPr>
          <w:w w:val="105"/>
        </w:rPr>
        <w:t>is</w:t>
      </w:r>
      <w:r>
        <w:rPr>
          <w:spacing w:val="-21"/>
          <w:w w:val="105"/>
        </w:rPr>
        <w:t xml:space="preserve"> </w:t>
      </w:r>
      <w:r>
        <w:rPr>
          <w:w w:val="105"/>
        </w:rPr>
        <w:t>rarely available for use in a pure form. The THC content of the marijuana that is generally available varies greatly. The THC content of illicit marijuana has increased significantly since the late 1960s from an average of approximately 1%--5% to as much as 10%-15%. Synthetic delta-9-THC has been used for certain general medical conditions (e.g., for nausea and vomiting caused by chemotherapy, for anorexia and weight loss in individuals with acquired immunodeficiency syndrome</w:t>
      </w:r>
      <w:r>
        <w:rPr>
          <w:spacing w:val="-1"/>
          <w:w w:val="105"/>
        </w:rPr>
        <w:t xml:space="preserve"> </w:t>
      </w:r>
      <w:r>
        <w:rPr>
          <w:w w:val="105"/>
        </w:rPr>
        <w:t>[AIDS]).</w:t>
      </w:r>
    </w:p>
    <w:p w:rsidR="00E675F0" w:rsidRDefault="00E675F0" w:rsidP="00E675F0">
      <w:pPr>
        <w:pStyle w:val="BodyText"/>
        <w:spacing w:line="211" w:lineRule="exact"/>
        <w:ind w:left="490"/>
        <w:jc w:val="both"/>
      </w:pPr>
      <w:r>
        <w:rPr>
          <w:w w:val="105"/>
        </w:rPr>
        <w:t>This section contains discussions specific to the Cannabis-Related Disorders. Texts</w:t>
      </w:r>
    </w:p>
    <w:p w:rsidR="00E675F0" w:rsidRDefault="00E675F0" w:rsidP="00E675F0">
      <w:pPr>
        <w:pStyle w:val="BodyText"/>
        <w:spacing w:before="10" w:line="254" w:lineRule="auto"/>
        <w:ind w:left="128" w:right="109"/>
        <w:jc w:val="both"/>
      </w:pPr>
      <w:r>
        <w:rPr>
          <w:w w:val="105"/>
        </w:rPr>
        <w:t>and criteria sets have already been provided to define the generic aspects of Substance Dependence (p. 176) and Substance Abuse (p. 182) that apply across all substances. Texts specific to Cannabis Dependence and Abuse are provided below; however, there are no additional specific criteria sets for  Cannabis  Dependence  or  Cannabis  Abuse. A specific text and criteria set for Cannabis Intoxication is also provided below. Symptoms of possible cannabis withdrawal (e.g., irritable or anxious mood accompanied by physiological changes such as tremor, perspiration, nausea, and sleep disturbances) have been described in association with the use of very high doses, but their clinical significance is uncertain. For these reasons, the diagnosis of cannabis withdrawal is not included in this manual. The Cannabis-Induced Disorders (other than Cannabis Intoxi­ cation) are described in the sections of the manual with disorders with which they share phenomenology (e.g., Cannabis-Induced Mood Disorder is included in the "Mood Disorders" section). Listed below are the Cannabis Use Disorders and the Cannabis­ Induced</w:t>
      </w:r>
      <w:r>
        <w:rPr>
          <w:spacing w:val="16"/>
          <w:w w:val="105"/>
        </w:rPr>
        <w:t xml:space="preserve"> </w:t>
      </w:r>
      <w:r>
        <w:rPr>
          <w:w w:val="105"/>
        </w:rPr>
        <w:t>Disorders.</w:t>
      </w:r>
    </w:p>
    <w:p w:rsidR="00E675F0" w:rsidRDefault="00E675F0" w:rsidP="00E675F0">
      <w:pPr>
        <w:spacing w:line="254" w:lineRule="auto"/>
        <w:jc w:val="both"/>
        <w:sectPr w:rsidR="00E675F0">
          <w:headerReference w:type="even" r:id="rId187"/>
          <w:headerReference w:type="default" r:id="rId188"/>
          <w:pgSz w:w="8960" w:h="14260"/>
          <w:pgMar w:top="1400" w:right="640" w:bottom="280" w:left="600" w:header="687" w:footer="0" w:gutter="0"/>
          <w:pgNumType w:start="215"/>
          <w:cols w:space="720"/>
        </w:sectPr>
      </w:pPr>
    </w:p>
    <w:p w:rsidR="00E675F0" w:rsidRDefault="00E675F0" w:rsidP="00E675F0">
      <w:pPr>
        <w:spacing w:before="134"/>
        <w:ind w:left="107"/>
        <w:rPr>
          <w:rFonts w:ascii="TimesNewRomanPS-BoldItalicMT"/>
          <w:b/>
          <w:i/>
          <w:sz w:val="24"/>
        </w:rPr>
      </w:pPr>
      <w:bookmarkStart w:id="138" w:name="_bookmark119"/>
      <w:bookmarkEnd w:id="138"/>
      <w:r>
        <w:rPr>
          <w:rFonts w:ascii="TimesNewRomanPS-BoldItalicMT"/>
          <w:b/>
          <w:i/>
          <w:w w:val="115"/>
          <w:sz w:val="24"/>
        </w:rPr>
        <w:lastRenderedPageBreak/>
        <w:t>Cannabis Use Disorders</w:t>
      </w:r>
    </w:p>
    <w:p w:rsidR="00E675F0" w:rsidRDefault="00E675F0" w:rsidP="00E675F0">
      <w:pPr>
        <w:tabs>
          <w:tab w:val="left" w:pos="976"/>
        </w:tabs>
        <w:spacing w:before="117" w:line="249" w:lineRule="exact"/>
        <w:ind w:left="143"/>
        <w:rPr>
          <w:sz w:val="20"/>
        </w:rPr>
      </w:pPr>
      <w:r>
        <w:rPr>
          <w:b/>
          <w:w w:val="110"/>
        </w:rPr>
        <w:t>304.30</w:t>
      </w:r>
      <w:r>
        <w:rPr>
          <w:b/>
          <w:w w:val="110"/>
        </w:rPr>
        <w:tab/>
      </w:r>
      <w:r>
        <w:rPr>
          <w:b/>
          <w:w w:val="110"/>
          <w:position w:val="1"/>
          <w:sz w:val="20"/>
        </w:rPr>
        <w:t xml:space="preserve">Cannabis Dependence </w:t>
      </w:r>
      <w:r>
        <w:rPr>
          <w:w w:val="110"/>
          <w:position w:val="1"/>
          <w:sz w:val="20"/>
        </w:rPr>
        <w:t>(seep.</w:t>
      </w:r>
      <w:r>
        <w:rPr>
          <w:spacing w:val="28"/>
          <w:w w:val="110"/>
          <w:position w:val="1"/>
          <w:sz w:val="20"/>
        </w:rPr>
        <w:t xml:space="preserve"> </w:t>
      </w:r>
      <w:r>
        <w:rPr>
          <w:w w:val="110"/>
          <w:position w:val="1"/>
          <w:sz w:val="20"/>
        </w:rPr>
        <w:t>216)</w:t>
      </w:r>
    </w:p>
    <w:p w:rsidR="00E675F0" w:rsidRDefault="00E675F0" w:rsidP="00E675F0">
      <w:pPr>
        <w:tabs>
          <w:tab w:val="left" w:pos="976"/>
        </w:tabs>
        <w:spacing w:line="249" w:lineRule="exact"/>
        <w:ind w:left="139"/>
        <w:rPr>
          <w:sz w:val="20"/>
        </w:rPr>
      </w:pPr>
      <w:r>
        <w:rPr>
          <w:b/>
          <w:w w:val="105"/>
        </w:rPr>
        <w:t>305.20</w:t>
      </w:r>
      <w:r>
        <w:rPr>
          <w:b/>
          <w:w w:val="105"/>
        </w:rPr>
        <w:tab/>
      </w:r>
      <w:r>
        <w:rPr>
          <w:b/>
          <w:w w:val="105"/>
          <w:position w:val="1"/>
          <w:sz w:val="20"/>
        </w:rPr>
        <w:t xml:space="preserve">Cannabis Abuse </w:t>
      </w:r>
      <w:r>
        <w:rPr>
          <w:w w:val="105"/>
          <w:position w:val="1"/>
          <w:sz w:val="20"/>
        </w:rPr>
        <w:t>(see p.</w:t>
      </w:r>
      <w:r>
        <w:rPr>
          <w:spacing w:val="1"/>
          <w:w w:val="105"/>
          <w:position w:val="1"/>
          <w:sz w:val="20"/>
        </w:rPr>
        <w:t xml:space="preserve"> </w:t>
      </w:r>
      <w:r>
        <w:rPr>
          <w:w w:val="105"/>
          <w:position w:val="1"/>
          <w:sz w:val="20"/>
        </w:rPr>
        <w:t>217)</w:t>
      </w:r>
    </w:p>
    <w:p w:rsidR="00E675F0" w:rsidRDefault="00E675F0" w:rsidP="00E675F0">
      <w:pPr>
        <w:pStyle w:val="BodyText"/>
        <w:spacing w:before="1"/>
        <w:rPr>
          <w:sz w:val="24"/>
        </w:rPr>
      </w:pPr>
    </w:p>
    <w:p w:rsidR="00E675F0" w:rsidRDefault="00E675F0" w:rsidP="00E675F0">
      <w:pPr>
        <w:spacing w:before="91"/>
        <w:ind w:left="107"/>
        <w:rPr>
          <w:rFonts w:ascii="TimesNewRomanPS-BoldItalicMT"/>
          <w:b/>
          <w:i/>
          <w:sz w:val="24"/>
        </w:rPr>
      </w:pPr>
      <w:r>
        <w:rPr>
          <w:rFonts w:ascii="TimesNewRomanPS-BoldItalicMT"/>
          <w:b/>
          <w:i/>
          <w:w w:val="115"/>
          <w:sz w:val="24"/>
        </w:rPr>
        <w:t>Cannabis-Induced Disorders</w:t>
      </w:r>
    </w:p>
    <w:p w:rsidR="00E675F0" w:rsidRDefault="00E675F0" w:rsidP="00E675F0">
      <w:pPr>
        <w:rPr>
          <w:rFonts w:ascii="TimesNewRomanPS-BoldItalicMT"/>
          <w:sz w:val="24"/>
        </w:rPr>
        <w:sectPr w:rsidR="00E675F0">
          <w:pgSz w:w="8960" w:h="14260"/>
          <w:pgMar w:top="1400" w:right="600" w:bottom="280" w:left="600" w:header="706" w:footer="0" w:gutter="0"/>
          <w:cols w:space="720"/>
        </w:sectPr>
      </w:pPr>
    </w:p>
    <w:p w:rsidR="00E675F0" w:rsidRDefault="00E675F0" w:rsidP="00E675F0">
      <w:pPr>
        <w:spacing w:before="145"/>
        <w:ind w:left="142"/>
        <w:rPr>
          <w:b/>
          <w:sz w:val="19"/>
        </w:rPr>
      </w:pPr>
      <w:r>
        <w:rPr>
          <w:b/>
          <w:w w:val="115"/>
          <w:sz w:val="19"/>
        </w:rPr>
        <w:t>292.89</w:t>
      </w:r>
    </w:p>
    <w:p w:rsidR="00E675F0" w:rsidRDefault="00E675F0" w:rsidP="00E675F0">
      <w:pPr>
        <w:pStyle w:val="BodyText"/>
        <w:spacing w:before="9"/>
        <w:rPr>
          <w:b/>
          <w:sz w:val="22"/>
        </w:rPr>
      </w:pPr>
    </w:p>
    <w:p w:rsidR="00E675F0" w:rsidRDefault="00E675F0" w:rsidP="00E675F0">
      <w:pPr>
        <w:spacing w:before="1"/>
        <w:ind w:left="138"/>
        <w:rPr>
          <w:b/>
          <w:sz w:val="19"/>
        </w:rPr>
      </w:pPr>
      <w:r>
        <w:rPr>
          <w:b/>
          <w:w w:val="115"/>
          <w:sz w:val="19"/>
        </w:rPr>
        <w:t>292.81</w:t>
      </w:r>
    </w:p>
    <w:p w:rsidR="00E675F0" w:rsidRDefault="00E675F0" w:rsidP="00E675F0">
      <w:pPr>
        <w:spacing w:before="26"/>
        <w:ind w:left="138"/>
        <w:rPr>
          <w:b/>
          <w:sz w:val="19"/>
        </w:rPr>
      </w:pPr>
      <w:r>
        <w:rPr>
          <w:b/>
          <w:w w:val="115"/>
          <w:sz w:val="19"/>
        </w:rPr>
        <w:t>292.11</w:t>
      </w:r>
    </w:p>
    <w:p w:rsidR="00E675F0" w:rsidRDefault="00E675F0" w:rsidP="00E675F0">
      <w:pPr>
        <w:pStyle w:val="BodyText"/>
        <w:spacing w:before="3"/>
        <w:rPr>
          <w:b/>
          <w:sz w:val="23"/>
        </w:rPr>
      </w:pPr>
    </w:p>
    <w:p w:rsidR="00E675F0" w:rsidRDefault="00E675F0" w:rsidP="00E675F0">
      <w:pPr>
        <w:ind w:left="138"/>
        <w:rPr>
          <w:b/>
          <w:sz w:val="19"/>
        </w:rPr>
      </w:pPr>
      <w:r>
        <w:rPr>
          <w:b/>
          <w:w w:val="115"/>
          <w:sz w:val="19"/>
        </w:rPr>
        <w:t>292.12</w:t>
      </w:r>
    </w:p>
    <w:p w:rsidR="00E675F0" w:rsidRDefault="00E675F0" w:rsidP="00E675F0">
      <w:pPr>
        <w:pStyle w:val="BodyText"/>
        <w:rPr>
          <w:b/>
          <w:sz w:val="24"/>
        </w:rPr>
      </w:pPr>
    </w:p>
    <w:p w:rsidR="00E675F0" w:rsidRDefault="00E675F0" w:rsidP="00E675F0">
      <w:pPr>
        <w:ind w:left="138"/>
        <w:rPr>
          <w:b/>
          <w:sz w:val="19"/>
        </w:rPr>
      </w:pPr>
      <w:r>
        <w:rPr>
          <w:b/>
          <w:w w:val="115"/>
          <w:sz w:val="19"/>
        </w:rPr>
        <w:t>292.89</w:t>
      </w:r>
    </w:p>
    <w:p w:rsidR="00E675F0" w:rsidRDefault="00E675F0" w:rsidP="00E675F0">
      <w:pPr>
        <w:pStyle w:val="BodyText"/>
        <w:rPr>
          <w:b/>
        </w:rPr>
      </w:pPr>
    </w:p>
    <w:p w:rsidR="00E675F0" w:rsidRDefault="00E675F0" w:rsidP="00E675F0">
      <w:pPr>
        <w:pStyle w:val="BodyText"/>
        <w:spacing w:before="6"/>
        <w:rPr>
          <w:b/>
          <w:sz w:val="24"/>
        </w:rPr>
      </w:pPr>
    </w:p>
    <w:p w:rsidR="00E675F0" w:rsidRDefault="00E675F0" w:rsidP="00E675F0">
      <w:pPr>
        <w:spacing w:before="1"/>
        <w:ind w:left="138"/>
        <w:rPr>
          <w:b/>
          <w:sz w:val="19"/>
        </w:rPr>
      </w:pPr>
      <w:r>
        <w:rPr>
          <w:b/>
          <w:w w:val="115"/>
          <w:sz w:val="19"/>
        </w:rPr>
        <w:t>292.9</w:t>
      </w:r>
    </w:p>
    <w:p w:rsidR="00E675F0" w:rsidRDefault="00E675F0" w:rsidP="00E675F0">
      <w:pPr>
        <w:spacing w:before="126" w:line="223" w:lineRule="exact"/>
        <w:ind w:left="142"/>
        <w:rPr>
          <w:sz w:val="20"/>
        </w:rPr>
      </w:pPr>
      <w:r>
        <w:br w:type="column"/>
      </w:r>
      <w:r>
        <w:rPr>
          <w:b/>
          <w:w w:val="110"/>
          <w:sz w:val="20"/>
        </w:rPr>
        <w:t xml:space="preserve">Cannabis Intoxication </w:t>
      </w:r>
      <w:r>
        <w:rPr>
          <w:w w:val="110"/>
          <w:sz w:val="20"/>
        </w:rPr>
        <w:t>(see p. 217)</w:t>
      </w:r>
    </w:p>
    <w:p w:rsidR="00E675F0" w:rsidRDefault="00E675F0" w:rsidP="00E675F0">
      <w:pPr>
        <w:spacing w:line="258" w:lineRule="exact"/>
        <w:ind w:left="163"/>
        <w:rPr>
          <w:sz w:val="20"/>
        </w:rPr>
      </w:pPr>
      <w:r>
        <w:rPr>
          <w:i/>
          <w:w w:val="105"/>
          <w:sz w:val="19"/>
        </w:rPr>
        <w:t xml:space="preserve">Specify </w:t>
      </w:r>
      <w:r>
        <w:rPr>
          <w:rFonts w:ascii="Arial"/>
          <w:i/>
          <w:w w:val="105"/>
          <w:sz w:val="23"/>
        </w:rPr>
        <w:t xml:space="preserve">if </w:t>
      </w:r>
      <w:r>
        <w:rPr>
          <w:w w:val="105"/>
          <w:sz w:val="20"/>
        </w:rPr>
        <w:t>With Perceptual Disturbances</w:t>
      </w:r>
    </w:p>
    <w:p w:rsidR="00E675F0" w:rsidRDefault="00E675F0" w:rsidP="00E675F0">
      <w:pPr>
        <w:spacing w:before="5"/>
        <w:ind w:left="142"/>
        <w:rPr>
          <w:sz w:val="20"/>
        </w:rPr>
      </w:pPr>
      <w:r>
        <w:rPr>
          <w:b/>
          <w:w w:val="110"/>
          <w:sz w:val="20"/>
        </w:rPr>
        <w:t xml:space="preserve">Cannabis Intoxication Delirium </w:t>
      </w:r>
      <w:r>
        <w:rPr>
          <w:w w:val="110"/>
          <w:sz w:val="20"/>
        </w:rPr>
        <w:t>(seep. 129)</w:t>
      </w:r>
    </w:p>
    <w:p w:rsidR="00E675F0" w:rsidRDefault="00E675F0" w:rsidP="00E675F0">
      <w:pPr>
        <w:spacing w:before="16" w:line="223" w:lineRule="exact"/>
        <w:ind w:left="142"/>
        <w:rPr>
          <w:sz w:val="20"/>
        </w:rPr>
      </w:pPr>
      <w:r>
        <w:rPr>
          <w:b/>
          <w:w w:val="110"/>
          <w:sz w:val="20"/>
        </w:rPr>
        <w:t xml:space="preserve">Cannabis-Induced Psychotic Disorder, With Delusions </w:t>
      </w:r>
      <w:r>
        <w:rPr>
          <w:w w:val="110"/>
          <w:sz w:val="20"/>
        </w:rPr>
        <w:t>(see p. 310)</w:t>
      </w:r>
    </w:p>
    <w:p w:rsidR="00E675F0" w:rsidRDefault="00E675F0" w:rsidP="00E675F0">
      <w:pPr>
        <w:spacing w:line="258" w:lineRule="exact"/>
        <w:ind w:left="159"/>
        <w:rPr>
          <w:sz w:val="20"/>
        </w:rPr>
      </w:pPr>
      <w:r>
        <w:rPr>
          <w:i/>
          <w:w w:val="105"/>
          <w:sz w:val="19"/>
        </w:rPr>
        <w:t xml:space="preserve">Specify </w:t>
      </w:r>
      <w:r>
        <w:rPr>
          <w:rFonts w:ascii="Arial"/>
          <w:i/>
          <w:w w:val="105"/>
          <w:sz w:val="23"/>
        </w:rPr>
        <w:t xml:space="preserve">if </w:t>
      </w:r>
      <w:r>
        <w:rPr>
          <w:w w:val="105"/>
          <w:sz w:val="20"/>
        </w:rPr>
        <w:t>With Onset During Intoxication</w:t>
      </w:r>
    </w:p>
    <w:p w:rsidR="00E675F0" w:rsidRDefault="00E675F0" w:rsidP="00E675F0">
      <w:pPr>
        <w:spacing w:before="4"/>
        <w:ind w:left="142"/>
        <w:rPr>
          <w:sz w:val="20"/>
        </w:rPr>
      </w:pPr>
      <w:r>
        <w:rPr>
          <w:b/>
          <w:w w:val="110"/>
          <w:sz w:val="20"/>
        </w:rPr>
        <w:t xml:space="preserve">Cannabis-Induced Psychotic Disorder, With Hallucinations </w:t>
      </w:r>
      <w:r>
        <w:rPr>
          <w:w w:val="110"/>
          <w:sz w:val="20"/>
        </w:rPr>
        <w:t>(see p. 310)</w:t>
      </w:r>
    </w:p>
    <w:p w:rsidR="00E675F0" w:rsidRDefault="00E675F0" w:rsidP="00E675F0">
      <w:pPr>
        <w:spacing w:before="16" w:line="242" w:lineRule="auto"/>
        <w:ind w:left="138" w:right="2256" w:firstLine="21"/>
        <w:rPr>
          <w:sz w:val="20"/>
        </w:rPr>
      </w:pPr>
      <w:r>
        <w:rPr>
          <w:i/>
          <w:w w:val="110"/>
          <w:sz w:val="19"/>
        </w:rPr>
        <w:t xml:space="preserve">Specify if: </w:t>
      </w:r>
      <w:r>
        <w:rPr>
          <w:w w:val="110"/>
          <w:sz w:val="20"/>
        </w:rPr>
        <w:t xml:space="preserve">With Onset During Intoxication </w:t>
      </w:r>
      <w:r>
        <w:rPr>
          <w:b/>
          <w:w w:val="110"/>
          <w:sz w:val="20"/>
        </w:rPr>
        <w:t xml:space="preserve">Cannabis-Induced Anxiety Disorder </w:t>
      </w:r>
      <w:r>
        <w:rPr>
          <w:w w:val="110"/>
          <w:sz w:val="20"/>
        </w:rPr>
        <w:t xml:space="preserve">(see p. 439) </w:t>
      </w:r>
      <w:r>
        <w:rPr>
          <w:i/>
          <w:w w:val="110"/>
          <w:sz w:val="19"/>
        </w:rPr>
        <w:t xml:space="preserve">Specify </w:t>
      </w:r>
      <w:r>
        <w:rPr>
          <w:rFonts w:ascii="Arial"/>
          <w:i/>
          <w:w w:val="110"/>
          <w:sz w:val="23"/>
        </w:rPr>
        <w:t xml:space="preserve">if </w:t>
      </w:r>
      <w:r>
        <w:rPr>
          <w:w w:val="110"/>
          <w:sz w:val="20"/>
        </w:rPr>
        <w:t>With Onset During Intoxication</w:t>
      </w:r>
    </w:p>
    <w:p w:rsidR="00E675F0" w:rsidRDefault="00E675F0" w:rsidP="00E675F0">
      <w:pPr>
        <w:pStyle w:val="BodyText"/>
        <w:spacing w:before="2"/>
        <w:rPr>
          <w:sz w:val="21"/>
        </w:rPr>
      </w:pPr>
    </w:p>
    <w:p w:rsidR="00E675F0" w:rsidRDefault="00E675F0" w:rsidP="00E675F0">
      <w:pPr>
        <w:ind w:left="142"/>
        <w:rPr>
          <w:sz w:val="20"/>
        </w:rPr>
      </w:pPr>
      <w:r>
        <w:rPr>
          <w:b/>
          <w:w w:val="110"/>
          <w:sz w:val="20"/>
        </w:rPr>
        <w:t xml:space="preserve">Cannabis-Related Disorder Not Otherwise Specified </w:t>
      </w:r>
      <w:r>
        <w:rPr>
          <w:w w:val="110"/>
          <w:sz w:val="20"/>
        </w:rPr>
        <w:t>(see p. 221)</w:t>
      </w:r>
    </w:p>
    <w:p w:rsidR="00E675F0" w:rsidRDefault="00E675F0" w:rsidP="00E675F0">
      <w:pPr>
        <w:pStyle w:val="BodyText"/>
        <w:rPr>
          <w:sz w:val="22"/>
        </w:rPr>
      </w:pPr>
    </w:p>
    <w:p w:rsidR="00E675F0" w:rsidRDefault="00E675F0" w:rsidP="00E675F0">
      <w:pPr>
        <w:pStyle w:val="BodyText"/>
        <w:spacing w:before="8"/>
        <w:rPr>
          <w:sz w:val="29"/>
        </w:rPr>
      </w:pPr>
    </w:p>
    <w:p w:rsidR="00E675F0" w:rsidRDefault="00E675F0" w:rsidP="00E675F0">
      <w:pPr>
        <w:ind w:left="1397"/>
        <w:rPr>
          <w:rFonts w:ascii="TimesNewRomanPS-BoldItalicMT"/>
          <w:b/>
          <w:i/>
          <w:sz w:val="28"/>
        </w:rPr>
      </w:pPr>
      <w:r>
        <w:rPr>
          <w:rFonts w:ascii="TimesNewRomanPS-BoldItalicMT"/>
          <w:b/>
          <w:i/>
          <w:w w:val="115"/>
          <w:sz w:val="28"/>
        </w:rPr>
        <w:t>Cannabis Use Disorders</w:t>
      </w:r>
    </w:p>
    <w:p w:rsidR="00E675F0" w:rsidRDefault="00E675F0" w:rsidP="00E675F0">
      <w:pPr>
        <w:tabs>
          <w:tab w:val="left" w:pos="2149"/>
        </w:tabs>
        <w:spacing w:before="137"/>
        <w:ind w:left="1074"/>
        <w:rPr>
          <w:rFonts w:ascii="Arial"/>
          <w:b/>
          <w:sz w:val="25"/>
        </w:rPr>
      </w:pPr>
      <w:r>
        <w:rPr>
          <w:rFonts w:ascii="Arial"/>
          <w:b/>
          <w:w w:val="105"/>
          <w:sz w:val="25"/>
        </w:rPr>
        <w:t>304.30</w:t>
      </w:r>
      <w:r>
        <w:rPr>
          <w:rFonts w:ascii="Arial"/>
          <w:b/>
          <w:w w:val="105"/>
          <w:sz w:val="25"/>
        </w:rPr>
        <w:tab/>
        <w:t>Cannabis</w:t>
      </w:r>
      <w:r>
        <w:rPr>
          <w:rFonts w:ascii="Arial"/>
          <w:b/>
          <w:spacing w:val="9"/>
          <w:w w:val="105"/>
          <w:sz w:val="25"/>
        </w:rPr>
        <w:t xml:space="preserve"> </w:t>
      </w:r>
      <w:r>
        <w:rPr>
          <w:rFonts w:ascii="Arial"/>
          <w:b/>
          <w:w w:val="105"/>
          <w:sz w:val="25"/>
        </w:rPr>
        <w:t>Dependence</w:t>
      </w:r>
    </w:p>
    <w:p w:rsidR="00E675F0" w:rsidRDefault="00E675F0" w:rsidP="00E675F0">
      <w:pPr>
        <w:rPr>
          <w:rFonts w:ascii="Arial"/>
          <w:sz w:val="25"/>
        </w:rPr>
        <w:sectPr w:rsidR="00E675F0">
          <w:type w:val="continuous"/>
          <w:pgSz w:w="8960" w:h="14260"/>
          <w:pgMar w:top="640" w:right="600" w:bottom="0" w:left="600" w:header="720" w:footer="720" w:gutter="0"/>
          <w:cols w:num="2" w:space="720" w:equalWidth="0">
            <w:col w:w="791" w:space="42"/>
            <w:col w:w="6927"/>
          </w:cols>
        </w:sectPr>
      </w:pPr>
    </w:p>
    <w:p w:rsidR="00E675F0" w:rsidRDefault="00E675F0" w:rsidP="00E675F0">
      <w:pPr>
        <w:pStyle w:val="BodyText"/>
        <w:spacing w:before="3"/>
        <w:rPr>
          <w:rFonts w:ascii="Arial"/>
          <w:b/>
          <w:sz w:val="14"/>
        </w:rPr>
      </w:pPr>
    </w:p>
    <w:p w:rsidR="00E675F0" w:rsidRDefault="00E675F0" w:rsidP="00E675F0">
      <w:pPr>
        <w:pStyle w:val="BodyText"/>
        <w:spacing w:before="92" w:line="252" w:lineRule="auto"/>
        <w:ind w:left="127" w:right="133" w:hanging="2"/>
        <w:jc w:val="both"/>
      </w:pPr>
      <w:r>
        <w:rPr>
          <w:w w:val="105"/>
        </w:rPr>
        <w:t>Also refer to the text and criteria for Substance Dependence (see p. 176). Individuals with Cannabis Dependence have compulsive use and do not generally develop physiological dependence, although tolerance to most of the effects of cannabis  has been reported in individuals who use cannabis chronically. There have also been some reports of withdrawal symptoms, but they have not yet been reliably shown to be clinically significant. Individuals with Cannabis Dependence may use very potent cannabis throughout the day over a period of months or years, and they may spend several hours a day acquiring and using the substance. This often interferes with family, school, work, or recreational activities. Individuals with Cannabis Dependence may also persist in their use despite knowledge of physical problems (e.g., chronic cough related to smoking) or psychological problems (e.g., excessive sedation resulting from repeated use of high</w:t>
      </w:r>
      <w:r>
        <w:rPr>
          <w:spacing w:val="-11"/>
          <w:w w:val="105"/>
        </w:rPr>
        <w:t xml:space="preserve"> </w:t>
      </w:r>
      <w:r>
        <w:rPr>
          <w:w w:val="105"/>
        </w:rPr>
        <w:t>doses).</w:t>
      </w:r>
    </w:p>
    <w:p w:rsidR="00E675F0" w:rsidRDefault="00E675F0" w:rsidP="00E675F0">
      <w:pPr>
        <w:pStyle w:val="BodyText"/>
        <w:spacing w:before="10"/>
        <w:rPr>
          <w:sz w:val="31"/>
        </w:rPr>
      </w:pPr>
    </w:p>
    <w:p w:rsidR="00E675F0" w:rsidRDefault="00E675F0" w:rsidP="00E675F0">
      <w:pPr>
        <w:ind w:left="123"/>
        <w:rPr>
          <w:rFonts w:ascii="TimesNewRomanPS-BoldItalicMT"/>
          <w:b/>
          <w:i/>
          <w:sz w:val="24"/>
        </w:rPr>
      </w:pPr>
      <w:r>
        <w:rPr>
          <w:rFonts w:ascii="TimesNewRomanPS-BoldItalicMT"/>
          <w:b/>
          <w:i/>
          <w:w w:val="115"/>
          <w:sz w:val="24"/>
        </w:rPr>
        <w:t>Specifiers</w:t>
      </w:r>
    </w:p>
    <w:p w:rsidR="00E675F0" w:rsidRDefault="00E675F0" w:rsidP="00E675F0">
      <w:pPr>
        <w:pStyle w:val="BodyText"/>
        <w:spacing w:before="132"/>
        <w:ind w:left="126"/>
      </w:pPr>
      <w:r>
        <w:rPr>
          <w:w w:val="105"/>
        </w:rPr>
        <w:t>The following specifiers may be applied to a diagnosis of Cannabb ucpendence (see</w:t>
      </w:r>
    </w:p>
    <w:p w:rsidR="00E675F0" w:rsidRDefault="00E675F0" w:rsidP="00E675F0">
      <w:pPr>
        <w:pStyle w:val="BodyText"/>
        <w:spacing w:before="15"/>
        <w:ind w:left="138"/>
      </w:pPr>
      <w:r>
        <w:rPr>
          <w:w w:val="105"/>
        </w:rPr>
        <w:t>p. 179 for more details):</w:t>
      </w:r>
    </w:p>
    <w:p w:rsidR="00E675F0" w:rsidRDefault="00E675F0" w:rsidP="00E675F0">
      <w:pPr>
        <w:spacing w:before="73" w:line="252" w:lineRule="auto"/>
        <w:ind w:left="727" w:right="3308" w:firstLine="4"/>
        <w:rPr>
          <w:b/>
          <w:sz w:val="20"/>
        </w:rPr>
      </w:pPr>
      <w:r>
        <w:rPr>
          <w:b/>
          <w:w w:val="110"/>
          <w:sz w:val="20"/>
        </w:rPr>
        <w:t>With Physiological Dependence Without Physiological Dependence</w:t>
      </w:r>
    </w:p>
    <w:p w:rsidR="00E675F0" w:rsidRDefault="00E675F0" w:rsidP="00E675F0">
      <w:pPr>
        <w:spacing w:before="65" w:line="254" w:lineRule="auto"/>
        <w:ind w:left="719" w:right="4649" w:firstLine="11"/>
        <w:rPr>
          <w:b/>
          <w:sz w:val="20"/>
        </w:rPr>
      </w:pPr>
      <w:r>
        <w:rPr>
          <w:b/>
          <w:w w:val="110"/>
          <w:sz w:val="20"/>
        </w:rPr>
        <w:t>Early Full Remission Early Partial Remission Sustained Full Remission</w:t>
      </w:r>
    </w:p>
    <w:p w:rsidR="00E675F0" w:rsidRDefault="00E675F0" w:rsidP="00E675F0">
      <w:pPr>
        <w:spacing w:line="256" w:lineRule="auto"/>
        <w:ind w:left="725" w:right="4270" w:hanging="2"/>
        <w:rPr>
          <w:b/>
          <w:sz w:val="20"/>
        </w:rPr>
      </w:pPr>
      <w:r>
        <w:rPr>
          <w:b/>
          <w:w w:val="110"/>
          <w:sz w:val="20"/>
        </w:rPr>
        <w:t>Sustained Partial Remission In a Controlled Environment</w:t>
      </w:r>
    </w:p>
    <w:p w:rsidR="00E675F0" w:rsidRDefault="00E675F0" w:rsidP="00E675F0">
      <w:pPr>
        <w:spacing w:line="256" w:lineRule="auto"/>
        <w:rPr>
          <w:sz w:val="20"/>
        </w:rPr>
        <w:sectPr w:rsidR="00E675F0">
          <w:type w:val="continuous"/>
          <w:pgSz w:w="8960" w:h="14260"/>
          <w:pgMar w:top="640" w:right="600" w:bottom="0" w:left="600" w:header="720" w:footer="720" w:gutter="0"/>
          <w:cols w:space="720"/>
        </w:sectPr>
      </w:pPr>
    </w:p>
    <w:p w:rsidR="00E675F0" w:rsidRDefault="00E675F0" w:rsidP="00E675F0">
      <w:pPr>
        <w:tabs>
          <w:tab w:val="left" w:pos="3373"/>
        </w:tabs>
        <w:spacing w:before="119"/>
        <w:ind w:left="2307"/>
        <w:rPr>
          <w:rFonts w:ascii="Arial"/>
          <w:b/>
          <w:sz w:val="26"/>
        </w:rPr>
      </w:pPr>
      <w:bookmarkStart w:id="139" w:name="_bookmark120"/>
      <w:bookmarkEnd w:id="139"/>
      <w:r>
        <w:rPr>
          <w:rFonts w:ascii="Arial"/>
          <w:b/>
          <w:sz w:val="26"/>
        </w:rPr>
        <w:lastRenderedPageBreak/>
        <w:t>305.20</w:t>
      </w:r>
      <w:r>
        <w:rPr>
          <w:rFonts w:ascii="Arial"/>
          <w:b/>
          <w:sz w:val="26"/>
        </w:rPr>
        <w:tab/>
        <w:t>Cannabis</w:t>
      </w:r>
      <w:r>
        <w:rPr>
          <w:rFonts w:ascii="Arial"/>
          <w:b/>
          <w:spacing w:val="8"/>
          <w:sz w:val="26"/>
        </w:rPr>
        <w:t xml:space="preserve"> </w:t>
      </w:r>
      <w:r>
        <w:rPr>
          <w:rFonts w:ascii="Arial"/>
          <w:b/>
          <w:sz w:val="26"/>
        </w:rPr>
        <w:t>Abuse</w:t>
      </w:r>
    </w:p>
    <w:p w:rsidR="00E675F0" w:rsidRDefault="00E675F0" w:rsidP="00E675F0">
      <w:pPr>
        <w:pStyle w:val="BodyText"/>
        <w:spacing w:before="249" w:line="254" w:lineRule="auto"/>
        <w:ind w:left="114" w:right="111" w:hanging="2"/>
        <w:jc w:val="both"/>
      </w:pPr>
      <w:r>
        <w:rPr>
          <w:w w:val="105"/>
        </w:rPr>
        <w:t xml:space="preserve">Also refer to the text and criteria for Substance Abuse (see p. </w:t>
      </w:r>
      <w:r>
        <w:rPr>
          <w:w w:val="105"/>
          <w:sz w:val="19"/>
        </w:rPr>
        <w:t xml:space="preserve">182). </w:t>
      </w:r>
      <w:r>
        <w:rPr>
          <w:w w:val="105"/>
        </w:rPr>
        <w:t>Periodic cannabis  use and intoxication can interfere with performance at work or school and may be physically hazardous in situations such as driving a car. Legal problems may occur as a consequence of arrests for cannabis possession. There may be arguments with spouses or parents over the possession of cannabis in the home or its use in the presence of children. When there are significant levels of tolerance, or when psychological or physical problems are associated with cannabis in the context of compulsive use, a diagnosis of Cannabis Dependence, rather than Cannabis Abuse, shouid be</w:t>
      </w:r>
      <w:r>
        <w:rPr>
          <w:spacing w:val="38"/>
          <w:w w:val="105"/>
        </w:rPr>
        <w:t xml:space="preserve"> </w:t>
      </w:r>
      <w:r>
        <w:rPr>
          <w:w w:val="105"/>
        </w:rPr>
        <w:t>considered.</w:t>
      </w:r>
    </w:p>
    <w:p w:rsidR="00E675F0" w:rsidRDefault="00E675F0" w:rsidP="00E675F0">
      <w:pPr>
        <w:pStyle w:val="BodyText"/>
        <w:rPr>
          <w:sz w:val="22"/>
        </w:rPr>
      </w:pPr>
    </w:p>
    <w:p w:rsidR="00E675F0" w:rsidRDefault="00E675F0" w:rsidP="00E675F0">
      <w:pPr>
        <w:pStyle w:val="BodyText"/>
        <w:rPr>
          <w:sz w:val="28"/>
        </w:rPr>
      </w:pPr>
    </w:p>
    <w:p w:rsidR="00E675F0" w:rsidRDefault="00E675F0" w:rsidP="00E675F0">
      <w:pPr>
        <w:ind w:left="1899"/>
        <w:rPr>
          <w:rFonts w:ascii="TimesNewRomanPS-BoldItalicMT"/>
          <w:b/>
          <w:i/>
          <w:sz w:val="28"/>
        </w:rPr>
      </w:pPr>
      <w:r>
        <w:rPr>
          <w:rFonts w:ascii="TimesNewRomanPS-BoldItalicMT"/>
          <w:b/>
          <w:i/>
          <w:w w:val="115"/>
          <w:sz w:val="28"/>
        </w:rPr>
        <w:t>Cannabis-Induced</w:t>
      </w:r>
      <w:r>
        <w:rPr>
          <w:rFonts w:ascii="TimesNewRomanPS-BoldItalicMT"/>
          <w:b/>
          <w:i/>
          <w:spacing w:val="-28"/>
          <w:w w:val="115"/>
          <w:sz w:val="28"/>
        </w:rPr>
        <w:t xml:space="preserve"> </w:t>
      </w:r>
      <w:r>
        <w:rPr>
          <w:rFonts w:ascii="TimesNewRomanPS-BoldItalicMT"/>
          <w:b/>
          <w:i/>
          <w:w w:val="115"/>
          <w:sz w:val="28"/>
        </w:rPr>
        <w:t>Disorders</w:t>
      </w:r>
    </w:p>
    <w:p w:rsidR="00E675F0" w:rsidRDefault="00E675F0" w:rsidP="00E675F0">
      <w:pPr>
        <w:tabs>
          <w:tab w:val="left" w:pos="3026"/>
        </w:tabs>
        <w:spacing w:before="143"/>
        <w:ind w:left="1954"/>
        <w:rPr>
          <w:rFonts w:ascii="Arial"/>
          <w:b/>
          <w:sz w:val="26"/>
        </w:rPr>
      </w:pPr>
      <w:r>
        <w:rPr>
          <w:rFonts w:ascii="Arial"/>
          <w:b/>
          <w:sz w:val="26"/>
        </w:rPr>
        <w:t>292.89</w:t>
      </w:r>
      <w:r>
        <w:rPr>
          <w:rFonts w:ascii="Arial"/>
          <w:b/>
          <w:sz w:val="26"/>
        </w:rPr>
        <w:tab/>
        <w:t>Cannabis</w:t>
      </w:r>
      <w:r>
        <w:rPr>
          <w:rFonts w:ascii="Arial"/>
          <w:b/>
          <w:spacing w:val="-9"/>
          <w:sz w:val="26"/>
        </w:rPr>
        <w:t xml:space="preserve"> </w:t>
      </w:r>
      <w:r>
        <w:rPr>
          <w:rFonts w:ascii="Arial"/>
          <w:b/>
          <w:sz w:val="26"/>
        </w:rPr>
        <w:t>Intoxication</w:t>
      </w:r>
    </w:p>
    <w:p w:rsidR="00E675F0" w:rsidRDefault="00E675F0" w:rsidP="00E675F0">
      <w:pPr>
        <w:pStyle w:val="BodyText"/>
        <w:rPr>
          <w:rFonts w:ascii="Arial"/>
          <w:b/>
          <w:sz w:val="22"/>
        </w:rPr>
      </w:pPr>
    </w:p>
    <w:p w:rsidR="00E675F0" w:rsidRDefault="00E675F0" w:rsidP="00E675F0">
      <w:pPr>
        <w:pStyle w:val="BodyText"/>
        <w:spacing w:line="254" w:lineRule="auto"/>
        <w:ind w:left="111" w:right="112" w:firstLine="1"/>
        <w:jc w:val="both"/>
      </w:pPr>
      <w:r>
        <w:rPr>
          <w:w w:val="105"/>
        </w:rPr>
        <w:t xml:space="preserve">Also refer to the text and criteria for Substance Intoxication (see p. </w:t>
      </w:r>
      <w:r>
        <w:rPr>
          <w:w w:val="105"/>
          <w:sz w:val="19"/>
        </w:rPr>
        <w:t xml:space="preserve">183). </w:t>
      </w:r>
      <w:r>
        <w:rPr>
          <w:w w:val="105"/>
        </w:rPr>
        <w:t>The essential feature of Cannabis Intoxication is the presence of clinically significant maladaptive behavioral or psychological changes that develop during, or shortly after, cannabis use (Criteria A and B). Intoxication typically begins with a "high" feeling followed by symptoms that include euphoria with inappropriate laughter and grandiosity, sedation, lethargy, impairment in short-term memory, difficulty carrying out complex mental processes, impaired judgment, distorted sensory perceptions, impaired motor perfor­ mance, and the sensation that time is passing slowly. Occasionally, anxiety (which can be severe), dysphoria, or social withdrawal occurs. These psychoactive effects are accompanied by two or more of the following signs, developing within 2 hours of cannabis use: conjunctiva! injection, increased appetite, dry mouth, and tachycardia (Criterion C). The symptoms must not be due to a general  medical condition  and are not better accounted for by another mental disorder (Criterion</w:t>
      </w:r>
      <w:r>
        <w:rPr>
          <w:spacing w:val="19"/>
          <w:w w:val="105"/>
        </w:rPr>
        <w:t xml:space="preserve"> </w:t>
      </w:r>
      <w:r>
        <w:rPr>
          <w:w w:val="105"/>
        </w:rPr>
        <w:t>D).</w:t>
      </w:r>
    </w:p>
    <w:p w:rsidR="00E675F0" w:rsidRDefault="00E675F0" w:rsidP="00E675F0">
      <w:pPr>
        <w:pStyle w:val="BodyText"/>
        <w:spacing w:line="249" w:lineRule="auto"/>
        <w:ind w:left="118" w:right="107" w:firstLine="365"/>
        <w:jc w:val="both"/>
      </w:pPr>
      <w:r>
        <w:rPr>
          <w:w w:val="105"/>
        </w:rPr>
        <w:t xml:space="preserve">Intoxication develops within minutes if the cannabis is smoked, but may take a few hours to develop if ingested orally. The effects usually last </w:t>
      </w:r>
      <w:r>
        <w:rPr>
          <w:w w:val="105"/>
          <w:sz w:val="19"/>
        </w:rPr>
        <w:t xml:space="preserve">3-4 </w:t>
      </w:r>
      <w:r>
        <w:rPr>
          <w:w w:val="105"/>
        </w:rPr>
        <w:t>hours, the duration being somewhat longer when the substance is ingested orally. The magnitude of the behavioral and physiological changes depends on the dose, the method of administration, and the individual characteristics of the person using the substance, such as rate of absorption, tolerance, and sensitivity to the effects of the substance. Because most cannabinoids, including</w:t>
      </w:r>
      <w:r>
        <w:rPr>
          <w:spacing w:val="-18"/>
          <w:w w:val="105"/>
        </w:rPr>
        <w:t xml:space="preserve"> </w:t>
      </w:r>
      <w:r>
        <w:rPr>
          <w:w w:val="105"/>
        </w:rPr>
        <w:t>delta-9-THC,</w:t>
      </w:r>
      <w:r>
        <w:rPr>
          <w:spacing w:val="-10"/>
          <w:w w:val="105"/>
        </w:rPr>
        <w:t xml:space="preserve"> </w:t>
      </w:r>
      <w:r>
        <w:rPr>
          <w:w w:val="105"/>
        </w:rPr>
        <w:t>are</w:t>
      </w:r>
      <w:r>
        <w:rPr>
          <w:spacing w:val="-21"/>
          <w:w w:val="105"/>
        </w:rPr>
        <w:t xml:space="preserve"> </w:t>
      </w:r>
      <w:r>
        <w:rPr>
          <w:w w:val="105"/>
        </w:rPr>
        <w:t>fat</w:t>
      </w:r>
      <w:r>
        <w:rPr>
          <w:spacing w:val="-20"/>
          <w:w w:val="105"/>
        </w:rPr>
        <w:t xml:space="preserve"> </w:t>
      </w:r>
      <w:r>
        <w:rPr>
          <w:w w:val="105"/>
        </w:rPr>
        <w:t>soluble,</w:t>
      </w:r>
      <w:r>
        <w:rPr>
          <w:spacing w:val="-8"/>
          <w:w w:val="105"/>
        </w:rPr>
        <w:t xml:space="preserve"> </w:t>
      </w:r>
      <w:r>
        <w:rPr>
          <w:w w:val="105"/>
        </w:rPr>
        <w:t>the</w:t>
      </w:r>
      <w:r>
        <w:rPr>
          <w:spacing w:val="-20"/>
          <w:w w:val="105"/>
        </w:rPr>
        <w:t xml:space="preserve"> </w:t>
      </w:r>
      <w:r>
        <w:rPr>
          <w:w w:val="105"/>
        </w:rPr>
        <w:t>effects</w:t>
      </w:r>
      <w:r>
        <w:rPr>
          <w:spacing w:val="-21"/>
          <w:w w:val="105"/>
        </w:rPr>
        <w:t xml:space="preserve"> </w:t>
      </w:r>
      <w:r>
        <w:rPr>
          <w:w w:val="105"/>
        </w:rPr>
        <w:t>of</w:t>
      </w:r>
      <w:r>
        <w:rPr>
          <w:spacing w:val="-18"/>
          <w:w w:val="105"/>
        </w:rPr>
        <w:t xml:space="preserve"> </w:t>
      </w:r>
      <w:r>
        <w:rPr>
          <w:w w:val="105"/>
        </w:rPr>
        <w:t>cannabis</w:t>
      </w:r>
      <w:r>
        <w:rPr>
          <w:spacing w:val="-16"/>
          <w:w w:val="105"/>
        </w:rPr>
        <w:t xml:space="preserve"> </w:t>
      </w:r>
      <w:r>
        <w:rPr>
          <w:w w:val="105"/>
        </w:rPr>
        <w:t>or</w:t>
      </w:r>
      <w:r>
        <w:rPr>
          <w:spacing w:val="-17"/>
          <w:w w:val="105"/>
        </w:rPr>
        <w:t xml:space="preserve"> </w:t>
      </w:r>
      <w:r>
        <w:rPr>
          <w:w w:val="105"/>
        </w:rPr>
        <w:t>hashish</w:t>
      </w:r>
      <w:r>
        <w:rPr>
          <w:spacing w:val="-5"/>
          <w:w w:val="105"/>
        </w:rPr>
        <w:t xml:space="preserve"> </w:t>
      </w:r>
      <w:r>
        <w:rPr>
          <w:w w:val="105"/>
        </w:rPr>
        <w:t>may</w:t>
      </w:r>
      <w:r>
        <w:rPr>
          <w:spacing w:val="-22"/>
          <w:w w:val="105"/>
        </w:rPr>
        <w:t xml:space="preserve"> </w:t>
      </w:r>
      <w:r>
        <w:rPr>
          <w:w w:val="105"/>
        </w:rPr>
        <w:t xml:space="preserve">occasionally persist or reoccur for </w:t>
      </w:r>
      <w:r>
        <w:rPr>
          <w:w w:val="105"/>
          <w:sz w:val="19"/>
        </w:rPr>
        <w:t xml:space="preserve">12-24 </w:t>
      </w:r>
      <w:r>
        <w:rPr>
          <w:w w:val="105"/>
        </w:rPr>
        <w:t>hours due to a slow release of psychoactive substances from fatty tissue or to enterohepatic</w:t>
      </w:r>
      <w:r>
        <w:rPr>
          <w:spacing w:val="11"/>
          <w:w w:val="105"/>
        </w:rPr>
        <w:t xml:space="preserve"> </w:t>
      </w:r>
      <w:r>
        <w:rPr>
          <w:w w:val="105"/>
        </w:rPr>
        <w:t>circulation.</w:t>
      </w:r>
    </w:p>
    <w:p w:rsidR="00E675F0" w:rsidRDefault="00E675F0" w:rsidP="00E675F0">
      <w:pPr>
        <w:pStyle w:val="BodyText"/>
        <w:rPr>
          <w:sz w:val="26"/>
        </w:rPr>
      </w:pPr>
    </w:p>
    <w:p w:rsidR="00E675F0" w:rsidRDefault="00E675F0" w:rsidP="00E675F0">
      <w:pPr>
        <w:ind w:left="114"/>
        <w:rPr>
          <w:rFonts w:ascii="TimesNewRomanPS-BoldItalicMT"/>
          <w:b/>
          <w:i/>
          <w:sz w:val="25"/>
        </w:rPr>
      </w:pPr>
      <w:r>
        <w:rPr>
          <w:rFonts w:ascii="TimesNewRomanPS-BoldItalicMT"/>
          <w:b/>
          <w:i/>
          <w:w w:val="110"/>
          <w:sz w:val="25"/>
        </w:rPr>
        <w:t>Specifier</w:t>
      </w:r>
    </w:p>
    <w:p w:rsidR="00E675F0" w:rsidRDefault="00E675F0" w:rsidP="00E675F0">
      <w:pPr>
        <w:pStyle w:val="BodyText"/>
        <w:spacing w:before="129"/>
        <w:ind w:left="117"/>
        <w:jc w:val="both"/>
      </w:pPr>
      <w:r>
        <w:rPr>
          <w:w w:val="105"/>
        </w:rPr>
        <w:t>The following specifier may be applied to a diagnosis of Cannabis Intoxication:</w:t>
      </w:r>
    </w:p>
    <w:p w:rsidR="00E675F0" w:rsidRDefault="00E675F0" w:rsidP="00E675F0">
      <w:pPr>
        <w:pStyle w:val="BodyText"/>
        <w:spacing w:before="73" w:line="254" w:lineRule="auto"/>
        <w:ind w:left="727" w:right="107" w:hanging="4"/>
        <w:jc w:val="both"/>
      </w:pPr>
      <w:r>
        <w:rPr>
          <w:b/>
          <w:w w:val="105"/>
          <w:sz w:val="19"/>
        </w:rPr>
        <w:t xml:space="preserve">With Perceptual Disturbances. </w:t>
      </w:r>
      <w:r>
        <w:rPr>
          <w:w w:val="105"/>
        </w:rPr>
        <w:t>This specifier may be noted when</w:t>
      </w:r>
      <w:r>
        <w:rPr>
          <w:spacing w:val="52"/>
          <w:w w:val="105"/>
        </w:rPr>
        <w:t xml:space="preserve"> </w:t>
      </w:r>
      <w:r>
        <w:rPr>
          <w:w w:val="105"/>
        </w:rPr>
        <w:t xml:space="preserve">hallucina­ tions with intact reality testing or auditory, visual, or tactile illusions occur in the absence of a delirium. </w:t>
      </w:r>
      <w:r>
        <w:rPr>
          <w:i/>
          <w:w w:val="105"/>
        </w:rPr>
        <w:t xml:space="preserve">Intact reality testing </w:t>
      </w:r>
      <w:r>
        <w:rPr>
          <w:w w:val="105"/>
        </w:rPr>
        <w:t>means that the person knows that the hallucinations are induced by the substance and do not represent external reality. When hallucinations occur in the absence of intact reality testing, a diagnosis of Substance-Induced</w:t>
      </w:r>
      <w:r>
        <w:rPr>
          <w:spacing w:val="-25"/>
          <w:w w:val="105"/>
        </w:rPr>
        <w:t xml:space="preserve"> </w:t>
      </w:r>
      <w:r>
        <w:rPr>
          <w:w w:val="105"/>
        </w:rPr>
        <w:t>Psychotic</w:t>
      </w:r>
      <w:r>
        <w:rPr>
          <w:spacing w:val="-21"/>
          <w:w w:val="105"/>
        </w:rPr>
        <w:t xml:space="preserve"> </w:t>
      </w:r>
      <w:r>
        <w:rPr>
          <w:w w:val="105"/>
        </w:rPr>
        <w:t>Disorder,</w:t>
      </w:r>
      <w:r>
        <w:rPr>
          <w:spacing w:val="-25"/>
          <w:w w:val="105"/>
        </w:rPr>
        <w:t xml:space="preserve"> </w:t>
      </w:r>
      <w:r>
        <w:rPr>
          <w:w w:val="105"/>
        </w:rPr>
        <w:t>With</w:t>
      </w:r>
      <w:r>
        <w:rPr>
          <w:spacing w:val="-25"/>
          <w:w w:val="105"/>
        </w:rPr>
        <w:t xml:space="preserve"> </w:t>
      </w:r>
      <w:r>
        <w:rPr>
          <w:w w:val="105"/>
        </w:rPr>
        <w:t>Hallucinations,</w:t>
      </w:r>
      <w:r>
        <w:rPr>
          <w:spacing w:val="-27"/>
          <w:w w:val="105"/>
        </w:rPr>
        <w:t xml:space="preserve"> </w:t>
      </w:r>
      <w:r>
        <w:rPr>
          <w:w w:val="105"/>
        </w:rPr>
        <w:t>should</w:t>
      </w:r>
      <w:r>
        <w:rPr>
          <w:spacing w:val="-22"/>
          <w:w w:val="105"/>
        </w:rPr>
        <w:t xml:space="preserve"> </w:t>
      </w:r>
      <w:r>
        <w:rPr>
          <w:w w:val="105"/>
        </w:rPr>
        <w:t>be</w:t>
      </w:r>
      <w:r>
        <w:rPr>
          <w:spacing w:val="-26"/>
          <w:w w:val="105"/>
        </w:rPr>
        <w:t xml:space="preserve"> </w:t>
      </w:r>
      <w:r>
        <w:rPr>
          <w:w w:val="105"/>
        </w:rPr>
        <w:t>considered.</w:t>
      </w:r>
    </w:p>
    <w:p w:rsidR="00E675F0" w:rsidRDefault="00E675F0" w:rsidP="00E675F0">
      <w:pPr>
        <w:spacing w:line="254" w:lineRule="auto"/>
        <w:jc w:val="both"/>
        <w:sectPr w:rsidR="00E675F0">
          <w:pgSz w:w="8960" w:h="14260"/>
          <w:pgMar w:top="1400" w:right="640" w:bottom="280" w:left="620" w:header="687" w:footer="0" w:gutter="0"/>
          <w:cols w:space="720"/>
        </w:sectPr>
      </w:pPr>
    </w:p>
    <w:p w:rsidR="00E675F0" w:rsidRDefault="00E675F0" w:rsidP="00E675F0">
      <w:pPr>
        <w:pStyle w:val="BodyText"/>
        <w:spacing w:before="1"/>
        <w:rPr>
          <w:sz w:val="9"/>
        </w:rPr>
      </w:pPr>
    </w:p>
    <w:tbl>
      <w:tblPr>
        <w:tblW w:w="0" w:type="auto"/>
        <w:tblInd w:w="224"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7322"/>
      </w:tblGrid>
      <w:tr w:rsidR="00E675F0" w:rsidTr="00A330E1">
        <w:trPr>
          <w:trHeight w:val="5273"/>
        </w:trPr>
        <w:tc>
          <w:tcPr>
            <w:tcW w:w="7322" w:type="dxa"/>
            <w:tcBorders>
              <w:bottom w:val="single" w:sz="18" w:space="0" w:color="000000"/>
            </w:tcBorders>
          </w:tcPr>
          <w:p w:rsidR="00E675F0" w:rsidRDefault="00E675F0" w:rsidP="003048D3">
            <w:pPr>
              <w:pStyle w:val="TableParagraph"/>
              <w:numPr>
                <w:ilvl w:val="0"/>
                <w:numId w:val="31"/>
              </w:numPr>
              <w:tabs>
                <w:tab w:val="left" w:pos="643"/>
              </w:tabs>
              <w:spacing w:line="540" w:lineRule="exact"/>
              <w:ind w:hanging="389"/>
              <w:rPr>
                <w:b/>
                <w:sz w:val="26"/>
              </w:rPr>
            </w:pPr>
            <w:bookmarkStart w:id="140" w:name="_bookmark121"/>
            <w:bookmarkEnd w:id="140"/>
            <w:r>
              <w:rPr>
                <w:b/>
                <w:sz w:val="26"/>
              </w:rPr>
              <w:t>Diagnostic criteria for 292.89 Cannabis</w:t>
            </w:r>
            <w:r>
              <w:rPr>
                <w:b/>
                <w:spacing w:val="12"/>
                <w:sz w:val="26"/>
              </w:rPr>
              <w:t xml:space="preserve"> </w:t>
            </w:r>
            <w:r>
              <w:rPr>
                <w:b/>
                <w:sz w:val="26"/>
              </w:rPr>
              <w:t>Intoxication</w:t>
            </w:r>
          </w:p>
          <w:p w:rsidR="00E675F0" w:rsidRDefault="00E675F0" w:rsidP="003048D3">
            <w:pPr>
              <w:pStyle w:val="TableParagraph"/>
              <w:numPr>
                <w:ilvl w:val="1"/>
                <w:numId w:val="31"/>
              </w:numPr>
              <w:tabs>
                <w:tab w:val="left" w:pos="960"/>
              </w:tabs>
              <w:spacing w:before="118"/>
              <w:rPr>
                <w:sz w:val="20"/>
              </w:rPr>
            </w:pPr>
            <w:r>
              <w:rPr>
                <w:w w:val="105"/>
                <w:sz w:val="20"/>
              </w:rPr>
              <w:t>Recent use of</w:t>
            </w:r>
            <w:r>
              <w:rPr>
                <w:spacing w:val="-8"/>
                <w:w w:val="105"/>
                <w:sz w:val="20"/>
              </w:rPr>
              <w:t xml:space="preserve"> </w:t>
            </w:r>
            <w:r>
              <w:rPr>
                <w:w w:val="105"/>
                <w:sz w:val="20"/>
              </w:rPr>
              <w:t>cannabis.</w:t>
            </w:r>
          </w:p>
          <w:p w:rsidR="00E675F0" w:rsidRDefault="00E675F0" w:rsidP="003048D3">
            <w:pPr>
              <w:pStyle w:val="TableParagraph"/>
              <w:numPr>
                <w:ilvl w:val="1"/>
                <w:numId w:val="31"/>
              </w:numPr>
              <w:tabs>
                <w:tab w:val="left" w:pos="961"/>
              </w:tabs>
              <w:spacing w:before="193" w:line="252" w:lineRule="auto"/>
              <w:ind w:left="958" w:right="226" w:hanging="302"/>
              <w:jc w:val="both"/>
              <w:rPr>
                <w:sz w:val="20"/>
              </w:rPr>
            </w:pPr>
            <w:r>
              <w:rPr>
                <w:w w:val="105"/>
                <w:sz w:val="20"/>
              </w:rPr>
              <w:t>Clinically significant maladaptive behavioral or psychological changes (e.g., impaired motor coordination, euphoria, anxiety, sensation of slowed time, impaired judgment, social withdrawal) that developed during, or shortly after, cannabis</w:t>
            </w:r>
            <w:r>
              <w:rPr>
                <w:spacing w:val="6"/>
                <w:w w:val="105"/>
                <w:sz w:val="20"/>
              </w:rPr>
              <w:t xml:space="preserve"> </w:t>
            </w:r>
            <w:r>
              <w:rPr>
                <w:w w:val="105"/>
                <w:sz w:val="20"/>
              </w:rPr>
              <w:t>use.</w:t>
            </w:r>
          </w:p>
          <w:p w:rsidR="00E675F0" w:rsidRDefault="00E675F0" w:rsidP="003048D3">
            <w:pPr>
              <w:pStyle w:val="TableParagraph"/>
              <w:numPr>
                <w:ilvl w:val="1"/>
                <w:numId w:val="31"/>
              </w:numPr>
              <w:tabs>
                <w:tab w:val="left" w:pos="953"/>
              </w:tabs>
              <w:spacing w:before="192" w:line="256" w:lineRule="auto"/>
              <w:ind w:left="961" w:right="229" w:hanging="304"/>
              <w:rPr>
                <w:sz w:val="20"/>
              </w:rPr>
            </w:pPr>
            <w:r>
              <w:rPr>
                <w:w w:val="105"/>
                <w:sz w:val="20"/>
              </w:rPr>
              <w:t>Two (or more) of the following signs, developing within 2 hours of cannabis</w:t>
            </w:r>
            <w:r>
              <w:rPr>
                <w:spacing w:val="12"/>
                <w:w w:val="105"/>
                <w:sz w:val="20"/>
              </w:rPr>
              <w:t xml:space="preserve"> </w:t>
            </w:r>
            <w:r>
              <w:rPr>
                <w:w w:val="105"/>
                <w:sz w:val="20"/>
              </w:rPr>
              <w:t>use:</w:t>
            </w:r>
          </w:p>
          <w:p w:rsidR="00E675F0" w:rsidRDefault="00E675F0" w:rsidP="003048D3">
            <w:pPr>
              <w:pStyle w:val="TableParagraph"/>
              <w:numPr>
                <w:ilvl w:val="2"/>
                <w:numId w:val="31"/>
              </w:numPr>
              <w:tabs>
                <w:tab w:val="left" w:pos="1380"/>
              </w:tabs>
              <w:spacing w:before="51"/>
              <w:rPr>
                <w:sz w:val="20"/>
              </w:rPr>
            </w:pPr>
            <w:r>
              <w:rPr>
                <w:w w:val="105"/>
                <w:sz w:val="20"/>
              </w:rPr>
              <w:t>conjunctival</w:t>
            </w:r>
            <w:r>
              <w:rPr>
                <w:spacing w:val="15"/>
                <w:w w:val="105"/>
                <w:sz w:val="20"/>
              </w:rPr>
              <w:t xml:space="preserve"> </w:t>
            </w:r>
            <w:r>
              <w:rPr>
                <w:w w:val="105"/>
                <w:sz w:val="20"/>
              </w:rPr>
              <w:t>injection</w:t>
            </w:r>
          </w:p>
          <w:p w:rsidR="00E675F0" w:rsidRDefault="00E675F0" w:rsidP="003048D3">
            <w:pPr>
              <w:pStyle w:val="TableParagraph"/>
              <w:numPr>
                <w:ilvl w:val="2"/>
                <w:numId w:val="31"/>
              </w:numPr>
              <w:tabs>
                <w:tab w:val="left" w:pos="1386"/>
              </w:tabs>
              <w:spacing w:before="15"/>
              <w:ind w:left="1385" w:hanging="427"/>
              <w:rPr>
                <w:sz w:val="20"/>
              </w:rPr>
            </w:pPr>
            <w:r>
              <w:rPr>
                <w:w w:val="105"/>
                <w:sz w:val="20"/>
              </w:rPr>
              <w:t>increased</w:t>
            </w:r>
            <w:r>
              <w:rPr>
                <w:spacing w:val="15"/>
                <w:w w:val="105"/>
                <w:sz w:val="20"/>
              </w:rPr>
              <w:t xml:space="preserve"> </w:t>
            </w:r>
            <w:r>
              <w:rPr>
                <w:w w:val="105"/>
                <w:sz w:val="20"/>
              </w:rPr>
              <w:t>appetite</w:t>
            </w:r>
          </w:p>
          <w:p w:rsidR="00E675F0" w:rsidRDefault="00E675F0" w:rsidP="003048D3">
            <w:pPr>
              <w:pStyle w:val="TableParagraph"/>
              <w:numPr>
                <w:ilvl w:val="2"/>
                <w:numId w:val="31"/>
              </w:numPr>
              <w:tabs>
                <w:tab w:val="left" w:pos="1385"/>
              </w:tabs>
              <w:spacing w:before="16"/>
              <w:ind w:left="1384" w:hanging="426"/>
              <w:rPr>
                <w:sz w:val="20"/>
              </w:rPr>
            </w:pPr>
            <w:r>
              <w:rPr>
                <w:w w:val="105"/>
                <w:sz w:val="20"/>
              </w:rPr>
              <w:t>dry</w:t>
            </w:r>
            <w:r>
              <w:rPr>
                <w:spacing w:val="10"/>
                <w:w w:val="105"/>
                <w:sz w:val="20"/>
              </w:rPr>
              <w:t xml:space="preserve"> </w:t>
            </w:r>
            <w:r>
              <w:rPr>
                <w:w w:val="105"/>
                <w:sz w:val="20"/>
              </w:rPr>
              <w:t>mouth</w:t>
            </w:r>
          </w:p>
          <w:p w:rsidR="00E675F0" w:rsidRDefault="00E675F0" w:rsidP="003048D3">
            <w:pPr>
              <w:pStyle w:val="TableParagraph"/>
              <w:numPr>
                <w:ilvl w:val="2"/>
                <w:numId w:val="31"/>
              </w:numPr>
              <w:tabs>
                <w:tab w:val="left" w:pos="1390"/>
              </w:tabs>
              <w:spacing w:before="15"/>
              <w:ind w:left="1389" w:hanging="431"/>
              <w:rPr>
                <w:sz w:val="20"/>
              </w:rPr>
            </w:pPr>
            <w:r>
              <w:rPr>
                <w:w w:val="105"/>
                <w:sz w:val="20"/>
              </w:rPr>
              <w:t>tachycardia</w:t>
            </w:r>
          </w:p>
          <w:p w:rsidR="00E675F0" w:rsidRDefault="00E675F0" w:rsidP="003048D3">
            <w:pPr>
              <w:pStyle w:val="TableParagraph"/>
              <w:numPr>
                <w:ilvl w:val="1"/>
                <w:numId w:val="31"/>
              </w:numPr>
              <w:tabs>
                <w:tab w:val="left" w:pos="953"/>
              </w:tabs>
              <w:spacing w:before="198" w:line="256" w:lineRule="auto"/>
              <w:ind w:left="963" w:right="222" w:hanging="308"/>
              <w:rPr>
                <w:sz w:val="20"/>
              </w:rPr>
            </w:pPr>
            <w:r>
              <w:rPr>
                <w:w w:val="105"/>
                <w:sz w:val="20"/>
              </w:rPr>
              <w:t>The symptoms are not due to a general medical condition and are not better accounted for by another mental</w:t>
            </w:r>
            <w:r>
              <w:rPr>
                <w:spacing w:val="26"/>
                <w:w w:val="105"/>
                <w:sz w:val="20"/>
              </w:rPr>
              <w:t xml:space="preserve"> </w:t>
            </w:r>
            <w:r>
              <w:rPr>
                <w:w w:val="105"/>
                <w:sz w:val="20"/>
              </w:rPr>
              <w:t>disorder.</w:t>
            </w:r>
          </w:p>
          <w:p w:rsidR="00E675F0" w:rsidRDefault="00E675F0" w:rsidP="00A330E1">
            <w:pPr>
              <w:pStyle w:val="TableParagraph"/>
              <w:spacing w:before="156"/>
              <w:ind w:left="418"/>
              <w:rPr>
                <w:sz w:val="19"/>
              </w:rPr>
            </w:pPr>
            <w:r>
              <w:rPr>
                <w:i/>
                <w:sz w:val="20"/>
              </w:rPr>
              <w:t xml:space="preserve">Specify </w:t>
            </w:r>
            <w:r>
              <w:rPr>
                <w:sz w:val="19"/>
              </w:rPr>
              <w:t>if:</w:t>
            </w:r>
          </w:p>
          <w:p w:rsidR="00E675F0" w:rsidRDefault="00E675F0" w:rsidP="00A330E1">
            <w:pPr>
              <w:pStyle w:val="TableParagraph"/>
              <w:spacing w:before="11"/>
              <w:ind w:left="648"/>
              <w:rPr>
                <w:b/>
                <w:sz w:val="20"/>
              </w:rPr>
            </w:pPr>
            <w:r>
              <w:rPr>
                <w:b/>
                <w:w w:val="110"/>
                <w:sz w:val="20"/>
              </w:rPr>
              <w:t>With Perceptual Disturbances</w:t>
            </w:r>
          </w:p>
        </w:tc>
      </w:tr>
    </w:tbl>
    <w:p w:rsidR="00E675F0" w:rsidRDefault="00E675F0" w:rsidP="00E675F0">
      <w:pPr>
        <w:pStyle w:val="BodyText"/>
      </w:pPr>
    </w:p>
    <w:p w:rsidR="00E675F0" w:rsidRDefault="00E675F0" w:rsidP="00E675F0">
      <w:pPr>
        <w:pStyle w:val="BodyText"/>
      </w:pPr>
    </w:p>
    <w:p w:rsidR="00E675F0" w:rsidRDefault="00E675F0" w:rsidP="00E675F0">
      <w:pPr>
        <w:pStyle w:val="BodyText"/>
        <w:spacing w:before="1"/>
        <w:rPr>
          <w:sz w:val="18"/>
        </w:rPr>
      </w:pPr>
    </w:p>
    <w:p w:rsidR="00E675F0" w:rsidRDefault="00E675F0" w:rsidP="00E675F0">
      <w:pPr>
        <w:spacing w:before="92"/>
        <w:ind w:left="882" w:right="850"/>
        <w:jc w:val="center"/>
        <w:rPr>
          <w:rFonts w:ascii="Arial"/>
          <w:b/>
          <w:sz w:val="25"/>
        </w:rPr>
      </w:pPr>
      <w:r>
        <w:rPr>
          <w:noProof/>
        </w:rPr>
        <mc:AlternateContent>
          <mc:Choice Requires="wps">
            <w:drawing>
              <wp:anchor distT="0" distB="0" distL="114300" distR="114300" simplePos="0" relativeHeight="251718656" behindDoc="0" locked="0" layoutInCell="1" allowOverlap="1" wp14:anchorId="12D1411C" wp14:editId="00BB7936">
                <wp:simplePos x="0" y="0"/>
                <wp:positionH relativeFrom="page">
                  <wp:posOffset>514985</wp:posOffset>
                </wp:positionH>
                <wp:positionV relativeFrom="paragraph">
                  <wp:posOffset>-372745</wp:posOffset>
                </wp:positionV>
                <wp:extent cx="0" cy="0"/>
                <wp:effectExtent l="0" t="0" r="0" b="0"/>
                <wp:wrapNone/>
                <wp:docPr id="1353" name="Line 13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3360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F34202" id="Line 1309" o:spid="_x0000_s1026" style="position:absolute;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55pt,-29.35pt" to="40.55pt,-29.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" strokeweight=".93339mm">
                <o:lock v:ext="edit" shapetype="f"/>
                <w10:wrap anchorx="page"/>
              </v:line>
            </w:pict>
          </mc:Fallback>
        </mc:AlternateContent>
      </w:r>
      <w:r>
        <w:rPr>
          <w:noProof/>
        </w:rPr>
        <mc:AlternateContent>
          <mc:Choice Requires="wps">
            <w:drawing>
              <wp:anchor distT="0" distB="0" distL="114300" distR="114300" simplePos="0" relativeHeight="251801600" behindDoc="1" locked="0" layoutInCell="1" allowOverlap="1" wp14:anchorId="3325BC46" wp14:editId="49B490FD">
                <wp:simplePos x="0" y="0"/>
                <wp:positionH relativeFrom="page">
                  <wp:posOffset>5164455</wp:posOffset>
                </wp:positionH>
                <wp:positionV relativeFrom="paragraph">
                  <wp:posOffset>-372745</wp:posOffset>
                </wp:positionV>
                <wp:extent cx="0" cy="0"/>
                <wp:effectExtent l="0" t="0" r="0" b="0"/>
                <wp:wrapNone/>
                <wp:docPr id="1352" name="Line 13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3054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381513" id="Line 1308" o:spid="_x0000_s1026" style="position:absolute;z-index:-251514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6.65pt,-29.35pt" to="406.65pt,-29.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" strokeweight=".84853mm">
                <o:lock v:ext="edit" shapetype="f"/>
                <w10:wrap anchorx="page"/>
              </v:line>
            </w:pict>
          </mc:Fallback>
        </mc:AlternateContent>
      </w:r>
      <w:r>
        <w:rPr>
          <w:rFonts w:ascii="Arial"/>
          <w:b/>
          <w:w w:val="105"/>
          <w:sz w:val="25"/>
        </w:rPr>
        <w:t>Other Cannabis--Induced Disorders</w:t>
      </w:r>
    </w:p>
    <w:p w:rsidR="00E675F0" w:rsidRDefault="00E675F0" w:rsidP="00E675F0">
      <w:pPr>
        <w:pStyle w:val="BodyText"/>
        <w:spacing w:before="246" w:line="252" w:lineRule="auto"/>
        <w:ind w:left="127" w:right="102"/>
        <w:jc w:val="both"/>
      </w:pPr>
      <w:r>
        <w:rPr>
          <w:w w:val="105"/>
        </w:rPr>
        <w:t xml:space="preserve">The following Cannabis-Induced Disorders are described in other sections of the manual with disorders with which they share phenomenology: </w:t>
      </w:r>
      <w:r>
        <w:rPr>
          <w:b/>
          <w:w w:val="105"/>
        </w:rPr>
        <w:t xml:space="preserve">Cannabis Intoxication Delir­ ium </w:t>
      </w:r>
      <w:r>
        <w:rPr>
          <w:w w:val="105"/>
        </w:rPr>
        <w:t xml:space="preserve">(p. 129), </w:t>
      </w:r>
      <w:r>
        <w:rPr>
          <w:b/>
          <w:w w:val="105"/>
        </w:rPr>
        <w:t xml:space="preserve">Cannabis-Induced Psychotic Disorder </w:t>
      </w:r>
      <w:r>
        <w:rPr>
          <w:w w:val="105"/>
        </w:rPr>
        <w:t xml:space="preserve">(p. 310), and </w:t>
      </w:r>
      <w:r>
        <w:rPr>
          <w:b/>
          <w:w w:val="105"/>
        </w:rPr>
        <w:t xml:space="preserve">Cannabis­ InducedAnxietyDisorder </w:t>
      </w:r>
      <w:r>
        <w:rPr>
          <w:w w:val="105"/>
        </w:rPr>
        <w:t>(p. 439). These disorders are diagnosed instead of Cannabis Intoxication only when the symptoms are in excess of those usually associated with Cannabis Intoxication and when the symptoms are sufficiently severe to warrant independent clinical attention.</w:t>
      </w:r>
    </w:p>
    <w:p w:rsidR="00E675F0" w:rsidRDefault="00E675F0" w:rsidP="00E675F0">
      <w:pPr>
        <w:pStyle w:val="BodyText"/>
        <w:rPr>
          <w:sz w:val="22"/>
        </w:rPr>
      </w:pPr>
    </w:p>
    <w:p w:rsidR="00E675F0" w:rsidRDefault="00E675F0" w:rsidP="00E675F0">
      <w:pPr>
        <w:pStyle w:val="BodyText"/>
        <w:spacing w:before="6"/>
        <w:rPr>
          <w:sz w:val="28"/>
        </w:rPr>
      </w:pPr>
    </w:p>
    <w:p w:rsidR="00E675F0" w:rsidRDefault="00E675F0" w:rsidP="00E675F0">
      <w:pPr>
        <w:ind w:left="882" w:right="871"/>
        <w:jc w:val="center"/>
        <w:rPr>
          <w:rFonts w:ascii="Arial"/>
          <w:b/>
          <w:sz w:val="25"/>
        </w:rPr>
      </w:pPr>
      <w:r>
        <w:rPr>
          <w:rFonts w:ascii="TimesNewRomanPS-BoldItalicMT"/>
          <w:b/>
          <w:i/>
          <w:w w:val="115"/>
          <w:sz w:val="28"/>
        </w:rPr>
        <w:t>Additional Information</w:t>
      </w:r>
      <w:r>
        <w:rPr>
          <w:rFonts w:ascii="TimesNewRomanPS-BoldItalicMT"/>
          <w:b/>
          <w:i/>
          <w:spacing w:val="-23"/>
          <w:w w:val="115"/>
          <w:sz w:val="28"/>
        </w:rPr>
        <w:t xml:space="preserve"> </w:t>
      </w:r>
      <w:r>
        <w:rPr>
          <w:rFonts w:ascii="Arial"/>
          <w:b/>
          <w:w w:val="115"/>
          <w:sz w:val="25"/>
        </w:rPr>
        <w:t>on</w:t>
      </w:r>
    </w:p>
    <w:p w:rsidR="00E675F0" w:rsidRDefault="00E675F0" w:rsidP="00E675F0">
      <w:pPr>
        <w:spacing w:before="9"/>
        <w:ind w:left="882" w:right="903"/>
        <w:jc w:val="center"/>
        <w:rPr>
          <w:rFonts w:ascii="TimesNewRomanPS-BoldItalicMT"/>
          <w:b/>
          <w:i/>
          <w:sz w:val="28"/>
        </w:rPr>
      </w:pPr>
      <w:r>
        <w:rPr>
          <w:rFonts w:ascii="TimesNewRomanPS-BoldItalicMT"/>
          <w:b/>
          <w:i/>
          <w:w w:val="115"/>
          <w:sz w:val="28"/>
        </w:rPr>
        <w:t>Cannabis-Related</w:t>
      </w:r>
      <w:r>
        <w:rPr>
          <w:rFonts w:ascii="TimesNewRomanPS-BoldItalicMT"/>
          <w:b/>
          <w:i/>
          <w:spacing w:val="-20"/>
          <w:w w:val="115"/>
          <w:sz w:val="28"/>
        </w:rPr>
        <w:t xml:space="preserve"> </w:t>
      </w:r>
      <w:r>
        <w:rPr>
          <w:rFonts w:ascii="TimesNewRomanPS-BoldItalicMT"/>
          <w:b/>
          <w:i/>
          <w:w w:val="115"/>
          <w:sz w:val="28"/>
        </w:rPr>
        <w:t>Disorders</w:t>
      </w:r>
    </w:p>
    <w:p w:rsidR="00E675F0" w:rsidRDefault="00E675F0" w:rsidP="00E675F0">
      <w:pPr>
        <w:pStyle w:val="BodyText"/>
        <w:spacing w:before="3"/>
        <w:rPr>
          <w:rFonts w:ascii="TimesNewRomanPS-BoldItalicMT"/>
          <w:b/>
          <w:i/>
          <w:sz w:val="31"/>
        </w:rPr>
      </w:pPr>
    </w:p>
    <w:p w:rsidR="00E675F0" w:rsidRDefault="00E675F0" w:rsidP="00E675F0">
      <w:pPr>
        <w:ind w:left="108"/>
        <w:jc w:val="both"/>
        <w:rPr>
          <w:rFonts w:ascii="TimesNewRomanPS-BoldItalicMT"/>
          <w:b/>
          <w:i/>
          <w:sz w:val="24"/>
        </w:rPr>
      </w:pPr>
      <w:r>
        <w:rPr>
          <w:rFonts w:ascii="TimesNewRomanPS-BoldItalicMT"/>
          <w:b/>
          <w:i/>
          <w:w w:val="115"/>
          <w:sz w:val="24"/>
        </w:rPr>
        <w:t>Associated Features and Disorders</w:t>
      </w:r>
    </w:p>
    <w:p w:rsidR="00E675F0" w:rsidRDefault="00E675F0" w:rsidP="00E675F0">
      <w:pPr>
        <w:pStyle w:val="BodyText"/>
        <w:spacing w:before="9"/>
        <w:rPr>
          <w:rFonts w:ascii="TimesNewRomanPS-BoldItalicMT"/>
          <w:b/>
          <w:i/>
          <w:sz w:val="22"/>
        </w:rPr>
      </w:pPr>
    </w:p>
    <w:p w:rsidR="00E675F0" w:rsidRDefault="00E675F0" w:rsidP="00E675F0">
      <w:pPr>
        <w:pStyle w:val="BodyText"/>
        <w:spacing w:line="256" w:lineRule="auto"/>
        <w:ind w:left="128" w:right="98" w:hanging="2"/>
        <w:jc w:val="both"/>
      </w:pPr>
      <w:r>
        <w:rPr>
          <w:b/>
          <w:w w:val="105"/>
        </w:rPr>
        <w:t xml:space="preserve">Associated descriptive  features and mental disorders.  </w:t>
      </w:r>
      <w:r>
        <w:rPr>
          <w:w w:val="105"/>
        </w:rPr>
        <w:t>Cannabis  is   often   used with other substances, especially nicotine, alcohol, and cocaine. Cannabis (especially marijuana) may be mixed and smoked with opioids, phencyclidine (PCP), or other hallucinogenic drugs. Individuals who regularly use cannabis often report both physical and mental lethargy and anhedonia. Mild forms of depression, anxiety, or irritability are seen in about one-third of individuals who regularly use cannabis (daily or almost</w:t>
      </w:r>
      <w:r>
        <w:rPr>
          <w:spacing w:val="-33"/>
          <w:w w:val="105"/>
        </w:rPr>
        <w:t xml:space="preserve"> </w:t>
      </w:r>
      <w:r>
        <w:rPr>
          <w:w w:val="105"/>
        </w:rPr>
        <w:t>daily).</w:t>
      </w:r>
    </w:p>
    <w:p w:rsidR="00E675F0" w:rsidRDefault="00E675F0" w:rsidP="00E675F0">
      <w:pPr>
        <w:spacing w:line="256" w:lineRule="auto"/>
        <w:jc w:val="both"/>
        <w:sectPr w:rsidR="00E675F0">
          <w:pgSz w:w="8960" w:h="14260"/>
          <w:pgMar w:top="1400" w:right="640" w:bottom="280" w:left="620" w:header="706" w:footer="0" w:gutter="0"/>
          <w:cols w:space="720"/>
        </w:sectPr>
      </w:pPr>
    </w:p>
    <w:p w:rsidR="00E675F0" w:rsidRDefault="00E675F0" w:rsidP="00E675F0">
      <w:pPr>
        <w:pStyle w:val="BodyText"/>
        <w:spacing w:before="123" w:line="252" w:lineRule="auto"/>
        <w:ind w:left="106" w:right="103" w:hanging="3"/>
        <w:jc w:val="both"/>
      </w:pPr>
      <w:r>
        <w:rPr>
          <w:w w:val="110"/>
        </w:rPr>
        <w:lastRenderedPageBreak/>
        <w:t>When</w:t>
      </w:r>
      <w:r>
        <w:rPr>
          <w:spacing w:val="-5"/>
          <w:w w:val="110"/>
        </w:rPr>
        <w:t xml:space="preserve"> </w:t>
      </w:r>
      <w:r>
        <w:rPr>
          <w:w w:val="110"/>
        </w:rPr>
        <w:t>taken</w:t>
      </w:r>
      <w:r>
        <w:rPr>
          <w:spacing w:val="-5"/>
          <w:w w:val="110"/>
        </w:rPr>
        <w:t xml:space="preserve"> </w:t>
      </w:r>
      <w:r>
        <w:rPr>
          <w:w w:val="110"/>
        </w:rPr>
        <w:t>in</w:t>
      </w:r>
      <w:r>
        <w:rPr>
          <w:spacing w:val="-10"/>
          <w:w w:val="110"/>
        </w:rPr>
        <w:t xml:space="preserve"> </w:t>
      </w:r>
      <w:r>
        <w:rPr>
          <w:w w:val="110"/>
        </w:rPr>
        <w:t>high</w:t>
      </w:r>
      <w:r>
        <w:rPr>
          <w:spacing w:val="-7"/>
          <w:w w:val="110"/>
        </w:rPr>
        <w:t xml:space="preserve"> </w:t>
      </w:r>
      <w:r>
        <w:rPr>
          <w:w w:val="110"/>
        </w:rPr>
        <w:t>doses,</w:t>
      </w:r>
      <w:r>
        <w:rPr>
          <w:spacing w:val="-12"/>
          <w:w w:val="110"/>
        </w:rPr>
        <w:t xml:space="preserve"> </w:t>
      </w:r>
      <w:r>
        <w:rPr>
          <w:w w:val="110"/>
        </w:rPr>
        <w:t>cannabinoids</w:t>
      </w:r>
      <w:r>
        <w:rPr>
          <w:spacing w:val="4"/>
          <w:w w:val="110"/>
        </w:rPr>
        <w:t xml:space="preserve"> </w:t>
      </w:r>
      <w:r>
        <w:rPr>
          <w:w w:val="110"/>
        </w:rPr>
        <w:t>have</w:t>
      </w:r>
      <w:r>
        <w:rPr>
          <w:spacing w:val="-7"/>
          <w:w w:val="110"/>
        </w:rPr>
        <w:t xml:space="preserve"> </w:t>
      </w:r>
      <w:r>
        <w:rPr>
          <w:w w:val="110"/>
        </w:rPr>
        <w:t>psychoactive effects</w:t>
      </w:r>
      <w:r>
        <w:rPr>
          <w:spacing w:val="-7"/>
          <w:w w:val="110"/>
        </w:rPr>
        <w:t xml:space="preserve"> </w:t>
      </w:r>
      <w:r>
        <w:rPr>
          <w:w w:val="110"/>
        </w:rPr>
        <w:t>that</w:t>
      </w:r>
      <w:r>
        <w:rPr>
          <w:spacing w:val="-7"/>
          <w:w w:val="110"/>
        </w:rPr>
        <w:t xml:space="preserve"> </w:t>
      </w:r>
      <w:r>
        <w:rPr>
          <w:w w:val="110"/>
        </w:rPr>
        <w:t>can</w:t>
      </w:r>
      <w:r>
        <w:rPr>
          <w:spacing w:val="-4"/>
          <w:w w:val="110"/>
        </w:rPr>
        <w:t xml:space="preserve"> </w:t>
      </w:r>
      <w:r>
        <w:rPr>
          <w:w w:val="110"/>
        </w:rPr>
        <w:t>be</w:t>
      </w:r>
      <w:r>
        <w:rPr>
          <w:spacing w:val="-15"/>
          <w:w w:val="110"/>
        </w:rPr>
        <w:t xml:space="preserve"> </w:t>
      </w:r>
      <w:r>
        <w:rPr>
          <w:w w:val="110"/>
        </w:rPr>
        <w:t>similar to</w:t>
      </w:r>
      <w:r>
        <w:rPr>
          <w:spacing w:val="-23"/>
          <w:w w:val="110"/>
        </w:rPr>
        <w:t xml:space="preserve"> </w:t>
      </w:r>
      <w:r>
        <w:rPr>
          <w:w w:val="110"/>
        </w:rPr>
        <w:t>those</w:t>
      </w:r>
      <w:r>
        <w:rPr>
          <w:spacing w:val="-20"/>
          <w:w w:val="110"/>
        </w:rPr>
        <w:t xml:space="preserve"> </w:t>
      </w:r>
      <w:r>
        <w:rPr>
          <w:w w:val="110"/>
        </w:rPr>
        <w:t>of</w:t>
      </w:r>
      <w:r>
        <w:rPr>
          <w:spacing w:val="-17"/>
          <w:w w:val="110"/>
        </w:rPr>
        <w:t xml:space="preserve"> </w:t>
      </w:r>
      <w:r>
        <w:rPr>
          <w:w w:val="110"/>
        </w:rPr>
        <w:t>hallucinogens</w:t>
      </w:r>
      <w:r>
        <w:rPr>
          <w:spacing w:val="-19"/>
          <w:w w:val="110"/>
        </w:rPr>
        <w:t xml:space="preserve"> </w:t>
      </w:r>
      <w:r>
        <w:rPr>
          <w:w w:val="110"/>
        </w:rPr>
        <w:t>(e.g.,</w:t>
      </w:r>
      <w:r>
        <w:rPr>
          <w:spacing w:val="-22"/>
          <w:w w:val="110"/>
        </w:rPr>
        <w:t xml:space="preserve"> </w:t>
      </w:r>
      <w:r>
        <w:rPr>
          <w:w w:val="110"/>
        </w:rPr>
        <w:t>lysergic</w:t>
      </w:r>
      <w:r>
        <w:rPr>
          <w:spacing w:val="-19"/>
          <w:w w:val="110"/>
        </w:rPr>
        <w:t xml:space="preserve"> </w:t>
      </w:r>
      <w:r>
        <w:rPr>
          <w:w w:val="110"/>
        </w:rPr>
        <w:t>acid</w:t>
      </w:r>
      <w:r>
        <w:rPr>
          <w:spacing w:val="-19"/>
          <w:w w:val="110"/>
        </w:rPr>
        <w:t xml:space="preserve"> </w:t>
      </w:r>
      <w:r>
        <w:rPr>
          <w:w w:val="110"/>
        </w:rPr>
        <w:t>diethylamide</w:t>
      </w:r>
      <w:r>
        <w:rPr>
          <w:spacing w:val="-19"/>
          <w:w w:val="110"/>
        </w:rPr>
        <w:t xml:space="preserve"> </w:t>
      </w:r>
      <w:r>
        <w:rPr>
          <w:w w:val="110"/>
        </w:rPr>
        <w:t>[LSD]),</w:t>
      </w:r>
      <w:r>
        <w:rPr>
          <w:spacing w:val="-17"/>
          <w:w w:val="110"/>
        </w:rPr>
        <w:t xml:space="preserve"> </w:t>
      </w:r>
      <w:r>
        <w:rPr>
          <w:w w:val="110"/>
        </w:rPr>
        <w:t>and</w:t>
      </w:r>
      <w:r>
        <w:rPr>
          <w:spacing w:val="-20"/>
          <w:w w:val="110"/>
        </w:rPr>
        <w:t xml:space="preserve"> </w:t>
      </w:r>
      <w:r>
        <w:rPr>
          <w:w w:val="110"/>
        </w:rPr>
        <w:t>individuals</w:t>
      </w:r>
      <w:r>
        <w:rPr>
          <w:spacing w:val="-16"/>
          <w:w w:val="110"/>
        </w:rPr>
        <w:t xml:space="preserve"> </w:t>
      </w:r>
      <w:r>
        <w:rPr>
          <w:w w:val="110"/>
        </w:rPr>
        <w:t>who use cannabinoids can experience adverse mental effects that resemble hallucinogen­ induced</w:t>
      </w:r>
      <w:r>
        <w:rPr>
          <w:spacing w:val="-13"/>
          <w:w w:val="110"/>
        </w:rPr>
        <w:t xml:space="preserve"> </w:t>
      </w:r>
      <w:r>
        <w:rPr>
          <w:w w:val="110"/>
        </w:rPr>
        <w:t>"bad</w:t>
      </w:r>
      <w:r>
        <w:rPr>
          <w:spacing w:val="-21"/>
          <w:w w:val="110"/>
        </w:rPr>
        <w:t xml:space="preserve"> </w:t>
      </w:r>
      <w:r>
        <w:rPr>
          <w:w w:val="110"/>
        </w:rPr>
        <w:t>trips."</w:t>
      </w:r>
      <w:r>
        <w:rPr>
          <w:spacing w:val="-26"/>
          <w:w w:val="110"/>
        </w:rPr>
        <w:t xml:space="preserve"> </w:t>
      </w:r>
      <w:r>
        <w:rPr>
          <w:w w:val="110"/>
        </w:rPr>
        <w:t>These</w:t>
      </w:r>
      <w:r>
        <w:rPr>
          <w:spacing w:val="-15"/>
          <w:w w:val="110"/>
        </w:rPr>
        <w:t xml:space="preserve"> </w:t>
      </w:r>
      <w:r>
        <w:rPr>
          <w:w w:val="110"/>
        </w:rPr>
        <w:t>range</w:t>
      </w:r>
      <w:r>
        <w:rPr>
          <w:spacing w:val="-19"/>
          <w:w w:val="110"/>
        </w:rPr>
        <w:t xml:space="preserve"> </w:t>
      </w:r>
      <w:r>
        <w:rPr>
          <w:w w:val="110"/>
        </w:rPr>
        <w:t>from</w:t>
      </w:r>
      <w:r>
        <w:rPr>
          <w:spacing w:val="-14"/>
          <w:w w:val="110"/>
        </w:rPr>
        <w:t xml:space="preserve"> </w:t>
      </w:r>
      <w:r>
        <w:rPr>
          <w:w w:val="110"/>
        </w:rPr>
        <w:t>mild</w:t>
      </w:r>
      <w:r>
        <w:rPr>
          <w:spacing w:val="-21"/>
          <w:w w:val="110"/>
        </w:rPr>
        <w:t xml:space="preserve"> </w:t>
      </w:r>
      <w:r>
        <w:rPr>
          <w:w w:val="110"/>
        </w:rPr>
        <w:t>to</w:t>
      </w:r>
      <w:r>
        <w:rPr>
          <w:spacing w:val="-13"/>
          <w:w w:val="110"/>
        </w:rPr>
        <w:t xml:space="preserve"> </w:t>
      </w:r>
      <w:r>
        <w:rPr>
          <w:w w:val="110"/>
        </w:rPr>
        <w:t>moderate</w:t>
      </w:r>
      <w:r>
        <w:rPr>
          <w:spacing w:val="-17"/>
          <w:w w:val="110"/>
        </w:rPr>
        <w:t xml:space="preserve"> </w:t>
      </w:r>
      <w:r>
        <w:rPr>
          <w:w w:val="110"/>
        </w:rPr>
        <w:t>levels</w:t>
      </w:r>
      <w:r>
        <w:rPr>
          <w:spacing w:val="-20"/>
          <w:w w:val="110"/>
        </w:rPr>
        <w:t xml:space="preserve"> </w:t>
      </w:r>
      <w:r>
        <w:rPr>
          <w:w w:val="110"/>
        </w:rPr>
        <w:t>of</w:t>
      </w:r>
      <w:r>
        <w:rPr>
          <w:spacing w:val="-18"/>
          <w:w w:val="110"/>
        </w:rPr>
        <w:t xml:space="preserve"> </w:t>
      </w:r>
      <w:r>
        <w:rPr>
          <w:w w:val="110"/>
        </w:rPr>
        <w:t>anxiety</w:t>
      </w:r>
      <w:r>
        <w:rPr>
          <w:spacing w:val="-20"/>
          <w:w w:val="110"/>
        </w:rPr>
        <w:t xml:space="preserve"> </w:t>
      </w:r>
      <w:r>
        <w:rPr>
          <w:w w:val="110"/>
        </w:rPr>
        <w:t>(e.g.,</w:t>
      </w:r>
      <w:r>
        <w:rPr>
          <w:spacing w:val="-15"/>
          <w:w w:val="110"/>
        </w:rPr>
        <w:t xml:space="preserve"> </w:t>
      </w:r>
      <w:r>
        <w:rPr>
          <w:w w:val="110"/>
        </w:rPr>
        <w:t>concern that</w:t>
      </w:r>
      <w:r>
        <w:rPr>
          <w:spacing w:val="-6"/>
          <w:w w:val="110"/>
        </w:rPr>
        <w:t xml:space="preserve"> </w:t>
      </w:r>
      <w:r>
        <w:rPr>
          <w:w w:val="110"/>
        </w:rPr>
        <w:t>the</w:t>
      </w:r>
      <w:r>
        <w:rPr>
          <w:spacing w:val="-3"/>
          <w:w w:val="110"/>
        </w:rPr>
        <w:t xml:space="preserve"> </w:t>
      </w:r>
      <w:r>
        <w:rPr>
          <w:w w:val="110"/>
        </w:rPr>
        <w:t>police</w:t>
      </w:r>
      <w:r>
        <w:rPr>
          <w:spacing w:val="-7"/>
          <w:w w:val="110"/>
        </w:rPr>
        <w:t xml:space="preserve"> </w:t>
      </w:r>
      <w:r>
        <w:rPr>
          <w:w w:val="110"/>
        </w:rPr>
        <w:t>will</w:t>
      </w:r>
      <w:r>
        <w:rPr>
          <w:spacing w:val="-9"/>
          <w:w w:val="110"/>
        </w:rPr>
        <w:t xml:space="preserve"> </w:t>
      </w:r>
      <w:r>
        <w:rPr>
          <w:w w:val="110"/>
        </w:rPr>
        <w:t>discover</w:t>
      </w:r>
      <w:r>
        <w:rPr>
          <w:spacing w:val="-3"/>
          <w:w w:val="110"/>
        </w:rPr>
        <w:t xml:space="preserve"> </w:t>
      </w:r>
      <w:r>
        <w:rPr>
          <w:w w:val="110"/>
        </w:rPr>
        <w:t>the</w:t>
      </w:r>
      <w:r>
        <w:rPr>
          <w:spacing w:val="-11"/>
          <w:w w:val="110"/>
        </w:rPr>
        <w:t xml:space="preserve"> </w:t>
      </w:r>
      <w:r>
        <w:rPr>
          <w:w w:val="110"/>
        </w:rPr>
        <w:t>substance use)</w:t>
      </w:r>
      <w:r>
        <w:rPr>
          <w:spacing w:val="-13"/>
          <w:w w:val="110"/>
        </w:rPr>
        <w:t xml:space="preserve"> </w:t>
      </w:r>
      <w:r>
        <w:rPr>
          <w:w w:val="110"/>
        </w:rPr>
        <w:t>to</w:t>
      </w:r>
      <w:r>
        <w:rPr>
          <w:spacing w:val="-12"/>
          <w:w w:val="110"/>
        </w:rPr>
        <w:t xml:space="preserve"> </w:t>
      </w:r>
      <w:r>
        <w:rPr>
          <w:w w:val="110"/>
        </w:rPr>
        <w:t>severe</w:t>
      </w:r>
      <w:r>
        <w:rPr>
          <w:spacing w:val="-6"/>
          <w:w w:val="110"/>
        </w:rPr>
        <w:t xml:space="preserve"> </w:t>
      </w:r>
      <w:r>
        <w:rPr>
          <w:w w:val="110"/>
        </w:rPr>
        <w:t>anxiety</w:t>
      </w:r>
      <w:r>
        <w:rPr>
          <w:spacing w:val="-7"/>
          <w:w w:val="110"/>
        </w:rPr>
        <w:t xml:space="preserve"> </w:t>
      </w:r>
      <w:r>
        <w:rPr>
          <w:w w:val="110"/>
        </w:rPr>
        <w:t>reactions</w:t>
      </w:r>
      <w:r>
        <w:rPr>
          <w:spacing w:val="-2"/>
          <w:w w:val="110"/>
        </w:rPr>
        <w:t xml:space="preserve"> </w:t>
      </w:r>
      <w:r>
        <w:rPr>
          <w:w w:val="110"/>
        </w:rPr>
        <w:t>resembling Panic</w:t>
      </w:r>
      <w:r>
        <w:rPr>
          <w:spacing w:val="-33"/>
          <w:w w:val="110"/>
        </w:rPr>
        <w:t xml:space="preserve"> </w:t>
      </w:r>
      <w:r>
        <w:rPr>
          <w:w w:val="110"/>
        </w:rPr>
        <w:t>Attacks.</w:t>
      </w:r>
      <w:r>
        <w:rPr>
          <w:spacing w:val="-33"/>
          <w:w w:val="110"/>
        </w:rPr>
        <w:t xml:space="preserve"> </w:t>
      </w:r>
      <w:r>
        <w:rPr>
          <w:w w:val="110"/>
        </w:rPr>
        <w:t>There</w:t>
      </w:r>
      <w:r>
        <w:rPr>
          <w:spacing w:val="-30"/>
          <w:w w:val="110"/>
        </w:rPr>
        <w:t xml:space="preserve"> </w:t>
      </w:r>
      <w:r>
        <w:rPr>
          <w:w w:val="110"/>
        </w:rPr>
        <w:t>may</w:t>
      </w:r>
      <w:r>
        <w:rPr>
          <w:spacing w:val="-33"/>
          <w:w w:val="110"/>
        </w:rPr>
        <w:t xml:space="preserve"> </w:t>
      </w:r>
      <w:r>
        <w:rPr>
          <w:w w:val="110"/>
        </w:rPr>
        <w:t>also</w:t>
      </w:r>
      <w:r>
        <w:rPr>
          <w:spacing w:val="-32"/>
          <w:w w:val="110"/>
        </w:rPr>
        <w:t xml:space="preserve"> </w:t>
      </w:r>
      <w:r>
        <w:rPr>
          <w:w w:val="110"/>
        </w:rPr>
        <w:t>be</w:t>
      </w:r>
      <w:r>
        <w:rPr>
          <w:spacing w:val="-30"/>
          <w:w w:val="110"/>
        </w:rPr>
        <w:t xml:space="preserve"> </w:t>
      </w:r>
      <w:r>
        <w:rPr>
          <w:w w:val="110"/>
        </w:rPr>
        <w:t>paranoid</w:t>
      </w:r>
      <w:r>
        <w:rPr>
          <w:spacing w:val="-28"/>
          <w:w w:val="110"/>
        </w:rPr>
        <w:t xml:space="preserve"> </w:t>
      </w:r>
      <w:r>
        <w:rPr>
          <w:w w:val="110"/>
        </w:rPr>
        <w:t>ideation</w:t>
      </w:r>
      <w:r>
        <w:rPr>
          <w:spacing w:val="-25"/>
          <w:w w:val="110"/>
        </w:rPr>
        <w:t xml:space="preserve"> </w:t>
      </w:r>
      <w:r>
        <w:rPr>
          <w:w w:val="110"/>
        </w:rPr>
        <w:t>ranging</w:t>
      </w:r>
      <w:r>
        <w:rPr>
          <w:spacing w:val="-31"/>
          <w:w w:val="110"/>
        </w:rPr>
        <w:t xml:space="preserve"> </w:t>
      </w:r>
      <w:r>
        <w:rPr>
          <w:w w:val="110"/>
        </w:rPr>
        <w:t>from</w:t>
      </w:r>
      <w:r>
        <w:rPr>
          <w:spacing w:val="-34"/>
          <w:w w:val="110"/>
        </w:rPr>
        <w:t xml:space="preserve"> </w:t>
      </w:r>
      <w:r>
        <w:rPr>
          <w:w w:val="110"/>
        </w:rPr>
        <w:t>suspiciousness</w:t>
      </w:r>
      <w:r>
        <w:rPr>
          <w:spacing w:val="-35"/>
          <w:w w:val="110"/>
        </w:rPr>
        <w:t xml:space="preserve"> </w:t>
      </w:r>
      <w:r>
        <w:rPr>
          <w:w w:val="110"/>
        </w:rPr>
        <w:t>to</w:t>
      </w:r>
      <w:r>
        <w:rPr>
          <w:spacing w:val="-38"/>
          <w:w w:val="110"/>
        </w:rPr>
        <w:t xml:space="preserve"> </w:t>
      </w:r>
      <w:r>
        <w:rPr>
          <w:w w:val="110"/>
        </w:rPr>
        <w:t>frank delusions</w:t>
      </w:r>
      <w:r>
        <w:rPr>
          <w:spacing w:val="-25"/>
          <w:w w:val="110"/>
        </w:rPr>
        <w:t xml:space="preserve"> </w:t>
      </w:r>
      <w:r>
        <w:rPr>
          <w:w w:val="110"/>
        </w:rPr>
        <w:t>and</w:t>
      </w:r>
      <w:r>
        <w:rPr>
          <w:spacing w:val="-15"/>
          <w:w w:val="110"/>
        </w:rPr>
        <w:t xml:space="preserve"> </w:t>
      </w:r>
      <w:r>
        <w:rPr>
          <w:w w:val="110"/>
        </w:rPr>
        <w:t>hallucinations.</w:t>
      </w:r>
      <w:r>
        <w:rPr>
          <w:spacing w:val="-30"/>
          <w:w w:val="110"/>
        </w:rPr>
        <w:t xml:space="preserve"> </w:t>
      </w:r>
      <w:r>
        <w:rPr>
          <w:w w:val="110"/>
        </w:rPr>
        <w:t>Episodes</w:t>
      </w:r>
      <w:r>
        <w:rPr>
          <w:spacing w:val="-24"/>
          <w:w w:val="110"/>
        </w:rPr>
        <w:t xml:space="preserve"> </w:t>
      </w:r>
      <w:r>
        <w:rPr>
          <w:w w:val="110"/>
        </w:rPr>
        <w:t>of</w:t>
      </w:r>
      <w:r>
        <w:rPr>
          <w:spacing w:val="-22"/>
          <w:w w:val="110"/>
        </w:rPr>
        <w:t xml:space="preserve"> </w:t>
      </w:r>
      <w:r>
        <w:rPr>
          <w:w w:val="110"/>
        </w:rPr>
        <w:t>depersonalization</w:t>
      </w:r>
      <w:r>
        <w:rPr>
          <w:spacing w:val="-27"/>
          <w:w w:val="110"/>
        </w:rPr>
        <w:t xml:space="preserve"> </w:t>
      </w:r>
      <w:r>
        <w:rPr>
          <w:w w:val="110"/>
        </w:rPr>
        <w:t>and</w:t>
      </w:r>
      <w:r>
        <w:rPr>
          <w:spacing w:val="-27"/>
          <w:w w:val="110"/>
        </w:rPr>
        <w:t xml:space="preserve"> </w:t>
      </w:r>
      <w:r>
        <w:rPr>
          <w:w w:val="110"/>
        </w:rPr>
        <w:t>derealization</w:t>
      </w:r>
      <w:r>
        <w:rPr>
          <w:spacing w:val="-13"/>
          <w:w w:val="110"/>
        </w:rPr>
        <w:t xml:space="preserve"> </w:t>
      </w:r>
      <w:r>
        <w:rPr>
          <w:w w:val="110"/>
        </w:rPr>
        <w:t>have</w:t>
      </w:r>
      <w:r>
        <w:rPr>
          <w:spacing w:val="-27"/>
          <w:w w:val="110"/>
        </w:rPr>
        <w:t xml:space="preserve"> </w:t>
      </w:r>
      <w:r>
        <w:rPr>
          <w:w w:val="110"/>
        </w:rPr>
        <w:t>also been</w:t>
      </w:r>
      <w:r>
        <w:rPr>
          <w:spacing w:val="-24"/>
          <w:w w:val="110"/>
        </w:rPr>
        <w:t xml:space="preserve"> </w:t>
      </w:r>
      <w:r>
        <w:rPr>
          <w:w w:val="110"/>
        </w:rPr>
        <w:t>reported.</w:t>
      </w:r>
      <w:r>
        <w:rPr>
          <w:spacing w:val="-22"/>
          <w:w w:val="110"/>
        </w:rPr>
        <w:t xml:space="preserve"> </w:t>
      </w:r>
      <w:r>
        <w:rPr>
          <w:w w:val="110"/>
        </w:rPr>
        <w:t>Fatal</w:t>
      </w:r>
      <w:r>
        <w:rPr>
          <w:spacing w:val="-27"/>
          <w:w w:val="110"/>
        </w:rPr>
        <w:t xml:space="preserve"> </w:t>
      </w:r>
      <w:r>
        <w:rPr>
          <w:w w:val="110"/>
        </w:rPr>
        <w:t>traffic</w:t>
      </w:r>
      <w:r>
        <w:rPr>
          <w:spacing w:val="-22"/>
          <w:w w:val="110"/>
        </w:rPr>
        <w:t xml:space="preserve"> </w:t>
      </w:r>
      <w:r>
        <w:rPr>
          <w:w w:val="110"/>
        </w:rPr>
        <w:t>accidents</w:t>
      </w:r>
      <w:r>
        <w:rPr>
          <w:spacing w:val="-20"/>
          <w:w w:val="110"/>
        </w:rPr>
        <w:t xml:space="preserve"> </w:t>
      </w:r>
      <w:r>
        <w:rPr>
          <w:w w:val="110"/>
        </w:rPr>
        <w:t>have</w:t>
      </w:r>
      <w:r>
        <w:rPr>
          <w:spacing w:val="-23"/>
          <w:w w:val="110"/>
        </w:rPr>
        <w:t xml:space="preserve"> </w:t>
      </w:r>
      <w:r>
        <w:rPr>
          <w:w w:val="110"/>
        </w:rPr>
        <w:t>been</w:t>
      </w:r>
      <w:r>
        <w:rPr>
          <w:spacing w:val="-30"/>
          <w:w w:val="110"/>
        </w:rPr>
        <w:t xml:space="preserve"> </w:t>
      </w:r>
      <w:r>
        <w:rPr>
          <w:w w:val="110"/>
        </w:rPr>
        <w:t>found</w:t>
      </w:r>
      <w:r>
        <w:rPr>
          <w:spacing w:val="-26"/>
          <w:w w:val="110"/>
        </w:rPr>
        <w:t xml:space="preserve"> </w:t>
      </w:r>
      <w:r>
        <w:rPr>
          <w:w w:val="110"/>
        </w:rPr>
        <w:t>to</w:t>
      </w:r>
      <w:r>
        <w:rPr>
          <w:spacing w:val="-30"/>
          <w:w w:val="110"/>
        </w:rPr>
        <w:t xml:space="preserve"> </w:t>
      </w:r>
      <w:r>
        <w:rPr>
          <w:w w:val="110"/>
        </w:rPr>
        <w:t>occur</w:t>
      </w:r>
      <w:r>
        <w:rPr>
          <w:spacing w:val="-26"/>
          <w:w w:val="110"/>
        </w:rPr>
        <w:t xml:space="preserve"> </w:t>
      </w:r>
      <w:r>
        <w:rPr>
          <w:w w:val="110"/>
        </w:rPr>
        <w:t>more</w:t>
      </w:r>
      <w:r>
        <w:rPr>
          <w:spacing w:val="-26"/>
          <w:w w:val="110"/>
        </w:rPr>
        <w:t xml:space="preserve"> </w:t>
      </w:r>
      <w:r>
        <w:rPr>
          <w:w w:val="110"/>
        </w:rPr>
        <w:t>often</w:t>
      </w:r>
      <w:r>
        <w:rPr>
          <w:spacing w:val="-22"/>
          <w:w w:val="110"/>
        </w:rPr>
        <w:t xml:space="preserve"> </w:t>
      </w:r>
      <w:r>
        <w:rPr>
          <w:w w:val="110"/>
        </w:rPr>
        <w:t>in</w:t>
      </w:r>
      <w:r>
        <w:rPr>
          <w:spacing w:val="-26"/>
          <w:w w:val="110"/>
        </w:rPr>
        <w:t xml:space="preserve"> </w:t>
      </w:r>
      <w:r>
        <w:rPr>
          <w:w w:val="110"/>
        </w:rPr>
        <w:t>individuals who test positive for cannabinoids than in the general population. However, the significance</w:t>
      </w:r>
      <w:r>
        <w:rPr>
          <w:spacing w:val="-15"/>
          <w:w w:val="110"/>
        </w:rPr>
        <w:t xml:space="preserve"> </w:t>
      </w:r>
      <w:r>
        <w:rPr>
          <w:w w:val="110"/>
        </w:rPr>
        <w:t>of</w:t>
      </w:r>
      <w:r>
        <w:rPr>
          <w:spacing w:val="-16"/>
          <w:w w:val="110"/>
        </w:rPr>
        <w:t xml:space="preserve"> </w:t>
      </w:r>
      <w:r>
        <w:rPr>
          <w:w w:val="110"/>
        </w:rPr>
        <w:t>these</w:t>
      </w:r>
      <w:r>
        <w:rPr>
          <w:spacing w:val="-19"/>
          <w:w w:val="110"/>
        </w:rPr>
        <w:t xml:space="preserve"> </w:t>
      </w:r>
      <w:r>
        <w:rPr>
          <w:w w:val="110"/>
        </w:rPr>
        <w:t>findings</w:t>
      </w:r>
      <w:r>
        <w:rPr>
          <w:spacing w:val="-12"/>
          <w:w w:val="110"/>
        </w:rPr>
        <w:t xml:space="preserve"> </w:t>
      </w:r>
      <w:r>
        <w:rPr>
          <w:w w:val="110"/>
        </w:rPr>
        <w:t>is</w:t>
      </w:r>
      <w:r>
        <w:rPr>
          <w:spacing w:val="-22"/>
          <w:w w:val="110"/>
        </w:rPr>
        <w:t xml:space="preserve"> </w:t>
      </w:r>
      <w:r>
        <w:rPr>
          <w:w w:val="110"/>
        </w:rPr>
        <w:t>unclear</w:t>
      </w:r>
      <w:r>
        <w:rPr>
          <w:spacing w:val="-11"/>
          <w:w w:val="110"/>
        </w:rPr>
        <w:t xml:space="preserve"> </w:t>
      </w:r>
      <w:r>
        <w:rPr>
          <w:w w:val="110"/>
        </w:rPr>
        <w:t>because</w:t>
      </w:r>
      <w:r>
        <w:rPr>
          <w:spacing w:val="-15"/>
          <w:w w:val="110"/>
        </w:rPr>
        <w:t xml:space="preserve"> </w:t>
      </w:r>
      <w:r>
        <w:rPr>
          <w:w w:val="110"/>
        </w:rPr>
        <w:t>alcohol</w:t>
      </w:r>
      <w:r>
        <w:rPr>
          <w:spacing w:val="-14"/>
          <w:w w:val="110"/>
        </w:rPr>
        <w:t xml:space="preserve"> </w:t>
      </w:r>
      <w:r>
        <w:rPr>
          <w:w w:val="110"/>
        </w:rPr>
        <w:t>and</w:t>
      </w:r>
      <w:r>
        <w:rPr>
          <w:spacing w:val="-18"/>
          <w:w w:val="110"/>
        </w:rPr>
        <w:t xml:space="preserve"> </w:t>
      </w:r>
      <w:r>
        <w:rPr>
          <w:w w:val="110"/>
        </w:rPr>
        <w:t>other</w:t>
      </w:r>
      <w:r>
        <w:rPr>
          <w:spacing w:val="-21"/>
          <w:w w:val="110"/>
        </w:rPr>
        <w:t xml:space="preserve"> </w:t>
      </w:r>
      <w:r>
        <w:rPr>
          <w:w w:val="110"/>
        </w:rPr>
        <w:t>substances</w:t>
      </w:r>
      <w:r>
        <w:rPr>
          <w:spacing w:val="-13"/>
          <w:w w:val="110"/>
        </w:rPr>
        <w:t xml:space="preserve"> </w:t>
      </w:r>
      <w:r>
        <w:rPr>
          <w:w w:val="110"/>
        </w:rPr>
        <w:t>are</w:t>
      </w:r>
      <w:r>
        <w:rPr>
          <w:spacing w:val="-21"/>
          <w:w w:val="110"/>
        </w:rPr>
        <w:t xml:space="preserve"> </w:t>
      </w:r>
      <w:r>
        <w:rPr>
          <w:w w:val="110"/>
        </w:rPr>
        <w:t>often also</w:t>
      </w:r>
      <w:r>
        <w:rPr>
          <w:spacing w:val="11"/>
          <w:w w:val="110"/>
        </w:rPr>
        <w:t xml:space="preserve"> </w:t>
      </w:r>
      <w:r>
        <w:rPr>
          <w:w w:val="110"/>
        </w:rPr>
        <w:t>present.</w:t>
      </w:r>
    </w:p>
    <w:p w:rsidR="00E675F0" w:rsidRDefault="00E675F0" w:rsidP="00E675F0">
      <w:pPr>
        <w:pStyle w:val="BodyText"/>
        <w:spacing w:before="9"/>
        <w:rPr>
          <w:sz w:val="24"/>
        </w:rPr>
      </w:pPr>
    </w:p>
    <w:p w:rsidR="00E675F0" w:rsidRDefault="00E675F0" w:rsidP="00E675F0">
      <w:pPr>
        <w:pStyle w:val="BodyText"/>
        <w:spacing w:before="1" w:line="254" w:lineRule="auto"/>
        <w:ind w:left="109" w:right="114"/>
        <w:jc w:val="both"/>
      </w:pPr>
      <w:r>
        <w:rPr>
          <w:b/>
          <w:w w:val="105"/>
        </w:rPr>
        <w:t xml:space="preserve">Associated laboratory findings. </w:t>
      </w:r>
      <w:r>
        <w:rPr>
          <w:w w:val="105"/>
        </w:rPr>
        <w:t>Urine tests generally identify cannabinoid metab­ olites. Because these substances are fat soluble, persist in bodily fluids for extended periods of time, and are excreted slowly, routine urine tests for cannabinoids in individuals who use cannabis casually can be positive for 7-10 days; urine of individuals with heavy use of cannabis may test positive for 2-4 weeks. A positive urine test is only consistent with past use; it does not establish Intoxication, Dependence, or Abuse. Biological alterations include temporary (and probably dose-related) suppression of immunological function and suppressed secretion of testosterone and luteinizing hormone (LH), although the clinical significance of these alterations is unclear. Acute cannabinoid use also causes diffuse slowing of background activity on EEG and rapid eye movement (REM) suppression.</w:t>
      </w:r>
    </w:p>
    <w:p w:rsidR="00E675F0" w:rsidRDefault="00E675F0" w:rsidP="00E675F0">
      <w:pPr>
        <w:pStyle w:val="BodyText"/>
        <w:spacing w:before="10"/>
        <w:rPr>
          <w:sz w:val="23"/>
        </w:rPr>
      </w:pPr>
    </w:p>
    <w:p w:rsidR="00E675F0" w:rsidRDefault="00E675F0" w:rsidP="00E675F0">
      <w:pPr>
        <w:pStyle w:val="BodyText"/>
        <w:spacing w:line="252" w:lineRule="auto"/>
        <w:ind w:left="114" w:right="111" w:hanging="4"/>
        <w:jc w:val="both"/>
      </w:pPr>
      <w:r>
        <w:rPr>
          <w:b/>
          <w:w w:val="105"/>
        </w:rPr>
        <w:t xml:space="preserve">Associated physical examination findings and general  medical  conditions. </w:t>
      </w:r>
      <w:r>
        <w:rPr>
          <w:w w:val="105"/>
        </w:rPr>
        <w:t>Cannabis smoke is highly irritating to the nasopharynx and bronchial lining and thus increases the risk for chronic cough and other signs and symptoms of nasopharyngeal pathology. Chronic cannabis use is sometimes associated with weight gain, probably resulting from overeating and reduced physical activity. Sinusitis, pharyngitis, bronchitis with persistent cough, emphysema, and pulmonary dysplasia may occur with chronic, heavy use. Marijuana smoke contains even larger amounts of known carcinogens than tobacco, and heavy use may increase the risk of developing malignant</w:t>
      </w:r>
      <w:r>
        <w:rPr>
          <w:spacing w:val="44"/>
          <w:w w:val="105"/>
        </w:rPr>
        <w:t xml:space="preserve"> </w:t>
      </w:r>
      <w:r>
        <w:rPr>
          <w:w w:val="105"/>
        </w:rPr>
        <w:t>disease.</w:t>
      </w:r>
    </w:p>
    <w:p w:rsidR="00E675F0" w:rsidRDefault="00E675F0" w:rsidP="00E675F0">
      <w:pPr>
        <w:pStyle w:val="BodyText"/>
        <w:rPr>
          <w:sz w:val="22"/>
        </w:rPr>
      </w:pPr>
    </w:p>
    <w:p w:rsidR="00E675F0" w:rsidRDefault="00E675F0" w:rsidP="00E675F0">
      <w:pPr>
        <w:spacing w:before="138"/>
        <w:ind w:left="107"/>
        <w:rPr>
          <w:rFonts w:ascii="TimesNewRomanPS-BoldItalicMT"/>
          <w:b/>
          <w:i/>
          <w:sz w:val="24"/>
        </w:rPr>
      </w:pPr>
      <w:r>
        <w:rPr>
          <w:rFonts w:ascii="TimesNewRomanPS-BoldItalicMT"/>
          <w:b/>
          <w:i/>
          <w:w w:val="110"/>
          <w:sz w:val="24"/>
        </w:rPr>
        <w:t>Specific Culture, Age, and Gender Features</w:t>
      </w:r>
    </w:p>
    <w:p w:rsidR="00E675F0" w:rsidRDefault="00E675F0" w:rsidP="00E675F0">
      <w:pPr>
        <w:pStyle w:val="BodyText"/>
        <w:spacing w:before="136" w:line="254" w:lineRule="auto"/>
        <w:ind w:left="111" w:right="101" w:firstLine="2"/>
        <w:jc w:val="both"/>
      </w:pPr>
      <w:r>
        <w:rPr>
          <w:w w:val="110"/>
        </w:rPr>
        <w:t>Cannabis</w:t>
      </w:r>
      <w:r>
        <w:rPr>
          <w:spacing w:val="-28"/>
          <w:w w:val="110"/>
        </w:rPr>
        <w:t xml:space="preserve"> </w:t>
      </w:r>
      <w:r>
        <w:rPr>
          <w:w w:val="110"/>
        </w:rPr>
        <w:t>is</w:t>
      </w:r>
      <w:r>
        <w:rPr>
          <w:spacing w:val="-32"/>
          <w:w w:val="110"/>
        </w:rPr>
        <w:t xml:space="preserve"> </w:t>
      </w:r>
      <w:r>
        <w:rPr>
          <w:w w:val="110"/>
        </w:rPr>
        <w:t>probably</w:t>
      </w:r>
      <w:r>
        <w:rPr>
          <w:spacing w:val="-32"/>
          <w:w w:val="110"/>
        </w:rPr>
        <w:t xml:space="preserve"> </w:t>
      </w:r>
      <w:r>
        <w:rPr>
          <w:w w:val="110"/>
        </w:rPr>
        <w:t>the</w:t>
      </w:r>
      <w:r>
        <w:rPr>
          <w:spacing w:val="-27"/>
          <w:w w:val="110"/>
        </w:rPr>
        <w:t xml:space="preserve"> </w:t>
      </w:r>
      <w:r>
        <w:rPr>
          <w:w w:val="110"/>
        </w:rPr>
        <w:t>world's</w:t>
      </w:r>
      <w:r>
        <w:rPr>
          <w:spacing w:val="-28"/>
          <w:w w:val="110"/>
        </w:rPr>
        <w:t xml:space="preserve"> </w:t>
      </w:r>
      <w:r>
        <w:rPr>
          <w:w w:val="110"/>
        </w:rPr>
        <w:t>most</w:t>
      </w:r>
      <w:r>
        <w:rPr>
          <w:spacing w:val="-32"/>
          <w:w w:val="110"/>
        </w:rPr>
        <w:t xml:space="preserve"> </w:t>
      </w:r>
      <w:r>
        <w:rPr>
          <w:w w:val="110"/>
        </w:rPr>
        <w:t>commonly</w:t>
      </w:r>
      <w:r>
        <w:rPr>
          <w:spacing w:val="-22"/>
          <w:w w:val="110"/>
        </w:rPr>
        <w:t xml:space="preserve"> </w:t>
      </w:r>
      <w:r>
        <w:rPr>
          <w:w w:val="110"/>
        </w:rPr>
        <w:t>used</w:t>
      </w:r>
      <w:r>
        <w:rPr>
          <w:spacing w:val="-29"/>
          <w:w w:val="110"/>
        </w:rPr>
        <w:t xml:space="preserve"> </w:t>
      </w:r>
      <w:r>
        <w:rPr>
          <w:w w:val="110"/>
        </w:rPr>
        <w:t>illicit</w:t>
      </w:r>
      <w:r>
        <w:rPr>
          <w:spacing w:val="-33"/>
          <w:w w:val="110"/>
        </w:rPr>
        <w:t xml:space="preserve"> </w:t>
      </w:r>
      <w:r>
        <w:rPr>
          <w:w w:val="110"/>
        </w:rPr>
        <w:t>substance.</w:t>
      </w:r>
      <w:r>
        <w:rPr>
          <w:spacing w:val="-24"/>
          <w:w w:val="110"/>
        </w:rPr>
        <w:t xml:space="preserve"> </w:t>
      </w:r>
      <w:r>
        <w:rPr>
          <w:w w:val="110"/>
          <w:sz w:val="19"/>
        </w:rPr>
        <w:t>It</w:t>
      </w:r>
      <w:r>
        <w:rPr>
          <w:spacing w:val="-29"/>
          <w:w w:val="110"/>
          <w:sz w:val="19"/>
        </w:rPr>
        <w:t xml:space="preserve"> </w:t>
      </w:r>
      <w:r>
        <w:rPr>
          <w:w w:val="110"/>
        </w:rPr>
        <w:t>has</w:t>
      </w:r>
      <w:r>
        <w:rPr>
          <w:spacing w:val="-31"/>
          <w:w w:val="110"/>
        </w:rPr>
        <w:t xml:space="preserve"> </w:t>
      </w:r>
      <w:r>
        <w:rPr>
          <w:w w:val="110"/>
        </w:rPr>
        <w:t>been</w:t>
      </w:r>
      <w:r>
        <w:rPr>
          <w:spacing w:val="-29"/>
          <w:w w:val="110"/>
        </w:rPr>
        <w:t xml:space="preserve"> </w:t>
      </w:r>
      <w:r>
        <w:rPr>
          <w:w w:val="110"/>
        </w:rPr>
        <w:t>taken since ancient times for its psychoactive effects and as a remedy for a wide range of medical</w:t>
      </w:r>
      <w:r>
        <w:rPr>
          <w:spacing w:val="-11"/>
          <w:w w:val="110"/>
        </w:rPr>
        <w:t xml:space="preserve"> </w:t>
      </w:r>
      <w:r>
        <w:rPr>
          <w:w w:val="110"/>
        </w:rPr>
        <w:t>conditions.</w:t>
      </w:r>
      <w:r>
        <w:rPr>
          <w:spacing w:val="-6"/>
          <w:w w:val="110"/>
        </w:rPr>
        <w:t xml:space="preserve"> </w:t>
      </w:r>
      <w:r>
        <w:rPr>
          <w:w w:val="110"/>
        </w:rPr>
        <w:t>Cannabis</w:t>
      </w:r>
      <w:r>
        <w:rPr>
          <w:spacing w:val="-7"/>
          <w:w w:val="110"/>
        </w:rPr>
        <w:t xml:space="preserve"> </w:t>
      </w:r>
      <w:r>
        <w:rPr>
          <w:w w:val="110"/>
        </w:rPr>
        <w:t>is</w:t>
      </w:r>
      <w:r>
        <w:rPr>
          <w:spacing w:val="-14"/>
          <w:w w:val="110"/>
        </w:rPr>
        <w:t xml:space="preserve"> </w:t>
      </w:r>
      <w:r>
        <w:rPr>
          <w:w w:val="110"/>
        </w:rPr>
        <w:t>among</w:t>
      </w:r>
      <w:r>
        <w:rPr>
          <w:spacing w:val="-7"/>
          <w:w w:val="110"/>
        </w:rPr>
        <w:t xml:space="preserve"> </w:t>
      </w:r>
      <w:r>
        <w:rPr>
          <w:w w:val="110"/>
        </w:rPr>
        <w:t>the</w:t>
      </w:r>
      <w:r>
        <w:rPr>
          <w:spacing w:val="-17"/>
          <w:w w:val="110"/>
        </w:rPr>
        <w:t xml:space="preserve"> </w:t>
      </w:r>
      <w:r>
        <w:rPr>
          <w:w w:val="110"/>
        </w:rPr>
        <w:t>first</w:t>
      </w:r>
      <w:r>
        <w:rPr>
          <w:spacing w:val="-9"/>
          <w:w w:val="110"/>
        </w:rPr>
        <w:t xml:space="preserve"> </w:t>
      </w:r>
      <w:r>
        <w:rPr>
          <w:w w:val="110"/>
        </w:rPr>
        <w:t>drugs</w:t>
      </w:r>
      <w:r>
        <w:rPr>
          <w:spacing w:val="-11"/>
          <w:w w:val="110"/>
        </w:rPr>
        <w:t xml:space="preserve"> </w:t>
      </w:r>
      <w:r>
        <w:rPr>
          <w:w w:val="110"/>
        </w:rPr>
        <w:t>of</w:t>
      </w:r>
      <w:r>
        <w:rPr>
          <w:spacing w:val="-11"/>
          <w:w w:val="110"/>
        </w:rPr>
        <w:t xml:space="preserve"> </w:t>
      </w:r>
      <w:r>
        <w:rPr>
          <w:w w:val="110"/>
        </w:rPr>
        <w:t>experimentation</w:t>
      </w:r>
      <w:r>
        <w:rPr>
          <w:spacing w:val="-18"/>
          <w:w w:val="110"/>
        </w:rPr>
        <w:t xml:space="preserve"> </w:t>
      </w:r>
      <w:r>
        <w:rPr>
          <w:w w:val="110"/>
        </w:rPr>
        <w:t>(often</w:t>
      </w:r>
      <w:r>
        <w:rPr>
          <w:spacing w:val="-10"/>
          <w:w w:val="110"/>
        </w:rPr>
        <w:t xml:space="preserve"> </w:t>
      </w:r>
      <w:r>
        <w:rPr>
          <w:w w:val="110"/>
        </w:rPr>
        <w:t>in</w:t>
      </w:r>
      <w:r>
        <w:rPr>
          <w:spacing w:val="-14"/>
          <w:w w:val="110"/>
        </w:rPr>
        <w:t xml:space="preserve"> </w:t>
      </w:r>
      <w:r>
        <w:rPr>
          <w:w w:val="110"/>
        </w:rPr>
        <w:t>the teens)</w:t>
      </w:r>
      <w:r>
        <w:rPr>
          <w:spacing w:val="-42"/>
          <w:w w:val="110"/>
        </w:rPr>
        <w:t xml:space="preserve"> </w:t>
      </w:r>
      <w:r>
        <w:rPr>
          <w:w w:val="110"/>
        </w:rPr>
        <w:t>for</w:t>
      </w:r>
      <w:r>
        <w:rPr>
          <w:spacing w:val="-44"/>
          <w:w w:val="110"/>
        </w:rPr>
        <w:t xml:space="preserve"> </w:t>
      </w:r>
      <w:r>
        <w:rPr>
          <w:w w:val="110"/>
        </w:rPr>
        <w:t>all</w:t>
      </w:r>
      <w:r>
        <w:rPr>
          <w:spacing w:val="-40"/>
          <w:w w:val="110"/>
        </w:rPr>
        <w:t xml:space="preserve"> </w:t>
      </w:r>
      <w:r>
        <w:rPr>
          <w:w w:val="110"/>
        </w:rPr>
        <w:t>cultural</w:t>
      </w:r>
      <w:r>
        <w:rPr>
          <w:spacing w:val="-39"/>
          <w:w w:val="110"/>
        </w:rPr>
        <w:t xml:space="preserve"> </w:t>
      </w:r>
      <w:r>
        <w:rPr>
          <w:w w:val="110"/>
        </w:rPr>
        <w:t>groups</w:t>
      </w:r>
      <w:r>
        <w:rPr>
          <w:spacing w:val="-38"/>
          <w:w w:val="110"/>
        </w:rPr>
        <w:t xml:space="preserve"> </w:t>
      </w:r>
      <w:r>
        <w:rPr>
          <w:w w:val="110"/>
        </w:rPr>
        <w:t>in</w:t>
      </w:r>
      <w:r>
        <w:rPr>
          <w:spacing w:val="-40"/>
          <w:w w:val="110"/>
        </w:rPr>
        <w:t xml:space="preserve"> </w:t>
      </w:r>
      <w:r>
        <w:rPr>
          <w:w w:val="110"/>
        </w:rPr>
        <w:t>the</w:t>
      </w:r>
      <w:r>
        <w:rPr>
          <w:spacing w:val="-38"/>
          <w:w w:val="110"/>
        </w:rPr>
        <w:t xml:space="preserve"> </w:t>
      </w:r>
      <w:r>
        <w:rPr>
          <w:w w:val="110"/>
        </w:rPr>
        <w:t>United</w:t>
      </w:r>
      <w:r>
        <w:rPr>
          <w:spacing w:val="-41"/>
          <w:w w:val="110"/>
        </w:rPr>
        <w:t xml:space="preserve"> </w:t>
      </w:r>
      <w:r>
        <w:rPr>
          <w:w w:val="110"/>
        </w:rPr>
        <w:t>States.</w:t>
      </w:r>
      <w:r>
        <w:rPr>
          <w:spacing w:val="-41"/>
          <w:w w:val="110"/>
        </w:rPr>
        <w:t xml:space="preserve"> </w:t>
      </w:r>
      <w:r>
        <w:rPr>
          <w:w w:val="110"/>
        </w:rPr>
        <w:t>As</w:t>
      </w:r>
      <w:r>
        <w:rPr>
          <w:spacing w:val="-41"/>
          <w:w w:val="110"/>
        </w:rPr>
        <w:t xml:space="preserve"> </w:t>
      </w:r>
      <w:r>
        <w:rPr>
          <w:w w:val="110"/>
        </w:rPr>
        <w:t>with</w:t>
      </w:r>
      <w:r>
        <w:rPr>
          <w:spacing w:val="-37"/>
          <w:w w:val="110"/>
        </w:rPr>
        <w:t xml:space="preserve"> </w:t>
      </w:r>
      <w:r>
        <w:rPr>
          <w:w w:val="110"/>
        </w:rPr>
        <w:t>most</w:t>
      </w:r>
      <w:r>
        <w:rPr>
          <w:spacing w:val="-38"/>
          <w:w w:val="110"/>
        </w:rPr>
        <w:t xml:space="preserve"> </w:t>
      </w:r>
      <w:r>
        <w:rPr>
          <w:w w:val="110"/>
        </w:rPr>
        <w:t>other</w:t>
      </w:r>
      <w:r>
        <w:rPr>
          <w:spacing w:val="-42"/>
          <w:w w:val="110"/>
        </w:rPr>
        <w:t xml:space="preserve"> </w:t>
      </w:r>
      <w:r>
        <w:rPr>
          <w:w w:val="110"/>
        </w:rPr>
        <w:t>illicit</w:t>
      </w:r>
      <w:r>
        <w:rPr>
          <w:spacing w:val="-40"/>
          <w:w w:val="110"/>
        </w:rPr>
        <w:t xml:space="preserve"> </w:t>
      </w:r>
      <w:r>
        <w:rPr>
          <w:w w:val="110"/>
        </w:rPr>
        <w:t>drugs,</w:t>
      </w:r>
      <w:r>
        <w:rPr>
          <w:spacing w:val="-38"/>
          <w:w w:val="110"/>
        </w:rPr>
        <w:t xml:space="preserve"> </w:t>
      </w:r>
      <w:r>
        <w:rPr>
          <w:w w:val="110"/>
        </w:rPr>
        <w:t>Cannabis Use</w:t>
      </w:r>
      <w:r>
        <w:rPr>
          <w:spacing w:val="-16"/>
          <w:w w:val="110"/>
        </w:rPr>
        <w:t xml:space="preserve"> </w:t>
      </w:r>
      <w:r>
        <w:rPr>
          <w:w w:val="110"/>
        </w:rPr>
        <w:t>Disorders</w:t>
      </w:r>
      <w:r>
        <w:rPr>
          <w:spacing w:val="-7"/>
          <w:w w:val="110"/>
        </w:rPr>
        <w:t xml:space="preserve"> </w:t>
      </w:r>
      <w:r>
        <w:rPr>
          <w:w w:val="110"/>
        </w:rPr>
        <w:t>appear</w:t>
      </w:r>
      <w:r>
        <w:rPr>
          <w:spacing w:val="-9"/>
          <w:w w:val="110"/>
        </w:rPr>
        <w:t xml:space="preserve"> </w:t>
      </w:r>
      <w:r>
        <w:rPr>
          <w:w w:val="110"/>
        </w:rPr>
        <w:t>more</w:t>
      </w:r>
      <w:r>
        <w:rPr>
          <w:spacing w:val="-15"/>
          <w:w w:val="110"/>
        </w:rPr>
        <w:t xml:space="preserve"> </w:t>
      </w:r>
      <w:r>
        <w:rPr>
          <w:w w:val="110"/>
        </w:rPr>
        <w:t>often</w:t>
      </w:r>
      <w:r>
        <w:rPr>
          <w:spacing w:val="-15"/>
          <w:w w:val="110"/>
        </w:rPr>
        <w:t xml:space="preserve"> </w:t>
      </w:r>
      <w:r>
        <w:rPr>
          <w:w w:val="110"/>
        </w:rPr>
        <w:t>in</w:t>
      </w:r>
      <w:r>
        <w:rPr>
          <w:spacing w:val="-16"/>
          <w:w w:val="110"/>
        </w:rPr>
        <w:t xml:space="preserve"> </w:t>
      </w:r>
      <w:r>
        <w:rPr>
          <w:w w:val="110"/>
        </w:rPr>
        <w:t>males,</w:t>
      </w:r>
      <w:r>
        <w:rPr>
          <w:spacing w:val="-12"/>
          <w:w w:val="110"/>
        </w:rPr>
        <w:t xml:space="preserve"> </w:t>
      </w:r>
      <w:r>
        <w:rPr>
          <w:w w:val="110"/>
        </w:rPr>
        <w:t>and</w:t>
      </w:r>
      <w:r>
        <w:rPr>
          <w:spacing w:val="-11"/>
          <w:w w:val="110"/>
        </w:rPr>
        <w:t xml:space="preserve"> </w:t>
      </w:r>
      <w:r>
        <w:rPr>
          <w:w w:val="110"/>
        </w:rPr>
        <w:t>prevalence</w:t>
      </w:r>
      <w:r>
        <w:rPr>
          <w:spacing w:val="-5"/>
          <w:w w:val="110"/>
        </w:rPr>
        <w:t xml:space="preserve"> </w:t>
      </w:r>
      <w:r>
        <w:rPr>
          <w:w w:val="110"/>
        </w:rPr>
        <w:t>is</w:t>
      </w:r>
      <w:r>
        <w:rPr>
          <w:spacing w:val="-17"/>
          <w:w w:val="110"/>
        </w:rPr>
        <w:t xml:space="preserve"> </w:t>
      </w:r>
      <w:r>
        <w:rPr>
          <w:w w:val="110"/>
        </w:rPr>
        <w:t>most</w:t>
      </w:r>
      <w:r>
        <w:rPr>
          <w:spacing w:val="-11"/>
          <w:w w:val="110"/>
        </w:rPr>
        <w:t xml:space="preserve"> </w:t>
      </w:r>
      <w:r>
        <w:rPr>
          <w:w w:val="110"/>
        </w:rPr>
        <w:t>common</w:t>
      </w:r>
      <w:r>
        <w:rPr>
          <w:spacing w:val="-8"/>
          <w:w w:val="110"/>
        </w:rPr>
        <w:t xml:space="preserve"> </w:t>
      </w:r>
      <w:r>
        <w:rPr>
          <w:w w:val="110"/>
        </w:rPr>
        <w:t>in</w:t>
      </w:r>
      <w:r>
        <w:rPr>
          <w:spacing w:val="-12"/>
          <w:w w:val="110"/>
        </w:rPr>
        <w:t xml:space="preserve"> </w:t>
      </w:r>
      <w:r>
        <w:rPr>
          <w:w w:val="110"/>
        </w:rPr>
        <w:t>persons between ages 18 and 30</w:t>
      </w:r>
      <w:r>
        <w:rPr>
          <w:spacing w:val="20"/>
          <w:w w:val="110"/>
        </w:rPr>
        <w:t xml:space="preserve"> </w:t>
      </w:r>
      <w:r>
        <w:rPr>
          <w:w w:val="110"/>
        </w:rPr>
        <w:t>years.</w:t>
      </w:r>
    </w:p>
    <w:p w:rsidR="00E675F0" w:rsidRDefault="00E675F0" w:rsidP="00E675F0">
      <w:pPr>
        <w:pStyle w:val="BodyText"/>
        <w:rPr>
          <w:sz w:val="22"/>
        </w:rPr>
      </w:pPr>
    </w:p>
    <w:p w:rsidR="00E675F0" w:rsidRDefault="00E675F0" w:rsidP="00E675F0">
      <w:pPr>
        <w:spacing w:before="155"/>
        <w:ind w:left="104"/>
        <w:rPr>
          <w:rFonts w:ascii="TimesNewRomanPS-BoldItalicMT"/>
          <w:b/>
          <w:i/>
          <w:sz w:val="24"/>
        </w:rPr>
      </w:pPr>
      <w:r>
        <w:rPr>
          <w:rFonts w:ascii="TimesNewRomanPS-BoldItalicMT"/>
          <w:b/>
          <w:i/>
          <w:w w:val="115"/>
          <w:sz w:val="24"/>
        </w:rPr>
        <w:t>Prevalence</w:t>
      </w:r>
    </w:p>
    <w:p w:rsidR="00E675F0" w:rsidRDefault="00E675F0" w:rsidP="00E675F0">
      <w:pPr>
        <w:pStyle w:val="BodyText"/>
        <w:spacing w:before="141" w:line="254" w:lineRule="auto"/>
        <w:ind w:left="116" w:right="100" w:firstLine="2"/>
        <w:jc w:val="both"/>
      </w:pPr>
      <w:r>
        <w:rPr>
          <w:w w:val="105"/>
        </w:rPr>
        <w:t>Cannabinoids, especially cannabis, are also the most widely used illicit psychoactive substances in the United States, even though lifetime prevalence figures have slowly decreased from the figures obtained by surveys in the 1980s. A community survey conducted in the United States in 1991 reported that about one-third of the population</w:t>
      </w:r>
    </w:p>
    <w:p w:rsidR="00E675F0" w:rsidRDefault="00E675F0" w:rsidP="00E675F0">
      <w:pPr>
        <w:spacing w:line="254" w:lineRule="auto"/>
        <w:jc w:val="both"/>
        <w:sectPr w:rsidR="00E675F0">
          <w:pgSz w:w="8960" w:h="14260"/>
          <w:pgMar w:top="1400" w:right="640" w:bottom="280" w:left="620" w:header="687" w:footer="0" w:gutter="0"/>
          <w:cols w:space="720"/>
        </w:sectPr>
      </w:pPr>
    </w:p>
    <w:p w:rsidR="00E675F0" w:rsidRDefault="00E675F0" w:rsidP="00E675F0">
      <w:pPr>
        <w:pStyle w:val="BodyText"/>
        <w:spacing w:before="113" w:line="254" w:lineRule="auto"/>
        <w:ind w:left="134" w:right="112" w:firstLine="11"/>
        <w:jc w:val="both"/>
      </w:pPr>
      <w:r>
        <w:rPr>
          <w:w w:val="105"/>
        </w:rPr>
        <w:lastRenderedPageBreak/>
        <w:t>had used marijuana one or more times in their lifetime; 10% had used it in the last year; and 5% had used it in the last month. Because the survey assessed patterns of use rather than diagnoses, it is not known how many of those who used marijuana had symptoms that met criteria for Dependence or Abuse. A community study conducted in the United States</w:t>
      </w:r>
      <w:r>
        <w:rPr>
          <w:spacing w:val="-13"/>
          <w:w w:val="105"/>
        </w:rPr>
        <w:t xml:space="preserve"> </w:t>
      </w:r>
      <w:r>
        <w:rPr>
          <w:w w:val="105"/>
        </w:rPr>
        <w:t>from</w:t>
      </w:r>
      <w:r>
        <w:rPr>
          <w:spacing w:val="-13"/>
          <w:w w:val="105"/>
        </w:rPr>
        <w:t xml:space="preserve"> </w:t>
      </w:r>
      <w:r>
        <w:rPr>
          <w:w w:val="105"/>
        </w:rPr>
        <w:t>1980</w:t>
      </w:r>
      <w:r>
        <w:rPr>
          <w:spacing w:val="-9"/>
          <w:w w:val="105"/>
        </w:rPr>
        <w:t xml:space="preserve"> </w:t>
      </w:r>
      <w:r>
        <w:rPr>
          <w:w w:val="105"/>
        </w:rPr>
        <w:t>to</w:t>
      </w:r>
      <w:r>
        <w:rPr>
          <w:spacing w:val="-12"/>
          <w:w w:val="105"/>
        </w:rPr>
        <w:t xml:space="preserve"> </w:t>
      </w:r>
      <w:r>
        <w:rPr>
          <w:w w:val="105"/>
        </w:rPr>
        <w:t>1985</w:t>
      </w:r>
      <w:r>
        <w:rPr>
          <w:spacing w:val="-15"/>
          <w:w w:val="105"/>
        </w:rPr>
        <w:t xml:space="preserve"> </w:t>
      </w:r>
      <w:r>
        <w:rPr>
          <w:w w:val="105"/>
        </w:rPr>
        <w:t>that</w:t>
      </w:r>
      <w:r>
        <w:rPr>
          <w:spacing w:val="-9"/>
          <w:w w:val="105"/>
        </w:rPr>
        <w:t xml:space="preserve"> </w:t>
      </w:r>
      <w:r>
        <w:rPr>
          <w:w w:val="105"/>
        </w:rPr>
        <w:t>used</w:t>
      </w:r>
      <w:r>
        <w:rPr>
          <w:spacing w:val="-5"/>
          <w:w w:val="105"/>
        </w:rPr>
        <w:t xml:space="preserve"> </w:t>
      </w:r>
      <w:r>
        <w:rPr>
          <w:w w:val="105"/>
        </w:rPr>
        <w:t>the</w:t>
      </w:r>
      <w:r>
        <w:rPr>
          <w:spacing w:val="-11"/>
          <w:w w:val="105"/>
        </w:rPr>
        <w:t xml:space="preserve"> </w:t>
      </w:r>
      <w:r>
        <w:rPr>
          <w:w w:val="105"/>
        </w:rPr>
        <w:t>more</w:t>
      </w:r>
      <w:r>
        <w:rPr>
          <w:spacing w:val="-3"/>
          <w:w w:val="105"/>
        </w:rPr>
        <w:t xml:space="preserve"> </w:t>
      </w:r>
      <w:r>
        <w:rPr>
          <w:w w:val="105"/>
        </w:rPr>
        <w:t>narrowly</w:t>
      </w:r>
      <w:r>
        <w:rPr>
          <w:spacing w:val="2"/>
          <w:w w:val="105"/>
        </w:rPr>
        <w:t xml:space="preserve"> </w:t>
      </w:r>
      <w:r>
        <w:rPr>
          <w:w w:val="105"/>
        </w:rPr>
        <w:t>defined</w:t>
      </w:r>
      <w:r>
        <w:rPr>
          <w:spacing w:val="-1"/>
          <w:w w:val="105"/>
        </w:rPr>
        <w:t xml:space="preserve"> </w:t>
      </w:r>
      <w:r>
        <w:rPr>
          <w:w w:val="105"/>
        </w:rPr>
        <w:t>DSM-III</w:t>
      </w:r>
      <w:r>
        <w:rPr>
          <w:spacing w:val="1"/>
          <w:w w:val="105"/>
        </w:rPr>
        <w:t xml:space="preserve"> </w:t>
      </w:r>
      <w:r>
        <w:rPr>
          <w:w w:val="105"/>
        </w:rPr>
        <w:t>criteria</w:t>
      </w:r>
      <w:r>
        <w:rPr>
          <w:spacing w:val="-2"/>
          <w:w w:val="105"/>
        </w:rPr>
        <w:t xml:space="preserve"> </w:t>
      </w:r>
      <w:r>
        <w:rPr>
          <w:w w:val="105"/>
        </w:rPr>
        <w:t>found</w:t>
      </w:r>
      <w:r>
        <w:rPr>
          <w:spacing w:val="-9"/>
          <w:w w:val="105"/>
        </w:rPr>
        <w:t xml:space="preserve"> </w:t>
      </w:r>
      <w:r>
        <w:rPr>
          <w:w w:val="105"/>
        </w:rPr>
        <w:t>that about 4% of the adult population had Cannabis Dependence or Abuse at some time in their</w:t>
      </w:r>
      <w:r>
        <w:rPr>
          <w:spacing w:val="6"/>
          <w:w w:val="105"/>
        </w:rPr>
        <w:t xml:space="preserve"> </w:t>
      </w:r>
      <w:r>
        <w:rPr>
          <w:w w:val="105"/>
        </w:rPr>
        <w:t>lives.</w:t>
      </w:r>
    </w:p>
    <w:p w:rsidR="00E675F0" w:rsidRDefault="00E675F0" w:rsidP="00E675F0">
      <w:pPr>
        <w:pStyle w:val="BodyText"/>
        <w:rPr>
          <w:sz w:val="22"/>
        </w:rPr>
      </w:pPr>
    </w:p>
    <w:p w:rsidR="00E675F0" w:rsidRDefault="00E675F0" w:rsidP="00E675F0">
      <w:pPr>
        <w:spacing w:before="157"/>
        <w:ind w:left="116"/>
        <w:rPr>
          <w:rFonts w:ascii="TimesNewRomanPS-BoldItalicMT"/>
          <w:b/>
          <w:i/>
          <w:sz w:val="25"/>
        </w:rPr>
      </w:pPr>
      <w:r>
        <w:rPr>
          <w:rFonts w:ascii="TimesNewRomanPS-BoldItalicMT"/>
          <w:b/>
          <w:i/>
          <w:w w:val="110"/>
          <w:sz w:val="25"/>
        </w:rPr>
        <w:t>Course</w:t>
      </w:r>
    </w:p>
    <w:p w:rsidR="00E675F0" w:rsidRDefault="00E675F0" w:rsidP="00E675F0">
      <w:pPr>
        <w:pStyle w:val="BodyText"/>
        <w:spacing w:before="148" w:line="254" w:lineRule="auto"/>
        <w:ind w:left="136" w:right="113" w:firstLine="3"/>
        <w:jc w:val="both"/>
      </w:pPr>
      <w:r>
        <w:rPr>
          <w:w w:val="105"/>
        </w:rPr>
        <w:t>Cannabis Dependence and Abuse usually develop over an extended period of time. Those who become dependent typically establish a pattern of chronic use that gradually increases in both frequency and amount. With chronic heavy use, there is sometimes a diminution or loss of the pleasurable effects of the substance. Although there may also be a corresponding increase in dysphoric effects, these are not seen as frequently as in chronic use of other substances such as alcohol, cocaine,  or amphetamines.  A history  of Conduct Disorder in childhood or adolescence and Antisocial Personality Disorder are risk factors for the development of many Substance-Related Disorders, including Cannabis-Related Disorders. Few data are available on the long-term course of Cannabis Dependence or</w:t>
      </w:r>
      <w:r>
        <w:rPr>
          <w:spacing w:val="-27"/>
          <w:w w:val="105"/>
        </w:rPr>
        <w:t xml:space="preserve"> </w:t>
      </w:r>
      <w:r>
        <w:rPr>
          <w:w w:val="105"/>
        </w:rPr>
        <w:t>Abuse.</w:t>
      </w:r>
    </w:p>
    <w:p w:rsidR="00E675F0" w:rsidRDefault="00E675F0" w:rsidP="00E675F0">
      <w:pPr>
        <w:pStyle w:val="BodyText"/>
        <w:rPr>
          <w:sz w:val="22"/>
        </w:rPr>
      </w:pPr>
    </w:p>
    <w:p w:rsidR="00E675F0" w:rsidRDefault="00E675F0" w:rsidP="00E675F0">
      <w:pPr>
        <w:spacing w:before="166"/>
        <w:ind w:left="116"/>
        <w:rPr>
          <w:rFonts w:ascii="TimesNewRomanPS-BoldItalicMT"/>
          <w:b/>
          <w:i/>
          <w:sz w:val="25"/>
        </w:rPr>
      </w:pPr>
      <w:r>
        <w:rPr>
          <w:rFonts w:ascii="TimesNewRomanPS-BoldItalicMT"/>
          <w:b/>
          <w:i/>
          <w:w w:val="115"/>
          <w:sz w:val="25"/>
        </w:rPr>
        <w:t>m.[ferential magnosis</w:t>
      </w:r>
    </w:p>
    <w:p w:rsidR="00E675F0" w:rsidRDefault="00E675F0" w:rsidP="00E675F0">
      <w:pPr>
        <w:pStyle w:val="BodyText"/>
        <w:spacing w:before="144"/>
        <w:ind w:left="144"/>
        <w:jc w:val="both"/>
      </w:pPr>
      <w:r>
        <w:rPr>
          <w:w w:val="105"/>
        </w:rPr>
        <w:t>For a general discussion of the differential diagnosis of Substance-Related Disorders, see</w:t>
      </w:r>
    </w:p>
    <w:p w:rsidR="00E675F0" w:rsidRDefault="00E675F0" w:rsidP="00E675F0">
      <w:pPr>
        <w:spacing w:before="15" w:line="249" w:lineRule="auto"/>
        <w:ind w:left="135" w:right="114" w:firstLine="13"/>
        <w:jc w:val="both"/>
        <w:rPr>
          <w:sz w:val="20"/>
        </w:rPr>
      </w:pPr>
      <w:r>
        <w:rPr>
          <w:w w:val="105"/>
          <w:sz w:val="20"/>
        </w:rPr>
        <w:t xml:space="preserve">p. 190. Cannabis-Induced Disorders may be characterized by symptoms (e.g., anxiety) that resemble </w:t>
      </w:r>
      <w:r>
        <w:rPr>
          <w:b/>
          <w:w w:val="105"/>
          <w:sz w:val="20"/>
        </w:rPr>
        <w:t xml:space="preserve">primary mental disorders </w:t>
      </w:r>
      <w:r>
        <w:rPr>
          <w:w w:val="105"/>
          <w:sz w:val="20"/>
        </w:rPr>
        <w:t xml:space="preserve">(e.g., Generalized Anxiety Disorder versus Cannabis-Induced Anxiety Disorder, With Generalized Anxiety, With Onset During Intoxication). See p. 193 for a discussion of this differential diagnosis. Chronic intake of cannabis can produce symptoms that resemble </w:t>
      </w:r>
      <w:r>
        <w:rPr>
          <w:b/>
          <w:w w:val="105"/>
          <w:sz w:val="20"/>
        </w:rPr>
        <w:t xml:space="preserve">Dysthymic Disorder. </w:t>
      </w:r>
      <w:r>
        <w:rPr>
          <w:w w:val="105"/>
          <w:sz w:val="20"/>
        </w:rPr>
        <w:t xml:space="preserve">Acute adverse reactions to cannabis should be differentiated from the symptoms of </w:t>
      </w:r>
      <w:r>
        <w:rPr>
          <w:b/>
          <w:w w:val="105"/>
          <w:sz w:val="20"/>
        </w:rPr>
        <w:t xml:space="preserve">Panic Disorder, Major Depressive Disorder, Delusional Disorder, Bipolar Disorder, </w:t>
      </w:r>
      <w:r>
        <w:rPr>
          <w:rFonts w:ascii="Arial" w:hAnsi="Arial"/>
          <w:b/>
          <w:w w:val="105"/>
          <w:sz w:val="17"/>
        </w:rPr>
        <w:t xml:space="preserve">or </w:t>
      </w:r>
      <w:r>
        <w:rPr>
          <w:b/>
          <w:w w:val="105"/>
          <w:sz w:val="20"/>
        </w:rPr>
        <w:t xml:space="preserve">Schizo­ phrenia, Paranoid Type. </w:t>
      </w:r>
      <w:r>
        <w:rPr>
          <w:w w:val="105"/>
          <w:sz w:val="20"/>
        </w:rPr>
        <w:t>Physical examination will usually show an increased pulse and injected conjunctivas. Urine toxicological testing can be helpful in making a diagnosis.</w:t>
      </w:r>
    </w:p>
    <w:p w:rsidR="00E675F0" w:rsidRDefault="00E675F0" w:rsidP="00E675F0">
      <w:pPr>
        <w:pStyle w:val="BodyText"/>
        <w:spacing w:before="12" w:line="254" w:lineRule="auto"/>
        <w:ind w:left="136" w:right="111" w:firstLine="367"/>
        <w:jc w:val="both"/>
      </w:pPr>
      <w:r>
        <w:rPr>
          <w:w w:val="105"/>
        </w:rPr>
        <w:t xml:space="preserve">In contrast to Cannabis Intoxication, </w:t>
      </w:r>
      <w:r>
        <w:rPr>
          <w:b/>
          <w:w w:val="105"/>
        </w:rPr>
        <w:t xml:space="preserve">Alcohol Intoxication </w:t>
      </w:r>
      <w:r>
        <w:rPr>
          <w:w w:val="105"/>
        </w:rPr>
        <w:t xml:space="preserve">and </w:t>
      </w:r>
      <w:r>
        <w:rPr>
          <w:b/>
          <w:w w:val="105"/>
        </w:rPr>
        <w:t xml:space="preserve">Sedative, Hyp­ notic, or Anxiolytic Intoxication </w:t>
      </w:r>
      <w:r>
        <w:rPr>
          <w:w w:val="105"/>
        </w:rPr>
        <w:t xml:space="preserve">frequently decrease appetite, increase aggressive behavior, and produce nystagmus or ataxia. </w:t>
      </w:r>
      <w:r>
        <w:rPr>
          <w:b/>
          <w:w w:val="105"/>
        </w:rPr>
        <w:t xml:space="preserve">Hallucinogens </w:t>
      </w:r>
      <w:r>
        <w:rPr>
          <w:w w:val="105"/>
        </w:rPr>
        <w:t>in low doses may cause a clinical</w:t>
      </w:r>
      <w:r>
        <w:rPr>
          <w:spacing w:val="-6"/>
          <w:w w:val="105"/>
        </w:rPr>
        <w:t xml:space="preserve"> </w:t>
      </w:r>
      <w:r>
        <w:rPr>
          <w:w w:val="105"/>
        </w:rPr>
        <w:t>picture</w:t>
      </w:r>
      <w:r>
        <w:rPr>
          <w:spacing w:val="-13"/>
          <w:w w:val="105"/>
        </w:rPr>
        <w:t xml:space="preserve"> </w:t>
      </w:r>
      <w:r>
        <w:rPr>
          <w:w w:val="105"/>
        </w:rPr>
        <w:t>that</w:t>
      </w:r>
      <w:r>
        <w:rPr>
          <w:spacing w:val="-17"/>
          <w:w w:val="105"/>
        </w:rPr>
        <w:t xml:space="preserve"> </w:t>
      </w:r>
      <w:r>
        <w:rPr>
          <w:w w:val="105"/>
        </w:rPr>
        <w:t>resembles</w:t>
      </w:r>
      <w:r>
        <w:rPr>
          <w:spacing w:val="-13"/>
          <w:w w:val="105"/>
        </w:rPr>
        <w:t xml:space="preserve"> </w:t>
      </w:r>
      <w:r>
        <w:rPr>
          <w:w w:val="105"/>
        </w:rPr>
        <w:t>Cannabis</w:t>
      </w:r>
      <w:r>
        <w:rPr>
          <w:spacing w:val="-12"/>
          <w:w w:val="105"/>
        </w:rPr>
        <w:t xml:space="preserve"> </w:t>
      </w:r>
      <w:r>
        <w:rPr>
          <w:w w:val="105"/>
        </w:rPr>
        <w:t>Intoxication.</w:t>
      </w:r>
      <w:r>
        <w:rPr>
          <w:spacing w:val="-4"/>
          <w:w w:val="105"/>
        </w:rPr>
        <w:t xml:space="preserve"> </w:t>
      </w:r>
      <w:r>
        <w:rPr>
          <w:w w:val="105"/>
        </w:rPr>
        <w:t>Phencyclidine</w:t>
      </w:r>
      <w:r>
        <w:rPr>
          <w:spacing w:val="-7"/>
          <w:w w:val="105"/>
        </w:rPr>
        <w:t xml:space="preserve"> </w:t>
      </w:r>
      <w:r>
        <w:rPr>
          <w:w w:val="105"/>
        </w:rPr>
        <w:t>(PCP),</w:t>
      </w:r>
      <w:r>
        <w:rPr>
          <w:spacing w:val="-8"/>
          <w:w w:val="105"/>
        </w:rPr>
        <w:t xml:space="preserve"> </w:t>
      </w:r>
      <w:r>
        <w:rPr>
          <w:w w:val="105"/>
        </w:rPr>
        <w:t>like</w:t>
      </w:r>
      <w:r>
        <w:rPr>
          <w:spacing w:val="-18"/>
          <w:w w:val="105"/>
        </w:rPr>
        <w:t xml:space="preserve"> </w:t>
      </w:r>
      <w:r>
        <w:rPr>
          <w:w w:val="105"/>
        </w:rPr>
        <w:t xml:space="preserve">cannabis, can be smoked and  also  has  hallucinogenic effects,  but  </w:t>
      </w:r>
      <w:r>
        <w:rPr>
          <w:b/>
          <w:w w:val="105"/>
        </w:rPr>
        <w:t xml:space="preserve">Phencyclidine  Intoxication </w:t>
      </w:r>
      <w:r>
        <w:rPr>
          <w:w w:val="105"/>
        </w:rPr>
        <w:t xml:space="preserve">is much more likely to cause ataxia and aggressive behavior. Cannabis Intoxication is distinguished from the </w:t>
      </w:r>
      <w:r>
        <w:rPr>
          <w:b/>
          <w:w w:val="105"/>
        </w:rPr>
        <w:t xml:space="preserve">other Cannabis-Induced Disorders </w:t>
      </w:r>
      <w:r>
        <w:rPr>
          <w:w w:val="105"/>
        </w:rPr>
        <w:t>(e.g., Cannabis-Induced Anxiety Disorder, With Onset During Intoxication) because the symptoms in these latter disorders are in excess of those usually associated with Cannabis Intoxication and are severe enough to warrant independent clinical</w:t>
      </w:r>
      <w:r>
        <w:rPr>
          <w:spacing w:val="-18"/>
          <w:w w:val="105"/>
        </w:rPr>
        <w:t xml:space="preserve"> </w:t>
      </w:r>
      <w:r>
        <w:rPr>
          <w:w w:val="105"/>
        </w:rPr>
        <w:t>attention.</w:t>
      </w:r>
    </w:p>
    <w:p w:rsidR="00E675F0" w:rsidRDefault="00E675F0" w:rsidP="00E675F0">
      <w:pPr>
        <w:pStyle w:val="BodyText"/>
        <w:spacing w:before="4" w:line="256" w:lineRule="auto"/>
        <w:ind w:left="127" w:right="116" w:firstLine="364"/>
        <w:jc w:val="both"/>
      </w:pPr>
      <w:r>
        <w:rPr>
          <w:w w:val="105"/>
        </w:rPr>
        <w:t xml:space="preserve">The distinction between </w:t>
      </w:r>
      <w:r>
        <w:rPr>
          <w:b/>
          <w:w w:val="105"/>
        </w:rPr>
        <w:t xml:space="preserve">recreational use of cannabis  </w:t>
      </w:r>
      <w:r>
        <w:rPr>
          <w:w w:val="105"/>
        </w:rPr>
        <w:t>and Cannabis  Dependence or Abuse can be difficult to make because social, behavioral, or psychological problems may be difficult to attribute to the substance, especially in the context of use of other substances. Denial of heavy use is common, and people appear to seek treatment</w:t>
      </w:r>
      <w:r>
        <w:rPr>
          <w:spacing w:val="2"/>
          <w:w w:val="105"/>
        </w:rPr>
        <w:t xml:space="preserve"> </w:t>
      </w:r>
      <w:r>
        <w:rPr>
          <w:w w:val="105"/>
        </w:rPr>
        <w:t>for</w:t>
      </w:r>
    </w:p>
    <w:p w:rsidR="00E675F0" w:rsidRDefault="00E675F0" w:rsidP="00E675F0">
      <w:pPr>
        <w:spacing w:line="256" w:lineRule="auto"/>
        <w:jc w:val="both"/>
        <w:sectPr w:rsidR="00E675F0">
          <w:pgSz w:w="8960" w:h="14260"/>
          <w:pgMar w:top="1400" w:right="620" w:bottom="280" w:left="600" w:header="706" w:footer="0" w:gutter="0"/>
          <w:cols w:space="720"/>
        </w:sectPr>
      </w:pPr>
    </w:p>
    <w:p w:rsidR="00E675F0" w:rsidRDefault="00E675F0" w:rsidP="00E675F0">
      <w:pPr>
        <w:pStyle w:val="BodyText"/>
        <w:spacing w:before="118" w:line="256" w:lineRule="auto"/>
        <w:ind w:left="122" w:right="118" w:hanging="4"/>
        <w:jc w:val="both"/>
      </w:pPr>
      <w:bookmarkStart w:id="141" w:name="_bookmark122"/>
      <w:bookmarkEnd w:id="141"/>
      <w:r>
        <w:rPr>
          <w:w w:val="105"/>
        </w:rPr>
        <w:lastRenderedPageBreak/>
        <w:t>Cannabis Dependence or Abuse less often than for other types of Substance-Related Disorders.</w:t>
      </w:r>
    </w:p>
    <w:p w:rsidR="00E675F0" w:rsidRDefault="00E675F0" w:rsidP="00E675F0">
      <w:pPr>
        <w:pStyle w:val="BodyText"/>
        <w:spacing w:before="8"/>
        <w:rPr>
          <w:sz w:val="23"/>
        </w:rPr>
      </w:pPr>
    </w:p>
    <w:p w:rsidR="00E675F0" w:rsidRDefault="00E675F0" w:rsidP="00E675F0">
      <w:pPr>
        <w:tabs>
          <w:tab w:val="left" w:pos="2605"/>
        </w:tabs>
        <w:spacing w:line="247" w:lineRule="auto"/>
        <w:ind w:left="2575" w:right="1729" w:hanging="892"/>
        <w:rPr>
          <w:rFonts w:ascii="Arial"/>
          <w:b/>
          <w:sz w:val="26"/>
        </w:rPr>
      </w:pPr>
      <w:r>
        <w:rPr>
          <w:rFonts w:ascii="Arial"/>
          <w:b/>
          <w:w w:val="105"/>
          <w:sz w:val="26"/>
        </w:rPr>
        <w:t>292.9</w:t>
      </w:r>
      <w:r>
        <w:rPr>
          <w:rFonts w:ascii="Arial"/>
          <w:b/>
          <w:w w:val="105"/>
          <w:sz w:val="26"/>
        </w:rPr>
        <w:tab/>
      </w:r>
      <w:r>
        <w:rPr>
          <w:rFonts w:ascii="Arial"/>
          <w:b/>
          <w:w w:val="105"/>
          <w:sz w:val="26"/>
        </w:rPr>
        <w:tab/>
      </w:r>
      <w:r>
        <w:rPr>
          <w:rFonts w:ascii="Arial"/>
          <w:b/>
          <w:sz w:val="26"/>
        </w:rPr>
        <w:t xml:space="preserve">Cannabis-Related Disorder </w:t>
      </w:r>
      <w:r>
        <w:rPr>
          <w:rFonts w:ascii="Arial"/>
          <w:b/>
          <w:w w:val="105"/>
          <w:sz w:val="26"/>
        </w:rPr>
        <w:t>Not Otherwise</w:t>
      </w:r>
      <w:r>
        <w:rPr>
          <w:rFonts w:ascii="Arial"/>
          <w:b/>
          <w:spacing w:val="-10"/>
          <w:w w:val="105"/>
          <w:sz w:val="26"/>
        </w:rPr>
        <w:t xml:space="preserve"> </w:t>
      </w:r>
      <w:r>
        <w:rPr>
          <w:rFonts w:ascii="Arial"/>
          <w:b/>
          <w:w w:val="105"/>
          <w:sz w:val="26"/>
        </w:rPr>
        <w:t>Specified</w:t>
      </w:r>
    </w:p>
    <w:p w:rsidR="00E675F0" w:rsidRDefault="00E675F0" w:rsidP="00E675F0">
      <w:pPr>
        <w:pStyle w:val="BodyText"/>
        <w:spacing w:before="215" w:line="254" w:lineRule="auto"/>
        <w:ind w:left="119" w:right="134" w:firstLine="1"/>
        <w:jc w:val="both"/>
      </w:pPr>
      <w:r>
        <w:rPr>
          <w:w w:val="105"/>
        </w:rPr>
        <w:t>The Cannabis-Related Disorder Not Otherwise Specified category is for disorders associated with the use of cannabis that are not classifiable as Cannabis Dependence, Cannabis Abuse, Cannabis Intoxication, Cannabis Intoxication Delirium, Cannabis­ Induced Psychotic Disorder, or Cannabis-Induced Anxiety Disorder.</w:t>
      </w:r>
    </w:p>
    <w:p w:rsidR="00E675F0" w:rsidRDefault="00E675F0" w:rsidP="00E675F0">
      <w:pPr>
        <w:pStyle w:val="BodyText"/>
      </w:pPr>
    </w:p>
    <w:p w:rsidR="00E675F0" w:rsidRDefault="00E675F0" w:rsidP="00E675F0">
      <w:pPr>
        <w:pStyle w:val="BodyText"/>
        <w:spacing w:before="9"/>
        <w:rPr>
          <w:sz w:val="27"/>
        </w:rPr>
      </w:pPr>
      <w:r>
        <w:rPr>
          <w:noProof/>
        </w:rPr>
        <mc:AlternateContent>
          <mc:Choice Requires="wps">
            <w:drawing>
              <wp:anchor distT="0" distB="0" distL="0" distR="0" simplePos="0" relativeHeight="251881472" behindDoc="1" locked="0" layoutInCell="1" allowOverlap="1" wp14:anchorId="2F2B0ACC" wp14:editId="2149FDD7">
                <wp:simplePos x="0" y="0"/>
                <wp:positionH relativeFrom="page">
                  <wp:posOffset>452120</wp:posOffset>
                </wp:positionH>
                <wp:positionV relativeFrom="paragraph">
                  <wp:posOffset>233045</wp:posOffset>
                </wp:positionV>
                <wp:extent cx="1111885" cy="1270"/>
                <wp:effectExtent l="0" t="0" r="5715" b="0"/>
                <wp:wrapTopAndBottom/>
                <wp:docPr id="1351" name="Freeform 1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1885" cy="1270"/>
                        </a:xfrm>
                        <a:custGeom>
                          <a:avLst/>
                          <a:gdLst>
                            <a:gd name="T0" fmla="+- 0 712 712"/>
                            <a:gd name="T1" fmla="*/ T0 w 1751"/>
                            <a:gd name="T2" fmla="+- 0 2463 712"/>
                            <a:gd name="T3" fmla="*/ T2 w 1751"/>
                          </a:gdLst>
                          <a:ahLst/>
                          <a:cxnLst>
                            <a:cxn ang="0">
                              <a:pos x="T1" y="0"/>
                            </a:cxn>
                            <a:cxn ang="0">
                              <a:pos x="T3" y="0"/>
                            </a:cxn>
                          </a:cxnLst>
                          <a:rect l="0" t="0" r="r" b="b"/>
                          <a:pathLst>
                            <a:path w="1751">
                              <a:moveTo>
                                <a:pt x="0" y="0"/>
                              </a:moveTo>
                              <a:lnTo>
                                <a:pt x="1751" y="0"/>
                              </a:lnTo>
                            </a:path>
                          </a:pathLst>
                        </a:custGeom>
                        <a:noFill/>
                        <a:ln w="915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6CB76" id="Freeform 1307" o:spid="_x0000_s1026" style="position:absolute;margin-left:35.6pt;margin-top:18.35pt;width:87.55pt;height:.1pt;z-index:-251435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5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" path="m,l1751,e" filled="f" strokeweight=".25433mm">
                <v:path arrowok="t" o:connecttype="custom" o:connectlocs="0,0;1111885,0" o:connectangles="0,0"/>
                <w10:wrap type="topAndBottom" anchorx="page"/>
              </v:shape>
            </w:pict>
          </mc:Fallback>
        </mc:AlternateContent>
      </w:r>
      <w:r>
        <w:rPr>
          <w:noProof/>
        </w:rPr>
        <mc:AlternateContent>
          <mc:Choice Requires="wps">
            <w:drawing>
              <wp:anchor distT="0" distB="0" distL="0" distR="0" simplePos="0" relativeHeight="251882496" behindDoc="1" locked="0" layoutInCell="1" allowOverlap="1" wp14:anchorId="2E9BF0C1" wp14:editId="2F6FF92D">
                <wp:simplePos x="0" y="0"/>
                <wp:positionH relativeFrom="page">
                  <wp:posOffset>4093210</wp:posOffset>
                </wp:positionH>
                <wp:positionV relativeFrom="paragraph">
                  <wp:posOffset>233045</wp:posOffset>
                </wp:positionV>
                <wp:extent cx="1087755" cy="1270"/>
                <wp:effectExtent l="0" t="0" r="4445" b="0"/>
                <wp:wrapTopAndBottom/>
                <wp:docPr id="1350" name="Freeform 1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7755" cy="1270"/>
                        </a:xfrm>
                        <a:custGeom>
                          <a:avLst/>
                          <a:gdLst>
                            <a:gd name="T0" fmla="+- 0 6446 6446"/>
                            <a:gd name="T1" fmla="*/ T0 w 1713"/>
                            <a:gd name="T2" fmla="+- 0 8158 6446"/>
                            <a:gd name="T3" fmla="*/ T2 w 1713"/>
                          </a:gdLst>
                          <a:ahLst/>
                          <a:cxnLst>
                            <a:cxn ang="0">
                              <a:pos x="T1" y="0"/>
                            </a:cxn>
                            <a:cxn ang="0">
                              <a:pos x="T3" y="0"/>
                            </a:cxn>
                          </a:cxnLst>
                          <a:rect l="0" t="0" r="r" b="b"/>
                          <a:pathLst>
                            <a:path w="1713">
                              <a:moveTo>
                                <a:pt x="0" y="0"/>
                              </a:moveTo>
                              <a:lnTo>
                                <a:pt x="1712" y="0"/>
                              </a:lnTo>
                            </a:path>
                          </a:pathLst>
                        </a:custGeom>
                        <a:noFill/>
                        <a:ln w="915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029C8" id="Freeform 1306" o:spid="_x0000_s1026" style="position:absolute;margin-left:322.3pt;margin-top:18.35pt;width:85.65pt;height:.1pt;z-index:-251433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13,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" path="m,l1712,e" filled="f" strokeweight=".25433mm">
                <v:path arrowok="t" o:connecttype="custom" o:connectlocs="0,0;1087120,0" o:connectangles="0,0"/>
                <w10:wrap type="topAndBottom" anchorx="page"/>
              </v:shape>
            </w:pict>
          </mc:Fallback>
        </mc:AlternateContent>
      </w:r>
    </w:p>
    <w:p w:rsidR="00E675F0" w:rsidRDefault="00E675F0" w:rsidP="00E675F0">
      <w:pPr>
        <w:spacing w:before="113"/>
        <w:ind w:left="86" w:right="119"/>
        <w:jc w:val="center"/>
        <w:rPr>
          <w:rFonts w:ascii="Arial"/>
          <w:b/>
          <w:sz w:val="26"/>
        </w:rPr>
      </w:pPr>
      <w:r>
        <w:rPr>
          <w:rFonts w:ascii="Arial"/>
          <w:b/>
          <w:color w:val="1C1C1C"/>
          <w:w w:val="105"/>
          <w:sz w:val="26"/>
        </w:rPr>
        <w:t>Cocaine-Related Disorders</w:t>
      </w:r>
    </w:p>
    <w:p w:rsidR="00E675F0" w:rsidRDefault="00E675F0" w:rsidP="00E675F0">
      <w:pPr>
        <w:pStyle w:val="BodyText"/>
        <w:spacing w:before="8"/>
        <w:rPr>
          <w:rFonts w:ascii="Arial"/>
          <w:b/>
          <w:sz w:val="23"/>
        </w:rPr>
      </w:pPr>
    </w:p>
    <w:p w:rsidR="00E675F0" w:rsidRDefault="00E675F0" w:rsidP="00E675F0">
      <w:pPr>
        <w:pStyle w:val="BodyText"/>
        <w:spacing w:line="254" w:lineRule="auto"/>
        <w:ind w:left="120" w:right="122" w:firstLine="8"/>
        <w:jc w:val="both"/>
      </w:pPr>
      <w:r>
        <w:rPr>
          <w:w w:val="105"/>
        </w:rPr>
        <w:t>Cocaine, a naturally occurring substance produced by the coca plant, is consumed in several preparations (e.g., coca leaves, coca paste, cocaine hydrochloride, and cocaine alkaloid)</w:t>
      </w:r>
      <w:r>
        <w:rPr>
          <w:spacing w:val="-8"/>
          <w:w w:val="105"/>
        </w:rPr>
        <w:t xml:space="preserve"> </w:t>
      </w:r>
      <w:r>
        <w:rPr>
          <w:w w:val="105"/>
        </w:rPr>
        <w:t>that</w:t>
      </w:r>
      <w:r>
        <w:rPr>
          <w:spacing w:val="-11"/>
          <w:w w:val="105"/>
        </w:rPr>
        <w:t xml:space="preserve"> </w:t>
      </w:r>
      <w:r>
        <w:rPr>
          <w:w w:val="105"/>
        </w:rPr>
        <w:t>differ</w:t>
      </w:r>
      <w:r>
        <w:rPr>
          <w:spacing w:val="-12"/>
          <w:w w:val="105"/>
        </w:rPr>
        <w:t xml:space="preserve"> </w:t>
      </w:r>
      <w:r>
        <w:rPr>
          <w:w w:val="105"/>
        </w:rPr>
        <w:t>in</w:t>
      </w:r>
      <w:r>
        <w:rPr>
          <w:spacing w:val="-3"/>
          <w:w w:val="105"/>
        </w:rPr>
        <w:t xml:space="preserve"> </w:t>
      </w:r>
      <w:r>
        <w:rPr>
          <w:w w:val="105"/>
        </w:rPr>
        <w:t>potency</w:t>
      </w:r>
      <w:r>
        <w:rPr>
          <w:spacing w:val="-9"/>
          <w:w w:val="105"/>
        </w:rPr>
        <w:t xml:space="preserve"> </w:t>
      </w:r>
      <w:r>
        <w:rPr>
          <w:w w:val="105"/>
        </w:rPr>
        <w:t>due</w:t>
      </w:r>
      <w:r>
        <w:rPr>
          <w:spacing w:val="2"/>
          <w:w w:val="105"/>
        </w:rPr>
        <w:t xml:space="preserve"> </w:t>
      </w:r>
      <w:r>
        <w:rPr>
          <w:w w:val="105"/>
        </w:rPr>
        <w:t>to</w:t>
      </w:r>
      <w:r>
        <w:rPr>
          <w:spacing w:val="-16"/>
          <w:w w:val="105"/>
        </w:rPr>
        <w:t xml:space="preserve"> </w:t>
      </w:r>
      <w:r>
        <w:rPr>
          <w:w w:val="105"/>
        </w:rPr>
        <w:t>varying</w:t>
      </w:r>
      <w:r>
        <w:rPr>
          <w:spacing w:val="-14"/>
          <w:w w:val="105"/>
        </w:rPr>
        <w:t xml:space="preserve"> </w:t>
      </w:r>
      <w:r>
        <w:rPr>
          <w:w w:val="105"/>
        </w:rPr>
        <w:t>levels</w:t>
      </w:r>
      <w:r>
        <w:rPr>
          <w:spacing w:val="-10"/>
          <w:w w:val="105"/>
        </w:rPr>
        <w:t xml:space="preserve"> </w:t>
      </w:r>
      <w:r>
        <w:rPr>
          <w:w w:val="105"/>
        </w:rPr>
        <w:t>of</w:t>
      </w:r>
      <w:r>
        <w:rPr>
          <w:spacing w:val="-4"/>
          <w:w w:val="105"/>
        </w:rPr>
        <w:t xml:space="preserve"> </w:t>
      </w:r>
      <w:r>
        <w:rPr>
          <w:w w:val="105"/>
        </w:rPr>
        <w:t>purity</w:t>
      </w:r>
      <w:r>
        <w:rPr>
          <w:spacing w:val="-16"/>
          <w:w w:val="105"/>
        </w:rPr>
        <w:t xml:space="preserve"> </w:t>
      </w:r>
      <w:r>
        <w:rPr>
          <w:w w:val="105"/>
        </w:rPr>
        <w:t>and</w:t>
      </w:r>
      <w:r>
        <w:rPr>
          <w:spacing w:val="-13"/>
          <w:w w:val="105"/>
        </w:rPr>
        <w:t xml:space="preserve"> </w:t>
      </w:r>
      <w:r>
        <w:rPr>
          <w:w w:val="105"/>
        </w:rPr>
        <w:t>speed</w:t>
      </w:r>
      <w:r>
        <w:rPr>
          <w:spacing w:val="-9"/>
          <w:w w:val="105"/>
        </w:rPr>
        <w:t xml:space="preserve"> </w:t>
      </w:r>
      <w:r>
        <w:rPr>
          <w:w w:val="105"/>
        </w:rPr>
        <w:t>of</w:t>
      </w:r>
      <w:r>
        <w:rPr>
          <w:spacing w:val="-2"/>
          <w:w w:val="105"/>
        </w:rPr>
        <w:t xml:space="preserve"> </w:t>
      </w:r>
      <w:r>
        <w:rPr>
          <w:w w:val="105"/>
        </w:rPr>
        <w:t>onset.</w:t>
      </w:r>
      <w:r>
        <w:rPr>
          <w:spacing w:val="-6"/>
          <w:w w:val="105"/>
        </w:rPr>
        <w:t xml:space="preserve"> </w:t>
      </w:r>
      <w:r>
        <w:rPr>
          <w:w w:val="105"/>
        </w:rPr>
        <w:t xml:space="preserve">Cocaine is the active ingredient in each preparation. Chewing coca leaves is a practice generally limited to native populations in Central and South America, where cocaine is grown. The use of coca paste, a crude extract of the coca plant, occurs almost exclusively in cocaine-producing countries in Central and South America, where its nickname is "basulca." Solvents used in the preparation of coca paste often contaminate  the paste and may cause toxic effects in the central nervous system and other organ systems when the paste is smoked. Cocaine hydrochloride powder is usually "snorted" through the nostrils ("snorting") or dissolved in water and injected intravenously. </w:t>
      </w:r>
      <w:r>
        <w:rPr>
          <w:w w:val="105"/>
          <w:sz w:val="18"/>
        </w:rPr>
        <w:t xml:space="preserve">It </w:t>
      </w:r>
      <w:r>
        <w:rPr>
          <w:w w:val="105"/>
        </w:rPr>
        <w:t>is sometimes mixed with heroin, yielding a drug combination known as a</w:t>
      </w:r>
      <w:r>
        <w:rPr>
          <w:spacing w:val="-3"/>
          <w:w w:val="105"/>
        </w:rPr>
        <w:t xml:space="preserve"> </w:t>
      </w:r>
      <w:r>
        <w:rPr>
          <w:w w:val="105"/>
        </w:rPr>
        <w:t>"speedball."</w:t>
      </w:r>
    </w:p>
    <w:p w:rsidR="00E675F0" w:rsidRDefault="00E675F0" w:rsidP="00E675F0">
      <w:pPr>
        <w:pStyle w:val="BodyText"/>
        <w:spacing w:line="252" w:lineRule="auto"/>
        <w:ind w:left="123" w:right="120" w:firstLine="361"/>
        <w:jc w:val="both"/>
      </w:pPr>
      <w:r>
        <w:rPr>
          <w:w w:val="105"/>
        </w:rPr>
        <w:t>A</w:t>
      </w:r>
      <w:r>
        <w:rPr>
          <w:spacing w:val="-11"/>
          <w:w w:val="105"/>
        </w:rPr>
        <w:t xml:space="preserve"> </w:t>
      </w:r>
      <w:r>
        <w:rPr>
          <w:w w:val="105"/>
        </w:rPr>
        <w:t>commonly</w:t>
      </w:r>
      <w:r>
        <w:rPr>
          <w:spacing w:val="7"/>
          <w:w w:val="105"/>
        </w:rPr>
        <w:t xml:space="preserve"> </w:t>
      </w:r>
      <w:r>
        <w:rPr>
          <w:w w:val="105"/>
        </w:rPr>
        <w:t>used</w:t>
      </w:r>
      <w:r>
        <w:rPr>
          <w:spacing w:val="-4"/>
          <w:w w:val="105"/>
        </w:rPr>
        <w:t xml:space="preserve"> </w:t>
      </w:r>
      <w:r>
        <w:rPr>
          <w:w w:val="105"/>
        </w:rPr>
        <w:t>form</w:t>
      </w:r>
      <w:r>
        <w:rPr>
          <w:spacing w:val="-6"/>
          <w:w w:val="105"/>
        </w:rPr>
        <w:t xml:space="preserve"> </w:t>
      </w:r>
      <w:r>
        <w:rPr>
          <w:w w:val="105"/>
        </w:rPr>
        <w:t>of</w:t>
      </w:r>
      <w:r>
        <w:rPr>
          <w:spacing w:val="-2"/>
          <w:w w:val="105"/>
        </w:rPr>
        <w:t xml:space="preserve"> </w:t>
      </w:r>
      <w:r>
        <w:rPr>
          <w:w w:val="105"/>
        </w:rPr>
        <w:t>cocaine</w:t>
      </w:r>
      <w:r>
        <w:rPr>
          <w:spacing w:val="2"/>
          <w:w w:val="105"/>
        </w:rPr>
        <w:t xml:space="preserve"> </w:t>
      </w:r>
      <w:r>
        <w:rPr>
          <w:w w:val="105"/>
        </w:rPr>
        <w:t>in</w:t>
      </w:r>
      <w:r>
        <w:rPr>
          <w:spacing w:val="-5"/>
          <w:w w:val="105"/>
        </w:rPr>
        <w:t xml:space="preserve"> </w:t>
      </w:r>
      <w:r>
        <w:rPr>
          <w:w w:val="105"/>
        </w:rPr>
        <w:t>the</w:t>
      </w:r>
      <w:r>
        <w:rPr>
          <w:spacing w:val="-8"/>
          <w:w w:val="105"/>
        </w:rPr>
        <w:t xml:space="preserve"> </w:t>
      </w:r>
      <w:r>
        <w:rPr>
          <w:w w:val="105"/>
        </w:rPr>
        <w:t>United</w:t>
      </w:r>
      <w:r>
        <w:rPr>
          <w:spacing w:val="-5"/>
          <w:w w:val="105"/>
        </w:rPr>
        <w:t xml:space="preserve"> </w:t>
      </w:r>
      <w:r>
        <w:rPr>
          <w:w w:val="105"/>
        </w:rPr>
        <w:t>States</w:t>
      </w:r>
      <w:r>
        <w:rPr>
          <w:spacing w:val="-9"/>
          <w:w w:val="105"/>
        </w:rPr>
        <w:t xml:space="preserve"> </w:t>
      </w:r>
      <w:r>
        <w:rPr>
          <w:w w:val="105"/>
        </w:rPr>
        <w:t>is</w:t>
      </w:r>
      <w:r>
        <w:rPr>
          <w:spacing w:val="-12"/>
          <w:w w:val="105"/>
        </w:rPr>
        <w:t xml:space="preserve"> </w:t>
      </w:r>
      <w:r>
        <w:rPr>
          <w:w w:val="105"/>
        </w:rPr>
        <w:t>"crack,"</w:t>
      </w:r>
      <w:r>
        <w:rPr>
          <w:spacing w:val="-1"/>
          <w:w w:val="105"/>
        </w:rPr>
        <w:t xml:space="preserve"> </w:t>
      </w:r>
      <w:r>
        <w:rPr>
          <w:w w:val="105"/>
        </w:rPr>
        <w:t>a</w:t>
      </w:r>
      <w:r>
        <w:rPr>
          <w:spacing w:val="-6"/>
          <w:w w:val="105"/>
        </w:rPr>
        <w:t xml:space="preserve"> </w:t>
      </w:r>
      <w:r>
        <w:rPr>
          <w:w w:val="105"/>
        </w:rPr>
        <w:t>cocaine</w:t>
      </w:r>
      <w:r>
        <w:rPr>
          <w:spacing w:val="-8"/>
          <w:w w:val="105"/>
        </w:rPr>
        <w:t xml:space="preserve"> </w:t>
      </w:r>
      <w:r>
        <w:rPr>
          <w:w w:val="105"/>
        </w:rPr>
        <w:t>alkaloid that is extracted from its powdered hydrochloride salt by mixing it with sodium bicarbonate and allowing it to dry into small "rocks." Crack differs from other forms of cocaine primarily because it is easily vaporized and inhaled and thus its effects have an extremely rapid onset. The clinical syndrome and adverse effects that are associated  with crack use are identical to those produced by comparable doses of other cocaine preparations. Before the advent of crack, cocaine was separated from its hydrochloride base by heating it with ether, ammonia, or some other volatile solvent. The resulting "free base" cocaine was then smoked. This process was dangerous because of the risk that the solvents could ignite and harm the</w:t>
      </w:r>
      <w:r>
        <w:rPr>
          <w:spacing w:val="48"/>
          <w:w w:val="105"/>
        </w:rPr>
        <w:t xml:space="preserve"> </w:t>
      </w:r>
      <w:r>
        <w:rPr>
          <w:w w:val="105"/>
        </w:rPr>
        <w:t>user.</w:t>
      </w:r>
    </w:p>
    <w:p w:rsidR="00E675F0" w:rsidRDefault="00E675F0" w:rsidP="00E675F0">
      <w:pPr>
        <w:pStyle w:val="BodyText"/>
        <w:spacing w:line="256" w:lineRule="auto"/>
        <w:ind w:left="120" w:right="117" w:firstLine="360"/>
        <w:jc w:val="both"/>
      </w:pPr>
      <w:r>
        <w:rPr>
          <w:w w:val="105"/>
        </w:rPr>
        <w:t>This section contains discussions specific to the Cocaine-Related Disorders. Texts and criteria sets have already been provided to define the generic aspects of Substance Dependence (p. 176) and Substance Abuse (p. 182) that apply across all substances. Texts specific to Cocaine Dependence and Abuse are provided below; however, there are no additional specific criteria sets for Cocaine Dependence or Cocaine Abuse. Specific texts and criteria sets for Cocaine Intoxication and Cocaine Withdrawal are also provided below. The Cocaine-Induced Disorders (other than Cocaine Intoxication and Withdrawal) are described in the sections of the manual with disorders with which they share phenomenology (e.g., Cocaine-Induced Mood Disorder is included in the "Mood Disorders" section). Listed below are the Cocaine Use Disorders and the Cocaine­ Induced</w:t>
      </w:r>
      <w:r>
        <w:rPr>
          <w:spacing w:val="16"/>
          <w:w w:val="105"/>
        </w:rPr>
        <w:t xml:space="preserve"> </w:t>
      </w:r>
      <w:r>
        <w:rPr>
          <w:w w:val="105"/>
        </w:rPr>
        <w:t>Disorders.</w:t>
      </w:r>
    </w:p>
    <w:p w:rsidR="00E675F0" w:rsidRDefault="00E675F0" w:rsidP="00E675F0">
      <w:pPr>
        <w:spacing w:line="256" w:lineRule="auto"/>
        <w:jc w:val="both"/>
        <w:sectPr w:rsidR="00E675F0">
          <w:headerReference w:type="even" r:id="rId189"/>
          <w:headerReference w:type="default" r:id="rId190"/>
          <w:pgSz w:w="8960" w:h="14260"/>
          <w:pgMar w:top="1400" w:right="640" w:bottom="280" w:left="600" w:header="674" w:footer="0" w:gutter="0"/>
          <w:pgNumType w:start="221"/>
          <w:cols w:space="720"/>
        </w:sectPr>
      </w:pPr>
    </w:p>
    <w:p w:rsidR="00E675F0" w:rsidRDefault="00E675F0" w:rsidP="00E675F0">
      <w:pPr>
        <w:spacing w:before="117"/>
        <w:ind w:left="141"/>
        <w:rPr>
          <w:rFonts w:ascii="TimesNewRomanPS-BoldItalicMT"/>
          <w:b/>
          <w:i/>
          <w:sz w:val="24"/>
        </w:rPr>
      </w:pPr>
      <w:bookmarkStart w:id="142" w:name="_bookmark123"/>
      <w:bookmarkEnd w:id="142"/>
      <w:r>
        <w:rPr>
          <w:rFonts w:ascii="TimesNewRomanPS-BoldItalicMT"/>
          <w:b/>
          <w:i/>
          <w:w w:val="115"/>
          <w:sz w:val="24"/>
        </w:rPr>
        <w:lastRenderedPageBreak/>
        <w:t>Cocaine Use Disorders</w:t>
      </w:r>
    </w:p>
    <w:p w:rsidR="00E675F0" w:rsidRDefault="00E675F0" w:rsidP="00E675F0">
      <w:pPr>
        <w:rPr>
          <w:rFonts w:ascii="TimesNewRomanPS-BoldItalicMT"/>
          <w:sz w:val="24"/>
        </w:rPr>
        <w:sectPr w:rsidR="00E675F0">
          <w:pgSz w:w="8960" w:h="14260"/>
          <w:pgMar w:top="1400" w:right="620" w:bottom="280" w:left="560" w:header="676" w:footer="0" w:gutter="0"/>
          <w:cols w:space="720"/>
        </w:sectPr>
      </w:pPr>
    </w:p>
    <w:p w:rsidR="00E675F0" w:rsidRDefault="00E675F0" w:rsidP="00E675F0">
      <w:pPr>
        <w:spacing w:before="189"/>
        <w:ind w:left="168"/>
        <w:rPr>
          <w:b/>
          <w:sz w:val="20"/>
        </w:rPr>
      </w:pPr>
      <w:r>
        <w:rPr>
          <w:b/>
          <w:w w:val="110"/>
          <w:sz w:val="20"/>
        </w:rPr>
        <w:t>304.20</w:t>
      </w:r>
    </w:p>
    <w:p w:rsidR="00E675F0" w:rsidRDefault="00E675F0" w:rsidP="00E675F0">
      <w:pPr>
        <w:spacing w:before="15"/>
        <w:ind w:left="168"/>
        <w:rPr>
          <w:b/>
          <w:sz w:val="20"/>
        </w:rPr>
      </w:pPr>
      <w:r>
        <w:rPr>
          <w:b/>
          <w:w w:val="110"/>
          <w:sz w:val="20"/>
        </w:rPr>
        <w:t>305.60</w:t>
      </w:r>
    </w:p>
    <w:p w:rsidR="00E675F0" w:rsidRDefault="00E675F0" w:rsidP="00E675F0">
      <w:pPr>
        <w:spacing w:before="184"/>
        <w:ind w:left="168"/>
        <w:rPr>
          <w:sz w:val="20"/>
        </w:rPr>
      </w:pPr>
      <w:r>
        <w:br w:type="column"/>
      </w:r>
      <w:r>
        <w:rPr>
          <w:b/>
          <w:w w:val="115"/>
          <w:sz w:val="20"/>
        </w:rPr>
        <w:t xml:space="preserve">Cocaine Dependence </w:t>
      </w:r>
      <w:r>
        <w:rPr>
          <w:w w:val="115"/>
          <w:sz w:val="20"/>
        </w:rPr>
        <w:t>(see p. 222)</w:t>
      </w:r>
    </w:p>
    <w:p w:rsidR="00E675F0" w:rsidRDefault="00E675F0" w:rsidP="00E675F0">
      <w:pPr>
        <w:spacing w:before="10"/>
        <w:ind w:left="173"/>
        <w:rPr>
          <w:sz w:val="20"/>
        </w:rPr>
      </w:pPr>
      <w:r>
        <w:rPr>
          <w:b/>
          <w:w w:val="110"/>
          <w:sz w:val="20"/>
        </w:rPr>
        <w:t xml:space="preserve">Cocaine Abuse </w:t>
      </w:r>
      <w:r>
        <w:rPr>
          <w:w w:val="110"/>
          <w:sz w:val="20"/>
        </w:rPr>
        <w:t>(see p. 223)</w:t>
      </w:r>
    </w:p>
    <w:p w:rsidR="00E675F0" w:rsidRDefault="00E675F0" w:rsidP="00E675F0">
      <w:pPr>
        <w:rPr>
          <w:sz w:val="20"/>
        </w:rPr>
        <w:sectPr w:rsidR="00E675F0">
          <w:type w:val="continuous"/>
          <w:pgSz w:w="8960" w:h="14260"/>
          <w:pgMar w:top="640" w:right="620" w:bottom="0" w:left="560" w:header="720" w:footer="720" w:gutter="0"/>
          <w:cols w:num="2" w:space="720" w:equalWidth="0">
            <w:col w:w="786" w:space="51"/>
            <w:col w:w="6943"/>
          </w:cols>
        </w:sectPr>
      </w:pPr>
    </w:p>
    <w:p w:rsidR="00E675F0" w:rsidRDefault="00E675F0" w:rsidP="00E675F0">
      <w:pPr>
        <w:pStyle w:val="BodyText"/>
      </w:pPr>
    </w:p>
    <w:p w:rsidR="00E675F0" w:rsidRDefault="00E675F0" w:rsidP="00E675F0">
      <w:pPr>
        <w:pStyle w:val="BodyText"/>
        <w:spacing w:before="1"/>
        <w:rPr>
          <w:sz w:val="19"/>
        </w:rPr>
      </w:pPr>
    </w:p>
    <w:p w:rsidR="00E675F0" w:rsidRDefault="00E675F0" w:rsidP="00E675F0">
      <w:pPr>
        <w:spacing w:before="91"/>
        <w:ind w:left="141"/>
        <w:jc w:val="both"/>
        <w:rPr>
          <w:rFonts w:ascii="TimesNewRomanPS-BoldItalicMT"/>
          <w:b/>
          <w:i/>
          <w:sz w:val="24"/>
        </w:rPr>
      </w:pPr>
      <w:r>
        <w:rPr>
          <w:rFonts w:ascii="TimesNewRomanPS-BoldItalicMT"/>
          <w:b/>
          <w:i/>
          <w:w w:val="115"/>
          <w:sz w:val="24"/>
        </w:rPr>
        <w:t>Cocaine-Induced Disorders</w:t>
      </w:r>
    </w:p>
    <w:p w:rsidR="00E675F0" w:rsidRDefault="00E675F0" w:rsidP="00E675F0">
      <w:pPr>
        <w:pStyle w:val="BodyText"/>
        <w:spacing w:before="8" w:after="1"/>
        <w:rPr>
          <w:rFonts w:ascii="TimesNewRomanPS-BoldItalicMT"/>
          <w:b/>
          <w:i/>
          <w:sz w:val="13"/>
        </w:rPr>
      </w:pPr>
    </w:p>
    <w:tbl>
      <w:tblPr>
        <w:tblW w:w="0" w:type="auto"/>
        <w:tblInd w:w="124" w:type="dxa"/>
        <w:tblLayout w:type="fixed"/>
        <w:tblCellMar>
          <w:left w:w="0" w:type="dxa"/>
          <w:right w:w="0" w:type="dxa"/>
        </w:tblCellMar>
        <w:tblLook w:val="01E0" w:firstRow="1" w:lastRow="1" w:firstColumn="1" w:lastColumn="1" w:noHBand="0" w:noVBand="0"/>
      </w:tblPr>
      <w:tblGrid>
        <w:gridCol w:w="783"/>
        <w:gridCol w:w="6771"/>
      </w:tblGrid>
      <w:tr w:rsidR="00E675F0" w:rsidTr="00A330E1">
        <w:trPr>
          <w:trHeight w:val="276"/>
        </w:trPr>
        <w:tc>
          <w:tcPr>
            <w:tcW w:w="783" w:type="dxa"/>
          </w:tcPr>
          <w:p w:rsidR="00E675F0" w:rsidRDefault="00E675F0" w:rsidP="00A330E1">
            <w:pPr>
              <w:pStyle w:val="TableParagraph"/>
              <w:spacing w:before="50" w:line="207" w:lineRule="exact"/>
              <w:ind w:left="21" w:right="84"/>
              <w:jc w:val="center"/>
              <w:rPr>
                <w:b/>
                <w:sz w:val="19"/>
              </w:rPr>
            </w:pPr>
            <w:r>
              <w:rPr>
                <w:b/>
                <w:w w:val="120"/>
                <w:sz w:val="19"/>
              </w:rPr>
              <w:t>292.89</w:t>
            </w:r>
          </w:p>
        </w:tc>
        <w:tc>
          <w:tcPr>
            <w:tcW w:w="6771" w:type="dxa"/>
          </w:tcPr>
          <w:p w:rsidR="00E675F0" w:rsidRDefault="00E675F0" w:rsidP="00A330E1">
            <w:pPr>
              <w:pStyle w:val="TableParagraph"/>
              <w:spacing w:line="256" w:lineRule="exact"/>
              <w:ind w:left="110"/>
              <w:rPr>
                <w:sz w:val="20"/>
              </w:rPr>
            </w:pPr>
            <w:r>
              <w:rPr>
                <w:b/>
                <w:w w:val="105"/>
                <w:sz w:val="20"/>
              </w:rPr>
              <w:t xml:space="preserve">Cocaine Intoxication </w:t>
            </w:r>
            <w:r>
              <w:rPr>
                <w:w w:val="105"/>
                <w:sz w:val="20"/>
              </w:rPr>
              <w:t xml:space="preserve">(see p. 223) </w:t>
            </w:r>
            <w:r>
              <w:rPr>
                <w:i/>
                <w:w w:val="105"/>
                <w:sz w:val="20"/>
              </w:rPr>
              <w:t xml:space="preserve">Specify </w:t>
            </w:r>
            <w:r>
              <w:rPr>
                <w:rFonts w:ascii="Arial"/>
                <w:i/>
                <w:w w:val="105"/>
                <w:sz w:val="24"/>
              </w:rPr>
              <w:t xml:space="preserve">if </w:t>
            </w:r>
            <w:r>
              <w:rPr>
                <w:w w:val="105"/>
                <w:sz w:val="20"/>
              </w:rPr>
              <w:t>With Perceptual Disturbances</w:t>
            </w:r>
          </w:p>
        </w:tc>
      </w:tr>
      <w:tr w:rsidR="00E675F0" w:rsidTr="00A330E1">
        <w:trPr>
          <w:trHeight w:val="242"/>
        </w:trPr>
        <w:tc>
          <w:tcPr>
            <w:tcW w:w="783" w:type="dxa"/>
          </w:tcPr>
          <w:p w:rsidR="00E675F0" w:rsidRDefault="00E675F0" w:rsidP="00A330E1">
            <w:pPr>
              <w:pStyle w:val="TableParagraph"/>
              <w:spacing w:before="13" w:line="209" w:lineRule="exact"/>
              <w:ind w:left="26" w:right="196"/>
              <w:jc w:val="center"/>
              <w:rPr>
                <w:b/>
                <w:sz w:val="19"/>
              </w:rPr>
            </w:pPr>
            <w:r>
              <w:rPr>
                <w:b/>
                <w:w w:val="115"/>
                <w:sz w:val="19"/>
              </w:rPr>
              <w:t>292.0</w:t>
            </w:r>
          </w:p>
        </w:tc>
        <w:tc>
          <w:tcPr>
            <w:tcW w:w="6771" w:type="dxa"/>
          </w:tcPr>
          <w:p w:rsidR="00E675F0" w:rsidRDefault="00E675F0" w:rsidP="00A330E1">
            <w:pPr>
              <w:pStyle w:val="TableParagraph"/>
              <w:spacing w:line="223" w:lineRule="exact"/>
              <w:ind w:left="110"/>
              <w:rPr>
                <w:sz w:val="20"/>
              </w:rPr>
            </w:pPr>
            <w:r>
              <w:rPr>
                <w:b/>
                <w:w w:val="105"/>
                <w:sz w:val="20"/>
              </w:rPr>
              <w:t xml:space="preserve">Cocaine Withdrawal </w:t>
            </w:r>
            <w:r>
              <w:rPr>
                <w:w w:val="105"/>
                <w:sz w:val="20"/>
              </w:rPr>
              <w:t>(see p. 225)</w:t>
            </w:r>
          </w:p>
        </w:tc>
      </w:tr>
      <w:tr w:rsidR="00E675F0" w:rsidTr="00A330E1">
        <w:trPr>
          <w:trHeight w:val="242"/>
        </w:trPr>
        <w:tc>
          <w:tcPr>
            <w:tcW w:w="783" w:type="dxa"/>
          </w:tcPr>
          <w:p w:rsidR="00E675F0" w:rsidRDefault="00E675F0" w:rsidP="00A330E1">
            <w:pPr>
              <w:pStyle w:val="TableParagraph"/>
              <w:spacing w:before="16" w:line="206" w:lineRule="exact"/>
              <w:ind w:left="26" w:right="75"/>
              <w:jc w:val="center"/>
              <w:rPr>
                <w:b/>
                <w:sz w:val="19"/>
              </w:rPr>
            </w:pPr>
            <w:r>
              <w:rPr>
                <w:b/>
                <w:w w:val="115"/>
                <w:sz w:val="19"/>
              </w:rPr>
              <w:t>292.81</w:t>
            </w:r>
          </w:p>
        </w:tc>
        <w:tc>
          <w:tcPr>
            <w:tcW w:w="6771" w:type="dxa"/>
          </w:tcPr>
          <w:p w:rsidR="00E675F0" w:rsidRDefault="00E675F0" w:rsidP="00A330E1">
            <w:pPr>
              <w:pStyle w:val="TableParagraph"/>
              <w:spacing w:before="2" w:line="221" w:lineRule="exact"/>
              <w:ind w:left="110"/>
              <w:rPr>
                <w:sz w:val="20"/>
              </w:rPr>
            </w:pPr>
            <w:r>
              <w:rPr>
                <w:b/>
                <w:w w:val="110"/>
                <w:sz w:val="20"/>
              </w:rPr>
              <w:t xml:space="preserve">Cocaine Intoxication Delirium </w:t>
            </w:r>
            <w:r>
              <w:rPr>
                <w:w w:val="110"/>
                <w:sz w:val="20"/>
              </w:rPr>
              <w:t>(seep. 129)</w:t>
            </w:r>
          </w:p>
        </w:tc>
      </w:tr>
      <w:tr w:rsidR="00E675F0" w:rsidTr="00A330E1">
        <w:trPr>
          <w:trHeight w:val="487"/>
        </w:trPr>
        <w:tc>
          <w:tcPr>
            <w:tcW w:w="783" w:type="dxa"/>
          </w:tcPr>
          <w:p w:rsidR="00E675F0" w:rsidRDefault="00E675F0" w:rsidP="00A330E1">
            <w:pPr>
              <w:pStyle w:val="TableParagraph"/>
              <w:spacing w:before="18"/>
              <w:ind w:left="26" w:right="79"/>
              <w:jc w:val="center"/>
              <w:rPr>
                <w:b/>
                <w:sz w:val="19"/>
              </w:rPr>
            </w:pPr>
            <w:r>
              <w:rPr>
                <w:b/>
                <w:w w:val="120"/>
                <w:sz w:val="19"/>
              </w:rPr>
              <w:t>292.11</w:t>
            </w:r>
          </w:p>
        </w:tc>
        <w:tc>
          <w:tcPr>
            <w:tcW w:w="6771" w:type="dxa"/>
          </w:tcPr>
          <w:p w:rsidR="00E675F0" w:rsidRDefault="00E675F0" w:rsidP="00A330E1">
            <w:pPr>
              <w:pStyle w:val="TableParagraph"/>
              <w:spacing w:line="218" w:lineRule="exact"/>
              <w:ind w:left="110"/>
              <w:rPr>
                <w:sz w:val="20"/>
              </w:rPr>
            </w:pPr>
            <w:r>
              <w:rPr>
                <w:b/>
                <w:w w:val="110"/>
                <w:sz w:val="20"/>
              </w:rPr>
              <w:t xml:space="preserve">Cocaine-Induced Psychotic Disorder, With Delusions </w:t>
            </w:r>
            <w:r>
              <w:rPr>
                <w:w w:val="110"/>
                <w:sz w:val="20"/>
              </w:rPr>
              <w:t>(see p. 310)</w:t>
            </w:r>
          </w:p>
          <w:p w:rsidR="00E675F0" w:rsidRDefault="00E675F0" w:rsidP="00A330E1">
            <w:pPr>
              <w:pStyle w:val="TableParagraph"/>
              <w:spacing w:line="250" w:lineRule="exact"/>
              <w:ind w:left="126"/>
              <w:rPr>
                <w:sz w:val="20"/>
              </w:rPr>
            </w:pPr>
            <w:r>
              <w:rPr>
                <w:i/>
                <w:w w:val="105"/>
                <w:sz w:val="20"/>
              </w:rPr>
              <w:t xml:space="preserve">Specify </w:t>
            </w:r>
            <w:r>
              <w:rPr>
                <w:rFonts w:ascii="Arial"/>
                <w:i/>
                <w:w w:val="105"/>
                <w:sz w:val="24"/>
              </w:rPr>
              <w:t xml:space="preserve">if </w:t>
            </w:r>
            <w:r>
              <w:rPr>
                <w:w w:val="105"/>
                <w:sz w:val="20"/>
              </w:rPr>
              <w:t>With Onset During Intoxication</w:t>
            </w:r>
          </w:p>
        </w:tc>
      </w:tr>
      <w:tr w:rsidR="00E675F0" w:rsidTr="00A330E1">
        <w:trPr>
          <w:trHeight w:val="485"/>
        </w:trPr>
        <w:tc>
          <w:tcPr>
            <w:tcW w:w="783" w:type="dxa"/>
          </w:tcPr>
          <w:p w:rsidR="00E675F0" w:rsidRDefault="00E675F0" w:rsidP="00A330E1">
            <w:pPr>
              <w:pStyle w:val="TableParagraph"/>
              <w:spacing w:before="16"/>
              <w:ind w:left="26" w:right="75"/>
              <w:jc w:val="center"/>
              <w:rPr>
                <w:b/>
                <w:sz w:val="19"/>
              </w:rPr>
            </w:pPr>
            <w:r>
              <w:rPr>
                <w:b/>
                <w:w w:val="115"/>
                <w:sz w:val="19"/>
              </w:rPr>
              <w:t>292.12</w:t>
            </w:r>
          </w:p>
        </w:tc>
        <w:tc>
          <w:tcPr>
            <w:tcW w:w="6771" w:type="dxa"/>
          </w:tcPr>
          <w:p w:rsidR="00E675F0" w:rsidRDefault="00E675F0" w:rsidP="00A330E1">
            <w:pPr>
              <w:pStyle w:val="TableParagraph"/>
              <w:spacing w:line="216" w:lineRule="exact"/>
              <w:ind w:left="110"/>
              <w:rPr>
                <w:sz w:val="20"/>
              </w:rPr>
            </w:pPr>
            <w:r>
              <w:rPr>
                <w:b/>
                <w:w w:val="110"/>
                <w:sz w:val="20"/>
              </w:rPr>
              <w:t xml:space="preserve">Cocaine-Induced Psychotic Disorder, With Hallucinations </w:t>
            </w:r>
            <w:r>
              <w:rPr>
                <w:w w:val="110"/>
                <w:sz w:val="20"/>
              </w:rPr>
              <w:t>(see p. 310)</w:t>
            </w:r>
          </w:p>
          <w:p w:rsidR="00E675F0" w:rsidRDefault="00E675F0" w:rsidP="00A330E1">
            <w:pPr>
              <w:pStyle w:val="TableParagraph"/>
              <w:spacing w:line="250" w:lineRule="exact"/>
              <w:ind w:left="131"/>
              <w:rPr>
                <w:sz w:val="20"/>
              </w:rPr>
            </w:pPr>
            <w:r>
              <w:rPr>
                <w:i/>
                <w:w w:val="105"/>
                <w:sz w:val="20"/>
              </w:rPr>
              <w:t xml:space="preserve">Specify </w:t>
            </w:r>
            <w:r>
              <w:rPr>
                <w:rFonts w:ascii="Arial"/>
                <w:i/>
                <w:w w:val="105"/>
                <w:sz w:val="24"/>
              </w:rPr>
              <w:t xml:space="preserve">if </w:t>
            </w:r>
            <w:r>
              <w:rPr>
                <w:w w:val="105"/>
                <w:sz w:val="20"/>
              </w:rPr>
              <w:t>With Onset During Intoxication</w:t>
            </w:r>
          </w:p>
        </w:tc>
      </w:tr>
      <w:tr w:rsidR="00E675F0" w:rsidTr="00A330E1">
        <w:trPr>
          <w:trHeight w:val="487"/>
        </w:trPr>
        <w:tc>
          <w:tcPr>
            <w:tcW w:w="783" w:type="dxa"/>
          </w:tcPr>
          <w:p w:rsidR="00E675F0" w:rsidRDefault="00E675F0" w:rsidP="00A330E1">
            <w:pPr>
              <w:pStyle w:val="TableParagraph"/>
              <w:spacing w:before="16"/>
              <w:ind w:left="26" w:right="75"/>
              <w:jc w:val="center"/>
              <w:rPr>
                <w:b/>
                <w:sz w:val="19"/>
              </w:rPr>
            </w:pPr>
            <w:r>
              <w:rPr>
                <w:b/>
                <w:w w:val="115"/>
                <w:sz w:val="19"/>
              </w:rPr>
              <w:t>292.84</w:t>
            </w:r>
          </w:p>
        </w:tc>
        <w:tc>
          <w:tcPr>
            <w:tcW w:w="6771" w:type="dxa"/>
          </w:tcPr>
          <w:p w:rsidR="00E675F0" w:rsidRDefault="00E675F0" w:rsidP="00A330E1">
            <w:pPr>
              <w:pStyle w:val="TableParagraph"/>
              <w:spacing w:line="216" w:lineRule="exact"/>
              <w:ind w:left="115"/>
              <w:rPr>
                <w:sz w:val="20"/>
              </w:rPr>
            </w:pPr>
            <w:r>
              <w:rPr>
                <w:b/>
                <w:w w:val="110"/>
                <w:sz w:val="20"/>
              </w:rPr>
              <w:t xml:space="preserve">Cocaine-Induced Mood Disorder </w:t>
            </w:r>
            <w:r>
              <w:rPr>
                <w:w w:val="110"/>
                <w:sz w:val="20"/>
              </w:rPr>
              <w:t>(see p. 370)</w:t>
            </w:r>
          </w:p>
          <w:p w:rsidR="00E675F0" w:rsidRDefault="00E675F0" w:rsidP="00A330E1">
            <w:pPr>
              <w:pStyle w:val="TableParagraph"/>
              <w:spacing w:line="252" w:lineRule="exact"/>
              <w:ind w:left="131"/>
              <w:rPr>
                <w:sz w:val="20"/>
              </w:rPr>
            </w:pPr>
            <w:r>
              <w:rPr>
                <w:i/>
                <w:w w:val="105"/>
                <w:sz w:val="20"/>
              </w:rPr>
              <w:t xml:space="preserve">Specify </w:t>
            </w:r>
            <w:r>
              <w:rPr>
                <w:rFonts w:ascii="Arial"/>
                <w:i/>
                <w:w w:val="105"/>
                <w:sz w:val="24"/>
              </w:rPr>
              <w:t xml:space="preserve">if </w:t>
            </w:r>
            <w:r>
              <w:rPr>
                <w:w w:val="105"/>
                <w:sz w:val="20"/>
              </w:rPr>
              <w:t>With Onset During Intoxication/With Onset During Withdrawal</w:t>
            </w:r>
          </w:p>
        </w:tc>
      </w:tr>
      <w:tr w:rsidR="00E675F0" w:rsidTr="00A330E1">
        <w:trPr>
          <w:trHeight w:val="487"/>
        </w:trPr>
        <w:tc>
          <w:tcPr>
            <w:tcW w:w="783" w:type="dxa"/>
          </w:tcPr>
          <w:p w:rsidR="00E675F0" w:rsidRDefault="00E675F0" w:rsidP="00A330E1">
            <w:pPr>
              <w:pStyle w:val="TableParagraph"/>
              <w:spacing w:before="13"/>
              <w:ind w:left="26" w:right="80"/>
              <w:jc w:val="center"/>
              <w:rPr>
                <w:b/>
                <w:sz w:val="19"/>
              </w:rPr>
            </w:pPr>
            <w:r>
              <w:rPr>
                <w:b/>
                <w:w w:val="115"/>
                <w:sz w:val="19"/>
              </w:rPr>
              <w:t>292.89</w:t>
            </w:r>
          </w:p>
        </w:tc>
        <w:tc>
          <w:tcPr>
            <w:tcW w:w="6771" w:type="dxa"/>
          </w:tcPr>
          <w:p w:rsidR="00E675F0" w:rsidRDefault="00E675F0" w:rsidP="00A330E1">
            <w:pPr>
              <w:pStyle w:val="TableParagraph"/>
              <w:spacing w:line="218" w:lineRule="exact"/>
              <w:ind w:left="115"/>
              <w:rPr>
                <w:sz w:val="20"/>
              </w:rPr>
            </w:pPr>
            <w:r>
              <w:rPr>
                <w:b/>
                <w:w w:val="110"/>
                <w:sz w:val="20"/>
              </w:rPr>
              <w:t xml:space="preserve">Cocaine-InducedAnxiety Disorder </w:t>
            </w:r>
            <w:r>
              <w:rPr>
                <w:w w:val="110"/>
                <w:sz w:val="20"/>
              </w:rPr>
              <w:t>(see p. 439)</w:t>
            </w:r>
          </w:p>
          <w:p w:rsidR="00E675F0" w:rsidRDefault="00E675F0" w:rsidP="00A330E1">
            <w:pPr>
              <w:pStyle w:val="TableParagraph"/>
              <w:spacing w:line="250" w:lineRule="exact"/>
              <w:ind w:left="131"/>
              <w:rPr>
                <w:sz w:val="20"/>
              </w:rPr>
            </w:pPr>
            <w:r>
              <w:rPr>
                <w:i/>
                <w:w w:val="105"/>
                <w:sz w:val="20"/>
              </w:rPr>
              <w:t xml:space="preserve">Specify </w:t>
            </w:r>
            <w:r>
              <w:rPr>
                <w:rFonts w:ascii="Arial"/>
                <w:i/>
                <w:w w:val="105"/>
                <w:sz w:val="24"/>
              </w:rPr>
              <w:t xml:space="preserve">if </w:t>
            </w:r>
            <w:r>
              <w:rPr>
                <w:w w:val="105"/>
                <w:sz w:val="20"/>
              </w:rPr>
              <w:t>With Onset During Intoxication/With Onset During Withdrawal</w:t>
            </w:r>
          </w:p>
        </w:tc>
      </w:tr>
      <w:tr w:rsidR="00E675F0" w:rsidTr="00A330E1">
        <w:trPr>
          <w:trHeight w:val="490"/>
        </w:trPr>
        <w:tc>
          <w:tcPr>
            <w:tcW w:w="783" w:type="dxa"/>
          </w:tcPr>
          <w:p w:rsidR="00E675F0" w:rsidRDefault="00E675F0" w:rsidP="00A330E1">
            <w:pPr>
              <w:pStyle w:val="TableParagraph"/>
              <w:spacing w:before="16"/>
              <w:ind w:left="26" w:right="70"/>
              <w:jc w:val="center"/>
              <w:rPr>
                <w:b/>
                <w:sz w:val="19"/>
              </w:rPr>
            </w:pPr>
            <w:r>
              <w:rPr>
                <w:b/>
                <w:w w:val="115"/>
                <w:sz w:val="19"/>
              </w:rPr>
              <w:t>292.89</w:t>
            </w:r>
          </w:p>
        </w:tc>
        <w:tc>
          <w:tcPr>
            <w:tcW w:w="6771" w:type="dxa"/>
          </w:tcPr>
          <w:p w:rsidR="00E675F0" w:rsidRDefault="00E675F0" w:rsidP="00A330E1">
            <w:pPr>
              <w:pStyle w:val="TableParagraph"/>
              <w:spacing w:line="218" w:lineRule="exact"/>
              <w:ind w:left="115"/>
              <w:rPr>
                <w:sz w:val="20"/>
              </w:rPr>
            </w:pPr>
            <w:r>
              <w:rPr>
                <w:b/>
                <w:w w:val="110"/>
                <w:sz w:val="20"/>
              </w:rPr>
              <w:t xml:space="preserve">Cocaine-Induced Sexual Dysfunction </w:t>
            </w:r>
            <w:r>
              <w:rPr>
                <w:w w:val="110"/>
                <w:sz w:val="20"/>
              </w:rPr>
              <w:t>(see p. 519)</w:t>
            </w:r>
          </w:p>
          <w:p w:rsidR="00E675F0" w:rsidRDefault="00E675F0" w:rsidP="00A330E1">
            <w:pPr>
              <w:pStyle w:val="TableParagraph"/>
              <w:spacing w:line="252" w:lineRule="exact"/>
              <w:ind w:left="131"/>
              <w:rPr>
                <w:sz w:val="20"/>
              </w:rPr>
            </w:pPr>
            <w:r>
              <w:rPr>
                <w:i/>
                <w:w w:val="105"/>
                <w:sz w:val="20"/>
              </w:rPr>
              <w:t xml:space="preserve">Specify </w:t>
            </w:r>
            <w:r>
              <w:rPr>
                <w:rFonts w:ascii="Arial"/>
                <w:i/>
                <w:w w:val="105"/>
                <w:sz w:val="24"/>
              </w:rPr>
              <w:t xml:space="preserve">if </w:t>
            </w:r>
            <w:r>
              <w:rPr>
                <w:w w:val="105"/>
                <w:sz w:val="20"/>
              </w:rPr>
              <w:t>With Onset During Intoxication</w:t>
            </w:r>
          </w:p>
        </w:tc>
      </w:tr>
      <w:tr w:rsidR="00E675F0" w:rsidTr="00A330E1">
        <w:trPr>
          <w:trHeight w:val="605"/>
        </w:trPr>
        <w:tc>
          <w:tcPr>
            <w:tcW w:w="783" w:type="dxa"/>
          </w:tcPr>
          <w:p w:rsidR="00E675F0" w:rsidRDefault="00E675F0" w:rsidP="00A330E1">
            <w:pPr>
              <w:pStyle w:val="TableParagraph"/>
              <w:spacing w:before="16"/>
              <w:ind w:left="26" w:right="75"/>
              <w:jc w:val="center"/>
              <w:rPr>
                <w:b/>
                <w:sz w:val="19"/>
              </w:rPr>
            </w:pPr>
            <w:r>
              <w:rPr>
                <w:b/>
                <w:w w:val="115"/>
                <w:sz w:val="19"/>
              </w:rPr>
              <w:t>292.89</w:t>
            </w:r>
          </w:p>
        </w:tc>
        <w:tc>
          <w:tcPr>
            <w:tcW w:w="6771" w:type="dxa"/>
          </w:tcPr>
          <w:p w:rsidR="00E675F0" w:rsidRDefault="00E675F0" w:rsidP="00A330E1">
            <w:pPr>
              <w:pStyle w:val="TableParagraph"/>
              <w:spacing w:line="216" w:lineRule="exact"/>
              <w:ind w:left="115"/>
              <w:rPr>
                <w:sz w:val="20"/>
              </w:rPr>
            </w:pPr>
            <w:r>
              <w:rPr>
                <w:b/>
                <w:w w:val="110"/>
                <w:sz w:val="20"/>
              </w:rPr>
              <w:t xml:space="preserve">Cocaine-Induced Sleep Disorder </w:t>
            </w:r>
            <w:r>
              <w:rPr>
                <w:w w:val="110"/>
                <w:sz w:val="20"/>
              </w:rPr>
              <w:t>(seep. 601)</w:t>
            </w:r>
          </w:p>
          <w:p w:rsidR="00E675F0" w:rsidRDefault="00E675F0" w:rsidP="00A330E1">
            <w:pPr>
              <w:pStyle w:val="TableParagraph"/>
              <w:spacing w:line="264" w:lineRule="exact"/>
              <w:ind w:left="131"/>
              <w:rPr>
                <w:sz w:val="20"/>
              </w:rPr>
            </w:pPr>
            <w:r>
              <w:rPr>
                <w:i/>
                <w:w w:val="105"/>
                <w:sz w:val="20"/>
              </w:rPr>
              <w:t xml:space="preserve">Specify </w:t>
            </w:r>
            <w:r>
              <w:rPr>
                <w:rFonts w:ascii="Arial"/>
                <w:i/>
                <w:w w:val="105"/>
                <w:sz w:val="24"/>
              </w:rPr>
              <w:t xml:space="preserve">if </w:t>
            </w:r>
            <w:r>
              <w:rPr>
                <w:w w:val="105"/>
                <w:sz w:val="20"/>
              </w:rPr>
              <w:t>With Onset During Intoxication/With Onset During Withdrawal</w:t>
            </w:r>
          </w:p>
        </w:tc>
      </w:tr>
      <w:tr w:rsidR="00E675F0" w:rsidTr="00A330E1">
        <w:trPr>
          <w:trHeight w:val="359"/>
        </w:trPr>
        <w:tc>
          <w:tcPr>
            <w:tcW w:w="783" w:type="dxa"/>
          </w:tcPr>
          <w:p w:rsidR="00E675F0" w:rsidRDefault="00E675F0" w:rsidP="00A330E1">
            <w:pPr>
              <w:pStyle w:val="TableParagraph"/>
              <w:spacing w:before="141" w:line="199" w:lineRule="exact"/>
              <w:ind w:left="26" w:right="176"/>
              <w:jc w:val="center"/>
              <w:rPr>
                <w:b/>
                <w:sz w:val="19"/>
              </w:rPr>
            </w:pPr>
            <w:r>
              <w:rPr>
                <w:b/>
                <w:w w:val="115"/>
                <w:sz w:val="19"/>
              </w:rPr>
              <w:t>292.9</w:t>
            </w:r>
          </w:p>
        </w:tc>
        <w:tc>
          <w:tcPr>
            <w:tcW w:w="6771" w:type="dxa"/>
          </w:tcPr>
          <w:p w:rsidR="00E675F0" w:rsidRDefault="00E675F0" w:rsidP="00A330E1">
            <w:pPr>
              <w:pStyle w:val="TableParagraph"/>
              <w:spacing w:before="117" w:line="222" w:lineRule="exact"/>
              <w:ind w:left="115"/>
              <w:rPr>
                <w:sz w:val="20"/>
              </w:rPr>
            </w:pPr>
            <w:r>
              <w:rPr>
                <w:b/>
                <w:w w:val="110"/>
                <w:sz w:val="20"/>
              </w:rPr>
              <w:t xml:space="preserve">Cocaine-Related Disorder Not Otherwise Specified </w:t>
            </w:r>
            <w:r>
              <w:rPr>
                <w:w w:val="110"/>
                <w:sz w:val="20"/>
              </w:rPr>
              <w:t>(see p. 229)</w:t>
            </w:r>
          </w:p>
        </w:tc>
      </w:tr>
    </w:tbl>
    <w:p w:rsidR="00E675F0" w:rsidRDefault="00E675F0" w:rsidP="00E675F0">
      <w:pPr>
        <w:pStyle w:val="BodyText"/>
        <w:rPr>
          <w:rFonts w:ascii="TimesNewRomanPS-BoldItalicMT"/>
          <w:b/>
          <w:i/>
          <w:sz w:val="26"/>
        </w:rPr>
      </w:pPr>
    </w:p>
    <w:p w:rsidR="00E675F0" w:rsidRDefault="00E675F0" w:rsidP="00E675F0">
      <w:pPr>
        <w:pStyle w:val="BodyText"/>
        <w:spacing w:before="2"/>
        <w:rPr>
          <w:rFonts w:ascii="TimesNewRomanPS-BoldItalicMT"/>
          <w:b/>
          <w:i/>
          <w:sz w:val="34"/>
        </w:rPr>
      </w:pPr>
    </w:p>
    <w:p w:rsidR="00E675F0" w:rsidRDefault="00E675F0" w:rsidP="00E675F0">
      <w:pPr>
        <w:ind w:left="1976" w:right="1977"/>
        <w:jc w:val="center"/>
        <w:rPr>
          <w:rFonts w:ascii="TimesNewRomanPS-BoldItalicMT"/>
          <w:b/>
          <w:i/>
          <w:sz w:val="28"/>
        </w:rPr>
      </w:pPr>
      <w:r>
        <w:rPr>
          <w:rFonts w:ascii="TimesNewRomanPS-BoldItalicMT"/>
          <w:b/>
          <w:i/>
          <w:w w:val="115"/>
          <w:sz w:val="28"/>
        </w:rPr>
        <w:t>Cocaine Use Disorders</w:t>
      </w:r>
    </w:p>
    <w:p w:rsidR="00E675F0" w:rsidRDefault="00E675F0" w:rsidP="00E675F0">
      <w:pPr>
        <w:tabs>
          <w:tab w:val="left" w:pos="3104"/>
        </w:tabs>
        <w:spacing w:before="258"/>
        <w:ind w:left="2033"/>
        <w:rPr>
          <w:rFonts w:ascii="Arial"/>
          <w:b/>
          <w:sz w:val="25"/>
        </w:rPr>
      </w:pPr>
      <w:r>
        <w:rPr>
          <w:rFonts w:ascii="Arial"/>
          <w:b/>
          <w:w w:val="110"/>
          <w:sz w:val="25"/>
        </w:rPr>
        <w:t>304.20</w:t>
      </w:r>
      <w:r>
        <w:rPr>
          <w:rFonts w:ascii="Arial"/>
          <w:b/>
          <w:w w:val="110"/>
          <w:sz w:val="25"/>
        </w:rPr>
        <w:tab/>
        <w:t>Cocaine</w:t>
      </w:r>
      <w:r>
        <w:rPr>
          <w:rFonts w:ascii="Arial"/>
          <w:b/>
          <w:spacing w:val="-9"/>
          <w:w w:val="110"/>
          <w:sz w:val="25"/>
        </w:rPr>
        <w:t xml:space="preserve"> </w:t>
      </w:r>
      <w:r>
        <w:rPr>
          <w:rFonts w:ascii="Arial"/>
          <w:b/>
          <w:w w:val="110"/>
          <w:sz w:val="25"/>
        </w:rPr>
        <w:t>Dependence</w:t>
      </w:r>
    </w:p>
    <w:p w:rsidR="00E675F0" w:rsidRDefault="00E675F0" w:rsidP="00E675F0">
      <w:pPr>
        <w:pStyle w:val="BodyText"/>
        <w:spacing w:before="4"/>
        <w:rPr>
          <w:rFonts w:ascii="Arial"/>
          <w:b/>
          <w:sz w:val="31"/>
        </w:rPr>
      </w:pPr>
    </w:p>
    <w:p w:rsidR="00E675F0" w:rsidRDefault="00E675F0" w:rsidP="00E675F0">
      <w:pPr>
        <w:pStyle w:val="BodyText"/>
        <w:spacing w:before="1" w:line="254" w:lineRule="auto"/>
        <w:ind w:left="178" w:right="114" w:firstLine="1"/>
        <w:jc w:val="both"/>
      </w:pPr>
      <w:r>
        <w:rPr>
          <w:w w:val="105"/>
        </w:rPr>
        <w:t>Also refer to the text and criteria for Substance Dependence (see p. 176). Cocaine has extremely potent euphoric effects, and individuals exposed to it can develop Depen­ dence after using cocaine for very short periods of time. An early sign of Cocaine Dependence is when the individual finds it increasingly difficult to resist using cocaine whenever it is available. Because of its short half-life, there is a need for frequent dosing to maintain a "high." Persons with Cocaine Dependence can spend extremely large amounts of money on the drug within a very short period of time. As a result, the person using the substance may become involved in theft, prostitution, or drug dealing or may request salary advances to obtain funds to purchase the drug. Individuals with Cocaine Dependence often find it necessary to discontinue use for several days to rest or to obtain additional funds. Important responsibilities such as work or child care may be grossly neglected to obtain or use cocaine. Mental or physical complications of chronic use such as paranoid ideation, aggressive behavior, anxiety, depression, and weight loss are common. Regardless of the route of administration, tolerance occurs with repeated use. Withdrawal symptoms, particularly dysphoric mood, can be seen, but are usually transitory and associated with high-dose</w:t>
      </w:r>
      <w:r>
        <w:rPr>
          <w:spacing w:val="-22"/>
          <w:w w:val="105"/>
        </w:rPr>
        <w:t xml:space="preserve"> </w:t>
      </w:r>
      <w:r>
        <w:rPr>
          <w:w w:val="105"/>
        </w:rPr>
        <w:t>use.</w:t>
      </w:r>
    </w:p>
    <w:p w:rsidR="00E675F0" w:rsidRDefault="00E675F0" w:rsidP="00E675F0">
      <w:pPr>
        <w:spacing w:line="254" w:lineRule="auto"/>
        <w:jc w:val="both"/>
        <w:sectPr w:rsidR="00E675F0">
          <w:type w:val="continuous"/>
          <w:pgSz w:w="8960" w:h="14260"/>
          <w:pgMar w:top="640" w:right="620" w:bottom="0" w:left="560" w:header="720" w:footer="720" w:gutter="0"/>
          <w:cols w:space="720"/>
        </w:sectPr>
      </w:pPr>
    </w:p>
    <w:p w:rsidR="00E675F0" w:rsidRDefault="00E675F0" w:rsidP="00E675F0">
      <w:pPr>
        <w:spacing w:before="141"/>
        <w:ind w:left="107"/>
        <w:rPr>
          <w:rFonts w:ascii="TimesNewRomanPS-BoldItalicMT"/>
          <w:b/>
          <w:i/>
          <w:sz w:val="24"/>
        </w:rPr>
      </w:pPr>
      <w:bookmarkStart w:id="143" w:name="_bookmark124"/>
      <w:bookmarkEnd w:id="143"/>
      <w:r>
        <w:rPr>
          <w:rFonts w:ascii="TimesNewRomanPS-BoldItalicMT"/>
          <w:b/>
          <w:i/>
          <w:w w:val="115"/>
          <w:sz w:val="24"/>
        </w:rPr>
        <w:lastRenderedPageBreak/>
        <w:t>Specifiers</w:t>
      </w:r>
    </w:p>
    <w:p w:rsidR="00E675F0" w:rsidRDefault="00E675F0" w:rsidP="00E675F0">
      <w:pPr>
        <w:spacing w:before="141"/>
        <w:ind w:left="110"/>
        <w:rPr>
          <w:sz w:val="19"/>
        </w:rPr>
      </w:pPr>
      <w:r>
        <w:rPr>
          <w:w w:val="110"/>
          <w:sz w:val="19"/>
        </w:rPr>
        <w:t>The following specifiers may be applied to a diagnosis of Cocaine Dependence (see</w:t>
      </w:r>
    </w:p>
    <w:p w:rsidR="00E675F0" w:rsidRDefault="00E675F0" w:rsidP="00E675F0">
      <w:pPr>
        <w:spacing w:before="17"/>
        <w:ind w:left="122"/>
        <w:rPr>
          <w:sz w:val="19"/>
        </w:rPr>
      </w:pPr>
      <w:r>
        <w:rPr>
          <w:w w:val="110"/>
          <w:sz w:val="19"/>
        </w:rPr>
        <w:t>p. 179 for more details):</w:t>
      </w:r>
    </w:p>
    <w:p w:rsidR="00E675F0" w:rsidRDefault="00E675F0" w:rsidP="00E675F0">
      <w:pPr>
        <w:spacing w:before="70" w:line="256" w:lineRule="auto"/>
        <w:ind w:left="715" w:right="3267"/>
        <w:rPr>
          <w:b/>
          <w:sz w:val="20"/>
        </w:rPr>
      </w:pPr>
      <w:r>
        <w:rPr>
          <w:b/>
          <w:w w:val="110"/>
          <w:sz w:val="20"/>
        </w:rPr>
        <w:t>With Physiological Dependence Without Physiological Dependence</w:t>
      </w:r>
    </w:p>
    <w:p w:rsidR="00E675F0" w:rsidRDefault="00E675F0" w:rsidP="00E675F0">
      <w:pPr>
        <w:spacing w:before="56" w:line="256" w:lineRule="auto"/>
        <w:ind w:left="717" w:right="4591" w:firstLine="1"/>
        <w:rPr>
          <w:b/>
          <w:sz w:val="20"/>
        </w:rPr>
      </w:pPr>
      <w:r>
        <w:rPr>
          <w:b/>
          <w:w w:val="110"/>
          <w:sz w:val="20"/>
        </w:rPr>
        <w:t>Early Full Remission Early Partial Remission Sustained Full Remission</w:t>
      </w:r>
    </w:p>
    <w:p w:rsidR="00E675F0" w:rsidRDefault="00E675F0" w:rsidP="00E675F0">
      <w:pPr>
        <w:spacing w:line="256" w:lineRule="auto"/>
        <w:ind w:left="719" w:right="4234" w:firstLine="2"/>
        <w:rPr>
          <w:b/>
          <w:sz w:val="20"/>
        </w:rPr>
      </w:pPr>
      <w:r>
        <w:rPr>
          <w:b/>
          <w:w w:val="110"/>
          <w:sz w:val="20"/>
        </w:rPr>
        <w:t>Sustained Partial Remission On Agonist Therapy</w:t>
      </w:r>
    </w:p>
    <w:p w:rsidR="00E675F0" w:rsidRDefault="00E675F0" w:rsidP="00E675F0">
      <w:pPr>
        <w:spacing w:line="228" w:lineRule="exact"/>
        <w:ind w:left="723"/>
        <w:rPr>
          <w:b/>
          <w:sz w:val="20"/>
        </w:rPr>
      </w:pPr>
      <w:r>
        <w:rPr>
          <w:b/>
          <w:w w:val="110"/>
          <w:sz w:val="20"/>
        </w:rPr>
        <w:t>In a Controlled Environment</w:t>
      </w:r>
    </w:p>
    <w:p w:rsidR="00E675F0" w:rsidRDefault="00E675F0" w:rsidP="00E675F0">
      <w:pPr>
        <w:pStyle w:val="BodyText"/>
        <w:rPr>
          <w:b/>
          <w:sz w:val="22"/>
        </w:rPr>
      </w:pPr>
    </w:p>
    <w:p w:rsidR="00E675F0" w:rsidRDefault="00E675F0" w:rsidP="00E675F0">
      <w:pPr>
        <w:pStyle w:val="BodyText"/>
        <w:spacing w:before="10"/>
        <w:rPr>
          <w:b/>
        </w:rPr>
      </w:pPr>
    </w:p>
    <w:p w:rsidR="00E675F0" w:rsidRDefault="00E675F0" w:rsidP="00E675F0">
      <w:pPr>
        <w:tabs>
          <w:tab w:val="left" w:pos="3467"/>
        </w:tabs>
        <w:ind w:left="2387"/>
        <w:rPr>
          <w:rFonts w:ascii="Arial"/>
          <w:b/>
          <w:sz w:val="25"/>
        </w:rPr>
      </w:pPr>
      <w:r>
        <w:rPr>
          <w:rFonts w:ascii="Arial"/>
          <w:b/>
          <w:w w:val="105"/>
          <w:sz w:val="25"/>
        </w:rPr>
        <w:t>305.60</w:t>
      </w:r>
      <w:r>
        <w:rPr>
          <w:rFonts w:ascii="Arial"/>
          <w:b/>
          <w:w w:val="105"/>
          <w:sz w:val="25"/>
        </w:rPr>
        <w:tab/>
        <w:t>Cocaine</w:t>
      </w:r>
      <w:r>
        <w:rPr>
          <w:rFonts w:ascii="Arial"/>
          <w:b/>
          <w:spacing w:val="5"/>
          <w:w w:val="105"/>
          <w:sz w:val="25"/>
        </w:rPr>
        <w:t xml:space="preserve"> </w:t>
      </w:r>
      <w:r>
        <w:rPr>
          <w:rFonts w:ascii="Arial"/>
          <w:b/>
          <w:w w:val="105"/>
          <w:sz w:val="25"/>
        </w:rPr>
        <w:t>Abuse</w:t>
      </w:r>
    </w:p>
    <w:p w:rsidR="00E675F0" w:rsidRDefault="00E675F0" w:rsidP="00E675F0">
      <w:pPr>
        <w:pStyle w:val="BodyText"/>
        <w:spacing w:before="7"/>
        <w:rPr>
          <w:rFonts w:ascii="Arial"/>
          <w:b/>
          <w:sz w:val="22"/>
        </w:rPr>
      </w:pPr>
    </w:p>
    <w:p w:rsidR="00E675F0" w:rsidRDefault="00E675F0" w:rsidP="00E675F0">
      <w:pPr>
        <w:spacing w:line="268" w:lineRule="auto"/>
        <w:ind w:left="118" w:right="110"/>
        <w:jc w:val="both"/>
        <w:rPr>
          <w:sz w:val="19"/>
        </w:rPr>
      </w:pPr>
      <w:r>
        <w:rPr>
          <w:w w:val="110"/>
          <w:sz w:val="19"/>
        </w:rPr>
        <w:t xml:space="preserve">Also refer to the text and criteria for Substance Abuse (see p. 182). The intensity and frequency of cocaine administration is less in Cocaine Abuse as compared with Dependence. Episodes of problematic use, neglect of responsibilities, and interpersonal conflict often occur around paydays or special occasions, resulting in a pattern of brief periods (hours to a few days) of high-dose use followed by much longer periods (weeks to months) of occasional, nonproblematic use or abstinence. Legal difficulties may result from possession or use of the drug. When the problems associated with use are accompanied by evidence of tolerance, withdrawal, or compulsive behavior related </w:t>
      </w:r>
      <w:r>
        <w:rPr>
          <w:w w:val="110"/>
          <w:sz w:val="17"/>
        </w:rPr>
        <w:t xml:space="preserve">to </w:t>
      </w:r>
      <w:r>
        <w:rPr>
          <w:w w:val="110"/>
          <w:sz w:val="19"/>
        </w:rPr>
        <w:t>obtaining and administering cocaine, a diagnosis of Cocaine Dependence rather than Cocaine Abuse should be considered.</w:t>
      </w:r>
    </w:p>
    <w:p w:rsidR="00E675F0" w:rsidRDefault="00E675F0" w:rsidP="00E675F0">
      <w:pPr>
        <w:pStyle w:val="BodyText"/>
      </w:pPr>
    </w:p>
    <w:p w:rsidR="00E675F0" w:rsidRDefault="00E675F0" w:rsidP="00E675F0">
      <w:pPr>
        <w:pStyle w:val="BodyText"/>
        <w:spacing w:before="6"/>
        <w:rPr>
          <w:sz w:val="29"/>
        </w:rPr>
      </w:pPr>
    </w:p>
    <w:p w:rsidR="00E675F0" w:rsidRDefault="00E675F0" w:rsidP="00E675F0">
      <w:pPr>
        <w:ind w:left="1998"/>
        <w:rPr>
          <w:rFonts w:ascii="TimesNewRomanPS-BoldItalicMT"/>
          <w:b/>
          <w:i/>
          <w:sz w:val="28"/>
        </w:rPr>
      </w:pPr>
      <w:r>
        <w:rPr>
          <w:rFonts w:ascii="TimesNewRomanPS-BoldItalicMT"/>
          <w:b/>
          <w:i/>
          <w:w w:val="115"/>
          <w:sz w:val="28"/>
        </w:rPr>
        <w:t>Cocaine-Induced</w:t>
      </w:r>
      <w:r>
        <w:rPr>
          <w:rFonts w:ascii="TimesNewRomanPS-BoldItalicMT"/>
          <w:b/>
          <w:i/>
          <w:spacing w:val="-19"/>
          <w:w w:val="115"/>
          <w:sz w:val="28"/>
        </w:rPr>
        <w:t xml:space="preserve"> </w:t>
      </w:r>
      <w:r>
        <w:rPr>
          <w:rFonts w:ascii="TimesNewRomanPS-BoldItalicMT"/>
          <w:b/>
          <w:i/>
          <w:w w:val="115"/>
          <w:sz w:val="28"/>
        </w:rPr>
        <w:t>Disorders</w:t>
      </w:r>
    </w:p>
    <w:p w:rsidR="00E675F0" w:rsidRDefault="00E675F0" w:rsidP="00E675F0">
      <w:pPr>
        <w:tabs>
          <w:tab w:val="left" w:pos="3106"/>
        </w:tabs>
        <w:spacing w:before="142"/>
        <w:ind w:left="2034"/>
        <w:rPr>
          <w:rFonts w:ascii="Arial"/>
          <w:b/>
          <w:sz w:val="25"/>
        </w:rPr>
      </w:pPr>
      <w:r>
        <w:rPr>
          <w:rFonts w:ascii="Arial"/>
          <w:b/>
          <w:w w:val="105"/>
          <w:sz w:val="25"/>
        </w:rPr>
        <w:t>292.89</w:t>
      </w:r>
      <w:r>
        <w:rPr>
          <w:rFonts w:ascii="Arial"/>
          <w:b/>
          <w:w w:val="105"/>
          <w:sz w:val="25"/>
        </w:rPr>
        <w:tab/>
        <w:t>Cocaine</w:t>
      </w:r>
      <w:r>
        <w:rPr>
          <w:rFonts w:ascii="Arial"/>
          <w:b/>
          <w:spacing w:val="-28"/>
          <w:w w:val="105"/>
          <w:sz w:val="25"/>
        </w:rPr>
        <w:t xml:space="preserve"> </w:t>
      </w:r>
      <w:r>
        <w:rPr>
          <w:rFonts w:ascii="Arial"/>
          <w:b/>
          <w:w w:val="105"/>
          <w:sz w:val="25"/>
        </w:rPr>
        <w:t>Intoxication</w:t>
      </w:r>
    </w:p>
    <w:p w:rsidR="00E675F0" w:rsidRDefault="00E675F0" w:rsidP="00E675F0">
      <w:pPr>
        <w:pStyle w:val="BodyText"/>
        <w:spacing w:before="7"/>
        <w:rPr>
          <w:rFonts w:ascii="Arial"/>
          <w:b/>
          <w:sz w:val="22"/>
        </w:rPr>
      </w:pPr>
    </w:p>
    <w:p w:rsidR="00E675F0" w:rsidRDefault="00E675F0" w:rsidP="00E675F0">
      <w:pPr>
        <w:spacing w:line="266" w:lineRule="auto"/>
        <w:ind w:left="118" w:right="105" w:hanging="4"/>
        <w:jc w:val="both"/>
        <w:rPr>
          <w:sz w:val="19"/>
        </w:rPr>
      </w:pPr>
      <w:r>
        <w:rPr>
          <w:w w:val="110"/>
          <w:sz w:val="19"/>
        </w:rPr>
        <w:t>Also refer to the text and criteria for Substance Intoxication (see p. 183). The essential feature of Cocaine Intoxication is the presence of clinically significant maladaptive behavioral or psychological changes that develop during, or shortly after, use of cocaine (Criteria</w:t>
      </w:r>
      <w:r>
        <w:rPr>
          <w:spacing w:val="-6"/>
          <w:w w:val="110"/>
          <w:sz w:val="19"/>
        </w:rPr>
        <w:t xml:space="preserve"> </w:t>
      </w:r>
      <w:r>
        <w:rPr>
          <w:w w:val="110"/>
          <w:sz w:val="19"/>
        </w:rPr>
        <w:t>A</w:t>
      </w:r>
      <w:r>
        <w:rPr>
          <w:spacing w:val="-22"/>
          <w:w w:val="110"/>
          <w:sz w:val="19"/>
        </w:rPr>
        <w:t xml:space="preserve"> </w:t>
      </w:r>
      <w:r>
        <w:rPr>
          <w:w w:val="110"/>
          <w:sz w:val="19"/>
        </w:rPr>
        <w:t>and</w:t>
      </w:r>
      <w:r>
        <w:rPr>
          <w:spacing w:val="29"/>
          <w:w w:val="110"/>
          <w:sz w:val="19"/>
        </w:rPr>
        <w:t xml:space="preserve"> </w:t>
      </w:r>
      <w:r>
        <w:rPr>
          <w:w w:val="110"/>
          <w:sz w:val="19"/>
        </w:rPr>
        <w:t>B).</w:t>
      </w:r>
      <w:r>
        <w:rPr>
          <w:spacing w:val="-16"/>
          <w:w w:val="110"/>
          <w:sz w:val="19"/>
        </w:rPr>
        <w:t xml:space="preserve"> </w:t>
      </w:r>
      <w:r>
        <w:rPr>
          <w:w w:val="110"/>
          <w:sz w:val="19"/>
        </w:rPr>
        <w:t>Cocaine</w:t>
      </w:r>
      <w:r>
        <w:rPr>
          <w:spacing w:val="-7"/>
          <w:w w:val="110"/>
          <w:sz w:val="19"/>
        </w:rPr>
        <w:t xml:space="preserve"> </w:t>
      </w:r>
      <w:r>
        <w:rPr>
          <w:w w:val="110"/>
          <w:sz w:val="19"/>
        </w:rPr>
        <w:t>Intoxication</w:t>
      </w:r>
      <w:r>
        <w:rPr>
          <w:spacing w:val="6"/>
          <w:w w:val="110"/>
          <w:sz w:val="19"/>
        </w:rPr>
        <w:t xml:space="preserve"> </w:t>
      </w:r>
      <w:r>
        <w:rPr>
          <w:w w:val="110"/>
          <w:sz w:val="19"/>
        </w:rPr>
        <w:t>usually</w:t>
      </w:r>
      <w:r>
        <w:rPr>
          <w:spacing w:val="-11"/>
          <w:w w:val="110"/>
          <w:sz w:val="19"/>
        </w:rPr>
        <w:t xml:space="preserve"> </w:t>
      </w:r>
      <w:r>
        <w:rPr>
          <w:w w:val="110"/>
          <w:sz w:val="19"/>
        </w:rPr>
        <w:t>begins</w:t>
      </w:r>
      <w:r>
        <w:rPr>
          <w:spacing w:val="-12"/>
          <w:w w:val="110"/>
          <w:sz w:val="19"/>
        </w:rPr>
        <w:t xml:space="preserve"> </w:t>
      </w:r>
      <w:r>
        <w:rPr>
          <w:w w:val="110"/>
          <w:sz w:val="19"/>
        </w:rPr>
        <w:t>with</w:t>
      </w:r>
      <w:r>
        <w:rPr>
          <w:spacing w:val="-12"/>
          <w:w w:val="110"/>
          <w:sz w:val="19"/>
        </w:rPr>
        <w:t xml:space="preserve"> </w:t>
      </w:r>
      <w:r>
        <w:rPr>
          <w:w w:val="110"/>
          <w:sz w:val="19"/>
        </w:rPr>
        <w:t>a</w:t>
      </w:r>
      <w:r>
        <w:rPr>
          <w:spacing w:val="-14"/>
          <w:w w:val="110"/>
          <w:sz w:val="19"/>
        </w:rPr>
        <w:t xml:space="preserve"> </w:t>
      </w:r>
      <w:r>
        <w:rPr>
          <w:w w:val="110"/>
          <w:sz w:val="19"/>
        </w:rPr>
        <w:t>"high"</w:t>
      </w:r>
      <w:r>
        <w:rPr>
          <w:spacing w:val="-16"/>
          <w:w w:val="110"/>
          <w:sz w:val="19"/>
        </w:rPr>
        <w:t xml:space="preserve"> </w:t>
      </w:r>
      <w:r>
        <w:rPr>
          <w:w w:val="110"/>
          <w:sz w:val="19"/>
        </w:rPr>
        <w:t>feeling</w:t>
      </w:r>
      <w:r>
        <w:rPr>
          <w:spacing w:val="-16"/>
          <w:w w:val="110"/>
          <w:sz w:val="19"/>
        </w:rPr>
        <w:t xml:space="preserve"> </w:t>
      </w:r>
      <w:r>
        <w:rPr>
          <w:w w:val="110"/>
          <w:sz w:val="19"/>
        </w:rPr>
        <w:t>and includes one or more of the following: euphoria with enhanced vigor, gregariousness, hyper­ activity, restlessness, hypervigilance, interpersonal sensitivity, talkativeness, anxiety, tension, alertness, grandiosity, stereotyped and repetitive behavior, anger, and impaired judgment, and in the case of chronic intoxication, affective blunting with fatigue or sadness and social withdrawal. These behavioral and psychological changes are accompanied by two or more of the following signs and symptoms that develop during or shortly after cocaine use: tachycardia or bradycardia; pupillary dilation; elevated or lowered blood pressure; perspiration or chills; nausea or vomiting; evidence of weight loss; psychomotor agitation or retardation; muscular weakness, respiratory depression, chest pain, or cardiac arrhythmias; and confusion, seizures, dyskinesias, dystonias, or coma</w:t>
      </w:r>
      <w:r>
        <w:rPr>
          <w:spacing w:val="-4"/>
          <w:w w:val="110"/>
          <w:sz w:val="19"/>
        </w:rPr>
        <w:t xml:space="preserve"> </w:t>
      </w:r>
      <w:r>
        <w:rPr>
          <w:w w:val="110"/>
          <w:sz w:val="19"/>
        </w:rPr>
        <w:t>(Criterion</w:t>
      </w:r>
      <w:r>
        <w:rPr>
          <w:spacing w:val="-11"/>
          <w:w w:val="110"/>
          <w:sz w:val="19"/>
        </w:rPr>
        <w:t xml:space="preserve"> </w:t>
      </w:r>
      <w:r>
        <w:rPr>
          <w:w w:val="110"/>
          <w:sz w:val="19"/>
        </w:rPr>
        <w:t>C).</w:t>
      </w:r>
      <w:r>
        <w:rPr>
          <w:spacing w:val="-11"/>
          <w:w w:val="110"/>
          <w:sz w:val="19"/>
        </w:rPr>
        <w:t xml:space="preserve"> </w:t>
      </w:r>
      <w:r>
        <w:rPr>
          <w:w w:val="110"/>
          <w:sz w:val="19"/>
        </w:rPr>
        <w:t>Intoxication,</w:t>
      </w:r>
      <w:r>
        <w:rPr>
          <w:spacing w:val="-9"/>
          <w:w w:val="110"/>
          <w:sz w:val="19"/>
        </w:rPr>
        <w:t xml:space="preserve"> </w:t>
      </w:r>
      <w:r>
        <w:rPr>
          <w:w w:val="110"/>
          <w:sz w:val="19"/>
        </w:rPr>
        <w:t>either</w:t>
      </w:r>
      <w:r>
        <w:rPr>
          <w:spacing w:val="-13"/>
          <w:w w:val="110"/>
          <w:sz w:val="19"/>
        </w:rPr>
        <w:t xml:space="preserve"> </w:t>
      </w:r>
      <w:r>
        <w:rPr>
          <w:w w:val="110"/>
          <w:sz w:val="19"/>
        </w:rPr>
        <w:t>acute</w:t>
      </w:r>
      <w:r>
        <w:rPr>
          <w:spacing w:val="-13"/>
          <w:w w:val="110"/>
          <w:sz w:val="19"/>
        </w:rPr>
        <w:t xml:space="preserve"> </w:t>
      </w:r>
      <w:r>
        <w:rPr>
          <w:w w:val="110"/>
          <w:sz w:val="19"/>
        </w:rPr>
        <w:t>or</w:t>
      </w:r>
      <w:r>
        <w:rPr>
          <w:spacing w:val="-17"/>
          <w:w w:val="110"/>
          <w:sz w:val="19"/>
        </w:rPr>
        <w:t xml:space="preserve"> </w:t>
      </w:r>
      <w:r>
        <w:rPr>
          <w:w w:val="110"/>
          <w:sz w:val="19"/>
        </w:rPr>
        <w:t>chronic,</w:t>
      </w:r>
      <w:r>
        <w:rPr>
          <w:spacing w:val="-2"/>
          <w:w w:val="110"/>
          <w:sz w:val="19"/>
        </w:rPr>
        <w:t xml:space="preserve"> </w:t>
      </w:r>
      <w:r>
        <w:rPr>
          <w:w w:val="110"/>
          <w:sz w:val="19"/>
        </w:rPr>
        <w:t>is</w:t>
      </w:r>
      <w:r>
        <w:rPr>
          <w:spacing w:val="-22"/>
          <w:w w:val="110"/>
          <w:sz w:val="19"/>
        </w:rPr>
        <w:t xml:space="preserve"> </w:t>
      </w:r>
      <w:r>
        <w:rPr>
          <w:w w:val="110"/>
          <w:sz w:val="19"/>
        </w:rPr>
        <w:t>often</w:t>
      </w:r>
      <w:r>
        <w:rPr>
          <w:spacing w:val="-11"/>
          <w:w w:val="110"/>
          <w:sz w:val="19"/>
        </w:rPr>
        <w:t xml:space="preserve"> </w:t>
      </w:r>
      <w:r>
        <w:rPr>
          <w:w w:val="110"/>
          <w:sz w:val="19"/>
        </w:rPr>
        <w:t>associated</w:t>
      </w:r>
      <w:r>
        <w:rPr>
          <w:spacing w:val="-4"/>
          <w:w w:val="110"/>
          <w:sz w:val="19"/>
        </w:rPr>
        <w:t xml:space="preserve"> </w:t>
      </w:r>
      <w:r>
        <w:rPr>
          <w:w w:val="110"/>
          <w:sz w:val="19"/>
        </w:rPr>
        <w:t>with</w:t>
      </w:r>
      <w:r>
        <w:rPr>
          <w:spacing w:val="-7"/>
          <w:w w:val="110"/>
          <w:sz w:val="19"/>
        </w:rPr>
        <w:t xml:space="preserve"> </w:t>
      </w:r>
      <w:r>
        <w:rPr>
          <w:w w:val="110"/>
          <w:sz w:val="19"/>
        </w:rPr>
        <w:t>impaired social or occupational functioning. Severe intoxication can lead to coma. To make</w:t>
      </w:r>
      <w:r>
        <w:rPr>
          <w:spacing w:val="-10"/>
          <w:w w:val="110"/>
          <w:sz w:val="19"/>
        </w:rPr>
        <w:t xml:space="preserve"> </w:t>
      </w:r>
      <w:r>
        <w:rPr>
          <w:w w:val="110"/>
          <w:sz w:val="19"/>
        </w:rPr>
        <w:t>a</w:t>
      </w:r>
    </w:p>
    <w:p w:rsidR="00E675F0" w:rsidRDefault="00E675F0" w:rsidP="00E675F0">
      <w:pPr>
        <w:spacing w:line="266" w:lineRule="auto"/>
        <w:jc w:val="both"/>
        <w:rPr>
          <w:sz w:val="19"/>
        </w:rPr>
        <w:sectPr w:rsidR="00E675F0">
          <w:pgSz w:w="8960" w:h="14260"/>
          <w:pgMar w:top="1400" w:right="640" w:bottom="280" w:left="620" w:header="674" w:footer="0" w:gutter="0"/>
          <w:cols w:space="720"/>
        </w:sectPr>
      </w:pPr>
    </w:p>
    <w:p w:rsidR="00E675F0" w:rsidRDefault="00E675F0" w:rsidP="00E675F0">
      <w:pPr>
        <w:pStyle w:val="BodyText"/>
        <w:spacing w:before="114" w:line="256" w:lineRule="auto"/>
        <w:ind w:left="110" w:right="153" w:firstLine="5"/>
        <w:jc w:val="both"/>
      </w:pPr>
      <w:bookmarkStart w:id="144" w:name="_bookmark125"/>
      <w:bookmarkEnd w:id="144"/>
      <w:r>
        <w:rPr>
          <w:w w:val="105"/>
        </w:rPr>
        <w:lastRenderedPageBreak/>
        <w:t>diagnosis of Cocaine Intoxication, the symptoms must not be due to a general medical condition and are not better accounted for by another mental disorder (Criterion D).</w:t>
      </w:r>
    </w:p>
    <w:p w:rsidR="00E675F0" w:rsidRDefault="00E675F0" w:rsidP="00E675F0">
      <w:pPr>
        <w:pStyle w:val="BodyText"/>
        <w:spacing w:line="254" w:lineRule="auto"/>
        <w:ind w:left="115" w:right="143" w:firstLine="352"/>
        <w:jc w:val="both"/>
      </w:pPr>
      <w:r>
        <w:rPr>
          <w:w w:val="105"/>
        </w:rPr>
        <w:t>The magnitude and direction of the behavioral and physiological changes depend  on many variables, including the dose used and the individual characteristics of the person using the substance (e.g., tolerance, rate of absorption, chronicity of use, context in which it is taken). Stimulant effects such as euphoria, increased pulse and blood pressure,  and psychomotor activity are most commonly seen. Depressant effects such  as sadness, bradycardia, decreased blood pressure, and decreased psychomotor activity are less common and generally emerge only with chronic high-dose use.</w:t>
      </w:r>
    </w:p>
    <w:p w:rsidR="00E675F0" w:rsidRDefault="00E675F0" w:rsidP="00E675F0">
      <w:pPr>
        <w:pStyle w:val="BodyText"/>
        <w:rPr>
          <w:sz w:val="22"/>
        </w:rPr>
      </w:pPr>
    </w:p>
    <w:p w:rsidR="00E675F0" w:rsidRDefault="00E675F0" w:rsidP="00E675F0">
      <w:pPr>
        <w:pStyle w:val="BodyText"/>
        <w:spacing w:before="10"/>
        <w:rPr>
          <w:sz w:val="18"/>
        </w:rPr>
      </w:pPr>
    </w:p>
    <w:p w:rsidR="00E675F0" w:rsidRDefault="00E675F0" w:rsidP="00E675F0">
      <w:pPr>
        <w:ind w:left="103"/>
        <w:rPr>
          <w:rFonts w:ascii="TimesNewRomanPS-BoldItalicMT"/>
          <w:b/>
          <w:i/>
          <w:sz w:val="24"/>
        </w:rPr>
      </w:pPr>
      <w:r>
        <w:rPr>
          <w:rFonts w:ascii="TimesNewRomanPS-BoldItalicMT"/>
          <w:b/>
          <w:i/>
          <w:w w:val="115"/>
          <w:sz w:val="24"/>
        </w:rPr>
        <w:t>Specifier</w:t>
      </w:r>
    </w:p>
    <w:p w:rsidR="00E675F0" w:rsidRDefault="00E675F0" w:rsidP="00E675F0">
      <w:pPr>
        <w:pStyle w:val="BodyText"/>
        <w:spacing w:before="160"/>
        <w:ind w:left="106"/>
        <w:jc w:val="both"/>
      </w:pPr>
      <w:r>
        <w:rPr>
          <w:w w:val="105"/>
        </w:rPr>
        <w:t>The following specifier may be applied to a diagnosis of Cocaine Intoxication:</w:t>
      </w:r>
    </w:p>
    <w:p w:rsidR="00E675F0" w:rsidRDefault="00E675F0" w:rsidP="00E675F0">
      <w:pPr>
        <w:pStyle w:val="BodyText"/>
        <w:spacing w:before="78" w:line="254" w:lineRule="auto"/>
        <w:ind w:left="717" w:right="137" w:hanging="5"/>
        <w:jc w:val="both"/>
      </w:pPr>
      <w:r>
        <w:rPr>
          <w:noProof/>
        </w:rPr>
        <mc:AlternateContent>
          <mc:Choice Requires="wpg">
            <w:drawing>
              <wp:anchor distT="0" distB="0" distL="114300" distR="114300" simplePos="0" relativeHeight="251802624" behindDoc="1" locked="0" layoutInCell="1" allowOverlap="1" wp14:anchorId="75B6FDC0" wp14:editId="083196C1">
                <wp:simplePos x="0" y="0"/>
                <wp:positionH relativeFrom="page">
                  <wp:posOffset>465455</wp:posOffset>
                </wp:positionH>
                <wp:positionV relativeFrom="paragraph">
                  <wp:posOffset>1471295</wp:posOffset>
                </wp:positionV>
                <wp:extent cx="4765675" cy="3956050"/>
                <wp:effectExtent l="0" t="0" r="22225" b="0"/>
                <wp:wrapNone/>
                <wp:docPr id="1346" name="Group 1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5675" cy="3956050"/>
                          <a:chOff x="733" y="2317"/>
                          <a:chExt cx="7505" cy="6230"/>
                        </a:xfrm>
                      </wpg:grpSpPr>
                      <wps:wsp>
                        <wps:cNvPr id="1347" name="Line 1305"/>
                        <wps:cNvCnPr>
                          <a:cxnSpLocks/>
                        </wps:cNvCnPr>
                        <wps:spPr bwMode="auto">
                          <a:xfrm>
                            <a:off x="8146" y="8547"/>
                            <a:ext cx="0" cy="0"/>
                          </a:xfrm>
                          <a:prstGeom prst="line">
                            <a:avLst/>
                          </a:prstGeom>
                          <a:noFill/>
                          <a:ln w="3360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8" name="Line 1304"/>
                        <wps:cNvCnPr>
                          <a:cxnSpLocks/>
                        </wps:cNvCnPr>
                        <wps:spPr bwMode="auto">
                          <a:xfrm>
                            <a:off x="733" y="2404"/>
                            <a:ext cx="7505" cy="0"/>
                          </a:xfrm>
                          <a:prstGeom prst="line">
                            <a:avLst/>
                          </a:prstGeom>
                          <a:noFill/>
                          <a:ln w="366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9" name="Line 1303"/>
                        <wps:cNvCnPr>
                          <a:cxnSpLocks/>
                        </wps:cNvCnPr>
                        <wps:spPr bwMode="auto">
                          <a:xfrm>
                            <a:off x="733" y="8455"/>
                            <a:ext cx="7505" cy="0"/>
                          </a:xfrm>
                          <a:prstGeom prst="line">
                            <a:avLst/>
                          </a:prstGeom>
                          <a:noFill/>
                          <a:ln w="335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616370" id="Group 1302" o:spid="_x0000_s1026" style="position:absolute;margin-left:36.65pt;margin-top:115.85pt;width:375.25pt;height:311.5pt;z-index:-251513856;mso-position-horizontal-relative:page" coordorigin="733,2317" coordsize="7505,62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">
                <v:line id="Line 1305" o:spid="_x0000_s1027" style="position:absolute;visibility:visible;mso-wrap-style:square" from="8146,8547" to="8146,85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" strokeweight=".93339mm">
                  <o:lock v:ext="edit" shapetype="f"/>
                </v:line>
                <v:line id="Line 1304" o:spid="_x0000_s1028" style="position:absolute;visibility:visible;mso-wrap-style:square" from="733,2404" to="8238,24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" strokeweight="1.0174mm">
                  <o:lock v:ext="edit" shapetype="f"/>
                </v:line>
                <v:line id="Line 1303" o:spid="_x0000_s1029" style="position:absolute;visibility:visible;mso-wrap-style:square" from="733,8455" to="8238,84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" strokeweight=".93264mm">
                  <o:lock v:ext="edit" shapetype="f"/>
                </v:line>
                <w10:wrap anchorx="page"/>
              </v:group>
            </w:pict>
          </mc:Fallback>
        </mc:AlternateContent>
      </w:r>
      <w:r>
        <w:rPr>
          <w:b/>
          <w:w w:val="105"/>
        </w:rPr>
        <w:t xml:space="preserve">With Perceptual Disturbances. </w:t>
      </w:r>
      <w:r>
        <w:rPr>
          <w:w w:val="105"/>
        </w:rPr>
        <w:t xml:space="preserve">This specifier may be noted when hallu­ cinations with intact reality testing or auditory, visual, or tactile illusions occur in the absence of a delirium. </w:t>
      </w:r>
      <w:r>
        <w:rPr>
          <w:i/>
          <w:w w:val="105"/>
        </w:rPr>
        <w:t xml:space="preserve">Intact reality testing </w:t>
      </w:r>
      <w:r>
        <w:rPr>
          <w:w w:val="105"/>
        </w:rPr>
        <w:t>means that the person knows that the hallucinations are induced by the substance and do not represent external reality. When hallucinations occur in the absence of intact reality testing, a diagnosis of Substance-Induced Psychotic Disorder, With Hallucinations, should be considered.</w:t>
      </w:r>
    </w:p>
    <w:p w:rsidR="00E675F0" w:rsidRDefault="00E675F0" w:rsidP="00E675F0">
      <w:pPr>
        <w:pStyle w:val="BodyText"/>
      </w:pPr>
    </w:p>
    <w:p w:rsidR="00E675F0" w:rsidRDefault="00E675F0" w:rsidP="00E675F0">
      <w:pPr>
        <w:pStyle w:val="BodyText"/>
      </w:pPr>
    </w:p>
    <w:p w:rsidR="00E675F0" w:rsidRDefault="00E675F0" w:rsidP="00E675F0">
      <w:pPr>
        <w:pStyle w:val="BodyText"/>
        <w:spacing w:before="4"/>
        <w:rPr>
          <w:sz w:val="11"/>
        </w:rPr>
      </w:pPr>
    </w:p>
    <w:tbl>
      <w:tblPr>
        <w:tblW w:w="0" w:type="auto"/>
        <w:tblInd w:w="2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7331"/>
      </w:tblGrid>
      <w:tr w:rsidR="00E675F0" w:rsidTr="00A330E1">
        <w:trPr>
          <w:trHeight w:val="5991"/>
        </w:trPr>
        <w:tc>
          <w:tcPr>
            <w:tcW w:w="7331" w:type="dxa"/>
          </w:tcPr>
          <w:p w:rsidR="00E675F0" w:rsidRDefault="00E675F0" w:rsidP="003048D3">
            <w:pPr>
              <w:pStyle w:val="TableParagraph"/>
              <w:numPr>
                <w:ilvl w:val="0"/>
                <w:numId w:val="30"/>
              </w:numPr>
              <w:tabs>
                <w:tab w:val="left" w:pos="636"/>
              </w:tabs>
              <w:spacing w:line="535" w:lineRule="exact"/>
              <w:ind w:hanging="389"/>
              <w:rPr>
                <w:b/>
                <w:sz w:val="26"/>
              </w:rPr>
            </w:pPr>
            <w:r>
              <w:rPr>
                <w:b/>
                <w:w w:val="105"/>
                <w:sz w:val="26"/>
              </w:rPr>
              <w:t>Diagnostic criteria for 292.89 Cocaine</w:t>
            </w:r>
            <w:r>
              <w:rPr>
                <w:b/>
                <w:spacing w:val="24"/>
                <w:w w:val="105"/>
                <w:sz w:val="26"/>
              </w:rPr>
              <w:t xml:space="preserve"> </w:t>
            </w:r>
            <w:r>
              <w:rPr>
                <w:b/>
                <w:w w:val="105"/>
                <w:sz w:val="26"/>
              </w:rPr>
              <w:t>Intoxication</w:t>
            </w:r>
          </w:p>
          <w:p w:rsidR="00E675F0" w:rsidRDefault="00E675F0" w:rsidP="003048D3">
            <w:pPr>
              <w:pStyle w:val="TableParagraph"/>
              <w:numPr>
                <w:ilvl w:val="1"/>
                <w:numId w:val="30"/>
              </w:numPr>
              <w:tabs>
                <w:tab w:val="left" w:pos="953"/>
              </w:tabs>
              <w:spacing w:before="151"/>
              <w:ind w:hanging="312"/>
              <w:rPr>
                <w:sz w:val="20"/>
              </w:rPr>
            </w:pPr>
            <w:r>
              <w:rPr>
                <w:w w:val="105"/>
                <w:sz w:val="20"/>
              </w:rPr>
              <w:t>Recent use of</w:t>
            </w:r>
            <w:r>
              <w:rPr>
                <w:spacing w:val="-13"/>
                <w:w w:val="105"/>
                <w:sz w:val="20"/>
              </w:rPr>
              <w:t xml:space="preserve"> </w:t>
            </w:r>
            <w:r>
              <w:rPr>
                <w:w w:val="105"/>
                <w:sz w:val="20"/>
              </w:rPr>
              <w:t>cocaine.</w:t>
            </w:r>
          </w:p>
          <w:p w:rsidR="00E675F0" w:rsidRDefault="00E675F0" w:rsidP="003048D3">
            <w:pPr>
              <w:pStyle w:val="TableParagraph"/>
              <w:numPr>
                <w:ilvl w:val="1"/>
                <w:numId w:val="30"/>
              </w:numPr>
              <w:tabs>
                <w:tab w:val="left" w:pos="954"/>
              </w:tabs>
              <w:spacing w:before="189" w:line="252" w:lineRule="auto"/>
              <w:ind w:left="948" w:right="231" w:hanging="299"/>
              <w:jc w:val="both"/>
              <w:rPr>
                <w:sz w:val="20"/>
              </w:rPr>
            </w:pPr>
            <w:r>
              <w:rPr>
                <w:w w:val="105"/>
                <w:sz w:val="20"/>
              </w:rPr>
              <w:t>Clinically significant maladaptive behavioral or psychological changes (e.g., euphoria or affective blunting; changes in sociability; hypervigi­ lance; interpersonal sensitivity; anxiety, tension, or anger; stereotyped behaviors; impaired judgment; or impaired social or occupational functioning) that developed during, or shortly after, use of</w:t>
            </w:r>
            <w:r>
              <w:rPr>
                <w:spacing w:val="34"/>
                <w:w w:val="105"/>
                <w:sz w:val="20"/>
              </w:rPr>
              <w:t xml:space="preserve"> </w:t>
            </w:r>
            <w:r>
              <w:rPr>
                <w:w w:val="105"/>
                <w:sz w:val="20"/>
              </w:rPr>
              <w:t>cocaine.</w:t>
            </w:r>
          </w:p>
          <w:p w:rsidR="00E675F0" w:rsidRDefault="00E675F0" w:rsidP="003048D3">
            <w:pPr>
              <w:pStyle w:val="TableParagraph"/>
              <w:numPr>
                <w:ilvl w:val="1"/>
                <w:numId w:val="30"/>
              </w:numPr>
              <w:tabs>
                <w:tab w:val="left" w:pos="946"/>
              </w:tabs>
              <w:spacing w:before="177" w:line="256" w:lineRule="auto"/>
              <w:ind w:left="953" w:right="233" w:hanging="305"/>
              <w:rPr>
                <w:rFonts w:ascii="Arial"/>
                <w:sz w:val="17"/>
              </w:rPr>
            </w:pPr>
            <w:r>
              <w:rPr>
                <w:w w:val="105"/>
                <w:sz w:val="20"/>
              </w:rPr>
              <w:t>Two (or more) of the following, developing during, or shortly after, cocaine</w:t>
            </w:r>
            <w:r>
              <w:rPr>
                <w:spacing w:val="12"/>
                <w:w w:val="105"/>
                <w:sz w:val="20"/>
              </w:rPr>
              <w:t xml:space="preserve"> </w:t>
            </w:r>
            <w:r>
              <w:rPr>
                <w:w w:val="105"/>
                <w:sz w:val="20"/>
              </w:rPr>
              <w:t>use:</w:t>
            </w:r>
          </w:p>
          <w:p w:rsidR="00E675F0" w:rsidRDefault="00E675F0" w:rsidP="003048D3">
            <w:pPr>
              <w:pStyle w:val="TableParagraph"/>
              <w:numPr>
                <w:ilvl w:val="2"/>
                <w:numId w:val="30"/>
              </w:numPr>
              <w:tabs>
                <w:tab w:val="left" w:pos="1382"/>
                <w:tab w:val="left" w:pos="1383"/>
              </w:tabs>
              <w:spacing w:before="51"/>
              <w:rPr>
                <w:sz w:val="17"/>
              </w:rPr>
            </w:pPr>
            <w:r>
              <w:rPr>
                <w:w w:val="105"/>
                <w:sz w:val="20"/>
              </w:rPr>
              <w:t>tachycardia or</w:t>
            </w:r>
            <w:r>
              <w:rPr>
                <w:spacing w:val="-12"/>
                <w:w w:val="105"/>
                <w:sz w:val="20"/>
              </w:rPr>
              <w:t xml:space="preserve"> </w:t>
            </w:r>
            <w:r>
              <w:rPr>
                <w:w w:val="105"/>
                <w:sz w:val="20"/>
              </w:rPr>
              <w:t>bradycardia</w:t>
            </w:r>
          </w:p>
          <w:p w:rsidR="00E675F0" w:rsidRDefault="00E675F0" w:rsidP="003048D3">
            <w:pPr>
              <w:pStyle w:val="TableParagraph"/>
              <w:numPr>
                <w:ilvl w:val="2"/>
                <w:numId w:val="30"/>
              </w:numPr>
              <w:tabs>
                <w:tab w:val="left" w:pos="1386"/>
              </w:tabs>
              <w:spacing w:before="15"/>
              <w:ind w:left="1385" w:hanging="434"/>
              <w:rPr>
                <w:sz w:val="20"/>
              </w:rPr>
            </w:pPr>
            <w:r>
              <w:rPr>
                <w:w w:val="105"/>
                <w:sz w:val="20"/>
              </w:rPr>
              <w:t>pupillary</w:t>
            </w:r>
            <w:r>
              <w:rPr>
                <w:spacing w:val="9"/>
                <w:w w:val="105"/>
                <w:sz w:val="20"/>
              </w:rPr>
              <w:t xml:space="preserve"> </w:t>
            </w:r>
            <w:r>
              <w:rPr>
                <w:w w:val="105"/>
                <w:sz w:val="20"/>
              </w:rPr>
              <w:t>dilation</w:t>
            </w:r>
          </w:p>
          <w:p w:rsidR="00E675F0" w:rsidRDefault="00E675F0" w:rsidP="003048D3">
            <w:pPr>
              <w:pStyle w:val="TableParagraph"/>
              <w:numPr>
                <w:ilvl w:val="2"/>
                <w:numId w:val="30"/>
              </w:numPr>
              <w:tabs>
                <w:tab w:val="left" w:pos="1377"/>
              </w:tabs>
              <w:spacing w:before="15"/>
              <w:ind w:left="1376" w:hanging="430"/>
              <w:rPr>
                <w:sz w:val="20"/>
              </w:rPr>
            </w:pPr>
            <w:r>
              <w:rPr>
                <w:w w:val="110"/>
                <w:sz w:val="20"/>
              </w:rPr>
              <w:t>elevated or lowered blood</w:t>
            </w:r>
            <w:r>
              <w:rPr>
                <w:spacing w:val="49"/>
                <w:w w:val="110"/>
                <w:sz w:val="20"/>
              </w:rPr>
              <w:t xml:space="preserve"> </w:t>
            </w:r>
            <w:r>
              <w:rPr>
                <w:w w:val="110"/>
                <w:sz w:val="20"/>
              </w:rPr>
              <w:t>pressure</w:t>
            </w:r>
          </w:p>
          <w:p w:rsidR="00E675F0" w:rsidRDefault="00E675F0" w:rsidP="003048D3">
            <w:pPr>
              <w:pStyle w:val="TableParagraph"/>
              <w:numPr>
                <w:ilvl w:val="2"/>
                <w:numId w:val="30"/>
              </w:numPr>
              <w:tabs>
                <w:tab w:val="left" w:pos="1386"/>
              </w:tabs>
              <w:spacing w:before="10"/>
              <w:ind w:left="1385" w:hanging="434"/>
              <w:rPr>
                <w:sz w:val="20"/>
              </w:rPr>
            </w:pPr>
            <w:r>
              <w:rPr>
                <w:w w:val="105"/>
                <w:sz w:val="20"/>
              </w:rPr>
              <w:t>perspiration or</w:t>
            </w:r>
            <w:r>
              <w:rPr>
                <w:spacing w:val="26"/>
                <w:w w:val="105"/>
                <w:sz w:val="20"/>
              </w:rPr>
              <w:t xml:space="preserve"> </w:t>
            </w:r>
            <w:r>
              <w:rPr>
                <w:w w:val="105"/>
                <w:sz w:val="20"/>
              </w:rPr>
              <w:t>chills</w:t>
            </w:r>
          </w:p>
          <w:p w:rsidR="00E675F0" w:rsidRDefault="00E675F0" w:rsidP="003048D3">
            <w:pPr>
              <w:pStyle w:val="TableParagraph"/>
              <w:numPr>
                <w:ilvl w:val="2"/>
                <w:numId w:val="30"/>
              </w:numPr>
              <w:tabs>
                <w:tab w:val="left" w:pos="1388"/>
              </w:tabs>
              <w:spacing w:before="15"/>
              <w:ind w:left="1387" w:hanging="436"/>
              <w:rPr>
                <w:sz w:val="20"/>
              </w:rPr>
            </w:pPr>
            <w:r>
              <w:rPr>
                <w:w w:val="105"/>
                <w:sz w:val="20"/>
              </w:rPr>
              <w:t>nausea or</w:t>
            </w:r>
            <w:r>
              <w:rPr>
                <w:spacing w:val="-23"/>
                <w:w w:val="105"/>
                <w:sz w:val="20"/>
              </w:rPr>
              <w:t xml:space="preserve"> </w:t>
            </w:r>
            <w:r>
              <w:rPr>
                <w:w w:val="105"/>
                <w:sz w:val="20"/>
              </w:rPr>
              <w:t>vomiting</w:t>
            </w:r>
          </w:p>
          <w:p w:rsidR="00E675F0" w:rsidRDefault="00E675F0" w:rsidP="003048D3">
            <w:pPr>
              <w:pStyle w:val="TableParagraph"/>
              <w:numPr>
                <w:ilvl w:val="2"/>
                <w:numId w:val="30"/>
              </w:numPr>
              <w:tabs>
                <w:tab w:val="left" w:pos="1377"/>
              </w:tabs>
              <w:spacing w:before="16"/>
              <w:ind w:left="1376" w:hanging="425"/>
              <w:rPr>
                <w:sz w:val="20"/>
              </w:rPr>
            </w:pPr>
            <w:r>
              <w:rPr>
                <w:w w:val="105"/>
                <w:sz w:val="20"/>
              </w:rPr>
              <w:t>evidence of weight</w:t>
            </w:r>
            <w:r>
              <w:rPr>
                <w:spacing w:val="41"/>
                <w:w w:val="105"/>
                <w:sz w:val="20"/>
              </w:rPr>
              <w:t xml:space="preserve"> </w:t>
            </w:r>
            <w:r>
              <w:rPr>
                <w:w w:val="105"/>
                <w:sz w:val="20"/>
              </w:rPr>
              <w:t>loss</w:t>
            </w:r>
          </w:p>
          <w:p w:rsidR="00E675F0" w:rsidRDefault="00E675F0" w:rsidP="003048D3">
            <w:pPr>
              <w:pStyle w:val="TableParagraph"/>
              <w:numPr>
                <w:ilvl w:val="2"/>
                <w:numId w:val="30"/>
              </w:numPr>
              <w:tabs>
                <w:tab w:val="left" w:pos="1386"/>
              </w:tabs>
              <w:spacing w:before="15"/>
              <w:ind w:left="1385" w:hanging="434"/>
              <w:rPr>
                <w:sz w:val="20"/>
              </w:rPr>
            </w:pPr>
            <w:r>
              <w:rPr>
                <w:w w:val="105"/>
                <w:sz w:val="20"/>
              </w:rPr>
              <w:t>psychomotor agitation or</w:t>
            </w:r>
            <w:r>
              <w:rPr>
                <w:spacing w:val="-4"/>
                <w:w w:val="105"/>
                <w:sz w:val="20"/>
              </w:rPr>
              <w:t xml:space="preserve"> </w:t>
            </w:r>
            <w:r>
              <w:rPr>
                <w:w w:val="105"/>
                <w:sz w:val="20"/>
              </w:rPr>
              <w:t>retardation</w:t>
            </w:r>
          </w:p>
          <w:p w:rsidR="00E675F0" w:rsidRDefault="00E675F0" w:rsidP="003048D3">
            <w:pPr>
              <w:pStyle w:val="TableParagraph"/>
              <w:numPr>
                <w:ilvl w:val="2"/>
                <w:numId w:val="30"/>
              </w:numPr>
              <w:tabs>
                <w:tab w:val="left" w:pos="1388"/>
              </w:tabs>
              <w:spacing w:before="20" w:line="256" w:lineRule="auto"/>
              <w:ind w:left="1377" w:right="234" w:hanging="425"/>
              <w:rPr>
                <w:sz w:val="20"/>
              </w:rPr>
            </w:pPr>
            <w:r>
              <w:rPr>
                <w:w w:val="105"/>
                <w:sz w:val="20"/>
              </w:rPr>
              <w:t>muscular weakness, respiratory depression, chest pain, or cardiac arrhythmias</w:t>
            </w:r>
          </w:p>
          <w:p w:rsidR="00E675F0" w:rsidRDefault="00E675F0" w:rsidP="003048D3">
            <w:pPr>
              <w:pStyle w:val="TableParagraph"/>
              <w:numPr>
                <w:ilvl w:val="2"/>
                <w:numId w:val="30"/>
              </w:numPr>
              <w:tabs>
                <w:tab w:val="left" w:pos="1378"/>
              </w:tabs>
              <w:spacing w:line="223" w:lineRule="exact"/>
              <w:ind w:left="1377" w:hanging="426"/>
              <w:rPr>
                <w:sz w:val="20"/>
              </w:rPr>
            </w:pPr>
            <w:r>
              <w:rPr>
                <w:w w:val="105"/>
                <w:sz w:val="20"/>
              </w:rPr>
              <w:t>confusion, seizures, dyskinesias, dystonias, or</w:t>
            </w:r>
            <w:r>
              <w:rPr>
                <w:spacing w:val="-25"/>
                <w:w w:val="105"/>
                <w:sz w:val="20"/>
              </w:rPr>
              <w:t xml:space="preserve"> </w:t>
            </w:r>
            <w:r>
              <w:rPr>
                <w:w w:val="105"/>
                <w:sz w:val="20"/>
              </w:rPr>
              <w:t>coma</w:t>
            </w:r>
          </w:p>
          <w:p w:rsidR="00E675F0" w:rsidRDefault="00E675F0" w:rsidP="00A330E1">
            <w:pPr>
              <w:pStyle w:val="TableParagraph"/>
              <w:spacing w:before="7"/>
              <w:rPr>
                <w:sz w:val="17"/>
              </w:rPr>
            </w:pPr>
          </w:p>
          <w:p w:rsidR="00E675F0" w:rsidRDefault="00E675F0" w:rsidP="00A330E1">
            <w:pPr>
              <w:pStyle w:val="TableParagraph"/>
              <w:ind w:right="218"/>
              <w:jc w:val="right"/>
              <w:rPr>
                <w:i/>
                <w:sz w:val="20"/>
              </w:rPr>
            </w:pPr>
            <w:r>
              <w:rPr>
                <w:i/>
                <w:w w:val="110"/>
                <w:sz w:val="20"/>
              </w:rPr>
              <w:t>(continued)</w:t>
            </w:r>
          </w:p>
        </w:tc>
      </w:tr>
    </w:tbl>
    <w:p w:rsidR="00E675F0" w:rsidRDefault="00E675F0" w:rsidP="00E675F0">
      <w:pPr>
        <w:jc w:val="right"/>
        <w:rPr>
          <w:sz w:val="20"/>
        </w:rPr>
        <w:sectPr w:rsidR="00E675F0">
          <w:pgSz w:w="8960" w:h="14260"/>
          <w:pgMar w:top="1400" w:right="600" w:bottom="280" w:left="620" w:header="676" w:footer="0" w:gutter="0"/>
          <w:cols w:space="720"/>
        </w:sectPr>
      </w:pPr>
    </w:p>
    <w:p w:rsidR="00E675F0" w:rsidRDefault="00E675F0" w:rsidP="00E675F0">
      <w:pPr>
        <w:pStyle w:val="BodyText"/>
        <w:spacing w:before="7"/>
        <w:rPr>
          <w:sz w:val="10"/>
        </w:rPr>
      </w:pPr>
      <w:r>
        <w:rPr>
          <w:noProof/>
        </w:rPr>
        <w:lastRenderedPageBreak/>
        <mc:AlternateContent>
          <mc:Choice Requires="wps">
            <w:drawing>
              <wp:anchor distT="0" distB="0" distL="114300" distR="114300" simplePos="0" relativeHeight="251719680" behindDoc="0" locked="0" layoutInCell="1" allowOverlap="1" wp14:anchorId="71712215" wp14:editId="1C3573C5">
                <wp:simplePos x="0" y="0"/>
                <wp:positionH relativeFrom="page">
                  <wp:posOffset>452120</wp:posOffset>
                </wp:positionH>
                <wp:positionV relativeFrom="page">
                  <wp:posOffset>991870</wp:posOffset>
                </wp:positionV>
                <wp:extent cx="4765675" cy="0"/>
                <wp:effectExtent l="0" t="12700" r="9525" b="0"/>
                <wp:wrapNone/>
                <wp:docPr id="1345" name="Line 13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765675" cy="0"/>
                        </a:xfrm>
                        <a:prstGeom prst="line">
                          <a:avLst/>
                        </a:prstGeom>
                        <a:noFill/>
                        <a:ln w="3052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87F8D8" id="Line 1301" o:spid="_x0000_s1026" style="position:absolute;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pt,78.1pt" to="410.85pt,78.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" strokeweight=".84786mm">
                <o:lock v:ext="edit" shapetype="f"/>
                <w10:wrap anchorx="page" anchory="page"/>
              </v:line>
            </w:pict>
          </mc:Fallback>
        </mc:AlternateContent>
      </w:r>
    </w:p>
    <w:tbl>
      <w:tblPr>
        <w:tblW w:w="0" w:type="auto"/>
        <w:tblInd w:w="232"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7327"/>
      </w:tblGrid>
      <w:tr w:rsidR="00E675F0" w:rsidTr="00A330E1">
        <w:trPr>
          <w:trHeight w:val="2223"/>
        </w:trPr>
        <w:tc>
          <w:tcPr>
            <w:tcW w:w="7327" w:type="dxa"/>
          </w:tcPr>
          <w:p w:rsidR="00E675F0" w:rsidRDefault="00E675F0" w:rsidP="00A330E1">
            <w:pPr>
              <w:pStyle w:val="TableParagraph"/>
              <w:spacing w:before="69" w:line="384" w:lineRule="exact"/>
              <w:ind w:left="259"/>
              <w:rPr>
                <w:b/>
                <w:sz w:val="24"/>
              </w:rPr>
            </w:pPr>
            <w:bookmarkStart w:id="145" w:name="_bookmark126"/>
            <w:bookmarkEnd w:id="145"/>
            <w:r>
              <w:rPr>
                <w:rFonts w:ascii="Arial" w:hAnsi="Arial"/>
                <w:w w:val="105"/>
                <w:sz w:val="36"/>
              </w:rPr>
              <w:t xml:space="preserve">□ </w:t>
            </w:r>
            <w:r>
              <w:rPr>
                <w:b/>
                <w:w w:val="105"/>
                <w:sz w:val="24"/>
              </w:rPr>
              <w:t>Diagnostic criteria for 292.89 Cocaine Intoxication</w:t>
            </w:r>
          </w:p>
          <w:p w:rsidR="00E675F0" w:rsidRDefault="00E675F0" w:rsidP="00A330E1">
            <w:pPr>
              <w:pStyle w:val="TableParagraph"/>
              <w:spacing w:line="258" w:lineRule="exact"/>
              <w:ind w:left="597"/>
              <w:rPr>
                <w:i/>
                <w:sz w:val="25"/>
              </w:rPr>
            </w:pPr>
            <w:r>
              <w:rPr>
                <w:w w:val="95"/>
                <w:sz w:val="25"/>
              </w:rPr>
              <w:t>(</w:t>
            </w:r>
            <w:r>
              <w:rPr>
                <w:i/>
                <w:w w:val="95"/>
                <w:sz w:val="25"/>
              </w:rPr>
              <w:t>continued)</w:t>
            </w:r>
          </w:p>
          <w:p w:rsidR="00E675F0" w:rsidRDefault="00E675F0" w:rsidP="00A330E1">
            <w:pPr>
              <w:pStyle w:val="TableParagraph"/>
              <w:spacing w:before="207" w:line="256" w:lineRule="auto"/>
              <w:ind w:left="964" w:right="359" w:hanging="308"/>
              <w:rPr>
                <w:sz w:val="20"/>
              </w:rPr>
            </w:pPr>
            <w:r>
              <w:rPr>
                <w:w w:val="105"/>
                <w:sz w:val="20"/>
              </w:rPr>
              <w:t>D. The symptoms are not due to a general medical condition and are not better accounted for by another mental disorder.</w:t>
            </w:r>
          </w:p>
          <w:p w:rsidR="00E675F0" w:rsidRDefault="00E675F0" w:rsidP="00A330E1">
            <w:pPr>
              <w:pStyle w:val="TableParagraph"/>
              <w:spacing w:before="113"/>
              <w:ind w:left="418"/>
              <w:rPr>
                <w:sz w:val="19"/>
              </w:rPr>
            </w:pPr>
            <w:r>
              <w:rPr>
                <w:i/>
                <w:sz w:val="20"/>
              </w:rPr>
              <w:t xml:space="preserve">Specify </w:t>
            </w:r>
            <w:r>
              <w:rPr>
                <w:sz w:val="19"/>
              </w:rPr>
              <w:t>if:</w:t>
            </w:r>
          </w:p>
          <w:p w:rsidR="00E675F0" w:rsidRDefault="00E675F0" w:rsidP="00A330E1">
            <w:pPr>
              <w:pStyle w:val="TableParagraph"/>
              <w:spacing w:before="29"/>
              <w:ind w:left="648"/>
              <w:rPr>
                <w:b/>
                <w:sz w:val="19"/>
              </w:rPr>
            </w:pPr>
            <w:r>
              <w:rPr>
                <w:b/>
                <w:w w:val="115"/>
                <w:sz w:val="19"/>
              </w:rPr>
              <w:t>With Perceptual Disturbances</w:t>
            </w:r>
          </w:p>
        </w:tc>
      </w:tr>
    </w:tbl>
    <w:p w:rsidR="00E675F0" w:rsidRDefault="00E675F0" w:rsidP="00E675F0">
      <w:pPr>
        <w:pStyle w:val="BodyText"/>
      </w:pPr>
    </w:p>
    <w:p w:rsidR="00E675F0" w:rsidRDefault="00E675F0" w:rsidP="00E675F0">
      <w:pPr>
        <w:pStyle w:val="BodyText"/>
        <w:spacing w:before="1"/>
        <w:rPr>
          <w:sz w:val="23"/>
        </w:rPr>
      </w:pPr>
    </w:p>
    <w:p w:rsidR="00E675F0" w:rsidRDefault="00E675F0" w:rsidP="00E675F0">
      <w:pPr>
        <w:pStyle w:val="Heading9"/>
        <w:tabs>
          <w:tab w:val="left" w:pos="3073"/>
        </w:tabs>
        <w:ind w:left="2154"/>
        <w:jc w:val="left"/>
      </w:pPr>
      <w:r>
        <w:rPr>
          <w:noProof/>
        </w:rPr>
        <mc:AlternateContent>
          <mc:Choice Requires="wps">
            <w:drawing>
              <wp:anchor distT="0" distB="0" distL="114300" distR="114300" simplePos="0" relativeHeight="251720704" behindDoc="0" locked="0" layoutInCell="1" allowOverlap="1" wp14:anchorId="49A71506" wp14:editId="29DE5375">
                <wp:simplePos x="0" y="0"/>
                <wp:positionH relativeFrom="page">
                  <wp:posOffset>464185</wp:posOffset>
                </wp:positionH>
                <wp:positionV relativeFrom="paragraph">
                  <wp:posOffset>-332740</wp:posOffset>
                </wp:positionV>
                <wp:extent cx="4753610" cy="0"/>
                <wp:effectExtent l="0" t="12700" r="21590" b="12700"/>
                <wp:wrapNone/>
                <wp:docPr id="1344" name="Line 13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753610" cy="0"/>
                        </a:xfrm>
                        <a:prstGeom prst="line">
                          <a:avLst/>
                        </a:prstGeom>
                        <a:noFill/>
                        <a:ln w="3662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6F2369" id="Line 1300" o:spid="_x0000_s1026" style="position:absolute;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55pt,-26.2pt" to="410.85pt,-26.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" strokeweight="1.0174mm">
                <o:lock v:ext="edit" shapetype="f"/>
                <w10:wrap anchorx="page"/>
              </v:line>
            </w:pict>
          </mc:Fallback>
        </mc:AlternateContent>
      </w:r>
      <w:r>
        <w:t>292.0</w:t>
      </w:r>
      <w:r>
        <w:tab/>
        <w:t>Cocaine</w:t>
      </w:r>
      <w:r>
        <w:rPr>
          <w:spacing w:val="10"/>
        </w:rPr>
        <w:t xml:space="preserve"> </w:t>
      </w:r>
      <w:r>
        <w:t>Withdrawal</w:t>
      </w:r>
    </w:p>
    <w:p w:rsidR="00E675F0" w:rsidRDefault="00E675F0" w:rsidP="00E675F0">
      <w:pPr>
        <w:pStyle w:val="BodyText"/>
        <w:spacing w:before="8"/>
        <w:rPr>
          <w:b/>
          <w:sz w:val="35"/>
        </w:rPr>
      </w:pPr>
    </w:p>
    <w:p w:rsidR="00E675F0" w:rsidRDefault="00E675F0" w:rsidP="00E675F0">
      <w:pPr>
        <w:pStyle w:val="BodyText"/>
        <w:spacing w:before="1" w:line="254" w:lineRule="auto"/>
        <w:ind w:left="128" w:right="116" w:firstLine="1"/>
        <w:jc w:val="both"/>
      </w:pPr>
      <w:r>
        <w:rPr>
          <w:w w:val="105"/>
        </w:rPr>
        <w:t>Also refer to the text and criteria for Substance Withdrawal (see p. 184). The essential feature of Cocaine Withdrawal is the presence of a characteristic withdrawal syndrome that develops within a few hours to several days after the cessation of (or reduction in) cocaine use that has been heavy and prolonged (Criteria A and B). The withdrawal syndrome is characterized by the development of dysphoric mood accompanied by two or more of the following physiological changes: fatigue, vivid and unpleasant dreams, insomnia or hypersomnia, increased appetite, and psychomotor retardation or agitation. Anhedonia and drug craving can often be present but are not part of the diagnostic criteria. These symptoms cause clinically significant distress or impairment in social, occupational, or other important areas of functioning (Criterion C). The symptoms must not be due to a general medical condition and are not better accounted for by another mental disorder (Criterion D).</w:t>
      </w:r>
    </w:p>
    <w:p w:rsidR="00E675F0" w:rsidRDefault="00E675F0" w:rsidP="00E675F0">
      <w:pPr>
        <w:pStyle w:val="BodyText"/>
        <w:spacing w:line="252" w:lineRule="auto"/>
        <w:ind w:left="128" w:right="124" w:firstLine="366"/>
        <w:jc w:val="both"/>
      </w:pPr>
      <w:r>
        <w:rPr>
          <w:noProof/>
        </w:rPr>
        <mc:AlternateContent>
          <mc:Choice Requires="wps">
            <w:drawing>
              <wp:anchor distT="0" distB="0" distL="114300" distR="114300" simplePos="0" relativeHeight="251803648" behindDoc="1" locked="0" layoutInCell="1" allowOverlap="1" wp14:anchorId="513485E5" wp14:editId="67018C96">
                <wp:simplePos x="0" y="0"/>
                <wp:positionH relativeFrom="page">
                  <wp:posOffset>452120</wp:posOffset>
                </wp:positionH>
                <wp:positionV relativeFrom="paragraph">
                  <wp:posOffset>1336675</wp:posOffset>
                </wp:positionV>
                <wp:extent cx="4765675" cy="2026920"/>
                <wp:effectExtent l="0" t="12700" r="9525" b="5080"/>
                <wp:wrapNone/>
                <wp:docPr id="1343" name="AutoShape 1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5675" cy="2026920"/>
                        </a:xfrm>
                        <a:custGeom>
                          <a:avLst/>
                          <a:gdLst>
                            <a:gd name="T0" fmla="+- 0 794 712"/>
                            <a:gd name="T1" fmla="*/ T0 w 7505"/>
                            <a:gd name="T2" fmla="+- 0 5296 2105"/>
                            <a:gd name="T3" fmla="*/ 5296 h 3192"/>
                            <a:gd name="T4" fmla="+- 0 794 712"/>
                            <a:gd name="T5" fmla="*/ T4 w 7505"/>
                            <a:gd name="T6" fmla="+- 0 2105 2105"/>
                            <a:gd name="T7" fmla="*/ 2105 h 3192"/>
                            <a:gd name="T8" fmla="+- 0 8125 712"/>
                            <a:gd name="T9" fmla="*/ T8 w 7505"/>
                            <a:gd name="T10" fmla="+- 0 5296 2105"/>
                            <a:gd name="T11" fmla="*/ 5296 h 3192"/>
                            <a:gd name="T12" fmla="+- 0 8125 712"/>
                            <a:gd name="T13" fmla="*/ T12 w 7505"/>
                            <a:gd name="T14" fmla="+- 0 2105 2105"/>
                            <a:gd name="T15" fmla="*/ 2105 h 3192"/>
                            <a:gd name="T16" fmla="+- 0 712 712"/>
                            <a:gd name="T17" fmla="*/ T16 w 7505"/>
                            <a:gd name="T18" fmla="+- 0 2186 2105"/>
                            <a:gd name="T19" fmla="*/ 2186 h 3192"/>
                            <a:gd name="T20" fmla="+- 0 8217 712"/>
                            <a:gd name="T21" fmla="*/ T20 w 7505"/>
                            <a:gd name="T22" fmla="+- 0 2186 2105"/>
                            <a:gd name="T23" fmla="*/ 2186 h 3192"/>
                          </a:gdLst>
                          <a:ahLst/>
                          <a:cxnLst>
                            <a:cxn ang="0">
                              <a:pos x="T1" y="T3"/>
                            </a:cxn>
                            <a:cxn ang="0">
                              <a:pos x="T5" y="T7"/>
                            </a:cxn>
                            <a:cxn ang="0">
                              <a:pos x="T9" y="T11"/>
                            </a:cxn>
                            <a:cxn ang="0">
                              <a:pos x="T13" y="T15"/>
                            </a:cxn>
                            <a:cxn ang="0">
                              <a:pos x="T17" y="T19"/>
                            </a:cxn>
                            <a:cxn ang="0">
                              <a:pos x="T21" y="T23"/>
                            </a:cxn>
                          </a:cxnLst>
                          <a:rect l="0" t="0" r="r" b="b"/>
                          <a:pathLst>
                            <a:path w="7505" h="3192">
                              <a:moveTo>
                                <a:pt x="82" y="3191"/>
                              </a:moveTo>
                              <a:lnTo>
                                <a:pt x="82" y="0"/>
                              </a:lnTo>
                              <a:moveTo>
                                <a:pt x="7413" y="3191"/>
                              </a:moveTo>
                              <a:lnTo>
                                <a:pt x="7413" y="0"/>
                              </a:lnTo>
                              <a:moveTo>
                                <a:pt x="0" y="81"/>
                              </a:moveTo>
                              <a:lnTo>
                                <a:pt x="7505" y="81"/>
                              </a:lnTo>
                            </a:path>
                          </a:pathLst>
                        </a:custGeom>
                        <a:noFill/>
                        <a:ln w="3358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FE866" id="AutoShape 1299" o:spid="_x0000_s1026" style="position:absolute;margin-left:35.6pt;margin-top:105.25pt;width:375.25pt;height:159.6pt;z-index:-25151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05,319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" path="m82,3191l82,m7413,3191l7413,m,81r7505,e" filled="f" strokeweight=".93303mm">
                <v:path arrowok="t" o:connecttype="custom" o:connectlocs="52070,3362960;52070,1336675;4707255,3362960;4707255,1336675;0,1388110;4765675,1388110" o:connectangles="0,0,0,0,0,0"/>
                <w10:wrap anchorx="page"/>
              </v:shape>
            </w:pict>
          </mc:Fallback>
        </mc:AlternateContent>
      </w:r>
      <w:r>
        <w:rPr>
          <w:w w:val="105"/>
        </w:rPr>
        <w:t>Acute withdrawal symptoms ("a crash") are often seen after periods of repetitive high-dose use ("runs" or "binges"). These periods are characterized by intense and unpleasant feelings of lassitude and depression, generally requiring several days of rest and recuperation. Depressive symptoms with suicidal ideation or behavior  can occur and are generally the most serious problems seen during "crashing" or other forms of Cocaine Withdrawal. A substantial number of individuals with Cocaine Dependence have few or no clinically evident withdrawal symptoms on cessation of</w:t>
      </w:r>
      <w:r>
        <w:rPr>
          <w:spacing w:val="22"/>
          <w:w w:val="105"/>
        </w:rPr>
        <w:t xml:space="preserve"> </w:t>
      </w:r>
      <w:r>
        <w:rPr>
          <w:w w:val="105"/>
        </w:rPr>
        <w:t>use.</w:t>
      </w:r>
    </w:p>
    <w:p w:rsidR="00E675F0" w:rsidRDefault="00E675F0" w:rsidP="00E675F0">
      <w:pPr>
        <w:pStyle w:val="BodyText"/>
      </w:pPr>
    </w:p>
    <w:p w:rsidR="00E675F0" w:rsidRDefault="00E675F0" w:rsidP="00E675F0">
      <w:pPr>
        <w:pStyle w:val="BodyText"/>
        <w:spacing w:before="6"/>
      </w:pPr>
    </w:p>
    <w:tbl>
      <w:tblPr>
        <w:tblW w:w="0" w:type="auto"/>
        <w:tblInd w:w="227"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7331"/>
      </w:tblGrid>
      <w:tr w:rsidR="00E675F0" w:rsidTr="00A330E1">
        <w:trPr>
          <w:trHeight w:val="2956"/>
        </w:trPr>
        <w:tc>
          <w:tcPr>
            <w:tcW w:w="7331" w:type="dxa"/>
            <w:tcBorders>
              <w:bottom w:val="single" w:sz="18" w:space="0" w:color="000000"/>
            </w:tcBorders>
          </w:tcPr>
          <w:p w:rsidR="00E675F0" w:rsidRDefault="00E675F0" w:rsidP="003048D3">
            <w:pPr>
              <w:pStyle w:val="TableParagraph"/>
              <w:numPr>
                <w:ilvl w:val="0"/>
                <w:numId w:val="29"/>
              </w:numPr>
              <w:tabs>
                <w:tab w:val="left" w:pos="634"/>
              </w:tabs>
              <w:spacing w:line="526" w:lineRule="exact"/>
              <w:ind w:hanging="380"/>
              <w:rPr>
                <w:rFonts w:ascii="Arial" w:hAnsi="Arial"/>
                <w:b/>
                <w:sz w:val="23"/>
              </w:rPr>
            </w:pPr>
            <w:r>
              <w:rPr>
                <w:rFonts w:ascii="Arial" w:hAnsi="Arial"/>
                <w:b/>
                <w:w w:val="110"/>
                <w:sz w:val="23"/>
              </w:rPr>
              <w:t>Diagnostic criteria for 292.0 Cocaine</w:t>
            </w:r>
            <w:r>
              <w:rPr>
                <w:rFonts w:ascii="Arial" w:hAnsi="Arial"/>
                <w:b/>
                <w:spacing w:val="-13"/>
                <w:w w:val="110"/>
                <w:sz w:val="23"/>
              </w:rPr>
              <w:t xml:space="preserve"> </w:t>
            </w:r>
            <w:r>
              <w:rPr>
                <w:rFonts w:ascii="Arial" w:hAnsi="Arial"/>
                <w:b/>
                <w:w w:val="110"/>
                <w:sz w:val="23"/>
              </w:rPr>
              <w:t>Withdrawal</w:t>
            </w:r>
          </w:p>
          <w:p w:rsidR="00E675F0" w:rsidRDefault="00E675F0" w:rsidP="003048D3">
            <w:pPr>
              <w:pStyle w:val="TableParagraph"/>
              <w:numPr>
                <w:ilvl w:val="1"/>
                <w:numId w:val="29"/>
              </w:numPr>
              <w:tabs>
                <w:tab w:val="left" w:pos="961"/>
              </w:tabs>
              <w:spacing w:before="151" w:line="261" w:lineRule="auto"/>
              <w:ind w:right="217" w:hanging="316"/>
              <w:rPr>
                <w:sz w:val="20"/>
              </w:rPr>
            </w:pPr>
            <w:r>
              <w:rPr>
                <w:w w:val="105"/>
                <w:sz w:val="20"/>
              </w:rPr>
              <w:t>Cessation of (or reduction in) cocaine use that has been heavy and prolonged.</w:t>
            </w:r>
          </w:p>
          <w:p w:rsidR="00E675F0" w:rsidRDefault="00E675F0" w:rsidP="003048D3">
            <w:pPr>
              <w:pStyle w:val="TableParagraph"/>
              <w:numPr>
                <w:ilvl w:val="1"/>
                <w:numId w:val="29"/>
              </w:numPr>
              <w:tabs>
                <w:tab w:val="left" w:pos="965"/>
              </w:tabs>
              <w:spacing w:before="172" w:line="256" w:lineRule="auto"/>
              <w:ind w:left="961" w:right="227" w:hanging="300"/>
              <w:rPr>
                <w:rFonts w:ascii="Arial"/>
                <w:sz w:val="17"/>
              </w:rPr>
            </w:pPr>
            <w:r>
              <w:rPr>
                <w:w w:val="105"/>
                <w:sz w:val="20"/>
              </w:rPr>
              <w:t>Dysphoric mood and two (or more) of the following physiological changes,</w:t>
            </w:r>
            <w:r>
              <w:rPr>
                <w:spacing w:val="-4"/>
                <w:w w:val="105"/>
                <w:sz w:val="20"/>
              </w:rPr>
              <w:t xml:space="preserve"> </w:t>
            </w:r>
            <w:r>
              <w:rPr>
                <w:w w:val="105"/>
                <w:sz w:val="20"/>
              </w:rPr>
              <w:t>developing</w:t>
            </w:r>
            <w:r>
              <w:rPr>
                <w:spacing w:val="-5"/>
                <w:w w:val="105"/>
                <w:sz w:val="20"/>
              </w:rPr>
              <w:t xml:space="preserve"> </w:t>
            </w:r>
            <w:r>
              <w:rPr>
                <w:w w:val="105"/>
                <w:sz w:val="20"/>
              </w:rPr>
              <w:t>within</w:t>
            </w:r>
            <w:r>
              <w:rPr>
                <w:spacing w:val="-6"/>
                <w:w w:val="105"/>
                <w:sz w:val="20"/>
              </w:rPr>
              <w:t xml:space="preserve"> </w:t>
            </w:r>
            <w:r>
              <w:rPr>
                <w:w w:val="105"/>
                <w:sz w:val="20"/>
              </w:rPr>
              <w:t>a</w:t>
            </w:r>
            <w:r>
              <w:rPr>
                <w:spacing w:val="-11"/>
                <w:w w:val="105"/>
                <w:sz w:val="20"/>
              </w:rPr>
              <w:t xml:space="preserve"> </w:t>
            </w:r>
            <w:r>
              <w:rPr>
                <w:w w:val="105"/>
                <w:sz w:val="20"/>
              </w:rPr>
              <w:t>few</w:t>
            </w:r>
            <w:r>
              <w:rPr>
                <w:spacing w:val="-8"/>
                <w:w w:val="105"/>
                <w:sz w:val="20"/>
              </w:rPr>
              <w:t xml:space="preserve"> </w:t>
            </w:r>
            <w:r>
              <w:rPr>
                <w:w w:val="105"/>
                <w:sz w:val="20"/>
              </w:rPr>
              <w:t>hours</w:t>
            </w:r>
            <w:r>
              <w:rPr>
                <w:spacing w:val="-8"/>
                <w:w w:val="105"/>
                <w:sz w:val="20"/>
              </w:rPr>
              <w:t xml:space="preserve"> </w:t>
            </w:r>
            <w:r>
              <w:rPr>
                <w:w w:val="105"/>
                <w:sz w:val="20"/>
              </w:rPr>
              <w:t>to</w:t>
            </w:r>
            <w:r>
              <w:rPr>
                <w:spacing w:val="-17"/>
                <w:w w:val="105"/>
                <w:sz w:val="20"/>
              </w:rPr>
              <w:t xml:space="preserve"> </w:t>
            </w:r>
            <w:r>
              <w:rPr>
                <w:w w:val="105"/>
                <w:sz w:val="20"/>
              </w:rPr>
              <w:t>several</w:t>
            </w:r>
            <w:r>
              <w:rPr>
                <w:spacing w:val="-11"/>
                <w:w w:val="105"/>
                <w:sz w:val="20"/>
              </w:rPr>
              <w:t xml:space="preserve"> </w:t>
            </w:r>
            <w:r>
              <w:rPr>
                <w:w w:val="105"/>
                <w:sz w:val="20"/>
              </w:rPr>
              <w:t>days</w:t>
            </w:r>
            <w:r>
              <w:rPr>
                <w:spacing w:val="-11"/>
                <w:w w:val="105"/>
                <w:sz w:val="20"/>
              </w:rPr>
              <w:t xml:space="preserve"> </w:t>
            </w:r>
            <w:r>
              <w:rPr>
                <w:w w:val="105"/>
                <w:sz w:val="20"/>
              </w:rPr>
              <w:t>after</w:t>
            </w:r>
            <w:r>
              <w:rPr>
                <w:spacing w:val="-6"/>
                <w:w w:val="105"/>
                <w:sz w:val="20"/>
              </w:rPr>
              <w:t xml:space="preserve"> </w:t>
            </w:r>
            <w:r>
              <w:rPr>
                <w:w w:val="105"/>
                <w:sz w:val="20"/>
              </w:rPr>
              <w:t>Criterion</w:t>
            </w:r>
            <w:r>
              <w:rPr>
                <w:spacing w:val="3"/>
                <w:w w:val="105"/>
                <w:sz w:val="20"/>
              </w:rPr>
              <w:t xml:space="preserve"> </w:t>
            </w:r>
            <w:r>
              <w:rPr>
                <w:rFonts w:ascii="Arial"/>
                <w:w w:val="105"/>
                <w:sz w:val="17"/>
              </w:rPr>
              <w:t>A:</w:t>
            </w:r>
          </w:p>
          <w:p w:rsidR="00E675F0" w:rsidRDefault="00E675F0" w:rsidP="003048D3">
            <w:pPr>
              <w:pStyle w:val="TableParagraph"/>
              <w:numPr>
                <w:ilvl w:val="2"/>
                <w:numId w:val="29"/>
              </w:numPr>
              <w:tabs>
                <w:tab w:val="left" w:pos="1379"/>
                <w:tab w:val="left" w:pos="1380"/>
              </w:tabs>
              <w:spacing w:before="61"/>
              <w:ind w:hanging="419"/>
              <w:rPr>
                <w:sz w:val="17"/>
              </w:rPr>
            </w:pPr>
            <w:r>
              <w:rPr>
                <w:w w:val="105"/>
                <w:sz w:val="20"/>
              </w:rPr>
              <w:t>fatigue</w:t>
            </w:r>
          </w:p>
          <w:p w:rsidR="00E675F0" w:rsidRDefault="00E675F0" w:rsidP="003048D3">
            <w:pPr>
              <w:pStyle w:val="TableParagraph"/>
              <w:numPr>
                <w:ilvl w:val="2"/>
                <w:numId w:val="29"/>
              </w:numPr>
              <w:tabs>
                <w:tab w:val="left" w:pos="1386"/>
              </w:tabs>
              <w:spacing w:before="20"/>
              <w:ind w:left="1385" w:hanging="427"/>
              <w:rPr>
                <w:sz w:val="20"/>
              </w:rPr>
            </w:pPr>
            <w:r>
              <w:rPr>
                <w:w w:val="105"/>
                <w:sz w:val="20"/>
              </w:rPr>
              <w:t>vivid,  unpleasant</w:t>
            </w:r>
            <w:r>
              <w:rPr>
                <w:spacing w:val="-4"/>
                <w:w w:val="105"/>
                <w:sz w:val="20"/>
              </w:rPr>
              <w:t xml:space="preserve"> </w:t>
            </w:r>
            <w:r>
              <w:rPr>
                <w:w w:val="105"/>
                <w:sz w:val="20"/>
              </w:rPr>
              <w:t>dreams</w:t>
            </w:r>
          </w:p>
          <w:p w:rsidR="00E675F0" w:rsidRDefault="00E675F0" w:rsidP="003048D3">
            <w:pPr>
              <w:pStyle w:val="TableParagraph"/>
              <w:numPr>
                <w:ilvl w:val="2"/>
                <w:numId w:val="29"/>
              </w:numPr>
              <w:tabs>
                <w:tab w:val="left" w:pos="1386"/>
              </w:tabs>
              <w:spacing w:before="10"/>
              <w:ind w:left="1385" w:hanging="427"/>
              <w:rPr>
                <w:sz w:val="20"/>
              </w:rPr>
            </w:pPr>
            <w:r>
              <w:rPr>
                <w:w w:val="105"/>
                <w:sz w:val="20"/>
              </w:rPr>
              <w:t>insomnia  or</w:t>
            </w:r>
            <w:r>
              <w:rPr>
                <w:spacing w:val="-14"/>
                <w:w w:val="105"/>
                <w:sz w:val="20"/>
              </w:rPr>
              <w:t xml:space="preserve"> </w:t>
            </w:r>
            <w:r>
              <w:rPr>
                <w:w w:val="105"/>
                <w:sz w:val="20"/>
              </w:rPr>
              <w:t>hypersomnia</w:t>
            </w:r>
          </w:p>
          <w:p w:rsidR="00E675F0" w:rsidRDefault="00E675F0" w:rsidP="00A330E1">
            <w:pPr>
              <w:pStyle w:val="TableParagraph"/>
              <w:spacing w:before="20"/>
              <w:ind w:left="6030"/>
              <w:rPr>
                <w:i/>
                <w:sz w:val="19"/>
              </w:rPr>
            </w:pPr>
            <w:r>
              <w:rPr>
                <w:i/>
                <w:w w:val="115"/>
                <w:sz w:val="19"/>
              </w:rPr>
              <w:t>( continued)</w:t>
            </w:r>
          </w:p>
        </w:tc>
      </w:tr>
    </w:tbl>
    <w:p w:rsidR="00E675F0" w:rsidRDefault="00E675F0" w:rsidP="00E675F0">
      <w:pPr>
        <w:rPr>
          <w:sz w:val="19"/>
        </w:rPr>
        <w:sectPr w:rsidR="00E675F0">
          <w:pgSz w:w="8960" w:h="14260"/>
          <w:pgMar w:top="1400" w:right="640" w:bottom="280" w:left="600" w:header="674" w:footer="0" w:gutter="0"/>
          <w:cols w:space="720"/>
        </w:sectPr>
      </w:pPr>
    </w:p>
    <w:p w:rsidR="00E675F0" w:rsidRDefault="00E675F0" w:rsidP="00E675F0">
      <w:pPr>
        <w:pStyle w:val="BodyText"/>
        <w:spacing w:before="1"/>
        <w:rPr>
          <w:sz w:val="10"/>
        </w:rPr>
      </w:pPr>
    </w:p>
    <w:tbl>
      <w:tblPr>
        <w:tblW w:w="0" w:type="auto"/>
        <w:tblInd w:w="22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7336"/>
      </w:tblGrid>
      <w:tr w:rsidR="00E675F0" w:rsidTr="00A330E1">
        <w:trPr>
          <w:trHeight w:val="2730"/>
        </w:trPr>
        <w:tc>
          <w:tcPr>
            <w:tcW w:w="7336" w:type="dxa"/>
            <w:tcBorders>
              <w:left w:val="single" w:sz="24" w:space="0" w:color="000000"/>
              <w:bottom w:val="single" w:sz="24" w:space="0" w:color="000000"/>
              <w:right w:val="single" w:sz="24" w:space="0" w:color="000000"/>
            </w:tcBorders>
          </w:tcPr>
          <w:p w:rsidR="00E675F0" w:rsidRDefault="00E675F0" w:rsidP="003048D3">
            <w:pPr>
              <w:pStyle w:val="TableParagraph"/>
              <w:numPr>
                <w:ilvl w:val="0"/>
                <w:numId w:val="28"/>
              </w:numPr>
              <w:tabs>
                <w:tab w:val="left" w:pos="589"/>
              </w:tabs>
              <w:spacing w:before="77"/>
              <w:rPr>
                <w:rFonts w:ascii="Arial" w:hAnsi="Arial"/>
                <w:i/>
              </w:rPr>
            </w:pPr>
            <w:bookmarkStart w:id="146" w:name="_bookmark127"/>
            <w:bookmarkEnd w:id="146"/>
            <w:r>
              <w:rPr>
                <w:rFonts w:ascii="Arial" w:hAnsi="Arial"/>
                <w:b/>
              </w:rPr>
              <w:t xml:space="preserve">Diagnostic criteria for 292.0 Cocaine Withdrawal </w:t>
            </w:r>
            <w:r>
              <w:rPr>
                <w:rFonts w:ascii="Arial" w:hAnsi="Arial"/>
                <w:i/>
              </w:rPr>
              <w:t>(continued)</w:t>
            </w:r>
          </w:p>
          <w:p w:rsidR="00E675F0" w:rsidRDefault="00E675F0" w:rsidP="003048D3">
            <w:pPr>
              <w:pStyle w:val="TableParagraph"/>
              <w:numPr>
                <w:ilvl w:val="1"/>
                <w:numId w:val="28"/>
              </w:numPr>
              <w:tabs>
                <w:tab w:val="left" w:pos="1384"/>
              </w:tabs>
              <w:spacing w:before="198"/>
              <w:ind w:hanging="432"/>
              <w:rPr>
                <w:sz w:val="20"/>
              </w:rPr>
            </w:pPr>
            <w:r>
              <w:rPr>
                <w:w w:val="105"/>
                <w:sz w:val="20"/>
              </w:rPr>
              <w:t>increased</w:t>
            </w:r>
            <w:r>
              <w:rPr>
                <w:spacing w:val="18"/>
                <w:w w:val="105"/>
                <w:sz w:val="20"/>
              </w:rPr>
              <w:t xml:space="preserve"> </w:t>
            </w:r>
            <w:r>
              <w:rPr>
                <w:w w:val="105"/>
                <w:sz w:val="20"/>
              </w:rPr>
              <w:t>appetite</w:t>
            </w:r>
          </w:p>
          <w:p w:rsidR="00E675F0" w:rsidRDefault="00E675F0" w:rsidP="003048D3">
            <w:pPr>
              <w:pStyle w:val="TableParagraph"/>
              <w:numPr>
                <w:ilvl w:val="1"/>
                <w:numId w:val="28"/>
              </w:numPr>
              <w:tabs>
                <w:tab w:val="left" w:pos="1386"/>
              </w:tabs>
              <w:spacing w:before="16"/>
              <w:ind w:left="1385" w:hanging="434"/>
              <w:rPr>
                <w:sz w:val="20"/>
              </w:rPr>
            </w:pPr>
            <w:r>
              <w:rPr>
                <w:w w:val="105"/>
                <w:sz w:val="20"/>
              </w:rPr>
              <w:t>psychomotor retardation or</w:t>
            </w:r>
            <w:r>
              <w:rPr>
                <w:spacing w:val="9"/>
                <w:w w:val="105"/>
                <w:sz w:val="20"/>
              </w:rPr>
              <w:t xml:space="preserve"> </w:t>
            </w:r>
            <w:r>
              <w:rPr>
                <w:w w:val="105"/>
                <w:sz w:val="20"/>
              </w:rPr>
              <w:t>agitation</w:t>
            </w:r>
          </w:p>
          <w:p w:rsidR="00E675F0" w:rsidRDefault="00E675F0" w:rsidP="00A330E1">
            <w:pPr>
              <w:pStyle w:val="TableParagraph"/>
              <w:rPr>
                <w:sz w:val="18"/>
              </w:rPr>
            </w:pPr>
          </w:p>
          <w:p w:rsidR="00E675F0" w:rsidRDefault="00E675F0" w:rsidP="00A330E1">
            <w:pPr>
              <w:pStyle w:val="TableParagraph"/>
              <w:spacing w:line="256" w:lineRule="auto"/>
              <w:ind w:left="959" w:right="256" w:hanging="309"/>
              <w:rPr>
                <w:sz w:val="20"/>
              </w:rPr>
            </w:pPr>
            <w:r>
              <w:rPr>
                <w:sz w:val="18"/>
              </w:rPr>
              <w:t xml:space="preserve">C. </w:t>
            </w:r>
            <w:r>
              <w:rPr>
                <w:sz w:val="20"/>
              </w:rPr>
              <w:t>The symptoms in Criterion B cause clinically significant distress or impairment in social, occupational, or other important areas of functioning.</w:t>
            </w:r>
          </w:p>
          <w:p w:rsidR="00E675F0" w:rsidRDefault="00E675F0" w:rsidP="00A330E1">
            <w:pPr>
              <w:pStyle w:val="TableParagraph"/>
              <w:spacing w:before="171" w:line="256" w:lineRule="auto"/>
              <w:ind w:left="966" w:right="256" w:hanging="312"/>
              <w:rPr>
                <w:sz w:val="20"/>
              </w:rPr>
            </w:pPr>
            <w:r>
              <w:rPr>
                <w:w w:val="105"/>
                <w:sz w:val="20"/>
              </w:rPr>
              <w:t>D. The symptoms are not clue to a general medical condition and are not better accounted for by another mental disorder.</w:t>
            </w:r>
          </w:p>
        </w:tc>
      </w:tr>
    </w:tbl>
    <w:p w:rsidR="00E675F0" w:rsidRDefault="00E675F0" w:rsidP="00E675F0">
      <w:pPr>
        <w:pStyle w:val="BodyText"/>
      </w:pPr>
    </w:p>
    <w:p w:rsidR="00E675F0" w:rsidRDefault="00E675F0" w:rsidP="00E675F0">
      <w:pPr>
        <w:pStyle w:val="BodyText"/>
        <w:spacing w:before="6"/>
        <w:rPr>
          <w:sz w:val="24"/>
        </w:rPr>
      </w:pPr>
    </w:p>
    <w:p w:rsidR="00E675F0" w:rsidRDefault="00E675F0" w:rsidP="00E675F0">
      <w:pPr>
        <w:spacing w:before="92"/>
        <w:ind w:left="33" w:right="47"/>
        <w:jc w:val="center"/>
        <w:rPr>
          <w:rFonts w:ascii="Arial"/>
          <w:b/>
          <w:sz w:val="25"/>
        </w:rPr>
      </w:pPr>
      <w:r>
        <w:rPr>
          <w:noProof/>
        </w:rPr>
        <mc:AlternateContent>
          <mc:Choice Requires="wps">
            <w:drawing>
              <wp:anchor distT="0" distB="0" distL="114300" distR="114300" simplePos="0" relativeHeight="251721728" behindDoc="0" locked="0" layoutInCell="1" allowOverlap="1" wp14:anchorId="417B53FF" wp14:editId="335240FE">
                <wp:simplePos x="0" y="0"/>
                <wp:positionH relativeFrom="page">
                  <wp:posOffset>477520</wp:posOffset>
                </wp:positionH>
                <wp:positionV relativeFrom="paragraph">
                  <wp:posOffset>-342265</wp:posOffset>
                </wp:positionV>
                <wp:extent cx="4765675" cy="0"/>
                <wp:effectExtent l="0" t="12700" r="22225" b="12700"/>
                <wp:wrapNone/>
                <wp:docPr id="1342" name="Line 12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765675" cy="0"/>
                        </a:xfrm>
                        <a:prstGeom prst="line">
                          <a:avLst/>
                        </a:prstGeom>
                        <a:noFill/>
                        <a:ln w="335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AFC9AC" id="Line 1298" o:spid="_x0000_s1026" style="position:absolute;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6pt,-26.95pt" to="412.85pt,-2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" strokeweight=".93264mm">
                <o:lock v:ext="edit" shapetype="f"/>
                <w10:wrap anchorx="page"/>
              </v:line>
            </w:pict>
          </mc:Fallback>
        </mc:AlternateContent>
      </w:r>
      <w:r>
        <w:rPr>
          <w:rFonts w:ascii="Arial"/>
          <w:b/>
          <w:w w:val="105"/>
          <w:sz w:val="25"/>
        </w:rPr>
        <w:t>Other Cocaine--Induced Disorders</w:t>
      </w:r>
    </w:p>
    <w:p w:rsidR="00E675F0" w:rsidRDefault="00E675F0" w:rsidP="00E675F0">
      <w:pPr>
        <w:pStyle w:val="BodyText"/>
        <w:spacing w:before="6"/>
        <w:rPr>
          <w:rFonts w:ascii="Arial"/>
          <w:b/>
          <w:sz w:val="25"/>
        </w:rPr>
      </w:pPr>
    </w:p>
    <w:p w:rsidR="00E675F0" w:rsidRDefault="00E675F0" w:rsidP="00E675F0">
      <w:pPr>
        <w:spacing w:line="254" w:lineRule="auto"/>
        <w:ind w:left="111" w:right="115" w:hanging="1"/>
        <w:jc w:val="both"/>
        <w:rPr>
          <w:sz w:val="20"/>
        </w:rPr>
      </w:pPr>
      <w:r>
        <w:rPr>
          <w:w w:val="110"/>
          <w:sz w:val="20"/>
        </w:rPr>
        <w:t>The</w:t>
      </w:r>
      <w:r>
        <w:rPr>
          <w:spacing w:val="-26"/>
          <w:w w:val="110"/>
          <w:sz w:val="20"/>
        </w:rPr>
        <w:t xml:space="preserve"> </w:t>
      </w:r>
      <w:r>
        <w:rPr>
          <w:w w:val="110"/>
          <w:sz w:val="20"/>
        </w:rPr>
        <w:t>following</w:t>
      </w:r>
      <w:r>
        <w:rPr>
          <w:spacing w:val="-22"/>
          <w:w w:val="110"/>
          <w:sz w:val="20"/>
        </w:rPr>
        <w:t xml:space="preserve"> </w:t>
      </w:r>
      <w:r>
        <w:rPr>
          <w:w w:val="110"/>
          <w:sz w:val="20"/>
        </w:rPr>
        <w:t>Cocaine-Induced</w:t>
      </w:r>
      <w:r>
        <w:rPr>
          <w:spacing w:val="-22"/>
          <w:w w:val="110"/>
          <w:sz w:val="20"/>
        </w:rPr>
        <w:t xml:space="preserve"> </w:t>
      </w:r>
      <w:r>
        <w:rPr>
          <w:w w:val="110"/>
          <w:sz w:val="20"/>
        </w:rPr>
        <w:t>Disorders</w:t>
      </w:r>
      <w:r>
        <w:rPr>
          <w:spacing w:val="-17"/>
          <w:w w:val="110"/>
          <w:sz w:val="20"/>
        </w:rPr>
        <w:t xml:space="preserve"> </w:t>
      </w:r>
      <w:r>
        <w:rPr>
          <w:w w:val="110"/>
          <w:sz w:val="20"/>
        </w:rPr>
        <w:t>are</w:t>
      </w:r>
      <w:r>
        <w:rPr>
          <w:spacing w:val="-24"/>
          <w:w w:val="110"/>
          <w:sz w:val="20"/>
        </w:rPr>
        <w:t xml:space="preserve"> </w:t>
      </w:r>
      <w:r>
        <w:rPr>
          <w:w w:val="110"/>
          <w:sz w:val="20"/>
        </w:rPr>
        <w:t>described</w:t>
      </w:r>
      <w:r>
        <w:rPr>
          <w:spacing w:val="-18"/>
          <w:w w:val="110"/>
          <w:sz w:val="20"/>
        </w:rPr>
        <w:t xml:space="preserve"> </w:t>
      </w:r>
      <w:r>
        <w:rPr>
          <w:w w:val="110"/>
          <w:sz w:val="20"/>
        </w:rPr>
        <w:t>in</w:t>
      </w:r>
      <w:r>
        <w:rPr>
          <w:spacing w:val="-27"/>
          <w:w w:val="110"/>
          <w:sz w:val="20"/>
        </w:rPr>
        <w:t xml:space="preserve"> </w:t>
      </w:r>
      <w:r>
        <w:rPr>
          <w:w w:val="110"/>
          <w:sz w:val="20"/>
        </w:rPr>
        <w:t>other</w:t>
      </w:r>
      <w:r>
        <w:rPr>
          <w:spacing w:val="-22"/>
          <w:w w:val="110"/>
          <w:sz w:val="20"/>
        </w:rPr>
        <w:t xml:space="preserve"> </w:t>
      </w:r>
      <w:r>
        <w:rPr>
          <w:w w:val="110"/>
          <w:sz w:val="20"/>
        </w:rPr>
        <w:t>sections</w:t>
      </w:r>
      <w:r>
        <w:rPr>
          <w:spacing w:val="-24"/>
          <w:w w:val="110"/>
          <w:sz w:val="20"/>
        </w:rPr>
        <w:t xml:space="preserve"> </w:t>
      </w:r>
      <w:r>
        <w:rPr>
          <w:w w:val="110"/>
          <w:sz w:val="20"/>
        </w:rPr>
        <w:t>of</w:t>
      </w:r>
      <w:r>
        <w:rPr>
          <w:spacing w:val="-22"/>
          <w:w w:val="110"/>
          <w:sz w:val="20"/>
        </w:rPr>
        <w:t xml:space="preserve"> </w:t>
      </w:r>
      <w:r>
        <w:rPr>
          <w:w w:val="110"/>
          <w:sz w:val="20"/>
        </w:rPr>
        <w:t>the</w:t>
      </w:r>
      <w:r>
        <w:rPr>
          <w:spacing w:val="-6"/>
          <w:w w:val="110"/>
          <w:sz w:val="20"/>
        </w:rPr>
        <w:t xml:space="preserve"> </w:t>
      </w:r>
      <w:r>
        <w:rPr>
          <w:w w:val="110"/>
          <w:sz w:val="20"/>
        </w:rPr>
        <w:t>manual with</w:t>
      </w:r>
      <w:r>
        <w:rPr>
          <w:spacing w:val="-10"/>
          <w:w w:val="110"/>
          <w:sz w:val="20"/>
        </w:rPr>
        <w:t xml:space="preserve"> </w:t>
      </w:r>
      <w:r>
        <w:rPr>
          <w:w w:val="110"/>
          <w:sz w:val="20"/>
        </w:rPr>
        <w:t>disorders</w:t>
      </w:r>
      <w:r>
        <w:rPr>
          <w:spacing w:val="-6"/>
          <w:w w:val="110"/>
          <w:sz w:val="20"/>
        </w:rPr>
        <w:t xml:space="preserve"> </w:t>
      </w:r>
      <w:r>
        <w:rPr>
          <w:w w:val="110"/>
          <w:sz w:val="20"/>
        </w:rPr>
        <w:t>with</w:t>
      </w:r>
      <w:r>
        <w:rPr>
          <w:spacing w:val="-7"/>
          <w:w w:val="110"/>
          <w:sz w:val="20"/>
        </w:rPr>
        <w:t xml:space="preserve"> </w:t>
      </w:r>
      <w:r>
        <w:rPr>
          <w:w w:val="110"/>
          <w:sz w:val="20"/>
        </w:rPr>
        <w:t>which</w:t>
      </w:r>
      <w:r>
        <w:rPr>
          <w:spacing w:val="-5"/>
          <w:w w:val="110"/>
          <w:sz w:val="20"/>
        </w:rPr>
        <w:t xml:space="preserve"> </w:t>
      </w:r>
      <w:r>
        <w:rPr>
          <w:w w:val="110"/>
          <w:sz w:val="20"/>
        </w:rPr>
        <w:t>they</w:t>
      </w:r>
      <w:r>
        <w:rPr>
          <w:spacing w:val="-17"/>
          <w:w w:val="110"/>
          <w:sz w:val="20"/>
        </w:rPr>
        <w:t xml:space="preserve"> </w:t>
      </w:r>
      <w:r>
        <w:rPr>
          <w:w w:val="110"/>
          <w:sz w:val="20"/>
        </w:rPr>
        <w:t>share</w:t>
      </w:r>
      <w:r>
        <w:rPr>
          <w:spacing w:val="-1"/>
          <w:w w:val="110"/>
          <w:sz w:val="20"/>
        </w:rPr>
        <w:t xml:space="preserve"> </w:t>
      </w:r>
      <w:r>
        <w:rPr>
          <w:w w:val="110"/>
          <w:sz w:val="20"/>
        </w:rPr>
        <w:t>phenomenology:</w:t>
      </w:r>
      <w:r>
        <w:rPr>
          <w:spacing w:val="-25"/>
          <w:w w:val="110"/>
          <w:sz w:val="20"/>
        </w:rPr>
        <w:t xml:space="preserve"> </w:t>
      </w:r>
      <w:r>
        <w:rPr>
          <w:b/>
          <w:w w:val="110"/>
          <w:sz w:val="19"/>
        </w:rPr>
        <w:t>Cocaine</w:t>
      </w:r>
      <w:r>
        <w:rPr>
          <w:b/>
          <w:spacing w:val="-16"/>
          <w:w w:val="110"/>
          <w:sz w:val="19"/>
        </w:rPr>
        <w:t xml:space="preserve"> </w:t>
      </w:r>
      <w:r>
        <w:rPr>
          <w:b/>
          <w:w w:val="110"/>
          <w:sz w:val="19"/>
        </w:rPr>
        <w:t>Intoxication</w:t>
      </w:r>
      <w:r>
        <w:rPr>
          <w:b/>
          <w:spacing w:val="-21"/>
          <w:w w:val="110"/>
          <w:sz w:val="19"/>
        </w:rPr>
        <w:t xml:space="preserve"> </w:t>
      </w:r>
      <w:r>
        <w:rPr>
          <w:b/>
          <w:w w:val="110"/>
          <w:sz w:val="19"/>
        </w:rPr>
        <w:t xml:space="preserve">Delirium </w:t>
      </w:r>
      <w:r>
        <w:rPr>
          <w:rFonts w:ascii="Arial"/>
          <w:w w:val="110"/>
          <w:sz w:val="18"/>
        </w:rPr>
        <w:t xml:space="preserve">(p. </w:t>
      </w:r>
      <w:r>
        <w:rPr>
          <w:w w:val="110"/>
          <w:sz w:val="20"/>
        </w:rPr>
        <w:t xml:space="preserve">129), </w:t>
      </w:r>
      <w:r>
        <w:rPr>
          <w:b/>
          <w:w w:val="110"/>
          <w:sz w:val="19"/>
        </w:rPr>
        <w:t xml:space="preserve">Cocaine-Induced Psychotic Disorder </w:t>
      </w:r>
      <w:r>
        <w:rPr>
          <w:w w:val="110"/>
          <w:sz w:val="20"/>
        </w:rPr>
        <w:t xml:space="preserve">(p. 310), </w:t>
      </w:r>
      <w:r>
        <w:rPr>
          <w:b/>
          <w:w w:val="110"/>
          <w:sz w:val="19"/>
        </w:rPr>
        <w:t xml:space="preserve">Cocaine-Induced Mood Disorder </w:t>
      </w:r>
      <w:r>
        <w:rPr>
          <w:rFonts w:ascii="Arial"/>
          <w:w w:val="110"/>
          <w:sz w:val="18"/>
        </w:rPr>
        <w:t xml:space="preserve">(p. </w:t>
      </w:r>
      <w:r>
        <w:rPr>
          <w:w w:val="110"/>
          <w:sz w:val="19"/>
        </w:rPr>
        <w:t xml:space="preserve">370), </w:t>
      </w:r>
      <w:r>
        <w:rPr>
          <w:b/>
          <w:w w:val="110"/>
          <w:sz w:val="19"/>
        </w:rPr>
        <w:t xml:space="preserve">Cocaine-Induced Anxiety Disorder </w:t>
      </w:r>
      <w:r>
        <w:rPr>
          <w:rFonts w:ascii="Arial"/>
          <w:w w:val="110"/>
          <w:sz w:val="18"/>
        </w:rPr>
        <w:t xml:space="preserve">(p. </w:t>
      </w:r>
      <w:r>
        <w:rPr>
          <w:w w:val="110"/>
          <w:sz w:val="19"/>
        </w:rPr>
        <w:t xml:space="preserve">439), </w:t>
      </w:r>
      <w:r>
        <w:rPr>
          <w:b/>
          <w:w w:val="110"/>
          <w:sz w:val="19"/>
        </w:rPr>
        <w:t xml:space="preserve">Cocaine-Induced Sexual Dysfunction </w:t>
      </w:r>
      <w:r>
        <w:rPr>
          <w:w w:val="110"/>
          <w:sz w:val="20"/>
        </w:rPr>
        <w:t xml:space="preserve">(p. 519), and </w:t>
      </w:r>
      <w:r>
        <w:rPr>
          <w:b/>
          <w:w w:val="110"/>
          <w:sz w:val="19"/>
        </w:rPr>
        <w:t xml:space="preserve">Cocaine-Induced Sleep Disorder </w:t>
      </w:r>
      <w:r>
        <w:rPr>
          <w:w w:val="110"/>
          <w:sz w:val="20"/>
        </w:rPr>
        <w:t>(p. 601). These disorders are diagnosed instead of Cocaine Intoxication or Cocaine Withdrawal only when the symptoms are in excess of those usually associated with the Cocaine Intoxication</w:t>
      </w:r>
      <w:r>
        <w:rPr>
          <w:spacing w:val="-21"/>
          <w:w w:val="110"/>
          <w:sz w:val="20"/>
        </w:rPr>
        <w:t xml:space="preserve"> </w:t>
      </w:r>
      <w:r>
        <w:rPr>
          <w:w w:val="110"/>
          <w:sz w:val="20"/>
        </w:rPr>
        <w:t>or</w:t>
      </w:r>
      <w:r>
        <w:rPr>
          <w:spacing w:val="-22"/>
          <w:w w:val="110"/>
          <w:sz w:val="20"/>
        </w:rPr>
        <w:t xml:space="preserve"> </w:t>
      </w:r>
      <w:r>
        <w:rPr>
          <w:w w:val="110"/>
          <w:sz w:val="20"/>
        </w:rPr>
        <w:t>Withdrawal</w:t>
      </w:r>
      <w:r>
        <w:rPr>
          <w:spacing w:val="-21"/>
          <w:w w:val="110"/>
          <w:sz w:val="20"/>
        </w:rPr>
        <w:t xml:space="preserve"> </w:t>
      </w:r>
      <w:r>
        <w:rPr>
          <w:w w:val="110"/>
          <w:sz w:val="20"/>
        </w:rPr>
        <w:t>syndrome</w:t>
      </w:r>
      <w:r>
        <w:rPr>
          <w:spacing w:val="-21"/>
          <w:w w:val="110"/>
          <w:sz w:val="20"/>
        </w:rPr>
        <w:t xml:space="preserve"> </w:t>
      </w:r>
      <w:r>
        <w:rPr>
          <w:w w:val="110"/>
          <w:sz w:val="20"/>
        </w:rPr>
        <w:t>and</w:t>
      </w:r>
      <w:r>
        <w:rPr>
          <w:spacing w:val="-23"/>
          <w:w w:val="110"/>
          <w:sz w:val="20"/>
        </w:rPr>
        <w:t xml:space="preserve"> </w:t>
      </w:r>
      <w:r>
        <w:rPr>
          <w:w w:val="110"/>
          <w:sz w:val="20"/>
        </w:rPr>
        <w:t>when</w:t>
      </w:r>
      <w:r>
        <w:rPr>
          <w:spacing w:val="-20"/>
          <w:w w:val="110"/>
          <w:sz w:val="20"/>
        </w:rPr>
        <w:t xml:space="preserve"> </w:t>
      </w:r>
      <w:r>
        <w:rPr>
          <w:w w:val="110"/>
          <w:sz w:val="20"/>
        </w:rPr>
        <w:t>the</w:t>
      </w:r>
      <w:r>
        <w:rPr>
          <w:spacing w:val="-30"/>
          <w:w w:val="110"/>
          <w:sz w:val="20"/>
        </w:rPr>
        <w:t xml:space="preserve"> </w:t>
      </w:r>
      <w:r>
        <w:rPr>
          <w:w w:val="110"/>
          <w:sz w:val="20"/>
        </w:rPr>
        <w:t>symptoms</w:t>
      </w:r>
      <w:r>
        <w:rPr>
          <w:spacing w:val="-23"/>
          <w:w w:val="110"/>
          <w:sz w:val="20"/>
        </w:rPr>
        <w:t xml:space="preserve"> </w:t>
      </w:r>
      <w:r>
        <w:rPr>
          <w:w w:val="110"/>
          <w:sz w:val="20"/>
        </w:rPr>
        <w:t>are</w:t>
      </w:r>
      <w:r>
        <w:rPr>
          <w:spacing w:val="-30"/>
          <w:w w:val="110"/>
          <w:sz w:val="20"/>
        </w:rPr>
        <w:t xml:space="preserve"> </w:t>
      </w:r>
      <w:r>
        <w:rPr>
          <w:w w:val="110"/>
          <w:sz w:val="20"/>
        </w:rPr>
        <w:t>sufficiently</w:t>
      </w:r>
      <w:r>
        <w:rPr>
          <w:spacing w:val="-25"/>
          <w:w w:val="110"/>
          <w:sz w:val="20"/>
        </w:rPr>
        <w:t xml:space="preserve"> </w:t>
      </w:r>
      <w:r>
        <w:rPr>
          <w:w w:val="110"/>
          <w:sz w:val="20"/>
        </w:rPr>
        <w:t>severe</w:t>
      </w:r>
      <w:r>
        <w:rPr>
          <w:spacing w:val="-21"/>
          <w:w w:val="110"/>
          <w:sz w:val="20"/>
        </w:rPr>
        <w:t xml:space="preserve"> </w:t>
      </w:r>
      <w:r>
        <w:rPr>
          <w:w w:val="110"/>
          <w:sz w:val="20"/>
        </w:rPr>
        <w:t>to warrant independent clinical</w:t>
      </w:r>
      <w:r>
        <w:rPr>
          <w:spacing w:val="-12"/>
          <w:w w:val="110"/>
          <w:sz w:val="20"/>
        </w:rPr>
        <w:t xml:space="preserve"> </w:t>
      </w:r>
      <w:r>
        <w:rPr>
          <w:w w:val="110"/>
          <w:sz w:val="20"/>
        </w:rPr>
        <w:t>attention.</w:t>
      </w:r>
    </w:p>
    <w:p w:rsidR="00E675F0" w:rsidRDefault="00E675F0" w:rsidP="00E675F0">
      <w:pPr>
        <w:pStyle w:val="BodyText"/>
        <w:rPr>
          <w:sz w:val="22"/>
        </w:rPr>
      </w:pPr>
    </w:p>
    <w:p w:rsidR="00E675F0" w:rsidRDefault="00E675F0" w:rsidP="00E675F0">
      <w:pPr>
        <w:pStyle w:val="BodyText"/>
        <w:spacing w:before="9"/>
        <w:rPr>
          <w:sz w:val="31"/>
        </w:rPr>
      </w:pPr>
    </w:p>
    <w:p w:rsidR="00E675F0" w:rsidRDefault="00E675F0" w:rsidP="00E675F0">
      <w:pPr>
        <w:ind w:left="33" w:right="112"/>
        <w:jc w:val="center"/>
        <w:rPr>
          <w:rFonts w:ascii="TimesNewRomanPS-BoldItalicMT"/>
          <w:b/>
          <w:i/>
          <w:sz w:val="28"/>
        </w:rPr>
      </w:pPr>
      <w:r>
        <w:rPr>
          <w:rFonts w:ascii="TimesNewRomanPS-BoldItalicMT"/>
          <w:b/>
          <w:i/>
          <w:w w:val="115"/>
          <w:sz w:val="28"/>
        </w:rPr>
        <w:t>Additional Information on Cocaine-Related Disorders</w:t>
      </w:r>
    </w:p>
    <w:p w:rsidR="00E675F0" w:rsidRDefault="00E675F0" w:rsidP="00E675F0">
      <w:pPr>
        <w:pStyle w:val="BodyText"/>
        <w:spacing w:before="2"/>
        <w:rPr>
          <w:rFonts w:ascii="TimesNewRomanPS-BoldItalicMT"/>
          <w:b/>
          <w:i/>
          <w:sz w:val="39"/>
        </w:rPr>
      </w:pPr>
    </w:p>
    <w:p w:rsidR="00E675F0" w:rsidRDefault="00E675F0" w:rsidP="00E675F0">
      <w:pPr>
        <w:ind w:left="106"/>
        <w:jc w:val="both"/>
        <w:rPr>
          <w:rFonts w:ascii="TimesNewRomanPS-BoldItalicMT"/>
          <w:b/>
          <w:i/>
          <w:sz w:val="23"/>
        </w:rPr>
      </w:pPr>
      <w:r>
        <w:rPr>
          <w:rFonts w:ascii="TimesNewRomanPS-BoldItalicMT"/>
          <w:b/>
          <w:i/>
          <w:w w:val="120"/>
          <w:sz w:val="23"/>
        </w:rPr>
        <w:t>Associated Features and Disorders</w:t>
      </w:r>
    </w:p>
    <w:p w:rsidR="00E675F0" w:rsidRDefault="00E675F0" w:rsidP="00E675F0">
      <w:pPr>
        <w:pStyle w:val="BodyText"/>
        <w:spacing w:before="167" w:line="256" w:lineRule="auto"/>
        <w:ind w:left="116" w:right="125" w:firstLine="4"/>
        <w:jc w:val="both"/>
        <w:rPr>
          <w:rFonts w:ascii="Arial"/>
          <w:sz w:val="17"/>
        </w:rPr>
      </w:pPr>
      <w:r>
        <w:rPr>
          <w:b/>
          <w:w w:val="105"/>
          <w:sz w:val="19"/>
        </w:rPr>
        <w:t>Associated  descriptive  features and  mental  disorders.</w:t>
      </w:r>
      <w:r>
        <w:rPr>
          <w:b/>
          <w:spacing w:val="49"/>
          <w:w w:val="105"/>
          <w:sz w:val="19"/>
        </w:rPr>
        <w:t xml:space="preserve"> </w:t>
      </w:r>
      <w:r>
        <w:rPr>
          <w:w w:val="105"/>
        </w:rPr>
        <w:t>Cocaine  is  a  short-acting drug that produces rapid and powerful effects on the central nervous system, especially when taken intravenously or smoked as "crack." When injected or smoked, cocaine typically produces an instant feeling of well-being, confidence, and euphoria. Dramatic behavioral changes can rapidly develop, especially in association with dependence. Individuals with Cocaine Dependence have been known to spend thousands of dollars for the substance within very short periods of time,  resulting in financial  catastrophes  in which savings or homes have been lost. Individuals may engage in criminal activities to obtain money for cocaine. Erratic behavior, social isolation, and sexual dysfunction are often seen in the context of long-term Cocaine Dependence. Aggressive  behavior can</w:t>
      </w:r>
      <w:r>
        <w:rPr>
          <w:spacing w:val="-10"/>
          <w:w w:val="105"/>
        </w:rPr>
        <w:t xml:space="preserve"> </w:t>
      </w:r>
      <w:r>
        <w:rPr>
          <w:w w:val="105"/>
        </w:rPr>
        <w:t>result</w:t>
      </w:r>
      <w:r>
        <w:rPr>
          <w:spacing w:val="-10"/>
          <w:w w:val="105"/>
        </w:rPr>
        <w:t xml:space="preserve"> </w:t>
      </w:r>
      <w:r>
        <w:rPr>
          <w:w w:val="105"/>
        </w:rPr>
        <w:t>from</w:t>
      </w:r>
      <w:r>
        <w:rPr>
          <w:spacing w:val="-3"/>
          <w:w w:val="105"/>
        </w:rPr>
        <w:t xml:space="preserve"> </w:t>
      </w:r>
      <w:r>
        <w:rPr>
          <w:w w:val="105"/>
        </w:rPr>
        <w:t>the</w:t>
      </w:r>
      <w:r>
        <w:rPr>
          <w:spacing w:val="-16"/>
          <w:w w:val="105"/>
        </w:rPr>
        <w:t xml:space="preserve"> </w:t>
      </w:r>
      <w:r>
        <w:rPr>
          <w:w w:val="105"/>
        </w:rPr>
        <w:t>effects</w:t>
      </w:r>
      <w:r>
        <w:rPr>
          <w:spacing w:val="-11"/>
          <w:w w:val="105"/>
        </w:rPr>
        <w:t xml:space="preserve"> </w:t>
      </w:r>
      <w:r>
        <w:rPr>
          <w:w w:val="105"/>
        </w:rPr>
        <w:t>of</w:t>
      </w:r>
      <w:r>
        <w:rPr>
          <w:spacing w:val="-4"/>
          <w:w w:val="105"/>
        </w:rPr>
        <w:t xml:space="preserve"> </w:t>
      </w:r>
      <w:r>
        <w:rPr>
          <w:w w:val="105"/>
        </w:rPr>
        <w:t>cocaine;</w:t>
      </w:r>
      <w:r>
        <w:rPr>
          <w:spacing w:val="-9"/>
          <w:w w:val="105"/>
        </w:rPr>
        <w:t xml:space="preserve"> </w:t>
      </w:r>
      <w:r>
        <w:rPr>
          <w:w w:val="105"/>
        </w:rPr>
        <w:t>violence is</w:t>
      </w:r>
      <w:r>
        <w:rPr>
          <w:spacing w:val="-19"/>
          <w:w w:val="105"/>
        </w:rPr>
        <w:t xml:space="preserve"> </w:t>
      </w:r>
      <w:r>
        <w:rPr>
          <w:w w:val="105"/>
        </w:rPr>
        <w:t>also</w:t>
      </w:r>
      <w:r>
        <w:rPr>
          <w:spacing w:val="-13"/>
          <w:w w:val="105"/>
        </w:rPr>
        <w:t xml:space="preserve"> </w:t>
      </w:r>
      <w:r>
        <w:rPr>
          <w:w w:val="105"/>
        </w:rPr>
        <w:t>associated</w:t>
      </w:r>
      <w:r>
        <w:rPr>
          <w:spacing w:val="1"/>
          <w:w w:val="105"/>
        </w:rPr>
        <w:t xml:space="preserve"> </w:t>
      </w:r>
      <w:r>
        <w:rPr>
          <w:w w:val="105"/>
        </w:rPr>
        <w:t>with</w:t>
      </w:r>
      <w:r>
        <w:rPr>
          <w:spacing w:val="-3"/>
          <w:w w:val="105"/>
        </w:rPr>
        <w:t xml:space="preserve"> </w:t>
      </w:r>
      <w:r>
        <w:rPr>
          <w:w w:val="105"/>
        </w:rPr>
        <w:t>the</w:t>
      </w:r>
      <w:r>
        <w:rPr>
          <w:spacing w:val="-16"/>
          <w:w w:val="105"/>
        </w:rPr>
        <w:t xml:space="preserve"> </w:t>
      </w:r>
      <w:r>
        <w:rPr>
          <w:w w:val="105"/>
        </w:rPr>
        <w:t>cocaine</w:t>
      </w:r>
      <w:r>
        <w:rPr>
          <w:spacing w:val="-8"/>
          <w:w w:val="105"/>
        </w:rPr>
        <w:t xml:space="preserve"> </w:t>
      </w:r>
      <w:r>
        <w:rPr>
          <w:w w:val="105"/>
        </w:rPr>
        <w:t xml:space="preserve">"trade." Promiscuous sexual behavior either as a result of increased desire or using sex for the purpose of obtaining cocaine (or for money  to purchase  cocaine)  has become a factor in the spread of sexually transmitted diseases, including human immunodeficiency virus </w:t>
      </w:r>
      <w:r>
        <w:rPr>
          <w:rFonts w:ascii="Arial"/>
          <w:w w:val="105"/>
          <w:sz w:val="17"/>
        </w:rPr>
        <w:t>(HIV).</w:t>
      </w:r>
    </w:p>
    <w:p w:rsidR="00E675F0" w:rsidRDefault="00E675F0" w:rsidP="00E675F0">
      <w:pPr>
        <w:pStyle w:val="BodyText"/>
        <w:spacing w:before="9"/>
        <w:ind w:left="481"/>
      </w:pPr>
      <w:r>
        <w:rPr>
          <w:w w:val="105"/>
        </w:rPr>
        <w:t>Acute Intoxication with high doses of cocaine may be associated with rambling</w:t>
      </w:r>
    </w:p>
    <w:p w:rsidR="00E675F0" w:rsidRDefault="00E675F0" w:rsidP="00E675F0">
      <w:pPr>
        <w:sectPr w:rsidR="00E675F0">
          <w:pgSz w:w="8960" w:h="14260"/>
          <w:pgMar w:top="1400" w:right="580" w:bottom="280" w:left="640" w:header="676" w:footer="0" w:gutter="0"/>
          <w:cols w:space="720"/>
        </w:sectPr>
      </w:pPr>
    </w:p>
    <w:p w:rsidR="00E675F0" w:rsidRDefault="00E675F0" w:rsidP="00E675F0">
      <w:pPr>
        <w:pStyle w:val="BodyText"/>
        <w:spacing w:before="122" w:line="252" w:lineRule="auto"/>
        <w:ind w:left="114" w:right="124" w:hanging="8"/>
        <w:jc w:val="both"/>
      </w:pPr>
      <w:r>
        <w:rPr>
          <w:w w:val="105"/>
        </w:rPr>
        <w:lastRenderedPageBreak/>
        <w:t>speech, headache, transient ideas of reference, and tinnitus. There may also be paranoid ideation, auditory hallucinations in a clear sensorium, and tactile hallucinations ("coke bugs"), which the user usually recognizes as effects of cocaine. Extreme anger with threats or acting out of aggressive behavior may occur. Mood changes such as depression, suicidal ideation, irritability, anhedonia, emotional !ability, or disturbances in attention and concentration are common, especially during Cocaine</w:t>
      </w:r>
      <w:r>
        <w:rPr>
          <w:spacing w:val="-29"/>
          <w:w w:val="105"/>
        </w:rPr>
        <w:t xml:space="preserve"> </w:t>
      </w:r>
      <w:r>
        <w:rPr>
          <w:w w:val="105"/>
        </w:rPr>
        <w:t>Withdrawal.</w:t>
      </w:r>
    </w:p>
    <w:p w:rsidR="00E675F0" w:rsidRDefault="00E675F0" w:rsidP="00E675F0">
      <w:pPr>
        <w:pStyle w:val="BodyText"/>
        <w:spacing w:before="3" w:line="254" w:lineRule="auto"/>
        <w:ind w:left="113" w:right="128" w:firstLine="363"/>
        <w:jc w:val="both"/>
      </w:pPr>
      <w:r>
        <w:rPr>
          <w:w w:val="105"/>
        </w:rPr>
        <w:t>Individuals with Cocaine Dependence often have temporary depressive symptoms that meet symptomatic and duration criteria for Major Depressive Disorder (see Substance-Induced Mood Disorder, p. 370). Histories consistent with repeated Panic Attacks, social phobic-like behavior, and generalized anxiety-like syndromes are not uncommon (see Substance-Induced Anxiety Disorder, p. 439). Eating Disorders may also be associated with this substance. One of the most extreme instances of cocaine toxicity is Cocaine-Induced Psychotic Disorder (see p. 310), a disorder with delusions and hallucinations that resembles Schizophrenia, Paranoid Type. Mental disturbances that occur in association with cocaine use usually resolve within hours to days after cessation of use, although they can persist for</w:t>
      </w:r>
      <w:r>
        <w:rPr>
          <w:spacing w:val="13"/>
          <w:w w:val="105"/>
        </w:rPr>
        <w:t xml:space="preserve"> </w:t>
      </w:r>
      <w:r>
        <w:rPr>
          <w:w w:val="105"/>
        </w:rPr>
        <w:t>weeks.</w:t>
      </w:r>
    </w:p>
    <w:p w:rsidR="00E675F0" w:rsidRDefault="00E675F0" w:rsidP="00E675F0">
      <w:pPr>
        <w:pStyle w:val="BodyText"/>
        <w:spacing w:line="254" w:lineRule="auto"/>
        <w:ind w:left="116" w:right="123" w:firstLine="360"/>
        <w:jc w:val="both"/>
      </w:pPr>
      <w:r>
        <w:rPr>
          <w:w w:val="105"/>
        </w:rPr>
        <w:t>Individuals with Cocaine Dependence often develop conditioned responses to cocaine-related stimuli (e.g., craving on seeing any white powder-like substance). These responses probably contribute to relapse, are difficult to extinguish, and typically persist long after detoxification is completed. Cocaine Use Disorders are often associated with other Substance Dependence or Abuse, especially involving alcohol, marijuana, and benzodiazepines, which are often taken to reduce the anxiety and other unpleasant stimulant side effects of cocaine. Cocaine Dependence may be associated with Posttrau­ matic Stress Disorder, Antisocial Personality Disorder, Attention-Deficit/Hyperactivity Disorder, and Pathological Gambling.</w:t>
      </w:r>
    </w:p>
    <w:p w:rsidR="00E675F0" w:rsidRDefault="00E675F0" w:rsidP="00E675F0">
      <w:pPr>
        <w:pStyle w:val="BodyText"/>
        <w:spacing w:before="9"/>
        <w:rPr>
          <w:sz w:val="19"/>
        </w:rPr>
      </w:pPr>
    </w:p>
    <w:p w:rsidR="00E675F0" w:rsidRDefault="00E675F0" w:rsidP="00E675F0">
      <w:pPr>
        <w:pStyle w:val="BodyText"/>
        <w:spacing w:line="252" w:lineRule="auto"/>
        <w:ind w:left="114" w:right="122" w:firstLine="1"/>
        <w:jc w:val="both"/>
      </w:pPr>
      <w:r>
        <w:rPr>
          <w:b/>
          <w:w w:val="110"/>
          <w:sz w:val="19"/>
        </w:rPr>
        <w:t xml:space="preserve">Associated laboratory findings. </w:t>
      </w:r>
      <w:r>
        <w:rPr>
          <w:w w:val="110"/>
        </w:rPr>
        <w:t>Most laboratories test for benzoylecgonine, a me­ tabolite of cocaine that typically remains in the urine for 1-3 days after a single dose and</w:t>
      </w:r>
      <w:r>
        <w:rPr>
          <w:spacing w:val="-6"/>
          <w:w w:val="110"/>
        </w:rPr>
        <w:t xml:space="preserve"> </w:t>
      </w:r>
      <w:r>
        <w:rPr>
          <w:w w:val="110"/>
        </w:rPr>
        <w:t>may</w:t>
      </w:r>
      <w:r>
        <w:rPr>
          <w:spacing w:val="-2"/>
          <w:w w:val="110"/>
        </w:rPr>
        <w:t xml:space="preserve"> </w:t>
      </w:r>
      <w:r>
        <w:rPr>
          <w:w w:val="110"/>
        </w:rPr>
        <w:t>be</w:t>
      </w:r>
      <w:r>
        <w:rPr>
          <w:spacing w:val="-4"/>
          <w:w w:val="110"/>
        </w:rPr>
        <w:t xml:space="preserve"> </w:t>
      </w:r>
      <w:r>
        <w:rPr>
          <w:w w:val="110"/>
        </w:rPr>
        <w:t>present</w:t>
      </w:r>
      <w:r>
        <w:rPr>
          <w:spacing w:val="-4"/>
          <w:w w:val="110"/>
        </w:rPr>
        <w:t xml:space="preserve"> </w:t>
      </w:r>
      <w:r>
        <w:rPr>
          <w:w w:val="110"/>
        </w:rPr>
        <w:t>for</w:t>
      </w:r>
      <w:r>
        <w:rPr>
          <w:spacing w:val="-5"/>
          <w:w w:val="110"/>
        </w:rPr>
        <w:t xml:space="preserve"> </w:t>
      </w:r>
      <w:r>
        <w:rPr>
          <w:w w:val="110"/>
        </w:rPr>
        <w:t>7-12</w:t>
      </w:r>
      <w:r>
        <w:rPr>
          <w:spacing w:val="-4"/>
          <w:w w:val="110"/>
        </w:rPr>
        <w:t xml:space="preserve"> </w:t>
      </w:r>
      <w:r>
        <w:rPr>
          <w:w w:val="110"/>
        </w:rPr>
        <w:t>days</w:t>
      </w:r>
      <w:r>
        <w:rPr>
          <w:spacing w:val="-6"/>
          <w:w w:val="110"/>
        </w:rPr>
        <w:t xml:space="preserve"> </w:t>
      </w:r>
      <w:r>
        <w:rPr>
          <w:w w:val="110"/>
        </w:rPr>
        <w:t>in</w:t>
      </w:r>
      <w:r>
        <w:rPr>
          <w:spacing w:val="-7"/>
          <w:w w:val="110"/>
        </w:rPr>
        <w:t xml:space="preserve"> </w:t>
      </w:r>
      <w:r>
        <w:rPr>
          <w:w w:val="110"/>
        </w:rPr>
        <w:t>those</w:t>
      </w:r>
      <w:r>
        <w:rPr>
          <w:spacing w:val="-1"/>
          <w:w w:val="110"/>
        </w:rPr>
        <w:t xml:space="preserve"> </w:t>
      </w:r>
      <w:r>
        <w:rPr>
          <w:w w:val="110"/>
        </w:rPr>
        <w:t>using repeated</w:t>
      </w:r>
      <w:r>
        <w:rPr>
          <w:spacing w:val="4"/>
          <w:w w:val="110"/>
        </w:rPr>
        <w:t xml:space="preserve"> </w:t>
      </w:r>
      <w:r>
        <w:rPr>
          <w:w w:val="110"/>
        </w:rPr>
        <w:t>high</w:t>
      </w:r>
      <w:r>
        <w:rPr>
          <w:spacing w:val="-5"/>
          <w:w w:val="110"/>
        </w:rPr>
        <w:t xml:space="preserve"> </w:t>
      </w:r>
      <w:r>
        <w:rPr>
          <w:w w:val="110"/>
        </w:rPr>
        <w:t>doses.</w:t>
      </w:r>
      <w:r>
        <w:rPr>
          <w:spacing w:val="-5"/>
          <w:w w:val="110"/>
        </w:rPr>
        <w:t xml:space="preserve"> </w:t>
      </w:r>
      <w:r>
        <w:rPr>
          <w:w w:val="110"/>
        </w:rPr>
        <w:t>Mildly</w:t>
      </w:r>
      <w:r>
        <w:rPr>
          <w:spacing w:val="-5"/>
          <w:w w:val="110"/>
        </w:rPr>
        <w:t xml:space="preserve"> </w:t>
      </w:r>
      <w:r>
        <w:rPr>
          <w:w w:val="110"/>
        </w:rPr>
        <w:t xml:space="preserve">elevated liver function tests can be seen in individuals who inject cocaine or use alcohol </w:t>
      </w:r>
      <w:r>
        <w:rPr>
          <w:w w:val="105"/>
        </w:rPr>
        <w:t>excessively</w:t>
      </w:r>
      <w:r>
        <w:rPr>
          <w:spacing w:val="-16"/>
          <w:w w:val="105"/>
        </w:rPr>
        <w:t xml:space="preserve"> </w:t>
      </w:r>
      <w:r>
        <w:rPr>
          <w:w w:val="105"/>
        </w:rPr>
        <w:t>in</w:t>
      </w:r>
      <w:r>
        <w:rPr>
          <w:spacing w:val="-23"/>
          <w:w w:val="105"/>
        </w:rPr>
        <w:t xml:space="preserve"> </w:t>
      </w:r>
      <w:r>
        <w:rPr>
          <w:w w:val="105"/>
        </w:rPr>
        <w:t>association</w:t>
      </w:r>
      <w:r>
        <w:rPr>
          <w:spacing w:val="-3"/>
          <w:w w:val="105"/>
        </w:rPr>
        <w:t xml:space="preserve"> </w:t>
      </w:r>
      <w:r>
        <w:rPr>
          <w:w w:val="105"/>
        </w:rPr>
        <w:t>with</w:t>
      </w:r>
      <w:r>
        <w:rPr>
          <w:spacing w:val="-17"/>
          <w:w w:val="105"/>
        </w:rPr>
        <w:t xml:space="preserve"> </w:t>
      </w:r>
      <w:r>
        <w:rPr>
          <w:w w:val="105"/>
        </w:rPr>
        <w:t>cocaine.</w:t>
      </w:r>
      <w:r>
        <w:rPr>
          <w:spacing w:val="-8"/>
          <w:w w:val="105"/>
        </w:rPr>
        <w:t xml:space="preserve"> </w:t>
      </w:r>
      <w:r>
        <w:rPr>
          <w:w w:val="105"/>
        </w:rPr>
        <w:t>Hepatitis,</w:t>
      </w:r>
      <w:r>
        <w:rPr>
          <w:spacing w:val="-19"/>
          <w:w w:val="105"/>
        </w:rPr>
        <w:t xml:space="preserve"> </w:t>
      </w:r>
      <w:r>
        <w:rPr>
          <w:w w:val="105"/>
        </w:rPr>
        <w:t>sexually</w:t>
      </w:r>
      <w:r>
        <w:rPr>
          <w:spacing w:val="-9"/>
          <w:w w:val="105"/>
        </w:rPr>
        <w:t xml:space="preserve"> </w:t>
      </w:r>
      <w:r>
        <w:rPr>
          <w:w w:val="105"/>
        </w:rPr>
        <w:t>transmitted</w:t>
      </w:r>
      <w:r>
        <w:rPr>
          <w:spacing w:val="-10"/>
          <w:w w:val="105"/>
        </w:rPr>
        <w:t xml:space="preserve"> </w:t>
      </w:r>
      <w:r>
        <w:rPr>
          <w:w w:val="105"/>
        </w:rPr>
        <w:t>diseases</w:t>
      </w:r>
      <w:r>
        <w:rPr>
          <w:spacing w:val="-18"/>
          <w:w w:val="105"/>
        </w:rPr>
        <w:t xml:space="preserve"> </w:t>
      </w:r>
      <w:r>
        <w:rPr>
          <w:w w:val="105"/>
        </w:rPr>
        <w:t xml:space="preserve">including </w:t>
      </w:r>
      <w:r>
        <w:rPr>
          <w:w w:val="110"/>
        </w:rPr>
        <w:t>HIV, and tuberculosis may be associated with cocaine use. Pneumonitis or pneumo­ thorax</w:t>
      </w:r>
      <w:r>
        <w:rPr>
          <w:spacing w:val="-28"/>
          <w:w w:val="110"/>
        </w:rPr>
        <w:t xml:space="preserve"> </w:t>
      </w:r>
      <w:r>
        <w:rPr>
          <w:w w:val="110"/>
        </w:rPr>
        <w:t>are</w:t>
      </w:r>
      <w:r>
        <w:rPr>
          <w:spacing w:val="-28"/>
          <w:w w:val="110"/>
        </w:rPr>
        <w:t xml:space="preserve"> </w:t>
      </w:r>
      <w:r>
        <w:rPr>
          <w:w w:val="110"/>
        </w:rPr>
        <w:t>occasionally</w:t>
      </w:r>
      <w:r>
        <w:rPr>
          <w:spacing w:val="-25"/>
          <w:w w:val="110"/>
        </w:rPr>
        <w:t xml:space="preserve"> </w:t>
      </w:r>
      <w:r>
        <w:rPr>
          <w:w w:val="110"/>
        </w:rPr>
        <w:t>observed</w:t>
      </w:r>
      <w:r>
        <w:rPr>
          <w:spacing w:val="-20"/>
          <w:w w:val="110"/>
        </w:rPr>
        <w:t xml:space="preserve"> </w:t>
      </w:r>
      <w:r>
        <w:rPr>
          <w:w w:val="110"/>
        </w:rPr>
        <w:t>on</w:t>
      </w:r>
      <w:r>
        <w:rPr>
          <w:spacing w:val="-25"/>
          <w:w w:val="110"/>
        </w:rPr>
        <w:t xml:space="preserve"> </w:t>
      </w:r>
      <w:r>
        <w:rPr>
          <w:w w:val="110"/>
        </w:rPr>
        <w:t>chest</w:t>
      </w:r>
      <w:r>
        <w:rPr>
          <w:spacing w:val="-27"/>
          <w:w w:val="110"/>
        </w:rPr>
        <w:t xml:space="preserve"> </w:t>
      </w:r>
      <w:r>
        <w:rPr>
          <w:w w:val="110"/>
        </w:rPr>
        <w:t>X</w:t>
      </w:r>
      <w:r>
        <w:rPr>
          <w:spacing w:val="-29"/>
          <w:w w:val="110"/>
        </w:rPr>
        <w:t xml:space="preserve"> </w:t>
      </w:r>
      <w:r>
        <w:rPr>
          <w:w w:val="110"/>
        </w:rPr>
        <w:t>ray.</w:t>
      </w:r>
      <w:r>
        <w:rPr>
          <w:spacing w:val="-27"/>
          <w:w w:val="110"/>
        </w:rPr>
        <w:t xml:space="preserve"> </w:t>
      </w:r>
      <w:r>
        <w:rPr>
          <w:w w:val="110"/>
        </w:rPr>
        <w:t>Discontinuation</w:t>
      </w:r>
      <w:r>
        <w:rPr>
          <w:spacing w:val="-25"/>
          <w:w w:val="110"/>
        </w:rPr>
        <w:t xml:space="preserve"> </w:t>
      </w:r>
      <w:r>
        <w:rPr>
          <w:w w:val="110"/>
        </w:rPr>
        <w:t>of</w:t>
      </w:r>
      <w:r>
        <w:rPr>
          <w:spacing w:val="-27"/>
          <w:w w:val="110"/>
        </w:rPr>
        <w:t xml:space="preserve"> </w:t>
      </w:r>
      <w:r>
        <w:rPr>
          <w:w w:val="110"/>
        </w:rPr>
        <w:t>chronic</w:t>
      </w:r>
      <w:r>
        <w:rPr>
          <w:spacing w:val="-27"/>
          <w:w w:val="110"/>
        </w:rPr>
        <w:t xml:space="preserve"> </w:t>
      </w:r>
      <w:r>
        <w:rPr>
          <w:w w:val="110"/>
        </w:rPr>
        <w:t>cocaine</w:t>
      </w:r>
      <w:r>
        <w:rPr>
          <w:spacing w:val="-21"/>
          <w:w w:val="110"/>
        </w:rPr>
        <w:t xml:space="preserve"> </w:t>
      </w:r>
      <w:r>
        <w:rPr>
          <w:w w:val="110"/>
        </w:rPr>
        <w:t>use is</w:t>
      </w:r>
      <w:r>
        <w:rPr>
          <w:spacing w:val="-25"/>
          <w:w w:val="110"/>
        </w:rPr>
        <w:t xml:space="preserve"> </w:t>
      </w:r>
      <w:r>
        <w:rPr>
          <w:w w:val="110"/>
        </w:rPr>
        <w:t>often</w:t>
      </w:r>
      <w:r>
        <w:rPr>
          <w:spacing w:val="-19"/>
          <w:w w:val="110"/>
        </w:rPr>
        <w:t xml:space="preserve"> </w:t>
      </w:r>
      <w:r>
        <w:rPr>
          <w:w w:val="110"/>
        </w:rPr>
        <w:t>associated</w:t>
      </w:r>
      <w:r>
        <w:rPr>
          <w:spacing w:val="-16"/>
          <w:w w:val="110"/>
        </w:rPr>
        <w:t xml:space="preserve"> </w:t>
      </w:r>
      <w:r>
        <w:rPr>
          <w:w w:val="110"/>
        </w:rPr>
        <w:t>with</w:t>
      </w:r>
      <w:r>
        <w:rPr>
          <w:spacing w:val="-17"/>
          <w:w w:val="110"/>
        </w:rPr>
        <w:t xml:space="preserve"> </w:t>
      </w:r>
      <w:r>
        <w:rPr>
          <w:w w:val="110"/>
        </w:rPr>
        <w:t>EEG</w:t>
      </w:r>
      <w:r>
        <w:rPr>
          <w:spacing w:val="-16"/>
          <w:w w:val="110"/>
        </w:rPr>
        <w:t xml:space="preserve"> </w:t>
      </w:r>
      <w:r>
        <w:rPr>
          <w:w w:val="110"/>
        </w:rPr>
        <w:t>changes,</w:t>
      </w:r>
      <w:r>
        <w:rPr>
          <w:spacing w:val="-16"/>
          <w:w w:val="110"/>
        </w:rPr>
        <w:t xml:space="preserve"> </w:t>
      </w:r>
      <w:r>
        <w:rPr>
          <w:w w:val="110"/>
        </w:rPr>
        <w:t>alterations</w:t>
      </w:r>
      <w:r>
        <w:rPr>
          <w:spacing w:val="-20"/>
          <w:w w:val="110"/>
        </w:rPr>
        <w:t xml:space="preserve"> </w:t>
      </w:r>
      <w:r>
        <w:rPr>
          <w:w w:val="110"/>
        </w:rPr>
        <w:t>in</w:t>
      </w:r>
      <w:r>
        <w:rPr>
          <w:spacing w:val="-23"/>
          <w:w w:val="110"/>
        </w:rPr>
        <w:t xml:space="preserve"> </w:t>
      </w:r>
      <w:r>
        <w:rPr>
          <w:w w:val="110"/>
        </w:rPr>
        <w:t>secretion</w:t>
      </w:r>
      <w:r>
        <w:rPr>
          <w:spacing w:val="-10"/>
          <w:w w:val="110"/>
        </w:rPr>
        <w:t xml:space="preserve"> </w:t>
      </w:r>
      <w:r>
        <w:rPr>
          <w:w w:val="110"/>
        </w:rPr>
        <w:t>patterns</w:t>
      </w:r>
      <w:r>
        <w:rPr>
          <w:spacing w:val="-19"/>
          <w:w w:val="110"/>
        </w:rPr>
        <w:t xml:space="preserve"> </w:t>
      </w:r>
      <w:r>
        <w:rPr>
          <w:w w:val="110"/>
        </w:rPr>
        <w:t>of</w:t>
      </w:r>
      <w:r>
        <w:rPr>
          <w:spacing w:val="-15"/>
          <w:w w:val="110"/>
        </w:rPr>
        <w:t xml:space="preserve"> </w:t>
      </w:r>
      <w:r>
        <w:rPr>
          <w:w w:val="110"/>
        </w:rPr>
        <w:t>prolactin,</w:t>
      </w:r>
      <w:r>
        <w:rPr>
          <w:spacing w:val="-16"/>
          <w:w w:val="110"/>
        </w:rPr>
        <w:t xml:space="preserve"> </w:t>
      </w:r>
      <w:r>
        <w:rPr>
          <w:w w:val="110"/>
        </w:rPr>
        <w:t>and down-regulation of dopamine</w:t>
      </w:r>
      <w:r>
        <w:rPr>
          <w:spacing w:val="24"/>
          <w:w w:val="110"/>
        </w:rPr>
        <w:t xml:space="preserve"> </w:t>
      </w:r>
      <w:r>
        <w:rPr>
          <w:w w:val="110"/>
        </w:rPr>
        <w:t>receptors.</w:t>
      </w:r>
    </w:p>
    <w:p w:rsidR="00E675F0" w:rsidRDefault="00E675F0" w:rsidP="00E675F0">
      <w:pPr>
        <w:pStyle w:val="BodyText"/>
        <w:spacing w:before="3"/>
        <w:rPr>
          <w:sz w:val="21"/>
        </w:rPr>
      </w:pPr>
    </w:p>
    <w:p w:rsidR="00E675F0" w:rsidRDefault="00E675F0" w:rsidP="00E675F0">
      <w:pPr>
        <w:pStyle w:val="BodyText"/>
        <w:spacing w:line="254" w:lineRule="auto"/>
        <w:ind w:left="115" w:right="115" w:hanging="1"/>
        <w:jc w:val="both"/>
      </w:pPr>
      <w:r>
        <w:rPr>
          <w:b/>
          <w:w w:val="110"/>
          <w:sz w:val="19"/>
        </w:rPr>
        <w:t>Associated  physical  examination  findings  and general  medical conditions.</w:t>
      </w:r>
      <w:r>
        <w:rPr>
          <w:b/>
          <w:spacing w:val="52"/>
          <w:w w:val="110"/>
          <w:sz w:val="19"/>
        </w:rPr>
        <w:t xml:space="preserve"> </w:t>
      </w:r>
      <w:r>
        <w:rPr>
          <w:w w:val="110"/>
          <w:sz w:val="17"/>
        </w:rPr>
        <w:t xml:space="preserve">A </w:t>
      </w:r>
      <w:r>
        <w:rPr>
          <w:w w:val="110"/>
        </w:rPr>
        <w:t>wide range of general medical conditions may occur that are specific to the route of administration</w:t>
      </w:r>
      <w:r>
        <w:rPr>
          <w:spacing w:val="-31"/>
          <w:w w:val="110"/>
        </w:rPr>
        <w:t xml:space="preserve"> </w:t>
      </w:r>
      <w:r>
        <w:rPr>
          <w:w w:val="110"/>
        </w:rPr>
        <w:t>of</w:t>
      </w:r>
      <w:r>
        <w:rPr>
          <w:spacing w:val="-23"/>
          <w:w w:val="110"/>
        </w:rPr>
        <w:t xml:space="preserve"> </w:t>
      </w:r>
      <w:r>
        <w:rPr>
          <w:w w:val="110"/>
        </w:rPr>
        <w:t>cocaine.</w:t>
      </w:r>
      <w:r>
        <w:rPr>
          <w:spacing w:val="-21"/>
          <w:w w:val="110"/>
        </w:rPr>
        <w:t xml:space="preserve"> </w:t>
      </w:r>
      <w:r>
        <w:rPr>
          <w:w w:val="110"/>
        </w:rPr>
        <w:t>Persons</w:t>
      </w:r>
      <w:r>
        <w:rPr>
          <w:spacing w:val="-26"/>
          <w:w w:val="110"/>
        </w:rPr>
        <w:t xml:space="preserve"> </w:t>
      </w:r>
      <w:r>
        <w:rPr>
          <w:w w:val="110"/>
        </w:rPr>
        <w:t>who</w:t>
      </w:r>
      <w:r>
        <w:rPr>
          <w:spacing w:val="-17"/>
          <w:w w:val="110"/>
        </w:rPr>
        <w:t xml:space="preserve"> </w:t>
      </w:r>
      <w:r>
        <w:rPr>
          <w:w w:val="110"/>
        </w:rPr>
        <w:t>use</w:t>
      </w:r>
      <w:r>
        <w:rPr>
          <w:spacing w:val="-31"/>
          <w:w w:val="110"/>
        </w:rPr>
        <w:t xml:space="preserve"> </w:t>
      </w:r>
      <w:r>
        <w:rPr>
          <w:w w:val="110"/>
        </w:rPr>
        <w:t>cocaine</w:t>
      </w:r>
      <w:r>
        <w:rPr>
          <w:spacing w:val="-25"/>
          <w:w w:val="110"/>
        </w:rPr>
        <w:t xml:space="preserve"> </w:t>
      </w:r>
      <w:r>
        <w:rPr>
          <w:w w:val="110"/>
        </w:rPr>
        <w:t>intranasally</w:t>
      </w:r>
      <w:r>
        <w:rPr>
          <w:spacing w:val="-25"/>
          <w:w w:val="110"/>
        </w:rPr>
        <w:t xml:space="preserve"> </w:t>
      </w:r>
      <w:r>
        <w:rPr>
          <w:w w:val="110"/>
        </w:rPr>
        <w:t>("snort")</w:t>
      </w:r>
      <w:r>
        <w:rPr>
          <w:spacing w:val="-22"/>
          <w:w w:val="110"/>
        </w:rPr>
        <w:t xml:space="preserve"> </w:t>
      </w:r>
      <w:r>
        <w:rPr>
          <w:w w:val="110"/>
        </w:rPr>
        <w:t>often</w:t>
      </w:r>
      <w:r>
        <w:rPr>
          <w:spacing w:val="-28"/>
          <w:w w:val="110"/>
        </w:rPr>
        <w:t xml:space="preserve"> </w:t>
      </w:r>
      <w:r>
        <w:rPr>
          <w:w w:val="110"/>
        </w:rPr>
        <w:t>develop sinusitis, irritation and bleeding of the nasal mucosa, and a perforated nasal septum. Those</w:t>
      </w:r>
      <w:r>
        <w:rPr>
          <w:spacing w:val="-28"/>
          <w:w w:val="110"/>
        </w:rPr>
        <w:t xml:space="preserve"> </w:t>
      </w:r>
      <w:r>
        <w:rPr>
          <w:w w:val="110"/>
        </w:rPr>
        <w:t>who</w:t>
      </w:r>
      <w:r>
        <w:rPr>
          <w:spacing w:val="-22"/>
          <w:w w:val="110"/>
        </w:rPr>
        <w:t xml:space="preserve"> </w:t>
      </w:r>
      <w:r>
        <w:rPr>
          <w:w w:val="110"/>
        </w:rPr>
        <w:t>smoke</w:t>
      </w:r>
      <w:r>
        <w:rPr>
          <w:spacing w:val="-28"/>
          <w:w w:val="110"/>
        </w:rPr>
        <w:t xml:space="preserve"> </w:t>
      </w:r>
      <w:r>
        <w:rPr>
          <w:w w:val="110"/>
        </w:rPr>
        <w:t>cocaine</w:t>
      </w:r>
      <w:r>
        <w:rPr>
          <w:spacing w:val="-25"/>
          <w:w w:val="110"/>
        </w:rPr>
        <w:t xml:space="preserve"> </w:t>
      </w:r>
      <w:r>
        <w:rPr>
          <w:w w:val="110"/>
        </w:rPr>
        <w:t>are</w:t>
      </w:r>
      <w:r>
        <w:rPr>
          <w:spacing w:val="-28"/>
          <w:w w:val="110"/>
        </w:rPr>
        <w:t xml:space="preserve"> </w:t>
      </w:r>
      <w:r>
        <w:rPr>
          <w:w w:val="110"/>
        </w:rPr>
        <w:t>at</w:t>
      </w:r>
      <w:r>
        <w:rPr>
          <w:spacing w:val="-28"/>
          <w:w w:val="110"/>
        </w:rPr>
        <w:t xml:space="preserve"> </w:t>
      </w:r>
      <w:r>
        <w:rPr>
          <w:w w:val="110"/>
        </w:rPr>
        <w:t>increased</w:t>
      </w:r>
      <w:r>
        <w:rPr>
          <w:spacing w:val="-19"/>
          <w:w w:val="110"/>
        </w:rPr>
        <w:t xml:space="preserve"> </w:t>
      </w:r>
      <w:r>
        <w:rPr>
          <w:w w:val="110"/>
        </w:rPr>
        <w:t>risk</w:t>
      </w:r>
      <w:r>
        <w:rPr>
          <w:spacing w:val="-25"/>
          <w:w w:val="110"/>
        </w:rPr>
        <w:t xml:space="preserve"> </w:t>
      </w:r>
      <w:r>
        <w:rPr>
          <w:w w:val="110"/>
        </w:rPr>
        <w:t>for</w:t>
      </w:r>
      <w:r>
        <w:rPr>
          <w:spacing w:val="-27"/>
          <w:w w:val="110"/>
        </w:rPr>
        <w:t xml:space="preserve"> </w:t>
      </w:r>
      <w:r>
        <w:rPr>
          <w:w w:val="110"/>
        </w:rPr>
        <w:t>respiratory</w:t>
      </w:r>
      <w:r>
        <w:rPr>
          <w:spacing w:val="-21"/>
          <w:w w:val="110"/>
        </w:rPr>
        <w:t xml:space="preserve"> </w:t>
      </w:r>
      <w:r>
        <w:rPr>
          <w:w w:val="110"/>
        </w:rPr>
        <w:t>problems</w:t>
      </w:r>
      <w:r>
        <w:rPr>
          <w:spacing w:val="-30"/>
          <w:w w:val="110"/>
        </w:rPr>
        <w:t xml:space="preserve"> </w:t>
      </w:r>
      <w:r>
        <w:rPr>
          <w:w w:val="110"/>
        </w:rPr>
        <w:t>(e.g.,</w:t>
      </w:r>
      <w:r>
        <w:rPr>
          <w:spacing w:val="-26"/>
          <w:w w:val="110"/>
        </w:rPr>
        <w:t xml:space="preserve"> </w:t>
      </w:r>
      <w:r>
        <w:rPr>
          <w:w w:val="110"/>
        </w:rPr>
        <w:t>coughing, bronchitis,</w:t>
      </w:r>
      <w:r>
        <w:rPr>
          <w:spacing w:val="-8"/>
          <w:w w:val="110"/>
        </w:rPr>
        <w:t xml:space="preserve"> </w:t>
      </w:r>
      <w:r>
        <w:rPr>
          <w:w w:val="110"/>
        </w:rPr>
        <w:t>and</w:t>
      </w:r>
      <w:r>
        <w:rPr>
          <w:spacing w:val="-11"/>
          <w:w w:val="110"/>
        </w:rPr>
        <w:t xml:space="preserve"> </w:t>
      </w:r>
      <w:r>
        <w:rPr>
          <w:w w:val="110"/>
        </w:rPr>
        <w:t>pneumonitis</w:t>
      </w:r>
      <w:r>
        <w:rPr>
          <w:spacing w:val="-8"/>
          <w:w w:val="110"/>
        </w:rPr>
        <w:t xml:space="preserve"> </w:t>
      </w:r>
      <w:r>
        <w:rPr>
          <w:w w:val="110"/>
        </w:rPr>
        <w:t>due</w:t>
      </w:r>
      <w:r>
        <w:rPr>
          <w:spacing w:val="-6"/>
          <w:w w:val="110"/>
        </w:rPr>
        <w:t xml:space="preserve"> </w:t>
      </w:r>
      <w:r>
        <w:rPr>
          <w:w w:val="110"/>
        </w:rPr>
        <w:t>to</w:t>
      </w:r>
      <w:r>
        <w:rPr>
          <w:spacing w:val="-15"/>
          <w:w w:val="110"/>
        </w:rPr>
        <w:t xml:space="preserve"> </w:t>
      </w:r>
      <w:r>
        <w:rPr>
          <w:w w:val="110"/>
        </w:rPr>
        <w:t>irritation</w:t>
      </w:r>
      <w:r>
        <w:rPr>
          <w:spacing w:val="-9"/>
          <w:w w:val="110"/>
        </w:rPr>
        <w:t xml:space="preserve"> </w:t>
      </w:r>
      <w:r>
        <w:rPr>
          <w:w w:val="110"/>
        </w:rPr>
        <w:t>and</w:t>
      </w:r>
      <w:r>
        <w:rPr>
          <w:spacing w:val="-14"/>
          <w:w w:val="110"/>
        </w:rPr>
        <w:t xml:space="preserve"> </w:t>
      </w:r>
      <w:r>
        <w:rPr>
          <w:w w:val="110"/>
        </w:rPr>
        <w:t>inflammation</w:t>
      </w:r>
      <w:r>
        <w:rPr>
          <w:spacing w:val="-6"/>
          <w:w w:val="110"/>
        </w:rPr>
        <w:t xml:space="preserve"> </w:t>
      </w:r>
      <w:r>
        <w:rPr>
          <w:w w:val="110"/>
        </w:rPr>
        <w:t>of</w:t>
      </w:r>
      <w:r>
        <w:rPr>
          <w:spacing w:val="-11"/>
          <w:w w:val="110"/>
        </w:rPr>
        <w:t xml:space="preserve"> </w:t>
      </w:r>
      <w:r>
        <w:rPr>
          <w:w w:val="110"/>
        </w:rPr>
        <w:t>the</w:t>
      </w:r>
      <w:r>
        <w:rPr>
          <w:spacing w:val="-14"/>
          <w:w w:val="110"/>
        </w:rPr>
        <w:t xml:space="preserve"> </w:t>
      </w:r>
      <w:r>
        <w:rPr>
          <w:w w:val="110"/>
        </w:rPr>
        <w:t>tissues</w:t>
      </w:r>
      <w:r>
        <w:rPr>
          <w:spacing w:val="-12"/>
          <w:w w:val="110"/>
        </w:rPr>
        <w:t xml:space="preserve"> </w:t>
      </w:r>
      <w:r>
        <w:rPr>
          <w:w w:val="110"/>
        </w:rPr>
        <w:t>lining</w:t>
      </w:r>
      <w:r>
        <w:rPr>
          <w:spacing w:val="-15"/>
          <w:w w:val="110"/>
        </w:rPr>
        <w:t xml:space="preserve"> </w:t>
      </w:r>
      <w:r>
        <w:rPr>
          <w:w w:val="110"/>
        </w:rPr>
        <w:t>the respiratory</w:t>
      </w:r>
      <w:r>
        <w:rPr>
          <w:spacing w:val="-6"/>
          <w:w w:val="110"/>
        </w:rPr>
        <w:t xml:space="preserve"> </w:t>
      </w:r>
      <w:r>
        <w:rPr>
          <w:w w:val="110"/>
        </w:rPr>
        <w:t>tract).</w:t>
      </w:r>
      <w:r>
        <w:rPr>
          <w:spacing w:val="-7"/>
          <w:w w:val="110"/>
        </w:rPr>
        <w:t xml:space="preserve"> </w:t>
      </w:r>
      <w:r>
        <w:rPr>
          <w:w w:val="110"/>
        </w:rPr>
        <w:t>Persons</w:t>
      </w:r>
      <w:r>
        <w:rPr>
          <w:spacing w:val="-4"/>
          <w:w w:val="110"/>
        </w:rPr>
        <w:t xml:space="preserve"> </w:t>
      </w:r>
      <w:r>
        <w:rPr>
          <w:w w:val="110"/>
        </w:rPr>
        <w:t>who</w:t>
      </w:r>
      <w:r>
        <w:rPr>
          <w:spacing w:val="-12"/>
          <w:w w:val="110"/>
        </w:rPr>
        <w:t xml:space="preserve"> </w:t>
      </w:r>
      <w:r>
        <w:rPr>
          <w:w w:val="110"/>
        </w:rPr>
        <w:t>inject</w:t>
      </w:r>
      <w:r>
        <w:rPr>
          <w:spacing w:val="-8"/>
          <w:w w:val="110"/>
        </w:rPr>
        <w:t xml:space="preserve"> </w:t>
      </w:r>
      <w:r>
        <w:rPr>
          <w:w w:val="110"/>
        </w:rPr>
        <w:t>cocaine</w:t>
      </w:r>
      <w:r>
        <w:rPr>
          <w:spacing w:val="-8"/>
          <w:w w:val="110"/>
        </w:rPr>
        <w:t xml:space="preserve"> </w:t>
      </w:r>
      <w:r>
        <w:rPr>
          <w:w w:val="110"/>
        </w:rPr>
        <w:t>have</w:t>
      </w:r>
      <w:r>
        <w:rPr>
          <w:spacing w:val="-5"/>
          <w:w w:val="110"/>
        </w:rPr>
        <w:t xml:space="preserve"> </w:t>
      </w:r>
      <w:r>
        <w:rPr>
          <w:w w:val="110"/>
        </w:rPr>
        <w:t>puncture</w:t>
      </w:r>
      <w:r>
        <w:rPr>
          <w:spacing w:val="-4"/>
          <w:w w:val="110"/>
        </w:rPr>
        <w:t xml:space="preserve"> </w:t>
      </w:r>
      <w:r>
        <w:rPr>
          <w:w w:val="110"/>
        </w:rPr>
        <w:t>marks</w:t>
      </w:r>
      <w:r>
        <w:rPr>
          <w:spacing w:val="-12"/>
          <w:w w:val="110"/>
        </w:rPr>
        <w:t xml:space="preserve"> </w:t>
      </w:r>
      <w:r>
        <w:rPr>
          <w:w w:val="110"/>
        </w:rPr>
        <w:t>and</w:t>
      </w:r>
      <w:r>
        <w:rPr>
          <w:spacing w:val="-12"/>
          <w:w w:val="110"/>
        </w:rPr>
        <w:t xml:space="preserve"> </w:t>
      </w:r>
      <w:r>
        <w:rPr>
          <w:w w:val="110"/>
        </w:rPr>
        <w:t>"tracks,"</w:t>
      </w:r>
      <w:r>
        <w:rPr>
          <w:spacing w:val="-6"/>
          <w:w w:val="110"/>
        </w:rPr>
        <w:t xml:space="preserve"> </w:t>
      </w:r>
      <w:r>
        <w:rPr>
          <w:w w:val="110"/>
        </w:rPr>
        <w:t>most commonly</w:t>
      </w:r>
      <w:r>
        <w:rPr>
          <w:spacing w:val="-13"/>
          <w:w w:val="110"/>
        </w:rPr>
        <w:t xml:space="preserve"> </w:t>
      </w:r>
      <w:r>
        <w:rPr>
          <w:w w:val="110"/>
        </w:rPr>
        <w:t>on</w:t>
      </w:r>
      <w:r>
        <w:rPr>
          <w:spacing w:val="-3"/>
          <w:w w:val="110"/>
        </w:rPr>
        <w:t xml:space="preserve"> </w:t>
      </w:r>
      <w:r>
        <w:rPr>
          <w:w w:val="110"/>
        </w:rPr>
        <w:t>their</w:t>
      </w:r>
      <w:r>
        <w:rPr>
          <w:spacing w:val="-15"/>
          <w:w w:val="110"/>
        </w:rPr>
        <w:t xml:space="preserve"> </w:t>
      </w:r>
      <w:r>
        <w:rPr>
          <w:w w:val="110"/>
        </w:rPr>
        <w:t>forearms,</w:t>
      </w:r>
      <w:r>
        <w:rPr>
          <w:spacing w:val="-7"/>
          <w:w w:val="110"/>
        </w:rPr>
        <w:t xml:space="preserve"> </w:t>
      </w:r>
      <w:r>
        <w:rPr>
          <w:w w:val="110"/>
        </w:rPr>
        <w:t>as</w:t>
      </w:r>
      <w:r>
        <w:rPr>
          <w:spacing w:val="-22"/>
          <w:w w:val="110"/>
        </w:rPr>
        <w:t xml:space="preserve"> </w:t>
      </w:r>
      <w:r>
        <w:rPr>
          <w:w w:val="110"/>
        </w:rPr>
        <w:t>seen</w:t>
      </w:r>
      <w:r>
        <w:rPr>
          <w:spacing w:val="-15"/>
          <w:w w:val="110"/>
        </w:rPr>
        <w:t xml:space="preserve"> </w:t>
      </w:r>
      <w:r>
        <w:rPr>
          <w:w w:val="110"/>
        </w:rPr>
        <w:t>in</w:t>
      </w:r>
      <w:r>
        <w:rPr>
          <w:spacing w:val="-13"/>
          <w:w w:val="110"/>
        </w:rPr>
        <w:t xml:space="preserve"> </w:t>
      </w:r>
      <w:r>
        <w:rPr>
          <w:w w:val="110"/>
        </w:rPr>
        <w:t>those</w:t>
      </w:r>
      <w:r>
        <w:rPr>
          <w:spacing w:val="-13"/>
          <w:w w:val="110"/>
        </w:rPr>
        <w:t xml:space="preserve"> </w:t>
      </w:r>
      <w:r>
        <w:rPr>
          <w:w w:val="110"/>
        </w:rPr>
        <w:t>with</w:t>
      </w:r>
      <w:r>
        <w:rPr>
          <w:spacing w:val="-16"/>
          <w:w w:val="110"/>
        </w:rPr>
        <w:t xml:space="preserve"> </w:t>
      </w:r>
      <w:r>
        <w:rPr>
          <w:w w:val="110"/>
        </w:rPr>
        <w:t>Opioid</w:t>
      </w:r>
      <w:r>
        <w:rPr>
          <w:spacing w:val="-6"/>
          <w:w w:val="110"/>
        </w:rPr>
        <w:t xml:space="preserve"> </w:t>
      </w:r>
      <w:r>
        <w:rPr>
          <w:w w:val="110"/>
        </w:rPr>
        <w:t>Dependence.</w:t>
      </w:r>
      <w:r>
        <w:rPr>
          <w:spacing w:val="-10"/>
          <w:w w:val="110"/>
        </w:rPr>
        <w:t xml:space="preserve"> </w:t>
      </w:r>
      <w:r>
        <w:rPr>
          <w:w w:val="110"/>
        </w:rPr>
        <w:t>HIV</w:t>
      </w:r>
      <w:r>
        <w:rPr>
          <w:spacing w:val="-18"/>
          <w:w w:val="110"/>
        </w:rPr>
        <w:t xml:space="preserve"> </w:t>
      </w:r>
      <w:r>
        <w:rPr>
          <w:w w:val="110"/>
        </w:rPr>
        <w:t>infection is</w:t>
      </w:r>
      <w:r>
        <w:rPr>
          <w:spacing w:val="-19"/>
          <w:w w:val="110"/>
        </w:rPr>
        <w:t xml:space="preserve"> </w:t>
      </w:r>
      <w:r>
        <w:rPr>
          <w:w w:val="110"/>
        </w:rPr>
        <w:t>associated</w:t>
      </w:r>
      <w:r>
        <w:rPr>
          <w:spacing w:val="-2"/>
          <w:w w:val="110"/>
        </w:rPr>
        <w:t xml:space="preserve"> </w:t>
      </w:r>
      <w:r>
        <w:rPr>
          <w:w w:val="110"/>
        </w:rPr>
        <w:t>with</w:t>
      </w:r>
      <w:r>
        <w:rPr>
          <w:spacing w:val="-12"/>
          <w:w w:val="110"/>
        </w:rPr>
        <w:t xml:space="preserve"> </w:t>
      </w:r>
      <w:r>
        <w:rPr>
          <w:w w:val="110"/>
        </w:rPr>
        <w:t>Cocaine</w:t>
      </w:r>
      <w:r>
        <w:rPr>
          <w:spacing w:val="-8"/>
          <w:w w:val="110"/>
        </w:rPr>
        <w:t xml:space="preserve"> </w:t>
      </w:r>
      <w:r>
        <w:rPr>
          <w:w w:val="110"/>
        </w:rPr>
        <w:t>Dependence</w:t>
      </w:r>
      <w:r>
        <w:rPr>
          <w:spacing w:val="-7"/>
          <w:w w:val="110"/>
        </w:rPr>
        <w:t xml:space="preserve"> </w:t>
      </w:r>
      <w:r>
        <w:rPr>
          <w:w w:val="110"/>
        </w:rPr>
        <w:t>due</w:t>
      </w:r>
      <w:r>
        <w:rPr>
          <w:spacing w:val="-4"/>
          <w:w w:val="110"/>
        </w:rPr>
        <w:t xml:space="preserve"> </w:t>
      </w:r>
      <w:r>
        <w:rPr>
          <w:w w:val="110"/>
        </w:rPr>
        <w:t>to</w:t>
      </w:r>
      <w:r>
        <w:rPr>
          <w:spacing w:val="-15"/>
          <w:w w:val="110"/>
        </w:rPr>
        <w:t xml:space="preserve"> </w:t>
      </w:r>
      <w:r>
        <w:rPr>
          <w:w w:val="110"/>
        </w:rPr>
        <w:t>the</w:t>
      </w:r>
      <w:r>
        <w:rPr>
          <w:spacing w:val="-14"/>
          <w:w w:val="110"/>
        </w:rPr>
        <w:t xml:space="preserve"> </w:t>
      </w:r>
      <w:r>
        <w:rPr>
          <w:w w:val="110"/>
        </w:rPr>
        <w:t>frequent</w:t>
      </w:r>
      <w:r>
        <w:rPr>
          <w:spacing w:val="-8"/>
          <w:w w:val="110"/>
        </w:rPr>
        <w:t xml:space="preserve"> </w:t>
      </w:r>
      <w:r>
        <w:rPr>
          <w:w w:val="110"/>
        </w:rPr>
        <w:t>intravenous</w:t>
      </w:r>
      <w:r>
        <w:rPr>
          <w:spacing w:val="-3"/>
          <w:w w:val="110"/>
        </w:rPr>
        <w:t xml:space="preserve"> </w:t>
      </w:r>
      <w:r>
        <w:rPr>
          <w:w w:val="110"/>
        </w:rPr>
        <w:t>injections</w:t>
      </w:r>
      <w:r>
        <w:rPr>
          <w:spacing w:val="-14"/>
          <w:w w:val="110"/>
        </w:rPr>
        <w:t xml:space="preserve"> </w:t>
      </w:r>
      <w:r>
        <w:rPr>
          <w:w w:val="110"/>
        </w:rPr>
        <w:t>and the increase in promiscuous sexual behavior. Other sexually transmitted diseases, hepatitis,</w:t>
      </w:r>
      <w:r>
        <w:rPr>
          <w:spacing w:val="-21"/>
          <w:w w:val="110"/>
        </w:rPr>
        <w:t xml:space="preserve"> </w:t>
      </w:r>
      <w:r>
        <w:rPr>
          <w:w w:val="110"/>
        </w:rPr>
        <w:t>and</w:t>
      </w:r>
      <w:r>
        <w:rPr>
          <w:spacing w:val="-23"/>
          <w:w w:val="110"/>
        </w:rPr>
        <w:t xml:space="preserve"> </w:t>
      </w:r>
      <w:r>
        <w:rPr>
          <w:w w:val="110"/>
        </w:rPr>
        <w:t>tuberculosis</w:t>
      </w:r>
      <w:r>
        <w:rPr>
          <w:spacing w:val="-18"/>
          <w:w w:val="110"/>
        </w:rPr>
        <w:t xml:space="preserve"> </w:t>
      </w:r>
      <w:r>
        <w:rPr>
          <w:w w:val="110"/>
        </w:rPr>
        <w:t>and</w:t>
      </w:r>
      <w:r>
        <w:rPr>
          <w:spacing w:val="-24"/>
          <w:w w:val="110"/>
        </w:rPr>
        <w:t xml:space="preserve"> </w:t>
      </w:r>
      <w:r>
        <w:rPr>
          <w:w w:val="110"/>
        </w:rPr>
        <w:t>other</w:t>
      </w:r>
      <w:r>
        <w:rPr>
          <w:spacing w:val="-25"/>
          <w:w w:val="110"/>
        </w:rPr>
        <w:t xml:space="preserve"> </w:t>
      </w:r>
      <w:r>
        <w:rPr>
          <w:w w:val="110"/>
        </w:rPr>
        <w:t>lung</w:t>
      </w:r>
      <w:r>
        <w:rPr>
          <w:spacing w:val="-25"/>
          <w:w w:val="110"/>
        </w:rPr>
        <w:t xml:space="preserve"> </w:t>
      </w:r>
      <w:r>
        <w:rPr>
          <w:w w:val="110"/>
        </w:rPr>
        <w:t>infections</w:t>
      </w:r>
      <w:r>
        <w:rPr>
          <w:spacing w:val="-21"/>
          <w:w w:val="110"/>
        </w:rPr>
        <w:t xml:space="preserve"> </w:t>
      </w:r>
      <w:r>
        <w:rPr>
          <w:w w:val="110"/>
        </w:rPr>
        <w:t>are</w:t>
      </w:r>
      <w:r>
        <w:rPr>
          <w:spacing w:val="-26"/>
          <w:w w:val="110"/>
        </w:rPr>
        <w:t xml:space="preserve"> </w:t>
      </w:r>
      <w:r>
        <w:rPr>
          <w:w w:val="110"/>
        </w:rPr>
        <w:t>also</w:t>
      </w:r>
      <w:r>
        <w:rPr>
          <w:spacing w:val="-30"/>
          <w:w w:val="110"/>
        </w:rPr>
        <w:t xml:space="preserve"> </w:t>
      </w:r>
      <w:r>
        <w:rPr>
          <w:w w:val="110"/>
        </w:rPr>
        <w:t>seen.</w:t>
      </w:r>
      <w:r>
        <w:rPr>
          <w:spacing w:val="-24"/>
          <w:w w:val="110"/>
        </w:rPr>
        <w:t xml:space="preserve"> </w:t>
      </w:r>
      <w:r>
        <w:rPr>
          <w:w w:val="110"/>
        </w:rPr>
        <w:t>Cocaine</w:t>
      </w:r>
      <w:r>
        <w:rPr>
          <w:spacing w:val="-21"/>
          <w:w w:val="110"/>
        </w:rPr>
        <w:t xml:space="preserve"> </w:t>
      </w:r>
      <w:r>
        <w:rPr>
          <w:w w:val="110"/>
        </w:rPr>
        <w:t>Dependence (with</w:t>
      </w:r>
      <w:r>
        <w:rPr>
          <w:spacing w:val="-24"/>
          <w:w w:val="110"/>
        </w:rPr>
        <w:t xml:space="preserve"> </w:t>
      </w:r>
      <w:r>
        <w:rPr>
          <w:w w:val="110"/>
        </w:rPr>
        <w:t>any</w:t>
      </w:r>
      <w:r>
        <w:rPr>
          <w:spacing w:val="-25"/>
          <w:w w:val="110"/>
        </w:rPr>
        <w:t xml:space="preserve"> </w:t>
      </w:r>
      <w:r>
        <w:rPr>
          <w:w w:val="110"/>
        </w:rPr>
        <w:t>route</w:t>
      </w:r>
      <w:r>
        <w:rPr>
          <w:spacing w:val="-26"/>
          <w:w w:val="110"/>
        </w:rPr>
        <w:t xml:space="preserve"> </w:t>
      </w:r>
      <w:r>
        <w:rPr>
          <w:w w:val="110"/>
        </w:rPr>
        <w:t>of</w:t>
      </w:r>
      <w:r>
        <w:rPr>
          <w:spacing w:val="-24"/>
          <w:w w:val="110"/>
        </w:rPr>
        <w:t xml:space="preserve"> </w:t>
      </w:r>
      <w:r>
        <w:rPr>
          <w:w w:val="110"/>
        </w:rPr>
        <w:t>administration)</w:t>
      </w:r>
      <w:r>
        <w:rPr>
          <w:spacing w:val="-31"/>
          <w:w w:val="110"/>
        </w:rPr>
        <w:t xml:space="preserve"> </w:t>
      </w:r>
      <w:r>
        <w:rPr>
          <w:w w:val="110"/>
        </w:rPr>
        <w:t>is</w:t>
      </w:r>
      <w:r>
        <w:rPr>
          <w:spacing w:val="-27"/>
          <w:w w:val="110"/>
        </w:rPr>
        <w:t xml:space="preserve"> </w:t>
      </w:r>
      <w:r>
        <w:rPr>
          <w:w w:val="110"/>
        </w:rPr>
        <w:t>commonly</w:t>
      </w:r>
      <w:r>
        <w:rPr>
          <w:spacing w:val="-20"/>
          <w:w w:val="110"/>
        </w:rPr>
        <w:t xml:space="preserve"> </w:t>
      </w:r>
      <w:r>
        <w:rPr>
          <w:w w:val="110"/>
        </w:rPr>
        <w:t>associated</w:t>
      </w:r>
      <w:r>
        <w:rPr>
          <w:spacing w:val="-16"/>
          <w:w w:val="110"/>
        </w:rPr>
        <w:t xml:space="preserve"> </w:t>
      </w:r>
      <w:r>
        <w:rPr>
          <w:w w:val="110"/>
        </w:rPr>
        <w:t>with</w:t>
      </w:r>
      <w:r>
        <w:rPr>
          <w:spacing w:val="-19"/>
          <w:w w:val="110"/>
        </w:rPr>
        <w:t xml:space="preserve"> </w:t>
      </w:r>
      <w:r>
        <w:rPr>
          <w:w w:val="110"/>
        </w:rPr>
        <w:t>signs</w:t>
      </w:r>
      <w:r>
        <w:rPr>
          <w:spacing w:val="-25"/>
          <w:w w:val="110"/>
        </w:rPr>
        <w:t xml:space="preserve"> </w:t>
      </w:r>
      <w:r>
        <w:rPr>
          <w:w w:val="110"/>
        </w:rPr>
        <w:t>of</w:t>
      </w:r>
      <w:r>
        <w:rPr>
          <w:spacing w:val="-21"/>
          <w:w w:val="110"/>
        </w:rPr>
        <w:t xml:space="preserve"> </w:t>
      </w:r>
      <w:r>
        <w:rPr>
          <w:w w:val="110"/>
        </w:rPr>
        <w:t>weight</w:t>
      </w:r>
      <w:r>
        <w:rPr>
          <w:spacing w:val="-24"/>
          <w:w w:val="110"/>
        </w:rPr>
        <w:t xml:space="preserve"> </w:t>
      </w:r>
      <w:r>
        <w:rPr>
          <w:w w:val="110"/>
        </w:rPr>
        <w:t>loss</w:t>
      </w:r>
      <w:r>
        <w:rPr>
          <w:spacing w:val="-28"/>
          <w:w w:val="110"/>
        </w:rPr>
        <w:t xml:space="preserve"> </w:t>
      </w:r>
      <w:r>
        <w:rPr>
          <w:w w:val="110"/>
        </w:rPr>
        <w:t>and malnutrition because of its appetite-suppressing effects. Chest pain</w:t>
      </w:r>
      <w:r>
        <w:rPr>
          <w:spacing w:val="8"/>
          <w:w w:val="110"/>
        </w:rPr>
        <w:t xml:space="preserve"> </w:t>
      </w:r>
      <w:r>
        <w:rPr>
          <w:w w:val="110"/>
        </w:rPr>
        <w:t>may also be a</w:t>
      </w:r>
    </w:p>
    <w:p w:rsidR="00E675F0" w:rsidRDefault="00E675F0" w:rsidP="00E675F0">
      <w:pPr>
        <w:spacing w:line="254" w:lineRule="auto"/>
        <w:jc w:val="both"/>
        <w:sectPr w:rsidR="00E675F0">
          <w:pgSz w:w="8960" w:h="14260"/>
          <w:pgMar w:top="1400" w:right="620" w:bottom="280" w:left="620" w:header="674" w:footer="0" w:gutter="0"/>
          <w:cols w:space="720"/>
        </w:sectPr>
      </w:pPr>
    </w:p>
    <w:p w:rsidR="00E675F0" w:rsidRDefault="00E675F0" w:rsidP="00E675F0">
      <w:pPr>
        <w:pStyle w:val="BodyText"/>
        <w:spacing w:before="126" w:line="254" w:lineRule="auto"/>
        <w:ind w:left="127" w:right="112" w:firstLine="2"/>
        <w:jc w:val="both"/>
      </w:pPr>
      <w:r>
        <w:rPr>
          <w:w w:val="105"/>
        </w:rPr>
        <w:lastRenderedPageBreak/>
        <w:t>common symptom. Pneumothorax can result from performing Valsalva-like maneuvers that are done to better absorb cocaine that has been inhaled. Myocardial infarction, sudden death from respiratory or cardiac arrest, and stroke have been associated with cocaine use among young and otherwise healthy persons. These incidents are probably caused by the ability of cocaine to increase blood pressure, cause vasoconstriction, or alter the electrical activity of the heart. Seizures have been observed in association with cocaine use, as have palpitations and arrhythmias. Traumatic injuries due to disputes resulting in violent behavior are common, especially among persons who sell cocaine. Among pregnant females, cocaine use is associated with irregularities in placental blood flow, abruptio placentae, premature labor and delivery, and an increased prevalence of infants with very low birth weights.</w:t>
      </w:r>
    </w:p>
    <w:p w:rsidR="00E675F0" w:rsidRDefault="00E675F0" w:rsidP="00E675F0">
      <w:pPr>
        <w:pStyle w:val="BodyText"/>
        <w:rPr>
          <w:sz w:val="22"/>
        </w:rPr>
      </w:pPr>
    </w:p>
    <w:p w:rsidR="00E675F0" w:rsidRDefault="00E675F0" w:rsidP="00E675F0">
      <w:pPr>
        <w:spacing w:before="128"/>
        <w:ind w:left="118"/>
        <w:rPr>
          <w:rFonts w:ascii="TimesNewRomanPS-BoldItalicMT"/>
          <w:b/>
          <w:i/>
          <w:sz w:val="25"/>
        </w:rPr>
      </w:pPr>
      <w:r>
        <w:rPr>
          <w:rFonts w:ascii="TimesNewRomanPS-BoldItalicMT"/>
          <w:b/>
          <w:i/>
          <w:w w:val="105"/>
          <w:sz w:val="25"/>
        </w:rPr>
        <w:t>Specific Culture, Age, and Gender Features</w:t>
      </w:r>
    </w:p>
    <w:p w:rsidR="00E675F0" w:rsidRDefault="00E675F0" w:rsidP="00E675F0">
      <w:pPr>
        <w:pStyle w:val="BodyText"/>
        <w:spacing w:before="139" w:line="254" w:lineRule="auto"/>
        <w:ind w:left="130" w:right="102" w:firstLine="3"/>
        <w:jc w:val="both"/>
      </w:pPr>
      <w:r>
        <w:rPr>
          <w:w w:val="105"/>
        </w:rPr>
        <w:t>Cocaine use and its attendant disorders affect all race, socioeconomic, age, and gender groups in the United States. Cocaine-Related Disorders are most commonly found in persons between ages 18 and 30 years. Although  the current cocaine epidemic started  in the 1970s among more affluent individuals, it has shifted to include lower socio­ economic groups living in large metropolitan areas. Rural areas that previously had been spared the problems associated with illicit drug use have also been affected. Unlike most other Substance-Related Disorders, with which males are more commonly affected than females, Cocaine Use Disorders are almost equally distributed between males and females.</w:t>
      </w:r>
    </w:p>
    <w:p w:rsidR="00E675F0" w:rsidRDefault="00E675F0" w:rsidP="00E675F0">
      <w:pPr>
        <w:pStyle w:val="BodyText"/>
        <w:rPr>
          <w:sz w:val="22"/>
        </w:rPr>
      </w:pPr>
    </w:p>
    <w:p w:rsidR="00E675F0" w:rsidRDefault="00E675F0" w:rsidP="00E675F0">
      <w:pPr>
        <w:spacing w:before="126"/>
        <w:ind w:left="120"/>
        <w:rPr>
          <w:rFonts w:ascii="TimesNewRomanPS-BoldItalicMT"/>
          <w:b/>
          <w:i/>
          <w:sz w:val="25"/>
        </w:rPr>
      </w:pPr>
      <w:r>
        <w:rPr>
          <w:rFonts w:ascii="TimesNewRomanPS-BoldItalicMT"/>
          <w:b/>
          <w:i/>
          <w:w w:val="110"/>
          <w:sz w:val="25"/>
        </w:rPr>
        <w:t>Prevalence</w:t>
      </w:r>
    </w:p>
    <w:p w:rsidR="00E675F0" w:rsidRDefault="00E675F0" w:rsidP="00E675F0">
      <w:pPr>
        <w:pStyle w:val="BodyText"/>
        <w:spacing w:before="130" w:line="252" w:lineRule="auto"/>
        <w:ind w:left="134" w:right="99"/>
        <w:jc w:val="both"/>
      </w:pPr>
      <w:r>
        <w:rPr>
          <w:w w:val="110"/>
        </w:rPr>
        <w:t>A</w:t>
      </w:r>
      <w:r>
        <w:rPr>
          <w:spacing w:val="-8"/>
          <w:w w:val="110"/>
        </w:rPr>
        <w:t xml:space="preserve"> </w:t>
      </w:r>
      <w:r>
        <w:rPr>
          <w:w w:val="110"/>
        </w:rPr>
        <w:t>community</w:t>
      </w:r>
      <w:r>
        <w:rPr>
          <w:spacing w:val="-2"/>
          <w:w w:val="110"/>
        </w:rPr>
        <w:t xml:space="preserve"> </w:t>
      </w:r>
      <w:r>
        <w:rPr>
          <w:w w:val="110"/>
        </w:rPr>
        <w:t>survey</w:t>
      </w:r>
      <w:r>
        <w:rPr>
          <w:spacing w:val="-8"/>
          <w:w w:val="110"/>
        </w:rPr>
        <w:t xml:space="preserve"> </w:t>
      </w:r>
      <w:r>
        <w:rPr>
          <w:w w:val="110"/>
        </w:rPr>
        <w:t>conducted in</w:t>
      </w:r>
      <w:r>
        <w:rPr>
          <w:spacing w:val="-4"/>
          <w:w w:val="110"/>
        </w:rPr>
        <w:t xml:space="preserve"> </w:t>
      </w:r>
      <w:r>
        <w:rPr>
          <w:w w:val="110"/>
        </w:rPr>
        <w:t>the</w:t>
      </w:r>
      <w:r>
        <w:rPr>
          <w:spacing w:val="-3"/>
          <w:w w:val="110"/>
        </w:rPr>
        <w:t xml:space="preserve"> </w:t>
      </w:r>
      <w:r>
        <w:rPr>
          <w:w w:val="110"/>
        </w:rPr>
        <w:t>United</w:t>
      </w:r>
      <w:r>
        <w:rPr>
          <w:spacing w:val="-4"/>
          <w:w w:val="110"/>
        </w:rPr>
        <w:t xml:space="preserve"> </w:t>
      </w:r>
      <w:r>
        <w:rPr>
          <w:w w:val="110"/>
        </w:rPr>
        <w:t>States</w:t>
      </w:r>
      <w:r>
        <w:rPr>
          <w:spacing w:val="-4"/>
          <w:w w:val="110"/>
        </w:rPr>
        <w:t xml:space="preserve"> </w:t>
      </w:r>
      <w:r>
        <w:rPr>
          <w:w w:val="110"/>
        </w:rPr>
        <w:t>in</w:t>
      </w:r>
      <w:r>
        <w:rPr>
          <w:spacing w:val="-13"/>
          <w:w w:val="110"/>
        </w:rPr>
        <w:t xml:space="preserve"> </w:t>
      </w:r>
      <w:r>
        <w:rPr>
          <w:w w:val="110"/>
        </w:rPr>
        <w:t>1991</w:t>
      </w:r>
      <w:r>
        <w:rPr>
          <w:spacing w:val="-11"/>
          <w:w w:val="110"/>
        </w:rPr>
        <w:t xml:space="preserve"> </w:t>
      </w:r>
      <w:r>
        <w:rPr>
          <w:w w:val="110"/>
        </w:rPr>
        <w:t>reported</w:t>
      </w:r>
      <w:r>
        <w:rPr>
          <w:spacing w:val="-1"/>
          <w:w w:val="110"/>
        </w:rPr>
        <w:t xml:space="preserve"> </w:t>
      </w:r>
      <w:r>
        <w:rPr>
          <w:w w:val="110"/>
        </w:rPr>
        <w:t>that</w:t>
      </w:r>
      <w:r>
        <w:rPr>
          <w:spacing w:val="-9"/>
          <w:w w:val="110"/>
        </w:rPr>
        <w:t xml:space="preserve"> </w:t>
      </w:r>
      <w:r>
        <w:rPr>
          <w:w w:val="110"/>
        </w:rPr>
        <w:t>12%</w:t>
      </w:r>
      <w:r>
        <w:rPr>
          <w:spacing w:val="-11"/>
          <w:w w:val="110"/>
        </w:rPr>
        <w:t xml:space="preserve"> </w:t>
      </w:r>
      <w:r>
        <w:rPr>
          <w:w w:val="110"/>
        </w:rPr>
        <w:t>of</w:t>
      </w:r>
      <w:r>
        <w:rPr>
          <w:spacing w:val="-4"/>
          <w:w w:val="110"/>
        </w:rPr>
        <w:t xml:space="preserve"> </w:t>
      </w:r>
      <w:r>
        <w:rPr>
          <w:w w:val="110"/>
        </w:rPr>
        <w:t>the population</w:t>
      </w:r>
      <w:r>
        <w:rPr>
          <w:spacing w:val="-2"/>
          <w:w w:val="110"/>
        </w:rPr>
        <w:t xml:space="preserve"> </w:t>
      </w:r>
      <w:r>
        <w:rPr>
          <w:w w:val="110"/>
        </w:rPr>
        <w:t>had</w:t>
      </w:r>
      <w:r>
        <w:rPr>
          <w:spacing w:val="-5"/>
          <w:w w:val="110"/>
        </w:rPr>
        <w:t xml:space="preserve"> </w:t>
      </w:r>
      <w:r>
        <w:rPr>
          <w:w w:val="110"/>
        </w:rPr>
        <w:t>used</w:t>
      </w:r>
      <w:r>
        <w:rPr>
          <w:spacing w:val="-8"/>
          <w:w w:val="110"/>
        </w:rPr>
        <w:t xml:space="preserve"> </w:t>
      </w:r>
      <w:r>
        <w:rPr>
          <w:w w:val="110"/>
        </w:rPr>
        <w:t>cocaine</w:t>
      </w:r>
      <w:r>
        <w:rPr>
          <w:spacing w:val="-5"/>
          <w:w w:val="110"/>
        </w:rPr>
        <w:t xml:space="preserve"> </w:t>
      </w:r>
      <w:r>
        <w:rPr>
          <w:w w:val="110"/>
        </w:rPr>
        <w:t>one or</w:t>
      </w:r>
      <w:r>
        <w:rPr>
          <w:spacing w:val="-5"/>
          <w:w w:val="110"/>
        </w:rPr>
        <w:t xml:space="preserve"> </w:t>
      </w:r>
      <w:r>
        <w:rPr>
          <w:w w:val="110"/>
        </w:rPr>
        <w:t>more</w:t>
      </w:r>
      <w:r>
        <w:rPr>
          <w:spacing w:val="-7"/>
          <w:w w:val="110"/>
        </w:rPr>
        <w:t xml:space="preserve"> </w:t>
      </w:r>
      <w:r>
        <w:rPr>
          <w:w w:val="110"/>
        </w:rPr>
        <w:t>times</w:t>
      </w:r>
      <w:r>
        <w:rPr>
          <w:spacing w:val="-4"/>
          <w:w w:val="110"/>
        </w:rPr>
        <w:t xml:space="preserve"> </w:t>
      </w:r>
      <w:r>
        <w:rPr>
          <w:w w:val="110"/>
        </w:rPr>
        <w:t>in</w:t>
      </w:r>
      <w:r>
        <w:rPr>
          <w:spacing w:val="-6"/>
          <w:w w:val="110"/>
        </w:rPr>
        <w:t xml:space="preserve"> </w:t>
      </w:r>
      <w:r>
        <w:rPr>
          <w:w w:val="110"/>
        </w:rPr>
        <w:t>their</w:t>
      </w:r>
      <w:r>
        <w:rPr>
          <w:spacing w:val="-11"/>
          <w:w w:val="110"/>
        </w:rPr>
        <w:t xml:space="preserve"> </w:t>
      </w:r>
      <w:r>
        <w:rPr>
          <w:w w:val="110"/>
        </w:rPr>
        <w:t>lifetime;</w:t>
      </w:r>
      <w:r>
        <w:rPr>
          <w:spacing w:val="-3"/>
          <w:w w:val="110"/>
        </w:rPr>
        <w:t xml:space="preserve"> </w:t>
      </w:r>
      <w:r>
        <w:rPr>
          <w:w w:val="110"/>
        </w:rPr>
        <w:t>3%</w:t>
      </w:r>
      <w:r>
        <w:rPr>
          <w:spacing w:val="-7"/>
          <w:w w:val="110"/>
        </w:rPr>
        <w:t xml:space="preserve"> </w:t>
      </w:r>
      <w:r>
        <w:rPr>
          <w:w w:val="110"/>
        </w:rPr>
        <w:t>had</w:t>
      </w:r>
      <w:r>
        <w:rPr>
          <w:spacing w:val="-4"/>
          <w:w w:val="110"/>
        </w:rPr>
        <w:t xml:space="preserve"> </w:t>
      </w:r>
      <w:r>
        <w:rPr>
          <w:w w:val="110"/>
        </w:rPr>
        <w:t>used</w:t>
      </w:r>
      <w:r>
        <w:rPr>
          <w:spacing w:val="-8"/>
          <w:w w:val="110"/>
        </w:rPr>
        <w:t xml:space="preserve"> </w:t>
      </w:r>
      <w:r>
        <w:rPr>
          <w:w w:val="110"/>
        </w:rPr>
        <w:t>it</w:t>
      </w:r>
      <w:r>
        <w:rPr>
          <w:spacing w:val="-7"/>
          <w:w w:val="110"/>
        </w:rPr>
        <w:t xml:space="preserve"> </w:t>
      </w:r>
      <w:r>
        <w:rPr>
          <w:w w:val="110"/>
        </w:rPr>
        <w:t>in</w:t>
      </w:r>
      <w:r>
        <w:rPr>
          <w:spacing w:val="-6"/>
          <w:w w:val="110"/>
        </w:rPr>
        <w:t xml:space="preserve"> </w:t>
      </w:r>
      <w:r>
        <w:rPr>
          <w:w w:val="110"/>
        </w:rPr>
        <w:t xml:space="preserve">the last year; and less than </w:t>
      </w:r>
      <w:r>
        <w:rPr>
          <w:spacing w:val="-3"/>
          <w:w w:val="110"/>
        </w:rPr>
        <w:t xml:space="preserve">1% </w:t>
      </w:r>
      <w:r>
        <w:rPr>
          <w:w w:val="110"/>
        </w:rPr>
        <w:t>had used it in the last month. Because the survey assessed patterns of use rather than diagnoses, it is not known how many of those who used cocaine</w:t>
      </w:r>
      <w:r>
        <w:rPr>
          <w:spacing w:val="-11"/>
          <w:w w:val="110"/>
        </w:rPr>
        <w:t xml:space="preserve"> </w:t>
      </w:r>
      <w:r>
        <w:rPr>
          <w:w w:val="110"/>
        </w:rPr>
        <w:t>had</w:t>
      </w:r>
      <w:r>
        <w:rPr>
          <w:spacing w:val="-16"/>
          <w:w w:val="110"/>
        </w:rPr>
        <w:t xml:space="preserve"> </w:t>
      </w:r>
      <w:r>
        <w:rPr>
          <w:w w:val="110"/>
        </w:rPr>
        <w:t>symptoms</w:t>
      </w:r>
      <w:r>
        <w:rPr>
          <w:spacing w:val="-9"/>
          <w:w w:val="110"/>
        </w:rPr>
        <w:t xml:space="preserve"> </w:t>
      </w:r>
      <w:r>
        <w:rPr>
          <w:w w:val="110"/>
        </w:rPr>
        <w:t>that</w:t>
      </w:r>
      <w:r>
        <w:rPr>
          <w:spacing w:val="-15"/>
          <w:w w:val="110"/>
        </w:rPr>
        <w:t xml:space="preserve"> </w:t>
      </w:r>
      <w:r>
        <w:rPr>
          <w:w w:val="110"/>
        </w:rPr>
        <w:t>met</w:t>
      </w:r>
      <w:r>
        <w:rPr>
          <w:spacing w:val="-17"/>
          <w:w w:val="110"/>
        </w:rPr>
        <w:t xml:space="preserve"> </w:t>
      </w:r>
      <w:r>
        <w:rPr>
          <w:w w:val="110"/>
        </w:rPr>
        <w:t>criteria</w:t>
      </w:r>
      <w:r>
        <w:rPr>
          <w:spacing w:val="-14"/>
          <w:w w:val="110"/>
        </w:rPr>
        <w:t xml:space="preserve"> </w:t>
      </w:r>
      <w:r>
        <w:rPr>
          <w:w w:val="110"/>
        </w:rPr>
        <w:t>for</w:t>
      </w:r>
      <w:r>
        <w:rPr>
          <w:spacing w:val="-16"/>
          <w:w w:val="110"/>
        </w:rPr>
        <w:t xml:space="preserve"> </w:t>
      </w:r>
      <w:r>
        <w:rPr>
          <w:w w:val="110"/>
        </w:rPr>
        <w:t>Dependence</w:t>
      </w:r>
      <w:r>
        <w:rPr>
          <w:spacing w:val="-12"/>
          <w:w w:val="110"/>
        </w:rPr>
        <w:t xml:space="preserve"> </w:t>
      </w:r>
      <w:r>
        <w:rPr>
          <w:w w:val="110"/>
        </w:rPr>
        <w:t>or</w:t>
      </w:r>
      <w:r>
        <w:rPr>
          <w:spacing w:val="-19"/>
          <w:w w:val="110"/>
        </w:rPr>
        <w:t xml:space="preserve"> </w:t>
      </w:r>
      <w:r>
        <w:rPr>
          <w:w w:val="110"/>
        </w:rPr>
        <w:t>Abuse.</w:t>
      </w:r>
      <w:r>
        <w:rPr>
          <w:spacing w:val="-15"/>
          <w:w w:val="110"/>
        </w:rPr>
        <w:t xml:space="preserve"> </w:t>
      </w:r>
      <w:r>
        <w:rPr>
          <w:w w:val="110"/>
        </w:rPr>
        <w:t>A</w:t>
      </w:r>
      <w:r>
        <w:rPr>
          <w:spacing w:val="-17"/>
          <w:w w:val="110"/>
        </w:rPr>
        <w:t xml:space="preserve"> </w:t>
      </w:r>
      <w:r>
        <w:rPr>
          <w:w w:val="110"/>
        </w:rPr>
        <w:t>community</w:t>
      </w:r>
      <w:r>
        <w:rPr>
          <w:spacing w:val="-11"/>
          <w:w w:val="110"/>
        </w:rPr>
        <w:t xml:space="preserve"> </w:t>
      </w:r>
      <w:r>
        <w:rPr>
          <w:w w:val="110"/>
        </w:rPr>
        <w:t>study conducted</w:t>
      </w:r>
      <w:r>
        <w:rPr>
          <w:spacing w:val="-8"/>
          <w:w w:val="110"/>
        </w:rPr>
        <w:t xml:space="preserve"> </w:t>
      </w:r>
      <w:r>
        <w:rPr>
          <w:w w:val="110"/>
        </w:rPr>
        <w:t>in</w:t>
      </w:r>
      <w:r>
        <w:rPr>
          <w:spacing w:val="-14"/>
          <w:w w:val="110"/>
        </w:rPr>
        <w:t xml:space="preserve"> </w:t>
      </w:r>
      <w:r>
        <w:rPr>
          <w:w w:val="110"/>
        </w:rPr>
        <w:t>the</w:t>
      </w:r>
      <w:r>
        <w:rPr>
          <w:spacing w:val="-10"/>
          <w:w w:val="110"/>
        </w:rPr>
        <w:t xml:space="preserve"> </w:t>
      </w:r>
      <w:r>
        <w:rPr>
          <w:w w:val="110"/>
        </w:rPr>
        <w:t>United</w:t>
      </w:r>
      <w:r>
        <w:rPr>
          <w:spacing w:val="-10"/>
          <w:w w:val="110"/>
        </w:rPr>
        <w:t xml:space="preserve"> </w:t>
      </w:r>
      <w:r>
        <w:rPr>
          <w:w w:val="110"/>
        </w:rPr>
        <w:t>States</w:t>
      </w:r>
      <w:r>
        <w:rPr>
          <w:spacing w:val="-18"/>
          <w:w w:val="110"/>
        </w:rPr>
        <w:t xml:space="preserve"> </w:t>
      </w:r>
      <w:r>
        <w:rPr>
          <w:w w:val="110"/>
        </w:rPr>
        <w:t>from</w:t>
      </w:r>
      <w:r>
        <w:rPr>
          <w:spacing w:val="-18"/>
          <w:w w:val="110"/>
        </w:rPr>
        <w:t xml:space="preserve"> </w:t>
      </w:r>
      <w:r>
        <w:rPr>
          <w:w w:val="110"/>
        </w:rPr>
        <w:t>1980</w:t>
      </w:r>
      <w:r>
        <w:rPr>
          <w:spacing w:val="-12"/>
          <w:w w:val="110"/>
        </w:rPr>
        <w:t xml:space="preserve"> </w:t>
      </w:r>
      <w:r>
        <w:rPr>
          <w:w w:val="110"/>
        </w:rPr>
        <w:t>to</w:t>
      </w:r>
      <w:r>
        <w:rPr>
          <w:spacing w:val="-22"/>
          <w:w w:val="110"/>
        </w:rPr>
        <w:t xml:space="preserve"> </w:t>
      </w:r>
      <w:r>
        <w:rPr>
          <w:w w:val="110"/>
        </w:rPr>
        <w:t>1985</w:t>
      </w:r>
      <w:r>
        <w:rPr>
          <w:spacing w:val="-15"/>
          <w:w w:val="110"/>
        </w:rPr>
        <w:t xml:space="preserve"> </w:t>
      </w:r>
      <w:r>
        <w:rPr>
          <w:w w:val="110"/>
        </w:rPr>
        <w:t>that</w:t>
      </w:r>
      <w:r>
        <w:rPr>
          <w:spacing w:val="-10"/>
          <w:w w:val="110"/>
        </w:rPr>
        <w:t xml:space="preserve"> </w:t>
      </w:r>
      <w:r>
        <w:rPr>
          <w:w w:val="110"/>
        </w:rPr>
        <w:t>used</w:t>
      </w:r>
      <w:r>
        <w:rPr>
          <w:spacing w:val="-5"/>
          <w:w w:val="110"/>
        </w:rPr>
        <w:t xml:space="preserve"> </w:t>
      </w:r>
      <w:r>
        <w:rPr>
          <w:w w:val="110"/>
        </w:rPr>
        <w:t>the</w:t>
      </w:r>
      <w:r>
        <w:rPr>
          <w:spacing w:val="-13"/>
          <w:w w:val="110"/>
        </w:rPr>
        <w:t xml:space="preserve"> </w:t>
      </w:r>
      <w:r>
        <w:rPr>
          <w:w w:val="110"/>
        </w:rPr>
        <w:t>more</w:t>
      </w:r>
      <w:r>
        <w:rPr>
          <w:spacing w:val="-12"/>
          <w:w w:val="110"/>
        </w:rPr>
        <w:t xml:space="preserve"> </w:t>
      </w:r>
      <w:r>
        <w:rPr>
          <w:w w:val="110"/>
        </w:rPr>
        <w:t>narrowly</w:t>
      </w:r>
      <w:r>
        <w:rPr>
          <w:spacing w:val="-9"/>
          <w:w w:val="110"/>
        </w:rPr>
        <w:t xml:space="preserve"> </w:t>
      </w:r>
      <w:r>
        <w:rPr>
          <w:w w:val="110"/>
        </w:rPr>
        <w:t>defined DSM-III</w:t>
      </w:r>
      <w:r>
        <w:rPr>
          <w:spacing w:val="-18"/>
          <w:w w:val="110"/>
        </w:rPr>
        <w:t xml:space="preserve"> </w:t>
      </w:r>
      <w:r>
        <w:rPr>
          <w:w w:val="110"/>
        </w:rPr>
        <w:t>criteria</w:t>
      </w:r>
      <w:r>
        <w:rPr>
          <w:spacing w:val="-20"/>
          <w:w w:val="110"/>
        </w:rPr>
        <w:t xml:space="preserve"> </w:t>
      </w:r>
      <w:r>
        <w:rPr>
          <w:w w:val="110"/>
        </w:rPr>
        <w:t>that</w:t>
      </w:r>
      <w:r>
        <w:rPr>
          <w:spacing w:val="-26"/>
          <w:w w:val="110"/>
        </w:rPr>
        <w:t xml:space="preserve"> </w:t>
      </w:r>
      <w:r>
        <w:rPr>
          <w:w w:val="110"/>
        </w:rPr>
        <w:t>only</w:t>
      </w:r>
      <w:r>
        <w:rPr>
          <w:spacing w:val="-23"/>
          <w:w w:val="110"/>
        </w:rPr>
        <w:t xml:space="preserve"> </w:t>
      </w:r>
      <w:r>
        <w:rPr>
          <w:w w:val="110"/>
        </w:rPr>
        <w:t>recognized</w:t>
      </w:r>
      <w:r>
        <w:rPr>
          <w:spacing w:val="-20"/>
          <w:w w:val="110"/>
        </w:rPr>
        <w:t xml:space="preserve"> </w:t>
      </w:r>
      <w:r>
        <w:rPr>
          <w:w w:val="110"/>
        </w:rPr>
        <w:t>Cocaine</w:t>
      </w:r>
      <w:r>
        <w:rPr>
          <w:spacing w:val="-22"/>
          <w:w w:val="110"/>
        </w:rPr>
        <w:t xml:space="preserve"> </w:t>
      </w:r>
      <w:r>
        <w:rPr>
          <w:w w:val="110"/>
        </w:rPr>
        <w:t>Abuse</w:t>
      </w:r>
      <w:r>
        <w:rPr>
          <w:spacing w:val="-25"/>
          <w:w w:val="110"/>
        </w:rPr>
        <w:t xml:space="preserve"> </w:t>
      </w:r>
      <w:r>
        <w:rPr>
          <w:w w:val="110"/>
        </w:rPr>
        <w:t>found</w:t>
      </w:r>
      <w:r>
        <w:rPr>
          <w:spacing w:val="-22"/>
          <w:w w:val="110"/>
        </w:rPr>
        <w:t xml:space="preserve"> </w:t>
      </w:r>
      <w:r>
        <w:rPr>
          <w:w w:val="110"/>
        </w:rPr>
        <w:t>that</w:t>
      </w:r>
      <w:r>
        <w:rPr>
          <w:spacing w:val="-26"/>
          <w:w w:val="110"/>
        </w:rPr>
        <w:t xml:space="preserve"> </w:t>
      </w:r>
      <w:r>
        <w:rPr>
          <w:w w:val="110"/>
        </w:rPr>
        <w:t>about</w:t>
      </w:r>
      <w:r>
        <w:rPr>
          <w:spacing w:val="-27"/>
          <w:w w:val="110"/>
        </w:rPr>
        <w:t xml:space="preserve"> </w:t>
      </w:r>
      <w:r>
        <w:rPr>
          <w:w w:val="110"/>
        </w:rPr>
        <w:t>0.2%</w:t>
      </w:r>
      <w:r>
        <w:rPr>
          <w:spacing w:val="-27"/>
          <w:w w:val="110"/>
        </w:rPr>
        <w:t xml:space="preserve"> </w:t>
      </w:r>
      <w:r>
        <w:rPr>
          <w:w w:val="110"/>
        </w:rPr>
        <w:t>of</w:t>
      </w:r>
      <w:r>
        <w:rPr>
          <w:spacing w:val="-21"/>
          <w:w w:val="110"/>
        </w:rPr>
        <w:t xml:space="preserve"> </w:t>
      </w:r>
      <w:r>
        <w:rPr>
          <w:w w:val="110"/>
        </w:rPr>
        <w:t>the</w:t>
      </w:r>
      <w:r>
        <w:rPr>
          <w:spacing w:val="-25"/>
          <w:w w:val="110"/>
        </w:rPr>
        <w:t xml:space="preserve"> </w:t>
      </w:r>
      <w:r>
        <w:rPr>
          <w:w w:val="110"/>
        </w:rPr>
        <w:t>adult population</w:t>
      </w:r>
      <w:r>
        <w:rPr>
          <w:spacing w:val="-1"/>
          <w:w w:val="110"/>
        </w:rPr>
        <w:t xml:space="preserve"> </w:t>
      </w:r>
      <w:r>
        <w:rPr>
          <w:w w:val="110"/>
        </w:rPr>
        <w:t>had</w:t>
      </w:r>
      <w:r>
        <w:rPr>
          <w:spacing w:val="-8"/>
          <w:w w:val="110"/>
        </w:rPr>
        <w:t xml:space="preserve"> </w:t>
      </w:r>
      <w:r>
        <w:rPr>
          <w:w w:val="110"/>
        </w:rPr>
        <w:t>Cocaine</w:t>
      </w:r>
      <w:r>
        <w:rPr>
          <w:spacing w:val="-7"/>
          <w:w w:val="110"/>
        </w:rPr>
        <w:t xml:space="preserve"> </w:t>
      </w:r>
      <w:r>
        <w:rPr>
          <w:w w:val="110"/>
        </w:rPr>
        <w:t>Abuse</w:t>
      </w:r>
      <w:r>
        <w:rPr>
          <w:spacing w:val="-10"/>
          <w:w w:val="110"/>
        </w:rPr>
        <w:t xml:space="preserve"> </w:t>
      </w:r>
      <w:r>
        <w:rPr>
          <w:w w:val="110"/>
        </w:rPr>
        <w:t>at</w:t>
      </w:r>
      <w:r>
        <w:rPr>
          <w:spacing w:val="-16"/>
          <w:w w:val="110"/>
        </w:rPr>
        <w:t xml:space="preserve"> </w:t>
      </w:r>
      <w:r>
        <w:rPr>
          <w:w w:val="110"/>
        </w:rPr>
        <w:t>some</w:t>
      </w:r>
      <w:r>
        <w:rPr>
          <w:spacing w:val="-9"/>
          <w:w w:val="110"/>
        </w:rPr>
        <w:t xml:space="preserve"> </w:t>
      </w:r>
      <w:r>
        <w:rPr>
          <w:w w:val="110"/>
        </w:rPr>
        <w:t>time</w:t>
      </w:r>
      <w:r>
        <w:rPr>
          <w:spacing w:val="-7"/>
          <w:w w:val="110"/>
        </w:rPr>
        <w:t xml:space="preserve"> </w:t>
      </w:r>
      <w:r>
        <w:rPr>
          <w:w w:val="110"/>
        </w:rPr>
        <w:t>in</w:t>
      </w:r>
      <w:r>
        <w:rPr>
          <w:spacing w:val="-12"/>
          <w:w w:val="110"/>
        </w:rPr>
        <w:t xml:space="preserve"> </w:t>
      </w:r>
      <w:r>
        <w:rPr>
          <w:w w:val="110"/>
        </w:rPr>
        <w:t>their</w:t>
      </w:r>
      <w:r>
        <w:rPr>
          <w:spacing w:val="-14"/>
          <w:w w:val="110"/>
        </w:rPr>
        <w:t xml:space="preserve"> </w:t>
      </w:r>
      <w:r>
        <w:rPr>
          <w:w w:val="110"/>
        </w:rPr>
        <w:t>lives.</w:t>
      </w:r>
      <w:r>
        <w:rPr>
          <w:spacing w:val="-14"/>
          <w:w w:val="110"/>
        </w:rPr>
        <w:t xml:space="preserve"> </w:t>
      </w:r>
      <w:r>
        <w:rPr>
          <w:w w:val="110"/>
        </w:rPr>
        <w:t>Among</w:t>
      </w:r>
      <w:r>
        <w:rPr>
          <w:spacing w:val="-7"/>
          <w:w w:val="110"/>
        </w:rPr>
        <w:t xml:space="preserve"> </w:t>
      </w:r>
      <w:r>
        <w:rPr>
          <w:w w:val="110"/>
        </w:rPr>
        <w:t>those</w:t>
      </w:r>
      <w:r>
        <w:rPr>
          <w:spacing w:val="-9"/>
          <w:w w:val="110"/>
        </w:rPr>
        <w:t xml:space="preserve"> </w:t>
      </w:r>
      <w:r>
        <w:rPr>
          <w:w w:val="110"/>
        </w:rPr>
        <w:t>who</w:t>
      </w:r>
      <w:r>
        <w:rPr>
          <w:spacing w:val="-3"/>
          <w:w w:val="110"/>
        </w:rPr>
        <w:t xml:space="preserve"> </w:t>
      </w:r>
      <w:r>
        <w:rPr>
          <w:w w:val="110"/>
        </w:rPr>
        <w:t>had</w:t>
      </w:r>
      <w:r>
        <w:rPr>
          <w:spacing w:val="-12"/>
          <w:w w:val="110"/>
        </w:rPr>
        <w:t xml:space="preserve"> </w:t>
      </w:r>
      <w:r>
        <w:rPr>
          <w:w w:val="110"/>
        </w:rPr>
        <w:t>ever had</w:t>
      </w:r>
      <w:r>
        <w:rPr>
          <w:spacing w:val="-10"/>
          <w:w w:val="110"/>
        </w:rPr>
        <w:t xml:space="preserve"> </w:t>
      </w:r>
      <w:r>
        <w:rPr>
          <w:w w:val="110"/>
        </w:rPr>
        <w:t>Cocaine</w:t>
      </w:r>
      <w:r>
        <w:rPr>
          <w:spacing w:val="-8"/>
          <w:w w:val="110"/>
        </w:rPr>
        <w:t xml:space="preserve"> </w:t>
      </w:r>
      <w:r>
        <w:rPr>
          <w:w w:val="110"/>
        </w:rPr>
        <w:t>Abuse,</w:t>
      </w:r>
      <w:r>
        <w:rPr>
          <w:spacing w:val="-4"/>
          <w:w w:val="110"/>
        </w:rPr>
        <w:t xml:space="preserve"> </w:t>
      </w:r>
      <w:r>
        <w:rPr>
          <w:w w:val="110"/>
        </w:rPr>
        <w:t>17%</w:t>
      </w:r>
      <w:r>
        <w:rPr>
          <w:spacing w:val="-4"/>
          <w:w w:val="110"/>
        </w:rPr>
        <w:t xml:space="preserve"> </w:t>
      </w:r>
      <w:r>
        <w:rPr>
          <w:w w:val="110"/>
        </w:rPr>
        <w:t>reported use</w:t>
      </w:r>
      <w:r>
        <w:rPr>
          <w:spacing w:val="-7"/>
          <w:w w:val="110"/>
        </w:rPr>
        <w:t xml:space="preserve"> </w:t>
      </w:r>
      <w:r>
        <w:rPr>
          <w:w w:val="110"/>
        </w:rPr>
        <w:t>in</w:t>
      </w:r>
      <w:r>
        <w:rPr>
          <w:spacing w:val="-9"/>
          <w:w w:val="110"/>
        </w:rPr>
        <w:t xml:space="preserve"> </w:t>
      </w:r>
      <w:r>
        <w:rPr>
          <w:w w:val="110"/>
        </w:rPr>
        <w:t>the</w:t>
      </w:r>
      <w:r>
        <w:rPr>
          <w:spacing w:val="-10"/>
          <w:w w:val="110"/>
        </w:rPr>
        <w:t xml:space="preserve"> </w:t>
      </w:r>
      <w:r>
        <w:rPr>
          <w:w w:val="110"/>
        </w:rPr>
        <w:t>last</w:t>
      </w:r>
      <w:r>
        <w:rPr>
          <w:spacing w:val="-5"/>
          <w:w w:val="110"/>
        </w:rPr>
        <w:t xml:space="preserve"> </w:t>
      </w:r>
      <w:r>
        <w:rPr>
          <w:w w:val="110"/>
        </w:rPr>
        <w:t>month</w:t>
      </w:r>
      <w:r>
        <w:rPr>
          <w:spacing w:val="-8"/>
          <w:w w:val="110"/>
        </w:rPr>
        <w:t xml:space="preserve"> </w:t>
      </w:r>
      <w:r>
        <w:rPr>
          <w:w w:val="110"/>
        </w:rPr>
        <w:t>and</w:t>
      </w:r>
      <w:r>
        <w:rPr>
          <w:spacing w:val="-6"/>
          <w:w w:val="110"/>
        </w:rPr>
        <w:t xml:space="preserve"> </w:t>
      </w:r>
      <w:r>
        <w:rPr>
          <w:w w:val="110"/>
        </w:rPr>
        <w:t>46%</w:t>
      </w:r>
      <w:r>
        <w:rPr>
          <w:spacing w:val="-8"/>
          <w:w w:val="110"/>
        </w:rPr>
        <w:t xml:space="preserve"> </w:t>
      </w:r>
      <w:r>
        <w:rPr>
          <w:w w:val="110"/>
        </w:rPr>
        <w:t>reported</w:t>
      </w:r>
      <w:r>
        <w:rPr>
          <w:spacing w:val="-1"/>
          <w:w w:val="110"/>
        </w:rPr>
        <w:t xml:space="preserve"> </w:t>
      </w:r>
      <w:r>
        <w:rPr>
          <w:w w:val="110"/>
        </w:rPr>
        <w:t>having</w:t>
      </w:r>
      <w:r>
        <w:rPr>
          <w:spacing w:val="-1"/>
          <w:w w:val="110"/>
        </w:rPr>
        <w:t xml:space="preserve"> </w:t>
      </w:r>
      <w:r>
        <w:rPr>
          <w:w w:val="110"/>
        </w:rPr>
        <w:t>had a problem with cocaine in the last year. These figures predate the increased use of cocaine experienced since the</w:t>
      </w:r>
      <w:r>
        <w:rPr>
          <w:spacing w:val="35"/>
          <w:w w:val="110"/>
        </w:rPr>
        <w:t xml:space="preserve"> </w:t>
      </w:r>
      <w:r>
        <w:rPr>
          <w:w w:val="110"/>
        </w:rPr>
        <w:t>mid-1980s.</w:t>
      </w:r>
    </w:p>
    <w:p w:rsidR="00E675F0" w:rsidRDefault="00E675F0" w:rsidP="00E675F0">
      <w:pPr>
        <w:pStyle w:val="BodyText"/>
        <w:rPr>
          <w:sz w:val="22"/>
        </w:rPr>
      </w:pPr>
    </w:p>
    <w:p w:rsidR="00E675F0" w:rsidRDefault="00E675F0" w:rsidP="00E675F0">
      <w:pPr>
        <w:spacing w:before="139"/>
        <w:ind w:left="111"/>
        <w:rPr>
          <w:rFonts w:ascii="TimesNewRomanPS-BoldItalicMT"/>
          <w:b/>
          <w:i/>
          <w:sz w:val="25"/>
        </w:rPr>
      </w:pPr>
      <w:r>
        <w:rPr>
          <w:rFonts w:ascii="TimesNewRomanPS-BoldItalicMT"/>
          <w:b/>
          <w:i/>
          <w:w w:val="110"/>
          <w:sz w:val="25"/>
        </w:rPr>
        <w:t>Course</w:t>
      </w:r>
    </w:p>
    <w:p w:rsidR="00E675F0" w:rsidRDefault="00E675F0" w:rsidP="00E675F0">
      <w:pPr>
        <w:pStyle w:val="BodyText"/>
        <w:spacing w:before="144" w:line="254" w:lineRule="auto"/>
        <w:ind w:left="134" w:right="99" w:hanging="5"/>
        <w:jc w:val="both"/>
      </w:pPr>
      <w:r>
        <w:rPr>
          <w:w w:val="105"/>
        </w:rPr>
        <w:t>As with amphetamines, Cocaine Dependence  is associated  with either of two patterns of self-administration: episodic or daily (or almost daily) use. In the episodic pattern,  the cocaine use tends to be separated by 2 or more days of nonuse (e.g.,  intense  use over a weekend or on one or more weekdays). "Binges" are a form of episodic use that typically involve continuous high-dose use over a period of hours or days and are often associated with Dependence. Binges usually terminate only when cocaine supplies are depleted. Chronic daily use may involve high or low doses and may occur throughout the</w:t>
      </w:r>
      <w:r>
        <w:rPr>
          <w:spacing w:val="3"/>
          <w:w w:val="105"/>
        </w:rPr>
        <w:t xml:space="preserve"> </w:t>
      </w:r>
      <w:r>
        <w:rPr>
          <w:w w:val="105"/>
        </w:rPr>
        <w:t>day</w:t>
      </w:r>
      <w:r>
        <w:rPr>
          <w:spacing w:val="5"/>
          <w:w w:val="105"/>
        </w:rPr>
        <w:t xml:space="preserve"> </w:t>
      </w:r>
      <w:r>
        <w:rPr>
          <w:w w:val="105"/>
        </w:rPr>
        <w:t>or</w:t>
      </w:r>
      <w:r>
        <w:rPr>
          <w:spacing w:val="14"/>
          <w:w w:val="105"/>
        </w:rPr>
        <w:t xml:space="preserve"> </w:t>
      </w:r>
      <w:r>
        <w:rPr>
          <w:w w:val="105"/>
        </w:rPr>
        <w:t>be</w:t>
      </w:r>
      <w:r>
        <w:rPr>
          <w:spacing w:val="4"/>
          <w:w w:val="105"/>
        </w:rPr>
        <w:t xml:space="preserve"> </w:t>
      </w:r>
      <w:r>
        <w:rPr>
          <w:w w:val="105"/>
        </w:rPr>
        <w:t>restricted</w:t>
      </w:r>
      <w:r>
        <w:rPr>
          <w:spacing w:val="21"/>
          <w:w w:val="105"/>
        </w:rPr>
        <w:t xml:space="preserve"> </w:t>
      </w:r>
      <w:r>
        <w:rPr>
          <w:w w:val="105"/>
        </w:rPr>
        <w:t>to</w:t>
      </w:r>
      <w:r>
        <w:rPr>
          <w:spacing w:val="1"/>
          <w:w w:val="105"/>
        </w:rPr>
        <w:t xml:space="preserve"> </w:t>
      </w:r>
      <w:r>
        <w:rPr>
          <w:w w:val="105"/>
        </w:rPr>
        <w:t>only a</w:t>
      </w:r>
      <w:r>
        <w:rPr>
          <w:spacing w:val="6"/>
          <w:w w:val="105"/>
        </w:rPr>
        <w:t xml:space="preserve"> </w:t>
      </w:r>
      <w:r>
        <w:rPr>
          <w:w w:val="105"/>
        </w:rPr>
        <w:t>few</w:t>
      </w:r>
      <w:r>
        <w:rPr>
          <w:spacing w:val="10"/>
          <w:w w:val="105"/>
        </w:rPr>
        <w:t xml:space="preserve"> </w:t>
      </w:r>
      <w:r>
        <w:rPr>
          <w:w w:val="105"/>
        </w:rPr>
        <w:t>hours.</w:t>
      </w:r>
      <w:r>
        <w:rPr>
          <w:spacing w:val="18"/>
          <w:w w:val="105"/>
        </w:rPr>
        <w:t xml:space="preserve"> </w:t>
      </w:r>
      <w:r>
        <w:rPr>
          <w:w w:val="105"/>
        </w:rPr>
        <w:t>In</w:t>
      </w:r>
      <w:r>
        <w:rPr>
          <w:spacing w:val="6"/>
          <w:w w:val="105"/>
        </w:rPr>
        <w:t xml:space="preserve"> </w:t>
      </w:r>
      <w:r>
        <w:rPr>
          <w:w w:val="105"/>
        </w:rPr>
        <w:t>chronic</w:t>
      </w:r>
      <w:r>
        <w:rPr>
          <w:spacing w:val="8"/>
          <w:w w:val="105"/>
        </w:rPr>
        <w:t xml:space="preserve"> </w:t>
      </w:r>
      <w:r>
        <w:rPr>
          <w:w w:val="105"/>
        </w:rPr>
        <w:t>daily</w:t>
      </w:r>
      <w:r>
        <w:rPr>
          <w:spacing w:val="10"/>
          <w:w w:val="105"/>
        </w:rPr>
        <w:t xml:space="preserve"> </w:t>
      </w:r>
      <w:r>
        <w:rPr>
          <w:w w:val="105"/>
        </w:rPr>
        <w:t>use,</w:t>
      </w:r>
      <w:r>
        <w:rPr>
          <w:spacing w:val="12"/>
          <w:w w:val="105"/>
        </w:rPr>
        <w:t xml:space="preserve"> </w:t>
      </w:r>
      <w:r>
        <w:rPr>
          <w:w w:val="105"/>
        </w:rPr>
        <w:t>there</w:t>
      </w:r>
      <w:r>
        <w:rPr>
          <w:spacing w:val="7"/>
          <w:w w:val="105"/>
        </w:rPr>
        <w:t xml:space="preserve"> </w:t>
      </w:r>
      <w:r>
        <w:rPr>
          <w:w w:val="105"/>
        </w:rPr>
        <w:t>are</w:t>
      </w:r>
      <w:r>
        <w:rPr>
          <w:spacing w:val="4"/>
          <w:w w:val="105"/>
        </w:rPr>
        <w:t xml:space="preserve"> </w:t>
      </w:r>
      <w:r>
        <w:rPr>
          <w:w w:val="105"/>
        </w:rPr>
        <w:t>generally</w:t>
      </w:r>
      <w:r>
        <w:rPr>
          <w:spacing w:val="14"/>
          <w:w w:val="105"/>
        </w:rPr>
        <w:t xml:space="preserve"> </w:t>
      </w:r>
      <w:r>
        <w:rPr>
          <w:w w:val="105"/>
        </w:rPr>
        <w:t>no</w:t>
      </w:r>
    </w:p>
    <w:p w:rsidR="00E675F0" w:rsidRDefault="00E675F0" w:rsidP="00E675F0">
      <w:pPr>
        <w:spacing w:line="254" w:lineRule="auto"/>
        <w:jc w:val="both"/>
        <w:sectPr w:rsidR="00E675F0">
          <w:pgSz w:w="8960" w:h="14260"/>
          <w:pgMar w:top="1400" w:right="640" w:bottom="280" w:left="600" w:header="676" w:footer="0" w:gutter="0"/>
          <w:cols w:space="720"/>
        </w:sectPr>
      </w:pPr>
    </w:p>
    <w:p w:rsidR="00E675F0" w:rsidRDefault="00E675F0" w:rsidP="00E675F0">
      <w:pPr>
        <w:pStyle w:val="BodyText"/>
        <w:spacing w:before="123" w:line="256" w:lineRule="auto"/>
        <w:ind w:left="118" w:right="124"/>
        <w:jc w:val="both"/>
      </w:pPr>
      <w:bookmarkStart w:id="147" w:name="_bookmark128"/>
      <w:bookmarkEnd w:id="147"/>
      <w:r>
        <w:rPr>
          <w:w w:val="105"/>
        </w:rPr>
        <w:lastRenderedPageBreak/>
        <w:t>wide fluctuations in dose on successive days, but there is often an increase in dose over time.</w:t>
      </w:r>
    </w:p>
    <w:p w:rsidR="00E675F0" w:rsidRDefault="00E675F0" w:rsidP="00E675F0">
      <w:pPr>
        <w:pStyle w:val="BodyText"/>
        <w:spacing w:line="254" w:lineRule="auto"/>
        <w:ind w:left="115" w:right="124" w:firstLine="363"/>
        <w:jc w:val="both"/>
      </w:pPr>
      <w:r>
        <w:rPr>
          <w:w w:val="105"/>
        </w:rPr>
        <w:t>Cocaine smoking and intravenous use tend to be particularly associated with a rapid progression from use to abuse or dependence, often occurring over weeks to months. Intranasal use is associated with a more gradual progression, usually occurring over months to years. Dependence is commonly associated with a progressive  tolerance to the desirable effects of cocaine leading to increasing doses. With continuing use, there  is a diminution of pleasurable effects due to tolerance and an increase in dysphoric effects. Few data are available on the long-term course of Cocaine Use</w:t>
      </w:r>
      <w:r>
        <w:rPr>
          <w:spacing w:val="-14"/>
          <w:w w:val="105"/>
        </w:rPr>
        <w:t xml:space="preserve"> </w:t>
      </w:r>
      <w:r>
        <w:rPr>
          <w:w w:val="105"/>
        </w:rPr>
        <w:t>Disorders.</w:t>
      </w:r>
    </w:p>
    <w:p w:rsidR="00E675F0" w:rsidRDefault="00E675F0" w:rsidP="00E675F0">
      <w:pPr>
        <w:pStyle w:val="BodyText"/>
        <w:rPr>
          <w:sz w:val="22"/>
        </w:rPr>
      </w:pPr>
    </w:p>
    <w:p w:rsidR="00E675F0" w:rsidRDefault="00E675F0" w:rsidP="00E675F0">
      <w:pPr>
        <w:spacing w:before="130"/>
        <w:ind w:left="110"/>
        <w:jc w:val="both"/>
        <w:rPr>
          <w:rFonts w:ascii="TimesNewRomanPS-BoldItalicMT"/>
          <w:b/>
          <w:i/>
          <w:sz w:val="24"/>
        </w:rPr>
      </w:pPr>
      <w:r>
        <w:rPr>
          <w:rFonts w:ascii="TimesNewRomanPS-BoldItalicMT"/>
          <w:b/>
          <w:i/>
          <w:w w:val="120"/>
          <w:sz w:val="24"/>
        </w:rPr>
        <w:t>Differential magnosis</w:t>
      </w:r>
    </w:p>
    <w:p w:rsidR="00E675F0" w:rsidRDefault="00E675F0" w:rsidP="00E675F0">
      <w:pPr>
        <w:pStyle w:val="BodyText"/>
        <w:spacing w:before="142"/>
        <w:ind w:left="122"/>
        <w:jc w:val="both"/>
      </w:pPr>
      <w:r>
        <w:rPr>
          <w:w w:val="105"/>
        </w:rPr>
        <w:t>For a general discussion of the differential diagnosis of Substance-Related Disorders, see</w:t>
      </w:r>
    </w:p>
    <w:p w:rsidR="00E675F0" w:rsidRDefault="00E675F0" w:rsidP="00E675F0">
      <w:pPr>
        <w:spacing w:before="10" w:line="254" w:lineRule="auto"/>
        <w:ind w:left="112" w:right="135" w:firstLine="13"/>
        <w:jc w:val="both"/>
        <w:rPr>
          <w:b/>
          <w:sz w:val="20"/>
        </w:rPr>
      </w:pPr>
      <w:r>
        <w:rPr>
          <w:w w:val="105"/>
          <w:sz w:val="20"/>
        </w:rPr>
        <w:t xml:space="preserve">p. 190. Cocaine-Induced Disorders may be characterized by symptoms (e.g., depressed mood) that resemble </w:t>
      </w:r>
      <w:r>
        <w:rPr>
          <w:b/>
          <w:w w:val="105"/>
          <w:sz w:val="20"/>
        </w:rPr>
        <w:t xml:space="preserve">primary mental disorders </w:t>
      </w:r>
      <w:r>
        <w:rPr>
          <w:w w:val="105"/>
          <w:sz w:val="20"/>
        </w:rPr>
        <w:t>(e.g., Major Depressive Disorder versus Cocaine-Induced Mood Disorder, With Depressive Features, With Onset During Withdrawal).</w:t>
      </w:r>
      <w:r>
        <w:rPr>
          <w:spacing w:val="6"/>
          <w:w w:val="105"/>
          <w:sz w:val="20"/>
        </w:rPr>
        <w:t xml:space="preserve"> </w:t>
      </w:r>
      <w:r>
        <w:rPr>
          <w:w w:val="105"/>
          <w:sz w:val="20"/>
        </w:rPr>
        <w:t>Seep.</w:t>
      </w:r>
      <w:r>
        <w:rPr>
          <w:spacing w:val="-13"/>
          <w:w w:val="105"/>
          <w:sz w:val="20"/>
        </w:rPr>
        <w:t xml:space="preserve"> </w:t>
      </w:r>
      <w:r>
        <w:rPr>
          <w:w w:val="105"/>
          <w:sz w:val="20"/>
        </w:rPr>
        <w:t>193</w:t>
      </w:r>
      <w:r>
        <w:rPr>
          <w:spacing w:val="-22"/>
          <w:w w:val="105"/>
          <w:sz w:val="20"/>
        </w:rPr>
        <w:t xml:space="preserve"> </w:t>
      </w:r>
      <w:r>
        <w:rPr>
          <w:w w:val="105"/>
          <w:sz w:val="20"/>
        </w:rPr>
        <w:t>for</w:t>
      </w:r>
      <w:r>
        <w:rPr>
          <w:spacing w:val="-14"/>
          <w:w w:val="105"/>
          <w:sz w:val="20"/>
        </w:rPr>
        <w:t xml:space="preserve"> </w:t>
      </w:r>
      <w:r>
        <w:rPr>
          <w:w w:val="105"/>
          <w:sz w:val="20"/>
        </w:rPr>
        <w:t>a</w:t>
      </w:r>
      <w:r>
        <w:rPr>
          <w:spacing w:val="-12"/>
          <w:w w:val="105"/>
          <w:sz w:val="20"/>
        </w:rPr>
        <w:t xml:space="preserve"> </w:t>
      </w:r>
      <w:r>
        <w:rPr>
          <w:w w:val="105"/>
          <w:sz w:val="20"/>
        </w:rPr>
        <w:t>discussion</w:t>
      </w:r>
      <w:r>
        <w:rPr>
          <w:spacing w:val="1"/>
          <w:w w:val="105"/>
          <w:sz w:val="20"/>
        </w:rPr>
        <w:t xml:space="preserve"> </w:t>
      </w:r>
      <w:r>
        <w:rPr>
          <w:w w:val="105"/>
          <w:sz w:val="20"/>
        </w:rPr>
        <w:t>of</w:t>
      </w:r>
      <w:r>
        <w:rPr>
          <w:spacing w:val="-6"/>
          <w:w w:val="105"/>
          <w:sz w:val="20"/>
        </w:rPr>
        <w:t xml:space="preserve"> </w:t>
      </w:r>
      <w:r>
        <w:rPr>
          <w:w w:val="105"/>
          <w:sz w:val="20"/>
        </w:rPr>
        <w:t>this</w:t>
      </w:r>
      <w:r>
        <w:rPr>
          <w:spacing w:val="-13"/>
          <w:w w:val="105"/>
          <w:sz w:val="20"/>
        </w:rPr>
        <w:t xml:space="preserve"> </w:t>
      </w:r>
      <w:r>
        <w:rPr>
          <w:w w:val="105"/>
          <w:sz w:val="20"/>
        </w:rPr>
        <w:t>differential</w:t>
      </w:r>
      <w:r>
        <w:rPr>
          <w:spacing w:val="-6"/>
          <w:w w:val="105"/>
          <w:sz w:val="20"/>
        </w:rPr>
        <w:t xml:space="preserve"> </w:t>
      </w:r>
      <w:r>
        <w:rPr>
          <w:w w:val="105"/>
          <w:sz w:val="20"/>
        </w:rPr>
        <w:t>diagnosis.</w:t>
      </w:r>
      <w:r>
        <w:rPr>
          <w:spacing w:val="-7"/>
          <w:w w:val="105"/>
          <w:sz w:val="20"/>
        </w:rPr>
        <w:t xml:space="preserve"> </w:t>
      </w:r>
      <w:r>
        <w:rPr>
          <w:w w:val="105"/>
          <w:sz w:val="20"/>
        </w:rPr>
        <w:t>The</w:t>
      </w:r>
      <w:r>
        <w:rPr>
          <w:spacing w:val="-8"/>
          <w:w w:val="105"/>
          <w:sz w:val="20"/>
        </w:rPr>
        <w:t xml:space="preserve"> </w:t>
      </w:r>
      <w:r>
        <w:rPr>
          <w:w w:val="105"/>
          <w:sz w:val="20"/>
        </w:rPr>
        <w:t>marked</w:t>
      </w:r>
      <w:r>
        <w:rPr>
          <w:spacing w:val="2"/>
          <w:w w:val="105"/>
          <w:sz w:val="20"/>
        </w:rPr>
        <w:t xml:space="preserve"> </w:t>
      </w:r>
      <w:r>
        <w:rPr>
          <w:w w:val="105"/>
          <w:sz w:val="20"/>
        </w:rPr>
        <w:t xml:space="preserve">mental disturbances that can result from the effects of cocaine should be distinguished from the symptoms of </w:t>
      </w:r>
      <w:r>
        <w:rPr>
          <w:b/>
          <w:w w:val="105"/>
          <w:sz w:val="20"/>
        </w:rPr>
        <w:t xml:space="preserve">Schizophrenia, Paranoid Type, Bipolar </w:t>
      </w:r>
      <w:r>
        <w:rPr>
          <w:w w:val="105"/>
          <w:sz w:val="20"/>
        </w:rPr>
        <w:t xml:space="preserve">and </w:t>
      </w:r>
      <w:r>
        <w:rPr>
          <w:b/>
          <w:w w:val="105"/>
          <w:sz w:val="20"/>
        </w:rPr>
        <w:t xml:space="preserve">other Mood Disorders, Generalized Anxiety Disorder, </w:t>
      </w:r>
      <w:r>
        <w:rPr>
          <w:w w:val="105"/>
          <w:sz w:val="20"/>
        </w:rPr>
        <w:t xml:space="preserve">and </w:t>
      </w:r>
      <w:r>
        <w:rPr>
          <w:b/>
          <w:w w:val="105"/>
          <w:sz w:val="20"/>
        </w:rPr>
        <w:t>Panic</w:t>
      </w:r>
      <w:r>
        <w:rPr>
          <w:b/>
          <w:spacing w:val="-15"/>
          <w:w w:val="105"/>
          <w:sz w:val="20"/>
        </w:rPr>
        <w:t xml:space="preserve"> </w:t>
      </w:r>
      <w:r>
        <w:rPr>
          <w:b/>
          <w:w w:val="105"/>
          <w:sz w:val="20"/>
        </w:rPr>
        <w:t>Disorder.</w:t>
      </w:r>
    </w:p>
    <w:p w:rsidR="00E675F0" w:rsidRDefault="00E675F0" w:rsidP="00E675F0">
      <w:pPr>
        <w:pStyle w:val="BodyText"/>
        <w:spacing w:before="5" w:line="252" w:lineRule="auto"/>
        <w:ind w:left="115" w:right="110" w:firstLine="364"/>
        <w:jc w:val="both"/>
      </w:pPr>
      <w:r>
        <w:rPr>
          <w:b/>
          <w:w w:val="105"/>
        </w:rPr>
        <w:t xml:space="preserve">Amphetamine Intoxication </w:t>
      </w:r>
      <w:r>
        <w:rPr>
          <w:w w:val="105"/>
        </w:rPr>
        <w:t xml:space="preserve">and  </w:t>
      </w:r>
      <w:r>
        <w:rPr>
          <w:b/>
          <w:w w:val="105"/>
        </w:rPr>
        <w:t xml:space="preserve">Phencyclidine  Intoxication  </w:t>
      </w:r>
      <w:r>
        <w:rPr>
          <w:w w:val="105"/>
        </w:rPr>
        <w:t>may  cause  a similar clinical picture and can often only be distinguished  from Cocaine Intoxication by</w:t>
      </w:r>
      <w:r>
        <w:rPr>
          <w:spacing w:val="-14"/>
          <w:w w:val="105"/>
        </w:rPr>
        <w:t xml:space="preserve"> </w:t>
      </w:r>
      <w:r>
        <w:rPr>
          <w:w w:val="105"/>
        </w:rPr>
        <w:t>the</w:t>
      </w:r>
      <w:r>
        <w:rPr>
          <w:spacing w:val="-6"/>
          <w:w w:val="105"/>
        </w:rPr>
        <w:t xml:space="preserve"> </w:t>
      </w:r>
      <w:r>
        <w:rPr>
          <w:w w:val="105"/>
        </w:rPr>
        <w:t>presence</w:t>
      </w:r>
      <w:r>
        <w:rPr>
          <w:spacing w:val="-8"/>
          <w:w w:val="105"/>
        </w:rPr>
        <w:t xml:space="preserve"> </w:t>
      </w:r>
      <w:r>
        <w:rPr>
          <w:w w:val="105"/>
        </w:rPr>
        <w:t>of</w:t>
      </w:r>
      <w:r>
        <w:rPr>
          <w:spacing w:val="-6"/>
          <w:w w:val="105"/>
        </w:rPr>
        <w:t xml:space="preserve"> </w:t>
      </w:r>
      <w:r>
        <w:rPr>
          <w:w w:val="105"/>
        </w:rPr>
        <w:t>cocaine</w:t>
      </w:r>
      <w:r>
        <w:rPr>
          <w:spacing w:val="-3"/>
          <w:w w:val="105"/>
        </w:rPr>
        <w:t xml:space="preserve"> </w:t>
      </w:r>
      <w:r>
        <w:rPr>
          <w:w w:val="105"/>
        </w:rPr>
        <w:t>metabolites</w:t>
      </w:r>
      <w:r>
        <w:rPr>
          <w:spacing w:val="3"/>
          <w:w w:val="105"/>
        </w:rPr>
        <w:t xml:space="preserve"> </w:t>
      </w:r>
      <w:r>
        <w:rPr>
          <w:w w:val="105"/>
        </w:rPr>
        <w:t>in</w:t>
      </w:r>
      <w:r>
        <w:rPr>
          <w:spacing w:val="-15"/>
          <w:w w:val="105"/>
        </w:rPr>
        <w:t xml:space="preserve"> </w:t>
      </w:r>
      <w:r>
        <w:rPr>
          <w:w w:val="105"/>
        </w:rPr>
        <w:t>a</w:t>
      </w:r>
      <w:r>
        <w:rPr>
          <w:spacing w:val="-8"/>
          <w:w w:val="105"/>
        </w:rPr>
        <w:t xml:space="preserve"> </w:t>
      </w:r>
      <w:r>
        <w:rPr>
          <w:w w:val="105"/>
        </w:rPr>
        <w:t>urine</w:t>
      </w:r>
      <w:r>
        <w:rPr>
          <w:spacing w:val="-14"/>
          <w:w w:val="105"/>
        </w:rPr>
        <w:t xml:space="preserve"> </w:t>
      </w:r>
      <w:r>
        <w:rPr>
          <w:w w:val="105"/>
        </w:rPr>
        <w:t>specimen</w:t>
      </w:r>
      <w:r>
        <w:rPr>
          <w:spacing w:val="4"/>
          <w:w w:val="105"/>
        </w:rPr>
        <w:t xml:space="preserve"> </w:t>
      </w:r>
      <w:r>
        <w:rPr>
          <w:w w:val="105"/>
        </w:rPr>
        <w:t>or</w:t>
      </w:r>
      <w:r>
        <w:rPr>
          <w:spacing w:val="-16"/>
          <w:w w:val="105"/>
        </w:rPr>
        <w:t xml:space="preserve"> </w:t>
      </w:r>
      <w:r>
        <w:rPr>
          <w:w w:val="105"/>
        </w:rPr>
        <w:t>cocaine</w:t>
      </w:r>
      <w:r>
        <w:rPr>
          <w:spacing w:val="-9"/>
          <w:w w:val="105"/>
        </w:rPr>
        <w:t xml:space="preserve"> </w:t>
      </w:r>
      <w:r>
        <w:rPr>
          <w:w w:val="105"/>
        </w:rPr>
        <w:t>in</w:t>
      </w:r>
      <w:r>
        <w:rPr>
          <w:spacing w:val="-7"/>
          <w:w w:val="105"/>
        </w:rPr>
        <w:t xml:space="preserve"> </w:t>
      </w:r>
      <w:r>
        <w:rPr>
          <w:w w:val="105"/>
        </w:rPr>
        <w:t>plasma.</w:t>
      </w:r>
      <w:r>
        <w:rPr>
          <w:spacing w:val="-11"/>
          <w:w w:val="105"/>
        </w:rPr>
        <w:t xml:space="preserve"> </w:t>
      </w:r>
      <w:r>
        <w:rPr>
          <w:w w:val="105"/>
        </w:rPr>
        <w:t xml:space="preserve">Cocaine Intoxication and Cocaine Withdrawal are distinguished from the other </w:t>
      </w:r>
      <w:r>
        <w:rPr>
          <w:b/>
          <w:w w:val="105"/>
        </w:rPr>
        <w:t xml:space="preserve">Cocaine-Induced Disorders </w:t>
      </w:r>
      <w:r>
        <w:rPr>
          <w:w w:val="105"/>
        </w:rPr>
        <w:t>(e.g., Cocaine-Induced Anxiety Disorder, With Onset During Intoxication) because the symptoms in these latter disorders are in excess of those usually associated with Cocaine Intoxication or Cocaine Withdrawal and are severe enough to warrant independent clinical</w:t>
      </w:r>
      <w:r>
        <w:rPr>
          <w:spacing w:val="-21"/>
          <w:w w:val="105"/>
        </w:rPr>
        <w:t xml:space="preserve"> </w:t>
      </w:r>
      <w:r>
        <w:rPr>
          <w:w w:val="105"/>
        </w:rPr>
        <w:t>attention.</w:t>
      </w:r>
    </w:p>
    <w:p w:rsidR="00E675F0" w:rsidRDefault="00E675F0" w:rsidP="00E675F0">
      <w:pPr>
        <w:pStyle w:val="BodyText"/>
        <w:rPr>
          <w:sz w:val="22"/>
        </w:rPr>
      </w:pPr>
    </w:p>
    <w:p w:rsidR="00E675F0" w:rsidRDefault="00E675F0" w:rsidP="00E675F0">
      <w:pPr>
        <w:pStyle w:val="BodyText"/>
        <w:spacing w:before="2"/>
        <w:rPr>
          <w:sz w:val="23"/>
        </w:rPr>
      </w:pPr>
    </w:p>
    <w:p w:rsidR="00E675F0" w:rsidRDefault="00E675F0" w:rsidP="00E675F0">
      <w:pPr>
        <w:ind w:left="177"/>
        <w:jc w:val="both"/>
        <w:rPr>
          <w:rFonts w:ascii="Arial"/>
          <w:b/>
          <w:sz w:val="25"/>
        </w:rPr>
      </w:pPr>
      <w:r>
        <w:rPr>
          <w:rFonts w:ascii="Arial"/>
          <w:b/>
          <w:w w:val="110"/>
          <w:sz w:val="25"/>
        </w:rPr>
        <w:t>292.9 Cocaine-Related Disorder Not Otherwise Specified</w:t>
      </w:r>
    </w:p>
    <w:p w:rsidR="00E675F0" w:rsidRDefault="00E675F0" w:rsidP="00E675F0">
      <w:pPr>
        <w:pStyle w:val="BodyText"/>
        <w:spacing w:before="7"/>
        <w:rPr>
          <w:rFonts w:ascii="Arial"/>
          <w:b/>
          <w:sz w:val="22"/>
        </w:rPr>
      </w:pPr>
    </w:p>
    <w:p w:rsidR="00E675F0" w:rsidRDefault="00E675F0" w:rsidP="00E675F0">
      <w:pPr>
        <w:pStyle w:val="BodyText"/>
        <w:spacing w:line="249" w:lineRule="auto"/>
        <w:ind w:left="117" w:right="122" w:hanging="4"/>
        <w:jc w:val="both"/>
      </w:pPr>
      <w:r>
        <w:rPr>
          <w:w w:val="105"/>
        </w:rPr>
        <w:t>The Cocaine-Related Disorder Not Otherwise Specified category is for disorders associ­ ated with the use of cocaine that are not classifiable as Cocaine Dependence, Cocaine Abuse, Cocaine Intoxication, Cocaine Withdrawal, Cocaine Intoxication Delirium, Cocaine-Induced Psychotic Disorder, Cocaine-Induced Mood Disorder, Cocaine­ Induced Anxiety Disorder, Cocaine-Induced Sexual Dysfunction, or Cocaine-Induced Sleep Disorder.</w:t>
      </w:r>
    </w:p>
    <w:p w:rsidR="00E675F0" w:rsidRDefault="00E675F0" w:rsidP="00E675F0">
      <w:pPr>
        <w:pStyle w:val="BodyText"/>
      </w:pPr>
    </w:p>
    <w:p w:rsidR="00E675F0" w:rsidRDefault="00E675F0" w:rsidP="00E675F0">
      <w:pPr>
        <w:pStyle w:val="BodyText"/>
        <w:spacing w:before="5"/>
        <w:rPr>
          <w:sz w:val="27"/>
        </w:rPr>
      </w:pPr>
      <w:r>
        <w:rPr>
          <w:noProof/>
        </w:rPr>
        <mc:AlternateContent>
          <mc:Choice Requires="wps">
            <w:drawing>
              <wp:anchor distT="0" distB="0" distL="0" distR="0" simplePos="0" relativeHeight="251883520" behindDoc="1" locked="0" layoutInCell="1" allowOverlap="1" wp14:anchorId="75942491" wp14:editId="4F4BB5C7">
                <wp:simplePos x="0" y="0"/>
                <wp:positionH relativeFrom="page">
                  <wp:posOffset>476250</wp:posOffset>
                </wp:positionH>
                <wp:positionV relativeFrom="paragraph">
                  <wp:posOffset>227330</wp:posOffset>
                </wp:positionV>
                <wp:extent cx="1014730" cy="1270"/>
                <wp:effectExtent l="0" t="0" r="1270" b="0"/>
                <wp:wrapTopAndBottom/>
                <wp:docPr id="1341" name="Freeform 1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4730" cy="1270"/>
                        </a:xfrm>
                        <a:custGeom>
                          <a:avLst/>
                          <a:gdLst>
                            <a:gd name="T0" fmla="+- 0 750 750"/>
                            <a:gd name="T1" fmla="*/ T0 w 1598"/>
                            <a:gd name="T2" fmla="+- 0 2347 750"/>
                            <a:gd name="T3" fmla="*/ T2 w 1598"/>
                          </a:gdLst>
                          <a:ahLst/>
                          <a:cxnLst>
                            <a:cxn ang="0">
                              <a:pos x="T1" y="0"/>
                            </a:cxn>
                            <a:cxn ang="0">
                              <a:pos x="T3" y="0"/>
                            </a:cxn>
                          </a:cxnLst>
                          <a:rect l="0" t="0" r="r" b="b"/>
                          <a:pathLst>
                            <a:path w="1598">
                              <a:moveTo>
                                <a:pt x="0" y="0"/>
                              </a:moveTo>
                              <a:lnTo>
                                <a:pt x="1597" y="0"/>
                              </a:lnTo>
                            </a:path>
                          </a:pathLst>
                        </a:custGeom>
                        <a:noFill/>
                        <a:ln w="305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A73BD" id="Freeform 1297" o:spid="_x0000_s1026" style="position:absolute;margin-left:37.5pt;margin-top:17.9pt;width:79.9pt;height:.1pt;z-index:-251432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98,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" path="m,l1597,e" filled="f" strokeweight=".08478mm">
                <v:path arrowok="t" o:connecttype="custom" o:connectlocs="0,0;1014095,0" o:connectangles="0,0"/>
                <w10:wrap type="topAndBottom" anchorx="page"/>
              </v:shape>
            </w:pict>
          </mc:Fallback>
        </mc:AlternateContent>
      </w:r>
      <w:r>
        <w:rPr>
          <w:noProof/>
        </w:rPr>
        <mc:AlternateContent>
          <mc:Choice Requires="wps">
            <w:drawing>
              <wp:anchor distT="0" distB="0" distL="0" distR="0" simplePos="0" relativeHeight="251884544" behindDoc="1" locked="0" layoutInCell="1" allowOverlap="1" wp14:anchorId="26896ABC" wp14:editId="00D0872A">
                <wp:simplePos x="0" y="0"/>
                <wp:positionH relativeFrom="page">
                  <wp:posOffset>4337685</wp:posOffset>
                </wp:positionH>
                <wp:positionV relativeFrom="paragraph">
                  <wp:posOffset>227330</wp:posOffset>
                </wp:positionV>
                <wp:extent cx="868045" cy="1270"/>
                <wp:effectExtent l="0" t="0" r="0" b="0"/>
                <wp:wrapTopAndBottom/>
                <wp:docPr id="1340" name="Freeform 1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8045" cy="1270"/>
                        </a:xfrm>
                        <a:custGeom>
                          <a:avLst/>
                          <a:gdLst>
                            <a:gd name="T0" fmla="+- 0 6831 6831"/>
                            <a:gd name="T1" fmla="*/ T0 w 1367"/>
                            <a:gd name="T2" fmla="+- 0 8197 6831"/>
                            <a:gd name="T3" fmla="*/ T2 w 1367"/>
                          </a:gdLst>
                          <a:ahLst/>
                          <a:cxnLst>
                            <a:cxn ang="0">
                              <a:pos x="T1" y="0"/>
                            </a:cxn>
                            <a:cxn ang="0">
                              <a:pos x="T3" y="0"/>
                            </a:cxn>
                          </a:cxnLst>
                          <a:rect l="0" t="0" r="r" b="b"/>
                          <a:pathLst>
                            <a:path w="1367">
                              <a:moveTo>
                                <a:pt x="0" y="0"/>
                              </a:moveTo>
                              <a:lnTo>
                                <a:pt x="1366" y="0"/>
                              </a:lnTo>
                            </a:path>
                          </a:pathLst>
                        </a:custGeom>
                        <a:noFill/>
                        <a:ln w="305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B60FB" id="Freeform 1296" o:spid="_x0000_s1026" style="position:absolute;margin-left:341.55pt;margin-top:17.9pt;width:68.35pt;height:.1pt;z-index:-251431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" path="m,l1366,e" filled="f" strokeweight=".08478mm">
                <v:path arrowok="t" o:connecttype="custom" o:connectlocs="0,0;867410,0" o:connectangles="0,0"/>
                <w10:wrap type="topAndBottom" anchorx="page"/>
              </v:shape>
            </w:pict>
          </mc:Fallback>
        </mc:AlternateContent>
      </w:r>
    </w:p>
    <w:p w:rsidR="00E675F0" w:rsidRDefault="00E675F0" w:rsidP="00E675F0">
      <w:pPr>
        <w:spacing w:before="113"/>
        <w:ind w:left="121" w:right="119"/>
        <w:jc w:val="center"/>
        <w:rPr>
          <w:rFonts w:ascii="Arial"/>
          <w:b/>
          <w:sz w:val="25"/>
        </w:rPr>
      </w:pPr>
      <w:r>
        <w:rPr>
          <w:rFonts w:ascii="Arial"/>
          <w:b/>
          <w:color w:val="1A1A1A"/>
          <w:w w:val="110"/>
          <w:sz w:val="25"/>
        </w:rPr>
        <w:t>Hallucinogen-Related Disorders</w:t>
      </w:r>
    </w:p>
    <w:p w:rsidR="00E675F0" w:rsidRDefault="00E675F0" w:rsidP="00E675F0">
      <w:pPr>
        <w:pStyle w:val="BodyText"/>
        <w:spacing w:before="1"/>
        <w:rPr>
          <w:rFonts w:ascii="Arial"/>
          <w:b/>
          <w:sz w:val="25"/>
        </w:rPr>
      </w:pPr>
    </w:p>
    <w:p w:rsidR="00E675F0" w:rsidRDefault="00E675F0" w:rsidP="00E675F0">
      <w:pPr>
        <w:pStyle w:val="BodyText"/>
        <w:spacing w:line="254" w:lineRule="auto"/>
        <w:ind w:left="123" w:right="127" w:hanging="9"/>
        <w:jc w:val="both"/>
      </w:pPr>
      <w:r>
        <w:rPr>
          <w:w w:val="105"/>
        </w:rPr>
        <w:t>This diverse group of substances includes ergot and related compounds (lysergic acid diethylamide [LSD], morning glory seeds), phenylalkylamines (mescaline, "STP" [2,5- dimethoxy-4-methylamphetaminel, and MDMA</w:t>
      </w:r>
      <w:r>
        <w:rPr>
          <w:spacing w:val="-23"/>
          <w:w w:val="105"/>
        </w:rPr>
        <w:t xml:space="preserve"> </w:t>
      </w:r>
      <w:r>
        <w:rPr>
          <w:w w:val="105"/>
        </w:rPr>
        <w:t>[3,4-methylenedioxymethamphetamine; also called "Ecstasy"]), indole alkaloids (psilocybin, DMT [dimethyltryptamine]), and miscellaneous other compounds. Excluded from this group are phencyclidine (PCP)</w:t>
      </w:r>
    </w:p>
    <w:p w:rsidR="00E675F0" w:rsidRDefault="00E675F0" w:rsidP="00E675F0">
      <w:pPr>
        <w:spacing w:line="254" w:lineRule="auto"/>
        <w:jc w:val="both"/>
        <w:sectPr w:rsidR="00E675F0">
          <w:headerReference w:type="even" r:id="rId191"/>
          <w:headerReference w:type="default" r:id="rId192"/>
          <w:pgSz w:w="8960" w:h="14260"/>
          <w:pgMar w:top="1400" w:right="620" w:bottom="280" w:left="620" w:header="698" w:footer="0" w:gutter="0"/>
          <w:pgNumType w:start="229"/>
          <w:cols w:space="720"/>
        </w:sectPr>
      </w:pPr>
    </w:p>
    <w:p w:rsidR="00E675F0" w:rsidRDefault="00E675F0" w:rsidP="00E675F0">
      <w:pPr>
        <w:pStyle w:val="BodyText"/>
        <w:spacing w:before="116" w:line="256" w:lineRule="auto"/>
        <w:ind w:left="156" w:right="140" w:firstLine="1"/>
        <w:jc w:val="both"/>
      </w:pPr>
      <w:bookmarkStart w:id="148" w:name="_bookmark129"/>
      <w:bookmarkEnd w:id="148"/>
      <w:r>
        <w:rPr>
          <w:w w:val="105"/>
        </w:rPr>
        <w:lastRenderedPageBreak/>
        <w:t>(p. 255) and cannabis and its active  compound,  delta-9-tetrahydrocannabinol  (THC) (p. 215). Although these substances can have hallucinogenic effects, they are discussed separately because of significant differences in their other psychological and behavioral effects. Hallucinogens are usually taken orally, although DMT is smoked, and use by injection does</w:t>
      </w:r>
      <w:r>
        <w:rPr>
          <w:spacing w:val="22"/>
          <w:w w:val="105"/>
        </w:rPr>
        <w:t xml:space="preserve"> </w:t>
      </w:r>
      <w:r>
        <w:rPr>
          <w:w w:val="105"/>
        </w:rPr>
        <w:t>occur.</w:t>
      </w:r>
    </w:p>
    <w:p w:rsidR="00E675F0" w:rsidRDefault="00E675F0" w:rsidP="00E675F0">
      <w:pPr>
        <w:pStyle w:val="BodyText"/>
        <w:spacing w:line="254" w:lineRule="auto"/>
        <w:ind w:left="156" w:right="132" w:firstLine="364"/>
        <w:jc w:val="both"/>
      </w:pPr>
      <w:r>
        <w:rPr>
          <w:w w:val="105"/>
        </w:rPr>
        <w:t>This section contains discussions specific to the Hallucinogen-Related Disorders. Texts and criteria sets have already been provided to define the generic aspects of Substance Dependence (p. 176) and Substance Abuse (p. 182) that apply across all substances. Texts specific to Hallucinogen Dependence and Abuse are provided below; however, there are no additional specific criteria sets for Hallucinogen Dependence or Hallucinogen Abuse. A specific text and criteria set for Hallucinogen Intoxication is also provided below. Tolerance develops with repeated use, but a withdrawal from these substances has not been well documented. For this reason, the diagnosis of hallucinogen withdrawal is not included in this manual. The Hallucinogen-Induced Disorders (other than Hallucinogen Intoxication) are described in the sections of the manual with disorders with which they share phenomenology (e.g., Hallucinogen-Induced Mood Disorder</w:t>
      </w:r>
      <w:r>
        <w:rPr>
          <w:spacing w:val="-10"/>
          <w:w w:val="105"/>
        </w:rPr>
        <w:t xml:space="preserve"> </w:t>
      </w:r>
      <w:r>
        <w:rPr>
          <w:w w:val="105"/>
        </w:rPr>
        <w:t>is</w:t>
      </w:r>
      <w:r>
        <w:rPr>
          <w:spacing w:val="-18"/>
          <w:w w:val="105"/>
        </w:rPr>
        <w:t xml:space="preserve"> </w:t>
      </w:r>
      <w:r>
        <w:rPr>
          <w:w w:val="105"/>
        </w:rPr>
        <w:t>included</w:t>
      </w:r>
      <w:r>
        <w:rPr>
          <w:spacing w:val="-9"/>
          <w:w w:val="105"/>
        </w:rPr>
        <w:t xml:space="preserve"> </w:t>
      </w:r>
      <w:r>
        <w:rPr>
          <w:w w:val="105"/>
        </w:rPr>
        <w:t>in</w:t>
      </w:r>
      <w:r>
        <w:rPr>
          <w:spacing w:val="-8"/>
          <w:w w:val="105"/>
        </w:rPr>
        <w:t xml:space="preserve"> </w:t>
      </w:r>
      <w:r>
        <w:rPr>
          <w:w w:val="105"/>
        </w:rPr>
        <w:t>the</w:t>
      </w:r>
      <w:r>
        <w:rPr>
          <w:spacing w:val="-17"/>
          <w:w w:val="105"/>
        </w:rPr>
        <w:t xml:space="preserve"> </w:t>
      </w:r>
      <w:r>
        <w:rPr>
          <w:w w:val="105"/>
        </w:rPr>
        <w:t>"Mood</w:t>
      </w:r>
      <w:r>
        <w:rPr>
          <w:spacing w:val="-5"/>
          <w:w w:val="105"/>
        </w:rPr>
        <w:t xml:space="preserve"> </w:t>
      </w:r>
      <w:r>
        <w:rPr>
          <w:w w:val="105"/>
        </w:rPr>
        <w:t>Disorders"</w:t>
      </w:r>
      <w:r>
        <w:rPr>
          <w:spacing w:val="-11"/>
          <w:w w:val="105"/>
        </w:rPr>
        <w:t xml:space="preserve"> </w:t>
      </w:r>
      <w:r>
        <w:rPr>
          <w:w w:val="105"/>
        </w:rPr>
        <w:t>section).</w:t>
      </w:r>
      <w:r>
        <w:rPr>
          <w:spacing w:val="-6"/>
          <w:w w:val="105"/>
        </w:rPr>
        <w:t xml:space="preserve"> </w:t>
      </w:r>
      <w:r>
        <w:rPr>
          <w:w w:val="105"/>
        </w:rPr>
        <w:t>Listed</w:t>
      </w:r>
      <w:r>
        <w:rPr>
          <w:spacing w:val="-4"/>
          <w:w w:val="105"/>
        </w:rPr>
        <w:t xml:space="preserve"> </w:t>
      </w:r>
      <w:r>
        <w:rPr>
          <w:w w:val="105"/>
        </w:rPr>
        <w:t>below</w:t>
      </w:r>
      <w:r>
        <w:rPr>
          <w:spacing w:val="-14"/>
          <w:w w:val="105"/>
        </w:rPr>
        <w:t xml:space="preserve"> </w:t>
      </w:r>
      <w:r>
        <w:rPr>
          <w:w w:val="105"/>
        </w:rPr>
        <w:t>are</w:t>
      </w:r>
      <w:r>
        <w:rPr>
          <w:spacing w:val="-10"/>
          <w:w w:val="105"/>
        </w:rPr>
        <w:t xml:space="preserve"> </w:t>
      </w:r>
      <w:r>
        <w:rPr>
          <w:w w:val="105"/>
        </w:rPr>
        <w:t>the</w:t>
      </w:r>
      <w:r>
        <w:rPr>
          <w:spacing w:val="-13"/>
          <w:w w:val="105"/>
        </w:rPr>
        <w:t xml:space="preserve"> </w:t>
      </w:r>
      <w:r>
        <w:rPr>
          <w:w w:val="105"/>
        </w:rPr>
        <w:t>Hallucinogen Use Disorders and the Hallucinogen-Induced</w:t>
      </w:r>
      <w:r>
        <w:rPr>
          <w:spacing w:val="1"/>
          <w:w w:val="105"/>
        </w:rPr>
        <w:t xml:space="preserve"> </w:t>
      </w:r>
      <w:r>
        <w:rPr>
          <w:w w:val="105"/>
        </w:rPr>
        <w:t>Disorders.</w:t>
      </w:r>
    </w:p>
    <w:p w:rsidR="00E675F0" w:rsidRDefault="00E675F0" w:rsidP="00E675F0">
      <w:pPr>
        <w:pStyle w:val="BodyText"/>
        <w:spacing w:before="10"/>
        <w:rPr>
          <w:sz w:val="30"/>
        </w:rPr>
      </w:pPr>
    </w:p>
    <w:p w:rsidR="00E675F0" w:rsidRDefault="00E675F0" w:rsidP="00E675F0">
      <w:pPr>
        <w:ind w:left="149"/>
        <w:jc w:val="both"/>
        <w:rPr>
          <w:rFonts w:ascii="TimesNewRomanPS-BoldItalicMT"/>
          <w:b/>
          <w:i/>
          <w:sz w:val="24"/>
        </w:rPr>
      </w:pPr>
      <w:r>
        <w:rPr>
          <w:rFonts w:ascii="TimesNewRomanPS-BoldItalicMT"/>
          <w:b/>
          <w:i/>
          <w:w w:val="115"/>
          <w:sz w:val="24"/>
        </w:rPr>
        <w:t>Hallucinogen Use Disorders</w:t>
      </w:r>
    </w:p>
    <w:p w:rsidR="00E675F0" w:rsidRDefault="00E675F0" w:rsidP="00E675F0">
      <w:pPr>
        <w:tabs>
          <w:tab w:val="left" w:pos="1004"/>
        </w:tabs>
        <w:spacing w:before="118" w:line="249" w:lineRule="exact"/>
        <w:ind w:left="167"/>
        <w:rPr>
          <w:sz w:val="20"/>
        </w:rPr>
      </w:pPr>
      <w:r>
        <w:rPr>
          <w:b/>
          <w:w w:val="110"/>
        </w:rPr>
        <w:t>304.50</w:t>
      </w:r>
      <w:r>
        <w:rPr>
          <w:b/>
          <w:w w:val="110"/>
        </w:rPr>
        <w:tab/>
      </w:r>
      <w:r>
        <w:rPr>
          <w:b/>
          <w:w w:val="110"/>
          <w:position w:val="1"/>
          <w:sz w:val="19"/>
        </w:rPr>
        <w:t xml:space="preserve">Hallucinogen Dependence </w:t>
      </w:r>
      <w:r>
        <w:rPr>
          <w:w w:val="110"/>
          <w:position w:val="1"/>
          <w:sz w:val="20"/>
        </w:rPr>
        <w:t>(see p.</w:t>
      </w:r>
      <w:r>
        <w:rPr>
          <w:spacing w:val="-1"/>
          <w:w w:val="110"/>
          <w:position w:val="1"/>
          <w:sz w:val="20"/>
        </w:rPr>
        <w:t xml:space="preserve"> </w:t>
      </w:r>
      <w:r>
        <w:rPr>
          <w:w w:val="110"/>
          <w:position w:val="1"/>
          <w:sz w:val="20"/>
        </w:rPr>
        <w:t>230)</w:t>
      </w:r>
    </w:p>
    <w:p w:rsidR="00E675F0" w:rsidRDefault="00E675F0" w:rsidP="00E675F0">
      <w:pPr>
        <w:tabs>
          <w:tab w:val="left" w:pos="1004"/>
        </w:tabs>
        <w:spacing w:line="249" w:lineRule="exact"/>
        <w:ind w:left="167"/>
        <w:rPr>
          <w:sz w:val="20"/>
        </w:rPr>
      </w:pPr>
      <w:r>
        <w:rPr>
          <w:b/>
          <w:w w:val="110"/>
        </w:rPr>
        <w:t>305.30</w:t>
      </w:r>
      <w:r>
        <w:rPr>
          <w:b/>
          <w:w w:val="110"/>
        </w:rPr>
        <w:tab/>
      </w:r>
      <w:r>
        <w:rPr>
          <w:b/>
          <w:w w:val="110"/>
          <w:position w:val="1"/>
          <w:sz w:val="19"/>
        </w:rPr>
        <w:t xml:space="preserve">Hallucinogen Abuse </w:t>
      </w:r>
      <w:r>
        <w:rPr>
          <w:w w:val="110"/>
          <w:position w:val="1"/>
          <w:sz w:val="20"/>
        </w:rPr>
        <w:t>(seep.</w:t>
      </w:r>
      <w:r>
        <w:rPr>
          <w:spacing w:val="34"/>
          <w:w w:val="110"/>
          <w:position w:val="1"/>
          <w:sz w:val="20"/>
        </w:rPr>
        <w:t xml:space="preserve"> </w:t>
      </w:r>
      <w:r>
        <w:rPr>
          <w:w w:val="110"/>
          <w:position w:val="1"/>
          <w:sz w:val="20"/>
        </w:rPr>
        <w:t>231)</w:t>
      </w:r>
    </w:p>
    <w:p w:rsidR="00E675F0" w:rsidRDefault="00E675F0" w:rsidP="00E675F0">
      <w:pPr>
        <w:pStyle w:val="BodyText"/>
        <w:rPr>
          <w:sz w:val="25"/>
        </w:rPr>
      </w:pPr>
    </w:p>
    <w:p w:rsidR="00E675F0" w:rsidRDefault="00E675F0" w:rsidP="00E675F0">
      <w:pPr>
        <w:spacing w:before="90"/>
        <w:ind w:left="149"/>
        <w:jc w:val="both"/>
        <w:rPr>
          <w:rFonts w:ascii="TimesNewRomanPS-BoldItalicMT"/>
          <w:b/>
          <w:i/>
          <w:sz w:val="24"/>
        </w:rPr>
      </w:pPr>
      <w:r>
        <w:rPr>
          <w:rFonts w:ascii="TimesNewRomanPS-BoldItalicMT"/>
          <w:b/>
          <w:i/>
          <w:w w:val="115"/>
          <w:sz w:val="24"/>
        </w:rPr>
        <w:t>Hallucinogen-Induced Disorders</w:t>
      </w:r>
    </w:p>
    <w:p w:rsidR="00E675F0" w:rsidRDefault="00E675F0" w:rsidP="00E675F0">
      <w:pPr>
        <w:pStyle w:val="BodyText"/>
        <w:spacing w:before="6"/>
        <w:rPr>
          <w:rFonts w:ascii="TimesNewRomanPS-BoldItalicMT"/>
          <w:b/>
          <w:i/>
          <w:sz w:val="12"/>
        </w:rPr>
      </w:pPr>
    </w:p>
    <w:tbl>
      <w:tblPr>
        <w:tblW w:w="0" w:type="auto"/>
        <w:tblInd w:w="123" w:type="dxa"/>
        <w:tblLayout w:type="fixed"/>
        <w:tblCellMar>
          <w:left w:w="0" w:type="dxa"/>
          <w:right w:w="0" w:type="dxa"/>
        </w:tblCellMar>
        <w:tblLook w:val="01E0" w:firstRow="1" w:lastRow="1" w:firstColumn="1" w:lastColumn="1" w:noHBand="0" w:noVBand="0"/>
      </w:tblPr>
      <w:tblGrid>
        <w:gridCol w:w="783"/>
        <w:gridCol w:w="6761"/>
      </w:tblGrid>
      <w:tr w:rsidR="00E675F0" w:rsidTr="00A330E1">
        <w:trPr>
          <w:trHeight w:val="229"/>
        </w:trPr>
        <w:tc>
          <w:tcPr>
            <w:tcW w:w="783" w:type="dxa"/>
          </w:tcPr>
          <w:p w:rsidR="00E675F0" w:rsidRDefault="00E675F0" w:rsidP="00A330E1">
            <w:pPr>
              <w:pStyle w:val="TableParagraph"/>
              <w:spacing w:before="6" w:line="204" w:lineRule="exact"/>
              <w:ind w:left="21" w:right="84"/>
              <w:jc w:val="center"/>
              <w:rPr>
                <w:b/>
                <w:sz w:val="19"/>
              </w:rPr>
            </w:pPr>
            <w:r>
              <w:rPr>
                <w:b/>
                <w:w w:val="115"/>
                <w:sz w:val="19"/>
              </w:rPr>
              <w:t>292.89</w:t>
            </w:r>
          </w:p>
        </w:tc>
        <w:tc>
          <w:tcPr>
            <w:tcW w:w="6761" w:type="dxa"/>
          </w:tcPr>
          <w:p w:rsidR="00E675F0" w:rsidRDefault="00E675F0" w:rsidP="00A330E1">
            <w:pPr>
              <w:pStyle w:val="TableParagraph"/>
              <w:spacing w:line="210" w:lineRule="exact"/>
              <w:ind w:left="109"/>
              <w:rPr>
                <w:sz w:val="20"/>
              </w:rPr>
            </w:pPr>
            <w:r>
              <w:rPr>
                <w:b/>
                <w:w w:val="110"/>
                <w:sz w:val="19"/>
              </w:rPr>
              <w:t xml:space="preserve">Hallucinogen Intoxication </w:t>
            </w:r>
            <w:r>
              <w:rPr>
                <w:w w:val="110"/>
                <w:sz w:val="20"/>
              </w:rPr>
              <w:t>(see p. 232)</w:t>
            </w:r>
          </w:p>
        </w:tc>
      </w:tr>
      <w:tr w:rsidR="00E675F0" w:rsidTr="00A330E1">
        <w:trPr>
          <w:trHeight w:val="240"/>
        </w:trPr>
        <w:tc>
          <w:tcPr>
            <w:tcW w:w="783" w:type="dxa"/>
          </w:tcPr>
          <w:p w:rsidR="00E675F0" w:rsidRDefault="00E675F0" w:rsidP="00A330E1">
            <w:pPr>
              <w:pStyle w:val="TableParagraph"/>
              <w:spacing w:before="16" w:line="204" w:lineRule="exact"/>
              <w:ind w:left="16" w:right="84"/>
              <w:jc w:val="center"/>
              <w:rPr>
                <w:b/>
                <w:sz w:val="19"/>
              </w:rPr>
            </w:pPr>
            <w:r>
              <w:rPr>
                <w:b/>
                <w:w w:val="115"/>
                <w:sz w:val="19"/>
              </w:rPr>
              <w:t>292.89</w:t>
            </w:r>
          </w:p>
        </w:tc>
        <w:tc>
          <w:tcPr>
            <w:tcW w:w="6761" w:type="dxa"/>
          </w:tcPr>
          <w:p w:rsidR="00E675F0" w:rsidRDefault="00E675F0" w:rsidP="00A330E1">
            <w:pPr>
              <w:pStyle w:val="TableParagraph"/>
              <w:spacing w:line="220" w:lineRule="exact"/>
              <w:ind w:left="109"/>
              <w:rPr>
                <w:sz w:val="20"/>
              </w:rPr>
            </w:pPr>
            <w:r>
              <w:rPr>
                <w:b/>
                <w:w w:val="115"/>
                <w:sz w:val="19"/>
              </w:rPr>
              <w:t xml:space="preserve">Hallucinogen Persisting Perception Disorder (Flashbacks) </w:t>
            </w:r>
            <w:r>
              <w:rPr>
                <w:w w:val="115"/>
                <w:sz w:val="20"/>
              </w:rPr>
              <w:t>(see p. 233)</w:t>
            </w:r>
          </w:p>
        </w:tc>
      </w:tr>
      <w:tr w:rsidR="00E675F0" w:rsidTr="00A330E1">
        <w:trPr>
          <w:trHeight w:val="237"/>
        </w:trPr>
        <w:tc>
          <w:tcPr>
            <w:tcW w:w="783" w:type="dxa"/>
          </w:tcPr>
          <w:p w:rsidR="00E675F0" w:rsidRDefault="00E675F0" w:rsidP="00A330E1">
            <w:pPr>
              <w:pStyle w:val="TableParagraph"/>
              <w:spacing w:before="11" w:line="206" w:lineRule="exact"/>
              <w:ind w:left="26" w:right="79"/>
              <w:jc w:val="center"/>
              <w:rPr>
                <w:b/>
                <w:sz w:val="19"/>
              </w:rPr>
            </w:pPr>
            <w:r>
              <w:rPr>
                <w:b/>
                <w:w w:val="120"/>
                <w:sz w:val="19"/>
              </w:rPr>
              <w:t>292.81</w:t>
            </w:r>
          </w:p>
        </w:tc>
        <w:tc>
          <w:tcPr>
            <w:tcW w:w="6761" w:type="dxa"/>
          </w:tcPr>
          <w:p w:rsidR="00E675F0" w:rsidRDefault="00E675F0" w:rsidP="00A330E1">
            <w:pPr>
              <w:pStyle w:val="TableParagraph"/>
              <w:spacing w:line="218" w:lineRule="exact"/>
              <w:ind w:left="114"/>
              <w:rPr>
                <w:sz w:val="20"/>
              </w:rPr>
            </w:pPr>
            <w:r>
              <w:rPr>
                <w:b/>
                <w:w w:val="115"/>
                <w:sz w:val="19"/>
              </w:rPr>
              <w:t xml:space="preserve">Hallucinogen Intoxication Delirium </w:t>
            </w:r>
            <w:r>
              <w:rPr>
                <w:w w:val="115"/>
                <w:sz w:val="20"/>
              </w:rPr>
              <w:t>(seep. 129)</w:t>
            </w:r>
          </w:p>
        </w:tc>
      </w:tr>
      <w:tr w:rsidR="00E675F0" w:rsidTr="00A330E1">
        <w:trPr>
          <w:trHeight w:val="483"/>
        </w:trPr>
        <w:tc>
          <w:tcPr>
            <w:tcW w:w="783" w:type="dxa"/>
          </w:tcPr>
          <w:p w:rsidR="00E675F0" w:rsidRDefault="00E675F0" w:rsidP="00A330E1">
            <w:pPr>
              <w:pStyle w:val="TableParagraph"/>
              <w:spacing w:before="14"/>
              <w:ind w:left="26" w:right="75"/>
              <w:jc w:val="center"/>
              <w:rPr>
                <w:b/>
                <w:sz w:val="19"/>
              </w:rPr>
            </w:pPr>
            <w:r>
              <w:rPr>
                <w:b/>
                <w:w w:val="115"/>
                <w:sz w:val="19"/>
              </w:rPr>
              <w:t>292.11</w:t>
            </w:r>
          </w:p>
        </w:tc>
        <w:tc>
          <w:tcPr>
            <w:tcW w:w="6761" w:type="dxa"/>
          </w:tcPr>
          <w:p w:rsidR="00E675F0" w:rsidRDefault="00E675F0" w:rsidP="00A330E1">
            <w:pPr>
              <w:pStyle w:val="TableParagraph"/>
              <w:spacing w:line="209" w:lineRule="exact"/>
              <w:ind w:left="114"/>
              <w:rPr>
                <w:sz w:val="20"/>
              </w:rPr>
            </w:pPr>
            <w:r>
              <w:rPr>
                <w:b/>
                <w:w w:val="115"/>
                <w:sz w:val="19"/>
              </w:rPr>
              <w:t xml:space="preserve">Hallucinogen-Induced Psychotic Disorder, With Delusions </w:t>
            </w:r>
            <w:r>
              <w:rPr>
                <w:w w:val="115"/>
                <w:sz w:val="20"/>
              </w:rPr>
              <w:t>(see p. 310)</w:t>
            </w:r>
          </w:p>
          <w:p w:rsidR="00E675F0" w:rsidRDefault="00E675F0" w:rsidP="00A330E1">
            <w:pPr>
              <w:pStyle w:val="TableParagraph"/>
              <w:spacing w:line="255" w:lineRule="exact"/>
              <w:ind w:left="126"/>
              <w:rPr>
                <w:sz w:val="20"/>
              </w:rPr>
            </w:pPr>
            <w:r>
              <w:rPr>
                <w:i/>
                <w:w w:val="105"/>
                <w:sz w:val="20"/>
              </w:rPr>
              <w:t xml:space="preserve">Specjfy </w:t>
            </w:r>
            <w:r>
              <w:rPr>
                <w:rFonts w:ascii="Arial"/>
                <w:i/>
                <w:w w:val="105"/>
                <w:sz w:val="25"/>
              </w:rPr>
              <w:t xml:space="preserve">if: </w:t>
            </w:r>
            <w:r>
              <w:rPr>
                <w:w w:val="105"/>
                <w:sz w:val="20"/>
              </w:rPr>
              <w:t>With Onset During Intoxication</w:t>
            </w:r>
          </w:p>
        </w:tc>
      </w:tr>
      <w:tr w:rsidR="00E675F0" w:rsidTr="00A330E1">
        <w:trPr>
          <w:trHeight w:val="476"/>
        </w:trPr>
        <w:tc>
          <w:tcPr>
            <w:tcW w:w="783" w:type="dxa"/>
          </w:tcPr>
          <w:p w:rsidR="00E675F0" w:rsidRDefault="00E675F0" w:rsidP="00A330E1">
            <w:pPr>
              <w:pStyle w:val="TableParagraph"/>
              <w:spacing w:before="6"/>
              <w:ind w:left="26" w:right="80"/>
              <w:jc w:val="center"/>
              <w:rPr>
                <w:b/>
                <w:sz w:val="19"/>
              </w:rPr>
            </w:pPr>
            <w:r>
              <w:rPr>
                <w:b/>
                <w:w w:val="115"/>
                <w:sz w:val="19"/>
              </w:rPr>
              <w:t>292.12</w:t>
            </w:r>
          </w:p>
        </w:tc>
        <w:tc>
          <w:tcPr>
            <w:tcW w:w="6761" w:type="dxa"/>
          </w:tcPr>
          <w:p w:rsidR="00E675F0" w:rsidRDefault="00E675F0" w:rsidP="00A330E1">
            <w:pPr>
              <w:pStyle w:val="TableParagraph"/>
              <w:spacing w:before="1" w:line="201" w:lineRule="exact"/>
              <w:ind w:left="114"/>
              <w:rPr>
                <w:b/>
                <w:sz w:val="19"/>
              </w:rPr>
            </w:pPr>
            <w:r>
              <w:rPr>
                <w:b/>
                <w:w w:val="115"/>
                <w:sz w:val="19"/>
              </w:rPr>
              <w:t>Hallucinogen-Induced Psychotic Disorder, With Hallucinations</w:t>
            </w:r>
          </w:p>
          <w:p w:rsidR="00E675F0" w:rsidRDefault="00E675F0" w:rsidP="00A330E1">
            <w:pPr>
              <w:pStyle w:val="TableParagraph"/>
              <w:spacing w:line="254" w:lineRule="exact"/>
              <w:ind w:left="110"/>
              <w:rPr>
                <w:sz w:val="20"/>
              </w:rPr>
            </w:pPr>
            <w:r>
              <w:rPr>
                <w:w w:val="105"/>
                <w:sz w:val="20"/>
              </w:rPr>
              <w:t xml:space="preserve">(seep. 310) </w:t>
            </w:r>
            <w:r>
              <w:rPr>
                <w:i/>
                <w:w w:val="105"/>
                <w:sz w:val="20"/>
              </w:rPr>
              <w:t xml:space="preserve">Specify </w:t>
            </w:r>
            <w:r>
              <w:rPr>
                <w:rFonts w:ascii="Arial"/>
                <w:i/>
                <w:w w:val="105"/>
                <w:sz w:val="25"/>
              </w:rPr>
              <w:t xml:space="preserve">if: </w:t>
            </w:r>
            <w:r>
              <w:rPr>
                <w:w w:val="105"/>
                <w:sz w:val="20"/>
              </w:rPr>
              <w:t>With Onset During Intoxication</w:t>
            </w:r>
          </w:p>
        </w:tc>
      </w:tr>
      <w:tr w:rsidR="00E675F0" w:rsidTr="00A330E1">
        <w:trPr>
          <w:trHeight w:val="487"/>
        </w:trPr>
        <w:tc>
          <w:tcPr>
            <w:tcW w:w="783" w:type="dxa"/>
          </w:tcPr>
          <w:p w:rsidR="00E675F0" w:rsidRDefault="00E675F0" w:rsidP="00A330E1">
            <w:pPr>
              <w:pStyle w:val="TableParagraph"/>
              <w:spacing w:before="10"/>
              <w:ind w:left="26" w:right="79"/>
              <w:jc w:val="center"/>
              <w:rPr>
                <w:b/>
                <w:sz w:val="19"/>
              </w:rPr>
            </w:pPr>
            <w:r>
              <w:rPr>
                <w:b/>
                <w:w w:val="120"/>
                <w:sz w:val="19"/>
              </w:rPr>
              <w:t>292.84</w:t>
            </w:r>
          </w:p>
        </w:tc>
        <w:tc>
          <w:tcPr>
            <w:tcW w:w="6761" w:type="dxa"/>
          </w:tcPr>
          <w:p w:rsidR="00E675F0" w:rsidRDefault="00E675F0" w:rsidP="00A330E1">
            <w:pPr>
              <w:pStyle w:val="TableParagraph"/>
              <w:spacing w:line="210" w:lineRule="exact"/>
              <w:ind w:left="114"/>
              <w:rPr>
                <w:sz w:val="20"/>
              </w:rPr>
            </w:pPr>
            <w:r>
              <w:rPr>
                <w:b/>
                <w:w w:val="115"/>
                <w:sz w:val="19"/>
              </w:rPr>
              <w:t xml:space="preserve">Hallucinogen-Induced Mood Disorder </w:t>
            </w:r>
            <w:r>
              <w:rPr>
                <w:w w:val="115"/>
                <w:sz w:val="20"/>
              </w:rPr>
              <w:t>(see p. 370)</w:t>
            </w:r>
          </w:p>
          <w:p w:rsidR="00E675F0" w:rsidRDefault="00E675F0" w:rsidP="00A330E1">
            <w:pPr>
              <w:pStyle w:val="TableParagraph"/>
              <w:spacing w:line="258" w:lineRule="exact"/>
              <w:ind w:left="131"/>
              <w:rPr>
                <w:sz w:val="20"/>
              </w:rPr>
            </w:pPr>
            <w:r>
              <w:rPr>
                <w:i/>
                <w:w w:val="105"/>
                <w:sz w:val="20"/>
              </w:rPr>
              <w:t xml:space="preserve">Specify </w:t>
            </w:r>
            <w:r>
              <w:rPr>
                <w:rFonts w:ascii="Arial"/>
                <w:i/>
                <w:w w:val="105"/>
                <w:sz w:val="25"/>
              </w:rPr>
              <w:t xml:space="preserve">if: </w:t>
            </w:r>
            <w:r>
              <w:rPr>
                <w:w w:val="105"/>
                <w:sz w:val="20"/>
              </w:rPr>
              <w:t>With Onset During Intoxication</w:t>
            </w:r>
          </w:p>
        </w:tc>
      </w:tr>
      <w:tr w:rsidR="00E675F0" w:rsidTr="00A330E1">
        <w:trPr>
          <w:trHeight w:val="241"/>
        </w:trPr>
        <w:tc>
          <w:tcPr>
            <w:tcW w:w="783" w:type="dxa"/>
          </w:tcPr>
          <w:p w:rsidR="00E675F0" w:rsidRDefault="00E675F0" w:rsidP="00A330E1">
            <w:pPr>
              <w:pStyle w:val="TableParagraph"/>
              <w:spacing w:before="12" w:line="209" w:lineRule="exact"/>
              <w:ind w:left="26" w:right="80"/>
              <w:jc w:val="center"/>
              <w:rPr>
                <w:b/>
                <w:sz w:val="19"/>
              </w:rPr>
            </w:pPr>
            <w:r>
              <w:rPr>
                <w:b/>
                <w:w w:val="115"/>
                <w:sz w:val="19"/>
              </w:rPr>
              <w:t>292.89</w:t>
            </w:r>
          </w:p>
        </w:tc>
        <w:tc>
          <w:tcPr>
            <w:tcW w:w="6761" w:type="dxa"/>
          </w:tcPr>
          <w:p w:rsidR="00E675F0" w:rsidRDefault="00E675F0" w:rsidP="00A330E1">
            <w:pPr>
              <w:pStyle w:val="TableParagraph"/>
              <w:spacing w:line="222" w:lineRule="exact"/>
              <w:ind w:left="114"/>
              <w:rPr>
                <w:sz w:val="20"/>
              </w:rPr>
            </w:pPr>
            <w:r>
              <w:rPr>
                <w:b/>
                <w:w w:val="115"/>
                <w:sz w:val="19"/>
              </w:rPr>
              <w:t xml:space="preserve">Hallucinogen-Induced Anxiety Disorder </w:t>
            </w:r>
            <w:r>
              <w:rPr>
                <w:w w:val="115"/>
                <w:sz w:val="20"/>
              </w:rPr>
              <w:t>(see p. 439)</w:t>
            </w:r>
          </w:p>
        </w:tc>
      </w:tr>
      <w:tr w:rsidR="00E675F0" w:rsidTr="00A330E1">
        <w:trPr>
          <w:trHeight w:val="368"/>
        </w:trPr>
        <w:tc>
          <w:tcPr>
            <w:tcW w:w="783" w:type="dxa"/>
          </w:tcPr>
          <w:p w:rsidR="00E675F0" w:rsidRDefault="00E675F0" w:rsidP="00A330E1">
            <w:pPr>
              <w:pStyle w:val="TableParagraph"/>
              <w:rPr>
                <w:sz w:val="20"/>
              </w:rPr>
            </w:pPr>
          </w:p>
        </w:tc>
        <w:tc>
          <w:tcPr>
            <w:tcW w:w="6761" w:type="dxa"/>
          </w:tcPr>
          <w:p w:rsidR="00E675F0" w:rsidRDefault="00E675F0" w:rsidP="00A330E1">
            <w:pPr>
              <w:pStyle w:val="TableParagraph"/>
              <w:spacing w:before="2"/>
              <w:ind w:left="131"/>
              <w:rPr>
                <w:sz w:val="20"/>
              </w:rPr>
            </w:pPr>
            <w:r>
              <w:rPr>
                <w:i/>
                <w:w w:val="105"/>
                <w:sz w:val="20"/>
              </w:rPr>
              <w:t xml:space="preserve">Specify if </w:t>
            </w:r>
            <w:r>
              <w:rPr>
                <w:w w:val="105"/>
                <w:sz w:val="20"/>
              </w:rPr>
              <w:t>With Onset During Intoxication</w:t>
            </w:r>
          </w:p>
        </w:tc>
      </w:tr>
      <w:tr w:rsidR="00E675F0" w:rsidTr="00A330E1">
        <w:trPr>
          <w:trHeight w:val="361"/>
        </w:trPr>
        <w:tc>
          <w:tcPr>
            <w:tcW w:w="783" w:type="dxa"/>
          </w:tcPr>
          <w:p w:rsidR="00E675F0" w:rsidRDefault="00E675F0" w:rsidP="00A330E1">
            <w:pPr>
              <w:pStyle w:val="TableParagraph"/>
              <w:spacing w:before="142" w:line="199" w:lineRule="exact"/>
              <w:ind w:left="26" w:right="186"/>
              <w:jc w:val="center"/>
              <w:rPr>
                <w:b/>
                <w:sz w:val="19"/>
              </w:rPr>
            </w:pPr>
            <w:r>
              <w:rPr>
                <w:b/>
                <w:w w:val="115"/>
                <w:sz w:val="19"/>
              </w:rPr>
              <w:t>292.9</w:t>
            </w:r>
          </w:p>
        </w:tc>
        <w:tc>
          <w:tcPr>
            <w:tcW w:w="6761" w:type="dxa"/>
          </w:tcPr>
          <w:p w:rsidR="00E675F0" w:rsidRDefault="00E675F0" w:rsidP="00A330E1">
            <w:pPr>
              <w:pStyle w:val="TableParagraph"/>
              <w:spacing w:before="128" w:line="213" w:lineRule="exact"/>
              <w:ind w:left="114"/>
              <w:rPr>
                <w:sz w:val="20"/>
              </w:rPr>
            </w:pPr>
            <w:r>
              <w:rPr>
                <w:b/>
                <w:w w:val="115"/>
                <w:sz w:val="19"/>
              </w:rPr>
              <w:t xml:space="preserve">Hallucinogen-Related Disorder Not Otherwise Specified </w:t>
            </w:r>
            <w:r>
              <w:rPr>
                <w:w w:val="115"/>
                <w:sz w:val="20"/>
              </w:rPr>
              <w:t>(see p. 236)</w:t>
            </w:r>
          </w:p>
        </w:tc>
      </w:tr>
    </w:tbl>
    <w:p w:rsidR="00E675F0" w:rsidRDefault="00E675F0" w:rsidP="00E675F0">
      <w:pPr>
        <w:pStyle w:val="BodyText"/>
        <w:rPr>
          <w:rFonts w:ascii="TimesNewRomanPS-BoldItalicMT"/>
          <w:b/>
          <w:i/>
          <w:sz w:val="26"/>
        </w:rPr>
      </w:pPr>
    </w:p>
    <w:p w:rsidR="00E675F0" w:rsidRDefault="00E675F0" w:rsidP="00E675F0">
      <w:pPr>
        <w:pStyle w:val="BodyText"/>
        <w:spacing w:before="9"/>
        <w:rPr>
          <w:rFonts w:ascii="TimesNewRomanPS-BoldItalicMT"/>
          <w:b/>
          <w:i/>
          <w:sz w:val="25"/>
        </w:rPr>
      </w:pPr>
    </w:p>
    <w:p w:rsidR="00E675F0" w:rsidRDefault="00E675F0" w:rsidP="00E675F0">
      <w:pPr>
        <w:spacing w:before="1"/>
        <w:ind w:left="1976" w:right="1989"/>
        <w:jc w:val="center"/>
        <w:rPr>
          <w:rFonts w:ascii="TimesNewRomanPS-BoldItalicMT"/>
          <w:b/>
          <w:i/>
          <w:sz w:val="28"/>
        </w:rPr>
      </w:pPr>
      <w:r>
        <w:rPr>
          <w:rFonts w:ascii="TimesNewRomanPS-BoldItalicMT"/>
          <w:b/>
          <w:i/>
          <w:w w:val="115"/>
          <w:sz w:val="28"/>
        </w:rPr>
        <w:t>Hallucinogen Use Disorders</w:t>
      </w:r>
    </w:p>
    <w:p w:rsidR="00E675F0" w:rsidRDefault="00E675F0" w:rsidP="00E675F0">
      <w:pPr>
        <w:tabs>
          <w:tab w:val="left" w:pos="2764"/>
        </w:tabs>
        <w:spacing w:before="156"/>
        <w:ind w:left="1700"/>
        <w:rPr>
          <w:rFonts w:ascii="Arial"/>
          <w:b/>
          <w:sz w:val="25"/>
        </w:rPr>
      </w:pPr>
      <w:r>
        <w:rPr>
          <w:rFonts w:ascii="Arial"/>
          <w:b/>
          <w:w w:val="110"/>
          <w:sz w:val="25"/>
        </w:rPr>
        <w:t>304.50</w:t>
      </w:r>
      <w:r>
        <w:rPr>
          <w:rFonts w:ascii="Arial"/>
          <w:b/>
          <w:w w:val="110"/>
          <w:sz w:val="25"/>
        </w:rPr>
        <w:tab/>
        <w:t>Hallucinogen</w:t>
      </w:r>
      <w:r>
        <w:rPr>
          <w:rFonts w:ascii="Arial"/>
          <w:b/>
          <w:spacing w:val="6"/>
          <w:w w:val="110"/>
          <w:sz w:val="25"/>
        </w:rPr>
        <w:t xml:space="preserve"> </w:t>
      </w:r>
      <w:r>
        <w:rPr>
          <w:rFonts w:ascii="Arial"/>
          <w:b/>
          <w:w w:val="110"/>
          <w:sz w:val="25"/>
        </w:rPr>
        <w:t>Dependence</w:t>
      </w:r>
    </w:p>
    <w:p w:rsidR="00E675F0" w:rsidRDefault="00E675F0" w:rsidP="00E675F0">
      <w:pPr>
        <w:pStyle w:val="BodyText"/>
        <w:spacing w:before="251" w:line="256" w:lineRule="auto"/>
        <w:ind w:left="158" w:right="130" w:firstLine="1"/>
        <w:jc w:val="both"/>
      </w:pPr>
      <w:r>
        <w:rPr>
          <w:w w:val="105"/>
        </w:rPr>
        <w:t xml:space="preserve">Also refer </w:t>
      </w:r>
      <w:r>
        <w:rPr>
          <w:w w:val="105"/>
          <w:sz w:val="18"/>
        </w:rPr>
        <w:t xml:space="preserve">to </w:t>
      </w:r>
      <w:r>
        <w:rPr>
          <w:w w:val="105"/>
        </w:rPr>
        <w:t>the text and criteria for Substance Dependence (see p. 176). Some of the generic Dependence criteria do not apply to hallucinogens and others require further explanation. Tolerance has been reported to develop rapidly to the euphoric and</w:t>
      </w:r>
    </w:p>
    <w:p w:rsidR="00E675F0" w:rsidRDefault="00E675F0" w:rsidP="00E675F0">
      <w:pPr>
        <w:spacing w:line="256" w:lineRule="auto"/>
        <w:jc w:val="both"/>
        <w:sectPr w:rsidR="00E675F0">
          <w:pgSz w:w="8960" w:h="14260"/>
          <w:pgMar w:top="1400" w:right="600" w:bottom="280" w:left="580" w:header="695" w:footer="0" w:gutter="0"/>
          <w:cols w:space="720"/>
        </w:sectPr>
      </w:pPr>
    </w:p>
    <w:p w:rsidR="00E675F0" w:rsidRDefault="00E675F0" w:rsidP="00E675F0">
      <w:pPr>
        <w:pStyle w:val="BodyText"/>
        <w:spacing w:before="125" w:line="254" w:lineRule="auto"/>
        <w:ind w:left="106" w:right="103" w:firstLine="7"/>
        <w:jc w:val="both"/>
      </w:pPr>
      <w:bookmarkStart w:id="149" w:name="_bookmark130"/>
      <w:bookmarkEnd w:id="149"/>
      <w:r>
        <w:rPr>
          <w:w w:val="105"/>
        </w:rPr>
        <w:lastRenderedPageBreak/>
        <w:t>psychedelic effects of hallucinogens but not to the autonomic effects such as pupillary dilation, hyperreflexia, increased blood pressure, increased body temperature, piloerec­ tion, and tachycardia. Cross-tolerance exists between LSD and other hallucinogens (e.g., psilocybin and mescaline). Hallucinogen use, even among individuals with presentations that meet full criteria for Dependence, is often limited to only a few times a week. This relatively low frequency of use (as compared with use of other substances) may be related to the desire to suppress the development of tolerance to the  psychological effects of the hallucinogens. Withdrawal  has not been demonstrated,  but clear reports  of "craving" after stopping hallucinogens are known. Due to the long half-life and extended duration of action of most hallucinogens, individuals with Hallucinogen Dependence often spend hours to days using and recovering from their effects. In contrast, some hallucinogenic "designer drngs" (e.g., DMT) are quite short acting. Hallucinogens may continue to be used despite the knowledge of adverse effects (e.g., memory impairment while intoxicated; "bad trips," which are usually  panic  reactions; or flashbacks). Some individuals who use MDMA (a designer drug with hallucinogenic effects)</w:t>
      </w:r>
      <w:r>
        <w:rPr>
          <w:spacing w:val="-11"/>
          <w:w w:val="105"/>
        </w:rPr>
        <w:t xml:space="preserve"> </w:t>
      </w:r>
      <w:r>
        <w:rPr>
          <w:w w:val="105"/>
        </w:rPr>
        <w:t>describe</w:t>
      </w:r>
      <w:r>
        <w:rPr>
          <w:spacing w:val="-8"/>
          <w:w w:val="105"/>
        </w:rPr>
        <w:t xml:space="preserve"> </w:t>
      </w:r>
      <w:r>
        <w:rPr>
          <w:w w:val="105"/>
        </w:rPr>
        <w:t>a</w:t>
      </w:r>
      <w:r>
        <w:rPr>
          <w:spacing w:val="-12"/>
          <w:w w:val="105"/>
        </w:rPr>
        <w:t xml:space="preserve"> </w:t>
      </w:r>
      <w:r>
        <w:rPr>
          <w:w w:val="105"/>
        </w:rPr>
        <w:t>"hangover"</w:t>
      </w:r>
      <w:r>
        <w:rPr>
          <w:spacing w:val="-2"/>
          <w:w w:val="105"/>
        </w:rPr>
        <w:t xml:space="preserve"> </w:t>
      </w:r>
      <w:r>
        <w:rPr>
          <w:w w:val="105"/>
        </w:rPr>
        <w:t>the</w:t>
      </w:r>
      <w:r>
        <w:rPr>
          <w:spacing w:val="-13"/>
          <w:w w:val="105"/>
        </w:rPr>
        <w:t xml:space="preserve"> </w:t>
      </w:r>
      <w:r>
        <w:rPr>
          <w:w w:val="105"/>
        </w:rPr>
        <w:t>day</w:t>
      </w:r>
      <w:r>
        <w:rPr>
          <w:spacing w:val="-13"/>
          <w:w w:val="105"/>
        </w:rPr>
        <w:t xml:space="preserve"> </w:t>
      </w:r>
      <w:r>
        <w:rPr>
          <w:w w:val="105"/>
        </w:rPr>
        <w:t>after</w:t>
      </w:r>
      <w:r>
        <w:rPr>
          <w:spacing w:val="-5"/>
          <w:w w:val="105"/>
        </w:rPr>
        <w:t xml:space="preserve"> </w:t>
      </w:r>
      <w:r>
        <w:rPr>
          <w:w w:val="105"/>
        </w:rPr>
        <w:t>use</w:t>
      </w:r>
      <w:r>
        <w:rPr>
          <w:spacing w:val="-13"/>
          <w:w w:val="105"/>
        </w:rPr>
        <w:t xml:space="preserve"> </w:t>
      </w:r>
      <w:r>
        <w:rPr>
          <w:w w:val="105"/>
        </w:rPr>
        <w:t>that</w:t>
      </w:r>
      <w:r>
        <w:rPr>
          <w:spacing w:val="-14"/>
          <w:w w:val="105"/>
        </w:rPr>
        <w:t xml:space="preserve"> </w:t>
      </w:r>
      <w:r>
        <w:rPr>
          <w:w w:val="105"/>
        </w:rPr>
        <w:t>is</w:t>
      </w:r>
      <w:r>
        <w:rPr>
          <w:spacing w:val="-15"/>
          <w:w w:val="105"/>
        </w:rPr>
        <w:t xml:space="preserve"> </w:t>
      </w:r>
      <w:r>
        <w:rPr>
          <w:w w:val="105"/>
        </w:rPr>
        <w:t>characterized</w:t>
      </w:r>
      <w:r>
        <w:rPr>
          <w:spacing w:val="11"/>
          <w:w w:val="105"/>
        </w:rPr>
        <w:t xml:space="preserve"> </w:t>
      </w:r>
      <w:r>
        <w:rPr>
          <w:w w:val="105"/>
        </w:rPr>
        <w:t>by</w:t>
      </w:r>
      <w:r>
        <w:rPr>
          <w:spacing w:val="-9"/>
          <w:w w:val="105"/>
        </w:rPr>
        <w:t xml:space="preserve"> </w:t>
      </w:r>
      <w:r>
        <w:rPr>
          <w:w w:val="105"/>
        </w:rPr>
        <w:t>insomnia,</w:t>
      </w:r>
      <w:r>
        <w:rPr>
          <w:spacing w:val="-1"/>
          <w:w w:val="105"/>
        </w:rPr>
        <w:t xml:space="preserve"> </w:t>
      </w:r>
      <w:r>
        <w:rPr>
          <w:w w:val="105"/>
        </w:rPr>
        <w:t>fatigue, drowsiness, sore jaw muscles from teeth clenching, loss of balance, and headaches. Because adulterants or substitutes are often sold as "acid" or other hallucinogens, some of the reported adverse effects may be due to substances such as strychnine, phen­ cyclidine, or amphetamine. Some individuals can manifest dangerous behavioral reac­ tions (e.g., jumping out of a window under the belief that one can "fly'') due to lack of insight and judgment while intoxicated. These adverse effects appear to be more common among those who have preexisting mental</w:t>
      </w:r>
      <w:r>
        <w:rPr>
          <w:spacing w:val="-26"/>
          <w:w w:val="105"/>
        </w:rPr>
        <w:t xml:space="preserve"> </w:t>
      </w:r>
      <w:r>
        <w:rPr>
          <w:w w:val="105"/>
        </w:rPr>
        <w:t>disorders.</w:t>
      </w:r>
    </w:p>
    <w:p w:rsidR="00E675F0" w:rsidRDefault="00E675F0" w:rsidP="00E675F0">
      <w:pPr>
        <w:pStyle w:val="BodyText"/>
        <w:rPr>
          <w:sz w:val="22"/>
        </w:rPr>
      </w:pPr>
    </w:p>
    <w:p w:rsidR="00E675F0" w:rsidRDefault="00E675F0" w:rsidP="00E675F0">
      <w:pPr>
        <w:pStyle w:val="BodyText"/>
        <w:spacing w:before="10"/>
        <w:rPr>
          <w:sz w:val="23"/>
        </w:rPr>
      </w:pPr>
    </w:p>
    <w:p w:rsidR="00E675F0" w:rsidRDefault="00E675F0" w:rsidP="00E675F0">
      <w:pPr>
        <w:ind w:left="108"/>
        <w:rPr>
          <w:rFonts w:ascii="TimesNewRomanPS-BoldItalicMT"/>
          <w:b/>
          <w:i/>
          <w:sz w:val="24"/>
        </w:rPr>
      </w:pPr>
      <w:r>
        <w:rPr>
          <w:rFonts w:ascii="TimesNewRomanPS-BoldItalicMT"/>
          <w:b/>
          <w:i/>
          <w:w w:val="115"/>
          <w:sz w:val="24"/>
        </w:rPr>
        <w:t>Specifiers</w:t>
      </w:r>
    </w:p>
    <w:p w:rsidR="00E675F0" w:rsidRDefault="00E675F0" w:rsidP="00E675F0">
      <w:pPr>
        <w:pStyle w:val="BodyText"/>
        <w:spacing w:before="189" w:line="256" w:lineRule="auto"/>
        <w:ind w:left="114" w:right="154" w:hanging="3"/>
      </w:pPr>
      <w:r>
        <w:rPr>
          <w:w w:val="105"/>
        </w:rPr>
        <w:t>The following specifiers may be applied to a diagnosis of Hallucinogen Dependence (see p. 179 for more</w:t>
      </w:r>
      <w:r>
        <w:rPr>
          <w:spacing w:val="2"/>
          <w:w w:val="105"/>
        </w:rPr>
        <w:t xml:space="preserve"> </w:t>
      </w:r>
      <w:r>
        <w:rPr>
          <w:w w:val="105"/>
        </w:rPr>
        <w:t>details):</w:t>
      </w:r>
    </w:p>
    <w:p w:rsidR="00E675F0" w:rsidRDefault="00E675F0" w:rsidP="00E675F0">
      <w:pPr>
        <w:spacing w:before="75" w:line="259" w:lineRule="auto"/>
        <w:ind w:left="714" w:right="4591" w:firstLine="1"/>
        <w:rPr>
          <w:b/>
          <w:sz w:val="19"/>
        </w:rPr>
      </w:pPr>
      <w:r>
        <w:rPr>
          <w:b/>
          <w:w w:val="115"/>
          <w:sz w:val="19"/>
        </w:rPr>
        <w:t>Early Full Remission Early Partial Remission Sustained Full Remission</w:t>
      </w:r>
    </w:p>
    <w:p w:rsidR="00E675F0" w:rsidRDefault="00E675F0" w:rsidP="00E675F0">
      <w:pPr>
        <w:spacing w:before="3" w:line="264" w:lineRule="auto"/>
        <w:ind w:left="720" w:right="4234" w:hanging="7"/>
        <w:rPr>
          <w:b/>
          <w:sz w:val="19"/>
        </w:rPr>
      </w:pPr>
      <w:r>
        <w:rPr>
          <w:b/>
          <w:w w:val="115"/>
          <w:sz w:val="19"/>
        </w:rPr>
        <w:t>Sustained Partial Remission In a Controlled Environment</w:t>
      </w:r>
    </w:p>
    <w:p w:rsidR="00E675F0" w:rsidRDefault="00E675F0" w:rsidP="00E675F0">
      <w:pPr>
        <w:pStyle w:val="BodyText"/>
        <w:rPr>
          <w:b/>
        </w:rPr>
      </w:pPr>
    </w:p>
    <w:p w:rsidR="00E675F0" w:rsidRDefault="00E675F0" w:rsidP="00E675F0">
      <w:pPr>
        <w:pStyle w:val="BodyText"/>
        <w:rPr>
          <w:b/>
        </w:rPr>
      </w:pPr>
    </w:p>
    <w:p w:rsidR="00E675F0" w:rsidRDefault="00E675F0" w:rsidP="00E675F0">
      <w:pPr>
        <w:pStyle w:val="BodyText"/>
        <w:spacing w:before="2"/>
        <w:rPr>
          <w:b/>
          <w:sz w:val="18"/>
        </w:rPr>
      </w:pPr>
    </w:p>
    <w:p w:rsidR="00E675F0" w:rsidRDefault="00E675F0" w:rsidP="00E675F0">
      <w:pPr>
        <w:tabs>
          <w:tab w:val="left" w:pos="3130"/>
        </w:tabs>
        <w:ind w:left="2061"/>
        <w:rPr>
          <w:rFonts w:ascii="Arial"/>
          <w:b/>
          <w:sz w:val="26"/>
        </w:rPr>
      </w:pPr>
      <w:r>
        <w:rPr>
          <w:rFonts w:ascii="Arial"/>
          <w:b/>
          <w:sz w:val="26"/>
        </w:rPr>
        <w:t>305.30</w:t>
      </w:r>
      <w:r>
        <w:rPr>
          <w:rFonts w:ascii="Arial"/>
          <w:b/>
          <w:sz w:val="26"/>
        </w:rPr>
        <w:tab/>
        <w:t>Hallucinogen</w:t>
      </w:r>
      <w:r>
        <w:rPr>
          <w:rFonts w:ascii="Arial"/>
          <w:b/>
          <w:spacing w:val="16"/>
          <w:sz w:val="26"/>
        </w:rPr>
        <w:t xml:space="preserve"> </w:t>
      </w:r>
      <w:r>
        <w:rPr>
          <w:rFonts w:ascii="Arial"/>
          <w:b/>
          <w:sz w:val="26"/>
        </w:rPr>
        <w:t>Abuse</w:t>
      </w:r>
    </w:p>
    <w:p w:rsidR="00E675F0" w:rsidRDefault="00E675F0" w:rsidP="00E675F0">
      <w:pPr>
        <w:pStyle w:val="BodyText"/>
        <w:spacing w:before="4"/>
        <w:rPr>
          <w:rFonts w:ascii="Arial"/>
          <w:b/>
          <w:sz w:val="33"/>
        </w:rPr>
      </w:pPr>
    </w:p>
    <w:p w:rsidR="00E675F0" w:rsidRDefault="00E675F0" w:rsidP="00E675F0">
      <w:pPr>
        <w:pStyle w:val="BodyText"/>
        <w:spacing w:line="254" w:lineRule="auto"/>
        <w:ind w:left="117" w:right="98" w:hanging="2"/>
        <w:jc w:val="both"/>
      </w:pPr>
      <w:r>
        <w:rPr>
          <w:w w:val="105"/>
        </w:rPr>
        <w:t>Also refer to the text and criteria for Substance Abuse (see p. 182). Persons who abuse hallucinogens use them much less often than do those  with  Dependence.  However, they may repeatedly fail to fulfill major  role obligations  at school, work, or home due to behavioral impairment caused by Hallucinogen Intoxication. The individual may use hallucinogens in situations in which it is physically hazardous (e.g., while driving a motorcycle or a car), and legal difficulties may arise due to behaviors that result from intoxication or possession of hallucinogens. There may be recurrent social or interper­ sonal problems due to the individual's behavior while intoxicated, isolated lifestyle, or arguments with significant</w:t>
      </w:r>
      <w:r>
        <w:rPr>
          <w:spacing w:val="41"/>
          <w:w w:val="105"/>
        </w:rPr>
        <w:t xml:space="preserve"> </w:t>
      </w:r>
      <w:r>
        <w:rPr>
          <w:w w:val="105"/>
        </w:rPr>
        <w:t>others.</w:t>
      </w:r>
    </w:p>
    <w:p w:rsidR="00E675F0" w:rsidRDefault="00E675F0" w:rsidP="00E675F0">
      <w:pPr>
        <w:spacing w:line="254" w:lineRule="auto"/>
        <w:jc w:val="both"/>
        <w:sectPr w:rsidR="00E675F0">
          <w:pgSz w:w="8960" w:h="14260"/>
          <w:pgMar w:top="1400" w:right="640" w:bottom="280" w:left="620" w:header="698" w:footer="0" w:gutter="0"/>
          <w:cols w:space="720"/>
        </w:sectPr>
      </w:pPr>
    </w:p>
    <w:p w:rsidR="00E675F0" w:rsidRDefault="00E675F0" w:rsidP="00E675F0">
      <w:pPr>
        <w:spacing w:before="127"/>
        <w:ind w:left="70" w:right="119"/>
        <w:jc w:val="center"/>
        <w:rPr>
          <w:rFonts w:ascii="TimesNewRomanPS-BoldItalicMT"/>
          <w:b/>
          <w:i/>
          <w:sz w:val="28"/>
        </w:rPr>
      </w:pPr>
      <w:bookmarkStart w:id="150" w:name="_bookmark131"/>
      <w:bookmarkEnd w:id="150"/>
      <w:r>
        <w:rPr>
          <w:rFonts w:ascii="TimesNewRomanPS-BoldItalicMT"/>
          <w:b/>
          <w:i/>
          <w:w w:val="115"/>
          <w:sz w:val="28"/>
        </w:rPr>
        <w:lastRenderedPageBreak/>
        <w:t>Hallucinogen-Induced</w:t>
      </w:r>
      <w:r>
        <w:rPr>
          <w:rFonts w:ascii="TimesNewRomanPS-BoldItalicMT"/>
          <w:b/>
          <w:i/>
          <w:spacing w:val="-43"/>
          <w:w w:val="115"/>
          <w:sz w:val="28"/>
        </w:rPr>
        <w:t xml:space="preserve"> </w:t>
      </w:r>
      <w:r>
        <w:rPr>
          <w:rFonts w:ascii="TimesNewRomanPS-BoldItalicMT"/>
          <w:b/>
          <w:i/>
          <w:w w:val="115"/>
          <w:sz w:val="28"/>
        </w:rPr>
        <w:t>Disorders</w:t>
      </w:r>
    </w:p>
    <w:p w:rsidR="00E675F0" w:rsidRDefault="00E675F0" w:rsidP="00E675F0">
      <w:pPr>
        <w:tabs>
          <w:tab w:val="left" w:pos="2783"/>
        </w:tabs>
        <w:spacing w:before="248"/>
        <w:ind w:left="1713"/>
        <w:rPr>
          <w:rFonts w:ascii="Arial"/>
          <w:b/>
          <w:sz w:val="25"/>
        </w:rPr>
      </w:pPr>
      <w:r>
        <w:rPr>
          <w:rFonts w:ascii="Arial"/>
          <w:b/>
          <w:w w:val="105"/>
          <w:sz w:val="25"/>
        </w:rPr>
        <w:t>292.89</w:t>
      </w:r>
      <w:r>
        <w:rPr>
          <w:rFonts w:ascii="Arial"/>
          <w:b/>
          <w:w w:val="105"/>
          <w:sz w:val="25"/>
        </w:rPr>
        <w:tab/>
        <w:t>Hallucinogen</w:t>
      </w:r>
      <w:r>
        <w:rPr>
          <w:rFonts w:ascii="Arial"/>
          <w:b/>
          <w:spacing w:val="-3"/>
          <w:w w:val="105"/>
          <w:sz w:val="25"/>
        </w:rPr>
        <w:t xml:space="preserve"> </w:t>
      </w:r>
      <w:r>
        <w:rPr>
          <w:rFonts w:ascii="Arial"/>
          <w:b/>
          <w:w w:val="105"/>
          <w:sz w:val="25"/>
        </w:rPr>
        <w:t>Intoxication</w:t>
      </w:r>
    </w:p>
    <w:p w:rsidR="00E675F0" w:rsidRDefault="00E675F0" w:rsidP="00E675F0">
      <w:pPr>
        <w:pStyle w:val="BodyText"/>
        <w:spacing w:before="7"/>
        <w:rPr>
          <w:rFonts w:ascii="Arial"/>
          <w:b/>
          <w:sz w:val="30"/>
        </w:rPr>
      </w:pPr>
    </w:p>
    <w:p w:rsidR="00E675F0" w:rsidRDefault="00E675F0" w:rsidP="00E675F0">
      <w:pPr>
        <w:pStyle w:val="BodyText"/>
        <w:spacing w:line="254" w:lineRule="auto"/>
        <w:ind w:left="115" w:right="114"/>
        <w:jc w:val="both"/>
      </w:pPr>
      <w:r>
        <w:rPr>
          <w:w w:val="105"/>
        </w:rPr>
        <w:t>Also refer to the text and criteria for Substance Intoxication (see p. 183). The essential feature of Hallucinogen Intoxication is the presence of clinically significant maladaptive behavioral or psychological changes (e.g., marked anxiety or depression, ideas of reference, fear of losing one's mind, paranoid ideation, impaired judgment, or impaired social or occupational functioning) that develop during, or shortly after (within minutes to a few hours), hallucinogen use (Criteria A and B). Perceptual changes develop during or shortly after hallucinogen use and occur in a state of full wakefulness and alertness (Criterion C). These changes include subjective intensification of perceptions, deperson­ alization, derealization, illusions, hallucinations, and synesthesias. In addition, the diagnosis</w:t>
      </w:r>
      <w:r>
        <w:rPr>
          <w:spacing w:val="-2"/>
          <w:w w:val="105"/>
        </w:rPr>
        <w:t xml:space="preserve"> </w:t>
      </w:r>
      <w:r>
        <w:rPr>
          <w:w w:val="105"/>
        </w:rPr>
        <w:t>requires</w:t>
      </w:r>
      <w:r>
        <w:rPr>
          <w:spacing w:val="-1"/>
          <w:w w:val="105"/>
        </w:rPr>
        <w:t xml:space="preserve"> </w:t>
      </w:r>
      <w:r>
        <w:rPr>
          <w:w w:val="105"/>
        </w:rPr>
        <w:t>that</w:t>
      </w:r>
      <w:r>
        <w:rPr>
          <w:spacing w:val="-5"/>
          <w:w w:val="105"/>
        </w:rPr>
        <w:t xml:space="preserve"> </w:t>
      </w:r>
      <w:r>
        <w:rPr>
          <w:w w:val="105"/>
        </w:rPr>
        <w:t>two</w:t>
      </w:r>
      <w:r>
        <w:rPr>
          <w:spacing w:val="-18"/>
          <w:w w:val="105"/>
        </w:rPr>
        <w:t xml:space="preserve"> </w:t>
      </w:r>
      <w:r>
        <w:rPr>
          <w:w w:val="105"/>
        </w:rPr>
        <w:t>of</w:t>
      </w:r>
      <w:r>
        <w:rPr>
          <w:spacing w:val="-7"/>
          <w:w w:val="105"/>
        </w:rPr>
        <w:t xml:space="preserve"> </w:t>
      </w:r>
      <w:r>
        <w:rPr>
          <w:w w:val="105"/>
        </w:rPr>
        <w:t>the</w:t>
      </w:r>
      <w:r>
        <w:rPr>
          <w:spacing w:val="-19"/>
          <w:w w:val="105"/>
        </w:rPr>
        <w:t xml:space="preserve"> </w:t>
      </w:r>
      <w:r>
        <w:rPr>
          <w:w w:val="105"/>
        </w:rPr>
        <w:t>following</w:t>
      </w:r>
      <w:r>
        <w:rPr>
          <w:spacing w:val="-7"/>
          <w:w w:val="105"/>
        </w:rPr>
        <w:t xml:space="preserve"> </w:t>
      </w:r>
      <w:r>
        <w:rPr>
          <w:w w:val="105"/>
        </w:rPr>
        <w:t>physiological</w:t>
      </w:r>
      <w:r>
        <w:rPr>
          <w:spacing w:val="-2"/>
          <w:w w:val="105"/>
        </w:rPr>
        <w:t xml:space="preserve"> </w:t>
      </w:r>
      <w:r>
        <w:rPr>
          <w:w w:val="105"/>
        </w:rPr>
        <w:t>signs</w:t>
      </w:r>
      <w:r>
        <w:rPr>
          <w:spacing w:val="-16"/>
          <w:w w:val="105"/>
        </w:rPr>
        <w:t xml:space="preserve"> </w:t>
      </w:r>
      <w:r>
        <w:rPr>
          <w:w w:val="105"/>
        </w:rPr>
        <w:t>are</w:t>
      </w:r>
      <w:r>
        <w:rPr>
          <w:spacing w:val="-19"/>
          <w:w w:val="105"/>
        </w:rPr>
        <w:t xml:space="preserve"> </w:t>
      </w:r>
      <w:r>
        <w:rPr>
          <w:w w:val="105"/>
        </w:rPr>
        <w:t>also</w:t>
      </w:r>
      <w:r>
        <w:rPr>
          <w:spacing w:val="-8"/>
          <w:w w:val="105"/>
        </w:rPr>
        <w:t xml:space="preserve"> </w:t>
      </w:r>
      <w:r>
        <w:rPr>
          <w:w w:val="105"/>
        </w:rPr>
        <w:t>present: pupillary dilation, tachycardia, sweating, palpitations, blurring of vision, tremors, and incoordina­ tion (Criterion D). The symptoms must not be due to a general medical condition  and are not better accounted for by another mental disorder (Criterion</w:t>
      </w:r>
      <w:r>
        <w:rPr>
          <w:spacing w:val="2"/>
          <w:w w:val="105"/>
        </w:rPr>
        <w:t xml:space="preserve"> </w:t>
      </w:r>
      <w:r>
        <w:rPr>
          <w:w w:val="105"/>
        </w:rPr>
        <w:t>E).</w:t>
      </w:r>
    </w:p>
    <w:p w:rsidR="00E675F0" w:rsidRDefault="00E675F0" w:rsidP="00E675F0">
      <w:pPr>
        <w:pStyle w:val="BodyText"/>
        <w:spacing w:line="254" w:lineRule="auto"/>
        <w:ind w:left="112" w:right="112" w:firstLine="367"/>
        <w:jc w:val="both"/>
      </w:pPr>
      <w:r>
        <w:rPr>
          <w:w w:val="105"/>
        </w:rPr>
        <w:t>Hallucinogen Intoxication usually begins with some stimulant effects such as restlessness and autonomic activation. Nausea may occur. A sequence of experiences then follows, with higher doses producing more intense symptoms. Feelings of euphoria may alternate rapidly with depression or anxiety. Initial visual illusions or enhanced sensory</w:t>
      </w:r>
      <w:r>
        <w:rPr>
          <w:spacing w:val="-10"/>
          <w:w w:val="105"/>
        </w:rPr>
        <w:t xml:space="preserve"> </w:t>
      </w:r>
      <w:r>
        <w:rPr>
          <w:w w:val="105"/>
        </w:rPr>
        <w:t>experience</w:t>
      </w:r>
      <w:r>
        <w:rPr>
          <w:spacing w:val="7"/>
          <w:w w:val="105"/>
        </w:rPr>
        <w:t xml:space="preserve"> </w:t>
      </w:r>
      <w:r>
        <w:rPr>
          <w:w w:val="105"/>
        </w:rPr>
        <w:t>may</w:t>
      </w:r>
      <w:r>
        <w:rPr>
          <w:spacing w:val="-12"/>
          <w:w w:val="105"/>
        </w:rPr>
        <w:t xml:space="preserve"> </w:t>
      </w:r>
      <w:r>
        <w:rPr>
          <w:w w:val="105"/>
        </w:rPr>
        <w:t>give</w:t>
      </w:r>
      <w:r>
        <w:rPr>
          <w:spacing w:val="-4"/>
          <w:w w:val="105"/>
        </w:rPr>
        <w:t xml:space="preserve"> </w:t>
      </w:r>
      <w:r>
        <w:rPr>
          <w:w w:val="105"/>
        </w:rPr>
        <w:t>way</w:t>
      </w:r>
      <w:r>
        <w:rPr>
          <w:spacing w:val="-3"/>
          <w:w w:val="105"/>
        </w:rPr>
        <w:t xml:space="preserve"> </w:t>
      </w:r>
      <w:r>
        <w:rPr>
          <w:w w:val="105"/>
        </w:rPr>
        <w:t>to</w:t>
      </w:r>
      <w:r>
        <w:rPr>
          <w:spacing w:val="-5"/>
          <w:w w:val="105"/>
        </w:rPr>
        <w:t xml:space="preserve"> </w:t>
      </w:r>
      <w:r>
        <w:rPr>
          <w:w w:val="105"/>
        </w:rPr>
        <w:t>hallucinations.</w:t>
      </w:r>
      <w:r>
        <w:rPr>
          <w:spacing w:val="-14"/>
          <w:w w:val="105"/>
        </w:rPr>
        <w:t xml:space="preserve"> </w:t>
      </w:r>
      <w:r>
        <w:rPr>
          <w:w w:val="105"/>
        </w:rPr>
        <w:t>At</w:t>
      </w:r>
      <w:r>
        <w:rPr>
          <w:spacing w:val="-6"/>
          <w:w w:val="105"/>
        </w:rPr>
        <w:t xml:space="preserve"> </w:t>
      </w:r>
      <w:r>
        <w:rPr>
          <w:w w:val="105"/>
        </w:rPr>
        <w:t>low</w:t>
      </w:r>
      <w:r>
        <w:rPr>
          <w:spacing w:val="-12"/>
          <w:w w:val="105"/>
        </w:rPr>
        <w:t xml:space="preserve"> </w:t>
      </w:r>
      <w:r>
        <w:rPr>
          <w:w w:val="105"/>
        </w:rPr>
        <w:t>doses, the</w:t>
      </w:r>
      <w:r>
        <w:rPr>
          <w:spacing w:val="-6"/>
          <w:w w:val="105"/>
        </w:rPr>
        <w:t xml:space="preserve"> </w:t>
      </w:r>
      <w:r>
        <w:rPr>
          <w:w w:val="105"/>
        </w:rPr>
        <w:t>perceptual</w:t>
      </w:r>
      <w:r>
        <w:rPr>
          <w:spacing w:val="6"/>
          <w:w w:val="105"/>
        </w:rPr>
        <w:t xml:space="preserve"> </w:t>
      </w:r>
      <w:r>
        <w:rPr>
          <w:w w:val="105"/>
        </w:rPr>
        <w:t>changes frequently do not include hallucinations. Synesthesias (a blending of senses) may result, for example, in sounds being "seen." The hallucinations are usually visual, often of geometric forms or figures, sometimes of persons and objects. More rarely, auditory or tactile hallucinations are experienced. In most cases, reality testing is preserved (i.e., the individual knows that the effects are substance</w:t>
      </w:r>
      <w:r>
        <w:rPr>
          <w:spacing w:val="43"/>
          <w:w w:val="105"/>
        </w:rPr>
        <w:t xml:space="preserve"> </w:t>
      </w:r>
      <w:r>
        <w:rPr>
          <w:w w:val="105"/>
        </w:rPr>
        <w:t>induced).</w:t>
      </w:r>
    </w:p>
    <w:p w:rsidR="00E675F0" w:rsidRDefault="00E675F0" w:rsidP="00E675F0">
      <w:pPr>
        <w:pStyle w:val="BodyText"/>
      </w:pPr>
    </w:p>
    <w:p w:rsidR="00E675F0" w:rsidRDefault="00E675F0" w:rsidP="00E675F0">
      <w:pPr>
        <w:pStyle w:val="BodyText"/>
        <w:spacing w:before="11"/>
        <w:rPr>
          <w:sz w:val="18"/>
        </w:rPr>
      </w:pPr>
      <w:r>
        <w:rPr>
          <w:noProof/>
        </w:rPr>
        <mc:AlternateContent>
          <mc:Choice Requires="wpg">
            <w:drawing>
              <wp:anchor distT="0" distB="0" distL="0" distR="0" simplePos="0" relativeHeight="251885568" behindDoc="1" locked="0" layoutInCell="1" allowOverlap="1" wp14:anchorId="5ADE1A11" wp14:editId="159AE6C8">
                <wp:simplePos x="0" y="0"/>
                <wp:positionH relativeFrom="page">
                  <wp:posOffset>446405</wp:posOffset>
                </wp:positionH>
                <wp:positionV relativeFrom="paragraph">
                  <wp:posOffset>181610</wp:posOffset>
                </wp:positionV>
                <wp:extent cx="4765675" cy="2881630"/>
                <wp:effectExtent l="0" t="0" r="9525" b="1270"/>
                <wp:wrapTopAndBottom/>
                <wp:docPr id="1334" name="Group 1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5675" cy="2881630"/>
                          <a:chOff x="703" y="286"/>
                          <a:chExt cx="7505" cy="4538"/>
                        </a:xfrm>
                      </wpg:grpSpPr>
                      <wps:wsp>
                        <wps:cNvPr id="1335" name="Line 1295"/>
                        <wps:cNvCnPr>
                          <a:cxnSpLocks/>
                        </wps:cNvCnPr>
                        <wps:spPr bwMode="auto">
                          <a:xfrm>
                            <a:off x="790" y="4805"/>
                            <a:ext cx="0" cy="0"/>
                          </a:xfrm>
                          <a:prstGeom prst="line">
                            <a:avLst/>
                          </a:prstGeom>
                          <a:noFill/>
                          <a:ln w="366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6" name="Line 1294"/>
                        <wps:cNvCnPr>
                          <a:cxnSpLocks/>
                        </wps:cNvCnPr>
                        <wps:spPr bwMode="auto">
                          <a:xfrm>
                            <a:off x="8102" y="4747"/>
                            <a:ext cx="0" cy="0"/>
                          </a:xfrm>
                          <a:prstGeom prst="line">
                            <a:avLst/>
                          </a:prstGeom>
                          <a:noFill/>
                          <a:ln w="2443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7" name="Line 1293"/>
                        <wps:cNvCnPr>
                          <a:cxnSpLocks/>
                        </wps:cNvCnPr>
                        <wps:spPr bwMode="auto">
                          <a:xfrm>
                            <a:off x="8193" y="4824"/>
                            <a:ext cx="0" cy="0"/>
                          </a:xfrm>
                          <a:prstGeom prst="line">
                            <a:avLst/>
                          </a:prstGeom>
                          <a:noFill/>
                          <a:ln w="61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8" name="AutoShape 1292"/>
                        <wps:cNvSpPr>
                          <a:spLocks/>
                        </wps:cNvSpPr>
                        <wps:spPr bwMode="auto">
                          <a:xfrm>
                            <a:off x="702" y="363"/>
                            <a:ext cx="7505" cy="4370"/>
                          </a:xfrm>
                          <a:custGeom>
                            <a:avLst/>
                            <a:gdLst>
                              <a:gd name="T0" fmla="+- 0 703 703"/>
                              <a:gd name="T1" fmla="*/ T0 w 7505"/>
                              <a:gd name="T2" fmla="+- 0 363 363"/>
                              <a:gd name="T3" fmla="*/ 363 h 4370"/>
                              <a:gd name="T4" fmla="+- 0 8208 703"/>
                              <a:gd name="T5" fmla="*/ T4 w 7505"/>
                              <a:gd name="T6" fmla="+- 0 363 363"/>
                              <a:gd name="T7" fmla="*/ 363 h 4370"/>
                              <a:gd name="T8" fmla="+- 0 703 703"/>
                              <a:gd name="T9" fmla="*/ T8 w 7505"/>
                              <a:gd name="T10" fmla="+- 0 4732 363"/>
                              <a:gd name="T11" fmla="*/ 4732 h 4370"/>
                              <a:gd name="T12" fmla="+- 0 8208 703"/>
                              <a:gd name="T13" fmla="*/ T12 w 7505"/>
                              <a:gd name="T14" fmla="+- 0 4732 363"/>
                              <a:gd name="T15" fmla="*/ 4732 h 4370"/>
                            </a:gdLst>
                            <a:ahLst/>
                            <a:cxnLst>
                              <a:cxn ang="0">
                                <a:pos x="T1" y="T3"/>
                              </a:cxn>
                              <a:cxn ang="0">
                                <a:pos x="T5" y="T7"/>
                              </a:cxn>
                              <a:cxn ang="0">
                                <a:pos x="T9" y="T11"/>
                              </a:cxn>
                              <a:cxn ang="0">
                                <a:pos x="T13" y="T15"/>
                              </a:cxn>
                            </a:cxnLst>
                            <a:rect l="0" t="0" r="r" b="b"/>
                            <a:pathLst>
                              <a:path w="7505" h="4370">
                                <a:moveTo>
                                  <a:pt x="0" y="0"/>
                                </a:moveTo>
                                <a:lnTo>
                                  <a:pt x="7505" y="0"/>
                                </a:lnTo>
                                <a:moveTo>
                                  <a:pt x="0" y="4369"/>
                                </a:moveTo>
                                <a:lnTo>
                                  <a:pt x="7505" y="4369"/>
                                </a:lnTo>
                              </a:path>
                            </a:pathLst>
                          </a:custGeom>
                          <a:noFill/>
                          <a:ln w="3358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9" name="Text Box 1291"/>
                        <wps:cNvSpPr txBox="1">
                          <a:spLocks/>
                        </wps:cNvSpPr>
                        <wps:spPr bwMode="auto">
                          <a:xfrm>
                            <a:off x="818" y="389"/>
                            <a:ext cx="7265" cy="4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5F0" w:rsidRDefault="00E675F0" w:rsidP="003048D3">
                              <w:pPr>
                                <w:numPr>
                                  <w:ilvl w:val="0"/>
                                  <w:numId w:val="27"/>
                                </w:numPr>
                                <w:tabs>
                                  <w:tab w:val="left" w:pos="608"/>
                                </w:tabs>
                                <w:spacing w:before="35" w:line="206" w:lineRule="auto"/>
                                <w:ind w:right="1602" w:hanging="375"/>
                                <w:rPr>
                                  <w:rFonts w:ascii="Arial"/>
                                  <w:b/>
                                  <w:sz w:val="24"/>
                                </w:rPr>
                              </w:pPr>
                              <w:r>
                                <w:rPr>
                                  <w:rFonts w:ascii="Arial"/>
                                  <w:b/>
                                  <w:w w:val="105"/>
                                  <w:sz w:val="24"/>
                                </w:rPr>
                                <w:t>Diagnostic</w:t>
                              </w:r>
                              <w:r>
                                <w:rPr>
                                  <w:rFonts w:ascii="Arial"/>
                                  <w:b/>
                                  <w:spacing w:val="-15"/>
                                  <w:w w:val="105"/>
                                  <w:sz w:val="24"/>
                                </w:rPr>
                                <w:t xml:space="preserve"> </w:t>
                              </w:r>
                              <w:r>
                                <w:rPr>
                                  <w:rFonts w:ascii="Arial"/>
                                  <w:b/>
                                  <w:w w:val="105"/>
                                  <w:sz w:val="24"/>
                                </w:rPr>
                                <w:t>criteria</w:t>
                              </w:r>
                              <w:r>
                                <w:rPr>
                                  <w:rFonts w:ascii="Arial"/>
                                  <w:b/>
                                  <w:spacing w:val="-15"/>
                                  <w:w w:val="105"/>
                                  <w:sz w:val="24"/>
                                </w:rPr>
                                <w:t xml:space="preserve"> </w:t>
                              </w:r>
                              <w:r>
                                <w:rPr>
                                  <w:rFonts w:ascii="Arial"/>
                                  <w:b/>
                                  <w:w w:val="105"/>
                                  <w:sz w:val="24"/>
                                </w:rPr>
                                <w:t>for</w:t>
                              </w:r>
                              <w:r>
                                <w:rPr>
                                  <w:rFonts w:ascii="Arial"/>
                                  <w:b/>
                                  <w:spacing w:val="-19"/>
                                  <w:w w:val="105"/>
                                  <w:sz w:val="24"/>
                                </w:rPr>
                                <w:t xml:space="preserve"> </w:t>
                              </w:r>
                              <w:r>
                                <w:rPr>
                                  <w:rFonts w:ascii="Arial"/>
                                  <w:b/>
                                  <w:w w:val="105"/>
                                  <w:sz w:val="24"/>
                                </w:rPr>
                                <w:t>292.89</w:t>
                              </w:r>
                              <w:r>
                                <w:rPr>
                                  <w:rFonts w:ascii="Arial"/>
                                  <w:b/>
                                  <w:spacing w:val="-20"/>
                                  <w:w w:val="105"/>
                                  <w:sz w:val="24"/>
                                </w:rPr>
                                <w:t xml:space="preserve"> </w:t>
                              </w:r>
                              <w:r>
                                <w:rPr>
                                  <w:rFonts w:ascii="Arial"/>
                                  <w:b/>
                                  <w:w w:val="105"/>
                                  <w:sz w:val="24"/>
                                </w:rPr>
                                <w:t>Hallucinogen Intoxication</w:t>
                              </w:r>
                            </w:p>
                            <w:p w:rsidR="00E675F0" w:rsidRDefault="00E675F0" w:rsidP="003048D3">
                              <w:pPr>
                                <w:numPr>
                                  <w:ilvl w:val="1"/>
                                  <w:numId w:val="27"/>
                                </w:numPr>
                                <w:tabs>
                                  <w:tab w:val="left" w:pos="940"/>
                                </w:tabs>
                                <w:spacing w:before="231"/>
                                <w:ind w:hanging="312"/>
                                <w:rPr>
                                  <w:sz w:val="20"/>
                                </w:rPr>
                              </w:pPr>
                              <w:r>
                                <w:rPr>
                                  <w:w w:val="105"/>
                                  <w:sz w:val="20"/>
                                </w:rPr>
                                <w:t>Recent use of a</w:t>
                              </w:r>
                              <w:r>
                                <w:rPr>
                                  <w:spacing w:val="6"/>
                                  <w:w w:val="105"/>
                                  <w:sz w:val="20"/>
                                </w:rPr>
                                <w:t xml:space="preserve"> </w:t>
                              </w:r>
                              <w:r>
                                <w:rPr>
                                  <w:w w:val="105"/>
                                  <w:sz w:val="20"/>
                                </w:rPr>
                                <w:t>hallucinogen.</w:t>
                              </w:r>
                            </w:p>
                            <w:p w:rsidR="00E675F0" w:rsidRDefault="00E675F0" w:rsidP="00E675F0">
                              <w:pPr>
                                <w:spacing w:before="7"/>
                                <w:rPr>
                                  <w:sz w:val="17"/>
                                </w:rPr>
                              </w:pPr>
                            </w:p>
                            <w:p w:rsidR="00E675F0" w:rsidRDefault="00E675F0" w:rsidP="003048D3">
                              <w:pPr>
                                <w:numPr>
                                  <w:ilvl w:val="1"/>
                                  <w:numId w:val="27"/>
                                </w:numPr>
                                <w:tabs>
                                  <w:tab w:val="left" w:pos="931"/>
                                </w:tabs>
                                <w:spacing w:line="256" w:lineRule="auto"/>
                                <w:ind w:left="929" w:right="238" w:hanging="299"/>
                                <w:jc w:val="both"/>
                                <w:rPr>
                                  <w:sz w:val="20"/>
                                </w:rPr>
                              </w:pPr>
                              <w:r>
                                <w:rPr>
                                  <w:w w:val="105"/>
                                  <w:sz w:val="20"/>
                                </w:rPr>
                                <w:t>Clinically significant maladaptive behavioral or psychological changes (e.g., marked anxiety or depression, ideas of reference, fear of losing one's mind, paranoid ideation, impaired  judgment,  or impaired social or occupational functioning) that developed during, or shortly after, hallucinogen</w:t>
                              </w:r>
                              <w:r>
                                <w:rPr>
                                  <w:spacing w:val="19"/>
                                  <w:w w:val="105"/>
                                  <w:sz w:val="20"/>
                                </w:rPr>
                                <w:t xml:space="preserve"> </w:t>
                              </w:r>
                              <w:r>
                                <w:rPr>
                                  <w:w w:val="105"/>
                                  <w:sz w:val="20"/>
                                </w:rPr>
                                <w:t>use.</w:t>
                              </w:r>
                            </w:p>
                            <w:p w:rsidR="00E675F0" w:rsidRDefault="00E675F0" w:rsidP="003048D3">
                              <w:pPr>
                                <w:numPr>
                                  <w:ilvl w:val="1"/>
                                  <w:numId w:val="27"/>
                                </w:numPr>
                                <w:tabs>
                                  <w:tab w:val="left" w:pos="935"/>
                                </w:tabs>
                                <w:spacing w:before="169" w:line="256" w:lineRule="auto"/>
                                <w:ind w:left="932" w:right="233" w:hanging="306"/>
                                <w:jc w:val="both"/>
                                <w:rPr>
                                  <w:rFonts w:ascii="Arial" w:hAnsi="Arial"/>
                                  <w:sz w:val="17"/>
                                </w:rPr>
                              </w:pPr>
                              <w:r>
                                <w:rPr>
                                  <w:w w:val="105"/>
                                  <w:sz w:val="20"/>
                                </w:rPr>
                                <w:t>Perceptual changes occurring in a state of full wakefulness and alertness (e.g., subjective intensification of perceptions, depersonalization, de­ realization, illusions, hallucinations, synesthesias) that developed dur­ ing, or shortly after, hallucinogen</w:t>
                              </w:r>
                              <w:r>
                                <w:rPr>
                                  <w:spacing w:val="25"/>
                                  <w:w w:val="105"/>
                                  <w:sz w:val="20"/>
                                </w:rPr>
                                <w:t xml:space="preserve"> </w:t>
                              </w:r>
                              <w:r>
                                <w:rPr>
                                  <w:w w:val="105"/>
                                  <w:sz w:val="20"/>
                                </w:rPr>
                                <w:t>use.</w:t>
                              </w:r>
                            </w:p>
                            <w:p w:rsidR="00E675F0" w:rsidRDefault="00E675F0" w:rsidP="00E675F0">
                              <w:pPr>
                                <w:spacing w:before="184"/>
                                <w:ind w:right="229"/>
                                <w:jc w:val="right"/>
                                <w:rPr>
                                  <w:i/>
                                  <w:sz w:val="20"/>
                                </w:rPr>
                              </w:pPr>
                              <w:r>
                                <w:rPr>
                                  <w:i/>
                                  <w:w w:val="110"/>
                                  <w:sz w:val="20"/>
                                </w:rPr>
                                <w:t>(continued)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DE1A11" id="Group 1290" o:spid="_x0000_s1123" style="position:absolute;margin-left:35.15pt;margin-top:14.3pt;width:375.25pt;height:226.9pt;z-index:-251430912;mso-wrap-distance-left:0;mso-wrap-distance-right:0;mso-position-horizontal-relative:page;mso-position-vertical-relative:text" coordorigin="703,286" coordsize="7505,45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">
                <v:line id="Line 1295" o:spid="_x0000_s1124" style="position:absolute;visibility:visible;mso-wrap-style:square" from="790,4805" to="790,48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" strokeweight="1.01825mm">
                  <o:lock v:ext="edit" shapetype="f"/>
                </v:line>
                <v:line id="Line 1294" o:spid="_x0000_s1125" style="position:absolute;visibility:visible;mso-wrap-style:square" from="8102,4747" to="8102,47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" strokeweight=".67883mm">
                  <o:lock v:ext="edit" shapetype="f"/>
                </v:line>
                <v:line id="Line 1293" o:spid="_x0000_s1126" style="position:absolute;visibility:visible;mso-wrap-style:square" from="8193,4824" to="8193,48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" strokeweight=".16972mm">
                  <o:lock v:ext="edit" shapetype="f"/>
                </v:line>
                <v:shape id="AutoShape 1292" o:spid="_x0000_s1127" style="position:absolute;left:702;top:363;width:7505;height:4370;visibility:visible;mso-wrap-style:square;v-text-anchor:top" coordsize="7505,43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" path="m,l7505,m,4369r7505,e" filled="f" strokeweight=".93303mm">
                  <v:path arrowok="t" o:connecttype="custom" o:connectlocs="0,363;7505,363;0,4732;7505,4732" o:connectangles="0,0,0,0"/>
                </v:shape>
                <v:shape id="Text Box 1291" o:spid="_x0000_s1128" type="#_x0000_t202" style="position:absolute;left:818;top:389;width:7265;height:43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" filled="f" stroked="f">
                  <v:path arrowok="t"/>
                  <v:textbox inset="0,0,0,0">
                    <w:txbxContent>
                      <w:p w:rsidR="00E675F0" w:rsidRDefault="00E675F0" w:rsidP="003048D3">
                        <w:pPr>
                          <w:numPr>
                            <w:ilvl w:val="0"/>
                            <w:numId w:val="27"/>
                          </w:numPr>
                          <w:tabs>
                            <w:tab w:val="left" w:pos="608"/>
                          </w:tabs>
                          <w:spacing w:before="35" w:line="206" w:lineRule="auto"/>
                          <w:ind w:right="1602" w:hanging="375"/>
                          <w:rPr>
                            <w:rFonts w:ascii="Arial"/>
                            <w:b/>
                            <w:sz w:val="24"/>
                          </w:rPr>
                        </w:pPr>
                        <w:r>
                          <w:rPr>
                            <w:rFonts w:ascii="Arial"/>
                            <w:b/>
                            <w:w w:val="105"/>
                            <w:sz w:val="24"/>
                          </w:rPr>
                          <w:t>Diagnostic</w:t>
                        </w:r>
                        <w:r>
                          <w:rPr>
                            <w:rFonts w:ascii="Arial"/>
                            <w:b/>
                            <w:spacing w:val="-15"/>
                            <w:w w:val="105"/>
                            <w:sz w:val="24"/>
                          </w:rPr>
                          <w:t xml:space="preserve"> </w:t>
                        </w:r>
                        <w:r>
                          <w:rPr>
                            <w:rFonts w:ascii="Arial"/>
                            <w:b/>
                            <w:w w:val="105"/>
                            <w:sz w:val="24"/>
                          </w:rPr>
                          <w:t>criteria</w:t>
                        </w:r>
                        <w:r>
                          <w:rPr>
                            <w:rFonts w:ascii="Arial"/>
                            <w:b/>
                            <w:spacing w:val="-15"/>
                            <w:w w:val="105"/>
                            <w:sz w:val="24"/>
                          </w:rPr>
                          <w:t xml:space="preserve"> </w:t>
                        </w:r>
                        <w:r>
                          <w:rPr>
                            <w:rFonts w:ascii="Arial"/>
                            <w:b/>
                            <w:w w:val="105"/>
                            <w:sz w:val="24"/>
                          </w:rPr>
                          <w:t>for</w:t>
                        </w:r>
                        <w:r>
                          <w:rPr>
                            <w:rFonts w:ascii="Arial"/>
                            <w:b/>
                            <w:spacing w:val="-19"/>
                            <w:w w:val="105"/>
                            <w:sz w:val="24"/>
                          </w:rPr>
                          <w:t xml:space="preserve"> </w:t>
                        </w:r>
                        <w:r>
                          <w:rPr>
                            <w:rFonts w:ascii="Arial"/>
                            <w:b/>
                            <w:w w:val="105"/>
                            <w:sz w:val="24"/>
                          </w:rPr>
                          <w:t>292.89</w:t>
                        </w:r>
                        <w:r>
                          <w:rPr>
                            <w:rFonts w:ascii="Arial"/>
                            <w:b/>
                            <w:spacing w:val="-20"/>
                            <w:w w:val="105"/>
                            <w:sz w:val="24"/>
                          </w:rPr>
                          <w:t xml:space="preserve"> </w:t>
                        </w:r>
                        <w:r>
                          <w:rPr>
                            <w:rFonts w:ascii="Arial"/>
                            <w:b/>
                            <w:w w:val="105"/>
                            <w:sz w:val="24"/>
                          </w:rPr>
                          <w:t>Hallucinogen Intoxication</w:t>
                        </w:r>
                      </w:p>
                      <w:p w:rsidR="00E675F0" w:rsidRDefault="00E675F0" w:rsidP="003048D3">
                        <w:pPr>
                          <w:numPr>
                            <w:ilvl w:val="1"/>
                            <w:numId w:val="27"/>
                          </w:numPr>
                          <w:tabs>
                            <w:tab w:val="left" w:pos="940"/>
                          </w:tabs>
                          <w:spacing w:before="231"/>
                          <w:ind w:hanging="312"/>
                          <w:rPr>
                            <w:sz w:val="20"/>
                          </w:rPr>
                        </w:pPr>
                        <w:r>
                          <w:rPr>
                            <w:w w:val="105"/>
                            <w:sz w:val="20"/>
                          </w:rPr>
                          <w:t>Recent use of a</w:t>
                        </w:r>
                        <w:r>
                          <w:rPr>
                            <w:spacing w:val="6"/>
                            <w:w w:val="105"/>
                            <w:sz w:val="20"/>
                          </w:rPr>
                          <w:t xml:space="preserve"> </w:t>
                        </w:r>
                        <w:r>
                          <w:rPr>
                            <w:w w:val="105"/>
                            <w:sz w:val="20"/>
                          </w:rPr>
                          <w:t>hallucinogen.</w:t>
                        </w:r>
                      </w:p>
                      <w:p w:rsidR="00E675F0" w:rsidRDefault="00E675F0" w:rsidP="00E675F0">
                        <w:pPr>
                          <w:spacing w:before="7"/>
                          <w:rPr>
                            <w:sz w:val="17"/>
                          </w:rPr>
                        </w:pPr>
                      </w:p>
                      <w:p w:rsidR="00E675F0" w:rsidRDefault="00E675F0" w:rsidP="003048D3">
                        <w:pPr>
                          <w:numPr>
                            <w:ilvl w:val="1"/>
                            <w:numId w:val="27"/>
                          </w:numPr>
                          <w:tabs>
                            <w:tab w:val="left" w:pos="931"/>
                          </w:tabs>
                          <w:spacing w:line="256" w:lineRule="auto"/>
                          <w:ind w:left="929" w:right="238" w:hanging="299"/>
                          <w:jc w:val="both"/>
                          <w:rPr>
                            <w:sz w:val="20"/>
                          </w:rPr>
                        </w:pPr>
                        <w:r>
                          <w:rPr>
                            <w:w w:val="105"/>
                            <w:sz w:val="20"/>
                          </w:rPr>
                          <w:t>Clinically significant maladaptive behavioral or psychological changes (e.g., marked anxiety or depression, ideas of reference, fear of losing one's mind, paranoid ideation, impaired  judgment,  or impaired social or occupational functioning) that developed during, or shortly after, hallucinogen</w:t>
                        </w:r>
                        <w:r>
                          <w:rPr>
                            <w:spacing w:val="19"/>
                            <w:w w:val="105"/>
                            <w:sz w:val="20"/>
                          </w:rPr>
                          <w:t xml:space="preserve"> </w:t>
                        </w:r>
                        <w:r>
                          <w:rPr>
                            <w:w w:val="105"/>
                            <w:sz w:val="20"/>
                          </w:rPr>
                          <w:t>use.</w:t>
                        </w:r>
                      </w:p>
                      <w:p w:rsidR="00E675F0" w:rsidRDefault="00E675F0" w:rsidP="003048D3">
                        <w:pPr>
                          <w:numPr>
                            <w:ilvl w:val="1"/>
                            <w:numId w:val="27"/>
                          </w:numPr>
                          <w:tabs>
                            <w:tab w:val="left" w:pos="935"/>
                          </w:tabs>
                          <w:spacing w:before="169" w:line="256" w:lineRule="auto"/>
                          <w:ind w:left="932" w:right="233" w:hanging="306"/>
                          <w:jc w:val="both"/>
                          <w:rPr>
                            <w:rFonts w:ascii="Arial" w:hAnsi="Arial"/>
                            <w:sz w:val="17"/>
                          </w:rPr>
                        </w:pPr>
                        <w:r>
                          <w:rPr>
                            <w:w w:val="105"/>
                            <w:sz w:val="20"/>
                          </w:rPr>
                          <w:t>Perceptual changes occurring in a state of full wakefulness and alertness (e.g., subjective intensification of perceptions, depersonalization, de­ realization, illusions, hallucinations, synesthesias) that developed dur­ ing, or shortly after, hallucinogen</w:t>
                        </w:r>
                        <w:r>
                          <w:rPr>
                            <w:spacing w:val="25"/>
                            <w:w w:val="105"/>
                            <w:sz w:val="20"/>
                          </w:rPr>
                          <w:t xml:space="preserve"> </w:t>
                        </w:r>
                        <w:r>
                          <w:rPr>
                            <w:w w:val="105"/>
                            <w:sz w:val="20"/>
                          </w:rPr>
                          <w:t>use.</w:t>
                        </w:r>
                      </w:p>
                      <w:p w:rsidR="00E675F0" w:rsidRDefault="00E675F0" w:rsidP="00E675F0">
                        <w:pPr>
                          <w:spacing w:before="184"/>
                          <w:ind w:right="229"/>
                          <w:jc w:val="right"/>
                          <w:rPr>
                            <w:i/>
                            <w:sz w:val="20"/>
                          </w:rPr>
                        </w:pPr>
                        <w:r>
                          <w:rPr>
                            <w:i/>
                            <w:w w:val="110"/>
                            <w:sz w:val="20"/>
                          </w:rPr>
                          <w:t>(continued)</w:t>
                        </w:r>
                      </w:p>
                    </w:txbxContent>
                  </v:textbox>
                </v:shape>
                <w10:wrap type="topAndBottom" anchorx="page"/>
              </v:group>
            </w:pict>
          </mc:Fallback>
        </mc:AlternateContent>
      </w:r>
    </w:p>
    <w:p w:rsidR="00E675F0" w:rsidRDefault="00E675F0" w:rsidP="00E675F0">
      <w:pPr>
        <w:rPr>
          <w:sz w:val="18"/>
        </w:rPr>
        <w:sectPr w:rsidR="00E675F0">
          <w:pgSz w:w="8960" w:h="14260"/>
          <w:pgMar w:top="1400" w:right="640" w:bottom="280" w:left="600" w:header="695" w:footer="0" w:gutter="0"/>
          <w:cols w:space="720"/>
        </w:sectPr>
      </w:pPr>
    </w:p>
    <w:p w:rsidR="00E675F0" w:rsidRDefault="00E675F0" w:rsidP="00E675F0">
      <w:pPr>
        <w:pStyle w:val="BodyText"/>
        <w:spacing w:before="8"/>
        <w:rPr>
          <w:sz w:val="3"/>
        </w:rPr>
      </w:pPr>
    </w:p>
    <w:p w:rsidR="00E675F0" w:rsidRDefault="00E675F0" w:rsidP="00E675F0">
      <w:pPr>
        <w:pStyle w:val="BodyText"/>
        <w:ind w:left="122"/>
      </w:pPr>
      <w:r>
        <w:rPr>
          <w:noProof/>
        </w:rPr>
        <mc:AlternateContent>
          <mc:Choice Requires="wpg">
            <w:drawing>
              <wp:inline distT="0" distB="0" distL="0" distR="0" wp14:anchorId="7294351C" wp14:editId="3AC664B0">
                <wp:extent cx="4693920" cy="2787015"/>
                <wp:effectExtent l="12700" t="12700" r="5080" b="0"/>
                <wp:docPr id="1329" name="Group 1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3920" cy="2787015"/>
                          <a:chOff x="0" y="0"/>
                          <a:chExt cx="7392" cy="4389"/>
                        </a:xfrm>
                      </wpg:grpSpPr>
                      <wps:wsp>
                        <wps:cNvPr id="1330" name="AutoShape 1289"/>
                        <wps:cNvSpPr>
                          <a:spLocks/>
                        </wps:cNvSpPr>
                        <wps:spPr bwMode="auto">
                          <a:xfrm>
                            <a:off x="9" y="0"/>
                            <a:ext cx="7368" cy="121"/>
                          </a:xfrm>
                          <a:custGeom>
                            <a:avLst/>
                            <a:gdLst>
                              <a:gd name="T0" fmla="+- 0 10 10"/>
                              <a:gd name="T1" fmla="*/ T0 w 7368"/>
                              <a:gd name="T2" fmla="*/ 5 h 121"/>
                              <a:gd name="T3" fmla="+- 0 7377 10"/>
                              <a:gd name="T4" fmla="*/ T3 w 7368"/>
                              <a:gd name="T5" fmla="*/ 5 h 121"/>
                              <a:gd name="T6" fmla="+- 0 7372 10"/>
                              <a:gd name="T7" fmla="*/ T6 w 7368"/>
                              <a:gd name="T8" fmla="*/ 120 h 121"/>
                              <a:gd name="T9" fmla="+- 0 7372 10"/>
                              <a:gd name="T10" fmla="*/ T9 w 7368"/>
                              <a:gd name="T11" fmla="*/ 0 h 121"/>
                            </a:gdLst>
                            <a:ahLst/>
                            <a:cxnLst>
                              <a:cxn ang="0">
                                <a:pos x="T1" y="T2"/>
                              </a:cxn>
                              <a:cxn ang="0">
                                <a:pos x="T4" y="T5"/>
                              </a:cxn>
                              <a:cxn ang="0">
                                <a:pos x="T7" y="T8"/>
                              </a:cxn>
                              <a:cxn ang="0">
                                <a:pos x="T10" y="T11"/>
                              </a:cxn>
                            </a:cxnLst>
                            <a:rect l="0" t="0" r="r" b="b"/>
                            <a:pathLst>
                              <a:path w="7368" h="121">
                                <a:moveTo>
                                  <a:pt x="0" y="5"/>
                                </a:moveTo>
                                <a:lnTo>
                                  <a:pt x="7367" y="5"/>
                                </a:lnTo>
                                <a:moveTo>
                                  <a:pt x="7362" y="120"/>
                                </a:moveTo>
                                <a:lnTo>
                                  <a:pt x="7362" y="0"/>
                                </a:lnTo>
                              </a:path>
                            </a:pathLst>
                          </a:custGeom>
                          <a:noFill/>
                          <a:ln w="61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1" name="AutoShape 1288"/>
                        <wps:cNvSpPr>
                          <a:spLocks/>
                        </wps:cNvSpPr>
                        <wps:spPr bwMode="auto">
                          <a:xfrm>
                            <a:off x="0" y="0"/>
                            <a:ext cx="7392" cy="4389"/>
                          </a:xfrm>
                          <a:custGeom>
                            <a:avLst/>
                            <a:gdLst>
                              <a:gd name="T0" fmla="*/ 19 w 7392"/>
                              <a:gd name="T1" fmla="*/ 4307 h 4389"/>
                              <a:gd name="T2" fmla="*/ 19 w 7392"/>
                              <a:gd name="T3" fmla="*/ 0 h 4389"/>
                              <a:gd name="T4" fmla="*/ 7372 w 7392"/>
                              <a:gd name="T5" fmla="*/ 4389 h 4389"/>
                              <a:gd name="T6" fmla="*/ 7372 w 7392"/>
                              <a:gd name="T7" fmla="*/ 82 h 4389"/>
                              <a:gd name="T8" fmla="*/ 0 w 7392"/>
                              <a:gd name="T9" fmla="*/ 4288 h 4389"/>
                              <a:gd name="T10" fmla="*/ 7391 w 7392"/>
                              <a:gd name="T11" fmla="*/ 4288 h 4389"/>
                            </a:gdLst>
                            <a:ahLst/>
                            <a:cxnLst>
                              <a:cxn ang="0">
                                <a:pos x="T0" y="T1"/>
                              </a:cxn>
                              <a:cxn ang="0">
                                <a:pos x="T2" y="T3"/>
                              </a:cxn>
                              <a:cxn ang="0">
                                <a:pos x="T4" y="T5"/>
                              </a:cxn>
                              <a:cxn ang="0">
                                <a:pos x="T6" y="T7"/>
                              </a:cxn>
                              <a:cxn ang="0">
                                <a:pos x="T8" y="T9"/>
                              </a:cxn>
                              <a:cxn ang="0">
                                <a:pos x="T10" y="T11"/>
                              </a:cxn>
                            </a:cxnLst>
                            <a:rect l="0" t="0" r="r" b="b"/>
                            <a:pathLst>
                              <a:path w="7392" h="4389">
                                <a:moveTo>
                                  <a:pt x="19" y="4307"/>
                                </a:moveTo>
                                <a:lnTo>
                                  <a:pt x="19" y="0"/>
                                </a:lnTo>
                                <a:moveTo>
                                  <a:pt x="7372" y="4389"/>
                                </a:moveTo>
                                <a:lnTo>
                                  <a:pt x="7372" y="82"/>
                                </a:lnTo>
                                <a:moveTo>
                                  <a:pt x="0" y="4288"/>
                                </a:moveTo>
                                <a:lnTo>
                                  <a:pt x="7391" y="4288"/>
                                </a:lnTo>
                              </a:path>
                            </a:pathLst>
                          </a:custGeom>
                          <a:noFill/>
                          <a:ln w="244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2" name="AutoShape 1287"/>
                        <wps:cNvSpPr>
                          <a:spLocks/>
                        </wps:cNvSpPr>
                        <wps:spPr bwMode="auto">
                          <a:xfrm>
                            <a:off x="14" y="4268"/>
                            <a:ext cx="7373" cy="121"/>
                          </a:xfrm>
                          <a:custGeom>
                            <a:avLst/>
                            <a:gdLst>
                              <a:gd name="T0" fmla="+- 0 14 14"/>
                              <a:gd name="T1" fmla="*/ T0 w 7373"/>
                              <a:gd name="T2" fmla="+- 0 4384 4268"/>
                              <a:gd name="T3" fmla="*/ 4384 h 121"/>
                              <a:gd name="T4" fmla="+- 0 7387 14"/>
                              <a:gd name="T5" fmla="*/ T4 w 7373"/>
                              <a:gd name="T6" fmla="+- 0 4384 4268"/>
                              <a:gd name="T7" fmla="*/ 4384 h 121"/>
                              <a:gd name="T8" fmla="+- 0 19 14"/>
                              <a:gd name="T9" fmla="*/ T8 w 7373"/>
                              <a:gd name="T10" fmla="+- 0 4389 4268"/>
                              <a:gd name="T11" fmla="*/ 4389 h 121"/>
                              <a:gd name="T12" fmla="+- 0 19 14"/>
                              <a:gd name="T13" fmla="*/ T12 w 7373"/>
                              <a:gd name="T14" fmla="+- 0 4268 4268"/>
                              <a:gd name="T15" fmla="*/ 4268 h 121"/>
                            </a:gdLst>
                            <a:ahLst/>
                            <a:cxnLst>
                              <a:cxn ang="0">
                                <a:pos x="T1" y="T3"/>
                              </a:cxn>
                              <a:cxn ang="0">
                                <a:pos x="T5" y="T7"/>
                              </a:cxn>
                              <a:cxn ang="0">
                                <a:pos x="T9" y="T11"/>
                              </a:cxn>
                              <a:cxn ang="0">
                                <a:pos x="T13" y="T15"/>
                              </a:cxn>
                            </a:cxnLst>
                            <a:rect l="0" t="0" r="r" b="b"/>
                            <a:pathLst>
                              <a:path w="7373" h="121">
                                <a:moveTo>
                                  <a:pt x="0" y="116"/>
                                </a:moveTo>
                                <a:lnTo>
                                  <a:pt x="7373" y="116"/>
                                </a:lnTo>
                                <a:moveTo>
                                  <a:pt x="5" y="121"/>
                                </a:moveTo>
                                <a:lnTo>
                                  <a:pt x="5" y="0"/>
                                </a:lnTo>
                              </a:path>
                            </a:pathLst>
                          </a:custGeom>
                          <a:noFill/>
                          <a:ln w="61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3" name="Text Box 1286"/>
                        <wps:cNvSpPr txBox="1">
                          <a:spLocks/>
                        </wps:cNvSpPr>
                        <wps:spPr bwMode="auto">
                          <a:xfrm>
                            <a:off x="19" y="100"/>
                            <a:ext cx="7353" cy="4187"/>
                          </a:xfrm>
                          <a:prstGeom prst="rect">
                            <a:avLst/>
                          </a:prstGeom>
                          <a:noFill/>
                          <a:ln w="2444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675F0" w:rsidRDefault="00E675F0" w:rsidP="003048D3">
                              <w:pPr>
                                <w:numPr>
                                  <w:ilvl w:val="0"/>
                                  <w:numId w:val="26"/>
                                </w:numPr>
                                <w:tabs>
                                  <w:tab w:val="left" w:pos="596"/>
                                </w:tabs>
                                <w:spacing w:before="121" w:line="377" w:lineRule="exact"/>
                                <w:ind w:hanging="329"/>
                                <w:rPr>
                                  <w:rFonts w:ascii="Arial"/>
                                  <w:b/>
                                </w:rPr>
                              </w:pPr>
                              <w:bookmarkStart w:id="151" w:name="_bookmark132"/>
                              <w:bookmarkEnd w:id="151"/>
                              <w:r>
                                <w:rPr>
                                  <w:rFonts w:ascii="Arial"/>
                                  <w:b/>
                                  <w:w w:val="105"/>
                                </w:rPr>
                                <w:t>Diagnostic criteria for 292.89 Hallucinogen</w:t>
                              </w:r>
                              <w:r>
                                <w:rPr>
                                  <w:rFonts w:ascii="Arial"/>
                                  <w:b/>
                                  <w:spacing w:val="-11"/>
                                  <w:w w:val="105"/>
                                </w:rPr>
                                <w:t xml:space="preserve"> </w:t>
                              </w:r>
                              <w:r>
                                <w:rPr>
                                  <w:rFonts w:ascii="Arial"/>
                                  <w:b/>
                                  <w:w w:val="105"/>
                                </w:rPr>
                                <w:t>Intoxication</w:t>
                              </w:r>
                            </w:p>
                            <w:p w:rsidR="00E675F0" w:rsidRDefault="00E675F0" w:rsidP="00E675F0">
                              <w:pPr>
                                <w:spacing w:line="205" w:lineRule="exact"/>
                                <w:ind w:left="607"/>
                                <w:rPr>
                                  <w:rFonts w:ascii="Arial"/>
                                  <w:i/>
                                  <w:sz w:val="21"/>
                                </w:rPr>
                              </w:pPr>
                              <w:r>
                                <w:rPr>
                                  <w:rFonts w:ascii="Arial"/>
                                  <w:sz w:val="21"/>
                                </w:rPr>
                                <w:t>(</w:t>
                              </w:r>
                              <w:r>
                                <w:rPr>
                                  <w:rFonts w:ascii="Arial"/>
                                  <w:i/>
                                  <w:sz w:val="21"/>
                                </w:rPr>
                                <w:t>continued)</w:t>
                              </w:r>
                            </w:p>
                            <w:p w:rsidR="00E675F0" w:rsidRDefault="00E675F0" w:rsidP="00E675F0">
                              <w:pPr>
                                <w:spacing w:before="9"/>
                                <w:rPr>
                                  <w:rFonts w:ascii="Arial"/>
                                  <w:i/>
                                  <w:sz w:val="18"/>
                                </w:rPr>
                              </w:pPr>
                            </w:p>
                            <w:p w:rsidR="00E675F0" w:rsidRDefault="00E675F0" w:rsidP="00E675F0">
                              <w:pPr>
                                <w:spacing w:line="252" w:lineRule="auto"/>
                                <w:ind w:left="960" w:right="279" w:hanging="300"/>
                                <w:rPr>
                                  <w:sz w:val="20"/>
                                </w:rPr>
                              </w:pPr>
                              <w:r>
                                <w:rPr>
                                  <w:w w:val="105"/>
                                  <w:sz w:val="20"/>
                                </w:rPr>
                                <w:t>D. Two (or more) of the following signs, developing during, or shortly after, hallucinogen</w:t>
                              </w:r>
                              <w:r>
                                <w:rPr>
                                  <w:spacing w:val="-3"/>
                                  <w:w w:val="105"/>
                                  <w:sz w:val="20"/>
                                </w:rPr>
                                <w:t xml:space="preserve"> </w:t>
                              </w:r>
                              <w:r>
                                <w:rPr>
                                  <w:w w:val="105"/>
                                  <w:sz w:val="20"/>
                                </w:rPr>
                                <w:t>use:</w:t>
                              </w:r>
                            </w:p>
                            <w:p w:rsidR="00E675F0" w:rsidRDefault="00E675F0" w:rsidP="003048D3">
                              <w:pPr>
                                <w:numPr>
                                  <w:ilvl w:val="1"/>
                                  <w:numId w:val="26"/>
                                </w:numPr>
                                <w:tabs>
                                  <w:tab w:val="left" w:pos="1391"/>
                                  <w:tab w:val="left" w:pos="1392"/>
                                </w:tabs>
                                <w:spacing w:before="65"/>
                                <w:rPr>
                                  <w:sz w:val="17"/>
                                </w:rPr>
                              </w:pPr>
                              <w:r>
                                <w:rPr>
                                  <w:w w:val="105"/>
                                  <w:sz w:val="20"/>
                                </w:rPr>
                                <w:t>pupillary</w:t>
                              </w:r>
                              <w:r>
                                <w:rPr>
                                  <w:spacing w:val="7"/>
                                  <w:w w:val="105"/>
                                  <w:sz w:val="20"/>
                                </w:rPr>
                                <w:t xml:space="preserve"> </w:t>
                              </w:r>
                              <w:r>
                                <w:rPr>
                                  <w:w w:val="105"/>
                                  <w:sz w:val="20"/>
                                </w:rPr>
                                <w:t>dilation</w:t>
                              </w:r>
                            </w:p>
                            <w:p w:rsidR="00E675F0" w:rsidRDefault="00E675F0" w:rsidP="003048D3">
                              <w:pPr>
                                <w:numPr>
                                  <w:ilvl w:val="1"/>
                                  <w:numId w:val="26"/>
                                </w:numPr>
                                <w:tabs>
                                  <w:tab w:val="left" w:pos="1388"/>
                                  <w:tab w:val="left" w:pos="1389"/>
                                </w:tabs>
                                <w:spacing w:before="15"/>
                                <w:ind w:left="1388" w:hanging="429"/>
                                <w:rPr>
                                  <w:sz w:val="17"/>
                                </w:rPr>
                              </w:pPr>
                              <w:r>
                                <w:rPr>
                                  <w:w w:val="105"/>
                                  <w:sz w:val="20"/>
                                </w:rPr>
                                <w:t>tachycardia</w:t>
                              </w:r>
                            </w:p>
                            <w:p w:rsidR="00E675F0" w:rsidRDefault="00E675F0" w:rsidP="003048D3">
                              <w:pPr>
                                <w:numPr>
                                  <w:ilvl w:val="1"/>
                                  <w:numId w:val="26"/>
                                </w:numPr>
                                <w:tabs>
                                  <w:tab w:val="left" w:pos="1380"/>
                                  <w:tab w:val="left" w:pos="1381"/>
                                </w:tabs>
                                <w:spacing w:before="10"/>
                                <w:ind w:left="1380" w:hanging="421"/>
                                <w:rPr>
                                  <w:sz w:val="17"/>
                                </w:rPr>
                              </w:pPr>
                              <w:r>
                                <w:rPr>
                                  <w:w w:val="105"/>
                                  <w:sz w:val="20"/>
                                </w:rPr>
                                <w:t>sweating</w:t>
                              </w:r>
                            </w:p>
                            <w:p w:rsidR="00E675F0" w:rsidRDefault="00E675F0" w:rsidP="003048D3">
                              <w:pPr>
                                <w:numPr>
                                  <w:ilvl w:val="1"/>
                                  <w:numId w:val="26"/>
                                </w:numPr>
                                <w:tabs>
                                  <w:tab w:val="left" w:pos="1392"/>
                                </w:tabs>
                                <w:spacing w:before="15"/>
                                <w:ind w:hanging="487"/>
                                <w:rPr>
                                  <w:rFonts w:ascii="Courier New"/>
                                  <w:sz w:val="21"/>
                                </w:rPr>
                              </w:pPr>
                              <w:r>
                                <w:rPr>
                                  <w:w w:val="105"/>
                                  <w:sz w:val="20"/>
                                </w:rPr>
                                <w:t>palpitations</w:t>
                              </w:r>
                            </w:p>
                            <w:p w:rsidR="00E675F0" w:rsidRDefault="00E675F0" w:rsidP="003048D3">
                              <w:pPr>
                                <w:numPr>
                                  <w:ilvl w:val="1"/>
                                  <w:numId w:val="26"/>
                                </w:numPr>
                                <w:tabs>
                                  <w:tab w:val="left" w:pos="1391"/>
                                  <w:tab w:val="left" w:pos="1392"/>
                                </w:tabs>
                                <w:spacing w:before="1"/>
                                <w:rPr>
                                  <w:sz w:val="17"/>
                                </w:rPr>
                              </w:pPr>
                              <w:r>
                                <w:rPr>
                                  <w:sz w:val="20"/>
                                </w:rPr>
                                <w:t>blurring of</w:t>
                              </w:r>
                              <w:r>
                                <w:rPr>
                                  <w:spacing w:val="37"/>
                                  <w:sz w:val="20"/>
                                </w:rPr>
                                <w:t xml:space="preserve"> </w:t>
                              </w:r>
                              <w:r>
                                <w:rPr>
                                  <w:sz w:val="20"/>
                                </w:rPr>
                                <w:t>vision</w:t>
                              </w:r>
                            </w:p>
                            <w:p w:rsidR="00E675F0" w:rsidRDefault="00E675F0" w:rsidP="003048D3">
                              <w:pPr>
                                <w:numPr>
                                  <w:ilvl w:val="1"/>
                                  <w:numId w:val="26"/>
                                </w:numPr>
                                <w:tabs>
                                  <w:tab w:val="left" w:pos="1394"/>
                                </w:tabs>
                                <w:spacing w:before="15" w:line="247" w:lineRule="exact"/>
                                <w:ind w:left="1393" w:hanging="485"/>
                                <w:rPr>
                                  <w:rFonts w:ascii="Courier New"/>
                                  <w:sz w:val="21"/>
                                </w:rPr>
                              </w:pPr>
                              <w:r>
                                <w:rPr>
                                  <w:w w:val="105"/>
                                  <w:sz w:val="20"/>
                                </w:rPr>
                                <w:t>tremors</w:t>
                              </w:r>
                            </w:p>
                            <w:p w:rsidR="00E675F0" w:rsidRDefault="00E675F0" w:rsidP="003048D3">
                              <w:pPr>
                                <w:numPr>
                                  <w:ilvl w:val="1"/>
                                  <w:numId w:val="26"/>
                                </w:numPr>
                                <w:tabs>
                                  <w:tab w:val="left" w:pos="1395"/>
                                </w:tabs>
                                <w:spacing w:line="247" w:lineRule="exact"/>
                                <w:ind w:left="1394" w:hanging="490"/>
                                <w:rPr>
                                  <w:rFonts w:ascii="Courier New"/>
                                  <w:sz w:val="21"/>
                                </w:rPr>
                              </w:pPr>
                              <w:r>
                                <w:rPr>
                                  <w:w w:val="105"/>
                                  <w:sz w:val="20"/>
                                </w:rPr>
                                <w:t>incoordination</w:t>
                              </w:r>
                            </w:p>
                            <w:p w:rsidR="00E675F0" w:rsidRDefault="00E675F0" w:rsidP="00E675F0">
                              <w:pPr>
                                <w:spacing w:before="178" w:line="252" w:lineRule="auto"/>
                                <w:ind w:left="967" w:right="279" w:hanging="308"/>
                                <w:rPr>
                                  <w:sz w:val="20"/>
                                </w:rPr>
                              </w:pPr>
                              <w:r>
                                <w:rPr>
                                  <w:w w:val="105"/>
                                  <w:sz w:val="20"/>
                                </w:rPr>
                                <w:t>E. The symptoms are not due to a general medical condition and are not better accounted for by another mental disorder.</w:t>
                              </w:r>
                            </w:p>
                          </w:txbxContent>
                        </wps:txbx>
                        <wps:bodyPr rot="0" vert="horz" wrap="square" lIns="0" tIns="0" rIns="0" bIns="0" anchor="t" anchorCtr="0" upright="1">
                          <a:noAutofit/>
                        </wps:bodyPr>
                      </wps:wsp>
                    </wpg:wgp>
                  </a:graphicData>
                </a:graphic>
              </wp:inline>
            </w:drawing>
          </mc:Choice>
          <mc:Fallback>
            <w:pict>
              <v:group w14:anchorId="7294351C" id="Group 1285" o:spid="_x0000_s1129" style="width:369.6pt;height:219.45pt;mso-position-horizontal-relative:char;mso-position-vertical-relative:line" coordsize="7392,43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">
                <v:shape id="AutoShape 1289" o:spid="_x0000_s1130" style="position:absolute;left:9;width:7368;height:121;visibility:visible;mso-wrap-style:square;v-text-anchor:top" coordsize="7368,1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" path="m,5r7367,m7362,120l7362,e" filled="f" strokeweight=".16967mm">
                  <v:path arrowok="t" o:connecttype="custom" o:connectlocs="0,5;7367,5;7362,120;7362,0" o:connectangles="0,0,0,0"/>
                </v:shape>
                <v:shape id="AutoShape 1288" o:spid="_x0000_s1131" style="position:absolute;width:7392;height:4389;visibility:visible;mso-wrap-style:square;v-text-anchor:top" coordsize="7392,43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" path="m19,4307l19,m7372,4389r,-4307m,4288r7391,e" filled="f" strokeweight=".67867mm">
                  <v:path arrowok="t" o:connecttype="custom" o:connectlocs="19,4307;19,0;7372,4389;7372,82;0,4288;7391,4288" o:connectangles="0,0,0,0,0,0"/>
                </v:shape>
                <v:shape id="AutoShape 1287" o:spid="_x0000_s1132" style="position:absolute;left:14;top:4268;width:7373;height:121;visibility:visible;mso-wrap-style:square;v-text-anchor:top" coordsize="7373,1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" path="m,116r7373,m5,121l5,e" filled="f" strokeweight=".16967mm">
                  <v:path arrowok="t" o:connecttype="custom" o:connectlocs="0,4384;7373,4384;5,4389;5,4268" o:connectangles="0,0,0,0"/>
                </v:shape>
                <v:shape id="Text Box 1286" o:spid="_x0000_s1133" type="#_x0000_t202" style="position:absolute;left:19;top:100;width:7353;height:41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" filled="f" strokeweight=".67903mm">
                  <v:path arrowok="t"/>
                  <v:textbox inset="0,0,0,0">
                    <w:txbxContent>
                      <w:p w:rsidR="00E675F0" w:rsidRDefault="00E675F0" w:rsidP="003048D3">
                        <w:pPr>
                          <w:numPr>
                            <w:ilvl w:val="0"/>
                            <w:numId w:val="26"/>
                          </w:numPr>
                          <w:tabs>
                            <w:tab w:val="left" w:pos="596"/>
                          </w:tabs>
                          <w:spacing w:before="121" w:line="377" w:lineRule="exact"/>
                          <w:ind w:hanging="329"/>
                          <w:rPr>
                            <w:rFonts w:ascii="Arial"/>
                            <w:b/>
                          </w:rPr>
                        </w:pPr>
                        <w:bookmarkStart w:id="152" w:name="_bookmark132"/>
                        <w:bookmarkEnd w:id="152"/>
                        <w:r>
                          <w:rPr>
                            <w:rFonts w:ascii="Arial"/>
                            <w:b/>
                            <w:w w:val="105"/>
                          </w:rPr>
                          <w:t>Diagnostic criteria for 292.89 Hallucinogen</w:t>
                        </w:r>
                        <w:r>
                          <w:rPr>
                            <w:rFonts w:ascii="Arial"/>
                            <w:b/>
                            <w:spacing w:val="-11"/>
                            <w:w w:val="105"/>
                          </w:rPr>
                          <w:t xml:space="preserve"> </w:t>
                        </w:r>
                        <w:r>
                          <w:rPr>
                            <w:rFonts w:ascii="Arial"/>
                            <w:b/>
                            <w:w w:val="105"/>
                          </w:rPr>
                          <w:t>Intoxication</w:t>
                        </w:r>
                      </w:p>
                      <w:p w:rsidR="00E675F0" w:rsidRDefault="00E675F0" w:rsidP="00E675F0">
                        <w:pPr>
                          <w:spacing w:line="205" w:lineRule="exact"/>
                          <w:ind w:left="607"/>
                          <w:rPr>
                            <w:rFonts w:ascii="Arial"/>
                            <w:i/>
                            <w:sz w:val="21"/>
                          </w:rPr>
                        </w:pPr>
                        <w:r>
                          <w:rPr>
                            <w:rFonts w:ascii="Arial"/>
                            <w:sz w:val="21"/>
                          </w:rPr>
                          <w:t>(</w:t>
                        </w:r>
                        <w:r>
                          <w:rPr>
                            <w:rFonts w:ascii="Arial"/>
                            <w:i/>
                            <w:sz w:val="21"/>
                          </w:rPr>
                          <w:t>continued)</w:t>
                        </w:r>
                      </w:p>
                      <w:p w:rsidR="00E675F0" w:rsidRDefault="00E675F0" w:rsidP="00E675F0">
                        <w:pPr>
                          <w:spacing w:before="9"/>
                          <w:rPr>
                            <w:rFonts w:ascii="Arial"/>
                            <w:i/>
                            <w:sz w:val="18"/>
                          </w:rPr>
                        </w:pPr>
                      </w:p>
                      <w:p w:rsidR="00E675F0" w:rsidRDefault="00E675F0" w:rsidP="00E675F0">
                        <w:pPr>
                          <w:spacing w:line="252" w:lineRule="auto"/>
                          <w:ind w:left="960" w:right="279" w:hanging="300"/>
                          <w:rPr>
                            <w:sz w:val="20"/>
                          </w:rPr>
                        </w:pPr>
                        <w:r>
                          <w:rPr>
                            <w:w w:val="105"/>
                            <w:sz w:val="20"/>
                          </w:rPr>
                          <w:t>D. Two (or more) of the following signs, developing during, or shortly after, hallucinogen</w:t>
                        </w:r>
                        <w:r>
                          <w:rPr>
                            <w:spacing w:val="-3"/>
                            <w:w w:val="105"/>
                            <w:sz w:val="20"/>
                          </w:rPr>
                          <w:t xml:space="preserve"> </w:t>
                        </w:r>
                        <w:r>
                          <w:rPr>
                            <w:w w:val="105"/>
                            <w:sz w:val="20"/>
                          </w:rPr>
                          <w:t>use:</w:t>
                        </w:r>
                      </w:p>
                      <w:p w:rsidR="00E675F0" w:rsidRDefault="00E675F0" w:rsidP="003048D3">
                        <w:pPr>
                          <w:numPr>
                            <w:ilvl w:val="1"/>
                            <w:numId w:val="26"/>
                          </w:numPr>
                          <w:tabs>
                            <w:tab w:val="left" w:pos="1391"/>
                            <w:tab w:val="left" w:pos="1392"/>
                          </w:tabs>
                          <w:spacing w:before="65"/>
                          <w:rPr>
                            <w:sz w:val="17"/>
                          </w:rPr>
                        </w:pPr>
                        <w:r>
                          <w:rPr>
                            <w:w w:val="105"/>
                            <w:sz w:val="20"/>
                          </w:rPr>
                          <w:t>pupillary</w:t>
                        </w:r>
                        <w:r>
                          <w:rPr>
                            <w:spacing w:val="7"/>
                            <w:w w:val="105"/>
                            <w:sz w:val="20"/>
                          </w:rPr>
                          <w:t xml:space="preserve"> </w:t>
                        </w:r>
                        <w:r>
                          <w:rPr>
                            <w:w w:val="105"/>
                            <w:sz w:val="20"/>
                          </w:rPr>
                          <w:t>dilation</w:t>
                        </w:r>
                      </w:p>
                      <w:p w:rsidR="00E675F0" w:rsidRDefault="00E675F0" w:rsidP="003048D3">
                        <w:pPr>
                          <w:numPr>
                            <w:ilvl w:val="1"/>
                            <w:numId w:val="26"/>
                          </w:numPr>
                          <w:tabs>
                            <w:tab w:val="left" w:pos="1388"/>
                            <w:tab w:val="left" w:pos="1389"/>
                          </w:tabs>
                          <w:spacing w:before="15"/>
                          <w:ind w:left="1388" w:hanging="429"/>
                          <w:rPr>
                            <w:sz w:val="17"/>
                          </w:rPr>
                        </w:pPr>
                        <w:r>
                          <w:rPr>
                            <w:w w:val="105"/>
                            <w:sz w:val="20"/>
                          </w:rPr>
                          <w:t>tachycardia</w:t>
                        </w:r>
                      </w:p>
                      <w:p w:rsidR="00E675F0" w:rsidRDefault="00E675F0" w:rsidP="003048D3">
                        <w:pPr>
                          <w:numPr>
                            <w:ilvl w:val="1"/>
                            <w:numId w:val="26"/>
                          </w:numPr>
                          <w:tabs>
                            <w:tab w:val="left" w:pos="1380"/>
                            <w:tab w:val="left" w:pos="1381"/>
                          </w:tabs>
                          <w:spacing w:before="10"/>
                          <w:ind w:left="1380" w:hanging="421"/>
                          <w:rPr>
                            <w:sz w:val="17"/>
                          </w:rPr>
                        </w:pPr>
                        <w:r>
                          <w:rPr>
                            <w:w w:val="105"/>
                            <w:sz w:val="20"/>
                          </w:rPr>
                          <w:t>sweating</w:t>
                        </w:r>
                      </w:p>
                      <w:p w:rsidR="00E675F0" w:rsidRDefault="00E675F0" w:rsidP="003048D3">
                        <w:pPr>
                          <w:numPr>
                            <w:ilvl w:val="1"/>
                            <w:numId w:val="26"/>
                          </w:numPr>
                          <w:tabs>
                            <w:tab w:val="left" w:pos="1392"/>
                          </w:tabs>
                          <w:spacing w:before="15"/>
                          <w:ind w:hanging="487"/>
                          <w:rPr>
                            <w:rFonts w:ascii="Courier New"/>
                            <w:sz w:val="21"/>
                          </w:rPr>
                        </w:pPr>
                        <w:r>
                          <w:rPr>
                            <w:w w:val="105"/>
                            <w:sz w:val="20"/>
                          </w:rPr>
                          <w:t>palpitations</w:t>
                        </w:r>
                      </w:p>
                      <w:p w:rsidR="00E675F0" w:rsidRDefault="00E675F0" w:rsidP="003048D3">
                        <w:pPr>
                          <w:numPr>
                            <w:ilvl w:val="1"/>
                            <w:numId w:val="26"/>
                          </w:numPr>
                          <w:tabs>
                            <w:tab w:val="left" w:pos="1391"/>
                            <w:tab w:val="left" w:pos="1392"/>
                          </w:tabs>
                          <w:spacing w:before="1"/>
                          <w:rPr>
                            <w:sz w:val="17"/>
                          </w:rPr>
                        </w:pPr>
                        <w:r>
                          <w:rPr>
                            <w:sz w:val="20"/>
                          </w:rPr>
                          <w:t>blurring of</w:t>
                        </w:r>
                        <w:r>
                          <w:rPr>
                            <w:spacing w:val="37"/>
                            <w:sz w:val="20"/>
                          </w:rPr>
                          <w:t xml:space="preserve"> </w:t>
                        </w:r>
                        <w:r>
                          <w:rPr>
                            <w:sz w:val="20"/>
                          </w:rPr>
                          <w:t>vision</w:t>
                        </w:r>
                      </w:p>
                      <w:p w:rsidR="00E675F0" w:rsidRDefault="00E675F0" w:rsidP="003048D3">
                        <w:pPr>
                          <w:numPr>
                            <w:ilvl w:val="1"/>
                            <w:numId w:val="26"/>
                          </w:numPr>
                          <w:tabs>
                            <w:tab w:val="left" w:pos="1394"/>
                          </w:tabs>
                          <w:spacing w:before="15" w:line="247" w:lineRule="exact"/>
                          <w:ind w:left="1393" w:hanging="485"/>
                          <w:rPr>
                            <w:rFonts w:ascii="Courier New"/>
                            <w:sz w:val="21"/>
                          </w:rPr>
                        </w:pPr>
                        <w:r>
                          <w:rPr>
                            <w:w w:val="105"/>
                            <w:sz w:val="20"/>
                          </w:rPr>
                          <w:t>tremors</w:t>
                        </w:r>
                      </w:p>
                      <w:p w:rsidR="00E675F0" w:rsidRDefault="00E675F0" w:rsidP="003048D3">
                        <w:pPr>
                          <w:numPr>
                            <w:ilvl w:val="1"/>
                            <w:numId w:val="26"/>
                          </w:numPr>
                          <w:tabs>
                            <w:tab w:val="left" w:pos="1395"/>
                          </w:tabs>
                          <w:spacing w:line="247" w:lineRule="exact"/>
                          <w:ind w:left="1394" w:hanging="490"/>
                          <w:rPr>
                            <w:rFonts w:ascii="Courier New"/>
                            <w:sz w:val="21"/>
                          </w:rPr>
                        </w:pPr>
                        <w:r>
                          <w:rPr>
                            <w:w w:val="105"/>
                            <w:sz w:val="20"/>
                          </w:rPr>
                          <w:t>incoordination</w:t>
                        </w:r>
                      </w:p>
                      <w:p w:rsidR="00E675F0" w:rsidRDefault="00E675F0" w:rsidP="00E675F0">
                        <w:pPr>
                          <w:spacing w:before="178" w:line="252" w:lineRule="auto"/>
                          <w:ind w:left="967" w:right="279" w:hanging="308"/>
                          <w:rPr>
                            <w:sz w:val="20"/>
                          </w:rPr>
                        </w:pPr>
                        <w:r>
                          <w:rPr>
                            <w:w w:val="105"/>
                            <w:sz w:val="20"/>
                          </w:rPr>
                          <w:t>E. The symptoms are not due to a general medical condition and are not better accounted for by another mental disorder.</w:t>
                        </w:r>
                      </w:p>
                    </w:txbxContent>
                  </v:textbox>
                </v:shape>
                <w10:anchorlock/>
              </v:group>
            </w:pict>
          </mc:Fallback>
        </mc:AlternateContent>
      </w:r>
    </w:p>
    <w:p w:rsidR="00E675F0" w:rsidRDefault="00E675F0" w:rsidP="00E675F0">
      <w:pPr>
        <w:pStyle w:val="BodyText"/>
      </w:pPr>
    </w:p>
    <w:p w:rsidR="00E675F0" w:rsidRDefault="00E675F0" w:rsidP="00E675F0">
      <w:pPr>
        <w:pStyle w:val="BodyText"/>
        <w:rPr>
          <w:sz w:val="17"/>
        </w:rPr>
      </w:pPr>
    </w:p>
    <w:p w:rsidR="00E675F0" w:rsidRDefault="00E675F0" w:rsidP="00E675F0">
      <w:pPr>
        <w:tabs>
          <w:tab w:val="left" w:pos="1582"/>
        </w:tabs>
        <w:spacing w:before="92" w:line="249" w:lineRule="auto"/>
        <w:ind w:left="3064" w:right="526" w:hanging="2554"/>
        <w:rPr>
          <w:rFonts w:ascii="Arial"/>
          <w:b/>
          <w:sz w:val="25"/>
        </w:rPr>
      </w:pPr>
      <w:r>
        <w:rPr>
          <w:rFonts w:ascii="Arial"/>
          <w:b/>
          <w:w w:val="105"/>
          <w:sz w:val="25"/>
        </w:rPr>
        <w:t>292.89</w:t>
      </w:r>
      <w:r>
        <w:rPr>
          <w:rFonts w:ascii="Arial"/>
          <w:b/>
          <w:w w:val="105"/>
          <w:sz w:val="25"/>
        </w:rPr>
        <w:tab/>
        <w:t>Hallucinogen Persisting Perception Disorder (Flashbacks)</w:t>
      </w:r>
    </w:p>
    <w:p w:rsidR="00E675F0" w:rsidRDefault="00E675F0" w:rsidP="00E675F0">
      <w:pPr>
        <w:pStyle w:val="BodyText"/>
        <w:spacing w:before="238" w:line="252" w:lineRule="auto"/>
        <w:ind w:left="119" w:right="106" w:hanging="3"/>
        <w:jc w:val="both"/>
      </w:pPr>
      <w:r>
        <w:rPr>
          <w:w w:val="110"/>
        </w:rPr>
        <w:t>The</w:t>
      </w:r>
      <w:r>
        <w:rPr>
          <w:spacing w:val="-32"/>
          <w:w w:val="110"/>
        </w:rPr>
        <w:t xml:space="preserve"> </w:t>
      </w:r>
      <w:r>
        <w:rPr>
          <w:w w:val="110"/>
        </w:rPr>
        <w:t>essential</w:t>
      </w:r>
      <w:r>
        <w:rPr>
          <w:spacing w:val="-28"/>
          <w:w w:val="110"/>
        </w:rPr>
        <w:t xml:space="preserve"> </w:t>
      </w:r>
      <w:r>
        <w:rPr>
          <w:w w:val="110"/>
        </w:rPr>
        <w:t>feature</w:t>
      </w:r>
      <w:r>
        <w:rPr>
          <w:spacing w:val="-29"/>
          <w:w w:val="110"/>
        </w:rPr>
        <w:t xml:space="preserve"> </w:t>
      </w:r>
      <w:r>
        <w:rPr>
          <w:w w:val="110"/>
        </w:rPr>
        <w:t>of</w:t>
      </w:r>
      <w:r>
        <w:rPr>
          <w:spacing w:val="-30"/>
          <w:w w:val="110"/>
        </w:rPr>
        <w:t xml:space="preserve"> </w:t>
      </w:r>
      <w:r>
        <w:rPr>
          <w:w w:val="110"/>
        </w:rPr>
        <w:t>Hallucinogen</w:t>
      </w:r>
      <w:r>
        <w:rPr>
          <w:spacing w:val="-25"/>
          <w:w w:val="110"/>
        </w:rPr>
        <w:t xml:space="preserve"> </w:t>
      </w:r>
      <w:r>
        <w:rPr>
          <w:w w:val="110"/>
        </w:rPr>
        <w:t>Persisting</w:t>
      </w:r>
      <w:r>
        <w:rPr>
          <w:spacing w:val="-28"/>
          <w:w w:val="110"/>
        </w:rPr>
        <w:t xml:space="preserve"> </w:t>
      </w:r>
      <w:r>
        <w:rPr>
          <w:w w:val="110"/>
        </w:rPr>
        <w:t>Perception</w:t>
      </w:r>
      <w:r>
        <w:rPr>
          <w:spacing w:val="-25"/>
          <w:w w:val="110"/>
        </w:rPr>
        <w:t xml:space="preserve"> </w:t>
      </w:r>
      <w:r>
        <w:rPr>
          <w:w w:val="110"/>
        </w:rPr>
        <w:t>Disorder</w:t>
      </w:r>
      <w:r>
        <w:rPr>
          <w:spacing w:val="-30"/>
          <w:w w:val="110"/>
        </w:rPr>
        <w:t xml:space="preserve"> </w:t>
      </w:r>
      <w:r>
        <w:rPr>
          <w:w w:val="110"/>
        </w:rPr>
        <w:t>(Flashbacks)</w:t>
      </w:r>
      <w:r>
        <w:rPr>
          <w:spacing w:val="-28"/>
          <w:w w:val="110"/>
        </w:rPr>
        <w:t xml:space="preserve"> </w:t>
      </w:r>
      <w:r>
        <w:rPr>
          <w:w w:val="110"/>
        </w:rPr>
        <w:t>is</w:t>
      </w:r>
      <w:r>
        <w:rPr>
          <w:spacing w:val="-31"/>
          <w:w w:val="110"/>
        </w:rPr>
        <w:t xml:space="preserve"> </w:t>
      </w:r>
      <w:r>
        <w:rPr>
          <w:w w:val="110"/>
        </w:rPr>
        <w:t>the transient</w:t>
      </w:r>
      <w:r>
        <w:rPr>
          <w:spacing w:val="-7"/>
          <w:w w:val="110"/>
        </w:rPr>
        <w:t xml:space="preserve"> </w:t>
      </w:r>
      <w:r>
        <w:rPr>
          <w:w w:val="110"/>
        </w:rPr>
        <w:t>recurrence</w:t>
      </w:r>
      <w:r>
        <w:rPr>
          <w:spacing w:val="-11"/>
          <w:w w:val="110"/>
        </w:rPr>
        <w:t xml:space="preserve"> </w:t>
      </w:r>
      <w:r>
        <w:rPr>
          <w:w w:val="110"/>
        </w:rPr>
        <w:t>of</w:t>
      </w:r>
      <w:r>
        <w:rPr>
          <w:spacing w:val="-10"/>
          <w:w w:val="110"/>
        </w:rPr>
        <w:t xml:space="preserve"> </w:t>
      </w:r>
      <w:r>
        <w:rPr>
          <w:w w:val="110"/>
        </w:rPr>
        <w:t>disturbances</w:t>
      </w:r>
      <w:r>
        <w:rPr>
          <w:spacing w:val="-10"/>
          <w:w w:val="110"/>
        </w:rPr>
        <w:t xml:space="preserve"> </w:t>
      </w:r>
      <w:r>
        <w:rPr>
          <w:w w:val="110"/>
        </w:rPr>
        <w:t>in</w:t>
      </w:r>
      <w:r>
        <w:rPr>
          <w:spacing w:val="-9"/>
          <w:w w:val="110"/>
        </w:rPr>
        <w:t xml:space="preserve"> </w:t>
      </w:r>
      <w:r>
        <w:rPr>
          <w:w w:val="110"/>
        </w:rPr>
        <w:t>perception</w:t>
      </w:r>
      <w:r>
        <w:rPr>
          <w:spacing w:val="-7"/>
          <w:w w:val="110"/>
        </w:rPr>
        <w:t xml:space="preserve"> </w:t>
      </w:r>
      <w:r>
        <w:rPr>
          <w:w w:val="110"/>
        </w:rPr>
        <w:t>that</w:t>
      </w:r>
      <w:r>
        <w:rPr>
          <w:spacing w:val="-14"/>
          <w:w w:val="110"/>
        </w:rPr>
        <w:t xml:space="preserve"> </w:t>
      </w:r>
      <w:r>
        <w:rPr>
          <w:w w:val="110"/>
        </w:rPr>
        <w:t>are</w:t>
      </w:r>
      <w:r>
        <w:rPr>
          <w:spacing w:val="-13"/>
          <w:w w:val="110"/>
        </w:rPr>
        <w:t xml:space="preserve"> </w:t>
      </w:r>
      <w:r>
        <w:rPr>
          <w:w w:val="110"/>
        </w:rPr>
        <w:t>reminiscent</w:t>
      </w:r>
      <w:r>
        <w:rPr>
          <w:spacing w:val="-5"/>
          <w:w w:val="110"/>
        </w:rPr>
        <w:t xml:space="preserve"> </w:t>
      </w:r>
      <w:r>
        <w:rPr>
          <w:w w:val="110"/>
        </w:rPr>
        <w:t>of</w:t>
      </w:r>
      <w:r>
        <w:rPr>
          <w:spacing w:val="-9"/>
          <w:w w:val="110"/>
        </w:rPr>
        <w:t xml:space="preserve"> </w:t>
      </w:r>
      <w:r>
        <w:rPr>
          <w:w w:val="110"/>
        </w:rPr>
        <w:t>those</w:t>
      </w:r>
      <w:r>
        <w:rPr>
          <w:spacing w:val="-14"/>
          <w:w w:val="110"/>
        </w:rPr>
        <w:t xml:space="preserve"> </w:t>
      </w:r>
      <w:r>
        <w:rPr>
          <w:w w:val="110"/>
        </w:rPr>
        <w:t>experi­ enced during one or more earlier Hallucinogen Intoxications. The person must have had no recent Hallucinogen Intoxication and must show no current drug toxicity (Criterion</w:t>
      </w:r>
      <w:r>
        <w:rPr>
          <w:spacing w:val="-22"/>
          <w:w w:val="110"/>
        </w:rPr>
        <w:t xml:space="preserve"> </w:t>
      </w:r>
      <w:r>
        <w:rPr>
          <w:w w:val="110"/>
        </w:rPr>
        <w:t>A).</w:t>
      </w:r>
      <w:r>
        <w:rPr>
          <w:spacing w:val="-29"/>
          <w:w w:val="110"/>
        </w:rPr>
        <w:t xml:space="preserve"> </w:t>
      </w:r>
      <w:r>
        <w:rPr>
          <w:w w:val="110"/>
        </w:rPr>
        <w:t>This</w:t>
      </w:r>
      <w:r>
        <w:rPr>
          <w:spacing w:val="-23"/>
          <w:w w:val="110"/>
        </w:rPr>
        <w:t xml:space="preserve"> </w:t>
      </w:r>
      <w:r>
        <w:rPr>
          <w:w w:val="110"/>
        </w:rPr>
        <w:t>reexperiencing</w:t>
      </w:r>
      <w:r>
        <w:rPr>
          <w:spacing w:val="-30"/>
          <w:w w:val="110"/>
        </w:rPr>
        <w:t xml:space="preserve"> </w:t>
      </w:r>
      <w:r>
        <w:rPr>
          <w:w w:val="110"/>
        </w:rPr>
        <w:t>of</w:t>
      </w:r>
      <w:r>
        <w:rPr>
          <w:spacing w:val="-19"/>
          <w:w w:val="110"/>
        </w:rPr>
        <w:t xml:space="preserve"> </w:t>
      </w:r>
      <w:r>
        <w:rPr>
          <w:w w:val="110"/>
        </w:rPr>
        <w:t>perceptual</w:t>
      </w:r>
      <w:r>
        <w:rPr>
          <w:spacing w:val="-21"/>
          <w:w w:val="110"/>
        </w:rPr>
        <w:t xml:space="preserve"> </w:t>
      </w:r>
      <w:r>
        <w:rPr>
          <w:w w:val="110"/>
        </w:rPr>
        <w:t>symptoms</w:t>
      </w:r>
      <w:r>
        <w:rPr>
          <w:spacing w:val="-23"/>
          <w:w w:val="110"/>
        </w:rPr>
        <w:t xml:space="preserve"> </w:t>
      </w:r>
      <w:r>
        <w:rPr>
          <w:w w:val="110"/>
        </w:rPr>
        <w:t>causes</w:t>
      </w:r>
      <w:r>
        <w:rPr>
          <w:spacing w:val="-25"/>
          <w:w w:val="110"/>
        </w:rPr>
        <w:t xml:space="preserve"> </w:t>
      </w:r>
      <w:r>
        <w:rPr>
          <w:w w:val="110"/>
        </w:rPr>
        <w:t>clinically</w:t>
      </w:r>
      <w:r>
        <w:rPr>
          <w:spacing w:val="-22"/>
          <w:w w:val="110"/>
        </w:rPr>
        <w:t xml:space="preserve"> </w:t>
      </w:r>
      <w:r>
        <w:rPr>
          <w:w w:val="110"/>
        </w:rPr>
        <w:t>significant distress</w:t>
      </w:r>
      <w:r>
        <w:rPr>
          <w:spacing w:val="-10"/>
          <w:w w:val="110"/>
        </w:rPr>
        <w:t xml:space="preserve"> </w:t>
      </w:r>
      <w:r>
        <w:rPr>
          <w:w w:val="110"/>
        </w:rPr>
        <w:t>or</w:t>
      </w:r>
      <w:r>
        <w:rPr>
          <w:spacing w:val="-2"/>
          <w:w w:val="110"/>
        </w:rPr>
        <w:t xml:space="preserve"> </w:t>
      </w:r>
      <w:r>
        <w:rPr>
          <w:w w:val="110"/>
        </w:rPr>
        <w:t>impairment</w:t>
      </w:r>
      <w:r>
        <w:rPr>
          <w:spacing w:val="-2"/>
          <w:w w:val="110"/>
        </w:rPr>
        <w:t xml:space="preserve"> </w:t>
      </w:r>
      <w:r>
        <w:rPr>
          <w:w w:val="110"/>
        </w:rPr>
        <w:t>in</w:t>
      </w:r>
      <w:r>
        <w:rPr>
          <w:spacing w:val="-11"/>
          <w:w w:val="110"/>
        </w:rPr>
        <w:t xml:space="preserve"> </w:t>
      </w:r>
      <w:r>
        <w:rPr>
          <w:w w:val="110"/>
        </w:rPr>
        <w:t>social,</w:t>
      </w:r>
      <w:r>
        <w:rPr>
          <w:spacing w:val="-7"/>
          <w:w w:val="110"/>
        </w:rPr>
        <w:t xml:space="preserve"> </w:t>
      </w:r>
      <w:r>
        <w:rPr>
          <w:w w:val="110"/>
        </w:rPr>
        <w:t>occupational,</w:t>
      </w:r>
      <w:r>
        <w:rPr>
          <w:spacing w:val="-2"/>
          <w:w w:val="110"/>
        </w:rPr>
        <w:t xml:space="preserve"> </w:t>
      </w:r>
      <w:r>
        <w:rPr>
          <w:w w:val="110"/>
        </w:rPr>
        <w:t>or</w:t>
      </w:r>
      <w:r>
        <w:rPr>
          <w:spacing w:val="-5"/>
          <w:w w:val="110"/>
        </w:rPr>
        <w:t xml:space="preserve"> </w:t>
      </w:r>
      <w:r>
        <w:rPr>
          <w:w w:val="110"/>
        </w:rPr>
        <w:t>other</w:t>
      </w:r>
      <w:r>
        <w:rPr>
          <w:spacing w:val="-7"/>
          <w:w w:val="110"/>
        </w:rPr>
        <w:t xml:space="preserve"> </w:t>
      </w:r>
      <w:r>
        <w:rPr>
          <w:w w:val="110"/>
        </w:rPr>
        <w:t>important</w:t>
      </w:r>
      <w:r>
        <w:rPr>
          <w:spacing w:val="-5"/>
          <w:w w:val="110"/>
        </w:rPr>
        <w:t xml:space="preserve"> </w:t>
      </w:r>
      <w:r>
        <w:rPr>
          <w:w w:val="110"/>
        </w:rPr>
        <w:t>areas</w:t>
      </w:r>
      <w:r>
        <w:rPr>
          <w:spacing w:val="-10"/>
          <w:w w:val="110"/>
        </w:rPr>
        <w:t xml:space="preserve"> </w:t>
      </w:r>
      <w:r>
        <w:rPr>
          <w:w w:val="110"/>
        </w:rPr>
        <w:t>of</w:t>
      </w:r>
      <w:r>
        <w:rPr>
          <w:spacing w:val="-8"/>
          <w:w w:val="110"/>
        </w:rPr>
        <w:t xml:space="preserve"> </w:t>
      </w:r>
      <w:r>
        <w:rPr>
          <w:w w:val="110"/>
        </w:rPr>
        <w:t>functioning (Criterion</w:t>
      </w:r>
      <w:r>
        <w:rPr>
          <w:spacing w:val="-25"/>
          <w:w w:val="110"/>
        </w:rPr>
        <w:t xml:space="preserve"> </w:t>
      </w:r>
      <w:r>
        <w:rPr>
          <w:w w:val="110"/>
        </w:rPr>
        <w:t>B).</w:t>
      </w:r>
      <w:r>
        <w:rPr>
          <w:spacing w:val="-33"/>
          <w:w w:val="110"/>
        </w:rPr>
        <w:t xml:space="preserve"> </w:t>
      </w:r>
      <w:r>
        <w:rPr>
          <w:w w:val="110"/>
        </w:rPr>
        <w:t>The</w:t>
      </w:r>
      <w:r>
        <w:rPr>
          <w:spacing w:val="-33"/>
          <w:w w:val="110"/>
        </w:rPr>
        <w:t xml:space="preserve"> </w:t>
      </w:r>
      <w:r>
        <w:rPr>
          <w:w w:val="110"/>
        </w:rPr>
        <w:t>symptoms</w:t>
      </w:r>
      <w:r>
        <w:rPr>
          <w:spacing w:val="-25"/>
          <w:w w:val="110"/>
        </w:rPr>
        <w:t xml:space="preserve"> </w:t>
      </w:r>
      <w:r>
        <w:rPr>
          <w:w w:val="110"/>
        </w:rPr>
        <w:t>are</w:t>
      </w:r>
      <w:r>
        <w:rPr>
          <w:spacing w:val="-30"/>
          <w:w w:val="110"/>
        </w:rPr>
        <w:t xml:space="preserve"> </w:t>
      </w:r>
      <w:r>
        <w:rPr>
          <w:w w:val="110"/>
        </w:rPr>
        <w:t>not</w:t>
      </w:r>
      <w:r>
        <w:rPr>
          <w:spacing w:val="-30"/>
          <w:w w:val="110"/>
        </w:rPr>
        <w:t xml:space="preserve"> </w:t>
      </w:r>
      <w:r>
        <w:rPr>
          <w:w w:val="110"/>
        </w:rPr>
        <w:t>due</w:t>
      </w:r>
      <w:r>
        <w:rPr>
          <w:spacing w:val="-24"/>
          <w:w w:val="110"/>
        </w:rPr>
        <w:t xml:space="preserve"> </w:t>
      </w:r>
      <w:r>
        <w:rPr>
          <w:w w:val="110"/>
        </w:rPr>
        <w:t>to</w:t>
      </w:r>
      <w:r>
        <w:rPr>
          <w:spacing w:val="-34"/>
          <w:w w:val="110"/>
        </w:rPr>
        <w:t xml:space="preserve"> </w:t>
      </w:r>
      <w:r>
        <w:rPr>
          <w:w w:val="110"/>
        </w:rPr>
        <w:t>a</w:t>
      </w:r>
      <w:r>
        <w:rPr>
          <w:spacing w:val="-32"/>
          <w:w w:val="110"/>
        </w:rPr>
        <w:t xml:space="preserve"> </w:t>
      </w:r>
      <w:r>
        <w:rPr>
          <w:w w:val="110"/>
        </w:rPr>
        <w:t>general</w:t>
      </w:r>
      <w:r>
        <w:rPr>
          <w:spacing w:val="-26"/>
          <w:w w:val="110"/>
        </w:rPr>
        <w:t xml:space="preserve"> </w:t>
      </w:r>
      <w:r>
        <w:rPr>
          <w:w w:val="110"/>
        </w:rPr>
        <w:t>medical</w:t>
      </w:r>
      <w:r>
        <w:rPr>
          <w:spacing w:val="-28"/>
          <w:w w:val="110"/>
        </w:rPr>
        <w:t xml:space="preserve"> </w:t>
      </w:r>
      <w:r>
        <w:rPr>
          <w:w w:val="110"/>
        </w:rPr>
        <w:t>condition</w:t>
      </w:r>
      <w:r>
        <w:rPr>
          <w:spacing w:val="-27"/>
          <w:w w:val="110"/>
        </w:rPr>
        <w:t xml:space="preserve"> </w:t>
      </w:r>
      <w:r>
        <w:rPr>
          <w:w w:val="110"/>
        </w:rPr>
        <w:t>(e.g.,</w:t>
      </w:r>
      <w:r>
        <w:rPr>
          <w:spacing w:val="-31"/>
          <w:w w:val="110"/>
        </w:rPr>
        <w:t xml:space="preserve"> </w:t>
      </w:r>
      <w:r>
        <w:rPr>
          <w:w w:val="110"/>
        </w:rPr>
        <w:t>anatomical lesions</w:t>
      </w:r>
      <w:r>
        <w:rPr>
          <w:spacing w:val="-14"/>
          <w:w w:val="110"/>
        </w:rPr>
        <w:t xml:space="preserve"> </w:t>
      </w:r>
      <w:r>
        <w:rPr>
          <w:w w:val="110"/>
        </w:rPr>
        <w:t>and</w:t>
      </w:r>
      <w:r>
        <w:rPr>
          <w:spacing w:val="-14"/>
          <w:w w:val="110"/>
        </w:rPr>
        <w:t xml:space="preserve"> </w:t>
      </w:r>
      <w:r>
        <w:rPr>
          <w:w w:val="110"/>
        </w:rPr>
        <w:t>infections</w:t>
      </w:r>
      <w:r>
        <w:rPr>
          <w:spacing w:val="-12"/>
          <w:w w:val="110"/>
        </w:rPr>
        <w:t xml:space="preserve"> </w:t>
      </w:r>
      <w:r>
        <w:rPr>
          <w:w w:val="110"/>
        </w:rPr>
        <w:t>of</w:t>
      </w:r>
      <w:r>
        <w:rPr>
          <w:spacing w:val="-9"/>
          <w:w w:val="110"/>
        </w:rPr>
        <w:t xml:space="preserve"> </w:t>
      </w:r>
      <w:r>
        <w:rPr>
          <w:w w:val="110"/>
        </w:rPr>
        <w:t>the</w:t>
      </w:r>
      <w:r>
        <w:rPr>
          <w:spacing w:val="-17"/>
          <w:w w:val="110"/>
        </w:rPr>
        <w:t xml:space="preserve"> </w:t>
      </w:r>
      <w:r>
        <w:rPr>
          <w:w w:val="110"/>
        </w:rPr>
        <w:t>brain</w:t>
      </w:r>
      <w:r>
        <w:rPr>
          <w:spacing w:val="-14"/>
          <w:w w:val="110"/>
        </w:rPr>
        <w:t xml:space="preserve"> </w:t>
      </w:r>
      <w:r>
        <w:rPr>
          <w:w w:val="110"/>
        </w:rPr>
        <w:t>or</w:t>
      </w:r>
      <w:r>
        <w:rPr>
          <w:spacing w:val="-12"/>
          <w:w w:val="110"/>
        </w:rPr>
        <w:t xml:space="preserve"> </w:t>
      </w:r>
      <w:r>
        <w:rPr>
          <w:w w:val="110"/>
        </w:rPr>
        <w:t>visual</w:t>
      </w:r>
      <w:r>
        <w:rPr>
          <w:spacing w:val="-14"/>
          <w:w w:val="110"/>
        </w:rPr>
        <w:t xml:space="preserve"> </w:t>
      </w:r>
      <w:r>
        <w:rPr>
          <w:w w:val="110"/>
        </w:rPr>
        <w:t>epilepsies)</w:t>
      </w:r>
      <w:r>
        <w:rPr>
          <w:spacing w:val="-13"/>
          <w:w w:val="110"/>
        </w:rPr>
        <w:t xml:space="preserve"> </w:t>
      </w:r>
      <w:r>
        <w:rPr>
          <w:w w:val="110"/>
        </w:rPr>
        <w:t>and</w:t>
      </w:r>
      <w:r>
        <w:rPr>
          <w:spacing w:val="-15"/>
          <w:w w:val="110"/>
        </w:rPr>
        <w:t xml:space="preserve"> </w:t>
      </w:r>
      <w:r>
        <w:rPr>
          <w:w w:val="110"/>
        </w:rPr>
        <w:t>are</w:t>
      </w:r>
      <w:r>
        <w:rPr>
          <w:spacing w:val="-14"/>
          <w:w w:val="110"/>
        </w:rPr>
        <w:t xml:space="preserve"> </w:t>
      </w:r>
      <w:r>
        <w:rPr>
          <w:w w:val="110"/>
        </w:rPr>
        <w:t>not</w:t>
      </w:r>
      <w:r>
        <w:rPr>
          <w:spacing w:val="-18"/>
          <w:w w:val="110"/>
        </w:rPr>
        <w:t xml:space="preserve"> </w:t>
      </w:r>
      <w:r>
        <w:rPr>
          <w:w w:val="110"/>
        </w:rPr>
        <w:t>better</w:t>
      </w:r>
      <w:r>
        <w:rPr>
          <w:spacing w:val="-15"/>
          <w:w w:val="110"/>
        </w:rPr>
        <w:t xml:space="preserve"> </w:t>
      </w:r>
      <w:r>
        <w:rPr>
          <w:w w:val="110"/>
        </w:rPr>
        <w:t>accounted</w:t>
      </w:r>
      <w:r>
        <w:rPr>
          <w:spacing w:val="-10"/>
          <w:w w:val="110"/>
        </w:rPr>
        <w:t xml:space="preserve"> </w:t>
      </w:r>
      <w:r>
        <w:rPr>
          <w:w w:val="110"/>
        </w:rPr>
        <w:t>for by another mental disorder (e.g., delirium, dementia, or Schizophrenia) or by hypno­ pompic</w:t>
      </w:r>
      <w:r>
        <w:rPr>
          <w:spacing w:val="-34"/>
          <w:w w:val="110"/>
        </w:rPr>
        <w:t xml:space="preserve"> </w:t>
      </w:r>
      <w:r>
        <w:rPr>
          <w:w w:val="110"/>
        </w:rPr>
        <w:t>hallucinations</w:t>
      </w:r>
      <w:r>
        <w:rPr>
          <w:spacing w:val="-41"/>
          <w:w w:val="110"/>
        </w:rPr>
        <w:t xml:space="preserve"> </w:t>
      </w:r>
      <w:r>
        <w:rPr>
          <w:w w:val="110"/>
        </w:rPr>
        <w:t>(Criterion</w:t>
      </w:r>
      <w:r>
        <w:rPr>
          <w:spacing w:val="-33"/>
          <w:w w:val="110"/>
        </w:rPr>
        <w:t xml:space="preserve"> </w:t>
      </w:r>
      <w:r>
        <w:rPr>
          <w:w w:val="110"/>
        </w:rPr>
        <w:t>C).</w:t>
      </w:r>
      <w:r>
        <w:rPr>
          <w:spacing w:val="-39"/>
          <w:w w:val="110"/>
        </w:rPr>
        <w:t xml:space="preserve"> </w:t>
      </w:r>
      <w:r>
        <w:rPr>
          <w:w w:val="110"/>
        </w:rPr>
        <w:t>The</w:t>
      </w:r>
      <w:r>
        <w:rPr>
          <w:spacing w:val="-35"/>
          <w:w w:val="110"/>
        </w:rPr>
        <w:t xml:space="preserve"> </w:t>
      </w:r>
      <w:r>
        <w:rPr>
          <w:w w:val="110"/>
        </w:rPr>
        <w:t>perceptual</w:t>
      </w:r>
      <w:r>
        <w:rPr>
          <w:spacing w:val="-33"/>
          <w:w w:val="110"/>
        </w:rPr>
        <w:t xml:space="preserve"> </w:t>
      </w:r>
      <w:r>
        <w:rPr>
          <w:w w:val="110"/>
        </w:rPr>
        <w:t>disturbances</w:t>
      </w:r>
      <w:r>
        <w:rPr>
          <w:spacing w:val="-33"/>
          <w:w w:val="110"/>
        </w:rPr>
        <w:t xml:space="preserve"> </w:t>
      </w:r>
      <w:r>
        <w:rPr>
          <w:w w:val="110"/>
        </w:rPr>
        <w:t>may</w:t>
      </w:r>
      <w:r>
        <w:rPr>
          <w:spacing w:val="-39"/>
          <w:w w:val="110"/>
        </w:rPr>
        <w:t xml:space="preserve"> </w:t>
      </w:r>
      <w:r>
        <w:rPr>
          <w:w w:val="110"/>
        </w:rPr>
        <w:t>include</w:t>
      </w:r>
      <w:r>
        <w:rPr>
          <w:spacing w:val="-36"/>
          <w:w w:val="110"/>
        </w:rPr>
        <w:t xml:space="preserve"> </w:t>
      </w:r>
      <w:r>
        <w:rPr>
          <w:w w:val="110"/>
        </w:rPr>
        <w:t xml:space="preserve">geometric </w:t>
      </w:r>
      <w:r>
        <w:rPr>
          <w:w w:val="105"/>
        </w:rPr>
        <w:t>forms,</w:t>
      </w:r>
      <w:r>
        <w:rPr>
          <w:spacing w:val="-6"/>
          <w:w w:val="105"/>
        </w:rPr>
        <w:t xml:space="preserve"> </w:t>
      </w:r>
      <w:r>
        <w:rPr>
          <w:w w:val="105"/>
        </w:rPr>
        <w:t>peripheral-field</w:t>
      </w:r>
      <w:r>
        <w:rPr>
          <w:spacing w:val="-22"/>
          <w:w w:val="105"/>
        </w:rPr>
        <w:t xml:space="preserve"> </w:t>
      </w:r>
      <w:r>
        <w:rPr>
          <w:w w:val="105"/>
        </w:rPr>
        <w:t>images,</w:t>
      </w:r>
      <w:r>
        <w:rPr>
          <w:spacing w:val="-16"/>
          <w:w w:val="105"/>
        </w:rPr>
        <w:t xml:space="preserve"> </w:t>
      </w:r>
      <w:r>
        <w:rPr>
          <w:w w:val="105"/>
        </w:rPr>
        <w:t>flashes</w:t>
      </w:r>
      <w:r>
        <w:rPr>
          <w:spacing w:val="-19"/>
          <w:w w:val="105"/>
        </w:rPr>
        <w:t xml:space="preserve"> </w:t>
      </w:r>
      <w:r>
        <w:rPr>
          <w:w w:val="105"/>
        </w:rPr>
        <w:t>of</w:t>
      </w:r>
      <w:r>
        <w:rPr>
          <w:spacing w:val="-14"/>
          <w:w w:val="105"/>
        </w:rPr>
        <w:t xml:space="preserve"> </w:t>
      </w:r>
      <w:r>
        <w:rPr>
          <w:w w:val="105"/>
        </w:rPr>
        <w:t>color,</w:t>
      </w:r>
      <w:r>
        <w:rPr>
          <w:spacing w:val="-15"/>
          <w:w w:val="105"/>
        </w:rPr>
        <w:t xml:space="preserve"> </w:t>
      </w:r>
      <w:r>
        <w:rPr>
          <w:w w:val="105"/>
        </w:rPr>
        <w:t>intensified</w:t>
      </w:r>
      <w:r>
        <w:rPr>
          <w:spacing w:val="-2"/>
          <w:w w:val="105"/>
        </w:rPr>
        <w:t xml:space="preserve"> </w:t>
      </w:r>
      <w:r>
        <w:rPr>
          <w:w w:val="105"/>
        </w:rPr>
        <w:t>colors,</w:t>
      </w:r>
      <w:r>
        <w:rPr>
          <w:spacing w:val="-16"/>
          <w:w w:val="105"/>
        </w:rPr>
        <w:t xml:space="preserve"> </w:t>
      </w:r>
      <w:r>
        <w:rPr>
          <w:w w:val="105"/>
        </w:rPr>
        <w:t>trailing</w:t>
      </w:r>
      <w:r>
        <w:rPr>
          <w:spacing w:val="-10"/>
          <w:w w:val="105"/>
        </w:rPr>
        <w:t xml:space="preserve"> </w:t>
      </w:r>
      <w:r>
        <w:rPr>
          <w:w w:val="105"/>
        </w:rPr>
        <w:t>images</w:t>
      </w:r>
      <w:r>
        <w:rPr>
          <w:spacing w:val="-17"/>
          <w:w w:val="105"/>
        </w:rPr>
        <w:t xml:space="preserve"> </w:t>
      </w:r>
      <w:r>
        <w:rPr>
          <w:w w:val="105"/>
        </w:rPr>
        <w:t xml:space="preserve">(images </w:t>
      </w:r>
      <w:r>
        <w:rPr>
          <w:w w:val="110"/>
        </w:rPr>
        <w:t>left suspended in the path of a moving object as seen in stroboscopic photography), perceptions of entire objects, afterimages (a same-colored or complementary-colored "shadow" of an object remaining after removal of the object), halos around objects, macropsia,</w:t>
      </w:r>
      <w:r>
        <w:rPr>
          <w:spacing w:val="-9"/>
          <w:w w:val="110"/>
        </w:rPr>
        <w:t xml:space="preserve"> </w:t>
      </w:r>
      <w:r>
        <w:rPr>
          <w:w w:val="110"/>
        </w:rPr>
        <w:t>and</w:t>
      </w:r>
      <w:r>
        <w:rPr>
          <w:spacing w:val="-8"/>
          <w:w w:val="110"/>
        </w:rPr>
        <w:t xml:space="preserve"> </w:t>
      </w:r>
      <w:r>
        <w:rPr>
          <w:w w:val="110"/>
        </w:rPr>
        <w:t>micropsia.</w:t>
      </w:r>
      <w:r>
        <w:rPr>
          <w:spacing w:val="-14"/>
          <w:w w:val="110"/>
        </w:rPr>
        <w:t xml:space="preserve"> </w:t>
      </w:r>
      <w:r>
        <w:rPr>
          <w:w w:val="110"/>
        </w:rPr>
        <w:t>The</w:t>
      </w:r>
      <w:r>
        <w:rPr>
          <w:spacing w:val="-17"/>
          <w:w w:val="110"/>
        </w:rPr>
        <w:t xml:space="preserve"> </w:t>
      </w:r>
      <w:r>
        <w:rPr>
          <w:w w:val="110"/>
        </w:rPr>
        <w:t>abnormal</w:t>
      </w:r>
      <w:r>
        <w:rPr>
          <w:spacing w:val="-1"/>
          <w:w w:val="110"/>
        </w:rPr>
        <w:t xml:space="preserve"> </w:t>
      </w:r>
      <w:r>
        <w:rPr>
          <w:w w:val="110"/>
        </w:rPr>
        <w:t>perceptions</w:t>
      </w:r>
      <w:r>
        <w:rPr>
          <w:spacing w:val="-8"/>
          <w:w w:val="110"/>
        </w:rPr>
        <w:t xml:space="preserve"> </w:t>
      </w:r>
      <w:r>
        <w:rPr>
          <w:w w:val="110"/>
        </w:rPr>
        <w:t>that</w:t>
      </w:r>
      <w:r>
        <w:rPr>
          <w:spacing w:val="-12"/>
          <w:w w:val="110"/>
        </w:rPr>
        <w:t xml:space="preserve"> </w:t>
      </w:r>
      <w:r>
        <w:rPr>
          <w:w w:val="110"/>
        </w:rPr>
        <w:t>are</w:t>
      </w:r>
      <w:r>
        <w:rPr>
          <w:spacing w:val="-15"/>
          <w:w w:val="110"/>
        </w:rPr>
        <w:t xml:space="preserve"> </w:t>
      </w:r>
      <w:r>
        <w:rPr>
          <w:w w:val="110"/>
        </w:rPr>
        <w:t>associated</w:t>
      </w:r>
      <w:r>
        <w:rPr>
          <w:spacing w:val="-5"/>
          <w:w w:val="110"/>
        </w:rPr>
        <w:t xml:space="preserve"> </w:t>
      </w:r>
      <w:r>
        <w:rPr>
          <w:w w:val="110"/>
        </w:rPr>
        <w:t>with</w:t>
      </w:r>
      <w:r>
        <w:rPr>
          <w:spacing w:val="-15"/>
          <w:w w:val="110"/>
        </w:rPr>
        <w:t xml:space="preserve"> </w:t>
      </w:r>
      <w:r>
        <w:rPr>
          <w:w w:val="110"/>
        </w:rPr>
        <w:t>Halluci­ nogen</w:t>
      </w:r>
      <w:r>
        <w:rPr>
          <w:spacing w:val="-22"/>
          <w:w w:val="110"/>
        </w:rPr>
        <w:t xml:space="preserve"> </w:t>
      </w:r>
      <w:r>
        <w:rPr>
          <w:w w:val="110"/>
        </w:rPr>
        <w:t>Persisting</w:t>
      </w:r>
      <w:r>
        <w:rPr>
          <w:spacing w:val="-19"/>
          <w:w w:val="110"/>
        </w:rPr>
        <w:t xml:space="preserve"> </w:t>
      </w:r>
      <w:r>
        <w:rPr>
          <w:w w:val="110"/>
        </w:rPr>
        <w:t>Perception</w:t>
      </w:r>
      <w:r>
        <w:rPr>
          <w:spacing w:val="-15"/>
          <w:w w:val="110"/>
        </w:rPr>
        <w:t xml:space="preserve"> </w:t>
      </w:r>
      <w:r>
        <w:rPr>
          <w:w w:val="110"/>
        </w:rPr>
        <w:t>Disorder</w:t>
      </w:r>
      <w:r>
        <w:rPr>
          <w:spacing w:val="-20"/>
          <w:w w:val="110"/>
        </w:rPr>
        <w:t xml:space="preserve"> </w:t>
      </w:r>
      <w:r>
        <w:rPr>
          <w:w w:val="110"/>
        </w:rPr>
        <w:t>occur</w:t>
      </w:r>
      <w:r>
        <w:rPr>
          <w:spacing w:val="-28"/>
          <w:w w:val="110"/>
        </w:rPr>
        <w:t xml:space="preserve"> </w:t>
      </w:r>
      <w:r>
        <w:rPr>
          <w:w w:val="110"/>
        </w:rPr>
        <w:t>episodically</w:t>
      </w:r>
      <w:r>
        <w:rPr>
          <w:spacing w:val="-15"/>
          <w:w w:val="110"/>
        </w:rPr>
        <w:t xml:space="preserve"> </w:t>
      </w:r>
      <w:r>
        <w:rPr>
          <w:w w:val="110"/>
        </w:rPr>
        <w:t>and</w:t>
      </w:r>
      <w:r>
        <w:rPr>
          <w:spacing w:val="-21"/>
          <w:w w:val="110"/>
        </w:rPr>
        <w:t xml:space="preserve"> </w:t>
      </w:r>
      <w:r>
        <w:rPr>
          <w:w w:val="110"/>
        </w:rPr>
        <w:t>may</w:t>
      </w:r>
      <w:r>
        <w:rPr>
          <w:spacing w:val="-22"/>
          <w:w w:val="110"/>
        </w:rPr>
        <w:t xml:space="preserve"> </w:t>
      </w:r>
      <w:r>
        <w:rPr>
          <w:w w:val="110"/>
        </w:rPr>
        <w:t>be</w:t>
      </w:r>
      <w:r>
        <w:rPr>
          <w:spacing w:val="-27"/>
          <w:w w:val="110"/>
        </w:rPr>
        <w:t xml:space="preserve"> </w:t>
      </w:r>
      <w:r>
        <w:rPr>
          <w:w w:val="110"/>
        </w:rPr>
        <w:t>self-induced</w:t>
      </w:r>
      <w:r>
        <w:rPr>
          <w:spacing w:val="-17"/>
          <w:w w:val="110"/>
        </w:rPr>
        <w:t xml:space="preserve"> </w:t>
      </w:r>
      <w:r>
        <w:rPr>
          <w:w w:val="110"/>
        </w:rPr>
        <w:t>(e.g., by</w:t>
      </w:r>
      <w:r>
        <w:rPr>
          <w:spacing w:val="-11"/>
          <w:w w:val="110"/>
        </w:rPr>
        <w:t xml:space="preserve"> </w:t>
      </w:r>
      <w:r>
        <w:rPr>
          <w:w w:val="110"/>
        </w:rPr>
        <w:t>thinking</w:t>
      </w:r>
      <w:r>
        <w:rPr>
          <w:spacing w:val="-3"/>
          <w:w w:val="110"/>
        </w:rPr>
        <w:t xml:space="preserve"> </w:t>
      </w:r>
      <w:r>
        <w:rPr>
          <w:w w:val="110"/>
        </w:rPr>
        <w:t>about</w:t>
      </w:r>
      <w:r>
        <w:rPr>
          <w:spacing w:val="-4"/>
          <w:w w:val="110"/>
        </w:rPr>
        <w:t xml:space="preserve"> </w:t>
      </w:r>
      <w:r>
        <w:rPr>
          <w:w w:val="110"/>
        </w:rPr>
        <w:t>them)</w:t>
      </w:r>
      <w:r>
        <w:rPr>
          <w:spacing w:val="-7"/>
          <w:w w:val="110"/>
        </w:rPr>
        <w:t xml:space="preserve"> </w:t>
      </w:r>
      <w:r>
        <w:rPr>
          <w:w w:val="110"/>
        </w:rPr>
        <w:t>or</w:t>
      </w:r>
      <w:r>
        <w:rPr>
          <w:spacing w:val="-9"/>
          <w:w w:val="110"/>
        </w:rPr>
        <w:t xml:space="preserve"> </w:t>
      </w:r>
      <w:r>
        <w:rPr>
          <w:w w:val="110"/>
        </w:rPr>
        <w:t>triggered</w:t>
      </w:r>
      <w:r>
        <w:rPr>
          <w:spacing w:val="4"/>
          <w:w w:val="110"/>
        </w:rPr>
        <w:t xml:space="preserve"> </w:t>
      </w:r>
      <w:r>
        <w:rPr>
          <w:w w:val="110"/>
        </w:rPr>
        <w:t>by</w:t>
      </w:r>
      <w:r>
        <w:rPr>
          <w:spacing w:val="-9"/>
          <w:w w:val="110"/>
        </w:rPr>
        <w:t xml:space="preserve"> </w:t>
      </w:r>
      <w:r>
        <w:rPr>
          <w:w w:val="110"/>
        </w:rPr>
        <w:t>entry</w:t>
      </w:r>
      <w:r>
        <w:rPr>
          <w:spacing w:val="-2"/>
          <w:w w:val="110"/>
        </w:rPr>
        <w:t xml:space="preserve"> </w:t>
      </w:r>
      <w:r>
        <w:rPr>
          <w:w w:val="110"/>
        </w:rPr>
        <w:t>into</w:t>
      </w:r>
      <w:r>
        <w:rPr>
          <w:spacing w:val="-11"/>
          <w:w w:val="110"/>
        </w:rPr>
        <w:t xml:space="preserve"> </w:t>
      </w:r>
      <w:r>
        <w:rPr>
          <w:w w:val="110"/>
        </w:rPr>
        <w:t>a</w:t>
      </w:r>
      <w:r>
        <w:rPr>
          <w:spacing w:val="-8"/>
          <w:w w:val="110"/>
        </w:rPr>
        <w:t xml:space="preserve"> </w:t>
      </w:r>
      <w:r>
        <w:rPr>
          <w:w w:val="110"/>
        </w:rPr>
        <w:t>dark</w:t>
      </w:r>
      <w:r>
        <w:rPr>
          <w:spacing w:val="-4"/>
          <w:w w:val="110"/>
        </w:rPr>
        <w:t xml:space="preserve"> </w:t>
      </w:r>
      <w:r>
        <w:rPr>
          <w:w w:val="110"/>
        </w:rPr>
        <w:t>environment,</w:t>
      </w:r>
      <w:r>
        <w:rPr>
          <w:spacing w:val="4"/>
          <w:w w:val="110"/>
        </w:rPr>
        <w:t xml:space="preserve"> </w:t>
      </w:r>
      <w:r>
        <w:rPr>
          <w:w w:val="110"/>
        </w:rPr>
        <w:t>various</w:t>
      </w:r>
      <w:r>
        <w:rPr>
          <w:spacing w:val="-7"/>
          <w:w w:val="110"/>
        </w:rPr>
        <w:t xml:space="preserve"> </w:t>
      </w:r>
      <w:r>
        <w:rPr>
          <w:w w:val="110"/>
        </w:rPr>
        <w:t>drugs, anxiety</w:t>
      </w:r>
      <w:r>
        <w:rPr>
          <w:spacing w:val="-13"/>
          <w:w w:val="110"/>
        </w:rPr>
        <w:t xml:space="preserve"> </w:t>
      </w:r>
      <w:r>
        <w:rPr>
          <w:w w:val="110"/>
        </w:rPr>
        <w:t>or</w:t>
      </w:r>
      <w:r>
        <w:rPr>
          <w:spacing w:val="-16"/>
          <w:w w:val="110"/>
        </w:rPr>
        <w:t xml:space="preserve"> </w:t>
      </w:r>
      <w:r>
        <w:rPr>
          <w:w w:val="110"/>
        </w:rPr>
        <w:t>fatigue,</w:t>
      </w:r>
      <w:r>
        <w:rPr>
          <w:spacing w:val="-10"/>
          <w:w w:val="110"/>
        </w:rPr>
        <w:t xml:space="preserve"> </w:t>
      </w:r>
      <w:r>
        <w:rPr>
          <w:w w:val="110"/>
        </w:rPr>
        <w:t>or</w:t>
      </w:r>
      <w:r>
        <w:rPr>
          <w:spacing w:val="-12"/>
          <w:w w:val="110"/>
        </w:rPr>
        <w:t xml:space="preserve"> </w:t>
      </w:r>
      <w:r>
        <w:rPr>
          <w:w w:val="110"/>
        </w:rPr>
        <w:t>other</w:t>
      </w:r>
      <w:r>
        <w:rPr>
          <w:spacing w:val="-16"/>
          <w:w w:val="110"/>
        </w:rPr>
        <w:t xml:space="preserve"> </w:t>
      </w:r>
      <w:r>
        <w:rPr>
          <w:w w:val="110"/>
        </w:rPr>
        <w:t>stressors.</w:t>
      </w:r>
      <w:r>
        <w:rPr>
          <w:spacing w:val="-15"/>
          <w:w w:val="110"/>
        </w:rPr>
        <w:t xml:space="preserve"> </w:t>
      </w:r>
      <w:r>
        <w:rPr>
          <w:w w:val="110"/>
        </w:rPr>
        <w:t>The</w:t>
      </w:r>
      <w:r>
        <w:rPr>
          <w:spacing w:val="-15"/>
          <w:w w:val="110"/>
        </w:rPr>
        <w:t xml:space="preserve"> </w:t>
      </w:r>
      <w:r>
        <w:rPr>
          <w:w w:val="110"/>
        </w:rPr>
        <w:t>episodes</w:t>
      </w:r>
      <w:r>
        <w:rPr>
          <w:spacing w:val="-7"/>
          <w:w w:val="110"/>
        </w:rPr>
        <w:t xml:space="preserve"> </w:t>
      </w:r>
      <w:r>
        <w:rPr>
          <w:w w:val="110"/>
        </w:rPr>
        <w:t>may</w:t>
      </w:r>
      <w:r>
        <w:rPr>
          <w:spacing w:val="-15"/>
          <w:w w:val="110"/>
        </w:rPr>
        <w:t xml:space="preserve"> </w:t>
      </w:r>
      <w:r>
        <w:rPr>
          <w:w w:val="110"/>
        </w:rPr>
        <w:t>abate</w:t>
      </w:r>
      <w:r>
        <w:rPr>
          <w:spacing w:val="-18"/>
          <w:w w:val="110"/>
        </w:rPr>
        <w:t xml:space="preserve"> </w:t>
      </w:r>
      <w:r>
        <w:rPr>
          <w:w w:val="110"/>
        </w:rPr>
        <w:t>after</w:t>
      </w:r>
      <w:r>
        <w:rPr>
          <w:spacing w:val="-19"/>
          <w:w w:val="110"/>
        </w:rPr>
        <w:t xml:space="preserve"> </w:t>
      </w:r>
      <w:r>
        <w:rPr>
          <w:w w:val="110"/>
        </w:rPr>
        <w:t>several</w:t>
      </w:r>
      <w:r>
        <w:rPr>
          <w:spacing w:val="-8"/>
          <w:w w:val="110"/>
        </w:rPr>
        <w:t xml:space="preserve"> </w:t>
      </w:r>
      <w:r>
        <w:rPr>
          <w:w w:val="110"/>
        </w:rPr>
        <w:t>months, but many</w:t>
      </w:r>
      <w:r>
        <w:rPr>
          <w:spacing w:val="-3"/>
          <w:w w:val="110"/>
        </w:rPr>
        <w:t xml:space="preserve"> </w:t>
      </w:r>
      <w:r>
        <w:rPr>
          <w:w w:val="110"/>
        </w:rPr>
        <w:t>persons</w:t>
      </w:r>
      <w:r>
        <w:rPr>
          <w:spacing w:val="-4"/>
          <w:w w:val="110"/>
        </w:rPr>
        <w:t xml:space="preserve"> </w:t>
      </w:r>
      <w:r>
        <w:rPr>
          <w:w w:val="110"/>
        </w:rPr>
        <w:t>report</w:t>
      </w:r>
      <w:r>
        <w:rPr>
          <w:spacing w:val="3"/>
          <w:w w:val="110"/>
        </w:rPr>
        <w:t xml:space="preserve"> </w:t>
      </w:r>
      <w:r>
        <w:rPr>
          <w:w w:val="110"/>
        </w:rPr>
        <w:t>persisting episodes</w:t>
      </w:r>
      <w:r>
        <w:rPr>
          <w:spacing w:val="-3"/>
          <w:w w:val="110"/>
        </w:rPr>
        <w:t xml:space="preserve"> </w:t>
      </w:r>
      <w:r>
        <w:rPr>
          <w:w w:val="110"/>
        </w:rPr>
        <w:t>for</w:t>
      </w:r>
      <w:r>
        <w:rPr>
          <w:spacing w:val="-7"/>
          <w:w w:val="110"/>
        </w:rPr>
        <w:t xml:space="preserve"> </w:t>
      </w:r>
      <w:r>
        <w:rPr>
          <w:w w:val="110"/>
        </w:rPr>
        <w:t>5</w:t>
      </w:r>
      <w:r>
        <w:rPr>
          <w:spacing w:val="-13"/>
          <w:w w:val="110"/>
        </w:rPr>
        <w:t xml:space="preserve"> </w:t>
      </w:r>
      <w:r>
        <w:rPr>
          <w:w w:val="110"/>
        </w:rPr>
        <w:t>years</w:t>
      </w:r>
      <w:r>
        <w:rPr>
          <w:spacing w:val="-9"/>
          <w:w w:val="110"/>
        </w:rPr>
        <w:t xml:space="preserve"> </w:t>
      </w:r>
      <w:r>
        <w:rPr>
          <w:w w:val="110"/>
        </w:rPr>
        <w:t>or</w:t>
      </w:r>
      <w:r>
        <w:rPr>
          <w:spacing w:val="-2"/>
          <w:w w:val="110"/>
        </w:rPr>
        <w:t xml:space="preserve"> </w:t>
      </w:r>
      <w:r>
        <w:rPr>
          <w:w w:val="110"/>
        </w:rPr>
        <w:t>longer.</w:t>
      </w:r>
      <w:r>
        <w:rPr>
          <w:spacing w:val="-4"/>
          <w:w w:val="110"/>
        </w:rPr>
        <w:t xml:space="preserve"> </w:t>
      </w:r>
      <w:r>
        <w:rPr>
          <w:w w:val="110"/>
        </w:rPr>
        <w:t>Reality</w:t>
      </w:r>
      <w:r>
        <w:rPr>
          <w:spacing w:val="-6"/>
          <w:w w:val="110"/>
        </w:rPr>
        <w:t xml:space="preserve"> </w:t>
      </w:r>
      <w:r>
        <w:rPr>
          <w:w w:val="110"/>
        </w:rPr>
        <w:t>testing</w:t>
      </w:r>
      <w:r>
        <w:rPr>
          <w:spacing w:val="-5"/>
          <w:w w:val="110"/>
        </w:rPr>
        <w:t xml:space="preserve"> </w:t>
      </w:r>
      <w:r>
        <w:rPr>
          <w:w w:val="110"/>
        </w:rPr>
        <w:t>remains intact (i.e., the person recognizes that the perception is a drug effect and does not represent external reality). In contrast, if the person has a delusional interpretation concerning</w:t>
      </w:r>
      <w:r>
        <w:rPr>
          <w:spacing w:val="-9"/>
          <w:w w:val="110"/>
        </w:rPr>
        <w:t xml:space="preserve"> </w:t>
      </w:r>
      <w:r>
        <w:rPr>
          <w:w w:val="110"/>
        </w:rPr>
        <w:t>the</w:t>
      </w:r>
      <w:r>
        <w:rPr>
          <w:spacing w:val="-25"/>
          <w:w w:val="110"/>
        </w:rPr>
        <w:t xml:space="preserve"> </w:t>
      </w:r>
      <w:r>
        <w:rPr>
          <w:w w:val="110"/>
        </w:rPr>
        <w:t>etiology</w:t>
      </w:r>
      <w:r>
        <w:rPr>
          <w:spacing w:val="-15"/>
          <w:w w:val="110"/>
        </w:rPr>
        <w:t xml:space="preserve"> </w:t>
      </w:r>
      <w:r>
        <w:rPr>
          <w:w w:val="110"/>
        </w:rPr>
        <w:t>of</w:t>
      </w:r>
      <w:r>
        <w:rPr>
          <w:spacing w:val="-17"/>
          <w:w w:val="110"/>
        </w:rPr>
        <w:t xml:space="preserve"> </w:t>
      </w:r>
      <w:r>
        <w:rPr>
          <w:w w:val="110"/>
        </w:rPr>
        <w:t>the</w:t>
      </w:r>
      <w:r>
        <w:rPr>
          <w:spacing w:val="-16"/>
          <w:w w:val="110"/>
        </w:rPr>
        <w:t xml:space="preserve"> </w:t>
      </w:r>
      <w:r>
        <w:rPr>
          <w:w w:val="110"/>
        </w:rPr>
        <w:t>perceptual</w:t>
      </w:r>
      <w:r>
        <w:rPr>
          <w:spacing w:val="-11"/>
          <w:w w:val="110"/>
        </w:rPr>
        <w:t xml:space="preserve"> </w:t>
      </w:r>
      <w:r>
        <w:rPr>
          <w:w w:val="110"/>
        </w:rPr>
        <w:t>disturbance,</w:t>
      </w:r>
      <w:r>
        <w:rPr>
          <w:spacing w:val="-8"/>
          <w:w w:val="110"/>
        </w:rPr>
        <w:t xml:space="preserve"> </w:t>
      </w:r>
      <w:r>
        <w:rPr>
          <w:w w:val="110"/>
        </w:rPr>
        <w:t>the</w:t>
      </w:r>
      <w:r>
        <w:rPr>
          <w:spacing w:val="-25"/>
          <w:w w:val="110"/>
        </w:rPr>
        <w:t xml:space="preserve"> </w:t>
      </w:r>
      <w:r>
        <w:rPr>
          <w:w w:val="110"/>
        </w:rPr>
        <w:t>appropriate</w:t>
      </w:r>
      <w:r>
        <w:rPr>
          <w:spacing w:val="-10"/>
          <w:w w:val="110"/>
        </w:rPr>
        <w:t xml:space="preserve"> </w:t>
      </w:r>
      <w:r>
        <w:rPr>
          <w:w w:val="110"/>
        </w:rPr>
        <w:t>diagnosis</w:t>
      </w:r>
      <w:r>
        <w:rPr>
          <w:spacing w:val="-16"/>
          <w:w w:val="110"/>
        </w:rPr>
        <w:t xml:space="preserve"> </w:t>
      </w:r>
      <w:r>
        <w:rPr>
          <w:w w:val="110"/>
        </w:rPr>
        <w:t>would be Psychotic Disorder Not Otherwise</w:t>
      </w:r>
      <w:r>
        <w:rPr>
          <w:spacing w:val="42"/>
          <w:w w:val="110"/>
        </w:rPr>
        <w:t xml:space="preserve"> </w:t>
      </w:r>
      <w:r>
        <w:rPr>
          <w:w w:val="110"/>
        </w:rPr>
        <w:t>Specified.</w:t>
      </w:r>
    </w:p>
    <w:p w:rsidR="00E675F0" w:rsidRDefault="00E675F0" w:rsidP="00E675F0">
      <w:pPr>
        <w:spacing w:line="252" w:lineRule="auto"/>
        <w:jc w:val="both"/>
        <w:sectPr w:rsidR="00E675F0">
          <w:pgSz w:w="8960" w:h="14260"/>
          <w:pgMar w:top="1400" w:right="640" w:bottom="280" w:left="600" w:header="698" w:footer="0" w:gutter="0"/>
          <w:cols w:space="720"/>
        </w:sectPr>
      </w:pPr>
    </w:p>
    <w:p w:rsidR="00E675F0" w:rsidRDefault="00E675F0" w:rsidP="00E675F0">
      <w:pPr>
        <w:pStyle w:val="BodyText"/>
        <w:spacing w:before="2"/>
        <w:rPr>
          <w:sz w:val="11"/>
        </w:rPr>
      </w:pPr>
    </w:p>
    <w:tbl>
      <w:tblPr>
        <w:tblW w:w="0" w:type="auto"/>
        <w:tblInd w:w="235"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7331"/>
      </w:tblGrid>
      <w:tr w:rsidR="00E675F0" w:rsidTr="00A330E1">
        <w:trPr>
          <w:trHeight w:val="4419"/>
        </w:trPr>
        <w:tc>
          <w:tcPr>
            <w:tcW w:w="7331" w:type="dxa"/>
          </w:tcPr>
          <w:p w:rsidR="00E675F0" w:rsidRDefault="00E675F0" w:rsidP="003048D3">
            <w:pPr>
              <w:pStyle w:val="TableParagraph"/>
              <w:numPr>
                <w:ilvl w:val="0"/>
                <w:numId w:val="25"/>
              </w:numPr>
              <w:tabs>
                <w:tab w:val="left" w:pos="622"/>
              </w:tabs>
              <w:spacing w:before="28" w:line="206" w:lineRule="auto"/>
              <w:ind w:right="354"/>
              <w:rPr>
                <w:rFonts w:ascii="Arial" w:hAnsi="Arial"/>
                <w:b/>
                <w:sz w:val="24"/>
              </w:rPr>
            </w:pPr>
            <w:bookmarkStart w:id="153" w:name="_bookmark133"/>
            <w:bookmarkEnd w:id="153"/>
            <w:r>
              <w:rPr>
                <w:rFonts w:ascii="Arial" w:hAnsi="Arial"/>
                <w:b/>
                <w:w w:val="105"/>
                <w:sz w:val="24"/>
              </w:rPr>
              <w:t>Diagnostic</w:t>
            </w:r>
            <w:r>
              <w:rPr>
                <w:rFonts w:ascii="Arial" w:hAnsi="Arial"/>
                <w:b/>
                <w:spacing w:val="-23"/>
                <w:w w:val="105"/>
                <w:sz w:val="24"/>
              </w:rPr>
              <w:t xml:space="preserve"> </w:t>
            </w:r>
            <w:r>
              <w:rPr>
                <w:rFonts w:ascii="Arial" w:hAnsi="Arial"/>
                <w:b/>
                <w:w w:val="105"/>
                <w:sz w:val="24"/>
              </w:rPr>
              <w:t>criteria</w:t>
            </w:r>
            <w:r>
              <w:rPr>
                <w:rFonts w:ascii="Arial" w:hAnsi="Arial"/>
                <w:b/>
                <w:spacing w:val="-19"/>
                <w:w w:val="105"/>
                <w:sz w:val="24"/>
              </w:rPr>
              <w:t xml:space="preserve"> </w:t>
            </w:r>
            <w:r>
              <w:rPr>
                <w:rFonts w:ascii="Arial" w:hAnsi="Arial"/>
                <w:b/>
                <w:w w:val="105"/>
                <w:sz w:val="24"/>
              </w:rPr>
              <w:t>for</w:t>
            </w:r>
            <w:r>
              <w:rPr>
                <w:rFonts w:ascii="Arial" w:hAnsi="Arial"/>
                <w:b/>
                <w:spacing w:val="-25"/>
                <w:w w:val="105"/>
                <w:sz w:val="24"/>
              </w:rPr>
              <w:t xml:space="preserve"> </w:t>
            </w:r>
            <w:r>
              <w:rPr>
                <w:rFonts w:ascii="Arial" w:hAnsi="Arial"/>
                <w:b/>
                <w:w w:val="105"/>
                <w:sz w:val="24"/>
              </w:rPr>
              <w:t>292.89</w:t>
            </w:r>
            <w:r>
              <w:rPr>
                <w:rFonts w:ascii="Arial" w:hAnsi="Arial"/>
                <w:b/>
                <w:spacing w:val="-26"/>
                <w:w w:val="105"/>
                <w:sz w:val="24"/>
              </w:rPr>
              <w:t xml:space="preserve"> </w:t>
            </w:r>
            <w:r>
              <w:rPr>
                <w:rFonts w:ascii="Arial" w:hAnsi="Arial"/>
                <w:b/>
                <w:w w:val="105"/>
                <w:sz w:val="24"/>
              </w:rPr>
              <w:t>Hallucinogen</w:t>
            </w:r>
            <w:r>
              <w:rPr>
                <w:rFonts w:ascii="Arial" w:hAnsi="Arial"/>
                <w:b/>
                <w:spacing w:val="-24"/>
                <w:w w:val="105"/>
                <w:sz w:val="24"/>
              </w:rPr>
              <w:t xml:space="preserve"> </w:t>
            </w:r>
            <w:r>
              <w:rPr>
                <w:rFonts w:ascii="Arial" w:hAnsi="Arial"/>
                <w:b/>
                <w:w w:val="105"/>
                <w:sz w:val="24"/>
              </w:rPr>
              <w:t>Persisting Perception Disorder</w:t>
            </w:r>
            <w:r>
              <w:rPr>
                <w:rFonts w:ascii="Arial" w:hAnsi="Arial"/>
                <w:b/>
                <w:spacing w:val="12"/>
                <w:w w:val="105"/>
                <w:sz w:val="24"/>
              </w:rPr>
              <w:t xml:space="preserve"> </w:t>
            </w:r>
            <w:r>
              <w:rPr>
                <w:rFonts w:ascii="Arial" w:hAnsi="Arial"/>
                <w:b/>
                <w:w w:val="105"/>
                <w:sz w:val="24"/>
              </w:rPr>
              <w:t>(Flashbacks)</w:t>
            </w:r>
          </w:p>
          <w:p w:rsidR="00E675F0" w:rsidRDefault="00E675F0" w:rsidP="003048D3">
            <w:pPr>
              <w:pStyle w:val="TableParagraph"/>
              <w:numPr>
                <w:ilvl w:val="1"/>
                <w:numId w:val="25"/>
              </w:numPr>
              <w:tabs>
                <w:tab w:val="left" w:pos="946"/>
              </w:tabs>
              <w:spacing w:before="172" w:line="254" w:lineRule="auto"/>
              <w:ind w:right="226" w:hanging="308"/>
              <w:jc w:val="both"/>
              <w:rPr>
                <w:sz w:val="18"/>
              </w:rPr>
            </w:pPr>
            <w:r>
              <w:rPr>
                <w:w w:val="105"/>
                <w:sz w:val="20"/>
              </w:rPr>
              <w:t>The reexperiencing, following cessation of use of a hallucinogen, of one or more of the perceptual symptoms that were experienced while intoxicated with the hallucinogen (e.g., geometric hallucinations, false perceptions of movement in the peripheral visual fields, flashes of color, intensified colors, trails of images of moving objects, positive after­ images, halos around objects, macropsia, and</w:t>
            </w:r>
            <w:r>
              <w:rPr>
                <w:spacing w:val="48"/>
                <w:w w:val="105"/>
                <w:sz w:val="20"/>
              </w:rPr>
              <w:t xml:space="preserve"> </w:t>
            </w:r>
            <w:r>
              <w:rPr>
                <w:w w:val="105"/>
                <w:sz w:val="20"/>
              </w:rPr>
              <w:t>micropsia).</w:t>
            </w:r>
          </w:p>
          <w:p w:rsidR="00E675F0" w:rsidRDefault="00E675F0" w:rsidP="003048D3">
            <w:pPr>
              <w:pStyle w:val="TableParagraph"/>
              <w:numPr>
                <w:ilvl w:val="1"/>
                <w:numId w:val="25"/>
              </w:numPr>
              <w:tabs>
                <w:tab w:val="left" w:pos="946"/>
              </w:tabs>
              <w:spacing w:before="181" w:line="256" w:lineRule="auto"/>
              <w:ind w:left="950" w:right="222" w:hanging="301"/>
              <w:jc w:val="both"/>
              <w:rPr>
                <w:sz w:val="20"/>
              </w:rPr>
            </w:pPr>
            <w:r>
              <w:rPr>
                <w:sz w:val="20"/>
              </w:rPr>
              <w:t>The symptoms in Criterion A cause clinically significant distress or impairment in social, occupational, or other important areas of</w:t>
            </w:r>
            <w:r>
              <w:rPr>
                <w:spacing w:val="24"/>
                <w:sz w:val="20"/>
              </w:rPr>
              <w:t xml:space="preserve"> </w:t>
            </w:r>
            <w:r>
              <w:rPr>
                <w:sz w:val="20"/>
              </w:rPr>
              <w:t>functioning.</w:t>
            </w:r>
          </w:p>
          <w:p w:rsidR="00E675F0" w:rsidRDefault="00E675F0" w:rsidP="003048D3">
            <w:pPr>
              <w:pStyle w:val="TableParagraph"/>
              <w:numPr>
                <w:ilvl w:val="1"/>
                <w:numId w:val="25"/>
              </w:numPr>
              <w:tabs>
                <w:tab w:val="left" w:pos="946"/>
              </w:tabs>
              <w:spacing w:before="176" w:line="252" w:lineRule="auto"/>
              <w:ind w:right="220" w:hanging="308"/>
              <w:jc w:val="both"/>
              <w:rPr>
                <w:sz w:val="18"/>
              </w:rPr>
            </w:pPr>
            <w:r>
              <w:rPr>
                <w:w w:val="105"/>
                <w:sz w:val="20"/>
              </w:rPr>
              <w:t>The symptoms are not due to a general medical condition (e.g., anatomical lesions and infections of the brain, visual epilepsies) and are not better accounted for by another mental disorder (e.g., delirium, dementia, Schizophrenia) or hypnopompic</w:t>
            </w:r>
            <w:r>
              <w:rPr>
                <w:spacing w:val="18"/>
                <w:w w:val="105"/>
                <w:sz w:val="20"/>
              </w:rPr>
              <w:t xml:space="preserve"> </w:t>
            </w:r>
            <w:r>
              <w:rPr>
                <w:w w:val="105"/>
                <w:sz w:val="20"/>
              </w:rPr>
              <w:t>hallucinations.</w:t>
            </w:r>
          </w:p>
        </w:tc>
      </w:tr>
    </w:tbl>
    <w:p w:rsidR="00E675F0" w:rsidRDefault="00E675F0" w:rsidP="00E675F0">
      <w:pPr>
        <w:pStyle w:val="BodyText"/>
      </w:pPr>
    </w:p>
    <w:p w:rsidR="00E675F0" w:rsidRDefault="00E675F0" w:rsidP="00E675F0">
      <w:pPr>
        <w:pStyle w:val="BodyText"/>
        <w:spacing w:before="1"/>
        <w:rPr>
          <w:sz w:val="25"/>
        </w:rPr>
      </w:pPr>
    </w:p>
    <w:p w:rsidR="00E675F0" w:rsidRDefault="00E675F0" w:rsidP="00E675F0">
      <w:pPr>
        <w:spacing w:before="93"/>
        <w:ind w:left="33" w:right="41"/>
        <w:jc w:val="center"/>
        <w:rPr>
          <w:rFonts w:ascii="Arial"/>
          <w:b/>
          <w:sz w:val="25"/>
        </w:rPr>
      </w:pPr>
      <w:r>
        <w:rPr>
          <w:noProof/>
        </w:rPr>
        <mc:AlternateContent>
          <mc:Choice Requires="wpg">
            <w:drawing>
              <wp:anchor distT="0" distB="0" distL="114300" distR="114300" simplePos="0" relativeHeight="251804672" behindDoc="1" locked="0" layoutInCell="1" allowOverlap="1" wp14:anchorId="681194F8" wp14:editId="058CD08E">
                <wp:simplePos x="0" y="0"/>
                <wp:positionH relativeFrom="page">
                  <wp:posOffset>458470</wp:posOffset>
                </wp:positionH>
                <wp:positionV relativeFrom="paragraph">
                  <wp:posOffset>-3237865</wp:posOffset>
                </wp:positionV>
                <wp:extent cx="4765675" cy="2954655"/>
                <wp:effectExtent l="0" t="0" r="9525" b="0"/>
                <wp:wrapNone/>
                <wp:docPr id="1325" name="Group 1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5675" cy="2954655"/>
                          <a:chOff x="722" y="-5099"/>
                          <a:chExt cx="7505" cy="4653"/>
                        </a:xfrm>
                      </wpg:grpSpPr>
                      <wps:wsp>
                        <wps:cNvPr id="1326" name="Line 1284"/>
                        <wps:cNvCnPr>
                          <a:cxnSpLocks/>
                        </wps:cNvCnPr>
                        <wps:spPr bwMode="auto">
                          <a:xfrm>
                            <a:off x="799" y="-446"/>
                            <a:ext cx="0" cy="0"/>
                          </a:xfrm>
                          <a:prstGeom prst="line">
                            <a:avLst/>
                          </a:prstGeom>
                          <a:noFill/>
                          <a:ln w="305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7" name="Line 1283"/>
                        <wps:cNvCnPr>
                          <a:cxnSpLocks/>
                        </wps:cNvCnPr>
                        <wps:spPr bwMode="auto">
                          <a:xfrm>
                            <a:off x="8131" y="-446"/>
                            <a:ext cx="0" cy="0"/>
                          </a:xfrm>
                          <a:prstGeom prst="line">
                            <a:avLst/>
                          </a:prstGeom>
                          <a:noFill/>
                          <a:ln w="3360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8" name="Line 1282"/>
                        <wps:cNvCnPr>
                          <a:cxnSpLocks/>
                        </wps:cNvCnPr>
                        <wps:spPr bwMode="auto">
                          <a:xfrm>
                            <a:off x="722" y="-543"/>
                            <a:ext cx="7505" cy="0"/>
                          </a:xfrm>
                          <a:prstGeom prst="line">
                            <a:avLst/>
                          </a:prstGeom>
                          <a:noFill/>
                          <a:ln w="3052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0C769ED" id="Group 1281" o:spid="_x0000_s1026" style="position:absolute;margin-left:36.1pt;margin-top:-254.95pt;width:375.25pt;height:232.65pt;z-index:-251511808;mso-position-horizontal-relative:page" coordorigin="722,-5099" coordsize="7505,46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">
                <v:line id="Line 1284" o:spid="_x0000_s1027" style="position:absolute;visibility:visible;mso-wrap-style:square" from="799,-446" to="799,-4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" strokeweight=".84856mm">
                  <o:lock v:ext="edit" shapetype="f"/>
                </v:line>
                <v:line id="Line 1283" o:spid="_x0000_s1028" style="position:absolute;visibility:visible;mso-wrap-style:square" from="8131,-446" to="8131,-4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" strokeweight=".93339mm">
                  <o:lock v:ext="edit" shapetype="f"/>
                </v:line>
                <v:line id="Line 1282" o:spid="_x0000_s1029" style="position:absolute;visibility:visible;mso-wrap-style:square" from="722,-543" to="8227,-5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" strokeweight=".84786mm">
                  <o:lock v:ext="edit" shapetype="f"/>
                </v:line>
                <w10:wrap anchorx="page"/>
              </v:group>
            </w:pict>
          </mc:Fallback>
        </mc:AlternateContent>
      </w:r>
      <w:r>
        <w:rPr>
          <w:rFonts w:ascii="Arial"/>
          <w:b/>
          <w:w w:val="105"/>
          <w:sz w:val="25"/>
        </w:rPr>
        <w:t>Other Hallucinogen--Induced Disorders</w:t>
      </w:r>
    </w:p>
    <w:p w:rsidR="00E675F0" w:rsidRDefault="00E675F0" w:rsidP="00E675F0">
      <w:pPr>
        <w:pStyle w:val="BodyText"/>
        <w:spacing w:before="1"/>
        <w:rPr>
          <w:rFonts w:ascii="Arial"/>
          <w:b/>
          <w:sz w:val="25"/>
        </w:rPr>
      </w:pPr>
    </w:p>
    <w:p w:rsidR="00E675F0" w:rsidRDefault="00E675F0" w:rsidP="00E675F0">
      <w:pPr>
        <w:spacing w:line="252" w:lineRule="auto"/>
        <w:ind w:left="123" w:right="118" w:hanging="3"/>
        <w:jc w:val="both"/>
        <w:rPr>
          <w:sz w:val="20"/>
        </w:rPr>
      </w:pPr>
      <w:r>
        <w:rPr>
          <w:w w:val="105"/>
          <w:sz w:val="20"/>
        </w:rPr>
        <w:t xml:space="preserve">The following Hallucinogen-Induced _Disorders are described in other sections of the manual with disorders with which they share phenomenology: </w:t>
      </w:r>
      <w:r>
        <w:rPr>
          <w:b/>
          <w:w w:val="105"/>
          <w:sz w:val="19"/>
        </w:rPr>
        <w:t xml:space="preserve">Hallucinogen Intoxi­ cation Delirium </w:t>
      </w:r>
      <w:r>
        <w:rPr>
          <w:rFonts w:ascii="Arial" w:hAnsi="Arial"/>
          <w:w w:val="105"/>
          <w:sz w:val="17"/>
        </w:rPr>
        <w:t xml:space="preserve">(p. </w:t>
      </w:r>
      <w:r>
        <w:rPr>
          <w:w w:val="105"/>
          <w:sz w:val="18"/>
        </w:rPr>
        <w:t xml:space="preserve">129), </w:t>
      </w:r>
      <w:r>
        <w:rPr>
          <w:b/>
          <w:w w:val="105"/>
          <w:sz w:val="19"/>
        </w:rPr>
        <w:t xml:space="preserve">Hallucinogen-Induced Psychotic Disorder </w:t>
      </w:r>
      <w:r>
        <w:rPr>
          <w:rFonts w:ascii="Arial" w:hAnsi="Arial"/>
          <w:w w:val="105"/>
          <w:sz w:val="17"/>
        </w:rPr>
        <w:t xml:space="preserve">(p. </w:t>
      </w:r>
      <w:r>
        <w:rPr>
          <w:w w:val="105"/>
          <w:sz w:val="18"/>
        </w:rPr>
        <w:t xml:space="preserve">310), </w:t>
      </w:r>
      <w:r>
        <w:rPr>
          <w:b/>
          <w:w w:val="105"/>
          <w:sz w:val="19"/>
        </w:rPr>
        <w:t>Hallucinogen-Induced  Mood  Disorder</w:t>
      </w:r>
      <w:r>
        <w:rPr>
          <w:b/>
          <w:spacing w:val="49"/>
          <w:w w:val="105"/>
          <w:sz w:val="19"/>
        </w:rPr>
        <w:t xml:space="preserve"> </w:t>
      </w:r>
      <w:r>
        <w:rPr>
          <w:rFonts w:ascii="Arial" w:hAnsi="Arial"/>
          <w:w w:val="105"/>
          <w:sz w:val="16"/>
        </w:rPr>
        <w:t xml:space="preserve">(p.  </w:t>
      </w:r>
      <w:r>
        <w:rPr>
          <w:w w:val="105"/>
          <w:sz w:val="18"/>
        </w:rPr>
        <w:t xml:space="preserve">370),   </w:t>
      </w:r>
      <w:r>
        <w:rPr>
          <w:w w:val="105"/>
          <w:sz w:val="20"/>
        </w:rPr>
        <w:t xml:space="preserve">and   </w:t>
      </w:r>
      <w:r>
        <w:rPr>
          <w:b/>
          <w:w w:val="105"/>
          <w:sz w:val="19"/>
        </w:rPr>
        <w:t xml:space="preserve">Hallucinogen-Induced  </w:t>
      </w:r>
      <w:r>
        <w:rPr>
          <w:rFonts w:ascii="Arial" w:hAnsi="Arial"/>
          <w:b/>
          <w:w w:val="105"/>
          <w:sz w:val="18"/>
        </w:rPr>
        <w:t xml:space="preserve">Anxi­ </w:t>
      </w:r>
      <w:r>
        <w:rPr>
          <w:b/>
          <w:w w:val="105"/>
          <w:sz w:val="19"/>
        </w:rPr>
        <w:t xml:space="preserve">ety Disorder </w:t>
      </w:r>
      <w:r>
        <w:rPr>
          <w:w w:val="105"/>
          <w:sz w:val="20"/>
        </w:rPr>
        <w:t>(p. 439). These disorders are diagnosed instead of Hallucinogen Intoxi­ cation only when the symptoms are in excess of those usually associated with the Hallucinogen Intoxication syndrome and when the symptoms are sufficiently severe to warrant independent clinical</w:t>
      </w:r>
      <w:r>
        <w:rPr>
          <w:spacing w:val="-5"/>
          <w:w w:val="105"/>
          <w:sz w:val="20"/>
        </w:rPr>
        <w:t xml:space="preserve"> </w:t>
      </w:r>
      <w:r>
        <w:rPr>
          <w:w w:val="105"/>
          <w:sz w:val="20"/>
        </w:rPr>
        <w:t>attention.</w:t>
      </w:r>
    </w:p>
    <w:p w:rsidR="00E675F0" w:rsidRDefault="00E675F0" w:rsidP="00E675F0">
      <w:pPr>
        <w:pStyle w:val="BodyText"/>
        <w:rPr>
          <w:sz w:val="22"/>
        </w:rPr>
      </w:pPr>
    </w:p>
    <w:p w:rsidR="00E675F0" w:rsidRDefault="00E675F0" w:rsidP="00E675F0">
      <w:pPr>
        <w:pStyle w:val="BodyText"/>
        <w:spacing w:before="1"/>
        <w:rPr>
          <w:sz w:val="31"/>
        </w:rPr>
      </w:pPr>
    </w:p>
    <w:p w:rsidR="00E675F0" w:rsidRDefault="00E675F0" w:rsidP="00E675F0">
      <w:pPr>
        <w:spacing w:before="1"/>
        <w:ind w:left="1699" w:right="1756" w:firstLine="28"/>
        <w:jc w:val="center"/>
        <w:rPr>
          <w:rFonts w:ascii="TimesNewRomanPS-BoldItalicMT"/>
          <w:b/>
          <w:i/>
          <w:sz w:val="28"/>
        </w:rPr>
      </w:pPr>
      <w:r>
        <w:rPr>
          <w:rFonts w:ascii="TimesNewRomanPS-BoldItalicMT"/>
          <w:b/>
          <w:i/>
          <w:w w:val="115"/>
          <w:sz w:val="28"/>
        </w:rPr>
        <w:t>Additional Information on Hallucinogen-Related</w:t>
      </w:r>
      <w:r>
        <w:rPr>
          <w:rFonts w:ascii="TimesNewRomanPS-BoldItalicMT"/>
          <w:b/>
          <w:i/>
          <w:spacing w:val="-41"/>
          <w:w w:val="115"/>
          <w:sz w:val="28"/>
        </w:rPr>
        <w:t xml:space="preserve"> </w:t>
      </w:r>
      <w:r>
        <w:rPr>
          <w:rFonts w:ascii="TimesNewRomanPS-BoldItalicMT"/>
          <w:b/>
          <w:i/>
          <w:w w:val="115"/>
          <w:sz w:val="28"/>
        </w:rPr>
        <w:t>Disorders</w:t>
      </w:r>
    </w:p>
    <w:p w:rsidR="00E675F0" w:rsidRDefault="00E675F0" w:rsidP="00E675F0">
      <w:pPr>
        <w:pStyle w:val="BodyText"/>
        <w:spacing w:before="8"/>
        <w:rPr>
          <w:rFonts w:ascii="TimesNewRomanPS-BoldItalicMT"/>
          <w:b/>
          <w:i/>
          <w:sz w:val="36"/>
        </w:rPr>
      </w:pPr>
    </w:p>
    <w:p w:rsidR="00E675F0" w:rsidRDefault="00E675F0" w:rsidP="00E675F0">
      <w:pPr>
        <w:ind w:left="116"/>
        <w:jc w:val="both"/>
        <w:rPr>
          <w:rFonts w:ascii="TimesNewRomanPS-BoldItalicMT"/>
          <w:b/>
          <w:i/>
          <w:sz w:val="24"/>
        </w:rPr>
      </w:pPr>
      <w:r>
        <w:rPr>
          <w:rFonts w:ascii="TimesNewRomanPS-BoldItalicMT"/>
          <w:b/>
          <w:i/>
          <w:w w:val="115"/>
          <w:sz w:val="24"/>
        </w:rPr>
        <w:t>Associated Features and Disorders</w:t>
      </w:r>
    </w:p>
    <w:p w:rsidR="00E675F0" w:rsidRDefault="00E675F0" w:rsidP="00E675F0">
      <w:pPr>
        <w:pStyle w:val="BodyText"/>
        <w:spacing w:before="146" w:line="254" w:lineRule="auto"/>
        <w:ind w:left="122" w:right="120" w:firstLine="7"/>
        <w:jc w:val="both"/>
      </w:pPr>
      <w:r>
        <w:rPr>
          <w:w w:val="105"/>
        </w:rPr>
        <w:t>When intoxicated with a hallucinogen, individuals may be voluble and discursive and show rapid alternation of moods. Fearfulness and anxiety may become intense, with dread of insanity or death. Many hallucinogenic substances have stimulant effects (e.g., tachycardia, mild hypertension, hyperthermia, and pupillary dilation) and may cause some of the features of Amphetamine Intoxication. The perceptual disturbances and impaired judgment associated with Hallucinogen Intoxication may result in injuries or fatalities</w:t>
      </w:r>
      <w:r>
        <w:rPr>
          <w:spacing w:val="-14"/>
          <w:w w:val="105"/>
        </w:rPr>
        <w:t xml:space="preserve"> </w:t>
      </w:r>
      <w:r>
        <w:rPr>
          <w:w w:val="105"/>
        </w:rPr>
        <w:t>from</w:t>
      </w:r>
      <w:r>
        <w:rPr>
          <w:spacing w:val="-13"/>
          <w:w w:val="105"/>
        </w:rPr>
        <w:t xml:space="preserve"> </w:t>
      </w:r>
      <w:r>
        <w:rPr>
          <w:w w:val="105"/>
        </w:rPr>
        <w:t>automobile</w:t>
      </w:r>
      <w:r>
        <w:rPr>
          <w:spacing w:val="-10"/>
          <w:w w:val="105"/>
        </w:rPr>
        <w:t xml:space="preserve"> </w:t>
      </w:r>
      <w:r>
        <w:rPr>
          <w:w w:val="105"/>
        </w:rPr>
        <w:t>accidents,</w:t>
      </w:r>
      <w:r>
        <w:rPr>
          <w:spacing w:val="1"/>
          <w:w w:val="105"/>
        </w:rPr>
        <w:t xml:space="preserve"> </w:t>
      </w:r>
      <w:r>
        <w:rPr>
          <w:w w:val="105"/>
        </w:rPr>
        <w:t>physical</w:t>
      </w:r>
      <w:r>
        <w:rPr>
          <w:spacing w:val="-12"/>
          <w:w w:val="105"/>
        </w:rPr>
        <w:t xml:space="preserve"> </w:t>
      </w:r>
      <w:r>
        <w:rPr>
          <w:w w:val="105"/>
        </w:rPr>
        <w:t>fights,</w:t>
      </w:r>
      <w:r>
        <w:rPr>
          <w:spacing w:val="-9"/>
          <w:w w:val="105"/>
        </w:rPr>
        <w:t xml:space="preserve"> </w:t>
      </w:r>
      <w:r>
        <w:rPr>
          <w:w w:val="105"/>
        </w:rPr>
        <w:t>or</w:t>
      </w:r>
      <w:r>
        <w:rPr>
          <w:spacing w:val="-5"/>
          <w:w w:val="105"/>
        </w:rPr>
        <w:t xml:space="preserve"> </w:t>
      </w:r>
      <w:r>
        <w:rPr>
          <w:w w:val="105"/>
        </w:rPr>
        <w:t>attempts</w:t>
      </w:r>
      <w:r>
        <w:rPr>
          <w:spacing w:val="-10"/>
          <w:w w:val="105"/>
        </w:rPr>
        <w:t xml:space="preserve"> </w:t>
      </w:r>
      <w:r>
        <w:rPr>
          <w:w w:val="105"/>
        </w:rPr>
        <w:t>to</w:t>
      </w:r>
      <w:r>
        <w:rPr>
          <w:spacing w:val="-18"/>
          <w:w w:val="105"/>
        </w:rPr>
        <w:t xml:space="preserve"> </w:t>
      </w:r>
      <w:r>
        <w:rPr>
          <w:w w:val="105"/>
        </w:rPr>
        <w:t>"fly"</w:t>
      </w:r>
      <w:r>
        <w:rPr>
          <w:spacing w:val="-18"/>
          <w:w w:val="105"/>
        </w:rPr>
        <w:t xml:space="preserve"> </w:t>
      </w:r>
      <w:r>
        <w:rPr>
          <w:w w:val="105"/>
        </w:rPr>
        <w:t>from</w:t>
      </w:r>
      <w:r>
        <w:rPr>
          <w:spacing w:val="-13"/>
          <w:w w:val="105"/>
        </w:rPr>
        <w:t xml:space="preserve"> </w:t>
      </w:r>
      <w:r>
        <w:rPr>
          <w:w w:val="105"/>
        </w:rPr>
        <w:t>high</w:t>
      </w:r>
      <w:r>
        <w:rPr>
          <w:spacing w:val="-2"/>
          <w:w w:val="105"/>
        </w:rPr>
        <w:t xml:space="preserve"> </w:t>
      </w:r>
      <w:r>
        <w:rPr>
          <w:w w:val="105"/>
        </w:rPr>
        <w:t>places. Environmental factors and the personality and expectations of the individual using the hallucinogen may contribute to the nature and severity of Hallucinogen</w:t>
      </w:r>
      <w:r>
        <w:rPr>
          <w:spacing w:val="5"/>
          <w:w w:val="105"/>
        </w:rPr>
        <w:t xml:space="preserve"> </w:t>
      </w:r>
      <w:r>
        <w:rPr>
          <w:w w:val="105"/>
        </w:rPr>
        <w:t>Intoxication.</w:t>
      </w:r>
    </w:p>
    <w:p w:rsidR="00E675F0" w:rsidRDefault="00E675F0" w:rsidP="00E675F0">
      <w:pPr>
        <w:spacing w:line="254" w:lineRule="auto"/>
        <w:jc w:val="both"/>
        <w:sectPr w:rsidR="00E675F0">
          <w:pgSz w:w="8960" w:h="14260"/>
          <w:pgMar w:top="1400" w:right="620" w:bottom="280" w:left="600" w:header="695" w:footer="0" w:gutter="0"/>
          <w:cols w:space="720"/>
        </w:sectPr>
      </w:pPr>
    </w:p>
    <w:p w:rsidR="00E675F0" w:rsidRDefault="00E675F0" w:rsidP="00E675F0">
      <w:pPr>
        <w:pStyle w:val="BodyText"/>
        <w:spacing w:before="146" w:line="252" w:lineRule="auto"/>
        <w:ind w:left="115" w:right="124" w:firstLine="4"/>
        <w:jc w:val="both"/>
      </w:pPr>
      <w:r>
        <w:rPr>
          <w:w w:val="105"/>
        </w:rPr>
        <w:lastRenderedPageBreak/>
        <w:t>Hallucinogen Persisting Perception Disorder may produce considerable anxiety and concern and may be more common in suggestible persons. Hallucinogen Dependence and Abuse may co-occur with chronic psychotic conditions. It remains controversial whether the chronic hallucinogen use produces a Psychotic Disorder de nova, triggers psychotic symptoms only in vulnerable persons, or is simply an early and continuing sign of an evolving psychotic process. Hallucinogen Abuse and Dependence also frequently occur in persons with preexisting adolescent Conduct Disorder or adult Antisocial</w:t>
      </w:r>
      <w:r>
        <w:rPr>
          <w:spacing w:val="-9"/>
          <w:w w:val="105"/>
        </w:rPr>
        <w:t xml:space="preserve"> </w:t>
      </w:r>
      <w:r>
        <w:rPr>
          <w:w w:val="105"/>
        </w:rPr>
        <w:t>Personality</w:t>
      </w:r>
      <w:r>
        <w:rPr>
          <w:spacing w:val="-7"/>
          <w:w w:val="105"/>
        </w:rPr>
        <w:t xml:space="preserve"> </w:t>
      </w:r>
      <w:r>
        <w:rPr>
          <w:w w:val="105"/>
        </w:rPr>
        <w:t>Disorder.</w:t>
      </w:r>
      <w:r>
        <w:rPr>
          <w:spacing w:val="-12"/>
          <w:w w:val="105"/>
        </w:rPr>
        <w:t xml:space="preserve"> </w:t>
      </w:r>
      <w:r>
        <w:rPr>
          <w:w w:val="105"/>
        </w:rPr>
        <w:t>LSD</w:t>
      </w:r>
      <w:r>
        <w:rPr>
          <w:spacing w:val="-12"/>
          <w:w w:val="105"/>
        </w:rPr>
        <w:t xml:space="preserve"> </w:t>
      </w:r>
      <w:r>
        <w:rPr>
          <w:w w:val="105"/>
        </w:rPr>
        <w:t>intoxication</w:t>
      </w:r>
      <w:r>
        <w:rPr>
          <w:spacing w:val="2"/>
          <w:w w:val="105"/>
        </w:rPr>
        <w:t xml:space="preserve"> </w:t>
      </w:r>
      <w:r>
        <w:rPr>
          <w:w w:val="105"/>
        </w:rPr>
        <w:t>may</w:t>
      </w:r>
      <w:r>
        <w:rPr>
          <w:spacing w:val="-16"/>
          <w:w w:val="105"/>
        </w:rPr>
        <w:t xml:space="preserve"> </w:t>
      </w:r>
      <w:r>
        <w:rPr>
          <w:w w:val="105"/>
        </w:rPr>
        <w:t>be</w:t>
      </w:r>
      <w:r>
        <w:rPr>
          <w:spacing w:val="-22"/>
          <w:w w:val="105"/>
        </w:rPr>
        <w:t xml:space="preserve"> </w:t>
      </w:r>
      <w:r>
        <w:rPr>
          <w:w w:val="105"/>
        </w:rPr>
        <w:t>confirmed</w:t>
      </w:r>
      <w:r>
        <w:rPr>
          <w:spacing w:val="-3"/>
          <w:w w:val="105"/>
        </w:rPr>
        <w:t xml:space="preserve"> </w:t>
      </w:r>
      <w:r>
        <w:rPr>
          <w:w w:val="105"/>
        </w:rPr>
        <w:t>by</w:t>
      </w:r>
      <w:r>
        <w:rPr>
          <w:spacing w:val="-16"/>
          <w:w w:val="105"/>
        </w:rPr>
        <w:t xml:space="preserve"> </w:t>
      </w:r>
      <w:r>
        <w:rPr>
          <w:w w:val="105"/>
        </w:rPr>
        <w:t>urine</w:t>
      </w:r>
      <w:r>
        <w:rPr>
          <w:spacing w:val="-16"/>
          <w:w w:val="105"/>
        </w:rPr>
        <w:t xml:space="preserve"> </w:t>
      </w:r>
      <w:r>
        <w:rPr>
          <w:w w:val="105"/>
        </w:rPr>
        <w:t>toxicology.</w:t>
      </w:r>
    </w:p>
    <w:p w:rsidR="00E675F0" w:rsidRDefault="00E675F0" w:rsidP="00E675F0">
      <w:pPr>
        <w:pStyle w:val="BodyText"/>
        <w:rPr>
          <w:sz w:val="22"/>
        </w:rPr>
      </w:pPr>
    </w:p>
    <w:p w:rsidR="00E675F0" w:rsidRDefault="00E675F0" w:rsidP="00E675F0">
      <w:pPr>
        <w:pStyle w:val="BodyText"/>
        <w:rPr>
          <w:sz w:val="22"/>
        </w:rPr>
      </w:pPr>
    </w:p>
    <w:p w:rsidR="00E675F0" w:rsidRDefault="00E675F0" w:rsidP="00E675F0">
      <w:pPr>
        <w:spacing w:before="131"/>
        <w:ind w:left="108"/>
        <w:rPr>
          <w:rFonts w:ascii="TimesNewRomanPS-BoldItalicMT"/>
          <w:b/>
          <w:i/>
          <w:sz w:val="24"/>
        </w:rPr>
      </w:pPr>
      <w:r>
        <w:rPr>
          <w:rFonts w:ascii="TimesNewRomanPS-BoldItalicMT"/>
          <w:b/>
          <w:i/>
          <w:w w:val="115"/>
          <w:sz w:val="24"/>
        </w:rPr>
        <w:t>Specific Culture, Age, and Gender Features</w:t>
      </w:r>
    </w:p>
    <w:p w:rsidR="00E675F0" w:rsidRDefault="00E675F0" w:rsidP="00E675F0">
      <w:pPr>
        <w:pStyle w:val="BodyText"/>
        <w:spacing w:before="141" w:line="254" w:lineRule="auto"/>
        <w:ind w:left="115" w:right="135" w:firstLine="9"/>
        <w:jc w:val="both"/>
      </w:pPr>
      <w:r>
        <w:rPr>
          <w:w w:val="105"/>
        </w:rPr>
        <w:t>Hallucinogens may be used as part of established religious practices. Within the United States, there are regional differences in their use. Hallucinogen Intoxication usually first occurs in adolescence, and younger users may tend to experience more disruptive emotions. Hallucinogen use and Intoxication appear to be three times more common among males than among females.</w:t>
      </w:r>
    </w:p>
    <w:p w:rsidR="00E675F0" w:rsidRDefault="00E675F0" w:rsidP="00E675F0">
      <w:pPr>
        <w:pStyle w:val="BodyText"/>
        <w:rPr>
          <w:sz w:val="22"/>
        </w:rPr>
      </w:pPr>
    </w:p>
    <w:p w:rsidR="00E675F0" w:rsidRDefault="00E675F0" w:rsidP="00E675F0">
      <w:pPr>
        <w:spacing w:before="130"/>
        <w:ind w:left="105"/>
        <w:rPr>
          <w:rFonts w:ascii="TimesNewRomanPS-BoldItalicMT"/>
          <w:b/>
          <w:i/>
          <w:sz w:val="24"/>
        </w:rPr>
      </w:pPr>
      <w:r>
        <w:rPr>
          <w:rFonts w:ascii="TimesNewRomanPS-BoldItalicMT"/>
          <w:b/>
          <w:i/>
          <w:w w:val="115"/>
          <w:sz w:val="24"/>
        </w:rPr>
        <w:t>Prevalence</w:t>
      </w:r>
    </w:p>
    <w:p w:rsidR="00E675F0" w:rsidRDefault="00E675F0" w:rsidP="00E675F0">
      <w:pPr>
        <w:pStyle w:val="BodyText"/>
        <w:spacing w:before="136" w:line="254" w:lineRule="auto"/>
        <w:ind w:left="120" w:right="123" w:hanging="5"/>
        <w:jc w:val="both"/>
      </w:pPr>
      <w:r>
        <w:rPr>
          <w:w w:val="105"/>
        </w:rPr>
        <w:t>A community survey conducted in the United States in 1991 reported that 8% of the population had used hallucinogens or  phencyclidine (PCP) at least one  or more times  in their lifetime. The cohort with the highest lifetime use was persons ages 26-34 years, among whom 26% had ever tried hallucinogens. However, recent use was most common among those ages 18-25 years, with 2% of this group having used hallucinogens within the last month. A community study conducted in the United States from 1980 to 1985 that used the more narrowly defined DSM-III criteria found that about 0.3% of the adult population had Hallucinogen Abuse at some time in their</w:t>
      </w:r>
      <w:r>
        <w:rPr>
          <w:spacing w:val="18"/>
          <w:w w:val="105"/>
        </w:rPr>
        <w:t xml:space="preserve"> </w:t>
      </w:r>
      <w:r>
        <w:rPr>
          <w:w w:val="105"/>
        </w:rPr>
        <w:t>lives.</w:t>
      </w:r>
    </w:p>
    <w:p w:rsidR="00E675F0" w:rsidRDefault="00E675F0" w:rsidP="00E675F0">
      <w:pPr>
        <w:pStyle w:val="BodyText"/>
        <w:spacing w:before="4"/>
        <w:rPr>
          <w:sz w:val="32"/>
        </w:rPr>
      </w:pPr>
    </w:p>
    <w:p w:rsidR="00E675F0" w:rsidRDefault="00E675F0" w:rsidP="00E675F0">
      <w:pPr>
        <w:ind w:left="102"/>
        <w:rPr>
          <w:rFonts w:ascii="TimesNewRomanPS-BoldItalicMT"/>
          <w:b/>
          <w:i/>
          <w:sz w:val="24"/>
        </w:rPr>
      </w:pPr>
      <w:r>
        <w:rPr>
          <w:rFonts w:ascii="TimesNewRomanPS-BoldItalicMT"/>
          <w:b/>
          <w:i/>
          <w:w w:val="115"/>
          <w:sz w:val="24"/>
        </w:rPr>
        <w:t>Course</w:t>
      </w:r>
    </w:p>
    <w:p w:rsidR="00E675F0" w:rsidRDefault="00E675F0" w:rsidP="00E675F0">
      <w:pPr>
        <w:pStyle w:val="BodyText"/>
        <w:spacing w:before="127" w:line="252" w:lineRule="auto"/>
        <w:ind w:left="120" w:right="115" w:firstLine="4"/>
        <w:jc w:val="both"/>
      </w:pPr>
      <w:r>
        <w:rPr>
          <w:w w:val="105"/>
        </w:rPr>
        <w:t>Hallucinogen Intoxication may be a brief and isolated event or may occur repeatedly. The intoxication may be prolonged if doses are frequently repeated during an episode. Frequent dosing, however, tends to reduce the intoxicating effects because of the development of tolerance. Depending on the drug and its route of administration, peak effects occur within a few minutes to a few hours, and intoxication ends within a few hours to a few days after dosing ends. The high prevalence of "ever having used" hallucinogens among those ages 26-34 years and the lower prevalence of recent use in that group suggest that many individuals may stop using hallucinogens as they get older. Some individuals who use hallucinogen report "flashbacks" that  are  not  associated with any impairment or distress. On the  other  hand, flashbacks can cause  impairment or distress in some individuals (Hallucinogen Persisting Perception Disorder;  see above).</w:t>
      </w:r>
    </w:p>
    <w:p w:rsidR="00E675F0" w:rsidRDefault="00E675F0" w:rsidP="00E675F0">
      <w:pPr>
        <w:pStyle w:val="BodyText"/>
        <w:rPr>
          <w:sz w:val="22"/>
        </w:rPr>
      </w:pPr>
    </w:p>
    <w:p w:rsidR="00E675F0" w:rsidRDefault="00E675F0" w:rsidP="00E675F0">
      <w:pPr>
        <w:spacing w:before="148"/>
        <w:ind w:left="101"/>
        <w:rPr>
          <w:rFonts w:ascii="TimesNewRomanPS-BoldItalicMT"/>
          <w:b/>
          <w:i/>
          <w:sz w:val="24"/>
        </w:rPr>
      </w:pPr>
      <w:r>
        <w:rPr>
          <w:rFonts w:ascii="TimesNewRomanPS-BoldItalicMT"/>
          <w:b/>
          <w:i/>
          <w:w w:val="120"/>
          <w:sz w:val="24"/>
        </w:rPr>
        <w:t>m.[ferential magnosis</w:t>
      </w:r>
    </w:p>
    <w:p w:rsidR="00E675F0" w:rsidRDefault="00E675F0" w:rsidP="00E675F0">
      <w:pPr>
        <w:pStyle w:val="BodyText"/>
        <w:spacing w:before="136"/>
        <w:ind w:left="134"/>
        <w:jc w:val="both"/>
      </w:pPr>
      <w:r>
        <w:rPr>
          <w:w w:val="105"/>
        </w:rPr>
        <w:t>For</w:t>
      </w:r>
      <w:r>
        <w:rPr>
          <w:spacing w:val="-10"/>
          <w:w w:val="105"/>
        </w:rPr>
        <w:t xml:space="preserve"> </w:t>
      </w:r>
      <w:r>
        <w:rPr>
          <w:w w:val="105"/>
        </w:rPr>
        <w:t>a</w:t>
      </w:r>
      <w:r>
        <w:rPr>
          <w:spacing w:val="-8"/>
          <w:w w:val="105"/>
        </w:rPr>
        <w:t xml:space="preserve"> </w:t>
      </w:r>
      <w:r>
        <w:rPr>
          <w:w w:val="105"/>
        </w:rPr>
        <w:t>general</w:t>
      </w:r>
      <w:r>
        <w:rPr>
          <w:spacing w:val="-6"/>
          <w:w w:val="105"/>
        </w:rPr>
        <w:t xml:space="preserve"> </w:t>
      </w:r>
      <w:r>
        <w:rPr>
          <w:w w:val="105"/>
        </w:rPr>
        <w:t>discussion</w:t>
      </w:r>
      <w:r>
        <w:rPr>
          <w:spacing w:val="-1"/>
          <w:w w:val="105"/>
        </w:rPr>
        <w:t xml:space="preserve"> </w:t>
      </w:r>
      <w:r>
        <w:rPr>
          <w:w w:val="105"/>
        </w:rPr>
        <w:t>of</w:t>
      </w:r>
      <w:r>
        <w:rPr>
          <w:spacing w:val="-1"/>
          <w:w w:val="105"/>
        </w:rPr>
        <w:t xml:space="preserve"> </w:t>
      </w:r>
      <w:r>
        <w:rPr>
          <w:w w:val="105"/>
        </w:rPr>
        <w:t>the</w:t>
      </w:r>
      <w:r>
        <w:rPr>
          <w:spacing w:val="-12"/>
          <w:w w:val="105"/>
        </w:rPr>
        <w:t xml:space="preserve"> </w:t>
      </w:r>
      <w:r>
        <w:rPr>
          <w:w w:val="105"/>
        </w:rPr>
        <w:t>differential</w:t>
      </w:r>
      <w:r>
        <w:rPr>
          <w:spacing w:val="-2"/>
          <w:w w:val="105"/>
        </w:rPr>
        <w:t xml:space="preserve"> </w:t>
      </w:r>
      <w:r>
        <w:rPr>
          <w:w w:val="105"/>
        </w:rPr>
        <w:t>diagnosis</w:t>
      </w:r>
      <w:r>
        <w:rPr>
          <w:spacing w:val="-1"/>
          <w:w w:val="105"/>
        </w:rPr>
        <w:t xml:space="preserve"> </w:t>
      </w:r>
      <w:r>
        <w:rPr>
          <w:w w:val="105"/>
        </w:rPr>
        <w:t>of</w:t>
      </w:r>
      <w:r>
        <w:rPr>
          <w:spacing w:val="-10"/>
          <w:w w:val="105"/>
        </w:rPr>
        <w:t xml:space="preserve"> </w:t>
      </w:r>
      <w:r>
        <w:rPr>
          <w:w w:val="105"/>
        </w:rPr>
        <w:t>Substance-Related</w:t>
      </w:r>
      <w:r>
        <w:rPr>
          <w:spacing w:val="-6"/>
          <w:w w:val="105"/>
        </w:rPr>
        <w:t xml:space="preserve"> </w:t>
      </w:r>
      <w:r>
        <w:rPr>
          <w:w w:val="105"/>
        </w:rPr>
        <w:t>Disorders,</w:t>
      </w:r>
      <w:r>
        <w:rPr>
          <w:spacing w:val="1"/>
          <w:w w:val="105"/>
        </w:rPr>
        <w:t xml:space="preserve"> </w:t>
      </w:r>
      <w:r>
        <w:rPr>
          <w:w w:val="105"/>
        </w:rPr>
        <w:t>see</w:t>
      </w:r>
    </w:p>
    <w:p w:rsidR="00E675F0" w:rsidRDefault="00E675F0" w:rsidP="00E675F0">
      <w:pPr>
        <w:pStyle w:val="BodyText"/>
        <w:spacing w:before="15"/>
        <w:ind w:left="138"/>
      </w:pPr>
      <w:r>
        <w:rPr>
          <w:w w:val="105"/>
        </w:rPr>
        <w:t xml:space="preserve">p.  190.  Hallucinogen-Induced  Disorders  may  be  characterized   by  symptoms </w:t>
      </w:r>
      <w:r>
        <w:rPr>
          <w:spacing w:val="4"/>
          <w:w w:val="105"/>
        </w:rPr>
        <w:t xml:space="preserve"> </w:t>
      </w:r>
      <w:r>
        <w:rPr>
          <w:w w:val="105"/>
        </w:rPr>
        <w:t>(e.g.,</w:t>
      </w:r>
    </w:p>
    <w:p w:rsidR="00E675F0" w:rsidRDefault="00E675F0" w:rsidP="00E675F0">
      <w:pPr>
        <w:sectPr w:rsidR="00E675F0">
          <w:pgSz w:w="8960" w:h="14260"/>
          <w:pgMar w:top="1400" w:right="620" w:bottom="280" w:left="620" w:header="698" w:footer="0" w:gutter="0"/>
          <w:cols w:space="720"/>
        </w:sectPr>
      </w:pPr>
    </w:p>
    <w:p w:rsidR="00E675F0" w:rsidRDefault="00E675F0" w:rsidP="00E675F0">
      <w:pPr>
        <w:pStyle w:val="BodyText"/>
        <w:spacing w:before="137" w:line="256" w:lineRule="auto"/>
        <w:ind w:left="119" w:right="117" w:hanging="1"/>
        <w:jc w:val="both"/>
      </w:pPr>
      <w:bookmarkStart w:id="154" w:name="_bookmark134"/>
      <w:bookmarkEnd w:id="154"/>
      <w:r>
        <w:rPr>
          <w:w w:val="105"/>
        </w:rPr>
        <w:lastRenderedPageBreak/>
        <w:t xml:space="preserve">delusions) that resemble </w:t>
      </w:r>
      <w:r>
        <w:rPr>
          <w:b/>
          <w:w w:val="105"/>
        </w:rPr>
        <w:t xml:space="preserve">primary mental disorders </w:t>
      </w:r>
      <w:r>
        <w:rPr>
          <w:w w:val="105"/>
        </w:rPr>
        <w:t>(e.g., Schizophreniform Disorder versus Hallucinogen-Induced Psychotic Disorder, With Delusions, With Onset During Intoxication). Seep. 193 for a discussion of this differential diagnosis.</w:t>
      </w:r>
    </w:p>
    <w:p w:rsidR="00E675F0" w:rsidRDefault="00E675F0" w:rsidP="00E675F0">
      <w:pPr>
        <w:pStyle w:val="BodyText"/>
        <w:spacing w:line="256" w:lineRule="auto"/>
        <w:ind w:left="108" w:right="116" w:firstLine="374"/>
        <w:jc w:val="both"/>
      </w:pPr>
      <w:r>
        <w:rPr>
          <w:w w:val="105"/>
        </w:rPr>
        <w:t xml:space="preserve">Hallucinogen Intoxication should be differentiated from </w:t>
      </w:r>
      <w:r>
        <w:rPr>
          <w:b/>
          <w:w w:val="105"/>
        </w:rPr>
        <w:t xml:space="preserve">Am.phetamine </w:t>
      </w:r>
      <w:r>
        <w:rPr>
          <w:rFonts w:ascii="Arial" w:hAnsi="Arial"/>
          <w:b/>
          <w:w w:val="105"/>
          <w:sz w:val="17"/>
        </w:rPr>
        <w:t xml:space="preserve">or </w:t>
      </w:r>
      <w:r>
        <w:rPr>
          <w:b/>
          <w:w w:val="105"/>
        </w:rPr>
        <w:t xml:space="preserve">Phen­ cyclidine Intoxication. </w:t>
      </w:r>
      <w:r>
        <w:rPr>
          <w:w w:val="105"/>
        </w:rPr>
        <w:t xml:space="preserve">Toxicological tests are useful in making this distinction. </w:t>
      </w:r>
      <w:r>
        <w:rPr>
          <w:b/>
          <w:w w:val="105"/>
        </w:rPr>
        <w:t xml:space="preserve">Intoxication withanticholinergics </w:t>
      </w:r>
      <w:r>
        <w:rPr>
          <w:w w:val="105"/>
        </w:rPr>
        <w:t xml:space="preserve">can also produce hallucinations, but they are often associated with physical findings of fever, dry mouth and skin, flushed face, and visual disturbances. Hallucinogen Intoxication is distinguished from the </w:t>
      </w:r>
      <w:r>
        <w:rPr>
          <w:b/>
          <w:w w:val="105"/>
        </w:rPr>
        <w:t xml:space="preserve">other Hallucinogen­ Induced Disorders </w:t>
      </w:r>
      <w:r>
        <w:rPr>
          <w:w w:val="105"/>
        </w:rPr>
        <w:t>(e.g., Hallucinogen-Induced Anxiety Disorder, With Onset During Intoxication)</w:t>
      </w:r>
      <w:r>
        <w:rPr>
          <w:spacing w:val="9"/>
          <w:w w:val="105"/>
        </w:rPr>
        <w:t xml:space="preserve"> </w:t>
      </w:r>
      <w:r>
        <w:rPr>
          <w:w w:val="105"/>
        </w:rPr>
        <w:t>because</w:t>
      </w:r>
      <w:r>
        <w:rPr>
          <w:spacing w:val="-6"/>
          <w:w w:val="105"/>
        </w:rPr>
        <w:t xml:space="preserve"> </w:t>
      </w:r>
      <w:r>
        <w:rPr>
          <w:w w:val="105"/>
        </w:rPr>
        <w:t>the</w:t>
      </w:r>
      <w:r>
        <w:rPr>
          <w:spacing w:val="-20"/>
          <w:w w:val="105"/>
        </w:rPr>
        <w:t xml:space="preserve"> </w:t>
      </w:r>
      <w:r>
        <w:rPr>
          <w:w w:val="105"/>
        </w:rPr>
        <w:t>symptoms in</w:t>
      </w:r>
      <w:r>
        <w:rPr>
          <w:spacing w:val="-7"/>
          <w:w w:val="105"/>
        </w:rPr>
        <w:t xml:space="preserve"> </w:t>
      </w:r>
      <w:r>
        <w:rPr>
          <w:w w:val="105"/>
        </w:rPr>
        <w:t>these</w:t>
      </w:r>
      <w:r>
        <w:rPr>
          <w:spacing w:val="-12"/>
          <w:w w:val="105"/>
        </w:rPr>
        <w:t xml:space="preserve"> </w:t>
      </w:r>
      <w:r>
        <w:rPr>
          <w:w w:val="105"/>
        </w:rPr>
        <w:t>latter</w:t>
      </w:r>
      <w:r>
        <w:rPr>
          <w:spacing w:val="-16"/>
          <w:w w:val="105"/>
        </w:rPr>
        <w:t xml:space="preserve"> </w:t>
      </w:r>
      <w:r>
        <w:rPr>
          <w:w w:val="105"/>
        </w:rPr>
        <w:t>disorders</w:t>
      </w:r>
      <w:r>
        <w:rPr>
          <w:spacing w:val="-7"/>
          <w:w w:val="105"/>
        </w:rPr>
        <w:t xml:space="preserve"> </w:t>
      </w:r>
      <w:r>
        <w:rPr>
          <w:w w:val="105"/>
        </w:rPr>
        <w:t>are</w:t>
      </w:r>
      <w:r>
        <w:rPr>
          <w:spacing w:val="-9"/>
          <w:w w:val="105"/>
        </w:rPr>
        <w:t xml:space="preserve"> </w:t>
      </w:r>
      <w:r>
        <w:rPr>
          <w:w w:val="105"/>
        </w:rPr>
        <w:t>in</w:t>
      </w:r>
      <w:r>
        <w:rPr>
          <w:spacing w:val="-13"/>
          <w:w w:val="105"/>
        </w:rPr>
        <w:t xml:space="preserve"> </w:t>
      </w:r>
      <w:r>
        <w:rPr>
          <w:w w:val="105"/>
        </w:rPr>
        <w:t>excess</w:t>
      </w:r>
      <w:r>
        <w:rPr>
          <w:spacing w:val="-12"/>
          <w:w w:val="105"/>
        </w:rPr>
        <w:t xml:space="preserve"> </w:t>
      </w:r>
      <w:r>
        <w:rPr>
          <w:w w:val="105"/>
        </w:rPr>
        <w:t>of</w:t>
      </w:r>
      <w:r>
        <w:rPr>
          <w:spacing w:val="2"/>
          <w:w w:val="105"/>
        </w:rPr>
        <w:t xml:space="preserve"> </w:t>
      </w:r>
      <w:r>
        <w:rPr>
          <w:w w:val="105"/>
        </w:rPr>
        <w:t>those</w:t>
      </w:r>
      <w:r>
        <w:rPr>
          <w:spacing w:val="-5"/>
          <w:w w:val="105"/>
        </w:rPr>
        <w:t xml:space="preserve"> </w:t>
      </w:r>
      <w:r>
        <w:rPr>
          <w:w w:val="105"/>
        </w:rPr>
        <w:t>usually associated with Hallucinogen Intoxication and are severe enough to warrant indepen­ dent clinical</w:t>
      </w:r>
      <w:r>
        <w:rPr>
          <w:spacing w:val="19"/>
          <w:w w:val="105"/>
        </w:rPr>
        <w:t xml:space="preserve"> </w:t>
      </w:r>
      <w:r>
        <w:rPr>
          <w:w w:val="105"/>
        </w:rPr>
        <w:t>attention.</w:t>
      </w:r>
    </w:p>
    <w:p w:rsidR="00E675F0" w:rsidRDefault="00E675F0" w:rsidP="00E675F0">
      <w:pPr>
        <w:pStyle w:val="BodyText"/>
        <w:spacing w:line="254" w:lineRule="auto"/>
        <w:ind w:left="112" w:right="117" w:firstLine="370"/>
        <w:jc w:val="both"/>
      </w:pPr>
      <w:r>
        <w:rPr>
          <w:w w:val="105"/>
        </w:rPr>
        <w:t xml:space="preserve">Hallucinogen Intoxication is distinguished from </w:t>
      </w:r>
      <w:r>
        <w:rPr>
          <w:b/>
          <w:w w:val="105"/>
        </w:rPr>
        <w:t xml:space="preserve">Hallucinogen Persisting Percep­ tion Disorder (Flashbacks) </w:t>
      </w:r>
      <w:r>
        <w:rPr>
          <w:w w:val="105"/>
        </w:rPr>
        <w:t xml:space="preserve">by the fact that the latter continues episodically for weeks (or longer) after the most recent intoxication. In Hallucinogen Persisting Perception Disorder, the individual does not believe that the perception represents external reality, whereas a person with a </w:t>
      </w:r>
      <w:r>
        <w:rPr>
          <w:b/>
          <w:w w:val="105"/>
        </w:rPr>
        <w:t xml:space="preserve">Psychotic Disorder </w:t>
      </w:r>
      <w:r>
        <w:rPr>
          <w:w w:val="105"/>
        </w:rPr>
        <w:t xml:space="preserve">often believes that the perception is real. Hallucinogen Persisting Perception Disorder may be distinguished from </w:t>
      </w:r>
      <w:r>
        <w:rPr>
          <w:b/>
          <w:w w:val="105"/>
        </w:rPr>
        <w:t xml:space="preserve">migraine, epilepsy, </w:t>
      </w:r>
      <w:r>
        <w:rPr>
          <w:w w:val="105"/>
        </w:rPr>
        <w:t xml:space="preserve">or a </w:t>
      </w:r>
      <w:r>
        <w:rPr>
          <w:b/>
          <w:w w:val="105"/>
        </w:rPr>
        <w:t xml:space="preserve">neurological condition </w:t>
      </w:r>
      <w:r>
        <w:rPr>
          <w:w w:val="105"/>
        </w:rPr>
        <w:t>by neuro-ophthalmological history, physical examination, and appropriate laboratory evaluation.</w:t>
      </w:r>
    </w:p>
    <w:p w:rsidR="00E675F0" w:rsidRDefault="00E675F0" w:rsidP="00E675F0">
      <w:pPr>
        <w:pStyle w:val="BodyText"/>
        <w:rPr>
          <w:sz w:val="22"/>
        </w:rPr>
      </w:pPr>
    </w:p>
    <w:p w:rsidR="00E675F0" w:rsidRDefault="00E675F0" w:rsidP="00E675F0">
      <w:pPr>
        <w:pStyle w:val="BodyText"/>
        <w:spacing w:before="10"/>
        <w:rPr>
          <w:sz w:val="21"/>
        </w:rPr>
      </w:pPr>
    </w:p>
    <w:p w:rsidR="00E675F0" w:rsidRDefault="00E675F0" w:rsidP="00E675F0">
      <w:pPr>
        <w:tabs>
          <w:tab w:val="left" w:pos="2353"/>
        </w:tabs>
        <w:spacing w:line="252" w:lineRule="auto"/>
        <w:ind w:left="2353" w:right="1440" w:hanging="917"/>
        <w:rPr>
          <w:rFonts w:ascii="Arial"/>
          <w:b/>
          <w:sz w:val="25"/>
        </w:rPr>
      </w:pPr>
      <w:r>
        <w:rPr>
          <w:rFonts w:ascii="Arial"/>
          <w:b/>
          <w:w w:val="110"/>
          <w:sz w:val="25"/>
        </w:rPr>
        <w:t>292.9</w:t>
      </w:r>
      <w:r>
        <w:rPr>
          <w:rFonts w:ascii="Arial"/>
          <w:b/>
          <w:w w:val="110"/>
          <w:sz w:val="25"/>
        </w:rPr>
        <w:tab/>
      </w:r>
      <w:r>
        <w:rPr>
          <w:rFonts w:ascii="Arial"/>
          <w:b/>
          <w:w w:val="105"/>
          <w:sz w:val="25"/>
        </w:rPr>
        <w:t xml:space="preserve">Hallucinogen-Related Disorder </w:t>
      </w:r>
      <w:r>
        <w:rPr>
          <w:rFonts w:ascii="Arial"/>
          <w:b/>
          <w:w w:val="110"/>
          <w:sz w:val="25"/>
        </w:rPr>
        <w:t>Not Otherwise</w:t>
      </w:r>
      <w:r>
        <w:rPr>
          <w:rFonts w:ascii="Arial"/>
          <w:b/>
          <w:spacing w:val="-9"/>
          <w:w w:val="110"/>
          <w:sz w:val="25"/>
        </w:rPr>
        <w:t xml:space="preserve"> </w:t>
      </w:r>
      <w:r>
        <w:rPr>
          <w:rFonts w:ascii="Arial"/>
          <w:b/>
          <w:w w:val="110"/>
          <w:sz w:val="25"/>
        </w:rPr>
        <w:t>Specified</w:t>
      </w:r>
    </w:p>
    <w:p w:rsidR="00E675F0" w:rsidRDefault="00E675F0" w:rsidP="00E675F0">
      <w:pPr>
        <w:pStyle w:val="BodyText"/>
        <w:spacing w:before="2"/>
        <w:rPr>
          <w:rFonts w:ascii="Arial"/>
          <w:b/>
          <w:sz w:val="23"/>
        </w:rPr>
      </w:pPr>
    </w:p>
    <w:p w:rsidR="00E675F0" w:rsidRDefault="00E675F0" w:rsidP="00E675F0">
      <w:pPr>
        <w:pStyle w:val="BodyText"/>
        <w:spacing w:line="249" w:lineRule="auto"/>
        <w:ind w:left="113" w:right="112" w:hanging="4"/>
        <w:jc w:val="both"/>
      </w:pPr>
      <w:r>
        <w:rPr>
          <w:w w:val="105"/>
        </w:rPr>
        <w:t>The Hallucinogen-Related Disorder Not Otherwise Specified category is for disorders associated with the use of hallucinogens that are not classifiable as Hallucinogen Dependence, Hallucinogen Abuse, Hallucinogen Intoxication, Hallucinogen Persisting Perception Disorder, Hallucinogen Intoxication Delirium, Hallucinogen-Induced Psy­ chotic Disorder, Hallucinogen-Induced Mood Disorder, or Hallucinogen-Induced Anxi­ ety Disorder.</w:t>
      </w:r>
    </w:p>
    <w:p w:rsidR="00E675F0" w:rsidRDefault="00E675F0" w:rsidP="00E675F0">
      <w:pPr>
        <w:pStyle w:val="BodyText"/>
      </w:pPr>
    </w:p>
    <w:p w:rsidR="00E675F0" w:rsidRDefault="00E675F0" w:rsidP="00E675F0">
      <w:pPr>
        <w:pStyle w:val="BodyText"/>
        <w:rPr>
          <w:sz w:val="27"/>
        </w:rPr>
      </w:pPr>
      <w:r>
        <w:rPr>
          <w:noProof/>
        </w:rPr>
        <mc:AlternateContent>
          <mc:Choice Requires="wps">
            <w:drawing>
              <wp:anchor distT="0" distB="0" distL="0" distR="0" simplePos="0" relativeHeight="251886592" behindDoc="1" locked="0" layoutInCell="1" allowOverlap="1" wp14:anchorId="06297EA1" wp14:editId="00EB8BF5">
                <wp:simplePos x="0" y="0"/>
                <wp:positionH relativeFrom="page">
                  <wp:posOffset>488950</wp:posOffset>
                </wp:positionH>
                <wp:positionV relativeFrom="paragraph">
                  <wp:posOffset>227330</wp:posOffset>
                </wp:positionV>
                <wp:extent cx="1173480" cy="1270"/>
                <wp:effectExtent l="0" t="0" r="0" b="0"/>
                <wp:wrapTopAndBottom/>
                <wp:docPr id="1324" name="Freeform 1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73480" cy="1270"/>
                        </a:xfrm>
                        <a:custGeom>
                          <a:avLst/>
                          <a:gdLst>
                            <a:gd name="T0" fmla="+- 0 770 770"/>
                            <a:gd name="T1" fmla="*/ T0 w 1848"/>
                            <a:gd name="T2" fmla="+- 0 2617 770"/>
                            <a:gd name="T3" fmla="*/ T2 w 1848"/>
                          </a:gdLst>
                          <a:ahLst/>
                          <a:cxnLst>
                            <a:cxn ang="0">
                              <a:pos x="T1" y="0"/>
                            </a:cxn>
                            <a:cxn ang="0">
                              <a:pos x="T3" y="0"/>
                            </a:cxn>
                          </a:cxnLst>
                          <a:rect l="0" t="0" r="r" b="b"/>
                          <a:pathLst>
                            <a:path w="1848">
                              <a:moveTo>
                                <a:pt x="0" y="0"/>
                              </a:moveTo>
                              <a:lnTo>
                                <a:pt x="1847" y="0"/>
                              </a:lnTo>
                            </a:path>
                          </a:pathLst>
                        </a:custGeom>
                        <a:noFill/>
                        <a:ln w="915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BF54FE" id="Freeform 1280" o:spid="_x0000_s1026" style="position:absolute;margin-left:38.5pt;margin-top:17.9pt;width:92.4pt;height:.1pt;z-index:-251429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48,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" path="m,l1847,e" filled="f" strokeweight=".25433mm">
                <v:path arrowok="t" o:connecttype="custom" o:connectlocs="0,0;1172845,0" o:connectangles="0,0"/>
                <w10:wrap type="topAndBottom" anchorx="page"/>
              </v:shape>
            </w:pict>
          </mc:Fallback>
        </mc:AlternateContent>
      </w:r>
      <w:r>
        <w:rPr>
          <w:noProof/>
        </w:rPr>
        <mc:AlternateContent>
          <mc:Choice Requires="wps">
            <w:drawing>
              <wp:anchor distT="0" distB="0" distL="0" distR="0" simplePos="0" relativeHeight="251887616" behindDoc="1" locked="0" layoutInCell="1" allowOverlap="1" wp14:anchorId="6764E296" wp14:editId="24557142">
                <wp:simplePos x="0" y="0"/>
                <wp:positionH relativeFrom="page">
                  <wp:posOffset>4142105</wp:posOffset>
                </wp:positionH>
                <wp:positionV relativeFrom="paragraph">
                  <wp:posOffset>227330</wp:posOffset>
                </wp:positionV>
                <wp:extent cx="1087755" cy="1270"/>
                <wp:effectExtent l="0" t="0" r="4445" b="0"/>
                <wp:wrapTopAndBottom/>
                <wp:docPr id="1323" name="Freeform 1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7755" cy="1270"/>
                        </a:xfrm>
                        <a:custGeom>
                          <a:avLst/>
                          <a:gdLst>
                            <a:gd name="T0" fmla="+- 0 6523 6523"/>
                            <a:gd name="T1" fmla="*/ T0 w 1713"/>
                            <a:gd name="T2" fmla="+- 0 8235 6523"/>
                            <a:gd name="T3" fmla="*/ T2 w 1713"/>
                          </a:gdLst>
                          <a:ahLst/>
                          <a:cxnLst>
                            <a:cxn ang="0">
                              <a:pos x="T1" y="0"/>
                            </a:cxn>
                            <a:cxn ang="0">
                              <a:pos x="T3" y="0"/>
                            </a:cxn>
                          </a:cxnLst>
                          <a:rect l="0" t="0" r="r" b="b"/>
                          <a:pathLst>
                            <a:path w="1713">
                              <a:moveTo>
                                <a:pt x="0" y="0"/>
                              </a:moveTo>
                              <a:lnTo>
                                <a:pt x="1712" y="0"/>
                              </a:lnTo>
                            </a:path>
                          </a:pathLst>
                        </a:custGeom>
                        <a:noFill/>
                        <a:ln w="61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D4F97" id="Freeform 1279" o:spid="_x0000_s1026" style="position:absolute;margin-left:326.15pt;margin-top:17.9pt;width:85.65pt;height:.1pt;z-index:-251428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13,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" path="m,l1712,e" filled="f" strokeweight=".16956mm">
                <v:path arrowok="t" o:connecttype="custom" o:connectlocs="0,0;1087120,0" o:connectangles="0,0"/>
                <w10:wrap type="topAndBottom" anchorx="page"/>
              </v:shape>
            </w:pict>
          </mc:Fallback>
        </mc:AlternateContent>
      </w:r>
    </w:p>
    <w:p w:rsidR="00E675F0" w:rsidRDefault="00E675F0" w:rsidP="00E675F0">
      <w:pPr>
        <w:spacing w:before="89"/>
        <w:ind w:left="136" w:right="113"/>
        <w:jc w:val="center"/>
        <w:rPr>
          <w:rFonts w:ascii="Arial"/>
          <w:b/>
          <w:sz w:val="25"/>
        </w:rPr>
      </w:pPr>
      <w:r>
        <w:rPr>
          <w:rFonts w:ascii="Arial"/>
          <w:b/>
          <w:color w:val="111111"/>
          <w:w w:val="105"/>
          <w:sz w:val="25"/>
        </w:rPr>
        <w:t xml:space="preserve">Inhalant </w:t>
      </w:r>
      <w:r>
        <w:rPr>
          <w:rFonts w:ascii="Arial"/>
          <w:b/>
          <w:color w:val="2F2F2F"/>
          <w:w w:val="105"/>
          <w:sz w:val="25"/>
        </w:rPr>
        <w:t>-</w:t>
      </w:r>
      <w:r>
        <w:rPr>
          <w:rFonts w:ascii="Arial"/>
          <w:b/>
          <w:color w:val="111111"/>
          <w:w w:val="105"/>
          <w:sz w:val="25"/>
        </w:rPr>
        <w:t xml:space="preserve">Related </w:t>
      </w:r>
      <w:r>
        <w:rPr>
          <w:rFonts w:ascii="Arial"/>
          <w:b/>
          <w:w w:val="105"/>
          <w:sz w:val="25"/>
        </w:rPr>
        <w:t>Disorders</w:t>
      </w:r>
    </w:p>
    <w:p w:rsidR="00E675F0" w:rsidRDefault="00E675F0" w:rsidP="00E675F0">
      <w:pPr>
        <w:pStyle w:val="BodyText"/>
        <w:spacing w:before="6"/>
        <w:rPr>
          <w:rFonts w:ascii="Arial"/>
          <w:b/>
          <w:sz w:val="25"/>
        </w:rPr>
      </w:pPr>
    </w:p>
    <w:p w:rsidR="00E675F0" w:rsidRDefault="00E675F0" w:rsidP="00E675F0">
      <w:pPr>
        <w:pStyle w:val="BodyText"/>
        <w:spacing w:line="254" w:lineRule="auto"/>
        <w:ind w:left="113" w:right="111" w:firstLine="1"/>
        <w:jc w:val="both"/>
      </w:pPr>
      <w:r>
        <w:rPr>
          <w:w w:val="105"/>
        </w:rPr>
        <w:t xml:space="preserve">This section includes disorders induced by inhaling the aliphatic and aromatic hydro­ carbons found in substances such as gasoline, glue, paint thinners,  and spray  paints. Less commonly used are halogenated hydrocarbons (found in cleaners, typewriter correction fluid, spray-can propellants) and other volatile compounds containing esters, ketones, and glycols. Most compounds that are inhaled are a mixture of several substances that can produce psychoactive effects, and it is often difficult to ascertain the exact substance responsible for the disorder. Unless there is clear evidence that a single, unmixed substance has been used, the general term </w:t>
      </w:r>
      <w:r>
        <w:rPr>
          <w:i/>
          <w:w w:val="105"/>
        </w:rPr>
        <w:t xml:space="preserve">inhalant </w:t>
      </w:r>
      <w:r>
        <w:rPr>
          <w:w w:val="105"/>
        </w:rPr>
        <w:t>should be  used  in recording the diagnosis. These volatile substances are available in a wide variety of commercial products and may be used interchangeably, depending on availability and personal preference. Although there may be subtle differences in the psychoactive and physical effects of the different compounds, not enough is known about their</w:t>
      </w:r>
      <w:r>
        <w:rPr>
          <w:spacing w:val="-12"/>
          <w:w w:val="105"/>
        </w:rPr>
        <w:t xml:space="preserve"> </w:t>
      </w:r>
      <w:r>
        <w:rPr>
          <w:w w:val="105"/>
        </w:rPr>
        <w:t>differential</w:t>
      </w:r>
    </w:p>
    <w:p w:rsidR="00E675F0" w:rsidRDefault="00E675F0" w:rsidP="00E675F0">
      <w:pPr>
        <w:spacing w:line="254" w:lineRule="auto"/>
        <w:jc w:val="both"/>
        <w:sectPr w:rsidR="00E675F0">
          <w:pgSz w:w="8960" w:h="14260"/>
          <w:pgMar w:top="1400" w:right="620" w:bottom="280" w:left="620" w:header="695" w:footer="0" w:gutter="0"/>
          <w:cols w:space="720"/>
        </w:sectPr>
      </w:pPr>
    </w:p>
    <w:p w:rsidR="00E675F0" w:rsidRDefault="00E675F0" w:rsidP="00E675F0">
      <w:pPr>
        <w:pStyle w:val="BodyText"/>
        <w:spacing w:before="139" w:line="252" w:lineRule="auto"/>
        <w:ind w:left="104" w:right="119" w:hanging="1"/>
        <w:jc w:val="both"/>
      </w:pPr>
      <w:r>
        <w:rPr>
          <w:w w:val="105"/>
        </w:rPr>
        <w:lastRenderedPageBreak/>
        <w:t>effects to distinguish among them. All are capable of producing Dependence, Abuse, and</w:t>
      </w:r>
      <w:r>
        <w:rPr>
          <w:spacing w:val="11"/>
          <w:w w:val="105"/>
        </w:rPr>
        <w:t xml:space="preserve"> </w:t>
      </w:r>
      <w:r>
        <w:rPr>
          <w:w w:val="105"/>
        </w:rPr>
        <w:t>Intoxication.</w:t>
      </w:r>
    </w:p>
    <w:p w:rsidR="00E675F0" w:rsidRDefault="00E675F0" w:rsidP="00E675F0">
      <w:pPr>
        <w:pStyle w:val="BodyText"/>
        <w:spacing w:line="254" w:lineRule="auto"/>
        <w:ind w:left="101" w:right="103" w:firstLine="363"/>
        <w:jc w:val="both"/>
      </w:pPr>
      <w:r>
        <w:rPr>
          <w:w w:val="105"/>
        </w:rPr>
        <w:t>Several methods are used to inhale intoxicating vapors. Most commonly, a rag soaked with the substance is applied to the mouth and nose, and the vapors are breathed in. The substance may also be placed in a paper or plastic bag and the gases in the bag inhaled. Substances may also be inhaled directly from containers or from aerosols sprayed in the mouth or nose. There are reports of individuals heating these compounds to accelerate vaporization. The inhalants reach the lungs, bloodstream, and target sites very rapidly.</w:t>
      </w:r>
    </w:p>
    <w:p w:rsidR="00E675F0" w:rsidRDefault="00E675F0" w:rsidP="00E675F0">
      <w:pPr>
        <w:pStyle w:val="BodyText"/>
        <w:spacing w:line="254" w:lineRule="auto"/>
        <w:ind w:left="106" w:right="114" w:firstLine="359"/>
        <w:jc w:val="both"/>
      </w:pPr>
      <w:r>
        <w:rPr>
          <w:w w:val="105"/>
        </w:rPr>
        <w:t>This section contains discussions specific to the Inhalant-Related Disorders. Texts and criteria sets have already been provided for generic aspects of Substance Depen­ dence (p. 176) and Substance Abuse (p. 182) that apply across all substances. Texts specific to Inhalant Dependence and Abuse are provided below; however, there are no additional specific criteria sets for Inhalant Dependence or Inhalant Abuse. A specific text and criteria set for Inhalant Intoxication is also provided below. Tolerance has been reported among individuals with heavy use, but a withdrawal syndrome from these substances has not been well documented. For this reason, the diagnosis of inhalant withdrawal is not included in this manual. The Inhalant-Induced Disorders (other than Inhalant Intoxication) are described in the sections of the manual with disorders with which they share phenomenology (e.g., Inhalant-Induced Mood Disorder is included in the "Mood Disorders" section). Listed below are the Inhalant Use Disorders and the Inhalant-Induced Disorders. Reflecting their different modes of action and profiles of associated problems, disorders resulting from the use of anesthetic gases (e.g., nitrous oxide, ether) and short-acting vasodilators (e.g., amyl or butyl nitrite) are excluded from the category of Inhalant-Related Disorders and should be classified under Other Substance-Related Disorders.</w:t>
      </w:r>
    </w:p>
    <w:p w:rsidR="00E675F0" w:rsidRDefault="00E675F0" w:rsidP="00E675F0">
      <w:pPr>
        <w:pStyle w:val="BodyText"/>
        <w:rPr>
          <w:sz w:val="22"/>
        </w:rPr>
      </w:pPr>
    </w:p>
    <w:p w:rsidR="00E675F0" w:rsidRDefault="00E675F0" w:rsidP="00E675F0">
      <w:pPr>
        <w:pStyle w:val="BodyText"/>
        <w:spacing w:before="4"/>
        <w:rPr>
          <w:sz w:val="23"/>
        </w:rPr>
      </w:pPr>
    </w:p>
    <w:p w:rsidR="00E675F0" w:rsidRDefault="00E675F0" w:rsidP="00E675F0">
      <w:pPr>
        <w:spacing w:before="1"/>
        <w:ind w:left="105"/>
        <w:jc w:val="both"/>
        <w:rPr>
          <w:rFonts w:ascii="TimesNewRomanPS-BoldItalicMT"/>
          <w:b/>
          <w:i/>
          <w:sz w:val="24"/>
        </w:rPr>
      </w:pPr>
      <w:r>
        <w:rPr>
          <w:rFonts w:ascii="TimesNewRomanPS-BoldItalicMT"/>
          <w:b/>
          <w:i/>
          <w:w w:val="110"/>
          <w:sz w:val="24"/>
        </w:rPr>
        <w:t>Inhalant Use Di,sorders</w:t>
      </w:r>
    </w:p>
    <w:p w:rsidR="00E675F0" w:rsidRDefault="00E675F0" w:rsidP="00E675F0">
      <w:pPr>
        <w:jc w:val="both"/>
        <w:rPr>
          <w:rFonts w:ascii="TimesNewRomanPS-BoldItalicMT"/>
          <w:sz w:val="24"/>
        </w:rPr>
        <w:sectPr w:rsidR="00E675F0">
          <w:headerReference w:type="even" r:id="rId193"/>
          <w:headerReference w:type="default" r:id="rId194"/>
          <w:pgSz w:w="8960" w:h="14260"/>
          <w:pgMar w:top="1400" w:right="640" w:bottom="280" w:left="620" w:header="695" w:footer="0" w:gutter="0"/>
          <w:pgNumType w:start="237"/>
          <w:cols w:space="720"/>
        </w:sectPr>
      </w:pPr>
    </w:p>
    <w:p w:rsidR="00E675F0" w:rsidRDefault="00E675F0" w:rsidP="00E675F0">
      <w:pPr>
        <w:pStyle w:val="BodyText"/>
        <w:spacing w:before="4"/>
        <w:rPr>
          <w:rFonts w:ascii="TimesNewRomanPS-BoldItalicMT"/>
          <w:b/>
          <w:i/>
          <w:sz w:val="16"/>
        </w:rPr>
      </w:pPr>
    </w:p>
    <w:p w:rsidR="00E675F0" w:rsidRDefault="00E675F0" w:rsidP="00E675F0">
      <w:pPr>
        <w:ind w:left="122"/>
        <w:rPr>
          <w:b/>
          <w:sz w:val="19"/>
        </w:rPr>
      </w:pPr>
      <w:r>
        <w:rPr>
          <w:b/>
          <w:w w:val="115"/>
          <w:sz w:val="19"/>
        </w:rPr>
        <w:t>304.60</w:t>
      </w:r>
    </w:p>
    <w:p w:rsidR="00E675F0" w:rsidRDefault="00E675F0" w:rsidP="00E675F0">
      <w:pPr>
        <w:spacing w:before="18"/>
        <w:ind w:left="117"/>
        <w:rPr>
          <w:b/>
          <w:sz w:val="20"/>
        </w:rPr>
      </w:pPr>
      <w:r>
        <w:rPr>
          <w:b/>
          <w:w w:val="110"/>
          <w:sz w:val="20"/>
        </w:rPr>
        <w:t>305.90</w:t>
      </w:r>
    </w:p>
    <w:p w:rsidR="00E675F0" w:rsidRDefault="00E675F0" w:rsidP="00E675F0">
      <w:pPr>
        <w:spacing w:before="174"/>
        <w:ind w:left="122"/>
        <w:rPr>
          <w:sz w:val="20"/>
        </w:rPr>
      </w:pPr>
      <w:r>
        <w:br w:type="column"/>
      </w:r>
      <w:r>
        <w:rPr>
          <w:b/>
          <w:w w:val="110"/>
          <w:sz w:val="20"/>
        </w:rPr>
        <w:t xml:space="preserve">Inhalant Dependence </w:t>
      </w:r>
      <w:r>
        <w:rPr>
          <w:w w:val="110"/>
          <w:sz w:val="20"/>
        </w:rPr>
        <w:t>(see p. 238)</w:t>
      </w:r>
    </w:p>
    <w:p w:rsidR="00E675F0" w:rsidRDefault="00E675F0" w:rsidP="00E675F0">
      <w:pPr>
        <w:spacing w:before="11"/>
        <w:ind w:left="117"/>
        <w:rPr>
          <w:sz w:val="20"/>
        </w:rPr>
      </w:pPr>
      <w:r>
        <w:rPr>
          <w:b/>
          <w:w w:val="110"/>
          <w:sz w:val="20"/>
        </w:rPr>
        <w:t xml:space="preserve">Inhalant Abuse </w:t>
      </w:r>
      <w:r>
        <w:rPr>
          <w:w w:val="110"/>
          <w:sz w:val="20"/>
        </w:rPr>
        <w:t>(see p. 238)</w:t>
      </w:r>
    </w:p>
    <w:p w:rsidR="00E675F0" w:rsidRDefault="00E675F0" w:rsidP="00E675F0">
      <w:pPr>
        <w:rPr>
          <w:sz w:val="20"/>
        </w:rPr>
        <w:sectPr w:rsidR="00E675F0">
          <w:type w:val="continuous"/>
          <w:pgSz w:w="8960" w:h="14260"/>
          <w:pgMar w:top="640" w:right="640" w:bottom="0" w:left="620" w:header="720" w:footer="720" w:gutter="0"/>
          <w:cols w:num="2" w:space="720" w:equalWidth="0">
            <w:col w:w="771" w:space="66"/>
            <w:col w:w="6863"/>
          </w:cols>
        </w:sectPr>
      </w:pPr>
    </w:p>
    <w:p w:rsidR="00E675F0" w:rsidRDefault="00E675F0" w:rsidP="00E675F0">
      <w:pPr>
        <w:pStyle w:val="BodyText"/>
      </w:pPr>
    </w:p>
    <w:p w:rsidR="00E675F0" w:rsidRDefault="00E675F0" w:rsidP="00E675F0">
      <w:pPr>
        <w:pStyle w:val="BodyText"/>
        <w:rPr>
          <w:sz w:val="17"/>
        </w:rPr>
      </w:pPr>
    </w:p>
    <w:p w:rsidR="00E675F0" w:rsidRDefault="00E675F0" w:rsidP="00E675F0">
      <w:pPr>
        <w:spacing w:before="90"/>
        <w:ind w:left="100"/>
        <w:rPr>
          <w:rFonts w:ascii="TimesNewRomanPS-BoldItalicMT"/>
          <w:b/>
          <w:i/>
          <w:sz w:val="24"/>
        </w:rPr>
      </w:pPr>
      <w:r>
        <w:rPr>
          <w:rFonts w:ascii="TimesNewRomanPS-BoldItalicMT"/>
          <w:b/>
          <w:i/>
          <w:w w:val="120"/>
          <w:sz w:val="24"/>
        </w:rPr>
        <w:t>Inhalant-Induced msorders</w:t>
      </w:r>
    </w:p>
    <w:p w:rsidR="00E675F0" w:rsidRDefault="00E675F0" w:rsidP="00E675F0">
      <w:pPr>
        <w:rPr>
          <w:rFonts w:ascii="TimesNewRomanPS-BoldItalicMT"/>
          <w:sz w:val="24"/>
        </w:rPr>
        <w:sectPr w:rsidR="00E675F0">
          <w:type w:val="continuous"/>
          <w:pgSz w:w="8960" w:h="14260"/>
          <w:pgMar w:top="640" w:right="640" w:bottom="0" w:left="620" w:header="720" w:footer="720" w:gutter="0"/>
          <w:cols w:space="720"/>
        </w:sectPr>
      </w:pPr>
    </w:p>
    <w:p w:rsidR="00E675F0" w:rsidRDefault="00E675F0" w:rsidP="00E675F0">
      <w:pPr>
        <w:pStyle w:val="BodyText"/>
        <w:spacing w:before="10"/>
        <w:rPr>
          <w:rFonts w:ascii="TimesNewRomanPS-BoldItalicMT"/>
          <w:b/>
          <w:i/>
          <w:sz w:val="16"/>
        </w:rPr>
      </w:pPr>
    </w:p>
    <w:p w:rsidR="00E675F0" w:rsidRDefault="00E675F0" w:rsidP="00E675F0">
      <w:pPr>
        <w:ind w:left="120"/>
        <w:rPr>
          <w:b/>
          <w:sz w:val="19"/>
        </w:rPr>
      </w:pPr>
      <w:r>
        <w:rPr>
          <w:b/>
          <w:w w:val="115"/>
          <w:sz w:val="19"/>
        </w:rPr>
        <w:t>292.89</w:t>
      </w:r>
    </w:p>
    <w:p w:rsidR="00E675F0" w:rsidRDefault="00E675F0" w:rsidP="00E675F0">
      <w:pPr>
        <w:spacing w:before="17"/>
        <w:ind w:left="120"/>
        <w:rPr>
          <w:b/>
          <w:sz w:val="19"/>
        </w:rPr>
      </w:pPr>
      <w:r>
        <w:rPr>
          <w:b/>
          <w:w w:val="115"/>
          <w:sz w:val="19"/>
        </w:rPr>
        <w:t>292.81</w:t>
      </w:r>
    </w:p>
    <w:p w:rsidR="00E675F0" w:rsidRDefault="00E675F0" w:rsidP="00E675F0">
      <w:pPr>
        <w:spacing w:before="27"/>
        <w:ind w:left="120"/>
        <w:rPr>
          <w:b/>
          <w:sz w:val="19"/>
        </w:rPr>
      </w:pPr>
      <w:r>
        <w:rPr>
          <w:b/>
          <w:w w:val="115"/>
          <w:sz w:val="19"/>
        </w:rPr>
        <w:t>292.82</w:t>
      </w:r>
    </w:p>
    <w:p w:rsidR="00E675F0" w:rsidRDefault="00E675F0" w:rsidP="00E675F0">
      <w:pPr>
        <w:spacing w:before="22"/>
        <w:ind w:left="120"/>
        <w:rPr>
          <w:b/>
          <w:sz w:val="19"/>
        </w:rPr>
      </w:pPr>
      <w:r>
        <w:rPr>
          <w:b/>
          <w:w w:val="115"/>
          <w:sz w:val="19"/>
        </w:rPr>
        <w:t>292.11</w:t>
      </w:r>
    </w:p>
    <w:p w:rsidR="00E675F0" w:rsidRDefault="00E675F0" w:rsidP="00E675F0">
      <w:pPr>
        <w:pStyle w:val="BodyText"/>
        <w:spacing w:before="7"/>
        <w:rPr>
          <w:b/>
          <w:sz w:val="23"/>
        </w:rPr>
      </w:pPr>
    </w:p>
    <w:p w:rsidR="00E675F0" w:rsidRDefault="00E675F0" w:rsidP="00E675F0">
      <w:pPr>
        <w:ind w:left="120"/>
        <w:rPr>
          <w:b/>
          <w:sz w:val="19"/>
        </w:rPr>
      </w:pPr>
      <w:r>
        <w:rPr>
          <w:b/>
          <w:w w:val="115"/>
          <w:sz w:val="19"/>
        </w:rPr>
        <w:t>292.12</w:t>
      </w:r>
    </w:p>
    <w:p w:rsidR="00E675F0" w:rsidRDefault="00E675F0" w:rsidP="00E675F0">
      <w:pPr>
        <w:pStyle w:val="BodyText"/>
        <w:spacing w:before="7"/>
        <w:rPr>
          <w:b/>
          <w:sz w:val="23"/>
        </w:rPr>
      </w:pPr>
    </w:p>
    <w:p w:rsidR="00E675F0" w:rsidRDefault="00E675F0" w:rsidP="00E675F0">
      <w:pPr>
        <w:ind w:left="120"/>
        <w:rPr>
          <w:b/>
          <w:sz w:val="19"/>
        </w:rPr>
      </w:pPr>
      <w:r>
        <w:rPr>
          <w:b/>
          <w:w w:val="115"/>
          <w:sz w:val="19"/>
        </w:rPr>
        <w:t>292.84</w:t>
      </w:r>
    </w:p>
    <w:p w:rsidR="00E675F0" w:rsidRDefault="00E675F0" w:rsidP="00E675F0">
      <w:pPr>
        <w:pStyle w:val="BodyText"/>
        <w:spacing w:before="1"/>
        <w:rPr>
          <w:b/>
          <w:sz w:val="24"/>
        </w:rPr>
      </w:pPr>
    </w:p>
    <w:p w:rsidR="00E675F0" w:rsidRDefault="00E675F0" w:rsidP="00E675F0">
      <w:pPr>
        <w:ind w:left="120"/>
        <w:rPr>
          <w:b/>
          <w:sz w:val="19"/>
        </w:rPr>
      </w:pPr>
      <w:r>
        <w:rPr>
          <w:b/>
          <w:w w:val="115"/>
          <w:sz w:val="19"/>
        </w:rPr>
        <w:t>292.89</w:t>
      </w:r>
    </w:p>
    <w:p w:rsidR="00E675F0" w:rsidRDefault="00E675F0" w:rsidP="00E675F0">
      <w:pPr>
        <w:pStyle w:val="BodyText"/>
        <w:rPr>
          <w:b/>
        </w:rPr>
      </w:pPr>
    </w:p>
    <w:p w:rsidR="00E675F0" w:rsidRDefault="00E675F0" w:rsidP="00E675F0">
      <w:pPr>
        <w:pStyle w:val="BodyText"/>
        <w:spacing w:before="11"/>
        <w:rPr>
          <w:b/>
          <w:sz w:val="24"/>
        </w:rPr>
      </w:pPr>
    </w:p>
    <w:p w:rsidR="00E675F0" w:rsidRDefault="00E675F0" w:rsidP="00E675F0">
      <w:pPr>
        <w:ind w:left="120"/>
        <w:rPr>
          <w:b/>
          <w:sz w:val="19"/>
        </w:rPr>
      </w:pPr>
      <w:r>
        <w:rPr>
          <w:b/>
          <w:w w:val="115"/>
          <w:sz w:val="19"/>
        </w:rPr>
        <w:t>292.9</w:t>
      </w:r>
    </w:p>
    <w:p w:rsidR="00E675F0" w:rsidRDefault="00E675F0" w:rsidP="00E675F0">
      <w:pPr>
        <w:spacing w:before="175"/>
        <w:ind w:left="125"/>
        <w:rPr>
          <w:sz w:val="20"/>
        </w:rPr>
      </w:pPr>
      <w:r>
        <w:br w:type="column"/>
      </w:r>
      <w:r>
        <w:rPr>
          <w:b/>
          <w:w w:val="115"/>
          <w:sz w:val="20"/>
        </w:rPr>
        <w:t xml:space="preserve">Inhalantlntoxication </w:t>
      </w:r>
      <w:r>
        <w:rPr>
          <w:w w:val="115"/>
          <w:sz w:val="20"/>
        </w:rPr>
        <w:t>(seep. 239)</w:t>
      </w:r>
    </w:p>
    <w:p w:rsidR="00E675F0" w:rsidRDefault="00E675F0" w:rsidP="00E675F0">
      <w:pPr>
        <w:spacing w:before="6"/>
        <w:ind w:left="120"/>
        <w:rPr>
          <w:sz w:val="20"/>
        </w:rPr>
      </w:pPr>
      <w:r>
        <w:rPr>
          <w:b/>
          <w:w w:val="110"/>
          <w:sz w:val="20"/>
        </w:rPr>
        <w:t xml:space="preserve">Inhalant Intoxication Delirium </w:t>
      </w:r>
      <w:r>
        <w:rPr>
          <w:w w:val="110"/>
          <w:sz w:val="20"/>
        </w:rPr>
        <w:t>(seep. 129)</w:t>
      </w:r>
    </w:p>
    <w:p w:rsidR="00E675F0" w:rsidRDefault="00E675F0" w:rsidP="00E675F0">
      <w:pPr>
        <w:spacing w:before="15"/>
        <w:ind w:left="125"/>
        <w:rPr>
          <w:sz w:val="20"/>
        </w:rPr>
      </w:pPr>
      <w:r>
        <w:rPr>
          <w:b/>
          <w:w w:val="110"/>
          <w:sz w:val="20"/>
        </w:rPr>
        <w:t xml:space="preserve">Inhalant-Induced Persisting Dementia </w:t>
      </w:r>
      <w:r>
        <w:rPr>
          <w:w w:val="110"/>
          <w:sz w:val="20"/>
        </w:rPr>
        <w:t>(see p. 152)</w:t>
      </w:r>
    </w:p>
    <w:p w:rsidR="00E675F0" w:rsidRDefault="00E675F0" w:rsidP="00E675F0">
      <w:pPr>
        <w:spacing w:before="15" w:line="218" w:lineRule="exact"/>
        <w:ind w:left="125"/>
        <w:rPr>
          <w:sz w:val="20"/>
        </w:rPr>
      </w:pPr>
      <w:r>
        <w:rPr>
          <w:b/>
          <w:w w:val="110"/>
          <w:sz w:val="20"/>
        </w:rPr>
        <w:t xml:space="preserve">Inhalant-Induced Psychotic Disorder, With Delusions </w:t>
      </w:r>
      <w:r>
        <w:rPr>
          <w:w w:val="110"/>
          <w:sz w:val="20"/>
        </w:rPr>
        <w:t>(seep. 310)</w:t>
      </w:r>
    </w:p>
    <w:p w:rsidR="00E675F0" w:rsidRDefault="00E675F0" w:rsidP="00E675F0">
      <w:pPr>
        <w:spacing w:line="264" w:lineRule="exact"/>
        <w:ind w:left="142"/>
        <w:rPr>
          <w:sz w:val="20"/>
        </w:rPr>
      </w:pPr>
      <w:r>
        <w:rPr>
          <w:i/>
          <w:w w:val="105"/>
          <w:sz w:val="19"/>
        </w:rPr>
        <w:t xml:space="preserve">Specify </w:t>
      </w:r>
      <w:r>
        <w:rPr>
          <w:rFonts w:ascii="Arial"/>
          <w:i/>
          <w:w w:val="105"/>
          <w:sz w:val="24"/>
        </w:rPr>
        <w:t xml:space="preserve">if </w:t>
      </w:r>
      <w:r>
        <w:rPr>
          <w:w w:val="105"/>
          <w:sz w:val="20"/>
        </w:rPr>
        <w:t>With Onset During Intoxication</w:t>
      </w:r>
    </w:p>
    <w:p w:rsidR="00E675F0" w:rsidRDefault="00E675F0" w:rsidP="00E675F0">
      <w:pPr>
        <w:spacing w:before="3" w:line="221" w:lineRule="exact"/>
        <w:ind w:left="125"/>
        <w:rPr>
          <w:sz w:val="20"/>
        </w:rPr>
      </w:pPr>
      <w:r>
        <w:rPr>
          <w:b/>
          <w:w w:val="110"/>
          <w:sz w:val="20"/>
        </w:rPr>
        <w:t xml:space="preserve">Inhalant-Induced Psychotic Disorder, With Hallucinations </w:t>
      </w:r>
      <w:r>
        <w:rPr>
          <w:w w:val="110"/>
          <w:sz w:val="20"/>
        </w:rPr>
        <w:t>(see p. 310)</w:t>
      </w:r>
    </w:p>
    <w:p w:rsidR="00E675F0" w:rsidRDefault="00E675F0" w:rsidP="00E675F0">
      <w:pPr>
        <w:spacing w:line="232" w:lineRule="auto"/>
        <w:ind w:left="125" w:right="2325" w:firstLine="12"/>
        <w:rPr>
          <w:sz w:val="20"/>
        </w:rPr>
      </w:pPr>
      <w:r>
        <w:rPr>
          <w:i/>
          <w:w w:val="110"/>
          <w:sz w:val="19"/>
        </w:rPr>
        <w:t xml:space="preserve">Specify </w:t>
      </w:r>
      <w:r>
        <w:rPr>
          <w:rFonts w:ascii="Arial"/>
          <w:i/>
          <w:w w:val="110"/>
          <w:sz w:val="24"/>
        </w:rPr>
        <w:t xml:space="preserve">if </w:t>
      </w:r>
      <w:r>
        <w:rPr>
          <w:w w:val="110"/>
          <w:sz w:val="20"/>
        </w:rPr>
        <w:t xml:space="preserve">With Onset During Intoxication </w:t>
      </w:r>
      <w:r>
        <w:rPr>
          <w:b/>
          <w:w w:val="110"/>
          <w:sz w:val="20"/>
        </w:rPr>
        <w:t xml:space="preserve">Inhalant-Induced Mood Disorder </w:t>
      </w:r>
      <w:r>
        <w:rPr>
          <w:w w:val="110"/>
          <w:sz w:val="20"/>
        </w:rPr>
        <w:t xml:space="preserve">(see p. 370) </w:t>
      </w:r>
      <w:r>
        <w:rPr>
          <w:i/>
          <w:w w:val="110"/>
          <w:sz w:val="19"/>
        </w:rPr>
        <w:t xml:space="preserve">Specify </w:t>
      </w:r>
      <w:r>
        <w:rPr>
          <w:rFonts w:ascii="Arial"/>
          <w:i/>
          <w:w w:val="110"/>
          <w:sz w:val="24"/>
        </w:rPr>
        <w:t xml:space="preserve">if </w:t>
      </w:r>
      <w:r>
        <w:rPr>
          <w:w w:val="110"/>
          <w:sz w:val="20"/>
        </w:rPr>
        <w:t xml:space="preserve">With Onset During Intoxication </w:t>
      </w:r>
      <w:r>
        <w:rPr>
          <w:b/>
          <w:w w:val="110"/>
          <w:sz w:val="20"/>
        </w:rPr>
        <w:t xml:space="preserve">Inhalant-Induced Anxiety Disorder </w:t>
      </w:r>
      <w:r>
        <w:rPr>
          <w:w w:val="110"/>
          <w:sz w:val="20"/>
        </w:rPr>
        <w:t xml:space="preserve">(see p. 439) </w:t>
      </w:r>
      <w:r>
        <w:rPr>
          <w:i/>
          <w:w w:val="110"/>
          <w:sz w:val="19"/>
        </w:rPr>
        <w:t xml:space="preserve">Spec(fy </w:t>
      </w:r>
      <w:r>
        <w:rPr>
          <w:rFonts w:ascii="Arial"/>
          <w:i/>
          <w:w w:val="110"/>
          <w:sz w:val="24"/>
        </w:rPr>
        <w:t xml:space="preserve">if </w:t>
      </w:r>
      <w:r>
        <w:rPr>
          <w:w w:val="110"/>
          <w:sz w:val="20"/>
        </w:rPr>
        <w:t>With Onset During Intoxication</w:t>
      </w:r>
    </w:p>
    <w:p w:rsidR="00E675F0" w:rsidRDefault="00E675F0" w:rsidP="00E675F0">
      <w:pPr>
        <w:pStyle w:val="BodyText"/>
        <w:spacing w:before="9"/>
        <w:rPr>
          <w:sz w:val="21"/>
        </w:rPr>
      </w:pPr>
    </w:p>
    <w:p w:rsidR="00E675F0" w:rsidRDefault="00E675F0" w:rsidP="00E675F0">
      <w:pPr>
        <w:ind w:left="125"/>
        <w:rPr>
          <w:sz w:val="20"/>
        </w:rPr>
      </w:pPr>
      <w:r>
        <w:rPr>
          <w:b/>
          <w:w w:val="110"/>
          <w:sz w:val="20"/>
        </w:rPr>
        <w:t xml:space="preserve">Inhalant-Related Disorder Not Otherwise Specified </w:t>
      </w:r>
      <w:r>
        <w:rPr>
          <w:w w:val="110"/>
          <w:sz w:val="20"/>
        </w:rPr>
        <w:t>(see p. 242)</w:t>
      </w:r>
    </w:p>
    <w:p w:rsidR="00E675F0" w:rsidRDefault="00E675F0" w:rsidP="00E675F0">
      <w:pPr>
        <w:rPr>
          <w:sz w:val="20"/>
        </w:rPr>
        <w:sectPr w:rsidR="00E675F0">
          <w:type w:val="continuous"/>
          <w:pgSz w:w="8960" w:h="14260"/>
          <w:pgMar w:top="640" w:right="640" w:bottom="0" w:left="620" w:header="720" w:footer="720" w:gutter="0"/>
          <w:cols w:num="2" w:space="720" w:equalWidth="0">
            <w:col w:w="774" w:space="59"/>
            <w:col w:w="6867"/>
          </w:cols>
        </w:sectPr>
      </w:pPr>
    </w:p>
    <w:p w:rsidR="00E675F0" w:rsidRDefault="00E675F0" w:rsidP="00E675F0">
      <w:pPr>
        <w:spacing w:before="118"/>
        <w:ind w:left="44" w:right="119"/>
        <w:jc w:val="center"/>
        <w:rPr>
          <w:rFonts w:ascii="TimesNewRomanPS-BoldItalicMT"/>
          <w:b/>
          <w:i/>
          <w:sz w:val="28"/>
        </w:rPr>
      </w:pPr>
      <w:bookmarkStart w:id="155" w:name="_bookmark135"/>
      <w:bookmarkEnd w:id="155"/>
      <w:r>
        <w:rPr>
          <w:rFonts w:ascii="TimesNewRomanPS-BoldItalicMT"/>
          <w:b/>
          <w:i/>
          <w:w w:val="115"/>
          <w:sz w:val="28"/>
        </w:rPr>
        <w:lastRenderedPageBreak/>
        <w:t>Inhalant Use Disorders</w:t>
      </w:r>
    </w:p>
    <w:p w:rsidR="00E675F0" w:rsidRDefault="00E675F0" w:rsidP="00E675F0">
      <w:pPr>
        <w:tabs>
          <w:tab w:val="left" w:pos="3013"/>
        </w:tabs>
        <w:spacing w:before="219"/>
        <w:ind w:left="1943"/>
        <w:rPr>
          <w:rFonts w:ascii="Arial"/>
          <w:b/>
          <w:sz w:val="26"/>
        </w:rPr>
      </w:pPr>
      <w:r>
        <w:rPr>
          <w:rFonts w:ascii="Arial"/>
          <w:b/>
          <w:w w:val="105"/>
          <w:sz w:val="26"/>
        </w:rPr>
        <w:t>304.60</w:t>
      </w:r>
      <w:r>
        <w:rPr>
          <w:rFonts w:ascii="Arial"/>
          <w:b/>
          <w:w w:val="105"/>
          <w:sz w:val="26"/>
        </w:rPr>
        <w:tab/>
        <w:t>Inhalant</w:t>
      </w:r>
      <w:r>
        <w:rPr>
          <w:rFonts w:ascii="Arial"/>
          <w:b/>
          <w:spacing w:val="8"/>
          <w:w w:val="105"/>
          <w:sz w:val="26"/>
        </w:rPr>
        <w:t xml:space="preserve"> </w:t>
      </w:r>
      <w:r>
        <w:rPr>
          <w:rFonts w:ascii="Arial"/>
          <w:b/>
          <w:w w:val="105"/>
          <w:sz w:val="26"/>
        </w:rPr>
        <w:t>Dependence</w:t>
      </w:r>
    </w:p>
    <w:p w:rsidR="00E675F0" w:rsidRDefault="00E675F0" w:rsidP="00E675F0">
      <w:pPr>
        <w:pStyle w:val="BodyText"/>
        <w:spacing w:before="8"/>
        <w:rPr>
          <w:rFonts w:ascii="Arial"/>
          <w:b/>
          <w:sz w:val="28"/>
        </w:rPr>
      </w:pPr>
    </w:p>
    <w:p w:rsidR="00E675F0" w:rsidRDefault="00E675F0" w:rsidP="00E675F0">
      <w:pPr>
        <w:pStyle w:val="BodyText"/>
        <w:spacing w:before="1" w:line="254" w:lineRule="auto"/>
        <w:ind w:left="104" w:right="115"/>
        <w:jc w:val="both"/>
      </w:pPr>
      <w:r>
        <w:rPr>
          <w:w w:val="105"/>
        </w:rPr>
        <w:t>Also refer to the text and criteria for Substance Dependence (see p. 176). Some of the generic Dependence criteria do not apply to inhalants, whereas others require further explanation. Tolerance to the effects of inhalants has been reported among individuals with</w:t>
      </w:r>
      <w:r>
        <w:rPr>
          <w:spacing w:val="-3"/>
          <w:w w:val="105"/>
        </w:rPr>
        <w:t xml:space="preserve"> </w:t>
      </w:r>
      <w:r>
        <w:rPr>
          <w:w w:val="105"/>
        </w:rPr>
        <w:t>heavy</w:t>
      </w:r>
      <w:r>
        <w:rPr>
          <w:spacing w:val="-6"/>
          <w:w w:val="105"/>
        </w:rPr>
        <w:t xml:space="preserve"> </w:t>
      </w:r>
      <w:r>
        <w:rPr>
          <w:w w:val="105"/>
        </w:rPr>
        <w:t>use,</w:t>
      </w:r>
      <w:r>
        <w:rPr>
          <w:spacing w:val="-13"/>
          <w:w w:val="105"/>
        </w:rPr>
        <w:t xml:space="preserve"> </w:t>
      </w:r>
      <w:r>
        <w:rPr>
          <w:w w:val="105"/>
        </w:rPr>
        <w:t>although</w:t>
      </w:r>
      <w:r>
        <w:rPr>
          <w:spacing w:val="3"/>
          <w:w w:val="105"/>
        </w:rPr>
        <w:t xml:space="preserve"> </w:t>
      </w:r>
      <w:r>
        <w:rPr>
          <w:w w:val="105"/>
        </w:rPr>
        <w:t>its</w:t>
      </w:r>
      <w:r>
        <w:rPr>
          <w:spacing w:val="-14"/>
          <w:w w:val="105"/>
        </w:rPr>
        <w:t xml:space="preserve"> </w:t>
      </w:r>
      <w:r>
        <w:rPr>
          <w:w w:val="105"/>
        </w:rPr>
        <w:t>prevalence</w:t>
      </w:r>
      <w:r>
        <w:rPr>
          <w:spacing w:val="-1"/>
          <w:w w:val="105"/>
        </w:rPr>
        <w:t xml:space="preserve"> </w:t>
      </w:r>
      <w:r>
        <w:rPr>
          <w:w w:val="105"/>
        </w:rPr>
        <w:t>and</w:t>
      </w:r>
      <w:r>
        <w:rPr>
          <w:spacing w:val="-12"/>
          <w:w w:val="105"/>
        </w:rPr>
        <w:t xml:space="preserve"> </w:t>
      </w:r>
      <w:r>
        <w:rPr>
          <w:w w:val="105"/>
        </w:rPr>
        <w:t>clinical</w:t>
      </w:r>
      <w:r>
        <w:rPr>
          <w:spacing w:val="-17"/>
          <w:w w:val="105"/>
        </w:rPr>
        <w:t xml:space="preserve"> </w:t>
      </w:r>
      <w:r>
        <w:rPr>
          <w:w w:val="105"/>
        </w:rPr>
        <w:t>significance</w:t>
      </w:r>
      <w:r>
        <w:rPr>
          <w:spacing w:val="-10"/>
          <w:w w:val="105"/>
        </w:rPr>
        <w:t xml:space="preserve"> </w:t>
      </w:r>
      <w:r>
        <w:rPr>
          <w:w w:val="105"/>
        </w:rPr>
        <w:t>are</w:t>
      </w:r>
      <w:r>
        <w:rPr>
          <w:spacing w:val="-12"/>
          <w:w w:val="105"/>
        </w:rPr>
        <w:t xml:space="preserve"> </w:t>
      </w:r>
      <w:r>
        <w:rPr>
          <w:w w:val="105"/>
        </w:rPr>
        <w:t>unknown.</w:t>
      </w:r>
      <w:r>
        <w:rPr>
          <w:spacing w:val="-7"/>
          <w:w w:val="105"/>
        </w:rPr>
        <w:t xml:space="preserve"> </w:t>
      </w:r>
      <w:r>
        <w:rPr>
          <w:w w:val="105"/>
        </w:rPr>
        <w:t>A</w:t>
      </w:r>
      <w:r>
        <w:rPr>
          <w:spacing w:val="-15"/>
          <w:w w:val="105"/>
        </w:rPr>
        <w:t xml:space="preserve"> </w:t>
      </w:r>
      <w:r>
        <w:rPr>
          <w:w w:val="105"/>
        </w:rPr>
        <w:t>possible withdrawal syndrome beginning  24-48 hours after cessation of  use and lasting from 2  to 5 days has been described, with symptoms including sleep disturbances, tremor, irritability, diaphoresis, nausea, and fleeting illusions. However, this syndrome has not been well documented and appears not to be clinically significant. Thus, Inhalant Dependence includes neither a characteristic withdrawal syndrome nor evidence of inhalant use to relieve or avoid withdrawal symptoms. However, inhalants may be taken over longer periods of time or in larger amounts than was originally intended, and individuals who use them may find it difficult to cut down or regulate inhalant use. Because inhalants are inexpensive, legal, and easily available, spending a great deal of time attempting to procure inhalants would be rare. However, substantial amounts of time may be spent on using and recuperating from the effects of inhalant use. Recurrent inhalant use may result in the individual giving up or reducing important social, occupational, or recreational activities, and substance use may continue despite the individual's knowledge of physical problems (e.g., liver disease or central and peripheral nervous system damage) or psychological problems (e.g., severe depression) caused by the</w:t>
      </w:r>
      <w:r>
        <w:rPr>
          <w:spacing w:val="11"/>
          <w:w w:val="105"/>
        </w:rPr>
        <w:t xml:space="preserve"> </w:t>
      </w:r>
      <w:r>
        <w:rPr>
          <w:w w:val="105"/>
        </w:rPr>
        <w:t>use.</w:t>
      </w:r>
    </w:p>
    <w:p w:rsidR="00E675F0" w:rsidRDefault="00E675F0" w:rsidP="00E675F0">
      <w:pPr>
        <w:pStyle w:val="BodyText"/>
        <w:rPr>
          <w:sz w:val="22"/>
        </w:rPr>
      </w:pPr>
    </w:p>
    <w:p w:rsidR="00E675F0" w:rsidRDefault="00E675F0" w:rsidP="00E675F0">
      <w:pPr>
        <w:pStyle w:val="BodyText"/>
        <w:spacing w:before="9"/>
        <w:rPr>
          <w:sz w:val="21"/>
        </w:rPr>
      </w:pPr>
    </w:p>
    <w:p w:rsidR="00E675F0" w:rsidRDefault="00E675F0" w:rsidP="00E675F0">
      <w:pPr>
        <w:ind w:left="106"/>
        <w:rPr>
          <w:rFonts w:ascii="TimesNewRomanPS-BoldItalicMT"/>
          <w:b/>
          <w:i/>
        </w:rPr>
      </w:pPr>
      <w:r>
        <w:rPr>
          <w:rFonts w:ascii="TimesNewRomanPS-BoldItalicMT"/>
          <w:b/>
          <w:i/>
          <w:w w:val="125"/>
        </w:rPr>
        <w:t>Specifiers</w:t>
      </w:r>
    </w:p>
    <w:p w:rsidR="00E675F0" w:rsidRDefault="00E675F0" w:rsidP="00E675F0">
      <w:pPr>
        <w:pStyle w:val="BodyText"/>
        <w:spacing w:before="169"/>
        <w:ind w:left="110"/>
      </w:pPr>
      <w:r>
        <w:rPr>
          <w:w w:val="110"/>
        </w:rPr>
        <w:t>The following specifiers may be applied to a diagnosis of Inhalant Dependence (see</w:t>
      </w:r>
    </w:p>
    <w:p w:rsidR="00E675F0" w:rsidRDefault="00E675F0" w:rsidP="00E675F0">
      <w:pPr>
        <w:pStyle w:val="BodyText"/>
        <w:spacing w:before="15"/>
        <w:ind w:left="126"/>
      </w:pPr>
      <w:r>
        <w:rPr>
          <w:w w:val="105"/>
        </w:rPr>
        <w:t>p. 179 for more details):</w:t>
      </w:r>
    </w:p>
    <w:p w:rsidR="00E675F0" w:rsidRDefault="00E675F0" w:rsidP="00E675F0">
      <w:pPr>
        <w:spacing w:before="83" w:line="264" w:lineRule="auto"/>
        <w:ind w:left="722" w:right="4622" w:firstLine="1"/>
        <w:rPr>
          <w:b/>
          <w:sz w:val="19"/>
        </w:rPr>
      </w:pPr>
      <w:r>
        <w:rPr>
          <w:b/>
          <w:w w:val="115"/>
          <w:sz w:val="19"/>
        </w:rPr>
        <w:t>Early Full Remission Early Partial Remission Sustained Full Remission</w:t>
      </w:r>
    </w:p>
    <w:p w:rsidR="00E675F0" w:rsidRDefault="00E675F0" w:rsidP="00E675F0">
      <w:pPr>
        <w:spacing w:line="268" w:lineRule="auto"/>
        <w:ind w:left="723" w:right="4190" w:hanging="2"/>
        <w:rPr>
          <w:b/>
          <w:sz w:val="19"/>
        </w:rPr>
      </w:pPr>
      <w:r>
        <w:rPr>
          <w:b/>
          <w:w w:val="115"/>
          <w:sz w:val="19"/>
        </w:rPr>
        <w:t>Sustained Partial Remission In a Controlled Environment</w:t>
      </w:r>
    </w:p>
    <w:p w:rsidR="00E675F0" w:rsidRDefault="00E675F0" w:rsidP="00E675F0">
      <w:pPr>
        <w:pStyle w:val="BodyText"/>
        <w:rPr>
          <w:b/>
        </w:rPr>
      </w:pPr>
    </w:p>
    <w:p w:rsidR="00E675F0" w:rsidRDefault="00E675F0" w:rsidP="00E675F0">
      <w:pPr>
        <w:pStyle w:val="BodyText"/>
        <w:rPr>
          <w:b/>
        </w:rPr>
      </w:pPr>
    </w:p>
    <w:p w:rsidR="00E675F0" w:rsidRDefault="00E675F0" w:rsidP="00E675F0">
      <w:pPr>
        <w:tabs>
          <w:tab w:val="left" w:pos="3451"/>
        </w:tabs>
        <w:spacing w:before="137"/>
        <w:ind w:left="2381"/>
        <w:rPr>
          <w:rFonts w:ascii="Arial"/>
          <w:b/>
          <w:sz w:val="26"/>
        </w:rPr>
      </w:pPr>
      <w:r>
        <w:rPr>
          <w:rFonts w:ascii="Arial"/>
          <w:b/>
          <w:w w:val="105"/>
          <w:sz w:val="26"/>
        </w:rPr>
        <w:t>305.90</w:t>
      </w:r>
      <w:r>
        <w:rPr>
          <w:rFonts w:ascii="Arial"/>
          <w:b/>
          <w:w w:val="105"/>
          <w:sz w:val="26"/>
        </w:rPr>
        <w:tab/>
        <w:t>Inhalant</w:t>
      </w:r>
      <w:r>
        <w:rPr>
          <w:rFonts w:ascii="Arial"/>
          <w:b/>
          <w:spacing w:val="7"/>
          <w:w w:val="105"/>
          <w:sz w:val="26"/>
        </w:rPr>
        <w:t xml:space="preserve"> </w:t>
      </w:r>
      <w:r>
        <w:rPr>
          <w:rFonts w:ascii="Arial"/>
          <w:b/>
          <w:w w:val="105"/>
          <w:sz w:val="26"/>
        </w:rPr>
        <w:t>Abuse</w:t>
      </w:r>
    </w:p>
    <w:p w:rsidR="00E675F0" w:rsidRDefault="00E675F0" w:rsidP="00E675F0">
      <w:pPr>
        <w:pStyle w:val="BodyText"/>
        <w:spacing w:before="2"/>
        <w:rPr>
          <w:rFonts w:ascii="Arial"/>
          <w:b/>
          <w:sz w:val="29"/>
        </w:rPr>
      </w:pPr>
    </w:p>
    <w:p w:rsidR="00E675F0" w:rsidRDefault="00E675F0" w:rsidP="00E675F0">
      <w:pPr>
        <w:pStyle w:val="BodyText"/>
        <w:spacing w:line="256" w:lineRule="auto"/>
        <w:ind w:left="120" w:right="115" w:hanging="2"/>
        <w:jc w:val="both"/>
      </w:pPr>
      <w:r>
        <w:rPr>
          <w:w w:val="105"/>
        </w:rPr>
        <w:t>Also refer to the text and criteria for Substance Abuse (see p. 182). Individuals who abuse inhalants may use them in hazardous circumstances (e.g., driving an automobile  or operating machinery when judgment and coordination are impaired by Inhalant Intoxication). Repeated intake of inhalants may be associated with family conflict and school problems (e.g., truancy, poor grades, dropping out of</w:t>
      </w:r>
      <w:r>
        <w:rPr>
          <w:spacing w:val="8"/>
          <w:w w:val="105"/>
        </w:rPr>
        <w:t xml:space="preserve"> </w:t>
      </w:r>
      <w:r>
        <w:rPr>
          <w:w w:val="105"/>
        </w:rPr>
        <w:t>school).</w:t>
      </w:r>
    </w:p>
    <w:p w:rsidR="00E675F0" w:rsidRDefault="00E675F0" w:rsidP="00E675F0">
      <w:pPr>
        <w:spacing w:line="256" w:lineRule="auto"/>
        <w:jc w:val="both"/>
        <w:sectPr w:rsidR="00E675F0">
          <w:pgSz w:w="8960" w:h="14260"/>
          <w:pgMar w:top="1400" w:right="620" w:bottom="280" w:left="620" w:header="681" w:footer="0" w:gutter="0"/>
          <w:cols w:space="720"/>
        </w:sectPr>
      </w:pPr>
    </w:p>
    <w:p w:rsidR="00E675F0" w:rsidRDefault="00E675F0" w:rsidP="00E675F0">
      <w:pPr>
        <w:spacing w:before="125"/>
        <w:ind w:left="882" w:right="926"/>
        <w:jc w:val="center"/>
        <w:rPr>
          <w:rFonts w:ascii="TimesNewRomanPS-BoldItalicMT"/>
          <w:b/>
          <w:i/>
          <w:sz w:val="28"/>
        </w:rPr>
      </w:pPr>
      <w:bookmarkStart w:id="156" w:name="_bookmark136"/>
      <w:bookmarkEnd w:id="156"/>
      <w:r>
        <w:rPr>
          <w:rFonts w:ascii="TimesNewRomanPS-BoldItalicMT"/>
          <w:b/>
          <w:i/>
          <w:w w:val="115"/>
          <w:sz w:val="28"/>
        </w:rPr>
        <w:lastRenderedPageBreak/>
        <w:t>Inhalant-Induced</w:t>
      </w:r>
      <w:r>
        <w:rPr>
          <w:rFonts w:ascii="TimesNewRomanPS-BoldItalicMT"/>
          <w:b/>
          <w:i/>
          <w:spacing w:val="-28"/>
          <w:w w:val="115"/>
          <w:sz w:val="28"/>
        </w:rPr>
        <w:t xml:space="preserve"> </w:t>
      </w:r>
      <w:r>
        <w:rPr>
          <w:rFonts w:ascii="TimesNewRomanPS-BoldItalicMT"/>
          <w:b/>
          <w:i/>
          <w:w w:val="115"/>
          <w:sz w:val="28"/>
        </w:rPr>
        <w:t>Disorders</w:t>
      </w:r>
    </w:p>
    <w:p w:rsidR="00E675F0" w:rsidRDefault="00E675F0" w:rsidP="00E675F0">
      <w:pPr>
        <w:tabs>
          <w:tab w:val="left" w:pos="1078"/>
        </w:tabs>
        <w:spacing w:before="221"/>
        <w:ind w:right="10"/>
        <w:jc w:val="center"/>
        <w:rPr>
          <w:b/>
          <w:sz w:val="27"/>
        </w:rPr>
      </w:pPr>
      <w:r>
        <w:rPr>
          <w:b/>
          <w:spacing w:val="3"/>
          <w:w w:val="105"/>
          <w:sz w:val="27"/>
        </w:rPr>
        <w:t>292.89</w:t>
      </w:r>
      <w:r>
        <w:rPr>
          <w:b/>
          <w:spacing w:val="3"/>
          <w:w w:val="105"/>
          <w:sz w:val="27"/>
        </w:rPr>
        <w:tab/>
      </w:r>
      <w:r>
        <w:rPr>
          <w:b/>
          <w:w w:val="105"/>
          <w:sz w:val="27"/>
        </w:rPr>
        <w:t>Inhalant</w:t>
      </w:r>
      <w:r>
        <w:rPr>
          <w:b/>
          <w:spacing w:val="-25"/>
          <w:w w:val="105"/>
          <w:sz w:val="27"/>
        </w:rPr>
        <w:t xml:space="preserve"> </w:t>
      </w:r>
      <w:r>
        <w:rPr>
          <w:b/>
          <w:w w:val="105"/>
          <w:sz w:val="27"/>
        </w:rPr>
        <w:t>Intoxication</w:t>
      </w:r>
    </w:p>
    <w:p w:rsidR="00E675F0" w:rsidRDefault="00E675F0" w:rsidP="00E675F0">
      <w:pPr>
        <w:pStyle w:val="BodyText"/>
        <w:spacing w:before="8"/>
        <w:rPr>
          <w:b/>
          <w:sz w:val="29"/>
        </w:rPr>
      </w:pPr>
    </w:p>
    <w:p w:rsidR="00E675F0" w:rsidRDefault="00E675F0" w:rsidP="00E675F0">
      <w:pPr>
        <w:pStyle w:val="BodyText"/>
        <w:spacing w:line="254" w:lineRule="auto"/>
        <w:ind w:left="111" w:right="105" w:firstLine="1"/>
        <w:jc w:val="both"/>
      </w:pPr>
      <w:r>
        <w:rPr>
          <w:noProof/>
        </w:rPr>
        <mc:AlternateContent>
          <mc:Choice Requires="wps">
            <w:drawing>
              <wp:anchor distT="0" distB="0" distL="114300" distR="114300" simplePos="0" relativeHeight="251722752" behindDoc="0" locked="0" layoutInCell="1" allowOverlap="1" wp14:anchorId="7CE6AAF8" wp14:editId="3839DC90">
                <wp:simplePos x="0" y="0"/>
                <wp:positionH relativeFrom="page">
                  <wp:posOffset>502920</wp:posOffset>
                </wp:positionH>
                <wp:positionV relativeFrom="paragraph">
                  <wp:posOffset>6772275</wp:posOffset>
                </wp:positionV>
                <wp:extent cx="0" cy="0"/>
                <wp:effectExtent l="0" t="0" r="0" b="0"/>
                <wp:wrapNone/>
                <wp:docPr id="1322" name="Line 12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2749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1635C5" id="Line 1278" o:spid="_x0000_s1026" style="position:absolute;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6pt,533.25pt" to="39.6pt,533.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" strokeweight=".76369mm">
                <o:lock v:ext="edit" shapetype="f"/>
                <w10:wrap anchorx="page"/>
              </v:line>
            </w:pict>
          </mc:Fallback>
        </mc:AlternateContent>
      </w:r>
      <w:r>
        <w:rPr>
          <w:w w:val="105"/>
        </w:rPr>
        <w:t>Also refer to the text and criteria for Substance Intoxication (see p. 183). The essential feature of Inhalant Intoxication is the presence of clinically significant maladaptive behavioral or psychological changes (e.g., belligerence, assaultiveness, apathy, impaired judgment, impaired social or occupational functioning) that develop during, or shortly after, the intentional use of, or short-term, high-dose exposure to, volatile inhalants (Criteria A and B). The maladaptive changes are accompanied by signs that include dizziness or visual disturbances (blurred vision or diplopia), nystagmus, incoordination, slurred speech, an unsteady gait, tremor, and euphoria. Higher doses of inhalants may lead to the development of lethargy and psychomotor retardation, generalized muscle weakness, depressed reflexes, stupor, or coma (Criterion C). The disturbance must not be due to a general medical condition and is not better accounted for by another mental disorder (Criterion</w:t>
      </w:r>
      <w:r>
        <w:rPr>
          <w:spacing w:val="41"/>
          <w:w w:val="105"/>
        </w:rPr>
        <w:t xml:space="preserve"> </w:t>
      </w:r>
      <w:r>
        <w:rPr>
          <w:w w:val="105"/>
        </w:rPr>
        <w:t>D).</w:t>
      </w:r>
    </w:p>
    <w:p w:rsidR="00E675F0" w:rsidRDefault="00E675F0" w:rsidP="00E675F0">
      <w:pPr>
        <w:pStyle w:val="BodyText"/>
      </w:pPr>
    </w:p>
    <w:p w:rsidR="00E675F0" w:rsidRDefault="00E675F0" w:rsidP="00E675F0">
      <w:pPr>
        <w:pStyle w:val="BodyText"/>
        <w:spacing w:before="10" w:after="1"/>
        <w:rPr>
          <w:sz w:val="21"/>
        </w:rPr>
      </w:pPr>
    </w:p>
    <w:tbl>
      <w:tblPr>
        <w:tblW w:w="0" w:type="auto"/>
        <w:tblInd w:w="214"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7317"/>
      </w:tblGrid>
      <w:tr w:rsidR="00E675F0" w:rsidTr="00A330E1">
        <w:trPr>
          <w:trHeight w:val="7092"/>
        </w:trPr>
        <w:tc>
          <w:tcPr>
            <w:tcW w:w="7317" w:type="dxa"/>
            <w:tcBorders>
              <w:left w:val="single" w:sz="18" w:space="0" w:color="000000"/>
            </w:tcBorders>
          </w:tcPr>
          <w:p w:rsidR="00E675F0" w:rsidRDefault="00E675F0" w:rsidP="003048D3">
            <w:pPr>
              <w:pStyle w:val="TableParagraph"/>
              <w:numPr>
                <w:ilvl w:val="0"/>
                <w:numId w:val="24"/>
              </w:numPr>
              <w:tabs>
                <w:tab w:val="left" w:pos="641"/>
              </w:tabs>
              <w:spacing w:line="537" w:lineRule="exact"/>
              <w:rPr>
                <w:b/>
                <w:sz w:val="26"/>
              </w:rPr>
            </w:pPr>
            <w:r>
              <w:rPr>
                <w:b/>
                <w:w w:val="105"/>
                <w:sz w:val="26"/>
              </w:rPr>
              <w:t>Diagnostic criteria for 292.89 Inhalant</w:t>
            </w:r>
            <w:r>
              <w:rPr>
                <w:b/>
                <w:spacing w:val="14"/>
                <w:w w:val="105"/>
                <w:sz w:val="26"/>
              </w:rPr>
              <w:t xml:space="preserve"> </w:t>
            </w:r>
            <w:r>
              <w:rPr>
                <w:b/>
                <w:w w:val="105"/>
                <w:sz w:val="26"/>
              </w:rPr>
              <w:t>Intoxication</w:t>
            </w:r>
          </w:p>
          <w:p w:rsidR="00E675F0" w:rsidRDefault="00E675F0" w:rsidP="003048D3">
            <w:pPr>
              <w:pStyle w:val="TableParagraph"/>
              <w:numPr>
                <w:ilvl w:val="1"/>
                <w:numId w:val="24"/>
              </w:numPr>
              <w:tabs>
                <w:tab w:val="left" w:pos="958"/>
              </w:tabs>
              <w:spacing w:before="154" w:line="252" w:lineRule="auto"/>
              <w:ind w:right="229" w:hanging="304"/>
              <w:jc w:val="both"/>
              <w:rPr>
                <w:sz w:val="20"/>
              </w:rPr>
            </w:pPr>
            <w:r>
              <w:rPr>
                <w:w w:val="105"/>
                <w:sz w:val="20"/>
              </w:rPr>
              <w:t>Recent intentional use or short-term, high-dose exposure to volatile inhalants (excluding anesthetic gases and short-acting</w:t>
            </w:r>
            <w:r>
              <w:rPr>
                <w:spacing w:val="33"/>
                <w:w w:val="105"/>
                <w:sz w:val="20"/>
              </w:rPr>
              <w:t xml:space="preserve"> </w:t>
            </w:r>
            <w:r>
              <w:rPr>
                <w:w w:val="105"/>
                <w:sz w:val="20"/>
              </w:rPr>
              <w:t>vasodilators).</w:t>
            </w:r>
          </w:p>
          <w:p w:rsidR="00E675F0" w:rsidRDefault="00E675F0" w:rsidP="003048D3">
            <w:pPr>
              <w:pStyle w:val="TableParagraph"/>
              <w:numPr>
                <w:ilvl w:val="1"/>
                <w:numId w:val="24"/>
              </w:numPr>
              <w:tabs>
                <w:tab w:val="left" w:pos="954"/>
              </w:tabs>
              <w:spacing w:before="190" w:line="252" w:lineRule="auto"/>
              <w:ind w:left="946" w:right="224" w:hanging="297"/>
              <w:jc w:val="both"/>
              <w:rPr>
                <w:sz w:val="20"/>
              </w:rPr>
            </w:pPr>
            <w:r>
              <w:rPr>
                <w:w w:val="105"/>
                <w:sz w:val="20"/>
              </w:rPr>
              <w:t>Clinically significant maladaptive behavioral or psychological changes (e.g., belligerence, assaultiveness, apathy, impaired judgment, impaired social or occupational functioning) that developed during, or shortly after, use of or exposure to volatile</w:t>
            </w:r>
            <w:r>
              <w:rPr>
                <w:spacing w:val="52"/>
                <w:w w:val="105"/>
                <w:sz w:val="20"/>
              </w:rPr>
              <w:t xml:space="preserve"> </w:t>
            </w:r>
            <w:r>
              <w:rPr>
                <w:w w:val="105"/>
                <w:sz w:val="20"/>
              </w:rPr>
              <w:t>inhalants.</w:t>
            </w:r>
          </w:p>
          <w:p w:rsidR="00E675F0" w:rsidRDefault="00E675F0" w:rsidP="003048D3">
            <w:pPr>
              <w:pStyle w:val="TableParagraph"/>
              <w:numPr>
                <w:ilvl w:val="1"/>
                <w:numId w:val="24"/>
              </w:numPr>
              <w:tabs>
                <w:tab w:val="left" w:pos="951"/>
              </w:tabs>
              <w:spacing w:before="183" w:line="252" w:lineRule="auto"/>
              <w:ind w:left="954" w:right="224" w:hanging="303"/>
              <w:rPr>
                <w:sz w:val="18"/>
              </w:rPr>
            </w:pPr>
            <w:r>
              <w:rPr>
                <w:w w:val="105"/>
                <w:sz w:val="20"/>
              </w:rPr>
              <w:t>Two (or more) of the following signs, developing during, or shortly after, inhalant use or exposure:</w:t>
            </w:r>
          </w:p>
          <w:p w:rsidR="00E675F0" w:rsidRDefault="00E675F0" w:rsidP="003048D3">
            <w:pPr>
              <w:pStyle w:val="TableParagraph"/>
              <w:numPr>
                <w:ilvl w:val="2"/>
                <w:numId w:val="24"/>
              </w:numPr>
              <w:tabs>
                <w:tab w:val="left" w:pos="1480"/>
              </w:tabs>
              <w:spacing w:before="55"/>
              <w:ind w:hanging="426"/>
              <w:jc w:val="left"/>
              <w:rPr>
                <w:sz w:val="20"/>
              </w:rPr>
            </w:pPr>
            <w:r>
              <w:rPr>
                <w:w w:val="105"/>
                <w:sz w:val="20"/>
              </w:rPr>
              <w:t>dizziness</w:t>
            </w:r>
          </w:p>
          <w:p w:rsidR="00E675F0" w:rsidRDefault="00E675F0" w:rsidP="003048D3">
            <w:pPr>
              <w:pStyle w:val="TableParagraph"/>
              <w:numPr>
                <w:ilvl w:val="2"/>
                <w:numId w:val="24"/>
              </w:numPr>
              <w:tabs>
                <w:tab w:val="left" w:pos="1485"/>
              </w:tabs>
              <w:spacing w:before="11"/>
              <w:ind w:left="1484" w:hanging="436"/>
              <w:jc w:val="left"/>
              <w:rPr>
                <w:sz w:val="20"/>
              </w:rPr>
            </w:pPr>
            <w:r>
              <w:rPr>
                <w:w w:val="105"/>
                <w:sz w:val="20"/>
              </w:rPr>
              <w:t>nystagmus</w:t>
            </w:r>
          </w:p>
          <w:p w:rsidR="00E675F0" w:rsidRDefault="00E675F0" w:rsidP="003048D3">
            <w:pPr>
              <w:pStyle w:val="TableParagraph"/>
              <w:numPr>
                <w:ilvl w:val="2"/>
                <w:numId w:val="24"/>
              </w:numPr>
              <w:tabs>
                <w:tab w:val="left" w:pos="1485"/>
              </w:tabs>
              <w:spacing w:before="15"/>
              <w:ind w:left="1484" w:hanging="431"/>
              <w:jc w:val="left"/>
              <w:rPr>
                <w:sz w:val="20"/>
              </w:rPr>
            </w:pPr>
            <w:r>
              <w:rPr>
                <w:w w:val="110"/>
                <w:sz w:val="20"/>
              </w:rPr>
              <w:t>incoordination</w:t>
            </w:r>
          </w:p>
          <w:p w:rsidR="00E675F0" w:rsidRDefault="00E675F0" w:rsidP="003048D3">
            <w:pPr>
              <w:pStyle w:val="TableParagraph"/>
              <w:numPr>
                <w:ilvl w:val="2"/>
                <w:numId w:val="24"/>
              </w:numPr>
              <w:tabs>
                <w:tab w:val="left" w:pos="1476"/>
              </w:tabs>
              <w:spacing w:before="5"/>
              <w:ind w:left="1475" w:hanging="422"/>
              <w:jc w:val="left"/>
              <w:rPr>
                <w:sz w:val="20"/>
              </w:rPr>
            </w:pPr>
            <w:r>
              <w:rPr>
                <w:w w:val="110"/>
                <w:sz w:val="20"/>
              </w:rPr>
              <w:t>slurred</w:t>
            </w:r>
            <w:r>
              <w:rPr>
                <w:spacing w:val="-23"/>
                <w:w w:val="110"/>
                <w:sz w:val="20"/>
              </w:rPr>
              <w:t xml:space="preserve"> </w:t>
            </w:r>
            <w:r>
              <w:rPr>
                <w:w w:val="110"/>
                <w:sz w:val="20"/>
              </w:rPr>
              <w:t>speech</w:t>
            </w:r>
          </w:p>
          <w:p w:rsidR="00E675F0" w:rsidRDefault="00E675F0" w:rsidP="003048D3">
            <w:pPr>
              <w:pStyle w:val="TableParagraph"/>
              <w:numPr>
                <w:ilvl w:val="2"/>
                <w:numId w:val="24"/>
              </w:numPr>
              <w:tabs>
                <w:tab w:val="left" w:pos="1491"/>
              </w:tabs>
              <w:spacing w:before="11"/>
              <w:ind w:left="1490" w:hanging="437"/>
              <w:jc w:val="left"/>
              <w:rPr>
                <w:sz w:val="20"/>
              </w:rPr>
            </w:pPr>
            <w:r>
              <w:rPr>
                <w:w w:val="105"/>
                <w:sz w:val="20"/>
              </w:rPr>
              <w:t>unsteady</w:t>
            </w:r>
            <w:r>
              <w:rPr>
                <w:spacing w:val="8"/>
                <w:w w:val="105"/>
                <w:sz w:val="20"/>
              </w:rPr>
              <w:t xml:space="preserve"> </w:t>
            </w:r>
            <w:r>
              <w:rPr>
                <w:w w:val="105"/>
                <w:sz w:val="20"/>
              </w:rPr>
              <w:t>gait</w:t>
            </w:r>
          </w:p>
          <w:p w:rsidR="00E675F0" w:rsidRDefault="00E675F0" w:rsidP="003048D3">
            <w:pPr>
              <w:pStyle w:val="TableParagraph"/>
              <w:numPr>
                <w:ilvl w:val="2"/>
                <w:numId w:val="24"/>
              </w:numPr>
              <w:tabs>
                <w:tab w:val="left" w:pos="1485"/>
              </w:tabs>
              <w:spacing w:before="10"/>
              <w:ind w:left="1484" w:hanging="431"/>
              <w:jc w:val="left"/>
              <w:rPr>
                <w:sz w:val="20"/>
              </w:rPr>
            </w:pPr>
            <w:r>
              <w:rPr>
                <w:w w:val="105"/>
                <w:sz w:val="20"/>
              </w:rPr>
              <w:t>lethargy</w:t>
            </w:r>
          </w:p>
          <w:p w:rsidR="00E675F0" w:rsidRDefault="00E675F0" w:rsidP="003048D3">
            <w:pPr>
              <w:pStyle w:val="TableParagraph"/>
              <w:numPr>
                <w:ilvl w:val="2"/>
                <w:numId w:val="24"/>
              </w:numPr>
              <w:tabs>
                <w:tab w:val="left" w:pos="1484"/>
              </w:tabs>
              <w:spacing w:before="15"/>
              <w:ind w:left="1483" w:hanging="430"/>
              <w:jc w:val="left"/>
              <w:rPr>
                <w:sz w:val="20"/>
              </w:rPr>
            </w:pPr>
            <w:r>
              <w:rPr>
                <w:w w:val="105"/>
                <w:sz w:val="20"/>
              </w:rPr>
              <w:t>depressed</w:t>
            </w:r>
            <w:r>
              <w:rPr>
                <w:spacing w:val="27"/>
                <w:w w:val="105"/>
                <w:sz w:val="20"/>
              </w:rPr>
              <w:t xml:space="preserve"> </w:t>
            </w:r>
            <w:r>
              <w:rPr>
                <w:w w:val="105"/>
                <w:sz w:val="20"/>
              </w:rPr>
              <w:t>reflexes</w:t>
            </w:r>
          </w:p>
          <w:p w:rsidR="00E675F0" w:rsidRDefault="00E675F0" w:rsidP="003048D3">
            <w:pPr>
              <w:pStyle w:val="TableParagraph"/>
              <w:numPr>
                <w:ilvl w:val="2"/>
                <w:numId w:val="24"/>
              </w:numPr>
              <w:tabs>
                <w:tab w:val="left" w:pos="1492"/>
              </w:tabs>
              <w:spacing w:before="15"/>
              <w:ind w:left="1491" w:hanging="438"/>
              <w:jc w:val="left"/>
              <w:rPr>
                <w:sz w:val="20"/>
              </w:rPr>
            </w:pPr>
            <w:r>
              <w:rPr>
                <w:w w:val="105"/>
                <w:sz w:val="20"/>
              </w:rPr>
              <w:t>psychomotor</w:t>
            </w:r>
            <w:r>
              <w:rPr>
                <w:spacing w:val="24"/>
                <w:w w:val="105"/>
                <w:sz w:val="20"/>
              </w:rPr>
              <w:t xml:space="preserve"> </w:t>
            </w:r>
            <w:r>
              <w:rPr>
                <w:w w:val="105"/>
                <w:sz w:val="20"/>
              </w:rPr>
              <w:t>retardation</w:t>
            </w:r>
          </w:p>
          <w:p w:rsidR="00E675F0" w:rsidRDefault="00E675F0" w:rsidP="003048D3">
            <w:pPr>
              <w:pStyle w:val="TableParagraph"/>
              <w:numPr>
                <w:ilvl w:val="2"/>
                <w:numId w:val="24"/>
              </w:numPr>
              <w:tabs>
                <w:tab w:val="left" w:pos="1489"/>
              </w:tabs>
              <w:spacing w:before="11"/>
              <w:ind w:left="1488" w:hanging="435"/>
              <w:jc w:val="left"/>
              <w:rPr>
                <w:sz w:val="20"/>
              </w:rPr>
            </w:pPr>
            <w:r>
              <w:rPr>
                <w:w w:val="105"/>
                <w:sz w:val="20"/>
              </w:rPr>
              <w:t>tremor</w:t>
            </w:r>
          </w:p>
          <w:p w:rsidR="00E675F0" w:rsidRDefault="00E675F0" w:rsidP="003048D3">
            <w:pPr>
              <w:pStyle w:val="TableParagraph"/>
              <w:numPr>
                <w:ilvl w:val="2"/>
                <w:numId w:val="24"/>
              </w:numPr>
              <w:tabs>
                <w:tab w:val="left" w:pos="1480"/>
              </w:tabs>
              <w:spacing w:before="15"/>
              <w:ind w:hanging="527"/>
              <w:jc w:val="left"/>
              <w:rPr>
                <w:sz w:val="20"/>
              </w:rPr>
            </w:pPr>
            <w:r>
              <w:rPr>
                <w:w w:val="105"/>
                <w:sz w:val="20"/>
              </w:rPr>
              <w:t>generalized muscle</w:t>
            </w:r>
            <w:r>
              <w:rPr>
                <w:spacing w:val="30"/>
                <w:w w:val="105"/>
                <w:sz w:val="20"/>
              </w:rPr>
              <w:t xml:space="preserve"> </w:t>
            </w:r>
            <w:r>
              <w:rPr>
                <w:w w:val="105"/>
                <w:sz w:val="20"/>
              </w:rPr>
              <w:t>weakness</w:t>
            </w:r>
          </w:p>
          <w:p w:rsidR="00E675F0" w:rsidRDefault="00E675F0" w:rsidP="003048D3">
            <w:pPr>
              <w:pStyle w:val="TableParagraph"/>
              <w:numPr>
                <w:ilvl w:val="2"/>
                <w:numId w:val="24"/>
              </w:numPr>
              <w:tabs>
                <w:tab w:val="left" w:pos="1487"/>
              </w:tabs>
              <w:spacing w:before="15"/>
              <w:ind w:left="1486" w:hanging="534"/>
              <w:jc w:val="left"/>
              <w:rPr>
                <w:sz w:val="20"/>
              </w:rPr>
            </w:pPr>
            <w:r>
              <w:rPr>
                <w:w w:val="105"/>
                <w:sz w:val="20"/>
              </w:rPr>
              <w:t>blurred vision or</w:t>
            </w:r>
            <w:r>
              <w:rPr>
                <w:spacing w:val="44"/>
                <w:w w:val="105"/>
                <w:sz w:val="20"/>
              </w:rPr>
              <w:t xml:space="preserve"> </w:t>
            </w:r>
            <w:r>
              <w:rPr>
                <w:w w:val="105"/>
                <w:sz w:val="20"/>
              </w:rPr>
              <w:t>diplopia</w:t>
            </w:r>
          </w:p>
          <w:p w:rsidR="00E675F0" w:rsidRDefault="00E675F0" w:rsidP="003048D3">
            <w:pPr>
              <w:pStyle w:val="TableParagraph"/>
              <w:numPr>
                <w:ilvl w:val="2"/>
                <w:numId w:val="24"/>
              </w:numPr>
              <w:tabs>
                <w:tab w:val="left" w:pos="1481"/>
              </w:tabs>
              <w:spacing w:before="20"/>
              <w:ind w:left="1480" w:hanging="528"/>
              <w:jc w:val="left"/>
              <w:rPr>
                <w:sz w:val="20"/>
              </w:rPr>
            </w:pPr>
            <w:r>
              <w:rPr>
                <w:w w:val="105"/>
                <w:sz w:val="20"/>
              </w:rPr>
              <w:t>stupor or</w:t>
            </w:r>
            <w:r>
              <w:rPr>
                <w:spacing w:val="27"/>
                <w:w w:val="105"/>
                <w:sz w:val="20"/>
              </w:rPr>
              <w:t xml:space="preserve"> </w:t>
            </w:r>
            <w:r>
              <w:rPr>
                <w:w w:val="105"/>
                <w:sz w:val="20"/>
              </w:rPr>
              <w:t>coma</w:t>
            </w:r>
          </w:p>
          <w:p w:rsidR="00E675F0" w:rsidRDefault="00E675F0" w:rsidP="00A330E1">
            <w:pPr>
              <w:pStyle w:val="TableParagraph"/>
              <w:tabs>
                <w:tab w:val="left" w:pos="1482"/>
              </w:tabs>
              <w:spacing w:before="1"/>
              <w:ind w:left="958"/>
              <w:rPr>
                <w:sz w:val="20"/>
              </w:rPr>
            </w:pPr>
            <w:r>
              <w:rPr>
                <w:w w:val="105"/>
              </w:rPr>
              <w:t>03)</w:t>
            </w:r>
            <w:r>
              <w:rPr>
                <w:w w:val="105"/>
              </w:rPr>
              <w:tab/>
            </w:r>
            <w:r>
              <w:rPr>
                <w:w w:val="105"/>
                <w:sz w:val="20"/>
              </w:rPr>
              <w:t>euphoria</w:t>
            </w:r>
          </w:p>
          <w:p w:rsidR="00E675F0" w:rsidRDefault="00E675F0" w:rsidP="00A330E1">
            <w:pPr>
              <w:pStyle w:val="TableParagraph"/>
              <w:spacing w:before="189" w:line="256" w:lineRule="auto"/>
              <w:ind w:left="961" w:right="88" w:hanging="308"/>
              <w:rPr>
                <w:sz w:val="20"/>
              </w:rPr>
            </w:pPr>
            <w:r>
              <w:rPr>
                <w:w w:val="105"/>
                <w:sz w:val="20"/>
              </w:rPr>
              <w:t>D. The symptoms are not due to a general medical condition and are not better accounted for by another mental disorder.</w:t>
            </w:r>
          </w:p>
        </w:tc>
      </w:tr>
    </w:tbl>
    <w:p w:rsidR="00E675F0" w:rsidRDefault="00E675F0" w:rsidP="00E675F0">
      <w:pPr>
        <w:spacing w:line="256" w:lineRule="auto"/>
        <w:rPr>
          <w:sz w:val="20"/>
        </w:rPr>
        <w:sectPr w:rsidR="00E675F0">
          <w:pgSz w:w="8960" w:h="14260"/>
          <w:pgMar w:top="1400" w:right="660" w:bottom="280" w:left="600" w:header="695" w:footer="0" w:gutter="0"/>
          <w:cols w:space="720"/>
        </w:sectPr>
      </w:pPr>
    </w:p>
    <w:p w:rsidR="00E675F0" w:rsidRDefault="00E675F0" w:rsidP="00E675F0">
      <w:pPr>
        <w:spacing w:before="135"/>
        <w:ind w:left="33" w:right="42"/>
        <w:jc w:val="center"/>
        <w:rPr>
          <w:rFonts w:ascii="Arial"/>
          <w:b/>
          <w:sz w:val="25"/>
        </w:rPr>
      </w:pPr>
      <w:bookmarkStart w:id="157" w:name="_bookmark137"/>
      <w:bookmarkEnd w:id="157"/>
      <w:r>
        <w:rPr>
          <w:rFonts w:ascii="Arial"/>
          <w:b/>
          <w:w w:val="105"/>
          <w:sz w:val="25"/>
        </w:rPr>
        <w:lastRenderedPageBreak/>
        <w:t>Other Inhalant--Induced Disorders</w:t>
      </w:r>
    </w:p>
    <w:p w:rsidR="00E675F0" w:rsidRDefault="00E675F0" w:rsidP="00E675F0">
      <w:pPr>
        <w:pStyle w:val="BodyText"/>
        <w:spacing w:before="10"/>
        <w:rPr>
          <w:rFonts w:ascii="Arial"/>
          <w:b/>
          <w:sz w:val="23"/>
        </w:rPr>
      </w:pPr>
    </w:p>
    <w:p w:rsidR="00E675F0" w:rsidRDefault="00E675F0" w:rsidP="00E675F0">
      <w:pPr>
        <w:spacing w:line="254" w:lineRule="auto"/>
        <w:ind w:left="121" w:right="113" w:hanging="1"/>
        <w:jc w:val="both"/>
        <w:rPr>
          <w:sz w:val="20"/>
        </w:rPr>
      </w:pPr>
      <w:r>
        <w:rPr>
          <w:w w:val="110"/>
          <w:sz w:val="20"/>
        </w:rPr>
        <w:t>The</w:t>
      </w:r>
      <w:r>
        <w:rPr>
          <w:spacing w:val="-25"/>
          <w:w w:val="110"/>
          <w:sz w:val="20"/>
        </w:rPr>
        <w:t xml:space="preserve"> </w:t>
      </w:r>
      <w:r>
        <w:rPr>
          <w:w w:val="110"/>
          <w:sz w:val="20"/>
        </w:rPr>
        <w:t>following</w:t>
      </w:r>
      <w:r>
        <w:rPr>
          <w:spacing w:val="-17"/>
          <w:w w:val="110"/>
          <w:sz w:val="20"/>
        </w:rPr>
        <w:t xml:space="preserve"> </w:t>
      </w:r>
      <w:r>
        <w:rPr>
          <w:w w:val="110"/>
          <w:sz w:val="20"/>
        </w:rPr>
        <w:t>Inhalant-Induced</w:t>
      </w:r>
      <w:r>
        <w:rPr>
          <w:spacing w:val="-26"/>
          <w:w w:val="110"/>
          <w:sz w:val="20"/>
        </w:rPr>
        <w:t xml:space="preserve"> </w:t>
      </w:r>
      <w:r>
        <w:rPr>
          <w:w w:val="110"/>
          <w:sz w:val="20"/>
        </w:rPr>
        <w:t>Disorders</w:t>
      </w:r>
      <w:r>
        <w:rPr>
          <w:spacing w:val="-18"/>
          <w:w w:val="110"/>
          <w:sz w:val="20"/>
        </w:rPr>
        <w:t xml:space="preserve"> </w:t>
      </w:r>
      <w:r>
        <w:rPr>
          <w:w w:val="110"/>
          <w:sz w:val="20"/>
        </w:rPr>
        <w:t>are</w:t>
      </w:r>
      <w:r>
        <w:rPr>
          <w:spacing w:val="-22"/>
          <w:w w:val="110"/>
          <w:sz w:val="20"/>
        </w:rPr>
        <w:t xml:space="preserve"> </w:t>
      </w:r>
      <w:r>
        <w:rPr>
          <w:w w:val="110"/>
          <w:sz w:val="20"/>
        </w:rPr>
        <w:t>described</w:t>
      </w:r>
      <w:r>
        <w:rPr>
          <w:spacing w:val="-17"/>
          <w:w w:val="110"/>
          <w:sz w:val="20"/>
        </w:rPr>
        <w:t xml:space="preserve"> </w:t>
      </w:r>
      <w:r>
        <w:rPr>
          <w:w w:val="110"/>
          <w:sz w:val="20"/>
        </w:rPr>
        <w:t>in</w:t>
      </w:r>
      <w:r>
        <w:rPr>
          <w:spacing w:val="-24"/>
          <w:w w:val="110"/>
          <w:sz w:val="20"/>
        </w:rPr>
        <w:t xml:space="preserve"> </w:t>
      </w:r>
      <w:r>
        <w:rPr>
          <w:w w:val="110"/>
          <w:sz w:val="20"/>
        </w:rPr>
        <w:t>other</w:t>
      </w:r>
      <w:r>
        <w:rPr>
          <w:spacing w:val="-23"/>
          <w:w w:val="110"/>
          <w:sz w:val="20"/>
        </w:rPr>
        <w:t xml:space="preserve"> </w:t>
      </w:r>
      <w:r>
        <w:rPr>
          <w:w w:val="110"/>
          <w:sz w:val="20"/>
        </w:rPr>
        <w:t>sections</w:t>
      </w:r>
      <w:r>
        <w:rPr>
          <w:spacing w:val="-22"/>
          <w:w w:val="110"/>
          <w:sz w:val="20"/>
        </w:rPr>
        <w:t xml:space="preserve"> </w:t>
      </w:r>
      <w:r>
        <w:rPr>
          <w:w w:val="110"/>
          <w:sz w:val="20"/>
        </w:rPr>
        <w:t>of</w:t>
      </w:r>
      <w:r>
        <w:rPr>
          <w:spacing w:val="-18"/>
          <w:w w:val="110"/>
          <w:sz w:val="20"/>
        </w:rPr>
        <w:t xml:space="preserve"> </w:t>
      </w:r>
      <w:r>
        <w:rPr>
          <w:w w:val="110"/>
          <w:sz w:val="20"/>
        </w:rPr>
        <w:t>the</w:t>
      </w:r>
      <w:r>
        <w:rPr>
          <w:spacing w:val="-23"/>
          <w:w w:val="110"/>
          <w:sz w:val="20"/>
        </w:rPr>
        <w:t xml:space="preserve"> </w:t>
      </w:r>
      <w:r>
        <w:rPr>
          <w:w w:val="110"/>
          <w:sz w:val="20"/>
        </w:rPr>
        <w:t xml:space="preserve">manual with disorders with which they share phenomenology: </w:t>
      </w:r>
      <w:r>
        <w:rPr>
          <w:b/>
          <w:w w:val="110"/>
          <w:sz w:val="20"/>
        </w:rPr>
        <w:t xml:space="preserve">Inhalant Intoxication Delir­ ium </w:t>
      </w:r>
      <w:r>
        <w:rPr>
          <w:rFonts w:ascii="Arial" w:hAnsi="Arial"/>
          <w:w w:val="110"/>
          <w:sz w:val="17"/>
        </w:rPr>
        <w:t xml:space="preserve">(p. </w:t>
      </w:r>
      <w:r>
        <w:rPr>
          <w:w w:val="110"/>
          <w:sz w:val="19"/>
        </w:rPr>
        <w:t xml:space="preserve">129), </w:t>
      </w:r>
      <w:r>
        <w:rPr>
          <w:b/>
          <w:w w:val="110"/>
          <w:sz w:val="20"/>
        </w:rPr>
        <w:t xml:space="preserve">Inhalant-Induced Persisting Dementia </w:t>
      </w:r>
      <w:r>
        <w:rPr>
          <w:rFonts w:ascii="Arial" w:hAnsi="Arial"/>
          <w:w w:val="110"/>
          <w:sz w:val="17"/>
        </w:rPr>
        <w:t xml:space="preserve">(p. </w:t>
      </w:r>
      <w:r>
        <w:rPr>
          <w:w w:val="110"/>
          <w:sz w:val="19"/>
        </w:rPr>
        <w:t xml:space="preserve">152), </w:t>
      </w:r>
      <w:r>
        <w:rPr>
          <w:b/>
          <w:w w:val="110"/>
          <w:sz w:val="20"/>
        </w:rPr>
        <w:t xml:space="preserve">Inhalant-Induced Psychotic Disorder </w:t>
      </w:r>
      <w:r>
        <w:rPr>
          <w:w w:val="110"/>
          <w:sz w:val="20"/>
        </w:rPr>
        <w:t xml:space="preserve">(p. 310), </w:t>
      </w:r>
      <w:r>
        <w:rPr>
          <w:b/>
          <w:w w:val="110"/>
          <w:sz w:val="20"/>
        </w:rPr>
        <w:t xml:space="preserve">Inhalant-Induced Mood Disorder </w:t>
      </w:r>
      <w:r>
        <w:rPr>
          <w:w w:val="110"/>
          <w:sz w:val="20"/>
        </w:rPr>
        <w:t xml:space="preserve">(p. 370), and </w:t>
      </w:r>
      <w:r>
        <w:rPr>
          <w:b/>
          <w:w w:val="110"/>
          <w:sz w:val="20"/>
        </w:rPr>
        <w:t>Inhalant-Induced</w:t>
      </w:r>
      <w:r>
        <w:rPr>
          <w:b/>
          <w:spacing w:val="-27"/>
          <w:w w:val="110"/>
          <w:sz w:val="20"/>
        </w:rPr>
        <w:t xml:space="preserve"> </w:t>
      </w:r>
      <w:r>
        <w:rPr>
          <w:b/>
          <w:w w:val="110"/>
          <w:sz w:val="20"/>
        </w:rPr>
        <w:t>Anxiety</w:t>
      </w:r>
      <w:r>
        <w:rPr>
          <w:b/>
          <w:spacing w:val="-17"/>
          <w:w w:val="110"/>
          <w:sz w:val="20"/>
        </w:rPr>
        <w:t xml:space="preserve"> </w:t>
      </w:r>
      <w:r>
        <w:rPr>
          <w:b/>
          <w:w w:val="110"/>
          <w:sz w:val="20"/>
        </w:rPr>
        <w:t>Disorder</w:t>
      </w:r>
      <w:r>
        <w:rPr>
          <w:b/>
          <w:spacing w:val="-10"/>
          <w:w w:val="110"/>
          <w:sz w:val="20"/>
        </w:rPr>
        <w:t xml:space="preserve"> </w:t>
      </w:r>
      <w:r>
        <w:rPr>
          <w:w w:val="110"/>
          <w:sz w:val="20"/>
        </w:rPr>
        <w:t>(p.</w:t>
      </w:r>
      <w:r>
        <w:rPr>
          <w:spacing w:val="-4"/>
          <w:w w:val="110"/>
          <w:sz w:val="20"/>
        </w:rPr>
        <w:t xml:space="preserve"> </w:t>
      </w:r>
      <w:r>
        <w:rPr>
          <w:w w:val="110"/>
          <w:sz w:val="20"/>
        </w:rPr>
        <w:t>439).</w:t>
      </w:r>
      <w:r>
        <w:rPr>
          <w:spacing w:val="-7"/>
          <w:w w:val="110"/>
          <w:sz w:val="20"/>
        </w:rPr>
        <w:t xml:space="preserve"> </w:t>
      </w:r>
      <w:r>
        <w:rPr>
          <w:w w:val="110"/>
          <w:sz w:val="20"/>
        </w:rPr>
        <w:t>These</w:t>
      </w:r>
      <w:r>
        <w:rPr>
          <w:spacing w:val="-1"/>
          <w:w w:val="110"/>
          <w:sz w:val="20"/>
        </w:rPr>
        <w:t xml:space="preserve"> </w:t>
      </w:r>
      <w:r>
        <w:rPr>
          <w:w w:val="110"/>
          <w:sz w:val="20"/>
        </w:rPr>
        <w:t>disorders</w:t>
      </w:r>
      <w:r>
        <w:rPr>
          <w:spacing w:val="-4"/>
          <w:w w:val="110"/>
          <w:sz w:val="20"/>
        </w:rPr>
        <w:t xml:space="preserve"> </w:t>
      </w:r>
      <w:r>
        <w:rPr>
          <w:w w:val="110"/>
          <w:sz w:val="20"/>
        </w:rPr>
        <w:t>are</w:t>
      </w:r>
      <w:r>
        <w:rPr>
          <w:spacing w:val="-10"/>
          <w:w w:val="110"/>
          <w:sz w:val="20"/>
        </w:rPr>
        <w:t xml:space="preserve"> </w:t>
      </w:r>
      <w:r>
        <w:rPr>
          <w:w w:val="110"/>
          <w:sz w:val="20"/>
        </w:rPr>
        <w:t>diagnosed</w:t>
      </w:r>
      <w:r>
        <w:rPr>
          <w:spacing w:val="5"/>
          <w:w w:val="110"/>
          <w:sz w:val="20"/>
        </w:rPr>
        <w:t xml:space="preserve"> </w:t>
      </w:r>
      <w:r>
        <w:rPr>
          <w:w w:val="110"/>
          <w:sz w:val="20"/>
        </w:rPr>
        <w:t>instead of Inhalant Intoxication only when the symptoms are in excess of those usually associated</w:t>
      </w:r>
      <w:r>
        <w:rPr>
          <w:spacing w:val="-14"/>
          <w:w w:val="110"/>
          <w:sz w:val="20"/>
        </w:rPr>
        <w:t xml:space="preserve"> </w:t>
      </w:r>
      <w:r>
        <w:rPr>
          <w:w w:val="110"/>
          <w:sz w:val="20"/>
        </w:rPr>
        <w:t>with</w:t>
      </w:r>
      <w:r>
        <w:rPr>
          <w:spacing w:val="-22"/>
          <w:w w:val="110"/>
          <w:sz w:val="20"/>
        </w:rPr>
        <w:t xml:space="preserve"> </w:t>
      </w:r>
      <w:r>
        <w:rPr>
          <w:w w:val="110"/>
          <w:sz w:val="20"/>
        </w:rPr>
        <w:t>Inhalant</w:t>
      </w:r>
      <w:r>
        <w:rPr>
          <w:spacing w:val="-19"/>
          <w:w w:val="110"/>
          <w:sz w:val="20"/>
        </w:rPr>
        <w:t xml:space="preserve"> </w:t>
      </w:r>
      <w:r>
        <w:rPr>
          <w:w w:val="110"/>
          <w:sz w:val="20"/>
        </w:rPr>
        <w:t>Intoxication</w:t>
      </w:r>
      <w:r>
        <w:rPr>
          <w:spacing w:val="-13"/>
          <w:w w:val="110"/>
          <w:sz w:val="20"/>
        </w:rPr>
        <w:t xml:space="preserve"> </w:t>
      </w:r>
      <w:r>
        <w:rPr>
          <w:w w:val="110"/>
          <w:sz w:val="20"/>
        </w:rPr>
        <w:t>and</w:t>
      </w:r>
      <w:r>
        <w:rPr>
          <w:spacing w:val="-6"/>
          <w:w w:val="110"/>
          <w:sz w:val="20"/>
        </w:rPr>
        <w:t xml:space="preserve"> </w:t>
      </w:r>
      <w:r>
        <w:rPr>
          <w:w w:val="110"/>
          <w:sz w:val="20"/>
        </w:rPr>
        <w:t>when</w:t>
      </w:r>
      <w:r>
        <w:rPr>
          <w:spacing w:val="-16"/>
          <w:w w:val="110"/>
          <w:sz w:val="20"/>
        </w:rPr>
        <w:t xml:space="preserve"> </w:t>
      </w:r>
      <w:r>
        <w:rPr>
          <w:w w:val="110"/>
          <w:sz w:val="20"/>
        </w:rPr>
        <w:t>the</w:t>
      </w:r>
      <w:r>
        <w:rPr>
          <w:spacing w:val="-24"/>
          <w:w w:val="110"/>
          <w:sz w:val="20"/>
        </w:rPr>
        <w:t xml:space="preserve"> </w:t>
      </w:r>
      <w:r>
        <w:rPr>
          <w:w w:val="110"/>
          <w:sz w:val="20"/>
        </w:rPr>
        <w:t>symptoms</w:t>
      </w:r>
      <w:r>
        <w:rPr>
          <w:spacing w:val="-17"/>
          <w:w w:val="110"/>
          <w:sz w:val="20"/>
        </w:rPr>
        <w:t xml:space="preserve"> </w:t>
      </w:r>
      <w:r>
        <w:rPr>
          <w:w w:val="110"/>
          <w:sz w:val="20"/>
        </w:rPr>
        <w:t>are</w:t>
      </w:r>
      <w:r>
        <w:rPr>
          <w:spacing w:val="-23"/>
          <w:w w:val="110"/>
          <w:sz w:val="20"/>
        </w:rPr>
        <w:t xml:space="preserve"> </w:t>
      </w:r>
      <w:r>
        <w:rPr>
          <w:w w:val="110"/>
          <w:sz w:val="20"/>
        </w:rPr>
        <w:t>sufficiently</w:t>
      </w:r>
      <w:r>
        <w:rPr>
          <w:spacing w:val="-16"/>
          <w:w w:val="110"/>
          <w:sz w:val="20"/>
        </w:rPr>
        <w:t xml:space="preserve"> </w:t>
      </w:r>
      <w:r>
        <w:rPr>
          <w:w w:val="110"/>
          <w:sz w:val="20"/>
        </w:rPr>
        <w:t>severe</w:t>
      </w:r>
      <w:r>
        <w:rPr>
          <w:spacing w:val="-17"/>
          <w:w w:val="110"/>
          <w:sz w:val="20"/>
        </w:rPr>
        <w:t xml:space="preserve"> </w:t>
      </w:r>
      <w:r>
        <w:rPr>
          <w:w w:val="110"/>
          <w:sz w:val="20"/>
        </w:rPr>
        <w:t>to warrant independent clinical</w:t>
      </w:r>
      <w:r>
        <w:rPr>
          <w:spacing w:val="39"/>
          <w:w w:val="110"/>
          <w:sz w:val="20"/>
        </w:rPr>
        <w:t xml:space="preserve"> </w:t>
      </w:r>
      <w:r>
        <w:rPr>
          <w:w w:val="110"/>
          <w:sz w:val="20"/>
        </w:rPr>
        <w:t>attention.</w:t>
      </w:r>
    </w:p>
    <w:p w:rsidR="00E675F0" w:rsidRDefault="00E675F0" w:rsidP="00E675F0">
      <w:pPr>
        <w:pStyle w:val="BodyText"/>
        <w:spacing w:before="7"/>
        <w:rPr>
          <w:sz w:val="25"/>
        </w:rPr>
      </w:pPr>
    </w:p>
    <w:p w:rsidR="00E675F0" w:rsidRDefault="00E675F0" w:rsidP="00E675F0">
      <w:pPr>
        <w:spacing w:line="237" w:lineRule="auto"/>
        <w:ind w:left="2017" w:right="2062" w:firstLine="16"/>
        <w:jc w:val="center"/>
        <w:rPr>
          <w:rFonts w:ascii="TimesNewRomanPS-BoldItalicMT"/>
          <w:b/>
          <w:i/>
          <w:sz w:val="28"/>
        </w:rPr>
      </w:pPr>
      <w:r>
        <w:rPr>
          <w:rFonts w:ascii="TimesNewRomanPS-BoldItalicMT"/>
          <w:b/>
          <w:i/>
          <w:w w:val="115"/>
          <w:sz w:val="28"/>
        </w:rPr>
        <w:t>Additional Information on Inhalant-Related Disorders</w:t>
      </w:r>
    </w:p>
    <w:p w:rsidR="00E675F0" w:rsidRDefault="00E675F0" w:rsidP="00E675F0">
      <w:pPr>
        <w:pStyle w:val="BodyText"/>
        <w:rPr>
          <w:rFonts w:ascii="TimesNewRomanPS-BoldItalicMT"/>
          <w:b/>
          <w:i/>
          <w:sz w:val="37"/>
        </w:rPr>
      </w:pPr>
    </w:p>
    <w:p w:rsidR="00E675F0" w:rsidRDefault="00E675F0" w:rsidP="00E675F0">
      <w:pPr>
        <w:ind w:left="107"/>
        <w:jc w:val="both"/>
        <w:rPr>
          <w:rFonts w:ascii="TimesNewRomanPS-BoldItalicMT"/>
          <w:b/>
          <w:i/>
          <w:sz w:val="24"/>
        </w:rPr>
      </w:pPr>
      <w:r>
        <w:rPr>
          <w:rFonts w:ascii="TimesNewRomanPS-BoldItalicMT"/>
          <w:b/>
          <w:i/>
          <w:w w:val="115"/>
          <w:sz w:val="24"/>
        </w:rPr>
        <w:t>Associated Features and Disorders</w:t>
      </w:r>
    </w:p>
    <w:p w:rsidR="00E675F0" w:rsidRDefault="00E675F0" w:rsidP="00E675F0">
      <w:pPr>
        <w:pStyle w:val="BodyText"/>
        <w:spacing w:before="161" w:line="252" w:lineRule="auto"/>
        <w:ind w:left="126" w:right="113" w:hanging="2"/>
        <w:jc w:val="both"/>
      </w:pPr>
      <w:r>
        <w:rPr>
          <w:b/>
          <w:w w:val="105"/>
        </w:rPr>
        <w:t xml:space="preserve">Associated descriptive features and mental disorders. </w:t>
      </w:r>
      <w:r>
        <w:rPr>
          <w:w w:val="105"/>
        </w:rPr>
        <w:t>Individuals with Inhalant Intoxication may present with auditory, visual, or tactile hallucinations or other percep­ tual disturbances (macropsia, micropsia, illusionary misperceptions, alterations in time perception). Delusions (such as believing one can fly) may develop during periods of Inhalant</w:t>
      </w:r>
      <w:r>
        <w:rPr>
          <w:spacing w:val="-10"/>
          <w:w w:val="105"/>
        </w:rPr>
        <w:t xml:space="preserve"> </w:t>
      </w:r>
      <w:r>
        <w:rPr>
          <w:w w:val="105"/>
        </w:rPr>
        <w:t>Intoxication,</w:t>
      </w:r>
      <w:r>
        <w:rPr>
          <w:spacing w:val="-2"/>
          <w:w w:val="105"/>
        </w:rPr>
        <w:t xml:space="preserve"> </w:t>
      </w:r>
      <w:r>
        <w:rPr>
          <w:w w:val="105"/>
        </w:rPr>
        <w:t>especially</w:t>
      </w:r>
      <w:r>
        <w:rPr>
          <w:spacing w:val="-6"/>
          <w:w w:val="105"/>
        </w:rPr>
        <w:t xml:space="preserve"> </w:t>
      </w:r>
      <w:r>
        <w:rPr>
          <w:w w:val="105"/>
        </w:rPr>
        <w:t>those</w:t>
      </w:r>
      <w:r>
        <w:rPr>
          <w:spacing w:val="-13"/>
          <w:w w:val="105"/>
        </w:rPr>
        <w:t xml:space="preserve"> </w:t>
      </w:r>
      <w:r>
        <w:rPr>
          <w:w w:val="105"/>
        </w:rPr>
        <w:t>characterized</w:t>
      </w:r>
      <w:r>
        <w:rPr>
          <w:spacing w:val="5"/>
          <w:w w:val="105"/>
        </w:rPr>
        <w:t xml:space="preserve"> </w:t>
      </w:r>
      <w:r>
        <w:rPr>
          <w:w w:val="105"/>
        </w:rPr>
        <w:t>by</w:t>
      </w:r>
      <w:r>
        <w:rPr>
          <w:spacing w:val="-7"/>
          <w:w w:val="105"/>
        </w:rPr>
        <w:t xml:space="preserve"> </w:t>
      </w:r>
      <w:r>
        <w:rPr>
          <w:w w:val="105"/>
        </w:rPr>
        <w:t>marked</w:t>
      </w:r>
      <w:r>
        <w:rPr>
          <w:spacing w:val="-10"/>
          <w:w w:val="105"/>
        </w:rPr>
        <w:t xml:space="preserve"> </w:t>
      </w:r>
      <w:r>
        <w:rPr>
          <w:w w:val="105"/>
        </w:rPr>
        <w:t>confusion; in</w:t>
      </w:r>
      <w:r>
        <w:rPr>
          <w:spacing w:val="-22"/>
          <w:w w:val="105"/>
        </w:rPr>
        <w:t xml:space="preserve"> </w:t>
      </w:r>
      <w:r>
        <w:rPr>
          <w:w w:val="105"/>
        </w:rPr>
        <w:t>some</w:t>
      </w:r>
      <w:r>
        <w:rPr>
          <w:spacing w:val="-15"/>
          <w:w w:val="105"/>
        </w:rPr>
        <w:t xml:space="preserve"> </w:t>
      </w:r>
      <w:r>
        <w:rPr>
          <w:w w:val="105"/>
        </w:rPr>
        <w:t>cases, these delusions may be acted on with resultant injury. Anxiety may also be present. Repeated but episodic intake of inhalants may first be associated with school problems (e.g., truancy, poor grades, dropping out of school) as well as family conflict. Use by older adolescents and young adults is often associated with social and work problems (e.g., delinquency, unemployment). Most commonly, inhalants are used by adolescents in a group setting. Solitary use tends to be more typical of those with long-term, heavy use. The use of inhalants as the predominant substance among those seeking help for Substance Dependence appears to be rare, but inhalants may be a secondary drug used by individuals with Dependence on other substances.  In some individuals,  there  may be a progression to a stage at which inhalants become the preferred</w:t>
      </w:r>
      <w:r>
        <w:rPr>
          <w:spacing w:val="6"/>
          <w:w w:val="105"/>
        </w:rPr>
        <w:t xml:space="preserve"> </w:t>
      </w:r>
      <w:r>
        <w:rPr>
          <w:w w:val="105"/>
        </w:rPr>
        <w:t>substance.</w:t>
      </w:r>
    </w:p>
    <w:p w:rsidR="00E675F0" w:rsidRDefault="00E675F0" w:rsidP="00E675F0">
      <w:pPr>
        <w:pStyle w:val="BodyText"/>
        <w:spacing w:before="9"/>
        <w:rPr>
          <w:sz w:val="24"/>
        </w:rPr>
      </w:pPr>
    </w:p>
    <w:p w:rsidR="00E675F0" w:rsidRDefault="00E675F0" w:rsidP="00E675F0">
      <w:pPr>
        <w:pStyle w:val="BodyText"/>
        <w:spacing w:line="254" w:lineRule="auto"/>
        <w:ind w:left="139" w:right="114" w:hanging="9"/>
        <w:jc w:val="both"/>
      </w:pPr>
      <w:r>
        <w:rPr>
          <w:b/>
          <w:w w:val="105"/>
        </w:rPr>
        <w:t xml:space="preserve">Associated laboratory findings. </w:t>
      </w:r>
      <w:r>
        <w:rPr>
          <w:w w:val="105"/>
        </w:rPr>
        <w:t>Direct assay for inhalants  is rarely  used  clinically and is generally not part of routine screening for drugs of abuse. Damage to muscles, kidneys, liver, and other organs can result in laboratory tests being indicative of these pathological</w:t>
      </w:r>
      <w:r>
        <w:rPr>
          <w:spacing w:val="14"/>
          <w:w w:val="105"/>
        </w:rPr>
        <w:t xml:space="preserve"> </w:t>
      </w:r>
      <w:r>
        <w:rPr>
          <w:w w:val="105"/>
        </w:rPr>
        <w:t>conditions.</w:t>
      </w:r>
    </w:p>
    <w:p w:rsidR="00E675F0" w:rsidRDefault="00E675F0" w:rsidP="00E675F0">
      <w:pPr>
        <w:pStyle w:val="BodyText"/>
        <w:spacing w:before="4"/>
        <w:rPr>
          <w:sz w:val="24"/>
        </w:rPr>
      </w:pPr>
    </w:p>
    <w:p w:rsidR="00E675F0" w:rsidRDefault="00E675F0" w:rsidP="00E675F0">
      <w:pPr>
        <w:pStyle w:val="BodyText"/>
        <w:spacing w:line="254" w:lineRule="auto"/>
        <w:ind w:left="133" w:right="109" w:firstLine="1"/>
        <w:jc w:val="both"/>
      </w:pPr>
      <w:r>
        <w:rPr>
          <w:b/>
          <w:w w:val="105"/>
        </w:rPr>
        <w:t xml:space="preserve">Associated  physical  examination   findings   and  general   medical   conditions. </w:t>
      </w:r>
      <w:r>
        <w:rPr>
          <w:w w:val="105"/>
        </w:rPr>
        <w:t>The odor of paint or solvents may be present on the breath or clothes  of  individuals who use inhalants, or there may be a residue of the substance on clothing or skin. A "glue sniffer's rash" may be evident around the nose and mouth, and conjunctiva! irritation may be noted. There may be evidence of trauma due to disinhibited  behavior or burns due to the flammable nature of these compounds. Nonspecific respiratory findings include evidence of upper- or lower-airway irritation, including coughing, sinus discharge, dyspnea, rales, or rhonchi; rarely, cyanosis may result from pneumonitis or asphyxia. There may also be headache, generalized weakness, abdominal pain, nausea, and vomiting. Inhalants can cause both central and peripheral nervous system</w:t>
      </w:r>
      <w:r>
        <w:rPr>
          <w:spacing w:val="13"/>
          <w:w w:val="105"/>
        </w:rPr>
        <w:t xml:space="preserve"> </w:t>
      </w:r>
      <w:r>
        <w:rPr>
          <w:w w:val="105"/>
        </w:rPr>
        <w:t>damage,</w:t>
      </w:r>
    </w:p>
    <w:p w:rsidR="00E675F0" w:rsidRDefault="00E675F0" w:rsidP="00E675F0">
      <w:pPr>
        <w:spacing w:line="254" w:lineRule="auto"/>
        <w:jc w:val="both"/>
        <w:sectPr w:rsidR="00E675F0">
          <w:pgSz w:w="8960" w:h="14260"/>
          <w:pgMar w:top="1400" w:right="600" w:bottom="280" w:left="620" w:header="681" w:footer="0" w:gutter="0"/>
          <w:cols w:space="720"/>
        </w:sectPr>
      </w:pPr>
    </w:p>
    <w:p w:rsidR="00E675F0" w:rsidRDefault="00E675F0" w:rsidP="00E675F0">
      <w:pPr>
        <w:pStyle w:val="BodyText"/>
        <w:spacing w:before="116" w:line="254" w:lineRule="auto"/>
        <w:ind w:left="134" w:right="104" w:firstLine="2"/>
        <w:jc w:val="both"/>
      </w:pPr>
      <w:r>
        <w:rPr>
          <w:w w:val="105"/>
        </w:rPr>
        <w:lastRenderedPageBreak/>
        <w:t>which may be permanent. Examination of the individual who chronically uses inhalants may reveal a number of neurological deficits, including generalized weakness and peripheral neuropathies. Cerebral atrophy, cerebellar degeneration, and white matter lesions resulting in cranial nerve or pyramidal tract signs have been reported among individuals with heavy use. Recurrent use may lead to the development of hepatitis (which may progress to cirrhosis) or metabolic acidosis consistent with distal renal tubular</w:t>
      </w:r>
      <w:r>
        <w:rPr>
          <w:spacing w:val="-11"/>
          <w:w w:val="105"/>
        </w:rPr>
        <w:t xml:space="preserve"> </w:t>
      </w:r>
      <w:r>
        <w:rPr>
          <w:w w:val="105"/>
        </w:rPr>
        <w:t>acidosis.</w:t>
      </w:r>
      <w:r>
        <w:rPr>
          <w:spacing w:val="-6"/>
          <w:w w:val="105"/>
        </w:rPr>
        <w:t xml:space="preserve"> </w:t>
      </w:r>
      <w:r>
        <w:rPr>
          <w:w w:val="105"/>
        </w:rPr>
        <w:t>Chronic</w:t>
      </w:r>
      <w:r>
        <w:rPr>
          <w:spacing w:val="-6"/>
          <w:w w:val="105"/>
        </w:rPr>
        <w:t xml:space="preserve"> </w:t>
      </w:r>
      <w:r>
        <w:rPr>
          <w:w w:val="105"/>
        </w:rPr>
        <w:t>renal</w:t>
      </w:r>
      <w:r>
        <w:rPr>
          <w:spacing w:val="-14"/>
          <w:w w:val="105"/>
        </w:rPr>
        <w:t xml:space="preserve"> </w:t>
      </w:r>
      <w:r>
        <w:rPr>
          <w:w w:val="105"/>
        </w:rPr>
        <w:t>failure,</w:t>
      </w:r>
      <w:r>
        <w:rPr>
          <w:spacing w:val="2"/>
          <w:w w:val="105"/>
        </w:rPr>
        <w:t xml:space="preserve"> </w:t>
      </w:r>
      <w:r>
        <w:rPr>
          <w:w w:val="105"/>
        </w:rPr>
        <w:t>hepatorenal</w:t>
      </w:r>
      <w:r>
        <w:rPr>
          <w:spacing w:val="-4"/>
          <w:w w:val="105"/>
        </w:rPr>
        <w:t xml:space="preserve"> </w:t>
      </w:r>
      <w:r>
        <w:rPr>
          <w:w w:val="105"/>
        </w:rPr>
        <w:t>syndrome,</w:t>
      </w:r>
      <w:r>
        <w:rPr>
          <w:spacing w:val="-3"/>
          <w:w w:val="105"/>
        </w:rPr>
        <w:t xml:space="preserve"> </w:t>
      </w:r>
      <w:r>
        <w:rPr>
          <w:w w:val="105"/>
        </w:rPr>
        <w:t>and</w:t>
      </w:r>
      <w:r>
        <w:rPr>
          <w:spacing w:val="8"/>
          <w:w w:val="105"/>
        </w:rPr>
        <w:t xml:space="preserve"> </w:t>
      </w:r>
      <w:r>
        <w:rPr>
          <w:w w:val="105"/>
        </w:rPr>
        <w:t>proximal</w:t>
      </w:r>
      <w:r>
        <w:rPr>
          <w:spacing w:val="-5"/>
          <w:w w:val="105"/>
        </w:rPr>
        <w:t xml:space="preserve"> </w:t>
      </w:r>
      <w:r>
        <w:rPr>
          <w:w w:val="105"/>
        </w:rPr>
        <w:t>renal</w:t>
      </w:r>
      <w:r>
        <w:rPr>
          <w:spacing w:val="-17"/>
          <w:w w:val="105"/>
        </w:rPr>
        <w:t xml:space="preserve"> </w:t>
      </w:r>
      <w:r>
        <w:rPr>
          <w:w w:val="105"/>
        </w:rPr>
        <w:t>tubular acidosis have also been reported, as has bone marrow suppression. Some inhalants (e.g., methylene chloride) may be metabolized to carbon monoxide. Death may occur from respiratory</w:t>
      </w:r>
      <w:r>
        <w:rPr>
          <w:spacing w:val="-1"/>
          <w:w w:val="105"/>
        </w:rPr>
        <w:t xml:space="preserve"> </w:t>
      </w:r>
      <w:r>
        <w:rPr>
          <w:w w:val="105"/>
        </w:rPr>
        <w:t>or</w:t>
      </w:r>
      <w:r>
        <w:rPr>
          <w:spacing w:val="-17"/>
          <w:w w:val="105"/>
        </w:rPr>
        <w:t xml:space="preserve"> </w:t>
      </w:r>
      <w:r>
        <w:rPr>
          <w:w w:val="105"/>
        </w:rPr>
        <w:t>cardiovascular</w:t>
      </w:r>
      <w:r>
        <w:rPr>
          <w:spacing w:val="-19"/>
          <w:w w:val="105"/>
        </w:rPr>
        <w:t xml:space="preserve"> </w:t>
      </w:r>
      <w:r>
        <w:rPr>
          <w:w w:val="105"/>
        </w:rPr>
        <w:t>depression; in</w:t>
      </w:r>
      <w:r>
        <w:rPr>
          <w:spacing w:val="-4"/>
          <w:w w:val="105"/>
        </w:rPr>
        <w:t xml:space="preserve"> </w:t>
      </w:r>
      <w:r>
        <w:rPr>
          <w:w w:val="105"/>
        </w:rPr>
        <w:t>particular,</w:t>
      </w:r>
      <w:r>
        <w:rPr>
          <w:spacing w:val="-2"/>
          <w:w w:val="105"/>
        </w:rPr>
        <w:t xml:space="preserve"> </w:t>
      </w:r>
      <w:r>
        <w:rPr>
          <w:w w:val="105"/>
        </w:rPr>
        <w:t>"sudden</w:t>
      </w:r>
      <w:r>
        <w:rPr>
          <w:spacing w:val="-13"/>
          <w:w w:val="105"/>
        </w:rPr>
        <w:t xml:space="preserve"> </w:t>
      </w:r>
      <w:r>
        <w:rPr>
          <w:w w:val="105"/>
        </w:rPr>
        <w:t>sniffing</w:t>
      </w:r>
      <w:r>
        <w:rPr>
          <w:spacing w:val="-7"/>
          <w:w w:val="105"/>
        </w:rPr>
        <w:t xml:space="preserve"> </w:t>
      </w:r>
      <w:r>
        <w:rPr>
          <w:w w:val="105"/>
        </w:rPr>
        <w:t>death"</w:t>
      </w:r>
      <w:r>
        <w:rPr>
          <w:spacing w:val="-9"/>
          <w:w w:val="105"/>
        </w:rPr>
        <w:t xml:space="preserve"> </w:t>
      </w:r>
      <w:r>
        <w:rPr>
          <w:w w:val="105"/>
        </w:rPr>
        <w:t>may</w:t>
      </w:r>
      <w:r>
        <w:rPr>
          <w:spacing w:val="-12"/>
          <w:w w:val="105"/>
        </w:rPr>
        <w:t xml:space="preserve"> </w:t>
      </w:r>
      <w:r>
        <w:rPr>
          <w:w w:val="105"/>
        </w:rPr>
        <w:t>result from acute arrhythmia, hypoxia, or electrolyte</w:t>
      </w:r>
      <w:r>
        <w:rPr>
          <w:spacing w:val="38"/>
          <w:w w:val="105"/>
        </w:rPr>
        <w:t xml:space="preserve"> </w:t>
      </w:r>
      <w:r>
        <w:rPr>
          <w:w w:val="105"/>
        </w:rPr>
        <w:t>abnormalities.</w:t>
      </w:r>
    </w:p>
    <w:p w:rsidR="00E675F0" w:rsidRDefault="00E675F0" w:rsidP="00E675F0">
      <w:pPr>
        <w:pStyle w:val="BodyText"/>
        <w:rPr>
          <w:sz w:val="22"/>
        </w:rPr>
      </w:pPr>
    </w:p>
    <w:p w:rsidR="00E675F0" w:rsidRDefault="00E675F0" w:rsidP="00E675F0">
      <w:pPr>
        <w:spacing w:before="186" w:line="247" w:lineRule="auto"/>
        <w:ind w:left="116" w:right="4699" w:firstLine="17"/>
        <w:rPr>
          <w:rFonts w:ascii="TimesNewRomanPS-BoldItalicMT"/>
          <w:b/>
          <w:i/>
          <w:sz w:val="24"/>
        </w:rPr>
      </w:pPr>
      <w:r>
        <w:rPr>
          <w:rFonts w:ascii="TimesNewRomanPS-BoldItalicMT"/>
          <w:b/>
          <w:i/>
          <w:w w:val="110"/>
          <w:sz w:val="24"/>
        </w:rPr>
        <w:t>Specific Culture, Age, and Gender Features</w:t>
      </w:r>
    </w:p>
    <w:p w:rsidR="00E675F0" w:rsidRDefault="00E675F0" w:rsidP="00E675F0">
      <w:pPr>
        <w:pStyle w:val="BodyText"/>
        <w:spacing w:before="147" w:line="254" w:lineRule="auto"/>
        <w:ind w:left="140" w:right="117" w:firstLine="4"/>
        <w:jc w:val="both"/>
      </w:pPr>
      <w:r>
        <w:rPr>
          <w:w w:val="105"/>
        </w:rPr>
        <w:t xml:space="preserve">Because of their low cost and easy availability, inhalants are often the first drugs of experimentation for young people, and there may be a higher incidence among those living in economically depressed areas. Inhalant use may begin by ages </w:t>
      </w:r>
      <w:r>
        <w:rPr>
          <w:w w:val="105"/>
          <w:sz w:val="19"/>
        </w:rPr>
        <w:t xml:space="preserve">9-12 </w:t>
      </w:r>
      <w:r>
        <w:rPr>
          <w:w w:val="105"/>
        </w:rPr>
        <w:t xml:space="preserve">years, appears to peak in adolescence, and is less common after age 35 years. Males account for </w:t>
      </w:r>
      <w:r>
        <w:rPr>
          <w:rFonts w:ascii="Arial"/>
          <w:w w:val="105"/>
          <w:sz w:val="18"/>
        </w:rPr>
        <w:t xml:space="preserve">70%-80% </w:t>
      </w:r>
      <w:r>
        <w:rPr>
          <w:w w:val="105"/>
        </w:rPr>
        <w:t>of inhalant-related emergency-room</w:t>
      </w:r>
      <w:r>
        <w:rPr>
          <w:spacing w:val="25"/>
          <w:w w:val="105"/>
        </w:rPr>
        <w:t xml:space="preserve"> </w:t>
      </w:r>
      <w:r>
        <w:rPr>
          <w:w w:val="105"/>
        </w:rPr>
        <w:t>visits.</w:t>
      </w:r>
    </w:p>
    <w:p w:rsidR="00E675F0" w:rsidRDefault="00E675F0" w:rsidP="00E675F0">
      <w:pPr>
        <w:pStyle w:val="BodyText"/>
        <w:rPr>
          <w:sz w:val="22"/>
        </w:rPr>
      </w:pPr>
    </w:p>
    <w:p w:rsidR="00E675F0" w:rsidRDefault="00E675F0" w:rsidP="00E675F0">
      <w:pPr>
        <w:spacing w:before="192"/>
        <w:ind w:left="126"/>
        <w:rPr>
          <w:rFonts w:ascii="TimesNewRomanPS-BoldItalicMT"/>
          <w:b/>
          <w:i/>
          <w:sz w:val="24"/>
        </w:rPr>
      </w:pPr>
      <w:r>
        <w:rPr>
          <w:rFonts w:ascii="TimesNewRomanPS-BoldItalicMT"/>
          <w:b/>
          <w:i/>
          <w:w w:val="115"/>
          <w:sz w:val="24"/>
        </w:rPr>
        <w:t>Prevalence</w:t>
      </w:r>
    </w:p>
    <w:p w:rsidR="00E675F0" w:rsidRDefault="00E675F0" w:rsidP="00E675F0">
      <w:pPr>
        <w:pStyle w:val="BodyText"/>
        <w:spacing w:before="156" w:line="256" w:lineRule="auto"/>
        <w:ind w:left="137" w:right="120" w:firstLine="1"/>
        <w:jc w:val="both"/>
      </w:pPr>
      <w:r>
        <w:rPr>
          <w:w w:val="105"/>
        </w:rPr>
        <w:t>Inhalant Dependence and Abuse appear to occur in only a small proportion of individuals who use inhalants.</w:t>
      </w:r>
    </w:p>
    <w:p w:rsidR="00E675F0" w:rsidRDefault="00E675F0" w:rsidP="00E675F0">
      <w:pPr>
        <w:pStyle w:val="BodyText"/>
        <w:rPr>
          <w:sz w:val="22"/>
        </w:rPr>
      </w:pPr>
    </w:p>
    <w:p w:rsidR="00E675F0" w:rsidRDefault="00E675F0" w:rsidP="00E675F0">
      <w:pPr>
        <w:spacing w:before="188"/>
        <w:ind w:left="113"/>
        <w:rPr>
          <w:rFonts w:ascii="TimesNewRomanPS-BoldItalicMT"/>
          <w:b/>
          <w:i/>
          <w:sz w:val="24"/>
        </w:rPr>
      </w:pPr>
      <w:r>
        <w:rPr>
          <w:rFonts w:ascii="TimesNewRomanPS-BoldItalicMT"/>
          <w:b/>
          <w:i/>
          <w:w w:val="115"/>
          <w:sz w:val="24"/>
        </w:rPr>
        <w:t>Course</w:t>
      </w:r>
    </w:p>
    <w:p w:rsidR="00E675F0" w:rsidRDefault="00E675F0" w:rsidP="00E675F0">
      <w:pPr>
        <w:pStyle w:val="BodyText"/>
        <w:spacing w:before="165" w:line="252" w:lineRule="auto"/>
        <w:ind w:left="133" w:right="101" w:firstLine="4"/>
        <w:jc w:val="both"/>
      </w:pPr>
      <w:r>
        <w:rPr>
          <w:w w:val="105"/>
        </w:rPr>
        <w:t xml:space="preserve">It can be difficult to match inhalant dose to effect because the different methods of administration and the varying concentrations of inhalants in the products used cause highly variable concentrations in the body. The time course of Inhalant Intoxication is related to the pharmacological characteristics of the specific substance used, but it is typically brief, lasting from a few minutes to an hour. Onset is rapid, peaking within a few minutes after inhaling. Younger children diagnosed as having Inhalant Dependence may use inhalants several times a week, often on weekends and after school. Severe dependence in adults may involve varying periods of intoxication throughout each day and occasional periods of heavier use that may last several days. This pattern may persist for years, with recurrent need for treatment. Individuals who use inhalants may have a preferred level or degree of intoxication, and the method of administration (typically sniffing from a container or breathing through a rag soaked in the substance) may allow the individual to maintain that level for several hours. Cases have also been reported of the development of Dependence in industrial workers who have long-term occupational exposure and access </w:t>
      </w:r>
      <w:r>
        <w:rPr>
          <w:w w:val="105"/>
          <w:sz w:val="18"/>
        </w:rPr>
        <w:t xml:space="preserve">to </w:t>
      </w:r>
      <w:r>
        <w:rPr>
          <w:w w:val="105"/>
        </w:rPr>
        <w:t>inhalants. A worker may begin to use the compound for its psychoactive effects and subsequently develop a pattern  of  Dependence.  Use leading to Dependence may also occur in people who do not have access to other substances (e.g., prisoners, isolated military personnel, and adolescents or young adults in isolated rural</w:t>
      </w:r>
      <w:r>
        <w:rPr>
          <w:spacing w:val="4"/>
          <w:w w:val="105"/>
        </w:rPr>
        <w:t xml:space="preserve"> </w:t>
      </w:r>
      <w:r>
        <w:rPr>
          <w:w w:val="105"/>
        </w:rPr>
        <w:t>areas).</w:t>
      </w:r>
    </w:p>
    <w:p w:rsidR="00E675F0" w:rsidRDefault="00E675F0" w:rsidP="00E675F0">
      <w:pPr>
        <w:spacing w:line="252" w:lineRule="auto"/>
        <w:jc w:val="both"/>
        <w:sectPr w:rsidR="00E675F0">
          <w:pgSz w:w="8960" w:h="14260"/>
          <w:pgMar w:top="1400" w:right="640" w:bottom="280" w:left="600" w:header="695" w:footer="0" w:gutter="0"/>
          <w:cols w:space="720"/>
        </w:sectPr>
      </w:pPr>
    </w:p>
    <w:p w:rsidR="00E675F0" w:rsidRDefault="00E675F0" w:rsidP="00E675F0">
      <w:pPr>
        <w:spacing w:before="124"/>
        <w:ind w:left="119"/>
        <w:jc w:val="both"/>
        <w:rPr>
          <w:rFonts w:ascii="TimesNewRomanPS-BoldItalicMT"/>
          <w:b/>
          <w:i/>
          <w:sz w:val="24"/>
        </w:rPr>
      </w:pPr>
      <w:bookmarkStart w:id="158" w:name="_bookmark138"/>
      <w:bookmarkEnd w:id="158"/>
      <w:r>
        <w:rPr>
          <w:rFonts w:ascii="TimesNewRomanPS-BoldItalicMT"/>
          <w:b/>
          <w:i/>
          <w:w w:val="110"/>
          <w:sz w:val="24"/>
        </w:rPr>
        <w:lastRenderedPageBreak/>
        <w:t>Dif.ferential Diagnosis</w:t>
      </w:r>
    </w:p>
    <w:p w:rsidR="00E675F0" w:rsidRDefault="00E675F0" w:rsidP="00E675F0">
      <w:pPr>
        <w:pStyle w:val="BodyText"/>
        <w:spacing w:before="136"/>
        <w:ind w:left="136"/>
        <w:jc w:val="both"/>
      </w:pPr>
      <w:r>
        <w:rPr>
          <w:w w:val="105"/>
        </w:rPr>
        <w:t>For a general discussion of the differential diagnosis of Substance-Related Disorders, see</w:t>
      </w:r>
    </w:p>
    <w:p w:rsidR="00E675F0" w:rsidRDefault="00E675F0" w:rsidP="00E675F0">
      <w:pPr>
        <w:pStyle w:val="BodyText"/>
        <w:spacing w:before="15" w:line="254" w:lineRule="auto"/>
        <w:ind w:left="138" w:right="149" w:firstLine="2"/>
        <w:jc w:val="both"/>
      </w:pPr>
      <w:r>
        <w:rPr>
          <w:w w:val="110"/>
        </w:rPr>
        <w:t>p.</w:t>
      </w:r>
      <w:r>
        <w:rPr>
          <w:spacing w:val="-29"/>
          <w:w w:val="110"/>
        </w:rPr>
        <w:t xml:space="preserve"> </w:t>
      </w:r>
      <w:r>
        <w:rPr>
          <w:w w:val="110"/>
        </w:rPr>
        <w:t>190.</w:t>
      </w:r>
      <w:r>
        <w:rPr>
          <w:spacing w:val="-21"/>
          <w:w w:val="110"/>
        </w:rPr>
        <w:t xml:space="preserve"> </w:t>
      </w:r>
      <w:r>
        <w:rPr>
          <w:w w:val="110"/>
        </w:rPr>
        <w:t>Inhalant-Induced</w:t>
      </w:r>
      <w:r>
        <w:rPr>
          <w:spacing w:val="-25"/>
          <w:w w:val="110"/>
        </w:rPr>
        <w:t xml:space="preserve"> </w:t>
      </w:r>
      <w:r>
        <w:rPr>
          <w:w w:val="110"/>
        </w:rPr>
        <w:t>Disorders</w:t>
      </w:r>
      <w:r>
        <w:rPr>
          <w:spacing w:val="-14"/>
          <w:w w:val="110"/>
        </w:rPr>
        <w:t xml:space="preserve"> </w:t>
      </w:r>
      <w:r>
        <w:rPr>
          <w:w w:val="110"/>
        </w:rPr>
        <w:t>may</w:t>
      </w:r>
      <w:r>
        <w:rPr>
          <w:spacing w:val="-18"/>
          <w:w w:val="110"/>
        </w:rPr>
        <w:t xml:space="preserve"> </w:t>
      </w:r>
      <w:r>
        <w:rPr>
          <w:w w:val="110"/>
        </w:rPr>
        <w:t>be</w:t>
      </w:r>
      <w:r>
        <w:rPr>
          <w:spacing w:val="-24"/>
          <w:w w:val="110"/>
        </w:rPr>
        <w:t xml:space="preserve"> </w:t>
      </w:r>
      <w:r>
        <w:rPr>
          <w:w w:val="110"/>
        </w:rPr>
        <w:t>characterized</w:t>
      </w:r>
      <w:r>
        <w:rPr>
          <w:spacing w:val="-15"/>
          <w:w w:val="110"/>
        </w:rPr>
        <w:t xml:space="preserve"> </w:t>
      </w:r>
      <w:r>
        <w:rPr>
          <w:w w:val="110"/>
        </w:rPr>
        <w:t>by</w:t>
      </w:r>
      <w:r>
        <w:rPr>
          <w:spacing w:val="-26"/>
          <w:w w:val="110"/>
        </w:rPr>
        <w:t xml:space="preserve"> </w:t>
      </w:r>
      <w:r>
        <w:rPr>
          <w:w w:val="110"/>
        </w:rPr>
        <w:t>symptoms</w:t>
      </w:r>
      <w:r>
        <w:rPr>
          <w:spacing w:val="-18"/>
          <w:w w:val="110"/>
        </w:rPr>
        <w:t xml:space="preserve"> </w:t>
      </w:r>
      <w:r>
        <w:rPr>
          <w:w w:val="110"/>
        </w:rPr>
        <w:t>(e.g.,</w:t>
      </w:r>
      <w:r>
        <w:rPr>
          <w:spacing w:val="-22"/>
          <w:w w:val="110"/>
        </w:rPr>
        <w:t xml:space="preserve"> </w:t>
      </w:r>
      <w:r>
        <w:rPr>
          <w:w w:val="110"/>
        </w:rPr>
        <w:t xml:space="preserve">depressed mood) that resemble </w:t>
      </w:r>
      <w:r>
        <w:rPr>
          <w:b/>
          <w:w w:val="110"/>
        </w:rPr>
        <w:t xml:space="preserve">primary mental disorders </w:t>
      </w:r>
      <w:r>
        <w:rPr>
          <w:w w:val="110"/>
        </w:rPr>
        <w:t>(e.g., Major Depressive Disorder versus</w:t>
      </w:r>
      <w:r>
        <w:rPr>
          <w:spacing w:val="-28"/>
          <w:w w:val="110"/>
        </w:rPr>
        <w:t xml:space="preserve"> </w:t>
      </w:r>
      <w:r>
        <w:rPr>
          <w:w w:val="110"/>
        </w:rPr>
        <w:t>Inhalant-Induced</w:t>
      </w:r>
      <w:r>
        <w:rPr>
          <w:spacing w:val="-33"/>
          <w:w w:val="110"/>
        </w:rPr>
        <w:t xml:space="preserve"> </w:t>
      </w:r>
      <w:r>
        <w:rPr>
          <w:w w:val="110"/>
        </w:rPr>
        <w:t>Mood</w:t>
      </w:r>
      <w:r>
        <w:rPr>
          <w:spacing w:val="-24"/>
          <w:w w:val="110"/>
        </w:rPr>
        <w:t xml:space="preserve"> </w:t>
      </w:r>
      <w:r>
        <w:rPr>
          <w:w w:val="110"/>
        </w:rPr>
        <w:t>Disorder,</w:t>
      </w:r>
      <w:r>
        <w:rPr>
          <w:spacing w:val="-26"/>
          <w:w w:val="110"/>
        </w:rPr>
        <w:t xml:space="preserve"> </w:t>
      </w:r>
      <w:r>
        <w:rPr>
          <w:w w:val="110"/>
        </w:rPr>
        <w:t>With</w:t>
      </w:r>
      <w:r>
        <w:rPr>
          <w:spacing w:val="-27"/>
          <w:w w:val="110"/>
        </w:rPr>
        <w:t xml:space="preserve"> </w:t>
      </w:r>
      <w:r>
        <w:rPr>
          <w:w w:val="110"/>
        </w:rPr>
        <w:t>Depressive</w:t>
      </w:r>
      <w:r>
        <w:rPr>
          <w:spacing w:val="-27"/>
          <w:w w:val="110"/>
        </w:rPr>
        <w:t xml:space="preserve"> </w:t>
      </w:r>
      <w:r>
        <w:rPr>
          <w:w w:val="110"/>
        </w:rPr>
        <w:t>Features,</w:t>
      </w:r>
      <w:r>
        <w:rPr>
          <w:spacing w:val="-28"/>
          <w:w w:val="110"/>
        </w:rPr>
        <w:t xml:space="preserve"> </w:t>
      </w:r>
      <w:r>
        <w:rPr>
          <w:w w:val="110"/>
        </w:rPr>
        <w:t>With</w:t>
      </w:r>
      <w:r>
        <w:rPr>
          <w:spacing w:val="-31"/>
          <w:w w:val="110"/>
        </w:rPr>
        <w:t xml:space="preserve"> </w:t>
      </w:r>
      <w:r>
        <w:rPr>
          <w:w w:val="110"/>
        </w:rPr>
        <w:t>Onset</w:t>
      </w:r>
      <w:r>
        <w:rPr>
          <w:spacing w:val="-29"/>
          <w:w w:val="110"/>
        </w:rPr>
        <w:t xml:space="preserve"> </w:t>
      </w:r>
      <w:r>
        <w:rPr>
          <w:w w:val="110"/>
        </w:rPr>
        <w:t>During Intoxication). Seep. 193 for a discussion of this differential</w:t>
      </w:r>
      <w:r>
        <w:rPr>
          <w:spacing w:val="-1"/>
          <w:w w:val="110"/>
        </w:rPr>
        <w:t xml:space="preserve"> </w:t>
      </w:r>
      <w:r>
        <w:rPr>
          <w:w w:val="110"/>
        </w:rPr>
        <w:t>diagnosis.</w:t>
      </w:r>
    </w:p>
    <w:p w:rsidR="00E675F0" w:rsidRDefault="00E675F0" w:rsidP="00E675F0">
      <w:pPr>
        <w:pStyle w:val="BodyText"/>
        <w:spacing w:before="1" w:line="254" w:lineRule="auto"/>
        <w:ind w:left="128" w:right="128" w:firstLine="365"/>
        <w:jc w:val="both"/>
      </w:pPr>
      <w:r>
        <w:rPr>
          <w:w w:val="105"/>
        </w:rPr>
        <w:t xml:space="preserve">The symptoms of mild to moderate Inhalant Intoxication can be similar to those of </w:t>
      </w:r>
      <w:r>
        <w:rPr>
          <w:b/>
          <w:w w:val="105"/>
        </w:rPr>
        <w:t xml:space="preserve">Alcohol Intoxication </w:t>
      </w:r>
      <w:r>
        <w:rPr>
          <w:w w:val="105"/>
        </w:rPr>
        <w:t xml:space="preserve">and </w:t>
      </w:r>
      <w:r>
        <w:rPr>
          <w:b/>
          <w:w w:val="105"/>
        </w:rPr>
        <w:t xml:space="preserve">Sedative, Hypnotic, or Anxiolytic  Intoxication.  </w:t>
      </w:r>
      <w:r>
        <w:rPr>
          <w:w w:val="105"/>
        </w:rPr>
        <w:t xml:space="preserve">Breath odor or residues on body or clothing may be important differentiating clues, but should not be relied on exclusively. Individuals who chronically use inhalants are likely to use other substances frequently and heavily, further complicating the diagnostic picture. Concomitant use of alcohol may also make the differentiation difficult. History of the drug used and characteristic findings (including odor of solvent or paint residue) may differentiate Inhalant Intoxication from other substance intoxications; additionally, symptoms may subside faster with Inhalant Intoxication than with other substance intoxications. Rapid onset and resolution may also differentiate Inhalant Intoxication from other mental disorders and neurological conditions. Inhalant Intoxication is distinguished from the </w:t>
      </w:r>
      <w:r>
        <w:rPr>
          <w:b/>
          <w:w w:val="105"/>
        </w:rPr>
        <w:t xml:space="preserve">other Inhalant-Induced Disorders </w:t>
      </w:r>
      <w:r>
        <w:rPr>
          <w:w w:val="105"/>
        </w:rPr>
        <w:t>(e.g.,  Inhalant-Induced Mood Disorder, With Onset During Intoxication) because the symptoms in these latter disorders are in excess of those usually associated with Inhalant Intoxication and are severe enough to warrant independent clinical</w:t>
      </w:r>
      <w:r>
        <w:rPr>
          <w:spacing w:val="39"/>
          <w:w w:val="105"/>
        </w:rPr>
        <w:t xml:space="preserve"> </w:t>
      </w:r>
      <w:r>
        <w:rPr>
          <w:w w:val="105"/>
        </w:rPr>
        <w:t>attention.</w:t>
      </w:r>
    </w:p>
    <w:p w:rsidR="00E675F0" w:rsidRDefault="00E675F0" w:rsidP="00E675F0">
      <w:pPr>
        <w:spacing w:line="254" w:lineRule="auto"/>
        <w:ind w:left="137" w:right="129" w:firstLine="367"/>
        <w:jc w:val="both"/>
        <w:rPr>
          <w:sz w:val="20"/>
        </w:rPr>
      </w:pPr>
      <w:r>
        <w:rPr>
          <w:w w:val="110"/>
          <w:sz w:val="20"/>
        </w:rPr>
        <w:t xml:space="preserve">Industrial workers may occasionally be </w:t>
      </w:r>
      <w:r>
        <w:rPr>
          <w:b/>
          <w:w w:val="110"/>
          <w:sz w:val="20"/>
        </w:rPr>
        <w:t xml:space="preserve">accidentally exposed to volatile chemi­ cals </w:t>
      </w:r>
      <w:r>
        <w:rPr>
          <w:w w:val="110"/>
          <w:sz w:val="20"/>
        </w:rPr>
        <w:t>and suffer physiological intoxication. The category "Other Substance-Related Disorders" should be used for such toxin exposures.</w:t>
      </w:r>
    </w:p>
    <w:p w:rsidR="00E675F0" w:rsidRDefault="00E675F0" w:rsidP="00E675F0">
      <w:pPr>
        <w:pStyle w:val="BodyText"/>
        <w:rPr>
          <w:sz w:val="22"/>
        </w:rPr>
      </w:pPr>
    </w:p>
    <w:p w:rsidR="00E675F0" w:rsidRDefault="00E675F0" w:rsidP="00E675F0">
      <w:pPr>
        <w:pStyle w:val="BodyText"/>
        <w:spacing w:before="7"/>
        <w:rPr>
          <w:sz w:val="18"/>
        </w:rPr>
      </w:pPr>
    </w:p>
    <w:p w:rsidR="00E675F0" w:rsidRDefault="00E675F0" w:rsidP="00E675F0">
      <w:pPr>
        <w:ind w:left="186"/>
        <w:jc w:val="both"/>
        <w:rPr>
          <w:rFonts w:ascii="Arial"/>
          <w:b/>
          <w:sz w:val="26"/>
        </w:rPr>
      </w:pPr>
      <w:r>
        <w:rPr>
          <w:rFonts w:ascii="Arial"/>
          <w:b/>
          <w:w w:val="105"/>
          <w:sz w:val="26"/>
        </w:rPr>
        <w:t>292.9 Inhalant--Related</w:t>
      </w:r>
      <w:r>
        <w:rPr>
          <w:rFonts w:ascii="Arial"/>
          <w:b/>
          <w:spacing w:val="-62"/>
          <w:w w:val="105"/>
          <w:sz w:val="26"/>
        </w:rPr>
        <w:t xml:space="preserve"> </w:t>
      </w:r>
      <w:r>
        <w:rPr>
          <w:rFonts w:ascii="Arial"/>
          <w:b/>
          <w:w w:val="105"/>
          <w:sz w:val="26"/>
        </w:rPr>
        <w:t>Disorder Not Otherwise Specified</w:t>
      </w:r>
    </w:p>
    <w:p w:rsidR="00E675F0" w:rsidRDefault="00E675F0" w:rsidP="00E675F0">
      <w:pPr>
        <w:pStyle w:val="BodyText"/>
        <w:spacing w:before="244" w:line="249" w:lineRule="auto"/>
        <w:ind w:left="143" w:right="129" w:hanging="5"/>
        <w:jc w:val="both"/>
      </w:pPr>
      <w:r>
        <w:rPr>
          <w:w w:val="105"/>
        </w:rPr>
        <w:t>The Inhalant-Related Disorder Not Otherwise Specified category is for disorders associ­ ated with the use of inhalants that are not classifiable as Inhalant Dependence, Inhalant Abuse, Inhalant Intoxication, Inhalant Intoxication Delirium, Inhalant-Induced</w:t>
      </w:r>
      <w:r>
        <w:rPr>
          <w:spacing w:val="-36"/>
          <w:w w:val="105"/>
        </w:rPr>
        <w:t xml:space="preserve"> </w:t>
      </w:r>
      <w:r>
        <w:rPr>
          <w:w w:val="105"/>
        </w:rPr>
        <w:t>Persisting Dementia, Inhalant-Induced Psychotic Disorder, Inhalant-Induced Mood Disorder, or Inhalant-Induced Anxiety</w:t>
      </w:r>
      <w:r>
        <w:rPr>
          <w:spacing w:val="10"/>
          <w:w w:val="105"/>
        </w:rPr>
        <w:t xml:space="preserve"> </w:t>
      </w:r>
      <w:r>
        <w:rPr>
          <w:w w:val="105"/>
        </w:rPr>
        <w:t>Disorder.</w:t>
      </w:r>
    </w:p>
    <w:p w:rsidR="00E675F0" w:rsidRDefault="00E675F0" w:rsidP="00E675F0">
      <w:pPr>
        <w:pStyle w:val="BodyText"/>
      </w:pPr>
    </w:p>
    <w:p w:rsidR="00E675F0" w:rsidRDefault="00E675F0" w:rsidP="00E675F0">
      <w:pPr>
        <w:pStyle w:val="BodyText"/>
        <w:spacing w:before="9"/>
        <w:rPr>
          <w:sz w:val="23"/>
        </w:rPr>
      </w:pPr>
      <w:r>
        <w:rPr>
          <w:noProof/>
        </w:rPr>
        <mc:AlternateContent>
          <mc:Choice Requires="wps">
            <w:drawing>
              <wp:anchor distT="0" distB="0" distL="0" distR="0" simplePos="0" relativeHeight="251888640" behindDoc="1" locked="0" layoutInCell="1" allowOverlap="1" wp14:anchorId="1ECF4C84" wp14:editId="11B73361">
                <wp:simplePos x="0" y="0"/>
                <wp:positionH relativeFrom="page">
                  <wp:posOffset>513080</wp:posOffset>
                </wp:positionH>
                <wp:positionV relativeFrom="paragraph">
                  <wp:posOffset>201930</wp:posOffset>
                </wp:positionV>
                <wp:extent cx="1124585" cy="1270"/>
                <wp:effectExtent l="0" t="0" r="5715" b="0"/>
                <wp:wrapTopAndBottom/>
                <wp:docPr id="1321" name="Freeform 1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24585" cy="1270"/>
                        </a:xfrm>
                        <a:custGeom>
                          <a:avLst/>
                          <a:gdLst>
                            <a:gd name="T0" fmla="+- 0 808 808"/>
                            <a:gd name="T1" fmla="*/ T0 w 1771"/>
                            <a:gd name="T2" fmla="+- 0 2578 808"/>
                            <a:gd name="T3" fmla="*/ T2 w 1771"/>
                          </a:gdLst>
                          <a:ahLst/>
                          <a:cxnLst>
                            <a:cxn ang="0">
                              <a:pos x="T1" y="0"/>
                            </a:cxn>
                            <a:cxn ang="0">
                              <a:pos x="T3" y="0"/>
                            </a:cxn>
                          </a:cxnLst>
                          <a:rect l="0" t="0" r="r" b="b"/>
                          <a:pathLst>
                            <a:path w="1771">
                              <a:moveTo>
                                <a:pt x="0" y="0"/>
                              </a:moveTo>
                              <a:lnTo>
                                <a:pt x="1770" y="0"/>
                              </a:lnTo>
                            </a:path>
                          </a:pathLst>
                        </a:custGeom>
                        <a:noFill/>
                        <a:ln w="61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6C35B" id="Freeform 1277" o:spid="_x0000_s1026" style="position:absolute;margin-left:40.4pt;margin-top:15.9pt;width:88.55pt;height:.1pt;z-index:-251427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7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" path="m,l1770,e" filled="f" strokeweight=".16956mm">
                <v:path arrowok="t" o:connecttype="custom" o:connectlocs="0,0;1123950,0" o:connectangles="0,0"/>
                <w10:wrap type="topAndBottom" anchorx="page"/>
              </v:shape>
            </w:pict>
          </mc:Fallback>
        </mc:AlternateContent>
      </w:r>
      <w:r>
        <w:rPr>
          <w:noProof/>
        </w:rPr>
        <mc:AlternateContent>
          <mc:Choice Requires="wps">
            <w:drawing>
              <wp:anchor distT="0" distB="0" distL="0" distR="0" simplePos="0" relativeHeight="251889664" behindDoc="1" locked="0" layoutInCell="1" allowOverlap="1" wp14:anchorId="3C3AD865" wp14:editId="388C7176">
                <wp:simplePos x="0" y="0"/>
                <wp:positionH relativeFrom="page">
                  <wp:posOffset>4166235</wp:posOffset>
                </wp:positionH>
                <wp:positionV relativeFrom="paragraph">
                  <wp:posOffset>201930</wp:posOffset>
                </wp:positionV>
                <wp:extent cx="1087755" cy="1270"/>
                <wp:effectExtent l="0" t="0" r="4445" b="0"/>
                <wp:wrapTopAndBottom/>
                <wp:docPr id="1320" name="Freeform 1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7755" cy="1270"/>
                        </a:xfrm>
                        <a:custGeom>
                          <a:avLst/>
                          <a:gdLst>
                            <a:gd name="T0" fmla="+- 0 6561 6561"/>
                            <a:gd name="T1" fmla="*/ T0 w 1713"/>
                            <a:gd name="T2" fmla="+- 0 8274 6561"/>
                            <a:gd name="T3" fmla="*/ T2 w 1713"/>
                          </a:gdLst>
                          <a:ahLst/>
                          <a:cxnLst>
                            <a:cxn ang="0">
                              <a:pos x="T1" y="0"/>
                            </a:cxn>
                            <a:cxn ang="0">
                              <a:pos x="T3" y="0"/>
                            </a:cxn>
                          </a:cxnLst>
                          <a:rect l="0" t="0" r="r" b="b"/>
                          <a:pathLst>
                            <a:path w="1713">
                              <a:moveTo>
                                <a:pt x="0" y="0"/>
                              </a:moveTo>
                              <a:lnTo>
                                <a:pt x="1713" y="0"/>
                              </a:lnTo>
                            </a:path>
                          </a:pathLst>
                        </a:custGeom>
                        <a:noFill/>
                        <a:ln w="305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32CD6" id="Freeform 1276" o:spid="_x0000_s1026" style="position:absolute;margin-left:328.05pt;margin-top:15.9pt;width:85.65pt;height:.1pt;z-index:-251426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13,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" path="m,l1713,e" filled="f" strokeweight=".08478mm">
                <v:path arrowok="t" o:connecttype="custom" o:connectlocs="0,0;1087755,0" o:connectangles="0,0"/>
                <w10:wrap type="topAndBottom" anchorx="page"/>
              </v:shape>
            </w:pict>
          </mc:Fallback>
        </mc:AlternateContent>
      </w:r>
    </w:p>
    <w:p w:rsidR="00E675F0" w:rsidRDefault="00E675F0" w:rsidP="00E675F0">
      <w:pPr>
        <w:spacing w:before="106"/>
        <w:ind w:left="1205" w:right="1142"/>
        <w:jc w:val="center"/>
        <w:rPr>
          <w:rFonts w:ascii="Arial"/>
          <w:b/>
          <w:sz w:val="25"/>
        </w:rPr>
      </w:pPr>
      <w:r>
        <w:rPr>
          <w:rFonts w:ascii="Arial"/>
          <w:b/>
          <w:color w:val="161616"/>
          <w:w w:val="110"/>
          <w:sz w:val="25"/>
        </w:rPr>
        <w:t>Nicotine-Related Disorders</w:t>
      </w:r>
    </w:p>
    <w:p w:rsidR="00E675F0" w:rsidRDefault="00E675F0" w:rsidP="00E675F0">
      <w:pPr>
        <w:pStyle w:val="BodyText"/>
        <w:spacing w:before="10"/>
        <w:rPr>
          <w:rFonts w:ascii="Arial"/>
          <w:b/>
          <w:sz w:val="23"/>
        </w:rPr>
      </w:pPr>
    </w:p>
    <w:p w:rsidR="00E675F0" w:rsidRDefault="00E675F0" w:rsidP="00E675F0">
      <w:pPr>
        <w:pStyle w:val="BodyText"/>
        <w:spacing w:line="254" w:lineRule="auto"/>
        <w:ind w:left="146" w:right="127" w:firstLine="10"/>
        <w:jc w:val="both"/>
      </w:pPr>
      <w:r>
        <w:rPr>
          <w:w w:val="105"/>
        </w:rPr>
        <w:t>Nicotine Dependence and Withdrawal can develop with use of all forms of tobacco (cigarettes, chewing tobacco, snuff, pipes, and cigars) and with prescription medications (nicotine gum and patch). The relative ability of these products to produce Dependence or to induce Withdrawal is associated with the rapidity characteristic of the route of administration (smoked over oral over transdermal) and the nicotine content of the product.</w:t>
      </w:r>
    </w:p>
    <w:p w:rsidR="00E675F0" w:rsidRDefault="00E675F0" w:rsidP="00E675F0">
      <w:pPr>
        <w:pStyle w:val="BodyText"/>
        <w:spacing w:before="4" w:line="254" w:lineRule="auto"/>
        <w:ind w:left="147" w:right="130" w:firstLine="356"/>
        <w:jc w:val="both"/>
      </w:pPr>
      <w:r>
        <w:rPr>
          <w:w w:val="105"/>
        </w:rPr>
        <w:t>This section contains discussions specific to the Nicotine-Related Disorders. Texts and criteria sets have already been provided to define the generic aspects of Substance Dependence (p. 176) that apply across all substances. Text specific to Nicotine Dependence is provided below. Nicotine intoxication and nicotine abuse are not</w:t>
      </w:r>
    </w:p>
    <w:p w:rsidR="00E675F0" w:rsidRDefault="00E675F0" w:rsidP="00E675F0">
      <w:pPr>
        <w:spacing w:line="254" w:lineRule="auto"/>
        <w:jc w:val="both"/>
        <w:sectPr w:rsidR="00E675F0">
          <w:pgSz w:w="8960" w:h="14260"/>
          <w:pgMar w:top="1400" w:right="580" w:bottom="280" w:left="620" w:header="681" w:footer="0" w:gutter="0"/>
          <w:cols w:space="720"/>
        </w:sectPr>
      </w:pPr>
    </w:p>
    <w:p w:rsidR="00E675F0" w:rsidRDefault="00E675F0" w:rsidP="00E675F0">
      <w:pPr>
        <w:spacing w:before="128" w:line="264" w:lineRule="auto"/>
        <w:ind w:left="113" w:right="127" w:firstLine="5"/>
        <w:jc w:val="both"/>
        <w:rPr>
          <w:sz w:val="19"/>
        </w:rPr>
      </w:pPr>
      <w:bookmarkStart w:id="159" w:name="_bookmark139"/>
      <w:bookmarkEnd w:id="159"/>
      <w:r>
        <w:rPr>
          <w:w w:val="110"/>
          <w:sz w:val="19"/>
        </w:rPr>
        <w:lastRenderedPageBreak/>
        <w:t>included in DSM-IV; nicotine intoxication rarely occurs and has not been well studied, and nicotine abuse is not likely to be observed in the absence of Dependence. A specific text and criteria set for Nicotine Withdrawal is also provided below. Listed  below are the Nicotine-Related</w:t>
      </w:r>
      <w:r>
        <w:rPr>
          <w:spacing w:val="-29"/>
          <w:w w:val="110"/>
          <w:sz w:val="19"/>
        </w:rPr>
        <w:t xml:space="preserve"> </w:t>
      </w:r>
      <w:r>
        <w:rPr>
          <w:w w:val="110"/>
          <w:sz w:val="19"/>
        </w:rPr>
        <w:t>Disorders.</w:t>
      </w:r>
    </w:p>
    <w:p w:rsidR="00E675F0" w:rsidRDefault="00E675F0" w:rsidP="00E675F0">
      <w:pPr>
        <w:pStyle w:val="BodyText"/>
      </w:pPr>
    </w:p>
    <w:p w:rsidR="00E675F0" w:rsidRDefault="00E675F0" w:rsidP="00E675F0">
      <w:pPr>
        <w:spacing w:before="147"/>
        <w:ind w:left="108"/>
        <w:jc w:val="both"/>
        <w:rPr>
          <w:rFonts w:ascii="TimesNewRomanPS-BoldItalicMT"/>
          <w:b/>
          <w:i/>
          <w:sz w:val="23"/>
        </w:rPr>
      </w:pPr>
      <w:r>
        <w:rPr>
          <w:rFonts w:ascii="TimesNewRomanPS-BoldItalicMT"/>
          <w:b/>
          <w:i/>
          <w:w w:val="120"/>
          <w:sz w:val="23"/>
        </w:rPr>
        <w:t>Nicotine Use Disorder</w:t>
      </w:r>
    </w:p>
    <w:p w:rsidR="00E675F0" w:rsidRDefault="00E675F0" w:rsidP="00E675F0">
      <w:pPr>
        <w:tabs>
          <w:tab w:val="left" w:pos="968"/>
        </w:tabs>
        <w:spacing w:before="143"/>
        <w:ind w:left="131"/>
        <w:rPr>
          <w:sz w:val="19"/>
        </w:rPr>
      </w:pPr>
      <w:r>
        <w:rPr>
          <w:b/>
          <w:w w:val="120"/>
          <w:sz w:val="19"/>
        </w:rPr>
        <w:t>305.10</w:t>
      </w:r>
      <w:r>
        <w:rPr>
          <w:b/>
          <w:w w:val="120"/>
          <w:sz w:val="19"/>
        </w:rPr>
        <w:tab/>
        <w:t xml:space="preserve">Nicotine Dependence </w:t>
      </w:r>
      <w:r>
        <w:rPr>
          <w:w w:val="120"/>
          <w:sz w:val="19"/>
        </w:rPr>
        <w:t>(seep.</w:t>
      </w:r>
      <w:r>
        <w:rPr>
          <w:spacing w:val="20"/>
          <w:w w:val="120"/>
          <w:sz w:val="19"/>
        </w:rPr>
        <w:t xml:space="preserve"> </w:t>
      </w:r>
      <w:r>
        <w:rPr>
          <w:w w:val="120"/>
          <w:sz w:val="19"/>
        </w:rPr>
        <w:t>243)</w:t>
      </w:r>
    </w:p>
    <w:p w:rsidR="00E675F0" w:rsidRDefault="00E675F0" w:rsidP="00E675F0">
      <w:pPr>
        <w:pStyle w:val="BodyText"/>
        <w:spacing w:before="5"/>
        <w:rPr>
          <w:sz w:val="27"/>
        </w:rPr>
      </w:pPr>
    </w:p>
    <w:p w:rsidR="00E675F0" w:rsidRDefault="00E675F0" w:rsidP="00E675F0">
      <w:pPr>
        <w:ind w:left="108"/>
        <w:jc w:val="both"/>
        <w:rPr>
          <w:rFonts w:ascii="TimesNewRomanPS-BoldItalicMT"/>
          <w:b/>
          <w:i/>
          <w:sz w:val="23"/>
        </w:rPr>
      </w:pPr>
      <w:r>
        <w:rPr>
          <w:rFonts w:ascii="TimesNewRomanPS-BoldItalicMT"/>
          <w:b/>
          <w:i/>
          <w:w w:val="120"/>
          <w:sz w:val="23"/>
        </w:rPr>
        <w:t>Nicotine-Induced Disorder</w:t>
      </w:r>
    </w:p>
    <w:p w:rsidR="00E675F0" w:rsidRDefault="00E675F0" w:rsidP="00E675F0">
      <w:pPr>
        <w:jc w:val="both"/>
        <w:rPr>
          <w:rFonts w:ascii="TimesNewRomanPS-BoldItalicMT"/>
          <w:sz w:val="23"/>
        </w:rPr>
        <w:sectPr w:rsidR="00E675F0">
          <w:headerReference w:type="even" r:id="rId195"/>
          <w:headerReference w:type="default" r:id="rId196"/>
          <w:pgSz w:w="8960" w:h="14260"/>
          <w:pgMar w:top="1400" w:right="620" w:bottom="280" w:left="620" w:header="698" w:footer="0" w:gutter="0"/>
          <w:pgNumType w:start="243"/>
          <w:cols w:space="720"/>
        </w:sectPr>
      </w:pPr>
    </w:p>
    <w:p w:rsidR="00E675F0" w:rsidRDefault="00E675F0" w:rsidP="00E675F0">
      <w:pPr>
        <w:spacing w:before="143"/>
        <w:ind w:left="129"/>
        <w:rPr>
          <w:b/>
          <w:sz w:val="19"/>
        </w:rPr>
      </w:pPr>
      <w:r>
        <w:rPr>
          <w:b/>
          <w:w w:val="115"/>
          <w:sz w:val="19"/>
        </w:rPr>
        <w:t>292.0</w:t>
      </w:r>
    </w:p>
    <w:p w:rsidR="00E675F0" w:rsidRDefault="00E675F0" w:rsidP="00E675F0">
      <w:pPr>
        <w:pStyle w:val="BodyText"/>
        <w:spacing w:before="1"/>
        <w:rPr>
          <w:b/>
          <w:sz w:val="24"/>
        </w:rPr>
      </w:pPr>
    </w:p>
    <w:p w:rsidR="00E675F0" w:rsidRDefault="00E675F0" w:rsidP="00E675F0">
      <w:pPr>
        <w:ind w:left="129"/>
        <w:rPr>
          <w:b/>
          <w:sz w:val="19"/>
        </w:rPr>
      </w:pPr>
      <w:r>
        <w:rPr>
          <w:b/>
          <w:w w:val="115"/>
          <w:sz w:val="19"/>
        </w:rPr>
        <w:t>292.9</w:t>
      </w:r>
    </w:p>
    <w:p w:rsidR="00E675F0" w:rsidRDefault="00E675F0" w:rsidP="00E675F0">
      <w:pPr>
        <w:spacing w:before="138"/>
        <w:ind w:left="129"/>
        <w:rPr>
          <w:sz w:val="19"/>
        </w:rPr>
      </w:pPr>
      <w:r>
        <w:br w:type="column"/>
      </w:r>
      <w:r>
        <w:rPr>
          <w:b/>
          <w:w w:val="110"/>
          <w:sz w:val="19"/>
        </w:rPr>
        <w:t xml:space="preserve">Nicotine Withdrawal </w:t>
      </w:r>
      <w:r>
        <w:rPr>
          <w:w w:val="110"/>
          <w:sz w:val="19"/>
        </w:rPr>
        <w:t>(see p. 244)</w:t>
      </w:r>
    </w:p>
    <w:p w:rsidR="00E675F0" w:rsidRDefault="00E675F0" w:rsidP="00E675F0">
      <w:pPr>
        <w:pStyle w:val="BodyText"/>
        <w:spacing w:before="8"/>
        <w:rPr>
          <w:sz w:val="23"/>
        </w:rPr>
      </w:pPr>
    </w:p>
    <w:p w:rsidR="00E675F0" w:rsidRDefault="00E675F0" w:rsidP="00E675F0">
      <w:pPr>
        <w:ind w:left="129"/>
        <w:rPr>
          <w:sz w:val="19"/>
        </w:rPr>
      </w:pPr>
      <w:r>
        <w:rPr>
          <w:b/>
          <w:w w:val="115"/>
          <w:sz w:val="19"/>
        </w:rPr>
        <w:t xml:space="preserve">Nicotine-Related Disorder Not Otherwise Specified </w:t>
      </w:r>
      <w:r>
        <w:rPr>
          <w:w w:val="115"/>
          <w:sz w:val="19"/>
        </w:rPr>
        <w:t>(see p. 247)</w:t>
      </w:r>
    </w:p>
    <w:p w:rsidR="00E675F0" w:rsidRDefault="00E675F0" w:rsidP="00E675F0">
      <w:pPr>
        <w:pStyle w:val="BodyText"/>
      </w:pPr>
    </w:p>
    <w:p w:rsidR="00E675F0" w:rsidRDefault="00E675F0" w:rsidP="00E675F0">
      <w:pPr>
        <w:pStyle w:val="BodyText"/>
      </w:pPr>
    </w:p>
    <w:p w:rsidR="00E675F0" w:rsidRDefault="00E675F0" w:rsidP="00E675F0">
      <w:pPr>
        <w:spacing w:before="136"/>
        <w:ind w:left="1517"/>
        <w:rPr>
          <w:rFonts w:ascii="TimesNewRomanPS-BoldItalicMT"/>
          <w:b/>
          <w:i/>
          <w:sz w:val="28"/>
        </w:rPr>
      </w:pPr>
      <w:r>
        <w:rPr>
          <w:rFonts w:ascii="TimesNewRomanPS-BoldItalicMT"/>
          <w:b/>
          <w:i/>
          <w:w w:val="115"/>
          <w:sz w:val="28"/>
        </w:rPr>
        <w:t>Nicotine Use Disorder</w:t>
      </w:r>
    </w:p>
    <w:p w:rsidR="00E675F0" w:rsidRDefault="00E675F0" w:rsidP="00E675F0">
      <w:pPr>
        <w:tabs>
          <w:tab w:val="left" w:pos="2182"/>
        </w:tabs>
        <w:spacing w:before="152"/>
        <w:ind w:left="1113"/>
        <w:rPr>
          <w:rFonts w:ascii="Arial"/>
          <w:b/>
          <w:sz w:val="25"/>
        </w:rPr>
      </w:pPr>
      <w:r>
        <w:rPr>
          <w:rFonts w:ascii="Arial"/>
          <w:b/>
          <w:spacing w:val="2"/>
          <w:w w:val="110"/>
          <w:sz w:val="25"/>
        </w:rPr>
        <w:t>305.IO</w:t>
      </w:r>
      <w:r>
        <w:rPr>
          <w:rFonts w:ascii="Arial"/>
          <w:b/>
          <w:spacing w:val="2"/>
          <w:w w:val="110"/>
          <w:sz w:val="25"/>
        </w:rPr>
        <w:tab/>
      </w:r>
      <w:r>
        <w:rPr>
          <w:rFonts w:ascii="Arial"/>
          <w:b/>
          <w:w w:val="110"/>
          <w:sz w:val="25"/>
        </w:rPr>
        <w:t>Nicotine</w:t>
      </w:r>
      <w:r>
        <w:rPr>
          <w:rFonts w:ascii="Arial"/>
          <w:b/>
          <w:spacing w:val="7"/>
          <w:w w:val="110"/>
          <w:sz w:val="25"/>
        </w:rPr>
        <w:t xml:space="preserve"> </w:t>
      </w:r>
      <w:r>
        <w:rPr>
          <w:rFonts w:ascii="Arial"/>
          <w:b/>
          <w:w w:val="110"/>
          <w:sz w:val="25"/>
        </w:rPr>
        <w:t>Dependence</w:t>
      </w:r>
    </w:p>
    <w:p w:rsidR="00E675F0" w:rsidRDefault="00E675F0" w:rsidP="00E675F0">
      <w:pPr>
        <w:rPr>
          <w:rFonts w:ascii="Arial"/>
          <w:sz w:val="25"/>
        </w:rPr>
        <w:sectPr w:rsidR="00E675F0">
          <w:type w:val="continuous"/>
          <w:pgSz w:w="8960" w:h="14260"/>
          <w:pgMar w:top="640" w:right="620" w:bottom="0" w:left="620" w:header="720" w:footer="720" w:gutter="0"/>
          <w:cols w:num="2" w:space="720" w:equalWidth="0">
            <w:col w:w="671" w:space="168"/>
            <w:col w:w="6881"/>
          </w:cols>
        </w:sectPr>
      </w:pPr>
    </w:p>
    <w:p w:rsidR="00E675F0" w:rsidRDefault="00E675F0" w:rsidP="00E675F0">
      <w:pPr>
        <w:pStyle w:val="BodyText"/>
        <w:spacing w:before="2"/>
        <w:rPr>
          <w:rFonts w:ascii="Arial"/>
          <w:b/>
          <w:sz w:val="14"/>
        </w:rPr>
      </w:pPr>
    </w:p>
    <w:p w:rsidR="00E675F0" w:rsidRDefault="00E675F0" w:rsidP="00E675F0">
      <w:pPr>
        <w:spacing w:before="92" w:line="266" w:lineRule="auto"/>
        <w:ind w:left="122" w:right="119"/>
        <w:jc w:val="both"/>
        <w:rPr>
          <w:sz w:val="19"/>
        </w:rPr>
      </w:pPr>
      <w:r>
        <w:rPr>
          <w:w w:val="110"/>
          <w:sz w:val="19"/>
        </w:rPr>
        <w:t>Also refer to the text and criteria for Substance Dependence (see p. 176). Some of the generic Dependence criteria do not appear to apply to nicotine, whereas others require further explanation. Tolerance to nicotine is manifested by the absence of nausea, dizziness, and other characteristic symptoms despite using substantial amounts of nicotine or a diminished effect observed with continued use of the same amount of nicotine-containing products. Cessation of nicotine use produces a well-defined with­ drawal syndrome that is described below. Many individuals who use nicotine take nicotine to relieve or to avoid withdrawal symptoms when they wake up in the morning or after being in a situation where use is restricted (e.g., at work or on an airplane). Individuals who smoke and other individuals who use nicotine are likely to find that</w:t>
      </w:r>
      <w:r>
        <w:rPr>
          <w:spacing w:val="52"/>
          <w:w w:val="110"/>
          <w:sz w:val="19"/>
        </w:rPr>
        <w:t xml:space="preserve"> </w:t>
      </w:r>
      <w:r>
        <w:rPr>
          <w:w w:val="110"/>
          <w:sz w:val="19"/>
        </w:rPr>
        <w:t>they use up their supply of cigarettes or other nicotine-containing products faster than originally intended. Although over 80% of individuals who smoke express a desire to stop smoking and 35% try to stop each year, less than 5% are successful in unaided attempts to quit. Spending a great deal of time in using the substance is best exemplified by chain-smoking. Because nicotine sources are readily and legally available, spending  a great deal of time attempting to procure nicotine would be rare. Giving up important social, occupational, or recreational activities can occur when an individual forgoes an activity because it occurs in smoking-restricted areas. Continued use despite knowledge of medical problems related to smoking is a particularly important health problem (e.g., an individual who continues to smoke despite having a tobacco-induced general medical condition such as bronchitis or chronic obstructive lung</w:t>
      </w:r>
      <w:r>
        <w:rPr>
          <w:spacing w:val="-24"/>
          <w:w w:val="110"/>
          <w:sz w:val="19"/>
        </w:rPr>
        <w:t xml:space="preserve"> </w:t>
      </w:r>
      <w:r>
        <w:rPr>
          <w:w w:val="110"/>
          <w:sz w:val="19"/>
        </w:rPr>
        <w:t>disease).</w:t>
      </w:r>
    </w:p>
    <w:p w:rsidR="00E675F0" w:rsidRDefault="00E675F0" w:rsidP="00E675F0">
      <w:pPr>
        <w:pStyle w:val="BodyText"/>
      </w:pPr>
    </w:p>
    <w:p w:rsidR="00E675F0" w:rsidRDefault="00E675F0" w:rsidP="00E675F0">
      <w:pPr>
        <w:spacing w:before="144"/>
        <w:ind w:left="120"/>
        <w:rPr>
          <w:rFonts w:ascii="TimesNewRomanPS-BoldItalicMT"/>
          <w:b/>
          <w:i/>
          <w:sz w:val="23"/>
        </w:rPr>
      </w:pPr>
      <w:r>
        <w:rPr>
          <w:rFonts w:ascii="TimesNewRomanPS-BoldItalicMT"/>
          <w:b/>
          <w:i/>
          <w:w w:val="120"/>
          <w:sz w:val="23"/>
        </w:rPr>
        <w:t>Specifiers</w:t>
      </w:r>
    </w:p>
    <w:p w:rsidR="00E675F0" w:rsidRDefault="00E675F0" w:rsidP="00E675F0">
      <w:pPr>
        <w:spacing w:before="133"/>
        <w:ind w:left="128"/>
        <w:rPr>
          <w:sz w:val="19"/>
        </w:rPr>
      </w:pPr>
      <w:r>
        <w:rPr>
          <w:w w:val="115"/>
          <w:sz w:val="19"/>
        </w:rPr>
        <w:t>The following specifiers may be applied to a diagnosis of Nicotine Dependence (see</w:t>
      </w:r>
    </w:p>
    <w:p w:rsidR="00E675F0" w:rsidRDefault="00E675F0" w:rsidP="00E675F0">
      <w:pPr>
        <w:spacing w:before="27"/>
        <w:ind w:left="144"/>
        <w:rPr>
          <w:sz w:val="19"/>
        </w:rPr>
      </w:pPr>
      <w:r>
        <w:rPr>
          <w:w w:val="110"/>
          <w:sz w:val="19"/>
        </w:rPr>
        <w:t>p. 179 for more details):</w:t>
      </w:r>
    </w:p>
    <w:p w:rsidR="00E675F0" w:rsidRDefault="00E675F0" w:rsidP="00E675F0">
      <w:pPr>
        <w:spacing w:before="89" w:line="268" w:lineRule="auto"/>
        <w:ind w:left="738" w:right="3650" w:hanging="5"/>
        <w:rPr>
          <w:b/>
          <w:sz w:val="19"/>
        </w:rPr>
      </w:pPr>
      <w:r>
        <w:rPr>
          <w:b/>
          <w:w w:val="120"/>
          <w:sz w:val="19"/>
        </w:rPr>
        <w:t xml:space="preserve">With Physiological Dependence </w:t>
      </w:r>
      <w:r>
        <w:rPr>
          <w:b/>
          <w:w w:val="115"/>
          <w:sz w:val="19"/>
        </w:rPr>
        <w:t>Without Physiological Dependence</w:t>
      </w:r>
    </w:p>
    <w:p w:rsidR="00E675F0" w:rsidRDefault="00E675F0" w:rsidP="00E675F0">
      <w:pPr>
        <w:spacing w:line="268" w:lineRule="auto"/>
        <w:rPr>
          <w:sz w:val="19"/>
        </w:rPr>
        <w:sectPr w:rsidR="00E675F0">
          <w:type w:val="continuous"/>
          <w:pgSz w:w="8960" w:h="14260"/>
          <w:pgMar w:top="640" w:right="620" w:bottom="0" w:left="620" w:header="720" w:footer="720" w:gutter="0"/>
          <w:cols w:space="720"/>
        </w:sectPr>
      </w:pPr>
    </w:p>
    <w:p w:rsidR="00E675F0" w:rsidRDefault="00E675F0" w:rsidP="00E675F0">
      <w:pPr>
        <w:spacing w:before="110" w:line="254" w:lineRule="auto"/>
        <w:ind w:left="707" w:right="4621" w:firstLine="6"/>
        <w:rPr>
          <w:b/>
          <w:sz w:val="20"/>
        </w:rPr>
      </w:pPr>
      <w:bookmarkStart w:id="160" w:name="_bookmark140"/>
      <w:bookmarkEnd w:id="160"/>
      <w:r>
        <w:rPr>
          <w:b/>
          <w:w w:val="110"/>
          <w:sz w:val="20"/>
        </w:rPr>
        <w:lastRenderedPageBreak/>
        <w:t>Early Full Remission Early Partial Remission Sustained Full Remission</w:t>
      </w:r>
    </w:p>
    <w:p w:rsidR="00E675F0" w:rsidRDefault="00E675F0" w:rsidP="00E675F0">
      <w:pPr>
        <w:spacing w:line="256" w:lineRule="auto"/>
        <w:ind w:left="715" w:right="4190" w:hanging="3"/>
        <w:rPr>
          <w:b/>
          <w:sz w:val="20"/>
        </w:rPr>
      </w:pPr>
      <w:r>
        <w:rPr>
          <w:b/>
          <w:w w:val="110"/>
          <w:sz w:val="20"/>
        </w:rPr>
        <w:t>Sustained Partial Remission On Agonist Therapy</w:t>
      </w:r>
    </w:p>
    <w:p w:rsidR="00E675F0" w:rsidRDefault="00E675F0" w:rsidP="00E675F0">
      <w:pPr>
        <w:pStyle w:val="BodyText"/>
        <w:rPr>
          <w:b/>
          <w:sz w:val="22"/>
        </w:rPr>
      </w:pPr>
    </w:p>
    <w:p w:rsidR="00E675F0" w:rsidRDefault="00E675F0" w:rsidP="00E675F0">
      <w:pPr>
        <w:pStyle w:val="BodyText"/>
        <w:spacing w:before="7"/>
        <w:rPr>
          <w:b/>
          <w:sz w:val="30"/>
        </w:rPr>
      </w:pPr>
    </w:p>
    <w:p w:rsidR="00E675F0" w:rsidRDefault="00E675F0" w:rsidP="00E675F0">
      <w:pPr>
        <w:ind w:left="64" w:right="119"/>
        <w:jc w:val="center"/>
        <w:rPr>
          <w:rFonts w:ascii="TimesNewRomanPS-BoldItalicMT"/>
          <w:b/>
          <w:i/>
          <w:sz w:val="28"/>
        </w:rPr>
      </w:pPr>
      <w:r>
        <w:rPr>
          <w:rFonts w:ascii="TimesNewRomanPS-BoldItalicMT"/>
          <w:b/>
          <w:i/>
          <w:w w:val="115"/>
          <w:sz w:val="28"/>
        </w:rPr>
        <w:t>Nicotine-Induced</w:t>
      </w:r>
      <w:r>
        <w:rPr>
          <w:rFonts w:ascii="TimesNewRomanPS-BoldItalicMT"/>
          <w:b/>
          <w:i/>
          <w:spacing w:val="-23"/>
          <w:w w:val="115"/>
          <w:sz w:val="28"/>
        </w:rPr>
        <w:t xml:space="preserve"> </w:t>
      </w:r>
      <w:r>
        <w:rPr>
          <w:rFonts w:ascii="TimesNewRomanPS-BoldItalicMT"/>
          <w:b/>
          <w:i/>
          <w:w w:val="115"/>
          <w:sz w:val="28"/>
        </w:rPr>
        <w:t>Disorder</w:t>
      </w:r>
    </w:p>
    <w:p w:rsidR="00E675F0" w:rsidRDefault="00E675F0" w:rsidP="00E675F0">
      <w:pPr>
        <w:pStyle w:val="Heading9"/>
        <w:tabs>
          <w:tab w:val="left" w:pos="3047"/>
        </w:tabs>
        <w:spacing w:before="159"/>
        <w:ind w:left="2115"/>
        <w:jc w:val="left"/>
      </w:pPr>
      <w:r>
        <w:rPr>
          <w:w w:val="105"/>
        </w:rPr>
        <w:t>292.0</w:t>
      </w:r>
      <w:r>
        <w:rPr>
          <w:w w:val="105"/>
        </w:rPr>
        <w:tab/>
      </w:r>
      <w:r>
        <w:t>Nicotine</w:t>
      </w:r>
      <w:r>
        <w:rPr>
          <w:spacing w:val="8"/>
        </w:rPr>
        <w:t xml:space="preserve"> </w:t>
      </w:r>
      <w:r>
        <w:t>Withdrawal</w:t>
      </w:r>
    </w:p>
    <w:p w:rsidR="00E675F0" w:rsidRDefault="00E675F0" w:rsidP="00E675F0">
      <w:pPr>
        <w:pStyle w:val="BodyText"/>
        <w:spacing w:before="5"/>
        <w:rPr>
          <w:b/>
          <w:sz w:val="24"/>
        </w:rPr>
      </w:pPr>
    </w:p>
    <w:p w:rsidR="00E675F0" w:rsidRDefault="00E675F0" w:rsidP="00E675F0">
      <w:pPr>
        <w:pStyle w:val="BodyText"/>
        <w:spacing w:line="254" w:lineRule="auto"/>
        <w:ind w:left="109" w:right="106" w:firstLine="1"/>
        <w:jc w:val="both"/>
      </w:pPr>
      <w:r>
        <w:rPr>
          <w:w w:val="105"/>
        </w:rPr>
        <w:t>Also refer to the text and criteria for Substance Withdrawal (see p. 184). The essential feature of Nicotine Withdrawal is the presence of a characteristic withdrawal syndrome that develops after the abrupt cessation of, or reduction in, the use of nicotine-containing products following a prolonged period (at least several weeks) of daily use (Criteria A and B). The withdrawal syndrome includes four or more of the following: dysphoric or depressed mood; insomnia; irritability, frustration, or anger; anxiety; difficulty concen­ trating; restlessness or impatience; decreased heart rate; and increased appetite or weight gain. The withdrawal symptoms cause clinically significant distress or impairment in social,</w:t>
      </w:r>
      <w:r>
        <w:rPr>
          <w:spacing w:val="-3"/>
          <w:w w:val="105"/>
        </w:rPr>
        <w:t xml:space="preserve"> </w:t>
      </w:r>
      <w:r>
        <w:rPr>
          <w:w w:val="105"/>
        </w:rPr>
        <w:t>occupational,</w:t>
      </w:r>
      <w:r>
        <w:rPr>
          <w:spacing w:val="9"/>
          <w:w w:val="105"/>
        </w:rPr>
        <w:t xml:space="preserve"> </w:t>
      </w:r>
      <w:r>
        <w:rPr>
          <w:w w:val="105"/>
        </w:rPr>
        <w:t>or</w:t>
      </w:r>
      <w:r>
        <w:rPr>
          <w:spacing w:val="-13"/>
          <w:w w:val="105"/>
        </w:rPr>
        <w:t xml:space="preserve"> </w:t>
      </w:r>
      <w:r>
        <w:rPr>
          <w:w w:val="105"/>
        </w:rPr>
        <w:t>other</w:t>
      </w:r>
      <w:r>
        <w:rPr>
          <w:spacing w:val="-8"/>
          <w:w w:val="105"/>
        </w:rPr>
        <w:t xml:space="preserve"> </w:t>
      </w:r>
      <w:r>
        <w:rPr>
          <w:w w:val="105"/>
        </w:rPr>
        <w:t>important</w:t>
      </w:r>
      <w:r>
        <w:rPr>
          <w:spacing w:val="-5"/>
          <w:w w:val="105"/>
        </w:rPr>
        <w:t xml:space="preserve"> </w:t>
      </w:r>
      <w:r>
        <w:rPr>
          <w:w w:val="105"/>
        </w:rPr>
        <w:t>areas</w:t>
      </w:r>
      <w:r>
        <w:rPr>
          <w:spacing w:val="-12"/>
          <w:w w:val="105"/>
        </w:rPr>
        <w:t xml:space="preserve"> </w:t>
      </w:r>
      <w:r>
        <w:rPr>
          <w:w w:val="105"/>
        </w:rPr>
        <w:t>of</w:t>
      </w:r>
      <w:r>
        <w:rPr>
          <w:spacing w:val="-13"/>
          <w:w w:val="105"/>
        </w:rPr>
        <w:t xml:space="preserve"> </w:t>
      </w:r>
      <w:r>
        <w:rPr>
          <w:w w:val="105"/>
        </w:rPr>
        <w:t>functioning</w:t>
      </w:r>
      <w:r>
        <w:rPr>
          <w:spacing w:val="-10"/>
          <w:w w:val="105"/>
        </w:rPr>
        <w:t xml:space="preserve"> </w:t>
      </w:r>
      <w:r>
        <w:rPr>
          <w:w w:val="105"/>
        </w:rPr>
        <w:t>(Criterion</w:t>
      </w:r>
      <w:r>
        <w:rPr>
          <w:spacing w:val="5"/>
          <w:w w:val="105"/>
        </w:rPr>
        <w:t xml:space="preserve"> </w:t>
      </w:r>
      <w:r>
        <w:rPr>
          <w:w w:val="105"/>
        </w:rPr>
        <w:t>C).</w:t>
      </w:r>
      <w:r>
        <w:rPr>
          <w:spacing w:val="-17"/>
          <w:w w:val="105"/>
        </w:rPr>
        <w:t xml:space="preserve"> </w:t>
      </w:r>
      <w:r>
        <w:rPr>
          <w:w w:val="105"/>
        </w:rPr>
        <w:t>The</w:t>
      </w:r>
      <w:r>
        <w:rPr>
          <w:spacing w:val="-16"/>
          <w:w w:val="105"/>
        </w:rPr>
        <w:t xml:space="preserve"> </w:t>
      </w:r>
      <w:r>
        <w:rPr>
          <w:w w:val="105"/>
        </w:rPr>
        <w:t>symptoms must not be due to a general medical condition and are not better accounted for by another mental disorder (Criterion</w:t>
      </w:r>
      <w:r>
        <w:rPr>
          <w:spacing w:val="15"/>
          <w:w w:val="105"/>
        </w:rPr>
        <w:t xml:space="preserve"> </w:t>
      </w:r>
      <w:r>
        <w:rPr>
          <w:w w:val="105"/>
        </w:rPr>
        <w:t>D).</w:t>
      </w:r>
    </w:p>
    <w:p w:rsidR="00E675F0" w:rsidRDefault="00E675F0" w:rsidP="00E675F0">
      <w:pPr>
        <w:pStyle w:val="BodyText"/>
        <w:spacing w:before="1" w:line="249" w:lineRule="auto"/>
        <w:ind w:left="116" w:right="118" w:firstLine="354"/>
        <w:jc w:val="both"/>
      </w:pPr>
      <w:r>
        <w:rPr>
          <w:w w:val="105"/>
        </w:rPr>
        <w:t xml:space="preserve">These symptoms are in large part due to nicotine deprivation and are typically more intense among individuals who smoke cigarettes than among individuals who use other nicotine-containing products. The more rapid onset of nicotine effects with cigarette smoking leads to a more intensive habit pattern that is more difficult to give up because of the frequency and rapidity of reinforcement and the greater physical dependence on nicotine. In individuals who smoke cigarettes, heart rate decreases by 5 to 12 beats per minute in the first few days after stopping smoking, and weight increases an average of </w:t>
      </w:r>
      <w:r>
        <w:rPr>
          <w:w w:val="105"/>
          <w:sz w:val="21"/>
        </w:rPr>
        <w:t xml:space="preserve">2-3 </w:t>
      </w:r>
      <w:r>
        <w:rPr>
          <w:w w:val="105"/>
        </w:rPr>
        <w:t>kg over the first year after stopping smoking. Mild symptoms of withdrawal may occur after switching to low-tar/nicotine cigarettes and after stopping the use of smokeless (chewing) tobacco, nicotine gum, or nicotine patches.</w:t>
      </w:r>
    </w:p>
    <w:p w:rsidR="00E675F0" w:rsidRDefault="00E675F0" w:rsidP="00E675F0">
      <w:pPr>
        <w:pStyle w:val="BodyText"/>
      </w:pPr>
    </w:p>
    <w:p w:rsidR="00E675F0" w:rsidRDefault="00E675F0" w:rsidP="00E675F0">
      <w:pPr>
        <w:pStyle w:val="BodyText"/>
        <w:spacing w:before="10"/>
        <w:rPr>
          <w:sz w:val="11"/>
        </w:rPr>
      </w:pPr>
      <w:r>
        <w:rPr>
          <w:noProof/>
        </w:rPr>
        <mc:AlternateContent>
          <mc:Choice Requires="wpg">
            <w:drawing>
              <wp:anchor distT="0" distB="0" distL="0" distR="0" simplePos="0" relativeHeight="251890688" behindDoc="1" locked="0" layoutInCell="1" allowOverlap="1" wp14:anchorId="7EE97C60" wp14:editId="5E557E23">
                <wp:simplePos x="0" y="0"/>
                <wp:positionH relativeFrom="page">
                  <wp:posOffset>470535</wp:posOffset>
                </wp:positionH>
                <wp:positionV relativeFrom="paragraph">
                  <wp:posOffset>127635</wp:posOffset>
                </wp:positionV>
                <wp:extent cx="4753610" cy="2185670"/>
                <wp:effectExtent l="0" t="0" r="8890" b="0"/>
                <wp:wrapTopAndBottom/>
                <wp:docPr id="1313" name="Group 1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3610" cy="2185670"/>
                          <a:chOff x="741" y="201"/>
                          <a:chExt cx="7486" cy="3442"/>
                        </a:xfrm>
                      </wpg:grpSpPr>
                      <wps:wsp>
                        <wps:cNvPr id="1314" name="Line 1275"/>
                        <wps:cNvCnPr>
                          <a:cxnSpLocks/>
                        </wps:cNvCnPr>
                        <wps:spPr bwMode="auto">
                          <a:xfrm>
                            <a:off x="814" y="3643"/>
                            <a:ext cx="0" cy="0"/>
                          </a:xfrm>
                          <a:prstGeom prst="line">
                            <a:avLst/>
                          </a:prstGeom>
                          <a:noFill/>
                          <a:ln w="3054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5" name="Line 1274"/>
                        <wps:cNvCnPr>
                          <a:cxnSpLocks/>
                        </wps:cNvCnPr>
                        <wps:spPr bwMode="auto">
                          <a:xfrm>
                            <a:off x="8121" y="3585"/>
                            <a:ext cx="0" cy="0"/>
                          </a:xfrm>
                          <a:prstGeom prst="line">
                            <a:avLst/>
                          </a:prstGeom>
                          <a:noFill/>
                          <a:ln w="274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6" name="Line 1273"/>
                        <wps:cNvCnPr>
                          <a:cxnSpLocks/>
                        </wps:cNvCnPr>
                        <wps:spPr bwMode="auto">
                          <a:xfrm>
                            <a:off x="8212" y="3643"/>
                            <a:ext cx="0" cy="0"/>
                          </a:xfrm>
                          <a:prstGeom prst="line">
                            <a:avLst/>
                          </a:prstGeom>
                          <a:noFill/>
                          <a:ln w="91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7" name="Line 1272"/>
                        <wps:cNvCnPr>
                          <a:cxnSpLocks/>
                        </wps:cNvCnPr>
                        <wps:spPr bwMode="auto">
                          <a:xfrm>
                            <a:off x="741" y="206"/>
                            <a:ext cx="7486" cy="0"/>
                          </a:xfrm>
                          <a:prstGeom prst="line">
                            <a:avLst/>
                          </a:prstGeom>
                          <a:noFill/>
                          <a:ln w="61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8" name="Line 1271"/>
                        <wps:cNvCnPr>
                          <a:cxnSpLocks/>
                        </wps:cNvCnPr>
                        <wps:spPr bwMode="auto">
                          <a:xfrm>
                            <a:off x="741" y="3552"/>
                            <a:ext cx="7486" cy="0"/>
                          </a:xfrm>
                          <a:prstGeom prst="line">
                            <a:avLst/>
                          </a:prstGeom>
                          <a:noFill/>
                          <a:ln w="305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9" name="Text Box 1270"/>
                        <wps:cNvSpPr txBox="1">
                          <a:spLocks/>
                        </wps:cNvSpPr>
                        <wps:spPr bwMode="auto">
                          <a:xfrm>
                            <a:off x="837" y="211"/>
                            <a:ext cx="7262" cy="3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5F0" w:rsidRDefault="00E675F0" w:rsidP="003048D3">
                              <w:pPr>
                                <w:numPr>
                                  <w:ilvl w:val="0"/>
                                  <w:numId w:val="23"/>
                                </w:numPr>
                                <w:tabs>
                                  <w:tab w:val="left" w:pos="618"/>
                                </w:tabs>
                                <w:spacing w:before="59"/>
                                <w:ind w:hanging="390"/>
                                <w:rPr>
                                  <w:b/>
                                  <w:sz w:val="26"/>
                                </w:rPr>
                              </w:pPr>
                              <w:r>
                                <w:rPr>
                                  <w:b/>
                                  <w:w w:val="105"/>
                                  <w:sz w:val="26"/>
                                </w:rPr>
                                <w:t>Diagnostic criteria for 292.0 Nicotine</w:t>
                              </w:r>
                              <w:r>
                                <w:rPr>
                                  <w:b/>
                                  <w:spacing w:val="4"/>
                                  <w:w w:val="105"/>
                                  <w:sz w:val="26"/>
                                </w:rPr>
                                <w:t xml:space="preserve"> </w:t>
                              </w:r>
                              <w:r>
                                <w:rPr>
                                  <w:b/>
                                  <w:w w:val="105"/>
                                  <w:sz w:val="26"/>
                                </w:rPr>
                                <w:t>Withdrawal</w:t>
                              </w:r>
                            </w:p>
                            <w:p w:rsidR="00E675F0" w:rsidRDefault="00E675F0" w:rsidP="00E675F0">
                              <w:pPr>
                                <w:spacing w:before="155"/>
                                <w:ind w:left="628"/>
                                <w:rPr>
                                  <w:sz w:val="20"/>
                                </w:rPr>
                              </w:pPr>
                              <w:r>
                                <w:rPr>
                                  <w:w w:val="105"/>
                                  <w:sz w:val="19"/>
                                </w:rPr>
                                <w:t xml:space="preserve">A </w:t>
                              </w:r>
                              <w:r>
                                <w:rPr>
                                  <w:w w:val="105"/>
                                  <w:sz w:val="20"/>
                                </w:rPr>
                                <w:t>Daily use of nicotine for at least several weeks.</w:t>
                              </w:r>
                            </w:p>
                            <w:p w:rsidR="00E675F0" w:rsidRDefault="00E675F0" w:rsidP="00E675F0">
                              <w:pPr>
                                <w:spacing w:before="198" w:line="256" w:lineRule="auto"/>
                                <w:ind w:left="937" w:hanging="302"/>
                                <w:rPr>
                                  <w:sz w:val="20"/>
                                </w:rPr>
                              </w:pPr>
                              <w:r>
                                <w:rPr>
                                  <w:w w:val="105"/>
                                  <w:sz w:val="20"/>
                                </w:rPr>
                                <w:t>B. Abrupt cessation of nicotine use, or reduction in the amount of nicotine used, followed within 24 hours by four (or more) of the following signs:</w:t>
                              </w:r>
                            </w:p>
                            <w:p w:rsidR="00E675F0" w:rsidRDefault="00E675F0" w:rsidP="003048D3">
                              <w:pPr>
                                <w:numPr>
                                  <w:ilvl w:val="0"/>
                                  <w:numId w:val="1"/>
                                </w:numPr>
                                <w:tabs>
                                  <w:tab w:val="left" w:pos="1364"/>
                                  <w:tab w:val="left" w:pos="1365"/>
                                </w:tabs>
                                <w:spacing w:before="55"/>
                                <w:ind w:hanging="425"/>
                                <w:rPr>
                                  <w:sz w:val="17"/>
                                </w:rPr>
                              </w:pPr>
                              <w:r>
                                <w:rPr>
                                  <w:w w:val="105"/>
                                  <w:sz w:val="20"/>
                                </w:rPr>
                                <w:t>dysphoric or depressed mood</w:t>
                              </w:r>
                            </w:p>
                            <w:p w:rsidR="00E675F0" w:rsidRDefault="00E675F0" w:rsidP="003048D3">
                              <w:pPr>
                                <w:numPr>
                                  <w:ilvl w:val="0"/>
                                  <w:numId w:val="1"/>
                                </w:numPr>
                                <w:tabs>
                                  <w:tab w:val="left" w:pos="1365"/>
                                </w:tabs>
                                <w:spacing w:before="11"/>
                                <w:ind w:left="1365" w:hanging="426"/>
                                <w:rPr>
                                  <w:sz w:val="20"/>
                                </w:rPr>
                              </w:pPr>
                              <w:r>
                                <w:rPr>
                                  <w:w w:val="105"/>
                                  <w:sz w:val="20"/>
                                </w:rPr>
                                <w:t>insomnia</w:t>
                              </w:r>
                            </w:p>
                            <w:p w:rsidR="00E675F0" w:rsidRDefault="00E675F0" w:rsidP="003048D3">
                              <w:pPr>
                                <w:numPr>
                                  <w:ilvl w:val="0"/>
                                  <w:numId w:val="1"/>
                                </w:numPr>
                                <w:tabs>
                                  <w:tab w:val="left" w:pos="1365"/>
                                </w:tabs>
                                <w:spacing w:before="15"/>
                                <w:ind w:left="1365" w:hanging="426"/>
                                <w:rPr>
                                  <w:sz w:val="20"/>
                                </w:rPr>
                              </w:pPr>
                              <w:r>
                                <w:rPr>
                                  <w:w w:val="105"/>
                                  <w:sz w:val="20"/>
                                </w:rPr>
                                <w:t>irritability, frustration, or</w:t>
                              </w:r>
                              <w:r>
                                <w:rPr>
                                  <w:spacing w:val="2"/>
                                  <w:w w:val="105"/>
                                  <w:sz w:val="20"/>
                                </w:rPr>
                                <w:t xml:space="preserve"> </w:t>
                              </w:r>
                              <w:r>
                                <w:rPr>
                                  <w:w w:val="105"/>
                                  <w:sz w:val="20"/>
                                </w:rPr>
                                <w:t>anger</w:t>
                              </w:r>
                            </w:p>
                            <w:p w:rsidR="00E675F0" w:rsidRDefault="00E675F0" w:rsidP="003048D3">
                              <w:pPr>
                                <w:numPr>
                                  <w:ilvl w:val="0"/>
                                  <w:numId w:val="1"/>
                                </w:numPr>
                                <w:tabs>
                                  <w:tab w:val="left" w:pos="1364"/>
                                </w:tabs>
                                <w:spacing w:before="10"/>
                                <w:ind w:hanging="425"/>
                                <w:rPr>
                                  <w:sz w:val="20"/>
                                </w:rPr>
                              </w:pPr>
                              <w:r>
                                <w:rPr>
                                  <w:w w:val="105"/>
                                  <w:sz w:val="20"/>
                                </w:rPr>
                                <w:t>anxiety</w:t>
                              </w:r>
                            </w:p>
                            <w:p w:rsidR="00E675F0" w:rsidRDefault="00E675F0" w:rsidP="003048D3">
                              <w:pPr>
                                <w:numPr>
                                  <w:ilvl w:val="0"/>
                                  <w:numId w:val="1"/>
                                </w:numPr>
                                <w:tabs>
                                  <w:tab w:val="left" w:pos="1360"/>
                                </w:tabs>
                                <w:spacing w:before="20"/>
                                <w:ind w:left="1359" w:hanging="426"/>
                                <w:rPr>
                                  <w:sz w:val="20"/>
                                </w:rPr>
                              </w:pPr>
                              <w:r>
                                <w:rPr>
                                  <w:w w:val="105"/>
                                  <w:sz w:val="20"/>
                                </w:rPr>
                                <w:t>difficulty</w:t>
                              </w:r>
                              <w:r>
                                <w:rPr>
                                  <w:spacing w:val="7"/>
                                  <w:w w:val="105"/>
                                  <w:sz w:val="20"/>
                                </w:rPr>
                                <w:t xml:space="preserve"> </w:t>
                              </w:r>
                              <w:r>
                                <w:rPr>
                                  <w:w w:val="105"/>
                                  <w:sz w:val="20"/>
                                </w:rPr>
                                <w:t>concentrating</w:t>
                              </w:r>
                            </w:p>
                            <w:p w:rsidR="00E675F0" w:rsidRDefault="00E675F0" w:rsidP="00E675F0">
                              <w:pPr>
                                <w:spacing w:before="15"/>
                                <w:ind w:left="5999"/>
                                <w:rPr>
                                  <w:i/>
                                  <w:sz w:val="20"/>
                                </w:rPr>
                              </w:pPr>
                              <w:r>
                                <w:rPr>
                                  <w:i/>
                                  <w:w w:val="110"/>
                                  <w:sz w:val="20"/>
                                </w:rPr>
                                <w:t>(continued)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E97C60" id="Group 1269" o:spid="_x0000_s1134" style="position:absolute;margin-left:37.05pt;margin-top:10.05pt;width:374.3pt;height:172.1pt;z-index:-251425792;mso-wrap-distance-left:0;mso-wrap-distance-right:0;mso-position-horizontal-relative:page;mso-position-vertical-relative:text" coordorigin="741,201" coordsize="7486,344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">
                <v:line id="Line 1275" o:spid="_x0000_s1135" style="position:absolute;visibility:visible;mso-wrap-style:square" from="814,3643" to="814,36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" strokeweight=".84853mm">
                  <o:lock v:ext="edit" shapetype="f"/>
                </v:line>
                <v:line id="Line 1274" o:spid="_x0000_s1136" style="position:absolute;visibility:visible;mso-wrap-style:square" from="8121,3585" to="8121,35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" strokeweight=".76367mm">
                  <o:lock v:ext="edit" shapetype="f"/>
                </v:line>
                <v:line id="Line 1273" o:spid="_x0000_s1137" style="position:absolute;visibility:visible;mso-wrap-style:square" from="8212,3643" to="8212,36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" strokeweight=".25456mm">
                  <o:lock v:ext="edit" shapetype="f"/>
                </v:line>
                <v:line id="Line 1272" o:spid="_x0000_s1138" style="position:absolute;visibility:visible;mso-wrap-style:square" from="741,206" to="8227,2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" strokeweight=".16958mm">
                  <o:lock v:ext="edit" shapetype="f"/>
                </v:line>
                <v:line id="Line 1271" o:spid="_x0000_s1139" style="position:absolute;visibility:visible;mso-wrap-style:square" from="741,3552" to="8227,35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" strokeweight=".84786mm">
                  <o:lock v:ext="edit" shapetype="f"/>
                </v:line>
                <v:shape id="Text Box 1270" o:spid="_x0000_s1140" type="#_x0000_t202" style="position:absolute;left:837;top:211;width:7262;height:33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" filled="f" stroked="f">
                  <v:path arrowok="t"/>
                  <v:textbox inset="0,0,0,0">
                    <w:txbxContent>
                      <w:p w:rsidR="00E675F0" w:rsidRDefault="00E675F0" w:rsidP="003048D3">
                        <w:pPr>
                          <w:numPr>
                            <w:ilvl w:val="0"/>
                            <w:numId w:val="23"/>
                          </w:numPr>
                          <w:tabs>
                            <w:tab w:val="left" w:pos="618"/>
                          </w:tabs>
                          <w:spacing w:before="59"/>
                          <w:ind w:hanging="390"/>
                          <w:rPr>
                            <w:b/>
                            <w:sz w:val="26"/>
                          </w:rPr>
                        </w:pPr>
                        <w:r>
                          <w:rPr>
                            <w:b/>
                            <w:w w:val="105"/>
                            <w:sz w:val="26"/>
                          </w:rPr>
                          <w:t>Diagnostic criteria for 292.0 Nicotine</w:t>
                        </w:r>
                        <w:r>
                          <w:rPr>
                            <w:b/>
                            <w:spacing w:val="4"/>
                            <w:w w:val="105"/>
                            <w:sz w:val="26"/>
                          </w:rPr>
                          <w:t xml:space="preserve"> </w:t>
                        </w:r>
                        <w:r>
                          <w:rPr>
                            <w:b/>
                            <w:w w:val="105"/>
                            <w:sz w:val="26"/>
                          </w:rPr>
                          <w:t>Withdrawal</w:t>
                        </w:r>
                      </w:p>
                      <w:p w:rsidR="00E675F0" w:rsidRDefault="00E675F0" w:rsidP="00E675F0">
                        <w:pPr>
                          <w:spacing w:before="155"/>
                          <w:ind w:left="628"/>
                          <w:rPr>
                            <w:sz w:val="20"/>
                          </w:rPr>
                        </w:pPr>
                        <w:r>
                          <w:rPr>
                            <w:w w:val="105"/>
                            <w:sz w:val="19"/>
                          </w:rPr>
                          <w:t xml:space="preserve">A </w:t>
                        </w:r>
                        <w:r>
                          <w:rPr>
                            <w:w w:val="105"/>
                            <w:sz w:val="20"/>
                          </w:rPr>
                          <w:t>Daily use of nicotine for at least several weeks.</w:t>
                        </w:r>
                      </w:p>
                      <w:p w:rsidR="00E675F0" w:rsidRDefault="00E675F0" w:rsidP="00E675F0">
                        <w:pPr>
                          <w:spacing w:before="198" w:line="256" w:lineRule="auto"/>
                          <w:ind w:left="937" w:hanging="302"/>
                          <w:rPr>
                            <w:sz w:val="20"/>
                          </w:rPr>
                        </w:pPr>
                        <w:r>
                          <w:rPr>
                            <w:w w:val="105"/>
                            <w:sz w:val="20"/>
                          </w:rPr>
                          <w:t>B. Abrupt cessation of nicotine use, or reduction in the amount of nicotine used, followed within 24 hours by four (or more) of the following signs:</w:t>
                        </w:r>
                      </w:p>
                      <w:p w:rsidR="00E675F0" w:rsidRDefault="00E675F0" w:rsidP="003048D3">
                        <w:pPr>
                          <w:numPr>
                            <w:ilvl w:val="0"/>
                            <w:numId w:val="1"/>
                          </w:numPr>
                          <w:tabs>
                            <w:tab w:val="left" w:pos="1364"/>
                            <w:tab w:val="left" w:pos="1365"/>
                          </w:tabs>
                          <w:spacing w:before="55"/>
                          <w:ind w:hanging="425"/>
                          <w:rPr>
                            <w:sz w:val="17"/>
                          </w:rPr>
                        </w:pPr>
                        <w:r>
                          <w:rPr>
                            <w:w w:val="105"/>
                            <w:sz w:val="20"/>
                          </w:rPr>
                          <w:t>dysphoric or depressed mood</w:t>
                        </w:r>
                      </w:p>
                      <w:p w:rsidR="00E675F0" w:rsidRDefault="00E675F0" w:rsidP="003048D3">
                        <w:pPr>
                          <w:numPr>
                            <w:ilvl w:val="0"/>
                            <w:numId w:val="1"/>
                          </w:numPr>
                          <w:tabs>
                            <w:tab w:val="left" w:pos="1365"/>
                          </w:tabs>
                          <w:spacing w:before="11"/>
                          <w:ind w:left="1365" w:hanging="426"/>
                          <w:rPr>
                            <w:sz w:val="20"/>
                          </w:rPr>
                        </w:pPr>
                        <w:r>
                          <w:rPr>
                            <w:w w:val="105"/>
                            <w:sz w:val="20"/>
                          </w:rPr>
                          <w:t>insomnia</w:t>
                        </w:r>
                      </w:p>
                      <w:p w:rsidR="00E675F0" w:rsidRDefault="00E675F0" w:rsidP="003048D3">
                        <w:pPr>
                          <w:numPr>
                            <w:ilvl w:val="0"/>
                            <w:numId w:val="1"/>
                          </w:numPr>
                          <w:tabs>
                            <w:tab w:val="left" w:pos="1365"/>
                          </w:tabs>
                          <w:spacing w:before="15"/>
                          <w:ind w:left="1365" w:hanging="426"/>
                          <w:rPr>
                            <w:sz w:val="20"/>
                          </w:rPr>
                        </w:pPr>
                        <w:r>
                          <w:rPr>
                            <w:w w:val="105"/>
                            <w:sz w:val="20"/>
                          </w:rPr>
                          <w:t>irritability, frustration, or</w:t>
                        </w:r>
                        <w:r>
                          <w:rPr>
                            <w:spacing w:val="2"/>
                            <w:w w:val="105"/>
                            <w:sz w:val="20"/>
                          </w:rPr>
                          <w:t xml:space="preserve"> </w:t>
                        </w:r>
                        <w:r>
                          <w:rPr>
                            <w:w w:val="105"/>
                            <w:sz w:val="20"/>
                          </w:rPr>
                          <w:t>anger</w:t>
                        </w:r>
                      </w:p>
                      <w:p w:rsidR="00E675F0" w:rsidRDefault="00E675F0" w:rsidP="003048D3">
                        <w:pPr>
                          <w:numPr>
                            <w:ilvl w:val="0"/>
                            <w:numId w:val="1"/>
                          </w:numPr>
                          <w:tabs>
                            <w:tab w:val="left" w:pos="1364"/>
                          </w:tabs>
                          <w:spacing w:before="10"/>
                          <w:ind w:hanging="425"/>
                          <w:rPr>
                            <w:sz w:val="20"/>
                          </w:rPr>
                        </w:pPr>
                        <w:r>
                          <w:rPr>
                            <w:w w:val="105"/>
                            <w:sz w:val="20"/>
                          </w:rPr>
                          <w:t>anxiety</w:t>
                        </w:r>
                      </w:p>
                      <w:p w:rsidR="00E675F0" w:rsidRDefault="00E675F0" w:rsidP="003048D3">
                        <w:pPr>
                          <w:numPr>
                            <w:ilvl w:val="0"/>
                            <w:numId w:val="1"/>
                          </w:numPr>
                          <w:tabs>
                            <w:tab w:val="left" w:pos="1360"/>
                          </w:tabs>
                          <w:spacing w:before="20"/>
                          <w:ind w:left="1359" w:hanging="426"/>
                          <w:rPr>
                            <w:sz w:val="20"/>
                          </w:rPr>
                        </w:pPr>
                        <w:r>
                          <w:rPr>
                            <w:w w:val="105"/>
                            <w:sz w:val="20"/>
                          </w:rPr>
                          <w:t>difficulty</w:t>
                        </w:r>
                        <w:r>
                          <w:rPr>
                            <w:spacing w:val="7"/>
                            <w:w w:val="105"/>
                            <w:sz w:val="20"/>
                          </w:rPr>
                          <w:t xml:space="preserve"> </w:t>
                        </w:r>
                        <w:r>
                          <w:rPr>
                            <w:w w:val="105"/>
                            <w:sz w:val="20"/>
                          </w:rPr>
                          <w:t>concentrating</w:t>
                        </w:r>
                      </w:p>
                      <w:p w:rsidR="00E675F0" w:rsidRDefault="00E675F0" w:rsidP="00E675F0">
                        <w:pPr>
                          <w:spacing w:before="15"/>
                          <w:ind w:left="5999"/>
                          <w:rPr>
                            <w:i/>
                            <w:sz w:val="20"/>
                          </w:rPr>
                        </w:pPr>
                        <w:r>
                          <w:rPr>
                            <w:i/>
                            <w:w w:val="110"/>
                            <w:sz w:val="20"/>
                          </w:rPr>
                          <w:t>(continued)</w:t>
                        </w:r>
                      </w:p>
                    </w:txbxContent>
                  </v:textbox>
                </v:shape>
                <w10:wrap type="topAndBottom" anchorx="page"/>
              </v:group>
            </w:pict>
          </mc:Fallback>
        </mc:AlternateContent>
      </w:r>
    </w:p>
    <w:p w:rsidR="00E675F0" w:rsidRDefault="00E675F0" w:rsidP="00E675F0">
      <w:pPr>
        <w:rPr>
          <w:sz w:val="11"/>
        </w:rPr>
        <w:sectPr w:rsidR="00E675F0">
          <w:pgSz w:w="8960" w:h="14260"/>
          <w:pgMar w:top="1400" w:right="620" w:bottom="280" w:left="620" w:header="675" w:footer="0" w:gutter="0"/>
          <w:cols w:space="720"/>
        </w:sectPr>
      </w:pPr>
    </w:p>
    <w:p w:rsidR="00E675F0" w:rsidRDefault="00E675F0" w:rsidP="00E675F0">
      <w:pPr>
        <w:pStyle w:val="BodyText"/>
        <w:spacing w:before="1"/>
        <w:rPr>
          <w:sz w:val="9"/>
        </w:rPr>
      </w:pPr>
      <w:r>
        <w:rPr>
          <w:noProof/>
        </w:rPr>
        <w:lastRenderedPageBreak/>
        <mc:AlternateContent>
          <mc:Choice Requires="wps">
            <w:drawing>
              <wp:anchor distT="0" distB="0" distL="114300" distR="114300" simplePos="0" relativeHeight="251723776" behindDoc="0" locked="0" layoutInCell="1" allowOverlap="1" wp14:anchorId="10D4E9F2" wp14:editId="531FAB99">
                <wp:simplePos x="0" y="0"/>
                <wp:positionH relativeFrom="page">
                  <wp:posOffset>464185</wp:posOffset>
                </wp:positionH>
                <wp:positionV relativeFrom="page">
                  <wp:posOffset>983615</wp:posOffset>
                </wp:positionV>
                <wp:extent cx="4768215" cy="0"/>
                <wp:effectExtent l="0" t="12700" r="19685" b="12700"/>
                <wp:wrapNone/>
                <wp:docPr id="1312" name="Line 12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768215" cy="0"/>
                        </a:xfrm>
                        <a:prstGeom prst="line">
                          <a:avLst/>
                        </a:prstGeom>
                        <a:noFill/>
                        <a:ln w="3662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3B6C40" id="Line 1268" o:spid="_x0000_s1026" style="position:absolute;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55pt,77.45pt" to="412pt,77.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" strokeweight="1.0174mm">
                <o:lock v:ext="edit" shapetype="f"/>
                <w10:wrap anchorx="page" anchory="page"/>
              </v:line>
            </w:pict>
          </mc:Fallback>
        </mc:AlternateContent>
      </w:r>
    </w:p>
    <w:tbl>
      <w:tblPr>
        <w:tblW w:w="0" w:type="auto"/>
        <w:tblInd w:w="234"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7330"/>
      </w:tblGrid>
      <w:tr w:rsidR="00E675F0" w:rsidTr="00A330E1">
        <w:trPr>
          <w:trHeight w:val="2963"/>
        </w:trPr>
        <w:tc>
          <w:tcPr>
            <w:tcW w:w="7330" w:type="dxa"/>
          </w:tcPr>
          <w:p w:rsidR="00E675F0" w:rsidRDefault="00E675F0" w:rsidP="003048D3">
            <w:pPr>
              <w:pStyle w:val="TableParagraph"/>
              <w:numPr>
                <w:ilvl w:val="0"/>
                <w:numId w:val="22"/>
              </w:numPr>
              <w:tabs>
                <w:tab w:val="left" w:pos="585"/>
              </w:tabs>
              <w:spacing w:before="65"/>
              <w:ind w:hanging="329"/>
              <w:rPr>
                <w:rFonts w:ascii="Arial" w:hAnsi="Arial"/>
                <w:i/>
              </w:rPr>
            </w:pPr>
            <w:r>
              <w:rPr>
                <w:rFonts w:ascii="Arial" w:hAnsi="Arial"/>
                <w:b/>
                <w:w w:val="105"/>
              </w:rPr>
              <w:t>Diagnostic</w:t>
            </w:r>
            <w:r>
              <w:rPr>
                <w:rFonts w:ascii="Arial" w:hAnsi="Arial"/>
                <w:b/>
                <w:spacing w:val="-11"/>
                <w:w w:val="105"/>
              </w:rPr>
              <w:t xml:space="preserve"> </w:t>
            </w:r>
            <w:r>
              <w:rPr>
                <w:rFonts w:ascii="Arial" w:hAnsi="Arial"/>
                <w:b/>
                <w:w w:val="105"/>
              </w:rPr>
              <w:t>criteria</w:t>
            </w:r>
            <w:r>
              <w:rPr>
                <w:rFonts w:ascii="Arial" w:hAnsi="Arial"/>
                <w:b/>
                <w:spacing w:val="-21"/>
                <w:w w:val="105"/>
              </w:rPr>
              <w:t xml:space="preserve"> </w:t>
            </w:r>
            <w:r>
              <w:rPr>
                <w:rFonts w:ascii="Arial" w:hAnsi="Arial"/>
                <w:b/>
                <w:w w:val="105"/>
              </w:rPr>
              <w:t>for</w:t>
            </w:r>
            <w:r>
              <w:rPr>
                <w:rFonts w:ascii="Arial" w:hAnsi="Arial"/>
                <w:b/>
                <w:spacing w:val="-13"/>
                <w:w w:val="105"/>
              </w:rPr>
              <w:t xml:space="preserve"> </w:t>
            </w:r>
            <w:r>
              <w:rPr>
                <w:rFonts w:ascii="Arial" w:hAnsi="Arial"/>
                <w:b/>
                <w:w w:val="105"/>
              </w:rPr>
              <w:t>292.0</w:t>
            </w:r>
            <w:r>
              <w:rPr>
                <w:rFonts w:ascii="Arial" w:hAnsi="Arial"/>
                <w:b/>
                <w:spacing w:val="-20"/>
                <w:w w:val="105"/>
              </w:rPr>
              <w:t xml:space="preserve"> </w:t>
            </w:r>
            <w:r>
              <w:rPr>
                <w:rFonts w:ascii="Arial" w:hAnsi="Arial"/>
                <w:b/>
                <w:w w:val="105"/>
              </w:rPr>
              <w:t>Nicotine</w:t>
            </w:r>
            <w:r>
              <w:rPr>
                <w:rFonts w:ascii="Arial" w:hAnsi="Arial"/>
                <w:b/>
                <w:spacing w:val="-16"/>
                <w:w w:val="105"/>
              </w:rPr>
              <w:t xml:space="preserve"> </w:t>
            </w:r>
            <w:r>
              <w:rPr>
                <w:rFonts w:ascii="Arial" w:hAnsi="Arial"/>
                <w:b/>
                <w:w w:val="105"/>
              </w:rPr>
              <w:t>Withdrawal</w:t>
            </w:r>
            <w:r>
              <w:rPr>
                <w:rFonts w:ascii="Arial" w:hAnsi="Arial"/>
                <w:b/>
                <w:spacing w:val="-11"/>
                <w:w w:val="105"/>
              </w:rPr>
              <w:t xml:space="preserve"> </w:t>
            </w:r>
            <w:r>
              <w:rPr>
                <w:rFonts w:ascii="Arial" w:hAnsi="Arial"/>
                <w:i/>
                <w:w w:val="105"/>
              </w:rPr>
              <w:t>(continued)</w:t>
            </w:r>
          </w:p>
          <w:p w:rsidR="00E675F0" w:rsidRDefault="00E675F0" w:rsidP="003048D3">
            <w:pPr>
              <w:pStyle w:val="TableParagraph"/>
              <w:numPr>
                <w:ilvl w:val="1"/>
                <w:numId w:val="22"/>
              </w:numPr>
              <w:tabs>
                <w:tab w:val="left" w:pos="1383"/>
                <w:tab w:val="left" w:pos="1384"/>
              </w:tabs>
              <w:spacing w:before="201"/>
              <w:rPr>
                <w:sz w:val="19"/>
              </w:rPr>
            </w:pPr>
            <w:r>
              <w:rPr>
                <w:w w:val="110"/>
                <w:sz w:val="19"/>
              </w:rPr>
              <w:t>restlessness</w:t>
            </w:r>
          </w:p>
          <w:p w:rsidR="00E675F0" w:rsidRDefault="00E675F0" w:rsidP="003048D3">
            <w:pPr>
              <w:pStyle w:val="TableParagraph"/>
              <w:numPr>
                <w:ilvl w:val="1"/>
                <w:numId w:val="22"/>
              </w:numPr>
              <w:tabs>
                <w:tab w:val="left" w:pos="1379"/>
              </w:tabs>
              <w:spacing w:before="26"/>
              <w:ind w:left="1378" w:hanging="426"/>
              <w:rPr>
                <w:sz w:val="19"/>
              </w:rPr>
            </w:pPr>
            <w:r>
              <w:rPr>
                <w:w w:val="110"/>
                <w:sz w:val="19"/>
              </w:rPr>
              <w:t>decreased heart</w:t>
            </w:r>
            <w:r>
              <w:rPr>
                <w:spacing w:val="-14"/>
                <w:w w:val="110"/>
                <w:sz w:val="19"/>
              </w:rPr>
              <w:t xml:space="preserve"> </w:t>
            </w:r>
            <w:r>
              <w:rPr>
                <w:w w:val="110"/>
                <w:sz w:val="19"/>
              </w:rPr>
              <w:t>rate</w:t>
            </w:r>
          </w:p>
          <w:p w:rsidR="00E675F0" w:rsidRDefault="00E675F0" w:rsidP="003048D3">
            <w:pPr>
              <w:pStyle w:val="TableParagraph"/>
              <w:numPr>
                <w:ilvl w:val="1"/>
                <w:numId w:val="22"/>
              </w:numPr>
              <w:tabs>
                <w:tab w:val="left" w:pos="1385"/>
              </w:tabs>
              <w:spacing w:before="32"/>
              <w:ind w:left="1384" w:hanging="432"/>
              <w:rPr>
                <w:sz w:val="19"/>
              </w:rPr>
            </w:pPr>
            <w:r>
              <w:rPr>
                <w:w w:val="115"/>
                <w:sz w:val="19"/>
              </w:rPr>
              <w:t>increased appetite or weight</w:t>
            </w:r>
            <w:r>
              <w:rPr>
                <w:spacing w:val="-8"/>
                <w:w w:val="115"/>
                <w:sz w:val="19"/>
              </w:rPr>
              <w:t xml:space="preserve"> </w:t>
            </w:r>
            <w:r>
              <w:rPr>
                <w:w w:val="115"/>
                <w:sz w:val="19"/>
              </w:rPr>
              <w:t>gain</w:t>
            </w:r>
          </w:p>
          <w:p w:rsidR="00E675F0" w:rsidRDefault="00E675F0" w:rsidP="00A330E1">
            <w:pPr>
              <w:pStyle w:val="TableParagraph"/>
              <w:spacing w:before="2"/>
              <w:rPr>
                <w:sz w:val="18"/>
              </w:rPr>
            </w:pPr>
          </w:p>
          <w:p w:rsidR="00E675F0" w:rsidRDefault="00E675F0" w:rsidP="00A330E1">
            <w:pPr>
              <w:pStyle w:val="TableParagraph"/>
              <w:spacing w:line="268" w:lineRule="auto"/>
              <w:ind w:left="960" w:right="211" w:hanging="309"/>
              <w:rPr>
                <w:sz w:val="19"/>
              </w:rPr>
            </w:pPr>
            <w:r>
              <w:rPr>
                <w:w w:val="105"/>
                <w:sz w:val="18"/>
              </w:rPr>
              <w:t xml:space="preserve">C. </w:t>
            </w:r>
            <w:r>
              <w:rPr>
                <w:w w:val="105"/>
                <w:sz w:val="19"/>
              </w:rPr>
              <w:t>The symptoms in Criterion B cause clinically significant distress or impairment in social, occupational, or other important areas of functioning.</w:t>
            </w:r>
          </w:p>
          <w:p w:rsidR="00E675F0" w:rsidRDefault="00E675F0" w:rsidP="00A330E1">
            <w:pPr>
              <w:pStyle w:val="TableParagraph"/>
              <w:spacing w:before="174" w:line="268" w:lineRule="auto"/>
              <w:ind w:left="962" w:right="211" w:hanging="308"/>
              <w:rPr>
                <w:sz w:val="19"/>
              </w:rPr>
            </w:pPr>
            <w:r>
              <w:rPr>
                <w:w w:val="110"/>
                <w:sz w:val="19"/>
              </w:rPr>
              <w:t xml:space="preserve">D. The symptoms are not due </w:t>
            </w:r>
            <w:r>
              <w:rPr>
                <w:w w:val="110"/>
                <w:sz w:val="17"/>
              </w:rPr>
              <w:t xml:space="preserve">to </w:t>
            </w:r>
            <w:r>
              <w:rPr>
                <w:w w:val="110"/>
                <w:sz w:val="19"/>
              </w:rPr>
              <w:t>a general medical condition and are not better accounted for by another mental disorder.</w:t>
            </w:r>
          </w:p>
        </w:tc>
      </w:tr>
    </w:tbl>
    <w:p w:rsidR="00E675F0" w:rsidRDefault="00E675F0" w:rsidP="00E675F0">
      <w:pPr>
        <w:pStyle w:val="BodyText"/>
      </w:pPr>
    </w:p>
    <w:p w:rsidR="00E675F0" w:rsidRDefault="00E675F0" w:rsidP="00E675F0">
      <w:pPr>
        <w:pStyle w:val="BodyText"/>
        <w:spacing w:before="6"/>
        <w:rPr>
          <w:sz w:val="24"/>
        </w:rPr>
      </w:pPr>
    </w:p>
    <w:p w:rsidR="00E675F0" w:rsidRDefault="00E675F0" w:rsidP="00E675F0">
      <w:pPr>
        <w:spacing w:before="89" w:line="244" w:lineRule="auto"/>
        <w:ind w:left="2031" w:right="2085" w:firstLine="54"/>
        <w:rPr>
          <w:rFonts w:ascii="TimesNewRomanPS-BoldItalicMT"/>
          <w:b/>
          <w:i/>
          <w:sz w:val="28"/>
        </w:rPr>
      </w:pPr>
      <w:r>
        <w:rPr>
          <w:noProof/>
        </w:rPr>
        <mc:AlternateContent>
          <mc:Choice Requires="wps">
            <w:drawing>
              <wp:anchor distT="0" distB="0" distL="114300" distR="114300" simplePos="0" relativeHeight="251724800" behindDoc="0" locked="0" layoutInCell="1" allowOverlap="1" wp14:anchorId="0106FFC0" wp14:editId="048E2333">
                <wp:simplePos x="0" y="0"/>
                <wp:positionH relativeFrom="page">
                  <wp:posOffset>476885</wp:posOffset>
                </wp:positionH>
                <wp:positionV relativeFrom="paragraph">
                  <wp:posOffset>-342265</wp:posOffset>
                </wp:positionV>
                <wp:extent cx="4755515" cy="0"/>
                <wp:effectExtent l="0" t="12700" r="19685" b="12700"/>
                <wp:wrapNone/>
                <wp:docPr id="1311" name="Line 12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755515" cy="0"/>
                        </a:xfrm>
                        <a:prstGeom prst="line">
                          <a:avLst/>
                        </a:prstGeom>
                        <a:noFill/>
                        <a:ln w="335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E2B765" id="Line 1267" o:spid="_x0000_s1026" style="position:absolute;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55pt,-26.95pt" to="412pt,-2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" strokeweight=".93264mm">
                <o:lock v:ext="edit" shapetype="f"/>
                <w10:wrap anchorx="page"/>
              </v:line>
            </w:pict>
          </mc:Fallback>
        </mc:AlternateContent>
      </w:r>
      <w:r>
        <w:rPr>
          <w:rFonts w:ascii="TimesNewRomanPS-BoldItalicMT"/>
          <w:b/>
          <w:i/>
          <w:w w:val="115"/>
          <w:sz w:val="28"/>
        </w:rPr>
        <w:t>Additional Information on Nicotine-Related Disorders</w:t>
      </w:r>
    </w:p>
    <w:p w:rsidR="00E675F0" w:rsidRDefault="00E675F0" w:rsidP="00E675F0">
      <w:pPr>
        <w:pStyle w:val="BodyText"/>
        <w:rPr>
          <w:rFonts w:ascii="TimesNewRomanPS-BoldItalicMT"/>
          <w:b/>
          <w:i/>
          <w:sz w:val="30"/>
        </w:rPr>
      </w:pPr>
    </w:p>
    <w:p w:rsidR="00E675F0" w:rsidRDefault="00E675F0" w:rsidP="00E675F0">
      <w:pPr>
        <w:pStyle w:val="BodyText"/>
        <w:spacing w:before="7"/>
        <w:rPr>
          <w:rFonts w:ascii="TimesNewRomanPS-BoldItalicMT"/>
          <w:b/>
          <w:i/>
          <w:sz w:val="25"/>
        </w:rPr>
      </w:pPr>
    </w:p>
    <w:p w:rsidR="00E675F0" w:rsidRDefault="00E675F0" w:rsidP="00E675F0">
      <w:pPr>
        <w:spacing w:before="1"/>
        <w:ind w:left="110"/>
        <w:jc w:val="both"/>
        <w:rPr>
          <w:rFonts w:ascii="TimesNewRomanPS-BoldItalicMT"/>
          <w:b/>
          <w:i/>
          <w:sz w:val="24"/>
        </w:rPr>
      </w:pPr>
      <w:r>
        <w:rPr>
          <w:rFonts w:ascii="TimesNewRomanPS-BoldItalicMT"/>
          <w:b/>
          <w:i/>
          <w:w w:val="115"/>
          <w:sz w:val="24"/>
        </w:rPr>
        <w:t>Associated Features and Di-Sorders</w:t>
      </w:r>
    </w:p>
    <w:p w:rsidR="00E675F0" w:rsidRDefault="00E675F0" w:rsidP="00E675F0">
      <w:pPr>
        <w:spacing w:before="222" w:line="264" w:lineRule="auto"/>
        <w:ind w:left="126" w:right="130" w:firstLine="2"/>
        <w:jc w:val="both"/>
        <w:rPr>
          <w:sz w:val="19"/>
        </w:rPr>
      </w:pPr>
      <w:r>
        <w:rPr>
          <w:b/>
          <w:w w:val="110"/>
          <w:sz w:val="20"/>
        </w:rPr>
        <w:t xml:space="preserve">Associated descriptive features and mental disorders. </w:t>
      </w:r>
      <w:r>
        <w:rPr>
          <w:w w:val="110"/>
          <w:sz w:val="19"/>
        </w:rPr>
        <w:t xml:space="preserve">Craving is an important element in Nicotine Withdrawal and may account for the difficulty that individuals have in giving up nicotine-containing products. Other symptoms associated with Nicotine Withdrawal include a desire for sweets and impaired performance on tasks requiring vigilance. Several features associated with Nicotine Dependence appear to predict a greater level of difficulty in stopping nicotine use: smoking soon after waking, smoking when ill, difficulty refraining from smoking, reporting the first cigarette of the day to be the one most difficult to give up, and smoking more in the morning than in the afternoon. The number of cigarettes smoked per day, the nicotine yield of the cigarette, and the number of pack-years also are related </w:t>
      </w:r>
      <w:r>
        <w:rPr>
          <w:w w:val="110"/>
          <w:sz w:val="17"/>
        </w:rPr>
        <w:t xml:space="preserve">to </w:t>
      </w:r>
      <w:r>
        <w:rPr>
          <w:w w:val="110"/>
          <w:sz w:val="19"/>
        </w:rPr>
        <w:t>the likelihood of an individual stopping smoking. Nicotine Dependence is more common among individuals with other mental disorders. Depending on the population studied, from 55% to 90% of individuals with other mental disorders smoke, compared to 30% in the general population. Mood, Anxiety, and other Substance-Related Disorders may be more common in individuals who smoke than in those who are ex-smokers and those who have never</w:t>
      </w:r>
      <w:r>
        <w:rPr>
          <w:spacing w:val="-11"/>
          <w:w w:val="110"/>
          <w:sz w:val="19"/>
        </w:rPr>
        <w:t xml:space="preserve"> </w:t>
      </w:r>
      <w:r>
        <w:rPr>
          <w:w w:val="110"/>
          <w:sz w:val="19"/>
        </w:rPr>
        <w:t>smoked.</w:t>
      </w:r>
    </w:p>
    <w:p w:rsidR="00E675F0" w:rsidRDefault="00E675F0" w:rsidP="00E675F0">
      <w:pPr>
        <w:pStyle w:val="BodyText"/>
      </w:pPr>
    </w:p>
    <w:p w:rsidR="00E675F0" w:rsidRDefault="00E675F0" w:rsidP="00E675F0">
      <w:pPr>
        <w:spacing w:before="171" w:line="268" w:lineRule="auto"/>
        <w:ind w:left="128" w:right="121" w:hanging="5"/>
        <w:jc w:val="both"/>
        <w:rPr>
          <w:sz w:val="19"/>
        </w:rPr>
      </w:pPr>
      <w:r>
        <w:rPr>
          <w:b/>
          <w:w w:val="115"/>
          <w:sz w:val="20"/>
        </w:rPr>
        <w:t>Associated</w:t>
      </w:r>
      <w:r>
        <w:rPr>
          <w:b/>
          <w:spacing w:val="-24"/>
          <w:w w:val="115"/>
          <w:sz w:val="20"/>
        </w:rPr>
        <w:t xml:space="preserve"> </w:t>
      </w:r>
      <w:r>
        <w:rPr>
          <w:b/>
          <w:w w:val="115"/>
          <w:sz w:val="20"/>
        </w:rPr>
        <w:t>laboratory</w:t>
      </w:r>
      <w:r>
        <w:rPr>
          <w:b/>
          <w:spacing w:val="-25"/>
          <w:w w:val="115"/>
          <w:sz w:val="20"/>
        </w:rPr>
        <w:t xml:space="preserve"> </w:t>
      </w:r>
      <w:r>
        <w:rPr>
          <w:b/>
          <w:w w:val="115"/>
          <w:sz w:val="20"/>
        </w:rPr>
        <w:t>findings.</w:t>
      </w:r>
      <w:r>
        <w:rPr>
          <w:b/>
          <w:spacing w:val="38"/>
          <w:w w:val="115"/>
          <w:sz w:val="20"/>
        </w:rPr>
        <w:t xml:space="preserve"> </w:t>
      </w:r>
      <w:r>
        <w:rPr>
          <w:w w:val="115"/>
          <w:sz w:val="19"/>
        </w:rPr>
        <w:t>Withdrawal</w:t>
      </w:r>
      <w:r>
        <w:rPr>
          <w:spacing w:val="-15"/>
          <w:w w:val="115"/>
          <w:sz w:val="19"/>
        </w:rPr>
        <w:t xml:space="preserve"> </w:t>
      </w:r>
      <w:r>
        <w:rPr>
          <w:w w:val="115"/>
          <w:sz w:val="19"/>
        </w:rPr>
        <w:t>symptoms</w:t>
      </w:r>
      <w:r>
        <w:rPr>
          <w:spacing w:val="-19"/>
          <w:w w:val="115"/>
          <w:sz w:val="19"/>
        </w:rPr>
        <w:t xml:space="preserve"> </w:t>
      </w:r>
      <w:r>
        <w:rPr>
          <w:w w:val="115"/>
          <w:sz w:val="19"/>
        </w:rPr>
        <w:t>are</w:t>
      </w:r>
      <w:r>
        <w:rPr>
          <w:spacing w:val="-17"/>
          <w:w w:val="115"/>
          <w:sz w:val="19"/>
        </w:rPr>
        <w:t xml:space="preserve"> </w:t>
      </w:r>
      <w:r>
        <w:rPr>
          <w:w w:val="115"/>
          <w:sz w:val="19"/>
        </w:rPr>
        <w:t>associated</w:t>
      </w:r>
      <w:r>
        <w:rPr>
          <w:spacing w:val="-11"/>
          <w:w w:val="115"/>
          <w:sz w:val="19"/>
        </w:rPr>
        <w:t xml:space="preserve"> </w:t>
      </w:r>
      <w:r>
        <w:rPr>
          <w:w w:val="115"/>
          <w:sz w:val="19"/>
        </w:rPr>
        <w:t>with</w:t>
      </w:r>
      <w:r>
        <w:rPr>
          <w:spacing w:val="-18"/>
          <w:w w:val="115"/>
          <w:sz w:val="19"/>
        </w:rPr>
        <w:t xml:space="preserve"> </w:t>
      </w:r>
      <w:r>
        <w:rPr>
          <w:w w:val="115"/>
          <w:sz w:val="19"/>
        </w:rPr>
        <w:t>a</w:t>
      </w:r>
      <w:r>
        <w:rPr>
          <w:spacing w:val="-19"/>
          <w:w w:val="115"/>
          <w:sz w:val="19"/>
        </w:rPr>
        <w:t xml:space="preserve"> </w:t>
      </w:r>
      <w:r>
        <w:rPr>
          <w:w w:val="115"/>
          <w:sz w:val="19"/>
        </w:rPr>
        <w:t>slow­ ing</w:t>
      </w:r>
      <w:r>
        <w:rPr>
          <w:spacing w:val="-32"/>
          <w:w w:val="115"/>
          <w:sz w:val="19"/>
        </w:rPr>
        <w:t xml:space="preserve"> </w:t>
      </w:r>
      <w:r>
        <w:rPr>
          <w:w w:val="115"/>
          <w:sz w:val="19"/>
        </w:rPr>
        <w:t>on</w:t>
      </w:r>
      <w:r>
        <w:rPr>
          <w:spacing w:val="-19"/>
          <w:w w:val="115"/>
          <w:sz w:val="19"/>
        </w:rPr>
        <w:t xml:space="preserve"> </w:t>
      </w:r>
      <w:r>
        <w:rPr>
          <w:w w:val="115"/>
          <w:sz w:val="19"/>
        </w:rPr>
        <w:t>EEG,</w:t>
      </w:r>
      <w:r>
        <w:rPr>
          <w:spacing w:val="-21"/>
          <w:w w:val="115"/>
          <w:sz w:val="19"/>
        </w:rPr>
        <w:t xml:space="preserve"> </w:t>
      </w:r>
      <w:r>
        <w:rPr>
          <w:w w:val="115"/>
          <w:sz w:val="19"/>
        </w:rPr>
        <w:t>decreases</w:t>
      </w:r>
      <w:r>
        <w:rPr>
          <w:spacing w:val="-22"/>
          <w:w w:val="115"/>
          <w:sz w:val="19"/>
        </w:rPr>
        <w:t xml:space="preserve"> </w:t>
      </w:r>
      <w:r>
        <w:rPr>
          <w:w w:val="115"/>
          <w:sz w:val="19"/>
        </w:rPr>
        <w:t>in</w:t>
      </w:r>
      <w:r>
        <w:rPr>
          <w:spacing w:val="-28"/>
          <w:w w:val="115"/>
          <w:sz w:val="19"/>
        </w:rPr>
        <w:t xml:space="preserve"> </w:t>
      </w:r>
      <w:r>
        <w:rPr>
          <w:w w:val="115"/>
          <w:sz w:val="19"/>
        </w:rPr>
        <w:t>catecholamine</w:t>
      </w:r>
      <w:r>
        <w:rPr>
          <w:spacing w:val="-22"/>
          <w:w w:val="115"/>
          <w:sz w:val="19"/>
        </w:rPr>
        <w:t xml:space="preserve"> </w:t>
      </w:r>
      <w:r>
        <w:rPr>
          <w:w w:val="115"/>
          <w:sz w:val="19"/>
        </w:rPr>
        <w:t>and</w:t>
      </w:r>
      <w:r>
        <w:rPr>
          <w:spacing w:val="-21"/>
          <w:w w:val="115"/>
          <w:sz w:val="19"/>
        </w:rPr>
        <w:t xml:space="preserve"> </w:t>
      </w:r>
      <w:r>
        <w:rPr>
          <w:w w:val="115"/>
          <w:sz w:val="19"/>
        </w:rPr>
        <w:t>cortisol</w:t>
      </w:r>
      <w:r>
        <w:rPr>
          <w:spacing w:val="-23"/>
          <w:w w:val="115"/>
          <w:sz w:val="19"/>
        </w:rPr>
        <w:t xml:space="preserve"> </w:t>
      </w:r>
      <w:r>
        <w:rPr>
          <w:w w:val="115"/>
          <w:sz w:val="19"/>
        </w:rPr>
        <w:t>levels,</w:t>
      </w:r>
      <w:r>
        <w:rPr>
          <w:spacing w:val="-19"/>
          <w:w w:val="115"/>
          <w:sz w:val="19"/>
        </w:rPr>
        <w:t xml:space="preserve"> </w:t>
      </w:r>
      <w:r>
        <w:rPr>
          <w:w w:val="115"/>
          <w:sz w:val="19"/>
        </w:rPr>
        <w:t>rapid</w:t>
      </w:r>
      <w:r>
        <w:rPr>
          <w:spacing w:val="-25"/>
          <w:w w:val="115"/>
          <w:sz w:val="19"/>
        </w:rPr>
        <w:t xml:space="preserve"> </w:t>
      </w:r>
      <w:r>
        <w:rPr>
          <w:w w:val="115"/>
          <w:sz w:val="19"/>
        </w:rPr>
        <w:t>eye</w:t>
      </w:r>
      <w:r>
        <w:rPr>
          <w:spacing w:val="-19"/>
          <w:w w:val="115"/>
          <w:sz w:val="19"/>
        </w:rPr>
        <w:t xml:space="preserve"> </w:t>
      </w:r>
      <w:r>
        <w:rPr>
          <w:w w:val="115"/>
          <w:sz w:val="19"/>
        </w:rPr>
        <w:t>movement</w:t>
      </w:r>
      <w:r>
        <w:rPr>
          <w:spacing w:val="-22"/>
          <w:w w:val="115"/>
          <w:sz w:val="19"/>
        </w:rPr>
        <w:t xml:space="preserve"> </w:t>
      </w:r>
      <w:r>
        <w:rPr>
          <w:w w:val="115"/>
          <w:sz w:val="19"/>
        </w:rPr>
        <w:t>(REM) changes, impairment on neuropsychological testing, and decreased metabolic rate. Smoking</w:t>
      </w:r>
      <w:r>
        <w:rPr>
          <w:spacing w:val="-21"/>
          <w:w w:val="115"/>
          <w:sz w:val="19"/>
        </w:rPr>
        <w:t xml:space="preserve"> </w:t>
      </w:r>
      <w:r>
        <w:rPr>
          <w:w w:val="115"/>
          <w:sz w:val="19"/>
        </w:rPr>
        <w:t>increases</w:t>
      </w:r>
      <w:r>
        <w:rPr>
          <w:spacing w:val="-17"/>
          <w:w w:val="115"/>
          <w:sz w:val="19"/>
        </w:rPr>
        <w:t xml:space="preserve"> </w:t>
      </w:r>
      <w:r>
        <w:rPr>
          <w:w w:val="115"/>
          <w:sz w:val="19"/>
        </w:rPr>
        <w:t>the</w:t>
      </w:r>
      <w:r>
        <w:rPr>
          <w:spacing w:val="-16"/>
          <w:w w:val="115"/>
          <w:sz w:val="19"/>
        </w:rPr>
        <w:t xml:space="preserve"> </w:t>
      </w:r>
      <w:r>
        <w:rPr>
          <w:w w:val="115"/>
          <w:sz w:val="19"/>
        </w:rPr>
        <w:t>metabolism</w:t>
      </w:r>
      <w:r>
        <w:rPr>
          <w:spacing w:val="-13"/>
          <w:w w:val="115"/>
          <w:sz w:val="19"/>
        </w:rPr>
        <w:t xml:space="preserve"> </w:t>
      </w:r>
      <w:r>
        <w:rPr>
          <w:w w:val="115"/>
          <w:sz w:val="19"/>
        </w:rPr>
        <w:t>of</w:t>
      </w:r>
      <w:r>
        <w:rPr>
          <w:spacing w:val="-16"/>
          <w:w w:val="115"/>
          <w:sz w:val="19"/>
        </w:rPr>
        <w:t xml:space="preserve"> </w:t>
      </w:r>
      <w:r>
        <w:rPr>
          <w:w w:val="115"/>
          <w:sz w:val="19"/>
        </w:rPr>
        <w:t>many</w:t>
      </w:r>
      <w:r>
        <w:rPr>
          <w:spacing w:val="-19"/>
          <w:w w:val="115"/>
          <w:sz w:val="19"/>
        </w:rPr>
        <w:t xml:space="preserve"> </w:t>
      </w:r>
      <w:r>
        <w:rPr>
          <w:w w:val="115"/>
          <w:sz w:val="19"/>
        </w:rPr>
        <w:t>medications</w:t>
      </w:r>
      <w:r>
        <w:rPr>
          <w:spacing w:val="-15"/>
          <w:w w:val="115"/>
          <w:sz w:val="19"/>
        </w:rPr>
        <w:t xml:space="preserve"> </w:t>
      </w:r>
      <w:r>
        <w:rPr>
          <w:w w:val="115"/>
          <w:sz w:val="19"/>
        </w:rPr>
        <w:t>prescribed</w:t>
      </w:r>
      <w:r>
        <w:rPr>
          <w:spacing w:val="-16"/>
          <w:w w:val="115"/>
          <w:sz w:val="19"/>
        </w:rPr>
        <w:t xml:space="preserve"> </w:t>
      </w:r>
      <w:r>
        <w:rPr>
          <w:w w:val="115"/>
          <w:sz w:val="19"/>
        </w:rPr>
        <w:t>for</w:t>
      </w:r>
      <w:r>
        <w:rPr>
          <w:spacing w:val="-22"/>
          <w:w w:val="115"/>
          <w:sz w:val="19"/>
        </w:rPr>
        <w:t xml:space="preserve"> </w:t>
      </w:r>
      <w:r>
        <w:rPr>
          <w:w w:val="115"/>
          <w:sz w:val="19"/>
        </w:rPr>
        <w:t>the</w:t>
      </w:r>
      <w:r>
        <w:rPr>
          <w:spacing w:val="-14"/>
          <w:w w:val="115"/>
          <w:sz w:val="19"/>
        </w:rPr>
        <w:t xml:space="preserve"> </w:t>
      </w:r>
      <w:r>
        <w:rPr>
          <w:w w:val="115"/>
          <w:sz w:val="19"/>
        </w:rPr>
        <w:t>treatment</w:t>
      </w:r>
      <w:r>
        <w:rPr>
          <w:spacing w:val="-16"/>
          <w:w w:val="115"/>
          <w:sz w:val="19"/>
        </w:rPr>
        <w:t xml:space="preserve"> </w:t>
      </w:r>
      <w:r>
        <w:rPr>
          <w:w w:val="115"/>
          <w:sz w:val="19"/>
        </w:rPr>
        <w:t>of mental</w:t>
      </w:r>
      <w:r>
        <w:rPr>
          <w:spacing w:val="-4"/>
          <w:w w:val="115"/>
          <w:sz w:val="19"/>
        </w:rPr>
        <w:t xml:space="preserve"> </w:t>
      </w:r>
      <w:r>
        <w:rPr>
          <w:w w:val="115"/>
          <w:sz w:val="19"/>
        </w:rPr>
        <w:t>disorders</w:t>
      </w:r>
      <w:r>
        <w:rPr>
          <w:spacing w:val="-8"/>
          <w:w w:val="115"/>
          <w:sz w:val="19"/>
        </w:rPr>
        <w:t xml:space="preserve"> </w:t>
      </w:r>
      <w:r>
        <w:rPr>
          <w:w w:val="115"/>
          <w:sz w:val="19"/>
        </w:rPr>
        <w:t>and</w:t>
      </w:r>
      <w:r>
        <w:rPr>
          <w:spacing w:val="1"/>
          <w:w w:val="115"/>
          <w:sz w:val="19"/>
        </w:rPr>
        <w:t xml:space="preserve"> </w:t>
      </w:r>
      <w:r>
        <w:rPr>
          <w:w w:val="115"/>
          <w:sz w:val="19"/>
        </w:rPr>
        <w:t>of</w:t>
      </w:r>
      <w:r>
        <w:rPr>
          <w:spacing w:val="-7"/>
          <w:w w:val="115"/>
          <w:sz w:val="19"/>
        </w:rPr>
        <w:t xml:space="preserve"> </w:t>
      </w:r>
      <w:r>
        <w:rPr>
          <w:w w:val="115"/>
          <w:sz w:val="19"/>
        </w:rPr>
        <w:t>other</w:t>
      </w:r>
      <w:r>
        <w:rPr>
          <w:spacing w:val="-10"/>
          <w:w w:val="115"/>
          <w:sz w:val="19"/>
        </w:rPr>
        <w:t xml:space="preserve"> </w:t>
      </w:r>
      <w:r>
        <w:rPr>
          <w:w w:val="115"/>
          <w:sz w:val="19"/>
        </w:rPr>
        <w:t>substances.</w:t>
      </w:r>
      <w:r>
        <w:rPr>
          <w:spacing w:val="-2"/>
          <w:w w:val="115"/>
          <w:sz w:val="19"/>
        </w:rPr>
        <w:t xml:space="preserve"> </w:t>
      </w:r>
      <w:r>
        <w:rPr>
          <w:w w:val="115"/>
          <w:sz w:val="19"/>
        </w:rPr>
        <w:t>Thus,</w:t>
      </w:r>
      <w:r>
        <w:rPr>
          <w:spacing w:val="-7"/>
          <w:w w:val="115"/>
          <w:sz w:val="19"/>
        </w:rPr>
        <w:t xml:space="preserve"> </w:t>
      </w:r>
      <w:r>
        <w:rPr>
          <w:w w:val="115"/>
          <w:sz w:val="19"/>
        </w:rPr>
        <w:t>cessation</w:t>
      </w:r>
      <w:r>
        <w:rPr>
          <w:spacing w:val="-3"/>
          <w:w w:val="115"/>
          <w:sz w:val="19"/>
        </w:rPr>
        <w:t xml:space="preserve"> </w:t>
      </w:r>
      <w:r>
        <w:rPr>
          <w:w w:val="115"/>
          <w:sz w:val="19"/>
        </w:rPr>
        <w:t>of</w:t>
      </w:r>
      <w:r>
        <w:rPr>
          <w:spacing w:val="-10"/>
          <w:w w:val="115"/>
          <w:sz w:val="19"/>
        </w:rPr>
        <w:t xml:space="preserve"> </w:t>
      </w:r>
      <w:r>
        <w:rPr>
          <w:w w:val="115"/>
          <w:sz w:val="19"/>
        </w:rPr>
        <w:t>smoking</w:t>
      </w:r>
      <w:r>
        <w:rPr>
          <w:spacing w:val="-6"/>
          <w:w w:val="115"/>
          <w:sz w:val="19"/>
        </w:rPr>
        <w:t xml:space="preserve"> </w:t>
      </w:r>
      <w:r>
        <w:rPr>
          <w:w w:val="115"/>
          <w:sz w:val="19"/>
        </w:rPr>
        <w:t>can</w:t>
      </w:r>
      <w:r>
        <w:rPr>
          <w:spacing w:val="-3"/>
          <w:w w:val="115"/>
          <w:sz w:val="19"/>
        </w:rPr>
        <w:t xml:space="preserve"> </w:t>
      </w:r>
      <w:r>
        <w:rPr>
          <w:w w:val="115"/>
          <w:sz w:val="19"/>
        </w:rPr>
        <w:t>increase</w:t>
      </w:r>
      <w:r>
        <w:rPr>
          <w:spacing w:val="-2"/>
          <w:w w:val="115"/>
          <w:sz w:val="19"/>
        </w:rPr>
        <w:t xml:space="preserve"> </w:t>
      </w:r>
      <w:r>
        <w:rPr>
          <w:w w:val="115"/>
          <w:sz w:val="19"/>
        </w:rPr>
        <w:t>the blood levels of these medications and other substances, sometimes to a clinically significant</w:t>
      </w:r>
      <w:r>
        <w:rPr>
          <w:spacing w:val="1"/>
          <w:w w:val="115"/>
          <w:sz w:val="19"/>
        </w:rPr>
        <w:t xml:space="preserve"> </w:t>
      </w:r>
      <w:r>
        <w:rPr>
          <w:w w:val="115"/>
          <w:sz w:val="19"/>
        </w:rPr>
        <w:t>degree.</w:t>
      </w:r>
      <w:r>
        <w:rPr>
          <w:spacing w:val="-5"/>
          <w:w w:val="115"/>
          <w:sz w:val="19"/>
        </w:rPr>
        <w:t xml:space="preserve"> </w:t>
      </w:r>
      <w:r>
        <w:rPr>
          <w:w w:val="115"/>
          <w:sz w:val="19"/>
        </w:rPr>
        <w:t>This</w:t>
      </w:r>
      <w:r>
        <w:rPr>
          <w:spacing w:val="-7"/>
          <w:w w:val="115"/>
          <w:sz w:val="19"/>
        </w:rPr>
        <w:t xml:space="preserve"> </w:t>
      </w:r>
      <w:r>
        <w:rPr>
          <w:w w:val="115"/>
          <w:sz w:val="19"/>
        </w:rPr>
        <w:t>effect does</w:t>
      </w:r>
      <w:r>
        <w:rPr>
          <w:spacing w:val="-4"/>
          <w:w w:val="115"/>
          <w:sz w:val="19"/>
        </w:rPr>
        <w:t xml:space="preserve"> </w:t>
      </w:r>
      <w:r>
        <w:rPr>
          <w:w w:val="115"/>
          <w:sz w:val="19"/>
        </w:rPr>
        <w:t>not</w:t>
      </w:r>
      <w:r>
        <w:rPr>
          <w:spacing w:val="-16"/>
          <w:w w:val="115"/>
          <w:sz w:val="19"/>
        </w:rPr>
        <w:t xml:space="preserve"> </w:t>
      </w:r>
      <w:r>
        <w:rPr>
          <w:w w:val="115"/>
          <w:sz w:val="19"/>
        </w:rPr>
        <w:t>appear</w:t>
      </w:r>
      <w:r>
        <w:rPr>
          <w:spacing w:val="3"/>
          <w:w w:val="115"/>
          <w:sz w:val="19"/>
        </w:rPr>
        <w:t xml:space="preserve"> </w:t>
      </w:r>
      <w:r>
        <w:rPr>
          <w:w w:val="115"/>
          <w:sz w:val="19"/>
        </w:rPr>
        <w:t>to</w:t>
      </w:r>
      <w:r>
        <w:rPr>
          <w:spacing w:val="-8"/>
          <w:w w:val="115"/>
          <w:sz w:val="19"/>
        </w:rPr>
        <w:t xml:space="preserve"> </w:t>
      </w:r>
      <w:r>
        <w:rPr>
          <w:w w:val="115"/>
          <w:sz w:val="19"/>
        </w:rPr>
        <w:t>be</w:t>
      </w:r>
      <w:r>
        <w:rPr>
          <w:spacing w:val="-7"/>
          <w:w w:val="115"/>
          <w:sz w:val="19"/>
        </w:rPr>
        <w:t xml:space="preserve"> </w:t>
      </w:r>
      <w:r>
        <w:rPr>
          <w:w w:val="115"/>
          <w:sz w:val="19"/>
        </w:rPr>
        <w:t>due to</w:t>
      </w:r>
      <w:r>
        <w:rPr>
          <w:spacing w:val="-6"/>
          <w:w w:val="115"/>
          <w:sz w:val="19"/>
        </w:rPr>
        <w:t xml:space="preserve"> </w:t>
      </w:r>
      <w:r>
        <w:rPr>
          <w:w w:val="115"/>
          <w:sz w:val="19"/>
        </w:rPr>
        <w:t>nicotine</w:t>
      </w:r>
      <w:r>
        <w:rPr>
          <w:spacing w:val="3"/>
          <w:w w:val="115"/>
          <w:sz w:val="19"/>
        </w:rPr>
        <w:t xml:space="preserve"> </w:t>
      </w:r>
      <w:r>
        <w:rPr>
          <w:w w:val="115"/>
          <w:sz w:val="19"/>
        </w:rPr>
        <w:t>but</w:t>
      </w:r>
      <w:r>
        <w:rPr>
          <w:spacing w:val="3"/>
          <w:w w:val="115"/>
          <w:sz w:val="19"/>
        </w:rPr>
        <w:t xml:space="preserve"> </w:t>
      </w:r>
      <w:r>
        <w:rPr>
          <w:w w:val="115"/>
          <w:sz w:val="19"/>
        </w:rPr>
        <w:t>rather</w:t>
      </w:r>
      <w:r>
        <w:rPr>
          <w:spacing w:val="-3"/>
          <w:w w:val="115"/>
          <w:sz w:val="19"/>
        </w:rPr>
        <w:t xml:space="preserve"> </w:t>
      </w:r>
      <w:r>
        <w:rPr>
          <w:w w:val="115"/>
          <w:sz w:val="19"/>
        </w:rPr>
        <w:t>to</w:t>
      </w:r>
      <w:r>
        <w:rPr>
          <w:spacing w:val="-3"/>
          <w:w w:val="115"/>
          <w:sz w:val="19"/>
        </w:rPr>
        <w:t xml:space="preserve"> </w:t>
      </w:r>
      <w:r>
        <w:rPr>
          <w:w w:val="115"/>
          <w:sz w:val="19"/>
        </w:rPr>
        <w:t>other compounds</w:t>
      </w:r>
      <w:r>
        <w:rPr>
          <w:spacing w:val="-10"/>
          <w:w w:val="115"/>
          <w:sz w:val="19"/>
        </w:rPr>
        <w:t xml:space="preserve"> </w:t>
      </w:r>
      <w:r>
        <w:rPr>
          <w:w w:val="115"/>
          <w:sz w:val="19"/>
        </w:rPr>
        <w:t>in</w:t>
      </w:r>
      <w:r>
        <w:rPr>
          <w:spacing w:val="-15"/>
          <w:w w:val="115"/>
          <w:sz w:val="19"/>
        </w:rPr>
        <w:t xml:space="preserve"> </w:t>
      </w:r>
      <w:r>
        <w:rPr>
          <w:w w:val="115"/>
          <w:sz w:val="19"/>
        </w:rPr>
        <w:t>tobacco.</w:t>
      </w:r>
      <w:r>
        <w:rPr>
          <w:spacing w:val="-4"/>
          <w:w w:val="115"/>
          <w:sz w:val="19"/>
        </w:rPr>
        <w:t xml:space="preserve"> </w:t>
      </w:r>
      <w:r>
        <w:rPr>
          <w:w w:val="115"/>
          <w:sz w:val="19"/>
        </w:rPr>
        <w:t>Nicotine</w:t>
      </w:r>
      <w:r>
        <w:rPr>
          <w:spacing w:val="-12"/>
          <w:w w:val="115"/>
          <w:sz w:val="19"/>
        </w:rPr>
        <w:t xml:space="preserve"> </w:t>
      </w:r>
      <w:r>
        <w:rPr>
          <w:w w:val="115"/>
          <w:sz w:val="19"/>
        </w:rPr>
        <w:t>and</w:t>
      </w:r>
      <w:r>
        <w:rPr>
          <w:spacing w:val="4"/>
          <w:w w:val="115"/>
          <w:sz w:val="19"/>
        </w:rPr>
        <w:t xml:space="preserve"> </w:t>
      </w:r>
      <w:r>
        <w:rPr>
          <w:w w:val="115"/>
          <w:sz w:val="19"/>
        </w:rPr>
        <w:t>its</w:t>
      </w:r>
      <w:r>
        <w:rPr>
          <w:spacing w:val="-15"/>
          <w:w w:val="115"/>
          <w:sz w:val="19"/>
        </w:rPr>
        <w:t xml:space="preserve"> </w:t>
      </w:r>
      <w:r>
        <w:rPr>
          <w:w w:val="115"/>
          <w:sz w:val="19"/>
        </w:rPr>
        <w:t>metabolite</w:t>
      </w:r>
      <w:r>
        <w:rPr>
          <w:spacing w:val="-4"/>
          <w:w w:val="115"/>
          <w:sz w:val="19"/>
        </w:rPr>
        <w:t xml:space="preserve"> </w:t>
      </w:r>
      <w:r>
        <w:rPr>
          <w:w w:val="115"/>
          <w:sz w:val="19"/>
        </w:rPr>
        <w:t>cotinine</w:t>
      </w:r>
      <w:r>
        <w:rPr>
          <w:spacing w:val="-9"/>
          <w:w w:val="115"/>
          <w:sz w:val="19"/>
        </w:rPr>
        <w:t xml:space="preserve"> </w:t>
      </w:r>
      <w:r>
        <w:rPr>
          <w:w w:val="115"/>
          <w:sz w:val="19"/>
        </w:rPr>
        <w:t>can</w:t>
      </w:r>
      <w:r>
        <w:rPr>
          <w:spacing w:val="-7"/>
          <w:w w:val="115"/>
          <w:sz w:val="19"/>
        </w:rPr>
        <w:t xml:space="preserve"> </w:t>
      </w:r>
      <w:r>
        <w:rPr>
          <w:w w:val="115"/>
          <w:sz w:val="19"/>
        </w:rPr>
        <w:t>be</w:t>
      </w:r>
      <w:r>
        <w:rPr>
          <w:spacing w:val="-8"/>
          <w:w w:val="115"/>
          <w:sz w:val="19"/>
        </w:rPr>
        <w:t xml:space="preserve"> </w:t>
      </w:r>
      <w:r>
        <w:rPr>
          <w:w w:val="115"/>
          <w:sz w:val="19"/>
        </w:rPr>
        <w:t>measured</w:t>
      </w:r>
      <w:r>
        <w:rPr>
          <w:spacing w:val="-3"/>
          <w:w w:val="115"/>
          <w:sz w:val="19"/>
        </w:rPr>
        <w:t xml:space="preserve"> </w:t>
      </w:r>
      <w:r>
        <w:rPr>
          <w:w w:val="115"/>
          <w:sz w:val="19"/>
        </w:rPr>
        <w:t>in</w:t>
      </w:r>
      <w:r>
        <w:rPr>
          <w:spacing w:val="-17"/>
          <w:w w:val="115"/>
          <w:sz w:val="19"/>
        </w:rPr>
        <w:t xml:space="preserve"> </w:t>
      </w:r>
      <w:r>
        <w:rPr>
          <w:w w:val="115"/>
          <w:sz w:val="19"/>
        </w:rPr>
        <w:t>blood, saliva, or urine. Persons who smoke also often have diminished pulmonary function tests and increased mean corpuscular volume</w:t>
      </w:r>
      <w:r>
        <w:rPr>
          <w:spacing w:val="-31"/>
          <w:w w:val="115"/>
          <w:sz w:val="19"/>
        </w:rPr>
        <w:t xml:space="preserve"> </w:t>
      </w:r>
      <w:r>
        <w:rPr>
          <w:w w:val="115"/>
          <w:sz w:val="19"/>
        </w:rPr>
        <w:t>(MCV).</w:t>
      </w:r>
    </w:p>
    <w:p w:rsidR="00E675F0" w:rsidRDefault="00E675F0" w:rsidP="00E675F0">
      <w:pPr>
        <w:spacing w:line="268" w:lineRule="auto"/>
        <w:jc w:val="both"/>
        <w:rPr>
          <w:sz w:val="19"/>
        </w:rPr>
        <w:sectPr w:rsidR="00E675F0">
          <w:pgSz w:w="8960" w:h="14260"/>
          <w:pgMar w:top="1400" w:right="600" w:bottom="280" w:left="620" w:header="698" w:footer="0" w:gutter="0"/>
          <w:cols w:space="720"/>
        </w:sectPr>
      </w:pPr>
    </w:p>
    <w:p w:rsidR="00E675F0" w:rsidRDefault="00E675F0" w:rsidP="00E675F0">
      <w:pPr>
        <w:pStyle w:val="BodyText"/>
        <w:spacing w:before="136" w:line="254" w:lineRule="auto"/>
        <w:ind w:left="113" w:right="135" w:hanging="4"/>
        <w:jc w:val="both"/>
      </w:pPr>
      <w:r>
        <w:rPr>
          <w:b/>
          <w:w w:val="110"/>
        </w:rPr>
        <w:lastRenderedPageBreak/>
        <w:t xml:space="preserve">Associated physical examination findings </w:t>
      </w:r>
      <w:r>
        <w:rPr>
          <w:b/>
          <w:spacing w:val="2"/>
          <w:w w:val="110"/>
        </w:rPr>
        <w:t xml:space="preserve">andgeneral </w:t>
      </w:r>
      <w:r>
        <w:rPr>
          <w:b/>
          <w:w w:val="110"/>
        </w:rPr>
        <w:t xml:space="preserve">medical conditions. </w:t>
      </w:r>
      <w:r>
        <w:rPr>
          <w:w w:val="110"/>
        </w:rPr>
        <w:t>Nicotine</w:t>
      </w:r>
      <w:r>
        <w:rPr>
          <w:spacing w:val="-25"/>
          <w:w w:val="110"/>
        </w:rPr>
        <w:t xml:space="preserve"> </w:t>
      </w:r>
      <w:r>
        <w:rPr>
          <w:w w:val="110"/>
        </w:rPr>
        <w:t>Withdrawal</w:t>
      </w:r>
      <w:r>
        <w:rPr>
          <w:spacing w:val="-24"/>
          <w:w w:val="110"/>
        </w:rPr>
        <w:t xml:space="preserve"> </w:t>
      </w:r>
      <w:r>
        <w:rPr>
          <w:w w:val="110"/>
        </w:rPr>
        <w:t>may</w:t>
      </w:r>
      <w:r>
        <w:rPr>
          <w:spacing w:val="-26"/>
          <w:w w:val="110"/>
        </w:rPr>
        <w:t xml:space="preserve"> </w:t>
      </w:r>
      <w:r>
        <w:rPr>
          <w:w w:val="110"/>
        </w:rPr>
        <w:t>be</w:t>
      </w:r>
      <w:r>
        <w:rPr>
          <w:spacing w:val="-29"/>
          <w:w w:val="110"/>
        </w:rPr>
        <w:t xml:space="preserve"> </w:t>
      </w:r>
      <w:r>
        <w:rPr>
          <w:w w:val="110"/>
        </w:rPr>
        <w:t>associated</w:t>
      </w:r>
      <w:r>
        <w:rPr>
          <w:spacing w:val="-18"/>
          <w:w w:val="110"/>
        </w:rPr>
        <w:t xml:space="preserve"> </w:t>
      </w:r>
      <w:r>
        <w:rPr>
          <w:w w:val="110"/>
        </w:rPr>
        <w:t>with</w:t>
      </w:r>
      <w:r>
        <w:rPr>
          <w:spacing w:val="-24"/>
          <w:w w:val="110"/>
        </w:rPr>
        <w:t xml:space="preserve"> </w:t>
      </w:r>
      <w:r>
        <w:rPr>
          <w:w w:val="110"/>
        </w:rPr>
        <w:t>a</w:t>
      </w:r>
      <w:r>
        <w:rPr>
          <w:spacing w:val="-24"/>
          <w:w w:val="110"/>
        </w:rPr>
        <w:t xml:space="preserve"> </w:t>
      </w:r>
      <w:r>
        <w:rPr>
          <w:w w:val="110"/>
        </w:rPr>
        <w:t>dry</w:t>
      </w:r>
      <w:r>
        <w:rPr>
          <w:spacing w:val="-31"/>
          <w:w w:val="110"/>
        </w:rPr>
        <w:t xml:space="preserve"> </w:t>
      </w:r>
      <w:r>
        <w:rPr>
          <w:w w:val="110"/>
        </w:rPr>
        <w:t>or</w:t>
      </w:r>
      <w:r>
        <w:rPr>
          <w:spacing w:val="-26"/>
          <w:w w:val="110"/>
        </w:rPr>
        <w:t xml:space="preserve"> </w:t>
      </w:r>
      <w:r>
        <w:rPr>
          <w:w w:val="110"/>
        </w:rPr>
        <w:t>productive</w:t>
      </w:r>
      <w:r>
        <w:rPr>
          <w:spacing w:val="-25"/>
          <w:w w:val="110"/>
        </w:rPr>
        <w:t xml:space="preserve"> </w:t>
      </w:r>
      <w:r>
        <w:rPr>
          <w:w w:val="110"/>
        </w:rPr>
        <w:t>cough,</w:t>
      </w:r>
      <w:r>
        <w:rPr>
          <w:spacing w:val="-26"/>
          <w:w w:val="110"/>
        </w:rPr>
        <w:t xml:space="preserve"> </w:t>
      </w:r>
      <w:r>
        <w:rPr>
          <w:w w:val="110"/>
        </w:rPr>
        <w:t>decreased</w:t>
      </w:r>
      <w:r>
        <w:rPr>
          <w:spacing w:val="-21"/>
          <w:w w:val="110"/>
        </w:rPr>
        <w:t xml:space="preserve"> </w:t>
      </w:r>
      <w:r>
        <w:rPr>
          <w:w w:val="110"/>
        </w:rPr>
        <w:t>heart rate,</w:t>
      </w:r>
      <w:r>
        <w:rPr>
          <w:spacing w:val="-14"/>
          <w:w w:val="110"/>
        </w:rPr>
        <w:t xml:space="preserve"> </w:t>
      </w:r>
      <w:r>
        <w:rPr>
          <w:w w:val="110"/>
        </w:rPr>
        <w:t>increased</w:t>
      </w:r>
      <w:r>
        <w:rPr>
          <w:spacing w:val="-12"/>
          <w:w w:val="110"/>
        </w:rPr>
        <w:t xml:space="preserve"> </w:t>
      </w:r>
      <w:r>
        <w:rPr>
          <w:w w:val="110"/>
        </w:rPr>
        <w:t>appetite</w:t>
      </w:r>
      <w:r>
        <w:rPr>
          <w:spacing w:val="-17"/>
          <w:w w:val="110"/>
        </w:rPr>
        <w:t xml:space="preserve"> </w:t>
      </w:r>
      <w:r>
        <w:rPr>
          <w:w w:val="110"/>
        </w:rPr>
        <w:t>or</w:t>
      </w:r>
      <w:r>
        <w:rPr>
          <w:spacing w:val="-23"/>
          <w:w w:val="110"/>
        </w:rPr>
        <w:t xml:space="preserve"> </w:t>
      </w:r>
      <w:r>
        <w:rPr>
          <w:w w:val="110"/>
        </w:rPr>
        <w:t>weight</w:t>
      </w:r>
      <w:r>
        <w:rPr>
          <w:spacing w:val="-17"/>
          <w:w w:val="110"/>
        </w:rPr>
        <w:t xml:space="preserve"> </w:t>
      </w:r>
      <w:r>
        <w:rPr>
          <w:w w:val="110"/>
        </w:rPr>
        <w:t>gain,</w:t>
      </w:r>
      <w:r>
        <w:rPr>
          <w:spacing w:val="-20"/>
          <w:w w:val="110"/>
        </w:rPr>
        <w:t xml:space="preserve"> </w:t>
      </w:r>
      <w:r>
        <w:rPr>
          <w:w w:val="110"/>
        </w:rPr>
        <w:t>and</w:t>
      </w:r>
      <w:r>
        <w:rPr>
          <w:spacing w:val="-9"/>
          <w:w w:val="110"/>
        </w:rPr>
        <w:t xml:space="preserve"> </w:t>
      </w:r>
      <w:r>
        <w:rPr>
          <w:w w:val="110"/>
        </w:rPr>
        <w:t>a</w:t>
      </w:r>
      <w:r>
        <w:rPr>
          <w:spacing w:val="-20"/>
          <w:w w:val="110"/>
        </w:rPr>
        <w:t xml:space="preserve"> </w:t>
      </w:r>
      <w:r>
        <w:rPr>
          <w:w w:val="110"/>
        </w:rPr>
        <w:t>dampened</w:t>
      </w:r>
      <w:r>
        <w:rPr>
          <w:spacing w:val="-8"/>
          <w:w w:val="110"/>
        </w:rPr>
        <w:t xml:space="preserve"> </w:t>
      </w:r>
      <w:r>
        <w:rPr>
          <w:w w:val="110"/>
        </w:rPr>
        <w:t>orthostatic</w:t>
      </w:r>
      <w:r>
        <w:rPr>
          <w:spacing w:val="-9"/>
          <w:w w:val="110"/>
        </w:rPr>
        <w:t xml:space="preserve"> </w:t>
      </w:r>
      <w:r>
        <w:rPr>
          <w:w w:val="110"/>
        </w:rPr>
        <w:t>response.</w:t>
      </w:r>
      <w:r>
        <w:rPr>
          <w:spacing w:val="-12"/>
          <w:w w:val="110"/>
        </w:rPr>
        <w:t xml:space="preserve"> </w:t>
      </w:r>
      <w:r>
        <w:rPr>
          <w:w w:val="110"/>
        </w:rPr>
        <w:t>The</w:t>
      </w:r>
      <w:r>
        <w:rPr>
          <w:spacing w:val="-18"/>
          <w:w w:val="110"/>
        </w:rPr>
        <w:t xml:space="preserve"> </w:t>
      </w:r>
      <w:r>
        <w:rPr>
          <w:w w:val="110"/>
        </w:rPr>
        <w:t>most common signs of Nicotine Dependence are tobacco odor, cough, evidence of chronic obstructive pulmonary disease, and excessive skin wrinkling. Tobacco stains on the fingers</w:t>
      </w:r>
      <w:r>
        <w:rPr>
          <w:spacing w:val="-21"/>
          <w:w w:val="110"/>
        </w:rPr>
        <w:t xml:space="preserve"> </w:t>
      </w:r>
      <w:r>
        <w:rPr>
          <w:w w:val="110"/>
        </w:rPr>
        <w:t>can</w:t>
      </w:r>
      <w:r>
        <w:rPr>
          <w:spacing w:val="-16"/>
          <w:w w:val="110"/>
        </w:rPr>
        <w:t xml:space="preserve"> </w:t>
      </w:r>
      <w:r>
        <w:rPr>
          <w:w w:val="110"/>
        </w:rPr>
        <w:t>occur</w:t>
      </w:r>
      <w:r>
        <w:rPr>
          <w:spacing w:val="-14"/>
          <w:w w:val="110"/>
        </w:rPr>
        <w:t xml:space="preserve"> </w:t>
      </w:r>
      <w:r>
        <w:rPr>
          <w:w w:val="110"/>
        </w:rPr>
        <w:t>but</w:t>
      </w:r>
      <w:r>
        <w:rPr>
          <w:spacing w:val="-17"/>
          <w:w w:val="110"/>
        </w:rPr>
        <w:t xml:space="preserve"> </w:t>
      </w:r>
      <w:r>
        <w:rPr>
          <w:w w:val="110"/>
        </w:rPr>
        <w:t>are</w:t>
      </w:r>
      <w:r>
        <w:rPr>
          <w:spacing w:val="-21"/>
          <w:w w:val="110"/>
        </w:rPr>
        <w:t xml:space="preserve"> </w:t>
      </w:r>
      <w:r>
        <w:rPr>
          <w:w w:val="110"/>
        </w:rPr>
        <w:t>rare.</w:t>
      </w:r>
      <w:r>
        <w:rPr>
          <w:spacing w:val="-23"/>
          <w:w w:val="110"/>
        </w:rPr>
        <w:t xml:space="preserve"> </w:t>
      </w:r>
      <w:r>
        <w:rPr>
          <w:w w:val="110"/>
        </w:rPr>
        <w:t>Tobacco</w:t>
      </w:r>
      <w:r>
        <w:rPr>
          <w:spacing w:val="-13"/>
          <w:w w:val="110"/>
        </w:rPr>
        <w:t xml:space="preserve"> </w:t>
      </w:r>
      <w:r>
        <w:rPr>
          <w:w w:val="110"/>
        </w:rPr>
        <w:t>use</w:t>
      </w:r>
      <w:r>
        <w:rPr>
          <w:spacing w:val="-21"/>
          <w:w w:val="110"/>
        </w:rPr>
        <w:t xml:space="preserve"> </w:t>
      </w:r>
      <w:r>
        <w:rPr>
          <w:w w:val="110"/>
        </w:rPr>
        <w:t>can</w:t>
      </w:r>
      <w:r>
        <w:rPr>
          <w:spacing w:val="-12"/>
          <w:w w:val="110"/>
        </w:rPr>
        <w:t xml:space="preserve"> </w:t>
      </w:r>
      <w:r>
        <w:rPr>
          <w:w w:val="110"/>
        </w:rPr>
        <w:t>markedly</w:t>
      </w:r>
      <w:r>
        <w:rPr>
          <w:spacing w:val="-14"/>
          <w:w w:val="110"/>
        </w:rPr>
        <w:t xml:space="preserve"> </w:t>
      </w:r>
      <w:r>
        <w:rPr>
          <w:w w:val="110"/>
        </w:rPr>
        <w:t>increase</w:t>
      </w:r>
      <w:r>
        <w:rPr>
          <w:spacing w:val="-15"/>
          <w:w w:val="110"/>
        </w:rPr>
        <w:t xml:space="preserve"> </w:t>
      </w:r>
      <w:r>
        <w:rPr>
          <w:w w:val="110"/>
        </w:rPr>
        <w:t>the</w:t>
      </w:r>
      <w:r>
        <w:rPr>
          <w:spacing w:val="-19"/>
          <w:w w:val="110"/>
        </w:rPr>
        <w:t xml:space="preserve"> </w:t>
      </w:r>
      <w:r>
        <w:rPr>
          <w:w w:val="110"/>
        </w:rPr>
        <w:t>risk</w:t>
      </w:r>
      <w:r>
        <w:rPr>
          <w:spacing w:val="-13"/>
          <w:w w:val="110"/>
        </w:rPr>
        <w:t xml:space="preserve"> </w:t>
      </w:r>
      <w:r>
        <w:rPr>
          <w:w w:val="110"/>
        </w:rPr>
        <w:t>of</w:t>
      </w:r>
      <w:r>
        <w:rPr>
          <w:spacing w:val="-17"/>
          <w:w w:val="110"/>
        </w:rPr>
        <w:t xml:space="preserve"> </w:t>
      </w:r>
      <w:r>
        <w:rPr>
          <w:w w:val="110"/>
        </w:rPr>
        <w:t>lung,</w:t>
      </w:r>
      <w:r>
        <w:rPr>
          <w:spacing w:val="-15"/>
          <w:w w:val="110"/>
        </w:rPr>
        <w:t xml:space="preserve"> </w:t>
      </w:r>
      <w:r>
        <w:rPr>
          <w:w w:val="110"/>
        </w:rPr>
        <w:t>oral, and</w:t>
      </w:r>
      <w:r>
        <w:rPr>
          <w:spacing w:val="-2"/>
          <w:w w:val="110"/>
        </w:rPr>
        <w:t xml:space="preserve"> </w:t>
      </w:r>
      <w:r>
        <w:rPr>
          <w:w w:val="110"/>
        </w:rPr>
        <w:t>other</w:t>
      </w:r>
      <w:r>
        <w:rPr>
          <w:spacing w:val="-12"/>
          <w:w w:val="110"/>
        </w:rPr>
        <w:t xml:space="preserve"> </w:t>
      </w:r>
      <w:r>
        <w:rPr>
          <w:w w:val="110"/>
        </w:rPr>
        <w:t>cancers;</w:t>
      </w:r>
      <w:r>
        <w:rPr>
          <w:spacing w:val="-12"/>
          <w:w w:val="110"/>
        </w:rPr>
        <w:t xml:space="preserve"> </w:t>
      </w:r>
      <w:r>
        <w:rPr>
          <w:w w:val="110"/>
        </w:rPr>
        <w:t>cardiovascular</w:t>
      </w:r>
      <w:r>
        <w:rPr>
          <w:spacing w:val="-16"/>
          <w:w w:val="110"/>
        </w:rPr>
        <w:t xml:space="preserve"> </w:t>
      </w:r>
      <w:r>
        <w:rPr>
          <w:w w:val="110"/>
        </w:rPr>
        <w:t>and</w:t>
      </w:r>
      <w:r>
        <w:rPr>
          <w:spacing w:val="-11"/>
          <w:w w:val="110"/>
        </w:rPr>
        <w:t xml:space="preserve"> </w:t>
      </w:r>
      <w:r>
        <w:rPr>
          <w:w w:val="110"/>
        </w:rPr>
        <w:t>cerebrovascular</w:t>
      </w:r>
      <w:r>
        <w:rPr>
          <w:spacing w:val="-23"/>
          <w:w w:val="110"/>
        </w:rPr>
        <w:t xml:space="preserve"> </w:t>
      </w:r>
      <w:r>
        <w:rPr>
          <w:w w:val="110"/>
        </w:rPr>
        <w:t>conditions;</w:t>
      </w:r>
      <w:r>
        <w:rPr>
          <w:spacing w:val="-6"/>
          <w:w w:val="110"/>
        </w:rPr>
        <w:t xml:space="preserve"> </w:t>
      </w:r>
      <w:r>
        <w:rPr>
          <w:w w:val="110"/>
        </w:rPr>
        <w:t>chronic</w:t>
      </w:r>
      <w:r>
        <w:rPr>
          <w:spacing w:val="-11"/>
          <w:w w:val="110"/>
        </w:rPr>
        <w:t xml:space="preserve"> </w:t>
      </w:r>
      <w:r>
        <w:rPr>
          <w:w w:val="110"/>
        </w:rPr>
        <w:t>obstructive and</w:t>
      </w:r>
      <w:r>
        <w:rPr>
          <w:spacing w:val="-18"/>
          <w:w w:val="110"/>
        </w:rPr>
        <w:t xml:space="preserve"> </w:t>
      </w:r>
      <w:r>
        <w:rPr>
          <w:w w:val="110"/>
        </w:rPr>
        <w:t>other</w:t>
      </w:r>
      <w:r>
        <w:rPr>
          <w:spacing w:val="-19"/>
          <w:w w:val="110"/>
        </w:rPr>
        <w:t xml:space="preserve"> </w:t>
      </w:r>
      <w:r>
        <w:rPr>
          <w:w w:val="110"/>
        </w:rPr>
        <w:t>lung</w:t>
      </w:r>
      <w:r>
        <w:rPr>
          <w:spacing w:val="-23"/>
          <w:w w:val="110"/>
        </w:rPr>
        <w:t xml:space="preserve"> </w:t>
      </w:r>
      <w:r>
        <w:rPr>
          <w:w w:val="110"/>
        </w:rPr>
        <w:t>diseases;</w:t>
      </w:r>
      <w:r>
        <w:rPr>
          <w:spacing w:val="-12"/>
          <w:w w:val="110"/>
        </w:rPr>
        <w:t xml:space="preserve"> </w:t>
      </w:r>
      <w:r>
        <w:rPr>
          <w:w w:val="110"/>
        </w:rPr>
        <w:t>ulcers;</w:t>
      </w:r>
      <w:r>
        <w:rPr>
          <w:spacing w:val="-14"/>
          <w:w w:val="110"/>
        </w:rPr>
        <w:t xml:space="preserve"> </w:t>
      </w:r>
      <w:r>
        <w:rPr>
          <w:w w:val="110"/>
        </w:rPr>
        <w:t>maternal</w:t>
      </w:r>
      <w:r>
        <w:rPr>
          <w:spacing w:val="-14"/>
          <w:w w:val="110"/>
        </w:rPr>
        <w:t xml:space="preserve"> </w:t>
      </w:r>
      <w:r>
        <w:rPr>
          <w:w w:val="110"/>
        </w:rPr>
        <w:t>and</w:t>
      </w:r>
      <w:r>
        <w:rPr>
          <w:spacing w:val="-22"/>
          <w:w w:val="110"/>
        </w:rPr>
        <w:t xml:space="preserve"> </w:t>
      </w:r>
      <w:r>
        <w:rPr>
          <w:w w:val="110"/>
        </w:rPr>
        <w:t>fetal</w:t>
      </w:r>
      <w:r>
        <w:rPr>
          <w:spacing w:val="-21"/>
          <w:w w:val="110"/>
        </w:rPr>
        <w:t xml:space="preserve"> </w:t>
      </w:r>
      <w:r>
        <w:rPr>
          <w:w w:val="110"/>
        </w:rPr>
        <w:t>complications;</w:t>
      </w:r>
      <w:r>
        <w:rPr>
          <w:spacing w:val="-17"/>
          <w:w w:val="110"/>
        </w:rPr>
        <w:t xml:space="preserve"> </w:t>
      </w:r>
      <w:r>
        <w:rPr>
          <w:w w:val="110"/>
        </w:rPr>
        <w:t>and</w:t>
      </w:r>
      <w:r>
        <w:rPr>
          <w:spacing w:val="-19"/>
          <w:w w:val="110"/>
        </w:rPr>
        <w:t xml:space="preserve"> </w:t>
      </w:r>
      <w:r>
        <w:rPr>
          <w:w w:val="110"/>
        </w:rPr>
        <w:t>other</w:t>
      </w:r>
      <w:r>
        <w:rPr>
          <w:spacing w:val="-19"/>
          <w:w w:val="110"/>
        </w:rPr>
        <w:t xml:space="preserve"> </w:t>
      </w:r>
      <w:r>
        <w:rPr>
          <w:w w:val="110"/>
        </w:rPr>
        <w:t>conditions. Although most of these problems appear to be caused by the carcinogens and carbon monoxide</w:t>
      </w:r>
      <w:r>
        <w:rPr>
          <w:spacing w:val="-20"/>
          <w:w w:val="110"/>
        </w:rPr>
        <w:t xml:space="preserve"> </w:t>
      </w:r>
      <w:r>
        <w:rPr>
          <w:w w:val="110"/>
        </w:rPr>
        <w:t>in</w:t>
      </w:r>
      <w:r>
        <w:rPr>
          <w:spacing w:val="-24"/>
          <w:w w:val="110"/>
        </w:rPr>
        <w:t xml:space="preserve"> </w:t>
      </w:r>
      <w:r>
        <w:rPr>
          <w:w w:val="110"/>
        </w:rPr>
        <w:t>tobacco</w:t>
      </w:r>
      <w:r>
        <w:rPr>
          <w:spacing w:val="-26"/>
          <w:w w:val="110"/>
        </w:rPr>
        <w:t xml:space="preserve"> </w:t>
      </w:r>
      <w:r>
        <w:rPr>
          <w:w w:val="110"/>
        </w:rPr>
        <w:t>smoke</w:t>
      </w:r>
      <w:r>
        <w:rPr>
          <w:spacing w:val="-20"/>
          <w:w w:val="110"/>
        </w:rPr>
        <w:t xml:space="preserve"> </w:t>
      </w:r>
      <w:r>
        <w:rPr>
          <w:w w:val="110"/>
        </w:rPr>
        <w:t>rather</w:t>
      </w:r>
      <w:r>
        <w:rPr>
          <w:spacing w:val="-20"/>
          <w:w w:val="110"/>
        </w:rPr>
        <w:t xml:space="preserve"> </w:t>
      </w:r>
      <w:r>
        <w:rPr>
          <w:w w:val="110"/>
        </w:rPr>
        <w:t>than</w:t>
      </w:r>
      <w:r>
        <w:rPr>
          <w:spacing w:val="-23"/>
          <w:w w:val="110"/>
        </w:rPr>
        <w:t xml:space="preserve"> </w:t>
      </w:r>
      <w:r>
        <w:rPr>
          <w:w w:val="110"/>
        </w:rPr>
        <w:t>by</w:t>
      </w:r>
      <w:r>
        <w:rPr>
          <w:spacing w:val="-26"/>
          <w:w w:val="110"/>
        </w:rPr>
        <w:t xml:space="preserve"> </w:t>
      </w:r>
      <w:r>
        <w:rPr>
          <w:w w:val="110"/>
        </w:rPr>
        <w:t>nicotine</w:t>
      </w:r>
      <w:r>
        <w:rPr>
          <w:spacing w:val="-23"/>
          <w:w w:val="110"/>
        </w:rPr>
        <w:t xml:space="preserve"> </w:t>
      </w:r>
      <w:r>
        <w:rPr>
          <w:w w:val="110"/>
        </w:rPr>
        <w:t>itself,</w:t>
      </w:r>
      <w:r>
        <w:rPr>
          <w:spacing w:val="-19"/>
          <w:w w:val="110"/>
        </w:rPr>
        <w:t xml:space="preserve"> </w:t>
      </w:r>
      <w:r>
        <w:rPr>
          <w:w w:val="110"/>
        </w:rPr>
        <w:t>nicotine</w:t>
      </w:r>
      <w:r>
        <w:rPr>
          <w:spacing w:val="-18"/>
          <w:w w:val="110"/>
        </w:rPr>
        <w:t xml:space="preserve"> </w:t>
      </w:r>
      <w:r>
        <w:rPr>
          <w:w w:val="110"/>
        </w:rPr>
        <w:t>may</w:t>
      </w:r>
      <w:r>
        <w:rPr>
          <w:spacing w:val="-23"/>
          <w:w w:val="110"/>
        </w:rPr>
        <w:t xml:space="preserve"> </w:t>
      </w:r>
      <w:r>
        <w:rPr>
          <w:w w:val="110"/>
        </w:rPr>
        <w:t>increase</w:t>
      </w:r>
      <w:r>
        <w:rPr>
          <w:spacing w:val="-22"/>
          <w:w w:val="110"/>
        </w:rPr>
        <w:t xml:space="preserve"> </w:t>
      </w:r>
      <w:r>
        <w:rPr>
          <w:w w:val="110"/>
        </w:rPr>
        <w:t>the</w:t>
      </w:r>
      <w:r>
        <w:rPr>
          <w:spacing w:val="-26"/>
          <w:w w:val="110"/>
        </w:rPr>
        <w:t xml:space="preserve"> </w:t>
      </w:r>
      <w:r>
        <w:rPr>
          <w:w w:val="110"/>
        </w:rPr>
        <w:t>risk for</w:t>
      </w:r>
      <w:r>
        <w:rPr>
          <w:spacing w:val="-11"/>
          <w:w w:val="110"/>
        </w:rPr>
        <w:t xml:space="preserve"> </w:t>
      </w:r>
      <w:r>
        <w:rPr>
          <w:w w:val="110"/>
        </w:rPr>
        <w:t>cardiovascular</w:t>
      </w:r>
      <w:r>
        <w:rPr>
          <w:spacing w:val="-13"/>
          <w:w w:val="110"/>
        </w:rPr>
        <w:t xml:space="preserve"> </w:t>
      </w:r>
      <w:r>
        <w:rPr>
          <w:w w:val="110"/>
        </w:rPr>
        <w:t>events.</w:t>
      </w:r>
      <w:r>
        <w:rPr>
          <w:spacing w:val="-11"/>
          <w:w w:val="110"/>
        </w:rPr>
        <w:t xml:space="preserve"> </w:t>
      </w:r>
      <w:r>
        <w:rPr>
          <w:w w:val="110"/>
        </w:rPr>
        <w:t>Those</w:t>
      </w:r>
      <w:r>
        <w:rPr>
          <w:spacing w:val="-9"/>
          <w:w w:val="110"/>
        </w:rPr>
        <w:t xml:space="preserve"> </w:t>
      </w:r>
      <w:r>
        <w:rPr>
          <w:w w:val="110"/>
        </w:rPr>
        <w:t>who</w:t>
      </w:r>
      <w:r>
        <w:rPr>
          <w:spacing w:val="1"/>
          <w:w w:val="110"/>
        </w:rPr>
        <w:t xml:space="preserve"> </w:t>
      </w:r>
      <w:r>
        <w:rPr>
          <w:w w:val="110"/>
        </w:rPr>
        <w:t>have</w:t>
      </w:r>
      <w:r>
        <w:rPr>
          <w:spacing w:val="-7"/>
          <w:w w:val="110"/>
        </w:rPr>
        <w:t xml:space="preserve"> </w:t>
      </w:r>
      <w:r>
        <w:rPr>
          <w:w w:val="110"/>
        </w:rPr>
        <w:t>never</w:t>
      </w:r>
      <w:r>
        <w:rPr>
          <w:spacing w:val="-10"/>
          <w:w w:val="110"/>
        </w:rPr>
        <w:t xml:space="preserve"> </w:t>
      </w:r>
      <w:r>
        <w:rPr>
          <w:w w:val="110"/>
        </w:rPr>
        <w:t>smoked</w:t>
      </w:r>
      <w:r>
        <w:rPr>
          <w:spacing w:val="-1"/>
          <w:w w:val="110"/>
        </w:rPr>
        <w:t xml:space="preserve"> </w:t>
      </w:r>
      <w:r>
        <w:rPr>
          <w:w w:val="110"/>
        </w:rPr>
        <w:t>but</w:t>
      </w:r>
      <w:r>
        <w:rPr>
          <w:spacing w:val="-6"/>
          <w:w w:val="110"/>
        </w:rPr>
        <w:t xml:space="preserve"> </w:t>
      </w:r>
      <w:r>
        <w:rPr>
          <w:w w:val="110"/>
        </w:rPr>
        <w:t>are</w:t>
      </w:r>
      <w:r>
        <w:rPr>
          <w:spacing w:val="-12"/>
          <w:w w:val="110"/>
        </w:rPr>
        <w:t xml:space="preserve"> </w:t>
      </w:r>
      <w:r>
        <w:rPr>
          <w:w w:val="110"/>
        </w:rPr>
        <w:t>chronically</w:t>
      </w:r>
      <w:r>
        <w:rPr>
          <w:spacing w:val="-2"/>
          <w:w w:val="110"/>
        </w:rPr>
        <w:t xml:space="preserve"> </w:t>
      </w:r>
      <w:r>
        <w:rPr>
          <w:w w:val="110"/>
        </w:rPr>
        <w:t>exposed to</w:t>
      </w:r>
      <w:r>
        <w:rPr>
          <w:spacing w:val="-12"/>
          <w:w w:val="110"/>
        </w:rPr>
        <w:t xml:space="preserve"> </w:t>
      </w:r>
      <w:r>
        <w:rPr>
          <w:w w:val="110"/>
        </w:rPr>
        <w:t>tobacco</w:t>
      </w:r>
      <w:r>
        <w:rPr>
          <w:spacing w:val="-12"/>
          <w:w w:val="110"/>
        </w:rPr>
        <w:t xml:space="preserve"> </w:t>
      </w:r>
      <w:r>
        <w:rPr>
          <w:w w:val="110"/>
        </w:rPr>
        <w:t>smoke</w:t>
      </w:r>
      <w:r>
        <w:rPr>
          <w:spacing w:val="-10"/>
          <w:w w:val="110"/>
        </w:rPr>
        <w:t xml:space="preserve"> </w:t>
      </w:r>
      <w:r>
        <w:rPr>
          <w:w w:val="110"/>
        </w:rPr>
        <w:t>appear</w:t>
      </w:r>
      <w:r>
        <w:rPr>
          <w:spacing w:val="-7"/>
          <w:w w:val="110"/>
        </w:rPr>
        <w:t xml:space="preserve"> </w:t>
      </w:r>
      <w:r>
        <w:rPr>
          <w:w w:val="110"/>
        </w:rPr>
        <w:t>to</w:t>
      </w:r>
      <w:r>
        <w:rPr>
          <w:spacing w:val="-13"/>
          <w:w w:val="110"/>
        </w:rPr>
        <w:t xml:space="preserve"> </w:t>
      </w:r>
      <w:r>
        <w:rPr>
          <w:w w:val="110"/>
        </w:rPr>
        <w:t>be</w:t>
      </w:r>
      <w:r>
        <w:rPr>
          <w:spacing w:val="-10"/>
          <w:w w:val="110"/>
        </w:rPr>
        <w:t xml:space="preserve"> </w:t>
      </w:r>
      <w:r>
        <w:rPr>
          <w:w w:val="110"/>
        </w:rPr>
        <w:t>at</w:t>
      </w:r>
      <w:r>
        <w:rPr>
          <w:spacing w:val="-10"/>
          <w:w w:val="110"/>
        </w:rPr>
        <w:t xml:space="preserve"> </w:t>
      </w:r>
      <w:r>
        <w:rPr>
          <w:w w:val="110"/>
        </w:rPr>
        <w:t>increased</w:t>
      </w:r>
      <w:r>
        <w:rPr>
          <w:spacing w:val="3"/>
          <w:w w:val="110"/>
        </w:rPr>
        <w:t xml:space="preserve"> </w:t>
      </w:r>
      <w:r>
        <w:rPr>
          <w:w w:val="110"/>
        </w:rPr>
        <w:t>risk</w:t>
      </w:r>
      <w:r>
        <w:rPr>
          <w:spacing w:val="-8"/>
          <w:w w:val="110"/>
        </w:rPr>
        <w:t xml:space="preserve"> </w:t>
      </w:r>
      <w:r>
        <w:rPr>
          <w:w w:val="110"/>
        </w:rPr>
        <w:t>for</w:t>
      </w:r>
      <w:r>
        <w:rPr>
          <w:spacing w:val="-12"/>
          <w:w w:val="110"/>
        </w:rPr>
        <w:t xml:space="preserve"> </w:t>
      </w:r>
      <w:r>
        <w:rPr>
          <w:w w:val="110"/>
        </w:rPr>
        <w:t>conditions</w:t>
      </w:r>
      <w:r>
        <w:rPr>
          <w:spacing w:val="-8"/>
          <w:w w:val="110"/>
        </w:rPr>
        <w:t xml:space="preserve"> </w:t>
      </w:r>
      <w:r>
        <w:rPr>
          <w:w w:val="110"/>
        </w:rPr>
        <w:t>such</w:t>
      </w:r>
      <w:r>
        <w:rPr>
          <w:spacing w:val="-8"/>
          <w:w w:val="110"/>
        </w:rPr>
        <w:t xml:space="preserve"> </w:t>
      </w:r>
      <w:r>
        <w:rPr>
          <w:w w:val="110"/>
        </w:rPr>
        <w:t>as</w:t>
      </w:r>
      <w:r>
        <w:rPr>
          <w:spacing w:val="-16"/>
          <w:w w:val="110"/>
        </w:rPr>
        <w:t xml:space="preserve"> </w:t>
      </w:r>
      <w:r>
        <w:rPr>
          <w:w w:val="110"/>
        </w:rPr>
        <w:t>lung</w:t>
      </w:r>
      <w:r>
        <w:rPr>
          <w:spacing w:val="-10"/>
          <w:w w:val="110"/>
        </w:rPr>
        <w:t xml:space="preserve"> </w:t>
      </w:r>
      <w:r>
        <w:rPr>
          <w:w w:val="110"/>
        </w:rPr>
        <w:t>cancer</w:t>
      </w:r>
      <w:r>
        <w:rPr>
          <w:spacing w:val="-7"/>
          <w:w w:val="110"/>
        </w:rPr>
        <w:t xml:space="preserve"> </w:t>
      </w:r>
      <w:r>
        <w:rPr>
          <w:w w:val="110"/>
        </w:rPr>
        <w:t>and heart</w:t>
      </w:r>
      <w:r>
        <w:rPr>
          <w:spacing w:val="9"/>
          <w:w w:val="110"/>
        </w:rPr>
        <w:t xml:space="preserve"> </w:t>
      </w:r>
      <w:r>
        <w:rPr>
          <w:w w:val="110"/>
        </w:rPr>
        <w:t>disease.</w:t>
      </w:r>
    </w:p>
    <w:p w:rsidR="00E675F0" w:rsidRDefault="00E675F0" w:rsidP="00E675F0">
      <w:pPr>
        <w:pStyle w:val="BodyText"/>
        <w:rPr>
          <w:sz w:val="22"/>
        </w:rPr>
      </w:pPr>
    </w:p>
    <w:p w:rsidR="00E675F0" w:rsidRDefault="00E675F0" w:rsidP="00E675F0">
      <w:pPr>
        <w:spacing w:before="146"/>
        <w:ind w:left="116"/>
        <w:rPr>
          <w:rFonts w:ascii="TimesNewRomanPS-BoldItalicMT"/>
          <w:b/>
          <w:i/>
          <w:sz w:val="24"/>
        </w:rPr>
      </w:pPr>
      <w:r>
        <w:rPr>
          <w:rFonts w:ascii="TimesNewRomanPS-BoldItalicMT"/>
          <w:b/>
          <w:i/>
          <w:w w:val="110"/>
          <w:sz w:val="24"/>
        </w:rPr>
        <w:t>Specific Culture, Age, and Gender Features</w:t>
      </w:r>
    </w:p>
    <w:p w:rsidR="00E675F0" w:rsidRDefault="00E675F0" w:rsidP="00E675F0">
      <w:pPr>
        <w:pStyle w:val="BodyText"/>
        <w:spacing w:before="136" w:line="254" w:lineRule="auto"/>
        <w:ind w:left="124" w:right="131" w:hanging="5"/>
        <w:jc w:val="both"/>
      </w:pPr>
      <w:r>
        <w:rPr>
          <w:w w:val="105"/>
        </w:rPr>
        <w:t>The prevalence of smoking is decreasing in most industrialized nations, but is increasing in</w:t>
      </w:r>
      <w:r>
        <w:rPr>
          <w:spacing w:val="-8"/>
          <w:w w:val="105"/>
        </w:rPr>
        <w:t xml:space="preserve"> </w:t>
      </w:r>
      <w:r>
        <w:rPr>
          <w:w w:val="105"/>
        </w:rPr>
        <w:t>the</w:t>
      </w:r>
      <w:r>
        <w:rPr>
          <w:spacing w:val="-11"/>
          <w:w w:val="105"/>
        </w:rPr>
        <w:t xml:space="preserve"> </w:t>
      </w:r>
      <w:r>
        <w:rPr>
          <w:w w:val="105"/>
        </w:rPr>
        <w:t>developing</w:t>
      </w:r>
      <w:r>
        <w:rPr>
          <w:spacing w:val="1"/>
          <w:w w:val="105"/>
        </w:rPr>
        <w:t xml:space="preserve"> </w:t>
      </w:r>
      <w:r>
        <w:rPr>
          <w:w w:val="105"/>
        </w:rPr>
        <w:t>areas.</w:t>
      </w:r>
      <w:r>
        <w:rPr>
          <w:spacing w:val="-3"/>
          <w:w w:val="105"/>
        </w:rPr>
        <w:t xml:space="preserve"> </w:t>
      </w:r>
      <w:r>
        <w:rPr>
          <w:w w:val="105"/>
        </w:rPr>
        <w:t>In</w:t>
      </w:r>
      <w:r>
        <w:rPr>
          <w:spacing w:val="-8"/>
          <w:w w:val="105"/>
        </w:rPr>
        <w:t xml:space="preserve"> </w:t>
      </w:r>
      <w:r>
        <w:rPr>
          <w:w w:val="105"/>
        </w:rPr>
        <w:t>the</w:t>
      </w:r>
      <w:r>
        <w:rPr>
          <w:spacing w:val="-5"/>
          <w:w w:val="105"/>
        </w:rPr>
        <w:t xml:space="preserve"> </w:t>
      </w:r>
      <w:r>
        <w:rPr>
          <w:w w:val="105"/>
        </w:rPr>
        <w:t>United</w:t>
      </w:r>
      <w:r>
        <w:rPr>
          <w:spacing w:val="-2"/>
          <w:w w:val="105"/>
        </w:rPr>
        <w:t xml:space="preserve"> </w:t>
      </w:r>
      <w:r>
        <w:rPr>
          <w:w w:val="105"/>
        </w:rPr>
        <w:t>States,</w:t>
      </w:r>
      <w:r>
        <w:rPr>
          <w:spacing w:val="-2"/>
          <w:w w:val="105"/>
        </w:rPr>
        <w:t xml:space="preserve"> </w:t>
      </w:r>
      <w:r>
        <w:rPr>
          <w:w w:val="105"/>
        </w:rPr>
        <w:t>the</w:t>
      </w:r>
      <w:r>
        <w:rPr>
          <w:spacing w:val="-9"/>
          <w:w w:val="105"/>
        </w:rPr>
        <w:t xml:space="preserve"> </w:t>
      </w:r>
      <w:r>
        <w:rPr>
          <w:w w:val="105"/>
        </w:rPr>
        <w:t>prevalence</w:t>
      </w:r>
      <w:r>
        <w:rPr>
          <w:spacing w:val="3"/>
          <w:w w:val="105"/>
        </w:rPr>
        <w:t xml:space="preserve"> </w:t>
      </w:r>
      <w:r>
        <w:rPr>
          <w:w w:val="105"/>
        </w:rPr>
        <w:t>of</w:t>
      </w:r>
      <w:r>
        <w:rPr>
          <w:spacing w:val="-6"/>
          <w:w w:val="105"/>
        </w:rPr>
        <w:t xml:space="preserve"> </w:t>
      </w:r>
      <w:r>
        <w:rPr>
          <w:w w:val="105"/>
        </w:rPr>
        <w:t>smoking</w:t>
      </w:r>
      <w:r>
        <w:rPr>
          <w:spacing w:val="3"/>
          <w:w w:val="105"/>
        </w:rPr>
        <w:t xml:space="preserve"> </w:t>
      </w:r>
      <w:r>
        <w:rPr>
          <w:w w:val="105"/>
        </w:rPr>
        <w:t>is</w:t>
      </w:r>
      <w:r>
        <w:rPr>
          <w:spacing w:val="-17"/>
          <w:w w:val="105"/>
        </w:rPr>
        <w:t xml:space="preserve"> </w:t>
      </w:r>
      <w:r>
        <w:rPr>
          <w:w w:val="105"/>
        </w:rPr>
        <w:t>slightly</w:t>
      </w:r>
      <w:r>
        <w:rPr>
          <w:spacing w:val="1"/>
          <w:w w:val="105"/>
        </w:rPr>
        <w:t xml:space="preserve"> </w:t>
      </w:r>
      <w:r>
        <w:rPr>
          <w:w w:val="105"/>
        </w:rPr>
        <w:t>higher in males than in females; however, the prevalence of smoking is decreasing more rapidly in males than in females. In other countries, smoking is often much more prevalent among</w:t>
      </w:r>
      <w:r>
        <w:rPr>
          <w:spacing w:val="8"/>
          <w:w w:val="105"/>
        </w:rPr>
        <w:t xml:space="preserve"> </w:t>
      </w:r>
      <w:r>
        <w:rPr>
          <w:w w:val="105"/>
        </w:rPr>
        <w:t>males.</w:t>
      </w:r>
    </w:p>
    <w:p w:rsidR="00E675F0" w:rsidRDefault="00E675F0" w:rsidP="00E675F0">
      <w:pPr>
        <w:pStyle w:val="BodyText"/>
        <w:rPr>
          <w:sz w:val="22"/>
        </w:rPr>
      </w:pPr>
    </w:p>
    <w:p w:rsidR="00E675F0" w:rsidRDefault="00E675F0" w:rsidP="00E675F0">
      <w:pPr>
        <w:spacing w:before="149"/>
        <w:ind w:left="113"/>
        <w:rPr>
          <w:rFonts w:ascii="TimesNewRomanPS-BoldItalicMT"/>
          <w:b/>
          <w:i/>
          <w:sz w:val="24"/>
        </w:rPr>
      </w:pPr>
      <w:r>
        <w:rPr>
          <w:rFonts w:ascii="TimesNewRomanPS-BoldItalicMT"/>
          <w:b/>
          <w:i/>
          <w:w w:val="115"/>
          <w:sz w:val="24"/>
        </w:rPr>
        <w:t>Prevalence</w:t>
      </w:r>
    </w:p>
    <w:p w:rsidR="00E675F0" w:rsidRDefault="00E675F0" w:rsidP="00E675F0">
      <w:pPr>
        <w:pStyle w:val="BodyText"/>
        <w:spacing w:before="136" w:line="249" w:lineRule="auto"/>
        <w:ind w:left="124" w:right="114" w:firstLine="5"/>
        <w:jc w:val="both"/>
      </w:pPr>
      <w:r>
        <w:rPr>
          <w:w w:val="105"/>
        </w:rPr>
        <w:t xml:space="preserve">In the United States, approximately </w:t>
      </w:r>
      <w:r>
        <w:rPr>
          <w:w w:val="105"/>
          <w:sz w:val="19"/>
        </w:rPr>
        <w:t xml:space="preserve">45% </w:t>
      </w:r>
      <w:r>
        <w:rPr>
          <w:w w:val="105"/>
        </w:rPr>
        <w:t xml:space="preserve">of the general population have never smoked. The remainder fall into one or more of the following categories: </w:t>
      </w:r>
      <w:r>
        <w:rPr>
          <w:w w:val="105"/>
          <w:sz w:val="19"/>
        </w:rPr>
        <w:t xml:space="preserve">25% </w:t>
      </w:r>
      <w:r>
        <w:rPr>
          <w:w w:val="105"/>
        </w:rPr>
        <w:t xml:space="preserve">are ex-smokers, </w:t>
      </w:r>
      <w:r>
        <w:rPr>
          <w:w w:val="105"/>
          <w:sz w:val="19"/>
        </w:rPr>
        <w:t xml:space="preserve">30% </w:t>
      </w:r>
      <w:r>
        <w:rPr>
          <w:w w:val="105"/>
        </w:rPr>
        <w:t xml:space="preserve">currently smoke cigarettes, </w:t>
      </w:r>
      <w:r>
        <w:rPr>
          <w:w w:val="105"/>
          <w:sz w:val="19"/>
        </w:rPr>
        <w:t xml:space="preserve">4% </w:t>
      </w:r>
      <w:r>
        <w:rPr>
          <w:w w:val="105"/>
        </w:rPr>
        <w:t xml:space="preserve">use pipes or cigars, and </w:t>
      </w:r>
      <w:r>
        <w:rPr>
          <w:w w:val="105"/>
          <w:sz w:val="19"/>
        </w:rPr>
        <w:t xml:space="preserve">3% </w:t>
      </w:r>
      <w:r>
        <w:rPr>
          <w:w w:val="105"/>
        </w:rPr>
        <w:t xml:space="preserve">use smokeless tobacco. In the United States, the prevalence of smoking has been decreasing approximately </w:t>
      </w:r>
      <w:r>
        <w:rPr>
          <w:w w:val="105"/>
          <w:sz w:val="19"/>
        </w:rPr>
        <w:t xml:space="preserve">0.7%-1.0% </w:t>
      </w:r>
      <w:r>
        <w:rPr>
          <w:w w:val="105"/>
        </w:rPr>
        <w:t xml:space="preserve">per year. The lifetime prevalence of Nicotine Dependence in the general population is estimated to be </w:t>
      </w:r>
      <w:r>
        <w:rPr>
          <w:w w:val="105"/>
          <w:sz w:val="19"/>
        </w:rPr>
        <w:t xml:space="preserve">20%. </w:t>
      </w:r>
      <w:r>
        <w:rPr>
          <w:w w:val="105"/>
        </w:rPr>
        <w:t xml:space="preserve">In the United States, between </w:t>
      </w:r>
      <w:r>
        <w:rPr>
          <w:w w:val="105"/>
          <w:sz w:val="19"/>
        </w:rPr>
        <w:t xml:space="preserve">50% </w:t>
      </w:r>
      <w:r>
        <w:rPr>
          <w:w w:val="105"/>
        </w:rPr>
        <w:t xml:space="preserve">and </w:t>
      </w:r>
      <w:r>
        <w:rPr>
          <w:w w:val="105"/>
          <w:sz w:val="19"/>
        </w:rPr>
        <w:t xml:space="preserve">80% </w:t>
      </w:r>
      <w:r>
        <w:rPr>
          <w:w w:val="105"/>
        </w:rPr>
        <w:t xml:space="preserve">of individuals who currently smoke have Nicotine Dependence. Lifetime prevalence of Nicotine Withdrawal among persons who smoke appears to be about </w:t>
      </w:r>
      <w:r>
        <w:rPr>
          <w:w w:val="105"/>
          <w:sz w:val="19"/>
        </w:rPr>
        <w:t xml:space="preserve">50%. </w:t>
      </w:r>
      <w:r>
        <w:rPr>
          <w:w w:val="105"/>
        </w:rPr>
        <w:t xml:space="preserve">Prospectively, it is estimated that about </w:t>
      </w:r>
      <w:r>
        <w:rPr>
          <w:w w:val="105"/>
          <w:sz w:val="19"/>
        </w:rPr>
        <w:t xml:space="preserve">50% </w:t>
      </w:r>
      <w:r>
        <w:rPr>
          <w:w w:val="105"/>
        </w:rPr>
        <w:t xml:space="preserve">of those  who quit smoking  on  their own and about </w:t>
      </w:r>
      <w:r>
        <w:rPr>
          <w:w w:val="105"/>
          <w:sz w:val="19"/>
        </w:rPr>
        <w:t xml:space="preserve">75% </w:t>
      </w:r>
      <w:r>
        <w:rPr>
          <w:w w:val="105"/>
        </w:rPr>
        <w:t>of</w:t>
      </w:r>
      <w:r>
        <w:rPr>
          <w:spacing w:val="-8"/>
          <w:w w:val="105"/>
        </w:rPr>
        <w:t xml:space="preserve"> </w:t>
      </w:r>
      <w:r>
        <w:rPr>
          <w:w w:val="105"/>
        </w:rPr>
        <w:t>those</w:t>
      </w:r>
      <w:r>
        <w:rPr>
          <w:spacing w:val="-13"/>
          <w:w w:val="105"/>
        </w:rPr>
        <w:t xml:space="preserve"> </w:t>
      </w:r>
      <w:r>
        <w:rPr>
          <w:w w:val="105"/>
        </w:rPr>
        <w:t>in</w:t>
      </w:r>
      <w:r>
        <w:rPr>
          <w:spacing w:val="-16"/>
          <w:w w:val="105"/>
        </w:rPr>
        <w:t xml:space="preserve"> </w:t>
      </w:r>
      <w:r>
        <w:rPr>
          <w:w w:val="105"/>
        </w:rPr>
        <w:t>treatment</w:t>
      </w:r>
      <w:r>
        <w:rPr>
          <w:spacing w:val="-1"/>
          <w:w w:val="105"/>
        </w:rPr>
        <w:t xml:space="preserve"> </w:t>
      </w:r>
      <w:r>
        <w:rPr>
          <w:w w:val="105"/>
        </w:rPr>
        <w:t>programs</w:t>
      </w:r>
      <w:r>
        <w:rPr>
          <w:spacing w:val="-10"/>
          <w:w w:val="105"/>
        </w:rPr>
        <w:t xml:space="preserve"> </w:t>
      </w:r>
      <w:r>
        <w:rPr>
          <w:w w:val="105"/>
        </w:rPr>
        <w:t>experience</w:t>
      </w:r>
      <w:r>
        <w:rPr>
          <w:spacing w:val="7"/>
          <w:w w:val="105"/>
        </w:rPr>
        <w:t xml:space="preserve"> </w:t>
      </w:r>
      <w:r>
        <w:rPr>
          <w:w w:val="105"/>
        </w:rPr>
        <w:t>Nicotine</w:t>
      </w:r>
      <w:r>
        <w:rPr>
          <w:spacing w:val="-12"/>
          <w:w w:val="105"/>
        </w:rPr>
        <w:t xml:space="preserve"> </w:t>
      </w:r>
      <w:r>
        <w:rPr>
          <w:w w:val="105"/>
        </w:rPr>
        <w:t>Withdrawal</w:t>
      </w:r>
      <w:r>
        <w:rPr>
          <w:spacing w:val="-1"/>
          <w:w w:val="105"/>
        </w:rPr>
        <w:t xml:space="preserve"> </w:t>
      </w:r>
      <w:r>
        <w:rPr>
          <w:w w:val="105"/>
        </w:rPr>
        <w:t>when</w:t>
      </w:r>
      <w:r>
        <w:rPr>
          <w:spacing w:val="-8"/>
          <w:w w:val="105"/>
        </w:rPr>
        <w:t xml:space="preserve"> </w:t>
      </w:r>
      <w:r>
        <w:rPr>
          <w:w w:val="105"/>
        </w:rPr>
        <w:t>they</w:t>
      </w:r>
      <w:r>
        <w:rPr>
          <w:spacing w:val="-18"/>
          <w:w w:val="105"/>
        </w:rPr>
        <w:t xml:space="preserve"> </w:t>
      </w:r>
      <w:r>
        <w:rPr>
          <w:w w:val="105"/>
        </w:rPr>
        <w:t>stop</w:t>
      </w:r>
      <w:r>
        <w:rPr>
          <w:spacing w:val="-22"/>
          <w:w w:val="105"/>
        </w:rPr>
        <w:t xml:space="preserve"> </w:t>
      </w:r>
      <w:r>
        <w:rPr>
          <w:w w:val="105"/>
        </w:rPr>
        <w:t>smoking.</w:t>
      </w:r>
    </w:p>
    <w:p w:rsidR="00E675F0" w:rsidRDefault="00E675F0" w:rsidP="00E675F0">
      <w:pPr>
        <w:pStyle w:val="BodyText"/>
        <w:rPr>
          <w:sz w:val="22"/>
        </w:rPr>
      </w:pPr>
    </w:p>
    <w:p w:rsidR="00E675F0" w:rsidRDefault="00E675F0" w:rsidP="00E675F0">
      <w:pPr>
        <w:spacing w:before="159"/>
        <w:ind w:left="114"/>
        <w:rPr>
          <w:rFonts w:ascii="TimesNewRomanPS-BoldItalicMT"/>
          <w:b/>
          <w:i/>
          <w:sz w:val="24"/>
        </w:rPr>
      </w:pPr>
      <w:r>
        <w:rPr>
          <w:rFonts w:ascii="TimesNewRomanPS-BoldItalicMT"/>
          <w:b/>
          <w:i/>
          <w:w w:val="115"/>
          <w:sz w:val="24"/>
        </w:rPr>
        <w:t>Course</w:t>
      </w:r>
    </w:p>
    <w:p w:rsidR="00E675F0" w:rsidRDefault="00E675F0" w:rsidP="00E675F0">
      <w:pPr>
        <w:pStyle w:val="BodyText"/>
        <w:spacing w:before="146" w:line="254" w:lineRule="auto"/>
        <w:ind w:left="130" w:right="117" w:firstLine="2"/>
        <w:jc w:val="both"/>
      </w:pPr>
      <w:r>
        <w:rPr>
          <w:w w:val="105"/>
        </w:rPr>
        <w:t xml:space="preserve">Smoking usually begins in the early teens. How quickly dependence develops is unclear. Among those who continue to smoke through age </w:t>
      </w:r>
      <w:r>
        <w:rPr>
          <w:w w:val="105"/>
          <w:sz w:val="19"/>
        </w:rPr>
        <w:t xml:space="preserve">20 </w:t>
      </w:r>
      <w:r>
        <w:rPr>
          <w:w w:val="105"/>
        </w:rPr>
        <w:t xml:space="preserve">years, </w:t>
      </w:r>
      <w:r>
        <w:rPr>
          <w:w w:val="105"/>
          <w:sz w:val="19"/>
        </w:rPr>
        <w:t xml:space="preserve">95% </w:t>
      </w:r>
      <w:r>
        <w:rPr>
          <w:w w:val="105"/>
        </w:rPr>
        <w:t xml:space="preserve">become regular, daily smokers. Of those who successfully quit, less than </w:t>
      </w:r>
      <w:r>
        <w:rPr>
          <w:w w:val="105"/>
          <w:sz w:val="19"/>
        </w:rPr>
        <w:t xml:space="preserve">25% </w:t>
      </w:r>
      <w:r>
        <w:rPr>
          <w:w w:val="105"/>
        </w:rPr>
        <w:t xml:space="preserve">quit on their first attempt. Most individuals who smoke have 3-4 failures before they stop smoking for good. In the United States, about </w:t>
      </w:r>
      <w:r>
        <w:rPr>
          <w:w w:val="105"/>
          <w:sz w:val="19"/>
        </w:rPr>
        <w:t xml:space="preserve">45% </w:t>
      </w:r>
      <w:r>
        <w:rPr>
          <w:w w:val="105"/>
        </w:rPr>
        <w:t xml:space="preserve">of those who have ever smoked eventually stop smoking. Withdrawal symptoms can begin within a few hours  of  cessation,  typically  peak  in </w:t>
      </w:r>
      <w:r>
        <w:rPr>
          <w:w w:val="105"/>
          <w:sz w:val="19"/>
        </w:rPr>
        <w:t xml:space="preserve">1-4 </w:t>
      </w:r>
      <w:r>
        <w:rPr>
          <w:w w:val="105"/>
        </w:rPr>
        <w:t xml:space="preserve">days, and last for </w:t>
      </w:r>
      <w:r>
        <w:rPr>
          <w:w w:val="105"/>
          <w:sz w:val="19"/>
        </w:rPr>
        <w:t xml:space="preserve">3-4 </w:t>
      </w:r>
      <w:r>
        <w:rPr>
          <w:w w:val="105"/>
        </w:rPr>
        <w:t xml:space="preserve">weeks. Depressive symptoms postcessation may be associated with a relapse to smoking. Whether other Nicotine Withdrawal symptoms play a major role in relapse to smoking is debatable. Increased hunger and weight gain often persist for at least 6 months. Six months postcessation, </w:t>
      </w:r>
      <w:r>
        <w:rPr>
          <w:w w:val="105"/>
          <w:sz w:val="19"/>
        </w:rPr>
        <w:t xml:space="preserve">50% </w:t>
      </w:r>
      <w:r>
        <w:rPr>
          <w:w w:val="105"/>
        </w:rPr>
        <w:t>of individuals who have quit smoking report having had a desire for a cigarette in the last</w:t>
      </w:r>
      <w:r>
        <w:rPr>
          <w:spacing w:val="26"/>
          <w:w w:val="105"/>
        </w:rPr>
        <w:t xml:space="preserve"> </w:t>
      </w:r>
      <w:r>
        <w:rPr>
          <w:w w:val="105"/>
          <w:sz w:val="19"/>
        </w:rPr>
        <w:t xml:space="preserve">24 </w:t>
      </w:r>
      <w:r>
        <w:rPr>
          <w:w w:val="105"/>
        </w:rPr>
        <w:t>hours.</w:t>
      </w:r>
    </w:p>
    <w:p w:rsidR="00E675F0" w:rsidRDefault="00E675F0" w:rsidP="00E675F0">
      <w:pPr>
        <w:spacing w:line="254" w:lineRule="auto"/>
        <w:jc w:val="both"/>
        <w:sectPr w:rsidR="00E675F0">
          <w:pgSz w:w="8960" w:h="14260"/>
          <w:pgMar w:top="1400" w:right="600" w:bottom="280" w:left="620" w:header="675" w:footer="0" w:gutter="0"/>
          <w:cols w:space="720"/>
        </w:sectPr>
      </w:pPr>
    </w:p>
    <w:p w:rsidR="00E675F0" w:rsidRDefault="00E675F0" w:rsidP="00E675F0">
      <w:pPr>
        <w:spacing w:before="134"/>
        <w:ind w:left="110"/>
        <w:jc w:val="both"/>
        <w:rPr>
          <w:rFonts w:ascii="TimesNewRomanPS-BoldItalicMT"/>
          <w:b/>
          <w:i/>
          <w:sz w:val="24"/>
        </w:rPr>
      </w:pPr>
      <w:bookmarkStart w:id="161" w:name="_bookmark141"/>
      <w:bookmarkEnd w:id="161"/>
      <w:r>
        <w:rPr>
          <w:rFonts w:ascii="TimesNewRomanPS-BoldItalicMT"/>
          <w:b/>
          <w:i/>
          <w:w w:val="115"/>
          <w:sz w:val="24"/>
        </w:rPr>
        <w:lastRenderedPageBreak/>
        <w:t>Familial Pattern</w:t>
      </w:r>
    </w:p>
    <w:p w:rsidR="00E675F0" w:rsidRDefault="00E675F0" w:rsidP="00E675F0">
      <w:pPr>
        <w:spacing w:before="140" w:line="266" w:lineRule="auto"/>
        <w:ind w:left="133" w:right="110" w:hanging="4"/>
        <w:jc w:val="both"/>
        <w:rPr>
          <w:sz w:val="19"/>
        </w:rPr>
      </w:pPr>
      <w:r>
        <w:rPr>
          <w:w w:val="110"/>
          <w:sz w:val="19"/>
        </w:rPr>
        <w:t>The</w:t>
      </w:r>
      <w:r>
        <w:rPr>
          <w:spacing w:val="-18"/>
          <w:w w:val="110"/>
          <w:sz w:val="19"/>
        </w:rPr>
        <w:t xml:space="preserve"> </w:t>
      </w:r>
      <w:r>
        <w:rPr>
          <w:w w:val="110"/>
          <w:sz w:val="19"/>
        </w:rPr>
        <w:t>risk</w:t>
      </w:r>
      <w:r>
        <w:rPr>
          <w:spacing w:val="-7"/>
          <w:w w:val="110"/>
          <w:sz w:val="19"/>
        </w:rPr>
        <w:t xml:space="preserve"> </w:t>
      </w:r>
      <w:r>
        <w:rPr>
          <w:w w:val="110"/>
          <w:sz w:val="19"/>
        </w:rPr>
        <w:t>for</w:t>
      </w:r>
      <w:r>
        <w:rPr>
          <w:spacing w:val="-16"/>
          <w:w w:val="110"/>
          <w:sz w:val="19"/>
        </w:rPr>
        <w:t xml:space="preserve"> </w:t>
      </w:r>
      <w:r>
        <w:rPr>
          <w:w w:val="110"/>
          <w:sz w:val="19"/>
        </w:rPr>
        <w:t>smoking</w:t>
      </w:r>
      <w:r>
        <w:rPr>
          <w:spacing w:val="-3"/>
          <w:w w:val="110"/>
          <w:sz w:val="19"/>
        </w:rPr>
        <w:t xml:space="preserve"> </w:t>
      </w:r>
      <w:r>
        <w:rPr>
          <w:w w:val="110"/>
          <w:sz w:val="19"/>
        </w:rPr>
        <w:t>increases</w:t>
      </w:r>
      <w:r>
        <w:rPr>
          <w:spacing w:val="-1"/>
          <w:w w:val="110"/>
          <w:sz w:val="19"/>
        </w:rPr>
        <w:t xml:space="preserve"> </w:t>
      </w:r>
      <w:r>
        <w:rPr>
          <w:w w:val="110"/>
          <w:sz w:val="19"/>
        </w:rPr>
        <w:t>threefold</w:t>
      </w:r>
      <w:r>
        <w:rPr>
          <w:spacing w:val="6"/>
          <w:w w:val="110"/>
          <w:sz w:val="19"/>
        </w:rPr>
        <w:t xml:space="preserve"> </w:t>
      </w:r>
      <w:r>
        <w:rPr>
          <w:w w:val="110"/>
          <w:sz w:val="19"/>
        </w:rPr>
        <w:t>if</w:t>
      </w:r>
      <w:r>
        <w:rPr>
          <w:spacing w:val="-9"/>
          <w:w w:val="110"/>
          <w:sz w:val="19"/>
        </w:rPr>
        <w:t xml:space="preserve"> </w:t>
      </w:r>
      <w:r>
        <w:rPr>
          <w:w w:val="110"/>
          <w:sz w:val="19"/>
        </w:rPr>
        <w:t>a</w:t>
      </w:r>
      <w:r>
        <w:rPr>
          <w:spacing w:val="-14"/>
          <w:w w:val="110"/>
          <w:sz w:val="19"/>
        </w:rPr>
        <w:t xml:space="preserve"> </w:t>
      </w:r>
      <w:r>
        <w:rPr>
          <w:w w:val="110"/>
          <w:sz w:val="19"/>
        </w:rPr>
        <w:t>first-degree</w:t>
      </w:r>
      <w:r>
        <w:rPr>
          <w:spacing w:val="5"/>
          <w:w w:val="110"/>
          <w:sz w:val="19"/>
        </w:rPr>
        <w:t xml:space="preserve"> </w:t>
      </w:r>
      <w:r>
        <w:rPr>
          <w:w w:val="110"/>
          <w:sz w:val="19"/>
        </w:rPr>
        <w:t>biological</w:t>
      </w:r>
      <w:r>
        <w:rPr>
          <w:spacing w:val="1"/>
          <w:w w:val="110"/>
          <w:sz w:val="19"/>
        </w:rPr>
        <w:t xml:space="preserve"> </w:t>
      </w:r>
      <w:r>
        <w:rPr>
          <w:w w:val="110"/>
          <w:sz w:val="19"/>
        </w:rPr>
        <w:t>relative</w:t>
      </w:r>
      <w:r>
        <w:rPr>
          <w:spacing w:val="-5"/>
          <w:w w:val="110"/>
          <w:sz w:val="19"/>
        </w:rPr>
        <w:t xml:space="preserve"> </w:t>
      </w:r>
      <w:r>
        <w:rPr>
          <w:w w:val="110"/>
          <w:sz w:val="19"/>
        </w:rPr>
        <w:t>smokes.</w:t>
      </w:r>
      <w:r>
        <w:rPr>
          <w:spacing w:val="-15"/>
          <w:w w:val="110"/>
          <w:sz w:val="19"/>
        </w:rPr>
        <w:t xml:space="preserve"> </w:t>
      </w:r>
      <w:r>
        <w:rPr>
          <w:w w:val="110"/>
          <w:sz w:val="19"/>
        </w:rPr>
        <w:t>Twin and adoption studies indicate that genetic factors contribute to the onset and continuation of smoking, with the degree of heritability equivalent to that observed with Alcohol Dependence.</w:t>
      </w:r>
    </w:p>
    <w:p w:rsidR="00E675F0" w:rsidRDefault="00E675F0" w:rsidP="00E675F0">
      <w:pPr>
        <w:pStyle w:val="BodyText"/>
      </w:pPr>
    </w:p>
    <w:p w:rsidR="00E675F0" w:rsidRDefault="00E675F0" w:rsidP="00E675F0">
      <w:pPr>
        <w:spacing w:before="162"/>
        <w:ind w:left="129"/>
        <w:jc w:val="both"/>
        <w:rPr>
          <w:rFonts w:ascii="TimesNewRomanPS-BoldItalicMT"/>
          <w:b/>
          <w:i/>
          <w:sz w:val="24"/>
        </w:rPr>
      </w:pPr>
      <w:r>
        <w:rPr>
          <w:rFonts w:ascii="TimesNewRomanPS-BoldItalicMT"/>
          <w:b/>
          <w:i/>
          <w:w w:val="115"/>
          <w:sz w:val="24"/>
        </w:rPr>
        <w:t>Differential Diagnosis</w:t>
      </w:r>
    </w:p>
    <w:p w:rsidR="00E675F0" w:rsidRDefault="00E675F0" w:rsidP="00E675F0">
      <w:pPr>
        <w:spacing w:before="150"/>
        <w:ind w:left="141"/>
        <w:jc w:val="both"/>
        <w:rPr>
          <w:sz w:val="19"/>
        </w:rPr>
      </w:pPr>
      <w:r>
        <w:rPr>
          <w:w w:val="110"/>
          <w:sz w:val="19"/>
        </w:rPr>
        <w:t>For a general discussion of the differential diagnosis of Substance-Related Disorders, see</w:t>
      </w:r>
    </w:p>
    <w:p w:rsidR="00E675F0" w:rsidRDefault="00E675F0" w:rsidP="00E675F0">
      <w:pPr>
        <w:spacing w:before="32"/>
        <w:ind w:left="132"/>
        <w:jc w:val="both"/>
        <w:rPr>
          <w:sz w:val="19"/>
        </w:rPr>
      </w:pPr>
      <w:r>
        <w:rPr>
          <w:rFonts w:ascii="Arial"/>
          <w:w w:val="110"/>
          <w:sz w:val="18"/>
        </w:rPr>
        <w:t xml:space="preserve">p. </w:t>
      </w:r>
      <w:r>
        <w:rPr>
          <w:w w:val="110"/>
          <w:sz w:val="19"/>
        </w:rPr>
        <w:t>190.</w:t>
      </w:r>
    </w:p>
    <w:p w:rsidR="00E675F0" w:rsidRDefault="00E675F0" w:rsidP="00E675F0">
      <w:pPr>
        <w:spacing w:before="17" w:line="268" w:lineRule="auto"/>
        <w:ind w:left="133" w:right="110" w:firstLine="361"/>
        <w:jc w:val="both"/>
        <w:rPr>
          <w:sz w:val="19"/>
        </w:rPr>
      </w:pPr>
      <w:r>
        <w:rPr>
          <w:w w:val="115"/>
          <w:sz w:val="19"/>
        </w:rPr>
        <w:t xml:space="preserve">The symptoms of Nicotine Withdrawal overlap with those of </w:t>
      </w:r>
      <w:r>
        <w:rPr>
          <w:b/>
          <w:w w:val="115"/>
          <w:sz w:val="19"/>
        </w:rPr>
        <w:t xml:space="preserve">other substance withdrawal syndromes; Caffeine Intoxication; Anxiety, Mood, </w:t>
      </w:r>
      <w:r>
        <w:rPr>
          <w:w w:val="115"/>
          <w:sz w:val="19"/>
        </w:rPr>
        <w:t xml:space="preserve">and </w:t>
      </w:r>
      <w:r>
        <w:rPr>
          <w:b/>
          <w:w w:val="115"/>
          <w:sz w:val="19"/>
        </w:rPr>
        <w:t>Sleep Disor­ ders;</w:t>
      </w:r>
      <w:r>
        <w:rPr>
          <w:b/>
          <w:spacing w:val="-37"/>
          <w:w w:val="115"/>
          <w:sz w:val="19"/>
        </w:rPr>
        <w:t xml:space="preserve"> </w:t>
      </w:r>
      <w:r>
        <w:rPr>
          <w:b/>
          <w:w w:val="115"/>
          <w:sz w:val="19"/>
        </w:rPr>
        <w:t>and</w:t>
      </w:r>
      <w:r>
        <w:rPr>
          <w:b/>
          <w:spacing w:val="-27"/>
          <w:w w:val="115"/>
          <w:sz w:val="19"/>
        </w:rPr>
        <w:t xml:space="preserve"> </w:t>
      </w:r>
      <w:r>
        <w:rPr>
          <w:b/>
          <w:w w:val="115"/>
          <w:sz w:val="19"/>
        </w:rPr>
        <w:t>medication-inducedakathisia.</w:t>
      </w:r>
      <w:r>
        <w:rPr>
          <w:b/>
          <w:spacing w:val="-19"/>
          <w:w w:val="115"/>
          <w:sz w:val="19"/>
        </w:rPr>
        <w:t xml:space="preserve"> </w:t>
      </w:r>
      <w:r>
        <w:rPr>
          <w:w w:val="115"/>
          <w:sz w:val="19"/>
        </w:rPr>
        <w:t>Admission</w:t>
      </w:r>
      <w:r>
        <w:rPr>
          <w:spacing w:val="-15"/>
          <w:w w:val="115"/>
          <w:sz w:val="19"/>
        </w:rPr>
        <w:t xml:space="preserve"> </w:t>
      </w:r>
      <w:r>
        <w:rPr>
          <w:w w:val="115"/>
          <w:sz w:val="19"/>
        </w:rPr>
        <w:t>to</w:t>
      </w:r>
      <w:r>
        <w:rPr>
          <w:spacing w:val="-17"/>
          <w:w w:val="115"/>
          <w:sz w:val="19"/>
        </w:rPr>
        <w:t xml:space="preserve"> </w:t>
      </w:r>
      <w:r>
        <w:rPr>
          <w:w w:val="115"/>
          <w:sz w:val="19"/>
        </w:rPr>
        <w:t>smoke-free</w:t>
      </w:r>
      <w:r>
        <w:rPr>
          <w:spacing w:val="-11"/>
          <w:w w:val="115"/>
          <w:sz w:val="19"/>
        </w:rPr>
        <w:t xml:space="preserve"> </w:t>
      </w:r>
      <w:r>
        <w:rPr>
          <w:w w:val="115"/>
          <w:sz w:val="19"/>
        </w:rPr>
        <w:t>inpatient</w:t>
      </w:r>
      <w:r>
        <w:rPr>
          <w:spacing w:val="-14"/>
          <w:w w:val="115"/>
          <w:sz w:val="19"/>
        </w:rPr>
        <w:t xml:space="preserve"> </w:t>
      </w:r>
      <w:r>
        <w:rPr>
          <w:w w:val="115"/>
          <w:sz w:val="19"/>
        </w:rPr>
        <w:t>units</w:t>
      </w:r>
      <w:r>
        <w:rPr>
          <w:spacing w:val="-26"/>
          <w:w w:val="115"/>
          <w:sz w:val="19"/>
        </w:rPr>
        <w:t xml:space="preserve"> </w:t>
      </w:r>
      <w:r>
        <w:rPr>
          <w:w w:val="115"/>
          <w:sz w:val="19"/>
        </w:rPr>
        <w:t>can induce</w:t>
      </w:r>
      <w:r>
        <w:rPr>
          <w:spacing w:val="-13"/>
          <w:w w:val="115"/>
          <w:sz w:val="19"/>
        </w:rPr>
        <w:t xml:space="preserve"> </w:t>
      </w:r>
      <w:r>
        <w:rPr>
          <w:w w:val="115"/>
          <w:sz w:val="19"/>
        </w:rPr>
        <w:t>withdrawal</w:t>
      </w:r>
      <w:r>
        <w:rPr>
          <w:spacing w:val="-8"/>
          <w:w w:val="115"/>
          <w:sz w:val="19"/>
        </w:rPr>
        <w:t xml:space="preserve"> </w:t>
      </w:r>
      <w:r>
        <w:rPr>
          <w:w w:val="115"/>
          <w:sz w:val="19"/>
        </w:rPr>
        <w:t>symptoms</w:t>
      </w:r>
      <w:r>
        <w:rPr>
          <w:spacing w:val="-12"/>
          <w:w w:val="115"/>
          <w:sz w:val="19"/>
        </w:rPr>
        <w:t xml:space="preserve"> </w:t>
      </w:r>
      <w:r>
        <w:rPr>
          <w:w w:val="115"/>
          <w:sz w:val="19"/>
        </w:rPr>
        <w:t>that</w:t>
      </w:r>
      <w:r>
        <w:rPr>
          <w:spacing w:val="-10"/>
          <w:w w:val="115"/>
          <w:sz w:val="19"/>
        </w:rPr>
        <w:t xml:space="preserve"> </w:t>
      </w:r>
      <w:r>
        <w:rPr>
          <w:w w:val="115"/>
          <w:sz w:val="19"/>
        </w:rPr>
        <w:t>might</w:t>
      </w:r>
      <w:r>
        <w:rPr>
          <w:spacing w:val="-9"/>
          <w:w w:val="115"/>
          <w:sz w:val="19"/>
        </w:rPr>
        <w:t xml:space="preserve"> </w:t>
      </w:r>
      <w:r>
        <w:rPr>
          <w:w w:val="115"/>
          <w:sz w:val="19"/>
        </w:rPr>
        <w:t>mimic,</w:t>
      </w:r>
      <w:r>
        <w:rPr>
          <w:spacing w:val="-7"/>
          <w:w w:val="115"/>
          <w:sz w:val="19"/>
        </w:rPr>
        <w:t xml:space="preserve"> </w:t>
      </w:r>
      <w:r>
        <w:rPr>
          <w:w w:val="115"/>
          <w:sz w:val="19"/>
        </w:rPr>
        <w:t>intensify,</w:t>
      </w:r>
      <w:r>
        <w:rPr>
          <w:spacing w:val="-9"/>
          <w:w w:val="115"/>
          <w:sz w:val="19"/>
        </w:rPr>
        <w:t xml:space="preserve"> </w:t>
      </w:r>
      <w:r>
        <w:rPr>
          <w:w w:val="115"/>
          <w:sz w:val="19"/>
        </w:rPr>
        <w:t>or</w:t>
      </w:r>
      <w:r>
        <w:rPr>
          <w:spacing w:val="-10"/>
          <w:w w:val="115"/>
          <w:sz w:val="19"/>
        </w:rPr>
        <w:t xml:space="preserve"> </w:t>
      </w:r>
      <w:r>
        <w:rPr>
          <w:w w:val="115"/>
          <w:sz w:val="19"/>
        </w:rPr>
        <w:t>disguise</w:t>
      </w:r>
      <w:r>
        <w:rPr>
          <w:spacing w:val="-12"/>
          <w:w w:val="115"/>
          <w:sz w:val="19"/>
        </w:rPr>
        <w:t xml:space="preserve"> </w:t>
      </w:r>
      <w:r>
        <w:rPr>
          <w:w w:val="115"/>
          <w:sz w:val="19"/>
        </w:rPr>
        <w:t>other</w:t>
      </w:r>
      <w:r>
        <w:rPr>
          <w:spacing w:val="-17"/>
          <w:w w:val="115"/>
          <w:sz w:val="19"/>
        </w:rPr>
        <w:t xml:space="preserve"> </w:t>
      </w:r>
      <w:r>
        <w:rPr>
          <w:w w:val="115"/>
          <w:sz w:val="19"/>
        </w:rPr>
        <w:t>diagnoses. Reduction of symptoms associated with the resumption of smoking or nicotine­ replacement therapy confirms the</w:t>
      </w:r>
      <w:r>
        <w:rPr>
          <w:spacing w:val="49"/>
          <w:w w:val="115"/>
          <w:sz w:val="19"/>
        </w:rPr>
        <w:t xml:space="preserve"> </w:t>
      </w:r>
      <w:r>
        <w:rPr>
          <w:w w:val="115"/>
          <w:sz w:val="19"/>
        </w:rPr>
        <w:t>diagnosis.</w:t>
      </w:r>
    </w:p>
    <w:p w:rsidR="00E675F0" w:rsidRDefault="00E675F0" w:rsidP="00E675F0">
      <w:pPr>
        <w:spacing w:before="2" w:line="266" w:lineRule="auto"/>
        <w:ind w:left="138" w:right="114" w:firstLine="368"/>
        <w:jc w:val="both"/>
        <w:rPr>
          <w:sz w:val="19"/>
        </w:rPr>
      </w:pPr>
      <w:r>
        <w:rPr>
          <w:w w:val="110"/>
          <w:sz w:val="19"/>
        </w:rPr>
        <w:t>Because regular nicotine use does not appear to impair mental functioning, Nicotine Dependence is not readily confused with other Substance-Related Disorders and mental disorders.</w:t>
      </w:r>
    </w:p>
    <w:p w:rsidR="00E675F0" w:rsidRDefault="00E675F0" w:rsidP="00E675F0">
      <w:pPr>
        <w:pStyle w:val="BodyText"/>
      </w:pPr>
    </w:p>
    <w:p w:rsidR="00E675F0" w:rsidRDefault="00E675F0" w:rsidP="00E675F0">
      <w:pPr>
        <w:pStyle w:val="BodyText"/>
        <w:spacing w:before="5"/>
        <w:rPr>
          <w:sz w:val="23"/>
        </w:rPr>
      </w:pPr>
    </w:p>
    <w:p w:rsidR="00E675F0" w:rsidRDefault="00E675F0" w:rsidP="00E675F0">
      <w:pPr>
        <w:tabs>
          <w:tab w:val="left" w:pos="2675"/>
        </w:tabs>
        <w:spacing w:line="252" w:lineRule="auto"/>
        <w:ind w:left="2329" w:right="1729" w:hanging="566"/>
        <w:rPr>
          <w:rFonts w:ascii="Arial"/>
          <w:b/>
          <w:sz w:val="25"/>
        </w:rPr>
      </w:pPr>
      <w:r>
        <w:rPr>
          <w:rFonts w:ascii="Arial"/>
          <w:b/>
          <w:w w:val="105"/>
          <w:sz w:val="25"/>
        </w:rPr>
        <w:t>292.9</w:t>
      </w:r>
      <w:r>
        <w:rPr>
          <w:rFonts w:ascii="Arial"/>
          <w:b/>
          <w:w w:val="105"/>
          <w:sz w:val="25"/>
        </w:rPr>
        <w:tab/>
        <w:t>Nicotine--Related Disorder Not Otherwise</w:t>
      </w:r>
      <w:r>
        <w:rPr>
          <w:rFonts w:ascii="Arial"/>
          <w:b/>
          <w:spacing w:val="34"/>
          <w:w w:val="105"/>
          <w:sz w:val="25"/>
        </w:rPr>
        <w:t xml:space="preserve"> </w:t>
      </w:r>
      <w:r>
        <w:rPr>
          <w:rFonts w:ascii="Arial"/>
          <w:b/>
          <w:w w:val="105"/>
          <w:sz w:val="25"/>
        </w:rPr>
        <w:t>Specified</w:t>
      </w:r>
    </w:p>
    <w:p w:rsidR="00E675F0" w:rsidRDefault="00E675F0" w:rsidP="00E675F0">
      <w:pPr>
        <w:pStyle w:val="BodyText"/>
        <w:spacing w:before="10"/>
        <w:rPr>
          <w:rFonts w:ascii="Arial"/>
          <w:b/>
          <w:sz w:val="23"/>
        </w:rPr>
      </w:pPr>
    </w:p>
    <w:p w:rsidR="00E675F0" w:rsidRDefault="00E675F0" w:rsidP="00E675F0">
      <w:pPr>
        <w:spacing w:before="1" w:line="266" w:lineRule="auto"/>
        <w:ind w:left="142" w:right="113" w:hanging="4"/>
        <w:jc w:val="both"/>
        <w:rPr>
          <w:sz w:val="19"/>
        </w:rPr>
      </w:pPr>
      <w:r>
        <w:rPr>
          <w:w w:val="110"/>
          <w:sz w:val="19"/>
        </w:rPr>
        <w:t>The Nicotine-Related Disorder Not Otherwise Specified category is for disorders associated with the use of nicotine that are not classifiable as Nicotine Dependence or Nicotine Withdrawal.</w:t>
      </w:r>
    </w:p>
    <w:p w:rsidR="00E675F0" w:rsidRDefault="00E675F0" w:rsidP="00E675F0">
      <w:pPr>
        <w:pStyle w:val="BodyText"/>
      </w:pPr>
    </w:p>
    <w:p w:rsidR="00E675F0" w:rsidRDefault="00E675F0" w:rsidP="00E675F0">
      <w:pPr>
        <w:pStyle w:val="BodyText"/>
        <w:spacing w:before="6"/>
        <w:rPr>
          <w:sz w:val="26"/>
        </w:rPr>
      </w:pPr>
      <w:r>
        <w:rPr>
          <w:noProof/>
        </w:rPr>
        <mc:AlternateContent>
          <mc:Choice Requires="wps">
            <w:drawing>
              <wp:anchor distT="0" distB="0" distL="0" distR="0" simplePos="0" relativeHeight="251891712" behindDoc="1" locked="0" layoutInCell="1" allowOverlap="1" wp14:anchorId="5BE902B7" wp14:editId="151A0BBF">
                <wp:simplePos x="0" y="0"/>
                <wp:positionH relativeFrom="page">
                  <wp:posOffset>488950</wp:posOffset>
                </wp:positionH>
                <wp:positionV relativeFrom="paragraph">
                  <wp:posOffset>221615</wp:posOffset>
                </wp:positionV>
                <wp:extent cx="1417320" cy="1270"/>
                <wp:effectExtent l="0" t="0" r="5080" b="0"/>
                <wp:wrapTopAndBottom/>
                <wp:docPr id="1310" name="Freeform 1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7320" cy="1270"/>
                        </a:xfrm>
                        <a:custGeom>
                          <a:avLst/>
                          <a:gdLst>
                            <a:gd name="T0" fmla="+- 0 770 770"/>
                            <a:gd name="T1" fmla="*/ T0 w 2232"/>
                            <a:gd name="T2" fmla="+- 0 3002 770"/>
                            <a:gd name="T3" fmla="*/ T2 w 2232"/>
                          </a:gdLst>
                          <a:ahLst/>
                          <a:cxnLst>
                            <a:cxn ang="0">
                              <a:pos x="T1" y="0"/>
                            </a:cxn>
                            <a:cxn ang="0">
                              <a:pos x="T3" y="0"/>
                            </a:cxn>
                          </a:cxnLst>
                          <a:rect l="0" t="0" r="r" b="b"/>
                          <a:pathLst>
                            <a:path w="2232">
                              <a:moveTo>
                                <a:pt x="0" y="0"/>
                              </a:moveTo>
                              <a:lnTo>
                                <a:pt x="2232" y="0"/>
                              </a:lnTo>
                            </a:path>
                          </a:pathLst>
                        </a:custGeom>
                        <a:noFill/>
                        <a:ln w="61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485DF" id="Freeform 1266" o:spid="_x0000_s1026" style="position:absolute;margin-left:38.5pt;margin-top:17.45pt;width:111.6pt;height:.1pt;z-index:-251424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32,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" path="m,l2232,e" filled="f" strokeweight=".16956mm">
                <v:path arrowok="t" o:connecttype="custom" o:connectlocs="0,0;1417320,0" o:connectangles="0,0"/>
                <w10:wrap type="topAndBottom" anchorx="page"/>
              </v:shape>
            </w:pict>
          </mc:Fallback>
        </mc:AlternateContent>
      </w:r>
      <w:r>
        <w:rPr>
          <w:noProof/>
        </w:rPr>
        <mc:AlternateContent>
          <mc:Choice Requires="wps">
            <w:drawing>
              <wp:anchor distT="0" distB="0" distL="0" distR="0" simplePos="0" relativeHeight="251892736" behindDoc="1" locked="0" layoutInCell="1" allowOverlap="1" wp14:anchorId="234149C6" wp14:editId="1AB7EAED">
                <wp:simplePos x="0" y="0"/>
                <wp:positionH relativeFrom="page">
                  <wp:posOffset>4068445</wp:posOffset>
                </wp:positionH>
                <wp:positionV relativeFrom="paragraph">
                  <wp:posOffset>221615</wp:posOffset>
                </wp:positionV>
                <wp:extent cx="1160780" cy="1270"/>
                <wp:effectExtent l="0" t="0" r="0" b="0"/>
                <wp:wrapTopAndBottom/>
                <wp:docPr id="1309" name="Freeform 1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0780" cy="1270"/>
                        </a:xfrm>
                        <a:custGeom>
                          <a:avLst/>
                          <a:gdLst>
                            <a:gd name="T0" fmla="+- 0 6407 6407"/>
                            <a:gd name="T1" fmla="*/ T0 w 1828"/>
                            <a:gd name="T2" fmla="+- 0 8235 6407"/>
                            <a:gd name="T3" fmla="*/ T2 w 1828"/>
                          </a:gdLst>
                          <a:ahLst/>
                          <a:cxnLst>
                            <a:cxn ang="0">
                              <a:pos x="T1" y="0"/>
                            </a:cxn>
                            <a:cxn ang="0">
                              <a:pos x="T3" y="0"/>
                            </a:cxn>
                          </a:cxnLst>
                          <a:rect l="0" t="0" r="r" b="b"/>
                          <a:pathLst>
                            <a:path w="1828">
                              <a:moveTo>
                                <a:pt x="0" y="0"/>
                              </a:moveTo>
                              <a:lnTo>
                                <a:pt x="1828" y="0"/>
                              </a:lnTo>
                            </a:path>
                          </a:pathLst>
                        </a:custGeom>
                        <a:noFill/>
                        <a:ln w="305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AD842" id="Freeform 1265" o:spid="_x0000_s1026" style="position:absolute;margin-left:320.35pt;margin-top:17.45pt;width:91.4pt;height:.1pt;z-index:-251423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28,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" path="m,l1828,e" filled="f" strokeweight=".08478mm">
                <v:path arrowok="t" o:connecttype="custom" o:connectlocs="0,0;1160780,0" o:connectangles="0,0"/>
                <w10:wrap type="topAndBottom" anchorx="page"/>
              </v:shape>
            </w:pict>
          </mc:Fallback>
        </mc:AlternateContent>
      </w:r>
    </w:p>
    <w:p w:rsidR="00E675F0" w:rsidRDefault="00E675F0" w:rsidP="00E675F0">
      <w:pPr>
        <w:spacing w:before="92"/>
        <w:ind w:left="122" w:right="119"/>
        <w:jc w:val="center"/>
        <w:rPr>
          <w:rFonts w:ascii="Arial"/>
          <w:b/>
          <w:sz w:val="25"/>
        </w:rPr>
      </w:pPr>
      <w:r>
        <w:rPr>
          <w:rFonts w:ascii="Arial"/>
          <w:b/>
          <w:color w:val="2F2F2F"/>
          <w:w w:val="110"/>
          <w:sz w:val="25"/>
        </w:rPr>
        <w:t>Opioid-Related Disorders</w:t>
      </w:r>
    </w:p>
    <w:p w:rsidR="00E675F0" w:rsidRDefault="00E675F0" w:rsidP="00E675F0">
      <w:pPr>
        <w:pStyle w:val="BodyText"/>
        <w:spacing w:before="5"/>
        <w:rPr>
          <w:rFonts w:ascii="Arial"/>
          <w:b/>
          <w:sz w:val="23"/>
        </w:rPr>
      </w:pPr>
    </w:p>
    <w:p w:rsidR="00E675F0" w:rsidRDefault="00E675F0" w:rsidP="00E675F0">
      <w:pPr>
        <w:spacing w:line="266" w:lineRule="auto"/>
        <w:ind w:left="140" w:right="102" w:hanging="6"/>
        <w:jc w:val="both"/>
        <w:rPr>
          <w:sz w:val="19"/>
        </w:rPr>
      </w:pPr>
      <w:r>
        <w:rPr>
          <w:w w:val="110"/>
          <w:sz w:val="19"/>
        </w:rPr>
        <w:t>The opioids include natural opioids (e.g., morphine), semisynthetics (e.g., heroin), and synthetics with morphine-like action (e.g., codeine, hydromorphone, methadone, oxycodone, meperidine, fentanyl). Medications such as pentazocine and buprenorphine that</w:t>
      </w:r>
      <w:r>
        <w:rPr>
          <w:spacing w:val="-4"/>
          <w:w w:val="110"/>
          <w:sz w:val="19"/>
        </w:rPr>
        <w:t xml:space="preserve"> </w:t>
      </w:r>
      <w:r>
        <w:rPr>
          <w:w w:val="110"/>
          <w:sz w:val="19"/>
        </w:rPr>
        <w:t>have</w:t>
      </w:r>
      <w:r>
        <w:rPr>
          <w:spacing w:val="-12"/>
          <w:w w:val="110"/>
          <w:sz w:val="19"/>
        </w:rPr>
        <w:t xml:space="preserve"> </w:t>
      </w:r>
      <w:r>
        <w:rPr>
          <w:w w:val="110"/>
          <w:sz w:val="19"/>
        </w:rPr>
        <w:t>both</w:t>
      </w:r>
      <w:r>
        <w:rPr>
          <w:spacing w:val="-10"/>
          <w:w w:val="110"/>
          <w:sz w:val="19"/>
        </w:rPr>
        <w:t xml:space="preserve"> </w:t>
      </w:r>
      <w:r>
        <w:rPr>
          <w:w w:val="110"/>
          <w:sz w:val="19"/>
        </w:rPr>
        <w:t>opiate</w:t>
      </w:r>
      <w:r>
        <w:rPr>
          <w:spacing w:val="-9"/>
          <w:w w:val="110"/>
          <w:sz w:val="19"/>
        </w:rPr>
        <w:t xml:space="preserve"> </w:t>
      </w:r>
      <w:r>
        <w:rPr>
          <w:w w:val="110"/>
          <w:sz w:val="19"/>
        </w:rPr>
        <w:t>agonist and</w:t>
      </w:r>
      <w:r>
        <w:rPr>
          <w:spacing w:val="5"/>
          <w:w w:val="110"/>
          <w:sz w:val="19"/>
        </w:rPr>
        <w:t xml:space="preserve"> </w:t>
      </w:r>
      <w:r>
        <w:rPr>
          <w:w w:val="110"/>
          <w:sz w:val="19"/>
        </w:rPr>
        <w:t>antagonist</w:t>
      </w:r>
      <w:r>
        <w:rPr>
          <w:spacing w:val="1"/>
          <w:w w:val="110"/>
          <w:sz w:val="19"/>
        </w:rPr>
        <w:t xml:space="preserve"> </w:t>
      </w:r>
      <w:r>
        <w:rPr>
          <w:w w:val="110"/>
          <w:sz w:val="19"/>
        </w:rPr>
        <w:t>effects</w:t>
      </w:r>
      <w:r>
        <w:rPr>
          <w:spacing w:val="-6"/>
          <w:w w:val="110"/>
          <w:sz w:val="19"/>
        </w:rPr>
        <w:t xml:space="preserve"> </w:t>
      </w:r>
      <w:r>
        <w:rPr>
          <w:w w:val="110"/>
          <w:sz w:val="19"/>
        </w:rPr>
        <w:t>are</w:t>
      </w:r>
      <w:r>
        <w:rPr>
          <w:spacing w:val="2"/>
          <w:w w:val="110"/>
          <w:sz w:val="19"/>
        </w:rPr>
        <w:t xml:space="preserve"> </w:t>
      </w:r>
      <w:r>
        <w:rPr>
          <w:w w:val="110"/>
          <w:sz w:val="19"/>
        </w:rPr>
        <w:t>also</w:t>
      </w:r>
      <w:r>
        <w:rPr>
          <w:spacing w:val="-8"/>
          <w:w w:val="110"/>
          <w:sz w:val="19"/>
        </w:rPr>
        <w:t xml:space="preserve"> </w:t>
      </w:r>
      <w:r>
        <w:rPr>
          <w:w w:val="110"/>
          <w:sz w:val="19"/>
        </w:rPr>
        <w:t>included</w:t>
      </w:r>
      <w:r>
        <w:rPr>
          <w:spacing w:val="-7"/>
          <w:w w:val="110"/>
          <w:sz w:val="19"/>
        </w:rPr>
        <w:t xml:space="preserve"> </w:t>
      </w:r>
      <w:r>
        <w:rPr>
          <w:w w:val="110"/>
          <w:sz w:val="19"/>
        </w:rPr>
        <w:t>in</w:t>
      </w:r>
      <w:r>
        <w:rPr>
          <w:spacing w:val="-12"/>
          <w:w w:val="110"/>
          <w:sz w:val="19"/>
        </w:rPr>
        <w:t xml:space="preserve"> </w:t>
      </w:r>
      <w:r>
        <w:rPr>
          <w:w w:val="110"/>
          <w:sz w:val="19"/>
        </w:rPr>
        <w:t>this</w:t>
      </w:r>
      <w:r>
        <w:rPr>
          <w:spacing w:val="-16"/>
          <w:w w:val="110"/>
          <w:sz w:val="19"/>
        </w:rPr>
        <w:t xml:space="preserve"> </w:t>
      </w:r>
      <w:r>
        <w:rPr>
          <w:w w:val="110"/>
          <w:sz w:val="19"/>
        </w:rPr>
        <w:t>class</w:t>
      </w:r>
      <w:r>
        <w:rPr>
          <w:spacing w:val="-6"/>
          <w:w w:val="110"/>
          <w:sz w:val="19"/>
        </w:rPr>
        <w:t xml:space="preserve"> </w:t>
      </w:r>
      <w:r>
        <w:rPr>
          <w:w w:val="110"/>
          <w:sz w:val="19"/>
        </w:rPr>
        <w:t>because their agonist properties produce similar physiological and behavioral effects. Opioids</w:t>
      </w:r>
      <w:r>
        <w:rPr>
          <w:spacing w:val="52"/>
          <w:w w:val="110"/>
          <w:sz w:val="19"/>
        </w:rPr>
        <w:t xml:space="preserve"> </w:t>
      </w:r>
      <w:r>
        <w:rPr>
          <w:w w:val="110"/>
          <w:sz w:val="19"/>
        </w:rPr>
        <w:t>are prescribed as analgesics, anesthetics, antidiarrheal agents, or cough suppressants. Heroin is one of the most commonly abused drugs of this class and is usually taken by injection, although it can be smoked or "snorted" when very pure heroin is available. Fentanyl is injected, whereas cough suppressants and antidiarrheal agents are taken orally. The other opioids are taken both by injection and</w:t>
      </w:r>
      <w:r>
        <w:rPr>
          <w:spacing w:val="-23"/>
          <w:w w:val="110"/>
          <w:sz w:val="19"/>
        </w:rPr>
        <w:t xml:space="preserve"> </w:t>
      </w:r>
      <w:r>
        <w:rPr>
          <w:w w:val="110"/>
          <w:sz w:val="19"/>
        </w:rPr>
        <w:t>orally.</w:t>
      </w:r>
    </w:p>
    <w:p w:rsidR="00E675F0" w:rsidRDefault="00E675F0" w:rsidP="00E675F0">
      <w:pPr>
        <w:spacing w:before="11" w:line="268" w:lineRule="auto"/>
        <w:ind w:left="142" w:right="103" w:firstLine="356"/>
        <w:jc w:val="both"/>
        <w:rPr>
          <w:sz w:val="19"/>
        </w:rPr>
      </w:pPr>
      <w:r>
        <w:rPr>
          <w:w w:val="110"/>
          <w:sz w:val="19"/>
        </w:rPr>
        <w:t>This</w:t>
      </w:r>
      <w:r>
        <w:rPr>
          <w:spacing w:val="-18"/>
          <w:w w:val="110"/>
          <w:sz w:val="19"/>
        </w:rPr>
        <w:t xml:space="preserve"> </w:t>
      </w:r>
      <w:r>
        <w:rPr>
          <w:w w:val="110"/>
          <w:sz w:val="19"/>
        </w:rPr>
        <w:t>section</w:t>
      </w:r>
      <w:r>
        <w:rPr>
          <w:spacing w:val="-3"/>
          <w:w w:val="110"/>
          <w:sz w:val="19"/>
        </w:rPr>
        <w:t xml:space="preserve"> </w:t>
      </w:r>
      <w:r>
        <w:rPr>
          <w:w w:val="110"/>
          <w:sz w:val="19"/>
        </w:rPr>
        <w:t>contains</w:t>
      </w:r>
      <w:r>
        <w:rPr>
          <w:spacing w:val="-10"/>
          <w:w w:val="110"/>
          <w:sz w:val="19"/>
        </w:rPr>
        <w:t xml:space="preserve"> </w:t>
      </w:r>
      <w:r>
        <w:rPr>
          <w:w w:val="110"/>
          <w:sz w:val="19"/>
        </w:rPr>
        <w:t>discussions</w:t>
      </w:r>
      <w:r>
        <w:rPr>
          <w:spacing w:val="-4"/>
          <w:w w:val="110"/>
          <w:sz w:val="19"/>
        </w:rPr>
        <w:t xml:space="preserve"> </w:t>
      </w:r>
      <w:r>
        <w:rPr>
          <w:w w:val="110"/>
          <w:sz w:val="19"/>
        </w:rPr>
        <w:t>specific</w:t>
      </w:r>
      <w:r>
        <w:rPr>
          <w:spacing w:val="-6"/>
          <w:w w:val="110"/>
          <w:sz w:val="19"/>
        </w:rPr>
        <w:t xml:space="preserve"> </w:t>
      </w:r>
      <w:r>
        <w:rPr>
          <w:w w:val="110"/>
          <w:sz w:val="19"/>
        </w:rPr>
        <w:t>to</w:t>
      </w:r>
      <w:r>
        <w:rPr>
          <w:spacing w:val="-11"/>
          <w:w w:val="110"/>
          <w:sz w:val="19"/>
        </w:rPr>
        <w:t xml:space="preserve"> </w:t>
      </w:r>
      <w:r>
        <w:rPr>
          <w:w w:val="110"/>
          <w:sz w:val="19"/>
        </w:rPr>
        <w:t>the</w:t>
      </w:r>
      <w:r>
        <w:rPr>
          <w:spacing w:val="-1"/>
          <w:w w:val="110"/>
          <w:sz w:val="19"/>
        </w:rPr>
        <w:t xml:space="preserve"> </w:t>
      </w:r>
      <w:r>
        <w:rPr>
          <w:w w:val="110"/>
          <w:sz w:val="19"/>
        </w:rPr>
        <w:t>Opioid-Related</w:t>
      </w:r>
      <w:r>
        <w:rPr>
          <w:spacing w:val="-9"/>
          <w:w w:val="110"/>
          <w:sz w:val="19"/>
        </w:rPr>
        <w:t xml:space="preserve"> </w:t>
      </w:r>
      <w:r>
        <w:rPr>
          <w:w w:val="110"/>
          <w:sz w:val="19"/>
        </w:rPr>
        <w:t>Disorders.</w:t>
      </w:r>
      <w:r>
        <w:rPr>
          <w:spacing w:val="-8"/>
          <w:w w:val="110"/>
          <w:sz w:val="19"/>
        </w:rPr>
        <w:t xml:space="preserve"> </w:t>
      </w:r>
      <w:r>
        <w:rPr>
          <w:w w:val="110"/>
          <w:sz w:val="19"/>
        </w:rPr>
        <w:t>Texts</w:t>
      </w:r>
      <w:r>
        <w:rPr>
          <w:spacing w:val="-8"/>
          <w:w w:val="110"/>
          <w:sz w:val="19"/>
        </w:rPr>
        <w:t xml:space="preserve"> </w:t>
      </w:r>
      <w:r>
        <w:rPr>
          <w:w w:val="110"/>
          <w:sz w:val="19"/>
        </w:rPr>
        <w:t>and criteria sets have already been provided for the generic aspects of Substance Dependence (p. 176) and Substance Abuse (p. 182) that apply across all substances. Texts specific to Opioid Dependence and Abuse are provided below; however, there are no additional specific criteria sets for Opioid Dependence or Opioid Abuse. Specific text and</w:t>
      </w:r>
      <w:r>
        <w:rPr>
          <w:spacing w:val="21"/>
          <w:w w:val="110"/>
          <w:sz w:val="19"/>
        </w:rPr>
        <w:t xml:space="preserve"> </w:t>
      </w:r>
      <w:r>
        <w:rPr>
          <w:w w:val="110"/>
          <w:sz w:val="19"/>
        </w:rPr>
        <w:t>criteria</w:t>
      </w:r>
    </w:p>
    <w:p w:rsidR="00E675F0" w:rsidRDefault="00E675F0" w:rsidP="00E675F0">
      <w:pPr>
        <w:spacing w:line="268" w:lineRule="auto"/>
        <w:jc w:val="both"/>
        <w:rPr>
          <w:sz w:val="19"/>
        </w:rPr>
        <w:sectPr w:rsidR="00E675F0">
          <w:headerReference w:type="even" r:id="rId197"/>
          <w:headerReference w:type="default" r:id="rId198"/>
          <w:pgSz w:w="8960" w:h="14260"/>
          <w:pgMar w:top="1400" w:right="620" w:bottom="280" w:left="620" w:header="697" w:footer="0" w:gutter="0"/>
          <w:pgNumType w:start="247"/>
          <w:cols w:space="720"/>
        </w:sectPr>
      </w:pPr>
    </w:p>
    <w:p w:rsidR="00E675F0" w:rsidRDefault="00E675F0" w:rsidP="00E675F0">
      <w:pPr>
        <w:pStyle w:val="BodyText"/>
        <w:spacing w:before="133" w:line="254" w:lineRule="auto"/>
        <w:ind w:left="154" w:right="113" w:firstLine="4"/>
        <w:jc w:val="both"/>
      </w:pPr>
      <w:bookmarkStart w:id="162" w:name="_bookmark142"/>
      <w:bookmarkEnd w:id="162"/>
      <w:r>
        <w:rPr>
          <w:w w:val="110"/>
        </w:rPr>
        <w:lastRenderedPageBreak/>
        <w:t>sets for Opioid Intoxication and Opioid Withdrawal are also provided below. The Opioid-Induced Disorders (other than Opioid Intoxication and Withdrawal) are de­ scribed in the sections of the manual with disorders with which they share phenome­ nology (e.g., Opioid-Induced Mood Disorder is included in the "Mood Disorders" section).</w:t>
      </w:r>
      <w:r>
        <w:rPr>
          <w:spacing w:val="-20"/>
          <w:w w:val="110"/>
        </w:rPr>
        <w:t xml:space="preserve"> </w:t>
      </w:r>
      <w:r>
        <w:rPr>
          <w:w w:val="110"/>
        </w:rPr>
        <w:t>Listed</w:t>
      </w:r>
      <w:r>
        <w:rPr>
          <w:spacing w:val="-20"/>
          <w:w w:val="110"/>
        </w:rPr>
        <w:t xml:space="preserve"> </w:t>
      </w:r>
      <w:r>
        <w:rPr>
          <w:w w:val="110"/>
        </w:rPr>
        <w:t>below</w:t>
      </w:r>
      <w:r>
        <w:rPr>
          <w:spacing w:val="-22"/>
          <w:w w:val="110"/>
        </w:rPr>
        <w:t xml:space="preserve"> </w:t>
      </w:r>
      <w:r>
        <w:rPr>
          <w:w w:val="110"/>
        </w:rPr>
        <w:t>are</w:t>
      </w:r>
      <w:r>
        <w:rPr>
          <w:spacing w:val="-22"/>
          <w:w w:val="110"/>
        </w:rPr>
        <w:t xml:space="preserve"> </w:t>
      </w:r>
      <w:r>
        <w:rPr>
          <w:w w:val="110"/>
        </w:rPr>
        <w:t>the</w:t>
      </w:r>
      <w:r>
        <w:rPr>
          <w:spacing w:val="-25"/>
          <w:w w:val="110"/>
        </w:rPr>
        <w:t xml:space="preserve"> </w:t>
      </w:r>
      <w:r>
        <w:rPr>
          <w:w w:val="110"/>
        </w:rPr>
        <w:t>Opioid</w:t>
      </w:r>
      <w:r>
        <w:rPr>
          <w:spacing w:val="-16"/>
          <w:w w:val="110"/>
        </w:rPr>
        <w:t xml:space="preserve"> </w:t>
      </w:r>
      <w:r>
        <w:rPr>
          <w:w w:val="110"/>
        </w:rPr>
        <w:t>Use</w:t>
      </w:r>
      <w:r>
        <w:rPr>
          <w:spacing w:val="-22"/>
          <w:w w:val="110"/>
        </w:rPr>
        <w:t xml:space="preserve"> </w:t>
      </w:r>
      <w:r>
        <w:rPr>
          <w:w w:val="110"/>
        </w:rPr>
        <w:t>Disorders</w:t>
      </w:r>
      <w:r>
        <w:rPr>
          <w:spacing w:val="-20"/>
          <w:w w:val="110"/>
        </w:rPr>
        <w:t xml:space="preserve"> </w:t>
      </w:r>
      <w:r>
        <w:rPr>
          <w:w w:val="110"/>
        </w:rPr>
        <w:t>and</w:t>
      </w:r>
      <w:r>
        <w:rPr>
          <w:spacing w:val="-20"/>
          <w:w w:val="110"/>
        </w:rPr>
        <w:t xml:space="preserve"> </w:t>
      </w:r>
      <w:r>
        <w:rPr>
          <w:w w:val="110"/>
        </w:rPr>
        <w:t>the</w:t>
      </w:r>
      <w:r>
        <w:rPr>
          <w:spacing w:val="-25"/>
          <w:w w:val="110"/>
        </w:rPr>
        <w:t xml:space="preserve"> </w:t>
      </w:r>
      <w:r>
        <w:rPr>
          <w:w w:val="110"/>
        </w:rPr>
        <w:t>Opioid-Induced</w:t>
      </w:r>
      <w:r>
        <w:rPr>
          <w:spacing w:val="-22"/>
          <w:w w:val="110"/>
        </w:rPr>
        <w:t xml:space="preserve"> </w:t>
      </w:r>
      <w:r>
        <w:rPr>
          <w:w w:val="110"/>
        </w:rPr>
        <w:t>Disorders.</w:t>
      </w:r>
    </w:p>
    <w:p w:rsidR="00E675F0" w:rsidRDefault="00E675F0" w:rsidP="00E675F0">
      <w:pPr>
        <w:pStyle w:val="BodyText"/>
        <w:spacing w:before="5"/>
        <w:rPr>
          <w:sz w:val="32"/>
        </w:rPr>
      </w:pPr>
    </w:p>
    <w:p w:rsidR="00E675F0" w:rsidRDefault="00E675F0" w:rsidP="00E675F0">
      <w:pPr>
        <w:ind w:left="142"/>
        <w:jc w:val="both"/>
        <w:rPr>
          <w:rFonts w:ascii="TimesNewRomanPS-BoldItalicMT"/>
          <w:b/>
          <w:i/>
          <w:sz w:val="24"/>
        </w:rPr>
      </w:pPr>
      <w:r>
        <w:rPr>
          <w:rFonts w:ascii="TimesNewRomanPS-BoldItalicMT"/>
          <w:b/>
          <w:i/>
          <w:w w:val="120"/>
          <w:sz w:val="24"/>
        </w:rPr>
        <w:t>Opioid Use Disorders</w:t>
      </w:r>
    </w:p>
    <w:p w:rsidR="00E675F0" w:rsidRDefault="00E675F0" w:rsidP="00E675F0">
      <w:pPr>
        <w:tabs>
          <w:tab w:val="left" w:pos="1003"/>
        </w:tabs>
        <w:spacing w:before="127"/>
        <w:ind w:left="166"/>
        <w:rPr>
          <w:sz w:val="20"/>
        </w:rPr>
      </w:pPr>
      <w:r>
        <w:rPr>
          <w:b/>
          <w:w w:val="110"/>
          <w:sz w:val="20"/>
        </w:rPr>
        <w:t>304.00</w:t>
      </w:r>
      <w:r>
        <w:rPr>
          <w:b/>
          <w:w w:val="110"/>
          <w:sz w:val="20"/>
        </w:rPr>
        <w:tab/>
        <w:t xml:space="preserve">Opioid Dependence </w:t>
      </w:r>
      <w:r>
        <w:rPr>
          <w:w w:val="110"/>
          <w:sz w:val="20"/>
        </w:rPr>
        <w:t>(see p.</w:t>
      </w:r>
      <w:r>
        <w:rPr>
          <w:spacing w:val="37"/>
          <w:w w:val="110"/>
          <w:sz w:val="20"/>
        </w:rPr>
        <w:t xml:space="preserve"> </w:t>
      </w:r>
      <w:r>
        <w:rPr>
          <w:w w:val="110"/>
          <w:sz w:val="20"/>
        </w:rPr>
        <w:t>248)</w:t>
      </w:r>
    </w:p>
    <w:p w:rsidR="00E675F0" w:rsidRDefault="00E675F0" w:rsidP="00E675F0">
      <w:pPr>
        <w:tabs>
          <w:tab w:val="left" w:pos="998"/>
        </w:tabs>
        <w:spacing w:before="15"/>
        <w:ind w:left="166"/>
        <w:rPr>
          <w:sz w:val="20"/>
        </w:rPr>
      </w:pPr>
      <w:r>
        <w:rPr>
          <w:b/>
          <w:w w:val="105"/>
          <w:sz w:val="20"/>
        </w:rPr>
        <w:t>305.50</w:t>
      </w:r>
      <w:r>
        <w:rPr>
          <w:b/>
          <w:w w:val="105"/>
          <w:sz w:val="20"/>
        </w:rPr>
        <w:tab/>
        <w:t xml:space="preserve">Opioid Abuse </w:t>
      </w:r>
      <w:r>
        <w:rPr>
          <w:w w:val="105"/>
          <w:sz w:val="20"/>
        </w:rPr>
        <w:t>(see p.</w:t>
      </w:r>
      <w:r>
        <w:rPr>
          <w:spacing w:val="-12"/>
          <w:w w:val="105"/>
          <w:sz w:val="20"/>
        </w:rPr>
        <w:t xml:space="preserve"> </w:t>
      </w:r>
      <w:r>
        <w:rPr>
          <w:w w:val="105"/>
          <w:sz w:val="20"/>
        </w:rPr>
        <w:t>249)</w:t>
      </w:r>
    </w:p>
    <w:p w:rsidR="00E675F0" w:rsidRDefault="00E675F0" w:rsidP="00E675F0">
      <w:pPr>
        <w:pStyle w:val="BodyText"/>
        <w:rPr>
          <w:sz w:val="22"/>
        </w:rPr>
      </w:pPr>
    </w:p>
    <w:p w:rsidR="00E675F0" w:rsidRDefault="00E675F0" w:rsidP="00E675F0">
      <w:pPr>
        <w:spacing w:before="143"/>
        <w:ind w:left="137"/>
        <w:jc w:val="both"/>
        <w:rPr>
          <w:rFonts w:ascii="TimesNewRomanPS-BoldItalicMT"/>
          <w:b/>
          <w:i/>
          <w:sz w:val="24"/>
        </w:rPr>
      </w:pPr>
      <w:r>
        <w:rPr>
          <w:rFonts w:ascii="TimesNewRomanPS-BoldItalicMT"/>
          <w:b/>
          <w:i/>
          <w:w w:val="120"/>
          <w:sz w:val="24"/>
        </w:rPr>
        <w:t>Opioid-Induced msorders</w:t>
      </w:r>
    </w:p>
    <w:p w:rsidR="00E675F0" w:rsidRDefault="00E675F0" w:rsidP="00E675F0">
      <w:pPr>
        <w:pStyle w:val="BodyText"/>
        <w:spacing w:before="6"/>
        <w:rPr>
          <w:rFonts w:ascii="TimesNewRomanPS-BoldItalicMT"/>
          <w:b/>
          <w:i/>
          <w:sz w:val="9"/>
        </w:rPr>
      </w:pPr>
    </w:p>
    <w:tbl>
      <w:tblPr>
        <w:tblW w:w="0" w:type="auto"/>
        <w:tblInd w:w="122" w:type="dxa"/>
        <w:tblLayout w:type="fixed"/>
        <w:tblCellMar>
          <w:left w:w="0" w:type="dxa"/>
          <w:right w:w="0" w:type="dxa"/>
        </w:tblCellMar>
        <w:tblLook w:val="01E0" w:firstRow="1" w:lastRow="1" w:firstColumn="1" w:lastColumn="1" w:noHBand="0" w:noVBand="0"/>
      </w:tblPr>
      <w:tblGrid>
        <w:gridCol w:w="776"/>
        <w:gridCol w:w="6667"/>
      </w:tblGrid>
      <w:tr w:rsidR="00E675F0" w:rsidTr="00A330E1">
        <w:trPr>
          <w:trHeight w:val="263"/>
        </w:trPr>
        <w:tc>
          <w:tcPr>
            <w:tcW w:w="776" w:type="dxa"/>
          </w:tcPr>
          <w:p w:rsidR="00E675F0" w:rsidRDefault="00E675F0" w:rsidP="00A330E1">
            <w:pPr>
              <w:pStyle w:val="TableParagraph"/>
              <w:spacing w:before="21" w:line="222" w:lineRule="exact"/>
              <w:ind w:left="50"/>
              <w:rPr>
                <w:b/>
                <w:sz w:val="20"/>
              </w:rPr>
            </w:pPr>
            <w:r>
              <w:rPr>
                <w:b/>
                <w:w w:val="110"/>
                <w:sz w:val="20"/>
              </w:rPr>
              <w:t>292.89</w:t>
            </w:r>
          </w:p>
        </w:tc>
        <w:tc>
          <w:tcPr>
            <w:tcW w:w="6667" w:type="dxa"/>
          </w:tcPr>
          <w:p w:rsidR="00E675F0" w:rsidRDefault="00E675F0" w:rsidP="00A330E1">
            <w:pPr>
              <w:pStyle w:val="TableParagraph"/>
              <w:spacing w:line="244" w:lineRule="exact"/>
              <w:ind w:left="108"/>
              <w:rPr>
                <w:sz w:val="20"/>
              </w:rPr>
            </w:pPr>
            <w:r>
              <w:rPr>
                <w:b/>
                <w:w w:val="105"/>
                <w:sz w:val="20"/>
              </w:rPr>
              <w:t xml:space="preserve">Opioid Intoxication </w:t>
            </w:r>
            <w:r>
              <w:rPr>
                <w:w w:val="105"/>
                <w:sz w:val="20"/>
              </w:rPr>
              <w:t xml:space="preserve">(see p. 249) </w:t>
            </w:r>
            <w:r>
              <w:rPr>
                <w:i/>
                <w:w w:val="105"/>
                <w:sz w:val="20"/>
              </w:rPr>
              <w:t xml:space="preserve">Specify </w:t>
            </w:r>
            <w:r>
              <w:rPr>
                <w:rFonts w:ascii="Arial"/>
                <w:i/>
                <w:w w:val="105"/>
                <w:sz w:val="23"/>
              </w:rPr>
              <w:t xml:space="preserve">if </w:t>
            </w:r>
            <w:r>
              <w:rPr>
                <w:w w:val="105"/>
                <w:sz w:val="20"/>
              </w:rPr>
              <w:t>With Perceptual Disturbances</w:t>
            </w:r>
          </w:p>
        </w:tc>
      </w:tr>
      <w:tr w:rsidR="00E675F0" w:rsidTr="00A330E1">
        <w:trPr>
          <w:trHeight w:val="239"/>
        </w:trPr>
        <w:tc>
          <w:tcPr>
            <w:tcW w:w="776" w:type="dxa"/>
          </w:tcPr>
          <w:p w:rsidR="00E675F0" w:rsidRDefault="00E675F0" w:rsidP="00A330E1">
            <w:pPr>
              <w:pStyle w:val="TableParagraph"/>
              <w:spacing w:line="220" w:lineRule="exact"/>
              <w:ind w:left="50"/>
              <w:rPr>
                <w:b/>
                <w:sz w:val="20"/>
              </w:rPr>
            </w:pPr>
            <w:r>
              <w:rPr>
                <w:b/>
                <w:w w:val="110"/>
                <w:sz w:val="20"/>
              </w:rPr>
              <w:t>292.0</w:t>
            </w:r>
          </w:p>
        </w:tc>
        <w:tc>
          <w:tcPr>
            <w:tcW w:w="6667" w:type="dxa"/>
          </w:tcPr>
          <w:p w:rsidR="00E675F0" w:rsidRDefault="00E675F0" w:rsidP="00A330E1">
            <w:pPr>
              <w:pStyle w:val="TableParagraph"/>
              <w:spacing w:line="220" w:lineRule="exact"/>
              <w:ind w:left="108"/>
              <w:rPr>
                <w:sz w:val="20"/>
              </w:rPr>
            </w:pPr>
            <w:r>
              <w:rPr>
                <w:b/>
                <w:w w:val="105"/>
                <w:sz w:val="20"/>
              </w:rPr>
              <w:t xml:space="preserve">Opioid Withdrawal </w:t>
            </w:r>
            <w:r>
              <w:rPr>
                <w:w w:val="105"/>
                <w:sz w:val="20"/>
              </w:rPr>
              <w:t>(see p. 250)</w:t>
            </w:r>
          </w:p>
        </w:tc>
      </w:tr>
      <w:tr w:rsidR="00E675F0" w:rsidTr="00A330E1">
        <w:trPr>
          <w:trHeight w:val="245"/>
        </w:trPr>
        <w:tc>
          <w:tcPr>
            <w:tcW w:w="776" w:type="dxa"/>
          </w:tcPr>
          <w:p w:rsidR="00E675F0" w:rsidRDefault="00E675F0" w:rsidP="00A330E1">
            <w:pPr>
              <w:pStyle w:val="TableParagraph"/>
              <w:spacing w:before="3" w:line="222" w:lineRule="exact"/>
              <w:ind w:left="50"/>
              <w:rPr>
                <w:b/>
                <w:sz w:val="20"/>
              </w:rPr>
            </w:pPr>
            <w:r>
              <w:rPr>
                <w:b/>
                <w:w w:val="110"/>
                <w:sz w:val="20"/>
              </w:rPr>
              <w:t>292.81</w:t>
            </w:r>
          </w:p>
        </w:tc>
        <w:tc>
          <w:tcPr>
            <w:tcW w:w="6667" w:type="dxa"/>
          </w:tcPr>
          <w:p w:rsidR="00E675F0" w:rsidRDefault="00E675F0" w:rsidP="00A330E1">
            <w:pPr>
              <w:pStyle w:val="TableParagraph"/>
              <w:spacing w:before="3" w:line="222" w:lineRule="exact"/>
              <w:ind w:left="113"/>
              <w:rPr>
                <w:sz w:val="20"/>
              </w:rPr>
            </w:pPr>
            <w:r>
              <w:rPr>
                <w:b/>
                <w:w w:val="110"/>
                <w:sz w:val="20"/>
              </w:rPr>
              <w:t xml:space="preserve">Opioid Intoxication Delirium </w:t>
            </w:r>
            <w:r>
              <w:rPr>
                <w:w w:val="110"/>
                <w:sz w:val="20"/>
              </w:rPr>
              <w:t>(seep. 129)</w:t>
            </w:r>
          </w:p>
        </w:tc>
      </w:tr>
      <w:tr w:rsidR="00E675F0" w:rsidTr="00A330E1">
        <w:trPr>
          <w:trHeight w:val="490"/>
        </w:trPr>
        <w:tc>
          <w:tcPr>
            <w:tcW w:w="776" w:type="dxa"/>
          </w:tcPr>
          <w:p w:rsidR="00E675F0" w:rsidRDefault="00E675F0" w:rsidP="00A330E1">
            <w:pPr>
              <w:pStyle w:val="TableParagraph"/>
              <w:spacing w:before="3"/>
              <w:ind w:left="50"/>
              <w:rPr>
                <w:b/>
                <w:sz w:val="20"/>
              </w:rPr>
            </w:pPr>
            <w:r>
              <w:rPr>
                <w:b/>
                <w:w w:val="110"/>
                <w:sz w:val="20"/>
              </w:rPr>
              <w:t>292.11</w:t>
            </w:r>
          </w:p>
        </w:tc>
        <w:tc>
          <w:tcPr>
            <w:tcW w:w="6667" w:type="dxa"/>
          </w:tcPr>
          <w:p w:rsidR="00E675F0" w:rsidRDefault="00E675F0" w:rsidP="00A330E1">
            <w:pPr>
              <w:pStyle w:val="TableParagraph"/>
              <w:spacing w:before="3" w:line="223" w:lineRule="exact"/>
              <w:ind w:left="113"/>
              <w:rPr>
                <w:sz w:val="20"/>
              </w:rPr>
            </w:pPr>
            <w:r>
              <w:rPr>
                <w:b/>
                <w:w w:val="110"/>
                <w:sz w:val="20"/>
              </w:rPr>
              <w:t xml:space="preserve">Opioid-Induced Psychotic Disorder, With Delusions </w:t>
            </w:r>
            <w:r>
              <w:rPr>
                <w:w w:val="110"/>
                <w:sz w:val="20"/>
              </w:rPr>
              <w:t>(seep. 310)</w:t>
            </w:r>
          </w:p>
          <w:p w:rsidR="00E675F0" w:rsidRDefault="00E675F0" w:rsidP="00A330E1">
            <w:pPr>
              <w:pStyle w:val="TableParagraph"/>
              <w:spacing w:line="244" w:lineRule="exact"/>
              <w:ind w:left="128"/>
              <w:rPr>
                <w:sz w:val="20"/>
              </w:rPr>
            </w:pPr>
            <w:r>
              <w:rPr>
                <w:i/>
                <w:w w:val="105"/>
                <w:sz w:val="20"/>
              </w:rPr>
              <w:t xml:space="preserve">Specify </w:t>
            </w:r>
            <w:r>
              <w:rPr>
                <w:rFonts w:ascii="Arial"/>
                <w:i/>
                <w:w w:val="105"/>
                <w:sz w:val="23"/>
              </w:rPr>
              <w:t xml:space="preserve">if </w:t>
            </w:r>
            <w:r>
              <w:rPr>
                <w:w w:val="105"/>
                <w:sz w:val="20"/>
              </w:rPr>
              <w:t>With Onset During Intoxication</w:t>
            </w:r>
          </w:p>
        </w:tc>
      </w:tr>
      <w:tr w:rsidR="00E675F0" w:rsidTr="00A330E1">
        <w:trPr>
          <w:trHeight w:val="487"/>
        </w:trPr>
        <w:tc>
          <w:tcPr>
            <w:tcW w:w="776" w:type="dxa"/>
          </w:tcPr>
          <w:p w:rsidR="00E675F0" w:rsidRDefault="00E675F0" w:rsidP="00A330E1">
            <w:pPr>
              <w:pStyle w:val="TableParagraph"/>
              <w:spacing w:line="228" w:lineRule="exact"/>
              <w:ind w:left="50"/>
              <w:rPr>
                <w:b/>
                <w:sz w:val="20"/>
              </w:rPr>
            </w:pPr>
            <w:r>
              <w:rPr>
                <w:b/>
                <w:w w:val="110"/>
                <w:sz w:val="20"/>
              </w:rPr>
              <w:t>292.12</w:t>
            </w:r>
          </w:p>
        </w:tc>
        <w:tc>
          <w:tcPr>
            <w:tcW w:w="6667" w:type="dxa"/>
          </w:tcPr>
          <w:p w:rsidR="00E675F0" w:rsidRDefault="00E675F0" w:rsidP="00A330E1">
            <w:pPr>
              <w:pStyle w:val="TableParagraph"/>
              <w:spacing w:line="221" w:lineRule="exact"/>
              <w:ind w:left="113"/>
              <w:rPr>
                <w:sz w:val="20"/>
              </w:rPr>
            </w:pPr>
            <w:r>
              <w:rPr>
                <w:b/>
                <w:w w:val="110"/>
                <w:sz w:val="20"/>
              </w:rPr>
              <w:t xml:space="preserve">Opioid-Induced Psychotic Disorder, With Hallucinations </w:t>
            </w:r>
            <w:r>
              <w:rPr>
                <w:w w:val="110"/>
                <w:sz w:val="20"/>
              </w:rPr>
              <w:t>(seep. 310)</w:t>
            </w:r>
          </w:p>
          <w:p w:rsidR="00E675F0" w:rsidRDefault="00E675F0" w:rsidP="00A330E1">
            <w:pPr>
              <w:pStyle w:val="TableParagraph"/>
              <w:spacing w:line="247" w:lineRule="exact"/>
              <w:ind w:left="128"/>
              <w:rPr>
                <w:sz w:val="20"/>
              </w:rPr>
            </w:pPr>
            <w:r>
              <w:rPr>
                <w:i/>
                <w:w w:val="105"/>
                <w:sz w:val="20"/>
              </w:rPr>
              <w:t xml:space="preserve">Specify </w:t>
            </w:r>
            <w:r>
              <w:rPr>
                <w:rFonts w:ascii="Arial"/>
                <w:i/>
                <w:w w:val="105"/>
                <w:sz w:val="23"/>
              </w:rPr>
              <w:t xml:space="preserve">if </w:t>
            </w:r>
            <w:r>
              <w:rPr>
                <w:w w:val="105"/>
                <w:sz w:val="20"/>
              </w:rPr>
              <w:t>With Onset During Intoxication</w:t>
            </w:r>
          </w:p>
        </w:tc>
      </w:tr>
      <w:tr w:rsidR="00E675F0" w:rsidTr="00A330E1">
        <w:trPr>
          <w:trHeight w:val="490"/>
        </w:trPr>
        <w:tc>
          <w:tcPr>
            <w:tcW w:w="776" w:type="dxa"/>
          </w:tcPr>
          <w:p w:rsidR="00E675F0" w:rsidRDefault="00E675F0" w:rsidP="00A330E1">
            <w:pPr>
              <w:pStyle w:val="TableParagraph"/>
              <w:ind w:left="50"/>
              <w:rPr>
                <w:b/>
                <w:sz w:val="20"/>
              </w:rPr>
            </w:pPr>
            <w:r>
              <w:rPr>
                <w:b/>
                <w:w w:val="110"/>
                <w:sz w:val="20"/>
              </w:rPr>
              <w:t>292.84</w:t>
            </w:r>
          </w:p>
        </w:tc>
        <w:tc>
          <w:tcPr>
            <w:tcW w:w="6667" w:type="dxa"/>
          </w:tcPr>
          <w:p w:rsidR="00E675F0" w:rsidRDefault="00E675F0" w:rsidP="00A330E1">
            <w:pPr>
              <w:pStyle w:val="TableParagraph"/>
              <w:spacing w:line="223" w:lineRule="exact"/>
              <w:ind w:left="113"/>
              <w:rPr>
                <w:sz w:val="20"/>
              </w:rPr>
            </w:pPr>
            <w:r>
              <w:rPr>
                <w:b/>
                <w:w w:val="110"/>
                <w:sz w:val="20"/>
              </w:rPr>
              <w:t xml:space="preserve">Opioid-Induced Mood Disorder </w:t>
            </w:r>
            <w:r>
              <w:rPr>
                <w:w w:val="110"/>
                <w:sz w:val="20"/>
              </w:rPr>
              <w:t>(see p. 370)</w:t>
            </w:r>
          </w:p>
          <w:p w:rsidR="00E675F0" w:rsidRDefault="00E675F0" w:rsidP="00A330E1">
            <w:pPr>
              <w:pStyle w:val="TableParagraph"/>
              <w:spacing w:line="247" w:lineRule="exact"/>
              <w:ind w:left="128"/>
              <w:rPr>
                <w:sz w:val="20"/>
              </w:rPr>
            </w:pPr>
            <w:r>
              <w:rPr>
                <w:i/>
                <w:w w:val="105"/>
                <w:sz w:val="20"/>
              </w:rPr>
              <w:t xml:space="preserve">Specify </w:t>
            </w:r>
            <w:r>
              <w:rPr>
                <w:rFonts w:ascii="Arial"/>
                <w:i/>
                <w:w w:val="105"/>
                <w:sz w:val="23"/>
              </w:rPr>
              <w:t xml:space="preserve">if </w:t>
            </w:r>
            <w:r>
              <w:rPr>
                <w:w w:val="105"/>
                <w:sz w:val="20"/>
              </w:rPr>
              <w:t>With Onset During Intoxication</w:t>
            </w:r>
          </w:p>
        </w:tc>
      </w:tr>
      <w:tr w:rsidR="00E675F0" w:rsidTr="00A330E1">
        <w:trPr>
          <w:trHeight w:val="487"/>
        </w:trPr>
        <w:tc>
          <w:tcPr>
            <w:tcW w:w="776" w:type="dxa"/>
          </w:tcPr>
          <w:p w:rsidR="00E675F0" w:rsidRDefault="00E675F0" w:rsidP="00A330E1">
            <w:pPr>
              <w:pStyle w:val="TableParagraph"/>
              <w:ind w:left="50"/>
              <w:rPr>
                <w:b/>
                <w:sz w:val="20"/>
              </w:rPr>
            </w:pPr>
            <w:r>
              <w:rPr>
                <w:b/>
                <w:w w:val="110"/>
                <w:sz w:val="20"/>
              </w:rPr>
              <w:t>292.89</w:t>
            </w:r>
          </w:p>
        </w:tc>
        <w:tc>
          <w:tcPr>
            <w:tcW w:w="6667" w:type="dxa"/>
          </w:tcPr>
          <w:p w:rsidR="00E675F0" w:rsidRDefault="00E675F0" w:rsidP="00A330E1">
            <w:pPr>
              <w:pStyle w:val="TableParagraph"/>
              <w:spacing w:line="223" w:lineRule="exact"/>
              <w:ind w:left="113"/>
              <w:rPr>
                <w:sz w:val="20"/>
              </w:rPr>
            </w:pPr>
            <w:r>
              <w:rPr>
                <w:b/>
                <w:w w:val="110"/>
                <w:sz w:val="20"/>
              </w:rPr>
              <w:t xml:space="preserve">Opioid-Induced Sexual Dysfunction </w:t>
            </w:r>
            <w:r>
              <w:rPr>
                <w:w w:val="110"/>
                <w:sz w:val="20"/>
              </w:rPr>
              <w:t>(see p. 519)</w:t>
            </w:r>
          </w:p>
          <w:p w:rsidR="00E675F0" w:rsidRDefault="00E675F0" w:rsidP="00A330E1">
            <w:pPr>
              <w:pStyle w:val="TableParagraph"/>
              <w:spacing w:line="244" w:lineRule="exact"/>
              <w:ind w:left="128"/>
              <w:rPr>
                <w:sz w:val="20"/>
              </w:rPr>
            </w:pPr>
            <w:r>
              <w:rPr>
                <w:i/>
                <w:w w:val="105"/>
                <w:sz w:val="20"/>
              </w:rPr>
              <w:t xml:space="preserve">Specify </w:t>
            </w:r>
            <w:r>
              <w:rPr>
                <w:rFonts w:ascii="Arial"/>
                <w:i/>
                <w:w w:val="105"/>
                <w:sz w:val="23"/>
              </w:rPr>
              <w:t xml:space="preserve">if </w:t>
            </w:r>
            <w:r>
              <w:rPr>
                <w:w w:val="105"/>
                <w:sz w:val="20"/>
              </w:rPr>
              <w:t>With Onset During Intoxication</w:t>
            </w:r>
          </w:p>
        </w:tc>
      </w:tr>
      <w:tr w:rsidR="00E675F0" w:rsidTr="00A330E1">
        <w:trPr>
          <w:trHeight w:val="600"/>
        </w:trPr>
        <w:tc>
          <w:tcPr>
            <w:tcW w:w="776" w:type="dxa"/>
          </w:tcPr>
          <w:p w:rsidR="00E675F0" w:rsidRDefault="00E675F0" w:rsidP="00A330E1">
            <w:pPr>
              <w:pStyle w:val="TableParagraph"/>
              <w:spacing w:line="228" w:lineRule="exact"/>
              <w:ind w:left="50"/>
              <w:rPr>
                <w:b/>
                <w:sz w:val="20"/>
              </w:rPr>
            </w:pPr>
            <w:r>
              <w:rPr>
                <w:b/>
                <w:w w:val="110"/>
                <w:sz w:val="20"/>
              </w:rPr>
              <w:t>292.89</w:t>
            </w:r>
          </w:p>
        </w:tc>
        <w:tc>
          <w:tcPr>
            <w:tcW w:w="6667" w:type="dxa"/>
          </w:tcPr>
          <w:p w:rsidR="00E675F0" w:rsidRDefault="00E675F0" w:rsidP="00A330E1">
            <w:pPr>
              <w:pStyle w:val="TableParagraph"/>
              <w:spacing w:line="219" w:lineRule="exact"/>
              <w:ind w:left="113"/>
              <w:rPr>
                <w:sz w:val="20"/>
              </w:rPr>
            </w:pPr>
            <w:r>
              <w:rPr>
                <w:b/>
                <w:w w:val="110"/>
                <w:sz w:val="20"/>
              </w:rPr>
              <w:t xml:space="preserve">Opioid-Induced Sleep Disorder </w:t>
            </w:r>
            <w:r>
              <w:rPr>
                <w:w w:val="110"/>
                <w:sz w:val="20"/>
              </w:rPr>
              <w:t>(seep. 601)</w:t>
            </w:r>
          </w:p>
          <w:p w:rsidR="00E675F0" w:rsidRDefault="00E675F0" w:rsidP="00A330E1">
            <w:pPr>
              <w:pStyle w:val="TableParagraph"/>
              <w:spacing w:line="255" w:lineRule="exact"/>
              <w:ind w:left="128"/>
              <w:rPr>
                <w:sz w:val="20"/>
              </w:rPr>
            </w:pPr>
            <w:r>
              <w:rPr>
                <w:i/>
                <w:w w:val="105"/>
                <w:sz w:val="20"/>
              </w:rPr>
              <w:t xml:space="preserve">Specify </w:t>
            </w:r>
            <w:r>
              <w:rPr>
                <w:rFonts w:ascii="Arial"/>
                <w:i/>
                <w:w w:val="105"/>
                <w:sz w:val="23"/>
              </w:rPr>
              <w:t xml:space="preserve">if </w:t>
            </w:r>
            <w:r>
              <w:rPr>
                <w:w w:val="105"/>
                <w:sz w:val="20"/>
              </w:rPr>
              <w:t>With Onset During Intoxication/With Onset During Withdrawal</w:t>
            </w:r>
          </w:p>
        </w:tc>
      </w:tr>
      <w:tr w:rsidR="00E675F0" w:rsidTr="00A330E1">
        <w:trPr>
          <w:trHeight w:val="358"/>
        </w:trPr>
        <w:tc>
          <w:tcPr>
            <w:tcW w:w="776" w:type="dxa"/>
          </w:tcPr>
          <w:p w:rsidR="00E675F0" w:rsidRDefault="00E675F0" w:rsidP="00A330E1">
            <w:pPr>
              <w:pStyle w:val="TableParagraph"/>
              <w:spacing w:before="128" w:line="210" w:lineRule="exact"/>
              <w:ind w:left="50"/>
              <w:rPr>
                <w:b/>
                <w:sz w:val="20"/>
              </w:rPr>
            </w:pPr>
            <w:r>
              <w:rPr>
                <w:b/>
                <w:w w:val="110"/>
                <w:sz w:val="20"/>
              </w:rPr>
              <w:t>292.9</w:t>
            </w:r>
          </w:p>
        </w:tc>
        <w:tc>
          <w:tcPr>
            <w:tcW w:w="6667" w:type="dxa"/>
          </w:tcPr>
          <w:p w:rsidR="00E675F0" w:rsidRDefault="00E675F0" w:rsidP="00A330E1">
            <w:pPr>
              <w:pStyle w:val="TableParagraph"/>
              <w:spacing w:before="118" w:line="220" w:lineRule="exact"/>
              <w:ind w:left="113"/>
              <w:rPr>
                <w:sz w:val="20"/>
              </w:rPr>
            </w:pPr>
            <w:r>
              <w:rPr>
                <w:b/>
                <w:w w:val="110"/>
                <w:sz w:val="20"/>
              </w:rPr>
              <w:t xml:space="preserve">Opioid-Related Disorder Not Otherwise Specified </w:t>
            </w:r>
            <w:r>
              <w:rPr>
                <w:w w:val="110"/>
                <w:sz w:val="20"/>
              </w:rPr>
              <w:t>(see p. 255)</w:t>
            </w:r>
          </w:p>
        </w:tc>
      </w:tr>
    </w:tbl>
    <w:p w:rsidR="00E675F0" w:rsidRDefault="00E675F0" w:rsidP="00E675F0">
      <w:pPr>
        <w:pStyle w:val="BodyText"/>
        <w:rPr>
          <w:rFonts w:ascii="TimesNewRomanPS-BoldItalicMT"/>
          <w:b/>
          <w:i/>
          <w:sz w:val="26"/>
        </w:rPr>
      </w:pPr>
    </w:p>
    <w:p w:rsidR="00E675F0" w:rsidRDefault="00E675F0" w:rsidP="00E675F0">
      <w:pPr>
        <w:pStyle w:val="BodyText"/>
        <w:spacing w:before="9"/>
        <w:rPr>
          <w:rFonts w:ascii="TimesNewRomanPS-BoldItalicMT"/>
          <w:b/>
          <w:i/>
          <w:sz w:val="24"/>
        </w:rPr>
      </w:pPr>
    </w:p>
    <w:p w:rsidR="00E675F0" w:rsidRDefault="00E675F0" w:rsidP="00E675F0">
      <w:pPr>
        <w:ind w:left="1193" w:right="1189"/>
        <w:jc w:val="center"/>
        <w:rPr>
          <w:rFonts w:ascii="TimesNewRomanPS-BoldItalicMT"/>
          <w:b/>
          <w:i/>
          <w:sz w:val="27"/>
        </w:rPr>
      </w:pPr>
      <w:r>
        <w:rPr>
          <w:rFonts w:ascii="TimesNewRomanPS-BoldItalicMT"/>
          <w:b/>
          <w:i/>
          <w:w w:val="125"/>
          <w:sz w:val="27"/>
        </w:rPr>
        <w:t>Opioid Use Disorders</w:t>
      </w:r>
    </w:p>
    <w:p w:rsidR="00E675F0" w:rsidRDefault="00E675F0" w:rsidP="00E675F0">
      <w:pPr>
        <w:tabs>
          <w:tab w:val="left" w:pos="3170"/>
        </w:tabs>
        <w:spacing w:before="149"/>
        <w:ind w:left="2093"/>
        <w:rPr>
          <w:rFonts w:ascii="Arial"/>
          <w:b/>
          <w:sz w:val="25"/>
        </w:rPr>
      </w:pPr>
      <w:r>
        <w:rPr>
          <w:rFonts w:ascii="Arial"/>
          <w:b/>
          <w:w w:val="110"/>
          <w:sz w:val="25"/>
        </w:rPr>
        <w:t>304.00</w:t>
      </w:r>
      <w:r>
        <w:rPr>
          <w:rFonts w:ascii="Arial"/>
          <w:b/>
          <w:w w:val="110"/>
          <w:sz w:val="25"/>
        </w:rPr>
        <w:tab/>
        <w:t>Opioid</w:t>
      </w:r>
      <w:r>
        <w:rPr>
          <w:rFonts w:ascii="Arial"/>
          <w:b/>
          <w:spacing w:val="-12"/>
          <w:w w:val="110"/>
          <w:sz w:val="25"/>
        </w:rPr>
        <w:t xml:space="preserve"> </w:t>
      </w:r>
      <w:r>
        <w:rPr>
          <w:rFonts w:ascii="Arial"/>
          <w:b/>
          <w:w w:val="110"/>
          <w:sz w:val="25"/>
        </w:rPr>
        <w:t>Dependence</w:t>
      </w:r>
    </w:p>
    <w:p w:rsidR="00E675F0" w:rsidRDefault="00E675F0" w:rsidP="00E675F0">
      <w:pPr>
        <w:pStyle w:val="BodyText"/>
        <w:spacing w:before="3"/>
        <w:rPr>
          <w:rFonts w:ascii="Arial"/>
          <w:b/>
          <w:sz w:val="22"/>
        </w:rPr>
      </w:pPr>
    </w:p>
    <w:p w:rsidR="00E675F0" w:rsidRDefault="00E675F0" w:rsidP="00E675F0">
      <w:pPr>
        <w:pStyle w:val="BodyText"/>
        <w:spacing w:line="254" w:lineRule="auto"/>
        <w:ind w:left="161" w:right="111" w:hanging="4"/>
        <w:jc w:val="both"/>
      </w:pPr>
      <w:r>
        <w:rPr>
          <w:w w:val="105"/>
        </w:rPr>
        <w:t>Also</w:t>
      </w:r>
      <w:r>
        <w:rPr>
          <w:spacing w:val="-13"/>
          <w:w w:val="105"/>
        </w:rPr>
        <w:t xml:space="preserve"> </w:t>
      </w:r>
      <w:r>
        <w:rPr>
          <w:w w:val="105"/>
        </w:rPr>
        <w:t>refer</w:t>
      </w:r>
      <w:r>
        <w:rPr>
          <w:spacing w:val="-13"/>
          <w:w w:val="105"/>
        </w:rPr>
        <w:t xml:space="preserve"> </w:t>
      </w:r>
      <w:r>
        <w:rPr>
          <w:w w:val="105"/>
        </w:rPr>
        <w:t>to</w:t>
      </w:r>
      <w:r>
        <w:rPr>
          <w:spacing w:val="-5"/>
          <w:w w:val="105"/>
        </w:rPr>
        <w:t xml:space="preserve"> </w:t>
      </w:r>
      <w:r>
        <w:rPr>
          <w:w w:val="105"/>
        </w:rPr>
        <w:t>the</w:t>
      </w:r>
      <w:r>
        <w:rPr>
          <w:spacing w:val="-11"/>
          <w:w w:val="105"/>
        </w:rPr>
        <w:t xml:space="preserve"> </w:t>
      </w:r>
      <w:r>
        <w:rPr>
          <w:w w:val="105"/>
        </w:rPr>
        <w:t>text</w:t>
      </w:r>
      <w:r>
        <w:rPr>
          <w:spacing w:val="-10"/>
          <w:w w:val="105"/>
        </w:rPr>
        <w:t xml:space="preserve"> </w:t>
      </w:r>
      <w:r>
        <w:rPr>
          <w:w w:val="105"/>
        </w:rPr>
        <w:t>and</w:t>
      </w:r>
      <w:r>
        <w:rPr>
          <w:spacing w:val="-8"/>
          <w:w w:val="105"/>
        </w:rPr>
        <w:t xml:space="preserve"> </w:t>
      </w:r>
      <w:r>
        <w:rPr>
          <w:w w:val="105"/>
        </w:rPr>
        <w:t>criteria</w:t>
      </w:r>
      <w:r>
        <w:rPr>
          <w:spacing w:val="-2"/>
          <w:w w:val="105"/>
        </w:rPr>
        <w:t xml:space="preserve"> </w:t>
      </w:r>
      <w:r>
        <w:rPr>
          <w:w w:val="105"/>
        </w:rPr>
        <w:t>for</w:t>
      </w:r>
      <w:r>
        <w:rPr>
          <w:spacing w:val="-18"/>
          <w:w w:val="105"/>
        </w:rPr>
        <w:t xml:space="preserve"> </w:t>
      </w:r>
      <w:r>
        <w:rPr>
          <w:w w:val="105"/>
        </w:rPr>
        <w:t>Substance</w:t>
      </w:r>
      <w:r>
        <w:rPr>
          <w:spacing w:val="2"/>
          <w:w w:val="105"/>
        </w:rPr>
        <w:t xml:space="preserve"> </w:t>
      </w:r>
      <w:r>
        <w:rPr>
          <w:w w:val="105"/>
        </w:rPr>
        <w:t>Dependence</w:t>
      </w:r>
      <w:r>
        <w:rPr>
          <w:spacing w:val="-3"/>
          <w:w w:val="105"/>
        </w:rPr>
        <w:t xml:space="preserve"> </w:t>
      </w:r>
      <w:r>
        <w:rPr>
          <w:w w:val="105"/>
        </w:rPr>
        <w:t>(seep.</w:t>
      </w:r>
      <w:r>
        <w:rPr>
          <w:spacing w:val="-20"/>
          <w:w w:val="105"/>
        </w:rPr>
        <w:t xml:space="preserve"> </w:t>
      </w:r>
      <w:r>
        <w:rPr>
          <w:w w:val="105"/>
        </w:rPr>
        <w:t>176).</w:t>
      </w:r>
      <w:r>
        <w:rPr>
          <w:spacing w:val="-16"/>
          <w:w w:val="105"/>
        </w:rPr>
        <w:t xml:space="preserve"> </w:t>
      </w:r>
      <w:r>
        <w:rPr>
          <w:w w:val="105"/>
        </w:rPr>
        <w:t>Most</w:t>
      </w:r>
      <w:r>
        <w:rPr>
          <w:spacing w:val="-7"/>
          <w:w w:val="105"/>
        </w:rPr>
        <w:t xml:space="preserve"> </w:t>
      </w:r>
      <w:r>
        <w:rPr>
          <w:w w:val="105"/>
        </w:rPr>
        <w:t>individuals with Opioid Dependence have significant levels of tolerance and will experience withdrawal on abrupt discontinuation of opioid substances. Opioid  Dependence includes signs and symptoms that reflect compulsive, prolonged self-administration of opioid substances that are used for no legitimate medical purpose or, if a general medical condition is present that requires opioid treatment, that are used in doses that are greatly in excess of the amount needed for pain  relief. Persons with Opioid  Dependence  tend to develop such regular patterns of compulsive dmg use that daily activities are typically planned around obtaining and administering opioids. Opioids are usually purchased on the illegal market, but may also be obtained from physicians by faking or exaggerating general medical problems or by receiving simultaneous prescriptions from several physicians. Health care professionals with Opioid Dependence will often obtain opioids by writing prescriptions for themselves or by diverting opioids that have been prescribed for patients or from pharmacy</w:t>
      </w:r>
      <w:r>
        <w:rPr>
          <w:spacing w:val="16"/>
          <w:w w:val="105"/>
        </w:rPr>
        <w:t xml:space="preserve"> </w:t>
      </w:r>
      <w:r>
        <w:rPr>
          <w:w w:val="105"/>
        </w:rPr>
        <w:t>supplies.</w:t>
      </w:r>
    </w:p>
    <w:p w:rsidR="00E675F0" w:rsidRDefault="00E675F0" w:rsidP="00E675F0">
      <w:pPr>
        <w:spacing w:line="254" w:lineRule="auto"/>
        <w:jc w:val="both"/>
        <w:sectPr w:rsidR="00E675F0">
          <w:pgSz w:w="8960" w:h="14260"/>
          <w:pgMar w:top="1400" w:right="620" w:bottom="280" w:left="580" w:header="707" w:footer="0" w:gutter="0"/>
          <w:cols w:space="720"/>
        </w:sectPr>
      </w:pPr>
    </w:p>
    <w:p w:rsidR="00E675F0" w:rsidRDefault="00E675F0" w:rsidP="00E675F0">
      <w:pPr>
        <w:spacing w:before="147"/>
        <w:ind w:left="103"/>
        <w:rPr>
          <w:rFonts w:ascii="TimesNewRomanPS-BoldItalicMT"/>
          <w:b/>
          <w:i/>
          <w:sz w:val="24"/>
        </w:rPr>
      </w:pPr>
      <w:bookmarkStart w:id="163" w:name="_bookmark143"/>
      <w:bookmarkEnd w:id="163"/>
      <w:r>
        <w:rPr>
          <w:rFonts w:ascii="TimesNewRomanPS-BoldItalicMT"/>
          <w:b/>
          <w:i/>
          <w:w w:val="115"/>
          <w:sz w:val="24"/>
        </w:rPr>
        <w:lastRenderedPageBreak/>
        <w:t>Specifiers</w:t>
      </w:r>
    </w:p>
    <w:p w:rsidR="00E675F0" w:rsidRDefault="00E675F0" w:rsidP="00E675F0">
      <w:pPr>
        <w:pStyle w:val="BodyText"/>
        <w:spacing w:before="155"/>
        <w:ind w:left="106"/>
      </w:pPr>
      <w:r>
        <w:rPr>
          <w:w w:val="105"/>
        </w:rPr>
        <w:t>The following specifiers may be applied to a diagnosis of Opioid Dependence (see</w:t>
      </w:r>
    </w:p>
    <w:p w:rsidR="00E675F0" w:rsidRDefault="00E675F0" w:rsidP="00E675F0">
      <w:pPr>
        <w:pStyle w:val="BodyText"/>
        <w:spacing w:before="11"/>
        <w:ind w:left="123"/>
      </w:pPr>
      <w:r>
        <w:rPr>
          <w:w w:val="105"/>
        </w:rPr>
        <w:t>p. 179 for more details):</w:t>
      </w:r>
    </w:p>
    <w:p w:rsidR="00E675F0" w:rsidRDefault="00E675F0" w:rsidP="00E675F0">
      <w:pPr>
        <w:spacing w:before="77" w:line="252" w:lineRule="auto"/>
        <w:ind w:left="717" w:right="3267" w:hanging="5"/>
        <w:rPr>
          <w:b/>
          <w:sz w:val="20"/>
        </w:rPr>
      </w:pPr>
      <w:r>
        <w:rPr>
          <w:b/>
          <w:w w:val="110"/>
          <w:sz w:val="20"/>
        </w:rPr>
        <w:t>With Physiological Dependence Without Physiological Dependence</w:t>
      </w:r>
    </w:p>
    <w:p w:rsidR="00E675F0" w:rsidRDefault="00E675F0" w:rsidP="00E675F0">
      <w:pPr>
        <w:spacing w:before="51" w:line="254" w:lineRule="auto"/>
        <w:ind w:left="718" w:right="4590" w:firstLine="1"/>
        <w:rPr>
          <w:b/>
          <w:sz w:val="20"/>
        </w:rPr>
      </w:pPr>
      <w:r>
        <w:rPr>
          <w:b/>
          <w:w w:val="110"/>
          <w:sz w:val="20"/>
        </w:rPr>
        <w:t xml:space="preserve">Early </w:t>
      </w:r>
      <w:r>
        <w:rPr>
          <w:b/>
          <w:w w:val="110"/>
          <w:sz w:val="21"/>
        </w:rPr>
        <w:t xml:space="preserve">Full </w:t>
      </w:r>
      <w:r>
        <w:rPr>
          <w:b/>
          <w:w w:val="110"/>
          <w:sz w:val="20"/>
        </w:rPr>
        <w:t>Remission Early Partial Remission Sustained Full Remission</w:t>
      </w:r>
    </w:p>
    <w:p w:rsidR="00E675F0" w:rsidRDefault="00E675F0" w:rsidP="00E675F0">
      <w:pPr>
        <w:spacing w:line="256" w:lineRule="auto"/>
        <w:ind w:left="721" w:right="4234" w:hanging="8"/>
        <w:rPr>
          <w:b/>
          <w:sz w:val="20"/>
        </w:rPr>
      </w:pPr>
      <w:r>
        <w:rPr>
          <w:b/>
          <w:w w:val="110"/>
          <w:sz w:val="20"/>
        </w:rPr>
        <w:t>Sustained Partial Remission On Agonist Therapy</w:t>
      </w:r>
    </w:p>
    <w:p w:rsidR="00E675F0" w:rsidRDefault="00E675F0" w:rsidP="00E675F0">
      <w:pPr>
        <w:ind w:left="720"/>
        <w:rPr>
          <w:b/>
          <w:sz w:val="20"/>
        </w:rPr>
      </w:pPr>
      <w:r>
        <w:rPr>
          <w:b/>
          <w:w w:val="110"/>
          <w:sz w:val="20"/>
        </w:rPr>
        <w:t>In a Controlled Environment</w:t>
      </w:r>
    </w:p>
    <w:p w:rsidR="00E675F0" w:rsidRDefault="00E675F0" w:rsidP="00E675F0">
      <w:pPr>
        <w:pStyle w:val="BodyText"/>
        <w:rPr>
          <w:b/>
          <w:sz w:val="22"/>
        </w:rPr>
      </w:pPr>
    </w:p>
    <w:p w:rsidR="00E675F0" w:rsidRDefault="00E675F0" w:rsidP="00E675F0">
      <w:pPr>
        <w:pStyle w:val="BodyText"/>
        <w:spacing w:before="10"/>
        <w:rPr>
          <w:b/>
          <w:sz w:val="27"/>
        </w:rPr>
      </w:pPr>
    </w:p>
    <w:p w:rsidR="00E675F0" w:rsidRDefault="00E675F0" w:rsidP="00E675F0">
      <w:pPr>
        <w:tabs>
          <w:tab w:val="left" w:pos="3538"/>
        </w:tabs>
        <w:spacing w:before="1"/>
        <w:ind w:left="2471"/>
        <w:rPr>
          <w:b/>
          <w:sz w:val="27"/>
        </w:rPr>
      </w:pPr>
      <w:r>
        <w:rPr>
          <w:b/>
          <w:w w:val="110"/>
          <w:sz w:val="27"/>
        </w:rPr>
        <w:t>305.50</w:t>
      </w:r>
      <w:r>
        <w:rPr>
          <w:b/>
          <w:w w:val="110"/>
          <w:sz w:val="27"/>
        </w:rPr>
        <w:tab/>
        <w:t>Opioid</w:t>
      </w:r>
      <w:r>
        <w:rPr>
          <w:b/>
          <w:spacing w:val="9"/>
          <w:w w:val="110"/>
          <w:sz w:val="27"/>
        </w:rPr>
        <w:t xml:space="preserve"> </w:t>
      </w:r>
      <w:r>
        <w:rPr>
          <w:b/>
          <w:w w:val="110"/>
          <w:sz w:val="27"/>
        </w:rPr>
        <w:t>Abuse</w:t>
      </w:r>
    </w:p>
    <w:p w:rsidR="00E675F0" w:rsidRDefault="00E675F0" w:rsidP="00E675F0">
      <w:pPr>
        <w:pStyle w:val="BodyText"/>
        <w:spacing w:before="3"/>
        <w:rPr>
          <w:b/>
          <w:sz w:val="26"/>
        </w:rPr>
      </w:pPr>
    </w:p>
    <w:p w:rsidR="00E675F0" w:rsidRDefault="00E675F0" w:rsidP="00E675F0">
      <w:pPr>
        <w:pStyle w:val="BodyText"/>
        <w:spacing w:before="1" w:line="256" w:lineRule="auto"/>
        <w:ind w:left="112" w:right="112" w:firstLine="3"/>
        <w:jc w:val="both"/>
      </w:pPr>
      <w:r>
        <w:rPr>
          <w:w w:val="105"/>
        </w:rPr>
        <w:t>Also</w:t>
      </w:r>
      <w:r>
        <w:rPr>
          <w:spacing w:val="3"/>
          <w:w w:val="105"/>
        </w:rPr>
        <w:t xml:space="preserve"> </w:t>
      </w:r>
      <w:r>
        <w:rPr>
          <w:w w:val="105"/>
        </w:rPr>
        <w:t>refer</w:t>
      </w:r>
      <w:r>
        <w:rPr>
          <w:spacing w:val="-5"/>
          <w:w w:val="105"/>
        </w:rPr>
        <w:t xml:space="preserve"> </w:t>
      </w:r>
      <w:r>
        <w:rPr>
          <w:w w:val="105"/>
        </w:rPr>
        <w:t>to</w:t>
      </w:r>
      <w:r>
        <w:rPr>
          <w:spacing w:val="-10"/>
          <w:w w:val="105"/>
        </w:rPr>
        <w:t xml:space="preserve"> </w:t>
      </w:r>
      <w:r>
        <w:rPr>
          <w:w w:val="105"/>
        </w:rPr>
        <w:t>the</w:t>
      </w:r>
      <w:r>
        <w:rPr>
          <w:spacing w:val="-10"/>
          <w:w w:val="105"/>
        </w:rPr>
        <w:t xml:space="preserve"> </w:t>
      </w:r>
      <w:r>
        <w:rPr>
          <w:w w:val="105"/>
        </w:rPr>
        <w:t>text and</w:t>
      </w:r>
      <w:r>
        <w:rPr>
          <w:spacing w:val="-2"/>
          <w:w w:val="105"/>
        </w:rPr>
        <w:t xml:space="preserve"> </w:t>
      </w:r>
      <w:r>
        <w:rPr>
          <w:w w:val="105"/>
        </w:rPr>
        <w:t>criteria</w:t>
      </w:r>
      <w:r>
        <w:rPr>
          <w:spacing w:val="3"/>
          <w:w w:val="105"/>
        </w:rPr>
        <w:t xml:space="preserve"> </w:t>
      </w:r>
      <w:r>
        <w:rPr>
          <w:w w:val="105"/>
        </w:rPr>
        <w:t>for</w:t>
      </w:r>
      <w:r>
        <w:rPr>
          <w:spacing w:val="-12"/>
          <w:w w:val="105"/>
        </w:rPr>
        <w:t xml:space="preserve"> </w:t>
      </w:r>
      <w:r>
        <w:rPr>
          <w:w w:val="105"/>
        </w:rPr>
        <w:t>Substance</w:t>
      </w:r>
      <w:r>
        <w:rPr>
          <w:spacing w:val="-1"/>
          <w:w w:val="105"/>
        </w:rPr>
        <w:t xml:space="preserve"> </w:t>
      </w:r>
      <w:r>
        <w:rPr>
          <w:w w:val="105"/>
        </w:rPr>
        <w:t>Abuse</w:t>
      </w:r>
      <w:r>
        <w:rPr>
          <w:spacing w:val="-5"/>
          <w:w w:val="105"/>
        </w:rPr>
        <w:t xml:space="preserve"> </w:t>
      </w:r>
      <w:r>
        <w:rPr>
          <w:w w:val="105"/>
        </w:rPr>
        <w:t>(seep.</w:t>
      </w:r>
      <w:r>
        <w:rPr>
          <w:spacing w:val="-10"/>
          <w:w w:val="105"/>
        </w:rPr>
        <w:t xml:space="preserve"> </w:t>
      </w:r>
      <w:r>
        <w:rPr>
          <w:w w:val="105"/>
        </w:rPr>
        <w:t>182).</w:t>
      </w:r>
      <w:r>
        <w:rPr>
          <w:spacing w:val="2"/>
          <w:w w:val="105"/>
        </w:rPr>
        <w:t xml:space="preserve"> </w:t>
      </w:r>
      <w:r>
        <w:rPr>
          <w:w w:val="105"/>
        </w:rPr>
        <w:t>Legal</w:t>
      </w:r>
      <w:r>
        <w:rPr>
          <w:spacing w:val="-8"/>
          <w:w w:val="105"/>
        </w:rPr>
        <w:t xml:space="preserve"> </w:t>
      </w:r>
      <w:r>
        <w:rPr>
          <w:w w:val="105"/>
        </w:rPr>
        <w:t>difficulties</w:t>
      </w:r>
      <w:r>
        <w:rPr>
          <w:spacing w:val="6"/>
          <w:w w:val="105"/>
        </w:rPr>
        <w:t xml:space="preserve"> </w:t>
      </w:r>
      <w:r>
        <w:rPr>
          <w:w w:val="105"/>
        </w:rPr>
        <w:t>may arise as a result of behavior while intoxicated with opioids or because an individual has resorted to illegal sources of supply. Persons who abuse opioids typically use these substances much less often than do those with dependence and do not develop significant tolerance or withdrawal. When problems related to opioid use are accompa­ nied by evidence of tolerance, withdrawal,  or compulsive  behavior  related  to the use of opioids, a diagnosis of Opioid Dependence, rather than Opioid Abuse, should be considered.</w:t>
      </w:r>
    </w:p>
    <w:p w:rsidR="00E675F0" w:rsidRDefault="00E675F0" w:rsidP="00E675F0">
      <w:pPr>
        <w:pStyle w:val="BodyText"/>
        <w:spacing w:before="3"/>
        <w:rPr>
          <w:sz w:val="26"/>
        </w:rPr>
      </w:pPr>
    </w:p>
    <w:p w:rsidR="00E675F0" w:rsidRDefault="00E675F0" w:rsidP="00E675F0">
      <w:pPr>
        <w:ind w:left="882" w:right="927"/>
        <w:jc w:val="center"/>
        <w:rPr>
          <w:rFonts w:ascii="TimesNewRomanPS-BoldItalicMT"/>
          <w:b/>
          <w:i/>
          <w:sz w:val="28"/>
        </w:rPr>
      </w:pPr>
      <w:r>
        <w:rPr>
          <w:rFonts w:ascii="TimesNewRomanPS-BoldItalicMT"/>
          <w:b/>
          <w:i/>
          <w:w w:val="115"/>
          <w:sz w:val="28"/>
        </w:rPr>
        <w:t>Opioid-Induced</w:t>
      </w:r>
      <w:r>
        <w:rPr>
          <w:rFonts w:ascii="TimesNewRomanPS-BoldItalicMT"/>
          <w:b/>
          <w:i/>
          <w:spacing w:val="34"/>
          <w:w w:val="115"/>
          <w:sz w:val="28"/>
        </w:rPr>
        <w:t xml:space="preserve"> </w:t>
      </w:r>
      <w:r>
        <w:rPr>
          <w:rFonts w:ascii="TimesNewRomanPS-BoldItalicMT"/>
          <w:b/>
          <w:i/>
          <w:w w:val="115"/>
          <w:sz w:val="28"/>
        </w:rPr>
        <w:t>Disorders</w:t>
      </w:r>
    </w:p>
    <w:p w:rsidR="00E675F0" w:rsidRDefault="00E675F0" w:rsidP="00E675F0">
      <w:pPr>
        <w:tabs>
          <w:tab w:val="left" w:pos="3182"/>
        </w:tabs>
        <w:spacing w:before="187"/>
        <w:ind w:left="2113"/>
        <w:rPr>
          <w:b/>
          <w:sz w:val="27"/>
        </w:rPr>
      </w:pPr>
      <w:r>
        <w:rPr>
          <w:b/>
          <w:w w:val="105"/>
          <w:sz w:val="27"/>
        </w:rPr>
        <w:t>292.89</w:t>
      </w:r>
      <w:r>
        <w:rPr>
          <w:b/>
          <w:w w:val="105"/>
          <w:sz w:val="27"/>
        </w:rPr>
        <w:tab/>
        <w:t>Opioid</w:t>
      </w:r>
      <w:r>
        <w:rPr>
          <w:b/>
          <w:spacing w:val="10"/>
          <w:w w:val="105"/>
          <w:sz w:val="27"/>
        </w:rPr>
        <w:t xml:space="preserve"> </w:t>
      </w:r>
      <w:r>
        <w:rPr>
          <w:b/>
          <w:w w:val="105"/>
          <w:sz w:val="27"/>
        </w:rPr>
        <w:t>Intoxication</w:t>
      </w:r>
    </w:p>
    <w:p w:rsidR="00E675F0" w:rsidRDefault="00E675F0" w:rsidP="00E675F0">
      <w:pPr>
        <w:pStyle w:val="BodyText"/>
        <w:spacing w:before="6"/>
        <w:rPr>
          <w:b/>
          <w:sz w:val="25"/>
        </w:rPr>
      </w:pPr>
    </w:p>
    <w:p w:rsidR="00E675F0" w:rsidRDefault="00E675F0" w:rsidP="00E675F0">
      <w:pPr>
        <w:pStyle w:val="BodyText"/>
        <w:spacing w:line="252" w:lineRule="auto"/>
        <w:ind w:left="110" w:right="109" w:firstLine="6"/>
        <w:jc w:val="both"/>
      </w:pPr>
      <w:r>
        <w:rPr>
          <w:w w:val="105"/>
        </w:rPr>
        <w:t>Also refer to the text and criteria for Substance Intoxication (see p. 183). The essential feature of Opioid Intoxication is the presence of clinically significant maladaptive behavioral or psychological changes (e.g., initial euphoria followed by apathy, dys­ phoria, psychomotor agitation or retardation, impaired judgment, or impaired social or occupational functioning) that develop during, or shortly after, opioid use (Criteria A and B). Intoxication is accompanied by pupillary constriction (unless there has been a severe overdose with consequent anoxia and pupillary dilation) and one or more of the following signs: drowsiness (described as being "on the nod") or even coma, slurred speech, and impairment in attention or memory (Criterion C). Individuals with Opioid Intoxication may demonstrate inattention to the environment, even to the point of ignoring potentially harmful events. The symptoms must not be due to a general medical condition and are not better accounted for by another mental disorder (Criterion</w:t>
      </w:r>
      <w:r>
        <w:rPr>
          <w:spacing w:val="13"/>
          <w:w w:val="105"/>
        </w:rPr>
        <w:t xml:space="preserve"> </w:t>
      </w:r>
      <w:r>
        <w:rPr>
          <w:w w:val="105"/>
        </w:rPr>
        <w:t>D).</w:t>
      </w:r>
    </w:p>
    <w:p w:rsidR="00E675F0" w:rsidRDefault="00E675F0" w:rsidP="00E675F0">
      <w:pPr>
        <w:pStyle w:val="BodyText"/>
        <w:spacing w:before="15" w:line="256" w:lineRule="auto"/>
        <w:ind w:left="114" w:right="113" w:firstLine="358"/>
        <w:jc w:val="both"/>
      </w:pPr>
      <w:r>
        <w:rPr>
          <w:w w:val="105"/>
        </w:rPr>
        <w:t xml:space="preserve">The magnitude of the behavioral and physiological changes that result from opioid use depends on the dose as well as characteristics of the individual using the substance (e.g., tolerance, rate of absorption, chronicity of use). Symptoms of Opioid Intoxication usually last for several hours, a time frame that is consistent with the half-life of most opioid drugs. Severe intoxication following an opioid overdose can lead </w:t>
      </w:r>
      <w:r>
        <w:rPr>
          <w:w w:val="105"/>
          <w:sz w:val="18"/>
        </w:rPr>
        <w:t xml:space="preserve">to </w:t>
      </w:r>
      <w:r>
        <w:rPr>
          <w:w w:val="105"/>
        </w:rPr>
        <w:t>coma, respiratory depression, pupillary dilation, unconsciousness, and even death.</w:t>
      </w:r>
    </w:p>
    <w:p w:rsidR="00E675F0" w:rsidRDefault="00E675F0" w:rsidP="00E675F0">
      <w:pPr>
        <w:spacing w:line="256" w:lineRule="auto"/>
        <w:jc w:val="both"/>
        <w:sectPr w:rsidR="00E675F0">
          <w:pgSz w:w="8960" w:h="14260"/>
          <w:pgMar w:top="1400" w:right="640" w:bottom="280" w:left="620" w:header="697" w:footer="0" w:gutter="0"/>
          <w:cols w:space="720"/>
        </w:sectPr>
      </w:pPr>
    </w:p>
    <w:p w:rsidR="00E675F0" w:rsidRDefault="00E675F0" w:rsidP="00E675F0">
      <w:pPr>
        <w:spacing w:before="136"/>
        <w:ind w:left="116"/>
        <w:rPr>
          <w:rFonts w:ascii="TimesNewRomanPS-BoldItalicMT"/>
          <w:b/>
          <w:i/>
          <w:sz w:val="24"/>
        </w:rPr>
      </w:pPr>
      <w:bookmarkStart w:id="164" w:name="_bookmark144"/>
      <w:bookmarkEnd w:id="164"/>
      <w:r>
        <w:rPr>
          <w:rFonts w:ascii="TimesNewRomanPS-BoldItalicMT"/>
          <w:b/>
          <w:i/>
          <w:w w:val="115"/>
          <w:sz w:val="24"/>
        </w:rPr>
        <w:lastRenderedPageBreak/>
        <w:t>Specifier</w:t>
      </w:r>
    </w:p>
    <w:p w:rsidR="00E675F0" w:rsidRDefault="00E675F0" w:rsidP="00E675F0">
      <w:pPr>
        <w:pStyle w:val="BodyText"/>
        <w:spacing w:before="117"/>
        <w:ind w:left="119"/>
        <w:jc w:val="both"/>
      </w:pPr>
      <w:r>
        <w:rPr>
          <w:w w:val="105"/>
        </w:rPr>
        <w:t>The following specifier may be applied to a diagnosis of Opioid Intoxication:</w:t>
      </w:r>
    </w:p>
    <w:p w:rsidR="00E675F0" w:rsidRDefault="00E675F0" w:rsidP="00E675F0">
      <w:pPr>
        <w:pStyle w:val="BodyText"/>
        <w:spacing w:before="77" w:line="256" w:lineRule="auto"/>
        <w:ind w:left="728" w:right="126"/>
        <w:jc w:val="both"/>
      </w:pPr>
      <w:r>
        <w:rPr>
          <w:b/>
          <w:w w:val="105"/>
        </w:rPr>
        <w:t xml:space="preserve">With Perceptual Disturbances. </w:t>
      </w:r>
      <w:r>
        <w:rPr>
          <w:w w:val="105"/>
        </w:rPr>
        <w:t xml:space="preserve">This specifier may be noted when hallucina­ tions with intact reality testing or auditory, visual, or tactile illusions occur in the absence of a delirium. </w:t>
      </w:r>
      <w:r>
        <w:rPr>
          <w:i/>
          <w:w w:val="105"/>
        </w:rPr>
        <w:t xml:space="preserve">Intact reality testing </w:t>
      </w:r>
      <w:r>
        <w:rPr>
          <w:w w:val="105"/>
        </w:rPr>
        <w:t>means that the person knows that the hallucinations are induced by the substance and do not represent external reality. When hallucinations occur in the absence of intact reality testing, a diagnosis of Substance-Induced</w:t>
      </w:r>
      <w:r>
        <w:rPr>
          <w:spacing w:val="-31"/>
          <w:w w:val="105"/>
        </w:rPr>
        <w:t xml:space="preserve"> </w:t>
      </w:r>
      <w:r>
        <w:rPr>
          <w:w w:val="105"/>
        </w:rPr>
        <w:t>Psychotic</w:t>
      </w:r>
      <w:r>
        <w:rPr>
          <w:spacing w:val="-22"/>
          <w:w w:val="105"/>
        </w:rPr>
        <w:t xml:space="preserve"> </w:t>
      </w:r>
      <w:r>
        <w:rPr>
          <w:w w:val="105"/>
        </w:rPr>
        <w:t>Disorder,</w:t>
      </w:r>
      <w:r>
        <w:rPr>
          <w:spacing w:val="-19"/>
          <w:w w:val="105"/>
        </w:rPr>
        <w:t xml:space="preserve"> </w:t>
      </w:r>
      <w:r>
        <w:rPr>
          <w:w w:val="105"/>
        </w:rPr>
        <w:t>With</w:t>
      </w:r>
      <w:r>
        <w:rPr>
          <w:spacing w:val="-22"/>
          <w:w w:val="105"/>
        </w:rPr>
        <w:t xml:space="preserve"> </w:t>
      </w:r>
      <w:r>
        <w:rPr>
          <w:w w:val="105"/>
        </w:rPr>
        <w:t>Hallucinations,</w:t>
      </w:r>
      <w:r>
        <w:rPr>
          <w:spacing w:val="-25"/>
          <w:w w:val="105"/>
        </w:rPr>
        <w:t xml:space="preserve"> </w:t>
      </w:r>
      <w:r>
        <w:rPr>
          <w:w w:val="105"/>
        </w:rPr>
        <w:t>should</w:t>
      </w:r>
      <w:r>
        <w:rPr>
          <w:spacing w:val="-17"/>
          <w:w w:val="105"/>
        </w:rPr>
        <w:t xml:space="preserve"> </w:t>
      </w:r>
      <w:r>
        <w:rPr>
          <w:w w:val="105"/>
        </w:rPr>
        <w:t>be</w:t>
      </w:r>
      <w:r>
        <w:rPr>
          <w:spacing w:val="-24"/>
          <w:w w:val="105"/>
        </w:rPr>
        <w:t xml:space="preserve"> </w:t>
      </w:r>
      <w:r>
        <w:rPr>
          <w:w w:val="105"/>
        </w:rPr>
        <w:t>considered.</w:t>
      </w:r>
    </w:p>
    <w:p w:rsidR="00E675F0" w:rsidRDefault="00E675F0" w:rsidP="00E675F0">
      <w:pPr>
        <w:pStyle w:val="BodyText"/>
      </w:pPr>
    </w:p>
    <w:p w:rsidR="00E675F0" w:rsidRDefault="00E675F0" w:rsidP="00E675F0">
      <w:pPr>
        <w:pStyle w:val="BodyText"/>
      </w:pPr>
    </w:p>
    <w:p w:rsidR="00E675F0" w:rsidRDefault="00E675F0" w:rsidP="00E675F0">
      <w:pPr>
        <w:pStyle w:val="BodyText"/>
        <w:spacing w:before="9" w:after="1"/>
        <w:rPr>
          <w:sz w:val="23"/>
        </w:rPr>
      </w:pPr>
    </w:p>
    <w:tbl>
      <w:tblPr>
        <w:tblW w:w="0" w:type="auto"/>
        <w:tblInd w:w="236"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7341"/>
      </w:tblGrid>
      <w:tr w:rsidR="00E675F0" w:rsidTr="00A330E1">
        <w:trPr>
          <w:trHeight w:val="5501"/>
        </w:trPr>
        <w:tc>
          <w:tcPr>
            <w:tcW w:w="7341" w:type="dxa"/>
          </w:tcPr>
          <w:p w:rsidR="00E675F0" w:rsidRDefault="00E675F0" w:rsidP="003048D3">
            <w:pPr>
              <w:pStyle w:val="TableParagraph"/>
              <w:numPr>
                <w:ilvl w:val="0"/>
                <w:numId w:val="21"/>
              </w:numPr>
              <w:tabs>
                <w:tab w:val="left" w:pos="638"/>
              </w:tabs>
              <w:spacing w:line="537" w:lineRule="exact"/>
              <w:rPr>
                <w:b/>
                <w:sz w:val="26"/>
              </w:rPr>
            </w:pPr>
            <w:r>
              <w:rPr>
                <w:b/>
                <w:w w:val="105"/>
                <w:sz w:val="26"/>
              </w:rPr>
              <w:t>Diagnostic criteria for 292.89 Opioid</w:t>
            </w:r>
            <w:r>
              <w:rPr>
                <w:b/>
                <w:spacing w:val="22"/>
                <w:w w:val="105"/>
                <w:sz w:val="26"/>
              </w:rPr>
              <w:t xml:space="preserve"> </w:t>
            </w:r>
            <w:r>
              <w:rPr>
                <w:b/>
                <w:w w:val="105"/>
                <w:sz w:val="26"/>
              </w:rPr>
              <w:t>Intoxication</w:t>
            </w:r>
          </w:p>
          <w:p w:rsidR="00E675F0" w:rsidRDefault="00E675F0" w:rsidP="003048D3">
            <w:pPr>
              <w:pStyle w:val="TableParagraph"/>
              <w:numPr>
                <w:ilvl w:val="1"/>
                <w:numId w:val="21"/>
              </w:numPr>
              <w:tabs>
                <w:tab w:val="left" w:pos="960"/>
              </w:tabs>
              <w:spacing w:before="116"/>
              <w:rPr>
                <w:sz w:val="18"/>
              </w:rPr>
            </w:pPr>
            <w:r>
              <w:rPr>
                <w:w w:val="105"/>
                <w:sz w:val="20"/>
              </w:rPr>
              <w:t>Recent use of an</w:t>
            </w:r>
            <w:r>
              <w:rPr>
                <w:spacing w:val="7"/>
                <w:w w:val="105"/>
                <w:sz w:val="20"/>
              </w:rPr>
              <w:t xml:space="preserve"> </w:t>
            </w:r>
            <w:r>
              <w:rPr>
                <w:w w:val="105"/>
                <w:sz w:val="20"/>
              </w:rPr>
              <w:t>opioid.</w:t>
            </w:r>
          </w:p>
          <w:p w:rsidR="00E675F0" w:rsidRDefault="00E675F0" w:rsidP="003048D3">
            <w:pPr>
              <w:pStyle w:val="TableParagraph"/>
              <w:numPr>
                <w:ilvl w:val="1"/>
                <w:numId w:val="21"/>
              </w:numPr>
              <w:tabs>
                <w:tab w:val="left" w:pos="956"/>
              </w:tabs>
              <w:spacing w:before="193" w:line="256" w:lineRule="auto"/>
              <w:ind w:left="956" w:right="225" w:hanging="300"/>
              <w:jc w:val="both"/>
              <w:rPr>
                <w:sz w:val="20"/>
              </w:rPr>
            </w:pPr>
            <w:r>
              <w:rPr>
                <w:w w:val="105"/>
                <w:sz w:val="20"/>
              </w:rPr>
              <w:t>Clinically significant maladaptive behavioral or psychological changes (e.g., initial euphoria followed by apathy, dysphoria, psychomotor agitation or retardation, impaired judgment, or impaired social or occupational functioning) that developed during, or shortly after, opioid use.</w:t>
            </w:r>
          </w:p>
          <w:p w:rsidR="00E675F0" w:rsidRDefault="00E675F0" w:rsidP="003048D3">
            <w:pPr>
              <w:pStyle w:val="TableParagraph"/>
              <w:numPr>
                <w:ilvl w:val="1"/>
                <w:numId w:val="21"/>
              </w:numPr>
              <w:tabs>
                <w:tab w:val="left" w:pos="965"/>
              </w:tabs>
              <w:spacing w:before="182" w:line="254" w:lineRule="auto"/>
              <w:ind w:left="961" w:right="226" w:hanging="308"/>
              <w:jc w:val="both"/>
              <w:rPr>
                <w:sz w:val="18"/>
              </w:rPr>
            </w:pPr>
            <w:r>
              <w:rPr>
                <w:w w:val="105"/>
                <w:sz w:val="20"/>
              </w:rPr>
              <w:t>Pupillary constriction (or pupillary dilation due to anoxia from severe overdose) and one (or more) of the following signs, developing during, or shortly after, opioid</w:t>
            </w:r>
            <w:r>
              <w:rPr>
                <w:spacing w:val="2"/>
                <w:w w:val="105"/>
                <w:sz w:val="20"/>
              </w:rPr>
              <w:t xml:space="preserve"> </w:t>
            </w:r>
            <w:r>
              <w:rPr>
                <w:w w:val="105"/>
                <w:sz w:val="20"/>
              </w:rPr>
              <w:t>use:</w:t>
            </w:r>
          </w:p>
          <w:p w:rsidR="00E675F0" w:rsidRDefault="00E675F0" w:rsidP="003048D3">
            <w:pPr>
              <w:pStyle w:val="TableParagraph"/>
              <w:numPr>
                <w:ilvl w:val="2"/>
                <w:numId w:val="21"/>
              </w:numPr>
              <w:tabs>
                <w:tab w:val="left" w:pos="1389"/>
                <w:tab w:val="left" w:pos="1390"/>
              </w:tabs>
              <w:spacing w:before="53"/>
              <w:rPr>
                <w:sz w:val="17"/>
              </w:rPr>
            </w:pPr>
            <w:r>
              <w:rPr>
                <w:w w:val="105"/>
                <w:sz w:val="20"/>
              </w:rPr>
              <w:t>drowsiness or</w:t>
            </w:r>
            <w:r>
              <w:rPr>
                <w:spacing w:val="20"/>
                <w:w w:val="105"/>
                <w:sz w:val="20"/>
              </w:rPr>
              <w:t xml:space="preserve"> </w:t>
            </w:r>
            <w:r>
              <w:rPr>
                <w:w w:val="105"/>
                <w:sz w:val="20"/>
              </w:rPr>
              <w:t>coma</w:t>
            </w:r>
          </w:p>
          <w:p w:rsidR="00E675F0" w:rsidRDefault="00E675F0" w:rsidP="003048D3">
            <w:pPr>
              <w:pStyle w:val="TableParagraph"/>
              <w:numPr>
                <w:ilvl w:val="2"/>
                <w:numId w:val="21"/>
              </w:numPr>
              <w:tabs>
                <w:tab w:val="left" w:pos="1387"/>
              </w:tabs>
              <w:spacing w:before="10"/>
              <w:ind w:left="1386" w:hanging="428"/>
              <w:rPr>
                <w:sz w:val="20"/>
              </w:rPr>
            </w:pPr>
            <w:r>
              <w:rPr>
                <w:w w:val="110"/>
                <w:sz w:val="20"/>
              </w:rPr>
              <w:t>slurred</w:t>
            </w:r>
            <w:r>
              <w:rPr>
                <w:spacing w:val="3"/>
                <w:w w:val="110"/>
                <w:sz w:val="20"/>
              </w:rPr>
              <w:t xml:space="preserve"> </w:t>
            </w:r>
            <w:r>
              <w:rPr>
                <w:w w:val="110"/>
                <w:sz w:val="20"/>
              </w:rPr>
              <w:t>speech</w:t>
            </w:r>
          </w:p>
          <w:p w:rsidR="00E675F0" w:rsidRDefault="00E675F0" w:rsidP="003048D3">
            <w:pPr>
              <w:pStyle w:val="TableParagraph"/>
              <w:numPr>
                <w:ilvl w:val="2"/>
                <w:numId w:val="21"/>
              </w:numPr>
              <w:tabs>
                <w:tab w:val="left" w:pos="1391"/>
              </w:tabs>
              <w:spacing w:before="10"/>
              <w:ind w:left="1390" w:hanging="432"/>
              <w:rPr>
                <w:sz w:val="20"/>
              </w:rPr>
            </w:pPr>
            <w:r>
              <w:rPr>
                <w:w w:val="105"/>
                <w:sz w:val="20"/>
              </w:rPr>
              <w:t>impairment in attention or</w:t>
            </w:r>
            <w:r>
              <w:rPr>
                <w:spacing w:val="11"/>
                <w:w w:val="105"/>
                <w:sz w:val="20"/>
              </w:rPr>
              <w:t xml:space="preserve"> </w:t>
            </w:r>
            <w:r>
              <w:rPr>
                <w:w w:val="105"/>
                <w:sz w:val="20"/>
              </w:rPr>
              <w:t>memory</w:t>
            </w:r>
          </w:p>
          <w:p w:rsidR="00E675F0" w:rsidRDefault="00E675F0" w:rsidP="003048D3">
            <w:pPr>
              <w:pStyle w:val="TableParagraph"/>
              <w:numPr>
                <w:ilvl w:val="1"/>
                <w:numId w:val="21"/>
              </w:numPr>
              <w:tabs>
                <w:tab w:val="left" w:pos="958"/>
              </w:tabs>
              <w:spacing w:before="193" w:line="252" w:lineRule="auto"/>
              <w:ind w:left="968" w:right="221" w:hanging="308"/>
              <w:jc w:val="both"/>
              <w:rPr>
                <w:sz w:val="20"/>
              </w:rPr>
            </w:pPr>
            <w:r>
              <w:rPr>
                <w:w w:val="105"/>
                <w:sz w:val="20"/>
              </w:rPr>
              <w:t>The symptoms are not due to a general medical condition and are not better accounted for by another mental</w:t>
            </w:r>
            <w:r>
              <w:rPr>
                <w:spacing w:val="-24"/>
                <w:w w:val="105"/>
                <w:sz w:val="20"/>
              </w:rPr>
              <w:t xml:space="preserve"> </w:t>
            </w:r>
            <w:r>
              <w:rPr>
                <w:w w:val="105"/>
                <w:sz w:val="20"/>
              </w:rPr>
              <w:t>disorder.</w:t>
            </w:r>
          </w:p>
          <w:p w:rsidR="00E675F0" w:rsidRDefault="00E675F0" w:rsidP="00A330E1">
            <w:pPr>
              <w:pStyle w:val="TableParagraph"/>
              <w:spacing w:before="152"/>
              <w:ind w:left="423"/>
              <w:rPr>
                <w:sz w:val="19"/>
              </w:rPr>
            </w:pPr>
            <w:r>
              <w:rPr>
                <w:i/>
                <w:sz w:val="20"/>
              </w:rPr>
              <w:t xml:space="preserve">Specify </w:t>
            </w:r>
            <w:r>
              <w:rPr>
                <w:sz w:val="19"/>
              </w:rPr>
              <w:t>if:</w:t>
            </w:r>
          </w:p>
          <w:p w:rsidR="00E675F0" w:rsidRDefault="00E675F0" w:rsidP="00A330E1">
            <w:pPr>
              <w:pStyle w:val="TableParagraph"/>
              <w:spacing w:before="15"/>
              <w:ind w:left="653"/>
              <w:rPr>
                <w:b/>
                <w:sz w:val="20"/>
              </w:rPr>
            </w:pPr>
            <w:r>
              <w:rPr>
                <w:b/>
                <w:w w:val="110"/>
                <w:sz w:val="20"/>
              </w:rPr>
              <w:t>With Perceptual Disturbances</w:t>
            </w:r>
          </w:p>
        </w:tc>
      </w:tr>
    </w:tbl>
    <w:p w:rsidR="00E675F0" w:rsidRDefault="00E675F0" w:rsidP="00E675F0">
      <w:pPr>
        <w:pStyle w:val="BodyText"/>
      </w:pPr>
    </w:p>
    <w:p w:rsidR="00E675F0" w:rsidRDefault="00E675F0" w:rsidP="00E675F0">
      <w:pPr>
        <w:pStyle w:val="BodyText"/>
        <w:spacing w:before="6"/>
        <w:rPr>
          <w:sz w:val="23"/>
        </w:rPr>
      </w:pPr>
    </w:p>
    <w:p w:rsidR="00E675F0" w:rsidRDefault="00E675F0" w:rsidP="00E675F0">
      <w:pPr>
        <w:pStyle w:val="Heading9"/>
        <w:tabs>
          <w:tab w:val="left" w:pos="3164"/>
        </w:tabs>
        <w:ind w:left="2249"/>
        <w:jc w:val="left"/>
      </w:pPr>
      <w:r>
        <w:rPr>
          <w:noProof/>
        </w:rPr>
        <mc:AlternateContent>
          <mc:Choice Requires="wps">
            <w:drawing>
              <wp:anchor distT="0" distB="0" distL="114300" distR="114300" simplePos="0" relativeHeight="251805696" behindDoc="1" locked="0" layoutInCell="1" allowOverlap="1" wp14:anchorId="1CBC5034" wp14:editId="7F5DA704">
                <wp:simplePos x="0" y="0"/>
                <wp:positionH relativeFrom="page">
                  <wp:posOffset>5170805</wp:posOffset>
                </wp:positionH>
                <wp:positionV relativeFrom="paragraph">
                  <wp:posOffset>-271780</wp:posOffset>
                </wp:positionV>
                <wp:extent cx="0" cy="0"/>
                <wp:effectExtent l="0" t="0" r="0" b="0"/>
                <wp:wrapNone/>
                <wp:docPr id="1308" name="Line 12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3360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4EAF31" id="Line 1264" o:spid="_x0000_s1026" style="position:absolute;z-index:-251510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7.15pt,-21.4pt" to="407.15pt,-21.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" strokeweight=".93339mm">
                <o:lock v:ext="edit" shapetype="f"/>
                <w10:wrap anchorx="page"/>
              </v:line>
            </w:pict>
          </mc:Fallback>
        </mc:AlternateContent>
      </w:r>
      <w:r>
        <w:rPr>
          <w:w w:val="105"/>
        </w:rPr>
        <w:t>292.0</w:t>
      </w:r>
      <w:r>
        <w:rPr>
          <w:w w:val="105"/>
        </w:rPr>
        <w:tab/>
        <w:t>Opioid</w:t>
      </w:r>
      <w:r>
        <w:rPr>
          <w:spacing w:val="2"/>
          <w:w w:val="105"/>
        </w:rPr>
        <w:t xml:space="preserve"> </w:t>
      </w:r>
      <w:r>
        <w:rPr>
          <w:w w:val="105"/>
        </w:rPr>
        <w:t>Withdrawal</w:t>
      </w:r>
    </w:p>
    <w:p w:rsidR="00E675F0" w:rsidRDefault="00E675F0" w:rsidP="00E675F0">
      <w:pPr>
        <w:pStyle w:val="BodyText"/>
        <w:spacing w:before="1"/>
        <w:rPr>
          <w:b/>
          <w:sz w:val="26"/>
        </w:rPr>
      </w:pPr>
    </w:p>
    <w:p w:rsidR="00E675F0" w:rsidRDefault="00E675F0" w:rsidP="00E675F0">
      <w:pPr>
        <w:pStyle w:val="BodyText"/>
        <w:spacing w:line="254" w:lineRule="auto"/>
        <w:ind w:left="139" w:right="107" w:firstLine="3"/>
        <w:jc w:val="both"/>
      </w:pPr>
      <w:r>
        <w:rPr>
          <w:w w:val="105"/>
        </w:rPr>
        <w:t xml:space="preserve">Also refer to the text and criteria for Substance Withdrawal (see p. 184). The essential feature of Opioid Withdrawal is the presence of a characteristic withdrawal syndrome that develops after the cessation of (or reduction in) opioid use that has been heavy and prolonged (Criterion Al). The withdrawal syndrome can be also precipitated by administration of an opioid antagonist (e.g., naloxone or naltrexone) after a period of opioid use (Criterion A2). Opioid Withdrawal is characterized by a pattern of signs and symptoms that are opposite </w:t>
      </w:r>
      <w:r>
        <w:rPr>
          <w:w w:val="105"/>
          <w:sz w:val="17"/>
        </w:rPr>
        <w:t xml:space="preserve">to </w:t>
      </w:r>
      <w:r>
        <w:rPr>
          <w:w w:val="105"/>
        </w:rPr>
        <w:t>the acute agonist effects. The first of these are subjective and consist of complaints of anxiety, restlessness, and an "achy feeling" that is often located in the back and legs, accompanied by a wish to obtain opioids ("craving") and</w:t>
      </w:r>
    </w:p>
    <w:p w:rsidR="00E675F0" w:rsidRDefault="00E675F0" w:rsidP="00E675F0">
      <w:pPr>
        <w:spacing w:line="254" w:lineRule="auto"/>
        <w:jc w:val="both"/>
        <w:sectPr w:rsidR="00E675F0">
          <w:pgSz w:w="8960" w:h="14260"/>
          <w:pgMar w:top="1400" w:right="620" w:bottom="280" w:left="600" w:header="707" w:footer="0" w:gutter="0"/>
          <w:cols w:space="720"/>
        </w:sectPr>
      </w:pPr>
    </w:p>
    <w:p w:rsidR="00E675F0" w:rsidRDefault="00E675F0" w:rsidP="00E675F0">
      <w:pPr>
        <w:pStyle w:val="BodyText"/>
        <w:spacing w:before="129" w:line="254" w:lineRule="auto"/>
        <w:ind w:left="117" w:right="116" w:firstLine="3"/>
        <w:jc w:val="both"/>
      </w:pPr>
      <w:bookmarkStart w:id="165" w:name="_bookmark145"/>
      <w:bookmarkEnd w:id="165"/>
      <w:r>
        <w:rPr>
          <w:w w:val="105"/>
        </w:rPr>
        <w:lastRenderedPageBreak/>
        <w:t>drug-seeking behavior, along with irritability and increased sensitivity to pain. Three or more of the following must be present to make a diagnosis of Opioid Withdrawal: dysphoric mood; nausea or vomiting; muscle aches; lacrimation or rhinorrhea; pupillary dilation, piloerection, or increased sweating; diarrhea; yawning; fever; and insomnia (Criterion B). Piloerection and fever are associated with severe withdrawal and are not often seen in routine clinical practice because individuals with Opioid Dependence usually obtain substances before withdrawal becomes that far advanced. These symp­ toms of Opioid Withdrawal must cause clinically significant distress or impairment in social,</w:t>
      </w:r>
      <w:r>
        <w:rPr>
          <w:spacing w:val="-9"/>
          <w:w w:val="105"/>
        </w:rPr>
        <w:t xml:space="preserve"> </w:t>
      </w:r>
      <w:r>
        <w:rPr>
          <w:w w:val="105"/>
        </w:rPr>
        <w:t>occupational,</w:t>
      </w:r>
      <w:r>
        <w:rPr>
          <w:spacing w:val="4"/>
          <w:w w:val="105"/>
        </w:rPr>
        <w:t xml:space="preserve"> </w:t>
      </w:r>
      <w:r>
        <w:rPr>
          <w:w w:val="105"/>
        </w:rPr>
        <w:t>or</w:t>
      </w:r>
      <w:r>
        <w:rPr>
          <w:spacing w:val="-14"/>
          <w:w w:val="105"/>
        </w:rPr>
        <w:t xml:space="preserve"> </w:t>
      </w:r>
      <w:r>
        <w:rPr>
          <w:w w:val="105"/>
        </w:rPr>
        <w:t>other</w:t>
      </w:r>
      <w:r>
        <w:rPr>
          <w:spacing w:val="-3"/>
          <w:w w:val="105"/>
        </w:rPr>
        <w:t xml:space="preserve"> </w:t>
      </w:r>
      <w:r>
        <w:rPr>
          <w:w w:val="105"/>
        </w:rPr>
        <w:t>important</w:t>
      </w:r>
      <w:r>
        <w:rPr>
          <w:spacing w:val="-3"/>
          <w:w w:val="105"/>
        </w:rPr>
        <w:t xml:space="preserve"> </w:t>
      </w:r>
      <w:r>
        <w:rPr>
          <w:w w:val="105"/>
        </w:rPr>
        <w:t>areas</w:t>
      </w:r>
      <w:r>
        <w:rPr>
          <w:spacing w:val="-13"/>
          <w:w w:val="105"/>
        </w:rPr>
        <w:t xml:space="preserve"> </w:t>
      </w:r>
      <w:r>
        <w:rPr>
          <w:w w:val="105"/>
        </w:rPr>
        <w:t>of</w:t>
      </w:r>
      <w:r>
        <w:rPr>
          <w:spacing w:val="-14"/>
          <w:w w:val="105"/>
        </w:rPr>
        <w:t xml:space="preserve"> </w:t>
      </w:r>
      <w:r>
        <w:rPr>
          <w:w w:val="105"/>
        </w:rPr>
        <w:t>functioning</w:t>
      </w:r>
      <w:r>
        <w:rPr>
          <w:spacing w:val="-2"/>
          <w:w w:val="105"/>
        </w:rPr>
        <w:t xml:space="preserve"> </w:t>
      </w:r>
      <w:r>
        <w:rPr>
          <w:w w:val="105"/>
        </w:rPr>
        <w:t>(Criterion</w:t>
      </w:r>
      <w:r>
        <w:rPr>
          <w:spacing w:val="-5"/>
          <w:w w:val="105"/>
        </w:rPr>
        <w:t xml:space="preserve"> </w:t>
      </w:r>
      <w:r>
        <w:rPr>
          <w:w w:val="105"/>
        </w:rPr>
        <w:t>C).</w:t>
      </w:r>
      <w:r>
        <w:rPr>
          <w:spacing w:val="-22"/>
          <w:w w:val="105"/>
        </w:rPr>
        <w:t xml:space="preserve"> </w:t>
      </w:r>
      <w:r>
        <w:rPr>
          <w:w w:val="105"/>
        </w:rPr>
        <w:t>The</w:t>
      </w:r>
      <w:r>
        <w:rPr>
          <w:spacing w:val="-16"/>
          <w:w w:val="105"/>
        </w:rPr>
        <w:t xml:space="preserve"> </w:t>
      </w:r>
      <w:r>
        <w:rPr>
          <w:w w:val="105"/>
        </w:rPr>
        <w:t>symptoms must not be due to a general medical condition and are not better accounted for by another mental disorder (Criterion</w:t>
      </w:r>
      <w:r>
        <w:rPr>
          <w:spacing w:val="11"/>
          <w:w w:val="105"/>
        </w:rPr>
        <w:t xml:space="preserve"> </w:t>
      </w:r>
      <w:r>
        <w:rPr>
          <w:w w:val="105"/>
        </w:rPr>
        <w:t>D).</w:t>
      </w:r>
    </w:p>
    <w:p w:rsidR="00E675F0" w:rsidRDefault="00E675F0" w:rsidP="00E675F0">
      <w:pPr>
        <w:pStyle w:val="BodyText"/>
        <w:spacing w:line="252" w:lineRule="auto"/>
        <w:ind w:left="122" w:right="118" w:firstLine="365"/>
        <w:jc w:val="both"/>
      </w:pPr>
      <w:r>
        <w:rPr>
          <w:noProof/>
        </w:rPr>
        <mc:AlternateContent>
          <mc:Choice Requires="wps">
            <w:drawing>
              <wp:anchor distT="0" distB="0" distL="114300" distR="114300" simplePos="0" relativeHeight="251806720" behindDoc="1" locked="0" layoutInCell="1" allowOverlap="1" wp14:anchorId="46DD3346" wp14:editId="2F04D0C8">
                <wp:simplePos x="0" y="0"/>
                <wp:positionH relativeFrom="page">
                  <wp:posOffset>459105</wp:posOffset>
                </wp:positionH>
                <wp:positionV relativeFrom="paragraph">
                  <wp:posOffset>1504315</wp:posOffset>
                </wp:positionV>
                <wp:extent cx="4754880" cy="4029075"/>
                <wp:effectExtent l="0" t="12700" r="0" b="0"/>
                <wp:wrapNone/>
                <wp:docPr id="1307" name="AutoShape 1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54880" cy="4029075"/>
                        </a:xfrm>
                        <a:custGeom>
                          <a:avLst/>
                          <a:gdLst>
                            <a:gd name="T0" fmla="+- 0 795 723"/>
                            <a:gd name="T1" fmla="*/ T0 w 7488"/>
                            <a:gd name="T2" fmla="+- 0 8714 2369"/>
                            <a:gd name="T3" fmla="*/ 8714 h 6345"/>
                            <a:gd name="T4" fmla="+- 0 795 723"/>
                            <a:gd name="T5" fmla="*/ T4 w 7488"/>
                            <a:gd name="T6" fmla="+- 0 2369 2369"/>
                            <a:gd name="T7" fmla="*/ 2369 h 6345"/>
                            <a:gd name="T8" fmla="+- 0 8115 723"/>
                            <a:gd name="T9" fmla="*/ T8 w 7488"/>
                            <a:gd name="T10" fmla="+- 0 8714 2369"/>
                            <a:gd name="T11" fmla="*/ 8714 h 6345"/>
                            <a:gd name="T12" fmla="+- 0 8115 723"/>
                            <a:gd name="T13" fmla="*/ T12 w 7488"/>
                            <a:gd name="T14" fmla="+- 0 2369 2369"/>
                            <a:gd name="T15" fmla="*/ 2369 h 6345"/>
                            <a:gd name="T16" fmla="+- 0 723 723"/>
                            <a:gd name="T17" fmla="*/ T16 w 7488"/>
                            <a:gd name="T18" fmla="+- 0 8623 2369"/>
                            <a:gd name="T19" fmla="*/ 8623 h 6345"/>
                            <a:gd name="T20" fmla="+- 0 8211 723"/>
                            <a:gd name="T21" fmla="*/ T20 w 7488"/>
                            <a:gd name="T22" fmla="+- 0 8623 2369"/>
                            <a:gd name="T23" fmla="*/ 8623 h 6345"/>
                          </a:gdLst>
                          <a:ahLst/>
                          <a:cxnLst>
                            <a:cxn ang="0">
                              <a:pos x="T1" y="T3"/>
                            </a:cxn>
                            <a:cxn ang="0">
                              <a:pos x="T5" y="T7"/>
                            </a:cxn>
                            <a:cxn ang="0">
                              <a:pos x="T9" y="T11"/>
                            </a:cxn>
                            <a:cxn ang="0">
                              <a:pos x="T13" y="T15"/>
                            </a:cxn>
                            <a:cxn ang="0">
                              <a:pos x="T17" y="T19"/>
                            </a:cxn>
                            <a:cxn ang="0">
                              <a:pos x="T21" y="T23"/>
                            </a:cxn>
                          </a:cxnLst>
                          <a:rect l="0" t="0" r="r" b="b"/>
                          <a:pathLst>
                            <a:path w="7488" h="6345">
                              <a:moveTo>
                                <a:pt x="72" y="6345"/>
                              </a:moveTo>
                              <a:lnTo>
                                <a:pt x="72" y="0"/>
                              </a:lnTo>
                              <a:moveTo>
                                <a:pt x="7392" y="6345"/>
                              </a:moveTo>
                              <a:lnTo>
                                <a:pt x="7392" y="0"/>
                              </a:lnTo>
                              <a:moveTo>
                                <a:pt x="0" y="6254"/>
                              </a:moveTo>
                              <a:lnTo>
                                <a:pt x="7488" y="6254"/>
                              </a:lnTo>
                            </a:path>
                          </a:pathLst>
                        </a:custGeom>
                        <a:noFill/>
                        <a:ln w="305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E1763" id="AutoShape 1263" o:spid="_x0000_s1026" style="position:absolute;margin-left:36.15pt;margin-top:118.45pt;width:374.4pt;height:317.25pt;z-index:-251509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488,63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" path="m72,6345l72,m7392,6345l7392,m,6254r7488,e" filled="f" strokeweight=".84833mm">
                <v:path arrowok="t" o:connecttype="custom" o:connectlocs="45720,5533390;45720,1504315;4693920,5533390;4693920,1504315;0,5475605;4754880,5475605" o:connectangles="0,0,0,0,0,0"/>
                <w10:wrap anchorx="page"/>
              </v:shape>
            </w:pict>
          </mc:Fallback>
        </mc:AlternateContent>
      </w:r>
      <w:r>
        <w:rPr>
          <w:w w:val="105"/>
        </w:rPr>
        <w:t xml:space="preserve">In most individuals who are dependent on short-acting drugs such as heroin, withdrawal symptoms occur within 6-24 hours after the last dose. Symptoms may take 2-4 days to emerge in the case of longer-acting drugs such as methadone or LAAM (L-alphacetylmethadol). Acute withdrawal symptoms for a short-acting opioid such as heroin usually peak within </w:t>
      </w:r>
      <w:r>
        <w:rPr>
          <w:w w:val="105"/>
          <w:sz w:val="21"/>
        </w:rPr>
        <w:t xml:space="preserve">1-3 </w:t>
      </w:r>
      <w:r>
        <w:rPr>
          <w:w w:val="105"/>
        </w:rPr>
        <w:t xml:space="preserve">days and gradually subside over a period of </w:t>
      </w:r>
      <w:r>
        <w:rPr>
          <w:w w:val="105"/>
          <w:sz w:val="21"/>
        </w:rPr>
        <w:t xml:space="preserve">5-7 </w:t>
      </w:r>
      <w:r>
        <w:rPr>
          <w:w w:val="105"/>
        </w:rPr>
        <w:t>days. Less acute withdrawal symptoms can last for weeks to months. These more chronic symptoms include anxiety, dysphoria, anhedonia, insomnia, and drug craving.</w:t>
      </w:r>
    </w:p>
    <w:p w:rsidR="00E675F0" w:rsidRDefault="00E675F0" w:rsidP="00E675F0">
      <w:pPr>
        <w:pStyle w:val="BodyText"/>
      </w:pPr>
    </w:p>
    <w:p w:rsidR="00E675F0" w:rsidRDefault="00E675F0" w:rsidP="00E675F0">
      <w:pPr>
        <w:pStyle w:val="BodyText"/>
      </w:pPr>
    </w:p>
    <w:p w:rsidR="00E675F0" w:rsidRDefault="00E675F0" w:rsidP="00E675F0">
      <w:pPr>
        <w:pStyle w:val="BodyText"/>
        <w:spacing w:before="4"/>
        <w:rPr>
          <w:sz w:val="22"/>
        </w:rPr>
      </w:pPr>
    </w:p>
    <w:tbl>
      <w:tblPr>
        <w:tblW w:w="0" w:type="auto"/>
        <w:tblInd w:w="231"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7319"/>
      </w:tblGrid>
      <w:tr w:rsidR="00E675F0" w:rsidTr="00A330E1">
        <w:trPr>
          <w:trHeight w:val="6111"/>
        </w:trPr>
        <w:tc>
          <w:tcPr>
            <w:tcW w:w="7319" w:type="dxa"/>
          </w:tcPr>
          <w:p w:rsidR="00E675F0" w:rsidRDefault="00E675F0" w:rsidP="003048D3">
            <w:pPr>
              <w:pStyle w:val="TableParagraph"/>
              <w:numPr>
                <w:ilvl w:val="0"/>
                <w:numId w:val="20"/>
              </w:numPr>
              <w:tabs>
                <w:tab w:val="left" w:pos="641"/>
              </w:tabs>
              <w:spacing w:line="535" w:lineRule="exact"/>
              <w:ind w:hanging="389"/>
              <w:rPr>
                <w:b/>
                <w:sz w:val="26"/>
              </w:rPr>
            </w:pPr>
            <w:r>
              <w:rPr>
                <w:b/>
                <w:w w:val="105"/>
                <w:sz w:val="26"/>
              </w:rPr>
              <w:t>Diagnostic criteria for 292.0 Opioid</w:t>
            </w:r>
            <w:r>
              <w:rPr>
                <w:b/>
                <w:spacing w:val="7"/>
                <w:w w:val="105"/>
                <w:sz w:val="26"/>
              </w:rPr>
              <w:t xml:space="preserve"> </w:t>
            </w:r>
            <w:r>
              <w:rPr>
                <w:b/>
                <w:w w:val="105"/>
                <w:sz w:val="26"/>
              </w:rPr>
              <w:t>Withdrawal</w:t>
            </w:r>
          </w:p>
          <w:p w:rsidR="00E675F0" w:rsidRDefault="00E675F0" w:rsidP="003048D3">
            <w:pPr>
              <w:pStyle w:val="TableParagraph"/>
              <w:numPr>
                <w:ilvl w:val="1"/>
                <w:numId w:val="20"/>
              </w:numPr>
              <w:tabs>
                <w:tab w:val="left" w:pos="958"/>
              </w:tabs>
              <w:spacing w:before="94"/>
              <w:rPr>
                <w:sz w:val="18"/>
              </w:rPr>
            </w:pPr>
            <w:r>
              <w:rPr>
                <w:w w:val="105"/>
                <w:sz w:val="20"/>
              </w:rPr>
              <w:t>Either of the</w:t>
            </w:r>
            <w:r>
              <w:rPr>
                <w:spacing w:val="38"/>
                <w:w w:val="105"/>
                <w:sz w:val="20"/>
              </w:rPr>
              <w:t xml:space="preserve"> </w:t>
            </w:r>
            <w:r>
              <w:rPr>
                <w:w w:val="105"/>
                <w:sz w:val="20"/>
              </w:rPr>
              <w:t>following:</w:t>
            </w:r>
          </w:p>
          <w:p w:rsidR="00E675F0" w:rsidRDefault="00E675F0" w:rsidP="003048D3">
            <w:pPr>
              <w:pStyle w:val="TableParagraph"/>
              <w:numPr>
                <w:ilvl w:val="2"/>
                <w:numId w:val="20"/>
              </w:numPr>
              <w:tabs>
                <w:tab w:val="left" w:pos="1377"/>
                <w:tab w:val="left" w:pos="1378"/>
              </w:tabs>
              <w:spacing w:before="73" w:line="256" w:lineRule="auto"/>
              <w:ind w:left="1385" w:right="229" w:hanging="437"/>
              <w:rPr>
                <w:sz w:val="17"/>
              </w:rPr>
            </w:pPr>
            <w:r>
              <w:rPr>
                <w:w w:val="105"/>
                <w:sz w:val="20"/>
              </w:rPr>
              <w:t>cessation of (or reduction in) opioid use that has been heavy and prolonged (several weeks or</w:t>
            </w:r>
            <w:r>
              <w:rPr>
                <w:spacing w:val="7"/>
                <w:w w:val="105"/>
                <w:sz w:val="20"/>
              </w:rPr>
              <w:t xml:space="preserve"> </w:t>
            </w:r>
            <w:r>
              <w:rPr>
                <w:w w:val="105"/>
                <w:sz w:val="20"/>
              </w:rPr>
              <w:t>longer)</w:t>
            </w:r>
          </w:p>
          <w:p w:rsidR="00E675F0" w:rsidRDefault="00E675F0" w:rsidP="003048D3">
            <w:pPr>
              <w:pStyle w:val="TableParagraph"/>
              <w:numPr>
                <w:ilvl w:val="2"/>
                <w:numId w:val="20"/>
              </w:numPr>
              <w:tabs>
                <w:tab w:val="left" w:pos="1378"/>
              </w:tabs>
              <w:spacing w:line="223" w:lineRule="exact"/>
              <w:ind w:left="1377" w:hanging="430"/>
              <w:rPr>
                <w:sz w:val="20"/>
              </w:rPr>
            </w:pPr>
            <w:r>
              <w:rPr>
                <w:w w:val="105"/>
                <w:sz w:val="20"/>
              </w:rPr>
              <w:t>administration of an opioid antagonist after a period of opioid</w:t>
            </w:r>
            <w:r>
              <w:rPr>
                <w:spacing w:val="46"/>
                <w:w w:val="105"/>
                <w:sz w:val="20"/>
              </w:rPr>
              <w:t xml:space="preserve"> </w:t>
            </w:r>
            <w:r>
              <w:rPr>
                <w:w w:val="105"/>
                <w:sz w:val="20"/>
              </w:rPr>
              <w:t>use</w:t>
            </w:r>
          </w:p>
          <w:p w:rsidR="00E675F0" w:rsidRDefault="00E675F0" w:rsidP="003048D3">
            <w:pPr>
              <w:pStyle w:val="TableParagraph"/>
              <w:numPr>
                <w:ilvl w:val="1"/>
                <w:numId w:val="20"/>
              </w:numPr>
              <w:tabs>
                <w:tab w:val="left" w:pos="951"/>
              </w:tabs>
              <w:spacing w:before="197" w:line="256" w:lineRule="auto"/>
              <w:ind w:left="954" w:right="218" w:hanging="305"/>
              <w:rPr>
                <w:sz w:val="20"/>
              </w:rPr>
            </w:pPr>
            <w:r>
              <w:rPr>
                <w:w w:val="105"/>
                <w:sz w:val="20"/>
              </w:rPr>
              <w:t>Three (or more) of the following, developing within minutes to several days after Criterion</w:t>
            </w:r>
            <w:r>
              <w:rPr>
                <w:spacing w:val="36"/>
                <w:w w:val="105"/>
                <w:sz w:val="20"/>
              </w:rPr>
              <w:t xml:space="preserve"> </w:t>
            </w:r>
            <w:r>
              <w:rPr>
                <w:w w:val="105"/>
                <w:sz w:val="20"/>
              </w:rPr>
              <w:t>A:</w:t>
            </w:r>
          </w:p>
          <w:p w:rsidR="00E675F0" w:rsidRDefault="00E675F0" w:rsidP="003048D3">
            <w:pPr>
              <w:pStyle w:val="TableParagraph"/>
              <w:numPr>
                <w:ilvl w:val="2"/>
                <w:numId w:val="20"/>
              </w:numPr>
              <w:tabs>
                <w:tab w:val="left" w:pos="1378"/>
                <w:tab w:val="left" w:pos="1379"/>
              </w:tabs>
              <w:spacing w:before="42"/>
              <w:ind w:hanging="425"/>
              <w:rPr>
                <w:sz w:val="17"/>
              </w:rPr>
            </w:pPr>
            <w:r>
              <w:rPr>
                <w:w w:val="105"/>
                <w:sz w:val="20"/>
              </w:rPr>
              <w:t>dysphoric</w:t>
            </w:r>
            <w:r>
              <w:rPr>
                <w:spacing w:val="18"/>
                <w:w w:val="105"/>
                <w:sz w:val="20"/>
              </w:rPr>
              <w:t xml:space="preserve"> </w:t>
            </w:r>
            <w:r>
              <w:rPr>
                <w:w w:val="105"/>
                <w:sz w:val="20"/>
              </w:rPr>
              <w:t>mood</w:t>
            </w:r>
          </w:p>
          <w:p w:rsidR="00E675F0" w:rsidRDefault="00E675F0" w:rsidP="003048D3">
            <w:pPr>
              <w:pStyle w:val="TableParagraph"/>
              <w:numPr>
                <w:ilvl w:val="2"/>
                <w:numId w:val="20"/>
              </w:numPr>
              <w:tabs>
                <w:tab w:val="left" w:pos="1384"/>
              </w:tabs>
              <w:spacing w:before="10"/>
              <w:ind w:left="1383" w:hanging="436"/>
              <w:rPr>
                <w:sz w:val="20"/>
              </w:rPr>
            </w:pPr>
            <w:r>
              <w:rPr>
                <w:w w:val="105"/>
                <w:sz w:val="20"/>
              </w:rPr>
              <w:t>nausea or</w:t>
            </w:r>
            <w:r>
              <w:rPr>
                <w:spacing w:val="-28"/>
                <w:w w:val="105"/>
                <w:sz w:val="20"/>
              </w:rPr>
              <w:t xml:space="preserve"> </w:t>
            </w:r>
            <w:r>
              <w:rPr>
                <w:w w:val="105"/>
                <w:sz w:val="20"/>
              </w:rPr>
              <w:t>vomiting</w:t>
            </w:r>
          </w:p>
          <w:p w:rsidR="00E675F0" w:rsidRDefault="00E675F0" w:rsidP="003048D3">
            <w:pPr>
              <w:pStyle w:val="TableParagraph"/>
              <w:numPr>
                <w:ilvl w:val="2"/>
                <w:numId w:val="20"/>
              </w:numPr>
              <w:tabs>
                <w:tab w:val="left" w:pos="1379"/>
              </w:tabs>
              <w:spacing w:before="15"/>
              <w:ind w:hanging="426"/>
              <w:rPr>
                <w:sz w:val="20"/>
              </w:rPr>
            </w:pPr>
            <w:r>
              <w:rPr>
                <w:w w:val="105"/>
                <w:sz w:val="20"/>
              </w:rPr>
              <w:t>muscle</w:t>
            </w:r>
            <w:r>
              <w:rPr>
                <w:spacing w:val="10"/>
                <w:w w:val="105"/>
                <w:sz w:val="20"/>
              </w:rPr>
              <w:t xml:space="preserve"> </w:t>
            </w:r>
            <w:r>
              <w:rPr>
                <w:w w:val="105"/>
                <w:sz w:val="20"/>
              </w:rPr>
              <w:t>aches</w:t>
            </w:r>
          </w:p>
          <w:p w:rsidR="00E675F0" w:rsidRDefault="00E675F0" w:rsidP="003048D3">
            <w:pPr>
              <w:pStyle w:val="TableParagraph"/>
              <w:numPr>
                <w:ilvl w:val="2"/>
                <w:numId w:val="20"/>
              </w:numPr>
              <w:tabs>
                <w:tab w:val="left" w:pos="1379"/>
              </w:tabs>
              <w:spacing w:before="11"/>
              <w:ind w:hanging="431"/>
              <w:rPr>
                <w:sz w:val="20"/>
              </w:rPr>
            </w:pPr>
            <w:r>
              <w:rPr>
                <w:w w:val="105"/>
                <w:sz w:val="20"/>
              </w:rPr>
              <w:t>lacrimation or</w:t>
            </w:r>
            <w:r>
              <w:rPr>
                <w:spacing w:val="-19"/>
                <w:w w:val="105"/>
                <w:sz w:val="20"/>
              </w:rPr>
              <w:t xml:space="preserve"> </w:t>
            </w:r>
            <w:r>
              <w:rPr>
                <w:w w:val="105"/>
                <w:sz w:val="20"/>
              </w:rPr>
              <w:t>rhinorrhea</w:t>
            </w:r>
          </w:p>
          <w:p w:rsidR="00E675F0" w:rsidRDefault="00E675F0" w:rsidP="003048D3">
            <w:pPr>
              <w:pStyle w:val="TableParagraph"/>
              <w:numPr>
                <w:ilvl w:val="2"/>
                <w:numId w:val="20"/>
              </w:numPr>
              <w:tabs>
                <w:tab w:val="left" w:pos="1386"/>
              </w:tabs>
              <w:spacing w:before="10"/>
              <w:ind w:left="1385" w:hanging="433"/>
              <w:rPr>
                <w:sz w:val="20"/>
              </w:rPr>
            </w:pPr>
            <w:r>
              <w:rPr>
                <w:w w:val="105"/>
                <w:sz w:val="20"/>
              </w:rPr>
              <w:t>pupillary dilation, piloerection, or</w:t>
            </w:r>
            <w:r>
              <w:rPr>
                <w:spacing w:val="2"/>
                <w:w w:val="105"/>
                <w:sz w:val="20"/>
              </w:rPr>
              <w:t xml:space="preserve"> </w:t>
            </w:r>
            <w:r>
              <w:rPr>
                <w:w w:val="105"/>
                <w:sz w:val="20"/>
              </w:rPr>
              <w:t>sweating</w:t>
            </w:r>
          </w:p>
          <w:p w:rsidR="00E675F0" w:rsidRDefault="00E675F0" w:rsidP="003048D3">
            <w:pPr>
              <w:pStyle w:val="TableParagraph"/>
              <w:numPr>
                <w:ilvl w:val="2"/>
                <w:numId w:val="20"/>
              </w:numPr>
              <w:tabs>
                <w:tab w:val="left" w:pos="1379"/>
              </w:tabs>
              <w:spacing w:before="10"/>
              <w:ind w:hanging="426"/>
              <w:rPr>
                <w:sz w:val="20"/>
              </w:rPr>
            </w:pPr>
            <w:r>
              <w:rPr>
                <w:w w:val="105"/>
                <w:sz w:val="20"/>
              </w:rPr>
              <w:t>diarrhea</w:t>
            </w:r>
          </w:p>
          <w:p w:rsidR="00E675F0" w:rsidRDefault="00E675F0" w:rsidP="003048D3">
            <w:pPr>
              <w:pStyle w:val="TableParagraph"/>
              <w:numPr>
                <w:ilvl w:val="2"/>
                <w:numId w:val="20"/>
              </w:numPr>
              <w:tabs>
                <w:tab w:val="left" w:pos="1380"/>
              </w:tabs>
              <w:spacing w:before="11"/>
              <w:ind w:left="1379" w:hanging="427"/>
              <w:rPr>
                <w:sz w:val="20"/>
              </w:rPr>
            </w:pPr>
            <w:r>
              <w:rPr>
                <w:w w:val="105"/>
                <w:sz w:val="20"/>
              </w:rPr>
              <w:t>yawning</w:t>
            </w:r>
          </w:p>
          <w:p w:rsidR="00E675F0" w:rsidRDefault="00E675F0" w:rsidP="003048D3">
            <w:pPr>
              <w:pStyle w:val="TableParagraph"/>
              <w:numPr>
                <w:ilvl w:val="2"/>
                <w:numId w:val="20"/>
              </w:numPr>
              <w:tabs>
                <w:tab w:val="left" w:pos="1373"/>
              </w:tabs>
              <w:spacing w:before="10"/>
              <w:ind w:left="1372" w:hanging="420"/>
              <w:rPr>
                <w:sz w:val="20"/>
              </w:rPr>
            </w:pPr>
            <w:r>
              <w:rPr>
                <w:w w:val="105"/>
                <w:sz w:val="20"/>
              </w:rPr>
              <w:t>fever</w:t>
            </w:r>
          </w:p>
          <w:p w:rsidR="00E675F0" w:rsidRDefault="00E675F0" w:rsidP="003048D3">
            <w:pPr>
              <w:pStyle w:val="TableParagraph"/>
              <w:numPr>
                <w:ilvl w:val="2"/>
                <w:numId w:val="20"/>
              </w:numPr>
              <w:tabs>
                <w:tab w:val="left" w:pos="1384"/>
              </w:tabs>
              <w:spacing w:before="15"/>
              <w:ind w:left="1383" w:hanging="431"/>
              <w:rPr>
                <w:sz w:val="20"/>
              </w:rPr>
            </w:pPr>
            <w:r>
              <w:rPr>
                <w:w w:val="105"/>
                <w:sz w:val="20"/>
              </w:rPr>
              <w:t>insomnia</w:t>
            </w:r>
          </w:p>
          <w:p w:rsidR="00E675F0" w:rsidRDefault="00E675F0" w:rsidP="00A330E1">
            <w:pPr>
              <w:pStyle w:val="TableParagraph"/>
              <w:spacing w:before="7"/>
              <w:rPr>
                <w:sz w:val="17"/>
              </w:rPr>
            </w:pPr>
          </w:p>
          <w:p w:rsidR="00E675F0" w:rsidRDefault="00E675F0" w:rsidP="003048D3">
            <w:pPr>
              <w:pStyle w:val="TableParagraph"/>
              <w:numPr>
                <w:ilvl w:val="1"/>
                <w:numId w:val="20"/>
              </w:numPr>
              <w:tabs>
                <w:tab w:val="left" w:pos="946"/>
              </w:tabs>
              <w:spacing w:line="256" w:lineRule="auto"/>
              <w:ind w:left="955" w:right="209" w:hanging="304"/>
              <w:rPr>
                <w:sz w:val="18"/>
              </w:rPr>
            </w:pPr>
            <w:r>
              <w:rPr>
                <w:sz w:val="20"/>
              </w:rPr>
              <w:t>The symptoms in Criterion B cause clinically significant distress or impairment in social, occupational, or other important areas of</w:t>
            </w:r>
            <w:r>
              <w:rPr>
                <w:spacing w:val="-31"/>
                <w:sz w:val="20"/>
              </w:rPr>
              <w:t xml:space="preserve"> </w:t>
            </w:r>
            <w:r>
              <w:rPr>
                <w:sz w:val="20"/>
              </w:rPr>
              <w:t>functioning.</w:t>
            </w:r>
          </w:p>
          <w:p w:rsidR="00E675F0" w:rsidRDefault="00E675F0" w:rsidP="003048D3">
            <w:pPr>
              <w:pStyle w:val="TableParagraph"/>
              <w:numPr>
                <w:ilvl w:val="1"/>
                <w:numId w:val="20"/>
              </w:numPr>
              <w:tabs>
                <w:tab w:val="left" w:pos="951"/>
              </w:tabs>
              <w:spacing w:before="176" w:line="261" w:lineRule="auto"/>
              <w:ind w:right="214" w:hanging="308"/>
              <w:rPr>
                <w:sz w:val="20"/>
              </w:rPr>
            </w:pPr>
            <w:r>
              <w:rPr>
                <w:w w:val="105"/>
                <w:sz w:val="20"/>
              </w:rPr>
              <w:t>The symptoms are not due to a general medical condition and are not better accounted for by another mental</w:t>
            </w:r>
            <w:r>
              <w:rPr>
                <w:spacing w:val="30"/>
                <w:w w:val="105"/>
                <w:sz w:val="20"/>
              </w:rPr>
              <w:t xml:space="preserve"> </w:t>
            </w:r>
            <w:r>
              <w:rPr>
                <w:w w:val="105"/>
                <w:sz w:val="20"/>
              </w:rPr>
              <w:t>disorder.</w:t>
            </w:r>
          </w:p>
        </w:tc>
      </w:tr>
    </w:tbl>
    <w:p w:rsidR="00E675F0" w:rsidRDefault="00E675F0" w:rsidP="00E675F0">
      <w:pPr>
        <w:spacing w:line="261" w:lineRule="auto"/>
        <w:rPr>
          <w:sz w:val="20"/>
        </w:rPr>
        <w:sectPr w:rsidR="00E675F0">
          <w:pgSz w:w="8960" w:h="14260"/>
          <w:pgMar w:top="1400" w:right="640" w:bottom="280" w:left="600" w:header="697" w:footer="0" w:gutter="0"/>
          <w:cols w:space="720"/>
        </w:sectPr>
      </w:pPr>
    </w:p>
    <w:p w:rsidR="00E675F0" w:rsidRDefault="00E675F0" w:rsidP="00E675F0">
      <w:pPr>
        <w:spacing w:before="125"/>
        <w:ind w:left="33" w:right="39"/>
        <w:jc w:val="center"/>
        <w:rPr>
          <w:rFonts w:ascii="Arial"/>
          <w:b/>
          <w:sz w:val="25"/>
        </w:rPr>
      </w:pPr>
      <w:bookmarkStart w:id="166" w:name="_bookmark146"/>
      <w:bookmarkEnd w:id="166"/>
      <w:r>
        <w:rPr>
          <w:rFonts w:ascii="Arial"/>
          <w:b/>
          <w:w w:val="105"/>
          <w:sz w:val="25"/>
        </w:rPr>
        <w:lastRenderedPageBreak/>
        <w:t>Other Opioid--Induced Disorders</w:t>
      </w:r>
    </w:p>
    <w:p w:rsidR="00E675F0" w:rsidRDefault="00E675F0" w:rsidP="00E675F0">
      <w:pPr>
        <w:pStyle w:val="BodyText"/>
        <w:spacing w:before="3"/>
        <w:rPr>
          <w:rFonts w:ascii="Arial"/>
          <w:b/>
          <w:sz w:val="22"/>
        </w:rPr>
      </w:pPr>
    </w:p>
    <w:p w:rsidR="00E675F0" w:rsidRDefault="00E675F0" w:rsidP="00E675F0">
      <w:pPr>
        <w:spacing w:line="254" w:lineRule="auto"/>
        <w:ind w:left="124" w:right="130"/>
        <w:jc w:val="both"/>
        <w:rPr>
          <w:sz w:val="20"/>
        </w:rPr>
      </w:pPr>
      <w:r>
        <w:rPr>
          <w:w w:val="110"/>
          <w:sz w:val="20"/>
        </w:rPr>
        <w:t>The</w:t>
      </w:r>
      <w:r>
        <w:rPr>
          <w:spacing w:val="-18"/>
          <w:w w:val="110"/>
          <w:sz w:val="20"/>
        </w:rPr>
        <w:t xml:space="preserve"> </w:t>
      </w:r>
      <w:r>
        <w:rPr>
          <w:w w:val="110"/>
          <w:sz w:val="20"/>
        </w:rPr>
        <w:t>following</w:t>
      </w:r>
      <w:r>
        <w:rPr>
          <w:spacing w:val="-9"/>
          <w:w w:val="110"/>
          <w:sz w:val="20"/>
        </w:rPr>
        <w:t xml:space="preserve"> </w:t>
      </w:r>
      <w:r>
        <w:rPr>
          <w:w w:val="110"/>
          <w:sz w:val="20"/>
        </w:rPr>
        <w:t>Opioid-Induced</w:t>
      </w:r>
      <w:r>
        <w:rPr>
          <w:spacing w:val="-16"/>
          <w:w w:val="110"/>
          <w:sz w:val="20"/>
        </w:rPr>
        <w:t xml:space="preserve"> </w:t>
      </w:r>
      <w:r>
        <w:rPr>
          <w:w w:val="110"/>
          <w:sz w:val="20"/>
        </w:rPr>
        <w:t>Disorders</w:t>
      </w:r>
      <w:r>
        <w:rPr>
          <w:spacing w:val="-11"/>
          <w:w w:val="110"/>
          <w:sz w:val="20"/>
        </w:rPr>
        <w:t xml:space="preserve"> </w:t>
      </w:r>
      <w:r>
        <w:rPr>
          <w:w w:val="110"/>
          <w:sz w:val="20"/>
        </w:rPr>
        <w:t>are</w:t>
      </w:r>
      <w:r>
        <w:rPr>
          <w:spacing w:val="-17"/>
          <w:w w:val="110"/>
          <w:sz w:val="20"/>
        </w:rPr>
        <w:t xml:space="preserve"> </w:t>
      </w:r>
      <w:r>
        <w:rPr>
          <w:w w:val="110"/>
          <w:sz w:val="20"/>
        </w:rPr>
        <w:t>described</w:t>
      </w:r>
      <w:r>
        <w:rPr>
          <w:spacing w:val="-8"/>
          <w:w w:val="110"/>
          <w:sz w:val="20"/>
        </w:rPr>
        <w:t xml:space="preserve"> </w:t>
      </w:r>
      <w:r>
        <w:rPr>
          <w:w w:val="110"/>
          <w:sz w:val="20"/>
        </w:rPr>
        <w:t>in</w:t>
      </w:r>
      <w:r>
        <w:rPr>
          <w:spacing w:val="-19"/>
          <w:w w:val="110"/>
          <w:sz w:val="20"/>
        </w:rPr>
        <w:t xml:space="preserve"> </w:t>
      </w:r>
      <w:r>
        <w:rPr>
          <w:w w:val="110"/>
          <w:sz w:val="20"/>
        </w:rPr>
        <w:t>other</w:t>
      </w:r>
      <w:r>
        <w:rPr>
          <w:spacing w:val="-15"/>
          <w:w w:val="110"/>
          <w:sz w:val="20"/>
        </w:rPr>
        <w:t xml:space="preserve"> </w:t>
      </w:r>
      <w:r>
        <w:rPr>
          <w:w w:val="110"/>
          <w:sz w:val="20"/>
        </w:rPr>
        <w:t>sections</w:t>
      </w:r>
      <w:r>
        <w:rPr>
          <w:spacing w:val="-10"/>
          <w:w w:val="110"/>
          <w:sz w:val="20"/>
        </w:rPr>
        <w:t xml:space="preserve"> </w:t>
      </w:r>
      <w:r>
        <w:rPr>
          <w:w w:val="110"/>
          <w:sz w:val="20"/>
        </w:rPr>
        <w:t>of</w:t>
      </w:r>
      <w:r>
        <w:rPr>
          <w:spacing w:val="-10"/>
          <w:w w:val="110"/>
          <w:sz w:val="20"/>
        </w:rPr>
        <w:t xml:space="preserve"> </w:t>
      </w:r>
      <w:r>
        <w:rPr>
          <w:w w:val="110"/>
          <w:sz w:val="20"/>
        </w:rPr>
        <w:t>the</w:t>
      </w:r>
      <w:r>
        <w:rPr>
          <w:spacing w:val="-15"/>
          <w:w w:val="110"/>
          <w:sz w:val="20"/>
        </w:rPr>
        <w:t xml:space="preserve"> </w:t>
      </w:r>
      <w:r>
        <w:rPr>
          <w:w w:val="110"/>
          <w:sz w:val="20"/>
        </w:rPr>
        <w:t>manual with</w:t>
      </w:r>
      <w:r>
        <w:rPr>
          <w:spacing w:val="-10"/>
          <w:w w:val="110"/>
          <w:sz w:val="20"/>
        </w:rPr>
        <w:t xml:space="preserve"> </w:t>
      </w:r>
      <w:r>
        <w:rPr>
          <w:w w:val="110"/>
          <w:sz w:val="20"/>
        </w:rPr>
        <w:t>disorders</w:t>
      </w:r>
      <w:r>
        <w:rPr>
          <w:spacing w:val="-11"/>
          <w:w w:val="110"/>
          <w:sz w:val="20"/>
        </w:rPr>
        <w:t xml:space="preserve"> </w:t>
      </w:r>
      <w:r>
        <w:rPr>
          <w:w w:val="110"/>
          <w:sz w:val="20"/>
        </w:rPr>
        <w:t>with</w:t>
      </w:r>
      <w:r>
        <w:rPr>
          <w:spacing w:val="-10"/>
          <w:w w:val="110"/>
          <w:sz w:val="20"/>
        </w:rPr>
        <w:t xml:space="preserve"> </w:t>
      </w:r>
      <w:r>
        <w:rPr>
          <w:w w:val="110"/>
          <w:sz w:val="20"/>
        </w:rPr>
        <w:t>which</w:t>
      </w:r>
      <w:r>
        <w:rPr>
          <w:spacing w:val="-9"/>
          <w:w w:val="110"/>
          <w:sz w:val="20"/>
        </w:rPr>
        <w:t xml:space="preserve"> </w:t>
      </w:r>
      <w:r>
        <w:rPr>
          <w:w w:val="110"/>
          <w:sz w:val="20"/>
        </w:rPr>
        <w:t>they</w:t>
      </w:r>
      <w:r>
        <w:rPr>
          <w:spacing w:val="-16"/>
          <w:w w:val="110"/>
          <w:sz w:val="20"/>
        </w:rPr>
        <w:t xml:space="preserve"> </w:t>
      </w:r>
      <w:r>
        <w:rPr>
          <w:w w:val="110"/>
          <w:sz w:val="20"/>
        </w:rPr>
        <w:t>share</w:t>
      </w:r>
      <w:r>
        <w:rPr>
          <w:spacing w:val="-8"/>
          <w:w w:val="110"/>
          <w:sz w:val="20"/>
        </w:rPr>
        <w:t xml:space="preserve"> </w:t>
      </w:r>
      <w:r>
        <w:rPr>
          <w:w w:val="110"/>
          <w:sz w:val="20"/>
        </w:rPr>
        <w:t>phenomenology:</w:t>
      </w:r>
      <w:r>
        <w:rPr>
          <w:spacing w:val="-25"/>
          <w:w w:val="110"/>
          <w:sz w:val="20"/>
        </w:rPr>
        <w:t xml:space="preserve"> </w:t>
      </w:r>
      <w:r>
        <w:rPr>
          <w:b/>
          <w:w w:val="110"/>
          <w:sz w:val="20"/>
        </w:rPr>
        <w:t>Opioid</w:t>
      </w:r>
      <w:r>
        <w:rPr>
          <w:b/>
          <w:spacing w:val="-26"/>
          <w:w w:val="110"/>
          <w:sz w:val="20"/>
        </w:rPr>
        <w:t xml:space="preserve"> </w:t>
      </w:r>
      <w:r>
        <w:rPr>
          <w:b/>
          <w:w w:val="110"/>
          <w:sz w:val="20"/>
        </w:rPr>
        <w:t>Intoxication</w:t>
      </w:r>
      <w:r>
        <w:rPr>
          <w:b/>
          <w:spacing w:val="-12"/>
          <w:w w:val="110"/>
          <w:sz w:val="20"/>
        </w:rPr>
        <w:t xml:space="preserve"> </w:t>
      </w:r>
      <w:r>
        <w:rPr>
          <w:b/>
          <w:w w:val="110"/>
          <w:sz w:val="20"/>
        </w:rPr>
        <w:t xml:space="preserve">Delirium </w:t>
      </w:r>
      <w:r>
        <w:rPr>
          <w:rFonts w:ascii="Arial" w:hAnsi="Arial"/>
          <w:w w:val="110"/>
          <w:sz w:val="18"/>
        </w:rPr>
        <w:t xml:space="preserve">(p. </w:t>
      </w:r>
      <w:r>
        <w:rPr>
          <w:w w:val="110"/>
          <w:sz w:val="19"/>
        </w:rPr>
        <w:t xml:space="preserve">129), </w:t>
      </w:r>
      <w:r>
        <w:rPr>
          <w:b/>
          <w:w w:val="110"/>
          <w:sz w:val="20"/>
        </w:rPr>
        <w:t xml:space="preserve">Opioid-Induced Psychotic Disorder </w:t>
      </w:r>
      <w:r>
        <w:rPr>
          <w:rFonts w:ascii="Arial" w:hAnsi="Arial"/>
          <w:w w:val="110"/>
          <w:sz w:val="18"/>
        </w:rPr>
        <w:t xml:space="preserve">(p. </w:t>
      </w:r>
      <w:r>
        <w:rPr>
          <w:w w:val="110"/>
          <w:sz w:val="19"/>
        </w:rPr>
        <w:t xml:space="preserve">310), </w:t>
      </w:r>
      <w:r>
        <w:rPr>
          <w:b/>
          <w:w w:val="110"/>
          <w:sz w:val="20"/>
        </w:rPr>
        <w:t xml:space="preserve">Opioid-Induced Mood Disorder </w:t>
      </w:r>
      <w:r>
        <w:rPr>
          <w:w w:val="110"/>
          <w:sz w:val="20"/>
        </w:rPr>
        <w:t xml:space="preserve">(p. 370), </w:t>
      </w:r>
      <w:r>
        <w:rPr>
          <w:b/>
          <w:w w:val="110"/>
          <w:sz w:val="20"/>
        </w:rPr>
        <w:t xml:space="preserve">Opioid-Induced Sexual Dysfunction </w:t>
      </w:r>
      <w:r>
        <w:rPr>
          <w:w w:val="110"/>
          <w:sz w:val="20"/>
        </w:rPr>
        <w:t xml:space="preserve">(p. </w:t>
      </w:r>
      <w:r>
        <w:rPr>
          <w:w w:val="110"/>
          <w:sz w:val="19"/>
        </w:rPr>
        <w:t xml:space="preserve">519), </w:t>
      </w:r>
      <w:r>
        <w:rPr>
          <w:w w:val="110"/>
          <w:sz w:val="20"/>
        </w:rPr>
        <w:t xml:space="preserve">and </w:t>
      </w:r>
      <w:r>
        <w:rPr>
          <w:b/>
          <w:w w:val="110"/>
          <w:sz w:val="20"/>
        </w:rPr>
        <w:t xml:space="preserve">Opioid­ Induced Sleep Disorder </w:t>
      </w:r>
      <w:r>
        <w:rPr>
          <w:w w:val="110"/>
          <w:sz w:val="20"/>
        </w:rPr>
        <w:t>(p. 601). These disorders are diagnosed instead of Opioid Intoxication or Opioid Withdrawal only when the symptoms are in excess of those usually</w:t>
      </w:r>
      <w:r>
        <w:rPr>
          <w:spacing w:val="-16"/>
          <w:w w:val="110"/>
          <w:sz w:val="20"/>
        </w:rPr>
        <w:t xml:space="preserve"> </w:t>
      </w:r>
      <w:r>
        <w:rPr>
          <w:w w:val="110"/>
          <w:sz w:val="20"/>
        </w:rPr>
        <w:t>associated</w:t>
      </w:r>
      <w:r>
        <w:rPr>
          <w:spacing w:val="-12"/>
          <w:w w:val="110"/>
          <w:sz w:val="20"/>
        </w:rPr>
        <w:t xml:space="preserve"> </w:t>
      </w:r>
      <w:r>
        <w:rPr>
          <w:w w:val="110"/>
          <w:sz w:val="20"/>
        </w:rPr>
        <w:t>with</w:t>
      </w:r>
      <w:r>
        <w:rPr>
          <w:spacing w:val="-18"/>
          <w:w w:val="110"/>
          <w:sz w:val="20"/>
        </w:rPr>
        <w:t xml:space="preserve"> </w:t>
      </w:r>
      <w:r>
        <w:rPr>
          <w:w w:val="110"/>
          <w:sz w:val="20"/>
        </w:rPr>
        <w:t>the</w:t>
      </w:r>
      <w:r>
        <w:rPr>
          <w:spacing w:val="-23"/>
          <w:w w:val="110"/>
          <w:sz w:val="20"/>
        </w:rPr>
        <w:t xml:space="preserve"> </w:t>
      </w:r>
      <w:r>
        <w:rPr>
          <w:w w:val="110"/>
          <w:sz w:val="20"/>
        </w:rPr>
        <w:t>Opioid</w:t>
      </w:r>
      <w:r>
        <w:rPr>
          <w:spacing w:val="-15"/>
          <w:w w:val="110"/>
          <w:sz w:val="20"/>
        </w:rPr>
        <w:t xml:space="preserve"> </w:t>
      </w:r>
      <w:r>
        <w:rPr>
          <w:w w:val="110"/>
          <w:sz w:val="20"/>
        </w:rPr>
        <w:t>Intoxication</w:t>
      </w:r>
      <w:r>
        <w:rPr>
          <w:spacing w:val="-14"/>
          <w:w w:val="110"/>
          <w:sz w:val="20"/>
        </w:rPr>
        <w:t xml:space="preserve"> </w:t>
      </w:r>
      <w:r>
        <w:rPr>
          <w:w w:val="110"/>
          <w:sz w:val="20"/>
        </w:rPr>
        <w:t>or</w:t>
      </w:r>
      <w:r>
        <w:rPr>
          <w:spacing w:val="-21"/>
          <w:w w:val="110"/>
          <w:sz w:val="20"/>
        </w:rPr>
        <w:t xml:space="preserve"> </w:t>
      </w:r>
      <w:r>
        <w:rPr>
          <w:w w:val="110"/>
          <w:sz w:val="20"/>
        </w:rPr>
        <w:t>Withdrawal</w:t>
      </w:r>
      <w:r>
        <w:rPr>
          <w:spacing w:val="-11"/>
          <w:w w:val="110"/>
          <w:sz w:val="20"/>
        </w:rPr>
        <w:t xml:space="preserve"> </w:t>
      </w:r>
      <w:r>
        <w:rPr>
          <w:w w:val="110"/>
          <w:sz w:val="20"/>
        </w:rPr>
        <w:t>syndrome</w:t>
      </w:r>
      <w:r>
        <w:rPr>
          <w:spacing w:val="-18"/>
          <w:w w:val="110"/>
          <w:sz w:val="20"/>
        </w:rPr>
        <w:t xml:space="preserve"> </w:t>
      </w:r>
      <w:r>
        <w:rPr>
          <w:w w:val="110"/>
          <w:sz w:val="20"/>
        </w:rPr>
        <w:t>and</w:t>
      </w:r>
      <w:r>
        <w:rPr>
          <w:spacing w:val="-17"/>
          <w:w w:val="110"/>
          <w:sz w:val="20"/>
        </w:rPr>
        <w:t xml:space="preserve"> </w:t>
      </w:r>
      <w:r>
        <w:rPr>
          <w:w w:val="110"/>
          <w:sz w:val="20"/>
        </w:rPr>
        <w:t>when</w:t>
      </w:r>
      <w:r>
        <w:rPr>
          <w:spacing w:val="-18"/>
          <w:w w:val="110"/>
          <w:sz w:val="20"/>
        </w:rPr>
        <w:t xml:space="preserve"> </w:t>
      </w:r>
      <w:r>
        <w:rPr>
          <w:w w:val="110"/>
          <w:sz w:val="20"/>
        </w:rPr>
        <w:t>the symptoms are sufficiently severe to warrant independent clinical</w:t>
      </w:r>
      <w:r>
        <w:rPr>
          <w:spacing w:val="-4"/>
          <w:w w:val="110"/>
          <w:sz w:val="20"/>
        </w:rPr>
        <w:t xml:space="preserve"> </w:t>
      </w:r>
      <w:r>
        <w:rPr>
          <w:w w:val="110"/>
          <w:sz w:val="20"/>
        </w:rPr>
        <w:t>attention.</w:t>
      </w:r>
    </w:p>
    <w:p w:rsidR="00E675F0" w:rsidRDefault="00E675F0" w:rsidP="00E675F0">
      <w:pPr>
        <w:pStyle w:val="BodyText"/>
        <w:rPr>
          <w:sz w:val="22"/>
        </w:rPr>
      </w:pPr>
    </w:p>
    <w:p w:rsidR="00E675F0" w:rsidRDefault="00E675F0" w:rsidP="00E675F0">
      <w:pPr>
        <w:pStyle w:val="BodyText"/>
        <w:spacing w:before="1"/>
        <w:rPr>
          <w:sz w:val="29"/>
        </w:rPr>
      </w:pPr>
    </w:p>
    <w:p w:rsidR="00E675F0" w:rsidRDefault="00E675F0" w:rsidP="00E675F0">
      <w:pPr>
        <w:spacing w:line="237" w:lineRule="auto"/>
        <w:ind w:left="2090" w:right="2120"/>
        <w:jc w:val="center"/>
        <w:rPr>
          <w:rFonts w:ascii="TimesNewRomanPS-BoldItalicMT"/>
          <w:b/>
          <w:i/>
          <w:sz w:val="28"/>
        </w:rPr>
      </w:pPr>
      <w:r>
        <w:rPr>
          <w:rFonts w:ascii="TimesNewRomanPS-BoldItalicMT"/>
          <w:b/>
          <w:i/>
          <w:w w:val="115"/>
          <w:sz w:val="28"/>
        </w:rPr>
        <w:t>Additional Information on Opioid-Related Disorders</w:t>
      </w:r>
    </w:p>
    <w:p w:rsidR="00E675F0" w:rsidRDefault="00E675F0" w:rsidP="00E675F0">
      <w:pPr>
        <w:pStyle w:val="BodyText"/>
        <w:spacing w:before="5"/>
        <w:rPr>
          <w:rFonts w:ascii="TimesNewRomanPS-BoldItalicMT"/>
          <w:b/>
          <w:i/>
          <w:sz w:val="32"/>
        </w:rPr>
      </w:pPr>
    </w:p>
    <w:p w:rsidR="00E675F0" w:rsidRDefault="00E675F0" w:rsidP="00E675F0">
      <w:pPr>
        <w:ind w:left="105"/>
        <w:jc w:val="both"/>
        <w:rPr>
          <w:rFonts w:ascii="TimesNewRomanPS-BoldItalicMT"/>
          <w:b/>
          <w:i/>
          <w:sz w:val="24"/>
        </w:rPr>
      </w:pPr>
      <w:r>
        <w:rPr>
          <w:rFonts w:ascii="TimesNewRomanPS-BoldItalicMT"/>
          <w:b/>
          <w:i/>
          <w:w w:val="115"/>
          <w:sz w:val="24"/>
        </w:rPr>
        <w:t>Associated Features and</w:t>
      </w:r>
      <w:r>
        <w:rPr>
          <w:rFonts w:ascii="TimesNewRomanPS-BoldItalicMT"/>
          <w:b/>
          <w:i/>
          <w:spacing w:val="56"/>
          <w:w w:val="115"/>
          <w:sz w:val="24"/>
        </w:rPr>
        <w:t xml:space="preserve"> </w:t>
      </w:r>
      <w:r>
        <w:rPr>
          <w:rFonts w:ascii="TimesNewRomanPS-BoldItalicMT"/>
          <w:b/>
          <w:i/>
          <w:w w:val="115"/>
          <w:sz w:val="24"/>
        </w:rPr>
        <w:t>Disorders</w:t>
      </w:r>
    </w:p>
    <w:p w:rsidR="00E675F0" w:rsidRDefault="00E675F0" w:rsidP="00E675F0">
      <w:pPr>
        <w:pStyle w:val="BodyText"/>
        <w:spacing w:before="4"/>
        <w:rPr>
          <w:rFonts w:ascii="TimesNewRomanPS-BoldItalicMT"/>
          <w:b/>
          <w:i/>
          <w:sz w:val="22"/>
        </w:rPr>
      </w:pPr>
    </w:p>
    <w:p w:rsidR="00E675F0" w:rsidRDefault="00E675F0" w:rsidP="00E675F0">
      <w:pPr>
        <w:pStyle w:val="BodyText"/>
        <w:spacing w:line="254" w:lineRule="auto"/>
        <w:ind w:left="125" w:right="113" w:hanging="2"/>
        <w:jc w:val="both"/>
      </w:pPr>
      <w:r>
        <w:rPr>
          <w:b/>
          <w:w w:val="105"/>
        </w:rPr>
        <w:t xml:space="preserve">Associated descriptive features and mental disorders. </w:t>
      </w:r>
      <w:r>
        <w:rPr>
          <w:w w:val="105"/>
        </w:rPr>
        <w:t>Opioid Dependence is commonly associated with a history of drug-related crimes (e.g., possession or distribu­ tion of drugs, forgery, burglary, robbery, larceny, or receiving stolen goods). Among health care professionals and individuals who have ready access to controlled sub­ stances,</w:t>
      </w:r>
      <w:r>
        <w:rPr>
          <w:spacing w:val="-2"/>
          <w:w w:val="105"/>
        </w:rPr>
        <w:t xml:space="preserve"> </w:t>
      </w:r>
      <w:r>
        <w:rPr>
          <w:w w:val="105"/>
        </w:rPr>
        <w:t>there</w:t>
      </w:r>
      <w:r>
        <w:rPr>
          <w:spacing w:val="-9"/>
          <w:w w:val="105"/>
        </w:rPr>
        <w:t xml:space="preserve"> </w:t>
      </w:r>
      <w:r>
        <w:rPr>
          <w:w w:val="105"/>
        </w:rPr>
        <w:t>is</w:t>
      </w:r>
      <w:r>
        <w:rPr>
          <w:spacing w:val="-17"/>
          <w:w w:val="105"/>
        </w:rPr>
        <w:t xml:space="preserve"> </w:t>
      </w:r>
      <w:r>
        <w:rPr>
          <w:w w:val="105"/>
        </w:rPr>
        <w:t>often</w:t>
      </w:r>
      <w:r>
        <w:rPr>
          <w:spacing w:val="-9"/>
          <w:w w:val="105"/>
        </w:rPr>
        <w:t xml:space="preserve"> </w:t>
      </w:r>
      <w:r>
        <w:rPr>
          <w:w w:val="105"/>
        </w:rPr>
        <w:t>a</w:t>
      </w:r>
      <w:r>
        <w:rPr>
          <w:spacing w:val="-11"/>
          <w:w w:val="105"/>
        </w:rPr>
        <w:t xml:space="preserve"> </w:t>
      </w:r>
      <w:r>
        <w:rPr>
          <w:w w:val="105"/>
        </w:rPr>
        <w:t>different</w:t>
      </w:r>
      <w:r>
        <w:rPr>
          <w:spacing w:val="1"/>
          <w:w w:val="105"/>
        </w:rPr>
        <w:t xml:space="preserve"> </w:t>
      </w:r>
      <w:r>
        <w:rPr>
          <w:w w:val="105"/>
        </w:rPr>
        <w:t>pattern</w:t>
      </w:r>
      <w:r>
        <w:rPr>
          <w:spacing w:val="-8"/>
          <w:w w:val="105"/>
        </w:rPr>
        <w:t xml:space="preserve"> </w:t>
      </w:r>
      <w:r>
        <w:rPr>
          <w:w w:val="105"/>
        </w:rPr>
        <w:t>of</w:t>
      </w:r>
      <w:r>
        <w:rPr>
          <w:spacing w:val="-2"/>
          <w:w w:val="105"/>
        </w:rPr>
        <w:t xml:space="preserve"> </w:t>
      </w:r>
      <w:r>
        <w:rPr>
          <w:w w:val="105"/>
        </w:rPr>
        <w:t>illegal</w:t>
      </w:r>
      <w:r>
        <w:rPr>
          <w:spacing w:val="-11"/>
          <w:w w:val="105"/>
        </w:rPr>
        <w:t xml:space="preserve"> </w:t>
      </w:r>
      <w:r>
        <w:rPr>
          <w:w w:val="105"/>
        </w:rPr>
        <w:t>activities</w:t>
      </w:r>
      <w:r>
        <w:rPr>
          <w:spacing w:val="-4"/>
          <w:w w:val="105"/>
        </w:rPr>
        <w:t xml:space="preserve"> </w:t>
      </w:r>
      <w:r>
        <w:rPr>
          <w:w w:val="105"/>
        </w:rPr>
        <w:t>involving</w:t>
      </w:r>
      <w:r>
        <w:rPr>
          <w:spacing w:val="-1"/>
          <w:w w:val="105"/>
        </w:rPr>
        <w:t xml:space="preserve"> </w:t>
      </w:r>
      <w:r>
        <w:rPr>
          <w:w w:val="105"/>
        </w:rPr>
        <w:t>problems</w:t>
      </w:r>
      <w:r>
        <w:rPr>
          <w:spacing w:val="-5"/>
          <w:w w:val="105"/>
        </w:rPr>
        <w:t xml:space="preserve"> </w:t>
      </w:r>
      <w:r>
        <w:rPr>
          <w:w w:val="105"/>
        </w:rPr>
        <w:t>with</w:t>
      </w:r>
      <w:r>
        <w:rPr>
          <w:spacing w:val="-10"/>
          <w:w w:val="105"/>
        </w:rPr>
        <w:t xml:space="preserve"> </w:t>
      </w:r>
      <w:r>
        <w:rPr>
          <w:w w:val="105"/>
        </w:rPr>
        <w:t>state licensing boards, professional staffs of hospitals, or other administrative agencies. Divorce, unemployment, or irregular employment are often associated with Opioid Dependence at all socioeconomic</w:t>
      </w:r>
      <w:r>
        <w:rPr>
          <w:spacing w:val="9"/>
          <w:w w:val="105"/>
        </w:rPr>
        <w:t xml:space="preserve"> </w:t>
      </w:r>
      <w:r>
        <w:rPr>
          <w:w w:val="105"/>
        </w:rPr>
        <w:t>levels.</w:t>
      </w:r>
    </w:p>
    <w:p w:rsidR="00E675F0" w:rsidRDefault="00E675F0" w:rsidP="00E675F0">
      <w:pPr>
        <w:pStyle w:val="BodyText"/>
        <w:spacing w:line="252" w:lineRule="auto"/>
        <w:ind w:left="133" w:right="118" w:firstLine="364"/>
        <w:jc w:val="both"/>
      </w:pPr>
      <w:r>
        <w:rPr>
          <w:w w:val="105"/>
        </w:rPr>
        <w:t>For many individuals, the effect of taking an opioid for the first time is dysphoric rather than euphoric, and nausea and vomiting may result. Individuals with Opioid Dependence are especially at risk for the development of brief depressive  symptoms and for episodes of mild to moderate depression that meet symptomatic and duration criteria for Major Depressive Disorder. These symptoms may represent an Opioid­ Induced Mood Disorder (seep. 370) or exacerbations of a preexisting primary depressive disorder. Periods of depression are especially  common during chronic  intoxication  or in association with psychosocial stressors that are related to the Opioid Dependence. Insomnia is common, especially during withdrawal. Antisocial Personality Disorder is much more common in individuals with Opioid Dependence than in the general population.</w:t>
      </w:r>
      <w:r>
        <w:rPr>
          <w:spacing w:val="-3"/>
          <w:w w:val="105"/>
        </w:rPr>
        <w:t xml:space="preserve"> </w:t>
      </w:r>
      <w:r>
        <w:rPr>
          <w:w w:val="105"/>
        </w:rPr>
        <w:t>Posttraumatic</w:t>
      </w:r>
      <w:r>
        <w:rPr>
          <w:spacing w:val="-13"/>
          <w:w w:val="105"/>
        </w:rPr>
        <w:t xml:space="preserve"> </w:t>
      </w:r>
      <w:r>
        <w:rPr>
          <w:w w:val="105"/>
        </w:rPr>
        <w:t>Stress</w:t>
      </w:r>
      <w:r>
        <w:rPr>
          <w:spacing w:val="-11"/>
          <w:w w:val="105"/>
        </w:rPr>
        <w:t xml:space="preserve"> </w:t>
      </w:r>
      <w:r>
        <w:rPr>
          <w:w w:val="105"/>
        </w:rPr>
        <w:t>Disorder</w:t>
      </w:r>
      <w:r>
        <w:rPr>
          <w:spacing w:val="-4"/>
          <w:w w:val="105"/>
        </w:rPr>
        <w:t xml:space="preserve"> </w:t>
      </w:r>
      <w:r>
        <w:rPr>
          <w:w w:val="105"/>
        </w:rPr>
        <w:t>is</w:t>
      </w:r>
      <w:r>
        <w:rPr>
          <w:spacing w:val="-19"/>
          <w:w w:val="105"/>
        </w:rPr>
        <w:t xml:space="preserve"> </w:t>
      </w:r>
      <w:r>
        <w:rPr>
          <w:w w:val="105"/>
        </w:rPr>
        <w:t>also</w:t>
      </w:r>
      <w:r>
        <w:rPr>
          <w:spacing w:val="-23"/>
          <w:w w:val="105"/>
        </w:rPr>
        <w:t xml:space="preserve"> </w:t>
      </w:r>
      <w:r>
        <w:rPr>
          <w:w w:val="105"/>
        </w:rPr>
        <w:t>seen</w:t>
      </w:r>
      <w:r>
        <w:rPr>
          <w:spacing w:val="-19"/>
          <w:w w:val="105"/>
        </w:rPr>
        <w:t xml:space="preserve"> </w:t>
      </w:r>
      <w:r>
        <w:rPr>
          <w:w w:val="105"/>
        </w:rPr>
        <w:t>with</w:t>
      </w:r>
      <w:r>
        <w:rPr>
          <w:spacing w:val="-12"/>
          <w:w w:val="105"/>
        </w:rPr>
        <w:t xml:space="preserve"> </w:t>
      </w:r>
      <w:r>
        <w:rPr>
          <w:w w:val="105"/>
        </w:rPr>
        <w:t>increased</w:t>
      </w:r>
      <w:r>
        <w:rPr>
          <w:spacing w:val="-11"/>
          <w:w w:val="105"/>
        </w:rPr>
        <w:t xml:space="preserve"> </w:t>
      </w:r>
      <w:r>
        <w:rPr>
          <w:w w:val="105"/>
        </w:rPr>
        <w:t>frequency.</w:t>
      </w:r>
      <w:r>
        <w:rPr>
          <w:spacing w:val="-10"/>
          <w:w w:val="105"/>
        </w:rPr>
        <w:t xml:space="preserve"> </w:t>
      </w:r>
      <w:r>
        <w:rPr>
          <w:w w:val="105"/>
        </w:rPr>
        <w:t>A</w:t>
      </w:r>
      <w:r>
        <w:rPr>
          <w:spacing w:val="-23"/>
          <w:w w:val="105"/>
        </w:rPr>
        <w:t xml:space="preserve"> </w:t>
      </w:r>
      <w:r>
        <w:rPr>
          <w:w w:val="105"/>
        </w:rPr>
        <w:t>history of Conduct Disorder in childhood or adolescence has been identified  as  a significant risk factor for Substance-Related Disorders, especially Opioid</w:t>
      </w:r>
      <w:r>
        <w:rPr>
          <w:spacing w:val="24"/>
          <w:w w:val="105"/>
        </w:rPr>
        <w:t xml:space="preserve"> </w:t>
      </w:r>
      <w:r>
        <w:rPr>
          <w:w w:val="105"/>
        </w:rPr>
        <w:t>Dependence.</w:t>
      </w:r>
    </w:p>
    <w:p w:rsidR="00E675F0" w:rsidRDefault="00E675F0" w:rsidP="00E675F0">
      <w:pPr>
        <w:pStyle w:val="BodyText"/>
        <w:spacing w:before="2"/>
        <w:rPr>
          <w:sz w:val="22"/>
        </w:rPr>
      </w:pPr>
    </w:p>
    <w:p w:rsidR="00E675F0" w:rsidRDefault="00E675F0" w:rsidP="00E675F0">
      <w:pPr>
        <w:pStyle w:val="BodyText"/>
        <w:spacing w:line="254" w:lineRule="auto"/>
        <w:ind w:left="133" w:right="114" w:hanging="5"/>
        <w:jc w:val="both"/>
      </w:pPr>
      <w:r>
        <w:rPr>
          <w:b/>
          <w:w w:val="110"/>
        </w:rPr>
        <w:t>Associated</w:t>
      </w:r>
      <w:r>
        <w:rPr>
          <w:b/>
          <w:spacing w:val="-21"/>
          <w:w w:val="110"/>
        </w:rPr>
        <w:t xml:space="preserve"> </w:t>
      </w:r>
      <w:r>
        <w:rPr>
          <w:b/>
          <w:w w:val="110"/>
        </w:rPr>
        <w:t>laboratory</w:t>
      </w:r>
      <w:r>
        <w:rPr>
          <w:b/>
          <w:spacing w:val="-14"/>
          <w:w w:val="110"/>
        </w:rPr>
        <w:t xml:space="preserve"> </w:t>
      </w:r>
      <w:r>
        <w:rPr>
          <w:b/>
          <w:w w:val="110"/>
        </w:rPr>
        <w:t>findings.</w:t>
      </w:r>
      <w:r>
        <w:rPr>
          <w:b/>
          <w:spacing w:val="15"/>
          <w:w w:val="110"/>
        </w:rPr>
        <w:t xml:space="preserve"> </w:t>
      </w:r>
      <w:r>
        <w:rPr>
          <w:w w:val="110"/>
        </w:rPr>
        <w:t>Routine</w:t>
      </w:r>
      <w:r>
        <w:rPr>
          <w:spacing w:val="-18"/>
          <w:w w:val="110"/>
        </w:rPr>
        <w:t xml:space="preserve"> </w:t>
      </w:r>
      <w:r>
        <w:rPr>
          <w:w w:val="110"/>
        </w:rPr>
        <w:t>urine</w:t>
      </w:r>
      <w:r>
        <w:rPr>
          <w:spacing w:val="-24"/>
          <w:w w:val="110"/>
        </w:rPr>
        <w:t xml:space="preserve"> </w:t>
      </w:r>
      <w:r>
        <w:rPr>
          <w:w w:val="110"/>
        </w:rPr>
        <w:t>toxicology</w:t>
      </w:r>
      <w:r>
        <w:rPr>
          <w:spacing w:val="-14"/>
          <w:w w:val="110"/>
        </w:rPr>
        <w:t xml:space="preserve"> </w:t>
      </w:r>
      <w:r>
        <w:rPr>
          <w:w w:val="110"/>
        </w:rPr>
        <w:t>tests</w:t>
      </w:r>
      <w:r>
        <w:rPr>
          <w:spacing w:val="-23"/>
          <w:w w:val="110"/>
        </w:rPr>
        <w:t xml:space="preserve"> </w:t>
      </w:r>
      <w:r>
        <w:rPr>
          <w:w w:val="110"/>
        </w:rPr>
        <w:t>are</w:t>
      </w:r>
      <w:r>
        <w:rPr>
          <w:spacing w:val="-27"/>
          <w:w w:val="110"/>
        </w:rPr>
        <w:t xml:space="preserve"> </w:t>
      </w:r>
      <w:r>
        <w:rPr>
          <w:w w:val="110"/>
        </w:rPr>
        <w:t>often</w:t>
      </w:r>
      <w:r>
        <w:rPr>
          <w:spacing w:val="-17"/>
          <w:w w:val="110"/>
        </w:rPr>
        <w:t xml:space="preserve"> </w:t>
      </w:r>
      <w:r>
        <w:rPr>
          <w:w w:val="110"/>
        </w:rPr>
        <w:t>positive</w:t>
      </w:r>
      <w:r>
        <w:rPr>
          <w:spacing w:val="-24"/>
          <w:w w:val="110"/>
        </w:rPr>
        <w:t xml:space="preserve"> </w:t>
      </w:r>
      <w:r>
        <w:rPr>
          <w:w w:val="110"/>
        </w:rPr>
        <w:t xml:space="preserve">for opioid drugs in individuals with Opioid Dependence. Urine tests remain positive for most opioids for </w:t>
      </w:r>
      <w:r>
        <w:rPr>
          <w:w w:val="110"/>
          <w:sz w:val="19"/>
        </w:rPr>
        <w:t xml:space="preserve">12-36 </w:t>
      </w:r>
      <w:r>
        <w:rPr>
          <w:w w:val="110"/>
        </w:rPr>
        <w:t>hours after administration. Longer-acting opioids (e.g., methadone and LAAM) can be identified in urine for several days. Fentanyl is not detected</w:t>
      </w:r>
      <w:r>
        <w:rPr>
          <w:spacing w:val="-1"/>
          <w:w w:val="110"/>
        </w:rPr>
        <w:t xml:space="preserve"> </w:t>
      </w:r>
      <w:r>
        <w:rPr>
          <w:w w:val="110"/>
        </w:rPr>
        <w:t>by</w:t>
      </w:r>
      <w:r>
        <w:rPr>
          <w:spacing w:val="-17"/>
          <w:w w:val="110"/>
        </w:rPr>
        <w:t xml:space="preserve"> </w:t>
      </w:r>
      <w:r>
        <w:rPr>
          <w:w w:val="110"/>
        </w:rPr>
        <w:t>standard</w:t>
      </w:r>
      <w:r>
        <w:rPr>
          <w:spacing w:val="2"/>
          <w:w w:val="110"/>
        </w:rPr>
        <w:t xml:space="preserve"> </w:t>
      </w:r>
      <w:r>
        <w:rPr>
          <w:w w:val="110"/>
        </w:rPr>
        <w:t>urine</w:t>
      </w:r>
      <w:r>
        <w:rPr>
          <w:spacing w:val="-9"/>
          <w:w w:val="110"/>
        </w:rPr>
        <w:t xml:space="preserve"> </w:t>
      </w:r>
      <w:r>
        <w:rPr>
          <w:w w:val="110"/>
        </w:rPr>
        <w:t>tests</w:t>
      </w:r>
      <w:r>
        <w:rPr>
          <w:spacing w:val="-4"/>
          <w:w w:val="110"/>
        </w:rPr>
        <w:t xml:space="preserve"> </w:t>
      </w:r>
      <w:r>
        <w:rPr>
          <w:w w:val="110"/>
        </w:rPr>
        <w:t>but</w:t>
      </w:r>
      <w:r>
        <w:rPr>
          <w:spacing w:val="-8"/>
          <w:w w:val="110"/>
        </w:rPr>
        <w:t xml:space="preserve"> </w:t>
      </w:r>
      <w:r>
        <w:rPr>
          <w:w w:val="110"/>
        </w:rPr>
        <w:t>can</w:t>
      </w:r>
      <w:r>
        <w:rPr>
          <w:spacing w:val="-6"/>
          <w:w w:val="110"/>
        </w:rPr>
        <w:t xml:space="preserve"> </w:t>
      </w:r>
      <w:r>
        <w:rPr>
          <w:w w:val="110"/>
        </w:rPr>
        <w:t>be</w:t>
      </w:r>
      <w:r>
        <w:rPr>
          <w:spacing w:val="-11"/>
          <w:w w:val="110"/>
        </w:rPr>
        <w:t xml:space="preserve"> </w:t>
      </w:r>
      <w:r>
        <w:rPr>
          <w:w w:val="110"/>
        </w:rPr>
        <w:t>identified</w:t>
      </w:r>
      <w:r>
        <w:rPr>
          <w:spacing w:val="9"/>
          <w:w w:val="110"/>
        </w:rPr>
        <w:t xml:space="preserve"> </w:t>
      </w:r>
      <w:r>
        <w:rPr>
          <w:w w:val="110"/>
        </w:rPr>
        <w:t>by</w:t>
      </w:r>
      <w:r>
        <w:rPr>
          <w:spacing w:val="-8"/>
          <w:w w:val="110"/>
        </w:rPr>
        <w:t xml:space="preserve"> </w:t>
      </w:r>
      <w:r>
        <w:rPr>
          <w:w w:val="110"/>
        </w:rPr>
        <w:t>more</w:t>
      </w:r>
      <w:r>
        <w:rPr>
          <w:spacing w:val="-10"/>
          <w:w w:val="110"/>
        </w:rPr>
        <w:t xml:space="preserve"> </w:t>
      </w:r>
      <w:r>
        <w:rPr>
          <w:w w:val="110"/>
        </w:rPr>
        <w:t>specialized</w:t>
      </w:r>
      <w:r>
        <w:rPr>
          <w:spacing w:val="2"/>
          <w:w w:val="110"/>
        </w:rPr>
        <w:t xml:space="preserve"> </w:t>
      </w:r>
      <w:r>
        <w:rPr>
          <w:w w:val="110"/>
        </w:rPr>
        <w:t>procedures. Laboratory evidence of the presence of other substances (e.g., cocaine, marijuana, alcohol,</w:t>
      </w:r>
      <w:r>
        <w:rPr>
          <w:spacing w:val="-30"/>
          <w:w w:val="110"/>
        </w:rPr>
        <w:t xml:space="preserve"> </w:t>
      </w:r>
      <w:r>
        <w:rPr>
          <w:w w:val="110"/>
        </w:rPr>
        <w:t>amphetamines,</w:t>
      </w:r>
      <w:r>
        <w:rPr>
          <w:spacing w:val="-26"/>
          <w:w w:val="110"/>
        </w:rPr>
        <w:t xml:space="preserve"> </w:t>
      </w:r>
      <w:r>
        <w:rPr>
          <w:w w:val="110"/>
        </w:rPr>
        <w:t>benzodiazepines)</w:t>
      </w:r>
      <w:r>
        <w:rPr>
          <w:spacing w:val="-37"/>
          <w:w w:val="110"/>
        </w:rPr>
        <w:t xml:space="preserve"> </w:t>
      </w:r>
      <w:r>
        <w:rPr>
          <w:w w:val="110"/>
        </w:rPr>
        <w:t>is</w:t>
      </w:r>
      <w:r>
        <w:rPr>
          <w:spacing w:val="-41"/>
          <w:w w:val="110"/>
        </w:rPr>
        <w:t xml:space="preserve"> </w:t>
      </w:r>
      <w:r>
        <w:rPr>
          <w:w w:val="110"/>
        </w:rPr>
        <w:t>common.</w:t>
      </w:r>
      <w:r>
        <w:rPr>
          <w:spacing w:val="-31"/>
          <w:w w:val="110"/>
        </w:rPr>
        <w:t xml:space="preserve"> </w:t>
      </w:r>
      <w:r>
        <w:rPr>
          <w:w w:val="110"/>
        </w:rPr>
        <w:t>Hepatitis</w:t>
      </w:r>
      <w:r>
        <w:rPr>
          <w:spacing w:val="-35"/>
          <w:w w:val="110"/>
        </w:rPr>
        <w:t xml:space="preserve"> </w:t>
      </w:r>
      <w:r>
        <w:rPr>
          <w:w w:val="110"/>
        </w:rPr>
        <w:t>screening</w:t>
      </w:r>
      <w:r>
        <w:rPr>
          <w:spacing w:val="-32"/>
          <w:w w:val="110"/>
        </w:rPr>
        <w:t xml:space="preserve"> </w:t>
      </w:r>
      <w:r>
        <w:rPr>
          <w:w w:val="110"/>
        </w:rPr>
        <w:t>tests</w:t>
      </w:r>
      <w:r>
        <w:rPr>
          <w:spacing w:val="-36"/>
          <w:w w:val="110"/>
        </w:rPr>
        <w:t xml:space="preserve"> </w:t>
      </w:r>
      <w:r>
        <w:rPr>
          <w:w w:val="110"/>
        </w:rPr>
        <w:t>are</w:t>
      </w:r>
      <w:r>
        <w:rPr>
          <w:spacing w:val="-37"/>
          <w:w w:val="110"/>
        </w:rPr>
        <w:t xml:space="preserve"> </w:t>
      </w:r>
      <w:r>
        <w:rPr>
          <w:w w:val="110"/>
        </w:rPr>
        <w:t>often positive,</w:t>
      </w:r>
      <w:r>
        <w:rPr>
          <w:spacing w:val="-6"/>
          <w:w w:val="110"/>
        </w:rPr>
        <w:t xml:space="preserve"> </w:t>
      </w:r>
      <w:r>
        <w:rPr>
          <w:w w:val="110"/>
        </w:rPr>
        <w:t>either</w:t>
      </w:r>
      <w:r>
        <w:rPr>
          <w:spacing w:val="-5"/>
          <w:w w:val="110"/>
        </w:rPr>
        <w:t xml:space="preserve"> </w:t>
      </w:r>
      <w:r>
        <w:rPr>
          <w:w w:val="110"/>
        </w:rPr>
        <w:t>for</w:t>
      </w:r>
      <w:r>
        <w:rPr>
          <w:spacing w:val="-5"/>
          <w:w w:val="110"/>
        </w:rPr>
        <w:t xml:space="preserve"> </w:t>
      </w:r>
      <w:r>
        <w:rPr>
          <w:w w:val="110"/>
        </w:rPr>
        <w:t>hepatitis</w:t>
      </w:r>
      <w:r>
        <w:rPr>
          <w:spacing w:val="-4"/>
          <w:w w:val="110"/>
        </w:rPr>
        <w:t xml:space="preserve"> </w:t>
      </w:r>
      <w:r>
        <w:rPr>
          <w:w w:val="110"/>
        </w:rPr>
        <w:t>antigen (signifying</w:t>
      </w:r>
      <w:r>
        <w:rPr>
          <w:spacing w:val="-5"/>
          <w:w w:val="110"/>
        </w:rPr>
        <w:t xml:space="preserve"> </w:t>
      </w:r>
      <w:r>
        <w:rPr>
          <w:w w:val="110"/>
        </w:rPr>
        <w:t>active</w:t>
      </w:r>
      <w:r>
        <w:rPr>
          <w:spacing w:val="-7"/>
          <w:w w:val="110"/>
        </w:rPr>
        <w:t xml:space="preserve"> </w:t>
      </w:r>
      <w:r>
        <w:rPr>
          <w:w w:val="110"/>
        </w:rPr>
        <w:t>infection)</w:t>
      </w:r>
      <w:r>
        <w:rPr>
          <w:spacing w:val="-3"/>
          <w:w w:val="110"/>
        </w:rPr>
        <w:t xml:space="preserve"> </w:t>
      </w:r>
      <w:r>
        <w:rPr>
          <w:w w:val="110"/>
        </w:rPr>
        <w:t>or</w:t>
      </w:r>
      <w:r>
        <w:rPr>
          <w:spacing w:val="-8"/>
          <w:w w:val="110"/>
        </w:rPr>
        <w:t xml:space="preserve"> </w:t>
      </w:r>
      <w:r>
        <w:rPr>
          <w:w w:val="110"/>
        </w:rPr>
        <w:t>hepatitis</w:t>
      </w:r>
      <w:r>
        <w:rPr>
          <w:spacing w:val="-5"/>
          <w:w w:val="110"/>
        </w:rPr>
        <w:t xml:space="preserve"> </w:t>
      </w:r>
      <w:r>
        <w:rPr>
          <w:w w:val="110"/>
        </w:rPr>
        <w:t>antibody</w:t>
      </w:r>
    </w:p>
    <w:p w:rsidR="00E675F0" w:rsidRDefault="00E675F0" w:rsidP="00E675F0">
      <w:pPr>
        <w:spacing w:line="254" w:lineRule="auto"/>
        <w:jc w:val="both"/>
        <w:sectPr w:rsidR="00E675F0">
          <w:pgSz w:w="8960" w:h="14260"/>
          <w:pgMar w:top="1400" w:right="600" w:bottom="280" w:left="620" w:header="707" w:footer="0" w:gutter="0"/>
          <w:cols w:space="720"/>
        </w:sectPr>
      </w:pPr>
    </w:p>
    <w:p w:rsidR="00E675F0" w:rsidRDefault="00E675F0" w:rsidP="00E675F0">
      <w:pPr>
        <w:spacing w:before="127" w:line="264" w:lineRule="auto"/>
        <w:ind w:left="112" w:right="108" w:hanging="2"/>
        <w:jc w:val="both"/>
        <w:rPr>
          <w:sz w:val="19"/>
        </w:rPr>
      </w:pPr>
      <w:r>
        <w:rPr>
          <w:w w:val="110"/>
          <w:sz w:val="19"/>
        </w:rPr>
        <w:lastRenderedPageBreak/>
        <w:t>(signifying past infection). Mildly elevated liver function tests are common, either as a result of resolving hepatitis or from toxic injury to the liver due to contaminants that have been mixed with the injected opioid. Subtle changes in cortisol secretion patterns and body temperature regulation have been observed for up to 6 months following  opioid</w:t>
      </w:r>
      <w:r>
        <w:rPr>
          <w:spacing w:val="4"/>
          <w:w w:val="110"/>
          <w:sz w:val="19"/>
        </w:rPr>
        <w:t xml:space="preserve"> </w:t>
      </w:r>
      <w:r>
        <w:rPr>
          <w:w w:val="110"/>
          <w:sz w:val="19"/>
        </w:rPr>
        <w:t>detoxification.</w:t>
      </w:r>
    </w:p>
    <w:p w:rsidR="00E675F0" w:rsidRDefault="00E675F0" w:rsidP="00E675F0">
      <w:pPr>
        <w:pStyle w:val="BodyText"/>
        <w:spacing w:before="2"/>
        <w:rPr>
          <w:sz w:val="22"/>
        </w:rPr>
      </w:pPr>
    </w:p>
    <w:p w:rsidR="00E675F0" w:rsidRDefault="00E675F0" w:rsidP="00E675F0">
      <w:pPr>
        <w:spacing w:line="268" w:lineRule="auto"/>
        <w:ind w:left="109" w:right="111" w:hanging="2"/>
        <w:jc w:val="both"/>
        <w:rPr>
          <w:sz w:val="19"/>
        </w:rPr>
      </w:pPr>
      <w:r>
        <w:rPr>
          <w:b/>
          <w:w w:val="110"/>
          <w:sz w:val="20"/>
        </w:rPr>
        <w:t xml:space="preserve">Associated physical examination findings and general medical  conditions. </w:t>
      </w:r>
      <w:r>
        <w:rPr>
          <w:w w:val="110"/>
          <w:sz w:val="19"/>
        </w:rPr>
        <w:t>Acute and chronic opioid use are associated with a lack of secretions, causing dry mouth and nose, slowing of gastrointestinal activity, and constipation. Visual acuity may be impaired as a result of pupillary constriction. In individuals who use opioids intrave­ nously, sclerosed veins ("tracks") and puncture marks on the lower portions of the upper extremities are common. Veins sometimes become so badly sclerosed that peripheral edema develops and individuals switch to veins in the legs, neck, or groin. When these veins become unusable or otherwise unavailable, individuals often inject directly into their subcutaneous tissue ("skin-popping"), resulting in cellulitis, abscesses, and circu­ lar-appearing scars from healed skin lesions. Tetanus is a relatively rare but extremely serious consequence of injecting opioids. Infections may also occur in other organs and include bacterial endocarditis, hepatitis, and human immunodeficiency virus (HIV) infection. Tuberculosis is a particularly serious problem among individuals who use drugs intravenously, especially those dependent on heroin. Infection with the tubercle bacillus</w:t>
      </w:r>
      <w:r>
        <w:rPr>
          <w:spacing w:val="-10"/>
          <w:w w:val="110"/>
          <w:sz w:val="19"/>
        </w:rPr>
        <w:t xml:space="preserve"> </w:t>
      </w:r>
      <w:r>
        <w:rPr>
          <w:w w:val="110"/>
          <w:sz w:val="19"/>
        </w:rPr>
        <w:t>is</w:t>
      </w:r>
      <w:r>
        <w:rPr>
          <w:spacing w:val="-18"/>
          <w:w w:val="110"/>
          <w:sz w:val="19"/>
        </w:rPr>
        <w:t xml:space="preserve"> </w:t>
      </w:r>
      <w:r>
        <w:rPr>
          <w:w w:val="110"/>
          <w:sz w:val="19"/>
        </w:rPr>
        <w:t>usually</w:t>
      </w:r>
      <w:r>
        <w:rPr>
          <w:spacing w:val="-12"/>
          <w:w w:val="110"/>
          <w:sz w:val="19"/>
        </w:rPr>
        <w:t xml:space="preserve"> </w:t>
      </w:r>
      <w:r>
        <w:rPr>
          <w:w w:val="110"/>
          <w:sz w:val="19"/>
        </w:rPr>
        <w:t>asymptomatic</w:t>
      </w:r>
      <w:r>
        <w:rPr>
          <w:spacing w:val="-2"/>
          <w:w w:val="110"/>
          <w:sz w:val="19"/>
        </w:rPr>
        <w:t xml:space="preserve"> </w:t>
      </w:r>
      <w:r>
        <w:rPr>
          <w:w w:val="110"/>
          <w:sz w:val="19"/>
        </w:rPr>
        <w:t>and</w:t>
      </w:r>
      <w:r>
        <w:rPr>
          <w:spacing w:val="1"/>
          <w:w w:val="110"/>
          <w:sz w:val="19"/>
        </w:rPr>
        <w:t xml:space="preserve"> </w:t>
      </w:r>
      <w:r>
        <w:rPr>
          <w:w w:val="110"/>
          <w:sz w:val="19"/>
        </w:rPr>
        <w:t>evident</w:t>
      </w:r>
      <w:r>
        <w:rPr>
          <w:spacing w:val="-13"/>
          <w:w w:val="110"/>
          <w:sz w:val="19"/>
        </w:rPr>
        <w:t xml:space="preserve"> </w:t>
      </w:r>
      <w:r>
        <w:rPr>
          <w:w w:val="110"/>
          <w:sz w:val="19"/>
        </w:rPr>
        <w:t>only</w:t>
      </w:r>
      <w:r>
        <w:rPr>
          <w:spacing w:val="-9"/>
          <w:w w:val="110"/>
          <w:sz w:val="19"/>
        </w:rPr>
        <w:t xml:space="preserve"> </w:t>
      </w:r>
      <w:r>
        <w:rPr>
          <w:w w:val="110"/>
          <w:sz w:val="19"/>
        </w:rPr>
        <w:t>by</w:t>
      </w:r>
      <w:r>
        <w:rPr>
          <w:spacing w:val="-11"/>
          <w:w w:val="110"/>
          <w:sz w:val="19"/>
        </w:rPr>
        <w:t xml:space="preserve"> </w:t>
      </w:r>
      <w:r>
        <w:rPr>
          <w:w w:val="110"/>
          <w:sz w:val="19"/>
        </w:rPr>
        <w:t>the</w:t>
      </w:r>
      <w:r>
        <w:rPr>
          <w:spacing w:val="11"/>
          <w:w w:val="110"/>
          <w:sz w:val="19"/>
        </w:rPr>
        <w:t xml:space="preserve"> </w:t>
      </w:r>
      <w:r>
        <w:rPr>
          <w:w w:val="110"/>
          <w:sz w:val="19"/>
        </w:rPr>
        <w:t>presence</w:t>
      </w:r>
      <w:r>
        <w:rPr>
          <w:spacing w:val="-10"/>
          <w:w w:val="110"/>
          <w:sz w:val="19"/>
        </w:rPr>
        <w:t xml:space="preserve"> </w:t>
      </w:r>
      <w:r>
        <w:rPr>
          <w:w w:val="110"/>
          <w:sz w:val="19"/>
        </w:rPr>
        <w:t>of</w:t>
      </w:r>
      <w:r>
        <w:rPr>
          <w:spacing w:val="-10"/>
          <w:w w:val="110"/>
          <w:sz w:val="19"/>
        </w:rPr>
        <w:t xml:space="preserve"> </w:t>
      </w:r>
      <w:r>
        <w:rPr>
          <w:w w:val="110"/>
          <w:sz w:val="19"/>
        </w:rPr>
        <w:t>a</w:t>
      </w:r>
      <w:r>
        <w:rPr>
          <w:spacing w:val="-1"/>
          <w:w w:val="110"/>
          <w:sz w:val="19"/>
        </w:rPr>
        <w:t xml:space="preserve"> </w:t>
      </w:r>
      <w:r>
        <w:rPr>
          <w:w w:val="110"/>
          <w:sz w:val="19"/>
        </w:rPr>
        <w:t>positive</w:t>
      </w:r>
      <w:r>
        <w:rPr>
          <w:spacing w:val="-8"/>
          <w:w w:val="110"/>
          <w:sz w:val="19"/>
        </w:rPr>
        <w:t xml:space="preserve"> </w:t>
      </w:r>
      <w:r>
        <w:rPr>
          <w:w w:val="110"/>
          <w:sz w:val="19"/>
        </w:rPr>
        <w:t>tuberculin skin test. However, many cases of active tuberculosis have been found, especially among those who are infected with HIV. These individuals often have a newly acquired infection,</w:t>
      </w:r>
      <w:r>
        <w:rPr>
          <w:spacing w:val="2"/>
          <w:w w:val="110"/>
          <w:sz w:val="19"/>
        </w:rPr>
        <w:t xml:space="preserve"> </w:t>
      </w:r>
      <w:r>
        <w:rPr>
          <w:w w:val="110"/>
          <w:sz w:val="19"/>
        </w:rPr>
        <w:t>but</w:t>
      </w:r>
      <w:r>
        <w:rPr>
          <w:spacing w:val="-7"/>
          <w:w w:val="110"/>
          <w:sz w:val="19"/>
        </w:rPr>
        <w:t xml:space="preserve"> </w:t>
      </w:r>
      <w:r>
        <w:rPr>
          <w:w w:val="110"/>
          <w:sz w:val="19"/>
        </w:rPr>
        <w:t>also</w:t>
      </w:r>
      <w:r>
        <w:rPr>
          <w:spacing w:val="-21"/>
          <w:w w:val="110"/>
          <w:sz w:val="19"/>
        </w:rPr>
        <w:t xml:space="preserve"> </w:t>
      </w:r>
      <w:r>
        <w:rPr>
          <w:w w:val="110"/>
          <w:sz w:val="19"/>
        </w:rPr>
        <w:t>are</w:t>
      </w:r>
      <w:r>
        <w:rPr>
          <w:spacing w:val="-18"/>
          <w:w w:val="110"/>
          <w:sz w:val="19"/>
        </w:rPr>
        <w:t xml:space="preserve"> </w:t>
      </w:r>
      <w:r>
        <w:rPr>
          <w:w w:val="110"/>
          <w:sz w:val="19"/>
        </w:rPr>
        <w:t>likely</w:t>
      </w:r>
      <w:r>
        <w:rPr>
          <w:spacing w:val="-14"/>
          <w:w w:val="110"/>
          <w:sz w:val="19"/>
        </w:rPr>
        <w:t xml:space="preserve"> </w:t>
      </w:r>
      <w:r>
        <w:rPr>
          <w:w w:val="110"/>
          <w:sz w:val="19"/>
        </w:rPr>
        <w:t>to</w:t>
      </w:r>
      <w:r>
        <w:rPr>
          <w:spacing w:val="-15"/>
          <w:w w:val="110"/>
          <w:sz w:val="19"/>
        </w:rPr>
        <w:t xml:space="preserve"> </w:t>
      </w:r>
      <w:r>
        <w:rPr>
          <w:w w:val="110"/>
          <w:sz w:val="19"/>
        </w:rPr>
        <w:t>experience</w:t>
      </w:r>
      <w:r>
        <w:rPr>
          <w:spacing w:val="-7"/>
          <w:w w:val="110"/>
          <w:sz w:val="19"/>
        </w:rPr>
        <w:t xml:space="preserve"> </w:t>
      </w:r>
      <w:r>
        <w:rPr>
          <w:w w:val="110"/>
          <w:sz w:val="19"/>
        </w:rPr>
        <w:t>reactivation</w:t>
      </w:r>
      <w:r>
        <w:rPr>
          <w:spacing w:val="-3"/>
          <w:w w:val="110"/>
          <w:sz w:val="19"/>
        </w:rPr>
        <w:t xml:space="preserve"> </w:t>
      </w:r>
      <w:r>
        <w:rPr>
          <w:w w:val="110"/>
          <w:sz w:val="19"/>
        </w:rPr>
        <w:t>of</w:t>
      </w:r>
      <w:r>
        <w:rPr>
          <w:spacing w:val="-12"/>
          <w:w w:val="110"/>
          <w:sz w:val="19"/>
        </w:rPr>
        <w:t xml:space="preserve"> </w:t>
      </w:r>
      <w:r>
        <w:rPr>
          <w:w w:val="110"/>
          <w:sz w:val="19"/>
        </w:rPr>
        <w:t>a</w:t>
      </w:r>
      <w:r>
        <w:rPr>
          <w:spacing w:val="-8"/>
          <w:w w:val="110"/>
          <w:sz w:val="19"/>
        </w:rPr>
        <w:t xml:space="preserve"> </w:t>
      </w:r>
      <w:r>
        <w:rPr>
          <w:w w:val="110"/>
          <w:sz w:val="19"/>
        </w:rPr>
        <w:t>prior</w:t>
      </w:r>
      <w:r>
        <w:rPr>
          <w:spacing w:val="-14"/>
          <w:w w:val="110"/>
          <w:sz w:val="19"/>
        </w:rPr>
        <w:t xml:space="preserve"> </w:t>
      </w:r>
      <w:r>
        <w:rPr>
          <w:w w:val="110"/>
          <w:sz w:val="19"/>
        </w:rPr>
        <w:t>infection</w:t>
      </w:r>
      <w:r>
        <w:rPr>
          <w:spacing w:val="-5"/>
          <w:w w:val="110"/>
          <w:sz w:val="19"/>
        </w:rPr>
        <w:t xml:space="preserve"> </w:t>
      </w:r>
      <w:r>
        <w:rPr>
          <w:w w:val="110"/>
          <w:sz w:val="19"/>
        </w:rPr>
        <w:t>due</w:t>
      </w:r>
      <w:r>
        <w:rPr>
          <w:spacing w:val="4"/>
          <w:w w:val="110"/>
          <w:sz w:val="19"/>
        </w:rPr>
        <w:t xml:space="preserve"> </w:t>
      </w:r>
      <w:r>
        <w:rPr>
          <w:w w:val="110"/>
          <w:sz w:val="19"/>
        </w:rPr>
        <w:t>to</w:t>
      </w:r>
      <w:r>
        <w:rPr>
          <w:spacing w:val="-15"/>
          <w:w w:val="110"/>
          <w:sz w:val="19"/>
        </w:rPr>
        <w:t xml:space="preserve"> </w:t>
      </w:r>
      <w:r>
        <w:rPr>
          <w:w w:val="110"/>
          <w:sz w:val="19"/>
        </w:rPr>
        <w:t>impaired immune function. Persons who sniff heroin or other opioids ("snorting") often develop irritation of the nasal mucosa, sometimes accompanied by perforation of the nasal septum. Difficulties in sexual functioning are common. Males often experience erectile dysfunction during intoxication or chronic use. Females commonly  have disturbances  of reproductive function and irregular</w:t>
      </w:r>
      <w:r>
        <w:rPr>
          <w:spacing w:val="38"/>
          <w:w w:val="110"/>
          <w:sz w:val="19"/>
        </w:rPr>
        <w:t xml:space="preserve"> </w:t>
      </w:r>
      <w:r>
        <w:rPr>
          <w:w w:val="110"/>
          <w:sz w:val="19"/>
        </w:rPr>
        <w:t>menses.</w:t>
      </w:r>
    </w:p>
    <w:p w:rsidR="00E675F0" w:rsidRDefault="00E675F0" w:rsidP="00E675F0">
      <w:pPr>
        <w:spacing w:line="196" w:lineRule="exact"/>
        <w:ind w:left="473"/>
        <w:jc w:val="both"/>
        <w:rPr>
          <w:sz w:val="19"/>
        </w:rPr>
      </w:pPr>
      <w:r>
        <w:rPr>
          <w:w w:val="110"/>
          <w:sz w:val="19"/>
        </w:rPr>
        <w:t>The incidence of HIV infection is high among individuals who use intravenous drugs,</w:t>
      </w:r>
    </w:p>
    <w:p w:rsidR="00E675F0" w:rsidRDefault="00E675F0" w:rsidP="00E675F0">
      <w:pPr>
        <w:spacing w:before="22" w:line="264" w:lineRule="auto"/>
        <w:ind w:left="114" w:right="110" w:firstLine="7"/>
        <w:jc w:val="both"/>
        <w:rPr>
          <w:sz w:val="19"/>
        </w:rPr>
      </w:pPr>
      <w:r>
        <w:rPr>
          <w:w w:val="110"/>
          <w:sz w:val="19"/>
        </w:rPr>
        <w:t>a large proportion of whom are individuals with Opioid Dependence. HIV infection  rates have been reported to be as high as 60% among persons dependent on heroin in some areas of the United</w:t>
      </w:r>
      <w:r>
        <w:rPr>
          <w:spacing w:val="-18"/>
          <w:w w:val="110"/>
          <w:sz w:val="19"/>
        </w:rPr>
        <w:t xml:space="preserve"> </w:t>
      </w:r>
      <w:r>
        <w:rPr>
          <w:w w:val="110"/>
          <w:sz w:val="19"/>
        </w:rPr>
        <w:t>States.</w:t>
      </w:r>
    </w:p>
    <w:p w:rsidR="00E675F0" w:rsidRDefault="00E675F0" w:rsidP="00E675F0">
      <w:pPr>
        <w:spacing w:line="266" w:lineRule="auto"/>
        <w:ind w:left="109" w:right="104" w:firstLine="370"/>
        <w:jc w:val="both"/>
        <w:rPr>
          <w:sz w:val="19"/>
        </w:rPr>
      </w:pPr>
      <w:r>
        <w:rPr>
          <w:w w:val="115"/>
          <w:sz w:val="19"/>
        </w:rPr>
        <w:t>In</w:t>
      </w:r>
      <w:r>
        <w:rPr>
          <w:spacing w:val="-28"/>
          <w:w w:val="115"/>
          <w:sz w:val="19"/>
        </w:rPr>
        <w:t xml:space="preserve"> </w:t>
      </w:r>
      <w:r>
        <w:rPr>
          <w:w w:val="115"/>
          <w:sz w:val="19"/>
        </w:rPr>
        <w:t>addition</w:t>
      </w:r>
      <w:r>
        <w:rPr>
          <w:spacing w:val="-18"/>
          <w:w w:val="115"/>
          <w:sz w:val="19"/>
        </w:rPr>
        <w:t xml:space="preserve"> </w:t>
      </w:r>
      <w:r>
        <w:rPr>
          <w:w w:val="115"/>
          <w:sz w:val="19"/>
        </w:rPr>
        <w:t>to</w:t>
      </w:r>
      <w:r>
        <w:rPr>
          <w:spacing w:val="-31"/>
          <w:w w:val="115"/>
          <w:sz w:val="19"/>
        </w:rPr>
        <w:t xml:space="preserve"> </w:t>
      </w:r>
      <w:r>
        <w:rPr>
          <w:w w:val="115"/>
          <w:sz w:val="19"/>
        </w:rPr>
        <w:t>infections</w:t>
      </w:r>
      <w:r>
        <w:rPr>
          <w:spacing w:val="-29"/>
          <w:w w:val="115"/>
          <w:sz w:val="19"/>
        </w:rPr>
        <w:t xml:space="preserve"> </w:t>
      </w:r>
      <w:r>
        <w:rPr>
          <w:w w:val="115"/>
          <w:sz w:val="19"/>
        </w:rPr>
        <w:t>such</w:t>
      </w:r>
      <w:r>
        <w:rPr>
          <w:spacing w:val="-27"/>
          <w:w w:val="115"/>
          <w:sz w:val="19"/>
        </w:rPr>
        <w:t xml:space="preserve"> </w:t>
      </w:r>
      <w:r>
        <w:rPr>
          <w:w w:val="115"/>
          <w:sz w:val="19"/>
        </w:rPr>
        <w:t>as</w:t>
      </w:r>
      <w:r>
        <w:rPr>
          <w:spacing w:val="-30"/>
          <w:w w:val="115"/>
          <w:sz w:val="19"/>
        </w:rPr>
        <w:t xml:space="preserve"> </w:t>
      </w:r>
      <w:r>
        <w:rPr>
          <w:w w:val="115"/>
          <w:sz w:val="19"/>
        </w:rPr>
        <w:t>cellulitis,</w:t>
      </w:r>
      <w:r>
        <w:rPr>
          <w:spacing w:val="-18"/>
          <w:w w:val="115"/>
          <w:sz w:val="19"/>
        </w:rPr>
        <w:t xml:space="preserve"> </w:t>
      </w:r>
      <w:r>
        <w:rPr>
          <w:w w:val="115"/>
          <w:sz w:val="19"/>
        </w:rPr>
        <w:t>hepatitis,</w:t>
      </w:r>
      <w:r>
        <w:rPr>
          <w:spacing w:val="-23"/>
          <w:w w:val="115"/>
          <w:sz w:val="19"/>
        </w:rPr>
        <w:t xml:space="preserve"> </w:t>
      </w:r>
      <w:r>
        <w:rPr>
          <w:w w:val="115"/>
          <w:sz w:val="19"/>
        </w:rPr>
        <w:t>HIV,</w:t>
      </w:r>
      <w:r>
        <w:rPr>
          <w:spacing w:val="-23"/>
          <w:w w:val="115"/>
          <w:sz w:val="19"/>
        </w:rPr>
        <w:t xml:space="preserve"> </w:t>
      </w:r>
      <w:r>
        <w:rPr>
          <w:w w:val="115"/>
          <w:sz w:val="19"/>
        </w:rPr>
        <w:t>tuberculosis,</w:t>
      </w:r>
      <w:r>
        <w:rPr>
          <w:spacing w:val="-21"/>
          <w:w w:val="115"/>
          <w:sz w:val="19"/>
        </w:rPr>
        <w:t xml:space="preserve"> </w:t>
      </w:r>
      <w:r>
        <w:rPr>
          <w:w w:val="115"/>
          <w:sz w:val="19"/>
        </w:rPr>
        <w:t>and</w:t>
      </w:r>
      <w:r>
        <w:rPr>
          <w:spacing w:val="-18"/>
          <w:w w:val="115"/>
          <w:sz w:val="19"/>
        </w:rPr>
        <w:t xml:space="preserve"> </w:t>
      </w:r>
      <w:r>
        <w:rPr>
          <w:w w:val="115"/>
          <w:sz w:val="19"/>
        </w:rPr>
        <w:t>endocar­ ditis, Opioid Dependence is associated with a very high death rate-at the level of approximately</w:t>
      </w:r>
      <w:r>
        <w:rPr>
          <w:spacing w:val="-13"/>
          <w:w w:val="115"/>
          <w:sz w:val="19"/>
        </w:rPr>
        <w:t xml:space="preserve"> </w:t>
      </w:r>
      <w:r>
        <w:rPr>
          <w:w w:val="115"/>
          <w:sz w:val="19"/>
        </w:rPr>
        <w:t>10</w:t>
      </w:r>
      <w:r>
        <w:rPr>
          <w:spacing w:val="-21"/>
          <w:w w:val="115"/>
          <w:sz w:val="19"/>
        </w:rPr>
        <w:t xml:space="preserve"> </w:t>
      </w:r>
      <w:r>
        <w:rPr>
          <w:w w:val="115"/>
          <w:sz w:val="19"/>
        </w:rPr>
        <w:t>per</w:t>
      </w:r>
      <w:r>
        <w:rPr>
          <w:spacing w:val="-20"/>
          <w:w w:val="115"/>
          <w:sz w:val="19"/>
        </w:rPr>
        <w:t xml:space="preserve"> </w:t>
      </w:r>
      <w:r>
        <w:rPr>
          <w:w w:val="115"/>
          <w:sz w:val="19"/>
        </w:rPr>
        <w:t>1,000</w:t>
      </w:r>
      <w:r>
        <w:rPr>
          <w:spacing w:val="-13"/>
          <w:w w:val="115"/>
          <w:sz w:val="19"/>
        </w:rPr>
        <w:t xml:space="preserve"> </w:t>
      </w:r>
      <w:r>
        <w:rPr>
          <w:w w:val="115"/>
          <w:sz w:val="19"/>
        </w:rPr>
        <w:t>per</w:t>
      </w:r>
      <w:r>
        <w:rPr>
          <w:spacing w:val="-11"/>
          <w:w w:val="115"/>
          <w:sz w:val="19"/>
        </w:rPr>
        <w:t xml:space="preserve"> </w:t>
      </w:r>
      <w:r>
        <w:rPr>
          <w:w w:val="115"/>
          <w:sz w:val="19"/>
        </w:rPr>
        <w:t>year</w:t>
      </w:r>
      <w:r>
        <w:rPr>
          <w:spacing w:val="-23"/>
          <w:w w:val="115"/>
          <w:sz w:val="19"/>
        </w:rPr>
        <w:t xml:space="preserve"> </w:t>
      </w:r>
      <w:r>
        <w:rPr>
          <w:w w:val="115"/>
          <w:sz w:val="19"/>
        </w:rPr>
        <w:t>among</w:t>
      </w:r>
      <w:r>
        <w:rPr>
          <w:spacing w:val="-21"/>
          <w:w w:val="115"/>
          <w:sz w:val="19"/>
        </w:rPr>
        <w:t xml:space="preserve"> </w:t>
      </w:r>
      <w:r>
        <w:rPr>
          <w:w w:val="115"/>
          <w:sz w:val="19"/>
        </w:rPr>
        <w:t>untreated</w:t>
      </w:r>
      <w:r>
        <w:rPr>
          <w:spacing w:val="-14"/>
          <w:w w:val="115"/>
          <w:sz w:val="19"/>
        </w:rPr>
        <w:t xml:space="preserve"> </w:t>
      </w:r>
      <w:r>
        <w:rPr>
          <w:w w:val="115"/>
          <w:sz w:val="19"/>
        </w:rPr>
        <w:t>persons.</w:t>
      </w:r>
      <w:r>
        <w:rPr>
          <w:spacing w:val="-12"/>
          <w:w w:val="115"/>
          <w:sz w:val="19"/>
        </w:rPr>
        <w:t xml:space="preserve"> </w:t>
      </w:r>
      <w:r>
        <w:rPr>
          <w:w w:val="115"/>
          <w:sz w:val="19"/>
        </w:rPr>
        <w:t>Death</w:t>
      </w:r>
      <w:r>
        <w:rPr>
          <w:spacing w:val="-13"/>
          <w:w w:val="115"/>
          <w:sz w:val="19"/>
        </w:rPr>
        <w:t xml:space="preserve"> </w:t>
      </w:r>
      <w:r>
        <w:rPr>
          <w:w w:val="115"/>
          <w:sz w:val="19"/>
        </w:rPr>
        <w:t>most</w:t>
      </w:r>
      <w:r>
        <w:rPr>
          <w:spacing w:val="-19"/>
          <w:w w:val="115"/>
          <w:sz w:val="19"/>
        </w:rPr>
        <w:t xml:space="preserve"> </w:t>
      </w:r>
      <w:r>
        <w:rPr>
          <w:w w:val="115"/>
          <w:sz w:val="19"/>
        </w:rPr>
        <w:t>often</w:t>
      </w:r>
      <w:r>
        <w:rPr>
          <w:spacing w:val="-18"/>
          <w:w w:val="115"/>
          <w:sz w:val="19"/>
        </w:rPr>
        <w:t xml:space="preserve"> </w:t>
      </w:r>
      <w:r>
        <w:rPr>
          <w:w w:val="115"/>
          <w:sz w:val="19"/>
        </w:rPr>
        <w:t>results from overdose, accidents, injuries, or other general medical complications. Accidents and</w:t>
      </w:r>
      <w:r>
        <w:rPr>
          <w:spacing w:val="-2"/>
          <w:w w:val="115"/>
          <w:sz w:val="19"/>
        </w:rPr>
        <w:t xml:space="preserve"> </w:t>
      </w:r>
      <w:r>
        <w:rPr>
          <w:w w:val="115"/>
          <w:sz w:val="19"/>
        </w:rPr>
        <w:t>injuries</w:t>
      </w:r>
      <w:r>
        <w:rPr>
          <w:spacing w:val="-14"/>
          <w:w w:val="115"/>
          <w:sz w:val="19"/>
        </w:rPr>
        <w:t xml:space="preserve"> </w:t>
      </w:r>
      <w:r>
        <w:rPr>
          <w:w w:val="115"/>
          <w:sz w:val="19"/>
        </w:rPr>
        <w:t>due</w:t>
      </w:r>
      <w:r>
        <w:rPr>
          <w:spacing w:val="1"/>
          <w:w w:val="115"/>
          <w:sz w:val="19"/>
        </w:rPr>
        <w:t xml:space="preserve"> </w:t>
      </w:r>
      <w:r>
        <w:rPr>
          <w:w w:val="115"/>
          <w:sz w:val="19"/>
        </w:rPr>
        <w:t>to</w:t>
      </w:r>
      <w:r>
        <w:rPr>
          <w:spacing w:val="-18"/>
          <w:w w:val="115"/>
          <w:sz w:val="19"/>
        </w:rPr>
        <w:t xml:space="preserve"> </w:t>
      </w:r>
      <w:r>
        <w:rPr>
          <w:w w:val="115"/>
          <w:sz w:val="19"/>
        </w:rPr>
        <w:t>violence</w:t>
      </w:r>
      <w:r>
        <w:rPr>
          <w:spacing w:val="-12"/>
          <w:w w:val="115"/>
          <w:sz w:val="19"/>
        </w:rPr>
        <w:t xml:space="preserve"> </w:t>
      </w:r>
      <w:r>
        <w:rPr>
          <w:w w:val="115"/>
          <w:sz w:val="19"/>
        </w:rPr>
        <w:t>that</w:t>
      </w:r>
      <w:r>
        <w:rPr>
          <w:spacing w:val="-18"/>
          <w:w w:val="115"/>
          <w:sz w:val="19"/>
        </w:rPr>
        <w:t xml:space="preserve"> </w:t>
      </w:r>
      <w:r>
        <w:rPr>
          <w:w w:val="115"/>
          <w:sz w:val="19"/>
        </w:rPr>
        <w:t>is</w:t>
      </w:r>
      <w:r>
        <w:rPr>
          <w:spacing w:val="-26"/>
          <w:w w:val="115"/>
          <w:sz w:val="19"/>
        </w:rPr>
        <w:t xml:space="preserve"> </w:t>
      </w:r>
      <w:r>
        <w:rPr>
          <w:w w:val="115"/>
          <w:sz w:val="19"/>
        </w:rPr>
        <w:t>associated</w:t>
      </w:r>
      <w:r>
        <w:rPr>
          <w:spacing w:val="-11"/>
          <w:w w:val="115"/>
          <w:sz w:val="19"/>
        </w:rPr>
        <w:t xml:space="preserve"> </w:t>
      </w:r>
      <w:r>
        <w:rPr>
          <w:w w:val="115"/>
          <w:sz w:val="19"/>
        </w:rPr>
        <w:t>with</w:t>
      </w:r>
      <w:r>
        <w:rPr>
          <w:spacing w:val="-17"/>
          <w:w w:val="115"/>
          <w:sz w:val="19"/>
        </w:rPr>
        <w:t xml:space="preserve"> </w:t>
      </w:r>
      <w:r>
        <w:rPr>
          <w:w w:val="115"/>
          <w:sz w:val="19"/>
        </w:rPr>
        <w:t>buying</w:t>
      </w:r>
      <w:r>
        <w:rPr>
          <w:spacing w:val="-20"/>
          <w:w w:val="115"/>
          <w:sz w:val="19"/>
        </w:rPr>
        <w:t xml:space="preserve"> </w:t>
      </w:r>
      <w:r>
        <w:rPr>
          <w:w w:val="115"/>
          <w:sz w:val="19"/>
        </w:rPr>
        <w:t>or</w:t>
      </w:r>
      <w:r>
        <w:rPr>
          <w:spacing w:val="-21"/>
          <w:w w:val="115"/>
          <w:sz w:val="19"/>
        </w:rPr>
        <w:t xml:space="preserve"> </w:t>
      </w:r>
      <w:r>
        <w:rPr>
          <w:w w:val="115"/>
          <w:sz w:val="19"/>
        </w:rPr>
        <w:t>selling</w:t>
      </w:r>
      <w:r>
        <w:rPr>
          <w:spacing w:val="-22"/>
          <w:w w:val="115"/>
          <w:sz w:val="19"/>
        </w:rPr>
        <w:t xml:space="preserve"> </w:t>
      </w:r>
      <w:r>
        <w:rPr>
          <w:w w:val="115"/>
          <w:sz w:val="19"/>
        </w:rPr>
        <w:t>drugs</w:t>
      </w:r>
      <w:r>
        <w:rPr>
          <w:spacing w:val="-21"/>
          <w:w w:val="115"/>
          <w:sz w:val="19"/>
        </w:rPr>
        <w:t xml:space="preserve"> </w:t>
      </w:r>
      <w:r>
        <w:rPr>
          <w:w w:val="115"/>
          <w:sz w:val="19"/>
        </w:rPr>
        <w:t>are</w:t>
      </w:r>
      <w:r>
        <w:rPr>
          <w:spacing w:val="-20"/>
          <w:w w:val="115"/>
          <w:sz w:val="19"/>
        </w:rPr>
        <w:t xml:space="preserve"> </w:t>
      </w:r>
      <w:r>
        <w:rPr>
          <w:w w:val="115"/>
          <w:sz w:val="19"/>
        </w:rPr>
        <w:t>common. In</w:t>
      </w:r>
      <w:r>
        <w:rPr>
          <w:spacing w:val="-11"/>
          <w:w w:val="115"/>
          <w:sz w:val="19"/>
        </w:rPr>
        <w:t xml:space="preserve"> </w:t>
      </w:r>
      <w:r>
        <w:rPr>
          <w:w w:val="115"/>
          <w:sz w:val="19"/>
        </w:rPr>
        <w:t>some</w:t>
      </w:r>
      <w:r>
        <w:rPr>
          <w:spacing w:val="-10"/>
          <w:w w:val="115"/>
          <w:sz w:val="19"/>
        </w:rPr>
        <w:t xml:space="preserve"> </w:t>
      </w:r>
      <w:r>
        <w:rPr>
          <w:w w:val="115"/>
          <w:sz w:val="19"/>
        </w:rPr>
        <w:t>areas, violence</w:t>
      </w:r>
      <w:r>
        <w:rPr>
          <w:spacing w:val="-2"/>
          <w:w w:val="115"/>
          <w:sz w:val="19"/>
        </w:rPr>
        <w:t xml:space="preserve"> </w:t>
      </w:r>
      <w:r>
        <w:rPr>
          <w:w w:val="115"/>
          <w:sz w:val="19"/>
        </w:rPr>
        <w:t>accounts</w:t>
      </w:r>
      <w:r>
        <w:rPr>
          <w:spacing w:val="-9"/>
          <w:w w:val="115"/>
          <w:sz w:val="19"/>
        </w:rPr>
        <w:t xml:space="preserve"> </w:t>
      </w:r>
      <w:r>
        <w:rPr>
          <w:w w:val="115"/>
          <w:sz w:val="19"/>
        </w:rPr>
        <w:t>for</w:t>
      </w:r>
      <w:r>
        <w:rPr>
          <w:spacing w:val="-11"/>
          <w:w w:val="115"/>
          <w:sz w:val="19"/>
        </w:rPr>
        <w:t xml:space="preserve"> </w:t>
      </w:r>
      <w:r>
        <w:rPr>
          <w:w w:val="115"/>
          <w:sz w:val="19"/>
        </w:rPr>
        <w:t>more</w:t>
      </w:r>
      <w:r>
        <w:rPr>
          <w:spacing w:val="-7"/>
          <w:w w:val="115"/>
          <w:sz w:val="19"/>
        </w:rPr>
        <w:t xml:space="preserve"> </w:t>
      </w:r>
      <w:r>
        <w:rPr>
          <w:w w:val="115"/>
          <w:sz w:val="19"/>
        </w:rPr>
        <w:t>opioid-related</w:t>
      </w:r>
      <w:r>
        <w:rPr>
          <w:spacing w:val="-6"/>
          <w:w w:val="115"/>
          <w:sz w:val="19"/>
        </w:rPr>
        <w:t xml:space="preserve"> </w:t>
      </w:r>
      <w:r>
        <w:rPr>
          <w:w w:val="115"/>
          <w:sz w:val="19"/>
        </w:rPr>
        <w:t>deaths</w:t>
      </w:r>
      <w:r>
        <w:rPr>
          <w:spacing w:val="-5"/>
          <w:w w:val="115"/>
          <w:sz w:val="19"/>
        </w:rPr>
        <w:t xml:space="preserve"> </w:t>
      </w:r>
      <w:r>
        <w:rPr>
          <w:w w:val="115"/>
          <w:sz w:val="19"/>
        </w:rPr>
        <w:t>than</w:t>
      </w:r>
      <w:r>
        <w:rPr>
          <w:spacing w:val="-5"/>
          <w:w w:val="115"/>
          <w:sz w:val="19"/>
        </w:rPr>
        <w:t xml:space="preserve"> </w:t>
      </w:r>
      <w:r>
        <w:rPr>
          <w:w w:val="115"/>
          <w:sz w:val="19"/>
        </w:rPr>
        <w:t>overdose</w:t>
      </w:r>
      <w:r>
        <w:rPr>
          <w:spacing w:val="1"/>
          <w:w w:val="115"/>
          <w:sz w:val="19"/>
        </w:rPr>
        <w:t xml:space="preserve"> </w:t>
      </w:r>
      <w:r>
        <w:rPr>
          <w:w w:val="115"/>
          <w:sz w:val="19"/>
        </w:rPr>
        <w:t>or</w:t>
      </w:r>
      <w:r>
        <w:rPr>
          <w:spacing w:val="-5"/>
          <w:w w:val="115"/>
          <w:sz w:val="19"/>
        </w:rPr>
        <w:t xml:space="preserve"> </w:t>
      </w:r>
      <w:r>
        <w:rPr>
          <w:w w:val="115"/>
          <w:sz w:val="19"/>
        </w:rPr>
        <w:t>HIV infection. Physiological dependence on opioids may occur in about half of the infants born to females with Opioid Dependence; this can produce a severe withdrawal syndrome</w:t>
      </w:r>
      <w:r>
        <w:rPr>
          <w:spacing w:val="-26"/>
          <w:w w:val="115"/>
          <w:sz w:val="19"/>
        </w:rPr>
        <w:t xml:space="preserve"> </w:t>
      </w:r>
      <w:r>
        <w:rPr>
          <w:w w:val="115"/>
          <w:sz w:val="19"/>
        </w:rPr>
        <w:t>requiring</w:t>
      </w:r>
      <w:r>
        <w:rPr>
          <w:spacing w:val="-30"/>
          <w:w w:val="115"/>
          <w:sz w:val="19"/>
        </w:rPr>
        <w:t xml:space="preserve"> </w:t>
      </w:r>
      <w:r>
        <w:rPr>
          <w:w w:val="115"/>
          <w:sz w:val="19"/>
        </w:rPr>
        <w:t>medical</w:t>
      </w:r>
      <w:r>
        <w:rPr>
          <w:spacing w:val="-30"/>
          <w:w w:val="115"/>
          <w:sz w:val="19"/>
        </w:rPr>
        <w:t xml:space="preserve"> </w:t>
      </w:r>
      <w:r>
        <w:rPr>
          <w:w w:val="115"/>
          <w:sz w:val="19"/>
        </w:rPr>
        <w:t>treatment.</w:t>
      </w:r>
      <w:r>
        <w:rPr>
          <w:spacing w:val="-30"/>
          <w:w w:val="115"/>
          <w:sz w:val="19"/>
        </w:rPr>
        <w:t xml:space="preserve"> </w:t>
      </w:r>
      <w:r>
        <w:rPr>
          <w:w w:val="115"/>
          <w:sz w:val="19"/>
        </w:rPr>
        <w:t>Although</w:t>
      </w:r>
      <w:r>
        <w:rPr>
          <w:spacing w:val="-24"/>
          <w:w w:val="115"/>
          <w:sz w:val="19"/>
        </w:rPr>
        <w:t xml:space="preserve"> </w:t>
      </w:r>
      <w:r>
        <w:rPr>
          <w:w w:val="115"/>
          <w:sz w:val="19"/>
        </w:rPr>
        <w:t>low</w:t>
      </w:r>
      <w:r>
        <w:rPr>
          <w:spacing w:val="-28"/>
          <w:w w:val="115"/>
          <w:sz w:val="19"/>
        </w:rPr>
        <w:t xml:space="preserve"> </w:t>
      </w:r>
      <w:r>
        <w:rPr>
          <w:w w:val="115"/>
          <w:sz w:val="19"/>
        </w:rPr>
        <w:t>birth</w:t>
      </w:r>
      <w:r>
        <w:rPr>
          <w:spacing w:val="-32"/>
          <w:w w:val="115"/>
          <w:sz w:val="19"/>
        </w:rPr>
        <w:t xml:space="preserve"> </w:t>
      </w:r>
      <w:r>
        <w:rPr>
          <w:w w:val="115"/>
          <w:sz w:val="19"/>
        </w:rPr>
        <w:t>weight</w:t>
      </w:r>
      <w:r>
        <w:rPr>
          <w:spacing w:val="-29"/>
          <w:w w:val="115"/>
          <w:sz w:val="19"/>
        </w:rPr>
        <w:t xml:space="preserve"> </w:t>
      </w:r>
      <w:r>
        <w:rPr>
          <w:w w:val="115"/>
          <w:sz w:val="19"/>
        </w:rPr>
        <w:t>is</w:t>
      </w:r>
      <w:r>
        <w:rPr>
          <w:spacing w:val="-37"/>
          <w:w w:val="115"/>
          <w:sz w:val="19"/>
        </w:rPr>
        <w:t xml:space="preserve"> </w:t>
      </w:r>
      <w:r>
        <w:rPr>
          <w:w w:val="115"/>
          <w:sz w:val="19"/>
        </w:rPr>
        <w:t>also</w:t>
      </w:r>
      <w:r>
        <w:rPr>
          <w:spacing w:val="-36"/>
          <w:w w:val="115"/>
          <w:sz w:val="19"/>
        </w:rPr>
        <w:t xml:space="preserve"> </w:t>
      </w:r>
      <w:r>
        <w:rPr>
          <w:w w:val="115"/>
          <w:sz w:val="19"/>
        </w:rPr>
        <w:t>seen</w:t>
      </w:r>
      <w:r>
        <w:rPr>
          <w:spacing w:val="-32"/>
          <w:w w:val="115"/>
          <w:sz w:val="19"/>
        </w:rPr>
        <w:t xml:space="preserve"> </w:t>
      </w:r>
      <w:r>
        <w:rPr>
          <w:w w:val="115"/>
          <w:sz w:val="19"/>
        </w:rPr>
        <w:t>in</w:t>
      </w:r>
      <w:r>
        <w:rPr>
          <w:spacing w:val="-36"/>
          <w:w w:val="115"/>
          <w:sz w:val="19"/>
        </w:rPr>
        <w:t xml:space="preserve"> </w:t>
      </w:r>
      <w:r>
        <w:rPr>
          <w:w w:val="115"/>
          <w:sz w:val="19"/>
        </w:rPr>
        <w:t>children of mothers with Opioid Dependence, it is usually not marked and is generally not associated with serious adverse</w:t>
      </w:r>
      <w:r>
        <w:rPr>
          <w:spacing w:val="31"/>
          <w:w w:val="115"/>
          <w:sz w:val="19"/>
        </w:rPr>
        <w:t xml:space="preserve"> </w:t>
      </w:r>
      <w:r>
        <w:rPr>
          <w:w w:val="115"/>
          <w:sz w:val="19"/>
        </w:rPr>
        <w:t>consequences.</w:t>
      </w:r>
    </w:p>
    <w:p w:rsidR="00E675F0" w:rsidRDefault="00E675F0" w:rsidP="00E675F0">
      <w:pPr>
        <w:pStyle w:val="BodyText"/>
        <w:spacing w:before="5"/>
        <w:rPr>
          <w:sz w:val="26"/>
        </w:rPr>
      </w:pPr>
    </w:p>
    <w:p w:rsidR="00E675F0" w:rsidRDefault="00E675F0" w:rsidP="00E675F0">
      <w:pPr>
        <w:ind w:left="109"/>
        <w:jc w:val="both"/>
        <w:rPr>
          <w:rFonts w:ascii="TimesNewRomanPS-BoldItalicMT"/>
          <w:b/>
          <w:i/>
          <w:sz w:val="24"/>
        </w:rPr>
      </w:pPr>
      <w:r>
        <w:rPr>
          <w:rFonts w:ascii="TimesNewRomanPS-BoldItalicMT"/>
          <w:b/>
          <w:i/>
          <w:w w:val="110"/>
          <w:sz w:val="24"/>
        </w:rPr>
        <w:t>Specific Culture, Age, and Gender Features</w:t>
      </w:r>
    </w:p>
    <w:p w:rsidR="00E675F0" w:rsidRDefault="00E675F0" w:rsidP="00E675F0">
      <w:pPr>
        <w:spacing w:before="146" w:line="268" w:lineRule="auto"/>
        <w:ind w:left="117" w:right="125" w:hanging="1"/>
        <w:jc w:val="both"/>
        <w:rPr>
          <w:sz w:val="19"/>
        </w:rPr>
      </w:pPr>
      <w:r>
        <w:rPr>
          <w:w w:val="110"/>
          <w:sz w:val="19"/>
        </w:rPr>
        <w:t>Since</w:t>
      </w:r>
      <w:r>
        <w:rPr>
          <w:spacing w:val="-10"/>
          <w:w w:val="110"/>
          <w:sz w:val="19"/>
        </w:rPr>
        <w:t xml:space="preserve"> </w:t>
      </w:r>
      <w:r>
        <w:rPr>
          <w:w w:val="110"/>
          <w:sz w:val="19"/>
        </w:rPr>
        <w:t>the</w:t>
      </w:r>
      <w:r>
        <w:rPr>
          <w:spacing w:val="-2"/>
          <w:w w:val="110"/>
          <w:sz w:val="19"/>
        </w:rPr>
        <w:t xml:space="preserve"> </w:t>
      </w:r>
      <w:r>
        <w:rPr>
          <w:w w:val="110"/>
          <w:sz w:val="19"/>
        </w:rPr>
        <w:t>1920s,</w:t>
      </w:r>
      <w:r>
        <w:rPr>
          <w:spacing w:val="-4"/>
          <w:w w:val="110"/>
          <w:sz w:val="19"/>
        </w:rPr>
        <w:t xml:space="preserve"> </w:t>
      </w:r>
      <w:r>
        <w:rPr>
          <w:w w:val="110"/>
          <w:sz w:val="19"/>
        </w:rPr>
        <w:t>in</w:t>
      </w:r>
      <w:r>
        <w:rPr>
          <w:spacing w:val="-10"/>
          <w:w w:val="110"/>
          <w:sz w:val="19"/>
        </w:rPr>
        <w:t xml:space="preserve"> </w:t>
      </w:r>
      <w:r>
        <w:rPr>
          <w:w w:val="110"/>
          <w:sz w:val="19"/>
        </w:rPr>
        <w:t>the</w:t>
      </w:r>
      <w:r>
        <w:rPr>
          <w:spacing w:val="7"/>
          <w:w w:val="110"/>
          <w:sz w:val="19"/>
        </w:rPr>
        <w:t xml:space="preserve"> </w:t>
      </w:r>
      <w:r>
        <w:rPr>
          <w:w w:val="110"/>
          <w:sz w:val="19"/>
        </w:rPr>
        <w:t>United</w:t>
      </w:r>
      <w:r>
        <w:rPr>
          <w:spacing w:val="-12"/>
          <w:w w:val="110"/>
          <w:sz w:val="19"/>
        </w:rPr>
        <w:t xml:space="preserve"> </w:t>
      </w:r>
      <w:r>
        <w:rPr>
          <w:w w:val="110"/>
          <w:sz w:val="19"/>
        </w:rPr>
        <w:t>States,</w:t>
      </w:r>
      <w:r>
        <w:rPr>
          <w:spacing w:val="-4"/>
          <w:w w:val="110"/>
          <w:sz w:val="19"/>
        </w:rPr>
        <w:t xml:space="preserve"> </w:t>
      </w:r>
      <w:r>
        <w:rPr>
          <w:w w:val="110"/>
          <w:sz w:val="19"/>
        </w:rPr>
        <w:t>members</w:t>
      </w:r>
      <w:r>
        <w:rPr>
          <w:spacing w:val="-8"/>
          <w:w w:val="110"/>
          <w:sz w:val="19"/>
        </w:rPr>
        <w:t xml:space="preserve"> </w:t>
      </w:r>
      <w:r>
        <w:rPr>
          <w:w w:val="110"/>
          <w:sz w:val="19"/>
        </w:rPr>
        <w:t>of</w:t>
      </w:r>
      <w:r>
        <w:rPr>
          <w:spacing w:val="-4"/>
          <w:w w:val="110"/>
          <w:sz w:val="19"/>
        </w:rPr>
        <w:t xml:space="preserve"> </w:t>
      </w:r>
      <w:r>
        <w:rPr>
          <w:w w:val="110"/>
          <w:sz w:val="19"/>
        </w:rPr>
        <w:t>minority</w:t>
      </w:r>
      <w:r>
        <w:rPr>
          <w:spacing w:val="-9"/>
          <w:w w:val="110"/>
          <w:sz w:val="19"/>
        </w:rPr>
        <w:t xml:space="preserve"> </w:t>
      </w:r>
      <w:r>
        <w:rPr>
          <w:w w:val="110"/>
          <w:sz w:val="19"/>
        </w:rPr>
        <w:t>groups</w:t>
      </w:r>
      <w:r>
        <w:rPr>
          <w:spacing w:val="-9"/>
          <w:w w:val="110"/>
          <w:sz w:val="19"/>
        </w:rPr>
        <w:t xml:space="preserve"> </w:t>
      </w:r>
      <w:r>
        <w:rPr>
          <w:w w:val="110"/>
          <w:sz w:val="19"/>
        </w:rPr>
        <w:t>living</w:t>
      </w:r>
      <w:r>
        <w:rPr>
          <w:spacing w:val="-5"/>
          <w:w w:val="110"/>
          <w:sz w:val="19"/>
        </w:rPr>
        <w:t xml:space="preserve"> </w:t>
      </w:r>
      <w:r>
        <w:rPr>
          <w:w w:val="110"/>
          <w:sz w:val="19"/>
        </w:rPr>
        <w:t>in</w:t>
      </w:r>
      <w:r>
        <w:rPr>
          <w:spacing w:val="-15"/>
          <w:w w:val="110"/>
          <w:sz w:val="19"/>
        </w:rPr>
        <w:t xml:space="preserve"> </w:t>
      </w:r>
      <w:r>
        <w:rPr>
          <w:w w:val="110"/>
          <w:sz w:val="19"/>
        </w:rPr>
        <w:t>economically deprived areas have been overrepresented among persons with Opioid</w:t>
      </w:r>
      <w:r>
        <w:rPr>
          <w:spacing w:val="-3"/>
          <w:w w:val="110"/>
          <w:sz w:val="19"/>
        </w:rPr>
        <w:t xml:space="preserve"> </w:t>
      </w:r>
      <w:r>
        <w:rPr>
          <w:w w:val="110"/>
          <w:sz w:val="19"/>
        </w:rPr>
        <w:t>Dependence.</w:t>
      </w:r>
    </w:p>
    <w:p w:rsidR="00E675F0" w:rsidRDefault="00E675F0" w:rsidP="00E675F0">
      <w:pPr>
        <w:spacing w:line="268" w:lineRule="auto"/>
        <w:jc w:val="both"/>
        <w:rPr>
          <w:sz w:val="19"/>
        </w:rPr>
        <w:sectPr w:rsidR="00E675F0">
          <w:pgSz w:w="8960" w:h="14260"/>
          <w:pgMar w:top="1400" w:right="640" w:bottom="280" w:left="620" w:header="697" w:footer="0" w:gutter="0"/>
          <w:cols w:space="720"/>
        </w:sectPr>
      </w:pPr>
    </w:p>
    <w:p w:rsidR="00E675F0" w:rsidRDefault="00E675F0" w:rsidP="00E675F0">
      <w:pPr>
        <w:pStyle w:val="BodyText"/>
        <w:spacing w:before="123" w:line="254" w:lineRule="auto"/>
        <w:ind w:left="113" w:right="119" w:firstLine="3"/>
        <w:jc w:val="both"/>
      </w:pPr>
      <w:r>
        <w:rPr>
          <w:w w:val="105"/>
        </w:rPr>
        <w:lastRenderedPageBreak/>
        <w:t>However, in the late 1800s and early 1900s, Opioid Dependence was seen more often among white middle-class individuals, suggesting that differences in use reflect the availability of opioid drugs and other social factors. Medical personnel who have ready access to opioids may have an increased risk for Opioid Abuse and Dependence.</w:t>
      </w:r>
    </w:p>
    <w:p w:rsidR="00E675F0" w:rsidRDefault="00E675F0" w:rsidP="00E675F0">
      <w:pPr>
        <w:pStyle w:val="BodyText"/>
        <w:spacing w:before="1" w:line="254" w:lineRule="auto"/>
        <w:ind w:left="113" w:right="118" w:firstLine="368"/>
        <w:jc w:val="both"/>
      </w:pPr>
      <w:r>
        <w:rPr>
          <w:w w:val="105"/>
        </w:rPr>
        <w:t>Increasing age appears to be associated with a decrease in prevalence. This tendency for Dependence to remit generally begins after age 40 years and has been called "maturing out." However, many persons have remained opioid dependent  for 50 years or longer. Males are more commonly affected, with the male-to-female ratio typically being 3 or</w:t>
      </w:r>
      <w:r>
        <w:rPr>
          <w:spacing w:val="22"/>
          <w:w w:val="105"/>
        </w:rPr>
        <w:t xml:space="preserve"> </w:t>
      </w:r>
      <w:r>
        <w:rPr>
          <w:spacing w:val="-3"/>
          <w:w w:val="105"/>
        </w:rPr>
        <w:t>4:1.</w:t>
      </w:r>
    </w:p>
    <w:p w:rsidR="00E675F0" w:rsidRDefault="00E675F0" w:rsidP="00E675F0">
      <w:pPr>
        <w:pStyle w:val="BodyText"/>
        <w:rPr>
          <w:sz w:val="22"/>
        </w:rPr>
      </w:pPr>
    </w:p>
    <w:p w:rsidR="00E675F0" w:rsidRDefault="00E675F0" w:rsidP="00E675F0">
      <w:pPr>
        <w:spacing w:before="130"/>
        <w:ind w:left="103"/>
        <w:rPr>
          <w:rFonts w:ascii="TimesNewRomanPS-BoldItalicMT"/>
          <w:b/>
          <w:i/>
          <w:sz w:val="24"/>
        </w:rPr>
      </w:pPr>
      <w:r>
        <w:rPr>
          <w:rFonts w:ascii="TimesNewRomanPS-BoldItalicMT"/>
          <w:b/>
          <w:i/>
          <w:w w:val="115"/>
          <w:sz w:val="24"/>
        </w:rPr>
        <w:t>Prevalence</w:t>
      </w:r>
    </w:p>
    <w:p w:rsidR="00E675F0" w:rsidRDefault="00E675F0" w:rsidP="00E675F0">
      <w:pPr>
        <w:pStyle w:val="BodyText"/>
        <w:spacing w:before="126" w:line="254" w:lineRule="auto"/>
        <w:ind w:left="115" w:right="114" w:firstLine="3"/>
        <w:jc w:val="both"/>
      </w:pPr>
      <w:r>
        <w:rPr>
          <w:w w:val="105"/>
        </w:rPr>
        <w:t>A community survey conducted in the United States in 1991 reported that 6% of the population sampled ever used analgesics for nonmedical purposes; 2.5% had used them within the past year; and 0.7% has used them in the last month. The survey also showed that 1.3% had used heroin in their lifetime, and 0.2% had used it in the last year (use in the last month was not reported). Because the survey assessed  patterns of  use rather than diagnoses, it is not known how many of those who used analgesics or heroin had symptoms that met criteria for Dependence or Abuse. A community study conducted in the</w:t>
      </w:r>
      <w:r>
        <w:rPr>
          <w:spacing w:val="-13"/>
          <w:w w:val="105"/>
        </w:rPr>
        <w:t xml:space="preserve"> </w:t>
      </w:r>
      <w:r>
        <w:rPr>
          <w:w w:val="105"/>
        </w:rPr>
        <w:t>United</w:t>
      </w:r>
      <w:r>
        <w:rPr>
          <w:spacing w:val="-5"/>
          <w:w w:val="105"/>
        </w:rPr>
        <w:t xml:space="preserve"> </w:t>
      </w:r>
      <w:r>
        <w:rPr>
          <w:w w:val="105"/>
        </w:rPr>
        <w:t>States</w:t>
      </w:r>
      <w:r>
        <w:rPr>
          <w:spacing w:val="-16"/>
          <w:w w:val="105"/>
        </w:rPr>
        <w:t xml:space="preserve"> </w:t>
      </w:r>
      <w:r>
        <w:rPr>
          <w:w w:val="105"/>
        </w:rPr>
        <w:t>from</w:t>
      </w:r>
      <w:r>
        <w:rPr>
          <w:spacing w:val="-16"/>
          <w:w w:val="105"/>
        </w:rPr>
        <w:t xml:space="preserve"> </w:t>
      </w:r>
      <w:r>
        <w:rPr>
          <w:w w:val="105"/>
        </w:rPr>
        <w:t>1980</w:t>
      </w:r>
      <w:r>
        <w:rPr>
          <w:spacing w:val="-12"/>
          <w:w w:val="105"/>
        </w:rPr>
        <w:t xml:space="preserve"> </w:t>
      </w:r>
      <w:r>
        <w:rPr>
          <w:w w:val="105"/>
        </w:rPr>
        <w:t>to</w:t>
      </w:r>
      <w:r>
        <w:rPr>
          <w:spacing w:val="-20"/>
          <w:w w:val="105"/>
        </w:rPr>
        <w:t xml:space="preserve"> </w:t>
      </w:r>
      <w:r>
        <w:rPr>
          <w:w w:val="105"/>
        </w:rPr>
        <w:t>1985</w:t>
      </w:r>
      <w:r>
        <w:rPr>
          <w:spacing w:val="-13"/>
          <w:w w:val="105"/>
        </w:rPr>
        <w:t xml:space="preserve"> </w:t>
      </w:r>
      <w:r>
        <w:rPr>
          <w:w w:val="105"/>
        </w:rPr>
        <w:t>that</w:t>
      </w:r>
      <w:r>
        <w:rPr>
          <w:spacing w:val="-8"/>
          <w:w w:val="105"/>
        </w:rPr>
        <w:t xml:space="preserve"> </w:t>
      </w:r>
      <w:r>
        <w:rPr>
          <w:w w:val="105"/>
        </w:rPr>
        <w:t>used</w:t>
      </w:r>
      <w:r>
        <w:rPr>
          <w:spacing w:val="-5"/>
          <w:w w:val="105"/>
        </w:rPr>
        <w:t xml:space="preserve"> </w:t>
      </w:r>
      <w:r>
        <w:rPr>
          <w:w w:val="105"/>
        </w:rPr>
        <w:t>the</w:t>
      </w:r>
      <w:r>
        <w:rPr>
          <w:spacing w:val="-9"/>
          <w:w w:val="105"/>
        </w:rPr>
        <w:t xml:space="preserve"> </w:t>
      </w:r>
      <w:r>
        <w:rPr>
          <w:w w:val="105"/>
        </w:rPr>
        <w:t>more</w:t>
      </w:r>
      <w:r>
        <w:rPr>
          <w:spacing w:val="-7"/>
          <w:w w:val="105"/>
        </w:rPr>
        <w:t xml:space="preserve"> </w:t>
      </w:r>
      <w:r>
        <w:rPr>
          <w:w w:val="105"/>
        </w:rPr>
        <w:t>narrowly</w:t>
      </w:r>
      <w:r>
        <w:rPr>
          <w:spacing w:val="-7"/>
          <w:w w:val="105"/>
        </w:rPr>
        <w:t xml:space="preserve"> </w:t>
      </w:r>
      <w:r>
        <w:rPr>
          <w:w w:val="105"/>
        </w:rPr>
        <w:t>defined</w:t>
      </w:r>
      <w:r>
        <w:rPr>
          <w:spacing w:val="-6"/>
          <w:w w:val="105"/>
        </w:rPr>
        <w:t xml:space="preserve"> </w:t>
      </w:r>
      <w:r>
        <w:rPr>
          <w:w w:val="105"/>
        </w:rPr>
        <w:t>DSM-III</w:t>
      </w:r>
      <w:r>
        <w:rPr>
          <w:spacing w:val="-5"/>
          <w:w w:val="105"/>
        </w:rPr>
        <w:t xml:space="preserve"> </w:t>
      </w:r>
      <w:r>
        <w:rPr>
          <w:w w:val="105"/>
        </w:rPr>
        <w:t>criteria found that 0.7% of the adult population had Opioid Dependence or Abuse at some time in their lives. Among those with Dependence or Abuse, 18% reported use in the last month and 42% reported having had a problem with opioids in the last year.</w:t>
      </w:r>
    </w:p>
    <w:p w:rsidR="00E675F0" w:rsidRDefault="00E675F0" w:rsidP="00E675F0">
      <w:pPr>
        <w:pStyle w:val="BodyText"/>
        <w:rPr>
          <w:sz w:val="22"/>
        </w:rPr>
      </w:pPr>
    </w:p>
    <w:p w:rsidR="00E675F0" w:rsidRDefault="00E675F0" w:rsidP="00E675F0">
      <w:pPr>
        <w:spacing w:before="134"/>
        <w:ind w:left="105"/>
        <w:rPr>
          <w:rFonts w:ascii="TimesNewRomanPS-BoldItalicMT"/>
          <w:b/>
          <w:i/>
          <w:sz w:val="24"/>
        </w:rPr>
      </w:pPr>
      <w:r>
        <w:rPr>
          <w:rFonts w:ascii="TimesNewRomanPS-BoldItalicMT"/>
          <w:b/>
          <w:i/>
          <w:w w:val="115"/>
          <w:sz w:val="24"/>
        </w:rPr>
        <w:t>Course</w:t>
      </w:r>
    </w:p>
    <w:p w:rsidR="00E675F0" w:rsidRDefault="00E675F0" w:rsidP="00E675F0">
      <w:pPr>
        <w:pStyle w:val="BodyText"/>
        <w:spacing w:before="126" w:line="252" w:lineRule="auto"/>
        <w:ind w:left="124" w:right="110" w:hanging="1"/>
        <w:jc w:val="both"/>
      </w:pPr>
      <w:r>
        <w:rPr>
          <w:w w:val="105"/>
        </w:rPr>
        <w:t>Opioid Dependence can begin at any age, but problems associated with opioid use are most commonly first observed in the late teens or early 20s. Once Dependence develops, it is usually continuous over a period of many years, even though brief periods of abstinence are frequent. Relapse following abstinence is common, even after many years of incarceration. One exception to the typical chronic course of  Opioid  Dependence was observed in service personnel who became dependent on opioids in Vietnam. On their return to the United States, less than 10% of those who had been dependent on opioids relapsed, although they experienced increased rates of Alcohol or Amphetamine Dependence. Few data are available on the course of Opioid</w:t>
      </w:r>
      <w:r>
        <w:rPr>
          <w:spacing w:val="51"/>
          <w:w w:val="105"/>
        </w:rPr>
        <w:t xml:space="preserve"> </w:t>
      </w:r>
      <w:r>
        <w:rPr>
          <w:w w:val="105"/>
        </w:rPr>
        <w:t>Abuse.</w:t>
      </w:r>
    </w:p>
    <w:p w:rsidR="00E675F0" w:rsidRDefault="00E675F0" w:rsidP="00E675F0">
      <w:pPr>
        <w:pStyle w:val="BodyText"/>
        <w:rPr>
          <w:sz w:val="22"/>
        </w:rPr>
      </w:pPr>
    </w:p>
    <w:p w:rsidR="00E675F0" w:rsidRDefault="00E675F0" w:rsidP="00E675F0">
      <w:pPr>
        <w:spacing w:before="132"/>
        <w:ind w:left="100"/>
        <w:rPr>
          <w:rFonts w:ascii="TimesNewRomanPS-BoldItalicMT"/>
          <w:b/>
          <w:i/>
          <w:sz w:val="24"/>
        </w:rPr>
      </w:pPr>
      <w:r>
        <w:rPr>
          <w:rFonts w:ascii="TimesNewRomanPS-BoldItalicMT"/>
          <w:b/>
          <w:i/>
          <w:w w:val="115"/>
          <w:sz w:val="24"/>
        </w:rPr>
        <w:t>Familial Pattern</w:t>
      </w:r>
    </w:p>
    <w:p w:rsidR="00E675F0" w:rsidRDefault="00E675F0" w:rsidP="00E675F0">
      <w:pPr>
        <w:pStyle w:val="BodyText"/>
        <w:spacing w:before="137" w:line="256" w:lineRule="auto"/>
        <w:ind w:left="128" w:right="109" w:hanging="10"/>
        <w:jc w:val="both"/>
      </w:pPr>
      <w:r>
        <w:rPr>
          <w:w w:val="105"/>
        </w:rPr>
        <w:t>The family members of individuals with Opioid Dependence are likely to have higher levels of psychopathology, especially an increased incidence of other Substance-Related Disorders and Antisocial Personality Disorder.</w:t>
      </w:r>
    </w:p>
    <w:p w:rsidR="00E675F0" w:rsidRDefault="00E675F0" w:rsidP="00E675F0">
      <w:pPr>
        <w:pStyle w:val="BodyText"/>
        <w:spacing w:before="5"/>
        <w:rPr>
          <w:sz w:val="32"/>
        </w:rPr>
      </w:pPr>
    </w:p>
    <w:p w:rsidR="00E675F0" w:rsidRDefault="00E675F0" w:rsidP="00E675F0">
      <w:pPr>
        <w:ind w:left="110"/>
        <w:rPr>
          <w:rFonts w:ascii="TimesNewRomanPS-BoldItalicMT"/>
          <w:b/>
          <w:i/>
          <w:sz w:val="24"/>
        </w:rPr>
      </w:pPr>
      <w:r>
        <w:rPr>
          <w:rFonts w:ascii="TimesNewRomanPS-BoldItalicMT"/>
          <w:b/>
          <w:i/>
          <w:w w:val="115"/>
          <w:sz w:val="24"/>
        </w:rPr>
        <w:t>Di,fferential magnosis</w:t>
      </w:r>
    </w:p>
    <w:p w:rsidR="00E675F0" w:rsidRDefault="00E675F0" w:rsidP="00E675F0">
      <w:pPr>
        <w:pStyle w:val="BodyText"/>
        <w:spacing w:before="141"/>
        <w:ind w:left="127"/>
        <w:jc w:val="both"/>
      </w:pPr>
      <w:r>
        <w:rPr>
          <w:w w:val="105"/>
        </w:rPr>
        <w:t>For</w:t>
      </w:r>
      <w:r>
        <w:rPr>
          <w:spacing w:val="-11"/>
          <w:w w:val="105"/>
        </w:rPr>
        <w:t xml:space="preserve"> </w:t>
      </w:r>
      <w:r>
        <w:rPr>
          <w:w w:val="105"/>
        </w:rPr>
        <w:t>a</w:t>
      </w:r>
      <w:r>
        <w:rPr>
          <w:spacing w:val="-12"/>
          <w:w w:val="105"/>
        </w:rPr>
        <w:t xml:space="preserve"> </w:t>
      </w:r>
      <w:r>
        <w:rPr>
          <w:w w:val="105"/>
        </w:rPr>
        <w:t>general</w:t>
      </w:r>
      <w:r>
        <w:rPr>
          <w:spacing w:val="-4"/>
          <w:w w:val="105"/>
        </w:rPr>
        <w:t xml:space="preserve"> </w:t>
      </w:r>
      <w:r>
        <w:rPr>
          <w:w w:val="105"/>
        </w:rPr>
        <w:t>discussion</w:t>
      </w:r>
      <w:r>
        <w:rPr>
          <w:spacing w:val="3"/>
          <w:w w:val="105"/>
        </w:rPr>
        <w:t xml:space="preserve"> </w:t>
      </w:r>
      <w:r>
        <w:rPr>
          <w:w w:val="105"/>
        </w:rPr>
        <w:t>of the</w:t>
      </w:r>
      <w:r>
        <w:rPr>
          <w:spacing w:val="-15"/>
          <w:w w:val="105"/>
        </w:rPr>
        <w:t xml:space="preserve"> </w:t>
      </w:r>
      <w:r>
        <w:rPr>
          <w:w w:val="105"/>
        </w:rPr>
        <w:t>differential</w:t>
      </w:r>
      <w:r>
        <w:rPr>
          <w:spacing w:val="-1"/>
          <w:w w:val="105"/>
        </w:rPr>
        <w:t xml:space="preserve"> </w:t>
      </w:r>
      <w:r>
        <w:rPr>
          <w:w w:val="105"/>
        </w:rPr>
        <w:t>diagnosis</w:t>
      </w:r>
      <w:r>
        <w:rPr>
          <w:spacing w:val="-5"/>
          <w:w w:val="105"/>
        </w:rPr>
        <w:t xml:space="preserve"> </w:t>
      </w:r>
      <w:r>
        <w:rPr>
          <w:w w:val="105"/>
        </w:rPr>
        <w:t>of</w:t>
      </w:r>
      <w:r>
        <w:rPr>
          <w:spacing w:val="-9"/>
          <w:w w:val="105"/>
        </w:rPr>
        <w:t xml:space="preserve"> </w:t>
      </w:r>
      <w:r>
        <w:rPr>
          <w:w w:val="105"/>
        </w:rPr>
        <w:t>Substance-Related</w:t>
      </w:r>
      <w:r>
        <w:rPr>
          <w:spacing w:val="-5"/>
          <w:w w:val="105"/>
        </w:rPr>
        <w:t xml:space="preserve"> </w:t>
      </w:r>
      <w:r>
        <w:rPr>
          <w:w w:val="105"/>
        </w:rPr>
        <w:t>Disorders,</w:t>
      </w:r>
      <w:r>
        <w:rPr>
          <w:spacing w:val="-6"/>
          <w:w w:val="105"/>
        </w:rPr>
        <w:t xml:space="preserve"> </w:t>
      </w:r>
      <w:r>
        <w:rPr>
          <w:w w:val="105"/>
        </w:rPr>
        <w:t>see</w:t>
      </w:r>
    </w:p>
    <w:p w:rsidR="00E675F0" w:rsidRDefault="00E675F0" w:rsidP="00E675F0">
      <w:pPr>
        <w:pStyle w:val="BodyText"/>
        <w:spacing w:before="15" w:line="247" w:lineRule="auto"/>
        <w:ind w:left="128" w:right="108" w:firstLine="2"/>
        <w:jc w:val="both"/>
      </w:pPr>
      <w:r>
        <w:rPr>
          <w:w w:val="105"/>
        </w:rPr>
        <w:t xml:space="preserve">p. 190. Opioid-Induced Disorders may be characterized by symptoms (e.g., depressed mood) that resemble </w:t>
      </w:r>
      <w:r>
        <w:rPr>
          <w:b/>
          <w:w w:val="105"/>
          <w:sz w:val="21"/>
        </w:rPr>
        <w:t xml:space="preserve">primary mental disorders </w:t>
      </w:r>
      <w:r>
        <w:rPr>
          <w:w w:val="105"/>
        </w:rPr>
        <w:t>(e.g., Dysthymia versus Opioid­ Induced  Mood  Disorder,  With Depressive  Features,  With Onset</w:t>
      </w:r>
      <w:r>
        <w:rPr>
          <w:spacing w:val="-27"/>
          <w:w w:val="105"/>
        </w:rPr>
        <w:t xml:space="preserve"> </w:t>
      </w:r>
      <w:r>
        <w:rPr>
          <w:w w:val="105"/>
        </w:rPr>
        <w:t>During Intoxication).</w:t>
      </w:r>
    </w:p>
    <w:p w:rsidR="00E675F0" w:rsidRDefault="00E675F0" w:rsidP="00E675F0">
      <w:pPr>
        <w:spacing w:line="247" w:lineRule="auto"/>
        <w:jc w:val="both"/>
        <w:sectPr w:rsidR="00E675F0">
          <w:pgSz w:w="8960" w:h="14260"/>
          <w:pgMar w:top="1400" w:right="620" w:bottom="280" w:left="620" w:header="707" w:footer="0" w:gutter="0"/>
          <w:cols w:space="720"/>
        </w:sectPr>
      </w:pPr>
    </w:p>
    <w:p w:rsidR="00E675F0" w:rsidRDefault="00E675F0" w:rsidP="00E675F0">
      <w:pPr>
        <w:pStyle w:val="BodyText"/>
        <w:spacing w:before="113" w:line="249" w:lineRule="auto"/>
        <w:ind w:left="110" w:right="129" w:hanging="3"/>
        <w:jc w:val="both"/>
      </w:pPr>
      <w:bookmarkStart w:id="167" w:name="_bookmark147"/>
      <w:bookmarkEnd w:id="167"/>
      <w:r>
        <w:rPr>
          <w:w w:val="105"/>
        </w:rPr>
        <w:lastRenderedPageBreak/>
        <w:t>Seep.</w:t>
      </w:r>
      <w:r>
        <w:rPr>
          <w:spacing w:val="-15"/>
          <w:w w:val="105"/>
        </w:rPr>
        <w:t xml:space="preserve"> </w:t>
      </w:r>
      <w:r>
        <w:rPr>
          <w:w w:val="105"/>
        </w:rPr>
        <w:t>193</w:t>
      </w:r>
      <w:r>
        <w:rPr>
          <w:spacing w:val="-25"/>
          <w:w w:val="105"/>
        </w:rPr>
        <w:t xml:space="preserve"> </w:t>
      </w:r>
      <w:r>
        <w:rPr>
          <w:w w:val="105"/>
        </w:rPr>
        <w:t>for</w:t>
      </w:r>
      <w:r>
        <w:rPr>
          <w:spacing w:val="-16"/>
          <w:w w:val="105"/>
        </w:rPr>
        <w:t xml:space="preserve"> </w:t>
      </w:r>
      <w:r>
        <w:rPr>
          <w:w w:val="105"/>
        </w:rPr>
        <w:t>a</w:t>
      </w:r>
      <w:r>
        <w:rPr>
          <w:spacing w:val="-9"/>
          <w:w w:val="105"/>
        </w:rPr>
        <w:t xml:space="preserve"> </w:t>
      </w:r>
      <w:r>
        <w:rPr>
          <w:w w:val="105"/>
        </w:rPr>
        <w:t>discussion</w:t>
      </w:r>
      <w:r>
        <w:rPr>
          <w:spacing w:val="8"/>
          <w:w w:val="105"/>
        </w:rPr>
        <w:t xml:space="preserve"> </w:t>
      </w:r>
      <w:r>
        <w:rPr>
          <w:w w:val="105"/>
        </w:rPr>
        <w:t>of this</w:t>
      </w:r>
      <w:r>
        <w:rPr>
          <w:spacing w:val="-11"/>
          <w:w w:val="105"/>
        </w:rPr>
        <w:t xml:space="preserve"> </w:t>
      </w:r>
      <w:r>
        <w:rPr>
          <w:w w:val="105"/>
        </w:rPr>
        <w:t>differential</w:t>
      </w:r>
      <w:r>
        <w:rPr>
          <w:spacing w:val="2"/>
          <w:w w:val="105"/>
        </w:rPr>
        <w:t xml:space="preserve"> </w:t>
      </w:r>
      <w:r>
        <w:rPr>
          <w:w w:val="105"/>
        </w:rPr>
        <w:t>diagnosis. Opioids</w:t>
      </w:r>
      <w:r>
        <w:rPr>
          <w:spacing w:val="-5"/>
          <w:w w:val="105"/>
        </w:rPr>
        <w:t xml:space="preserve"> </w:t>
      </w:r>
      <w:r>
        <w:rPr>
          <w:w w:val="105"/>
        </w:rPr>
        <w:t>are</w:t>
      </w:r>
      <w:r>
        <w:rPr>
          <w:spacing w:val="-12"/>
          <w:w w:val="105"/>
        </w:rPr>
        <w:t xml:space="preserve"> </w:t>
      </w:r>
      <w:r>
        <w:rPr>
          <w:w w:val="105"/>
        </w:rPr>
        <w:t>less</w:t>
      </w:r>
      <w:r>
        <w:rPr>
          <w:spacing w:val="-9"/>
          <w:w w:val="105"/>
        </w:rPr>
        <w:t xml:space="preserve"> </w:t>
      </w:r>
      <w:r>
        <w:rPr>
          <w:w w:val="105"/>
        </w:rPr>
        <w:t>likely</w:t>
      </w:r>
      <w:r>
        <w:rPr>
          <w:spacing w:val="-7"/>
          <w:w w:val="105"/>
        </w:rPr>
        <w:t xml:space="preserve"> </w:t>
      </w:r>
      <w:r>
        <w:rPr>
          <w:w w:val="105"/>
        </w:rPr>
        <w:t>to</w:t>
      </w:r>
      <w:r>
        <w:rPr>
          <w:spacing w:val="6"/>
          <w:w w:val="105"/>
        </w:rPr>
        <w:t xml:space="preserve"> </w:t>
      </w:r>
      <w:r>
        <w:rPr>
          <w:w w:val="105"/>
        </w:rPr>
        <w:t>produce symptoms of mental disturbance than are most other drugs of abuse and, in some instances,</w:t>
      </w:r>
      <w:r>
        <w:rPr>
          <w:spacing w:val="2"/>
          <w:w w:val="105"/>
        </w:rPr>
        <w:t xml:space="preserve"> </w:t>
      </w:r>
      <w:r>
        <w:rPr>
          <w:w w:val="105"/>
        </w:rPr>
        <w:t>will</w:t>
      </w:r>
      <w:r>
        <w:rPr>
          <w:spacing w:val="-15"/>
          <w:w w:val="105"/>
        </w:rPr>
        <w:t xml:space="preserve"> </w:t>
      </w:r>
      <w:r>
        <w:rPr>
          <w:w w:val="105"/>
        </w:rPr>
        <w:t>even</w:t>
      </w:r>
      <w:r>
        <w:rPr>
          <w:spacing w:val="-8"/>
          <w:w w:val="105"/>
        </w:rPr>
        <w:t xml:space="preserve"> </w:t>
      </w:r>
      <w:r>
        <w:rPr>
          <w:w w:val="105"/>
        </w:rPr>
        <w:t>reduce</w:t>
      </w:r>
      <w:r>
        <w:rPr>
          <w:spacing w:val="-13"/>
          <w:w w:val="105"/>
        </w:rPr>
        <w:t xml:space="preserve"> </w:t>
      </w:r>
      <w:r>
        <w:rPr>
          <w:w w:val="105"/>
        </w:rPr>
        <w:t>such</w:t>
      </w:r>
      <w:r>
        <w:rPr>
          <w:spacing w:val="-14"/>
          <w:w w:val="105"/>
        </w:rPr>
        <w:t xml:space="preserve"> </w:t>
      </w:r>
      <w:r>
        <w:rPr>
          <w:w w:val="105"/>
        </w:rPr>
        <w:t>symptoms. In</w:t>
      </w:r>
      <w:r>
        <w:rPr>
          <w:spacing w:val="-11"/>
          <w:w w:val="105"/>
        </w:rPr>
        <w:t xml:space="preserve"> </w:t>
      </w:r>
      <w:r>
        <w:rPr>
          <w:w w:val="105"/>
        </w:rPr>
        <w:t>these</w:t>
      </w:r>
      <w:r>
        <w:rPr>
          <w:spacing w:val="-17"/>
          <w:w w:val="105"/>
        </w:rPr>
        <w:t xml:space="preserve"> </w:t>
      </w:r>
      <w:r>
        <w:rPr>
          <w:w w:val="105"/>
        </w:rPr>
        <w:t>cases,</w:t>
      </w:r>
      <w:r>
        <w:rPr>
          <w:spacing w:val="-1"/>
          <w:w w:val="105"/>
        </w:rPr>
        <w:t xml:space="preserve"> </w:t>
      </w:r>
      <w:r>
        <w:rPr>
          <w:w w:val="105"/>
        </w:rPr>
        <w:t>mental</w:t>
      </w:r>
      <w:r>
        <w:rPr>
          <w:spacing w:val="-7"/>
          <w:w w:val="105"/>
        </w:rPr>
        <w:t xml:space="preserve"> </w:t>
      </w:r>
      <w:r>
        <w:rPr>
          <w:w w:val="105"/>
        </w:rPr>
        <w:t>symptoms</w:t>
      </w:r>
      <w:r>
        <w:rPr>
          <w:spacing w:val="-3"/>
          <w:w w:val="105"/>
        </w:rPr>
        <w:t xml:space="preserve"> </w:t>
      </w:r>
      <w:r>
        <w:rPr>
          <w:w w:val="105"/>
        </w:rPr>
        <w:t>or</w:t>
      </w:r>
      <w:r>
        <w:rPr>
          <w:spacing w:val="-17"/>
          <w:w w:val="105"/>
        </w:rPr>
        <w:t xml:space="preserve"> </w:t>
      </w:r>
      <w:r>
        <w:rPr>
          <w:w w:val="105"/>
        </w:rPr>
        <w:t>disorders may emerge after opioid use is</w:t>
      </w:r>
      <w:r>
        <w:rPr>
          <w:spacing w:val="-27"/>
          <w:w w:val="105"/>
        </w:rPr>
        <w:t xml:space="preserve"> </w:t>
      </w:r>
      <w:r>
        <w:rPr>
          <w:w w:val="105"/>
        </w:rPr>
        <w:t>discontinued.</w:t>
      </w:r>
    </w:p>
    <w:p w:rsidR="00E675F0" w:rsidRDefault="00E675F0" w:rsidP="00E675F0">
      <w:pPr>
        <w:pStyle w:val="BodyText"/>
        <w:spacing w:before="10" w:line="254" w:lineRule="auto"/>
        <w:ind w:left="108" w:right="128" w:firstLine="362"/>
        <w:jc w:val="both"/>
      </w:pPr>
      <w:r>
        <w:rPr>
          <w:b/>
          <w:w w:val="110"/>
        </w:rPr>
        <w:t xml:space="preserve">Alcohol Intoxication </w:t>
      </w:r>
      <w:r>
        <w:rPr>
          <w:w w:val="110"/>
        </w:rPr>
        <w:t xml:space="preserve">and </w:t>
      </w:r>
      <w:r>
        <w:rPr>
          <w:b/>
          <w:w w:val="110"/>
        </w:rPr>
        <w:t xml:space="preserve">Sedative, Hypnotic, or Anxiolytic Intoxication </w:t>
      </w:r>
      <w:r>
        <w:rPr>
          <w:w w:val="110"/>
        </w:rPr>
        <w:t>can cause</w:t>
      </w:r>
      <w:r>
        <w:rPr>
          <w:spacing w:val="-7"/>
          <w:w w:val="110"/>
        </w:rPr>
        <w:t xml:space="preserve"> </w:t>
      </w:r>
      <w:r>
        <w:rPr>
          <w:w w:val="110"/>
        </w:rPr>
        <w:t>a</w:t>
      </w:r>
      <w:r>
        <w:rPr>
          <w:spacing w:val="-8"/>
          <w:w w:val="110"/>
        </w:rPr>
        <w:t xml:space="preserve"> </w:t>
      </w:r>
      <w:r>
        <w:rPr>
          <w:w w:val="110"/>
        </w:rPr>
        <w:t>clinical</w:t>
      </w:r>
      <w:r>
        <w:rPr>
          <w:spacing w:val="1"/>
          <w:w w:val="110"/>
        </w:rPr>
        <w:t xml:space="preserve"> </w:t>
      </w:r>
      <w:r>
        <w:rPr>
          <w:w w:val="110"/>
        </w:rPr>
        <w:t>picture</w:t>
      </w:r>
      <w:r>
        <w:rPr>
          <w:spacing w:val="-2"/>
          <w:w w:val="110"/>
        </w:rPr>
        <w:t xml:space="preserve"> </w:t>
      </w:r>
      <w:r>
        <w:rPr>
          <w:w w:val="110"/>
        </w:rPr>
        <w:t>that</w:t>
      </w:r>
      <w:r>
        <w:rPr>
          <w:spacing w:val="-3"/>
          <w:w w:val="110"/>
        </w:rPr>
        <w:t xml:space="preserve"> </w:t>
      </w:r>
      <w:r>
        <w:rPr>
          <w:w w:val="110"/>
        </w:rPr>
        <w:t>resembles</w:t>
      </w:r>
      <w:r>
        <w:rPr>
          <w:spacing w:val="-2"/>
          <w:w w:val="110"/>
        </w:rPr>
        <w:t xml:space="preserve"> </w:t>
      </w:r>
      <w:r>
        <w:rPr>
          <w:w w:val="110"/>
        </w:rPr>
        <w:t>Opioid</w:t>
      </w:r>
      <w:r>
        <w:rPr>
          <w:spacing w:val="-6"/>
          <w:w w:val="110"/>
        </w:rPr>
        <w:t xml:space="preserve"> </w:t>
      </w:r>
      <w:r>
        <w:rPr>
          <w:w w:val="110"/>
        </w:rPr>
        <w:t>Intoxication. A</w:t>
      </w:r>
      <w:r>
        <w:rPr>
          <w:spacing w:val="-11"/>
          <w:w w:val="110"/>
        </w:rPr>
        <w:t xml:space="preserve"> </w:t>
      </w:r>
      <w:r>
        <w:rPr>
          <w:w w:val="110"/>
        </w:rPr>
        <w:t>diagnosis</w:t>
      </w:r>
      <w:r>
        <w:rPr>
          <w:spacing w:val="-5"/>
          <w:w w:val="110"/>
        </w:rPr>
        <w:t xml:space="preserve"> </w:t>
      </w:r>
      <w:r>
        <w:rPr>
          <w:w w:val="110"/>
        </w:rPr>
        <w:t>of</w:t>
      </w:r>
      <w:r>
        <w:rPr>
          <w:spacing w:val="-6"/>
          <w:w w:val="110"/>
        </w:rPr>
        <w:t xml:space="preserve"> </w:t>
      </w:r>
      <w:r>
        <w:rPr>
          <w:w w:val="110"/>
        </w:rPr>
        <w:t>Alcohol</w:t>
      </w:r>
      <w:r>
        <w:rPr>
          <w:spacing w:val="-3"/>
          <w:w w:val="110"/>
        </w:rPr>
        <w:t xml:space="preserve"> </w:t>
      </w:r>
      <w:r>
        <w:rPr>
          <w:w w:val="110"/>
        </w:rPr>
        <w:t>or Sedative,</w:t>
      </w:r>
      <w:r>
        <w:rPr>
          <w:spacing w:val="-31"/>
          <w:w w:val="110"/>
        </w:rPr>
        <w:t xml:space="preserve"> </w:t>
      </w:r>
      <w:r>
        <w:rPr>
          <w:w w:val="110"/>
        </w:rPr>
        <w:t>Hypnotic,</w:t>
      </w:r>
      <w:r>
        <w:rPr>
          <w:spacing w:val="-32"/>
          <w:w w:val="110"/>
        </w:rPr>
        <w:t xml:space="preserve"> </w:t>
      </w:r>
      <w:r>
        <w:rPr>
          <w:w w:val="110"/>
        </w:rPr>
        <w:t>or</w:t>
      </w:r>
      <w:r>
        <w:rPr>
          <w:spacing w:val="-34"/>
          <w:w w:val="110"/>
        </w:rPr>
        <w:t xml:space="preserve"> </w:t>
      </w:r>
      <w:r>
        <w:rPr>
          <w:w w:val="110"/>
        </w:rPr>
        <w:t>Anxiolytic</w:t>
      </w:r>
      <w:r>
        <w:rPr>
          <w:spacing w:val="-31"/>
          <w:w w:val="110"/>
        </w:rPr>
        <w:t xml:space="preserve"> </w:t>
      </w:r>
      <w:r>
        <w:rPr>
          <w:w w:val="110"/>
        </w:rPr>
        <w:t>Intoxication</w:t>
      </w:r>
      <w:r>
        <w:rPr>
          <w:spacing w:val="-29"/>
          <w:w w:val="110"/>
        </w:rPr>
        <w:t xml:space="preserve"> </w:t>
      </w:r>
      <w:r>
        <w:rPr>
          <w:w w:val="110"/>
        </w:rPr>
        <w:t>can</w:t>
      </w:r>
      <w:r>
        <w:rPr>
          <w:spacing w:val="-35"/>
          <w:w w:val="110"/>
        </w:rPr>
        <w:t xml:space="preserve"> </w:t>
      </w:r>
      <w:r>
        <w:rPr>
          <w:w w:val="110"/>
        </w:rPr>
        <w:t>usually</w:t>
      </w:r>
      <w:r>
        <w:rPr>
          <w:spacing w:val="-31"/>
          <w:w w:val="110"/>
        </w:rPr>
        <w:t xml:space="preserve"> </w:t>
      </w:r>
      <w:r>
        <w:rPr>
          <w:w w:val="110"/>
        </w:rPr>
        <w:t>be</w:t>
      </w:r>
      <w:r>
        <w:rPr>
          <w:spacing w:val="-33"/>
          <w:w w:val="110"/>
        </w:rPr>
        <w:t xml:space="preserve"> </w:t>
      </w:r>
      <w:r>
        <w:rPr>
          <w:w w:val="110"/>
        </w:rPr>
        <w:t>made</w:t>
      </w:r>
      <w:r>
        <w:rPr>
          <w:spacing w:val="-32"/>
          <w:w w:val="110"/>
        </w:rPr>
        <w:t xml:space="preserve"> </w:t>
      </w:r>
      <w:r>
        <w:rPr>
          <w:w w:val="110"/>
        </w:rPr>
        <w:t>based</w:t>
      </w:r>
      <w:r>
        <w:rPr>
          <w:spacing w:val="-32"/>
          <w:w w:val="110"/>
        </w:rPr>
        <w:t xml:space="preserve"> </w:t>
      </w:r>
      <w:r>
        <w:rPr>
          <w:w w:val="110"/>
        </w:rPr>
        <w:t>on</w:t>
      </w:r>
      <w:r>
        <w:rPr>
          <w:spacing w:val="-31"/>
          <w:w w:val="110"/>
        </w:rPr>
        <w:t xml:space="preserve"> </w:t>
      </w:r>
      <w:r>
        <w:rPr>
          <w:w w:val="110"/>
        </w:rPr>
        <w:t>the</w:t>
      </w:r>
      <w:r>
        <w:rPr>
          <w:spacing w:val="-38"/>
          <w:w w:val="110"/>
        </w:rPr>
        <w:t xml:space="preserve"> </w:t>
      </w:r>
      <w:r>
        <w:rPr>
          <w:w w:val="110"/>
        </w:rPr>
        <w:t>absence of pupillary constriction or the lack of a response to a naloxone challenge. In some cases, intoxication may be due both to opioids and to alcohol or other sedatives. In these cases, the naloxone challenge will not reverse all of the sedative effects. The anxiety</w:t>
      </w:r>
      <w:r>
        <w:rPr>
          <w:spacing w:val="-10"/>
          <w:w w:val="110"/>
        </w:rPr>
        <w:t xml:space="preserve"> </w:t>
      </w:r>
      <w:r>
        <w:rPr>
          <w:w w:val="110"/>
        </w:rPr>
        <w:t>and</w:t>
      </w:r>
      <w:r>
        <w:rPr>
          <w:spacing w:val="-7"/>
          <w:w w:val="110"/>
        </w:rPr>
        <w:t xml:space="preserve"> </w:t>
      </w:r>
      <w:r>
        <w:rPr>
          <w:w w:val="110"/>
        </w:rPr>
        <w:t>restlessness</w:t>
      </w:r>
      <w:r>
        <w:rPr>
          <w:spacing w:val="-9"/>
          <w:w w:val="110"/>
        </w:rPr>
        <w:t xml:space="preserve"> </w:t>
      </w:r>
      <w:r>
        <w:rPr>
          <w:w w:val="110"/>
        </w:rPr>
        <w:t>associated</w:t>
      </w:r>
      <w:r>
        <w:rPr>
          <w:spacing w:val="-2"/>
          <w:w w:val="110"/>
        </w:rPr>
        <w:t xml:space="preserve"> </w:t>
      </w:r>
      <w:r>
        <w:rPr>
          <w:w w:val="110"/>
        </w:rPr>
        <w:t>with</w:t>
      </w:r>
      <w:r>
        <w:rPr>
          <w:spacing w:val="-12"/>
          <w:w w:val="110"/>
        </w:rPr>
        <w:t xml:space="preserve"> </w:t>
      </w:r>
      <w:r>
        <w:rPr>
          <w:w w:val="110"/>
        </w:rPr>
        <w:t>Opioid</w:t>
      </w:r>
      <w:r>
        <w:rPr>
          <w:spacing w:val="-10"/>
          <w:w w:val="110"/>
        </w:rPr>
        <w:t xml:space="preserve"> </w:t>
      </w:r>
      <w:r>
        <w:rPr>
          <w:w w:val="110"/>
        </w:rPr>
        <w:t>Withdrawal</w:t>
      </w:r>
      <w:r>
        <w:rPr>
          <w:spacing w:val="-2"/>
          <w:w w:val="110"/>
        </w:rPr>
        <w:t xml:space="preserve"> </w:t>
      </w:r>
      <w:r>
        <w:rPr>
          <w:w w:val="110"/>
        </w:rPr>
        <w:t>resemble</w:t>
      </w:r>
      <w:r>
        <w:rPr>
          <w:spacing w:val="-11"/>
          <w:w w:val="110"/>
        </w:rPr>
        <w:t xml:space="preserve"> </w:t>
      </w:r>
      <w:r>
        <w:rPr>
          <w:w w:val="110"/>
        </w:rPr>
        <w:t>symptoms</w:t>
      </w:r>
      <w:r>
        <w:rPr>
          <w:spacing w:val="-13"/>
          <w:w w:val="110"/>
        </w:rPr>
        <w:t xml:space="preserve"> </w:t>
      </w:r>
      <w:r>
        <w:rPr>
          <w:w w:val="110"/>
        </w:rPr>
        <w:t xml:space="preserve">seen in </w:t>
      </w:r>
      <w:r>
        <w:rPr>
          <w:b/>
          <w:w w:val="110"/>
        </w:rPr>
        <w:t xml:space="preserve">Sedative, Hypnotic, or Anxiolytic Withdrawal. </w:t>
      </w:r>
      <w:r>
        <w:rPr>
          <w:w w:val="110"/>
        </w:rPr>
        <w:t>However, Opioid Withdrawal is also</w:t>
      </w:r>
      <w:r>
        <w:rPr>
          <w:spacing w:val="-28"/>
          <w:w w:val="110"/>
        </w:rPr>
        <w:t xml:space="preserve"> </w:t>
      </w:r>
      <w:r>
        <w:rPr>
          <w:w w:val="110"/>
        </w:rPr>
        <w:t>accompanied</w:t>
      </w:r>
      <w:r>
        <w:rPr>
          <w:spacing w:val="-14"/>
          <w:w w:val="110"/>
        </w:rPr>
        <w:t xml:space="preserve"> </w:t>
      </w:r>
      <w:r>
        <w:rPr>
          <w:w w:val="110"/>
        </w:rPr>
        <w:t>by</w:t>
      </w:r>
      <w:r>
        <w:rPr>
          <w:spacing w:val="-22"/>
          <w:w w:val="110"/>
        </w:rPr>
        <w:t xml:space="preserve"> </w:t>
      </w:r>
      <w:r>
        <w:rPr>
          <w:w w:val="110"/>
        </w:rPr>
        <w:t>rhinorrhea,</w:t>
      </w:r>
      <w:r>
        <w:rPr>
          <w:spacing w:val="-15"/>
          <w:w w:val="110"/>
        </w:rPr>
        <w:t xml:space="preserve"> </w:t>
      </w:r>
      <w:r>
        <w:rPr>
          <w:w w:val="110"/>
        </w:rPr>
        <w:t>lacrimation,</w:t>
      </w:r>
      <w:r>
        <w:rPr>
          <w:spacing w:val="-17"/>
          <w:w w:val="110"/>
        </w:rPr>
        <w:t xml:space="preserve"> </w:t>
      </w:r>
      <w:r>
        <w:rPr>
          <w:w w:val="110"/>
        </w:rPr>
        <w:t>and</w:t>
      </w:r>
      <w:r>
        <w:rPr>
          <w:spacing w:val="-22"/>
          <w:w w:val="110"/>
        </w:rPr>
        <w:t xml:space="preserve"> </w:t>
      </w:r>
      <w:r>
        <w:rPr>
          <w:w w:val="110"/>
        </w:rPr>
        <w:t>pupillary</w:t>
      </w:r>
      <w:r>
        <w:rPr>
          <w:spacing w:val="-22"/>
          <w:w w:val="110"/>
        </w:rPr>
        <w:t xml:space="preserve"> </w:t>
      </w:r>
      <w:r>
        <w:rPr>
          <w:w w:val="110"/>
        </w:rPr>
        <w:t>dilation,</w:t>
      </w:r>
      <w:r>
        <w:rPr>
          <w:spacing w:val="-20"/>
          <w:w w:val="110"/>
        </w:rPr>
        <w:t xml:space="preserve"> </w:t>
      </w:r>
      <w:r>
        <w:rPr>
          <w:w w:val="110"/>
        </w:rPr>
        <w:t>which</w:t>
      </w:r>
      <w:r>
        <w:rPr>
          <w:spacing w:val="-22"/>
          <w:w w:val="110"/>
        </w:rPr>
        <w:t xml:space="preserve"> </w:t>
      </w:r>
      <w:r>
        <w:rPr>
          <w:w w:val="110"/>
        </w:rPr>
        <w:t>are</w:t>
      </w:r>
      <w:r>
        <w:rPr>
          <w:spacing w:val="-25"/>
          <w:w w:val="110"/>
        </w:rPr>
        <w:t xml:space="preserve"> </w:t>
      </w:r>
      <w:r>
        <w:rPr>
          <w:w w:val="110"/>
        </w:rPr>
        <w:t>not</w:t>
      </w:r>
      <w:r>
        <w:rPr>
          <w:spacing w:val="-30"/>
          <w:w w:val="110"/>
        </w:rPr>
        <w:t xml:space="preserve"> </w:t>
      </w:r>
      <w:r>
        <w:rPr>
          <w:w w:val="110"/>
        </w:rPr>
        <w:t xml:space="preserve">seen in sedative-type withdrawal. Dilated pupils are also seen in </w:t>
      </w:r>
      <w:r>
        <w:rPr>
          <w:b/>
          <w:w w:val="110"/>
        </w:rPr>
        <w:t>Hallucinogen Intoxica­ tion,</w:t>
      </w:r>
      <w:r>
        <w:rPr>
          <w:b/>
          <w:spacing w:val="-25"/>
          <w:w w:val="110"/>
        </w:rPr>
        <w:t xml:space="preserve"> </w:t>
      </w:r>
      <w:r>
        <w:rPr>
          <w:b/>
          <w:w w:val="110"/>
        </w:rPr>
        <w:t>Amphetamine</w:t>
      </w:r>
      <w:r>
        <w:rPr>
          <w:b/>
          <w:spacing w:val="-10"/>
          <w:w w:val="110"/>
        </w:rPr>
        <w:t xml:space="preserve"> </w:t>
      </w:r>
      <w:r>
        <w:rPr>
          <w:b/>
          <w:w w:val="110"/>
        </w:rPr>
        <w:t>Intoxication,</w:t>
      </w:r>
      <w:r>
        <w:rPr>
          <w:b/>
          <w:spacing w:val="1"/>
          <w:w w:val="110"/>
        </w:rPr>
        <w:t xml:space="preserve"> </w:t>
      </w:r>
      <w:r>
        <w:rPr>
          <w:w w:val="110"/>
        </w:rPr>
        <w:t>and</w:t>
      </w:r>
      <w:r>
        <w:rPr>
          <w:spacing w:val="-13"/>
          <w:w w:val="110"/>
        </w:rPr>
        <w:t xml:space="preserve"> </w:t>
      </w:r>
      <w:r>
        <w:rPr>
          <w:b/>
          <w:w w:val="110"/>
        </w:rPr>
        <w:t>Cocaine</w:t>
      </w:r>
      <w:r>
        <w:rPr>
          <w:b/>
          <w:spacing w:val="-27"/>
          <w:w w:val="110"/>
        </w:rPr>
        <w:t xml:space="preserve"> </w:t>
      </w:r>
      <w:r>
        <w:rPr>
          <w:b/>
          <w:w w:val="110"/>
        </w:rPr>
        <w:t>Intoxication.</w:t>
      </w:r>
      <w:r>
        <w:rPr>
          <w:b/>
          <w:spacing w:val="4"/>
          <w:w w:val="110"/>
        </w:rPr>
        <w:t xml:space="preserve"> </w:t>
      </w:r>
      <w:r>
        <w:rPr>
          <w:w w:val="110"/>
        </w:rPr>
        <w:t>However,</w:t>
      </w:r>
      <w:r>
        <w:rPr>
          <w:spacing w:val="-3"/>
          <w:w w:val="110"/>
        </w:rPr>
        <w:t xml:space="preserve"> </w:t>
      </w:r>
      <w:r>
        <w:rPr>
          <w:w w:val="110"/>
        </w:rPr>
        <w:t>others</w:t>
      </w:r>
      <w:r>
        <w:rPr>
          <w:spacing w:val="-12"/>
          <w:w w:val="110"/>
        </w:rPr>
        <w:t xml:space="preserve"> </w:t>
      </w:r>
      <w:r>
        <w:rPr>
          <w:w w:val="110"/>
        </w:rPr>
        <w:t>signs or symptoms of Opioid Withdrawal such as nausea, vomiting, diarrhea, abdominal cramps, rhinorrhea, or lacrimation are not present. Opioid Intoxication and Opioid Withdrawal</w:t>
      </w:r>
      <w:r>
        <w:rPr>
          <w:spacing w:val="-25"/>
          <w:w w:val="110"/>
        </w:rPr>
        <w:t xml:space="preserve"> </w:t>
      </w:r>
      <w:r>
        <w:rPr>
          <w:w w:val="110"/>
        </w:rPr>
        <w:t>are</w:t>
      </w:r>
      <w:r>
        <w:rPr>
          <w:spacing w:val="-28"/>
          <w:w w:val="110"/>
        </w:rPr>
        <w:t xml:space="preserve"> </w:t>
      </w:r>
      <w:r>
        <w:rPr>
          <w:w w:val="110"/>
        </w:rPr>
        <w:t>distinguished</w:t>
      </w:r>
      <w:r>
        <w:rPr>
          <w:spacing w:val="-20"/>
          <w:w w:val="110"/>
        </w:rPr>
        <w:t xml:space="preserve"> </w:t>
      </w:r>
      <w:r>
        <w:rPr>
          <w:w w:val="110"/>
        </w:rPr>
        <w:t>from</w:t>
      </w:r>
      <w:r>
        <w:rPr>
          <w:spacing w:val="-27"/>
          <w:w w:val="110"/>
        </w:rPr>
        <w:t xml:space="preserve"> </w:t>
      </w:r>
      <w:r>
        <w:rPr>
          <w:w w:val="110"/>
        </w:rPr>
        <w:t>the</w:t>
      </w:r>
      <w:r>
        <w:rPr>
          <w:spacing w:val="-33"/>
          <w:w w:val="110"/>
        </w:rPr>
        <w:t xml:space="preserve"> </w:t>
      </w:r>
      <w:r>
        <w:rPr>
          <w:b/>
          <w:w w:val="110"/>
        </w:rPr>
        <w:t>other</w:t>
      </w:r>
      <w:r>
        <w:rPr>
          <w:b/>
          <w:spacing w:val="-41"/>
          <w:w w:val="110"/>
        </w:rPr>
        <w:t xml:space="preserve"> </w:t>
      </w:r>
      <w:r>
        <w:rPr>
          <w:b/>
          <w:w w:val="110"/>
        </w:rPr>
        <w:t>Opioid-Induced</w:t>
      </w:r>
      <w:r>
        <w:rPr>
          <w:b/>
          <w:spacing w:val="-42"/>
          <w:w w:val="110"/>
        </w:rPr>
        <w:t xml:space="preserve"> </w:t>
      </w:r>
      <w:r>
        <w:rPr>
          <w:b/>
          <w:w w:val="110"/>
        </w:rPr>
        <w:t>Disorders</w:t>
      </w:r>
      <w:r>
        <w:rPr>
          <w:b/>
          <w:spacing w:val="-26"/>
          <w:w w:val="110"/>
        </w:rPr>
        <w:t xml:space="preserve"> </w:t>
      </w:r>
      <w:r>
        <w:rPr>
          <w:w w:val="110"/>
        </w:rPr>
        <w:t>(e.g.,</w:t>
      </w:r>
      <w:r>
        <w:rPr>
          <w:spacing w:val="-27"/>
          <w:w w:val="110"/>
        </w:rPr>
        <w:t xml:space="preserve"> </w:t>
      </w:r>
      <w:r>
        <w:rPr>
          <w:w w:val="110"/>
        </w:rPr>
        <w:t>Opioid­ Induced</w:t>
      </w:r>
      <w:r>
        <w:rPr>
          <w:spacing w:val="-38"/>
          <w:w w:val="110"/>
        </w:rPr>
        <w:t xml:space="preserve"> </w:t>
      </w:r>
      <w:r>
        <w:rPr>
          <w:w w:val="110"/>
        </w:rPr>
        <w:t>Mood</w:t>
      </w:r>
      <w:r>
        <w:rPr>
          <w:spacing w:val="-37"/>
          <w:w w:val="110"/>
        </w:rPr>
        <w:t xml:space="preserve"> </w:t>
      </w:r>
      <w:r>
        <w:rPr>
          <w:w w:val="110"/>
        </w:rPr>
        <w:t>Disorder,</w:t>
      </w:r>
      <w:r>
        <w:rPr>
          <w:spacing w:val="-37"/>
          <w:w w:val="110"/>
        </w:rPr>
        <w:t xml:space="preserve"> </w:t>
      </w:r>
      <w:r>
        <w:rPr>
          <w:w w:val="110"/>
        </w:rPr>
        <w:t>With</w:t>
      </w:r>
      <w:r>
        <w:rPr>
          <w:spacing w:val="-37"/>
          <w:w w:val="110"/>
        </w:rPr>
        <w:t xml:space="preserve"> </w:t>
      </w:r>
      <w:r>
        <w:rPr>
          <w:w w:val="110"/>
        </w:rPr>
        <w:t>Onset</w:t>
      </w:r>
      <w:r>
        <w:rPr>
          <w:spacing w:val="-39"/>
          <w:w w:val="110"/>
        </w:rPr>
        <w:t xml:space="preserve"> </w:t>
      </w:r>
      <w:r>
        <w:rPr>
          <w:w w:val="110"/>
        </w:rPr>
        <w:t>During</w:t>
      </w:r>
      <w:r>
        <w:rPr>
          <w:spacing w:val="-38"/>
          <w:w w:val="110"/>
        </w:rPr>
        <w:t xml:space="preserve"> </w:t>
      </w:r>
      <w:r>
        <w:rPr>
          <w:w w:val="110"/>
        </w:rPr>
        <w:t>Intoxication)</w:t>
      </w:r>
      <w:r>
        <w:rPr>
          <w:spacing w:val="-32"/>
          <w:w w:val="110"/>
        </w:rPr>
        <w:t xml:space="preserve"> </w:t>
      </w:r>
      <w:r>
        <w:rPr>
          <w:w w:val="110"/>
        </w:rPr>
        <w:t>because</w:t>
      </w:r>
      <w:r>
        <w:rPr>
          <w:spacing w:val="-35"/>
          <w:w w:val="110"/>
        </w:rPr>
        <w:t xml:space="preserve"> </w:t>
      </w:r>
      <w:r>
        <w:rPr>
          <w:w w:val="110"/>
        </w:rPr>
        <w:t>the</w:t>
      </w:r>
      <w:r>
        <w:rPr>
          <w:spacing w:val="-43"/>
          <w:w w:val="110"/>
        </w:rPr>
        <w:t xml:space="preserve"> </w:t>
      </w:r>
      <w:r>
        <w:rPr>
          <w:w w:val="110"/>
        </w:rPr>
        <w:t>symptoms</w:t>
      </w:r>
      <w:r>
        <w:rPr>
          <w:spacing w:val="-38"/>
          <w:w w:val="110"/>
        </w:rPr>
        <w:t xml:space="preserve"> </w:t>
      </w:r>
      <w:r>
        <w:rPr>
          <w:w w:val="110"/>
        </w:rPr>
        <w:t>in</w:t>
      </w:r>
      <w:r>
        <w:rPr>
          <w:spacing w:val="-39"/>
          <w:w w:val="110"/>
        </w:rPr>
        <w:t xml:space="preserve"> </w:t>
      </w:r>
      <w:r>
        <w:rPr>
          <w:w w:val="110"/>
        </w:rPr>
        <w:t>these latter disorders are in excess of those usually associated with Opioid Intoxication or Opioid</w:t>
      </w:r>
      <w:r>
        <w:rPr>
          <w:spacing w:val="-9"/>
          <w:w w:val="110"/>
        </w:rPr>
        <w:t xml:space="preserve"> </w:t>
      </w:r>
      <w:r>
        <w:rPr>
          <w:w w:val="110"/>
        </w:rPr>
        <w:t>Withdrawal</w:t>
      </w:r>
      <w:r>
        <w:rPr>
          <w:spacing w:val="1"/>
          <w:w w:val="110"/>
        </w:rPr>
        <w:t xml:space="preserve"> </w:t>
      </w:r>
      <w:r>
        <w:rPr>
          <w:w w:val="110"/>
        </w:rPr>
        <w:t>and</w:t>
      </w:r>
      <w:r>
        <w:rPr>
          <w:spacing w:val="-9"/>
          <w:w w:val="110"/>
        </w:rPr>
        <w:t xml:space="preserve"> </w:t>
      </w:r>
      <w:r>
        <w:rPr>
          <w:w w:val="110"/>
        </w:rPr>
        <w:t>are</w:t>
      </w:r>
      <w:r>
        <w:rPr>
          <w:spacing w:val="-17"/>
          <w:w w:val="110"/>
        </w:rPr>
        <w:t xml:space="preserve"> </w:t>
      </w:r>
      <w:r>
        <w:rPr>
          <w:w w:val="110"/>
        </w:rPr>
        <w:t>severe</w:t>
      </w:r>
      <w:r>
        <w:rPr>
          <w:spacing w:val="-10"/>
          <w:w w:val="110"/>
        </w:rPr>
        <w:t xml:space="preserve"> </w:t>
      </w:r>
      <w:r>
        <w:rPr>
          <w:w w:val="110"/>
        </w:rPr>
        <w:t>enough</w:t>
      </w:r>
      <w:r>
        <w:rPr>
          <w:spacing w:val="-1"/>
          <w:w w:val="110"/>
        </w:rPr>
        <w:t xml:space="preserve"> </w:t>
      </w:r>
      <w:r>
        <w:rPr>
          <w:w w:val="110"/>
        </w:rPr>
        <w:t>to</w:t>
      </w:r>
      <w:r>
        <w:rPr>
          <w:spacing w:val="-16"/>
          <w:w w:val="110"/>
        </w:rPr>
        <w:t xml:space="preserve"> </w:t>
      </w:r>
      <w:r>
        <w:rPr>
          <w:w w:val="110"/>
        </w:rPr>
        <w:t>warrant</w:t>
      </w:r>
      <w:r>
        <w:rPr>
          <w:spacing w:val="-4"/>
          <w:w w:val="110"/>
        </w:rPr>
        <w:t xml:space="preserve"> </w:t>
      </w:r>
      <w:r>
        <w:rPr>
          <w:w w:val="110"/>
        </w:rPr>
        <w:t>independent</w:t>
      </w:r>
      <w:r>
        <w:rPr>
          <w:spacing w:val="-2"/>
          <w:w w:val="110"/>
        </w:rPr>
        <w:t xml:space="preserve"> </w:t>
      </w:r>
      <w:r>
        <w:rPr>
          <w:w w:val="110"/>
        </w:rPr>
        <w:t>clinical</w:t>
      </w:r>
      <w:r>
        <w:rPr>
          <w:spacing w:val="-8"/>
          <w:w w:val="110"/>
        </w:rPr>
        <w:t xml:space="preserve"> </w:t>
      </w:r>
      <w:r>
        <w:rPr>
          <w:w w:val="110"/>
        </w:rPr>
        <w:t>attention.</w:t>
      </w:r>
    </w:p>
    <w:p w:rsidR="00E675F0" w:rsidRDefault="00E675F0" w:rsidP="00E675F0">
      <w:pPr>
        <w:pStyle w:val="BodyText"/>
        <w:rPr>
          <w:sz w:val="22"/>
        </w:rPr>
      </w:pPr>
    </w:p>
    <w:p w:rsidR="00E675F0" w:rsidRDefault="00E675F0" w:rsidP="00E675F0">
      <w:pPr>
        <w:pStyle w:val="BodyText"/>
        <w:spacing w:before="10"/>
        <w:rPr>
          <w:sz w:val="18"/>
        </w:rPr>
      </w:pPr>
    </w:p>
    <w:p w:rsidR="00E675F0" w:rsidRDefault="00E675F0" w:rsidP="00E675F0">
      <w:pPr>
        <w:tabs>
          <w:tab w:val="left" w:pos="1177"/>
        </w:tabs>
        <w:ind w:left="258"/>
        <w:rPr>
          <w:rFonts w:ascii="Arial"/>
          <w:b/>
          <w:sz w:val="25"/>
        </w:rPr>
      </w:pPr>
      <w:r>
        <w:rPr>
          <w:rFonts w:ascii="Arial"/>
          <w:b/>
          <w:w w:val="110"/>
          <w:sz w:val="25"/>
        </w:rPr>
        <w:t>292.9</w:t>
      </w:r>
      <w:r>
        <w:rPr>
          <w:rFonts w:ascii="Arial"/>
          <w:b/>
          <w:w w:val="110"/>
          <w:sz w:val="25"/>
        </w:rPr>
        <w:tab/>
        <w:t>Opioid-Related</w:t>
      </w:r>
      <w:r>
        <w:rPr>
          <w:rFonts w:ascii="Arial"/>
          <w:b/>
          <w:spacing w:val="-36"/>
          <w:w w:val="110"/>
          <w:sz w:val="25"/>
        </w:rPr>
        <w:t xml:space="preserve"> </w:t>
      </w:r>
      <w:r>
        <w:rPr>
          <w:rFonts w:ascii="Arial"/>
          <w:b/>
          <w:w w:val="110"/>
          <w:sz w:val="25"/>
        </w:rPr>
        <w:t>Disorder</w:t>
      </w:r>
      <w:r>
        <w:rPr>
          <w:rFonts w:ascii="Arial"/>
          <w:b/>
          <w:spacing w:val="-14"/>
          <w:w w:val="110"/>
          <w:sz w:val="25"/>
        </w:rPr>
        <w:t xml:space="preserve"> </w:t>
      </w:r>
      <w:r>
        <w:rPr>
          <w:rFonts w:ascii="Arial"/>
          <w:b/>
          <w:w w:val="110"/>
          <w:sz w:val="25"/>
        </w:rPr>
        <w:t>Not</w:t>
      </w:r>
      <w:r>
        <w:rPr>
          <w:rFonts w:ascii="Arial"/>
          <w:b/>
          <w:spacing w:val="-21"/>
          <w:w w:val="110"/>
          <w:sz w:val="25"/>
        </w:rPr>
        <w:t xml:space="preserve"> </w:t>
      </w:r>
      <w:r>
        <w:rPr>
          <w:rFonts w:ascii="Arial"/>
          <w:b/>
          <w:w w:val="110"/>
          <w:sz w:val="25"/>
        </w:rPr>
        <w:t>Otherwise</w:t>
      </w:r>
      <w:r>
        <w:rPr>
          <w:rFonts w:ascii="Arial"/>
          <w:b/>
          <w:spacing w:val="-10"/>
          <w:w w:val="110"/>
          <w:sz w:val="25"/>
        </w:rPr>
        <w:t xml:space="preserve"> </w:t>
      </w:r>
      <w:r>
        <w:rPr>
          <w:rFonts w:ascii="Arial"/>
          <w:b/>
          <w:w w:val="110"/>
          <w:sz w:val="25"/>
        </w:rPr>
        <w:t>Specified</w:t>
      </w:r>
    </w:p>
    <w:p w:rsidR="00E675F0" w:rsidRDefault="00E675F0" w:rsidP="00E675F0">
      <w:pPr>
        <w:pStyle w:val="BodyText"/>
        <w:spacing w:before="246" w:line="254" w:lineRule="auto"/>
        <w:ind w:left="123" w:right="126" w:hanging="4"/>
        <w:jc w:val="both"/>
      </w:pPr>
      <w:r>
        <w:rPr>
          <w:noProof/>
        </w:rPr>
        <mc:AlternateContent>
          <mc:Choice Requires="wps">
            <w:drawing>
              <wp:anchor distT="0" distB="0" distL="114300" distR="114300" simplePos="0" relativeHeight="251807744" behindDoc="1" locked="0" layoutInCell="1" allowOverlap="1" wp14:anchorId="66CA6604" wp14:editId="7DB88DBA">
                <wp:simplePos x="0" y="0"/>
                <wp:positionH relativeFrom="page">
                  <wp:posOffset>476250</wp:posOffset>
                </wp:positionH>
                <wp:positionV relativeFrom="paragraph">
                  <wp:posOffset>1211580</wp:posOffset>
                </wp:positionV>
                <wp:extent cx="1674495" cy="452120"/>
                <wp:effectExtent l="0" t="0" r="1905" b="5080"/>
                <wp:wrapNone/>
                <wp:docPr id="1306" name="AutoShape 1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4495" cy="452120"/>
                        </a:xfrm>
                        <a:custGeom>
                          <a:avLst/>
                          <a:gdLst>
                            <a:gd name="T0" fmla="+- 0 755 750"/>
                            <a:gd name="T1" fmla="*/ T0 w 2637"/>
                            <a:gd name="T2" fmla="+- 0 2620 1908"/>
                            <a:gd name="T3" fmla="*/ 2620 h 712"/>
                            <a:gd name="T4" fmla="+- 0 755 750"/>
                            <a:gd name="T5" fmla="*/ T4 w 2637"/>
                            <a:gd name="T6" fmla="+- 0 1908 1908"/>
                            <a:gd name="T7" fmla="*/ 1908 h 712"/>
                            <a:gd name="T8" fmla="+- 0 750 750"/>
                            <a:gd name="T9" fmla="*/ T8 w 2637"/>
                            <a:gd name="T10" fmla="+- 0 1913 1908"/>
                            <a:gd name="T11" fmla="*/ 1913 h 712"/>
                            <a:gd name="T12" fmla="+- 0 3386 750"/>
                            <a:gd name="T13" fmla="*/ T12 w 2637"/>
                            <a:gd name="T14" fmla="+- 0 1913 1908"/>
                            <a:gd name="T15" fmla="*/ 1913 h 712"/>
                          </a:gdLst>
                          <a:ahLst/>
                          <a:cxnLst>
                            <a:cxn ang="0">
                              <a:pos x="T1" y="T3"/>
                            </a:cxn>
                            <a:cxn ang="0">
                              <a:pos x="T5" y="T7"/>
                            </a:cxn>
                            <a:cxn ang="0">
                              <a:pos x="T9" y="T11"/>
                            </a:cxn>
                            <a:cxn ang="0">
                              <a:pos x="T13" y="T15"/>
                            </a:cxn>
                          </a:cxnLst>
                          <a:rect l="0" t="0" r="r" b="b"/>
                          <a:pathLst>
                            <a:path w="2637" h="712">
                              <a:moveTo>
                                <a:pt x="5" y="712"/>
                              </a:moveTo>
                              <a:lnTo>
                                <a:pt x="5" y="0"/>
                              </a:lnTo>
                              <a:moveTo>
                                <a:pt x="0" y="5"/>
                              </a:moveTo>
                              <a:lnTo>
                                <a:pt x="2636" y="5"/>
                              </a:lnTo>
                            </a:path>
                          </a:pathLst>
                        </a:custGeom>
                        <a:noFill/>
                        <a:ln w="122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862D4" id="AutoShape 1262" o:spid="_x0000_s1026" style="position:absolute;margin-left:37.5pt;margin-top:95.4pt;width:131.85pt;height:35.6pt;z-index:-251508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637,7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" path="m5,712l5,m,5r2636,e" filled="f" strokeweight=".33925mm">
                <v:path arrowok="t" o:connecttype="custom" o:connectlocs="3175,1663700;3175,1211580;0,1214755;1673860,1214755" o:connectangles="0,0,0,0"/>
                <w10:wrap anchorx="page"/>
              </v:shape>
            </w:pict>
          </mc:Fallback>
        </mc:AlternateContent>
      </w:r>
      <w:r>
        <w:rPr>
          <w:w w:val="105"/>
        </w:rPr>
        <w:t>The</w:t>
      </w:r>
      <w:r>
        <w:rPr>
          <w:spacing w:val="-22"/>
          <w:w w:val="105"/>
        </w:rPr>
        <w:t xml:space="preserve"> </w:t>
      </w:r>
      <w:r>
        <w:rPr>
          <w:w w:val="105"/>
        </w:rPr>
        <w:t>Opioid-Related</w:t>
      </w:r>
      <w:r>
        <w:rPr>
          <w:spacing w:val="-26"/>
          <w:w w:val="105"/>
        </w:rPr>
        <w:t xml:space="preserve"> </w:t>
      </w:r>
      <w:r>
        <w:rPr>
          <w:w w:val="105"/>
        </w:rPr>
        <w:t>Disorder</w:t>
      </w:r>
      <w:r>
        <w:rPr>
          <w:spacing w:val="-10"/>
          <w:w w:val="105"/>
        </w:rPr>
        <w:t xml:space="preserve"> </w:t>
      </w:r>
      <w:r>
        <w:rPr>
          <w:w w:val="105"/>
        </w:rPr>
        <w:t>Not</w:t>
      </w:r>
      <w:r>
        <w:rPr>
          <w:spacing w:val="-19"/>
          <w:w w:val="105"/>
        </w:rPr>
        <w:t xml:space="preserve"> </w:t>
      </w:r>
      <w:r>
        <w:rPr>
          <w:w w:val="105"/>
        </w:rPr>
        <w:t>Otherwise</w:t>
      </w:r>
      <w:r>
        <w:rPr>
          <w:spacing w:val="-11"/>
          <w:w w:val="105"/>
        </w:rPr>
        <w:t xml:space="preserve"> </w:t>
      </w:r>
      <w:r>
        <w:rPr>
          <w:w w:val="105"/>
        </w:rPr>
        <w:t>Specified</w:t>
      </w:r>
      <w:r>
        <w:rPr>
          <w:spacing w:val="-9"/>
          <w:w w:val="105"/>
        </w:rPr>
        <w:t xml:space="preserve"> </w:t>
      </w:r>
      <w:r>
        <w:rPr>
          <w:w w:val="105"/>
        </w:rPr>
        <w:t>category</w:t>
      </w:r>
      <w:r>
        <w:rPr>
          <w:spacing w:val="-10"/>
          <w:w w:val="105"/>
        </w:rPr>
        <w:t xml:space="preserve"> </w:t>
      </w:r>
      <w:r>
        <w:rPr>
          <w:w w:val="105"/>
        </w:rPr>
        <w:t>is</w:t>
      </w:r>
      <w:r>
        <w:rPr>
          <w:spacing w:val="-31"/>
          <w:w w:val="105"/>
        </w:rPr>
        <w:t xml:space="preserve"> </w:t>
      </w:r>
      <w:r>
        <w:rPr>
          <w:w w:val="105"/>
        </w:rPr>
        <w:t>for</w:t>
      </w:r>
      <w:r>
        <w:rPr>
          <w:spacing w:val="-25"/>
          <w:w w:val="105"/>
        </w:rPr>
        <w:t xml:space="preserve"> </w:t>
      </w:r>
      <w:r>
        <w:rPr>
          <w:w w:val="105"/>
        </w:rPr>
        <w:t>disorders</w:t>
      </w:r>
      <w:r>
        <w:rPr>
          <w:spacing w:val="-20"/>
          <w:w w:val="105"/>
        </w:rPr>
        <w:t xml:space="preserve"> </w:t>
      </w:r>
      <w:r>
        <w:rPr>
          <w:w w:val="105"/>
        </w:rPr>
        <w:t>associated with the use of opioids that are not classifiable as Opioid Dependence, Opioid Abuse, Opioid Intoxication, Opioid Withdrawal, Opioid Intoxication Delirium, Opioid-Induced Psychotic Disorder, Opioid-Induced Mood Disorder, Opioid-Induced Sexual Dysfunc­ tion, or Opioid-Induced Sleep</w:t>
      </w:r>
      <w:r>
        <w:rPr>
          <w:spacing w:val="34"/>
          <w:w w:val="105"/>
        </w:rPr>
        <w:t xml:space="preserve"> </w:t>
      </w:r>
      <w:r>
        <w:rPr>
          <w:w w:val="105"/>
        </w:rPr>
        <w:t>Disorder.</w:t>
      </w:r>
    </w:p>
    <w:p w:rsidR="00E675F0" w:rsidRDefault="00E675F0" w:rsidP="00E675F0">
      <w:pPr>
        <w:pStyle w:val="BodyText"/>
      </w:pPr>
    </w:p>
    <w:p w:rsidR="00E675F0" w:rsidRDefault="00E675F0" w:rsidP="00E675F0">
      <w:pPr>
        <w:pStyle w:val="BodyText"/>
        <w:spacing w:before="10"/>
        <w:rPr>
          <w:sz w:val="14"/>
        </w:rPr>
      </w:pPr>
      <w:r>
        <w:rPr>
          <w:noProof/>
        </w:rPr>
        <mc:AlternateContent>
          <mc:Choice Requires="wps">
            <w:drawing>
              <wp:anchor distT="0" distB="0" distL="0" distR="0" simplePos="0" relativeHeight="251893760" behindDoc="1" locked="0" layoutInCell="1" allowOverlap="1" wp14:anchorId="2C221674" wp14:editId="32C4199D">
                <wp:simplePos x="0" y="0"/>
                <wp:positionH relativeFrom="page">
                  <wp:posOffset>3580130</wp:posOffset>
                </wp:positionH>
                <wp:positionV relativeFrom="paragraph">
                  <wp:posOffset>138430</wp:posOffset>
                </wp:positionV>
                <wp:extent cx="1625600" cy="1270"/>
                <wp:effectExtent l="0" t="0" r="0" b="0"/>
                <wp:wrapTopAndBottom/>
                <wp:docPr id="1305" name="Freeform 1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5600" cy="1270"/>
                        </a:xfrm>
                        <a:custGeom>
                          <a:avLst/>
                          <a:gdLst>
                            <a:gd name="T0" fmla="+- 0 5638 5638"/>
                            <a:gd name="T1" fmla="*/ T0 w 2560"/>
                            <a:gd name="T2" fmla="+- 0 8197 5638"/>
                            <a:gd name="T3" fmla="*/ T2 w 2560"/>
                          </a:gdLst>
                          <a:ahLst/>
                          <a:cxnLst>
                            <a:cxn ang="0">
                              <a:pos x="T1" y="0"/>
                            </a:cxn>
                            <a:cxn ang="0">
                              <a:pos x="T3" y="0"/>
                            </a:cxn>
                          </a:cxnLst>
                          <a:rect l="0" t="0" r="r" b="b"/>
                          <a:pathLst>
                            <a:path w="2560">
                              <a:moveTo>
                                <a:pt x="0" y="0"/>
                              </a:moveTo>
                              <a:lnTo>
                                <a:pt x="2559" y="0"/>
                              </a:lnTo>
                            </a:path>
                          </a:pathLst>
                        </a:custGeom>
                        <a:noFill/>
                        <a:ln w="915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7CAEE" id="Freeform 1261" o:spid="_x0000_s1026" style="position:absolute;margin-left:281.9pt;margin-top:10.9pt;width:128pt;height:.1pt;z-index:-251422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6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" path="m,l2559,e" filled="f" strokeweight=".25433mm">
                <v:path arrowok="t" o:connecttype="custom" o:connectlocs="0,0;1624965,0" o:connectangles="0,0"/>
                <w10:wrap type="topAndBottom" anchorx="page"/>
              </v:shape>
            </w:pict>
          </mc:Fallback>
        </mc:AlternateContent>
      </w:r>
    </w:p>
    <w:p w:rsidR="00E675F0" w:rsidRDefault="00E675F0" w:rsidP="00E675F0">
      <w:pPr>
        <w:spacing w:before="103"/>
        <w:ind w:left="109" w:right="119"/>
        <w:jc w:val="center"/>
        <w:rPr>
          <w:rFonts w:ascii="Arial"/>
          <w:b/>
          <w:sz w:val="25"/>
        </w:rPr>
      </w:pPr>
      <w:r>
        <w:rPr>
          <w:rFonts w:ascii="Arial"/>
          <w:b/>
          <w:color w:val="262626"/>
          <w:w w:val="105"/>
          <w:sz w:val="25"/>
        </w:rPr>
        <w:t>Phencyclidine</w:t>
      </w:r>
    </w:p>
    <w:p w:rsidR="00E675F0" w:rsidRDefault="00E675F0" w:rsidP="00E675F0">
      <w:pPr>
        <w:spacing w:before="11"/>
        <w:ind w:left="115" w:right="119"/>
        <w:jc w:val="center"/>
        <w:rPr>
          <w:rFonts w:ascii="Arial"/>
          <w:b/>
          <w:sz w:val="25"/>
        </w:rPr>
      </w:pPr>
      <w:r>
        <w:rPr>
          <w:rFonts w:ascii="Arial"/>
          <w:b/>
          <w:color w:val="262626"/>
          <w:w w:val="105"/>
          <w:sz w:val="25"/>
        </w:rPr>
        <w:t xml:space="preserve">(or  Phencyclidine-Like)-Related </w:t>
      </w:r>
      <w:r>
        <w:rPr>
          <w:rFonts w:ascii="Arial"/>
          <w:b/>
          <w:color w:val="262626"/>
          <w:spacing w:val="45"/>
          <w:w w:val="105"/>
          <w:sz w:val="25"/>
        </w:rPr>
        <w:t xml:space="preserve"> </w:t>
      </w:r>
      <w:r>
        <w:rPr>
          <w:rFonts w:ascii="Arial"/>
          <w:b/>
          <w:color w:val="262626"/>
          <w:w w:val="105"/>
          <w:sz w:val="25"/>
        </w:rPr>
        <w:t>Disorders</w:t>
      </w:r>
    </w:p>
    <w:p w:rsidR="00E675F0" w:rsidRDefault="00E675F0" w:rsidP="00E675F0">
      <w:pPr>
        <w:pStyle w:val="BodyText"/>
        <w:spacing w:before="231" w:line="254" w:lineRule="auto"/>
        <w:ind w:left="122" w:right="111" w:firstLine="1"/>
        <w:jc w:val="both"/>
      </w:pPr>
      <w:r>
        <w:rPr>
          <w:w w:val="105"/>
        </w:rPr>
        <w:t>The phencyclidines (or phencyclidine-like) substances include phencyclidine (PCP, Sernylan) and similarly acting compounds such as ketamine (Ketalar, Ketaject) and the thiophene analogue of phencyclidine (TCP; 1-[1-2-thienyl-cyclohexyllpiperidine). These substances were first developed as dissociative anesthetics in the 1950s and became street drugs in the 1960s. They can be taken orally or intravenously or can be smoked. Phencyclidine (sold illicitly under a variety of names such as PCP, Hog, Tranq, Angel Dust, and Peace Pill) is the most commonly abused substance in this</w:t>
      </w:r>
      <w:r>
        <w:rPr>
          <w:spacing w:val="13"/>
          <w:w w:val="105"/>
        </w:rPr>
        <w:t xml:space="preserve"> </w:t>
      </w:r>
      <w:r>
        <w:rPr>
          <w:w w:val="105"/>
        </w:rPr>
        <w:t>class.</w:t>
      </w:r>
    </w:p>
    <w:p w:rsidR="00E675F0" w:rsidRDefault="00E675F0" w:rsidP="00E675F0">
      <w:pPr>
        <w:pStyle w:val="BodyText"/>
        <w:spacing w:before="9" w:line="254" w:lineRule="auto"/>
        <w:ind w:left="129" w:right="106" w:firstLine="360"/>
        <w:jc w:val="both"/>
      </w:pPr>
      <w:r>
        <w:rPr>
          <w:w w:val="105"/>
        </w:rPr>
        <w:t>This section contains discussions specific to the Phencyclidine-Related Disorders. Texts and criteria sets have already been provided for the generic aspects of Substance Dependence (p. 176) and Substance Abuse (p. 182) that apply across all substances. Texts specific to Phencyclidine Dependence and Abuse are provided below; however, there are no additional specific criteria sets for Phencyclidine Dependence or Phency­ clidine Abuse. A specific text and criteria set for Phencyclidine Intoxication is also</w:t>
      </w:r>
    </w:p>
    <w:p w:rsidR="00E675F0" w:rsidRDefault="00E675F0" w:rsidP="00E675F0">
      <w:pPr>
        <w:spacing w:line="254" w:lineRule="auto"/>
        <w:jc w:val="both"/>
        <w:sectPr w:rsidR="00E675F0">
          <w:headerReference w:type="even" r:id="rId199"/>
          <w:headerReference w:type="default" r:id="rId200"/>
          <w:pgSz w:w="8960" w:h="14260"/>
          <w:pgMar w:top="1400" w:right="620" w:bottom="280" w:left="620" w:header="683" w:footer="0" w:gutter="0"/>
          <w:pgNumType w:start="255"/>
          <w:cols w:space="720"/>
        </w:sectPr>
      </w:pPr>
    </w:p>
    <w:p w:rsidR="00E675F0" w:rsidRDefault="00E675F0" w:rsidP="00E675F0">
      <w:pPr>
        <w:pStyle w:val="BodyText"/>
        <w:spacing w:before="142" w:line="254" w:lineRule="auto"/>
        <w:ind w:left="155" w:right="196" w:firstLine="10"/>
        <w:jc w:val="both"/>
      </w:pPr>
      <w:bookmarkStart w:id="168" w:name="_bookmark148"/>
      <w:bookmarkEnd w:id="168"/>
      <w:r>
        <w:rPr>
          <w:w w:val="105"/>
        </w:rPr>
        <w:lastRenderedPageBreak/>
        <w:t>provided below. Although symptoms of phencyclidine withdrawal may occur, their clinical significance is uncertain, and a diagnosis of phencyclidine withdrawal is not included in this manual. The Phencyclidine-Induced Disorders (other than Phencyclidine Intoxication) are described in the sections of the manual with disorders with which they share phenomenology (e.g., Phencyclidine-Induced Psychotic Disorder is included  in the "Schizophrenia and Other Psychotic Disorders" section). Listed below are the Phencyclidine Use Disorders and the Phencyclidine-Induced</w:t>
      </w:r>
      <w:r>
        <w:rPr>
          <w:spacing w:val="28"/>
          <w:w w:val="105"/>
        </w:rPr>
        <w:t xml:space="preserve"> </w:t>
      </w:r>
      <w:r>
        <w:rPr>
          <w:w w:val="105"/>
        </w:rPr>
        <w:t>Disorders.</w:t>
      </w:r>
    </w:p>
    <w:p w:rsidR="00E675F0" w:rsidRDefault="00E675F0" w:rsidP="00E675F0">
      <w:pPr>
        <w:pStyle w:val="BodyText"/>
        <w:spacing w:before="7"/>
        <w:rPr>
          <w:sz w:val="32"/>
        </w:rPr>
      </w:pPr>
    </w:p>
    <w:p w:rsidR="00E675F0" w:rsidRDefault="00E675F0" w:rsidP="00E675F0">
      <w:pPr>
        <w:spacing w:before="1"/>
        <w:ind w:left="143"/>
        <w:jc w:val="both"/>
        <w:rPr>
          <w:rFonts w:ascii="TimesNewRomanPS-BoldItalicMT"/>
          <w:b/>
          <w:i/>
          <w:sz w:val="24"/>
        </w:rPr>
      </w:pPr>
      <w:r>
        <w:rPr>
          <w:rFonts w:ascii="TimesNewRomanPS-BoldItalicMT"/>
          <w:b/>
          <w:i/>
          <w:w w:val="115"/>
          <w:sz w:val="24"/>
        </w:rPr>
        <w:t>Phencyclidine Use Disorders</w:t>
      </w:r>
    </w:p>
    <w:p w:rsidR="00E675F0" w:rsidRDefault="00E675F0" w:rsidP="00E675F0">
      <w:pPr>
        <w:tabs>
          <w:tab w:val="left" w:pos="1001"/>
        </w:tabs>
        <w:spacing w:before="126"/>
        <w:ind w:left="161"/>
        <w:rPr>
          <w:sz w:val="20"/>
        </w:rPr>
      </w:pPr>
      <w:r>
        <w:rPr>
          <w:b/>
          <w:w w:val="110"/>
          <w:sz w:val="20"/>
        </w:rPr>
        <w:t>304.90</w:t>
      </w:r>
      <w:r>
        <w:rPr>
          <w:b/>
          <w:w w:val="110"/>
          <w:sz w:val="20"/>
        </w:rPr>
        <w:tab/>
        <w:t xml:space="preserve">Phencyclidine Dependence </w:t>
      </w:r>
      <w:r>
        <w:rPr>
          <w:w w:val="110"/>
          <w:sz w:val="20"/>
        </w:rPr>
        <w:t>(see p.</w:t>
      </w:r>
      <w:r>
        <w:rPr>
          <w:spacing w:val="-1"/>
          <w:w w:val="110"/>
          <w:sz w:val="20"/>
        </w:rPr>
        <w:t xml:space="preserve"> </w:t>
      </w:r>
      <w:r>
        <w:rPr>
          <w:w w:val="110"/>
          <w:sz w:val="20"/>
        </w:rPr>
        <w:t>256)</w:t>
      </w:r>
    </w:p>
    <w:p w:rsidR="00E675F0" w:rsidRDefault="00E675F0" w:rsidP="00E675F0">
      <w:pPr>
        <w:tabs>
          <w:tab w:val="left" w:pos="1001"/>
        </w:tabs>
        <w:spacing w:before="15"/>
        <w:ind w:left="161"/>
        <w:rPr>
          <w:sz w:val="20"/>
        </w:rPr>
      </w:pPr>
      <w:r>
        <w:rPr>
          <w:b/>
          <w:w w:val="110"/>
          <w:sz w:val="20"/>
        </w:rPr>
        <w:t>305.90</w:t>
      </w:r>
      <w:r>
        <w:rPr>
          <w:b/>
          <w:w w:val="110"/>
          <w:sz w:val="20"/>
        </w:rPr>
        <w:tab/>
        <w:t xml:space="preserve">Phencyclidine Abuse </w:t>
      </w:r>
      <w:r>
        <w:rPr>
          <w:w w:val="110"/>
          <w:sz w:val="20"/>
        </w:rPr>
        <w:t>(see p.</w:t>
      </w:r>
      <w:r>
        <w:rPr>
          <w:spacing w:val="43"/>
          <w:w w:val="110"/>
          <w:sz w:val="20"/>
        </w:rPr>
        <w:t xml:space="preserve"> </w:t>
      </w:r>
      <w:r>
        <w:rPr>
          <w:w w:val="110"/>
          <w:sz w:val="20"/>
        </w:rPr>
        <w:t>257)</w:t>
      </w:r>
    </w:p>
    <w:p w:rsidR="00E675F0" w:rsidRDefault="00E675F0" w:rsidP="00E675F0">
      <w:pPr>
        <w:pStyle w:val="BodyText"/>
        <w:rPr>
          <w:sz w:val="22"/>
        </w:rPr>
      </w:pPr>
    </w:p>
    <w:p w:rsidR="00E675F0" w:rsidRDefault="00E675F0" w:rsidP="00E675F0">
      <w:pPr>
        <w:spacing w:before="139"/>
        <w:ind w:left="143"/>
        <w:jc w:val="both"/>
        <w:rPr>
          <w:rFonts w:ascii="TimesNewRomanPS-BoldItalicMT"/>
          <w:b/>
          <w:i/>
          <w:sz w:val="24"/>
        </w:rPr>
      </w:pPr>
      <w:r>
        <w:rPr>
          <w:rFonts w:ascii="TimesNewRomanPS-BoldItalicMT"/>
          <w:b/>
          <w:i/>
          <w:w w:val="115"/>
          <w:sz w:val="24"/>
        </w:rPr>
        <w:t>Phencyclidine-Induced Disorders</w:t>
      </w:r>
    </w:p>
    <w:p w:rsidR="00E675F0" w:rsidRDefault="00E675F0" w:rsidP="00E675F0">
      <w:pPr>
        <w:pStyle w:val="BodyText"/>
        <w:spacing w:before="1"/>
        <w:rPr>
          <w:rFonts w:ascii="TimesNewRomanPS-BoldItalicMT"/>
          <w:b/>
          <w:i/>
          <w:sz w:val="12"/>
        </w:rPr>
      </w:pPr>
    </w:p>
    <w:tbl>
      <w:tblPr>
        <w:tblW w:w="0" w:type="auto"/>
        <w:tblInd w:w="122" w:type="dxa"/>
        <w:tblLayout w:type="fixed"/>
        <w:tblCellMar>
          <w:left w:w="0" w:type="dxa"/>
          <w:right w:w="0" w:type="dxa"/>
        </w:tblCellMar>
        <w:tblLook w:val="01E0" w:firstRow="1" w:lastRow="1" w:firstColumn="1" w:lastColumn="1" w:noHBand="0" w:noVBand="0"/>
      </w:tblPr>
      <w:tblGrid>
        <w:gridCol w:w="777"/>
        <w:gridCol w:w="6845"/>
      </w:tblGrid>
      <w:tr w:rsidR="00E675F0" w:rsidTr="00A330E1">
        <w:trPr>
          <w:trHeight w:val="486"/>
        </w:trPr>
        <w:tc>
          <w:tcPr>
            <w:tcW w:w="777" w:type="dxa"/>
          </w:tcPr>
          <w:p w:rsidR="00E675F0" w:rsidRDefault="00E675F0" w:rsidP="00A330E1">
            <w:pPr>
              <w:pStyle w:val="TableParagraph"/>
              <w:spacing w:before="1"/>
              <w:ind w:left="33" w:right="92"/>
              <w:jc w:val="center"/>
              <w:rPr>
                <w:b/>
                <w:sz w:val="20"/>
              </w:rPr>
            </w:pPr>
            <w:r>
              <w:rPr>
                <w:b/>
                <w:w w:val="110"/>
                <w:sz w:val="20"/>
              </w:rPr>
              <w:t>292.89</w:t>
            </w:r>
          </w:p>
        </w:tc>
        <w:tc>
          <w:tcPr>
            <w:tcW w:w="6845" w:type="dxa"/>
          </w:tcPr>
          <w:p w:rsidR="00E675F0" w:rsidRDefault="00E675F0" w:rsidP="00A330E1">
            <w:pPr>
              <w:pStyle w:val="TableParagraph"/>
              <w:spacing w:line="203" w:lineRule="exact"/>
              <w:ind w:left="109"/>
              <w:rPr>
                <w:sz w:val="20"/>
              </w:rPr>
            </w:pPr>
            <w:r>
              <w:rPr>
                <w:b/>
                <w:w w:val="110"/>
                <w:sz w:val="20"/>
              </w:rPr>
              <w:t xml:space="preserve">Phencyclidine Intoxication </w:t>
            </w:r>
            <w:r>
              <w:rPr>
                <w:w w:val="110"/>
                <w:sz w:val="20"/>
              </w:rPr>
              <w:t>(see p. 257)</w:t>
            </w:r>
          </w:p>
          <w:p w:rsidR="00E675F0" w:rsidRDefault="00E675F0" w:rsidP="00A330E1">
            <w:pPr>
              <w:pStyle w:val="TableParagraph"/>
              <w:spacing w:line="264" w:lineRule="exact"/>
              <w:ind w:left="123"/>
              <w:rPr>
                <w:sz w:val="20"/>
              </w:rPr>
            </w:pPr>
            <w:r>
              <w:rPr>
                <w:i/>
                <w:sz w:val="20"/>
              </w:rPr>
              <w:t xml:space="preserve">Specify </w:t>
            </w:r>
            <w:r>
              <w:rPr>
                <w:rFonts w:ascii="Arial"/>
                <w:i/>
                <w:sz w:val="26"/>
              </w:rPr>
              <w:t xml:space="preserve">if </w:t>
            </w:r>
            <w:r>
              <w:rPr>
                <w:sz w:val="20"/>
              </w:rPr>
              <w:t>With Perceptual Disturbances</w:t>
            </w:r>
          </w:p>
        </w:tc>
      </w:tr>
      <w:tr w:rsidR="00E675F0" w:rsidTr="00A330E1">
        <w:trPr>
          <w:trHeight w:val="239"/>
        </w:trPr>
        <w:tc>
          <w:tcPr>
            <w:tcW w:w="777" w:type="dxa"/>
          </w:tcPr>
          <w:p w:rsidR="00E675F0" w:rsidRDefault="00E675F0" w:rsidP="00A330E1">
            <w:pPr>
              <w:pStyle w:val="TableParagraph"/>
              <w:spacing w:line="219" w:lineRule="exact"/>
              <w:ind w:left="29" w:right="92"/>
              <w:jc w:val="center"/>
              <w:rPr>
                <w:b/>
                <w:sz w:val="20"/>
              </w:rPr>
            </w:pPr>
            <w:r>
              <w:rPr>
                <w:b/>
                <w:w w:val="110"/>
                <w:sz w:val="20"/>
              </w:rPr>
              <w:t>292.81</w:t>
            </w:r>
          </w:p>
        </w:tc>
        <w:tc>
          <w:tcPr>
            <w:tcW w:w="6845" w:type="dxa"/>
          </w:tcPr>
          <w:p w:rsidR="00E675F0" w:rsidRDefault="00E675F0" w:rsidP="00A330E1">
            <w:pPr>
              <w:pStyle w:val="TableParagraph"/>
              <w:spacing w:line="219" w:lineRule="exact"/>
              <w:ind w:left="109"/>
              <w:rPr>
                <w:sz w:val="20"/>
              </w:rPr>
            </w:pPr>
            <w:r>
              <w:rPr>
                <w:b/>
                <w:w w:val="115"/>
                <w:sz w:val="20"/>
              </w:rPr>
              <w:t xml:space="preserve">Phencyclidine Intoxication Delirium </w:t>
            </w:r>
            <w:r>
              <w:rPr>
                <w:w w:val="115"/>
                <w:sz w:val="20"/>
              </w:rPr>
              <w:t>(seep. 129)</w:t>
            </w:r>
          </w:p>
        </w:tc>
      </w:tr>
      <w:tr w:rsidR="00E675F0" w:rsidTr="00A330E1">
        <w:trPr>
          <w:trHeight w:val="489"/>
        </w:trPr>
        <w:tc>
          <w:tcPr>
            <w:tcW w:w="777" w:type="dxa"/>
          </w:tcPr>
          <w:p w:rsidR="00E675F0" w:rsidRDefault="00E675F0" w:rsidP="00A330E1">
            <w:pPr>
              <w:pStyle w:val="TableParagraph"/>
              <w:spacing w:before="6"/>
              <w:ind w:left="29" w:right="92"/>
              <w:jc w:val="center"/>
              <w:rPr>
                <w:b/>
                <w:sz w:val="20"/>
              </w:rPr>
            </w:pPr>
            <w:r>
              <w:rPr>
                <w:b/>
                <w:w w:val="110"/>
                <w:sz w:val="20"/>
              </w:rPr>
              <w:t>292.11</w:t>
            </w:r>
          </w:p>
        </w:tc>
        <w:tc>
          <w:tcPr>
            <w:tcW w:w="6845" w:type="dxa"/>
          </w:tcPr>
          <w:p w:rsidR="00E675F0" w:rsidRDefault="00E675F0" w:rsidP="00A330E1">
            <w:pPr>
              <w:pStyle w:val="TableParagraph"/>
              <w:spacing w:before="1" w:line="218" w:lineRule="exact"/>
              <w:ind w:left="109"/>
              <w:rPr>
                <w:sz w:val="20"/>
              </w:rPr>
            </w:pPr>
            <w:r>
              <w:rPr>
                <w:b/>
                <w:w w:val="110"/>
                <w:sz w:val="20"/>
              </w:rPr>
              <w:t xml:space="preserve">Phencyclidine-Induced Psychotic Disorder, With Delusions </w:t>
            </w:r>
            <w:r>
              <w:rPr>
                <w:w w:val="110"/>
                <w:sz w:val="20"/>
              </w:rPr>
              <w:t>(see p. 310)</w:t>
            </w:r>
          </w:p>
          <w:p w:rsidR="00E675F0" w:rsidRDefault="00E675F0" w:rsidP="00A330E1">
            <w:pPr>
              <w:pStyle w:val="TableParagraph"/>
              <w:spacing w:line="250" w:lineRule="exact"/>
              <w:ind w:left="127"/>
              <w:rPr>
                <w:sz w:val="20"/>
              </w:rPr>
            </w:pPr>
            <w:r>
              <w:rPr>
                <w:i/>
                <w:w w:val="105"/>
                <w:sz w:val="20"/>
              </w:rPr>
              <w:t xml:space="preserve">Specify </w:t>
            </w:r>
            <w:r>
              <w:rPr>
                <w:rFonts w:ascii="Arial"/>
                <w:i/>
                <w:w w:val="105"/>
                <w:sz w:val="24"/>
              </w:rPr>
              <w:t xml:space="preserve">tf </w:t>
            </w:r>
            <w:r>
              <w:rPr>
                <w:w w:val="105"/>
                <w:sz w:val="20"/>
              </w:rPr>
              <w:t>With Onset During Intoxication</w:t>
            </w:r>
          </w:p>
        </w:tc>
      </w:tr>
      <w:tr w:rsidR="00E675F0" w:rsidTr="00A330E1">
        <w:trPr>
          <w:trHeight w:val="487"/>
        </w:trPr>
        <w:tc>
          <w:tcPr>
            <w:tcW w:w="777" w:type="dxa"/>
          </w:tcPr>
          <w:p w:rsidR="00E675F0" w:rsidRDefault="00E675F0" w:rsidP="00A330E1">
            <w:pPr>
              <w:pStyle w:val="TableParagraph"/>
              <w:spacing w:before="2"/>
              <w:ind w:left="29" w:right="92"/>
              <w:jc w:val="center"/>
              <w:rPr>
                <w:b/>
                <w:sz w:val="20"/>
              </w:rPr>
            </w:pPr>
            <w:r>
              <w:rPr>
                <w:b/>
                <w:w w:val="110"/>
                <w:sz w:val="20"/>
              </w:rPr>
              <w:t>292.12</w:t>
            </w:r>
          </w:p>
        </w:tc>
        <w:tc>
          <w:tcPr>
            <w:tcW w:w="6845" w:type="dxa"/>
          </w:tcPr>
          <w:p w:rsidR="00E675F0" w:rsidRDefault="00E675F0" w:rsidP="00A330E1">
            <w:pPr>
              <w:pStyle w:val="TableParagraph"/>
              <w:spacing w:line="206" w:lineRule="exact"/>
              <w:ind w:left="109"/>
              <w:rPr>
                <w:b/>
                <w:sz w:val="20"/>
              </w:rPr>
            </w:pPr>
            <w:r>
              <w:rPr>
                <w:b/>
                <w:w w:val="110"/>
                <w:sz w:val="20"/>
              </w:rPr>
              <w:t>Phencyclidine-Induced Psychotic Disorder, With Hallucinations</w:t>
            </w:r>
          </w:p>
          <w:p w:rsidR="00E675F0" w:rsidRDefault="00E675F0" w:rsidP="00A330E1">
            <w:pPr>
              <w:pStyle w:val="TableParagraph"/>
              <w:spacing w:line="261" w:lineRule="exact"/>
              <w:ind w:left="116"/>
              <w:rPr>
                <w:sz w:val="20"/>
              </w:rPr>
            </w:pPr>
            <w:r>
              <w:rPr>
                <w:w w:val="105"/>
                <w:sz w:val="20"/>
              </w:rPr>
              <w:t xml:space="preserve">(seep. 310) </w:t>
            </w:r>
            <w:r>
              <w:rPr>
                <w:i/>
                <w:w w:val="105"/>
                <w:sz w:val="20"/>
              </w:rPr>
              <w:t xml:space="preserve">Specify </w:t>
            </w:r>
            <w:r>
              <w:rPr>
                <w:rFonts w:ascii="Arial"/>
                <w:i/>
                <w:w w:val="105"/>
                <w:sz w:val="26"/>
              </w:rPr>
              <w:t xml:space="preserve">if </w:t>
            </w:r>
            <w:r>
              <w:rPr>
                <w:w w:val="105"/>
                <w:sz w:val="20"/>
              </w:rPr>
              <w:t>With Onset During Intoxication</w:t>
            </w:r>
          </w:p>
        </w:tc>
      </w:tr>
      <w:tr w:rsidR="00E675F0" w:rsidTr="00A330E1">
        <w:trPr>
          <w:trHeight w:val="487"/>
        </w:trPr>
        <w:tc>
          <w:tcPr>
            <w:tcW w:w="777" w:type="dxa"/>
          </w:tcPr>
          <w:p w:rsidR="00E675F0" w:rsidRDefault="00E675F0" w:rsidP="00A330E1">
            <w:pPr>
              <w:pStyle w:val="TableParagraph"/>
              <w:ind w:left="34" w:right="87"/>
              <w:jc w:val="center"/>
              <w:rPr>
                <w:b/>
                <w:sz w:val="20"/>
              </w:rPr>
            </w:pPr>
            <w:r>
              <w:rPr>
                <w:b/>
                <w:w w:val="110"/>
                <w:sz w:val="20"/>
              </w:rPr>
              <w:t>292.84</w:t>
            </w:r>
          </w:p>
        </w:tc>
        <w:tc>
          <w:tcPr>
            <w:tcW w:w="6845" w:type="dxa"/>
          </w:tcPr>
          <w:p w:rsidR="00E675F0" w:rsidRDefault="00E675F0" w:rsidP="00A330E1">
            <w:pPr>
              <w:pStyle w:val="TableParagraph"/>
              <w:spacing w:line="204" w:lineRule="exact"/>
              <w:ind w:left="109"/>
              <w:rPr>
                <w:sz w:val="20"/>
              </w:rPr>
            </w:pPr>
            <w:r>
              <w:rPr>
                <w:b/>
                <w:w w:val="110"/>
                <w:sz w:val="20"/>
              </w:rPr>
              <w:t xml:space="preserve">Phencyclidine-Induced Mood Disorder </w:t>
            </w:r>
            <w:r>
              <w:rPr>
                <w:w w:val="110"/>
                <w:sz w:val="20"/>
              </w:rPr>
              <w:t>(see p. 370)</w:t>
            </w:r>
          </w:p>
          <w:p w:rsidR="00E675F0" w:rsidRDefault="00E675F0" w:rsidP="00A330E1">
            <w:pPr>
              <w:pStyle w:val="TableParagraph"/>
              <w:spacing w:line="264" w:lineRule="exact"/>
              <w:ind w:left="127"/>
              <w:rPr>
                <w:sz w:val="20"/>
              </w:rPr>
            </w:pPr>
            <w:r>
              <w:rPr>
                <w:i/>
                <w:w w:val="105"/>
                <w:sz w:val="20"/>
              </w:rPr>
              <w:t xml:space="preserve">Specify </w:t>
            </w:r>
            <w:r>
              <w:rPr>
                <w:rFonts w:ascii="Arial"/>
                <w:i/>
                <w:w w:val="105"/>
                <w:sz w:val="26"/>
              </w:rPr>
              <w:t xml:space="preserve">if </w:t>
            </w:r>
            <w:r>
              <w:rPr>
                <w:w w:val="105"/>
                <w:sz w:val="20"/>
              </w:rPr>
              <w:t>With Onset During Intoxication</w:t>
            </w:r>
          </w:p>
        </w:tc>
      </w:tr>
      <w:tr w:rsidR="00E675F0" w:rsidTr="00A330E1">
        <w:trPr>
          <w:trHeight w:val="605"/>
        </w:trPr>
        <w:tc>
          <w:tcPr>
            <w:tcW w:w="777" w:type="dxa"/>
          </w:tcPr>
          <w:p w:rsidR="00E675F0" w:rsidRDefault="00E675F0" w:rsidP="00A330E1">
            <w:pPr>
              <w:pStyle w:val="TableParagraph"/>
              <w:spacing w:before="2"/>
              <w:ind w:left="33" w:right="92"/>
              <w:jc w:val="center"/>
              <w:rPr>
                <w:b/>
                <w:sz w:val="20"/>
              </w:rPr>
            </w:pPr>
            <w:r>
              <w:rPr>
                <w:b/>
                <w:w w:val="110"/>
                <w:sz w:val="20"/>
              </w:rPr>
              <w:t>292.89</w:t>
            </w:r>
          </w:p>
        </w:tc>
        <w:tc>
          <w:tcPr>
            <w:tcW w:w="6845" w:type="dxa"/>
          </w:tcPr>
          <w:p w:rsidR="00E675F0" w:rsidRDefault="00E675F0" w:rsidP="00A330E1">
            <w:pPr>
              <w:pStyle w:val="TableParagraph"/>
              <w:spacing w:line="206" w:lineRule="exact"/>
              <w:ind w:left="114"/>
              <w:rPr>
                <w:sz w:val="20"/>
              </w:rPr>
            </w:pPr>
            <w:r>
              <w:rPr>
                <w:b/>
                <w:w w:val="110"/>
                <w:sz w:val="20"/>
              </w:rPr>
              <w:t xml:space="preserve">Phencyclidine-Induced Anxiety Disorder </w:t>
            </w:r>
            <w:r>
              <w:rPr>
                <w:w w:val="110"/>
                <w:sz w:val="20"/>
              </w:rPr>
              <w:t>(see p. 439)</w:t>
            </w:r>
          </w:p>
          <w:p w:rsidR="00E675F0" w:rsidRDefault="00E675F0" w:rsidP="00A330E1">
            <w:pPr>
              <w:pStyle w:val="TableParagraph"/>
              <w:spacing w:line="278" w:lineRule="exact"/>
              <w:ind w:left="132"/>
              <w:rPr>
                <w:sz w:val="20"/>
              </w:rPr>
            </w:pPr>
            <w:r>
              <w:rPr>
                <w:i/>
                <w:w w:val="105"/>
                <w:sz w:val="20"/>
              </w:rPr>
              <w:t xml:space="preserve">Specify </w:t>
            </w:r>
            <w:r>
              <w:rPr>
                <w:rFonts w:ascii="Arial"/>
                <w:i/>
                <w:w w:val="105"/>
                <w:sz w:val="26"/>
              </w:rPr>
              <w:t xml:space="preserve">if </w:t>
            </w:r>
            <w:r>
              <w:rPr>
                <w:w w:val="105"/>
                <w:sz w:val="20"/>
              </w:rPr>
              <w:t>With Onset During Intoxication</w:t>
            </w:r>
          </w:p>
        </w:tc>
      </w:tr>
      <w:tr w:rsidR="00E675F0" w:rsidTr="00A330E1">
        <w:trPr>
          <w:trHeight w:val="357"/>
        </w:trPr>
        <w:tc>
          <w:tcPr>
            <w:tcW w:w="777" w:type="dxa"/>
          </w:tcPr>
          <w:p w:rsidR="00E675F0" w:rsidRDefault="00E675F0" w:rsidP="00A330E1">
            <w:pPr>
              <w:pStyle w:val="TableParagraph"/>
              <w:spacing w:before="127" w:line="210" w:lineRule="exact"/>
              <w:ind w:left="34" w:right="208"/>
              <w:jc w:val="center"/>
              <w:rPr>
                <w:b/>
                <w:sz w:val="20"/>
              </w:rPr>
            </w:pPr>
            <w:r>
              <w:rPr>
                <w:b/>
                <w:w w:val="110"/>
                <w:sz w:val="20"/>
              </w:rPr>
              <w:t>292.9</w:t>
            </w:r>
          </w:p>
        </w:tc>
        <w:tc>
          <w:tcPr>
            <w:tcW w:w="6845" w:type="dxa"/>
          </w:tcPr>
          <w:p w:rsidR="00E675F0" w:rsidRDefault="00E675F0" w:rsidP="00A330E1">
            <w:pPr>
              <w:pStyle w:val="TableParagraph"/>
              <w:spacing w:before="113" w:line="224" w:lineRule="exact"/>
              <w:ind w:left="109"/>
              <w:rPr>
                <w:sz w:val="20"/>
              </w:rPr>
            </w:pPr>
            <w:r>
              <w:rPr>
                <w:b/>
                <w:w w:val="110"/>
                <w:sz w:val="20"/>
              </w:rPr>
              <w:t xml:space="preserve">Phencyclidine-Related Disorder Not Otherwise Specified </w:t>
            </w:r>
            <w:r>
              <w:rPr>
                <w:w w:val="110"/>
                <w:sz w:val="20"/>
              </w:rPr>
              <w:t>(see p. 261)</w:t>
            </w:r>
          </w:p>
        </w:tc>
      </w:tr>
    </w:tbl>
    <w:p w:rsidR="00E675F0" w:rsidRDefault="00E675F0" w:rsidP="00E675F0">
      <w:pPr>
        <w:pStyle w:val="BodyText"/>
        <w:rPr>
          <w:rFonts w:ascii="TimesNewRomanPS-BoldItalicMT"/>
          <w:b/>
          <w:i/>
          <w:sz w:val="26"/>
        </w:rPr>
      </w:pPr>
    </w:p>
    <w:p w:rsidR="00E675F0" w:rsidRDefault="00E675F0" w:rsidP="00E675F0">
      <w:pPr>
        <w:pStyle w:val="BodyText"/>
        <w:spacing w:before="9"/>
        <w:rPr>
          <w:rFonts w:ascii="TimesNewRomanPS-BoldItalicMT"/>
          <w:b/>
          <w:i/>
          <w:sz w:val="24"/>
        </w:rPr>
      </w:pPr>
    </w:p>
    <w:p w:rsidR="00E675F0" w:rsidRDefault="00E675F0" w:rsidP="00E675F0">
      <w:pPr>
        <w:ind w:left="1957"/>
        <w:rPr>
          <w:rFonts w:ascii="TimesNewRomanPS-BoldItalicMT"/>
          <w:b/>
          <w:i/>
          <w:sz w:val="27"/>
        </w:rPr>
      </w:pPr>
      <w:r>
        <w:rPr>
          <w:rFonts w:ascii="TimesNewRomanPS-BoldItalicMT"/>
          <w:b/>
          <w:i/>
          <w:w w:val="120"/>
          <w:sz w:val="27"/>
        </w:rPr>
        <w:t>Pbencyclidine Use Disorders</w:t>
      </w:r>
    </w:p>
    <w:p w:rsidR="00E675F0" w:rsidRDefault="00E675F0" w:rsidP="00E675F0">
      <w:pPr>
        <w:tabs>
          <w:tab w:val="left" w:pos="2715"/>
        </w:tabs>
        <w:spacing w:before="145"/>
        <w:ind w:left="1646"/>
        <w:rPr>
          <w:rFonts w:ascii="Arial"/>
          <w:b/>
          <w:sz w:val="25"/>
        </w:rPr>
      </w:pPr>
      <w:r>
        <w:rPr>
          <w:rFonts w:ascii="Arial"/>
          <w:b/>
          <w:w w:val="105"/>
          <w:sz w:val="25"/>
        </w:rPr>
        <w:t>304.90</w:t>
      </w:r>
      <w:r>
        <w:rPr>
          <w:rFonts w:ascii="Arial"/>
          <w:b/>
          <w:w w:val="105"/>
          <w:sz w:val="25"/>
        </w:rPr>
        <w:tab/>
        <w:t>Phencyclidine</w:t>
      </w:r>
      <w:r>
        <w:rPr>
          <w:rFonts w:ascii="Arial"/>
          <w:b/>
          <w:spacing w:val="30"/>
          <w:w w:val="105"/>
          <w:sz w:val="25"/>
        </w:rPr>
        <w:t xml:space="preserve"> </w:t>
      </w:r>
      <w:r>
        <w:rPr>
          <w:rFonts w:ascii="Arial"/>
          <w:b/>
          <w:w w:val="105"/>
          <w:sz w:val="25"/>
        </w:rPr>
        <w:t>Dependence</w:t>
      </w:r>
    </w:p>
    <w:p w:rsidR="00E675F0" w:rsidRDefault="00E675F0" w:rsidP="00E675F0">
      <w:pPr>
        <w:pStyle w:val="BodyText"/>
        <w:spacing w:before="2"/>
        <w:rPr>
          <w:rFonts w:ascii="Arial"/>
          <w:b/>
          <w:sz w:val="22"/>
        </w:rPr>
      </w:pPr>
    </w:p>
    <w:p w:rsidR="00E675F0" w:rsidRDefault="00E675F0" w:rsidP="00E675F0">
      <w:pPr>
        <w:pStyle w:val="BodyText"/>
        <w:spacing w:line="254" w:lineRule="auto"/>
        <w:ind w:left="157" w:right="189" w:firstLine="5"/>
        <w:jc w:val="both"/>
      </w:pPr>
      <w:r>
        <w:rPr>
          <w:w w:val="105"/>
        </w:rPr>
        <w:t xml:space="preserve">Also refer to the text and criteria for Substance Dependence (see p. 176). Some of the generic criteria for Substance Dependence do not apply to phencyclidine. Although "craving" has been reported by individuals with heavy use, neither tolerance nor withdrawal symptoms have been clearly demonstrated in humans (although both have been shown to occur in animal studies). Phencyclidine is usually not difficult to obtain, and individuals with Phencyclidine Dependence often smoke it at least </w:t>
      </w:r>
      <w:r>
        <w:rPr>
          <w:w w:val="105"/>
          <w:sz w:val="21"/>
        </w:rPr>
        <w:t xml:space="preserve">2-3 </w:t>
      </w:r>
      <w:r>
        <w:rPr>
          <w:w w:val="105"/>
        </w:rPr>
        <w:t>times per day, thus spending a significant proportion of their time using the substance and experiencing its effects. Phencyclidine use may continue despite the presence of psychological problems (e.g., disinhibition, anxiety, rage, aggression, panic, flashbacks) or medical problems (e.g., hyperthermia, hypertension, seizures) that the individual knows are caused by the substance. Individuals with Phencyclidine Dependence can manifest dangerous behavioral reactions due to lack of insight and judgment while intoxicated. Aggressive behavior involving fighting has been identified as an especially problematic adverse effect of phencyclidine. As with hallucinogens, adverse</w:t>
      </w:r>
      <w:r>
        <w:rPr>
          <w:spacing w:val="8"/>
          <w:w w:val="105"/>
        </w:rPr>
        <w:t xml:space="preserve"> </w:t>
      </w:r>
      <w:r>
        <w:rPr>
          <w:w w:val="105"/>
        </w:rPr>
        <w:t>reactions</w:t>
      </w:r>
    </w:p>
    <w:p w:rsidR="00E675F0" w:rsidRDefault="00E675F0" w:rsidP="00E675F0">
      <w:pPr>
        <w:spacing w:line="254" w:lineRule="auto"/>
        <w:jc w:val="both"/>
        <w:sectPr w:rsidR="00E675F0">
          <w:pgSz w:w="8960" w:h="14260"/>
          <w:pgMar w:top="1400" w:right="520" w:bottom="280" w:left="600" w:header="720" w:footer="0" w:gutter="0"/>
          <w:cols w:space="720"/>
        </w:sectPr>
      </w:pPr>
    </w:p>
    <w:p w:rsidR="00E675F0" w:rsidRDefault="00E675F0" w:rsidP="00E675F0">
      <w:pPr>
        <w:pStyle w:val="BodyText"/>
        <w:spacing w:before="134" w:line="252" w:lineRule="auto"/>
        <w:ind w:left="111" w:firstLine="4"/>
      </w:pPr>
      <w:bookmarkStart w:id="169" w:name="_bookmark149"/>
      <w:bookmarkEnd w:id="169"/>
      <w:r>
        <w:rPr>
          <w:w w:val="105"/>
        </w:rPr>
        <w:lastRenderedPageBreak/>
        <w:t>to phencyclidine may be more common among individuals with preexisting mental disorders.</w:t>
      </w:r>
    </w:p>
    <w:p w:rsidR="00E675F0" w:rsidRDefault="00E675F0" w:rsidP="00E675F0">
      <w:pPr>
        <w:pStyle w:val="BodyText"/>
        <w:spacing w:before="3"/>
        <w:rPr>
          <w:sz w:val="31"/>
        </w:rPr>
      </w:pPr>
    </w:p>
    <w:p w:rsidR="00E675F0" w:rsidRDefault="00E675F0" w:rsidP="00E675F0">
      <w:pPr>
        <w:ind w:left="103"/>
        <w:rPr>
          <w:rFonts w:ascii="TimesNewRomanPS-BoldItalicMT"/>
          <w:b/>
          <w:i/>
          <w:sz w:val="24"/>
        </w:rPr>
      </w:pPr>
      <w:r>
        <w:rPr>
          <w:rFonts w:ascii="TimesNewRomanPS-BoldItalicMT"/>
          <w:b/>
          <w:i/>
          <w:w w:val="115"/>
          <w:sz w:val="24"/>
        </w:rPr>
        <w:t>Specifiers</w:t>
      </w:r>
    </w:p>
    <w:p w:rsidR="00E675F0" w:rsidRDefault="00E675F0" w:rsidP="00E675F0">
      <w:pPr>
        <w:pStyle w:val="BodyText"/>
        <w:spacing w:before="141" w:line="252" w:lineRule="auto"/>
        <w:ind w:left="114" w:right="220" w:hanging="3"/>
      </w:pPr>
      <w:r>
        <w:rPr>
          <w:w w:val="105"/>
        </w:rPr>
        <w:t>The following specifiers may be applied to a diagnosis of Phencyclidine Dependence (see p. 179 for more details):</w:t>
      </w:r>
    </w:p>
    <w:p w:rsidR="00E675F0" w:rsidRDefault="00E675F0" w:rsidP="00E675F0">
      <w:pPr>
        <w:spacing w:before="61" w:line="256" w:lineRule="auto"/>
        <w:ind w:left="713" w:right="4615" w:firstLine="6"/>
        <w:rPr>
          <w:b/>
          <w:sz w:val="20"/>
        </w:rPr>
      </w:pPr>
      <w:r>
        <w:rPr>
          <w:b/>
          <w:w w:val="110"/>
          <w:sz w:val="20"/>
        </w:rPr>
        <w:t>Early Full Remission Early Partial Remission Sustained Full Remission</w:t>
      </w:r>
    </w:p>
    <w:p w:rsidR="00E675F0" w:rsidRDefault="00E675F0" w:rsidP="00E675F0">
      <w:pPr>
        <w:spacing w:line="252" w:lineRule="auto"/>
        <w:ind w:left="720" w:right="4190" w:hanging="2"/>
        <w:rPr>
          <w:b/>
          <w:sz w:val="20"/>
        </w:rPr>
      </w:pPr>
      <w:r>
        <w:rPr>
          <w:b/>
          <w:w w:val="110"/>
          <w:sz w:val="20"/>
        </w:rPr>
        <w:t>Sustained Partial Remission In a Controlled Environment</w:t>
      </w:r>
    </w:p>
    <w:p w:rsidR="00E675F0" w:rsidRDefault="00E675F0" w:rsidP="00E675F0">
      <w:pPr>
        <w:pStyle w:val="BodyText"/>
        <w:rPr>
          <w:b/>
          <w:sz w:val="22"/>
        </w:rPr>
      </w:pPr>
    </w:p>
    <w:p w:rsidR="00E675F0" w:rsidRDefault="00E675F0" w:rsidP="00E675F0">
      <w:pPr>
        <w:pStyle w:val="BodyText"/>
        <w:spacing w:before="8"/>
        <w:rPr>
          <w:b/>
          <w:sz w:val="17"/>
        </w:rPr>
      </w:pPr>
    </w:p>
    <w:p w:rsidR="00E675F0" w:rsidRDefault="00E675F0" w:rsidP="00E675F0">
      <w:pPr>
        <w:tabs>
          <w:tab w:val="left" w:pos="3082"/>
        </w:tabs>
        <w:ind w:left="2013"/>
        <w:rPr>
          <w:rFonts w:ascii="Arial"/>
          <w:b/>
          <w:sz w:val="26"/>
        </w:rPr>
      </w:pPr>
      <w:r>
        <w:rPr>
          <w:rFonts w:ascii="Arial"/>
          <w:b/>
          <w:sz w:val="26"/>
        </w:rPr>
        <w:t>305.90</w:t>
      </w:r>
      <w:r>
        <w:rPr>
          <w:rFonts w:ascii="Arial"/>
          <w:b/>
          <w:sz w:val="26"/>
        </w:rPr>
        <w:tab/>
        <w:t>Phencyclidine</w:t>
      </w:r>
      <w:r>
        <w:rPr>
          <w:rFonts w:ascii="Arial"/>
          <w:b/>
          <w:spacing w:val="20"/>
          <w:sz w:val="26"/>
        </w:rPr>
        <w:t xml:space="preserve"> </w:t>
      </w:r>
      <w:r>
        <w:rPr>
          <w:rFonts w:ascii="Arial"/>
          <w:b/>
          <w:sz w:val="26"/>
        </w:rPr>
        <w:t>Abuse</w:t>
      </w:r>
    </w:p>
    <w:p w:rsidR="00E675F0" w:rsidRDefault="00E675F0" w:rsidP="00E675F0">
      <w:pPr>
        <w:pStyle w:val="BodyText"/>
        <w:spacing w:before="248" w:line="254" w:lineRule="auto"/>
        <w:ind w:left="115" w:right="134" w:firstLine="5"/>
        <w:jc w:val="both"/>
      </w:pPr>
      <w:r>
        <w:rPr>
          <w:w w:val="105"/>
        </w:rPr>
        <w:t>Also refer to the text and criteria for Substance Abuse (seep. 182). Although individuals who abuse phencyclidine use the substance much less often than those with Depen­ dence, they may repeatedly fail to fulfill major role obligations at school, work, or home because of Phencyclidine Intoxication. Individuals may use phencyclidine in situations where it is physically hazardous (such as while operating heavy machinery or driving a motorcycle or car). Legal difficulties may arise due to possession of phencyclidine or to behaviors resulting from Intoxication (e.g., fighting). There may be recurrent social or interpersonal problems due to the individual's behavior while intoxicated or to the chaotic lifestyle, multiple legal problems, or arguments with significant others.</w:t>
      </w:r>
    </w:p>
    <w:p w:rsidR="00E675F0" w:rsidRDefault="00E675F0" w:rsidP="00E675F0">
      <w:pPr>
        <w:pStyle w:val="BodyText"/>
        <w:rPr>
          <w:sz w:val="22"/>
        </w:rPr>
      </w:pPr>
    </w:p>
    <w:p w:rsidR="00E675F0" w:rsidRDefault="00E675F0" w:rsidP="00E675F0">
      <w:pPr>
        <w:pStyle w:val="BodyText"/>
        <w:spacing w:before="7"/>
        <w:rPr>
          <w:sz w:val="28"/>
        </w:rPr>
      </w:pPr>
    </w:p>
    <w:p w:rsidR="00E675F0" w:rsidRDefault="00E675F0" w:rsidP="00E675F0">
      <w:pPr>
        <w:ind w:left="58" w:right="119"/>
        <w:jc w:val="center"/>
        <w:rPr>
          <w:rFonts w:ascii="TimesNewRomanPS-BoldItalicMT"/>
          <w:b/>
          <w:i/>
          <w:sz w:val="28"/>
        </w:rPr>
      </w:pPr>
      <w:r>
        <w:rPr>
          <w:rFonts w:ascii="TimesNewRomanPS-BoldItalicMT"/>
          <w:b/>
          <w:i/>
          <w:w w:val="115"/>
          <w:sz w:val="28"/>
        </w:rPr>
        <w:t>Phencyclidine-Induced Disorders</w:t>
      </w:r>
    </w:p>
    <w:p w:rsidR="00E675F0" w:rsidRDefault="00E675F0" w:rsidP="00E675F0">
      <w:pPr>
        <w:tabs>
          <w:tab w:val="left" w:pos="2738"/>
        </w:tabs>
        <w:spacing w:before="134"/>
        <w:ind w:left="1660"/>
        <w:rPr>
          <w:b/>
          <w:sz w:val="26"/>
        </w:rPr>
      </w:pPr>
      <w:r>
        <w:rPr>
          <w:b/>
          <w:w w:val="110"/>
          <w:sz w:val="26"/>
        </w:rPr>
        <w:t>292.89</w:t>
      </w:r>
      <w:r>
        <w:rPr>
          <w:b/>
          <w:w w:val="110"/>
          <w:sz w:val="26"/>
        </w:rPr>
        <w:tab/>
        <w:t>Phencyclidine</w:t>
      </w:r>
      <w:r>
        <w:rPr>
          <w:b/>
          <w:spacing w:val="38"/>
          <w:w w:val="110"/>
          <w:sz w:val="26"/>
        </w:rPr>
        <w:t xml:space="preserve"> </w:t>
      </w:r>
      <w:r>
        <w:rPr>
          <w:b/>
          <w:w w:val="110"/>
          <w:sz w:val="26"/>
        </w:rPr>
        <w:t>Intoxication</w:t>
      </w:r>
    </w:p>
    <w:p w:rsidR="00E675F0" w:rsidRDefault="00E675F0" w:rsidP="00E675F0">
      <w:pPr>
        <w:pStyle w:val="BodyText"/>
        <w:spacing w:before="238" w:line="252" w:lineRule="auto"/>
        <w:ind w:left="112" w:right="116" w:firstLine="3"/>
        <w:jc w:val="both"/>
      </w:pPr>
      <w:r>
        <w:rPr>
          <w:w w:val="105"/>
        </w:rPr>
        <w:t>Also refer to the text and criteria for Substance Intoxication (see p. 183). The essential feature of Phencyclidine Intoxication is the presence of clinically significant maladaptive behavioral changes (e.g., belligerence, assaultiveness, impulsiveness, unpredictability, psychomotor agitation, impaired judgment, or impaired social or occupational function­ ing) that develop during, or shortly after, use of phencyclidine (or a related substance) (Criteria A and B). These changes are accompanied by two or more of the following signs that develop within an hour of using the substance (or less when it is smoked, "snorted," or used intravenously): vertical or horizontal nystagmus, hypertension or tachycardia, numbness or diminished responsiveness to pain, ataxia, dysarthria, muscle rigidity, seizures or coma, and hyperacusis (Criterion C). The symptoms must not  be due to a general medical condition and are not better accounted for by another mental disorder (Criterion</w:t>
      </w:r>
      <w:r>
        <w:rPr>
          <w:spacing w:val="31"/>
          <w:w w:val="105"/>
        </w:rPr>
        <w:t xml:space="preserve"> </w:t>
      </w:r>
      <w:r>
        <w:rPr>
          <w:w w:val="105"/>
        </w:rPr>
        <w:t>D).</w:t>
      </w:r>
    </w:p>
    <w:p w:rsidR="00E675F0" w:rsidRDefault="00E675F0" w:rsidP="00E675F0">
      <w:pPr>
        <w:pStyle w:val="BodyText"/>
        <w:spacing w:before="20" w:line="254" w:lineRule="auto"/>
        <w:ind w:left="116" w:right="130" w:firstLine="359"/>
        <w:jc w:val="both"/>
      </w:pPr>
      <w:r>
        <w:rPr>
          <w:w w:val="105"/>
        </w:rPr>
        <w:t>Specific</w:t>
      </w:r>
      <w:r>
        <w:rPr>
          <w:spacing w:val="-14"/>
          <w:w w:val="105"/>
        </w:rPr>
        <w:t xml:space="preserve"> </w:t>
      </w:r>
      <w:r>
        <w:rPr>
          <w:w w:val="105"/>
        </w:rPr>
        <w:t>signs</w:t>
      </w:r>
      <w:r>
        <w:rPr>
          <w:spacing w:val="-14"/>
          <w:w w:val="105"/>
        </w:rPr>
        <w:t xml:space="preserve"> </w:t>
      </w:r>
      <w:r>
        <w:rPr>
          <w:w w:val="105"/>
        </w:rPr>
        <w:t>and</w:t>
      </w:r>
      <w:r>
        <w:rPr>
          <w:spacing w:val="-16"/>
          <w:w w:val="105"/>
        </w:rPr>
        <w:t xml:space="preserve"> </w:t>
      </w:r>
      <w:r>
        <w:rPr>
          <w:w w:val="105"/>
        </w:rPr>
        <w:t>symptoms</w:t>
      </w:r>
      <w:r>
        <w:rPr>
          <w:spacing w:val="-4"/>
          <w:w w:val="105"/>
        </w:rPr>
        <w:t xml:space="preserve"> </w:t>
      </w:r>
      <w:r>
        <w:rPr>
          <w:w w:val="105"/>
        </w:rPr>
        <w:t>are</w:t>
      </w:r>
      <w:r>
        <w:rPr>
          <w:spacing w:val="-16"/>
          <w:w w:val="105"/>
        </w:rPr>
        <w:t xml:space="preserve"> </w:t>
      </w:r>
      <w:r>
        <w:rPr>
          <w:w w:val="105"/>
        </w:rPr>
        <w:t>dose</w:t>
      </w:r>
      <w:r>
        <w:rPr>
          <w:spacing w:val="-12"/>
          <w:w w:val="105"/>
        </w:rPr>
        <w:t xml:space="preserve"> </w:t>
      </w:r>
      <w:r>
        <w:rPr>
          <w:w w:val="105"/>
        </w:rPr>
        <w:t>related.</w:t>
      </w:r>
      <w:r>
        <w:rPr>
          <w:spacing w:val="-6"/>
          <w:w w:val="105"/>
        </w:rPr>
        <w:t xml:space="preserve"> </w:t>
      </w:r>
      <w:r>
        <w:rPr>
          <w:w w:val="105"/>
        </w:rPr>
        <w:t>Lower</w:t>
      </w:r>
      <w:r>
        <w:rPr>
          <w:spacing w:val="-14"/>
          <w:w w:val="105"/>
        </w:rPr>
        <w:t xml:space="preserve"> </w:t>
      </w:r>
      <w:r>
        <w:rPr>
          <w:w w:val="105"/>
        </w:rPr>
        <w:t>doses</w:t>
      </w:r>
      <w:r>
        <w:rPr>
          <w:spacing w:val="-8"/>
          <w:w w:val="105"/>
        </w:rPr>
        <w:t xml:space="preserve"> </w:t>
      </w:r>
      <w:r>
        <w:rPr>
          <w:w w:val="105"/>
        </w:rPr>
        <w:t>of phencyclidine</w:t>
      </w:r>
      <w:r>
        <w:rPr>
          <w:spacing w:val="4"/>
          <w:w w:val="105"/>
        </w:rPr>
        <w:t xml:space="preserve"> </w:t>
      </w:r>
      <w:r>
        <w:rPr>
          <w:w w:val="105"/>
        </w:rPr>
        <w:t>produce vertigo, ataxia, nystagmus, mild hypertension, abnormal involuntary movements, slurred speech, nausea, weakness, slowed reaction times, euphoria or affective dulling, loquac­ ity, and lack of concern. Disorganized thinking, changed body image and sensory perception, depersonalization, and feelings of unreality occur at intermediate</w:t>
      </w:r>
      <w:r>
        <w:rPr>
          <w:spacing w:val="-7"/>
          <w:w w:val="105"/>
        </w:rPr>
        <w:t xml:space="preserve"> </w:t>
      </w:r>
      <w:r>
        <w:rPr>
          <w:w w:val="105"/>
        </w:rPr>
        <w:t>doses.</w:t>
      </w:r>
    </w:p>
    <w:p w:rsidR="00E675F0" w:rsidRDefault="00E675F0" w:rsidP="00E675F0">
      <w:pPr>
        <w:spacing w:line="254" w:lineRule="auto"/>
        <w:jc w:val="both"/>
        <w:sectPr w:rsidR="00E675F0">
          <w:pgSz w:w="8960" w:h="14260"/>
          <w:pgMar w:top="1400" w:right="620" w:bottom="280" w:left="620" w:header="683" w:footer="0" w:gutter="0"/>
          <w:cols w:space="720"/>
        </w:sectPr>
      </w:pPr>
    </w:p>
    <w:p w:rsidR="00E675F0" w:rsidRDefault="00E675F0" w:rsidP="00E675F0">
      <w:pPr>
        <w:pStyle w:val="BodyText"/>
        <w:spacing w:before="121" w:line="256" w:lineRule="auto"/>
        <w:ind w:left="114" w:right="137" w:firstLine="11"/>
        <w:jc w:val="both"/>
      </w:pPr>
      <w:bookmarkStart w:id="170" w:name="_bookmark150"/>
      <w:bookmarkEnd w:id="170"/>
      <w:r>
        <w:rPr>
          <w:w w:val="105"/>
        </w:rPr>
        <w:lastRenderedPageBreak/>
        <w:t xml:space="preserve">Higher doses produce amnesia and coma, with analgesia sufficient for surgery, and seizures with respiratory depression occur at the highest doses. Effects begin almost immediately after an intravenous or transpulmonary dose, reaching a peak within minutes. Peak effects occur about 2 hours after oral doses. In milder intoxications, the effects resolve after </w:t>
      </w:r>
      <w:r>
        <w:rPr>
          <w:w w:val="105"/>
          <w:sz w:val="19"/>
        </w:rPr>
        <w:t xml:space="preserve">8-20 </w:t>
      </w:r>
      <w:r>
        <w:rPr>
          <w:w w:val="105"/>
        </w:rPr>
        <w:t>hours, whereas signs and symptoms of severe intoxications may persist for several days. Phencyclidine-Induced Psychotic Disorder (p. 310) may persist for</w:t>
      </w:r>
      <w:r>
        <w:rPr>
          <w:spacing w:val="14"/>
          <w:w w:val="105"/>
        </w:rPr>
        <w:t xml:space="preserve"> </w:t>
      </w:r>
      <w:r>
        <w:rPr>
          <w:w w:val="105"/>
        </w:rPr>
        <w:t>weeks.</w:t>
      </w:r>
    </w:p>
    <w:p w:rsidR="00E675F0" w:rsidRDefault="00E675F0" w:rsidP="00E675F0">
      <w:pPr>
        <w:pStyle w:val="BodyText"/>
        <w:rPr>
          <w:sz w:val="22"/>
        </w:rPr>
      </w:pPr>
    </w:p>
    <w:p w:rsidR="00E675F0" w:rsidRDefault="00E675F0" w:rsidP="00E675F0">
      <w:pPr>
        <w:pStyle w:val="BodyText"/>
        <w:spacing w:before="1"/>
        <w:rPr>
          <w:sz w:val="18"/>
        </w:rPr>
      </w:pPr>
    </w:p>
    <w:p w:rsidR="00E675F0" w:rsidRDefault="00E675F0" w:rsidP="00E675F0">
      <w:pPr>
        <w:ind w:left="105"/>
        <w:rPr>
          <w:rFonts w:ascii="TimesNewRomanPS-BoldItalicMT"/>
          <w:b/>
          <w:i/>
          <w:sz w:val="24"/>
        </w:rPr>
      </w:pPr>
      <w:r>
        <w:rPr>
          <w:rFonts w:ascii="TimesNewRomanPS-BoldItalicMT"/>
          <w:b/>
          <w:i/>
          <w:w w:val="115"/>
          <w:sz w:val="24"/>
        </w:rPr>
        <w:t>Specifier</w:t>
      </w:r>
    </w:p>
    <w:p w:rsidR="00E675F0" w:rsidRDefault="00E675F0" w:rsidP="00E675F0">
      <w:pPr>
        <w:pStyle w:val="BodyText"/>
        <w:spacing w:before="165"/>
        <w:ind w:left="113"/>
        <w:jc w:val="both"/>
      </w:pPr>
      <w:r>
        <w:rPr>
          <w:w w:val="105"/>
        </w:rPr>
        <w:t>The following specifier may be applied to a diagnosis of Phencyclidine Intoxication:</w:t>
      </w:r>
    </w:p>
    <w:p w:rsidR="00E675F0" w:rsidRDefault="00E675F0" w:rsidP="00E675F0">
      <w:pPr>
        <w:pStyle w:val="BodyText"/>
        <w:spacing w:before="78" w:line="254" w:lineRule="auto"/>
        <w:ind w:left="717" w:right="132" w:firstLine="1"/>
        <w:jc w:val="both"/>
      </w:pPr>
      <w:r>
        <w:rPr>
          <w:noProof/>
        </w:rPr>
        <mc:AlternateContent>
          <mc:Choice Requires="wps">
            <w:drawing>
              <wp:anchor distT="0" distB="0" distL="114300" distR="114300" simplePos="0" relativeHeight="251808768" behindDoc="1" locked="0" layoutInCell="1" allowOverlap="1" wp14:anchorId="28175BBA" wp14:editId="2326B12F">
                <wp:simplePos x="0" y="0"/>
                <wp:positionH relativeFrom="page">
                  <wp:posOffset>469265</wp:posOffset>
                </wp:positionH>
                <wp:positionV relativeFrom="paragraph">
                  <wp:posOffset>1245870</wp:posOffset>
                </wp:positionV>
                <wp:extent cx="4765675" cy="4346575"/>
                <wp:effectExtent l="0" t="12700" r="0" b="0"/>
                <wp:wrapNone/>
                <wp:docPr id="1304" name="AutoShape 1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5675" cy="4346575"/>
                        </a:xfrm>
                        <a:custGeom>
                          <a:avLst/>
                          <a:gdLst>
                            <a:gd name="T0" fmla="+- 0 8148 739"/>
                            <a:gd name="T1" fmla="*/ T0 w 7505"/>
                            <a:gd name="T2" fmla="+- 0 8806 1962"/>
                            <a:gd name="T3" fmla="*/ 8806 h 6845"/>
                            <a:gd name="T4" fmla="+- 0 8148 739"/>
                            <a:gd name="T5" fmla="*/ T4 w 7505"/>
                            <a:gd name="T6" fmla="+- 0 1962 1962"/>
                            <a:gd name="T7" fmla="*/ 1962 h 6845"/>
                            <a:gd name="T8" fmla="+- 0 739 739"/>
                            <a:gd name="T9" fmla="*/ T8 w 7505"/>
                            <a:gd name="T10" fmla="+- 0 8705 1962"/>
                            <a:gd name="T11" fmla="*/ 8705 h 6845"/>
                            <a:gd name="T12" fmla="+- 0 8244 739"/>
                            <a:gd name="T13" fmla="*/ T12 w 7505"/>
                            <a:gd name="T14" fmla="+- 0 8705 1962"/>
                            <a:gd name="T15" fmla="*/ 8705 h 6845"/>
                          </a:gdLst>
                          <a:ahLst/>
                          <a:cxnLst>
                            <a:cxn ang="0">
                              <a:pos x="T1" y="T3"/>
                            </a:cxn>
                            <a:cxn ang="0">
                              <a:pos x="T5" y="T7"/>
                            </a:cxn>
                            <a:cxn ang="0">
                              <a:pos x="T9" y="T11"/>
                            </a:cxn>
                            <a:cxn ang="0">
                              <a:pos x="T13" y="T15"/>
                            </a:cxn>
                          </a:cxnLst>
                          <a:rect l="0" t="0" r="r" b="b"/>
                          <a:pathLst>
                            <a:path w="7505" h="6845">
                              <a:moveTo>
                                <a:pt x="7409" y="6844"/>
                              </a:moveTo>
                              <a:lnTo>
                                <a:pt x="7409" y="0"/>
                              </a:lnTo>
                              <a:moveTo>
                                <a:pt x="0" y="6743"/>
                              </a:moveTo>
                              <a:lnTo>
                                <a:pt x="7505" y="6743"/>
                              </a:lnTo>
                            </a:path>
                          </a:pathLst>
                        </a:custGeom>
                        <a:noFill/>
                        <a:ln w="3053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9E3DD" id="AutoShape 1260" o:spid="_x0000_s1026" style="position:absolute;margin-left:36.95pt;margin-top:98.1pt;width:375.25pt;height:342.25pt;z-index:-251507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05,68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" path="m7409,6844l7409,m,6743r7505,e" filled="f" strokeweight=".84819mm">
                <v:path arrowok="t" o:connecttype="custom" o:connectlocs="4704715,5591810;4704715,1245870;0,5527675;4765675,5527675" o:connectangles="0,0,0,0"/>
                <w10:wrap anchorx="page"/>
              </v:shape>
            </w:pict>
          </mc:Fallback>
        </mc:AlternateContent>
      </w:r>
      <w:r>
        <w:rPr>
          <w:b/>
          <w:w w:val="105"/>
          <w:sz w:val="19"/>
        </w:rPr>
        <w:t xml:space="preserve">With Perceptual Disturbances. </w:t>
      </w:r>
      <w:r>
        <w:rPr>
          <w:w w:val="105"/>
        </w:rPr>
        <w:t>This specifier may be noted when</w:t>
      </w:r>
      <w:r>
        <w:rPr>
          <w:spacing w:val="52"/>
          <w:w w:val="105"/>
        </w:rPr>
        <w:t xml:space="preserve"> </w:t>
      </w:r>
      <w:r>
        <w:rPr>
          <w:w w:val="105"/>
        </w:rPr>
        <w:t xml:space="preserve">hallucina­ tions with intact reality testing or auditory, visual, or tactile illusions occur in the absence of a delirium. </w:t>
      </w:r>
      <w:r>
        <w:rPr>
          <w:i/>
          <w:w w:val="105"/>
        </w:rPr>
        <w:t xml:space="preserve">Intact reality testing </w:t>
      </w:r>
      <w:r>
        <w:rPr>
          <w:w w:val="105"/>
        </w:rPr>
        <w:t>means that the person knows that the hallucinations are induced by the substance and do not represent external reality. When hallucinations occur in the absence of intact reality testing, a diagnosis of Substance-Induced</w:t>
      </w:r>
      <w:r>
        <w:rPr>
          <w:spacing w:val="-26"/>
          <w:w w:val="105"/>
        </w:rPr>
        <w:t xml:space="preserve"> </w:t>
      </w:r>
      <w:r>
        <w:rPr>
          <w:w w:val="105"/>
        </w:rPr>
        <w:t>Psychotic</w:t>
      </w:r>
      <w:r>
        <w:rPr>
          <w:spacing w:val="-19"/>
          <w:w w:val="105"/>
        </w:rPr>
        <w:t xml:space="preserve"> </w:t>
      </w:r>
      <w:r>
        <w:rPr>
          <w:w w:val="105"/>
        </w:rPr>
        <w:t>Disorder,</w:t>
      </w:r>
      <w:r>
        <w:rPr>
          <w:spacing w:val="-22"/>
          <w:w w:val="105"/>
        </w:rPr>
        <w:t xml:space="preserve"> </w:t>
      </w:r>
      <w:r>
        <w:rPr>
          <w:w w:val="105"/>
        </w:rPr>
        <w:t>With</w:t>
      </w:r>
      <w:r>
        <w:rPr>
          <w:spacing w:val="-21"/>
          <w:w w:val="105"/>
        </w:rPr>
        <w:t xml:space="preserve"> </w:t>
      </w:r>
      <w:r>
        <w:rPr>
          <w:w w:val="105"/>
        </w:rPr>
        <w:t>Hallucinations,</w:t>
      </w:r>
      <w:r>
        <w:rPr>
          <w:spacing w:val="-28"/>
          <w:w w:val="105"/>
        </w:rPr>
        <w:t xml:space="preserve"> </w:t>
      </w:r>
      <w:r>
        <w:rPr>
          <w:w w:val="105"/>
        </w:rPr>
        <w:t>should</w:t>
      </w:r>
      <w:r>
        <w:rPr>
          <w:spacing w:val="-16"/>
          <w:w w:val="105"/>
        </w:rPr>
        <w:t xml:space="preserve"> </w:t>
      </w:r>
      <w:r>
        <w:rPr>
          <w:w w:val="105"/>
        </w:rPr>
        <w:t>he</w:t>
      </w:r>
      <w:r>
        <w:rPr>
          <w:spacing w:val="-24"/>
          <w:w w:val="105"/>
        </w:rPr>
        <w:t xml:space="preserve"> </w:t>
      </w:r>
      <w:r>
        <w:rPr>
          <w:w w:val="105"/>
        </w:rPr>
        <w:t>considered.</w:t>
      </w:r>
    </w:p>
    <w:p w:rsidR="00E675F0" w:rsidRDefault="00E675F0" w:rsidP="00E675F0">
      <w:pPr>
        <w:pStyle w:val="BodyText"/>
      </w:pPr>
    </w:p>
    <w:p w:rsidR="00E675F0" w:rsidRDefault="00E675F0" w:rsidP="00E675F0">
      <w:pPr>
        <w:pStyle w:val="BodyText"/>
        <w:spacing w:before="7"/>
        <w:rPr>
          <w:sz w:val="21"/>
        </w:rPr>
      </w:pPr>
    </w:p>
    <w:tbl>
      <w:tblPr>
        <w:tblW w:w="0" w:type="auto"/>
        <w:tblInd w:w="229"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7331"/>
      </w:tblGrid>
      <w:tr w:rsidR="00E675F0" w:rsidTr="00A330E1">
        <w:trPr>
          <w:trHeight w:val="6602"/>
        </w:trPr>
        <w:tc>
          <w:tcPr>
            <w:tcW w:w="7331" w:type="dxa"/>
          </w:tcPr>
          <w:p w:rsidR="00E675F0" w:rsidRDefault="00E675F0" w:rsidP="003048D3">
            <w:pPr>
              <w:pStyle w:val="TableParagraph"/>
              <w:numPr>
                <w:ilvl w:val="0"/>
                <w:numId w:val="19"/>
              </w:numPr>
              <w:tabs>
                <w:tab w:val="left" w:pos="638"/>
              </w:tabs>
              <w:spacing w:before="50" w:line="199" w:lineRule="auto"/>
              <w:ind w:right="1509" w:hanging="391"/>
              <w:rPr>
                <w:b/>
                <w:sz w:val="26"/>
              </w:rPr>
            </w:pPr>
            <w:r>
              <w:rPr>
                <w:b/>
                <w:w w:val="105"/>
                <w:sz w:val="26"/>
              </w:rPr>
              <w:t>Diagnostic criteria for 292.89 Phencyclidine Intoxication</w:t>
            </w:r>
          </w:p>
          <w:p w:rsidR="00E675F0" w:rsidRDefault="00E675F0" w:rsidP="003048D3">
            <w:pPr>
              <w:pStyle w:val="TableParagraph"/>
              <w:numPr>
                <w:ilvl w:val="1"/>
                <w:numId w:val="19"/>
              </w:numPr>
              <w:tabs>
                <w:tab w:val="left" w:pos="960"/>
              </w:tabs>
              <w:spacing w:before="204"/>
              <w:rPr>
                <w:sz w:val="18"/>
              </w:rPr>
            </w:pPr>
            <w:r>
              <w:rPr>
                <w:w w:val="105"/>
                <w:sz w:val="20"/>
              </w:rPr>
              <w:t>Recent use of phencyclidine (or a related</w:t>
            </w:r>
            <w:r>
              <w:rPr>
                <w:spacing w:val="6"/>
                <w:w w:val="105"/>
                <w:sz w:val="20"/>
              </w:rPr>
              <w:t xml:space="preserve"> </w:t>
            </w:r>
            <w:r>
              <w:rPr>
                <w:w w:val="105"/>
                <w:sz w:val="20"/>
              </w:rPr>
              <w:t>substance).</w:t>
            </w:r>
          </w:p>
          <w:p w:rsidR="00E675F0" w:rsidRDefault="00E675F0" w:rsidP="00A330E1">
            <w:pPr>
              <w:pStyle w:val="TableParagraph"/>
              <w:spacing w:before="1"/>
              <w:rPr>
                <w:sz w:val="18"/>
              </w:rPr>
            </w:pPr>
          </w:p>
          <w:p w:rsidR="00E675F0" w:rsidRDefault="00E675F0" w:rsidP="003048D3">
            <w:pPr>
              <w:pStyle w:val="TableParagraph"/>
              <w:numPr>
                <w:ilvl w:val="1"/>
                <w:numId w:val="19"/>
              </w:numPr>
              <w:tabs>
                <w:tab w:val="left" w:pos="956"/>
              </w:tabs>
              <w:spacing w:line="247" w:lineRule="auto"/>
              <w:ind w:left="956" w:right="225" w:hanging="300"/>
              <w:jc w:val="both"/>
              <w:rPr>
                <w:sz w:val="20"/>
              </w:rPr>
            </w:pPr>
            <w:r>
              <w:rPr>
                <w:w w:val="105"/>
                <w:sz w:val="20"/>
              </w:rPr>
              <w:t>Clinically</w:t>
            </w:r>
            <w:r>
              <w:rPr>
                <w:spacing w:val="-13"/>
                <w:w w:val="105"/>
                <w:sz w:val="20"/>
              </w:rPr>
              <w:t xml:space="preserve"> </w:t>
            </w:r>
            <w:r>
              <w:rPr>
                <w:w w:val="105"/>
                <w:sz w:val="20"/>
              </w:rPr>
              <w:t>significant</w:t>
            </w:r>
            <w:r>
              <w:rPr>
                <w:spacing w:val="-10"/>
                <w:w w:val="105"/>
                <w:sz w:val="20"/>
              </w:rPr>
              <w:t xml:space="preserve"> </w:t>
            </w:r>
            <w:r>
              <w:rPr>
                <w:w w:val="105"/>
                <w:sz w:val="20"/>
              </w:rPr>
              <w:t>maladaptive</w:t>
            </w:r>
            <w:r>
              <w:rPr>
                <w:spacing w:val="-8"/>
                <w:w w:val="105"/>
                <w:sz w:val="20"/>
              </w:rPr>
              <w:t xml:space="preserve"> </w:t>
            </w:r>
            <w:r>
              <w:rPr>
                <w:w w:val="105"/>
                <w:sz w:val="20"/>
              </w:rPr>
              <w:t>behavioral</w:t>
            </w:r>
            <w:r>
              <w:rPr>
                <w:spacing w:val="-10"/>
                <w:w w:val="105"/>
                <w:sz w:val="20"/>
              </w:rPr>
              <w:t xml:space="preserve"> </w:t>
            </w:r>
            <w:r>
              <w:rPr>
                <w:w w:val="105"/>
                <w:sz w:val="20"/>
              </w:rPr>
              <w:t>changes</w:t>
            </w:r>
            <w:r>
              <w:rPr>
                <w:spacing w:val="-20"/>
                <w:w w:val="105"/>
                <w:sz w:val="20"/>
              </w:rPr>
              <w:t xml:space="preserve"> </w:t>
            </w:r>
            <w:r>
              <w:rPr>
                <w:w w:val="105"/>
                <w:sz w:val="20"/>
              </w:rPr>
              <w:t>(e.g.,</w:t>
            </w:r>
            <w:r>
              <w:rPr>
                <w:spacing w:val="-11"/>
                <w:w w:val="105"/>
                <w:sz w:val="20"/>
              </w:rPr>
              <w:t xml:space="preserve"> </w:t>
            </w:r>
            <w:r>
              <w:rPr>
                <w:w w:val="105"/>
                <w:sz w:val="20"/>
              </w:rPr>
              <w:t>belligerence, assaultiveness, impulsiveness, unpredictability, psychomotor agitation, impaired judgment, or impaired social or occupational functioning) that developed during, or shortly after, phencyclidine</w:t>
            </w:r>
            <w:r>
              <w:rPr>
                <w:spacing w:val="-1"/>
                <w:w w:val="105"/>
                <w:sz w:val="20"/>
              </w:rPr>
              <w:t xml:space="preserve"> </w:t>
            </w:r>
            <w:r>
              <w:rPr>
                <w:w w:val="105"/>
                <w:sz w:val="20"/>
              </w:rPr>
              <w:t>use.</w:t>
            </w:r>
          </w:p>
          <w:p w:rsidR="00E675F0" w:rsidRDefault="00E675F0" w:rsidP="003048D3">
            <w:pPr>
              <w:pStyle w:val="TableParagraph"/>
              <w:numPr>
                <w:ilvl w:val="1"/>
                <w:numId w:val="19"/>
              </w:numPr>
              <w:tabs>
                <w:tab w:val="left" w:pos="956"/>
              </w:tabs>
              <w:spacing w:before="182" w:line="244" w:lineRule="auto"/>
              <w:ind w:left="966" w:right="222" w:hanging="315"/>
              <w:rPr>
                <w:rFonts w:ascii="Arial"/>
                <w:sz w:val="17"/>
              </w:rPr>
            </w:pPr>
            <w:r>
              <w:rPr>
                <w:w w:val="105"/>
                <w:sz w:val="20"/>
              </w:rPr>
              <w:t>Within an hour (less when smoked, "snorted," or used intravenously), two (or more) of the following</w:t>
            </w:r>
            <w:r>
              <w:rPr>
                <w:spacing w:val="18"/>
                <w:w w:val="105"/>
                <w:sz w:val="20"/>
              </w:rPr>
              <w:t xml:space="preserve"> </w:t>
            </w:r>
            <w:r>
              <w:rPr>
                <w:w w:val="105"/>
                <w:sz w:val="20"/>
              </w:rPr>
              <w:t>signs:</w:t>
            </w:r>
          </w:p>
          <w:p w:rsidR="00E675F0" w:rsidRDefault="00E675F0" w:rsidP="003048D3">
            <w:pPr>
              <w:pStyle w:val="TableParagraph"/>
              <w:numPr>
                <w:ilvl w:val="2"/>
                <w:numId w:val="19"/>
              </w:numPr>
              <w:tabs>
                <w:tab w:val="left" w:pos="1380"/>
                <w:tab w:val="left" w:pos="1381"/>
              </w:tabs>
              <w:spacing w:before="69"/>
              <w:ind w:hanging="425"/>
              <w:rPr>
                <w:sz w:val="17"/>
              </w:rPr>
            </w:pPr>
            <w:r>
              <w:rPr>
                <w:w w:val="105"/>
                <w:sz w:val="20"/>
              </w:rPr>
              <w:t>vertical or horizontal</w:t>
            </w:r>
            <w:r>
              <w:rPr>
                <w:spacing w:val="30"/>
                <w:w w:val="105"/>
                <w:sz w:val="20"/>
              </w:rPr>
              <w:t xml:space="preserve"> </w:t>
            </w:r>
            <w:r>
              <w:rPr>
                <w:w w:val="105"/>
                <w:sz w:val="20"/>
              </w:rPr>
              <w:t>nystagmus</w:t>
            </w:r>
          </w:p>
          <w:p w:rsidR="00E675F0" w:rsidRDefault="00E675F0" w:rsidP="003048D3">
            <w:pPr>
              <w:pStyle w:val="TableParagraph"/>
              <w:numPr>
                <w:ilvl w:val="2"/>
                <w:numId w:val="19"/>
              </w:numPr>
              <w:tabs>
                <w:tab w:val="left" w:pos="1391"/>
              </w:tabs>
              <w:spacing w:before="15"/>
              <w:ind w:left="1390" w:hanging="432"/>
              <w:rPr>
                <w:sz w:val="20"/>
              </w:rPr>
            </w:pPr>
            <w:r>
              <w:rPr>
                <w:w w:val="105"/>
                <w:sz w:val="20"/>
              </w:rPr>
              <w:t>hypertension or</w:t>
            </w:r>
            <w:r>
              <w:rPr>
                <w:spacing w:val="26"/>
                <w:w w:val="105"/>
                <w:sz w:val="20"/>
              </w:rPr>
              <w:t xml:space="preserve"> </w:t>
            </w:r>
            <w:r>
              <w:rPr>
                <w:w w:val="105"/>
                <w:sz w:val="20"/>
              </w:rPr>
              <w:t>tachycardia</w:t>
            </w:r>
          </w:p>
          <w:p w:rsidR="00E675F0" w:rsidRDefault="00E675F0" w:rsidP="003048D3">
            <w:pPr>
              <w:pStyle w:val="TableParagraph"/>
              <w:numPr>
                <w:ilvl w:val="2"/>
                <w:numId w:val="19"/>
              </w:numPr>
              <w:tabs>
                <w:tab w:val="left" w:pos="1391"/>
              </w:tabs>
              <w:spacing w:before="15"/>
              <w:ind w:left="1390" w:hanging="432"/>
              <w:rPr>
                <w:sz w:val="20"/>
              </w:rPr>
            </w:pPr>
            <w:r>
              <w:rPr>
                <w:w w:val="105"/>
                <w:sz w:val="20"/>
              </w:rPr>
              <w:t>numbness or diminished responsiveness to</w:t>
            </w:r>
            <w:r>
              <w:rPr>
                <w:spacing w:val="-28"/>
                <w:w w:val="105"/>
                <w:sz w:val="20"/>
              </w:rPr>
              <w:t xml:space="preserve"> </w:t>
            </w:r>
            <w:r>
              <w:rPr>
                <w:w w:val="105"/>
                <w:sz w:val="20"/>
              </w:rPr>
              <w:t>pain</w:t>
            </w:r>
          </w:p>
          <w:p w:rsidR="00E675F0" w:rsidRDefault="00E675F0" w:rsidP="003048D3">
            <w:pPr>
              <w:pStyle w:val="TableParagraph"/>
              <w:numPr>
                <w:ilvl w:val="2"/>
                <w:numId w:val="19"/>
              </w:numPr>
              <w:tabs>
                <w:tab w:val="left" w:pos="1390"/>
              </w:tabs>
              <w:spacing w:before="16"/>
              <w:ind w:left="1389" w:hanging="431"/>
              <w:rPr>
                <w:sz w:val="20"/>
              </w:rPr>
            </w:pPr>
            <w:r>
              <w:rPr>
                <w:sz w:val="20"/>
              </w:rPr>
              <w:t>ataxia</w:t>
            </w:r>
          </w:p>
          <w:p w:rsidR="00E675F0" w:rsidRDefault="00E675F0" w:rsidP="003048D3">
            <w:pPr>
              <w:pStyle w:val="TableParagraph"/>
              <w:numPr>
                <w:ilvl w:val="2"/>
                <w:numId w:val="19"/>
              </w:numPr>
              <w:tabs>
                <w:tab w:val="left" w:pos="1385"/>
              </w:tabs>
              <w:spacing w:before="20"/>
              <w:ind w:left="1384" w:hanging="426"/>
              <w:rPr>
                <w:sz w:val="20"/>
              </w:rPr>
            </w:pPr>
            <w:r>
              <w:rPr>
                <w:w w:val="105"/>
                <w:sz w:val="20"/>
              </w:rPr>
              <w:t>dysarthria</w:t>
            </w:r>
          </w:p>
          <w:p w:rsidR="00E675F0" w:rsidRDefault="00E675F0" w:rsidP="003048D3">
            <w:pPr>
              <w:pStyle w:val="TableParagraph"/>
              <w:numPr>
                <w:ilvl w:val="2"/>
                <w:numId w:val="19"/>
              </w:numPr>
              <w:tabs>
                <w:tab w:val="left" w:pos="1390"/>
              </w:tabs>
              <w:spacing w:before="15"/>
              <w:ind w:left="1389" w:hanging="426"/>
              <w:rPr>
                <w:sz w:val="20"/>
              </w:rPr>
            </w:pPr>
            <w:r>
              <w:rPr>
                <w:w w:val="105"/>
                <w:sz w:val="20"/>
              </w:rPr>
              <w:t>muscle</w:t>
            </w:r>
            <w:r>
              <w:rPr>
                <w:spacing w:val="11"/>
                <w:w w:val="105"/>
                <w:sz w:val="20"/>
              </w:rPr>
              <w:t xml:space="preserve"> </w:t>
            </w:r>
            <w:r>
              <w:rPr>
                <w:w w:val="105"/>
                <w:sz w:val="20"/>
              </w:rPr>
              <w:t>rigidity</w:t>
            </w:r>
          </w:p>
          <w:p w:rsidR="00E675F0" w:rsidRDefault="00E675F0" w:rsidP="003048D3">
            <w:pPr>
              <w:pStyle w:val="TableParagraph"/>
              <w:numPr>
                <w:ilvl w:val="2"/>
                <w:numId w:val="19"/>
              </w:numPr>
              <w:tabs>
                <w:tab w:val="left" w:pos="1386"/>
                <w:tab w:val="left" w:pos="1387"/>
              </w:tabs>
              <w:spacing w:before="10"/>
              <w:ind w:left="1386" w:hanging="426"/>
              <w:rPr>
                <w:sz w:val="17"/>
              </w:rPr>
            </w:pPr>
            <w:r>
              <w:rPr>
                <w:w w:val="105"/>
                <w:sz w:val="20"/>
              </w:rPr>
              <w:t>seizures or</w:t>
            </w:r>
            <w:r>
              <w:rPr>
                <w:spacing w:val="25"/>
                <w:w w:val="105"/>
                <w:sz w:val="20"/>
              </w:rPr>
              <w:t xml:space="preserve"> </w:t>
            </w:r>
            <w:r>
              <w:rPr>
                <w:w w:val="105"/>
                <w:sz w:val="20"/>
              </w:rPr>
              <w:t>coma</w:t>
            </w:r>
          </w:p>
          <w:p w:rsidR="00E675F0" w:rsidRDefault="00E675F0" w:rsidP="003048D3">
            <w:pPr>
              <w:pStyle w:val="TableParagraph"/>
              <w:numPr>
                <w:ilvl w:val="2"/>
                <w:numId w:val="19"/>
              </w:numPr>
              <w:tabs>
                <w:tab w:val="left" w:pos="1395"/>
              </w:tabs>
              <w:spacing w:before="15"/>
              <w:ind w:left="1394" w:hanging="436"/>
              <w:rPr>
                <w:sz w:val="20"/>
              </w:rPr>
            </w:pPr>
            <w:r>
              <w:rPr>
                <w:w w:val="105"/>
                <w:sz w:val="20"/>
              </w:rPr>
              <w:t>hyperacusis</w:t>
            </w:r>
          </w:p>
          <w:p w:rsidR="00E675F0" w:rsidRDefault="00E675F0" w:rsidP="00A330E1">
            <w:pPr>
              <w:pStyle w:val="TableParagraph"/>
              <w:spacing w:before="2"/>
              <w:rPr>
                <w:sz w:val="17"/>
              </w:rPr>
            </w:pPr>
          </w:p>
          <w:p w:rsidR="00E675F0" w:rsidRDefault="00E675F0" w:rsidP="003048D3">
            <w:pPr>
              <w:pStyle w:val="TableParagraph"/>
              <w:numPr>
                <w:ilvl w:val="1"/>
                <w:numId w:val="19"/>
              </w:numPr>
              <w:tabs>
                <w:tab w:val="left" w:pos="958"/>
              </w:tabs>
              <w:spacing w:before="1" w:line="256" w:lineRule="auto"/>
              <w:ind w:left="968" w:right="221" w:hanging="308"/>
              <w:rPr>
                <w:sz w:val="20"/>
              </w:rPr>
            </w:pPr>
            <w:r>
              <w:rPr>
                <w:w w:val="105"/>
                <w:sz w:val="20"/>
              </w:rPr>
              <w:t>The symptoms are not due to a general medical condition and are not better accounted for by another mental</w:t>
            </w:r>
            <w:r>
              <w:rPr>
                <w:spacing w:val="38"/>
                <w:w w:val="105"/>
                <w:sz w:val="20"/>
              </w:rPr>
              <w:t xml:space="preserve"> </w:t>
            </w:r>
            <w:r>
              <w:rPr>
                <w:w w:val="105"/>
                <w:sz w:val="20"/>
              </w:rPr>
              <w:t>disorder.</w:t>
            </w:r>
          </w:p>
          <w:p w:rsidR="00E675F0" w:rsidRDefault="00E675F0" w:rsidP="00A330E1">
            <w:pPr>
              <w:pStyle w:val="TableParagraph"/>
              <w:spacing w:before="4"/>
              <w:rPr>
                <w:sz w:val="17"/>
              </w:rPr>
            </w:pPr>
          </w:p>
          <w:p w:rsidR="00E675F0" w:rsidRDefault="00E675F0" w:rsidP="00A330E1">
            <w:pPr>
              <w:pStyle w:val="TableParagraph"/>
              <w:ind w:left="423"/>
              <w:rPr>
                <w:sz w:val="19"/>
              </w:rPr>
            </w:pPr>
            <w:r>
              <w:rPr>
                <w:i/>
                <w:sz w:val="20"/>
              </w:rPr>
              <w:t xml:space="preserve">Specify </w:t>
            </w:r>
            <w:r>
              <w:rPr>
                <w:sz w:val="19"/>
              </w:rPr>
              <w:t>if:</w:t>
            </w:r>
          </w:p>
          <w:p w:rsidR="00E675F0" w:rsidRDefault="00E675F0" w:rsidP="00A330E1">
            <w:pPr>
              <w:pStyle w:val="TableParagraph"/>
              <w:spacing w:before="25"/>
              <w:ind w:left="653"/>
              <w:rPr>
                <w:b/>
                <w:sz w:val="19"/>
              </w:rPr>
            </w:pPr>
            <w:r>
              <w:rPr>
                <w:b/>
                <w:w w:val="115"/>
                <w:sz w:val="19"/>
              </w:rPr>
              <w:t>With Perceptual Disturbances</w:t>
            </w:r>
          </w:p>
        </w:tc>
      </w:tr>
    </w:tbl>
    <w:p w:rsidR="00E675F0" w:rsidRDefault="00E675F0" w:rsidP="00E675F0">
      <w:pPr>
        <w:rPr>
          <w:sz w:val="19"/>
        </w:rPr>
        <w:sectPr w:rsidR="00E675F0">
          <w:pgSz w:w="8960" w:h="14260"/>
          <w:pgMar w:top="1400" w:right="600" w:bottom="280" w:left="620" w:header="720" w:footer="0" w:gutter="0"/>
          <w:cols w:space="720"/>
        </w:sectPr>
      </w:pPr>
    </w:p>
    <w:p w:rsidR="00E675F0" w:rsidRDefault="00E675F0" w:rsidP="00E675F0">
      <w:pPr>
        <w:spacing w:before="134"/>
        <w:ind w:left="105" w:right="119"/>
        <w:jc w:val="center"/>
        <w:rPr>
          <w:rFonts w:ascii="Arial"/>
          <w:b/>
          <w:sz w:val="25"/>
        </w:rPr>
      </w:pPr>
      <w:bookmarkStart w:id="171" w:name="_bookmark151"/>
      <w:bookmarkEnd w:id="171"/>
      <w:r>
        <w:rPr>
          <w:rFonts w:ascii="Arial"/>
          <w:b/>
          <w:w w:val="105"/>
          <w:sz w:val="25"/>
        </w:rPr>
        <w:lastRenderedPageBreak/>
        <w:t>Other Phencyclidine-Induced Disorders</w:t>
      </w:r>
    </w:p>
    <w:p w:rsidR="00E675F0" w:rsidRDefault="00E675F0" w:rsidP="00E675F0">
      <w:pPr>
        <w:pStyle w:val="BodyText"/>
        <w:spacing w:before="11"/>
        <w:rPr>
          <w:rFonts w:ascii="Arial"/>
          <w:b/>
          <w:sz w:val="25"/>
        </w:rPr>
      </w:pPr>
    </w:p>
    <w:p w:rsidR="00E675F0" w:rsidRDefault="00E675F0" w:rsidP="00E675F0">
      <w:pPr>
        <w:spacing w:line="254" w:lineRule="auto"/>
        <w:ind w:left="117" w:right="116" w:hanging="6"/>
        <w:jc w:val="both"/>
        <w:rPr>
          <w:sz w:val="20"/>
        </w:rPr>
      </w:pPr>
      <w:r>
        <w:rPr>
          <w:w w:val="110"/>
          <w:sz w:val="20"/>
        </w:rPr>
        <w:t>The</w:t>
      </w:r>
      <w:r>
        <w:rPr>
          <w:spacing w:val="-14"/>
          <w:w w:val="110"/>
          <w:sz w:val="20"/>
        </w:rPr>
        <w:t xml:space="preserve"> </w:t>
      </w:r>
      <w:r>
        <w:rPr>
          <w:w w:val="110"/>
          <w:sz w:val="20"/>
        </w:rPr>
        <w:t>following</w:t>
      </w:r>
      <w:r>
        <w:rPr>
          <w:spacing w:val="-8"/>
          <w:w w:val="110"/>
          <w:sz w:val="20"/>
        </w:rPr>
        <w:t xml:space="preserve"> </w:t>
      </w:r>
      <w:r>
        <w:rPr>
          <w:w w:val="110"/>
          <w:sz w:val="20"/>
        </w:rPr>
        <w:t>Phencyclidine-Induced</w:t>
      </w:r>
      <w:r>
        <w:rPr>
          <w:spacing w:val="-8"/>
          <w:w w:val="110"/>
          <w:sz w:val="20"/>
        </w:rPr>
        <w:t xml:space="preserve"> </w:t>
      </w:r>
      <w:r>
        <w:rPr>
          <w:w w:val="110"/>
          <w:sz w:val="20"/>
        </w:rPr>
        <w:t>Disorders</w:t>
      </w:r>
      <w:r>
        <w:rPr>
          <w:spacing w:val="-3"/>
          <w:w w:val="110"/>
          <w:sz w:val="20"/>
        </w:rPr>
        <w:t xml:space="preserve"> </w:t>
      </w:r>
      <w:r>
        <w:rPr>
          <w:w w:val="110"/>
          <w:sz w:val="20"/>
        </w:rPr>
        <w:t>are</w:t>
      </w:r>
      <w:r>
        <w:rPr>
          <w:spacing w:val="-7"/>
          <w:w w:val="110"/>
          <w:sz w:val="20"/>
        </w:rPr>
        <w:t xml:space="preserve"> </w:t>
      </w:r>
      <w:r>
        <w:rPr>
          <w:w w:val="110"/>
          <w:sz w:val="20"/>
        </w:rPr>
        <w:t>described</w:t>
      </w:r>
      <w:r>
        <w:rPr>
          <w:spacing w:val="-3"/>
          <w:w w:val="110"/>
          <w:sz w:val="20"/>
        </w:rPr>
        <w:t xml:space="preserve"> </w:t>
      </w:r>
      <w:r>
        <w:rPr>
          <w:w w:val="110"/>
          <w:sz w:val="20"/>
        </w:rPr>
        <w:t>in</w:t>
      </w:r>
      <w:r>
        <w:rPr>
          <w:spacing w:val="-5"/>
          <w:w w:val="110"/>
          <w:sz w:val="20"/>
        </w:rPr>
        <w:t xml:space="preserve"> </w:t>
      </w:r>
      <w:r>
        <w:rPr>
          <w:w w:val="110"/>
          <w:sz w:val="20"/>
        </w:rPr>
        <w:t>other</w:t>
      </w:r>
      <w:r>
        <w:rPr>
          <w:spacing w:val="-12"/>
          <w:w w:val="110"/>
          <w:sz w:val="20"/>
        </w:rPr>
        <w:t xml:space="preserve"> </w:t>
      </w:r>
      <w:r>
        <w:rPr>
          <w:w w:val="110"/>
          <w:sz w:val="20"/>
        </w:rPr>
        <w:t>sections</w:t>
      </w:r>
      <w:r>
        <w:rPr>
          <w:spacing w:val="-8"/>
          <w:w w:val="110"/>
          <w:sz w:val="20"/>
        </w:rPr>
        <w:t xml:space="preserve"> </w:t>
      </w:r>
      <w:r>
        <w:rPr>
          <w:w w:val="110"/>
          <w:sz w:val="20"/>
        </w:rPr>
        <w:t>of</w:t>
      </w:r>
      <w:r>
        <w:rPr>
          <w:spacing w:val="1"/>
          <w:w w:val="110"/>
          <w:sz w:val="20"/>
        </w:rPr>
        <w:t xml:space="preserve"> </w:t>
      </w:r>
      <w:r>
        <w:rPr>
          <w:w w:val="110"/>
          <w:sz w:val="20"/>
        </w:rPr>
        <w:t xml:space="preserve">the manual with disorders with which they share phenomenology: </w:t>
      </w:r>
      <w:r>
        <w:rPr>
          <w:b/>
          <w:w w:val="110"/>
          <w:sz w:val="20"/>
        </w:rPr>
        <w:t xml:space="preserve">Phencyclidine Intox­ ication Delirium </w:t>
      </w:r>
      <w:r>
        <w:rPr>
          <w:rFonts w:ascii="Arial" w:hAnsi="Arial"/>
          <w:w w:val="110"/>
          <w:sz w:val="18"/>
        </w:rPr>
        <w:t xml:space="preserve">(p. </w:t>
      </w:r>
      <w:r>
        <w:rPr>
          <w:w w:val="110"/>
          <w:sz w:val="19"/>
        </w:rPr>
        <w:t xml:space="preserve">129), </w:t>
      </w:r>
      <w:r>
        <w:rPr>
          <w:b/>
          <w:w w:val="110"/>
          <w:sz w:val="20"/>
        </w:rPr>
        <w:t xml:space="preserve">Phencyclidine-Induced Psychotic Disorder </w:t>
      </w:r>
      <w:r>
        <w:rPr>
          <w:rFonts w:ascii="Arial" w:hAnsi="Arial"/>
          <w:w w:val="110"/>
          <w:sz w:val="18"/>
        </w:rPr>
        <w:t xml:space="preserve">(p. </w:t>
      </w:r>
      <w:r>
        <w:rPr>
          <w:w w:val="110"/>
          <w:sz w:val="19"/>
        </w:rPr>
        <w:t xml:space="preserve">310), </w:t>
      </w:r>
      <w:r>
        <w:rPr>
          <w:b/>
          <w:w w:val="110"/>
          <w:sz w:val="20"/>
        </w:rPr>
        <w:t xml:space="preserve">Phencyclidine-InducedMoodDisorder </w:t>
      </w:r>
      <w:r>
        <w:rPr>
          <w:w w:val="110"/>
          <w:sz w:val="20"/>
        </w:rPr>
        <w:t xml:space="preserve">(p. 370), and </w:t>
      </w:r>
      <w:r>
        <w:rPr>
          <w:b/>
          <w:w w:val="110"/>
          <w:sz w:val="20"/>
        </w:rPr>
        <w:t xml:space="preserve">Phencyclidine-InducedAnx­ iety Disorder </w:t>
      </w:r>
      <w:r>
        <w:rPr>
          <w:w w:val="110"/>
          <w:sz w:val="20"/>
        </w:rPr>
        <w:t>(p. 439). These disorders are diagnosed instead of Phencyclidine Intoxication</w:t>
      </w:r>
      <w:r>
        <w:rPr>
          <w:spacing w:val="-13"/>
          <w:w w:val="110"/>
          <w:sz w:val="20"/>
        </w:rPr>
        <w:t xml:space="preserve"> </w:t>
      </w:r>
      <w:r>
        <w:rPr>
          <w:w w:val="110"/>
          <w:sz w:val="20"/>
        </w:rPr>
        <w:t>only</w:t>
      </w:r>
      <w:r>
        <w:rPr>
          <w:spacing w:val="-20"/>
          <w:w w:val="110"/>
          <w:sz w:val="20"/>
        </w:rPr>
        <w:t xml:space="preserve"> </w:t>
      </w:r>
      <w:r>
        <w:rPr>
          <w:w w:val="110"/>
          <w:sz w:val="20"/>
        </w:rPr>
        <w:t>when</w:t>
      </w:r>
      <w:r>
        <w:rPr>
          <w:spacing w:val="-15"/>
          <w:w w:val="110"/>
          <w:sz w:val="20"/>
        </w:rPr>
        <w:t xml:space="preserve"> </w:t>
      </w:r>
      <w:r>
        <w:rPr>
          <w:w w:val="110"/>
          <w:sz w:val="20"/>
        </w:rPr>
        <w:t>the</w:t>
      </w:r>
      <w:r>
        <w:rPr>
          <w:spacing w:val="-24"/>
          <w:w w:val="110"/>
          <w:sz w:val="20"/>
        </w:rPr>
        <w:t xml:space="preserve"> </w:t>
      </w:r>
      <w:r>
        <w:rPr>
          <w:w w:val="110"/>
          <w:sz w:val="20"/>
        </w:rPr>
        <w:t>symptoms</w:t>
      </w:r>
      <w:r>
        <w:rPr>
          <w:spacing w:val="-13"/>
          <w:w w:val="110"/>
          <w:sz w:val="20"/>
        </w:rPr>
        <w:t xml:space="preserve"> </w:t>
      </w:r>
      <w:r>
        <w:rPr>
          <w:w w:val="110"/>
          <w:sz w:val="20"/>
        </w:rPr>
        <w:t>are</w:t>
      </w:r>
      <w:r>
        <w:rPr>
          <w:spacing w:val="-22"/>
          <w:w w:val="110"/>
          <w:sz w:val="20"/>
        </w:rPr>
        <w:t xml:space="preserve"> </w:t>
      </w:r>
      <w:r>
        <w:rPr>
          <w:w w:val="110"/>
          <w:sz w:val="20"/>
        </w:rPr>
        <w:t>in</w:t>
      </w:r>
      <w:r>
        <w:rPr>
          <w:spacing w:val="-23"/>
          <w:w w:val="110"/>
          <w:sz w:val="20"/>
        </w:rPr>
        <w:t xml:space="preserve"> </w:t>
      </w:r>
      <w:r>
        <w:rPr>
          <w:w w:val="110"/>
          <w:sz w:val="20"/>
        </w:rPr>
        <w:t>excess</w:t>
      </w:r>
      <w:r>
        <w:rPr>
          <w:spacing w:val="-19"/>
          <w:w w:val="110"/>
          <w:sz w:val="20"/>
        </w:rPr>
        <w:t xml:space="preserve"> </w:t>
      </w:r>
      <w:r>
        <w:rPr>
          <w:w w:val="110"/>
          <w:sz w:val="20"/>
        </w:rPr>
        <w:t>of</w:t>
      </w:r>
      <w:r>
        <w:rPr>
          <w:spacing w:val="-17"/>
          <w:w w:val="110"/>
          <w:sz w:val="20"/>
        </w:rPr>
        <w:t xml:space="preserve"> </w:t>
      </w:r>
      <w:r>
        <w:rPr>
          <w:w w:val="110"/>
          <w:sz w:val="20"/>
        </w:rPr>
        <w:t>those</w:t>
      </w:r>
      <w:r>
        <w:rPr>
          <w:spacing w:val="-17"/>
          <w:w w:val="110"/>
          <w:sz w:val="20"/>
        </w:rPr>
        <w:t xml:space="preserve"> </w:t>
      </w:r>
      <w:r>
        <w:rPr>
          <w:w w:val="110"/>
          <w:sz w:val="20"/>
        </w:rPr>
        <w:t>usually</w:t>
      </w:r>
      <w:r>
        <w:rPr>
          <w:spacing w:val="-18"/>
          <w:w w:val="110"/>
          <w:sz w:val="20"/>
        </w:rPr>
        <w:t xml:space="preserve"> </w:t>
      </w:r>
      <w:r>
        <w:rPr>
          <w:w w:val="110"/>
          <w:sz w:val="20"/>
        </w:rPr>
        <w:t>associated</w:t>
      </w:r>
      <w:r>
        <w:rPr>
          <w:spacing w:val="-14"/>
          <w:w w:val="110"/>
          <w:sz w:val="20"/>
        </w:rPr>
        <w:t xml:space="preserve"> </w:t>
      </w:r>
      <w:r>
        <w:rPr>
          <w:w w:val="110"/>
          <w:sz w:val="20"/>
        </w:rPr>
        <w:t>with</w:t>
      </w:r>
      <w:r>
        <w:rPr>
          <w:spacing w:val="-17"/>
          <w:w w:val="110"/>
          <w:sz w:val="20"/>
        </w:rPr>
        <w:t xml:space="preserve"> </w:t>
      </w:r>
      <w:r>
        <w:rPr>
          <w:w w:val="110"/>
          <w:sz w:val="20"/>
        </w:rPr>
        <w:t>the Phencyclidine</w:t>
      </w:r>
      <w:r>
        <w:rPr>
          <w:spacing w:val="-15"/>
          <w:w w:val="110"/>
          <w:sz w:val="20"/>
        </w:rPr>
        <w:t xml:space="preserve"> </w:t>
      </w:r>
      <w:r>
        <w:rPr>
          <w:w w:val="110"/>
          <w:sz w:val="20"/>
        </w:rPr>
        <w:t>Intoxication</w:t>
      </w:r>
      <w:r>
        <w:rPr>
          <w:spacing w:val="-22"/>
          <w:w w:val="110"/>
          <w:sz w:val="20"/>
        </w:rPr>
        <w:t xml:space="preserve"> </w:t>
      </w:r>
      <w:r>
        <w:rPr>
          <w:w w:val="110"/>
          <w:sz w:val="20"/>
        </w:rPr>
        <w:t>syndrome</w:t>
      </w:r>
      <w:r>
        <w:rPr>
          <w:spacing w:val="-23"/>
          <w:w w:val="110"/>
          <w:sz w:val="20"/>
        </w:rPr>
        <w:t xml:space="preserve"> </w:t>
      </w:r>
      <w:r>
        <w:rPr>
          <w:w w:val="110"/>
          <w:sz w:val="20"/>
        </w:rPr>
        <w:t>and</w:t>
      </w:r>
      <w:r>
        <w:rPr>
          <w:spacing w:val="-28"/>
          <w:w w:val="110"/>
          <w:sz w:val="20"/>
        </w:rPr>
        <w:t xml:space="preserve"> </w:t>
      </w:r>
      <w:r>
        <w:rPr>
          <w:w w:val="110"/>
          <w:sz w:val="20"/>
        </w:rPr>
        <w:t>when</w:t>
      </w:r>
      <w:r>
        <w:rPr>
          <w:spacing w:val="-26"/>
          <w:w w:val="110"/>
          <w:sz w:val="20"/>
        </w:rPr>
        <w:t xml:space="preserve"> </w:t>
      </w:r>
      <w:r>
        <w:rPr>
          <w:w w:val="110"/>
          <w:sz w:val="20"/>
        </w:rPr>
        <w:t>the</w:t>
      </w:r>
      <w:r>
        <w:rPr>
          <w:spacing w:val="-32"/>
          <w:w w:val="110"/>
          <w:sz w:val="20"/>
        </w:rPr>
        <w:t xml:space="preserve"> </w:t>
      </w:r>
      <w:r>
        <w:rPr>
          <w:w w:val="110"/>
          <w:sz w:val="20"/>
        </w:rPr>
        <w:t>symptoms</w:t>
      </w:r>
      <w:r>
        <w:rPr>
          <w:spacing w:val="-25"/>
          <w:w w:val="110"/>
          <w:sz w:val="20"/>
        </w:rPr>
        <w:t xml:space="preserve"> </w:t>
      </w:r>
      <w:r>
        <w:rPr>
          <w:w w:val="110"/>
          <w:sz w:val="20"/>
        </w:rPr>
        <w:t>are</w:t>
      </w:r>
      <w:r>
        <w:rPr>
          <w:spacing w:val="-30"/>
          <w:w w:val="110"/>
          <w:sz w:val="20"/>
        </w:rPr>
        <w:t xml:space="preserve"> </w:t>
      </w:r>
      <w:r>
        <w:rPr>
          <w:w w:val="110"/>
          <w:sz w:val="20"/>
        </w:rPr>
        <w:t>sufficiently</w:t>
      </w:r>
      <w:r>
        <w:rPr>
          <w:spacing w:val="-24"/>
          <w:w w:val="110"/>
          <w:sz w:val="20"/>
        </w:rPr>
        <w:t xml:space="preserve"> </w:t>
      </w:r>
      <w:r>
        <w:rPr>
          <w:w w:val="110"/>
          <w:sz w:val="20"/>
        </w:rPr>
        <w:t>severe</w:t>
      </w:r>
      <w:r>
        <w:rPr>
          <w:spacing w:val="-24"/>
          <w:w w:val="110"/>
          <w:sz w:val="20"/>
        </w:rPr>
        <w:t xml:space="preserve"> </w:t>
      </w:r>
      <w:r>
        <w:rPr>
          <w:w w:val="110"/>
          <w:sz w:val="20"/>
        </w:rPr>
        <w:t>to warrant independent clinical</w:t>
      </w:r>
      <w:r>
        <w:rPr>
          <w:spacing w:val="-3"/>
          <w:w w:val="110"/>
          <w:sz w:val="20"/>
        </w:rPr>
        <w:t xml:space="preserve"> </w:t>
      </w:r>
      <w:r>
        <w:rPr>
          <w:w w:val="110"/>
          <w:sz w:val="20"/>
        </w:rPr>
        <w:t>attention.</w:t>
      </w:r>
    </w:p>
    <w:p w:rsidR="00E675F0" w:rsidRDefault="00E675F0" w:rsidP="00E675F0">
      <w:pPr>
        <w:pStyle w:val="BodyText"/>
        <w:rPr>
          <w:sz w:val="22"/>
        </w:rPr>
      </w:pPr>
    </w:p>
    <w:p w:rsidR="00E675F0" w:rsidRDefault="00E675F0" w:rsidP="00E675F0">
      <w:pPr>
        <w:pStyle w:val="BodyText"/>
        <w:rPr>
          <w:sz w:val="22"/>
        </w:rPr>
      </w:pPr>
    </w:p>
    <w:p w:rsidR="00E675F0" w:rsidRDefault="00E675F0" w:rsidP="00E675F0">
      <w:pPr>
        <w:spacing w:before="127"/>
        <w:ind w:left="1646" w:right="1694" w:firstLine="13"/>
        <w:jc w:val="center"/>
        <w:rPr>
          <w:rFonts w:ascii="TimesNewRomanPS-BoldItalicMT"/>
          <w:b/>
          <w:i/>
          <w:sz w:val="28"/>
        </w:rPr>
      </w:pPr>
      <w:r>
        <w:rPr>
          <w:rFonts w:ascii="TimesNewRomanPS-BoldItalicMT"/>
          <w:b/>
          <w:i/>
          <w:w w:val="115"/>
          <w:sz w:val="28"/>
        </w:rPr>
        <w:t>Additional Information on Phencyclidine-Related Disorders</w:t>
      </w:r>
    </w:p>
    <w:p w:rsidR="00E675F0" w:rsidRDefault="00E675F0" w:rsidP="00E675F0">
      <w:pPr>
        <w:pStyle w:val="BodyText"/>
        <w:spacing w:before="10"/>
        <w:rPr>
          <w:rFonts w:ascii="TimesNewRomanPS-BoldItalicMT"/>
          <w:b/>
          <w:i/>
          <w:sz w:val="40"/>
        </w:rPr>
      </w:pPr>
    </w:p>
    <w:p w:rsidR="00E675F0" w:rsidRDefault="00E675F0" w:rsidP="00E675F0">
      <w:pPr>
        <w:ind w:left="102"/>
        <w:jc w:val="both"/>
        <w:rPr>
          <w:rFonts w:ascii="TimesNewRomanPS-BoldItalicMT"/>
          <w:b/>
          <w:i/>
          <w:sz w:val="24"/>
        </w:rPr>
      </w:pPr>
      <w:r>
        <w:rPr>
          <w:rFonts w:ascii="TimesNewRomanPS-BoldItalicMT"/>
          <w:b/>
          <w:i/>
          <w:w w:val="115"/>
          <w:sz w:val="24"/>
        </w:rPr>
        <w:t>Associated Features and Disorders</w:t>
      </w:r>
    </w:p>
    <w:p w:rsidR="00E675F0" w:rsidRDefault="00E675F0" w:rsidP="00E675F0">
      <w:pPr>
        <w:pStyle w:val="BodyText"/>
        <w:spacing w:before="175" w:line="254" w:lineRule="auto"/>
        <w:ind w:left="125" w:right="121" w:hanging="5"/>
        <w:jc w:val="both"/>
      </w:pPr>
      <w:r>
        <w:rPr>
          <w:b/>
          <w:w w:val="105"/>
        </w:rPr>
        <w:t xml:space="preserve">Associated descriptive features and mental disorders. </w:t>
      </w:r>
      <w:r>
        <w:rPr>
          <w:w w:val="105"/>
        </w:rPr>
        <w:t>Although individuals with Phencyclidine Intoxication may remain alert and oriented, they may show delirium, coma, psychotic symptoms, or catatonic mutism with posturing. Repeated intoxications may lead to job, family, social, or legal problems. Violence, agitation, and bizarre behavior (e.g., confused wandering) may occur. Individuals with Phencyclidine Depen­ dence or Abuse may report repeated intoxication-induced hospitalizations, emergency­ room</w:t>
      </w:r>
      <w:r>
        <w:rPr>
          <w:spacing w:val="-9"/>
          <w:w w:val="105"/>
        </w:rPr>
        <w:t xml:space="preserve"> </w:t>
      </w:r>
      <w:r>
        <w:rPr>
          <w:w w:val="105"/>
        </w:rPr>
        <w:t>visits,</w:t>
      </w:r>
      <w:r>
        <w:rPr>
          <w:spacing w:val="-4"/>
          <w:w w:val="105"/>
        </w:rPr>
        <w:t xml:space="preserve"> </w:t>
      </w:r>
      <w:r>
        <w:rPr>
          <w:w w:val="105"/>
        </w:rPr>
        <w:t>and</w:t>
      </w:r>
      <w:r>
        <w:rPr>
          <w:spacing w:val="-13"/>
          <w:w w:val="105"/>
        </w:rPr>
        <w:t xml:space="preserve"> </w:t>
      </w:r>
      <w:r>
        <w:rPr>
          <w:w w:val="105"/>
        </w:rPr>
        <w:t>arrests</w:t>
      </w:r>
      <w:r>
        <w:rPr>
          <w:spacing w:val="-6"/>
          <w:w w:val="105"/>
        </w:rPr>
        <w:t xml:space="preserve"> </w:t>
      </w:r>
      <w:r>
        <w:rPr>
          <w:w w:val="105"/>
        </w:rPr>
        <w:t>for</w:t>
      </w:r>
      <w:r>
        <w:rPr>
          <w:spacing w:val="-18"/>
          <w:w w:val="105"/>
        </w:rPr>
        <w:t xml:space="preserve"> </w:t>
      </w:r>
      <w:r>
        <w:rPr>
          <w:w w:val="105"/>
        </w:rPr>
        <w:t>confused</w:t>
      </w:r>
      <w:r>
        <w:rPr>
          <w:spacing w:val="-6"/>
          <w:w w:val="105"/>
        </w:rPr>
        <w:t xml:space="preserve"> </w:t>
      </w:r>
      <w:r>
        <w:rPr>
          <w:w w:val="105"/>
        </w:rPr>
        <w:t>or</w:t>
      </w:r>
      <w:r>
        <w:rPr>
          <w:spacing w:val="-9"/>
          <w:w w:val="105"/>
        </w:rPr>
        <w:t xml:space="preserve"> </w:t>
      </w:r>
      <w:r>
        <w:rPr>
          <w:w w:val="105"/>
        </w:rPr>
        <w:t>bizarre</w:t>
      </w:r>
      <w:r>
        <w:rPr>
          <w:spacing w:val="-4"/>
          <w:w w:val="105"/>
        </w:rPr>
        <w:t xml:space="preserve"> </w:t>
      </w:r>
      <w:r>
        <w:rPr>
          <w:w w:val="105"/>
        </w:rPr>
        <w:t>behavior</w:t>
      </w:r>
      <w:r>
        <w:rPr>
          <w:spacing w:val="-13"/>
          <w:w w:val="105"/>
        </w:rPr>
        <w:t xml:space="preserve"> </w:t>
      </w:r>
      <w:r>
        <w:rPr>
          <w:w w:val="105"/>
        </w:rPr>
        <w:t>or</w:t>
      </w:r>
      <w:r>
        <w:rPr>
          <w:spacing w:val="-16"/>
          <w:w w:val="105"/>
        </w:rPr>
        <w:t xml:space="preserve"> </w:t>
      </w:r>
      <w:r>
        <w:rPr>
          <w:w w:val="105"/>
        </w:rPr>
        <w:t>for</w:t>
      </w:r>
      <w:r>
        <w:rPr>
          <w:spacing w:val="-18"/>
          <w:w w:val="105"/>
        </w:rPr>
        <w:t xml:space="preserve"> </w:t>
      </w:r>
      <w:r>
        <w:rPr>
          <w:w w:val="105"/>
        </w:rPr>
        <w:t>fighting.</w:t>
      </w:r>
      <w:r>
        <w:rPr>
          <w:spacing w:val="-9"/>
          <w:w w:val="105"/>
        </w:rPr>
        <w:t xml:space="preserve"> </w:t>
      </w:r>
      <w:r>
        <w:rPr>
          <w:w w:val="105"/>
        </w:rPr>
        <w:t>Conduct</w:t>
      </w:r>
      <w:r>
        <w:rPr>
          <w:spacing w:val="-7"/>
          <w:w w:val="105"/>
        </w:rPr>
        <w:t xml:space="preserve"> </w:t>
      </w:r>
      <w:r>
        <w:rPr>
          <w:w w:val="105"/>
        </w:rPr>
        <w:t>Disorder in adolescents and Antisocial Personality Disorder in adults may be associated with phencyclidine use. Dependence on other substances (especially cocaine, alcohol, and amphetamines) is common among those who have Phencyclidine</w:t>
      </w:r>
      <w:r>
        <w:rPr>
          <w:spacing w:val="8"/>
          <w:w w:val="105"/>
        </w:rPr>
        <w:t xml:space="preserve"> </w:t>
      </w:r>
      <w:r>
        <w:rPr>
          <w:w w:val="105"/>
        </w:rPr>
        <w:t>Dependence.</w:t>
      </w:r>
    </w:p>
    <w:p w:rsidR="00E675F0" w:rsidRDefault="00E675F0" w:rsidP="00E675F0">
      <w:pPr>
        <w:pStyle w:val="BodyText"/>
        <w:spacing w:before="5"/>
        <w:rPr>
          <w:sz w:val="25"/>
        </w:rPr>
      </w:pPr>
    </w:p>
    <w:p w:rsidR="00E675F0" w:rsidRDefault="00E675F0" w:rsidP="00E675F0">
      <w:pPr>
        <w:pStyle w:val="BodyText"/>
        <w:spacing w:line="252" w:lineRule="auto"/>
        <w:ind w:left="126" w:right="119" w:firstLine="4"/>
        <w:jc w:val="both"/>
      </w:pPr>
      <w:r>
        <w:rPr>
          <w:b/>
          <w:w w:val="105"/>
        </w:rPr>
        <w:t xml:space="preserve">Associated laboratory findings.  </w:t>
      </w:r>
      <w:r>
        <w:rPr>
          <w:w w:val="105"/>
        </w:rPr>
        <w:t>Phencyclidine  (or  a  related  substance)  is  present in the urine of individuals who are acutely intoxicated with one  of  these substances. The substance may be detectable in urine for several weeks after the end of  prolonged or very high dose use. Phencyclidine may be detected more readily in acidic urine. Creatine phosphokinase (CPK) and serum glutamic-oxaloacetic transaminase (SGOT) are often</w:t>
      </w:r>
      <w:r>
        <w:rPr>
          <w:spacing w:val="12"/>
          <w:w w:val="105"/>
        </w:rPr>
        <w:t xml:space="preserve"> </w:t>
      </w:r>
      <w:r>
        <w:rPr>
          <w:w w:val="105"/>
        </w:rPr>
        <w:t>elevated.</w:t>
      </w:r>
    </w:p>
    <w:p w:rsidR="00E675F0" w:rsidRDefault="00E675F0" w:rsidP="00E675F0">
      <w:pPr>
        <w:pStyle w:val="BodyText"/>
        <w:spacing w:before="8"/>
        <w:rPr>
          <w:sz w:val="25"/>
        </w:rPr>
      </w:pPr>
    </w:p>
    <w:p w:rsidR="00E675F0" w:rsidRDefault="00E675F0" w:rsidP="00E675F0">
      <w:pPr>
        <w:pStyle w:val="BodyText"/>
        <w:spacing w:before="1" w:line="254" w:lineRule="auto"/>
        <w:ind w:left="132" w:right="107" w:hanging="2"/>
        <w:jc w:val="both"/>
      </w:pPr>
      <w:r>
        <w:rPr>
          <w:b/>
          <w:w w:val="105"/>
        </w:rPr>
        <w:t xml:space="preserve">Associated physical examination findings and general medical conditions. </w:t>
      </w:r>
      <w:r>
        <w:rPr>
          <w:w w:val="105"/>
        </w:rPr>
        <w:t>Phencyclidine Intoxication produces extensive cardiovascular and neurological (e.g., seizures, dystonias, dyskinesias, catalepsy, and hypothermia or hyperthermia) toxicity. In those with Phencyclidine Dependence or Abuse, there may be physical evidence of injuries from accidents, fights, and falls. Needle tracks, hepatitis, human immunodefici­ ency virus (HIV) disease, and bacterial endocarditis may be found among the relatively few</w:t>
      </w:r>
      <w:r>
        <w:rPr>
          <w:spacing w:val="-10"/>
          <w:w w:val="105"/>
        </w:rPr>
        <w:t xml:space="preserve"> </w:t>
      </w:r>
      <w:r>
        <w:rPr>
          <w:w w:val="105"/>
        </w:rPr>
        <w:t>individuals</w:t>
      </w:r>
      <w:r>
        <w:rPr>
          <w:spacing w:val="-2"/>
          <w:w w:val="105"/>
        </w:rPr>
        <w:t xml:space="preserve"> </w:t>
      </w:r>
      <w:r>
        <w:rPr>
          <w:w w:val="105"/>
        </w:rPr>
        <w:t>who</w:t>
      </w:r>
      <w:r>
        <w:rPr>
          <w:spacing w:val="10"/>
          <w:w w:val="105"/>
        </w:rPr>
        <w:t xml:space="preserve"> </w:t>
      </w:r>
      <w:r>
        <w:rPr>
          <w:w w:val="105"/>
        </w:rPr>
        <w:t>take</w:t>
      </w:r>
      <w:r>
        <w:rPr>
          <w:spacing w:val="-6"/>
          <w:w w:val="105"/>
        </w:rPr>
        <w:t xml:space="preserve"> </w:t>
      </w:r>
      <w:r>
        <w:rPr>
          <w:w w:val="105"/>
        </w:rPr>
        <w:t>phencyclidine</w:t>
      </w:r>
      <w:r>
        <w:rPr>
          <w:spacing w:val="6"/>
          <w:w w:val="105"/>
        </w:rPr>
        <w:t xml:space="preserve"> </w:t>
      </w:r>
      <w:r>
        <w:rPr>
          <w:w w:val="105"/>
        </w:rPr>
        <w:t>intravenously.</w:t>
      </w:r>
      <w:r>
        <w:rPr>
          <w:spacing w:val="-19"/>
          <w:w w:val="105"/>
        </w:rPr>
        <w:t xml:space="preserve"> </w:t>
      </w:r>
      <w:r>
        <w:rPr>
          <w:w w:val="105"/>
        </w:rPr>
        <w:t>Drowning,</w:t>
      </w:r>
      <w:r>
        <w:rPr>
          <w:spacing w:val="3"/>
          <w:w w:val="105"/>
        </w:rPr>
        <w:t xml:space="preserve"> </w:t>
      </w:r>
      <w:r>
        <w:rPr>
          <w:w w:val="105"/>
        </w:rPr>
        <w:t>even</w:t>
      </w:r>
      <w:r>
        <w:rPr>
          <w:spacing w:val="-14"/>
          <w:w w:val="105"/>
        </w:rPr>
        <w:t xml:space="preserve"> </w:t>
      </w:r>
      <w:r>
        <w:rPr>
          <w:w w:val="105"/>
        </w:rPr>
        <w:t>in</w:t>
      </w:r>
      <w:r>
        <w:rPr>
          <w:spacing w:val="-21"/>
          <w:w w:val="105"/>
        </w:rPr>
        <w:t xml:space="preserve"> </w:t>
      </w:r>
      <w:r>
        <w:rPr>
          <w:w w:val="105"/>
        </w:rPr>
        <w:t>small</w:t>
      </w:r>
      <w:r>
        <w:rPr>
          <w:spacing w:val="-15"/>
          <w:w w:val="105"/>
        </w:rPr>
        <w:t xml:space="preserve"> </w:t>
      </w:r>
      <w:r>
        <w:rPr>
          <w:w w:val="105"/>
        </w:rPr>
        <w:t>volumes of water, has been reported. Respiratory problems arise with apnea, bronchospasm, bronchorrhea, aspiration during coma, and hypersalivation. Rhabdomyolysis with renal impairment is seen in about 2% of individuals who seek emergency care. Cardiac arrest is a rare</w:t>
      </w:r>
      <w:r>
        <w:rPr>
          <w:spacing w:val="-8"/>
          <w:w w:val="105"/>
        </w:rPr>
        <w:t xml:space="preserve"> </w:t>
      </w:r>
      <w:r>
        <w:rPr>
          <w:w w:val="105"/>
        </w:rPr>
        <w:t>outcome.</w:t>
      </w:r>
    </w:p>
    <w:p w:rsidR="00E675F0" w:rsidRDefault="00E675F0" w:rsidP="00E675F0">
      <w:pPr>
        <w:spacing w:line="254" w:lineRule="auto"/>
        <w:jc w:val="both"/>
        <w:sectPr w:rsidR="00E675F0">
          <w:headerReference w:type="even" r:id="rId201"/>
          <w:headerReference w:type="default" r:id="rId202"/>
          <w:pgSz w:w="8960" w:h="14260"/>
          <w:pgMar w:top="1400" w:right="620" w:bottom="280" w:left="620" w:header="679" w:footer="0" w:gutter="0"/>
          <w:cols w:space="720"/>
        </w:sectPr>
      </w:pPr>
    </w:p>
    <w:p w:rsidR="00E675F0" w:rsidRDefault="00E675F0" w:rsidP="00E675F0">
      <w:pPr>
        <w:spacing w:before="143"/>
        <w:ind w:left="115"/>
        <w:rPr>
          <w:rFonts w:ascii="TimesNewRomanPS-BoldItalicMT"/>
          <w:b/>
          <w:i/>
          <w:sz w:val="24"/>
        </w:rPr>
      </w:pPr>
      <w:r>
        <w:rPr>
          <w:rFonts w:ascii="TimesNewRomanPS-BoldItalicMT"/>
          <w:b/>
          <w:i/>
          <w:w w:val="110"/>
          <w:sz w:val="24"/>
        </w:rPr>
        <w:lastRenderedPageBreak/>
        <w:t>Specific Culture, Age, and Gender Features</w:t>
      </w:r>
    </w:p>
    <w:p w:rsidR="00E675F0" w:rsidRDefault="00E675F0" w:rsidP="00E675F0">
      <w:pPr>
        <w:pStyle w:val="BodyText"/>
        <w:spacing w:before="132" w:line="254" w:lineRule="auto"/>
        <w:ind w:left="126" w:right="105" w:hanging="8"/>
        <w:jc w:val="both"/>
      </w:pPr>
      <w:r>
        <w:rPr>
          <w:w w:val="105"/>
        </w:rPr>
        <w:t>The prevalence of phencyclidine-related problems appears to be higher among males (about twofold), among those between ages 20 and 40 years, and among ethnic minorities (about twofold). Males compose about three-quarters of those with phen­ cyclidine-related emergency-room</w:t>
      </w:r>
      <w:r>
        <w:rPr>
          <w:spacing w:val="-10"/>
          <w:w w:val="105"/>
        </w:rPr>
        <w:t xml:space="preserve"> </w:t>
      </w:r>
      <w:r>
        <w:rPr>
          <w:w w:val="105"/>
        </w:rPr>
        <w:t>visits.</w:t>
      </w:r>
    </w:p>
    <w:p w:rsidR="00E675F0" w:rsidRDefault="00E675F0" w:rsidP="00E675F0">
      <w:pPr>
        <w:pStyle w:val="BodyText"/>
        <w:spacing w:before="10"/>
        <w:rPr>
          <w:sz w:val="31"/>
        </w:rPr>
      </w:pPr>
    </w:p>
    <w:p w:rsidR="00E675F0" w:rsidRDefault="00E675F0" w:rsidP="00E675F0">
      <w:pPr>
        <w:ind w:left="112"/>
        <w:rPr>
          <w:rFonts w:ascii="TimesNewRomanPS-BoldItalicMT"/>
          <w:b/>
          <w:i/>
          <w:sz w:val="24"/>
        </w:rPr>
      </w:pPr>
      <w:r>
        <w:rPr>
          <w:rFonts w:ascii="TimesNewRomanPS-BoldItalicMT"/>
          <w:b/>
          <w:i/>
          <w:w w:val="115"/>
          <w:sz w:val="24"/>
        </w:rPr>
        <w:t>Prevalence</w:t>
      </w:r>
    </w:p>
    <w:p w:rsidR="00E675F0" w:rsidRDefault="00E675F0" w:rsidP="00E675F0">
      <w:pPr>
        <w:pStyle w:val="BodyText"/>
        <w:spacing w:before="122" w:line="256" w:lineRule="auto"/>
        <w:ind w:left="127" w:right="104" w:hanging="6"/>
        <w:jc w:val="both"/>
      </w:pPr>
      <w:r>
        <w:rPr>
          <w:w w:val="105"/>
        </w:rPr>
        <w:t>Medical</w:t>
      </w:r>
      <w:r>
        <w:rPr>
          <w:spacing w:val="-2"/>
          <w:w w:val="105"/>
        </w:rPr>
        <w:t xml:space="preserve"> </w:t>
      </w:r>
      <w:r>
        <w:rPr>
          <w:w w:val="105"/>
        </w:rPr>
        <w:t>examiners</w:t>
      </w:r>
      <w:r>
        <w:rPr>
          <w:spacing w:val="7"/>
          <w:w w:val="105"/>
        </w:rPr>
        <w:t xml:space="preserve"> </w:t>
      </w:r>
      <w:r>
        <w:rPr>
          <w:w w:val="105"/>
        </w:rPr>
        <w:t>nationally</w:t>
      </w:r>
      <w:r>
        <w:rPr>
          <w:spacing w:val="4"/>
          <w:w w:val="105"/>
        </w:rPr>
        <w:t xml:space="preserve"> </w:t>
      </w:r>
      <w:r>
        <w:rPr>
          <w:w w:val="105"/>
        </w:rPr>
        <w:t>report</w:t>
      </w:r>
      <w:r>
        <w:rPr>
          <w:spacing w:val="-5"/>
          <w:w w:val="105"/>
        </w:rPr>
        <w:t xml:space="preserve"> </w:t>
      </w:r>
      <w:r>
        <w:rPr>
          <w:w w:val="105"/>
        </w:rPr>
        <w:t>that</w:t>
      </w:r>
      <w:r>
        <w:rPr>
          <w:spacing w:val="-1"/>
          <w:w w:val="105"/>
        </w:rPr>
        <w:t xml:space="preserve"> </w:t>
      </w:r>
      <w:r>
        <w:rPr>
          <w:w w:val="105"/>
        </w:rPr>
        <w:t>phencyclidine</w:t>
      </w:r>
      <w:r>
        <w:rPr>
          <w:spacing w:val="2"/>
          <w:w w:val="105"/>
        </w:rPr>
        <w:t xml:space="preserve"> </w:t>
      </w:r>
      <w:r>
        <w:rPr>
          <w:w w:val="105"/>
        </w:rPr>
        <w:t>is</w:t>
      </w:r>
      <w:r>
        <w:rPr>
          <w:spacing w:val="-13"/>
          <w:w w:val="105"/>
        </w:rPr>
        <w:t xml:space="preserve"> </w:t>
      </w:r>
      <w:r>
        <w:rPr>
          <w:w w:val="105"/>
        </w:rPr>
        <w:t>involved</w:t>
      </w:r>
      <w:r>
        <w:rPr>
          <w:spacing w:val="-1"/>
          <w:w w:val="105"/>
        </w:rPr>
        <w:t xml:space="preserve"> </w:t>
      </w:r>
      <w:r>
        <w:rPr>
          <w:w w:val="105"/>
        </w:rPr>
        <w:t>in</w:t>
      </w:r>
      <w:r>
        <w:rPr>
          <w:spacing w:val="-12"/>
          <w:w w:val="105"/>
        </w:rPr>
        <w:t xml:space="preserve"> </w:t>
      </w:r>
      <w:r>
        <w:rPr>
          <w:w w:val="105"/>
        </w:rPr>
        <w:t>about</w:t>
      </w:r>
      <w:r>
        <w:rPr>
          <w:spacing w:val="-7"/>
          <w:w w:val="105"/>
        </w:rPr>
        <w:t xml:space="preserve"> </w:t>
      </w:r>
      <w:r>
        <w:rPr>
          <w:w w:val="105"/>
        </w:rPr>
        <w:t>3%</w:t>
      </w:r>
      <w:r>
        <w:rPr>
          <w:spacing w:val="-15"/>
          <w:w w:val="105"/>
        </w:rPr>
        <w:t xml:space="preserve"> </w:t>
      </w:r>
      <w:r>
        <w:rPr>
          <w:w w:val="105"/>
        </w:rPr>
        <w:t>of</w:t>
      </w:r>
      <w:r>
        <w:rPr>
          <w:spacing w:val="-9"/>
          <w:w w:val="105"/>
        </w:rPr>
        <w:t xml:space="preserve"> </w:t>
      </w:r>
      <w:r>
        <w:rPr>
          <w:w w:val="105"/>
        </w:rPr>
        <w:t xml:space="preserve">deaths associated with substance use. </w:t>
      </w:r>
      <w:r>
        <w:rPr>
          <w:w w:val="105"/>
          <w:sz w:val="19"/>
        </w:rPr>
        <w:t xml:space="preserve">It </w:t>
      </w:r>
      <w:r>
        <w:rPr>
          <w:w w:val="105"/>
        </w:rPr>
        <w:t>is mentioned as a problem in about 3% of substance­ related emergency-room visits. The percentage of high-school seniors who report ever having</w:t>
      </w:r>
      <w:r>
        <w:rPr>
          <w:spacing w:val="14"/>
          <w:w w:val="105"/>
        </w:rPr>
        <w:t xml:space="preserve"> </w:t>
      </w:r>
      <w:r>
        <w:rPr>
          <w:w w:val="105"/>
        </w:rPr>
        <w:t>used</w:t>
      </w:r>
      <w:r>
        <w:rPr>
          <w:spacing w:val="18"/>
          <w:w w:val="105"/>
        </w:rPr>
        <w:t xml:space="preserve"> </w:t>
      </w:r>
      <w:r>
        <w:rPr>
          <w:w w:val="105"/>
        </w:rPr>
        <w:t>phencyclidine</w:t>
      </w:r>
      <w:r>
        <w:rPr>
          <w:spacing w:val="16"/>
          <w:w w:val="105"/>
        </w:rPr>
        <w:t xml:space="preserve"> </w:t>
      </w:r>
      <w:r>
        <w:rPr>
          <w:w w:val="105"/>
        </w:rPr>
        <w:t>fell</w:t>
      </w:r>
      <w:r>
        <w:rPr>
          <w:spacing w:val="6"/>
          <w:w w:val="105"/>
        </w:rPr>
        <w:t xml:space="preserve"> </w:t>
      </w:r>
      <w:r>
        <w:rPr>
          <w:w w:val="105"/>
        </w:rPr>
        <w:t>from</w:t>
      </w:r>
      <w:r>
        <w:rPr>
          <w:spacing w:val="9"/>
          <w:w w:val="105"/>
        </w:rPr>
        <w:t xml:space="preserve"> </w:t>
      </w:r>
      <w:r>
        <w:rPr>
          <w:w w:val="105"/>
        </w:rPr>
        <w:t>about</w:t>
      </w:r>
      <w:r>
        <w:rPr>
          <w:spacing w:val="9"/>
          <w:w w:val="105"/>
        </w:rPr>
        <w:t xml:space="preserve"> </w:t>
      </w:r>
      <w:r>
        <w:rPr>
          <w:w w:val="105"/>
        </w:rPr>
        <w:t>13%</w:t>
      </w:r>
      <w:r>
        <w:rPr>
          <w:spacing w:val="8"/>
          <w:w w:val="105"/>
        </w:rPr>
        <w:t xml:space="preserve"> </w:t>
      </w:r>
      <w:r>
        <w:rPr>
          <w:w w:val="105"/>
        </w:rPr>
        <w:t>in</w:t>
      </w:r>
      <w:r>
        <w:rPr>
          <w:spacing w:val="2"/>
          <w:w w:val="105"/>
        </w:rPr>
        <w:t xml:space="preserve"> </w:t>
      </w:r>
      <w:r>
        <w:rPr>
          <w:w w:val="105"/>
        </w:rPr>
        <w:t>1980</w:t>
      </w:r>
      <w:r>
        <w:rPr>
          <w:spacing w:val="9"/>
          <w:w w:val="105"/>
        </w:rPr>
        <w:t xml:space="preserve"> </w:t>
      </w:r>
      <w:r>
        <w:rPr>
          <w:w w:val="105"/>
        </w:rPr>
        <w:t>to</w:t>
      </w:r>
      <w:r>
        <w:rPr>
          <w:spacing w:val="3"/>
          <w:w w:val="105"/>
        </w:rPr>
        <w:t xml:space="preserve"> </w:t>
      </w:r>
      <w:r>
        <w:rPr>
          <w:w w:val="105"/>
        </w:rPr>
        <w:t>about</w:t>
      </w:r>
      <w:r>
        <w:rPr>
          <w:spacing w:val="14"/>
          <w:w w:val="105"/>
        </w:rPr>
        <w:t xml:space="preserve"> </w:t>
      </w:r>
      <w:r>
        <w:rPr>
          <w:w w:val="105"/>
        </w:rPr>
        <w:t>3%</w:t>
      </w:r>
      <w:r>
        <w:rPr>
          <w:spacing w:val="2"/>
          <w:w w:val="105"/>
        </w:rPr>
        <w:t xml:space="preserve"> </w:t>
      </w:r>
      <w:r>
        <w:rPr>
          <w:w w:val="105"/>
        </w:rPr>
        <w:t>in</w:t>
      </w:r>
      <w:r>
        <w:rPr>
          <w:spacing w:val="1"/>
          <w:w w:val="105"/>
        </w:rPr>
        <w:t xml:space="preserve"> </w:t>
      </w:r>
      <w:r>
        <w:rPr>
          <w:w w:val="105"/>
        </w:rPr>
        <w:t>1990.</w:t>
      </w:r>
    </w:p>
    <w:p w:rsidR="00E675F0" w:rsidRDefault="00E675F0" w:rsidP="00E675F0">
      <w:pPr>
        <w:pStyle w:val="BodyText"/>
        <w:spacing w:before="6"/>
        <w:rPr>
          <w:sz w:val="31"/>
        </w:rPr>
      </w:pPr>
    </w:p>
    <w:p w:rsidR="00E675F0" w:rsidRDefault="00E675F0" w:rsidP="00E675F0">
      <w:pPr>
        <w:ind w:left="119"/>
        <w:rPr>
          <w:rFonts w:ascii="TimesNewRomanPS-BoldItalicMT"/>
          <w:b/>
          <w:i/>
          <w:sz w:val="24"/>
        </w:rPr>
      </w:pPr>
      <w:r>
        <w:rPr>
          <w:rFonts w:ascii="TimesNewRomanPS-BoldItalicMT"/>
          <w:b/>
          <w:i/>
          <w:w w:val="115"/>
          <w:sz w:val="24"/>
        </w:rPr>
        <w:t>Differential Diagnosis</w:t>
      </w:r>
    </w:p>
    <w:p w:rsidR="00E675F0" w:rsidRDefault="00E675F0" w:rsidP="00E675F0">
      <w:pPr>
        <w:pStyle w:val="BodyText"/>
        <w:spacing w:before="127"/>
        <w:ind w:left="131"/>
        <w:jc w:val="both"/>
      </w:pPr>
      <w:r>
        <w:rPr>
          <w:w w:val="105"/>
        </w:rPr>
        <w:t>For a general discussion of the differential diagnosis of Substance-Related Disorders, see</w:t>
      </w:r>
    </w:p>
    <w:p w:rsidR="00E675F0" w:rsidRDefault="00E675F0" w:rsidP="00E675F0">
      <w:pPr>
        <w:pStyle w:val="BodyText"/>
        <w:spacing w:before="10" w:line="252" w:lineRule="auto"/>
        <w:ind w:left="122" w:right="101" w:firstLine="7"/>
        <w:jc w:val="both"/>
      </w:pPr>
      <w:r>
        <w:rPr>
          <w:w w:val="105"/>
        </w:rPr>
        <w:t xml:space="preserve">p. 190. Phencyclidine-Induced Disorders may be characterized by symptoms (e.g., depressed mood) that resemble </w:t>
      </w:r>
      <w:r>
        <w:rPr>
          <w:b/>
          <w:w w:val="105"/>
        </w:rPr>
        <w:t xml:space="preserve">primary mental disorders </w:t>
      </w:r>
      <w:r>
        <w:rPr>
          <w:w w:val="105"/>
        </w:rPr>
        <w:t xml:space="preserve">(e.g., Major Depressive Disorder versus Phencyclidine-Induced Mood Disorder, With Depressive Features, With Onset During Intoxication). See p. 193 for a discussion of this differential diagnosis. Recurring episodes of psychotic or mood symptoms due to Phencyclidine Intoxication may mimic </w:t>
      </w:r>
      <w:r>
        <w:rPr>
          <w:b/>
          <w:w w:val="105"/>
        </w:rPr>
        <w:t xml:space="preserve">Schizophrenia </w:t>
      </w:r>
      <w:r>
        <w:rPr>
          <w:rFonts w:ascii="Arial"/>
          <w:b/>
          <w:w w:val="105"/>
          <w:sz w:val="17"/>
        </w:rPr>
        <w:t xml:space="preserve">or </w:t>
      </w:r>
      <w:r>
        <w:rPr>
          <w:b/>
          <w:w w:val="105"/>
        </w:rPr>
        <w:t xml:space="preserve">Mood Disorders. </w:t>
      </w:r>
      <w:r>
        <w:rPr>
          <w:w w:val="105"/>
        </w:rPr>
        <w:t>History or laboratory evidence of phencyclidine use establishes a role for the substance, but does not rule out the co-occurrence of other primary mental disorders. Rapid onset of symptoms also suggests Phencyclidine Intoxication rather than Schizophrenia, but phencyclidine use may induce acute psychotic episodes in individuals with preexisting Schizophrenia. Rapid resolution of</w:t>
      </w:r>
      <w:r>
        <w:rPr>
          <w:spacing w:val="-10"/>
          <w:w w:val="105"/>
        </w:rPr>
        <w:t xml:space="preserve"> </w:t>
      </w:r>
      <w:r>
        <w:rPr>
          <w:w w:val="105"/>
        </w:rPr>
        <w:t>symptoms</w:t>
      </w:r>
      <w:r>
        <w:rPr>
          <w:spacing w:val="-8"/>
          <w:w w:val="105"/>
        </w:rPr>
        <w:t xml:space="preserve"> </w:t>
      </w:r>
      <w:r>
        <w:rPr>
          <w:w w:val="105"/>
        </w:rPr>
        <w:t>and</w:t>
      </w:r>
      <w:r>
        <w:rPr>
          <w:spacing w:val="2"/>
          <w:w w:val="105"/>
        </w:rPr>
        <w:t xml:space="preserve"> </w:t>
      </w:r>
      <w:r>
        <w:rPr>
          <w:w w:val="105"/>
        </w:rPr>
        <w:t>the</w:t>
      </w:r>
      <w:r>
        <w:rPr>
          <w:spacing w:val="-8"/>
          <w:w w:val="105"/>
        </w:rPr>
        <w:t xml:space="preserve"> </w:t>
      </w:r>
      <w:r>
        <w:rPr>
          <w:w w:val="105"/>
        </w:rPr>
        <w:t>absence</w:t>
      </w:r>
      <w:r>
        <w:rPr>
          <w:spacing w:val="-10"/>
          <w:w w:val="105"/>
        </w:rPr>
        <w:t xml:space="preserve"> </w:t>
      </w:r>
      <w:r>
        <w:rPr>
          <w:w w:val="105"/>
        </w:rPr>
        <w:t>of</w:t>
      </w:r>
      <w:r>
        <w:rPr>
          <w:spacing w:val="-7"/>
          <w:w w:val="105"/>
        </w:rPr>
        <w:t xml:space="preserve"> </w:t>
      </w:r>
      <w:r>
        <w:rPr>
          <w:w w:val="105"/>
        </w:rPr>
        <w:t>a</w:t>
      </w:r>
      <w:r>
        <w:rPr>
          <w:spacing w:val="-9"/>
          <w:w w:val="105"/>
        </w:rPr>
        <w:t xml:space="preserve"> </w:t>
      </w:r>
      <w:r>
        <w:rPr>
          <w:w w:val="105"/>
        </w:rPr>
        <w:t>history</w:t>
      </w:r>
      <w:r>
        <w:rPr>
          <w:spacing w:val="-10"/>
          <w:w w:val="105"/>
        </w:rPr>
        <w:t xml:space="preserve"> </w:t>
      </w:r>
      <w:r>
        <w:rPr>
          <w:w w:val="105"/>
        </w:rPr>
        <w:t>of</w:t>
      </w:r>
      <w:r>
        <w:rPr>
          <w:spacing w:val="-11"/>
          <w:w w:val="105"/>
        </w:rPr>
        <w:t xml:space="preserve"> </w:t>
      </w:r>
      <w:r>
        <w:rPr>
          <w:w w:val="105"/>
        </w:rPr>
        <w:t>Schizophrenia</w:t>
      </w:r>
      <w:r>
        <w:rPr>
          <w:spacing w:val="5"/>
          <w:w w:val="105"/>
        </w:rPr>
        <w:t xml:space="preserve"> </w:t>
      </w:r>
      <w:r>
        <w:rPr>
          <w:w w:val="105"/>
        </w:rPr>
        <w:t>may</w:t>
      </w:r>
      <w:r>
        <w:rPr>
          <w:spacing w:val="-10"/>
          <w:w w:val="105"/>
        </w:rPr>
        <w:t xml:space="preserve"> </w:t>
      </w:r>
      <w:r>
        <w:rPr>
          <w:w w:val="105"/>
        </w:rPr>
        <w:t>aid</w:t>
      </w:r>
      <w:r>
        <w:rPr>
          <w:spacing w:val="-14"/>
          <w:w w:val="105"/>
        </w:rPr>
        <w:t xml:space="preserve"> </w:t>
      </w:r>
      <w:r>
        <w:rPr>
          <w:w w:val="105"/>
        </w:rPr>
        <w:t>in</w:t>
      </w:r>
      <w:r>
        <w:rPr>
          <w:spacing w:val="-13"/>
          <w:w w:val="105"/>
        </w:rPr>
        <w:t xml:space="preserve"> </w:t>
      </w:r>
      <w:r>
        <w:rPr>
          <w:w w:val="105"/>
        </w:rPr>
        <w:t>this</w:t>
      </w:r>
      <w:r>
        <w:rPr>
          <w:spacing w:val="-17"/>
          <w:w w:val="105"/>
        </w:rPr>
        <w:t xml:space="preserve"> </w:t>
      </w:r>
      <w:r>
        <w:rPr>
          <w:w w:val="105"/>
        </w:rPr>
        <w:t xml:space="preserve">differentiation. Drug-related violence or impaired judgment may co-occur with, or may mimic aspects of, </w:t>
      </w:r>
      <w:r>
        <w:rPr>
          <w:b/>
          <w:w w:val="105"/>
        </w:rPr>
        <w:t xml:space="preserve">Conduct Disorder </w:t>
      </w:r>
      <w:r>
        <w:rPr>
          <w:rFonts w:ascii="Arial"/>
          <w:b/>
          <w:w w:val="105"/>
          <w:sz w:val="17"/>
        </w:rPr>
        <w:t xml:space="preserve">or </w:t>
      </w:r>
      <w:r>
        <w:rPr>
          <w:b/>
          <w:w w:val="105"/>
        </w:rPr>
        <w:t xml:space="preserve">Antisocial Personality Disorder. </w:t>
      </w:r>
      <w:r>
        <w:rPr>
          <w:w w:val="105"/>
        </w:rPr>
        <w:t>Absence of behavioral problems before the onset of substance use, or during abstinence,  may help to clarify this differentiation.</w:t>
      </w:r>
    </w:p>
    <w:p w:rsidR="00E675F0" w:rsidRDefault="00E675F0" w:rsidP="00E675F0">
      <w:pPr>
        <w:pStyle w:val="BodyText"/>
        <w:spacing w:before="12" w:line="252" w:lineRule="auto"/>
        <w:ind w:left="120" w:right="106" w:firstLine="372"/>
        <w:jc w:val="both"/>
      </w:pPr>
      <w:r>
        <w:rPr>
          <w:w w:val="105"/>
        </w:rPr>
        <w:t xml:space="preserve">Phencyclidine and related substances may produce perceptual disturbances (e.g., scintillating lights, perception of sounds, illusions, or formed visual images) that the person usually recognizes as resulting from the drug use. If reality testing remains intact and the person neither believes that the perceptions are real nor acts on them, the specifier With Perceptual Disturbances is noted for Phencyclidine Intoxication. </w:t>
      </w:r>
      <w:r>
        <w:rPr>
          <w:w w:val="105"/>
          <w:sz w:val="21"/>
        </w:rPr>
        <w:t xml:space="preserve">If </w:t>
      </w:r>
      <w:r>
        <w:rPr>
          <w:w w:val="105"/>
        </w:rPr>
        <w:t xml:space="preserve">reality testing is impaired, the diagnosis of </w:t>
      </w:r>
      <w:r>
        <w:rPr>
          <w:b/>
          <w:w w:val="105"/>
        </w:rPr>
        <w:t xml:space="preserve">Phencyclidine-Induced Psychotic  Disorder </w:t>
      </w:r>
      <w:r>
        <w:rPr>
          <w:w w:val="105"/>
        </w:rPr>
        <w:t>should be</w:t>
      </w:r>
      <w:r>
        <w:rPr>
          <w:spacing w:val="-27"/>
          <w:w w:val="105"/>
        </w:rPr>
        <w:t xml:space="preserve"> </w:t>
      </w:r>
      <w:r>
        <w:rPr>
          <w:w w:val="105"/>
        </w:rPr>
        <w:t>considered.</w:t>
      </w:r>
    </w:p>
    <w:p w:rsidR="00E675F0" w:rsidRDefault="00E675F0" w:rsidP="00E675F0">
      <w:pPr>
        <w:pStyle w:val="BodyText"/>
        <w:spacing w:before="9" w:line="254" w:lineRule="auto"/>
        <w:ind w:left="118" w:right="101" w:firstLine="368"/>
        <w:jc w:val="both"/>
      </w:pPr>
      <w:r>
        <w:rPr>
          <w:w w:val="105"/>
        </w:rPr>
        <w:t xml:space="preserve">Differentiating Phencyclidine Intoxication from </w:t>
      </w:r>
      <w:r>
        <w:rPr>
          <w:b/>
          <w:w w:val="105"/>
        </w:rPr>
        <w:t xml:space="preserve">other Substance Intoxications </w:t>
      </w:r>
      <w:r>
        <w:rPr>
          <w:w w:val="105"/>
        </w:rPr>
        <w:t xml:space="preserve">(with which it often coexists) depends on a history of having taken the substance, the presence of characteristic findings (e.g., nystagmus and mild hypertension), and positive urine toxicological tests. Individuals who use phencyclidine often use other drugs as well, and comorbid Abuse or Dependence on other drugs must be considered. Phencyclidine Intoxication is distinguished from the </w:t>
      </w:r>
      <w:r>
        <w:rPr>
          <w:b/>
          <w:w w:val="105"/>
        </w:rPr>
        <w:t xml:space="preserve">other Phencyclidine-Induced Disorders </w:t>
      </w:r>
      <w:r>
        <w:rPr>
          <w:w w:val="105"/>
        </w:rPr>
        <w:t>(e.g., Phencyclidine-Induced Mood Disorder, With Onset During Intoxica­ tion) because the symptoms in these latter disorders are in excess of those usually associated with Phencyclidine Intoxication and are severe enough to warrant indepen­ dent clinical</w:t>
      </w:r>
      <w:r>
        <w:rPr>
          <w:spacing w:val="15"/>
          <w:w w:val="105"/>
        </w:rPr>
        <w:t xml:space="preserve"> </w:t>
      </w:r>
      <w:r>
        <w:rPr>
          <w:w w:val="105"/>
        </w:rPr>
        <w:t>attention.</w:t>
      </w:r>
    </w:p>
    <w:p w:rsidR="00E675F0" w:rsidRDefault="00E675F0" w:rsidP="00E675F0">
      <w:pPr>
        <w:spacing w:line="254" w:lineRule="auto"/>
        <w:jc w:val="both"/>
        <w:sectPr w:rsidR="00E675F0">
          <w:pgSz w:w="8960" w:h="14260"/>
          <w:pgMar w:top="1400" w:right="620" w:bottom="280" w:left="620" w:header="707" w:footer="0" w:gutter="0"/>
          <w:cols w:space="720"/>
        </w:sectPr>
      </w:pPr>
    </w:p>
    <w:p w:rsidR="00E675F0" w:rsidRDefault="00E675F0" w:rsidP="00E675F0">
      <w:pPr>
        <w:tabs>
          <w:tab w:val="left" w:pos="2319"/>
        </w:tabs>
        <w:spacing w:before="128" w:line="247" w:lineRule="auto"/>
        <w:ind w:left="2328" w:right="1392" w:hanging="926"/>
        <w:rPr>
          <w:rFonts w:ascii="Arial"/>
          <w:b/>
          <w:sz w:val="26"/>
        </w:rPr>
      </w:pPr>
      <w:bookmarkStart w:id="172" w:name="_bookmark152"/>
      <w:bookmarkEnd w:id="172"/>
      <w:r>
        <w:rPr>
          <w:rFonts w:ascii="Arial"/>
          <w:b/>
          <w:w w:val="105"/>
          <w:sz w:val="26"/>
        </w:rPr>
        <w:lastRenderedPageBreak/>
        <w:t>292.9</w:t>
      </w:r>
      <w:r>
        <w:rPr>
          <w:rFonts w:ascii="Arial"/>
          <w:b/>
          <w:w w:val="105"/>
          <w:sz w:val="26"/>
        </w:rPr>
        <w:tab/>
      </w:r>
      <w:r>
        <w:rPr>
          <w:rFonts w:ascii="Arial"/>
          <w:b/>
          <w:sz w:val="26"/>
        </w:rPr>
        <w:t xml:space="preserve">Phencyclidine-Related Disorder </w:t>
      </w:r>
      <w:r>
        <w:rPr>
          <w:rFonts w:ascii="Arial"/>
          <w:b/>
          <w:w w:val="105"/>
          <w:sz w:val="26"/>
        </w:rPr>
        <w:t>Not Otherwise</w:t>
      </w:r>
      <w:r>
        <w:rPr>
          <w:rFonts w:ascii="Arial"/>
          <w:b/>
          <w:spacing w:val="-19"/>
          <w:w w:val="105"/>
          <w:sz w:val="26"/>
        </w:rPr>
        <w:t xml:space="preserve"> </w:t>
      </w:r>
      <w:r>
        <w:rPr>
          <w:rFonts w:ascii="Arial"/>
          <w:b/>
          <w:w w:val="105"/>
          <w:sz w:val="26"/>
        </w:rPr>
        <w:t>Specified</w:t>
      </w:r>
    </w:p>
    <w:p w:rsidR="00E675F0" w:rsidRDefault="00E675F0" w:rsidP="00E675F0">
      <w:pPr>
        <w:pStyle w:val="BodyText"/>
        <w:spacing w:before="1"/>
        <w:rPr>
          <w:rFonts w:ascii="Arial"/>
          <w:b/>
          <w:sz w:val="22"/>
        </w:rPr>
      </w:pPr>
    </w:p>
    <w:p w:rsidR="00E675F0" w:rsidRDefault="00E675F0" w:rsidP="00E675F0">
      <w:pPr>
        <w:pStyle w:val="BodyText"/>
        <w:spacing w:line="254" w:lineRule="auto"/>
        <w:ind w:left="133" w:right="108" w:hanging="4"/>
        <w:jc w:val="both"/>
      </w:pPr>
      <w:r>
        <w:rPr>
          <w:w w:val="105"/>
        </w:rPr>
        <w:t>The Phencyclidine-Related Disorder Not Otherwise Specified category is for disorders associated with the use of phencyclidine that are not classifiable as Phencyclidine Dependence, Phencyclidine Abuse, Phencyclidine Intoxication, Phencyclidine Intoxica­ tion Delirium, Phencyclidine-Induced Psychotic Disorder, Phencyclidine-Induced Mood Disorder, or Phencyclidine-Induced Anxiety Disorder.</w:t>
      </w:r>
    </w:p>
    <w:p w:rsidR="00E675F0" w:rsidRDefault="00E675F0" w:rsidP="00E675F0">
      <w:pPr>
        <w:pStyle w:val="BodyText"/>
        <w:rPr>
          <w:sz w:val="22"/>
        </w:rPr>
      </w:pPr>
    </w:p>
    <w:p w:rsidR="00E675F0" w:rsidRDefault="00E675F0" w:rsidP="00E675F0">
      <w:pPr>
        <w:pStyle w:val="BodyText"/>
        <w:spacing w:before="8"/>
        <w:rPr>
          <w:sz w:val="31"/>
        </w:rPr>
      </w:pPr>
    </w:p>
    <w:p w:rsidR="00E675F0" w:rsidRDefault="00E675F0" w:rsidP="00E675F0">
      <w:pPr>
        <w:spacing w:line="242" w:lineRule="auto"/>
        <w:ind w:left="2040" w:right="2024" w:firstLine="313"/>
        <w:rPr>
          <w:rFonts w:ascii="Arial"/>
          <w:b/>
          <w:sz w:val="26"/>
        </w:rPr>
      </w:pPr>
      <w:r>
        <w:rPr>
          <w:noProof/>
        </w:rPr>
        <mc:AlternateContent>
          <mc:Choice Requires="wpg">
            <w:drawing>
              <wp:anchor distT="0" distB="0" distL="114300" distR="114300" simplePos="0" relativeHeight="251809792" behindDoc="1" locked="0" layoutInCell="1" allowOverlap="1" wp14:anchorId="1E681DE9" wp14:editId="1B503236">
                <wp:simplePos x="0" y="0"/>
                <wp:positionH relativeFrom="page">
                  <wp:posOffset>488950</wp:posOffset>
                </wp:positionH>
                <wp:positionV relativeFrom="paragraph">
                  <wp:posOffset>-87630</wp:posOffset>
                </wp:positionV>
                <wp:extent cx="1283335" cy="478155"/>
                <wp:effectExtent l="0" t="0" r="0" b="4445"/>
                <wp:wrapNone/>
                <wp:docPr id="1301" name="Group 1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3335" cy="478155"/>
                          <a:chOff x="770" y="-138"/>
                          <a:chExt cx="2021" cy="753"/>
                        </a:xfrm>
                      </wpg:grpSpPr>
                      <wps:wsp>
                        <wps:cNvPr id="1302" name="Line 1259"/>
                        <wps:cNvCnPr>
                          <a:cxnSpLocks/>
                        </wps:cNvCnPr>
                        <wps:spPr bwMode="auto">
                          <a:xfrm>
                            <a:off x="779" y="614"/>
                            <a:ext cx="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3" name="Line 1258"/>
                        <wps:cNvCnPr>
                          <a:cxnSpLocks/>
                        </wps:cNvCnPr>
                        <wps:spPr bwMode="auto">
                          <a:xfrm>
                            <a:off x="770" y="-131"/>
                            <a:ext cx="2020" cy="0"/>
                          </a:xfrm>
                          <a:prstGeom prst="line">
                            <a:avLst/>
                          </a:prstGeom>
                          <a:noFill/>
                          <a:ln w="915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E32ED6" id="Group 1257" o:spid="_x0000_s1026" style="position:absolute;margin-left:38.5pt;margin-top:-6.9pt;width:101.05pt;height:37.65pt;z-index:-251506688;mso-position-horizontal-relative:page" coordorigin="770,-138" coordsize="2021,7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">
                <v:line id="Line 1259" o:spid="_x0000_s1027" style="position:absolute;visibility:visible;mso-wrap-style:square" from="779,614" to="779,6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" strokeweight=".16969mm">
                  <o:lock v:ext="edit" shapetype="f"/>
                </v:line>
                <v:line id="Line 1258" o:spid="_x0000_s1028" style="position:absolute;visibility:visible;mso-wrap-style:square" from="770,-131" to="2790,-1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" strokeweight=".25433mm">
                  <o:lock v:ext="edit" shapetype="f"/>
                </v:line>
                <w10:wrap anchorx="page"/>
              </v:group>
            </w:pict>
          </mc:Fallback>
        </mc:AlternateContent>
      </w:r>
      <w:r>
        <w:rPr>
          <w:noProof/>
        </w:rPr>
        <mc:AlternateContent>
          <mc:Choice Requires="wpg">
            <w:drawing>
              <wp:anchor distT="0" distB="0" distL="114300" distR="114300" simplePos="0" relativeHeight="251725824" behindDoc="0" locked="0" layoutInCell="1" allowOverlap="1" wp14:anchorId="6EA30ECA" wp14:editId="007B5F09">
                <wp:simplePos x="0" y="0"/>
                <wp:positionH relativeFrom="page">
                  <wp:posOffset>4007485</wp:posOffset>
                </wp:positionH>
                <wp:positionV relativeFrom="paragraph">
                  <wp:posOffset>-87630</wp:posOffset>
                </wp:positionV>
                <wp:extent cx="1197610" cy="514350"/>
                <wp:effectExtent l="0" t="0" r="8890" b="6350"/>
                <wp:wrapNone/>
                <wp:docPr id="1298" name="Group 1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7610" cy="514350"/>
                          <a:chOff x="6311" y="-138"/>
                          <a:chExt cx="1886" cy="810"/>
                        </a:xfrm>
                      </wpg:grpSpPr>
                      <wps:wsp>
                        <wps:cNvPr id="1299" name="Line 1256"/>
                        <wps:cNvCnPr>
                          <a:cxnSpLocks/>
                        </wps:cNvCnPr>
                        <wps:spPr bwMode="auto">
                          <a:xfrm>
                            <a:off x="8177" y="672"/>
                            <a:ext cx="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0" name="Line 1255"/>
                        <wps:cNvCnPr>
                          <a:cxnSpLocks/>
                        </wps:cNvCnPr>
                        <wps:spPr bwMode="auto">
                          <a:xfrm>
                            <a:off x="6311" y="-131"/>
                            <a:ext cx="1886" cy="0"/>
                          </a:xfrm>
                          <a:prstGeom prst="line">
                            <a:avLst/>
                          </a:prstGeom>
                          <a:noFill/>
                          <a:ln w="915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5B9472" id="Group 1254" o:spid="_x0000_s1026" style="position:absolute;margin-left:315.55pt;margin-top:-6.9pt;width:94.3pt;height:40.5pt;z-index:251725824;mso-position-horizontal-relative:page" coordorigin="6311,-138" coordsize="1886,8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">
                <v:line id="Line 1256" o:spid="_x0000_s1027" style="position:absolute;visibility:visible;mso-wrap-style:square" from="8177,672" to="8177,6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" strokeweight=".16969mm">
                  <o:lock v:ext="edit" shapetype="f"/>
                </v:line>
                <v:line id="Line 1255" o:spid="_x0000_s1028" style="position:absolute;visibility:visible;mso-wrap-style:square" from="6311,-131" to="8197,-1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" strokeweight=".25433mm">
                  <o:lock v:ext="edit" shapetype="f"/>
                </v:line>
                <w10:wrap anchorx="page"/>
              </v:group>
            </w:pict>
          </mc:Fallback>
        </mc:AlternateContent>
      </w:r>
      <w:r>
        <w:rPr>
          <w:rFonts w:ascii="Arial"/>
          <w:b/>
          <w:w w:val="105"/>
          <w:sz w:val="26"/>
        </w:rPr>
        <w:t xml:space="preserve">Sedative-, Hypnotic-, or </w:t>
      </w:r>
      <w:r>
        <w:rPr>
          <w:rFonts w:ascii="Arial"/>
          <w:b/>
          <w:sz w:val="26"/>
        </w:rPr>
        <w:t>Anxiolytic-Related Disorders</w:t>
      </w:r>
    </w:p>
    <w:p w:rsidR="00E675F0" w:rsidRDefault="00E675F0" w:rsidP="00E675F0">
      <w:pPr>
        <w:pStyle w:val="BodyText"/>
        <w:spacing w:before="1"/>
        <w:rPr>
          <w:rFonts w:ascii="Arial"/>
          <w:b/>
          <w:sz w:val="23"/>
        </w:rPr>
      </w:pPr>
    </w:p>
    <w:p w:rsidR="00E675F0" w:rsidRDefault="00E675F0" w:rsidP="00E675F0">
      <w:pPr>
        <w:pStyle w:val="BodyText"/>
        <w:spacing w:line="254" w:lineRule="auto"/>
        <w:ind w:left="128" w:right="115" w:firstLine="5"/>
        <w:jc w:val="both"/>
      </w:pPr>
      <w:r>
        <w:rPr>
          <w:w w:val="105"/>
        </w:rPr>
        <w:t>The sedative, hypnotic, and anxiolytic (antianxiety) substances include the benzodiaze­ pines, the carbamates (e.g., glutethimide, meprobamate), the barbiturates (e.g., secobar­ bital), and the barbiturate-like hypnotics (e.g., glutethimide, methaqualone). This class of substances includes all prescription sleeping medications and almost all prescription antianxiety medications. The nonbenzodiazepine antianxiety agents (e.g., buspirone, gepirone) are not included in this class. Some medications in this class have other important clinical uses (e.g., as anticonvulsants). Like alcohol, these agents are brain depressants and can produce similar Substance-Induced and Substance Use Disorders. At high doses, sedatives, hypnotics, and anxiolytics can be lethal, particularly when mixed with alcohol. Sedatives, hypnotics, and anxiolytics are available both by prescrip­ tion and from illegal sources. Occasionally, individuals who obtain these substances by prescription will abuse them; conversely, some of those who purchase substances from this class "on the street" do not develop Dependence or Abuse. Medications with rapid onset and/or short to intermediate lengths of action may be especially vulnerable to being</w:t>
      </w:r>
      <w:r>
        <w:rPr>
          <w:spacing w:val="6"/>
          <w:w w:val="105"/>
        </w:rPr>
        <w:t xml:space="preserve"> </w:t>
      </w:r>
      <w:r>
        <w:rPr>
          <w:w w:val="105"/>
        </w:rPr>
        <w:t>abused.</w:t>
      </w:r>
    </w:p>
    <w:p w:rsidR="00E675F0" w:rsidRDefault="00E675F0" w:rsidP="00E675F0">
      <w:pPr>
        <w:pStyle w:val="BodyText"/>
        <w:spacing w:before="6" w:line="252" w:lineRule="auto"/>
        <w:ind w:left="119" w:right="116" w:firstLine="370"/>
        <w:jc w:val="both"/>
      </w:pPr>
      <w:r>
        <w:rPr>
          <w:w w:val="105"/>
        </w:rPr>
        <w:t>This</w:t>
      </w:r>
      <w:r>
        <w:rPr>
          <w:spacing w:val="-14"/>
          <w:w w:val="105"/>
        </w:rPr>
        <w:t xml:space="preserve"> </w:t>
      </w:r>
      <w:r>
        <w:rPr>
          <w:w w:val="105"/>
        </w:rPr>
        <w:t>section</w:t>
      </w:r>
      <w:r>
        <w:rPr>
          <w:spacing w:val="-3"/>
          <w:w w:val="105"/>
        </w:rPr>
        <w:t xml:space="preserve"> </w:t>
      </w:r>
      <w:r>
        <w:rPr>
          <w:w w:val="105"/>
        </w:rPr>
        <w:t>contains</w:t>
      </w:r>
      <w:r>
        <w:rPr>
          <w:spacing w:val="-6"/>
          <w:w w:val="105"/>
        </w:rPr>
        <w:t xml:space="preserve"> </w:t>
      </w:r>
      <w:r>
        <w:rPr>
          <w:w w:val="105"/>
        </w:rPr>
        <w:t>discussions</w:t>
      </w:r>
      <w:r>
        <w:rPr>
          <w:spacing w:val="-6"/>
          <w:w w:val="105"/>
        </w:rPr>
        <w:t xml:space="preserve"> </w:t>
      </w:r>
      <w:r>
        <w:rPr>
          <w:w w:val="105"/>
        </w:rPr>
        <w:t>specific</w:t>
      </w:r>
      <w:r>
        <w:rPr>
          <w:spacing w:val="-2"/>
          <w:w w:val="105"/>
        </w:rPr>
        <w:t xml:space="preserve"> </w:t>
      </w:r>
      <w:r>
        <w:rPr>
          <w:w w:val="105"/>
        </w:rPr>
        <w:t>to</w:t>
      </w:r>
      <w:r>
        <w:rPr>
          <w:spacing w:val="-11"/>
          <w:w w:val="105"/>
        </w:rPr>
        <w:t xml:space="preserve"> </w:t>
      </w:r>
      <w:r>
        <w:rPr>
          <w:w w:val="105"/>
        </w:rPr>
        <w:t>the</w:t>
      </w:r>
      <w:r>
        <w:rPr>
          <w:spacing w:val="-18"/>
          <w:w w:val="105"/>
        </w:rPr>
        <w:t xml:space="preserve"> </w:t>
      </w:r>
      <w:r>
        <w:rPr>
          <w:w w:val="105"/>
        </w:rPr>
        <w:t>Sedative-,</w:t>
      </w:r>
      <w:r>
        <w:rPr>
          <w:spacing w:val="5"/>
          <w:w w:val="105"/>
        </w:rPr>
        <w:t xml:space="preserve"> </w:t>
      </w:r>
      <w:r>
        <w:rPr>
          <w:w w:val="105"/>
        </w:rPr>
        <w:t>Hypnotic-,</w:t>
      </w:r>
      <w:r>
        <w:rPr>
          <w:spacing w:val="5"/>
          <w:w w:val="105"/>
        </w:rPr>
        <w:t xml:space="preserve"> </w:t>
      </w:r>
      <w:r>
        <w:rPr>
          <w:w w:val="105"/>
        </w:rPr>
        <w:t>or</w:t>
      </w:r>
      <w:r>
        <w:rPr>
          <w:spacing w:val="-9"/>
          <w:w w:val="105"/>
        </w:rPr>
        <w:t xml:space="preserve"> </w:t>
      </w:r>
      <w:r>
        <w:rPr>
          <w:w w:val="105"/>
        </w:rPr>
        <w:t>Anxiolytic­ Related Disorders. Texts and criteria sets have already been provided to define the generic aspects of Substance Dependence (p. 176) and Substance Abuse (p. 182) that apply across all substances. Texts specific to Sedative, Hypnotic, or Anxiolytic Depen­ dence and Abuse are provided below; however, there are no additional specific criteria sets for Sedative, Hypnotic, or Anxiolytic Dependence or Sedative, Hypnotic, or Anxiolytic Abuse. Specific texts and criteria sets for Sedative, Hypnotic, or Anxiolytic Intoxication and Sedative, Hypnotic, or Anxiolytic Withdrawal are also provided below. The Sedative-, Hypnotic-, or Anxiolytic-Induced Disorders (other than Sedative, Hyp­ notic, or Anxiolytic Intoxication and Withdrawal) are described in the sections of the manual</w:t>
      </w:r>
      <w:r>
        <w:rPr>
          <w:spacing w:val="-8"/>
          <w:w w:val="105"/>
        </w:rPr>
        <w:t xml:space="preserve"> </w:t>
      </w:r>
      <w:r>
        <w:rPr>
          <w:w w:val="105"/>
        </w:rPr>
        <w:t>with</w:t>
      </w:r>
      <w:r>
        <w:rPr>
          <w:spacing w:val="-10"/>
          <w:w w:val="105"/>
        </w:rPr>
        <w:t xml:space="preserve"> </w:t>
      </w:r>
      <w:r>
        <w:rPr>
          <w:w w:val="105"/>
        </w:rPr>
        <w:t>disorders</w:t>
      </w:r>
      <w:r>
        <w:rPr>
          <w:spacing w:val="-7"/>
          <w:w w:val="105"/>
        </w:rPr>
        <w:t xml:space="preserve"> </w:t>
      </w:r>
      <w:r>
        <w:rPr>
          <w:w w:val="105"/>
        </w:rPr>
        <w:t>with</w:t>
      </w:r>
      <w:r>
        <w:rPr>
          <w:spacing w:val="-13"/>
          <w:w w:val="105"/>
        </w:rPr>
        <w:t xml:space="preserve"> </w:t>
      </w:r>
      <w:r>
        <w:rPr>
          <w:w w:val="105"/>
        </w:rPr>
        <w:t>which</w:t>
      </w:r>
      <w:r>
        <w:rPr>
          <w:spacing w:val="-13"/>
          <w:w w:val="105"/>
        </w:rPr>
        <w:t xml:space="preserve"> </w:t>
      </w:r>
      <w:r>
        <w:rPr>
          <w:w w:val="105"/>
        </w:rPr>
        <w:t>they</w:t>
      </w:r>
      <w:r>
        <w:rPr>
          <w:spacing w:val="-17"/>
          <w:w w:val="105"/>
        </w:rPr>
        <w:t xml:space="preserve"> </w:t>
      </w:r>
      <w:r>
        <w:rPr>
          <w:w w:val="105"/>
        </w:rPr>
        <w:t>share</w:t>
      </w:r>
      <w:r>
        <w:rPr>
          <w:spacing w:val="-12"/>
          <w:w w:val="105"/>
        </w:rPr>
        <w:t xml:space="preserve"> </w:t>
      </w:r>
      <w:r>
        <w:rPr>
          <w:w w:val="105"/>
        </w:rPr>
        <w:t>phenomenology</w:t>
      </w:r>
      <w:r>
        <w:rPr>
          <w:spacing w:val="-3"/>
          <w:w w:val="105"/>
        </w:rPr>
        <w:t xml:space="preserve"> </w:t>
      </w:r>
      <w:r>
        <w:rPr>
          <w:w w:val="105"/>
        </w:rPr>
        <w:t>(e.g.,</w:t>
      </w:r>
      <w:r>
        <w:rPr>
          <w:spacing w:val="-20"/>
          <w:w w:val="105"/>
        </w:rPr>
        <w:t xml:space="preserve"> </w:t>
      </w:r>
      <w:r>
        <w:rPr>
          <w:w w:val="105"/>
        </w:rPr>
        <w:t>Sedative-,</w:t>
      </w:r>
      <w:r>
        <w:rPr>
          <w:spacing w:val="1"/>
          <w:w w:val="105"/>
        </w:rPr>
        <w:t xml:space="preserve"> </w:t>
      </w:r>
      <w:r>
        <w:rPr>
          <w:w w:val="105"/>
        </w:rPr>
        <w:t>Hypnotic-, or Anxiolytic-Induced Anxiety Disorder is included in the "Anxiety Disorders" section). Listed below are the Sedative, Hypnotic, or Anxiolytic Use Disorders and the Sedative-, Hypnotic-, or Anxiolytic-Induced</w:t>
      </w:r>
      <w:r>
        <w:rPr>
          <w:spacing w:val="31"/>
          <w:w w:val="105"/>
        </w:rPr>
        <w:t xml:space="preserve"> </w:t>
      </w:r>
      <w:r>
        <w:rPr>
          <w:w w:val="105"/>
        </w:rPr>
        <w:t>Disorders.</w:t>
      </w:r>
    </w:p>
    <w:p w:rsidR="00E675F0" w:rsidRDefault="00E675F0" w:rsidP="00E675F0">
      <w:pPr>
        <w:pStyle w:val="BodyText"/>
        <w:rPr>
          <w:sz w:val="22"/>
        </w:rPr>
      </w:pPr>
    </w:p>
    <w:p w:rsidR="00E675F0" w:rsidRDefault="00E675F0" w:rsidP="00E675F0">
      <w:pPr>
        <w:spacing w:before="140"/>
        <w:ind w:left="116"/>
        <w:jc w:val="both"/>
        <w:rPr>
          <w:rFonts w:ascii="TimesNewRomanPS-BoldItalicMT"/>
          <w:b/>
          <w:i/>
          <w:sz w:val="24"/>
        </w:rPr>
      </w:pPr>
      <w:r>
        <w:rPr>
          <w:rFonts w:ascii="TimesNewRomanPS-BoldItalicMT"/>
          <w:b/>
          <w:i/>
          <w:w w:val="115"/>
          <w:sz w:val="24"/>
        </w:rPr>
        <w:t>Sedative, Hypnotic, or Anxiolytic Use Di,Sorders</w:t>
      </w:r>
    </w:p>
    <w:p w:rsidR="00E675F0" w:rsidRDefault="00E675F0" w:rsidP="00E675F0">
      <w:pPr>
        <w:tabs>
          <w:tab w:val="left" w:pos="965"/>
        </w:tabs>
        <w:spacing w:before="132"/>
        <w:ind w:left="131"/>
        <w:rPr>
          <w:sz w:val="20"/>
        </w:rPr>
      </w:pPr>
      <w:r>
        <w:rPr>
          <w:b/>
          <w:w w:val="110"/>
          <w:sz w:val="21"/>
        </w:rPr>
        <w:t>304.10</w:t>
      </w:r>
      <w:r>
        <w:rPr>
          <w:b/>
          <w:w w:val="110"/>
          <w:sz w:val="21"/>
        </w:rPr>
        <w:tab/>
        <w:t xml:space="preserve">Sedative, Hypnotic, or Anxiolytic Dependence </w:t>
      </w:r>
      <w:r>
        <w:rPr>
          <w:w w:val="110"/>
          <w:sz w:val="20"/>
        </w:rPr>
        <w:t>(seep.</w:t>
      </w:r>
      <w:r>
        <w:rPr>
          <w:spacing w:val="-3"/>
          <w:w w:val="110"/>
          <w:sz w:val="20"/>
        </w:rPr>
        <w:t xml:space="preserve"> </w:t>
      </w:r>
      <w:r>
        <w:rPr>
          <w:w w:val="110"/>
          <w:sz w:val="20"/>
        </w:rPr>
        <w:t>262)</w:t>
      </w:r>
    </w:p>
    <w:p w:rsidR="00E675F0" w:rsidRDefault="00E675F0" w:rsidP="00E675F0">
      <w:pPr>
        <w:tabs>
          <w:tab w:val="left" w:pos="965"/>
        </w:tabs>
        <w:spacing w:before="4"/>
        <w:ind w:left="136"/>
        <w:rPr>
          <w:sz w:val="20"/>
        </w:rPr>
      </w:pPr>
      <w:r>
        <w:rPr>
          <w:b/>
          <w:w w:val="105"/>
          <w:sz w:val="21"/>
        </w:rPr>
        <w:t>305.40</w:t>
      </w:r>
      <w:r>
        <w:rPr>
          <w:b/>
          <w:w w:val="105"/>
          <w:sz w:val="21"/>
        </w:rPr>
        <w:tab/>
        <w:t xml:space="preserve">Sedative, Hypnotic, or Anxiolytic Abuse </w:t>
      </w:r>
      <w:r>
        <w:rPr>
          <w:w w:val="105"/>
          <w:sz w:val="20"/>
        </w:rPr>
        <w:t>(see p.</w:t>
      </w:r>
      <w:r>
        <w:rPr>
          <w:spacing w:val="47"/>
          <w:w w:val="105"/>
          <w:sz w:val="20"/>
        </w:rPr>
        <w:t xml:space="preserve"> </w:t>
      </w:r>
      <w:r>
        <w:rPr>
          <w:w w:val="105"/>
          <w:sz w:val="20"/>
        </w:rPr>
        <w:t>263)</w:t>
      </w:r>
    </w:p>
    <w:p w:rsidR="00E675F0" w:rsidRDefault="00E675F0" w:rsidP="00E675F0">
      <w:pPr>
        <w:rPr>
          <w:sz w:val="20"/>
        </w:rPr>
        <w:sectPr w:rsidR="00E675F0">
          <w:headerReference w:type="even" r:id="rId203"/>
          <w:headerReference w:type="default" r:id="rId204"/>
          <w:pgSz w:w="8960" w:h="14260"/>
          <w:pgMar w:top="1400" w:right="620" w:bottom="280" w:left="620" w:header="683" w:footer="0" w:gutter="0"/>
          <w:pgNumType w:start="261"/>
          <w:cols w:space="720"/>
        </w:sectPr>
      </w:pPr>
    </w:p>
    <w:p w:rsidR="00E675F0" w:rsidRDefault="00E675F0" w:rsidP="00E675F0">
      <w:pPr>
        <w:spacing w:before="138"/>
        <w:ind w:left="149"/>
        <w:jc w:val="both"/>
        <w:rPr>
          <w:rFonts w:ascii="TimesNewRomanPS-BoldItalicMT"/>
          <w:b/>
          <w:i/>
          <w:sz w:val="24"/>
        </w:rPr>
      </w:pPr>
      <w:bookmarkStart w:id="173" w:name="_bookmark153"/>
      <w:bookmarkEnd w:id="173"/>
      <w:r>
        <w:rPr>
          <w:rFonts w:ascii="TimesNewRomanPS-BoldItalicMT"/>
          <w:b/>
          <w:i/>
          <w:w w:val="115"/>
          <w:sz w:val="24"/>
        </w:rPr>
        <w:lastRenderedPageBreak/>
        <w:t>Sedative-, Hypnotic-, or Anxiolytic-Induced Disorders</w:t>
      </w:r>
    </w:p>
    <w:p w:rsidR="00E675F0" w:rsidRDefault="00E675F0" w:rsidP="00E675F0">
      <w:pPr>
        <w:pStyle w:val="BodyText"/>
        <w:spacing w:before="6"/>
        <w:rPr>
          <w:rFonts w:ascii="TimesNewRomanPS-BoldItalicMT"/>
          <w:b/>
          <w:i/>
          <w:sz w:val="12"/>
        </w:rPr>
      </w:pPr>
    </w:p>
    <w:tbl>
      <w:tblPr>
        <w:tblW w:w="0" w:type="auto"/>
        <w:tblInd w:w="120" w:type="dxa"/>
        <w:tblLayout w:type="fixed"/>
        <w:tblCellMar>
          <w:left w:w="0" w:type="dxa"/>
          <w:right w:w="0" w:type="dxa"/>
        </w:tblCellMar>
        <w:tblLook w:val="01E0" w:firstRow="1" w:lastRow="1" w:firstColumn="1" w:lastColumn="1" w:noHBand="0" w:noVBand="0"/>
      </w:tblPr>
      <w:tblGrid>
        <w:gridCol w:w="779"/>
        <w:gridCol w:w="6812"/>
      </w:tblGrid>
      <w:tr w:rsidR="00E675F0" w:rsidTr="00A330E1">
        <w:trPr>
          <w:trHeight w:val="234"/>
        </w:trPr>
        <w:tc>
          <w:tcPr>
            <w:tcW w:w="779" w:type="dxa"/>
          </w:tcPr>
          <w:p w:rsidR="00E675F0" w:rsidRDefault="00E675F0" w:rsidP="00A330E1">
            <w:pPr>
              <w:pStyle w:val="TableParagraph"/>
              <w:spacing w:before="10" w:line="204" w:lineRule="exact"/>
              <w:ind w:left="16" w:right="80"/>
              <w:jc w:val="center"/>
              <w:rPr>
                <w:b/>
                <w:sz w:val="19"/>
              </w:rPr>
            </w:pPr>
            <w:r>
              <w:rPr>
                <w:b/>
                <w:w w:val="115"/>
                <w:sz w:val="19"/>
              </w:rPr>
              <w:t>292.89</w:t>
            </w:r>
          </w:p>
        </w:tc>
        <w:tc>
          <w:tcPr>
            <w:tcW w:w="6812" w:type="dxa"/>
          </w:tcPr>
          <w:p w:rsidR="00E675F0" w:rsidRDefault="00E675F0" w:rsidP="00A330E1">
            <w:pPr>
              <w:pStyle w:val="TableParagraph"/>
              <w:spacing w:line="215" w:lineRule="exact"/>
              <w:ind w:left="107"/>
              <w:rPr>
                <w:sz w:val="20"/>
              </w:rPr>
            </w:pPr>
            <w:r>
              <w:rPr>
                <w:b/>
                <w:w w:val="110"/>
                <w:sz w:val="20"/>
              </w:rPr>
              <w:t xml:space="preserve">Sedative, Hypnotic, or Anxiolytic Intoxication </w:t>
            </w:r>
            <w:r>
              <w:rPr>
                <w:w w:val="110"/>
                <w:sz w:val="20"/>
              </w:rPr>
              <w:t>(see p. 263)</w:t>
            </w:r>
          </w:p>
        </w:tc>
      </w:tr>
      <w:tr w:rsidR="00E675F0" w:rsidTr="00A330E1">
        <w:trPr>
          <w:trHeight w:val="216"/>
        </w:trPr>
        <w:tc>
          <w:tcPr>
            <w:tcW w:w="779" w:type="dxa"/>
          </w:tcPr>
          <w:p w:rsidR="00E675F0" w:rsidRDefault="00E675F0" w:rsidP="00A330E1">
            <w:pPr>
              <w:pStyle w:val="TableParagraph"/>
              <w:spacing w:before="16" w:line="180" w:lineRule="exact"/>
              <w:ind w:left="26" w:right="197"/>
              <w:jc w:val="center"/>
              <w:rPr>
                <w:b/>
                <w:sz w:val="19"/>
              </w:rPr>
            </w:pPr>
            <w:r>
              <w:rPr>
                <w:b/>
                <w:w w:val="120"/>
                <w:sz w:val="19"/>
              </w:rPr>
              <w:t>292.0</w:t>
            </w:r>
          </w:p>
        </w:tc>
        <w:tc>
          <w:tcPr>
            <w:tcW w:w="6812" w:type="dxa"/>
          </w:tcPr>
          <w:p w:rsidR="00E675F0" w:rsidRDefault="00E675F0" w:rsidP="00A330E1">
            <w:pPr>
              <w:pStyle w:val="TableParagraph"/>
              <w:spacing w:line="197" w:lineRule="exact"/>
              <w:ind w:left="107"/>
              <w:rPr>
                <w:sz w:val="20"/>
              </w:rPr>
            </w:pPr>
            <w:r>
              <w:rPr>
                <w:b/>
                <w:w w:val="105"/>
                <w:sz w:val="20"/>
              </w:rPr>
              <w:t xml:space="preserve">Sedative, Hypnotic, or Anxiolytic Withdrawal </w:t>
            </w:r>
            <w:r>
              <w:rPr>
                <w:w w:val="105"/>
                <w:sz w:val="20"/>
              </w:rPr>
              <w:t>(see p. 264)</w:t>
            </w:r>
          </w:p>
        </w:tc>
      </w:tr>
      <w:tr w:rsidR="00E675F0" w:rsidTr="00A330E1">
        <w:trPr>
          <w:trHeight w:val="509"/>
        </w:trPr>
        <w:tc>
          <w:tcPr>
            <w:tcW w:w="779" w:type="dxa"/>
          </w:tcPr>
          <w:p w:rsidR="00E675F0" w:rsidRDefault="00E675F0" w:rsidP="00A330E1">
            <w:pPr>
              <w:pStyle w:val="TableParagraph"/>
              <w:spacing w:before="4"/>
              <w:rPr>
                <w:rFonts w:ascii="TimesNewRomanPS-BoldItalicMT"/>
                <w:b/>
                <w:i/>
                <w:sz w:val="24"/>
              </w:rPr>
            </w:pPr>
          </w:p>
          <w:p w:rsidR="00E675F0" w:rsidRDefault="00E675F0" w:rsidP="00A330E1">
            <w:pPr>
              <w:pStyle w:val="TableParagraph"/>
              <w:spacing w:line="209" w:lineRule="exact"/>
              <w:ind w:left="21" w:right="80"/>
              <w:jc w:val="center"/>
              <w:rPr>
                <w:b/>
                <w:sz w:val="19"/>
              </w:rPr>
            </w:pPr>
            <w:r>
              <w:rPr>
                <w:b/>
                <w:w w:val="120"/>
                <w:sz w:val="19"/>
              </w:rPr>
              <w:t>292.81</w:t>
            </w:r>
          </w:p>
        </w:tc>
        <w:tc>
          <w:tcPr>
            <w:tcW w:w="6812" w:type="dxa"/>
          </w:tcPr>
          <w:p w:rsidR="00E675F0" w:rsidRDefault="00E675F0" w:rsidP="00A330E1">
            <w:pPr>
              <w:pStyle w:val="TableParagraph"/>
              <w:spacing w:line="269" w:lineRule="exact"/>
              <w:ind w:left="125"/>
              <w:rPr>
                <w:sz w:val="20"/>
              </w:rPr>
            </w:pPr>
            <w:r>
              <w:rPr>
                <w:i/>
                <w:sz w:val="20"/>
              </w:rPr>
              <w:t xml:space="preserve">Specify </w:t>
            </w:r>
            <w:r>
              <w:rPr>
                <w:rFonts w:ascii="Arial"/>
                <w:i/>
                <w:sz w:val="26"/>
              </w:rPr>
              <w:t xml:space="preserve">if: </w:t>
            </w:r>
            <w:r>
              <w:rPr>
                <w:sz w:val="20"/>
              </w:rPr>
              <w:t>With Perceptual Disturbances</w:t>
            </w:r>
          </w:p>
          <w:p w:rsidR="00E675F0" w:rsidRDefault="00E675F0" w:rsidP="00A330E1">
            <w:pPr>
              <w:pStyle w:val="TableParagraph"/>
              <w:spacing w:line="220" w:lineRule="exact"/>
              <w:ind w:left="107"/>
              <w:rPr>
                <w:sz w:val="19"/>
              </w:rPr>
            </w:pPr>
            <w:r>
              <w:rPr>
                <w:b/>
                <w:w w:val="115"/>
                <w:sz w:val="20"/>
              </w:rPr>
              <w:t xml:space="preserve">Sedative, Hypnotic, or Anxiolytic Intoxication Delirium </w:t>
            </w:r>
            <w:r>
              <w:rPr>
                <w:w w:val="115"/>
                <w:sz w:val="20"/>
              </w:rPr>
              <w:t xml:space="preserve">(seep. </w:t>
            </w:r>
            <w:r>
              <w:rPr>
                <w:w w:val="115"/>
                <w:sz w:val="19"/>
              </w:rPr>
              <w:t>129)</w:t>
            </w:r>
          </w:p>
        </w:tc>
      </w:tr>
      <w:tr w:rsidR="00E675F0" w:rsidTr="00A330E1">
        <w:trPr>
          <w:trHeight w:val="245"/>
        </w:trPr>
        <w:tc>
          <w:tcPr>
            <w:tcW w:w="779" w:type="dxa"/>
          </w:tcPr>
          <w:p w:rsidR="00E675F0" w:rsidRDefault="00E675F0" w:rsidP="00A330E1">
            <w:pPr>
              <w:pStyle w:val="TableParagraph"/>
              <w:spacing w:before="16" w:line="209" w:lineRule="exact"/>
              <w:ind w:left="26" w:right="80"/>
              <w:jc w:val="center"/>
              <w:rPr>
                <w:b/>
                <w:sz w:val="19"/>
              </w:rPr>
            </w:pPr>
            <w:r>
              <w:rPr>
                <w:b/>
                <w:w w:val="115"/>
                <w:sz w:val="19"/>
              </w:rPr>
              <w:t>292.81</w:t>
            </w:r>
          </w:p>
        </w:tc>
        <w:tc>
          <w:tcPr>
            <w:tcW w:w="6812" w:type="dxa"/>
          </w:tcPr>
          <w:p w:rsidR="00E675F0" w:rsidRDefault="00E675F0" w:rsidP="00A330E1">
            <w:pPr>
              <w:pStyle w:val="TableParagraph"/>
              <w:spacing w:before="2" w:line="223" w:lineRule="exact"/>
              <w:ind w:left="107"/>
              <w:rPr>
                <w:sz w:val="19"/>
              </w:rPr>
            </w:pPr>
            <w:r>
              <w:rPr>
                <w:b/>
                <w:w w:val="110"/>
                <w:sz w:val="20"/>
              </w:rPr>
              <w:t xml:space="preserve">Sedative, Hypnotic, or Anxiolytic Withdrawal Delirium </w:t>
            </w:r>
            <w:r>
              <w:rPr>
                <w:w w:val="110"/>
                <w:sz w:val="20"/>
              </w:rPr>
              <w:t xml:space="preserve">(see p. </w:t>
            </w:r>
            <w:r>
              <w:rPr>
                <w:w w:val="110"/>
                <w:sz w:val="19"/>
              </w:rPr>
              <w:t>129)</w:t>
            </w:r>
          </w:p>
        </w:tc>
      </w:tr>
      <w:tr w:rsidR="00E675F0" w:rsidTr="00A330E1">
        <w:trPr>
          <w:trHeight w:val="245"/>
        </w:trPr>
        <w:tc>
          <w:tcPr>
            <w:tcW w:w="779" w:type="dxa"/>
          </w:tcPr>
          <w:p w:rsidR="00E675F0" w:rsidRDefault="00E675F0" w:rsidP="00A330E1">
            <w:pPr>
              <w:pStyle w:val="TableParagraph"/>
              <w:spacing w:before="16" w:line="209" w:lineRule="exact"/>
              <w:ind w:left="26" w:right="80"/>
              <w:jc w:val="center"/>
              <w:rPr>
                <w:b/>
                <w:sz w:val="19"/>
              </w:rPr>
            </w:pPr>
            <w:r>
              <w:rPr>
                <w:b/>
                <w:w w:val="115"/>
                <w:sz w:val="19"/>
              </w:rPr>
              <w:t>292.82</w:t>
            </w:r>
          </w:p>
        </w:tc>
        <w:tc>
          <w:tcPr>
            <w:tcW w:w="6812" w:type="dxa"/>
          </w:tcPr>
          <w:p w:rsidR="00E675F0" w:rsidRDefault="00E675F0" w:rsidP="00A330E1">
            <w:pPr>
              <w:pStyle w:val="TableParagraph"/>
              <w:spacing w:before="2" w:line="223" w:lineRule="exact"/>
              <w:ind w:left="111"/>
              <w:rPr>
                <w:b/>
                <w:sz w:val="20"/>
              </w:rPr>
            </w:pPr>
            <w:r>
              <w:rPr>
                <w:b/>
                <w:w w:val="110"/>
                <w:sz w:val="20"/>
              </w:rPr>
              <w:t>Sedative-, Hypnotic-, or Anxiolytic-Induced Persisting Dementia</w:t>
            </w:r>
          </w:p>
        </w:tc>
      </w:tr>
      <w:tr w:rsidR="00E675F0" w:rsidTr="00A330E1">
        <w:trPr>
          <w:trHeight w:val="243"/>
        </w:trPr>
        <w:tc>
          <w:tcPr>
            <w:tcW w:w="779" w:type="dxa"/>
          </w:tcPr>
          <w:p w:rsidR="00E675F0" w:rsidRDefault="00E675F0" w:rsidP="00A330E1">
            <w:pPr>
              <w:pStyle w:val="TableParagraph"/>
              <w:rPr>
                <w:sz w:val="16"/>
              </w:rPr>
            </w:pPr>
          </w:p>
        </w:tc>
        <w:tc>
          <w:tcPr>
            <w:tcW w:w="6812" w:type="dxa"/>
          </w:tcPr>
          <w:p w:rsidR="00E675F0" w:rsidRDefault="00E675F0" w:rsidP="00A330E1">
            <w:pPr>
              <w:pStyle w:val="TableParagraph"/>
              <w:spacing w:before="2" w:line="222" w:lineRule="exact"/>
              <w:ind w:left="114"/>
              <w:rPr>
                <w:sz w:val="19"/>
              </w:rPr>
            </w:pPr>
            <w:r>
              <w:rPr>
                <w:w w:val="120"/>
                <w:sz w:val="20"/>
              </w:rPr>
              <w:t xml:space="preserve">(seep. </w:t>
            </w:r>
            <w:r>
              <w:rPr>
                <w:w w:val="120"/>
                <w:sz w:val="19"/>
              </w:rPr>
              <w:t>152)</w:t>
            </w:r>
          </w:p>
        </w:tc>
      </w:tr>
      <w:tr w:rsidR="00E675F0" w:rsidTr="00A330E1">
        <w:trPr>
          <w:trHeight w:val="246"/>
        </w:trPr>
        <w:tc>
          <w:tcPr>
            <w:tcW w:w="779" w:type="dxa"/>
          </w:tcPr>
          <w:p w:rsidR="00E675F0" w:rsidRDefault="00E675F0" w:rsidP="00A330E1">
            <w:pPr>
              <w:pStyle w:val="TableParagraph"/>
              <w:spacing w:before="17" w:line="209" w:lineRule="exact"/>
              <w:ind w:left="26" w:right="80"/>
              <w:jc w:val="center"/>
              <w:rPr>
                <w:b/>
                <w:sz w:val="19"/>
              </w:rPr>
            </w:pPr>
            <w:r>
              <w:rPr>
                <w:b/>
                <w:w w:val="115"/>
                <w:sz w:val="19"/>
              </w:rPr>
              <w:t>292.83</w:t>
            </w:r>
          </w:p>
        </w:tc>
        <w:tc>
          <w:tcPr>
            <w:tcW w:w="6812" w:type="dxa"/>
          </w:tcPr>
          <w:p w:rsidR="00E675F0" w:rsidRDefault="00E675F0" w:rsidP="00A330E1">
            <w:pPr>
              <w:pStyle w:val="TableParagraph"/>
              <w:spacing w:before="3" w:line="223" w:lineRule="exact"/>
              <w:ind w:left="107"/>
              <w:rPr>
                <w:b/>
                <w:sz w:val="20"/>
              </w:rPr>
            </w:pPr>
            <w:r>
              <w:rPr>
                <w:b/>
                <w:w w:val="110"/>
                <w:sz w:val="20"/>
              </w:rPr>
              <w:t>Sedative-, Hypnotic-, or Anxiolytic-Induced Persisting Amnestic</w:t>
            </w:r>
          </w:p>
        </w:tc>
      </w:tr>
      <w:tr w:rsidR="00E675F0" w:rsidTr="00A330E1">
        <w:trPr>
          <w:trHeight w:val="241"/>
        </w:trPr>
        <w:tc>
          <w:tcPr>
            <w:tcW w:w="779" w:type="dxa"/>
          </w:tcPr>
          <w:p w:rsidR="00E675F0" w:rsidRDefault="00E675F0" w:rsidP="00A330E1">
            <w:pPr>
              <w:pStyle w:val="TableParagraph"/>
              <w:rPr>
                <w:sz w:val="16"/>
              </w:rPr>
            </w:pPr>
          </w:p>
        </w:tc>
        <w:tc>
          <w:tcPr>
            <w:tcW w:w="6812" w:type="dxa"/>
          </w:tcPr>
          <w:p w:rsidR="00E675F0" w:rsidRDefault="00E675F0" w:rsidP="00A330E1">
            <w:pPr>
              <w:pStyle w:val="TableParagraph"/>
              <w:spacing w:before="2" w:line="219" w:lineRule="exact"/>
              <w:ind w:left="114"/>
              <w:rPr>
                <w:sz w:val="19"/>
              </w:rPr>
            </w:pPr>
            <w:r>
              <w:rPr>
                <w:b/>
                <w:w w:val="110"/>
                <w:sz w:val="20"/>
              </w:rPr>
              <w:t xml:space="preserve">Disorder </w:t>
            </w:r>
            <w:r>
              <w:rPr>
                <w:w w:val="110"/>
                <w:sz w:val="20"/>
              </w:rPr>
              <w:t xml:space="preserve">(see p. </w:t>
            </w:r>
            <w:r>
              <w:rPr>
                <w:w w:val="110"/>
                <w:sz w:val="19"/>
              </w:rPr>
              <w:t>161)</w:t>
            </w:r>
          </w:p>
        </w:tc>
      </w:tr>
      <w:tr w:rsidR="00E675F0" w:rsidTr="00A330E1">
        <w:trPr>
          <w:trHeight w:val="248"/>
        </w:trPr>
        <w:tc>
          <w:tcPr>
            <w:tcW w:w="779" w:type="dxa"/>
          </w:tcPr>
          <w:p w:rsidR="00E675F0" w:rsidRDefault="00E675F0" w:rsidP="00A330E1">
            <w:pPr>
              <w:pStyle w:val="TableParagraph"/>
              <w:spacing w:before="20" w:line="209" w:lineRule="exact"/>
              <w:ind w:left="26" w:right="80"/>
              <w:jc w:val="center"/>
              <w:rPr>
                <w:b/>
                <w:sz w:val="19"/>
              </w:rPr>
            </w:pPr>
            <w:r>
              <w:rPr>
                <w:b/>
                <w:w w:val="115"/>
                <w:sz w:val="19"/>
              </w:rPr>
              <w:t>292.11</w:t>
            </w:r>
          </w:p>
        </w:tc>
        <w:tc>
          <w:tcPr>
            <w:tcW w:w="6812" w:type="dxa"/>
          </w:tcPr>
          <w:p w:rsidR="00E675F0" w:rsidRDefault="00E675F0" w:rsidP="00A330E1">
            <w:pPr>
              <w:pStyle w:val="TableParagraph"/>
              <w:spacing w:before="1" w:line="228" w:lineRule="exact"/>
              <w:ind w:left="107"/>
              <w:rPr>
                <w:b/>
                <w:sz w:val="20"/>
              </w:rPr>
            </w:pPr>
            <w:r>
              <w:rPr>
                <w:b/>
                <w:w w:val="110"/>
                <w:sz w:val="20"/>
              </w:rPr>
              <w:t>Sedative-, Hypnotic-, or Anxiolytic-Induced Psychotic Disorder,</w:t>
            </w:r>
          </w:p>
        </w:tc>
      </w:tr>
      <w:tr w:rsidR="00E675F0" w:rsidTr="00A330E1">
        <w:trPr>
          <w:trHeight w:val="494"/>
        </w:trPr>
        <w:tc>
          <w:tcPr>
            <w:tcW w:w="779" w:type="dxa"/>
          </w:tcPr>
          <w:p w:rsidR="00E675F0" w:rsidRDefault="00E675F0" w:rsidP="00A330E1">
            <w:pPr>
              <w:pStyle w:val="TableParagraph"/>
              <w:rPr>
                <w:sz w:val="20"/>
              </w:rPr>
            </w:pPr>
          </w:p>
        </w:tc>
        <w:tc>
          <w:tcPr>
            <w:tcW w:w="6812" w:type="dxa"/>
          </w:tcPr>
          <w:p w:rsidR="00E675F0" w:rsidRDefault="00E675F0" w:rsidP="00A330E1">
            <w:pPr>
              <w:pStyle w:val="TableParagraph"/>
              <w:spacing w:before="2" w:line="209" w:lineRule="exact"/>
              <w:ind w:left="105"/>
              <w:rPr>
                <w:sz w:val="20"/>
              </w:rPr>
            </w:pPr>
            <w:r>
              <w:rPr>
                <w:b/>
                <w:w w:val="110"/>
                <w:sz w:val="20"/>
              </w:rPr>
              <w:t xml:space="preserve">With Delusions </w:t>
            </w:r>
            <w:r>
              <w:rPr>
                <w:w w:val="110"/>
                <w:sz w:val="20"/>
              </w:rPr>
              <w:t>(see p. 310)</w:t>
            </w:r>
          </w:p>
          <w:p w:rsidR="00E675F0" w:rsidRDefault="00E675F0" w:rsidP="00A330E1">
            <w:pPr>
              <w:pStyle w:val="TableParagraph"/>
              <w:spacing w:line="264" w:lineRule="exact"/>
              <w:ind w:left="130"/>
              <w:rPr>
                <w:sz w:val="20"/>
              </w:rPr>
            </w:pPr>
            <w:r>
              <w:rPr>
                <w:i/>
                <w:w w:val="105"/>
                <w:sz w:val="20"/>
              </w:rPr>
              <w:t xml:space="preserve">Specify </w:t>
            </w:r>
            <w:r>
              <w:rPr>
                <w:rFonts w:ascii="Arial"/>
                <w:i/>
                <w:w w:val="105"/>
                <w:sz w:val="26"/>
              </w:rPr>
              <w:t xml:space="preserve">if: </w:t>
            </w:r>
            <w:r>
              <w:rPr>
                <w:w w:val="105"/>
                <w:sz w:val="20"/>
              </w:rPr>
              <w:t>With Onset During Intoxication/With Onset During Withdrawal</w:t>
            </w:r>
          </w:p>
        </w:tc>
      </w:tr>
      <w:tr w:rsidR="00E675F0" w:rsidTr="00A330E1">
        <w:trPr>
          <w:trHeight w:val="236"/>
        </w:trPr>
        <w:tc>
          <w:tcPr>
            <w:tcW w:w="779" w:type="dxa"/>
          </w:tcPr>
          <w:p w:rsidR="00E675F0" w:rsidRDefault="00E675F0" w:rsidP="00A330E1">
            <w:pPr>
              <w:pStyle w:val="TableParagraph"/>
              <w:spacing w:before="7" w:line="210" w:lineRule="exact"/>
              <w:ind w:left="26" w:right="80"/>
              <w:jc w:val="center"/>
              <w:rPr>
                <w:b/>
                <w:sz w:val="19"/>
              </w:rPr>
            </w:pPr>
            <w:r>
              <w:rPr>
                <w:b/>
                <w:w w:val="115"/>
                <w:sz w:val="19"/>
              </w:rPr>
              <w:t>292.12</w:t>
            </w:r>
          </w:p>
        </w:tc>
        <w:tc>
          <w:tcPr>
            <w:tcW w:w="6812" w:type="dxa"/>
          </w:tcPr>
          <w:p w:rsidR="00E675F0" w:rsidRDefault="00E675F0" w:rsidP="00A330E1">
            <w:pPr>
              <w:pStyle w:val="TableParagraph"/>
              <w:spacing w:line="217" w:lineRule="exact"/>
              <w:ind w:left="111"/>
              <w:rPr>
                <w:b/>
                <w:sz w:val="20"/>
              </w:rPr>
            </w:pPr>
            <w:r>
              <w:rPr>
                <w:b/>
                <w:w w:val="110"/>
                <w:sz w:val="20"/>
              </w:rPr>
              <w:t>Sedative-, Hypnotic-, or Anxiolytic-Induced Psychotic Disorder,</w:t>
            </w:r>
          </w:p>
        </w:tc>
      </w:tr>
      <w:tr w:rsidR="00E675F0" w:rsidTr="00A330E1">
        <w:trPr>
          <w:trHeight w:val="489"/>
        </w:trPr>
        <w:tc>
          <w:tcPr>
            <w:tcW w:w="779" w:type="dxa"/>
          </w:tcPr>
          <w:p w:rsidR="00E675F0" w:rsidRDefault="00E675F0" w:rsidP="00A330E1">
            <w:pPr>
              <w:pStyle w:val="TableParagraph"/>
              <w:rPr>
                <w:sz w:val="20"/>
              </w:rPr>
            </w:pPr>
          </w:p>
        </w:tc>
        <w:tc>
          <w:tcPr>
            <w:tcW w:w="6812" w:type="dxa"/>
          </w:tcPr>
          <w:p w:rsidR="00E675F0" w:rsidRDefault="00E675F0" w:rsidP="00A330E1">
            <w:pPr>
              <w:pStyle w:val="TableParagraph"/>
              <w:spacing w:before="1" w:line="207" w:lineRule="exact"/>
              <w:ind w:left="110"/>
              <w:rPr>
                <w:sz w:val="20"/>
              </w:rPr>
            </w:pPr>
            <w:r>
              <w:rPr>
                <w:b/>
                <w:w w:val="115"/>
                <w:sz w:val="20"/>
              </w:rPr>
              <w:t xml:space="preserve">With Hallucinations </w:t>
            </w:r>
            <w:r>
              <w:rPr>
                <w:w w:val="115"/>
                <w:sz w:val="20"/>
              </w:rPr>
              <w:t>(seep. 310)</w:t>
            </w:r>
          </w:p>
          <w:p w:rsidR="00E675F0" w:rsidRDefault="00E675F0" w:rsidP="00A330E1">
            <w:pPr>
              <w:pStyle w:val="TableParagraph"/>
              <w:spacing w:line="261" w:lineRule="exact"/>
              <w:ind w:left="130"/>
              <w:rPr>
                <w:sz w:val="20"/>
              </w:rPr>
            </w:pPr>
            <w:r>
              <w:rPr>
                <w:i/>
                <w:w w:val="105"/>
                <w:sz w:val="20"/>
              </w:rPr>
              <w:t xml:space="preserve">Specify </w:t>
            </w:r>
            <w:r>
              <w:rPr>
                <w:rFonts w:ascii="Arial"/>
                <w:i/>
                <w:w w:val="105"/>
                <w:sz w:val="26"/>
              </w:rPr>
              <w:t xml:space="preserve">if: </w:t>
            </w:r>
            <w:r>
              <w:rPr>
                <w:w w:val="105"/>
                <w:sz w:val="20"/>
              </w:rPr>
              <w:t>With Onset During Intoxication/With Onset During Withdrawal</w:t>
            </w:r>
          </w:p>
        </w:tc>
      </w:tr>
      <w:tr w:rsidR="00E675F0" w:rsidTr="00A330E1">
        <w:trPr>
          <w:trHeight w:val="490"/>
        </w:trPr>
        <w:tc>
          <w:tcPr>
            <w:tcW w:w="779" w:type="dxa"/>
          </w:tcPr>
          <w:p w:rsidR="00E675F0" w:rsidRDefault="00E675F0" w:rsidP="00A330E1">
            <w:pPr>
              <w:pStyle w:val="TableParagraph"/>
              <w:spacing w:before="11"/>
              <w:ind w:left="26" w:right="75"/>
              <w:jc w:val="center"/>
              <w:rPr>
                <w:b/>
                <w:sz w:val="19"/>
              </w:rPr>
            </w:pPr>
            <w:r>
              <w:rPr>
                <w:b/>
                <w:w w:val="120"/>
                <w:sz w:val="19"/>
              </w:rPr>
              <w:t>292.84</w:t>
            </w:r>
          </w:p>
        </w:tc>
        <w:tc>
          <w:tcPr>
            <w:tcW w:w="6812" w:type="dxa"/>
          </w:tcPr>
          <w:p w:rsidR="00E675F0" w:rsidRDefault="00E675F0" w:rsidP="00A330E1">
            <w:pPr>
              <w:pStyle w:val="TableParagraph"/>
              <w:spacing w:line="206" w:lineRule="exact"/>
              <w:ind w:left="111"/>
              <w:rPr>
                <w:sz w:val="20"/>
              </w:rPr>
            </w:pPr>
            <w:r>
              <w:rPr>
                <w:b/>
                <w:w w:val="110"/>
                <w:sz w:val="20"/>
              </w:rPr>
              <w:t xml:space="preserve">Sedative-, Hypnotic-, or Anxiolytic-Induced Mood Disorder </w:t>
            </w:r>
            <w:r>
              <w:rPr>
                <w:w w:val="110"/>
                <w:sz w:val="20"/>
              </w:rPr>
              <w:t>(see p. 370)</w:t>
            </w:r>
          </w:p>
          <w:p w:rsidR="00E675F0" w:rsidRDefault="00E675F0" w:rsidP="00A330E1">
            <w:pPr>
              <w:pStyle w:val="TableParagraph"/>
              <w:spacing w:line="264" w:lineRule="exact"/>
              <w:ind w:left="130"/>
              <w:rPr>
                <w:sz w:val="20"/>
              </w:rPr>
            </w:pPr>
            <w:r>
              <w:rPr>
                <w:i/>
                <w:w w:val="105"/>
                <w:sz w:val="20"/>
              </w:rPr>
              <w:t xml:space="preserve">Specify </w:t>
            </w:r>
            <w:r>
              <w:rPr>
                <w:rFonts w:ascii="Arial"/>
                <w:i/>
                <w:w w:val="105"/>
                <w:sz w:val="26"/>
              </w:rPr>
              <w:t xml:space="preserve">if: </w:t>
            </w:r>
            <w:r>
              <w:rPr>
                <w:w w:val="105"/>
                <w:sz w:val="20"/>
              </w:rPr>
              <w:t>With Onset During Intoxication/With Onset During Withdrawal</w:t>
            </w:r>
          </w:p>
        </w:tc>
      </w:tr>
      <w:tr w:rsidR="00E675F0" w:rsidTr="00A330E1">
        <w:trPr>
          <w:trHeight w:val="487"/>
        </w:trPr>
        <w:tc>
          <w:tcPr>
            <w:tcW w:w="779" w:type="dxa"/>
          </w:tcPr>
          <w:p w:rsidR="00E675F0" w:rsidRDefault="00E675F0" w:rsidP="00A330E1">
            <w:pPr>
              <w:pStyle w:val="TableParagraph"/>
              <w:spacing w:before="11"/>
              <w:ind w:left="26" w:right="75"/>
              <w:jc w:val="center"/>
              <w:rPr>
                <w:b/>
                <w:sz w:val="19"/>
              </w:rPr>
            </w:pPr>
            <w:r>
              <w:rPr>
                <w:b/>
                <w:w w:val="120"/>
                <w:sz w:val="19"/>
              </w:rPr>
              <w:t>292.89</w:t>
            </w:r>
          </w:p>
        </w:tc>
        <w:tc>
          <w:tcPr>
            <w:tcW w:w="6812" w:type="dxa"/>
          </w:tcPr>
          <w:p w:rsidR="00E675F0" w:rsidRDefault="00E675F0" w:rsidP="00A330E1">
            <w:pPr>
              <w:pStyle w:val="TableParagraph"/>
              <w:spacing w:line="206" w:lineRule="exact"/>
              <w:ind w:left="116"/>
              <w:rPr>
                <w:b/>
                <w:sz w:val="20"/>
              </w:rPr>
            </w:pPr>
            <w:r>
              <w:rPr>
                <w:b/>
                <w:w w:val="110"/>
                <w:sz w:val="20"/>
              </w:rPr>
              <w:t>Sedative-, Hypnotic-, or Anxiolytic-Induced Anxiety Disorder</w:t>
            </w:r>
          </w:p>
          <w:p w:rsidR="00E675F0" w:rsidRDefault="00E675F0" w:rsidP="00A330E1">
            <w:pPr>
              <w:pStyle w:val="TableParagraph"/>
              <w:spacing w:line="261" w:lineRule="exact"/>
              <w:ind w:left="114"/>
              <w:rPr>
                <w:sz w:val="20"/>
              </w:rPr>
            </w:pPr>
            <w:r>
              <w:rPr>
                <w:w w:val="105"/>
                <w:sz w:val="20"/>
              </w:rPr>
              <w:t xml:space="preserve">(see p. 439) </w:t>
            </w:r>
            <w:r>
              <w:rPr>
                <w:i/>
                <w:w w:val="105"/>
                <w:sz w:val="20"/>
              </w:rPr>
              <w:t xml:space="preserve">Specify </w:t>
            </w:r>
            <w:r>
              <w:rPr>
                <w:rFonts w:ascii="Arial"/>
                <w:i/>
                <w:w w:val="105"/>
                <w:sz w:val="26"/>
              </w:rPr>
              <w:t xml:space="preserve">if: </w:t>
            </w:r>
            <w:r>
              <w:rPr>
                <w:w w:val="105"/>
                <w:sz w:val="20"/>
              </w:rPr>
              <w:t>With Onset During Withdrawal</w:t>
            </w:r>
          </w:p>
        </w:tc>
      </w:tr>
      <w:tr w:rsidR="00E675F0" w:rsidTr="00A330E1">
        <w:trPr>
          <w:trHeight w:val="490"/>
        </w:trPr>
        <w:tc>
          <w:tcPr>
            <w:tcW w:w="779" w:type="dxa"/>
          </w:tcPr>
          <w:p w:rsidR="00E675F0" w:rsidRDefault="00E675F0" w:rsidP="00A330E1">
            <w:pPr>
              <w:pStyle w:val="TableParagraph"/>
              <w:spacing w:before="14"/>
              <w:ind w:left="26" w:right="80"/>
              <w:jc w:val="center"/>
              <w:rPr>
                <w:b/>
                <w:sz w:val="19"/>
              </w:rPr>
            </w:pPr>
            <w:r>
              <w:rPr>
                <w:b/>
                <w:w w:val="115"/>
                <w:sz w:val="19"/>
              </w:rPr>
              <w:t>292.89</w:t>
            </w:r>
          </w:p>
        </w:tc>
        <w:tc>
          <w:tcPr>
            <w:tcW w:w="6812" w:type="dxa"/>
          </w:tcPr>
          <w:p w:rsidR="00E675F0" w:rsidRDefault="00E675F0" w:rsidP="00A330E1">
            <w:pPr>
              <w:pStyle w:val="TableParagraph"/>
              <w:spacing w:line="206" w:lineRule="exact"/>
              <w:ind w:left="111"/>
              <w:rPr>
                <w:b/>
                <w:sz w:val="20"/>
              </w:rPr>
            </w:pPr>
            <w:r>
              <w:rPr>
                <w:b/>
                <w:w w:val="110"/>
                <w:sz w:val="20"/>
              </w:rPr>
              <w:t>Sedative-, Hypnotic-, or Anxiolytic-Induced Sexual Dysfunction</w:t>
            </w:r>
          </w:p>
          <w:p w:rsidR="00E675F0" w:rsidRDefault="00E675F0" w:rsidP="00A330E1">
            <w:pPr>
              <w:pStyle w:val="TableParagraph"/>
              <w:spacing w:line="264" w:lineRule="exact"/>
              <w:ind w:left="114"/>
              <w:rPr>
                <w:sz w:val="20"/>
              </w:rPr>
            </w:pPr>
            <w:r>
              <w:rPr>
                <w:w w:val="105"/>
                <w:sz w:val="20"/>
              </w:rPr>
              <w:t xml:space="preserve">(see p. </w:t>
            </w:r>
            <w:r>
              <w:rPr>
                <w:w w:val="105"/>
                <w:sz w:val="19"/>
              </w:rPr>
              <w:t xml:space="preserve">519) </w:t>
            </w:r>
            <w:r>
              <w:rPr>
                <w:i/>
                <w:w w:val="105"/>
                <w:sz w:val="20"/>
              </w:rPr>
              <w:t xml:space="preserve">Specify </w:t>
            </w:r>
            <w:r>
              <w:rPr>
                <w:rFonts w:ascii="Arial"/>
                <w:i/>
                <w:w w:val="105"/>
                <w:sz w:val="26"/>
              </w:rPr>
              <w:t xml:space="preserve">if: </w:t>
            </w:r>
            <w:r>
              <w:rPr>
                <w:w w:val="105"/>
                <w:sz w:val="20"/>
              </w:rPr>
              <w:t>With Onset During Intoxication</w:t>
            </w:r>
          </w:p>
        </w:tc>
      </w:tr>
      <w:tr w:rsidR="00E675F0" w:rsidTr="00A330E1">
        <w:trPr>
          <w:trHeight w:val="610"/>
        </w:trPr>
        <w:tc>
          <w:tcPr>
            <w:tcW w:w="779" w:type="dxa"/>
          </w:tcPr>
          <w:p w:rsidR="00E675F0" w:rsidRDefault="00E675F0" w:rsidP="00A330E1">
            <w:pPr>
              <w:pStyle w:val="TableParagraph"/>
              <w:spacing w:before="14"/>
              <w:ind w:left="26" w:right="75"/>
              <w:jc w:val="center"/>
              <w:rPr>
                <w:b/>
                <w:sz w:val="19"/>
              </w:rPr>
            </w:pPr>
            <w:r>
              <w:rPr>
                <w:b/>
                <w:w w:val="120"/>
                <w:sz w:val="19"/>
              </w:rPr>
              <w:t>292.89</w:t>
            </w:r>
          </w:p>
        </w:tc>
        <w:tc>
          <w:tcPr>
            <w:tcW w:w="6812" w:type="dxa"/>
          </w:tcPr>
          <w:p w:rsidR="00E675F0" w:rsidRDefault="00E675F0" w:rsidP="00A330E1">
            <w:pPr>
              <w:pStyle w:val="TableParagraph"/>
              <w:spacing w:line="206" w:lineRule="exact"/>
              <w:ind w:left="116"/>
              <w:rPr>
                <w:sz w:val="20"/>
              </w:rPr>
            </w:pPr>
            <w:r>
              <w:rPr>
                <w:b/>
                <w:w w:val="110"/>
                <w:sz w:val="20"/>
              </w:rPr>
              <w:t xml:space="preserve">Sedative-, Hypnotic-, or Anxiolytic-Induced Sleep Disorder </w:t>
            </w:r>
            <w:r>
              <w:rPr>
                <w:w w:val="110"/>
                <w:sz w:val="20"/>
              </w:rPr>
              <w:t>(seep. 601)</w:t>
            </w:r>
          </w:p>
          <w:p w:rsidR="00E675F0" w:rsidRDefault="00E675F0" w:rsidP="00A330E1">
            <w:pPr>
              <w:pStyle w:val="TableParagraph"/>
              <w:spacing w:line="280" w:lineRule="exact"/>
              <w:ind w:left="135"/>
              <w:rPr>
                <w:sz w:val="20"/>
              </w:rPr>
            </w:pPr>
            <w:r>
              <w:rPr>
                <w:i/>
                <w:w w:val="105"/>
                <w:sz w:val="20"/>
              </w:rPr>
              <w:t xml:space="preserve">Specify </w:t>
            </w:r>
            <w:r>
              <w:rPr>
                <w:rFonts w:ascii="Arial"/>
                <w:i/>
                <w:w w:val="105"/>
                <w:sz w:val="26"/>
              </w:rPr>
              <w:t xml:space="preserve">if: </w:t>
            </w:r>
            <w:r>
              <w:rPr>
                <w:w w:val="105"/>
                <w:sz w:val="20"/>
              </w:rPr>
              <w:t>With Onset During Intoxication/With Onset During Withdrawal</w:t>
            </w:r>
          </w:p>
        </w:tc>
      </w:tr>
      <w:tr w:rsidR="00E675F0" w:rsidTr="00A330E1">
        <w:trPr>
          <w:trHeight w:val="355"/>
        </w:trPr>
        <w:tc>
          <w:tcPr>
            <w:tcW w:w="779" w:type="dxa"/>
          </w:tcPr>
          <w:p w:rsidR="00E675F0" w:rsidRDefault="00E675F0" w:rsidP="00A330E1">
            <w:pPr>
              <w:pStyle w:val="TableParagraph"/>
              <w:spacing w:before="134" w:line="202" w:lineRule="exact"/>
              <w:ind w:left="26" w:right="182"/>
              <w:jc w:val="center"/>
              <w:rPr>
                <w:b/>
                <w:sz w:val="19"/>
              </w:rPr>
            </w:pPr>
            <w:r>
              <w:rPr>
                <w:b/>
                <w:w w:val="115"/>
                <w:sz w:val="19"/>
              </w:rPr>
              <w:t>292.9</w:t>
            </w:r>
          </w:p>
        </w:tc>
        <w:tc>
          <w:tcPr>
            <w:tcW w:w="6812" w:type="dxa"/>
          </w:tcPr>
          <w:p w:rsidR="00E675F0" w:rsidRDefault="00E675F0" w:rsidP="00A330E1">
            <w:pPr>
              <w:pStyle w:val="TableParagraph"/>
              <w:spacing w:before="115" w:line="221" w:lineRule="exact"/>
              <w:ind w:left="116"/>
              <w:rPr>
                <w:b/>
                <w:sz w:val="20"/>
              </w:rPr>
            </w:pPr>
            <w:r>
              <w:rPr>
                <w:b/>
                <w:w w:val="110"/>
                <w:sz w:val="20"/>
              </w:rPr>
              <w:t>Sedative-, Hypnotic-, or Anxiolytic-Related Disorder</w:t>
            </w:r>
          </w:p>
        </w:tc>
      </w:tr>
      <w:tr w:rsidR="00E675F0" w:rsidTr="00A330E1">
        <w:trPr>
          <w:trHeight w:val="224"/>
        </w:trPr>
        <w:tc>
          <w:tcPr>
            <w:tcW w:w="779" w:type="dxa"/>
          </w:tcPr>
          <w:p w:rsidR="00E675F0" w:rsidRDefault="00E675F0" w:rsidP="00A330E1">
            <w:pPr>
              <w:pStyle w:val="TableParagraph"/>
              <w:rPr>
                <w:sz w:val="16"/>
              </w:rPr>
            </w:pPr>
          </w:p>
        </w:tc>
        <w:tc>
          <w:tcPr>
            <w:tcW w:w="6812" w:type="dxa"/>
          </w:tcPr>
          <w:p w:rsidR="00E675F0" w:rsidRDefault="00E675F0" w:rsidP="00A330E1">
            <w:pPr>
              <w:pStyle w:val="TableParagraph"/>
              <w:spacing w:line="205" w:lineRule="exact"/>
              <w:ind w:left="119"/>
              <w:rPr>
                <w:sz w:val="20"/>
              </w:rPr>
            </w:pPr>
            <w:r>
              <w:rPr>
                <w:b/>
                <w:w w:val="110"/>
                <w:sz w:val="20"/>
              </w:rPr>
              <w:t xml:space="preserve">Not Otherwise Specified </w:t>
            </w:r>
            <w:r>
              <w:rPr>
                <w:w w:val="110"/>
                <w:sz w:val="20"/>
              </w:rPr>
              <w:t>(see p. 269)</w:t>
            </w:r>
          </w:p>
        </w:tc>
      </w:tr>
    </w:tbl>
    <w:p w:rsidR="00E675F0" w:rsidRDefault="00E675F0" w:rsidP="00E675F0">
      <w:pPr>
        <w:pStyle w:val="BodyText"/>
        <w:rPr>
          <w:rFonts w:ascii="TimesNewRomanPS-BoldItalicMT"/>
          <w:b/>
          <w:i/>
          <w:sz w:val="26"/>
        </w:rPr>
      </w:pPr>
    </w:p>
    <w:p w:rsidR="00E675F0" w:rsidRDefault="00E675F0" w:rsidP="00E675F0">
      <w:pPr>
        <w:pStyle w:val="BodyText"/>
        <w:spacing w:before="9"/>
        <w:rPr>
          <w:rFonts w:ascii="TimesNewRomanPS-BoldItalicMT"/>
          <w:b/>
          <w:i/>
          <w:sz w:val="24"/>
        </w:rPr>
      </w:pPr>
    </w:p>
    <w:p w:rsidR="00E675F0" w:rsidRDefault="00E675F0" w:rsidP="00E675F0">
      <w:pPr>
        <w:ind w:left="2214" w:right="1122" w:firstLine="211"/>
        <w:rPr>
          <w:rFonts w:ascii="TimesNewRomanPS-BoldItalicMT"/>
          <w:b/>
          <w:i/>
          <w:sz w:val="28"/>
        </w:rPr>
      </w:pPr>
      <w:r>
        <w:rPr>
          <w:rFonts w:ascii="TimesNewRomanPS-BoldItalicMT"/>
          <w:b/>
          <w:i/>
          <w:w w:val="115"/>
          <w:sz w:val="28"/>
        </w:rPr>
        <w:t>Sedative, Hypnotic, or Anxiolytic Use Disorders</w:t>
      </w:r>
    </w:p>
    <w:p w:rsidR="00E675F0" w:rsidRDefault="00E675F0" w:rsidP="00E675F0">
      <w:pPr>
        <w:pStyle w:val="BodyText"/>
        <w:spacing w:before="3"/>
        <w:rPr>
          <w:rFonts w:ascii="TimesNewRomanPS-BoldItalicMT"/>
          <w:b/>
          <w:i/>
          <w:sz w:val="41"/>
        </w:rPr>
      </w:pPr>
    </w:p>
    <w:p w:rsidR="00E675F0" w:rsidRDefault="00E675F0" w:rsidP="00E675F0">
      <w:pPr>
        <w:tabs>
          <w:tab w:val="left" w:pos="1563"/>
        </w:tabs>
        <w:ind w:left="490"/>
        <w:rPr>
          <w:rFonts w:ascii="Arial"/>
          <w:b/>
          <w:sz w:val="26"/>
        </w:rPr>
      </w:pPr>
      <w:r>
        <w:rPr>
          <w:rFonts w:ascii="Arial"/>
          <w:b/>
          <w:sz w:val="26"/>
        </w:rPr>
        <w:t>304.10</w:t>
      </w:r>
      <w:r>
        <w:rPr>
          <w:rFonts w:ascii="Arial"/>
          <w:b/>
          <w:sz w:val="26"/>
        </w:rPr>
        <w:tab/>
        <w:t>Sedative, Hypnotic, or Anxiolytic</w:t>
      </w:r>
      <w:r>
        <w:rPr>
          <w:rFonts w:ascii="Arial"/>
          <w:b/>
          <w:spacing w:val="50"/>
          <w:sz w:val="26"/>
        </w:rPr>
        <w:t xml:space="preserve"> </w:t>
      </w:r>
      <w:r>
        <w:rPr>
          <w:rFonts w:ascii="Arial"/>
          <w:b/>
          <w:sz w:val="26"/>
        </w:rPr>
        <w:t>Dependence</w:t>
      </w:r>
    </w:p>
    <w:p w:rsidR="00E675F0" w:rsidRDefault="00E675F0" w:rsidP="00E675F0">
      <w:pPr>
        <w:pStyle w:val="BodyText"/>
        <w:spacing w:before="10"/>
        <w:rPr>
          <w:rFonts w:ascii="Arial"/>
          <w:b/>
          <w:sz w:val="22"/>
        </w:rPr>
      </w:pPr>
    </w:p>
    <w:p w:rsidR="00E675F0" w:rsidRDefault="00E675F0" w:rsidP="00E675F0">
      <w:pPr>
        <w:pStyle w:val="BodyText"/>
        <w:spacing w:line="254" w:lineRule="auto"/>
        <w:ind w:left="170" w:right="157"/>
        <w:jc w:val="both"/>
      </w:pPr>
      <w:r>
        <w:rPr>
          <w:w w:val="110"/>
        </w:rPr>
        <w:t>Also</w:t>
      </w:r>
      <w:r>
        <w:rPr>
          <w:spacing w:val="-29"/>
          <w:w w:val="110"/>
        </w:rPr>
        <w:t xml:space="preserve"> </w:t>
      </w:r>
      <w:r>
        <w:rPr>
          <w:w w:val="110"/>
        </w:rPr>
        <w:t>refer</w:t>
      </w:r>
      <w:r>
        <w:rPr>
          <w:spacing w:val="-31"/>
          <w:w w:val="110"/>
        </w:rPr>
        <w:t xml:space="preserve"> </w:t>
      </w:r>
      <w:r>
        <w:rPr>
          <w:w w:val="110"/>
        </w:rPr>
        <w:t>to</w:t>
      </w:r>
      <w:r>
        <w:rPr>
          <w:spacing w:val="-26"/>
          <w:w w:val="110"/>
        </w:rPr>
        <w:t xml:space="preserve"> </w:t>
      </w:r>
      <w:r>
        <w:rPr>
          <w:w w:val="110"/>
        </w:rPr>
        <w:t>the</w:t>
      </w:r>
      <w:r>
        <w:rPr>
          <w:spacing w:val="-29"/>
          <w:w w:val="110"/>
        </w:rPr>
        <w:t xml:space="preserve"> </w:t>
      </w:r>
      <w:r>
        <w:rPr>
          <w:w w:val="110"/>
        </w:rPr>
        <w:t>text</w:t>
      </w:r>
      <w:r>
        <w:rPr>
          <w:spacing w:val="-30"/>
          <w:w w:val="110"/>
        </w:rPr>
        <w:t xml:space="preserve"> </w:t>
      </w:r>
      <w:r>
        <w:rPr>
          <w:w w:val="110"/>
        </w:rPr>
        <w:t>and</w:t>
      </w:r>
      <w:r>
        <w:rPr>
          <w:spacing w:val="-29"/>
          <w:w w:val="110"/>
        </w:rPr>
        <w:t xml:space="preserve"> </w:t>
      </w:r>
      <w:r>
        <w:rPr>
          <w:w w:val="110"/>
        </w:rPr>
        <w:t>criteria</w:t>
      </w:r>
      <w:r>
        <w:rPr>
          <w:spacing w:val="-24"/>
          <w:w w:val="110"/>
        </w:rPr>
        <w:t xml:space="preserve"> </w:t>
      </w:r>
      <w:r>
        <w:rPr>
          <w:w w:val="110"/>
        </w:rPr>
        <w:t>for</w:t>
      </w:r>
      <w:r>
        <w:rPr>
          <w:spacing w:val="-33"/>
          <w:w w:val="110"/>
        </w:rPr>
        <w:t xml:space="preserve"> </w:t>
      </w:r>
      <w:r>
        <w:rPr>
          <w:w w:val="110"/>
        </w:rPr>
        <w:t>Substance</w:t>
      </w:r>
      <w:r>
        <w:rPr>
          <w:spacing w:val="-19"/>
          <w:w w:val="110"/>
        </w:rPr>
        <w:t xml:space="preserve"> </w:t>
      </w:r>
      <w:r>
        <w:rPr>
          <w:w w:val="110"/>
        </w:rPr>
        <w:t>Dependence</w:t>
      </w:r>
      <w:r>
        <w:rPr>
          <w:spacing w:val="-24"/>
          <w:w w:val="110"/>
        </w:rPr>
        <w:t xml:space="preserve"> </w:t>
      </w:r>
      <w:r>
        <w:rPr>
          <w:w w:val="110"/>
        </w:rPr>
        <w:t>(seep.</w:t>
      </w:r>
      <w:r>
        <w:rPr>
          <w:spacing w:val="-32"/>
          <w:w w:val="110"/>
        </w:rPr>
        <w:t xml:space="preserve"> </w:t>
      </w:r>
      <w:r>
        <w:rPr>
          <w:w w:val="110"/>
          <w:sz w:val="19"/>
        </w:rPr>
        <w:t>176).</w:t>
      </w:r>
      <w:r>
        <w:rPr>
          <w:spacing w:val="-27"/>
          <w:w w:val="110"/>
          <w:sz w:val="19"/>
        </w:rPr>
        <w:t xml:space="preserve"> </w:t>
      </w:r>
      <w:r>
        <w:rPr>
          <w:w w:val="110"/>
        </w:rPr>
        <w:t>Very</w:t>
      </w:r>
      <w:r>
        <w:rPr>
          <w:spacing w:val="-34"/>
          <w:w w:val="110"/>
        </w:rPr>
        <w:t xml:space="preserve"> </w:t>
      </w:r>
      <w:r>
        <w:rPr>
          <w:w w:val="110"/>
        </w:rPr>
        <w:t>significant levels of physiological dependence, marked by both tolerance and withdrawal, can develop to the sedatives, hypnotics, and anxiolytics. The timing and severity of the withdrawal</w:t>
      </w:r>
      <w:r>
        <w:rPr>
          <w:spacing w:val="-3"/>
          <w:w w:val="110"/>
        </w:rPr>
        <w:t xml:space="preserve"> </w:t>
      </w:r>
      <w:r>
        <w:rPr>
          <w:w w:val="110"/>
        </w:rPr>
        <w:t>syndrome</w:t>
      </w:r>
      <w:r>
        <w:rPr>
          <w:spacing w:val="1"/>
          <w:w w:val="110"/>
        </w:rPr>
        <w:t xml:space="preserve"> </w:t>
      </w:r>
      <w:r>
        <w:rPr>
          <w:w w:val="110"/>
        </w:rPr>
        <w:t>will</w:t>
      </w:r>
      <w:r>
        <w:rPr>
          <w:spacing w:val="-5"/>
          <w:w w:val="110"/>
        </w:rPr>
        <w:t xml:space="preserve"> </w:t>
      </w:r>
      <w:r>
        <w:rPr>
          <w:w w:val="110"/>
        </w:rPr>
        <w:t>differ</w:t>
      </w:r>
      <w:r>
        <w:rPr>
          <w:spacing w:val="-4"/>
          <w:w w:val="110"/>
        </w:rPr>
        <w:t xml:space="preserve"> </w:t>
      </w:r>
      <w:r>
        <w:rPr>
          <w:w w:val="110"/>
        </w:rPr>
        <w:t>depending</w:t>
      </w:r>
      <w:r>
        <w:rPr>
          <w:spacing w:val="-2"/>
          <w:w w:val="110"/>
        </w:rPr>
        <w:t xml:space="preserve"> </w:t>
      </w:r>
      <w:r>
        <w:rPr>
          <w:w w:val="110"/>
        </w:rPr>
        <w:t>on</w:t>
      </w:r>
      <w:r>
        <w:rPr>
          <w:spacing w:val="-4"/>
          <w:w w:val="110"/>
        </w:rPr>
        <w:t xml:space="preserve"> </w:t>
      </w:r>
      <w:r>
        <w:rPr>
          <w:w w:val="110"/>
        </w:rPr>
        <w:t>the</w:t>
      </w:r>
      <w:r>
        <w:rPr>
          <w:spacing w:val="-11"/>
          <w:w w:val="110"/>
        </w:rPr>
        <w:t xml:space="preserve"> </w:t>
      </w:r>
      <w:r>
        <w:rPr>
          <w:w w:val="110"/>
        </w:rPr>
        <w:t>specific</w:t>
      </w:r>
      <w:r>
        <w:rPr>
          <w:spacing w:val="-6"/>
          <w:w w:val="110"/>
        </w:rPr>
        <w:t xml:space="preserve"> </w:t>
      </w:r>
      <w:r>
        <w:rPr>
          <w:w w:val="110"/>
        </w:rPr>
        <w:t>substance</w:t>
      </w:r>
      <w:r>
        <w:rPr>
          <w:spacing w:val="-1"/>
          <w:w w:val="110"/>
        </w:rPr>
        <w:t xml:space="preserve"> </w:t>
      </w:r>
      <w:r>
        <w:rPr>
          <w:w w:val="110"/>
        </w:rPr>
        <w:t>and</w:t>
      </w:r>
      <w:r>
        <w:rPr>
          <w:spacing w:val="-5"/>
          <w:w w:val="110"/>
        </w:rPr>
        <w:t xml:space="preserve"> </w:t>
      </w:r>
      <w:r>
        <w:rPr>
          <w:w w:val="110"/>
        </w:rPr>
        <w:t>its</w:t>
      </w:r>
      <w:r>
        <w:rPr>
          <w:spacing w:val="-4"/>
          <w:w w:val="110"/>
        </w:rPr>
        <w:t xml:space="preserve"> </w:t>
      </w:r>
      <w:r>
        <w:rPr>
          <w:w w:val="110"/>
        </w:rPr>
        <w:t>pharma­ cokinetics</w:t>
      </w:r>
      <w:r>
        <w:rPr>
          <w:spacing w:val="-6"/>
          <w:w w:val="110"/>
        </w:rPr>
        <w:t xml:space="preserve"> </w:t>
      </w:r>
      <w:r>
        <w:rPr>
          <w:w w:val="110"/>
        </w:rPr>
        <w:t>and</w:t>
      </w:r>
      <w:r>
        <w:rPr>
          <w:spacing w:val="5"/>
          <w:w w:val="110"/>
        </w:rPr>
        <w:t xml:space="preserve"> </w:t>
      </w:r>
      <w:r>
        <w:rPr>
          <w:w w:val="110"/>
        </w:rPr>
        <w:t>pharmacodynamics.</w:t>
      </w:r>
      <w:r>
        <w:rPr>
          <w:spacing w:val="-15"/>
          <w:w w:val="110"/>
        </w:rPr>
        <w:t xml:space="preserve"> </w:t>
      </w:r>
      <w:r>
        <w:rPr>
          <w:w w:val="110"/>
        </w:rPr>
        <w:t>For</w:t>
      </w:r>
      <w:r>
        <w:rPr>
          <w:spacing w:val="-14"/>
          <w:w w:val="110"/>
        </w:rPr>
        <w:t xml:space="preserve"> </w:t>
      </w:r>
      <w:r>
        <w:rPr>
          <w:w w:val="110"/>
        </w:rPr>
        <w:t>example,</w:t>
      </w:r>
      <w:r>
        <w:rPr>
          <w:spacing w:val="-9"/>
          <w:w w:val="110"/>
        </w:rPr>
        <w:t xml:space="preserve"> </w:t>
      </w:r>
      <w:r>
        <w:rPr>
          <w:w w:val="110"/>
        </w:rPr>
        <w:t>withdrawal</w:t>
      </w:r>
      <w:r>
        <w:rPr>
          <w:spacing w:val="-8"/>
          <w:w w:val="110"/>
        </w:rPr>
        <w:t xml:space="preserve"> </w:t>
      </w:r>
      <w:r>
        <w:rPr>
          <w:w w:val="110"/>
        </w:rPr>
        <w:t>from</w:t>
      </w:r>
      <w:r>
        <w:rPr>
          <w:spacing w:val="-12"/>
          <w:w w:val="110"/>
        </w:rPr>
        <w:t xml:space="preserve"> </w:t>
      </w:r>
      <w:r>
        <w:rPr>
          <w:w w:val="110"/>
        </w:rPr>
        <w:t>shorter-acting</w:t>
      </w:r>
      <w:r>
        <w:rPr>
          <w:spacing w:val="-17"/>
          <w:w w:val="110"/>
        </w:rPr>
        <w:t xml:space="preserve"> </w:t>
      </w:r>
      <w:r>
        <w:rPr>
          <w:w w:val="110"/>
        </w:rPr>
        <w:t>sub­ stances that are rapidly absorbed and that have no active metabolites (e.g., triazolam) can</w:t>
      </w:r>
      <w:r>
        <w:rPr>
          <w:spacing w:val="-20"/>
          <w:w w:val="110"/>
        </w:rPr>
        <w:t xml:space="preserve"> </w:t>
      </w:r>
      <w:r>
        <w:rPr>
          <w:w w:val="110"/>
        </w:rPr>
        <w:t>begin</w:t>
      </w:r>
      <w:r>
        <w:rPr>
          <w:spacing w:val="-16"/>
          <w:w w:val="110"/>
        </w:rPr>
        <w:t xml:space="preserve"> </w:t>
      </w:r>
      <w:r>
        <w:rPr>
          <w:w w:val="110"/>
        </w:rPr>
        <w:t>within</w:t>
      </w:r>
      <w:r>
        <w:rPr>
          <w:spacing w:val="-15"/>
          <w:w w:val="110"/>
        </w:rPr>
        <w:t xml:space="preserve"> </w:t>
      </w:r>
      <w:r>
        <w:rPr>
          <w:w w:val="110"/>
        </w:rPr>
        <w:t>hours</w:t>
      </w:r>
      <w:r>
        <w:rPr>
          <w:spacing w:val="-19"/>
          <w:w w:val="110"/>
        </w:rPr>
        <w:t xml:space="preserve"> </w:t>
      </w:r>
      <w:r>
        <w:rPr>
          <w:w w:val="110"/>
        </w:rPr>
        <w:t>after</w:t>
      </w:r>
      <w:r>
        <w:rPr>
          <w:spacing w:val="-21"/>
          <w:w w:val="110"/>
        </w:rPr>
        <w:t xml:space="preserve"> </w:t>
      </w:r>
      <w:r>
        <w:rPr>
          <w:w w:val="110"/>
        </w:rPr>
        <w:t>the</w:t>
      </w:r>
      <w:r>
        <w:rPr>
          <w:spacing w:val="-26"/>
          <w:w w:val="110"/>
        </w:rPr>
        <w:t xml:space="preserve"> </w:t>
      </w:r>
      <w:r>
        <w:rPr>
          <w:w w:val="110"/>
        </w:rPr>
        <w:t>substance</w:t>
      </w:r>
      <w:r>
        <w:rPr>
          <w:spacing w:val="-15"/>
          <w:w w:val="110"/>
        </w:rPr>
        <w:t xml:space="preserve"> </w:t>
      </w:r>
      <w:r>
        <w:rPr>
          <w:w w:val="110"/>
        </w:rPr>
        <w:t>is</w:t>
      </w:r>
      <w:r>
        <w:rPr>
          <w:spacing w:val="-29"/>
          <w:w w:val="110"/>
        </w:rPr>
        <w:t xml:space="preserve"> </w:t>
      </w:r>
      <w:r>
        <w:rPr>
          <w:w w:val="110"/>
        </w:rPr>
        <w:t>stopped;</w:t>
      </w:r>
      <w:r>
        <w:rPr>
          <w:spacing w:val="-15"/>
          <w:w w:val="110"/>
        </w:rPr>
        <w:t xml:space="preserve"> </w:t>
      </w:r>
      <w:r>
        <w:rPr>
          <w:w w:val="110"/>
        </w:rPr>
        <w:t>withdrawal</w:t>
      </w:r>
      <w:r>
        <w:rPr>
          <w:spacing w:val="-15"/>
          <w:w w:val="110"/>
        </w:rPr>
        <w:t xml:space="preserve"> </w:t>
      </w:r>
      <w:r>
        <w:rPr>
          <w:w w:val="110"/>
        </w:rPr>
        <w:t>from</w:t>
      </w:r>
      <w:r>
        <w:rPr>
          <w:spacing w:val="-24"/>
          <w:w w:val="110"/>
        </w:rPr>
        <w:t xml:space="preserve"> </w:t>
      </w:r>
      <w:r>
        <w:rPr>
          <w:w w:val="110"/>
        </w:rPr>
        <w:t>substances</w:t>
      </w:r>
      <w:r>
        <w:rPr>
          <w:spacing w:val="-18"/>
          <w:w w:val="110"/>
        </w:rPr>
        <w:t xml:space="preserve"> </w:t>
      </w:r>
      <w:r>
        <w:rPr>
          <w:w w:val="110"/>
        </w:rPr>
        <w:t xml:space="preserve">with long-acting metabolites (e.g., diazepam) may not begin for </w:t>
      </w:r>
      <w:r>
        <w:rPr>
          <w:w w:val="110"/>
          <w:sz w:val="19"/>
        </w:rPr>
        <w:t xml:space="preserve">1-2 </w:t>
      </w:r>
      <w:r>
        <w:rPr>
          <w:w w:val="110"/>
        </w:rPr>
        <w:t>days or longer. The withdrawal</w:t>
      </w:r>
      <w:r>
        <w:rPr>
          <w:spacing w:val="-16"/>
          <w:w w:val="110"/>
        </w:rPr>
        <w:t xml:space="preserve"> </w:t>
      </w:r>
      <w:r>
        <w:rPr>
          <w:w w:val="110"/>
        </w:rPr>
        <w:t>syndrome</w:t>
      </w:r>
      <w:r>
        <w:rPr>
          <w:spacing w:val="-9"/>
          <w:w w:val="110"/>
        </w:rPr>
        <w:t xml:space="preserve"> </w:t>
      </w:r>
      <w:r>
        <w:rPr>
          <w:w w:val="110"/>
        </w:rPr>
        <w:t>produced</w:t>
      </w:r>
      <w:r>
        <w:rPr>
          <w:spacing w:val="-12"/>
          <w:w w:val="110"/>
        </w:rPr>
        <w:t xml:space="preserve"> </w:t>
      </w:r>
      <w:r>
        <w:rPr>
          <w:w w:val="110"/>
        </w:rPr>
        <w:t>by</w:t>
      </w:r>
      <w:r>
        <w:rPr>
          <w:spacing w:val="-27"/>
          <w:w w:val="110"/>
        </w:rPr>
        <w:t xml:space="preserve"> </w:t>
      </w:r>
      <w:r>
        <w:rPr>
          <w:w w:val="110"/>
        </w:rPr>
        <w:t>substances</w:t>
      </w:r>
      <w:r>
        <w:rPr>
          <w:spacing w:val="-10"/>
          <w:w w:val="110"/>
        </w:rPr>
        <w:t xml:space="preserve"> </w:t>
      </w:r>
      <w:r>
        <w:rPr>
          <w:w w:val="110"/>
        </w:rPr>
        <w:t>in</w:t>
      </w:r>
      <w:r>
        <w:rPr>
          <w:spacing w:val="-21"/>
          <w:w w:val="110"/>
        </w:rPr>
        <w:t xml:space="preserve"> </w:t>
      </w:r>
      <w:r>
        <w:rPr>
          <w:w w:val="110"/>
        </w:rPr>
        <w:t>this</w:t>
      </w:r>
      <w:r>
        <w:rPr>
          <w:spacing w:val="-24"/>
          <w:w w:val="110"/>
        </w:rPr>
        <w:t xml:space="preserve"> </w:t>
      </w:r>
      <w:r>
        <w:rPr>
          <w:w w:val="110"/>
        </w:rPr>
        <w:t>class</w:t>
      </w:r>
      <w:r>
        <w:rPr>
          <w:spacing w:val="-18"/>
          <w:w w:val="110"/>
        </w:rPr>
        <w:t xml:space="preserve"> </w:t>
      </w:r>
      <w:r>
        <w:rPr>
          <w:w w:val="110"/>
        </w:rPr>
        <w:t>may</w:t>
      </w:r>
      <w:r>
        <w:rPr>
          <w:spacing w:val="-19"/>
          <w:w w:val="110"/>
        </w:rPr>
        <w:t xml:space="preserve"> </w:t>
      </w:r>
      <w:r>
        <w:rPr>
          <w:w w:val="110"/>
        </w:rPr>
        <w:t>be</w:t>
      </w:r>
      <w:r>
        <w:rPr>
          <w:spacing w:val="-23"/>
          <w:w w:val="110"/>
        </w:rPr>
        <w:t xml:space="preserve"> </w:t>
      </w:r>
      <w:r>
        <w:rPr>
          <w:w w:val="110"/>
        </w:rPr>
        <w:t>characterized</w:t>
      </w:r>
      <w:r>
        <w:rPr>
          <w:spacing w:val="-8"/>
          <w:w w:val="110"/>
        </w:rPr>
        <w:t xml:space="preserve"> </w:t>
      </w:r>
      <w:r>
        <w:rPr>
          <w:w w:val="110"/>
        </w:rPr>
        <w:t>by</w:t>
      </w:r>
      <w:r>
        <w:rPr>
          <w:spacing w:val="-22"/>
          <w:w w:val="110"/>
        </w:rPr>
        <w:t xml:space="preserve"> </w:t>
      </w:r>
      <w:r>
        <w:rPr>
          <w:w w:val="110"/>
        </w:rPr>
        <w:t>the development of a delirium that can be life threatening. There may be evidence of tolerance</w:t>
      </w:r>
      <w:r>
        <w:rPr>
          <w:spacing w:val="-13"/>
          <w:w w:val="110"/>
        </w:rPr>
        <w:t xml:space="preserve"> </w:t>
      </w:r>
      <w:r>
        <w:rPr>
          <w:w w:val="110"/>
        </w:rPr>
        <w:t>and</w:t>
      </w:r>
      <w:r>
        <w:rPr>
          <w:spacing w:val="-10"/>
          <w:w w:val="110"/>
        </w:rPr>
        <w:t xml:space="preserve"> </w:t>
      </w:r>
      <w:r>
        <w:rPr>
          <w:w w:val="110"/>
        </w:rPr>
        <w:t>withdrawal</w:t>
      </w:r>
      <w:r>
        <w:rPr>
          <w:spacing w:val="-9"/>
          <w:w w:val="110"/>
        </w:rPr>
        <w:t xml:space="preserve"> </w:t>
      </w:r>
      <w:r>
        <w:rPr>
          <w:w w:val="110"/>
        </w:rPr>
        <w:t>in</w:t>
      </w:r>
      <w:r>
        <w:rPr>
          <w:spacing w:val="-13"/>
          <w:w w:val="110"/>
        </w:rPr>
        <w:t xml:space="preserve"> </w:t>
      </w:r>
      <w:r>
        <w:rPr>
          <w:w w:val="110"/>
        </w:rPr>
        <w:t>the</w:t>
      </w:r>
      <w:r>
        <w:rPr>
          <w:spacing w:val="-19"/>
          <w:w w:val="110"/>
        </w:rPr>
        <w:t xml:space="preserve"> </w:t>
      </w:r>
      <w:r>
        <w:rPr>
          <w:w w:val="110"/>
        </w:rPr>
        <w:t>absence</w:t>
      </w:r>
      <w:r>
        <w:rPr>
          <w:spacing w:val="-14"/>
          <w:w w:val="110"/>
        </w:rPr>
        <w:t xml:space="preserve"> </w:t>
      </w:r>
      <w:r>
        <w:rPr>
          <w:w w:val="110"/>
        </w:rPr>
        <w:t>of</w:t>
      </w:r>
      <w:r>
        <w:rPr>
          <w:spacing w:val="-14"/>
          <w:w w:val="110"/>
        </w:rPr>
        <w:t xml:space="preserve"> </w:t>
      </w:r>
      <w:r>
        <w:rPr>
          <w:w w:val="110"/>
        </w:rPr>
        <w:t>a</w:t>
      </w:r>
      <w:r>
        <w:rPr>
          <w:spacing w:val="-16"/>
          <w:w w:val="110"/>
        </w:rPr>
        <w:t xml:space="preserve"> </w:t>
      </w:r>
      <w:r>
        <w:rPr>
          <w:w w:val="110"/>
        </w:rPr>
        <w:t>diagnosis</w:t>
      </w:r>
      <w:r>
        <w:rPr>
          <w:spacing w:val="-14"/>
          <w:w w:val="110"/>
        </w:rPr>
        <w:t xml:space="preserve"> </w:t>
      </w:r>
      <w:r>
        <w:rPr>
          <w:w w:val="110"/>
        </w:rPr>
        <w:t>of</w:t>
      </w:r>
      <w:r>
        <w:rPr>
          <w:spacing w:val="-18"/>
          <w:w w:val="110"/>
        </w:rPr>
        <w:t xml:space="preserve"> </w:t>
      </w:r>
      <w:r>
        <w:rPr>
          <w:w w:val="110"/>
        </w:rPr>
        <w:t>Substance</w:t>
      </w:r>
      <w:r>
        <w:rPr>
          <w:spacing w:val="-10"/>
          <w:w w:val="110"/>
        </w:rPr>
        <w:t xml:space="preserve"> </w:t>
      </w:r>
      <w:r>
        <w:rPr>
          <w:w w:val="110"/>
        </w:rPr>
        <w:t>Dependence</w:t>
      </w:r>
      <w:r>
        <w:rPr>
          <w:spacing w:val="-10"/>
          <w:w w:val="110"/>
        </w:rPr>
        <w:t xml:space="preserve"> </w:t>
      </w:r>
      <w:r>
        <w:rPr>
          <w:w w:val="110"/>
        </w:rPr>
        <w:t>in</w:t>
      </w:r>
      <w:r>
        <w:rPr>
          <w:spacing w:val="-20"/>
          <w:w w:val="110"/>
        </w:rPr>
        <w:t xml:space="preserve"> </w:t>
      </w:r>
      <w:r>
        <w:rPr>
          <w:w w:val="110"/>
        </w:rPr>
        <w:t>an individual who has abruptly discontinued benzodiazepines that were taken for</w:t>
      </w:r>
      <w:r>
        <w:rPr>
          <w:spacing w:val="37"/>
          <w:w w:val="110"/>
        </w:rPr>
        <w:t xml:space="preserve"> </w:t>
      </w:r>
      <w:r>
        <w:rPr>
          <w:w w:val="110"/>
        </w:rPr>
        <w:t>long</w:t>
      </w:r>
    </w:p>
    <w:p w:rsidR="00E675F0" w:rsidRDefault="00E675F0" w:rsidP="00E675F0">
      <w:pPr>
        <w:spacing w:line="254" w:lineRule="auto"/>
        <w:jc w:val="both"/>
        <w:sectPr w:rsidR="00E675F0">
          <w:pgSz w:w="8960" w:h="14260"/>
          <w:pgMar w:top="1400" w:right="560" w:bottom="280" w:left="580" w:header="697" w:footer="0" w:gutter="0"/>
          <w:cols w:space="720"/>
        </w:sectPr>
      </w:pPr>
    </w:p>
    <w:p w:rsidR="00E675F0" w:rsidRDefault="00E675F0" w:rsidP="00E675F0">
      <w:pPr>
        <w:pStyle w:val="BodyText"/>
        <w:spacing w:before="136" w:line="252" w:lineRule="auto"/>
        <w:ind w:left="126" w:right="110" w:firstLine="7"/>
        <w:jc w:val="both"/>
      </w:pPr>
      <w:bookmarkStart w:id="174" w:name="_bookmark154"/>
      <w:bookmarkEnd w:id="174"/>
      <w:r>
        <w:rPr>
          <w:w w:val="105"/>
        </w:rPr>
        <w:lastRenderedPageBreak/>
        <w:t>periods of time at prescribed and therapeutic doses. A diagnosis of Substance Depen­ dence should be considered only when, in addition to having physiological dependence, the individual using the substance shows evidence of a range of problems (e.g., an individual who has developed drug-seeking behavior to the extent that important activities are given up or reduced to obtain the substance).</w:t>
      </w:r>
    </w:p>
    <w:p w:rsidR="00E675F0" w:rsidRDefault="00E675F0" w:rsidP="00E675F0">
      <w:pPr>
        <w:pStyle w:val="BodyText"/>
        <w:spacing w:before="9"/>
        <w:rPr>
          <w:sz w:val="31"/>
        </w:rPr>
      </w:pPr>
    </w:p>
    <w:p w:rsidR="00E675F0" w:rsidRDefault="00E675F0" w:rsidP="00E675F0">
      <w:pPr>
        <w:ind w:left="119"/>
        <w:rPr>
          <w:rFonts w:ascii="TimesNewRomanPS-BoldItalicMT"/>
          <w:b/>
          <w:i/>
          <w:sz w:val="24"/>
        </w:rPr>
      </w:pPr>
      <w:r>
        <w:rPr>
          <w:rFonts w:ascii="TimesNewRomanPS-BoldItalicMT"/>
          <w:b/>
          <w:i/>
          <w:w w:val="115"/>
          <w:sz w:val="24"/>
        </w:rPr>
        <w:t>Specifiers</w:t>
      </w:r>
    </w:p>
    <w:p w:rsidR="00E675F0" w:rsidRDefault="00E675F0" w:rsidP="00E675F0">
      <w:pPr>
        <w:pStyle w:val="BodyText"/>
        <w:spacing w:before="132" w:line="252" w:lineRule="auto"/>
        <w:ind w:left="126"/>
      </w:pPr>
      <w:r>
        <w:rPr>
          <w:w w:val="105"/>
        </w:rPr>
        <w:t>The following specifiers may be applied to a diagnosis of Sedative, Hypnotic, or Anxiolytic Dependence (see p. 179 for more details):</w:t>
      </w:r>
    </w:p>
    <w:p w:rsidR="00E675F0" w:rsidRDefault="00E675F0" w:rsidP="00E675F0">
      <w:pPr>
        <w:spacing w:before="60" w:line="256" w:lineRule="auto"/>
        <w:ind w:left="723" w:right="3650"/>
        <w:rPr>
          <w:b/>
          <w:sz w:val="20"/>
        </w:rPr>
      </w:pPr>
      <w:r>
        <w:rPr>
          <w:b/>
          <w:w w:val="110"/>
          <w:sz w:val="20"/>
        </w:rPr>
        <w:t>With Physiological Dependence Without Physiological Dependence</w:t>
      </w:r>
    </w:p>
    <w:p w:rsidR="00E675F0" w:rsidRDefault="00E675F0" w:rsidP="00E675F0">
      <w:pPr>
        <w:spacing w:before="65" w:line="256" w:lineRule="auto"/>
        <w:ind w:left="729" w:right="4599" w:firstLine="6"/>
        <w:rPr>
          <w:b/>
          <w:sz w:val="20"/>
        </w:rPr>
      </w:pPr>
      <w:r>
        <w:rPr>
          <w:b/>
          <w:w w:val="110"/>
          <w:sz w:val="20"/>
        </w:rPr>
        <w:t>Early Full Remission Early Partial Remission Sustained Full Remission</w:t>
      </w:r>
    </w:p>
    <w:p w:rsidR="00E675F0" w:rsidRDefault="00E675F0" w:rsidP="00E675F0">
      <w:pPr>
        <w:spacing w:line="252" w:lineRule="auto"/>
        <w:ind w:left="731" w:right="4190" w:hanging="3"/>
        <w:rPr>
          <w:b/>
          <w:sz w:val="20"/>
        </w:rPr>
      </w:pPr>
      <w:r>
        <w:rPr>
          <w:b/>
          <w:w w:val="110"/>
          <w:sz w:val="20"/>
        </w:rPr>
        <w:t>Sustained Partial Remission On Agonist Therapy</w:t>
      </w:r>
    </w:p>
    <w:p w:rsidR="00E675F0" w:rsidRDefault="00E675F0" w:rsidP="00E675F0">
      <w:pPr>
        <w:spacing w:line="228" w:lineRule="exact"/>
        <w:ind w:left="730"/>
        <w:rPr>
          <w:b/>
          <w:sz w:val="20"/>
        </w:rPr>
      </w:pPr>
      <w:r>
        <w:rPr>
          <w:b/>
          <w:w w:val="110"/>
          <w:sz w:val="20"/>
        </w:rPr>
        <w:t>In a Controlled Environment</w:t>
      </w:r>
    </w:p>
    <w:p w:rsidR="00E675F0" w:rsidRDefault="00E675F0" w:rsidP="00E675F0">
      <w:pPr>
        <w:pStyle w:val="BodyText"/>
        <w:rPr>
          <w:b/>
          <w:sz w:val="22"/>
        </w:rPr>
      </w:pPr>
    </w:p>
    <w:p w:rsidR="00E675F0" w:rsidRDefault="00E675F0" w:rsidP="00E675F0">
      <w:pPr>
        <w:pStyle w:val="BodyText"/>
        <w:spacing w:before="1"/>
        <w:rPr>
          <w:b/>
        </w:rPr>
      </w:pPr>
    </w:p>
    <w:p w:rsidR="00E675F0" w:rsidRDefault="00E675F0" w:rsidP="00E675F0">
      <w:pPr>
        <w:tabs>
          <w:tab w:val="left" w:pos="1943"/>
        </w:tabs>
        <w:ind w:left="859"/>
        <w:rPr>
          <w:rFonts w:ascii="Arial"/>
          <w:b/>
          <w:sz w:val="25"/>
        </w:rPr>
      </w:pPr>
      <w:r>
        <w:rPr>
          <w:rFonts w:ascii="Arial"/>
          <w:b/>
          <w:w w:val="105"/>
          <w:sz w:val="25"/>
        </w:rPr>
        <w:t>305.40</w:t>
      </w:r>
      <w:r>
        <w:rPr>
          <w:rFonts w:ascii="Arial"/>
          <w:b/>
          <w:w w:val="105"/>
          <w:sz w:val="25"/>
        </w:rPr>
        <w:tab/>
        <w:t>Sedative, Hypnotic, or Anxiolytic</w:t>
      </w:r>
      <w:r>
        <w:rPr>
          <w:rFonts w:ascii="Arial"/>
          <w:b/>
          <w:spacing w:val="11"/>
          <w:w w:val="105"/>
          <w:sz w:val="25"/>
        </w:rPr>
        <w:t xml:space="preserve"> </w:t>
      </w:r>
      <w:r>
        <w:rPr>
          <w:rFonts w:ascii="Arial"/>
          <w:b/>
          <w:w w:val="105"/>
          <w:sz w:val="25"/>
        </w:rPr>
        <w:t>Abuse</w:t>
      </w:r>
    </w:p>
    <w:p w:rsidR="00E675F0" w:rsidRDefault="00E675F0" w:rsidP="00E675F0">
      <w:pPr>
        <w:pStyle w:val="BodyText"/>
        <w:spacing w:before="251" w:line="252" w:lineRule="auto"/>
        <w:ind w:left="125" w:right="119" w:firstLine="6"/>
        <w:jc w:val="both"/>
      </w:pPr>
      <w:r>
        <w:rPr>
          <w:w w:val="110"/>
        </w:rPr>
        <w:t>Also</w:t>
      </w:r>
      <w:r>
        <w:rPr>
          <w:spacing w:val="-16"/>
          <w:w w:val="110"/>
        </w:rPr>
        <w:t xml:space="preserve"> </w:t>
      </w:r>
      <w:r>
        <w:rPr>
          <w:w w:val="110"/>
        </w:rPr>
        <w:t>refer</w:t>
      </w:r>
      <w:r>
        <w:rPr>
          <w:spacing w:val="-18"/>
          <w:w w:val="110"/>
        </w:rPr>
        <w:t xml:space="preserve"> </w:t>
      </w:r>
      <w:r>
        <w:rPr>
          <w:w w:val="110"/>
        </w:rPr>
        <w:t>to</w:t>
      </w:r>
      <w:r>
        <w:rPr>
          <w:spacing w:val="-23"/>
          <w:w w:val="110"/>
        </w:rPr>
        <w:t xml:space="preserve"> </w:t>
      </w:r>
      <w:r>
        <w:rPr>
          <w:w w:val="110"/>
        </w:rPr>
        <w:t>the</w:t>
      </w:r>
      <w:r>
        <w:rPr>
          <w:spacing w:val="-21"/>
          <w:w w:val="110"/>
        </w:rPr>
        <w:t xml:space="preserve"> </w:t>
      </w:r>
      <w:r>
        <w:rPr>
          <w:w w:val="110"/>
        </w:rPr>
        <w:t>text</w:t>
      </w:r>
      <w:r>
        <w:rPr>
          <w:spacing w:val="-19"/>
          <w:w w:val="110"/>
        </w:rPr>
        <w:t xml:space="preserve"> </w:t>
      </w:r>
      <w:r>
        <w:rPr>
          <w:w w:val="110"/>
        </w:rPr>
        <w:t>and</w:t>
      </w:r>
      <w:r>
        <w:rPr>
          <w:spacing w:val="-15"/>
          <w:w w:val="110"/>
        </w:rPr>
        <w:t xml:space="preserve"> </w:t>
      </w:r>
      <w:r>
        <w:rPr>
          <w:w w:val="110"/>
        </w:rPr>
        <w:t>criteria</w:t>
      </w:r>
      <w:r>
        <w:rPr>
          <w:spacing w:val="-13"/>
          <w:w w:val="110"/>
        </w:rPr>
        <w:t xml:space="preserve"> </w:t>
      </w:r>
      <w:r>
        <w:rPr>
          <w:w w:val="110"/>
        </w:rPr>
        <w:t>for</w:t>
      </w:r>
      <w:r>
        <w:rPr>
          <w:spacing w:val="-23"/>
          <w:w w:val="110"/>
        </w:rPr>
        <w:t xml:space="preserve"> </w:t>
      </w:r>
      <w:r>
        <w:rPr>
          <w:w w:val="110"/>
        </w:rPr>
        <w:t>Substance</w:t>
      </w:r>
      <w:r>
        <w:rPr>
          <w:spacing w:val="-16"/>
          <w:w w:val="110"/>
        </w:rPr>
        <w:t xml:space="preserve"> </w:t>
      </w:r>
      <w:r>
        <w:rPr>
          <w:w w:val="110"/>
        </w:rPr>
        <w:t>Abuse</w:t>
      </w:r>
      <w:r>
        <w:rPr>
          <w:spacing w:val="-19"/>
          <w:w w:val="110"/>
        </w:rPr>
        <w:t xml:space="preserve"> </w:t>
      </w:r>
      <w:r>
        <w:rPr>
          <w:w w:val="110"/>
        </w:rPr>
        <w:t>(seep.</w:t>
      </w:r>
      <w:r>
        <w:rPr>
          <w:spacing w:val="-22"/>
          <w:w w:val="110"/>
        </w:rPr>
        <w:t xml:space="preserve"> </w:t>
      </w:r>
      <w:r>
        <w:rPr>
          <w:w w:val="110"/>
        </w:rPr>
        <w:t>182).</w:t>
      </w:r>
      <w:r>
        <w:rPr>
          <w:spacing w:val="-19"/>
          <w:w w:val="110"/>
        </w:rPr>
        <w:t xml:space="preserve"> </w:t>
      </w:r>
      <w:r>
        <w:rPr>
          <w:w w:val="110"/>
        </w:rPr>
        <w:t>Abuse</w:t>
      </w:r>
      <w:r>
        <w:rPr>
          <w:spacing w:val="-18"/>
          <w:w w:val="110"/>
        </w:rPr>
        <w:t xml:space="preserve"> </w:t>
      </w:r>
      <w:r>
        <w:rPr>
          <w:w w:val="110"/>
        </w:rPr>
        <w:t>of</w:t>
      </w:r>
      <w:r>
        <w:rPr>
          <w:spacing w:val="-16"/>
          <w:w w:val="110"/>
        </w:rPr>
        <w:t xml:space="preserve"> </w:t>
      </w:r>
      <w:r>
        <w:rPr>
          <w:w w:val="110"/>
        </w:rPr>
        <w:t>substances from</w:t>
      </w:r>
      <w:r>
        <w:rPr>
          <w:spacing w:val="-19"/>
          <w:w w:val="110"/>
        </w:rPr>
        <w:t xml:space="preserve"> </w:t>
      </w:r>
      <w:r>
        <w:rPr>
          <w:w w:val="110"/>
        </w:rPr>
        <w:t>this</w:t>
      </w:r>
      <w:r>
        <w:rPr>
          <w:spacing w:val="-22"/>
          <w:w w:val="110"/>
        </w:rPr>
        <w:t xml:space="preserve"> </w:t>
      </w:r>
      <w:r>
        <w:rPr>
          <w:w w:val="110"/>
        </w:rPr>
        <w:t>class</w:t>
      </w:r>
      <w:r>
        <w:rPr>
          <w:spacing w:val="-19"/>
          <w:w w:val="110"/>
        </w:rPr>
        <w:t xml:space="preserve"> </w:t>
      </w:r>
      <w:r>
        <w:rPr>
          <w:w w:val="110"/>
        </w:rPr>
        <w:t>may</w:t>
      </w:r>
      <w:r>
        <w:rPr>
          <w:spacing w:val="-22"/>
          <w:w w:val="110"/>
        </w:rPr>
        <w:t xml:space="preserve"> </w:t>
      </w:r>
      <w:r>
        <w:rPr>
          <w:w w:val="110"/>
        </w:rPr>
        <w:t>occur</w:t>
      </w:r>
      <w:r>
        <w:rPr>
          <w:spacing w:val="-21"/>
          <w:w w:val="110"/>
        </w:rPr>
        <w:t xml:space="preserve"> </w:t>
      </w:r>
      <w:r>
        <w:rPr>
          <w:w w:val="110"/>
        </w:rPr>
        <w:t>on</w:t>
      </w:r>
      <w:r>
        <w:rPr>
          <w:spacing w:val="-14"/>
          <w:w w:val="110"/>
        </w:rPr>
        <w:t xml:space="preserve"> </w:t>
      </w:r>
      <w:r>
        <w:rPr>
          <w:w w:val="110"/>
        </w:rPr>
        <w:t>its</w:t>
      </w:r>
      <w:r>
        <w:rPr>
          <w:spacing w:val="-25"/>
          <w:w w:val="110"/>
        </w:rPr>
        <w:t xml:space="preserve"> </w:t>
      </w:r>
      <w:r>
        <w:rPr>
          <w:w w:val="110"/>
        </w:rPr>
        <w:t>own</w:t>
      </w:r>
      <w:r>
        <w:rPr>
          <w:spacing w:val="-19"/>
          <w:w w:val="110"/>
        </w:rPr>
        <w:t xml:space="preserve"> </w:t>
      </w:r>
      <w:r>
        <w:rPr>
          <w:w w:val="110"/>
        </w:rPr>
        <w:t>or</w:t>
      </w:r>
      <w:r>
        <w:rPr>
          <w:spacing w:val="-18"/>
          <w:w w:val="110"/>
        </w:rPr>
        <w:t xml:space="preserve"> </w:t>
      </w:r>
      <w:r>
        <w:rPr>
          <w:w w:val="110"/>
        </w:rPr>
        <w:t>in</w:t>
      </w:r>
      <w:r>
        <w:rPr>
          <w:spacing w:val="-23"/>
          <w:w w:val="110"/>
        </w:rPr>
        <w:t xml:space="preserve"> </w:t>
      </w:r>
      <w:r>
        <w:rPr>
          <w:w w:val="110"/>
        </w:rPr>
        <w:t>conjunction</w:t>
      </w:r>
      <w:r>
        <w:rPr>
          <w:spacing w:val="-8"/>
          <w:w w:val="110"/>
        </w:rPr>
        <w:t xml:space="preserve"> </w:t>
      </w:r>
      <w:r>
        <w:rPr>
          <w:w w:val="110"/>
        </w:rPr>
        <w:t>with</w:t>
      </w:r>
      <w:r>
        <w:rPr>
          <w:spacing w:val="-18"/>
          <w:w w:val="110"/>
        </w:rPr>
        <w:t xml:space="preserve"> </w:t>
      </w:r>
      <w:r>
        <w:rPr>
          <w:w w:val="110"/>
        </w:rPr>
        <w:t>use</w:t>
      </w:r>
      <w:r>
        <w:rPr>
          <w:spacing w:val="-24"/>
          <w:w w:val="110"/>
        </w:rPr>
        <w:t xml:space="preserve"> </w:t>
      </w:r>
      <w:r>
        <w:rPr>
          <w:w w:val="110"/>
        </w:rPr>
        <w:t>of</w:t>
      </w:r>
      <w:r>
        <w:rPr>
          <w:spacing w:val="-16"/>
          <w:w w:val="110"/>
        </w:rPr>
        <w:t xml:space="preserve"> </w:t>
      </w:r>
      <w:r>
        <w:rPr>
          <w:w w:val="110"/>
        </w:rPr>
        <w:t>other</w:t>
      </w:r>
      <w:r>
        <w:rPr>
          <w:spacing w:val="-21"/>
          <w:w w:val="110"/>
        </w:rPr>
        <w:t xml:space="preserve"> </w:t>
      </w:r>
      <w:r>
        <w:rPr>
          <w:w w:val="110"/>
        </w:rPr>
        <w:t>substances.</w:t>
      </w:r>
      <w:r>
        <w:rPr>
          <w:spacing w:val="-8"/>
          <w:w w:val="110"/>
        </w:rPr>
        <w:t xml:space="preserve"> </w:t>
      </w:r>
      <w:r>
        <w:rPr>
          <w:w w:val="110"/>
        </w:rPr>
        <w:t>For example, individuals may use intoxicating doses of sedatives or benzodiazepines to "come</w:t>
      </w:r>
      <w:r>
        <w:rPr>
          <w:spacing w:val="-7"/>
          <w:w w:val="110"/>
        </w:rPr>
        <w:t xml:space="preserve"> </w:t>
      </w:r>
      <w:r>
        <w:rPr>
          <w:w w:val="110"/>
        </w:rPr>
        <w:t>down"</w:t>
      </w:r>
      <w:r>
        <w:rPr>
          <w:spacing w:val="-10"/>
          <w:w w:val="110"/>
        </w:rPr>
        <w:t xml:space="preserve"> </w:t>
      </w:r>
      <w:r>
        <w:rPr>
          <w:w w:val="110"/>
        </w:rPr>
        <w:t>from</w:t>
      </w:r>
      <w:r>
        <w:rPr>
          <w:spacing w:val="-7"/>
          <w:w w:val="110"/>
        </w:rPr>
        <w:t xml:space="preserve"> </w:t>
      </w:r>
      <w:r>
        <w:rPr>
          <w:w w:val="110"/>
        </w:rPr>
        <w:t>cocaine</w:t>
      </w:r>
      <w:r>
        <w:rPr>
          <w:spacing w:val="-4"/>
          <w:w w:val="110"/>
        </w:rPr>
        <w:t xml:space="preserve"> </w:t>
      </w:r>
      <w:r>
        <w:rPr>
          <w:w w:val="110"/>
        </w:rPr>
        <w:t>or</w:t>
      </w:r>
      <w:r>
        <w:rPr>
          <w:spacing w:val="-10"/>
          <w:w w:val="110"/>
        </w:rPr>
        <w:t xml:space="preserve"> </w:t>
      </w:r>
      <w:r>
        <w:rPr>
          <w:w w:val="110"/>
        </w:rPr>
        <w:t>amphetamines</w:t>
      </w:r>
      <w:r>
        <w:rPr>
          <w:spacing w:val="2"/>
          <w:w w:val="110"/>
        </w:rPr>
        <w:t xml:space="preserve"> </w:t>
      </w:r>
      <w:r>
        <w:rPr>
          <w:w w:val="110"/>
        </w:rPr>
        <w:t>or</w:t>
      </w:r>
      <w:r>
        <w:rPr>
          <w:spacing w:val="-4"/>
          <w:w w:val="110"/>
        </w:rPr>
        <w:t xml:space="preserve"> </w:t>
      </w:r>
      <w:r>
        <w:rPr>
          <w:w w:val="110"/>
        </w:rPr>
        <w:t>use</w:t>
      </w:r>
      <w:r>
        <w:rPr>
          <w:spacing w:val="-4"/>
          <w:w w:val="110"/>
        </w:rPr>
        <w:t xml:space="preserve"> </w:t>
      </w:r>
      <w:r>
        <w:rPr>
          <w:w w:val="110"/>
        </w:rPr>
        <w:t>high</w:t>
      </w:r>
      <w:r>
        <w:rPr>
          <w:spacing w:val="-6"/>
          <w:w w:val="110"/>
        </w:rPr>
        <w:t xml:space="preserve"> </w:t>
      </w:r>
      <w:r>
        <w:rPr>
          <w:w w:val="110"/>
        </w:rPr>
        <w:t>doses</w:t>
      </w:r>
      <w:r>
        <w:rPr>
          <w:spacing w:val="-5"/>
          <w:w w:val="110"/>
        </w:rPr>
        <w:t xml:space="preserve"> </w:t>
      </w:r>
      <w:r>
        <w:rPr>
          <w:w w:val="110"/>
        </w:rPr>
        <w:t>of benzodiazepines</w:t>
      </w:r>
      <w:r>
        <w:rPr>
          <w:spacing w:val="-18"/>
          <w:w w:val="110"/>
        </w:rPr>
        <w:t xml:space="preserve"> </w:t>
      </w:r>
      <w:r>
        <w:rPr>
          <w:w w:val="110"/>
        </w:rPr>
        <w:t>in combination</w:t>
      </w:r>
      <w:r>
        <w:rPr>
          <w:spacing w:val="-13"/>
          <w:w w:val="110"/>
        </w:rPr>
        <w:t xml:space="preserve"> </w:t>
      </w:r>
      <w:r>
        <w:rPr>
          <w:w w:val="110"/>
        </w:rPr>
        <w:t>with</w:t>
      </w:r>
      <w:r>
        <w:rPr>
          <w:spacing w:val="-15"/>
          <w:w w:val="110"/>
        </w:rPr>
        <w:t xml:space="preserve"> </w:t>
      </w:r>
      <w:r>
        <w:rPr>
          <w:w w:val="110"/>
        </w:rPr>
        <w:t>methadone</w:t>
      </w:r>
      <w:r>
        <w:rPr>
          <w:spacing w:val="-12"/>
          <w:w w:val="110"/>
        </w:rPr>
        <w:t xml:space="preserve"> </w:t>
      </w:r>
      <w:r>
        <w:rPr>
          <w:w w:val="110"/>
        </w:rPr>
        <w:t>to</w:t>
      </w:r>
      <w:r>
        <w:rPr>
          <w:spacing w:val="-21"/>
          <w:w w:val="110"/>
        </w:rPr>
        <w:t xml:space="preserve"> </w:t>
      </w:r>
      <w:r>
        <w:rPr>
          <w:w w:val="110"/>
        </w:rPr>
        <w:t>"boost"</w:t>
      </w:r>
      <w:r>
        <w:rPr>
          <w:spacing w:val="-19"/>
          <w:w w:val="110"/>
        </w:rPr>
        <w:t xml:space="preserve"> </w:t>
      </w:r>
      <w:r>
        <w:rPr>
          <w:w w:val="110"/>
        </w:rPr>
        <w:t>its</w:t>
      </w:r>
      <w:r>
        <w:rPr>
          <w:spacing w:val="-24"/>
          <w:w w:val="110"/>
        </w:rPr>
        <w:t xml:space="preserve"> </w:t>
      </w:r>
      <w:r>
        <w:rPr>
          <w:w w:val="110"/>
        </w:rPr>
        <w:t>effects.</w:t>
      </w:r>
      <w:r>
        <w:rPr>
          <w:spacing w:val="-19"/>
          <w:w w:val="110"/>
        </w:rPr>
        <w:t xml:space="preserve"> </w:t>
      </w:r>
      <w:r>
        <w:rPr>
          <w:w w:val="110"/>
        </w:rPr>
        <w:t>Abuse</w:t>
      </w:r>
      <w:r>
        <w:rPr>
          <w:spacing w:val="-19"/>
          <w:w w:val="110"/>
        </w:rPr>
        <w:t xml:space="preserve"> </w:t>
      </w:r>
      <w:r>
        <w:rPr>
          <w:w w:val="110"/>
        </w:rPr>
        <w:t>of</w:t>
      </w:r>
      <w:r>
        <w:rPr>
          <w:spacing w:val="-17"/>
          <w:w w:val="110"/>
        </w:rPr>
        <w:t xml:space="preserve"> </w:t>
      </w:r>
      <w:r>
        <w:rPr>
          <w:w w:val="110"/>
        </w:rPr>
        <w:t>substances</w:t>
      </w:r>
      <w:r>
        <w:rPr>
          <w:spacing w:val="-18"/>
          <w:w w:val="110"/>
        </w:rPr>
        <w:t xml:space="preserve"> </w:t>
      </w:r>
      <w:r>
        <w:rPr>
          <w:w w:val="110"/>
        </w:rPr>
        <w:t>from</w:t>
      </w:r>
      <w:r>
        <w:rPr>
          <w:spacing w:val="-18"/>
          <w:w w:val="110"/>
        </w:rPr>
        <w:t xml:space="preserve"> </w:t>
      </w:r>
      <w:r>
        <w:rPr>
          <w:w w:val="110"/>
        </w:rPr>
        <w:t>this</w:t>
      </w:r>
      <w:r>
        <w:rPr>
          <w:spacing w:val="-22"/>
          <w:w w:val="110"/>
        </w:rPr>
        <w:t xml:space="preserve"> </w:t>
      </w:r>
      <w:r>
        <w:rPr>
          <w:w w:val="110"/>
        </w:rPr>
        <w:t>class may</w:t>
      </w:r>
      <w:r>
        <w:rPr>
          <w:spacing w:val="-6"/>
          <w:w w:val="110"/>
        </w:rPr>
        <w:t xml:space="preserve"> </w:t>
      </w:r>
      <w:r>
        <w:rPr>
          <w:w w:val="110"/>
        </w:rPr>
        <w:t>result</w:t>
      </w:r>
      <w:r>
        <w:rPr>
          <w:spacing w:val="-7"/>
          <w:w w:val="110"/>
        </w:rPr>
        <w:t xml:space="preserve"> </w:t>
      </w:r>
      <w:r>
        <w:rPr>
          <w:w w:val="110"/>
        </w:rPr>
        <w:t>in</w:t>
      </w:r>
      <w:r>
        <w:rPr>
          <w:spacing w:val="-8"/>
          <w:w w:val="110"/>
        </w:rPr>
        <w:t xml:space="preserve"> </w:t>
      </w:r>
      <w:r>
        <w:rPr>
          <w:w w:val="110"/>
        </w:rPr>
        <w:t>use</w:t>
      </w:r>
      <w:r>
        <w:rPr>
          <w:spacing w:val="-7"/>
          <w:w w:val="110"/>
        </w:rPr>
        <w:t xml:space="preserve"> </w:t>
      </w:r>
      <w:r>
        <w:rPr>
          <w:w w:val="110"/>
        </w:rPr>
        <w:t>in</w:t>
      </w:r>
      <w:r>
        <w:rPr>
          <w:spacing w:val="-9"/>
          <w:w w:val="110"/>
        </w:rPr>
        <w:t xml:space="preserve"> </w:t>
      </w:r>
      <w:r>
        <w:rPr>
          <w:w w:val="110"/>
        </w:rPr>
        <w:t>hazardous</w:t>
      </w:r>
      <w:r>
        <w:rPr>
          <w:spacing w:val="-4"/>
          <w:w w:val="110"/>
        </w:rPr>
        <w:t xml:space="preserve"> </w:t>
      </w:r>
      <w:r>
        <w:rPr>
          <w:w w:val="110"/>
        </w:rPr>
        <w:t>situations,</w:t>
      </w:r>
      <w:r>
        <w:rPr>
          <w:spacing w:val="-5"/>
          <w:w w:val="110"/>
        </w:rPr>
        <w:t xml:space="preserve"> </w:t>
      </w:r>
      <w:r>
        <w:rPr>
          <w:w w:val="110"/>
        </w:rPr>
        <w:t>such</w:t>
      </w:r>
      <w:r>
        <w:rPr>
          <w:spacing w:val="-10"/>
          <w:w w:val="110"/>
        </w:rPr>
        <w:t xml:space="preserve"> </w:t>
      </w:r>
      <w:r>
        <w:rPr>
          <w:w w:val="110"/>
        </w:rPr>
        <w:t>as</w:t>
      </w:r>
      <w:r>
        <w:rPr>
          <w:spacing w:val="-20"/>
          <w:w w:val="110"/>
        </w:rPr>
        <w:t xml:space="preserve"> </w:t>
      </w:r>
      <w:r>
        <w:rPr>
          <w:w w:val="110"/>
        </w:rPr>
        <w:t>getting</w:t>
      </w:r>
      <w:r>
        <w:rPr>
          <w:spacing w:val="-5"/>
          <w:w w:val="110"/>
        </w:rPr>
        <w:t xml:space="preserve"> </w:t>
      </w:r>
      <w:r>
        <w:rPr>
          <w:w w:val="110"/>
        </w:rPr>
        <w:t>"high"</w:t>
      </w:r>
      <w:r>
        <w:rPr>
          <w:spacing w:val="-9"/>
          <w:w w:val="110"/>
        </w:rPr>
        <w:t xml:space="preserve"> </w:t>
      </w:r>
      <w:r>
        <w:rPr>
          <w:w w:val="110"/>
        </w:rPr>
        <w:t>and</w:t>
      </w:r>
      <w:r>
        <w:rPr>
          <w:spacing w:val="-8"/>
          <w:w w:val="110"/>
        </w:rPr>
        <w:t xml:space="preserve"> </w:t>
      </w:r>
      <w:r>
        <w:rPr>
          <w:w w:val="110"/>
        </w:rPr>
        <w:t>then</w:t>
      </w:r>
      <w:r>
        <w:rPr>
          <w:spacing w:val="-12"/>
          <w:w w:val="110"/>
        </w:rPr>
        <w:t xml:space="preserve"> </w:t>
      </w:r>
      <w:r>
        <w:rPr>
          <w:w w:val="110"/>
        </w:rPr>
        <w:t>driving.</w:t>
      </w:r>
      <w:r>
        <w:rPr>
          <w:spacing w:val="-10"/>
          <w:w w:val="110"/>
        </w:rPr>
        <w:t xml:space="preserve"> </w:t>
      </w:r>
      <w:r>
        <w:rPr>
          <w:w w:val="110"/>
        </w:rPr>
        <w:t>The individual</w:t>
      </w:r>
      <w:r>
        <w:rPr>
          <w:spacing w:val="-1"/>
          <w:w w:val="110"/>
        </w:rPr>
        <w:t xml:space="preserve"> </w:t>
      </w:r>
      <w:r>
        <w:rPr>
          <w:w w:val="110"/>
        </w:rPr>
        <w:t>may</w:t>
      </w:r>
      <w:r>
        <w:rPr>
          <w:spacing w:val="-4"/>
          <w:w w:val="110"/>
        </w:rPr>
        <w:t xml:space="preserve"> </w:t>
      </w:r>
      <w:r>
        <w:rPr>
          <w:w w:val="110"/>
        </w:rPr>
        <w:t>miss</w:t>
      </w:r>
      <w:r>
        <w:rPr>
          <w:spacing w:val="-5"/>
          <w:w w:val="110"/>
        </w:rPr>
        <w:t xml:space="preserve"> </w:t>
      </w:r>
      <w:r>
        <w:rPr>
          <w:w w:val="110"/>
        </w:rPr>
        <w:t>work</w:t>
      </w:r>
      <w:r>
        <w:rPr>
          <w:spacing w:val="-5"/>
          <w:w w:val="110"/>
        </w:rPr>
        <w:t xml:space="preserve"> </w:t>
      </w:r>
      <w:r>
        <w:rPr>
          <w:w w:val="110"/>
        </w:rPr>
        <w:t>or</w:t>
      </w:r>
      <w:r>
        <w:rPr>
          <w:spacing w:val="-8"/>
          <w:w w:val="110"/>
        </w:rPr>
        <w:t xml:space="preserve"> </w:t>
      </w:r>
      <w:r>
        <w:rPr>
          <w:w w:val="110"/>
        </w:rPr>
        <w:t>school</w:t>
      </w:r>
      <w:r>
        <w:rPr>
          <w:spacing w:val="-5"/>
          <w:w w:val="110"/>
        </w:rPr>
        <w:t xml:space="preserve"> </w:t>
      </w:r>
      <w:r>
        <w:rPr>
          <w:w w:val="110"/>
        </w:rPr>
        <w:t>or</w:t>
      </w:r>
      <w:r>
        <w:rPr>
          <w:spacing w:val="-3"/>
          <w:w w:val="110"/>
        </w:rPr>
        <w:t xml:space="preserve"> </w:t>
      </w:r>
      <w:r>
        <w:rPr>
          <w:w w:val="110"/>
        </w:rPr>
        <w:t>neglect</w:t>
      </w:r>
      <w:r>
        <w:rPr>
          <w:spacing w:val="1"/>
          <w:w w:val="110"/>
        </w:rPr>
        <w:t xml:space="preserve"> </w:t>
      </w:r>
      <w:r>
        <w:rPr>
          <w:w w:val="110"/>
        </w:rPr>
        <w:t>home</w:t>
      </w:r>
      <w:r>
        <w:rPr>
          <w:spacing w:val="-6"/>
          <w:w w:val="110"/>
        </w:rPr>
        <w:t xml:space="preserve"> </w:t>
      </w:r>
      <w:r>
        <w:rPr>
          <w:w w:val="110"/>
        </w:rPr>
        <w:t>duties</w:t>
      </w:r>
      <w:r>
        <w:rPr>
          <w:spacing w:val="-7"/>
          <w:w w:val="110"/>
        </w:rPr>
        <w:t xml:space="preserve"> </w:t>
      </w:r>
      <w:r>
        <w:rPr>
          <w:w w:val="110"/>
        </w:rPr>
        <w:t>as</w:t>
      </w:r>
      <w:r>
        <w:rPr>
          <w:spacing w:val="-11"/>
          <w:w w:val="110"/>
        </w:rPr>
        <w:t xml:space="preserve"> </w:t>
      </w:r>
      <w:r>
        <w:rPr>
          <w:w w:val="110"/>
        </w:rPr>
        <w:t>a</w:t>
      </w:r>
      <w:r>
        <w:rPr>
          <w:spacing w:val="-2"/>
          <w:w w:val="110"/>
        </w:rPr>
        <w:t xml:space="preserve"> </w:t>
      </w:r>
      <w:r>
        <w:rPr>
          <w:w w:val="110"/>
        </w:rPr>
        <w:t>result</w:t>
      </w:r>
      <w:r>
        <w:rPr>
          <w:spacing w:val="-4"/>
          <w:w w:val="110"/>
        </w:rPr>
        <w:t xml:space="preserve"> </w:t>
      </w:r>
      <w:r>
        <w:rPr>
          <w:w w:val="110"/>
        </w:rPr>
        <w:t>of</w:t>
      </w:r>
      <w:r>
        <w:rPr>
          <w:spacing w:val="-2"/>
          <w:w w:val="110"/>
        </w:rPr>
        <w:t xml:space="preserve"> </w:t>
      </w:r>
      <w:r>
        <w:rPr>
          <w:w w:val="110"/>
        </w:rPr>
        <w:t>intoxication or</w:t>
      </w:r>
      <w:r>
        <w:rPr>
          <w:spacing w:val="-3"/>
          <w:w w:val="110"/>
        </w:rPr>
        <w:t xml:space="preserve"> </w:t>
      </w:r>
      <w:r>
        <w:rPr>
          <w:w w:val="110"/>
        </w:rPr>
        <w:t>get</w:t>
      </w:r>
      <w:r>
        <w:rPr>
          <w:spacing w:val="-5"/>
          <w:w w:val="110"/>
        </w:rPr>
        <w:t xml:space="preserve"> </w:t>
      </w:r>
      <w:r>
        <w:rPr>
          <w:w w:val="110"/>
        </w:rPr>
        <w:t>into</w:t>
      </w:r>
      <w:r>
        <w:rPr>
          <w:spacing w:val="-11"/>
          <w:w w:val="110"/>
        </w:rPr>
        <w:t xml:space="preserve"> </w:t>
      </w:r>
      <w:r>
        <w:rPr>
          <w:w w:val="110"/>
        </w:rPr>
        <w:t>arguments</w:t>
      </w:r>
      <w:r>
        <w:rPr>
          <w:spacing w:val="-4"/>
          <w:w w:val="110"/>
        </w:rPr>
        <w:t xml:space="preserve"> </w:t>
      </w:r>
      <w:r>
        <w:rPr>
          <w:w w:val="110"/>
        </w:rPr>
        <w:t>with</w:t>
      </w:r>
      <w:r>
        <w:rPr>
          <w:spacing w:val="-6"/>
          <w:w w:val="110"/>
        </w:rPr>
        <w:t xml:space="preserve"> </w:t>
      </w:r>
      <w:r>
        <w:rPr>
          <w:w w:val="110"/>
        </w:rPr>
        <w:t>spouses</w:t>
      </w:r>
      <w:r>
        <w:rPr>
          <w:spacing w:val="-3"/>
          <w:w w:val="110"/>
        </w:rPr>
        <w:t xml:space="preserve"> </w:t>
      </w:r>
      <w:r>
        <w:rPr>
          <w:w w:val="110"/>
        </w:rPr>
        <w:t>or parents</w:t>
      </w:r>
      <w:r>
        <w:rPr>
          <w:spacing w:val="-4"/>
          <w:w w:val="110"/>
        </w:rPr>
        <w:t xml:space="preserve"> </w:t>
      </w:r>
      <w:r>
        <w:rPr>
          <w:w w:val="110"/>
        </w:rPr>
        <w:t>about</w:t>
      </w:r>
      <w:r>
        <w:rPr>
          <w:spacing w:val="-3"/>
          <w:w w:val="110"/>
        </w:rPr>
        <w:t xml:space="preserve"> </w:t>
      </w:r>
      <w:r>
        <w:rPr>
          <w:w w:val="110"/>
        </w:rPr>
        <w:t>episodes</w:t>
      </w:r>
      <w:r>
        <w:rPr>
          <w:spacing w:val="-4"/>
          <w:w w:val="110"/>
        </w:rPr>
        <w:t xml:space="preserve"> </w:t>
      </w:r>
      <w:r>
        <w:rPr>
          <w:w w:val="110"/>
        </w:rPr>
        <w:t>of</w:t>
      </w:r>
      <w:r>
        <w:rPr>
          <w:spacing w:val="-4"/>
          <w:w w:val="110"/>
        </w:rPr>
        <w:t xml:space="preserve"> </w:t>
      </w:r>
      <w:r>
        <w:rPr>
          <w:w w:val="110"/>
        </w:rPr>
        <w:t>substance</w:t>
      </w:r>
      <w:r>
        <w:rPr>
          <w:spacing w:val="3"/>
          <w:w w:val="110"/>
        </w:rPr>
        <w:t xml:space="preserve"> </w:t>
      </w:r>
      <w:r>
        <w:rPr>
          <w:w w:val="110"/>
        </w:rPr>
        <w:t>use.</w:t>
      </w:r>
      <w:r>
        <w:rPr>
          <w:spacing w:val="-9"/>
          <w:w w:val="110"/>
        </w:rPr>
        <w:t xml:space="preserve"> </w:t>
      </w:r>
      <w:r>
        <w:rPr>
          <w:w w:val="110"/>
        </w:rPr>
        <w:t>When these</w:t>
      </w:r>
      <w:r>
        <w:rPr>
          <w:spacing w:val="-11"/>
          <w:w w:val="110"/>
        </w:rPr>
        <w:t xml:space="preserve"> </w:t>
      </w:r>
      <w:r>
        <w:rPr>
          <w:w w:val="110"/>
        </w:rPr>
        <w:t>problems</w:t>
      </w:r>
      <w:r>
        <w:rPr>
          <w:spacing w:val="-10"/>
          <w:w w:val="110"/>
        </w:rPr>
        <w:t xml:space="preserve"> </w:t>
      </w:r>
      <w:r>
        <w:rPr>
          <w:w w:val="110"/>
        </w:rPr>
        <w:t>are</w:t>
      </w:r>
      <w:r>
        <w:rPr>
          <w:spacing w:val="-16"/>
          <w:w w:val="110"/>
        </w:rPr>
        <w:t xml:space="preserve"> </w:t>
      </w:r>
      <w:r>
        <w:rPr>
          <w:w w:val="110"/>
        </w:rPr>
        <w:t>accompanied by</w:t>
      </w:r>
      <w:r>
        <w:rPr>
          <w:spacing w:val="-17"/>
          <w:w w:val="110"/>
        </w:rPr>
        <w:t xml:space="preserve"> </w:t>
      </w:r>
      <w:r>
        <w:rPr>
          <w:w w:val="110"/>
        </w:rPr>
        <w:t>evidence</w:t>
      </w:r>
      <w:r>
        <w:rPr>
          <w:spacing w:val="-16"/>
          <w:w w:val="110"/>
        </w:rPr>
        <w:t xml:space="preserve"> </w:t>
      </w:r>
      <w:r>
        <w:rPr>
          <w:w w:val="110"/>
        </w:rPr>
        <w:t>of</w:t>
      </w:r>
      <w:r>
        <w:rPr>
          <w:spacing w:val="-12"/>
          <w:w w:val="110"/>
        </w:rPr>
        <w:t xml:space="preserve"> </w:t>
      </w:r>
      <w:r>
        <w:rPr>
          <w:w w:val="110"/>
        </w:rPr>
        <w:t>tolerance,</w:t>
      </w:r>
      <w:r>
        <w:rPr>
          <w:spacing w:val="-4"/>
          <w:w w:val="110"/>
        </w:rPr>
        <w:t xml:space="preserve"> </w:t>
      </w:r>
      <w:r>
        <w:rPr>
          <w:w w:val="110"/>
        </w:rPr>
        <w:t>withdrawal,</w:t>
      </w:r>
      <w:r>
        <w:rPr>
          <w:spacing w:val="-5"/>
          <w:w w:val="110"/>
        </w:rPr>
        <w:t xml:space="preserve"> </w:t>
      </w:r>
      <w:r>
        <w:rPr>
          <w:w w:val="110"/>
        </w:rPr>
        <w:t>or</w:t>
      </w:r>
      <w:r>
        <w:rPr>
          <w:spacing w:val="-18"/>
          <w:w w:val="110"/>
        </w:rPr>
        <w:t xml:space="preserve"> </w:t>
      </w:r>
      <w:r>
        <w:rPr>
          <w:w w:val="110"/>
        </w:rPr>
        <w:t>compulsive behavior</w:t>
      </w:r>
      <w:r>
        <w:rPr>
          <w:spacing w:val="-33"/>
          <w:w w:val="110"/>
        </w:rPr>
        <w:t xml:space="preserve"> </w:t>
      </w:r>
      <w:r>
        <w:rPr>
          <w:w w:val="110"/>
        </w:rPr>
        <w:t>related</w:t>
      </w:r>
      <w:r>
        <w:rPr>
          <w:spacing w:val="-33"/>
          <w:w w:val="110"/>
        </w:rPr>
        <w:t xml:space="preserve"> </w:t>
      </w:r>
      <w:r>
        <w:rPr>
          <w:w w:val="110"/>
        </w:rPr>
        <w:t>to</w:t>
      </w:r>
      <w:r>
        <w:rPr>
          <w:spacing w:val="-38"/>
          <w:w w:val="110"/>
        </w:rPr>
        <w:t xml:space="preserve"> </w:t>
      </w:r>
      <w:r>
        <w:rPr>
          <w:w w:val="110"/>
        </w:rPr>
        <w:t>the</w:t>
      </w:r>
      <w:r>
        <w:rPr>
          <w:spacing w:val="-36"/>
          <w:w w:val="110"/>
        </w:rPr>
        <w:t xml:space="preserve"> </w:t>
      </w:r>
      <w:r>
        <w:rPr>
          <w:w w:val="110"/>
        </w:rPr>
        <w:t>use</w:t>
      </w:r>
      <w:r>
        <w:rPr>
          <w:spacing w:val="-39"/>
          <w:w w:val="110"/>
        </w:rPr>
        <w:t xml:space="preserve"> </w:t>
      </w:r>
      <w:r>
        <w:rPr>
          <w:w w:val="110"/>
        </w:rPr>
        <w:t>of</w:t>
      </w:r>
      <w:r>
        <w:rPr>
          <w:spacing w:val="-36"/>
          <w:w w:val="110"/>
        </w:rPr>
        <w:t xml:space="preserve"> </w:t>
      </w:r>
      <w:r>
        <w:rPr>
          <w:w w:val="110"/>
        </w:rPr>
        <w:t>sedatives,</w:t>
      </w:r>
      <w:r>
        <w:rPr>
          <w:spacing w:val="-30"/>
          <w:w w:val="110"/>
        </w:rPr>
        <w:t xml:space="preserve"> </w:t>
      </w:r>
      <w:r>
        <w:rPr>
          <w:w w:val="110"/>
        </w:rPr>
        <w:t>hypnotics,</w:t>
      </w:r>
      <w:r>
        <w:rPr>
          <w:spacing w:val="-30"/>
          <w:w w:val="110"/>
        </w:rPr>
        <w:t xml:space="preserve"> </w:t>
      </w:r>
      <w:r>
        <w:rPr>
          <w:w w:val="110"/>
        </w:rPr>
        <w:t>or</w:t>
      </w:r>
      <w:r>
        <w:rPr>
          <w:spacing w:val="-38"/>
          <w:w w:val="110"/>
        </w:rPr>
        <w:t xml:space="preserve"> </w:t>
      </w:r>
      <w:r>
        <w:rPr>
          <w:w w:val="110"/>
        </w:rPr>
        <w:t>anxiolytics,</w:t>
      </w:r>
      <w:r>
        <w:rPr>
          <w:spacing w:val="-30"/>
          <w:w w:val="110"/>
        </w:rPr>
        <w:t xml:space="preserve"> </w:t>
      </w:r>
      <w:r>
        <w:rPr>
          <w:w w:val="110"/>
        </w:rPr>
        <w:t>a</w:t>
      </w:r>
      <w:r>
        <w:rPr>
          <w:spacing w:val="-35"/>
          <w:w w:val="110"/>
        </w:rPr>
        <w:t xml:space="preserve"> </w:t>
      </w:r>
      <w:r>
        <w:rPr>
          <w:w w:val="110"/>
        </w:rPr>
        <w:t>diagnosis</w:t>
      </w:r>
      <w:r>
        <w:rPr>
          <w:spacing w:val="-34"/>
          <w:w w:val="110"/>
        </w:rPr>
        <w:t xml:space="preserve"> </w:t>
      </w:r>
      <w:r>
        <w:rPr>
          <w:w w:val="110"/>
        </w:rPr>
        <w:t>of</w:t>
      </w:r>
      <w:r>
        <w:rPr>
          <w:spacing w:val="-36"/>
          <w:w w:val="110"/>
        </w:rPr>
        <w:t xml:space="preserve"> </w:t>
      </w:r>
      <w:r>
        <w:rPr>
          <w:w w:val="110"/>
        </w:rPr>
        <w:t>Sedative, Hypnotic, or Anxiolytic Dependence should be</w:t>
      </w:r>
      <w:r>
        <w:rPr>
          <w:spacing w:val="54"/>
          <w:w w:val="110"/>
        </w:rPr>
        <w:t xml:space="preserve"> </w:t>
      </w:r>
      <w:r>
        <w:rPr>
          <w:w w:val="110"/>
        </w:rPr>
        <w:t>considered.</w:t>
      </w:r>
    </w:p>
    <w:p w:rsidR="00E675F0" w:rsidRDefault="00E675F0" w:rsidP="00E675F0">
      <w:pPr>
        <w:pStyle w:val="BodyText"/>
        <w:rPr>
          <w:sz w:val="22"/>
        </w:rPr>
      </w:pPr>
    </w:p>
    <w:p w:rsidR="00E675F0" w:rsidRDefault="00E675F0" w:rsidP="00E675F0">
      <w:pPr>
        <w:pStyle w:val="BodyText"/>
        <w:spacing w:before="5"/>
        <w:rPr>
          <w:sz w:val="28"/>
        </w:rPr>
      </w:pPr>
    </w:p>
    <w:p w:rsidR="00E675F0" w:rsidRDefault="00E675F0" w:rsidP="00E675F0">
      <w:pPr>
        <w:spacing w:before="1"/>
        <w:ind w:left="1857" w:right="1904" w:firstLine="394"/>
        <w:rPr>
          <w:rFonts w:ascii="TimesNewRomanPS-BoldItalicMT"/>
          <w:b/>
          <w:i/>
          <w:sz w:val="28"/>
        </w:rPr>
      </w:pPr>
      <w:r>
        <w:rPr>
          <w:rFonts w:ascii="TimesNewRomanPS-BoldItalicMT"/>
          <w:b/>
          <w:i/>
          <w:w w:val="115"/>
          <w:sz w:val="28"/>
        </w:rPr>
        <w:t>Sedative-, Hypnotic-, or Anxiolytic-Induced Disorders</w:t>
      </w:r>
    </w:p>
    <w:p w:rsidR="00E675F0" w:rsidRDefault="00E675F0" w:rsidP="00E675F0">
      <w:pPr>
        <w:pStyle w:val="BodyText"/>
        <w:spacing w:before="2"/>
        <w:rPr>
          <w:rFonts w:ascii="TimesNewRomanPS-BoldItalicMT"/>
          <w:b/>
          <w:i/>
          <w:sz w:val="41"/>
        </w:rPr>
      </w:pPr>
    </w:p>
    <w:p w:rsidR="00E675F0" w:rsidRDefault="00E675F0" w:rsidP="00E675F0">
      <w:pPr>
        <w:tabs>
          <w:tab w:val="left" w:pos="1582"/>
        </w:tabs>
        <w:ind w:left="502"/>
        <w:rPr>
          <w:rFonts w:ascii="Arial"/>
          <w:b/>
          <w:sz w:val="25"/>
        </w:rPr>
      </w:pPr>
      <w:r>
        <w:rPr>
          <w:rFonts w:ascii="Arial"/>
          <w:b/>
          <w:w w:val="105"/>
          <w:sz w:val="25"/>
        </w:rPr>
        <w:t>292.89</w:t>
      </w:r>
      <w:r>
        <w:rPr>
          <w:rFonts w:ascii="Arial"/>
          <w:b/>
          <w:w w:val="105"/>
          <w:sz w:val="25"/>
        </w:rPr>
        <w:tab/>
        <w:t>Sedative, Hypnotic, or Anxiolytic</w:t>
      </w:r>
      <w:r>
        <w:rPr>
          <w:rFonts w:ascii="Arial"/>
          <w:b/>
          <w:spacing w:val="16"/>
          <w:w w:val="105"/>
          <w:sz w:val="25"/>
        </w:rPr>
        <w:t xml:space="preserve"> </w:t>
      </w:r>
      <w:r>
        <w:rPr>
          <w:rFonts w:ascii="Arial"/>
          <w:b/>
          <w:w w:val="105"/>
          <w:sz w:val="25"/>
        </w:rPr>
        <w:t>Intoxication</w:t>
      </w:r>
    </w:p>
    <w:p w:rsidR="00E675F0" w:rsidRDefault="00E675F0" w:rsidP="00E675F0">
      <w:pPr>
        <w:pStyle w:val="BodyText"/>
        <w:spacing w:before="251" w:line="254" w:lineRule="auto"/>
        <w:ind w:left="123" w:right="113" w:hanging="2"/>
        <w:jc w:val="both"/>
      </w:pPr>
      <w:r>
        <w:rPr>
          <w:w w:val="105"/>
        </w:rPr>
        <w:t>Also refer to the text and criteria for Substance Intoxication (see p. 183). The essential feature of Sedative, Hypnotic, or Anxiolytic Intoxication is the presence of clinically significant maladaptive behavioral or psychological changes (e.g., inappropriate sexual or aggressive behavior, mood !ability, impaired judgment, impaired social or occupa­ tional functioning) that develop during, or shortly after, use of a sedative, hypnotic, or anxiolytic substance (Criteria A and B). As with other brain depressants, these behaviors</w:t>
      </w:r>
    </w:p>
    <w:p w:rsidR="00E675F0" w:rsidRDefault="00E675F0" w:rsidP="00E675F0">
      <w:pPr>
        <w:spacing w:line="254" w:lineRule="auto"/>
        <w:jc w:val="both"/>
        <w:sectPr w:rsidR="00E675F0">
          <w:pgSz w:w="8960" w:h="14260"/>
          <w:pgMar w:top="1400" w:right="640" w:bottom="280" w:left="600" w:header="683" w:footer="0" w:gutter="0"/>
          <w:cols w:space="720"/>
        </w:sectPr>
      </w:pPr>
    </w:p>
    <w:p w:rsidR="00E675F0" w:rsidRDefault="00E675F0" w:rsidP="00E675F0">
      <w:pPr>
        <w:pStyle w:val="BodyText"/>
        <w:spacing w:before="138" w:line="254" w:lineRule="auto"/>
        <w:ind w:left="108" w:right="119" w:firstLine="5"/>
        <w:jc w:val="both"/>
      </w:pPr>
      <w:bookmarkStart w:id="175" w:name="_bookmark155"/>
      <w:bookmarkEnd w:id="175"/>
      <w:r>
        <w:rPr>
          <w:w w:val="110"/>
        </w:rPr>
        <w:lastRenderedPageBreak/>
        <w:t>may be accompanied by slurred speech, an unsteady gait, nystagmus, memory or attentional</w:t>
      </w:r>
      <w:r>
        <w:rPr>
          <w:spacing w:val="-25"/>
          <w:w w:val="110"/>
        </w:rPr>
        <w:t xml:space="preserve"> </w:t>
      </w:r>
      <w:r>
        <w:rPr>
          <w:w w:val="110"/>
        </w:rPr>
        <w:t>problems,</w:t>
      </w:r>
      <w:r>
        <w:rPr>
          <w:spacing w:val="-28"/>
          <w:w w:val="110"/>
        </w:rPr>
        <w:t xml:space="preserve"> </w:t>
      </w:r>
      <w:r>
        <w:rPr>
          <w:w w:val="110"/>
        </w:rPr>
        <w:t>levels</w:t>
      </w:r>
      <w:r>
        <w:rPr>
          <w:spacing w:val="-34"/>
          <w:w w:val="110"/>
        </w:rPr>
        <w:t xml:space="preserve"> </w:t>
      </w:r>
      <w:r>
        <w:rPr>
          <w:w w:val="110"/>
        </w:rPr>
        <w:t>of</w:t>
      </w:r>
      <w:r>
        <w:rPr>
          <w:spacing w:val="-32"/>
          <w:w w:val="110"/>
        </w:rPr>
        <w:t xml:space="preserve"> </w:t>
      </w:r>
      <w:r>
        <w:rPr>
          <w:w w:val="110"/>
        </w:rPr>
        <w:t>incoordination</w:t>
      </w:r>
      <w:r>
        <w:rPr>
          <w:spacing w:val="-34"/>
          <w:w w:val="110"/>
        </w:rPr>
        <w:t xml:space="preserve"> </w:t>
      </w:r>
      <w:r>
        <w:rPr>
          <w:w w:val="110"/>
        </w:rPr>
        <w:t>that</w:t>
      </w:r>
      <w:r>
        <w:rPr>
          <w:spacing w:val="-32"/>
          <w:w w:val="110"/>
        </w:rPr>
        <w:t xml:space="preserve"> </w:t>
      </w:r>
      <w:r>
        <w:rPr>
          <w:w w:val="110"/>
        </w:rPr>
        <w:t>can</w:t>
      </w:r>
      <w:r>
        <w:rPr>
          <w:spacing w:val="-33"/>
          <w:w w:val="110"/>
        </w:rPr>
        <w:t xml:space="preserve"> </w:t>
      </w:r>
      <w:r>
        <w:rPr>
          <w:w w:val="110"/>
        </w:rPr>
        <w:t>interfere</w:t>
      </w:r>
      <w:r>
        <w:rPr>
          <w:spacing w:val="-33"/>
          <w:w w:val="110"/>
        </w:rPr>
        <w:t xml:space="preserve"> </w:t>
      </w:r>
      <w:r>
        <w:rPr>
          <w:w w:val="110"/>
        </w:rPr>
        <w:t>with</w:t>
      </w:r>
      <w:r>
        <w:rPr>
          <w:spacing w:val="-33"/>
          <w:w w:val="110"/>
        </w:rPr>
        <w:t xml:space="preserve"> </w:t>
      </w:r>
      <w:r>
        <w:rPr>
          <w:w w:val="110"/>
        </w:rPr>
        <w:t>driving</w:t>
      </w:r>
      <w:r>
        <w:rPr>
          <w:spacing w:val="-35"/>
          <w:w w:val="110"/>
        </w:rPr>
        <w:t xml:space="preserve"> </w:t>
      </w:r>
      <w:r>
        <w:rPr>
          <w:w w:val="110"/>
        </w:rPr>
        <w:t>abilities</w:t>
      </w:r>
      <w:r>
        <w:rPr>
          <w:spacing w:val="-35"/>
          <w:w w:val="110"/>
        </w:rPr>
        <w:t xml:space="preserve"> </w:t>
      </w:r>
      <w:r>
        <w:rPr>
          <w:w w:val="110"/>
        </w:rPr>
        <w:t xml:space="preserve">and with performing usual activities </w:t>
      </w:r>
      <w:r>
        <w:rPr>
          <w:w w:val="110"/>
          <w:sz w:val="18"/>
        </w:rPr>
        <w:t xml:space="preserve">to </w:t>
      </w:r>
      <w:r>
        <w:rPr>
          <w:w w:val="110"/>
        </w:rPr>
        <w:t>the point of causing accidents, and stupor or coma (Criterion C). Memory impairment is a prominent feature of Sedative, Hypnotic, or Anxiolytic Intoxication and is most often characterized by an anterograde amnesia that resembles "alcoholic blackouts," which can be quite disturbing to the individual. The symptoms must not be due to a general medical condition and are not better accounted for by another mental disorder (Criterion D). Intoxication may occur in individuals who are receiving these substances by prescription, are borrowing the medication from friends or relatives, or are deliberately taking the substance to achieve</w:t>
      </w:r>
      <w:r>
        <w:rPr>
          <w:spacing w:val="23"/>
          <w:w w:val="110"/>
        </w:rPr>
        <w:t xml:space="preserve"> </w:t>
      </w:r>
      <w:r>
        <w:rPr>
          <w:w w:val="110"/>
        </w:rPr>
        <w:t>intoxication.</w:t>
      </w:r>
    </w:p>
    <w:p w:rsidR="00E675F0" w:rsidRDefault="00E675F0" w:rsidP="00E675F0">
      <w:pPr>
        <w:pStyle w:val="BodyText"/>
      </w:pPr>
    </w:p>
    <w:p w:rsidR="00E675F0" w:rsidRDefault="00E675F0" w:rsidP="00E675F0">
      <w:pPr>
        <w:pStyle w:val="BodyText"/>
      </w:pPr>
    </w:p>
    <w:p w:rsidR="00E675F0" w:rsidRDefault="00E675F0" w:rsidP="00E675F0">
      <w:pPr>
        <w:pStyle w:val="BodyText"/>
        <w:spacing w:before="7"/>
        <w:rPr>
          <w:sz w:val="21"/>
        </w:rPr>
      </w:pPr>
    </w:p>
    <w:tbl>
      <w:tblPr>
        <w:tblW w:w="0" w:type="auto"/>
        <w:tblInd w:w="21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7341"/>
      </w:tblGrid>
      <w:tr w:rsidR="00E675F0" w:rsidTr="00A330E1">
        <w:trPr>
          <w:trHeight w:val="5381"/>
        </w:trPr>
        <w:tc>
          <w:tcPr>
            <w:tcW w:w="7341" w:type="dxa"/>
          </w:tcPr>
          <w:p w:rsidR="00E675F0" w:rsidRDefault="00E675F0" w:rsidP="003048D3">
            <w:pPr>
              <w:pStyle w:val="TableParagraph"/>
              <w:numPr>
                <w:ilvl w:val="0"/>
                <w:numId w:val="18"/>
              </w:numPr>
              <w:tabs>
                <w:tab w:val="left" w:pos="626"/>
              </w:tabs>
              <w:spacing w:before="33" w:line="206" w:lineRule="auto"/>
              <w:ind w:right="528" w:hanging="378"/>
              <w:rPr>
                <w:rFonts w:ascii="Arial" w:hAnsi="Arial"/>
                <w:b/>
                <w:sz w:val="24"/>
              </w:rPr>
            </w:pPr>
            <w:r>
              <w:rPr>
                <w:rFonts w:ascii="Arial" w:hAnsi="Arial"/>
                <w:b/>
                <w:w w:val="105"/>
                <w:sz w:val="24"/>
              </w:rPr>
              <w:t>Diagnostic</w:t>
            </w:r>
            <w:r>
              <w:rPr>
                <w:rFonts w:ascii="Arial" w:hAnsi="Arial"/>
                <w:b/>
                <w:spacing w:val="-6"/>
                <w:w w:val="105"/>
                <w:sz w:val="24"/>
              </w:rPr>
              <w:t xml:space="preserve"> </w:t>
            </w:r>
            <w:r>
              <w:rPr>
                <w:rFonts w:ascii="Arial" w:hAnsi="Arial"/>
                <w:b/>
                <w:w w:val="105"/>
                <w:sz w:val="24"/>
              </w:rPr>
              <w:t>criteria</w:t>
            </w:r>
            <w:r>
              <w:rPr>
                <w:rFonts w:ascii="Arial" w:hAnsi="Arial"/>
                <w:b/>
                <w:spacing w:val="-16"/>
                <w:w w:val="105"/>
                <w:sz w:val="24"/>
              </w:rPr>
              <w:t xml:space="preserve"> </w:t>
            </w:r>
            <w:r>
              <w:rPr>
                <w:rFonts w:ascii="Arial" w:hAnsi="Arial"/>
                <w:b/>
                <w:w w:val="105"/>
                <w:sz w:val="24"/>
              </w:rPr>
              <w:t>for</w:t>
            </w:r>
            <w:r>
              <w:rPr>
                <w:rFonts w:ascii="Arial" w:hAnsi="Arial"/>
                <w:b/>
                <w:spacing w:val="-13"/>
                <w:w w:val="105"/>
                <w:sz w:val="24"/>
              </w:rPr>
              <w:t xml:space="preserve"> </w:t>
            </w:r>
            <w:r>
              <w:rPr>
                <w:rFonts w:ascii="Arial" w:hAnsi="Arial"/>
                <w:b/>
                <w:w w:val="105"/>
                <w:sz w:val="24"/>
              </w:rPr>
              <w:t>292.89</w:t>
            </w:r>
            <w:r>
              <w:rPr>
                <w:rFonts w:ascii="Arial" w:hAnsi="Arial"/>
                <w:b/>
                <w:spacing w:val="-13"/>
                <w:w w:val="105"/>
                <w:sz w:val="24"/>
              </w:rPr>
              <w:t xml:space="preserve"> </w:t>
            </w:r>
            <w:r>
              <w:rPr>
                <w:rFonts w:ascii="Arial" w:hAnsi="Arial"/>
                <w:b/>
                <w:w w:val="105"/>
                <w:sz w:val="24"/>
              </w:rPr>
              <w:t>Sedative,</w:t>
            </w:r>
            <w:r>
              <w:rPr>
                <w:rFonts w:ascii="Arial" w:hAnsi="Arial"/>
                <w:b/>
                <w:spacing w:val="-10"/>
                <w:w w:val="105"/>
                <w:sz w:val="24"/>
              </w:rPr>
              <w:t xml:space="preserve"> </w:t>
            </w:r>
            <w:r>
              <w:rPr>
                <w:rFonts w:ascii="Arial" w:hAnsi="Arial"/>
                <w:b/>
                <w:w w:val="105"/>
                <w:sz w:val="24"/>
              </w:rPr>
              <w:t>Hypnotic,</w:t>
            </w:r>
            <w:r>
              <w:rPr>
                <w:rFonts w:ascii="Arial" w:hAnsi="Arial"/>
                <w:b/>
                <w:spacing w:val="-8"/>
                <w:w w:val="105"/>
                <w:sz w:val="24"/>
              </w:rPr>
              <w:t xml:space="preserve"> </w:t>
            </w:r>
            <w:r>
              <w:rPr>
                <w:rFonts w:ascii="Arial" w:hAnsi="Arial"/>
                <w:b/>
                <w:w w:val="105"/>
                <w:sz w:val="24"/>
              </w:rPr>
              <w:t>or Anxiolytic</w:t>
            </w:r>
            <w:r>
              <w:rPr>
                <w:rFonts w:ascii="Arial" w:hAnsi="Arial"/>
                <w:b/>
                <w:spacing w:val="6"/>
                <w:w w:val="105"/>
                <w:sz w:val="24"/>
              </w:rPr>
              <w:t xml:space="preserve"> </w:t>
            </w:r>
            <w:r>
              <w:rPr>
                <w:rFonts w:ascii="Arial" w:hAnsi="Arial"/>
                <w:b/>
                <w:w w:val="105"/>
                <w:sz w:val="24"/>
              </w:rPr>
              <w:t>Intoxication</w:t>
            </w:r>
          </w:p>
          <w:p w:rsidR="00E675F0" w:rsidRDefault="00E675F0" w:rsidP="003048D3">
            <w:pPr>
              <w:pStyle w:val="TableParagraph"/>
              <w:numPr>
                <w:ilvl w:val="1"/>
                <w:numId w:val="18"/>
              </w:numPr>
              <w:tabs>
                <w:tab w:val="left" w:pos="963"/>
              </w:tabs>
              <w:spacing w:before="172"/>
              <w:ind w:hanging="317"/>
              <w:rPr>
                <w:sz w:val="18"/>
              </w:rPr>
            </w:pPr>
            <w:r>
              <w:rPr>
                <w:w w:val="105"/>
                <w:sz w:val="20"/>
              </w:rPr>
              <w:t>Recent use of a sedative, hypnotic, or</w:t>
            </w:r>
            <w:r>
              <w:rPr>
                <w:spacing w:val="-15"/>
                <w:w w:val="105"/>
                <w:sz w:val="20"/>
              </w:rPr>
              <w:t xml:space="preserve"> </w:t>
            </w:r>
            <w:r>
              <w:rPr>
                <w:w w:val="105"/>
                <w:sz w:val="20"/>
              </w:rPr>
              <w:t>anxiolytic.</w:t>
            </w:r>
          </w:p>
          <w:p w:rsidR="00E675F0" w:rsidRDefault="00E675F0" w:rsidP="003048D3">
            <w:pPr>
              <w:pStyle w:val="TableParagraph"/>
              <w:numPr>
                <w:ilvl w:val="1"/>
                <w:numId w:val="18"/>
              </w:numPr>
              <w:tabs>
                <w:tab w:val="left" w:pos="959"/>
              </w:tabs>
              <w:spacing w:before="198" w:line="256" w:lineRule="auto"/>
              <w:ind w:left="957" w:right="224" w:hanging="308"/>
              <w:jc w:val="both"/>
              <w:rPr>
                <w:sz w:val="20"/>
              </w:rPr>
            </w:pPr>
            <w:r>
              <w:rPr>
                <w:w w:val="105"/>
                <w:sz w:val="20"/>
              </w:rPr>
              <w:t>Clinically significant maladaptive behavioral or psychological changes (e.g., inappropriate sexual or aggressive behavior, mood lability, im­ paired judgment, impaired social or occupational functioning) that developed during, or shortly after, sedative, hypnotic, or anxiolytic</w:t>
            </w:r>
            <w:r>
              <w:rPr>
                <w:spacing w:val="2"/>
                <w:w w:val="105"/>
                <w:sz w:val="20"/>
              </w:rPr>
              <w:t xml:space="preserve"> </w:t>
            </w:r>
            <w:r>
              <w:rPr>
                <w:w w:val="105"/>
                <w:sz w:val="20"/>
              </w:rPr>
              <w:t>use.</w:t>
            </w:r>
          </w:p>
          <w:p w:rsidR="00E675F0" w:rsidRDefault="00E675F0" w:rsidP="003048D3">
            <w:pPr>
              <w:pStyle w:val="TableParagraph"/>
              <w:numPr>
                <w:ilvl w:val="1"/>
                <w:numId w:val="18"/>
              </w:numPr>
              <w:tabs>
                <w:tab w:val="left" w:pos="959"/>
              </w:tabs>
              <w:spacing w:before="174" w:line="252" w:lineRule="auto"/>
              <w:ind w:left="955" w:right="229" w:hanging="305"/>
              <w:rPr>
                <w:sz w:val="18"/>
              </w:rPr>
            </w:pPr>
            <w:r>
              <w:rPr>
                <w:w w:val="105"/>
                <w:sz w:val="20"/>
              </w:rPr>
              <w:t>One</w:t>
            </w:r>
            <w:r>
              <w:rPr>
                <w:spacing w:val="-10"/>
                <w:w w:val="105"/>
                <w:sz w:val="20"/>
              </w:rPr>
              <w:t xml:space="preserve"> </w:t>
            </w:r>
            <w:r>
              <w:rPr>
                <w:w w:val="105"/>
                <w:sz w:val="20"/>
              </w:rPr>
              <w:t>(or</w:t>
            </w:r>
            <w:r>
              <w:rPr>
                <w:spacing w:val="-8"/>
                <w:w w:val="105"/>
                <w:sz w:val="20"/>
              </w:rPr>
              <w:t xml:space="preserve"> </w:t>
            </w:r>
            <w:r>
              <w:rPr>
                <w:w w:val="105"/>
                <w:sz w:val="20"/>
              </w:rPr>
              <w:t>more)</w:t>
            </w:r>
            <w:r>
              <w:rPr>
                <w:spacing w:val="-9"/>
                <w:w w:val="105"/>
                <w:sz w:val="20"/>
              </w:rPr>
              <w:t xml:space="preserve"> </w:t>
            </w:r>
            <w:r>
              <w:rPr>
                <w:w w:val="105"/>
                <w:sz w:val="20"/>
              </w:rPr>
              <w:t>of</w:t>
            </w:r>
            <w:r>
              <w:rPr>
                <w:spacing w:val="2"/>
                <w:w w:val="105"/>
                <w:sz w:val="20"/>
              </w:rPr>
              <w:t xml:space="preserve"> </w:t>
            </w:r>
            <w:r>
              <w:rPr>
                <w:w w:val="105"/>
                <w:sz w:val="20"/>
              </w:rPr>
              <w:t>the</w:t>
            </w:r>
            <w:r>
              <w:rPr>
                <w:spacing w:val="-18"/>
                <w:w w:val="105"/>
                <w:sz w:val="20"/>
              </w:rPr>
              <w:t xml:space="preserve"> </w:t>
            </w:r>
            <w:r>
              <w:rPr>
                <w:w w:val="105"/>
                <w:sz w:val="20"/>
              </w:rPr>
              <w:t>following</w:t>
            </w:r>
            <w:r>
              <w:rPr>
                <w:spacing w:val="-10"/>
                <w:w w:val="105"/>
                <w:sz w:val="20"/>
              </w:rPr>
              <w:t xml:space="preserve"> </w:t>
            </w:r>
            <w:r>
              <w:rPr>
                <w:w w:val="105"/>
                <w:sz w:val="20"/>
              </w:rPr>
              <w:t>signs,</w:t>
            </w:r>
            <w:r>
              <w:rPr>
                <w:spacing w:val="-7"/>
                <w:w w:val="105"/>
                <w:sz w:val="20"/>
              </w:rPr>
              <w:t xml:space="preserve"> </w:t>
            </w:r>
            <w:r>
              <w:rPr>
                <w:w w:val="105"/>
                <w:sz w:val="20"/>
              </w:rPr>
              <w:t>developing</w:t>
            </w:r>
            <w:r>
              <w:rPr>
                <w:spacing w:val="2"/>
                <w:w w:val="105"/>
                <w:sz w:val="20"/>
              </w:rPr>
              <w:t xml:space="preserve"> </w:t>
            </w:r>
            <w:r>
              <w:rPr>
                <w:w w:val="105"/>
                <w:sz w:val="20"/>
              </w:rPr>
              <w:t>during,</w:t>
            </w:r>
            <w:r>
              <w:rPr>
                <w:spacing w:val="2"/>
                <w:w w:val="105"/>
                <w:sz w:val="20"/>
              </w:rPr>
              <w:t xml:space="preserve"> </w:t>
            </w:r>
            <w:r>
              <w:rPr>
                <w:w w:val="105"/>
                <w:sz w:val="20"/>
              </w:rPr>
              <w:t>or</w:t>
            </w:r>
            <w:r>
              <w:rPr>
                <w:spacing w:val="-12"/>
                <w:w w:val="105"/>
                <w:sz w:val="20"/>
              </w:rPr>
              <w:t xml:space="preserve"> </w:t>
            </w:r>
            <w:r>
              <w:rPr>
                <w:w w:val="105"/>
                <w:sz w:val="20"/>
              </w:rPr>
              <w:t>shortly</w:t>
            </w:r>
            <w:r>
              <w:rPr>
                <w:spacing w:val="-7"/>
                <w:w w:val="105"/>
                <w:sz w:val="20"/>
              </w:rPr>
              <w:t xml:space="preserve"> </w:t>
            </w:r>
            <w:r>
              <w:rPr>
                <w:w w:val="105"/>
                <w:sz w:val="20"/>
              </w:rPr>
              <w:t>after, sedative, hypnotic, or anxiolytic</w:t>
            </w:r>
            <w:r>
              <w:rPr>
                <w:spacing w:val="9"/>
                <w:w w:val="105"/>
                <w:sz w:val="20"/>
              </w:rPr>
              <w:t xml:space="preserve"> </w:t>
            </w:r>
            <w:r>
              <w:rPr>
                <w:w w:val="105"/>
                <w:sz w:val="20"/>
              </w:rPr>
              <w:t>use:</w:t>
            </w:r>
          </w:p>
          <w:p w:rsidR="00E675F0" w:rsidRDefault="00E675F0" w:rsidP="003048D3">
            <w:pPr>
              <w:pStyle w:val="TableParagraph"/>
              <w:numPr>
                <w:ilvl w:val="2"/>
                <w:numId w:val="18"/>
              </w:numPr>
              <w:tabs>
                <w:tab w:val="left" w:pos="1379"/>
                <w:tab w:val="left" w:pos="1380"/>
              </w:tabs>
              <w:spacing w:before="60"/>
              <w:ind w:hanging="422"/>
              <w:rPr>
                <w:sz w:val="17"/>
              </w:rPr>
            </w:pPr>
            <w:r>
              <w:rPr>
                <w:w w:val="110"/>
                <w:sz w:val="20"/>
              </w:rPr>
              <w:t>slurred</w:t>
            </w:r>
            <w:r>
              <w:rPr>
                <w:spacing w:val="-28"/>
                <w:w w:val="110"/>
                <w:sz w:val="20"/>
              </w:rPr>
              <w:t xml:space="preserve"> </w:t>
            </w:r>
            <w:r>
              <w:rPr>
                <w:w w:val="110"/>
                <w:sz w:val="20"/>
              </w:rPr>
              <w:t>speech</w:t>
            </w:r>
          </w:p>
          <w:p w:rsidR="00E675F0" w:rsidRDefault="00E675F0" w:rsidP="003048D3">
            <w:pPr>
              <w:pStyle w:val="TableParagraph"/>
              <w:numPr>
                <w:ilvl w:val="2"/>
                <w:numId w:val="18"/>
              </w:numPr>
              <w:tabs>
                <w:tab w:val="left" w:pos="1388"/>
              </w:tabs>
              <w:spacing w:before="5"/>
              <w:ind w:left="1387" w:hanging="431"/>
              <w:rPr>
                <w:sz w:val="20"/>
              </w:rPr>
            </w:pPr>
            <w:r>
              <w:rPr>
                <w:w w:val="110"/>
                <w:sz w:val="20"/>
              </w:rPr>
              <w:t>incoordination</w:t>
            </w:r>
          </w:p>
          <w:p w:rsidR="00E675F0" w:rsidRDefault="00E675F0" w:rsidP="003048D3">
            <w:pPr>
              <w:pStyle w:val="TableParagraph"/>
              <w:numPr>
                <w:ilvl w:val="2"/>
                <w:numId w:val="18"/>
              </w:numPr>
              <w:tabs>
                <w:tab w:val="left" w:pos="1389"/>
              </w:tabs>
              <w:spacing w:before="11"/>
              <w:ind w:left="1388" w:hanging="432"/>
              <w:rPr>
                <w:sz w:val="20"/>
              </w:rPr>
            </w:pPr>
            <w:r>
              <w:rPr>
                <w:w w:val="105"/>
                <w:sz w:val="20"/>
              </w:rPr>
              <w:t>unsteady</w:t>
            </w:r>
            <w:r>
              <w:rPr>
                <w:spacing w:val="6"/>
                <w:w w:val="105"/>
                <w:sz w:val="20"/>
              </w:rPr>
              <w:t xml:space="preserve"> </w:t>
            </w:r>
            <w:r>
              <w:rPr>
                <w:w w:val="105"/>
                <w:sz w:val="20"/>
              </w:rPr>
              <w:t>gait</w:t>
            </w:r>
          </w:p>
          <w:p w:rsidR="00E675F0" w:rsidRDefault="00E675F0" w:rsidP="003048D3">
            <w:pPr>
              <w:pStyle w:val="TableParagraph"/>
              <w:numPr>
                <w:ilvl w:val="2"/>
                <w:numId w:val="18"/>
              </w:numPr>
              <w:tabs>
                <w:tab w:val="left" w:pos="1388"/>
              </w:tabs>
              <w:spacing w:before="10"/>
              <w:ind w:left="1387" w:hanging="431"/>
              <w:rPr>
                <w:sz w:val="20"/>
              </w:rPr>
            </w:pPr>
            <w:r>
              <w:rPr>
                <w:w w:val="105"/>
                <w:sz w:val="20"/>
              </w:rPr>
              <w:t>nystagmus</w:t>
            </w:r>
          </w:p>
          <w:p w:rsidR="00E675F0" w:rsidRDefault="00E675F0" w:rsidP="003048D3">
            <w:pPr>
              <w:pStyle w:val="TableParagraph"/>
              <w:numPr>
                <w:ilvl w:val="2"/>
                <w:numId w:val="18"/>
              </w:numPr>
              <w:tabs>
                <w:tab w:val="left" w:pos="1384"/>
              </w:tabs>
              <w:spacing w:before="11"/>
              <w:ind w:left="1383" w:hanging="427"/>
              <w:rPr>
                <w:sz w:val="20"/>
              </w:rPr>
            </w:pPr>
            <w:r>
              <w:rPr>
                <w:w w:val="105"/>
                <w:sz w:val="20"/>
              </w:rPr>
              <w:t>impairment in attention or</w:t>
            </w:r>
            <w:r>
              <w:rPr>
                <w:spacing w:val="8"/>
                <w:w w:val="105"/>
                <w:sz w:val="20"/>
              </w:rPr>
              <w:t xml:space="preserve"> </w:t>
            </w:r>
            <w:r>
              <w:rPr>
                <w:w w:val="105"/>
                <w:sz w:val="20"/>
              </w:rPr>
              <w:t>memory</w:t>
            </w:r>
          </w:p>
          <w:p w:rsidR="00E675F0" w:rsidRDefault="00E675F0" w:rsidP="003048D3">
            <w:pPr>
              <w:pStyle w:val="TableParagraph"/>
              <w:numPr>
                <w:ilvl w:val="2"/>
                <w:numId w:val="18"/>
              </w:numPr>
              <w:tabs>
                <w:tab w:val="left" w:pos="1380"/>
              </w:tabs>
              <w:spacing w:before="10"/>
              <w:ind w:hanging="423"/>
              <w:rPr>
                <w:sz w:val="20"/>
              </w:rPr>
            </w:pPr>
            <w:r>
              <w:rPr>
                <w:w w:val="110"/>
                <w:sz w:val="20"/>
              </w:rPr>
              <w:t>stupor or</w:t>
            </w:r>
            <w:r>
              <w:rPr>
                <w:spacing w:val="7"/>
                <w:w w:val="110"/>
                <w:sz w:val="20"/>
              </w:rPr>
              <w:t xml:space="preserve"> </w:t>
            </w:r>
            <w:r>
              <w:rPr>
                <w:w w:val="110"/>
                <w:sz w:val="20"/>
              </w:rPr>
              <w:t>coma</w:t>
            </w:r>
          </w:p>
          <w:p w:rsidR="00E675F0" w:rsidRDefault="00E675F0" w:rsidP="003048D3">
            <w:pPr>
              <w:pStyle w:val="TableParagraph"/>
              <w:numPr>
                <w:ilvl w:val="1"/>
                <w:numId w:val="18"/>
              </w:numPr>
              <w:tabs>
                <w:tab w:val="left" w:pos="951"/>
              </w:tabs>
              <w:spacing w:before="193" w:line="256" w:lineRule="auto"/>
              <w:ind w:left="966" w:right="224" w:hanging="312"/>
              <w:rPr>
                <w:sz w:val="20"/>
              </w:rPr>
            </w:pPr>
            <w:r>
              <w:rPr>
                <w:w w:val="110"/>
                <w:sz w:val="20"/>
              </w:rPr>
              <w:t>The symptoms are not due to a general medical condition and are not better accounted for by another mental</w:t>
            </w:r>
            <w:r>
              <w:rPr>
                <w:spacing w:val="32"/>
                <w:w w:val="110"/>
                <w:sz w:val="20"/>
              </w:rPr>
              <w:t xml:space="preserve"> </w:t>
            </w:r>
            <w:r>
              <w:rPr>
                <w:w w:val="110"/>
                <w:sz w:val="20"/>
              </w:rPr>
              <w:t>disorder.</w:t>
            </w:r>
          </w:p>
        </w:tc>
      </w:tr>
    </w:tbl>
    <w:p w:rsidR="00E675F0" w:rsidRDefault="00E675F0" w:rsidP="00E675F0">
      <w:pPr>
        <w:pStyle w:val="BodyText"/>
      </w:pPr>
    </w:p>
    <w:p w:rsidR="00E675F0" w:rsidRDefault="00E675F0" w:rsidP="00E675F0">
      <w:pPr>
        <w:pStyle w:val="BodyText"/>
        <w:spacing w:before="10"/>
        <w:rPr>
          <w:sz w:val="24"/>
        </w:rPr>
      </w:pPr>
    </w:p>
    <w:p w:rsidR="00E675F0" w:rsidRDefault="00E675F0" w:rsidP="00E675F0">
      <w:pPr>
        <w:tabs>
          <w:tab w:val="left" w:pos="1530"/>
        </w:tabs>
        <w:spacing w:before="93"/>
        <w:ind w:left="609"/>
        <w:rPr>
          <w:rFonts w:ascii="Arial"/>
          <w:b/>
          <w:sz w:val="25"/>
        </w:rPr>
      </w:pPr>
      <w:r>
        <w:rPr>
          <w:noProof/>
        </w:rPr>
        <mc:AlternateContent>
          <mc:Choice Requires="wps">
            <w:drawing>
              <wp:anchor distT="0" distB="0" distL="114300" distR="114300" simplePos="0" relativeHeight="251726848" behindDoc="0" locked="0" layoutInCell="1" allowOverlap="1" wp14:anchorId="17F9954B" wp14:editId="5CE11A7D">
                <wp:simplePos x="0" y="0"/>
                <wp:positionH relativeFrom="page">
                  <wp:posOffset>509270</wp:posOffset>
                </wp:positionH>
                <wp:positionV relativeFrom="paragraph">
                  <wp:posOffset>-283210</wp:posOffset>
                </wp:positionV>
                <wp:extent cx="0" cy="0"/>
                <wp:effectExtent l="0" t="0" r="0" b="0"/>
                <wp:wrapNone/>
                <wp:docPr id="1297" name="Line 12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305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70980B" id="Line 1253" o:spid="_x0000_s1026" style="position:absolute;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1pt,-22.3pt" to="40.1pt,-22.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" strokeweight=".84856mm">
                <o:lock v:ext="edit" shapetype="f"/>
                <w10:wrap anchorx="page"/>
              </v:line>
            </w:pict>
          </mc:Fallback>
        </mc:AlternateContent>
      </w:r>
      <w:r>
        <w:rPr>
          <w:noProof/>
        </w:rPr>
        <mc:AlternateContent>
          <mc:Choice Requires="wps">
            <w:drawing>
              <wp:anchor distT="0" distB="0" distL="114300" distR="114300" simplePos="0" relativeHeight="251810816" behindDoc="1" locked="0" layoutInCell="1" allowOverlap="1" wp14:anchorId="42C21440" wp14:editId="2A8FAD86">
                <wp:simplePos x="0" y="0"/>
                <wp:positionH relativeFrom="page">
                  <wp:posOffset>5171440</wp:posOffset>
                </wp:positionH>
                <wp:positionV relativeFrom="paragraph">
                  <wp:posOffset>-283210</wp:posOffset>
                </wp:positionV>
                <wp:extent cx="0" cy="0"/>
                <wp:effectExtent l="0" t="0" r="0" b="0"/>
                <wp:wrapNone/>
                <wp:docPr id="1296" name="Line 12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3360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F16B4A" id="Line 1252" o:spid="_x0000_s1026" style="position:absolute;z-index:-251505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7.2pt,-22.3pt" to="407.2pt,-22.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" strokeweight=".93339mm">
                <o:lock v:ext="edit" shapetype="f"/>
                <w10:wrap anchorx="page"/>
              </v:line>
            </w:pict>
          </mc:Fallback>
        </mc:AlternateContent>
      </w:r>
      <w:r>
        <w:rPr>
          <w:rFonts w:ascii="Arial"/>
          <w:b/>
          <w:w w:val="105"/>
          <w:sz w:val="25"/>
        </w:rPr>
        <w:t>292.0</w:t>
      </w:r>
      <w:r>
        <w:rPr>
          <w:rFonts w:ascii="Arial"/>
          <w:b/>
          <w:w w:val="105"/>
          <w:sz w:val="25"/>
        </w:rPr>
        <w:tab/>
        <w:t>Sedative, Hypnotic, or Anxiolytic</w:t>
      </w:r>
      <w:r>
        <w:rPr>
          <w:rFonts w:ascii="Arial"/>
          <w:b/>
          <w:spacing w:val="20"/>
          <w:w w:val="105"/>
          <w:sz w:val="25"/>
        </w:rPr>
        <w:t xml:space="preserve"> </w:t>
      </w:r>
      <w:r>
        <w:rPr>
          <w:rFonts w:ascii="Arial"/>
          <w:b/>
          <w:w w:val="105"/>
          <w:sz w:val="25"/>
        </w:rPr>
        <w:t>Withdrawal</w:t>
      </w:r>
    </w:p>
    <w:p w:rsidR="00E675F0" w:rsidRDefault="00E675F0" w:rsidP="00E675F0">
      <w:pPr>
        <w:pStyle w:val="BodyText"/>
        <w:spacing w:before="3"/>
        <w:rPr>
          <w:rFonts w:ascii="Arial"/>
          <w:b/>
          <w:sz w:val="37"/>
        </w:rPr>
      </w:pPr>
    </w:p>
    <w:p w:rsidR="00E675F0" w:rsidRDefault="00E675F0" w:rsidP="00E675F0">
      <w:pPr>
        <w:pStyle w:val="BodyText"/>
        <w:spacing w:line="256" w:lineRule="auto"/>
        <w:ind w:left="112" w:right="109" w:firstLine="6"/>
        <w:jc w:val="both"/>
      </w:pPr>
      <w:r>
        <w:rPr>
          <w:w w:val="105"/>
        </w:rPr>
        <w:t>Also refer to the text and criteria for Substance Withdrawal (see p. 184). The essential feature</w:t>
      </w:r>
      <w:r>
        <w:rPr>
          <w:spacing w:val="-15"/>
          <w:w w:val="105"/>
        </w:rPr>
        <w:t xml:space="preserve"> </w:t>
      </w:r>
      <w:r>
        <w:rPr>
          <w:w w:val="105"/>
        </w:rPr>
        <w:t>of</w:t>
      </w:r>
      <w:r>
        <w:rPr>
          <w:spacing w:val="-13"/>
          <w:w w:val="105"/>
        </w:rPr>
        <w:t xml:space="preserve"> </w:t>
      </w:r>
      <w:r>
        <w:rPr>
          <w:w w:val="105"/>
        </w:rPr>
        <w:t>Sedative,</w:t>
      </w:r>
      <w:r>
        <w:rPr>
          <w:spacing w:val="-6"/>
          <w:w w:val="105"/>
        </w:rPr>
        <w:t xml:space="preserve"> </w:t>
      </w:r>
      <w:r>
        <w:rPr>
          <w:w w:val="105"/>
        </w:rPr>
        <w:t>Hypnotic,</w:t>
      </w:r>
      <w:r>
        <w:rPr>
          <w:spacing w:val="-7"/>
          <w:w w:val="105"/>
        </w:rPr>
        <w:t xml:space="preserve"> </w:t>
      </w:r>
      <w:r>
        <w:rPr>
          <w:w w:val="105"/>
        </w:rPr>
        <w:t>or</w:t>
      </w:r>
      <w:r>
        <w:rPr>
          <w:spacing w:val="-11"/>
          <w:w w:val="105"/>
        </w:rPr>
        <w:t xml:space="preserve"> </w:t>
      </w:r>
      <w:r>
        <w:rPr>
          <w:w w:val="105"/>
        </w:rPr>
        <w:t>Anxiolytic</w:t>
      </w:r>
      <w:r>
        <w:rPr>
          <w:spacing w:val="-16"/>
          <w:w w:val="105"/>
        </w:rPr>
        <w:t xml:space="preserve"> </w:t>
      </w:r>
      <w:r>
        <w:rPr>
          <w:w w:val="105"/>
        </w:rPr>
        <w:t>Withdrawal</w:t>
      </w:r>
      <w:r>
        <w:rPr>
          <w:spacing w:val="1"/>
          <w:w w:val="105"/>
        </w:rPr>
        <w:t xml:space="preserve"> </w:t>
      </w:r>
      <w:r>
        <w:rPr>
          <w:w w:val="105"/>
        </w:rPr>
        <w:t>is</w:t>
      </w:r>
      <w:r>
        <w:rPr>
          <w:spacing w:val="-17"/>
          <w:w w:val="105"/>
        </w:rPr>
        <w:t xml:space="preserve"> </w:t>
      </w:r>
      <w:r>
        <w:rPr>
          <w:w w:val="105"/>
        </w:rPr>
        <w:t>the</w:t>
      </w:r>
      <w:r>
        <w:rPr>
          <w:spacing w:val="-12"/>
          <w:w w:val="105"/>
        </w:rPr>
        <w:t xml:space="preserve"> </w:t>
      </w:r>
      <w:r>
        <w:rPr>
          <w:w w:val="105"/>
        </w:rPr>
        <w:t>presence</w:t>
      </w:r>
      <w:r>
        <w:rPr>
          <w:spacing w:val="-9"/>
          <w:w w:val="105"/>
        </w:rPr>
        <w:t xml:space="preserve"> </w:t>
      </w:r>
      <w:r>
        <w:rPr>
          <w:w w:val="105"/>
        </w:rPr>
        <w:t>of</w:t>
      </w:r>
      <w:r>
        <w:rPr>
          <w:spacing w:val="-13"/>
          <w:w w:val="105"/>
        </w:rPr>
        <w:t xml:space="preserve"> </w:t>
      </w:r>
      <w:r>
        <w:rPr>
          <w:w w:val="105"/>
        </w:rPr>
        <w:t>a</w:t>
      </w:r>
      <w:r>
        <w:rPr>
          <w:spacing w:val="-17"/>
          <w:w w:val="105"/>
        </w:rPr>
        <w:t xml:space="preserve"> </w:t>
      </w:r>
      <w:r>
        <w:rPr>
          <w:w w:val="105"/>
        </w:rPr>
        <w:t>characteristic syndrome that develops after a marked decrease in or cessation of intake after several weeks or more of regular use (Criteria A and B). This withdrawal syndrome is characterized by two or more symptoms (similar to Alcohol Withdrawal) that include autonomic hyperactivity (e.g., increases in heart rate, respiratory  rate, blood  pressure, or body temperature, along with sweating); a tremor of the hands; insomnia,</w:t>
      </w:r>
      <w:r>
        <w:rPr>
          <w:spacing w:val="-13"/>
          <w:w w:val="105"/>
        </w:rPr>
        <w:t xml:space="preserve"> </w:t>
      </w:r>
      <w:r>
        <w:rPr>
          <w:w w:val="105"/>
        </w:rPr>
        <w:t>anxiety,</w:t>
      </w:r>
    </w:p>
    <w:p w:rsidR="00E675F0" w:rsidRDefault="00E675F0" w:rsidP="00E675F0">
      <w:pPr>
        <w:spacing w:line="256" w:lineRule="auto"/>
        <w:jc w:val="both"/>
        <w:sectPr w:rsidR="00E675F0">
          <w:pgSz w:w="8960" w:h="14260"/>
          <w:pgMar w:top="1400" w:right="620" w:bottom="280" w:left="620" w:header="697" w:footer="0" w:gutter="0"/>
          <w:cols w:space="720"/>
        </w:sectPr>
      </w:pPr>
    </w:p>
    <w:p w:rsidR="00E675F0" w:rsidRDefault="00E675F0" w:rsidP="00E675F0">
      <w:pPr>
        <w:spacing w:before="148" w:line="264" w:lineRule="auto"/>
        <w:ind w:left="109" w:right="101" w:firstLine="2"/>
        <w:jc w:val="both"/>
        <w:rPr>
          <w:sz w:val="19"/>
        </w:rPr>
      </w:pPr>
      <w:r>
        <w:rPr>
          <w:w w:val="110"/>
          <w:sz w:val="19"/>
        </w:rPr>
        <w:lastRenderedPageBreak/>
        <w:t xml:space="preserve">and nausea sometimes accompanied by vomiting; and psychomotor agitation. A grand mal seizure may occur in perhaps as many as 20%-30% of individuals undergoing untreated withdrawal from these substances. In severe Withdrawal, visual, tactile, or auditory hallucinations or illusions can occur. </w:t>
      </w:r>
      <w:r>
        <w:rPr>
          <w:w w:val="110"/>
          <w:sz w:val="20"/>
        </w:rPr>
        <w:t xml:space="preserve">If </w:t>
      </w:r>
      <w:r>
        <w:rPr>
          <w:w w:val="110"/>
          <w:sz w:val="19"/>
        </w:rPr>
        <w:t>the person's reality testing is intact (i.e., he or she knows the substance  is causing the  hallucinations) and  the  illusions occur in a clear sensorium, the specifier With Perceptual Disturbances can be noted (see below). The symptoms cause clinically significant distress or impairment in social, occupational, or other important areas of functioning (Criterion C). The symptoms  must  not  be  due to a general medical condition and are not better accounted for by another mental disorder</w:t>
      </w:r>
      <w:r>
        <w:rPr>
          <w:spacing w:val="-17"/>
          <w:w w:val="110"/>
          <w:sz w:val="19"/>
        </w:rPr>
        <w:t xml:space="preserve"> </w:t>
      </w:r>
      <w:r>
        <w:rPr>
          <w:w w:val="110"/>
          <w:sz w:val="19"/>
        </w:rPr>
        <w:t>(e.g.,</w:t>
      </w:r>
      <w:r>
        <w:rPr>
          <w:spacing w:val="-18"/>
          <w:w w:val="110"/>
          <w:sz w:val="19"/>
        </w:rPr>
        <w:t xml:space="preserve"> </w:t>
      </w:r>
      <w:r>
        <w:rPr>
          <w:w w:val="110"/>
          <w:sz w:val="19"/>
        </w:rPr>
        <w:t>Alcohol</w:t>
      </w:r>
      <w:r>
        <w:rPr>
          <w:spacing w:val="-16"/>
          <w:w w:val="110"/>
          <w:sz w:val="19"/>
        </w:rPr>
        <w:t xml:space="preserve"> </w:t>
      </w:r>
      <w:r>
        <w:rPr>
          <w:w w:val="110"/>
          <w:sz w:val="19"/>
        </w:rPr>
        <w:t>Withdrawal</w:t>
      </w:r>
      <w:r>
        <w:rPr>
          <w:spacing w:val="-13"/>
          <w:w w:val="110"/>
          <w:sz w:val="19"/>
        </w:rPr>
        <w:t xml:space="preserve"> </w:t>
      </w:r>
      <w:r>
        <w:rPr>
          <w:w w:val="110"/>
          <w:sz w:val="19"/>
        </w:rPr>
        <w:t>or</w:t>
      </w:r>
      <w:r>
        <w:rPr>
          <w:spacing w:val="-10"/>
          <w:w w:val="110"/>
          <w:sz w:val="19"/>
        </w:rPr>
        <w:t xml:space="preserve"> </w:t>
      </w:r>
      <w:r>
        <w:rPr>
          <w:w w:val="110"/>
          <w:sz w:val="19"/>
        </w:rPr>
        <w:t>Generalized</w:t>
      </w:r>
      <w:r>
        <w:rPr>
          <w:spacing w:val="-9"/>
          <w:w w:val="110"/>
          <w:sz w:val="19"/>
        </w:rPr>
        <w:t xml:space="preserve"> </w:t>
      </w:r>
      <w:r>
        <w:rPr>
          <w:w w:val="110"/>
          <w:sz w:val="19"/>
        </w:rPr>
        <w:t>Anxiety</w:t>
      </w:r>
      <w:r>
        <w:rPr>
          <w:spacing w:val="-11"/>
          <w:w w:val="110"/>
          <w:sz w:val="19"/>
        </w:rPr>
        <w:t xml:space="preserve"> </w:t>
      </w:r>
      <w:r>
        <w:rPr>
          <w:w w:val="110"/>
          <w:sz w:val="19"/>
        </w:rPr>
        <w:t>Disorder)</w:t>
      </w:r>
      <w:r>
        <w:rPr>
          <w:spacing w:val="-18"/>
          <w:w w:val="110"/>
          <w:sz w:val="19"/>
        </w:rPr>
        <w:t xml:space="preserve"> </w:t>
      </w:r>
      <w:r>
        <w:rPr>
          <w:w w:val="110"/>
          <w:sz w:val="19"/>
        </w:rPr>
        <w:t>(Criterion</w:t>
      </w:r>
      <w:r>
        <w:rPr>
          <w:spacing w:val="-7"/>
          <w:w w:val="110"/>
          <w:sz w:val="19"/>
        </w:rPr>
        <w:t xml:space="preserve"> </w:t>
      </w:r>
      <w:r>
        <w:rPr>
          <w:w w:val="110"/>
          <w:sz w:val="19"/>
        </w:rPr>
        <w:t>D).</w:t>
      </w:r>
      <w:r>
        <w:rPr>
          <w:spacing w:val="-16"/>
          <w:w w:val="110"/>
          <w:sz w:val="19"/>
        </w:rPr>
        <w:t xml:space="preserve"> </w:t>
      </w:r>
      <w:r>
        <w:rPr>
          <w:w w:val="110"/>
          <w:sz w:val="19"/>
        </w:rPr>
        <w:t>Relief of withdrawal symptoms with administration of any sedative-hypnotic agent would support a diagnosis of Sedative, Hypnotic, or Anxiolytic</w:t>
      </w:r>
      <w:r>
        <w:rPr>
          <w:spacing w:val="36"/>
          <w:w w:val="110"/>
          <w:sz w:val="19"/>
        </w:rPr>
        <w:t xml:space="preserve"> </w:t>
      </w:r>
      <w:r>
        <w:rPr>
          <w:w w:val="110"/>
          <w:sz w:val="19"/>
        </w:rPr>
        <w:t>Withdrawal.</w:t>
      </w:r>
    </w:p>
    <w:p w:rsidR="00E675F0" w:rsidRDefault="00E675F0" w:rsidP="00E675F0">
      <w:pPr>
        <w:spacing w:before="21" w:line="266" w:lineRule="auto"/>
        <w:ind w:left="110" w:right="111" w:firstLine="363"/>
        <w:jc w:val="both"/>
        <w:rPr>
          <w:sz w:val="19"/>
        </w:rPr>
      </w:pPr>
      <w:r>
        <w:rPr>
          <w:w w:val="115"/>
          <w:sz w:val="19"/>
        </w:rPr>
        <w:t>The</w:t>
      </w:r>
      <w:r>
        <w:rPr>
          <w:spacing w:val="-23"/>
          <w:w w:val="115"/>
          <w:sz w:val="19"/>
        </w:rPr>
        <w:t xml:space="preserve"> </w:t>
      </w:r>
      <w:r>
        <w:rPr>
          <w:w w:val="115"/>
          <w:sz w:val="19"/>
        </w:rPr>
        <w:t>withdrawal</w:t>
      </w:r>
      <w:r>
        <w:rPr>
          <w:spacing w:val="-23"/>
          <w:w w:val="115"/>
          <w:sz w:val="19"/>
        </w:rPr>
        <w:t xml:space="preserve"> </w:t>
      </w:r>
      <w:r>
        <w:rPr>
          <w:w w:val="115"/>
          <w:sz w:val="19"/>
        </w:rPr>
        <w:t>syndrome</w:t>
      </w:r>
      <w:r>
        <w:rPr>
          <w:spacing w:val="-23"/>
          <w:w w:val="115"/>
          <w:sz w:val="19"/>
        </w:rPr>
        <w:t xml:space="preserve"> </w:t>
      </w:r>
      <w:r>
        <w:rPr>
          <w:w w:val="115"/>
          <w:sz w:val="19"/>
        </w:rPr>
        <w:t>is</w:t>
      </w:r>
      <w:r>
        <w:rPr>
          <w:spacing w:val="-35"/>
          <w:w w:val="115"/>
          <w:sz w:val="19"/>
        </w:rPr>
        <w:t xml:space="preserve"> </w:t>
      </w:r>
      <w:r>
        <w:rPr>
          <w:w w:val="115"/>
          <w:sz w:val="19"/>
        </w:rPr>
        <w:t>characterized</w:t>
      </w:r>
      <w:r>
        <w:rPr>
          <w:spacing w:val="-19"/>
          <w:w w:val="115"/>
          <w:sz w:val="19"/>
        </w:rPr>
        <w:t xml:space="preserve"> </w:t>
      </w:r>
      <w:r>
        <w:rPr>
          <w:w w:val="115"/>
          <w:sz w:val="19"/>
        </w:rPr>
        <w:t>by</w:t>
      </w:r>
      <w:r>
        <w:rPr>
          <w:spacing w:val="-33"/>
          <w:w w:val="115"/>
          <w:sz w:val="19"/>
        </w:rPr>
        <w:t xml:space="preserve"> </w:t>
      </w:r>
      <w:r>
        <w:rPr>
          <w:w w:val="115"/>
          <w:sz w:val="19"/>
        </w:rPr>
        <w:t>signs</w:t>
      </w:r>
      <w:r>
        <w:rPr>
          <w:spacing w:val="-33"/>
          <w:w w:val="115"/>
          <w:sz w:val="19"/>
        </w:rPr>
        <w:t xml:space="preserve"> </w:t>
      </w:r>
      <w:r>
        <w:rPr>
          <w:w w:val="115"/>
          <w:sz w:val="19"/>
        </w:rPr>
        <w:t>and</w:t>
      </w:r>
      <w:r>
        <w:rPr>
          <w:spacing w:val="-24"/>
          <w:w w:val="115"/>
          <w:sz w:val="19"/>
        </w:rPr>
        <w:t xml:space="preserve"> </w:t>
      </w:r>
      <w:r>
        <w:rPr>
          <w:w w:val="115"/>
          <w:sz w:val="19"/>
        </w:rPr>
        <w:t>symptoms</w:t>
      </w:r>
      <w:r>
        <w:rPr>
          <w:spacing w:val="-28"/>
          <w:w w:val="115"/>
          <w:sz w:val="19"/>
        </w:rPr>
        <w:t xml:space="preserve"> </w:t>
      </w:r>
      <w:r>
        <w:rPr>
          <w:w w:val="115"/>
          <w:sz w:val="19"/>
        </w:rPr>
        <w:t>that</w:t>
      </w:r>
      <w:r>
        <w:rPr>
          <w:spacing w:val="-29"/>
          <w:w w:val="115"/>
          <w:sz w:val="19"/>
        </w:rPr>
        <w:t xml:space="preserve"> </w:t>
      </w:r>
      <w:r>
        <w:rPr>
          <w:w w:val="115"/>
          <w:sz w:val="19"/>
        </w:rPr>
        <w:t>are</w:t>
      </w:r>
      <w:r>
        <w:rPr>
          <w:spacing w:val="-29"/>
          <w:w w:val="115"/>
          <w:sz w:val="19"/>
        </w:rPr>
        <w:t xml:space="preserve"> </w:t>
      </w:r>
      <w:r>
        <w:rPr>
          <w:w w:val="115"/>
          <w:sz w:val="19"/>
        </w:rPr>
        <w:t>generally the opposite of the acute effects that are likely to be observed in a first-time user of these</w:t>
      </w:r>
      <w:r>
        <w:rPr>
          <w:spacing w:val="-16"/>
          <w:w w:val="115"/>
          <w:sz w:val="19"/>
        </w:rPr>
        <w:t xml:space="preserve"> </w:t>
      </w:r>
      <w:r>
        <w:rPr>
          <w:w w:val="115"/>
          <w:sz w:val="19"/>
        </w:rPr>
        <w:t>agents.</w:t>
      </w:r>
      <w:r>
        <w:rPr>
          <w:spacing w:val="-19"/>
          <w:w w:val="115"/>
          <w:sz w:val="19"/>
        </w:rPr>
        <w:t xml:space="preserve"> </w:t>
      </w:r>
      <w:r>
        <w:rPr>
          <w:w w:val="115"/>
          <w:sz w:val="19"/>
        </w:rPr>
        <w:t>The</w:t>
      </w:r>
      <w:r>
        <w:rPr>
          <w:spacing w:val="-14"/>
          <w:w w:val="115"/>
          <w:sz w:val="19"/>
        </w:rPr>
        <w:t xml:space="preserve"> </w:t>
      </w:r>
      <w:r>
        <w:rPr>
          <w:w w:val="115"/>
          <w:sz w:val="19"/>
        </w:rPr>
        <w:t>time</w:t>
      </w:r>
      <w:r>
        <w:rPr>
          <w:spacing w:val="-18"/>
          <w:w w:val="115"/>
          <w:sz w:val="19"/>
        </w:rPr>
        <w:t xml:space="preserve"> </w:t>
      </w:r>
      <w:r>
        <w:rPr>
          <w:w w:val="115"/>
          <w:sz w:val="19"/>
        </w:rPr>
        <w:t>course</w:t>
      </w:r>
      <w:r>
        <w:rPr>
          <w:spacing w:val="-15"/>
          <w:w w:val="115"/>
          <w:sz w:val="19"/>
        </w:rPr>
        <w:t xml:space="preserve"> </w:t>
      </w:r>
      <w:r>
        <w:rPr>
          <w:w w:val="115"/>
          <w:sz w:val="19"/>
        </w:rPr>
        <w:t>of</w:t>
      </w:r>
      <w:r>
        <w:rPr>
          <w:spacing w:val="-15"/>
          <w:w w:val="115"/>
          <w:sz w:val="19"/>
        </w:rPr>
        <w:t xml:space="preserve"> </w:t>
      </w:r>
      <w:r>
        <w:rPr>
          <w:w w:val="115"/>
          <w:sz w:val="19"/>
        </w:rPr>
        <w:t>the</w:t>
      </w:r>
      <w:r>
        <w:rPr>
          <w:spacing w:val="-5"/>
          <w:w w:val="115"/>
          <w:sz w:val="19"/>
        </w:rPr>
        <w:t xml:space="preserve"> </w:t>
      </w:r>
      <w:r>
        <w:rPr>
          <w:w w:val="115"/>
          <w:sz w:val="19"/>
        </w:rPr>
        <w:t>withdrawal</w:t>
      </w:r>
      <w:r>
        <w:rPr>
          <w:spacing w:val="-11"/>
          <w:w w:val="115"/>
          <w:sz w:val="19"/>
        </w:rPr>
        <w:t xml:space="preserve"> </w:t>
      </w:r>
      <w:r>
        <w:rPr>
          <w:w w:val="115"/>
          <w:sz w:val="19"/>
        </w:rPr>
        <w:t>syndrome</w:t>
      </w:r>
      <w:r>
        <w:rPr>
          <w:spacing w:val="-10"/>
          <w:w w:val="115"/>
          <w:sz w:val="19"/>
        </w:rPr>
        <w:t xml:space="preserve"> </w:t>
      </w:r>
      <w:r>
        <w:rPr>
          <w:w w:val="115"/>
          <w:sz w:val="19"/>
        </w:rPr>
        <w:t>is</w:t>
      </w:r>
      <w:r>
        <w:rPr>
          <w:spacing w:val="-24"/>
          <w:w w:val="115"/>
          <w:sz w:val="19"/>
        </w:rPr>
        <w:t xml:space="preserve"> </w:t>
      </w:r>
      <w:r>
        <w:rPr>
          <w:w w:val="115"/>
          <w:sz w:val="19"/>
        </w:rPr>
        <w:t>generally</w:t>
      </w:r>
      <w:r>
        <w:rPr>
          <w:spacing w:val="-13"/>
          <w:w w:val="115"/>
          <w:sz w:val="19"/>
        </w:rPr>
        <w:t xml:space="preserve"> </w:t>
      </w:r>
      <w:r>
        <w:rPr>
          <w:w w:val="115"/>
          <w:sz w:val="19"/>
        </w:rPr>
        <w:t>predicted</w:t>
      </w:r>
      <w:r>
        <w:rPr>
          <w:spacing w:val="-9"/>
          <w:w w:val="115"/>
          <w:sz w:val="19"/>
        </w:rPr>
        <w:t xml:space="preserve"> </w:t>
      </w:r>
      <w:r>
        <w:rPr>
          <w:w w:val="115"/>
          <w:sz w:val="19"/>
        </w:rPr>
        <w:t>by</w:t>
      </w:r>
      <w:r>
        <w:rPr>
          <w:spacing w:val="-19"/>
          <w:w w:val="115"/>
          <w:sz w:val="19"/>
        </w:rPr>
        <w:t xml:space="preserve"> </w:t>
      </w:r>
      <w:r>
        <w:rPr>
          <w:w w:val="115"/>
          <w:sz w:val="19"/>
        </w:rPr>
        <w:t>the half-life</w:t>
      </w:r>
      <w:r>
        <w:rPr>
          <w:spacing w:val="-23"/>
          <w:w w:val="115"/>
          <w:sz w:val="19"/>
        </w:rPr>
        <w:t xml:space="preserve"> </w:t>
      </w:r>
      <w:r>
        <w:rPr>
          <w:w w:val="115"/>
          <w:sz w:val="19"/>
        </w:rPr>
        <w:t>of</w:t>
      </w:r>
      <w:r>
        <w:rPr>
          <w:spacing w:val="-25"/>
          <w:w w:val="115"/>
          <w:sz w:val="19"/>
        </w:rPr>
        <w:t xml:space="preserve"> </w:t>
      </w:r>
      <w:r>
        <w:rPr>
          <w:w w:val="115"/>
          <w:sz w:val="19"/>
        </w:rPr>
        <w:t>the</w:t>
      </w:r>
      <w:r>
        <w:rPr>
          <w:spacing w:val="-19"/>
          <w:w w:val="115"/>
          <w:sz w:val="19"/>
        </w:rPr>
        <w:t xml:space="preserve"> </w:t>
      </w:r>
      <w:r>
        <w:rPr>
          <w:w w:val="115"/>
          <w:sz w:val="19"/>
        </w:rPr>
        <w:t>substance.</w:t>
      </w:r>
      <w:r>
        <w:rPr>
          <w:spacing w:val="-25"/>
          <w:w w:val="115"/>
          <w:sz w:val="19"/>
        </w:rPr>
        <w:t xml:space="preserve"> </w:t>
      </w:r>
      <w:r>
        <w:rPr>
          <w:w w:val="115"/>
          <w:sz w:val="19"/>
        </w:rPr>
        <w:t>Medications</w:t>
      </w:r>
      <w:r>
        <w:rPr>
          <w:spacing w:val="-23"/>
          <w:w w:val="115"/>
          <w:sz w:val="19"/>
        </w:rPr>
        <w:t xml:space="preserve"> </w:t>
      </w:r>
      <w:r>
        <w:rPr>
          <w:w w:val="115"/>
          <w:sz w:val="19"/>
        </w:rPr>
        <w:t>whose</w:t>
      </w:r>
      <w:r>
        <w:rPr>
          <w:spacing w:val="-28"/>
          <w:w w:val="115"/>
          <w:sz w:val="19"/>
        </w:rPr>
        <w:t xml:space="preserve"> </w:t>
      </w:r>
      <w:r>
        <w:rPr>
          <w:w w:val="115"/>
          <w:sz w:val="19"/>
        </w:rPr>
        <w:t>actions</w:t>
      </w:r>
      <w:r>
        <w:rPr>
          <w:spacing w:val="-27"/>
          <w:w w:val="115"/>
          <w:sz w:val="19"/>
        </w:rPr>
        <w:t xml:space="preserve"> </w:t>
      </w:r>
      <w:r>
        <w:rPr>
          <w:w w:val="115"/>
          <w:sz w:val="19"/>
        </w:rPr>
        <w:t>typically</w:t>
      </w:r>
      <w:r>
        <w:rPr>
          <w:spacing w:val="-24"/>
          <w:w w:val="115"/>
          <w:sz w:val="19"/>
        </w:rPr>
        <w:t xml:space="preserve"> </w:t>
      </w:r>
      <w:r>
        <w:rPr>
          <w:w w:val="115"/>
          <w:sz w:val="19"/>
        </w:rPr>
        <w:t>last</w:t>
      </w:r>
      <w:r>
        <w:rPr>
          <w:spacing w:val="-30"/>
          <w:w w:val="115"/>
          <w:sz w:val="19"/>
        </w:rPr>
        <w:t xml:space="preserve"> </w:t>
      </w:r>
      <w:r>
        <w:rPr>
          <w:w w:val="115"/>
          <w:sz w:val="19"/>
        </w:rPr>
        <w:t>about</w:t>
      </w:r>
      <w:r>
        <w:rPr>
          <w:spacing w:val="-31"/>
          <w:w w:val="115"/>
          <w:sz w:val="19"/>
        </w:rPr>
        <w:t xml:space="preserve"> </w:t>
      </w:r>
      <w:r>
        <w:rPr>
          <w:w w:val="115"/>
          <w:sz w:val="19"/>
        </w:rPr>
        <w:t>10</w:t>
      </w:r>
      <w:r>
        <w:rPr>
          <w:spacing w:val="-36"/>
          <w:w w:val="115"/>
          <w:sz w:val="19"/>
        </w:rPr>
        <w:t xml:space="preserve"> </w:t>
      </w:r>
      <w:r>
        <w:rPr>
          <w:w w:val="115"/>
          <w:sz w:val="19"/>
        </w:rPr>
        <w:t>hours</w:t>
      </w:r>
      <w:r>
        <w:rPr>
          <w:spacing w:val="-32"/>
          <w:w w:val="115"/>
          <w:sz w:val="19"/>
        </w:rPr>
        <w:t xml:space="preserve"> </w:t>
      </w:r>
      <w:r>
        <w:rPr>
          <w:w w:val="115"/>
          <w:sz w:val="19"/>
        </w:rPr>
        <w:t>or</w:t>
      </w:r>
      <w:r>
        <w:rPr>
          <w:spacing w:val="-27"/>
          <w:w w:val="115"/>
          <w:sz w:val="19"/>
        </w:rPr>
        <w:t xml:space="preserve"> </w:t>
      </w:r>
      <w:r>
        <w:rPr>
          <w:w w:val="115"/>
          <w:sz w:val="19"/>
        </w:rPr>
        <w:t>less (e.g., lorazepam, oxazepam, and temazepam) produce withdrawal symptoms within 6-8 hours of decreasing blood levels that peak in intensity on the second day and improve</w:t>
      </w:r>
      <w:r>
        <w:rPr>
          <w:spacing w:val="-12"/>
          <w:w w:val="115"/>
          <w:sz w:val="19"/>
        </w:rPr>
        <w:t xml:space="preserve"> </w:t>
      </w:r>
      <w:r>
        <w:rPr>
          <w:w w:val="115"/>
          <w:sz w:val="19"/>
        </w:rPr>
        <w:t>markedly</w:t>
      </w:r>
      <w:r>
        <w:rPr>
          <w:spacing w:val="-15"/>
          <w:w w:val="115"/>
          <w:sz w:val="19"/>
        </w:rPr>
        <w:t xml:space="preserve"> </w:t>
      </w:r>
      <w:r>
        <w:rPr>
          <w:w w:val="115"/>
          <w:sz w:val="19"/>
        </w:rPr>
        <w:t>by</w:t>
      </w:r>
      <w:r>
        <w:rPr>
          <w:spacing w:val="-15"/>
          <w:w w:val="115"/>
          <w:sz w:val="19"/>
        </w:rPr>
        <w:t xml:space="preserve"> </w:t>
      </w:r>
      <w:r>
        <w:rPr>
          <w:w w:val="115"/>
          <w:sz w:val="19"/>
        </w:rPr>
        <w:t>the</w:t>
      </w:r>
      <w:r>
        <w:rPr>
          <w:spacing w:val="-17"/>
          <w:w w:val="115"/>
          <w:sz w:val="19"/>
        </w:rPr>
        <w:t xml:space="preserve"> </w:t>
      </w:r>
      <w:r>
        <w:rPr>
          <w:w w:val="115"/>
          <w:sz w:val="19"/>
        </w:rPr>
        <w:t>fourth</w:t>
      </w:r>
      <w:r>
        <w:rPr>
          <w:spacing w:val="-19"/>
          <w:w w:val="115"/>
          <w:sz w:val="19"/>
        </w:rPr>
        <w:t xml:space="preserve"> </w:t>
      </w:r>
      <w:r>
        <w:rPr>
          <w:w w:val="115"/>
          <w:sz w:val="19"/>
        </w:rPr>
        <w:t>or</w:t>
      </w:r>
      <w:r>
        <w:rPr>
          <w:spacing w:val="-20"/>
          <w:w w:val="115"/>
          <w:sz w:val="19"/>
        </w:rPr>
        <w:t xml:space="preserve"> </w:t>
      </w:r>
      <w:r>
        <w:rPr>
          <w:w w:val="115"/>
          <w:sz w:val="19"/>
        </w:rPr>
        <w:t>fifth</w:t>
      </w:r>
      <w:r>
        <w:rPr>
          <w:spacing w:val="-21"/>
          <w:w w:val="115"/>
          <w:sz w:val="19"/>
        </w:rPr>
        <w:t xml:space="preserve"> </w:t>
      </w:r>
      <w:r>
        <w:rPr>
          <w:w w:val="115"/>
          <w:sz w:val="19"/>
        </w:rPr>
        <w:t>day.</w:t>
      </w:r>
      <w:r>
        <w:rPr>
          <w:spacing w:val="-16"/>
          <w:w w:val="115"/>
          <w:sz w:val="19"/>
        </w:rPr>
        <w:t xml:space="preserve"> </w:t>
      </w:r>
      <w:r>
        <w:rPr>
          <w:w w:val="115"/>
          <w:sz w:val="19"/>
        </w:rPr>
        <w:t>For</w:t>
      </w:r>
      <w:r>
        <w:rPr>
          <w:spacing w:val="-20"/>
          <w:w w:val="115"/>
          <w:sz w:val="19"/>
        </w:rPr>
        <w:t xml:space="preserve"> </w:t>
      </w:r>
      <w:r>
        <w:rPr>
          <w:w w:val="115"/>
          <w:sz w:val="19"/>
        </w:rPr>
        <w:t>substances</w:t>
      </w:r>
      <w:r>
        <w:rPr>
          <w:spacing w:val="-18"/>
          <w:w w:val="115"/>
          <w:sz w:val="19"/>
        </w:rPr>
        <w:t xml:space="preserve"> </w:t>
      </w:r>
      <w:r>
        <w:rPr>
          <w:w w:val="115"/>
          <w:sz w:val="19"/>
        </w:rPr>
        <w:t>with</w:t>
      </w:r>
      <w:r>
        <w:rPr>
          <w:spacing w:val="-15"/>
          <w:w w:val="115"/>
          <w:sz w:val="19"/>
        </w:rPr>
        <w:t xml:space="preserve"> </w:t>
      </w:r>
      <w:r>
        <w:rPr>
          <w:w w:val="115"/>
          <w:sz w:val="19"/>
        </w:rPr>
        <w:t>longer</w:t>
      </w:r>
      <w:r>
        <w:rPr>
          <w:spacing w:val="-16"/>
          <w:w w:val="115"/>
          <w:sz w:val="19"/>
        </w:rPr>
        <w:t xml:space="preserve"> </w:t>
      </w:r>
      <w:r>
        <w:rPr>
          <w:w w:val="115"/>
          <w:sz w:val="19"/>
        </w:rPr>
        <w:t>half-lives</w:t>
      </w:r>
      <w:r>
        <w:rPr>
          <w:spacing w:val="-17"/>
          <w:w w:val="115"/>
          <w:sz w:val="19"/>
        </w:rPr>
        <w:t xml:space="preserve"> </w:t>
      </w:r>
      <w:r>
        <w:rPr>
          <w:w w:val="115"/>
          <w:sz w:val="19"/>
        </w:rPr>
        <w:t>(e.g., diazepam),</w:t>
      </w:r>
      <w:r>
        <w:rPr>
          <w:spacing w:val="-3"/>
          <w:w w:val="115"/>
          <w:sz w:val="19"/>
        </w:rPr>
        <w:t xml:space="preserve"> </w:t>
      </w:r>
      <w:r>
        <w:rPr>
          <w:w w:val="115"/>
          <w:sz w:val="19"/>
        </w:rPr>
        <w:t>symptoms</w:t>
      </w:r>
      <w:r>
        <w:rPr>
          <w:spacing w:val="-3"/>
          <w:w w:val="115"/>
          <w:sz w:val="19"/>
        </w:rPr>
        <w:t xml:space="preserve"> </w:t>
      </w:r>
      <w:r>
        <w:rPr>
          <w:w w:val="115"/>
          <w:sz w:val="19"/>
        </w:rPr>
        <w:t>may</w:t>
      </w:r>
      <w:r>
        <w:rPr>
          <w:spacing w:val="-8"/>
          <w:w w:val="115"/>
          <w:sz w:val="19"/>
        </w:rPr>
        <w:t xml:space="preserve"> </w:t>
      </w:r>
      <w:r>
        <w:rPr>
          <w:w w:val="115"/>
          <w:sz w:val="19"/>
        </w:rPr>
        <w:t>not</w:t>
      </w:r>
      <w:r>
        <w:rPr>
          <w:spacing w:val="-3"/>
          <w:w w:val="115"/>
          <w:sz w:val="19"/>
        </w:rPr>
        <w:t xml:space="preserve"> </w:t>
      </w:r>
      <w:r>
        <w:rPr>
          <w:w w:val="115"/>
          <w:sz w:val="19"/>
        </w:rPr>
        <w:t>develop</w:t>
      </w:r>
      <w:r>
        <w:rPr>
          <w:spacing w:val="-11"/>
          <w:w w:val="115"/>
          <w:sz w:val="19"/>
        </w:rPr>
        <w:t xml:space="preserve"> </w:t>
      </w:r>
      <w:r>
        <w:rPr>
          <w:w w:val="115"/>
          <w:sz w:val="19"/>
        </w:rPr>
        <w:t>for</w:t>
      </w:r>
      <w:r>
        <w:rPr>
          <w:spacing w:val="-10"/>
          <w:w w:val="115"/>
          <w:sz w:val="19"/>
        </w:rPr>
        <w:t xml:space="preserve"> </w:t>
      </w:r>
      <w:r>
        <w:rPr>
          <w:w w:val="115"/>
          <w:sz w:val="19"/>
        </w:rPr>
        <w:t>more</w:t>
      </w:r>
      <w:r>
        <w:rPr>
          <w:spacing w:val="-6"/>
          <w:w w:val="115"/>
          <w:sz w:val="19"/>
        </w:rPr>
        <w:t xml:space="preserve"> </w:t>
      </w:r>
      <w:r>
        <w:rPr>
          <w:w w:val="115"/>
          <w:sz w:val="19"/>
        </w:rPr>
        <w:t>than</w:t>
      </w:r>
      <w:r>
        <w:rPr>
          <w:spacing w:val="-8"/>
          <w:w w:val="115"/>
          <w:sz w:val="19"/>
        </w:rPr>
        <w:t xml:space="preserve"> </w:t>
      </w:r>
      <w:r>
        <w:rPr>
          <w:w w:val="115"/>
          <w:sz w:val="19"/>
        </w:rPr>
        <w:t>a</w:t>
      </w:r>
      <w:r>
        <w:rPr>
          <w:spacing w:val="-7"/>
          <w:w w:val="115"/>
          <w:sz w:val="19"/>
        </w:rPr>
        <w:t xml:space="preserve"> </w:t>
      </w:r>
      <w:r>
        <w:rPr>
          <w:w w:val="115"/>
          <w:sz w:val="19"/>
        </w:rPr>
        <w:t>week,</w:t>
      </w:r>
      <w:r>
        <w:rPr>
          <w:spacing w:val="5"/>
          <w:w w:val="115"/>
          <w:sz w:val="19"/>
        </w:rPr>
        <w:t xml:space="preserve"> </w:t>
      </w:r>
      <w:r>
        <w:rPr>
          <w:w w:val="115"/>
          <w:sz w:val="19"/>
        </w:rPr>
        <w:t>peak</w:t>
      </w:r>
      <w:r>
        <w:rPr>
          <w:spacing w:val="-4"/>
          <w:w w:val="115"/>
          <w:sz w:val="19"/>
        </w:rPr>
        <w:t xml:space="preserve"> </w:t>
      </w:r>
      <w:r>
        <w:rPr>
          <w:w w:val="115"/>
          <w:sz w:val="19"/>
        </w:rPr>
        <w:t>in</w:t>
      </w:r>
      <w:r>
        <w:rPr>
          <w:spacing w:val="-9"/>
          <w:w w:val="115"/>
          <w:sz w:val="19"/>
        </w:rPr>
        <w:t xml:space="preserve"> </w:t>
      </w:r>
      <w:r>
        <w:rPr>
          <w:w w:val="115"/>
          <w:sz w:val="19"/>
        </w:rPr>
        <w:t>intensity</w:t>
      </w:r>
      <w:r>
        <w:rPr>
          <w:spacing w:val="-8"/>
          <w:w w:val="115"/>
          <w:sz w:val="19"/>
        </w:rPr>
        <w:t xml:space="preserve"> </w:t>
      </w:r>
      <w:r>
        <w:rPr>
          <w:w w:val="115"/>
          <w:sz w:val="19"/>
        </w:rPr>
        <w:t>during the second week, and decrease markedly during the third or fourth week. There may be additional longer-term symptoms at a much lower level of intensity that persist for several months. As with alcohol, these lingering withdrawal symptoms (e.g., anxiety, moodiness,</w:t>
      </w:r>
      <w:r>
        <w:rPr>
          <w:spacing w:val="1"/>
          <w:w w:val="115"/>
          <w:sz w:val="19"/>
        </w:rPr>
        <w:t xml:space="preserve"> </w:t>
      </w:r>
      <w:r>
        <w:rPr>
          <w:w w:val="115"/>
          <w:sz w:val="19"/>
        </w:rPr>
        <w:t>and</w:t>
      </w:r>
      <w:r>
        <w:rPr>
          <w:spacing w:val="-1"/>
          <w:w w:val="115"/>
          <w:sz w:val="19"/>
        </w:rPr>
        <w:t xml:space="preserve"> </w:t>
      </w:r>
      <w:r>
        <w:rPr>
          <w:w w:val="115"/>
          <w:sz w:val="19"/>
        </w:rPr>
        <w:t>trouble</w:t>
      </w:r>
      <w:r>
        <w:rPr>
          <w:spacing w:val="-7"/>
          <w:w w:val="115"/>
          <w:sz w:val="19"/>
        </w:rPr>
        <w:t xml:space="preserve"> </w:t>
      </w:r>
      <w:r>
        <w:rPr>
          <w:w w:val="115"/>
          <w:sz w:val="19"/>
        </w:rPr>
        <w:t>sleeping)</w:t>
      </w:r>
      <w:r>
        <w:rPr>
          <w:spacing w:val="-5"/>
          <w:w w:val="115"/>
          <w:sz w:val="19"/>
        </w:rPr>
        <w:t xml:space="preserve"> </w:t>
      </w:r>
      <w:r>
        <w:rPr>
          <w:w w:val="115"/>
          <w:sz w:val="19"/>
        </w:rPr>
        <w:t>can</w:t>
      </w:r>
      <w:r>
        <w:rPr>
          <w:spacing w:val="-6"/>
          <w:w w:val="115"/>
          <w:sz w:val="19"/>
        </w:rPr>
        <w:t xml:space="preserve"> </w:t>
      </w:r>
      <w:r>
        <w:rPr>
          <w:w w:val="115"/>
          <w:sz w:val="19"/>
        </w:rPr>
        <w:t>be</w:t>
      </w:r>
      <w:r>
        <w:rPr>
          <w:spacing w:val="-3"/>
          <w:w w:val="115"/>
          <w:sz w:val="19"/>
        </w:rPr>
        <w:t xml:space="preserve"> </w:t>
      </w:r>
      <w:r>
        <w:rPr>
          <w:w w:val="115"/>
          <w:sz w:val="19"/>
        </w:rPr>
        <w:t>mistaken</w:t>
      </w:r>
      <w:r>
        <w:rPr>
          <w:spacing w:val="-9"/>
          <w:w w:val="115"/>
          <w:sz w:val="19"/>
        </w:rPr>
        <w:t xml:space="preserve"> </w:t>
      </w:r>
      <w:r>
        <w:rPr>
          <w:w w:val="115"/>
          <w:sz w:val="19"/>
        </w:rPr>
        <w:t>for</w:t>
      </w:r>
      <w:r>
        <w:rPr>
          <w:spacing w:val="-7"/>
          <w:w w:val="115"/>
          <w:sz w:val="19"/>
        </w:rPr>
        <w:t xml:space="preserve"> </w:t>
      </w:r>
      <w:r>
        <w:rPr>
          <w:w w:val="115"/>
          <w:sz w:val="19"/>
        </w:rPr>
        <w:t>non-substance-induced</w:t>
      </w:r>
      <w:r>
        <w:rPr>
          <w:spacing w:val="-15"/>
          <w:w w:val="115"/>
          <w:sz w:val="19"/>
        </w:rPr>
        <w:t xml:space="preserve"> </w:t>
      </w:r>
      <w:r>
        <w:rPr>
          <w:w w:val="115"/>
          <w:sz w:val="19"/>
        </w:rPr>
        <w:t>Anxiety or Depressive Disorders (e.g., Generalized Anxiety</w:t>
      </w:r>
      <w:r>
        <w:rPr>
          <w:spacing w:val="54"/>
          <w:w w:val="115"/>
          <w:sz w:val="19"/>
        </w:rPr>
        <w:t xml:space="preserve"> </w:t>
      </w:r>
      <w:r>
        <w:rPr>
          <w:w w:val="115"/>
          <w:sz w:val="19"/>
        </w:rPr>
        <w:t>Disorder).</w:t>
      </w:r>
    </w:p>
    <w:p w:rsidR="00E675F0" w:rsidRDefault="00E675F0" w:rsidP="00E675F0">
      <w:pPr>
        <w:spacing w:before="15" w:line="264" w:lineRule="auto"/>
        <w:ind w:left="106" w:right="110" w:firstLine="367"/>
        <w:jc w:val="both"/>
        <w:rPr>
          <w:sz w:val="19"/>
        </w:rPr>
      </w:pPr>
      <w:r>
        <w:rPr>
          <w:w w:val="115"/>
          <w:sz w:val="19"/>
        </w:rPr>
        <w:t>The</w:t>
      </w:r>
      <w:r>
        <w:rPr>
          <w:spacing w:val="-5"/>
          <w:w w:val="115"/>
          <w:sz w:val="19"/>
        </w:rPr>
        <w:t xml:space="preserve"> </w:t>
      </w:r>
      <w:r>
        <w:rPr>
          <w:w w:val="115"/>
          <w:sz w:val="19"/>
        </w:rPr>
        <w:t>longer</w:t>
      </w:r>
      <w:r>
        <w:rPr>
          <w:spacing w:val="-9"/>
          <w:w w:val="115"/>
          <w:sz w:val="19"/>
        </w:rPr>
        <w:t xml:space="preserve"> </w:t>
      </w:r>
      <w:r>
        <w:rPr>
          <w:w w:val="115"/>
          <w:sz w:val="19"/>
        </w:rPr>
        <w:t>the</w:t>
      </w:r>
      <w:r>
        <w:rPr>
          <w:spacing w:val="-14"/>
          <w:w w:val="115"/>
          <w:sz w:val="19"/>
        </w:rPr>
        <w:t xml:space="preserve"> </w:t>
      </w:r>
      <w:r>
        <w:rPr>
          <w:w w:val="115"/>
          <w:sz w:val="19"/>
        </w:rPr>
        <w:t>substance</w:t>
      </w:r>
      <w:r>
        <w:rPr>
          <w:spacing w:val="-5"/>
          <w:w w:val="115"/>
          <w:sz w:val="19"/>
        </w:rPr>
        <w:t xml:space="preserve"> </w:t>
      </w:r>
      <w:r>
        <w:rPr>
          <w:w w:val="115"/>
          <w:sz w:val="19"/>
        </w:rPr>
        <w:t>has</w:t>
      </w:r>
      <w:r>
        <w:rPr>
          <w:spacing w:val="-16"/>
          <w:w w:val="115"/>
          <w:sz w:val="19"/>
        </w:rPr>
        <w:t xml:space="preserve"> </w:t>
      </w:r>
      <w:r>
        <w:rPr>
          <w:w w:val="115"/>
          <w:sz w:val="19"/>
        </w:rPr>
        <w:t>been</w:t>
      </w:r>
      <w:r>
        <w:rPr>
          <w:spacing w:val="-9"/>
          <w:w w:val="115"/>
          <w:sz w:val="19"/>
        </w:rPr>
        <w:t xml:space="preserve"> </w:t>
      </w:r>
      <w:r>
        <w:rPr>
          <w:w w:val="115"/>
          <w:sz w:val="19"/>
        </w:rPr>
        <w:t>taken</w:t>
      </w:r>
      <w:r>
        <w:rPr>
          <w:spacing w:val="-11"/>
          <w:w w:val="115"/>
          <w:sz w:val="19"/>
        </w:rPr>
        <w:t xml:space="preserve"> </w:t>
      </w:r>
      <w:r>
        <w:rPr>
          <w:w w:val="115"/>
          <w:sz w:val="19"/>
        </w:rPr>
        <w:t>and</w:t>
      </w:r>
      <w:r>
        <w:rPr>
          <w:spacing w:val="-10"/>
          <w:w w:val="115"/>
          <w:sz w:val="19"/>
        </w:rPr>
        <w:t xml:space="preserve"> </w:t>
      </w:r>
      <w:r>
        <w:rPr>
          <w:w w:val="115"/>
          <w:sz w:val="19"/>
        </w:rPr>
        <w:t>the</w:t>
      </w:r>
      <w:r>
        <w:rPr>
          <w:spacing w:val="-10"/>
          <w:w w:val="115"/>
          <w:sz w:val="19"/>
        </w:rPr>
        <w:t xml:space="preserve"> </w:t>
      </w:r>
      <w:r>
        <w:rPr>
          <w:w w:val="115"/>
          <w:sz w:val="19"/>
        </w:rPr>
        <w:t>higher</w:t>
      </w:r>
      <w:r>
        <w:rPr>
          <w:spacing w:val="-13"/>
          <w:w w:val="115"/>
          <w:sz w:val="19"/>
        </w:rPr>
        <w:t xml:space="preserve"> </w:t>
      </w:r>
      <w:r>
        <w:rPr>
          <w:w w:val="115"/>
          <w:sz w:val="19"/>
        </w:rPr>
        <w:t>the</w:t>
      </w:r>
      <w:r>
        <w:rPr>
          <w:spacing w:val="-12"/>
          <w:w w:val="115"/>
          <w:sz w:val="19"/>
        </w:rPr>
        <w:t xml:space="preserve"> </w:t>
      </w:r>
      <w:r>
        <w:rPr>
          <w:w w:val="115"/>
          <w:sz w:val="19"/>
        </w:rPr>
        <w:t>dosages</w:t>
      </w:r>
      <w:r>
        <w:rPr>
          <w:spacing w:val="-15"/>
          <w:w w:val="115"/>
          <w:sz w:val="19"/>
        </w:rPr>
        <w:t xml:space="preserve"> </w:t>
      </w:r>
      <w:r>
        <w:rPr>
          <w:w w:val="115"/>
          <w:sz w:val="19"/>
        </w:rPr>
        <w:t>used,</w:t>
      </w:r>
      <w:r>
        <w:rPr>
          <w:spacing w:val="-7"/>
          <w:w w:val="115"/>
          <w:sz w:val="19"/>
        </w:rPr>
        <w:t xml:space="preserve"> </w:t>
      </w:r>
      <w:r>
        <w:rPr>
          <w:w w:val="115"/>
          <w:sz w:val="19"/>
        </w:rPr>
        <w:t>the</w:t>
      </w:r>
      <w:r>
        <w:rPr>
          <w:spacing w:val="-11"/>
          <w:w w:val="115"/>
          <w:sz w:val="19"/>
        </w:rPr>
        <w:t xml:space="preserve"> </w:t>
      </w:r>
      <w:r>
        <w:rPr>
          <w:w w:val="115"/>
          <w:sz w:val="19"/>
        </w:rPr>
        <w:t>more likely</w:t>
      </w:r>
      <w:r>
        <w:rPr>
          <w:spacing w:val="-29"/>
          <w:w w:val="115"/>
          <w:sz w:val="19"/>
        </w:rPr>
        <w:t xml:space="preserve"> </w:t>
      </w:r>
      <w:r>
        <w:rPr>
          <w:w w:val="115"/>
          <w:sz w:val="19"/>
        </w:rPr>
        <w:t>it</w:t>
      </w:r>
      <w:r>
        <w:rPr>
          <w:spacing w:val="-26"/>
          <w:w w:val="115"/>
          <w:sz w:val="19"/>
        </w:rPr>
        <w:t xml:space="preserve"> </w:t>
      </w:r>
      <w:r>
        <w:rPr>
          <w:w w:val="115"/>
          <w:sz w:val="19"/>
        </w:rPr>
        <w:t>is</w:t>
      </w:r>
      <w:r>
        <w:rPr>
          <w:spacing w:val="-32"/>
          <w:w w:val="115"/>
          <w:sz w:val="19"/>
        </w:rPr>
        <w:t xml:space="preserve"> </w:t>
      </w:r>
      <w:r>
        <w:rPr>
          <w:w w:val="115"/>
          <w:sz w:val="19"/>
        </w:rPr>
        <w:t>that</w:t>
      </w:r>
      <w:r>
        <w:rPr>
          <w:spacing w:val="-29"/>
          <w:w w:val="115"/>
          <w:sz w:val="19"/>
        </w:rPr>
        <w:t xml:space="preserve"> </w:t>
      </w:r>
      <w:r>
        <w:rPr>
          <w:w w:val="115"/>
          <w:sz w:val="19"/>
        </w:rPr>
        <w:t>there</w:t>
      </w:r>
      <w:r>
        <w:rPr>
          <w:spacing w:val="-27"/>
          <w:w w:val="115"/>
          <w:sz w:val="19"/>
        </w:rPr>
        <w:t xml:space="preserve"> </w:t>
      </w:r>
      <w:r>
        <w:rPr>
          <w:w w:val="115"/>
          <w:sz w:val="19"/>
        </w:rPr>
        <w:t>will</w:t>
      </w:r>
      <w:r>
        <w:rPr>
          <w:spacing w:val="-20"/>
          <w:w w:val="115"/>
          <w:sz w:val="19"/>
        </w:rPr>
        <w:t xml:space="preserve"> </w:t>
      </w:r>
      <w:r>
        <w:rPr>
          <w:w w:val="115"/>
          <w:sz w:val="19"/>
        </w:rPr>
        <w:t>be</w:t>
      </w:r>
      <w:r>
        <w:rPr>
          <w:spacing w:val="-23"/>
          <w:w w:val="115"/>
          <w:sz w:val="19"/>
        </w:rPr>
        <w:t xml:space="preserve"> </w:t>
      </w:r>
      <w:r>
        <w:rPr>
          <w:w w:val="115"/>
          <w:sz w:val="19"/>
        </w:rPr>
        <w:t>severe</w:t>
      </w:r>
      <w:r>
        <w:rPr>
          <w:spacing w:val="-24"/>
          <w:w w:val="115"/>
          <w:sz w:val="19"/>
        </w:rPr>
        <w:t xml:space="preserve"> </w:t>
      </w:r>
      <w:r>
        <w:rPr>
          <w:w w:val="115"/>
          <w:sz w:val="19"/>
        </w:rPr>
        <w:t>Withdrawal.</w:t>
      </w:r>
      <w:r>
        <w:rPr>
          <w:spacing w:val="-15"/>
          <w:w w:val="115"/>
          <w:sz w:val="19"/>
        </w:rPr>
        <w:t xml:space="preserve"> </w:t>
      </w:r>
      <w:r>
        <w:rPr>
          <w:w w:val="115"/>
          <w:sz w:val="19"/>
        </w:rPr>
        <w:t>However,</w:t>
      </w:r>
      <w:r>
        <w:rPr>
          <w:spacing w:val="-20"/>
          <w:w w:val="115"/>
          <w:sz w:val="19"/>
        </w:rPr>
        <w:t xml:space="preserve"> </w:t>
      </w:r>
      <w:r>
        <w:rPr>
          <w:w w:val="115"/>
          <w:sz w:val="19"/>
        </w:rPr>
        <w:t>Withdrawal</w:t>
      </w:r>
      <w:r>
        <w:rPr>
          <w:spacing w:val="-20"/>
          <w:w w:val="115"/>
          <w:sz w:val="19"/>
        </w:rPr>
        <w:t xml:space="preserve"> </w:t>
      </w:r>
      <w:r>
        <w:rPr>
          <w:w w:val="115"/>
          <w:sz w:val="19"/>
        </w:rPr>
        <w:t>has</w:t>
      </w:r>
      <w:r>
        <w:rPr>
          <w:spacing w:val="-22"/>
          <w:w w:val="115"/>
          <w:sz w:val="19"/>
        </w:rPr>
        <w:t xml:space="preserve"> </w:t>
      </w:r>
      <w:r>
        <w:rPr>
          <w:w w:val="115"/>
          <w:sz w:val="19"/>
        </w:rPr>
        <w:t>been</w:t>
      </w:r>
      <w:r>
        <w:rPr>
          <w:spacing w:val="-24"/>
          <w:w w:val="115"/>
          <w:sz w:val="19"/>
        </w:rPr>
        <w:t xml:space="preserve"> </w:t>
      </w:r>
      <w:r>
        <w:rPr>
          <w:w w:val="115"/>
          <w:sz w:val="19"/>
        </w:rPr>
        <w:t>reported with as little as 15 mg of diazepam (or its equivalent in other benzodiazepines) when taken daily for several months. Dosages of approximately 40 mg of diazepam (or its equivalent)</w:t>
      </w:r>
      <w:r>
        <w:rPr>
          <w:spacing w:val="-9"/>
          <w:w w:val="115"/>
          <w:sz w:val="19"/>
        </w:rPr>
        <w:t xml:space="preserve"> </w:t>
      </w:r>
      <w:r>
        <w:rPr>
          <w:w w:val="115"/>
          <w:sz w:val="19"/>
        </w:rPr>
        <w:t>daily</w:t>
      </w:r>
      <w:r>
        <w:rPr>
          <w:spacing w:val="-10"/>
          <w:w w:val="115"/>
          <w:sz w:val="19"/>
        </w:rPr>
        <w:t xml:space="preserve"> </w:t>
      </w:r>
      <w:r>
        <w:rPr>
          <w:w w:val="115"/>
          <w:sz w:val="19"/>
        </w:rPr>
        <w:t>are</w:t>
      </w:r>
      <w:r>
        <w:rPr>
          <w:spacing w:val="-3"/>
          <w:w w:val="115"/>
          <w:sz w:val="19"/>
        </w:rPr>
        <w:t xml:space="preserve"> </w:t>
      </w:r>
      <w:r>
        <w:rPr>
          <w:w w:val="115"/>
          <w:sz w:val="19"/>
        </w:rPr>
        <w:t>more</w:t>
      </w:r>
      <w:r>
        <w:rPr>
          <w:spacing w:val="-11"/>
          <w:w w:val="115"/>
          <w:sz w:val="19"/>
        </w:rPr>
        <w:t xml:space="preserve"> </w:t>
      </w:r>
      <w:r>
        <w:rPr>
          <w:w w:val="115"/>
          <w:sz w:val="19"/>
        </w:rPr>
        <w:t>likely</w:t>
      </w:r>
      <w:r>
        <w:rPr>
          <w:spacing w:val="-12"/>
          <w:w w:val="115"/>
          <w:sz w:val="19"/>
        </w:rPr>
        <w:t xml:space="preserve"> </w:t>
      </w:r>
      <w:r>
        <w:rPr>
          <w:w w:val="115"/>
          <w:sz w:val="19"/>
        </w:rPr>
        <w:t>to</w:t>
      </w:r>
      <w:r>
        <w:rPr>
          <w:spacing w:val="-5"/>
          <w:w w:val="115"/>
          <w:sz w:val="19"/>
        </w:rPr>
        <w:t xml:space="preserve"> </w:t>
      </w:r>
      <w:r>
        <w:rPr>
          <w:w w:val="115"/>
          <w:sz w:val="19"/>
        </w:rPr>
        <w:t>produce</w:t>
      </w:r>
      <w:r>
        <w:rPr>
          <w:spacing w:val="-9"/>
          <w:w w:val="115"/>
          <w:sz w:val="19"/>
        </w:rPr>
        <w:t xml:space="preserve"> </w:t>
      </w:r>
      <w:r>
        <w:rPr>
          <w:w w:val="115"/>
          <w:sz w:val="19"/>
        </w:rPr>
        <w:t>clinically</w:t>
      </w:r>
      <w:r>
        <w:rPr>
          <w:spacing w:val="-3"/>
          <w:w w:val="115"/>
          <w:sz w:val="19"/>
        </w:rPr>
        <w:t xml:space="preserve"> </w:t>
      </w:r>
      <w:r>
        <w:rPr>
          <w:w w:val="115"/>
          <w:sz w:val="19"/>
        </w:rPr>
        <w:t>relevant</w:t>
      </w:r>
      <w:r>
        <w:rPr>
          <w:spacing w:val="-9"/>
          <w:w w:val="115"/>
          <w:sz w:val="19"/>
        </w:rPr>
        <w:t xml:space="preserve"> </w:t>
      </w:r>
      <w:r>
        <w:rPr>
          <w:w w:val="115"/>
          <w:sz w:val="19"/>
        </w:rPr>
        <w:t>withdrawal</w:t>
      </w:r>
      <w:r>
        <w:rPr>
          <w:spacing w:val="-4"/>
          <w:w w:val="115"/>
          <w:sz w:val="19"/>
        </w:rPr>
        <w:t xml:space="preserve"> </w:t>
      </w:r>
      <w:r>
        <w:rPr>
          <w:w w:val="115"/>
          <w:sz w:val="19"/>
        </w:rPr>
        <w:t>symptoms, and even higher doses (e.g., 100 mg of diazepam) are more likely to be followed by withdrawal</w:t>
      </w:r>
      <w:r>
        <w:rPr>
          <w:spacing w:val="-35"/>
          <w:w w:val="115"/>
          <w:sz w:val="19"/>
        </w:rPr>
        <w:t xml:space="preserve"> </w:t>
      </w:r>
      <w:r>
        <w:rPr>
          <w:w w:val="115"/>
          <w:sz w:val="19"/>
        </w:rPr>
        <w:t>seizures</w:t>
      </w:r>
      <w:r>
        <w:rPr>
          <w:spacing w:val="-37"/>
          <w:w w:val="115"/>
          <w:sz w:val="19"/>
        </w:rPr>
        <w:t xml:space="preserve"> </w:t>
      </w:r>
      <w:r>
        <w:rPr>
          <w:w w:val="115"/>
          <w:sz w:val="19"/>
        </w:rPr>
        <w:t>or</w:t>
      </w:r>
      <w:r>
        <w:rPr>
          <w:spacing w:val="-36"/>
          <w:w w:val="115"/>
          <w:sz w:val="19"/>
        </w:rPr>
        <w:t xml:space="preserve"> </w:t>
      </w:r>
      <w:r>
        <w:rPr>
          <w:w w:val="115"/>
          <w:sz w:val="19"/>
        </w:rPr>
        <w:t>delirium.</w:t>
      </w:r>
      <w:r>
        <w:rPr>
          <w:spacing w:val="-36"/>
          <w:w w:val="115"/>
          <w:sz w:val="19"/>
        </w:rPr>
        <w:t xml:space="preserve"> </w:t>
      </w:r>
      <w:r>
        <w:rPr>
          <w:w w:val="115"/>
          <w:sz w:val="19"/>
        </w:rPr>
        <w:t>Sedative,</w:t>
      </w:r>
      <w:r>
        <w:rPr>
          <w:spacing w:val="-32"/>
          <w:w w:val="115"/>
          <w:sz w:val="19"/>
        </w:rPr>
        <w:t xml:space="preserve"> </w:t>
      </w:r>
      <w:r>
        <w:rPr>
          <w:w w:val="115"/>
          <w:sz w:val="19"/>
        </w:rPr>
        <w:t>Hypnotic,</w:t>
      </w:r>
      <w:r>
        <w:rPr>
          <w:spacing w:val="-33"/>
          <w:w w:val="115"/>
          <w:sz w:val="19"/>
        </w:rPr>
        <w:t xml:space="preserve"> </w:t>
      </w:r>
      <w:r>
        <w:rPr>
          <w:w w:val="115"/>
          <w:sz w:val="19"/>
        </w:rPr>
        <w:t>or</w:t>
      </w:r>
      <w:r>
        <w:rPr>
          <w:spacing w:val="-36"/>
          <w:w w:val="115"/>
          <w:sz w:val="19"/>
        </w:rPr>
        <w:t xml:space="preserve"> </w:t>
      </w:r>
      <w:r>
        <w:rPr>
          <w:w w:val="115"/>
          <w:sz w:val="19"/>
        </w:rPr>
        <w:t>Anxiolytic</w:t>
      </w:r>
      <w:r>
        <w:rPr>
          <w:spacing w:val="-33"/>
          <w:w w:val="115"/>
          <w:sz w:val="19"/>
        </w:rPr>
        <w:t xml:space="preserve"> </w:t>
      </w:r>
      <w:r>
        <w:rPr>
          <w:w w:val="115"/>
          <w:sz w:val="19"/>
        </w:rPr>
        <w:t>Withdrawal</w:t>
      </w:r>
      <w:r>
        <w:rPr>
          <w:spacing w:val="-33"/>
          <w:w w:val="115"/>
          <w:sz w:val="19"/>
        </w:rPr>
        <w:t xml:space="preserve"> </w:t>
      </w:r>
      <w:r>
        <w:rPr>
          <w:w w:val="115"/>
          <w:sz w:val="19"/>
        </w:rPr>
        <w:t>Delirium (seep.</w:t>
      </w:r>
      <w:r>
        <w:rPr>
          <w:spacing w:val="-30"/>
          <w:w w:val="115"/>
          <w:sz w:val="19"/>
        </w:rPr>
        <w:t xml:space="preserve"> </w:t>
      </w:r>
      <w:r>
        <w:rPr>
          <w:w w:val="115"/>
          <w:sz w:val="19"/>
        </w:rPr>
        <w:t>129)</w:t>
      </w:r>
      <w:r>
        <w:rPr>
          <w:spacing w:val="-29"/>
          <w:w w:val="115"/>
          <w:sz w:val="19"/>
        </w:rPr>
        <w:t xml:space="preserve"> </w:t>
      </w:r>
      <w:r>
        <w:rPr>
          <w:w w:val="115"/>
          <w:sz w:val="19"/>
        </w:rPr>
        <w:t>is</w:t>
      </w:r>
      <w:r>
        <w:rPr>
          <w:spacing w:val="-29"/>
          <w:w w:val="115"/>
          <w:sz w:val="19"/>
        </w:rPr>
        <w:t xml:space="preserve"> </w:t>
      </w:r>
      <w:r>
        <w:rPr>
          <w:w w:val="115"/>
          <w:sz w:val="19"/>
        </w:rPr>
        <w:t>characterized</w:t>
      </w:r>
      <w:r>
        <w:rPr>
          <w:spacing w:val="-16"/>
          <w:w w:val="115"/>
          <w:sz w:val="19"/>
        </w:rPr>
        <w:t xml:space="preserve"> </w:t>
      </w:r>
      <w:r>
        <w:rPr>
          <w:w w:val="115"/>
          <w:sz w:val="19"/>
        </w:rPr>
        <w:t>by</w:t>
      </w:r>
      <w:r>
        <w:rPr>
          <w:spacing w:val="-28"/>
          <w:w w:val="115"/>
          <w:sz w:val="19"/>
        </w:rPr>
        <w:t xml:space="preserve"> </w:t>
      </w:r>
      <w:r>
        <w:rPr>
          <w:w w:val="115"/>
          <w:sz w:val="19"/>
        </w:rPr>
        <w:t>disturbances</w:t>
      </w:r>
      <w:r>
        <w:rPr>
          <w:spacing w:val="-17"/>
          <w:w w:val="115"/>
          <w:sz w:val="19"/>
        </w:rPr>
        <w:t xml:space="preserve"> </w:t>
      </w:r>
      <w:r>
        <w:rPr>
          <w:w w:val="115"/>
          <w:sz w:val="19"/>
        </w:rPr>
        <w:t>in</w:t>
      </w:r>
      <w:r>
        <w:rPr>
          <w:spacing w:val="-31"/>
          <w:w w:val="115"/>
          <w:sz w:val="19"/>
        </w:rPr>
        <w:t xml:space="preserve"> </w:t>
      </w:r>
      <w:r>
        <w:rPr>
          <w:w w:val="115"/>
          <w:sz w:val="19"/>
        </w:rPr>
        <w:t>consciousness</w:t>
      </w:r>
      <w:r>
        <w:rPr>
          <w:spacing w:val="-18"/>
          <w:w w:val="115"/>
          <w:sz w:val="19"/>
        </w:rPr>
        <w:t xml:space="preserve"> </w:t>
      </w:r>
      <w:r>
        <w:rPr>
          <w:w w:val="115"/>
          <w:sz w:val="19"/>
        </w:rPr>
        <w:t>and</w:t>
      </w:r>
      <w:r>
        <w:rPr>
          <w:spacing w:val="-18"/>
          <w:w w:val="115"/>
          <w:sz w:val="19"/>
        </w:rPr>
        <w:t xml:space="preserve"> </w:t>
      </w:r>
      <w:r>
        <w:rPr>
          <w:w w:val="115"/>
          <w:sz w:val="19"/>
        </w:rPr>
        <w:t>cognition,</w:t>
      </w:r>
      <w:r>
        <w:rPr>
          <w:spacing w:val="-19"/>
          <w:w w:val="115"/>
          <w:sz w:val="19"/>
        </w:rPr>
        <w:t xml:space="preserve"> </w:t>
      </w:r>
      <w:r>
        <w:rPr>
          <w:w w:val="115"/>
          <w:sz w:val="19"/>
        </w:rPr>
        <w:t>with</w:t>
      </w:r>
      <w:r>
        <w:rPr>
          <w:spacing w:val="-25"/>
          <w:w w:val="115"/>
          <w:sz w:val="19"/>
        </w:rPr>
        <w:t xml:space="preserve"> </w:t>
      </w:r>
      <w:r>
        <w:rPr>
          <w:w w:val="115"/>
          <w:sz w:val="19"/>
        </w:rPr>
        <w:t>visual, tactile, or auditory hallucinations. When present, Sedative, Hypnotic, or Anxiolytic Withdrawal Delirium should be diagnosed instead of Withdrawal.</w:t>
      </w:r>
    </w:p>
    <w:p w:rsidR="00E675F0" w:rsidRDefault="00E675F0" w:rsidP="00E675F0">
      <w:pPr>
        <w:pStyle w:val="BodyText"/>
      </w:pPr>
    </w:p>
    <w:p w:rsidR="00E675F0" w:rsidRDefault="00E675F0" w:rsidP="00E675F0">
      <w:pPr>
        <w:pStyle w:val="BodyText"/>
      </w:pPr>
    </w:p>
    <w:p w:rsidR="00E675F0" w:rsidRDefault="00E675F0" w:rsidP="00E675F0">
      <w:pPr>
        <w:pStyle w:val="BodyText"/>
        <w:spacing w:before="8"/>
        <w:rPr>
          <w:sz w:val="15"/>
        </w:rPr>
      </w:pPr>
    </w:p>
    <w:p w:rsidR="00E675F0" w:rsidRDefault="00E675F0" w:rsidP="00E675F0">
      <w:pPr>
        <w:ind w:left="105"/>
        <w:rPr>
          <w:rFonts w:ascii="TimesNewRomanPS-BoldItalicMT"/>
          <w:b/>
          <w:i/>
          <w:sz w:val="25"/>
        </w:rPr>
      </w:pPr>
      <w:r>
        <w:rPr>
          <w:rFonts w:ascii="TimesNewRomanPS-BoldItalicMT"/>
          <w:b/>
          <w:i/>
          <w:w w:val="110"/>
          <w:sz w:val="25"/>
        </w:rPr>
        <w:t>Specifier</w:t>
      </w:r>
    </w:p>
    <w:p w:rsidR="00E675F0" w:rsidRDefault="00E675F0" w:rsidP="00E675F0">
      <w:pPr>
        <w:spacing w:before="235" w:line="264" w:lineRule="auto"/>
        <w:ind w:left="111" w:right="111" w:hanging="4"/>
        <w:jc w:val="both"/>
        <w:rPr>
          <w:sz w:val="19"/>
        </w:rPr>
      </w:pPr>
      <w:r>
        <w:rPr>
          <w:w w:val="110"/>
          <w:sz w:val="19"/>
        </w:rPr>
        <w:t>The</w:t>
      </w:r>
      <w:r>
        <w:rPr>
          <w:spacing w:val="-13"/>
          <w:w w:val="110"/>
          <w:sz w:val="19"/>
        </w:rPr>
        <w:t xml:space="preserve"> </w:t>
      </w:r>
      <w:r>
        <w:rPr>
          <w:w w:val="110"/>
          <w:sz w:val="19"/>
        </w:rPr>
        <w:t>following</w:t>
      </w:r>
      <w:r>
        <w:rPr>
          <w:spacing w:val="-16"/>
          <w:w w:val="110"/>
          <w:sz w:val="19"/>
        </w:rPr>
        <w:t xml:space="preserve"> </w:t>
      </w:r>
      <w:r>
        <w:rPr>
          <w:w w:val="110"/>
          <w:sz w:val="19"/>
        </w:rPr>
        <w:t>specifier</w:t>
      </w:r>
      <w:r>
        <w:rPr>
          <w:spacing w:val="-9"/>
          <w:w w:val="110"/>
          <w:sz w:val="19"/>
        </w:rPr>
        <w:t xml:space="preserve"> </w:t>
      </w:r>
      <w:r>
        <w:rPr>
          <w:w w:val="110"/>
          <w:sz w:val="19"/>
        </w:rPr>
        <w:t>may</w:t>
      </w:r>
      <w:r>
        <w:rPr>
          <w:spacing w:val="-15"/>
          <w:w w:val="110"/>
          <w:sz w:val="19"/>
        </w:rPr>
        <w:t xml:space="preserve"> </w:t>
      </w:r>
      <w:r>
        <w:rPr>
          <w:w w:val="110"/>
          <w:sz w:val="19"/>
        </w:rPr>
        <w:t>be</w:t>
      </w:r>
      <w:r>
        <w:rPr>
          <w:spacing w:val="-7"/>
          <w:w w:val="110"/>
          <w:sz w:val="19"/>
        </w:rPr>
        <w:t xml:space="preserve"> </w:t>
      </w:r>
      <w:r>
        <w:rPr>
          <w:w w:val="110"/>
          <w:sz w:val="19"/>
        </w:rPr>
        <w:t>applied</w:t>
      </w:r>
      <w:r>
        <w:rPr>
          <w:spacing w:val="-12"/>
          <w:w w:val="110"/>
          <w:sz w:val="19"/>
        </w:rPr>
        <w:t xml:space="preserve"> </w:t>
      </w:r>
      <w:r>
        <w:rPr>
          <w:w w:val="110"/>
          <w:sz w:val="19"/>
        </w:rPr>
        <w:t>to</w:t>
      </w:r>
      <w:r>
        <w:rPr>
          <w:spacing w:val="-22"/>
          <w:w w:val="110"/>
          <w:sz w:val="19"/>
        </w:rPr>
        <w:t xml:space="preserve"> </w:t>
      </w:r>
      <w:r>
        <w:rPr>
          <w:w w:val="110"/>
          <w:sz w:val="19"/>
        </w:rPr>
        <w:t>a</w:t>
      </w:r>
      <w:r>
        <w:rPr>
          <w:spacing w:val="-17"/>
          <w:w w:val="110"/>
          <w:sz w:val="19"/>
        </w:rPr>
        <w:t xml:space="preserve"> </w:t>
      </w:r>
      <w:r>
        <w:rPr>
          <w:w w:val="110"/>
          <w:sz w:val="19"/>
        </w:rPr>
        <w:t>diagnosis</w:t>
      </w:r>
      <w:r>
        <w:rPr>
          <w:spacing w:val="-8"/>
          <w:w w:val="110"/>
          <w:sz w:val="19"/>
        </w:rPr>
        <w:t xml:space="preserve"> </w:t>
      </w:r>
      <w:r>
        <w:rPr>
          <w:w w:val="110"/>
          <w:sz w:val="19"/>
        </w:rPr>
        <w:t>of</w:t>
      </w:r>
      <w:r>
        <w:rPr>
          <w:spacing w:val="-16"/>
          <w:w w:val="110"/>
          <w:sz w:val="19"/>
        </w:rPr>
        <w:t xml:space="preserve"> </w:t>
      </w:r>
      <w:r>
        <w:rPr>
          <w:w w:val="110"/>
          <w:sz w:val="19"/>
        </w:rPr>
        <w:t>Sedative,</w:t>
      </w:r>
      <w:r>
        <w:rPr>
          <w:spacing w:val="-11"/>
          <w:w w:val="110"/>
          <w:sz w:val="19"/>
        </w:rPr>
        <w:t xml:space="preserve"> </w:t>
      </w:r>
      <w:r>
        <w:rPr>
          <w:w w:val="110"/>
          <w:sz w:val="19"/>
        </w:rPr>
        <w:t>Hypnotic,</w:t>
      </w:r>
      <w:r>
        <w:rPr>
          <w:spacing w:val="-7"/>
          <w:w w:val="110"/>
          <w:sz w:val="19"/>
        </w:rPr>
        <w:t xml:space="preserve"> </w:t>
      </w:r>
      <w:r>
        <w:rPr>
          <w:w w:val="110"/>
          <w:sz w:val="19"/>
        </w:rPr>
        <w:t>or</w:t>
      </w:r>
      <w:r>
        <w:rPr>
          <w:spacing w:val="-14"/>
          <w:w w:val="110"/>
          <w:sz w:val="19"/>
        </w:rPr>
        <w:t xml:space="preserve"> </w:t>
      </w:r>
      <w:r>
        <w:rPr>
          <w:w w:val="110"/>
          <w:sz w:val="19"/>
        </w:rPr>
        <w:t>Anxiolytic Withdrawal:</w:t>
      </w:r>
    </w:p>
    <w:p w:rsidR="00E675F0" w:rsidRDefault="00E675F0" w:rsidP="00E675F0">
      <w:pPr>
        <w:spacing w:before="58" w:line="266" w:lineRule="auto"/>
        <w:ind w:left="712" w:right="107" w:hanging="5"/>
        <w:jc w:val="both"/>
        <w:rPr>
          <w:sz w:val="19"/>
        </w:rPr>
      </w:pPr>
      <w:r>
        <w:rPr>
          <w:b/>
          <w:w w:val="110"/>
          <w:sz w:val="20"/>
        </w:rPr>
        <w:t xml:space="preserve">With Perceptual Disturbances. </w:t>
      </w:r>
      <w:r>
        <w:rPr>
          <w:w w:val="110"/>
          <w:sz w:val="19"/>
        </w:rPr>
        <w:t xml:space="preserve">This specifier may be noted when hallucin­ ations with intact reality testing or auditory, visual, or tactile illusions occur in the absence of a delirium. </w:t>
      </w:r>
      <w:r>
        <w:rPr>
          <w:i/>
          <w:w w:val="110"/>
          <w:sz w:val="20"/>
        </w:rPr>
        <w:t xml:space="preserve">Intact reality testing </w:t>
      </w:r>
      <w:r>
        <w:rPr>
          <w:w w:val="110"/>
          <w:sz w:val="19"/>
        </w:rPr>
        <w:t>means that the person knows that the hallucinations are induced by the substance and do not represent external reality. When hallucinations occur in the absence of intact reality testing, a diagnosis of Substance-Induced Psychotic Disorder, With Hallucinations, should be con­ sidered.</w:t>
      </w:r>
    </w:p>
    <w:p w:rsidR="00E675F0" w:rsidRDefault="00E675F0" w:rsidP="00E675F0">
      <w:pPr>
        <w:spacing w:line="266" w:lineRule="auto"/>
        <w:jc w:val="both"/>
        <w:rPr>
          <w:sz w:val="19"/>
        </w:rPr>
        <w:sectPr w:rsidR="00E675F0">
          <w:pgSz w:w="8960" w:h="14260"/>
          <w:pgMar w:top="1400" w:right="640" w:bottom="280" w:left="620" w:header="683" w:footer="0" w:gutter="0"/>
          <w:cols w:space="720"/>
        </w:sectPr>
      </w:pPr>
    </w:p>
    <w:p w:rsidR="00E675F0" w:rsidRDefault="00E675F0" w:rsidP="00E675F0">
      <w:pPr>
        <w:pStyle w:val="BodyText"/>
        <w:rPr>
          <w:sz w:val="10"/>
        </w:rPr>
      </w:pPr>
    </w:p>
    <w:tbl>
      <w:tblPr>
        <w:tblW w:w="0" w:type="auto"/>
        <w:tblInd w:w="214"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7338"/>
      </w:tblGrid>
      <w:tr w:rsidR="00E675F0" w:rsidTr="00A330E1">
        <w:trPr>
          <w:trHeight w:val="6727"/>
        </w:trPr>
        <w:tc>
          <w:tcPr>
            <w:tcW w:w="7338" w:type="dxa"/>
          </w:tcPr>
          <w:p w:rsidR="00E675F0" w:rsidRDefault="00E675F0" w:rsidP="003048D3">
            <w:pPr>
              <w:pStyle w:val="TableParagraph"/>
              <w:numPr>
                <w:ilvl w:val="0"/>
                <w:numId w:val="17"/>
              </w:numPr>
              <w:tabs>
                <w:tab w:val="left" w:pos="636"/>
              </w:tabs>
              <w:spacing w:before="37" w:line="201" w:lineRule="auto"/>
              <w:ind w:right="668" w:hanging="378"/>
              <w:rPr>
                <w:rFonts w:ascii="Arial" w:hAnsi="Arial"/>
                <w:b/>
                <w:sz w:val="24"/>
              </w:rPr>
            </w:pPr>
            <w:bookmarkStart w:id="176" w:name="_bookmark156"/>
            <w:bookmarkEnd w:id="176"/>
            <w:r>
              <w:rPr>
                <w:rFonts w:ascii="Arial" w:hAnsi="Arial"/>
                <w:b/>
                <w:w w:val="105"/>
                <w:sz w:val="24"/>
              </w:rPr>
              <w:t>Diagnostic</w:t>
            </w:r>
            <w:r>
              <w:rPr>
                <w:rFonts w:ascii="Arial" w:hAnsi="Arial"/>
                <w:b/>
                <w:spacing w:val="-11"/>
                <w:w w:val="105"/>
                <w:sz w:val="24"/>
              </w:rPr>
              <w:t xml:space="preserve"> </w:t>
            </w:r>
            <w:r>
              <w:rPr>
                <w:rFonts w:ascii="Arial" w:hAnsi="Arial"/>
                <w:b/>
                <w:w w:val="105"/>
                <w:sz w:val="24"/>
              </w:rPr>
              <w:t>criteria</w:t>
            </w:r>
            <w:r>
              <w:rPr>
                <w:rFonts w:ascii="Arial" w:hAnsi="Arial"/>
                <w:b/>
                <w:spacing w:val="-17"/>
                <w:w w:val="105"/>
                <w:sz w:val="24"/>
              </w:rPr>
              <w:t xml:space="preserve"> </w:t>
            </w:r>
            <w:r>
              <w:rPr>
                <w:rFonts w:ascii="Arial" w:hAnsi="Arial"/>
                <w:b/>
                <w:w w:val="105"/>
                <w:sz w:val="24"/>
              </w:rPr>
              <w:t>for</w:t>
            </w:r>
            <w:r>
              <w:rPr>
                <w:rFonts w:ascii="Arial" w:hAnsi="Arial"/>
                <w:b/>
                <w:spacing w:val="-14"/>
                <w:w w:val="105"/>
                <w:sz w:val="24"/>
              </w:rPr>
              <w:t xml:space="preserve"> </w:t>
            </w:r>
            <w:r>
              <w:rPr>
                <w:rFonts w:ascii="Arial" w:hAnsi="Arial"/>
                <w:b/>
                <w:w w:val="105"/>
                <w:sz w:val="24"/>
              </w:rPr>
              <w:t>292.0</w:t>
            </w:r>
            <w:r>
              <w:rPr>
                <w:rFonts w:ascii="Arial" w:hAnsi="Arial"/>
                <w:b/>
                <w:spacing w:val="-14"/>
                <w:w w:val="105"/>
                <w:sz w:val="24"/>
              </w:rPr>
              <w:t xml:space="preserve"> </w:t>
            </w:r>
            <w:r>
              <w:rPr>
                <w:rFonts w:ascii="Arial" w:hAnsi="Arial"/>
                <w:b/>
                <w:w w:val="105"/>
                <w:sz w:val="24"/>
              </w:rPr>
              <w:t>Sedative,</w:t>
            </w:r>
            <w:r>
              <w:rPr>
                <w:rFonts w:ascii="Arial" w:hAnsi="Arial"/>
                <w:b/>
                <w:spacing w:val="-11"/>
                <w:w w:val="105"/>
                <w:sz w:val="24"/>
              </w:rPr>
              <w:t xml:space="preserve"> </w:t>
            </w:r>
            <w:r>
              <w:rPr>
                <w:rFonts w:ascii="Arial" w:hAnsi="Arial"/>
                <w:b/>
                <w:w w:val="105"/>
                <w:sz w:val="24"/>
              </w:rPr>
              <w:t>Hypnotic,</w:t>
            </w:r>
            <w:r>
              <w:rPr>
                <w:rFonts w:ascii="Arial" w:hAnsi="Arial"/>
                <w:b/>
                <w:spacing w:val="-10"/>
                <w:w w:val="105"/>
                <w:sz w:val="24"/>
              </w:rPr>
              <w:t xml:space="preserve"> </w:t>
            </w:r>
            <w:r>
              <w:rPr>
                <w:rFonts w:ascii="Arial" w:hAnsi="Arial"/>
                <w:b/>
                <w:w w:val="105"/>
                <w:sz w:val="24"/>
              </w:rPr>
              <w:t>or Anxiolytic</w:t>
            </w:r>
            <w:r>
              <w:rPr>
                <w:rFonts w:ascii="Arial" w:hAnsi="Arial"/>
                <w:b/>
                <w:spacing w:val="3"/>
                <w:w w:val="105"/>
                <w:sz w:val="24"/>
              </w:rPr>
              <w:t xml:space="preserve"> </w:t>
            </w:r>
            <w:r>
              <w:rPr>
                <w:rFonts w:ascii="Arial" w:hAnsi="Arial"/>
                <w:b/>
                <w:w w:val="105"/>
                <w:sz w:val="24"/>
              </w:rPr>
              <w:t>Withdrawal</w:t>
            </w:r>
          </w:p>
          <w:p w:rsidR="00E675F0" w:rsidRDefault="00E675F0" w:rsidP="003048D3">
            <w:pPr>
              <w:pStyle w:val="TableParagraph"/>
              <w:numPr>
                <w:ilvl w:val="1"/>
                <w:numId w:val="17"/>
              </w:numPr>
              <w:tabs>
                <w:tab w:val="left" w:pos="963"/>
              </w:tabs>
              <w:spacing w:before="161" w:line="252" w:lineRule="auto"/>
              <w:ind w:right="225" w:hanging="311"/>
              <w:rPr>
                <w:rFonts w:ascii="Arial"/>
                <w:sz w:val="19"/>
              </w:rPr>
            </w:pPr>
            <w:r>
              <w:rPr>
                <w:w w:val="105"/>
                <w:sz w:val="20"/>
              </w:rPr>
              <w:t>Cessation of (or reduction in) sedative, hypnotic, or anxiolytic use that has been heavy and</w:t>
            </w:r>
            <w:r>
              <w:rPr>
                <w:spacing w:val="2"/>
                <w:w w:val="105"/>
                <w:sz w:val="20"/>
              </w:rPr>
              <w:t xml:space="preserve"> </w:t>
            </w:r>
            <w:r>
              <w:rPr>
                <w:w w:val="105"/>
                <w:sz w:val="20"/>
              </w:rPr>
              <w:t>prolonged.</w:t>
            </w:r>
          </w:p>
          <w:p w:rsidR="00E675F0" w:rsidRDefault="00E675F0" w:rsidP="003048D3">
            <w:pPr>
              <w:pStyle w:val="TableParagraph"/>
              <w:numPr>
                <w:ilvl w:val="1"/>
                <w:numId w:val="17"/>
              </w:numPr>
              <w:tabs>
                <w:tab w:val="left" w:pos="960"/>
              </w:tabs>
              <w:spacing w:before="180" w:line="261" w:lineRule="auto"/>
              <w:ind w:left="962" w:right="224" w:hanging="299"/>
              <w:rPr>
                <w:sz w:val="20"/>
              </w:rPr>
            </w:pPr>
            <w:r>
              <w:rPr>
                <w:w w:val="105"/>
                <w:sz w:val="20"/>
              </w:rPr>
              <w:t>Two (or more) of the following, developing within several hours to a few days after Criterion</w:t>
            </w:r>
            <w:r>
              <w:rPr>
                <w:spacing w:val="27"/>
                <w:w w:val="105"/>
                <w:sz w:val="20"/>
              </w:rPr>
              <w:t xml:space="preserve"> </w:t>
            </w:r>
            <w:r>
              <w:rPr>
                <w:w w:val="105"/>
                <w:sz w:val="20"/>
              </w:rPr>
              <w:t>A:</w:t>
            </w:r>
          </w:p>
          <w:p w:rsidR="00E675F0" w:rsidRDefault="00E675F0" w:rsidP="003048D3">
            <w:pPr>
              <w:pStyle w:val="TableParagraph"/>
              <w:numPr>
                <w:ilvl w:val="2"/>
                <w:numId w:val="17"/>
              </w:numPr>
              <w:tabs>
                <w:tab w:val="left" w:pos="1386"/>
                <w:tab w:val="left" w:pos="1387"/>
              </w:tabs>
              <w:spacing w:before="56" w:line="256" w:lineRule="auto"/>
              <w:ind w:right="1348" w:hanging="425"/>
              <w:rPr>
                <w:sz w:val="18"/>
              </w:rPr>
            </w:pPr>
            <w:r>
              <w:rPr>
                <w:w w:val="105"/>
                <w:sz w:val="20"/>
              </w:rPr>
              <w:t>autonomic hyperactivity (e.g., sweating or pulse rate greater than</w:t>
            </w:r>
            <w:r>
              <w:rPr>
                <w:spacing w:val="-25"/>
                <w:w w:val="105"/>
                <w:sz w:val="20"/>
              </w:rPr>
              <w:t xml:space="preserve"> </w:t>
            </w:r>
            <w:r>
              <w:rPr>
                <w:w w:val="105"/>
                <w:sz w:val="20"/>
              </w:rPr>
              <w:t>100)</w:t>
            </w:r>
          </w:p>
          <w:p w:rsidR="00E675F0" w:rsidRDefault="00E675F0" w:rsidP="003048D3">
            <w:pPr>
              <w:pStyle w:val="TableParagraph"/>
              <w:numPr>
                <w:ilvl w:val="2"/>
                <w:numId w:val="17"/>
              </w:numPr>
              <w:tabs>
                <w:tab w:val="left" w:pos="1393"/>
              </w:tabs>
              <w:spacing w:line="223" w:lineRule="exact"/>
              <w:ind w:left="1392" w:hanging="432"/>
              <w:rPr>
                <w:sz w:val="20"/>
              </w:rPr>
            </w:pPr>
            <w:r>
              <w:rPr>
                <w:w w:val="105"/>
                <w:sz w:val="20"/>
              </w:rPr>
              <w:t>increased hand</w:t>
            </w:r>
            <w:r>
              <w:rPr>
                <w:spacing w:val="-18"/>
                <w:w w:val="105"/>
                <w:sz w:val="20"/>
              </w:rPr>
              <w:t xml:space="preserve"> </w:t>
            </w:r>
            <w:r>
              <w:rPr>
                <w:w w:val="105"/>
                <w:sz w:val="20"/>
              </w:rPr>
              <w:t>tremor</w:t>
            </w:r>
          </w:p>
          <w:p w:rsidR="00E675F0" w:rsidRDefault="00E675F0" w:rsidP="003048D3">
            <w:pPr>
              <w:pStyle w:val="TableParagraph"/>
              <w:numPr>
                <w:ilvl w:val="2"/>
                <w:numId w:val="17"/>
              </w:numPr>
              <w:tabs>
                <w:tab w:val="left" w:pos="1393"/>
              </w:tabs>
              <w:spacing w:before="11"/>
              <w:ind w:left="1392" w:hanging="432"/>
              <w:rPr>
                <w:sz w:val="20"/>
              </w:rPr>
            </w:pPr>
            <w:r>
              <w:rPr>
                <w:w w:val="105"/>
                <w:sz w:val="20"/>
              </w:rPr>
              <w:t>insomnia</w:t>
            </w:r>
          </w:p>
          <w:p w:rsidR="00E675F0" w:rsidRDefault="00E675F0" w:rsidP="003048D3">
            <w:pPr>
              <w:pStyle w:val="TableParagraph"/>
              <w:numPr>
                <w:ilvl w:val="2"/>
                <w:numId w:val="17"/>
              </w:numPr>
              <w:tabs>
                <w:tab w:val="left" w:pos="1393"/>
              </w:tabs>
              <w:spacing w:before="15"/>
              <w:ind w:left="1392" w:hanging="432"/>
              <w:rPr>
                <w:sz w:val="20"/>
              </w:rPr>
            </w:pPr>
            <w:r>
              <w:rPr>
                <w:w w:val="105"/>
                <w:sz w:val="20"/>
              </w:rPr>
              <w:t>nausea or</w:t>
            </w:r>
            <w:r>
              <w:rPr>
                <w:spacing w:val="19"/>
                <w:w w:val="105"/>
                <w:sz w:val="20"/>
              </w:rPr>
              <w:t xml:space="preserve"> </w:t>
            </w:r>
            <w:r>
              <w:rPr>
                <w:w w:val="105"/>
                <w:sz w:val="20"/>
              </w:rPr>
              <w:t>vomiting</w:t>
            </w:r>
          </w:p>
          <w:p w:rsidR="00E675F0" w:rsidRDefault="00E675F0" w:rsidP="003048D3">
            <w:pPr>
              <w:pStyle w:val="TableParagraph"/>
              <w:numPr>
                <w:ilvl w:val="2"/>
                <w:numId w:val="17"/>
              </w:numPr>
              <w:tabs>
                <w:tab w:val="left" w:pos="1392"/>
              </w:tabs>
              <w:spacing w:before="15"/>
              <w:ind w:left="1391" w:hanging="431"/>
              <w:rPr>
                <w:sz w:val="20"/>
              </w:rPr>
            </w:pPr>
            <w:r>
              <w:rPr>
                <w:w w:val="105"/>
                <w:sz w:val="20"/>
              </w:rPr>
              <w:t>transient visual, tactile, or auditory hallucinations or</w:t>
            </w:r>
            <w:r>
              <w:rPr>
                <w:spacing w:val="12"/>
                <w:w w:val="105"/>
                <w:sz w:val="20"/>
              </w:rPr>
              <w:t xml:space="preserve"> </w:t>
            </w:r>
            <w:r>
              <w:rPr>
                <w:w w:val="105"/>
                <w:sz w:val="20"/>
              </w:rPr>
              <w:t>illusions</w:t>
            </w:r>
          </w:p>
          <w:p w:rsidR="00E675F0" w:rsidRDefault="00E675F0" w:rsidP="003048D3">
            <w:pPr>
              <w:pStyle w:val="TableParagraph"/>
              <w:numPr>
                <w:ilvl w:val="2"/>
                <w:numId w:val="17"/>
              </w:numPr>
              <w:tabs>
                <w:tab w:val="left" w:pos="1398"/>
                <w:tab w:val="left" w:pos="1399"/>
              </w:tabs>
              <w:spacing w:before="15"/>
              <w:ind w:left="1398" w:hanging="436"/>
              <w:rPr>
                <w:sz w:val="17"/>
              </w:rPr>
            </w:pPr>
            <w:r>
              <w:rPr>
                <w:w w:val="105"/>
                <w:sz w:val="20"/>
              </w:rPr>
              <w:t>psychomotor</w:t>
            </w:r>
            <w:r>
              <w:rPr>
                <w:spacing w:val="23"/>
                <w:w w:val="105"/>
                <w:sz w:val="20"/>
              </w:rPr>
              <w:t xml:space="preserve"> </w:t>
            </w:r>
            <w:r>
              <w:rPr>
                <w:w w:val="105"/>
                <w:sz w:val="20"/>
              </w:rPr>
              <w:t>agitation</w:t>
            </w:r>
          </w:p>
          <w:p w:rsidR="00E675F0" w:rsidRDefault="00E675F0" w:rsidP="003048D3">
            <w:pPr>
              <w:pStyle w:val="TableParagraph"/>
              <w:numPr>
                <w:ilvl w:val="2"/>
                <w:numId w:val="17"/>
              </w:numPr>
              <w:tabs>
                <w:tab w:val="left" w:pos="1392"/>
              </w:tabs>
              <w:spacing w:before="11"/>
              <w:ind w:left="1391" w:hanging="426"/>
              <w:rPr>
                <w:sz w:val="20"/>
              </w:rPr>
            </w:pPr>
            <w:r>
              <w:rPr>
                <w:w w:val="105"/>
                <w:sz w:val="20"/>
              </w:rPr>
              <w:t>anxiety</w:t>
            </w:r>
          </w:p>
          <w:p w:rsidR="00E675F0" w:rsidRDefault="00E675F0" w:rsidP="003048D3">
            <w:pPr>
              <w:pStyle w:val="TableParagraph"/>
              <w:numPr>
                <w:ilvl w:val="2"/>
                <w:numId w:val="17"/>
              </w:numPr>
              <w:tabs>
                <w:tab w:val="left" w:pos="1388"/>
              </w:tabs>
              <w:spacing w:before="10"/>
              <w:ind w:hanging="427"/>
              <w:rPr>
                <w:sz w:val="20"/>
              </w:rPr>
            </w:pPr>
            <w:r>
              <w:rPr>
                <w:w w:val="105"/>
                <w:sz w:val="20"/>
              </w:rPr>
              <w:t>grand mal</w:t>
            </w:r>
            <w:r>
              <w:rPr>
                <w:spacing w:val="21"/>
                <w:w w:val="105"/>
                <w:sz w:val="20"/>
              </w:rPr>
              <w:t xml:space="preserve"> </w:t>
            </w:r>
            <w:r>
              <w:rPr>
                <w:w w:val="105"/>
                <w:sz w:val="20"/>
              </w:rPr>
              <w:t>seizures</w:t>
            </w:r>
          </w:p>
          <w:p w:rsidR="00E675F0" w:rsidRDefault="00E675F0" w:rsidP="00A330E1">
            <w:pPr>
              <w:pStyle w:val="TableParagraph"/>
              <w:spacing w:before="7"/>
              <w:rPr>
                <w:sz w:val="17"/>
              </w:rPr>
            </w:pPr>
          </w:p>
          <w:p w:rsidR="00E675F0" w:rsidRDefault="00E675F0" w:rsidP="003048D3">
            <w:pPr>
              <w:pStyle w:val="TableParagraph"/>
              <w:numPr>
                <w:ilvl w:val="1"/>
                <w:numId w:val="17"/>
              </w:numPr>
              <w:tabs>
                <w:tab w:val="left" w:pos="960"/>
              </w:tabs>
              <w:spacing w:line="256" w:lineRule="auto"/>
              <w:ind w:right="219" w:hanging="310"/>
              <w:jc w:val="both"/>
              <w:rPr>
                <w:rFonts w:ascii="Arial" w:hAnsi="Arial"/>
                <w:sz w:val="17"/>
              </w:rPr>
            </w:pPr>
            <w:r>
              <w:rPr>
                <w:w w:val="105"/>
                <w:sz w:val="20"/>
              </w:rPr>
              <w:t>The symptoms in Criterion B cause clinically significant distress or impairment in social, occupational, or other important areas of func­ tioning.</w:t>
            </w:r>
          </w:p>
          <w:p w:rsidR="00E675F0" w:rsidRDefault="00E675F0" w:rsidP="003048D3">
            <w:pPr>
              <w:pStyle w:val="TableParagraph"/>
              <w:numPr>
                <w:ilvl w:val="1"/>
                <w:numId w:val="17"/>
              </w:numPr>
              <w:tabs>
                <w:tab w:val="left" w:pos="960"/>
              </w:tabs>
              <w:spacing w:before="175" w:line="256" w:lineRule="auto"/>
              <w:ind w:left="970" w:right="214" w:hanging="307"/>
              <w:jc w:val="both"/>
              <w:rPr>
                <w:sz w:val="20"/>
              </w:rPr>
            </w:pPr>
            <w:r>
              <w:rPr>
                <w:w w:val="110"/>
                <w:sz w:val="20"/>
              </w:rPr>
              <w:t>The symptoms are not due to a general medical condition and are not better accounted for by another mental</w:t>
            </w:r>
            <w:r>
              <w:rPr>
                <w:spacing w:val="33"/>
                <w:w w:val="110"/>
                <w:sz w:val="20"/>
              </w:rPr>
              <w:t xml:space="preserve"> </w:t>
            </w:r>
            <w:r>
              <w:rPr>
                <w:w w:val="110"/>
                <w:sz w:val="20"/>
              </w:rPr>
              <w:t>disorder.</w:t>
            </w:r>
          </w:p>
          <w:p w:rsidR="00E675F0" w:rsidRDefault="00E675F0" w:rsidP="00A330E1">
            <w:pPr>
              <w:pStyle w:val="TableParagraph"/>
              <w:spacing w:before="146"/>
              <w:ind w:left="413"/>
              <w:rPr>
                <w:sz w:val="19"/>
              </w:rPr>
            </w:pPr>
            <w:r>
              <w:rPr>
                <w:rFonts w:ascii="Arial"/>
                <w:i/>
                <w:w w:val="95"/>
                <w:sz w:val="19"/>
              </w:rPr>
              <w:t xml:space="preserve">Specify </w:t>
            </w:r>
            <w:r>
              <w:rPr>
                <w:w w:val="95"/>
                <w:sz w:val="19"/>
              </w:rPr>
              <w:t>if:</w:t>
            </w:r>
          </w:p>
          <w:p w:rsidR="00E675F0" w:rsidRDefault="00E675F0" w:rsidP="00A330E1">
            <w:pPr>
              <w:pStyle w:val="TableParagraph"/>
              <w:spacing w:before="17"/>
              <w:ind w:left="655"/>
              <w:rPr>
                <w:b/>
                <w:sz w:val="20"/>
              </w:rPr>
            </w:pPr>
            <w:r>
              <w:rPr>
                <w:b/>
                <w:w w:val="110"/>
                <w:sz w:val="20"/>
              </w:rPr>
              <w:t>With Perceptual Disturbances</w:t>
            </w:r>
          </w:p>
        </w:tc>
      </w:tr>
    </w:tbl>
    <w:p w:rsidR="00E675F0" w:rsidRDefault="00E675F0" w:rsidP="00E675F0">
      <w:pPr>
        <w:pStyle w:val="BodyText"/>
      </w:pPr>
    </w:p>
    <w:p w:rsidR="00E675F0" w:rsidRDefault="00E675F0" w:rsidP="00E675F0">
      <w:pPr>
        <w:pStyle w:val="BodyText"/>
        <w:spacing w:before="6"/>
        <w:rPr>
          <w:sz w:val="24"/>
        </w:rPr>
      </w:pPr>
    </w:p>
    <w:p w:rsidR="00E675F0" w:rsidRDefault="00E675F0" w:rsidP="00E675F0">
      <w:pPr>
        <w:spacing w:before="92" w:line="249" w:lineRule="auto"/>
        <w:ind w:left="2107" w:right="2013" w:hanging="93"/>
        <w:rPr>
          <w:rFonts w:ascii="Arial"/>
          <w:b/>
          <w:sz w:val="25"/>
        </w:rPr>
      </w:pPr>
      <w:r>
        <w:rPr>
          <w:noProof/>
        </w:rPr>
        <mc:AlternateContent>
          <mc:Choice Requires="wps">
            <w:drawing>
              <wp:anchor distT="0" distB="0" distL="114300" distR="114300" simplePos="0" relativeHeight="251727872" behindDoc="0" locked="0" layoutInCell="1" allowOverlap="1" wp14:anchorId="6500B216" wp14:editId="66BCEFF9">
                <wp:simplePos x="0" y="0"/>
                <wp:positionH relativeFrom="page">
                  <wp:posOffset>452120</wp:posOffset>
                </wp:positionH>
                <wp:positionV relativeFrom="paragraph">
                  <wp:posOffset>-342265</wp:posOffset>
                </wp:positionV>
                <wp:extent cx="4763135" cy="0"/>
                <wp:effectExtent l="0" t="12700" r="24765" b="12700"/>
                <wp:wrapNone/>
                <wp:docPr id="1295" name="Line 12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763135" cy="0"/>
                        </a:xfrm>
                        <a:prstGeom prst="line">
                          <a:avLst/>
                        </a:prstGeom>
                        <a:noFill/>
                        <a:ln w="335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E9B3EA" id="Line 1251" o:spid="_x0000_s1026" style="position:absolute;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6pt,-26.95pt" to="410.65pt,-2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" strokeweight=".93264mm">
                <o:lock v:ext="edit" shapetype="f"/>
                <w10:wrap anchorx="page"/>
              </v:line>
            </w:pict>
          </mc:Fallback>
        </mc:AlternateContent>
      </w:r>
      <w:r>
        <w:rPr>
          <w:rFonts w:ascii="Arial"/>
          <w:b/>
          <w:w w:val="105"/>
          <w:sz w:val="25"/>
        </w:rPr>
        <w:t xml:space="preserve">Other Sedative-, Hypnotic-, or </w:t>
      </w:r>
      <w:r>
        <w:rPr>
          <w:rFonts w:ascii="Arial"/>
          <w:b/>
          <w:sz w:val="25"/>
        </w:rPr>
        <w:t>Anxiolytic-Induced Disorders</w:t>
      </w:r>
    </w:p>
    <w:p w:rsidR="00E675F0" w:rsidRDefault="00E675F0" w:rsidP="00E675F0">
      <w:pPr>
        <w:spacing w:before="233" w:line="254" w:lineRule="auto"/>
        <w:ind w:left="119" w:right="117"/>
        <w:jc w:val="both"/>
        <w:rPr>
          <w:sz w:val="20"/>
        </w:rPr>
      </w:pPr>
      <w:r>
        <w:rPr>
          <w:w w:val="105"/>
          <w:sz w:val="20"/>
        </w:rPr>
        <w:t xml:space="preserve">The following Sedative-, Hypnotic-, or Anxiolytic-Induced Disorders are described in other sections of the manual with disorders with which they share phenomenology: </w:t>
      </w:r>
      <w:r>
        <w:rPr>
          <w:b/>
          <w:w w:val="105"/>
          <w:sz w:val="20"/>
        </w:rPr>
        <w:t xml:space="preserve">Sedative, Hypnotic, or Anxiolytic Intoxication Delirium </w:t>
      </w:r>
      <w:r>
        <w:rPr>
          <w:rFonts w:ascii="Arial" w:hAnsi="Arial"/>
          <w:w w:val="105"/>
          <w:sz w:val="18"/>
        </w:rPr>
        <w:t xml:space="preserve">(p. </w:t>
      </w:r>
      <w:r>
        <w:rPr>
          <w:w w:val="105"/>
          <w:sz w:val="20"/>
        </w:rPr>
        <w:t xml:space="preserve">129), </w:t>
      </w:r>
      <w:r>
        <w:rPr>
          <w:b/>
          <w:w w:val="105"/>
          <w:sz w:val="20"/>
        </w:rPr>
        <w:t xml:space="preserve">Sedative, Hyp­ notic, or Anxiolytic Withdrawal Delirium </w:t>
      </w:r>
      <w:r>
        <w:rPr>
          <w:rFonts w:ascii="Arial" w:hAnsi="Arial"/>
          <w:w w:val="105"/>
          <w:sz w:val="17"/>
        </w:rPr>
        <w:t xml:space="preserve">(p. </w:t>
      </w:r>
      <w:r>
        <w:rPr>
          <w:w w:val="105"/>
          <w:sz w:val="20"/>
        </w:rPr>
        <w:t xml:space="preserve">129), </w:t>
      </w:r>
      <w:r>
        <w:rPr>
          <w:b/>
          <w:w w:val="105"/>
          <w:sz w:val="20"/>
        </w:rPr>
        <w:t xml:space="preserve">Sedative-, Hypnotic-, or Anxiolytic-Induced Persisting Dementia </w:t>
      </w:r>
      <w:r>
        <w:rPr>
          <w:rFonts w:ascii="Arial" w:hAnsi="Arial"/>
          <w:w w:val="105"/>
          <w:sz w:val="18"/>
        </w:rPr>
        <w:t xml:space="preserve">(p. </w:t>
      </w:r>
      <w:r>
        <w:rPr>
          <w:w w:val="105"/>
          <w:sz w:val="20"/>
        </w:rPr>
        <w:t xml:space="preserve">152), </w:t>
      </w:r>
      <w:r>
        <w:rPr>
          <w:b/>
          <w:w w:val="105"/>
          <w:sz w:val="20"/>
        </w:rPr>
        <w:t xml:space="preserve">Sedative-, Hypnotic-, or </w:t>
      </w:r>
      <w:r>
        <w:rPr>
          <w:b/>
          <w:w w:val="105"/>
          <w:sz w:val="19"/>
        </w:rPr>
        <w:t xml:space="preserve">An­ </w:t>
      </w:r>
      <w:r>
        <w:rPr>
          <w:b/>
          <w:w w:val="105"/>
          <w:sz w:val="20"/>
        </w:rPr>
        <w:t xml:space="preserve">xiolytic-Induced Persisting Amnestic Disorder </w:t>
      </w:r>
      <w:r>
        <w:rPr>
          <w:rFonts w:ascii="Arial" w:hAnsi="Arial"/>
          <w:w w:val="105"/>
          <w:sz w:val="18"/>
        </w:rPr>
        <w:t xml:space="preserve">(p. </w:t>
      </w:r>
      <w:r>
        <w:rPr>
          <w:w w:val="105"/>
          <w:sz w:val="20"/>
        </w:rPr>
        <w:t xml:space="preserve">161), </w:t>
      </w:r>
      <w:r>
        <w:rPr>
          <w:b/>
          <w:w w:val="105"/>
          <w:sz w:val="20"/>
        </w:rPr>
        <w:t xml:space="preserve">Sedative-, Hypnotic-, or Anxiolytic-Induced Psychotic Disorder </w:t>
      </w:r>
      <w:r>
        <w:rPr>
          <w:rFonts w:ascii="Arial" w:hAnsi="Arial"/>
          <w:w w:val="105"/>
          <w:sz w:val="18"/>
        </w:rPr>
        <w:t xml:space="preserve">(p. </w:t>
      </w:r>
      <w:r>
        <w:rPr>
          <w:w w:val="105"/>
          <w:sz w:val="20"/>
        </w:rPr>
        <w:t xml:space="preserve">310), </w:t>
      </w:r>
      <w:r>
        <w:rPr>
          <w:b/>
          <w:w w:val="105"/>
          <w:sz w:val="20"/>
        </w:rPr>
        <w:t xml:space="preserve">Sedative-, Hypnotic-, or </w:t>
      </w:r>
      <w:r>
        <w:rPr>
          <w:b/>
          <w:w w:val="105"/>
          <w:sz w:val="19"/>
        </w:rPr>
        <w:t xml:space="preserve">An­ </w:t>
      </w:r>
      <w:r>
        <w:rPr>
          <w:b/>
          <w:w w:val="105"/>
          <w:sz w:val="20"/>
        </w:rPr>
        <w:t xml:space="preserve">xiolytic-Induced Mood Disorder </w:t>
      </w:r>
      <w:r>
        <w:rPr>
          <w:rFonts w:ascii="Arial" w:hAnsi="Arial"/>
          <w:w w:val="105"/>
          <w:sz w:val="18"/>
        </w:rPr>
        <w:t xml:space="preserve">(p. </w:t>
      </w:r>
      <w:r>
        <w:rPr>
          <w:w w:val="105"/>
          <w:sz w:val="20"/>
        </w:rPr>
        <w:t xml:space="preserve">370), </w:t>
      </w:r>
      <w:r>
        <w:rPr>
          <w:b/>
          <w:w w:val="105"/>
          <w:sz w:val="20"/>
        </w:rPr>
        <w:t xml:space="preserve">Sedative-, Hypnotic-, or Anxiolytic­ Induced Anxiety Disorder </w:t>
      </w:r>
      <w:r>
        <w:rPr>
          <w:rFonts w:ascii="Arial" w:hAnsi="Arial"/>
          <w:w w:val="105"/>
          <w:sz w:val="18"/>
        </w:rPr>
        <w:t xml:space="preserve">(p. </w:t>
      </w:r>
      <w:r>
        <w:rPr>
          <w:w w:val="105"/>
          <w:sz w:val="19"/>
        </w:rPr>
        <w:t xml:space="preserve">439), </w:t>
      </w:r>
      <w:r>
        <w:rPr>
          <w:b/>
          <w:w w:val="105"/>
          <w:sz w:val="20"/>
        </w:rPr>
        <w:t xml:space="preserve">Sedative-, Hypnotic-, or Anxiolytic-Induced Sexual Dysfunction </w:t>
      </w:r>
      <w:r>
        <w:rPr>
          <w:w w:val="105"/>
          <w:sz w:val="20"/>
        </w:rPr>
        <w:t xml:space="preserve">(p. 519), and </w:t>
      </w:r>
      <w:r>
        <w:rPr>
          <w:b/>
          <w:w w:val="105"/>
          <w:sz w:val="20"/>
        </w:rPr>
        <w:t xml:space="preserve">Sedative-,  Hypnotic-,  or  Anxiolytic-Induced Sleep Disorder </w:t>
      </w:r>
      <w:r>
        <w:rPr>
          <w:w w:val="105"/>
          <w:sz w:val="20"/>
        </w:rPr>
        <w:t>(p. 601). These disorders are diagnosed instead of Sedative,  Hypnotic, or Anxiolytic Intoxication or Sedative, Hypnotic, or Anxiolytic Withdrawal only when the symptoms are in excess of those usually associated with the Sedative, Hypnotic, or Anxiolytic</w:t>
      </w:r>
      <w:r>
        <w:rPr>
          <w:spacing w:val="-5"/>
          <w:w w:val="105"/>
          <w:sz w:val="20"/>
        </w:rPr>
        <w:t xml:space="preserve"> </w:t>
      </w:r>
      <w:r>
        <w:rPr>
          <w:w w:val="105"/>
          <w:sz w:val="20"/>
        </w:rPr>
        <w:t>Intoxication</w:t>
      </w:r>
      <w:r>
        <w:rPr>
          <w:spacing w:val="-9"/>
          <w:w w:val="105"/>
          <w:sz w:val="20"/>
        </w:rPr>
        <w:t xml:space="preserve"> </w:t>
      </w:r>
      <w:r>
        <w:rPr>
          <w:w w:val="105"/>
          <w:sz w:val="20"/>
        </w:rPr>
        <w:t>or</w:t>
      </w:r>
      <w:r>
        <w:rPr>
          <w:spacing w:val="-8"/>
          <w:w w:val="105"/>
          <w:sz w:val="20"/>
        </w:rPr>
        <w:t xml:space="preserve"> </w:t>
      </w:r>
      <w:r>
        <w:rPr>
          <w:w w:val="105"/>
          <w:sz w:val="20"/>
        </w:rPr>
        <w:t>Withdrawal</w:t>
      </w:r>
      <w:r>
        <w:rPr>
          <w:spacing w:val="-3"/>
          <w:w w:val="105"/>
          <w:sz w:val="20"/>
        </w:rPr>
        <w:t xml:space="preserve"> </w:t>
      </w:r>
      <w:r>
        <w:rPr>
          <w:w w:val="105"/>
          <w:sz w:val="20"/>
        </w:rPr>
        <w:t>syndrome</w:t>
      </w:r>
      <w:r>
        <w:rPr>
          <w:spacing w:val="-2"/>
          <w:w w:val="105"/>
          <w:sz w:val="20"/>
        </w:rPr>
        <w:t xml:space="preserve"> </w:t>
      </w:r>
      <w:r>
        <w:rPr>
          <w:w w:val="105"/>
          <w:sz w:val="20"/>
        </w:rPr>
        <w:t>and</w:t>
      </w:r>
      <w:r>
        <w:rPr>
          <w:spacing w:val="-14"/>
          <w:w w:val="105"/>
          <w:sz w:val="20"/>
        </w:rPr>
        <w:t xml:space="preserve"> </w:t>
      </w:r>
      <w:r>
        <w:rPr>
          <w:w w:val="105"/>
          <w:sz w:val="20"/>
        </w:rPr>
        <w:t>when</w:t>
      </w:r>
      <w:r>
        <w:rPr>
          <w:spacing w:val="-11"/>
          <w:w w:val="105"/>
          <w:sz w:val="20"/>
        </w:rPr>
        <w:t xml:space="preserve"> </w:t>
      </w:r>
      <w:r>
        <w:rPr>
          <w:w w:val="105"/>
          <w:sz w:val="20"/>
        </w:rPr>
        <w:t>the</w:t>
      </w:r>
      <w:r>
        <w:rPr>
          <w:spacing w:val="-16"/>
          <w:w w:val="105"/>
          <w:sz w:val="20"/>
        </w:rPr>
        <w:t xml:space="preserve"> </w:t>
      </w:r>
      <w:r>
        <w:rPr>
          <w:w w:val="105"/>
          <w:sz w:val="20"/>
        </w:rPr>
        <w:t>symptoms</w:t>
      </w:r>
      <w:r>
        <w:rPr>
          <w:spacing w:val="-6"/>
          <w:w w:val="105"/>
          <w:sz w:val="20"/>
        </w:rPr>
        <w:t xml:space="preserve"> </w:t>
      </w:r>
      <w:r>
        <w:rPr>
          <w:w w:val="105"/>
          <w:sz w:val="20"/>
        </w:rPr>
        <w:t>are</w:t>
      </w:r>
      <w:r>
        <w:rPr>
          <w:spacing w:val="-20"/>
          <w:w w:val="105"/>
          <w:sz w:val="20"/>
        </w:rPr>
        <w:t xml:space="preserve"> </w:t>
      </w:r>
      <w:r>
        <w:rPr>
          <w:w w:val="105"/>
          <w:sz w:val="20"/>
        </w:rPr>
        <w:t>sufficiently severe to warrant independent clinical</w:t>
      </w:r>
      <w:r>
        <w:rPr>
          <w:spacing w:val="20"/>
          <w:w w:val="105"/>
          <w:sz w:val="20"/>
        </w:rPr>
        <w:t xml:space="preserve"> </w:t>
      </w:r>
      <w:r>
        <w:rPr>
          <w:w w:val="105"/>
          <w:sz w:val="20"/>
        </w:rPr>
        <w:t>attention.</w:t>
      </w:r>
    </w:p>
    <w:p w:rsidR="00E675F0" w:rsidRDefault="00E675F0" w:rsidP="00E675F0">
      <w:pPr>
        <w:spacing w:line="254" w:lineRule="auto"/>
        <w:jc w:val="both"/>
        <w:rPr>
          <w:sz w:val="20"/>
        </w:rPr>
        <w:sectPr w:rsidR="00E675F0">
          <w:pgSz w:w="8960" w:h="14260"/>
          <w:pgMar w:top="1400" w:right="620" w:bottom="280" w:left="600" w:header="697" w:footer="0" w:gutter="0"/>
          <w:cols w:space="720"/>
        </w:sectPr>
      </w:pPr>
    </w:p>
    <w:p w:rsidR="00E675F0" w:rsidRDefault="00E675F0" w:rsidP="00E675F0">
      <w:pPr>
        <w:spacing w:before="142" w:line="320" w:lineRule="exact"/>
        <w:ind w:left="81" w:right="119"/>
        <w:jc w:val="center"/>
        <w:rPr>
          <w:rFonts w:ascii="TimesNewRomanPS-BoldItalicMT"/>
          <w:b/>
          <w:i/>
          <w:sz w:val="28"/>
        </w:rPr>
      </w:pPr>
      <w:r>
        <w:rPr>
          <w:rFonts w:ascii="TimesNewRomanPS-BoldItalicMT"/>
          <w:b/>
          <w:i/>
          <w:w w:val="115"/>
          <w:sz w:val="28"/>
        </w:rPr>
        <w:lastRenderedPageBreak/>
        <w:t>Additional Information on</w:t>
      </w:r>
    </w:p>
    <w:p w:rsidR="00E675F0" w:rsidRDefault="00E675F0" w:rsidP="00E675F0">
      <w:pPr>
        <w:spacing w:line="320" w:lineRule="exact"/>
        <w:ind w:left="74" w:right="119"/>
        <w:jc w:val="center"/>
        <w:rPr>
          <w:rFonts w:ascii="TimesNewRomanPS-BoldItalicMT"/>
          <w:b/>
          <w:i/>
          <w:sz w:val="28"/>
        </w:rPr>
      </w:pPr>
      <w:r>
        <w:rPr>
          <w:rFonts w:ascii="TimesNewRomanPS-BoldItalicMT"/>
          <w:b/>
          <w:i/>
          <w:w w:val="110"/>
          <w:sz w:val="28"/>
        </w:rPr>
        <w:t>Sedative-, Hypnotic-, or Anxiolytic-Related Di,Sorders</w:t>
      </w:r>
    </w:p>
    <w:p w:rsidR="00E675F0" w:rsidRDefault="00E675F0" w:rsidP="00E675F0">
      <w:pPr>
        <w:pStyle w:val="BodyText"/>
        <w:rPr>
          <w:rFonts w:ascii="TimesNewRomanPS-BoldItalicMT"/>
          <w:b/>
          <w:i/>
          <w:sz w:val="30"/>
        </w:rPr>
      </w:pPr>
    </w:p>
    <w:p w:rsidR="00E675F0" w:rsidRDefault="00E675F0" w:rsidP="00E675F0">
      <w:pPr>
        <w:spacing w:before="227"/>
        <w:ind w:left="105"/>
        <w:jc w:val="both"/>
        <w:rPr>
          <w:rFonts w:ascii="TimesNewRomanPS-BoldItalicMT"/>
          <w:b/>
          <w:i/>
          <w:sz w:val="25"/>
        </w:rPr>
      </w:pPr>
      <w:r>
        <w:rPr>
          <w:rFonts w:ascii="TimesNewRomanPS-BoldItalicMT"/>
          <w:b/>
          <w:i/>
          <w:w w:val="110"/>
          <w:sz w:val="25"/>
        </w:rPr>
        <w:t>Associated Features and Disorders</w:t>
      </w:r>
    </w:p>
    <w:p w:rsidR="00E675F0" w:rsidRDefault="00E675F0" w:rsidP="00E675F0">
      <w:pPr>
        <w:pStyle w:val="BodyText"/>
        <w:spacing w:before="201" w:line="254" w:lineRule="auto"/>
        <w:ind w:left="119" w:right="114" w:hanging="2"/>
        <w:jc w:val="both"/>
      </w:pPr>
      <w:r>
        <w:rPr>
          <w:b/>
          <w:w w:val="105"/>
        </w:rPr>
        <w:t xml:space="preserve">Associated descriptive features and mental disorders. </w:t>
      </w:r>
      <w:r>
        <w:rPr>
          <w:w w:val="105"/>
        </w:rPr>
        <w:t xml:space="preserve">Sedative, Hypnotic, or Anxiolytic Dependence and Abuse may often be associated with Dependence on, or Abuse of, other substances (e.g., alcohol, cannabis, cocaine, heroin, amphetamines). Sedatives are often used to alleviate the unwanted effects of these other substances. Acute Intoxication can result in accidental injury through falls and automobile accidents. For elderly individuals, even short-term use of these sedating medications at prescribed doses can be associated with an increased risk for cognitive problems and falls. Some data indicate that the disinhibiting effects of these agents can, like alcohol, actually contribute to overly aggressive behavior, with subsequent interpersonal and legal problems. Intense or repeated Sedative, Hypnotic, or Anxiolytic Intoxication may be associated with severe depressions that, although temporary, can be intense enough </w:t>
      </w:r>
      <w:r>
        <w:rPr>
          <w:w w:val="105"/>
          <w:sz w:val="18"/>
        </w:rPr>
        <w:t xml:space="preserve">to </w:t>
      </w:r>
      <w:r>
        <w:rPr>
          <w:w w:val="105"/>
        </w:rPr>
        <w:t>lead to suicide attempts and completed suicides. Accidental or deliberate overdoses, similar to those observed for Alcohol Abuse or Dependence or repeated Alcohol Intoxication, can occur. In contrast to their wide margin of safety when used alone, benzodiazepines taken in combination with alcohol appear to be particularly dangerous, and accidental overdoses have been reported. Accidental overdoses have also been reported in individuals who deliberately abuse barbiturates and other nonbenzodiaze­ pine sedatives (e.g., methaqualone). With repeated use in search of euphoria, tolerance develops to the sedative effects, and a progressively higher dose is used. However, tolerance to brain stem depressant effects develops much more slowly, and as the person takes more substance to achieve euphoria, there may be a sudden onset of respiratory depression and hypotension, which may result in death. Antisocial behavior and Antisocial Personality Disorder are associated with Sedative, Hypnotic, or Anxiolytic Dependence and Abuse, especially when the substances are obtained illegally.</w:t>
      </w:r>
    </w:p>
    <w:p w:rsidR="00E675F0" w:rsidRDefault="00E675F0" w:rsidP="00E675F0">
      <w:pPr>
        <w:pStyle w:val="BodyText"/>
        <w:spacing w:before="5"/>
        <w:rPr>
          <w:sz w:val="30"/>
        </w:rPr>
      </w:pPr>
    </w:p>
    <w:p w:rsidR="00E675F0" w:rsidRDefault="00E675F0" w:rsidP="00E675F0">
      <w:pPr>
        <w:pStyle w:val="BodyText"/>
        <w:spacing w:line="252" w:lineRule="auto"/>
        <w:ind w:left="119" w:right="115" w:hanging="2"/>
        <w:jc w:val="both"/>
      </w:pPr>
      <w:r>
        <w:rPr>
          <w:b/>
          <w:w w:val="105"/>
        </w:rPr>
        <w:t xml:space="preserve">Associated laboratory f'tndings. </w:t>
      </w:r>
      <w:r>
        <w:rPr>
          <w:w w:val="105"/>
        </w:rPr>
        <w:t>Almost all of these substances can be identified through laboratory evaluations of urine or blood (which can quantify the amounts of these agents in the body). Urine tests are likely to remain  positive for up  to a week or so after the use of long-acting substances (e.g.,</w:t>
      </w:r>
      <w:r>
        <w:rPr>
          <w:spacing w:val="48"/>
          <w:w w:val="105"/>
        </w:rPr>
        <w:t xml:space="preserve"> </w:t>
      </w:r>
      <w:r>
        <w:rPr>
          <w:w w:val="105"/>
        </w:rPr>
        <w:t>flurazepam).</w:t>
      </w:r>
    </w:p>
    <w:p w:rsidR="00E675F0" w:rsidRDefault="00E675F0" w:rsidP="00E675F0">
      <w:pPr>
        <w:pStyle w:val="BodyText"/>
        <w:spacing w:before="11"/>
        <w:rPr>
          <w:sz w:val="30"/>
        </w:rPr>
      </w:pPr>
    </w:p>
    <w:p w:rsidR="00E675F0" w:rsidRDefault="00E675F0" w:rsidP="00E675F0">
      <w:pPr>
        <w:pStyle w:val="BodyText"/>
        <w:spacing w:line="254" w:lineRule="auto"/>
        <w:ind w:left="122" w:right="113" w:hanging="5"/>
        <w:jc w:val="both"/>
      </w:pPr>
      <w:r>
        <w:rPr>
          <w:b/>
          <w:w w:val="105"/>
        </w:rPr>
        <w:t xml:space="preserve">Associated physical  examination  findings  </w:t>
      </w:r>
      <w:r>
        <w:rPr>
          <w:b/>
          <w:spacing w:val="2"/>
          <w:w w:val="105"/>
        </w:rPr>
        <w:t xml:space="preserve">andgeneral  </w:t>
      </w:r>
      <w:r>
        <w:rPr>
          <w:b/>
          <w:w w:val="105"/>
        </w:rPr>
        <w:t xml:space="preserve">medical  conditions. </w:t>
      </w:r>
      <w:r>
        <w:rPr>
          <w:w w:val="105"/>
        </w:rPr>
        <w:t>Physical examination is likely to reveal evidence of a mild decrease in most aspects of autonomic nervous system functioning, including a slower pulse, a slightly decreased respiratory rate, and a slight drop in blood pressure (most likely to occur with postural changes). Overdoses of sedatives, hypnotics, and anxiolytics may be associated with a deterioration in vital signs that may signal an impending medical emergency (e.g., respiratory</w:t>
      </w:r>
      <w:r>
        <w:rPr>
          <w:spacing w:val="-6"/>
          <w:w w:val="105"/>
        </w:rPr>
        <w:t xml:space="preserve"> </w:t>
      </w:r>
      <w:r>
        <w:rPr>
          <w:w w:val="105"/>
        </w:rPr>
        <w:t>arrest</w:t>
      </w:r>
      <w:r>
        <w:rPr>
          <w:spacing w:val="-8"/>
          <w:w w:val="105"/>
        </w:rPr>
        <w:t xml:space="preserve"> </w:t>
      </w:r>
      <w:r>
        <w:rPr>
          <w:w w:val="105"/>
        </w:rPr>
        <w:t>from</w:t>
      </w:r>
      <w:r>
        <w:rPr>
          <w:spacing w:val="-4"/>
          <w:w w:val="105"/>
        </w:rPr>
        <w:t xml:space="preserve"> </w:t>
      </w:r>
      <w:r>
        <w:rPr>
          <w:w w:val="105"/>
        </w:rPr>
        <w:t>barbiturates).</w:t>
      </w:r>
      <w:r>
        <w:rPr>
          <w:spacing w:val="-27"/>
          <w:w w:val="105"/>
        </w:rPr>
        <w:t xml:space="preserve"> </w:t>
      </w:r>
      <w:r>
        <w:rPr>
          <w:w w:val="105"/>
        </w:rPr>
        <w:t>There</w:t>
      </w:r>
      <w:r>
        <w:rPr>
          <w:spacing w:val="-7"/>
          <w:w w:val="105"/>
        </w:rPr>
        <w:t xml:space="preserve"> </w:t>
      </w:r>
      <w:r>
        <w:rPr>
          <w:w w:val="105"/>
        </w:rPr>
        <w:t>may</w:t>
      </w:r>
      <w:r>
        <w:rPr>
          <w:spacing w:val="-11"/>
          <w:w w:val="105"/>
        </w:rPr>
        <w:t xml:space="preserve"> </w:t>
      </w:r>
      <w:r>
        <w:rPr>
          <w:w w:val="105"/>
        </w:rPr>
        <w:t>be</w:t>
      </w:r>
      <w:r>
        <w:rPr>
          <w:spacing w:val="-16"/>
          <w:w w:val="105"/>
        </w:rPr>
        <w:t xml:space="preserve"> </w:t>
      </w:r>
      <w:r>
        <w:rPr>
          <w:w w:val="105"/>
        </w:rPr>
        <w:t>consequences</w:t>
      </w:r>
      <w:r>
        <w:rPr>
          <w:spacing w:val="2"/>
          <w:w w:val="105"/>
        </w:rPr>
        <w:t xml:space="preserve"> </w:t>
      </w:r>
      <w:r>
        <w:rPr>
          <w:w w:val="105"/>
        </w:rPr>
        <w:t>of</w:t>
      </w:r>
      <w:r>
        <w:rPr>
          <w:spacing w:val="-4"/>
          <w:w w:val="105"/>
        </w:rPr>
        <w:t xml:space="preserve"> </w:t>
      </w:r>
      <w:r>
        <w:rPr>
          <w:w w:val="105"/>
        </w:rPr>
        <w:t>trauma</w:t>
      </w:r>
      <w:r>
        <w:rPr>
          <w:spacing w:val="1"/>
          <w:w w:val="105"/>
        </w:rPr>
        <w:t xml:space="preserve"> </w:t>
      </w:r>
      <w:r>
        <w:rPr>
          <w:w w:val="105"/>
        </w:rPr>
        <w:t>(e.g.,</w:t>
      </w:r>
      <w:r>
        <w:rPr>
          <w:spacing w:val="-3"/>
          <w:w w:val="105"/>
        </w:rPr>
        <w:t xml:space="preserve"> </w:t>
      </w:r>
      <w:r>
        <w:rPr>
          <w:w w:val="105"/>
        </w:rPr>
        <w:t>internal bleeding or a subdural hematoma) from accidents that occur while intoxicated. Intravenous use of these substances can result in medical complications related to the use of contaminated needles (e.g., hepatitis and human immunodeficiency virus [HIV] infection).</w:t>
      </w:r>
    </w:p>
    <w:p w:rsidR="00E675F0" w:rsidRDefault="00E675F0" w:rsidP="00E675F0">
      <w:pPr>
        <w:spacing w:line="254" w:lineRule="auto"/>
        <w:jc w:val="both"/>
        <w:sectPr w:rsidR="00E675F0">
          <w:pgSz w:w="8960" w:h="14260"/>
          <w:pgMar w:top="1400" w:right="600" w:bottom="280" w:left="640" w:header="683" w:footer="0" w:gutter="0"/>
          <w:cols w:space="720"/>
        </w:sectPr>
      </w:pPr>
    </w:p>
    <w:p w:rsidR="00E675F0" w:rsidRDefault="00E675F0" w:rsidP="00E675F0">
      <w:pPr>
        <w:spacing w:before="122"/>
        <w:ind w:left="111"/>
        <w:rPr>
          <w:rFonts w:ascii="TimesNewRomanPS-BoldItalicMT"/>
          <w:b/>
          <w:i/>
          <w:sz w:val="24"/>
        </w:rPr>
      </w:pPr>
      <w:r>
        <w:rPr>
          <w:rFonts w:ascii="TimesNewRomanPS-BoldItalicMT"/>
          <w:b/>
          <w:i/>
          <w:w w:val="110"/>
          <w:sz w:val="24"/>
        </w:rPr>
        <w:lastRenderedPageBreak/>
        <w:t>Specific Culture, Age, and Gender Features</w:t>
      </w:r>
    </w:p>
    <w:p w:rsidR="00E675F0" w:rsidRDefault="00E675F0" w:rsidP="00E675F0">
      <w:pPr>
        <w:pStyle w:val="BodyText"/>
        <w:spacing w:before="136" w:line="254" w:lineRule="auto"/>
        <w:ind w:left="120" w:right="114" w:hanging="1"/>
        <w:jc w:val="both"/>
      </w:pPr>
      <w:r>
        <w:rPr>
          <w:w w:val="105"/>
        </w:rPr>
        <w:t>There are marked variations in prescription patterns (and availability) of this class of substances</w:t>
      </w:r>
      <w:r>
        <w:rPr>
          <w:spacing w:val="-8"/>
          <w:w w:val="105"/>
        </w:rPr>
        <w:t xml:space="preserve"> </w:t>
      </w:r>
      <w:r>
        <w:rPr>
          <w:w w:val="105"/>
        </w:rPr>
        <w:t>in</w:t>
      </w:r>
      <w:r>
        <w:rPr>
          <w:spacing w:val="-20"/>
          <w:w w:val="105"/>
        </w:rPr>
        <w:t xml:space="preserve"> </w:t>
      </w:r>
      <w:r>
        <w:rPr>
          <w:w w:val="105"/>
        </w:rPr>
        <w:t>different</w:t>
      </w:r>
      <w:r>
        <w:rPr>
          <w:spacing w:val="-6"/>
          <w:w w:val="105"/>
        </w:rPr>
        <w:t xml:space="preserve"> </w:t>
      </w:r>
      <w:r>
        <w:rPr>
          <w:w w:val="105"/>
        </w:rPr>
        <w:t>countries,</w:t>
      </w:r>
      <w:r>
        <w:rPr>
          <w:spacing w:val="-2"/>
          <w:w w:val="105"/>
        </w:rPr>
        <w:t xml:space="preserve"> </w:t>
      </w:r>
      <w:r>
        <w:rPr>
          <w:w w:val="105"/>
        </w:rPr>
        <w:t>which</w:t>
      </w:r>
      <w:r>
        <w:rPr>
          <w:spacing w:val="-10"/>
          <w:w w:val="105"/>
        </w:rPr>
        <w:t xml:space="preserve"> </w:t>
      </w:r>
      <w:r>
        <w:rPr>
          <w:w w:val="105"/>
        </w:rPr>
        <w:t>may</w:t>
      </w:r>
      <w:r>
        <w:rPr>
          <w:spacing w:val="-15"/>
          <w:w w:val="105"/>
        </w:rPr>
        <w:t xml:space="preserve"> </w:t>
      </w:r>
      <w:r>
        <w:rPr>
          <w:w w:val="105"/>
        </w:rPr>
        <w:t>lead</w:t>
      </w:r>
      <w:r>
        <w:rPr>
          <w:spacing w:val="-10"/>
          <w:w w:val="105"/>
        </w:rPr>
        <w:t xml:space="preserve"> </w:t>
      </w:r>
      <w:r>
        <w:rPr>
          <w:w w:val="105"/>
        </w:rPr>
        <w:t>to</w:t>
      </w:r>
      <w:r>
        <w:rPr>
          <w:spacing w:val="-19"/>
          <w:w w:val="105"/>
        </w:rPr>
        <w:t xml:space="preserve"> </w:t>
      </w:r>
      <w:r>
        <w:rPr>
          <w:w w:val="105"/>
        </w:rPr>
        <w:t>variations</w:t>
      </w:r>
      <w:r>
        <w:rPr>
          <w:spacing w:val="-3"/>
          <w:w w:val="105"/>
        </w:rPr>
        <w:t xml:space="preserve"> </w:t>
      </w:r>
      <w:r>
        <w:rPr>
          <w:w w:val="105"/>
        </w:rPr>
        <w:t>in</w:t>
      </w:r>
      <w:r>
        <w:rPr>
          <w:spacing w:val="-13"/>
          <w:w w:val="105"/>
        </w:rPr>
        <w:t xml:space="preserve"> </w:t>
      </w:r>
      <w:r>
        <w:rPr>
          <w:w w:val="105"/>
        </w:rPr>
        <w:t>prevalence of</w:t>
      </w:r>
      <w:r>
        <w:rPr>
          <w:spacing w:val="-12"/>
          <w:w w:val="105"/>
        </w:rPr>
        <w:t xml:space="preserve"> </w:t>
      </w:r>
      <w:r>
        <w:rPr>
          <w:w w:val="105"/>
        </w:rPr>
        <w:t>Sedative-, Hypnotic-, or Anxiolytic-Related Disorders. Deliberate Intoxication to achieve a "high" is most likely to be observed in teenagers and individuals in their 20s. Withdrawal, Dependence, and Abuse are also seen in individuals in their 40s and older who escalate the dose of prescribed medications. Both acute and chronic toxic effects of these substances, especially effects on cognition, memory, and motor coordination, are likely to increase with age as a consequence of pharmacodynamic and pharmacokinetic age-related changes. Individuals with dementia are more likely to develop Intoxication and impaired physiological functioning at lower doses. Women  may be at higher  risk for prescription drug abuse of substances of this</w:t>
      </w:r>
      <w:r>
        <w:rPr>
          <w:spacing w:val="-1"/>
          <w:w w:val="105"/>
        </w:rPr>
        <w:t xml:space="preserve"> </w:t>
      </w:r>
      <w:r>
        <w:rPr>
          <w:w w:val="105"/>
        </w:rPr>
        <w:t>class.</w:t>
      </w:r>
    </w:p>
    <w:p w:rsidR="00E675F0" w:rsidRDefault="00E675F0" w:rsidP="00E675F0">
      <w:pPr>
        <w:pStyle w:val="BodyText"/>
        <w:spacing w:before="4"/>
        <w:rPr>
          <w:sz w:val="32"/>
        </w:rPr>
      </w:pPr>
    </w:p>
    <w:p w:rsidR="00E675F0" w:rsidRDefault="00E675F0" w:rsidP="00E675F0">
      <w:pPr>
        <w:ind w:left="108"/>
        <w:rPr>
          <w:rFonts w:ascii="TimesNewRomanPS-BoldItalicMT"/>
          <w:b/>
          <w:i/>
          <w:sz w:val="24"/>
        </w:rPr>
      </w:pPr>
      <w:r>
        <w:rPr>
          <w:rFonts w:ascii="TimesNewRomanPS-BoldItalicMT"/>
          <w:b/>
          <w:i/>
          <w:w w:val="115"/>
          <w:sz w:val="24"/>
        </w:rPr>
        <w:t>Prevalence</w:t>
      </w:r>
    </w:p>
    <w:p w:rsidR="00E675F0" w:rsidRDefault="00E675F0" w:rsidP="00E675F0">
      <w:pPr>
        <w:pStyle w:val="BodyText"/>
        <w:spacing w:before="127" w:line="254" w:lineRule="auto"/>
        <w:ind w:left="122" w:right="123" w:firstLine="2"/>
        <w:jc w:val="both"/>
      </w:pPr>
      <w:r>
        <w:rPr>
          <w:w w:val="105"/>
        </w:rPr>
        <w:t>In the United States, up to 90% of individuals hospitalized for medical care or surgery receive</w:t>
      </w:r>
      <w:r>
        <w:rPr>
          <w:spacing w:val="-6"/>
          <w:w w:val="105"/>
        </w:rPr>
        <w:t xml:space="preserve"> </w:t>
      </w:r>
      <w:r>
        <w:rPr>
          <w:w w:val="105"/>
        </w:rPr>
        <w:t>orders</w:t>
      </w:r>
      <w:r>
        <w:rPr>
          <w:spacing w:val="-17"/>
          <w:w w:val="105"/>
        </w:rPr>
        <w:t xml:space="preserve"> </w:t>
      </w:r>
      <w:r>
        <w:rPr>
          <w:w w:val="105"/>
        </w:rPr>
        <w:t>for</w:t>
      </w:r>
      <w:r>
        <w:rPr>
          <w:spacing w:val="-14"/>
          <w:w w:val="105"/>
        </w:rPr>
        <w:t xml:space="preserve"> </w:t>
      </w:r>
      <w:r>
        <w:rPr>
          <w:w w:val="105"/>
        </w:rPr>
        <w:t>sedative,</w:t>
      </w:r>
      <w:r>
        <w:rPr>
          <w:spacing w:val="1"/>
          <w:w w:val="105"/>
        </w:rPr>
        <w:t xml:space="preserve"> </w:t>
      </w:r>
      <w:r>
        <w:rPr>
          <w:w w:val="105"/>
        </w:rPr>
        <w:t>hypnotic,</w:t>
      </w:r>
      <w:r>
        <w:rPr>
          <w:spacing w:val="-1"/>
          <w:w w:val="105"/>
        </w:rPr>
        <w:t xml:space="preserve"> </w:t>
      </w:r>
      <w:r>
        <w:rPr>
          <w:w w:val="105"/>
        </w:rPr>
        <w:t>or</w:t>
      </w:r>
      <w:r>
        <w:rPr>
          <w:spacing w:val="-1"/>
          <w:w w:val="105"/>
        </w:rPr>
        <w:t xml:space="preserve"> </w:t>
      </w:r>
      <w:r>
        <w:rPr>
          <w:w w:val="105"/>
        </w:rPr>
        <w:t>anxiolytic</w:t>
      </w:r>
      <w:r>
        <w:rPr>
          <w:spacing w:val="4"/>
          <w:w w:val="105"/>
        </w:rPr>
        <w:t xml:space="preserve"> </w:t>
      </w:r>
      <w:r>
        <w:rPr>
          <w:w w:val="105"/>
        </w:rPr>
        <w:t>medications</w:t>
      </w:r>
      <w:r>
        <w:rPr>
          <w:spacing w:val="-5"/>
          <w:w w:val="105"/>
        </w:rPr>
        <w:t xml:space="preserve"> </w:t>
      </w:r>
      <w:r>
        <w:rPr>
          <w:w w:val="105"/>
        </w:rPr>
        <w:t>during</w:t>
      </w:r>
      <w:r>
        <w:rPr>
          <w:spacing w:val="-12"/>
          <w:w w:val="105"/>
        </w:rPr>
        <w:t xml:space="preserve"> </w:t>
      </w:r>
      <w:r>
        <w:rPr>
          <w:w w:val="105"/>
        </w:rPr>
        <w:t>their</w:t>
      </w:r>
      <w:r>
        <w:rPr>
          <w:spacing w:val="-5"/>
          <w:w w:val="105"/>
        </w:rPr>
        <w:t xml:space="preserve"> </w:t>
      </w:r>
      <w:r>
        <w:rPr>
          <w:w w:val="105"/>
        </w:rPr>
        <w:t>hospital</w:t>
      </w:r>
      <w:r>
        <w:rPr>
          <w:spacing w:val="-6"/>
          <w:w w:val="105"/>
        </w:rPr>
        <w:t xml:space="preserve"> </w:t>
      </w:r>
      <w:r>
        <w:rPr>
          <w:w w:val="105"/>
        </w:rPr>
        <w:t>stay, and more than 15% of American adults use these medications (usually by prescription) during any 1 year. Most of these individuals take the medication as directed, without evidence of misuse. Among the medications in this class, the benzodiazepines are the most widely used, with perhaps 10% of adults having taken a  benzodiazepine for at least 1 month during the prior year. A community survey conducted in the United States in 1991 reported that about 4% of the population sampled had ever used sedatives for nonmedical purposes; approximately 1% had such use in the last year; and 0.4% in the last month. For antianxiety agents, around 6% of the population had ever used them for nonmedical purposes; almost 2% had such use in the last year; and 0.5% in the last month.</w:t>
      </w:r>
      <w:r>
        <w:rPr>
          <w:spacing w:val="-1"/>
          <w:w w:val="105"/>
        </w:rPr>
        <w:t xml:space="preserve"> </w:t>
      </w:r>
      <w:r>
        <w:rPr>
          <w:w w:val="105"/>
        </w:rPr>
        <w:t>Because</w:t>
      </w:r>
      <w:r>
        <w:rPr>
          <w:spacing w:val="-3"/>
          <w:w w:val="105"/>
        </w:rPr>
        <w:t xml:space="preserve"> </w:t>
      </w:r>
      <w:r>
        <w:rPr>
          <w:w w:val="105"/>
        </w:rPr>
        <w:t>the</w:t>
      </w:r>
      <w:r>
        <w:rPr>
          <w:spacing w:val="-3"/>
          <w:w w:val="105"/>
        </w:rPr>
        <w:t xml:space="preserve"> </w:t>
      </w:r>
      <w:r>
        <w:rPr>
          <w:w w:val="105"/>
        </w:rPr>
        <w:t>survey</w:t>
      </w:r>
      <w:r>
        <w:rPr>
          <w:spacing w:val="-6"/>
          <w:w w:val="105"/>
        </w:rPr>
        <w:t xml:space="preserve"> </w:t>
      </w:r>
      <w:r>
        <w:rPr>
          <w:w w:val="105"/>
        </w:rPr>
        <w:t>assessed</w:t>
      </w:r>
      <w:r>
        <w:rPr>
          <w:spacing w:val="7"/>
          <w:w w:val="105"/>
        </w:rPr>
        <w:t xml:space="preserve"> </w:t>
      </w:r>
      <w:r>
        <w:rPr>
          <w:w w:val="105"/>
        </w:rPr>
        <w:t>patterns</w:t>
      </w:r>
      <w:r>
        <w:rPr>
          <w:spacing w:val="-4"/>
          <w:w w:val="105"/>
        </w:rPr>
        <w:t xml:space="preserve"> </w:t>
      </w:r>
      <w:r>
        <w:rPr>
          <w:w w:val="105"/>
        </w:rPr>
        <w:t>of</w:t>
      </w:r>
      <w:r>
        <w:rPr>
          <w:spacing w:val="-2"/>
          <w:w w:val="105"/>
        </w:rPr>
        <w:t xml:space="preserve"> </w:t>
      </w:r>
      <w:r>
        <w:rPr>
          <w:w w:val="105"/>
        </w:rPr>
        <w:t>use</w:t>
      </w:r>
      <w:r>
        <w:rPr>
          <w:spacing w:val="-8"/>
          <w:w w:val="105"/>
        </w:rPr>
        <w:t xml:space="preserve"> </w:t>
      </w:r>
      <w:r>
        <w:rPr>
          <w:w w:val="105"/>
        </w:rPr>
        <w:t>rather</w:t>
      </w:r>
      <w:r>
        <w:rPr>
          <w:spacing w:val="-6"/>
          <w:w w:val="105"/>
        </w:rPr>
        <w:t xml:space="preserve"> </w:t>
      </w:r>
      <w:r>
        <w:rPr>
          <w:w w:val="105"/>
        </w:rPr>
        <w:t>than</w:t>
      </w:r>
      <w:r>
        <w:rPr>
          <w:spacing w:val="-10"/>
          <w:w w:val="105"/>
        </w:rPr>
        <w:t xml:space="preserve"> </w:t>
      </w:r>
      <w:r>
        <w:rPr>
          <w:w w:val="105"/>
        </w:rPr>
        <w:t>diagnoses,</w:t>
      </w:r>
      <w:r>
        <w:rPr>
          <w:spacing w:val="4"/>
          <w:w w:val="105"/>
        </w:rPr>
        <w:t xml:space="preserve"> </w:t>
      </w:r>
      <w:r>
        <w:rPr>
          <w:w w:val="105"/>
        </w:rPr>
        <w:t>it</w:t>
      </w:r>
      <w:r>
        <w:rPr>
          <w:spacing w:val="-14"/>
          <w:w w:val="105"/>
        </w:rPr>
        <w:t xml:space="preserve"> </w:t>
      </w:r>
      <w:r>
        <w:rPr>
          <w:w w:val="105"/>
        </w:rPr>
        <w:t>is</w:t>
      </w:r>
      <w:r>
        <w:rPr>
          <w:spacing w:val="-12"/>
          <w:w w:val="105"/>
        </w:rPr>
        <w:t xml:space="preserve"> </w:t>
      </w:r>
      <w:r>
        <w:rPr>
          <w:w w:val="105"/>
        </w:rPr>
        <w:t>not</w:t>
      </w:r>
      <w:r>
        <w:rPr>
          <w:spacing w:val="-11"/>
          <w:w w:val="105"/>
        </w:rPr>
        <w:t xml:space="preserve"> </w:t>
      </w:r>
      <w:r>
        <w:rPr>
          <w:w w:val="105"/>
        </w:rPr>
        <w:t>known how many of those who used substances from this class had symptoms that met criteria for Dependence or Abuse. A community study conducted in the United States from 1980 to 1985 that used the more narrowly defined DSM-III criteria found that 1.1% of the population surveyed had met criteria for Sedative, Hypnotic, or Anxiolytic Abuse or Dependence at some time in their</w:t>
      </w:r>
      <w:r>
        <w:rPr>
          <w:spacing w:val="3"/>
          <w:w w:val="105"/>
        </w:rPr>
        <w:t xml:space="preserve"> </w:t>
      </w:r>
      <w:r>
        <w:rPr>
          <w:w w:val="105"/>
        </w:rPr>
        <w:t>lives.</w:t>
      </w:r>
    </w:p>
    <w:p w:rsidR="00E675F0" w:rsidRDefault="00E675F0" w:rsidP="00E675F0">
      <w:pPr>
        <w:pStyle w:val="BodyText"/>
        <w:spacing w:before="8"/>
        <w:rPr>
          <w:sz w:val="29"/>
        </w:rPr>
      </w:pPr>
    </w:p>
    <w:p w:rsidR="00E675F0" w:rsidRDefault="00E675F0" w:rsidP="00E675F0">
      <w:pPr>
        <w:ind w:left="104"/>
        <w:rPr>
          <w:rFonts w:ascii="TimesNewRomanPS-BoldItalicMT"/>
          <w:b/>
          <w:i/>
          <w:sz w:val="24"/>
        </w:rPr>
      </w:pPr>
      <w:r>
        <w:rPr>
          <w:rFonts w:ascii="TimesNewRomanPS-BoldItalicMT"/>
          <w:b/>
          <w:i/>
          <w:w w:val="115"/>
          <w:sz w:val="24"/>
        </w:rPr>
        <w:t>Course</w:t>
      </w:r>
    </w:p>
    <w:p w:rsidR="00E675F0" w:rsidRDefault="00E675F0" w:rsidP="00E675F0">
      <w:pPr>
        <w:pStyle w:val="BodyText"/>
        <w:spacing w:before="127" w:line="256" w:lineRule="auto"/>
        <w:ind w:left="127" w:right="119" w:hanging="4"/>
        <w:jc w:val="both"/>
      </w:pPr>
      <w:r>
        <w:rPr>
          <w:w w:val="105"/>
        </w:rPr>
        <w:t>The more usual course involves young people in their teens or 20s who may escalate their "recreational" use of sedatives, hypnotics, and anxiolytics to the point  at which they develop problems that might qualify for a diagnosis of Dependence or Abuse. This pattern may be especially likely among individuals who have other Substance Use Disorders (e.g., related to alcohol, opioids, cocaine, amphetamine). An initial pattern of intermittent use at parties can lead to daily use and high levels of tolerance. Once this occurs, an increasing level of interpersonal, work, and legal difficulties, as well as increasingly severe episodes of memory impairment and physiological withdrawal, can be expected to</w:t>
      </w:r>
      <w:r>
        <w:rPr>
          <w:spacing w:val="-19"/>
          <w:w w:val="105"/>
        </w:rPr>
        <w:t xml:space="preserve"> </w:t>
      </w:r>
      <w:r>
        <w:rPr>
          <w:w w:val="105"/>
        </w:rPr>
        <w:t>ensue.</w:t>
      </w:r>
    </w:p>
    <w:p w:rsidR="00E675F0" w:rsidRDefault="00E675F0" w:rsidP="00E675F0">
      <w:pPr>
        <w:pStyle w:val="BodyText"/>
        <w:spacing w:line="254" w:lineRule="auto"/>
        <w:ind w:left="123" w:right="129" w:firstLine="361"/>
        <w:jc w:val="both"/>
      </w:pPr>
      <w:r>
        <w:rPr>
          <w:w w:val="105"/>
        </w:rPr>
        <w:t>The second and less frequently observed clinical course begins with an individual who originally obtained the medication by prescription from a physician, usually for the treatment of anxiety, insomnia, or somatic complaints. Although the great majority of those who are prescribed a medication from this class do not develop problems, a small</w:t>
      </w:r>
    </w:p>
    <w:p w:rsidR="00E675F0" w:rsidRDefault="00E675F0" w:rsidP="00E675F0">
      <w:pPr>
        <w:spacing w:line="254" w:lineRule="auto"/>
        <w:jc w:val="both"/>
        <w:sectPr w:rsidR="00E675F0">
          <w:pgSz w:w="8960" w:h="14260"/>
          <w:pgMar w:top="1400" w:right="600" w:bottom="280" w:left="620" w:header="697" w:footer="0" w:gutter="0"/>
          <w:cols w:space="720"/>
        </w:sectPr>
      </w:pPr>
    </w:p>
    <w:p w:rsidR="00E675F0" w:rsidRDefault="00E675F0" w:rsidP="00E675F0">
      <w:pPr>
        <w:pStyle w:val="BodyText"/>
        <w:spacing w:before="124" w:line="252" w:lineRule="auto"/>
        <w:ind w:left="113" w:right="112" w:firstLine="15"/>
        <w:jc w:val="both"/>
      </w:pPr>
      <w:bookmarkStart w:id="177" w:name="_bookmark157"/>
      <w:bookmarkEnd w:id="177"/>
      <w:r>
        <w:rPr>
          <w:w w:val="105"/>
        </w:rPr>
        <w:lastRenderedPageBreak/>
        <w:t>proportion do. In these individuals, as either tolerance or a need for higher doses of the medication develops, there is a gradual increase in the dose and frequency of self-administration. The person is likely to continue to justify use on the basis of the original symptoms of anxiety or insomnia, but substance-seeking behavior becomes more prominent and the person may seek out multiple physicians to obtain sufficient supplies of the medication. Tolerance can reach high levels, and Withdrawal (including seizures</w:t>
      </w:r>
      <w:r>
        <w:rPr>
          <w:spacing w:val="-11"/>
          <w:w w:val="105"/>
        </w:rPr>
        <w:t xml:space="preserve"> </w:t>
      </w:r>
      <w:r>
        <w:rPr>
          <w:w w:val="105"/>
        </w:rPr>
        <w:t>and</w:t>
      </w:r>
      <w:r>
        <w:rPr>
          <w:spacing w:val="-19"/>
          <w:w w:val="105"/>
        </w:rPr>
        <w:t xml:space="preserve"> </w:t>
      </w:r>
      <w:r>
        <w:rPr>
          <w:w w:val="105"/>
        </w:rPr>
        <w:t>Withdrawal</w:t>
      </w:r>
      <w:r>
        <w:rPr>
          <w:spacing w:val="-4"/>
          <w:w w:val="105"/>
        </w:rPr>
        <w:t xml:space="preserve"> </w:t>
      </w:r>
      <w:r>
        <w:rPr>
          <w:w w:val="105"/>
        </w:rPr>
        <w:t>Delirium)</w:t>
      </w:r>
      <w:r>
        <w:rPr>
          <w:spacing w:val="-6"/>
          <w:w w:val="105"/>
        </w:rPr>
        <w:t xml:space="preserve"> </w:t>
      </w:r>
      <w:r>
        <w:rPr>
          <w:w w:val="105"/>
        </w:rPr>
        <w:t>may</w:t>
      </w:r>
      <w:r>
        <w:rPr>
          <w:spacing w:val="-18"/>
          <w:w w:val="105"/>
        </w:rPr>
        <w:t xml:space="preserve"> </w:t>
      </w:r>
      <w:r>
        <w:rPr>
          <w:w w:val="105"/>
        </w:rPr>
        <w:t>occur.</w:t>
      </w:r>
      <w:r>
        <w:rPr>
          <w:spacing w:val="-17"/>
          <w:w w:val="105"/>
        </w:rPr>
        <w:t xml:space="preserve"> </w:t>
      </w:r>
      <w:r>
        <w:rPr>
          <w:w w:val="105"/>
        </w:rPr>
        <w:t>Other</w:t>
      </w:r>
      <w:r>
        <w:rPr>
          <w:spacing w:val="-12"/>
          <w:w w:val="105"/>
        </w:rPr>
        <w:t xml:space="preserve"> </w:t>
      </w:r>
      <w:r>
        <w:rPr>
          <w:w w:val="105"/>
        </w:rPr>
        <w:t>individuals</w:t>
      </w:r>
      <w:r>
        <w:rPr>
          <w:spacing w:val="-8"/>
          <w:w w:val="105"/>
        </w:rPr>
        <w:t xml:space="preserve"> </w:t>
      </w:r>
      <w:r>
        <w:rPr>
          <w:w w:val="105"/>
        </w:rPr>
        <w:t>at</w:t>
      </w:r>
      <w:r>
        <w:rPr>
          <w:spacing w:val="-15"/>
          <w:w w:val="105"/>
        </w:rPr>
        <w:t xml:space="preserve"> </w:t>
      </w:r>
      <w:r>
        <w:rPr>
          <w:w w:val="105"/>
        </w:rPr>
        <w:t>heightened</w:t>
      </w:r>
      <w:r>
        <w:rPr>
          <w:spacing w:val="-4"/>
          <w:w w:val="105"/>
        </w:rPr>
        <w:t xml:space="preserve"> </w:t>
      </w:r>
      <w:r>
        <w:rPr>
          <w:w w:val="105"/>
        </w:rPr>
        <w:t>risk</w:t>
      </w:r>
      <w:r>
        <w:rPr>
          <w:spacing w:val="-7"/>
          <w:w w:val="105"/>
        </w:rPr>
        <w:t xml:space="preserve"> </w:t>
      </w:r>
      <w:r>
        <w:rPr>
          <w:w w:val="105"/>
        </w:rPr>
        <w:t>might include those with Alcohol Dependence who may receive repeated prescriptions in response to their complaints of alcohol-related anxiety or</w:t>
      </w:r>
      <w:r>
        <w:rPr>
          <w:spacing w:val="46"/>
          <w:w w:val="105"/>
        </w:rPr>
        <w:t xml:space="preserve"> </w:t>
      </w:r>
      <w:r>
        <w:rPr>
          <w:w w:val="105"/>
        </w:rPr>
        <w:t>insomnia.</w:t>
      </w:r>
    </w:p>
    <w:p w:rsidR="00E675F0" w:rsidRDefault="00E675F0" w:rsidP="00E675F0">
      <w:pPr>
        <w:pStyle w:val="BodyText"/>
        <w:rPr>
          <w:sz w:val="22"/>
        </w:rPr>
      </w:pPr>
    </w:p>
    <w:p w:rsidR="00E675F0" w:rsidRDefault="00E675F0" w:rsidP="00E675F0">
      <w:pPr>
        <w:spacing w:before="166"/>
        <w:ind w:left="106"/>
        <w:jc w:val="both"/>
        <w:rPr>
          <w:rFonts w:ascii="TimesNewRomanPS-BoldItalicMT"/>
          <w:b/>
          <w:i/>
          <w:sz w:val="24"/>
        </w:rPr>
      </w:pPr>
      <w:r>
        <w:rPr>
          <w:rFonts w:ascii="TimesNewRomanPS-BoldItalicMT"/>
          <w:b/>
          <w:i/>
          <w:w w:val="120"/>
          <w:sz w:val="24"/>
        </w:rPr>
        <w:t>m.[ferential magnosis</w:t>
      </w:r>
    </w:p>
    <w:p w:rsidR="00E675F0" w:rsidRDefault="00E675F0" w:rsidP="00E675F0">
      <w:pPr>
        <w:pStyle w:val="BodyText"/>
        <w:spacing w:before="141"/>
        <w:ind w:left="129"/>
        <w:jc w:val="both"/>
      </w:pPr>
      <w:r>
        <w:rPr>
          <w:w w:val="105"/>
        </w:rPr>
        <w:t>For a general discussion of the differential diagnosis of Substance-Related Disorders, see</w:t>
      </w:r>
    </w:p>
    <w:p w:rsidR="00E675F0" w:rsidRDefault="00E675F0" w:rsidP="00E675F0">
      <w:pPr>
        <w:pStyle w:val="BodyText"/>
        <w:spacing w:before="10" w:line="249" w:lineRule="auto"/>
        <w:ind w:left="129" w:right="117" w:firstLine="4"/>
        <w:jc w:val="both"/>
      </w:pPr>
      <w:r>
        <w:rPr>
          <w:w w:val="105"/>
        </w:rPr>
        <w:t>p. 190. Sedative-, Hypnotic-, or Anxiolytic-Induced Disorders may present with symp­ toms</w:t>
      </w:r>
      <w:r>
        <w:rPr>
          <w:spacing w:val="-23"/>
          <w:w w:val="105"/>
        </w:rPr>
        <w:t xml:space="preserve"> </w:t>
      </w:r>
      <w:r>
        <w:rPr>
          <w:w w:val="105"/>
        </w:rPr>
        <w:t>(e.g.,</w:t>
      </w:r>
      <w:r>
        <w:rPr>
          <w:spacing w:val="-13"/>
          <w:w w:val="105"/>
        </w:rPr>
        <w:t xml:space="preserve"> </w:t>
      </w:r>
      <w:r>
        <w:rPr>
          <w:w w:val="105"/>
        </w:rPr>
        <w:t>anxiety)</w:t>
      </w:r>
      <w:r>
        <w:rPr>
          <w:spacing w:val="-4"/>
          <w:w w:val="105"/>
        </w:rPr>
        <w:t xml:space="preserve"> </w:t>
      </w:r>
      <w:r>
        <w:rPr>
          <w:w w:val="105"/>
        </w:rPr>
        <w:t>that</w:t>
      </w:r>
      <w:r>
        <w:rPr>
          <w:spacing w:val="-8"/>
          <w:w w:val="105"/>
        </w:rPr>
        <w:t xml:space="preserve"> </w:t>
      </w:r>
      <w:r>
        <w:rPr>
          <w:w w:val="105"/>
        </w:rPr>
        <w:t>resemble</w:t>
      </w:r>
      <w:r>
        <w:rPr>
          <w:spacing w:val="-9"/>
          <w:w w:val="105"/>
        </w:rPr>
        <w:t xml:space="preserve"> </w:t>
      </w:r>
      <w:r>
        <w:rPr>
          <w:b/>
          <w:w w:val="105"/>
          <w:sz w:val="21"/>
        </w:rPr>
        <w:t>primary</w:t>
      </w:r>
      <w:r>
        <w:rPr>
          <w:b/>
          <w:spacing w:val="-24"/>
          <w:w w:val="105"/>
          <w:sz w:val="21"/>
        </w:rPr>
        <w:t xml:space="preserve"> </w:t>
      </w:r>
      <w:r>
        <w:rPr>
          <w:b/>
          <w:w w:val="105"/>
          <w:sz w:val="21"/>
        </w:rPr>
        <w:t>mentaldisorders</w:t>
      </w:r>
      <w:r>
        <w:rPr>
          <w:b/>
          <w:spacing w:val="-8"/>
          <w:w w:val="105"/>
          <w:sz w:val="21"/>
        </w:rPr>
        <w:t xml:space="preserve"> </w:t>
      </w:r>
      <w:r>
        <w:rPr>
          <w:w w:val="105"/>
        </w:rPr>
        <w:t>(e.g.,</w:t>
      </w:r>
      <w:r>
        <w:rPr>
          <w:spacing w:val="-10"/>
          <w:w w:val="105"/>
        </w:rPr>
        <w:t xml:space="preserve"> </w:t>
      </w:r>
      <w:r>
        <w:rPr>
          <w:w w:val="105"/>
        </w:rPr>
        <w:t>Generalized</w:t>
      </w:r>
      <w:r>
        <w:rPr>
          <w:spacing w:val="1"/>
          <w:w w:val="105"/>
        </w:rPr>
        <w:t xml:space="preserve"> </w:t>
      </w:r>
      <w:r>
        <w:rPr>
          <w:w w:val="105"/>
        </w:rPr>
        <w:t>Anxiety Disorder versus Sedative-, Hypnotic-, or Anxiolytic-Induced Anxiety Disorder, With Onset During Withdrawal). See p. 193 for a discussion of this differential</w:t>
      </w:r>
      <w:r>
        <w:rPr>
          <w:spacing w:val="-10"/>
          <w:w w:val="105"/>
        </w:rPr>
        <w:t xml:space="preserve"> </w:t>
      </w:r>
      <w:r>
        <w:rPr>
          <w:w w:val="105"/>
        </w:rPr>
        <w:t>diagnosis.</w:t>
      </w:r>
    </w:p>
    <w:p w:rsidR="00E675F0" w:rsidRDefault="00E675F0" w:rsidP="00E675F0">
      <w:pPr>
        <w:pStyle w:val="BodyText"/>
        <w:spacing w:line="244" w:lineRule="auto"/>
        <w:ind w:left="126" w:right="116" w:firstLine="359"/>
        <w:jc w:val="both"/>
      </w:pPr>
      <w:r>
        <w:rPr>
          <w:w w:val="105"/>
        </w:rPr>
        <w:t>Sedative,</w:t>
      </w:r>
      <w:r>
        <w:rPr>
          <w:spacing w:val="-2"/>
          <w:w w:val="105"/>
        </w:rPr>
        <w:t xml:space="preserve"> </w:t>
      </w:r>
      <w:r>
        <w:rPr>
          <w:w w:val="105"/>
        </w:rPr>
        <w:t>Hypnotic,</w:t>
      </w:r>
      <w:r>
        <w:rPr>
          <w:spacing w:val="-2"/>
          <w:w w:val="105"/>
        </w:rPr>
        <w:t xml:space="preserve"> </w:t>
      </w:r>
      <w:r>
        <w:rPr>
          <w:w w:val="105"/>
        </w:rPr>
        <w:t>or</w:t>
      </w:r>
      <w:r>
        <w:rPr>
          <w:spacing w:val="-11"/>
          <w:w w:val="105"/>
        </w:rPr>
        <w:t xml:space="preserve"> </w:t>
      </w:r>
      <w:r>
        <w:rPr>
          <w:w w:val="105"/>
        </w:rPr>
        <w:t>Anxiolytic</w:t>
      </w:r>
      <w:r>
        <w:rPr>
          <w:spacing w:val="-2"/>
          <w:w w:val="105"/>
        </w:rPr>
        <w:t xml:space="preserve"> </w:t>
      </w:r>
      <w:r>
        <w:rPr>
          <w:w w:val="105"/>
        </w:rPr>
        <w:t>Intoxication</w:t>
      </w:r>
      <w:r>
        <w:rPr>
          <w:spacing w:val="-2"/>
          <w:w w:val="105"/>
        </w:rPr>
        <w:t xml:space="preserve"> </w:t>
      </w:r>
      <w:r>
        <w:rPr>
          <w:w w:val="105"/>
        </w:rPr>
        <w:t>closely</w:t>
      </w:r>
      <w:r>
        <w:rPr>
          <w:spacing w:val="-5"/>
          <w:w w:val="105"/>
        </w:rPr>
        <w:t xml:space="preserve"> </w:t>
      </w:r>
      <w:r>
        <w:rPr>
          <w:w w:val="105"/>
        </w:rPr>
        <w:t>resembles</w:t>
      </w:r>
      <w:r>
        <w:rPr>
          <w:spacing w:val="-10"/>
          <w:w w:val="105"/>
        </w:rPr>
        <w:t xml:space="preserve"> </w:t>
      </w:r>
      <w:r>
        <w:rPr>
          <w:b/>
          <w:w w:val="105"/>
          <w:sz w:val="21"/>
        </w:rPr>
        <w:t>Alcohol</w:t>
      </w:r>
      <w:r>
        <w:rPr>
          <w:b/>
          <w:spacing w:val="-20"/>
          <w:w w:val="105"/>
          <w:sz w:val="21"/>
        </w:rPr>
        <w:t xml:space="preserve"> </w:t>
      </w:r>
      <w:r>
        <w:rPr>
          <w:b/>
          <w:w w:val="105"/>
          <w:sz w:val="21"/>
        </w:rPr>
        <w:t xml:space="preserve">Intoxica­ tion, </w:t>
      </w:r>
      <w:r>
        <w:rPr>
          <w:w w:val="105"/>
        </w:rPr>
        <w:t xml:space="preserve">except for the smell of alcohol on the breath. In older persons, the clinical picture of intoxication can resemble a </w:t>
      </w:r>
      <w:r>
        <w:rPr>
          <w:b/>
          <w:w w:val="105"/>
          <w:sz w:val="21"/>
        </w:rPr>
        <w:t xml:space="preserve">progressive dementia. </w:t>
      </w:r>
      <w:r>
        <w:rPr>
          <w:w w:val="105"/>
        </w:rPr>
        <w:t xml:space="preserve">In addition, the slurred speech, incoordination, and other associated features characteristic of Sedative, Hypnotic, or Anxiolytic Intoxication could be the result of a </w:t>
      </w:r>
      <w:r>
        <w:rPr>
          <w:b/>
          <w:w w:val="105"/>
          <w:sz w:val="21"/>
        </w:rPr>
        <w:t xml:space="preserve">general medical condition </w:t>
      </w:r>
      <w:r>
        <w:rPr>
          <w:w w:val="105"/>
        </w:rPr>
        <w:t xml:space="preserve">(e.g., multiple sclerosis) or of a </w:t>
      </w:r>
      <w:r>
        <w:rPr>
          <w:b/>
          <w:w w:val="105"/>
          <w:sz w:val="21"/>
        </w:rPr>
        <w:t xml:space="preserve">prior head trauma </w:t>
      </w:r>
      <w:r>
        <w:rPr>
          <w:w w:val="105"/>
        </w:rPr>
        <w:t>(e.g., a subdural</w:t>
      </w:r>
      <w:r>
        <w:rPr>
          <w:spacing w:val="33"/>
          <w:w w:val="105"/>
        </w:rPr>
        <w:t xml:space="preserve"> </w:t>
      </w:r>
      <w:r>
        <w:rPr>
          <w:w w:val="105"/>
        </w:rPr>
        <w:t>hematoma).</w:t>
      </w:r>
    </w:p>
    <w:p w:rsidR="00E675F0" w:rsidRDefault="00E675F0" w:rsidP="00E675F0">
      <w:pPr>
        <w:spacing w:line="247" w:lineRule="auto"/>
        <w:ind w:left="125" w:right="116" w:firstLine="362"/>
        <w:jc w:val="both"/>
        <w:rPr>
          <w:sz w:val="20"/>
        </w:rPr>
      </w:pPr>
      <w:r>
        <w:rPr>
          <w:b/>
          <w:w w:val="105"/>
          <w:sz w:val="21"/>
        </w:rPr>
        <w:t xml:space="preserve">Alcohol Withdrawal </w:t>
      </w:r>
      <w:r>
        <w:rPr>
          <w:w w:val="105"/>
          <w:sz w:val="20"/>
        </w:rPr>
        <w:t xml:space="preserve">produces a syndrome very similar to that of Sedative, Hypnotic, or Anxiolytic Withdrawal. The anxiety, insomnia, and autonomic nervous system hyperactivity that is a consequence of </w:t>
      </w:r>
      <w:r>
        <w:rPr>
          <w:b/>
          <w:w w:val="105"/>
          <w:sz w:val="21"/>
        </w:rPr>
        <w:t xml:space="preserve">intoxication with other drugs </w:t>
      </w:r>
      <w:r>
        <w:rPr>
          <w:w w:val="105"/>
          <w:sz w:val="20"/>
        </w:rPr>
        <w:t xml:space="preserve">(e.g., stimulants such as amphetamines or cocaine), that are </w:t>
      </w:r>
      <w:r>
        <w:rPr>
          <w:b/>
          <w:w w:val="105"/>
          <w:sz w:val="21"/>
        </w:rPr>
        <w:t xml:space="preserve">consequences of physiological conditions </w:t>
      </w:r>
      <w:r>
        <w:rPr>
          <w:w w:val="105"/>
          <w:sz w:val="20"/>
        </w:rPr>
        <w:t xml:space="preserve">(e.g., hyperthyroidism), or that are related to </w:t>
      </w:r>
      <w:r>
        <w:rPr>
          <w:b/>
          <w:w w:val="105"/>
          <w:sz w:val="21"/>
        </w:rPr>
        <w:t xml:space="preserve">primary Anxiety Disorders </w:t>
      </w:r>
      <w:r>
        <w:rPr>
          <w:w w:val="105"/>
          <w:sz w:val="20"/>
        </w:rPr>
        <w:t>(e.g., Panic Disorder or Generalized Anxiety Disorder) can resemble some aspects of Sedative, Hypnotic, or Anxiolytic Withdrawal.</w:t>
      </w:r>
    </w:p>
    <w:p w:rsidR="00E675F0" w:rsidRDefault="00E675F0" w:rsidP="00E675F0">
      <w:pPr>
        <w:pStyle w:val="BodyText"/>
        <w:spacing w:line="247" w:lineRule="auto"/>
        <w:ind w:left="125" w:right="107" w:firstLine="360"/>
        <w:jc w:val="both"/>
      </w:pPr>
      <w:r>
        <w:rPr>
          <w:w w:val="105"/>
        </w:rPr>
        <w:t xml:space="preserve">Sedative, Hypnotic, or Anxiolytic Intoxication and Withdrawal are distinguished from the </w:t>
      </w:r>
      <w:r>
        <w:rPr>
          <w:b/>
          <w:w w:val="105"/>
          <w:sz w:val="21"/>
        </w:rPr>
        <w:t xml:space="preserve">other Sedative-, Hypnotic-, or Anxiolytic-Induced Disorders </w:t>
      </w:r>
      <w:r>
        <w:rPr>
          <w:w w:val="105"/>
        </w:rPr>
        <w:t>(e.g., Seda­ tive-, Hypnotic-, or Anxiolytic-Induced Anxiety Disorder, With Onset During With­ drawal) because the symptoms in these latter disorders are in excess of those usually associated with Sedative, Hypnotic, or Anxiolytic Intoxication or Withdrawal and are severe enough to warrant independent clinical attention.</w:t>
      </w:r>
    </w:p>
    <w:p w:rsidR="00E675F0" w:rsidRDefault="00E675F0" w:rsidP="00E675F0">
      <w:pPr>
        <w:pStyle w:val="BodyText"/>
        <w:spacing w:before="2" w:line="254" w:lineRule="auto"/>
        <w:ind w:left="130" w:right="99" w:firstLine="363"/>
        <w:jc w:val="both"/>
      </w:pPr>
      <w:r>
        <w:rPr>
          <w:w w:val="105"/>
          <w:sz w:val="18"/>
        </w:rPr>
        <w:t xml:space="preserve">It </w:t>
      </w:r>
      <w:r>
        <w:rPr>
          <w:w w:val="105"/>
        </w:rPr>
        <w:t>should be noted that there are individuals who continue to take benzodiazepine medication according to a physician's direction for a legitimate medical indication over extended periods of time. Even if physiologically dependent  on the medication,  many of these individuals do not develop symptoms that meet the criteria for Dependence because they are not preoccupied with obtaining the substance and its use does not interfere with their performance of usual social or occupational</w:t>
      </w:r>
      <w:r>
        <w:rPr>
          <w:spacing w:val="-12"/>
          <w:w w:val="105"/>
        </w:rPr>
        <w:t xml:space="preserve"> </w:t>
      </w:r>
      <w:r>
        <w:rPr>
          <w:w w:val="105"/>
        </w:rPr>
        <w:t>roles.</w:t>
      </w:r>
    </w:p>
    <w:p w:rsidR="00E675F0" w:rsidRDefault="00E675F0" w:rsidP="00E675F0">
      <w:pPr>
        <w:pStyle w:val="BodyText"/>
        <w:spacing w:before="5"/>
        <w:rPr>
          <w:sz w:val="25"/>
        </w:rPr>
      </w:pPr>
    </w:p>
    <w:p w:rsidR="00E675F0" w:rsidRDefault="00E675F0" w:rsidP="00E675F0">
      <w:pPr>
        <w:tabs>
          <w:tab w:val="left" w:pos="1658"/>
        </w:tabs>
        <w:spacing w:line="261" w:lineRule="auto"/>
        <w:ind w:left="1726" w:right="689" w:hanging="989"/>
        <w:rPr>
          <w:rFonts w:ascii="Arial"/>
          <w:b/>
          <w:sz w:val="25"/>
        </w:rPr>
      </w:pPr>
      <w:r>
        <w:rPr>
          <w:rFonts w:ascii="Arial"/>
          <w:b/>
          <w:w w:val="105"/>
          <w:sz w:val="25"/>
        </w:rPr>
        <w:t>292.9</w:t>
      </w:r>
      <w:r>
        <w:rPr>
          <w:rFonts w:ascii="Arial"/>
          <w:b/>
          <w:w w:val="105"/>
          <w:sz w:val="25"/>
        </w:rPr>
        <w:tab/>
      </w:r>
      <w:r>
        <w:rPr>
          <w:rFonts w:ascii="Arial"/>
          <w:b/>
          <w:sz w:val="25"/>
        </w:rPr>
        <w:t xml:space="preserve">Sedative.-, Hypnotic.-, or Anxiolytic.-Related </w:t>
      </w:r>
      <w:r>
        <w:rPr>
          <w:rFonts w:ascii="Arial"/>
          <w:b/>
          <w:w w:val="105"/>
          <w:sz w:val="25"/>
        </w:rPr>
        <w:t>Disorder Not Otherwise</w:t>
      </w:r>
      <w:r>
        <w:rPr>
          <w:rFonts w:ascii="Arial"/>
          <w:b/>
          <w:spacing w:val="23"/>
          <w:w w:val="105"/>
          <w:sz w:val="25"/>
        </w:rPr>
        <w:t xml:space="preserve"> </w:t>
      </w:r>
      <w:r>
        <w:rPr>
          <w:rFonts w:ascii="Arial"/>
          <w:b/>
          <w:w w:val="105"/>
          <w:sz w:val="25"/>
        </w:rPr>
        <w:t>Specified</w:t>
      </w:r>
    </w:p>
    <w:p w:rsidR="00E675F0" w:rsidRDefault="00E675F0" w:rsidP="00E675F0">
      <w:pPr>
        <w:pStyle w:val="BodyText"/>
        <w:spacing w:before="209" w:line="256" w:lineRule="auto"/>
        <w:ind w:left="135" w:right="111" w:hanging="9"/>
        <w:jc w:val="both"/>
      </w:pPr>
      <w:r>
        <w:rPr>
          <w:w w:val="105"/>
        </w:rPr>
        <w:t>The Sedative-, Hypnotic-, or Anxiolytic-Related Disorder Not Otherwise Specified category is for disorders associated with the use of sedatives, hypnotics, or anxiolytics</w:t>
      </w:r>
    </w:p>
    <w:p w:rsidR="00E675F0" w:rsidRDefault="00E675F0" w:rsidP="00E675F0">
      <w:pPr>
        <w:spacing w:line="256" w:lineRule="auto"/>
        <w:jc w:val="both"/>
        <w:sectPr w:rsidR="00E675F0">
          <w:pgSz w:w="8960" w:h="14260"/>
          <w:pgMar w:top="1400" w:right="620" w:bottom="280" w:left="620" w:header="683" w:footer="0" w:gutter="0"/>
          <w:cols w:space="720"/>
        </w:sectPr>
      </w:pPr>
    </w:p>
    <w:p w:rsidR="00E675F0" w:rsidRDefault="00E675F0" w:rsidP="00E675F0">
      <w:pPr>
        <w:pStyle w:val="BodyText"/>
        <w:spacing w:line="20" w:lineRule="exact"/>
        <w:ind w:left="106"/>
        <w:rPr>
          <w:sz w:val="2"/>
        </w:rPr>
      </w:pPr>
      <w:r>
        <w:rPr>
          <w:noProof/>
          <w:sz w:val="2"/>
        </w:rPr>
        <w:lastRenderedPageBreak/>
        <mc:AlternateContent>
          <mc:Choice Requires="wpg">
            <w:drawing>
              <wp:inline distT="0" distB="0" distL="0" distR="0" wp14:anchorId="794F1891" wp14:editId="6A6E6F34">
                <wp:extent cx="4752975" cy="6350"/>
                <wp:effectExtent l="0" t="0" r="0" b="0"/>
                <wp:docPr id="1293" name="Group 1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2975" cy="6350"/>
                          <a:chOff x="0" y="0"/>
                          <a:chExt cx="7485" cy="10"/>
                        </a:xfrm>
                      </wpg:grpSpPr>
                      <wps:wsp>
                        <wps:cNvPr id="1294" name="Line 1250"/>
                        <wps:cNvCnPr>
                          <a:cxnSpLocks/>
                        </wps:cNvCnPr>
                        <wps:spPr bwMode="auto">
                          <a:xfrm>
                            <a:off x="0" y="5"/>
                            <a:ext cx="7485" cy="0"/>
                          </a:xfrm>
                          <a:prstGeom prst="line">
                            <a:avLst/>
                          </a:prstGeom>
                          <a:noFill/>
                          <a:ln w="610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31DF00F" id="Group 1249" o:spid="_x0000_s1026" style="width:374.25pt;height:.5pt;mso-position-horizontal-relative:char;mso-position-vertical-relative:line" coordsize="7485,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">
                <v:line id="Line 1250" o:spid="_x0000_s1027" style="position:absolute;visibility:visible;mso-wrap-style:square" from="0,5" to="748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" strokeweight=".16956mm">
                  <o:lock v:ext="edit" shapetype="f"/>
                </v:line>
                <w10:anchorlock/>
              </v:group>
            </w:pict>
          </mc:Fallback>
        </mc:AlternateContent>
      </w:r>
    </w:p>
    <w:p w:rsidR="00E675F0" w:rsidRDefault="00E675F0" w:rsidP="00E675F0">
      <w:pPr>
        <w:pStyle w:val="BodyText"/>
      </w:pPr>
    </w:p>
    <w:p w:rsidR="00E675F0" w:rsidRDefault="00E675F0" w:rsidP="00E675F0">
      <w:pPr>
        <w:pStyle w:val="BodyText"/>
        <w:spacing w:before="9"/>
        <w:rPr>
          <w:sz w:val="18"/>
        </w:rPr>
      </w:pPr>
    </w:p>
    <w:p w:rsidR="00E675F0" w:rsidRDefault="00E675F0" w:rsidP="00E675F0">
      <w:pPr>
        <w:pStyle w:val="BodyText"/>
        <w:spacing w:before="92" w:line="254" w:lineRule="auto"/>
        <w:ind w:left="108" w:right="113" w:firstLine="9"/>
        <w:jc w:val="both"/>
      </w:pPr>
      <w:bookmarkStart w:id="178" w:name="_bookmark158"/>
      <w:bookmarkEnd w:id="178"/>
      <w:r>
        <w:rPr>
          <w:w w:val="105"/>
        </w:rPr>
        <w:t>that are not classifiable as Sedative, Hypnotic, or Anxiolytic Dependence; Sedative, Hypnotic,</w:t>
      </w:r>
      <w:r>
        <w:rPr>
          <w:spacing w:val="-6"/>
          <w:w w:val="105"/>
        </w:rPr>
        <w:t xml:space="preserve"> </w:t>
      </w:r>
      <w:r>
        <w:rPr>
          <w:w w:val="105"/>
        </w:rPr>
        <w:t>or</w:t>
      </w:r>
      <w:r>
        <w:rPr>
          <w:spacing w:val="-6"/>
          <w:w w:val="105"/>
        </w:rPr>
        <w:t xml:space="preserve"> </w:t>
      </w:r>
      <w:r>
        <w:rPr>
          <w:w w:val="105"/>
        </w:rPr>
        <w:t>Anxiolytic</w:t>
      </w:r>
      <w:r>
        <w:rPr>
          <w:spacing w:val="-10"/>
          <w:w w:val="105"/>
        </w:rPr>
        <w:t xml:space="preserve"> </w:t>
      </w:r>
      <w:r>
        <w:rPr>
          <w:w w:val="105"/>
        </w:rPr>
        <w:t>Abuse;</w:t>
      </w:r>
      <w:r>
        <w:rPr>
          <w:spacing w:val="-11"/>
          <w:w w:val="105"/>
        </w:rPr>
        <w:t xml:space="preserve"> </w:t>
      </w:r>
      <w:r>
        <w:rPr>
          <w:w w:val="105"/>
        </w:rPr>
        <w:t>Sedative,</w:t>
      </w:r>
      <w:r>
        <w:rPr>
          <w:spacing w:val="-5"/>
          <w:w w:val="105"/>
        </w:rPr>
        <w:t xml:space="preserve"> </w:t>
      </w:r>
      <w:r>
        <w:rPr>
          <w:w w:val="105"/>
        </w:rPr>
        <w:t>Hypnotic,</w:t>
      </w:r>
      <w:r>
        <w:rPr>
          <w:spacing w:val="-5"/>
          <w:w w:val="105"/>
        </w:rPr>
        <w:t xml:space="preserve"> </w:t>
      </w:r>
      <w:r>
        <w:rPr>
          <w:w w:val="105"/>
        </w:rPr>
        <w:t>or</w:t>
      </w:r>
      <w:r>
        <w:rPr>
          <w:spacing w:val="-13"/>
          <w:w w:val="105"/>
        </w:rPr>
        <w:t xml:space="preserve"> </w:t>
      </w:r>
      <w:r>
        <w:rPr>
          <w:w w:val="105"/>
        </w:rPr>
        <w:t>Anxiolytic</w:t>
      </w:r>
      <w:r>
        <w:rPr>
          <w:spacing w:val="-12"/>
          <w:w w:val="105"/>
        </w:rPr>
        <w:t xml:space="preserve"> </w:t>
      </w:r>
      <w:r>
        <w:rPr>
          <w:w w:val="105"/>
        </w:rPr>
        <w:t>Intoxication;</w:t>
      </w:r>
      <w:r>
        <w:rPr>
          <w:spacing w:val="-5"/>
          <w:w w:val="105"/>
        </w:rPr>
        <w:t xml:space="preserve"> </w:t>
      </w:r>
      <w:r>
        <w:rPr>
          <w:w w:val="105"/>
        </w:rPr>
        <w:t>Sedative, Hypnotic, or Anxiolytic Withdrawal; Sedative, Hypnotic, or Anxiolytic Intoxication Delirium; Sedative, Hypnotic, or Anxiolytic Withdrawal Delirium; Sedative-, Hypnotic-, or Anxiolytic-Induced Persisting Dementia; Sedative-, Hypnotic-, or Anxiolytic-Induced Persisting Amnestic Disorder; Sedative-, Hypnotic-, or Anxiolytic-Induced Psychotic Disorder; Sedative-, Hypnotic-, or Anxiolytic-Induced Mood Disorder; Sedative-, Hyp­ notic-, or Anxiolytic-Induced Anxiety Disorder; Sedative-, Hypnotic-, or Anxiolytic­ Induced Sexual Dysfunction; or Sedative-, Hypnotic-, or Anxiolytic-Induced Sleep Disorder.</w:t>
      </w:r>
    </w:p>
    <w:p w:rsidR="00E675F0" w:rsidRDefault="00E675F0" w:rsidP="00E675F0">
      <w:pPr>
        <w:pStyle w:val="BodyText"/>
      </w:pPr>
    </w:p>
    <w:p w:rsidR="00E675F0" w:rsidRDefault="00E675F0" w:rsidP="00E675F0">
      <w:pPr>
        <w:pStyle w:val="BodyText"/>
        <w:spacing w:before="7"/>
        <w:rPr>
          <w:sz w:val="21"/>
        </w:rPr>
      </w:pPr>
      <w:r>
        <w:rPr>
          <w:noProof/>
        </w:rPr>
        <mc:AlternateContent>
          <mc:Choice Requires="wps">
            <w:drawing>
              <wp:anchor distT="0" distB="0" distL="0" distR="0" simplePos="0" relativeHeight="251894784" behindDoc="1" locked="0" layoutInCell="1" allowOverlap="1" wp14:anchorId="29AD19E6" wp14:editId="70C757A1">
                <wp:simplePos x="0" y="0"/>
                <wp:positionH relativeFrom="page">
                  <wp:posOffset>464185</wp:posOffset>
                </wp:positionH>
                <wp:positionV relativeFrom="paragraph">
                  <wp:posOffset>186055</wp:posOffset>
                </wp:positionV>
                <wp:extent cx="1002030" cy="1270"/>
                <wp:effectExtent l="0" t="0" r="1270" b="0"/>
                <wp:wrapTopAndBottom/>
                <wp:docPr id="1292" name="Freeform 1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2030" cy="1270"/>
                        </a:xfrm>
                        <a:custGeom>
                          <a:avLst/>
                          <a:gdLst>
                            <a:gd name="T0" fmla="+- 0 731 731"/>
                            <a:gd name="T1" fmla="*/ T0 w 1578"/>
                            <a:gd name="T2" fmla="+- 0 2309 731"/>
                            <a:gd name="T3" fmla="*/ T2 w 1578"/>
                          </a:gdLst>
                          <a:ahLst/>
                          <a:cxnLst>
                            <a:cxn ang="0">
                              <a:pos x="T1" y="0"/>
                            </a:cxn>
                            <a:cxn ang="0">
                              <a:pos x="T3" y="0"/>
                            </a:cxn>
                          </a:cxnLst>
                          <a:rect l="0" t="0" r="r" b="b"/>
                          <a:pathLst>
                            <a:path w="1578">
                              <a:moveTo>
                                <a:pt x="0" y="0"/>
                              </a:moveTo>
                              <a:lnTo>
                                <a:pt x="1578" y="0"/>
                              </a:lnTo>
                            </a:path>
                          </a:pathLst>
                        </a:custGeom>
                        <a:noFill/>
                        <a:ln w="61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D80BBD" id="Freeform 1248" o:spid="_x0000_s1026" style="position:absolute;margin-left:36.55pt;margin-top:14.65pt;width:78.9pt;height:.1pt;z-index:-251421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78,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" path="m,l1578,e" filled="f" strokeweight=".16956mm">
                <v:path arrowok="t" o:connecttype="custom" o:connectlocs="0,0;1002030,0" o:connectangles="0,0"/>
                <w10:wrap type="topAndBottom" anchorx="page"/>
              </v:shape>
            </w:pict>
          </mc:Fallback>
        </mc:AlternateContent>
      </w:r>
      <w:r>
        <w:rPr>
          <w:noProof/>
        </w:rPr>
        <mc:AlternateContent>
          <mc:Choice Requires="wps">
            <w:drawing>
              <wp:anchor distT="0" distB="0" distL="0" distR="0" simplePos="0" relativeHeight="251895808" behindDoc="1" locked="0" layoutInCell="1" allowOverlap="1" wp14:anchorId="2A79BBD8" wp14:editId="1B2806CB">
                <wp:simplePos x="0" y="0"/>
                <wp:positionH relativeFrom="page">
                  <wp:posOffset>4239895</wp:posOffset>
                </wp:positionH>
                <wp:positionV relativeFrom="paragraph">
                  <wp:posOffset>186055</wp:posOffset>
                </wp:positionV>
                <wp:extent cx="977900" cy="1270"/>
                <wp:effectExtent l="0" t="0" r="0" b="0"/>
                <wp:wrapTopAndBottom/>
                <wp:docPr id="1291" name="Freeform 1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0" cy="1270"/>
                        </a:xfrm>
                        <a:custGeom>
                          <a:avLst/>
                          <a:gdLst>
                            <a:gd name="T0" fmla="+- 0 6677 6677"/>
                            <a:gd name="T1" fmla="*/ T0 w 1540"/>
                            <a:gd name="T2" fmla="+- 0 8216 6677"/>
                            <a:gd name="T3" fmla="*/ T2 w 1540"/>
                          </a:gdLst>
                          <a:ahLst/>
                          <a:cxnLst>
                            <a:cxn ang="0">
                              <a:pos x="T1" y="0"/>
                            </a:cxn>
                            <a:cxn ang="0">
                              <a:pos x="T3" y="0"/>
                            </a:cxn>
                          </a:cxnLst>
                          <a:rect l="0" t="0" r="r" b="b"/>
                          <a:pathLst>
                            <a:path w="1540">
                              <a:moveTo>
                                <a:pt x="0" y="0"/>
                              </a:moveTo>
                              <a:lnTo>
                                <a:pt x="1539" y="0"/>
                              </a:lnTo>
                            </a:path>
                          </a:pathLst>
                        </a:custGeom>
                        <a:noFill/>
                        <a:ln w="305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96CDE" id="Freeform 1247" o:spid="_x0000_s1026" style="position:absolute;margin-left:333.85pt;margin-top:14.65pt;width:77pt;height:.1pt;z-index:-251420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" path="m,l1539,e" filled="f" strokeweight=".08478mm">
                <v:path arrowok="t" o:connecttype="custom" o:connectlocs="0,0;977265,0" o:connectangles="0,0"/>
                <w10:wrap type="topAndBottom" anchorx="page"/>
              </v:shape>
            </w:pict>
          </mc:Fallback>
        </mc:AlternateContent>
      </w:r>
    </w:p>
    <w:p w:rsidR="00E675F0" w:rsidRDefault="00E675F0" w:rsidP="00E675F0">
      <w:pPr>
        <w:spacing w:before="116" w:after="75"/>
        <w:ind w:left="101" w:right="119"/>
        <w:jc w:val="center"/>
        <w:rPr>
          <w:rFonts w:ascii="Arial"/>
          <w:b/>
          <w:sz w:val="26"/>
        </w:rPr>
      </w:pPr>
      <w:r>
        <w:rPr>
          <w:rFonts w:ascii="Arial"/>
          <w:b/>
          <w:w w:val="105"/>
          <w:sz w:val="26"/>
        </w:rPr>
        <w:t>Polysubstance-Related Disorder</w:t>
      </w:r>
    </w:p>
    <w:p w:rsidR="00E675F0" w:rsidRDefault="00E675F0" w:rsidP="00E675F0">
      <w:pPr>
        <w:tabs>
          <w:tab w:val="left" w:pos="6090"/>
        </w:tabs>
        <w:spacing w:line="20" w:lineRule="exact"/>
        <w:ind w:left="106"/>
        <w:rPr>
          <w:rFonts w:ascii="Arial"/>
          <w:sz w:val="2"/>
        </w:rPr>
      </w:pPr>
      <w:r>
        <w:rPr>
          <w:rFonts w:ascii="Arial"/>
          <w:noProof/>
          <w:sz w:val="2"/>
        </w:rPr>
        <mc:AlternateContent>
          <mc:Choice Requires="wpg">
            <w:drawing>
              <wp:inline distT="0" distB="0" distL="0" distR="0" wp14:anchorId="69994B7F" wp14:editId="38F2385B">
                <wp:extent cx="1002030" cy="6350"/>
                <wp:effectExtent l="0" t="0" r="1270" b="0"/>
                <wp:docPr id="1289" name="Group 1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2030" cy="6350"/>
                          <a:chOff x="0" y="0"/>
                          <a:chExt cx="1578" cy="10"/>
                        </a:xfrm>
                      </wpg:grpSpPr>
                      <wps:wsp>
                        <wps:cNvPr id="1290" name="Line 1246"/>
                        <wps:cNvCnPr>
                          <a:cxnSpLocks/>
                        </wps:cNvCnPr>
                        <wps:spPr bwMode="auto">
                          <a:xfrm>
                            <a:off x="0" y="5"/>
                            <a:ext cx="1578" cy="0"/>
                          </a:xfrm>
                          <a:prstGeom prst="line">
                            <a:avLst/>
                          </a:prstGeom>
                          <a:noFill/>
                          <a:ln w="610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CF57024" id="Group 1245" o:spid="_x0000_s1026" style="width:78.9pt;height:.5pt;mso-position-horizontal-relative:char;mso-position-vertical-relative:line" coordsize="1578,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">
                <v:line id="Line 1246" o:spid="_x0000_s1027" style="position:absolute;visibility:visible;mso-wrap-style:square" from="0,5" to="157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" strokeweight=".16956mm">
                  <o:lock v:ext="edit" shapetype="f"/>
                </v:line>
                <w10:anchorlock/>
              </v:group>
            </w:pict>
          </mc:Fallback>
        </mc:AlternateContent>
      </w:r>
      <w:r>
        <w:rPr>
          <w:rFonts w:ascii="Arial"/>
          <w:sz w:val="2"/>
        </w:rPr>
        <w:tab/>
      </w:r>
      <w:r>
        <w:rPr>
          <w:rFonts w:ascii="Arial"/>
          <w:noProof/>
          <w:sz w:val="2"/>
        </w:rPr>
        <mc:AlternateContent>
          <mc:Choice Requires="wpg">
            <w:drawing>
              <wp:inline distT="0" distB="0" distL="0" distR="0" wp14:anchorId="3F68C025" wp14:editId="30A0110D">
                <wp:extent cx="953135" cy="6350"/>
                <wp:effectExtent l="0" t="0" r="0" b="0"/>
                <wp:docPr id="1287" name="Group 1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3135" cy="6350"/>
                          <a:chOff x="0" y="0"/>
                          <a:chExt cx="1501" cy="10"/>
                        </a:xfrm>
                      </wpg:grpSpPr>
                      <wps:wsp>
                        <wps:cNvPr id="1288" name="Line 1244"/>
                        <wps:cNvCnPr>
                          <a:cxnSpLocks/>
                        </wps:cNvCnPr>
                        <wps:spPr bwMode="auto">
                          <a:xfrm>
                            <a:off x="0" y="5"/>
                            <a:ext cx="1501" cy="0"/>
                          </a:xfrm>
                          <a:prstGeom prst="line">
                            <a:avLst/>
                          </a:prstGeom>
                          <a:noFill/>
                          <a:ln w="610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CEB53A4" id="Group 1243" o:spid="_x0000_s1026" style="width:75.05pt;height:.5pt;mso-position-horizontal-relative:char;mso-position-vertical-relative:line" coordsize="1501,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">
                <v:line id="Line 1244" o:spid="_x0000_s1027" style="position:absolute;visibility:visible;mso-wrap-style:square" from="0,5" to="150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" strokeweight=".16956mm">
                  <o:lock v:ext="edit" shapetype="f"/>
                </v:line>
                <w10:anchorlock/>
              </v:group>
            </w:pict>
          </mc:Fallback>
        </mc:AlternateContent>
      </w:r>
    </w:p>
    <w:p w:rsidR="00E675F0" w:rsidRDefault="00E675F0" w:rsidP="00E675F0">
      <w:pPr>
        <w:pStyle w:val="BodyText"/>
        <w:spacing w:before="4"/>
        <w:rPr>
          <w:rFonts w:ascii="Arial"/>
          <w:b/>
          <w:sz w:val="31"/>
        </w:rPr>
      </w:pPr>
    </w:p>
    <w:p w:rsidR="00E675F0" w:rsidRDefault="00E675F0" w:rsidP="00E675F0">
      <w:pPr>
        <w:tabs>
          <w:tab w:val="left" w:pos="2641"/>
        </w:tabs>
        <w:ind w:left="1573"/>
        <w:rPr>
          <w:rFonts w:ascii="Arial"/>
          <w:b/>
          <w:sz w:val="26"/>
        </w:rPr>
      </w:pPr>
      <w:r>
        <w:rPr>
          <w:rFonts w:ascii="Arial"/>
          <w:b/>
          <w:sz w:val="26"/>
        </w:rPr>
        <w:t>304.80</w:t>
      </w:r>
      <w:r>
        <w:rPr>
          <w:rFonts w:ascii="Arial"/>
          <w:b/>
          <w:sz w:val="26"/>
        </w:rPr>
        <w:tab/>
        <w:t>Polysubstance</w:t>
      </w:r>
      <w:r>
        <w:rPr>
          <w:rFonts w:ascii="Arial"/>
          <w:b/>
          <w:spacing w:val="25"/>
          <w:sz w:val="26"/>
        </w:rPr>
        <w:t xml:space="preserve"> </w:t>
      </w:r>
      <w:r>
        <w:rPr>
          <w:rFonts w:ascii="Arial"/>
          <w:b/>
          <w:sz w:val="26"/>
        </w:rPr>
        <w:t>Dependence</w:t>
      </w:r>
    </w:p>
    <w:p w:rsidR="00E675F0" w:rsidRDefault="00E675F0" w:rsidP="00E675F0">
      <w:pPr>
        <w:pStyle w:val="BodyText"/>
        <w:spacing w:before="249" w:line="254" w:lineRule="auto"/>
        <w:ind w:left="108" w:right="116" w:firstLine="1"/>
        <w:jc w:val="both"/>
      </w:pPr>
      <w:r>
        <w:rPr>
          <w:noProof/>
        </w:rPr>
        <mc:AlternateContent>
          <mc:Choice Requires="wpg">
            <w:drawing>
              <wp:anchor distT="0" distB="0" distL="114300" distR="114300" simplePos="0" relativeHeight="251811840" behindDoc="1" locked="0" layoutInCell="1" allowOverlap="1" wp14:anchorId="07BAEFC0" wp14:editId="298C4BED">
                <wp:simplePos x="0" y="0"/>
                <wp:positionH relativeFrom="page">
                  <wp:posOffset>476250</wp:posOffset>
                </wp:positionH>
                <wp:positionV relativeFrom="paragraph">
                  <wp:posOffset>1207770</wp:posOffset>
                </wp:positionV>
                <wp:extent cx="1698625" cy="464185"/>
                <wp:effectExtent l="0" t="0" r="3175" b="5715"/>
                <wp:wrapNone/>
                <wp:docPr id="1284" name="Group 1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8625" cy="464185"/>
                          <a:chOff x="750" y="1902"/>
                          <a:chExt cx="2675" cy="731"/>
                        </a:xfrm>
                      </wpg:grpSpPr>
                      <wps:wsp>
                        <wps:cNvPr id="1285" name="Line 1242"/>
                        <wps:cNvCnPr>
                          <a:cxnSpLocks/>
                        </wps:cNvCnPr>
                        <wps:spPr bwMode="auto">
                          <a:xfrm>
                            <a:off x="770" y="2632"/>
                            <a:ext cx="0" cy="0"/>
                          </a:xfrm>
                          <a:prstGeom prst="line">
                            <a:avLst/>
                          </a:prstGeom>
                          <a:noFill/>
                          <a:ln w="183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6" name="Line 1241"/>
                        <wps:cNvCnPr>
                          <a:cxnSpLocks/>
                        </wps:cNvCnPr>
                        <wps:spPr bwMode="auto">
                          <a:xfrm>
                            <a:off x="750" y="1911"/>
                            <a:ext cx="2675" cy="0"/>
                          </a:xfrm>
                          <a:prstGeom prst="line">
                            <a:avLst/>
                          </a:prstGeom>
                          <a:noFill/>
                          <a:ln w="915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3E24EF" id="Group 1240" o:spid="_x0000_s1026" style="position:absolute;margin-left:37.5pt;margin-top:95.1pt;width:133.75pt;height:36.55pt;z-index:-251504640;mso-position-horizontal-relative:page" coordorigin="750,1902" coordsize="2675,7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">
                <v:line id="Line 1242" o:spid="_x0000_s1027" style="position:absolute;visibility:visible;mso-wrap-style:square" from="770,2632" to="770,26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" strokeweight=".50908mm">
                  <o:lock v:ext="edit" shapetype="f"/>
                </v:line>
                <v:line id="Line 1241" o:spid="_x0000_s1028" style="position:absolute;visibility:visible;mso-wrap-style:square" from="750,1911" to="3425,19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" strokeweight=".25433mm">
                  <o:lock v:ext="edit" shapetype="f"/>
                </v:line>
                <w10:wrap anchorx="page"/>
              </v:group>
            </w:pict>
          </mc:Fallback>
        </mc:AlternateContent>
      </w:r>
      <w:r>
        <w:rPr>
          <w:w w:val="105"/>
        </w:rPr>
        <w:t>This diagnosis is reserved for behavior during the same 12-month period in which the person was repeatedly using at least three groups of substances (not including caffeine and nicotine), but no single substance predominated. Further, during this period, the Dependence criteria were met for substances as a group but not for any specific substance.</w:t>
      </w:r>
    </w:p>
    <w:p w:rsidR="00E675F0" w:rsidRDefault="00E675F0" w:rsidP="00E675F0">
      <w:pPr>
        <w:pStyle w:val="BodyText"/>
      </w:pPr>
    </w:p>
    <w:p w:rsidR="00E675F0" w:rsidRDefault="00E675F0" w:rsidP="00E675F0">
      <w:pPr>
        <w:pStyle w:val="BodyText"/>
        <w:spacing w:before="5"/>
        <w:rPr>
          <w:sz w:val="14"/>
        </w:rPr>
      </w:pPr>
      <w:r>
        <w:rPr>
          <w:noProof/>
        </w:rPr>
        <mc:AlternateContent>
          <mc:Choice Requires="wps">
            <w:drawing>
              <wp:anchor distT="0" distB="0" distL="0" distR="0" simplePos="0" relativeHeight="251896832" behindDoc="1" locked="0" layoutInCell="1" allowOverlap="1" wp14:anchorId="06499F43" wp14:editId="516F90D9">
                <wp:simplePos x="0" y="0"/>
                <wp:positionH relativeFrom="page">
                  <wp:posOffset>3823970</wp:posOffset>
                </wp:positionH>
                <wp:positionV relativeFrom="paragraph">
                  <wp:posOffset>135890</wp:posOffset>
                </wp:positionV>
                <wp:extent cx="1369060" cy="1270"/>
                <wp:effectExtent l="0" t="0" r="2540" b="0"/>
                <wp:wrapTopAndBottom/>
                <wp:docPr id="1283" name="Freeform 1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9060" cy="1270"/>
                        </a:xfrm>
                        <a:custGeom>
                          <a:avLst/>
                          <a:gdLst>
                            <a:gd name="T0" fmla="+- 0 6022 6022"/>
                            <a:gd name="T1" fmla="*/ T0 w 2156"/>
                            <a:gd name="T2" fmla="+- 0 8177 6022"/>
                            <a:gd name="T3" fmla="*/ T2 w 2156"/>
                          </a:gdLst>
                          <a:ahLst/>
                          <a:cxnLst>
                            <a:cxn ang="0">
                              <a:pos x="T1" y="0"/>
                            </a:cxn>
                            <a:cxn ang="0">
                              <a:pos x="T3" y="0"/>
                            </a:cxn>
                          </a:cxnLst>
                          <a:rect l="0" t="0" r="r" b="b"/>
                          <a:pathLst>
                            <a:path w="2156">
                              <a:moveTo>
                                <a:pt x="0" y="0"/>
                              </a:moveTo>
                              <a:lnTo>
                                <a:pt x="2155" y="0"/>
                              </a:lnTo>
                            </a:path>
                          </a:pathLst>
                        </a:custGeom>
                        <a:noFill/>
                        <a:ln w="915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D9EEB" id="Freeform 1239" o:spid="_x0000_s1026" style="position:absolute;margin-left:301.1pt;margin-top:10.7pt;width:107.8pt;height:.1pt;z-index:-251419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56,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" path="m,l2155,e" filled="f" strokeweight=".25433mm">
                <v:path arrowok="t" o:connecttype="custom" o:connectlocs="0,0;1368425,0" o:connectangles="0,0"/>
                <w10:wrap type="topAndBottom" anchorx="page"/>
              </v:shape>
            </w:pict>
          </mc:Fallback>
        </mc:AlternateContent>
      </w:r>
    </w:p>
    <w:p w:rsidR="00E675F0" w:rsidRDefault="00E675F0" w:rsidP="00E675F0">
      <w:pPr>
        <w:spacing w:before="89" w:line="247" w:lineRule="auto"/>
        <w:ind w:left="1954" w:right="1952" w:firstLine="3"/>
        <w:jc w:val="center"/>
        <w:rPr>
          <w:rFonts w:ascii="Arial"/>
          <w:b/>
          <w:sz w:val="26"/>
        </w:rPr>
      </w:pPr>
      <w:r>
        <w:rPr>
          <w:rFonts w:ascii="Arial"/>
          <w:b/>
          <w:w w:val="105"/>
          <w:sz w:val="26"/>
        </w:rPr>
        <w:t>Other (or Unknown) Substance-Related Disorders</w:t>
      </w:r>
    </w:p>
    <w:p w:rsidR="00E675F0" w:rsidRDefault="00E675F0" w:rsidP="00E675F0">
      <w:pPr>
        <w:pStyle w:val="BodyText"/>
        <w:spacing w:before="229" w:line="252" w:lineRule="auto"/>
        <w:ind w:left="108" w:right="120" w:hanging="4"/>
        <w:jc w:val="both"/>
      </w:pPr>
      <w:r>
        <w:rPr>
          <w:w w:val="105"/>
        </w:rPr>
        <w:t>The Other (or Unknown) Substance-Related Disorders category is for classifying Substance-Related Disorders associated with substances not listed above. Examples of these substances, which are described in more detail below, include anabolic steroids, nitrite inhalants ("poppers"), nitrous oxide, over-the-counter and prescription medica­ tions not otherwise covered by the 11 categories (e.g., cortisol, antihistamines, benztro­ pine), and other substances that have psychoactive effects. In addition,  this category may be used when the specific substance is unknown  (e.g., an intoxication  after taking a bottle of unlabeled</w:t>
      </w:r>
      <w:r>
        <w:rPr>
          <w:spacing w:val="12"/>
          <w:w w:val="105"/>
        </w:rPr>
        <w:t xml:space="preserve"> </w:t>
      </w:r>
      <w:r>
        <w:rPr>
          <w:w w:val="105"/>
        </w:rPr>
        <w:t>pills).</w:t>
      </w:r>
    </w:p>
    <w:p w:rsidR="00E675F0" w:rsidRDefault="00E675F0" w:rsidP="00E675F0">
      <w:pPr>
        <w:pStyle w:val="BodyText"/>
        <w:spacing w:line="252" w:lineRule="auto"/>
        <w:ind w:left="109" w:right="119" w:firstLine="360"/>
        <w:jc w:val="both"/>
      </w:pPr>
      <w:r>
        <w:rPr>
          <w:b/>
          <w:w w:val="105"/>
          <w:sz w:val="21"/>
        </w:rPr>
        <w:t xml:space="preserve">Anabolic steroids </w:t>
      </w:r>
      <w:r>
        <w:rPr>
          <w:w w:val="105"/>
        </w:rPr>
        <w:t>sometimes produce an initial sense of enhanced well-being (or even euphoria), which is replaced after repeated use by lack of energy, irritability, and other forms of dysphoria. Continued use of these substances may lead to more severe symptoms (e.g., depressive symptomatology) and general medical conditions (liver disease).</w:t>
      </w:r>
    </w:p>
    <w:p w:rsidR="00E675F0" w:rsidRDefault="00E675F0" w:rsidP="00E675F0">
      <w:pPr>
        <w:pStyle w:val="BodyText"/>
        <w:spacing w:before="2" w:line="254" w:lineRule="auto"/>
        <w:ind w:left="108" w:right="119" w:firstLine="365"/>
        <w:jc w:val="both"/>
      </w:pPr>
      <w:r>
        <w:rPr>
          <w:b/>
          <w:w w:val="105"/>
          <w:sz w:val="21"/>
        </w:rPr>
        <w:t xml:space="preserve">Nitrite inhalants </w:t>
      </w:r>
      <w:r>
        <w:rPr>
          <w:w w:val="105"/>
        </w:rPr>
        <w:t>("poppers"-forms of amyl, butyl, and isobutyl  nitrite)  produce an intoxication that is characterized  by a feeling of fullness in the head, mild euphoria,  a change in the perception of time, relaxation of smooth muscles, and a possible increase in sexual feelings. In addition to possible compulsive use, these substances carry dangers of potential impairment of immune functioning, irritation of the respiratory system, a decrease in the oxygen-carrying capacity of the blood, and a toxic reaction that can include vomiting, severe headache, hypotension, and</w:t>
      </w:r>
      <w:r>
        <w:rPr>
          <w:spacing w:val="3"/>
          <w:w w:val="105"/>
        </w:rPr>
        <w:t xml:space="preserve"> </w:t>
      </w:r>
      <w:r>
        <w:rPr>
          <w:w w:val="105"/>
        </w:rPr>
        <w:t>dizziness.</w:t>
      </w:r>
    </w:p>
    <w:p w:rsidR="00E675F0" w:rsidRDefault="00E675F0" w:rsidP="00E675F0">
      <w:pPr>
        <w:spacing w:line="254" w:lineRule="auto"/>
        <w:jc w:val="both"/>
        <w:sectPr w:rsidR="00E675F0">
          <w:headerReference w:type="even" r:id="rId205"/>
          <w:headerReference w:type="default" r:id="rId206"/>
          <w:pgSz w:w="8960" w:h="14260"/>
          <w:pgMar w:top="960" w:right="620" w:bottom="280" w:left="620" w:header="688" w:footer="0" w:gutter="0"/>
          <w:cols w:space="720"/>
        </w:sectPr>
      </w:pPr>
    </w:p>
    <w:p w:rsidR="00E675F0" w:rsidRDefault="00E675F0" w:rsidP="00E675F0">
      <w:pPr>
        <w:pStyle w:val="BodyText"/>
        <w:spacing w:before="131" w:line="254" w:lineRule="auto"/>
        <w:ind w:left="127" w:right="98" w:firstLine="365"/>
        <w:jc w:val="right"/>
      </w:pPr>
      <w:r>
        <w:rPr>
          <w:b/>
          <w:w w:val="105"/>
        </w:rPr>
        <w:lastRenderedPageBreak/>
        <w:t xml:space="preserve">Nitrous oxide </w:t>
      </w:r>
      <w:r>
        <w:rPr>
          <w:w w:val="105"/>
        </w:rPr>
        <w:t>("laughing gas") causes rapid onset of an intoxication that is</w:t>
      </w:r>
      <w:r>
        <w:rPr>
          <w:w w:val="102"/>
        </w:rPr>
        <w:t xml:space="preserve"> </w:t>
      </w:r>
      <w:r>
        <w:rPr>
          <w:w w:val="105"/>
        </w:rPr>
        <w:t>characterized by light-headedness and a floating sensation that clears in a matter of</w:t>
      </w:r>
      <w:r>
        <w:rPr>
          <w:w w:val="102"/>
        </w:rPr>
        <w:t xml:space="preserve"> </w:t>
      </w:r>
      <w:r>
        <w:rPr>
          <w:w w:val="105"/>
        </w:rPr>
        <w:t>minutes after administration is stopped. There are reports of temporary but clinically</w:t>
      </w:r>
      <w:r>
        <w:rPr>
          <w:w w:val="101"/>
        </w:rPr>
        <w:t xml:space="preserve"> </w:t>
      </w:r>
      <w:r>
        <w:rPr>
          <w:w w:val="105"/>
        </w:rPr>
        <w:t>relevant confusion and reversible paranoid states when nitrous oxide is used regularly.</w:t>
      </w:r>
      <w:r>
        <w:rPr>
          <w:w w:val="102"/>
        </w:rPr>
        <w:t xml:space="preserve"> </w:t>
      </w:r>
      <w:r>
        <w:rPr>
          <w:w w:val="105"/>
        </w:rPr>
        <w:t xml:space="preserve">Other substances that are capable of producing mild intoxications include </w:t>
      </w:r>
      <w:r>
        <w:rPr>
          <w:b/>
          <w:w w:val="105"/>
        </w:rPr>
        <w:t>catnip,</w:t>
      </w:r>
      <w:r>
        <w:rPr>
          <w:b/>
          <w:w w:val="111"/>
        </w:rPr>
        <w:t xml:space="preserve"> </w:t>
      </w:r>
      <w:r>
        <w:rPr>
          <w:w w:val="105"/>
        </w:rPr>
        <w:t>which can produce states similar to those observed with marijuana and which in high</w:t>
      </w:r>
      <w:r>
        <w:rPr>
          <w:w w:val="104"/>
        </w:rPr>
        <w:t xml:space="preserve"> </w:t>
      </w:r>
      <w:r>
        <w:rPr>
          <w:w w:val="105"/>
        </w:rPr>
        <w:t xml:space="preserve">doses is reported to result in LSD-type perceptions; </w:t>
      </w:r>
      <w:r>
        <w:rPr>
          <w:b/>
          <w:w w:val="105"/>
        </w:rPr>
        <w:t xml:space="preserve">betel nut, </w:t>
      </w:r>
      <w:r>
        <w:rPr>
          <w:w w:val="105"/>
        </w:rPr>
        <w:t>which is chewed in many</w:t>
      </w:r>
      <w:r>
        <w:rPr>
          <w:w w:val="106"/>
        </w:rPr>
        <w:t xml:space="preserve"> </w:t>
      </w:r>
      <w:r>
        <w:rPr>
          <w:w w:val="105"/>
        </w:rPr>
        <w:t xml:space="preserve">cultures to produce a mild euphoria and floating sensation; and </w:t>
      </w:r>
      <w:r>
        <w:rPr>
          <w:b/>
          <w:w w:val="105"/>
        </w:rPr>
        <w:t xml:space="preserve">kava </w:t>
      </w:r>
      <w:r>
        <w:rPr>
          <w:w w:val="105"/>
        </w:rPr>
        <w:t>(a substance</w:t>
      </w:r>
      <w:r>
        <w:rPr>
          <w:w w:val="108"/>
        </w:rPr>
        <w:t xml:space="preserve"> </w:t>
      </w:r>
      <w:r>
        <w:rPr>
          <w:w w:val="105"/>
        </w:rPr>
        <w:t>derived from the South Pacific pepper plant), which produces sedation, incoordination,</w:t>
      </w:r>
      <w:r>
        <w:rPr>
          <w:w w:val="108"/>
        </w:rPr>
        <w:t xml:space="preserve"> </w:t>
      </w:r>
      <w:r>
        <w:rPr>
          <w:w w:val="105"/>
        </w:rPr>
        <w:t>weight loss, mild forms of hepatitis, and lung abnormalities. In addition, individuals can</w:t>
      </w:r>
      <w:r>
        <w:rPr>
          <w:w w:val="109"/>
        </w:rPr>
        <w:t xml:space="preserve"> </w:t>
      </w:r>
      <w:r>
        <w:rPr>
          <w:w w:val="105"/>
        </w:rPr>
        <w:t xml:space="preserve">develop dependence and impairment through repeated self-administration of </w:t>
      </w:r>
      <w:r>
        <w:rPr>
          <w:b/>
          <w:w w:val="105"/>
        </w:rPr>
        <w:t>over-the­</w:t>
      </w:r>
      <w:r>
        <w:rPr>
          <w:b/>
          <w:w w:val="108"/>
        </w:rPr>
        <w:t xml:space="preserve"> </w:t>
      </w:r>
      <w:r>
        <w:rPr>
          <w:b/>
          <w:w w:val="105"/>
        </w:rPr>
        <w:t xml:space="preserve">counter </w:t>
      </w:r>
      <w:r>
        <w:rPr>
          <w:w w:val="105"/>
        </w:rPr>
        <w:t xml:space="preserve">and </w:t>
      </w:r>
      <w:r>
        <w:rPr>
          <w:b/>
          <w:w w:val="105"/>
        </w:rPr>
        <w:t xml:space="preserve">prescription drugs, </w:t>
      </w:r>
      <w:r>
        <w:rPr>
          <w:w w:val="105"/>
        </w:rPr>
        <w:t xml:space="preserve">including </w:t>
      </w:r>
      <w:r>
        <w:rPr>
          <w:b/>
          <w:w w:val="105"/>
        </w:rPr>
        <w:t xml:space="preserve">cortisol, antiparkinsonian agents </w:t>
      </w:r>
      <w:r>
        <w:rPr>
          <w:w w:val="105"/>
        </w:rPr>
        <w:t>that</w:t>
      </w:r>
      <w:r>
        <w:rPr>
          <w:w w:val="103"/>
        </w:rPr>
        <w:t xml:space="preserve"> </w:t>
      </w:r>
      <w:r>
        <w:rPr>
          <w:w w:val="105"/>
        </w:rPr>
        <w:t xml:space="preserve">have anticholinergic properties, and </w:t>
      </w:r>
      <w:r>
        <w:rPr>
          <w:b/>
          <w:w w:val="105"/>
        </w:rPr>
        <w:t xml:space="preserve">antihistamines. </w:t>
      </w:r>
      <w:r>
        <w:rPr>
          <w:w w:val="105"/>
        </w:rPr>
        <w:t>A discussion of how to code</w:t>
      </w:r>
    </w:p>
    <w:p w:rsidR="00E675F0" w:rsidRDefault="00E675F0" w:rsidP="00E675F0">
      <w:pPr>
        <w:pStyle w:val="BodyText"/>
        <w:spacing w:line="228" w:lineRule="exact"/>
        <w:ind w:left="147"/>
        <w:jc w:val="both"/>
      </w:pPr>
      <w:r>
        <w:rPr>
          <w:w w:val="105"/>
        </w:rPr>
        <w:t>medication-related disorders is found on p. 188.</w:t>
      </w:r>
    </w:p>
    <w:p w:rsidR="00E675F0" w:rsidRDefault="00E675F0" w:rsidP="00E675F0">
      <w:pPr>
        <w:pStyle w:val="BodyText"/>
        <w:spacing w:before="15" w:line="256" w:lineRule="auto"/>
        <w:ind w:left="139" w:right="101" w:firstLine="359"/>
        <w:jc w:val="both"/>
      </w:pPr>
      <w:r>
        <w:rPr>
          <w:w w:val="110"/>
        </w:rPr>
        <w:t>Texts</w:t>
      </w:r>
      <w:r>
        <w:rPr>
          <w:spacing w:val="-11"/>
          <w:w w:val="110"/>
        </w:rPr>
        <w:t xml:space="preserve"> </w:t>
      </w:r>
      <w:r>
        <w:rPr>
          <w:w w:val="110"/>
        </w:rPr>
        <w:t>and</w:t>
      </w:r>
      <w:r>
        <w:rPr>
          <w:spacing w:val="-6"/>
          <w:w w:val="110"/>
        </w:rPr>
        <w:t xml:space="preserve"> </w:t>
      </w:r>
      <w:r>
        <w:rPr>
          <w:w w:val="110"/>
        </w:rPr>
        <w:t>criteria sets</w:t>
      </w:r>
      <w:r>
        <w:rPr>
          <w:spacing w:val="-12"/>
          <w:w w:val="110"/>
        </w:rPr>
        <w:t xml:space="preserve"> </w:t>
      </w:r>
      <w:r>
        <w:rPr>
          <w:w w:val="110"/>
        </w:rPr>
        <w:t>have</w:t>
      </w:r>
      <w:r>
        <w:rPr>
          <w:spacing w:val="-10"/>
          <w:w w:val="110"/>
        </w:rPr>
        <w:t xml:space="preserve"> </w:t>
      </w:r>
      <w:r>
        <w:rPr>
          <w:w w:val="110"/>
        </w:rPr>
        <w:t>already</w:t>
      </w:r>
      <w:r>
        <w:rPr>
          <w:spacing w:val="-7"/>
          <w:w w:val="110"/>
        </w:rPr>
        <w:t xml:space="preserve"> </w:t>
      </w:r>
      <w:r>
        <w:rPr>
          <w:w w:val="110"/>
        </w:rPr>
        <w:t>been</w:t>
      </w:r>
      <w:r>
        <w:rPr>
          <w:spacing w:val="-4"/>
          <w:w w:val="110"/>
        </w:rPr>
        <w:t xml:space="preserve"> </w:t>
      </w:r>
      <w:r>
        <w:rPr>
          <w:w w:val="110"/>
        </w:rPr>
        <w:t>provided</w:t>
      </w:r>
      <w:r>
        <w:rPr>
          <w:spacing w:val="-6"/>
          <w:w w:val="110"/>
        </w:rPr>
        <w:t xml:space="preserve"> </w:t>
      </w:r>
      <w:r>
        <w:rPr>
          <w:w w:val="110"/>
        </w:rPr>
        <w:t>to</w:t>
      </w:r>
      <w:r>
        <w:rPr>
          <w:spacing w:val="-11"/>
          <w:w w:val="110"/>
        </w:rPr>
        <w:t xml:space="preserve"> </w:t>
      </w:r>
      <w:r>
        <w:rPr>
          <w:w w:val="110"/>
        </w:rPr>
        <w:t>define</w:t>
      </w:r>
      <w:r>
        <w:rPr>
          <w:spacing w:val="-4"/>
          <w:w w:val="110"/>
        </w:rPr>
        <w:t xml:space="preserve"> </w:t>
      </w:r>
      <w:r>
        <w:rPr>
          <w:w w:val="110"/>
        </w:rPr>
        <w:t>the</w:t>
      </w:r>
      <w:r>
        <w:rPr>
          <w:spacing w:val="-15"/>
          <w:w w:val="110"/>
        </w:rPr>
        <w:t xml:space="preserve"> </w:t>
      </w:r>
      <w:r>
        <w:rPr>
          <w:w w:val="110"/>
        </w:rPr>
        <w:t>generic</w:t>
      </w:r>
      <w:r>
        <w:rPr>
          <w:spacing w:val="-10"/>
          <w:w w:val="110"/>
        </w:rPr>
        <w:t xml:space="preserve"> </w:t>
      </w:r>
      <w:r>
        <w:rPr>
          <w:w w:val="110"/>
        </w:rPr>
        <w:t>aspects</w:t>
      </w:r>
      <w:r>
        <w:rPr>
          <w:spacing w:val="-8"/>
          <w:w w:val="110"/>
        </w:rPr>
        <w:t xml:space="preserve"> </w:t>
      </w:r>
      <w:r>
        <w:rPr>
          <w:w w:val="110"/>
        </w:rPr>
        <w:t>of Substance Dependence (p. 176), Substance Abuse (p. 182), Substance Intoxication (p. 183), and Substance Withdrawal (p. 184) that are applicable across classes of substances.</w:t>
      </w:r>
      <w:r>
        <w:rPr>
          <w:spacing w:val="-21"/>
          <w:w w:val="110"/>
        </w:rPr>
        <w:t xml:space="preserve"> </w:t>
      </w:r>
      <w:r>
        <w:rPr>
          <w:w w:val="110"/>
        </w:rPr>
        <w:t>The</w:t>
      </w:r>
      <w:r>
        <w:rPr>
          <w:spacing w:val="-23"/>
          <w:w w:val="110"/>
        </w:rPr>
        <w:t xml:space="preserve"> </w:t>
      </w:r>
      <w:r>
        <w:rPr>
          <w:w w:val="110"/>
        </w:rPr>
        <w:t>Other</w:t>
      </w:r>
      <w:r>
        <w:rPr>
          <w:spacing w:val="-24"/>
          <w:w w:val="110"/>
        </w:rPr>
        <w:t xml:space="preserve"> </w:t>
      </w:r>
      <w:r>
        <w:rPr>
          <w:w w:val="110"/>
        </w:rPr>
        <w:t>(or</w:t>
      </w:r>
      <w:r>
        <w:rPr>
          <w:spacing w:val="-21"/>
          <w:w w:val="110"/>
        </w:rPr>
        <w:t xml:space="preserve"> </w:t>
      </w:r>
      <w:r>
        <w:rPr>
          <w:w w:val="110"/>
        </w:rPr>
        <w:t>Unknown)</w:t>
      </w:r>
      <w:r>
        <w:rPr>
          <w:spacing w:val="-22"/>
          <w:w w:val="110"/>
        </w:rPr>
        <w:t xml:space="preserve"> </w:t>
      </w:r>
      <w:r>
        <w:rPr>
          <w:w w:val="110"/>
        </w:rPr>
        <w:t>Substance-Induced</w:t>
      </w:r>
      <w:r>
        <w:rPr>
          <w:spacing w:val="-27"/>
          <w:w w:val="110"/>
        </w:rPr>
        <w:t xml:space="preserve"> </w:t>
      </w:r>
      <w:r>
        <w:rPr>
          <w:w w:val="110"/>
        </w:rPr>
        <w:t>Disorders</w:t>
      </w:r>
      <w:r>
        <w:rPr>
          <w:spacing w:val="-19"/>
          <w:w w:val="110"/>
        </w:rPr>
        <w:t xml:space="preserve"> </w:t>
      </w:r>
      <w:r>
        <w:rPr>
          <w:w w:val="110"/>
        </w:rPr>
        <w:t>are</w:t>
      </w:r>
      <w:r>
        <w:rPr>
          <w:spacing w:val="-26"/>
          <w:w w:val="110"/>
        </w:rPr>
        <w:t xml:space="preserve"> </w:t>
      </w:r>
      <w:r>
        <w:rPr>
          <w:w w:val="110"/>
        </w:rPr>
        <w:t>described</w:t>
      </w:r>
      <w:r>
        <w:rPr>
          <w:spacing w:val="-19"/>
          <w:w w:val="110"/>
        </w:rPr>
        <w:t xml:space="preserve"> </w:t>
      </w:r>
      <w:r>
        <w:rPr>
          <w:w w:val="110"/>
        </w:rPr>
        <w:t>in</w:t>
      </w:r>
      <w:r>
        <w:rPr>
          <w:spacing w:val="-25"/>
          <w:w w:val="110"/>
        </w:rPr>
        <w:t xml:space="preserve"> </w:t>
      </w:r>
      <w:r>
        <w:rPr>
          <w:w w:val="110"/>
        </w:rPr>
        <w:t>the sections</w:t>
      </w:r>
      <w:r>
        <w:rPr>
          <w:spacing w:val="-30"/>
          <w:w w:val="110"/>
        </w:rPr>
        <w:t xml:space="preserve"> </w:t>
      </w:r>
      <w:r>
        <w:rPr>
          <w:w w:val="110"/>
        </w:rPr>
        <w:t>of</w:t>
      </w:r>
      <w:r>
        <w:rPr>
          <w:spacing w:val="-27"/>
          <w:w w:val="110"/>
        </w:rPr>
        <w:t xml:space="preserve"> </w:t>
      </w:r>
      <w:r>
        <w:rPr>
          <w:w w:val="110"/>
        </w:rPr>
        <w:t>the</w:t>
      </w:r>
      <w:r>
        <w:rPr>
          <w:spacing w:val="-29"/>
          <w:w w:val="110"/>
        </w:rPr>
        <w:t xml:space="preserve"> </w:t>
      </w:r>
      <w:r>
        <w:rPr>
          <w:w w:val="110"/>
        </w:rPr>
        <w:t>manual</w:t>
      </w:r>
      <w:r>
        <w:rPr>
          <w:spacing w:val="-32"/>
          <w:w w:val="110"/>
        </w:rPr>
        <w:t xml:space="preserve"> </w:t>
      </w:r>
      <w:r>
        <w:rPr>
          <w:w w:val="110"/>
        </w:rPr>
        <w:t>with</w:t>
      </w:r>
      <w:r>
        <w:rPr>
          <w:spacing w:val="-33"/>
          <w:w w:val="110"/>
        </w:rPr>
        <w:t xml:space="preserve"> </w:t>
      </w:r>
      <w:r>
        <w:rPr>
          <w:w w:val="110"/>
        </w:rPr>
        <w:t>disorders</w:t>
      </w:r>
      <w:r>
        <w:rPr>
          <w:spacing w:val="-30"/>
          <w:w w:val="110"/>
        </w:rPr>
        <w:t xml:space="preserve"> </w:t>
      </w:r>
      <w:r>
        <w:rPr>
          <w:w w:val="110"/>
        </w:rPr>
        <w:t>with</w:t>
      </w:r>
      <w:r>
        <w:rPr>
          <w:spacing w:val="-32"/>
          <w:w w:val="110"/>
        </w:rPr>
        <w:t xml:space="preserve"> </w:t>
      </w:r>
      <w:r>
        <w:rPr>
          <w:w w:val="110"/>
        </w:rPr>
        <w:t>which</w:t>
      </w:r>
      <w:r>
        <w:rPr>
          <w:spacing w:val="-26"/>
          <w:w w:val="110"/>
        </w:rPr>
        <w:t xml:space="preserve"> </w:t>
      </w:r>
      <w:r>
        <w:rPr>
          <w:w w:val="110"/>
        </w:rPr>
        <w:t>they</w:t>
      </w:r>
      <w:r>
        <w:rPr>
          <w:spacing w:val="-34"/>
          <w:w w:val="110"/>
        </w:rPr>
        <w:t xml:space="preserve"> </w:t>
      </w:r>
      <w:r>
        <w:rPr>
          <w:w w:val="110"/>
        </w:rPr>
        <w:t>share</w:t>
      </w:r>
      <w:r>
        <w:rPr>
          <w:spacing w:val="-28"/>
          <w:w w:val="110"/>
        </w:rPr>
        <w:t xml:space="preserve"> </w:t>
      </w:r>
      <w:r>
        <w:rPr>
          <w:w w:val="110"/>
        </w:rPr>
        <w:t>phenomenology</w:t>
      </w:r>
      <w:r>
        <w:rPr>
          <w:spacing w:val="-26"/>
          <w:w w:val="110"/>
        </w:rPr>
        <w:t xml:space="preserve"> </w:t>
      </w:r>
      <w:r>
        <w:rPr>
          <w:w w:val="110"/>
        </w:rPr>
        <w:t>(e.g.,</w:t>
      </w:r>
      <w:r>
        <w:rPr>
          <w:spacing w:val="-31"/>
          <w:w w:val="110"/>
        </w:rPr>
        <w:t xml:space="preserve"> </w:t>
      </w:r>
      <w:r>
        <w:rPr>
          <w:w w:val="110"/>
        </w:rPr>
        <w:t>Other (or</w:t>
      </w:r>
      <w:r>
        <w:rPr>
          <w:spacing w:val="-21"/>
          <w:w w:val="110"/>
        </w:rPr>
        <w:t xml:space="preserve"> </w:t>
      </w:r>
      <w:r>
        <w:rPr>
          <w:w w:val="110"/>
        </w:rPr>
        <w:t>Unknown)</w:t>
      </w:r>
      <w:r>
        <w:rPr>
          <w:spacing w:val="-15"/>
          <w:w w:val="110"/>
        </w:rPr>
        <w:t xml:space="preserve"> </w:t>
      </w:r>
      <w:r>
        <w:rPr>
          <w:w w:val="110"/>
        </w:rPr>
        <w:t>Substance-Induced</w:t>
      </w:r>
      <w:r>
        <w:rPr>
          <w:spacing w:val="-18"/>
          <w:w w:val="110"/>
        </w:rPr>
        <w:t xml:space="preserve"> </w:t>
      </w:r>
      <w:r>
        <w:rPr>
          <w:w w:val="110"/>
        </w:rPr>
        <w:t>Mood</w:t>
      </w:r>
      <w:r>
        <w:rPr>
          <w:spacing w:val="-16"/>
          <w:w w:val="110"/>
        </w:rPr>
        <w:t xml:space="preserve"> </w:t>
      </w:r>
      <w:r>
        <w:rPr>
          <w:w w:val="110"/>
        </w:rPr>
        <w:t>Disorder</w:t>
      </w:r>
      <w:r>
        <w:rPr>
          <w:spacing w:val="-22"/>
          <w:w w:val="110"/>
        </w:rPr>
        <w:t xml:space="preserve"> </w:t>
      </w:r>
      <w:r>
        <w:rPr>
          <w:w w:val="110"/>
        </w:rPr>
        <w:t>is</w:t>
      </w:r>
      <w:r>
        <w:rPr>
          <w:spacing w:val="-23"/>
          <w:w w:val="110"/>
        </w:rPr>
        <w:t xml:space="preserve"> </w:t>
      </w:r>
      <w:r>
        <w:rPr>
          <w:w w:val="110"/>
        </w:rPr>
        <w:t>included</w:t>
      </w:r>
      <w:r>
        <w:rPr>
          <w:spacing w:val="-12"/>
          <w:w w:val="110"/>
        </w:rPr>
        <w:t xml:space="preserve"> </w:t>
      </w:r>
      <w:r>
        <w:rPr>
          <w:w w:val="110"/>
        </w:rPr>
        <w:t>in</w:t>
      </w:r>
      <w:r>
        <w:rPr>
          <w:spacing w:val="-21"/>
          <w:w w:val="110"/>
        </w:rPr>
        <w:t xml:space="preserve"> </w:t>
      </w:r>
      <w:r>
        <w:rPr>
          <w:w w:val="110"/>
        </w:rPr>
        <w:t>the</w:t>
      </w:r>
      <w:r>
        <w:rPr>
          <w:spacing w:val="-23"/>
          <w:w w:val="110"/>
        </w:rPr>
        <w:t xml:space="preserve"> </w:t>
      </w:r>
      <w:r>
        <w:rPr>
          <w:w w:val="110"/>
        </w:rPr>
        <w:t>"Mood</w:t>
      </w:r>
      <w:r>
        <w:rPr>
          <w:spacing w:val="-17"/>
          <w:w w:val="110"/>
        </w:rPr>
        <w:t xml:space="preserve"> </w:t>
      </w:r>
      <w:r>
        <w:rPr>
          <w:w w:val="110"/>
        </w:rPr>
        <w:t>Disorders" section). Listed below are the Other (or Unknown) Substance Use Disorders and the Other (or Unknown) Substance-Induced</w:t>
      </w:r>
      <w:r>
        <w:rPr>
          <w:spacing w:val="15"/>
          <w:w w:val="110"/>
        </w:rPr>
        <w:t xml:space="preserve"> </w:t>
      </w:r>
      <w:r>
        <w:rPr>
          <w:w w:val="110"/>
        </w:rPr>
        <w:t>Disorders.</w:t>
      </w:r>
    </w:p>
    <w:p w:rsidR="00E675F0" w:rsidRDefault="00E675F0" w:rsidP="00E675F0">
      <w:pPr>
        <w:pStyle w:val="BodyText"/>
        <w:rPr>
          <w:sz w:val="22"/>
        </w:rPr>
      </w:pPr>
    </w:p>
    <w:p w:rsidR="00E675F0" w:rsidRDefault="00E675F0" w:rsidP="00E675F0">
      <w:pPr>
        <w:pStyle w:val="BodyText"/>
        <w:rPr>
          <w:sz w:val="22"/>
        </w:rPr>
      </w:pPr>
    </w:p>
    <w:p w:rsidR="00E675F0" w:rsidRDefault="00E675F0" w:rsidP="00E675F0">
      <w:pPr>
        <w:spacing w:before="185"/>
        <w:ind w:left="131"/>
        <w:jc w:val="both"/>
        <w:rPr>
          <w:rFonts w:ascii="TimesNewRomanPS-BoldItalicMT"/>
          <w:b/>
          <w:i/>
          <w:sz w:val="24"/>
        </w:rPr>
      </w:pPr>
      <w:r>
        <w:rPr>
          <w:rFonts w:ascii="TimesNewRomanPS-BoldItalicMT"/>
          <w:b/>
          <w:i/>
          <w:w w:val="115"/>
          <w:sz w:val="24"/>
        </w:rPr>
        <w:t>Other (or Unknown) Substance Use Disorders</w:t>
      </w:r>
    </w:p>
    <w:p w:rsidR="00E675F0" w:rsidRDefault="00E675F0" w:rsidP="00E675F0">
      <w:pPr>
        <w:tabs>
          <w:tab w:val="left" w:pos="988"/>
        </w:tabs>
        <w:spacing w:before="136"/>
        <w:ind w:left="155"/>
        <w:rPr>
          <w:sz w:val="20"/>
        </w:rPr>
      </w:pPr>
      <w:r>
        <w:rPr>
          <w:b/>
          <w:w w:val="110"/>
          <w:sz w:val="20"/>
        </w:rPr>
        <w:t>304.90</w:t>
      </w:r>
      <w:r>
        <w:rPr>
          <w:b/>
          <w:w w:val="110"/>
          <w:sz w:val="20"/>
        </w:rPr>
        <w:tab/>
        <w:t xml:space="preserve">Other (or Unknown) Substance Dependence </w:t>
      </w:r>
      <w:r>
        <w:rPr>
          <w:w w:val="110"/>
          <w:sz w:val="20"/>
        </w:rPr>
        <w:t>(see p.</w:t>
      </w:r>
      <w:r>
        <w:rPr>
          <w:spacing w:val="23"/>
          <w:w w:val="110"/>
          <w:sz w:val="20"/>
        </w:rPr>
        <w:t xml:space="preserve"> </w:t>
      </w:r>
      <w:r>
        <w:rPr>
          <w:w w:val="110"/>
          <w:sz w:val="20"/>
        </w:rPr>
        <w:t>176)</w:t>
      </w:r>
    </w:p>
    <w:p w:rsidR="00E675F0" w:rsidRDefault="00E675F0" w:rsidP="00E675F0">
      <w:pPr>
        <w:tabs>
          <w:tab w:val="left" w:pos="988"/>
        </w:tabs>
        <w:spacing w:before="15"/>
        <w:ind w:left="155"/>
        <w:rPr>
          <w:sz w:val="20"/>
        </w:rPr>
      </w:pPr>
      <w:r>
        <w:rPr>
          <w:b/>
          <w:w w:val="110"/>
          <w:sz w:val="20"/>
        </w:rPr>
        <w:t>305.90</w:t>
      </w:r>
      <w:r>
        <w:rPr>
          <w:b/>
          <w:w w:val="110"/>
          <w:sz w:val="20"/>
        </w:rPr>
        <w:tab/>
        <w:t xml:space="preserve">Other (or Unknown) Substance Abuse </w:t>
      </w:r>
      <w:r>
        <w:rPr>
          <w:w w:val="110"/>
          <w:sz w:val="20"/>
        </w:rPr>
        <w:t>(see p.</w:t>
      </w:r>
      <w:r>
        <w:rPr>
          <w:spacing w:val="12"/>
          <w:w w:val="110"/>
          <w:sz w:val="20"/>
        </w:rPr>
        <w:t xml:space="preserve"> </w:t>
      </w:r>
      <w:r>
        <w:rPr>
          <w:w w:val="110"/>
          <w:sz w:val="20"/>
        </w:rPr>
        <w:t>182)</w:t>
      </w:r>
    </w:p>
    <w:p w:rsidR="00E675F0" w:rsidRDefault="00E675F0" w:rsidP="00E675F0">
      <w:pPr>
        <w:pStyle w:val="BodyText"/>
        <w:rPr>
          <w:sz w:val="22"/>
        </w:rPr>
      </w:pPr>
    </w:p>
    <w:p w:rsidR="00E675F0" w:rsidRDefault="00E675F0" w:rsidP="00E675F0">
      <w:pPr>
        <w:spacing w:before="172"/>
        <w:ind w:left="131"/>
        <w:rPr>
          <w:rFonts w:ascii="TimesNewRomanPS-BoldItalicMT"/>
          <w:b/>
          <w:i/>
          <w:sz w:val="24"/>
        </w:rPr>
      </w:pPr>
      <w:r>
        <w:rPr>
          <w:rFonts w:ascii="TimesNewRomanPS-BoldItalicMT"/>
          <w:b/>
          <w:i/>
          <w:w w:val="115"/>
          <w:sz w:val="24"/>
        </w:rPr>
        <w:t>Other ( or Unknown) Substance-Induced Disorders</w:t>
      </w:r>
    </w:p>
    <w:p w:rsidR="00E675F0" w:rsidRDefault="00E675F0" w:rsidP="00E675F0">
      <w:pPr>
        <w:pStyle w:val="BodyText"/>
        <w:spacing w:before="3"/>
        <w:rPr>
          <w:rFonts w:ascii="TimesNewRomanPS-BoldItalicMT"/>
          <w:b/>
          <w:i/>
          <w:sz w:val="10"/>
        </w:rPr>
      </w:pPr>
    </w:p>
    <w:tbl>
      <w:tblPr>
        <w:tblW w:w="0" w:type="auto"/>
        <w:tblInd w:w="116" w:type="dxa"/>
        <w:tblLayout w:type="fixed"/>
        <w:tblCellMar>
          <w:left w:w="0" w:type="dxa"/>
          <w:right w:w="0" w:type="dxa"/>
        </w:tblCellMar>
        <w:tblLook w:val="01E0" w:firstRow="1" w:lastRow="1" w:firstColumn="1" w:lastColumn="1" w:noHBand="0" w:noVBand="0"/>
      </w:tblPr>
      <w:tblGrid>
        <w:gridCol w:w="781"/>
        <w:gridCol w:w="6583"/>
      </w:tblGrid>
      <w:tr w:rsidR="00E675F0" w:rsidTr="00A330E1">
        <w:trPr>
          <w:trHeight w:val="209"/>
        </w:trPr>
        <w:tc>
          <w:tcPr>
            <w:tcW w:w="781" w:type="dxa"/>
          </w:tcPr>
          <w:p w:rsidR="00E675F0" w:rsidRDefault="00E675F0" w:rsidP="00A330E1">
            <w:pPr>
              <w:pStyle w:val="TableParagraph"/>
              <w:spacing w:before="28" w:line="161" w:lineRule="exact"/>
              <w:ind w:left="50"/>
              <w:rPr>
                <w:b/>
                <w:sz w:val="20"/>
              </w:rPr>
            </w:pPr>
            <w:r>
              <w:rPr>
                <w:b/>
                <w:w w:val="110"/>
                <w:sz w:val="20"/>
              </w:rPr>
              <w:t>292.89</w:t>
            </w:r>
          </w:p>
        </w:tc>
        <w:tc>
          <w:tcPr>
            <w:tcW w:w="6583" w:type="dxa"/>
          </w:tcPr>
          <w:p w:rsidR="00E675F0" w:rsidRDefault="00E675F0" w:rsidP="00A330E1">
            <w:pPr>
              <w:pStyle w:val="TableParagraph"/>
              <w:spacing w:before="18" w:line="171" w:lineRule="exact"/>
              <w:ind w:left="103"/>
              <w:rPr>
                <w:sz w:val="20"/>
              </w:rPr>
            </w:pPr>
            <w:r>
              <w:rPr>
                <w:b/>
                <w:w w:val="110"/>
                <w:sz w:val="20"/>
              </w:rPr>
              <w:t xml:space="preserve">Other (or Unknown) Substance Intoxication </w:t>
            </w:r>
            <w:r>
              <w:rPr>
                <w:w w:val="110"/>
                <w:sz w:val="20"/>
              </w:rPr>
              <w:t>(see p. 183)</w:t>
            </w:r>
          </w:p>
        </w:tc>
      </w:tr>
      <w:tr w:rsidR="00E675F0" w:rsidTr="00A330E1">
        <w:trPr>
          <w:trHeight w:val="480"/>
        </w:trPr>
        <w:tc>
          <w:tcPr>
            <w:tcW w:w="781" w:type="dxa"/>
          </w:tcPr>
          <w:p w:rsidR="00E675F0" w:rsidRDefault="00E675F0" w:rsidP="00A330E1">
            <w:pPr>
              <w:pStyle w:val="TableParagraph"/>
              <w:rPr>
                <w:rFonts w:ascii="TimesNewRomanPS-BoldItalicMT"/>
                <w:b/>
                <w:i/>
                <w:sz w:val="26"/>
              </w:rPr>
            </w:pPr>
          </w:p>
          <w:p w:rsidR="00E675F0" w:rsidRDefault="00E675F0" w:rsidP="00A330E1">
            <w:pPr>
              <w:pStyle w:val="TableParagraph"/>
              <w:spacing w:line="161" w:lineRule="exact"/>
              <w:ind w:left="50"/>
              <w:rPr>
                <w:b/>
                <w:sz w:val="20"/>
              </w:rPr>
            </w:pPr>
            <w:r>
              <w:rPr>
                <w:b/>
                <w:w w:val="110"/>
                <w:sz w:val="20"/>
              </w:rPr>
              <w:t>292.0</w:t>
            </w:r>
          </w:p>
        </w:tc>
        <w:tc>
          <w:tcPr>
            <w:tcW w:w="6583" w:type="dxa"/>
          </w:tcPr>
          <w:p w:rsidR="00E675F0" w:rsidRDefault="00E675F0" w:rsidP="00A330E1">
            <w:pPr>
              <w:pStyle w:val="TableParagraph"/>
              <w:spacing w:line="293" w:lineRule="exact"/>
              <w:ind w:left="119"/>
              <w:rPr>
                <w:sz w:val="20"/>
              </w:rPr>
            </w:pPr>
            <w:r>
              <w:rPr>
                <w:i/>
                <w:sz w:val="20"/>
              </w:rPr>
              <w:t xml:space="preserve">Specify </w:t>
            </w:r>
            <w:r>
              <w:rPr>
                <w:rFonts w:ascii="Arial"/>
                <w:i/>
                <w:sz w:val="26"/>
              </w:rPr>
              <w:t xml:space="preserve">if </w:t>
            </w:r>
            <w:r>
              <w:rPr>
                <w:sz w:val="20"/>
              </w:rPr>
              <w:t>With Perceptual Disturbances</w:t>
            </w:r>
          </w:p>
          <w:p w:rsidR="00E675F0" w:rsidRDefault="00E675F0" w:rsidP="00A330E1">
            <w:pPr>
              <w:pStyle w:val="TableParagraph"/>
              <w:spacing w:line="168" w:lineRule="exact"/>
              <w:ind w:left="103"/>
              <w:rPr>
                <w:sz w:val="20"/>
              </w:rPr>
            </w:pPr>
            <w:r>
              <w:rPr>
                <w:b/>
                <w:w w:val="110"/>
                <w:sz w:val="20"/>
              </w:rPr>
              <w:t xml:space="preserve">Other (or Unknown) Substance Withdrawal </w:t>
            </w:r>
            <w:r>
              <w:rPr>
                <w:w w:val="110"/>
                <w:sz w:val="20"/>
              </w:rPr>
              <w:t>(see p. 184)</w:t>
            </w:r>
          </w:p>
        </w:tc>
      </w:tr>
      <w:tr w:rsidR="00E675F0" w:rsidTr="00A330E1">
        <w:trPr>
          <w:trHeight w:val="502"/>
        </w:trPr>
        <w:tc>
          <w:tcPr>
            <w:tcW w:w="781" w:type="dxa"/>
          </w:tcPr>
          <w:p w:rsidR="00E675F0" w:rsidRDefault="00E675F0" w:rsidP="00A330E1">
            <w:pPr>
              <w:pStyle w:val="TableParagraph"/>
              <w:spacing w:before="6"/>
              <w:rPr>
                <w:rFonts w:ascii="TimesNewRomanPS-BoldItalicMT"/>
                <w:b/>
                <w:i/>
                <w:sz w:val="25"/>
              </w:rPr>
            </w:pPr>
          </w:p>
          <w:p w:rsidR="00E675F0" w:rsidRDefault="00E675F0" w:rsidP="00A330E1">
            <w:pPr>
              <w:pStyle w:val="TableParagraph"/>
              <w:spacing w:before="1" w:line="188" w:lineRule="exact"/>
              <w:ind w:left="50"/>
              <w:rPr>
                <w:b/>
                <w:sz w:val="20"/>
              </w:rPr>
            </w:pPr>
            <w:r>
              <w:rPr>
                <w:b/>
                <w:w w:val="110"/>
                <w:sz w:val="20"/>
              </w:rPr>
              <w:t>292.81</w:t>
            </w:r>
          </w:p>
        </w:tc>
        <w:tc>
          <w:tcPr>
            <w:tcW w:w="6583" w:type="dxa"/>
          </w:tcPr>
          <w:p w:rsidR="00E675F0" w:rsidRDefault="00E675F0" w:rsidP="00A330E1">
            <w:pPr>
              <w:pStyle w:val="TableParagraph"/>
              <w:spacing w:line="293" w:lineRule="exact"/>
              <w:ind w:left="123"/>
              <w:rPr>
                <w:sz w:val="20"/>
              </w:rPr>
            </w:pPr>
            <w:r>
              <w:rPr>
                <w:i/>
                <w:sz w:val="20"/>
              </w:rPr>
              <w:t xml:space="preserve">Specify </w:t>
            </w:r>
            <w:r>
              <w:rPr>
                <w:rFonts w:ascii="Arial"/>
                <w:i/>
                <w:sz w:val="26"/>
              </w:rPr>
              <w:t xml:space="preserve">if </w:t>
            </w:r>
            <w:r>
              <w:rPr>
                <w:sz w:val="20"/>
              </w:rPr>
              <w:t>With Perceptual Disturbances</w:t>
            </w:r>
          </w:p>
          <w:p w:rsidR="00E675F0" w:rsidRDefault="00E675F0" w:rsidP="00A330E1">
            <w:pPr>
              <w:pStyle w:val="TableParagraph"/>
              <w:spacing w:line="189" w:lineRule="exact"/>
              <w:ind w:left="103"/>
              <w:rPr>
                <w:sz w:val="20"/>
              </w:rPr>
            </w:pPr>
            <w:r>
              <w:rPr>
                <w:b/>
                <w:w w:val="110"/>
                <w:sz w:val="20"/>
              </w:rPr>
              <w:t xml:space="preserve">Other (or Unknown) Substance-Induced Delirium </w:t>
            </w:r>
            <w:r>
              <w:rPr>
                <w:w w:val="110"/>
                <w:sz w:val="20"/>
              </w:rPr>
              <w:t>(see p. 129)</w:t>
            </w:r>
          </w:p>
        </w:tc>
      </w:tr>
      <w:tr w:rsidR="00E675F0" w:rsidTr="00A330E1">
        <w:trPr>
          <w:trHeight w:val="242"/>
        </w:trPr>
        <w:tc>
          <w:tcPr>
            <w:tcW w:w="781" w:type="dxa"/>
          </w:tcPr>
          <w:p w:rsidR="00E675F0" w:rsidRDefault="00E675F0" w:rsidP="00A330E1">
            <w:pPr>
              <w:pStyle w:val="TableParagraph"/>
              <w:spacing w:before="32" w:line="190" w:lineRule="exact"/>
              <w:ind w:left="54"/>
              <w:rPr>
                <w:b/>
                <w:sz w:val="20"/>
              </w:rPr>
            </w:pPr>
            <w:r>
              <w:rPr>
                <w:b/>
                <w:w w:val="110"/>
                <w:sz w:val="20"/>
              </w:rPr>
              <w:t>292.82</w:t>
            </w:r>
          </w:p>
        </w:tc>
        <w:tc>
          <w:tcPr>
            <w:tcW w:w="6583" w:type="dxa"/>
          </w:tcPr>
          <w:p w:rsidR="00E675F0" w:rsidRDefault="00E675F0" w:rsidP="00A330E1">
            <w:pPr>
              <w:pStyle w:val="TableParagraph"/>
              <w:spacing w:before="23" w:line="200" w:lineRule="exact"/>
              <w:ind w:left="108"/>
              <w:rPr>
                <w:b/>
                <w:sz w:val="20"/>
              </w:rPr>
            </w:pPr>
            <w:r>
              <w:rPr>
                <w:b/>
                <w:w w:val="110"/>
                <w:sz w:val="20"/>
              </w:rPr>
              <w:t>Other (or Unknown) Substance-Induced Persisting Dementia</w:t>
            </w:r>
          </w:p>
        </w:tc>
      </w:tr>
      <w:tr w:rsidR="00E675F0" w:rsidTr="00A330E1">
        <w:trPr>
          <w:trHeight w:val="240"/>
        </w:trPr>
        <w:tc>
          <w:tcPr>
            <w:tcW w:w="781" w:type="dxa"/>
          </w:tcPr>
          <w:p w:rsidR="00E675F0" w:rsidRDefault="00E675F0" w:rsidP="00A330E1">
            <w:pPr>
              <w:pStyle w:val="TableParagraph"/>
              <w:rPr>
                <w:sz w:val="16"/>
              </w:rPr>
            </w:pPr>
          </w:p>
        </w:tc>
        <w:tc>
          <w:tcPr>
            <w:tcW w:w="6583" w:type="dxa"/>
          </w:tcPr>
          <w:p w:rsidR="00E675F0" w:rsidRDefault="00E675F0" w:rsidP="00A330E1">
            <w:pPr>
              <w:pStyle w:val="TableParagraph"/>
              <w:spacing w:before="25" w:line="195" w:lineRule="exact"/>
              <w:ind w:left="112"/>
              <w:rPr>
                <w:sz w:val="20"/>
              </w:rPr>
            </w:pPr>
            <w:r>
              <w:rPr>
                <w:w w:val="115"/>
                <w:sz w:val="20"/>
              </w:rPr>
              <w:t>(seep. 152)</w:t>
            </w:r>
          </w:p>
        </w:tc>
      </w:tr>
      <w:tr w:rsidR="00E675F0" w:rsidTr="00A330E1">
        <w:trPr>
          <w:trHeight w:val="249"/>
        </w:trPr>
        <w:tc>
          <w:tcPr>
            <w:tcW w:w="781" w:type="dxa"/>
          </w:tcPr>
          <w:p w:rsidR="00E675F0" w:rsidRDefault="00E675F0" w:rsidP="00A330E1">
            <w:pPr>
              <w:pStyle w:val="TableParagraph"/>
              <w:spacing w:before="40" w:line="190" w:lineRule="exact"/>
              <w:ind w:left="54"/>
              <w:rPr>
                <w:b/>
                <w:sz w:val="20"/>
              </w:rPr>
            </w:pPr>
            <w:r>
              <w:rPr>
                <w:b/>
                <w:w w:val="110"/>
                <w:sz w:val="20"/>
              </w:rPr>
              <w:t>292.83</w:t>
            </w:r>
          </w:p>
        </w:tc>
        <w:tc>
          <w:tcPr>
            <w:tcW w:w="6583" w:type="dxa"/>
          </w:tcPr>
          <w:p w:rsidR="00E675F0" w:rsidRDefault="00E675F0" w:rsidP="00A330E1">
            <w:pPr>
              <w:pStyle w:val="TableParagraph"/>
              <w:spacing w:before="30" w:line="200" w:lineRule="exact"/>
              <w:ind w:left="103"/>
              <w:rPr>
                <w:b/>
                <w:sz w:val="20"/>
              </w:rPr>
            </w:pPr>
            <w:r>
              <w:rPr>
                <w:b/>
                <w:w w:val="110"/>
                <w:sz w:val="20"/>
              </w:rPr>
              <w:t>Other (or Unknown) Substance-Induced Persisting Amnestic</w:t>
            </w:r>
          </w:p>
        </w:tc>
      </w:tr>
      <w:tr w:rsidR="00E675F0" w:rsidTr="00A330E1">
        <w:trPr>
          <w:trHeight w:val="240"/>
        </w:trPr>
        <w:tc>
          <w:tcPr>
            <w:tcW w:w="781" w:type="dxa"/>
          </w:tcPr>
          <w:p w:rsidR="00E675F0" w:rsidRDefault="00E675F0" w:rsidP="00A330E1">
            <w:pPr>
              <w:pStyle w:val="TableParagraph"/>
              <w:rPr>
                <w:sz w:val="16"/>
              </w:rPr>
            </w:pPr>
          </w:p>
        </w:tc>
        <w:tc>
          <w:tcPr>
            <w:tcW w:w="6583" w:type="dxa"/>
          </w:tcPr>
          <w:p w:rsidR="00E675F0" w:rsidRDefault="00E675F0" w:rsidP="00A330E1">
            <w:pPr>
              <w:pStyle w:val="TableParagraph"/>
              <w:spacing w:before="25" w:line="195" w:lineRule="exact"/>
              <w:ind w:left="113"/>
              <w:rPr>
                <w:sz w:val="20"/>
              </w:rPr>
            </w:pPr>
            <w:r>
              <w:rPr>
                <w:b/>
                <w:w w:val="110"/>
                <w:sz w:val="20"/>
              </w:rPr>
              <w:t xml:space="preserve">Disorder </w:t>
            </w:r>
            <w:r>
              <w:rPr>
                <w:w w:val="110"/>
                <w:sz w:val="20"/>
              </w:rPr>
              <w:t>(see p. 161)</w:t>
            </w:r>
          </w:p>
        </w:tc>
      </w:tr>
      <w:tr w:rsidR="00E675F0" w:rsidTr="00A330E1">
        <w:trPr>
          <w:trHeight w:val="498"/>
        </w:trPr>
        <w:tc>
          <w:tcPr>
            <w:tcW w:w="781" w:type="dxa"/>
          </w:tcPr>
          <w:p w:rsidR="00E675F0" w:rsidRDefault="00E675F0" w:rsidP="00A330E1">
            <w:pPr>
              <w:pStyle w:val="TableParagraph"/>
              <w:spacing w:before="40"/>
              <w:ind w:left="50"/>
              <w:rPr>
                <w:b/>
                <w:sz w:val="20"/>
              </w:rPr>
            </w:pPr>
            <w:r>
              <w:rPr>
                <w:b/>
                <w:w w:val="110"/>
                <w:sz w:val="20"/>
              </w:rPr>
              <w:t>292.11</w:t>
            </w:r>
          </w:p>
        </w:tc>
        <w:tc>
          <w:tcPr>
            <w:tcW w:w="6583" w:type="dxa"/>
          </w:tcPr>
          <w:p w:rsidR="00E675F0" w:rsidRDefault="00E675F0" w:rsidP="00A330E1">
            <w:pPr>
              <w:pStyle w:val="TableParagraph"/>
              <w:spacing w:before="30" w:line="209" w:lineRule="exact"/>
              <w:ind w:left="108"/>
              <w:rPr>
                <w:b/>
                <w:sz w:val="20"/>
              </w:rPr>
            </w:pPr>
            <w:r>
              <w:rPr>
                <w:b/>
                <w:w w:val="110"/>
                <w:sz w:val="20"/>
              </w:rPr>
              <w:t>Other (or Unknown) Substance-Induced Psychotic Disorder,</w:t>
            </w:r>
          </w:p>
          <w:p w:rsidR="00E675F0" w:rsidRDefault="00E675F0" w:rsidP="00A330E1">
            <w:pPr>
              <w:pStyle w:val="TableParagraph"/>
              <w:spacing w:line="239" w:lineRule="exact"/>
              <w:ind w:left="104"/>
              <w:rPr>
                <w:sz w:val="20"/>
              </w:rPr>
            </w:pPr>
            <w:r>
              <w:rPr>
                <w:b/>
                <w:w w:val="105"/>
                <w:sz w:val="20"/>
              </w:rPr>
              <w:t xml:space="preserve">With Delusions </w:t>
            </w:r>
            <w:r>
              <w:rPr>
                <w:w w:val="105"/>
                <w:sz w:val="20"/>
              </w:rPr>
              <w:t xml:space="preserve">(seep. 310) </w:t>
            </w:r>
            <w:r>
              <w:rPr>
                <w:i/>
                <w:w w:val="105"/>
                <w:sz w:val="20"/>
              </w:rPr>
              <w:t xml:space="preserve">Specify </w:t>
            </w:r>
            <w:r>
              <w:rPr>
                <w:rFonts w:ascii="Arial"/>
                <w:i/>
                <w:w w:val="105"/>
                <w:sz w:val="26"/>
              </w:rPr>
              <w:t xml:space="preserve">if </w:t>
            </w:r>
            <w:r>
              <w:rPr>
                <w:w w:val="105"/>
                <w:sz w:val="20"/>
              </w:rPr>
              <w:t>With Onset During Intoxication/</w:t>
            </w:r>
          </w:p>
        </w:tc>
      </w:tr>
      <w:tr w:rsidR="00E675F0" w:rsidTr="00A330E1">
        <w:trPr>
          <w:trHeight w:val="239"/>
        </w:trPr>
        <w:tc>
          <w:tcPr>
            <w:tcW w:w="781" w:type="dxa"/>
          </w:tcPr>
          <w:p w:rsidR="00E675F0" w:rsidRDefault="00E675F0" w:rsidP="00A330E1">
            <w:pPr>
              <w:pStyle w:val="TableParagraph"/>
              <w:rPr>
                <w:sz w:val="16"/>
              </w:rPr>
            </w:pPr>
          </w:p>
        </w:tc>
        <w:tc>
          <w:tcPr>
            <w:tcW w:w="6583" w:type="dxa"/>
          </w:tcPr>
          <w:p w:rsidR="00E675F0" w:rsidRDefault="00E675F0" w:rsidP="00A330E1">
            <w:pPr>
              <w:pStyle w:val="TableParagraph"/>
              <w:spacing w:before="26" w:line="192" w:lineRule="exact"/>
              <w:ind w:left="108"/>
              <w:rPr>
                <w:sz w:val="20"/>
              </w:rPr>
            </w:pPr>
            <w:r>
              <w:rPr>
                <w:w w:val="105"/>
                <w:sz w:val="20"/>
              </w:rPr>
              <w:t>With Onset During Withdrawal</w:t>
            </w:r>
          </w:p>
        </w:tc>
      </w:tr>
      <w:tr w:rsidR="00E675F0" w:rsidTr="00A330E1">
        <w:trPr>
          <w:trHeight w:val="252"/>
        </w:trPr>
        <w:tc>
          <w:tcPr>
            <w:tcW w:w="781" w:type="dxa"/>
          </w:tcPr>
          <w:p w:rsidR="00E675F0" w:rsidRDefault="00E675F0" w:rsidP="00A330E1">
            <w:pPr>
              <w:pStyle w:val="TableParagraph"/>
              <w:spacing w:before="42" w:line="190" w:lineRule="exact"/>
              <w:ind w:left="54"/>
              <w:rPr>
                <w:b/>
                <w:sz w:val="20"/>
              </w:rPr>
            </w:pPr>
            <w:r>
              <w:rPr>
                <w:b/>
                <w:w w:val="110"/>
                <w:sz w:val="20"/>
              </w:rPr>
              <w:t>292.12</w:t>
            </w:r>
          </w:p>
        </w:tc>
        <w:tc>
          <w:tcPr>
            <w:tcW w:w="6583" w:type="dxa"/>
          </w:tcPr>
          <w:p w:rsidR="00E675F0" w:rsidRDefault="00E675F0" w:rsidP="00A330E1">
            <w:pPr>
              <w:pStyle w:val="TableParagraph"/>
              <w:spacing w:before="28" w:line="204" w:lineRule="exact"/>
              <w:ind w:left="108"/>
              <w:rPr>
                <w:b/>
                <w:sz w:val="20"/>
              </w:rPr>
            </w:pPr>
            <w:r>
              <w:rPr>
                <w:b/>
                <w:w w:val="110"/>
                <w:sz w:val="20"/>
              </w:rPr>
              <w:t>Other (or Unknown) Substance-Induced Psychotic Disorder,</w:t>
            </w:r>
          </w:p>
        </w:tc>
      </w:tr>
      <w:tr w:rsidR="00E675F0" w:rsidTr="00A330E1">
        <w:trPr>
          <w:trHeight w:val="489"/>
        </w:trPr>
        <w:tc>
          <w:tcPr>
            <w:tcW w:w="781" w:type="dxa"/>
          </w:tcPr>
          <w:p w:rsidR="00E675F0" w:rsidRDefault="00E675F0" w:rsidP="00A330E1">
            <w:pPr>
              <w:pStyle w:val="TableParagraph"/>
              <w:rPr>
                <w:sz w:val="20"/>
              </w:rPr>
            </w:pPr>
          </w:p>
        </w:tc>
        <w:tc>
          <w:tcPr>
            <w:tcW w:w="6583" w:type="dxa"/>
          </w:tcPr>
          <w:p w:rsidR="00E675F0" w:rsidRDefault="00E675F0" w:rsidP="00A330E1">
            <w:pPr>
              <w:pStyle w:val="TableParagraph"/>
              <w:spacing w:before="25" w:line="209" w:lineRule="exact"/>
              <w:ind w:left="104"/>
              <w:rPr>
                <w:sz w:val="20"/>
              </w:rPr>
            </w:pPr>
            <w:r>
              <w:rPr>
                <w:b/>
                <w:w w:val="115"/>
                <w:sz w:val="20"/>
              </w:rPr>
              <w:t xml:space="preserve">With Hallucinations </w:t>
            </w:r>
            <w:r>
              <w:rPr>
                <w:w w:val="115"/>
                <w:sz w:val="20"/>
              </w:rPr>
              <w:t>(seep. 310)</w:t>
            </w:r>
          </w:p>
          <w:p w:rsidR="00E675F0" w:rsidRDefault="00E675F0" w:rsidP="00A330E1">
            <w:pPr>
              <w:pStyle w:val="TableParagraph"/>
              <w:spacing w:line="235" w:lineRule="exact"/>
              <w:ind w:left="128"/>
              <w:rPr>
                <w:sz w:val="20"/>
              </w:rPr>
            </w:pPr>
            <w:r>
              <w:rPr>
                <w:i/>
                <w:w w:val="105"/>
                <w:sz w:val="20"/>
              </w:rPr>
              <w:t xml:space="preserve">Specify </w:t>
            </w:r>
            <w:r>
              <w:rPr>
                <w:rFonts w:ascii="Arial"/>
                <w:i/>
                <w:w w:val="105"/>
                <w:sz w:val="26"/>
              </w:rPr>
              <w:t xml:space="preserve">if </w:t>
            </w:r>
            <w:r>
              <w:rPr>
                <w:w w:val="105"/>
                <w:sz w:val="20"/>
              </w:rPr>
              <w:t>With Onset During Intoxication/With Onset During Withdrawal</w:t>
            </w:r>
          </w:p>
        </w:tc>
      </w:tr>
      <w:tr w:rsidR="00E675F0" w:rsidTr="00A330E1">
        <w:trPr>
          <w:trHeight w:val="229"/>
        </w:trPr>
        <w:tc>
          <w:tcPr>
            <w:tcW w:w="781" w:type="dxa"/>
          </w:tcPr>
          <w:p w:rsidR="00E675F0" w:rsidRDefault="00E675F0" w:rsidP="00A330E1">
            <w:pPr>
              <w:pStyle w:val="TableParagraph"/>
              <w:spacing w:before="26" w:line="183" w:lineRule="exact"/>
              <w:ind w:left="59"/>
              <w:rPr>
                <w:b/>
                <w:sz w:val="20"/>
              </w:rPr>
            </w:pPr>
            <w:r>
              <w:rPr>
                <w:b/>
                <w:w w:val="110"/>
                <w:sz w:val="20"/>
              </w:rPr>
              <w:t>292.84</w:t>
            </w:r>
          </w:p>
        </w:tc>
        <w:tc>
          <w:tcPr>
            <w:tcW w:w="6583" w:type="dxa"/>
          </w:tcPr>
          <w:p w:rsidR="00E675F0" w:rsidRDefault="00E675F0" w:rsidP="00A330E1">
            <w:pPr>
              <w:pStyle w:val="TableParagraph"/>
              <w:spacing w:before="22" w:line="188" w:lineRule="exact"/>
              <w:ind w:left="112"/>
              <w:rPr>
                <w:sz w:val="20"/>
              </w:rPr>
            </w:pPr>
            <w:r>
              <w:rPr>
                <w:b/>
                <w:w w:val="110"/>
                <w:sz w:val="20"/>
              </w:rPr>
              <w:t xml:space="preserve">Other (or Unknown) Substance-Induced Mood Disorder </w:t>
            </w:r>
            <w:r>
              <w:rPr>
                <w:w w:val="110"/>
                <w:sz w:val="20"/>
              </w:rPr>
              <w:t>(see p. 370)</w:t>
            </w:r>
          </w:p>
        </w:tc>
      </w:tr>
    </w:tbl>
    <w:p w:rsidR="00E675F0" w:rsidRDefault="00E675F0" w:rsidP="00E675F0">
      <w:pPr>
        <w:pStyle w:val="BodyText"/>
        <w:ind w:left="1085"/>
      </w:pPr>
      <w:r>
        <w:rPr>
          <w:i/>
          <w:w w:val="105"/>
        </w:rPr>
        <w:t xml:space="preserve">Specify </w:t>
      </w:r>
      <w:r>
        <w:rPr>
          <w:rFonts w:ascii="Arial"/>
          <w:i/>
          <w:w w:val="105"/>
          <w:sz w:val="26"/>
        </w:rPr>
        <w:t xml:space="preserve">if </w:t>
      </w:r>
      <w:r>
        <w:rPr>
          <w:w w:val="105"/>
        </w:rPr>
        <w:t>With Onset During Intoxication/With Onset During Withdrawal</w:t>
      </w:r>
    </w:p>
    <w:p w:rsidR="00E675F0" w:rsidRDefault="00E675F0" w:rsidP="00E675F0">
      <w:pPr>
        <w:sectPr w:rsidR="00E675F0">
          <w:pgSz w:w="8960" w:h="14260"/>
          <w:pgMar w:top="1400" w:right="640" w:bottom="280" w:left="600" w:header="691" w:footer="0" w:gutter="0"/>
          <w:cols w:space="720"/>
        </w:sectPr>
      </w:pPr>
    </w:p>
    <w:p w:rsidR="00E675F0" w:rsidRDefault="00E675F0" w:rsidP="00E675F0">
      <w:pPr>
        <w:pStyle w:val="BodyText"/>
        <w:spacing w:before="2"/>
        <w:rPr>
          <w:sz w:val="17"/>
        </w:rPr>
      </w:pPr>
    </w:p>
    <w:tbl>
      <w:tblPr>
        <w:tblW w:w="0" w:type="auto"/>
        <w:tblInd w:w="113" w:type="dxa"/>
        <w:tblLayout w:type="fixed"/>
        <w:tblCellMar>
          <w:left w:w="0" w:type="dxa"/>
          <w:right w:w="0" w:type="dxa"/>
        </w:tblCellMar>
        <w:tblLook w:val="01E0" w:firstRow="1" w:lastRow="1" w:firstColumn="1" w:lastColumn="1" w:noHBand="0" w:noVBand="0"/>
      </w:tblPr>
      <w:tblGrid>
        <w:gridCol w:w="773"/>
        <w:gridCol w:w="6772"/>
      </w:tblGrid>
      <w:tr w:rsidR="00E675F0" w:rsidTr="00A330E1">
        <w:trPr>
          <w:trHeight w:val="482"/>
        </w:trPr>
        <w:tc>
          <w:tcPr>
            <w:tcW w:w="773" w:type="dxa"/>
          </w:tcPr>
          <w:p w:rsidR="00E675F0" w:rsidRDefault="00E675F0" w:rsidP="00A330E1">
            <w:pPr>
              <w:pStyle w:val="TableParagraph"/>
              <w:spacing w:line="222" w:lineRule="exact"/>
              <w:ind w:left="50"/>
              <w:rPr>
                <w:b/>
                <w:sz w:val="20"/>
              </w:rPr>
            </w:pPr>
            <w:bookmarkStart w:id="179" w:name="_bookmark159"/>
            <w:bookmarkEnd w:id="179"/>
            <w:r>
              <w:rPr>
                <w:b/>
                <w:w w:val="110"/>
                <w:sz w:val="20"/>
              </w:rPr>
              <w:t>292.89</w:t>
            </w:r>
          </w:p>
        </w:tc>
        <w:tc>
          <w:tcPr>
            <w:tcW w:w="6772" w:type="dxa"/>
          </w:tcPr>
          <w:p w:rsidR="00E675F0" w:rsidRDefault="00E675F0" w:rsidP="00A330E1">
            <w:pPr>
              <w:pStyle w:val="TableParagraph"/>
              <w:spacing w:line="210" w:lineRule="exact"/>
              <w:ind w:left="110"/>
              <w:rPr>
                <w:sz w:val="20"/>
              </w:rPr>
            </w:pPr>
            <w:r>
              <w:rPr>
                <w:b/>
                <w:w w:val="110"/>
                <w:sz w:val="20"/>
              </w:rPr>
              <w:t xml:space="preserve">Other (or Unknown) Substance-Induced Anxiety Disorder </w:t>
            </w:r>
            <w:r>
              <w:rPr>
                <w:w w:val="110"/>
                <w:sz w:val="20"/>
              </w:rPr>
              <w:t>(see p. 439)</w:t>
            </w:r>
          </w:p>
          <w:p w:rsidR="00E675F0" w:rsidRDefault="00E675F0" w:rsidP="00A330E1">
            <w:pPr>
              <w:pStyle w:val="TableParagraph"/>
              <w:spacing w:line="252" w:lineRule="exact"/>
              <w:ind w:left="131"/>
              <w:rPr>
                <w:sz w:val="20"/>
              </w:rPr>
            </w:pPr>
            <w:r>
              <w:rPr>
                <w:i/>
                <w:w w:val="105"/>
                <w:sz w:val="20"/>
              </w:rPr>
              <w:t xml:space="preserve">Specify </w:t>
            </w:r>
            <w:r>
              <w:rPr>
                <w:rFonts w:ascii="Arial"/>
                <w:i/>
                <w:w w:val="105"/>
                <w:sz w:val="24"/>
              </w:rPr>
              <w:t xml:space="preserve">if </w:t>
            </w:r>
            <w:r>
              <w:rPr>
                <w:w w:val="105"/>
                <w:sz w:val="20"/>
              </w:rPr>
              <w:t>With Onset During Intoxication/With Onset During Withdrawal</w:t>
            </w:r>
          </w:p>
        </w:tc>
      </w:tr>
      <w:tr w:rsidR="00E675F0" w:rsidTr="00A330E1">
        <w:trPr>
          <w:trHeight w:val="490"/>
        </w:trPr>
        <w:tc>
          <w:tcPr>
            <w:tcW w:w="773" w:type="dxa"/>
          </w:tcPr>
          <w:p w:rsidR="00E675F0" w:rsidRDefault="00E675F0" w:rsidP="00A330E1">
            <w:pPr>
              <w:pStyle w:val="TableParagraph"/>
              <w:spacing w:line="230" w:lineRule="exact"/>
              <w:ind w:left="50"/>
              <w:rPr>
                <w:b/>
                <w:sz w:val="20"/>
              </w:rPr>
            </w:pPr>
            <w:r>
              <w:rPr>
                <w:b/>
                <w:w w:val="110"/>
                <w:sz w:val="20"/>
              </w:rPr>
              <w:t>292.89</w:t>
            </w:r>
          </w:p>
        </w:tc>
        <w:tc>
          <w:tcPr>
            <w:tcW w:w="6772" w:type="dxa"/>
          </w:tcPr>
          <w:p w:rsidR="00E675F0" w:rsidRDefault="00E675F0" w:rsidP="00A330E1">
            <w:pPr>
              <w:pStyle w:val="TableParagraph"/>
              <w:spacing w:line="218" w:lineRule="exact"/>
              <w:ind w:left="110"/>
              <w:rPr>
                <w:b/>
                <w:sz w:val="20"/>
              </w:rPr>
            </w:pPr>
            <w:r>
              <w:rPr>
                <w:b/>
                <w:w w:val="110"/>
                <w:sz w:val="20"/>
              </w:rPr>
              <w:t>Other (or Unknown) Substance-Induced Sexual Dysfunction</w:t>
            </w:r>
          </w:p>
          <w:p w:rsidR="00E675F0" w:rsidRDefault="00E675F0" w:rsidP="00A330E1">
            <w:pPr>
              <w:pStyle w:val="TableParagraph"/>
              <w:spacing w:line="252" w:lineRule="exact"/>
              <w:ind w:left="115"/>
              <w:rPr>
                <w:sz w:val="20"/>
              </w:rPr>
            </w:pPr>
            <w:r>
              <w:rPr>
                <w:w w:val="105"/>
                <w:sz w:val="20"/>
              </w:rPr>
              <w:t xml:space="preserve">(seep. 519) </w:t>
            </w:r>
            <w:r>
              <w:rPr>
                <w:i/>
                <w:w w:val="105"/>
                <w:sz w:val="20"/>
              </w:rPr>
              <w:t xml:space="preserve">Specify </w:t>
            </w:r>
            <w:r>
              <w:rPr>
                <w:rFonts w:ascii="Arial"/>
                <w:i/>
                <w:w w:val="105"/>
                <w:sz w:val="24"/>
              </w:rPr>
              <w:t xml:space="preserve">if </w:t>
            </w:r>
            <w:r>
              <w:rPr>
                <w:w w:val="105"/>
                <w:sz w:val="20"/>
              </w:rPr>
              <w:t>With Onset During Intoxication</w:t>
            </w:r>
          </w:p>
        </w:tc>
      </w:tr>
      <w:tr w:rsidR="00E675F0" w:rsidTr="00A330E1">
        <w:trPr>
          <w:trHeight w:val="612"/>
        </w:trPr>
        <w:tc>
          <w:tcPr>
            <w:tcW w:w="773" w:type="dxa"/>
          </w:tcPr>
          <w:p w:rsidR="00E675F0" w:rsidRDefault="00E675F0" w:rsidP="00A330E1">
            <w:pPr>
              <w:pStyle w:val="TableParagraph"/>
              <w:spacing w:line="230" w:lineRule="exact"/>
              <w:ind w:left="50"/>
              <w:rPr>
                <w:b/>
                <w:sz w:val="20"/>
              </w:rPr>
            </w:pPr>
            <w:r>
              <w:rPr>
                <w:b/>
                <w:w w:val="110"/>
                <w:sz w:val="20"/>
              </w:rPr>
              <w:t>292.89</w:t>
            </w:r>
          </w:p>
        </w:tc>
        <w:tc>
          <w:tcPr>
            <w:tcW w:w="6772" w:type="dxa"/>
          </w:tcPr>
          <w:p w:rsidR="00E675F0" w:rsidRDefault="00E675F0" w:rsidP="00A330E1">
            <w:pPr>
              <w:pStyle w:val="TableParagraph"/>
              <w:spacing w:line="218" w:lineRule="exact"/>
              <w:ind w:left="110"/>
              <w:rPr>
                <w:sz w:val="20"/>
              </w:rPr>
            </w:pPr>
            <w:r>
              <w:rPr>
                <w:b/>
                <w:w w:val="110"/>
                <w:sz w:val="20"/>
              </w:rPr>
              <w:t xml:space="preserve">Other (or Unknown) Substance-Induced Sleep Disorder </w:t>
            </w:r>
            <w:r>
              <w:rPr>
                <w:w w:val="110"/>
                <w:sz w:val="20"/>
              </w:rPr>
              <w:t>(see p. 601)</w:t>
            </w:r>
          </w:p>
          <w:p w:rsidR="00E675F0" w:rsidRDefault="00E675F0" w:rsidP="00A330E1">
            <w:pPr>
              <w:pStyle w:val="TableParagraph"/>
              <w:spacing w:line="264" w:lineRule="exact"/>
              <w:ind w:left="131"/>
              <w:rPr>
                <w:sz w:val="20"/>
              </w:rPr>
            </w:pPr>
            <w:r>
              <w:rPr>
                <w:i/>
                <w:w w:val="105"/>
                <w:sz w:val="20"/>
              </w:rPr>
              <w:t xml:space="preserve">Specify </w:t>
            </w:r>
            <w:r>
              <w:rPr>
                <w:rFonts w:ascii="Arial"/>
                <w:i/>
                <w:w w:val="105"/>
                <w:sz w:val="24"/>
              </w:rPr>
              <w:t xml:space="preserve">if </w:t>
            </w:r>
            <w:r>
              <w:rPr>
                <w:w w:val="105"/>
                <w:sz w:val="20"/>
              </w:rPr>
              <w:t>With Onset During Intoxication/With Onset During Withdrawal</w:t>
            </w:r>
          </w:p>
        </w:tc>
      </w:tr>
      <w:tr w:rsidR="00E675F0" w:rsidTr="00A330E1">
        <w:trPr>
          <w:trHeight w:val="363"/>
        </w:trPr>
        <w:tc>
          <w:tcPr>
            <w:tcW w:w="773" w:type="dxa"/>
          </w:tcPr>
          <w:p w:rsidR="00E675F0" w:rsidRDefault="00E675F0" w:rsidP="00A330E1">
            <w:pPr>
              <w:pStyle w:val="TableParagraph"/>
              <w:spacing w:before="122" w:line="222" w:lineRule="exact"/>
              <w:ind w:left="50"/>
              <w:rPr>
                <w:b/>
                <w:sz w:val="20"/>
              </w:rPr>
            </w:pPr>
            <w:r>
              <w:rPr>
                <w:b/>
                <w:w w:val="110"/>
                <w:sz w:val="20"/>
              </w:rPr>
              <w:t>292.9</w:t>
            </w:r>
          </w:p>
        </w:tc>
        <w:tc>
          <w:tcPr>
            <w:tcW w:w="6772" w:type="dxa"/>
          </w:tcPr>
          <w:p w:rsidR="00E675F0" w:rsidRDefault="00E675F0" w:rsidP="00A330E1">
            <w:pPr>
              <w:pStyle w:val="TableParagraph"/>
              <w:spacing w:before="122" w:line="222" w:lineRule="exact"/>
              <w:ind w:left="110"/>
              <w:rPr>
                <w:b/>
                <w:sz w:val="20"/>
              </w:rPr>
            </w:pPr>
            <w:r>
              <w:rPr>
                <w:b/>
                <w:w w:val="110"/>
                <w:sz w:val="20"/>
              </w:rPr>
              <w:t>Other (or Unknown) Substance-Related Disorder</w:t>
            </w:r>
          </w:p>
        </w:tc>
      </w:tr>
      <w:tr w:rsidR="00E675F0" w:rsidTr="00A330E1">
        <w:trPr>
          <w:trHeight w:val="233"/>
        </w:trPr>
        <w:tc>
          <w:tcPr>
            <w:tcW w:w="773" w:type="dxa"/>
          </w:tcPr>
          <w:p w:rsidR="00E675F0" w:rsidRDefault="00E675F0" w:rsidP="00A330E1">
            <w:pPr>
              <w:pStyle w:val="TableParagraph"/>
              <w:rPr>
                <w:sz w:val="16"/>
              </w:rPr>
            </w:pPr>
          </w:p>
        </w:tc>
        <w:tc>
          <w:tcPr>
            <w:tcW w:w="6772" w:type="dxa"/>
          </w:tcPr>
          <w:p w:rsidR="00E675F0" w:rsidRDefault="00E675F0" w:rsidP="00A330E1">
            <w:pPr>
              <w:pStyle w:val="TableParagraph"/>
              <w:spacing w:before="3" w:line="210" w:lineRule="exact"/>
              <w:ind w:left="115"/>
              <w:rPr>
                <w:b/>
                <w:sz w:val="20"/>
              </w:rPr>
            </w:pPr>
            <w:r>
              <w:rPr>
                <w:b/>
                <w:w w:val="110"/>
                <w:sz w:val="20"/>
              </w:rPr>
              <w:t>Not Otherwise Specified</w:t>
            </w:r>
          </w:p>
        </w:tc>
      </w:tr>
    </w:tbl>
    <w:p w:rsidR="00E675F0" w:rsidRDefault="00E675F0" w:rsidP="00E675F0">
      <w:pPr>
        <w:spacing w:line="210" w:lineRule="exact"/>
        <w:rPr>
          <w:sz w:val="20"/>
        </w:rPr>
        <w:sectPr w:rsidR="00E675F0">
          <w:headerReference w:type="even" r:id="rId207"/>
          <w:pgSz w:w="8960" w:h="14260"/>
          <w:pgMar w:top="1320" w:right="620" w:bottom="280" w:left="580" w:header="691" w:footer="0" w:gutter="0"/>
          <w:pgNumType w:start="272"/>
          <w:cols w:space="720"/>
        </w:sectPr>
      </w:pPr>
    </w:p>
    <w:p w:rsidR="00E675F0" w:rsidRDefault="00E675F0" w:rsidP="00E675F0">
      <w:pPr>
        <w:pStyle w:val="BodyText"/>
      </w:pPr>
    </w:p>
    <w:p w:rsidR="00E675F0" w:rsidRDefault="00E675F0" w:rsidP="00E675F0">
      <w:pPr>
        <w:pStyle w:val="BodyText"/>
      </w:pPr>
    </w:p>
    <w:bookmarkStart w:id="180" w:name="Schizophrenia_and_Other_Psychotic_Disord"/>
    <w:bookmarkStart w:id="181" w:name="_bookmark160"/>
    <w:bookmarkEnd w:id="180"/>
    <w:bookmarkEnd w:id="181"/>
    <w:p w:rsidR="00E675F0" w:rsidRDefault="00E675F0" w:rsidP="00E675F0">
      <w:pPr>
        <w:pStyle w:val="Heading2"/>
        <w:spacing w:before="194" w:line="264" w:lineRule="auto"/>
        <w:ind w:firstLine="968"/>
      </w:pPr>
      <w:r>
        <w:fldChar w:fldCharType="begin"/>
      </w:r>
      <w:r>
        <w:instrText xml:space="preserve"> HYPERLINK \l "_bookmark0" </w:instrText>
      </w:r>
      <w:r>
        <w:fldChar w:fldCharType="separate"/>
      </w:r>
      <w:r>
        <w:rPr>
          <w:w w:val="105"/>
        </w:rPr>
        <w:t>Schizophrenia and Other Psychotic Disorders</w:t>
      </w:r>
      <w:r>
        <w:rPr>
          <w:w w:val="105"/>
        </w:rPr>
        <w:fldChar w:fldCharType="end"/>
      </w:r>
    </w:p>
    <w:p w:rsidR="00E675F0" w:rsidRDefault="00E675F0" w:rsidP="00E675F0">
      <w:pPr>
        <w:pStyle w:val="BodyText"/>
        <w:rPr>
          <w:b/>
        </w:rPr>
      </w:pPr>
    </w:p>
    <w:p w:rsidR="00E675F0" w:rsidRDefault="00E675F0" w:rsidP="00E675F0">
      <w:pPr>
        <w:pStyle w:val="BodyText"/>
        <w:rPr>
          <w:b/>
        </w:rPr>
      </w:pPr>
    </w:p>
    <w:p w:rsidR="00E675F0" w:rsidRDefault="00E675F0" w:rsidP="00E675F0">
      <w:pPr>
        <w:pStyle w:val="BodyText"/>
        <w:rPr>
          <w:b/>
        </w:rPr>
      </w:pPr>
    </w:p>
    <w:p w:rsidR="00E675F0" w:rsidRDefault="00E675F0" w:rsidP="00E675F0">
      <w:pPr>
        <w:pStyle w:val="BodyText"/>
        <w:rPr>
          <w:b/>
        </w:rPr>
      </w:pPr>
    </w:p>
    <w:p w:rsidR="00E675F0" w:rsidRDefault="00E675F0" w:rsidP="00E675F0">
      <w:pPr>
        <w:pStyle w:val="BodyText"/>
        <w:rPr>
          <w:b/>
        </w:rPr>
      </w:pPr>
    </w:p>
    <w:p w:rsidR="00E675F0" w:rsidRDefault="00E675F0" w:rsidP="00E675F0">
      <w:pPr>
        <w:pStyle w:val="BodyText"/>
        <w:spacing w:before="1"/>
        <w:rPr>
          <w:b/>
          <w:sz w:val="28"/>
        </w:rPr>
      </w:pPr>
    </w:p>
    <w:p w:rsidR="00E675F0" w:rsidRDefault="00E675F0" w:rsidP="00E675F0">
      <w:pPr>
        <w:pStyle w:val="BodyText"/>
        <w:spacing w:before="92" w:line="254" w:lineRule="auto"/>
        <w:ind w:left="165" w:right="125" w:firstLine="460"/>
        <w:jc w:val="right"/>
      </w:pPr>
      <w:r>
        <w:rPr>
          <w:noProof/>
        </w:rPr>
        <mc:AlternateContent>
          <mc:Choice Requires="wps">
            <w:drawing>
              <wp:anchor distT="0" distB="0" distL="114300" distR="114300" simplePos="0" relativeHeight="251812864" behindDoc="1" locked="0" layoutInCell="1" allowOverlap="1" wp14:anchorId="4014C7EC" wp14:editId="78468292">
                <wp:simplePos x="0" y="0"/>
                <wp:positionH relativeFrom="page">
                  <wp:posOffset>474980</wp:posOffset>
                </wp:positionH>
                <wp:positionV relativeFrom="paragraph">
                  <wp:posOffset>-73025</wp:posOffset>
                </wp:positionV>
                <wp:extent cx="287655" cy="504825"/>
                <wp:effectExtent l="0" t="0" r="0" b="0"/>
                <wp:wrapNone/>
                <wp:docPr id="1282" name="Text Box 1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7655"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5F0" w:rsidRDefault="00E675F0" w:rsidP="00E675F0">
                            <w:pPr>
                              <w:spacing w:line="794" w:lineRule="exact"/>
                              <w:rPr>
                                <w:rFonts w:ascii="Arial"/>
                                <w:sz w:val="71"/>
                              </w:rPr>
                            </w:pPr>
                            <w:r>
                              <w:rPr>
                                <w:rFonts w:ascii="Arial"/>
                                <w:w w:val="104"/>
                                <w:sz w:val="71"/>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14C7EC" id="Text Box 1238" o:spid="_x0000_s1141" type="#_x0000_t202" style="position:absolute;left:0;text-align:left;margin-left:37.4pt;margin-top:-5.75pt;width:22.65pt;height:39.75pt;z-index:-251503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" filled="f" stroked="f">
                <v:path arrowok="t"/>
                <v:textbox inset="0,0,0,0">
                  <w:txbxContent>
                    <w:p w:rsidR="00E675F0" w:rsidRDefault="00E675F0" w:rsidP="00E675F0">
                      <w:pPr>
                        <w:spacing w:line="794" w:lineRule="exact"/>
                        <w:rPr>
                          <w:rFonts w:ascii="Arial"/>
                          <w:sz w:val="71"/>
                        </w:rPr>
                      </w:pPr>
                      <w:r>
                        <w:rPr>
                          <w:rFonts w:ascii="Arial"/>
                          <w:w w:val="104"/>
                          <w:sz w:val="71"/>
                        </w:rPr>
                        <w:t>T</w:t>
                      </w:r>
                    </w:p>
                  </w:txbxContent>
                </v:textbox>
                <w10:wrap anchorx="page"/>
              </v:shape>
            </w:pict>
          </mc:Fallback>
        </mc:AlternateContent>
      </w:r>
      <w:r>
        <w:rPr>
          <w:w w:val="105"/>
        </w:rPr>
        <w:t>he disorders included in this section are all characterized by having psychotic</w:t>
      </w:r>
      <w:r>
        <w:rPr>
          <w:w w:val="103"/>
        </w:rPr>
        <w:t xml:space="preserve"> </w:t>
      </w:r>
      <w:r>
        <w:rPr>
          <w:w w:val="105"/>
        </w:rPr>
        <w:t>symptoms as the defining feature. Other disorders that may present with psychotic</w:t>
      </w:r>
      <w:r>
        <w:rPr>
          <w:w w:val="103"/>
        </w:rPr>
        <w:t xml:space="preserve"> </w:t>
      </w:r>
      <w:r>
        <w:rPr>
          <w:w w:val="105"/>
        </w:rPr>
        <w:t>symptoms (but not as defining features) are included elsewhere in the manual (e.g., Dementia of the Alzheimer's Type and Substance-Induced Delirium in the "Delirium,</w:t>
      </w:r>
      <w:r>
        <w:rPr>
          <w:w w:val="101"/>
        </w:rPr>
        <w:t xml:space="preserve"> </w:t>
      </w:r>
      <w:r>
        <w:rPr>
          <w:w w:val="105"/>
        </w:rPr>
        <w:t>Dementia, and Amnestic and Other Cognitive Disorders" section; Major Depressive</w:t>
      </w:r>
    </w:p>
    <w:p w:rsidR="00E675F0" w:rsidRDefault="00E675F0" w:rsidP="00E675F0">
      <w:pPr>
        <w:pStyle w:val="BodyText"/>
        <w:spacing w:before="2"/>
        <w:ind w:left="171"/>
        <w:jc w:val="both"/>
      </w:pPr>
      <w:r>
        <w:rPr>
          <w:w w:val="105"/>
        </w:rPr>
        <w:t>Disorder, With Psychotic Features, in the "Mood Disorders" section).</w:t>
      </w:r>
    </w:p>
    <w:p w:rsidR="00E675F0" w:rsidRDefault="00E675F0" w:rsidP="00E675F0">
      <w:pPr>
        <w:pStyle w:val="BodyText"/>
        <w:spacing w:before="16" w:line="252" w:lineRule="auto"/>
        <w:ind w:left="162" w:right="103" w:firstLine="367"/>
        <w:jc w:val="both"/>
      </w:pPr>
      <w:r>
        <w:rPr>
          <w:w w:val="110"/>
        </w:rPr>
        <w:t>The</w:t>
      </w:r>
      <w:r>
        <w:rPr>
          <w:spacing w:val="-26"/>
          <w:w w:val="110"/>
        </w:rPr>
        <w:t xml:space="preserve"> </w:t>
      </w:r>
      <w:r>
        <w:rPr>
          <w:w w:val="110"/>
        </w:rPr>
        <w:t>term</w:t>
      </w:r>
      <w:r>
        <w:rPr>
          <w:spacing w:val="-18"/>
          <w:w w:val="110"/>
        </w:rPr>
        <w:t xml:space="preserve"> </w:t>
      </w:r>
      <w:r>
        <w:rPr>
          <w:i/>
          <w:w w:val="110"/>
        </w:rPr>
        <w:t>psychotic</w:t>
      </w:r>
      <w:r>
        <w:rPr>
          <w:i/>
          <w:spacing w:val="-26"/>
          <w:w w:val="110"/>
        </w:rPr>
        <w:t xml:space="preserve"> </w:t>
      </w:r>
      <w:r>
        <w:rPr>
          <w:w w:val="110"/>
        </w:rPr>
        <w:t>has</w:t>
      </w:r>
      <w:r>
        <w:rPr>
          <w:spacing w:val="-21"/>
          <w:w w:val="110"/>
        </w:rPr>
        <w:t xml:space="preserve"> </w:t>
      </w:r>
      <w:r>
        <w:rPr>
          <w:w w:val="110"/>
        </w:rPr>
        <w:t>historically</w:t>
      </w:r>
      <w:r>
        <w:rPr>
          <w:spacing w:val="-17"/>
          <w:w w:val="110"/>
        </w:rPr>
        <w:t xml:space="preserve"> </w:t>
      </w:r>
      <w:r>
        <w:rPr>
          <w:w w:val="110"/>
        </w:rPr>
        <w:t>received</w:t>
      </w:r>
      <w:r>
        <w:rPr>
          <w:spacing w:val="-21"/>
          <w:w w:val="110"/>
        </w:rPr>
        <w:t xml:space="preserve"> </w:t>
      </w:r>
      <w:r>
        <w:rPr>
          <w:w w:val="110"/>
        </w:rPr>
        <w:t>a</w:t>
      </w:r>
      <w:r>
        <w:rPr>
          <w:spacing w:val="-22"/>
          <w:w w:val="110"/>
        </w:rPr>
        <w:t xml:space="preserve"> </w:t>
      </w:r>
      <w:r>
        <w:rPr>
          <w:w w:val="110"/>
        </w:rPr>
        <w:t>number</w:t>
      </w:r>
      <w:r>
        <w:rPr>
          <w:spacing w:val="-23"/>
          <w:w w:val="110"/>
        </w:rPr>
        <w:t xml:space="preserve"> </w:t>
      </w:r>
      <w:r>
        <w:rPr>
          <w:w w:val="110"/>
        </w:rPr>
        <w:t>of</w:t>
      </w:r>
      <w:r>
        <w:rPr>
          <w:spacing w:val="-21"/>
          <w:w w:val="110"/>
        </w:rPr>
        <w:t xml:space="preserve"> </w:t>
      </w:r>
      <w:r>
        <w:rPr>
          <w:w w:val="110"/>
        </w:rPr>
        <w:t>different</w:t>
      </w:r>
      <w:r>
        <w:rPr>
          <w:spacing w:val="-22"/>
          <w:w w:val="110"/>
        </w:rPr>
        <w:t xml:space="preserve"> </w:t>
      </w:r>
      <w:r>
        <w:rPr>
          <w:w w:val="110"/>
        </w:rPr>
        <w:t>definitions,</w:t>
      </w:r>
      <w:r>
        <w:rPr>
          <w:spacing w:val="-16"/>
          <w:w w:val="110"/>
        </w:rPr>
        <w:t xml:space="preserve"> </w:t>
      </w:r>
      <w:r>
        <w:rPr>
          <w:w w:val="110"/>
        </w:rPr>
        <w:t xml:space="preserve">none of which has achieved universal acceptance. The narrowest definition of </w:t>
      </w:r>
      <w:r>
        <w:rPr>
          <w:i/>
          <w:w w:val="110"/>
        </w:rPr>
        <w:t xml:space="preserve">psychotic </w:t>
      </w:r>
      <w:r>
        <w:rPr>
          <w:w w:val="110"/>
        </w:rPr>
        <w:t>is restricted</w:t>
      </w:r>
      <w:r>
        <w:rPr>
          <w:spacing w:val="-11"/>
          <w:w w:val="110"/>
        </w:rPr>
        <w:t xml:space="preserve"> </w:t>
      </w:r>
      <w:r>
        <w:rPr>
          <w:w w:val="110"/>
        </w:rPr>
        <w:t>to</w:t>
      </w:r>
      <w:r>
        <w:rPr>
          <w:spacing w:val="-24"/>
          <w:w w:val="110"/>
        </w:rPr>
        <w:t xml:space="preserve"> </w:t>
      </w:r>
      <w:r>
        <w:rPr>
          <w:w w:val="110"/>
        </w:rPr>
        <w:t>delusions</w:t>
      </w:r>
      <w:r>
        <w:rPr>
          <w:spacing w:val="-19"/>
          <w:w w:val="110"/>
        </w:rPr>
        <w:t xml:space="preserve"> </w:t>
      </w:r>
      <w:r>
        <w:rPr>
          <w:w w:val="110"/>
        </w:rPr>
        <w:t>or</w:t>
      </w:r>
      <w:r>
        <w:rPr>
          <w:spacing w:val="-20"/>
          <w:w w:val="110"/>
        </w:rPr>
        <w:t xml:space="preserve"> </w:t>
      </w:r>
      <w:r>
        <w:rPr>
          <w:w w:val="110"/>
        </w:rPr>
        <w:t>prominent</w:t>
      </w:r>
      <w:r>
        <w:rPr>
          <w:spacing w:val="-10"/>
          <w:w w:val="110"/>
        </w:rPr>
        <w:t xml:space="preserve"> </w:t>
      </w:r>
      <w:r>
        <w:rPr>
          <w:w w:val="110"/>
        </w:rPr>
        <w:t>hallucinations,</w:t>
      </w:r>
      <w:r>
        <w:rPr>
          <w:spacing w:val="-26"/>
          <w:w w:val="110"/>
        </w:rPr>
        <w:t xml:space="preserve"> </w:t>
      </w:r>
      <w:r>
        <w:rPr>
          <w:w w:val="110"/>
        </w:rPr>
        <w:t>with</w:t>
      </w:r>
      <w:r>
        <w:rPr>
          <w:spacing w:val="-18"/>
          <w:w w:val="110"/>
        </w:rPr>
        <w:t xml:space="preserve"> </w:t>
      </w:r>
      <w:r>
        <w:rPr>
          <w:w w:val="110"/>
        </w:rPr>
        <w:t>the</w:t>
      </w:r>
      <w:r>
        <w:rPr>
          <w:spacing w:val="-20"/>
          <w:w w:val="110"/>
        </w:rPr>
        <w:t xml:space="preserve"> </w:t>
      </w:r>
      <w:r>
        <w:rPr>
          <w:w w:val="110"/>
        </w:rPr>
        <w:t>hallucinations</w:t>
      </w:r>
      <w:r>
        <w:rPr>
          <w:spacing w:val="-25"/>
          <w:w w:val="110"/>
        </w:rPr>
        <w:t xml:space="preserve"> </w:t>
      </w:r>
      <w:r>
        <w:rPr>
          <w:w w:val="110"/>
        </w:rPr>
        <w:t>occurring</w:t>
      </w:r>
      <w:r>
        <w:rPr>
          <w:spacing w:val="-16"/>
          <w:w w:val="110"/>
        </w:rPr>
        <w:t xml:space="preserve"> </w:t>
      </w:r>
      <w:r>
        <w:rPr>
          <w:w w:val="110"/>
        </w:rPr>
        <w:t>in the</w:t>
      </w:r>
      <w:r>
        <w:rPr>
          <w:spacing w:val="-26"/>
          <w:w w:val="110"/>
        </w:rPr>
        <w:t xml:space="preserve"> </w:t>
      </w:r>
      <w:r>
        <w:rPr>
          <w:w w:val="110"/>
        </w:rPr>
        <w:t>absence</w:t>
      </w:r>
      <w:r>
        <w:rPr>
          <w:spacing w:val="-21"/>
          <w:w w:val="110"/>
        </w:rPr>
        <w:t xml:space="preserve"> </w:t>
      </w:r>
      <w:r>
        <w:rPr>
          <w:w w:val="110"/>
        </w:rPr>
        <w:t>of</w:t>
      </w:r>
      <w:r>
        <w:rPr>
          <w:spacing w:val="-21"/>
          <w:w w:val="110"/>
        </w:rPr>
        <w:t xml:space="preserve"> </w:t>
      </w:r>
      <w:r>
        <w:rPr>
          <w:w w:val="110"/>
        </w:rPr>
        <w:t>insight</w:t>
      </w:r>
      <w:r>
        <w:rPr>
          <w:spacing w:val="-20"/>
          <w:w w:val="110"/>
        </w:rPr>
        <w:t xml:space="preserve"> </w:t>
      </w:r>
      <w:r>
        <w:rPr>
          <w:w w:val="110"/>
        </w:rPr>
        <w:t>into</w:t>
      </w:r>
      <w:r>
        <w:rPr>
          <w:spacing w:val="-24"/>
          <w:w w:val="110"/>
        </w:rPr>
        <w:t xml:space="preserve"> </w:t>
      </w:r>
      <w:r>
        <w:rPr>
          <w:w w:val="110"/>
        </w:rPr>
        <w:t>their</w:t>
      </w:r>
      <w:r>
        <w:rPr>
          <w:spacing w:val="-20"/>
          <w:w w:val="110"/>
        </w:rPr>
        <w:t xml:space="preserve"> </w:t>
      </w:r>
      <w:r>
        <w:rPr>
          <w:w w:val="110"/>
        </w:rPr>
        <w:t>pathological</w:t>
      </w:r>
      <w:r>
        <w:rPr>
          <w:spacing w:val="-15"/>
          <w:w w:val="110"/>
        </w:rPr>
        <w:t xml:space="preserve"> </w:t>
      </w:r>
      <w:r>
        <w:rPr>
          <w:w w:val="110"/>
        </w:rPr>
        <w:t>nature.</w:t>
      </w:r>
      <w:r>
        <w:rPr>
          <w:spacing w:val="-24"/>
          <w:w w:val="110"/>
        </w:rPr>
        <w:t xml:space="preserve"> </w:t>
      </w:r>
      <w:r>
        <w:rPr>
          <w:w w:val="110"/>
        </w:rPr>
        <w:t>A</w:t>
      </w:r>
      <w:r>
        <w:rPr>
          <w:spacing w:val="-31"/>
          <w:w w:val="110"/>
        </w:rPr>
        <w:t xml:space="preserve"> </w:t>
      </w:r>
      <w:r>
        <w:rPr>
          <w:w w:val="110"/>
        </w:rPr>
        <w:t>slightly</w:t>
      </w:r>
      <w:r>
        <w:rPr>
          <w:spacing w:val="-24"/>
          <w:w w:val="110"/>
        </w:rPr>
        <w:t xml:space="preserve"> </w:t>
      </w:r>
      <w:r>
        <w:rPr>
          <w:w w:val="110"/>
        </w:rPr>
        <w:t>less</w:t>
      </w:r>
      <w:r>
        <w:rPr>
          <w:spacing w:val="-23"/>
          <w:w w:val="110"/>
        </w:rPr>
        <w:t xml:space="preserve"> </w:t>
      </w:r>
      <w:r>
        <w:rPr>
          <w:w w:val="110"/>
        </w:rPr>
        <w:t>restrictive</w:t>
      </w:r>
      <w:r>
        <w:rPr>
          <w:spacing w:val="-24"/>
          <w:w w:val="110"/>
        </w:rPr>
        <w:t xml:space="preserve"> </w:t>
      </w:r>
      <w:r>
        <w:rPr>
          <w:w w:val="110"/>
        </w:rPr>
        <w:t>definition would</w:t>
      </w:r>
      <w:r>
        <w:rPr>
          <w:spacing w:val="-39"/>
          <w:w w:val="110"/>
        </w:rPr>
        <w:t xml:space="preserve"> </w:t>
      </w:r>
      <w:r>
        <w:rPr>
          <w:w w:val="110"/>
        </w:rPr>
        <w:t>also</w:t>
      </w:r>
      <w:r>
        <w:rPr>
          <w:spacing w:val="-39"/>
          <w:w w:val="110"/>
        </w:rPr>
        <w:t xml:space="preserve"> </w:t>
      </w:r>
      <w:r>
        <w:rPr>
          <w:w w:val="110"/>
        </w:rPr>
        <w:t>include</w:t>
      </w:r>
      <w:r>
        <w:rPr>
          <w:spacing w:val="-31"/>
          <w:w w:val="110"/>
        </w:rPr>
        <w:t xml:space="preserve"> </w:t>
      </w:r>
      <w:r>
        <w:rPr>
          <w:w w:val="110"/>
        </w:rPr>
        <w:t>prominent</w:t>
      </w:r>
      <w:r>
        <w:rPr>
          <w:spacing w:val="-35"/>
          <w:w w:val="110"/>
        </w:rPr>
        <w:t xml:space="preserve"> </w:t>
      </w:r>
      <w:r>
        <w:rPr>
          <w:w w:val="110"/>
        </w:rPr>
        <w:t>hallucinations</w:t>
      </w:r>
      <w:r>
        <w:rPr>
          <w:spacing w:val="-44"/>
          <w:w w:val="110"/>
        </w:rPr>
        <w:t xml:space="preserve"> </w:t>
      </w:r>
      <w:r>
        <w:rPr>
          <w:w w:val="110"/>
        </w:rPr>
        <w:t>that</w:t>
      </w:r>
      <w:r>
        <w:rPr>
          <w:spacing w:val="-35"/>
          <w:w w:val="110"/>
        </w:rPr>
        <w:t xml:space="preserve"> </w:t>
      </w:r>
      <w:r>
        <w:rPr>
          <w:w w:val="110"/>
        </w:rPr>
        <w:t>the</w:t>
      </w:r>
      <w:r>
        <w:rPr>
          <w:spacing w:val="-39"/>
          <w:w w:val="110"/>
        </w:rPr>
        <w:t xml:space="preserve"> </w:t>
      </w:r>
      <w:r>
        <w:rPr>
          <w:w w:val="110"/>
        </w:rPr>
        <w:t>individual</w:t>
      </w:r>
      <w:r>
        <w:rPr>
          <w:spacing w:val="-32"/>
          <w:w w:val="110"/>
        </w:rPr>
        <w:t xml:space="preserve"> </w:t>
      </w:r>
      <w:r>
        <w:rPr>
          <w:w w:val="110"/>
        </w:rPr>
        <w:t>realizes</w:t>
      </w:r>
      <w:r>
        <w:rPr>
          <w:spacing w:val="-35"/>
          <w:w w:val="110"/>
        </w:rPr>
        <w:t xml:space="preserve"> </w:t>
      </w:r>
      <w:r>
        <w:rPr>
          <w:w w:val="110"/>
        </w:rPr>
        <w:t>are</w:t>
      </w:r>
      <w:r>
        <w:rPr>
          <w:spacing w:val="-39"/>
          <w:w w:val="110"/>
        </w:rPr>
        <w:t xml:space="preserve"> </w:t>
      </w:r>
      <w:r>
        <w:rPr>
          <w:w w:val="110"/>
        </w:rPr>
        <w:t>hallucinatory experiences.</w:t>
      </w:r>
      <w:r>
        <w:rPr>
          <w:spacing w:val="2"/>
          <w:w w:val="110"/>
        </w:rPr>
        <w:t xml:space="preserve"> </w:t>
      </w:r>
      <w:r>
        <w:rPr>
          <w:w w:val="110"/>
        </w:rPr>
        <w:t>Broader</w:t>
      </w:r>
      <w:r>
        <w:rPr>
          <w:spacing w:val="-10"/>
          <w:w w:val="110"/>
        </w:rPr>
        <w:t xml:space="preserve"> </w:t>
      </w:r>
      <w:r>
        <w:rPr>
          <w:w w:val="110"/>
        </w:rPr>
        <w:t>still</w:t>
      </w:r>
      <w:r>
        <w:rPr>
          <w:spacing w:val="-10"/>
          <w:w w:val="110"/>
        </w:rPr>
        <w:t xml:space="preserve"> </w:t>
      </w:r>
      <w:r>
        <w:rPr>
          <w:w w:val="110"/>
        </w:rPr>
        <w:t>is</w:t>
      </w:r>
      <w:r>
        <w:rPr>
          <w:spacing w:val="-17"/>
          <w:w w:val="110"/>
        </w:rPr>
        <w:t xml:space="preserve"> </w:t>
      </w:r>
      <w:r>
        <w:rPr>
          <w:w w:val="110"/>
        </w:rPr>
        <w:t>a</w:t>
      </w:r>
      <w:r>
        <w:rPr>
          <w:spacing w:val="-10"/>
          <w:w w:val="110"/>
        </w:rPr>
        <w:t xml:space="preserve"> </w:t>
      </w:r>
      <w:r>
        <w:rPr>
          <w:w w:val="110"/>
        </w:rPr>
        <w:t>definition</w:t>
      </w:r>
      <w:r>
        <w:rPr>
          <w:spacing w:val="-4"/>
          <w:w w:val="110"/>
        </w:rPr>
        <w:t xml:space="preserve"> </w:t>
      </w:r>
      <w:r>
        <w:rPr>
          <w:w w:val="110"/>
        </w:rPr>
        <w:t>that</w:t>
      </w:r>
      <w:r>
        <w:rPr>
          <w:spacing w:val="-10"/>
          <w:w w:val="110"/>
        </w:rPr>
        <w:t xml:space="preserve"> </w:t>
      </w:r>
      <w:r>
        <w:rPr>
          <w:w w:val="110"/>
        </w:rPr>
        <w:t>also</w:t>
      </w:r>
      <w:r>
        <w:rPr>
          <w:spacing w:val="-10"/>
          <w:w w:val="110"/>
        </w:rPr>
        <w:t xml:space="preserve"> </w:t>
      </w:r>
      <w:r>
        <w:rPr>
          <w:w w:val="110"/>
        </w:rPr>
        <w:t>includes</w:t>
      </w:r>
      <w:r>
        <w:rPr>
          <w:spacing w:val="-6"/>
          <w:w w:val="110"/>
        </w:rPr>
        <w:t xml:space="preserve"> </w:t>
      </w:r>
      <w:r>
        <w:rPr>
          <w:w w:val="110"/>
        </w:rPr>
        <w:t>other</w:t>
      </w:r>
      <w:r>
        <w:rPr>
          <w:spacing w:val="-5"/>
          <w:w w:val="110"/>
        </w:rPr>
        <w:t xml:space="preserve"> </w:t>
      </w:r>
      <w:r>
        <w:rPr>
          <w:w w:val="110"/>
        </w:rPr>
        <w:t>positive</w:t>
      </w:r>
      <w:r>
        <w:rPr>
          <w:spacing w:val="-10"/>
          <w:w w:val="110"/>
        </w:rPr>
        <w:t xml:space="preserve"> </w:t>
      </w:r>
      <w:r>
        <w:rPr>
          <w:w w:val="110"/>
        </w:rPr>
        <w:t>symptoms</w:t>
      </w:r>
      <w:r>
        <w:rPr>
          <w:spacing w:val="-8"/>
          <w:w w:val="110"/>
        </w:rPr>
        <w:t xml:space="preserve"> </w:t>
      </w:r>
      <w:r>
        <w:rPr>
          <w:w w:val="110"/>
        </w:rPr>
        <w:t>of Schizophrenia</w:t>
      </w:r>
      <w:r>
        <w:rPr>
          <w:spacing w:val="-1"/>
          <w:w w:val="110"/>
        </w:rPr>
        <w:t xml:space="preserve"> </w:t>
      </w:r>
      <w:r>
        <w:rPr>
          <w:w w:val="110"/>
        </w:rPr>
        <w:t>(i.e.,</w:t>
      </w:r>
      <w:r>
        <w:rPr>
          <w:spacing w:val="-9"/>
          <w:w w:val="110"/>
        </w:rPr>
        <w:t xml:space="preserve"> </w:t>
      </w:r>
      <w:r>
        <w:rPr>
          <w:w w:val="110"/>
        </w:rPr>
        <w:t>disorganized</w:t>
      </w:r>
      <w:r>
        <w:rPr>
          <w:spacing w:val="-3"/>
          <w:w w:val="110"/>
        </w:rPr>
        <w:t xml:space="preserve"> </w:t>
      </w:r>
      <w:r>
        <w:rPr>
          <w:w w:val="110"/>
        </w:rPr>
        <w:t>speech,</w:t>
      </w:r>
      <w:r>
        <w:rPr>
          <w:spacing w:val="-5"/>
          <w:w w:val="110"/>
        </w:rPr>
        <w:t xml:space="preserve"> </w:t>
      </w:r>
      <w:r>
        <w:rPr>
          <w:w w:val="110"/>
        </w:rPr>
        <w:t>grossly</w:t>
      </w:r>
      <w:r>
        <w:rPr>
          <w:spacing w:val="-14"/>
          <w:w w:val="110"/>
        </w:rPr>
        <w:t xml:space="preserve"> </w:t>
      </w:r>
      <w:r>
        <w:rPr>
          <w:w w:val="110"/>
        </w:rPr>
        <w:t>disorganized</w:t>
      </w:r>
      <w:r>
        <w:rPr>
          <w:spacing w:val="-4"/>
          <w:w w:val="110"/>
        </w:rPr>
        <w:t xml:space="preserve"> </w:t>
      </w:r>
      <w:r>
        <w:rPr>
          <w:w w:val="110"/>
        </w:rPr>
        <w:t>or</w:t>
      </w:r>
      <w:r>
        <w:rPr>
          <w:spacing w:val="-10"/>
          <w:w w:val="110"/>
        </w:rPr>
        <w:t xml:space="preserve"> </w:t>
      </w:r>
      <w:r>
        <w:rPr>
          <w:w w:val="110"/>
        </w:rPr>
        <w:t>catatonic</w:t>
      </w:r>
      <w:r>
        <w:rPr>
          <w:spacing w:val="-2"/>
          <w:w w:val="110"/>
        </w:rPr>
        <w:t xml:space="preserve"> </w:t>
      </w:r>
      <w:r>
        <w:rPr>
          <w:w w:val="110"/>
        </w:rPr>
        <w:t>behavior). Unlike</w:t>
      </w:r>
      <w:r>
        <w:rPr>
          <w:spacing w:val="-29"/>
          <w:w w:val="110"/>
        </w:rPr>
        <w:t xml:space="preserve"> </w:t>
      </w:r>
      <w:r>
        <w:rPr>
          <w:w w:val="110"/>
        </w:rPr>
        <w:t>these</w:t>
      </w:r>
      <w:r>
        <w:rPr>
          <w:spacing w:val="-32"/>
          <w:w w:val="110"/>
        </w:rPr>
        <w:t xml:space="preserve"> </w:t>
      </w:r>
      <w:r>
        <w:rPr>
          <w:w w:val="110"/>
        </w:rPr>
        <w:t>definitions</w:t>
      </w:r>
      <w:r>
        <w:rPr>
          <w:spacing w:val="-26"/>
          <w:w w:val="110"/>
        </w:rPr>
        <w:t xml:space="preserve"> </w:t>
      </w:r>
      <w:r>
        <w:rPr>
          <w:w w:val="110"/>
        </w:rPr>
        <w:t>based</w:t>
      </w:r>
      <w:r>
        <w:rPr>
          <w:spacing w:val="-29"/>
          <w:w w:val="110"/>
        </w:rPr>
        <w:t xml:space="preserve"> </w:t>
      </w:r>
      <w:r>
        <w:rPr>
          <w:w w:val="110"/>
        </w:rPr>
        <w:t>on</w:t>
      </w:r>
      <w:r>
        <w:rPr>
          <w:spacing w:val="-28"/>
          <w:w w:val="110"/>
        </w:rPr>
        <w:t xml:space="preserve"> </w:t>
      </w:r>
      <w:r>
        <w:rPr>
          <w:w w:val="110"/>
        </w:rPr>
        <w:t>symptoms,</w:t>
      </w:r>
      <w:r>
        <w:rPr>
          <w:spacing w:val="-25"/>
          <w:w w:val="110"/>
        </w:rPr>
        <w:t xml:space="preserve"> </w:t>
      </w:r>
      <w:r>
        <w:rPr>
          <w:w w:val="110"/>
        </w:rPr>
        <w:t>the</w:t>
      </w:r>
      <w:r>
        <w:rPr>
          <w:spacing w:val="-33"/>
          <w:w w:val="110"/>
        </w:rPr>
        <w:t xml:space="preserve"> </w:t>
      </w:r>
      <w:r>
        <w:rPr>
          <w:w w:val="110"/>
        </w:rPr>
        <w:t>definition</w:t>
      </w:r>
      <w:r>
        <w:rPr>
          <w:spacing w:val="-27"/>
          <w:w w:val="110"/>
        </w:rPr>
        <w:t xml:space="preserve"> </w:t>
      </w:r>
      <w:r>
        <w:rPr>
          <w:w w:val="110"/>
        </w:rPr>
        <w:t>used</w:t>
      </w:r>
      <w:r>
        <w:rPr>
          <w:spacing w:val="-31"/>
          <w:w w:val="110"/>
        </w:rPr>
        <w:t xml:space="preserve"> </w:t>
      </w:r>
      <w:r>
        <w:rPr>
          <w:w w:val="110"/>
        </w:rPr>
        <w:t>in</w:t>
      </w:r>
      <w:r>
        <w:rPr>
          <w:spacing w:val="-32"/>
          <w:w w:val="110"/>
        </w:rPr>
        <w:t xml:space="preserve"> </w:t>
      </w:r>
      <w:r>
        <w:rPr>
          <w:w w:val="110"/>
        </w:rPr>
        <w:t>earlier</w:t>
      </w:r>
      <w:r>
        <w:rPr>
          <w:spacing w:val="-30"/>
          <w:w w:val="110"/>
        </w:rPr>
        <w:t xml:space="preserve"> </w:t>
      </w:r>
      <w:r>
        <w:rPr>
          <w:w w:val="110"/>
        </w:rPr>
        <w:t>classifications (e.g.,</w:t>
      </w:r>
      <w:r>
        <w:rPr>
          <w:spacing w:val="-13"/>
          <w:w w:val="110"/>
        </w:rPr>
        <w:t xml:space="preserve"> </w:t>
      </w:r>
      <w:r>
        <w:rPr>
          <w:w w:val="110"/>
        </w:rPr>
        <w:t>DSM-II</w:t>
      </w:r>
      <w:r>
        <w:rPr>
          <w:spacing w:val="-14"/>
          <w:w w:val="110"/>
        </w:rPr>
        <w:t xml:space="preserve"> </w:t>
      </w:r>
      <w:r>
        <w:rPr>
          <w:w w:val="110"/>
        </w:rPr>
        <w:t>and</w:t>
      </w:r>
      <w:r>
        <w:rPr>
          <w:spacing w:val="-18"/>
          <w:w w:val="110"/>
        </w:rPr>
        <w:t xml:space="preserve"> </w:t>
      </w:r>
      <w:r>
        <w:rPr>
          <w:w w:val="110"/>
        </w:rPr>
        <w:t>ICD-9)</w:t>
      </w:r>
      <w:r>
        <w:rPr>
          <w:spacing w:val="-14"/>
          <w:w w:val="110"/>
        </w:rPr>
        <w:t xml:space="preserve"> </w:t>
      </w:r>
      <w:r>
        <w:rPr>
          <w:w w:val="110"/>
        </w:rPr>
        <w:t>was</w:t>
      </w:r>
      <w:r>
        <w:rPr>
          <w:spacing w:val="-17"/>
          <w:w w:val="110"/>
        </w:rPr>
        <w:t xml:space="preserve"> </w:t>
      </w:r>
      <w:r>
        <w:rPr>
          <w:w w:val="110"/>
        </w:rPr>
        <w:t>probably</w:t>
      </w:r>
      <w:r>
        <w:rPr>
          <w:spacing w:val="-18"/>
          <w:w w:val="110"/>
        </w:rPr>
        <w:t xml:space="preserve"> </w:t>
      </w:r>
      <w:r>
        <w:rPr>
          <w:w w:val="110"/>
        </w:rPr>
        <w:t>far</w:t>
      </w:r>
      <w:r>
        <w:rPr>
          <w:spacing w:val="-24"/>
          <w:w w:val="110"/>
        </w:rPr>
        <w:t xml:space="preserve"> </w:t>
      </w:r>
      <w:r>
        <w:rPr>
          <w:w w:val="110"/>
        </w:rPr>
        <w:t>too</w:t>
      </w:r>
      <w:r>
        <w:rPr>
          <w:spacing w:val="-10"/>
          <w:w w:val="110"/>
        </w:rPr>
        <w:t xml:space="preserve"> </w:t>
      </w:r>
      <w:r>
        <w:rPr>
          <w:w w:val="110"/>
        </w:rPr>
        <w:t>inclusive</w:t>
      </w:r>
      <w:r>
        <w:rPr>
          <w:spacing w:val="-12"/>
          <w:w w:val="110"/>
        </w:rPr>
        <w:t xml:space="preserve"> </w:t>
      </w:r>
      <w:r>
        <w:rPr>
          <w:w w:val="110"/>
        </w:rPr>
        <w:t>and</w:t>
      </w:r>
      <w:r>
        <w:rPr>
          <w:spacing w:val="-20"/>
          <w:w w:val="110"/>
        </w:rPr>
        <w:t xml:space="preserve"> </w:t>
      </w:r>
      <w:r>
        <w:rPr>
          <w:w w:val="110"/>
        </w:rPr>
        <w:t>focused</w:t>
      </w:r>
      <w:r>
        <w:rPr>
          <w:spacing w:val="-15"/>
          <w:w w:val="110"/>
        </w:rPr>
        <w:t xml:space="preserve"> </w:t>
      </w:r>
      <w:r>
        <w:rPr>
          <w:w w:val="110"/>
        </w:rPr>
        <w:t>on</w:t>
      </w:r>
      <w:r>
        <w:rPr>
          <w:spacing w:val="-12"/>
          <w:w w:val="110"/>
        </w:rPr>
        <w:t xml:space="preserve"> </w:t>
      </w:r>
      <w:r>
        <w:rPr>
          <w:w w:val="110"/>
        </w:rPr>
        <w:t>the</w:t>
      </w:r>
      <w:r>
        <w:rPr>
          <w:spacing w:val="-21"/>
          <w:w w:val="110"/>
        </w:rPr>
        <w:t xml:space="preserve"> </w:t>
      </w:r>
      <w:r>
        <w:rPr>
          <w:w w:val="110"/>
        </w:rPr>
        <w:t>severity</w:t>
      </w:r>
      <w:r>
        <w:rPr>
          <w:spacing w:val="-17"/>
          <w:w w:val="110"/>
        </w:rPr>
        <w:t xml:space="preserve"> </w:t>
      </w:r>
      <w:r>
        <w:rPr>
          <w:w w:val="110"/>
        </w:rPr>
        <w:t>of functional</w:t>
      </w:r>
      <w:r>
        <w:rPr>
          <w:spacing w:val="-17"/>
          <w:w w:val="110"/>
        </w:rPr>
        <w:t xml:space="preserve"> </w:t>
      </w:r>
      <w:r>
        <w:rPr>
          <w:w w:val="110"/>
        </w:rPr>
        <w:t>impairment,</w:t>
      </w:r>
      <w:r>
        <w:rPr>
          <w:spacing w:val="-16"/>
          <w:w w:val="110"/>
        </w:rPr>
        <w:t xml:space="preserve"> </w:t>
      </w:r>
      <w:r>
        <w:rPr>
          <w:w w:val="110"/>
        </w:rPr>
        <w:t>so</w:t>
      </w:r>
      <w:r>
        <w:rPr>
          <w:spacing w:val="-20"/>
          <w:w w:val="110"/>
        </w:rPr>
        <w:t xml:space="preserve"> </w:t>
      </w:r>
      <w:r>
        <w:rPr>
          <w:w w:val="110"/>
        </w:rPr>
        <w:t>that</w:t>
      </w:r>
      <w:r>
        <w:rPr>
          <w:spacing w:val="-23"/>
          <w:w w:val="110"/>
        </w:rPr>
        <w:t xml:space="preserve"> </w:t>
      </w:r>
      <w:r>
        <w:rPr>
          <w:w w:val="110"/>
        </w:rPr>
        <w:t>a</w:t>
      </w:r>
      <w:r>
        <w:rPr>
          <w:spacing w:val="-20"/>
          <w:w w:val="110"/>
        </w:rPr>
        <w:t xml:space="preserve"> </w:t>
      </w:r>
      <w:r>
        <w:rPr>
          <w:w w:val="110"/>
        </w:rPr>
        <w:t>mental</w:t>
      </w:r>
      <w:r>
        <w:rPr>
          <w:spacing w:val="-21"/>
          <w:w w:val="110"/>
        </w:rPr>
        <w:t xml:space="preserve"> </w:t>
      </w:r>
      <w:r>
        <w:rPr>
          <w:w w:val="110"/>
        </w:rPr>
        <w:t>disorder</w:t>
      </w:r>
      <w:r>
        <w:rPr>
          <w:spacing w:val="-23"/>
          <w:w w:val="110"/>
        </w:rPr>
        <w:t xml:space="preserve"> </w:t>
      </w:r>
      <w:r>
        <w:rPr>
          <w:w w:val="110"/>
        </w:rPr>
        <w:t>was</w:t>
      </w:r>
      <w:r>
        <w:rPr>
          <w:spacing w:val="-23"/>
          <w:w w:val="110"/>
        </w:rPr>
        <w:t xml:space="preserve"> </w:t>
      </w:r>
      <w:r>
        <w:rPr>
          <w:w w:val="110"/>
        </w:rPr>
        <w:t>termed</w:t>
      </w:r>
      <w:r>
        <w:rPr>
          <w:spacing w:val="-19"/>
          <w:w w:val="110"/>
        </w:rPr>
        <w:t xml:space="preserve"> </w:t>
      </w:r>
      <w:r>
        <w:rPr>
          <w:w w:val="110"/>
        </w:rPr>
        <w:t>"psychotic"</w:t>
      </w:r>
      <w:r>
        <w:rPr>
          <w:spacing w:val="-19"/>
          <w:w w:val="110"/>
        </w:rPr>
        <w:t xml:space="preserve"> </w:t>
      </w:r>
      <w:r>
        <w:rPr>
          <w:w w:val="110"/>
        </w:rPr>
        <w:t>if</w:t>
      </w:r>
      <w:r>
        <w:rPr>
          <w:spacing w:val="-19"/>
          <w:w w:val="110"/>
        </w:rPr>
        <w:t xml:space="preserve"> </w:t>
      </w:r>
      <w:r>
        <w:rPr>
          <w:w w:val="110"/>
        </w:rPr>
        <w:t>it</w:t>
      </w:r>
      <w:r>
        <w:rPr>
          <w:spacing w:val="-21"/>
          <w:w w:val="110"/>
        </w:rPr>
        <w:t xml:space="preserve"> </w:t>
      </w:r>
      <w:r>
        <w:rPr>
          <w:w w:val="110"/>
        </w:rPr>
        <w:t>resulted</w:t>
      </w:r>
      <w:r>
        <w:rPr>
          <w:spacing w:val="-18"/>
          <w:w w:val="110"/>
        </w:rPr>
        <w:t xml:space="preserve"> </w:t>
      </w:r>
      <w:r>
        <w:rPr>
          <w:w w:val="110"/>
        </w:rPr>
        <w:t>in "impairment</w:t>
      </w:r>
      <w:r>
        <w:rPr>
          <w:spacing w:val="-14"/>
          <w:w w:val="110"/>
        </w:rPr>
        <w:t xml:space="preserve"> </w:t>
      </w:r>
      <w:r>
        <w:rPr>
          <w:w w:val="110"/>
        </w:rPr>
        <w:t>that</w:t>
      </w:r>
      <w:r>
        <w:rPr>
          <w:spacing w:val="-23"/>
          <w:w w:val="110"/>
        </w:rPr>
        <w:t xml:space="preserve"> </w:t>
      </w:r>
      <w:r>
        <w:rPr>
          <w:w w:val="110"/>
        </w:rPr>
        <w:t>grossly</w:t>
      </w:r>
      <w:r>
        <w:rPr>
          <w:spacing w:val="-18"/>
          <w:w w:val="110"/>
        </w:rPr>
        <w:t xml:space="preserve"> </w:t>
      </w:r>
      <w:r>
        <w:rPr>
          <w:w w:val="110"/>
        </w:rPr>
        <w:t>interferes</w:t>
      </w:r>
      <w:r>
        <w:rPr>
          <w:spacing w:val="-17"/>
          <w:w w:val="110"/>
        </w:rPr>
        <w:t xml:space="preserve"> </w:t>
      </w:r>
      <w:r>
        <w:rPr>
          <w:w w:val="110"/>
        </w:rPr>
        <w:t>with</w:t>
      </w:r>
      <w:r>
        <w:rPr>
          <w:spacing w:val="-22"/>
          <w:w w:val="110"/>
        </w:rPr>
        <w:t xml:space="preserve"> </w:t>
      </w:r>
      <w:r>
        <w:rPr>
          <w:w w:val="110"/>
        </w:rPr>
        <w:t>the</w:t>
      </w:r>
      <w:r>
        <w:rPr>
          <w:spacing w:val="-15"/>
          <w:w w:val="110"/>
        </w:rPr>
        <w:t xml:space="preserve"> </w:t>
      </w:r>
      <w:r>
        <w:rPr>
          <w:w w:val="110"/>
        </w:rPr>
        <w:t>capacity</w:t>
      </w:r>
      <w:r>
        <w:rPr>
          <w:spacing w:val="-23"/>
          <w:w w:val="110"/>
        </w:rPr>
        <w:t xml:space="preserve"> </w:t>
      </w:r>
      <w:r>
        <w:rPr>
          <w:w w:val="110"/>
        </w:rPr>
        <w:t>to</w:t>
      </w:r>
      <w:r>
        <w:rPr>
          <w:spacing w:val="-21"/>
          <w:w w:val="110"/>
        </w:rPr>
        <w:t xml:space="preserve"> </w:t>
      </w:r>
      <w:r>
        <w:rPr>
          <w:w w:val="110"/>
        </w:rPr>
        <w:t>meet</w:t>
      </w:r>
      <w:r>
        <w:rPr>
          <w:spacing w:val="-24"/>
          <w:w w:val="110"/>
        </w:rPr>
        <w:t xml:space="preserve"> </w:t>
      </w:r>
      <w:r>
        <w:rPr>
          <w:w w:val="110"/>
        </w:rPr>
        <w:t>ordinary</w:t>
      </w:r>
      <w:r>
        <w:rPr>
          <w:spacing w:val="-22"/>
          <w:w w:val="110"/>
        </w:rPr>
        <w:t xml:space="preserve"> </w:t>
      </w:r>
      <w:r>
        <w:rPr>
          <w:w w:val="110"/>
        </w:rPr>
        <w:t>demands</w:t>
      </w:r>
      <w:r>
        <w:rPr>
          <w:spacing w:val="-22"/>
          <w:w w:val="110"/>
        </w:rPr>
        <w:t xml:space="preserve"> </w:t>
      </w:r>
      <w:r>
        <w:rPr>
          <w:w w:val="110"/>
        </w:rPr>
        <w:t>of</w:t>
      </w:r>
      <w:r>
        <w:rPr>
          <w:spacing w:val="-19"/>
          <w:w w:val="110"/>
        </w:rPr>
        <w:t xml:space="preserve"> </w:t>
      </w:r>
      <w:r>
        <w:rPr>
          <w:w w:val="110"/>
        </w:rPr>
        <w:t>life." Finally,</w:t>
      </w:r>
      <w:r>
        <w:rPr>
          <w:spacing w:val="1"/>
          <w:w w:val="110"/>
        </w:rPr>
        <w:t xml:space="preserve"> </w:t>
      </w:r>
      <w:r>
        <w:rPr>
          <w:w w:val="110"/>
        </w:rPr>
        <w:t>the</w:t>
      </w:r>
      <w:r>
        <w:rPr>
          <w:spacing w:val="-11"/>
          <w:w w:val="110"/>
        </w:rPr>
        <w:t xml:space="preserve"> </w:t>
      </w:r>
      <w:r>
        <w:rPr>
          <w:w w:val="110"/>
        </w:rPr>
        <w:t>term has</w:t>
      </w:r>
      <w:r>
        <w:rPr>
          <w:spacing w:val="-5"/>
          <w:w w:val="110"/>
        </w:rPr>
        <w:t xml:space="preserve"> </w:t>
      </w:r>
      <w:r>
        <w:rPr>
          <w:w w:val="110"/>
        </w:rPr>
        <w:t>been</w:t>
      </w:r>
      <w:r>
        <w:rPr>
          <w:spacing w:val="-4"/>
          <w:w w:val="110"/>
        </w:rPr>
        <w:t xml:space="preserve"> </w:t>
      </w:r>
      <w:r>
        <w:rPr>
          <w:w w:val="110"/>
        </w:rPr>
        <w:t>defined</w:t>
      </w:r>
      <w:r>
        <w:rPr>
          <w:spacing w:val="2"/>
          <w:w w:val="110"/>
        </w:rPr>
        <w:t xml:space="preserve"> </w:t>
      </w:r>
      <w:r>
        <w:rPr>
          <w:w w:val="110"/>
        </w:rPr>
        <w:t>conceptually</w:t>
      </w:r>
      <w:r>
        <w:rPr>
          <w:spacing w:val="-4"/>
          <w:w w:val="110"/>
        </w:rPr>
        <w:t xml:space="preserve"> </w:t>
      </w:r>
      <w:r>
        <w:rPr>
          <w:w w:val="110"/>
        </w:rPr>
        <w:t>as</w:t>
      </w:r>
      <w:r>
        <w:rPr>
          <w:spacing w:val="-6"/>
          <w:w w:val="110"/>
        </w:rPr>
        <w:t xml:space="preserve"> </w:t>
      </w:r>
      <w:r>
        <w:rPr>
          <w:w w:val="110"/>
        </w:rPr>
        <w:t>a</w:t>
      </w:r>
      <w:r>
        <w:rPr>
          <w:spacing w:val="-7"/>
          <w:w w:val="110"/>
        </w:rPr>
        <w:t xml:space="preserve"> </w:t>
      </w:r>
      <w:r>
        <w:rPr>
          <w:w w:val="110"/>
        </w:rPr>
        <w:t>loss</w:t>
      </w:r>
      <w:r>
        <w:rPr>
          <w:spacing w:val="-8"/>
          <w:w w:val="110"/>
        </w:rPr>
        <w:t xml:space="preserve"> </w:t>
      </w:r>
      <w:r>
        <w:rPr>
          <w:w w:val="110"/>
        </w:rPr>
        <w:t>of</w:t>
      </w:r>
      <w:r>
        <w:rPr>
          <w:spacing w:val="-9"/>
          <w:w w:val="110"/>
        </w:rPr>
        <w:t xml:space="preserve"> </w:t>
      </w:r>
      <w:r>
        <w:rPr>
          <w:w w:val="110"/>
        </w:rPr>
        <w:t>ego</w:t>
      </w:r>
      <w:r>
        <w:rPr>
          <w:spacing w:val="22"/>
          <w:w w:val="110"/>
        </w:rPr>
        <w:t xml:space="preserve"> </w:t>
      </w:r>
      <w:r>
        <w:rPr>
          <w:w w:val="110"/>
        </w:rPr>
        <w:t>boundaries</w:t>
      </w:r>
      <w:r>
        <w:rPr>
          <w:spacing w:val="-1"/>
          <w:w w:val="110"/>
        </w:rPr>
        <w:t xml:space="preserve"> </w:t>
      </w:r>
      <w:r>
        <w:rPr>
          <w:w w:val="110"/>
        </w:rPr>
        <w:t>or</w:t>
      </w:r>
      <w:r>
        <w:rPr>
          <w:spacing w:val="-11"/>
          <w:w w:val="110"/>
        </w:rPr>
        <w:t xml:space="preserve"> </w:t>
      </w:r>
      <w:r>
        <w:rPr>
          <w:w w:val="110"/>
        </w:rPr>
        <w:t>a</w:t>
      </w:r>
      <w:r>
        <w:rPr>
          <w:spacing w:val="-11"/>
          <w:w w:val="110"/>
        </w:rPr>
        <w:t xml:space="preserve"> </w:t>
      </w:r>
      <w:r>
        <w:rPr>
          <w:w w:val="110"/>
        </w:rPr>
        <w:t>gross impairment</w:t>
      </w:r>
      <w:r>
        <w:rPr>
          <w:spacing w:val="-13"/>
          <w:w w:val="110"/>
        </w:rPr>
        <w:t xml:space="preserve"> </w:t>
      </w:r>
      <w:r>
        <w:rPr>
          <w:w w:val="110"/>
        </w:rPr>
        <w:t>in</w:t>
      </w:r>
      <w:r>
        <w:rPr>
          <w:spacing w:val="-25"/>
          <w:w w:val="110"/>
        </w:rPr>
        <w:t xml:space="preserve"> </w:t>
      </w:r>
      <w:r>
        <w:rPr>
          <w:w w:val="110"/>
        </w:rPr>
        <w:t>reality</w:t>
      </w:r>
      <w:r>
        <w:rPr>
          <w:spacing w:val="-18"/>
          <w:w w:val="110"/>
        </w:rPr>
        <w:t xml:space="preserve"> </w:t>
      </w:r>
      <w:r>
        <w:rPr>
          <w:w w:val="110"/>
        </w:rPr>
        <w:t>testing.</w:t>
      </w:r>
      <w:r>
        <w:rPr>
          <w:spacing w:val="-27"/>
          <w:w w:val="110"/>
        </w:rPr>
        <w:t xml:space="preserve"> </w:t>
      </w:r>
      <w:r>
        <w:rPr>
          <w:w w:val="110"/>
        </w:rPr>
        <w:t>The</w:t>
      </w:r>
      <w:r>
        <w:rPr>
          <w:spacing w:val="-26"/>
          <w:w w:val="110"/>
        </w:rPr>
        <w:t xml:space="preserve"> </w:t>
      </w:r>
      <w:r>
        <w:rPr>
          <w:w w:val="110"/>
        </w:rPr>
        <w:t>different</w:t>
      </w:r>
      <w:r>
        <w:rPr>
          <w:spacing w:val="-20"/>
          <w:w w:val="110"/>
        </w:rPr>
        <w:t xml:space="preserve"> </w:t>
      </w:r>
      <w:r>
        <w:rPr>
          <w:w w:val="110"/>
        </w:rPr>
        <w:t>disorders</w:t>
      </w:r>
      <w:r>
        <w:rPr>
          <w:spacing w:val="-19"/>
          <w:w w:val="110"/>
        </w:rPr>
        <w:t xml:space="preserve"> </w:t>
      </w:r>
      <w:r>
        <w:rPr>
          <w:w w:val="110"/>
        </w:rPr>
        <w:t>in</w:t>
      </w:r>
      <w:r>
        <w:rPr>
          <w:spacing w:val="-25"/>
          <w:w w:val="110"/>
        </w:rPr>
        <w:t xml:space="preserve"> </w:t>
      </w:r>
      <w:r>
        <w:rPr>
          <w:w w:val="110"/>
        </w:rPr>
        <w:t>this</w:t>
      </w:r>
      <w:r>
        <w:rPr>
          <w:spacing w:val="-27"/>
          <w:w w:val="110"/>
        </w:rPr>
        <w:t xml:space="preserve"> </w:t>
      </w:r>
      <w:r>
        <w:rPr>
          <w:w w:val="110"/>
        </w:rPr>
        <w:t>section</w:t>
      </w:r>
      <w:r>
        <w:rPr>
          <w:spacing w:val="-24"/>
          <w:w w:val="110"/>
        </w:rPr>
        <w:t xml:space="preserve"> </w:t>
      </w:r>
      <w:r>
        <w:rPr>
          <w:w w:val="110"/>
        </w:rPr>
        <w:t>emphasize</w:t>
      </w:r>
      <w:r>
        <w:rPr>
          <w:spacing w:val="-16"/>
          <w:w w:val="110"/>
        </w:rPr>
        <w:t xml:space="preserve"> </w:t>
      </w:r>
      <w:r>
        <w:rPr>
          <w:w w:val="110"/>
        </w:rPr>
        <w:t xml:space="preserve">different aspects of the various definitions of </w:t>
      </w:r>
      <w:r>
        <w:rPr>
          <w:i/>
          <w:w w:val="110"/>
        </w:rPr>
        <w:t xml:space="preserve">psychotic. </w:t>
      </w:r>
      <w:r>
        <w:rPr>
          <w:w w:val="110"/>
        </w:rPr>
        <w:t xml:space="preserve">In Schizophrenia, Schizophreniform </w:t>
      </w:r>
      <w:r>
        <w:rPr>
          <w:w w:val="105"/>
        </w:rPr>
        <w:t>Disorder,</w:t>
      </w:r>
      <w:r>
        <w:rPr>
          <w:spacing w:val="-19"/>
          <w:w w:val="105"/>
        </w:rPr>
        <w:t xml:space="preserve"> </w:t>
      </w:r>
      <w:r>
        <w:rPr>
          <w:w w:val="105"/>
        </w:rPr>
        <w:t>Schizoaffective</w:t>
      </w:r>
      <w:r>
        <w:rPr>
          <w:spacing w:val="-37"/>
          <w:w w:val="105"/>
        </w:rPr>
        <w:t xml:space="preserve"> </w:t>
      </w:r>
      <w:r>
        <w:rPr>
          <w:w w:val="105"/>
        </w:rPr>
        <w:t>Disorder,</w:t>
      </w:r>
      <w:r>
        <w:rPr>
          <w:spacing w:val="-17"/>
          <w:w w:val="105"/>
        </w:rPr>
        <w:t xml:space="preserve"> </w:t>
      </w:r>
      <w:r>
        <w:rPr>
          <w:w w:val="105"/>
        </w:rPr>
        <w:t>and</w:t>
      </w:r>
      <w:r>
        <w:rPr>
          <w:spacing w:val="-26"/>
          <w:w w:val="105"/>
        </w:rPr>
        <w:t xml:space="preserve"> </w:t>
      </w:r>
      <w:r>
        <w:rPr>
          <w:w w:val="105"/>
        </w:rPr>
        <w:t>Brief</w:t>
      </w:r>
      <w:r>
        <w:rPr>
          <w:spacing w:val="-17"/>
          <w:w w:val="105"/>
        </w:rPr>
        <w:t xml:space="preserve"> </w:t>
      </w:r>
      <w:r>
        <w:rPr>
          <w:w w:val="105"/>
        </w:rPr>
        <w:t>Psychotic</w:t>
      </w:r>
      <w:r>
        <w:rPr>
          <w:spacing w:val="-21"/>
          <w:w w:val="105"/>
        </w:rPr>
        <w:t xml:space="preserve"> </w:t>
      </w:r>
      <w:r>
        <w:rPr>
          <w:w w:val="105"/>
        </w:rPr>
        <w:t>Disorder,</w:t>
      </w:r>
      <w:r>
        <w:rPr>
          <w:spacing w:val="-17"/>
          <w:w w:val="105"/>
        </w:rPr>
        <w:t xml:space="preserve"> </w:t>
      </w:r>
      <w:r>
        <w:rPr>
          <w:w w:val="105"/>
        </w:rPr>
        <w:t>the</w:t>
      </w:r>
      <w:r>
        <w:rPr>
          <w:spacing w:val="-25"/>
          <w:w w:val="105"/>
        </w:rPr>
        <w:t xml:space="preserve"> </w:t>
      </w:r>
      <w:r>
        <w:rPr>
          <w:w w:val="105"/>
        </w:rPr>
        <w:t>term</w:t>
      </w:r>
      <w:r>
        <w:rPr>
          <w:spacing w:val="-17"/>
          <w:w w:val="105"/>
        </w:rPr>
        <w:t xml:space="preserve"> </w:t>
      </w:r>
      <w:r>
        <w:rPr>
          <w:i/>
          <w:w w:val="105"/>
        </w:rPr>
        <w:t>psychotic</w:t>
      </w:r>
      <w:r>
        <w:rPr>
          <w:i/>
          <w:spacing w:val="-30"/>
          <w:w w:val="105"/>
        </w:rPr>
        <w:t xml:space="preserve"> </w:t>
      </w:r>
      <w:r>
        <w:rPr>
          <w:w w:val="105"/>
        </w:rPr>
        <w:t xml:space="preserve">refers </w:t>
      </w:r>
      <w:r>
        <w:rPr>
          <w:w w:val="110"/>
        </w:rPr>
        <w:t>to delusions, any prominent hallucinations, disorganized speech, or disorganized or catatonic</w:t>
      </w:r>
      <w:r>
        <w:rPr>
          <w:spacing w:val="-2"/>
          <w:w w:val="110"/>
        </w:rPr>
        <w:t xml:space="preserve"> </w:t>
      </w:r>
      <w:r>
        <w:rPr>
          <w:w w:val="110"/>
        </w:rPr>
        <w:t>behavior. In</w:t>
      </w:r>
      <w:r>
        <w:rPr>
          <w:spacing w:val="-7"/>
          <w:w w:val="110"/>
        </w:rPr>
        <w:t xml:space="preserve"> </w:t>
      </w:r>
      <w:r>
        <w:rPr>
          <w:w w:val="110"/>
        </w:rPr>
        <w:t>Psychotic</w:t>
      </w:r>
      <w:r>
        <w:rPr>
          <w:spacing w:val="-2"/>
          <w:w w:val="110"/>
        </w:rPr>
        <w:t xml:space="preserve"> </w:t>
      </w:r>
      <w:r>
        <w:rPr>
          <w:w w:val="110"/>
        </w:rPr>
        <w:t>Disorder</w:t>
      </w:r>
      <w:r>
        <w:rPr>
          <w:spacing w:val="-4"/>
          <w:w w:val="110"/>
        </w:rPr>
        <w:t xml:space="preserve"> </w:t>
      </w:r>
      <w:r>
        <w:rPr>
          <w:w w:val="110"/>
        </w:rPr>
        <w:t>Due</w:t>
      </w:r>
      <w:r>
        <w:rPr>
          <w:spacing w:val="-8"/>
          <w:w w:val="110"/>
        </w:rPr>
        <w:t xml:space="preserve"> </w:t>
      </w:r>
      <w:r>
        <w:rPr>
          <w:w w:val="110"/>
        </w:rPr>
        <w:t>to</w:t>
      </w:r>
      <w:r>
        <w:rPr>
          <w:spacing w:val="-13"/>
          <w:w w:val="110"/>
        </w:rPr>
        <w:t xml:space="preserve"> </w:t>
      </w:r>
      <w:r>
        <w:rPr>
          <w:w w:val="110"/>
        </w:rPr>
        <w:t>a</w:t>
      </w:r>
      <w:r>
        <w:rPr>
          <w:spacing w:val="-10"/>
          <w:w w:val="110"/>
        </w:rPr>
        <w:t xml:space="preserve"> </w:t>
      </w:r>
      <w:r>
        <w:rPr>
          <w:w w:val="110"/>
        </w:rPr>
        <w:t>General</w:t>
      </w:r>
      <w:r>
        <w:rPr>
          <w:spacing w:val="-3"/>
          <w:w w:val="110"/>
        </w:rPr>
        <w:t xml:space="preserve"> </w:t>
      </w:r>
      <w:r>
        <w:rPr>
          <w:w w:val="110"/>
        </w:rPr>
        <w:t>Medical</w:t>
      </w:r>
      <w:r>
        <w:rPr>
          <w:spacing w:val="-4"/>
          <w:w w:val="110"/>
        </w:rPr>
        <w:t xml:space="preserve"> </w:t>
      </w:r>
      <w:r>
        <w:rPr>
          <w:w w:val="110"/>
        </w:rPr>
        <w:t>Condition and</w:t>
      </w:r>
      <w:r>
        <w:rPr>
          <w:spacing w:val="-4"/>
          <w:w w:val="110"/>
        </w:rPr>
        <w:t xml:space="preserve"> </w:t>
      </w:r>
      <w:r>
        <w:rPr>
          <w:w w:val="110"/>
        </w:rPr>
        <w:t xml:space="preserve">in Substance-Induced Psychotic Disorder, </w:t>
      </w:r>
      <w:r>
        <w:rPr>
          <w:i/>
          <w:w w:val="110"/>
        </w:rPr>
        <w:t xml:space="preserve">psychotic </w:t>
      </w:r>
      <w:r>
        <w:rPr>
          <w:w w:val="110"/>
        </w:rPr>
        <w:t>refers to delusions or only those hallucinations</w:t>
      </w:r>
      <w:r>
        <w:rPr>
          <w:spacing w:val="-29"/>
          <w:w w:val="110"/>
        </w:rPr>
        <w:t xml:space="preserve"> </w:t>
      </w:r>
      <w:r>
        <w:rPr>
          <w:w w:val="110"/>
        </w:rPr>
        <w:t>that</w:t>
      </w:r>
      <w:r>
        <w:rPr>
          <w:spacing w:val="-19"/>
          <w:w w:val="110"/>
        </w:rPr>
        <w:t xml:space="preserve"> </w:t>
      </w:r>
      <w:r>
        <w:rPr>
          <w:w w:val="110"/>
        </w:rPr>
        <w:t>are</w:t>
      </w:r>
      <w:r>
        <w:rPr>
          <w:spacing w:val="-19"/>
          <w:w w:val="110"/>
        </w:rPr>
        <w:t xml:space="preserve"> </w:t>
      </w:r>
      <w:r>
        <w:rPr>
          <w:w w:val="110"/>
        </w:rPr>
        <w:t>not</w:t>
      </w:r>
      <w:r>
        <w:rPr>
          <w:spacing w:val="-21"/>
          <w:w w:val="110"/>
        </w:rPr>
        <w:t xml:space="preserve"> </w:t>
      </w:r>
      <w:r>
        <w:rPr>
          <w:w w:val="110"/>
        </w:rPr>
        <w:t>accompanied</w:t>
      </w:r>
      <w:r>
        <w:rPr>
          <w:spacing w:val="-7"/>
          <w:w w:val="110"/>
        </w:rPr>
        <w:t xml:space="preserve"> </w:t>
      </w:r>
      <w:r>
        <w:rPr>
          <w:w w:val="110"/>
        </w:rPr>
        <w:t>by</w:t>
      </w:r>
      <w:r>
        <w:rPr>
          <w:spacing w:val="-22"/>
          <w:w w:val="110"/>
        </w:rPr>
        <w:t xml:space="preserve"> </w:t>
      </w:r>
      <w:r>
        <w:rPr>
          <w:w w:val="110"/>
        </w:rPr>
        <w:t>insight.</w:t>
      </w:r>
      <w:r>
        <w:rPr>
          <w:spacing w:val="-16"/>
          <w:w w:val="110"/>
        </w:rPr>
        <w:t xml:space="preserve"> </w:t>
      </w:r>
      <w:r>
        <w:rPr>
          <w:w w:val="110"/>
        </w:rPr>
        <w:t>Finally,</w:t>
      </w:r>
      <w:r>
        <w:rPr>
          <w:spacing w:val="-14"/>
          <w:w w:val="110"/>
        </w:rPr>
        <w:t xml:space="preserve"> </w:t>
      </w:r>
      <w:r>
        <w:rPr>
          <w:w w:val="110"/>
        </w:rPr>
        <w:t>in</w:t>
      </w:r>
      <w:r>
        <w:rPr>
          <w:spacing w:val="-18"/>
          <w:w w:val="110"/>
        </w:rPr>
        <w:t xml:space="preserve"> </w:t>
      </w:r>
      <w:r>
        <w:rPr>
          <w:w w:val="110"/>
        </w:rPr>
        <w:t>Delusional</w:t>
      </w:r>
      <w:r>
        <w:rPr>
          <w:spacing w:val="-11"/>
          <w:w w:val="110"/>
        </w:rPr>
        <w:t xml:space="preserve"> </w:t>
      </w:r>
      <w:r>
        <w:rPr>
          <w:w w:val="110"/>
        </w:rPr>
        <w:t>Disorder</w:t>
      </w:r>
      <w:r>
        <w:rPr>
          <w:spacing w:val="-16"/>
          <w:w w:val="110"/>
        </w:rPr>
        <w:t xml:space="preserve"> </w:t>
      </w:r>
      <w:r>
        <w:rPr>
          <w:w w:val="110"/>
        </w:rPr>
        <w:t xml:space="preserve">and Shared Psychotic Disorder, </w:t>
      </w:r>
      <w:r>
        <w:rPr>
          <w:i/>
          <w:w w:val="110"/>
        </w:rPr>
        <w:t xml:space="preserve">psychotic </w:t>
      </w:r>
      <w:r>
        <w:rPr>
          <w:w w:val="110"/>
        </w:rPr>
        <w:t>is equivalent to</w:t>
      </w:r>
      <w:r>
        <w:rPr>
          <w:spacing w:val="17"/>
          <w:w w:val="110"/>
        </w:rPr>
        <w:t xml:space="preserve"> </w:t>
      </w:r>
      <w:r>
        <w:rPr>
          <w:w w:val="110"/>
        </w:rPr>
        <w:t>delusional.</w:t>
      </w:r>
    </w:p>
    <w:p w:rsidR="00E675F0" w:rsidRDefault="00E675F0" w:rsidP="00E675F0">
      <w:pPr>
        <w:pStyle w:val="BodyText"/>
        <w:spacing w:before="15"/>
        <w:ind w:left="525"/>
        <w:jc w:val="both"/>
      </w:pPr>
      <w:r>
        <w:rPr>
          <w:w w:val="105"/>
        </w:rPr>
        <w:t>The following disorders are included in this section:</w:t>
      </w:r>
    </w:p>
    <w:p w:rsidR="00E675F0" w:rsidRDefault="00E675F0" w:rsidP="00E675F0">
      <w:pPr>
        <w:pStyle w:val="BodyText"/>
        <w:spacing w:before="20" w:line="254" w:lineRule="auto"/>
        <w:ind w:left="166" w:right="112" w:firstLine="364"/>
        <w:jc w:val="both"/>
      </w:pPr>
      <w:r>
        <w:rPr>
          <w:b/>
          <w:w w:val="105"/>
        </w:rPr>
        <w:t xml:space="preserve">Schizophrenia </w:t>
      </w:r>
      <w:r>
        <w:rPr>
          <w:w w:val="105"/>
        </w:rPr>
        <w:t>is a disturbance that lasts for at least 6 months and includes at least  1 month of active-phase symptoms (i.e., two [or more] of the following: delusions, hallucinations, disorganized speech, grossly disorganized or catatonic behavior, negative symptoms). Definitions for the Schizophrenia subtypes (Paranoid, Disorganized, Cata­ tonic, Undifferentiated, and Residual) are also included in this</w:t>
      </w:r>
      <w:r>
        <w:rPr>
          <w:spacing w:val="41"/>
          <w:w w:val="105"/>
        </w:rPr>
        <w:t xml:space="preserve"> </w:t>
      </w:r>
      <w:r>
        <w:rPr>
          <w:w w:val="105"/>
        </w:rPr>
        <w:t>section.</w:t>
      </w:r>
    </w:p>
    <w:p w:rsidR="00E675F0" w:rsidRDefault="00E675F0" w:rsidP="00E675F0">
      <w:pPr>
        <w:spacing w:line="227" w:lineRule="exact"/>
        <w:ind w:left="530"/>
        <w:jc w:val="both"/>
        <w:rPr>
          <w:sz w:val="20"/>
        </w:rPr>
      </w:pPr>
      <w:r>
        <w:rPr>
          <w:b/>
          <w:w w:val="105"/>
          <w:sz w:val="20"/>
        </w:rPr>
        <w:t xml:space="preserve">Schizophreniform Disorder </w:t>
      </w:r>
      <w:r>
        <w:rPr>
          <w:w w:val="105"/>
          <w:sz w:val="20"/>
        </w:rPr>
        <w:t>is characterized by a symptomatic presentation that</w:t>
      </w:r>
    </w:p>
    <w:p w:rsidR="00E675F0" w:rsidRDefault="00E675F0" w:rsidP="00E675F0">
      <w:pPr>
        <w:pStyle w:val="BodyText"/>
        <w:spacing w:before="2"/>
        <w:rPr>
          <w:sz w:val="19"/>
        </w:rPr>
      </w:pPr>
      <w:r>
        <w:rPr>
          <w:noProof/>
        </w:rPr>
        <mc:AlternateContent>
          <mc:Choice Requires="wps">
            <w:drawing>
              <wp:anchor distT="0" distB="0" distL="0" distR="0" simplePos="0" relativeHeight="251897856" behindDoc="1" locked="0" layoutInCell="1" allowOverlap="1" wp14:anchorId="440C1313" wp14:editId="1E449972">
                <wp:simplePos x="0" y="0"/>
                <wp:positionH relativeFrom="page">
                  <wp:posOffset>470535</wp:posOffset>
                </wp:positionH>
                <wp:positionV relativeFrom="paragraph">
                  <wp:posOffset>168275</wp:posOffset>
                </wp:positionV>
                <wp:extent cx="4756150" cy="1270"/>
                <wp:effectExtent l="0" t="0" r="6350" b="0"/>
                <wp:wrapTopAndBottom/>
                <wp:docPr id="1281" name="Freeform 1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56150" cy="1270"/>
                        </a:xfrm>
                        <a:custGeom>
                          <a:avLst/>
                          <a:gdLst>
                            <a:gd name="T0" fmla="+- 0 741 741"/>
                            <a:gd name="T1" fmla="*/ T0 w 7490"/>
                            <a:gd name="T2" fmla="+- 0 8230 741"/>
                            <a:gd name="T3" fmla="*/ T2 w 7490"/>
                          </a:gdLst>
                          <a:ahLst/>
                          <a:cxnLst>
                            <a:cxn ang="0">
                              <a:pos x="T1" y="0"/>
                            </a:cxn>
                            <a:cxn ang="0">
                              <a:pos x="T3" y="0"/>
                            </a:cxn>
                          </a:cxnLst>
                          <a:rect l="0" t="0" r="r" b="b"/>
                          <a:pathLst>
                            <a:path w="7490">
                              <a:moveTo>
                                <a:pt x="0" y="0"/>
                              </a:moveTo>
                              <a:lnTo>
                                <a:pt x="7489" y="0"/>
                              </a:lnTo>
                            </a:path>
                          </a:pathLst>
                        </a:custGeom>
                        <a:noFill/>
                        <a:ln w="6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633D2" id="Freeform 1237" o:spid="_x0000_s1026" style="position:absolute;margin-left:37.05pt;margin-top:13.25pt;width:374.5pt;height:.1pt;z-index:-251418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49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" path="m,l7489,e" filled="f" strokeweight=".16958mm">
                <v:path arrowok="t" o:connecttype="custom" o:connectlocs="0,0;4755515,0" o:connectangles="0,0"/>
                <w10:wrap type="topAndBottom" anchorx="page"/>
              </v:shape>
            </w:pict>
          </mc:Fallback>
        </mc:AlternateContent>
      </w:r>
    </w:p>
    <w:p w:rsidR="00E675F0" w:rsidRDefault="00E675F0" w:rsidP="00E675F0">
      <w:pPr>
        <w:spacing w:before="15"/>
        <w:ind w:left="1205" w:right="1117"/>
        <w:jc w:val="center"/>
        <w:rPr>
          <w:b/>
          <w:sz w:val="23"/>
        </w:rPr>
      </w:pPr>
      <w:r>
        <w:rPr>
          <w:b/>
          <w:w w:val="105"/>
          <w:sz w:val="23"/>
        </w:rPr>
        <w:t>273</w:t>
      </w:r>
    </w:p>
    <w:p w:rsidR="00E675F0" w:rsidRDefault="00E675F0" w:rsidP="00E675F0">
      <w:pPr>
        <w:jc w:val="center"/>
        <w:rPr>
          <w:sz w:val="23"/>
        </w:rPr>
        <w:sectPr w:rsidR="00E675F0">
          <w:headerReference w:type="even" r:id="rId208"/>
          <w:pgSz w:w="8960" w:h="14260"/>
          <w:pgMar w:top="1320" w:right="620" w:bottom="280" w:left="580" w:header="0" w:footer="0" w:gutter="0"/>
          <w:cols w:space="720"/>
        </w:sectPr>
      </w:pPr>
    </w:p>
    <w:p w:rsidR="00E675F0" w:rsidRDefault="00E675F0" w:rsidP="00E675F0">
      <w:pPr>
        <w:pStyle w:val="BodyText"/>
        <w:spacing w:before="139" w:line="247" w:lineRule="auto"/>
        <w:ind w:left="106" w:right="117" w:firstLine="7"/>
        <w:jc w:val="right"/>
      </w:pPr>
      <w:bookmarkStart w:id="182" w:name="_bookmark161"/>
      <w:bookmarkEnd w:id="182"/>
      <w:r>
        <w:rPr>
          <w:w w:val="105"/>
        </w:rPr>
        <w:lastRenderedPageBreak/>
        <w:t xml:space="preserve">is equivalent to Schizophrenia  except  for its duration (i.e.,  the  disturbance </w:t>
      </w:r>
      <w:r>
        <w:rPr>
          <w:spacing w:val="13"/>
          <w:w w:val="105"/>
        </w:rPr>
        <w:t xml:space="preserve"> </w:t>
      </w:r>
      <w:r>
        <w:rPr>
          <w:w w:val="105"/>
        </w:rPr>
        <w:t>lasts</w:t>
      </w:r>
      <w:r>
        <w:rPr>
          <w:spacing w:val="20"/>
          <w:w w:val="105"/>
        </w:rPr>
        <w:t xml:space="preserve"> </w:t>
      </w:r>
      <w:r>
        <w:rPr>
          <w:w w:val="105"/>
        </w:rPr>
        <w:t xml:space="preserve">from 1 to </w:t>
      </w:r>
      <w:r>
        <w:rPr>
          <w:w w:val="105"/>
          <w:sz w:val="23"/>
        </w:rPr>
        <w:t xml:space="preserve">6 </w:t>
      </w:r>
      <w:r>
        <w:rPr>
          <w:w w:val="105"/>
        </w:rPr>
        <w:t>months) and the absence of a requirement that there be a decline</w:t>
      </w:r>
      <w:r>
        <w:rPr>
          <w:spacing w:val="36"/>
          <w:w w:val="105"/>
        </w:rPr>
        <w:t xml:space="preserve"> </w:t>
      </w:r>
      <w:r>
        <w:rPr>
          <w:w w:val="105"/>
        </w:rPr>
        <w:t>in</w:t>
      </w:r>
      <w:r>
        <w:rPr>
          <w:spacing w:val="1"/>
          <w:w w:val="105"/>
        </w:rPr>
        <w:t xml:space="preserve"> </w:t>
      </w:r>
      <w:r>
        <w:rPr>
          <w:w w:val="105"/>
        </w:rPr>
        <w:t>functioning.</w:t>
      </w:r>
      <w:r>
        <w:rPr>
          <w:w w:val="104"/>
        </w:rPr>
        <w:t xml:space="preserve"> </w:t>
      </w:r>
      <w:r>
        <w:rPr>
          <w:b/>
          <w:w w:val="105"/>
        </w:rPr>
        <w:t xml:space="preserve">Schizoaffective Disorder </w:t>
      </w:r>
      <w:r>
        <w:rPr>
          <w:w w:val="105"/>
        </w:rPr>
        <w:t>is a disturbance in which a mood episode</w:t>
      </w:r>
      <w:r>
        <w:rPr>
          <w:spacing w:val="20"/>
          <w:w w:val="105"/>
        </w:rPr>
        <w:t xml:space="preserve"> </w:t>
      </w:r>
      <w:r>
        <w:rPr>
          <w:w w:val="105"/>
        </w:rPr>
        <w:t>and</w:t>
      </w:r>
      <w:r>
        <w:rPr>
          <w:spacing w:val="18"/>
          <w:w w:val="105"/>
        </w:rPr>
        <w:t xml:space="preserve"> </w:t>
      </w:r>
      <w:r>
        <w:rPr>
          <w:w w:val="105"/>
        </w:rPr>
        <w:t>the</w:t>
      </w:r>
      <w:r>
        <w:rPr>
          <w:spacing w:val="-1"/>
          <w:w w:val="110"/>
        </w:rPr>
        <w:t xml:space="preserve"> </w:t>
      </w:r>
      <w:r>
        <w:rPr>
          <w:w w:val="105"/>
        </w:rPr>
        <w:t>active-phase symptoms of Schizophrenia occur together and were preceded</w:t>
      </w:r>
      <w:r>
        <w:rPr>
          <w:spacing w:val="47"/>
          <w:w w:val="105"/>
        </w:rPr>
        <w:t xml:space="preserve"> </w:t>
      </w:r>
      <w:r>
        <w:rPr>
          <w:w w:val="105"/>
        </w:rPr>
        <w:t>or</w:t>
      </w:r>
      <w:r>
        <w:rPr>
          <w:spacing w:val="46"/>
          <w:w w:val="105"/>
        </w:rPr>
        <w:t xml:space="preserve"> </w:t>
      </w:r>
      <w:r>
        <w:rPr>
          <w:w w:val="105"/>
        </w:rPr>
        <w:t>are</w:t>
      </w:r>
      <w:r>
        <w:rPr>
          <w:spacing w:val="-1"/>
          <w:w w:val="110"/>
        </w:rPr>
        <w:t xml:space="preserve"> </w:t>
      </w:r>
      <w:r>
        <w:rPr>
          <w:w w:val="105"/>
        </w:rPr>
        <w:t>followed by at least 2 weeks of delusions or hallucinations without prominent</w:t>
      </w:r>
      <w:r>
        <w:rPr>
          <w:spacing w:val="29"/>
          <w:w w:val="105"/>
        </w:rPr>
        <w:t xml:space="preserve"> </w:t>
      </w:r>
      <w:r>
        <w:rPr>
          <w:w w:val="105"/>
        </w:rPr>
        <w:t>mood</w:t>
      </w:r>
    </w:p>
    <w:p w:rsidR="00E675F0" w:rsidRDefault="00E675F0" w:rsidP="00E675F0">
      <w:pPr>
        <w:pStyle w:val="BodyText"/>
        <w:spacing w:before="6"/>
        <w:ind w:left="114"/>
      </w:pPr>
      <w:r>
        <w:rPr>
          <w:w w:val="105"/>
        </w:rPr>
        <w:t>symptoms.</w:t>
      </w:r>
    </w:p>
    <w:p w:rsidR="00E675F0" w:rsidRDefault="00E675F0" w:rsidP="00E675F0">
      <w:pPr>
        <w:pStyle w:val="BodyText"/>
        <w:spacing w:before="10" w:line="252" w:lineRule="auto"/>
        <w:ind w:left="118" w:right="123" w:firstLine="359"/>
        <w:jc w:val="both"/>
      </w:pPr>
      <w:r>
        <w:rPr>
          <w:b/>
          <w:w w:val="105"/>
        </w:rPr>
        <w:t xml:space="preserve">Delusional Disorder </w:t>
      </w:r>
      <w:r>
        <w:rPr>
          <w:w w:val="105"/>
        </w:rPr>
        <w:t>is characterized by at least 1 month of nonbizarre delusions without other active-phase symptoms of Schizophrenia.</w:t>
      </w:r>
    </w:p>
    <w:p w:rsidR="00E675F0" w:rsidRDefault="00E675F0" w:rsidP="00E675F0">
      <w:pPr>
        <w:spacing w:before="3" w:line="256" w:lineRule="auto"/>
        <w:ind w:left="123" w:right="132" w:firstLine="353"/>
        <w:jc w:val="both"/>
        <w:rPr>
          <w:sz w:val="20"/>
        </w:rPr>
      </w:pPr>
      <w:r>
        <w:rPr>
          <w:b/>
          <w:w w:val="105"/>
          <w:sz w:val="20"/>
        </w:rPr>
        <w:t xml:space="preserve">Brief Psychotic Disorder </w:t>
      </w:r>
      <w:r>
        <w:rPr>
          <w:w w:val="105"/>
          <w:sz w:val="20"/>
        </w:rPr>
        <w:t>is a psychotic disturbance that lasts more than 1 day and remits by 1 month.</w:t>
      </w:r>
    </w:p>
    <w:p w:rsidR="00E675F0" w:rsidRDefault="00E675F0" w:rsidP="00E675F0">
      <w:pPr>
        <w:pStyle w:val="BodyText"/>
        <w:spacing w:line="252" w:lineRule="auto"/>
        <w:ind w:left="123" w:right="114" w:firstLine="351"/>
        <w:jc w:val="both"/>
      </w:pPr>
      <w:r>
        <w:rPr>
          <w:b/>
          <w:w w:val="105"/>
        </w:rPr>
        <w:t xml:space="preserve">Shared Psychotic Disorder </w:t>
      </w:r>
      <w:r>
        <w:rPr>
          <w:w w:val="105"/>
        </w:rPr>
        <w:t>is a disturbance that develops in an individual who is influenced by someone else who has an established delusion with similar content.</w:t>
      </w:r>
    </w:p>
    <w:p w:rsidR="00E675F0" w:rsidRDefault="00E675F0" w:rsidP="00E675F0">
      <w:pPr>
        <w:spacing w:line="256" w:lineRule="auto"/>
        <w:ind w:left="112" w:right="120" w:firstLine="367"/>
        <w:jc w:val="both"/>
        <w:rPr>
          <w:sz w:val="20"/>
        </w:rPr>
      </w:pPr>
      <w:r>
        <w:rPr>
          <w:w w:val="110"/>
          <w:sz w:val="20"/>
        </w:rPr>
        <w:t xml:space="preserve">In </w:t>
      </w:r>
      <w:r>
        <w:rPr>
          <w:b/>
          <w:w w:val="110"/>
          <w:sz w:val="20"/>
        </w:rPr>
        <w:t xml:space="preserve">Psychotic Disorder Due to a General Medical Condition, </w:t>
      </w:r>
      <w:r>
        <w:rPr>
          <w:w w:val="110"/>
          <w:sz w:val="20"/>
        </w:rPr>
        <w:t>the psychotic symptoms are judged to be a direct physiological consequence of a general medical condition.</w:t>
      </w:r>
    </w:p>
    <w:p w:rsidR="00E675F0" w:rsidRDefault="00E675F0" w:rsidP="00E675F0">
      <w:pPr>
        <w:spacing w:line="256" w:lineRule="auto"/>
        <w:ind w:left="112" w:right="122" w:firstLine="363"/>
        <w:jc w:val="both"/>
        <w:rPr>
          <w:sz w:val="20"/>
        </w:rPr>
      </w:pPr>
      <w:r>
        <w:rPr>
          <w:w w:val="110"/>
          <w:sz w:val="20"/>
        </w:rPr>
        <w:t xml:space="preserve">In </w:t>
      </w:r>
      <w:r>
        <w:rPr>
          <w:b/>
          <w:w w:val="110"/>
          <w:sz w:val="20"/>
        </w:rPr>
        <w:t xml:space="preserve">Substance-Induced Psychotic Disorder, </w:t>
      </w:r>
      <w:r>
        <w:rPr>
          <w:w w:val="110"/>
          <w:sz w:val="20"/>
        </w:rPr>
        <w:t>the psychotic symptoms are judged to be a direct physiological consequence of a drug of abuse, a medication, or toxin exposure.</w:t>
      </w:r>
    </w:p>
    <w:p w:rsidR="00E675F0" w:rsidRDefault="00E675F0" w:rsidP="00E675F0">
      <w:pPr>
        <w:pStyle w:val="BodyText"/>
        <w:spacing w:line="254" w:lineRule="auto"/>
        <w:ind w:left="112" w:right="114" w:firstLine="362"/>
        <w:jc w:val="both"/>
      </w:pPr>
      <w:r>
        <w:rPr>
          <w:b/>
          <w:w w:val="105"/>
        </w:rPr>
        <w:t xml:space="preserve">Psychotic Disorder Not Otherwise Specified </w:t>
      </w:r>
      <w:r>
        <w:rPr>
          <w:w w:val="105"/>
        </w:rPr>
        <w:t>is included for classifying psychotic presentations that do not meet the criteria for any of the specific Psychotic Disorders defined in this section or psychotic symptomatology about which there is inadequate or contradictory information.</w:t>
      </w:r>
    </w:p>
    <w:p w:rsidR="00E675F0" w:rsidRDefault="00E675F0" w:rsidP="00E675F0">
      <w:pPr>
        <w:pStyle w:val="BodyText"/>
        <w:rPr>
          <w:sz w:val="22"/>
        </w:rPr>
      </w:pPr>
    </w:p>
    <w:p w:rsidR="00E675F0" w:rsidRDefault="00E675F0" w:rsidP="00E675F0">
      <w:pPr>
        <w:pStyle w:val="BodyText"/>
        <w:spacing w:before="10"/>
        <w:rPr>
          <w:sz w:val="25"/>
        </w:rPr>
      </w:pPr>
    </w:p>
    <w:p w:rsidR="00E675F0" w:rsidRDefault="00E675F0" w:rsidP="00E675F0">
      <w:pPr>
        <w:ind w:left="113" w:right="119"/>
        <w:jc w:val="center"/>
        <w:rPr>
          <w:b/>
          <w:sz w:val="29"/>
        </w:rPr>
      </w:pPr>
      <w:r>
        <w:rPr>
          <w:b/>
          <w:sz w:val="29"/>
        </w:rPr>
        <w:t>Schizophrenia</w:t>
      </w:r>
    </w:p>
    <w:p w:rsidR="00E675F0" w:rsidRDefault="00E675F0" w:rsidP="00E675F0">
      <w:pPr>
        <w:pStyle w:val="BodyText"/>
        <w:spacing w:before="7"/>
        <w:rPr>
          <w:b/>
          <w:sz w:val="27"/>
        </w:rPr>
      </w:pPr>
    </w:p>
    <w:p w:rsidR="00E675F0" w:rsidRDefault="00E675F0" w:rsidP="00E675F0">
      <w:pPr>
        <w:pStyle w:val="BodyText"/>
        <w:spacing w:line="252" w:lineRule="auto"/>
        <w:ind w:left="118" w:right="112"/>
        <w:jc w:val="both"/>
      </w:pPr>
      <w:r>
        <w:rPr>
          <w:w w:val="105"/>
        </w:rPr>
        <w:t>The essential features of Schizophrenia are a mixture of characteristic signs and symptoms (both positive and negative) that have been present for a significant portion  of time during a 1-month period (or for a shorter time if successfully treated), with some signs of the disorder persisting for at least 6 months (Criteria A and C). These signs and symptoms are associated with marked social or occupational dysfunction (Criterion B). The disturbance is not better accounted for by Schizoaffective Disorder or a Mood Disorder With Psychotic Features and is not due to the direct physiological effects of a substance</w:t>
      </w:r>
      <w:r>
        <w:rPr>
          <w:spacing w:val="-9"/>
          <w:w w:val="105"/>
        </w:rPr>
        <w:t xml:space="preserve"> </w:t>
      </w:r>
      <w:r>
        <w:rPr>
          <w:w w:val="105"/>
        </w:rPr>
        <w:t>or</w:t>
      </w:r>
      <w:r>
        <w:rPr>
          <w:spacing w:val="-18"/>
          <w:w w:val="105"/>
        </w:rPr>
        <w:t xml:space="preserve"> </w:t>
      </w:r>
      <w:r>
        <w:rPr>
          <w:w w:val="105"/>
        </w:rPr>
        <w:t>a</w:t>
      </w:r>
      <w:r>
        <w:rPr>
          <w:spacing w:val="-21"/>
          <w:w w:val="105"/>
        </w:rPr>
        <w:t xml:space="preserve"> </w:t>
      </w:r>
      <w:r>
        <w:rPr>
          <w:w w:val="105"/>
        </w:rPr>
        <w:t>general</w:t>
      </w:r>
      <w:r>
        <w:rPr>
          <w:spacing w:val="-9"/>
          <w:w w:val="105"/>
        </w:rPr>
        <w:t xml:space="preserve"> </w:t>
      </w:r>
      <w:r>
        <w:rPr>
          <w:w w:val="105"/>
        </w:rPr>
        <w:t>medical</w:t>
      </w:r>
      <w:r>
        <w:rPr>
          <w:spacing w:val="-11"/>
          <w:w w:val="105"/>
        </w:rPr>
        <w:t xml:space="preserve"> </w:t>
      </w:r>
      <w:r>
        <w:rPr>
          <w:w w:val="105"/>
        </w:rPr>
        <w:t>condition</w:t>
      </w:r>
      <w:r>
        <w:rPr>
          <w:spacing w:val="-13"/>
          <w:w w:val="105"/>
        </w:rPr>
        <w:t xml:space="preserve"> </w:t>
      </w:r>
      <w:r>
        <w:rPr>
          <w:w w:val="105"/>
        </w:rPr>
        <w:t>(Criteria</w:t>
      </w:r>
      <w:r>
        <w:rPr>
          <w:spacing w:val="-4"/>
          <w:w w:val="105"/>
        </w:rPr>
        <w:t xml:space="preserve"> </w:t>
      </w:r>
      <w:r>
        <w:rPr>
          <w:w w:val="105"/>
        </w:rPr>
        <w:t>D</w:t>
      </w:r>
      <w:r>
        <w:rPr>
          <w:spacing w:val="-23"/>
          <w:w w:val="105"/>
        </w:rPr>
        <w:t xml:space="preserve"> </w:t>
      </w:r>
      <w:r>
        <w:rPr>
          <w:w w:val="105"/>
        </w:rPr>
        <w:t>and</w:t>
      </w:r>
      <w:r>
        <w:rPr>
          <w:spacing w:val="-10"/>
          <w:w w:val="105"/>
        </w:rPr>
        <w:t xml:space="preserve"> </w:t>
      </w:r>
      <w:r>
        <w:rPr>
          <w:w w:val="105"/>
        </w:rPr>
        <w:t>E).</w:t>
      </w:r>
      <w:r>
        <w:rPr>
          <w:spacing w:val="-16"/>
          <w:w w:val="105"/>
        </w:rPr>
        <w:t xml:space="preserve"> </w:t>
      </w:r>
      <w:r>
        <w:rPr>
          <w:w w:val="105"/>
        </w:rPr>
        <w:t>In</w:t>
      </w:r>
      <w:r>
        <w:rPr>
          <w:spacing w:val="-16"/>
          <w:w w:val="105"/>
        </w:rPr>
        <w:t xml:space="preserve"> </w:t>
      </w:r>
      <w:r>
        <w:rPr>
          <w:w w:val="105"/>
        </w:rPr>
        <w:t>individuals</w:t>
      </w:r>
      <w:r>
        <w:rPr>
          <w:spacing w:val="-4"/>
          <w:w w:val="105"/>
        </w:rPr>
        <w:t xml:space="preserve"> </w:t>
      </w:r>
      <w:r>
        <w:rPr>
          <w:w w:val="105"/>
        </w:rPr>
        <w:t>with</w:t>
      </w:r>
      <w:r>
        <w:rPr>
          <w:spacing w:val="-12"/>
          <w:w w:val="105"/>
        </w:rPr>
        <w:t xml:space="preserve"> </w:t>
      </w:r>
      <w:r>
        <w:rPr>
          <w:w w:val="105"/>
        </w:rPr>
        <w:t>a</w:t>
      </w:r>
      <w:r>
        <w:rPr>
          <w:spacing w:val="-10"/>
          <w:w w:val="105"/>
        </w:rPr>
        <w:t xml:space="preserve"> </w:t>
      </w:r>
      <w:r>
        <w:rPr>
          <w:w w:val="105"/>
        </w:rPr>
        <w:t>previous diagnosis of Autistic Disorder (or another Pervasive Developmental Disorder), the additional diagnosis of Schizophrenia is warranted only if prominent delusions or hallucinations are present for at least a month (Criterion F). The characteristic symptoms of Schizophrenia involve a range of cognitive and emotional dysfunctions that include perception, inferential thinking, language and communication, behavioral monitoring, affect, fluency and productivity of thought and speech, hedonic capacity, volition and drive, and attention. No single symptom is pathognomonic of Schizophrenia; the diagnosis involves the recognition of a constellation of signs and symptoms associated with impaired occupational or social</w:t>
      </w:r>
      <w:r>
        <w:rPr>
          <w:spacing w:val="-33"/>
          <w:w w:val="105"/>
        </w:rPr>
        <w:t xml:space="preserve"> </w:t>
      </w:r>
      <w:r>
        <w:rPr>
          <w:w w:val="105"/>
        </w:rPr>
        <w:t>functioning.</w:t>
      </w:r>
    </w:p>
    <w:p w:rsidR="00E675F0" w:rsidRDefault="00E675F0" w:rsidP="00E675F0">
      <w:pPr>
        <w:pStyle w:val="BodyText"/>
        <w:spacing w:before="15" w:line="254" w:lineRule="auto"/>
        <w:ind w:left="122" w:right="105" w:firstLine="365"/>
        <w:jc w:val="both"/>
      </w:pPr>
      <w:r>
        <w:rPr>
          <w:w w:val="110"/>
        </w:rPr>
        <w:t>Characteristic symptoms (Criterion A) may be conceptualized as falling into two broad categories--positive and negative. The positive symptoms appear to reflect an excess or distortion of normal functions, whereas the negative symptoms appear to reflect</w:t>
      </w:r>
      <w:r>
        <w:rPr>
          <w:spacing w:val="-30"/>
          <w:w w:val="110"/>
        </w:rPr>
        <w:t xml:space="preserve"> </w:t>
      </w:r>
      <w:r>
        <w:rPr>
          <w:w w:val="110"/>
        </w:rPr>
        <w:t>a</w:t>
      </w:r>
      <w:r>
        <w:rPr>
          <w:spacing w:val="-32"/>
          <w:w w:val="110"/>
        </w:rPr>
        <w:t xml:space="preserve"> </w:t>
      </w:r>
      <w:r>
        <w:rPr>
          <w:w w:val="110"/>
        </w:rPr>
        <w:t>diminution</w:t>
      </w:r>
      <w:r>
        <w:rPr>
          <w:spacing w:val="-26"/>
          <w:w w:val="110"/>
        </w:rPr>
        <w:t xml:space="preserve"> </w:t>
      </w:r>
      <w:r>
        <w:rPr>
          <w:w w:val="110"/>
        </w:rPr>
        <w:t>or</w:t>
      </w:r>
      <w:r>
        <w:rPr>
          <w:spacing w:val="-30"/>
          <w:w w:val="110"/>
        </w:rPr>
        <w:t xml:space="preserve"> </w:t>
      </w:r>
      <w:r>
        <w:rPr>
          <w:w w:val="110"/>
        </w:rPr>
        <w:t>loss</w:t>
      </w:r>
      <w:r>
        <w:rPr>
          <w:spacing w:val="-32"/>
          <w:w w:val="110"/>
        </w:rPr>
        <w:t xml:space="preserve"> </w:t>
      </w:r>
      <w:r>
        <w:rPr>
          <w:w w:val="110"/>
        </w:rPr>
        <w:t>of</w:t>
      </w:r>
      <w:r>
        <w:rPr>
          <w:spacing w:val="-26"/>
          <w:w w:val="110"/>
        </w:rPr>
        <w:t xml:space="preserve"> </w:t>
      </w:r>
      <w:r>
        <w:rPr>
          <w:w w:val="110"/>
        </w:rPr>
        <w:t>normal</w:t>
      </w:r>
      <w:r>
        <w:rPr>
          <w:spacing w:val="-30"/>
          <w:w w:val="110"/>
        </w:rPr>
        <w:t xml:space="preserve"> </w:t>
      </w:r>
      <w:r>
        <w:rPr>
          <w:w w:val="110"/>
        </w:rPr>
        <w:t>functions.</w:t>
      </w:r>
      <w:r>
        <w:rPr>
          <w:spacing w:val="-31"/>
          <w:w w:val="110"/>
        </w:rPr>
        <w:t xml:space="preserve"> </w:t>
      </w:r>
      <w:r>
        <w:rPr>
          <w:w w:val="110"/>
        </w:rPr>
        <w:t>The</w:t>
      </w:r>
      <w:r>
        <w:rPr>
          <w:spacing w:val="-28"/>
          <w:w w:val="110"/>
        </w:rPr>
        <w:t xml:space="preserve"> </w:t>
      </w:r>
      <w:r>
        <w:rPr>
          <w:w w:val="110"/>
        </w:rPr>
        <w:t>positive</w:t>
      </w:r>
      <w:r>
        <w:rPr>
          <w:spacing w:val="-30"/>
          <w:w w:val="110"/>
        </w:rPr>
        <w:t xml:space="preserve"> </w:t>
      </w:r>
      <w:r>
        <w:rPr>
          <w:w w:val="110"/>
        </w:rPr>
        <w:t>symptoms</w:t>
      </w:r>
      <w:r>
        <w:rPr>
          <w:spacing w:val="-26"/>
          <w:w w:val="110"/>
        </w:rPr>
        <w:t xml:space="preserve"> </w:t>
      </w:r>
      <w:r>
        <w:rPr>
          <w:w w:val="110"/>
        </w:rPr>
        <w:t>(Criteria</w:t>
      </w:r>
      <w:r>
        <w:rPr>
          <w:spacing w:val="-25"/>
          <w:w w:val="110"/>
        </w:rPr>
        <w:t xml:space="preserve"> </w:t>
      </w:r>
      <w:r>
        <w:rPr>
          <w:w w:val="110"/>
        </w:rPr>
        <w:t>Al-A4) include distortions or exaggerations of inferential thinking (delusions),</w:t>
      </w:r>
      <w:r>
        <w:rPr>
          <w:spacing w:val="23"/>
          <w:w w:val="110"/>
        </w:rPr>
        <w:t xml:space="preserve"> </w:t>
      </w:r>
      <w:r>
        <w:rPr>
          <w:w w:val="110"/>
        </w:rPr>
        <w:t>perception</w:t>
      </w:r>
    </w:p>
    <w:p w:rsidR="00E675F0" w:rsidRDefault="00E675F0" w:rsidP="00E675F0">
      <w:pPr>
        <w:spacing w:line="254" w:lineRule="auto"/>
        <w:jc w:val="both"/>
        <w:sectPr w:rsidR="00E675F0">
          <w:headerReference w:type="even" r:id="rId209"/>
          <w:headerReference w:type="default" r:id="rId210"/>
          <w:pgSz w:w="8960" w:h="14260"/>
          <w:pgMar w:top="1400" w:right="640" w:bottom="280" w:left="600" w:header="704" w:footer="0" w:gutter="0"/>
          <w:pgNumType w:start="274"/>
          <w:cols w:space="720"/>
        </w:sectPr>
      </w:pPr>
    </w:p>
    <w:p w:rsidR="00E675F0" w:rsidRDefault="00E675F0" w:rsidP="00E675F0">
      <w:pPr>
        <w:pStyle w:val="BodyText"/>
        <w:spacing w:before="116" w:line="254" w:lineRule="auto"/>
        <w:ind w:left="114" w:right="117" w:firstLine="3"/>
        <w:jc w:val="both"/>
      </w:pPr>
      <w:r>
        <w:rPr>
          <w:w w:val="105"/>
        </w:rPr>
        <w:lastRenderedPageBreak/>
        <w:t>(hallucinations), language and communication (disorganized speech), and behavioral monitoring (grossly disorganized or catatonic behavior). These positive symptoms may comprise two distinct dimensions, which may in turn be related to different underlying neural mechanisms and clinical correlations: the "psychotic dimension" includes delu­ sions and hallucinations, whereas the "disorganization dimension" includes disorga­ nized speech and behavior. Negative symptoms (Criterion AS) include restrictions in the range and intensity of emotional expression (affective flattening), in the fluency and productivity of thought and speech (alogia), and in the initiation of goal-directed behavior (avolition).</w:t>
      </w:r>
    </w:p>
    <w:p w:rsidR="00E675F0" w:rsidRDefault="00E675F0" w:rsidP="00E675F0">
      <w:pPr>
        <w:pStyle w:val="BodyText"/>
        <w:spacing w:line="252" w:lineRule="auto"/>
        <w:ind w:left="119" w:right="114" w:firstLine="369"/>
        <w:jc w:val="right"/>
      </w:pPr>
      <w:r>
        <w:rPr>
          <w:w w:val="105"/>
        </w:rPr>
        <w:t>Delusions (Criterion Al) are erroneous beliefs that usually involve</w:t>
      </w:r>
      <w:r>
        <w:rPr>
          <w:spacing w:val="8"/>
          <w:w w:val="105"/>
        </w:rPr>
        <w:t xml:space="preserve"> </w:t>
      </w:r>
      <w:r>
        <w:rPr>
          <w:w w:val="105"/>
        </w:rPr>
        <w:t>a</w:t>
      </w:r>
      <w:r>
        <w:rPr>
          <w:spacing w:val="9"/>
          <w:w w:val="105"/>
        </w:rPr>
        <w:t xml:space="preserve"> </w:t>
      </w:r>
      <w:r>
        <w:rPr>
          <w:w w:val="105"/>
        </w:rPr>
        <w:t>misinterpreta­</w:t>
      </w:r>
      <w:r>
        <w:rPr>
          <w:spacing w:val="-1"/>
          <w:w w:val="106"/>
        </w:rPr>
        <w:t xml:space="preserve"> </w:t>
      </w:r>
      <w:r>
        <w:rPr>
          <w:w w:val="105"/>
        </w:rPr>
        <w:t>tion of perceptions or experiences. Their content may include a variety of</w:t>
      </w:r>
      <w:r>
        <w:rPr>
          <w:spacing w:val="12"/>
          <w:w w:val="105"/>
        </w:rPr>
        <w:t xml:space="preserve"> </w:t>
      </w:r>
      <w:r>
        <w:rPr>
          <w:w w:val="105"/>
        </w:rPr>
        <w:t>themes</w:t>
      </w:r>
      <w:r>
        <w:rPr>
          <w:spacing w:val="3"/>
          <w:w w:val="105"/>
        </w:rPr>
        <w:t xml:space="preserve"> </w:t>
      </w:r>
      <w:r>
        <w:rPr>
          <w:w w:val="105"/>
        </w:rPr>
        <w:t>(e.g.,</w:t>
      </w:r>
      <w:r>
        <w:rPr>
          <w:spacing w:val="-1"/>
          <w:w w:val="105"/>
        </w:rPr>
        <w:t xml:space="preserve"> </w:t>
      </w:r>
      <w:r>
        <w:rPr>
          <w:w w:val="105"/>
        </w:rPr>
        <w:t>persecutory, referential, somatic, religious, or grandiose). Persecutory delusions</w:t>
      </w:r>
      <w:r>
        <w:rPr>
          <w:spacing w:val="-38"/>
          <w:w w:val="105"/>
        </w:rPr>
        <w:t xml:space="preserve"> </w:t>
      </w:r>
      <w:r>
        <w:rPr>
          <w:w w:val="105"/>
        </w:rPr>
        <w:t>are</w:t>
      </w:r>
      <w:r>
        <w:rPr>
          <w:spacing w:val="-10"/>
          <w:w w:val="105"/>
        </w:rPr>
        <w:t xml:space="preserve"> </w:t>
      </w:r>
      <w:r>
        <w:rPr>
          <w:w w:val="105"/>
        </w:rPr>
        <w:t>most</w:t>
      </w:r>
      <w:r>
        <w:rPr>
          <w:spacing w:val="-1"/>
          <w:w w:val="103"/>
        </w:rPr>
        <w:t xml:space="preserve"> </w:t>
      </w:r>
      <w:r>
        <w:rPr>
          <w:w w:val="105"/>
        </w:rPr>
        <w:t>common; the person believes he or she is being tormented, followed, tricked,</w:t>
      </w:r>
      <w:r>
        <w:rPr>
          <w:spacing w:val="39"/>
          <w:w w:val="105"/>
        </w:rPr>
        <w:t xml:space="preserve"> </w:t>
      </w:r>
      <w:r>
        <w:rPr>
          <w:w w:val="105"/>
        </w:rPr>
        <w:t>spied</w:t>
      </w:r>
      <w:r>
        <w:rPr>
          <w:spacing w:val="3"/>
          <w:w w:val="105"/>
        </w:rPr>
        <w:t xml:space="preserve"> </w:t>
      </w:r>
      <w:r>
        <w:rPr>
          <w:w w:val="105"/>
        </w:rPr>
        <w:t>on,</w:t>
      </w:r>
      <w:r>
        <w:rPr>
          <w:w w:val="109"/>
        </w:rPr>
        <w:t xml:space="preserve"> </w:t>
      </w:r>
      <w:r>
        <w:rPr>
          <w:w w:val="105"/>
        </w:rPr>
        <w:t>or subjected to ridicule. Referential delusions are also common; the person</w:t>
      </w:r>
      <w:r>
        <w:rPr>
          <w:spacing w:val="-14"/>
          <w:w w:val="105"/>
        </w:rPr>
        <w:t xml:space="preserve"> </w:t>
      </w:r>
      <w:r>
        <w:rPr>
          <w:w w:val="105"/>
        </w:rPr>
        <w:t>believes</w:t>
      </w:r>
      <w:r>
        <w:rPr>
          <w:spacing w:val="2"/>
          <w:w w:val="105"/>
        </w:rPr>
        <w:t xml:space="preserve"> </w:t>
      </w:r>
      <w:r>
        <w:rPr>
          <w:w w:val="105"/>
        </w:rPr>
        <w:t>that</w:t>
      </w:r>
      <w:r>
        <w:rPr>
          <w:spacing w:val="-1"/>
          <w:w w:val="106"/>
        </w:rPr>
        <w:t xml:space="preserve"> </w:t>
      </w:r>
      <w:r>
        <w:rPr>
          <w:w w:val="105"/>
        </w:rPr>
        <w:t>certain gestures, comments, passages from books, newspapers, song lyrics,</w:t>
      </w:r>
      <w:r>
        <w:rPr>
          <w:spacing w:val="-21"/>
          <w:w w:val="105"/>
        </w:rPr>
        <w:t xml:space="preserve"> </w:t>
      </w:r>
      <w:r>
        <w:rPr>
          <w:w w:val="105"/>
        </w:rPr>
        <w:t>or</w:t>
      </w:r>
      <w:r>
        <w:rPr>
          <w:spacing w:val="34"/>
          <w:w w:val="105"/>
        </w:rPr>
        <w:t xml:space="preserve"> </w:t>
      </w:r>
      <w:r>
        <w:rPr>
          <w:w w:val="105"/>
        </w:rPr>
        <w:t>other</w:t>
      </w:r>
      <w:r>
        <w:rPr>
          <w:w w:val="108"/>
        </w:rPr>
        <w:t xml:space="preserve"> </w:t>
      </w:r>
      <w:r>
        <w:rPr>
          <w:w w:val="105"/>
        </w:rPr>
        <w:t>environmental cues are specifically directed at him or her. The distinction</w:t>
      </w:r>
      <w:r>
        <w:rPr>
          <w:spacing w:val="41"/>
          <w:w w:val="105"/>
        </w:rPr>
        <w:t xml:space="preserve"> </w:t>
      </w:r>
      <w:r>
        <w:rPr>
          <w:w w:val="105"/>
        </w:rPr>
        <w:t>between</w:t>
      </w:r>
      <w:r>
        <w:rPr>
          <w:spacing w:val="29"/>
          <w:w w:val="105"/>
        </w:rPr>
        <w:t xml:space="preserve"> </w:t>
      </w:r>
      <w:r>
        <w:rPr>
          <w:w w:val="105"/>
        </w:rPr>
        <w:t>a</w:t>
      </w:r>
      <w:r>
        <w:rPr>
          <w:w w:val="110"/>
        </w:rPr>
        <w:t xml:space="preserve"> </w:t>
      </w:r>
      <w:r>
        <w:rPr>
          <w:w w:val="105"/>
        </w:rPr>
        <w:t>delusion and a strongly held idea is sometimes difficult to make and depends</w:t>
      </w:r>
      <w:r>
        <w:rPr>
          <w:spacing w:val="5"/>
          <w:w w:val="105"/>
        </w:rPr>
        <w:t xml:space="preserve"> </w:t>
      </w:r>
      <w:r>
        <w:rPr>
          <w:w w:val="105"/>
        </w:rPr>
        <w:t>on</w:t>
      </w:r>
      <w:r>
        <w:rPr>
          <w:spacing w:val="31"/>
          <w:w w:val="105"/>
        </w:rPr>
        <w:t xml:space="preserve"> </w:t>
      </w:r>
      <w:r>
        <w:rPr>
          <w:w w:val="105"/>
        </w:rPr>
        <w:t>the</w:t>
      </w:r>
      <w:r>
        <w:rPr>
          <w:spacing w:val="-1"/>
          <w:w w:val="110"/>
        </w:rPr>
        <w:t xml:space="preserve"> </w:t>
      </w:r>
      <w:r>
        <w:rPr>
          <w:w w:val="105"/>
        </w:rPr>
        <w:t>degree of conviction with which the belief is held despite clear</w:t>
      </w:r>
      <w:r>
        <w:rPr>
          <w:spacing w:val="45"/>
          <w:w w:val="105"/>
        </w:rPr>
        <w:t xml:space="preserve"> </w:t>
      </w:r>
      <w:r>
        <w:rPr>
          <w:w w:val="105"/>
        </w:rPr>
        <w:t>contradictory</w:t>
      </w:r>
      <w:r>
        <w:rPr>
          <w:spacing w:val="17"/>
          <w:w w:val="105"/>
        </w:rPr>
        <w:t xml:space="preserve"> </w:t>
      </w:r>
      <w:r>
        <w:rPr>
          <w:w w:val="105"/>
        </w:rPr>
        <w:t>evidence.</w:t>
      </w:r>
      <w:r>
        <w:rPr>
          <w:spacing w:val="-1"/>
          <w:w w:val="106"/>
        </w:rPr>
        <w:t xml:space="preserve"> </w:t>
      </w:r>
      <w:r>
        <w:rPr>
          <w:w w:val="105"/>
        </w:rPr>
        <w:t>Although bizarre delusions are considered to be especially characteristic</w:t>
      </w:r>
      <w:r>
        <w:rPr>
          <w:spacing w:val="6"/>
          <w:w w:val="105"/>
        </w:rPr>
        <w:t xml:space="preserve"> </w:t>
      </w:r>
      <w:r>
        <w:rPr>
          <w:w w:val="105"/>
        </w:rPr>
        <w:t>of</w:t>
      </w:r>
      <w:r>
        <w:rPr>
          <w:spacing w:val="4"/>
          <w:w w:val="105"/>
        </w:rPr>
        <w:t xml:space="preserve"> </w:t>
      </w:r>
      <w:r>
        <w:rPr>
          <w:w w:val="105"/>
        </w:rPr>
        <w:t>Schizo­</w:t>
      </w:r>
      <w:r>
        <w:rPr>
          <w:spacing w:val="-1"/>
          <w:w w:val="102"/>
        </w:rPr>
        <w:t xml:space="preserve"> </w:t>
      </w:r>
      <w:r>
        <w:rPr>
          <w:w w:val="105"/>
        </w:rPr>
        <w:t>phrenia, "bizarreness" may be difficult to judge, especially across</w:t>
      </w:r>
      <w:r>
        <w:rPr>
          <w:spacing w:val="15"/>
          <w:w w:val="105"/>
        </w:rPr>
        <w:t xml:space="preserve"> </w:t>
      </w:r>
      <w:r>
        <w:rPr>
          <w:w w:val="105"/>
        </w:rPr>
        <w:t>different</w:t>
      </w:r>
      <w:r>
        <w:rPr>
          <w:spacing w:val="34"/>
          <w:w w:val="105"/>
        </w:rPr>
        <w:t xml:space="preserve"> </w:t>
      </w:r>
      <w:r>
        <w:rPr>
          <w:w w:val="105"/>
        </w:rPr>
        <w:t>cultures.</w:t>
      </w:r>
      <w:r>
        <w:rPr>
          <w:spacing w:val="-1"/>
          <w:w w:val="105"/>
        </w:rPr>
        <w:t xml:space="preserve"> </w:t>
      </w:r>
      <w:r>
        <w:rPr>
          <w:w w:val="105"/>
        </w:rPr>
        <w:t xml:space="preserve">Delusions are deemed bizarre if they are clearly implausible and </w:t>
      </w:r>
      <w:r>
        <w:rPr>
          <w:spacing w:val="36"/>
          <w:w w:val="105"/>
        </w:rPr>
        <w:t xml:space="preserve"> </w:t>
      </w:r>
      <w:r>
        <w:rPr>
          <w:w w:val="105"/>
        </w:rPr>
        <w:t>not</w:t>
      </w:r>
      <w:r>
        <w:rPr>
          <w:spacing w:val="32"/>
          <w:w w:val="105"/>
        </w:rPr>
        <w:t xml:space="preserve"> </w:t>
      </w:r>
      <w:r>
        <w:rPr>
          <w:w w:val="105"/>
        </w:rPr>
        <w:t>understandable</w:t>
      </w:r>
      <w:r>
        <w:rPr>
          <w:w w:val="109"/>
        </w:rPr>
        <w:t xml:space="preserve"> </w:t>
      </w:r>
      <w:r>
        <w:rPr>
          <w:w w:val="105"/>
        </w:rPr>
        <w:t>and do not derive from ordinary life experiences.  An example  of  a  bizarre</w:t>
      </w:r>
      <w:r>
        <w:rPr>
          <w:spacing w:val="-9"/>
          <w:w w:val="105"/>
        </w:rPr>
        <w:t xml:space="preserve"> </w:t>
      </w:r>
      <w:r>
        <w:rPr>
          <w:w w:val="105"/>
        </w:rPr>
        <w:t>delusion</w:t>
      </w:r>
      <w:r>
        <w:rPr>
          <w:spacing w:val="26"/>
          <w:w w:val="105"/>
        </w:rPr>
        <w:t xml:space="preserve"> </w:t>
      </w:r>
      <w:r>
        <w:rPr>
          <w:w w:val="105"/>
        </w:rPr>
        <w:t>is</w:t>
      </w:r>
      <w:r>
        <w:rPr>
          <w:spacing w:val="-1"/>
          <w:w w:val="98"/>
        </w:rPr>
        <w:t xml:space="preserve"> </w:t>
      </w:r>
      <w:r>
        <w:rPr>
          <w:w w:val="105"/>
        </w:rPr>
        <w:t>a</w:t>
      </w:r>
      <w:r>
        <w:rPr>
          <w:spacing w:val="10"/>
          <w:w w:val="105"/>
        </w:rPr>
        <w:t xml:space="preserve"> </w:t>
      </w:r>
      <w:r>
        <w:rPr>
          <w:w w:val="105"/>
        </w:rPr>
        <w:t>person's</w:t>
      </w:r>
      <w:r>
        <w:rPr>
          <w:spacing w:val="16"/>
          <w:w w:val="105"/>
        </w:rPr>
        <w:t xml:space="preserve"> </w:t>
      </w:r>
      <w:r>
        <w:rPr>
          <w:w w:val="105"/>
        </w:rPr>
        <w:t>belief</w:t>
      </w:r>
      <w:r>
        <w:rPr>
          <w:spacing w:val="11"/>
          <w:w w:val="105"/>
        </w:rPr>
        <w:t xml:space="preserve"> </w:t>
      </w:r>
      <w:r>
        <w:rPr>
          <w:w w:val="105"/>
        </w:rPr>
        <w:t>that</w:t>
      </w:r>
      <w:r>
        <w:rPr>
          <w:spacing w:val="-2"/>
          <w:w w:val="105"/>
        </w:rPr>
        <w:t xml:space="preserve"> </w:t>
      </w:r>
      <w:r>
        <w:rPr>
          <w:w w:val="105"/>
        </w:rPr>
        <w:t>a</w:t>
      </w:r>
      <w:r>
        <w:rPr>
          <w:spacing w:val="-2"/>
          <w:w w:val="105"/>
        </w:rPr>
        <w:t xml:space="preserve"> </w:t>
      </w:r>
      <w:r>
        <w:rPr>
          <w:w w:val="105"/>
        </w:rPr>
        <w:t>stranger</w:t>
      </w:r>
      <w:r>
        <w:rPr>
          <w:spacing w:val="12"/>
          <w:w w:val="105"/>
        </w:rPr>
        <w:t xml:space="preserve"> </w:t>
      </w:r>
      <w:r>
        <w:rPr>
          <w:w w:val="105"/>
        </w:rPr>
        <w:t>has</w:t>
      </w:r>
      <w:r>
        <w:rPr>
          <w:spacing w:val="9"/>
          <w:w w:val="105"/>
        </w:rPr>
        <w:t xml:space="preserve"> </w:t>
      </w:r>
      <w:r>
        <w:rPr>
          <w:w w:val="105"/>
        </w:rPr>
        <w:t>removed</w:t>
      </w:r>
      <w:r>
        <w:rPr>
          <w:spacing w:val="16"/>
          <w:w w:val="105"/>
        </w:rPr>
        <w:t xml:space="preserve"> </w:t>
      </w:r>
      <w:r>
        <w:rPr>
          <w:w w:val="105"/>
        </w:rPr>
        <w:t>his</w:t>
      </w:r>
      <w:r>
        <w:rPr>
          <w:spacing w:val="-4"/>
          <w:w w:val="105"/>
        </w:rPr>
        <w:t xml:space="preserve"> </w:t>
      </w:r>
      <w:r>
        <w:rPr>
          <w:w w:val="105"/>
        </w:rPr>
        <w:t>or</w:t>
      </w:r>
      <w:r>
        <w:rPr>
          <w:spacing w:val="7"/>
          <w:w w:val="105"/>
        </w:rPr>
        <w:t xml:space="preserve"> </w:t>
      </w:r>
      <w:r>
        <w:rPr>
          <w:w w:val="105"/>
        </w:rPr>
        <w:t>her</w:t>
      </w:r>
      <w:r>
        <w:rPr>
          <w:spacing w:val="4"/>
          <w:w w:val="105"/>
        </w:rPr>
        <w:t xml:space="preserve"> </w:t>
      </w:r>
      <w:r>
        <w:rPr>
          <w:w w:val="105"/>
        </w:rPr>
        <w:t>internal</w:t>
      </w:r>
      <w:r>
        <w:rPr>
          <w:spacing w:val="13"/>
          <w:w w:val="105"/>
        </w:rPr>
        <w:t xml:space="preserve"> </w:t>
      </w:r>
      <w:r>
        <w:rPr>
          <w:w w:val="105"/>
        </w:rPr>
        <w:t>organs</w:t>
      </w:r>
      <w:r>
        <w:rPr>
          <w:spacing w:val="9"/>
          <w:w w:val="105"/>
        </w:rPr>
        <w:t xml:space="preserve"> </w:t>
      </w:r>
      <w:r>
        <w:rPr>
          <w:w w:val="105"/>
        </w:rPr>
        <w:t>and</w:t>
      </w:r>
      <w:r>
        <w:rPr>
          <w:spacing w:val="7"/>
          <w:w w:val="105"/>
        </w:rPr>
        <w:t xml:space="preserve"> </w:t>
      </w:r>
      <w:r>
        <w:rPr>
          <w:w w:val="105"/>
        </w:rPr>
        <w:t>has</w:t>
      </w:r>
      <w:r>
        <w:rPr>
          <w:spacing w:val="4"/>
          <w:w w:val="105"/>
        </w:rPr>
        <w:t xml:space="preserve"> </w:t>
      </w:r>
      <w:r>
        <w:rPr>
          <w:w w:val="105"/>
        </w:rPr>
        <w:t>replaced</w:t>
      </w:r>
      <w:r>
        <w:rPr>
          <w:w w:val="107"/>
        </w:rPr>
        <w:t xml:space="preserve"> </w:t>
      </w:r>
      <w:r>
        <w:rPr>
          <w:w w:val="105"/>
        </w:rPr>
        <w:t>them</w:t>
      </w:r>
      <w:r>
        <w:rPr>
          <w:spacing w:val="16"/>
          <w:w w:val="105"/>
        </w:rPr>
        <w:t xml:space="preserve"> </w:t>
      </w:r>
      <w:r>
        <w:rPr>
          <w:w w:val="105"/>
        </w:rPr>
        <w:t>with</w:t>
      </w:r>
      <w:r>
        <w:rPr>
          <w:spacing w:val="8"/>
          <w:w w:val="105"/>
        </w:rPr>
        <w:t xml:space="preserve"> </w:t>
      </w:r>
      <w:r>
        <w:rPr>
          <w:w w:val="105"/>
        </w:rPr>
        <w:t>someone</w:t>
      </w:r>
      <w:r>
        <w:rPr>
          <w:spacing w:val="16"/>
          <w:w w:val="105"/>
        </w:rPr>
        <w:t xml:space="preserve"> </w:t>
      </w:r>
      <w:r>
        <w:rPr>
          <w:w w:val="105"/>
        </w:rPr>
        <w:t>else's</w:t>
      </w:r>
      <w:r>
        <w:rPr>
          <w:spacing w:val="15"/>
          <w:w w:val="105"/>
        </w:rPr>
        <w:t xml:space="preserve"> </w:t>
      </w:r>
      <w:r>
        <w:rPr>
          <w:w w:val="105"/>
        </w:rPr>
        <w:t>organs</w:t>
      </w:r>
      <w:r>
        <w:rPr>
          <w:spacing w:val="19"/>
          <w:w w:val="105"/>
        </w:rPr>
        <w:t xml:space="preserve"> </w:t>
      </w:r>
      <w:r>
        <w:rPr>
          <w:w w:val="105"/>
        </w:rPr>
        <w:t>without</w:t>
      </w:r>
      <w:r>
        <w:rPr>
          <w:spacing w:val="17"/>
          <w:w w:val="105"/>
        </w:rPr>
        <w:t xml:space="preserve"> </w:t>
      </w:r>
      <w:r>
        <w:rPr>
          <w:w w:val="105"/>
        </w:rPr>
        <w:t>leaving</w:t>
      </w:r>
      <w:r>
        <w:rPr>
          <w:spacing w:val="15"/>
          <w:w w:val="105"/>
        </w:rPr>
        <w:t xml:space="preserve"> </w:t>
      </w:r>
      <w:r>
        <w:rPr>
          <w:w w:val="105"/>
        </w:rPr>
        <w:t>any</w:t>
      </w:r>
      <w:r>
        <w:rPr>
          <w:spacing w:val="9"/>
          <w:w w:val="105"/>
        </w:rPr>
        <w:t xml:space="preserve"> </w:t>
      </w:r>
      <w:r>
        <w:rPr>
          <w:w w:val="105"/>
        </w:rPr>
        <w:t>wounds</w:t>
      </w:r>
      <w:r>
        <w:rPr>
          <w:spacing w:val="9"/>
          <w:w w:val="105"/>
        </w:rPr>
        <w:t xml:space="preserve"> </w:t>
      </w:r>
      <w:r>
        <w:rPr>
          <w:w w:val="105"/>
        </w:rPr>
        <w:t>or</w:t>
      </w:r>
      <w:r>
        <w:rPr>
          <w:spacing w:val="10"/>
          <w:w w:val="105"/>
        </w:rPr>
        <w:t xml:space="preserve"> </w:t>
      </w:r>
      <w:r>
        <w:rPr>
          <w:w w:val="105"/>
        </w:rPr>
        <w:t>scars.</w:t>
      </w:r>
      <w:r>
        <w:rPr>
          <w:spacing w:val="12"/>
          <w:w w:val="105"/>
        </w:rPr>
        <w:t xml:space="preserve"> </w:t>
      </w:r>
      <w:r>
        <w:rPr>
          <w:w w:val="105"/>
        </w:rPr>
        <w:t>An</w:t>
      </w:r>
      <w:r>
        <w:rPr>
          <w:spacing w:val="9"/>
          <w:w w:val="105"/>
        </w:rPr>
        <w:t xml:space="preserve"> </w:t>
      </w:r>
      <w:r>
        <w:rPr>
          <w:w w:val="105"/>
        </w:rPr>
        <w:t>example</w:t>
      </w:r>
      <w:r>
        <w:rPr>
          <w:spacing w:val="13"/>
          <w:w w:val="105"/>
        </w:rPr>
        <w:t xml:space="preserve"> </w:t>
      </w:r>
      <w:r>
        <w:rPr>
          <w:w w:val="105"/>
        </w:rPr>
        <w:t>of</w:t>
      </w:r>
      <w:r>
        <w:rPr>
          <w:w w:val="102"/>
        </w:rPr>
        <w:t xml:space="preserve"> </w:t>
      </w:r>
      <w:r>
        <w:rPr>
          <w:w w:val="105"/>
        </w:rPr>
        <w:t>a nonbizarre delusion is a</w:t>
      </w:r>
      <w:r>
        <w:rPr>
          <w:spacing w:val="48"/>
          <w:w w:val="105"/>
        </w:rPr>
        <w:t xml:space="preserve"> </w:t>
      </w:r>
      <w:r>
        <w:rPr>
          <w:w w:val="105"/>
        </w:rPr>
        <w:t>person's false belief that he or she  is under surveillance</w:t>
      </w:r>
      <w:r>
        <w:rPr>
          <w:spacing w:val="43"/>
          <w:w w:val="105"/>
        </w:rPr>
        <w:t xml:space="preserve"> </w:t>
      </w:r>
      <w:r>
        <w:rPr>
          <w:w w:val="105"/>
        </w:rPr>
        <w:t>by</w:t>
      </w:r>
      <w:r>
        <w:rPr>
          <w:w w:val="104"/>
        </w:rPr>
        <w:t xml:space="preserve"> </w:t>
      </w:r>
      <w:r>
        <w:rPr>
          <w:w w:val="105"/>
        </w:rPr>
        <w:t>the</w:t>
      </w:r>
      <w:r>
        <w:rPr>
          <w:spacing w:val="-4"/>
          <w:w w:val="105"/>
        </w:rPr>
        <w:t xml:space="preserve"> </w:t>
      </w:r>
      <w:r>
        <w:rPr>
          <w:w w:val="105"/>
        </w:rPr>
        <w:t>police.</w:t>
      </w:r>
      <w:r>
        <w:rPr>
          <w:spacing w:val="-5"/>
          <w:w w:val="105"/>
        </w:rPr>
        <w:t xml:space="preserve"> </w:t>
      </w:r>
      <w:r>
        <w:rPr>
          <w:w w:val="105"/>
        </w:rPr>
        <w:t>Delusions</w:t>
      </w:r>
      <w:r>
        <w:rPr>
          <w:spacing w:val="-4"/>
          <w:w w:val="105"/>
        </w:rPr>
        <w:t xml:space="preserve"> </w:t>
      </w:r>
      <w:r>
        <w:rPr>
          <w:w w:val="105"/>
        </w:rPr>
        <w:t>that</w:t>
      </w:r>
      <w:r>
        <w:rPr>
          <w:spacing w:val="-13"/>
          <w:w w:val="105"/>
        </w:rPr>
        <w:t xml:space="preserve"> </w:t>
      </w:r>
      <w:r>
        <w:rPr>
          <w:w w:val="105"/>
        </w:rPr>
        <w:t>express</w:t>
      </w:r>
      <w:r>
        <w:rPr>
          <w:spacing w:val="-10"/>
          <w:w w:val="105"/>
        </w:rPr>
        <w:t xml:space="preserve"> </w:t>
      </w:r>
      <w:r>
        <w:rPr>
          <w:w w:val="105"/>
        </w:rPr>
        <w:t>a</w:t>
      </w:r>
      <w:r>
        <w:rPr>
          <w:spacing w:val="-13"/>
          <w:w w:val="105"/>
        </w:rPr>
        <w:t xml:space="preserve"> </w:t>
      </w:r>
      <w:r>
        <w:rPr>
          <w:w w:val="105"/>
        </w:rPr>
        <w:t>loss</w:t>
      </w:r>
      <w:r>
        <w:rPr>
          <w:spacing w:val="-16"/>
          <w:w w:val="105"/>
        </w:rPr>
        <w:t xml:space="preserve"> </w:t>
      </w:r>
      <w:r>
        <w:rPr>
          <w:w w:val="105"/>
        </w:rPr>
        <w:t>of</w:t>
      </w:r>
      <w:r>
        <w:rPr>
          <w:spacing w:val="-5"/>
          <w:w w:val="105"/>
        </w:rPr>
        <w:t xml:space="preserve"> </w:t>
      </w:r>
      <w:r>
        <w:rPr>
          <w:w w:val="105"/>
        </w:rPr>
        <w:t>control</w:t>
      </w:r>
      <w:r>
        <w:rPr>
          <w:spacing w:val="-7"/>
          <w:w w:val="105"/>
        </w:rPr>
        <w:t xml:space="preserve"> </w:t>
      </w:r>
      <w:r>
        <w:rPr>
          <w:w w:val="105"/>
        </w:rPr>
        <w:t>over</w:t>
      </w:r>
      <w:r>
        <w:rPr>
          <w:spacing w:val="-7"/>
          <w:w w:val="105"/>
        </w:rPr>
        <w:t xml:space="preserve"> </w:t>
      </w:r>
      <w:r>
        <w:rPr>
          <w:w w:val="105"/>
        </w:rPr>
        <w:t>mind</w:t>
      </w:r>
      <w:r>
        <w:rPr>
          <w:spacing w:val="-7"/>
          <w:w w:val="105"/>
        </w:rPr>
        <w:t xml:space="preserve"> </w:t>
      </w:r>
      <w:r>
        <w:rPr>
          <w:w w:val="105"/>
        </w:rPr>
        <w:t>or</w:t>
      </w:r>
      <w:r>
        <w:rPr>
          <w:spacing w:val="-12"/>
          <w:w w:val="105"/>
        </w:rPr>
        <w:t xml:space="preserve"> </w:t>
      </w:r>
      <w:r>
        <w:rPr>
          <w:w w:val="105"/>
        </w:rPr>
        <w:t>body</w:t>
      </w:r>
      <w:r>
        <w:rPr>
          <w:spacing w:val="-15"/>
          <w:w w:val="105"/>
        </w:rPr>
        <w:t xml:space="preserve"> </w:t>
      </w:r>
      <w:r>
        <w:rPr>
          <w:w w:val="105"/>
        </w:rPr>
        <w:t>(i.e.,</w:t>
      </w:r>
      <w:r>
        <w:rPr>
          <w:spacing w:val="-9"/>
          <w:w w:val="105"/>
        </w:rPr>
        <w:t xml:space="preserve"> </w:t>
      </w:r>
      <w:r>
        <w:rPr>
          <w:w w:val="105"/>
        </w:rPr>
        <w:t>those</w:t>
      </w:r>
      <w:r>
        <w:rPr>
          <w:spacing w:val="-6"/>
          <w:w w:val="105"/>
        </w:rPr>
        <w:t xml:space="preserve"> </w:t>
      </w:r>
      <w:r>
        <w:rPr>
          <w:w w:val="105"/>
        </w:rPr>
        <w:t>included</w:t>
      </w:r>
      <w:r>
        <w:rPr>
          <w:spacing w:val="-1"/>
          <w:w w:val="106"/>
        </w:rPr>
        <w:t xml:space="preserve"> </w:t>
      </w:r>
      <w:r>
        <w:rPr>
          <w:w w:val="105"/>
        </w:rPr>
        <w:t>among Schneider's list of "first-rank symptoms") are generally considered to</w:t>
      </w:r>
      <w:r>
        <w:rPr>
          <w:spacing w:val="29"/>
          <w:w w:val="105"/>
        </w:rPr>
        <w:t xml:space="preserve"> </w:t>
      </w:r>
      <w:r>
        <w:rPr>
          <w:w w:val="105"/>
        </w:rPr>
        <w:t>be</w:t>
      </w:r>
      <w:r>
        <w:rPr>
          <w:spacing w:val="-2"/>
          <w:w w:val="105"/>
        </w:rPr>
        <w:t xml:space="preserve"> </w:t>
      </w:r>
      <w:r>
        <w:rPr>
          <w:w w:val="105"/>
        </w:rPr>
        <w:t>bizarre;</w:t>
      </w:r>
      <w:r>
        <w:rPr>
          <w:w w:val="103"/>
        </w:rPr>
        <w:t xml:space="preserve"> </w:t>
      </w:r>
      <w:r>
        <w:rPr>
          <w:w w:val="105"/>
        </w:rPr>
        <w:t>these</w:t>
      </w:r>
      <w:r>
        <w:rPr>
          <w:spacing w:val="14"/>
          <w:w w:val="105"/>
        </w:rPr>
        <w:t xml:space="preserve"> </w:t>
      </w:r>
      <w:r>
        <w:rPr>
          <w:w w:val="105"/>
        </w:rPr>
        <w:t>include</w:t>
      </w:r>
      <w:r>
        <w:rPr>
          <w:spacing w:val="19"/>
          <w:w w:val="105"/>
        </w:rPr>
        <w:t xml:space="preserve"> </w:t>
      </w:r>
      <w:r>
        <w:rPr>
          <w:w w:val="105"/>
        </w:rPr>
        <w:t>a</w:t>
      </w:r>
      <w:r>
        <w:rPr>
          <w:spacing w:val="16"/>
          <w:w w:val="105"/>
        </w:rPr>
        <w:t xml:space="preserve"> </w:t>
      </w:r>
      <w:r>
        <w:rPr>
          <w:w w:val="105"/>
        </w:rPr>
        <w:t>person's</w:t>
      </w:r>
      <w:r>
        <w:rPr>
          <w:spacing w:val="26"/>
          <w:w w:val="105"/>
        </w:rPr>
        <w:t xml:space="preserve"> </w:t>
      </w:r>
      <w:r>
        <w:rPr>
          <w:w w:val="105"/>
        </w:rPr>
        <w:t>belief</w:t>
      </w:r>
      <w:r>
        <w:rPr>
          <w:spacing w:val="28"/>
          <w:w w:val="105"/>
        </w:rPr>
        <w:t xml:space="preserve"> </w:t>
      </w:r>
      <w:r>
        <w:rPr>
          <w:w w:val="105"/>
        </w:rPr>
        <w:t>that</w:t>
      </w:r>
      <w:r>
        <w:rPr>
          <w:spacing w:val="20"/>
          <w:w w:val="105"/>
        </w:rPr>
        <w:t xml:space="preserve"> </w:t>
      </w:r>
      <w:r>
        <w:rPr>
          <w:w w:val="105"/>
        </w:rPr>
        <w:t>his</w:t>
      </w:r>
      <w:r>
        <w:rPr>
          <w:spacing w:val="8"/>
          <w:w w:val="105"/>
        </w:rPr>
        <w:t xml:space="preserve"> </w:t>
      </w:r>
      <w:r>
        <w:rPr>
          <w:w w:val="105"/>
        </w:rPr>
        <w:t>or</w:t>
      </w:r>
      <w:r>
        <w:rPr>
          <w:spacing w:val="17"/>
          <w:w w:val="105"/>
        </w:rPr>
        <w:t xml:space="preserve"> </w:t>
      </w:r>
      <w:r>
        <w:rPr>
          <w:w w:val="105"/>
        </w:rPr>
        <w:t>her</w:t>
      </w:r>
      <w:r>
        <w:rPr>
          <w:spacing w:val="9"/>
          <w:w w:val="105"/>
        </w:rPr>
        <w:t xml:space="preserve"> </w:t>
      </w:r>
      <w:r>
        <w:rPr>
          <w:w w:val="105"/>
        </w:rPr>
        <w:t>thoughts</w:t>
      </w:r>
      <w:r>
        <w:rPr>
          <w:spacing w:val="24"/>
          <w:w w:val="105"/>
        </w:rPr>
        <w:t xml:space="preserve"> </w:t>
      </w:r>
      <w:r>
        <w:rPr>
          <w:w w:val="105"/>
        </w:rPr>
        <w:t>have</w:t>
      </w:r>
      <w:r>
        <w:rPr>
          <w:spacing w:val="21"/>
          <w:w w:val="105"/>
        </w:rPr>
        <w:t xml:space="preserve"> </w:t>
      </w:r>
      <w:r>
        <w:rPr>
          <w:w w:val="105"/>
        </w:rPr>
        <w:t>been</w:t>
      </w:r>
      <w:r>
        <w:rPr>
          <w:spacing w:val="18"/>
          <w:w w:val="105"/>
        </w:rPr>
        <w:t xml:space="preserve"> </w:t>
      </w:r>
      <w:r>
        <w:rPr>
          <w:w w:val="105"/>
        </w:rPr>
        <w:t>taken</w:t>
      </w:r>
      <w:r>
        <w:rPr>
          <w:spacing w:val="18"/>
          <w:w w:val="105"/>
        </w:rPr>
        <w:t xml:space="preserve"> </w:t>
      </w:r>
      <w:r>
        <w:rPr>
          <w:w w:val="105"/>
        </w:rPr>
        <w:t>away</w:t>
      </w:r>
      <w:r>
        <w:rPr>
          <w:spacing w:val="21"/>
          <w:w w:val="105"/>
        </w:rPr>
        <w:t xml:space="preserve"> </w:t>
      </w:r>
      <w:r>
        <w:rPr>
          <w:w w:val="105"/>
        </w:rPr>
        <w:t>by</w:t>
      </w:r>
      <w:r>
        <w:rPr>
          <w:spacing w:val="6"/>
          <w:w w:val="105"/>
        </w:rPr>
        <w:t xml:space="preserve"> </w:t>
      </w:r>
      <w:r>
        <w:rPr>
          <w:w w:val="105"/>
        </w:rPr>
        <w:t>some</w:t>
      </w:r>
      <w:r>
        <w:rPr>
          <w:spacing w:val="-1"/>
          <w:w w:val="108"/>
        </w:rPr>
        <w:t xml:space="preserve"> </w:t>
      </w:r>
      <w:r>
        <w:rPr>
          <w:w w:val="105"/>
        </w:rPr>
        <w:t>outside force ("thought withdrawal"), that alien thoughts have been put into his</w:t>
      </w:r>
      <w:r>
        <w:rPr>
          <w:spacing w:val="-4"/>
          <w:w w:val="105"/>
        </w:rPr>
        <w:t xml:space="preserve"> </w:t>
      </w:r>
      <w:r>
        <w:rPr>
          <w:w w:val="105"/>
        </w:rPr>
        <w:t>or</w:t>
      </w:r>
      <w:r>
        <w:rPr>
          <w:spacing w:val="24"/>
          <w:w w:val="105"/>
        </w:rPr>
        <w:t xml:space="preserve"> </w:t>
      </w:r>
      <w:r>
        <w:rPr>
          <w:w w:val="105"/>
        </w:rPr>
        <w:t>her</w:t>
      </w:r>
      <w:r>
        <w:rPr>
          <w:w w:val="107"/>
        </w:rPr>
        <w:t xml:space="preserve"> </w:t>
      </w:r>
      <w:r>
        <w:rPr>
          <w:w w:val="105"/>
        </w:rPr>
        <w:t>mind ("thought insertion"), or that his or her body or actions are being acted</w:t>
      </w:r>
      <w:r>
        <w:rPr>
          <w:spacing w:val="-13"/>
          <w:w w:val="105"/>
        </w:rPr>
        <w:t xml:space="preserve"> </w:t>
      </w:r>
      <w:r>
        <w:rPr>
          <w:w w:val="105"/>
        </w:rPr>
        <w:t>on</w:t>
      </w:r>
      <w:r>
        <w:rPr>
          <w:spacing w:val="32"/>
          <w:w w:val="105"/>
        </w:rPr>
        <w:t xml:space="preserve"> </w:t>
      </w:r>
      <w:r>
        <w:rPr>
          <w:w w:val="105"/>
        </w:rPr>
        <w:t>or</w:t>
      </w:r>
      <w:r>
        <w:rPr>
          <w:w w:val="108"/>
        </w:rPr>
        <w:t xml:space="preserve"> </w:t>
      </w:r>
      <w:r>
        <w:rPr>
          <w:w w:val="105"/>
        </w:rPr>
        <w:t>manipulated by some outside force ("delusions of control").</w:t>
      </w:r>
      <w:r>
        <w:rPr>
          <w:spacing w:val="25"/>
          <w:w w:val="105"/>
        </w:rPr>
        <w:t xml:space="preserve"> </w:t>
      </w:r>
      <w:r>
        <w:rPr>
          <w:w w:val="105"/>
          <w:sz w:val="21"/>
        </w:rPr>
        <w:t xml:space="preserve">If </w:t>
      </w:r>
      <w:r>
        <w:rPr>
          <w:w w:val="105"/>
        </w:rPr>
        <w:t>the delusions are</w:t>
      </w:r>
      <w:r>
        <w:rPr>
          <w:spacing w:val="19"/>
          <w:w w:val="105"/>
        </w:rPr>
        <w:t xml:space="preserve"> </w:t>
      </w:r>
      <w:r>
        <w:rPr>
          <w:w w:val="105"/>
        </w:rPr>
        <w:t>judged</w:t>
      </w:r>
      <w:r>
        <w:rPr>
          <w:spacing w:val="-1"/>
          <w:w w:val="103"/>
        </w:rPr>
        <w:t xml:space="preserve"> </w:t>
      </w:r>
      <w:r>
        <w:rPr>
          <w:w w:val="105"/>
        </w:rPr>
        <w:t>to</w:t>
      </w:r>
      <w:r>
        <w:rPr>
          <w:spacing w:val="-3"/>
          <w:w w:val="105"/>
        </w:rPr>
        <w:t xml:space="preserve"> </w:t>
      </w:r>
      <w:r>
        <w:rPr>
          <w:w w:val="105"/>
        </w:rPr>
        <w:t>be</w:t>
      </w:r>
      <w:r>
        <w:rPr>
          <w:spacing w:val="-4"/>
          <w:w w:val="105"/>
        </w:rPr>
        <w:t xml:space="preserve"> </w:t>
      </w:r>
      <w:r>
        <w:rPr>
          <w:w w:val="105"/>
        </w:rPr>
        <w:t>bizarre,</w:t>
      </w:r>
      <w:r>
        <w:rPr>
          <w:spacing w:val="-7"/>
          <w:w w:val="105"/>
        </w:rPr>
        <w:t xml:space="preserve"> </w:t>
      </w:r>
      <w:r>
        <w:rPr>
          <w:w w:val="105"/>
        </w:rPr>
        <w:t>only</w:t>
      </w:r>
      <w:r>
        <w:rPr>
          <w:spacing w:val="-10"/>
          <w:w w:val="105"/>
        </w:rPr>
        <w:t xml:space="preserve"> </w:t>
      </w:r>
      <w:r>
        <w:rPr>
          <w:w w:val="105"/>
        </w:rPr>
        <w:t>this</w:t>
      </w:r>
      <w:r>
        <w:rPr>
          <w:spacing w:val="-12"/>
          <w:w w:val="105"/>
        </w:rPr>
        <w:t xml:space="preserve"> </w:t>
      </w:r>
      <w:r>
        <w:rPr>
          <w:w w:val="105"/>
        </w:rPr>
        <w:t>single</w:t>
      </w:r>
      <w:r>
        <w:rPr>
          <w:spacing w:val="-14"/>
          <w:w w:val="105"/>
        </w:rPr>
        <w:t xml:space="preserve"> </w:t>
      </w:r>
      <w:r>
        <w:rPr>
          <w:w w:val="105"/>
        </w:rPr>
        <w:t>symptom</w:t>
      </w:r>
      <w:r>
        <w:rPr>
          <w:spacing w:val="-2"/>
          <w:w w:val="105"/>
        </w:rPr>
        <w:t xml:space="preserve"> </w:t>
      </w:r>
      <w:r>
        <w:rPr>
          <w:w w:val="105"/>
        </w:rPr>
        <w:t>is</w:t>
      </w:r>
      <w:r>
        <w:rPr>
          <w:spacing w:val="-14"/>
          <w:w w:val="105"/>
        </w:rPr>
        <w:t xml:space="preserve"> </w:t>
      </w:r>
      <w:r>
        <w:rPr>
          <w:w w:val="105"/>
        </w:rPr>
        <w:t>needed</w:t>
      </w:r>
      <w:r>
        <w:rPr>
          <w:spacing w:val="-3"/>
          <w:w w:val="105"/>
        </w:rPr>
        <w:t xml:space="preserve"> </w:t>
      </w:r>
      <w:r>
        <w:rPr>
          <w:w w:val="105"/>
        </w:rPr>
        <w:t>to</w:t>
      </w:r>
      <w:r>
        <w:rPr>
          <w:spacing w:val="-17"/>
          <w:w w:val="105"/>
        </w:rPr>
        <w:t xml:space="preserve"> </w:t>
      </w:r>
      <w:r>
        <w:rPr>
          <w:w w:val="105"/>
        </w:rPr>
        <w:t>satisfy</w:t>
      </w:r>
      <w:r>
        <w:rPr>
          <w:spacing w:val="-9"/>
          <w:w w:val="105"/>
        </w:rPr>
        <w:t xml:space="preserve"> </w:t>
      </w:r>
      <w:r>
        <w:rPr>
          <w:w w:val="105"/>
        </w:rPr>
        <w:t>Criterion</w:t>
      </w:r>
      <w:r>
        <w:rPr>
          <w:spacing w:val="-2"/>
          <w:w w:val="105"/>
        </w:rPr>
        <w:t xml:space="preserve"> </w:t>
      </w:r>
      <w:r>
        <w:rPr>
          <w:w w:val="105"/>
        </w:rPr>
        <w:t>A</w:t>
      </w:r>
      <w:r>
        <w:rPr>
          <w:spacing w:val="-20"/>
          <w:w w:val="105"/>
        </w:rPr>
        <w:t xml:space="preserve"> </w:t>
      </w:r>
      <w:r>
        <w:rPr>
          <w:w w:val="105"/>
        </w:rPr>
        <w:t>for</w:t>
      </w:r>
      <w:r>
        <w:rPr>
          <w:spacing w:val="-14"/>
          <w:w w:val="105"/>
        </w:rPr>
        <w:t xml:space="preserve"> </w:t>
      </w:r>
      <w:r>
        <w:rPr>
          <w:w w:val="105"/>
        </w:rPr>
        <w:t>Schizophrenia.</w:t>
      </w:r>
      <w:r>
        <w:rPr>
          <w:spacing w:val="-1"/>
          <w:w w:val="106"/>
        </w:rPr>
        <w:t xml:space="preserve"> </w:t>
      </w:r>
      <w:r>
        <w:rPr>
          <w:w w:val="105"/>
        </w:rPr>
        <w:t>Hallucinations (Criterion A2) may occur in any sensory modality</w:t>
      </w:r>
      <w:r>
        <w:rPr>
          <w:spacing w:val="31"/>
          <w:w w:val="105"/>
        </w:rPr>
        <w:t xml:space="preserve"> </w:t>
      </w:r>
      <w:r>
        <w:rPr>
          <w:w w:val="105"/>
        </w:rPr>
        <w:t>(e.g.,</w:t>
      </w:r>
      <w:r>
        <w:rPr>
          <w:spacing w:val="28"/>
          <w:w w:val="105"/>
        </w:rPr>
        <w:t xml:space="preserve"> </w:t>
      </w:r>
      <w:r>
        <w:rPr>
          <w:w w:val="105"/>
        </w:rPr>
        <w:t>auditory,</w:t>
      </w:r>
      <w:r>
        <w:rPr>
          <w:spacing w:val="-1"/>
          <w:w w:val="104"/>
        </w:rPr>
        <w:t xml:space="preserve"> </w:t>
      </w:r>
      <w:r>
        <w:rPr>
          <w:w w:val="105"/>
        </w:rPr>
        <w:t>visual, olfactory, gustatory, and tactile), but auditory hallucinations are by far</w:t>
      </w:r>
      <w:r>
        <w:rPr>
          <w:spacing w:val="36"/>
          <w:w w:val="105"/>
        </w:rPr>
        <w:t xml:space="preserve"> </w:t>
      </w:r>
      <w:r>
        <w:rPr>
          <w:w w:val="105"/>
        </w:rPr>
        <w:t>the</w:t>
      </w:r>
      <w:r>
        <w:rPr>
          <w:spacing w:val="12"/>
          <w:w w:val="105"/>
        </w:rPr>
        <w:t xml:space="preserve"> </w:t>
      </w:r>
      <w:r>
        <w:rPr>
          <w:w w:val="105"/>
        </w:rPr>
        <w:t>most</w:t>
      </w:r>
      <w:r>
        <w:rPr>
          <w:spacing w:val="-1"/>
          <w:w w:val="102"/>
        </w:rPr>
        <w:t xml:space="preserve"> </w:t>
      </w:r>
      <w:r>
        <w:rPr>
          <w:w w:val="105"/>
        </w:rPr>
        <w:t>common and characteristic of Schizophrenia. Auditory hallucinations are</w:t>
      </w:r>
      <w:r>
        <w:rPr>
          <w:spacing w:val="-15"/>
          <w:w w:val="105"/>
        </w:rPr>
        <w:t xml:space="preserve"> </w:t>
      </w:r>
      <w:r>
        <w:rPr>
          <w:w w:val="105"/>
        </w:rPr>
        <w:t>usually</w:t>
      </w:r>
      <w:r>
        <w:rPr>
          <w:spacing w:val="8"/>
          <w:w w:val="105"/>
        </w:rPr>
        <w:t xml:space="preserve"> </w:t>
      </w:r>
      <w:r>
        <w:rPr>
          <w:w w:val="105"/>
        </w:rPr>
        <w:t>expe­</w:t>
      </w:r>
      <w:r>
        <w:rPr>
          <w:spacing w:val="-1"/>
          <w:w w:val="109"/>
        </w:rPr>
        <w:t xml:space="preserve"> </w:t>
      </w:r>
      <w:r>
        <w:rPr>
          <w:w w:val="105"/>
        </w:rPr>
        <w:t>rienced as voices, whether familiar or unfamiliar, that are perceived as</w:t>
      </w:r>
      <w:r>
        <w:rPr>
          <w:spacing w:val="38"/>
          <w:w w:val="105"/>
        </w:rPr>
        <w:t xml:space="preserve"> </w:t>
      </w:r>
      <w:r>
        <w:rPr>
          <w:w w:val="105"/>
        </w:rPr>
        <w:t>distinct from</w:t>
      </w:r>
      <w:r>
        <w:rPr>
          <w:spacing w:val="1"/>
          <w:w w:val="105"/>
        </w:rPr>
        <w:t xml:space="preserve"> </w:t>
      </w:r>
      <w:r>
        <w:rPr>
          <w:w w:val="105"/>
        </w:rPr>
        <w:t>the</w:t>
      </w:r>
      <w:r>
        <w:rPr>
          <w:spacing w:val="-1"/>
          <w:w w:val="110"/>
        </w:rPr>
        <w:t xml:space="preserve"> </w:t>
      </w:r>
      <w:r>
        <w:rPr>
          <w:w w:val="105"/>
        </w:rPr>
        <w:t>person's own thoughts. The content may be quite variable, although pejorative</w:t>
      </w:r>
      <w:r>
        <w:rPr>
          <w:spacing w:val="10"/>
          <w:w w:val="105"/>
        </w:rPr>
        <w:t xml:space="preserve"> </w:t>
      </w:r>
      <w:r>
        <w:rPr>
          <w:w w:val="105"/>
        </w:rPr>
        <w:t>or</w:t>
      </w:r>
      <w:r>
        <w:rPr>
          <w:w w:val="108"/>
        </w:rPr>
        <w:t xml:space="preserve"> </w:t>
      </w:r>
      <w:r>
        <w:rPr>
          <w:w w:val="105"/>
        </w:rPr>
        <w:t>threatening voices are especially common. Certain types of auditory</w:t>
      </w:r>
      <w:r>
        <w:rPr>
          <w:spacing w:val="47"/>
          <w:w w:val="105"/>
        </w:rPr>
        <w:t xml:space="preserve"> </w:t>
      </w:r>
      <w:r>
        <w:rPr>
          <w:w w:val="105"/>
        </w:rPr>
        <w:t>hallucinations</w:t>
      </w:r>
      <w:r>
        <w:rPr>
          <w:spacing w:val="-17"/>
          <w:w w:val="105"/>
        </w:rPr>
        <w:t xml:space="preserve"> </w:t>
      </w:r>
      <w:r>
        <w:rPr>
          <w:w w:val="105"/>
        </w:rPr>
        <w:t>(i.e.,</w:t>
      </w:r>
      <w:r>
        <w:rPr>
          <w:spacing w:val="-1"/>
          <w:w w:val="105"/>
        </w:rPr>
        <w:t xml:space="preserve"> </w:t>
      </w:r>
      <w:r>
        <w:rPr>
          <w:w w:val="105"/>
        </w:rPr>
        <w:t>two or more voices conversing with one another or voices maintaining</w:t>
      </w:r>
      <w:r>
        <w:rPr>
          <w:spacing w:val="22"/>
          <w:w w:val="105"/>
        </w:rPr>
        <w:t xml:space="preserve"> </w:t>
      </w:r>
      <w:r>
        <w:rPr>
          <w:w w:val="105"/>
        </w:rPr>
        <w:t>a</w:t>
      </w:r>
      <w:r>
        <w:rPr>
          <w:spacing w:val="49"/>
          <w:w w:val="105"/>
        </w:rPr>
        <w:t xml:space="preserve"> </w:t>
      </w:r>
      <w:r>
        <w:rPr>
          <w:w w:val="105"/>
        </w:rPr>
        <w:t>running</w:t>
      </w:r>
      <w:r>
        <w:rPr>
          <w:w w:val="106"/>
        </w:rPr>
        <w:t xml:space="preserve"> </w:t>
      </w:r>
      <w:r>
        <w:rPr>
          <w:w w:val="105"/>
        </w:rPr>
        <w:t>commentary on the person's thoughts or behavior) have been considered</w:t>
      </w:r>
      <w:r>
        <w:rPr>
          <w:spacing w:val="40"/>
          <w:w w:val="105"/>
        </w:rPr>
        <w:t xml:space="preserve"> </w:t>
      </w:r>
      <w:r>
        <w:rPr>
          <w:w w:val="105"/>
        </w:rPr>
        <w:t>to</w:t>
      </w:r>
      <w:r>
        <w:rPr>
          <w:spacing w:val="20"/>
          <w:w w:val="105"/>
        </w:rPr>
        <w:t xml:space="preserve"> </w:t>
      </w:r>
      <w:r>
        <w:rPr>
          <w:w w:val="105"/>
        </w:rPr>
        <w:t>be</w:t>
      </w:r>
      <w:r>
        <w:rPr>
          <w:w w:val="110"/>
        </w:rPr>
        <w:t xml:space="preserve"> </w:t>
      </w:r>
      <w:r>
        <w:rPr>
          <w:w w:val="105"/>
        </w:rPr>
        <w:t>particularly characteristic of Schizophrenia and were included among Schneider's</w:t>
      </w:r>
      <w:r>
        <w:rPr>
          <w:spacing w:val="19"/>
          <w:w w:val="105"/>
        </w:rPr>
        <w:t xml:space="preserve"> </w:t>
      </w:r>
      <w:r>
        <w:rPr>
          <w:w w:val="105"/>
        </w:rPr>
        <w:t>list</w:t>
      </w:r>
      <w:r>
        <w:rPr>
          <w:spacing w:val="-9"/>
          <w:w w:val="105"/>
        </w:rPr>
        <w:t xml:space="preserve"> </w:t>
      </w:r>
      <w:r>
        <w:rPr>
          <w:w w:val="105"/>
        </w:rPr>
        <w:t>of</w:t>
      </w:r>
      <w:r>
        <w:rPr>
          <w:w w:val="99"/>
        </w:rPr>
        <w:t xml:space="preserve"> </w:t>
      </w:r>
      <w:r>
        <w:rPr>
          <w:w w:val="105"/>
        </w:rPr>
        <w:t xml:space="preserve">first-rank symptoms. </w:t>
      </w:r>
      <w:r>
        <w:rPr>
          <w:w w:val="105"/>
          <w:sz w:val="21"/>
        </w:rPr>
        <w:t xml:space="preserve">If </w:t>
      </w:r>
      <w:r>
        <w:rPr>
          <w:w w:val="105"/>
        </w:rPr>
        <w:t>these types of hallucinations are present, then only</w:t>
      </w:r>
      <w:r>
        <w:rPr>
          <w:spacing w:val="42"/>
          <w:w w:val="105"/>
        </w:rPr>
        <w:t xml:space="preserve"> </w:t>
      </w:r>
      <w:r>
        <w:rPr>
          <w:w w:val="105"/>
        </w:rPr>
        <w:t>this</w:t>
      </w:r>
      <w:r>
        <w:rPr>
          <w:spacing w:val="14"/>
          <w:w w:val="105"/>
        </w:rPr>
        <w:t xml:space="preserve"> </w:t>
      </w:r>
      <w:r>
        <w:rPr>
          <w:w w:val="105"/>
        </w:rPr>
        <w:t>single</w:t>
      </w:r>
      <w:r>
        <w:rPr>
          <w:spacing w:val="-1"/>
          <w:w w:val="103"/>
        </w:rPr>
        <w:t xml:space="preserve"> </w:t>
      </w:r>
      <w:r>
        <w:rPr>
          <w:w w:val="105"/>
        </w:rPr>
        <w:t>symptom is needed to satisfy Criterion A. The hallucinations must occur in</w:t>
      </w:r>
      <w:r>
        <w:rPr>
          <w:spacing w:val="-32"/>
          <w:w w:val="105"/>
        </w:rPr>
        <w:t xml:space="preserve"> </w:t>
      </w:r>
      <w:r>
        <w:rPr>
          <w:w w:val="105"/>
        </w:rPr>
        <w:t>the</w:t>
      </w:r>
      <w:r>
        <w:rPr>
          <w:spacing w:val="3"/>
          <w:w w:val="105"/>
        </w:rPr>
        <w:t xml:space="preserve"> </w:t>
      </w:r>
      <w:r>
        <w:rPr>
          <w:w w:val="105"/>
        </w:rPr>
        <w:t>context</w:t>
      </w:r>
      <w:r>
        <w:rPr>
          <w:spacing w:val="-1"/>
          <w:w w:val="105"/>
        </w:rPr>
        <w:t xml:space="preserve"> </w:t>
      </w:r>
      <w:r>
        <w:rPr>
          <w:w w:val="105"/>
        </w:rPr>
        <w:t>of a clear sensorium; those that occur while falling asleep (hypnagogic) or</w:t>
      </w:r>
      <w:r>
        <w:rPr>
          <w:spacing w:val="15"/>
          <w:w w:val="105"/>
        </w:rPr>
        <w:t xml:space="preserve"> </w:t>
      </w:r>
      <w:r>
        <w:rPr>
          <w:w w:val="105"/>
        </w:rPr>
        <w:t>waking</w:t>
      </w:r>
      <w:r>
        <w:rPr>
          <w:spacing w:val="27"/>
          <w:w w:val="105"/>
        </w:rPr>
        <w:t xml:space="preserve"> </w:t>
      </w:r>
      <w:r>
        <w:rPr>
          <w:w w:val="105"/>
        </w:rPr>
        <w:t xml:space="preserve">up (hypnopompic) are considered </w:t>
      </w:r>
      <w:r>
        <w:rPr>
          <w:w w:val="105"/>
          <w:sz w:val="18"/>
        </w:rPr>
        <w:t xml:space="preserve">to </w:t>
      </w:r>
      <w:r>
        <w:rPr>
          <w:w w:val="105"/>
        </w:rPr>
        <w:t>be within the range of normal</w:t>
      </w:r>
      <w:r>
        <w:rPr>
          <w:spacing w:val="34"/>
          <w:w w:val="105"/>
        </w:rPr>
        <w:t xml:space="preserve"> </w:t>
      </w:r>
      <w:r>
        <w:rPr>
          <w:w w:val="105"/>
        </w:rPr>
        <w:t>experience.</w:t>
      </w:r>
      <w:r>
        <w:rPr>
          <w:spacing w:val="44"/>
          <w:w w:val="105"/>
        </w:rPr>
        <w:t xml:space="preserve"> </w:t>
      </w:r>
      <w:r>
        <w:rPr>
          <w:w w:val="105"/>
        </w:rPr>
        <w:t>Isolated</w:t>
      </w:r>
      <w:r>
        <w:rPr>
          <w:w w:val="103"/>
        </w:rPr>
        <w:t xml:space="preserve"> </w:t>
      </w:r>
      <w:r>
        <w:rPr>
          <w:w w:val="105"/>
        </w:rPr>
        <w:t>experiences of hearing one's name called or experiences that lack the quality of</w:t>
      </w:r>
      <w:r>
        <w:rPr>
          <w:spacing w:val="38"/>
          <w:w w:val="105"/>
        </w:rPr>
        <w:t xml:space="preserve"> </w:t>
      </w:r>
      <w:r>
        <w:rPr>
          <w:w w:val="105"/>
        </w:rPr>
        <w:t>an</w:t>
      </w:r>
      <w:r>
        <w:rPr>
          <w:spacing w:val="-1"/>
          <w:w w:val="97"/>
        </w:rPr>
        <w:t xml:space="preserve"> </w:t>
      </w:r>
      <w:r>
        <w:rPr>
          <w:w w:val="105"/>
        </w:rPr>
        <w:t>external percept (e.g., a humming in one's head) are also not considered</w:t>
      </w:r>
      <w:r>
        <w:rPr>
          <w:spacing w:val="-1"/>
          <w:w w:val="105"/>
        </w:rPr>
        <w:t xml:space="preserve"> </w:t>
      </w:r>
      <w:r>
        <w:rPr>
          <w:w w:val="105"/>
        </w:rPr>
        <w:t>to</w:t>
      </w:r>
      <w:r>
        <w:rPr>
          <w:spacing w:val="14"/>
          <w:w w:val="105"/>
        </w:rPr>
        <w:t xml:space="preserve"> </w:t>
      </w:r>
      <w:r>
        <w:rPr>
          <w:w w:val="105"/>
        </w:rPr>
        <w:t>be</w:t>
      </w:r>
      <w:r>
        <w:rPr>
          <w:w w:val="110"/>
        </w:rPr>
        <w:t xml:space="preserve"> </w:t>
      </w:r>
      <w:r>
        <w:rPr>
          <w:w w:val="105"/>
        </w:rPr>
        <w:t>hallucinations characteristic of Schizophrenia. Hallucinations may also be a normal</w:t>
      </w:r>
      <w:r>
        <w:rPr>
          <w:spacing w:val="37"/>
          <w:w w:val="105"/>
        </w:rPr>
        <w:t xml:space="preserve"> </w:t>
      </w:r>
      <w:r>
        <w:rPr>
          <w:w w:val="105"/>
        </w:rPr>
        <w:t>part</w:t>
      </w:r>
    </w:p>
    <w:p w:rsidR="00E675F0" w:rsidRDefault="00E675F0" w:rsidP="00E675F0">
      <w:pPr>
        <w:pStyle w:val="BodyText"/>
        <w:spacing w:before="35"/>
        <w:ind w:left="128"/>
        <w:jc w:val="both"/>
      </w:pPr>
      <w:r>
        <w:rPr>
          <w:w w:val="105"/>
        </w:rPr>
        <w:t>of religious experience in certain cultural contexts.</w:t>
      </w:r>
    </w:p>
    <w:p w:rsidR="00E675F0" w:rsidRDefault="00E675F0" w:rsidP="00E675F0">
      <w:pPr>
        <w:jc w:val="both"/>
        <w:sectPr w:rsidR="00E675F0">
          <w:pgSz w:w="8960" w:h="14260"/>
          <w:pgMar w:top="1400" w:right="640" w:bottom="280" w:left="600" w:header="691" w:footer="0" w:gutter="0"/>
          <w:cols w:space="720"/>
        </w:sectPr>
      </w:pPr>
    </w:p>
    <w:p w:rsidR="00E675F0" w:rsidRDefault="00E675F0" w:rsidP="00E675F0">
      <w:pPr>
        <w:pStyle w:val="BodyText"/>
        <w:spacing w:before="146" w:line="254" w:lineRule="auto"/>
        <w:ind w:left="718" w:right="663" w:firstLine="367"/>
        <w:jc w:val="both"/>
      </w:pPr>
      <w:r>
        <w:rPr>
          <w:w w:val="105"/>
        </w:rPr>
        <w:lastRenderedPageBreak/>
        <w:t>Disorganized thinking ("formal thought disorder," "loosening of associations") has been argued by some (Bleuler, in particular) to be the single most important feature of Schizophrenia. Because of the difficulty inherent in developing an  objective definition of "thought disorder," and because in a clinical setting inferences about thought are based primarily on the individual's speech, the concept of disorganized speech (Criterion A3) has been emphasized in the definition for Schizophrenia used in this manual. The speech of individuals with Schizophrenia may be disorganized in a variety of ways. The person may "slip off the track" from one topic to another ("derailment" or "loose associations"); answers to questions may be obliquely related or completely unrelated ("tangentiality"); and, rarely, speech may be so severely disorganized that it is nearly incomprehensible and resembles receptive aphasia in its linguistic disorganization ("incoherence" or "word salad"). Because mildly disorganized speech is common and nonspecific, the symptom must be severe enough to substantially impair effective communication. Less severe disorganized thinking or speech may occur during the prodromal and residual periods of Schizophrenia (see Criterion</w:t>
      </w:r>
      <w:r>
        <w:rPr>
          <w:spacing w:val="-24"/>
          <w:w w:val="105"/>
        </w:rPr>
        <w:t xml:space="preserve"> </w:t>
      </w:r>
      <w:r>
        <w:rPr>
          <w:w w:val="105"/>
        </w:rPr>
        <w:t>C).</w:t>
      </w:r>
    </w:p>
    <w:p w:rsidR="00E675F0" w:rsidRDefault="00E675F0" w:rsidP="00E675F0">
      <w:pPr>
        <w:pStyle w:val="BodyText"/>
        <w:spacing w:line="254" w:lineRule="auto"/>
        <w:ind w:left="717" w:right="666" w:firstLine="365"/>
        <w:jc w:val="right"/>
      </w:pPr>
      <w:r>
        <w:rPr>
          <w:w w:val="105"/>
        </w:rPr>
        <w:t>Grossly</w:t>
      </w:r>
      <w:r>
        <w:rPr>
          <w:spacing w:val="-22"/>
          <w:w w:val="105"/>
        </w:rPr>
        <w:t xml:space="preserve"> </w:t>
      </w:r>
      <w:r>
        <w:rPr>
          <w:w w:val="105"/>
        </w:rPr>
        <w:t>disorganized</w:t>
      </w:r>
      <w:r>
        <w:rPr>
          <w:spacing w:val="-5"/>
          <w:w w:val="105"/>
        </w:rPr>
        <w:t xml:space="preserve"> </w:t>
      </w:r>
      <w:r>
        <w:rPr>
          <w:w w:val="105"/>
        </w:rPr>
        <w:t>behavior</w:t>
      </w:r>
      <w:r>
        <w:rPr>
          <w:spacing w:val="-12"/>
          <w:w w:val="105"/>
        </w:rPr>
        <w:t xml:space="preserve"> </w:t>
      </w:r>
      <w:r>
        <w:rPr>
          <w:w w:val="105"/>
        </w:rPr>
        <w:t>(Criterion</w:t>
      </w:r>
      <w:r>
        <w:rPr>
          <w:spacing w:val="-13"/>
          <w:w w:val="105"/>
        </w:rPr>
        <w:t xml:space="preserve"> </w:t>
      </w:r>
      <w:r>
        <w:rPr>
          <w:w w:val="105"/>
        </w:rPr>
        <w:t>A4)</w:t>
      </w:r>
      <w:r>
        <w:rPr>
          <w:spacing w:val="-17"/>
          <w:w w:val="105"/>
        </w:rPr>
        <w:t xml:space="preserve"> </w:t>
      </w:r>
      <w:r>
        <w:rPr>
          <w:w w:val="105"/>
        </w:rPr>
        <w:t>may</w:t>
      </w:r>
      <w:r>
        <w:rPr>
          <w:spacing w:val="-19"/>
          <w:w w:val="105"/>
        </w:rPr>
        <w:t xml:space="preserve"> </w:t>
      </w:r>
      <w:r>
        <w:rPr>
          <w:w w:val="105"/>
        </w:rPr>
        <w:t>manifest</w:t>
      </w:r>
      <w:r>
        <w:rPr>
          <w:spacing w:val="-13"/>
          <w:w w:val="105"/>
        </w:rPr>
        <w:t xml:space="preserve"> </w:t>
      </w:r>
      <w:r>
        <w:rPr>
          <w:w w:val="105"/>
        </w:rPr>
        <w:t>itself</w:t>
      </w:r>
      <w:r>
        <w:rPr>
          <w:spacing w:val="-9"/>
          <w:w w:val="105"/>
        </w:rPr>
        <w:t xml:space="preserve"> </w:t>
      </w:r>
      <w:r>
        <w:rPr>
          <w:w w:val="105"/>
        </w:rPr>
        <w:t>in</w:t>
      </w:r>
      <w:r>
        <w:rPr>
          <w:spacing w:val="-19"/>
          <w:w w:val="105"/>
        </w:rPr>
        <w:t xml:space="preserve"> </w:t>
      </w:r>
      <w:r>
        <w:rPr>
          <w:w w:val="105"/>
        </w:rPr>
        <w:t>a</w:t>
      </w:r>
      <w:r>
        <w:rPr>
          <w:spacing w:val="-16"/>
          <w:w w:val="105"/>
        </w:rPr>
        <w:t xml:space="preserve"> </w:t>
      </w:r>
      <w:r>
        <w:rPr>
          <w:w w:val="105"/>
        </w:rPr>
        <w:t>variety</w:t>
      </w:r>
      <w:r>
        <w:rPr>
          <w:spacing w:val="-15"/>
          <w:w w:val="105"/>
        </w:rPr>
        <w:t xml:space="preserve"> </w:t>
      </w:r>
      <w:r>
        <w:rPr>
          <w:w w:val="105"/>
        </w:rPr>
        <w:t>of</w:t>
      </w:r>
      <w:r>
        <w:rPr>
          <w:spacing w:val="-12"/>
          <w:w w:val="105"/>
        </w:rPr>
        <w:t xml:space="preserve"> </w:t>
      </w:r>
      <w:r>
        <w:rPr>
          <w:w w:val="105"/>
        </w:rPr>
        <w:t>ways,</w:t>
      </w:r>
      <w:r>
        <w:rPr>
          <w:spacing w:val="-1"/>
          <w:w w:val="104"/>
        </w:rPr>
        <w:t xml:space="preserve"> </w:t>
      </w:r>
      <w:r>
        <w:rPr>
          <w:w w:val="105"/>
        </w:rPr>
        <w:t xml:space="preserve">ranging from childlike silliness </w:t>
      </w:r>
      <w:r>
        <w:rPr>
          <w:w w:val="105"/>
          <w:sz w:val="18"/>
        </w:rPr>
        <w:t xml:space="preserve">to </w:t>
      </w:r>
      <w:r>
        <w:rPr>
          <w:w w:val="105"/>
        </w:rPr>
        <w:t xml:space="preserve">unpredictable agitation. Problems may be </w:t>
      </w:r>
      <w:r>
        <w:rPr>
          <w:spacing w:val="3"/>
          <w:w w:val="105"/>
        </w:rPr>
        <w:t xml:space="preserve"> </w:t>
      </w:r>
      <w:r>
        <w:rPr>
          <w:w w:val="105"/>
        </w:rPr>
        <w:t>noted</w:t>
      </w:r>
      <w:r>
        <w:rPr>
          <w:spacing w:val="30"/>
          <w:w w:val="105"/>
        </w:rPr>
        <w:t xml:space="preserve"> </w:t>
      </w:r>
      <w:r>
        <w:rPr>
          <w:w w:val="105"/>
        </w:rPr>
        <w:t>in</w:t>
      </w:r>
      <w:r>
        <w:rPr>
          <w:spacing w:val="-1"/>
          <w:w w:val="105"/>
        </w:rPr>
        <w:t xml:space="preserve"> </w:t>
      </w:r>
      <w:r>
        <w:rPr>
          <w:w w:val="105"/>
        </w:rPr>
        <w:t>any</w:t>
      </w:r>
      <w:r>
        <w:rPr>
          <w:spacing w:val="-14"/>
          <w:w w:val="105"/>
        </w:rPr>
        <w:t xml:space="preserve"> </w:t>
      </w:r>
      <w:r>
        <w:rPr>
          <w:w w:val="105"/>
        </w:rPr>
        <w:t>form</w:t>
      </w:r>
      <w:r>
        <w:rPr>
          <w:spacing w:val="-11"/>
          <w:w w:val="105"/>
        </w:rPr>
        <w:t xml:space="preserve"> </w:t>
      </w:r>
      <w:r>
        <w:rPr>
          <w:w w:val="105"/>
        </w:rPr>
        <w:t>of</w:t>
      </w:r>
      <w:r>
        <w:rPr>
          <w:spacing w:val="-10"/>
          <w:w w:val="105"/>
        </w:rPr>
        <w:t xml:space="preserve"> </w:t>
      </w:r>
      <w:r>
        <w:rPr>
          <w:w w:val="105"/>
        </w:rPr>
        <w:t>goal-directed behavior,</w:t>
      </w:r>
      <w:r>
        <w:rPr>
          <w:spacing w:val="-3"/>
          <w:w w:val="105"/>
        </w:rPr>
        <w:t xml:space="preserve"> </w:t>
      </w:r>
      <w:r>
        <w:rPr>
          <w:w w:val="105"/>
        </w:rPr>
        <w:t>leading</w:t>
      </w:r>
      <w:r>
        <w:rPr>
          <w:spacing w:val="-6"/>
          <w:w w:val="105"/>
        </w:rPr>
        <w:t xml:space="preserve"> </w:t>
      </w:r>
      <w:r>
        <w:rPr>
          <w:w w:val="105"/>
        </w:rPr>
        <w:t>to</w:t>
      </w:r>
      <w:r>
        <w:rPr>
          <w:spacing w:val="-20"/>
          <w:w w:val="105"/>
        </w:rPr>
        <w:t xml:space="preserve"> </w:t>
      </w:r>
      <w:r>
        <w:rPr>
          <w:w w:val="105"/>
        </w:rPr>
        <w:t>difficulties</w:t>
      </w:r>
      <w:r>
        <w:rPr>
          <w:spacing w:val="-6"/>
          <w:w w:val="105"/>
        </w:rPr>
        <w:t xml:space="preserve"> </w:t>
      </w:r>
      <w:r>
        <w:rPr>
          <w:w w:val="105"/>
        </w:rPr>
        <w:t>in</w:t>
      </w:r>
      <w:r>
        <w:rPr>
          <w:spacing w:val="-7"/>
          <w:w w:val="105"/>
        </w:rPr>
        <w:t xml:space="preserve"> </w:t>
      </w:r>
      <w:r>
        <w:rPr>
          <w:w w:val="105"/>
        </w:rPr>
        <w:t>performing</w:t>
      </w:r>
      <w:r>
        <w:rPr>
          <w:spacing w:val="-12"/>
          <w:w w:val="105"/>
        </w:rPr>
        <w:t xml:space="preserve"> </w:t>
      </w:r>
      <w:r>
        <w:rPr>
          <w:w w:val="105"/>
        </w:rPr>
        <w:t>activities</w:t>
      </w:r>
      <w:r>
        <w:rPr>
          <w:spacing w:val="-4"/>
          <w:w w:val="105"/>
        </w:rPr>
        <w:t xml:space="preserve"> </w:t>
      </w:r>
      <w:r>
        <w:rPr>
          <w:w w:val="105"/>
        </w:rPr>
        <w:t>of</w:t>
      </w:r>
      <w:r>
        <w:rPr>
          <w:spacing w:val="-7"/>
          <w:w w:val="105"/>
        </w:rPr>
        <w:t xml:space="preserve"> </w:t>
      </w:r>
      <w:r>
        <w:rPr>
          <w:w w:val="105"/>
        </w:rPr>
        <w:t>daily</w:t>
      </w:r>
      <w:r>
        <w:rPr>
          <w:w w:val="103"/>
        </w:rPr>
        <w:t xml:space="preserve"> </w:t>
      </w:r>
      <w:r>
        <w:rPr>
          <w:w w:val="105"/>
        </w:rPr>
        <w:t>living such as organizing meals or maintaining hygiene. The person</w:t>
      </w:r>
      <w:r>
        <w:rPr>
          <w:spacing w:val="32"/>
          <w:w w:val="105"/>
        </w:rPr>
        <w:t xml:space="preserve"> </w:t>
      </w:r>
      <w:r>
        <w:rPr>
          <w:w w:val="105"/>
        </w:rPr>
        <w:t>may</w:t>
      </w:r>
      <w:r>
        <w:rPr>
          <w:spacing w:val="9"/>
          <w:w w:val="105"/>
        </w:rPr>
        <w:t xml:space="preserve"> </w:t>
      </w:r>
      <w:r>
        <w:rPr>
          <w:w w:val="105"/>
        </w:rPr>
        <w:t>appear</w:t>
      </w:r>
      <w:r>
        <w:rPr>
          <w:spacing w:val="-1"/>
          <w:w w:val="110"/>
        </w:rPr>
        <w:t xml:space="preserve"> </w:t>
      </w:r>
      <w:r>
        <w:rPr>
          <w:w w:val="105"/>
        </w:rPr>
        <w:t>markedly disheveled, may dress in an unusual manner (e.g., wearing</w:t>
      </w:r>
      <w:r>
        <w:rPr>
          <w:spacing w:val="9"/>
          <w:w w:val="105"/>
        </w:rPr>
        <w:t xml:space="preserve"> </w:t>
      </w:r>
      <w:r>
        <w:rPr>
          <w:w w:val="105"/>
        </w:rPr>
        <w:t>multiple</w:t>
      </w:r>
      <w:r>
        <w:rPr>
          <w:spacing w:val="3"/>
          <w:w w:val="105"/>
        </w:rPr>
        <w:t xml:space="preserve"> </w:t>
      </w:r>
      <w:r>
        <w:rPr>
          <w:w w:val="105"/>
        </w:rPr>
        <w:t>overcoats, scarves, and gloves on a hot day), or may display clearly inappropriate</w:t>
      </w:r>
      <w:r>
        <w:rPr>
          <w:spacing w:val="20"/>
          <w:w w:val="105"/>
        </w:rPr>
        <w:t xml:space="preserve"> </w:t>
      </w:r>
      <w:r>
        <w:rPr>
          <w:w w:val="105"/>
        </w:rPr>
        <w:t>sexual</w:t>
      </w:r>
      <w:r>
        <w:rPr>
          <w:spacing w:val="7"/>
          <w:w w:val="105"/>
        </w:rPr>
        <w:t xml:space="preserve"> </w:t>
      </w:r>
      <w:r>
        <w:rPr>
          <w:w w:val="105"/>
        </w:rPr>
        <w:t>behavior</w:t>
      </w:r>
      <w:r>
        <w:rPr>
          <w:w w:val="106"/>
        </w:rPr>
        <w:t xml:space="preserve"> </w:t>
      </w:r>
      <w:r>
        <w:rPr>
          <w:w w:val="105"/>
        </w:rPr>
        <w:t>(e.g., public masturbation) or unpredictable and untriggered agitation (e.g.,</w:t>
      </w:r>
      <w:r>
        <w:rPr>
          <w:spacing w:val="44"/>
          <w:w w:val="105"/>
        </w:rPr>
        <w:t xml:space="preserve"> </w:t>
      </w:r>
      <w:r>
        <w:rPr>
          <w:w w:val="105"/>
        </w:rPr>
        <w:t>shouting</w:t>
      </w:r>
      <w:r>
        <w:rPr>
          <w:spacing w:val="4"/>
          <w:w w:val="105"/>
        </w:rPr>
        <w:t xml:space="preserve"> </w:t>
      </w:r>
      <w:r>
        <w:rPr>
          <w:w w:val="105"/>
        </w:rPr>
        <w:t>or</w:t>
      </w:r>
      <w:r>
        <w:rPr>
          <w:w w:val="108"/>
        </w:rPr>
        <w:t xml:space="preserve"> </w:t>
      </w:r>
      <w:r>
        <w:rPr>
          <w:w w:val="105"/>
        </w:rPr>
        <w:t>swearing). Care should be taken not to apply this criterion too</w:t>
      </w:r>
      <w:r>
        <w:rPr>
          <w:spacing w:val="36"/>
          <w:w w:val="105"/>
        </w:rPr>
        <w:t xml:space="preserve"> </w:t>
      </w:r>
      <w:r>
        <w:rPr>
          <w:w w:val="105"/>
        </w:rPr>
        <w:t>broadly.</w:t>
      </w:r>
      <w:r>
        <w:rPr>
          <w:spacing w:val="10"/>
          <w:w w:val="105"/>
        </w:rPr>
        <w:t xml:space="preserve"> </w:t>
      </w:r>
      <w:r>
        <w:rPr>
          <w:w w:val="105"/>
        </w:rPr>
        <w:t>Grossly</w:t>
      </w:r>
      <w:r>
        <w:rPr>
          <w:spacing w:val="-1"/>
          <w:w w:val="103"/>
        </w:rPr>
        <w:t xml:space="preserve"> </w:t>
      </w:r>
      <w:r>
        <w:rPr>
          <w:w w:val="105"/>
        </w:rPr>
        <w:t>disorganized behavior must be distinguished from behavior that is merely</w:t>
      </w:r>
      <w:r>
        <w:rPr>
          <w:spacing w:val="24"/>
          <w:w w:val="105"/>
        </w:rPr>
        <w:t xml:space="preserve"> </w:t>
      </w:r>
      <w:r>
        <w:rPr>
          <w:w w:val="105"/>
        </w:rPr>
        <w:t>aimless</w:t>
      </w:r>
      <w:r>
        <w:rPr>
          <w:spacing w:val="21"/>
          <w:w w:val="105"/>
        </w:rPr>
        <w:t xml:space="preserve"> </w:t>
      </w:r>
      <w:r>
        <w:rPr>
          <w:w w:val="105"/>
        </w:rPr>
        <w:t>or generally unpurposeful and from organized behavior that is motivated</w:t>
      </w:r>
      <w:r>
        <w:rPr>
          <w:spacing w:val="50"/>
          <w:w w:val="105"/>
        </w:rPr>
        <w:t xml:space="preserve"> </w:t>
      </w:r>
      <w:r>
        <w:rPr>
          <w:w w:val="105"/>
        </w:rPr>
        <w:t>by</w:t>
      </w:r>
      <w:r>
        <w:rPr>
          <w:spacing w:val="30"/>
          <w:w w:val="105"/>
        </w:rPr>
        <w:t xml:space="preserve"> </w:t>
      </w:r>
      <w:r>
        <w:rPr>
          <w:w w:val="105"/>
        </w:rPr>
        <w:t>delusional</w:t>
      </w:r>
      <w:r>
        <w:rPr>
          <w:w w:val="106"/>
        </w:rPr>
        <w:t xml:space="preserve"> </w:t>
      </w:r>
      <w:r>
        <w:rPr>
          <w:w w:val="105"/>
        </w:rPr>
        <w:t>beliefs. Similarly, a few instances of restless, angry, or agitated behavior should</w:t>
      </w:r>
      <w:r>
        <w:rPr>
          <w:spacing w:val="34"/>
          <w:w w:val="105"/>
        </w:rPr>
        <w:t xml:space="preserve"> </w:t>
      </w:r>
      <w:r>
        <w:rPr>
          <w:w w:val="105"/>
        </w:rPr>
        <w:t>not</w:t>
      </w:r>
      <w:r>
        <w:rPr>
          <w:spacing w:val="18"/>
          <w:w w:val="105"/>
        </w:rPr>
        <w:t xml:space="preserve"> </w:t>
      </w:r>
      <w:r>
        <w:rPr>
          <w:w w:val="105"/>
        </w:rPr>
        <w:t>be</w:t>
      </w:r>
      <w:r>
        <w:rPr>
          <w:w w:val="108"/>
        </w:rPr>
        <w:t xml:space="preserve"> </w:t>
      </w:r>
      <w:r>
        <w:rPr>
          <w:w w:val="105"/>
        </w:rPr>
        <w:t>considered</w:t>
      </w:r>
      <w:r>
        <w:rPr>
          <w:spacing w:val="-13"/>
          <w:w w:val="105"/>
        </w:rPr>
        <w:t xml:space="preserve"> </w:t>
      </w:r>
      <w:r>
        <w:rPr>
          <w:w w:val="105"/>
        </w:rPr>
        <w:t>to</w:t>
      </w:r>
      <w:r>
        <w:rPr>
          <w:spacing w:val="-22"/>
          <w:w w:val="105"/>
        </w:rPr>
        <w:t xml:space="preserve"> </w:t>
      </w:r>
      <w:r>
        <w:rPr>
          <w:w w:val="105"/>
        </w:rPr>
        <w:t>be</w:t>
      </w:r>
      <w:r>
        <w:rPr>
          <w:spacing w:val="-23"/>
          <w:w w:val="105"/>
        </w:rPr>
        <w:t xml:space="preserve"> </w:t>
      </w:r>
      <w:r>
        <w:rPr>
          <w:w w:val="105"/>
        </w:rPr>
        <w:t>evidence</w:t>
      </w:r>
      <w:r>
        <w:rPr>
          <w:spacing w:val="-14"/>
          <w:w w:val="105"/>
        </w:rPr>
        <w:t xml:space="preserve"> </w:t>
      </w:r>
      <w:r>
        <w:rPr>
          <w:w w:val="105"/>
        </w:rPr>
        <w:t>of</w:t>
      </w:r>
      <w:r>
        <w:rPr>
          <w:spacing w:val="-17"/>
          <w:w w:val="105"/>
        </w:rPr>
        <w:t xml:space="preserve"> </w:t>
      </w:r>
      <w:r>
        <w:rPr>
          <w:w w:val="105"/>
        </w:rPr>
        <w:t>Schizophrenia,</w:t>
      </w:r>
      <w:r>
        <w:rPr>
          <w:spacing w:val="-19"/>
          <w:w w:val="105"/>
        </w:rPr>
        <w:t xml:space="preserve"> </w:t>
      </w:r>
      <w:r>
        <w:rPr>
          <w:w w:val="105"/>
        </w:rPr>
        <w:t>especially</w:t>
      </w:r>
      <w:r>
        <w:rPr>
          <w:spacing w:val="-17"/>
          <w:w w:val="105"/>
        </w:rPr>
        <w:t xml:space="preserve"> </w:t>
      </w:r>
      <w:r>
        <w:rPr>
          <w:w w:val="105"/>
          <w:sz w:val="21"/>
        </w:rPr>
        <w:t>if</w:t>
      </w:r>
      <w:r>
        <w:rPr>
          <w:spacing w:val="-23"/>
          <w:w w:val="105"/>
          <w:sz w:val="21"/>
        </w:rPr>
        <w:t xml:space="preserve"> </w:t>
      </w:r>
      <w:r>
        <w:rPr>
          <w:w w:val="105"/>
        </w:rPr>
        <w:t>the</w:t>
      </w:r>
      <w:r>
        <w:rPr>
          <w:spacing w:val="-16"/>
          <w:w w:val="105"/>
        </w:rPr>
        <w:t xml:space="preserve"> </w:t>
      </w:r>
      <w:r>
        <w:rPr>
          <w:w w:val="105"/>
        </w:rPr>
        <w:t>motivation</w:t>
      </w:r>
      <w:r>
        <w:rPr>
          <w:spacing w:val="-13"/>
          <w:w w:val="105"/>
        </w:rPr>
        <w:t xml:space="preserve"> </w:t>
      </w:r>
      <w:r>
        <w:rPr>
          <w:w w:val="105"/>
        </w:rPr>
        <w:t>is</w:t>
      </w:r>
      <w:r>
        <w:rPr>
          <w:spacing w:val="-22"/>
          <w:w w:val="105"/>
        </w:rPr>
        <w:t xml:space="preserve"> </w:t>
      </w:r>
      <w:r>
        <w:rPr>
          <w:w w:val="105"/>
        </w:rPr>
        <w:t>understandable.</w:t>
      </w:r>
    </w:p>
    <w:p w:rsidR="00E675F0" w:rsidRDefault="00E675F0" w:rsidP="00E675F0">
      <w:pPr>
        <w:pStyle w:val="BodyText"/>
        <w:spacing w:line="215" w:lineRule="exact"/>
        <w:ind w:left="-9" w:right="666"/>
        <w:jc w:val="right"/>
      </w:pPr>
      <w:r>
        <w:rPr>
          <w:w w:val="105"/>
        </w:rPr>
        <w:t>Catatonic motor behaviors (Criterion A4) include a marked decrease in reactivity</w:t>
      </w:r>
      <w:r>
        <w:rPr>
          <w:spacing w:val="51"/>
          <w:w w:val="105"/>
        </w:rPr>
        <w:t xml:space="preserve"> </w:t>
      </w:r>
      <w:r>
        <w:rPr>
          <w:w w:val="105"/>
        </w:rPr>
        <w:t>to</w:t>
      </w:r>
    </w:p>
    <w:p w:rsidR="00E675F0" w:rsidRDefault="00E675F0" w:rsidP="00E675F0">
      <w:pPr>
        <w:pStyle w:val="BodyText"/>
        <w:spacing w:before="7" w:line="252" w:lineRule="auto"/>
        <w:ind w:left="720" w:right="668" w:firstLine="1"/>
        <w:jc w:val="both"/>
      </w:pPr>
      <w:r>
        <w:rPr>
          <w:w w:val="105"/>
        </w:rPr>
        <w:t>the environment, sometimes reaching an extreme degree of complete unawareness (catatonic</w:t>
      </w:r>
      <w:r>
        <w:rPr>
          <w:spacing w:val="-19"/>
          <w:w w:val="105"/>
        </w:rPr>
        <w:t xml:space="preserve"> </w:t>
      </w:r>
      <w:r>
        <w:rPr>
          <w:w w:val="105"/>
        </w:rPr>
        <w:t>stupor),</w:t>
      </w:r>
      <w:r>
        <w:rPr>
          <w:spacing w:val="-1"/>
          <w:w w:val="105"/>
        </w:rPr>
        <w:t xml:space="preserve"> </w:t>
      </w:r>
      <w:r>
        <w:rPr>
          <w:w w:val="105"/>
        </w:rPr>
        <w:t>maintaining</w:t>
      </w:r>
      <w:r>
        <w:rPr>
          <w:spacing w:val="-4"/>
          <w:w w:val="105"/>
        </w:rPr>
        <w:t xml:space="preserve"> </w:t>
      </w:r>
      <w:r>
        <w:rPr>
          <w:w w:val="105"/>
        </w:rPr>
        <w:t>a</w:t>
      </w:r>
      <w:r>
        <w:rPr>
          <w:spacing w:val="-16"/>
          <w:w w:val="105"/>
        </w:rPr>
        <w:t xml:space="preserve"> </w:t>
      </w:r>
      <w:r>
        <w:rPr>
          <w:w w:val="105"/>
        </w:rPr>
        <w:t>rigid</w:t>
      </w:r>
      <w:r>
        <w:rPr>
          <w:spacing w:val="-1"/>
          <w:w w:val="105"/>
        </w:rPr>
        <w:t xml:space="preserve"> </w:t>
      </w:r>
      <w:r>
        <w:rPr>
          <w:w w:val="105"/>
        </w:rPr>
        <w:t>posture</w:t>
      </w:r>
      <w:r>
        <w:rPr>
          <w:spacing w:val="-10"/>
          <w:w w:val="105"/>
        </w:rPr>
        <w:t xml:space="preserve"> </w:t>
      </w:r>
      <w:r>
        <w:rPr>
          <w:w w:val="105"/>
        </w:rPr>
        <w:t>and</w:t>
      </w:r>
      <w:r>
        <w:rPr>
          <w:spacing w:val="-10"/>
          <w:w w:val="105"/>
        </w:rPr>
        <w:t xml:space="preserve"> </w:t>
      </w:r>
      <w:r>
        <w:rPr>
          <w:w w:val="105"/>
        </w:rPr>
        <w:t>resisting</w:t>
      </w:r>
      <w:r>
        <w:rPr>
          <w:spacing w:val="-7"/>
          <w:w w:val="105"/>
        </w:rPr>
        <w:t xml:space="preserve"> </w:t>
      </w:r>
      <w:r>
        <w:rPr>
          <w:w w:val="105"/>
        </w:rPr>
        <w:t>efforts</w:t>
      </w:r>
      <w:r>
        <w:rPr>
          <w:spacing w:val="-8"/>
          <w:w w:val="105"/>
        </w:rPr>
        <w:t xml:space="preserve"> </w:t>
      </w:r>
      <w:r>
        <w:rPr>
          <w:w w:val="105"/>
        </w:rPr>
        <w:t>to</w:t>
      </w:r>
      <w:r>
        <w:rPr>
          <w:spacing w:val="-14"/>
          <w:w w:val="105"/>
        </w:rPr>
        <w:t xml:space="preserve"> </w:t>
      </w:r>
      <w:r>
        <w:rPr>
          <w:w w:val="105"/>
        </w:rPr>
        <w:t>be</w:t>
      </w:r>
      <w:r>
        <w:rPr>
          <w:spacing w:val="-18"/>
          <w:w w:val="105"/>
        </w:rPr>
        <w:t xml:space="preserve"> </w:t>
      </w:r>
      <w:r>
        <w:rPr>
          <w:w w:val="105"/>
        </w:rPr>
        <w:t>moved</w:t>
      </w:r>
      <w:r>
        <w:rPr>
          <w:spacing w:val="-7"/>
          <w:w w:val="105"/>
        </w:rPr>
        <w:t xml:space="preserve"> </w:t>
      </w:r>
      <w:r>
        <w:rPr>
          <w:w w:val="105"/>
        </w:rPr>
        <w:t>(catatonic rigidity), active resistance to instructions or attempts to be moved (catatonic negativism), the assumption of inappropriate or bizarre postures (catatonic posturing), or purposeless and unstimulated excessive motor activity (catatonic excitement). Although catatonia has historically been associated with Schizophrenia, the clinician should keep in mind that catatonic symptoms are nonspecific and may occur in other mental disorders (see Mood Disorders With Catatonic Features, p. 382), in general medical conditions (see Catatonic</w:t>
      </w:r>
      <w:r>
        <w:rPr>
          <w:spacing w:val="-9"/>
          <w:w w:val="105"/>
        </w:rPr>
        <w:t xml:space="preserve"> </w:t>
      </w:r>
      <w:r>
        <w:rPr>
          <w:w w:val="105"/>
        </w:rPr>
        <w:t>Disorder</w:t>
      </w:r>
      <w:r>
        <w:rPr>
          <w:spacing w:val="-9"/>
          <w:w w:val="105"/>
        </w:rPr>
        <w:t xml:space="preserve"> </w:t>
      </w:r>
      <w:r>
        <w:rPr>
          <w:w w:val="105"/>
        </w:rPr>
        <w:t>Due</w:t>
      </w:r>
      <w:r>
        <w:rPr>
          <w:spacing w:val="-16"/>
          <w:w w:val="105"/>
        </w:rPr>
        <w:t xml:space="preserve"> </w:t>
      </w:r>
      <w:r>
        <w:rPr>
          <w:w w:val="105"/>
        </w:rPr>
        <w:t>to</w:t>
      </w:r>
      <w:r>
        <w:rPr>
          <w:spacing w:val="-18"/>
          <w:w w:val="105"/>
        </w:rPr>
        <w:t xml:space="preserve"> </w:t>
      </w:r>
      <w:r>
        <w:rPr>
          <w:w w:val="105"/>
        </w:rPr>
        <w:t>a</w:t>
      </w:r>
      <w:r>
        <w:rPr>
          <w:spacing w:val="-19"/>
          <w:w w:val="105"/>
        </w:rPr>
        <w:t xml:space="preserve"> </w:t>
      </w:r>
      <w:r>
        <w:rPr>
          <w:w w:val="105"/>
        </w:rPr>
        <w:t>General</w:t>
      </w:r>
      <w:r>
        <w:rPr>
          <w:spacing w:val="-8"/>
          <w:w w:val="105"/>
        </w:rPr>
        <w:t xml:space="preserve"> </w:t>
      </w:r>
      <w:r>
        <w:rPr>
          <w:w w:val="105"/>
        </w:rPr>
        <w:t>Medical</w:t>
      </w:r>
      <w:r>
        <w:rPr>
          <w:spacing w:val="-11"/>
          <w:w w:val="105"/>
        </w:rPr>
        <w:t xml:space="preserve"> </w:t>
      </w:r>
      <w:r>
        <w:rPr>
          <w:w w:val="105"/>
        </w:rPr>
        <w:t>Condition,</w:t>
      </w:r>
      <w:r>
        <w:rPr>
          <w:spacing w:val="5"/>
          <w:w w:val="105"/>
        </w:rPr>
        <w:t xml:space="preserve"> </w:t>
      </w:r>
      <w:r>
        <w:rPr>
          <w:w w:val="105"/>
        </w:rPr>
        <w:t>p.</w:t>
      </w:r>
      <w:r>
        <w:rPr>
          <w:spacing w:val="-24"/>
          <w:w w:val="105"/>
        </w:rPr>
        <w:t xml:space="preserve"> </w:t>
      </w:r>
      <w:r>
        <w:rPr>
          <w:w w:val="105"/>
        </w:rPr>
        <w:t>169),</w:t>
      </w:r>
      <w:r>
        <w:rPr>
          <w:spacing w:val="-14"/>
          <w:w w:val="105"/>
        </w:rPr>
        <w:t xml:space="preserve"> </w:t>
      </w:r>
      <w:r>
        <w:rPr>
          <w:w w:val="105"/>
        </w:rPr>
        <w:t>and</w:t>
      </w:r>
      <w:r>
        <w:rPr>
          <w:spacing w:val="-16"/>
          <w:w w:val="105"/>
        </w:rPr>
        <w:t xml:space="preserve"> </w:t>
      </w:r>
      <w:r>
        <w:rPr>
          <w:w w:val="105"/>
        </w:rPr>
        <w:t>Medication-Induced Movement Disorders (see Neuroleptic-Induced Parkinsonism, p.</w:t>
      </w:r>
      <w:r>
        <w:rPr>
          <w:spacing w:val="-36"/>
          <w:w w:val="105"/>
        </w:rPr>
        <w:t xml:space="preserve"> </w:t>
      </w:r>
      <w:r>
        <w:rPr>
          <w:w w:val="105"/>
        </w:rPr>
        <w:t>736).</w:t>
      </w:r>
    </w:p>
    <w:p w:rsidR="00E675F0" w:rsidRDefault="00E675F0" w:rsidP="00E675F0">
      <w:pPr>
        <w:pStyle w:val="BodyText"/>
        <w:spacing w:before="3" w:line="254" w:lineRule="auto"/>
        <w:ind w:left="717" w:right="657" w:firstLine="361"/>
        <w:jc w:val="both"/>
      </w:pPr>
      <w:r>
        <w:rPr>
          <w:w w:val="105"/>
        </w:rPr>
        <w:t>The negative symptoms of Schizophrenia (Criterion AS) account for a substantial degree of the morbidity associated with the disorder. Three negative  symptoms­ affective flattening, alogia, and avolition-are included in the definition of Schizophrenia; other negative symptoms (e.g., anhedonia) are noted in the "Associated Features and Disorders" section below. Affective flattening is especially common and is characterized by the  person's face appearing immobile and  unresponsive,  with  poor eye contact</w:t>
      </w:r>
      <w:r>
        <w:rPr>
          <w:spacing w:val="43"/>
          <w:w w:val="105"/>
        </w:rPr>
        <w:t xml:space="preserve"> </w:t>
      </w:r>
      <w:r>
        <w:rPr>
          <w:w w:val="105"/>
        </w:rPr>
        <w:t>and</w:t>
      </w:r>
    </w:p>
    <w:p w:rsidR="00E675F0" w:rsidRDefault="00E675F0" w:rsidP="00E675F0">
      <w:pPr>
        <w:spacing w:before="8" w:line="174" w:lineRule="exact"/>
        <w:ind w:left="727"/>
        <w:jc w:val="both"/>
        <w:rPr>
          <w:sz w:val="18"/>
        </w:rPr>
      </w:pPr>
      <w:r>
        <w:rPr>
          <w:w w:val="115"/>
          <w:sz w:val="18"/>
        </w:rPr>
        <w:t xml:space="preserve">reduced hodv lammaue. Althmwh a nerson with affective flatteni </w:t>
      </w:r>
      <w:r>
        <w:rPr>
          <w:w w:val="115"/>
          <w:sz w:val="12"/>
        </w:rPr>
        <w:t xml:space="preserve">g    </w:t>
      </w:r>
      <w:r>
        <w:rPr>
          <w:w w:val="115"/>
          <w:sz w:val="18"/>
        </w:rPr>
        <w:t>mav smile and</w:t>
      </w:r>
      <w:r>
        <w:rPr>
          <w:spacing w:val="35"/>
          <w:w w:val="115"/>
          <w:sz w:val="18"/>
        </w:rPr>
        <w:t xml:space="preserve"> </w:t>
      </w:r>
      <w:r>
        <w:rPr>
          <w:w w:val="115"/>
          <w:sz w:val="18"/>
        </w:rPr>
        <w:t>warm</w:t>
      </w:r>
    </w:p>
    <w:p w:rsidR="00E675F0" w:rsidRDefault="00E675F0" w:rsidP="00E675F0">
      <w:pPr>
        <w:tabs>
          <w:tab w:val="left" w:pos="7039"/>
        </w:tabs>
        <w:spacing w:line="220" w:lineRule="exact"/>
        <w:ind w:left="9"/>
        <w:rPr>
          <w:rFonts w:ascii="Arial" w:hAnsi="Arial"/>
          <w:sz w:val="18"/>
        </w:rPr>
      </w:pPr>
      <w:r>
        <w:rPr>
          <w:rFonts w:ascii="Arial" w:hAnsi="Arial"/>
          <w:sz w:val="18"/>
        </w:rPr>
        <w:t>n2G</w:t>
      </w:r>
      <w:r>
        <w:rPr>
          <w:rFonts w:ascii="Arial" w:hAnsi="Arial"/>
          <w:spacing w:val="-29"/>
          <w:sz w:val="18"/>
        </w:rPr>
        <w:t xml:space="preserve"> </w:t>
      </w:r>
      <w:r>
        <w:rPr>
          <w:rFonts w:ascii="Arial" w:hAnsi="Arial"/>
          <w:sz w:val="18"/>
        </w:rPr>
        <w:t>ol</w:t>
      </w:r>
      <w:r>
        <w:rPr>
          <w:rFonts w:ascii="Arial" w:hAnsi="Arial"/>
          <w:spacing w:val="-17"/>
          <w:sz w:val="18"/>
        </w:rPr>
        <w:t xml:space="preserve"> </w:t>
      </w:r>
      <w:r>
        <w:rPr>
          <w:rFonts w:ascii="Arial" w:hAnsi="Arial"/>
          <w:sz w:val="18"/>
        </w:rPr>
        <w:t>!PG</w:t>
      </w:r>
      <w:r>
        <w:rPr>
          <w:rFonts w:ascii="Arial" w:hAnsi="Arial"/>
          <w:spacing w:val="-27"/>
          <w:sz w:val="18"/>
        </w:rPr>
        <w:t xml:space="preserve"> </w:t>
      </w:r>
      <w:r>
        <w:rPr>
          <w:rFonts w:ascii="Arial" w:hAnsi="Arial"/>
          <w:sz w:val="18"/>
        </w:rPr>
        <w:t>q!lUCDJtA</w:t>
      </w:r>
      <w:r>
        <w:rPr>
          <w:rFonts w:ascii="Arial" w:hAnsi="Arial"/>
          <w:spacing w:val="-25"/>
          <w:sz w:val="18"/>
        </w:rPr>
        <w:t xml:space="preserve"> </w:t>
      </w:r>
      <w:r>
        <w:rPr>
          <w:rFonts w:ascii="Arial" w:hAnsi="Arial"/>
          <w:sz w:val="18"/>
        </w:rPr>
        <w:t>!UpGr.GU!</w:t>
      </w:r>
      <w:r>
        <w:rPr>
          <w:rFonts w:ascii="Arial" w:hAnsi="Arial"/>
          <w:spacing w:val="-31"/>
          <w:sz w:val="18"/>
        </w:rPr>
        <w:t xml:space="preserve"> </w:t>
      </w:r>
      <w:r>
        <w:rPr>
          <w:i/>
          <w:sz w:val="19"/>
        </w:rPr>
        <w:t>!"</w:t>
      </w:r>
      <w:r>
        <w:rPr>
          <w:i/>
          <w:spacing w:val="-9"/>
          <w:sz w:val="19"/>
        </w:rPr>
        <w:t xml:space="preserve"> </w:t>
      </w:r>
      <w:r>
        <w:rPr>
          <w:rFonts w:ascii="Arial" w:hAnsi="Arial"/>
          <w:sz w:val="18"/>
        </w:rPr>
        <w:t>qGAGJOb!u8</w:t>
      </w:r>
      <w:r>
        <w:rPr>
          <w:rFonts w:ascii="Arial" w:hAnsi="Arial"/>
          <w:spacing w:val="-25"/>
          <w:sz w:val="18"/>
        </w:rPr>
        <w:t xml:space="preserve"> </w:t>
      </w:r>
      <w:r>
        <w:rPr>
          <w:i/>
        </w:rPr>
        <w:t>w</w:t>
      </w:r>
      <w:r>
        <w:rPr>
          <w:i/>
          <w:spacing w:val="-6"/>
        </w:rPr>
        <w:t xml:space="preserve"> </w:t>
      </w:r>
      <w:r>
        <w:rPr>
          <w:rFonts w:ascii="Arial" w:hAnsi="Arial"/>
          <w:sz w:val="18"/>
        </w:rPr>
        <w:t>opjGCf!AG</w:t>
      </w:r>
      <w:r>
        <w:rPr>
          <w:rFonts w:ascii="Arial" w:hAnsi="Arial"/>
          <w:spacing w:val="-26"/>
          <w:sz w:val="18"/>
        </w:rPr>
        <w:t xml:space="preserve"> </w:t>
      </w:r>
      <w:r>
        <w:rPr>
          <w:rFonts w:ascii="Arial" w:hAnsi="Arial"/>
          <w:sz w:val="18"/>
        </w:rPr>
        <w:t>qGpumou</w:t>
      </w:r>
      <w:r>
        <w:rPr>
          <w:rFonts w:ascii="Arial" w:hAnsi="Arial"/>
          <w:sz w:val="18"/>
        </w:rPr>
        <w:tab/>
      </w:r>
      <w:r>
        <w:rPr>
          <w:rFonts w:ascii="Arial" w:hAnsi="Arial"/>
          <w:w w:val="95"/>
          <w:sz w:val="18"/>
        </w:rPr>
        <w:t>2cp!sobpr.GU!s·</w:t>
      </w:r>
      <w:r>
        <w:rPr>
          <w:rFonts w:ascii="Arial" w:hAnsi="Arial"/>
          <w:spacing w:val="35"/>
          <w:w w:val="95"/>
          <w:sz w:val="18"/>
        </w:rPr>
        <w:t xml:space="preserve"> </w:t>
      </w:r>
      <w:r>
        <w:rPr>
          <w:rFonts w:ascii="Arial" w:hAnsi="Arial"/>
          <w:w w:val="95"/>
          <w:sz w:val="18"/>
        </w:rPr>
        <w:t>BGC</w:t>
      </w:r>
    </w:p>
    <w:p w:rsidR="00E675F0" w:rsidRDefault="00E675F0" w:rsidP="00E675F0">
      <w:pPr>
        <w:tabs>
          <w:tab w:val="left" w:pos="7023"/>
        </w:tabs>
        <w:spacing w:before="24"/>
        <w:ind w:left="2"/>
        <w:rPr>
          <w:rFonts w:ascii="Arial"/>
          <w:sz w:val="18"/>
        </w:rPr>
      </w:pPr>
      <w:r>
        <w:rPr>
          <w:rFonts w:ascii="Arial"/>
          <w:w w:val="95"/>
          <w:sz w:val="18"/>
        </w:rPr>
        <w:t>JG</w:t>
      </w:r>
      <w:r>
        <w:rPr>
          <w:rFonts w:ascii="Arial"/>
          <w:spacing w:val="-28"/>
          <w:w w:val="95"/>
          <w:sz w:val="18"/>
        </w:rPr>
        <w:t xml:space="preserve"> </w:t>
      </w:r>
      <w:r>
        <w:rPr>
          <w:rFonts w:ascii="Arial"/>
          <w:w w:val="95"/>
          <w:sz w:val="18"/>
        </w:rPr>
        <w:t>(BJGfJJGr.'</w:t>
      </w:r>
      <w:r>
        <w:rPr>
          <w:rFonts w:ascii="Arial"/>
          <w:spacing w:val="-18"/>
          <w:w w:val="95"/>
          <w:sz w:val="18"/>
        </w:rPr>
        <w:t xml:space="preserve"> </w:t>
      </w:r>
      <w:r>
        <w:rPr>
          <w:rFonts w:ascii="Arial"/>
          <w:i/>
          <w:w w:val="95"/>
          <w:sz w:val="17"/>
        </w:rPr>
        <w:t>!U</w:t>
      </w:r>
      <w:r>
        <w:rPr>
          <w:rFonts w:ascii="Arial"/>
          <w:i/>
          <w:spacing w:val="-23"/>
          <w:w w:val="95"/>
          <w:sz w:val="17"/>
        </w:rPr>
        <w:t xml:space="preserve"> </w:t>
      </w:r>
      <w:r>
        <w:rPr>
          <w:rFonts w:ascii="Arial"/>
          <w:w w:val="95"/>
          <w:sz w:val="18"/>
        </w:rPr>
        <w:t>bsr.ncnrsr.)</w:t>
      </w:r>
      <w:r>
        <w:rPr>
          <w:rFonts w:ascii="Arial"/>
          <w:spacing w:val="-28"/>
          <w:w w:val="95"/>
          <w:sz w:val="18"/>
        </w:rPr>
        <w:t xml:space="preserve"> </w:t>
      </w:r>
      <w:r>
        <w:rPr>
          <w:rFonts w:ascii="Arial"/>
          <w:w w:val="95"/>
          <w:sz w:val="18"/>
        </w:rPr>
        <w:t>!0</w:t>
      </w:r>
      <w:r>
        <w:rPr>
          <w:rFonts w:ascii="Arial"/>
          <w:spacing w:val="-14"/>
          <w:w w:val="95"/>
          <w:sz w:val="18"/>
        </w:rPr>
        <w:t xml:space="preserve"> </w:t>
      </w:r>
      <w:r>
        <w:rPr>
          <w:rFonts w:ascii="Arial"/>
          <w:w w:val="95"/>
          <w:sz w:val="18"/>
        </w:rPr>
        <w:t>PG</w:t>
      </w:r>
      <w:r>
        <w:rPr>
          <w:rFonts w:ascii="Arial"/>
          <w:spacing w:val="-33"/>
          <w:w w:val="95"/>
          <w:sz w:val="18"/>
        </w:rPr>
        <w:t xml:space="preserve"> </w:t>
      </w:r>
      <w:r>
        <w:rPr>
          <w:rFonts w:ascii="Arial"/>
          <w:w w:val="95"/>
          <w:sz w:val="18"/>
        </w:rPr>
        <w:t>!PG</w:t>
      </w:r>
      <w:r>
        <w:rPr>
          <w:rFonts w:ascii="Arial"/>
          <w:spacing w:val="-25"/>
          <w:w w:val="95"/>
          <w:sz w:val="18"/>
        </w:rPr>
        <w:t xml:space="preserve"> </w:t>
      </w:r>
      <w:r>
        <w:rPr>
          <w:rFonts w:ascii="Arial"/>
          <w:w w:val="95"/>
          <w:sz w:val="18"/>
        </w:rPr>
        <w:t>2!U8JG</w:t>
      </w:r>
      <w:r>
        <w:rPr>
          <w:rFonts w:ascii="Arial"/>
          <w:spacing w:val="-20"/>
          <w:w w:val="95"/>
          <w:sz w:val="18"/>
        </w:rPr>
        <w:t xml:space="preserve"> </w:t>
      </w:r>
      <w:r>
        <w:rPr>
          <w:rFonts w:ascii="Arial"/>
          <w:w w:val="95"/>
          <w:sz w:val="18"/>
        </w:rPr>
        <w:t>W02!</w:t>
      </w:r>
      <w:r>
        <w:rPr>
          <w:rFonts w:ascii="Arial"/>
          <w:spacing w:val="-33"/>
          <w:w w:val="95"/>
          <w:sz w:val="18"/>
        </w:rPr>
        <w:t xml:space="preserve"> </w:t>
      </w:r>
      <w:r>
        <w:rPr>
          <w:rFonts w:ascii="Arial"/>
          <w:w w:val="95"/>
          <w:sz w:val="18"/>
        </w:rPr>
        <w:t>!IDbor.rsur</w:t>
      </w:r>
      <w:r>
        <w:rPr>
          <w:rFonts w:ascii="Arial"/>
          <w:spacing w:val="-21"/>
          <w:w w:val="95"/>
          <w:sz w:val="18"/>
        </w:rPr>
        <w:t xml:space="preserve"> </w:t>
      </w:r>
      <w:r>
        <w:rPr>
          <w:rFonts w:ascii="Arial"/>
          <w:w w:val="95"/>
          <w:sz w:val="18"/>
        </w:rPr>
        <w:t>lGS!fJLG</w:t>
      </w:r>
      <w:r>
        <w:rPr>
          <w:rFonts w:ascii="Arial"/>
          <w:spacing w:val="-22"/>
          <w:w w:val="95"/>
          <w:sz w:val="18"/>
        </w:rPr>
        <w:t xml:space="preserve"> </w:t>
      </w:r>
      <w:r>
        <w:rPr>
          <w:rFonts w:ascii="Arial"/>
          <w:w w:val="95"/>
          <w:sz w:val="18"/>
        </w:rPr>
        <w:t>Ol</w:t>
      </w:r>
      <w:r>
        <w:rPr>
          <w:rFonts w:ascii="Arial"/>
          <w:w w:val="95"/>
          <w:sz w:val="18"/>
        </w:rPr>
        <w:tab/>
      </w:r>
      <w:r>
        <w:rPr>
          <w:rFonts w:ascii="Arial"/>
          <w:sz w:val="18"/>
        </w:rPr>
        <w:t>pGGU sr.8ni;q p1</w:t>
      </w:r>
      <w:r>
        <w:rPr>
          <w:rFonts w:ascii="Arial"/>
          <w:spacing w:val="9"/>
          <w:sz w:val="18"/>
        </w:rPr>
        <w:t xml:space="preserve"> </w:t>
      </w:r>
      <w:r>
        <w:rPr>
          <w:rFonts w:ascii="Arial"/>
          <w:sz w:val="18"/>
        </w:rPr>
        <w:t>20ll</w:t>
      </w:r>
    </w:p>
    <w:p w:rsidR="00E675F0" w:rsidRDefault="00E675F0" w:rsidP="00E675F0">
      <w:pPr>
        <w:tabs>
          <w:tab w:val="left" w:pos="7389"/>
        </w:tabs>
        <w:spacing w:before="38"/>
        <w:ind w:left="-9" w:right="106"/>
        <w:jc w:val="right"/>
        <w:rPr>
          <w:rFonts w:ascii="Arial"/>
          <w:sz w:val="18"/>
        </w:rPr>
      </w:pPr>
      <w:r>
        <w:rPr>
          <w:noProof/>
        </w:rPr>
        <mc:AlternateContent>
          <mc:Choice Requires="wpg">
            <w:drawing>
              <wp:anchor distT="0" distB="0" distL="114300" distR="114300" simplePos="0" relativeHeight="251728896" behindDoc="0" locked="0" layoutInCell="1" allowOverlap="1" wp14:anchorId="48BF6036" wp14:editId="70DAE17D">
                <wp:simplePos x="0" y="0"/>
                <wp:positionH relativeFrom="page">
                  <wp:posOffset>4445</wp:posOffset>
                </wp:positionH>
                <wp:positionV relativeFrom="paragraph">
                  <wp:posOffset>525145</wp:posOffset>
                </wp:positionV>
                <wp:extent cx="3641725" cy="183515"/>
                <wp:effectExtent l="0" t="0" r="3175" b="0"/>
                <wp:wrapNone/>
                <wp:docPr id="1278" name="Group 1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1725" cy="183515"/>
                          <a:chOff x="7" y="827"/>
                          <a:chExt cx="5735" cy="289"/>
                        </a:xfrm>
                      </wpg:grpSpPr>
                      <pic:pic xmlns:pic="http://schemas.openxmlformats.org/drawingml/2006/picture">
                        <pic:nvPicPr>
                          <pic:cNvPr id="1279" name="Picture 1236"/>
                          <pic:cNvPicPr>
                            <a:picLocks/>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7" y="903"/>
                            <a:ext cx="3719"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0" name="Line 1235"/>
                        <wps:cNvCnPr>
                          <a:cxnSpLocks/>
                        </wps:cNvCnPr>
                        <wps:spPr bwMode="auto">
                          <a:xfrm>
                            <a:off x="7" y="832"/>
                            <a:ext cx="5734" cy="0"/>
                          </a:xfrm>
                          <a:prstGeom prst="line">
                            <a:avLst/>
                          </a:prstGeom>
                          <a:noFill/>
                          <a:ln w="610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286DF5" id="Group 1234" o:spid="_x0000_s1026" style="position:absolute;margin-left:.35pt;margin-top:41.35pt;width:286.75pt;height:14.45pt;z-index:251728896;mso-position-horizontal-relative:page" coordorigin="7,827" coordsize="5735,28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">
                <v:shape id="Picture 1236" o:spid="_x0000_s1027" type="#_x0000_t75" style="position:absolute;left:7;top:903;width:3719;height:2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">
                  <v:imagedata r:id="rId212" o:title=""/>
                  <v:path arrowok="t"/>
                  <o:lock v:ext="edit" aspectratio="f"/>
                </v:shape>
                <v:line id="Line 1235" o:spid="_x0000_s1028" style="position:absolute;visibility:visible;mso-wrap-style:square" from="7,832" to="5741,8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" strokeweight=".16958mm">
                  <o:lock v:ext="edit" shapetype="f"/>
                </v:line>
                <w10:wrap anchorx="page"/>
              </v:group>
            </w:pict>
          </mc:Fallback>
        </mc:AlternateContent>
      </w:r>
      <w:r>
        <w:rPr>
          <w:noProof/>
        </w:rPr>
        <mc:AlternateContent>
          <mc:Choice Requires="wps">
            <w:drawing>
              <wp:anchor distT="0" distB="0" distL="114300" distR="114300" simplePos="0" relativeHeight="251729920" behindDoc="0" locked="0" layoutInCell="1" allowOverlap="1" wp14:anchorId="18096B81" wp14:editId="3C6DE757">
                <wp:simplePos x="0" y="0"/>
                <wp:positionH relativeFrom="page">
                  <wp:posOffset>4003040</wp:posOffset>
                </wp:positionH>
                <wp:positionV relativeFrom="paragraph">
                  <wp:posOffset>848360</wp:posOffset>
                </wp:positionV>
                <wp:extent cx="0" cy="0"/>
                <wp:effectExtent l="0" t="0" r="0" b="0"/>
                <wp:wrapNone/>
                <wp:docPr id="1277" name="Line 12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527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B2A6F4" id="Line 1233" o:spid="_x0000_s1026" style="position:absolute;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5.2pt,66.8pt" to="315.2pt,66.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" strokeweight=".42428mm">
                <o:lock v:ext="edit" shapetype="f"/>
                <w10:wrap anchorx="page"/>
              </v:line>
            </w:pict>
          </mc:Fallback>
        </mc:AlternateContent>
      </w:r>
      <w:r>
        <w:rPr>
          <w:rFonts w:ascii="Arial"/>
          <w:sz w:val="18"/>
        </w:rPr>
        <w:t xml:space="preserve">!UJqu8 (,.lor.wsr rpon8pr q!20r.qi;r.',, ,,Joo2Gu!u8 ol </w:t>
      </w:r>
      <w:r>
        <w:rPr>
          <w:rFonts w:ascii="Arial"/>
          <w:spacing w:val="32"/>
          <w:sz w:val="18"/>
        </w:rPr>
        <w:t xml:space="preserve"> </w:t>
      </w:r>
      <w:r>
        <w:rPr>
          <w:rFonts w:ascii="Arial"/>
          <w:sz w:val="18"/>
        </w:rPr>
        <w:t>n20qsqoU2.,)</w:t>
      </w:r>
      <w:r>
        <w:rPr>
          <w:rFonts w:ascii="Arial"/>
          <w:spacing w:val="9"/>
          <w:sz w:val="18"/>
        </w:rPr>
        <w:t xml:space="preserve"> </w:t>
      </w:r>
      <w:r>
        <w:rPr>
          <w:rFonts w:ascii="Arial"/>
          <w:sz w:val="18"/>
        </w:rPr>
        <w:t>ps2</w:t>
      </w:r>
      <w:r>
        <w:rPr>
          <w:rFonts w:ascii="Arial"/>
          <w:sz w:val="18"/>
        </w:rPr>
        <w:tab/>
        <w:t>rn20r.8su!sGq</w:t>
      </w:r>
      <w:r>
        <w:rPr>
          <w:rFonts w:ascii="Arial"/>
          <w:spacing w:val="29"/>
          <w:sz w:val="18"/>
        </w:rPr>
        <w:t xml:space="preserve"> </w:t>
      </w:r>
      <w:r>
        <w:rPr>
          <w:rFonts w:ascii="Arial"/>
          <w:spacing w:val="-9"/>
          <w:sz w:val="18"/>
        </w:rPr>
        <w:t>rp</w:t>
      </w:r>
    </w:p>
    <w:p w:rsidR="00E675F0" w:rsidRDefault="00E675F0" w:rsidP="00E675F0">
      <w:pPr>
        <w:pStyle w:val="BodyText"/>
        <w:rPr>
          <w:rFonts w:ascii="Arial"/>
        </w:rPr>
      </w:pPr>
    </w:p>
    <w:p w:rsidR="00E675F0" w:rsidRDefault="00E675F0" w:rsidP="00E675F0">
      <w:pPr>
        <w:pStyle w:val="BodyText"/>
        <w:spacing w:before="7"/>
        <w:rPr>
          <w:rFonts w:ascii="Arial"/>
          <w:sz w:val="27"/>
        </w:rPr>
      </w:pPr>
      <w:r>
        <w:rPr>
          <w:noProof/>
        </w:rPr>
        <mc:AlternateContent>
          <mc:Choice Requires="wps">
            <w:drawing>
              <wp:anchor distT="0" distB="0" distL="0" distR="0" simplePos="0" relativeHeight="251898880" behindDoc="1" locked="0" layoutInCell="1" allowOverlap="1" wp14:anchorId="5F50C647" wp14:editId="38D36B2F">
                <wp:simplePos x="0" y="0"/>
                <wp:positionH relativeFrom="page">
                  <wp:posOffset>4464685</wp:posOffset>
                </wp:positionH>
                <wp:positionV relativeFrom="paragraph">
                  <wp:posOffset>229870</wp:posOffset>
                </wp:positionV>
                <wp:extent cx="1087755" cy="1270"/>
                <wp:effectExtent l="0" t="0" r="4445" b="0"/>
                <wp:wrapTopAndBottom/>
                <wp:docPr id="1276" name="Freeform 1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7755" cy="1270"/>
                        </a:xfrm>
                        <a:custGeom>
                          <a:avLst/>
                          <a:gdLst>
                            <a:gd name="T0" fmla="+- 0 7031 7031"/>
                            <a:gd name="T1" fmla="*/ T0 w 1713"/>
                            <a:gd name="T2" fmla="+- 0 8743 7031"/>
                            <a:gd name="T3" fmla="*/ T2 w 1713"/>
                          </a:gdLst>
                          <a:ahLst/>
                          <a:cxnLst>
                            <a:cxn ang="0">
                              <a:pos x="T1" y="0"/>
                            </a:cxn>
                            <a:cxn ang="0">
                              <a:pos x="T3" y="0"/>
                            </a:cxn>
                          </a:cxnLst>
                          <a:rect l="0" t="0" r="r" b="b"/>
                          <a:pathLst>
                            <a:path w="1713">
                              <a:moveTo>
                                <a:pt x="0" y="0"/>
                              </a:moveTo>
                              <a:lnTo>
                                <a:pt x="1712" y="0"/>
                              </a:lnTo>
                            </a:path>
                          </a:pathLst>
                        </a:custGeom>
                        <a:noFill/>
                        <a:ln w="6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829FB" id="Freeform 1232" o:spid="_x0000_s1026" style="position:absolute;margin-left:351.55pt;margin-top:18.1pt;width:85.65pt;height:.1pt;z-index:-251417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13,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" path="m,l1712,e" filled="f" strokeweight=".16958mm">
                <v:path arrowok="t" o:connecttype="custom" o:connectlocs="0,0;1087120,0" o:connectangles="0,0"/>
                <w10:wrap type="topAndBottom" anchorx="page"/>
              </v:shape>
            </w:pict>
          </mc:Fallback>
        </mc:AlternateContent>
      </w:r>
    </w:p>
    <w:p w:rsidR="00E675F0" w:rsidRDefault="00E675F0" w:rsidP="00E675F0">
      <w:pPr>
        <w:spacing w:before="4"/>
        <w:ind w:left="-9" w:right="120"/>
        <w:jc w:val="right"/>
        <w:rPr>
          <w:rFonts w:ascii="Arial"/>
          <w:b/>
          <w:sz w:val="21"/>
        </w:rPr>
      </w:pPr>
      <w:r>
        <w:rPr>
          <w:rFonts w:ascii="Arial"/>
          <w:b/>
          <w:spacing w:val="-1"/>
          <w:w w:val="90"/>
          <w:sz w:val="21"/>
        </w:rPr>
        <w:t>2cpp:obJJl</w:t>
      </w:r>
    </w:p>
    <w:p w:rsidR="00E675F0" w:rsidRDefault="00E675F0" w:rsidP="00E675F0">
      <w:pPr>
        <w:jc w:val="right"/>
        <w:rPr>
          <w:rFonts w:ascii="Arial"/>
          <w:sz w:val="21"/>
        </w:rPr>
        <w:sectPr w:rsidR="00E675F0">
          <w:pgSz w:w="8960" w:h="14260"/>
          <w:pgMar w:top="1400" w:right="80" w:bottom="0" w:left="0" w:header="704" w:footer="0" w:gutter="0"/>
          <w:cols w:space="720"/>
        </w:sectPr>
      </w:pPr>
    </w:p>
    <w:p w:rsidR="00E675F0" w:rsidRDefault="00E675F0" w:rsidP="00E675F0">
      <w:pPr>
        <w:pStyle w:val="BodyText"/>
        <w:spacing w:before="122" w:line="254" w:lineRule="auto"/>
        <w:ind w:left="112" w:right="126" w:firstLine="3"/>
        <w:jc w:val="both"/>
      </w:pPr>
      <w:r>
        <w:rPr>
          <w:w w:val="105"/>
        </w:rPr>
        <w:lastRenderedPageBreak/>
        <w:t>appears to have a diminution of thoughts that is reflected in decreased fluency and productivity of speech. This must be differentiated from an unwillingness to speak, a clinical judgment that may require observation over time and in a variety of situations. Avolition is characterized by an inability to initiate and persist in goal-directed activities. The person may sit for long periods of time and show little interest in participating in work or social activities.</w:t>
      </w:r>
    </w:p>
    <w:p w:rsidR="00E675F0" w:rsidRDefault="00E675F0" w:rsidP="00E675F0">
      <w:pPr>
        <w:pStyle w:val="BodyText"/>
        <w:spacing w:line="254" w:lineRule="auto"/>
        <w:ind w:left="118" w:right="125" w:firstLine="359"/>
        <w:jc w:val="both"/>
      </w:pPr>
      <w:r>
        <w:rPr>
          <w:w w:val="105"/>
        </w:rPr>
        <w:t>Although quite ubiquitous in Schizophrenia, negative symptoms are difficult to evaluate because they occur on a continuum with normality, are nonspecific, and may  be due to a variety of other factors (e.g., as a consequence of positive symptoms, medication side effects, a Mood Disorder, environmental understimulation, or demoral­ ization). Social isolation or impoverished speech may not be best conceived of as negative symptoms if they occur as a consequence of a positive symptom (e.g., a paranoid delusion or a prominent hallucination). For example, the behavior of an individual who has the delusional belief that he will be  in danger if he leaves his room or talks to anyone may mimic alogia and avolition. Neuroleptic medications often produce</w:t>
      </w:r>
      <w:r>
        <w:rPr>
          <w:spacing w:val="-11"/>
          <w:w w:val="105"/>
        </w:rPr>
        <w:t xml:space="preserve"> </w:t>
      </w:r>
      <w:r>
        <w:rPr>
          <w:w w:val="105"/>
        </w:rPr>
        <w:t>extrapyramidal</w:t>
      </w:r>
      <w:r>
        <w:rPr>
          <w:spacing w:val="-30"/>
          <w:w w:val="105"/>
        </w:rPr>
        <w:t xml:space="preserve"> </w:t>
      </w:r>
      <w:r>
        <w:rPr>
          <w:w w:val="105"/>
        </w:rPr>
        <w:t>side</w:t>
      </w:r>
      <w:r>
        <w:rPr>
          <w:spacing w:val="-21"/>
          <w:w w:val="105"/>
        </w:rPr>
        <w:t xml:space="preserve"> </w:t>
      </w:r>
      <w:r>
        <w:rPr>
          <w:w w:val="105"/>
        </w:rPr>
        <w:t>effects</w:t>
      </w:r>
      <w:r>
        <w:rPr>
          <w:spacing w:val="-13"/>
          <w:w w:val="105"/>
        </w:rPr>
        <w:t xml:space="preserve"> </w:t>
      </w:r>
      <w:r>
        <w:rPr>
          <w:w w:val="105"/>
        </w:rPr>
        <w:t>that</w:t>
      </w:r>
      <w:r>
        <w:rPr>
          <w:spacing w:val="-13"/>
          <w:w w:val="105"/>
        </w:rPr>
        <w:t xml:space="preserve"> </w:t>
      </w:r>
      <w:r>
        <w:rPr>
          <w:w w:val="105"/>
        </w:rPr>
        <w:t>closely</w:t>
      </w:r>
      <w:r>
        <w:rPr>
          <w:spacing w:val="-13"/>
          <w:w w:val="105"/>
        </w:rPr>
        <w:t xml:space="preserve"> </w:t>
      </w:r>
      <w:r>
        <w:rPr>
          <w:w w:val="105"/>
        </w:rPr>
        <w:t>resemble</w:t>
      </w:r>
      <w:r>
        <w:rPr>
          <w:spacing w:val="-6"/>
          <w:w w:val="105"/>
        </w:rPr>
        <w:t xml:space="preserve"> </w:t>
      </w:r>
      <w:r>
        <w:rPr>
          <w:w w:val="105"/>
        </w:rPr>
        <w:t>affective</w:t>
      </w:r>
      <w:r>
        <w:rPr>
          <w:spacing w:val="-12"/>
          <w:w w:val="105"/>
        </w:rPr>
        <w:t xml:space="preserve"> </w:t>
      </w:r>
      <w:r>
        <w:rPr>
          <w:w w:val="105"/>
        </w:rPr>
        <w:t>flattening</w:t>
      </w:r>
      <w:r>
        <w:rPr>
          <w:spacing w:val="-12"/>
          <w:w w:val="105"/>
        </w:rPr>
        <w:t xml:space="preserve"> </w:t>
      </w:r>
      <w:r>
        <w:rPr>
          <w:w w:val="105"/>
        </w:rPr>
        <w:t>or</w:t>
      </w:r>
      <w:r>
        <w:rPr>
          <w:spacing w:val="-19"/>
          <w:w w:val="105"/>
        </w:rPr>
        <w:t xml:space="preserve"> </w:t>
      </w:r>
      <w:r>
        <w:rPr>
          <w:w w:val="105"/>
        </w:rPr>
        <w:t>avolition. The distinction between true negative symptoms and  medication  side effects depends on clinical judgment concerning the severity of negative symptoms, the nature and type of neuroleptic medication, the effects of dosage adjustment, and the effects of anticho­ linergic</w:t>
      </w:r>
      <w:r>
        <w:rPr>
          <w:spacing w:val="-7"/>
          <w:w w:val="105"/>
        </w:rPr>
        <w:t xml:space="preserve"> </w:t>
      </w:r>
      <w:r>
        <w:rPr>
          <w:w w:val="105"/>
        </w:rPr>
        <w:t>medications.</w:t>
      </w:r>
      <w:r>
        <w:rPr>
          <w:spacing w:val="-11"/>
          <w:w w:val="105"/>
        </w:rPr>
        <w:t xml:space="preserve"> </w:t>
      </w:r>
      <w:r>
        <w:rPr>
          <w:w w:val="105"/>
        </w:rPr>
        <w:t>The</w:t>
      </w:r>
      <w:r>
        <w:rPr>
          <w:spacing w:val="-19"/>
          <w:w w:val="105"/>
        </w:rPr>
        <w:t xml:space="preserve"> </w:t>
      </w:r>
      <w:r>
        <w:rPr>
          <w:w w:val="105"/>
        </w:rPr>
        <w:t>difficult</w:t>
      </w:r>
      <w:r>
        <w:rPr>
          <w:spacing w:val="-12"/>
          <w:w w:val="105"/>
        </w:rPr>
        <w:t xml:space="preserve"> </w:t>
      </w:r>
      <w:r>
        <w:rPr>
          <w:w w:val="105"/>
        </w:rPr>
        <w:t>distinction</w:t>
      </w:r>
      <w:r>
        <w:rPr>
          <w:spacing w:val="-6"/>
          <w:w w:val="105"/>
        </w:rPr>
        <w:t xml:space="preserve"> </w:t>
      </w:r>
      <w:r>
        <w:rPr>
          <w:w w:val="105"/>
        </w:rPr>
        <w:t>between</w:t>
      </w:r>
      <w:r>
        <w:rPr>
          <w:spacing w:val="-4"/>
          <w:w w:val="105"/>
        </w:rPr>
        <w:t xml:space="preserve"> </w:t>
      </w:r>
      <w:r>
        <w:rPr>
          <w:w w:val="105"/>
        </w:rPr>
        <w:t>negative</w:t>
      </w:r>
      <w:r>
        <w:rPr>
          <w:spacing w:val="-22"/>
          <w:w w:val="105"/>
        </w:rPr>
        <w:t xml:space="preserve"> </w:t>
      </w:r>
      <w:r>
        <w:rPr>
          <w:w w:val="105"/>
        </w:rPr>
        <w:t>symptoms</w:t>
      </w:r>
      <w:r>
        <w:rPr>
          <w:spacing w:val="-16"/>
          <w:w w:val="105"/>
        </w:rPr>
        <w:t xml:space="preserve"> </w:t>
      </w:r>
      <w:r>
        <w:rPr>
          <w:w w:val="105"/>
        </w:rPr>
        <w:t>and</w:t>
      </w:r>
      <w:r>
        <w:rPr>
          <w:spacing w:val="-17"/>
          <w:w w:val="105"/>
        </w:rPr>
        <w:t xml:space="preserve"> </w:t>
      </w:r>
      <w:r>
        <w:rPr>
          <w:w w:val="105"/>
        </w:rPr>
        <w:t xml:space="preserve">depressive symptoms may be informed by the other accompanying symptoms that are present and the fact that individuals with symptoms of depression typically experience an intense painful affect, whereas those with Schizophrenia have a diminution or emptiness of affect. Finally, chronic environmental understimulation or demoralization may result in learned apathy and avolition. In establishing the presence of negative symptoms, perhaps the best test is their persistence for a considerable period of time despite efforts directed at resolving each of the potential causes described above. </w:t>
      </w:r>
      <w:r>
        <w:rPr>
          <w:w w:val="105"/>
          <w:sz w:val="19"/>
        </w:rPr>
        <w:t xml:space="preserve">It </w:t>
      </w:r>
      <w:r>
        <w:rPr>
          <w:w w:val="105"/>
        </w:rPr>
        <w:t>has been suggested that enduring negative symptoms be referred to as "deficit"</w:t>
      </w:r>
      <w:r>
        <w:rPr>
          <w:spacing w:val="10"/>
          <w:w w:val="105"/>
        </w:rPr>
        <w:t xml:space="preserve"> </w:t>
      </w:r>
      <w:r>
        <w:rPr>
          <w:w w:val="105"/>
        </w:rPr>
        <w:t>symptoms.</w:t>
      </w:r>
    </w:p>
    <w:p w:rsidR="00E675F0" w:rsidRDefault="00E675F0" w:rsidP="00E675F0">
      <w:pPr>
        <w:pStyle w:val="BodyText"/>
        <w:spacing w:line="252" w:lineRule="auto"/>
        <w:ind w:left="123" w:right="120" w:firstLine="363"/>
        <w:jc w:val="both"/>
      </w:pPr>
      <w:r>
        <w:rPr>
          <w:w w:val="105"/>
        </w:rPr>
        <w:t>Criterion A for Schizophrenia requires that at least two of the five items be present concurrently for much of at least 1 month. However, if delusions are bizarre or hallucinations involve "voices commenting" or "voices conversing,"  then the presence of only one item is required. The presence of this relatively severe constellation of signs and symptoms is referred to as the "active phase." In those situations in which the active-phase symptoms remit within a month in response to treatment, Criterion A can still be considered to have been met if the clinician judges that the symptoms would have persisted for a month in the absence of effective treatment. In children, evaluation of the characteristic symptoms should include due consideration of the presence of other disorders or developmental difficulties. For example, the disorganized speech in a child with a Communication Disorder should not count toward a diagnosis of Schizophrenia unless the degree of disorganization is significantly greater than would be expected on the basis of the Communication Disorder</w:t>
      </w:r>
      <w:r>
        <w:rPr>
          <w:spacing w:val="43"/>
          <w:w w:val="105"/>
        </w:rPr>
        <w:t xml:space="preserve"> </w:t>
      </w:r>
      <w:r>
        <w:rPr>
          <w:w w:val="105"/>
        </w:rPr>
        <w:t>alone.</w:t>
      </w:r>
    </w:p>
    <w:p w:rsidR="00E675F0" w:rsidRDefault="00E675F0" w:rsidP="00E675F0">
      <w:pPr>
        <w:pStyle w:val="BodyText"/>
        <w:spacing w:before="4" w:line="254" w:lineRule="auto"/>
        <w:ind w:left="130" w:right="115" w:firstLine="355"/>
        <w:jc w:val="both"/>
      </w:pPr>
      <w:r>
        <w:rPr>
          <w:w w:val="105"/>
        </w:rPr>
        <w:t>Schizophrenia involves dysfunction in one or more major areas of functioning (e.g., interpersonal relations, work or education, or self-care) (Criterion B). Typically, func­ tioning is clearly below that which had been achieved before the onset of symptoms. If the disturbance begins in childhood or adolescence, however, there may be a failure to achieve what would  have been expected for the individual  rather than a deterioration  in functioning. Comparing the individual with unaffected siblings may be helpful in making this determination. Educational progress is frequently disrupted, and the individual may be unable to finish school. Many individuals are unable to hold a job</w:t>
      </w:r>
      <w:r>
        <w:rPr>
          <w:spacing w:val="-10"/>
          <w:w w:val="105"/>
        </w:rPr>
        <w:t xml:space="preserve"> </w:t>
      </w:r>
      <w:r>
        <w:rPr>
          <w:w w:val="105"/>
        </w:rPr>
        <w:t>for</w:t>
      </w:r>
    </w:p>
    <w:p w:rsidR="00E675F0" w:rsidRDefault="00E675F0" w:rsidP="00E675F0">
      <w:pPr>
        <w:spacing w:line="254" w:lineRule="auto"/>
        <w:jc w:val="both"/>
        <w:sectPr w:rsidR="00E675F0">
          <w:pgSz w:w="8960" w:h="14260"/>
          <w:pgMar w:top="1400" w:right="640" w:bottom="280" w:left="600" w:header="691" w:footer="0" w:gutter="0"/>
          <w:cols w:space="720"/>
        </w:sectPr>
      </w:pPr>
    </w:p>
    <w:p w:rsidR="00E675F0" w:rsidRDefault="00E675F0" w:rsidP="00E675F0">
      <w:pPr>
        <w:pStyle w:val="BodyText"/>
        <w:spacing w:before="126" w:line="254" w:lineRule="auto"/>
        <w:ind w:left="113" w:right="117" w:firstLine="3"/>
        <w:jc w:val="both"/>
      </w:pPr>
      <w:r>
        <w:rPr>
          <w:w w:val="105"/>
        </w:rPr>
        <w:lastRenderedPageBreak/>
        <w:t xml:space="preserve">sustained periods of time and are employed at a lower level than their parents ("downward drift"). The majority </w:t>
      </w:r>
      <w:r>
        <w:rPr>
          <w:w w:val="105"/>
          <w:sz w:val="19"/>
        </w:rPr>
        <w:t xml:space="preserve">(60%-70%) </w:t>
      </w:r>
      <w:r>
        <w:rPr>
          <w:w w:val="105"/>
        </w:rPr>
        <w:t>of individuals with Schizophrenia do not marry, and most have relatively limited social contacts. The dysfunction persists for a substantial period during the course of the disorder and does not appear to be a direct result of any single feature. For example, if a woman quits her job because of the circumscribed delusion that her boss is trying to kill her, this alone is not sufficient evidence for this criterion unless there is a more pervasive pattern of difficulties (usually in multiple domains of functioning).</w:t>
      </w:r>
    </w:p>
    <w:p w:rsidR="00E675F0" w:rsidRDefault="00E675F0" w:rsidP="00E675F0">
      <w:pPr>
        <w:pStyle w:val="BodyText"/>
        <w:spacing w:line="254" w:lineRule="auto"/>
        <w:ind w:left="116" w:right="106" w:firstLine="364"/>
        <w:jc w:val="both"/>
      </w:pPr>
      <w:r>
        <w:rPr>
          <w:w w:val="105"/>
        </w:rPr>
        <w:t xml:space="preserve">Some signs of  the  disturbance  must  persist  for a  continuous  period  of  at  least 6 months (Criterion C). During that time period, there must be at least 1 month of symptoms (or less than 1 month </w:t>
      </w:r>
      <w:r>
        <w:rPr>
          <w:rFonts w:ascii="Arial"/>
          <w:w w:val="105"/>
          <w:sz w:val="19"/>
        </w:rPr>
        <w:t xml:space="preserve">if </w:t>
      </w:r>
      <w:r>
        <w:rPr>
          <w:w w:val="105"/>
        </w:rPr>
        <w:t xml:space="preserve">symptoms are successfully treated) that meet  Criterion A of Schizophrenia (the active phase). Prodromal symptoms are often present prior to the active phase, and residual symptoms may follow it. Some prodromal and residual symptoms are relatively mild or subthreshold forms of the positive symptoms specified in Criterion </w:t>
      </w:r>
      <w:r>
        <w:rPr>
          <w:rFonts w:ascii="Arial"/>
          <w:w w:val="105"/>
          <w:sz w:val="18"/>
        </w:rPr>
        <w:t xml:space="preserve">A. </w:t>
      </w:r>
      <w:r>
        <w:rPr>
          <w:w w:val="105"/>
        </w:rPr>
        <w:t>Individuals may express a variety of unusual or odd beliefs that are not of delusional proportions (e.g., ideas of reference or magical thinking); they may have unusual perceptual  experiences (e.g., sensing the presence  of  an unseen  person  or force in the absence of formed hallucinations); their speech may be generally understandable but digressive, vague, or overly abstract or concrete; and their behavior may be peculiar but not grossly disorganized (e.g., mumbling to themselves, collecting odd and apparently worthless objects). In addition to these positive-like symptoms, negative symptoms are particularly common in the prodromal and residual phases and can often be quite severe. Individuals who had been socially active may become withdrawn; they lose interest in previously pleasurable activities; they may become less talkative and inquisitive; and they may spend the bulk of their time in bed. Such negative symptoms are often the first sign to the family that something is wrong; family members may ultimately report that they experienced the individual as "gradually slipping</w:t>
      </w:r>
      <w:r>
        <w:rPr>
          <w:spacing w:val="17"/>
          <w:w w:val="105"/>
        </w:rPr>
        <w:t xml:space="preserve"> </w:t>
      </w:r>
      <w:r>
        <w:rPr>
          <w:w w:val="105"/>
        </w:rPr>
        <w:t>away."</w:t>
      </w:r>
    </w:p>
    <w:p w:rsidR="00E675F0" w:rsidRDefault="00E675F0" w:rsidP="00E675F0">
      <w:pPr>
        <w:pStyle w:val="BodyText"/>
        <w:rPr>
          <w:sz w:val="22"/>
        </w:rPr>
      </w:pPr>
    </w:p>
    <w:p w:rsidR="00E675F0" w:rsidRDefault="00E675F0" w:rsidP="00E675F0">
      <w:pPr>
        <w:pStyle w:val="BodyText"/>
        <w:spacing w:before="6"/>
        <w:rPr>
          <w:sz w:val="18"/>
        </w:rPr>
      </w:pPr>
    </w:p>
    <w:p w:rsidR="00E675F0" w:rsidRDefault="00E675F0" w:rsidP="00E675F0">
      <w:pPr>
        <w:ind w:left="113"/>
        <w:jc w:val="both"/>
        <w:rPr>
          <w:rFonts w:ascii="TimesNewRomanPS-BoldItalicMT"/>
          <w:b/>
          <w:i/>
          <w:sz w:val="24"/>
        </w:rPr>
      </w:pPr>
      <w:r>
        <w:rPr>
          <w:rFonts w:ascii="TimesNewRomanPS-BoldItalicMT"/>
          <w:b/>
          <w:i/>
          <w:w w:val="115"/>
          <w:sz w:val="24"/>
        </w:rPr>
        <w:t>Subtypes and Course Specifiers</w:t>
      </w:r>
    </w:p>
    <w:p w:rsidR="00E675F0" w:rsidRDefault="00E675F0" w:rsidP="00E675F0">
      <w:pPr>
        <w:pStyle w:val="BodyText"/>
        <w:spacing w:before="151" w:line="252" w:lineRule="auto"/>
        <w:ind w:left="124" w:right="110" w:hanging="4"/>
        <w:jc w:val="both"/>
      </w:pPr>
      <w:r>
        <w:rPr>
          <w:w w:val="105"/>
        </w:rPr>
        <w:t>The diagnosis of a particular subtype is based on the clinical picture that occasioned the most recent evaluation or admission to clinical care and may therefore change over time. Separate text and criteria are provided for each of the following subtypes:</w:t>
      </w:r>
    </w:p>
    <w:p w:rsidR="00E675F0" w:rsidRDefault="00E675F0" w:rsidP="00E675F0">
      <w:pPr>
        <w:pStyle w:val="BodyText"/>
        <w:spacing w:before="9"/>
        <w:rPr>
          <w:sz w:val="5"/>
        </w:rPr>
      </w:pPr>
    </w:p>
    <w:tbl>
      <w:tblPr>
        <w:tblW w:w="0" w:type="auto"/>
        <w:tblInd w:w="695" w:type="dxa"/>
        <w:tblLayout w:type="fixed"/>
        <w:tblCellMar>
          <w:left w:w="0" w:type="dxa"/>
          <w:right w:w="0" w:type="dxa"/>
        </w:tblCellMar>
        <w:tblLook w:val="01E0" w:firstRow="1" w:lastRow="1" w:firstColumn="1" w:lastColumn="1" w:noHBand="0" w:noVBand="0"/>
      </w:tblPr>
      <w:tblGrid>
        <w:gridCol w:w="736"/>
        <w:gridCol w:w="3284"/>
      </w:tblGrid>
      <w:tr w:rsidR="00E675F0" w:rsidTr="00A330E1">
        <w:trPr>
          <w:trHeight w:val="233"/>
        </w:trPr>
        <w:tc>
          <w:tcPr>
            <w:tcW w:w="736" w:type="dxa"/>
          </w:tcPr>
          <w:p w:rsidR="00E675F0" w:rsidRDefault="00E675F0" w:rsidP="00A330E1">
            <w:pPr>
              <w:pStyle w:val="TableParagraph"/>
              <w:spacing w:line="213" w:lineRule="exact"/>
              <w:ind w:left="54"/>
              <w:rPr>
                <w:b/>
                <w:sz w:val="20"/>
              </w:rPr>
            </w:pPr>
            <w:r>
              <w:rPr>
                <w:b/>
                <w:w w:val="110"/>
                <w:sz w:val="20"/>
              </w:rPr>
              <w:t>295.30</w:t>
            </w:r>
          </w:p>
        </w:tc>
        <w:tc>
          <w:tcPr>
            <w:tcW w:w="3284" w:type="dxa"/>
          </w:tcPr>
          <w:p w:rsidR="00E675F0" w:rsidRDefault="00E675F0" w:rsidP="00A330E1">
            <w:pPr>
              <w:pStyle w:val="TableParagraph"/>
              <w:spacing w:line="213" w:lineRule="exact"/>
              <w:ind w:left="73"/>
              <w:rPr>
                <w:sz w:val="20"/>
              </w:rPr>
            </w:pPr>
            <w:r>
              <w:rPr>
                <w:b/>
                <w:w w:val="105"/>
                <w:sz w:val="20"/>
              </w:rPr>
              <w:t xml:space="preserve">Paranoid Type </w:t>
            </w:r>
            <w:r>
              <w:rPr>
                <w:w w:val="105"/>
                <w:sz w:val="20"/>
              </w:rPr>
              <w:t>(see p. 287)</w:t>
            </w:r>
          </w:p>
        </w:tc>
      </w:tr>
      <w:tr w:rsidR="00E675F0" w:rsidTr="00A330E1">
        <w:trPr>
          <w:trHeight w:val="247"/>
        </w:trPr>
        <w:tc>
          <w:tcPr>
            <w:tcW w:w="736" w:type="dxa"/>
          </w:tcPr>
          <w:p w:rsidR="00E675F0" w:rsidRDefault="00E675F0" w:rsidP="00A330E1">
            <w:pPr>
              <w:pStyle w:val="TableParagraph"/>
              <w:spacing w:before="3" w:line="224" w:lineRule="exact"/>
              <w:ind w:left="54"/>
              <w:rPr>
                <w:b/>
                <w:sz w:val="20"/>
              </w:rPr>
            </w:pPr>
            <w:r>
              <w:rPr>
                <w:b/>
                <w:w w:val="110"/>
                <w:sz w:val="20"/>
              </w:rPr>
              <w:t>295.10</w:t>
            </w:r>
          </w:p>
        </w:tc>
        <w:tc>
          <w:tcPr>
            <w:tcW w:w="3284" w:type="dxa"/>
          </w:tcPr>
          <w:p w:rsidR="00E675F0" w:rsidRDefault="00E675F0" w:rsidP="00A330E1">
            <w:pPr>
              <w:pStyle w:val="TableParagraph"/>
              <w:spacing w:before="3" w:line="224" w:lineRule="exact"/>
              <w:ind w:left="76"/>
              <w:rPr>
                <w:sz w:val="20"/>
              </w:rPr>
            </w:pPr>
            <w:r>
              <w:rPr>
                <w:b/>
                <w:w w:val="110"/>
                <w:sz w:val="20"/>
              </w:rPr>
              <w:t xml:space="preserve">Disorganized Type </w:t>
            </w:r>
            <w:r>
              <w:rPr>
                <w:w w:val="110"/>
                <w:sz w:val="20"/>
              </w:rPr>
              <w:t>(see p. 287)</w:t>
            </w:r>
          </w:p>
        </w:tc>
      </w:tr>
      <w:tr w:rsidR="00E675F0" w:rsidTr="00A330E1">
        <w:trPr>
          <w:trHeight w:val="247"/>
        </w:trPr>
        <w:tc>
          <w:tcPr>
            <w:tcW w:w="736" w:type="dxa"/>
          </w:tcPr>
          <w:p w:rsidR="00E675F0" w:rsidRDefault="00E675F0" w:rsidP="00A330E1">
            <w:pPr>
              <w:pStyle w:val="TableParagraph"/>
              <w:spacing w:before="6" w:line="222" w:lineRule="exact"/>
              <w:ind w:left="54"/>
              <w:rPr>
                <w:b/>
                <w:sz w:val="20"/>
              </w:rPr>
            </w:pPr>
            <w:r>
              <w:rPr>
                <w:b/>
                <w:w w:val="110"/>
                <w:sz w:val="20"/>
              </w:rPr>
              <w:t>295.20</w:t>
            </w:r>
          </w:p>
        </w:tc>
        <w:tc>
          <w:tcPr>
            <w:tcW w:w="3284" w:type="dxa"/>
          </w:tcPr>
          <w:p w:rsidR="00E675F0" w:rsidRDefault="00E675F0" w:rsidP="00A330E1">
            <w:pPr>
              <w:pStyle w:val="TableParagraph"/>
              <w:spacing w:before="6" w:line="222" w:lineRule="exact"/>
              <w:ind w:left="70"/>
              <w:rPr>
                <w:sz w:val="20"/>
              </w:rPr>
            </w:pPr>
            <w:r>
              <w:rPr>
                <w:b/>
                <w:w w:val="105"/>
                <w:sz w:val="20"/>
              </w:rPr>
              <w:t xml:space="preserve">Catatonic Type </w:t>
            </w:r>
            <w:r>
              <w:rPr>
                <w:w w:val="105"/>
                <w:sz w:val="20"/>
              </w:rPr>
              <w:t>(see p. 288)</w:t>
            </w:r>
          </w:p>
        </w:tc>
      </w:tr>
      <w:tr w:rsidR="00E675F0" w:rsidTr="00A330E1">
        <w:trPr>
          <w:trHeight w:val="245"/>
        </w:trPr>
        <w:tc>
          <w:tcPr>
            <w:tcW w:w="736" w:type="dxa"/>
          </w:tcPr>
          <w:p w:rsidR="00E675F0" w:rsidRDefault="00E675F0" w:rsidP="00A330E1">
            <w:pPr>
              <w:pStyle w:val="TableParagraph"/>
              <w:spacing w:before="3" w:line="222" w:lineRule="exact"/>
              <w:ind w:left="50"/>
              <w:rPr>
                <w:b/>
                <w:sz w:val="20"/>
              </w:rPr>
            </w:pPr>
            <w:r>
              <w:rPr>
                <w:b/>
                <w:w w:val="110"/>
                <w:sz w:val="20"/>
              </w:rPr>
              <w:t>295.90</w:t>
            </w:r>
          </w:p>
        </w:tc>
        <w:tc>
          <w:tcPr>
            <w:tcW w:w="3284" w:type="dxa"/>
          </w:tcPr>
          <w:p w:rsidR="00E675F0" w:rsidRDefault="00E675F0" w:rsidP="00A330E1">
            <w:pPr>
              <w:pStyle w:val="TableParagraph"/>
              <w:spacing w:before="3" w:line="222" w:lineRule="exact"/>
              <w:ind w:left="69"/>
              <w:rPr>
                <w:sz w:val="20"/>
              </w:rPr>
            </w:pPr>
            <w:r>
              <w:rPr>
                <w:b/>
                <w:w w:val="110"/>
                <w:sz w:val="20"/>
              </w:rPr>
              <w:t xml:space="preserve">Undifferentiated Type </w:t>
            </w:r>
            <w:r>
              <w:rPr>
                <w:w w:val="110"/>
                <w:sz w:val="20"/>
              </w:rPr>
              <w:t>(see p. 289)</w:t>
            </w:r>
          </w:p>
        </w:tc>
      </w:tr>
      <w:tr w:rsidR="00E675F0" w:rsidTr="00A330E1">
        <w:trPr>
          <w:trHeight w:val="233"/>
        </w:trPr>
        <w:tc>
          <w:tcPr>
            <w:tcW w:w="736" w:type="dxa"/>
          </w:tcPr>
          <w:p w:rsidR="00E675F0" w:rsidRDefault="00E675F0" w:rsidP="00A330E1">
            <w:pPr>
              <w:pStyle w:val="TableParagraph"/>
              <w:spacing w:before="3" w:line="210" w:lineRule="exact"/>
              <w:ind w:left="50"/>
              <w:rPr>
                <w:b/>
                <w:sz w:val="20"/>
              </w:rPr>
            </w:pPr>
            <w:r>
              <w:rPr>
                <w:b/>
                <w:w w:val="110"/>
                <w:sz w:val="20"/>
              </w:rPr>
              <w:t>295.60</w:t>
            </w:r>
          </w:p>
        </w:tc>
        <w:tc>
          <w:tcPr>
            <w:tcW w:w="3284" w:type="dxa"/>
          </w:tcPr>
          <w:p w:rsidR="00E675F0" w:rsidRDefault="00E675F0" w:rsidP="00A330E1">
            <w:pPr>
              <w:pStyle w:val="TableParagraph"/>
              <w:spacing w:before="3" w:line="210" w:lineRule="exact"/>
              <w:ind w:left="75"/>
              <w:rPr>
                <w:sz w:val="20"/>
              </w:rPr>
            </w:pPr>
            <w:r>
              <w:rPr>
                <w:b/>
                <w:w w:val="105"/>
                <w:sz w:val="20"/>
              </w:rPr>
              <w:t xml:space="preserve">Residual Type </w:t>
            </w:r>
            <w:r>
              <w:rPr>
                <w:w w:val="105"/>
                <w:sz w:val="20"/>
              </w:rPr>
              <w:t>(see p. 289)</w:t>
            </w:r>
          </w:p>
        </w:tc>
      </w:tr>
    </w:tbl>
    <w:p w:rsidR="00E675F0" w:rsidRDefault="00E675F0" w:rsidP="00E675F0">
      <w:pPr>
        <w:pStyle w:val="BodyText"/>
        <w:spacing w:before="194" w:line="254" w:lineRule="auto"/>
        <w:ind w:left="122" w:right="108" w:firstLine="363"/>
        <w:jc w:val="both"/>
      </w:pPr>
      <w:r>
        <w:rPr>
          <w:w w:val="105"/>
        </w:rPr>
        <w:t>The following specifiers may be used to indicate the characteristic course of symptoms of Schizophrenia over time. These specifiers can be applied only after at least 1 year has elapsed since the initial onset of active-phase symptoms. During this initial I-year period, no course specifiers can be given.</w:t>
      </w:r>
    </w:p>
    <w:p w:rsidR="00E675F0" w:rsidRDefault="00E675F0" w:rsidP="00E675F0">
      <w:pPr>
        <w:spacing w:before="63" w:line="256" w:lineRule="auto"/>
        <w:ind w:left="728" w:right="102" w:firstLine="5"/>
        <w:jc w:val="both"/>
        <w:rPr>
          <w:sz w:val="20"/>
        </w:rPr>
      </w:pPr>
      <w:r>
        <w:rPr>
          <w:b/>
          <w:w w:val="110"/>
          <w:sz w:val="20"/>
        </w:rPr>
        <w:t>Episodic</w:t>
      </w:r>
      <w:r>
        <w:rPr>
          <w:b/>
          <w:spacing w:val="-28"/>
          <w:w w:val="110"/>
          <w:sz w:val="20"/>
        </w:rPr>
        <w:t xml:space="preserve"> </w:t>
      </w:r>
      <w:r>
        <w:rPr>
          <w:b/>
          <w:w w:val="110"/>
          <w:sz w:val="20"/>
        </w:rPr>
        <w:t>WithlnterepisodeResidual</w:t>
      </w:r>
      <w:r>
        <w:rPr>
          <w:b/>
          <w:spacing w:val="-34"/>
          <w:w w:val="110"/>
          <w:sz w:val="20"/>
        </w:rPr>
        <w:t xml:space="preserve"> </w:t>
      </w:r>
      <w:r>
        <w:rPr>
          <w:b/>
          <w:w w:val="110"/>
          <w:sz w:val="20"/>
        </w:rPr>
        <w:t>Symptoms.</w:t>
      </w:r>
      <w:r>
        <w:rPr>
          <w:b/>
          <w:spacing w:val="28"/>
          <w:w w:val="110"/>
          <w:sz w:val="20"/>
        </w:rPr>
        <w:t xml:space="preserve"> </w:t>
      </w:r>
      <w:r>
        <w:rPr>
          <w:w w:val="110"/>
          <w:sz w:val="20"/>
        </w:rPr>
        <w:t>This</w:t>
      </w:r>
      <w:r>
        <w:rPr>
          <w:spacing w:val="-26"/>
          <w:w w:val="110"/>
          <w:sz w:val="20"/>
        </w:rPr>
        <w:t xml:space="preserve"> </w:t>
      </w:r>
      <w:r>
        <w:rPr>
          <w:w w:val="110"/>
          <w:sz w:val="20"/>
        </w:rPr>
        <w:t>specifier</w:t>
      </w:r>
      <w:r>
        <w:rPr>
          <w:spacing w:val="-13"/>
          <w:w w:val="110"/>
          <w:sz w:val="20"/>
        </w:rPr>
        <w:t xml:space="preserve"> </w:t>
      </w:r>
      <w:r>
        <w:rPr>
          <w:w w:val="110"/>
          <w:sz w:val="20"/>
        </w:rPr>
        <w:t>applies</w:t>
      </w:r>
      <w:r>
        <w:rPr>
          <w:spacing w:val="-21"/>
          <w:w w:val="110"/>
          <w:sz w:val="20"/>
        </w:rPr>
        <w:t xml:space="preserve"> </w:t>
      </w:r>
      <w:r>
        <w:rPr>
          <w:w w:val="110"/>
          <w:sz w:val="20"/>
        </w:rPr>
        <w:t>when the</w:t>
      </w:r>
      <w:r>
        <w:rPr>
          <w:spacing w:val="-27"/>
          <w:w w:val="110"/>
          <w:sz w:val="20"/>
        </w:rPr>
        <w:t xml:space="preserve"> </w:t>
      </w:r>
      <w:r>
        <w:rPr>
          <w:w w:val="110"/>
          <w:sz w:val="20"/>
        </w:rPr>
        <w:t>course</w:t>
      </w:r>
      <w:r>
        <w:rPr>
          <w:spacing w:val="-22"/>
          <w:w w:val="110"/>
          <w:sz w:val="20"/>
        </w:rPr>
        <w:t xml:space="preserve"> </w:t>
      </w:r>
      <w:r>
        <w:rPr>
          <w:w w:val="110"/>
          <w:sz w:val="20"/>
        </w:rPr>
        <w:t>is</w:t>
      </w:r>
      <w:r>
        <w:rPr>
          <w:spacing w:val="-26"/>
          <w:w w:val="110"/>
          <w:sz w:val="20"/>
        </w:rPr>
        <w:t xml:space="preserve"> </w:t>
      </w:r>
      <w:r>
        <w:rPr>
          <w:w w:val="110"/>
          <w:sz w:val="20"/>
        </w:rPr>
        <w:t>characterized</w:t>
      </w:r>
      <w:r>
        <w:rPr>
          <w:spacing w:val="-11"/>
          <w:w w:val="110"/>
          <w:sz w:val="20"/>
        </w:rPr>
        <w:t xml:space="preserve"> </w:t>
      </w:r>
      <w:r>
        <w:rPr>
          <w:w w:val="110"/>
          <w:sz w:val="20"/>
        </w:rPr>
        <w:t>by</w:t>
      </w:r>
      <w:r>
        <w:rPr>
          <w:spacing w:val="-27"/>
          <w:w w:val="110"/>
          <w:sz w:val="20"/>
        </w:rPr>
        <w:t xml:space="preserve"> </w:t>
      </w:r>
      <w:r>
        <w:rPr>
          <w:w w:val="110"/>
          <w:sz w:val="20"/>
        </w:rPr>
        <w:t>episodes</w:t>
      </w:r>
      <w:r>
        <w:rPr>
          <w:spacing w:val="-19"/>
          <w:w w:val="110"/>
          <w:sz w:val="20"/>
        </w:rPr>
        <w:t xml:space="preserve"> </w:t>
      </w:r>
      <w:r>
        <w:rPr>
          <w:w w:val="110"/>
          <w:sz w:val="20"/>
        </w:rPr>
        <w:t>in</w:t>
      </w:r>
      <w:r>
        <w:rPr>
          <w:spacing w:val="-25"/>
          <w:w w:val="110"/>
          <w:sz w:val="20"/>
        </w:rPr>
        <w:t xml:space="preserve"> </w:t>
      </w:r>
      <w:r>
        <w:rPr>
          <w:w w:val="110"/>
          <w:sz w:val="20"/>
        </w:rPr>
        <w:t>which</w:t>
      </w:r>
      <w:r>
        <w:rPr>
          <w:spacing w:val="-23"/>
          <w:w w:val="110"/>
          <w:sz w:val="20"/>
        </w:rPr>
        <w:t xml:space="preserve"> </w:t>
      </w:r>
      <w:r>
        <w:rPr>
          <w:w w:val="110"/>
          <w:sz w:val="20"/>
        </w:rPr>
        <w:t>Criterion</w:t>
      </w:r>
      <w:r>
        <w:rPr>
          <w:spacing w:val="-18"/>
          <w:w w:val="110"/>
          <w:sz w:val="20"/>
        </w:rPr>
        <w:t xml:space="preserve"> </w:t>
      </w:r>
      <w:r>
        <w:rPr>
          <w:w w:val="110"/>
          <w:sz w:val="20"/>
        </w:rPr>
        <w:t>A</w:t>
      </w:r>
      <w:r>
        <w:rPr>
          <w:spacing w:val="-32"/>
          <w:w w:val="110"/>
          <w:sz w:val="20"/>
        </w:rPr>
        <w:t xml:space="preserve"> </w:t>
      </w:r>
      <w:r>
        <w:rPr>
          <w:w w:val="110"/>
          <w:sz w:val="20"/>
        </w:rPr>
        <w:t>for</w:t>
      </w:r>
      <w:r>
        <w:rPr>
          <w:spacing w:val="-29"/>
          <w:w w:val="110"/>
          <w:sz w:val="20"/>
        </w:rPr>
        <w:t xml:space="preserve"> </w:t>
      </w:r>
      <w:r>
        <w:rPr>
          <w:w w:val="110"/>
          <w:sz w:val="20"/>
        </w:rPr>
        <w:t>Schizophrenia</w:t>
      </w:r>
      <w:r>
        <w:rPr>
          <w:spacing w:val="-14"/>
          <w:w w:val="110"/>
          <w:sz w:val="20"/>
        </w:rPr>
        <w:t xml:space="preserve"> </w:t>
      </w:r>
      <w:r>
        <w:rPr>
          <w:w w:val="110"/>
          <w:sz w:val="20"/>
        </w:rPr>
        <w:t>is met</w:t>
      </w:r>
      <w:r>
        <w:rPr>
          <w:spacing w:val="-23"/>
          <w:w w:val="110"/>
          <w:sz w:val="20"/>
        </w:rPr>
        <w:t xml:space="preserve"> </w:t>
      </w:r>
      <w:r>
        <w:rPr>
          <w:w w:val="110"/>
          <w:sz w:val="20"/>
        </w:rPr>
        <w:t>and</w:t>
      </w:r>
      <w:r>
        <w:rPr>
          <w:spacing w:val="-23"/>
          <w:w w:val="110"/>
          <w:sz w:val="20"/>
        </w:rPr>
        <w:t xml:space="preserve"> </w:t>
      </w:r>
      <w:r>
        <w:rPr>
          <w:w w:val="110"/>
          <w:sz w:val="20"/>
        </w:rPr>
        <w:t>there</w:t>
      </w:r>
      <w:r>
        <w:rPr>
          <w:spacing w:val="-26"/>
          <w:w w:val="110"/>
          <w:sz w:val="20"/>
        </w:rPr>
        <w:t xml:space="preserve"> </w:t>
      </w:r>
      <w:r>
        <w:rPr>
          <w:w w:val="110"/>
          <w:sz w:val="20"/>
        </w:rPr>
        <w:t>are</w:t>
      </w:r>
      <w:r>
        <w:rPr>
          <w:spacing w:val="-28"/>
          <w:w w:val="110"/>
          <w:sz w:val="20"/>
        </w:rPr>
        <w:t xml:space="preserve"> </w:t>
      </w:r>
      <w:r>
        <w:rPr>
          <w:w w:val="110"/>
          <w:sz w:val="20"/>
        </w:rPr>
        <w:t>clinically</w:t>
      </w:r>
      <w:r>
        <w:rPr>
          <w:spacing w:val="-25"/>
          <w:w w:val="110"/>
          <w:sz w:val="20"/>
        </w:rPr>
        <w:t xml:space="preserve"> </w:t>
      </w:r>
      <w:r>
        <w:rPr>
          <w:w w:val="110"/>
          <w:sz w:val="20"/>
        </w:rPr>
        <w:t>significant</w:t>
      </w:r>
      <w:r>
        <w:rPr>
          <w:spacing w:val="-12"/>
          <w:w w:val="110"/>
          <w:sz w:val="20"/>
        </w:rPr>
        <w:t xml:space="preserve"> </w:t>
      </w:r>
      <w:r>
        <w:rPr>
          <w:w w:val="110"/>
          <w:sz w:val="20"/>
        </w:rPr>
        <w:t>residual</w:t>
      </w:r>
      <w:r>
        <w:rPr>
          <w:spacing w:val="-22"/>
          <w:w w:val="110"/>
          <w:sz w:val="20"/>
        </w:rPr>
        <w:t xml:space="preserve"> </w:t>
      </w:r>
      <w:r>
        <w:rPr>
          <w:w w:val="110"/>
          <w:sz w:val="20"/>
        </w:rPr>
        <w:t>symptoms</w:t>
      </w:r>
      <w:r>
        <w:rPr>
          <w:spacing w:val="-18"/>
          <w:w w:val="110"/>
          <w:sz w:val="20"/>
        </w:rPr>
        <w:t xml:space="preserve"> </w:t>
      </w:r>
      <w:r>
        <w:rPr>
          <w:w w:val="110"/>
          <w:sz w:val="20"/>
        </w:rPr>
        <w:t>between</w:t>
      </w:r>
      <w:r>
        <w:rPr>
          <w:spacing w:val="-18"/>
          <w:w w:val="110"/>
          <w:sz w:val="20"/>
        </w:rPr>
        <w:t xml:space="preserve"> </w:t>
      </w:r>
      <w:r>
        <w:rPr>
          <w:w w:val="110"/>
          <w:sz w:val="20"/>
        </w:rPr>
        <w:t>the</w:t>
      </w:r>
      <w:r>
        <w:rPr>
          <w:spacing w:val="-28"/>
          <w:w w:val="110"/>
          <w:sz w:val="20"/>
        </w:rPr>
        <w:t xml:space="preserve"> </w:t>
      </w:r>
      <w:r>
        <w:rPr>
          <w:w w:val="110"/>
          <w:sz w:val="20"/>
        </w:rPr>
        <w:t xml:space="preserve">episodes. </w:t>
      </w:r>
      <w:r>
        <w:rPr>
          <w:b/>
          <w:w w:val="110"/>
          <w:sz w:val="20"/>
        </w:rPr>
        <w:t xml:space="preserve">With Prominent Negative Symptoms </w:t>
      </w:r>
      <w:r>
        <w:rPr>
          <w:w w:val="110"/>
          <w:sz w:val="20"/>
        </w:rPr>
        <w:t xml:space="preserve">can be added </w:t>
      </w:r>
      <w:r>
        <w:rPr>
          <w:rFonts w:ascii="Arial"/>
          <w:w w:val="110"/>
          <w:sz w:val="19"/>
        </w:rPr>
        <w:t xml:space="preserve">if </w:t>
      </w:r>
      <w:r>
        <w:rPr>
          <w:w w:val="110"/>
          <w:sz w:val="20"/>
        </w:rPr>
        <w:t>prominent negative symptoms are present during these residual</w:t>
      </w:r>
      <w:r>
        <w:rPr>
          <w:spacing w:val="45"/>
          <w:w w:val="110"/>
          <w:sz w:val="20"/>
        </w:rPr>
        <w:t xml:space="preserve"> </w:t>
      </w:r>
      <w:r>
        <w:rPr>
          <w:w w:val="110"/>
          <w:sz w:val="20"/>
        </w:rPr>
        <w:t>periods.</w:t>
      </w:r>
    </w:p>
    <w:p w:rsidR="00E675F0" w:rsidRDefault="00E675F0" w:rsidP="00E675F0">
      <w:pPr>
        <w:spacing w:line="256" w:lineRule="auto"/>
        <w:jc w:val="both"/>
        <w:rPr>
          <w:sz w:val="20"/>
        </w:rPr>
        <w:sectPr w:rsidR="00E675F0">
          <w:pgSz w:w="8960" w:h="14260"/>
          <w:pgMar w:top="1400" w:right="620" w:bottom="280" w:left="620" w:header="704" w:footer="0" w:gutter="0"/>
          <w:cols w:space="720"/>
        </w:sectPr>
      </w:pPr>
    </w:p>
    <w:p w:rsidR="00E675F0" w:rsidRDefault="00E675F0" w:rsidP="00E675F0">
      <w:pPr>
        <w:spacing w:before="120" w:line="252" w:lineRule="auto"/>
        <w:ind w:left="731" w:right="130" w:hanging="3"/>
        <w:jc w:val="both"/>
        <w:rPr>
          <w:sz w:val="20"/>
        </w:rPr>
      </w:pPr>
      <w:r>
        <w:rPr>
          <w:b/>
          <w:w w:val="105"/>
          <w:sz w:val="20"/>
        </w:rPr>
        <w:lastRenderedPageBreak/>
        <w:t xml:space="preserve">Episodic With No Interepisode Residual Symptoms. </w:t>
      </w:r>
      <w:r>
        <w:rPr>
          <w:w w:val="105"/>
          <w:sz w:val="20"/>
        </w:rPr>
        <w:t>This specifier applies when the course is characterized by episodes in which Criterion A for Schizo­ phrenia is met and there are no clinically significant residual symptoms between the episodes.</w:t>
      </w:r>
    </w:p>
    <w:p w:rsidR="00E675F0" w:rsidRDefault="00E675F0" w:rsidP="00E675F0">
      <w:pPr>
        <w:spacing w:line="254" w:lineRule="auto"/>
        <w:ind w:left="727" w:right="142" w:hanging="3"/>
        <w:jc w:val="both"/>
        <w:rPr>
          <w:sz w:val="20"/>
        </w:rPr>
      </w:pPr>
      <w:r>
        <w:rPr>
          <w:b/>
          <w:w w:val="105"/>
          <w:sz w:val="20"/>
        </w:rPr>
        <w:t xml:space="preserve">Continuous. </w:t>
      </w:r>
      <w:r>
        <w:rPr>
          <w:w w:val="105"/>
          <w:sz w:val="20"/>
        </w:rPr>
        <w:t xml:space="preserve">This specifier  applies when characteristic symptoms  of  Criterion A are met throughout all (or most) of the course. </w:t>
      </w:r>
      <w:r>
        <w:rPr>
          <w:b/>
          <w:w w:val="105"/>
          <w:sz w:val="20"/>
        </w:rPr>
        <w:t xml:space="preserve">With Prominent Negative Symptoms </w:t>
      </w:r>
      <w:r>
        <w:rPr>
          <w:w w:val="105"/>
          <w:sz w:val="20"/>
        </w:rPr>
        <w:t>can be added if prominent negative symptoms are also present.</w:t>
      </w:r>
    </w:p>
    <w:p w:rsidR="00E675F0" w:rsidRDefault="00E675F0" w:rsidP="00E675F0">
      <w:pPr>
        <w:spacing w:line="254" w:lineRule="auto"/>
        <w:ind w:left="732" w:right="131" w:hanging="5"/>
        <w:jc w:val="both"/>
        <w:rPr>
          <w:sz w:val="20"/>
        </w:rPr>
      </w:pPr>
      <w:r>
        <w:rPr>
          <w:b/>
          <w:w w:val="105"/>
          <w:sz w:val="20"/>
        </w:rPr>
        <w:t xml:space="preserve">Single Episode In Partial Remission. </w:t>
      </w:r>
      <w:r>
        <w:rPr>
          <w:w w:val="105"/>
          <w:sz w:val="20"/>
        </w:rPr>
        <w:t xml:space="preserve">This specifier applies when there  has been a single episode in which Criterion A for Schizophrenia is met and some clinically significant residual symptoms remain. </w:t>
      </w:r>
      <w:r>
        <w:rPr>
          <w:b/>
          <w:w w:val="105"/>
          <w:sz w:val="20"/>
        </w:rPr>
        <w:t xml:space="preserve">With Prominent Negative Symptoms </w:t>
      </w:r>
      <w:r>
        <w:rPr>
          <w:w w:val="105"/>
          <w:sz w:val="20"/>
        </w:rPr>
        <w:t>can be added if these residual symptoms include prominent negative symptoms.</w:t>
      </w:r>
    </w:p>
    <w:p w:rsidR="00E675F0" w:rsidRDefault="00E675F0" w:rsidP="00E675F0">
      <w:pPr>
        <w:pStyle w:val="BodyText"/>
        <w:spacing w:line="259" w:lineRule="auto"/>
        <w:ind w:left="740" w:right="131" w:hanging="9"/>
        <w:jc w:val="both"/>
      </w:pPr>
      <w:r>
        <w:rPr>
          <w:b/>
          <w:w w:val="105"/>
        </w:rPr>
        <w:t xml:space="preserve">Single Episode In Full Remission.   </w:t>
      </w:r>
      <w:r>
        <w:rPr>
          <w:w w:val="105"/>
        </w:rPr>
        <w:t>This specifier applies when  there has been a single episode in which Criterion A for Schizophrenia has been met and no clinically significant residual symptoms remain.</w:t>
      </w:r>
    </w:p>
    <w:p w:rsidR="00E675F0" w:rsidRDefault="00E675F0" w:rsidP="00E675F0">
      <w:pPr>
        <w:spacing w:line="256" w:lineRule="auto"/>
        <w:ind w:left="741" w:right="130" w:hanging="7"/>
        <w:jc w:val="both"/>
        <w:rPr>
          <w:sz w:val="20"/>
        </w:rPr>
      </w:pPr>
      <w:r>
        <w:rPr>
          <w:b/>
          <w:w w:val="105"/>
          <w:sz w:val="20"/>
        </w:rPr>
        <w:t xml:space="preserve">Other or Unspecified Pattern. </w:t>
      </w:r>
      <w:r>
        <w:rPr>
          <w:w w:val="105"/>
          <w:sz w:val="20"/>
        </w:rPr>
        <w:t>This specifier is used if another or an unspec­ ified course pattern has been present.</w:t>
      </w:r>
    </w:p>
    <w:p w:rsidR="00E675F0" w:rsidRDefault="00E675F0" w:rsidP="00E675F0">
      <w:pPr>
        <w:pStyle w:val="BodyText"/>
        <w:rPr>
          <w:sz w:val="22"/>
        </w:rPr>
      </w:pPr>
    </w:p>
    <w:p w:rsidR="00E675F0" w:rsidRDefault="00E675F0" w:rsidP="00E675F0">
      <w:pPr>
        <w:spacing w:before="157"/>
        <w:ind w:left="119"/>
        <w:jc w:val="both"/>
        <w:rPr>
          <w:rFonts w:ascii="TimesNewRomanPS-BoldItalicMT"/>
          <w:b/>
          <w:i/>
          <w:sz w:val="24"/>
        </w:rPr>
      </w:pPr>
      <w:r>
        <w:rPr>
          <w:rFonts w:ascii="TimesNewRomanPS-BoldItalicMT"/>
          <w:b/>
          <w:i/>
          <w:w w:val="115"/>
          <w:sz w:val="24"/>
        </w:rPr>
        <w:t>Recording Procedures</w:t>
      </w:r>
    </w:p>
    <w:p w:rsidR="00E675F0" w:rsidRDefault="00E675F0" w:rsidP="00E675F0">
      <w:pPr>
        <w:pStyle w:val="BodyText"/>
        <w:spacing w:before="145"/>
        <w:ind w:left="135"/>
        <w:jc w:val="both"/>
      </w:pPr>
      <w:r>
        <w:rPr>
          <w:w w:val="105"/>
        </w:rPr>
        <w:t>The  diagnostic  code for Schizophrenia  is selected  based  on  the  appropriate</w:t>
      </w:r>
      <w:r>
        <w:rPr>
          <w:spacing w:val="7"/>
          <w:w w:val="105"/>
        </w:rPr>
        <w:t xml:space="preserve"> </w:t>
      </w:r>
      <w:r>
        <w:rPr>
          <w:w w:val="105"/>
        </w:rPr>
        <w:t>subtype:</w:t>
      </w:r>
    </w:p>
    <w:p w:rsidR="00E675F0" w:rsidRDefault="00E675F0" w:rsidP="00E675F0">
      <w:pPr>
        <w:pStyle w:val="BodyText"/>
        <w:spacing w:before="11"/>
        <w:ind w:left="141"/>
        <w:jc w:val="both"/>
      </w:pPr>
      <w:r>
        <w:rPr>
          <w:w w:val="105"/>
        </w:rPr>
        <w:t>295.30 for Paranoid  Type,  295.10 for Disorganized  Type,  295.20 for Catatonic</w:t>
      </w:r>
      <w:r>
        <w:rPr>
          <w:spacing w:val="37"/>
          <w:w w:val="105"/>
        </w:rPr>
        <w:t xml:space="preserve"> </w:t>
      </w:r>
      <w:r>
        <w:rPr>
          <w:w w:val="105"/>
        </w:rPr>
        <w:t>Type,</w:t>
      </w:r>
    </w:p>
    <w:p w:rsidR="00E675F0" w:rsidRDefault="00E675F0" w:rsidP="00E675F0">
      <w:pPr>
        <w:pStyle w:val="BodyText"/>
        <w:spacing w:before="15" w:line="254" w:lineRule="auto"/>
        <w:ind w:left="134" w:right="129" w:firstLine="7"/>
        <w:jc w:val="both"/>
      </w:pPr>
      <w:r>
        <w:rPr>
          <w:w w:val="105"/>
        </w:rPr>
        <w:t>295.90 for Undifferentiated Type, and 295.60 for Residual Type. There are no fifth-digit codes available for the course specifiers. In recording the name of the disorder, the course specifiers are noted after the appropriate subtype (e.g., 295.30 Schizophrenia, Paranoid Type, Episodic With Interepisode Residual Symptoms, With Prominent Nega­ tive Symptoms).</w:t>
      </w:r>
    </w:p>
    <w:p w:rsidR="00E675F0" w:rsidRDefault="00E675F0" w:rsidP="00E675F0">
      <w:pPr>
        <w:pStyle w:val="BodyText"/>
        <w:rPr>
          <w:sz w:val="22"/>
        </w:rPr>
      </w:pPr>
    </w:p>
    <w:p w:rsidR="00E675F0" w:rsidRDefault="00E675F0" w:rsidP="00E675F0">
      <w:pPr>
        <w:spacing w:before="173"/>
        <w:ind w:left="121"/>
        <w:jc w:val="both"/>
        <w:rPr>
          <w:rFonts w:ascii="TimesNewRomanPS-BoldItalicMT"/>
          <w:b/>
          <w:i/>
          <w:sz w:val="24"/>
        </w:rPr>
      </w:pPr>
      <w:r>
        <w:rPr>
          <w:rFonts w:ascii="TimesNewRomanPS-BoldItalicMT"/>
          <w:b/>
          <w:i/>
          <w:w w:val="115"/>
          <w:sz w:val="24"/>
        </w:rPr>
        <w:t>Associated Features and Disorders</w:t>
      </w:r>
    </w:p>
    <w:p w:rsidR="00E675F0" w:rsidRDefault="00E675F0" w:rsidP="00E675F0">
      <w:pPr>
        <w:pStyle w:val="BodyText"/>
        <w:tabs>
          <w:tab w:val="left" w:pos="5722"/>
        </w:tabs>
        <w:spacing w:before="151" w:line="254" w:lineRule="auto"/>
        <w:ind w:left="133" w:right="112" w:firstLine="1"/>
        <w:jc w:val="both"/>
      </w:pPr>
      <w:r>
        <w:rPr>
          <w:b/>
          <w:w w:val="105"/>
        </w:rPr>
        <w:t>Associated  descriptive  features  and</w:t>
      </w:r>
      <w:r>
        <w:rPr>
          <w:b/>
          <w:spacing w:val="-20"/>
          <w:w w:val="105"/>
        </w:rPr>
        <w:t xml:space="preserve"> </w:t>
      </w:r>
      <w:r>
        <w:rPr>
          <w:b/>
          <w:w w:val="105"/>
        </w:rPr>
        <w:t>mental</w:t>
      </w:r>
      <w:r>
        <w:rPr>
          <w:b/>
          <w:spacing w:val="29"/>
          <w:w w:val="105"/>
        </w:rPr>
        <w:t xml:space="preserve"> </w:t>
      </w:r>
      <w:r>
        <w:rPr>
          <w:b/>
          <w:w w:val="105"/>
        </w:rPr>
        <w:t>disorders.</w:t>
      </w:r>
      <w:r>
        <w:rPr>
          <w:b/>
          <w:w w:val="105"/>
        </w:rPr>
        <w:tab/>
      </w:r>
      <w:r>
        <w:rPr>
          <w:w w:val="105"/>
        </w:rPr>
        <w:t>The individual with Schizophrenia may display inappropriate affect (e.g., smiling, laughing, or a silly facial expression in the absence of an appropriate stimulus), which is one of the defining features of the Disorganized Type. Anhedonia is common  and is manifested  by a loss  of interest or pleasure. Dysphoric mood may take the form of depression, anxiety, or anger. There may be disturbances in sleep pattern (e.g., sleeping during the day and nighttime activity or restlessness). The individual may show a lack of interest in eating or may refuse food as a consequence of delusional beliefs. Often there are abnormalities of psychomotor activity (e.g., pacing, rocking, or apathetic immobility). Difficulty concentrating is frequently evident and may reflect problems with focusing attention or distractibility due to preoccupation with internal stimuli. Although basic intellectual functions are classically considered to be intact in Schizophrenia, some indications of cognitive dysfunction are often present. The individual may be confused or disoriented or may have memory impairment  during a period of exacerbation  of active symptoms or in the presence of very severe negative symptoms. Lack of insight is common and may be one of the best predictors of poor outcome, perhaps because it predisposes the individual to noncompliance with treatment. Depersonalization, derealization, and somatic concerns may occur and sometimes reach delusional proportions.</w:t>
      </w:r>
      <w:r>
        <w:rPr>
          <w:spacing w:val="38"/>
          <w:w w:val="105"/>
        </w:rPr>
        <w:t xml:space="preserve"> </w:t>
      </w:r>
      <w:r>
        <w:rPr>
          <w:w w:val="105"/>
        </w:rPr>
        <w:t>Motor</w:t>
      </w:r>
    </w:p>
    <w:p w:rsidR="00E675F0" w:rsidRDefault="00E675F0" w:rsidP="00E675F0">
      <w:pPr>
        <w:spacing w:line="254" w:lineRule="auto"/>
        <w:jc w:val="both"/>
        <w:sectPr w:rsidR="00E675F0">
          <w:pgSz w:w="8960" w:h="14260"/>
          <w:pgMar w:top="1400" w:right="600" w:bottom="280" w:left="620" w:header="691" w:footer="0" w:gutter="0"/>
          <w:cols w:space="720"/>
        </w:sectPr>
      </w:pPr>
    </w:p>
    <w:p w:rsidR="00E675F0" w:rsidRDefault="00E675F0" w:rsidP="00E675F0">
      <w:pPr>
        <w:pStyle w:val="BodyText"/>
        <w:spacing w:before="122" w:line="254" w:lineRule="auto"/>
        <w:ind w:left="106" w:right="119" w:firstLine="7"/>
        <w:jc w:val="both"/>
      </w:pPr>
      <w:r>
        <w:rPr>
          <w:w w:val="105"/>
        </w:rPr>
        <w:lastRenderedPageBreak/>
        <w:t>abnormalities (e.g., grimacing, posturing, odd mannerisms, ritualistic or stereotyped behavior) are sometimes present. The life expectancy of individuals with Schizophrenia is shorter than that of the general population for a variety of reasons. Suicide is an important factor, because approximately 10% of individuals with Schizophrenia commit suicide. Risk factors for suicide include being male, age under 30 years, depressive symptoms, unemployment, and recent hospital discharge. There is conflicting evidence with regard to whether the frequency of violent acts is greater than in the general population. Comorbidity with Substance-Related Disorders (including Nicotine Depen­ dence) is common. Schizotypal, Schizoid, or Paranoid Personality Disorder may some­ times precede the onset of Schizophrenia. Whether these Personality Disorders are simply prodromal to Schizophrenia or whether they constitute a separate earlier disorder is not clear.</w:t>
      </w:r>
    </w:p>
    <w:p w:rsidR="00E675F0" w:rsidRDefault="00E675F0" w:rsidP="00E675F0">
      <w:pPr>
        <w:pStyle w:val="BodyText"/>
        <w:spacing w:before="5"/>
        <w:rPr>
          <w:sz w:val="21"/>
        </w:rPr>
      </w:pPr>
    </w:p>
    <w:p w:rsidR="00E675F0" w:rsidRDefault="00E675F0" w:rsidP="00E675F0">
      <w:pPr>
        <w:pStyle w:val="BodyText"/>
        <w:spacing w:line="254" w:lineRule="auto"/>
        <w:ind w:left="108" w:right="114" w:hanging="5"/>
        <w:jc w:val="both"/>
      </w:pPr>
      <w:r>
        <w:rPr>
          <w:b/>
          <w:w w:val="105"/>
        </w:rPr>
        <w:t xml:space="preserve">Associated laboratory findings. </w:t>
      </w:r>
      <w:r>
        <w:rPr>
          <w:w w:val="105"/>
        </w:rPr>
        <w:t>No  laboratory  findings  have  been  identified  that are diagnostic of Schizophrenia. However, a variety of laboratory findings have been noted to be abnormal in groups of individuals with Schizophrenia relative to control subjects. Structural abnormalities in the brain have consistently been demonstrated in individuals with Schizophrenia as a group; the most common structural abnormalities include</w:t>
      </w:r>
      <w:r>
        <w:rPr>
          <w:spacing w:val="-13"/>
          <w:w w:val="105"/>
        </w:rPr>
        <w:t xml:space="preserve"> </w:t>
      </w:r>
      <w:r>
        <w:rPr>
          <w:w w:val="105"/>
        </w:rPr>
        <w:t>enlargement</w:t>
      </w:r>
      <w:r>
        <w:rPr>
          <w:spacing w:val="4"/>
          <w:w w:val="105"/>
        </w:rPr>
        <w:t xml:space="preserve"> </w:t>
      </w:r>
      <w:r>
        <w:rPr>
          <w:w w:val="105"/>
        </w:rPr>
        <w:t>of</w:t>
      </w:r>
      <w:r>
        <w:rPr>
          <w:spacing w:val="-3"/>
          <w:w w:val="105"/>
        </w:rPr>
        <w:t xml:space="preserve"> </w:t>
      </w:r>
      <w:r>
        <w:rPr>
          <w:w w:val="105"/>
        </w:rPr>
        <w:t>the</w:t>
      </w:r>
      <w:r>
        <w:rPr>
          <w:spacing w:val="-19"/>
          <w:w w:val="105"/>
        </w:rPr>
        <w:t xml:space="preserve"> </w:t>
      </w:r>
      <w:r>
        <w:rPr>
          <w:w w:val="105"/>
        </w:rPr>
        <w:t>ventricular</w:t>
      </w:r>
      <w:r>
        <w:rPr>
          <w:spacing w:val="-8"/>
          <w:w w:val="105"/>
        </w:rPr>
        <w:t xml:space="preserve"> </w:t>
      </w:r>
      <w:r>
        <w:rPr>
          <w:w w:val="105"/>
        </w:rPr>
        <w:t>system</w:t>
      </w:r>
      <w:r>
        <w:rPr>
          <w:spacing w:val="-5"/>
          <w:w w:val="105"/>
        </w:rPr>
        <w:t xml:space="preserve"> </w:t>
      </w:r>
      <w:r>
        <w:rPr>
          <w:w w:val="105"/>
        </w:rPr>
        <w:t>and</w:t>
      </w:r>
      <w:r>
        <w:rPr>
          <w:spacing w:val="-4"/>
          <w:w w:val="105"/>
        </w:rPr>
        <w:t xml:space="preserve"> </w:t>
      </w:r>
      <w:r>
        <w:rPr>
          <w:w w:val="105"/>
        </w:rPr>
        <w:t>prominent</w:t>
      </w:r>
      <w:r>
        <w:rPr>
          <w:spacing w:val="-9"/>
          <w:w w:val="105"/>
        </w:rPr>
        <w:t xml:space="preserve"> </w:t>
      </w:r>
      <w:r>
        <w:rPr>
          <w:w w:val="105"/>
        </w:rPr>
        <w:t>sulci</w:t>
      </w:r>
      <w:r>
        <w:rPr>
          <w:spacing w:val="-11"/>
          <w:w w:val="105"/>
        </w:rPr>
        <w:t xml:space="preserve"> </w:t>
      </w:r>
      <w:r>
        <w:rPr>
          <w:w w:val="105"/>
        </w:rPr>
        <w:t>in</w:t>
      </w:r>
      <w:r>
        <w:rPr>
          <w:spacing w:val="-16"/>
          <w:w w:val="105"/>
        </w:rPr>
        <w:t xml:space="preserve"> </w:t>
      </w:r>
      <w:r>
        <w:rPr>
          <w:w w:val="105"/>
        </w:rPr>
        <w:t>the</w:t>
      </w:r>
      <w:r>
        <w:rPr>
          <w:spacing w:val="-4"/>
          <w:w w:val="105"/>
        </w:rPr>
        <w:t xml:space="preserve"> </w:t>
      </w:r>
      <w:r>
        <w:rPr>
          <w:w w:val="105"/>
        </w:rPr>
        <w:t>cortex.</w:t>
      </w:r>
      <w:r>
        <w:rPr>
          <w:spacing w:val="-11"/>
          <w:w w:val="105"/>
        </w:rPr>
        <w:t xml:space="preserve"> </w:t>
      </w:r>
      <w:r>
        <w:rPr>
          <w:w w:val="105"/>
        </w:rPr>
        <w:t>A</w:t>
      </w:r>
      <w:r>
        <w:rPr>
          <w:spacing w:val="-17"/>
          <w:w w:val="105"/>
        </w:rPr>
        <w:t xml:space="preserve"> </w:t>
      </w:r>
      <w:r>
        <w:rPr>
          <w:w w:val="105"/>
        </w:rPr>
        <w:t>variety of other abnormalities have also been noted using structural imaging techniques (e.g., decreased temporal and hippocampal size, increased size of the basal ganglia, decreased cerebral size). Functional imaging techniques have indicated that some individuals may have abnormal cerebral blood flow or glucose utilization in specific brain regions (e.g., prefrontal cortex). Neuropsychological assessments may show a broad range of dysfunc­ tions (e.g., difficulty in changing response set, focusing attention, formulating abstract concepts).</w:t>
      </w:r>
      <w:r>
        <w:rPr>
          <w:spacing w:val="7"/>
          <w:w w:val="105"/>
        </w:rPr>
        <w:t xml:space="preserve"> </w:t>
      </w:r>
      <w:r>
        <w:rPr>
          <w:w w:val="105"/>
        </w:rPr>
        <w:t>Neurophysiological</w:t>
      </w:r>
      <w:r>
        <w:rPr>
          <w:spacing w:val="-21"/>
          <w:w w:val="105"/>
        </w:rPr>
        <w:t xml:space="preserve"> </w:t>
      </w:r>
      <w:r>
        <w:rPr>
          <w:w w:val="105"/>
        </w:rPr>
        <w:t>findings</w:t>
      </w:r>
      <w:r>
        <w:rPr>
          <w:spacing w:val="-17"/>
          <w:w w:val="105"/>
        </w:rPr>
        <w:t xml:space="preserve"> </w:t>
      </w:r>
      <w:r>
        <w:rPr>
          <w:w w:val="105"/>
        </w:rPr>
        <w:t>include</w:t>
      </w:r>
      <w:r>
        <w:rPr>
          <w:spacing w:val="-13"/>
          <w:w w:val="105"/>
        </w:rPr>
        <w:t xml:space="preserve"> </w:t>
      </w:r>
      <w:r>
        <w:rPr>
          <w:w w:val="105"/>
        </w:rPr>
        <w:t>a</w:t>
      </w:r>
      <w:r>
        <w:rPr>
          <w:spacing w:val="-20"/>
          <w:w w:val="105"/>
        </w:rPr>
        <w:t xml:space="preserve"> </w:t>
      </w:r>
      <w:r>
        <w:rPr>
          <w:w w:val="105"/>
        </w:rPr>
        <w:t>slowing</w:t>
      </w:r>
      <w:r>
        <w:rPr>
          <w:spacing w:val="-17"/>
          <w:w w:val="105"/>
        </w:rPr>
        <w:t xml:space="preserve"> </w:t>
      </w:r>
      <w:r>
        <w:rPr>
          <w:w w:val="105"/>
        </w:rPr>
        <w:t>in</w:t>
      </w:r>
      <w:r>
        <w:rPr>
          <w:spacing w:val="-16"/>
          <w:w w:val="105"/>
        </w:rPr>
        <w:t xml:space="preserve"> </w:t>
      </w:r>
      <w:r>
        <w:rPr>
          <w:w w:val="105"/>
        </w:rPr>
        <w:t>reaction</w:t>
      </w:r>
      <w:r>
        <w:rPr>
          <w:spacing w:val="-8"/>
          <w:w w:val="105"/>
        </w:rPr>
        <w:t xml:space="preserve"> </w:t>
      </w:r>
      <w:r>
        <w:rPr>
          <w:w w:val="105"/>
        </w:rPr>
        <w:t>times,</w:t>
      </w:r>
      <w:r>
        <w:rPr>
          <w:spacing w:val="-10"/>
          <w:w w:val="105"/>
        </w:rPr>
        <w:t xml:space="preserve"> </w:t>
      </w:r>
      <w:r>
        <w:rPr>
          <w:w w:val="105"/>
        </w:rPr>
        <w:t>abnormalities in eye tracking, or impairments in sensory gating. Abnormal laboratory findings may also be noted as either a complication of Schizophrenia or of its treatment. Some individuals with Schizophrenia drink excessive amounts of fluid ("water intoxication") and develop abnormalities in urine specific gravity or electrolyte imbalances. Elevated creatine phosphokinase (CPK) may result from Neuroleptic Malignant  Syndrome  (see p.</w:t>
      </w:r>
      <w:r>
        <w:rPr>
          <w:spacing w:val="4"/>
          <w:w w:val="105"/>
        </w:rPr>
        <w:t xml:space="preserve"> </w:t>
      </w:r>
      <w:r>
        <w:rPr>
          <w:w w:val="105"/>
        </w:rPr>
        <w:t>739).</w:t>
      </w:r>
    </w:p>
    <w:p w:rsidR="00E675F0" w:rsidRDefault="00E675F0" w:rsidP="00E675F0">
      <w:pPr>
        <w:pStyle w:val="BodyText"/>
        <w:spacing w:before="6"/>
        <w:rPr>
          <w:sz w:val="18"/>
        </w:rPr>
      </w:pPr>
    </w:p>
    <w:p w:rsidR="00E675F0" w:rsidRDefault="00E675F0" w:rsidP="00E675F0">
      <w:pPr>
        <w:pStyle w:val="BodyText"/>
        <w:spacing w:before="1" w:line="254" w:lineRule="auto"/>
        <w:ind w:left="104" w:right="119"/>
        <w:jc w:val="both"/>
      </w:pPr>
      <w:r>
        <w:rPr>
          <w:b/>
          <w:w w:val="105"/>
        </w:rPr>
        <w:t xml:space="preserve">Associated physical examination findings </w:t>
      </w:r>
      <w:r>
        <w:rPr>
          <w:b/>
          <w:spacing w:val="2"/>
          <w:w w:val="105"/>
        </w:rPr>
        <w:t xml:space="preserve">andgeneral </w:t>
      </w:r>
      <w:r>
        <w:rPr>
          <w:b/>
          <w:w w:val="105"/>
        </w:rPr>
        <w:t xml:space="preserve">medical conditions. </w:t>
      </w:r>
      <w:r>
        <w:rPr>
          <w:w w:val="105"/>
        </w:rPr>
        <w:t>Individuals with Schizophrenia are sometimes physically awkward and may display neurological "soft signs," such as left/right confusion, poor coordination, or mirroring. Some minor physical anomalies (e.g., highly arched palate, narrow- or wide-set eyes or subtle malformations of the ears) may be more common among individuals with Schizophrenia. Perhaps the most common associated physical findings are motor abnormalities. Most of these are likely to be related to side effects from treatment with antipsychotic medications. Motor abnormalities that are secondary to neuroleptic treatment include Neuroleptic-Induced Tardive Dyskinesia (see p. 747), Neuroleptic­ Induced Parkinsonism (seep. 736), Neuroleptic-Induced Acute Akathisia (seep. 744), Neuroleptic-Induced Acute Dystonia (see p. 742), and Neuroleptic Malignant Syndrome (see p. 739). Spontaneous motor abnormalities resembling  those that  may be induced by neuroleptics (e.g., sniffing, tongue clucking, grunting) had been described in the preneuroleptic era and are also still observed, although they may be difficult to distinguish from neuroleptic effects. Other physical findings may be related to frequently associated disorders. For example, because Nicotine Dependence is so common</w:t>
      </w:r>
      <w:r>
        <w:rPr>
          <w:spacing w:val="6"/>
          <w:w w:val="105"/>
        </w:rPr>
        <w:t xml:space="preserve"> </w:t>
      </w:r>
      <w:r>
        <w:rPr>
          <w:w w:val="105"/>
        </w:rPr>
        <w:t>in</w:t>
      </w:r>
    </w:p>
    <w:p w:rsidR="00E675F0" w:rsidRDefault="00E675F0" w:rsidP="00E675F0">
      <w:pPr>
        <w:spacing w:line="254" w:lineRule="auto"/>
        <w:jc w:val="both"/>
        <w:sectPr w:rsidR="00E675F0">
          <w:pgSz w:w="8960" w:h="14260"/>
          <w:pgMar w:top="1400" w:right="620" w:bottom="280" w:left="620" w:header="704" w:footer="0" w:gutter="0"/>
          <w:cols w:space="720"/>
        </w:sectPr>
      </w:pPr>
    </w:p>
    <w:p w:rsidR="00E675F0" w:rsidRDefault="00E675F0" w:rsidP="00E675F0">
      <w:pPr>
        <w:pStyle w:val="BodyText"/>
        <w:spacing w:before="121" w:line="256" w:lineRule="auto"/>
        <w:ind w:left="106" w:right="350" w:hanging="5"/>
        <w:jc w:val="both"/>
      </w:pPr>
      <w:r>
        <w:rPr>
          <w:w w:val="105"/>
        </w:rPr>
        <w:lastRenderedPageBreak/>
        <w:t>Schizophrenia, these individuals are more likely to develop cigarette-related pathology (e.g., emphysema and other pulmonary and cardiac problems).</w:t>
      </w:r>
    </w:p>
    <w:p w:rsidR="00E675F0" w:rsidRDefault="00E675F0" w:rsidP="00E675F0">
      <w:pPr>
        <w:pStyle w:val="BodyText"/>
        <w:rPr>
          <w:sz w:val="22"/>
        </w:rPr>
      </w:pPr>
    </w:p>
    <w:p w:rsidR="00E675F0" w:rsidRDefault="00E675F0" w:rsidP="00E675F0">
      <w:pPr>
        <w:pStyle w:val="BodyText"/>
        <w:spacing w:before="9"/>
        <w:rPr>
          <w:sz w:val="21"/>
        </w:rPr>
      </w:pPr>
    </w:p>
    <w:p w:rsidR="00E675F0" w:rsidRDefault="00E675F0" w:rsidP="00E675F0">
      <w:pPr>
        <w:spacing w:before="1"/>
        <w:ind w:left="100"/>
        <w:jc w:val="both"/>
        <w:rPr>
          <w:rFonts w:ascii="TimesNewRomanPS-BoldItalicMT"/>
          <w:b/>
          <w:i/>
          <w:sz w:val="24"/>
        </w:rPr>
      </w:pPr>
      <w:r>
        <w:rPr>
          <w:rFonts w:ascii="TimesNewRomanPS-BoldItalicMT"/>
          <w:b/>
          <w:i/>
          <w:w w:val="110"/>
          <w:sz w:val="24"/>
        </w:rPr>
        <w:t>Specific Culture, Age, and Gender Features</w:t>
      </w:r>
    </w:p>
    <w:p w:rsidR="00E675F0" w:rsidRDefault="00E675F0" w:rsidP="00E675F0">
      <w:pPr>
        <w:pStyle w:val="BodyText"/>
        <w:spacing w:before="184" w:line="254" w:lineRule="auto"/>
        <w:ind w:left="114" w:right="345" w:firstLine="2"/>
        <w:jc w:val="both"/>
      </w:pPr>
      <w:r>
        <w:rPr>
          <w:w w:val="105"/>
        </w:rPr>
        <w:t>Clinicians assessing the symptoms of Schizophrenia in socioeconomic or cultural situations that are different from their own must take cultural differences into account. Ideas that may appear to be delusional in one culture (e.g., sorcery and witchcraft) may be commonly  held in another. In some cultures, visual or auditory  hallucinations with  a religious content may be a normal part of religious experience (e.g., seeing the Virgin Mary or hearing God's voice). In addition, the assessment of disorganized speech may be made difficult by linguistic variation in narrative styles across cultures that affects the logical form of verbal presentation. The assessment of affect requires sensitivity to differences in styles of emotional expression, eye contact, and body language, which vary across cultures. If the assessment is conducted in a language that is different from the individual's primary language, care must be taken to ensure that alogia is not related to</w:t>
      </w:r>
      <w:r>
        <w:rPr>
          <w:spacing w:val="-18"/>
          <w:w w:val="105"/>
        </w:rPr>
        <w:t xml:space="preserve"> </w:t>
      </w:r>
      <w:r>
        <w:rPr>
          <w:w w:val="105"/>
        </w:rPr>
        <w:t>linguistic</w:t>
      </w:r>
      <w:r>
        <w:rPr>
          <w:spacing w:val="-1"/>
          <w:w w:val="105"/>
        </w:rPr>
        <w:t xml:space="preserve"> </w:t>
      </w:r>
      <w:r>
        <w:rPr>
          <w:w w:val="105"/>
        </w:rPr>
        <w:t>barriers.</w:t>
      </w:r>
      <w:r>
        <w:rPr>
          <w:spacing w:val="-3"/>
          <w:w w:val="105"/>
        </w:rPr>
        <w:t xml:space="preserve"> </w:t>
      </w:r>
      <w:r>
        <w:rPr>
          <w:w w:val="105"/>
        </w:rPr>
        <w:t>Because</w:t>
      </w:r>
      <w:r>
        <w:rPr>
          <w:spacing w:val="-1"/>
          <w:w w:val="105"/>
        </w:rPr>
        <w:t xml:space="preserve"> </w:t>
      </w:r>
      <w:r>
        <w:rPr>
          <w:w w:val="105"/>
        </w:rPr>
        <w:t>the</w:t>
      </w:r>
      <w:r>
        <w:rPr>
          <w:spacing w:val="-12"/>
          <w:w w:val="105"/>
        </w:rPr>
        <w:t xml:space="preserve"> </w:t>
      </w:r>
      <w:r>
        <w:rPr>
          <w:w w:val="105"/>
        </w:rPr>
        <w:t>cultural</w:t>
      </w:r>
      <w:r>
        <w:rPr>
          <w:spacing w:val="-9"/>
          <w:w w:val="105"/>
        </w:rPr>
        <w:t xml:space="preserve"> </w:t>
      </w:r>
      <w:r>
        <w:rPr>
          <w:w w:val="105"/>
        </w:rPr>
        <w:t>meaning</w:t>
      </w:r>
      <w:r>
        <w:rPr>
          <w:spacing w:val="-9"/>
          <w:w w:val="105"/>
        </w:rPr>
        <w:t xml:space="preserve"> </w:t>
      </w:r>
      <w:r>
        <w:rPr>
          <w:w w:val="105"/>
        </w:rPr>
        <w:t>of</w:t>
      </w:r>
      <w:r>
        <w:rPr>
          <w:spacing w:val="-12"/>
          <w:w w:val="105"/>
        </w:rPr>
        <w:t xml:space="preserve"> </w:t>
      </w:r>
      <w:r>
        <w:rPr>
          <w:w w:val="105"/>
        </w:rPr>
        <w:t>self-initiated,</w:t>
      </w:r>
      <w:r>
        <w:rPr>
          <w:spacing w:val="-22"/>
          <w:w w:val="105"/>
        </w:rPr>
        <w:t xml:space="preserve"> </w:t>
      </w:r>
      <w:r>
        <w:rPr>
          <w:w w:val="105"/>
        </w:rPr>
        <w:t>goal-directed</w:t>
      </w:r>
      <w:r>
        <w:rPr>
          <w:spacing w:val="-4"/>
          <w:w w:val="105"/>
        </w:rPr>
        <w:t xml:space="preserve"> </w:t>
      </w:r>
      <w:r>
        <w:rPr>
          <w:w w:val="105"/>
        </w:rPr>
        <w:t xml:space="preserve">activity can be expected to vary across diverse settings, disturbances of volition must also be carefully assessed. There is some evidence that clinicians may have a tendency to overdiagnose   Schizophrenia   (instead  of  Bipolar  Disorder)  in  some  ethnic </w:t>
      </w:r>
      <w:r>
        <w:rPr>
          <w:spacing w:val="24"/>
          <w:w w:val="105"/>
        </w:rPr>
        <w:t xml:space="preserve"> </w:t>
      </w:r>
      <w:r>
        <w:rPr>
          <w:w w:val="105"/>
        </w:rPr>
        <w:t>groups.</w:t>
      </w:r>
    </w:p>
    <w:p w:rsidR="00E675F0" w:rsidRDefault="00E675F0" w:rsidP="00E675F0">
      <w:pPr>
        <w:pStyle w:val="BodyText"/>
        <w:spacing w:before="1"/>
        <w:ind w:left="116"/>
        <w:jc w:val="both"/>
      </w:pPr>
      <w:r>
        <w:rPr>
          <w:w w:val="105"/>
        </w:rPr>
        <w:t xml:space="preserve">Cultural  differences  have  been  noted  in  the  presentation,  course,  and  </w:t>
      </w:r>
      <w:r>
        <w:rPr>
          <w:spacing w:val="46"/>
          <w:w w:val="105"/>
        </w:rPr>
        <w:t xml:space="preserve"> </w:t>
      </w:r>
      <w:r>
        <w:rPr>
          <w:w w:val="105"/>
        </w:rPr>
        <w:t>outcome  of</w:t>
      </w:r>
    </w:p>
    <w:p w:rsidR="00E675F0" w:rsidRDefault="00E675F0" w:rsidP="00E675F0">
      <w:pPr>
        <w:pStyle w:val="BodyText"/>
        <w:spacing w:before="20" w:line="254" w:lineRule="auto"/>
        <w:ind w:left="338" w:right="104" w:hanging="226"/>
        <w:jc w:val="both"/>
      </w:pPr>
      <w:r>
        <w:rPr>
          <w:w w:val="110"/>
          <w:sz w:val="18"/>
        </w:rPr>
        <w:t xml:space="preserve">"-'riave aouunuarten::urnl-oluo(n1Jw </w:t>
      </w:r>
      <w:r>
        <w:rPr>
          <w:w w:val="110"/>
          <w:sz w:val="17"/>
        </w:rPr>
        <w:t xml:space="preserve">,/r g1uL=e7.Itnr'Lauvn </w:t>
      </w:r>
      <w:r>
        <w:rPr>
          <w:w w:val="110"/>
          <w:sz w:val="18"/>
        </w:rPr>
        <w:t xml:space="preserve">'n( peunc </w:t>
      </w:r>
      <w:r>
        <w:rPr>
          <w:w w:val="110"/>
          <w:sz w:val="17"/>
        </w:rPr>
        <w:t xml:space="preserve">Ula1rr rt:gRJ115 </w:t>
      </w:r>
      <w:r>
        <w:rPr>
          <w:w w:val="110"/>
          <w:sz w:val="18"/>
        </w:rPr>
        <w:t xml:space="preserve">,e.g., </w:t>
      </w:r>
      <w:r>
        <w:rPr>
          <w:w w:val="110"/>
        </w:rPr>
        <w:t>prefrontal</w:t>
      </w:r>
      <w:r>
        <w:rPr>
          <w:spacing w:val="-29"/>
          <w:w w:val="110"/>
        </w:rPr>
        <w:t xml:space="preserve"> </w:t>
      </w:r>
      <w:r>
        <w:rPr>
          <w:w w:val="110"/>
        </w:rPr>
        <w:t>cortex).</w:t>
      </w:r>
      <w:r>
        <w:rPr>
          <w:spacing w:val="-29"/>
          <w:w w:val="110"/>
        </w:rPr>
        <w:t xml:space="preserve"> </w:t>
      </w:r>
      <w:r>
        <w:rPr>
          <w:w w:val="110"/>
        </w:rPr>
        <w:t>Neuropsychological</w:t>
      </w:r>
      <w:r>
        <w:rPr>
          <w:spacing w:val="-40"/>
          <w:w w:val="110"/>
        </w:rPr>
        <w:t xml:space="preserve"> </w:t>
      </w:r>
      <w:r>
        <w:rPr>
          <w:w w:val="110"/>
        </w:rPr>
        <w:t>assessments</w:t>
      </w:r>
      <w:r>
        <w:rPr>
          <w:spacing w:val="-32"/>
          <w:w w:val="110"/>
        </w:rPr>
        <w:t xml:space="preserve"> </w:t>
      </w:r>
      <w:r>
        <w:rPr>
          <w:w w:val="110"/>
        </w:rPr>
        <w:t>may</w:t>
      </w:r>
      <w:r>
        <w:rPr>
          <w:spacing w:val="-40"/>
          <w:w w:val="110"/>
        </w:rPr>
        <w:t xml:space="preserve"> </w:t>
      </w:r>
      <w:r>
        <w:rPr>
          <w:w w:val="110"/>
        </w:rPr>
        <w:t>show</w:t>
      </w:r>
      <w:r>
        <w:rPr>
          <w:spacing w:val="-37"/>
          <w:w w:val="110"/>
        </w:rPr>
        <w:t xml:space="preserve"> </w:t>
      </w:r>
      <w:r>
        <w:rPr>
          <w:w w:val="110"/>
        </w:rPr>
        <w:t>a</w:t>
      </w:r>
      <w:r>
        <w:rPr>
          <w:spacing w:val="-33"/>
          <w:w w:val="110"/>
        </w:rPr>
        <w:t xml:space="preserve"> </w:t>
      </w:r>
      <w:r>
        <w:rPr>
          <w:w w:val="110"/>
        </w:rPr>
        <w:t>broad</w:t>
      </w:r>
      <w:r>
        <w:rPr>
          <w:spacing w:val="-32"/>
          <w:w w:val="110"/>
        </w:rPr>
        <w:t xml:space="preserve"> </w:t>
      </w:r>
      <w:r>
        <w:rPr>
          <w:w w:val="110"/>
        </w:rPr>
        <w:t>range</w:t>
      </w:r>
      <w:r>
        <w:rPr>
          <w:spacing w:val="-36"/>
          <w:w w:val="110"/>
        </w:rPr>
        <w:t xml:space="preserve"> </w:t>
      </w:r>
      <w:r>
        <w:rPr>
          <w:w w:val="110"/>
        </w:rPr>
        <w:t>of</w:t>
      </w:r>
      <w:r>
        <w:rPr>
          <w:spacing w:val="-37"/>
          <w:w w:val="110"/>
        </w:rPr>
        <w:t xml:space="preserve"> </w:t>
      </w:r>
      <w:r>
        <w:rPr>
          <w:w w:val="110"/>
        </w:rPr>
        <w:t>dysfunc­ tions</w:t>
      </w:r>
      <w:r>
        <w:rPr>
          <w:spacing w:val="-20"/>
          <w:w w:val="110"/>
        </w:rPr>
        <w:t xml:space="preserve"> </w:t>
      </w:r>
      <w:r>
        <w:rPr>
          <w:w w:val="110"/>
        </w:rPr>
        <w:t>(e.g.,</w:t>
      </w:r>
      <w:r>
        <w:rPr>
          <w:spacing w:val="-14"/>
          <w:w w:val="110"/>
        </w:rPr>
        <w:t xml:space="preserve"> </w:t>
      </w:r>
      <w:r>
        <w:rPr>
          <w:w w:val="110"/>
        </w:rPr>
        <w:t>difficulty</w:t>
      </w:r>
      <w:r>
        <w:rPr>
          <w:spacing w:val="-8"/>
          <w:w w:val="110"/>
        </w:rPr>
        <w:t xml:space="preserve"> </w:t>
      </w:r>
      <w:r>
        <w:rPr>
          <w:w w:val="110"/>
        </w:rPr>
        <w:t>in</w:t>
      </w:r>
      <w:r>
        <w:rPr>
          <w:spacing w:val="-18"/>
          <w:w w:val="110"/>
        </w:rPr>
        <w:t xml:space="preserve"> </w:t>
      </w:r>
      <w:r>
        <w:rPr>
          <w:w w:val="110"/>
        </w:rPr>
        <w:t>changing</w:t>
      </w:r>
      <w:r>
        <w:rPr>
          <w:spacing w:val="-7"/>
          <w:w w:val="110"/>
        </w:rPr>
        <w:t xml:space="preserve"> </w:t>
      </w:r>
      <w:r>
        <w:rPr>
          <w:w w:val="110"/>
        </w:rPr>
        <w:t>response</w:t>
      </w:r>
      <w:r>
        <w:rPr>
          <w:spacing w:val="-11"/>
          <w:w w:val="110"/>
        </w:rPr>
        <w:t xml:space="preserve"> </w:t>
      </w:r>
      <w:r>
        <w:rPr>
          <w:w w:val="110"/>
        </w:rPr>
        <w:t>set,</w:t>
      </w:r>
      <w:r>
        <w:rPr>
          <w:spacing w:val="-15"/>
          <w:w w:val="110"/>
        </w:rPr>
        <w:t xml:space="preserve"> </w:t>
      </w:r>
      <w:r>
        <w:rPr>
          <w:w w:val="110"/>
        </w:rPr>
        <w:t>focusing</w:t>
      </w:r>
      <w:r>
        <w:rPr>
          <w:spacing w:val="-12"/>
          <w:w w:val="110"/>
        </w:rPr>
        <w:t xml:space="preserve"> </w:t>
      </w:r>
      <w:r>
        <w:rPr>
          <w:w w:val="110"/>
        </w:rPr>
        <w:t>attention,</w:t>
      </w:r>
      <w:r>
        <w:rPr>
          <w:spacing w:val="-12"/>
          <w:w w:val="110"/>
        </w:rPr>
        <w:t xml:space="preserve"> </w:t>
      </w:r>
      <w:r>
        <w:rPr>
          <w:w w:val="110"/>
        </w:rPr>
        <w:t>formulating</w:t>
      </w:r>
      <w:r>
        <w:rPr>
          <w:spacing w:val="-10"/>
          <w:w w:val="110"/>
        </w:rPr>
        <w:t xml:space="preserve"> </w:t>
      </w:r>
      <w:r>
        <w:rPr>
          <w:w w:val="110"/>
        </w:rPr>
        <w:t xml:space="preserve">abstract </w:t>
      </w:r>
      <w:r>
        <w:rPr>
          <w:w w:val="105"/>
        </w:rPr>
        <w:t>concepts).</w:t>
      </w:r>
      <w:r>
        <w:rPr>
          <w:spacing w:val="7"/>
          <w:w w:val="105"/>
        </w:rPr>
        <w:t xml:space="preserve"> </w:t>
      </w:r>
      <w:r>
        <w:rPr>
          <w:w w:val="105"/>
        </w:rPr>
        <w:t>Neurophysiological</w:t>
      </w:r>
      <w:r>
        <w:rPr>
          <w:spacing w:val="-21"/>
          <w:w w:val="105"/>
        </w:rPr>
        <w:t xml:space="preserve"> </w:t>
      </w:r>
      <w:r>
        <w:rPr>
          <w:w w:val="105"/>
        </w:rPr>
        <w:t>findings</w:t>
      </w:r>
      <w:r>
        <w:rPr>
          <w:spacing w:val="-17"/>
          <w:w w:val="105"/>
        </w:rPr>
        <w:t xml:space="preserve"> </w:t>
      </w:r>
      <w:r>
        <w:rPr>
          <w:w w:val="105"/>
        </w:rPr>
        <w:t>include</w:t>
      </w:r>
      <w:r>
        <w:rPr>
          <w:spacing w:val="-13"/>
          <w:w w:val="105"/>
        </w:rPr>
        <w:t xml:space="preserve"> </w:t>
      </w:r>
      <w:r>
        <w:rPr>
          <w:w w:val="105"/>
        </w:rPr>
        <w:t>a</w:t>
      </w:r>
      <w:r>
        <w:rPr>
          <w:spacing w:val="-20"/>
          <w:w w:val="105"/>
        </w:rPr>
        <w:t xml:space="preserve"> </w:t>
      </w:r>
      <w:r>
        <w:rPr>
          <w:w w:val="105"/>
        </w:rPr>
        <w:t>slowing</w:t>
      </w:r>
      <w:r>
        <w:rPr>
          <w:spacing w:val="-17"/>
          <w:w w:val="105"/>
        </w:rPr>
        <w:t xml:space="preserve"> </w:t>
      </w:r>
      <w:r>
        <w:rPr>
          <w:w w:val="105"/>
        </w:rPr>
        <w:t>in</w:t>
      </w:r>
      <w:r>
        <w:rPr>
          <w:spacing w:val="-16"/>
          <w:w w:val="105"/>
        </w:rPr>
        <w:t xml:space="preserve"> </w:t>
      </w:r>
      <w:r>
        <w:rPr>
          <w:w w:val="105"/>
        </w:rPr>
        <w:t>reaction</w:t>
      </w:r>
      <w:r>
        <w:rPr>
          <w:spacing w:val="-8"/>
          <w:w w:val="105"/>
        </w:rPr>
        <w:t xml:space="preserve"> </w:t>
      </w:r>
      <w:r>
        <w:rPr>
          <w:w w:val="105"/>
        </w:rPr>
        <w:t>times,</w:t>
      </w:r>
      <w:r>
        <w:rPr>
          <w:spacing w:val="-10"/>
          <w:w w:val="105"/>
        </w:rPr>
        <w:t xml:space="preserve"> </w:t>
      </w:r>
      <w:r>
        <w:rPr>
          <w:w w:val="105"/>
        </w:rPr>
        <w:t xml:space="preserve">abnormalities </w:t>
      </w:r>
      <w:r>
        <w:rPr>
          <w:w w:val="110"/>
        </w:rPr>
        <w:t>in eye tracking, or impairments in sensory gating. Abnormal laboratory findings may also be noted as either a complication of Schizophrenia or of its treatment. Some individuals</w:t>
      </w:r>
      <w:r>
        <w:rPr>
          <w:spacing w:val="-18"/>
          <w:w w:val="110"/>
        </w:rPr>
        <w:t xml:space="preserve"> </w:t>
      </w:r>
      <w:r>
        <w:rPr>
          <w:w w:val="110"/>
        </w:rPr>
        <w:t>with</w:t>
      </w:r>
      <w:r>
        <w:rPr>
          <w:spacing w:val="-24"/>
          <w:w w:val="110"/>
        </w:rPr>
        <w:t xml:space="preserve"> </w:t>
      </w:r>
      <w:r>
        <w:rPr>
          <w:w w:val="110"/>
        </w:rPr>
        <w:t>Schizophrenia</w:t>
      </w:r>
      <w:r>
        <w:rPr>
          <w:spacing w:val="-17"/>
          <w:w w:val="110"/>
        </w:rPr>
        <w:t xml:space="preserve"> </w:t>
      </w:r>
      <w:r>
        <w:rPr>
          <w:w w:val="110"/>
        </w:rPr>
        <w:t>drink</w:t>
      </w:r>
      <w:r>
        <w:rPr>
          <w:spacing w:val="-20"/>
          <w:w w:val="110"/>
        </w:rPr>
        <w:t xml:space="preserve"> </w:t>
      </w:r>
      <w:r>
        <w:rPr>
          <w:w w:val="110"/>
        </w:rPr>
        <w:t>excessive</w:t>
      </w:r>
      <w:r>
        <w:rPr>
          <w:spacing w:val="-18"/>
          <w:w w:val="110"/>
        </w:rPr>
        <w:t xml:space="preserve"> </w:t>
      </w:r>
      <w:r>
        <w:rPr>
          <w:w w:val="110"/>
        </w:rPr>
        <w:t>amounts</w:t>
      </w:r>
      <w:r>
        <w:rPr>
          <w:spacing w:val="-20"/>
          <w:w w:val="110"/>
        </w:rPr>
        <w:t xml:space="preserve"> </w:t>
      </w:r>
      <w:r>
        <w:rPr>
          <w:w w:val="110"/>
        </w:rPr>
        <w:t>of</w:t>
      </w:r>
      <w:r>
        <w:rPr>
          <w:spacing w:val="-21"/>
          <w:w w:val="110"/>
        </w:rPr>
        <w:t xml:space="preserve"> </w:t>
      </w:r>
      <w:r>
        <w:rPr>
          <w:w w:val="110"/>
        </w:rPr>
        <w:t>fluid</w:t>
      </w:r>
      <w:r>
        <w:rPr>
          <w:spacing w:val="-20"/>
          <w:w w:val="110"/>
        </w:rPr>
        <w:t xml:space="preserve"> </w:t>
      </w:r>
      <w:r>
        <w:rPr>
          <w:w w:val="110"/>
        </w:rPr>
        <w:t>("water</w:t>
      </w:r>
      <w:r>
        <w:rPr>
          <w:spacing w:val="-20"/>
          <w:w w:val="110"/>
        </w:rPr>
        <w:t xml:space="preserve"> </w:t>
      </w:r>
      <w:r>
        <w:rPr>
          <w:w w:val="110"/>
        </w:rPr>
        <w:t>intoxication") and</w:t>
      </w:r>
      <w:r>
        <w:rPr>
          <w:spacing w:val="-18"/>
          <w:w w:val="110"/>
        </w:rPr>
        <w:t xml:space="preserve"> </w:t>
      </w:r>
      <w:r>
        <w:rPr>
          <w:w w:val="110"/>
        </w:rPr>
        <w:t>develop</w:t>
      </w:r>
      <w:r>
        <w:rPr>
          <w:spacing w:val="-18"/>
          <w:w w:val="110"/>
        </w:rPr>
        <w:t xml:space="preserve"> </w:t>
      </w:r>
      <w:r>
        <w:rPr>
          <w:w w:val="110"/>
        </w:rPr>
        <w:t>abnormalities</w:t>
      </w:r>
      <w:r>
        <w:rPr>
          <w:spacing w:val="-11"/>
          <w:w w:val="110"/>
        </w:rPr>
        <w:t xml:space="preserve"> </w:t>
      </w:r>
      <w:r>
        <w:rPr>
          <w:w w:val="110"/>
        </w:rPr>
        <w:t>in</w:t>
      </w:r>
      <w:r>
        <w:rPr>
          <w:spacing w:val="-18"/>
          <w:w w:val="110"/>
        </w:rPr>
        <w:t xml:space="preserve"> </w:t>
      </w:r>
      <w:r>
        <w:rPr>
          <w:w w:val="110"/>
        </w:rPr>
        <w:t>urine</w:t>
      </w:r>
      <w:r>
        <w:rPr>
          <w:spacing w:val="-19"/>
          <w:w w:val="110"/>
        </w:rPr>
        <w:t xml:space="preserve"> </w:t>
      </w:r>
      <w:r>
        <w:rPr>
          <w:w w:val="110"/>
        </w:rPr>
        <w:t>specific</w:t>
      </w:r>
      <w:r>
        <w:rPr>
          <w:spacing w:val="-18"/>
          <w:w w:val="110"/>
        </w:rPr>
        <w:t xml:space="preserve"> </w:t>
      </w:r>
      <w:r>
        <w:rPr>
          <w:w w:val="110"/>
        </w:rPr>
        <w:t>gravity</w:t>
      </w:r>
      <w:r>
        <w:rPr>
          <w:spacing w:val="-16"/>
          <w:w w:val="110"/>
        </w:rPr>
        <w:t xml:space="preserve"> </w:t>
      </w:r>
      <w:r>
        <w:rPr>
          <w:w w:val="110"/>
        </w:rPr>
        <w:t>or</w:t>
      </w:r>
      <w:r>
        <w:rPr>
          <w:spacing w:val="-20"/>
          <w:w w:val="110"/>
        </w:rPr>
        <w:t xml:space="preserve"> </w:t>
      </w:r>
      <w:r>
        <w:rPr>
          <w:w w:val="110"/>
        </w:rPr>
        <w:t>electrolyte</w:t>
      </w:r>
      <w:r>
        <w:rPr>
          <w:spacing w:val="-12"/>
          <w:w w:val="110"/>
        </w:rPr>
        <w:t xml:space="preserve"> </w:t>
      </w:r>
      <w:r>
        <w:rPr>
          <w:w w:val="110"/>
        </w:rPr>
        <w:t>imbalances.</w:t>
      </w:r>
      <w:r>
        <w:rPr>
          <w:spacing w:val="-12"/>
          <w:w w:val="110"/>
        </w:rPr>
        <w:t xml:space="preserve"> </w:t>
      </w:r>
      <w:r>
        <w:rPr>
          <w:w w:val="110"/>
        </w:rPr>
        <w:t>Elevated creatine</w:t>
      </w:r>
      <w:r>
        <w:rPr>
          <w:spacing w:val="-15"/>
          <w:w w:val="110"/>
        </w:rPr>
        <w:t xml:space="preserve"> </w:t>
      </w:r>
      <w:r>
        <w:rPr>
          <w:w w:val="110"/>
        </w:rPr>
        <w:t>phosphokinase</w:t>
      </w:r>
      <w:r>
        <w:rPr>
          <w:spacing w:val="-4"/>
          <w:w w:val="110"/>
        </w:rPr>
        <w:t xml:space="preserve"> </w:t>
      </w:r>
      <w:r>
        <w:rPr>
          <w:w w:val="110"/>
        </w:rPr>
        <w:t>(CPK)</w:t>
      </w:r>
      <w:r>
        <w:rPr>
          <w:spacing w:val="-14"/>
          <w:w w:val="110"/>
        </w:rPr>
        <w:t xml:space="preserve"> </w:t>
      </w:r>
      <w:r>
        <w:rPr>
          <w:w w:val="110"/>
        </w:rPr>
        <w:t>may</w:t>
      </w:r>
      <w:r>
        <w:rPr>
          <w:spacing w:val="-14"/>
          <w:w w:val="110"/>
        </w:rPr>
        <w:t xml:space="preserve"> </w:t>
      </w:r>
      <w:r>
        <w:rPr>
          <w:w w:val="110"/>
        </w:rPr>
        <w:t>result</w:t>
      </w:r>
      <w:r>
        <w:rPr>
          <w:spacing w:val="-15"/>
          <w:w w:val="110"/>
        </w:rPr>
        <w:t xml:space="preserve"> </w:t>
      </w:r>
      <w:r>
        <w:rPr>
          <w:w w:val="110"/>
        </w:rPr>
        <w:t>from</w:t>
      </w:r>
      <w:r>
        <w:rPr>
          <w:spacing w:val="-10"/>
          <w:w w:val="110"/>
        </w:rPr>
        <w:t xml:space="preserve"> </w:t>
      </w:r>
      <w:r>
        <w:rPr>
          <w:w w:val="110"/>
        </w:rPr>
        <w:t>Neuroleptic</w:t>
      </w:r>
      <w:r>
        <w:rPr>
          <w:spacing w:val="-10"/>
          <w:w w:val="110"/>
        </w:rPr>
        <w:t xml:space="preserve"> </w:t>
      </w:r>
      <w:r>
        <w:rPr>
          <w:w w:val="110"/>
        </w:rPr>
        <w:t>Malignant</w:t>
      </w:r>
      <w:r>
        <w:rPr>
          <w:spacing w:val="-9"/>
          <w:w w:val="110"/>
        </w:rPr>
        <w:t xml:space="preserve"> </w:t>
      </w:r>
      <w:r>
        <w:rPr>
          <w:w w:val="110"/>
        </w:rPr>
        <w:t>Syndrome</w:t>
      </w:r>
      <w:r>
        <w:rPr>
          <w:spacing w:val="-12"/>
          <w:w w:val="110"/>
        </w:rPr>
        <w:t xml:space="preserve"> </w:t>
      </w:r>
      <w:r>
        <w:rPr>
          <w:w w:val="110"/>
        </w:rPr>
        <w:t>(see p.</w:t>
      </w:r>
      <w:r>
        <w:rPr>
          <w:spacing w:val="1"/>
          <w:w w:val="110"/>
        </w:rPr>
        <w:t xml:space="preserve"> </w:t>
      </w:r>
      <w:r>
        <w:rPr>
          <w:w w:val="110"/>
        </w:rPr>
        <w:t>739).</w:t>
      </w:r>
    </w:p>
    <w:p w:rsidR="00E675F0" w:rsidRDefault="00E675F0" w:rsidP="00E675F0">
      <w:pPr>
        <w:pStyle w:val="BodyText"/>
        <w:spacing w:before="2"/>
        <w:rPr>
          <w:sz w:val="19"/>
        </w:rPr>
      </w:pPr>
    </w:p>
    <w:p w:rsidR="00E675F0" w:rsidRDefault="00E675F0" w:rsidP="00E675F0">
      <w:pPr>
        <w:pStyle w:val="BodyText"/>
        <w:spacing w:line="254" w:lineRule="auto"/>
        <w:ind w:left="333" w:right="110"/>
        <w:jc w:val="both"/>
      </w:pPr>
      <w:r>
        <w:rPr>
          <w:b/>
          <w:w w:val="105"/>
        </w:rPr>
        <w:t xml:space="preserve">Associated physical examination findings </w:t>
      </w:r>
      <w:r>
        <w:rPr>
          <w:b/>
          <w:spacing w:val="2"/>
          <w:w w:val="105"/>
        </w:rPr>
        <w:t xml:space="preserve">andgeneral </w:t>
      </w:r>
      <w:r>
        <w:rPr>
          <w:b/>
          <w:w w:val="105"/>
        </w:rPr>
        <w:t xml:space="preserve">medical conditions. </w:t>
      </w:r>
      <w:r>
        <w:rPr>
          <w:w w:val="105"/>
        </w:rPr>
        <w:t>Individuals with Schizophrenia are sometimes physically awkward and may display neurological "soft signs," such as left/right confusion, poor coordination, or mirroring. Some minor physical anomalies (e.g., highly arched palate, narrow- or wide-set eyes or subtle malformations of the ears) may be more common among individuals with Schizophrenia. Perhaps the most common associated physical findings are motor abnormalities. Most of these are likely to be related to side effects from treatment with antipsychotic medications. Motor abnormalities that are secondary to neuroleptic treatment include Neuroleptic-Induced Tardive Dyskinesia (see p. 747), Neuroleptic­ Induced Parkinsonism (seep. 736), Neuroleptic-Induced Acute Akathisia (seep. 744), Neuroleptic-Induced Acute Dystonia (see p. 742), and Neuroleptic Malignant Syndrome (see p. 739). Spontaneous motor abnormalities resembling  those that  may be induced by neuroleptics (e.g., sniffing, tongue clucking, grunting) had been described in the preneuroleptic era and are also still observed, although they may be difficult to distinguish from neuroleptic effects. Other physical findings may be related to frequently associated disorders. For example, because Nicotine Dependence is so common</w:t>
      </w:r>
      <w:r>
        <w:rPr>
          <w:spacing w:val="6"/>
          <w:w w:val="105"/>
        </w:rPr>
        <w:t xml:space="preserve"> </w:t>
      </w:r>
      <w:r>
        <w:rPr>
          <w:w w:val="105"/>
        </w:rPr>
        <w:t>in</w:t>
      </w:r>
    </w:p>
    <w:p w:rsidR="00E675F0" w:rsidRDefault="00E675F0" w:rsidP="00E675F0">
      <w:pPr>
        <w:spacing w:line="254" w:lineRule="auto"/>
        <w:jc w:val="both"/>
        <w:sectPr w:rsidR="00E675F0">
          <w:pgSz w:w="8960" w:h="14260"/>
          <w:pgMar w:top="1400" w:right="400" w:bottom="280" w:left="620" w:header="691" w:footer="0" w:gutter="0"/>
          <w:cols w:space="720"/>
        </w:sectPr>
      </w:pPr>
    </w:p>
    <w:p w:rsidR="00E675F0" w:rsidRDefault="00E675F0" w:rsidP="00E675F0">
      <w:pPr>
        <w:pStyle w:val="BodyText"/>
        <w:spacing w:before="130" w:line="254" w:lineRule="auto"/>
        <w:ind w:left="127" w:right="124" w:firstLine="4"/>
        <w:jc w:val="both"/>
      </w:pPr>
      <w:r>
        <w:rPr>
          <w:w w:val="105"/>
        </w:rPr>
        <w:lastRenderedPageBreak/>
        <w:t>and definition. Hospital-based studies suggest a higher rate of Schizophrenia in males, whereas community-based surveys have mostly suggested an equal sex ratio. Broader definitions</w:t>
      </w:r>
      <w:r>
        <w:rPr>
          <w:spacing w:val="-5"/>
          <w:w w:val="105"/>
        </w:rPr>
        <w:t xml:space="preserve"> </w:t>
      </w:r>
      <w:r>
        <w:rPr>
          <w:w w:val="105"/>
        </w:rPr>
        <w:t>of</w:t>
      </w:r>
      <w:r>
        <w:rPr>
          <w:spacing w:val="-15"/>
          <w:w w:val="105"/>
        </w:rPr>
        <w:t xml:space="preserve"> </w:t>
      </w:r>
      <w:r>
        <w:rPr>
          <w:w w:val="105"/>
        </w:rPr>
        <w:t>Schizophrenia</w:t>
      </w:r>
      <w:r>
        <w:rPr>
          <w:spacing w:val="2"/>
          <w:w w:val="105"/>
        </w:rPr>
        <w:t xml:space="preserve"> </w:t>
      </w:r>
      <w:r>
        <w:rPr>
          <w:w w:val="105"/>
        </w:rPr>
        <w:t>with</w:t>
      </w:r>
      <w:r>
        <w:rPr>
          <w:spacing w:val="-6"/>
          <w:w w:val="105"/>
        </w:rPr>
        <w:t xml:space="preserve"> </w:t>
      </w:r>
      <w:r>
        <w:rPr>
          <w:w w:val="105"/>
        </w:rPr>
        <w:t>respect</w:t>
      </w:r>
      <w:r>
        <w:rPr>
          <w:spacing w:val="-4"/>
          <w:w w:val="105"/>
        </w:rPr>
        <w:t xml:space="preserve"> </w:t>
      </w:r>
      <w:r>
        <w:rPr>
          <w:w w:val="105"/>
          <w:sz w:val="18"/>
        </w:rPr>
        <w:t>to</w:t>
      </w:r>
      <w:r>
        <w:rPr>
          <w:spacing w:val="10"/>
          <w:w w:val="105"/>
          <w:sz w:val="18"/>
        </w:rPr>
        <w:t xml:space="preserve"> </w:t>
      </w:r>
      <w:r>
        <w:rPr>
          <w:w w:val="105"/>
        </w:rPr>
        <w:t>the</w:t>
      </w:r>
      <w:r>
        <w:rPr>
          <w:spacing w:val="-9"/>
          <w:w w:val="105"/>
        </w:rPr>
        <w:t xml:space="preserve"> </w:t>
      </w:r>
      <w:r>
        <w:rPr>
          <w:w w:val="105"/>
        </w:rPr>
        <w:t>boundary</w:t>
      </w:r>
      <w:r>
        <w:rPr>
          <w:spacing w:val="-2"/>
          <w:w w:val="105"/>
        </w:rPr>
        <w:t xml:space="preserve"> </w:t>
      </w:r>
      <w:r>
        <w:rPr>
          <w:w w:val="105"/>
        </w:rPr>
        <w:t>with</w:t>
      </w:r>
      <w:r>
        <w:rPr>
          <w:spacing w:val="-9"/>
          <w:w w:val="105"/>
        </w:rPr>
        <w:t xml:space="preserve"> </w:t>
      </w:r>
      <w:r>
        <w:rPr>
          <w:w w:val="105"/>
        </w:rPr>
        <w:t>Mood</w:t>
      </w:r>
      <w:r>
        <w:rPr>
          <w:spacing w:val="-2"/>
          <w:w w:val="105"/>
        </w:rPr>
        <w:t xml:space="preserve"> </w:t>
      </w:r>
      <w:r>
        <w:rPr>
          <w:w w:val="105"/>
        </w:rPr>
        <w:t>Disorders</w:t>
      </w:r>
      <w:r>
        <w:rPr>
          <w:spacing w:val="-7"/>
          <w:w w:val="105"/>
        </w:rPr>
        <w:t xml:space="preserve"> </w:t>
      </w:r>
      <w:r>
        <w:rPr>
          <w:w w:val="105"/>
        </w:rPr>
        <w:t>will</w:t>
      </w:r>
      <w:r>
        <w:rPr>
          <w:spacing w:val="-11"/>
          <w:w w:val="105"/>
        </w:rPr>
        <w:t xml:space="preserve"> </w:t>
      </w:r>
      <w:r>
        <w:rPr>
          <w:w w:val="105"/>
        </w:rPr>
        <w:t>yield a higher female-to-male ratio than the relatively narrow construct of Schizophrenia used in this</w:t>
      </w:r>
      <w:r>
        <w:rPr>
          <w:spacing w:val="21"/>
          <w:w w:val="105"/>
        </w:rPr>
        <w:t xml:space="preserve"> </w:t>
      </w:r>
      <w:r>
        <w:rPr>
          <w:w w:val="105"/>
        </w:rPr>
        <w:t>manual.</w:t>
      </w:r>
    </w:p>
    <w:p w:rsidR="00E675F0" w:rsidRDefault="00E675F0" w:rsidP="00E675F0">
      <w:pPr>
        <w:pStyle w:val="BodyText"/>
        <w:rPr>
          <w:sz w:val="22"/>
        </w:rPr>
      </w:pPr>
    </w:p>
    <w:p w:rsidR="00E675F0" w:rsidRDefault="00E675F0" w:rsidP="00E675F0">
      <w:pPr>
        <w:spacing w:before="173"/>
        <w:ind w:left="116"/>
        <w:rPr>
          <w:rFonts w:ascii="TimesNewRomanPS-BoldItalicMT"/>
          <w:b/>
          <w:i/>
          <w:sz w:val="24"/>
        </w:rPr>
      </w:pPr>
      <w:r>
        <w:rPr>
          <w:rFonts w:ascii="TimesNewRomanPS-BoldItalicMT"/>
          <w:b/>
          <w:i/>
          <w:w w:val="115"/>
          <w:sz w:val="24"/>
        </w:rPr>
        <w:t>Prevalence</w:t>
      </w:r>
    </w:p>
    <w:p w:rsidR="00E675F0" w:rsidRDefault="00E675F0" w:rsidP="00E675F0">
      <w:pPr>
        <w:pStyle w:val="BodyText"/>
        <w:spacing w:before="155" w:line="254" w:lineRule="auto"/>
        <w:ind w:left="120" w:right="116" w:firstLine="7"/>
        <w:jc w:val="both"/>
      </w:pPr>
      <w:r>
        <w:rPr>
          <w:w w:val="105"/>
        </w:rPr>
        <w:t>There is variability in the reported prevalence of Schizophrenia because different studies have</w:t>
      </w:r>
      <w:r>
        <w:rPr>
          <w:spacing w:val="-7"/>
          <w:w w:val="105"/>
        </w:rPr>
        <w:t xml:space="preserve"> </w:t>
      </w:r>
      <w:r>
        <w:rPr>
          <w:w w:val="105"/>
        </w:rPr>
        <w:t>used</w:t>
      </w:r>
      <w:r>
        <w:rPr>
          <w:spacing w:val="-6"/>
          <w:w w:val="105"/>
        </w:rPr>
        <w:t xml:space="preserve"> </w:t>
      </w:r>
      <w:r>
        <w:rPr>
          <w:w w:val="105"/>
        </w:rPr>
        <w:t>different</w:t>
      </w:r>
      <w:r>
        <w:rPr>
          <w:spacing w:val="-1"/>
          <w:w w:val="105"/>
        </w:rPr>
        <w:t xml:space="preserve"> </w:t>
      </w:r>
      <w:r>
        <w:rPr>
          <w:w w:val="105"/>
        </w:rPr>
        <w:t>methods</w:t>
      </w:r>
      <w:r>
        <w:rPr>
          <w:spacing w:val="-9"/>
          <w:w w:val="105"/>
        </w:rPr>
        <w:t xml:space="preserve"> </w:t>
      </w:r>
      <w:r>
        <w:rPr>
          <w:w w:val="105"/>
        </w:rPr>
        <w:t>of</w:t>
      </w:r>
      <w:r>
        <w:rPr>
          <w:spacing w:val="-9"/>
          <w:w w:val="105"/>
        </w:rPr>
        <w:t xml:space="preserve"> </w:t>
      </w:r>
      <w:r>
        <w:rPr>
          <w:w w:val="105"/>
        </w:rPr>
        <w:t>ascertainment</w:t>
      </w:r>
      <w:r>
        <w:rPr>
          <w:spacing w:val="3"/>
          <w:w w:val="105"/>
        </w:rPr>
        <w:t xml:space="preserve"> </w:t>
      </w:r>
      <w:r>
        <w:rPr>
          <w:w w:val="105"/>
        </w:rPr>
        <w:t>(e.g.,</w:t>
      </w:r>
      <w:r>
        <w:rPr>
          <w:spacing w:val="-3"/>
          <w:w w:val="105"/>
        </w:rPr>
        <w:t xml:space="preserve"> </w:t>
      </w:r>
      <w:r>
        <w:rPr>
          <w:w w:val="105"/>
        </w:rPr>
        <w:t>rural</w:t>
      </w:r>
      <w:r>
        <w:rPr>
          <w:spacing w:val="-16"/>
          <w:w w:val="105"/>
        </w:rPr>
        <w:t xml:space="preserve"> </w:t>
      </w:r>
      <w:r>
        <w:rPr>
          <w:w w:val="105"/>
        </w:rPr>
        <w:t>versus</w:t>
      </w:r>
      <w:r>
        <w:rPr>
          <w:spacing w:val="-10"/>
          <w:w w:val="105"/>
        </w:rPr>
        <w:t xml:space="preserve"> </w:t>
      </w:r>
      <w:r>
        <w:rPr>
          <w:w w:val="105"/>
        </w:rPr>
        <w:t>urban,</w:t>
      </w:r>
      <w:r>
        <w:rPr>
          <w:spacing w:val="-8"/>
          <w:w w:val="105"/>
        </w:rPr>
        <w:t xml:space="preserve"> </w:t>
      </w:r>
      <w:r>
        <w:rPr>
          <w:w w:val="105"/>
        </w:rPr>
        <w:t>community</w:t>
      </w:r>
      <w:r>
        <w:rPr>
          <w:spacing w:val="-11"/>
          <w:w w:val="105"/>
        </w:rPr>
        <w:t xml:space="preserve"> </w:t>
      </w:r>
      <w:r>
        <w:rPr>
          <w:w w:val="105"/>
        </w:rPr>
        <w:t>versus clinic or hospital) and different definitions of Schizophrenia (narrow versus broad, criterion-based versus clinical). Estimates of prevalence have ranged from 0.2% to 2.0% across many large studies. Prevalence rates are similar throughout the world, but pockets of high prevalence have been reported in some specific areas. Taking all these sources  of</w:t>
      </w:r>
      <w:r>
        <w:rPr>
          <w:spacing w:val="-6"/>
          <w:w w:val="105"/>
        </w:rPr>
        <w:t xml:space="preserve"> </w:t>
      </w:r>
      <w:r>
        <w:rPr>
          <w:w w:val="105"/>
        </w:rPr>
        <w:t>information</w:t>
      </w:r>
      <w:r>
        <w:rPr>
          <w:spacing w:val="-2"/>
          <w:w w:val="105"/>
        </w:rPr>
        <w:t xml:space="preserve"> </w:t>
      </w:r>
      <w:r>
        <w:rPr>
          <w:w w:val="105"/>
        </w:rPr>
        <w:t>into</w:t>
      </w:r>
      <w:r>
        <w:rPr>
          <w:spacing w:val="-22"/>
          <w:w w:val="105"/>
        </w:rPr>
        <w:t xml:space="preserve"> </w:t>
      </w:r>
      <w:r>
        <w:rPr>
          <w:w w:val="105"/>
        </w:rPr>
        <w:t>account,</w:t>
      </w:r>
      <w:r>
        <w:rPr>
          <w:spacing w:val="-2"/>
          <w:w w:val="105"/>
        </w:rPr>
        <w:t xml:space="preserve"> </w:t>
      </w:r>
      <w:r>
        <w:rPr>
          <w:w w:val="105"/>
        </w:rPr>
        <w:t>the</w:t>
      </w:r>
      <w:r>
        <w:rPr>
          <w:spacing w:val="-17"/>
          <w:w w:val="105"/>
        </w:rPr>
        <w:t xml:space="preserve"> </w:t>
      </w:r>
      <w:r>
        <w:rPr>
          <w:w w:val="105"/>
        </w:rPr>
        <w:t>lifetime</w:t>
      </w:r>
      <w:r>
        <w:rPr>
          <w:spacing w:val="-2"/>
          <w:w w:val="105"/>
        </w:rPr>
        <w:t xml:space="preserve"> </w:t>
      </w:r>
      <w:r>
        <w:rPr>
          <w:w w:val="105"/>
        </w:rPr>
        <w:t>prevalence of</w:t>
      </w:r>
      <w:r>
        <w:rPr>
          <w:spacing w:val="-17"/>
          <w:w w:val="105"/>
        </w:rPr>
        <w:t xml:space="preserve"> </w:t>
      </w:r>
      <w:r>
        <w:rPr>
          <w:w w:val="105"/>
        </w:rPr>
        <w:t>Schizophrenia is</w:t>
      </w:r>
      <w:r>
        <w:rPr>
          <w:spacing w:val="-14"/>
          <w:w w:val="105"/>
        </w:rPr>
        <w:t xml:space="preserve"> </w:t>
      </w:r>
      <w:r>
        <w:rPr>
          <w:w w:val="105"/>
        </w:rPr>
        <w:t>usually</w:t>
      </w:r>
      <w:r>
        <w:rPr>
          <w:spacing w:val="-12"/>
          <w:w w:val="105"/>
        </w:rPr>
        <w:t xml:space="preserve"> </w:t>
      </w:r>
      <w:r>
        <w:rPr>
          <w:w w:val="105"/>
        </w:rPr>
        <w:t>estimated to be between 0.5% and 1%. Because Schizophrenia tends to be chronic, incidence rates are considerably lower  than  prevalence  rates  and are  estimated  to  be approximately 1 per 10,000 per</w:t>
      </w:r>
      <w:r>
        <w:rPr>
          <w:spacing w:val="47"/>
          <w:w w:val="105"/>
        </w:rPr>
        <w:t xml:space="preserve"> </w:t>
      </w:r>
      <w:r>
        <w:rPr>
          <w:w w:val="105"/>
        </w:rPr>
        <w:t>year.</w:t>
      </w:r>
    </w:p>
    <w:p w:rsidR="00E675F0" w:rsidRDefault="00E675F0" w:rsidP="00E675F0">
      <w:pPr>
        <w:pStyle w:val="BodyText"/>
        <w:rPr>
          <w:sz w:val="22"/>
        </w:rPr>
      </w:pPr>
    </w:p>
    <w:p w:rsidR="00E675F0" w:rsidRDefault="00E675F0" w:rsidP="00E675F0">
      <w:pPr>
        <w:spacing w:before="175"/>
        <w:ind w:left="108"/>
        <w:rPr>
          <w:rFonts w:ascii="TimesNewRomanPS-BoldItalicMT"/>
          <w:b/>
          <w:i/>
          <w:sz w:val="24"/>
        </w:rPr>
      </w:pPr>
      <w:r>
        <w:rPr>
          <w:rFonts w:ascii="TimesNewRomanPS-BoldItalicMT"/>
          <w:b/>
          <w:i/>
          <w:w w:val="115"/>
          <w:sz w:val="24"/>
        </w:rPr>
        <w:t>Course</w:t>
      </w:r>
    </w:p>
    <w:p w:rsidR="00E675F0" w:rsidRDefault="00E675F0" w:rsidP="00E675F0">
      <w:pPr>
        <w:pStyle w:val="BodyText"/>
        <w:spacing w:before="151" w:line="252" w:lineRule="auto"/>
        <w:ind w:left="122" w:right="113"/>
        <w:jc w:val="both"/>
      </w:pPr>
      <w:r>
        <w:rPr>
          <w:w w:val="110"/>
        </w:rPr>
        <w:t>The</w:t>
      </w:r>
      <w:r>
        <w:rPr>
          <w:spacing w:val="-5"/>
          <w:w w:val="110"/>
        </w:rPr>
        <w:t xml:space="preserve"> </w:t>
      </w:r>
      <w:r>
        <w:rPr>
          <w:w w:val="110"/>
        </w:rPr>
        <w:t>median</w:t>
      </w:r>
      <w:r>
        <w:rPr>
          <w:spacing w:val="-7"/>
          <w:w w:val="110"/>
        </w:rPr>
        <w:t xml:space="preserve"> </w:t>
      </w:r>
      <w:r>
        <w:rPr>
          <w:w w:val="110"/>
        </w:rPr>
        <w:t>age</w:t>
      </w:r>
      <w:r>
        <w:rPr>
          <w:spacing w:val="-13"/>
          <w:w w:val="110"/>
        </w:rPr>
        <w:t xml:space="preserve"> </w:t>
      </w:r>
      <w:r>
        <w:rPr>
          <w:w w:val="110"/>
        </w:rPr>
        <w:t>at</w:t>
      </w:r>
      <w:r>
        <w:rPr>
          <w:spacing w:val="-14"/>
          <w:w w:val="110"/>
        </w:rPr>
        <w:t xml:space="preserve"> </w:t>
      </w:r>
      <w:r>
        <w:rPr>
          <w:w w:val="110"/>
        </w:rPr>
        <w:t>onset</w:t>
      </w:r>
      <w:r>
        <w:rPr>
          <w:spacing w:val="-10"/>
          <w:w w:val="110"/>
        </w:rPr>
        <w:t xml:space="preserve"> </w:t>
      </w:r>
      <w:r>
        <w:rPr>
          <w:w w:val="110"/>
        </w:rPr>
        <w:t>for</w:t>
      </w:r>
      <w:r>
        <w:rPr>
          <w:spacing w:val="-14"/>
          <w:w w:val="110"/>
        </w:rPr>
        <w:t xml:space="preserve"> </w:t>
      </w:r>
      <w:r>
        <w:rPr>
          <w:w w:val="110"/>
        </w:rPr>
        <w:t>the</w:t>
      </w:r>
      <w:r>
        <w:rPr>
          <w:spacing w:val="-14"/>
          <w:w w:val="110"/>
        </w:rPr>
        <w:t xml:space="preserve"> </w:t>
      </w:r>
      <w:r>
        <w:rPr>
          <w:w w:val="110"/>
        </w:rPr>
        <w:t>first</w:t>
      </w:r>
      <w:r>
        <w:rPr>
          <w:spacing w:val="-5"/>
          <w:w w:val="110"/>
        </w:rPr>
        <w:t xml:space="preserve"> </w:t>
      </w:r>
      <w:r>
        <w:rPr>
          <w:w w:val="110"/>
        </w:rPr>
        <w:t>psychotic</w:t>
      </w:r>
      <w:r>
        <w:rPr>
          <w:spacing w:val="-6"/>
          <w:w w:val="110"/>
        </w:rPr>
        <w:t xml:space="preserve"> </w:t>
      </w:r>
      <w:r>
        <w:rPr>
          <w:w w:val="110"/>
        </w:rPr>
        <w:t>episode</w:t>
      </w:r>
      <w:r>
        <w:rPr>
          <w:spacing w:val="-8"/>
          <w:w w:val="110"/>
        </w:rPr>
        <w:t xml:space="preserve"> </w:t>
      </w:r>
      <w:r>
        <w:rPr>
          <w:w w:val="110"/>
        </w:rPr>
        <w:t>of</w:t>
      </w:r>
      <w:r>
        <w:rPr>
          <w:spacing w:val="-12"/>
          <w:w w:val="110"/>
        </w:rPr>
        <w:t xml:space="preserve"> </w:t>
      </w:r>
      <w:r>
        <w:rPr>
          <w:w w:val="110"/>
        </w:rPr>
        <w:t>Schizophrenia</w:t>
      </w:r>
      <w:r>
        <w:rPr>
          <w:spacing w:val="5"/>
          <w:w w:val="110"/>
        </w:rPr>
        <w:t xml:space="preserve"> </w:t>
      </w:r>
      <w:r>
        <w:rPr>
          <w:w w:val="110"/>
        </w:rPr>
        <w:t>is</w:t>
      </w:r>
      <w:r>
        <w:rPr>
          <w:spacing w:val="-14"/>
          <w:w w:val="110"/>
        </w:rPr>
        <w:t xml:space="preserve"> </w:t>
      </w:r>
      <w:r>
        <w:rPr>
          <w:w w:val="110"/>
        </w:rPr>
        <w:t>in</w:t>
      </w:r>
      <w:r>
        <w:rPr>
          <w:spacing w:val="-11"/>
          <w:w w:val="110"/>
        </w:rPr>
        <w:t xml:space="preserve"> </w:t>
      </w:r>
      <w:r>
        <w:rPr>
          <w:w w:val="110"/>
        </w:rPr>
        <w:t>the</w:t>
      </w:r>
      <w:r>
        <w:rPr>
          <w:spacing w:val="-14"/>
          <w:w w:val="110"/>
        </w:rPr>
        <w:t xml:space="preserve"> </w:t>
      </w:r>
      <w:r>
        <w:rPr>
          <w:w w:val="110"/>
        </w:rPr>
        <w:t>early to</w:t>
      </w:r>
      <w:r>
        <w:rPr>
          <w:spacing w:val="-22"/>
          <w:w w:val="110"/>
        </w:rPr>
        <w:t xml:space="preserve"> </w:t>
      </w:r>
      <w:r>
        <w:rPr>
          <w:w w:val="110"/>
        </w:rPr>
        <w:t>mid-20s</w:t>
      </w:r>
      <w:r>
        <w:rPr>
          <w:spacing w:val="-19"/>
          <w:w w:val="110"/>
        </w:rPr>
        <w:t xml:space="preserve"> </w:t>
      </w:r>
      <w:r>
        <w:rPr>
          <w:w w:val="110"/>
        </w:rPr>
        <w:t>for</w:t>
      </w:r>
      <w:r>
        <w:rPr>
          <w:spacing w:val="-18"/>
          <w:w w:val="110"/>
        </w:rPr>
        <w:t xml:space="preserve"> </w:t>
      </w:r>
      <w:r>
        <w:rPr>
          <w:w w:val="110"/>
        </w:rPr>
        <w:t>men</w:t>
      </w:r>
      <w:r>
        <w:rPr>
          <w:spacing w:val="-19"/>
          <w:w w:val="110"/>
        </w:rPr>
        <w:t xml:space="preserve"> </w:t>
      </w:r>
      <w:r>
        <w:rPr>
          <w:w w:val="110"/>
        </w:rPr>
        <w:t>and</w:t>
      </w:r>
      <w:r>
        <w:rPr>
          <w:spacing w:val="-18"/>
          <w:w w:val="110"/>
        </w:rPr>
        <w:t xml:space="preserve"> </w:t>
      </w:r>
      <w:r>
        <w:rPr>
          <w:w w:val="110"/>
        </w:rPr>
        <w:t>in</w:t>
      </w:r>
      <w:r>
        <w:rPr>
          <w:spacing w:val="-21"/>
          <w:w w:val="110"/>
        </w:rPr>
        <w:t xml:space="preserve"> </w:t>
      </w:r>
      <w:r>
        <w:rPr>
          <w:w w:val="110"/>
        </w:rPr>
        <w:t>the</w:t>
      </w:r>
      <w:r>
        <w:rPr>
          <w:spacing w:val="-20"/>
          <w:w w:val="110"/>
        </w:rPr>
        <w:t xml:space="preserve"> </w:t>
      </w:r>
      <w:r>
        <w:rPr>
          <w:w w:val="110"/>
        </w:rPr>
        <w:t>late</w:t>
      </w:r>
      <w:r>
        <w:rPr>
          <w:spacing w:val="-18"/>
          <w:w w:val="110"/>
        </w:rPr>
        <w:t xml:space="preserve"> </w:t>
      </w:r>
      <w:r>
        <w:rPr>
          <w:w w:val="110"/>
        </w:rPr>
        <w:t>20s</w:t>
      </w:r>
      <w:r>
        <w:rPr>
          <w:spacing w:val="-28"/>
          <w:w w:val="110"/>
        </w:rPr>
        <w:t xml:space="preserve"> </w:t>
      </w:r>
      <w:r>
        <w:rPr>
          <w:w w:val="110"/>
        </w:rPr>
        <w:t>for</w:t>
      </w:r>
      <w:r>
        <w:rPr>
          <w:spacing w:val="-21"/>
          <w:w w:val="110"/>
        </w:rPr>
        <w:t xml:space="preserve"> </w:t>
      </w:r>
      <w:r>
        <w:rPr>
          <w:w w:val="110"/>
        </w:rPr>
        <w:t>women.</w:t>
      </w:r>
      <w:r>
        <w:rPr>
          <w:spacing w:val="-20"/>
          <w:w w:val="110"/>
        </w:rPr>
        <w:t xml:space="preserve"> </w:t>
      </w:r>
      <w:r>
        <w:rPr>
          <w:w w:val="110"/>
        </w:rPr>
        <w:t>The</w:t>
      </w:r>
      <w:r>
        <w:rPr>
          <w:spacing w:val="-23"/>
          <w:w w:val="110"/>
        </w:rPr>
        <w:t xml:space="preserve"> </w:t>
      </w:r>
      <w:r>
        <w:rPr>
          <w:w w:val="110"/>
        </w:rPr>
        <w:t>onset</w:t>
      </w:r>
      <w:r>
        <w:rPr>
          <w:spacing w:val="-17"/>
          <w:w w:val="110"/>
        </w:rPr>
        <w:t xml:space="preserve"> </w:t>
      </w:r>
      <w:r>
        <w:rPr>
          <w:w w:val="110"/>
        </w:rPr>
        <w:t>may</w:t>
      </w:r>
      <w:r>
        <w:rPr>
          <w:spacing w:val="-18"/>
          <w:w w:val="110"/>
        </w:rPr>
        <w:t xml:space="preserve"> </w:t>
      </w:r>
      <w:r>
        <w:rPr>
          <w:w w:val="110"/>
        </w:rPr>
        <w:t>be</w:t>
      </w:r>
      <w:r>
        <w:rPr>
          <w:spacing w:val="-23"/>
          <w:w w:val="110"/>
        </w:rPr>
        <w:t xml:space="preserve"> </w:t>
      </w:r>
      <w:r>
        <w:rPr>
          <w:w w:val="110"/>
        </w:rPr>
        <w:t>abrupt</w:t>
      </w:r>
      <w:r>
        <w:rPr>
          <w:spacing w:val="-17"/>
          <w:w w:val="110"/>
        </w:rPr>
        <w:t xml:space="preserve"> </w:t>
      </w:r>
      <w:r>
        <w:rPr>
          <w:w w:val="110"/>
        </w:rPr>
        <w:t>or</w:t>
      </w:r>
      <w:r>
        <w:rPr>
          <w:spacing w:val="-19"/>
          <w:w w:val="110"/>
        </w:rPr>
        <w:t xml:space="preserve"> </w:t>
      </w:r>
      <w:r>
        <w:rPr>
          <w:w w:val="110"/>
        </w:rPr>
        <w:t>insidious, but</w:t>
      </w:r>
      <w:r>
        <w:rPr>
          <w:spacing w:val="-20"/>
          <w:w w:val="110"/>
        </w:rPr>
        <w:t xml:space="preserve"> </w:t>
      </w:r>
      <w:r>
        <w:rPr>
          <w:w w:val="110"/>
        </w:rPr>
        <w:t>the</w:t>
      </w:r>
      <w:r>
        <w:rPr>
          <w:spacing w:val="-22"/>
          <w:w w:val="110"/>
        </w:rPr>
        <w:t xml:space="preserve"> </w:t>
      </w:r>
      <w:r>
        <w:rPr>
          <w:w w:val="110"/>
        </w:rPr>
        <w:t>majority</w:t>
      </w:r>
      <w:r>
        <w:rPr>
          <w:spacing w:val="-18"/>
          <w:w w:val="110"/>
        </w:rPr>
        <w:t xml:space="preserve"> </w:t>
      </w:r>
      <w:r>
        <w:rPr>
          <w:w w:val="110"/>
        </w:rPr>
        <w:t>of</w:t>
      </w:r>
      <w:r>
        <w:rPr>
          <w:spacing w:val="-20"/>
          <w:w w:val="110"/>
        </w:rPr>
        <w:t xml:space="preserve"> </w:t>
      </w:r>
      <w:r>
        <w:rPr>
          <w:w w:val="110"/>
        </w:rPr>
        <w:t>individuals</w:t>
      </w:r>
      <w:r>
        <w:rPr>
          <w:spacing w:val="-14"/>
          <w:w w:val="110"/>
        </w:rPr>
        <w:t xml:space="preserve"> </w:t>
      </w:r>
      <w:r>
        <w:rPr>
          <w:w w:val="110"/>
        </w:rPr>
        <w:t>display</w:t>
      </w:r>
      <w:r>
        <w:rPr>
          <w:spacing w:val="-22"/>
          <w:w w:val="110"/>
        </w:rPr>
        <w:t xml:space="preserve"> </w:t>
      </w:r>
      <w:r>
        <w:rPr>
          <w:w w:val="110"/>
        </w:rPr>
        <w:t>some</w:t>
      </w:r>
      <w:r>
        <w:rPr>
          <w:spacing w:val="-20"/>
          <w:w w:val="110"/>
        </w:rPr>
        <w:t xml:space="preserve"> </w:t>
      </w:r>
      <w:r>
        <w:rPr>
          <w:w w:val="110"/>
        </w:rPr>
        <w:t>type</w:t>
      </w:r>
      <w:r>
        <w:rPr>
          <w:spacing w:val="-21"/>
          <w:w w:val="110"/>
        </w:rPr>
        <w:t xml:space="preserve"> </w:t>
      </w:r>
      <w:r>
        <w:rPr>
          <w:w w:val="110"/>
        </w:rPr>
        <w:t>of</w:t>
      </w:r>
      <w:r>
        <w:rPr>
          <w:spacing w:val="-13"/>
          <w:w w:val="110"/>
        </w:rPr>
        <w:t xml:space="preserve"> </w:t>
      </w:r>
      <w:r>
        <w:rPr>
          <w:w w:val="110"/>
        </w:rPr>
        <w:t>prodromal</w:t>
      </w:r>
      <w:r>
        <w:rPr>
          <w:spacing w:val="-13"/>
          <w:w w:val="110"/>
        </w:rPr>
        <w:t xml:space="preserve"> </w:t>
      </w:r>
      <w:r>
        <w:rPr>
          <w:w w:val="110"/>
        </w:rPr>
        <w:t>phase</w:t>
      </w:r>
      <w:r>
        <w:rPr>
          <w:spacing w:val="-19"/>
          <w:w w:val="110"/>
        </w:rPr>
        <w:t xml:space="preserve"> </w:t>
      </w:r>
      <w:r>
        <w:rPr>
          <w:w w:val="110"/>
        </w:rPr>
        <w:t>manifested</w:t>
      </w:r>
      <w:r>
        <w:rPr>
          <w:spacing w:val="-11"/>
          <w:w w:val="110"/>
        </w:rPr>
        <w:t xml:space="preserve"> </w:t>
      </w:r>
      <w:r>
        <w:rPr>
          <w:w w:val="110"/>
        </w:rPr>
        <w:t>by</w:t>
      </w:r>
      <w:r>
        <w:rPr>
          <w:spacing w:val="-22"/>
          <w:w w:val="110"/>
        </w:rPr>
        <w:t xml:space="preserve"> </w:t>
      </w:r>
      <w:r>
        <w:rPr>
          <w:w w:val="110"/>
        </w:rPr>
        <w:t>the slow and gradual development of a variety of signs and symptoms (e.g., social withdrawal,</w:t>
      </w:r>
      <w:r>
        <w:rPr>
          <w:spacing w:val="-4"/>
          <w:w w:val="110"/>
        </w:rPr>
        <w:t xml:space="preserve"> </w:t>
      </w:r>
      <w:r>
        <w:rPr>
          <w:w w:val="110"/>
        </w:rPr>
        <w:t>loss</w:t>
      </w:r>
      <w:r>
        <w:rPr>
          <w:spacing w:val="-11"/>
          <w:w w:val="110"/>
        </w:rPr>
        <w:t xml:space="preserve"> </w:t>
      </w:r>
      <w:r>
        <w:rPr>
          <w:w w:val="110"/>
        </w:rPr>
        <w:t>of</w:t>
      </w:r>
      <w:r>
        <w:rPr>
          <w:spacing w:val="-1"/>
          <w:w w:val="110"/>
        </w:rPr>
        <w:t xml:space="preserve"> </w:t>
      </w:r>
      <w:r>
        <w:rPr>
          <w:w w:val="110"/>
        </w:rPr>
        <w:t>interest</w:t>
      </w:r>
      <w:r>
        <w:rPr>
          <w:spacing w:val="1"/>
          <w:w w:val="110"/>
        </w:rPr>
        <w:t xml:space="preserve"> </w:t>
      </w:r>
      <w:r>
        <w:rPr>
          <w:w w:val="110"/>
        </w:rPr>
        <w:t>in</w:t>
      </w:r>
      <w:r>
        <w:rPr>
          <w:spacing w:val="-14"/>
          <w:w w:val="110"/>
        </w:rPr>
        <w:t xml:space="preserve"> </w:t>
      </w:r>
      <w:r>
        <w:rPr>
          <w:w w:val="110"/>
        </w:rPr>
        <w:t>school</w:t>
      </w:r>
      <w:r>
        <w:rPr>
          <w:spacing w:val="-8"/>
          <w:w w:val="110"/>
        </w:rPr>
        <w:t xml:space="preserve"> </w:t>
      </w:r>
      <w:r>
        <w:rPr>
          <w:w w:val="110"/>
        </w:rPr>
        <w:t>or</w:t>
      </w:r>
      <w:r>
        <w:rPr>
          <w:spacing w:val="-9"/>
          <w:w w:val="110"/>
        </w:rPr>
        <w:t xml:space="preserve"> </w:t>
      </w:r>
      <w:r>
        <w:rPr>
          <w:w w:val="110"/>
        </w:rPr>
        <w:t>work,</w:t>
      </w:r>
      <w:r>
        <w:rPr>
          <w:spacing w:val="-7"/>
          <w:w w:val="110"/>
        </w:rPr>
        <w:t xml:space="preserve"> </w:t>
      </w:r>
      <w:r>
        <w:rPr>
          <w:w w:val="110"/>
        </w:rPr>
        <w:t>deterioration</w:t>
      </w:r>
      <w:r>
        <w:rPr>
          <w:spacing w:val="4"/>
          <w:w w:val="110"/>
        </w:rPr>
        <w:t xml:space="preserve"> </w:t>
      </w:r>
      <w:r>
        <w:rPr>
          <w:w w:val="110"/>
        </w:rPr>
        <w:t>in</w:t>
      </w:r>
      <w:r>
        <w:rPr>
          <w:spacing w:val="-8"/>
          <w:w w:val="110"/>
        </w:rPr>
        <w:t xml:space="preserve"> </w:t>
      </w:r>
      <w:r>
        <w:rPr>
          <w:w w:val="110"/>
        </w:rPr>
        <w:t>hygiene</w:t>
      </w:r>
      <w:r>
        <w:rPr>
          <w:spacing w:val="-4"/>
          <w:w w:val="110"/>
        </w:rPr>
        <w:t xml:space="preserve"> </w:t>
      </w:r>
      <w:r>
        <w:rPr>
          <w:w w:val="110"/>
        </w:rPr>
        <w:t>and</w:t>
      </w:r>
      <w:r>
        <w:rPr>
          <w:spacing w:val="-10"/>
          <w:w w:val="110"/>
        </w:rPr>
        <w:t xml:space="preserve"> </w:t>
      </w:r>
      <w:r>
        <w:rPr>
          <w:w w:val="110"/>
        </w:rPr>
        <w:t>grooming, unusual</w:t>
      </w:r>
      <w:r>
        <w:rPr>
          <w:spacing w:val="-15"/>
          <w:w w:val="110"/>
        </w:rPr>
        <w:t xml:space="preserve"> </w:t>
      </w:r>
      <w:r>
        <w:rPr>
          <w:w w:val="110"/>
        </w:rPr>
        <w:t>behavior,</w:t>
      </w:r>
      <w:r>
        <w:rPr>
          <w:spacing w:val="-18"/>
          <w:w w:val="110"/>
        </w:rPr>
        <w:t xml:space="preserve"> </w:t>
      </w:r>
      <w:r>
        <w:rPr>
          <w:w w:val="110"/>
        </w:rPr>
        <w:t>outbursts</w:t>
      </w:r>
      <w:r>
        <w:rPr>
          <w:spacing w:val="-19"/>
          <w:w w:val="110"/>
        </w:rPr>
        <w:t xml:space="preserve"> </w:t>
      </w:r>
      <w:r>
        <w:rPr>
          <w:w w:val="110"/>
        </w:rPr>
        <w:t>of</w:t>
      </w:r>
      <w:r>
        <w:rPr>
          <w:spacing w:val="-22"/>
          <w:w w:val="110"/>
        </w:rPr>
        <w:t xml:space="preserve"> </w:t>
      </w:r>
      <w:r>
        <w:rPr>
          <w:w w:val="110"/>
        </w:rPr>
        <w:t>anger).</w:t>
      </w:r>
      <w:r>
        <w:rPr>
          <w:spacing w:val="-18"/>
          <w:w w:val="110"/>
        </w:rPr>
        <w:t xml:space="preserve"> </w:t>
      </w:r>
      <w:r>
        <w:rPr>
          <w:w w:val="110"/>
        </w:rPr>
        <w:t>Family</w:t>
      </w:r>
      <w:r>
        <w:rPr>
          <w:spacing w:val="-17"/>
          <w:w w:val="110"/>
        </w:rPr>
        <w:t xml:space="preserve"> </w:t>
      </w:r>
      <w:r>
        <w:rPr>
          <w:w w:val="110"/>
        </w:rPr>
        <w:t>members</w:t>
      </w:r>
      <w:r>
        <w:rPr>
          <w:spacing w:val="-13"/>
          <w:w w:val="110"/>
        </w:rPr>
        <w:t xml:space="preserve"> </w:t>
      </w:r>
      <w:r>
        <w:rPr>
          <w:w w:val="110"/>
        </w:rPr>
        <w:t>may</w:t>
      </w:r>
      <w:r>
        <w:rPr>
          <w:spacing w:val="-23"/>
          <w:w w:val="110"/>
        </w:rPr>
        <w:t xml:space="preserve"> </w:t>
      </w:r>
      <w:r>
        <w:rPr>
          <w:w w:val="110"/>
        </w:rPr>
        <w:t>find</w:t>
      </w:r>
      <w:r>
        <w:rPr>
          <w:spacing w:val="-18"/>
          <w:w w:val="110"/>
        </w:rPr>
        <w:t xml:space="preserve"> </w:t>
      </w:r>
      <w:r>
        <w:rPr>
          <w:w w:val="110"/>
        </w:rPr>
        <w:t>this</w:t>
      </w:r>
      <w:r>
        <w:rPr>
          <w:spacing w:val="-19"/>
          <w:w w:val="110"/>
        </w:rPr>
        <w:t xml:space="preserve"> </w:t>
      </w:r>
      <w:r>
        <w:rPr>
          <w:w w:val="110"/>
        </w:rPr>
        <w:t>behavior</w:t>
      </w:r>
      <w:r>
        <w:rPr>
          <w:spacing w:val="-20"/>
          <w:w w:val="110"/>
        </w:rPr>
        <w:t xml:space="preserve"> </w:t>
      </w:r>
      <w:r>
        <w:rPr>
          <w:w w:val="110"/>
        </w:rPr>
        <w:t>difficult to</w:t>
      </w:r>
      <w:r>
        <w:rPr>
          <w:spacing w:val="-30"/>
          <w:w w:val="110"/>
        </w:rPr>
        <w:t xml:space="preserve"> </w:t>
      </w:r>
      <w:r>
        <w:rPr>
          <w:w w:val="110"/>
        </w:rPr>
        <w:t>interpret</w:t>
      </w:r>
      <w:r>
        <w:rPr>
          <w:spacing w:val="-22"/>
          <w:w w:val="110"/>
        </w:rPr>
        <w:t xml:space="preserve"> </w:t>
      </w:r>
      <w:r>
        <w:rPr>
          <w:w w:val="110"/>
        </w:rPr>
        <w:t>and</w:t>
      </w:r>
      <w:r>
        <w:rPr>
          <w:spacing w:val="-23"/>
          <w:w w:val="110"/>
        </w:rPr>
        <w:t xml:space="preserve"> </w:t>
      </w:r>
      <w:r>
        <w:rPr>
          <w:w w:val="110"/>
        </w:rPr>
        <w:t>assume</w:t>
      </w:r>
      <w:r>
        <w:rPr>
          <w:spacing w:val="-20"/>
          <w:w w:val="110"/>
        </w:rPr>
        <w:t xml:space="preserve"> </w:t>
      </w:r>
      <w:r>
        <w:rPr>
          <w:w w:val="110"/>
        </w:rPr>
        <w:t>that</w:t>
      </w:r>
      <w:r>
        <w:rPr>
          <w:spacing w:val="-26"/>
          <w:w w:val="110"/>
        </w:rPr>
        <w:t xml:space="preserve"> </w:t>
      </w:r>
      <w:r>
        <w:rPr>
          <w:w w:val="110"/>
        </w:rPr>
        <w:t>the</w:t>
      </w:r>
      <w:r>
        <w:rPr>
          <w:spacing w:val="-24"/>
          <w:w w:val="110"/>
        </w:rPr>
        <w:t xml:space="preserve"> </w:t>
      </w:r>
      <w:r>
        <w:rPr>
          <w:w w:val="110"/>
        </w:rPr>
        <w:t>person</w:t>
      </w:r>
      <w:r>
        <w:rPr>
          <w:spacing w:val="-24"/>
          <w:w w:val="110"/>
        </w:rPr>
        <w:t xml:space="preserve"> </w:t>
      </w:r>
      <w:r>
        <w:rPr>
          <w:w w:val="110"/>
        </w:rPr>
        <w:t>is</w:t>
      </w:r>
      <w:r>
        <w:rPr>
          <w:spacing w:val="-31"/>
          <w:w w:val="110"/>
        </w:rPr>
        <w:t xml:space="preserve"> </w:t>
      </w:r>
      <w:r>
        <w:rPr>
          <w:w w:val="110"/>
        </w:rPr>
        <w:t>"going</w:t>
      </w:r>
      <w:r>
        <w:rPr>
          <w:spacing w:val="-23"/>
          <w:w w:val="110"/>
        </w:rPr>
        <w:t xml:space="preserve"> </w:t>
      </w:r>
      <w:r>
        <w:rPr>
          <w:w w:val="110"/>
        </w:rPr>
        <w:t>through</w:t>
      </w:r>
      <w:r>
        <w:rPr>
          <w:spacing w:val="-21"/>
          <w:w w:val="110"/>
        </w:rPr>
        <w:t xml:space="preserve"> </w:t>
      </w:r>
      <w:r>
        <w:rPr>
          <w:w w:val="110"/>
        </w:rPr>
        <w:t>a</w:t>
      </w:r>
      <w:r>
        <w:rPr>
          <w:spacing w:val="-25"/>
          <w:w w:val="110"/>
        </w:rPr>
        <w:t xml:space="preserve"> </w:t>
      </w:r>
      <w:r>
        <w:rPr>
          <w:w w:val="110"/>
        </w:rPr>
        <w:t>phase."</w:t>
      </w:r>
      <w:r>
        <w:rPr>
          <w:spacing w:val="-25"/>
          <w:w w:val="110"/>
        </w:rPr>
        <w:t xml:space="preserve"> </w:t>
      </w:r>
      <w:r>
        <w:rPr>
          <w:w w:val="110"/>
        </w:rPr>
        <w:t>Eventually,</w:t>
      </w:r>
      <w:r>
        <w:rPr>
          <w:spacing w:val="-14"/>
          <w:w w:val="110"/>
        </w:rPr>
        <w:t xml:space="preserve"> </w:t>
      </w:r>
      <w:r>
        <w:rPr>
          <w:w w:val="110"/>
        </w:rPr>
        <w:t>however, the</w:t>
      </w:r>
      <w:r>
        <w:rPr>
          <w:spacing w:val="-29"/>
          <w:w w:val="110"/>
        </w:rPr>
        <w:t xml:space="preserve"> </w:t>
      </w:r>
      <w:r>
        <w:rPr>
          <w:w w:val="110"/>
        </w:rPr>
        <w:t>appearance</w:t>
      </w:r>
      <w:r>
        <w:rPr>
          <w:spacing w:val="-17"/>
          <w:w w:val="110"/>
        </w:rPr>
        <w:t xml:space="preserve"> </w:t>
      </w:r>
      <w:r>
        <w:rPr>
          <w:w w:val="110"/>
        </w:rPr>
        <w:t>of</w:t>
      </w:r>
      <w:r>
        <w:rPr>
          <w:spacing w:val="-24"/>
          <w:w w:val="110"/>
        </w:rPr>
        <w:t xml:space="preserve"> </w:t>
      </w:r>
      <w:r>
        <w:rPr>
          <w:w w:val="110"/>
        </w:rPr>
        <w:t>some</w:t>
      </w:r>
      <w:r>
        <w:rPr>
          <w:spacing w:val="-27"/>
          <w:w w:val="110"/>
        </w:rPr>
        <w:t xml:space="preserve"> </w:t>
      </w:r>
      <w:r>
        <w:rPr>
          <w:w w:val="110"/>
        </w:rPr>
        <w:t>active-phase</w:t>
      </w:r>
      <w:r>
        <w:rPr>
          <w:spacing w:val="-20"/>
          <w:w w:val="110"/>
        </w:rPr>
        <w:t xml:space="preserve"> </w:t>
      </w:r>
      <w:r>
        <w:rPr>
          <w:w w:val="110"/>
        </w:rPr>
        <w:t>symptom</w:t>
      </w:r>
      <w:r>
        <w:rPr>
          <w:spacing w:val="-15"/>
          <w:w w:val="110"/>
        </w:rPr>
        <w:t xml:space="preserve"> </w:t>
      </w:r>
      <w:r>
        <w:rPr>
          <w:w w:val="110"/>
        </w:rPr>
        <w:t>marks</w:t>
      </w:r>
      <w:r>
        <w:rPr>
          <w:spacing w:val="-22"/>
          <w:w w:val="110"/>
        </w:rPr>
        <w:t xml:space="preserve"> </w:t>
      </w:r>
      <w:r>
        <w:rPr>
          <w:w w:val="110"/>
        </w:rPr>
        <w:t>the</w:t>
      </w:r>
      <w:r>
        <w:rPr>
          <w:spacing w:val="-26"/>
          <w:w w:val="110"/>
        </w:rPr>
        <w:t xml:space="preserve"> </w:t>
      </w:r>
      <w:r>
        <w:rPr>
          <w:w w:val="110"/>
        </w:rPr>
        <w:t>disturbance</w:t>
      </w:r>
      <w:r>
        <w:rPr>
          <w:spacing w:val="-19"/>
          <w:w w:val="110"/>
        </w:rPr>
        <w:t xml:space="preserve"> </w:t>
      </w:r>
      <w:r>
        <w:rPr>
          <w:w w:val="110"/>
        </w:rPr>
        <w:t>as</w:t>
      </w:r>
      <w:r>
        <w:rPr>
          <w:spacing w:val="-31"/>
          <w:w w:val="110"/>
        </w:rPr>
        <w:t xml:space="preserve"> </w:t>
      </w:r>
      <w:r>
        <w:rPr>
          <w:w w:val="110"/>
        </w:rPr>
        <w:t>Schizophrenia. The age at onset may have both pathophysiological and prognostic significance. Individuals</w:t>
      </w:r>
      <w:r>
        <w:rPr>
          <w:spacing w:val="-16"/>
          <w:w w:val="110"/>
        </w:rPr>
        <w:t xml:space="preserve"> </w:t>
      </w:r>
      <w:r>
        <w:rPr>
          <w:w w:val="110"/>
        </w:rPr>
        <w:t>with</w:t>
      </w:r>
      <w:r>
        <w:rPr>
          <w:spacing w:val="-16"/>
          <w:w w:val="110"/>
        </w:rPr>
        <w:t xml:space="preserve"> </w:t>
      </w:r>
      <w:r>
        <w:rPr>
          <w:w w:val="110"/>
        </w:rPr>
        <w:t>an</w:t>
      </w:r>
      <w:r>
        <w:rPr>
          <w:spacing w:val="-9"/>
          <w:w w:val="110"/>
        </w:rPr>
        <w:t xml:space="preserve"> </w:t>
      </w:r>
      <w:r>
        <w:rPr>
          <w:w w:val="110"/>
        </w:rPr>
        <w:t>early</w:t>
      </w:r>
      <w:r>
        <w:rPr>
          <w:spacing w:val="-21"/>
          <w:w w:val="110"/>
        </w:rPr>
        <w:t xml:space="preserve"> </w:t>
      </w:r>
      <w:r>
        <w:rPr>
          <w:w w:val="110"/>
        </w:rPr>
        <w:t>age</w:t>
      </w:r>
      <w:r>
        <w:rPr>
          <w:spacing w:val="-21"/>
          <w:w w:val="110"/>
        </w:rPr>
        <w:t xml:space="preserve"> </w:t>
      </w:r>
      <w:r>
        <w:rPr>
          <w:w w:val="110"/>
        </w:rPr>
        <w:t>at</w:t>
      </w:r>
      <w:r>
        <w:rPr>
          <w:spacing w:val="-19"/>
          <w:w w:val="110"/>
        </w:rPr>
        <w:t xml:space="preserve"> </w:t>
      </w:r>
      <w:r>
        <w:rPr>
          <w:w w:val="110"/>
        </w:rPr>
        <w:t>onset</w:t>
      </w:r>
      <w:r>
        <w:rPr>
          <w:spacing w:val="-15"/>
          <w:w w:val="110"/>
        </w:rPr>
        <w:t xml:space="preserve"> </w:t>
      </w:r>
      <w:r>
        <w:rPr>
          <w:w w:val="110"/>
        </w:rPr>
        <w:t>are</w:t>
      </w:r>
      <w:r>
        <w:rPr>
          <w:spacing w:val="-18"/>
          <w:w w:val="110"/>
        </w:rPr>
        <w:t xml:space="preserve"> </w:t>
      </w:r>
      <w:r>
        <w:rPr>
          <w:w w:val="110"/>
        </w:rPr>
        <w:t>more</w:t>
      </w:r>
      <w:r>
        <w:rPr>
          <w:spacing w:val="-18"/>
          <w:w w:val="110"/>
        </w:rPr>
        <w:t xml:space="preserve"> </w:t>
      </w:r>
      <w:r>
        <w:rPr>
          <w:w w:val="110"/>
        </w:rPr>
        <w:t>often</w:t>
      </w:r>
      <w:r>
        <w:rPr>
          <w:spacing w:val="-10"/>
          <w:w w:val="110"/>
        </w:rPr>
        <w:t xml:space="preserve"> </w:t>
      </w:r>
      <w:r>
        <w:rPr>
          <w:w w:val="110"/>
        </w:rPr>
        <w:t>male</w:t>
      </w:r>
      <w:r>
        <w:rPr>
          <w:spacing w:val="-16"/>
          <w:w w:val="110"/>
        </w:rPr>
        <w:t xml:space="preserve"> </w:t>
      </w:r>
      <w:r>
        <w:rPr>
          <w:w w:val="110"/>
        </w:rPr>
        <w:t>and</w:t>
      </w:r>
      <w:r>
        <w:rPr>
          <w:spacing w:val="-15"/>
          <w:w w:val="110"/>
        </w:rPr>
        <w:t xml:space="preserve"> </w:t>
      </w:r>
      <w:r>
        <w:rPr>
          <w:w w:val="110"/>
        </w:rPr>
        <w:t>have</w:t>
      </w:r>
      <w:r>
        <w:rPr>
          <w:spacing w:val="-21"/>
          <w:w w:val="110"/>
        </w:rPr>
        <w:t xml:space="preserve"> </w:t>
      </w:r>
      <w:r>
        <w:rPr>
          <w:w w:val="110"/>
        </w:rPr>
        <w:t>a</w:t>
      </w:r>
      <w:r>
        <w:rPr>
          <w:spacing w:val="-14"/>
          <w:w w:val="110"/>
        </w:rPr>
        <w:t xml:space="preserve"> </w:t>
      </w:r>
      <w:r>
        <w:rPr>
          <w:w w:val="110"/>
        </w:rPr>
        <w:t>poorer</w:t>
      </w:r>
      <w:r>
        <w:rPr>
          <w:spacing w:val="-14"/>
          <w:w w:val="110"/>
        </w:rPr>
        <w:t xml:space="preserve"> </w:t>
      </w:r>
      <w:r>
        <w:rPr>
          <w:w w:val="110"/>
        </w:rPr>
        <w:t>premorbid adjustment, lower educational achievement, more evidence of structural brain abnor­ malities, more prominent negative signs and symptoms, more evidence of cognitive impairment as assessed with neuropsychological testing, and a worse outcome. Con­ versely, individuals with a later onset are more often female, have less evidence of structural</w:t>
      </w:r>
      <w:r>
        <w:rPr>
          <w:spacing w:val="-9"/>
          <w:w w:val="110"/>
        </w:rPr>
        <w:t xml:space="preserve"> </w:t>
      </w:r>
      <w:r>
        <w:rPr>
          <w:w w:val="110"/>
        </w:rPr>
        <w:t>brain</w:t>
      </w:r>
      <w:r>
        <w:rPr>
          <w:spacing w:val="-16"/>
          <w:w w:val="110"/>
        </w:rPr>
        <w:t xml:space="preserve"> </w:t>
      </w:r>
      <w:r>
        <w:rPr>
          <w:w w:val="110"/>
        </w:rPr>
        <w:t>abnormalities</w:t>
      </w:r>
      <w:r>
        <w:rPr>
          <w:spacing w:val="-4"/>
          <w:w w:val="110"/>
        </w:rPr>
        <w:t xml:space="preserve"> </w:t>
      </w:r>
      <w:r>
        <w:rPr>
          <w:w w:val="110"/>
        </w:rPr>
        <w:t>or</w:t>
      </w:r>
      <w:r>
        <w:rPr>
          <w:spacing w:val="-16"/>
          <w:w w:val="110"/>
        </w:rPr>
        <w:t xml:space="preserve"> </w:t>
      </w:r>
      <w:r>
        <w:rPr>
          <w:w w:val="110"/>
        </w:rPr>
        <w:t>cognitive</w:t>
      </w:r>
      <w:r>
        <w:rPr>
          <w:spacing w:val="-11"/>
          <w:w w:val="110"/>
        </w:rPr>
        <w:t xml:space="preserve"> </w:t>
      </w:r>
      <w:r>
        <w:rPr>
          <w:w w:val="110"/>
        </w:rPr>
        <w:t>impairment,</w:t>
      </w:r>
      <w:r>
        <w:rPr>
          <w:spacing w:val="-7"/>
          <w:w w:val="110"/>
        </w:rPr>
        <w:t xml:space="preserve"> </w:t>
      </w:r>
      <w:r>
        <w:rPr>
          <w:w w:val="110"/>
        </w:rPr>
        <w:t>and</w:t>
      </w:r>
      <w:r>
        <w:rPr>
          <w:spacing w:val="-3"/>
          <w:w w:val="110"/>
        </w:rPr>
        <w:t xml:space="preserve"> </w:t>
      </w:r>
      <w:r>
        <w:rPr>
          <w:w w:val="110"/>
        </w:rPr>
        <w:t>display</w:t>
      </w:r>
      <w:r>
        <w:rPr>
          <w:spacing w:val="-12"/>
          <w:w w:val="110"/>
        </w:rPr>
        <w:t xml:space="preserve"> </w:t>
      </w:r>
      <w:r>
        <w:rPr>
          <w:w w:val="110"/>
        </w:rPr>
        <w:t>a</w:t>
      </w:r>
      <w:r>
        <w:rPr>
          <w:spacing w:val="-10"/>
          <w:w w:val="110"/>
        </w:rPr>
        <w:t xml:space="preserve"> </w:t>
      </w:r>
      <w:r>
        <w:rPr>
          <w:w w:val="110"/>
        </w:rPr>
        <w:t>better</w:t>
      </w:r>
      <w:r>
        <w:rPr>
          <w:spacing w:val="-15"/>
          <w:w w:val="110"/>
        </w:rPr>
        <w:t xml:space="preserve"> </w:t>
      </w:r>
      <w:r>
        <w:rPr>
          <w:w w:val="110"/>
        </w:rPr>
        <w:t>outcome.</w:t>
      </w:r>
    </w:p>
    <w:p w:rsidR="00E675F0" w:rsidRDefault="00E675F0" w:rsidP="00E675F0">
      <w:pPr>
        <w:pStyle w:val="BodyText"/>
        <w:spacing w:before="7" w:line="254" w:lineRule="auto"/>
        <w:ind w:left="123" w:right="116" w:firstLine="372"/>
        <w:jc w:val="both"/>
      </w:pPr>
      <w:r>
        <w:rPr>
          <w:w w:val="105"/>
        </w:rPr>
        <w:t>Most studies of course and outcome in Schizophrenia suggest that the course may  be variable, with some individuals displaying exacerbations and remissions, whereas others remain chronically ill. Because of variability in definition and ascertainment, an accurate summary of the long-term outcome of Schizophrenia is not possible. Complete remission (i.e., a return to full premorbid functioning) is probably not common in this disorder.</w:t>
      </w:r>
      <w:r>
        <w:rPr>
          <w:spacing w:val="-13"/>
          <w:w w:val="105"/>
        </w:rPr>
        <w:t xml:space="preserve"> </w:t>
      </w:r>
      <w:r>
        <w:rPr>
          <w:w w:val="105"/>
        </w:rPr>
        <w:t>Of</w:t>
      </w:r>
      <w:r>
        <w:rPr>
          <w:spacing w:val="-2"/>
          <w:w w:val="105"/>
        </w:rPr>
        <w:t xml:space="preserve"> </w:t>
      </w:r>
      <w:r>
        <w:rPr>
          <w:w w:val="105"/>
        </w:rPr>
        <w:t>those</w:t>
      </w:r>
      <w:r>
        <w:rPr>
          <w:spacing w:val="-9"/>
          <w:w w:val="105"/>
        </w:rPr>
        <w:t xml:space="preserve"> </w:t>
      </w:r>
      <w:r>
        <w:rPr>
          <w:w w:val="105"/>
        </w:rPr>
        <w:t>who</w:t>
      </w:r>
      <w:r>
        <w:rPr>
          <w:spacing w:val="-2"/>
          <w:w w:val="105"/>
        </w:rPr>
        <w:t xml:space="preserve"> </w:t>
      </w:r>
      <w:r>
        <w:rPr>
          <w:w w:val="105"/>
        </w:rPr>
        <w:t>remain</w:t>
      </w:r>
      <w:r>
        <w:rPr>
          <w:spacing w:val="-1"/>
          <w:w w:val="105"/>
        </w:rPr>
        <w:t xml:space="preserve"> </w:t>
      </w:r>
      <w:r>
        <w:rPr>
          <w:w w:val="105"/>
        </w:rPr>
        <w:t>ill,</w:t>
      </w:r>
      <w:r>
        <w:rPr>
          <w:spacing w:val="-12"/>
          <w:w w:val="105"/>
        </w:rPr>
        <w:t xml:space="preserve"> </w:t>
      </w:r>
      <w:r>
        <w:rPr>
          <w:w w:val="105"/>
        </w:rPr>
        <w:t>some</w:t>
      </w:r>
      <w:r>
        <w:rPr>
          <w:spacing w:val="-7"/>
          <w:w w:val="105"/>
        </w:rPr>
        <w:t xml:space="preserve"> </w:t>
      </w:r>
      <w:r>
        <w:rPr>
          <w:w w:val="105"/>
        </w:rPr>
        <w:t>appear</w:t>
      </w:r>
      <w:r>
        <w:rPr>
          <w:spacing w:val="-6"/>
          <w:w w:val="105"/>
        </w:rPr>
        <w:t xml:space="preserve"> </w:t>
      </w:r>
      <w:r>
        <w:rPr>
          <w:w w:val="105"/>
        </w:rPr>
        <w:t>to</w:t>
      </w:r>
      <w:r>
        <w:rPr>
          <w:spacing w:val="-8"/>
          <w:w w:val="105"/>
        </w:rPr>
        <w:t xml:space="preserve"> </w:t>
      </w:r>
      <w:r>
        <w:rPr>
          <w:w w:val="105"/>
        </w:rPr>
        <w:t>have</w:t>
      </w:r>
      <w:r>
        <w:rPr>
          <w:spacing w:val="-9"/>
          <w:w w:val="105"/>
        </w:rPr>
        <w:t xml:space="preserve"> </w:t>
      </w:r>
      <w:r>
        <w:rPr>
          <w:w w:val="105"/>
        </w:rPr>
        <w:t>a</w:t>
      </w:r>
      <w:r>
        <w:rPr>
          <w:spacing w:val="-11"/>
          <w:w w:val="105"/>
        </w:rPr>
        <w:t xml:space="preserve"> </w:t>
      </w:r>
      <w:r>
        <w:rPr>
          <w:w w:val="105"/>
        </w:rPr>
        <w:t>relatively</w:t>
      </w:r>
      <w:r>
        <w:rPr>
          <w:spacing w:val="-4"/>
          <w:w w:val="105"/>
        </w:rPr>
        <w:t xml:space="preserve"> </w:t>
      </w:r>
      <w:r>
        <w:rPr>
          <w:w w:val="105"/>
        </w:rPr>
        <w:t>stable</w:t>
      </w:r>
      <w:r>
        <w:rPr>
          <w:spacing w:val="-13"/>
          <w:w w:val="105"/>
        </w:rPr>
        <w:t xml:space="preserve"> </w:t>
      </w:r>
      <w:r>
        <w:rPr>
          <w:w w:val="105"/>
        </w:rPr>
        <w:t>course,</w:t>
      </w:r>
      <w:r>
        <w:rPr>
          <w:spacing w:val="-12"/>
          <w:w w:val="105"/>
        </w:rPr>
        <w:t xml:space="preserve"> </w:t>
      </w:r>
      <w:r>
        <w:rPr>
          <w:w w:val="105"/>
        </w:rPr>
        <w:t>whereas others</w:t>
      </w:r>
      <w:r>
        <w:rPr>
          <w:spacing w:val="-19"/>
          <w:w w:val="105"/>
        </w:rPr>
        <w:t xml:space="preserve"> </w:t>
      </w:r>
      <w:r>
        <w:rPr>
          <w:w w:val="105"/>
        </w:rPr>
        <w:t>show</w:t>
      </w:r>
      <w:r>
        <w:rPr>
          <w:spacing w:val="-16"/>
          <w:w w:val="105"/>
        </w:rPr>
        <w:t xml:space="preserve"> </w:t>
      </w:r>
      <w:r>
        <w:rPr>
          <w:w w:val="105"/>
        </w:rPr>
        <w:t>a</w:t>
      </w:r>
      <w:r>
        <w:rPr>
          <w:spacing w:val="-14"/>
          <w:w w:val="105"/>
        </w:rPr>
        <w:t xml:space="preserve"> </w:t>
      </w:r>
      <w:r>
        <w:rPr>
          <w:w w:val="105"/>
        </w:rPr>
        <w:t>progressive</w:t>
      </w:r>
      <w:r>
        <w:rPr>
          <w:spacing w:val="-6"/>
          <w:w w:val="105"/>
        </w:rPr>
        <w:t xml:space="preserve"> </w:t>
      </w:r>
      <w:r>
        <w:rPr>
          <w:w w:val="105"/>
        </w:rPr>
        <w:t>worsening</w:t>
      </w:r>
      <w:r>
        <w:rPr>
          <w:spacing w:val="-11"/>
          <w:w w:val="105"/>
        </w:rPr>
        <w:t xml:space="preserve"> </w:t>
      </w:r>
      <w:r>
        <w:rPr>
          <w:w w:val="105"/>
        </w:rPr>
        <w:t>associated</w:t>
      </w:r>
      <w:r>
        <w:rPr>
          <w:spacing w:val="-2"/>
          <w:w w:val="105"/>
        </w:rPr>
        <w:t xml:space="preserve"> </w:t>
      </w:r>
      <w:r>
        <w:rPr>
          <w:w w:val="105"/>
        </w:rPr>
        <w:t>with</w:t>
      </w:r>
      <w:r>
        <w:rPr>
          <w:spacing w:val="-25"/>
          <w:w w:val="105"/>
        </w:rPr>
        <w:t xml:space="preserve"> </w:t>
      </w:r>
      <w:r>
        <w:rPr>
          <w:w w:val="105"/>
        </w:rPr>
        <w:t>severe</w:t>
      </w:r>
      <w:r>
        <w:rPr>
          <w:spacing w:val="-16"/>
          <w:w w:val="105"/>
        </w:rPr>
        <w:t xml:space="preserve"> </w:t>
      </w:r>
      <w:r>
        <w:rPr>
          <w:w w:val="105"/>
        </w:rPr>
        <w:t>disability.</w:t>
      </w:r>
      <w:r>
        <w:rPr>
          <w:spacing w:val="-5"/>
          <w:w w:val="105"/>
        </w:rPr>
        <w:t xml:space="preserve"> </w:t>
      </w:r>
      <w:r>
        <w:rPr>
          <w:w w:val="105"/>
        </w:rPr>
        <w:t>Early</w:t>
      </w:r>
      <w:r>
        <w:rPr>
          <w:spacing w:val="-14"/>
          <w:w w:val="105"/>
        </w:rPr>
        <w:t xml:space="preserve"> </w:t>
      </w:r>
      <w:r>
        <w:rPr>
          <w:w w:val="105"/>
        </w:rPr>
        <w:t>in</w:t>
      </w:r>
      <w:r>
        <w:rPr>
          <w:spacing w:val="-20"/>
          <w:w w:val="105"/>
        </w:rPr>
        <w:t xml:space="preserve"> </w:t>
      </w:r>
      <w:r>
        <w:rPr>
          <w:w w:val="105"/>
        </w:rPr>
        <w:t>the</w:t>
      </w:r>
      <w:r>
        <w:rPr>
          <w:spacing w:val="-9"/>
          <w:w w:val="105"/>
        </w:rPr>
        <w:t xml:space="preserve"> </w:t>
      </w:r>
      <w:r>
        <w:rPr>
          <w:w w:val="105"/>
        </w:rPr>
        <w:t>illness, negative symptoms may be prominent, appearing primarily as prodromal features. Subsequently, positive symptoms appear. Because these positive symptoms are partic­ ularly responsive to treatment, they typically diminish, but in many individuals, negative symptoms persist between episodes of positive symptoms. There is some suggestion  that</w:t>
      </w:r>
      <w:r>
        <w:rPr>
          <w:spacing w:val="-7"/>
          <w:w w:val="105"/>
        </w:rPr>
        <w:t xml:space="preserve"> </w:t>
      </w:r>
      <w:r>
        <w:rPr>
          <w:w w:val="105"/>
        </w:rPr>
        <w:t>negative</w:t>
      </w:r>
      <w:r>
        <w:rPr>
          <w:spacing w:val="-6"/>
          <w:w w:val="105"/>
        </w:rPr>
        <w:t xml:space="preserve"> </w:t>
      </w:r>
      <w:r>
        <w:rPr>
          <w:w w:val="105"/>
        </w:rPr>
        <w:t>symptoms may</w:t>
      </w:r>
      <w:r>
        <w:rPr>
          <w:spacing w:val="-6"/>
          <w:w w:val="105"/>
        </w:rPr>
        <w:t xml:space="preserve"> </w:t>
      </w:r>
      <w:r>
        <w:rPr>
          <w:w w:val="105"/>
        </w:rPr>
        <w:t>become</w:t>
      </w:r>
      <w:r>
        <w:rPr>
          <w:spacing w:val="-17"/>
          <w:w w:val="105"/>
        </w:rPr>
        <w:t xml:space="preserve"> </w:t>
      </w:r>
      <w:r>
        <w:rPr>
          <w:w w:val="105"/>
        </w:rPr>
        <w:t>steadily</w:t>
      </w:r>
      <w:r>
        <w:rPr>
          <w:spacing w:val="-3"/>
          <w:w w:val="105"/>
        </w:rPr>
        <w:t xml:space="preserve"> </w:t>
      </w:r>
      <w:r>
        <w:rPr>
          <w:w w:val="105"/>
        </w:rPr>
        <w:t>more</w:t>
      </w:r>
      <w:r>
        <w:rPr>
          <w:spacing w:val="-2"/>
          <w:w w:val="105"/>
        </w:rPr>
        <w:t xml:space="preserve"> </w:t>
      </w:r>
      <w:r>
        <w:rPr>
          <w:w w:val="105"/>
        </w:rPr>
        <w:t>prominent</w:t>
      </w:r>
      <w:r>
        <w:rPr>
          <w:spacing w:val="-5"/>
          <w:w w:val="105"/>
        </w:rPr>
        <w:t xml:space="preserve"> </w:t>
      </w:r>
      <w:r>
        <w:rPr>
          <w:w w:val="105"/>
        </w:rPr>
        <w:t>in</w:t>
      </w:r>
      <w:r>
        <w:rPr>
          <w:spacing w:val="-16"/>
          <w:w w:val="105"/>
        </w:rPr>
        <w:t xml:space="preserve"> </w:t>
      </w:r>
      <w:r>
        <w:rPr>
          <w:w w:val="105"/>
        </w:rPr>
        <w:t>some</w:t>
      </w:r>
      <w:r>
        <w:rPr>
          <w:spacing w:val="-7"/>
          <w:w w:val="105"/>
        </w:rPr>
        <w:t xml:space="preserve"> </w:t>
      </w:r>
      <w:r>
        <w:rPr>
          <w:w w:val="105"/>
        </w:rPr>
        <w:t>individuals</w:t>
      </w:r>
      <w:r>
        <w:rPr>
          <w:spacing w:val="-3"/>
          <w:w w:val="105"/>
        </w:rPr>
        <w:t xml:space="preserve"> </w:t>
      </w:r>
      <w:r>
        <w:rPr>
          <w:w w:val="105"/>
        </w:rPr>
        <w:t>during</w:t>
      </w:r>
    </w:p>
    <w:p w:rsidR="00E675F0" w:rsidRDefault="00E675F0" w:rsidP="00E675F0">
      <w:pPr>
        <w:spacing w:line="254" w:lineRule="auto"/>
        <w:jc w:val="both"/>
        <w:sectPr w:rsidR="00E675F0">
          <w:pgSz w:w="8960" w:h="14260"/>
          <w:pgMar w:top="1400" w:right="600" w:bottom="280" w:left="620" w:header="704" w:footer="0" w:gutter="0"/>
          <w:cols w:space="720"/>
        </w:sectPr>
      </w:pPr>
    </w:p>
    <w:p w:rsidR="00E675F0" w:rsidRDefault="00E675F0" w:rsidP="00E675F0">
      <w:pPr>
        <w:pStyle w:val="BodyText"/>
        <w:spacing w:before="123" w:line="252" w:lineRule="auto"/>
        <w:ind w:left="119" w:right="107" w:firstLine="5"/>
        <w:jc w:val="both"/>
      </w:pPr>
      <w:r>
        <w:rPr>
          <w:w w:val="105"/>
        </w:rPr>
        <w:lastRenderedPageBreak/>
        <w:t>the course of the illness. Numerous studies have indicated a group of factors that are associated with a better prognosis. These include good premorbid adjustment, acute onset, later age at onset, being female, precipitating events, associated mood disturbance, brief duration of active-phase symptoms, good interepisode functioning, minimal residual symptoms, absence of structural brain abnormalities, normal neurological functioning, a family history of Mood Disorder, and no family history of</w:t>
      </w:r>
      <w:r>
        <w:rPr>
          <w:spacing w:val="-3"/>
          <w:w w:val="105"/>
        </w:rPr>
        <w:t xml:space="preserve"> </w:t>
      </w:r>
      <w:r>
        <w:rPr>
          <w:w w:val="105"/>
        </w:rPr>
        <w:t>Schizophrenia.</w:t>
      </w:r>
    </w:p>
    <w:p w:rsidR="00E675F0" w:rsidRDefault="00E675F0" w:rsidP="00E675F0">
      <w:pPr>
        <w:pStyle w:val="BodyText"/>
        <w:rPr>
          <w:sz w:val="22"/>
        </w:rPr>
      </w:pPr>
    </w:p>
    <w:p w:rsidR="00E675F0" w:rsidRDefault="00E675F0" w:rsidP="00E675F0">
      <w:pPr>
        <w:spacing w:before="169"/>
        <w:ind w:left="106"/>
        <w:jc w:val="both"/>
        <w:rPr>
          <w:rFonts w:ascii="TimesNewRomanPS-BoldItalicMT"/>
          <w:b/>
          <w:i/>
          <w:sz w:val="24"/>
        </w:rPr>
      </w:pPr>
      <w:r>
        <w:rPr>
          <w:rFonts w:ascii="TimesNewRomanPS-BoldItalicMT"/>
          <w:b/>
          <w:i/>
          <w:w w:val="115"/>
          <w:sz w:val="24"/>
        </w:rPr>
        <w:t>Familial Pattern</w:t>
      </w:r>
    </w:p>
    <w:p w:rsidR="00E675F0" w:rsidRDefault="00E675F0" w:rsidP="00E675F0">
      <w:pPr>
        <w:pStyle w:val="BodyText"/>
        <w:spacing w:before="155" w:line="254" w:lineRule="auto"/>
        <w:ind w:left="119" w:right="114" w:firstLine="1"/>
        <w:jc w:val="both"/>
      </w:pPr>
      <w:r>
        <w:rPr>
          <w:w w:val="105"/>
        </w:rPr>
        <w:t>The first-degree biological relatives of individuals with Schizophrenia have a risk for Schizophrenia that is about 10 times greater than that of the general population. Concordance rates for Schizophrenia are higher in monozygotic twins than in dizygotic twins. Adoption studies have shown that biological relatives of individuals with Schizophrenia have a substantially increased risk for Schizophrenia, whereas adoptive relatives have no increased risk. Although much evidence suggests the importance of genetic</w:t>
      </w:r>
      <w:r>
        <w:rPr>
          <w:spacing w:val="-14"/>
          <w:w w:val="105"/>
        </w:rPr>
        <w:t xml:space="preserve"> </w:t>
      </w:r>
      <w:r>
        <w:rPr>
          <w:w w:val="105"/>
        </w:rPr>
        <w:t>factors</w:t>
      </w:r>
      <w:r>
        <w:rPr>
          <w:spacing w:val="-5"/>
          <w:w w:val="105"/>
        </w:rPr>
        <w:t xml:space="preserve"> </w:t>
      </w:r>
      <w:r>
        <w:rPr>
          <w:w w:val="105"/>
        </w:rPr>
        <w:t>in</w:t>
      </w:r>
      <w:r>
        <w:rPr>
          <w:spacing w:val="-15"/>
          <w:w w:val="105"/>
        </w:rPr>
        <w:t xml:space="preserve"> </w:t>
      </w:r>
      <w:r>
        <w:rPr>
          <w:w w:val="105"/>
        </w:rPr>
        <w:t>the</w:t>
      </w:r>
      <w:r>
        <w:rPr>
          <w:spacing w:val="-18"/>
          <w:w w:val="105"/>
        </w:rPr>
        <w:t xml:space="preserve"> </w:t>
      </w:r>
      <w:r>
        <w:rPr>
          <w:w w:val="105"/>
        </w:rPr>
        <w:t>etiology</w:t>
      </w:r>
      <w:r>
        <w:rPr>
          <w:spacing w:val="-2"/>
          <w:w w:val="105"/>
        </w:rPr>
        <w:t xml:space="preserve"> </w:t>
      </w:r>
      <w:r>
        <w:rPr>
          <w:w w:val="105"/>
        </w:rPr>
        <w:t>of</w:t>
      </w:r>
      <w:r>
        <w:rPr>
          <w:spacing w:val="-13"/>
          <w:w w:val="105"/>
        </w:rPr>
        <w:t xml:space="preserve"> </w:t>
      </w:r>
      <w:r>
        <w:rPr>
          <w:w w:val="105"/>
        </w:rPr>
        <w:t>Schizophrenia,</w:t>
      </w:r>
      <w:r>
        <w:rPr>
          <w:spacing w:val="-17"/>
          <w:w w:val="105"/>
        </w:rPr>
        <w:t xml:space="preserve"> </w:t>
      </w:r>
      <w:r>
        <w:rPr>
          <w:w w:val="105"/>
        </w:rPr>
        <w:t>the</w:t>
      </w:r>
      <w:r>
        <w:rPr>
          <w:spacing w:val="-19"/>
          <w:w w:val="105"/>
        </w:rPr>
        <w:t xml:space="preserve"> </w:t>
      </w:r>
      <w:r>
        <w:rPr>
          <w:w w:val="105"/>
        </w:rPr>
        <w:t>existence</w:t>
      </w:r>
      <w:r>
        <w:rPr>
          <w:spacing w:val="-3"/>
          <w:w w:val="105"/>
        </w:rPr>
        <w:t xml:space="preserve"> </w:t>
      </w:r>
      <w:r>
        <w:rPr>
          <w:w w:val="105"/>
        </w:rPr>
        <w:t>of</w:t>
      </w:r>
      <w:r>
        <w:rPr>
          <w:spacing w:val="-10"/>
          <w:w w:val="105"/>
        </w:rPr>
        <w:t xml:space="preserve"> </w:t>
      </w:r>
      <w:r>
        <w:rPr>
          <w:w w:val="105"/>
        </w:rPr>
        <w:t>a</w:t>
      </w:r>
      <w:r>
        <w:rPr>
          <w:spacing w:val="-18"/>
          <w:w w:val="105"/>
        </w:rPr>
        <w:t xml:space="preserve"> </w:t>
      </w:r>
      <w:r>
        <w:rPr>
          <w:w w:val="105"/>
        </w:rPr>
        <w:t>substantial</w:t>
      </w:r>
      <w:r>
        <w:rPr>
          <w:spacing w:val="-5"/>
          <w:w w:val="105"/>
        </w:rPr>
        <w:t xml:space="preserve"> </w:t>
      </w:r>
      <w:r>
        <w:rPr>
          <w:w w:val="105"/>
        </w:rPr>
        <w:t>discordance rate in monozygotic twins also indicates the importance of environmental</w:t>
      </w:r>
      <w:r>
        <w:rPr>
          <w:spacing w:val="24"/>
          <w:w w:val="105"/>
        </w:rPr>
        <w:t xml:space="preserve"> </w:t>
      </w:r>
      <w:r>
        <w:rPr>
          <w:w w:val="105"/>
        </w:rPr>
        <w:t>factors.</w:t>
      </w:r>
    </w:p>
    <w:p w:rsidR="00E675F0" w:rsidRDefault="00E675F0" w:rsidP="00E675F0">
      <w:pPr>
        <w:pStyle w:val="BodyText"/>
        <w:rPr>
          <w:sz w:val="22"/>
        </w:rPr>
      </w:pPr>
    </w:p>
    <w:p w:rsidR="00E675F0" w:rsidRDefault="00E675F0" w:rsidP="00E675F0">
      <w:pPr>
        <w:spacing w:before="173"/>
        <w:ind w:left="116"/>
        <w:jc w:val="both"/>
        <w:rPr>
          <w:rFonts w:ascii="TimesNewRomanPS-BoldItalicMT"/>
          <w:b/>
          <w:i/>
          <w:sz w:val="24"/>
        </w:rPr>
      </w:pPr>
      <w:r>
        <w:rPr>
          <w:rFonts w:ascii="TimesNewRomanPS-BoldItalicMT"/>
          <w:b/>
          <w:i/>
          <w:w w:val="115"/>
          <w:sz w:val="24"/>
        </w:rPr>
        <w:t>Differential Diagnosis</w:t>
      </w:r>
    </w:p>
    <w:p w:rsidR="00E675F0" w:rsidRDefault="00E675F0" w:rsidP="00E675F0">
      <w:pPr>
        <w:pStyle w:val="BodyText"/>
        <w:spacing w:before="150" w:line="252" w:lineRule="auto"/>
        <w:ind w:left="123" w:right="103" w:firstLine="1"/>
        <w:jc w:val="right"/>
      </w:pPr>
      <w:r>
        <w:rPr>
          <w:w w:val="110"/>
        </w:rPr>
        <w:t>A wide variety of general medical conditions can present with</w:t>
      </w:r>
      <w:r>
        <w:rPr>
          <w:spacing w:val="34"/>
          <w:w w:val="110"/>
        </w:rPr>
        <w:t xml:space="preserve"> </w:t>
      </w:r>
      <w:r>
        <w:rPr>
          <w:w w:val="110"/>
        </w:rPr>
        <w:t>psychotic</w:t>
      </w:r>
      <w:r>
        <w:rPr>
          <w:spacing w:val="5"/>
          <w:w w:val="110"/>
        </w:rPr>
        <w:t xml:space="preserve"> </w:t>
      </w:r>
      <w:r>
        <w:rPr>
          <w:w w:val="110"/>
        </w:rPr>
        <w:t>symptoms.</w:t>
      </w:r>
      <w:r>
        <w:rPr>
          <w:spacing w:val="-1"/>
          <w:w w:val="104"/>
        </w:rPr>
        <w:t xml:space="preserve"> </w:t>
      </w:r>
      <w:r>
        <w:rPr>
          <w:b/>
          <w:w w:val="110"/>
        </w:rPr>
        <w:t xml:space="preserve">Psychotic Disorder Due </w:t>
      </w:r>
      <w:r>
        <w:rPr>
          <w:rFonts w:ascii="Arial"/>
          <w:b/>
          <w:w w:val="110"/>
          <w:sz w:val="17"/>
        </w:rPr>
        <w:t xml:space="preserve">to </w:t>
      </w:r>
      <w:r>
        <w:rPr>
          <w:b/>
          <w:w w:val="110"/>
        </w:rPr>
        <w:t>a General Medical Condition, delirium,</w:t>
      </w:r>
      <w:r>
        <w:rPr>
          <w:b/>
          <w:spacing w:val="41"/>
          <w:w w:val="110"/>
        </w:rPr>
        <w:t xml:space="preserve"> </w:t>
      </w:r>
      <w:r>
        <w:rPr>
          <w:rFonts w:ascii="Arial"/>
          <w:b/>
          <w:w w:val="110"/>
          <w:sz w:val="18"/>
        </w:rPr>
        <w:t>or</w:t>
      </w:r>
      <w:r>
        <w:rPr>
          <w:rFonts w:ascii="Arial"/>
          <w:b/>
          <w:spacing w:val="1"/>
          <w:w w:val="110"/>
          <w:sz w:val="18"/>
        </w:rPr>
        <w:t xml:space="preserve"> </w:t>
      </w:r>
      <w:r>
        <w:rPr>
          <w:b/>
          <w:w w:val="110"/>
        </w:rPr>
        <w:t>dementia</w:t>
      </w:r>
      <w:r>
        <w:rPr>
          <w:b/>
          <w:spacing w:val="-1"/>
          <w:w w:val="112"/>
        </w:rPr>
        <w:t xml:space="preserve"> </w:t>
      </w:r>
      <w:r>
        <w:rPr>
          <w:w w:val="110"/>
        </w:rPr>
        <w:t>is</w:t>
      </w:r>
      <w:r>
        <w:rPr>
          <w:spacing w:val="-45"/>
          <w:w w:val="110"/>
        </w:rPr>
        <w:t xml:space="preserve"> </w:t>
      </w:r>
      <w:r>
        <w:rPr>
          <w:w w:val="110"/>
        </w:rPr>
        <w:t>diagnosed</w:t>
      </w:r>
      <w:r>
        <w:rPr>
          <w:spacing w:val="-36"/>
          <w:w w:val="110"/>
        </w:rPr>
        <w:t xml:space="preserve"> </w:t>
      </w:r>
      <w:r>
        <w:rPr>
          <w:w w:val="110"/>
        </w:rPr>
        <w:t>when</w:t>
      </w:r>
      <w:r>
        <w:rPr>
          <w:spacing w:val="-40"/>
          <w:w w:val="110"/>
        </w:rPr>
        <w:t xml:space="preserve"> </w:t>
      </w:r>
      <w:r>
        <w:rPr>
          <w:w w:val="110"/>
        </w:rPr>
        <w:t>there</w:t>
      </w:r>
      <w:r>
        <w:rPr>
          <w:spacing w:val="-39"/>
          <w:w w:val="110"/>
        </w:rPr>
        <w:t xml:space="preserve"> </w:t>
      </w:r>
      <w:r>
        <w:rPr>
          <w:w w:val="110"/>
        </w:rPr>
        <w:t>is</w:t>
      </w:r>
      <w:r>
        <w:rPr>
          <w:spacing w:val="-43"/>
          <w:w w:val="110"/>
        </w:rPr>
        <w:t xml:space="preserve"> </w:t>
      </w:r>
      <w:r>
        <w:rPr>
          <w:w w:val="110"/>
        </w:rPr>
        <w:t>evidence</w:t>
      </w:r>
      <w:r>
        <w:rPr>
          <w:spacing w:val="-39"/>
          <w:w w:val="110"/>
        </w:rPr>
        <w:t xml:space="preserve"> </w:t>
      </w:r>
      <w:r>
        <w:rPr>
          <w:w w:val="110"/>
        </w:rPr>
        <w:t>from</w:t>
      </w:r>
      <w:r>
        <w:rPr>
          <w:spacing w:val="-37"/>
          <w:w w:val="110"/>
        </w:rPr>
        <w:t xml:space="preserve"> </w:t>
      </w:r>
      <w:r>
        <w:rPr>
          <w:w w:val="110"/>
        </w:rPr>
        <w:t>the</w:t>
      </w:r>
      <w:r>
        <w:rPr>
          <w:spacing w:val="-39"/>
          <w:w w:val="110"/>
        </w:rPr>
        <w:t xml:space="preserve"> </w:t>
      </w:r>
      <w:r>
        <w:rPr>
          <w:w w:val="110"/>
        </w:rPr>
        <w:t>history,</w:t>
      </w:r>
      <w:r>
        <w:rPr>
          <w:spacing w:val="-32"/>
          <w:w w:val="110"/>
        </w:rPr>
        <w:t xml:space="preserve"> </w:t>
      </w:r>
      <w:r>
        <w:rPr>
          <w:w w:val="110"/>
        </w:rPr>
        <w:t>physical</w:t>
      </w:r>
      <w:r>
        <w:rPr>
          <w:spacing w:val="-34"/>
          <w:w w:val="110"/>
        </w:rPr>
        <w:t xml:space="preserve"> </w:t>
      </w:r>
      <w:r>
        <w:rPr>
          <w:w w:val="110"/>
        </w:rPr>
        <w:t>examination,</w:t>
      </w:r>
      <w:r>
        <w:rPr>
          <w:spacing w:val="-31"/>
          <w:w w:val="110"/>
        </w:rPr>
        <w:t xml:space="preserve"> </w:t>
      </w:r>
      <w:r>
        <w:rPr>
          <w:w w:val="110"/>
        </w:rPr>
        <w:t>or</w:t>
      </w:r>
      <w:r>
        <w:rPr>
          <w:spacing w:val="-39"/>
          <w:w w:val="110"/>
        </w:rPr>
        <w:t xml:space="preserve"> </w:t>
      </w:r>
      <w:r>
        <w:rPr>
          <w:w w:val="110"/>
        </w:rPr>
        <w:t>laboratory</w:t>
      </w:r>
      <w:r>
        <w:rPr>
          <w:spacing w:val="-1"/>
          <w:w w:val="105"/>
        </w:rPr>
        <w:t xml:space="preserve"> </w:t>
      </w:r>
      <w:r>
        <w:rPr>
          <w:w w:val="110"/>
        </w:rPr>
        <w:t>tests that indicates that the delusions or hallucinations are</w:t>
      </w:r>
      <w:r>
        <w:rPr>
          <w:spacing w:val="-2"/>
          <w:w w:val="110"/>
        </w:rPr>
        <w:t xml:space="preserve"> </w:t>
      </w:r>
      <w:r>
        <w:rPr>
          <w:w w:val="110"/>
        </w:rPr>
        <w:t>the direct</w:t>
      </w:r>
      <w:r>
        <w:rPr>
          <w:spacing w:val="27"/>
          <w:w w:val="110"/>
        </w:rPr>
        <w:t xml:space="preserve"> </w:t>
      </w:r>
      <w:r>
        <w:rPr>
          <w:w w:val="110"/>
        </w:rPr>
        <w:t>physiological</w:t>
      </w:r>
      <w:r>
        <w:rPr>
          <w:w w:val="103"/>
        </w:rPr>
        <w:t xml:space="preserve"> </w:t>
      </w:r>
      <w:r>
        <w:rPr>
          <w:w w:val="110"/>
        </w:rPr>
        <w:t>consequence of a general medical condition (e.g., Cushing's syndrome,</w:t>
      </w:r>
      <w:r>
        <w:rPr>
          <w:spacing w:val="6"/>
          <w:w w:val="110"/>
        </w:rPr>
        <w:t xml:space="preserve"> </w:t>
      </w:r>
      <w:r>
        <w:rPr>
          <w:w w:val="110"/>
        </w:rPr>
        <w:t>brain</w:t>
      </w:r>
      <w:r>
        <w:rPr>
          <w:spacing w:val="-1"/>
          <w:w w:val="110"/>
        </w:rPr>
        <w:t xml:space="preserve"> </w:t>
      </w:r>
      <w:r>
        <w:rPr>
          <w:w w:val="110"/>
        </w:rPr>
        <w:t>tumor)</w:t>
      </w:r>
      <w:r>
        <w:rPr>
          <w:w w:val="106"/>
        </w:rPr>
        <w:t xml:space="preserve"> </w:t>
      </w:r>
      <w:r>
        <w:rPr>
          <w:w w:val="110"/>
        </w:rPr>
        <w:t>(see</w:t>
      </w:r>
      <w:r>
        <w:rPr>
          <w:spacing w:val="-20"/>
          <w:w w:val="110"/>
        </w:rPr>
        <w:t xml:space="preserve"> </w:t>
      </w:r>
      <w:r>
        <w:rPr>
          <w:w w:val="110"/>
        </w:rPr>
        <w:t>p.</w:t>
      </w:r>
      <w:r>
        <w:rPr>
          <w:spacing w:val="-25"/>
          <w:w w:val="110"/>
        </w:rPr>
        <w:t xml:space="preserve"> </w:t>
      </w:r>
      <w:r>
        <w:rPr>
          <w:w w:val="110"/>
        </w:rPr>
        <w:t>306).</w:t>
      </w:r>
      <w:r>
        <w:rPr>
          <w:spacing w:val="-24"/>
          <w:w w:val="110"/>
        </w:rPr>
        <w:t xml:space="preserve"> </w:t>
      </w:r>
      <w:r>
        <w:rPr>
          <w:b/>
          <w:w w:val="110"/>
        </w:rPr>
        <w:t>Substance-InducedPsychotic</w:t>
      </w:r>
      <w:r>
        <w:rPr>
          <w:b/>
          <w:spacing w:val="-23"/>
          <w:w w:val="110"/>
        </w:rPr>
        <w:t xml:space="preserve"> </w:t>
      </w:r>
      <w:r>
        <w:rPr>
          <w:b/>
          <w:w w:val="110"/>
        </w:rPr>
        <w:t>Disorder,</w:t>
      </w:r>
      <w:r>
        <w:rPr>
          <w:b/>
          <w:spacing w:val="-28"/>
          <w:w w:val="110"/>
        </w:rPr>
        <w:t xml:space="preserve"> </w:t>
      </w:r>
      <w:r>
        <w:rPr>
          <w:b/>
          <w:w w:val="110"/>
        </w:rPr>
        <w:t>Substance-InducedDelirium,</w:t>
      </w:r>
      <w:r>
        <w:rPr>
          <w:b/>
          <w:spacing w:val="-1"/>
          <w:w w:val="109"/>
        </w:rPr>
        <w:t xml:space="preserve"> </w:t>
      </w:r>
      <w:r>
        <w:rPr>
          <w:w w:val="110"/>
        </w:rPr>
        <w:t>and</w:t>
      </w:r>
      <w:r>
        <w:rPr>
          <w:spacing w:val="-10"/>
          <w:w w:val="110"/>
        </w:rPr>
        <w:t xml:space="preserve"> </w:t>
      </w:r>
      <w:r>
        <w:rPr>
          <w:b/>
          <w:w w:val="110"/>
        </w:rPr>
        <w:t>Substance-Induced</w:t>
      </w:r>
      <w:r>
        <w:rPr>
          <w:b/>
          <w:spacing w:val="-27"/>
          <w:w w:val="110"/>
        </w:rPr>
        <w:t xml:space="preserve"> </w:t>
      </w:r>
      <w:r>
        <w:rPr>
          <w:b/>
          <w:w w:val="110"/>
        </w:rPr>
        <w:t>Persisting</w:t>
      </w:r>
      <w:r>
        <w:rPr>
          <w:b/>
          <w:spacing w:val="-13"/>
          <w:w w:val="110"/>
        </w:rPr>
        <w:t xml:space="preserve"> </w:t>
      </w:r>
      <w:r>
        <w:rPr>
          <w:b/>
          <w:w w:val="110"/>
        </w:rPr>
        <w:t>Dementia</w:t>
      </w:r>
      <w:r>
        <w:rPr>
          <w:b/>
          <w:spacing w:val="-5"/>
          <w:w w:val="110"/>
        </w:rPr>
        <w:t xml:space="preserve"> </w:t>
      </w:r>
      <w:r>
        <w:rPr>
          <w:w w:val="110"/>
        </w:rPr>
        <w:t>are</w:t>
      </w:r>
      <w:r>
        <w:rPr>
          <w:spacing w:val="-8"/>
          <w:w w:val="110"/>
        </w:rPr>
        <w:t xml:space="preserve"> </w:t>
      </w:r>
      <w:r>
        <w:rPr>
          <w:w w:val="110"/>
        </w:rPr>
        <w:t>distinguished</w:t>
      </w:r>
      <w:r>
        <w:rPr>
          <w:spacing w:val="2"/>
          <w:w w:val="110"/>
        </w:rPr>
        <w:t xml:space="preserve"> </w:t>
      </w:r>
      <w:r>
        <w:rPr>
          <w:w w:val="110"/>
        </w:rPr>
        <w:t>from</w:t>
      </w:r>
      <w:r>
        <w:rPr>
          <w:spacing w:val="-10"/>
          <w:w w:val="110"/>
        </w:rPr>
        <w:t xml:space="preserve"> </w:t>
      </w:r>
      <w:r>
        <w:rPr>
          <w:w w:val="110"/>
        </w:rPr>
        <w:t>Schizophrenia</w:t>
      </w:r>
      <w:r>
        <w:rPr>
          <w:spacing w:val="-1"/>
          <w:w w:val="104"/>
        </w:rPr>
        <w:t xml:space="preserve"> </w:t>
      </w:r>
      <w:r>
        <w:rPr>
          <w:w w:val="110"/>
        </w:rPr>
        <w:t>by</w:t>
      </w:r>
      <w:r>
        <w:rPr>
          <w:spacing w:val="-15"/>
          <w:w w:val="110"/>
        </w:rPr>
        <w:t xml:space="preserve"> </w:t>
      </w:r>
      <w:r>
        <w:rPr>
          <w:w w:val="110"/>
        </w:rPr>
        <w:t>the</w:t>
      </w:r>
      <w:r>
        <w:rPr>
          <w:spacing w:val="-20"/>
          <w:w w:val="110"/>
        </w:rPr>
        <w:t xml:space="preserve"> </w:t>
      </w:r>
      <w:r>
        <w:rPr>
          <w:w w:val="110"/>
        </w:rPr>
        <w:t>fact</w:t>
      </w:r>
      <w:r>
        <w:rPr>
          <w:spacing w:val="-10"/>
          <w:w w:val="110"/>
        </w:rPr>
        <w:t xml:space="preserve"> </w:t>
      </w:r>
      <w:r>
        <w:rPr>
          <w:w w:val="110"/>
        </w:rPr>
        <w:t>that</w:t>
      </w:r>
      <w:r>
        <w:rPr>
          <w:spacing w:val="-15"/>
          <w:w w:val="110"/>
        </w:rPr>
        <w:t xml:space="preserve"> </w:t>
      </w:r>
      <w:r>
        <w:rPr>
          <w:w w:val="110"/>
        </w:rPr>
        <w:t>a</w:t>
      </w:r>
      <w:r>
        <w:rPr>
          <w:spacing w:val="-16"/>
          <w:w w:val="110"/>
        </w:rPr>
        <w:t xml:space="preserve"> </w:t>
      </w:r>
      <w:r>
        <w:rPr>
          <w:w w:val="110"/>
        </w:rPr>
        <w:t>substance</w:t>
      </w:r>
      <w:r>
        <w:rPr>
          <w:spacing w:val="-8"/>
          <w:w w:val="110"/>
        </w:rPr>
        <w:t xml:space="preserve"> </w:t>
      </w:r>
      <w:r>
        <w:rPr>
          <w:w w:val="110"/>
        </w:rPr>
        <w:t>(e.g.,</w:t>
      </w:r>
      <w:r>
        <w:rPr>
          <w:spacing w:val="-10"/>
          <w:w w:val="110"/>
        </w:rPr>
        <w:t xml:space="preserve"> </w:t>
      </w:r>
      <w:r>
        <w:rPr>
          <w:w w:val="110"/>
        </w:rPr>
        <w:t>a</w:t>
      </w:r>
      <w:r>
        <w:rPr>
          <w:spacing w:val="-16"/>
          <w:w w:val="110"/>
        </w:rPr>
        <w:t xml:space="preserve"> </w:t>
      </w:r>
      <w:r>
        <w:rPr>
          <w:w w:val="110"/>
        </w:rPr>
        <w:t>drug</w:t>
      </w:r>
      <w:r>
        <w:rPr>
          <w:spacing w:val="-20"/>
          <w:w w:val="110"/>
        </w:rPr>
        <w:t xml:space="preserve"> </w:t>
      </w:r>
      <w:r>
        <w:rPr>
          <w:w w:val="110"/>
        </w:rPr>
        <w:t>of</w:t>
      </w:r>
      <w:r>
        <w:rPr>
          <w:spacing w:val="-14"/>
          <w:w w:val="110"/>
        </w:rPr>
        <w:t xml:space="preserve"> </w:t>
      </w:r>
      <w:r>
        <w:rPr>
          <w:w w:val="110"/>
        </w:rPr>
        <w:t>abuse,</w:t>
      </w:r>
      <w:r>
        <w:rPr>
          <w:spacing w:val="-11"/>
          <w:w w:val="110"/>
        </w:rPr>
        <w:t xml:space="preserve"> </w:t>
      </w:r>
      <w:r>
        <w:rPr>
          <w:w w:val="110"/>
        </w:rPr>
        <w:t>a</w:t>
      </w:r>
      <w:r>
        <w:rPr>
          <w:spacing w:val="-9"/>
          <w:w w:val="110"/>
        </w:rPr>
        <w:t xml:space="preserve"> </w:t>
      </w:r>
      <w:r>
        <w:rPr>
          <w:w w:val="110"/>
        </w:rPr>
        <w:t>medication,</w:t>
      </w:r>
      <w:r>
        <w:rPr>
          <w:spacing w:val="-5"/>
          <w:w w:val="110"/>
        </w:rPr>
        <w:t xml:space="preserve"> </w:t>
      </w:r>
      <w:r>
        <w:rPr>
          <w:w w:val="110"/>
        </w:rPr>
        <w:t>or</w:t>
      </w:r>
      <w:r>
        <w:rPr>
          <w:spacing w:val="-14"/>
          <w:w w:val="110"/>
        </w:rPr>
        <w:t xml:space="preserve"> </w:t>
      </w:r>
      <w:r>
        <w:rPr>
          <w:w w:val="110"/>
        </w:rPr>
        <w:t>exposure</w:t>
      </w:r>
      <w:r>
        <w:rPr>
          <w:spacing w:val="-4"/>
          <w:w w:val="110"/>
        </w:rPr>
        <w:t xml:space="preserve"> </w:t>
      </w:r>
      <w:r>
        <w:rPr>
          <w:w w:val="110"/>
        </w:rPr>
        <w:t>to</w:t>
      </w:r>
      <w:r>
        <w:rPr>
          <w:spacing w:val="-17"/>
          <w:w w:val="110"/>
        </w:rPr>
        <w:t xml:space="preserve"> </w:t>
      </w:r>
      <w:r>
        <w:rPr>
          <w:w w:val="110"/>
        </w:rPr>
        <w:t>a</w:t>
      </w:r>
      <w:r>
        <w:rPr>
          <w:spacing w:val="-9"/>
          <w:w w:val="110"/>
        </w:rPr>
        <w:t xml:space="preserve"> </w:t>
      </w:r>
      <w:r>
        <w:rPr>
          <w:w w:val="110"/>
        </w:rPr>
        <w:t>toxin)</w:t>
      </w:r>
      <w:r>
        <w:rPr>
          <w:w w:val="105"/>
        </w:rPr>
        <w:t xml:space="preserve"> </w:t>
      </w:r>
      <w:r>
        <w:rPr>
          <w:w w:val="110"/>
        </w:rPr>
        <w:t>is</w:t>
      </w:r>
      <w:r>
        <w:rPr>
          <w:spacing w:val="-18"/>
          <w:w w:val="110"/>
        </w:rPr>
        <w:t xml:space="preserve"> </w:t>
      </w:r>
      <w:r>
        <w:rPr>
          <w:w w:val="110"/>
        </w:rPr>
        <w:t>judged</w:t>
      </w:r>
      <w:r>
        <w:rPr>
          <w:spacing w:val="-22"/>
          <w:w w:val="110"/>
        </w:rPr>
        <w:t xml:space="preserve"> </w:t>
      </w:r>
      <w:r>
        <w:rPr>
          <w:w w:val="110"/>
        </w:rPr>
        <w:t>to</w:t>
      </w:r>
      <w:r>
        <w:rPr>
          <w:spacing w:val="-26"/>
          <w:w w:val="110"/>
        </w:rPr>
        <w:t xml:space="preserve"> </w:t>
      </w:r>
      <w:r>
        <w:rPr>
          <w:w w:val="110"/>
        </w:rPr>
        <w:t>be</w:t>
      </w:r>
      <w:r>
        <w:rPr>
          <w:spacing w:val="-23"/>
          <w:w w:val="110"/>
        </w:rPr>
        <w:t xml:space="preserve"> </w:t>
      </w:r>
      <w:r>
        <w:rPr>
          <w:w w:val="110"/>
        </w:rPr>
        <w:t>etiologically</w:t>
      </w:r>
      <w:r>
        <w:rPr>
          <w:spacing w:val="-11"/>
          <w:w w:val="110"/>
        </w:rPr>
        <w:t xml:space="preserve"> </w:t>
      </w:r>
      <w:r>
        <w:rPr>
          <w:w w:val="110"/>
        </w:rPr>
        <w:t>related</w:t>
      </w:r>
      <w:r>
        <w:rPr>
          <w:spacing w:val="-19"/>
          <w:w w:val="110"/>
        </w:rPr>
        <w:t xml:space="preserve"> </w:t>
      </w:r>
      <w:r>
        <w:rPr>
          <w:w w:val="110"/>
        </w:rPr>
        <w:t>to</w:t>
      </w:r>
      <w:r>
        <w:rPr>
          <w:spacing w:val="-28"/>
          <w:w w:val="110"/>
        </w:rPr>
        <w:t xml:space="preserve"> </w:t>
      </w:r>
      <w:r>
        <w:rPr>
          <w:w w:val="110"/>
        </w:rPr>
        <w:t>the</w:t>
      </w:r>
      <w:r>
        <w:rPr>
          <w:spacing w:val="-27"/>
          <w:w w:val="110"/>
        </w:rPr>
        <w:t xml:space="preserve"> </w:t>
      </w:r>
      <w:r>
        <w:rPr>
          <w:w w:val="110"/>
        </w:rPr>
        <w:t>delusions</w:t>
      </w:r>
      <w:r>
        <w:rPr>
          <w:spacing w:val="-22"/>
          <w:w w:val="110"/>
        </w:rPr>
        <w:t xml:space="preserve"> </w:t>
      </w:r>
      <w:r>
        <w:rPr>
          <w:w w:val="110"/>
        </w:rPr>
        <w:t>or</w:t>
      </w:r>
      <w:r>
        <w:rPr>
          <w:spacing w:val="-22"/>
          <w:w w:val="110"/>
        </w:rPr>
        <w:t xml:space="preserve"> </w:t>
      </w:r>
      <w:r>
        <w:rPr>
          <w:w w:val="110"/>
        </w:rPr>
        <w:t>hallucinations</w:t>
      </w:r>
      <w:r>
        <w:rPr>
          <w:spacing w:val="-27"/>
          <w:w w:val="110"/>
        </w:rPr>
        <w:t xml:space="preserve"> </w:t>
      </w:r>
      <w:r>
        <w:rPr>
          <w:w w:val="110"/>
        </w:rPr>
        <w:t>(seep.</w:t>
      </w:r>
      <w:r>
        <w:rPr>
          <w:spacing w:val="-24"/>
          <w:w w:val="110"/>
        </w:rPr>
        <w:t xml:space="preserve"> </w:t>
      </w:r>
      <w:r>
        <w:rPr>
          <w:w w:val="110"/>
        </w:rPr>
        <w:t>310).</w:t>
      </w:r>
      <w:r>
        <w:rPr>
          <w:spacing w:val="-21"/>
          <w:w w:val="110"/>
        </w:rPr>
        <w:t xml:space="preserve"> </w:t>
      </w:r>
      <w:r>
        <w:rPr>
          <w:w w:val="110"/>
        </w:rPr>
        <w:t>Many</w:t>
      </w:r>
      <w:r>
        <w:rPr>
          <w:spacing w:val="-1"/>
          <w:w w:val="99"/>
        </w:rPr>
        <w:t xml:space="preserve"> </w:t>
      </w:r>
      <w:r>
        <w:rPr>
          <w:w w:val="110"/>
        </w:rPr>
        <w:t xml:space="preserve">different types of </w:t>
      </w:r>
      <w:r>
        <w:rPr>
          <w:b/>
          <w:w w:val="110"/>
        </w:rPr>
        <w:t xml:space="preserve">Substance-Related Disorders </w:t>
      </w:r>
      <w:r>
        <w:rPr>
          <w:w w:val="110"/>
        </w:rPr>
        <w:t>may produce symptoms</w:t>
      </w:r>
      <w:r>
        <w:rPr>
          <w:spacing w:val="23"/>
          <w:w w:val="110"/>
        </w:rPr>
        <w:t xml:space="preserve"> </w:t>
      </w:r>
      <w:r>
        <w:rPr>
          <w:w w:val="110"/>
        </w:rPr>
        <w:t>similar</w:t>
      </w:r>
      <w:r>
        <w:rPr>
          <w:spacing w:val="12"/>
          <w:w w:val="110"/>
        </w:rPr>
        <w:t xml:space="preserve"> </w:t>
      </w:r>
      <w:r>
        <w:rPr>
          <w:w w:val="110"/>
        </w:rPr>
        <w:t>to</w:t>
      </w:r>
      <w:r>
        <w:rPr>
          <w:spacing w:val="-1"/>
          <w:w w:val="106"/>
        </w:rPr>
        <w:t xml:space="preserve"> </w:t>
      </w:r>
      <w:r>
        <w:rPr>
          <w:w w:val="110"/>
        </w:rPr>
        <w:t>those of Schizophrenia (e.g., sustained amphetamine or cocaine use</w:t>
      </w:r>
      <w:r>
        <w:rPr>
          <w:spacing w:val="23"/>
          <w:w w:val="110"/>
        </w:rPr>
        <w:t xml:space="preserve"> </w:t>
      </w:r>
      <w:r>
        <w:rPr>
          <w:w w:val="110"/>
        </w:rPr>
        <w:t>may</w:t>
      </w:r>
      <w:r>
        <w:rPr>
          <w:spacing w:val="30"/>
          <w:w w:val="110"/>
        </w:rPr>
        <w:t xml:space="preserve"> </w:t>
      </w:r>
      <w:r>
        <w:rPr>
          <w:w w:val="110"/>
        </w:rPr>
        <w:t>produce</w:t>
      </w:r>
      <w:r>
        <w:rPr>
          <w:w w:val="108"/>
        </w:rPr>
        <w:t xml:space="preserve"> </w:t>
      </w:r>
      <w:r>
        <w:rPr>
          <w:w w:val="110"/>
        </w:rPr>
        <w:t>delusions</w:t>
      </w:r>
      <w:r>
        <w:rPr>
          <w:spacing w:val="-5"/>
          <w:w w:val="110"/>
        </w:rPr>
        <w:t xml:space="preserve"> </w:t>
      </w:r>
      <w:r>
        <w:rPr>
          <w:w w:val="110"/>
        </w:rPr>
        <w:t>or</w:t>
      </w:r>
      <w:r>
        <w:rPr>
          <w:spacing w:val="-6"/>
          <w:w w:val="110"/>
        </w:rPr>
        <w:t xml:space="preserve"> </w:t>
      </w:r>
      <w:r>
        <w:rPr>
          <w:w w:val="110"/>
        </w:rPr>
        <w:t>hallucinations;</w:t>
      </w:r>
      <w:r>
        <w:rPr>
          <w:spacing w:val="-4"/>
          <w:w w:val="110"/>
        </w:rPr>
        <w:t xml:space="preserve"> </w:t>
      </w:r>
      <w:r>
        <w:rPr>
          <w:w w:val="110"/>
        </w:rPr>
        <w:t>phencyclidine</w:t>
      </w:r>
      <w:r>
        <w:rPr>
          <w:spacing w:val="1"/>
          <w:w w:val="110"/>
        </w:rPr>
        <w:t xml:space="preserve"> </w:t>
      </w:r>
      <w:r>
        <w:rPr>
          <w:w w:val="110"/>
        </w:rPr>
        <w:t>use</w:t>
      </w:r>
      <w:r>
        <w:rPr>
          <w:spacing w:val="-9"/>
          <w:w w:val="110"/>
        </w:rPr>
        <w:t xml:space="preserve"> </w:t>
      </w:r>
      <w:r>
        <w:rPr>
          <w:w w:val="110"/>
        </w:rPr>
        <w:t>may</w:t>
      </w:r>
      <w:r>
        <w:rPr>
          <w:spacing w:val="-5"/>
          <w:w w:val="110"/>
        </w:rPr>
        <w:t xml:space="preserve"> </w:t>
      </w:r>
      <w:r>
        <w:rPr>
          <w:w w:val="110"/>
        </w:rPr>
        <w:t>produce</w:t>
      </w:r>
      <w:r>
        <w:rPr>
          <w:spacing w:val="-5"/>
          <w:w w:val="110"/>
        </w:rPr>
        <w:t xml:space="preserve"> </w:t>
      </w:r>
      <w:r>
        <w:rPr>
          <w:w w:val="110"/>
        </w:rPr>
        <w:t>a</w:t>
      </w:r>
      <w:r>
        <w:rPr>
          <w:spacing w:val="-10"/>
          <w:w w:val="110"/>
        </w:rPr>
        <w:t xml:space="preserve"> </w:t>
      </w:r>
      <w:r>
        <w:rPr>
          <w:w w:val="110"/>
        </w:rPr>
        <w:t>mixture</w:t>
      </w:r>
      <w:r>
        <w:rPr>
          <w:spacing w:val="-2"/>
          <w:w w:val="110"/>
        </w:rPr>
        <w:t xml:space="preserve"> </w:t>
      </w:r>
      <w:r>
        <w:rPr>
          <w:w w:val="110"/>
        </w:rPr>
        <w:t>of</w:t>
      </w:r>
      <w:r>
        <w:rPr>
          <w:spacing w:val="-2"/>
          <w:w w:val="110"/>
        </w:rPr>
        <w:t xml:space="preserve"> </w:t>
      </w:r>
      <w:r>
        <w:rPr>
          <w:w w:val="110"/>
        </w:rPr>
        <w:t>positive</w:t>
      </w:r>
      <w:r>
        <w:rPr>
          <w:spacing w:val="-9"/>
          <w:w w:val="110"/>
        </w:rPr>
        <w:t xml:space="preserve"> </w:t>
      </w:r>
      <w:r>
        <w:rPr>
          <w:w w:val="110"/>
        </w:rPr>
        <w:t>and</w:t>
      </w:r>
      <w:r>
        <w:rPr>
          <w:spacing w:val="-1"/>
          <w:w w:val="109"/>
        </w:rPr>
        <w:t xml:space="preserve"> </w:t>
      </w:r>
      <w:r>
        <w:rPr>
          <w:w w:val="110"/>
        </w:rPr>
        <w:t>negative symptoms). Based on a variety of features that characterize</w:t>
      </w:r>
      <w:r>
        <w:rPr>
          <w:spacing w:val="-15"/>
          <w:w w:val="110"/>
        </w:rPr>
        <w:t xml:space="preserve"> </w:t>
      </w:r>
      <w:r>
        <w:rPr>
          <w:w w:val="110"/>
        </w:rPr>
        <w:t>the course</w:t>
      </w:r>
      <w:r>
        <w:rPr>
          <w:spacing w:val="19"/>
          <w:w w:val="110"/>
        </w:rPr>
        <w:t xml:space="preserve"> </w:t>
      </w:r>
      <w:r>
        <w:rPr>
          <w:w w:val="110"/>
        </w:rPr>
        <w:t>of</w:t>
      </w:r>
      <w:r>
        <w:rPr>
          <w:w w:val="99"/>
        </w:rPr>
        <w:t xml:space="preserve"> </w:t>
      </w:r>
      <w:r>
        <w:rPr>
          <w:w w:val="110"/>
        </w:rPr>
        <w:t>Schizophrenia</w:t>
      </w:r>
      <w:r>
        <w:rPr>
          <w:spacing w:val="-19"/>
          <w:w w:val="110"/>
        </w:rPr>
        <w:t xml:space="preserve"> </w:t>
      </w:r>
      <w:r>
        <w:rPr>
          <w:w w:val="110"/>
        </w:rPr>
        <w:t>and</w:t>
      </w:r>
      <w:r>
        <w:rPr>
          <w:spacing w:val="-28"/>
          <w:w w:val="110"/>
        </w:rPr>
        <w:t xml:space="preserve"> </w:t>
      </w:r>
      <w:r>
        <w:rPr>
          <w:w w:val="110"/>
        </w:rPr>
        <w:t>Substance-Related</w:t>
      </w:r>
      <w:r>
        <w:rPr>
          <w:spacing w:val="-26"/>
          <w:w w:val="110"/>
        </w:rPr>
        <w:t xml:space="preserve"> </w:t>
      </w:r>
      <w:r>
        <w:rPr>
          <w:w w:val="110"/>
        </w:rPr>
        <w:t>Disorders,</w:t>
      </w:r>
      <w:r>
        <w:rPr>
          <w:spacing w:val="-20"/>
          <w:w w:val="110"/>
        </w:rPr>
        <w:t xml:space="preserve"> </w:t>
      </w:r>
      <w:r>
        <w:rPr>
          <w:w w:val="110"/>
        </w:rPr>
        <w:t>the</w:t>
      </w:r>
      <w:r>
        <w:rPr>
          <w:spacing w:val="-29"/>
          <w:w w:val="110"/>
        </w:rPr>
        <w:t xml:space="preserve"> </w:t>
      </w:r>
      <w:r>
        <w:rPr>
          <w:w w:val="110"/>
        </w:rPr>
        <w:t>clinician</w:t>
      </w:r>
      <w:r>
        <w:rPr>
          <w:spacing w:val="-21"/>
          <w:w w:val="110"/>
        </w:rPr>
        <w:t xml:space="preserve"> </w:t>
      </w:r>
      <w:r>
        <w:rPr>
          <w:w w:val="110"/>
        </w:rPr>
        <w:t>must</w:t>
      </w:r>
      <w:r>
        <w:rPr>
          <w:spacing w:val="-26"/>
          <w:w w:val="110"/>
        </w:rPr>
        <w:t xml:space="preserve"> </w:t>
      </w:r>
      <w:r>
        <w:rPr>
          <w:w w:val="110"/>
        </w:rPr>
        <w:t>determine</w:t>
      </w:r>
      <w:r>
        <w:rPr>
          <w:spacing w:val="-22"/>
          <w:w w:val="110"/>
        </w:rPr>
        <w:t xml:space="preserve"> </w:t>
      </w:r>
      <w:r>
        <w:rPr>
          <w:w w:val="110"/>
        </w:rPr>
        <w:t>whether</w:t>
      </w:r>
      <w:r>
        <w:rPr>
          <w:spacing w:val="-1"/>
          <w:w w:val="108"/>
        </w:rPr>
        <w:t xml:space="preserve"> </w:t>
      </w:r>
      <w:r>
        <w:rPr>
          <w:w w:val="110"/>
        </w:rPr>
        <w:t>the psychotic symptoms have been initiated and maintained by the</w:t>
      </w:r>
      <w:r>
        <w:rPr>
          <w:spacing w:val="30"/>
          <w:w w:val="110"/>
        </w:rPr>
        <w:t xml:space="preserve"> </w:t>
      </w:r>
      <w:r>
        <w:rPr>
          <w:w w:val="110"/>
        </w:rPr>
        <w:t>substance</w:t>
      </w:r>
      <w:r>
        <w:rPr>
          <w:spacing w:val="27"/>
          <w:w w:val="110"/>
        </w:rPr>
        <w:t xml:space="preserve"> </w:t>
      </w:r>
      <w:r>
        <w:rPr>
          <w:w w:val="110"/>
        </w:rPr>
        <w:t>use.</w:t>
      </w:r>
      <w:r>
        <w:rPr>
          <w:w w:val="108"/>
        </w:rPr>
        <w:t xml:space="preserve"> </w:t>
      </w:r>
      <w:r>
        <w:rPr>
          <w:w w:val="110"/>
        </w:rPr>
        <w:t>Ideally,</w:t>
      </w:r>
      <w:r>
        <w:rPr>
          <w:spacing w:val="-15"/>
          <w:w w:val="110"/>
        </w:rPr>
        <w:t xml:space="preserve"> </w:t>
      </w:r>
      <w:r>
        <w:rPr>
          <w:w w:val="110"/>
        </w:rPr>
        <w:t>the</w:t>
      </w:r>
      <w:r>
        <w:rPr>
          <w:spacing w:val="-23"/>
          <w:w w:val="110"/>
        </w:rPr>
        <w:t xml:space="preserve"> </w:t>
      </w:r>
      <w:r>
        <w:rPr>
          <w:w w:val="110"/>
        </w:rPr>
        <w:t>clinician</w:t>
      </w:r>
      <w:r>
        <w:rPr>
          <w:spacing w:val="-21"/>
          <w:w w:val="110"/>
        </w:rPr>
        <w:t xml:space="preserve"> </w:t>
      </w:r>
      <w:r>
        <w:rPr>
          <w:w w:val="110"/>
        </w:rPr>
        <w:t>should</w:t>
      </w:r>
      <w:r>
        <w:rPr>
          <w:spacing w:val="-18"/>
          <w:w w:val="110"/>
        </w:rPr>
        <w:t xml:space="preserve"> </w:t>
      </w:r>
      <w:r>
        <w:rPr>
          <w:w w:val="110"/>
        </w:rPr>
        <w:t>attempt</w:t>
      </w:r>
      <w:r>
        <w:rPr>
          <w:spacing w:val="-19"/>
          <w:w w:val="110"/>
        </w:rPr>
        <w:t xml:space="preserve"> </w:t>
      </w:r>
      <w:r>
        <w:rPr>
          <w:w w:val="110"/>
        </w:rPr>
        <w:t>to</w:t>
      </w:r>
      <w:r>
        <w:rPr>
          <w:spacing w:val="-27"/>
          <w:w w:val="110"/>
        </w:rPr>
        <w:t xml:space="preserve"> </w:t>
      </w:r>
      <w:r>
        <w:rPr>
          <w:w w:val="110"/>
        </w:rPr>
        <w:t>observe</w:t>
      </w:r>
      <w:r>
        <w:rPr>
          <w:spacing w:val="-17"/>
          <w:w w:val="110"/>
        </w:rPr>
        <w:t xml:space="preserve"> </w:t>
      </w:r>
      <w:r>
        <w:rPr>
          <w:w w:val="110"/>
        </w:rPr>
        <w:t>the</w:t>
      </w:r>
      <w:r>
        <w:rPr>
          <w:spacing w:val="-23"/>
          <w:w w:val="110"/>
        </w:rPr>
        <w:t xml:space="preserve"> </w:t>
      </w:r>
      <w:r>
        <w:rPr>
          <w:w w:val="110"/>
        </w:rPr>
        <w:t>individual</w:t>
      </w:r>
      <w:r>
        <w:rPr>
          <w:spacing w:val="-19"/>
          <w:w w:val="110"/>
        </w:rPr>
        <w:t xml:space="preserve"> </w:t>
      </w:r>
      <w:r>
        <w:rPr>
          <w:w w:val="110"/>
        </w:rPr>
        <w:t>during</w:t>
      </w:r>
      <w:r>
        <w:rPr>
          <w:spacing w:val="-25"/>
          <w:w w:val="110"/>
        </w:rPr>
        <w:t xml:space="preserve"> </w:t>
      </w:r>
      <w:r>
        <w:rPr>
          <w:w w:val="110"/>
        </w:rPr>
        <w:t>a</w:t>
      </w:r>
      <w:r>
        <w:rPr>
          <w:spacing w:val="-23"/>
          <w:w w:val="110"/>
        </w:rPr>
        <w:t xml:space="preserve"> </w:t>
      </w:r>
      <w:r>
        <w:rPr>
          <w:w w:val="110"/>
        </w:rPr>
        <w:t>sustained</w:t>
      </w:r>
      <w:r>
        <w:rPr>
          <w:spacing w:val="-9"/>
          <w:w w:val="110"/>
        </w:rPr>
        <w:t xml:space="preserve"> </w:t>
      </w:r>
      <w:r>
        <w:rPr>
          <w:w w:val="110"/>
        </w:rPr>
        <w:t>period</w:t>
      </w:r>
      <w:r>
        <w:rPr>
          <w:w w:val="107"/>
        </w:rPr>
        <w:t xml:space="preserve"> </w:t>
      </w:r>
      <w:r>
        <w:rPr>
          <w:w w:val="110"/>
        </w:rPr>
        <w:t>(e.g.,</w:t>
      </w:r>
      <w:r>
        <w:rPr>
          <w:spacing w:val="-12"/>
          <w:w w:val="110"/>
        </w:rPr>
        <w:t xml:space="preserve"> </w:t>
      </w:r>
      <w:r>
        <w:rPr>
          <w:w w:val="110"/>
        </w:rPr>
        <w:t>4</w:t>
      </w:r>
      <w:r>
        <w:rPr>
          <w:spacing w:val="-25"/>
          <w:w w:val="110"/>
        </w:rPr>
        <w:t xml:space="preserve"> </w:t>
      </w:r>
      <w:r>
        <w:rPr>
          <w:w w:val="110"/>
        </w:rPr>
        <w:t>weeks)</w:t>
      </w:r>
      <w:r>
        <w:rPr>
          <w:spacing w:val="-12"/>
          <w:w w:val="110"/>
        </w:rPr>
        <w:t xml:space="preserve"> </w:t>
      </w:r>
      <w:r>
        <w:rPr>
          <w:w w:val="110"/>
        </w:rPr>
        <w:t>of</w:t>
      </w:r>
      <w:r>
        <w:rPr>
          <w:spacing w:val="-12"/>
          <w:w w:val="110"/>
        </w:rPr>
        <w:t xml:space="preserve"> </w:t>
      </w:r>
      <w:r>
        <w:rPr>
          <w:w w:val="110"/>
        </w:rPr>
        <w:t>abstinence.</w:t>
      </w:r>
      <w:r>
        <w:rPr>
          <w:spacing w:val="-7"/>
          <w:w w:val="110"/>
        </w:rPr>
        <w:t xml:space="preserve"> </w:t>
      </w:r>
      <w:r>
        <w:rPr>
          <w:w w:val="110"/>
        </w:rPr>
        <w:t>However,</w:t>
      </w:r>
      <w:r>
        <w:rPr>
          <w:spacing w:val="-9"/>
          <w:w w:val="110"/>
        </w:rPr>
        <w:t xml:space="preserve"> </w:t>
      </w:r>
      <w:r>
        <w:rPr>
          <w:w w:val="110"/>
        </w:rPr>
        <w:t>because</w:t>
      </w:r>
      <w:r>
        <w:rPr>
          <w:spacing w:val="-16"/>
          <w:w w:val="110"/>
        </w:rPr>
        <w:t xml:space="preserve"> </w:t>
      </w:r>
      <w:r>
        <w:rPr>
          <w:w w:val="110"/>
        </w:rPr>
        <w:t>such</w:t>
      </w:r>
      <w:r>
        <w:rPr>
          <w:spacing w:val="-13"/>
          <w:w w:val="110"/>
        </w:rPr>
        <w:t xml:space="preserve"> </w:t>
      </w:r>
      <w:r>
        <w:rPr>
          <w:w w:val="110"/>
        </w:rPr>
        <w:t>prolonged</w:t>
      </w:r>
      <w:r>
        <w:rPr>
          <w:spacing w:val="-1"/>
          <w:w w:val="110"/>
        </w:rPr>
        <w:t xml:space="preserve"> </w:t>
      </w:r>
      <w:r>
        <w:rPr>
          <w:w w:val="110"/>
        </w:rPr>
        <w:t>periods</w:t>
      </w:r>
      <w:r>
        <w:rPr>
          <w:spacing w:val="-16"/>
          <w:w w:val="110"/>
        </w:rPr>
        <w:t xml:space="preserve"> </w:t>
      </w:r>
      <w:r>
        <w:rPr>
          <w:w w:val="110"/>
        </w:rPr>
        <w:t>of</w:t>
      </w:r>
      <w:r>
        <w:rPr>
          <w:spacing w:val="-11"/>
          <w:w w:val="110"/>
        </w:rPr>
        <w:t xml:space="preserve"> </w:t>
      </w:r>
      <w:r>
        <w:rPr>
          <w:w w:val="110"/>
        </w:rPr>
        <w:t>abstinence</w:t>
      </w:r>
      <w:r>
        <w:rPr>
          <w:spacing w:val="-1"/>
          <w:w w:val="107"/>
        </w:rPr>
        <w:t xml:space="preserve"> </w:t>
      </w:r>
      <w:r>
        <w:rPr>
          <w:w w:val="110"/>
        </w:rPr>
        <w:t>are</w:t>
      </w:r>
      <w:r>
        <w:rPr>
          <w:spacing w:val="-4"/>
          <w:w w:val="110"/>
        </w:rPr>
        <w:t xml:space="preserve"> </w:t>
      </w:r>
      <w:r>
        <w:rPr>
          <w:w w:val="110"/>
        </w:rPr>
        <w:t>often</w:t>
      </w:r>
      <w:r>
        <w:rPr>
          <w:spacing w:val="-6"/>
          <w:w w:val="110"/>
        </w:rPr>
        <w:t xml:space="preserve"> </w:t>
      </w:r>
      <w:r>
        <w:rPr>
          <w:w w:val="110"/>
        </w:rPr>
        <w:t>difficult</w:t>
      </w:r>
      <w:r>
        <w:rPr>
          <w:spacing w:val="3"/>
          <w:w w:val="110"/>
        </w:rPr>
        <w:t xml:space="preserve"> </w:t>
      </w:r>
      <w:r>
        <w:rPr>
          <w:w w:val="110"/>
        </w:rPr>
        <w:t>to</w:t>
      </w:r>
      <w:r>
        <w:rPr>
          <w:spacing w:val="-9"/>
          <w:w w:val="110"/>
        </w:rPr>
        <w:t xml:space="preserve"> </w:t>
      </w:r>
      <w:r>
        <w:rPr>
          <w:w w:val="110"/>
        </w:rPr>
        <w:t>achieve,</w:t>
      </w:r>
      <w:r>
        <w:rPr>
          <w:spacing w:val="1"/>
          <w:w w:val="110"/>
        </w:rPr>
        <w:t xml:space="preserve"> </w:t>
      </w:r>
      <w:r>
        <w:rPr>
          <w:w w:val="110"/>
        </w:rPr>
        <w:t>the</w:t>
      </w:r>
      <w:r>
        <w:rPr>
          <w:spacing w:val="-6"/>
          <w:w w:val="110"/>
        </w:rPr>
        <w:t xml:space="preserve"> </w:t>
      </w:r>
      <w:r>
        <w:rPr>
          <w:w w:val="110"/>
        </w:rPr>
        <w:t>clinician</w:t>
      </w:r>
      <w:r>
        <w:rPr>
          <w:spacing w:val="4"/>
          <w:w w:val="110"/>
        </w:rPr>
        <w:t xml:space="preserve"> </w:t>
      </w:r>
      <w:r>
        <w:rPr>
          <w:w w:val="110"/>
        </w:rPr>
        <w:t>may</w:t>
      </w:r>
      <w:r>
        <w:rPr>
          <w:spacing w:val="-4"/>
          <w:w w:val="110"/>
        </w:rPr>
        <w:t xml:space="preserve"> </w:t>
      </w:r>
      <w:r>
        <w:rPr>
          <w:w w:val="110"/>
        </w:rPr>
        <w:t>need</w:t>
      </w:r>
      <w:r>
        <w:rPr>
          <w:spacing w:val="1"/>
          <w:w w:val="110"/>
        </w:rPr>
        <w:t xml:space="preserve"> </w:t>
      </w:r>
      <w:r>
        <w:rPr>
          <w:w w:val="110"/>
        </w:rPr>
        <w:t>to</w:t>
      </w:r>
      <w:r>
        <w:rPr>
          <w:spacing w:val="-9"/>
          <w:w w:val="110"/>
        </w:rPr>
        <w:t xml:space="preserve"> </w:t>
      </w:r>
      <w:r>
        <w:rPr>
          <w:w w:val="110"/>
        </w:rPr>
        <w:t>consider</w:t>
      </w:r>
      <w:r>
        <w:rPr>
          <w:spacing w:val="-6"/>
          <w:w w:val="110"/>
        </w:rPr>
        <w:t xml:space="preserve"> </w:t>
      </w:r>
      <w:r>
        <w:rPr>
          <w:w w:val="110"/>
        </w:rPr>
        <w:t>other</w:t>
      </w:r>
      <w:r>
        <w:rPr>
          <w:spacing w:val="-10"/>
          <w:w w:val="110"/>
        </w:rPr>
        <w:t xml:space="preserve"> </w:t>
      </w:r>
      <w:r>
        <w:rPr>
          <w:w w:val="110"/>
        </w:rPr>
        <w:t>evidence,</w:t>
      </w:r>
      <w:r>
        <w:rPr>
          <w:spacing w:val="1"/>
          <w:w w:val="110"/>
        </w:rPr>
        <w:t xml:space="preserve"> </w:t>
      </w:r>
      <w:r>
        <w:rPr>
          <w:w w:val="110"/>
        </w:rPr>
        <w:t>such</w:t>
      </w:r>
      <w:r>
        <w:rPr>
          <w:spacing w:val="-1"/>
          <w:w w:val="107"/>
        </w:rPr>
        <w:t xml:space="preserve"> </w:t>
      </w:r>
      <w:r>
        <w:rPr>
          <w:w w:val="110"/>
        </w:rPr>
        <w:t>as whether the psychotic symptoms appear to be exacerbated by the substance</w:t>
      </w:r>
      <w:r>
        <w:rPr>
          <w:spacing w:val="-38"/>
          <w:w w:val="110"/>
        </w:rPr>
        <w:t xml:space="preserve"> </w:t>
      </w:r>
      <w:r>
        <w:rPr>
          <w:w w:val="110"/>
        </w:rPr>
        <w:t>and</w:t>
      </w:r>
      <w:r>
        <w:rPr>
          <w:spacing w:val="-1"/>
          <w:w w:val="110"/>
        </w:rPr>
        <w:t xml:space="preserve"> </w:t>
      </w:r>
      <w:r>
        <w:rPr>
          <w:w w:val="110"/>
        </w:rPr>
        <w:t>to</w:t>
      </w:r>
      <w:r>
        <w:rPr>
          <w:spacing w:val="-1"/>
          <w:w w:val="106"/>
        </w:rPr>
        <w:t xml:space="preserve"> </w:t>
      </w:r>
      <w:r>
        <w:rPr>
          <w:w w:val="110"/>
        </w:rPr>
        <w:t>diminish</w:t>
      </w:r>
      <w:r>
        <w:rPr>
          <w:spacing w:val="-13"/>
          <w:w w:val="110"/>
        </w:rPr>
        <w:t xml:space="preserve"> </w:t>
      </w:r>
      <w:r>
        <w:rPr>
          <w:w w:val="110"/>
        </w:rPr>
        <w:t>when</w:t>
      </w:r>
      <w:r>
        <w:rPr>
          <w:spacing w:val="-15"/>
          <w:w w:val="110"/>
        </w:rPr>
        <w:t xml:space="preserve"> </w:t>
      </w:r>
      <w:r>
        <w:rPr>
          <w:w w:val="110"/>
        </w:rPr>
        <w:t>it</w:t>
      </w:r>
      <w:r>
        <w:rPr>
          <w:spacing w:val="-18"/>
          <w:w w:val="110"/>
        </w:rPr>
        <w:t xml:space="preserve"> </w:t>
      </w:r>
      <w:r>
        <w:rPr>
          <w:w w:val="110"/>
        </w:rPr>
        <w:t>has</w:t>
      </w:r>
      <w:r>
        <w:rPr>
          <w:spacing w:val="-16"/>
          <w:w w:val="110"/>
        </w:rPr>
        <w:t xml:space="preserve"> </w:t>
      </w:r>
      <w:r>
        <w:rPr>
          <w:w w:val="110"/>
        </w:rPr>
        <w:t>been</w:t>
      </w:r>
      <w:r>
        <w:rPr>
          <w:spacing w:val="-20"/>
          <w:w w:val="110"/>
        </w:rPr>
        <w:t xml:space="preserve"> </w:t>
      </w:r>
      <w:r>
        <w:rPr>
          <w:w w:val="110"/>
        </w:rPr>
        <w:t>discontinued,</w:t>
      </w:r>
      <w:r>
        <w:rPr>
          <w:spacing w:val="-9"/>
          <w:w w:val="110"/>
        </w:rPr>
        <w:t xml:space="preserve"> </w:t>
      </w:r>
      <w:r>
        <w:rPr>
          <w:w w:val="110"/>
        </w:rPr>
        <w:t>the</w:t>
      </w:r>
      <w:r>
        <w:rPr>
          <w:spacing w:val="-19"/>
          <w:w w:val="110"/>
        </w:rPr>
        <w:t xml:space="preserve"> </w:t>
      </w:r>
      <w:r>
        <w:rPr>
          <w:w w:val="110"/>
        </w:rPr>
        <w:t>relative</w:t>
      </w:r>
      <w:r>
        <w:rPr>
          <w:spacing w:val="-18"/>
          <w:w w:val="110"/>
        </w:rPr>
        <w:t xml:space="preserve"> </w:t>
      </w:r>
      <w:r>
        <w:rPr>
          <w:w w:val="110"/>
        </w:rPr>
        <w:t>severity</w:t>
      </w:r>
      <w:r>
        <w:rPr>
          <w:spacing w:val="-21"/>
          <w:w w:val="110"/>
        </w:rPr>
        <w:t xml:space="preserve"> </w:t>
      </w:r>
      <w:r>
        <w:rPr>
          <w:w w:val="110"/>
        </w:rPr>
        <w:t>of</w:t>
      </w:r>
      <w:r>
        <w:rPr>
          <w:spacing w:val="-13"/>
          <w:w w:val="110"/>
        </w:rPr>
        <w:t xml:space="preserve"> </w:t>
      </w:r>
      <w:r>
        <w:rPr>
          <w:w w:val="110"/>
        </w:rPr>
        <w:t>psychotic</w:t>
      </w:r>
      <w:r>
        <w:rPr>
          <w:spacing w:val="-19"/>
          <w:w w:val="110"/>
        </w:rPr>
        <w:t xml:space="preserve"> </w:t>
      </w:r>
      <w:r>
        <w:rPr>
          <w:w w:val="110"/>
        </w:rPr>
        <w:t>symptoms</w:t>
      </w:r>
      <w:r>
        <w:rPr>
          <w:spacing w:val="-11"/>
          <w:w w:val="110"/>
        </w:rPr>
        <w:t xml:space="preserve"> </w:t>
      </w:r>
      <w:r>
        <w:rPr>
          <w:w w:val="110"/>
        </w:rPr>
        <w:t>in</w:t>
      </w:r>
      <w:r>
        <w:rPr>
          <w:spacing w:val="-1"/>
          <w:w w:val="105"/>
        </w:rPr>
        <w:t xml:space="preserve"> </w:t>
      </w:r>
      <w:r>
        <w:rPr>
          <w:w w:val="110"/>
        </w:rPr>
        <w:t>relation</w:t>
      </w:r>
      <w:r>
        <w:rPr>
          <w:spacing w:val="-30"/>
          <w:w w:val="110"/>
        </w:rPr>
        <w:t xml:space="preserve"> </w:t>
      </w:r>
      <w:r>
        <w:rPr>
          <w:w w:val="110"/>
        </w:rPr>
        <w:t>to</w:t>
      </w:r>
      <w:r>
        <w:rPr>
          <w:spacing w:val="-33"/>
          <w:w w:val="110"/>
        </w:rPr>
        <w:t xml:space="preserve"> </w:t>
      </w:r>
      <w:r>
        <w:rPr>
          <w:w w:val="110"/>
        </w:rPr>
        <w:t>the</w:t>
      </w:r>
      <w:r>
        <w:rPr>
          <w:spacing w:val="-33"/>
          <w:w w:val="110"/>
        </w:rPr>
        <w:t xml:space="preserve"> </w:t>
      </w:r>
      <w:r>
        <w:rPr>
          <w:w w:val="110"/>
        </w:rPr>
        <w:t>amount</w:t>
      </w:r>
      <w:r>
        <w:rPr>
          <w:spacing w:val="-30"/>
          <w:w w:val="110"/>
        </w:rPr>
        <w:t xml:space="preserve"> </w:t>
      </w:r>
      <w:r>
        <w:rPr>
          <w:w w:val="110"/>
        </w:rPr>
        <w:t>and</w:t>
      </w:r>
      <w:r>
        <w:rPr>
          <w:spacing w:val="-30"/>
          <w:w w:val="110"/>
        </w:rPr>
        <w:t xml:space="preserve"> </w:t>
      </w:r>
      <w:r>
        <w:rPr>
          <w:w w:val="110"/>
        </w:rPr>
        <w:t>duration</w:t>
      </w:r>
      <w:r>
        <w:rPr>
          <w:spacing w:val="-30"/>
          <w:w w:val="110"/>
        </w:rPr>
        <w:t xml:space="preserve"> </w:t>
      </w:r>
      <w:r>
        <w:rPr>
          <w:w w:val="110"/>
        </w:rPr>
        <w:t>of</w:t>
      </w:r>
      <w:r>
        <w:rPr>
          <w:spacing w:val="-30"/>
          <w:w w:val="110"/>
        </w:rPr>
        <w:t xml:space="preserve"> </w:t>
      </w:r>
      <w:r>
        <w:rPr>
          <w:w w:val="110"/>
        </w:rPr>
        <w:t>substance</w:t>
      </w:r>
      <w:r>
        <w:rPr>
          <w:spacing w:val="-28"/>
          <w:w w:val="110"/>
        </w:rPr>
        <w:t xml:space="preserve"> </w:t>
      </w:r>
      <w:r>
        <w:rPr>
          <w:w w:val="110"/>
        </w:rPr>
        <w:t>use,</w:t>
      </w:r>
      <w:r>
        <w:rPr>
          <w:spacing w:val="-31"/>
          <w:w w:val="110"/>
        </w:rPr>
        <w:t xml:space="preserve"> </w:t>
      </w:r>
      <w:r>
        <w:rPr>
          <w:w w:val="110"/>
        </w:rPr>
        <w:t>and</w:t>
      </w:r>
      <w:r>
        <w:rPr>
          <w:spacing w:val="-30"/>
          <w:w w:val="110"/>
        </w:rPr>
        <w:t xml:space="preserve"> </w:t>
      </w:r>
      <w:r>
        <w:rPr>
          <w:w w:val="110"/>
        </w:rPr>
        <w:t>knowledge</w:t>
      </w:r>
      <w:r>
        <w:rPr>
          <w:spacing w:val="-29"/>
          <w:w w:val="110"/>
        </w:rPr>
        <w:t xml:space="preserve"> </w:t>
      </w:r>
      <w:r>
        <w:rPr>
          <w:w w:val="110"/>
        </w:rPr>
        <w:t>of</w:t>
      </w:r>
      <w:r>
        <w:rPr>
          <w:spacing w:val="-29"/>
          <w:w w:val="110"/>
        </w:rPr>
        <w:t xml:space="preserve"> </w:t>
      </w:r>
      <w:r>
        <w:rPr>
          <w:w w:val="110"/>
        </w:rPr>
        <w:t>the</w:t>
      </w:r>
      <w:r>
        <w:rPr>
          <w:spacing w:val="-36"/>
          <w:w w:val="110"/>
        </w:rPr>
        <w:t xml:space="preserve"> </w:t>
      </w:r>
      <w:r>
        <w:rPr>
          <w:w w:val="110"/>
        </w:rPr>
        <w:t>characteristic</w:t>
      </w:r>
      <w:r>
        <w:rPr>
          <w:spacing w:val="-1"/>
          <w:w w:val="105"/>
        </w:rPr>
        <w:t xml:space="preserve"> </w:t>
      </w:r>
      <w:r>
        <w:rPr>
          <w:w w:val="110"/>
        </w:rPr>
        <w:t>symptoms produced by a particular substance (e.g., amphetamines</w:t>
      </w:r>
      <w:r>
        <w:rPr>
          <w:spacing w:val="1"/>
          <w:w w:val="110"/>
        </w:rPr>
        <w:t xml:space="preserve"> </w:t>
      </w:r>
      <w:r>
        <w:rPr>
          <w:w w:val="110"/>
        </w:rPr>
        <w:t>typically</w:t>
      </w:r>
      <w:r>
        <w:rPr>
          <w:spacing w:val="6"/>
          <w:w w:val="110"/>
        </w:rPr>
        <w:t xml:space="preserve"> </w:t>
      </w:r>
      <w:r>
        <w:rPr>
          <w:w w:val="110"/>
        </w:rPr>
        <w:t>produce</w:t>
      </w:r>
      <w:r>
        <w:rPr>
          <w:w w:val="108"/>
        </w:rPr>
        <w:t xml:space="preserve"> </w:t>
      </w:r>
      <w:r>
        <w:rPr>
          <w:w w:val="110"/>
        </w:rPr>
        <w:t>delusions</w:t>
      </w:r>
      <w:r>
        <w:rPr>
          <w:spacing w:val="-30"/>
          <w:w w:val="110"/>
        </w:rPr>
        <w:t xml:space="preserve"> </w:t>
      </w:r>
      <w:r>
        <w:rPr>
          <w:w w:val="110"/>
        </w:rPr>
        <w:t>and</w:t>
      </w:r>
      <w:r>
        <w:rPr>
          <w:spacing w:val="-35"/>
          <w:w w:val="110"/>
        </w:rPr>
        <w:t xml:space="preserve"> </w:t>
      </w:r>
      <w:r>
        <w:rPr>
          <w:w w:val="110"/>
        </w:rPr>
        <w:t>stereotypies,</w:t>
      </w:r>
      <w:r>
        <w:rPr>
          <w:spacing w:val="-27"/>
          <w:w w:val="110"/>
        </w:rPr>
        <w:t xml:space="preserve"> </w:t>
      </w:r>
      <w:r>
        <w:rPr>
          <w:w w:val="110"/>
        </w:rPr>
        <w:t>but</w:t>
      </w:r>
      <w:r>
        <w:rPr>
          <w:spacing w:val="-31"/>
          <w:w w:val="110"/>
        </w:rPr>
        <w:t xml:space="preserve"> </w:t>
      </w:r>
      <w:r>
        <w:rPr>
          <w:w w:val="110"/>
        </w:rPr>
        <w:t>not</w:t>
      </w:r>
      <w:r>
        <w:rPr>
          <w:spacing w:val="-34"/>
          <w:w w:val="110"/>
        </w:rPr>
        <w:t xml:space="preserve"> </w:t>
      </w:r>
      <w:r>
        <w:rPr>
          <w:w w:val="110"/>
        </w:rPr>
        <w:t>affective</w:t>
      </w:r>
      <w:r>
        <w:rPr>
          <w:spacing w:val="-31"/>
          <w:w w:val="110"/>
        </w:rPr>
        <w:t xml:space="preserve"> </w:t>
      </w:r>
      <w:r>
        <w:rPr>
          <w:w w:val="110"/>
        </w:rPr>
        <w:t>blunting</w:t>
      </w:r>
      <w:r>
        <w:rPr>
          <w:spacing w:val="-33"/>
          <w:w w:val="110"/>
        </w:rPr>
        <w:t xml:space="preserve"> </w:t>
      </w:r>
      <w:r>
        <w:rPr>
          <w:w w:val="110"/>
        </w:rPr>
        <w:t>or</w:t>
      </w:r>
      <w:r>
        <w:rPr>
          <w:spacing w:val="-28"/>
          <w:w w:val="110"/>
        </w:rPr>
        <w:t xml:space="preserve"> </w:t>
      </w:r>
      <w:r>
        <w:rPr>
          <w:w w:val="110"/>
        </w:rPr>
        <w:t>prominent</w:t>
      </w:r>
      <w:r>
        <w:rPr>
          <w:spacing w:val="-25"/>
          <w:w w:val="110"/>
        </w:rPr>
        <w:t xml:space="preserve"> </w:t>
      </w:r>
      <w:r>
        <w:rPr>
          <w:w w:val="110"/>
        </w:rPr>
        <w:t>negative</w:t>
      </w:r>
      <w:r>
        <w:rPr>
          <w:spacing w:val="-31"/>
          <w:w w:val="110"/>
        </w:rPr>
        <w:t xml:space="preserve"> </w:t>
      </w:r>
      <w:r>
        <w:rPr>
          <w:w w:val="110"/>
        </w:rPr>
        <w:t>symptoms).</w:t>
      </w:r>
      <w:r>
        <w:rPr>
          <w:w w:val="105"/>
        </w:rPr>
        <w:t xml:space="preserve"> </w:t>
      </w:r>
      <w:r>
        <w:rPr>
          <w:w w:val="110"/>
        </w:rPr>
        <w:t>Distinguishing</w:t>
      </w:r>
      <w:r>
        <w:rPr>
          <w:spacing w:val="-39"/>
          <w:w w:val="110"/>
        </w:rPr>
        <w:t xml:space="preserve"> </w:t>
      </w:r>
      <w:r>
        <w:rPr>
          <w:w w:val="110"/>
        </w:rPr>
        <w:t>Schizophrenia</w:t>
      </w:r>
      <w:r>
        <w:rPr>
          <w:spacing w:val="-23"/>
          <w:w w:val="110"/>
        </w:rPr>
        <w:t xml:space="preserve"> </w:t>
      </w:r>
      <w:r>
        <w:rPr>
          <w:w w:val="110"/>
        </w:rPr>
        <w:t>from</w:t>
      </w:r>
      <w:r>
        <w:rPr>
          <w:spacing w:val="-31"/>
          <w:w w:val="110"/>
        </w:rPr>
        <w:t xml:space="preserve"> </w:t>
      </w:r>
      <w:r>
        <w:rPr>
          <w:b/>
          <w:w w:val="110"/>
        </w:rPr>
        <w:t>Mood</w:t>
      </w:r>
      <w:r>
        <w:rPr>
          <w:b/>
          <w:spacing w:val="-33"/>
          <w:w w:val="110"/>
        </w:rPr>
        <w:t xml:space="preserve"> </w:t>
      </w:r>
      <w:r>
        <w:rPr>
          <w:b/>
          <w:w w:val="110"/>
        </w:rPr>
        <w:t>Disorder</w:t>
      </w:r>
      <w:r>
        <w:rPr>
          <w:b/>
          <w:spacing w:val="-35"/>
          <w:w w:val="110"/>
        </w:rPr>
        <w:t xml:space="preserve"> </w:t>
      </w:r>
      <w:r>
        <w:rPr>
          <w:b/>
          <w:w w:val="110"/>
        </w:rPr>
        <w:t>With</w:t>
      </w:r>
      <w:r>
        <w:rPr>
          <w:b/>
          <w:spacing w:val="-36"/>
          <w:w w:val="110"/>
        </w:rPr>
        <w:t xml:space="preserve"> </w:t>
      </w:r>
      <w:r>
        <w:rPr>
          <w:b/>
          <w:w w:val="110"/>
        </w:rPr>
        <w:t>Psychotic</w:t>
      </w:r>
      <w:r>
        <w:rPr>
          <w:b/>
          <w:spacing w:val="-29"/>
          <w:w w:val="110"/>
        </w:rPr>
        <w:t xml:space="preserve"> </w:t>
      </w:r>
      <w:r>
        <w:rPr>
          <w:b/>
          <w:w w:val="110"/>
        </w:rPr>
        <w:t>Features</w:t>
      </w:r>
      <w:r>
        <w:rPr>
          <w:b/>
          <w:spacing w:val="-24"/>
          <w:w w:val="110"/>
        </w:rPr>
        <w:t xml:space="preserve"> </w:t>
      </w:r>
      <w:r>
        <w:rPr>
          <w:w w:val="110"/>
        </w:rPr>
        <w:t>and</w:t>
      </w:r>
      <w:r>
        <w:rPr>
          <w:spacing w:val="-1"/>
          <w:w w:val="110"/>
        </w:rPr>
        <w:t xml:space="preserve"> </w:t>
      </w:r>
      <w:r>
        <w:rPr>
          <w:b/>
          <w:w w:val="110"/>
        </w:rPr>
        <w:t>SchizoaffectiveDisorder</w:t>
      </w:r>
      <w:r>
        <w:rPr>
          <w:b/>
          <w:spacing w:val="-29"/>
          <w:w w:val="110"/>
        </w:rPr>
        <w:t xml:space="preserve"> </w:t>
      </w:r>
      <w:r>
        <w:rPr>
          <w:w w:val="110"/>
        </w:rPr>
        <w:t>is</w:t>
      </w:r>
      <w:r>
        <w:rPr>
          <w:spacing w:val="-34"/>
          <w:w w:val="110"/>
        </w:rPr>
        <w:t xml:space="preserve"> </w:t>
      </w:r>
      <w:r>
        <w:rPr>
          <w:w w:val="110"/>
        </w:rPr>
        <w:t>made</w:t>
      </w:r>
      <w:r>
        <w:rPr>
          <w:spacing w:val="-32"/>
          <w:w w:val="110"/>
        </w:rPr>
        <w:t xml:space="preserve"> </w:t>
      </w:r>
      <w:r>
        <w:rPr>
          <w:w w:val="110"/>
        </w:rPr>
        <w:t>difficult</w:t>
      </w:r>
      <w:r>
        <w:rPr>
          <w:spacing w:val="-26"/>
          <w:w w:val="110"/>
        </w:rPr>
        <w:t xml:space="preserve"> </w:t>
      </w:r>
      <w:r>
        <w:rPr>
          <w:w w:val="110"/>
        </w:rPr>
        <w:t>by</w:t>
      </w:r>
      <w:r>
        <w:rPr>
          <w:spacing w:val="-31"/>
          <w:w w:val="110"/>
        </w:rPr>
        <w:t xml:space="preserve"> </w:t>
      </w:r>
      <w:r>
        <w:rPr>
          <w:w w:val="110"/>
        </w:rPr>
        <w:t>the</w:t>
      </w:r>
      <w:r>
        <w:rPr>
          <w:spacing w:val="-33"/>
          <w:w w:val="110"/>
        </w:rPr>
        <w:t xml:space="preserve"> </w:t>
      </w:r>
      <w:r>
        <w:rPr>
          <w:w w:val="110"/>
        </w:rPr>
        <w:t>fact</w:t>
      </w:r>
      <w:r>
        <w:rPr>
          <w:spacing w:val="-27"/>
          <w:w w:val="110"/>
        </w:rPr>
        <w:t xml:space="preserve"> </w:t>
      </w:r>
      <w:r>
        <w:rPr>
          <w:w w:val="110"/>
        </w:rPr>
        <w:t>that</w:t>
      </w:r>
      <w:r>
        <w:rPr>
          <w:spacing w:val="-28"/>
          <w:w w:val="110"/>
        </w:rPr>
        <w:t xml:space="preserve"> </w:t>
      </w:r>
      <w:r>
        <w:rPr>
          <w:w w:val="110"/>
        </w:rPr>
        <w:t>mood</w:t>
      </w:r>
      <w:r>
        <w:rPr>
          <w:spacing w:val="-28"/>
          <w:w w:val="110"/>
        </w:rPr>
        <w:t xml:space="preserve"> </w:t>
      </w:r>
      <w:r>
        <w:rPr>
          <w:w w:val="110"/>
        </w:rPr>
        <w:t>disturbance</w:t>
      </w:r>
      <w:r>
        <w:rPr>
          <w:spacing w:val="-26"/>
          <w:w w:val="110"/>
        </w:rPr>
        <w:t xml:space="preserve"> </w:t>
      </w:r>
      <w:r>
        <w:rPr>
          <w:w w:val="110"/>
        </w:rPr>
        <w:t>is</w:t>
      </w:r>
      <w:r>
        <w:rPr>
          <w:spacing w:val="-35"/>
          <w:w w:val="110"/>
        </w:rPr>
        <w:t xml:space="preserve"> </w:t>
      </w:r>
      <w:r>
        <w:rPr>
          <w:w w:val="110"/>
        </w:rPr>
        <w:t>common</w:t>
      </w:r>
      <w:r>
        <w:rPr>
          <w:spacing w:val="-1"/>
          <w:w w:val="107"/>
        </w:rPr>
        <w:t xml:space="preserve"> </w:t>
      </w:r>
      <w:r>
        <w:rPr>
          <w:w w:val="110"/>
        </w:rPr>
        <w:t>during the prodromal, active, and residual phases of Schizophrenia.</w:t>
      </w:r>
      <w:r>
        <w:rPr>
          <w:spacing w:val="29"/>
          <w:w w:val="110"/>
        </w:rPr>
        <w:t xml:space="preserve"> </w:t>
      </w:r>
      <w:r>
        <w:rPr>
          <w:w w:val="110"/>
          <w:sz w:val="21"/>
        </w:rPr>
        <w:t>If</w:t>
      </w:r>
      <w:r>
        <w:rPr>
          <w:spacing w:val="39"/>
          <w:w w:val="110"/>
          <w:sz w:val="21"/>
        </w:rPr>
        <w:t xml:space="preserve"> </w:t>
      </w:r>
      <w:r>
        <w:rPr>
          <w:w w:val="110"/>
        </w:rPr>
        <w:t>psychotic</w:t>
      </w:r>
      <w:r>
        <w:rPr>
          <w:w w:val="104"/>
        </w:rPr>
        <w:t xml:space="preserve"> </w:t>
      </w:r>
      <w:r>
        <w:rPr>
          <w:w w:val="110"/>
        </w:rPr>
        <w:t>symptoms</w:t>
      </w:r>
      <w:r>
        <w:rPr>
          <w:spacing w:val="-30"/>
          <w:w w:val="110"/>
        </w:rPr>
        <w:t xml:space="preserve"> </w:t>
      </w:r>
      <w:r>
        <w:rPr>
          <w:w w:val="110"/>
        </w:rPr>
        <w:t>occur</w:t>
      </w:r>
      <w:r>
        <w:rPr>
          <w:spacing w:val="-31"/>
          <w:w w:val="110"/>
        </w:rPr>
        <w:t xml:space="preserve"> </w:t>
      </w:r>
      <w:r>
        <w:rPr>
          <w:w w:val="110"/>
        </w:rPr>
        <w:t>exclusively</w:t>
      </w:r>
      <w:r>
        <w:rPr>
          <w:spacing w:val="-25"/>
          <w:w w:val="110"/>
        </w:rPr>
        <w:t xml:space="preserve"> </w:t>
      </w:r>
      <w:r>
        <w:rPr>
          <w:w w:val="110"/>
        </w:rPr>
        <w:t>during</w:t>
      </w:r>
      <w:r>
        <w:rPr>
          <w:spacing w:val="-26"/>
          <w:w w:val="110"/>
        </w:rPr>
        <w:t xml:space="preserve"> </w:t>
      </w:r>
      <w:r>
        <w:rPr>
          <w:w w:val="110"/>
        </w:rPr>
        <w:t>periods</w:t>
      </w:r>
      <w:r>
        <w:rPr>
          <w:spacing w:val="-32"/>
          <w:w w:val="110"/>
        </w:rPr>
        <w:t xml:space="preserve"> </w:t>
      </w:r>
      <w:r>
        <w:rPr>
          <w:w w:val="110"/>
        </w:rPr>
        <w:t>of</w:t>
      </w:r>
      <w:r>
        <w:rPr>
          <w:spacing w:val="-25"/>
          <w:w w:val="110"/>
        </w:rPr>
        <w:t xml:space="preserve"> </w:t>
      </w:r>
      <w:r>
        <w:rPr>
          <w:w w:val="110"/>
        </w:rPr>
        <w:t>mood</w:t>
      </w:r>
      <w:r>
        <w:rPr>
          <w:spacing w:val="-28"/>
          <w:w w:val="110"/>
        </w:rPr>
        <w:t xml:space="preserve"> </w:t>
      </w:r>
      <w:r>
        <w:rPr>
          <w:w w:val="110"/>
        </w:rPr>
        <w:t>disturbance,</w:t>
      </w:r>
      <w:r>
        <w:rPr>
          <w:spacing w:val="-21"/>
          <w:w w:val="110"/>
        </w:rPr>
        <w:t xml:space="preserve"> </w:t>
      </w:r>
      <w:r>
        <w:rPr>
          <w:w w:val="110"/>
        </w:rPr>
        <w:t>the</w:t>
      </w:r>
      <w:r>
        <w:rPr>
          <w:spacing w:val="-32"/>
          <w:w w:val="110"/>
        </w:rPr>
        <w:t xml:space="preserve"> </w:t>
      </w:r>
      <w:r>
        <w:rPr>
          <w:w w:val="110"/>
        </w:rPr>
        <w:t>diagnosis</w:t>
      </w:r>
      <w:r>
        <w:rPr>
          <w:spacing w:val="-26"/>
          <w:w w:val="110"/>
        </w:rPr>
        <w:t xml:space="preserve"> </w:t>
      </w:r>
      <w:r>
        <w:rPr>
          <w:w w:val="110"/>
        </w:rPr>
        <w:t>is</w:t>
      </w:r>
      <w:r>
        <w:rPr>
          <w:spacing w:val="-33"/>
          <w:w w:val="110"/>
        </w:rPr>
        <w:t xml:space="preserve"> </w:t>
      </w:r>
      <w:r>
        <w:rPr>
          <w:w w:val="110"/>
        </w:rPr>
        <w:t>Mood</w:t>
      </w:r>
      <w:r>
        <w:rPr>
          <w:spacing w:val="-1"/>
          <w:w w:val="102"/>
        </w:rPr>
        <w:t xml:space="preserve"> </w:t>
      </w:r>
      <w:r>
        <w:rPr>
          <w:w w:val="110"/>
        </w:rPr>
        <w:t>Disorder</w:t>
      </w:r>
      <w:r>
        <w:rPr>
          <w:spacing w:val="-16"/>
          <w:w w:val="110"/>
        </w:rPr>
        <w:t xml:space="preserve"> </w:t>
      </w:r>
      <w:r>
        <w:rPr>
          <w:w w:val="110"/>
        </w:rPr>
        <w:t>With</w:t>
      </w:r>
      <w:r>
        <w:rPr>
          <w:spacing w:val="-10"/>
          <w:w w:val="110"/>
        </w:rPr>
        <w:t xml:space="preserve"> </w:t>
      </w:r>
      <w:r>
        <w:rPr>
          <w:w w:val="110"/>
        </w:rPr>
        <w:t>Psychotic</w:t>
      </w:r>
      <w:r>
        <w:rPr>
          <w:spacing w:val="-3"/>
          <w:w w:val="110"/>
        </w:rPr>
        <w:t xml:space="preserve"> </w:t>
      </w:r>
      <w:r>
        <w:rPr>
          <w:w w:val="110"/>
        </w:rPr>
        <w:t>Features.</w:t>
      </w:r>
      <w:r>
        <w:rPr>
          <w:spacing w:val="-8"/>
          <w:w w:val="110"/>
        </w:rPr>
        <w:t xml:space="preserve"> </w:t>
      </w:r>
      <w:r>
        <w:rPr>
          <w:w w:val="110"/>
        </w:rPr>
        <w:t>In</w:t>
      </w:r>
      <w:r>
        <w:rPr>
          <w:spacing w:val="-17"/>
          <w:w w:val="110"/>
        </w:rPr>
        <w:t xml:space="preserve"> </w:t>
      </w:r>
      <w:r>
        <w:rPr>
          <w:w w:val="110"/>
        </w:rPr>
        <w:t>Schizoaffective</w:t>
      </w:r>
      <w:r>
        <w:rPr>
          <w:spacing w:val="-13"/>
          <w:w w:val="110"/>
        </w:rPr>
        <w:t xml:space="preserve"> </w:t>
      </w:r>
      <w:r>
        <w:rPr>
          <w:w w:val="110"/>
        </w:rPr>
        <w:t>Disorder,</w:t>
      </w:r>
      <w:r>
        <w:rPr>
          <w:spacing w:val="-7"/>
          <w:w w:val="110"/>
        </w:rPr>
        <w:t xml:space="preserve"> </w:t>
      </w:r>
      <w:r>
        <w:rPr>
          <w:w w:val="110"/>
        </w:rPr>
        <w:t>there</w:t>
      </w:r>
      <w:r>
        <w:rPr>
          <w:spacing w:val="-10"/>
          <w:w w:val="110"/>
        </w:rPr>
        <w:t xml:space="preserve"> </w:t>
      </w:r>
      <w:r>
        <w:rPr>
          <w:w w:val="110"/>
        </w:rPr>
        <w:t>must</w:t>
      </w:r>
      <w:r>
        <w:rPr>
          <w:spacing w:val="-7"/>
          <w:w w:val="110"/>
        </w:rPr>
        <w:t xml:space="preserve"> </w:t>
      </w:r>
      <w:r>
        <w:rPr>
          <w:w w:val="110"/>
        </w:rPr>
        <w:t>be</w:t>
      </w:r>
      <w:r>
        <w:rPr>
          <w:spacing w:val="-16"/>
          <w:w w:val="110"/>
        </w:rPr>
        <w:t xml:space="preserve"> </w:t>
      </w:r>
      <w:r>
        <w:rPr>
          <w:w w:val="110"/>
        </w:rPr>
        <w:t>a</w:t>
      </w:r>
      <w:r>
        <w:rPr>
          <w:spacing w:val="-11"/>
          <w:w w:val="110"/>
        </w:rPr>
        <w:t xml:space="preserve"> </w:t>
      </w:r>
      <w:r>
        <w:rPr>
          <w:w w:val="110"/>
        </w:rPr>
        <w:t>mood</w:t>
      </w:r>
    </w:p>
    <w:p w:rsidR="00E675F0" w:rsidRDefault="00E675F0" w:rsidP="00E675F0">
      <w:pPr>
        <w:spacing w:line="252" w:lineRule="auto"/>
        <w:jc w:val="right"/>
        <w:sectPr w:rsidR="00E675F0">
          <w:pgSz w:w="8960" w:h="14260"/>
          <w:pgMar w:top="1400" w:right="620" w:bottom="280" w:left="620" w:header="691" w:footer="0" w:gutter="0"/>
          <w:cols w:space="720"/>
        </w:sectPr>
      </w:pPr>
    </w:p>
    <w:p w:rsidR="00E675F0" w:rsidRDefault="00E675F0" w:rsidP="00E675F0">
      <w:pPr>
        <w:pStyle w:val="BodyText"/>
        <w:spacing w:before="130" w:line="254" w:lineRule="auto"/>
        <w:ind w:left="119" w:right="103" w:firstLine="9"/>
        <w:jc w:val="both"/>
        <w:rPr>
          <w:b/>
        </w:rPr>
      </w:pPr>
      <w:r>
        <w:rPr>
          <w:w w:val="105"/>
        </w:rPr>
        <w:lastRenderedPageBreak/>
        <w:t xml:space="preserve">episode that is concurrent with the active-phase symptoms of Schizophrenia, mood symptoms must be present for a substantial portion of the total duration of the disturbance, and delusions or hallucinations must be present for at least 2 weeks in the absence of prominent mood symptoms. In contrast, mood symptoms in Schizophrenia either have a duration that is brief in relation to the total duration of the disturbance, occur only during the prodromal or residual phases, or do not meet full criteria for a mood episode. When mood symptoms that meet full criteria for a mood episode are superimposed on Schizophrenia and are of particular clinical significance, an additional diagnosis of </w:t>
      </w:r>
      <w:r>
        <w:rPr>
          <w:b/>
          <w:w w:val="105"/>
        </w:rPr>
        <w:t xml:space="preserve">Depressive Disorder Not Otherwise Specified </w:t>
      </w:r>
      <w:r>
        <w:rPr>
          <w:rFonts w:ascii="Arial"/>
          <w:b/>
          <w:w w:val="105"/>
          <w:sz w:val="18"/>
        </w:rPr>
        <w:t xml:space="preserve">or </w:t>
      </w:r>
      <w:r>
        <w:rPr>
          <w:b/>
          <w:w w:val="105"/>
        </w:rPr>
        <w:t xml:space="preserve">Bipolar Disorder Not Otherwise Specified </w:t>
      </w:r>
      <w:r>
        <w:rPr>
          <w:w w:val="105"/>
        </w:rPr>
        <w:t xml:space="preserve">may be given. Schizophrenia, Catatonic Type, may be difficult to distinguish from a </w:t>
      </w:r>
      <w:r>
        <w:rPr>
          <w:b/>
          <w:w w:val="105"/>
        </w:rPr>
        <w:t>Mood Disorder With Catatonic Features.</w:t>
      </w:r>
    </w:p>
    <w:p w:rsidR="00E675F0" w:rsidRDefault="00E675F0" w:rsidP="00E675F0">
      <w:pPr>
        <w:pStyle w:val="BodyText"/>
        <w:spacing w:before="6" w:line="254" w:lineRule="auto"/>
        <w:ind w:left="114" w:right="105" w:firstLine="369"/>
        <w:jc w:val="both"/>
      </w:pPr>
      <w:r>
        <w:rPr>
          <w:w w:val="105"/>
        </w:rPr>
        <w:t xml:space="preserve">By definition, Schizophrenia differs from </w:t>
      </w:r>
      <w:r>
        <w:rPr>
          <w:b/>
          <w:w w:val="105"/>
        </w:rPr>
        <w:t xml:space="preserve">SchizophreniformDisorder </w:t>
      </w:r>
      <w:r>
        <w:rPr>
          <w:w w:val="105"/>
        </w:rPr>
        <w:t xml:space="preserve">on the basis of duration. Schizophrenia involves the presence of symptoms (including prodromal or residual symptoms) for at least 6 months, whereas the total duration of symptoms in Schizophreniform Disorder must be at least 1 month but less than 6 months. Schizophreniform Disorder also does not require a decline in functioning. </w:t>
      </w:r>
      <w:r>
        <w:rPr>
          <w:b/>
          <w:w w:val="105"/>
        </w:rPr>
        <w:t xml:space="preserve">Brief Psychotic Disorder </w:t>
      </w:r>
      <w:r>
        <w:rPr>
          <w:w w:val="105"/>
        </w:rPr>
        <w:t>is defined by the presence of delusions, hallucinations, disorga­ nized speech, or grossly disorganized or catatonic behavior lasting for at least 1 day but for less than 1 month.</w:t>
      </w:r>
    </w:p>
    <w:p w:rsidR="00E675F0" w:rsidRDefault="00E675F0" w:rsidP="00E675F0">
      <w:pPr>
        <w:pStyle w:val="BodyText"/>
        <w:spacing w:line="252" w:lineRule="auto"/>
        <w:ind w:left="112" w:right="102" w:firstLine="364"/>
        <w:jc w:val="both"/>
      </w:pPr>
      <w:r>
        <w:rPr>
          <w:w w:val="105"/>
        </w:rPr>
        <w:t xml:space="preserve">The differential diagnosis between Schizophrenia and  </w:t>
      </w:r>
      <w:r>
        <w:rPr>
          <w:b/>
          <w:w w:val="105"/>
        </w:rPr>
        <w:t xml:space="preserve">Delusional Disorder </w:t>
      </w:r>
      <w:r>
        <w:rPr>
          <w:w w:val="105"/>
        </w:rPr>
        <w:t>rests  on the nature of the delusions (nonbizarre in Delusional Disorder) and the absence of other characteristic symptoms of Schizophrenia (e.g., hallucinations, disorganized speech or behavior, or prominent negative symptoms). Delusional Disorder is particu­ larly difficult to differentiate from the Paranoid Type of Schizophrenia, because this subtype does not include prominent disorganized speech, disorganized behavior, or flat or inappropriate affect and is often associated with less decline in functioning than is characteristic of the other subtypes of Schizophrenia. When poor psychosocial function­ ing is present in Delusional Disorder, it arises directly from the delusional beliefs themselves.</w:t>
      </w:r>
    </w:p>
    <w:p w:rsidR="00E675F0" w:rsidRDefault="00E675F0" w:rsidP="00E675F0">
      <w:pPr>
        <w:pStyle w:val="BodyText"/>
        <w:spacing w:before="4" w:line="252" w:lineRule="auto"/>
        <w:ind w:left="116" w:right="106" w:firstLine="364"/>
        <w:jc w:val="both"/>
      </w:pPr>
      <w:r>
        <w:rPr>
          <w:w w:val="105"/>
        </w:rPr>
        <w:t xml:space="preserve">A diagnosis of </w:t>
      </w:r>
      <w:r>
        <w:rPr>
          <w:b/>
          <w:w w:val="105"/>
        </w:rPr>
        <w:t xml:space="preserve">Psychotic Disorder Not Otherwise Specified </w:t>
      </w:r>
      <w:r>
        <w:rPr>
          <w:w w:val="105"/>
        </w:rPr>
        <w:t>may be made if insufficient information is available to choose between Schizophrenia and other Psy­ chotic Disorders (e.g., Schizoaffective Disorder) or to determine whether the presenting symptoms are substance induced or are the result of a general medical condition. Such uncertainty is particularly likely to occur early in the course of the disorder.</w:t>
      </w:r>
    </w:p>
    <w:p w:rsidR="00E675F0" w:rsidRDefault="00E675F0" w:rsidP="00E675F0">
      <w:pPr>
        <w:pStyle w:val="BodyText"/>
        <w:spacing w:line="256" w:lineRule="auto"/>
        <w:ind w:left="108" w:right="108" w:firstLine="377"/>
        <w:jc w:val="both"/>
        <w:rPr>
          <w:b/>
          <w:sz w:val="19"/>
        </w:rPr>
      </w:pPr>
      <w:r>
        <w:rPr>
          <w:w w:val="105"/>
        </w:rPr>
        <w:t xml:space="preserve">Although Schizophrenia and </w:t>
      </w:r>
      <w:r>
        <w:rPr>
          <w:b/>
          <w:w w:val="105"/>
        </w:rPr>
        <w:t xml:space="preserve">Pervasive Developmental Disorders </w:t>
      </w:r>
      <w:r>
        <w:rPr>
          <w:w w:val="105"/>
        </w:rPr>
        <w:t>(e.g., Autistic Disorder) share disturbances in language, affect, and interpersonal relatedness, they can be distinguished in a number of ways. Pervasive Developmental Disorders are charac­ teristically recognized during infancy or early childhood (usually before age 3 years), whereas</w:t>
      </w:r>
      <w:r>
        <w:rPr>
          <w:spacing w:val="-11"/>
          <w:w w:val="105"/>
        </w:rPr>
        <w:t xml:space="preserve"> </w:t>
      </w:r>
      <w:r>
        <w:rPr>
          <w:w w:val="105"/>
        </w:rPr>
        <w:t>such</w:t>
      </w:r>
      <w:r>
        <w:rPr>
          <w:spacing w:val="-11"/>
          <w:w w:val="105"/>
        </w:rPr>
        <w:t xml:space="preserve"> </w:t>
      </w:r>
      <w:r>
        <w:rPr>
          <w:w w:val="105"/>
        </w:rPr>
        <w:t>early</w:t>
      </w:r>
      <w:r>
        <w:rPr>
          <w:spacing w:val="-16"/>
          <w:w w:val="105"/>
        </w:rPr>
        <w:t xml:space="preserve"> </w:t>
      </w:r>
      <w:r>
        <w:rPr>
          <w:w w:val="105"/>
        </w:rPr>
        <w:t>onset</w:t>
      </w:r>
      <w:r>
        <w:rPr>
          <w:spacing w:val="-13"/>
          <w:w w:val="105"/>
        </w:rPr>
        <w:t xml:space="preserve"> </w:t>
      </w:r>
      <w:r>
        <w:rPr>
          <w:w w:val="105"/>
        </w:rPr>
        <w:t>is</w:t>
      </w:r>
      <w:r>
        <w:rPr>
          <w:spacing w:val="-16"/>
          <w:w w:val="105"/>
        </w:rPr>
        <w:t xml:space="preserve"> </w:t>
      </w:r>
      <w:r>
        <w:rPr>
          <w:w w:val="105"/>
        </w:rPr>
        <w:t>rare</w:t>
      </w:r>
      <w:r>
        <w:rPr>
          <w:spacing w:val="-13"/>
          <w:w w:val="105"/>
        </w:rPr>
        <w:t xml:space="preserve"> </w:t>
      </w:r>
      <w:r>
        <w:rPr>
          <w:w w:val="105"/>
        </w:rPr>
        <w:t>in</w:t>
      </w:r>
      <w:r>
        <w:rPr>
          <w:spacing w:val="-21"/>
          <w:w w:val="105"/>
        </w:rPr>
        <w:t xml:space="preserve"> </w:t>
      </w:r>
      <w:r>
        <w:rPr>
          <w:w w:val="105"/>
        </w:rPr>
        <w:t>Schizophrenia.</w:t>
      </w:r>
      <w:r>
        <w:rPr>
          <w:spacing w:val="-15"/>
          <w:w w:val="105"/>
        </w:rPr>
        <w:t xml:space="preserve"> </w:t>
      </w:r>
      <w:r>
        <w:rPr>
          <w:w w:val="105"/>
        </w:rPr>
        <w:t>Moreover,</w:t>
      </w:r>
      <w:r>
        <w:rPr>
          <w:spacing w:val="-3"/>
          <w:w w:val="105"/>
        </w:rPr>
        <w:t xml:space="preserve"> </w:t>
      </w:r>
      <w:r>
        <w:rPr>
          <w:w w:val="105"/>
        </w:rPr>
        <w:t>in</w:t>
      </w:r>
      <w:r>
        <w:rPr>
          <w:spacing w:val="-17"/>
          <w:w w:val="105"/>
        </w:rPr>
        <w:t xml:space="preserve"> </w:t>
      </w:r>
      <w:r>
        <w:rPr>
          <w:w w:val="105"/>
        </w:rPr>
        <w:t>Pervasive</w:t>
      </w:r>
      <w:r>
        <w:rPr>
          <w:spacing w:val="-2"/>
          <w:w w:val="105"/>
        </w:rPr>
        <w:t xml:space="preserve"> </w:t>
      </w:r>
      <w:r>
        <w:rPr>
          <w:w w:val="105"/>
        </w:rPr>
        <w:t>Developmental Disorders, there is an absence of prominent delusions and hallucinations; more pronounced abnormalities in affect; and speech that is absent or minimal and charac­ terized by stereotypies and abnormalities in prosody. Schizophrenia may occasionally develop in individuals with a Pervasive Developmental Disorder; a diagnosis of Schizophrenia</w:t>
      </w:r>
      <w:r>
        <w:rPr>
          <w:spacing w:val="1"/>
          <w:w w:val="105"/>
        </w:rPr>
        <w:t xml:space="preserve"> </w:t>
      </w:r>
      <w:r>
        <w:rPr>
          <w:w w:val="105"/>
        </w:rPr>
        <w:t>is</w:t>
      </w:r>
      <w:r>
        <w:rPr>
          <w:spacing w:val="-26"/>
          <w:w w:val="105"/>
        </w:rPr>
        <w:t xml:space="preserve"> </w:t>
      </w:r>
      <w:r>
        <w:rPr>
          <w:w w:val="105"/>
        </w:rPr>
        <w:t>warranted</w:t>
      </w:r>
      <w:r>
        <w:rPr>
          <w:spacing w:val="-12"/>
          <w:w w:val="105"/>
        </w:rPr>
        <w:t xml:space="preserve"> </w:t>
      </w:r>
      <w:r>
        <w:rPr>
          <w:w w:val="105"/>
        </w:rPr>
        <w:t>in</w:t>
      </w:r>
      <w:r>
        <w:rPr>
          <w:spacing w:val="-20"/>
          <w:w w:val="105"/>
        </w:rPr>
        <w:t xml:space="preserve"> </w:t>
      </w:r>
      <w:r>
        <w:rPr>
          <w:w w:val="105"/>
        </w:rPr>
        <w:t>individuals</w:t>
      </w:r>
      <w:r>
        <w:rPr>
          <w:spacing w:val="-17"/>
          <w:w w:val="105"/>
        </w:rPr>
        <w:t xml:space="preserve"> </w:t>
      </w:r>
      <w:r>
        <w:rPr>
          <w:w w:val="105"/>
        </w:rPr>
        <w:t>with</w:t>
      </w:r>
      <w:r>
        <w:rPr>
          <w:spacing w:val="-16"/>
          <w:w w:val="105"/>
        </w:rPr>
        <w:t xml:space="preserve"> </w:t>
      </w:r>
      <w:r>
        <w:rPr>
          <w:w w:val="105"/>
        </w:rPr>
        <w:t>a</w:t>
      </w:r>
      <w:r>
        <w:rPr>
          <w:spacing w:val="-14"/>
          <w:w w:val="105"/>
        </w:rPr>
        <w:t xml:space="preserve"> </w:t>
      </w:r>
      <w:r>
        <w:rPr>
          <w:w w:val="105"/>
        </w:rPr>
        <w:t>preexisting</w:t>
      </w:r>
      <w:r>
        <w:rPr>
          <w:spacing w:val="-16"/>
          <w:w w:val="105"/>
        </w:rPr>
        <w:t xml:space="preserve"> </w:t>
      </w:r>
      <w:r>
        <w:rPr>
          <w:w w:val="105"/>
        </w:rPr>
        <w:t>diagnosis</w:t>
      </w:r>
      <w:r>
        <w:rPr>
          <w:spacing w:val="-18"/>
          <w:w w:val="105"/>
        </w:rPr>
        <w:t xml:space="preserve"> </w:t>
      </w:r>
      <w:r>
        <w:rPr>
          <w:w w:val="105"/>
        </w:rPr>
        <w:t>of</w:t>
      </w:r>
      <w:r>
        <w:rPr>
          <w:spacing w:val="-21"/>
          <w:w w:val="105"/>
        </w:rPr>
        <w:t xml:space="preserve"> </w:t>
      </w:r>
      <w:r>
        <w:rPr>
          <w:w w:val="105"/>
        </w:rPr>
        <w:t>Autistic</w:t>
      </w:r>
      <w:r>
        <w:rPr>
          <w:spacing w:val="-16"/>
          <w:w w:val="105"/>
        </w:rPr>
        <w:t xml:space="preserve"> </w:t>
      </w:r>
      <w:r>
        <w:rPr>
          <w:w w:val="105"/>
        </w:rPr>
        <w:t xml:space="preserve">Disorder or another Pervasive Developmental Disorder only if prominent hallucinations or delusions have been present for at least a month. Childhood-onset Schizophrenia  must be distinguished from </w:t>
      </w:r>
      <w:r>
        <w:rPr>
          <w:b/>
          <w:w w:val="105"/>
        </w:rPr>
        <w:t xml:space="preserve">childhood presentations  combining  disorganized  speech </w:t>
      </w:r>
      <w:r>
        <w:rPr>
          <w:w w:val="105"/>
        </w:rPr>
        <w:t xml:space="preserve">(from a </w:t>
      </w:r>
      <w:r>
        <w:rPr>
          <w:b/>
          <w:w w:val="105"/>
        </w:rPr>
        <w:t xml:space="preserve">Communication Disorder) </w:t>
      </w:r>
      <w:r>
        <w:rPr>
          <w:w w:val="105"/>
        </w:rPr>
        <w:t xml:space="preserve">and disorganized behavior (from </w:t>
      </w:r>
      <w:r>
        <w:rPr>
          <w:b/>
          <w:w w:val="105"/>
        </w:rPr>
        <w:t xml:space="preserve">Attention-Deficit/ </w:t>
      </w:r>
      <w:r>
        <w:rPr>
          <w:b/>
          <w:w w:val="105"/>
          <w:sz w:val="19"/>
        </w:rPr>
        <w:t>Hyperactivity</w:t>
      </w:r>
      <w:r>
        <w:rPr>
          <w:b/>
          <w:spacing w:val="10"/>
          <w:w w:val="105"/>
          <w:sz w:val="19"/>
        </w:rPr>
        <w:t xml:space="preserve"> </w:t>
      </w:r>
      <w:r>
        <w:rPr>
          <w:b/>
          <w:w w:val="105"/>
          <w:sz w:val="19"/>
        </w:rPr>
        <w:t>Disorder).</w:t>
      </w:r>
    </w:p>
    <w:p w:rsidR="00E675F0" w:rsidRDefault="00E675F0" w:rsidP="00E675F0">
      <w:pPr>
        <w:spacing w:line="256" w:lineRule="auto"/>
        <w:jc w:val="both"/>
        <w:rPr>
          <w:sz w:val="19"/>
        </w:rPr>
        <w:sectPr w:rsidR="00E675F0">
          <w:pgSz w:w="8960" w:h="14260"/>
          <w:pgMar w:top="1400" w:right="640" w:bottom="280" w:left="600" w:header="704" w:footer="0" w:gutter="0"/>
          <w:cols w:space="720"/>
        </w:sectPr>
      </w:pPr>
    </w:p>
    <w:p w:rsidR="00E675F0" w:rsidRDefault="00E675F0" w:rsidP="00E675F0">
      <w:pPr>
        <w:pStyle w:val="BodyText"/>
        <w:spacing w:before="130" w:line="252" w:lineRule="auto"/>
        <w:ind w:left="108" w:right="116" w:firstLine="363"/>
        <w:jc w:val="both"/>
      </w:pPr>
      <w:bookmarkStart w:id="183" w:name="_bookmark162"/>
      <w:bookmarkEnd w:id="183"/>
      <w:r>
        <w:rPr>
          <w:w w:val="105"/>
        </w:rPr>
        <w:lastRenderedPageBreak/>
        <w:t xml:space="preserve">Schizophrenia shares features (e.g., paranoid ideation, magical thinking, social avoidance, and vague and digressive speech) with and may  be  preceded  by </w:t>
      </w:r>
      <w:r>
        <w:rPr>
          <w:b/>
          <w:w w:val="105"/>
          <w:sz w:val="19"/>
        </w:rPr>
        <w:t>Schizotypal,</w:t>
      </w:r>
      <w:r>
        <w:rPr>
          <w:b/>
          <w:spacing w:val="49"/>
          <w:w w:val="105"/>
          <w:sz w:val="19"/>
        </w:rPr>
        <w:t xml:space="preserve"> </w:t>
      </w:r>
      <w:r>
        <w:rPr>
          <w:b/>
          <w:w w:val="105"/>
          <w:sz w:val="19"/>
        </w:rPr>
        <w:t xml:space="preserve">Schizoid,  </w:t>
      </w:r>
      <w:r>
        <w:rPr>
          <w:rFonts w:ascii="Arial"/>
          <w:b/>
          <w:w w:val="105"/>
          <w:sz w:val="16"/>
        </w:rPr>
        <w:t xml:space="preserve">or  </w:t>
      </w:r>
      <w:r>
        <w:rPr>
          <w:b/>
          <w:w w:val="105"/>
          <w:sz w:val="19"/>
        </w:rPr>
        <w:t xml:space="preserve">Paranoid  Personality  Disorder.  </w:t>
      </w:r>
      <w:r>
        <w:rPr>
          <w:w w:val="105"/>
        </w:rPr>
        <w:t>An   additional   diagnosis of Schizophrenia is appropriate when the symptoms are severe enough to satisfy Criterion</w:t>
      </w:r>
      <w:r>
        <w:rPr>
          <w:spacing w:val="-5"/>
          <w:w w:val="105"/>
        </w:rPr>
        <w:t xml:space="preserve"> </w:t>
      </w:r>
      <w:r>
        <w:rPr>
          <w:w w:val="105"/>
        </w:rPr>
        <w:t>A</w:t>
      </w:r>
      <w:r>
        <w:rPr>
          <w:spacing w:val="-24"/>
          <w:w w:val="105"/>
        </w:rPr>
        <w:t xml:space="preserve"> </w:t>
      </w:r>
      <w:r>
        <w:rPr>
          <w:w w:val="105"/>
        </w:rPr>
        <w:t>of</w:t>
      </w:r>
      <w:r>
        <w:rPr>
          <w:spacing w:val="-12"/>
          <w:w w:val="105"/>
        </w:rPr>
        <w:t xml:space="preserve"> </w:t>
      </w:r>
      <w:r>
        <w:rPr>
          <w:w w:val="105"/>
        </w:rPr>
        <w:t>Schizophrenia.</w:t>
      </w:r>
      <w:r>
        <w:rPr>
          <w:spacing w:val="-21"/>
          <w:w w:val="105"/>
        </w:rPr>
        <w:t xml:space="preserve"> </w:t>
      </w:r>
      <w:r>
        <w:rPr>
          <w:w w:val="105"/>
        </w:rPr>
        <w:t>The</w:t>
      </w:r>
      <w:r>
        <w:rPr>
          <w:spacing w:val="-5"/>
          <w:w w:val="105"/>
        </w:rPr>
        <w:t xml:space="preserve"> </w:t>
      </w:r>
      <w:r>
        <w:rPr>
          <w:w w:val="105"/>
        </w:rPr>
        <w:t>preexisting</w:t>
      </w:r>
      <w:r>
        <w:rPr>
          <w:spacing w:val="-3"/>
          <w:w w:val="105"/>
        </w:rPr>
        <w:t xml:space="preserve"> </w:t>
      </w:r>
      <w:r>
        <w:rPr>
          <w:w w:val="105"/>
        </w:rPr>
        <w:t>Personality</w:t>
      </w:r>
      <w:r>
        <w:rPr>
          <w:spacing w:val="-5"/>
          <w:w w:val="105"/>
        </w:rPr>
        <w:t xml:space="preserve"> </w:t>
      </w:r>
      <w:r>
        <w:rPr>
          <w:w w:val="105"/>
        </w:rPr>
        <w:t>Disorder</w:t>
      </w:r>
      <w:r>
        <w:rPr>
          <w:spacing w:val="-3"/>
          <w:w w:val="105"/>
        </w:rPr>
        <w:t xml:space="preserve"> </w:t>
      </w:r>
      <w:r>
        <w:rPr>
          <w:w w:val="105"/>
        </w:rPr>
        <w:t>may</w:t>
      </w:r>
      <w:r>
        <w:rPr>
          <w:spacing w:val="-10"/>
          <w:w w:val="105"/>
        </w:rPr>
        <w:t xml:space="preserve"> </w:t>
      </w:r>
      <w:r>
        <w:rPr>
          <w:w w:val="105"/>
        </w:rPr>
        <w:t>be</w:t>
      </w:r>
      <w:r>
        <w:rPr>
          <w:spacing w:val="-9"/>
          <w:w w:val="105"/>
        </w:rPr>
        <w:t xml:space="preserve"> </w:t>
      </w:r>
      <w:r>
        <w:rPr>
          <w:w w:val="105"/>
        </w:rPr>
        <w:t>noted</w:t>
      </w:r>
      <w:r>
        <w:rPr>
          <w:spacing w:val="-5"/>
          <w:w w:val="105"/>
        </w:rPr>
        <w:t xml:space="preserve"> </w:t>
      </w:r>
      <w:r>
        <w:rPr>
          <w:w w:val="105"/>
        </w:rPr>
        <w:t>on</w:t>
      </w:r>
      <w:r>
        <w:rPr>
          <w:spacing w:val="-5"/>
          <w:w w:val="105"/>
        </w:rPr>
        <w:t xml:space="preserve"> </w:t>
      </w:r>
      <w:r>
        <w:rPr>
          <w:w w:val="105"/>
        </w:rPr>
        <w:t>Axis II followed by "Premorbid" in parentheses [e.g., Schizotypal Personality Disorder (Premorbid)].</w:t>
      </w:r>
    </w:p>
    <w:p w:rsidR="00E675F0" w:rsidRDefault="00E675F0" w:rsidP="00E675F0">
      <w:pPr>
        <w:pStyle w:val="BodyText"/>
      </w:pPr>
    </w:p>
    <w:p w:rsidR="00E675F0" w:rsidRDefault="00E675F0" w:rsidP="00E675F0">
      <w:pPr>
        <w:pStyle w:val="BodyText"/>
      </w:pPr>
    </w:p>
    <w:p w:rsidR="00E675F0" w:rsidRDefault="00E675F0" w:rsidP="00E675F0">
      <w:pPr>
        <w:pStyle w:val="BodyText"/>
        <w:spacing w:before="4"/>
        <w:rPr>
          <w:sz w:val="23"/>
        </w:rPr>
      </w:pPr>
    </w:p>
    <w:tbl>
      <w:tblPr>
        <w:tblW w:w="0" w:type="auto"/>
        <w:tblInd w:w="214"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7329"/>
      </w:tblGrid>
      <w:tr w:rsidR="00E675F0" w:rsidTr="00A330E1">
        <w:trPr>
          <w:trHeight w:val="9289"/>
        </w:trPr>
        <w:tc>
          <w:tcPr>
            <w:tcW w:w="7329" w:type="dxa"/>
          </w:tcPr>
          <w:p w:rsidR="00E675F0" w:rsidRDefault="00E675F0" w:rsidP="003048D3">
            <w:pPr>
              <w:pStyle w:val="TableParagraph"/>
              <w:numPr>
                <w:ilvl w:val="0"/>
                <w:numId w:val="16"/>
              </w:numPr>
              <w:tabs>
                <w:tab w:val="left" w:pos="634"/>
              </w:tabs>
              <w:spacing w:line="537" w:lineRule="exact"/>
              <w:rPr>
                <w:rFonts w:ascii="Arial" w:hAnsi="Arial"/>
                <w:b/>
                <w:sz w:val="24"/>
              </w:rPr>
            </w:pPr>
            <w:r>
              <w:rPr>
                <w:rFonts w:ascii="Arial" w:hAnsi="Arial"/>
                <w:b/>
                <w:w w:val="105"/>
                <w:sz w:val="24"/>
              </w:rPr>
              <w:t>Diagnostic criteria for</w:t>
            </w:r>
            <w:r>
              <w:rPr>
                <w:rFonts w:ascii="Arial" w:hAnsi="Arial"/>
                <w:b/>
                <w:spacing w:val="7"/>
                <w:w w:val="105"/>
                <w:sz w:val="24"/>
              </w:rPr>
              <w:t xml:space="preserve"> </w:t>
            </w:r>
            <w:r>
              <w:rPr>
                <w:rFonts w:ascii="Arial" w:hAnsi="Arial"/>
                <w:b/>
                <w:w w:val="105"/>
                <w:sz w:val="24"/>
              </w:rPr>
              <w:t>Schizophrenia</w:t>
            </w:r>
          </w:p>
          <w:p w:rsidR="00E675F0" w:rsidRDefault="00E675F0" w:rsidP="003048D3">
            <w:pPr>
              <w:pStyle w:val="TableParagraph"/>
              <w:numPr>
                <w:ilvl w:val="1"/>
                <w:numId w:val="16"/>
              </w:numPr>
              <w:tabs>
                <w:tab w:val="left" w:pos="970"/>
              </w:tabs>
              <w:spacing w:before="96" w:line="254" w:lineRule="auto"/>
              <w:ind w:right="223" w:hanging="302"/>
              <w:jc w:val="both"/>
              <w:rPr>
                <w:sz w:val="18"/>
              </w:rPr>
            </w:pPr>
            <w:r>
              <w:rPr>
                <w:i/>
                <w:w w:val="105"/>
                <w:sz w:val="20"/>
              </w:rPr>
              <w:t xml:space="preserve">Characteristicsymptoms: </w:t>
            </w:r>
            <w:r>
              <w:rPr>
                <w:w w:val="105"/>
                <w:sz w:val="20"/>
              </w:rPr>
              <w:t>Two (or more) of the following, each present for a significant portion of time during a I-month period (or less if successfully</w:t>
            </w:r>
            <w:r>
              <w:rPr>
                <w:spacing w:val="9"/>
                <w:w w:val="105"/>
                <w:sz w:val="20"/>
              </w:rPr>
              <w:t xml:space="preserve"> </w:t>
            </w:r>
            <w:r>
              <w:rPr>
                <w:w w:val="105"/>
                <w:sz w:val="20"/>
              </w:rPr>
              <w:t>treated):</w:t>
            </w:r>
          </w:p>
          <w:p w:rsidR="00E675F0" w:rsidRDefault="00E675F0" w:rsidP="003048D3">
            <w:pPr>
              <w:pStyle w:val="TableParagraph"/>
              <w:numPr>
                <w:ilvl w:val="2"/>
                <w:numId w:val="16"/>
              </w:numPr>
              <w:tabs>
                <w:tab w:val="left" w:pos="1380"/>
                <w:tab w:val="left" w:pos="1381"/>
              </w:tabs>
              <w:spacing w:before="53"/>
              <w:rPr>
                <w:sz w:val="17"/>
              </w:rPr>
            </w:pPr>
            <w:r>
              <w:rPr>
                <w:w w:val="105"/>
                <w:sz w:val="20"/>
              </w:rPr>
              <w:t>delusions</w:t>
            </w:r>
          </w:p>
          <w:p w:rsidR="00E675F0" w:rsidRDefault="00E675F0" w:rsidP="003048D3">
            <w:pPr>
              <w:pStyle w:val="TableParagraph"/>
              <w:numPr>
                <w:ilvl w:val="2"/>
                <w:numId w:val="16"/>
              </w:numPr>
              <w:tabs>
                <w:tab w:val="left" w:pos="1391"/>
              </w:tabs>
              <w:spacing w:before="15"/>
              <w:ind w:left="1390" w:hanging="431"/>
              <w:rPr>
                <w:sz w:val="20"/>
              </w:rPr>
            </w:pPr>
            <w:r>
              <w:rPr>
                <w:w w:val="105"/>
                <w:sz w:val="20"/>
              </w:rPr>
              <w:t>hallucinations</w:t>
            </w:r>
          </w:p>
          <w:p w:rsidR="00E675F0" w:rsidRDefault="00E675F0" w:rsidP="003048D3">
            <w:pPr>
              <w:pStyle w:val="TableParagraph"/>
              <w:numPr>
                <w:ilvl w:val="2"/>
                <w:numId w:val="16"/>
              </w:numPr>
              <w:tabs>
                <w:tab w:val="left" w:pos="1381"/>
              </w:tabs>
              <w:spacing w:before="15"/>
              <w:ind w:hanging="426"/>
              <w:rPr>
                <w:sz w:val="20"/>
              </w:rPr>
            </w:pPr>
            <w:r>
              <w:rPr>
                <w:w w:val="105"/>
                <w:sz w:val="20"/>
              </w:rPr>
              <w:t>disorganized speech (e.g., frequent derailment or</w:t>
            </w:r>
            <w:r>
              <w:rPr>
                <w:spacing w:val="9"/>
                <w:w w:val="105"/>
                <w:sz w:val="20"/>
              </w:rPr>
              <w:t xml:space="preserve"> </w:t>
            </w:r>
            <w:r>
              <w:rPr>
                <w:w w:val="105"/>
                <w:sz w:val="20"/>
              </w:rPr>
              <w:t>incoherence)</w:t>
            </w:r>
          </w:p>
          <w:p w:rsidR="00E675F0" w:rsidRDefault="00E675F0" w:rsidP="003048D3">
            <w:pPr>
              <w:pStyle w:val="TableParagraph"/>
              <w:numPr>
                <w:ilvl w:val="2"/>
                <w:numId w:val="16"/>
              </w:numPr>
              <w:tabs>
                <w:tab w:val="left" w:pos="1382"/>
              </w:tabs>
              <w:spacing w:before="15"/>
              <w:ind w:left="1381" w:hanging="422"/>
              <w:rPr>
                <w:sz w:val="20"/>
              </w:rPr>
            </w:pPr>
            <w:r>
              <w:rPr>
                <w:w w:val="105"/>
                <w:sz w:val="20"/>
              </w:rPr>
              <w:t>grossly disorganized or catatonic</w:t>
            </w:r>
            <w:r>
              <w:rPr>
                <w:spacing w:val="5"/>
                <w:w w:val="105"/>
                <w:sz w:val="20"/>
              </w:rPr>
              <w:t xml:space="preserve"> </w:t>
            </w:r>
            <w:r>
              <w:rPr>
                <w:w w:val="105"/>
                <w:sz w:val="20"/>
              </w:rPr>
              <w:t>behavior</w:t>
            </w:r>
          </w:p>
          <w:p w:rsidR="00E675F0" w:rsidRDefault="00E675F0" w:rsidP="003048D3">
            <w:pPr>
              <w:pStyle w:val="TableParagraph"/>
              <w:numPr>
                <w:ilvl w:val="2"/>
                <w:numId w:val="16"/>
              </w:numPr>
              <w:tabs>
                <w:tab w:val="left" w:pos="1391"/>
              </w:tabs>
              <w:spacing w:before="20"/>
              <w:ind w:left="1390" w:hanging="431"/>
              <w:rPr>
                <w:sz w:val="20"/>
              </w:rPr>
            </w:pPr>
            <w:r>
              <w:rPr>
                <w:w w:val="105"/>
                <w:sz w:val="20"/>
              </w:rPr>
              <w:t>negative symptoms, i.e., affective flattening, alogia, or</w:t>
            </w:r>
            <w:r>
              <w:rPr>
                <w:spacing w:val="4"/>
                <w:w w:val="105"/>
                <w:sz w:val="20"/>
              </w:rPr>
              <w:t xml:space="preserve"> </w:t>
            </w:r>
            <w:r>
              <w:rPr>
                <w:w w:val="105"/>
                <w:sz w:val="20"/>
              </w:rPr>
              <w:t>avolition</w:t>
            </w:r>
          </w:p>
          <w:p w:rsidR="00E675F0" w:rsidRDefault="00E675F0" w:rsidP="00A330E1">
            <w:pPr>
              <w:pStyle w:val="TableParagraph"/>
              <w:spacing w:before="159" w:line="247" w:lineRule="auto"/>
              <w:ind w:left="962" w:right="218" w:hanging="11"/>
              <w:jc w:val="both"/>
              <w:rPr>
                <w:sz w:val="18"/>
              </w:rPr>
            </w:pPr>
            <w:r>
              <w:rPr>
                <w:rFonts w:ascii="Arial"/>
                <w:b/>
                <w:w w:val="105"/>
                <w:sz w:val="16"/>
              </w:rPr>
              <w:t xml:space="preserve">Note: </w:t>
            </w:r>
            <w:r>
              <w:rPr>
                <w:w w:val="105"/>
                <w:sz w:val="18"/>
              </w:rPr>
              <w:t>Only one Criterion A symptom is required if delusions are bizarre or hallucinations consist of a voice keeping up a running commentary on the person's behavior or thoughts, or two or more voices conversing with each other.</w:t>
            </w:r>
          </w:p>
          <w:p w:rsidR="00E675F0" w:rsidRDefault="00E675F0" w:rsidP="00A330E1">
            <w:pPr>
              <w:pStyle w:val="TableParagraph"/>
              <w:spacing w:before="6"/>
              <w:rPr>
                <w:sz w:val="29"/>
              </w:rPr>
            </w:pPr>
          </w:p>
          <w:p w:rsidR="00E675F0" w:rsidRDefault="00E675F0" w:rsidP="003048D3">
            <w:pPr>
              <w:pStyle w:val="TableParagraph"/>
              <w:numPr>
                <w:ilvl w:val="1"/>
                <w:numId w:val="16"/>
              </w:numPr>
              <w:tabs>
                <w:tab w:val="left" w:pos="972"/>
              </w:tabs>
              <w:spacing w:line="252" w:lineRule="auto"/>
              <w:ind w:left="953" w:right="218" w:hanging="292"/>
              <w:jc w:val="both"/>
              <w:rPr>
                <w:sz w:val="20"/>
              </w:rPr>
            </w:pPr>
            <w:r>
              <w:rPr>
                <w:i/>
                <w:w w:val="105"/>
                <w:sz w:val="20"/>
              </w:rPr>
              <w:t xml:space="preserve">Social/occupational dyifunction: </w:t>
            </w:r>
            <w:r>
              <w:rPr>
                <w:w w:val="105"/>
                <w:sz w:val="20"/>
              </w:rPr>
              <w:t>For a significant portion of the time since the onset of the disturbance, one or more major areas of functioning such as work, interpersonal relations, or self-care are markedly below the level achieved prior to the onset (or when the onset is in childhood or adolescence, failure to achieve expected level of interpersonal, academic, or occupational</w:t>
            </w:r>
            <w:r>
              <w:rPr>
                <w:spacing w:val="12"/>
                <w:w w:val="105"/>
                <w:sz w:val="20"/>
              </w:rPr>
              <w:t xml:space="preserve"> </w:t>
            </w:r>
            <w:r>
              <w:rPr>
                <w:w w:val="105"/>
                <w:sz w:val="20"/>
              </w:rPr>
              <w:t>achievement).</w:t>
            </w:r>
          </w:p>
          <w:p w:rsidR="00E675F0" w:rsidRDefault="00E675F0" w:rsidP="003048D3">
            <w:pPr>
              <w:pStyle w:val="TableParagraph"/>
              <w:numPr>
                <w:ilvl w:val="1"/>
                <w:numId w:val="16"/>
              </w:numPr>
              <w:tabs>
                <w:tab w:val="left" w:pos="975"/>
              </w:tabs>
              <w:spacing w:before="181"/>
              <w:ind w:left="974" w:hanging="322"/>
              <w:jc w:val="both"/>
              <w:rPr>
                <w:sz w:val="20"/>
              </w:rPr>
            </w:pPr>
            <w:r>
              <w:rPr>
                <w:i/>
                <w:w w:val="105"/>
                <w:sz w:val="20"/>
              </w:rPr>
              <w:t xml:space="preserve">Duration: </w:t>
            </w:r>
            <w:r>
              <w:rPr>
                <w:w w:val="105"/>
                <w:sz w:val="20"/>
              </w:rPr>
              <w:t>Continuous signs of the disturbance persist for at</w:t>
            </w:r>
            <w:r>
              <w:rPr>
                <w:spacing w:val="28"/>
                <w:w w:val="105"/>
                <w:sz w:val="20"/>
              </w:rPr>
              <w:t xml:space="preserve"> </w:t>
            </w:r>
            <w:r>
              <w:rPr>
                <w:w w:val="105"/>
                <w:sz w:val="20"/>
              </w:rPr>
              <w:t>least</w:t>
            </w:r>
          </w:p>
          <w:p w:rsidR="00E675F0" w:rsidRDefault="00E675F0" w:rsidP="00A330E1">
            <w:pPr>
              <w:pStyle w:val="TableParagraph"/>
              <w:spacing w:before="5" w:line="252" w:lineRule="auto"/>
              <w:ind w:left="949" w:right="208" w:firstLine="1"/>
              <w:jc w:val="both"/>
              <w:rPr>
                <w:sz w:val="20"/>
              </w:rPr>
            </w:pPr>
            <w:r>
              <w:rPr>
                <w:w w:val="110"/>
                <w:sz w:val="20"/>
              </w:rPr>
              <w:t>6 months. This 6-month period must include at least 1 month of symptoms (or less if successfully treated) that meet Criterion A (i.e., active-phase symptoms) and may include periods of prodromal or residual symptoms. During these prodromal or residual periods, the signs</w:t>
            </w:r>
            <w:r>
              <w:rPr>
                <w:spacing w:val="-21"/>
                <w:w w:val="110"/>
                <w:sz w:val="20"/>
              </w:rPr>
              <w:t xml:space="preserve"> </w:t>
            </w:r>
            <w:r>
              <w:rPr>
                <w:w w:val="110"/>
                <w:sz w:val="20"/>
              </w:rPr>
              <w:t>of</w:t>
            </w:r>
            <w:r>
              <w:rPr>
                <w:spacing w:val="-21"/>
                <w:w w:val="110"/>
                <w:sz w:val="20"/>
              </w:rPr>
              <w:t xml:space="preserve"> </w:t>
            </w:r>
            <w:r>
              <w:rPr>
                <w:w w:val="110"/>
                <w:sz w:val="20"/>
              </w:rPr>
              <w:t>the</w:t>
            </w:r>
            <w:r>
              <w:rPr>
                <w:spacing w:val="-23"/>
                <w:w w:val="110"/>
                <w:sz w:val="20"/>
              </w:rPr>
              <w:t xml:space="preserve"> </w:t>
            </w:r>
            <w:r>
              <w:rPr>
                <w:w w:val="110"/>
                <w:sz w:val="20"/>
              </w:rPr>
              <w:t>disturbance</w:t>
            </w:r>
            <w:r>
              <w:rPr>
                <w:spacing w:val="-18"/>
                <w:w w:val="110"/>
                <w:sz w:val="20"/>
              </w:rPr>
              <w:t xml:space="preserve"> </w:t>
            </w:r>
            <w:r>
              <w:rPr>
                <w:w w:val="110"/>
                <w:sz w:val="20"/>
              </w:rPr>
              <w:t>may</w:t>
            </w:r>
            <w:r>
              <w:rPr>
                <w:spacing w:val="-17"/>
                <w:w w:val="110"/>
                <w:sz w:val="20"/>
              </w:rPr>
              <w:t xml:space="preserve"> </w:t>
            </w:r>
            <w:r>
              <w:rPr>
                <w:w w:val="110"/>
                <w:sz w:val="20"/>
              </w:rPr>
              <w:t>be</w:t>
            </w:r>
            <w:r>
              <w:rPr>
                <w:spacing w:val="-22"/>
                <w:w w:val="110"/>
                <w:sz w:val="20"/>
              </w:rPr>
              <w:t xml:space="preserve"> </w:t>
            </w:r>
            <w:r>
              <w:rPr>
                <w:w w:val="110"/>
                <w:sz w:val="20"/>
              </w:rPr>
              <w:t>manifested</w:t>
            </w:r>
            <w:r>
              <w:rPr>
                <w:spacing w:val="-6"/>
                <w:w w:val="110"/>
                <w:sz w:val="20"/>
              </w:rPr>
              <w:t xml:space="preserve"> </w:t>
            </w:r>
            <w:r>
              <w:rPr>
                <w:w w:val="110"/>
                <w:sz w:val="20"/>
              </w:rPr>
              <w:t>by</w:t>
            </w:r>
            <w:r>
              <w:rPr>
                <w:spacing w:val="-24"/>
                <w:w w:val="110"/>
                <w:sz w:val="20"/>
              </w:rPr>
              <w:t xml:space="preserve"> </w:t>
            </w:r>
            <w:r>
              <w:rPr>
                <w:w w:val="110"/>
                <w:sz w:val="20"/>
              </w:rPr>
              <w:t>only</w:t>
            </w:r>
            <w:r>
              <w:rPr>
                <w:spacing w:val="-20"/>
                <w:w w:val="110"/>
                <w:sz w:val="20"/>
              </w:rPr>
              <w:t xml:space="preserve"> </w:t>
            </w:r>
            <w:r>
              <w:rPr>
                <w:w w:val="110"/>
                <w:sz w:val="20"/>
              </w:rPr>
              <w:t>negative</w:t>
            </w:r>
            <w:r>
              <w:rPr>
                <w:spacing w:val="-21"/>
                <w:w w:val="110"/>
                <w:sz w:val="20"/>
              </w:rPr>
              <w:t xml:space="preserve"> </w:t>
            </w:r>
            <w:r>
              <w:rPr>
                <w:w w:val="110"/>
                <w:sz w:val="20"/>
              </w:rPr>
              <w:t>symptoms or</w:t>
            </w:r>
            <w:r>
              <w:rPr>
                <w:spacing w:val="-14"/>
                <w:w w:val="110"/>
                <w:sz w:val="20"/>
              </w:rPr>
              <w:t xml:space="preserve"> </w:t>
            </w:r>
            <w:r>
              <w:rPr>
                <w:w w:val="110"/>
                <w:sz w:val="20"/>
              </w:rPr>
              <w:t>two</w:t>
            </w:r>
            <w:r>
              <w:rPr>
                <w:spacing w:val="-17"/>
                <w:w w:val="110"/>
                <w:sz w:val="20"/>
              </w:rPr>
              <w:t xml:space="preserve"> </w:t>
            </w:r>
            <w:r>
              <w:rPr>
                <w:w w:val="110"/>
                <w:sz w:val="20"/>
              </w:rPr>
              <w:t>or</w:t>
            </w:r>
            <w:r>
              <w:rPr>
                <w:spacing w:val="-14"/>
                <w:w w:val="110"/>
                <w:sz w:val="20"/>
              </w:rPr>
              <w:t xml:space="preserve"> </w:t>
            </w:r>
            <w:r>
              <w:rPr>
                <w:w w:val="110"/>
                <w:sz w:val="20"/>
              </w:rPr>
              <w:t>more</w:t>
            </w:r>
            <w:r>
              <w:rPr>
                <w:spacing w:val="-19"/>
                <w:w w:val="110"/>
                <w:sz w:val="20"/>
              </w:rPr>
              <w:t xml:space="preserve"> </w:t>
            </w:r>
            <w:r>
              <w:rPr>
                <w:w w:val="110"/>
                <w:sz w:val="20"/>
              </w:rPr>
              <w:t>symptoms</w:t>
            </w:r>
            <w:r>
              <w:rPr>
                <w:spacing w:val="-6"/>
                <w:w w:val="110"/>
                <w:sz w:val="20"/>
              </w:rPr>
              <w:t xml:space="preserve"> </w:t>
            </w:r>
            <w:r>
              <w:rPr>
                <w:w w:val="110"/>
                <w:sz w:val="20"/>
              </w:rPr>
              <w:t>listed</w:t>
            </w:r>
            <w:r>
              <w:rPr>
                <w:spacing w:val="-11"/>
                <w:w w:val="110"/>
                <w:sz w:val="20"/>
              </w:rPr>
              <w:t xml:space="preserve"> </w:t>
            </w:r>
            <w:r>
              <w:rPr>
                <w:w w:val="110"/>
                <w:sz w:val="20"/>
              </w:rPr>
              <w:t>in</w:t>
            </w:r>
            <w:r>
              <w:rPr>
                <w:spacing w:val="-20"/>
                <w:w w:val="110"/>
                <w:sz w:val="20"/>
              </w:rPr>
              <w:t xml:space="preserve"> </w:t>
            </w:r>
            <w:r>
              <w:rPr>
                <w:w w:val="110"/>
                <w:sz w:val="20"/>
              </w:rPr>
              <w:t>Criterion</w:t>
            </w:r>
            <w:r>
              <w:rPr>
                <w:spacing w:val="-9"/>
                <w:w w:val="110"/>
                <w:sz w:val="20"/>
              </w:rPr>
              <w:t xml:space="preserve"> </w:t>
            </w:r>
            <w:r>
              <w:rPr>
                <w:w w:val="110"/>
                <w:sz w:val="20"/>
              </w:rPr>
              <w:t>A</w:t>
            </w:r>
            <w:r>
              <w:rPr>
                <w:spacing w:val="-15"/>
                <w:w w:val="110"/>
                <w:sz w:val="20"/>
              </w:rPr>
              <w:t xml:space="preserve"> </w:t>
            </w:r>
            <w:r>
              <w:rPr>
                <w:w w:val="110"/>
                <w:sz w:val="20"/>
              </w:rPr>
              <w:t>present</w:t>
            </w:r>
            <w:r>
              <w:rPr>
                <w:spacing w:val="-9"/>
                <w:w w:val="110"/>
                <w:sz w:val="20"/>
              </w:rPr>
              <w:t xml:space="preserve"> </w:t>
            </w:r>
            <w:r>
              <w:rPr>
                <w:w w:val="110"/>
                <w:sz w:val="20"/>
              </w:rPr>
              <w:t>in</w:t>
            </w:r>
            <w:r>
              <w:rPr>
                <w:spacing w:val="-17"/>
                <w:w w:val="110"/>
                <w:sz w:val="20"/>
              </w:rPr>
              <w:t xml:space="preserve"> </w:t>
            </w:r>
            <w:r>
              <w:rPr>
                <w:w w:val="110"/>
                <w:sz w:val="20"/>
              </w:rPr>
              <w:t>an</w:t>
            </w:r>
            <w:r>
              <w:rPr>
                <w:spacing w:val="-16"/>
                <w:w w:val="110"/>
                <w:sz w:val="20"/>
              </w:rPr>
              <w:t xml:space="preserve"> </w:t>
            </w:r>
            <w:r>
              <w:rPr>
                <w:w w:val="110"/>
                <w:sz w:val="20"/>
              </w:rPr>
              <w:t>attenuated form (e.g., odd beliefs, unusual perceptual</w:t>
            </w:r>
            <w:r>
              <w:rPr>
                <w:spacing w:val="1"/>
                <w:w w:val="110"/>
                <w:sz w:val="20"/>
              </w:rPr>
              <w:t xml:space="preserve"> </w:t>
            </w:r>
            <w:r>
              <w:rPr>
                <w:w w:val="110"/>
                <w:sz w:val="20"/>
              </w:rPr>
              <w:t>experiences).</w:t>
            </w:r>
          </w:p>
          <w:p w:rsidR="00E675F0" w:rsidRDefault="00E675F0" w:rsidP="00A330E1">
            <w:pPr>
              <w:pStyle w:val="TableParagraph"/>
              <w:spacing w:before="3"/>
              <w:rPr>
                <w:sz w:val="17"/>
              </w:rPr>
            </w:pPr>
          </w:p>
          <w:p w:rsidR="00E675F0" w:rsidRDefault="00E675F0" w:rsidP="00A330E1">
            <w:pPr>
              <w:pStyle w:val="TableParagraph"/>
              <w:spacing w:before="1" w:line="256" w:lineRule="auto"/>
              <w:ind w:left="951" w:right="211" w:hanging="295"/>
              <w:jc w:val="both"/>
              <w:rPr>
                <w:sz w:val="20"/>
              </w:rPr>
            </w:pPr>
            <w:r>
              <w:rPr>
                <w:w w:val="105"/>
                <w:sz w:val="20"/>
              </w:rPr>
              <w:t xml:space="preserve">D. </w:t>
            </w:r>
            <w:r>
              <w:rPr>
                <w:i/>
                <w:w w:val="105"/>
                <w:sz w:val="20"/>
              </w:rPr>
              <w:t xml:space="preserve">Schizoaffectiveand Mood Disorder exclusion: </w:t>
            </w:r>
            <w:r>
              <w:rPr>
                <w:w w:val="105"/>
                <w:sz w:val="20"/>
              </w:rPr>
              <w:t xml:space="preserve">Schizoaffective Disorder and Mood Disorder With Psychotic Features have been ruled out because either </w:t>
            </w:r>
            <w:r>
              <w:rPr>
                <w:w w:val="105"/>
                <w:sz w:val="17"/>
              </w:rPr>
              <w:t xml:space="preserve">(1) </w:t>
            </w:r>
            <w:r>
              <w:rPr>
                <w:w w:val="105"/>
                <w:sz w:val="20"/>
              </w:rPr>
              <w:t>no Major Depressive, Manic, or Mixed Episodes have occurred concurrently with the active-phase symptoms; or (2) if mood episodes have occurred during active-phase symptoms, their total</w:t>
            </w:r>
          </w:p>
          <w:p w:rsidR="00E675F0" w:rsidRDefault="00E675F0" w:rsidP="00A330E1">
            <w:pPr>
              <w:pStyle w:val="TableParagraph"/>
              <w:spacing w:line="216" w:lineRule="exact"/>
              <w:ind w:right="206"/>
              <w:jc w:val="right"/>
              <w:rPr>
                <w:i/>
                <w:sz w:val="20"/>
              </w:rPr>
            </w:pPr>
            <w:r>
              <w:rPr>
                <w:i/>
                <w:w w:val="110"/>
                <w:sz w:val="20"/>
              </w:rPr>
              <w:t>(continued)</w:t>
            </w:r>
          </w:p>
        </w:tc>
      </w:tr>
    </w:tbl>
    <w:p w:rsidR="00E675F0" w:rsidRDefault="00E675F0" w:rsidP="00E675F0">
      <w:pPr>
        <w:spacing w:line="216" w:lineRule="exact"/>
        <w:jc w:val="right"/>
        <w:rPr>
          <w:sz w:val="20"/>
        </w:rPr>
        <w:sectPr w:rsidR="00E675F0">
          <w:pgSz w:w="8960" w:h="14260"/>
          <w:pgMar w:top="1400" w:right="640" w:bottom="280" w:left="600" w:header="691" w:footer="0" w:gutter="0"/>
          <w:cols w:space="720"/>
        </w:sectPr>
      </w:pPr>
    </w:p>
    <w:p w:rsidR="00E675F0" w:rsidRDefault="00E675F0" w:rsidP="00E675F0">
      <w:pPr>
        <w:pStyle w:val="BodyText"/>
        <w:spacing w:before="2"/>
        <w:rPr>
          <w:sz w:val="6"/>
        </w:rPr>
      </w:pPr>
    </w:p>
    <w:tbl>
      <w:tblPr>
        <w:tblW w:w="0" w:type="auto"/>
        <w:tblInd w:w="2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341"/>
      </w:tblGrid>
      <w:tr w:rsidR="00E675F0" w:rsidTr="00A330E1">
        <w:trPr>
          <w:trHeight w:val="7316"/>
        </w:trPr>
        <w:tc>
          <w:tcPr>
            <w:tcW w:w="7341" w:type="dxa"/>
            <w:tcBorders>
              <w:left w:val="single" w:sz="24" w:space="0" w:color="000000"/>
              <w:bottom w:val="single" w:sz="24" w:space="0" w:color="000000"/>
              <w:right w:val="single" w:sz="24" w:space="0" w:color="000000"/>
            </w:tcBorders>
          </w:tcPr>
          <w:p w:rsidR="00E675F0" w:rsidRDefault="00E675F0" w:rsidP="003048D3">
            <w:pPr>
              <w:pStyle w:val="TableParagraph"/>
              <w:numPr>
                <w:ilvl w:val="0"/>
                <w:numId w:val="15"/>
              </w:numPr>
              <w:tabs>
                <w:tab w:val="left" w:pos="605"/>
              </w:tabs>
              <w:spacing w:before="159"/>
              <w:rPr>
                <w:rFonts w:ascii="Arial" w:hAnsi="Arial"/>
                <w:i/>
              </w:rPr>
            </w:pPr>
            <w:r>
              <w:rPr>
                <w:b/>
                <w:w w:val="105"/>
                <w:sz w:val="24"/>
              </w:rPr>
              <w:t>Diagnostic criteria for Schizophrenia</w:t>
            </w:r>
            <w:r>
              <w:rPr>
                <w:b/>
                <w:spacing w:val="-27"/>
                <w:w w:val="105"/>
                <w:sz w:val="24"/>
              </w:rPr>
              <w:t xml:space="preserve"> </w:t>
            </w:r>
            <w:r>
              <w:rPr>
                <w:rFonts w:ascii="Arial" w:hAnsi="Arial"/>
                <w:i/>
                <w:w w:val="105"/>
              </w:rPr>
              <w:t>(continued)</w:t>
            </w:r>
          </w:p>
          <w:p w:rsidR="00E675F0" w:rsidRDefault="00E675F0" w:rsidP="00A330E1">
            <w:pPr>
              <w:pStyle w:val="TableParagraph"/>
              <w:spacing w:before="208" w:line="261" w:lineRule="auto"/>
              <w:ind w:left="964" w:hanging="3"/>
              <w:rPr>
                <w:sz w:val="20"/>
              </w:rPr>
            </w:pPr>
            <w:r>
              <w:rPr>
                <w:w w:val="105"/>
                <w:sz w:val="20"/>
              </w:rPr>
              <w:t>duration has been brief relative to the duration of the active and residual periods.</w:t>
            </w:r>
          </w:p>
          <w:p w:rsidR="00E675F0" w:rsidRDefault="00E675F0" w:rsidP="003048D3">
            <w:pPr>
              <w:pStyle w:val="TableParagraph"/>
              <w:numPr>
                <w:ilvl w:val="1"/>
                <w:numId w:val="15"/>
              </w:numPr>
              <w:tabs>
                <w:tab w:val="left" w:pos="972"/>
              </w:tabs>
              <w:spacing w:before="177" w:line="256" w:lineRule="auto"/>
              <w:ind w:right="230" w:hanging="305"/>
              <w:jc w:val="both"/>
              <w:rPr>
                <w:sz w:val="20"/>
              </w:rPr>
            </w:pPr>
            <w:r>
              <w:rPr>
                <w:i/>
                <w:w w:val="105"/>
                <w:sz w:val="20"/>
              </w:rPr>
              <w:t xml:space="preserve">Substance/general medical condition exclusion: </w:t>
            </w:r>
            <w:r>
              <w:rPr>
                <w:w w:val="105"/>
                <w:sz w:val="20"/>
              </w:rPr>
              <w:t>The disturbance is not due to the direct physiological effects of a substance (e.g., a drug of abuse, a medication) or a general medical</w:t>
            </w:r>
            <w:r>
              <w:rPr>
                <w:spacing w:val="6"/>
                <w:w w:val="105"/>
                <w:sz w:val="20"/>
              </w:rPr>
              <w:t xml:space="preserve"> </w:t>
            </w:r>
            <w:r>
              <w:rPr>
                <w:w w:val="105"/>
                <w:sz w:val="20"/>
              </w:rPr>
              <w:t>condition.</w:t>
            </w:r>
          </w:p>
          <w:p w:rsidR="00E675F0" w:rsidRDefault="00E675F0" w:rsidP="003048D3">
            <w:pPr>
              <w:pStyle w:val="TableParagraph"/>
              <w:numPr>
                <w:ilvl w:val="1"/>
                <w:numId w:val="15"/>
              </w:numPr>
              <w:tabs>
                <w:tab w:val="left" w:pos="973"/>
              </w:tabs>
              <w:spacing w:before="175" w:line="254" w:lineRule="auto"/>
              <w:ind w:left="958" w:right="223" w:hanging="307"/>
              <w:jc w:val="both"/>
              <w:rPr>
                <w:sz w:val="20"/>
              </w:rPr>
            </w:pPr>
            <w:r>
              <w:rPr>
                <w:i/>
                <w:w w:val="105"/>
                <w:sz w:val="20"/>
              </w:rPr>
              <w:t>Relationship</w:t>
            </w:r>
            <w:r>
              <w:rPr>
                <w:i/>
                <w:spacing w:val="-23"/>
                <w:w w:val="105"/>
                <w:sz w:val="20"/>
              </w:rPr>
              <w:t xml:space="preserve"> </w:t>
            </w:r>
            <w:r>
              <w:rPr>
                <w:i/>
                <w:w w:val="105"/>
                <w:sz w:val="20"/>
              </w:rPr>
              <w:t>to</w:t>
            </w:r>
            <w:r>
              <w:rPr>
                <w:i/>
                <w:spacing w:val="-32"/>
                <w:w w:val="105"/>
                <w:sz w:val="20"/>
              </w:rPr>
              <w:t xml:space="preserve"> </w:t>
            </w:r>
            <w:r>
              <w:rPr>
                <w:i/>
                <w:w w:val="105"/>
                <w:sz w:val="20"/>
              </w:rPr>
              <w:t>a</w:t>
            </w:r>
            <w:r>
              <w:rPr>
                <w:i/>
                <w:spacing w:val="-23"/>
                <w:w w:val="105"/>
                <w:sz w:val="20"/>
              </w:rPr>
              <w:t xml:space="preserve"> </w:t>
            </w:r>
            <w:r>
              <w:rPr>
                <w:i/>
                <w:w w:val="105"/>
                <w:sz w:val="20"/>
              </w:rPr>
              <w:t>Pervasive</w:t>
            </w:r>
            <w:r>
              <w:rPr>
                <w:i/>
                <w:spacing w:val="-18"/>
                <w:w w:val="105"/>
                <w:sz w:val="20"/>
              </w:rPr>
              <w:t xml:space="preserve"> </w:t>
            </w:r>
            <w:r>
              <w:rPr>
                <w:i/>
                <w:w w:val="105"/>
                <w:sz w:val="20"/>
              </w:rPr>
              <w:t>Developmental</w:t>
            </w:r>
            <w:r>
              <w:rPr>
                <w:i/>
                <w:spacing w:val="-18"/>
                <w:w w:val="105"/>
                <w:sz w:val="20"/>
              </w:rPr>
              <w:t xml:space="preserve"> </w:t>
            </w:r>
            <w:r>
              <w:rPr>
                <w:i/>
                <w:w w:val="105"/>
                <w:sz w:val="20"/>
              </w:rPr>
              <w:t>Disorder:</w:t>
            </w:r>
            <w:r>
              <w:rPr>
                <w:i/>
                <w:spacing w:val="4"/>
                <w:w w:val="105"/>
                <w:sz w:val="20"/>
              </w:rPr>
              <w:t xml:space="preserve"> </w:t>
            </w:r>
            <w:r>
              <w:rPr>
                <w:w w:val="105"/>
                <w:sz w:val="20"/>
              </w:rPr>
              <w:t>If</w:t>
            </w:r>
            <w:r>
              <w:rPr>
                <w:spacing w:val="-13"/>
                <w:w w:val="105"/>
                <w:sz w:val="20"/>
              </w:rPr>
              <w:t xml:space="preserve"> </w:t>
            </w:r>
            <w:r>
              <w:rPr>
                <w:w w:val="105"/>
                <w:sz w:val="20"/>
              </w:rPr>
              <w:t>there</w:t>
            </w:r>
            <w:r>
              <w:rPr>
                <w:spacing w:val="-19"/>
                <w:w w:val="105"/>
                <w:sz w:val="20"/>
              </w:rPr>
              <w:t xml:space="preserve"> </w:t>
            </w:r>
            <w:r>
              <w:rPr>
                <w:w w:val="105"/>
                <w:sz w:val="20"/>
              </w:rPr>
              <w:t>is</w:t>
            </w:r>
            <w:r>
              <w:rPr>
                <w:spacing w:val="-15"/>
                <w:w w:val="105"/>
                <w:sz w:val="20"/>
              </w:rPr>
              <w:t xml:space="preserve"> </w:t>
            </w:r>
            <w:r>
              <w:rPr>
                <w:w w:val="105"/>
                <w:sz w:val="20"/>
              </w:rPr>
              <w:t>a</w:t>
            </w:r>
            <w:r>
              <w:rPr>
                <w:spacing w:val="-14"/>
                <w:w w:val="105"/>
                <w:sz w:val="20"/>
              </w:rPr>
              <w:t xml:space="preserve"> </w:t>
            </w:r>
            <w:r>
              <w:rPr>
                <w:w w:val="105"/>
                <w:sz w:val="20"/>
              </w:rPr>
              <w:t>history of Autistic Disorder or another Pervasive Developmental Disorder, the additional diagnosis of Schizophrenia is made only if prominent delu­ sions or hallucinations are also present for at least a month (or less if successfully</w:t>
            </w:r>
            <w:r>
              <w:rPr>
                <w:spacing w:val="9"/>
                <w:w w:val="105"/>
                <w:sz w:val="20"/>
              </w:rPr>
              <w:t xml:space="preserve"> </w:t>
            </w:r>
            <w:r>
              <w:rPr>
                <w:w w:val="105"/>
                <w:sz w:val="20"/>
              </w:rPr>
              <w:t>treated).</w:t>
            </w:r>
          </w:p>
          <w:p w:rsidR="00E675F0" w:rsidRDefault="00E675F0" w:rsidP="00A330E1">
            <w:pPr>
              <w:pStyle w:val="TableParagraph"/>
              <w:spacing w:before="10"/>
              <w:rPr>
                <w:sz w:val="29"/>
              </w:rPr>
            </w:pPr>
          </w:p>
          <w:p w:rsidR="00E675F0" w:rsidRDefault="00E675F0" w:rsidP="00A330E1">
            <w:pPr>
              <w:pStyle w:val="TableParagraph"/>
              <w:spacing w:line="249" w:lineRule="auto"/>
              <w:ind w:left="412" w:right="278" w:hanging="8"/>
              <w:rPr>
                <w:sz w:val="20"/>
              </w:rPr>
            </w:pPr>
            <w:r>
              <w:rPr>
                <w:i/>
                <w:w w:val="95"/>
              </w:rPr>
              <w:t>Classification</w:t>
            </w:r>
            <w:r>
              <w:rPr>
                <w:i/>
                <w:spacing w:val="-26"/>
                <w:w w:val="95"/>
              </w:rPr>
              <w:t xml:space="preserve"> </w:t>
            </w:r>
            <w:r>
              <w:rPr>
                <w:i/>
                <w:w w:val="95"/>
              </w:rPr>
              <w:t>of</w:t>
            </w:r>
            <w:r>
              <w:rPr>
                <w:i/>
                <w:spacing w:val="-19"/>
                <w:w w:val="95"/>
              </w:rPr>
              <w:t xml:space="preserve"> </w:t>
            </w:r>
            <w:r>
              <w:rPr>
                <w:i/>
                <w:w w:val="95"/>
              </w:rPr>
              <w:t>longitudinal</w:t>
            </w:r>
            <w:r>
              <w:rPr>
                <w:i/>
                <w:spacing w:val="-14"/>
                <w:w w:val="95"/>
              </w:rPr>
              <w:t xml:space="preserve"> </w:t>
            </w:r>
            <w:r>
              <w:rPr>
                <w:i/>
                <w:w w:val="95"/>
              </w:rPr>
              <w:t>course</w:t>
            </w:r>
            <w:r>
              <w:rPr>
                <w:i/>
                <w:spacing w:val="-17"/>
                <w:w w:val="95"/>
              </w:rPr>
              <w:t xml:space="preserve"> </w:t>
            </w:r>
            <w:r>
              <w:rPr>
                <w:spacing w:val="2"/>
                <w:w w:val="95"/>
              </w:rPr>
              <w:t>(</w:t>
            </w:r>
            <w:r>
              <w:rPr>
                <w:spacing w:val="2"/>
                <w:w w:val="95"/>
                <w:sz w:val="20"/>
              </w:rPr>
              <w:t>can</w:t>
            </w:r>
            <w:r>
              <w:rPr>
                <w:spacing w:val="-9"/>
                <w:w w:val="95"/>
                <w:sz w:val="20"/>
              </w:rPr>
              <w:t xml:space="preserve"> </w:t>
            </w:r>
            <w:r>
              <w:rPr>
                <w:w w:val="95"/>
                <w:sz w:val="20"/>
              </w:rPr>
              <w:t>be</w:t>
            </w:r>
            <w:r>
              <w:rPr>
                <w:spacing w:val="-21"/>
                <w:w w:val="95"/>
                <w:sz w:val="20"/>
              </w:rPr>
              <w:t xml:space="preserve"> </w:t>
            </w:r>
            <w:r>
              <w:rPr>
                <w:w w:val="95"/>
                <w:sz w:val="20"/>
              </w:rPr>
              <w:t>applied</w:t>
            </w:r>
            <w:r>
              <w:rPr>
                <w:spacing w:val="-12"/>
                <w:w w:val="95"/>
                <w:sz w:val="20"/>
              </w:rPr>
              <w:t xml:space="preserve"> </w:t>
            </w:r>
            <w:r>
              <w:rPr>
                <w:w w:val="95"/>
                <w:sz w:val="20"/>
              </w:rPr>
              <w:t>only</w:t>
            </w:r>
            <w:r>
              <w:rPr>
                <w:spacing w:val="-22"/>
                <w:w w:val="95"/>
                <w:sz w:val="20"/>
              </w:rPr>
              <w:t xml:space="preserve"> </w:t>
            </w:r>
            <w:r>
              <w:rPr>
                <w:w w:val="95"/>
                <w:sz w:val="20"/>
              </w:rPr>
              <w:t>after</w:t>
            </w:r>
            <w:r>
              <w:rPr>
                <w:spacing w:val="-20"/>
                <w:w w:val="95"/>
                <w:sz w:val="20"/>
              </w:rPr>
              <w:t xml:space="preserve"> </w:t>
            </w:r>
            <w:r>
              <w:rPr>
                <w:w w:val="95"/>
                <w:sz w:val="20"/>
              </w:rPr>
              <w:t>at</w:t>
            </w:r>
            <w:r>
              <w:rPr>
                <w:spacing w:val="-7"/>
                <w:w w:val="95"/>
                <w:sz w:val="20"/>
              </w:rPr>
              <w:t xml:space="preserve"> </w:t>
            </w:r>
            <w:r>
              <w:rPr>
                <w:w w:val="95"/>
                <w:sz w:val="20"/>
              </w:rPr>
              <w:t>least</w:t>
            </w:r>
            <w:r>
              <w:rPr>
                <w:spacing w:val="-9"/>
                <w:w w:val="95"/>
                <w:sz w:val="20"/>
              </w:rPr>
              <w:t xml:space="preserve"> </w:t>
            </w:r>
            <w:r>
              <w:rPr>
                <w:w w:val="95"/>
                <w:sz w:val="20"/>
              </w:rPr>
              <w:t>1</w:t>
            </w:r>
            <w:r>
              <w:rPr>
                <w:spacing w:val="-15"/>
                <w:w w:val="95"/>
                <w:sz w:val="20"/>
              </w:rPr>
              <w:t xml:space="preserve"> </w:t>
            </w:r>
            <w:r>
              <w:rPr>
                <w:w w:val="95"/>
                <w:sz w:val="20"/>
              </w:rPr>
              <w:t>year</w:t>
            </w:r>
            <w:r>
              <w:rPr>
                <w:spacing w:val="-15"/>
                <w:w w:val="95"/>
                <w:sz w:val="20"/>
              </w:rPr>
              <w:t xml:space="preserve"> </w:t>
            </w:r>
            <w:r>
              <w:rPr>
                <w:w w:val="95"/>
                <w:sz w:val="20"/>
              </w:rPr>
              <w:t xml:space="preserve">has </w:t>
            </w:r>
            <w:r>
              <w:rPr>
                <w:sz w:val="20"/>
              </w:rPr>
              <w:t>elapsed since the initial onset of active-phase</w:t>
            </w:r>
            <w:r>
              <w:rPr>
                <w:spacing w:val="8"/>
                <w:sz w:val="20"/>
              </w:rPr>
              <w:t xml:space="preserve"> </w:t>
            </w:r>
            <w:r>
              <w:rPr>
                <w:sz w:val="20"/>
              </w:rPr>
              <w:t>symptoms):</w:t>
            </w:r>
          </w:p>
          <w:p w:rsidR="00E675F0" w:rsidRDefault="00E675F0" w:rsidP="00A330E1">
            <w:pPr>
              <w:pStyle w:val="TableParagraph"/>
              <w:spacing w:before="20" w:line="223" w:lineRule="auto"/>
              <w:ind w:left="793" w:right="278" w:hanging="142"/>
              <w:rPr>
                <w:b/>
                <w:sz w:val="20"/>
              </w:rPr>
            </w:pPr>
            <w:r>
              <w:rPr>
                <w:b/>
                <w:w w:val="105"/>
                <w:sz w:val="20"/>
              </w:rPr>
              <w:t xml:space="preserve">Episodic With Interepisode Residual Symptoms </w:t>
            </w:r>
            <w:r>
              <w:rPr>
                <w:w w:val="105"/>
                <w:sz w:val="20"/>
              </w:rPr>
              <w:t xml:space="preserve">(episodes are  defined by the reemergence of prominent psychotic symptoms); </w:t>
            </w:r>
            <w:r>
              <w:rPr>
                <w:i/>
                <w:w w:val="105"/>
                <w:sz w:val="20"/>
              </w:rPr>
              <w:t xml:space="preserve">also specify </w:t>
            </w:r>
            <w:r>
              <w:rPr>
                <w:rFonts w:ascii="Arial"/>
                <w:i/>
                <w:w w:val="105"/>
                <w:sz w:val="26"/>
              </w:rPr>
              <w:t xml:space="preserve">if </w:t>
            </w:r>
            <w:r>
              <w:rPr>
                <w:b/>
                <w:w w:val="105"/>
                <w:sz w:val="20"/>
              </w:rPr>
              <w:t>With Prominent Negative</w:t>
            </w:r>
            <w:r>
              <w:rPr>
                <w:b/>
                <w:spacing w:val="4"/>
                <w:w w:val="105"/>
                <w:sz w:val="20"/>
              </w:rPr>
              <w:t xml:space="preserve"> </w:t>
            </w:r>
            <w:r>
              <w:rPr>
                <w:b/>
                <w:w w:val="105"/>
                <w:sz w:val="20"/>
              </w:rPr>
              <w:t>Symptoms</w:t>
            </w:r>
          </w:p>
          <w:p w:rsidR="00E675F0" w:rsidRDefault="00E675F0" w:rsidP="00A330E1">
            <w:pPr>
              <w:pStyle w:val="TableParagraph"/>
              <w:spacing w:before="12"/>
              <w:ind w:left="651"/>
              <w:rPr>
                <w:b/>
                <w:sz w:val="20"/>
              </w:rPr>
            </w:pPr>
            <w:r>
              <w:rPr>
                <w:b/>
                <w:w w:val="110"/>
                <w:sz w:val="20"/>
              </w:rPr>
              <w:t>Episodic With No Interepisode Residual Symptoms</w:t>
            </w:r>
          </w:p>
          <w:p w:rsidR="00E675F0" w:rsidRDefault="00E675F0" w:rsidP="00A330E1">
            <w:pPr>
              <w:pStyle w:val="TableParagraph"/>
              <w:spacing w:before="30" w:line="220" w:lineRule="auto"/>
              <w:ind w:left="794" w:right="278" w:hanging="142"/>
              <w:rPr>
                <w:b/>
                <w:sz w:val="20"/>
              </w:rPr>
            </w:pPr>
            <w:r>
              <w:rPr>
                <w:b/>
                <w:w w:val="105"/>
                <w:sz w:val="20"/>
              </w:rPr>
              <w:t xml:space="preserve">Continuous </w:t>
            </w:r>
            <w:r>
              <w:rPr>
                <w:w w:val="105"/>
                <w:sz w:val="20"/>
              </w:rPr>
              <w:t xml:space="preserve">(prominent psychotic symptoms are present throughout the period of observation); </w:t>
            </w:r>
            <w:r>
              <w:rPr>
                <w:i/>
                <w:w w:val="105"/>
                <w:sz w:val="20"/>
              </w:rPr>
              <w:t xml:space="preserve">also specify </w:t>
            </w:r>
            <w:r>
              <w:rPr>
                <w:rFonts w:ascii="Arial"/>
                <w:i/>
                <w:w w:val="105"/>
                <w:sz w:val="26"/>
              </w:rPr>
              <w:t xml:space="preserve">if </w:t>
            </w:r>
            <w:r>
              <w:rPr>
                <w:b/>
                <w:w w:val="105"/>
                <w:sz w:val="20"/>
              </w:rPr>
              <w:t>With Prominent Negative Symptoms</w:t>
            </w:r>
          </w:p>
          <w:p w:rsidR="00E675F0" w:rsidRDefault="00E675F0" w:rsidP="00A330E1">
            <w:pPr>
              <w:pStyle w:val="TableParagraph"/>
              <w:spacing w:before="12" w:line="240" w:lineRule="exact"/>
              <w:ind w:left="802" w:right="278" w:hanging="153"/>
              <w:rPr>
                <w:b/>
                <w:sz w:val="20"/>
              </w:rPr>
            </w:pPr>
            <w:r>
              <w:rPr>
                <w:b/>
                <w:w w:val="110"/>
                <w:sz w:val="20"/>
              </w:rPr>
              <w:t xml:space="preserve">Single Episode In Partial Remission; </w:t>
            </w:r>
            <w:r>
              <w:rPr>
                <w:i/>
                <w:w w:val="110"/>
                <w:sz w:val="20"/>
              </w:rPr>
              <w:t xml:space="preserve">also specify </w:t>
            </w:r>
            <w:r>
              <w:rPr>
                <w:rFonts w:ascii="Arial"/>
                <w:i/>
                <w:w w:val="110"/>
                <w:sz w:val="26"/>
              </w:rPr>
              <w:t xml:space="preserve">if </w:t>
            </w:r>
            <w:r>
              <w:rPr>
                <w:b/>
                <w:w w:val="110"/>
                <w:sz w:val="20"/>
              </w:rPr>
              <w:t>With Prominent Negative Symptoms</w:t>
            </w:r>
          </w:p>
          <w:p w:rsidR="00E675F0" w:rsidRDefault="00E675F0" w:rsidP="00A330E1">
            <w:pPr>
              <w:pStyle w:val="TableParagraph"/>
              <w:spacing w:before="6" w:line="252" w:lineRule="auto"/>
              <w:ind w:left="652" w:right="3514" w:firstLine="2"/>
              <w:rPr>
                <w:b/>
                <w:sz w:val="20"/>
              </w:rPr>
            </w:pPr>
            <w:r>
              <w:rPr>
                <w:b/>
                <w:w w:val="110"/>
                <w:sz w:val="20"/>
              </w:rPr>
              <w:t>Single Episode In Full Remission Other or Unspecified Pattern</w:t>
            </w:r>
          </w:p>
        </w:tc>
      </w:tr>
    </w:tbl>
    <w:p w:rsidR="00E675F0" w:rsidRDefault="00E675F0" w:rsidP="00E675F0">
      <w:pPr>
        <w:pStyle w:val="BodyText"/>
      </w:pPr>
    </w:p>
    <w:p w:rsidR="00E675F0" w:rsidRDefault="00E675F0" w:rsidP="00E675F0">
      <w:pPr>
        <w:pStyle w:val="BodyText"/>
        <w:spacing w:before="4"/>
        <w:rPr>
          <w:sz w:val="23"/>
        </w:rPr>
      </w:pPr>
    </w:p>
    <w:p w:rsidR="00E675F0" w:rsidRDefault="00E675F0" w:rsidP="00E675F0">
      <w:pPr>
        <w:spacing w:before="89"/>
        <w:ind w:left="82" w:right="119"/>
        <w:jc w:val="center"/>
        <w:rPr>
          <w:rFonts w:ascii="TimesNewRomanPS-BoldItalicMT"/>
          <w:b/>
          <w:i/>
          <w:sz w:val="28"/>
        </w:rPr>
      </w:pPr>
      <w:r>
        <w:rPr>
          <w:rFonts w:ascii="TimesNewRomanPS-BoldItalicMT"/>
          <w:b/>
          <w:i/>
          <w:w w:val="115"/>
          <w:sz w:val="28"/>
        </w:rPr>
        <w:t>Schizophrenia Subtypes</w:t>
      </w:r>
    </w:p>
    <w:p w:rsidR="00E675F0" w:rsidRDefault="00E675F0" w:rsidP="00E675F0">
      <w:pPr>
        <w:pStyle w:val="BodyText"/>
        <w:spacing w:before="127" w:line="254" w:lineRule="auto"/>
        <w:ind w:left="115" w:right="107" w:hanging="5"/>
        <w:jc w:val="both"/>
      </w:pPr>
      <w:r>
        <w:rPr>
          <w:w w:val="105"/>
        </w:rPr>
        <w:t>The subtypes of Schizophrenia are defined by the predominant symptomatology at the time of evaluation. Although the prognostic and treatment implications of the subtypes are variable, the Paranoid and Disorganized Types tend to be the least and most severe, respectively. The diagnosis of a particular subtype is based on the clinical picture that occasioned the most recent evaluation or admission to clinical care and may therefore change over time. Not infrequently, the presentation may include symptoms that are characteristic of more than one subtype. The choice among subtypes depends on the following algorithm: Catatonic Type is assigned whenever prominent catatonic symp­ toms are present (regardless of the presence of other symptoms); Disorganized Type is assigned whenever disorganized speech and behavior and flat or  inappropriate  affect are prominent (unless Catatonic Type is also present); Paranoid Type is assigned whenever there is a preoccupation with delusions or frequent hallucinations are prominent (unless the Catatonic or Disorganized Type is present). Undifferentiated Type is a residual category describing presentations that include prominent</w:t>
      </w:r>
      <w:r>
        <w:rPr>
          <w:spacing w:val="46"/>
          <w:w w:val="105"/>
        </w:rPr>
        <w:t xml:space="preserve"> </w:t>
      </w:r>
      <w:r>
        <w:rPr>
          <w:w w:val="105"/>
        </w:rPr>
        <w:t>active-phase</w:t>
      </w:r>
    </w:p>
    <w:p w:rsidR="00E675F0" w:rsidRDefault="00E675F0" w:rsidP="00E675F0">
      <w:pPr>
        <w:spacing w:line="254" w:lineRule="auto"/>
        <w:jc w:val="both"/>
        <w:sectPr w:rsidR="00E675F0">
          <w:pgSz w:w="8960" w:h="14260"/>
          <w:pgMar w:top="1400" w:right="640" w:bottom="280" w:left="600" w:header="704" w:footer="0" w:gutter="0"/>
          <w:cols w:space="720"/>
        </w:sectPr>
      </w:pPr>
    </w:p>
    <w:p w:rsidR="00E675F0" w:rsidRDefault="00E675F0" w:rsidP="00E675F0">
      <w:pPr>
        <w:pStyle w:val="BodyText"/>
        <w:spacing w:before="131" w:line="254" w:lineRule="auto"/>
        <w:ind w:left="104" w:right="110" w:hanging="4"/>
        <w:jc w:val="both"/>
      </w:pPr>
      <w:bookmarkStart w:id="184" w:name="_bookmark163"/>
      <w:bookmarkEnd w:id="184"/>
      <w:r>
        <w:rPr>
          <w:w w:val="105"/>
        </w:rPr>
        <w:lastRenderedPageBreak/>
        <w:t>symptoms not meeting criteria for the Catatonic, Disorganized, or Paranoid Type; and Residual Type is for presentations in which there is continuing evidence of the disturbance, but the criteria for the active-phase symptoms are no longer met.</w:t>
      </w:r>
    </w:p>
    <w:p w:rsidR="00E675F0" w:rsidRDefault="00E675F0" w:rsidP="00E675F0">
      <w:pPr>
        <w:pStyle w:val="BodyText"/>
        <w:spacing w:line="254" w:lineRule="auto"/>
        <w:ind w:left="104" w:right="110" w:firstLine="361"/>
        <w:jc w:val="both"/>
      </w:pPr>
      <w:r>
        <w:rPr>
          <w:w w:val="105"/>
        </w:rPr>
        <w:t>A dimensional alternative to the traditional Schizophrenia subtypes is described in Appendix B (seep. 710). The suggested dimensions are the psychotic dimension, the disorganized dimension, and the negative dimension.</w:t>
      </w:r>
    </w:p>
    <w:p w:rsidR="00E675F0" w:rsidRDefault="00E675F0" w:rsidP="00E675F0">
      <w:pPr>
        <w:pStyle w:val="BodyText"/>
        <w:rPr>
          <w:sz w:val="22"/>
        </w:rPr>
      </w:pPr>
    </w:p>
    <w:p w:rsidR="00E675F0" w:rsidRDefault="00E675F0" w:rsidP="00E675F0">
      <w:pPr>
        <w:pStyle w:val="BodyText"/>
        <w:spacing w:before="2"/>
        <w:rPr>
          <w:sz w:val="17"/>
        </w:rPr>
      </w:pPr>
    </w:p>
    <w:p w:rsidR="00E675F0" w:rsidRDefault="00E675F0" w:rsidP="00E675F0">
      <w:pPr>
        <w:tabs>
          <w:tab w:val="left" w:pos="3454"/>
        </w:tabs>
        <w:spacing w:before="1"/>
        <w:ind w:left="2384"/>
        <w:rPr>
          <w:rFonts w:ascii="Arial"/>
          <w:b/>
          <w:sz w:val="26"/>
        </w:rPr>
      </w:pPr>
      <w:r>
        <w:rPr>
          <w:rFonts w:ascii="Arial"/>
          <w:b/>
          <w:w w:val="105"/>
          <w:sz w:val="26"/>
        </w:rPr>
        <w:t>295.30</w:t>
      </w:r>
      <w:r>
        <w:rPr>
          <w:rFonts w:ascii="Arial"/>
          <w:b/>
          <w:w w:val="105"/>
          <w:sz w:val="26"/>
        </w:rPr>
        <w:tab/>
        <w:t>Paranoid</w:t>
      </w:r>
      <w:r>
        <w:rPr>
          <w:rFonts w:ascii="Arial"/>
          <w:b/>
          <w:spacing w:val="10"/>
          <w:w w:val="105"/>
          <w:sz w:val="26"/>
        </w:rPr>
        <w:t xml:space="preserve"> </w:t>
      </w:r>
      <w:r>
        <w:rPr>
          <w:rFonts w:ascii="Arial"/>
          <w:b/>
          <w:w w:val="105"/>
          <w:sz w:val="26"/>
        </w:rPr>
        <w:t>Type</w:t>
      </w:r>
    </w:p>
    <w:p w:rsidR="00E675F0" w:rsidRDefault="00E675F0" w:rsidP="00E675F0">
      <w:pPr>
        <w:pStyle w:val="BodyText"/>
        <w:spacing w:before="243" w:line="254" w:lineRule="auto"/>
        <w:ind w:left="103" w:right="108" w:firstLine="1"/>
        <w:jc w:val="both"/>
      </w:pPr>
      <w:r>
        <w:rPr>
          <w:w w:val="105"/>
        </w:rPr>
        <w:t>The essential feature of the Paranoid Type of Schizophrenia is the presence of prominent delusions or auditory hallucinations in the context of a relative preservation of cognitive functioning</w:t>
      </w:r>
      <w:r>
        <w:rPr>
          <w:spacing w:val="-8"/>
          <w:w w:val="105"/>
        </w:rPr>
        <w:t xml:space="preserve"> </w:t>
      </w:r>
      <w:r>
        <w:rPr>
          <w:w w:val="105"/>
        </w:rPr>
        <w:t>and</w:t>
      </w:r>
      <w:r>
        <w:rPr>
          <w:spacing w:val="-11"/>
          <w:w w:val="105"/>
        </w:rPr>
        <w:t xml:space="preserve"> </w:t>
      </w:r>
      <w:r>
        <w:rPr>
          <w:w w:val="105"/>
        </w:rPr>
        <w:t>affect.</w:t>
      </w:r>
      <w:r>
        <w:rPr>
          <w:spacing w:val="-11"/>
          <w:w w:val="105"/>
        </w:rPr>
        <w:t xml:space="preserve"> </w:t>
      </w:r>
      <w:r>
        <w:rPr>
          <w:w w:val="105"/>
        </w:rPr>
        <w:t>Symptoms</w:t>
      </w:r>
      <w:r>
        <w:rPr>
          <w:spacing w:val="-3"/>
          <w:w w:val="105"/>
        </w:rPr>
        <w:t xml:space="preserve"> </w:t>
      </w:r>
      <w:r>
        <w:rPr>
          <w:w w:val="105"/>
        </w:rPr>
        <w:t>characteristic</w:t>
      </w:r>
      <w:r>
        <w:rPr>
          <w:spacing w:val="-18"/>
          <w:w w:val="105"/>
        </w:rPr>
        <w:t xml:space="preserve"> </w:t>
      </w:r>
      <w:r>
        <w:rPr>
          <w:w w:val="105"/>
        </w:rPr>
        <w:t>of</w:t>
      </w:r>
      <w:r>
        <w:rPr>
          <w:spacing w:val="-12"/>
          <w:w w:val="105"/>
        </w:rPr>
        <w:t xml:space="preserve"> </w:t>
      </w:r>
      <w:r>
        <w:rPr>
          <w:w w:val="105"/>
        </w:rPr>
        <w:t>the</w:t>
      </w:r>
      <w:r>
        <w:rPr>
          <w:spacing w:val="-10"/>
          <w:w w:val="105"/>
        </w:rPr>
        <w:t xml:space="preserve"> </w:t>
      </w:r>
      <w:r>
        <w:rPr>
          <w:w w:val="105"/>
        </w:rPr>
        <w:t>Disorganized</w:t>
      </w:r>
      <w:r>
        <w:rPr>
          <w:spacing w:val="3"/>
          <w:w w:val="105"/>
        </w:rPr>
        <w:t xml:space="preserve"> </w:t>
      </w:r>
      <w:r>
        <w:rPr>
          <w:w w:val="105"/>
        </w:rPr>
        <w:t>and</w:t>
      </w:r>
      <w:r>
        <w:rPr>
          <w:spacing w:val="-12"/>
          <w:w w:val="105"/>
        </w:rPr>
        <w:t xml:space="preserve"> </w:t>
      </w:r>
      <w:r>
        <w:rPr>
          <w:w w:val="105"/>
        </w:rPr>
        <w:t>Catatonic</w:t>
      </w:r>
      <w:r>
        <w:rPr>
          <w:spacing w:val="-14"/>
          <w:w w:val="105"/>
        </w:rPr>
        <w:t xml:space="preserve"> </w:t>
      </w:r>
      <w:r>
        <w:rPr>
          <w:w w:val="105"/>
        </w:rPr>
        <w:t>Types (e.g., disorganized speech, flat or inappropriate affect, catatonic or disorganized behavior) are not prominent. Delusions are typically persecutory or grandiose, or both, but delusions with other themes (e.g., jealousy, religiosity, or somatization) may also occur. The delusions may be multiple, but are usually organized around a coherent theme. Hallucinations are also typically related to the content of the delusional theme. Associated features include anxiety, anger, aloofness, and argumentativeness. The individual</w:t>
      </w:r>
      <w:r>
        <w:rPr>
          <w:spacing w:val="-2"/>
          <w:w w:val="105"/>
        </w:rPr>
        <w:t xml:space="preserve"> </w:t>
      </w:r>
      <w:r>
        <w:rPr>
          <w:w w:val="105"/>
        </w:rPr>
        <w:t>may</w:t>
      </w:r>
      <w:r>
        <w:rPr>
          <w:spacing w:val="-11"/>
          <w:w w:val="105"/>
        </w:rPr>
        <w:t xml:space="preserve"> </w:t>
      </w:r>
      <w:r>
        <w:rPr>
          <w:w w:val="105"/>
        </w:rPr>
        <w:t>have</w:t>
      </w:r>
      <w:r>
        <w:rPr>
          <w:spacing w:val="-12"/>
          <w:w w:val="105"/>
        </w:rPr>
        <w:t xml:space="preserve"> </w:t>
      </w:r>
      <w:r>
        <w:rPr>
          <w:w w:val="105"/>
        </w:rPr>
        <w:t>a</w:t>
      </w:r>
      <w:r>
        <w:rPr>
          <w:spacing w:val="-18"/>
          <w:w w:val="105"/>
        </w:rPr>
        <w:t xml:space="preserve"> </w:t>
      </w:r>
      <w:r>
        <w:rPr>
          <w:w w:val="105"/>
        </w:rPr>
        <w:t>superior</w:t>
      </w:r>
      <w:r>
        <w:rPr>
          <w:spacing w:val="-15"/>
          <w:w w:val="105"/>
        </w:rPr>
        <w:t xml:space="preserve"> </w:t>
      </w:r>
      <w:r>
        <w:rPr>
          <w:w w:val="105"/>
        </w:rPr>
        <w:t>and</w:t>
      </w:r>
      <w:r>
        <w:rPr>
          <w:spacing w:val="-2"/>
          <w:w w:val="105"/>
        </w:rPr>
        <w:t xml:space="preserve"> </w:t>
      </w:r>
      <w:r>
        <w:rPr>
          <w:w w:val="105"/>
        </w:rPr>
        <w:t>patronizing</w:t>
      </w:r>
      <w:r>
        <w:rPr>
          <w:spacing w:val="7"/>
          <w:w w:val="105"/>
        </w:rPr>
        <w:t xml:space="preserve"> </w:t>
      </w:r>
      <w:r>
        <w:rPr>
          <w:w w:val="105"/>
        </w:rPr>
        <w:t>manner</w:t>
      </w:r>
      <w:r>
        <w:rPr>
          <w:spacing w:val="-7"/>
          <w:w w:val="105"/>
        </w:rPr>
        <w:t xml:space="preserve"> </w:t>
      </w:r>
      <w:r>
        <w:rPr>
          <w:w w:val="105"/>
        </w:rPr>
        <w:t>and</w:t>
      </w:r>
      <w:r>
        <w:rPr>
          <w:spacing w:val="-12"/>
          <w:w w:val="105"/>
        </w:rPr>
        <w:t xml:space="preserve"> </w:t>
      </w:r>
      <w:r>
        <w:rPr>
          <w:w w:val="105"/>
        </w:rPr>
        <w:t>either</w:t>
      </w:r>
      <w:r>
        <w:rPr>
          <w:spacing w:val="-15"/>
          <w:w w:val="105"/>
        </w:rPr>
        <w:t xml:space="preserve"> </w:t>
      </w:r>
      <w:r>
        <w:rPr>
          <w:w w:val="105"/>
        </w:rPr>
        <w:t>a</w:t>
      </w:r>
      <w:r>
        <w:rPr>
          <w:spacing w:val="-18"/>
          <w:w w:val="105"/>
        </w:rPr>
        <w:t xml:space="preserve"> </w:t>
      </w:r>
      <w:r>
        <w:rPr>
          <w:w w:val="105"/>
        </w:rPr>
        <w:t>stilted,</w:t>
      </w:r>
      <w:r>
        <w:rPr>
          <w:spacing w:val="-15"/>
          <w:w w:val="105"/>
        </w:rPr>
        <w:t xml:space="preserve"> </w:t>
      </w:r>
      <w:r>
        <w:rPr>
          <w:w w:val="105"/>
        </w:rPr>
        <w:t>formal</w:t>
      </w:r>
      <w:r>
        <w:rPr>
          <w:spacing w:val="-10"/>
          <w:w w:val="105"/>
        </w:rPr>
        <w:t xml:space="preserve"> </w:t>
      </w:r>
      <w:r>
        <w:rPr>
          <w:w w:val="105"/>
        </w:rPr>
        <w:t>quality or extreme intensity in interpersonal interactions. The persecutory themes may predis­ pose the individual to suicidal behavior, and the combination of persecutory and grandiose delusions with anger may predispose the individual to violence. Onset tends  to be later in life than the other types of Schizophrenia, and the distinguishing characteristics may be more stable over time. These individuals usually show little or no impairment on neuropsychological or other cognitive testing. Some evidence suggests that the prognosis for the Paranoid Type may be considerably better than for the other types of Schizophrenia, particularly with regard to occupational functioning and capacity for independent</w:t>
      </w:r>
      <w:r>
        <w:rPr>
          <w:spacing w:val="29"/>
          <w:w w:val="105"/>
        </w:rPr>
        <w:t xml:space="preserve"> </w:t>
      </w:r>
      <w:r>
        <w:rPr>
          <w:w w:val="105"/>
        </w:rPr>
        <w:t>living.</w:t>
      </w:r>
    </w:p>
    <w:p w:rsidR="00E675F0" w:rsidRDefault="00E675F0" w:rsidP="00E675F0">
      <w:pPr>
        <w:pStyle w:val="BodyText"/>
      </w:pPr>
    </w:p>
    <w:p w:rsidR="00E675F0" w:rsidRDefault="00E675F0" w:rsidP="00E675F0">
      <w:pPr>
        <w:pStyle w:val="BodyText"/>
        <w:spacing w:before="8"/>
        <w:rPr>
          <w:sz w:val="25"/>
        </w:rPr>
      </w:pPr>
    </w:p>
    <w:tbl>
      <w:tblPr>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31"/>
      </w:tblGrid>
      <w:tr w:rsidR="00E675F0" w:rsidTr="00A330E1">
        <w:trPr>
          <w:trHeight w:val="2560"/>
        </w:trPr>
        <w:tc>
          <w:tcPr>
            <w:tcW w:w="7331" w:type="dxa"/>
            <w:tcBorders>
              <w:left w:val="single" w:sz="24" w:space="0" w:color="000000"/>
              <w:bottom w:val="single" w:sz="24" w:space="0" w:color="000000"/>
              <w:right w:val="single" w:sz="24" w:space="0" w:color="000000"/>
            </w:tcBorders>
          </w:tcPr>
          <w:p w:rsidR="00E675F0" w:rsidRDefault="00E675F0" w:rsidP="003048D3">
            <w:pPr>
              <w:pStyle w:val="TableParagraph"/>
              <w:numPr>
                <w:ilvl w:val="0"/>
                <w:numId w:val="14"/>
              </w:numPr>
              <w:tabs>
                <w:tab w:val="left" w:pos="629"/>
              </w:tabs>
              <w:spacing w:before="64"/>
              <w:ind w:hanging="375"/>
              <w:rPr>
                <w:rFonts w:ascii="Arial" w:hAnsi="Arial"/>
                <w:b/>
                <w:sz w:val="24"/>
              </w:rPr>
            </w:pPr>
            <w:r>
              <w:rPr>
                <w:rFonts w:ascii="Arial" w:hAnsi="Arial"/>
                <w:b/>
                <w:w w:val="105"/>
                <w:sz w:val="24"/>
              </w:rPr>
              <w:t>Diagnostic criteria for 295.30 Paranoid</w:t>
            </w:r>
            <w:r>
              <w:rPr>
                <w:rFonts w:ascii="Arial" w:hAnsi="Arial"/>
                <w:b/>
                <w:spacing w:val="5"/>
                <w:w w:val="105"/>
                <w:sz w:val="24"/>
              </w:rPr>
              <w:t xml:space="preserve"> </w:t>
            </w:r>
            <w:r>
              <w:rPr>
                <w:rFonts w:ascii="Arial" w:hAnsi="Arial"/>
                <w:b/>
                <w:w w:val="105"/>
                <w:sz w:val="24"/>
              </w:rPr>
              <w:t>Type</w:t>
            </w:r>
          </w:p>
          <w:p w:rsidR="00E675F0" w:rsidRDefault="00E675F0" w:rsidP="00A330E1">
            <w:pPr>
              <w:pStyle w:val="TableParagraph"/>
              <w:spacing w:before="137"/>
              <w:ind w:left="649"/>
              <w:rPr>
                <w:sz w:val="20"/>
              </w:rPr>
            </w:pPr>
            <w:r>
              <w:rPr>
                <w:w w:val="105"/>
                <w:sz w:val="20"/>
              </w:rPr>
              <w:t>A type of Schizophrenia in which the following criteria are met:</w:t>
            </w:r>
          </w:p>
          <w:p w:rsidR="00E675F0" w:rsidRDefault="00E675F0" w:rsidP="00A330E1">
            <w:pPr>
              <w:pStyle w:val="TableParagraph"/>
              <w:spacing w:before="2"/>
              <w:rPr>
                <w:sz w:val="17"/>
              </w:rPr>
            </w:pPr>
          </w:p>
          <w:p w:rsidR="00E675F0" w:rsidRDefault="00E675F0" w:rsidP="003048D3">
            <w:pPr>
              <w:pStyle w:val="TableParagraph"/>
              <w:numPr>
                <w:ilvl w:val="1"/>
                <w:numId w:val="14"/>
              </w:numPr>
              <w:tabs>
                <w:tab w:val="left" w:pos="961"/>
              </w:tabs>
              <w:spacing w:line="252" w:lineRule="auto"/>
              <w:ind w:right="835" w:hanging="313"/>
              <w:rPr>
                <w:sz w:val="20"/>
              </w:rPr>
            </w:pPr>
            <w:r>
              <w:rPr>
                <w:w w:val="105"/>
                <w:sz w:val="20"/>
              </w:rPr>
              <w:t>Preoccupation with one or more delusions or frequent auditory hallucinations.</w:t>
            </w:r>
          </w:p>
          <w:p w:rsidR="00E675F0" w:rsidRDefault="00E675F0" w:rsidP="003048D3">
            <w:pPr>
              <w:pStyle w:val="TableParagraph"/>
              <w:numPr>
                <w:ilvl w:val="1"/>
                <w:numId w:val="14"/>
              </w:numPr>
              <w:tabs>
                <w:tab w:val="left" w:pos="967"/>
              </w:tabs>
              <w:spacing w:before="186" w:line="256" w:lineRule="auto"/>
              <w:ind w:left="956" w:right="238" w:hanging="300"/>
              <w:rPr>
                <w:sz w:val="20"/>
              </w:rPr>
            </w:pPr>
            <w:r>
              <w:rPr>
                <w:w w:val="105"/>
                <w:sz w:val="20"/>
              </w:rPr>
              <w:t>None of the following is prominent: disorganized speech, disorganized or catatonic behavior, or flat or inappropriate</w:t>
            </w:r>
            <w:r>
              <w:rPr>
                <w:spacing w:val="8"/>
                <w:w w:val="105"/>
                <w:sz w:val="20"/>
              </w:rPr>
              <w:t xml:space="preserve"> </w:t>
            </w:r>
            <w:r>
              <w:rPr>
                <w:w w:val="105"/>
                <w:sz w:val="20"/>
              </w:rPr>
              <w:t>affect.</w:t>
            </w:r>
          </w:p>
        </w:tc>
      </w:tr>
    </w:tbl>
    <w:p w:rsidR="00E675F0" w:rsidRDefault="00E675F0" w:rsidP="00E675F0">
      <w:pPr>
        <w:pStyle w:val="BodyText"/>
      </w:pPr>
    </w:p>
    <w:p w:rsidR="00E675F0" w:rsidRDefault="00E675F0" w:rsidP="00E675F0">
      <w:pPr>
        <w:tabs>
          <w:tab w:val="left" w:pos="3204"/>
        </w:tabs>
        <w:spacing w:before="249"/>
        <w:ind w:left="2139"/>
        <w:rPr>
          <w:rFonts w:ascii="Arial"/>
          <w:b/>
          <w:sz w:val="26"/>
        </w:rPr>
      </w:pPr>
      <w:r>
        <w:rPr>
          <w:noProof/>
        </w:rPr>
        <mc:AlternateContent>
          <mc:Choice Requires="wps">
            <w:drawing>
              <wp:anchor distT="0" distB="0" distL="114300" distR="114300" simplePos="0" relativeHeight="251730944" behindDoc="0" locked="0" layoutInCell="1" allowOverlap="1" wp14:anchorId="21C3B84D" wp14:editId="6C822DB9">
                <wp:simplePos x="0" y="0"/>
                <wp:positionH relativeFrom="page">
                  <wp:posOffset>506730</wp:posOffset>
                </wp:positionH>
                <wp:positionV relativeFrom="paragraph">
                  <wp:posOffset>-105410</wp:posOffset>
                </wp:positionV>
                <wp:extent cx="0" cy="0"/>
                <wp:effectExtent l="0" t="0" r="0" b="0"/>
                <wp:wrapNone/>
                <wp:docPr id="1275" name="Line 12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3360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637086" id="Line 1231" o:spid="_x0000_s1026" style="position:absolute;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9pt,-8.3pt" to="39.9pt,-8.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" strokeweight=".93342mm">
                <o:lock v:ext="edit" shapetype="f"/>
                <w10:wrap anchorx="page"/>
              </v:line>
            </w:pict>
          </mc:Fallback>
        </mc:AlternateContent>
      </w:r>
      <w:r>
        <w:rPr>
          <w:rFonts w:ascii="Arial"/>
          <w:b/>
          <w:w w:val="105"/>
          <w:sz w:val="26"/>
        </w:rPr>
        <w:t>295.10</w:t>
      </w:r>
      <w:r>
        <w:rPr>
          <w:rFonts w:ascii="Arial"/>
          <w:b/>
          <w:w w:val="105"/>
          <w:sz w:val="26"/>
        </w:rPr>
        <w:tab/>
        <w:t>Disorganized</w:t>
      </w:r>
      <w:r>
        <w:rPr>
          <w:rFonts w:ascii="Arial"/>
          <w:b/>
          <w:spacing w:val="17"/>
          <w:w w:val="105"/>
          <w:sz w:val="26"/>
        </w:rPr>
        <w:t xml:space="preserve"> </w:t>
      </w:r>
      <w:r>
        <w:rPr>
          <w:rFonts w:ascii="Arial"/>
          <w:b/>
          <w:w w:val="105"/>
          <w:sz w:val="26"/>
        </w:rPr>
        <w:t>Type</w:t>
      </w:r>
    </w:p>
    <w:p w:rsidR="00E675F0" w:rsidRDefault="00E675F0" w:rsidP="00E675F0">
      <w:pPr>
        <w:pStyle w:val="BodyText"/>
        <w:spacing w:before="8"/>
        <w:rPr>
          <w:rFonts w:ascii="Arial"/>
          <w:b/>
          <w:sz w:val="36"/>
        </w:rPr>
      </w:pPr>
    </w:p>
    <w:p w:rsidR="00E675F0" w:rsidRDefault="00E675F0" w:rsidP="00E675F0">
      <w:pPr>
        <w:pStyle w:val="BodyText"/>
        <w:spacing w:line="256" w:lineRule="auto"/>
        <w:ind w:left="110" w:right="154" w:hanging="6"/>
      </w:pPr>
      <w:r>
        <w:rPr>
          <w:w w:val="105"/>
        </w:rPr>
        <w:t>The essential features of the Disorganized Type of Schizophrenia are disorganized speech, disorganized behavior, and flat or inappropriate affect. The disorganized speech</w:t>
      </w:r>
    </w:p>
    <w:p w:rsidR="00E675F0" w:rsidRDefault="00E675F0" w:rsidP="00E675F0">
      <w:pPr>
        <w:spacing w:line="256" w:lineRule="auto"/>
        <w:sectPr w:rsidR="00E675F0">
          <w:pgSz w:w="8960" w:h="14260"/>
          <w:pgMar w:top="1400" w:right="640" w:bottom="280" w:left="620" w:header="691" w:footer="0" w:gutter="0"/>
          <w:cols w:space="720"/>
        </w:sectPr>
      </w:pPr>
    </w:p>
    <w:p w:rsidR="00E675F0" w:rsidRDefault="00E675F0" w:rsidP="00E675F0">
      <w:pPr>
        <w:pStyle w:val="BodyText"/>
        <w:spacing w:before="126" w:line="254" w:lineRule="auto"/>
        <w:ind w:left="121" w:right="102" w:firstLine="5"/>
        <w:jc w:val="both"/>
        <w:rPr>
          <w:i/>
        </w:rPr>
      </w:pPr>
      <w:bookmarkStart w:id="185" w:name="_bookmark164"/>
      <w:bookmarkEnd w:id="185"/>
      <w:r>
        <w:rPr>
          <w:w w:val="105"/>
        </w:rPr>
        <w:lastRenderedPageBreak/>
        <w:t>may be accompanied by silliness and laughter that are not closely related to the content of the speech. The behavioral  disorganization (i.e., lack of  goal orientation)  may lead to severe disruption in the ability to perform activities of daily living (e.g., showering, dressing, or preparing meals). Criteria for the Catatonic Type of Schizophrenia are not met, and delusions or hallucinations, if present, are fragmentary and not organized  into  a coherent theme. Associated features include grimacing, mannerisms, and other oddities of behavior. Impaired performance may be noted on a variety of  neuropsychological and cognitive tests. This subtype is also usually associated with poor premorbid personality, early and insidious onset, and a continuous course without significant remissions.</w:t>
      </w:r>
      <w:r>
        <w:rPr>
          <w:spacing w:val="-22"/>
          <w:w w:val="105"/>
        </w:rPr>
        <w:t xml:space="preserve"> </w:t>
      </w:r>
      <w:r>
        <w:rPr>
          <w:w w:val="105"/>
        </w:rPr>
        <w:t>Historically,</w:t>
      </w:r>
      <w:r>
        <w:rPr>
          <w:spacing w:val="-25"/>
          <w:w w:val="105"/>
        </w:rPr>
        <w:t xml:space="preserve"> </w:t>
      </w:r>
      <w:r>
        <w:rPr>
          <w:w w:val="105"/>
        </w:rPr>
        <w:t>and</w:t>
      </w:r>
      <w:r>
        <w:rPr>
          <w:spacing w:val="-29"/>
          <w:w w:val="105"/>
        </w:rPr>
        <w:t xml:space="preserve"> </w:t>
      </w:r>
      <w:r>
        <w:rPr>
          <w:w w:val="105"/>
        </w:rPr>
        <w:t>in</w:t>
      </w:r>
      <w:r>
        <w:rPr>
          <w:spacing w:val="-33"/>
          <w:w w:val="105"/>
        </w:rPr>
        <w:t xml:space="preserve"> </w:t>
      </w:r>
      <w:r>
        <w:rPr>
          <w:w w:val="105"/>
        </w:rPr>
        <w:t>other</w:t>
      </w:r>
      <w:r>
        <w:rPr>
          <w:spacing w:val="-30"/>
          <w:w w:val="105"/>
        </w:rPr>
        <w:t xml:space="preserve"> </w:t>
      </w:r>
      <w:r>
        <w:rPr>
          <w:w w:val="105"/>
        </w:rPr>
        <w:t>classification</w:t>
      </w:r>
      <w:r>
        <w:rPr>
          <w:spacing w:val="-32"/>
          <w:w w:val="105"/>
        </w:rPr>
        <w:t xml:space="preserve"> </w:t>
      </w:r>
      <w:r>
        <w:rPr>
          <w:w w:val="105"/>
        </w:rPr>
        <w:t>systems,</w:t>
      </w:r>
      <w:r>
        <w:rPr>
          <w:spacing w:val="-23"/>
          <w:w w:val="105"/>
        </w:rPr>
        <w:t xml:space="preserve"> </w:t>
      </w:r>
      <w:r>
        <w:rPr>
          <w:w w:val="105"/>
        </w:rPr>
        <w:t>this</w:t>
      </w:r>
      <w:r>
        <w:rPr>
          <w:spacing w:val="-31"/>
          <w:w w:val="105"/>
        </w:rPr>
        <w:t xml:space="preserve"> </w:t>
      </w:r>
      <w:r>
        <w:rPr>
          <w:w w:val="105"/>
        </w:rPr>
        <w:t>type</w:t>
      </w:r>
      <w:r>
        <w:rPr>
          <w:spacing w:val="-31"/>
          <w:w w:val="105"/>
        </w:rPr>
        <w:t xml:space="preserve"> </w:t>
      </w:r>
      <w:r>
        <w:rPr>
          <w:w w:val="105"/>
        </w:rPr>
        <w:t>is</w:t>
      </w:r>
      <w:r>
        <w:rPr>
          <w:spacing w:val="-29"/>
          <w:w w:val="105"/>
        </w:rPr>
        <w:t xml:space="preserve"> </w:t>
      </w:r>
      <w:r>
        <w:rPr>
          <w:w w:val="105"/>
        </w:rPr>
        <w:t>termed</w:t>
      </w:r>
      <w:r>
        <w:rPr>
          <w:spacing w:val="-19"/>
          <w:w w:val="105"/>
        </w:rPr>
        <w:t xml:space="preserve"> </w:t>
      </w:r>
      <w:r>
        <w:rPr>
          <w:i/>
          <w:w w:val="105"/>
        </w:rPr>
        <w:t>hebephrenic.</w:t>
      </w:r>
    </w:p>
    <w:p w:rsidR="00E675F0" w:rsidRDefault="00E675F0" w:rsidP="00E675F0">
      <w:pPr>
        <w:pStyle w:val="BodyText"/>
        <w:rPr>
          <w:i/>
        </w:rPr>
      </w:pPr>
    </w:p>
    <w:p w:rsidR="00E675F0" w:rsidRDefault="00E675F0" w:rsidP="00E675F0">
      <w:pPr>
        <w:pStyle w:val="BodyText"/>
        <w:rPr>
          <w:i/>
        </w:rPr>
      </w:pPr>
    </w:p>
    <w:p w:rsidR="00E675F0" w:rsidRDefault="00E675F0" w:rsidP="00E675F0">
      <w:pPr>
        <w:pStyle w:val="BodyText"/>
        <w:spacing w:before="4"/>
        <w:rPr>
          <w:i/>
          <w:sz w:val="22"/>
        </w:rPr>
      </w:pPr>
    </w:p>
    <w:tbl>
      <w:tblPr>
        <w:tblW w:w="0" w:type="auto"/>
        <w:tblInd w:w="224"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7341"/>
      </w:tblGrid>
      <w:tr w:rsidR="00E675F0" w:rsidTr="00A330E1">
        <w:trPr>
          <w:trHeight w:val="2716"/>
        </w:trPr>
        <w:tc>
          <w:tcPr>
            <w:tcW w:w="7341" w:type="dxa"/>
            <w:tcBorders>
              <w:bottom w:val="single" w:sz="18" w:space="0" w:color="000000"/>
            </w:tcBorders>
          </w:tcPr>
          <w:p w:rsidR="00E675F0" w:rsidRDefault="00E675F0" w:rsidP="003048D3">
            <w:pPr>
              <w:pStyle w:val="TableParagraph"/>
              <w:numPr>
                <w:ilvl w:val="0"/>
                <w:numId w:val="13"/>
              </w:numPr>
              <w:tabs>
                <w:tab w:val="left" w:pos="629"/>
              </w:tabs>
              <w:spacing w:line="542" w:lineRule="exact"/>
              <w:ind w:hanging="380"/>
              <w:rPr>
                <w:rFonts w:ascii="Arial" w:hAnsi="Arial"/>
                <w:b/>
                <w:sz w:val="24"/>
              </w:rPr>
            </w:pPr>
            <w:r>
              <w:rPr>
                <w:rFonts w:ascii="Arial" w:hAnsi="Arial"/>
                <w:b/>
                <w:w w:val="105"/>
                <w:sz w:val="24"/>
              </w:rPr>
              <w:t>Diagnostic criteria for 295. IO</w:t>
            </w:r>
            <w:r>
              <w:rPr>
                <w:rFonts w:ascii="Arial" w:hAnsi="Arial"/>
                <w:b/>
                <w:spacing w:val="-55"/>
                <w:w w:val="105"/>
                <w:sz w:val="24"/>
              </w:rPr>
              <w:t xml:space="preserve"> </w:t>
            </w:r>
            <w:r>
              <w:rPr>
                <w:rFonts w:ascii="Arial" w:hAnsi="Arial"/>
                <w:b/>
                <w:w w:val="105"/>
                <w:sz w:val="24"/>
              </w:rPr>
              <w:t>Disorganized Type</w:t>
            </w:r>
          </w:p>
          <w:p w:rsidR="00E675F0" w:rsidRDefault="00E675F0" w:rsidP="00A330E1">
            <w:pPr>
              <w:pStyle w:val="TableParagraph"/>
              <w:spacing w:before="116"/>
              <w:ind w:left="649"/>
              <w:rPr>
                <w:sz w:val="20"/>
              </w:rPr>
            </w:pPr>
            <w:r>
              <w:rPr>
                <w:w w:val="105"/>
                <w:sz w:val="20"/>
              </w:rPr>
              <w:t>A type of Schizophrenia in which the following criteria are met:</w:t>
            </w:r>
          </w:p>
          <w:p w:rsidR="00E675F0" w:rsidRDefault="00E675F0" w:rsidP="003048D3">
            <w:pPr>
              <w:pStyle w:val="TableParagraph"/>
              <w:numPr>
                <w:ilvl w:val="1"/>
                <w:numId w:val="13"/>
              </w:numPr>
              <w:tabs>
                <w:tab w:val="left" w:pos="957"/>
              </w:tabs>
              <w:spacing w:before="178"/>
              <w:rPr>
                <w:sz w:val="20"/>
              </w:rPr>
            </w:pPr>
            <w:r>
              <w:rPr>
                <w:w w:val="105"/>
                <w:sz w:val="20"/>
              </w:rPr>
              <w:t>All of the following are</w:t>
            </w:r>
            <w:r>
              <w:rPr>
                <w:spacing w:val="33"/>
                <w:w w:val="105"/>
                <w:sz w:val="20"/>
              </w:rPr>
              <w:t xml:space="preserve"> </w:t>
            </w:r>
            <w:r>
              <w:rPr>
                <w:w w:val="105"/>
                <w:sz w:val="20"/>
              </w:rPr>
              <w:t>prominent:</w:t>
            </w:r>
          </w:p>
          <w:p w:rsidR="00E675F0" w:rsidRDefault="00E675F0" w:rsidP="003048D3">
            <w:pPr>
              <w:pStyle w:val="TableParagraph"/>
              <w:numPr>
                <w:ilvl w:val="2"/>
                <w:numId w:val="13"/>
              </w:numPr>
              <w:tabs>
                <w:tab w:val="left" w:pos="1385"/>
              </w:tabs>
              <w:spacing w:before="73"/>
              <w:rPr>
                <w:sz w:val="20"/>
              </w:rPr>
            </w:pPr>
            <w:r>
              <w:rPr>
                <w:w w:val="110"/>
                <w:sz w:val="20"/>
              </w:rPr>
              <w:t>disorganized</w:t>
            </w:r>
            <w:r>
              <w:rPr>
                <w:spacing w:val="4"/>
                <w:w w:val="110"/>
                <w:sz w:val="20"/>
              </w:rPr>
              <w:t xml:space="preserve"> </w:t>
            </w:r>
            <w:r>
              <w:rPr>
                <w:w w:val="110"/>
                <w:sz w:val="20"/>
              </w:rPr>
              <w:t>speech</w:t>
            </w:r>
          </w:p>
          <w:p w:rsidR="00E675F0" w:rsidRDefault="00E675F0" w:rsidP="003048D3">
            <w:pPr>
              <w:pStyle w:val="TableParagraph"/>
              <w:numPr>
                <w:ilvl w:val="2"/>
                <w:numId w:val="13"/>
              </w:numPr>
              <w:tabs>
                <w:tab w:val="left" w:pos="1385"/>
              </w:tabs>
              <w:spacing w:before="10"/>
              <w:ind w:hanging="426"/>
              <w:rPr>
                <w:sz w:val="20"/>
              </w:rPr>
            </w:pPr>
            <w:r>
              <w:rPr>
                <w:w w:val="105"/>
                <w:sz w:val="20"/>
              </w:rPr>
              <w:t>disorganized</w:t>
            </w:r>
            <w:r>
              <w:rPr>
                <w:spacing w:val="33"/>
                <w:w w:val="105"/>
                <w:sz w:val="20"/>
              </w:rPr>
              <w:t xml:space="preserve"> </w:t>
            </w:r>
            <w:r>
              <w:rPr>
                <w:w w:val="105"/>
                <w:sz w:val="20"/>
              </w:rPr>
              <w:t>behavior</w:t>
            </w:r>
          </w:p>
          <w:p w:rsidR="00E675F0" w:rsidRDefault="00E675F0" w:rsidP="003048D3">
            <w:pPr>
              <w:pStyle w:val="TableParagraph"/>
              <w:numPr>
                <w:ilvl w:val="2"/>
                <w:numId w:val="13"/>
              </w:numPr>
              <w:tabs>
                <w:tab w:val="left" w:pos="1384"/>
              </w:tabs>
              <w:spacing w:before="16"/>
              <w:ind w:left="1383" w:hanging="429"/>
              <w:rPr>
                <w:sz w:val="20"/>
              </w:rPr>
            </w:pPr>
            <w:r>
              <w:rPr>
                <w:w w:val="105"/>
                <w:sz w:val="20"/>
              </w:rPr>
              <w:t>flat or inappropriate</w:t>
            </w:r>
            <w:r>
              <w:rPr>
                <w:spacing w:val="36"/>
                <w:w w:val="105"/>
                <w:sz w:val="20"/>
              </w:rPr>
              <w:t xml:space="preserve"> </w:t>
            </w:r>
            <w:r>
              <w:rPr>
                <w:w w:val="105"/>
                <w:sz w:val="20"/>
              </w:rPr>
              <w:t>affect</w:t>
            </w:r>
          </w:p>
          <w:p w:rsidR="00E675F0" w:rsidRDefault="00E675F0" w:rsidP="003048D3">
            <w:pPr>
              <w:pStyle w:val="TableParagraph"/>
              <w:numPr>
                <w:ilvl w:val="1"/>
                <w:numId w:val="13"/>
              </w:numPr>
              <w:tabs>
                <w:tab w:val="left" w:pos="953"/>
              </w:tabs>
              <w:spacing w:before="197"/>
              <w:ind w:left="952" w:hanging="297"/>
              <w:rPr>
                <w:sz w:val="20"/>
              </w:rPr>
            </w:pPr>
            <w:r>
              <w:rPr>
                <w:w w:val="105"/>
                <w:sz w:val="20"/>
              </w:rPr>
              <w:t>The criteria are not met for Catatonic</w:t>
            </w:r>
            <w:r>
              <w:rPr>
                <w:spacing w:val="25"/>
                <w:w w:val="105"/>
                <w:sz w:val="20"/>
              </w:rPr>
              <w:t xml:space="preserve"> </w:t>
            </w:r>
            <w:r>
              <w:rPr>
                <w:w w:val="105"/>
                <w:sz w:val="20"/>
              </w:rPr>
              <w:t>Type.</w:t>
            </w:r>
          </w:p>
        </w:tc>
      </w:tr>
    </w:tbl>
    <w:p w:rsidR="00E675F0" w:rsidRDefault="00E675F0" w:rsidP="00E675F0">
      <w:pPr>
        <w:pStyle w:val="BodyText"/>
        <w:rPr>
          <w:i/>
        </w:rPr>
      </w:pPr>
    </w:p>
    <w:p w:rsidR="00E675F0" w:rsidRDefault="00E675F0" w:rsidP="00E675F0">
      <w:pPr>
        <w:pStyle w:val="BodyText"/>
        <w:rPr>
          <w:i/>
          <w:sz w:val="27"/>
        </w:rPr>
      </w:pPr>
    </w:p>
    <w:p w:rsidR="00E675F0" w:rsidRDefault="00E675F0" w:rsidP="00E675F0">
      <w:pPr>
        <w:tabs>
          <w:tab w:val="left" w:pos="3460"/>
        </w:tabs>
        <w:spacing w:before="92"/>
        <w:ind w:left="2388"/>
        <w:rPr>
          <w:rFonts w:ascii="Arial"/>
          <w:b/>
          <w:sz w:val="25"/>
        </w:rPr>
      </w:pPr>
      <w:r>
        <w:rPr>
          <w:noProof/>
        </w:rPr>
        <mc:AlternateContent>
          <mc:Choice Requires="wps">
            <w:drawing>
              <wp:anchor distT="0" distB="0" distL="114300" distR="114300" simplePos="0" relativeHeight="251731968" behindDoc="0" locked="0" layoutInCell="1" allowOverlap="1" wp14:anchorId="5921048C" wp14:editId="62B84FE4">
                <wp:simplePos x="0" y="0"/>
                <wp:positionH relativeFrom="page">
                  <wp:posOffset>502285</wp:posOffset>
                </wp:positionH>
                <wp:positionV relativeFrom="paragraph">
                  <wp:posOffset>-290195</wp:posOffset>
                </wp:positionV>
                <wp:extent cx="0" cy="0"/>
                <wp:effectExtent l="0" t="0" r="0" b="0"/>
                <wp:wrapNone/>
                <wp:docPr id="1274" name="Line 12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3360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71181E" id="Line 1230" o:spid="_x0000_s1026" style="position:absolute;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55pt,-22.85pt" to="39.55pt,-22.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" strokeweight=".93339mm">
                <o:lock v:ext="edit" shapetype="f"/>
                <w10:wrap anchorx="page"/>
              </v:line>
            </w:pict>
          </mc:Fallback>
        </mc:AlternateContent>
      </w:r>
      <w:r>
        <w:rPr>
          <w:noProof/>
        </w:rPr>
        <mc:AlternateContent>
          <mc:Choice Requires="wps">
            <w:drawing>
              <wp:anchor distT="0" distB="0" distL="114300" distR="114300" simplePos="0" relativeHeight="251813888" behindDoc="1" locked="0" layoutInCell="1" allowOverlap="1" wp14:anchorId="53DDC048" wp14:editId="7D267DEB">
                <wp:simplePos x="0" y="0"/>
                <wp:positionH relativeFrom="page">
                  <wp:posOffset>5163820</wp:posOffset>
                </wp:positionH>
                <wp:positionV relativeFrom="paragraph">
                  <wp:posOffset>-290195</wp:posOffset>
                </wp:positionV>
                <wp:extent cx="0" cy="0"/>
                <wp:effectExtent l="0" t="0" r="0" b="0"/>
                <wp:wrapNone/>
                <wp:docPr id="1273" name="Line 12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3360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653F15" id="Line 1229" o:spid="_x0000_s1026" style="position:absolute;z-index:-251502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6.6pt,-22.85pt" to="406.6pt,-22.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" strokeweight=".93339mm">
                <o:lock v:ext="edit" shapetype="f"/>
                <w10:wrap anchorx="page"/>
              </v:line>
            </w:pict>
          </mc:Fallback>
        </mc:AlternateContent>
      </w:r>
      <w:r>
        <w:rPr>
          <w:rFonts w:ascii="Arial"/>
          <w:b/>
          <w:w w:val="105"/>
          <w:sz w:val="25"/>
        </w:rPr>
        <w:t>295.20</w:t>
      </w:r>
      <w:r>
        <w:rPr>
          <w:rFonts w:ascii="Arial"/>
          <w:b/>
          <w:w w:val="105"/>
          <w:sz w:val="25"/>
        </w:rPr>
        <w:tab/>
        <w:t>Catatonic</w:t>
      </w:r>
      <w:r>
        <w:rPr>
          <w:rFonts w:ascii="Arial"/>
          <w:b/>
          <w:spacing w:val="19"/>
          <w:w w:val="105"/>
          <w:sz w:val="25"/>
        </w:rPr>
        <w:t xml:space="preserve"> </w:t>
      </w:r>
      <w:r>
        <w:rPr>
          <w:rFonts w:ascii="Arial"/>
          <w:b/>
          <w:w w:val="105"/>
          <w:sz w:val="25"/>
        </w:rPr>
        <w:t>Type</w:t>
      </w:r>
    </w:p>
    <w:p w:rsidR="00E675F0" w:rsidRDefault="00E675F0" w:rsidP="00E675F0">
      <w:pPr>
        <w:pStyle w:val="BodyText"/>
        <w:rPr>
          <w:rFonts w:ascii="Arial"/>
          <w:b/>
          <w:sz w:val="36"/>
        </w:rPr>
      </w:pPr>
    </w:p>
    <w:p w:rsidR="00E675F0" w:rsidRDefault="00E675F0" w:rsidP="00E675F0">
      <w:pPr>
        <w:pStyle w:val="BodyText"/>
        <w:spacing w:line="254" w:lineRule="auto"/>
        <w:ind w:left="118" w:right="101" w:firstLine="3"/>
        <w:jc w:val="both"/>
      </w:pPr>
      <w:r>
        <w:rPr>
          <w:w w:val="105"/>
        </w:rPr>
        <w:t>The essential feature of the Catatonic Type of Schizophrenia is a marked psychomotor disturbance that may involve motoric immobility, excessive motor activity, extreme negativism, mutism, peculiarities of voluntary movement, echolalia, or echopraxia. Motoric immobility may be manifested by catalepsy (waxy flexibility) or stupor. The excessive motor activity is apparently purposeless and is not influenced by external stimuli. There may be extreme negativism that is manifested by the maintenance of a rigid posture against attempts to be moved or resistance to all instructions. Peculiarities of voluntary movement are manifested by the voluntary assumption of inappropriate or bizarre postures or by prominent grimacing. Echolalia is the pathological, parrotlike, and apparently senseless repetition of a word or phrase just spoken by another person. Echopraxia is the repetitive imitation of the movements of another person. Additional features include stereotypies, mannerisms, and automatic obedience or mimicry. During severe catatonic stupor or excitement, the person may need careful supervision to avoid self-harm or harming others. There are potential risks from malnutrition, exhaustion, hyperpyrexia, or self-inflicted injury. To diagnose this subtype, the individual's presen­ tation must first meet the full criteria for Schizophrenia and not be better accounted for by another etiology: substance induced (e.g., Neuroleptic-Induced Parkinsonism, see</w:t>
      </w:r>
    </w:p>
    <w:p w:rsidR="00E675F0" w:rsidRDefault="00E675F0" w:rsidP="00E675F0">
      <w:pPr>
        <w:pStyle w:val="BodyText"/>
        <w:spacing w:line="252" w:lineRule="auto"/>
        <w:ind w:left="120" w:right="116" w:firstLine="9"/>
        <w:jc w:val="both"/>
      </w:pPr>
      <w:r>
        <w:rPr>
          <w:w w:val="105"/>
        </w:rPr>
        <w:t>p.</w:t>
      </w:r>
      <w:r>
        <w:rPr>
          <w:spacing w:val="-14"/>
          <w:w w:val="105"/>
        </w:rPr>
        <w:t xml:space="preserve"> </w:t>
      </w:r>
      <w:r>
        <w:rPr>
          <w:w w:val="105"/>
        </w:rPr>
        <w:t>736),</w:t>
      </w:r>
      <w:r>
        <w:rPr>
          <w:spacing w:val="-5"/>
          <w:w w:val="105"/>
        </w:rPr>
        <w:t xml:space="preserve"> </w:t>
      </w:r>
      <w:r>
        <w:rPr>
          <w:w w:val="105"/>
        </w:rPr>
        <w:t>a</w:t>
      </w:r>
      <w:r>
        <w:rPr>
          <w:spacing w:val="-13"/>
          <w:w w:val="105"/>
        </w:rPr>
        <w:t xml:space="preserve"> </w:t>
      </w:r>
      <w:r>
        <w:rPr>
          <w:w w:val="105"/>
        </w:rPr>
        <w:t>general</w:t>
      </w:r>
      <w:r>
        <w:rPr>
          <w:spacing w:val="-6"/>
          <w:w w:val="105"/>
        </w:rPr>
        <w:t xml:space="preserve"> </w:t>
      </w:r>
      <w:r>
        <w:rPr>
          <w:w w:val="105"/>
        </w:rPr>
        <w:t>medical</w:t>
      </w:r>
      <w:r>
        <w:rPr>
          <w:spacing w:val="-3"/>
          <w:w w:val="105"/>
        </w:rPr>
        <w:t xml:space="preserve"> </w:t>
      </w:r>
      <w:r>
        <w:rPr>
          <w:w w:val="105"/>
        </w:rPr>
        <w:t>condition (seep.</w:t>
      </w:r>
      <w:r>
        <w:rPr>
          <w:spacing w:val="-13"/>
          <w:w w:val="105"/>
        </w:rPr>
        <w:t xml:space="preserve"> </w:t>
      </w:r>
      <w:r>
        <w:rPr>
          <w:w w:val="105"/>
        </w:rPr>
        <w:t>169),</w:t>
      </w:r>
      <w:r>
        <w:rPr>
          <w:spacing w:val="-4"/>
          <w:w w:val="105"/>
        </w:rPr>
        <w:t xml:space="preserve"> </w:t>
      </w:r>
      <w:r>
        <w:rPr>
          <w:w w:val="105"/>
        </w:rPr>
        <w:t>or</w:t>
      </w:r>
      <w:r>
        <w:rPr>
          <w:spacing w:val="-6"/>
          <w:w w:val="105"/>
        </w:rPr>
        <w:t xml:space="preserve"> </w:t>
      </w:r>
      <w:r>
        <w:rPr>
          <w:w w:val="105"/>
        </w:rPr>
        <w:t>a</w:t>
      </w:r>
      <w:r>
        <w:rPr>
          <w:spacing w:val="-15"/>
          <w:w w:val="105"/>
        </w:rPr>
        <w:t xml:space="preserve"> </w:t>
      </w:r>
      <w:r>
        <w:rPr>
          <w:w w:val="105"/>
        </w:rPr>
        <w:t>Manic</w:t>
      </w:r>
      <w:r>
        <w:rPr>
          <w:spacing w:val="-13"/>
          <w:w w:val="105"/>
        </w:rPr>
        <w:t xml:space="preserve"> </w:t>
      </w:r>
      <w:r>
        <w:rPr>
          <w:w w:val="105"/>
        </w:rPr>
        <w:t>or</w:t>
      </w:r>
      <w:r>
        <w:rPr>
          <w:spacing w:val="-2"/>
          <w:w w:val="105"/>
        </w:rPr>
        <w:t xml:space="preserve"> </w:t>
      </w:r>
      <w:r>
        <w:rPr>
          <w:w w:val="105"/>
        </w:rPr>
        <w:t>Major</w:t>
      </w:r>
      <w:r>
        <w:rPr>
          <w:spacing w:val="-12"/>
          <w:w w:val="105"/>
        </w:rPr>
        <w:t xml:space="preserve"> </w:t>
      </w:r>
      <w:r>
        <w:rPr>
          <w:w w:val="105"/>
        </w:rPr>
        <w:t>Depressive</w:t>
      </w:r>
      <w:r>
        <w:rPr>
          <w:spacing w:val="-2"/>
          <w:w w:val="105"/>
        </w:rPr>
        <w:t xml:space="preserve"> </w:t>
      </w:r>
      <w:r>
        <w:rPr>
          <w:w w:val="105"/>
        </w:rPr>
        <w:t>Episode (seep.</w:t>
      </w:r>
      <w:r>
        <w:rPr>
          <w:spacing w:val="11"/>
          <w:w w:val="105"/>
        </w:rPr>
        <w:t xml:space="preserve"> </w:t>
      </w:r>
      <w:r>
        <w:rPr>
          <w:w w:val="105"/>
        </w:rPr>
        <w:t>382).</w:t>
      </w:r>
    </w:p>
    <w:p w:rsidR="00E675F0" w:rsidRDefault="00E675F0" w:rsidP="00E675F0">
      <w:pPr>
        <w:spacing w:line="252" w:lineRule="auto"/>
        <w:jc w:val="both"/>
        <w:sectPr w:rsidR="00E675F0">
          <w:pgSz w:w="8960" w:h="14260"/>
          <w:pgMar w:top="1400" w:right="640" w:bottom="280" w:left="600" w:header="704" w:footer="0" w:gutter="0"/>
          <w:cols w:space="720"/>
        </w:sectPr>
      </w:pPr>
    </w:p>
    <w:p w:rsidR="00E675F0" w:rsidRDefault="00E675F0" w:rsidP="00E675F0">
      <w:pPr>
        <w:pStyle w:val="BodyText"/>
        <w:spacing w:before="8"/>
        <w:rPr>
          <w:sz w:val="9"/>
        </w:rPr>
      </w:pPr>
    </w:p>
    <w:tbl>
      <w:tblPr>
        <w:tblW w:w="0" w:type="auto"/>
        <w:tblInd w:w="227"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7328"/>
      </w:tblGrid>
      <w:tr w:rsidR="00E675F0" w:rsidTr="00A330E1">
        <w:trPr>
          <w:trHeight w:val="4242"/>
        </w:trPr>
        <w:tc>
          <w:tcPr>
            <w:tcW w:w="7328" w:type="dxa"/>
          </w:tcPr>
          <w:p w:rsidR="00E675F0" w:rsidRDefault="00E675F0" w:rsidP="003048D3">
            <w:pPr>
              <w:pStyle w:val="TableParagraph"/>
              <w:numPr>
                <w:ilvl w:val="0"/>
                <w:numId w:val="12"/>
              </w:numPr>
              <w:tabs>
                <w:tab w:val="left" w:pos="627"/>
              </w:tabs>
              <w:spacing w:line="528" w:lineRule="exact"/>
              <w:ind w:hanging="374"/>
              <w:rPr>
                <w:rFonts w:ascii="Arial" w:hAnsi="Arial"/>
                <w:b/>
                <w:sz w:val="24"/>
              </w:rPr>
            </w:pPr>
            <w:bookmarkStart w:id="186" w:name="_bookmark165"/>
            <w:bookmarkEnd w:id="186"/>
            <w:r>
              <w:rPr>
                <w:rFonts w:ascii="Arial" w:hAnsi="Arial"/>
                <w:b/>
                <w:w w:val="105"/>
                <w:sz w:val="24"/>
              </w:rPr>
              <w:t>Diagnostic criteria for 295.20 Catatonic</w:t>
            </w:r>
            <w:r>
              <w:rPr>
                <w:rFonts w:ascii="Arial" w:hAnsi="Arial"/>
                <w:b/>
                <w:spacing w:val="21"/>
                <w:w w:val="105"/>
                <w:sz w:val="24"/>
              </w:rPr>
              <w:t xml:space="preserve"> </w:t>
            </w:r>
            <w:r>
              <w:rPr>
                <w:rFonts w:ascii="Arial" w:hAnsi="Arial"/>
                <w:b/>
                <w:w w:val="105"/>
                <w:sz w:val="24"/>
              </w:rPr>
              <w:t>Type</w:t>
            </w:r>
          </w:p>
          <w:p w:rsidR="00E675F0" w:rsidRDefault="00E675F0" w:rsidP="00A330E1">
            <w:pPr>
              <w:pStyle w:val="TableParagraph"/>
              <w:spacing w:before="9" w:line="256" w:lineRule="auto"/>
              <w:ind w:left="656" w:right="216" w:hanging="5"/>
              <w:jc w:val="both"/>
              <w:rPr>
                <w:sz w:val="20"/>
              </w:rPr>
            </w:pPr>
            <w:r>
              <w:rPr>
                <w:w w:val="105"/>
                <w:sz w:val="20"/>
              </w:rPr>
              <w:t>A type of Schizophrenia in which the clinical picture is dominated by at least two of the following:</w:t>
            </w:r>
          </w:p>
          <w:p w:rsidR="00E675F0" w:rsidRDefault="00E675F0" w:rsidP="003048D3">
            <w:pPr>
              <w:pStyle w:val="TableParagraph"/>
              <w:numPr>
                <w:ilvl w:val="1"/>
                <w:numId w:val="12"/>
              </w:numPr>
              <w:tabs>
                <w:tab w:val="left" w:pos="1388"/>
              </w:tabs>
              <w:spacing w:before="56" w:line="256" w:lineRule="auto"/>
              <w:ind w:right="225" w:hanging="424"/>
              <w:jc w:val="both"/>
              <w:rPr>
                <w:sz w:val="18"/>
              </w:rPr>
            </w:pPr>
            <w:r>
              <w:rPr>
                <w:w w:val="105"/>
                <w:sz w:val="20"/>
              </w:rPr>
              <w:t>motoric immobility as evidenced by catalepsy (including waxy flexibility) or</w:t>
            </w:r>
            <w:r>
              <w:rPr>
                <w:spacing w:val="30"/>
                <w:w w:val="105"/>
                <w:sz w:val="20"/>
              </w:rPr>
              <w:t xml:space="preserve"> </w:t>
            </w:r>
            <w:r>
              <w:rPr>
                <w:w w:val="105"/>
                <w:sz w:val="20"/>
              </w:rPr>
              <w:t>stupor</w:t>
            </w:r>
          </w:p>
          <w:p w:rsidR="00E675F0" w:rsidRDefault="00E675F0" w:rsidP="003048D3">
            <w:pPr>
              <w:pStyle w:val="TableParagraph"/>
              <w:numPr>
                <w:ilvl w:val="1"/>
                <w:numId w:val="12"/>
              </w:numPr>
              <w:tabs>
                <w:tab w:val="left" w:pos="1382"/>
              </w:tabs>
              <w:spacing w:line="256" w:lineRule="auto"/>
              <w:ind w:left="1383" w:right="219" w:hanging="426"/>
              <w:jc w:val="both"/>
              <w:rPr>
                <w:sz w:val="20"/>
              </w:rPr>
            </w:pPr>
            <w:r>
              <w:rPr>
                <w:w w:val="105"/>
                <w:sz w:val="20"/>
              </w:rPr>
              <w:t>excessive motor activity (that is apparently purposeless and not influenced by external</w:t>
            </w:r>
            <w:r>
              <w:rPr>
                <w:spacing w:val="-27"/>
                <w:w w:val="105"/>
                <w:sz w:val="20"/>
              </w:rPr>
              <w:t xml:space="preserve"> </w:t>
            </w:r>
            <w:r>
              <w:rPr>
                <w:w w:val="105"/>
                <w:sz w:val="20"/>
              </w:rPr>
              <w:t>stimuli)</w:t>
            </w:r>
          </w:p>
          <w:p w:rsidR="00E675F0" w:rsidRDefault="00E675F0" w:rsidP="003048D3">
            <w:pPr>
              <w:pStyle w:val="TableParagraph"/>
              <w:numPr>
                <w:ilvl w:val="1"/>
                <w:numId w:val="12"/>
              </w:numPr>
              <w:tabs>
                <w:tab w:val="left" w:pos="1382"/>
              </w:tabs>
              <w:spacing w:line="252" w:lineRule="auto"/>
              <w:ind w:left="1383" w:right="219" w:hanging="426"/>
              <w:jc w:val="both"/>
              <w:rPr>
                <w:sz w:val="20"/>
              </w:rPr>
            </w:pPr>
            <w:r>
              <w:rPr>
                <w:w w:val="105"/>
                <w:sz w:val="20"/>
              </w:rPr>
              <w:t>extreme negativism (an apparently motiveless resistance to all instructions or maintenance of a rigid posture against attempts to be moved) or</w:t>
            </w:r>
            <w:r>
              <w:rPr>
                <w:spacing w:val="36"/>
                <w:w w:val="105"/>
                <w:sz w:val="20"/>
              </w:rPr>
              <w:t xml:space="preserve"> </w:t>
            </w:r>
            <w:r>
              <w:rPr>
                <w:w w:val="105"/>
                <w:sz w:val="20"/>
              </w:rPr>
              <w:t>mutism</w:t>
            </w:r>
          </w:p>
          <w:p w:rsidR="00E675F0" w:rsidRDefault="00E675F0" w:rsidP="003048D3">
            <w:pPr>
              <w:pStyle w:val="TableParagraph"/>
              <w:numPr>
                <w:ilvl w:val="1"/>
                <w:numId w:val="12"/>
              </w:numPr>
              <w:tabs>
                <w:tab w:val="left" w:pos="1391"/>
              </w:tabs>
              <w:spacing w:line="256" w:lineRule="auto"/>
              <w:ind w:right="214" w:hanging="424"/>
              <w:jc w:val="both"/>
              <w:rPr>
                <w:sz w:val="20"/>
              </w:rPr>
            </w:pPr>
            <w:r>
              <w:rPr>
                <w:w w:val="105"/>
                <w:sz w:val="20"/>
              </w:rPr>
              <w:t>peculiarities of voluntary movement as evidenced by posturing (voluntary assumption of inappropriate or bizarre postures), ste­ reotyped movements, prominent mannerisms, or prominent gri­ macing</w:t>
            </w:r>
          </w:p>
          <w:p w:rsidR="00E675F0" w:rsidRDefault="00E675F0" w:rsidP="003048D3">
            <w:pPr>
              <w:pStyle w:val="TableParagraph"/>
              <w:numPr>
                <w:ilvl w:val="1"/>
                <w:numId w:val="12"/>
              </w:numPr>
              <w:tabs>
                <w:tab w:val="left" w:pos="1382"/>
              </w:tabs>
              <w:spacing w:line="226" w:lineRule="exact"/>
              <w:ind w:hanging="425"/>
              <w:jc w:val="both"/>
              <w:rPr>
                <w:sz w:val="20"/>
              </w:rPr>
            </w:pPr>
            <w:r>
              <w:rPr>
                <w:w w:val="105"/>
                <w:sz w:val="20"/>
              </w:rPr>
              <w:t>echolalia  or</w:t>
            </w:r>
            <w:r>
              <w:rPr>
                <w:spacing w:val="-21"/>
                <w:w w:val="105"/>
                <w:sz w:val="20"/>
              </w:rPr>
              <w:t xml:space="preserve"> </w:t>
            </w:r>
            <w:r>
              <w:rPr>
                <w:w w:val="105"/>
                <w:sz w:val="20"/>
              </w:rPr>
              <w:t>echopraxia</w:t>
            </w:r>
          </w:p>
        </w:tc>
      </w:tr>
    </w:tbl>
    <w:p w:rsidR="00E675F0" w:rsidRDefault="00E675F0" w:rsidP="00E675F0">
      <w:pPr>
        <w:pStyle w:val="BodyText"/>
      </w:pPr>
    </w:p>
    <w:p w:rsidR="00E675F0" w:rsidRDefault="00E675F0" w:rsidP="00E675F0">
      <w:pPr>
        <w:pStyle w:val="BodyText"/>
        <w:spacing w:before="1"/>
        <w:rPr>
          <w:sz w:val="23"/>
        </w:rPr>
      </w:pPr>
    </w:p>
    <w:p w:rsidR="00E675F0" w:rsidRDefault="00E675F0" w:rsidP="00E675F0">
      <w:pPr>
        <w:tabs>
          <w:tab w:val="left" w:pos="2992"/>
        </w:tabs>
        <w:ind w:left="1927"/>
        <w:rPr>
          <w:rFonts w:ascii="Arial"/>
          <w:b/>
          <w:sz w:val="25"/>
        </w:rPr>
      </w:pPr>
      <w:r>
        <w:rPr>
          <w:noProof/>
        </w:rPr>
        <mc:AlternateContent>
          <mc:Choice Requires="wps">
            <w:drawing>
              <wp:anchor distT="0" distB="0" distL="114300" distR="114300" simplePos="0" relativeHeight="251732992" behindDoc="0" locked="0" layoutInCell="1" allowOverlap="1" wp14:anchorId="48B99290" wp14:editId="12387143">
                <wp:simplePos x="0" y="0"/>
                <wp:positionH relativeFrom="page">
                  <wp:posOffset>506095</wp:posOffset>
                </wp:positionH>
                <wp:positionV relativeFrom="paragraph">
                  <wp:posOffset>-269240</wp:posOffset>
                </wp:positionV>
                <wp:extent cx="0" cy="0"/>
                <wp:effectExtent l="0" t="0" r="0" b="0"/>
                <wp:wrapNone/>
                <wp:docPr id="1272" name="Line 12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3666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914015" id="Line 1228" o:spid="_x0000_s1026" style="position:absolute;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85pt,-21.2pt" to="39.85pt,-21.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" strokeweight="1.0184mm">
                <o:lock v:ext="edit" shapetype="f"/>
                <w10:wrap anchorx="page"/>
              </v:line>
            </w:pict>
          </mc:Fallback>
        </mc:AlternateContent>
      </w:r>
      <w:r>
        <w:rPr>
          <w:rFonts w:ascii="Arial"/>
          <w:b/>
          <w:w w:val="110"/>
          <w:sz w:val="25"/>
        </w:rPr>
        <w:t>295.90</w:t>
      </w:r>
      <w:r>
        <w:rPr>
          <w:rFonts w:ascii="Arial"/>
          <w:b/>
          <w:w w:val="110"/>
          <w:sz w:val="25"/>
        </w:rPr>
        <w:tab/>
        <w:t>Undifferentiated</w:t>
      </w:r>
      <w:r>
        <w:rPr>
          <w:rFonts w:ascii="Arial"/>
          <w:b/>
          <w:spacing w:val="-18"/>
          <w:w w:val="110"/>
          <w:sz w:val="25"/>
        </w:rPr>
        <w:t xml:space="preserve"> </w:t>
      </w:r>
      <w:r>
        <w:rPr>
          <w:rFonts w:ascii="Arial"/>
          <w:b/>
          <w:w w:val="110"/>
          <w:sz w:val="25"/>
        </w:rPr>
        <w:t>Type</w:t>
      </w:r>
    </w:p>
    <w:p w:rsidR="00E675F0" w:rsidRDefault="00E675F0" w:rsidP="00E675F0">
      <w:pPr>
        <w:pStyle w:val="BodyText"/>
        <w:spacing w:before="241" w:line="256" w:lineRule="auto"/>
        <w:ind w:left="128" w:right="120" w:hanging="6"/>
        <w:jc w:val="both"/>
      </w:pPr>
      <w:r>
        <w:rPr>
          <w:noProof/>
        </w:rPr>
        <mc:AlternateContent>
          <mc:Choice Requires="wpg">
            <w:drawing>
              <wp:anchor distT="0" distB="0" distL="114300" distR="114300" simplePos="0" relativeHeight="251814912" behindDoc="1" locked="0" layoutInCell="1" allowOverlap="1" wp14:anchorId="1A5DCDBE" wp14:editId="1BAAA08E">
                <wp:simplePos x="0" y="0"/>
                <wp:positionH relativeFrom="page">
                  <wp:posOffset>459740</wp:posOffset>
                </wp:positionH>
                <wp:positionV relativeFrom="paragraph">
                  <wp:posOffset>878840</wp:posOffset>
                </wp:positionV>
                <wp:extent cx="4754245" cy="1172210"/>
                <wp:effectExtent l="0" t="12700" r="8255" b="0"/>
                <wp:wrapNone/>
                <wp:docPr id="1269" name="Group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4245" cy="1172210"/>
                          <a:chOff x="724" y="1384"/>
                          <a:chExt cx="7487" cy="1846"/>
                        </a:xfrm>
                      </wpg:grpSpPr>
                      <wps:wsp>
                        <wps:cNvPr id="1270" name="AutoShape 1227"/>
                        <wps:cNvSpPr>
                          <a:spLocks/>
                        </wps:cNvSpPr>
                        <wps:spPr bwMode="auto">
                          <a:xfrm>
                            <a:off x="724" y="1384"/>
                            <a:ext cx="7487" cy="1846"/>
                          </a:xfrm>
                          <a:custGeom>
                            <a:avLst/>
                            <a:gdLst>
                              <a:gd name="T0" fmla="+- 0 797 724"/>
                              <a:gd name="T1" fmla="*/ T0 w 7487"/>
                              <a:gd name="T2" fmla="+- 0 3230 1384"/>
                              <a:gd name="T3" fmla="*/ 3230 h 1846"/>
                              <a:gd name="T4" fmla="+- 0 797 724"/>
                              <a:gd name="T5" fmla="*/ T4 w 7487"/>
                              <a:gd name="T6" fmla="+- 0 1384 1384"/>
                              <a:gd name="T7" fmla="*/ 1384 h 1846"/>
                              <a:gd name="T8" fmla="+- 0 724 724"/>
                              <a:gd name="T9" fmla="*/ T8 w 7487"/>
                              <a:gd name="T10" fmla="+- 0 1471 1384"/>
                              <a:gd name="T11" fmla="*/ 1471 h 1846"/>
                              <a:gd name="T12" fmla="+- 0 8211 724"/>
                              <a:gd name="T13" fmla="*/ T12 w 7487"/>
                              <a:gd name="T14" fmla="+- 0 1471 1384"/>
                              <a:gd name="T15" fmla="*/ 1471 h 1846"/>
                            </a:gdLst>
                            <a:ahLst/>
                            <a:cxnLst>
                              <a:cxn ang="0">
                                <a:pos x="T1" y="T3"/>
                              </a:cxn>
                              <a:cxn ang="0">
                                <a:pos x="T5" y="T7"/>
                              </a:cxn>
                              <a:cxn ang="0">
                                <a:pos x="T9" y="T11"/>
                              </a:cxn>
                              <a:cxn ang="0">
                                <a:pos x="T13" y="T15"/>
                              </a:cxn>
                            </a:cxnLst>
                            <a:rect l="0" t="0" r="r" b="b"/>
                            <a:pathLst>
                              <a:path w="7487" h="1846">
                                <a:moveTo>
                                  <a:pt x="73" y="1846"/>
                                </a:moveTo>
                                <a:lnTo>
                                  <a:pt x="73" y="0"/>
                                </a:lnTo>
                                <a:moveTo>
                                  <a:pt x="0" y="87"/>
                                </a:moveTo>
                                <a:lnTo>
                                  <a:pt x="7487" y="87"/>
                                </a:lnTo>
                              </a:path>
                            </a:pathLst>
                          </a:custGeom>
                          <a:noFill/>
                          <a:ln w="366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1" name="Line 1226"/>
                        <wps:cNvCnPr>
                          <a:cxnSpLocks/>
                        </wps:cNvCnPr>
                        <wps:spPr bwMode="auto">
                          <a:xfrm>
                            <a:off x="724" y="3139"/>
                            <a:ext cx="7487" cy="0"/>
                          </a:xfrm>
                          <a:prstGeom prst="line">
                            <a:avLst/>
                          </a:prstGeom>
                          <a:noFill/>
                          <a:ln w="335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5EC47B" id="Group 1225" o:spid="_x0000_s1026" style="position:absolute;margin-left:36.2pt;margin-top:69.2pt;width:374.35pt;height:92.3pt;z-index:-251501568;mso-position-horizontal-relative:page" coordorigin="724,1384" coordsize="7487,184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">
                <v:shape id="AutoShape 1227" o:spid="_x0000_s1027" style="position:absolute;left:724;top:1384;width:7487;height:1846;visibility:visible;mso-wrap-style:square;v-text-anchor:top" coordsize="7487,18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" path="m73,1846l73,m,87r7487,e" filled="f" strokeweight="1.0179mm">
                  <v:path arrowok="t" o:connecttype="custom" o:connectlocs="73,3230;73,1384;0,1471;7487,1471" o:connectangles="0,0,0,0"/>
                </v:shape>
                <v:line id="Line 1226" o:spid="_x0000_s1028" style="position:absolute;visibility:visible;mso-wrap-style:square" from="724,3139" to="8211,31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" strokeweight=".93264mm">
                  <o:lock v:ext="edit" shapetype="f"/>
                </v:line>
                <w10:wrap anchorx="page"/>
              </v:group>
            </w:pict>
          </mc:Fallback>
        </mc:AlternateContent>
      </w:r>
      <w:r>
        <w:rPr>
          <w:w w:val="105"/>
        </w:rPr>
        <w:t>The essential feature of the Undifferentiated Type of Schizophrenia is the presence of symptoms that meet Criterion A of Schizophrenia but that do not meet criteria for the Paranoid, Disorganized, or Catatonic Type.</w:t>
      </w:r>
    </w:p>
    <w:p w:rsidR="00E675F0" w:rsidRDefault="00E675F0" w:rsidP="00E675F0">
      <w:pPr>
        <w:pStyle w:val="BodyText"/>
      </w:pPr>
    </w:p>
    <w:p w:rsidR="00E675F0" w:rsidRDefault="00E675F0" w:rsidP="00E675F0">
      <w:pPr>
        <w:pStyle w:val="BodyText"/>
        <w:spacing w:before="3"/>
      </w:pPr>
    </w:p>
    <w:tbl>
      <w:tblPr>
        <w:tblW w:w="0" w:type="auto"/>
        <w:tblInd w:w="227"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7323"/>
      </w:tblGrid>
      <w:tr w:rsidR="00E675F0" w:rsidTr="00A330E1">
        <w:trPr>
          <w:trHeight w:val="1607"/>
        </w:trPr>
        <w:tc>
          <w:tcPr>
            <w:tcW w:w="7323" w:type="dxa"/>
          </w:tcPr>
          <w:p w:rsidR="00E675F0" w:rsidRDefault="00E675F0" w:rsidP="003048D3">
            <w:pPr>
              <w:pStyle w:val="TableParagraph"/>
              <w:numPr>
                <w:ilvl w:val="0"/>
                <w:numId w:val="11"/>
              </w:numPr>
              <w:tabs>
                <w:tab w:val="left" w:pos="631"/>
              </w:tabs>
              <w:spacing w:line="538" w:lineRule="exact"/>
              <w:rPr>
                <w:rFonts w:ascii="Arial" w:hAnsi="Arial"/>
                <w:b/>
                <w:sz w:val="24"/>
              </w:rPr>
            </w:pPr>
            <w:r>
              <w:rPr>
                <w:rFonts w:ascii="Arial" w:hAnsi="Arial"/>
                <w:b/>
                <w:w w:val="105"/>
                <w:sz w:val="24"/>
              </w:rPr>
              <w:t>Diagnostic criteria for 295.90 Undifferentiated</w:t>
            </w:r>
            <w:r>
              <w:rPr>
                <w:rFonts w:ascii="Arial" w:hAnsi="Arial"/>
                <w:b/>
                <w:spacing w:val="-3"/>
                <w:w w:val="105"/>
                <w:sz w:val="24"/>
              </w:rPr>
              <w:t xml:space="preserve"> </w:t>
            </w:r>
            <w:r>
              <w:rPr>
                <w:rFonts w:ascii="Arial" w:hAnsi="Arial"/>
                <w:b/>
                <w:w w:val="105"/>
                <w:sz w:val="24"/>
              </w:rPr>
              <w:t>Type</w:t>
            </w:r>
          </w:p>
          <w:p w:rsidR="00E675F0" w:rsidRDefault="00E675F0" w:rsidP="00A330E1">
            <w:pPr>
              <w:pStyle w:val="TableParagraph"/>
              <w:spacing w:before="153" w:line="247" w:lineRule="auto"/>
              <w:ind w:left="650" w:right="550" w:firstLine="2"/>
              <w:jc w:val="both"/>
              <w:rPr>
                <w:sz w:val="20"/>
              </w:rPr>
            </w:pPr>
            <w:r>
              <w:rPr>
                <w:rFonts w:ascii="Arial"/>
                <w:w w:val="105"/>
                <w:sz w:val="17"/>
              </w:rPr>
              <w:t xml:space="preserve">A </w:t>
            </w:r>
            <w:r>
              <w:rPr>
                <w:w w:val="105"/>
                <w:sz w:val="20"/>
              </w:rPr>
              <w:t xml:space="preserve">type of Schizophrenia in which symptoms that meet Criterion </w:t>
            </w:r>
            <w:r>
              <w:rPr>
                <w:rFonts w:ascii="Arial"/>
                <w:w w:val="105"/>
                <w:sz w:val="17"/>
              </w:rPr>
              <w:t xml:space="preserve">A </w:t>
            </w:r>
            <w:r>
              <w:rPr>
                <w:w w:val="105"/>
                <w:sz w:val="20"/>
              </w:rPr>
              <w:t>are present, but the criteria are not met for the Paranoid, Disorganized, or Catatonic Type.</w:t>
            </w:r>
          </w:p>
        </w:tc>
      </w:tr>
    </w:tbl>
    <w:p w:rsidR="00E675F0" w:rsidRDefault="00E675F0" w:rsidP="00E675F0">
      <w:pPr>
        <w:pStyle w:val="BodyText"/>
      </w:pPr>
    </w:p>
    <w:p w:rsidR="00E675F0" w:rsidRDefault="00E675F0" w:rsidP="00E675F0">
      <w:pPr>
        <w:tabs>
          <w:tab w:val="left" w:pos="3498"/>
        </w:tabs>
        <w:spacing w:before="249"/>
        <w:ind w:left="2427"/>
        <w:rPr>
          <w:rFonts w:ascii="Arial"/>
          <w:b/>
          <w:sz w:val="25"/>
        </w:rPr>
      </w:pPr>
      <w:r>
        <w:rPr>
          <w:rFonts w:ascii="Arial"/>
          <w:b/>
          <w:w w:val="105"/>
          <w:sz w:val="25"/>
        </w:rPr>
        <w:t>295.60</w:t>
      </w:r>
      <w:r>
        <w:rPr>
          <w:rFonts w:ascii="Arial"/>
          <w:b/>
          <w:w w:val="105"/>
          <w:sz w:val="25"/>
        </w:rPr>
        <w:tab/>
        <w:t>Residual</w:t>
      </w:r>
      <w:r>
        <w:rPr>
          <w:rFonts w:ascii="Arial"/>
          <w:b/>
          <w:spacing w:val="6"/>
          <w:w w:val="105"/>
          <w:sz w:val="25"/>
        </w:rPr>
        <w:t xml:space="preserve"> </w:t>
      </w:r>
      <w:r>
        <w:rPr>
          <w:rFonts w:ascii="Arial"/>
          <w:b/>
          <w:w w:val="105"/>
          <w:sz w:val="25"/>
        </w:rPr>
        <w:t>Type</w:t>
      </w:r>
    </w:p>
    <w:p w:rsidR="00E675F0" w:rsidRDefault="00E675F0" w:rsidP="00E675F0">
      <w:pPr>
        <w:pStyle w:val="BodyText"/>
        <w:spacing w:before="3"/>
        <w:rPr>
          <w:rFonts w:ascii="Arial"/>
          <w:b/>
          <w:sz w:val="37"/>
        </w:rPr>
      </w:pPr>
    </w:p>
    <w:p w:rsidR="00E675F0" w:rsidRDefault="00E675F0" w:rsidP="00E675F0">
      <w:pPr>
        <w:pStyle w:val="BodyText"/>
        <w:spacing w:line="254" w:lineRule="auto"/>
        <w:ind w:left="118" w:right="113"/>
        <w:jc w:val="both"/>
      </w:pPr>
      <w:r>
        <w:rPr>
          <w:w w:val="105"/>
        </w:rPr>
        <w:t>The Residual Type of Schizophrenia should be used when there has been at least one episode of Schizophrenia, but the current clinical picture is without prominent positive psychotic symptoms (e.g., delusions, hallucinations, disorganized speech or behavior). There is continuing evidence of the disturbance as indicated by the presence of negative symptoms (e.g., flat affect, poverty of speech, or avolition) or two or more attenuated positive symptoms (e.g., eccentric behavior, mildly disorganized speech, or odd beliefs). If delusions or hallucinations are present, they are not prominent and are not accompa­ nied by strong affect. The course of the Residual Type may be time limited and represent a transition between a full-blown episode and complete remission. However, it may also be continuously present for many years, with or without acute exacerbations.</w:t>
      </w:r>
    </w:p>
    <w:p w:rsidR="00E675F0" w:rsidRDefault="00E675F0" w:rsidP="00E675F0">
      <w:pPr>
        <w:spacing w:line="254" w:lineRule="auto"/>
        <w:jc w:val="both"/>
        <w:sectPr w:rsidR="00E675F0">
          <w:pgSz w:w="8960" w:h="14260"/>
          <w:pgMar w:top="1400" w:right="640" w:bottom="280" w:left="600" w:header="691" w:footer="0" w:gutter="0"/>
          <w:cols w:space="720"/>
        </w:sectPr>
      </w:pPr>
    </w:p>
    <w:p w:rsidR="00E675F0" w:rsidRDefault="00E675F0" w:rsidP="00E675F0">
      <w:pPr>
        <w:pStyle w:val="BodyText"/>
        <w:spacing w:before="6" w:after="1"/>
        <w:rPr>
          <w:sz w:val="9"/>
        </w:rPr>
      </w:pPr>
    </w:p>
    <w:tbl>
      <w:tblPr>
        <w:tblW w:w="0" w:type="auto"/>
        <w:tblInd w:w="221"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7336"/>
      </w:tblGrid>
      <w:tr w:rsidR="00E675F0" w:rsidTr="00A330E1">
        <w:trPr>
          <w:trHeight w:val="2973"/>
        </w:trPr>
        <w:tc>
          <w:tcPr>
            <w:tcW w:w="7336" w:type="dxa"/>
          </w:tcPr>
          <w:p w:rsidR="00E675F0" w:rsidRDefault="00E675F0" w:rsidP="003048D3">
            <w:pPr>
              <w:pStyle w:val="TableParagraph"/>
              <w:numPr>
                <w:ilvl w:val="0"/>
                <w:numId w:val="10"/>
              </w:numPr>
              <w:tabs>
                <w:tab w:val="left" w:pos="629"/>
              </w:tabs>
              <w:spacing w:line="540" w:lineRule="exact"/>
              <w:ind w:hanging="375"/>
              <w:rPr>
                <w:rFonts w:ascii="Arial" w:hAnsi="Arial"/>
                <w:b/>
                <w:sz w:val="24"/>
              </w:rPr>
            </w:pPr>
            <w:bookmarkStart w:id="187" w:name="_bookmark166"/>
            <w:bookmarkEnd w:id="187"/>
            <w:r>
              <w:rPr>
                <w:rFonts w:ascii="Arial" w:hAnsi="Arial"/>
                <w:b/>
                <w:w w:val="105"/>
                <w:sz w:val="24"/>
              </w:rPr>
              <w:t>Diagnostic criteria for 295.60 Residual</w:t>
            </w:r>
            <w:r>
              <w:rPr>
                <w:rFonts w:ascii="Arial" w:hAnsi="Arial"/>
                <w:b/>
                <w:spacing w:val="4"/>
                <w:w w:val="105"/>
                <w:sz w:val="24"/>
              </w:rPr>
              <w:t xml:space="preserve"> </w:t>
            </w:r>
            <w:r>
              <w:rPr>
                <w:rFonts w:ascii="Arial" w:hAnsi="Arial"/>
                <w:b/>
                <w:w w:val="105"/>
                <w:sz w:val="24"/>
              </w:rPr>
              <w:t>Type</w:t>
            </w:r>
          </w:p>
          <w:p w:rsidR="00E675F0" w:rsidRDefault="00E675F0" w:rsidP="00A330E1">
            <w:pPr>
              <w:pStyle w:val="TableParagraph"/>
              <w:spacing w:before="142"/>
              <w:ind w:left="649"/>
              <w:rPr>
                <w:sz w:val="20"/>
              </w:rPr>
            </w:pPr>
            <w:r>
              <w:rPr>
                <w:w w:val="105"/>
                <w:sz w:val="20"/>
              </w:rPr>
              <w:t>A type of Schizophrenia in which the following criteria are met:</w:t>
            </w:r>
          </w:p>
          <w:p w:rsidR="00E675F0" w:rsidRDefault="00E675F0" w:rsidP="00A330E1">
            <w:pPr>
              <w:pStyle w:val="TableParagraph"/>
              <w:rPr>
                <w:sz w:val="18"/>
              </w:rPr>
            </w:pPr>
          </w:p>
          <w:p w:rsidR="00E675F0" w:rsidRDefault="00E675F0" w:rsidP="003048D3">
            <w:pPr>
              <w:pStyle w:val="TableParagraph"/>
              <w:numPr>
                <w:ilvl w:val="1"/>
                <w:numId w:val="10"/>
              </w:numPr>
              <w:tabs>
                <w:tab w:val="left" w:pos="957"/>
              </w:tabs>
              <w:spacing w:line="256" w:lineRule="auto"/>
              <w:ind w:right="236"/>
              <w:jc w:val="both"/>
              <w:rPr>
                <w:sz w:val="18"/>
              </w:rPr>
            </w:pPr>
            <w:r>
              <w:rPr>
                <w:w w:val="105"/>
                <w:sz w:val="20"/>
              </w:rPr>
              <w:t>Absence of prominent delusions, hallucinations, disorganized speech, and grossly disorganized or catatonic</w:t>
            </w:r>
            <w:r>
              <w:rPr>
                <w:spacing w:val="-11"/>
                <w:w w:val="105"/>
                <w:sz w:val="20"/>
              </w:rPr>
              <w:t xml:space="preserve"> </w:t>
            </w:r>
            <w:r>
              <w:rPr>
                <w:w w:val="105"/>
                <w:sz w:val="20"/>
              </w:rPr>
              <w:t>behavior.</w:t>
            </w:r>
          </w:p>
          <w:p w:rsidR="00E675F0" w:rsidRDefault="00E675F0" w:rsidP="003048D3">
            <w:pPr>
              <w:pStyle w:val="TableParagraph"/>
              <w:numPr>
                <w:ilvl w:val="1"/>
                <w:numId w:val="10"/>
              </w:numPr>
              <w:tabs>
                <w:tab w:val="left" w:pos="953"/>
              </w:tabs>
              <w:spacing w:before="176" w:line="254" w:lineRule="auto"/>
              <w:ind w:left="960" w:right="221" w:hanging="304"/>
              <w:jc w:val="both"/>
              <w:rPr>
                <w:sz w:val="20"/>
              </w:rPr>
            </w:pPr>
            <w:r>
              <w:rPr>
                <w:w w:val="105"/>
                <w:sz w:val="20"/>
              </w:rPr>
              <w:t>There is continuing evidence of the disturbance, as indicated by the presence of negative symptoms or two or more symptoms listed in Criterion A for Schizophrenia, present in an attenuated form (e.g., odd beliefs, unusual perceptual</w:t>
            </w:r>
            <w:r>
              <w:rPr>
                <w:spacing w:val="13"/>
                <w:w w:val="105"/>
                <w:sz w:val="20"/>
              </w:rPr>
              <w:t xml:space="preserve"> </w:t>
            </w:r>
            <w:r>
              <w:rPr>
                <w:w w:val="105"/>
                <w:sz w:val="20"/>
              </w:rPr>
              <w:t>experiences).</w:t>
            </w:r>
          </w:p>
        </w:tc>
      </w:tr>
    </w:tbl>
    <w:p w:rsidR="00E675F0" w:rsidRDefault="00E675F0" w:rsidP="00E675F0">
      <w:pPr>
        <w:pStyle w:val="BodyText"/>
      </w:pPr>
    </w:p>
    <w:p w:rsidR="00E675F0" w:rsidRDefault="00E675F0" w:rsidP="00E675F0">
      <w:pPr>
        <w:pStyle w:val="BodyText"/>
        <w:spacing w:before="11"/>
        <w:rPr>
          <w:sz w:val="23"/>
        </w:rPr>
      </w:pPr>
    </w:p>
    <w:p w:rsidR="00E675F0" w:rsidRDefault="00E675F0" w:rsidP="00E675F0">
      <w:pPr>
        <w:tabs>
          <w:tab w:val="left" w:pos="2694"/>
        </w:tabs>
        <w:spacing w:before="92"/>
        <w:ind w:left="1619"/>
        <w:rPr>
          <w:rFonts w:ascii="Arial"/>
          <w:b/>
          <w:sz w:val="26"/>
        </w:rPr>
      </w:pPr>
      <w:r>
        <w:rPr>
          <w:noProof/>
        </w:rPr>
        <mc:AlternateContent>
          <mc:Choice Requires="wps">
            <w:drawing>
              <wp:anchor distT="0" distB="0" distL="114300" distR="114300" simplePos="0" relativeHeight="251815936" behindDoc="1" locked="0" layoutInCell="1" allowOverlap="1" wp14:anchorId="7BDE39B4" wp14:editId="1758B198">
                <wp:simplePos x="0" y="0"/>
                <wp:positionH relativeFrom="page">
                  <wp:posOffset>5171440</wp:posOffset>
                </wp:positionH>
                <wp:positionV relativeFrom="paragraph">
                  <wp:posOffset>-281305</wp:posOffset>
                </wp:positionV>
                <wp:extent cx="0" cy="0"/>
                <wp:effectExtent l="0" t="0" r="0" b="0"/>
                <wp:wrapNone/>
                <wp:docPr id="1268" name="Line 12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3360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D5D226" id="Line 1224" o:spid="_x0000_s1026" style="position:absolute;z-index:-251500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7.2pt,-22.15pt" to="407.2pt,-22.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" strokeweight=".93339mm">
                <o:lock v:ext="edit" shapetype="f"/>
                <w10:wrap anchorx="page"/>
              </v:line>
            </w:pict>
          </mc:Fallback>
        </mc:AlternateContent>
      </w:r>
      <w:r>
        <w:rPr>
          <w:rFonts w:ascii="Arial"/>
          <w:b/>
          <w:w w:val="105"/>
          <w:sz w:val="26"/>
        </w:rPr>
        <w:t>295.40</w:t>
      </w:r>
      <w:r>
        <w:rPr>
          <w:rFonts w:ascii="Arial"/>
          <w:b/>
          <w:w w:val="105"/>
          <w:sz w:val="26"/>
        </w:rPr>
        <w:tab/>
        <w:t>Schizophreniform</w:t>
      </w:r>
      <w:r>
        <w:rPr>
          <w:rFonts w:ascii="Arial"/>
          <w:b/>
          <w:spacing w:val="-27"/>
          <w:w w:val="105"/>
          <w:sz w:val="26"/>
        </w:rPr>
        <w:t xml:space="preserve"> </w:t>
      </w:r>
      <w:r>
        <w:rPr>
          <w:rFonts w:ascii="Arial"/>
          <w:b/>
          <w:w w:val="105"/>
          <w:sz w:val="26"/>
        </w:rPr>
        <w:t>Disorder</w:t>
      </w:r>
    </w:p>
    <w:p w:rsidR="00E675F0" w:rsidRDefault="00E675F0" w:rsidP="00E675F0">
      <w:pPr>
        <w:pStyle w:val="BodyText"/>
        <w:spacing w:before="5"/>
        <w:rPr>
          <w:rFonts w:ascii="Arial"/>
          <w:b/>
          <w:sz w:val="38"/>
        </w:rPr>
      </w:pPr>
    </w:p>
    <w:p w:rsidR="00E675F0" w:rsidRDefault="00E675F0" w:rsidP="00E675F0">
      <w:pPr>
        <w:ind w:left="110"/>
        <w:rPr>
          <w:rFonts w:ascii="TimesNewRomanPS-BoldItalicMT"/>
          <w:b/>
          <w:i/>
          <w:sz w:val="25"/>
        </w:rPr>
      </w:pPr>
      <w:r>
        <w:rPr>
          <w:rFonts w:ascii="TimesNewRomanPS-BoldItalicMT"/>
          <w:b/>
          <w:i/>
          <w:w w:val="110"/>
          <w:sz w:val="25"/>
        </w:rPr>
        <w:t>Diagnostic Features</w:t>
      </w:r>
    </w:p>
    <w:p w:rsidR="00E675F0" w:rsidRDefault="00E675F0" w:rsidP="00E675F0">
      <w:pPr>
        <w:pStyle w:val="BodyText"/>
        <w:spacing w:before="167" w:line="252" w:lineRule="auto"/>
        <w:ind w:left="114" w:right="102" w:hanging="12"/>
        <w:jc w:val="center"/>
      </w:pPr>
      <w:r>
        <w:rPr>
          <w:w w:val="105"/>
        </w:rPr>
        <w:t>The</w:t>
      </w:r>
      <w:r>
        <w:rPr>
          <w:spacing w:val="-9"/>
          <w:w w:val="105"/>
        </w:rPr>
        <w:t xml:space="preserve"> </w:t>
      </w:r>
      <w:r>
        <w:rPr>
          <w:w w:val="105"/>
        </w:rPr>
        <w:t>essential</w:t>
      </w:r>
      <w:r>
        <w:rPr>
          <w:spacing w:val="-5"/>
          <w:w w:val="105"/>
        </w:rPr>
        <w:t xml:space="preserve"> </w:t>
      </w:r>
      <w:r>
        <w:rPr>
          <w:w w:val="105"/>
        </w:rPr>
        <w:t>features</w:t>
      </w:r>
      <w:r>
        <w:rPr>
          <w:spacing w:val="-10"/>
          <w:w w:val="105"/>
        </w:rPr>
        <w:t xml:space="preserve"> </w:t>
      </w:r>
      <w:r>
        <w:rPr>
          <w:w w:val="105"/>
        </w:rPr>
        <w:t>of</w:t>
      </w:r>
      <w:r>
        <w:rPr>
          <w:spacing w:val="-4"/>
          <w:w w:val="105"/>
        </w:rPr>
        <w:t xml:space="preserve"> </w:t>
      </w:r>
      <w:r>
        <w:rPr>
          <w:w w:val="105"/>
        </w:rPr>
        <w:t>Schizophreniform</w:t>
      </w:r>
      <w:r>
        <w:rPr>
          <w:spacing w:val="-10"/>
          <w:w w:val="105"/>
        </w:rPr>
        <w:t xml:space="preserve"> </w:t>
      </w:r>
      <w:r>
        <w:rPr>
          <w:w w:val="105"/>
        </w:rPr>
        <w:t>Disorder</w:t>
      </w:r>
      <w:r>
        <w:rPr>
          <w:spacing w:val="2"/>
          <w:w w:val="105"/>
        </w:rPr>
        <w:t xml:space="preserve"> </w:t>
      </w:r>
      <w:r>
        <w:rPr>
          <w:w w:val="105"/>
        </w:rPr>
        <w:t>are</w:t>
      </w:r>
      <w:r>
        <w:rPr>
          <w:spacing w:val="-8"/>
          <w:w w:val="105"/>
        </w:rPr>
        <w:t xml:space="preserve"> </w:t>
      </w:r>
      <w:r>
        <w:rPr>
          <w:w w:val="105"/>
        </w:rPr>
        <w:t>identical</w:t>
      </w:r>
      <w:r>
        <w:rPr>
          <w:spacing w:val="-1"/>
          <w:w w:val="105"/>
        </w:rPr>
        <w:t xml:space="preserve"> </w:t>
      </w:r>
      <w:r>
        <w:rPr>
          <w:w w:val="105"/>
        </w:rPr>
        <w:t>to</w:t>
      </w:r>
      <w:r>
        <w:rPr>
          <w:spacing w:val="-13"/>
          <w:w w:val="105"/>
        </w:rPr>
        <w:t xml:space="preserve"> </w:t>
      </w:r>
      <w:r>
        <w:rPr>
          <w:w w:val="105"/>
        </w:rPr>
        <w:t>those</w:t>
      </w:r>
      <w:r>
        <w:rPr>
          <w:spacing w:val="-5"/>
          <w:w w:val="105"/>
        </w:rPr>
        <w:t xml:space="preserve"> </w:t>
      </w:r>
      <w:r>
        <w:rPr>
          <w:w w:val="105"/>
        </w:rPr>
        <w:t>of</w:t>
      </w:r>
      <w:r>
        <w:rPr>
          <w:spacing w:val="-3"/>
          <w:w w:val="105"/>
        </w:rPr>
        <w:t xml:space="preserve"> </w:t>
      </w:r>
      <w:r>
        <w:rPr>
          <w:w w:val="105"/>
        </w:rPr>
        <w:t>Schizophre­ nia (Criterion A) except for two differences: the total duration of the illness (including prodromal, active, and residual phases) is at least 1 month but less than 6 months (Criterion B) and impaired social or occupational functioning during some part of the illness is not required (although it may occur). The duration requirement for Schizophreniform Disorder is intermediate between that for Brief Psychotic Disorder (in which symptoms last for at least 1 day but for less than 1 month) and Schizophrenia (in which the symptoms persist for at least 6 months). The diagnosis of Schizophreniform Disorder is made under two conditions. In the first, the diagnosis is applied without qualification to an episode of illness of between 1 and 6 months'  duration from which the individual has already recovered. In the second instance, the diagnosis is applied when a person who, although symptomatic, has been so for less than the 6 months required</w:t>
      </w:r>
      <w:r>
        <w:rPr>
          <w:spacing w:val="-4"/>
          <w:w w:val="105"/>
        </w:rPr>
        <w:t xml:space="preserve"> </w:t>
      </w:r>
      <w:r>
        <w:rPr>
          <w:w w:val="105"/>
        </w:rPr>
        <w:t>for</w:t>
      </w:r>
      <w:r>
        <w:rPr>
          <w:spacing w:val="-11"/>
          <w:w w:val="105"/>
        </w:rPr>
        <w:t xml:space="preserve"> </w:t>
      </w:r>
      <w:r>
        <w:rPr>
          <w:w w:val="105"/>
        </w:rPr>
        <w:t>a</w:t>
      </w:r>
      <w:r>
        <w:rPr>
          <w:spacing w:val="-9"/>
          <w:w w:val="105"/>
        </w:rPr>
        <w:t xml:space="preserve"> </w:t>
      </w:r>
      <w:r>
        <w:rPr>
          <w:w w:val="105"/>
        </w:rPr>
        <w:t>diagnosis</w:t>
      </w:r>
      <w:r>
        <w:rPr>
          <w:spacing w:val="-1"/>
          <w:w w:val="105"/>
        </w:rPr>
        <w:t xml:space="preserve"> </w:t>
      </w:r>
      <w:r>
        <w:rPr>
          <w:w w:val="105"/>
        </w:rPr>
        <w:t>of</w:t>
      </w:r>
      <w:r>
        <w:rPr>
          <w:spacing w:val="-6"/>
          <w:w w:val="105"/>
        </w:rPr>
        <w:t xml:space="preserve"> </w:t>
      </w:r>
      <w:r>
        <w:rPr>
          <w:w w:val="105"/>
        </w:rPr>
        <w:t>Schizophrenia.</w:t>
      </w:r>
      <w:r>
        <w:rPr>
          <w:spacing w:val="-17"/>
          <w:w w:val="105"/>
        </w:rPr>
        <w:t xml:space="preserve"> </w:t>
      </w:r>
      <w:r>
        <w:rPr>
          <w:w w:val="105"/>
        </w:rPr>
        <w:t>In</w:t>
      </w:r>
      <w:r>
        <w:rPr>
          <w:spacing w:val="-10"/>
          <w:w w:val="105"/>
        </w:rPr>
        <w:t xml:space="preserve"> </w:t>
      </w:r>
      <w:r>
        <w:rPr>
          <w:w w:val="105"/>
        </w:rPr>
        <w:t>this</w:t>
      </w:r>
      <w:r>
        <w:rPr>
          <w:spacing w:val="-11"/>
          <w:w w:val="105"/>
        </w:rPr>
        <w:t xml:space="preserve"> </w:t>
      </w:r>
      <w:r>
        <w:rPr>
          <w:w w:val="105"/>
        </w:rPr>
        <w:t>case, the</w:t>
      </w:r>
      <w:r>
        <w:rPr>
          <w:spacing w:val="-12"/>
          <w:w w:val="105"/>
        </w:rPr>
        <w:t xml:space="preserve"> </w:t>
      </w:r>
      <w:r>
        <w:rPr>
          <w:w w:val="105"/>
        </w:rPr>
        <w:t>diagnosis</w:t>
      </w:r>
      <w:r>
        <w:rPr>
          <w:spacing w:val="-1"/>
          <w:w w:val="105"/>
        </w:rPr>
        <w:t xml:space="preserve"> </w:t>
      </w:r>
      <w:r>
        <w:rPr>
          <w:w w:val="105"/>
        </w:rPr>
        <w:t>of</w:t>
      </w:r>
      <w:r>
        <w:rPr>
          <w:spacing w:val="-11"/>
          <w:w w:val="105"/>
        </w:rPr>
        <w:t xml:space="preserve"> </w:t>
      </w:r>
      <w:r>
        <w:rPr>
          <w:w w:val="105"/>
        </w:rPr>
        <w:t>Schizophreniform Disorder should be qualified as "Provisional" because there is no certainty that the individual will actually recover from the disturbance within the 6-month period. If the disturbance persists beyond 6 months, the diagnosis would be changed to</w:t>
      </w:r>
      <w:r>
        <w:rPr>
          <w:spacing w:val="-21"/>
          <w:w w:val="105"/>
        </w:rPr>
        <w:t xml:space="preserve"> </w:t>
      </w:r>
      <w:r>
        <w:rPr>
          <w:w w:val="105"/>
        </w:rPr>
        <w:t>Schizophrenia.</w:t>
      </w:r>
    </w:p>
    <w:p w:rsidR="00E675F0" w:rsidRDefault="00E675F0" w:rsidP="00E675F0">
      <w:pPr>
        <w:pStyle w:val="BodyText"/>
        <w:rPr>
          <w:sz w:val="22"/>
        </w:rPr>
      </w:pPr>
    </w:p>
    <w:p w:rsidR="00E675F0" w:rsidRDefault="00E675F0" w:rsidP="00E675F0">
      <w:pPr>
        <w:pStyle w:val="BodyText"/>
        <w:spacing w:before="5"/>
      </w:pPr>
    </w:p>
    <w:p w:rsidR="00E675F0" w:rsidRDefault="00E675F0" w:rsidP="00E675F0">
      <w:pPr>
        <w:ind w:left="116"/>
        <w:rPr>
          <w:rFonts w:ascii="TimesNewRomanPS-BoldItalicMT"/>
          <w:b/>
          <w:i/>
          <w:sz w:val="25"/>
        </w:rPr>
      </w:pPr>
      <w:r>
        <w:rPr>
          <w:rFonts w:ascii="TimesNewRomanPS-BoldItalicMT"/>
          <w:b/>
          <w:i/>
          <w:w w:val="110"/>
          <w:sz w:val="25"/>
        </w:rPr>
        <w:t>Specifiers</w:t>
      </w:r>
    </w:p>
    <w:p w:rsidR="00E675F0" w:rsidRDefault="00E675F0" w:rsidP="00E675F0">
      <w:pPr>
        <w:pStyle w:val="BodyText"/>
        <w:spacing w:before="168" w:line="256" w:lineRule="auto"/>
        <w:ind w:left="135" w:right="106" w:hanging="7"/>
        <w:jc w:val="both"/>
      </w:pPr>
      <w:r>
        <w:rPr>
          <w:w w:val="105"/>
        </w:rPr>
        <w:t>The following specifiers for Schizophreniform Disorder may be used to indicate the presence or absence of features that may be associated with a better prognosis:</w:t>
      </w:r>
    </w:p>
    <w:p w:rsidR="00E675F0" w:rsidRDefault="00E675F0" w:rsidP="00E675F0">
      <w:pPr>
        <w:pStyle w:val="BodyText"/>
        <w:spacing w:before="61" w:line="254" w:lineRule="auto"/>
        <w:ind w:left="728" w:right="106" w:hanging="4"/>
        <w:jc w:val="both"/>
      </w:pPr>
      <w:r>
        <w:rPr>
          <w:b/>
          <w:w w:val="105"/>
        </w:rPr>
        <w:t xml:space="preserve">With Good Prognostic Features. </w:t>
      </w:r>
      <w:r>
        <w:rPr>
          <w:w w:val="105"/>
        </w:rPr>
        <w:t>This specifier is used if at least two of the following features are present: onset  of  prominent  psychotic symptoms within  4 weeks of the first noticeable change in usual behavior or functioning, confusion or perplexity at the height of the psychotic episode, good premorbid social and occupational functioning, and absence of blunted or flat</w:t>
      </w:r>
      <w:r>
        <w:rPr>
          <w:spacing w:val="-21"/>
          <w:w w:val="105"/>
        </w:rPr>
        <w:t xml:space="preserve"> </w:t>
      </w:r>
      <w:r>
        <w:rPr>
          <w:w w:val="105"/>
        </w:rPr>
        <w:t>affect.</w:t>
      </w:r>
    </w:p>
    <w:p w:rsidR="00E675F0" w:rsidRDefault="00E675F0" w:rsidP="00E675F0">
      <w:pPr>
        <w:spacing w:before="1" w:line="249" w:lineRule="auto"/>
        <w:ind w:left="729" w:right="113" w:hanging="5"/>
        <w:jc w:val="both"/>
        <w:rPr>
          <w:sz w:val="20"/>
        </w:rPr>
      </w:pPr>
      <w:r>
        <w:rPr>
          <w:b/>
          <w:w w:val="110"/>
          <w:sz w:val="20"/>
        </w:rPr>
        <w:t xml:space="preserve">Without Good Prognostic Features. </w:t>
      </w:r>
      <w:r>
        <w:rPr>
          <w:w w:val="110"/>
          <w:sz w:val="20"/>
        </w:rPr>
        <w:t xml:space="preserve">This specifier is used </w:t>
      </w:r>
      <w:r>
        <w:rPr>
          <w:rFonts w:ascii="Arial"/>
          <w:w w:val="110"/>
          <w:sz w:val="20"/>
        </w:rPr>
        <w:t xml:space="preserve">if </w:t>
      </w:r>
      <w:r>
        <w:rPr>
          <w:w w:val="110"/>
          <w:sz w:val="20"/>
        </w:rPr>
        <w:t>two or more of the above features have not been present.</w:t>
      </w:r>
    </w:p>
    <w:p w:rsidR="00E675F0" w:rsidRDefault="00E675F0" w:rsidP="00E675F0">
      <w:pPr>
        <w:spacing w:line="249" w:lineRule="auto"/>
        <w:jc w:val="both"/>
        <w:rPr>
          <w:sz w:val="20"/>
        </w:rPr>
        <w:sectPr w:rsidR="00E675F0">
          <w:pgSz w:w="8960" w:h="14260"/>
          <w:pgMar w:top="1400" w:right="620" w:bottom="280" w:left="620" w:header="704" w:footer="0" w:gutter="0"/>
          <w:cols w:space="720"/>
        </w:sectPr>
      </w:pPr>
    </w:p>
    <w:p w:rsidR="00E675F0" w:rsidRDefault="00E675F0" w:rsidP="00E675F0">
      <w:pPr>
        <w:spacing w:before="133"/>
        <w:ind w:left="108"/>
        <w:rPr>
          <w:rFonts w:ascii="TimesNewRomanPS-BoldItalicMT"/>
          <w:b/>
          <w:i/>
          <w:sz w:val="24"/>
        </w:rPr>
      </w:pPr>
      <w:bookmarkStart w:id="188" w:name="_bookmark167"/>
      <w:bookmarkEnd w:id="188"/>
      <w:r>
        <w:rPr>
          <w:rFonts w:ascii="TimesNewRomanPS-BoldItalicMT"/>
          <w:b/>
          <w:i/>
          <w:w w:val="115"/>
          <w:sz w:val="24"/>
        </w:rPr>
        <w:lastRenderedPageBreak/>
        <w:t>Associated Features and</w:t>
      </w:r>
      <w:r>
        <w:rPr>
          <w:rFonts w:ascii="TimesNewRomanPS-BoldItalicMT"/>
          <w:b/>
          <w:i/>
          <w:spacing w:val="51"/>
          <w:w w:val="115"/>
          <w:sz w:val="24"/>
        </w:rPr>
        <w:t xml:space="preserve"> </w:t>
      </w:r>
      <w:r>
        <w:rPr>
          <w:rFonts w:ascii="TimesNewRomanPS-BoldItalicMT"/>
          <w:b/>
          <w:i/>
          <w:w w:val="115"/>
          <w:sz w:val="24"/>
        </w:rPr>
        <w:t>Disorders</w:t>
      </w:r>
    </w:p>
    <w:p w:rsidR="00E675F0" w:rsidRDefault="00E675F0" w:rsidP="00E675F0">
      <w:pPr>
        <w:pStyle w:val="BodyText"/>
        <w:spacing w:before="127" w:line="254" w:lineRule="auto"/>
        <w:ind w:left="131" w:right="108" w:hanging="5"/>
        <w:jc w:val="both"/>
      </w:pPr>
      <w:r>
        <w:rPr>
          <w:w w:val="105"/>
        </w:rPr>
        <w:t>Also see the discussion in the "Associated Features and Disorders" section for Schizo­ phrenia, p. 279. Unlike Schizophrenia, impairment in social or occupational functioning is not required for a diagnosis of Schizophreniform Disorder. However, most individuals do experience dysfunction in various areas of daily functioning (e.g., work or school, interpersonal relationships, and self-care).</w:t>
      </w:r>
    </w:p>
    <w:p w:rsidR="00E675F0" w:rsidRDefault="00E675F0" w:rsidP="00E675F0">
      <w:pPr>
        <w:pStyle w:val="BodyText"/>
        <w:spacing w:before="10"/>
        <w:rPr>
          <w:sz w:val="24"/>
        </w:rPr>
      </w:pPr>
    </w:p>
    <w:p w:rsidR="00E675F0" w:rsidRDefault="00E675F0" w:rsidP="00E675F0">
      <w:pPr>
        <w:ind w:left="119"/>
        <w:rPr>
          <w:rFonts w:ascii="TimesNewRomanPS-BoldItalicMT"/>
          <w:b/>
          <w:i/>
          <w:sz w:val="24"/>
        </w:rPr>
      </w:pPr>
      <w:r>
        <w:rPr>
          <w:rFonts w:ascii="TimesNewRomanPS-BoldItalicMT"/>
          <w:b/>
          <w:i/>
          <w:w w:val="110"/>
          <w:sz w:val="24"/>
        </w:rPr>
        <w:t>Specific Culture, Age, and Gender Features</w:t>
      </w:r>
    </w:p>
    <w:p w:rsidR="00E675F0" w:rsidRDefault="00E675F0" w:rsidP="00E675F0">
      <w:pPr>
        <w:pStyle w:val="BodyText"/>
        <w:spacing w:before="122" w:line="256" w:lineRule="auto"/>
        <w:ind w:left="130" w:right="118" w:firstLine="9"/>
        <w:jc w:val="both"/>
      </w:pPr>
      <w:r>
        <w:rPr>
          <w:w w:val="105"/>
        </w:rPr>
        <w:t>For additional discussion of culture, age, and gender factors relevant to the diagnosis of Schizophreniform</w:t>
      </w:r>
      <w:r>
        <w:rPr>
          <w:spacing w:val="-16"/>
          <w:w w:val="105"/>
        </w:rPr>
        <w:t xml:space="preserve"> </w:t>
      </w:r>
      <w:r>
        <w:rPr>
          <w:w w:val="105"/>
        </w:rPr>
        <w:t>Disorder,</w:t>
      </w:r>
      <w:r>
        <w:rPr>
          <w:spacing w:val="-5"/>
          <w:w w:val="105"/>
        </w:rPr>
        <w:t xml:space="preserve"> </w:t>
      </w:r>
      <w:r>
        <w:rPr>
          <w:w w:val="105"/>
        </w:rPr>
        <w:t>see</w:t>
      </w:r>
      <w:r>
        <w:rPr>
          <w:spacing w:val="-16"/>
          <w:w w:val="105"/>
        </w:rPr>
        <w:t xml:space="preserve"> </w:t>
      </w:r>
      <w:r>
        <w:rPr>
          <w:w w:val="105"/>
        </w:rPr>
        <w:t>the</w:t>
      </w:r>
      <w:r>
        <w:rPr>
          <w:spacing w:val="-16"/>
          <w:w w:val="105"/>
        </w:rPr>
        <w:t xml:space="preserve"> </w:t>
      </w:r>
      <w:r>
        <w:rPr>
          <w:w w:val="105"/>
        </w:rPr>
        <w:t>"Specific</w:t>
      </w:r>
      <w:r>
        <w:rPr>
          <w:spacing w:val="-10"/>
          <w:w w:val="105"/>
        </w:rPr>
        <w:t xml:space="preserve"> </w:t>
      </w:r>
      <w:r>
        <w:rPr>
          <w:w w:val="105"/>
        </w:rPr>
        <w:t>Culture,</w:t>
      </w:r>
      <w:r>
        <w:rPr>
          <w:spacing w:val="-11"/>
          <w:w w:val="105"/>
        </w:rPr>
        <w:t xml:space="preserve"> </w:t>
      </w:r>
      <w:r>
        <w:rPr>
          <w:w w:val="105"/>
        </w:rPr>
        <w:t>Age,</w:t>
      </w:r>
      <w:r>
        <w:rPr>
          <w:spacing w:val="-11"/>
          <w:w w:val="105"/>
        </w:rPr>
        <w:t xml:space="preserve"> </w:t>
      </w:r>
      <w:r>
        <w:rPr>
          <w:w w:val="105"/>
        </w:rPr>
        <w:t>and</w:t>
      </w:r>
      <w:r>
        <w:rPr>
          <w:spacing w:val="-11"/>
          <w:w w:val="105"/>
        </w:rPr>
        <w:t xml:space="preserve"> </w:t>
      </w:r>
      <w:r>
        <w:rPr>
          <w:w w:val="105"/>
        </w:rPr>
        <w:t>Gender</w:t>
      </w:r>
      <w:r>
        <w:rPr>
          <w:spacing w:val="-9"/>
          <w:w w:val="105"/>
        </w:rPr>
        <w:t xml:space="preserve"> </w:t>
      </w:r>
      <w:r>
        <w:rPr>
          <w:w w:val="105"/>
        </w:rPr>
        <w:t>Features"</w:t>
      </w:r>
      <w:r>
        <w:rPr>
          <w:spacing w:val="-12"/>
          <w:w w:val="105"/>
        </w:rPr>
        <w:t xml:space="preserve"> </w:t>
      </w:r>
      <w:r>
        <w:rPr>
          <w:w w:val="105"/>
        </w:rPr>
        <w:t>section for Schizophrenia (p. 281). There are suggestions that in developing countries, recovery from Psychotic Disorders may be more rapid, which would result in higher rates of Schizophreniform Disorder than of</w:t>
      </w:r>
      <w:r>
        <w:rPr>
          <w:spacing w:val="38"/>
          <w:w w:val="105"/>
        </w:rPr>
        <w:t xml:space="preserve"> </w:t>
      </w:r>
      <w:r>
        <w:rPr>
          <w:w w:val="105"/>
        </w:rPr>
        <w:t>Schizophrenia.</w:t>
      </w:r>
    </w:p>
    <w:p w:rsidR="00E675F0" w:rsidRDefault="00E675F0" w:rsidP="00E675F0">
      <w:pPr>
        <w:pStyle w:val="BodyText"/>
        <w:spacing w:before="2"/>
        <w:rPr>
          <w:sz w:val="25"/>
        </w:rPr>
      </w:pPr>
    </w:p>
    <w:p w:rsidR="00E675F0" w:rsidRDefault="00E675F0" w:rsidP="00E675F0">
      <w:pPr>
        <w:spacing w:before="1"/>
        <w:ind w:left="121"/>
        <w:rPr>
          <w:rFonts w:ascii="TimesNewRomanPS-BoldItalicMT"/>
          <w:b/>
          <w:i/>
          <w:sz w:val="24"/>
        </w:rPr>
      </w:pPr>
      <w:r>
        <w:rPr>
          <w:rFonts w:ascii="TimesNewRomanPS-BoldItalicMT"/>
          <w:b/>
          <w:i/>
          <w:w w:val="115"/>
          <w:sz w:val="24"/>
        </w:rPr>
        <w:t>Prevalence</w:t>
      </w:r>
    </w:p>
    <w:p w:rsidR="00E675F0" w:rsidRDefault="00E675F0" w:rsidP="00E675F0">
      <w:pPr>
        <w:pStyle w:val="BodyText"/>
        <w:spacing w:before="126" w:line="252" w:lineRule="auto"/>
        <w:ind w:left="136" w:right="124" w:hanging="1"/>
        <w:jc w:val="both"/>
      </w:pPr>
      <w:r>
        <w:rPr>
          <w:w w:val="105"/>
        </w:rPr>
        <w:t>Community studies have reported a lifetime prevalence of Schizophreniform Disorder  of around 0.2%, with a 1-year prevalence of</w:t>
      </w:r>
      <w:r>
        <w:rPr>
          <w:spacing w:val="8"/>
          <w:w w:val="105"/>
        </w:rPr>
        <w:t xml:space="preserve"> </w:t>
      </w:r>
      <w:r>
        <w:rPr>
          <w:w w:val="105"/>
        </w:rPr>
        <w:t>0.1%.</w:t>
      </w:r>
    </w:p>
    <w:p w:rsidR="00E675F0" w:rsidRDefault="00E675F0" w:rsidP="00E675F0">
      <w:pPr>
        <w:pStyle w:val="BodyText"/>
        <w:rPr>
          <w:sz w:val="25"/>
        </w:rPr>
      </w:pPr>
    </w:p>
    <w:p w:rsidR="00E675F0" w:rsidRDefault="00E675F0" w:rsidP="00E675F0">
      <w:pPr>
        <w:ind w:left="113"/>
        <w:rPr>
          <w:rFonts w:ascii="TimesNewRomanPS-BoldItalicMT"/>
          <w:b/>
          <w:i/>
          <w:sz w:val="24"/>
        </w:rPr>
      </w:pPr>
      <w:r>
        <w:rPr>
          <w:rFonts w:ascii="TimesNewRomanPS-BoldItalicMT"/>
          <w:b/>
          <w:i/>
          <w:w w:val="115"/>
          <w:sz w:val="24"/>
        </w:rPr>
        <w:t>Course</w:t>
      </w:r>
    </w:p>
    <w:p w:rsidR="00E675F0" w:rsidRDefault="00E675F0" w:rsidP="00E675F0">
      <w:pPr>
        <w:pStyle w:val="BodyText"/>
        <w:spacing w:before="122" w:line="254" w:lineRule="auto"/>
        <w:ind w:left="132" w:right="108"/>
        <w:jc w:val="both"/>
      </w:pPr>
      <w:r>
        <w:rPr>
          <w:w w:val="105"/>
        </w:rPr>
        <w:t>There is little available information on the course of Schizophreniform Disorder. Approximately one-third of individuals with an initial diagnosis of Schizophreniform Disorder (Provisional) recover within the 6-month period and receive Schizophreniform Disorder as their final diagnosis. The remaining two-thirds will progress to the diagnosis of Schizophrenia or Schizoaffective Disorder.</w:t>
      </w:r>
    </w:p>
    <w:p w:rsidR="00E675F0" w:rsidRDefault="00E675F0" w:rsidP="00E675F0">
      <w:pPr>
        <w:pStyle w:val="BodyText"/>
        <w:spacing w:before="4"/>
        <w:rPr>
          <w:sz w:val="25"/>
        </w:rPr>
      </w:pPr>
    </w:p>
    <w:p w:rsidR="00E675F0" w:rsidRDefault="00E675F0" w:rsidP="00E675F0">
      <w:pPr>
        <w:ind w:left="123"/>
        <w:rPr>
          <w:rFonts w:ascii="TimesNewRomanPS-BoldItalicMT"/>
          <w:b/>
          <w:i/>
          <w:sz w:val="24"/>
        </w:rPr>
      </w:pPr>
      <w:r>
        <w:rPr>
          <w:rFonts w:ascii="TimesNewRomanPS-BoldItalicMT"/>
          <w:b/>
          <w:i/>
          <w:w w:val="115"/>
          <w:sz w:val="24"/>
        </w:rPr>
        <w:t>Differential Diagnosis</w:t>
      </w:r>
    </w:p>
    <w:p w:rsidR="00E675F0" w:rsidRDefault="00E675F0" w:rsidP="00E675F0">
      <w:pPr>
        <w:pStyle w:val="BodyText"/>
        <w:spacing w:before="122" w:line="249" w:lineRule="auto"/>
        <w:ind w:left="129" w:right="103" w:firstLine="10"/>
        <w:jc w:val="both"/>
      </w:pPr>
      <w:r>
        <w:rPr>
          <w:w w:val="105"/>
        </w:rPr>
        <w:t xml:space="preserve">Because the diagnostic criteria for Schizophrenia and Schizophreniform Disorder differ primarily in terms of duration of illness, the discussion of the differential diagnosis of Schizophrenia (p. 283) also applies to Schizophreniform Disorder. Schizophreniform Disorder differs  from  </w:t>
      </w:r>
      <w:r>
        <w:rPr>
          <w:b/>
          <w:w w:val="105"/>
          <w:sz w:val="19"/>
        </w:rPr>
        <w:t xml:space="preserve">Brief  Psychotic  Disorder,  </w:t>
      </w:r>
      <w:r>
        <w:rPr>
          <w:w w:val="105"/>
        </w:rPr>
        <w:t>which  has  a  duration  of  less  than 1</w:t>
      </w:r>
      <w:r>
        <w:rPr>
          <w:spacing w:val="11"/>
          <w:w w:val="105"/>
        </w:rPr>
        <w:t xml:space="preserve"> </w:t>
      </w:r>
      <w:r>
        <w:rPr>
          <w:w w:val="105"/>
        </w:rPr>
        <w:t>month.</w:t>
      </w:r>
    </w:p>
    <w:p w:rsidR="00E675F0" w:rsidRDefault="00E675F0" w:rsidP="00E675F0">
      <w:pPr>
        <w:pStyle w:val="BodyText"/>
      </w:pPr>
    </w:p>
    <w:p w:rsidR="00E675F0" w:rsidRDefault="00E675F0" w:rsidP="00E675F0">
      <w:pPr>
        <w:pStyle w:val="BodyText"/>
        <w:spacing w:before="1"/>
      </w:pPr>
    </w:p>
    <w:tbl>
      <w:tblPr>
        <w:tblW w:w="0" w:type="auto"/>
        <w:tblInd w:w="241"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7328"/>
      </w:tblGrid>
      <w:tr w:rsidR="00E675F0" w:rsidTr="00A330E1">
        <w:trPr>
          <w:trHeight w:val="2737"/>
        </w:trPr>
        <w:tc>
          <w:tcPr>
            <w:tcW w:w="7328" w:type="dxa"/>
          </w:tcPr>
          <w:p w:rsidR="00E675F0" w:rsidRDefault="00E675F0" w:rsidP="003048D3">
            <w:pPr>
              <w:pStyle w:val="TableParagraph"/>
              <w:numPr>
                <w:ilvl w:val="0"/>
                <w:numId w:val="9"/>
              </w:numPr>
              <w:tabs>
                <w:tab w:val="left" w:pos="622"/>
              </w:tabs>
              <w:spacing w:before="28" w:line="208" w:lineRule="auto"/>
              <w:ind w:right="1025"/>
              <w:rPr>
                <w:rFonts w:ascii="Arial" w:hAnsi="Arial"/>
                <w:b/>
                <w:sz w:val="24"/>
              </w:rPr>
            </w:pPr>
            <w:r>
              <w:rPr>
                <w:rFonts w:ascii="Arial" w:hAnsi="Arial"/>
                <w:b/>
                <w:w w:val="105"/>
                <w:sz w:val="24"/>
              </w:rPr>
              <w:t>Diagnostic</w:t>
            </w:r>
            <w:r>
              <w:rPr>
                <w:rFonts w:ascii="Arial" w:hAnsi="Arial"/>
                <w:b/>
                <w:spacing w:val="-10"/>
                <w:w w:val="105"/>
                <w:sz w:val="24"/>
              </w:rPr>
              <w:t xml:space="preserve"> </w:t>
            </w:r>
            <w:r>
              <w:rPr>
                <w:rFonts w:ascii="Arial" w:hAnsi="Arial"/>
                <w:b/>
                <w:w w:val="105"/>
                <w:sz w:val="24"/>
              </w:rPr>
              <w:t>criteria</w:t>
            </w:r>
            <w:r>
              <w:rPr>
                <w:rFonts w:ascii="Arial" w:hAnsi="Arial"/>
                <w:b/>
                <w:spacing w:val="-16"/>
                <w:w w:val="105"/>
                <w:sz w:val="24"/>
              </w:rPr>
              <w:t xml:space="preserve"> </w:t>
            </w:r>
            <w:r>
              <w:rPr>
                <w:rFonts w:ascii="Arial" w:hAnsi="Arial"/>
                <w:b/>
                <w:w w:val="105"/>
                <w:sz w:val="24"/>
              </w:rPr>
              <w:t>for</w:t>
            </w:r>
            <w:r>
              <w:rPr>
                <w:rFonts w:ascii="Arial" w:hAnsi="Arial"/>
                <w:b/>
                <w:spacing w:val="-13"/>
                <w:w w:val="105"/>
                <w:sz w:val="24"/>
              </w:rPr>
              <w:t xml:space="preserve"> </w:t>
            </w:r>
            <w:r>
              <w:rPr>
                <w:rFonts w:ascii="Arial" w:hAnsi="Arial"/>
                <w:b/>
                <w:w w:val="105"/>
                <w:sz w:val="24"/>
              </w:rPr>
              <w:t>295.40</w:t>
            </w:r>
            <w:r>
              <w:rPr>
                <w:rFonts w:ascii="Arial" w:hAnsi="Arial"/>
                <w:b/>
                <w:spacing w:val="-24"/>
                <w:w w:val="105"/>
                <w:sz w:val="24"/>
              </w:rPr>
              <w:t xml:space="preserve"> </w:t>
            </w:r>
            <w:r>
              <w:rPr>
                <w:rFonts w:ascii="Arial" w:hAnsi="Arial"/>
                <w:b/>
                <w:w w:val="105"/>
                <w:sz w:val="24"/>
              </w:rPr>
              <w:t>Schizophreniform Disorder</w:t>
            </w:r>
          </w:p>
          <w:p w:rsidR="00E675F0" w:rsidRDefault="00E675F0" w:rsidP="003048D3">
            <w:pPr>
              <w:pStyle w:val="TableParagraph"/>
              <w:numPr>
                <w:ilvl w:val="1"/>
                <w:numId w:val="9"/>
              </w:numPr>
              <w:tabs>
                <w:tab w:val="left" w:pos="892"/>
              </w:tabs>
              <w:spacing w:before="231"/>
              <w:ind w:hanging="246"/>
              <w:rPr>
                <w:sz w:val="20"/>
              </w:rPr>
            </w:pPr>
            <w:r>
              <w:rPr>
                <w:sz w:val="20"/>
              </w:rPr>
              <w:t>Criteria A, D, and E of Schizophrenia are</w:t>
            </w:r>
            <w:r>
              <w:rPr>
                <w:spacing w:val="1"/>
                <w:sz w:val="20"/>
              </w:rPr>
              <w:t xml:space="preserve"> </w:t>
            </w:r>
            <w:r>
              <w:rPr>
                <w:sz w:val="20"/>
              </w:rPr>
              <w:t>met.</w:t>
            </w:r>
          </w:p>
          <w:p w:rsidR="00E675F0" w:rsidRDefault="00E675F0" w:rsidP="00A330E1">
            <w:pPr>
              <w:pStyle w:val="TableParagraph"/>
              <w:spacing w:before="7"/>
              <w:rPr>
                <w:sz w:val="17"/>
              </w:rPr>
            </w:pPr>
          </w:p>
          <w:p w:rsidR="00E675F0" w:rsidRDefault="00E675F0" w:rsidP="003048D3">
            <w:pPr>
              <w:pStyle w:val="TableParagraph"/>
              <w:numPr>
                <w:ilvl w:val="1"/>
                <w:numId w:val="9"/>
              </w:numPr>
              <w:tabs>
                <w:tab w:val="left" w:pos="950"/>
              </w:tabs>
              <w:spacing w:line="254" w:lineRule="auto"/>
              <w:ind w:left="949" w:right="220" w:hanging="300"/>
              <w:jc w:val="both"/>
              <w:rPr>
                <w:sz w:val="20"/>
              </w:rPr>
            </w:pPr>
            <w:r>
              <w:rPr>
                <w:w w:val="105"/>
                <w:sz w:val="20"/>
              </w:rPr>
              <w:t>An episode of the disorder (including prodromal, active, and residual phases) lasts at least 1 month but less than 6 months. (When the diagnosis must be made without waiting for recovery, it should be qualified as</w:t>
            </w:r>
            <w:r>
              <w:rPr>
                <w:spacing w:val="25"/>
                <w:w w:val="105"/>
                <w:sz w:val="20"/>
              </w:rPr>
              <w:t xml:space="preserve"> </w:t>
            </w:r>
            <w:r>
              <w:rPr>
                <w:w w:val="105"/>
                <w:sz w:val="20"/>
              </w:rPr>
              <w:t>"Provisional.")</w:t>
            </w:r>
          </w:p>
          <w:p w:rsidR="00E675F0" w:rsidRDefault="00E675F0" w:rsidP="00A330E1">
            <w:pPr>
              <w:pStyle w:val="TableParagraph"/>
              <w:spacing w:line="226" w:lineRule="exact"/>
              <w:ind w:right="209"/>
              <w:jc w:val="right"/>
              <w:rPr>
                <w:i/>
                <w:sz w:val="20"/>
              </w:rPr>
            </w:pPr>
            <w:r>
              <w:rPr>
                <w:i/>
                <w:w w:val="110"/>
                <w:sz w:val="20"/>
              </w:rPr>
              <w:t>(continued)</w:t>
            </w:r>
          </w:p>
        </w:tc>
      </w:tr>
    </w:tbl>
    <w:p w:rsidR="00E675F0" w:rsidRDefault="00E675F0" w:rsidP="00E675F0">
      <w:pPr>
        <w:spacing w:line="226" w:lineRule="exact"/>
        <w:jc w:val="right"/>
        <w:rPr>
          <w:sz w:val="20"/>
        </w:rPr>
        <w:sectPr w:rsidR="00E675F0">
          <w:headerReference w:type="even" r:id="rId213"/>
          <w:headerReference w:type="default" r:id="rId214"/>
          <w:pgSz w:w="8960" w:h="14260"/>
          <w:pgMar w:top="1400" w:right="620" w:bottom="280" w:left="620" w:header="698" w:footer="0" w:gutter="0"/>
          <w:pgNumType w:start="291"/>
          <w:cols w:space="720"/>
        </w:sectPr>
      </w:pPr>
    </w:p>
    <w:p w:rsidR="00E675F0" w:rsidRDefault="00E675F0" w:rsidP="00E675F0">
      <w:pPr>
        <w:pStyle w:val="BodyText"/>
        <w:spacing w:before="2"/>
        <w:rPr>
          <w:sz w:val="10"/>
        </w:rPr>
      </w:pPr>
    </w:p>
    <w:tbl>
      <w:tblPr>
        <w:tblW w:w="0" w:type="auto"/>
        <w:tblInd w:w="245"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7331"/>
      </w:tblGrid>
      <w:tr w:rsidR="00E675F0" w:rsidTr="00A330E1">
        <w:trPr>
          <w:trHeight w:val="3088"/>
        </w:trPr>
        <w:tc>
          <w:tcPr>
            <w:tcW w:w="7331" w:type="dxa"/>
          </w:tcPr>
          <w:p w:rsidR="00E675F0" w:rsidRDefault="00E675F0" w:rsidP="003048D3">
            <w:pPr>
              <w:pStyle w:val="TableParagraph"/>
              <w:numPr>
                <w:ilvl w:val="0"/>
                <w:numId w:val="8"/>
              </w:numPr>
              <w:tabs>
                <w:tab w:val="left" w:pos="590"/>
              </w:tabs>
              <w:spacing w:before="74"/>
              <w:rPr>
                <w:rFonts w:ascii="Arial" w:hAnsi="Arial"/>
                <w:i/>
              </w:rPr>
            </w:pPr>
            <w:bookmarkStart w:id="189" w:name="_bookmark168"/>
            <w:bookmarkEnd w:id="189"/>
            <w:r>
              <w:rPr>
                <w:rFonts w:ascii="Arial" w:hAnsi="Arial"/>
                <w:b/>
                <w:w w:val="105"/>
              </w:rPr>
              <w:t>Criteria</w:t>
            </w:r>
            <w:r>
              <w:rPr>
                <w:rFonts w:ascii="Arial" w:hAnsi="Arial"/>
                <w:b/>
                <w:spacing w:val="-12"/>
                <w:w w:val="105"/>
              </w:rPr>
              <w:t xml:space="preserve"> </w:t>
            </w:r>
            <w:r>
              <w:rPr>
                <w:rFonts w:ascii="Arial" w:hAnsi="Arial"/>
                <w:b/>
                <w:w w:val="105"/>
              </w:rPr>
              <w:t>for</w:t>
            </w:r>
            <w:r>
              <w:rPr>
                <w:rFonts w:ascii="Arial" w:hAnsi="Arial"/>
                <w:b/>
                <w:spacing w:val="-13"/>
                <w:w w:val="105"/>
              </w:rPr>
              <w:t xml:space="preserve"> </w:t>
            </w:r>
            <w:r>
              <w:rPr>
                <w:rFonts w:ascii="Arial" w:hAnsi="Arial"/>
                <w:b/>
                <w:w w:val="105"/>
              </w:rPr>
              <w:t>295.40</w:t>
            </w:r>
            <w:r>
              <w:rPr>
                <w:rFonts w:ascii="Arial" w:hAnsi="Arial"/>
                <w:b/>
                <w:spacing w:val="-16"/>
                <w:w w:val="105"/>
              </w:rPr>
              <w:t xml:space="preserve"> </w:t>
            </w:r>
            <w:r>
              <w:rPr>
                <w:rFonts w:ascii="Arial" w:hAnsi="Arial"/>
                <w:b/>
                <w:w w:val="105"/>
              </w:rPr>
              <w:t>Schizophreniform</w:t>
            </w:r>
            <w:r>
              <w:rPr>
                <w:rFonts w:ascii="Arial" w:hAnsi="Arial"/>
                <w:b/>
                <w:spacing w:val="-31"/>
                <w:w w:val="105"/>
              </w:rPr>
              <w:t xml:space="preserve"> </w:t>
            </w:r>
            <w:r>
              <w:rPr>
                <w:rFonts w:ascii="Arial" w:hAnsi="Arial"/>
                <w:b/>
                <w:w w:val="105"/>
              </w:rPr>
              <w:t>Disorder</w:t>
            </w:r>
            <w:r>
              <w:rPr>
                <w:rFonts w:ascii="Arial" w:hAnsi="Arial"/>
                <w:b/>
                <w:spacing w:val="-7"/>
                <w:w w:val="105"/>
              </w:rPr>
              <w:t xml:space="preserve"> </w:t>
            </w:r>
            <w:r>
              <w:rPr>
                <w:rFonts w:ascii="Arial" w:hAnsi="Arial"/>
                <w:i/>
                <w:w w:val="105"/>
              </w:rPr>
              <w:t>(continued)</w:t>
            </w:r>
          </w:p>
          <w:p w:rsidR="00E675F0" w:rsidRDefault="00E675F0" w:rsidP="00A330E1">
            <w:pPr>
              <w:pStyle w:val="TableParagraph"/>
              <w:spacing w:before="217"/>
              <w:ind w:left="404"/>
              <w:rPr>
                <w:sz w:val="19"/>
              </w:rPr>
            </w:pPr>
            <w:r>
              <w:rPr>
                <w:rFonts w:ascii="Arial"/>
                <w:i/>
                <w:w w:val="95"/>
                <w:sz w:val="19"/>
              </w:rPr>
              <w:t xml:space="preserve">Specify </w:t>
            </w:r>
            <w:r>
              <w:rPr>
                <w:w w:val="95"/>
                <w:sz w:val="19"/>
              </w:rPr>
              <w:t>if:</w:t>
            </w:r>
          </w:p>
          <w:p w:rsidR="00E675F0" w:rsidRDefault="00E675F0" w:rsidP="00A330E1">
            <w:pPr>
              <w:pStyle w:val="TableParagraph"/>
              <w:spacing w:before="22"/>
              <w:ind w:left="646"/>
              <w:rPr>
                <w:b/>
                <w:sz w:val="19"/>
              </w:rPr>
            </w:pPr>
            <w:r>
              <w:rPr>
                <w:b/>
                <w:w w:val="115"/>
                <w:sz w:val="19"/>
              </w:rPr>
              <w:t>Without Good Prognostic Features</w:t>
            </w:r>
          </w:p>
          <w:p w:rsidR="00E675F0" w:rsidRDefault="00E675F0" w:rsidP="00A330E1">
            <w:pPr>
              <w:pStyle w:val="TableParagraph"/>
              <w:spacing w:before="7" w:line="256" w:lineRule="auto"/>
              <w:ind w:left="794" w:right="296" w:hanging="149"/>
              <w:rPr>
                <w:sz w:val="20"/>
              </w:rPr>
            </w:pPr>
            <w:r>
              <w:rPr>
                <w:b/>
                <w:w w:val="110"/>
                <w:sz w:val="19"/>
              </w:rPr>
              <w:t xml:space="preserve">With Good Prognostic Features: </w:t>
            </w:r>
            <w:r>
              <w:rPr>
                <w:w w:val="110"/>
                <w:sz w:val="20"/>
              </w:rPr>
              <w:t>as evidenced by two (or more) of the following:</w:t>
            </w:r>
          </w:p>
          <w:p w:rsidR="00E675F0" w:rsidRDefault="00E675F0" w:rsidP="003048D3">
            <w:pPr>
              <w:pStyle w:val="TableParagraph"/>
              <w:numPr>
                <w:ilvl w:val="1"/>
                <w:numId w:val="8"/>
              </w:numPr>
              <w:tabs>
                <w:tab w:val="left" w:pos="1377"/>
                <w:tab w:val="left" w:pos="1378"/>
              </w:tabs>
              <w:spacing w:line="256" w:lineRule="auto"/>
              <w:ind w:right="223" w:hanging="430"/>
              <w:rPr>
                <w:sz w:val="17"/>
              </w:rPr>
            </w:pPr>
            <w:r>
              <w:rPr>
                <w:w w:val="105"/>
                <w:sz w:val="20"/>
              </w:rPr>
              <w:t>onset of prominent psychotic symptoms within 4 weeks of the first noticeable change in usual behavior or</w:t>
            </w:r>
            <w:r>
              <w:rPr>
                <w:spacing w:val="-12"/>
                <w:w w:val="105"/>
                <w:sz w:val="20"/>
              </w:rPr>
              <w:t xml:space="preserve"> </w:t>
            </w:r>
            <w:r>
              <w:rPr>
                <w:w w:val="105"/>
                <w:sz w:val="20"/>
              </w:rPr>
              <w:t>functioning</w:t>
            </w:r>
          </w:p>
          <w:p w:rsidR="00E675F0" w:rsidRDefault="00E675F0" w:rsidP="003048D3">
            <w:pPr>
              <w:pStyle w:val="TableParagraph"/>
              <w:numPr>
                <w:ilvl w:val="1"/>
                <w:numId w:val="8"/>
              </w:numPr>
              <w:tabs>
                <w:tab w:val="left" w:pos="1383"/>
              </w:tabs>
              <w:spacing w:line="228" w:lineRule="exact"/>
              <w:ind w:left="1382" w:hanging="431"/>
              <w:rPr>
                <w:sz w:val="20"/>
              </w:rPr>
            </w:pPr>
            <w:r>
              <w:rPr>
                <w:w w:val="105"/>
                <w:sz w:val="20"/>
              </w:rPr>
              <w:t>confusion or perplexity at the height of the psychotic</w:t>
            </w:r>
            <w:r>
              <w:rPr>
                <w:spacing w:val="50"/>
                <w:w w:val="105"/>
                <w:sz w:val="20"/>
              </w:rPr>
              <w:t xml:space="preserve"> </w:t>
            </w:r>
            <w:r>
              <w:rPr>
                <w:w w:val="105"/>
                <w:sz w:val="20"/>
              </w:rPr>
              <w:t>episode</w:t>
            </w:r>
          </w:p>
          <w:p w:rsidR="00E675F0" w:rsidRDefault="00E675F0" w:rsidP="003048D3">
            <w:pPr>
              <w:pStyle w:val="TableParagraph"/>
              <w:numPr>
                <w:ilvl w:val="1"/>
                <w:numId w:val="8"/>
              </w:numPr>
              <w:tabs>
                <w:tab w:val="left" w:pos="1379"/>
              </w:tabs>
              <w:spacing w:before="9"/>
              <w:ind w:left="1378" w:hanging="427"/>
              <w:rPr>
                <w:sz w:val="20"/>
              </w:rPr>
            </w:pPr>
            <w:r>
              <w:rPr>
                <w:w w:val="105"/>
                <w:sz w:val="20"/>
              </w:rPr>
              <w:t>good premorbid social and occupational</w:t>
            </w:r>
            <w:r>
              <w:rPr>
                <w:spacing w:val="-15"/>
                <w:w w:val="105"/>
                <w:sz w:val="20"/>
              </w:rPr>
              <w:t xml:space="preserve"> </w:t>
            </w:r>
            <w:r>
              <w:rPr>
                <w:w w:val="105"/>
                <w:sz w:val="20"/>
              </w:rPr>
              <w:t>functioning</w:t>
            </w:r>
          </w:p>
          <w:p w:rsidR="00E675F0" w:rsidRDefault="00E675F0" w:rsidP="003048D3">
            <w:pPr>
              <w:pStyle w:val="TableParagraph"/>
              <w:numPr>
                <w:ilvl w:val="1"/>
                <w:numId w:val="8"/>
              </w:numPr>
              <w:tabs>
                <w:tab w:val="left" w:pos="1378"/>
              </w:tabs>
              <w:spacing w:before="15"/>
              <w:ind w:left="1377" w:hanging="431"/>
              <w:rPr>
                <w:sz w:val="20"/>
              </w:rPr>
            </w:pPr>
            <w:r>
              <w:rPr>
                <w:w w:val="105"/>
                <w:sz w:val="20"/>
              </w:rPr>
              <w:t>absence of blunted or flat</w:t>
            </w:r>
            <w:r>
              <w:rPr>
                <w:spacing w:val="18"/>
                <w:w w:val="105"/>
                <w:sz w:val="20"/>
              </w:rPr>
              <w:t xml:space="preserve"> </w:t>
            </w:r>
            <w:r>
              <w:rPr>
                <w:w w:val="105"/>
                <w:sz w:val="20"/>
              </w:rPr>
              <w:t>affect</w:t>
            </w:r>
          </w:p>
        </w:tc>
      </w:tr>
    </w:tbl>
    <w:p w:rsidR="00E675F0" w:rsidRDefault="00E675F0" w:rsidP="00E675F0">
      <w:pPr>
        <w:pStyle w:val="BodyText"/>
      </w:pPr>
    </w:p>
    <w:p w:rsidR="00E675F0" w:rsidRDefault="00E675F0" w:rsidP="00E675F0">
      <w:pPr>
        <w:tabs>
          <w:tab w:val="left" w:pos="1064"/>
        </w:tabs>
        <w:spacing w:before="237"/>
        <w:ind w:right="3"/>
        <w:jc w:val="center"/>
        <w:rPr>
          <w:b/>
          <w:sz w:val="28"/>
        </w:rPr>
      </w:pPr>
      <w:r>
        <w:rPr>
          <w:noProof/>
        </w:rPr>
        <mc:AlternateContent>
          <mc:Choice Requires="wps">
            <w:drawing>
              <wp:anchor distT="0" distB="0" distL="114300" distR="114300" simplePos="0" relativeHeight="251734016" behindDoc="0" locked="0" layoutInCell="1" allowOverlap="1" wp14:anchorId="40A1C9CB" wp14:editId="19C745B8">
                <wp:simplePos x="0" y="0"/>
                <wp:positionH relativeFrom="page">
                  <wp:posOffset>477520</wp:posOffset>
                </wp:positionH>
                <wp:positionV relativeFrom="paragraph">
                  <wp:posOffset>-162560</wp:posOffset>
                </wp:positionV>
                <wp:extent cx="4765675" cy="0"/>
                <wp:effectExtent l="0" t="12700" r="22225" b="12700"/>
                <wp:wrapNone/>
                <wp:docPr id="1267" name="Line 12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765675" cy="0"/>
                        </a:xfrm>
                        <a:prstGeom prst="line">
                          <a:avLst/>
                        </a:prstGeom>
                        <a:noFill/>
                        <a:ln w="335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88BA17" id="Line 1223" o:spid="_x0000_s1026" style="position:absolute;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6pt,-12.8pt" to="412.85pt,-12.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" strokeweight=".93264mm">
                <o:lock v:ext="edit" shapetype="f"/>
                <w10:wrap anchorx="page"/>
              </v:line>
            </w:pict>
          </mc:Fallback>
        </mc:AlternateContent>
      </w:r>
      <w:r>
        <w:rPr>
          <w:b/>
          <w:spacing w:val="2"/>
          <w:w w:val="105"/>
          <w:sz w:val="28"/>
        </w:rPr>
        <w:t>295.70</w:t>
      </w:r>
      <w:r>
        <w:rPr>
          <w:b/>
          <w:spacing w:val="2"/>
          <w:w w:val="105"/>
          <w:sz w:val="28"/>
        </w:rPr>
        <w:tab/>
      </w:r>
      <w:r>
        <w:rPr>
          <w:b/>
          <w:w w:val="105"/>
          <w:sz w:val="28"/>
        </w:rPr>
        <w:t>Schizoaffective</w:t>
      </w:r>
      <w:r>
        <w:rPr>
          <w:b/>
          <w:spacing w:val="15"/>
          <w:w w:val="105"/>
          <w:sz w:val="28"/>
        </w:rPr>
        <w:t xml:space="preserve"> </w:t>
      </w:r>
      <w:r>
        <w:rPr>
          <w:b/>
          <w:w w:val="105"/>
          <w:sz w:val="28"/>
        </w:rPr>
        <w:t>Disorder</w:t>
      </w:r>
    </w:p>
    <w:p w:rsidR="00E675F0" w:rsidRDefault="00E675F0" w:rsidP="00E675F0">
      <w:pPr>
        <w:spacing w:before="244"/>
        <w:ind w:left="126"/>
        <w:jc w:val="both"/>
        <w:rPr>
          <w:rFonts w:ascii="TimesNewRomanPS-BoldItalicMT"/>
          <w:b/>
          <w:i/>
          <w:sz w:val="24"/>
        </w:rPr>
      </w:pPr>
      <w:r>
        <w:rPr>
          <w:rFonts w:ascii="TimesNewRomanPS-BoldItalicMT"/>
          <w:b/>
          <w:i/>
          <w:w w:val="115"/>
          <w:sz w:val="24"/>
        </w:rPr>
        <w:t>Diagnostic Features</w:t>
      </w:r>
    </w:p>
    <w:p w:rsidR="00E675F0" w:rsidRDefault="00E675F0" w:rsidP="00E675F0">
      <w:pPr>
        <w:pStyle w:val="BodyText"/>
        <w:spacing w:before="141" w:line="252" w:lineRule="auto"/>
        <w:ind w:left="134" w:right="118" w:hanging="4"/>
        <w:jc w:val="both"/>
      </w:pPr>
      <w:r>
        <w:rPr>
          <w:w w:val="105"/>
        </w:rPr>
        <w:t>The essential feature of Schizoaffective Disorder is an uninterrupted period of illness during which, at some time, there is a Major Depressive, Manic, or Mixed Episode concurrent with symptoms that meet Criterion A for Schizophrenia (Criterion A). In addition, during the same period of illness, there have been delusions or hallucinations for at least 2 weeks in the absence of prominent mood symptoms (Criterion B). Finally, the mood symptoms are present for a substantial portion of the total duration of the illness (Criterion C). The symptoms must not be due to the direct physiological  effects of a substance (e.g., cocaine) or a general medical condition (e.g., hyperthyroidism or temporal lobe epilepsy) (Criterion D). To meet criteria for Schizoaffective Disorder, the essential features must occur within a single uninterrupted period of illness. The phrase "period of illness" as used here refers to a time period during which the individual continues to display active or residual symptoms of psychotic illness. For some individuals, this period of illness may last for years or even decades. A period of illness is considered to have ended when the individual has completely recovered for a significant interval of time and no longer demonstrates any significant symptoms of the disorder.</w:t>
      </w:r>
    </w:p>
    <w:p w:rsidR="00E675F0" w:rsidRDefault="00E675F0" w:rsidP="00E675F0">
      <w:pPr>
        <w:pStyle w:val="BodyText"/>
        <w:spacing w:before="6" w:line="254" w:lineRule="auto"/>
        <w:ind w:left="133" w:right="127" w:firstLine="363"/>
        <w:jc w:val="both"/>
      </w:pPr>
      <w:r>
        <w:rPr>
          <w:w w:val="105"/>
        </w:rPr>
        <w:t>The phase of the illness with concurrent mood and psychotic symptoms is characterized by the full criteria being met for both the active phase of Schizophrenia (i.e., Criterion A) (see p. 274) and for a Major Depressive Episode (p. 320), a Manic Episode (p. 328), or a Mixed Episode (p. 333). The duration of the Major Depressive Episode must be at least 2 weeks; the duration of the Manic or Mixed Episode must be  at least 1 week. Because  the psychotic symptoms must have a total duration  of at least  1</w:t>
      </w:r>
      <w:r>
        <w:rPr>
          <w:spacing w:val="-6"/>
          <w:w w:val="105"/>
        </w:rPr>
        <w:t xml:space="preserve"> </w:t>
      </w:r>
      <w:r>
        <w:rPr>
          <w:w w:val="105"/>
        </w:rPr>
        <w:t>month</w:t>
      </w:r>
      <w:r>
        <w:rPr>
          <w:spacing w:val="-9"/>
          <w:w w:val="105"/>
        </w:rPr>
        <w:t xml:space="preserve"> </w:t>
      </w:r>
      <w:r>
        <w:rPr>
          <w:w w:val="105"/>
        </w:rPr>
        <w:t>to</w:t>
      </w:r>
      <w:r>
        <w:rPr>
          <w:spacing w:val="-15"/>
          <w:w w:val="105"/>
        </w:rPr>
        <w:t xml:space="preserve"> </w:t>
      </w:r>
      <w:r>
        <w:rPr>
          <w:w w:val="105"/>
        </w:rPr>
        <w:t>meet</w:t>
      </w:r>
      <w:r>
        <w:rPr>
          <w:spacing w:val="-8"/>
          <w:w w:val="105"/>
        </w:rPr>
        <w:t xml:space="preserve"> </w:t>
      </w:r>
      <w:r>
        <w:rPr>
          <w:w w:val="105"/>
        </w:rPr>
        <w:t>Criterion</w:t>
      </w:r>
      <w:r>
        <w:rPr>
          <w:spacing w:val="-9"/>
          <w:w w:val="105"/>
        </w:rPr>
        <w:t xml:space="preserve"> </w:t>
      </w:r>
      <w:r>
        <w:rPr>
          <w:w w:val="105"/>
        </w:rPr>
        <w:t>A</w:t>
      </w:r>
      <w:r>
        <w:rPr>
          <w:spacing w:val="-21"/>
          <w:w w:val="105"/>
        </w:rPr>
        <w:t xml:space="preserve"> </w:t>
      </w:r>
      <w:r>
        <w:rPr>
          <w:w w:val="105"/>
        </w:rPr>
        <w:t>for</w:t>
      </w:r>
      <w:r>
        <w:rPr>
          <w:spacing w:val="-26"/>
          <w:w w:val="105"/>
        </w:rPr>
        <w:t xml:space="preserve"> </w:t>
      </w:r>
      <w:r>
        <w:rPr>
          <w:w w:val="105"/>
        </w:rPr>
        <w:t>Schizophrenia,</w:t>
      </w:r>
      <w:r>
        <w:rPr>
          <w:spacing w:val="-26"/>
          <w:w w:val="105"/>
        </w:rPr>
        <w:t xml:space="preserve"> </w:t>
      </w:r>
      <w:r>
        <w:rPr>
          <w:w w:val="105"/>
        </w:rPr>
        <w:t>the</w:t>
      </w:r>
      <w:r>
        <w:rPr>
          <w:spacing w:val="-13"/>
          <w:w w:val="105"/>
        </w:rPr>
        <w:t xml:space="preserve"> </w:t>
      </w:r>
      <w:r>
        <w:rPr>
          <w:w w:val="105"/>
        </w:rPr>
        <w:t>minimum</w:t>
      </w:r>
      <w:r>
        <w:rPr>
          <w:spacing w:val="-14"/>
          <w:w w:val="105"/>
        </w:rPr>
        <w:t xml:space="preserve"> </w:t>
      </w:r>
      <w:r>
        <w:rPr>
          <w:w w:val="105"/>
        </w:rPr>
        <w:t>duration</w:t>
      </w:r>
      <w:r>
        <w:rPr>
          <w:spacing w:val="-8"/>
          <w:w w:val="105"/>
        </w:rPr>
        <w:t xml:space="preserve"> </w:t>
      </w:r>
      <w:r>
        <w:rPr>
          <w:w w:val="105"/>
        </w:rPr>
        <w:t>of</w:t>
      </w:r>
      <w:r>
        <w:rPr>
          <w:spacing w:val="-6"/>
          <w:w w:val="105"/>
        </w:rPr>
        <w:t xml:space="preserve"> </w:t>
      </w:r>
      <w:r>
        <w:rPr>
          <w:w w:val="105"/>
        </w:rPr>
        <w:t>a</w:t>
      </w:r>
      <w:r>
        <w:rPr>
          <w:spacing w:val="-18"/>
          <w:w w:val="105"/>
        </w:rPr>
        <w:t xml:space="preserve"> </w:t>
      </w:r>
      <w:r>
        <w:rPr>
          <w:w w:val="105"/>
        </w:rPr>
        <w:t>schizoaffective episode is also 1 month. An essential feature of a Major Depressive Episode is the presence of either depressed mood or markedly diminished interest or pleasure. Because loss of interest or pleasure is so common in nonaffective Psychotic Disorders, to meet Criterion A for Schizoaffective Disorder the Major Depressive Episode must include pervasive depressed mood (i.e., the presence of markedly diminished interest or pleasure is</w:t>
      </w:r>
      <w:r>
        <w:rPr>
          <w:spacing w:val="-12"/>
          <w:w w:val="105"/>
        </w:rPr>
        <w:t xml:space="preserve"> </w:t>
      </w:r>
      <w:r>
        <w:rPr>
          <w:w w:val="105"/>
        </w:rPr>
        <w:t>not</w:t>
      </w:r>
      <w:r>
        <w:rPr>
          <w:spacing w:val="-14"/>
          <w:w w:val="105"/>
        </w:rPr>
        <w:t xml:space="preserve"> </w:t>
      </w:r>
      <w:r>
        <w:rPr>
          <w:w w:val="105"/>
        </w:rPr>
        <w:t>sufficient).</w:t>
      </w:r>
      <w:r>
        <w:rPr>
          <w:spacing w:val="-6"/>
          <w:w w:val="105"/>
        </w:rPr>
        <w:t xml:space="preserve"> </w:t>
      </w:r>
      <w:r>
        <w:rPr>
          <w:w w:val="105"/>
        </w:rPr>
        <w:t>The</w:t>
      </w:r>
      <w:r>
        <w:rPr>
          <w:spacing w:val="-5"/>
          <w:w w:val="105"/>
        </w:rPr>
        <w:t xml:space="preserve"> </w:t>
      </w:r>
      <w:r>
        <w:rPr>
          <w:w w:val="105"/>
        </w:rPr>
        <w:t>phase</w:t>
      </w:r>
      <w:r>
        <w:rPr>
          <w:spacing w:val="-9"/>
          <w:w w:val="105"/>
        </w:rPr>
        <w:t xml:space="preserve"> </w:t>
      </w:r>
      <w:r>
        <w:rPr>
          <w:w w:val="105"/>
        </w:rPr>
        <w:t>of</w:t>
      </w:r>
      <w:r>
        <w:rPr>
          <w:spacing w:val="-2"/>
          <w:w w:val="105"/>
        </w:rPr>
        <w:t xml:space="preserve"> </w:t>
      </w:r>
      <w:r>
        <w:rPr>
          <w:w w:val="105"/>
        </w:rPr>
        <w:t>the</w:t>
      </w:r>
      <w:r>
        <w:rPr>
          <w:spacing w:val="-14"/>
          <w:w w:val="105"/>
        </w:rPr>
        <w:t xml:space="preserve"> </w:t>
      </w:r>
      <w:r>
        <w:rPr>
          <w:w w:val="105"/>
        </w:rPr>
        <w:t>illness</w:t>
      </w:r>
      <w:r>
        <w:rPr>
          <w:spacing w:val="-3"/>
          <w:w w:val="105"/>
        </w:rPr>
        <w:t xml:space="preserve"> </w:t>
      </w:r>
      <w:r>
        <w:rPr>
          <w:w w:val="105"/>
        </w:rPr>
        <w:t>with</w:t>
      </w:r>
      <w:r>
        <w:rPr>
          <w:spacing w:val="-3"/>
          <w:w w:val="105"/>
        </w:rPr>
        <w:t xml:space="preserve"> </w:t>
      </w:r>
      <w:r>
        <w:rPr>
          <w:w w:val="105"/>
        </w:rPr>
        <w:t>psychotic</w:t>
      </w:r>
      <w:r>
        <w:rPr>
          <w:spacing w:val="-13"/>
          <w:w w:val="105"/>
        </w:rPr>
        <w:t xml:space="preserve"> </w:t>
      </w:r>
      <w:r>
        <w:rPr>
          <w:w w:val="105"/>
        </w:rPr>
        <w:t>symptoms</w:t>
      </w:r>
      <w:r>
        <w:rPr>
          <w:spacing w:val="-5"/>
          <w:w w:val="105"/>
        </w:rPr>
        <w:t xml:space="preserve"> </w:t>
      </w:r>
      <w:r>
        <w:rPr>
          <w:w w:val="105"/>
        </w:rPr>
        <w:t>alone</w:t>
      </w:r>
      <w:r>
        <w:rPr>
          <w:spacing w:val="-11"/>
          <w:w w:val="105"/>
        </w:rPr>
        <w:t xml:space="preserve"> </w:t>
      </w:r>
      <w:r>
        <w:rPr>
          <w:w w:val="105"/>
        </w:rPr>
        <w:t>is</w:t>
      </w:r>
      <w:r>
        <w:rPr>
          <w:spacing w:val="-18"/>
          <w:w w:val="105"/>
        </w:rPr>
        <w:t xml:space="preserve"> </w:t>
      </w:r>
      <w:r>
        <w:rPr>
          <w:w w:val="105"/>
        </w:rPr>
        <w:t>characterized by delusions or hallucinations that last at least 2 weeks. Although some mood</w:t>
      </w:r>
      <w:r>
        <w:rPr>
          <w:spacing w:val="-12"/>
          <w:w w:val="105"/>
        </w:rPr>
        <w:t xml:space="preserve"> </w:t>
      </w:r>
      <w:r>
        <w:rPr>
          <w:w w:val="105"/>
        </w:rPr>
        <w:t>symptoms</w:t>
      </w:r>
    </w:p>
    <w:p w:rsidR="00E675F0" w:rsidRDefault="00E675F0" w:rsidP="00E675F0">
      <w:pPr>
        <w:spacing w:line="254" w:lineRule="auto"/>
        <w:jc w:val="both"/>
        <w:sectPr w:rsidR="00E675F0">
          <w:pgSz w:w="8960" w:h="14260"/>
          <w:pgMar w:top="1400" w:right="580" w:bottom="280" w:left="620" w:header="692" w:footer="0" w:gutter="0"/>
          <w:cols w:space="720"/>
        </w:sectPr>
      </w:pPr>
    </w:p>
    <w:p w:rsidR="00E675F0" w:rsidRDefault="00E675F0" w:rsidP="00E675F0">
      <w:pPr>
        <w:pStyle w:val="BodyText"/>
        <w:spacing w:before="138" w:line="254" w:lineRule="auto"/>
        <w:ind w:left="122" w:right="152" w:firstLine="4"/>
        <w:jc w:val="right"/>
      </w:pPr>
      <w:r>
        <w:rPr>
          <w:w w:val="105"/>
        </w:rPr>
        <w:lastRenderedPageBreak/>
        <w:t>may be present during this phase, they are not prominent.</w:t>
      </w:r>
      <w:r>
        <w:rPr>
          <w:spacing w:val="43"/>
          <w:w w:val="105"/>
        </w:rPr>
        <w:t xml:space="preserve"> </w:t>
      </w:r>
      <w:r>
        <w:rPr>
          <w:w w:val="105"/>
        </w:rPr>
        <w:t>This determination can</w:t>
      </w:r>
      <w:r>
        <w:rPr>
          <w:spacing w:val="33"/>
          <w:w w:val="105"/>
        </w:rPr>
        <w:t xml:space="preserve"> </w:t>
      </w:r>
      <w:r>
        <w:rPr>
          <w:w w:val="105"/>
        </w:rPr>
        <w:t>be</w:t>
      </w:r>
      <w:r>
        <w:rPr>
          <w:w w:val="110"/>
        </w:rPr>
        <w:t xml:space="preserve"> </w:t>
      </w:r>
      <w:r>
        <w:rPr>
          <w:w w:val="105"/>
        </w:rPr>
        <w:t>difficult and may require longitudinal observation and multiple sources</w:t>
      </w:r>
      <w:r>
        <w:rPr>
          <w:spacing w:val="-2"/>
          <w:w w:val="105"/>
        </w:rPr>
        <w:t xml:space="preserve"> </w:t>
      </w:r>
      <w:r>
        <w:rPr>
          <w:w w:val="105"/>
        </w:rPr>
        <w:t>of</w:t>
      </w:r>
      <w:r>
        <w:rPr>
          <w:spacing w:val="11"/>
          <w:w w:val="105"/>
        </w:rPr>
        <w:t xml:space="preserve"> </w:t>
      </w:r>
      <w:r>
        <w:rPr>
          <w:w w:val="105"/>
        </w:rPr>
        <w:t>information.</w:t>
      </w:r>
      <w:r>
        <w:rPr>
          <w:spacing w:val="-1"/>
          <w:w w:val="104"/>
        </w:rPr>
        <w:t xml:space="preserve"> </w:t>
      </w:r>
      <w:r>
        <w:rPr>
          <w:w w:val="105"/>
        </w:rPr>
        <w:t>The symptoms of Schizoaffective Disorder may occur in a variety</w:t>
      </w:r>
      <w:r>
        <w:rPr>
          <w:spacing w:val="24"/>
          <w:w w:val="105"/>
        </w:rPr>
        <w:t xml:space="preserve"> </w:t>
      </w:r>
      <w:r>
        <w:rPr>
          <w:w w:val="105"/>
        </w:rPr>
        <w:t>of</w:t>
      </w:r>
      <w:r>
        <w:rPr>
          <w:spacing w:val="1"/>
          <w:w w:val="105"/>
        </w:rPr>
        <w:t xml:space="preserve"> </w:t>
      </w:r>
      <w:r>
        <w:rPr>
          <w:w w:val="105"/>
        </w:rPr>
        <w:t>temporal</w:t>
      </w:r>
      <w:r>
        <w:rPr>
          <w:spacing w:val="-1"/>
          <w:w w:val="106"/>
        </w:rPr>
        <w:t xml:space="preserve"> </w:t>
      </w:r>
      <w:r>
        <w:rPr>
          <w:w w:val="105"/>
        </w:rPr>
        <w:t>patterns.</w:t>
      </w:r>
      <w:r>
        <w:rPr>
          <w:spacing w:val="-13"/>
          <w:w w:val="105"/>
        </w:rPr>
        <w:t xml:space="preserve"> </w:t>
      </w:r>
      <w:r>
        <w:rPr>
          <w:w w:val="105"/>
        </w:rPr>
        <w:t>The</w:t>
      </w:r>
      <w:r>
        <w:rPr>
          <w:spacing w:val="-9"/>
          <w:w w:val="105"/>
        </w:rPr>
        <w:t xml:space="preserve"> </w:t>
      </w:r>
      <w:r>
        <w:rPr>
          <w:w w:val="105"/>
        </w:rPr>
        <w:t>following</w:t>
      </w:r>
      <w:r>
        <w:rPr>
          <w:spacing w:val="3"/>
          <w:w w:val="105"/>
        </w:rPr>
        <w:t xml:space="preserve"> </w:t>
      </w:r>
      <w:r>
        <w:rPr>
          <w:w w:val="105"/>
        </w:rPr>
        <w:t>is</w:t>
      </w:r>
      <w:r>
        <w:rPr>
          <w:spacing w:val="-18"/>
          <w:w w:val="105"/>
        </w:rPr>
        <w:t xml:space="preserve"> </w:t>
      </w:r>
      <w:r>
        <w:rPr>
          <w:w w:val="105"/>
        </w:rPr>
        <w:t>a</w:t>
      </w:r>
      <w:r>
        <w:rPr>
          <w:spacing w:val="-8"/>
          <w:w w:val="105"/>
        </w:rPr>
        <w:t xml:space="preserve"> </w:t>
      </w:r>
      <w:r>
        <w:rPr>
          <w:w w:val="105"/>
        </w:rPr>
        <w:t>typical</w:t>
      </w:r>
      <w:r>
        <w:rPr>
          <w:spacing w:val="3"/>
          <w:w w:val="105"/>
        </w:rPr>
        <w:t xml:space="preserve"> </w:t>
      </w:r>
      <w:r>
        <w:rPr>
          <w:w w:val="105"/>
        </w:rPr>
        <w:t>pattern:</w:t>
      </w:r>
      <w:r>
        <w:rPr>
          <w:spacing w:val="-8"/>
          <w:w w:val="105"/>
        </w:rPr>
        <w:t xml:space="preserve"> </w:t>
      </w:r>
      <w:r>
        <w:rPr>
          <w:w w:val="105"/>
        </w:rPr>
        <w:t>An</w:t>
      </w:r>
      <w:r>
        <w:rPr>
          <w:spacing w:val="-9"/>
          <w:w w:val="105"/>
        </w:rPr>
        <w:t xml:space="preserve"> </w:t>
      </w:r>
      <w:r>
        <w:rPr>
          <w:w w:val="105"/>
        </w:rPr>
        <w:t>individual may</w:t>
      </w:r>
      <w:r>
        <w:rPr>
          <w:spacing w:val="-9"/>
          <w:w w:val="105"/>
        </w:rPr>
        <w:t xml:space="preserve"> </w:t>
      </w:r>
      <w:r>
        <w:rPr>
          <w:w w:val="105"/>
        </w:rPr>
        <w:t>have</w:t>
      </w:r>
      <w:r>
        <w:rPr>
          <w:spacing w:val="-2"/>
          <w:w w:val="105"/>
        </w:rPr>
        <w:t xml:space="preserve"> </w:t>
      </w:r>
      <w:r>
        <w:rPr>
          <w:w w:val="105"/>
        </w:rPr>
        <w:t>pronounced</w:t>
      </w:r>
      <w:r>
        <w:rPr>
          <w:spacing w:val="2"/>
          <w:w w:val="105"/>
        </w:rPr>
        <w:t xml:space="preserve"> </w:t>
      </w:r>
      <w:r>
        <w:rPr>
          <w:w w:val="105"/>
        </w:rPr>
        <w:t>auditory</w:t>
      </w:r>
      <w:r>
        <w:rPr>
          <w:spacing w:val="-1"/>
          <w:w w:val="105"/>
        </w:rPr>
        <w:t xml:space="preserve"> </w:t>
      </w:r>
      <w:r>
        <w:rPr>
          <w:w w:val="105"/>
        </w:rPr>
        <w:t>hallucinations</w:t>
      </w:r>
      <w:r>
        <w:rPr>
          <w:spacing w:val="42"/>
          <w:w w:val="105"/>
        </w:rPr>
        <w:t xml:space="preserve"> </w:t>
      </w:r>
      <w:r>
        <w:rPr>
          <w:w w:val="105"/>
        </w:rPr>
        <w:t>and persecutory delusions for 2 months before the onset of a</w:t>
      </w:r>
      <w:r>
        <w:rPr>
          <w:spacing w:val="26"/>
          <w:w w:val="105"/>
        </w:rPr>
        <w:t xml:space="preserve"> </w:t>
      </w:r>
      <w:r>
        <w:rPr>
          <w:w w:val="105"/>
        </w:rPr>
        <w:t>prominent</w:t>
      </w:r>
      <w:r>
        <w:rPr>
          <w:w w:val="107"/>
        </w:rPr>
        <w:t xml:space="preserve"> </w:t>
      </w:r>
      <w:r>
        <w:rPr>
          <w:w w:val="105"/>
        </w:rPr>
        <w:t>Major Depressive Episode. The psychotic symptoms and the full</w:t>
      </w:r>
      <w:r>
        <w:rPr>
          <w:spacing w:val="7"/>
          <w:w w:val="105"/>
        </w:rPr>
        <w:t xml:space="preserve"> </w:t>
      </w:r>
      <w:r>
        <w:rPr>
          <w:w w:val="105"/>
        </w:rPr>
        <w:t>Major</w:t>
      </w:r>
      <w:r>
        <w:rPr>
          <w:spacing w:val="45"/>
          <w:w w:val="105"/>
        </w:rPr>
        <w:t xml:space="preserve"> </w:t>
      </w:r>
      <w:r>
        <w:rPr>
          <w:w w:val="105"/>
        </w:rPr>
        <w:t>Depressive</w:t>
      </w:r>
      <w:r>
        <w:rPr>
          <w:spacing w:val="-1"/>
          <w:w w:val="105"/>
        </w:rPr>
        <w:t xml:space="preserve"> </w:t>
      </w:r>
      <w:r>
        <w:rPr>
          <w:w w:val="105"/>
        </w:rPr>
        <w:t>Episode are then present for 3 months. Then, the person recovers completely</w:t>
      </w:r>
      <w:r>
        <w:rPr>
          <w:spacing w:val="-7"/>
          <w:w w:val="105"/>
        </w:rPr>
        <w:t xml:space="preserve"> </w:t>
      </w:r>
      <w:r>
        <w:rPr>
          <w:w w:val="105"/>
        </w:rPr>
        <w:t>from</w:t>
      </w:r>
      <w:r>
        <w:rPr>
          <w:spacing w:val="21"/>
          <w:w w:val="105"/>
        </w:rPr>
        <w:t xml:space="preserve"> </w:t>
      </w:r>
      <w:r>
        <w:rPr>
          <w:w w:val="105"/>
        </w:rPr>
        <w:t>the</w:t>
      </w:r>
      <w:r>
        <w:rPr>
          <w:spacing w:val="-1"/>
          <w:w w:val="108"/>
        </w:rPr>
        <w:t xml:space="preserve"> </w:t>
      </w:r>
      <w:r>
        <w:rPr>
          <w:w w:val="105"/>
        </w:rPr>
        <w:t>Major Depressive Episode, but the psychotic symptoms persist for another</w:t>
      </w:r>
      <w:r>
        <w:rPr>
          <w:spacing w:val="-18"/>
          <w:w w:val="105"/>
        </w:rPr>
        <w:t xml:space="preserve"> </w:t>
      </w:r>
      <w:r>
        <w:rPr>
          <w:w w:val="105"/>
        </w:rPr>
        <w:t>month</w:t>
      </w:r>
      <w:r>
        <w:rPr>
          <w:spacing w:val="1"/>
          <w:w w:val="105"/>
        </w:rPr>
        <w:t xml:space="preserve"> </w:t>
      </w:r>
      <w:r>
        <w:rPr>
          <w:w w:val="105"/>
        </w:rPr>
        <w:t>before</w:t>
      </w:r>
      <w:r>
        <w:rPr>
          <w:w w:val="106"/>
        </w:rPr>
        <w:t xml:space="preserve"> </w:t>
      </w:r>
      <w:r>
        <w:rPr>
          <w:w w:val="105"/>
        </w:rPr>
        <w:t>they too disappear. During this period of illness, the individual's</w:t>
      </w:r>
      <w:r>
        <w:rPr>
          <w:spacing w:val="-21"/>
          <w:w w:val="105"/>
        </w:rPr>
        <w:t xml:space="preserve"> </w:t>
      </w:r>
      <w:r>
        <w:rPr>
          <w:w w:val="105"/>
        </w:rPr>
        <w:t>symptoms</w:t>
      </w:r>
      <w:r>
        <w:rPr>
          <w:spacing w:val="5"/>
          <w:w w:val="105"/>
        </w:rPr>
        <w:t xml:space="preserve"> </w:t>
      </w:r>
      <w:r>
        <w:rPr>
          <w:w w:val="105"/>
        </w:rPr>
        <w:t>concurrently</w:t>
      </w:r>
      <w:r>
        <w:rPr>
          <w:spacing w:val="-1"/>
          <w:w w:val="105"/>
        </w:rPr>
        <w:t xml:space="preserve"> </w:t>
      </w:r>
      <w:r>
        <w:rPr>
          <w:w w:val="105"/>
        </w:rPr>
        <w:t>met criteria for a Major Depressive Episode and Criterion</w:t>
      </w:r>
      <w:r>
        <w:rPr>
          <w:spacing w:val="1"/>
          <w:w w:val="105"/>
        </w:rPr>
        <w:t xml:space="preserve"> </w:t>
      </w:r>
      <w:r>
        <w:rPr>
          <w:w w:val="105"/>
        </w:rPr>
        <w:t>A for Schizophrenia,</w:t>
      </w:r>
      <w:r>
        <w:rPr>
          <w:spacing w:val="18"/>
          <w:w w:val="105"/>
        </w:rPr>
        <w:t xml:space="preserve"> </w:t>
      </w:r>
      <w:r>
        <w:rPr>
          <w:w w:val="105"/>
        </w:rPr>
        <w:t>and,</w:t>
      </w:r>
      <w:r>
        <w:rPr>
          <w:spacing w:val="-1"/>
          <w:w w:val="108"/>
        </w:rPr>
        <w:t xml:space="preserve"> </w:t>
      </w:r>
      <w:r>
        <w:rPr>
          <w:w w:val="105"/>
        </w:rPr>
        <w:t>during this same period of illness, auditory hallucinations and delusions</w:t>
      </w:r>
      <w:r>
        <w:rPr>
          <w:spacing w:val="45"/>
          <w:w w:val="105"/>
        </w:rPr>
        <w:t xml:space="preserve"> </w:t>
      </w:r>
      <w:r>
        <w:rPr>
          <w:w w:val="105"/>
        </w:rPr>
        <w:t>were</w:t>
      </w:r>
      <w:r>
        <w:rPr>
          <w:spacing w:val="31"/>
          <w:w w:val="105"/>
        </w:rPr>
        <w:t xml:space="preserve"> </w:t>
      </w:r>
      <w:r>
        <w:rPr>
          <w:w w:val="105"/>
        </w:rPr>
        <w:t>present</w:t>
      </w:r>
      <w:r>
        <w:rPr>
          <w:w w:val="107"/>
        </w:rPr>
        <w:t xml:space="preserve"> </w:t>
      </w:r>
      <w:r>
        <w:rPr>
          <w:w w:val="105"/>
        </w:rPr>
        <w:t>both before and after the depressive  phase. The total  period  of  illness lasted</w:t>
      </w:r>
      <w:r>
        <w:rPr>
          <w:spacing w:val="1"/>
          <w:w w:val="105"/>
        </w:rPr>
        <w:t xml:space="preserve"> </w:t>
      </w:r>
      <w:r>
        <w:rPr>
          <w:w w:val="105"/>
        </w:rPr>
        <w:t>for</w:t>
      </w:r>
      <w:r>
        <w:rPr>
          <w:spacing w:val="7"/>
          <w:w w:val="105"/>
        </w:rPr>
        <w:t xml:space="preserve"> </w:t>
      </w:r>
      <w:r>
        <w:rPr>
          <w:w w:val="105"/>
        </w:rPr>
        <w:t>about</w:t>
      </w:r>
      <w:r>
        <w:rPr>
          <w:spacing w:val="-1"/>
          <w:w w:val="110"/>
        </w:rPr>
        <w:t xml:space="preserve"> </w:t>
      </w:r>
      <w:r>
        <w:rPr>
          <w:w w:val="105"/>
        </w:rPr>
        <w:t>6 months, with psychotic symptoms alone present during the initial 2</w:t>
      </w:r>
      <w:r>
        <w:rPr>
          <w:spacing w:val="4"/>
          <w:w w:val="105"/>
        </w:rPr>
        <w:t xml:space="preserve"> </w:t>
      </w:r>
      <w:r>
        <w:rPr>
          <w:w w:val="105"/>
        </w:rPr>
        <w:t>months,</w:t>
      </w:r>
      <w:r>
        <w:rPr>
          <w:spacing w:val="50"/>
          <w:w w:val="105"/>
        </w:rPr>
        <w:t xml:space="preserve"> </w:t>
      </w:r>
      <w:r>
        <w:rPr>
          <w:w w:val="105"/>
        </w:rPr>
        <w:t>both</w:t>
      </w:r>
      <w:r>
        <w:rPr>
          <w:w w:val="108"/>
        </w:rPr>
        <w:t xml:space="preserve"> </w:t>
      </w:r>
      <w:r>
        <w:rPr>
          <w:w w:val="105"/>
        </w:rPr>
        <w:t>depressive and psychotic symptoms present during the next</w:t>
      </w:r>
      <w:r>
        <w:rPr>
          <w:spacing w:val="48"/>
          <w:w w:val="105"/>
        </w:rPr>
        <w:t xml:space="preserve"> </w:t>
      </w:r>
      <w:r>
        <w:rPr>
          <w:w w:val="105"/>
        </w:rPr>
        <w:t>3 months, and</w:t>
      </w:r>
      <w:r>
        <w:rPr>
          <w:spacing w:val="30"/>
          <w:w w:val="105"/>
        </w:rPr>
        <w:t xml:space="preserve"> </w:t>
      </w:r>
      <w:r>
        <w:rPr>
          <w:w w:val="105"/>
        </w:rPr>
        <w:t>psychotic</w:t>
      </w:r>
      <w:r>
        <w:rPr>
          <w:w w:val="104"/>
        </w:rPr>
        <w:t xml:space="preserve"> </w:t>
      </w:r>
      <w:r>
        <w:rPr>
          <w:w w:val="105"/>
        </w:rPr>
        <w:t>symptoms alone present during the last month. In this instance, the duration</w:t>
      </w:r>
      <w:r>
        <w:rPr>
          <w:spacing w:val="14"/>
          <w:w w:val="105"/>
        </w:rPr>
        <w:t xml:space="preserve"> </w:t>
      </w:r>
      <w:r>
        <w:rPr>
          <w:w w:val="105"/>
        </w:rPr>
        <w:t>of</w:t>
      </w:r>
      <w:r>
        <w:rPr>
          <w:spacing w:val="45"/>
          <w:w w:val="105"/>
        </w:rPr>
        <w:t xml:space="preserve"> </w:t>
      </w:r>
      <w:r>
        <w:rPr>
          <w:w w:val="105"/>
        </w:rPr>
        <w:t>the</w:t>
      </w:r>
      <w:r>
        <w:rPr>
          <w:spacing w:val="-1"/>
          <w:w w:val="110"/>
        </w:rPr>
        <w:t xml:space="preserve"> </w:t>
      </w:r>
      <w:r>
        <w:rPr>
          <w:w w:val="105"/>
        </w:rPr>
        <w:t>depressive episode was not brief relative to the total duration</w:t>
      </w:r>
      <w:r>
        <w:rPr>
          <w:spacing w:val="7"/>
          <w:w w:val="105"/>
        </w:rPr>
        <w:t xml:space="preserve"> </w:t>
      </w:r>
      <w:r>
        <w:rPr>
          <w:w w:val="105"/>
        </w:rPr>
        <w:t>of the</w:t>
      </w:r>
      <w:r>
        <w:rPr>
          <w:spacing w:val="26"/>
          <w:w w:val="105"/>
        </w:rPr>
        <w:t xml:space="preserve"> </w:t>
      </w:r>
      <w:r>
        <w:rPr>
          <w:w w:val="105"/>
        </w:rPr>
        <w:t>psychotic</w:t>
      </w:r>
      <w:r>
        <w:rPr>
          <w:w w:val="104"/>
        </w:rPr>
        <w:t xml:space="preserve"> </w:t>
      </w:r>
      <w:r>
        <w:rPr>
          <w:w w:val="105"/>
        </w:rPr>
        <w:t>disturbance, and thus the presentation qualifies for a diagnosis of</w:t>
      </w:r>
      <w:r>
        <w:rPr>
          <w:spacing w:val="2"/>
          <w:w w:val="105"/>
        </w:rPr>
        <w:t xml:space="preserve"> </w:t>
      </w:r>
      <w:r>
        <w:rPr>
          <w:w w:val="105"/>
        </w:rPr>
        <w:t>Schizoaffective</w:t>
      </w:r>
    </w:p>
    <w:p w:rsidR="00E675F0" w:rsidRDefault="00E675F0" w:rsidP="00E675F0">
      <w:pPr>
        <w:pStyle w:val="BodyText"/>
        <w:spacing w:line="224" w:lineRule="exact"/>
        <w:ind w:left="135"/>
      </w:pPr>
      <w:r>
        <w:rPr>
          <w:w w:val="105"/>
        </w:rPr>
        <w:t>Disorder.</w:t>
      </w:r>
    </w:p>
    <w:p w:rsidR="00E675F0" w:rsidRDefault="00E675F0" w:rsidP="00E675F0">
      <w:pPr>
        <w:pStyle w:val="BodyText"/>
        <w:spacing w:before="16" w:line="252" w:lineRule="auto"/>
        <w:ind w:left="128" w:right="153" w:firstLine="363"/>
        <w:jc w:val="both"/>
      </w:pPr>
      <w:r>
        <w:rPr>
          <w:w w:val="105"/>
        </w:rPr>
        <w:t>Criterion C for Schizoaffective Disorder specifies that mood symptoms that meet criteria for a mood episode must be present for a substantial portion of the entire period of illness. If the mood symptoms are present for only a relatively brief period of time, the diagnosis is Schizophrenia, not Schizoaffective Disorder. In evaluating this criterion, the clinician should determine the proportion of time during the continuous period of psychotic</w:t>
      </w:r>
      <w:r>
        <w:rPr>
          <w:spacing w:val="-6"/>
          <w:w w:val="105"/>
        </w:rPr>
        <w:t xml:space="preserve"> </w:t>
      </w:r>
      <w:r>
        <w:rPr>
          <w:w w:val="105"/>
        </w:rPr>
        <w:t>illness</w:t>
      </w:r>
      <w:r>
        <w:rPr>
          <w:spacing w:val="-10"/>
          <w:w w:val="105"/>
        </w:rPr>
        <w:t xml:space="preserve"> </w:t>
      </w:r>
      <w:r>
        <w:rPr>
          <w:w w:val="105"/>
        </w:rPr>
        <w:t>(i.e.,</w:t>
      </w:r>
      <w:r>
        <w:rPr>
          <w:spacing w:val="-4"/>
          <w:w w:val="105"/>
        </w:rPr>
        <w:t xml:space="preserve"> </w:t>
      </w:r>
      <w:r>
        <w:rPr>
          <w:w w:val="105"/>
        </w:rPr>
        <w:t>both</w:t>
      </w:r>
      <w:r>
        <w:rPr>
          <w:spacing w:val="-13"/>
          <w:w w:val="105"/>
        </w:rPr>
        <w:t xml:space="preserve"> </w:t>
      </w:r>
      <w:r>
        <w:rPr>
          <w:w w:val="105"/>
        </w:rPr>
        <w:t>active</w:t>
      </w:r>
      <w:r>
        <w:rPr>
          <w:spacing w:val="-10"/>
          <w:w w:val="105"/>
        </w:rPr>
        <w:t xml:space="preserve"> </w:t>
      </w:r>
      <w:r>
        <w:rPr>
          <w:w w:val="105"/>
        </w:rPr>
        <w:t>and</w:t>
      </w:r>
      <w:r>
        <w:rPr>
          <w:spacing w:val="-2"/>
          <w:w w:val="105"/>
        </w:rPr>
        <w:t xml:space="preserve"> </w:t>
      </w:r>
      <w:r>
        <w:rPr>
          <w:w w:val="105"/>
        </w:rPr>
        <w:t>residual</w:t>
      </w:r>
      <w:r>
        <w:rPr>
          <w:spacing w:val="-9"/>
          <w:w w:val="105"/>
        </w:rPr>
        <w:t xml:space="preserve"> </w:t>
      </w:r>
      <w:r>
        <w:rPr>
          <w:w w:val="105"/>
        </w:rPr>
        <w:t>symptoms)</w:t>
      </w:r>
      <w:r>
        <w:rPr>
          <w:spacing w:val="-8"/>
          <w:w w:val="105"/>
        </w:rPr>
        <w:t xml:space="preserve"> </w:t>
      </w:r>
      <w:r>
        <w:rPr>
          <w:w w:val="105"/>
        </w:rPr>
        <w:t>in</w:t>
      </w:r>
      <w:r>
        <w:rPr>
          <w:spacing w:val="-25"/>
          <w:w w:val="105"/>
        </w:rPr>
        <w:t xml:space="preserve"> </w:t>
      </w:r>
      <w:r>
        <w:rPr>
          <w:w w:val="105"/>
        </w:rPr>
        <w:t>which</w:t>
      </w:r>
      <w:r>
        <w:rPr>
          <w:spacing w:val="-5"/>
          <w:w w:val="105"/>
        </w:rPr>
        <w:t xml:space="preserve"> </w:t>
      </w:r>
      <w:r>
        <w:rPr>
          <w:w w:val="105"/>
        </w:rPr>
        <w:t>there</w:t>
      </w:r>
      <w:r>
        <w:rPr>
          <w:spacing w:val="-13"/>
          <w:w w:val="105"/>
        </w:rPr>
        <w:t xml:space="preserve"> </w:t>
      </w:r>
      <w:r>
        <w:rPr>
          <w:w w:val="105"/>
        </w:rPr>
        <w:t>were</w:t>
      </w:r>
      <w:r>
        <w:rPr>
          <w:spacing w:val="-14"/>
          <w:w w:val="105"/>
        </w:rPr>
        <w:t xml:space="preserve"> </w:t>
      </w:r>
      <w:r>
        <w:rPr>
          <w:w w:val="105"/>
        </w:rPr>
        <w:t>significant mood symptoms accompanying the psychotic symptoms. The operationalization of what is meant by "a substantial portion of time" requires clinical judgment. For example, an individual with a 4-year history of active and residual symptoms of Schizophrenia develops a superimposed Major Depressive Episode that lasts for 5 weeks during which the psychotic symptoms persist. This presentation would not meet the criterion for "a substantial portion of the total duration" because the symptoms that meet criteria for a mood episode occurred for only 5 weeks out of a total of 4 years of disturbance. The diagnosis in this example remains Schizophrenia with the additional diagnosis of Depressive Disorder Not Otherwise Specified to indicate the superimposed Major Depressive</w:t>
      </w:r>
      <w:r>
        <w:rPr>
          <w:spacing w:val="12"/>
          <w:w w:val="105"/>
        </w:rPr>
        <w:t xml:space="preserve"> </w:t>
      </w:r>
      <w:r>
        <w:rPr>
          <w:w w:val="105"/>
        </w:rPr>
        <w:t>Episode.</w:t>
      </w:r>
    </w:p>
    <w:p w:rsidR="00E675F0" w:rsidRDefault="00E675F0" w:rsidP="00E675F0">
      <w:pPr>
        <w:pStyle w:val="BodyText"/>
        <w:spacing w:before="10"/>
        <w:rPr>
          <w:sz w:val="26"/>
        </w:rPr>
      </w:pPr>
    </w:p>
    <w:p w:rsidR="00E675F0" w:rsidRDefault="00E675F0" w:rsidP="00E675F0">
      <w:pPr>
        <w:ind w:left="119"/>
        <w:rPr>
          <w:rFonts w:ascii="TimesNewRomanPS-BoldItalicMT"/>
          <w:b/>
          <w:i/>
          <w:sz w:val="24"/>
        </w:rPr>
      </w:pPr>
      <w:r>
        <w:rPr>
          <w:rFonts w:ascii="TimesNewRomanPS-BoldItalicMT"/>
          <w:b/>
          <w:i/>
          <w:w w:val="115"/>
          <w:sz w:val="24"/>
        </w:rPr>
        <w:t>Subtypes</w:t>
      </w:r>
    </w:p>
    <w:p w:rsidR="00E675F0" w:rsidRDefault="00E675F0" w:rsidP="00E675F0">
      <w:pPr>
        <w:pStyle w:val="BodyText"/>
        <w:spacing w:before="127" w:line="256" w:lineRule="auto"/>
        <w:ind w:left="131" w:right="209" w:hanging="9"/>
      </w:pPr>
      <w:r>
        <w:rPr>
          <w:w w:val="105"/>
        </w:rPr>
        <w:t>Two subtypes of Schizoaffective Disorder may be noted based on the mood component of the disorder:</w:t>
      </w:r>
    </w:p>
    <w:p w:rsidR="00E675F0" w:rsidRDefault="00E675F0" w:rsidP="00E675F0">
      <w:pPr>
        <w:pStyle w:val="BodyText"/>
        <w:spacing w:before="61" w:line="256" w:lineRule="auto"/>
        <w:ind w:left="737" w:right="209" w:hanging="7"/>
      </w:pPr>
      <w:r>
        <w:rPr>
          <w:b/>
          <w:w w:val="105"/>
        </w:rPr>
        <w:t xml:space="preserve">BipolarType. </w:t>
      </w:r>
      <w:r>
        <w:rPr>
          <w:w w:val="105"/>
        </w:rPr>
        <w:t>This subtype applies if a Manic Episode or Mixed Episode is part of the presentation. Major Depressive Episodes may also occur.</w:t>
      </w:r>
    </w:p>
    <w:p w:rsidR="00E675F0" w:rsidRDefault="00E675F0" w:rsidP="00E675F0">
      <w:pPr>
        <w:pStyle w:val="BodyText"/>
        <w:spacing w:line="252" w:lineRule="auto"/>
        <w:ind w:left="745" w:right="209" w:hanging="14"/>
      </w:pPr>
      <w:r>
        <w:rPr>
          <w:b/>
          <w:w w:val="105"/>
        </w:rPr>
        <w:t xml:space="preserve">Depressive Type. </w:t>
      </w:r>
      <w:r>
        <w:rPr>
          <w:w w:val="105"/>
        </w:rPr>
        <w:t>This subtype applies if only Major Depressive Episodes are part of the presentation.</w:t>
      </w:r>
    </w:p>
    <w:p w:rsidR="00E675F0" w:rsidRDefault="00E675F0" w:rsidP="00E675F0">
      <w:pPr>
        <w:pStyle w:val="BodyText"/>
        <w:spacing w:before="7"/>
        <w:rPr>
          <w:sz w:val="25"/>
        </w:rPr>
      </w:pPr>
    </w:p>
    <w:p w:rsidR="00E675F0" w:rsidRDefault="00E675F0" w:rsidP="00E675F0">
      <w:pPr>
        <w:ind w:left="114"/>
        <w:rPr>
          <w:rFonts w:ascii="TimesNewRomanPS-BoldItalicMT"/>
          <w:b/>
          <w:i/>
          <w:sz w:val="24"/>
        </w:rPr>
      </w:pPr>
      <w:r>
        <w:rPr>
          <w:rFonts w:ascii="TimesNewRomanPS-BoldItalicMT"/>
          <w:b/>
          <w:i/>
          <w:w w:val="115"/>
          <w:sz w:val="24"/>
        </w:rPr>
        <w:t>Associated Features and Disorders</w:t>
      </w:r>
    </w:p>
    <w:p w:rsidR="00E675F0" w:rsidRDefault="00E675F0" w:rsidP="00E675F0">
      <w:pPr>
        <w:pStyle w:val="BodyText"/>
        <w:spacing w:before="132" w:line="256" w:lineRule="auto"/>
        <w:ind w:left="136" w:right="143" w:hanging="10"/>
        <w:jc w:val="both"/>
      </w:pPr>
      <w:r>
        <w:rPr>
          <w:w w:val="105"/>
        </w:rPr>
        <w:t>There may be poor occupational functioning, a restricted range of social contact, difficulties with self-care, and increased risk of suicide associated with Schizoaffective Disorder. Residual and negative symptoms are usually less severe and less chronic than</w:t>
      </w:r>
    </w:p>
    <w:p w:rsidR="00E675F0" w:rsidRDefault="00E675F0" w:rsidP="00E675F0">
      <w:pPr>
        <w:spacing w:line="256" w:lineRule="auto"/>
        <w:jc w:val="both"/>
        <w:sectPr w:rsidR="00E675F0">
          <w:headerReference w:type="even" r:id="rId215"/>
          <w:headerReference w:type="default" r:id="rId216"/>
          <w:pgSz w:w="8960" w:h="14260"/>
          <w:pgMar w:top="1400" w:right="580" w:bottom="280" w:left="620" w:header="699" w:footer="0" w:gutter="0"/>
          <w:pgNumType w:start="293"/>
          <w:cols w:space="720"/>
        </w:sectPr>
      </w:pPr>
    </w:p>
    <w:p w:rsidR="00E675F0" w:rsidRDefault="00E675F0" w:rsidP="00E675F0">
      <w:pPr>
        <w:pStyle w:val="BodyText"/>
        <w:spacing w:before="145" w:line="254" w:lineRule="auto"/>
        <w:ind w:left="118" w:right="127" w:firstLine="13"/>
        <w:jc w:val="both"/>
      </w:pPr>
      <w:r>
        <w:rPr>
          <w:w w:val="105"/>
        </w:rPr>
        <w:lastRenderedPageBreak/>
        <w:t>those seen in Schizophrenia. Individuals with Schizoaffective Disorder may be at increased risk for later developing episodes of pure Mood Disorder (e.g., Major Depressive or Bipolar Disorder) or of Schizophrenia or Schizophreniform Disorder. There</w:t>
      </w:r>
      <w:r>
        <w:rPr>
          <w:spacing w:val="-19"/>
          <w:w w:val="105"/>
        </w:rPr>
        <w:t xml:space="preserve"> </w:t>
      </w:r>
      <w:r>
        <w:rPr>
          <w:w w:val="105"/>
        </w:rPr>
        <w:t>may</w:t>
      </w:r>
      <w:r>
        <w:rPr>
          <w:spacing w:val="-15"/>
          <w:w w:val="105"/>
        </w:rPr>
        <w:t xml:space="preserve"> </w:t>
      </w:r>
      <w:r>
        <w:rPr>
          <w:w w:val="105"/>
        </w:rPr>
        <w:t>be</w:t>
      </w:r>
      <w:r>
        <w:rPr>
          <w:spacing w:val="-18"/>
          <w:w w:val="105"/>
        </w:rPr>
        <w:t xml:space="preserve"> </w:t>
      </w:r>
      <w:r>
        <w:rPr>
          <w:w w:val="105"/>
        </w:rPr>
        <w:t>associated</w:t>
      </w:r>
      <w:r>
        <w:rPr>
          <w:spacing w:val="-8"/>
          <w:w w:val="105"/>
        </w:rPr>
        <w:t xml:space="preserve"> </w:t>
      </w:r>
      <w:r>
        <w:rPr>
          <w:w w:val="105"/>
        </w:rPr>
        <w:t>Alcohol</w:t>
      </w:r>
      <w:r>
        <w:rPr>
          <w:spacing w:val="-13"/>
          <w:w w:val="105"/>
        </w:rPr>
        <w:t xml:space="preserve"> </w:t>
      </w:r>
      <w:r>
        <w:rPr>
          <w:w w:val="105"/>
        </w:rPr>
        <w:t>and</w:t>
      </w:r>
      <w:r>
        <w:rPr>
          <w:spacing w:val="5"/>
          <w:w w:val="105"/>
        </w:rPr>
        <w:t xml:space="preserve"> </w:t>
      </w:r>
      <w:r>
        <w:rPr>
          <w:w w:val="105"/>
        </w:rPr>
        <w:t>other</w:t>
      </w:r>
      <w:r>
        <w:rPr>
          <w:spacing w:val="-20"/>
          <w:w w:val="105"/>
        </w:rPr>
        <w:t xml:space="preserve"> </w:t>
      </w:r>
      <w:r>
        <w:rPr>
          <w:w w:val="105"/>
        </w:rPr>
        <w:t>Substance-Related</w:t>
      </w:r>
      <w:r>
        <w:rPr>
          <w:spacing w:val="-20"/>
          <w:w w:val="105"/>
        </w:rPr>
        <w:t xml:space="preserve"> </w:t>
      </w:r>
      <w:r>
        <w:rPr>
          <w:w w:val="105"/>
        </w:rPr>
        <w:t>Disorders.</w:t>
      </w:r>
      <w:r>
        <w:rPr>
          <w:spacing w:val="-12"/>
          <w:w w:val="105"/>
        </w:rPr>
        <w:t xml:space="preserve"> </w:t>
      </w:r>
      <w:r>
        <w:rPr>
          <w:w w:val="105"/>
        </w:rPr>
        <w:t>Limited</w:t>
      </w:r>
      <w:r>
        <w:rPr>
          <w:spacing w:val="-15"/>
          <w:w w:val="105"/>
        </w:rPr>
        <w:t xml:space="preserve"> </w:t>
      </w:r>
      <w:r>
        <w:rPr>
          <w:w w:val="105"/>
        </w:rPr>
        <w:t>clinical evidence suggests that Schizoaffective Disorder may be preceded by Schizoid, Schizotypal, Borderline, or Paranoid Personality</w:t>
      </w:r>
      <w:r>
        <w:rPr>
          <w:spacing w:val="33"/>
          <w:w w:val="105"/>
        </w:rPr>
        <w:t xml:space="preserve"> </w:t>
      </w:r>
      <w:r>
        <w:rPr>
          <w:w w:val="105"/>
        </w:rPr>
        <w:t>Disorder.</w:t>
      </w:r>
    </w:p>
    <w:p w:rsidR="00E675F0" w:rsidRDefault="00E675F0" w:rsidP="00E675F0">
      <w:pPr>
        <w:pStyle w:val="BodyText"/>
        <w:spacing w:before="6"/>
        <w:rPr>
          <w:sz w:val="27"/>
        </w:rPr>
      </w:pPr>
    </w:p>
    <w:p w:rsidR="00E675F0" w:rsidRDefault="00E675F0" w:rsidP="00E675F0">
      <w:pPr>
        <w:ind w:left="120"/>
        <w:rPr>
          <w:rFonts w:ascii="TimesNewRomanPS-BoldItalicMT"/>
          <w:b/>
          <w:i/>
          <w:sz w:val="24"/>
        </w:rPr>
      </w:pPr>
      <w:r>
        <w:rPr>
          <w:rFonts w:ascii="TimesNewRomanPS-BoldItalicMT"/>
          <w:b/>
          <w:i/>
          <w:w w:val="110"/>
          <w:sz w:val="24"/>
        </w:rPr>
        <w:t>Specific Culture, Age, and Gender Features</w:t>
      </w:r>
    </w:p>
    <w:p w:rsidR="00E675F0" w:rsidRDefault="00E675F0" w:rsidP="00E675F0">
      <w:pPr>
        <w:pStyle w:val="BodyText"/>
        <w:spacing w:before="137" w:line="254" w:lineRule="auto"/>
        <w:ind w:left="121" w:right="111" w:firstLine="9"/>
        <w:jc w:val="both"/>
      </w:pPr>
      <w:r>
        <w:rPr>
          <w:w w:val="105"/>
        </w:rPr>
        <w:t>For additional discussion of culture, age, and gender factors relevant to evaluating psychotic symptoms, see the text for Schizophrenia (p. 281), and for a discussion  of such</w:t>
      </w:r>
      <w:r>
        <w:rPr>
          <w:spacing w:val="-21"/>
          <w:w w:val="105"/>
        </w:rPr>
        <w:t xml:space="preserve"> </w:t>
      </w:r>
      <w:r>
        <w:rPr>
          <w:w w:val="105"/>
        </w:rPr>
        <w:t>factors</w:t>
      </w:r>
      <w:r>
        <w:rPr>
          <w:spacing w:val="-10"/>
          <w:w w:val="105"/>
        </w:rPr>
        <w:t xml:space="preserve"> </w:t>
      </w:r>
      <w:r>
        <w:rPr>
          <w:w w:val="105"/>
        </w:rPr>
        <w:t>relevant</w:t>
      </w:r>
      <w:r>
        <w:rPr>
          <w:spacing w:val="-1"/>
          <w:w w:val="105"/>
        </w:rPr>
        <w:t xml:space="preserve"> </w:t>
      </w:r>
      <w:r>
        <w:rPr>
          <w:w w:val="105"/>
        </w:rPr>
        <w:t>to</w:t>
      </w:r>
      <w:r>
        <w:rPr>
          <w:spacing w:val="-17"/>
          <w:w w:val="105"/>
        </w:rPr>
        <w:t xml:space="preserve"> </w:t>
      </w:r>
      <w:r>
        <w:rPr>
          <w:w w:val="105"/>
        </w:rPr>
        <w:t>diagnosing</w:t>
      </w:r>
      <w:r>
        <w:rPr>
          <w:spacing w:val="-2"/>
          <w:w w:val="105"/>
        </w:rPr>
        <w:t xml:space="preserve"> </w:t>
      </w:r>
      <w:r>
        <w:rPr>
          <w:w w:val="105"/>
        </w:rPr>
        <w:t>Mood</w:t>
      </w:r>
      <w:r>
        <w:rPr>
          <w:spacing w:val="-4"/>
          <w:w w:val="105"/>
        </w:rPr>
        <w:t xml:space="preserve"> </w:t>
      </w:r>
      <w:r>
        <w:rPr>
          <w:w w:val="105"/>
        </w:rPr>
        <w:t>Disorders,</w:t>
      </w:r>
      <w:r>
        <w:rPr>
          <w:spacing w:val="-3"/>
          <w:w w:val="105"/>
        </w:rPr>
        <w:t xml:space="preserve"> </w:t>
      </w:r>
      <w:r>
        <w:rPr>
          <w:w w:val="105"/>
        </w:rPr>
        <w:t>seep.</w:t>
      </w:r>
      <w:r>
        <w:rPr>
          <w:spacing w:val="-17"/>
          <w:w w:val="105"/>
        </w:rPr>
        <w:t xml:space="preserve"> </w:t>
      </w:r>
      <w:r>
        <w:rPr>
          <w:w w:val="105"/>
        </w:rPr>
        <w:t>341</w:t>
      </w:r>
      <w:r>
        <w:rPr>
          <w:spacing w:val="-25"/>
          <w:w w:val="105"/>
        </w:rPr>
        <w:t xml:space="preserve"> </w:t>
      </w:r>
      <w:r>
        <w:rPr>
          <w:w w:val="105"/>
        </w:rPr>
        <w:t>and</w:t>
      </w:r>
      <w:r>
        <w:rPr>
          <w:spacing w:val="-4"/>
          <w:w w:val="105"/>
        </w:rPr>
        <w:t xml:space="preserve"> </w:t>
      </w:r>
      <w:r>
        <w:rPr>
          <w:w w:val="105"/>
        </w:rPr>
        <w:t>p.</w:t>
      </w:r>
      <w:r>
        <w:rPr>
          <w:spacing w:val="-17"/>
          <w:w w:val="105"/>
        </w:rPr>
        <w:t xml:space="preserve"> </w:t>
      </w:r>
      <w:r>
        <w:rPr>
          <w:w w:val="105"/>
        </w:rPr>
        <w:t>352.</w:t>
      </w:r>
      <w:r>
        <w:rPr>
          <w:spacing w:val="-20"/>
          <w:w w:val="105"/>
        </w:rPr>
        <w:t xml:space="preserve"> </w:t>
      </w:r>
      <w:r>
        <w:rPr>
          <w:w w:val="105"/>
        </w:rPr>
        <w:t>Schizoaffective Disorder, Bipolar Type, may be more common in young adults, whereas Schizoaffective Disorder, Depressive Type, may be more common in older adults. Compared with Schizophrenia, Schizoaffective Disorder probably occurs more often in</w:t>
      </w:r>
      <w:r>
        <w:rPr>
          <w:spacing w:val="43"/>
          <w:w w:val="105"/>
        </w:rPr>
        <w:t xml:space="preserve"> </w:t>
      </w:r>
      <w:r>
        <w:rPr>
          <w:w w:val="105"/>
        </w:rPr>
        <w:t>women.</w:t>
      </w:r>
    </w:p>
    <w:p w:rsidR="00E675F0" w:rsidRDefault="00E675F0" w:rsidP="00E675F0">
      <w:pPr>
        <w:pStyle w:val="BodyText"/>
        <w:spacing w:before="4"/>
        <w:rPr>
          <w:sz w:val="28"/>
        </w:rPr>
      </w:pPr>
    </w:p>
    <w:p w:rsidR="00E675F0" w:rsidRDefault="00E675F0" w:rsidP="00E675F0">
      <w:pPr>
        <w:ind w:left="112"/>
        <w:rPr>
          <w:rFonts w:ascii="TimesNewRomanPS-BoldItalicMT"/>
          <w:b/>
          <w:i/>
          <w:sz w:val="24"/>
        </w:rPr>
      </w:pPr>
      <w:r>
        <w:rPr>
          <w:rFonts w:ascii="TimesNewRomanPS-BoldItalicMT"/>
          <w:b/>
          <w:i/>
          <w:w w:val="115"/>
          <w:sz w:val="24"/>
        </w:rPr>
        <w:t>Prevalence</w:t>
      </w:r>
    </w:p>
    <w:p w:rsidR="00E675F0" w:rsidRDefault="00E675F0" w:rsidP="00E675F0">
      <w:pPr>
        <w:pStyle w:val="BodyText"/>
        <w:spacing w:before="132" w:line="256" w:lineRule="auto"/>
        <w:ind w:left="132" w:right="132" w:hanging="2"/>
        <w:jc w:val="both"/>
      </w:pPr>
      <w:r>
        <w:rPr>
          <w:w w:val="105"/>
        </w:rPr>
        <w:t>Detailed information is lacking, but Schizoaffective Disorder appears to be less common than Schizophrenia.</w:t>
      </w:r>
    </w:p>
    <w:p w:rsidR="00E675F0" w:rsidRDefault="00E675F0" w:rsidP="00E675F0">
      <w:pPr>
        <w:pStyle w:val="BodyText"/>
        <w:spacing w:before="10"/>
        <w:rPr>
          <w:sz w:val="27"/>
        </w:rPr>
      </w:pPr>
    </w:p>
    <w:p w:rsidR="00E675F0" w:rsidRDefault="00E675F0" w:rsidP="00E675F0">
      <w:pPr>
        <w:ind w:left="104"/>
        <w:rPr>
          <w:rFonts w:ascii="TimesNewRomanPS-BoldItalicMT"/>
          <w:b/>
          <w:i/>
          <w:sz w:val="24"/>
        </w:rPr>
      </w:pPr>
      <w:r>
        <w:rPr>
          <w:rFonts w:ascii="TimesNewRomanPS-BoldItalicMT"/>
          <w:b/>
          <w:i/>
          <w:w w:val="115"/>
          <w:sz w:val="24"/>
        </w:rPr>
        <w:t>Course</w:t>
      </w:r>
    </w:p>
    <w:p w:rsidR="00E675F0" w:rsidRDefault="00E675F0" w:rsidP="00E675F0">
      <w:pPr>
        <w:pStyle w:val="BodyText"/>
        <w:spacing w:before="132" w:line="252" w:lineRule="auto"/>
        <w:ind w:left="121" w:right="115" w:firstLine="1"/>
        <w:jc w:val="both"/>
      </w:pPr>
      <w:r>
        <w:rPr>
          <w:w w:val="105"/>
        </w:rPr>
        <w:t>The typical age at onset of Schizoaffective Disorder is probably in early adulthood, although onset can occur anywhere from adolescence to late in life. The prognosis for Schizoaffective Disorder is somewhat better than the prognosis for Schizophrenia, but considerably worse than the prognosis for Mood Disorders. Substantial occupational and social</w:t>
      </w:r>
      <w:r>
        <w:rPr>
          <w:spacing w:val="-7"/>
          <w:w w:val="105"/>
        </w:rPr>
        <w:t xml:space="preserve"> </w:t>
      </w:r>
      <w:r>
        <w:rPr>
          <w:w w:val="105"/>
        </w:rPr>
        <w:t>dysfunction</w:t>
      </w:r>
      <w:r>
        <w:rPr>
          <w:spacing w:val="-3"/>
          <w:w w:val="105"/>
        </w:rPr>
        <w:t xml:space="preserve"> </w:t>
      </w:r>
      <w:r>
        <w:rPr>
          <w:w w:val="105"/>
        </w:rPr>
        <w:t>are</w:t>
      </w:r>
      <w:r>
        <w:rPr>
          <w:spacing w:val="-13"/>
          <w:w w:val="105"/>
        </w:rPr>
        <w:t xml:space="preserve"> </w:t>
      </w:r>
      <w:r>
        <w:rPr>
          <w:w w:val="105"/>
        </w:rPr>
        <w:t>not</w:t>
      </w:r>
      <w:r>
        <w:rPr>
          <w:spacing w:val="-8"/>
          <w:w w:val="105"/>
        </w:rPr>
        <w:t xml:space="preserve"> </w:t>
      </w:r>
      <w:r>
        <w:rPr>
          <w:w w:val="105"/>
        </w:rPr>
        <w:t>uncommon.</w:t>
      </w:r>
      <w:r>
        <w:rPr>
          <w:spacing w:val="-5"/>
          <w:w w:val="105"/>
        </w:rPr>
        <w:t xml:space="preserve"> </w:t>
      </w:r>
      <w:r>
        <w:rPr>
          <w:w w:val="105"/>
        </w:rPr>
        <w:t>The</w:t>
      </w:r>
      <w:r>
        <w:rPr>
          <w:spacing w:val="-18"/>
          <w:w w:val="105"/>
        </w:rPr>
        <w:t xml:space="preserve"> </w:t>
      </w:r>
      <w:r>
        <w:rPr>
          <w:w w:val="105"/>
        </w:rPr>
        <w:t>outcome</w:t>
      </w:r>
      <w:r>
        <w:rPr>
          <w:spacing w:val="-11"/>
          <w:w w:val="105"/>
        </w:rPr>
        <w:t xml:space="preserve"> </w:t>
      </w:r>
      <w:r>
        <w:rPr>
          <w:w w:val="105"/>
        </w:rPr>
        <w:t>for</w:t>
      </w:r>
      <w:r>
        <w:rPr>
          <w:spacing w:val="-21"/>
          <w:w w:val="105"/>
        </w:rPr>
        <w:t xml:space="preserve"> </w:t>
      </w:r>
      <w:r>
        <w:rPr>
          <w:w w:val="105"/>
        </w:rPr>
        <w:t>Schizoaffective</w:t>
      </w:r>
      <w:r>
        <w:rPr>
          <w:spacing w:val="-19"/>
          <w:w w:val="105"/>
        </w:rPr>
        <w:t xml:space="preserve"> </w:t>
      </w:r>
      <w:r>
        <w:rPr>
          <w:w w:val="105"/>
        </w:rPr>
        <w:t>Disorder,</w:t>
      </w:r>
      <w:r>
        <w:rPr>
          <w:spacing w:val="-1"/>
          <w:w w:val="105"/>
        </w:rPr>
        <w:t xml:space="preserve"> </w:t>
      </w:r>
      <w:r>
        <w:rPr>
          <w:w w:val="105"/>
        </w:rPr>
        <w:t>Bipolar Type, may be better than that for Schizoaffective Disorder, Depressive Type.</w:t>
      </w:r>
    </w:p>
    <w:p w:rsidR="00E675F0" w:rsidRDefault="00E675F0" w:rsidP="00E675F0">
      <w:pPr>
        <w:pStyle w:val="BodyText"/>
        <w:spacing w:before="6"/>
        <w:rPr>
          <w:sz w:val="27"/>
        </w:rPr>
      </w:pPr>
    </w:p>
    <w:p w:rsidR="00E675F0" w:rsidRDefault="00E675F0" w:rsidP="00E675F0">
      <w:pPr>
        <w:ind w:left="114"/>
        <w:rPr>
          <w:rFonts w:ascii="TimesNewRomanPS-BoldItalicMT"/>
          <w:b/>
          <w:i/>
          <w:sz w:val="24"/>
        </w:rPr>
      </w:pPr>
      <w:r>
        <w:rPr>
          <w:rFonts w:ascii="TimesNewRomanPS-BoldItalicMT"/>
          <w:b/>
          <w:i/>
          <w:w w:val="115"/>
          <w:sz w:val="24"/>
        </w:rPr>
        <w:t>Familial Pattern</w:t>
      </w:r>
    </w:p>
    <w:p w:rsidR="00E675F0" w:rsidRDefault="00E675F0" w:rsidP="00E675F0">
      <w:pPr>
        <w:pStyle w:val="BodyText"/>
        <w:spacing w:before="131" w:line="254" w:lineRule="auto"/>
        <w:ind w:left="131" w:right="121" w:hanging="9"/>
        <w:jc w:val="both"/>
      </w:pPr>
      <w:r>
        <w:rPr>
          <w:w w:val="105"/>
        </w:rPr>
        <w:t>There is substantial evidence that there is an increased risk for Schizophrenia in first-degree</w:t>
      </w:r>
      <w:r>
        <w:rPr>
          <w:spacing w:val="-5"/>
          <w:w w:val="105"/>
        </w:rPr>
        <w:t xml:space="preserve"> </w:t>
      </w:r>
      <w:r>
        <w:rPr>
          <w:w w:val="105"/>
        </w:rPr>
        <w:t>biological</w:t>
      </w:r>
      <w:r>
        <w:rPr>
          <w:spacing w:val="-6"/>
          <w:w w:val="105"/>
        </w:rPr>
        <w:t xml:space="preserve"> </w:t>
      </w:r>
      <w:r>
        <w:rPr>
          <w:w w:val="105"/>
        </w:rPr>
        <w:t>relatives</w:t>
      </w:r>
      <w:r>
        <w:rPr>
          <w:spacing w:val="-16"/>
          <w:w w:val="105"/>
        </w:rPr>
        <w:t xml:space="preserve"> </w:t>
      </w:r>
      <w:r>
        <w:rPr>
          <w:w w:val="105"/>
        </w:rPr>
        <w:t>of</w:t>
      </w:r>
      <w:r>
        <w:rPr>
          <w:spacing w:val="-11"/>
          <w:w w:val="105"/>
        </w:rPr>
        <w:t xml:space="preserve"> </w:t>
      </w:r>
      <w:r>
        <w:rPr>
          <w:w w:val="105"/>
        </w:rPr>
        <w:t>individuals</w:t>
      </w:r>
      <w:r>
        <w:rPr>
          <w:spacing w:val="-17"/>
          <w:w w:val="105"/>
        </w:rPr>
        <w:t xml:space="preserve"> </w:t>
      </w:r>
      <w:r>
        <w:rPr>
          <w:w w:val="105"/>
        </w:rPr>
        <w:t>with</w:t>
      </w:r>
      <w:r>
        <w:rPr>
          <w:spacing w:val="-22"/>
          <w:w w:val="105"/>
        </w:rPr>
        <w:t xml:space="preserve"> </w:t>
      </w:r>
      <w:r>
        <w:rPr>
          <w:w w:val="105"/>
        </w:rPr>
        <w:t>Schizoaffective</w:t>
      </w:r>
      <w:r>
        <w:rPr>
          <w:spacing w:val="-22"/>
          <w:w w:val="105"/>
        </w:rPr>
        <w:t xml:space="preserve"> </w:t>
      </w:r>
      <w:r>
        <w:rPr>
          <w:w w:val="105"/>
        </w:rPr>
        <w:t>Disorder.</w:t>
      </w:r>
      <w:r>
        <w:rPr>
          <w:spacing w:val="-12"/>
          <w:w w:val="105"/>
        </w:rPr>
        <w:t xml:space="preserve"> </w:t>
      </w:r>
      <w:r>
        <w:rPr>
          <w:w w:val="105"/>
        </w:rPr>
        <w:t>Most</w:t>
      </w:r>
      <w:r>
        <w:rPr>
          <w:spacing w:val="-20"/>
          <w:w w:val="105"/>
        </w:rPr>
        <w:t xml:space="preserve"> </w:t>
      </w:r>
      <w:r>
        <w:rPr>
          <w:w w:val="105"/>
        </w:rPr>
        <w:t>studies also show that relatives of individuals with Schizoaffective Disorder are at increased risk for Mood</w:t>
      </w:r>
      <w:r>
        <w:rPr>
          <w:spacing w:val="13"/>
          <w:w w:val="105"/>
        </w:rPr>
        <w:t xml:space="preserve"> </w:t>
      </w:r>
      <w:r>
        <w:rPr>
          <w:w w:val="105"/>
        </w:rPr>
        <w:t>Disorders.</w:t>
      </w:r>
    </w:p>
    <w:p w:rsidR="00E675F0" w:rsidRDefault="00E675F0" w:rsidP="00E675F0">
      <w:pPr>
        <w:pStyle w:val="BodyText"/>
        <w:spacing w:before="4"/>
        <w:rPr>
          <w:sz w:val="27"/>
        </w:rPr>
      </w:pPr>
    </w:p>
    <w:p w:rsidR="00E675F0" w:rsidRDefault="00E675F0" w:rsidP="00E675F0">
      <w:pPr>
        <w:ind w:left="123"/>
        <w:rPr>
          <w:rFonts w:ascii="TimesNewRomanPS-BoldItalicMT"/>
          <w:b/>
          <w:i/>
          <w:sz w:val="24"/>
        </w:rPr>
      </w:pPr>
      <w:r>
        <w:rPr>
          <w:rFonts w:ascii="TimesNewRomanPS-BoldItalicMT"/>
          <w:b/>
          <w:i/>
          <w:w w:val="115"/>
          <w:sz w:val="24"/>
        </w:rPr>
        <w:t>Differential Diagnosis</w:t>
      </w:r>
    </w:p>
    <w:p w:rsidR="00E675F0" w:rsidRDefault="00E675F0" w:rsidP="00E675F0">
      <w:pPr>
        <w:spacing w:before="136" w:line="249" w:lineRule="auto"/>
        <w:ind w:left="124" w:right="112" w:firstLine="12"/>
        <w:jc w:val="both"/>
        <w:rPr>
          <w:sz w:val="20"/>
        </w:rPr>
      </w:pPr>
      <w:r>
        <w:rPr>
          <w:w w:val="105"/>
          <w:sz w:val="20"/>
        </w:rPr>
        <w:t xml:space="preserve">General medical conditions and substance use can present with a combination of psychotic and mood symptoms. </w:t>
      </w:r>
      <w:r>
        <w:rPr>
          <w:b/>
          <w:w w:val="105"/>
          <w:sz w:val="21"/>
        </w:rPr>
        <w:t xml:space="preserve">Psychotic Disorder Due to a General Medical Condition, </w:t>
      </w:r>
      <w:r>
        <w:rPr>
          <w:rFonts w:ascii="Arial" w:hAnsi="Arial"/>
          <w:b/>
          <w:w w:val="105"/>
          <w:sz w:val="18"/>
        </w:rPr>
        <w:t xml:space="preserve">a </w:t>
      </w:r>
      <w:r>
        <w:rPr>
          <w:b/>
          <w:w w:val="105"/>
          <w:sz w:val="21"/>
        </w:rPr>
        <w:t xml:space="preserve">delirium, </w:t>
      </w:r>
      <w:r>
        <w:rPr>
          <w:w w:val="105"/>
          <w:sz w:val="20"/>
        </w:rPr>
        <w:t xml:space="preserve">or a </w:t>
      </w:r>
      <w:r>
        <w:rPr>
          <w:b/>
          <w:w w:val="105"/>
          <w:sz w:val="21"/>
        </w:rPr>
        <w:t xml:space="preserve">dementia </w:t>
      </w:r>
      <w:r>
        <w:rPr>
          <w:w w:val="105"/>
          <w:sz w:val="20"/>
        </w:rPr>
        <w:t xml:space="preserve">is diagnosed when there is evidence from the history, physical examination, or laboratory tests indicating that the symptoms are the direct physiological consequence of a specific general medical condition (see p. 306). </w:t>
      </w:r>
      <w:r>
        <w:rPr>
          <w:b/>
          <w:w w:val="105"/>
          <w:sz w:val="21"/>
        </w:rPr>
        <w:t xml:space="preserve">Substance-Induced Psychotic Disorder </w:t>
      </w:r>
      <w:r>
        <w:rPr>
          <w:w w:val="105"/>
          <w:sz w:val="20"/>
        </w:rPr>
        <w:t xml:space="preserve">and </w:t>
      </w:r>
      <w:r>
        <w:rPr>
          <w:b/>
          <w:w w:val="105"/>
          <w:sz w:val="21"/>
        </w:rPr>
        <w:t xml:space="preserve">Substance-Induced Delirium </w:t>
      </w:r>
      <w:r>
        <w:rPr>
          <w:w w:val="105"/>
          <w:sz w:val="20"/>
        </w:rPr>
        <w:t>are dis­ tinguished from Schizoaffective Disorder by the fact that a substance (e.g., a drug of abuse, a medication, or exposure to a toxin) is judged to be etiologically related to the symptoms (seep. 310).</w:t>
      </w:r>
    </w:p>
    <w:p w:rsidR="00E675F0" w:rsidRDefault="00E675F0" w:rsidP="00E675F0">
      <w:pPr>
        <w:pStyle w:val="BodyText"/>
        <w:spacing w:before="18"/>
        <w:ind w:left="501"/>
        <w:jc w:val="both"/>
      </w:pPr>
      <w:r>
        <w:rPr>
          <w:w w:val="105"/>
        </w:rPr>
        <w:t>Distinguishing</w:t>
      </w:r>
      <w:r>
        <w:rPr>
          <w:spacing w:val="-26"/>
          <w:w w:val="105"/>
        </w:rPr>
        <w:t xml:space="preserve"> </w:t>
      </w:r>
      <w:r>
        <w:rPr>
          <w:w w:val="105"/>
        </w:rPr>
        <w:t>Schizoaffective</w:t>
      </w:r>
      <w:r>
        <w:rPr>
          <w:spacing w:val="-23"/>
          <w:w w:val="105"/>
        </w:rPr>
        <w:t xml:space="preserve"> </w:t>
      </w:r>
      <w:r>
        <w:rPr>
          <w:w w:val="105"/>
        </w:rPr>
        <w:t>Disorder</w:t>
      </w:r>
      <w:r>
        <w:rPr>
          <w:spacing w:val="-19"/>
          <w:w w:val="105"/>
        </w:rPr>
        <w:t xml:space="preserve"> </w:t>
      </w:r>
      <w:r>
        <w:rPr>
          <w:w w:val="105"/>
        </w:rPr>
        <w:t>from</w:t>
      </w:r>
      <w:r>
        <w:rPr>
          <w:spacing w:val="-21"/>
          <w:w w:val="105"/>
        </w:rPr>
        <w:t xml:space="preserve"> </w:t>
      </w:r>
      <w:r>
        <w:rPr>
          <w:w w:val="105"/>
        </w:rPr>
        <w:t>Schizophrenia</w:t>
      </w:r>
      <w:r>
        <w:rPr>
          <w:spacing w:val="-1"/>
          <w:w w:val="105"/>
        </w:rPr>
        <w:t xml:space="preserve"> </w:t>
      </w:r>
      <w:r>
        <w:rPr>
          <w:w w:val="105"/>
        </w:rPr>
        <w:t>and</w:t>
      </w:r>
      <w:r>
        <w:rPr>
          <w:spacing w:val="-22"/>
          <w:w w:val="105"/>
        </w:rPr>
        <w:t xml:space="preserve"> </w:t>
      </w:r>
      <w:r>
        <w:rPr>
          <w:w w:val="105"/>
        </w:rPr>
        <w:t>from</w:t>
      </w:r>
      <w:r>
        <w:rPr>
          <w:spacing w:val="-19"/>
          <w:w w:val="105"/>
        </w:rPr>
        <w:t xml:space="preserve"> </w:t>
      </w:r>
      <w:r>
        <w:rPr>
          <w:w w:val="105"/>
        </w:rPr>
        <w:t>Mood</w:t>
      </w:r>
      <w:r>
        <w:rPr>
          <w:spacing w:val="-13"/>
          <w:w w:val="105"/>
        </w:rPr>
        <w:t xml:space="preserve"> </w:t>
      </w:r>
      <w:r>
        <w:rPr>
          <w:w w:val="105"/>
        </w:rPr>
        <w:t>Disorder</w:t>
      </w:r>
    </w:p>
    <w:p w:rsidR="00E675F0" w:rsidRDefault="00E675F0" w:rsidP="00E675F0">
      <w:pPr>
        <w:jc w:val="both"/>
        <w:sectPr w:rsidR="00E675F0">
          <w:pgSz w:w="8960" w:h="14260"/>
          <w:pgMar w:top="1400" w:right="600" w:bottom="280" w:left="620" w:header="710" w:footer="0" w:gutter="0"/>
          <w:cols w:space="720"/>
        </w:sectPr>
      </w:pPr>
    </w:p>
    <w:p w:rsidR="00E675F0" w:rsidRDefault="00E675F0" w:rsidP="00E675F0">
      <w:pPr>
        <w:pStyle w:val="BodyText"/>
        <w:spacing w:before="126" w:line="254" w:lineRule="auto"/>
        <w:ind w:left="114" w:right="115" w:hanging="3"/>
        <w:jc w:val="both"/>
      </w:pPr>
      <w:bookmarkStart w:id="190" w:name="_bookmark169"/>
      <w:bookmarkEnd w:id="190"/>
      <w:r>
        <w:rPr>
          <w:w w:val="105"/>
        </w:rPr>
        <w:lastRenderedPageBreak/>
        <w:t>With Psychotic Features is often difficult. In Schizoaffective Disorder, there must be a mood</w:t>
      </w:r>
      <w:r>
        <w:rPr>
          <w:spacing w:val="-4"/>
          <w:w w:val="105"/>
        </w:rPr>
        <w:t xml:space="preserve"> </w:t>
      </w:r>
      <w:r>
        <w:rPr>
          <w:w w:val="105"/>
        </w:rPr>
        <w:t>episode</w:t>
      </w:r>
      <w:r>
        <w:rPr>
          <w:spacing w:val="-5"/>
          <w:w w:val="105"/>
        </w:rPr>
        <w:t xml:space="preserve"> </w:t>
      </w:r>
      <w:r>
        <w:rPr>
          <w:w w:val="105"/>
        </w:rPr>
        <w:t>that</w:t>
      </w:r>
      <w:r>
        <w:rPr>
          <w:spacing w:val="-13"/>
          <w:w w:val="105"/>
        </w:rPr>
        <w:t xml:space="preserve"> </w:t>
      </w:r>
      <w:r>
        <w:rPr>
          <w:w w:val="105"/>
        </w:rPr>
        <w:t>is</w:t>
      </w:r>
      <w:r>
        <w:rPr>
          <w:spacing w:val="-16"/>
          <w:w w:val="105"/>
        </w:rPr>
        <w:t xml:space="preserve"> </w:t>
      </w:r>
      <w:r>
        <w:rPr>
          <w:w w:val="105"/>
        </w:rPr>
        <w:t>concurrent</w:t>
      </w:r>
      <w:r>
        <w:rPr>
          <w:spacing w:val="4"/>
          <w:w w:val="105"/>
        </w:rPr>
        <w:t xml:space="preserve"> </w:t>
      </w:r>
      <w:r>
        <w:rPr>
          <w:w w:val="105"/>
        </w:rPr>
        <w:t>with</w:t>
      </w:r>
      <w:r>
        <w:rPr>
          <w:spacing w:val="-10"/>
          <w:w w:val="105"/>
        </w:rPr>
        <w:t xml:space="preserve"> </w:t>
      </w:r>
      <w:r>
        <w:rPr>
          <w:w w:val="105"/>
        </w:rPr>
        <w:t>the</w:t>
      </w:r>
      <w:r>
        <w:rPr>
          <w:spacing w:val="-9"/>
          <w:w w:val="105"/>
        </w:rPr>
        <w:t xml:space="preserve"> </w:t>
      </w:r>
      <w:r>
        <w:rPr>
          <w:w w:val="105"/>
        </w:rPr>
        <w:t>active-phase</w:t>
      </w:r>
      <w:r>
        <w:rPr>
          <w:spacing w:val="1"/>
          <w:w w:val="105"/>
        </w:rPr>
        <w:t xml:space="preserve"> </w:t>
      </w:r>
      <w:r>
        <w:rPr>
          <w:w w:val="105"/>
        </w:rPr>
        <w:t>symptoms</w:t>
      </w:r>
      <w:r>
        <w:rPr>
          <w:spacing w:val="-7"/>
          <w:w w:val="105"/>
        </w:rPr>
        <w:t xml:space="preserve"> </w:t>
      </w:r>
      <w:r>
        <w:rPr>
          <w:w w:val="105"/>
        </w:rPr>
        <w:t>of</w:t>
      </w:r>
      <w:r>
        <w:rPr>
          <w:spacing w:val="-11"/>
          <w:w w:val="105"/>
        </w:rPr>
        <w:t xml:space="preserve"> </w:t>
      </w:r>
      <w:r>
        <w:rPr>
          <w:w w:val="105"/>
        </w:rPr>
        <w:t>Schizophrenia,</w:t>
      </w:r>
      <w:r>
        <w:rPr>
          <w:spacing w:val="-14"/>
          <w:w w:val="105"/>
        </w:rPr>
        <w:t xml:space="preserve"> </w:t>
      </w:r>
      <w:r>
        <w:rPr>
          <w:w w:val="105"/>
        </w:rPr>
        <w:t>mood symptoms</w:t>
      </w:r>
      <w:r>
        <w:rPr>
          <w:spacing w:val="-7"/>
          <w:w w:val="105"/>
        </w:rPr>
        <w:t xml:space="preserve"> </w:t>
      </w:r>
      <w:r>
        <w:rPr>
          <w:w w:val="105"/>
        </w:rPr>
        <w:t>must</w:t>
      </w:r>
      <w:r>
        <w:rPr>
          <w:spacing w:val="-11"/>
          <w:w w:val="105"/>
        </w:rPr>
        <w:t xml:space="preserve"> </w:t>
      </w:r>
      <w:r>
        <w:rPr>
          <w:w w:val="105"/>
        </w:rPr>
        <w:t>be</w:t>
      </w:r>
      <w:r>
        <w:rPr>
          <w:spacing w:val="-14"/>
          <w:w w:val="105"/>
        </w:rPr>
        <w:t xml:space="preserve"> </w:t>
      </w:r>
      <w:r>
        <w:rPr>
          <w:w w:val="105"/>
        </w:rPr>
        <w:t>present</w:t>
      </w:r>
      <w:r>
        <w:rPr>
          <w:spacing w:val="-18"/>
          <w:w w:val="105"/>
        </w:rPr>
        <w:t xml:space="preserve"> </w:t>
      </w:r>
      <w:r>
        <w:rPr>
          <w:w w:val="105"/>
        </w:rPr>
        <w:t>for</w:t>
      </w:r>
      <w:r>
        <w:rPr>
          <w:spacing w:val="-23"/>
          <w:w w:val="105"/>
        </w:rPr>
        <w:t xml:space="preserve"> </w:t>
      </w:r>
      <w:r>
        <w:rPr>
          <w:w w:val="105"/>
        </w:rPr>
        <w:t>a</w:t>
      </w:r>
      <w:r>
        <w:rPr>
          <w:spacing w:val="-21"/>
          <w:w w:val="105"/>
        </w:rPr>
        <w:t xml:space="preserve"> </w:t>
      </w:r>
      <w:r>
        <w:rPr>
          <w:w w:val="105"/>
        </w:rPr>
        <w:t>substantial</w:t>
      </w:r>
      <w:r>
        <w:rPr>
          <w:spacing w:val="-5"/>
          <w:w w:val="105"/>
        </w:rPr>
        <w:t xml:space="preserve"> </w:t>
      </w:r>
      <w:r>
        <w:rPr>
          <w:w w:val="105"/>
        </w:rPr>
        <w:t>portion</w:t>
      </w:r>
      <w:r>
        <w:rPr>
          <w:spacing w:val="-12"/>
          <w:w w:val="105"/>
        </w:rPr>
        <w:t xml:space="preserve"> </w:t>
      </w:r>
      <w:r>
        <w:rPr>
          <w:w w:val="105"/>
        </w:rPr>
        <w:t>of</w:t>
      </w:r>
      <w:r>
        <w:rPr>
          <w:spacing w:val="-5"/>
          <w:w w:val="105"/>
        </w:rPr>
        <w:t xml:space="preserve"> </w:t>
      </w:r>
      <w:r>
        <w:rPr>
          <w:w w:val="105"/>
        </w:rPr>
        <w:t>the</w:t>
      </w:r>
      <w:r>
        <w:rPr>
          <w:spacing w:val="-13"/>
          <w:w w:val="105"/>
        </w:rPr>
        <w:t xml:space="preserve"> </w:t>
      </w:r>
      <w:r>
        <w:rPr>
          <w:w w:val="105"/>
        </w:rPr>
        <w:t>total</w:t>
      </w:r>
      <w:r>
        <w:rPr>
          <w:spacing w:val="-13"/>
          <w:w w:val="105"/>
        </w:rPr>
        <w:t xml:space="preserve"> </w:t>
      </w:r>
      <w:r>
        <w:rPr>
          <w:w w:val="105"/>
        </w:rPr>
        <w:t>duration</w:t>
      </w:r>
      <w:r>
        <w:rPr>
          <w:spacing w:val="-6"/>
          <w:w w:val="105"/>
        </w:rPr>
        <w:t xml:space="preserve"> </w:t>
      </w:r>
      <w:r>
        <w:rPr>
          <w:w w:val="105"/>
        </w:rPr>
        <w:t>of</w:t>
      </w:r>
      <w:r>
        <w:rPr>
          <w:spacing w:val="-6"/>
          <w:w w:val="105"/>
        </w:rPr>
        <w:t xml:space="preserve"> </w:t>
      </w:r>
      <w:r>
        <w:rPr>
          <w:w w:val="105"/>
        </w:rPr>
        <w:t>the</w:t>
      </w:r>
      <w:r>
        <w:rPr>
          <w:spacing w:val="-21"/>
          <w:w w:val="105"/>
        </w:rPr>
        <w:t xml:space="preserve"> </w:t>
      </w:r>
      <w:r>
        <w:rPr>
          <w:w w:val="105"/>
        </w:rPr>
        <w:t xml:space="preserve">disturbance, and delusions or hallucinations must be present for at least 2 weeks </w:t>
      </w:r>
      <w:r>
        <w:rPr>
          <w:w w:val="105"/>
          <w:sz w:val="18"/>
        </w:rPr>
        <w:t xml:space="preserve">in </w:t>
      </w:r>
      <w:r>
        <w:rPr>
          <w:w w:val="105"/>
        </w:rPr>
        <w:t xml:space="preserve">the absence of prominent mood symptoms. In contrast,  mood symptoms in Schizophrenia  either have a duration that is brief relative to the total duration of the disturbance, occur only during the prodromal or residual phases, or do not meet full criteria for a mood episode. </w:t>
      </w:r>
      <w:r>
        <w:rPr>
          <w:rFonts w:ascii="Arial"/>
          <w:w w:val="105"/>
          <w:sz w:val="19"/>
        </w:rPr>
        <w:t xml:space="preserve">If </w:t>
      </w:r>
      <w:r>
        <w:rPr>
          <w:w w:val="105"/>
        </w:rPr>
        <w:t>psychotic</w:t>
      </w:r>
      <w:r>
        <w:rPr>
          <w:spacing w:val="-11"/>
          <w:w w:val="105"/>
        </w:rPr>
        <w:t xml:space="preserve"> </w:t>
      </w:r>
      <w:r>
        <w:rPr>
          <w:w w:val="105"/>
        </w:rPr>
        <w:t>symptoms</w:t>
      </w:r>
      <w:r>
        <w:rPr>
          <w:spacing w:val="-5"/>
          <w:w w:val="105"/>
        </w:rPr>
        <w:t xml:space="preserve"> </w:t>
      </w:r>
      <w:r>
        <w:rPr>
          <w:w w:val="105"/>
        </w:rPr>
        <w:t>occur</w:t>
      </w:r>
      <w:r>
        <w:rPr>
          <w:spacing w:val="-9"/>
          <w:w w:val="105"/>
        </w:rPr>
        <w:t xml:space="preserve"> </w:t>
      </w:r>
      <w:r>
        <w:rPr>
          <w:w w:val="105"/>
        </w:rPr>
        <w:t>exclusively</w:t>
      </w:r>
      <w:r>
        <w:rPr>
          <w:spacing w:val="-4"/>
          <w:w w:val="105"/>
        </w:rPr>
        <w:t xml:space="preserve"> </w:t>
      </w:r>
      <w:r>
        <w:rPr>
          <w:w w:val="105"/>
        </w:rPr>
        <w:t>during</w:t>
      </w:r>
      <w:r>
        <w:rPr>
          <w:spacing w:val="-6"/>
          <w:w w:val="105"/>
        </w:rPr>
        <w:t xml:space="preserve"> </w:t>
      </w:r>
      <w:r>
        <w:rPr>
          <w:w w:val="105"/>
        </w:rPr>
        <w:t>periods</w:t>
      </w:r>
      <w:r>
        <w:rPr>
          <w:spacing w:val="-4"/>
          <w:w w:val="105"/>
        </w:rPr>
        <w:t xml:space="preserve"> </w:t>
      </w:r>
      <w:r>
        <w:rPr>
          <w:w w:val="105"/>
        </w:rPr>
        <w:t>of</w:t>
      </w:r>
      <w:r>
        <w:rPr>
          <w:spacing w:val="-2"/>
          <w:w w:val="105"/>
        </w:rPr>
        <w:t xml:space="preserve"> </w:t>
      </w:r>
      <w:r>
        <w:rPr>
          <w:w w:val="105"/>
        </w:rPr>
        <w:t>mood</w:t>
      </w:r>
      <w:r>
        <w:rPr>
          <w:spacing w:val="-6"/>
          <w:w w:val="105"/>
        </w:rPr>
        <w:t xml:space="preserve"> </w:t>
      </w:r>
      <w:r>
        <w:rPr>
          <w:w w:val="105"/>
        </w:rPr>
        <w:t>disturbance,</w:t>
      </w:r>
      <w:r>
        <w:rPr>
          <w:spacing w:val="3"/>
          <w:w w:val="105"/>
        </w:rPr>
        <w:t xml:space="preserve"> </w:t>
      </w:r>
      <w:r>
        <w:rPr>
          <w:w w:val="105"/>
        </w:rPr>
        <w:t>the</w:t>
      </w:r>
      <w:r>
        <w:rPr>
          <w:spacing w:val="-16"/>
          <w:w w:val="105"/>
        </w:rPr>
        <w:t xml:space="preserve"> </w:t>
      </w:r>
      <w:r>
        <w:rPr>
          <w:w w:val="105"/>
        </w:rPr>
        <w:t>diagnosis is</w:t>
      </w:r>
      <w:r>
        <w:rPr>
          <w:spacing w:val="-24"/>
          <w:w w:val="105"/>
        </w:rPr>
        <w:t xml:space="preserve"> </w:t>
      </w:r>
      <w:r>
        <w:rPr>
          <w:w w:val="105"/>
        </w:rPr>
        <w:t>Mood</w:t>
      </w:r>
      <w:r>
        <w:rPr>
          <w:spacing w:val="-13"/>
          <w:w w:val="105"/>
        </w:rPr>
        <w:t xml:space="preserve"> </w:t>
      </w:r>
      <w:r>
        <w:rPr>
          <w:w w:val="105"/>
        </w:rPr>
        <w:t>Disorder</w:t>
      </w:r>
      <w:r>
        <w:rPr>
          <w:spacing w:val="-15"/>
          <w:w w:val="105"/>
        </w:rPr>
        <w:t xml:space="preserve"> </w:t>
      </w:r>
      <w:r>
        <w:rPr>
          <w:w w:val="105"/>
        </w:rPr>
        <w:t>With</w:t>
      </w:r>
      <w:r>
        <w:rPr>
          <w:spacing w:val="-13"/>
          <w:w w:val="105"/>
        </w:rPr>
        <w:t xml:space="preserve"> </w:t>
      </w:r>
      <w:r>
        <w:rPr>
          <w:w w:val="105"/>
        </w:rPr>
        <w:t>Psychotic</w:t>
      </w:r>
      <w:r>
        <w:rPr>
          <w:spacing w:val="-13"/>
          <w:w w:val="105"/>
        </w:rPr>
        <w:t xml:space="preserve"> </w:t>
      </w:r>
      <w:r>
        <w:rPr>
          <w:w w:val="105"/>
        </w:rPr>
        <w:t>Features.</w:t>
      </w:r>
      <w:r>
        <w:rPr>
          <w:spacing w:val="-13"/>
          <w:w w:val="105"/>
        </w:rPr>
        <w:t xml:space="preserve"> </w:t>
      </w:r>
      <w:r>
        <w:rPr>
          <w:w w:val="105"/>
        </w:rPr>
        <w:t>In</w:t>
      </w:r>
      <w:r>
        <w:rPr>
          <w:spacing w:val="-22"/>
          <w:w w:val="105"/>
        </w:rPr>
        <w:t xml:space="preserve"> </w:t>
      </w:r>
      <w:r>
        <w:rPr>
          <w:w w:val="105"/>
        </w:rPr>
        <w:t>Schizoaffective</w:t>
      </w:r>
      <w:r>
        <w:rPr>
          <w:spacing w:val="-26"/>
          <w:w w:val="105"/>
        </w:rPr>
        <w:t xml:space="preserve"> </w:t>
      </w:r>
      <w:r>
        <w:rPr>
          <w:w w:val="105"/>
        </w:rPr>
        <w:t>Disorder,</w:t>
      </w:r>
      <w:r>
        <w:rPr>
          <w:spacing w:val="-10"/>
          <w:w w:val="105"/>
        </w:rPr>
        <w:t xml:space="preserve"> </w:t>
      </w:r>
      <w:r>
        <w:rPr>
          <w:w w:val="105"/>
        </w:rPr>
        <w:t>symptoms</w:t>
      </w:r>
      <w:r>
        <w:rPr>
          <w:spacing w:val="-18"/>
          <w:w w:val="105"/>
        </w:rPr>
        <w:t xml:space="preserve"> </w:t>
      </w:r>
      <w:r>
        <w:rPr>
          <w:w w:val="105"/>
        </w:rPr>
        <w:t>should not be counted toward a mood episode if they are clearly the result of symptoms of Schizophrenia (e.g., difficulty sleeping because of disturbing auditory hallucinations, weight loss because food is considered poisoned, difficulty concentrating because of psychotic disorganization). Loss of interest or pleasure is common in nonaffective Psychotic</w:t>
      </w:r>
      <w:r>
        <w:rPr>
          <w:spacing w:val="-15"/>
          <w:w w:val="105"/>
        </w:rPr>
        <w:t xml:space="preserve"> </w:t>
      </w:r>
      <w:r>
        <w:rPr>
          <w:w w:val="105"/>
        </w:rPr>
        <w:t>Disorders;</w:t>
      </w:r>
      <w:r>
        <w:rPr>
          <w:spacing w:val="-14"/>
          <w:w w:val="105"/>
        </w:rPr>
        <w:t xml:space="preserve"> </w:t>
      </w:r>
      <w:r>
        <w:rPr>
          <w:w w:val="105"/>
        </w:rPr>
        <w:t>therefore,</w:t>
      </w:r>
      <w:r>
        <w:rPr>
          <w:spacing w:val="-11"/>
          <w:w w:val="105"/>
        </w:rPr>
        <w:t xml:space="preserve"> </w:t>
      </w:r>
      <w:r>
        <w:rPr>
          <w:w w:val="105"/>
        </w:rPr>
        <w:t>to</w:t>
      </w:r>
      <w:r>
        <w:rPr>
          <w:spacing w:val="-23"/>
          <w:w w:val="105"/>
        </w:rPr>
        <w:t xml:space="preserve"> </w:t>
      </w:r>
      <w:r>
        <w:rPr>
          <w:w w:val="105"/>
        </w:rPr>
        <w:t>meet</w:t>
      </w:r>
      <w:r>
        <w:rPr>
          <w:spacing w:val="-24"/>
          <w:w w:val="105"/>
        </w:rPr>
        <w:t xml:space="preserve"> </w:t>
      </w:r>
      <w:r>
        <w:rPr>
          <w:w w:val="105"/>
        </w:rPr>
        <w:t>Criterion</w:t>
      </w:r>
      <w:r>
        <w:rPr>
          <w:spacing w:val="-15"/>
          <w:w w:val="105"/>
        </w:rPr>
        <w:t xml:space="preserve"> </w:t>
      </w:r>
      <w:r>
        <w:rPr>
          <w:w w:val="105"/>
        </w:rPr>
        <w:t>A</w:t>
      </w:r>
      <w:r>
        <w:rPr>
          <w:spacing w:val="-32"/>
          <w:w w:val="105"/>
        </w:rPr>
        <w:t xml:space="preserve"> </w:t>
      </w:r>
      <w:r>
        <w:rPr>
          <w:w w:val="105"/>
        </w:rPr>
        <w:t>for</w:t>
      </w:r>
      <w:r>
        <w:rPr>
          <w:spacing w:val="-31"/>
          <w:w w:val="105"/>
        </w:rPr>
        <w:t xml:space="preserve"> </w:t>
      </w:r>
      <w:r>
        <w:rPr>
          <w:w w:val="105"/>
        </w:rPr>
        <w:t>Schizoaffective</w:t>
      </w:r>
      <w:r>
        <w:rPr>
          <w:spacing w:val="-32"/>
          <w:w w:val="105"/>
        </w:rPr>
        <w:t xml:space="preserve"> </w:t>
      </w:r>
      <w:r>
        <w:rPr>
          <w:w w:val="105"/>
        </w:rPr>
        <w:t>Disorder,</w:t>
      </w:r>
      <w:r>
        <w:rPr>
          <w:spacing w:val="-13"/>
          <w:w w:val="105"/>
        </w:rPr>
        <w:t xml:space="preserve"> </w:t>
      </w:r>
      <w:r>
        <w:rPr>
          <w:w w:val="105"/>
        </w:rPr>
        <w:t>the</w:t>
      </w:r>
      <w:r>
        <w:rPr>
          <w:spacing w:val="-25"/>
          <w:w w:val="105"/>
        </w:rPr>
        <w:t xml:space="preserve"> </w:t>
      </w:r>
      <w:r>
        <w:rPr>
          <w:w w:val="105"/>
        </w:rPr>
        <w:t>Major Depressive Episode must include pervasive depressed</w:t>
      </w:r>
      <w:r>
        <w:rPr>
          <w:spacing w:val="10"/>
          <w:w w:val="105"/>
        </w:rPr>
        <w:t xml:space="preserve"> </w:t>
      </w:r>
      <w:r>
        <w:rPr>
          <w:w w:val="105"/>
        </w:rPr>
        <w:t>mood.</w:t>
      </w:r>
    </w:p>
    <w:p w:rsidR="00E675F0" w:rsidRDefault="00E675F0" w:rsidP="00E675F0">
      <w:pPr>
        <w:pStyle w:val="BodyText"/>
        <w:spacing w:line="254" w:lineRule="auto"/>
        <w:ind w:left="116" w:right="123" w:firstLine="374"/>
        <w:jc w:val="both"/>
      </w:pPr>
      <w:r>
        <w:rPr>
          <w:w w:val="105"/>
        </w:rPr>
        <w:t>Because the relative proportion of mood to psychotic symptoms may change over the course of the disturbance, the appropriate diagnosis for an individual episode of illness may change from Schizoaffective Disorder to Schizophrenia (e.g., a diagnosis of Schizoaffective Disorder for a severe and prominent Major Depressive  Episode lasting 3 months during the first 6 months of a chronic psychotic illness would be changed to Schizophrenia if active psychotic or prominent residual symptoms persist over several years without a recurrence of another mood episode). The diagnosis may also change  for different episodes of illness separated by a period of recovery. For example, an individual may have an episode of psychotic symptoms that meet Criterion A for Schizophrenia during a Major Depressive Episode, recover fully from this episode, and then later develop 6 weeks of delusions and hallucinations without prominent mood symptoms. The diagnosis in this instance would not be Schizoaffective Disorder because the period of delusions and hallucinations was not continuous with the initial period of disturbance. Instead, the appropriate diagnoses for the first episode would be Mood Disorder With Psychotic Features, In Full Remission, and Schizophreniform Disorder (Provisional) for the current</w:t>
      </w:r>
      <w:r>
        <w:rPr>
          <w:spacing w:val="-2"/>
          <w:w w:val="105"/>
        </w:rPr>
        <w:t xml:space="preserve"> </w:t>
      </w:r>
      <w:r>
        <w:rPr>
          <w:w w:val="105"/>
        </w:rPr>
        <w:t>episode.</w:t>
      </w:r>
    </w:p>
    <w:p w:rsidR="00E675F0" w:rsidRDefault="00E675F0" w:rsidP="00E675F0">
      <w:pPr>
        <w:pStyle w:val="BodyText"/>
        <w:spacing w:line="252" w:lineRule="auto"/>
        <w:ind w:left="126" w:right="113" w:firstLine="365"/>
        <w:jc w:val="right"/>
      </w:pPr>
      <w:r>
        <w:rPr>
          <w:w w:val="105"/>
        </w:rPr>
        <w:t>Mood disturbances, especially depression, commonly develop during the course of</w:t>
      </w:r>
      <w:r>
        <w:rPr>
          <w:w w:val="97"/>
        </w:rPr>
        <w:t xml:space="preserve"> </w:t>
      </w:r>
      <w:r>
        <w:rPr>
          <w:b/>
          <w:w w:val="105"/>
        </w:rPr>
        <w:t xml:space="preserve">DelusionalDisorder. </w:t>
      </w:r>
      <w:r>
        <w:rPr>
          <w:w w:val="105"/>
        </w:rPr>
        <w:t>However, such presentations do not meet criteria for Schizoaffec­</w:t>
      </w:r>
      <w:r>
        <w:rPr>
          <w:w w:val="101"/>
        </w:rPr>
        <w:t xml:space="preserve"> </w:t>
      </w:r>
      <w:r>
        <w:rPr>
          <w:w w:val="105"/>
        </w:rPr>
        <w:t>tive Disorder because the psychotic symptoms in Delusional Disorder are restricted to</w:t>
      </w:r>
      <w:r>
        <w:rPr>
          <w:w w:val="103"/>
        </w:rPr>
        <w:t xml:space="preserve"> </w:t>
      </w:r>
      <w:r>
        <w:rPr>
          <w:w w:val="105"/>
        </w:rPr>
        <w:t>nonbizarre delusions and therefore do not meet Criterion A for Schizoaffective Disorder.</w:t>
      </w:r>
      <w:r>
        <w:rPr>
          <w:w w:val="104"/>
        </w:rPr>
        <w:t xml:space="preserve"> </w:t>
      </w:r>
      <w:r>
        <w:rPr>
          <w:rFonts w:ascii="Arial" w:hAnsi="Arial"/>
          <w:w w:val="105"/>
          <w:sz w:val="19"/>
        </w:rPr>
        <w:t xml:space="preserve">If </w:t>
      </w:r>
      <w:r>
        <w:rPr>
          <w:w w:val="105"/>
        </w:rPr>
        <w:t>there is insufficient information concerning the relationship between psychotic</w:t>
      </w:r>
      <w:r>
        <w:rPr>
          <w:w w:val="104"/>
        </w:rPr>
        <w:t xml:space="preserve">  </w:t>
      </w:r>
      <w:r>
        <w:rPr>
          <w:w w:val="105"/>
        </w:rPr>
        <w:t xml:space="preserve">and mood symptoms, </w:t>
      </w:r>
      <w:r>
        <w:rPr>
          <w:b/>
          <w:w w:val="105"/>
        </w:rPr>
        <w:t xml:space="preserve">Psychotic Disorder Not Otherwise Specified </w:t>
      </w:r>
      <w:r>
        <w:rPr>
          <w:w w:val="105"/>
        </w:rPr>
        <w:t>may be the most</w:t>
      </w:r>
    </w:p>
    <w:p w:rsidR="00E675F0" w:rsidRDefault="00E675F0" w:rsidP="00E675F0">
      <w:pPr>
        <w:pStyle w:val="BodyText"/>
        <w:spacing w:line="228" w:lineRule="exact"/>
        <w:ind w:left="131"/>
        <w:jc w:val="both"/>
      </w:pPr>
      <w:r>
        <w:rPr>
          <w:w w:val="105"/>
        </w:rPr>
        <w:t>appropriate diagnosis.</w:t>
      </w:r>
    </w:p>
    <w:p w:rsidR="00E675F0" w:rsidRDefault="00E675F0" w:rsidP="00E675F0">
      <w:pPr>
        <w:pStyle w:val="BodyText"/>
      </w:pPr>
    </w:p>
    <w:p w:rsidR="00E675F0" w:rsidRDefault="00E675F0" w:rsidP="00E675F0">
      <w:pPr>
        <w:pStyle w:val="BodyText"/>
        <w:spacing w:before="3"/>
      </w:pPr>
    </w:p>
    <w:tbl>
      <w:tblPr>
        <w:tblW w:w="0" w:type="auto"/>
        <w:tblInd w:w="234"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7323"/>
      </w:tblGrid>
      <w:tr w:rsidR="00E675F0" w:rsidTr="00A330E1">
        <w:trPr>
          <w:trHeight w:val="2252"/>
        </w:trPr>
        <w:tc>
          <w:tcPr>
            <w:tcW w:w="7323" w:type="dxa"/>
          </w:tcPr>
          <w:p w:rsidR="00E675F0" w:rsidRDefault="00E675F0" w:rsidP="003048D3">
            <w:pPr>
              <w:pStyle w:val="TableParagraph"/>
              <w:numPr>
                <w:ilvl w:val="0"/>
                <w:numId w:val="7"/>
              </w:numPr>
              <w:tabs>
                <w:tab w:val="left" w:pos="643"/>
              </w:tabs>
              <w:spacing w:line="535" w:lineRule="exact"/>
              <w:rPr>
                <w:b/>
                <w:sz w:val="26"/>
              </w:rPr>
            </w:pPr>
            <w:r>
              <w:rPr>
                <w:b/>
                <w:w w:val="105"/>
                <w:sz w:val="26"/>
              </w:rPr>
              <w:t xml:space="preserve">Diagnostic criteria for </w:t>
            </w:r>
            <w:r>
              <w:rPr>
                <w:b/>
                <w:spacing w:val="2"/>
                <w:w w:val="105"/>
                <w:sz w:val="26"/>
              </w:rPr>
              <w:t xml:space="preserve">295.70 </w:t>
            </w:r>
            <w:r>
              <w:rPr>
                <w:b/>
                <w:w w:val="105"/>
                <w:sz w:val="26"/>
              </w:rPr>
              <w:t>Schizoaffective</w:t>
            </w:r>
            <w:r>
              <w:rPr>
                <w:b/>
                <w:spacing w:val="10"/>
                <w:w w:val="105"/>
                <w:sz w:val="26"/>
              </w:rPr>
              <w:t xml:space="preserve"> </w:t>
            </w:r>
            <w:r>
              <w:rPr>
                <w:b/>
                <w:w w:val="105"/>
                <w:sz w:val="26"/>
              </w:rPr>
              <w:t>Disorder</w:t>
            </w:r>
          </w:p>
          <w:p w:rsidR="00E675F0" w:rsidRDefault="00E675F0" w:rsidP="00A330E1">
            <w:pPr>
              <w:pStyle w:val="TableParagraph"/>
              <w:spacing w:before="89" w:line="254" w:lineRule="auto"/>
              <w:ind w:left="956" w:right="211" w:hanging="307"/>
              <w:jc w:val="both"/>
              <w:rPr>
                <w:sz w:val="20"/>
              </w:rPr>
            </w:pPr>
            <w:r>
              <w:rPr>
                <w:w w:val="105"/>
                <w:sz w:val="20"/>
              </w:rPr>
              <w:t>A. An uninterrupted period of illness during which, at some time, there is either</w:t>
            </w:r>
            <w:r>
              <w:rPr>
                <w:spacing w:val="-13"/>
                <w:w w:val="105"/>
                <w:sz w:val="20"/>
              </w:rPr>
              <w:t xml:space="preserve"> </w:t>
            </w:r>
            <w:r>
              <w:rPr>
                <w:w w:val="105"/>
                <w:sz w:val="20"/>
              </w:rPr>
              <w:t>a</w:t>
            </w:r>
            <w:r>
              <w:rPr>
                <w:spacing w:val="-16"/>
                <w:w w:val="105"/>
                <w:sz w:val="20"/>
              </w:rPr>
              <w:t xml:space="preserve"> </w:t>
            </w:r>
            <w:r>
              <w:rPr>
                <w:w w:val="105"/>
                <w:sz w:val="20"/>
              </w:rPr>
              <w:t>Major</w:t>
            </w:r>
            <w:r>
              <w:rPr>
                <w:spacing w:val="-15"/>
                <w:w w:val="105"/>
                <w:sz w:val="20"/>
              </w:rPr>
              <w:t xml:space="preserve"> </w:t>
            </w:r>
            <w:r>
              <w:rPr>
                <w:w w:val="105"/>
                <w:sz w:val="20"/>
              </w:rPr>
              <w:t>Depressive</w:t>
            </w:r>
            <w:r>
              <w:rPr>
                <w:spacing w:val="-5"/>
                <w:w w:val="105"/>
                <w:sz w:val="20"/>
              </w:rPr>
              <w:t xml:space="preserve"> </w:t>
            </w:r>
            <w:r>
              <w:rPr>
                <w:w w:val="105"/>
                <w:sz w:val="20"/>
              </w:rPr>
              <w:t>Episode,</w:t>
            </w:r>
            <w:r>
              <w:rPr>
                <w:spacing w:val="-7"/>
                <w:w w:val="105"/>
                <w:sz w:val="20"/>
              </w:rPr>
              <w:t xml:space="preserve"> </w:t>
            </w:r>
            <w:r>
              <w:rPr>
                <w:w w:val="105"/>
                <w:sz w:val="20"/>
              </w:rPr>
              <w:t>a</w:t>
            </w:r>
            <w:r>
              <w:rPr>
                <w:spacing w:val="-12"/>
                <w:w w:val="105"/>
                <w:sz w:val="20"/>
              </w:rPr>
              <w:t xml:space="preserve"> </w:t>
            </w:r>
            <w:r>
              <w:rPr>
                <w:w w:val="105"/>
                <w:sz w:val="20"/>
              </w:rPr>
              <w:t>Manic</w:t>
            </w:r>
            <w:r>
              <w:rPr>
                <w:spacing w:val="-17"/>
                <w:w w:val="105"/>
                <w:sz w:val="20"/>
              </w:rPr>
              <w:t xml:space="preserve"> </w:t>
            </w:r>
            <w:r>
              <w:rPr>
                <w:w w:val="105"/>
                <w:sz w:val="20"/>
              </w:rPr>
              <w:t>Episode,</w:t>
            </w:r>
            <w:r>
              <w:rPr>
                <w:spacing w:val="-7"/>
                <w:w w:val="105"/>
                <w:sz w:val="20"/>
              </w:rPr>
              <w:t xml:space="preserve"> </w:t>
            </w:r>
            <w:r>
              <w:rPr>
                <w:w w:val="105"/>
                <w:sz w:val="20"/>
              </w:rPr>
              <w:t>or</w:t>
            </w:r>
            <w:r>
              <w:rPr>
                <w:spacing w:val="-7"/>
                <w:w w:val="105"/>
                <w:sz w:val="20"/>
              </w:rPr>
              <w:t xml:space="preserve"> </w:t>
            </w:r>
            <w:r>
              <w:rPr>
                <w:w w:val="105"/>
                <w:sz w:val="20"/>
              </w:rPr>
              <w:t>a</w:t>
            </w:r>
            <w:r>
              <w:rPr>
                <w:spacing w:val="-16"/>
                <w:w w:val="105"/>
                <w:sz w:val="20"/>
              </w:rPr>
              <w:t xml:space="preserve"> </w:t>
            </w:r>
            <w:r>
              <w:rPr>
                <w:w w:val="105"/>
                <w:sz w:val="20"/>
              </w:rPr>
              <w:t>Mixed</w:t>
            </w:r>
            <w:r>
              <w:rPr>
                <w:spacing w:val="-12"/>
                <w:w w:val="105"/>
                <w:sz w:val="20"/>
              </w:rPr>
              <w:t xml:space="preserve"> </w:t>
            </w:r>
            <w:r>
              <w:rPr>
                <w:w w:val="105"/>
                <w:sz w:val="20"/>
              </w:rPr>
              <w:t>Episode concurrent with symptoms that meet Criterion A for</w:t>
            </w:r>
            <w:r>
              <w:rPr>
                <w:spacing w:val="27"/>
                <w:w w:val="105"/>
                <w:sz w:val="20"/>
              </w:rPr>
              <w:t xml:space="preserve"> </w:t>
            </w:r>
            <w:r>
              <w:rPr>
                <w:w w:val="105"/>
                <w:sz w:val="20"/>
              </w:rPr>
              <w:t>Schizophrenia.</w:t>
            </w:r>
          </w:p>
          <w:p w:rsidR="00E675F0" w:rsidRDefault="00E675F0" w:rsidP="00A330E1">
            <w:pPr>
              <w:pStyle w:val="TableParagraph"/>
              <w:spacing w:before="119" w:line="256" w:lineRule="auto"/>
              <w:ind w:left="961" w:right="230" w:hanging="15"/>
              <w:jc w:val="both"/>
              <w:rPr>
                <w:sz w:val="18"/>
              </w:rPr>
            </w:pPr>
            <w:r>
              <w:rPr>
                <w:rFonts w:ascii="Arial"/>
                <w:b/>
                <w:w w:val="105"/>
                <w:sz w:val="16"/>
              </w:rPr>
              <w:t xml:space="preserve">Note: </w:t>
            </w:r>
            <w:r>
              <w:rPr>
                <w:w w:val="105"/>
                <w:sz w:val="18"/>
              </w:rPr>
              <w:t>The Major Depressive Episode must include Criterion Al: depressed mood.</w:t>
            </w:r>
          </w:p>
          <w:p w:rsidR="00E675F0" w:rsidRDefault="00E675F0" w:rsidP="00A330E1">
            <w:pPr>
              <w:pStyle w:val="TableParagraph"/>
              <w:ind w:left="6021"/>
              <w:jc w:val="both"/>
              <w:rPr>
                <w:i/>
                <w:sz w:val="20"/>
              </w:rPr>
            </w:pPr>
            <w:r>
              <w:rPr>
                <w:i/>
                <w:w w:val="110"/>
                <w:sz w:val="20"/>
              </w:rPr>
              <w:t>(continued)</w:t>
            </w:r>
          </w:p>
        </w:tc>
      </w:tr>
    </w:tbl>
    <w:p w:rsidR="00E675F0" w:rsidRDefault="00E675F0">
      <w:bookmarkStart w:id="191" w:name="_GoBack"/>
      <w:bookmarkEnd w:id="191"/>
    </w:p>
    <w:sectPr w:rsidR="00E675F0" w:rsidSect="002C2E3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NewRomanPS-BoldItalicMT">
    <w:altName w:val="Times New Roman"/>
    <w:panose1 w:val="02020703060505090304"/>
    <w:charset w:val="00"/>
    <w:family w:val="roman"/>
    <w:pitch w:val="variable"/>
  </w:font>
  <w:font w:name="Helvetica">
    <w:panose1 w:val="00000000000000000000"/>
    <w:charset w:val="00"/>
    <w:family w:val="auto"/>
    <w:pitch w:val="variable"/>
    <w:sig w:usb0="E00002FF" w:usb1="5000785B" w:usb2="00000000" w:usb3="00000000" w:csb0="0000019F" w:csb1="00000000"/>
  </w:font>
  <w:font w:name="Courier New">
    <w:panose1 w:val="02070309020205020404"/>
    <w:charset w:val="00"/>
    <w:family w:val="modern"/>
    <w:pitch w:val="fixed"/>
    <w:sig w:usb0="E0002EFF" w:usb1="C0007843" w:usb2="00000009" w:usb3="00000000" w:csb0="000001FF" w:csb1="00000000"/>
  </w:font>
  <w:font w:name="Arial-BoldItalicMT">
    <w:altName w:val="Arial"/>
    <w:panose1 w:val="020B0604020202020204"/>
    <w:charset w:val="00"/>
    <w:family w:val="swiss"/>
    <w:pitch w:val="variable"/>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4C7A9B49">
        <v:line id="Line 1388" o:spid="_x0000_s2520"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85pt,62.25pt" to="392.75pt,62.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" strokeweight="2.11961mm">
          <v:path arrowok="f"/>
          <o:lock v:ext="edit" aspectratio="t" verticies="t"/>
          <w10:wrap anchorx="page" anchory="page"/>
        </v:line>
      </w:pict>
    </w:r>
    <w:r>
      <w:rPr>
        <w:noProof/>
      </w:rPr>
      <w:pict w14:anchorId="2B64F48C">
        <v:line id="Line 1387" o:spid="_x0000_s2519"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55pt,71.15pt" to="411pt,7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" strokeweight=".42392mm">
          <v:path arrowok="f"/>
          <o:lock v:ext="edit" aspectratio="t" verticies="t"/>
          <w10:wrap anchorx="page" anchory="page"/>
        </v:line>
      </w:pict>
    </w:r>
    <w:r>
      <w:rPr>
        <w:noProof/>
      </w:rPr>
      <w:pict w14:anchorId="0B8E75D8">
        <v:shapetype id="_x0000_t202" coordsize="21600,21600" o:spt="202" path="m,l,21600r21600,l21600,xe">
          <v:stroke joinstyle="miter"/>
          <v:path gradientshapeok="t" o:connecttype="rect"/>
        </v:shapetype>
        <v:shape id="Text Box 1386" o:spid="_x0000_s2518" type="#_x0000_t202" style="position:absolute;margin-left:42.65pt;margin-top:112.8pt;width:360.45pt;height:63.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" filled="f" stroked="f">
          <o:lock v:ext="edit" aspectratio="t" verticies="t" text="t" shapetype="t"/>
          <v:textbox inset="0,0,0,0">
            <w:txbxContent>
              <w:p w:rsidR="008142C4" w:rsidRDefault="003048D3">
                <w:pPr>
                  <w:tabs>
                    <w:tab w:val="left" w:pos="4368"/>
                  </w:tabs>
                  <w:spacing w:before="1"/>
                  <w:jc w:val="center"/>
                  <w:rPr>
                    <w:sz w:val="45"/>
                  </w:rPr>
                </w:pPr>
                <w:r>
                  <w:rPr>
                    <w:sz w:val="45"/>
                  </w:rPr>
                  <w:t xml:space="preserve">DIAGNOSTIC </w:t>
                </w:r>
                <w:r>
                  <w:rPr>
                    <w:spacing w:val="61"/>
                    <w:sz w:val="45"/>
                  </w:rPr>
                  <w:t xml:space="preserve"> </w:t>
                </w:r>
                <w:r>
                  <w:rPr>
                    <w:sz w:val="45"/>
                  </w:rPr>
                  <w:t>AND</w:t>
                </w:r>
                <w:r>
                  <w:rPr>
                    <w:sz w:val="45"/>
                  </w:rPr>
                  <w:tab/>
                </w:r>
                <w:r>
                  <w:rPr>
                    <w:w w:val="95"/>
                    <w:sz w:val="45"/>
                  </w:rPr>
                  <w:t>STATISTICAL</w:t>
                </w:r>
              </w:p>
              <w:p w:rsidR="008142C4" w:rsidRDefault="003048D3">
                <w:pPr>
                  <w:spacing w:before="208"/>
                  <w:ind w:left="42"/>
                  <w:jc w:val="center"/>
                  <w:rPr>
                    <w:sz w:val="45"/>
                  </w:rPr>
                </w:pPr>
                <w:r>
                  <w:rPr>
                    <w:w w:val="105"/>
                    <w:sz w:val="45"/>
                  </w:rPr>
                  <w:t>MANUAL</w:t>
                </w:r>
                <w:r>
                  <w:rPr>
                    <w:spacing w:val="75"/>
                    <w:w w:val="105"/>
                    <w:sz w:val="45"/>
                  </w:rPr>
                  <w:t xml:space="preserve"> </w:t>
                </w:r>
                <w:r>
                  <w:rPr>
                    <w:w w:val="105"/>
                    <w:sz w:val="45"/>
                  </w:rPr>
                  <w:t>OF</w:t>
                </w:r>
              </w:p>
            </w:txbxContent>
          </v:textbox>
          <w10:wrap anchorx="page" anchory="page"/>
        </v:shape>
      </w:pict>
    </w:r>
    <w:r>
      <w:rPr>
        <w:noProof/>
      </w:rPr>
      <w:pict w14:anchorId="042C7B68">
        <v:shape id="Text Box 1385" o:spid="_x0000_s2517" type="#_x0000_t202" style="position:absolute;margin-left:100.7pt;margin-top:185.15pt;width:99.75pt;height:27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" filled="f" stroked="f">
          <o:lock v:ext="edit" aspectratio="t" verticies="t" text="t" shapetype="t"/>
          <v:textbox inset="0,0,0,0">
            <w:txbxContent>
              <w:p w:rsidR="008142C4" w:rsidRDefault="003048D3">
                <w:pPr>
                  <w:spacing w:before="1"/>
                  <w:ind w:left="20"/>
                  <w:rPr>
                    <w:sz w:val="45"/>
                  </w:rPr>
                </w:pPr>
                <w:r>
                  <w:rPr>
                    <w:sz w:val="45"/>
                  </w:rPr>
                  <w:t>MENTAL</w:t>
                </w:r>
              </w:p>
            </w:txbxContent>
          </v:textbox>
          <w10:wrap anchorx="page" anchory="page"/>
        </v:shape>
      </w:pict>
    </w:r>
    <w:r>
      <w:rPr>
        <w:noProof/>
      </w:rPr>
      <w:pict w14:anchorId="0B3F7FFF">
        <v:shape id="Text Box 1384" o:spid="_x0000_s2516" type="#_x0000_t202" style="position:absolute;margin-left:211.1pt;margin-top:185.15pt;width:133.6pt;height:27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" filled="f" stroked="f">
          <o:lock v:ext="edit" aspectratio="t" verticies="t" text="t" shapetype="t"/>
          <v:textbox inset="0,0,0,0">
            <w:txbxContent>
              <w:p w:rsidR="008142C4" w:rsidRDefault="003048D3">
                <w:pPr>
                  <w:spacing w:before="1"/>
                  <w:ind w:left="20"/>
                  <w:rPr>
                    <w:sz w:val="45"/>
                  </w:rPr>
                </w:pPr>
                <w:r>
                  <w:rPr>
                    <w:w w:val="105"/>
                    <w:sz w:val="45"/>
                  </w:rPr>
                  <w:t>DISORDERS</w:t>
                </w:r>
              </w:p>
            </w:txbxContent>
          </v:textbox>
          <w10:wrap anchorx="page" anchory="page"/>
        </v:shape>
      </w:pict>
    </w:r>
    <w:r>
      <w:rPr>
        <w:noProof/>
      </w:rPr>
      <w:pict w14:anchorId="5D1EFBD3">
        <v:shape id="Text Box 1383" o:spid="_x0000_s2515" type="#_x0000_t202" style="position:absolute;margin-left:169.2pt;margin-top:226.2pt;width:108.95pt;height:14.8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" filled="f" stroked="f">
          <o:lock v:ext="edit" aspectratio="t" verticies="t" text="t" shapetype="t"/>
          <v:textbox inset="0,0,0,0">
            <w:txbxContent>
              <w:p w:rsidR="008142C4" w:rsidRDefault="003048D3">
                <w:pPr>
                  <w:spacing w:before="10"/>
                  <w:ind w:left="20"/>
                  <w:rPr>
                    <w:sz w:val="23"/>
                  </w:rPr>
                </w:pPr>
                <w:r>
                  <w:rPr>
                    <w:w w:val="110"/>
                    <w:sz w:val="23"/>
                  </w:rPr>
                  <w:t>FOURTH EDITION</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rPr>
        <w:sz w:val="2"/>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40BF60E2">
        <v:line id="Line 1166" o:spid="_x0000_s2298" style="position:absolute;z-index:-25142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1pt,49.7pt" to="411.4pt,49.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" strokeweight=".16958mm">
          <v:path arrowok="f"/>
          <o:lock v:ext="edit" aspectratio="t" verticies="t"/>
          <w10:wrap anchorx="page" anchory="page"/>
        </v:line>
      </w:pict>
    </w:r>
    <w:r>
      <w:rPr>
        <w:noProof/>
      </w:rPr>
      <w:pict w14:anchorId="243E7D2B">
        <v:shapetype id="_x0000_t202" coordsize="21600,21600" o:spt="202" path="m,l,21600r21600,l21600,xe">
          <v:stroke joinstyle="miter"/>
          <v:path gradientshapeok="t" o:connecttype="rect"/>
        </v:shapetype>
        <v:shape id="Text Box 1165" o:spid="_x0000_s2297" type="#_x0000_t202" style="position:absolute;margin-left:54.3pt;margin-top:33.1pt;width:23.9pt;height:14.2pt;z-index:-25142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" filled="f" stroked="f">
          <o:lock v:ext="edit" aspectratio="t" verticies="t" text="t" shapetype="t"/>
          <v:textbox inset="0,0,0,0">
            <w:txbxContent>
              <w:p w:rsidR="008142C4" w:rsidRDefault="003048D3">
                <w:pPr>
                  <w:spacing w:before="16"/>
                  <w:ind w:left="68"/>
                  <w:rPr>
                    <w:b/>
                    <w:sz w:val="21"/>
                  </w:rPr>
                </w:pPr>
                <w:r>
                  <w:rPr>
                    <w:b/>
                    <w:w w:val="110"/>
                    <w:sz w:val="21"/>
                  </w:rPr>
                  <w:t>106</w:t>
                </w:r>
              </w:p>
            </w:txbxContent>
          </v:textbox>
          <w10:wrap anchorx="page" anchory="page"/>
        </v:shape>
      </w:pict>
    </w:r>
    <w:r>
      <w:rPr>
        <w:noProof/>
      </w:rPr>
      <w:pict w14:anchorId="1928576B">
        <v:shape id="Text Box 1164" o:spid="_x0000_s2296" type="#_x0000_t202" style="position:absolute;margin-left:90.85pt;margin-top:33.35pt;width:328.1pt;height:13.65pt;z-index:-25142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" filled="f" stroked="f">
          <o:lock v:ext="edit" aspectratio="t" verticies="t" text="t" shapetype="t"/>
          <v:textbox inset="0,0,0,0">
            <w:txbxContent>
              <w:p w:rsidR="008142C4" w:rsidRDefault="003048D3">
                <w:pPr>
                  <w:spacing w:before="11"/>
                  <w:ind w:left="20"/>
                  <w:rPr>
                    <w:b/>
                    <w:sz w:val="21"/>
                  </w:rPr>
                </w:pPr>
                <w:r>
                  <w:rPr>
                    <w:b/>
                    <w:w w:val="115"/>
                    <w:sz w:val="21"/>
                  </w:rPr>
                  <w:t>Usually First Diagnosed in Infancy, Childhood, or Adolescence</w:t>
                </w:r>
              </w:p>
            </w:txbxContent>
          </v:textbox>
          <w10:wrap anchorx="page" anchory="page"/>
        </v:shape>
      </w:pic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3484D69A">
        <v:line id="Line 1163" o:spid="_x0000_s2295" style="position:absolute;z-index:-25142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1pt,49.6pt" to="411.4pt,49.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" strokeweight=".16958mm">
          <v:path arrowok="f"/>
          <o:lock v:ext="edit" aspectratio="t" verticies="t"/>
          <w10:wrap anchorx="page" anchory="page"/>
        </v:line>
      </w:pict>
    </w:r>
    <w:r>
      <w:rPr>
        <w:noProof/>
      </w:rPr>
      <w:pict w14:anchorId="78B165C7">
        <v:shapetype id="_x0000_t202" coordsize="21600,21600" o:spt="202" path="m,l,21600r21600,l21600,xe">
          <v:stroke joinstyle="miter"/>
          <v:path gradientshapeok="t" o:connecttype="rect"/>
        </v:shapetype>
        <v:shape id="Text Box 1162" o:spid="_x0000_s2294" type="#_x0000_t202" style="position:absolute;margin-left:140.85pt;margin-top:33.9pt;width:236.5pt;height:13.65pt;z-index:-25142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" filled="f" stroked="f">
          <o:lock v:ext="edit" aspectratio="t" verticies="t" text="t" shapetype="t"/>
          <v:textbox inset="0,0,0,0">
            <w:txbxContent>
              <w:p w:rsidR="008142C4" w:rsidRDefault="003048D3">
                <w:pPr>
                  <w:spacing w:before="11"/>
                  <w:ind w:left="20"/>
                  <w:rPr>
                    <w:b/>
                    <w:sz w:val="21"/>
                  </w:rPr>
                </w:pPr>
                <w:r>
                  <w:rPr>
                    <w:b/>
                    <w:w w:val="115"/>
                    <w:sz w:val="21"/>
                  </w:rPr>
                  <w:t>307.20 Tic Disorder Not Otherwise Specified</w:t>
                </w:r>
              </w:p>
            </w:txbxContent>
          </v:textbox>
          <w10:wrap anchorx="page" anchory="page"/>
        </v:shape>
      </w:pict>
    </w:r>
    <w:r>
      <w:rPr>
        <w:noProof/>
      </w:rPr>
      <w:pict w14:anchorId="13BA6C78">
        <v:shape id="Text Box 1161" o:spid="_x0000_s2293" type="#_x0000_t202" style="position:absolute;margin-left:391.4pt;margin-top:33.9pt;width:20.35pt;height:13.65pt;z-index:-25142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" filled="f" stroked="f">
          <o:lock v:ext="edit" aspectratio="t" verticies="t" text="t" shapetype="t"/>
          <v:textbox inset="0,0,0,0">
            <w:txbxContent>
              <w:p w:rsidR="008142C4" w:rsidRDefault="003048D3">
                <w:pPr>
                  <w:spacing w:before="11"/>
                  <w:ind w:left="20"/>
                  <w:rPr>
                    <w:b/>
                    <w:sz w:val="21"/>
                  </w:rPr>
                </w:pPr>
                <w:r>
                  <w:rPr>
                    <w:b/>
                    <w:w w:val="115"/>
                    <w:sz w:val="21"/>
                  </w:rPr>
                  <w:t>105</w:t>
                </w:r>
              </w:p>
            </w:txbxContent>
          </v:textbox>
          <w10:wrap anchorx="page" anchory="page"/>
        </v:shape>
      </w:pic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7E5C9E20">
        <v:line id="Line 1160" o:spid="_x0000_s2292" style="position:absolute;z-index:-25142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5pt,49.25pt" to="411.75pt,49.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" strokeweight=".25433mm">
          <v:path arrowok="f"/>
          <o:lock v:ext="edit" aspectratio="t" verticies="t"/>
          <w10:wrap anchorx="page" anchory="page"/>
        </v:line>
      </w:pict>
    </w:r>
    <w:r>
      <w:rPr>
        <w:noProof/>
      </w:rPr>
      <w:pict w14:anchorId="533A45C7">
        <v:shapetype id="_x0000_t202" coordsize="21600,21600" o:spt="202" path="m,l,21600r21600,l21600,xe">
          <v:stroke joinstyle="miter"/>
          <v:path gradientshapeok="t" o:connecttype="rect"/>
        </v:shapetype>
        <v:shape id="Text Box 1159" o:spid="_x0000_s2291" type="#_x0000_t202" style="position:absolute;margin-left:55.25pt;margin-top:33.35pt;width:23.4pt;height:13.65pt;z-index:-25142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" filled="f" stroked="f">
          <o:lock v:ext="edit" aspectratio="t" verticies="t" text="t" shapetype="t"/>
          <v:textbox inset="0,0,0,0">
            <w:txbxContent>
              <w:p w:rsidR="008142C4" w:rsidRDefault="003048D3">
                <w:pPr>
                  <w:spacing w:before="11"/>
                  <w:ind w:left="60"/>
                  <w:rPr>
                    <w:b/>
                    <w:sz w:val="21"/>
                  </w:rPr>
                </w:pPr>
                <w:r>
                  <w:rPr>
                    <w:b/>
                    <w:w w:val="110"/>
                    <w:sz w:val="21"/>
                  </w:rPr>
                  <w:t>106</w:t>
                </w:r>
              </w:p>
            </w:txbxContent>
          </v:textbox>
          <w10:wrap anchorx="page" anchory="page"/>
        </v:shape>
      </w:pict>
    </w:r>
    <w:r>
      <w:rPr>
        <w:noProof/>
      </w:rPr>
      <w:pict w14:anchorId="7BB50FE4">
        <v:shape id="Text Box 1158" o:spid="_x0000_s2290" type="#_x0000_t202" style="position:absolute;margin-left:91.35pt;margin-top:33.35pt;width:328.1pt;height:13.65pt;z-index:-25141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" filled="f" stroked="f">
          <o:lock v:ext="edit" aspectratio="t" verticies="t" text="t" shapetype="t"/>
          <v:textbox inset="0,0,0,0">
            <w:txbxContent>
              <w:p w:rsidR="008142C4" w:rsidRDefault="003048D3">
                <w:pPr>
                  <w:spacing w:before="11"/>
                  <w:ind w:left="20"/>
                  <w:rPr>
                    <w:b/>
                    <w:sz w:val="21"/>
                  </w:rPr>
                </w:pPr>
                <w:r>
                  <w:rPr>
                    <w:b/>
                    <w:w w:val="115"/>
                    <w:sz w:val="21"/>
                  </w:rPr>
                  <w:t>Usually First Diagnosed in Infancy, Childhood, or Adolescence</w:t>
                </w:r>
              </w:p>
            </w:txbxContent>
          </v:textbox>
          <w10:wrap anchorx="page" anchory="page"/>
        </v:shape>
      </w:pic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35870D2B">
        <v:line id="Line 1157" o:spid="_x0000_s2289" style="position:absolute;z-index:-25141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15pt,48.95pt" to="410.55pt,48.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" strokeweight=".16958mm">
          <v:path arrowok="f"/>
          <o:lock v:ext="edit" aspectratio="t" verticies="t"/>
          <w10:wrap anchorx="page" anchory="page"/>
        </v:line>
      </w:pict>
    </w:r>
    <w:r>
      <w:rPr>
        <w:noProof/>
      </w:rPr>
      <w:pict w14:anchorId="1103E8B3">
        <v:shapetype id="_x0000_t202" coordsize="21600,21600" o:spt="202" path="m,l,21600r21600,l21600,xe">
          <v:stroke joinstyle="miter"/>
          <v:path gradientshapeok="t" o:connecttype="rect"/>
        </v:shapetype>
        <v:shape id="Text Box 1156" o:spid="_x0000_s2288" type="#_x0000_t202" style="position:absolute;margin-left:317.4pt;margin-top:32.85pt;width:59.05pt;height:14.2pt;z-index:-25141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" filled="f" stroked="f">
          <o:lock v:ext="edit" aspectratio="t" verticies="t" text="t" shapetype="t"/>
          <v:textbox inset="0,0,0,0">
            <w:txbxContent>
              <w:p w:rsidR="008142C4" w:rsidRDefault="003048D3">
                <w:pPr>
                  <w:spacing w:before="11"/>
                  <w:ind w:left="20"/>
                  <w:rPr>
                    <w:b/>
                  </w:rPr>
                </w:pPr>
                <w:r>
                  <w:rPr>
                    <w:b/>
                    <w:w w:val="110"/>
                  </w:rPr>
                  <w:t>Encopresis</w:t>
                </w:r>
              </w:p>
            </w:txbxContent>
          </v:textbox>
          <w10:wrap anchorx="page" anchory="page"/>
        </v:shape>
      </w:pict>
    </w:r>
    <w:r>
      <w:rPr>
        <w:noProof/>
      </w:rPr>
      <w:pict w14:anchorId="378F2425">
        <v:shape id="Text Box 1155" o:spid="_x0000_s2287" type="#_x0000_t202" style="position:absolute;margin-left:391.25pt;margin-top:32.85pt;width:20.4pt;height:14.2pt;z-index:-25141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" filled="f" stroked="f">
          <o:lock v:ext="edit" aspectratio="t" verticies="t" text="t" shapetype="t"/>
          <v:textbox inset="0,0,0,0">
            <w:txbxContent>
              <w:p w:rsidR="008142C4" w:rsidRDefault="003048D3">
                <w:pPr>
                  <w:spacing w:before="11"/>
                  <w:ind w:left="20"/>
                  <w:rPr>
                    <w:b/>
                  </w:rPr>
                </w:pPr>
                <w:r>
                  <w:rPr>
                    <w:b/>
                    <w:w w:val="110"/>
                  </w:rPr>
                  <w:t>107</w:t>
                </w:r>
              </w:p>
            </w:txbxContent>
          </v:textbox>
          <w10:wrap anchorx="page" anchory="page"/>
        </v:shape>
      </w:pic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0EE578C9">
        <v:shapetype id="_x0000_t202" coordsize="21600,21600" o:spt="202" path="m,l,21600r21600,l21600,xe">
          <v:stroke joinstyle="miter"/>
          <v:path gradientshapeok="t" o:connecttype="rect"/>
        </v:shapetype>
        <v:shape id="Text Box 1154" o:spid="_x0000_s2286" type="#_x0000_t202" style="position:absolute;margin-left:54.7pt;margin-top:32.9pt;width:25.75pt;height:14.4pt;z-index:-25141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" filled="f" stroked="f">
          <o:lock v:ext="edit" aspectratio="t" verticies="t" text="t" shapetype="t"/>
          <v:textbox inset="0,0,0,0">
            <w:txbxContent>
              <w:p w:rsidR="008142C4" w:rsidRDefault="003048D3">
                <w:pPr>
                  <w:spacing w:before="11"/>
                  <w:ind w:left="60"/>
                  <w:rPr>
                    <w:b/>
                  </w:rPr>
                </w:pPr>
                <w:r>
                  <w:rPr>
                    <w:b/>
                    <w:w w:val="110"/>
                  </w:rPr>
                  <w:t>110</w:t>
                </w:r>
              </w:p>
            </w:txbxContent>
          </v:textbox>
          <w10:wrap anchorx="page" anchory="page"/>
        </v:shape>
      </w:pict>
    </w:r>
    <w:r>
      <w:rPr>
        <w:noProof/>
      </w:rPr>
      <w:pict w14:anchorId="1BB26660">
        <v:shape id="Text Box 1153" o:spid="_x0000_s2285" type="#_x0000_t202" style="position:absolute;margin-left:90.6pt;margin-top:32.9pt;width:328.3pt;height:14.2pt;z-index:-25141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" filled="f" stroked="f">
          <o:lock v:ext="edit" aspectratio="t" verticies="t" text="t" shapetype="t"/>
          <v:textbox inset="0,0,0,0">
            <w:txbxContent>
              <w:p w:rsidR="008142C4" w:rsidRDefault="003048D3">
                <w:pPr>
                  <w:spacing w:before="11"/>
                  <w:ind w:left="20"/>
                  <w:rPr>
                    <w:b/>
                  </w:rPr>
                </w:pPr>
                <w:r>
                  <w:rPr>
                    <w:b/>
                    <w:w w:val="110"/>
                  </w:rPr>
                  <w:t>Usually First Diagnosed in Infancy, Childhood, or Adolescence</w:t>
                </w:r>
              </w:p>
            </w:txbxContent>
          </v:textbox>
          <w10:wrap anchorx="page" anchory="page"/>
        </v:shape>
      </w:pic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6A1D88CC">
        <v:shapetype id="_x0000_t202" coordsize="21600,21600" o:spt="202" path="m,l,21600r21600,l21600,xe">
          <v:stroke joinstyle="miter"/>
          <v:path gradientshapeok="t" o:connecttype="rect"/>
        </v:shapetype>
        <v:shape id="Text Box 1149" o:spid="_x0000_s2284" type="#_x0000_t202" style="position:absolute;margin-left:54.7pt;margin-top:32.9pt;width:24.55pt;height:14.2pt;z-index:-25141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" filled="f" stroked="f">
          <o:lock v:ext="edit" aspectratio="t" verticies="t" text="t" shapetype="t"/>
          <v:textbox inset="0,0,0,0">
            <w:txbxContent>
              <w:p w:rsidR="008142C4" w:rsidRDefault="003048D3">
                <w:pPr>
                  <w:spacing w:before="11"/>
                  <w:ind w:left="60"/>
                  <w:rPr>
                    <w:b/>
                  </w:rPr>
                </w:pPr>
                <w:r>
                  <w:fldChar w:fldCharType="begin"/>
                </w:r>
                <w:r>
                  <w:rPr>
                    <w:b/>
                    <w:w w:val="110"/>
                  </w:rPr>
                  <w:instrText xml:space="preserve"> PAGE </w:instrText>
                </w:r>
                <w:r>
                  <w:fldChar w:fldCharType="separate"/>
                </w:r>
                <w:r>
                  <w:t>110</w:t>
                </w:r>
                <w:r>
                  <w:fldChar w:fldCharType="end"/>
                </w:r>
              </w:p>
            </w:txbxContent>
          </v:textbox>
          <w10:wrap anchorx="page" anchory="page"/>
        </v:shape>
      </w:pict>
    </w:r>
    <w:r>
      <w:rPr>
        <w:noProof/>
      </w:rPr>
      <w:pict w14:anchorId="29DAC6B9">
        <v:shape id="Text Box 1148" o:spid="_x0000_s2283" type="#_x0000_t202" style="position:absolute;margin-left:90.6pt;margin-top:32.9pt;width:328.3pt;height:14.2pt;z-index:-25140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" filled="f" stroked="f">
          <o:lock v:ext="edit" aspectratio="t" verticies="t" text="t" shapetype="t"/>
          <v:textbox inset="0,0,0,0">
            <w:txbxContent>
              <w:p w:rsidR="008142C4" w:rsidRDefault="003048D3">
                <w:pPr>
                  <w:spacing w:before="11"/>
                  <w:ind w:left="20"/>
                  <w:rPr>
                    <w:b/>
                  </w:rPr>
                </w:pPr>
                <w:r>
                  <w:rPr>
                    <w:b/>
                    <w:w w:val="110"/>
                  </w:rPr>
                  <w:t>Usually First Diagnosed in Infancy, Childhood, or Adolescence</w:t>
                </w:r>
              </w:p>
            </w:txbxContent>
          </v:textbox>
          <w10:wrap anchorx="page" anchory="page"/>
        </v:shape>
      </w:pic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4FB0220C">
        <v:line id="Line 1152" o:spid="_x0000_s2282" style="position:absolute;z-index:-25141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15pt,50.4pt" to="411.5pt,5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" strokeweight=".16958mm">
          <v:path arrowok="f"/>
          <o:lock v:ext="edit" aspectratio="t" verticies="t"/>
          <w10:wrap anchorx="page" anchory="page"/>
        </v:line>
      </w:pict>
    </w:r>
    <w:r>
      <w:rPr>
        <w:noProof/>
      </w:rPr>
      <w:pict w14:anchorId="4FAB462F">
        <v:shapetype id="_x0000_t202" coordsize="21600,21600" o:spt="202" path="m,l,21600r21600,l21600,xe">
          <v:stroke joinstyle="miter"/>
          <v:path gradientshapeok="t" o:connecttype="rect"/>
        </v:shapetype>
        <v:shape id="Text Box 1151" o:spid="_x0000_s2281" type="#_x0000_t202" style="position:absolute;margin-left:295.1pt;margin-top:34.75pt;width:81.75pt;height:14.2pt;z-index:-25141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" filled="f" stroked="f">
          <o:lock v:ext="edit" aspectratio="t" verticies="t" text="t" shapetype="t"/>
          <v:textbox inset="0,0,0,0">
            <w:txbxContent>
              <w:p w:rsidR="008142C4" w:rsidRDefault="003048D3">
                <w:pPr>
                  <w:spacing w:before="11"/>
                  <w:ind w:left="20"/>
                  <w:rPr>
                    <w:b/>
                  </w:rPr>
                </w:pPr>
                <w:r>
                  <w:rPr>
                    <w:b/>
                    <w:w w:val="110"/>
                  </w:rPr>
                  <w:t>307.6 Enuresis</w:t>
                </w:r>
              </w:p>
            </w:txbxContent>
          </v:textbox>
          <w10:wrap anchorx="page" anchory="page"/>
        </v:shape>
      </w:pict>
    </w:r>
    <w:r>
      <w:rPr>
        <w:noProof/>
      </w:rPr>
      <w:pict w14:anchorId="4BDB276B">
        <v:shape id="Text Box 1150" o:spid="_x0000_s2280" type="#_x0000_t202" style="position:absolute;margin-left:389.25pt;margin-top:34.75pt;width:24.05pt;height:14.2pt;z-index:-25141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" filled="f" stroked="f">
          <o:lock v:ext="edit" aspectratio="t" verticies="t" text="t" shapetype="t"/>
          <v:textbox inset="0,0,0,0">
            <w:txbxContent>
              <w:p w:rsidR="008142C4" w:rsidRDefault="003048D3">
                <w:pPr>
                  <w:spacing w:before="11"/>
                  <w:ind w:left="60"/>
                  <w:rPr>
                    <w:b/>
                  </w:rPr>
                </w:pPr>
                <w:r>
                  <w:fldChar w:fldCharType="begin"/>
                </w:r>
                <w:r>
                  <w:rPr>
                    <w:b/>
                    <w:w w:val="110"/>
                  </w:rPr>
                  <w:instrText xml:space="preserve"> PAGE </w:instrText>
                </w:r>
                <w:r>
                  <w:fldChar w:fldCharType="separate"/>
                </w:r>
                <w:r>
                  <w:t>109</w:t>
                </w:r>
                <w:r>
                  <w:fldChar w:fldCharType="end"/>
                </w:r>
              </w:p>
            </w:txbxContent>
          </v:textbox>
          <w10:wrap anchorx="page" anchory="page"/>
        </v:shape>
      </w:pic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0F15099F">
        <v:shapetype id="_x0000_t202" coordsize="21600,21600" o:spt="202" path="m,l,21600r21600,l21600,xe">
          <v:stroke joinstyle="miter"/>
          <v:path gradientshapeok="t" o:connecttype="rect"/>
        </v:shapetype>
        <v:shape id="Text Box 1144" o:spid="_x0000_s2279" type="#_x0000_t202" style="position:absolute;margin-left:55.15pt;margin-top:32.85pt;width:23.7pt;height:14.2pt;z-index:-25140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" filled="f" stroked="f">
          <o:lock v:ext="edit" aspectratio="t" verticies="t" text="t" shapetype="t"/>
          <v:textbox inset="0,0,0,0">
            <w:txbxContent>
              <w:p w:rsidR="008142C4" w:rsidRDefault="003048D3">
                <w:pPr>
                  <w:spacing w:before="11"/>
                  <w:ind w:left="60"/>
                  <w:rPr>
                    <w:b/>
                  </w:rPr>
                </w:pPr>
                <w:r>
                  <w:fldChar w:fldCharType="begin"/>
                </w:r>
                <w:r>
                  <w:rPr>
                    <w:b/>
                    <w:w w:val="105"/>
                    <w:u w:val="thick"/>
                  </w:rPr>
                  <w:instrText xml:space="preserve"> PAGE </w:instrText>
                </w:r>
                <w:r>
                  <w:fldChar w:fldCharType="separate"/>
                </w:r>
                <w:r>
                  <w:t>112</w:t>
                </w:r>
                <w:r>
                  <w:fldChar w:fldCharType="end"/>
                </w:r>
              </w:p>
            </w:txbxContent>
          </v:textbox>
          <w10:wrap anchorx="page" anchory="page"/>
        </v:shape>
      </w:pict>
    </w:r>
    <w:r>
      <w:rPr>
        <w:noProof/>
      </w:rPr>
      <w:pict w14:anchorId="760D6555">
        <v:shape id="Text Box 1143" o:spid="_x0000_s2278" type="#_x0000_t202" style="position:absolute;margin-left:91.05pt;margin-top:32.85pt;width:328pt;height:14.2pt;z-index:-25140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" filled="f" stroked="f">
          <o:lock v:ext="edit" aspectratio="t" verticies="t" text="t" shapetype="t"/>
          <v:textbox inset="0,0,0,0">
            <w:txbxContent>
              <w:p w:rsidR="008142C4" w:rsidRDefault="003048D3">
                <w:pPr>
                  <w:spacing w:before="11"/>
                  <w:ind w:left="20"/>
                  <w:rPr>
                    <w:b/>
                  </w:rPr>
                </w:pPr>
                <w:r>
                  <w:rPr>
                    <w:b/>
                    <w:w w:val="110"/>
                    <w:u w:val="thick"/>
                  </w:rPr>
                  <w:t xml:space="preserve">Usually First Diagnosed </w:t>
                </w:r>
                <w:r>
                  <w:rPr>
                    <w:b/>
                    <w:w w:val="110"/>
                    <w:sz w:val="21"/>
                    <w:u w:val="thick"/>
                  </w:rPr>
                  <w:t xml:space="preserve">in </w:t>
                </w:r>
                <w:r>
                  <w:rPr>
                    <w:b/>
                    <w:w w:val="110"/>
                    <w:u w:val="thick"/>
                  </w:rPr>
                  <w:t>Infancy, Childhood, or Adolescence</w:t>
                </w:r>
              </w:p>
            </w:txbxContent>
          </v:textbox>
          <w10:wrap anchorx="page" anchory="page"/>
        </v:shape>
      </w:pic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5251A596">
        <v:line id="Line 1147" o:spid="_x0000_s2277" style="position:absolute;z-index:-25140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pt,49.75pt" to="412.45pt,49.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" strokeweight=".16958mm">
          <v:path arrowok="f"/>
          <o:lock v:ext="edit" aspectratio="t" verticies="t"/>
          <w10:wrap anchorx="page" anchory="page"/>
        </v:line>
      </w:pict>
    </w:r>
    <w:r>
      <w:rPr>
        <w:noProof/>
      </w:rPr>
      <w:pict w14:anchorId="1A43A9CF">
        <v:shapetype id="_x0000_t202" coordsize="21600,21600" o:spt="202" path="m,l,21600r21600,l21600,xe">
          <v:stroke joinstyle="miter"/>
          <v:path gradientshapeok="t" o:connecttype="rect"/>
        </v:shapetype>
        <v:shape id="Text Box 1146" o:spid="_x0000_s2276" type="#_x0000_t202" style="position:absolute;margin-left:184.6pt;margin-top:32.95pt;width:192.25pt;height:14.2pt;z-index:-2514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" filled="f" stroked="f">
          <o:lock v:ext="edit" aspectratio="t" verticies="t" text="t" shapetype="t"/>
          <v:textbox inset="0,0,0,0">
            <w:txbxContent>
              <w:p w:rsidR="008142C4" w:rsidRDefault="003048D3">
                <w:pPr>
                  <w:spacing w:before="11"/>
                  <w:ind w:left="20"/>
                  <w:rPr>
                    <w:b/>
                  </w:rPr>
                </w:pPr>
                <w:r>
                  <w:rPr>
                    <w:b/>
                    <w:w w:val="110"/>
                  </w:rPr>
                  <w:t>309.21 Separation Anxiety Disorder</w:t>
                </w:r>
              </w:p>
            </w:txbxContent>
          </v:textbox>
          <w10:wrap anchorx="page" anchory="page"/>
        </v:shape>
      </w:pict>
    </w:r>
    <w:r>
      <w:rPr>
        <w:noProof/>
      </w:rPr>
      <w:pict w14:anchorId="1B91ED84">
        <v:shape id="Text Box 1145" o:spid="_x0000_s2275" type="#_x0000_t202" style="position:absolute;margin-left:389.25pt;margin-top:32.95pt;width:25.65pt;height:15.2pt;z-index:-25140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" filled="f" stroked="f">
          <o:lock v:ext="edit" aspectratio="t" verticies="t" text="t" shapetype="t"/>
          <v:textbox inset="0,0,0,0">
            <w:txbxContent>
              <w:p w:rsidR="008142C4" w:rsidRDefault="003048D3">
                <w:pPr>
                  <w:spacing w:before="11"/>
                  <w:ind w:left="60"/>
                  <w:rPr>
                    <w:b/>
                  </w:rPr>
                </w:pPr>
                <w:r>
                  <w:fldChar w:fldCharType="begin"/>
                </w:r>
                <w:r>
                  <w:rPr>
                    <w:b/>
                    <w:w w:val="110"/>
                  </w:rPr>
                  <w:instrText xml:space="preserve"> PAGE </w:instrText>
                </w:r>
                <w:r>
                  <w:fldChar w:fldCharType="separate"/>
                </w:r>
                <w:r>
                  <w:t>113</w:t>
                </w:r>
                <w:r>
                  <w:fldChar w:fldCharType="end"/>
                </w:r>
              </w:p>
            </w:txbxContent>
          </v:textbox>
          <w10:wrap anchorx="page" anchory="page"/>
        </v:shape>
      </w:pic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732AC8A4">
        <v:line id="Line 1142" o:spid="_x0000_s2274" style="position:absolute;z-index:-25140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25pt,50.25pt" to="411.5pt,50.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" strokeweight=".16958mm">
          <v:path arrowok="f"/>
          <o:lock v:ext="edit" aspectratio="t" verticies="t"/>
          <w10:wrap anchorx="page" anchory="page"/>
        </v:line>
      </w:pict>
    </w:r>
    <w:r>
      <w:rPr>
        <w:noProof/>
      </w:rPr>
      <w:pict w14:anchorId="2BB52F7E">
        <v:shapetype id="_x0000_t202" coordsize="21600,21600" o:spt="202" path="m,l,21600r21600,l21600,xe">
          <v:stroke joinstyle="miter"/>
          <v:path gradientshapeok="t" o:connecttype="rect"/>
        </v:shapetype>
        <v:shape id="Text Box 1141" o:spid="_x0000_s2273" type="#_x0000_t202" style="position:absolute;margin-left:32.55pt;margin-top:34pt;width:24.9pt;height:14.4pt;z-index:-25140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" filled="f" stroked="f">
          <o:lock v:ext="edit" aspectratio="t" verticies="t" text="t" shapetype="t"/>
          <v:textbox inset="0,0,0,0">
            <w:txbxContent>
              <w:p w:rsidR="008142C4" w:rsidRDefault="003048D3">
                <w:pPr>
                  <w:spacing w:before="11"/>
                  <w:ind w:left="60"/>
                  <w:rPr>
                    <w:b/>
                  </w:rPr>
                </w:pPr>
                <w:r>
                  <w:fldChar w:fldCharType="begin"/>
                </w:r>
                <w:r>
                  <w:rPr>
                    <w:b/>
                    <w:w w:val="110"/>
                  </w:rPr>
                  <w:instrText xml:space="preserve"> PAGE </w:instrText>
                </w:r>
                <w:r>
                  <w:fldChar w:fldCharType="separate"/>
                </w:r>
                <w:r>
                  <w:t>118</w:t>
                </w:r>
                <w:r>
                  <w:fldChar w:fldCharType="end"/>
                </w:r>
              </w:p>
            </w:txbxContent>
          </v:textbox>
          <w10:wrap anchorx="page" anchory="page"/>
        </v:shape>
      </w:pict>
    </w:r>
    <w:r>
      <w:rPr>
        <w:noProof/>
      </w:rPr>
      <w:pict w14:anchorId="22C6946A">
        <v:shape id="Text Box 1140" o:spid="_x0000_s2272" type="#_x0000_t202" style="position:absolute;margin-left:68.7pt;margin-top:34pt;width:328.55pt;height:14.2pt;z-index:-25140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" filled="f" stroked="f">
          <o:lock v:ext="edit" aspectratio="t" verticies="t" text="t" shapetype="t"/>
          <v:textbox inset="0,0,0,0">
            <w:txbxContent>
              <w:p w:rsidR="008142C4" w:rsidRDefault="003048D3">
                <w:pPr>
                  <w:spacing w:before="11"/>
                  <w:ind w:left="20"/>
                  <w:rPr>
                    <w:b/>
                  </w:rPr>
                </w:pPr>
                <w:r>
                  <w:rPr>
                    <w:b/>
                    <w:w w:val="110"/>
                  </w:rPr>
                  <w:t xml:space="preserve">Usually First Diagnosed </w:t>
                </w:r>
                <w:r>
                  <w:rPr>
                    <w:b/>
                    <w:w w:val="110"/>
                    <w:sz w:val="21"/>
                  </w:rPr>
                  <w:t xml:space="preserve">in </w:t>
                </w:r>
                <w:r>
                  <w:rPr>
                    <w:b/>
                    <w:w w:val="110"/>
                  </w:rPr>
                  <w:t>Infancy, Childhood, or Adolescence</w:t>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rPr>
        <w:sz w:val="2"/>
      </w:rP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3C043CB1">
        <v:line id="Line 1139" o:spid="_x0000_s2271" style="position:absolute;z-index:-25140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05pt,49pt" to="411.5pt,4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" strokeweight=".25436mm">
          <v:path arrowok="f"/>
          <o:lock v:ext="edit" aspectratio="t" verticies="t"/>
          <w10:wrap anchorx="page" anchory="page"/>
        </v:line>
      </w:pict>
    </w:r>
    <w:r>
      <w:rPr>
        <w:noProof/>
      </w:rPr>
      <w:pict w14:anchorId="4F19556E">
        <v:shapetype id="_x0000_t202" coordsize="21600,21600" o:spt="202" path="m,l,21600r21600,l21600,xe">
          <v:stroke joinstyle="miter"/>
          <v:path gradientshapeok="t" o:connecttype="rect"/>
        </v:shapetype>
        <v:shape id="Text Box 1138" o:spid="_x0000_s2270" type="#_x0000_t202" style="position:absolute;margin-left:227.1pt;margin-top:34.1pt;width:130.15pt;height:13.65pt;z-index:-25139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" filled="f" stroked="f">
          <o:lock v:ext="edit" aspectratio="t" verticies="t" text="t" shapetype="t"/>
          <v:textbox inset="0,0,0,0">
            <w:txbxContent>
              <w:p w:rsidR="008142C4" w:rsidRDefault="003048D3">
                <w:pPr>
                  <w:spacing w:before="11"/>
                  <w:ind w:left="20"/>
                  <w:rPr>
                    <w:b/>
                    <w:sz w:val="21"/>
                  </w:rPr>
                </w:pPr>
                <w:r>
                  <w:rPr>
                    <w:b/>
                    <w:w w:val="115"/>
                    <w:sz w:val="21"/>
                  </w:rPr>
                  <w:t>313.23 Selective Mutism</w:t>
                </w:r>
              </w:p>
            </w:txbxContent>
          </v:textbox>
          <w10:wrap anchorx="page" anchory="page"/>
        </v:shape>
      </w:pict>
    </w:r>
    <w:r>
      <w:rPr>
        <w:noProof/>
      </w:rPr>
      <w:pict w14:anchorId="6401D8F3">
        <v:shape id="Text Box 1137" o:spid="_x0000_s2269" type="#_x0000_t202" style="position:absolute;margin-left:369.45pt;margin-top:34.1pt;width:23.55pt;height:13.65pt;z-index:-25139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" filled="f" stroked="f">
          <o:lock v:ext="edit" aspectratio="t" verticies="t" text="t" shapetype="t"/>
          <v:textbox inset="0,0,0,0">
            <w:txbxContent>
              <w:p w:rsidR="008142C4" w:rsidRDefault="003048D3">
                <w:pPr>
                  <w:spacing w:before="11"/>
                  <w:ind w:left="60"/>
                  <w:rPr>
                    <w:b/>
                    <w:sz w:val="21"/>
                  </w:rPr>
                </w:pPr>
                <w:r>
                  <w:fldChar w:fldCharType="begin"/>
                </w:r>
                <w:r>
                  <w:rPr>
                    <w:b/>
                    <w:w w:val="110"/>
                    <w:sz w:val="21"/>
                  </w:rPr>
                  <w:instrText xml:space="preserve"> PAGE </w:instrText>
                </w:r>
                <w:r>
                  <w:fldChar w:fldCharType="separate"/>
                </w:r>
                <w:r>
                  <w:t>115</w:t>
                </w:r>
                <w:r>
                  <w:fldChar w:fldCharType="end"/>
                </w:r>
              </w:p>
            </w:txbxContent>
          </v:textbox>
          <w10:wrap anchorx="page" anchory="page"/>
        </v:shape>
      </w:pic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079624B6">
        <v:line id="Line 1133" o:spid="_x0000_s2268" style="position:absolute;z-index:-25139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7pt,49.6pt" to="410.95pt,49.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" strokeweight=".16958mm">
          <v:path arrowok="f"/>
          <o:lock v:ext="edit" aspectratio="t" verticies="t"/>
          <w10:wrap anchorx="page" anchory="page"/>
        </v:line>
      </w:pict>
    </w:r>
    <w:r>
      <w:rPr>
        <w:noProof/>
      </w:rPr>
      <w:pict w14:anchorId="25F598DA">
        <v:shapetype id="_x0000_t202" coordsize="21600,21600" o:spt="202" path="m,l,21600r21600,l21600,xe">
          <v:stroke joinstyle="miter"/>
          <v:path gradientshapeok="t" o:connecttype="rect"/>
        </v:shapetype>
        <v:shape id="Text Box 1132" o:spid="_x0000_s2267" type="#_x0000_t202" style="position:absolute;margin-left:53.85pt;margin-top:33pt;width:24.2pt;height:14.2pt;z-index:-25139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" filled="f" stroked="f">
          <o:lock v:ext="edit" aspectratio="t" verticies="t" text="t" shapetype="t"/>
          <v:textbox inset="0,0,0,0">
            <w:txbxContent>
              <w:p w:rsidR="008142C4" w:rsidRDefault="003048D3">
                <w:pPr>
                  <w:spacing w:before="11"/>
                  <w:ind w:left="60"/>
                  <w:rPr>
                    <w:b/>
                  </w:rPr>
                </w:pPr>
                <w:r>
                  <w:fldChar w:fldCharType="begin"/>
                </w:r>
                <w:r>
                  <w:rPr>
                    <w:b/>
                    <w:w w:val="110"/>
                  </w:rPr>
                  <w:instrText xml:space="preserve"> PAGE </w:instrText>
                </w:r>
                <w:r>
                  <w:fldChar w:fldCharType="separate"/>
                </w:r>
                <w:r>
                  <w:t>118</w:t>
                </w:r>
                <w:r>
                  <w:fldChar w:fldCharType="end"/>
                </w:r>
              </w:p>
            </w:txbxContent>
          </v:textbox>
          <w10:wrap anchorx="page" anchory="page"/>
        </v:shape>
      </w:pict>
    </w:r>
    <w:r>
      <w:rPr>
        <w:noProof/>
      </w:rPr>
      <w:pict w14:anchorId="4248DAC3">
        <v:shape id="Text Box 1131" o:spid="_x0000_s2266" type="#_x0000_t202" style="position:absolute;margin-left:90pt;margin-top:33pt;width:328.55pt;height:14.2pt;z-index:-25139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" filled="f" stroked="f">
          <o:lock v:ext="edit" aspectratio="t" verticies="t" text="t" shapetype="t"/>
          <v:textbox inset="0,0,0,0">
            <w:txbxContent>
              <w:p w:rsidR="008142C4" w:rsidRDefault="003048D3">
                <w:pPr>
                  <w:spacing w:before="11"/>
                  <w:ind w:left="20"/>
                  <w:rPr>
                    <w:b/>
                  </w:rPr>
                </w:pPr>
                <w:r>
                  <w:rPr>
                    <w:b/>
                    <w:w w:val="110"/>
                  </w:rPr>
                  <w:t xml:space="preserve">Usually First Diagnosed </w:t>
                </w:r>
                <w:r>
                  <w:rPr>
                    <w:b/>
                    <w:w w:val="110"/>
                    <w:sz w:val="21"/>
                  </w:rPr>
                  <w:t xml:space="preserve">in </w:t>
                </w:r>
                <w:r>
                  <w:rPr>
                    <w:b/>
                    <w:w w:val="110"/>
                  </w:rPr>
                  <w:t>Infancy, Childhood, or Adolescence</w:t>
                </w:r>
              </w:p>
            </w:txbxContent>
          </v:textbox>
          <w10:wrap anchorx="page" anchory="page"/>
        </v:shape>
      </w:pic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3F7AA76F">
        <v:line id="Line 1136" o:spid="_x0000_s2265" style="position:absolute;z-index:-25139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1pt,49.15pt" to="411.5pt,49.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" strokeweight=".16958mm">
          <v:path arrowok="f"/>
          <o:lock v:ext="edit" aspectratio="t" verticies="t"/>
          <w10:wrap anchorx="page" anchory="page"/>
        </v:line>
      </w:pict>
    </w:r>
    <w:r>
      <w:rPr>
        <w:noProof/>
      </w:rPr>
      <w:pict w14:anchorId="61362FFE">
        <v:shapetype id="_x0000_t202" coordsize="21600,21600" o:spt="202" path="m,l,21600r21600,l21600,xe">
          <v:stroke joinstyle="miter"/>
          <v:path gradientshapeok="t" o:connecttype="rect"/>
        </v:shapetype>
        <v:shape id="Text Box 1135" o:spid="_x0000_s2264" type="#_x0000_t202" style="position:absolute;margin-left:184.85pt;margin-top:33.25pt;width:193.55pt;height:14.2pt;z-index:-25139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" filled="f" stroked="f">
          <o:lock v:ext="edit" aspectratio="t" verticies="t" text="t" shapetype="t"/>
          <v:textbox inset="0,0,0,0">
            <w:txbxContent>
              <w:p w:rsidR="008142C4" w:rsidRDefault="003048D3">
                <w:pPr>
                  <w:spacing w:before="11"/>
                  <w:ind w:left="20"/>
                  <w:rPr>
                    <w:b/>
                  </w:rPr>
                </w:pPr>
                <w:r>
                  <w:rPr>
                    <w:b/>
                    <w:w w:val="105"/>
                  </w:rPr>
                  <w:t>313.89 Reactive Attachment Disorder</w:t>
                </w:r>
              </w:p>
            </w:txbxContent>
          </v:textbox>
          <w10:wrap anchorx="page" anchory="page"/>
        </v:shape>
      </w:pict>
    </w:r>
    <w:r>
      <w:rPr>
        <w:noProof/>
      </w:rPr>
      <w:pict w14:anchorId="6DB65FA6">
        <v:shape id="Text Box 1134" o:spid="_x0000_s2263" type="#_x0000_t202" style="position:absolute;margin-left:390.2pt;margin-top:33.25pt;width:23.9pt;height:14.2pt;z-index:-25139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" filled="f" stroked="f">
          <o:lock v:ext="edit" aspectratio="t" verticies="t" text="t" shapetype="t"/>
          <v:textbox inset="0,0,0,0">
            <w:txbxContent>
              <w:p w:rsidR="008142C4" w:rsidRDefault="003048D3">
                <w:pPr>
                  <w:spacing w:before="11"/>
                  <w:ind w:left="60"/>
                  <w:rPr>
                    <w:b/>
                  </w:rPr>
                </w:pPr>
                <w:r>
                  <w:fldChar w:fldCharType="begin"/>
                </w:r>
                <w:r>
                  <w:rPr>
                    <w:b/>
                    <w:w w:val="110"/>
                  </w:rPr>
                  <w:instrText xml:space="preserve"> PAGE </w:instrText>
                </w:r>
                <w:r>
                  <w:fldChar w:fldCharType="separate"/>
                </w:r>
                <w:r>
                  <w:t>117</w:t>
                </w:r>
                <w:r>
                  <w:fldChar w:fldCharType="end"/>
                </w:r>
              </w:p>
            </w:txbxContent>
          </v:textbox>
          <w10:wrap anchorx="page" anchory="page"/>
        </v:shape>
      </w:pic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6A7893F0">
        <v:shapetype id="_x0000_t202" coordsize="21600,21600" o:spt="202" path="m,l,21600r21600,l21600,xe">
          <v:stroke joinstyle="miter"/>
          <v:path gradientshapeok="t" o:connecttype="rect"/>
        </v:shapetype>
        <v:shape id="Text Box 1127" o:spid="_x0000_s2262" type="#_x0000_t202" style="position:absolute;margin-left:56.9pt;margin-top:33.6pt;width:18.6pt;height:13.65pt;z-index:-25138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" filled="f" stroked="f">
          <o:lock v:ext="edit" aspectratio="t" verticies="t" text="t" shapetype="t"/>
          <v:textbox inset="0,0,0,0">
            <w:txbxContent>
              <w:p w:rsidR="008142C4" w:rsidRDefault="003048D3">
                <w:pPr>
                  <w:spacing w:before="11"/>
                  <w:ind w:left="20"/>
                  <w:rPr>
                    <w:b/>
                    <w:sz w:val="21"/>
                  </w:rPr>
                </w:pPr>
                <w:r>
                  <w:rPr>
                    <w:b/>
                    <w:w w:val="105"/>
                    <w:sz w:val="21"/>
                    <w:u w:val="thick"/>
                  </w:rPr>
                  <w:t>120</w:t>
                </w:r>
              </w:p>
            </w:txbxContent>
          </v:textbox>
          <w10:wrap anchorx="page" anchory="page"/>
        </v:shape>
      </w:pict>
    </w:r>
    <w:r>
      <w:rPr>
        <w:noProof/>
      </w:rPr>
      <w:pict w14:anchorId="0126CCF4">
        <v:shape id="Text Box 1126" o:spid="_x0000_s2261" type="#_x0000_t202" style="position:absolute;margin-left:91pt;margin-top:33.6pt;width:328.4pt;height:13.65pt;z-index:-25138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" filled="f" stroked="f">
          <o:lock v:ext="edit" aspectratio="t" verticies="t" text="t" shapetype="t"/>
          <v:textbox inset="0,0,0,0">
            <w:txbxContent>
              <w:p w:rsidR="008142C4" w:rsidRDefault="003048D3">
                <w:pPr>
                  <w:spacing w:before="11"/>
                  <w:ind w:left="20"/>
                  <w:rPr>
                    <w:b/>
                    <w:sz w:val="21"/>
                  </w:rPr>
                </w:pPr>
                <w:r>
                  <w:rPr>
                    <w:b/>
                    <w:w w:val="115"/>
                    <w:sz w:val="21"/>
                    <w:u w:val="thick"/>
                  </w:rPr>
                  <w:t>Usually First Diagnosed in Infancy, Childhood, or Adolescence</w:t>
                </w:r>
              </w:p>
            </w:txbxContent>
          </v:textbox>
          <w10:wrap anchorx="page" anchory="page"/>
        </v:shape>
      </w:pic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68EFA51C">
        <v:line id="Line 1130" o:spid="_x0000_s2260" style="position:absolute;z-index:-25139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pt,49.3pt" to="410.3pt,49.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" strokeweight=".25436mm">
          <v:path arrowok="f"/>
          <o:lock v:ext="edit" aspectratio="t" verticies="t"/>
          <w10:wrap anchorx="page" anchory="page"/>
        </v:line>
      </w:pict>
    </w:r>
    <w:r>
      <w:rPr>
        <w:noProof/>
      </w:rPr>
      <w:pict w14:anchorId="5BE4F3F1">
        <v:shapetype id="_x0000_t202" coordsize="21600,21600" o:spt="202" path="m,l,21600r21600,l21600,xe">
          <v:stroke joinstyle="miter"/>
          <v:path gradientshapeok="t" o:connecttype="rect"/>
        </v:shapetype>
        <v:shape id="Text Box 1129" o:spid="_x0000_s2259" type="#_x0000_t202" style="position:absolute;margin-left:172.6pt;margin-top:33.85pt;width:202.75pt;height:14.2pt;z-index:-25138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" filled="f" stroked="f">
          <o:lock v:ext="edit" aspectratio="t" verticies="t" text="t" shapetype="t"/>
          <v:textbox inset="0,0,0,0">
            <w:txbxContent>
              <w:p w:rsidR="008142C4" w:rsidRDefault="003048D3">
                <w:pPr>
                  <w:spacing w:before="11"/>
                  <w:ind w:left="20"/>
                  <w:rPr>
                    <w:b/>
                  </w:rPr>
                </w:pPr>
                <w:r>
                  <w:rPr>
                    <w:b/>
                    <w:w w:val="110"/>
                  </w:rPr>
                  <w:t>307.3 Stereotypic Movement Disorder</w:t>
                </w:r>
              </w:p>
            </w:txbxContent>
          </v:textbox>
          <w10:wrap anchorx="page" anchory="page"/>
        </v:shape>
      </w:pict>
    </w:r>
    <w:r>
      <w:rPr>
        <w:noProof/>
      </w:rPr>
      <w:pict w14:anchorId="022788DF">
        <v:shape id="Text Box 1128" o:spid="_x0000_s2258" type="#_x0000_t202" style="position:absolute;margin-left:387.8pt;margin-top:33.45pt;width:25.45pt;height:14.6pt;z-index:-25138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" filled="f" stroked="f">
          <o:lock v:ext="edit" aspectratio="t" verticies="t" text="t" shapetype="t"/>
          <v:textbox inset="0,0,0,0">
            <w:txbxContent>
              <w:p w:rsidR="008142C4" w:rsidRDefault="003048D3">
                <w:pPr>
                  <w:spacing w:before="19"/>
                  <w:ind w:left="60"/>
                  <w:rPr>
                    <w:b/>
                  </w:rPr>
                </w:pPr>
                <w:r>
                  <w:fldChar w:fldCharType="begin"/>
                </w:r>
                <w:r>
                  <w:rPr>
                    <w:b/>
                    <w:w w:val="110"/>
                  </w:rPr>
                  <w:instrText xml:space="preserve"> PAGE </w:instrText>
                </w:r>
                <w:r>
                  <w:fldChar w:fldCharType="separate"/>
                </w:r>
                <w:r>
                  <w:t>121</w:t>
                </w:r>
                <w:r>
                  <w:fldChar w:fldCharType="end"/>
                </w:r>
              </w:p>
            </w:txbxContent>
          </v:textbox>
          <w10:wrap anchorx="page" anchory="page"/>
        </v:shape>
      </w:pic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rPr>
        <w:sz w:val="2"/>
      </w:rP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rPr>
        <w:sz w:val="2"/>
      </w:rP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4759951C">
        <v:shapetype id="_x0000_t202" coordsize="21600,21600" o:spt="202" path="m,l,21600r21600,l21600,xe">
          <v:stroke joinstyle="miter"/>
          <v:path gradientshapeok="t" o:connecttype="rect"/>
        </v:shapetype>
        <v:shape id="Text Box 1125" o:spid="_x0000_s2257" type="#_x0000_t202" style="position:absolute;margin-left:33.8pt;margin-top:33.4pt;width:25.05pt;height:15.55pt;z-index:-25138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" filled="f" stroked="f">
          <o:lock v:ext="edit" aspectratio="t" verticies="t" text="t" shapetype="t"/>
          <v:textbox inset="0,0,0,0">
            <w:txbxContent>
              <w:p w:rsidR="008142C4" w:rsidRDefault="003048D3">
                <w:pPr>
                  <w:spacing w:before="11"/>
                  <w:ind w:left="65"/>
                  <w:rPr>
                    <w:b/>
                  </w:rPr>
                </w:pPr>
                <w:r>
                  <w:fldChar w:fldCharType="begin"/>
                </w:r>
                <w:r>
                  <w:rPr>
                    <w:b/>
                    <w:w w:val="105"/>
                  </w:rPr>
                  <w:instrText xml:space="preserve"> PAGE </w:instrText>
                </w:r>
                <w:r>
                  <w:fldChar w:fldCharType="separate"/>
                </w:r>
                <w:r>
                  <w:t>130</w:t>
                </w:r>
                <w:r>
                  <w:fldChar w:fldCharType="end"/>
                </w:r>
              </w:p>
            </w:txbxContent>
          </v:textbox>
          <w10:wrap anchorx="page" anchory="page"/>
        </v:shape>
      </w:pict>
    </w:r>
    <w:r>
      <w:rPr>
        <w:noProof/>
      </w:rPr>
      <w:pict w14:anchorId="5BB3FB93">
        <v:shape id="Text Box 1124" o:spid="_x0000_s2256" type="#_x0000_t202" style="position:absolute;margin-left:69.85pt;margin-top:33.4pt;width:333.55pt;height:14.2pt;z-index:-25138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" filled="f" stroked="f">
          <o:lock v:ext="edit" aspectratio="t" verticies="t" text="t" shapetype="t"/>
          <v:textbox inset="0,0,0,0">
            <w:txbxContent>
              <w:p w:rsidR="008142C4" w:rsidRDefault="003048D3">
                <w:pPr>
                  <w:spacing w:before="11"/>
                  <w:ind w:left="20"/>
                  <w:rPr>
                    <w:b/>
                  </w:rPr>
                </w:pPr>
                <w:r>
                  <w:rPr>
                    <w:b/>
                    <w:w w:val="105"/>
                  </w:rPr>
                  <w:t>Delirium, Dementia, and Amnestic and Other Cognitive</w:t>
                </w:r>
                <w:r>
                  <w:rPr>
                    <w:b/>
                    <w:spacing w:val="51"/>
                    <w:w w:val="105"/>
                  </w:rPr>
                  <w:t xml:space="preserve"> </w:t>
                </w:r>
                <w:r>
                  <w:rPr>
                    <w:b/>
                    <w:w w:val="105"/>
                  </w:rPr>
                  <w:t>Disorders</w:t>
                </w:r>
              </w:p>
            </w:txbxContent>
          </v:textbox>
          <w10:wrap anchorx="page" anchory="page"/>
        </v:shape>
      </w:pic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03BBB4B1">
        <v:line id="Line 1123" o:spid="_x0000_s2255" style="position:absolute;z-index:-25138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7pt,49.1pt" to="412pt,4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" strokeweight=".16961mm">
          <v:path arrowok="f"/>
          <o:lock v:ext="edit" aspectratio="t" verticies="t"/>
          <w10:wrap anchorx="page" anchory="page"/>
        </v:line>
      </w:pict>
    </w:r>
    <w:r>
      <w:rPr>
        <w:noProof/>
      </w:rPr>
      <w:pict w14:anchorId="2299FF3F">
        <v:shapetype id="_x0000_t202" coordsize="21600,21600" o:spt="202" path="m,l,21600r21600,l21600,xe">
          <v:stroke joinstyle="miter"/>
          <v:path gradientshapeok="t" o:connecttype="rect"/>
        </v:shapetype>
        <v:shape id="Text Box 1122" o:spid="_x0000_s2254" type="#_x0000_t202" style="position:absolute;margin-left:328.05pt;margin-top:33.35pt;width:48.95pt;height:14.25pt;z-index:-25138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" filled="f" stroked="f">
          <o:lock v:ext="edit" aspectratio="t" verticies="t" text="t" shapetype="t"/>
          <v:textbox inset="0,0,0,0">
            <w:txbxContent>
              <w:p w:rsidR="008142C4" w:rsidRDefault="003048D3">
                <w:pPr>
                  <w:spacing w:before="11"/>
                  <w:ind w:left="20"/>
                  <w:rPr>
                    <w:b/>
                  </w:rPr>
                </w:pPr>
                <w:r>
                  <w:rPr>
                    <w:b/>
                    <w:w w:val="110"/>
                  </w:rPr>
                  <w:t>Delirium</w:t>
                </w:r>
              </w:p>
            </w:txbxContent>
          </v:textbox>
          <w10:wrap anchorx="page" anchory="page"/>
        </v:shape>
      </w:pict>
    </w:r>
    <w:r>
      <w:rPr>
        <w:noProof/>
      </w:rPr>
      <w:pict w14:anchorId="0AC1E805">
        <v:shape id="Text Box 1121" o:spid="_x0000_s2253" type="#_x0000_t202" style="position:absolute;margin-left:389pt;margin-top:33.35pt;width:25.6pt;height:15.05pt;z-index:-25138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" filled="f" stroked="f">
          <o:lock v:ext="edit" aspectratio="t" verticies="t" text="t" shapetype="t"/>
          <v:textbox inset="0,0,0,0">
            <w:txbxContent>
              <w:p w:rsidR="008142C4" w:rsidRDefault="003048D3">
                <w:pPr>
                  <w:spacing w:before="11"/>
                  <w:ind w:left="60"/>
                  <w:rPr>
                    <w:b/>
                  </w:rPr>
                </w:pPr>
                <w:r>
                  <w:fldChar w:fldCharType="begin"/>
                </w:r>
                <w:r>
                  <w:rPr>
                    <w:b/>
                    <w:w w:val="110"/>
                  </w:rPr>
                  <w:instrText xml:space="preserve"> PAGE </w:instrText>
                </w:r>
                <w:r>
                  <w:fldChar w:fldCharType="separate"/>
                </w:r>
                <w:r>
                  <w:t>127</w:t>
                </w:r>
                <w:r>
                  <w:fldChar w:fldCharType="end"/>
                </w:r>
              </w:p>
            </w:txbxContent>
          </v:textbox>
          <w10:wrap anchorx="page" anchory="page"/>
        </v:shape>
      </w:pic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0D0CCDF0">
        <v:line id="Line 1117" o:spid="_x0000_s2252" style="position:absolute;z-index:-25137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4pt,49.4pt" to="412.6pt,49.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" strokeweight=".16958mm">
          <v:path arrowok="f"/>
          <o:lock v:ext="edit" aspectratio="t" verticies="t"/>
          <w10:wrap anchorx="page" anchory="page"/>
        </v:line>
      </w:pict>
    </w:r>
    <w:r>
      <w:rPr>
        <w:noProof/>
      </w:rPr>
      <w:pict w14:anchorId="1765608A">
        <v:shapetype id="_x0000_t202" coordsize="21600,21600" o:spt="202" path="m,l,21600r21600,l21600,xe">
          <v:stroke joinstyle="miter"/>
          <v:path gradientshapeok="t" o:connecttype="rect"/>
        </v:shapetype>
        <v:shape id="Text Box 1116" o:spid="_x0000_s2251" type="#_x0000_t202" style="position:absolute;margin-left:33.1pt;margin-top:33.45pt;width:26.2pt;height:15.1pt;z-index:-25137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" filled="f" stroked="f">
          <o:lock v:ext="edit" aspectratio="t" verticies="t" text="t" shapetype="t"/>
          <v:textbox inset="0,0,0,0">
            <w:txbxContent>
              <w:p w:rsidR="008142C4" w:rsidRDefault="003048D3">
                <w:pPr>
                  <w:spacing w:before="14"/>
                  <w:ind w:left="86"/>
                  <w:rPr>
                    <w:b/>
                    <w:sz w:val="21"/>
                  </w:rPr>
                </w:pPr>
                <w:r>
                  <w:fldChar w:fldCharType="begin"/>
                </w:r>
                <w:r>
                  <w:rPr>
                    <w:b/>
                    <w:w w:val="115"/>
                    <w:sz w:val="21"/>
                  </w:rPr>
                  <w:instrText xml:space="preserve"> PAGE </w:instrText>
                </w:r>
                <w:r>
                  <w:fldChar w:fldCharType="separate"/>
                </w:r>
                <w:r>
                  <w:t>138</w:t>
                </w:r>
                <w:r>
                  <w:fldChar w:fldCharType="end"/>
                </w:r>
              </w:p>
            </w:txbxContent>
          </v:textbox>
          <w10:wrap anchorx="page" anchory="page"/>
        </v:shape>
      </w:pict>
    </w:r>
    <w:r>
      <w:rPr>
        <w:noProof/>
      </w:rPr>
      <w:pict w14:anchorId="1F8BF8C5">
        <v:shape id="Text Box 1115" o:spid="_x0000_s2250" type="#_x0000_t202" style="position:absolute;margin-left:70pt;margin-top:33.6pt;width:334.2pt;height:13.65pt;z-index:-25137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" filled="f" stroked="f">
          <o:lock v:ext="edit" aspectratio="t" verticies="t" text="t" shapetype="t"/>
          <v:textbox inset="0,0,0,0">
            <w:txbxContent>
              <w:p w:rsidR="008142C4" w:rsidRDefault="003048D3">
                <w:pPr>
                  <w:spacing w:before="11"/>
                  <w:ind w:left="20"/>
                  <w:rPr>
                    <w:b/>
                    <w:sz w:val="21"/>
                  </w:rPr>
                </w:pPr>
                <w:r>
                  <w:rPr>
                    <w:b/>
                    <w:w w:val="110"/>
                    <w:sz w:val="21"/>
                  </w:rPr>
                  <w:t>Delirium, Dementia, and Amnestic and Other Cognitive Disorders</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12B5459C">
        <v:line id="Line 1376" o:spid="_x0000_s2508"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15pt,49.8pt" to="412.45pt,49.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" strokeweight=".16961mm">
          <v:path arrowok="f"/>
          <o:lock v:ext="edit" aspectratio="t" verticies="t"/>
          <w10:wrap anchorx="page" anchory="page"/>
        </v:line>
      </w:pict>
    </w:r>
    <w:r>
      <w:rPr>
        <w:noProof/>
      </w:rPr>
      <w:pict w14:anchorId="2F07DC26">
        <v:shapetype id="_x0000_t202" coordsize="21600,21600" o:spt="202" path="m,l,21600r21600,l21600,xe">
          <v:stroke joinstyle="miter"/>
          <v:path gradientshapeok="t" o:connecttype="rect"/>
        </v:shapetype>
        <v:shape id="Text Box 1375" o:spid="_x0000_s2507" type="#_x0000_t202" style="position:absolute;margin-left:36.4pt;margin-top:33.7pt;width:13.65pt;height:14.2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" filled="f" stroked="f">
          <o:lock v:ext="edit" aspectratio="t" verticies="t" text="t" shapetype="t"/>
          <v:textbox inset="0,0,0,0">
            <w:txbxContent>
              <w:p w:rsidR="008142C4" w:rsidRDefault="003048D3">
                <w:pPr>
                  <w:spacing w:before="11"/>
                  <w:ind w:left="20"/>
                  <w:rPr>
                    <w:b/>
                  </w:rPr>
                </w:pPr>
                <w:r>
                  <w:rPr>
                    <w:b/>
                  </w:rPr>
                  <w:t>xii</w:t>
                </w:r>
              </w:p>
            </w:txbxContent>
          </v:textbox>
          <w10:wrap anchorx="page" anchory="page"/>
        </v:shape>
      </w:pict>
    </w:r>
    <w:r>
      <w:rPr>
        <w:noProof/>
      </w:rPr>
      <w:pict w14:anchorId="70F6D9DE">
        <v:shape id="Text Box 1374" o:spid="_x0000_s2506" type="#_x0000_t202" style="position:absolute;margin-left:66pt;margin-top:34.9pt;width:113.7pt;height:12.6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" filled="f" stroked="f">
          <o:lock v:ext="edit" aspectratio="t" verticies="t" text="t" shapetype="t"/>
          <v:textbox inset="0,0,0,0">
            <w:txbxContent>
              <w:p w:rsidR="008142C4" w:rsidRDefault="003048D3">
                <w:pPr>
                  <w:spacing w:before="14"/>
                  <w:ind w:left="20"/>
                  <w:rPr>
                    <w:rFonts w:ascii="Arial"/>
                    <w:b/>
                    <w:sz w:val="19"/>
                  </w:rPr>
                </w:pPr>
                <w:r>
                  <w:rPr>
                    <w:rFonts w:ascii="Arial"/>
                    <w:b/>
                    <w:w w:val="115"/>
                    <w:sz w:val="19"/>
                  </w:rPr>
                  <w:t>DSM-IV Work Groups</w:t>
                </w:r>
              </w:p>
            </w:txbxContent>
          </v:textbox>
          <w10:wrap anchorx="page" anchory="page"/>
        </v:shape>
      </w:pic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4F15A9C0">
        <v:line id="Line 1120" o:spid="_x0000_s2249" style="position:absolute;z-index:-25138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55pt,48.8pt" to="410.8pt,48.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" strokeweight=".16956mm">
          <v:path arrowok="f"/>
          <o:lock v:ext="edit" aspectratio="t" verticies="t"/>
          <w10:wrap anchorx="page" anchory="page"/>
        </v:line>
      </w:pict>
    </w:r>
    <w:r>
      <w:rPr>
        <w:noProof/>
      </w:rPr>
      <w:pict w14:anchorId="75EB3E2B">
        <v:shapetype id="_x0000_t202" coordsize="21600,21600" o:spt="202" path="m,l,21600r21600,l21600,xe">
          <v:stroke joinstyle="miter"/>
          <v:path gradientshapeok="t" o:connecttype="rect"/>
        </v:shapetype>
        <v:shape id="Text Box 1119" o:spid="_x0000_s2248" type="#_x0000_t202" style="position:absolute;margin-left:323.95pt;margin-top:32.1pt;width:51.75pt;height:14.8pt;z-index:-25137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" filled="f" stroked="f">
          <o:lock v:ext="edit" aspectratio="t" verticies="t" text="t" shapetype="t"/>
          <v:textbox inset="0,0,0,0">
            <w:txbxContent>
              <w:p w:rsidR="008142C4" w:rsidRDefault="003048D3">
                <w:pPr>
                  <w:spacing w:before="10"/>
                  <w:ind w:left="20"/>
                  <w:rPr>
                    <w:b/>
                    <w:sz w:val="23"/>
                  </w:rPr>
                </w:pPr>
                <w:r>
                  <w:rPr>
                    <w:b/>
                    <w:w w:val="105"/>
                    <w:sz w:val="23"/>
                  </w:rPr>
                  <w:t>Dementia</w:t>
                </w:r>
              </w:p>
            </w:txbxContent>
          </v:textbox>
          <w10:wrap anchorx="page" anchory="page"/>
        </v:shape>
      </w:pict>
    </w:r>
    <w:r>
      <w:rPr>
        <w:noProof/>
      </w:rPr>
      <w:pict w14:anchorId="5CF9E61D">
        <v:shape id="Text Box 1118" o:spid="_x0000_s2247" type="#_x0000_t202" style="position:absolute;margin-left:388.25pt;margin-top:31.8pt;width:26.05pt;height:16.9pt;z-index:-25137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" filled="f" stroked="f">
          <o:lock v:ext="edit" aspectratio="t" verticies="t" text="t" shapetype="t"/>
          <v:textbox inset="0,0,0,0">
            <w:txbxContent>
              <w:p w:rsidR="008142C4" w:rsidRDefault="003048D3">
                <w:pPr>
                  <w:spacing w:before="16"/>
                  <w:ind w:left="60"/>
                  <w:rPr>
                    <w:b/>
                    <w:sz w:val="23"/>
                  </w:rPr>
                </w:pPr>
                <w:r>
                  <w:fldChar w:fldCharType="begin"/>
                </w:r>
                <w:r>
                  <w:rPr>
                    <w:b/>
                    <w:w w:val="105"/>
                    <w:sz w:val="23"/>
                  </w:rPr>
                  <w:instrText xml:space="preserve"> PAGE </w:instrText>
                </w:r>
                <w:r>
                  <w:fldChar w:fldCharType="separate"/>
                </w:r>
                <w:r>
                  <w:t>155</w:t>
                </w:r>
                <w:r>
                  <w:fldChar w:fldCharType="end"/>
                </w:r>
              </w:p>
            </w:txbxContent>
          </v:textbox>
          <w10:wrap anchorx="page" anchory="page"/>
        </v:shape>
      </w:pic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58ED4612">
        <v:shapetype id="_x0000_t202" coordsize="21600,21600" o:spt="202" path="m,l,21600r21600,l21600,xe">
          <v:stroke joinstyle="miter"/>
          <v:path gradientshapeok="t" o:connecttype="rect"/>
        </v:shapetype>
        <v:shape id="Text Box 1114" o:spid="_x0000_s2246" type="#_x0000_t202" style="position:absolute;margin-left:33.8pt;margin-top:34.3pt;width:23.8pt;height:14.2pt;z-index:-25137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" filled="f" stroked="f">
          <o:lock v:ext="edit" aspectratio="t" verticies="t" text="t" shapetype="t"/>
          <v:textbox inset="0,0,0,0">
            <w:txbxContent>
              <w:p w:rsidR="008142C4" w:rsidRDefault="003048D3">
                <w:pPr>
                  <w:spacing w:before="11"/>
                  <w:ind w:left="60"/>
                  <w:rPr>
                    <w:b/>
                  </w:rPr>
                </w:pPr>
                <w:r>
                  <w:fldChar w:fldCharType="begin"/>
                </w:r>
                <w:r>
                  <w:rPr>
                    <w:b/>
                    <w:w w:val="105"/>
                    <w:u w:val="thick"/>
                  </w:rPr>
                  <w:instrText xml:space="preserve"> PAGE </w:instrText>
                </w:r>
                <w:r>
                  <w:fldChar w:fldCharType="separate"/>
                </w:r>
                <w:r>
                  <w:t>148</w:t>
                </w:r>
                <w:r>
                  <w:fldChar w:fldCharType="end"/>
                </w:r>
              </w:p>
            </w:txbxContent>
          </v:textbox>
          <w10:wrap anchorx="page" anchory="page"/>
        </v:shape>
      </w:pict>
    </w:r>
    <w:r>
      <w:rPr>
        <w:noProof/>
      </w:rPr>
      <w:pict w14:anchorId="69E6F074">
        <v:shape id="Text Box 1113" o:spid="_x0000_s2245" type="#_x0000_t202" style="position:absolute;margin-left:69.55pt;margin-top:34.3pt;width:333.55pt;height:14.2pt;z-index:-25137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" filled="f" stroked="f">
          <o:lock v:ext="edit" aspectratio="t" verticies="t" text="t" shapetype="t"/>
          <v:textbox inset="0,0,0,0">
            <w:txbxContent>
              <w:p w:rsidR="008142C4" w:rsidRDefault="003048D3">
                <w:pPr>
                  <w:spacing w:before="11"/>
                  <w:ind w:left="20"/>
                  <w:rPr>
                    <w:b/>
                  </w:rPr>
                </w:pPr>
                <w:r>
                  <w:rPr>
                    <w:b/>
                    <w:w w:val="105"/>
                    <w:u w:val="thick"/>
                  </w:rPr>
                  <w:t>Delirium, Dementia, and Amnestic and Other Cognitive Disorders</w:t>
                </w:r>
              </w:p>
            </w:txbxContent>
          </v:textbox>
          <w10:wrap anchorx="page" anchory="page"/>
        </v:shape>
      </w:pic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4E0A190E">
        <v:line id="Line 1112" o:spid="_x0000_s2244" style="position:absolute;z-index:-25137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1pt,49.5pt" to="410.55pt,4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" strokeweight=".25428mm">
          <v:path arrowok="f"/>
          <o:lock v:ext="edit" aspectratio="t" verticies="t"/>
          <w10:wrap anchorx="page" anchory="page"/>
        </v:line>
      </w:pict>
    </w:r>
    <w:r>
      <w:rPr>
        <w:noProof/>
      </w:rPr>
      <w:pict w14:anchorId="70CBD86E">
        <v:shapetype id="_x0000_t202" coordsize="21600,21600" o:spt="202" path="m,l,21600r21600,l21600,xe">
          <v:stroke joinstyle="miter"/>
          <v:path gradientshapeok="t" o:connecttype="rect"/>
        </v:shapetype>
        <v:shape id="Text Box 1111" o:spid="_x0000_s2243" type="#_x0000_t202" style="position:absolute;margin-left:324.45pt;margin-top:34.05pt;width:52.2pt;height:13.65pt;z-index:-25137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" filled="f" stroked="f">
          <o:lock v:ext="edit" aspectratio="t" verticies="t" text="t" shapetype="t"/>
          <v:textbox inset="0,0,0,0">
            <w:txbxContent>
              <w:p w:rsidR="008142C4" w:rsidRDefault="003048D3">
                <w:pPr>
                  <w:spacing w:before="11"/>
                  <w:ind w:left="20"/>
                  <w:rPr>
                    <w:b/>
                    <w:sz w:val="21"/>
                  </w:rPr>
                </w:pPr>
                <w:r>
                  <w:rPr>
                    <w:b/>
                    <w:w w:val="115"/>
                    <w:sz w:val="21"/>
                  </w:rPr>
                  <w:t>Dementia</w:t>
                </w:r>
              </w:p>
            </w:txbxContent>
          </v:textbox>
          <w10:wrap anchorx="page" anchory="page"/>
        </v:shape>
      </w:pict>
    </w:r>
    <w:r>
      <w:rPr>
        <w:noProof/>
      </w:rPr>
      <w:pict w14:anchorId="3AE1979B">
        <v:shape id="Text Box 1110" o:spid="_x0000_s2242" type="#_x0000_t202" style="position:absolute;margin-left:388.85pt;margin-top:34.5pt;width:23.95pt;height:13.1pt;z-index:-25137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" filled="f" stroked="f">
          <o:lock v:ext="edit" aspectratio="t" verticies="t" text="t" shapetype="t"/>
          <v:textbox inset="0,0,0,0">
            <w:txbxContent>
              <w:p w:rsidR="008142C4" w:rsidRDefault="003048D3">
                <w:pPr>
                  <w:spacing w:before="11"/>
                  <w:ind w:left="60"/>
                  <w:rPr>
                    <w:b/>
                    <w:sz w:val="20"/>
                  </w:rPr>
                </w:pPr>
                <w:r>
                  <w:fldChar w:fldCharType="begin"/>
                </w:r>
                <w:r>
                  <w:rPr>
                    <w:b/>
                    <w:w w:val="115"/>
                    <w:sz w:val="20"/>
                  </w:rPr>
                  <w:instrText xml:space="preserve"> PAGE </w:instrText>
                </w:r>
                <w:r>
                  <w:fldChar w:fldCharType="separate"/>
                </w:r>
                <w:r>
                  <w:t>147</w:t>
                </w:r>
                <w:r>
                  <w:fldChar w:fldCharType="end"/>
                </w:r>
              </w:p>
            </w:txbxContent>
          </v:textbox>
          <w10:wrap anchorx="page" anchory="page"/>
        </v:shape>
      </w:pic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609C5DE5">
        <v:line id="Line 1109" o:spid="_x0000_s2241" style="position:absolute;z-index:-25136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2pt,49.4pt" to="411.45pt,49.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" strokeweight=".16958mm">
          <v:path arrowok="f"/>
          <o:lock v:ext="edit" aspectratio="t" verticies="t"/>
          <w10:wrap anchorx="page" anchory="page"/>
        </v:line>
      </w:pict>
    </w:r>
    <w:r>
      <w:rPr>
        <w:noProof/>
      </w:rPr>
      <w:pict w14:anchorId="317ED53C">
        <v:shapetype id="_x0000_t202" coordsize="21600,21600" o:spt="202" path="m,l,21600r21600,l21600,xe">
          <v:stroke joinstyle="miter"/>
          <v:path gradientshapeok="t" o:connecttype="rect"/>
        </v:shapetype>
        <v:shape id="Text Box 1108" o:spid="_x0000_s2240" type="#_x0000_t202" style="position:absolute;margin-left:34.65pt;margin-top:33.3pt;width:24.6pt;height:15.9pt;z-index:-25136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" filled="f" stroked="f">
          <o:lock v:ext="edit" aspectratio="t" verticies="t" text="t" shapetype="t"/>
          <v:textbox inset="0,0,0,0">
            <w:txbxContent>
              <w:p w:rsidR="008142C4" w:rsidRDefault="003048D3">
                <w:pPr>
                  <w:spacing w:before="17"/>
                  <w:ind w:left="60"/>
                  <w:rPr>
                    <w:b/>
                  </w:rPr>
                </w:pPr>
                <w:r>
                  <w:fldChar w:fldCharType="begin"/>
                </w:r>
                <w:r>
                  <w:rPr>
                    <w:b/>
                    <w:w w:val="110"/>
                  </w:rPr>
                  <w:instrText xml:space="preserve"> PAGE </w:instrText>
                </w:r>
                <w:r>
                  <w:fldChar w:fldCharType="separate"/>
                </w:r>
                <w:r>
                  <w:t>152</w:t>
                </w:r>
                <w:r>
                  <w:fldChar w:fldCharType="end"/>
                </w:r>
              </w:p>
            </w:txbxContent>
          </v:textbox>
          <w10:wrap anchorx="page" anchory="page"/>
        </v:shape>
      </w:pict>
    </w:r>
    <w:r>
      <w:rPr>
        <w:noProof/>
      </w:rPr>
      <w:pict w14:anchorId="5000106F">
        <v:shape id="Text Box 1107" o:spid="_x0000_s2239" type="#_x0000_t202" style="position:absolute;margin-left:70.2pt;margin-top:33.65pt;width:334.25pt;height:14.2pt;z-index:-25136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" filled="f" stroked="f">
          <o:lock v:ext="edit" aspectratio="t" verticies="t" text="t" shapetype="t"/>
          <v:textbox inset="0,0,0,0">
            <w:txbxContent>
              <w:p w:rsidR="008142C4" w:rsidRDefault="003048D3">
                <w:pPr>
                  <w:spacing w:before="11"/>
                  <w:ind w:left="20"/>
                  <w:rPr>
                    <w:b/>
                  </w:rPr>
                </w:pPr>
                <w:r>
                  <w:rPr>
                    <w:b/>
                    <w:w w:val="105"/>
                  </w:rPr>
                  <w:t>Delirium, Dementia, and Amnestic and Other Cognitive Disorders</w:t>
                </w:r>
              </w:p>
            </w:txbxContent>
          </v:textbox>
          <w10:wrap anchorx="page" anchory="page"/>
        </v:shape>
      </w:pic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121F4F10">
        <v:line id="Line 1106" o:spid="_x0000_s2238" style="position:absolute;z-index:-25136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15pt,48.9pt" to="411.5pt,48.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" strokeweight=".16958mm">
          <v:path arrowok="f"/>
          <o:lock v:ext="edit" aspectratio="t" verticies="t"/>
          <w10:wrap anchorx="page" anchory="page"/>
        </v:line>
      </w:pict>
    </w:r>
    <w:r>
      <w:rPr>
        <w:noProof/>
      </w:rPr>
      <w:pict w14:anchorId="7F05784A">
        <v:shapetype id="_x0000_t202" coordsize="21600,21600" o:spt="202" path="m,l,21600r21600,l21600,xe">
          <v:stroke joinstyle="miter"/>
          <v:path gradientshapeok="t" o:connecttype="rect"/>
        </v:shapetype>
        <v:shape id="Text Box 1105" o:spid="_x0000_s2237" type="#_x0000_t202" style="position:absolute;margin-left:325.2pt;margin-top:33.75pt;width:52.3pt;height:14.2pt;z-index:-25136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" filled="f" stroked="f">
          <o:lock v:ext="edit" aspectratio="t" verticies="t" text="t" shapetype="t"/>
          <v:textbox inset="0,0,0,0">
            <w:txbxContent>
              <w:p w:rsidR="008142C4" w:rsidRDefault="003048D3">
                <w:pPr>
                  <w:spacing w:before="11"/>
                  <w:ind w:left="20"/>
                  <w:rPr>
                    <w:b/>
                  </w:rPr>
                </w:pPr>
                <w:r>
                  <w:rPr>
                    <w:b/>
                    <w:w w:val="110"/>
                  </w:rPr>
                  <w:t>Dementia</w:t>
                </w:r>
              </w:p>
            </w:txbxContent>
          </v:textbox>
          <w10:wrap anchorx="page" anchory="page"/>
        </v:shape>
      </w:pict>
    </w:r>
    <w:r>
      <w:rPr>
        <w:noProof/>
      </w:rPr>
      <w:pict w14:anchorId="6A0A5871">
        <v:shape id="Text Box 1104" o:spid="_x0000_s2236" type="#_x0000_t202" style="position:absolute;margin-left:389.5pt;margin-top:33.75pt;width:24.4pt;height:14.2pt;z-index:-25136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" filled="f" stroked="f">
          <o:lock v:ext="edit" aspectratio="t" verticies="t" text="t" shapetype="t"/>
          <v:textbox inset="0,0,0,0">
            <w:txbxContent>
              <w:p w:rsidR="008142C4" w:rsidRDefault="003048D3">
                <w:pPr>
                  <w:spacing w:before="11"/>
                  <w:ind w:left="60"/>
                  <w:rPr>
                    <w:b/>
                  </w:rPr>
                </w:pPr>
                <w:r>
                  <w:fldChar w:fldCharType="begin"/>
                </w:r>
                <w:r>
                  <w:rPr>
                    <w:b/>
                    <w:w w:val="110"/>
                  </w:rPr>
                  <w:instrText xml:space="preserve"> PAGE </w:instrText>
                </w:r>
                <w:r>
                  <w:fldChar w:fldCharType="separate"/>
                </w:r>
                <w:r>
                  <w:t>151</w:t>
                </w:r>
                <w:r>
                  <w:fldChar w:fldCharType="end"/>
                </w:r>
              </w:p>
            </w:txbxContent>
          </v:textbox>
          <w10:wrap anchorx="page" anchory="page"/>
        </v:shape>
      </w:pic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4ACC53FE">
        <v:shapetype id="_x0000_t202" coordsize="21600,21600" o:spt="202" path="m,l,21600r21600,l21600,xe">
          <v:stroke joinstyle="miter"/>
          <v:path gradientshapeok="t" o:connecttype="rect"/>
        </v:shapetype>
        <v:shape id="Text Box 1100" o:spid="_x0000_s2235" type="#_x0000_t202" style="position:absolute;margin-left:34.75pt;margin-top:33.4pt;width:24.6pt;height:15.7pt;z-index:-25136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" filled="f" stroked="f">
          <o:lock v:ext="edit" aspectratio="t" verticies="t" text="t" shapetype="t"/>
          <v:textbox inset="0,0,0,0">
            <w:txbxContent>
              <w:p w:rsidR="008142C4" w:rsidRDefault="003048D3">
                <w:pPr>
                  <w:spacing w:before="40"/>
                  <w:ind w:left="67"/>
                  <w:rPr>
                    <w:b/>
                  </w:rPr>
                </w:pPr>
                <w:r>
                  <w:fldChar w:fldCharType="begin"/>
                </w:r>
                <w:r>
                  <w:rPr>
                    <w:b/>
                    <w:w w:val="110"/>
                    <w:u w:val="thick"/>
                  </w:rPr>
                  <w:instrText xml:space="preserve"> PAGE </w:instrText>
                </w:r>
                <w:r>
                  <w:fldChar w:fldCharType="separate"/>
                </w:r>
                <w:r>
                  <w:t>160</w:t>
                </w:r>
                <w:r>
                  <w:fldChar w:fldCharType="end"/>
                </w:r>
              </w:p>
            </w:txbxContent>
          </v:textbox>
          <w10:wrap anchorx="page" anchory="page"/>
        </v:shape>
      </w:pict>
    </w:r>
    <w:r>
      <w:rPr>
        <w:noProof/>
      </w:rPr>
      <w:pict w14:anchorId="78D55123">
        <v:shape id="Text Box 1099" o:spid="_x0000_s2234" type="#_x0000_t202" style="position:absolute;margin-left:70.7pt;margin-top:34.85pt;width:334.25pt;height:14.2pt;z-index:-25135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" filled="f" stroked="f">
          <o:lock v:ext="edit" aspectratio="t" verticies="t" text="t" shapetype="t"/>
          <v:textbox inset="0,0,0,0">
            <w:txbxContent>
              <w:p w:rsidR="008142C4" w:rsidRDefault="003048D3">
                <w:pPr>
                  <w:spacing w:before="11"/>
                  <w:ind w:left="20"/>
                  <w:rPr>
                    <w:b/>
                  </w:rPr>
                </w:pPr>
                <w:r>
                  <w:rPr>
                    <w:b/>
                    <w:w w:val="105"/>
                    <w:u w:val="thick"/>
                  </w:rPr>
                  <w:t>Delirium, Dementia, and Amnestic and Other Cognitive Disorders</w:t>
                </w:r>
              </w:p>
            </w:txbxContent>
          </v:textbox>
          <w10:wrap anchorx="page" anchory="page"/>
        </v:shape>
      </w:pic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49B7108D">
        <v:line id="Line 1103" o:spid="_x0000_s2233" style="position:absolute;z-index:-25136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05pt,48.95pt" to="412.45pt,48.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" strokeweight=".16958mm">
          <v:path arrowok="f"/>
          <o:lock v:ext="edit" aspectratio="t" verticies="t"/>
          <w10:wrap anchorx="page" anchory="page"/>
        </v:line>
      </w:pict>
    </w:r>
    <w:r>
      <w:rPr>
        <w:noProof/>
      </w:rPr>
      <w:pict w14:anchorId="47DE5EC4">
        <v:shapetype id="_x0000_t202" coordsize="21600,21600" o:spt="202" path="m,l,21600r21600,l21600,xe">
          <v:stroke joinstyle="miter"/>
          <v:path gradientshapeok="t" o:connecttype="rect"/>
        </v:shapetype>
        <v:shape id="Text Box 1102" o:spid="_x0000_s2232" type="#_x0000_t202" style="position:absolute;margin-left:273.25pt;margin-top:33.1pt;width:104.45pt;height:14.2pt;z-index:-25136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" filled="f" stroked="f">
          <o:lock v:ext="edit" aspectratio="t" verticies="t" text="t" shapetype="t"/>
          <v:textbox inset="0,0,0,0">
            <w:txbxContent>
              <w:p w:rsidR="008142C4" w:rsidRDefault="003048D3">
                <w:pPr>
                  <w:spacing w:before="11"/>
                  <w:ind w:left="20"/>
                  <w:rPr>
                    <w:b/>
                  </w:rPr>
                </w:pPr>
                <w:r>
                  <w:rPr>
                    <w:b/>
                    <w:w w:val="110"/>
                  </w:rPr>
                  <w:t>Amnestic Disorders</w:t>
                </w:r>
              </w:p>
            </w:txbxContent>
          </v:textbox>
          <w10:wrap anchorx="page" anchory="page"/>
        </v:shape>
      </w:pict>
    </w:r>
    <w:r>
      <w:rPr>
        <w:noProof/>
      </w:rPr>
      <w:pict w14:anchorId="77C6D940">
        <v:shape id="Text Box 1101" o:spid="_x0000_s2231" type="#_x0000_t202" style="position:absolute;margin-left:389.25pt;margin-top:33.1pt;width:25.45pt;height:14.55pt;z-index:-25136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" filled="f" stroked="f">
          <o:lock v:ext="edit" aspectratio="t" verticies="t" text="t" shapetype="t"/>
          <v:textbox inset="0,0,0,0">
            <w:txbxContent>
              <w:p w:rsidR="008142C4" w:rsidRDefault="003048D3">
                <w:pPr>
                  <w:spacing w:before="11"/>
                  <w:ind w:left="84"/>
                  <w:rPr>
                    <w:b/>
                  </w:rPr>
                </w:pPr>
                <w:r>
                  <w:fldChar w:fldCharType="begin"/>
                </w:r>
                <w:r>
                  <w:rPr>
                    <w:b/>
                    <w:w w:val="110"/>
                  </w:rPr>
                  <w:instrText xml:space="preserve"> PAGE </w:instrText>
                </w:r>
                <w:r>
                  <w:fldChar w:fldCharType="separate"/>
                </w:r>
                <w:r>
                  <w:t>157</w:t>
                </w:r>
                <w:r>
                  <w:fldChar w:fldCharType="end"/>
                </w:r>
              </w:p>
            </w:txbxContent>
          </v:textbox>
          <w10:wrap anchorx="page" anchory="page"/>
        </v:shape>
      </w:pic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245A21E5">
        <v:shapetype id="_x0000_t202" coordsize="21600,21600" o:spt="202" path="m,l,21600r21600,l21600,xe">
          <v:stroke joinstyle="miter"/>
          <v:path gradientshapeok="t" o:connecttype="rect"/>
        </v:shapetype>
        <v:shape id="Text Box 1098" o:spid="_x0000_s2230" type="#_x0000_t202" style="position:absolute;margin-left:33.9pt;margin-top:33.8pt;width:23.2pt;height:14.2pt;z-index:-25135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" filled="f" stroked="f">
          <o:lock v:ext="edit" aspectratio="t" verticies="t" text="t" shapetype="t"/>
          <v:textbox inset="0,0,0,0">
            <w:txbxContent>
              <w:p w:rsidR="008142C4" w:rsidRDefault="003048D3">
                <w:pPr>
                  <w:spacing w:before="11"/>
                  <w:ind w:left="60"/>
                  <w:rPr>
                    <w:b/>
                  </w:rPr>
                </w:pPr>
                <w:r>
                  <w:fldChar w:fldCharType="begin"/>
                </w:r>
                <w:r>
                  <w:rPr>
                    <w:b/>
                    <w:w w:val="105"/>
                  </w:rPr>
                  <w:instrText xml:space="preserve"> PAGE </w:instrText>
                </w:r>
                <w:r>
                  <w:fldChar w:fldCharType="separate"/>
                </w:r>
                <w:r>
                  <w:t>162</w:t>
                </w:r>
                <w:r>
                  <w:fldChar w:fldCharType="end"/>
                </w:r>
              </w:p>
            </w:txbxContent>
          </v:textbox>
          <w10:wrap anchorx="page" anchory="page"/>
        </v:shape>
      </w:pict>
    </w:r>
    <w:r>
      <w:rPr>
        <w:noProof/>
      </w:rPr>
      <w:pict w14:anchorId="07939734">
        <v:shape id="Text Box 1097" o:spid="_x0000_s2229" type="#_x0000_t202" style="position:absolute;margin-left:69.2pt;margin-top:33.8pt;width:334pt;height:14.2pt;z-index:-25135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" filled="f" stroked="f">
          <o:lock v:ext="edit" aspectratio="t" verticies="t" text="t" shapetype="t"/>
          <v:textbox inset="0,0,0,0">
            <w:txbxContent>
              <w:p w:rsidR="008142C4" w:rsidRDefault="003048D3">
                <w:pPr>
                  <w:spacing w:before="11"/>
                  <w:ind w:left="20"/>
                  <w:rPr>
                    <w:b/>
                  </w:rPr>
                </w:pPr>
                <w:r>
                  <w:rPr>
                    <w:b/>
                    <w:w w:val="105"/>
                  </w:rPr>
                  <w:t>Delirium, Dementia, and Am.nestle and Other Cognitive Disorders</w:t>
                </w:r>
              </w:p>
            </w:txbxContent>
          </v:textbox>
          <w10:wrap anchorx="page" anchory="page"/>
        </v:shape>
      </w:pic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143F2BBC">
        <v:line id="Line 1096" o:spid="_x0000_s2228" style="position:absolute;z-index:-25135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pt,50pt" to="409.85pt,50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" strokeweight=".16956mm">
          <v:path arrowok="f"/>
          <o:lock v:ext="edit" aspectratio="t" verticies="t"/>
          <w10:wrap anchorx="page" anchory="page"/>
        </v:line>
      </w:pict>
    </w:r>
    <w:r>
      <w:rPr>
        <w:noProof/>
      </w:rPr>
      <w:pict w14:anchorId="7A226A81">
        <v:shapetype id="_x0000_t202" coordsize="21600,21600" o:spt="202" path="m,l,21600r21600,l21600,xe">
          <v:stroke joinstyle="miter"/>
          <v:path gradientshapeok="t" o:connecttype="rect"/>
        </v:shapetype>
        <v:shape id="Text Box 1095" o:spid="_x0000_s2227" type="#_x0000_t202" style="position:absolute;margin-left:236.7pt;margin-top:33.9pt;width:139.1pt;height:14.2pt;z-index:-25135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" filled="f" stroked="f">
          <o:lock v:ext="edit" aspectratio="t" verticies="t" text="t" shapetype="t"/>
          <v:textbox inset="0,0,0,0">
            <w:txbxContent>
              <w:p w:rsidR="008142C4" w:rsidRDefault="003048D3">
                <w:pPr>
                  <w:spacing w:before="11"/>
                  <w:ind w:left="20"/>
                  <w:rPr>
                    <w:b/>
                  </w:rPr>
                </w:pPr>
                <w:r>
                  <w:rPr>
                    <w:b/>
                    <w:w w:val="110"/>
                  </w:rPr>
                  <w:t>Other Cognitive Disorders</w:t>
                </w:r>
              </w:p>
            </w:txbxContent>
          </v:textbox>
          <w10:wrap anchorx="page" anchory="page"/>
        </v:shape>
      </w:pict>
    </w:r>
    <w:r>
      <w:rPr>
        <w:noProof/>
      </w:rPr>
      <w:pict w14:anchorId="07834A49">
        <v:shape id="Text Box 1094" o:spid="_x0000_s2226" type="#_x0000_t202" style="position:absolute;margin-left:388.05pt;margin-top:33.9pt;width:24.4pt;height:14.2pt;z-index:-25135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" filled="f" stroked="f">
          <o:lock v:ext="edit" aspectratio="t" verticies="t" text="t" shapetype="t"/>
          <v:textbox inset="0,0,0,0">
            <w:txbxContent>
              <w:p w:rsidR="008142C4" w:rsidRDefault="003048D3">
                <w:pPr>
                  <w:spacing w:before="11"/>
                  <w:ind w:left="60"/>
                  <w:rPr>
                    <w:b/>
                  </w:rPr>
                </w:pPr>
                <w:r>
                  <w:fldChar w:fldCharType="begin"/>
                </w:r>
                <w:r>
                  <w:rPr>
                    <w:b/>
                    <w:w w:val="110"/>
                  </w:rPr>
                  <w:instrText xml:space="preserve"> PAGE </w:instrText>
                </w:r>
                <w:r>
                  <w:fldChar w:fldCharType="separate"/>
                </w:r>
                <w:r>
                  <w:t>163</w:t>
                </w:r>
                <w:r>
                  <w:fldChar w:fldCharType="end"/>
                </w:r>
              </w:p>
            </w:txbxContent>
          </v:textbox>
          <w10:wrap anchorx="page" anchory="page"/>
        </v:shape>
      </w:pic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rPr>
        <w:sz w:val="2"/>
      </w:rP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rPr>
        <w:sz w:val="2"/>
      </w:rP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04318A7B">
        <v:line id="Line 1093" o:spid="_x0000_s2225" style="position:absolute;z-index:-25135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05pt,49.9pt" to="411.3pt,49.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" strokeweight=".25436mm">
          <v:path arrowok="f"/>
          <o:lock v:ext="edit" aspectratio="t" verticies="t"/>
          <w10:wrap anchorx="page" anchory="page"/>
        </v:line>
      </w:pict>
    </w:r>
    <w:r>
      <w:rPr>
        <w:noProof/>
      </w:rPr>
      <w:pict w14:anchorId="0392D808">
        <v:shapetype id="_x0000_t202" coordsize="21600,21600" o:spt="202" path="m,l,21600r21600,l21600,xe">
          <v:stroke joinstyle="miter"/>
          <v:path gradientshapeok="t" o:connecttype="rect"/>
        </v:shapetype>
        <v:shape id="Text Box 1092" o:spid="_x0000_s2224" type="#_x0000_t202" style="position:absolute;margin-left:34.5pt;margin-top:33.2pt;width:24.7pt;height:14.8pt;z-index:-25135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" filled="f" stroked="f">
          <o:lock v:ext="edit" aspectratio="t" verticies="t" text="t" shapetype="t"/>
          <v:textbox inset="0,0,0,0">
            <w:txbxContent>
              <w:p w:rsidR="008142C4" w:rsidRDefault="003048D3">
                <w:pPr>
                  <w:spacing w:before="11"/>
                  <w:ind w:left="75"/>
                  <w:rPr>
                    <w:b/>
                  </w:rPr>
                </w:pPr>
                <w:r>
                  <w:fldChar w:fldCharType="begin"/>
                </w:r>
                <w:r>
                  <w:rPr>
                    <w:b/>
                    <w:w w:val="110"/>
                  </w:rPr>
                  <w:instrText xml:space="preserve"> PAGE </w:instrText>
                </w:r>
                <w:r>
                  <w:fldChar w:fldCharType="separate"/>
                </w:r>
                <w:r>
                  <w:t>170</w:t>
                </w:r>
                <w:r>
                  <w:fldChar w:fldCharType="end"/>
                </w:r>
              </w:p>
            </w:txbxContent>
          </v:textbox>
          <w10:wrap anchorx="page" anchory="page"/>
        </v:shape>
      </w:pict>
    </w:r>
    <w:r>
      <w:rPr>
        <w:noProof/>
      </w:rPr>
      <w:pict w14:anchorId="4B87FD53">
        <v:shape id="Text Box 1091" o:spid="_x0000_s2223" type="#_x0000_t202" style="position:absolute;margin-left:71.5pt;margin-top:33.2pt;width:280.5pt;height:14.2pt;z-index:-25135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" filled="f" stroked="f">
          <o:lock v:ext="edit" aspectratio="t" verticies="t" text="t" shapetype="t"/>
          <v:textbox inset="0,0,0,0">
            <w:txbxContent>
              <w:p w:rsidR="008142C4" w:rsidRDefault="003048D3">
                <w:pPr>
                  <w:spacing w:before="11"/>
                  <w:ind w:left="20"/>
                  <w:rPr>
                    <w:b/>
                  </w:rPr>
                </w:pPr>
                <w:r>
                  <w:rPr>
                    <w:b/>
                    <w:w w:val="110"/>
                  </w:rPr>
                  <w:t>Mental</w:t>
                </w:r>
                <w:r>
                  <w:rPr>
                    <w:b/>
                    <w:spacing w:val="-9"/>
                    <w:w w:val="110"/>
                  </w:rPr>
                  <w:t xml:space="preserve"> </w:t>
                </w:r>
                <w:r>
                  <w:rPr>
                    <w:b/>
                    <w:w w:val="110"/>
                  </w:rPr>
                  <w:t>Disorders</w:t>
                </w:r>
                <w:r>
                  <w:rPr>
                    <w:b/>
                    <w:spacing w:val="-2"/>
                    <w:w w:val="110"/>
                  </w:rPr>
                  <w:t xml:space="preserve"> </w:t>
                </w:r>
                <w:r>
                  <w:rPr>
                    <w:b/>
                    <w:w w:val="110"/>
                  </w:rPr>
                  <w:t>Due</w:t>
                </w:r>
                <w:r>
                  <w:rPr>
                    <w:b/>
                    <w:spacing w:val="-11"/>
                    <w:w w:val="110"/>
                  </w:rPr>
                  <w:t xml:space="preserve"> </w:t>
                </w:r>
                <w:r>
                  <w:rPr>
                    <w:b/>
                    <w:w w:val="110"/>
                  </w:rPr>
                  <w:t>to</w:t>
                </w:r>
                <w:r>
                  <w:rPr>
                    <w:b/>
                    <w:spacing w:val="-7"/>
                    <w:w w:val="110"/>
                  </w:rPr>
                  <w:t xml:space="preserve"> </w:t>
                </w:r>
                <w:r>
                  <w:rPr>
                    <w:b/>
                    <w:w w:val="110"/>
                  </w:rPr>
                  <w:t>a</w:t>
                </w:r>
                <w:r>
                  <w:rPr>
                    <w:b/>
                    <w:spacing w:val="-18"/>
                    <w:w w:val="110"/>
                  </w:rPr>
                  <w:t xml:space="preserve"> </w:t>
                </w:r>
                <w:r>
                  <w:rPr>
                    <w:b/>
                    <w:w w:val="110"/>
                  </w:rPr>
                  <w:t>General</w:t>
                </w:r>
                <w:r>
                  <w:rPr>
                    <w:b/>
                    <w:spacing w:val="-14"/>
                    <w:w w:val="110"/>
                  </w:rPr>
                  <w:t xml:space="preserve"> </w:t>
                </w:r>
                <w:r>
                  <w:rPr>
                    <w:b/>
                    <w:w w:val="110"/>
                  </w:rPr>
                  <w:t>Medical</w:t>
                </w:r>
                <w:r>
                  <w:rPr>
                    <w:b/>
                    <w:spacing w:val="-8"/>
                    <w:w w:val="110"/>
                  </w:rPr>
                  <w:t xml:space="preserve"> </w:t>
                </w:r>
                <w:r>
                  <w:rPr>
                    <w:b/>
                    <w:w w:val="110"/>
                  </w:rPr>
                  <w:t>Condition</w:t>
                </w:r>
              </w:p>
            </w:txbxContent>
          </v:textbox>
          <w10:wrap anchorx="page" anchory="page"/>
        </v:shape>
      </w:pic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1F120139">
        <v:line id="Line 1090" o:spid="_x0000_s2222" style="position:absolute;z-index:-25135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7pt,49.8pt" to="410.05pt,49.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" strokeweight=".16956mm">
          <v:path arrowok="f"/>
          <o:lock v:ext="edit" aspectratio="t" verticies="t"/>
          <w10:wrap anchorx="page" anchory="page"/>
        </v:line>
      </w:pict>
    </w:r>
    <w:r>
      <w:rPr>
        <w:noProof/>
      </w:rPr>
      <w:pict w14:anchorId="6801ADE9">
        <v:shapetype id="_x0000_t202" coordsize="21600,21600" o:spt="202" path="m,l,21600r21600,l21600,xe">
          <v:stroke joinstyle="miter"/>
          <v:path gradientshapeok="t" o:connecttype="rect"/>
        </v:shapetype>
        <v:shape id="Text Box 1089" o:spid="_x0000_s2221" type="#_x0000_t202" style="position:absolute;margin-left:95.8pt;margin-top:33.25pt;width:280.75pt;height:14.8pt;z-index:-25134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" filled="f" stroked="f">
          <o:lock v:ext="edit" aspectratio="t" verticies="t" text="t" shapetype="t"/>
          <v:textbox inset="0,0,0,0">
            <w:txbxContent>
              <w:p w:rsidR="008142C4" w:rsidRDefault="003048D3">
                <w:pPr>
                  <w:spacing w:before="10"/>
                  <w:ind w:left="20"/>
                  <w:rPr>
                    <w:b/>
                    <w:sz w:val="23"/>
                  </w:rPr>
                </w:pPr>
                <w:r>
                  <w:rPr>
                    <w:b/>
                    <w:w w:val="105"/>
                    <w:sz w:val="23"/>
                  </w:rPr>
                  <w:t>Mental</w:t>
                </w:r>
                <w:r>
                  <w:rPr>
                    <w:b/>
                    <w:spacing w:val="-10"/>
                    <w:w w:val="105"/>
                    <w:sz w:val="23"/>
                  </w:rPr>
                  <w:t xml:space="preserve"> </w:t>
                </w:r>
                <w:r>
                  <w:rPr>
                    <w:b/>
                    <w:w w:val="105"/>
                    <w:sz w:val="23"/>
                  </w:rPr>
                  <w:t>Disorders</w:t>
                </w:r>
                <w:r>
                  <w:rPr>
                    <w:b/>
                    <w:spacing w:val="-4"/>
                    <w:w w:val="105"/>
                    <w:sz w:val="23"/>
                  </w:rPr>
                  <w:t xml:space="preserve"> </w:t>
                </w:r>
                <w:r>
                  <w:rPr>
                    <w:b/>
                    <w:w w:val="105"/>
                    <w:sz w:val="23"/>
                  </w:rPr>
                  <w:t>Due</w:t>
                </w:r>
                <w:r>
                  <w:rPr>
                    <w:b/>
                    <w:spacing w:val="-7"/>
                    <w:w w:val="105"/>
                    <w:sz w:val="23"/>
                  </w:rPr>
                  <w:t xml:space="preserve"> </w:t>
                </w:r>
                <w:r>
                  <w:rPr>
                    <w:b/>
                    <w:w w:val="105"/>
                    <w:sz w:val="23"/>
                  </w:rPr>
                  <w:t>to</w:t>
                </w:r>
                <w:r>
                  <w:rPr>
                    <w:b/>
                    <w:spacing w:val="-1"/>
                    <w:w w:val="105"/>
                    <w:sz w:val="23"/>
                  </w:rPr>
                  <w:t xml:space="preserve"> </w:t>
                </w:r>
                <w:r>
                  <w:rPr>
                    <w:b/>
                    <w:w w:val="105"/>
                    <w:sz w:val="23"/>
                  </w:rPr>
                  <w:t>a</w:t>
                </w:r>
                <w:r>
                  <w:rPr>
                    <w:b/>
                    <w:spacing w:val="-14"/>
                    <w:w w:val="105"/>
                    <w:sz w:val="23"/>
                  </w:rPr>
                  <w:t xml:space="preserve"> </w:t>
                </w:r>
                <w:r>
                  <w:rPr>
                    <w:b/>
                    <w:w w:val="105"/>
                    <w:sz w:val="23"/>
                  </w:rPr>
                  <w:t>General</w:t>
                </w:r>
                <w:r>
                  <w:rPr>
                    <w:b/>
                    <w:spacing w:val="-12"/>
                    <w:w w:val="105"/>
                    <w:sz w:val="23"/>
                  </w:rPr>
                  <w:t xml:space="preserve"> </w:t>
                </w:r>
                <w:r>
                  <w:rPr>
                    <w:b/>
                    <w:w w:val="105"/>
                    <w:sz w:val="23"/>
                  </w:rPr>
                  <w:t>Medical</w:t>
                </w:r>
                <w:r>
                  <w:rPr>
                    <w:b/>
                    <w:spacing w:val="-8"/>
                    <w:w w:val="105"/>
                    <w:sz w:val="23"/>
                  </w:rPr>
                  <w:t xml:space="preserve"> </w:t>
                </w:r>
                <w:r>
                  <w:rPr>
                    <w:b/>
                    <w:w w:val="105"/>
                    <w:sz w:val="23"/>
                  </w:rPr>
                  <w:t>Condition</w:t>
                </w:r>
              </w:p>
            </w:txbxContent>
          </v:textbox>
          <w10:wrap anchorx="page" anchory="page"/>
        </v:shape>
      </w:pict>
    </w:r>
    <w:r>
      <w:rPr>
        <w:noProof/>
      </w:rPr>
      <w:pict w14:anchorId="510D3AB3">
        <v:shape id="Text Box 1088" o:spid="_x0000_s2220" type="#_x0000_t202" style="position:absolute;margin-left:390.5pt;margin-top:33.25pt;width:20.85pt;height:14.8pt;z-index:-25134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" filled="f" stroked="f">
          <o:lock v:ext="edit" aspectratio="t" verticies="t" text="t" shapetype="t"/>
          <v:textbox inset="0,0,0,0">
            <w:txbxContent>
              <w:p w:rsidR="008142C4" w:rsidRDefault="003048D3">
                <w:pPr>
                  <w:spacing w:before="10"/>
                  <w:ind w:left="20"/>
                  <w:rPr>
                    <w:b/>
                    <w:sz w:val="23"/>
                  </w:rPr>
                </w:pPr>
                <w:r>
                  <w:rPr>
                    <w:b/>
                    <w:w w:val="110"/>
                    <w:sz w:val="23"/>
                  </w:rPr>
                  <w:t>167</w:t>
                </w:r>
              </w:p>
            </w:txbxContent>
          </v:textbox>
          <w10:wrap anchorx="page" anchory="page"/>
        </v:shape>
      </w:pic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3DC5A9A1">
        <v:line id="Line 1087" o:spid="_x0000_s2219" style="position:absolute;z-index:-25134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7pt,49.5pt" to="411.05pt,4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" strokeweight=".16956mm">
          <v:path arrowok="f"/>
          <o:lock v:ext="edit" aspectratio="t" verticies="t"/>
          <w10:wrap anchorx="page" anchory="page"/>
        </v:line>
      </w:pict>
    </w:r>
    <w:r>
      <w:rPr>
        <w:noProof/>
      </w:rPr>
      <w:pict w14:anchorId="05708DD3">
        <v:shapetype id="_x0000_t202" coordsize="21600,21600" o:spt="202" path="m,l,21600r21600,l21600,xe">
          <v:stroke joinstyle="miter"/>
          <v:path gradientshapeok="t" o:connecttype="rect"/>
        </v:shapetype>
        <v:shape id="Text Box 1086" o:spid="_x0000_s2218" type="#_x0000_t202" style="position:absolute;margin-left:39.7pt;margin-top:33.65pt;width:330.65pt;height:14.2pt;z-index:-25134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" filled="f" stroked="f">
          <o:lock v:ext="edit" aspectratio="t" verticies="t" text="t" shapetype="t"/>
          <v:textbox inset="0,0,0,0">
            <w:txbxContent>
              <w:p w:rsidR="008142C4" w:rsidRDefault="003048D3">
                <w:pPr>
                  <w:spacing w:before="11"/>
                  <w:ind w:left="20"/>
                  <w:rPr>
                    <w:b/>
                  </w:rPr>
                </w:pPr>
                <w:r>
                  <w:rPr>
                    <w:b/>
                    <w:w w:val="110"/>
                  </w:rPr>
                  <w:t>293.89 Catatonic Disorder Due to a General Medical Condition</w:t>
                </w:r>
              </w:p>
            </w:txbxContent>
          </v:textbox>
          <w10:wrap anchorx="page" anchory="page"/>
        </v:shape>
      </w:pict>
    </w:r>
    <w:r>
      <w:rPr>
        <w:noProof/>
      </w:rPr>
      <w:pict w14:anchorId="1F9C8E4A">
        <v:shape id="Text Box 1085" o:spid="_x0000_s2217" type="#_x0000_t202" style="position:absolute;margin-left:387.65pt;margin-top:33.65pt;width:20.4pt;height:14.2pt;z-index:-25134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" filled="f" stroked="f">
          <o:lock v:ext="edit" aspectratio="t" verticies="t" text="t" shapetype="t"/>
          <v:textbox inset="0,0,0,0">
            <w:txbxContent>
              <w:p w:rsidR="008142C4" w:rsidRDefault="003048D3">
                <w:pPr>
                  <w:spacing w:before="11"/>
                  <w:ind w:left="20"/>
                  <w:rPr>
                    <w:b/>
                  </w:rPr>
                </w:pPr>
                <w:r>
                  <w:rPr>
                    <w:b/>
                    <w:w w:val="110"/>
                  </w:rPr>
                  <w:t>169</w:t>
                </w:r>
              </w:p>
            </w:txbxContent>
          </v:textbox>
          <w10:wrap anchorx="page" anchory="page"/>
        </v:shape>
      </w:pic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48B41939">
        <v:line id="Line 1084" o:spid="_x0000_s2216" style="position:absolute;z-index:-25134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05pt,49.3pt" to="412.35pt,49.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" strokeweight=".16958mm">
          <v:path arrowok="f"/>
          <o:lock v:ext="edit" aspectratio="t" verticies="t"/>
          <w10:wrap anchorx="page" anchory="page"/>
        </v:line>
      </w:pict>
    </w:r>
    <w:r>
      <w:rPr>
        <w:noProof/>
      </w:rPr>
      <w:pict w14:anchorId="6672B36B">
        <v:shapetype id="_x0000_t202" coordsize="21600,21600" o:spt="202" path="m,l,21600r21600,l21600,xe">
          <v:stroke joinstyle="miter"/>
          <v:path gradientshapeok="t" o:connecttype="rect"/>
        </v:shapetype>
        <v:shape id="Text Box 1083" o:spid="_x0000_s2215" type="#_x0000_t202" style="position:absolute;margin-left:35.3pt;margin-top:33.2pt;width:23.9pt;height:14.2pt;z-index:-25134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" filled="f" stroked="f">
          <o:lock v:ext="edit" aspectratio="t" verticies="t" text="t" shapetype="t"/>
          <v:textbox inset="0,0,0,0">
            <w:txbxContent>
              <w:p w:rsidR="008142C4" w:rsidRDefault="003048D3">
                <w:pPr>
                  <w:spacing w:before="11"/>
                  <w:ind w:left="60"/>
                  <w:rPr>
                    <w:b/>
                  </w:rPr>
                </w:pPr>
                <w:r>
                  <w:rPr>
                    <w:b/>
                    <w:w w:val="110"/>
                  </w:rPr>
                  <w:t>170</w:t>
                </w:r>
              </w:p>
            </w:txbxContent>
          </v:textbox>
          <w10:wrap anchorx="page" anchory="page"/>
        </v:shape>
      </w:pict>
    </w:r>
    <w:r>
      <w:rPr>
        <w:noProof/>
      </w:rPr>
      <w:pict w14:anchorId="5B8D68F6">
        <v:shape id="Text Box 1082" o:spid="_x0000_s2214" type="#_x0000_t202" style="position:absolute;margin-left:71.5pt;margin-top:33.2pt;width:280.5pt;height:14.2pt;z-index:-25134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" filled="f" stroked="f">
          <o:lock v:ext="edit" aspectratio="t" verticies="t" text="t" shapetype="t"/>
          <v:textbox inset="0,0,0,0">
            <w:txbxContent>
              <w:p w:rsidR="008142C4" w:rsidRDefault="003048D3">
                <w:pPr>
                  <w:spacing w:before="11"/>
                  <w:ind w:left="20"/>
                  <w:rPr>
                    <w:b/>
                  </w:rPr>
                </w:pPr>
                <w:r>
                  <w:rPr>
                    <w:b/>
                    <w:w w:val="110"/>
                  </w:rPr>
                  <w:t>Mental</w:t>
                </w:r>
                <w:r>
                  <w:rPr>
                    <w:b/>
                    <w:spacing w:val="-9"/>
                    <w:w w:val="110"/>
                  </w:rPr>
                  <w:t xml:space="preserve"> </w:t>
                </w:r>
                <w:r>
                  <w:rPr>
                    <w:b/>
                    <w:w w:val="110"/>
                  </w:rPr>
                  <w:t>Disorders</w:t>
                </w:r>
                <w:r>
                  <w:rPr>
                    <w:b/>
                    <w:spacing w:val="-2"/>
                    <w:w w:val="110"/>
                  </w:rPr>
                  <w:t xml:space="preserve"> </w:t>
                </w:r>
                <w:r>
                  <w:rPr>
                    <w:b/>
                    <w:w w:val="110"/>
                  </w:rPr>
                  <w:t>Due</w:t>
                </w:r>
                <w:r>
                  <w:rPr>
                    <w:b/>
                    <w:spacing w:val="-11"/>
                    <w:w w:val="110"/>
                  </w:rPr>
                  <w:t xml:space="preserve"> </w:t>
                </w:r>
                <w:r>
                  <w:rPr>
                    <w:b/>
                    <w:w w:val="110"/>
                  </w:rPr>
                  <w:t>to</w:t>
                </w:r>
                <w:r>
                  <w:rPr>
                    <w:b/>
                    <w:spacing w:val="-7"/>
                    <w:w w:val="110"/>
                  </w:rPr>
                  <w:t xml:space="preserve"> </w:t>
                </w:r>
                <w:r>
                  <w:rPr>
                    <w:b/>
                    <w:w w:val="110"/>
                  </w:rPr>
                  <w:t>a</w:t>
                </w:r>
                <w:r>
                  <w:rPr>
                    <w:b/>
                    <w:spacing w:val="-18"/>
                    <w:w w:val="110"/>
                  </w:rPr>
                  <w:t xml:space="preserve"> </w:t>
                </w:r>
                <w:r>
                  <w:rPr>
                    <w:b/>
                    <w:w w:val="110"/>
                  </w:rPr>
                  <w:t>General</w:t>
                </w:r>
                <w:r>
                  <w:rPr>
                    <w:b/>
                    <w:spacing w:val="-14"/>
                    <w:w w:val="110"/>
                  </w:rPr>
                  <w:t xml:space="preserve"> </w:t>
                </w:r>
                <w:r>
                  <w:rPr>
                    <w:b/>
                    <w:w w:val="110"/>
                  </w:rPr>
                  <w:t>Medical</w:t>
                </w:r>
                <w:r>
                  <w:rPr>
                    <w:b/>
                    <w:spacing w:val="-8"/>
                    <w:w w:val="110"/>
                  </w:rPr>
                  <w:t xml:space="preserve"> </w:t>
                </w:r>
                <w:r>
                  <w:rPr>
                    <w:b/>
                    <w:w w:val="110"/>
                  </w:rPr>
                  <w:t>Condition</w:t>
                </w:r>
              </w:p>
            </w:txbxContent>
          </v:textbox>
          <w10:wrap anchorx="page" anchory="page"/>
        </v:shape>
      </w:pic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5A4EE628">
        <v:shapetype id="_x0000_t202" coordsize="21600,21600" o:spt="202" path="m,l,21600r21600,l21600,xe">
          <v:stroke joinstyle="miter"/>
          <v:path gradientshapeok="t" o:connecttype="rect"/>
        </v:shapetype>
        <v:shape id="Text Box 1081" o:spid="_x0000_s2213" type="#_x0000_t202" style="position:absolute;margin-left:49.2pt;margin-top:33.5pt;width:327.6pt;height:14.2pt;z-index:-25134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" filled="f" stroked="f">
          <o:lock v:ext="edit" aspectratio="t" verticies="t" text="t" shapetype="t"/>
          <v:textbox inset="0,0,0,0">
            <w:txbxContent>
              <w:p w:rsidR="008142C4" w:rsidRDefault="003048D3">
                <w:pPr>
                  <w:spacing w:before="11"/>
                  <w:ind w:left="20"/>
                  <w:rPr>
                    <w:b/>
                  </w:rPr>
                </w:pPr>
                <w:r>
                  <w:rPr>
                    <w:b/>
                    <w:w w:val="110"/>
                    <w:u w:val="thick"/>
                  </w:rPr>
                  <w:t>310.1</w:t>
                </w:r>
                <w:r>
                  <w:rPr>
                    <w:b/>
                    <w:w w:val="110"/>
                  </w:rPr>
                  <w:t xml:space="preserve"> </w:t>
                </w:r>
                <w:r>
                  <w:rPr>
                    <w:b/>
                    <w:w w:val="110"/>
                    <w:u w:val="thick"/>
                  </w:rPr>
                  <w:t>Personality Change Due to a General Medical Condition</w:t>
                </w:r>
              </w:p>
            </w:txbxContent>
          </v:textbox>
          <w10:wrap anchorx="page" anchory="page"/>
        </v:shape>
      </w:pict>
    </w:r>
    <w:r>
      <w:rPr>
        <w:noProof/>
      </w:rPr>
      <w:pict w14:anchorId="4BCCCBAC">
        <v:shape id="Text Box 1080" o:spid="_x0000_s2212" type="#_x0000_t202" style="position:absolute;margin-left:390.7pt;margin-top:33.5pt;width:20.55pt;height:14.2pt;z-index:-25133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" filled="f" stroked="f">
          <o:lock v:ext="edit" aspectratio="t" verticies="t" text="t" shapetype="t"/>
          <v:textbox inset="0,0,0,0">
            <w:txbxContent>
              <w:p w:rsidR="008142C4" w:rsidRDefault="003048D3">
                <w:pPr>
                  <w:spacing w:before="11"/>
                  <w:ind w:left="20"/>
                  <w:rPr>
                    <w:b/>
                  </w:rPr>
                </w:pPr>
                <w:r>
                  <w:rPr>
                    <w:b/>
                    <w:w w:val="110"/>
                    <w:u w:val="thick"/>
                  </w:rPr>
                  <w:t>171</w:t>
                </w:r>
              </w:p>
            </w:txbxContent>
          </v:textbox>
          <w10:wrap anchorx="page" anchory="page"/>
        </v:shape>
      </w:pic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51A2303F">
        <v:line id="Line 1079" o:spid="_x0000_s2211" style="position:absolute;z-index:-25133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05pt,49.75pt" to="412.35pt,49.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" strokeweight=".16958mm">
          <v:path arrowok="f"/>
          <o:lock v:ext="edit" aspectratio="t" verticies="t"/>
          <w10:wrap anchorx="page" anchory="page"/>
        </v:line>
      </w:pict>
    </w:r>
    <w:r>
      <w:rPr>
        <w:noProof/>
      </w:rPr>
      <w:pict w14:anchorId="773C964F">
        <v:shapetype id="_x0000_t202" coordsize="21600,21600" o:spt="202" path="m,l,21600r21600,l21600,xe">
          <v:stroke joinstyle="miter"/>
          <v:path gradientshapeok="t" o:connecttype="rect"/>
        </v:shapetype>
        <v:shape id="Text Box 1078" o:spid="_x0000_s2210" type="#_x0000_t202" style="position:absolute;margin-left:35.3pt;margin-top:33.65pt;width:22.9pt;height:14.2pt;z-index:-25133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" filled="f" stroked="f">
          <o:lock v:ext="edit" aspectratio="t" verticies="t" text="t" shapetype="t"/>
          <v:textbox inset="0,0,0,0">
            <w:txbxContent>
              <w:p w:rsidR="008142C4" w:rsidRDefault="003048D3">
                <w:pPr>
                  <w:spacing w:before="11"/>
                  <w:ind w:left="60"/>
                  <w:rPr>
                    <w:b/>
                  </w:rPr>
                </w:pPr>
                <w:r>
                  <w:rPr>
                    <w:b/>
                  </w:rPr>
                  <w:t>172</w:t>
                </w:r>
              </w:p>
            </w:txbxContent>
          </v:textbox>
          <w10:wrap anchorx="page" anchory="page"/>
        </v:shape>
      </w:pict>
    </w:r>
    <w:r>
      <w:rPr>
        <w:noProof/>
      </w:rPr>
      <w:pict w14:anchorId="4DC931C5">
        <v:shape id="Text Box 1077" o:spid="_x0000_s2209" type="#_x0000_t202" style="position:absolute;margin-left:71.5pt;margin-top:33.65pt;width:280.25pt;height:14.2pt;z-index:-25133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" filled="f" stroked="f">
          <o:lock v:ext="edit" aspectratio="t" verticies="t" text="t" shapetype="t"/>
          <v:textbox inset="0,0,0,0">
            <w:txbxContent>
              <w:p w:rsidR="008142C4" w:rsidRDefault="003048D3">
                <w:pPr>
                  <w:spacing w:before="11"/>
                  <w:ind w:left="20"/>
                  <w:rPr>
                    <w:b/>
                  </w:rPr>
                </w:pPr>
                <w:r>
                  <w:rPr>
                    <w:b/>
                    <w:w w:val="110"/>
                  </w:rPr>
                  <w:t>Mental</w:t>
                </w:r>
                <w:r>
                  <w:rPr>
                    <w:b/>
                    <w:spacing w:val="-12"/>
                    <w:w w:val="110"/>
                  </w:rPr>
                  <w:t xml:space="preserve"> </w:t>
                </w:r>
                <w:r>
                  <w:rPr>
                    <w:b/>
                    <w:w w:val="110"/>
                  </w:rPr>
                  <w:t>Disorders</w:t>
                </w:r>
                <w:r>
                  <w:rPr>
                    <w:b/>
                    <w:spacing w:val="-6"/>
                    <w:w w:val="110"/>
                  </w:rPr>
                  <w:t xml:space="preserve"> </w:t>
                </w:r>
                <w:r>
                  <w:rPr>
                    <w:b/>
                    <w:w w:val="110"/>
                  </w:rPr>
                  <w:t>Due</w:t>
                </w:r>
                <w:r>
                  <w:rPr>
                    <w:b/>
                    <w:spacing w:val="-11"/>
                    <w:w w:val="110"/>
                  </w:rPr>
                  <w:t xml:space="preserve"> </w:t>
                </w:r>
                <w:r>
                  <w:rPr>
                    <w:b/>
                    <w:w w:val="110"/>
                  </w:rPr>
                  <w:t>to</w:t>
                </w:r>
                <w:r>
                  <w:rPr>
                    <w:b/>
                    <w:spacing w:val="-6"/>
                    <w:w w:val="110"/>
                  </w:rPr>
                  <w:t xml:space="preserve"> </w:t>
                </w:r>
                <w:r>
                  <w:rPr>
                    <w:b/>
                    <w:w w:val="110"/>
                  </w:rPr>
                  <w:t>a</w:t>
                </w:r>
                <w:r>
                  <w:rPr>
                    <w:b/>
                    <w:spacing w:val="-17"/>
                    <w:w w:val="110"/>
                  </w:rPr>
                  <w:t xml:space="preserve"> </w:t>
                </w:r>
                <w:r>
                  <w:rPr>
                    <w:b/>
                    <w:w w:val="110"/>
                  </w:rPr>
                  <w:t>General</w:t>
                </w:r>
                <w:r>
                  <w:rPr>
                    <w:b/>
                    <w:spacing w:val="-14"/>
                    <w:w w:val="110"/>
                  </w:rPr>
                  <w:t xml:space="preserve"> </w:t>
                </w:r>
                <w:r>
                  <w:rPr>
                    <w:b/>
                    <w:w w:val="110"/>
                  </w:rPr>
                  <w:t>Medical</w:t>
                </w:r>
                <w:r>
                  <w:rPr>
                    <w:b/>
                    <w:spacing w:val="-7"/>
                    <w:w w:val="110"/>
                  </w:rPr>
                  <w:t xml:space="preserve"> </w:t>
                </w:r>
                <w:r>
                  <w:rPr>
                    <w:b/>
                    <w:w w:val="110"/>
                  </w:rPr>
                  <w:t>Condition</w:t>
                </w:r>
              </w:p>
            </w:txbxContent>
          </v:textbox>
          <w10:wrap anchorx="page" anchory="page"/>
        </v:shape>
      </w:pic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38C443EB">
        <v:shapetype id="_x0000_t202" coordsize="21600,21600" o:spt="202" path="m,l,21600r21600,l21600,xe">
          <v:stroke joinstyle="miter"/>
          <v:path gradientshapeok="t" o:connecttype="rect"/>
        </v:shapetype>
        <v:shape id="Text Box 1076" o:spid="_x0000_s2208" type="#_x0000_t202" style="position:absolute;margin-left:48.6pt;margin-top:33.75pt;width:327.6pt;height:14.2pt;z-index:-25133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" filled="f" stroked="f">
          <o:lock v:ext="edit" aspectratio="t" verticies="t" text="t" shapetype="t"/>
          <v:textbox inset="0,0,0,0">
            <w:txbxContent>
              <w:p w:rsidR="008142C4" w:rsidRDefault="003048D3">
                <w:pPr>
                  <w:spacing w:before="11"/>
                  <w:ind w:left="20"/>
                  <w:rPr>
                    <w:b/>
                  </w:rPr>
                </w:pPr>
                <w:r>
                  <w:rPr>
                    <w:b/>
                    <w:w w:val="110"/>
                  </w:rPr>
                  <w:t>310.1 Personality Change Due to a General Medical Condition</w:t>
                </w:r>
              </w:p>
            </w:txbxContent>
          </v:textbox>
          <w10:wrap anchorx="page" anchory="page"/>
        </v:shape>
      </w:pict>
    </w:r>
    <w:r>
      <w:rPr>
        <w:noProof/>
      </w:rPr>
      <w:pict w14:anchorId="51AC4F7F">
        <v:shape id="Text Box 1075" o:spid="_x0000_s2207" type="#_x0000_t202" style="position:absolute;margin-left:390.05pt;margin-top:33.75pt;width:20.55pt;height:14.2pt;z-index:-25133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" filled="f" stroked="f">
          <o:lock v:ext="edit" aspectratio="t" verticies="t" text="t" shapetype="t"/>
          <v:textbox inset="0,0,0,0">
            <w:txbxContent>
              <w:p w:rsidR="008142C4" w:rsidRDefault="003048D3">
                <w:pPr>
                  <w:spacing w:before="11"/>
                  <w:ind w:left="20"/>
                  <w:rPr>
                    <w:b/>
                  </w:rPr>
                </w:pPr>
                <w:r>
                  <w:rPr>
                    <w:b/>
                    <w:w w:val="110"/>
                  </w:rPr>
                  <w:t>173</w:t>
                </w:r>
              </w:p>
            </w:txbxContent>
          </v:textbox>
          <w10:wrap anchorx="page" anchory="page"/>
        </v:shape>
      </w:pic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7E494CCA">
        <v:line id="Line 1074" o:spid="_x0000_s2206" style="position:absolute;z-index:-25133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55pt,50.1pt" to="410.85pt,50.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" strokeweight=".25436mm">
          <v:path arrowok="f"/>
          <o:lock v:ext="edit" aspectratio="t" verticies="t"/>
          <w10:wrap anchorx="page" anchory="page"/>
        </v:line>
      </w:pict>
    </w:r>
    <w:r>
      <w:rPr>
        <w:noProof/>
      </w:rPr>
      <w:pict w14:anchorId="675E6E5F">
        <v:shapetype id="_x0000_t202" coordsize="21600,21600" o:spt="202" path="m,l,21600r21600,l21600,xe">
          <v:stroke joinstyle="miter"/>
          <v:path gradientshapeok="t" o:connecttype="rect"/>
        </v:shapetype>
        <v:shape id="Text Box 1073" o:spid="_x0000_s2205" type="#_x0000_t202" style="position:absolute;margin-left:34.05pt;margin-top:33.75pt;width:24.55pt;height:14.2pt;z-index:-25133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" filled="f" stroked="f">
          <o:lock v:ext="edit" aspectratio="t" verticies="t" text="t" shapetype="t"/>
          <v:textbox inset="0,0,0,0">
            <w:txbxContent>
              <w:p w:rsidR="008142C4" w:rsidRDefault="003048D3">
                <w:pPr>
                  <w:spacing w:before="11"/>
                  <w:ind w:left="60"/>
                  <w:rPr>
                    <w:b/>
                  </w:rPr>
                </w:pPr>
                <w:r>
                  <w:rPr>
                    <w:b/>
                    <w:w w:val="110"/>
                  </w:rPr>
                  <w:t>174</w:t>
                </w:r>
              </w:p>
            </w:txbxContent>
          </v:textbox>
          <w10:wrap anchorx="page" anchory="page"/>
        </v:shape>
      </w:pict>
    </w:r>
    <w:r>
      <w:rPr>
        <w:noProof/>
      </w:rPr>
      <w:pict w14:anchorId="3B68D872">
        <v:shape id="Text Box 1072" o:spid="_x0000_s2204" type="#_x0000_t202" style="position:absolute;margin-left:70.25pt;margin-top:33.75pt;width:280.25pt;height:14.2pt;z-index:-25133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" filled="f" stroked="f">
          <o:lock v:ext="edit" aspectratio="t" verticies="t" text="t" shapetype="t"/>
          <v:textbox inset="0,0,0,0">
            <w:txbxContent>
              <w:p w:rsidR="008142C4" w:rsidRDefault="003048D3">
                <w:pPr>
                  <w:spacing w:before="11"/>
                  <w:ind w:left="20"/>
                  <w:rPr>
                    <w:b/>
                  </w:rPr>
                </w:pPr>
                <w:r>
                  <w:rPr>
                    <w:b/>
                    <w:w w:val="110"/>
                  </w:rPr>
                  <w:t>Mental</w:t>
                </w:r>
                <w:r>
                  <w:rPr>
                    <w:b/>
                    <w:spacing w:val="-13"/>
                    <w:w w:val="110"/>
                  </w:rPr>
                  <w:t xml:space="preserve"> </w:t>
                </w:r>
                <w:r>
                  <w:rPr>
                    <w:b/>
                    <w:w w:val="110"/>
                  </w:rPr>
                  <w:t>Disorders</w:t>
                </w:r>
                <w:r>
                  <w:rPr>
                    <w:b/>
                    <w:spacing w:val="1"/>
                    <w:w w:val="110"/>
                  </w:rPr>
                  <w:t xml:space="preserve"> </w:t>
                </w:r>
                <w:r>
                  <w:rPr>
                    <w:b/>
                    <w:w w:val="110"/>
                  </w:rPr>
                  <w:t>Due</w:t>
                </w:r>
                <w:r>
                  <w:rPr>
                    <w:b/>
                    <w:spacing w:val="-10"/>
                    <w:w w:val="110"/>
                  </w:rPr>
                  <w:t xml:space="preserve"> </w:t>
                </w:r>
                <w:r>
                  <w:rPr>
                    <w:rFonts w:ascii="Arial"/>
                    <w:b/>
                    <w:w w:val="110"/>
                    <w:sz w:val="18"/>
                  </w:rPr>
                  <w:t>to</w:t>
                </w:r>
                <w:r>
                  <w:rPr>
                    <w:rFonts w:ascii="Arial"/>
                    <w:b/>
                    <w:spacing w:val="9"/>
                    <w:w w:val="110"/>
                    <w:sz w:val="18"/>
                  </w:rPr>
                  <w:t xml:space="preserve"> </w:t>
                </w:r>
                <w:r>
                  <w:rPr>
                    <w:b/>
                    <w:w w:val="110"/>
                  </w:rPr>
                  <w:t>a</w:t>
                </w:r>
                <w:r>
                  <w:rPr>
                    <w:b/>
                    <w:spacing w:val="-19"/>
                    <w:w w:val="110"/>
                  </w:rPr>
                  <w:t xml:space="preserve"> </w:t>
                </w:r>
                <w:r>
                  <w:rPr>
                    <w:b/>
                    <w:w w:val="110"/>
                  </w:rPr>
                  <w:t>General</w:t>
                </w:r>
                <w:r>
                  <w:rPr>
                    <w:b/>
                    <w:spacing w:val="-12"/>
                    <w:w w:val="110"/>
                  </w:rPr>
                  <w:t xml:space="preserve"> </w:t>
                </w:r>
                <w:r>
                  <w:rPr>
                    <w:b/>
                    <w:w w:val="110"/>
                  </w:rPr>
                  <w:t>Medical</w:t>
                </w:r>
                <w:r>
                  <w:rPr>
                    <w:b/>
                    <w:spacing w:val="-8"/>
                    <w:w w:val="110"/>
                  </w:rPr>
                  <w:t xml:space="preserve"> </w:t>
                </w:r>
                <w:r>
                  <w:rPr>
                    <w:b/>
                    <w:w w:val="110"/>
                  </w:rPr>
                  <w:t>Condition</w:t>
                </w:r>
              </w:p>
            </w:txbxContent>
          </v:textbox>
          <w10:wrap anchorx="page" anchory="page"/>
        </v:shape>
      </w:pic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335BD361">
        <v:line id="Line 1373" o:spid="_x0000_s2505"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15pt,49.4pt" to="410.55pt,49.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" strokeweight=".16958mm">
          <v:path arrowok="f"/>
          <o:lock v:ext="edit" aspectratio="t" verticies="t"/>
          <w10:wrap anchorx="page" anchory="page"/>
        </v:line>
      </w:pict>
    </w:r>
    <w:r>
      <w:rPr>
        <w:noProof/>
      </w:rPr>
      <w:pict w14:anchorId="1D84E19F">
        <v:shapetype id="_x0000_t202" coordsize="21600,21600" o:spt="202" path="m,l,21600r21600,l21600,xe">
          <v:stroke joinstyle="miter"/>
          <v:path gradientshapeok="t" o:connecttype="rect"/>
        </v:shapetype>
        <v:shape id="Text Box 1372" o:spid="_x0000_s2504" type="#_x0000_t202" style="position:absolute;margin-left:35.15pt;margin-top:33.55pt;width:19.35pt;height:14.2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" filled="f" stroked="f">
          <o:lock v:ext="edit" aspectratio="t" verticies="t" text="t" shapetype="t"/>
          <v:textbox inset="0,0,0,0">
            <w:txbxContent>
              <w:p w:rsidR="008142C4" w:rsidRDefault="003048D3">
                <w:pPr>
                  <w:spacing w:before="11"/>
                  <w:ind w:left="20"/>
                  <w:rPr>
                    <w:b/>
                  </w:rPr>
                </w:pPr>
                <w:r>
                  <w:rPr>
                    <w:b/>
                    <w:w w:val="125"/>
                  </w:rPr>
                  <w:t>xiv</w:t>
                </w:r>
              </w:p>
            </w:txbxContent>
          </v:textbox>
          <w10:wrap anchorx="page" anchory="page"/>
        </v:shape>
      </w:pict>
    </w:r>
    <w:r>
      <w:rPr>
        <w:noProof/>
      </w:rPr>
      <w:pict w14:anchorId="740F5D64">
        <v:shape id="Text Box 1371" o:spid="_x0000_s2503" type="#_x0000_t202" style="position:absolute;margin-left:67.55pt;margin-top:33.55pt;width:98.75pt;height:14.2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" filled="f" stroked="f">
          <o:lock v:ext="edit" aspectratio="t" verticies="t" text="t" shapetype="t"/>
          <v:textbox inset="0,0,0,0">
            <w:txbxContent>
              <w:p w:rsidR="008142C4" w:rsidRDefault="003048D3">
                <w:pPr>
                  <w:spacing w:before="11"/>
                  <w:ind w:left="20"/>
                  <w:rPr>
                    <w:b/>
                  </w:rPr>
                </w:pPr>
                <w:r>
                  <w:rPr>
                    <w:b/>
                    <w:w w:val="110"/>
                  </w:rPr>
                  <w:t>Acknowledgments</w:t>
                </w:r>
              </w:p>
            </w:txbxContent>
          </v:textbox>
          <w10:wrap anchorx="page" anchory="page"/>
        </v:shape>
      </w:pic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15272801">
        <v:line id="Line 1071" o:spid="_x0000_s2203" style="position:absolute;z-index:-25133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5pt,49.95pt" to="412.7pt,49.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" strokeweight=".1695mm">
          <v:path arrowok="f"/>
          <o:lock v:ext="edit" aspectratio="t" verticies="t"/>
          <w10:wrap anchorx="page" anchory="page"/>
        </v:line>
      </w:pict>
    </w:r>
    <w:r>
      <w:rPr>
        <w:noProof/>
      </w:rPr>
      <w:pict w14:anchorId="2C587197">
        <v:shapetype id="_x0000_t202" coordsize="21600,21600" o:spt="202" path="m,l,21600r21600,l21600,xe">
          <v:stroke joinstyle="miter"/>
          <v:path gradientshapeok="t" o:connecttype="rect"/>
        </v:shapetype>
        <v:shape id="Text Box 1070" o:spid="_x0000_s2202" type="#_x0000_t202" style="position:absolute;margin-left:32.8pt;margin-top:32.55pt;width:26.15pt;height:16.2pt;z-index:-25132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" filled="f" stroked="f">
          <o:lock v:ext="edit" aspectratio="t" verticies="t" text="t" shapetype="t"/>
          <v:textbox inset="0,0,0,0">
            <w:txbxContent>
              <w:p w:rsidR="008142C4" w:rsidRDefault="003048D3">
                <w:pPr>
                  <w:spacing w:before="13"/>
                  <w:ind w:left="70"/>
                  <w:rPr>
                    <w:b/>
                  </w:rPr>
                </w:pPr>
                <w:r>
                  <w:fldChar w:fldCharType="begin"/>
                </w:r>
                <w:r>
                  <w:rPr>
                    <w:b/>
                    <w:w w:val="105"/>
                  </w:rPr>
                  <w:instrText xml:space="preserve"> PAGE </w:instrText>
                </w:r>
                <w:r>
                  <w:fldChar w:fldCharType="separate"/>
                </w:r>
                <w:r>
                  <w:t>180</w:t>
                </w:r>
                <w:r>
                  <w:fldChar w:fldCharType="end"/>
                </w:r>
              </w:p>
            </w:txbxContent>
          </v:textbox>
          <w10:wrap anchorx="page" anchory="page"/>
        </v:shape>
      </w:pict>
    </w:r>
    <w:r>
      <w:rPr>
        <w:noProof/>
      </w:rPr>
      <w:pict w14:anchorId="3579F097">
        <v:shape id="Text Box 1069" o:spid="_x0000_s2201" type="#_x0000_t202" style="position:absolute;margin-left:69.6pt;margin-top:32.65pt;width:149.15pt;height:14.2pt;z-index:-25132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" filled="f" stroked="f">
          <o:lock v:ext="edit" aspectratio="t" verticies="t" text="t" shapetype="t"/>
          <v:textbox inset="0,0,0,0">
            <w:txbxContent>
              <w:p w:rsidR="008142C4" w:rsidRDefault="003048D3">
                <w:pPr>
                  <w:spacing w:before="11"/>
                  <w:ind w:left="20"/>
                  <w:rPr>
                    <w:b/>
                  </w:rPr>
                </w:pPr>
                <w:r>
                  <w:rPr>
                    <w:b/>
                    <w:w w:val="110"/>
                  </w:rPr>
                  <w:t>Substance-Related</w:t>
                </w:r>
                <w:r>
                  <w:rPr>
                    <w:b/>
                    <w:spacing w:val="-46"/>
                    <w:w w:val="110"/>
                  </w:rPr>
                  <w:t xml:space="preserve"> </w:t>
                </w:r>
                <w:r>
                  <w:rPr>
                    <w:b/>
                    <w:w w:val="110"/>
                  </w:rPr>
                  <w:t>Disorders</w:t>
                </w:r>
              </w:p>
            </w:txbxContent>
          </v:textbox>
          <w10:wrap anchorx="page" anchory="page"/>
        </v:shape>
      </w:pic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rPr>
        <w:sz w:val="2"/>
      </w:rPr>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0CFC127D">
        <v:line id="Line 1068" o:spid="_x0000_s2200" style="position:absolute;z-index:-25132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55pt,49.15pt" to="410.85pt,49.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" strokeweight=".25436mm">
          <v:path arrowok="f"/>
          <o:lock v:ext="edit" aspectratio="t" verticies="t"/>
          <w10:wrap anchorx="page" anchory="page"/>
        </v:line>
      </w:pict>
    </w:r>
    <w:r>
      <w:rPr>
        <w:noProof/>
      </w:rPr>
      <w:pict w14:anchorId="0BFAFAAD">
        <v:shapetype id="_x0000_t202" coordsize="21600,21600" o:spt="202" path="m,l,21600r21600,l21600,xe">
          <v:stroke joinstyle="miter"/>
          <v:path gradientshapeok="t" o:connecttype="rect"/>
        </v:shapetype>
        <v:shape id="Text Box 1067" o:spid="_x0000_s2199" type="#_x0000_t202" style="position:absolute;margin-left:33.8pt;margin-top:33.05pt;width:23.05pt;height:14.2pt;z-index:-25132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" filled="f" stroked="f">
          <o:lock v:ext="edit" aspectratio="t" verticies="t" text="t" shapetype="t"/>
          <v:textbox inset="0,0,0,0">
            <w:txbxContent>
              <w:p w:rsidR="008142C4" w:rsidRDefault="003048D3">
                <w:pPr>
                  <w:spacing w:before="11"/>
                  <w:ind w:left="60"/>
                  <w:rPr>
                    <w:b/>
                  </w:rPr>
                </w:pPr>
                <w:r>
                  <w:fldChar w:fldCharType="begin"/>
                </w:r>
                <w:r>
                  <w:rPr>
                    <w:b/>
                    <w:w w:val="105"/>
                  </w:rPr>
                  <w:instrText xml:space="preserve"> PAGE </w:instrText>
                </w:r>
                <w:r>
                  <w:fldChar w:fldCharType="separate"/>
                </w:r>
                <w:r>
                  <w:t>178</w:t>
                </w:r>
                <w:r>
                  <w:fldChar w:fldCharType="end"/>
                </w:r>
              </w:p>
            </w:txbxContent>
          </v:textbox>
          <w10:wrap anchorx="page" anchory="page"/>
        </v:shape>
      </w:pict>
    </w:r>
    <w:r>
      <w:rPr>
        <w:noProof/>
      </w:rPr>
      <w:pict w14:anchorId="4E8A4EB4">
        <v:shape id="Text Box 1066" o:spid="_x0000_s2198" type="#_x0000_t202" style="position:absolute;margin-left:69.9pt;margin-top:33.05pt;width:149.65pt;height:14.2pt;z-index:-25132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" filled="f" stroked="f">
          <o:lock v:ext="edit" aspectratio="t" verticies="t" text="t" shapetype="t"/>
          <v:textbox inset="0,0,0,0">
            <w:txbxContent>
              <w:p w:rsidR="008142C4" w:rsidRDefault="003048D3">
                <w:pPr>
                  <w:spacing w:before="11"/>
                  <w:ind w:left="20"/>
                  <w:rPr>
                    <w:b/>
                  </w:rPr>
                </w:pPr>
                <w:r>
                  <w:rPr>
                    <w:b/>
                    <w:w w:val="110"/>
                  </w:rPr>
                  <w:t>Substance-Related</w:t>
                </w:r>
                <w:r>
                  <w:rPr>
                    <w:b/>
                    <w:spacing w:val="-38"/>
                    <w:w w:val="110"/>
                  </w:rPr>
                  <w:t xml:space="preserve"> </w:t>
                </w:r>
                <w:r>
                  <w:rPr>
                    <w:b/>
                    <w:w w:val="110"/>
                  </w:rPr>
                  <w:t>Disorders</w:t>
                </w:r>
              </w:p>
            </w:txbxContent>
          </v:textbox>
          <w10:wrap anchorx="page" anchory="page"/>
        </v:shape>
      </w:pic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74603098">
        <v:line id="Line 1065" o:spid="_x0000_s2197" style="position:absolute;z-index:-25132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05pt,49.45pt" to="410.3pt,49.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" strokeweight=".16958mm">
          <v:path arrowok="f"/>
          <o:lock v:ext="edit" aspectratio="t" verticies="t"/>
          <w10:wrap anchorx="page" anchory="page"/>
        </v:line>
      </w:pict>
    </w:r>
    <w:r>
      <w:rPr>
        <w:noProof/>
      </w:rPr>
      <w:pict w14:anchorId="4B5BF7D8">
        <v:shapetype id="_x0000_t202" coordsize="21600,21600" o:spt="202" path="m,l,21600r21600,l21600,xe">
          <v:stroke joinstyle="miter"/>
          <v:path gradientshapeok="t" o:connecttype="rect"/>
        </v:shapetype>
        <v:shape id="Text Box 1064" o:spid="_x0000_s2196" type="#_x0000_t202" style="position:absolute;margin-left:253.05pt;margin-top:33.75pt;width:121.65pt;height:14.2pt;z-index:-25132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" filled="f" stroked="f">
          <o:lock v:ext="edit" aspectratio="t" verticies="t" text="t" shapetype="t"/>
          <v:textbox inset="0,0,0,0">
            <w:txbxContent>
              <w:p w:rsidR="008142C4" w:rsidRDefault="003048D3">
                <w:pPr>
                  <w:spacing w:before="11"/>
                  <w:ind w:left="20"/>
                  <w:rPr>
                    <w:b/>
                  </w:rPr>
                </w:pPr>
                <w:r>
                  <w:rPr>
                    <w:b/>
                    <w:w w:val="110"/>
                  </w:rPr>
                  <w:t>Substance Dependence</w:t>
                </w:r>
              </w:p>
            </w:txbxContent>
          </v:textbox>
          <w10:wrap anchorx="page" anchory="page"/>
        </v:shape>
      </w:pict>
    </w:r>
    <w:r>
      <w:rPr>
        <w:noProof/>
      </w:rPr>
      <w:pict w14:anchorId="41851B0C">
        <v:shape id="Text Box 1063" o:spid="_x0000_s2195" type="#_x0000_t202" style="position:absolute;margin-left:387.3pt;margin-top:33.75pt;width:25.1pt;height:14.55pt;z-index:-25132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" filled="f" stroked="f">
          <o:lock v:ext="edit" aspectratio="t" verticies="t" text="t" shapetype="t"/>
          <v:textbox inset="0,0,0,0">
            <w:txbxContent>
              <w:p w:rsidR="008142C4" w:rsidRDefault="003048D3">
                <w:pPr>
                  <w:spacing w:before="11"/>
                  <w:ind w:left="60"/>
                  <w:rPr>
                    <w:b/>
                  </w:rPr>
                </w:pPr>
                <w:r>
                  <w:fldChar w:fldCharType="begin"/>
                </w:r>
                <w:r>
                  <w:rPr>
                    <w:b/>
                    <w:w w:val="115"/>
                  </w:rPr>
                  <w:instrText xml:space="preserve"> PAGE </w:instrText>
                </w:r>
                <w:r>
                  <w:fldChar w:fldCharType="separate"/>
                </w:r>
                <w:r>
                  <w:t>181</w:t>
                </w:r>
                <w:r>
                  <w:fldChar w:fldCharType="end"/>
                </w:r>
              </w:p>
            </w:txbxContent>
          </v:textbox>
          <w10:wrap anchorx="page" anchory="page"/>
        </v:shape>
      </w:pic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24A35DA9">
        <v:line id="Line 1059" o:spid="_x0000_s2194" style="position:absolute;z-index:-25131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1pt,49.9pt" to="411.35pt,49.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" strokeweight=".16958mm">
          <v:path arrowok="f"/>
          <o:lock v:ext="edit" aspectratio="t" verticies="t"/>
          <w10:wrap anchorx="page" anchory="page"/>
        </v:line>
      </w:pict>
    </w:r>
    <w:r>
      <w:rPr>
        <w:noProof/>
      </w:rPr>
      <w:pict w14:anchorId="7E394E01">
        <v:shapetype id="_x0000_t202" coordsize="21600,21600" o:spt="202" path="m,l,21600r21600,l21600,xe">
          <v:stroke joinstyle="miter"/>
          <v:path gradientshapeok="t" o:connecttype="rect"/>
        </v:shapetype>
        <v:shape id="Text Box 1058" o:spid="_x0000_s2193" type="#_x0000_t202" style="position:absolute;margin-left:34.55pt;margin-top:33.55pt;width:22.9pt;height:14.2pt;z-index:-25131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" filled="f" stroked="f">
          <o:lock v:ext="edit" aspectratio="t" verticies="t" text="t" shapetype="t"/>
          <v:textbox inset="0,0,0,0">
            <w:txbxContent>
              <w:p w:rsidR="008142C4" w:rsidRDefault="003048D3">
                <w:pPr>
                  <w:spacing w:before="11"/>
                  <w:ind w:left="60"/>
                  <w:rPr>
                    <w:b/>
                  </w:rPr>
                </w:pPr>
                <w:r>
                  <w:fldChar w:fldCharType="begin"/>
                </w:r>
                <w:r>
                  <w:rPr>
                    <w:b/>
                  </w:rPr>
                  <w:instrText xml:space="preserve"> PAGE </w:instrText>
                </w:r>
                <w:r>
                  <w:fldChar w:fldCharType="separate"/>
                </w:r>
                <w:r>
                  <w:t>184</w:t>
                </w:r>
                <w:r>
                  <w:fldChar w:fldCharType="end"/>
                </w:r>
              </w:p>
            </w:txbxContent>
          </v:textbox>
          <w10:wrap anchorx="page" anchory="page"/>
        </v:shape>
      </w:pict>
    </w:r>
    <w:r>
      <w:rPr>
        <w:noProof/>
      </w:rPr>
      <w:pict w14:anchorId="0103E6C4">
        <v:shape id="Text Box 1057" o:spid="_x0000_s2192" type="#_x0000_t202" style="position:absolute;margin-left:70.65pt;margin-top:33.55pt;width:149.4pt;height:14.2pt;z-index:-25131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" filled="f" stroked="f">
          <o:lock v:ext="edit" aspectratio="t" verticies="t" text="t" shapetype="t"/>
          <v:textbox inset="0,0,0,0">
            <w:txbxContent>
              <w:p w:rsidR="008142C4" w:rsidRDefault="003048D3">
                <w:pPr>
                  <w:spacing w:before="11"/>
                  <w:ind w:left="20"/>
                  <w:rPr>
                    <w:b/>
                  </w:rPr>
                </w:pPr>
                <w:r>
                  <w:rPr>
                    <w:b/>
                    <w:w w:val="110"/>
                  </w:rPr>
                  <w:t>Substance-Related</w:t>
                </w:r>
                <w:r>
                  <w:rPr>
                    <w:b/>
                    <w:spacing w:val="-42"/>
                    <w:w w:val="110"/>
                  </w:rPr>
                  <w:t xml:space="preserve"> </w:t>
                </w:r>
                <w:r>
                  <w:rPr>
                    <w:b/>
                    <w:w w:val="110"/>
                  </w:rPr>
                  <w:t>Disorders</w:t>
                </w:r>
              </w:p>
            </w:txbxContent>
          </v:textbox>
          <w10:wrap anchorx="page" anchory="page"/>
        </v:shape>
      </w:pic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0D027482">
        <v:line id="Line 1062" o:spid="_x0000_s2191" style="position:absolute;z-index:-25132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pt,49.05pt" to="410.8pt,49.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" strokeweight=".25433mm">
          <v:path arrowok="f"/>
          <o:lock v:ext="edit" aspectratio="t" verticies="t"/>
          <w10:wrap anchorx="page" anchory="page"/>
        </v:line>
      </w:pict>
    </w:r>
    <w:r>
      <w:rPr>
        <w:noProof/>
      </w:rPr>
      <w:pict w14:anchorId="26F850C6">
        <v:shapetype id="_x0000_t202" coordsize="21600,21600" o:spt="202" path="m,l,21600r21600,l21600,xe">
          <v:stroke joinstyle="miter"/>
          <v:path gradientshapeok="t" o:connecttype="rect"/>
        </v:shapetype>
        <v:shape id="Text Box 1061" o:spid="_x0000_s2190" type="#_x0000_t202" style="position:absolute;margin-left:255.3pt;margin-top:33.6pt;width:121.1pt;height:13.65pt;z-index:-25132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" filled="f" stroked="f">
          <o:lock v:ext="edit" aspectratio="t" verticies="t" text="t" shapetype="t"/>
          <v:textbox inset="0,0,0,0">
            <w:txbxContent>
              <w:p w:rsidR="008142C4" w:rsidRDefault="003048D3">
                <w:pPr>
                  <w:spacing w:before="11"/>
                  <w:ind w:left="20"/>
                  <w:rPr>
                    <w:b/>
                    <w:sz w:val="21"/>
                  </w:rPr>
                </w:pPr>
                <w:r>
                  <w:rPr>
                    <w:b/>
                    <w:w w:val="115"/>
                    <w:sz w:val="21"/>
                  </w:rPr>
                  <w:t>Substance Intoxication</w:t>
                </w:r>
              </w:p>
            </w:txbxContent>
          </v:textbox>
          <w10:wrap anchorx="page" anchory="page"/>
        </v:shape>
      </w:pict>
    </w:r>
    <w:r>
      <w:rPr>
        <w:noProof/>
      </w:rPr>
      <w:pict w14:anchorId="7804D3AD">
        <v:shape id="Text Box 1060" o:spid="_x0000_s2189" type="#_x0000_t202" style="position:absolute;margin-left:388.85pt;margin-top:33.6pt;width:24.65pt;height:13.65pt;z-index:-25131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" filled="f" stroked="f">
          <o:lock v:ext="edit" aspectratio="t" verticies="t" text="t" shapetype="t"/>
          <v:textbox inset="0,0,0,0">
            <w:txbxContent>
              <w:p w:rsidR="008142C4" w:rsidRDefault="003048D3">
                <w:pPr>
                  <w:spacing w:before="11"/>
                  <w:ind w:left="60"/>
                  <w:rPr>
                    <w:b/>
                    <w:sz w:val="21"/>
                  </w:rPr>
                </w:pPr>
                <w:r>
                  <w:fldChar w:fldCharType="begin"/>
                </w:r>
                <w:r>
                  <w:rPr>
                    <w:b/>
                    <w:w w:val="120"/>
                    <w:sz w:val="21"/>
                  </w:rPr>
                  <w:instrText xml:space="preserve"> PAGE </w:instrText>
                </w:r>
                <w:r>
                  <w:fldChar w:fldCharType="separate"/>
                </w:r>
                <w:r>
                  <w:t>183</w:t>
                </w:r>
                <w:r>
                  <w:fldChar w:fldCharType="end"/>
                </w:r>
              </w:p>
            </w:txbxContent>
          </v:textbox>
          <w10:wrap anchorx="page" anchory="page"/>
        </v:shape>
      </w:pic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6DF0A506">
        <v:line id="Line 1053" o:spid="_x0000_s2188" style="position:absolute;z-index:-25131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05pt,49.65pt" to="410.35pt,49.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" strokeweight=".16958mm">
          <v:path arrowok="f"/>
          <o:lock v:ext="edit" aspectratio="t" verticies="t"/>
          <w10:wrap anchorx="page" anchory="page"/>
        </v:line>
      </w:pict>
    </w:r>
    <w:r>
      <w:rPr>
        <w:noProof/>
      </w:rPr>
      <w:pict w14:anchorId="1DAFD1B5">
        <v:shapetype id="_x0000_t202" coordsize="21600,21600" o:spt="202" path="m,l,21600r21600,l21600,xe">
          <v:stroke joinstyle="miter"/>
          <v:path gradientshapeok="t" o:connecttype="rect"/>
        </v:shapetype>
        <v:shape id="Text Box 1052" o:spid="_x0000_s2187" type="#_x0000_t202" style="position:absolute;margin-left:34.8pt;margin-top:33.05pt;width:23.55pt;height:14.2pt;z-index:-25131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" filled="f" stroked="f">
          <o:lock v:ext="edit" aspectratio="t" verticies="t" text="t" shapetype="t"/>
          <v:textbox inset="0,0,0,0">
            <w:txbxContent>
              <w:p w:rsidR="008142C4" w:rsidRDefault="003048D3">
                <w:pPr>
                  <w:spacing w:before="11"/>
                  <w:ind w:left="60"/>
                  <w:rPr>
                    <w:b/>
                  </w:rPr>
                </w:pPr>
                <w:r>
                  <w:fldChar w:fldCharType="begin"/>
                </w:r>
                <w:r>
                  <w:rPr>
                    <w:b/>
                    <w:w w:val="105"/>
                  </w:rPr>
                  <w:instrText xml:space="preserve"> PAGE </w:instrText>
                </w:r>
                <w:r>
                  <w:fldChar w:fldCharType="separate"/>
                </w:r>
                <w:r>
                  <w:t>186</w:t>
                </w:r>
                <w:r>
                  <w:fldChar w:fldCharType="end"/>
                </w:r>
              </w:p>
            </w:txbxContent>
          </v:textbox>
          <w10:wrap anchorx="page" anchory="page"/>
        </v:shape>
      </w:pict>
    </w:r>
    <w:r>
      <w:rPr>
        <w:noProof/>
      </w:rPr>
      <w:pict w14:anchorId="52C0BD64">
        <v:shape id="Text Box 1051" o:spid="_x0000_s2186" type="#_x0000_t202" style="position:absolute;margin-left:70.6pt;margin-top:33.05pt;width:149.85pt;height:14.2pt;z-index:-25131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" filled="f" stroked="f">
          <o:lock v:ext="edit" aspectratio="t" verticies="t" text="t" shapetype="t"/>
          <v:textbox inset="0,0,0,0">
            <w:txbxContent>
              <w:p w:rsidR="008142C4" w:rsidRDefault="003048D3">
                <w:pPr>
                  <w:spacing w:before="11"/>
                  <w:ind w:left="20"/>
                  <w:rPr>
                    <w:b/>
                  </w:rPr>
                </w:pPr>
                <w:r>
                  <w:rPr>
                    <w:b/>
                    <w:w w:val="110"/>
                  </w:rPr>
                  <w:t>Substance-Related</w:t>
                </w:r>
                <w:r>
                  <w:rPr>
                    <w:b/>
                    <w:spacing w:val="-37"/>
                    <w:w w:val="110"/>
                  </w:rPr>
                  <w:t xml:space="preserve"> </w:t>
                </w:r>
                <w:r>
                  <w:rPr>
                    <w:b/>
                    <w:w w:val="110"/>
                  </w:rPr>
                  <w:t>Disorders</w:t>
                </w:r>
              </w:p>
            </w:txbxContent>
          </v:textbox>
          <w10:wrap anchorx="page" anchory="page"/>
        </v:shape>
      </w:pic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67CB8779">
        <v:line id="Line 1056" o:spid="_x0000_s2185" style="position:absolute;z-index:-25131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7pt,49.5pt" to="412pt,4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" strokeweight=".16958mm">
          <v:path arrowok="f"/>
          <o:lock v:ext="edit" aspectratio="t" verticies="t"/>
          <w10:wrap anchorx="page" anchory="page"/>
        </v:line>
      </w:pict>
    </w:r>
    <w:r>
      <w:rPr>
        <w:noProof/>
      </w:rPr>
      <w:pict w14:anchorId="54028080">
        <v:shapetype id="_x0000_t202" coordsize="21600,21600" o:spt="202" path="m,l,21600r21600,l21600,xe">
          <v:stroke joinstyle="miter"/>
          <v:path gradientshapeok="t" o:connecttype="rect"/>
        </v:shapetype>
        <v:shape id="Text Box 1055" o:spid="_x0000_s2184" type="#_x0000_t202" style="position:absolute;margin-left:260.05pt;margin-top:33.65pt;width:117.5pt;height:14.2pt;z-index:-25131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" filled="f" stroked="f">
          <o:lock v:ext="edit" aspectratio="t" verticies="t" text="t" shapetype="t"/>
          <v:textbox inset="0,0,0,0">
            <w:txbxContent>
              <w:p w:rsidR="008142C4" w:rsidRDefault="003048D3">
                <w:pPr>
                  <w:spacing w:before="11"/>
                  <w:ind w:left="20"/>
                  <w:rPr>
                    <w:b/>
                  </w:rPr>
                </w:pPr>
                <w:r>
                  <w:rPr>
                    <w:b/>
                    <w:w w:val="105"/>
                  </w:rPr>
                  <w:t>Substance Withdrawal</w:t>
                </w:r>
              </w:p>
            </w:txbxContent>
          </v:textbox>
          <w10:wrap anchorx="page" anchory="page"/>
        </v:shape>
      </w:pict>
    </w:r>
    <w:r>
      <w:rPr>
        <w:noProof/>
      </w:rPr>
      <w:pict w14:anchorId="54AFF114">
        <v:shape id="Text Box 1054" o:spid="_x0000_s2183" type="#_x0000_t202" style="position:absolute;margin-left:390pt;margin-top:33.65pt;width:23.55pt;height:14.2pt;z-index:-25131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" filled="f" stroked="f">
          <o:lock v:ext="edit" aspectratio="t" verticies="t" text="t" shapetype="t"/>
          <v:textbox inset="0,0,0,0">
            <w:txbxContent>
              <w:p w:rsidR="008142C4" w:rsidRDefault="003048D3">
                <w:pPr>
                  <w:spacing w:before="11"/>
                  <w:ind w:left="60"/>
                  <w:rPr>
                    <w:b/>
                  </w:rPr>
                </w:pPr>
                <w:r>
                  <w:fldChar w:fldCharType="begin"/>
                </w:r>
                <w:r>
                  <w:rPr>
                    <w:b/>
                    <w:w w:val="105"/>
                  </w:rPr>
                  <w:instrText xml:space="preserve"> PAGE </w:instrText>
                </w:r>
                <w:r>
                  <w:fldChar w:fldCharType="separate"/>
                </w:r>
                <w:r>
                  <w:t>185</w:t>
                </w:r>
                <w:r>
                  <w:fldChar w:fldCharType="end"/>
                </w:r>
              </w:p>
            </w:txbxContent>
          </v:textbox>
          <w10:wrap anchorx="page" anchory="page"/>
        </v:shape>
      </w:pic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753D0D32">
        <v:line id="Line 1050" o:spid="_x0000_s2182" style="position:absolute;z-index:-25130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65pt,49.55pt" to="411.05pt,49.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" strokeweight=".16958mm">
          <v:path arrowok="f"/>
          <o:lock v:ext="edit" aspectratio="t" verticies="t"/>
          <w10:wrap anchorx="page" anchory="page"/>
        </v:line>
      </w:pict>
    </w:r>
    <w:r>
      <w:rPr>
        <w:noProof/>
      </w:rPr>
      <w:pict w14:anchorId="793920A0">
        <v:shapetype id="_x0000_t202" coordsize="21600,21600" o:spt="202" path="m,l,21600r21600,l21600,xe">
          <v:stroke joinstyle="miter"/>
          <v:path gradientshapeok="t" o:connecttype="rect"/>
        </v:shapetype>
        <v:shape id="Text Box 1049" o:spid="_x0000_s2181" type="#_x0000_t202" style="position:absolute;margin-left:227.3pt;margin-top:33.45pt;width:149.45pt;height:14.2pt;z-index:-25130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" filled="f" stroked="f">
          <o:lock v:ext="edit" aspectratio="t" verticies="t" text="t" shapetype="t"/>
          <v:textbox inset="0,0,0,0">
            <w:txbxContent>
              <w:p w:rsidR="008142C4" w:rsidRDefault="003048D3">
                <w:pPr>
                  <w:spacing w:before="11"/>
                  <w:ind w:left="20"/>
                  <w:rPr>
                    <w:b/>
                  </w:rPr>
                </w:pPr>
                <w:r>
                  <w:rPr>
                    <w:b/>
                    <w:w w:val="110"/>
                  </w:rPr>
                  <w:t>Substance-Related</w:t>
                </w:r>
                <w:r>
                  <w:rPr>
                    <w:b/>
                    <w:spacing w:val="-42"/>
                    <w:w w:val="110"/>
                  </w:rPr>
                  <w:t xml:space="preserve"> </w:t>
                </w:r>
                <w:r>
                  <w:rPr>
                    <w:b/>
                    <w:w w:val="110"/>
                  </w:rPr>
                  <w:t>Disorders</w:t>
                </w:r>
              </w:p>
            </w:txbxContent>
          </v:textbox>
          <w10:wrap anchorx="page" anchory="page"/>
        </v:shape>
      </w:pict>
    </w:r>
    <w:r>
      <w:rPr>
        <w:noProof/>
      </w:rPr>
      <w:pict w14:anchorId="6CEDF3B7">
        <v:shape id="Text Box 1048" o:spid="_x0000_s2180" type="#_x0000_t202" style="position:absolute;margin-left:391.5pt;margin-top:33.45pt;width:20.2pt;height:14.2pt;z-index:-25130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" filled="f" stroked="f">
          <o:lock v:ext="edit" aspectratio="t" verticies="t" text="t" shapetype="t"/>
          <v:textbox inset="0,0,0,0">
            <w:txbxContent>
              <w:p w:rsidR="008142C4" w:rsidRDefault="003048D3">
                <w:pPr>
                  <w:spacing w:before="11"/>
                  <w:ind w:left="20"/>
                  <w:rPr>
                    <w:b/>
                  </w:rPr>
                </w:pPr>
                <w:r>
                  <w:rPr>
                    <w:b/>
                    <w:w w:val="110"/>
                  </w:rPr>
                  <w:t>187</w:t>
                </w:r>
              </w:p>
            </w:txbxContent>
          </v:textbox>
          <w10:wrap anchorx="page" anchory="page"/>
        </v:shape>
      </w:pic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61A81CC7">
        <v:line id="Line 1047" o:spid="_x0000_s2179" style="position:absolute;z-index:-25130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55pt,49.9pt" to="410.8pt,49.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" strokeweight=".16958mm">
          <v:path arrowok="f"/>
          <o:lock v:ext="edit" aspectratio="t" verticies="t"/>
          <w10:wrap anchorx="page" anchory="page"/>
        </v:line>
      </w:pict>
    </w:r>
    <w:r>
      <w:rPr>
        <w:noProof/>
      </w:rPr>
      <w:pict w14:anchorId="159F0FF2">
        <v:shapetype id="_x0000_t202" coordsize="21600,21600" o:spt="202" path="m,l,21600r21600,l21600,xe">
          <v:stroke joinstyle="miter"/>
          <v:path gradientshapeok="t" o:connecttype="rect"/>
        </v:shapetype>
        <v:shape id="Text Box 1046" o:spid="_x0000_s2178" type="#_x0000_t202" style="position:absolute;margin-left:34.8pt;margin-top:33.7pt;width:22.6pt;height:13.65pt;z-index:-25130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" filled="f" stroked="f">
          <o:lock v:ext="edit" aspectratio="t" verticies="t" text="t" shapetype="t"/>
          <v:textbox inset="0,0,0,0">
            <w:txbxContent>
              <w:p w:rsidR="008142C4" w:rsidRDefault="003048D3">
                <w:pPr>
                  <w:spacing w:before="11"/>
                  <w:ind w:left="60"/>
                  <w:rPr>
                    <w:b/>
                    <w:sz w:val="21"/>
                  </w:rPr>
                </w:pPr>
                <w:r>
                  <w:rPr>
                    <w:b/>
                    <w:w w:val="105"/>
                    <w:sz w:val="21"/>
                  </w:rPr>
                  <w:t>188</w:t>
                </w:r>
              </w:p>
            </w:txbxContent>
          </v:textbox>
          <w10:wrap anchorx="page" anchory="page"/>
        </v:shape>
      </w:pict>
    </w:r>
    <w:r>
      <w:rPr>
        <w:noProof/>
      </w:rPr>
      <w:pict w14:anchorId="1C61E2C7">
        <v:shape id="Text Box 1045" o:spid="_x0000_s2177" type="#_x0000_t202" style="position:absolute;margin-left:70.85pt;margin-top:33.7pt;width:149.7pt;height:13.65pt;z-index:-25130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" filled="f" stroked="f">
          <o:lock v:ext="edit" aspectratio="t" verticies="t" text="t" shapetype="t"/>
          <v:textbox inset="0,0,0,0">
            <w:txbxContent>
              <w:p w:rsidR="008142C4" w:rsidRDefault="003048D3">
                <w:pPr>
                  <w:spacing w:before="11"/>
                  <w:ind w:left="20"/>
                  <w:rPr>
                    <w:b/>
                    <w:sz w:val="21"/>
                  </w:rPr>
                </w:pPr>
                <w:r>
                  <w:rPr>
                    <w:b/>
                    <w:w w:val="115"/>
                    <w:sz w:val="21"/>
                  </w:rPr>
                  <w:t>Substance-Related</w:t>
                </w:r>
                <w:r>
                  <w:rPr>
                    <w:b/>
                    <w:spacing w:val="-36"/>
                    <w:w w:val="115"/>
                    <w:sz w:val="21"/>
                  </w:rPr>
                  <w:t xml:space="preserve"> </w:t>
                </w:r>
                <w:r>
                  <w:rPr>
                    <w:b/>
                    <w:w w:val="115"/>
                    <w:sz w:val="21"/>
                  </w:rPr>
                  <w:t>Disorders</w:t>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rPr>
        <w:sz w:val="2"/>
      </w:rPr>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24B69648">
        <v:line id="Line 1041" o:spid="_x0000_s2176" style="position:absolute;z-index:-25129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05pt,49.5pt" to="411.3pt,4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" strokeweight=".16958mm">
          <v:path arrowok="f"/>
          <o:lock v:ext="edit" aspectratio="t" verticies="t"/>
          <w10:wrap anchorx="page" anchory="page"/>
        </v:line>
      </w:pict>
    </w:r>
    <w:r>
      <w:rPr>
        <w:noProof/>
      </w:rPr>
      <w:pict w14:anchorId="09CE0F0C">
        <v:shapetype id="_x0000_t202" coordsize="21600,21600" o:spt="202" path="m,l,21600r21600,l21600,xe">
          <v:stroke joinstyle="miter"/>
          <v:path gradientshapeok="t" o:connecttype="rect"/>
        </v:shapetype>
        <v:shape id="Text Box 1040" o:spid="_x0000_s2175" type="#_x0000_t202" style="position:absolute;margin-left:33.75pt;margin-top:31.95pt;width:27.9pt;height:16.65pt;z-index:-25129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" filled="f" stroked="f">
          <o:lock v:ext="edit" aspectratio="t" verticies="t" text="t" shapetype="t"/>
          <v:textbox inset="0,0,0,0">
            <w:txbxContent>
              <w:p w:rsidR="008142C4" w:rsidRDefault="003048D3">
                <w:pPr>
                  <w:spacing w:before="24"/>
                  <w:ind w:left="133"/>
                  <w:rPr>
                    <w:b/>
                  </w:rPr>
                </w:pPr>
                <w:r>
                  <w:fldChar w:fldCharType="begin"/>
                </w:r>
                <w:r>
                  <w:rPr>
                    <w:b/>
                    <w:color w:val="0F0F0F"/>
                    <w:w w:val="110"/>
                  </w:rPr>
                  <w:instrText xml:space="preserve"> PAGE </w:instrText>
                </w:r>
                <w:r>
                  <w:fldChar w:fldCharType="separate"/>
                </w:r>
                <w:r>
                  <w:t>194</w:t>
                </w:r>
                <w:r>
                  <w:fldChar w:fldCharType="end"/>
                </w:r>
              </w:p>
            </w:txbxContent>
          </v:textbox>
          <w10:wrap anchorx="page" anchory="page"/>
        </v:shape>
      </w:pict>
    </w:r>
    <w:r>
      <w:rPr>
        <w:noProof/>
      </w:rPr>
      <w:pict w14:anchorId="506747C2">
        <v:shape id="Text Box 1039" o:spid="_x0000_s2174" type="#_x0000_t202" style="position:absolute;margin-left:73.5pt;margin-top:32.65pt;width:149.6pt;height:14.2pt;z-index:-25129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" filled="f" stroked="f">
          <o:lock v:ext="edit" aspectratio="t" verticies="t" text="t" shapetype="t"/>
          <v:textbox inset="0,0,0,0">
            <w:txbxContent>
              <w:p w:rsidR="008142C4" w:rsidRDefault="003048D3">
                <w:pPr>
                  <w:spacing w:before="11"/>
                  <w:ind w:left="20"/>
                  <w:rPr>
                    <w:b/>
                  </w:rPr>
                </w:pPr>
                <w:r>
                  <w:rPr>
                    <w:b/>
                    <w:color w:val="0F0F0F"/>
                    <w:w w:val="110"/>
                  </w:rPr>
                  <w:t>Substance-Related</w:t>
                </w:r>
                <w:r>
                  <w:rPr>
                    <w:b/>
                    <w:color w:val="0F0F0F"/>
                    <w:spacing w:val="-41"/>
                    <w:w w:val="110"/>
                  </w:rPr>
                  <w:t xml:space="preserve"> </w:t>
                </w:r>
                <w:r>
                  <w:rPr>
                    <w:b/>
                    <w:color w:val="0F0F0F"/>
                    <w:w w:val="110"/>
                  </w:rPr>
                  <w:t>Disorders</w:t>
                </w:r>
              </w:p>
            </w:txbxContent>
          </v:textbox>
          <w10:wrap anchorx="page" anchory="page"/>
        </v:shape>
      </w:pic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31E2D539">
        <v:line id="Line 1044" o:spid="_x0000_s2173" style="position:absolute;z-index:-25130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8pt,48.95pt" to="411.25pt,48.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" strokeweight=".16958mm">
          <v:path arrowok="f"/>
          <o:lock v:ext="edit" aspectratio="t" verticies="t"/>
          <w10:wrap anchorx="page" anchory="page"/>
        </v:line>
      </w:pict>
    </w:r>
    <w:r>
      <w:rPr>
        <w:noProof/>
      </w:rPr>
      <w:pict w14:anchorId="1343B06C">
        <v:shapetype id="_x0000_t202" coordsize="21600,21600" o:spt="202" path="m,l,21600r21600,l21600,xe">
          <v:stroke joinstyle="miter"/>
          <v:path gradientshapeok="t" o:connecttype="rect"/>
        </v:shapetype>
        <v:shape id="Text Box 1043" o:spid="_x0000_s2172" type="#_x0000_t202" style="position:absolute;margin-left:227.25pt;margin-top:32.85pt;width:149.5pt;height:14.2pt;z-index:-25130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" filled="f" stroked="f">
          <o:lock v:ext="edit" aspectratio="t" verticies="t" text="t" shapetype="t"/>
          <v:textbox inset="0,0,0,0">
            <w:txbxContent>
              <w:p w:rsidR="008142C4" w:rsidRDefault="003048D3">
                <w:pPr>
                  <w:spacing w:before="11"/>
                  <w:ind w:left="20"/>
                  <w:rPr>
                    <w:b/>
                  </w:rPr>
                </w:pPr>
                <w:r>
                  <w:rPr>
                    <w:b/>
                    <w:w w:val="110"/>
                  </w:rPr>
                  <w:t>Substance-Related</w:t>
                </w:r>
                <w:r>
                  <w:rPr>
                    <w:b/>
                    <w:spacing w:val="-41"/>
                    <w:w w:val="110"/>
                  </w:rPr>
                  <w:t xml:space="preserve"> </w:t>
                </w:r>
                <w:r>
                  <w:rPr>
                    <w:b/>
                    <w:w w:val="110"/>
                  </w:rPr>
                  <w:t>Disorders</w:t>
                </w:r>
              </w:p>
            </w:txbxContent>
          </v:textbox>
          <w10:wrap anchorx="page" anchory="page"/>
        </v:shape>
      </w:pict>
    </w:r>
    <w:r>
      <w:rPr>
        <w:noProof/>
      </w:rPr>
      <w:pict w14:anchorId="1A2DD605">
        <v:shape id="Text Box 1042" o:spid="_x0000_s2171" type="#_x0000_t202" style="position:absolute;margin-left:389pt;margin-top:32.85pt;width:24.7pt;height:14.75pt;z-index:-25130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" filled="f" stroked="f">
          <o:lock v:ext="edit" aspectratio="t" verticies="t" text="t" shapetype="t"/>
          <v:textbox inset="0,0,0,0">
            <w:txbxContent>
              <w:p w:rsidR="008142C4" w:rsidRDefault="003048D3">
                <w:pPr>
                  <w:spacing w:before="11"/>
                  <w:ind w:left="69"/>
                  <w:rPr>
                    <w:b/>
                  </w:rPr>
                </w:pPr>
                <w:r>
                  <w:fldChar w:fldCharType="begin"/>
                </w:r>
                <w:r>
                  <w:rPr>
                    <w:b/>
                    <w:w w:val="110"/>
                  </w:rPr>
                  <w:instrText xml:space="preserve"> PAGE </w:instrText>
                </w:r>
                <w:r>
                  <w:fldChar w:fldCharType="separate"/>
                </w:r>
                <w:r>
                  <w:t>189</w:t>
                </w:r>
                <w:r>
                  <w:fldChar w:fldCharType="end"/>
                </w:r>
              </w:p>
            </w:txbxContent>
          </v:textbox>
          <w10:wrap anchorx="page" anchory="page"/>
        </v:shape>
      </w:pic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439BA76F">
        <v:line id="Line 1035" o:spid="_x0000_s2170" style="position:absolute;z-index:-25129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05pt,50.5pt" to="411.25pt,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" strokeweight=".16958mm">
          <v:path arrowok="f"/>
          <o:lock v:ext="edit" aspectratio="t" verticies="t"/>
          <w10:wrap anchorx="page" anchory="page"/>
        </v:line>
      </w:pict>
    </w:r>
    <w:r>
      <w:rPr>
        <w:noProof/>
      </w:rPr>
      <w:pict w14:anchorId="11FB30CC">
        <v:shapetype id="_x0000_t202" coordsize="21600,21600" o:spt="202" path="m,l,21600r21600,l21600,xe">
          <v:stroke joinstyle="miter"/>
          <v:path gradientshapeok="t" o:connecttype="rect"/>
        </v:shapetype>
        <v:shape id="Text Box 1034" o:spid="_x0000_s2169" type="#_x0000_t202" style="position:absolute;margin-left:34.25pt;margin-top:34.4pt;width:23.05pt;height:14.2pt;z-index:-25129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" filled="f" stroked="f">
          <o:lock v:ext="edit" aspectratio="t" verticies="t" text="t" shapetype="t"/>
          <v:textbox inset="0,0,0,0">
            <w:txbxContent>
              <w:p w:rsidR="008142C4" w:rsidRDefault="003048D3">
                <w:pPr>
                  <w:spacing w:before="11"/>
                  <w:ind w:left="60"/>
                  <w:rPr>
                    <w:b/>
                  </w:rPr>
                </w:pPr>
                <w:r>
                  <w:fldChar w:fldCharType="begin"/>
                </w:r>
                <w:r>
                  <w:rPr>
                    <w:b/>
                    <w:w w:val="105"/>
                  </w:rPr>
                  <w:instrText xml:space="preserve"> PAGE </w:instrText>
                </w:r>
                <w:r>
                  <w:fldChar w:fldCharType="separate"/>
                </w:r>
                <w:r>
                  <w:t>196</w:t>
                </w:r>
                <w:r>
                  <w:fldChar w:fldCharType="end"/>
                </w:r>
              </w:p>
            </w:txbxContent>
          </v:textbox>
          <w10:wrap anchorx="page" anchory="page"/>
        </v:shape>
      </w:pict>
    </w:r>
    <w:r>
      <w:rPr>
        <w:noProof/>
      </w:rPr>
      <w:pict w14:anchorId="12C3C4C2">
        <v:shape id="Text Box 1033" o:spid="_x0000_s2168" type="#_x0000_t202" style="position:absolute;margin-left:70.3pt;margin-top:34.4pt;width:149.65pt;height:14.2pt;z-index:-25129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" filled="f" stroked="f">
          <o:lock v:ext="edit" aspectratio="t" verticies="t" text="t" shapetype="t"/>
          <v:textbox inset="0,0,0,0">
            <w:txbxContent>
              <w:p w:rsidR="008142C4" w:rsidRDefault="003048D3">
                <w:pPr>
                  <w:spacing w:before="11"/>
                  <w:ind w:left="20"/>
                  <w:rPr>
                    <w:b/>
                  </w:rPr>
                </w:pPr>
                <w:r>
                  <w:rPr>
                    <w:b/>
                    <w:w w:val="110"/>
                  </w:rPr>
                  <w:t>Substance-Related</w:t>
                </w:r>
                <w:r>
                  <w:rPr>
                    <w:b/>
                    <w:spacing w:val="-38"/>
                    <w:w w:val="110"/>
                  </w:rPr>
                  <w:t xml:space="preserve"> </w:t>
                </w:r>
                <w:r>
                  <w:rPr>
                    <w:b/>
                    <w:w w:val="110"/>
                  </w:rPr>
                  <w:t>Disorders</w:t>
                </w:r>
              </w:p>
            </w:txbxContent>
          </v:textbox>
          <w10:wrap anchorx="page" anchory="page"/>
        </v:shape>
      </w:pic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374C3E89">
        <v:line id="Line 1038" o:spid="_x0000_s2167" style="position:absolute;z-index:-25129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35pt,49.05pt" to="411.75pt,49.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" strokeweight=".16958mm">
          <v:path arrowok="f"/>
          <o:lock v:ext="edit" aspectratio="t" verticies="t"/>
          <w10:wrap anchorx="page" anchory="page"/>
        </v:line>
      </w:pict>
    </w:r>
    <w:r>
      <w:rPr>
        <w:noProof/>
      </w:rPr>
      <w:pict w14:anchorId="5F63A73A">
        <v:shapetype id="_x0000_t202" coordsize="21600,21600" o:spt="202" path="m,l,21600r21600,l21600,xe">
          <v:stroke joinstyle="miter"/>
          <v:path gradientshapeok="t" o:connecttype="rect"/>
        </v:shapetype>
        <v:shape id="Text Box 1037" o:spid="_x0000_s2166" type="#_x0000_t202" style="position:absolute;margin-left:238.9pt;margin-top:32.75pt;width:138.15pt;height:14.2pt;z-index:-25129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" filled="f" stroked="f">
          <o:lock v:ext="edit" aspectratio="t" verticies="t" text="t" shapetype="t"/>
          <v:textbox inset="0,0,0,0">
            <w:txbxContent>
              <w:p w:rsidR="008142C4" w:rsidRDefault="003048D3">
                <w:pPr>
                  <w:spacing w:before="11"/>
                  <w:ind w:left="20"/>
                  <w:rPr>
                    <w:b/>
                  </w:rPr>
                </w:pPr>
                <w:r>
                  <w:rPr>
                    <w:b/>
                    <w:w w:val="110"/>
                  </w:rPr>
                  <w:t>Alcohol-Related Disorders</w:t>
                </w:r>
              </w:p>
            </w:txbxContent>
          </v:textbox>
          <w10:wrap anchorx="page" anchory="page"/>
        </v:shape>
      </w:pict>
    </w:r>
    <w:r>
      <w:rPr>
        <w:noProof/>
      </w:rPr>
      <w:pict w14:anchorId="0BB6D95F">
        <v:shape id="Text Box 1036" o:spid="_x0000_s2165" type="#_x0000_t202" style="position:absolute;margin-left:389.75pt;margin-top:32.75pt;width:24.65pt;height:14.8pt;z-index:-25129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" filled="f" stroked="f">
          <o:lock v:ext="edit" aspectratio="t" verticies="t" text="t" shapetype="t"/>
          <v:textbox inset="0,0,0,0">
            <w:txbxContent>
              <w:p w:rsidR="008142C4" w:rsidRDefault="003048D3">
                <w:pPr>
                  <w:spacing w:before="11"/>
                  <w:ind w:left="60"/>
                  <w:rPr>
                    <w:b/>
                  </w:rPr>
                </w:pPr>
                <w:r>
                  <w:fldChar w:fldCharType="begin"/>
                </w:r>
                <w:r>
                  <w:rPr>
                    <w:b/>
                    <w:w w:val="110"/>
                  </w:rPr>
                  <w:instrText xml:space="preserve"> PAGE </w:instrText>
                </w:r>
                <w:r>
                  <w:fldChar w:fldCharType="separate"/>
                </w:r>
                <w:r>
                  <w:t>197</w:t>
                </w:r>
                <w:r>
                  <w:fldChar w:fldCharType="end"/>
                </w:r>
              </w:p>
            </w:txbxContent>
          </v:textbox>
          <w10:wrap anchorx="page" anchory="page"/>
        </v:shape>
      </w:pic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4D5B0F08">
        <v:line id="Line 1032" o:spid="_x0000_s2164" style="position:absolute;z-index:-25129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9pt,49pt" to="409.7pt,4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" strokeweight=".16958mm">
          <v:path arrowok="f"/>
          <o:lock v:ext="edit" aspectratio="t" verticies="t"/>
          <w10:wrap anchorx="page" anchory="page"/>
        </v:line>
      </w:pict>
    </w:r>
    <w:r>
      <w:rPr>
        <w:noProof/>
      </w:rPr>
      <w:pict w14:anchorId="0C3E4C92">
        <v:shapetype id="_x0000_t202" coordsize="21600,21600" o:spt="202" path="m,l,21600r21600,l21600,xe">
          <v:stroke joinstyle="miter"/>
          <v:path gradientshapeok="t" o:connecttype="rect"/>
        </v:shapetype>
        <v:shape id="Text Box 1031" o:spid="_x0000_s2163" type="#_x0000_t202" style="position:absolute;margin-left:32.65pt;margin-top:33.15pt;width:27.4pt;height:15.3pt;z-index:-25128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" filled="f" stroked="f">
          <o:lock v:ext="edit" aspectratio="t" verticies="t" text="t" shapetype="t"/>
          <v:textbox inset="0,0,0,0">
            <w:txbxContent>
              <w:p w:rsidR="008142C4" w:rsidRDefault="003048D3">
                <w:pPr>
                  <w:spacing w:before="32"/>
                  <w:ind w:left="60"/>
                  <w:rPr>
                    <w:b/>
                  </w:rPr>
                </w:pPr>
                <w:r>
                  <w:fldChar w:fldCharType="begin"/>
                </w:r>
                <w:r>
                  <w:rPr>
                    <w:b/>
                    <w:w w:val="110"/>
                  </w:rPr>
                  <w:instrText xml:space="preserve"> PAGE </w:instrText>
                </w:r>
                <w:r>
                  <w:fldChar w:fldCharType="separate"/>
                </w:r>
                <w:r>
                  <w:t>200</w:t>
                </w:r>
                <w:r>
                  <w:fldChar w:fldCharType="end"/>
                </w:r>
              </w:p>
            </w:txbxContent>
          </v:textbox>
          <w10:wrap anchorx="page" anchory="page"/>
        </v:shape>
      </w:pict>
    </w:r>
    <w:r>
      <w:rPr>
        <w:noProof/>
      </w:rPr>
      <w:pict w14:anchorId="0E878954">
        <v:shape id="Text Box 1030" o:spid="_x0000_s2162" type="#_x0000_t202" style="position:absolute;margin-left:68.25pt;margin-top:34.2pt;width:149.85pt;height:14.2pt;z-index:-25128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" filled="f" stroked="f">
          <o:lock v:ext="edit" aspectratio="t" verticies="t" text="t" shapetype="t"/>
          <v:textbox inset="0,0,0,0">
            <w:txbxContent>
              <w:p w:rsidR="008142C4" w:rsidRDefault="003048D3">
                <w:pPr>
                  <w:spacing w:before="11"/>
                  <w:ind w:left="20"/>
                  <w:rPr>
                    <w:b/>
                  </w:rPr>
                </w:pPr>
                <w:r>
                  <w:rPr>
                    <w:b/>
                    <w:w w:val="110"/>
                  </w:rPr>
                  <w:t>Substance-Related</w:t>
                </w:r>
                <w:r>
                  <w:rPr>
                    <w:b/>
                    <w:spacing w:val="-37"/>
                    <w:w w:val="110"/>
                  </w:rPr>
                  <w:t xml:space="preserve"> </w:t>
                </w:r>
                <w:r>
                  <w:rPr>
                    <w:b/>
                    <w:w w:val="110"/>
                  </w:rPr>
                  <w:t>Disorders</w:t>
                </w:r>
              </w:p>
            </w:txbxContent>
          </v:textbox>
          <w10:wrap anchorx="page" anchory="page"/>
        </v:shape>
      </w:pic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6E38BF93">
        <v:line id="Line 1029" o:spid="_x0000_s2161" style="position:absolute;z-index:-25128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85pt,49.55pt" to="411.25pt,49.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" strokeweight=".08478mm">
          <v:path arrowok="f"/>
          <o:lock v:ext="edit" aspectratio="t" verticies="t"/>
          <w10:wrap anchorx="page" anchory="page"/>
        </v:line>
      </w:pict>
    </w:r>
    <w:r>
      <w:rPr>
        <w:noProof/>
      </w:rPr>
      <w:pict w14:anchorId="136E6117">
        <v:shapetype id="_x0000_t202" coordsize="21600,21600" o:spt="202" path="m,l,21600r21600,l21600,xe">
          <v:stroke joinstyle="miter"/>
          <v:path gradientshapeok="t" o:connecttype="rect"/>
        </v:shapetype>
        <v:shape id="Text Box 1028" o:spid="_x0000_s2160" type="#_x0000_t202" style="position:absolute;margin-left:236.85pt;margin-top:35.4pt;width:138.25pt;height:13.65pt;z-index:-25128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" filled="f" stroked="f">
          <o:lock v:ext="edit" aspectratio="t" verticies="t" text="t" shapetype="t"/>
          <v:textbox inset="0,0,0,0">
            <w:txbxContent>
              <w:p w:rsidR="008142C4" w:rsidRDefault="003048D3">
                <w:pPr>
                  <w:spacing w:before="11"/>
                  <w:ind w:left="20"/>
                  <w:rPr>
                    <w:b/>
                    <w:sz w:val="21"/>
                  </w:rPr>
                </w:pPr>
                <w:r>
                  <w:rPr>
                    <w:b/>
                    <w:w w:val="115"/>
                    <w:sz w:val="21"/>
                  </w:rPr>
                  <w:t>Alcohol-Related Disorders</w:t>
                </w:r>
              </w:p>
            </w:txbxContent>
          </v:textbox>
          <w10:wrap anchorx="page" anchory="page"/>
        </v:shape>
      </w:pict>
    </w:r>
    <w:r>
      <w:rPr>
        <w:noProof/>
      </w:rPr>
      <w:pict w14:anchorId="055F5FF5">
        <v:shape id="Text Box 1027" o:spid="_x0000_s2159" type="#_x0000_t202" style="position:absolute;margin-left:387.5pt;margin-top:35.4pt;width:24.35pt;height:13.65pt;z-index:-25128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" filled="f" stroked="f">
          <o:lock v:ext="edit" aspectratio="t" verticies="t" text="t" shapetype="t"/>
          <v:textbox inset="0,0,0,0">
            <w:txbxContent>
              <w:p w:rsidR="008142C4" w:rsidRDefault="003048D3">
                <w:pPr>
                  <w:spacing w:before="11"/>
                  <w:ind w:left="60"/>
                  <w:rPr>
                    <w:b/>
                    <w:sz w:val="21"/>
                  </w:rPr>
                </w:pPr>
                <w:r>
                  <w:fldChar w:fldCharType="begin"/>
                </w:r>
                <w:r>
                  <w:rPr>
                    <w:b/>
                    <w:w w:val="115"/>
                    <w:sz w:val="21"/>
                  </w:rPr>
                  <w:instrText xml:space="preserve"> PAGE </w:instrText>
                </w:r>
                <w:r>
                  <w:fldChar w:fldCharType="separate"/>
                </w:r>
                <w:r>
                  <w:t>199</w:t>
                </w:r>
                <w:r>
                  <w:fldChar w:fldCharType="end"/>
                </w:r>
              </w:p>
            </w:txbxContent>
          </v:textbox>
          <w10:wrap anchorx="page" anchory="page"/>
        </v:shape>
      </w:pic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598F0238">
        <v:line id="Line 1026" o:spid="_x0000_s2158" style="position:absolute;z-index:-25128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05pt,49pt" to="410.3pt,4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" strokeweight=".16958mm">
          <v:path arrowok="f"/>
          <o:lock v:ext="edit" aspectratio="t" verticies="t"/>
          <w10:wrap anchorx="page" anchory="page"/>
        </v:line>
      </w:pict>
    </w:r>
    <w:r>
      <w:rPr>
        <w:noProof/>
      </w:rPr>
      <w:pict w14:anchorId="645515BD">
        <v:shapetype id="_x0000_t202" coordsize="21600,21600" o:spt="202" path="m,l,21600r21600,l21600,xe">
          <v:stroke joinstyle="miter"/>
          <v:path gradientshapeok="t" o:connecttype="rect"/>
        </v:shapetype>
        <v:shape id="Text Box 1025" o:spid="_x0000_s2157" type="#_x0000_t202" style="position:absolute;margin-left:238.45pt;margin-top:33.15pt;width:138.1pt;height:14.2pt;z-index:-25128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" filled="f" stroked="f">
          <o:lock v:ext="edit" aspectratio="t" verticies="t" text="t" shapetype="t"/>
          <v:textbox inset="0,0,0,0">
            <w:txbxContent>
              <w:p w:rsidR="008142C4" w:rsidRDefault="003048D3">
                <w:pPr>
                  <w:spacing w:before="11"/>
                  <w:ind w:left="20"/>
                  <w:rPr>
                    <w:b/>
                  </w:rPr>
                </w:pPr>
                <w:r>
                  <w:rPr>
                    <w:b/>
                    <w:w w:val="110"/>
                  </w:rPr>
                  <w:t>Alcohol-Related Disorders</w:t>
                </w:r>
              </w:p>
            </w:txbxContent>
          </v:textbox>
          <w10:wrap anchorx="page" anchory="page"/>
        </v:shape>
      </w:pict>
    </w:r>
    <w:r>
      <w:rPr>
        <w:noProof/>
      </w:rPr>
      <w:pict w14:anchorId="7BF24798">
        <v:shape id="Text Box 1024" o:spid="_x0000_s2156" type="#_x0000_t202" style="position:absolute;margin-left:391pt;margin-top:33.15pt;width:20.4pt;height:14.2pt;z-index:-25128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" filled="f" stroked="f">
          <o:lock v:ext="edit" aspectratio="t" verticies="t" text="t" shapetype="t"/>
          <v:textbox inset="0,0,0,0">
            <w:txbxContent>
              <w:p w:rsidR="008142C4" w:rsidRDefault="003048D3">
                <w:pPr>
                  <w:spacing w:before="11"/>
                  <w:ind w:left="20"/>
                  <w:rPr>
                    <w:b/>
                  </w:rPr>
                </w:pPr>
                <w:r>
                  <w:rPr>
                    <w:b/>
                    <w:w w:val="110"/>
                  </w:rPr>
                  <w:t>201</w:t>
                </w:r>
              </w:p>
            </w:txbxContent>
          </v:textbox>
          <w10:wrap anchorx="page" anchory="page"/>
        </v:shape>
      </w:pict>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5A2E74E7">
        <v:line id="Line 1023" o:spid="_x0000_s2155" style="position:absolute;z-index:-25128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4pt,49.65pt" to="410.75pt,49.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" strokeweight=".16958mm">
          <v:path arrowok="f"/>
          <o:lock v:ext="edit" aspectratio="t" verticies="t"/>
          <w10:wrap anchorx="page" anchory="page"/>
        </v:line>
      </w:pict>
    </w:r>
    <w:r>
      <w:rPr>
        <w:noProof/>
      </w:rPr>
      <w:pict w14:anchorId="19987D4A">
        <v:shapetype id="_x0000_t202" coordsize="21600,21600" o:spt="202" path="m,l,21600r21600,l21600,xe">
          <v:stroke joinstyle="miter"/>
          <v:path gradientshapeok="t" o:connecttype="rect"/>
        </v:shapetype>
        <v:shape id="Text Box 1022" o:spid="_x0000_s2154" type="#_x0000_t202" style="position:absolute;margin-left:35.65pt;margin-top:33.5pt;width:23.05pt;height:13.65pt;z-index:-25128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" filled="f" stroked="f">
          <o:lock v:ext="edit" aspectratio="t" verticies="t" text="t" shapetype="t"/>
          <v:textbox inset="0,0,0,0">
            <w:txbxContent>
              <w:p w:rsidR="008142C4" w:rsidRDefault="003048D3">
                <w:pPr>
                  <w:spacing w:before="11"/>
                  <w:ind w:left="60"/>
                  <w:rPr>
                    <w:b/>
                    <w:sz w:val="21"/>
                  </w:rPr>
                </w:pPr>
                <w:r>
                  <w:rPr>
                    <w:b/>
                    <w:w w:val="110"/>
                    <w:sz w:val="21"/>
                  </w:rPr>
                  <w:t>202</w:t>
                </w:r>
              </w:p>
            </w:txbxContent>
          </v:textbox>
          <w10:wrap anchorx="page" anchory="page"/>
        </v:shape>
      </w:pict>
    </w:r>
    <w:r>
      <w:rPr>
        <w:noProof/>
      </w:rPr>
      <w:pict w14:anchorId="273BADF8">
        <v:shape id="Text Box 1021" o:spid="_x0000_s2153" type="#_x0000_t202" style="position:absolute;margin-left:71.5pt;margin-top:33.5pt;width:149.25pt;height:13.65pt;z-index:-25127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" filled="f" stroked="f">
          <o:lock v:ext="edit" aspectratio="t" verticies="t" text="t" shapetype="t"/>
          <v:textbox inset="0,0,0,0">
            <w:txbxContent>
              <w:p w:rsidR="008142C4" w:rsidRDefault="003048D3">
                <w:pPr>
                  <w:spacing w:before="11"/>
                  <w:ind w:left="20"/>
                  <w:rPr>
                    <w:b/>
                    <w:sz w:val="21"/>
                  </w:rPr>
                </w:pPr>
                <w:r>
                  <w:rPr>
                    <w:b/>
                    <w:w w:val="115"/>
                    <w:sz w:val="21"/>
                  </w:rPr>
                  <w:t>Substance-Related</w:t>
                </w:r>
                <w:r>
                  <w:rPr>
                    <w:b/>
                    <w:spacing w:val="-42"/>
                    <w:w w:val="115"/>
                    <w:sz w:val="21"/>
                  </w:rPr>
                  <w:t xml:space="preserve"> </w:t>
                </w:r>
                <w:r>
                  <w:rPr>
                    <w:b/>
                    <w:w w:val="115"/>
                    <w:sz w:val="21"/>
                  </w:rPr>
                  <w:t>Disorders</w:t>
                </w:r>
              </w:p>
            </w:txbxContent>
          </v:textbox>
          <w10:wrap anchorx="page" anchory="page"/>
        </v:shape>
      </w:pic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43564DFC">
        <v:line id="Line 1020" o:spid="_x0000_s2152" style="position:absolute;z-index:-25127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8pt,49.3pt" to="411.25pt,49.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" strokeweight=".16958mm">
          <v:path arrowok="f"/>
          <o:lock v:ext="edit" aspectratio="t" verticies="t"/>
          <w10:wrap anchorx="page" anchory="page"/>
        </v:line>
      </w:pict>
    </w:r>
    <w:r>
      <w:rPr>
        <w:noProof/>
      </w:rPr>
      <w:pict w14:anchorId="1FE8B2E7">
        <v:shapetype id="_x0000_t202" coordsize="21600,21600" o:spt="202" path="m,l,21600r21600,l21600,xe">
          <v:stroke joinstyle="miter"/>
          <v:path gradientshapeok="t" o:connecttype="rect"/>
        </v:shapetype>
        <v:shape id="Text Box 1019" o:spid="_x0000_s2151" type="#_x0000_t202" style="position:absolute;margin-left:239.3pt;margin-top:33.2pt;width:137.95pt;height:14.2pt;z-index:-25127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" filled="f" stroked="f">
          <o:lock v:ext="edit" aspectratio="t" verticies="t" text="t" shapetype="t"/>
          <v:textbox inset="0,0,0,0">
            <w:txbxContent>
              <w:p w:rsidR="008142C4" w:rsidRDefault="003048D3">
                <w:pPr>
                  <w:spacing w:before="11"/>
                  <w:ind w:left="20"/>
                  <w:rPr>
                    <w:b/>
                  </w:rPr>
                </w:pPr>
                <w:r>
                  <w:rPr>
                    <w:b/>
                    <w:w w:val="110"/>
                  </w:rPr>
                  <w:t>Alcohol-Related Disorders</w:t>
                </w:r>
              </w:p>
            </w:txbxContent>
          </v:textbox>
          <w10:wrap anchorx="page" anchory="page"/>
        </v:shape>
      </w:pict>
    </w:r>
    <w:r>
      <w:rPr>
        <w:noProof/>
      </w:rPr>
      <w:pict w14:anchorId="67021131">
        <v:shape id="Text Box 1018" o:spid="_x0000_s2150" type="#_x0000_t202" style="position:absolute;margin-left:391.95pt;margin-top:33.2pt;width:20.2pt;height:14.2pt;z-index:-25127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" filled="f" stroked="f">
          <o:lock v:ext="edit" aspectratio="t" verticies="t" text="t" shapetype="t"/>
          <v:textbox inset="0,0,0,0">
            <w:txbxContent>
              <w:p w:rsidR="008142C4" w:rsidRDefault="003048D3">
                <w:pPr>
                  <w:spacing w:before="11"/>
                  <w:ind w:left="20"/>
                  <w:rPr>
                    <w:b/>
                  </w:rPr>
                </w:pPr>
                <w:r>
                  <w:rPr>
                    <w:b/>
                    <w:w w:val="110"/>
                  </w:rPr>
                  <w:t>203</w:t>
                </w:r>
              </w:p>
            </w:txbxContent>
          </v:textbox>
          <w10:wrap anchorx="page" anchory="page"/>
        </v:shape>
      </w:pic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7AF67C6E">
        <v:line id="Line 1017" o:spid="_x0000_s2149" style="position:absolute;z-index:-25127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pt,49.25pt" to="409.85pt,49.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" strokeweight=".16956mm">
          <v:path arrowok="f"/>
          <o:lock v:ext="edit" aspectratio="t" verticies="t"/>
          <w10:wrap anchorx="page" anchory="page"/>
        </v:line>
      </w:pict>
    </w:r>
    <w:r>
      <w:rPr>
        <w:noProof/>
      </w:rPr>
      <w:pict w14:anchorId="50D37586">
        <v:shapetype id="_x0000_t202" coordsize="21600,21600" o:spt="202" path="m,l,21600r21600,l21600,xe">
          <v:stroke joinstyle="miter"/>
          <v:path gradientshapeok="t" o:connecttype="rect"/>
        </v:shapetype>
        <v:shape id="Text Box 1016" o:spid="_x0000_s2148" type="#_x0000_t202" style="position:absolute;margin-left:35.25pt;margin-top:32.4pt;width:24.05pt;height:14.2pt;z-index:-25127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" filled="f" stroked="f">
          <o:lock v:ext="edit" aspectratio="t" verticies="t" text="t" shapetype="t"/>
          <v:textbox inset="0,0,0,0">
            <w:txbxContent>
              <w:p w:rsidR="008142C4" w:rsidRDefault="003048D3">
                <w:pPr>
                  <w:spacing w:before="11"/>
                  <w:ind w:left="60"/>
                  <w:rPr>
                    <w:b/>
                  </w:rPr>
                </w:pPr>
                <w:r>
                  <w:rPr>
                    <w:b/>
                    <w:w w:val="110"/>
                  </w:rPr>
                  <w:t>204</w:t>
                </w:r>
              </w:p>
            </w:txbxContent>
          </v:textbox>
          <w10:wrap anchorx="page" anchory="page"/>
        </v:shape>
      </w:pict>
    </w:r>
    <w:r>
      <w:rPr>
        <w:noProof/>
      </w:rPr>
      <w:pict w14:anchorId="34027474">
        <v:shape id="Text Box 1015" o:spid="_x0000_s2147" type="#_x0000_t202" style="position:absolute;margin-left:70.9pt;margin-top:32.4pt;width:149.85pt;height:14.2pt;z-index:-25127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" filled="f" stroked="f">
          <o:lock v:ext="edit" aspectratio="t" verticies="t" text="t" shapetype="t"/>
          <v:textbox inset="0,0,0,0">
            <w:txbxContent>
              <w:p w:rsidR="008142C4" w:rsidRDefault="003048D3">
                <w:pPr>
                  <w:spacing w:before="11"/>
                  <w:ind w:left="20"/>
                  <w:rPr>
                    <w:b/>
                  </w:rPr>
                </w:pPr>
                <w:r>
                  <w:rPr>
                    <w:b/>
                    <w:w w:val="110"/>
                  </w:rPr>
                  <w:t>Substance-Related</w:t>
                </w:r>
                <w:r>
                  <w:rPr>
                    <w:b/>
                    <w:spacing w:val="-38"/>
                    <w:w w:val="110"/>
                  </w:rPr>
                  <w:t xml:space="preserve"> </w:t>
                </w:r>
                <w:r>
                  <w:rPr>
                    <w:b/>
                    <w:w w:val="110"/>
                  </w:rPr>
                  <w:t>Disorders</w:t>
                </w:r>
              </w:p>
            </w:txbxContent>
          </v:textbox>
          <w10:wrap anchorx="page" anchory="page"/>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325F6914">
        <v:shapetype id="_x0000_t202" coordsize="21600,21600" o:spt="202" path="m,l,21600r21600,l21600,xe">
          <v:stroke joinstyle="miter"/>
          <v:path gradientshapeok="t" o:connecttype="rect"/>
        </v:shapetype>
        <v:shape id="Text Box 1367" o:spid="_x0000_s2502" type="#_x0000_t202" style="position:absolute;margin-left:305.3pt;margin-top:34pt;width:68.05pt;height:14.2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" filled="f" stroked="f">
          <o:lock v:ext="edit" aspectratio="t" verticies="t" text="t" shapetype="t"/>
          <v:textbox inset="0,0,0,0">
            <w:txbxContent>
              <w:p w:rsidR="008142C4" w:rsidRDefault="003048D3">
                <w:pPr>
                  <w:spacing w:before="11"/>
                  <w:ind w:left="20"/>
                  <w:rPr>
                    <w:b/>
                  </w:rPr>
                </w:pPr>
                <w:r>
                  <w:rPr>
                    <w:b/>
                    <w:w w:val="110"/>
                  </w:rPr>
                  <w:t>Introduction</w:t>
                </w:r>
              </w:p>
            </w:txbxContent>
          </v:textbox>
          <w10:wrap anchorx="page" anchory="page"/>
        </v:shape>
      </w:pict>
    </w:r>
    <w:r>
      <w:rPr>
        <w:noProof/>
      </w:rPr>
      <w:pict w14:anchorId="3AF3F44A">
        <v:shape id="Text Box 1366" o:spid="_x0000_s2501" type="#_x0000_t202" style="position:absolute;margin-left:385.3pt;margin-top:34pt;width:26.25pt;height:14.4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" filled="f" stroked="f">
          <o:lock v:ext="edit" aspectratio="t" verticies="t" text="t" shapetype="t"/>
          <v:textbox inset="0,0,0,0">
            <w:txbxContent>
              <w:p w:rsidR="008142C4" w:rsidRDefault="003048D3">
                <w:pPr>
                  <w:spacing w:before="11"/>
                  <w:ind w:left="60"/>
                  <w:rPr>
                    <w:b/>
                  </w:rPr>
                </w:pPr>
                <w:r>
                  <w:rPr>
                    <w:b/>
                    <w:w w:val="120"/>
                  </w:rPr>
                  <w:t>xvii</w:t>
                </w:r>
              </w:p>
            </w:txbxContent>
          </v:textbox>
          <w10:wrap anchorx="page" anchory="page"/>
        </v:shape>
      </w:pict>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36A0D768">
        <v:line id="Line 1011" o:spid="_x0000_s2146" style="position:absolute;z-index:-25126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55pt,50.2pt" to="411.75pt,50.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" strokeweight=".25436mm">
          <v:path arrowok="f"/>
          <o:lock v:ext="edit" aspectratio="t" verticies="t"/>
          <w10:wrap anchorx="page" anchory="page"/>
        </v:line>
      </w:pict>
    </w:r>
    <w:r>
      <w:rPr>
        <w:noProof/>
      </w:rPr>
      <w:pict w14:anchorId="60965DE1">
        <v:shapetype id="_x0000_t202" coordsize="21600,21600" o:spt="202" path="m,l,21600r21600,l21600,xe">
          <v:stroke joinstyle="miter"/>
          <v:path gradientshapeok="t" o:connecttype="rect"/>
        </v:shapetype>
        <v:shape id="Text Box 1010" o:spid="_x0000_s2145" type="#_x0000_t202" style="position:absolute;margin-left:35.2pt;margin-top:33.6pt;width:24.2pt;height:14.2pt;z-index:-25126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" filled="f" stroked="f">
          <o:lock v:ext="edit" aspectratio="t" verticies="t" text="t" shapetype="t"/>
          <v:textbox inset="0,0,0,0">
            <w:txbxContent>
              <w:p w:rsidR="008142C4" w:rsidRDefault="003048D3">
                <w:pPr>
                  <w:spacing w:before="11"/>
                  <w:ind w:left="60"/>
                  <w:rPr>
                    <w:b/>
                  </w:rPr>
                </w:pPr>
                <w:r>
                  <w:fldChar w:fldCharType="begin"/>
                </w:r>
                <w:r>
                  <w:rPr>
                    <w:b/>
                    <w:w w:val="110"/>
                  </w:rPr>
                  <w:instrText xml:space="preserve"> PAGE </w:instrText>
                </w:r>
                <w:r>
                  <w:fldChar w:fldCharType="separate"/>
                </w:r>
                <w:r>
                  <w:t>206</w:t>
                </w:r>
                <w:r>
                  <w:fldChar w:fldCharType="end"/>
                </w:r>
              </w:p>
            </w:txbxContent>
          </v:textbox>
          <w10:wrap anchorx="page" anchory="page"/>
        </v:shape>
      </w:pict>
    </w:r>
    <w:r>
      <w:rPr>
        <w:noProof/>
      </w:rPr>
      <w:pict w14:anchorId="55C4008C">
        <v:shape id="Text Box 1009" o:spid="_x0000_s2144" type="#_x0000_t202" style="position:absolute;margin-left:70.8pt;margin-top:33.6pt;width:149.4pt;height:14.2pt;z-index:-25126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" filled="f" stroked="f">
          <o:lock v:ext="edit" aspectratio="t" verticies="t" text="t" shapetype="t"/>
          <v:textbox inset="0,0,0,0">
            <w:txbxContent>
              <w:p w:rsidR="008142C4" w:rsidRDefault="003048D3">
                <w:pPr>
                  <w:spacing w:before="11"/>
                  <w:ind w:left="20"/>
                  <w:rPr>
                    <w:b/>
                  </w:rPr>
                </w:pPr>
                <w:r>
                  <w:rPr>
                    <w:b/>
                    <w:w w:val="110"/>
                  </w:rPr>
                  <w:t>Substance-Related</w:t>
                </w:r>
                <w:r>
                  <w:rPr>
                    <w:b/>
                    <w:spacing w:val="-42"/>
                    <w:w w:val="110"/>
                  </w:rPr>
                  <w:t xml:space="preserve"> </w:t>
                </w:r>
                <w:r>
                  <w:rPr>
                    <w:b/>
                    <w:w w:val="110"/>
                  </w:rPr>
                  <w:t>Disorders</w:t>
                </w:r>
              </w:p>
            </w:txbxContent>
          </v:textbox>
          <w10:wrap anchorx="page" anchory="page"/>
        </v:shape>
      </w:pic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2679AB0B">
        <v:line id="Line 1014" o:spid="_x0000_s2143" style="position:absolute;z-index:-25127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7pt,49.85pt" to="411.05pt,49.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" strokeweight=".16958mm">
          <v:path arrowok="f"/>
          <o:lock v:ext="edit" aspectratio="t" verticies="t"/>
          <w10:wrap anchorx="page" anchory="page"/>
        </v:line>
      </w:pict>
    </w:r>
    <w:r>
      <w:rPr>
        <w:noProof/>
      </w:rPr>
      <w:pict w14:anchorId="623022C4">
        <v:shapetype id="_x0000_t202" coordsize="21600,21600" o:spt="202" path="m,l,21600r21600,l21600,xe">
          <v:stroke joinstyle="miter"/>
          <v:path gradientshapeok="t" o:connecttype="rect"/>
        </v:shapetype>
        <v:shape id="Text Box 1013" o:spid="_x0000_s2142" type="#_x0000_t202" style="position:absolute;margin-left:204.7pt;margin-top:32.1pt;width:171.6pt;height:14.2pt;z-index:-25127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" filled="f" stroked="f">
          <o:lock v:ext="edit" aspectratio="t" verticies="t" text="t" shapetype="t"/>
          <v:textbox inset="0,0,0,0">
            <w:txbxContent>
              <w:p w:rsidR="008142C4" w:rsidRDefault="003048D3">
                <w:pPr>
                  <w:spacing w:before="11"/>
                  <w:ind w:left="20"/>
                  <w:rPr>
                    <w:b/>
                  </w:rPr>
                </w:pPr>
                <w:r>
                  <w:rPr>
                    <w:b/>
                    <w:w w:val="110"/>
                  </w:rPr>
                  <w:t>Amphetamine-Related Disorders</w:t>
                </w:r>
              </w:p>
            </w:txbxContent>
          </v:textbox>
          <w10:wrap anchorx="page" anchory="page"/>
        </v:shape>
      </w:pict>
    </w:r>
    <w:r>
      <w:rPr>
        <w:noProof/>
      </w:rPr>
      <w:pict w14:anchorId="0A8C6DB0">
        <v:shape id="Text Box 1012" o:spid="_x0000_s2141" type="#_x0000_t202" style="position:absolute;margin-left:388.75pt;margin-top:32.1pt;width:26.05pt;height:15.75pt;z-index:-25127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" filled="f" stroked="f">
          <o:lock v:ext="edit" aspectratio="t" verticies="t" text="t" shapetype="t"/>
          <v:textbox inset="0,0,0,0">
            <w:txbxContent>
              <w:p w:rsidR="008142C4" w:rsidRDefault="003048D3">
                <w:pPr>
                  <w:spacing w:before="11"/>
                  <w:ind w:left="69"/>
                  <w:rPr>
                    <w:b/>
                  </w:rPr>
                </w:pPr>
                <w:r>
                  <w:fldChar w:fldCharType="begin"/>
                </w:r>
                <w:r>
                  <w:rPr>
                    <w:b/>
                    <w:w w:val="110"/>
                  </w:rPr>
                  <w:instrText xml:space="preserve"> PAGE </w:instrText>
                </w:r>
                <w:r>
                  <w:fldChar w:fldCharType="separate"/>
                </w:r>
                <w:r>
                  <w:t>211</w:t>
                </w:r>
                <w:r>
                  <w:fldChar w:fldCharType="end"/>
                </w:r>
              </w:p>
            </w:txbxContent>
          </v:textbox>
          <w10:wrap anchorx="page" anchory="page"/>
        </v:shape>
      </w:pic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450FCC88">
        <v:line id="Line 1008" o:spid="_x0000_s2140" style="position:absolute;z-index:-25126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pt,49.45pt" to="411.25pt,49.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" strokeweight=".16958mm">
          <v:path arrowok="f"/>
          <o:lock v:ext="edit" aspectratio="t" verticies="t"/>
          <w10:wrap anchorx="page" anchory="page"/>
        </v:line>
      </w:pict>
    </w:r>
    <w:r>
      <w:rPr>
        <w:noProof/>
      </w:rPr>
      <w:pict w14:anchorId="66891DCF">
        <v:shapetype id="_x0000_t202" coordsize="21600,21600" o:spt="202" path="m,l,21600r21600,l21600,xe">
          <v:stroke joinstyle="miter"/>
          <v:path gradientshapeok="t" o:connecttype="rect"/>
        </v:shapetype>
        <v:shape id="Text Box 1007" o:spid="_x0000_s2139" type="#_x0000_t202" style="position:absolute;margin-left:34.25pt;margin-top:32.55pt;width:25.9pt;height:15pt;z-index:-25126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" filled="f" stroked="f">
          <o:lock v:ext="edit" aspectratio="t" verticies="t" text="t" shapetype="t"/>
          <v:textbox inset="0,0,0,0">
            <w:txbxContent>
              <w:p w:rsidR="008142C4" w:rsidRDefault="003048D3">
                <w:pPr>
                  <w:spacing w:before="11"/>
                  <w:ind w:left="106"/>
                  <w:rPr>
                    <w:b/>
                  </w:rPr>
                </w:pPr>
                <w:r>
                  <w:fldChar w:fldCharType="begin"/>
                </w:r>
                <w:r>
                  <w:rPr>
                    <w:b/>
                    <w:w w:val="105"/>
                  </w:rPr>
                  <w:instrText xml:space="preserve"> PAGE </w:instrText>
                </w:r>
                <w:r>
                  <w:fldChar w:fldCharType="separate"/>
                </w:r>
                <w:r>
                  <w:t>214</w:t>
                </w:r>
                <w:r>
                  <w:fldChar w:fldCharType="end"/>
                </w:r>
              </w:p>
            </w:txbxContent>
          </v:textbox>
          <w10:wrap anchorx="page" anchory="page"/>
        </v:shape>
      </w:pict>
    </w:r>
    <w:r>
      <w:rPr>
        <w:noProof/>
      </w:rPr>
      <w:pict w14:anchorId="2D8E9050">
        <v:shape id="Text Box 1006" o:spid="_x0000_s2138" type="#_x0000_t202" style="position:absolute;margin-left:72.45pt;margin-top:32.55pt;width:149.4pt;height:14.2pt;z-index:-25126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" filled="f" stroked="f">
          <o:lock v:ext="edit" aspectratio="t" verticies="t" text="t" shapetype="t"/>
          <v:textbox inset="0,0,0,0">
            <w:txbxContent>
              <w:p w:rsidR="008142C4" w:rsidRDefault="003048D3">
                <w:pPr>
                  <w:spacing w:before="11"/>
                  <w:ind w:left="20"/>
                  <w:rPr>
                    <w:b/>
                  </w:rPr>
                </w:pPr>
                <w:r>
                  <w:rPr>
                    <w:b/>
                    <w:w w:val="110"/>
                  </w:rPr>
                  <w:t>Substance-Related</w:t>
                </w:r>
                <w:r>
                  <w:rPr>
                    <w:b/>
                    <w:spacing w:val="-42"/>
                    <w:w w:val="110"/>
                  </w:rPr>
                  <w:t xml:space="preserve"> </w:t>
                </w:r>
                <w:r>
                  <w:rPr>
                    <w:b/>
                    <w:w w:val="110"/>
                  </w:rPr>
                  <w:t>Disorders</w:t>
                </w:r>
              </w:p>
            </w:txbxContent>
          </v:textbox>
          <w10:wrap anchorx="page" anchory="page"/>
        </v:shape>
      </w:pict>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7E4BF71A">
        <v:line id="Line 1005" o:spid="_x0000_s2137" style="position:absolute;z-index:-25126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15pt,48.95pt" to="410.55pt,48.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" strokeweight=".16958mm">
          <v:path arrowok="f"/>
          <o:lock v:ext="edit" aspectratio="t" verticies="t"/>
          <w10:wrap anchorx="page" anchory="page"/>
        </v:line>
      </w:pict>
    </w:r>
    <w:r>
      <w:rPr>
        <w:noProof/>
      </w:rPr>
      <w:pict w14:anchorId="2D65E1EB">
        <v:shapetype id="_x0000_t202" coordsize="21600,21600" o:spt="202" path="m,l,21600r21600,l21600,xe">
          <v:stroke joinstyle="miter"/>
          <v:path gradientshapeok="t" o:connecttype="rect"/>
        </v:shapetype>
        <v:shape id="Text Box 1004" o:spid="_x0000_s2136" type="#_x0000_t202" style="position:absolute;margin-left:202.7pt;margin-top:33.1pt;width:171.6pt;height:14.2pt;z-index:-25126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" filled="f" stroked="f">
          <o:lock v:ext="edit" aspectratio="t" verticies="t" text="t" shapetype="t"/>
          <v:textbox inset="0,0,0,0">
            <w:txbxContent>
              <w:p w:rsidR="008142C4" w:rsidRDefault="003048D3">
                <w:pPr>
                  <w:spacing w:before="11"/>
                  <w:ind w:left="20"/>
                  <w:rPr>
                    <w:b/>
                  </w:rPr>
                </w:pPr>
                <w:r>
                  <w:rPr>
                    <w:b/>
                    <w:w w:val="110"/>
                  </w:rPr>
                  <w:t>Amphetamine-Related Disorders</w:t>
                </w:r>
              </w:p>
            </w:txbxContent>
          </v:textbox>
          <w10:wrap anchorx="page" anchory="page"/>
        </v:shape>
      </w:pict>
    </w:r>
    <w:r>
      <w:rPr>
        <w:noProof/>
      </w:rPr>
      <w:pict w14:anchorId="1A181A9A">
        <v:shape id="Text Box 1003" o:spid="_x0000_s2135" type="#_x0000_t202" style="position:absolute;margin-left:387.25pt;margin-top:33.1pt;width:24.2pt;height:14.2pt;z-index:-25126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" filled="f" stroked="f">
          <o:lock v:ext="edit" aspectratio="t" verticies="t" text="t" shapetype="t"/>
          <v:textbox inset="0,0,0,0">
            <w:txbxContent>
              <w:p w:rsidR="008142C4" w:rsidRDefault="003048D3">
                <w:pPr>
                  <w:spacing w:before="11"/>
                  <w:ind w:left="60"/>
                  <w:rPr>
                    <w:b/>
                  </w:rPr>
                </w:pPr>
                <w:r>
                  <w:fldChar w:fldCharType="begin"/>
                </w:r>
                <w:r>
                  <w:rPr>
                    <w:b/>
                    <w:w w:val="110"/>
                  </w:rPr>
                  <w:instrText xml:space="preserve"> PAGE </w:instrText>
                </w:r>
                <w:r>
                  <w:fldChar w:fldCharType="separate"/>
                </w:r>
                <w:r>
                  <w:t>211</w:t>
                </w:r>
                <w:r>
                  <w:fldChar w:fldCharType="end"/>
                </w:r>
              </w:p>
            </w:txbxContent>
          </v:textbox>
          <w10:wrap anchorx="page" anchory="page"/>
        </v:shape>
      </w:pic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1F3C4CCC">
        <v:line id="Line 999" o:spid="_x0000_s2134" style="position:absolute;z-index:-25125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15pt,49.65pt" to="412.4pt,49.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" strokeweight=".16958mm">
          <v:path arrowok="f"/>
          <o:lock v:ext="edit" aspectratio="t" verticies="t"/>
          <w10:wrap anchorx="page" anchory="page"/>
        </v:line>
      </w:pict>
    </w:r>
    <w:r>
      <w:rPr>
        <w:noProof/>
      </w:rPr>
      <w:pict w14:anchorId="1CBE30F0">
        <v:shapetype id="_x0000_t202" coordsize="21600,21600" o:spt="202" path="m,l,21600r21600,l21600,xe">
          <v:stroke joinstyle="miter"/>
          <v:path gradientshapeok="t" o:connecttype="rect"/>
        </v:shapetype>
        <v:shape id="Text Box 998" o:spid="_x0000_s2133" type="#_x0000_t202" style="position:absolute;margin-left:37.1pt;margin-top:32.55pt;width:23.55pt;height:14.2pt;z-index:-25125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" filled="f" stroked="f">
          <o:lock v:ext="edit" aspectratio="t" verticies="t" text="t" shapetype="t"/>
          <v:textbox inset="0,0,0,0">
            <w:txbxContent>
              <w:p w:rsidR="008142C4" w:rsidRDefault="003048D3">
                <w:pPr>
                  <w:spacing w:before="11"/>
                  <w:ind w:left="60"/>
                  <w:rPr>
                    <w:b/>
                  </w:rPr>
                </w:pPr>
                <w:r>
                  <w:fldChar w:fldCharType="begin"/>
                </w:r>
                <w:r>
                  <w:rPr>
                    <w:b/>
                    <w:w w:val="105"/>
                  </w:rPr>
                  <w:instrText xml:space="preserve"> PAGE </w:instrText>
                </w:r>
                <w:r>
                  <w:fldChar w:fldCharType="separate"/>
                </w:r>
                <w:r>
                  <w:t>214</w:t>
                </w:r>
                <w:r>
                  <w:fldChar w:fldCharType="end"/>
                </w:r>
              </w:p>
            </w:txbxContent>
          </v:textbox>
          <w10:wrap anchorx="page" anchory="page"/>
        </v:shape>
      </w:pict>
    </w:r>
    <w:r>
      <w:rPr>
        <w:noProof/>
      </w:rPr>
      <w:pict w14:anchorId="132379B2">
        <v:shape id="Text Box 997" o:spid="_x0000_s2132" type="#_x0000_t202" style="position:absolute;margin-left:72.95pt;margin-top:32.55pt;width:149.4pt;height:14.2pt;z-index:-25125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" filled="f" stroked="f">
          <o:lock v:ext="edit" aspectratio="t" verticies="t" text="t" shapetype="t"/>
          <v:textbox inset="0,0,0,0">
            <w:txbxContent>
              <w:p w:rsidR="008142C4" w:rsidRDefault="003048D3">
                <w:pPr>
                  <w:spacing w:before="11"/>
                  <w:ind w:left="20"/>
                  <w:rPr>
                    <w:b/>
                  </w:rPr>
                </w:pPr>
                <w:r>
                  <w:rPr>
                    <w:b/>
                    <w:w w:val="110"/>
                  </w:rPr>
                  <w:t>Substance-Related</w:t>
                </w:r>
                <w:r>
                  <w:rPr>
                    <w:b/>
                    <w:spacing w:val="-42"/>
                    <w:w w:val="110"/>
                  </w:rPr>
                  <w:t xml:space="preserve"> </w:t>
                </w:r>
                <w:r>
                  <w:rPr>
                    <w:b/>
                    <w:w w:val="110"/>
                  </w:rPr>
                  <w:t>Disorders</w:t>
                </w:r>
              </w:p>
            </w:txbxContent>
          </v:textbox>
          <w10:wrap anchorx="page" anchory="page"/>
        </v:shape>
      </w:pict>
    </w: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680CC45E">
        <v:line id="Line 1002" o:spid="_x0000_s2131" style="position:absolute;z-index:-25125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85pt,49.7pt" to="409.2pt,49.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" strokeweight=".16958mm">
          <v:path arrowok="f"/>
          <o:lock v:ext="edit" aspectratio="t" verticies="t"/>
          <w10:wrap anchorx="page" anchory="page"/>
        </v:line>
      </w:pict>
    </w:r>
    <w:r>
      <w:rPr>
        <w:noProof/>
      </w:rPr>
      <w:pict w14:anchorId="086600B6">
        <v:shapetype id="_x0000_t202" coordsize="21600,21600" o:spt="202" path="m,l,21600r21600,l21600,xe">
          <v:stroke joinstyle="miter"/>
          <v:path gradientshapeok="t" o:connecttype="rect"/>
        </v:shapetype>
        <v:shape id="Text Box 1001" o:spid="_x0000_s2130" type="#_x0000_t202" style="position:absolute;margin-left:235.05pt;margin-top:33.85pt;width:140.4pt;height:14.2pt;z-index:-25125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" filled="f" stroked="f">
          <o:lock v:ext="edit" aspectratio="t" verticies="t" text="t" shapetype="t"/>
          <v:textbox inset="0,0,0,0">
            <w:txbxContent>
              <w:p w:rsidR="008142C4" w:rsidRDefault="003048D3">
                <w:pPr>
                  <w:spacing w:before="11"/>
                  <w:ind w:left="20"/>
                  <w:rPr>
                    <w:b/>
                  </w:rPr>
                </w:pPr>
                <w:r>
                  <w:rPr>
                    <w:b/>
                    <w:w w:val="110"/>
                  </w:rPr>
                  <w:t>Caffeine-Related</w:t>
                </w:r>
                <w:r>
                  <w:rPr>
                    <w:b/>
                    <w:spacing w:val="-46"/>
                    <w:w w:val="110"/>
                  </w:rPr>
                  <w:t xml:space="preserve"> </w:t>
                </w:r>
                <w:r>
                  <w:rPr>
                    <w:b/>
                    <w:w w:val="110"/>
                  </w:rPr>
                  <w:t>Disorders</w:t>
                </w:r>
              </w:p>
            </w:txbxContent>
          </v:textbox>
          <w10:wrap anchorx="page" anchory="page"/>
        </v:shape>
      </w:pict>
    </w:r>
    <w:r>
      <w:rPr>
        <w:noProof/>
      </w:rPr>
      <w:pict w14:anchorId="61DC0530">
        <v:shape id="Text Box 1000" o:spid="_x0000_s2129" type="#_x0000_t202" style="position:absolute;margin-left:388.35pt;margin-top:33.85pt;width:24.2pt;height:14.2pt;z-index:-25125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" filled="f" stroked="f">
          <o:lock v:ext="edit" aspectratio="t" verticies="t" text="t" shapetype="t"/>
          <v:textbox inset="0,0,0,0">
            <w:txbxContent>
              <w:p w:rsidR="008142C4" w:rsidRDefault="003048D3">
                <w:pPr>
                  <w:spacing w:before="11"/>
                  <w:ind w:left="60"/>
                  <w:rPr>
                    <w:b/>
                  </w:rPr>
                </w:pPr>
                <w:r>
                  <w:fldChar w:fldCharType="begin"/>
                </w:r>
                <w:r>
                  <w:rPr>
                    <w:b/>
                    <w:w w:val="110"/>
                  </w:rPr>
                  <w:instrText xml:space="preserve"> PAGE </w:instrText>
                </w:r>
                <w:r>
                  <w:fldChar w:fldCharType="separate"/>
                </w:r>
                <w:r>
                  <w:t>213</w:t>
                </w:r>
                <w:r>
                  <w:fldChar w:fldCharType="end"/>
                </w:r>
              </w:p>
            </w:txbxContent>
          </v:textbox>
          <w10:wrap anchorx="page" anchory="page"/>
        </v:shape>
      </w:pic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43550184">
        <v:line id="Line 993" o:spid="_x0000_s2128" style="position:absolute;z-index:-25125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65pt,49.75pt" to="411.85pt,49.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" strokeweight=".16958mm">
          <v:path arrowok="f"/>
          <o:lock v:ext="edit" aspectratio="t" verticies="t"/>
          <w10:wrap anchorx="page" anchory="page"/>
        </v:line>
      </w:pict>
    </w:r>
    <w:r>
      <w:rPr>
        <w:noProof/>
      </w:rPr>
      <w:pict w14:anchorId="46835AF8">
        <v:shapetype id="_x0000_t202" coordsize="21600,21600" o:spt="202" path="m,l,21600r21600,l21600,xe">
          <v:stroke joinstyle="miter"/>
          <v:path gradientshapeok="t" o:connecttype="rect"/>
        </v:shapetype>
        <v:shape id="Text Box 992" o:spid="_x0000_s2127" type="#_x0000_t202" style="position:absolute;margin-left:33.1pt;margin-top:32.8pt;width:26.75pt;height:16.3pt;z-index:-25124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" filled="f" stroked="f">
          <o:lock v:ext="edit" aspectratio="t" verticies="t" text="t" shapetype="t"/>
          <v:textbox inset="0,0,0,0">
            <w:txbxContent>
              <w:p w:rsidR="008142C4" w:rsidRDefault="003048D3">
                <w:pPr>
                  <w:spacing w:before="11"/>
                  <w:ind w:left="84"/>
                  <w:rPr>
                    <w:b/>
                  </w:rPr>
                </w:pPr>
                <w:r>
                  <w:fldChar w:fldCharType="begin"/>
                </w:r>
                <w:r>
                  <w:rPr>
                    <w:b/>
                    <w:w w:val="105"/>
                  </w:rPr>
                  <w:instrText xml:space="preserve"> PAGE </w:instrText>
                </w:r>
                <w:r>
                  <w:fldChar w:fldCharType="separate"/>
                </w:r>
                <w:r>
                  <w:t>222</w:t>
                </w:r>
                <w:r>
                  <w:fldChar w:fldCharType="end"/>
                </w:r>
              </w:p>
            </w:txbxContent>
          </v:textbox>
          <w10:wrap anchorx="page" anchory="page"/>
        </v:shape>
      </w:pict>
    </w:r>
    <w:r>
      <w:rPr>
        <w:noProof/>
      </w:rPr>
      <w:pict w14:anchorId="7C012D9C">
        <v:shape id="Text Box 991" o:spid="_x0000_s2126" type="#_x0000_t202" style="position:absolute;margin-left:70.15pt;margin-top:32.8pt;width:149.4pt;height:14.2pt;z-index:-25124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" filled="f" stroked="f">
          <o:lock v:ext="edit" aspectratio="t" verticies="t" text="t" shapetype="t"/>
          <v:textbox inset="0,0,0,0">
            <w:txbxContent>
              <w:p w:rsidR="008142C4" w:rsidRDefault="003048D3">
                <w:pPr>
                  <w:spacing w:before="11"/>
                  <w:ind w:left="20"/>
                  <w:rPr>
                    <w:b/>
                  </w:rPr>
                </w:pPr>
                <w:r>
                  <w:rPr>
                    <w:b/>
                    <w:w w:val="110"/>
                  </w:rPr>
                  <w:t>Substance</w:t>
                </w:r>
                <w:r>
                  <w:rPr>
                    <w:b/>
                    <w:w w:val="110"/>
                  </w:rPr>
                  <w:t>-Related</w:t>
                </w:r>
                <w:r>
                  <w:rPr>
                    <w:b/>
                    <w:spacing w:val="-42"/>
                    <w:w w:val="110"/>
                  </w:rPr>
                  <w:t xml:space="preserve"> </w:t>
                </w:r>
                <w:r>
                  <w:rPr>
                    <w:b/>
                    <w:w w:val="110"/>
                  </w:rPr>
                  <w:t>Disorders</w:t>
                </w:r>
              </w:p>
            </w:txbxContent>
          </v:textbox>
          <w10:wrap anchorx="page" anchory="page"/>
        </v:shape>
      </w:pict>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205811AC">
        <v:line id="Line 996" o:spid="_x0000_s2125" style="position:absolute;z-index:-25125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pt,48.75pt" to="409.85pt,48.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" strokeweight=".1695mm">
          <v:path arrowok="f"/>
          <o:lock v:ext="edit" aspectratio="t" verticies="t"/>
          <w10:wrap anchorx="page" anchory="page"/>
        </v:line>
      </w:pict>
    </w:r>
    <w:r>
      <w:rPr>
        <w:noProof/>
      </w:rPr>
      <w:pict w14:anchorId="368E0511">
        <v:shapetype id="_x0000_t202" coordsize="21600,21600" o:spt="202" path="m,l,21600r21600,l21600,xe">
          <v:stroke joinstyle="miter"/>
          <v:path gradientshapeok="t" o:connecttype="rect"/>
        </v:shapetype>
        <v:shape id="Text Box 995" o:spid="_x0000_s2124" type="#_x0000_t202" style="position:absolute;margin-left:229.7pt;margin-top:33.35pt;width:146.2pt;height:13.65pt;z-index:-25125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" filled="f" stroked="f">
          <o:lock v:ext="edit" aspectratio="t" verticies="t" text="t" shapetype="t"/>
          <v:textbox inset="0,0,0,0">
            <w:txbxContent>
              <w:p w:rsidR="008142C4" w:rsidRDefault="003048D3">
                <w:pPr>
                  <w:spacing w:before="11"/>
                  <w:ind w:left="20"/>
                  <w:rPr>
                    <w:b/>
                    <w:sz w:val="21"/>
                  </w:rPr>
                </w:pPr>
                <w:r>
                  <w:rPr>
                    <w:b/>
                    <w:w w:val="115"/>
                    <w:sz w:val="21"/>
                  </w:rPr>
                  <w:t>Cannabis-Related</w:t>
                </w:r>
                <w:r>
                  <w:rPr>
                    <w:b/>
                    <w:spacing w:val="-38"/>
                    <w:w w:val="115"/>
                    <w:sz w:val="21"/>
                  </w:rPr>
                  <w:t xml:space="preserve"> </w:t>
                </w:r>
                <w:r>
                  <w:rPr>
                    <w:b/>
                    <w:w w:val="115"/>
                    <w:sz w:val="21"/>
                  </w:rPr>
                  <w:t>Disorders</w:t>
                </w:r>
              </w:p>
            </w:txbxContent>
          </v:textbox>
          <w10:wrap anchorx="page" anchory="page"/>
        </v:shape>
      </w:pict>
    </w:r>
    <w:r>
      <w:rPr>
        <w:noProof/>
      </w:rPr>
      <w:pict w14:anchorId="58B6612E">
        <v:shape id="Text Box 994" o:spid="_x0000_s2123" type="#_x0000_t202" style="position:absolute;margin-left:388.25pt;margin-top:32.95pt;width:25pt;height:14.6pt;z-index:-25125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" filled="f" stroked="f">
          <o:lock v:ext="edit" aspectratio="t" verticies="t" text="t" shapetype="t"/>
          <v:textbox inset="0,0,0,0">
            <w:txbxContent>
              <w:p w:rsidR="008142C4" w:rsidRDefault="003048D3">
                <w:pPr>
                  <w:spacing w:before="19"/>
                  <w:ind w:left="66"/>
                  <w:rPr>
                    <w:b/>
                    <w:sz w:val="21"/>
                  </w:rPr>
                </w:pPr>
                <w:r>
                  <w:fldChar w:fldCharType="begin"/>
                </w:r>
                <w:r>
                  <w:rPr>
                    <w:b/>
                    <w:w w:val="115"/>
                    <w:sz w:val="21"/>
                  </w:rPr>
                  <w:instrText xml:space="preserve"> PAGE </w:instrText>
                </w:r>
                <w:r>
                  <w:fldChar w:fldCharType="separate"/>
                </w:r>
                <w:r>
                  <w:t>215</w:t>
                </w:r>
                <w:r>
                  <w:fldChar w:fldCharType="end"/>
                </w:r>
              </w:p>
            </w:txbxContent>
          </v:textbox>
          <w10:wrap anchorx="page" anchory="page"/>
        </v:shape>
      </w:pict>
    </w: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5FD74695">
        <v:line id="Line 987" o:spid="_x0000_s2122" style="position:absolute;z-index:-25124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1pt,48.9pt" to="410.35pt,48.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" strokeweight=".16958mm">
          <v:path arrowok="f"/>
          <o:lock v:ext="edit" aspectratio="t" verticies="t"/>
          <w10:wrap anchorx="page" anchory="page"/>
        </v:line>
      </w:pict>
    </w:r>
    <w:r>
      <w:rPr>
        <w:noProof/>
      </w:rPr>
      <w:pict w14:anchorId="28544B79">
        <v:shapetype id="_x0000_t202" coordsize="21600,21600" o:spt="202" path="m,l,21600r21600,l21600,xe">
          <v:stroke joinstyle="miter"/>
          <v:path gradientshapeok="t" o:connecttype="rect"/>
        </v:shapetype>
        <v:shape id="Text Box 986" o:spid="_x0000_s2121" type="#_x0000_t202" style="position:absolute;margin-left:34.8pt;margin-top:32.3pt;width:23.2pt;height:14.2pt;z-index:-25124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" filled="f" stroked="f">
          <o:lock v:ext="edit" aspectratio="t" verticies="t" text="t" shapetype="t"/>
          <v:textbox inset="0,0,0,0">
            <w:txbxContent>
              <w:p w:rsidR="008142C4" w:rsidRDefault="003048D3">
                <w:pPr>
                  <w:spacing w:before="11"/>
                  <w:ind w:left="60"/>
                  <w:rPr>
                    <w:b/>
                  </w:rPr>
                </w:pPr>
                <w:r>
                  <w:fldChar w:fldCharType="begin"/>
                </w:r>
                <w:r>
                  <w:rPr>
                    <w:b/>
                    <w:w w:val="105"/>
                  </w:rPr>
                  <w:instrText xml:space="preserve"> PAGE </w:instrText>
                </w:r>
                <w:r>
                  <w:fldChar w:fldCharType="separate"/>
                </w:r>
                <w:r>
                  <w:t>222</w:t>
                </w:r>
                <w:r>
                  <w:fldChar w:fldCharType="end"/>
                </w:r>
              </w:p>
            </w:txbxContent>
          </v:textbox>
          <w10:wrap anchorx="page" anchory="page"/>
        </v:shape>
      </w:pict>
    </w:r>
    <w:r>
      <w:rPr>
        <w:noProof/>
      </w:rPr>
      <w:pict w14:anchorId="660B0EDF">
        <v:shape id="Text Box 985" o:spid="_x0000_s2120" type="#_x0000_t202" style="position:absolute;margin-left:70.65pt;margin-top:32.3pt;width:149.4pt;height:14.2pt;z-index:-25124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" filled="f" stroked="f">
          <o:lock v:ext="edit" aspectratio="t" verticies="t" text="t" shapetype="t"/>
          <v:textbox inset="0,0,0,0">
            <w:txbxContent>
              <w:p w:rsidR="008142C4" w:rsidRDefault="003048D3">
                <w:pPr>
                  <w:spacing w:before="11"/>
                  <w:ind w:left="20"/>
                  <w:rPr>
                    <w:b/>
                  </w:rPr>
                </w:pPr>
                <w:r>
                  <w:rPr>
                    <w:b/>
                    <w:w w:val="110"/>
                  </w:rPr>
                  <w:t>Substance-Related</w:t>
                </w:r>
                <w:r>
                  <w:rPr>
                    <w:b/>
                    <w:spacing w:val="-42"/>
                    <w:w w:val="110"/>
                  </w:rPr>
                  <w:t xml:space="preserve"> </w:t>
                </w:r>
                <w:r>
                  <w:rPr>
                    <w:b/>
                    <w:w w:val="110"/>
                  </w:rPr>
                  <w:t>Disorders</w:t>
                </w:r>
              </w:p>
            </w:txbxContent>
          </v:textbox>
          <w10:wrap anchorx="page" anchory="page"/>
        </v:shape>
      </w:pict>
    </w: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6834A46F">
        <v:line id="Line 990" o:spid="_x0000_s2119" style="position:absolute;z-index:-25124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pt,49.05pt" to="409.85pt,49.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" strokeweight=".16956mm">
          <v:path arrowok="f"/>
          <o:lock v:ext="edit" aspectratio="t" verticies="t"/>
          <w10:wrap anchorx="page" anchory="page"/>
        </v:line>
      </w:pict>
    </w:r>
    <w:r>
      <w:rPr>
        <w:noProof/>
      </w:rPr>
      <w:pict w14:anchorId="1DC3C3C6">
        <v:shapetype id="_x0000_t202" coordsize="21600,21600" o:spt="202" path="m,l,21600r21600,l21600,xe">
          <v:stroke joinstyle="miter"/>
          <v:path gradientshapeok="t" o:connecttype="rect"/>
        </v:shapetype>
        <v:shape id="Text Box 989" o:spid="_x0000_s2118" type="#_x0000_t202" style="position:absolute;margin-left:236.95pt;margin-top:34.25pt;width:139.4pt;height:14.2pt;z-index:-25124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" filled="f" stroked="f">
          <o:lock v:ext="edit" aspectratio="t" verticies="t" text="t" shapetype="t"/>
          <v:textbox inset="0,0,0,0">
            <w:txbxContent>
              <w:p w:rsidR="008142C4" w:rsidRDefault="003048D3">
                <w:pPr>
                  <w:spacing w:before="11"/>
                  <w:ind w:left="20"/>
                  <w:rPr>
                    <w:b/>
                  </w:rPr>
                </w:pPr>
                <w:r>
                  <w:rPr>
                    <w:b/>
                    <w:w w:val="110"/>
                  </w:rPr>
                  <w:t>Cocaine-Related</w:t>
                </w:r>
                <w:r>
                  <w:rPr>
                    <w:b/>
                    <w:spacing w:val="-33"/>
                    <w:w w:val="110"/>
                  </w:rPr>
                  <w:t xml:space="preserve"> </w:t>
                </w:r>
                <w:r>
                  <w:rPr>
                    <w:b/>
                    <w:w w:val="110"/>
                  </w:rPr>
                  <w:t>Disorders</w:t>
                </w:r>
              </w:p>
            </w:txbxContent>
          </v:textbox>
          <w10:wrap anchorx="page" anchory="page"/>
        </v:shape>
      </w:pict>
    </w:r>
    <w:r>
      <w:rPr>
        <w:noProof/>
      </w:rPr>
      <w:pict w14:anchorId="05F45863">
        <v:shape id="Text Box 988" o:spid="_x0000_s2117" type="#_x0000_t202" style="position:absolute;margin-left:388.75pt;margin-top:32.7pt;width:24.55pt;height:15.8pt;z-index:-25124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" filled="f" stroked="f">
          <o:lock v:ext="edit" aspectratio="t" verticies="t" text="t" shapetype="t"/>
          <v:textbox inset="0,0,0,0">
            <w:txbxContent>
              <w:p w:rsidR="008142C4" w:rsidRDefault="003048D3">
                <w:pPr>
                  <w:spacing w:before="42"/>
                  <w:ind w:left="60"/>
                  <w:rPr>
                    <w:b/>
                  </w:rPr>
                </w:pPr>
                <w:r>
                  <w:fldChar w:fldCharType="begin"/>
                </w:r>
                <w:r>
                  <w:rPr>
                    <w:b/>
                    <w:w w:val="110"/>
                  </w:rPr>
                  <w:instrText xml:space="preserve"> PAGE </w:instrText>
                </w:r>
                <w:r>
                  <w:fldChar w:fldCharType="separate"/>
                </w:r>
                <w:r>
                  <w:t>223</w:t>
                </w:r>
                <w:r>
                  <w:fldChar w:fldCharType="end"/>
                </w:r>
              </w:p>
            </w:txbxContent>
          </v:textbox>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1F97051B">
        <v:line id="Line 1370" o:spid="_x0000_s2500"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9.35pt" to="411.25pt,49.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" strokeweight=".25442mm">
          <v:path arrowok="f"/>
          <o:lock v:ext="edit" aspectratio="t" verticies="t"/>
          <w10:wrap anchorx="page" anchory="page"/>
        </v:line>
      </w:pict>
    </w:r>
    <w:r>
      <w:rPr>
        <w:noProof/>
      </w:rPr>
      <w:pict w14:anchorId="2AC25737">
        <v:shapetype id="_x0000_t202" coordsize="21600,21600" o:spt="202" path="m,l,21600r21600,l21600,xe">
          <v:stroke joinstyle="miter"/>
          <v:path gradientshapeok="t" o:connecttype="rect"/>
        </v:shapetype>
        <v:shape id="Text Box 1369" o:spid="_x0000_s2499" type="#_x0000_t202" style="position:absolute;margin-left:35.25pt;margin-top:33.95pt;width:16.95pt;height:13.6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" filled="f" stroked="f">
          <o:lock v:ext="edit" aspectratio="t" verticies="t" text="t" shapetype="t"/>
          <v:textbox inset="0,0,0,0">
            <w:txbxContent>
              <w:p w:rsidR="008142C4" w:rsidRDefault="003048D3">
                <w:pPr>
                  <w:spacing w:before="11"/>
                  <w:ind w:left="20"/>
                  <w:rPr>
                    <w:b/>
                    <w:sz w:val="21"/>
                  </w:rPr>
                </w:pPr>
                <w:r>
                  <w:rPr>
                    <w:b/>
                    <w:w w:val="110"/>
                    <w:sz w:val="21"/>
                  </w:rPr>
                  <w:t>xvi</w:t>
                </w:r>
              </w:p>
            </w:txbxContent>
          </v:textbox>
          <w10:wrap anchorx="page" anchory="page"/>
        </v:shape>
      </w:pict>
    </w:r>
    <w:r>
      <w:rPr>
        <w:noProof/>
      </w:rPr>
      <w:pict w14:anchorId="0059158E">
        <v:shape id="Text Box 1368" o:spid="_x0000_s2498" type="#_x0000_t202" style="position:absolute;margin-left:68pt;margin-top:33.95pt;width:68.5pt;height:13.6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" filled="f" stroked="f">
          <o:lock v:ext="edit" aspectratio="t" verticies="t" text="t" shapetype="t"/>
          <v:textbox inset="0,0,0,0">
            <w:txbxContent>
              <w:p w:rsidR="008142C4" w:rsidRDefault="003048D3">
                <w:pPr>
                  <w:spacing w:before="11"/>
                  <w:ind w:left="20"/>
                  <w:rPr>
                    <w:b/>
                    <w:sz w:val="21"/>
                  </w:rPr>
                </w:pPr>
                <w:r>
                  <w:rPr>
                    <w:b/>
                    <w:w w:val="115"/>
                    <w:sz w:val="21"/>
                  </w:rPr>
                  <w:t>Introduction</w:t>
                </w:r>
              </w:p>
            </w:txbxContent>
          </v:textbox>
          <w10:wrap anchorx="page" anchory="page"/>
        </v:shape>
      </w:pict>
    </w: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4EC666BE">
        <v:line id="Line 981" o:spid="_x0000_s2116" style="position:absolute;z-index:-25123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05pt,49.15pt" to="411.35pt,49.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" strokeweight=".16958mm">
          <v:path arrowok="f"/>
          <o:lock v:ext="edit" aspectratio="t" verticies="t"/>
          <w10:wrap anchorx="page" anchory="page"/>
        </v:line>
      </w:pict>
    </w:r>
    <w:r>
      <w:rPr>
        <w:noProof/>
      </w:rPr>
      <w:pict w14:anchorId="583DD550">
        <v:shapetype id="_x0000_t202" coordsize="21600,21600" o:spt="202" path="m,l,21600r21600,l21600,xe">
          <v:stroke joinstyle="miter"/>
          <v:path gradientshapeok="t" o:connecttype="rect"/>
        </v:shapetype>
        <v:shape id="Text Box 980" o:spid="_x0000_s2115" type="#_x0000_t202" style="position:absolute;margin-left:35.3pt;margin-top:33.1pt;width:21.8pt;height:13.65pt;z-index:-25123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" filled="f" stroked="f">
          <o:lock v:ext="edit" aspectratio="t" verticies="t" text="t" shapetype="t"/>
          <v:textbox inset="0,0,0,0">
            <w:txbxContent>
              <w:p w:rsidR="008142C4" w:rsidRDefault="003048D3">
                <w:pPr>
                  <w:spacing w:before="11"/>
                  <w:ind w:left="60"/>
                  <w:rPr>
                    <w:b/>
                    <w:sz w:val="21"/>
                  </w:rPr>
                </w:pPr>
                <w:r>
                  <w:fldChar w:fldCharType="begin"/>
                </w:r>
                <w:r>
                  <w:rPr>
                    <w:b/>
                    <w:sz w:val="21"/>
                  </w:rPr>
                  <w:instrText xml:space="preserve"> PAGE </w:instrText>
                </w:r>
                <w:r>
                  <w:fldChar w:fldCharType="separate"/>
                </w:r>
                <w:r>
                  <w:t>230</w:t>
                </w:r>
                <w:r>
                  <w:fldChar w:fldCharType="end"/>
                </w:r>
              </w:p>
            </w:txbxContent>
          </v:textbox>
          <w10:wrap anchorx="page" anchory="page"/>
        </v:shape>
      </w:pict>
    </w:r>
    <w:r>
      <w:rPr>
        <w:noProof/>
      </w:rPr>
      <w:pict w14:anchorId="2A684C66">
        <v:shape id="Text Box 979" o:spid="_x0000_s2114" type="#_x0000_t202" style="position:absolute;margin-left:70.9pt;margin-top:33.1pt;width:149.95pt;height:13.65pt;z-index:-25123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" filled="f" stroked="f">
          <o:lock v:ext="edit" aspectratio="t" verticies="t" text="t" shapetype="t"/>
          <v:textbox inset="0,0,0,0">
            <w:txbxContent>
              <w:p w:rsidR="008142C4" w:rsidRDefault="003048D3">
                <w:pPr>
                  <w:spacing w:before="11"/>
                  <w:ind w:left="20"/>
                  <w:rPr>
                    <w:b/>
                    <w:sz w:val="21"/>
                  </w:rPr>
                </w:pPr>
                <w:r>
                  <w:rPr>
                    <w:b/>
                    <w:w w:val="115"/>
                    <w:sz w:val="21"/>
                  </w:rPr>
                  <w:t>Substance-Related</w:t>
                </w:r>
                <w:r>
                  <w:rPr>
                    <w:b/>
                    <w:spacing w:val="-32"/>
                    <w:w w:val="115"/>
                    <w:sz w:val="21"/>
                  </w:rPr>
                  <w:t xml:space="preserve"> </w:t>
                </w:r>
                <w:r>
                  <w:rPr>
                    <w:b/>
                    <w:w w:val="115"/>
                    <w:sz w:val="21"/>
                  </w:rPr>
                  <w:t>Disorders</w:t>
                </w:r>
              </w:p>
            </w:txbxContent>
          </v:textbox>
          <w10:wrap anchorx="page" anchory="page"/>
        </v:shape>
      </w:pict>
    </w: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3FD1A717">
        <v:line id="Line 984" o:spid="_x0000_s2113" style="position:absolute;z-index:-25124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55pt,49.75pt" to="410.8pt,49.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" strokeweight=".16956mm">
          <v:path arrowok="f"/>
          <o:lock v:ext="edit" aspectratio="t" verticies="t"/>
          <w10:wrap anchorx="page" anchory="page"/>
        </v:line>
      </w:pict>
    </w:r>
    <w:r>
      <w:rPr>
        <w:noProof/>
      </w:rPr>
      <w:pict w14:anchorId="76FD3F00">
        <v:shapetype id="_x0000_t202" coordsize="21600,21600" o:spt="202" path="m,l,21600r21600,l21600,xe">
          <v:stroke joinstyle="miter"/>
          <v:path gradientshapeok="t" o:connecttype="rect"/>
        </v:shapetype>
        <v:shape id="Text Box 983" o:spid="_x0000_s2112" type="#_x0000_t202" style="position:absolute;margin-left:208.4pt;margin-top:33.95pt;width:167.5pt;height:13.65pt;z-index:-25124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" filled="f" stroked="f">
          <o:lock v:ext="edit" aspectratio="t" verticies="t" text="t" shapetype="t"/>
          <v:textbox inset="0,0,0,0">
            <w:txbxContent>
              <w:p w:rsidR="008142C4" w:rsidRDefault="003048D3">
                <w:pPr>
                  <w:spacing w:before="11"/>
                  <w:ind w:left="20"/>
                  <w:rPr>
                    <w:b/>
                    <w:sz w:val="21"/>
                  </w:rPr>
                </w:pPr>
                <w:r>
                  <w:rPr>
                    <w:b/>
                    <w:w w:val="115"/>
                    <w:sz w:val="21"/>
                  </w:rPr>
                  <w:t>Hallucinogen-Related Disorders</w:t>
                </w:r>
              </w:p>
            </w:txbxContent>
          </v:textbox>
          <w10:wrap anchorx="page" anchory="page"/>
        </v:shape>
      </w:pict>
    </w:r>
    <w:r>
      <w:rPr>
        <w:noProof/>
      </w:rPr>
      <w:pict w14:anchorId="2DD5EF3E">
        <v:shape id="Text Box 982" o:spid="_x0000_s2111" type="#_x0000_t202" style="position:absolute;margin-left:388.25pt;margin-top:33.8pt;width:25.3pt;height:14.3pt;z-index:-25123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" filled="f" stroked="f">
          <o:lock v:ext="edit" aspectratio="t" verticies="t" text="t" shapetype="t"/>
          <v:textbox inset="0,0,0,0">
            <w:txbxContent>
              <w:p w:rsidR="008142C4" w:rsidRDefault="003048D3">
                <w:pPr>
                  <w:spacing w:before="14"/>
                  <w:ind w:left="65"/>
                  <w:rPr>
                    <w:b/>
                    <w:sz w:val="21"/>
                  </w:rPr>
                </w:pPr>
                <w:r>
                  <w:fldChar w:fldCharType="begin"/>
                </w:r>
                <w:r>
                  <w:rPr>
                    <w:b/>
                    <w:w w:val="115"/>
                    <w:sz w:val="21"/>
                  </w:rPr>
                  <w:instrText xml:space="preserve"> PAGE </w:instrText>
                </w:r>
                <w:r>
                  <w:fldChar w:fldCharType="separate"/>
                </w:r>
                <w:r>
                  <w:t>231</w:t>
                </w:r>
                <w:r>
                  <w:fldChar w:fldCharType="end"/>
                </w:r>
              </w:p>
            </w:txbxContent>
          </v:textbox>
          <w10:wrap anchorx="page" anchory="page"/>
        </v:shape>
      </w:pict>
    </w: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5826A1D2">
        <v:line id="Line 975" o:spid="_x0000_s2110" style="position:absolute;z-index:-25123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55pt,49.15pt" to="410.85pt,49.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" strokeweight=".16958mm">
          <v:path arrowok="f"/>
          <o:lock v:ext="edit" aspectratio="t" verticies="t"/>
          <w10:wrap anchorx="page" anchory="page"/>
        </v:line>
      </w:pict>
    </w:r>
    <w:r>
      <w:rPr>
        <w:noProof/>
      </w:rPr>
      <w:pict w14:anchorId="0F99D8FB">
        <v:shapetype id="_x0000_t202" coordsize="21600,21600" o:spt="202" path="m,l,21600r21600,l21600,xe">
          <v:stroke joinstyle="miter"/>
          <v:path gradientshapeok="t" o:connecttype="rect"/>
        </v:shapetype>
        <v:shape id="Text Box 974" o:spid="_x0000_s2109" type="#_x0000_t202" style="position:absolute;margin-left:33.9pt;margin-top:31.75pt;width:27.35pt;height:16.95pt;z-index:-25123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" filled="f" stroked="f">
          <o:lock v:ext="edit" aspectratio="t" verticies="t" text="t" shapetype="t"/>
          <v:textbox inset="0,0,0,0">
            <w:txbxContent>
              <w:p w:rsidR="008142C4" w:rsidRDefault="003048D3">
                <w:pPr>
                  <w:spacing w:before="11"/>
                  <w:ind w:left="92"/>
                  <w:rPr>
                    <w:b/>
                  </w:rPr>
                </w:pPr>
                <w:r>
                  <w:fldChar w:fldCharType="begin"/>
                </w:r>
                <w:r>
                  <w:rPr>
                    <w:b/>
                    <w:w w:val="120"/>
                  </w:rPr>
                  <w:instrText xml:space="preserve"> PAGE </w:instrText>
                </w:r>
                <w:r>
                  <w:fldChar w:fldCharType="separate"/>
                </w:r>
                <w:r>
                  <w:t>244</w:t>
                </w:r>
                <w:r>
                  <w:fldChar w:fldCharType="end"/>
                </w:r>
              </w:p>
            </w:txbxContent>
          </v:textbox>
          <w10:wrap anchorx="page" anchory="page"/>
        </v:shape>
      </w:pict>
    </w:r>
    <w:r>
      <w:rPr>
        <w:noProof/>
      </w:rPr>
      <w:pict w14:anchorId="2C020A8E">
        <v:shape id="Text Box 973" o:spid="_x0000_s2108" type="#_x0000_t202" style="position:absolute;margin-left:71.15pt;margin-top:31.75pt;width:149.65pt;height:14.2pt;z-index:-25123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" filled="f" stroked="f">
          <o:lock v:ext="edit" aspectratio="t" verticies="t" text="t" shapetype="t"/>
          <v:textbox inset="0,0,0,0">
            <w:txbxContent>
              <w:p w:rsidR="008142C4" w:rsidRDefault="003048D3">
                <w:pPr>
                  <w:spacing w:before="11"/>
                  <w:ind w:left="20"/>
                  <w:rPr>
                    <w:b/>
                  </w:rPr>
                </w:pPr>
                <w:r>
                  <w:rPr>
                    <w:b/>
                    <w:w w:val="110"/>
                  </w:rPr>
                  <w:t>Substance-Related</w:t>
                </w:r>
                <w:r>
                  <w:rPr>
                    <w:b/>
                    <w:spacing w:val="-38"/>
                    <w:w w:val="110"/>
                  </w:rPr>
                  <w:t xml:space="preserve"> </w:t>
                </w:r>
                <w:r>
                  <w:rPr>
                    <w:b/>
                    <w:w w:val="110"/>
                  </w:rPr>
                  <w:t>Disorders</w:t>
                </w:r>
              </w:p>
            </w:txbxContent>
          </v:textbox>
          <w10:wrap anchorx="page" anchory="page"/>
        </v:shape>
      </w:pict>
    </w: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7E2D48EB">
        <v:line id="Line 978" o:spid="_x0000_s2107" style="position:absolute;z-index:-25123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1pt,49.85pt" to="410.55pt,49.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" strokeweight=".16958mm">
          <v:path arrowok="f"/>
          <o:lock v:ext="edit" aspectratio="t" verticies="t"/>
          <w10:wrap anchorx="page" anchory="page"/>
        </v:line>
      </w:pict>
    </w:r>
    <w:r>
      <w:rPr>
        <w:noProof/>
      </w:rPr>
      <w:pict w14:anchorId="4D4503F5">
        <v:shapetype id="_x0000_t202" coordsize="21600,21600" o:spt="202" path="m,l,21600r21600,l21600,xe">
          <v:stroke joinstyle="miter"/>
          <v:path gradientshapeok="t" o:connecttype="rect"/>
        </v:shapetype>
        <v:shape id="Text Box 977" o:spid="_x0000_s2106" type="#_x0000_t202" style="position:absolute;margin-left:235.85pt;margin-top:32.05pt;width:142.05pt;height:14.2pt;z-index:-25123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" filled="f" stroked="f">
          <o:lock v:ext="edit" aspectratio="t" verticies="t" text="t" shapetype="t"/>
          <v:textbox inset="0,0,0,0">
            <w:txbxContent>
              <w:p w:rsidR="008142C4" w:rsidRDefault="003048D3">
                <w:pPr>
                  <w:spacing w:before="11"/>
                  <w:ind w:left="20"/>
                  <w:rPr>
                    <w:b/>
                  </w:rPr>
                </w:pPr>
                <w:r>
                  <w:rPr>
                    <w:b/>
                    <w:w w:val="110"/>
                  </w:rPr>
                  <w:t>Inhalant-Related</w:t>
                </w:r>
                <w:r>
                  <w:rPr>
                    <w:b/>
                    <w:spacing w:val="-39"/>
                    <w:w w:val="110"/>
                  </w:rPr>
                  <w:t xml:space="preserve"> </w:t>
                </w:r>
                <w:r>
                  <w:rPr>
                    <w:b/>
                    <w:w w:val="110"/>
                  </w:rPr>
                  <w:t>Disorders</w:t>
                </w:r>
              </w:p>
            </w:txbxContent>
          </v:textbox>
          <w10:wrap anchorx="page" anchory="page"/>
        </v:shape>
      </w:pict>
    </w:r>
    <w:r>
      <w:rPr>
        <w:noProof/>
      </w:rPr>
      <w:pict w14:anchorId="051B31DC">
        <v:shape id="Text Box 976" o:spid="_x0000_s2105" type="#_x0000_t202" style="position:absolute;margin-left:388.95pt;margin-top:32.05pt;width:25.9pt;height:15.9pt;z-index:-25123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" filled="f" stroked="f">
          <o:lock v:ext="edit" aspectratio="t" verticies="t" text="t" shapetype="t"/>
          <v:textbox inset="0,0,0,0">
            <w:txbxContent>
              <w:p w:rsidR="008142C4" w:rsidRDefault="003048D3">
                <w:pPr>
                  <w:spacing w:before="11"/>
                  <w:ind w:left="93"/>
                  <w:rPr>
                    <w:b/>
                  </w:rPr>
                </w:pPr>
                <w:r>
                  <w:fldChar w:fldCharType="begin"/>
                </w:r>
                <w:r>
                  <w:rPr>
                    <w:b/>
                    <w:w w:val="110"/>
                  </w:rPr>
                  <w:instrText xml:space="preserve"> PAGE </w:instrText>
                </w:r>
                <w:r>
                  <w:fldChar w:fldCharType="separate"/>
                </w:r>
                <w:r>
                  <w:t>241</w:t>
                </w:r>
                <w:r>
                  <w:fldChar w:fldCharType="end"/>
                </w:r>
              </w:p>
            </w:txbxContent>
          </v:textbox>
          <w10:wrap anchorx="page" anchory="page"/>
        </v:shape>
      </w:pict>
    </w: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4EE4FDCB">
        <v:line id="Line 969" o:spid="_x0000_s2104" style="position:absolute;z-index:-25122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1pt,48.6pt" to="410.35pt,48.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" strokeweight=".16958mm">
          <v:path arrowok="f"/>
          <o:lock v:ext="edit" aspectratio="t" verticies="t"/>
          <w10:wrap anchorx="page" anchory="page"/>
        </v:line>
      </w:pict>
    </w:r>
    <w:r>
      <w:rPr>
        <w:noProof/>
      </w:rPr>
      <w:pict w14:anchorId="555F1BF1">
        <v:shapetype id="_x0000_t202" coordsize="21600,21600" o:spt="202" path="m,l,21600r21600,l21600,xe">
          <v:stroke joinstyle="miter"/>
          <v:path gradientshapeok="t" o:connecttype="rect"/>
        </v:shapetype>
        <v:shape id="Text Box 968" o:spid="_x0000_s2103" type="#_x0000_t202" style="position:absolute;margin-left:35.55pt;margin-top:32.25pt;width:25.7pt;height:14.2pt;z-index:-25122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" filled="f" stroked="f">
          <o:lock v:ext="edit" aspectratio="t" verticies="t" text="t" shapetype="t"/>
          <v:textbox inset="0,0,0,0">
            <w:txbxContent>
              <w:p w:rsidR="008142C4" w:rsidRDefault="003048D3">
                <w:pPr>
                  <w:spacing w:before="11"/>
                  <w:ind w:left="60"/>
                  <w:rPr>
                    <w:b/>
                  </w:rPr>
                </w:pPr>
                <w:r>
                  <w:fldChar w:fldCharType="begin"/>
                </w:r>
                <w:r>
                  <w:rPr>
                    <w:b/>
                    <w:w w:val="120"/>
                  </w:rPr>
                  <w:instrText xml:space="preserve"> PAGE </w:instrText>
                </w:r>
                <w:r>
                  <w:fldChar w:fldCharType="separate"/>
                </w:r>
                <w:r>
                  <w:t>244</w:t>
                </w:r>
                <w:r>
                  <w:fldChar w:fldCharType="end"/>
                </w:r>
              </w:p>
            </w:txbxContent>
          </v:textbox>
          <w10:wrap anchorx="page" anchory="page"/>
        </v:shape>
      </w:pict>
    </w:r>
    <w:r>
      <w:rPr>
        <w:noProof/>
      </w:rPr>
      <w:pict w14:anchorId="5DCC1EA8">
        <v:shape id="Text Box 967" o:spid="_x0000_s2102" type="#_x0000_t202" style="position:absolute;margin-left:71.15pt;margin-top:32.25pt;width:149.65pt;height:14.2pt;z-index:-25122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" filled="f" stroked="f">
          <o:lock v:ext="edit" aspectratio="t" verticies="t" text="t" shapetype="t"/>
          <v:textbox inset="0,0,0,0">
            <w:txbxContent>
              <w:p w:rsidR="008142C4" w:rsidRDefault="003048D3">
                <w:pPr>
                  <w:spacing w:before="11"/>
                  <w:ind w:left="20"/>
                  <w:rPr>
                    <w:b/>
                  </w:rPr>
                </w:pPr>
                <w:r>
                  <w:rPr>
                    <w:b/>
                    <w:w w:val="110"/>
                  </w:rPr>
                  <w:t>Substance-Related</w:t>
                </w:r>
                <w:r>
                  <w:rPr>
                    <w:b/>
                    <w:spacing w:val="-38"/>
                    <w:w w:val="110"/>
                  </w:rPr>
                  <w:t xml:space="preserve"> </w:t>
                </w:r>
                <w:r>
                  <w:rPr>
                    <w:b/>
                    <w:w w:val="110"/>
                  </w:rPr>
                  <w:t>Disorders</w:t>
                </w:r>
              </w:p>
            </w:txbxContent>
          </v:textbox>
          <w10:wrap anchorx="page" anchory="page"/>
        </v:shape>
      </w:pict>
    </w: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403F8124">
        <v:line id="Line 972" o:spid="_x0000_s2101" style="position:absolute;z-index:-25122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pt,49.55pt" to="410.3pt,49.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" strokeweight=".16958mm">
          <v:path arrowok="f"/>
          <o:lock v:ext="edit" aspectratio="t" verticies="t"/>
          <w10:wrap anchorx="page" anchory="page"/>
        </v:line>
      </w:pict>
    </w:r>
    <w:r>
      <w:rPr>
        <w:noProof/>
      </w:rPr>
      <w:pict w14:anchorId="6D2775F8">
        <v:shapetype id="_x0000_t202" coordsize="21600,21600" o:spt="202" path="m,l,21600r21600,l21600,xe">
          <v:stroke joinstyle="miter"/>
          <v:path gradientshapeok="t" o:connecttype="rect"/>
        </v:shapetype>
        <v:shape id="Text Box 971" o:spid="_x0000_s2100" type="#_x0000_t202" style="position:absolute;margin-left:237.1pt;margin-top:33.25pt;width:140.65pt;height:14.2pt;z-index:-25122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" filled="f" stroked="f">
          <o:lock v:ext="edit" aspectratio="t" verticies="t" text="t" shapetype="t"/>
          <v:textbox inset="0,0,0,0">
            <w:txbxContent>
              <w:p w:rsidR="008142C4" w:rsidRDefault="003048D3">
                <w:pPr>
                  <w:spacing w:before="11"/>
                  <w:ind w:left="20"/>
                  <w:rPr>
                    <w:b/>
                  </w:rPr>
                </w:pPr>
                <w:r>
                  <w:rPr>
                    <w:b/>
                    <w:w w:val="110"/>
                  </w:rPr>
                  <w:t>Nicotine-Related</w:t>
                </w:r>
                <w:r>
                  <w:rPr>
                    <w:b/>
                    <w:spacing w:val="-37"/>
                    <w:w w:val="110"/>
                  </w:rPr>
                  <w:t xml:space="preserve"> </w:t>
                </w:r>
                <w:r>
                  <w:rPr>
                    <w:b/>
                    <w:w w:val="110"/>
                  </w:rPr>
                  <w:t>Disorders</w:t>
                </w:r>
              </w:p>
            </w:txbxContent>
          </v:textbox>
          <w10:wrap anchorx="page" anchory="page"/>
        </v:shape>
      </w:pict>
    </w:r>
    <w:r>
      <w:rPr>
        <w:noProof/>
      </w:rPr>
      <w:pict w14:anchorId="51608313">
        <v:shape id="Text Box 970" o:spid="_x0000_s2099" type="#_x0000_t202" style="position:absolute;margin-left:389.5pt;margin-top:33.25pt;width:25.5pt;height:14.35pt;z-index:-25122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" filled="f" stroked="f">
          <o:lock v:ext="edit" aspectratio="t" verticies="t" text="t" shapetype="t"/>
          <v:textbox inset="0,0,0,0">
            <w:txbxContent>
              <w:p w:rsidR="008142C4" w:rsidRDefault="003048D3">
                <w:pPr>
                  <w:spacing w:before="11"/>
                  <w:ind w:left="88"/>
                  <w:rPr>
                    <w:b/>
                  </w:rPr>
                </w:pPr>
                <w:r>
                  <w:fldChar w:fldCharType="begin"/>
                </w:r>
                <w:r>
                  <w:rPr>
                    <w:b/>
                    <w:w w:val="110"/>
                  </w:rPr>
                  <w:instrText xml:space="preserve"> PAGE </w:instrText>
                </w:r>
                <w:r>
                  <w:fldChar w:fldCharType="separate"/>
                </w:r>
                <w:r>
                  <w:t>245</w:t>
                </w:r>
                <w:r>
                  <w:fldChar w:fldCharType="end"/>
                </w:r>
              </w:p>
            </w:txbxContent>
          </v:textbox>
          <w10:wrap anchorx="page" anchory="page"/>
        </v:shape>
      </w:pict>
    </w: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367C0421">
        <v:line id="Line 963" o:spid="_x0000_s2098" style="position:absolute;z-index:-25121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pt,50pt" to="411.25pt,50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" strokeweight=".16958mm">
          <v:path arrowok="f"/>
          <o:lock v:ext="edit" aspectratio="t" verticies="t"/>
          <w10:wrap anchorx="page" anchory="page"/>
        </v:line>
      </w:pict>
    </w:r>
    <w:r>
      <w:rPr>
        <w:noProof/>
      </w:rPr>
      <w:pict w14:anchorId="2663EE40">
        <v:shapetype id="_x0000_t202" coordsize="21600,21600" o:spt="202" path="m,l,21600r21600,l21600,xe">
          <v:stroke joinstyle="miter"/>
          <v:path gradientshapeok="t" o:connecttype="rect"/>
        </v:shapetype>
        <v:shape id="Text Box 962" o:spid="_x0000_s2097" type="#_x0000_t202" style="position:absolute;margin-left:35.45pt;margin-top:33.85pt;width:22.75pt;height:13.65pt;z-index:-25121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" filled="f" stroked="f">
          <o:lock v:ext="edit" aspectratio="t" verticies="t" text="t" shapetype="t"/>
          <v:textbox inset="0,0,0,0">
            <w:txbxContent>
              <w:p w:rsidR="008142C4" w:rsidRDefault="003048D3">
                <w:pPr>
                  <w:spacing w:before="11"/>
                  <w:ind w:left="60"/>
                  <w:rPr>
                    <w:b/>
                    <w:sz w:val="21"/>
                  </w:rPr>
                </w:pPr>
                <w:r>
                  <w:fldChar w:fldCharType="begin"/>
                </w:r>
                <w:r>
                  <w:rPr>
                    <w:b/>
                    <w:w w:val="105"/>
                    <w:sz w:val="21"/>
                  </w:rPr>
                  <w:instrText xml:space="preserve"> PAGE </w:instrText>
                </w:r>
                <w:r>
                  <w:fldChar w:fldCharType="separate"/>
                </w:r>
                <w:r>
                  <w:t>248</w:t>
                </w:r>
                <w:r>
                  <w:fldChar w:fldCharType="end"/>
                </w:r>
              </w:p>
            </w:txbxContent>
          </v:textbox>
          <w10:wrap anchorx="page" anchory="page"/>
        </v:shape>
      </w:pict>
    </w:r>
    <w:r>
      <w:rPr>
        <w:noProof/>
      </w:rPr>
      <w:pict w14:anchorId="4CD28208">
        <v:shape id="Text Box 961" o:spid="_x0000_s2096" type="#_x0000_t202" style="position:absolute;margin-left:71.1pt;margin-top:33.85pt;width:149.7pt;height:13.65pt;z-index:-25121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" filled="f" stroked="f">
          <o:lock v:ext="edit" aspectratio="t" verticies="t" text="t" shapetype="t"/>
          <v:textbox inset="0,0,0,0">
            <w:txbxContent>
              <w:p w:rsidR="008142C4" w:rsidRDefault="003048D3">
                <w:pPr>
                  <w:spacing w:before="11"/>
                  <w:ind w:left="20"/>
                  <w:rPr>
                    <w:b/>
                    <w:sz w:val="21"/>
                  </w:rPr>
                </w:pPr>
                <w:r>
                  <w:rPr>
                    <w:b/>
                    <w:w w:val="115"/>
                    <w:sz w:val="21"/>
                  </w:rPr>
                  <w:t>Substance-Related</w:t>
                </w:r>
                <w:r>
                  <w:rPr>
                    <w:b/>
                    <w:spacing w:val="-36"/>
                    <w:w w:val="115"/>
                    <w:sz w:val="21"/>
                  </w:rPr>
                  <w:t xml:space="preserve"> </w:t>
                </w:r>
                <w:r>
                  <w:rPr>
                    <w:b/>
                    <w:w w:val="115"/>
                    <w:sz w:val="21"/>
                  </w:rPr>
                  <w:t>Disorders</w:t>
                </w:r>
              </w:p>
            </w:txbxContent>
          </v:textbox>
          <w10:wrap anchorx="page" anchory="page"/>
        </v:shape>
      </w:pict>
    </w: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0B9AAC7C">
        <v:line id="Line 966" o:spid="_x0000_s2095" style="position:absolute;z-index:-25122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5pt,49.25pt" to="411.75pt,49.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" strokeweight=".16956mm">
          <v:path arrowok="f"/>
          <o:lock v:ext="edit" aspectratio="t" verticies="t"/>
          <w10:wrap anchorx="page" anchory="page"/>
        </v:line>
      </w:pict>
    </w:r>
    <w:r>
      <w:rPr>
        <w:noProof/>
      </w:rPr>
      <w:pict w14:anchorId="3E44F1D8">
        <v:shapetype id="_x0000_t202" coordsize="21600,21600" o:spt="202" path="m,l,21600r21600,l21600,xe">
          <v:stroke joinstyle="miter"/>
          <v:path gradientshapeok="t" o:connecttype="rect"/>
        </v:shapetype>
        <v:shape id="Text Box 965" o:spid="_x0000_s2094" type="#_x0000_t202" style="position:absolute;margin-left:242.1pt;margin-top:33.2pt;width:133.2pt;height:14.2pt;z-index:-25122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" filled="f" stroked="f">
          <o:lock v:ext="edit" aspectratio="t" verticies="t" text="t" shapetype="t"/>
          <v:textbox inset="0,0,0,0">
            <w:txbxContent>
              <w:p w:rsidR="008142C4" w:rsidRDefault="003048D3">
                <w:pPr>
                  <w:spacing w:before="11"/>
                  <w:ind w:left="20"/>
                  <w:rPr>
                    <w:b/>
                  </w:rPr>
                </w:pPr>
                <w:r>
                  <w:rPr>
                    <w:b/>
                    <w:w w:val="110"/>
                  </w:rPr>
                  <w:t>Opioid-Related</w:t>
                </w:r>
                <w:r>
                  <w:rPr>
                    <w:b/>
                    <w:spacing w:val="-37"/>
                    <w:w w:val="110"/>
                  </w:rPr>
                  <w:t xml:space="preserve"> </w:t>
                </w:r>
                <w:r>
                  <w:rPr>
                    <w:b/>
                    <w:w w:val="110"/>
                  </w:rPr>
                  <w:t>Disorders</w:t>
                </w:r>
              </w:p>
            </w:txbxContent>
          </v:textbox>
          <w10:wrap anchorx="page" anchory="page"/>
        </v:shape>
      </w:pict>
    </w:r>
    <w:r>
      <w:rPr>
        <w:noProof/>
      </w:rPr>
      <w:pict w14:anchorId="03698B8E">
        <v:shape id="Text Box 964" o:spid="_x0000_s2093" type="#_x0000_t202" style="position:absolute;margin-left:388.25pt;margin-top:33.2pt;width:26.4pt;height:14.9pt;z-index:-25122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" filled="f" stroked="f">
          <o:lock v:ext="edit" aspectratio="t" verticies="t" text="t" shapetype="t"/>
          <v:textbox inset="0,0,0,0">
            <w:txbxContent>
              <w:p w:rsidR="008142C4" w:rsidRDefault="003048D3">
                <w:pPr>
                  <w:spacing w:before="11"/>
                  <w:ind w:left="60"/>
                  <w:rPr>
                    <w:b/>
                  </w:rPr>
                </w:pPr>
                <w:r>
                  <w:fldChar w:fldCharType="begin"/>
                </w:r>
                <w:r>
                  <w:rPr>
                    <w:b/>
                    <w:w w:val="110"/>
                  </w:rPr>
                  <w:instrText xml:space="preserve"> PAGE </w:instrText>
                </w:r>
                <w:r>
                  <w:fldChar w:fldCharType="separate"/>
                </w:r>
                <w:r>
                  <w:t>251</w:t>
                </w:r>
                <w:r>
                  <w:fldChar w:fldCharType="end"/>
                </w:r>
              </w:p>
            </w:txbxContent>
          </v:textbox>
          <w10:wrap anchorx="page" anchory="page"/>
        </v:shape>
      </w:pict>
    </w: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4D4540D8">
        <v:line id="Line 957" o:spid="_x0000_s2092" style="position:absolute;z-index:-25121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55pt,50.45pt" to="411.8pt,50.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" strokeweight=".16958mm">
          <v:path arrowok="f"/>
          <o:lock v:ext="edit" aspectratio="t" verticies="t"/>
          <w10:wrap anchorx="page" anchory="page"/>
        </v:line>
      </w:pict>
    </w:r>
    <w:r>
      <w:rPr>
        <w:noProof/>
      </w:rPr>
      <w:pict w14:anchorId="39E751A6">
        <v:shapetype id="_x0000_t202" coordsize="21600,21600" o:spt="202" path="m,l,21600r21600,l21600,xe">
          <v:stroke joinstyle="miter"/>
          <v:path gradientshapeok="t" o:connecttype="rect"/>
        </v:shapetype>
        <v:shape id="Text Box 956" o:spid="_x0000_s2091" type="#_x0000_t202" style="position:absolute;margin-left:36.75pt;margin-top:34pt;width:22.45pt;height:13.65pt;z-index:-25121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" filled="f" stroked="f">
          <o:lock v:ext="edit" aspectratio="t" verticies="t" text="t" shapetype="t"/>
          <v:textbox inset="0,0,0,0">
            <w:txbxContent>
              <w:p w:rsidR="008142C4" w:rsidRDefault="003048D3">
                <w:pPr>
                  <w:spacing w:before="11"/>
                  <w:ind w:left="60"/>
                  <w:rPr>
                    <w:b/>
                    <w:sz w:val="21"/>
                  </w:rPr>
                </w:pPr>
                <w:r>
                  <w:fldChar w:fldCharType="begin"/>
                </w:r>
                <w:r>
                  <w:rPr>
                    <w:b/>
                    <w:w w:val="105"/>
                    <w:sz w:val="21"/>
                  </w:rPr>
                  <w:instrText xml:space="preserve"> PAGE </w:instrText>
                </w:r>
                <w:r>
                  <w:fldChar w:fldCharType="separate"/>
                </w:r>
                <w:r>
                  <w:t>256</w:t>
                </w:r>
                <w:r>
                  <w:fldChar w:fldCharType="end"/>
                </w:r>
              </w:p>
            </w:txbxContent>
          </v:textbox>
          <w10:wrap anchorx="page" anchory="page"/>
        </v:shape>
      </w:pict>
    </w:r>
    <w:r>
      <w:rPr>
        <w:noProof/>
      </w:rPr>
      <w:pict w14:anchorId="52F0EB8D">
        <v:shape id="Text Box 955" o:spid="_x0000_s2090" type="#_x0000_t202" style="position:absolute;margin-left:72.35pt;margin-top:34pt;width:149.95pt;height:13.65pt;z-index:-25121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" filled="f" stroked="f">
          <o:lock v:ext="edit" aspectratio="t" verticies="t" text="t" shapetype="t"/>
          <v:textbox inset="0,0,0,0">
            <w:txbxContent>
              <w:p w:rsidR="008142C4" w:rsidRDefault="003048D3">
                <w:pPr>
                  <w:spacing w:before="11"/>
                  <w:ind w:left="20"/>
                  <w:rPr>
                    <w:b/>
                    <w:sz w:val="21"/>
                  </w:rPr>
                </w:pPr>
                <w:r>
                  <w:rPr>
                    <w:b/>
                    <w:w w:val="115"/>
                    <w:sz w:val="21"/>
                  </w:rPr>
                  <w:t>Substance-Related</w:t>
                </w:r>
                <w:r>
                  <w:rPr>
                    <w:b/>
                    <w:spacing w:val="-32"/>
                    <w:w w:val="115"/>
                    <w:sz w:val="21"/>
                  </w:rPr>
                  <w:t xml:space="preserve"> </w:t>
                </w:r>
                <w:r>
                  <w:rPr>
                    <w:b/>
                    <w:w w:val="115"/>
                    <w:sz w:val="21"/>
                  </w:rPr>
                  <w:t>Disorders</w:t>
                </w:r>
              </w:p>
            </w:txbxContent>
          </v:textbox>
          <w10:wrap anchorx="page" anchory="page"/>
        </v:shape>
      </w:pict>
    </w: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118D2E6C">
        <v:line id="Line 960" o:spid="_x0000_s2089" style="position:absolute;z-index:-25121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pt,49.25pt" to="410.8pt,49.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" strokeweight=".08478mm">
          <v:path arrowok="f"/>
          <o:lock v:ext="edit" aspectratio="t" verticies="t"/>
          <w10:wrap anchorx="page" anchory="page"/>
        </v:line>
      </w:pict>
    </w:r>
    <w:r>
      <w:rPr>
        <w:noProof/>
      </w:rPr>
      <w:pict w14:anchorId="4CB9A510">
        <v:shapetype id="_x0000_t202" coordsize="21600,21600" o:spt="202" path="m,l,21600r21600,l21600,xe">
          <v:stroke joinstyle="miter"/>
          <v:path gradientshapeok="t" o:connecttype="rect"/>
        </v:shapetype>
        <v:shape id="Text Box 959" o:spid="_x0000_s2088" type="#_x0000_t202" style="position:absolute;margin-left:205.5pt;margin-top:33.5pt;width:171.55pt;height:14.2pt;z-index:-25121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" filled="f" stroked="f">
          <o:lock v:ext="edit" aspectratio="t" verticies="t" text="t" shapetype="t"/>
          <v:textbox inset="0,0,0,0">
            <w:txbxContent>
              <w:p w:rsidR="008142C4" w:rsidRDefault="003048D3">
                <w:pPr>
                  <w:spacing w:before="11"/>
                  <w:ind w:left="20"/>
                  <w:rPr>
                    <w:b/>
                  </w:rPr>
                </w:pPr>
                <w:r>
                  <w:rPr>
                    <w:b/>
                    <w:w w:val="110"/>
                  </w:rPr>
                  <w:t>Phencyclidine-Related Disorders</w:t>
                </w:r>
              </w:p>
            </w:txbxContent>
          </v:textbox>
          <w10:wrap anchorx="page" anchory="page"/>
        </v:shape>
      </w:pict>
    </w:r>
    <w:r>
      <w:rPr>
        <w:noProof/>
      </w:rPr>
      <w:pict w14:anchorId="08F12052">
        <v:shape id="Text Box 958" o:spid="_x0000_s2087" type="#_x0000_t202" style="position:absolute;margin-left:389.25pt;margin-top:33.15pt;width:24.95pt;height:14.55pt;z-index:-25121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" filled="f" stroked="f">
          <o:lock v:ext="edit" aspectratio="t" verticies="t" text="t" shapetype="t"/>
          <v:textbox inset="0,0,0,0">
            <w:txbxContent>
              <w:p w:rsidR="008142C4" w:rsidRDefault="003048D3">
                <w:pPr>
                  <w:spacing w:before="17"/>
                  <w:ind w:left="74"/>
                  <w:rPr>
                    <w:b/>
                  </w:rPr>
                </w:pPr>
                <w:r>
                  <w:fldChar w:fldCharType="begin"/>
                </w:r>
                <w:r>
                  <w:rPr>
                    <w:b/>
                    <w:w w:val="110"/>
                  </w:rPr>
                  <w:instrText xml:space="preserve"> PAGE </w:instrText>
                </w:r>
                <w:r>
                  <w:fldChar w:fldCharType="separate"/>
                </w:r>
                <w:r>
                  <w:t>257</w:t>
                </w:r>
                <w:r>
                  <w:fldChar w:fldCharType="end"/>
                </w:r>
              </w:p>
            </w:txbxContent>
          </v:textbox>
          <w10:wrap anchorx="page" anchory="page"/>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21E6AAC0">
        <v:shapetype id="_x0000_t202" coordsize="21600,21600" o:spt="202" path="m,l,21600r21600,l21600,xe">
          <v:stroke joinstyle="miter"/>
          <v:path gradientshapeok="t" o:connecttype="rect"/>
        </v:shapetype>
        <v:shape id="Text Box 1362" o:spid="_x0000_s2497" type="#_x0000_t202" style="position:absolute;margin-left:307.45pt;margin-top:33.7pt;width:68.05pt;height:14.2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" filled="f" stroked="f">
          <o:lock v:ext="edit" aspectratio="t" verticies="t" text="t" shapetype="t"/>
          <v:textbox inset="0,0,0,0">
            <w:txbxContent>
              <w:p w:rsidR="008142C4" w:rsidRDefault="003048D3">
                <w:pPr>
                  <w:spacing w:before="11"/>
                  <w:ind w:left="20"/>
                  <w:rPr>
                    <w:b/>
                  </w:rPr>
                </w:pPr>
                <w:r>
                  <w:rPr>
                    <w:b/>
                    <w:w w:val="110"/>
                  </w:rPr>
                  <w:t>Introduction</w:t>
                </w:r>
              </w:p>
            </w:txbxContent>
          </v:textbox>
          <w10:wrap anchorx="page" anchory="page"/>
        </v:shape>
      </w:pict>
    </w:r>
    <w:r>
      <w:rPr>
        <w:noProof/>
      </w:rPr>
      <w:pict w14:anchorId="18BF0395">
        <v:shape id="Text Box 1361" o:spid="_x0000_s2496" type="#_x0000_t202" style="position:absolute;margin-left:387.75pt;margin-top:33.7pt;width:21.55pt;height:14.2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" filled="f" stroked="f">
          <o:lock v:ext="edit" aspectratio="t" verticies="t" text="t" shapetype="t"/>
          <v:textbox inset="0,0,0,0">
            <w:txbxContent>
              <w:p w:rsidR="008142C4" w:rsidRDefault="003048D3">
                <w:pPr>
                  <w:spacing w:before="11"/>
                  <w:ind w:left="60"/>
                  <w:rPr>
                    <w:b/>
                  </w:rPr>
                </w:pPr>
                <w:r>
                  <w:rPr>
                    <w:b/>
                    <w:w w:val="110"/>
                  </w:rPr>
                  <w:t>xix</w:t>
                </w:r>
              </w:p>
            </w:txbxContent>
          </v:textbox>
          <w10:wrap anchorx="page" anchory="page"/>
        </v:shape>
      </w:pict>
    </w: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52971860">
        <v:line id="Line 954" o:spid="_x0000_s2086" style="position:absolute;z-index:-25121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4pt,49.05pt" to="410.8pt,49.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" strokeweight=".16958mm">
          <v:path arrowok="f"/>
          <o:lock v:ext="edit" aspectratio="t" verticies="t"/>
          <w10:wrap anchorx="page" anchory="page"/>
        </v:line>
      </w:pict>
    </w:r>
    <w:r>
      <w:rPr>
        <w:noProof/>
      </w:rPr>
      <w:pict w14:anchorId="4C2D4FB4">
        <v:shapetype id="_x0000_t202" coordsize="21600,21600" o:spt="202" path="m,l,21600r21600,l21600,xe">
          <v:stroke joinstyle="miter"/>
          <v:path gradientshapeok="t" o:connecttype="rect"/>
        </v:shapetype>
        <v:shape id="Text Box 953" o:spid="_x0000_s2085" type="#_x0000_t202" style="position:absolute;margin-left:205.25pt;margin-top:32.95pt;width:171.55pt;height:14.2pt;z-index:-25120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" filled="f" stroked="f">
          <o:lock v:ext="edit" aspectratio="t" verticies="t" text="t" shapetype="t"/>
          <v:textbox inset="0,0,0,0">
            <w:txbxContent>
              <w:p w:rsidR="008142C4" w:rsidRDefault="003048D3">
                <w:pPr>
                  <w:spacing w:before="11"/>
                  <w:ind w:left="20"/>
                  <w:rPr>
                    <w:b/>
                  </w:rPr>
                </w:pPr>
                <w:r>
                  <w:rPr>
                    <w:b/>
                    <w:w w:val="110"/>
                  </w:rPr>
                  <w:t>Phencyclidine-Related Disorders</w:t>
                </w:r>
              </w:p>
            </w:txbxContent>
          </v:textbox>
          <w10:wrap anchorx="page" anchory="page"/>
        </v:shape>
      </w:pict>
    </w:r>
    <w:r>
      <w:rPr>
        <w:noProof/>
      </w:rPr>
      <w:pict w14:anchorId="63DF6617">
        <v:shape id="Text Box 952" o:spid="_x0000_s2084" type="#_x0000_t202" style="position:absolute;margin-left:391.7pt;margin-top:32.95pt;width:20.2pt;height:14.2pt;z-index:-25120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" filled="f" stroked="f">
          <o:lock v:ext="edit" aspectratio="t" verticies="t" text="t" shapetype="t"/>
          <v:textbox inset="0,0,0,0">
            <w:txbxContent>
              <w:p w:rsidR="008142C4" w:rsidRDefault="003048D3">
                <w:pPr>
                  <w:spacing w:before="11"/>
                  <w:ind w:left="20"/>
                  <w:rPr>
                    <w:b/>
                  </w:rPr>
                </w:pPr>
                <w:r>
                  <w:rPr>
                    <w:b/>
                    <w:w w:val="110"/>
                  </w:rPr>
                  <w:t>259</w:t>
                </w:r>
              </w:p>
            </w:txbxContent>
          </v:textbox>
          <w10:wrap anchorx="page" anchory="page"/>
        </v:shape>
      </w:pict>
    </w: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332E847F">
        <v:line id="Line 951" o:spid="_x0000_s2083" style="position:absolute;z-index:-25120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5pt,50.45pt" to="411.75pt,50.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" strokeweight=".16958mm">
          <v:path arrowok="f"/>
          <o:lock v:ext="edit" aspectratio="t" verticies="t"/>
          <w10:wrap anchorx="page" anchory="page"/>
        </v:line>
      </w:pict>
    </w:r>
    <w:r>
      <w:rPr>
        <w:noProof/>
      </w:rPr>
      <w:pict w14:anchorId="2A7CCE1F">
        <v:shapetype id="_x0000_t202" coordsize="21600,21600" o:spt="202" path="m,l,21600r21600,l21600,xe">
          <v:stroke joinstyle="miter"/>
          <v:path gradientshapeok="t" o:connecttype="rect"/>
        </v:shapetype>
        <v:shape id="Text Box 950" o:spid="_x0000_s2082" type="#_x0000_t202" style="position:absolute;margin-left:38.2pt;margin-top:33.85pt;width:20.2pt;height:14.2pt;z-index:-25120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" filled="f" stroked="f">
          <o:lock v:ext="edit" aspectratio="t" verticies="t" text="t" shapetype="t"/>
          <v:textbox inset="0,0,0,0">
            <w:txbxContent>
              <w:p w:rsidR="008142C4" w:rsidRDefault="003048D3">
                <w:pPr>
                  <w:spacing w:before="11"/>
                  <w:ind w:left="20"/>
                  <w:rPr>
                    <w:b/>
                  </w:rPr>
                </w:pPr>
                <w:r>
                  <w:rPr>
                    <w:b/>
                    <w:w w:val="110"/>
                  </w:rPr>
                  <w:t>260</w:t>
                </w:r>
              </w:p>
            </w:txbxContent>
          </v:textbox>
          <w10:wrap anchorx="page" anchory="page"/>
        </v:shape>
      </w:pict>
    </w:r>
    <w:r>
      <w:rPr>
        <w:noProof/>
      </w:rPr>
      <w:pict w14:anchorId="0590D0A0">
        <v:shape id="Text Box 949" o:spid="_x0000_s2081" type="#_x0000_t202" style="position:absolute;margin-left:71.8pt;margin-top:33.85pt;width:149.65pt;height:14.2pt;z-index:-25120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" filled="f" stroked="f">
          <o:lock v:ext="edit" aspectratio="t" verticies="t" text="t" shapetype="t"/>
          <v:textbox inset="0,0,0,0">
            <w:txbxContent>
              <w:p w:rsidR="008142C4" w:rsidRDefault="003048D3">
                <w:pPr>
                  <w:spacing w:before="11"/>
                  <w:ind w:left="20"/>
                  <w:rPr>
                    <w:b/>
                  </w:rPr>
                </w:pPr>
                <w:r>
                  <w:rPr>
                    <w:b/>
                    <w:w w:val="110"/>
                  </w:rPr>
                  <w:t>Substance-Related</w:t>
                </w:r>
                <w:r>
                  <w:rPr>
                    <w:b/>
                    <w:spacing w:val="-38"/>
                    <w:w w:val="110"/>
                  </w:rPr>
                  <w:t xml:space="preserve"> </w:t>
                </w:r>
                <w:r>
                  <w:rPr>
                    <w:b/>
                    <w:w w:val="110"/>
                  </w:rPr>
                  <w:t>Disorders</w:t>
                </w:r>
              </w:p>
            </w:txbxContent>
          </v:textbox>
          <w10:wrap anchorx="page" anchory="page"/>
        </v:shape>
      </w:pict>
    </w: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58AB2A82">
        <v:line id="Line 945" o:spid="_x0000_s2080" style="position:absolute;z-index:-25120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pt,49.95pt" to="411.2pt,49.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" strokeweight=".16958mm">
          <v:path arrowok="f"/>
          <o:lock v:ext="edit" aspectratio="t" verticies="t"/>
          <w10:wrap anchorx="page" anchory="page"/>
        </v:line>
      </w:pict>
    </w:r>
    <w:r>
      <w:rPr>
        <w:noProof/>
      </w:rPr>
      <w:pict w14:anchorId="4F11899C">
        <v:shapetype id="_x0000_t202" coordsize="21600,21600" o:spt="202" path="m,l,21600r21600,l21600,xe">
          <v:stroke joinstyle="miter"/>
          <v:path gradientshapeok="t" o:connecttype="rect"/>
        </v:shapetype>
        <v:shape id="Text Box 944" o:spid="_x0000_s2079" type="#_x0000_t202" style="position:absolute;margin-left:33.8pt;margin-top:33.55pt;width:25.3pt;height:14.85pt;z-index:-25120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" filled="f" stroked="f">
          <o:lock v:ext="edit" aspectratio="t" verticies="t" text="t" shapetype="t"/>
          <v:textbox inset="0,0,0,0">
            <w:txbxContent>
              <w:p w:rsidR="008142C4" w:rsidRDefault="003048D3">
                <w:pPr>
                  <w:spacing w:before="11"/>
                  <w:ind w:left="98"/>
                  <w:rPr>
                    <w:b/>
                  </w:rPr>
                </w:pPr>
                <w:r>
                  <w:fldChar w:fldCharType="begin"/>
                </w:r>
                <w:r>
                  <w:rPr>
                    <w:b/>
                    <w:w w:val="105"/>
                  </w:rPr>
                  <w:instrText xml:space="preserve"> PAGE </w:instrText>
                </w:r>
                <w:r>
                  <w:fldChar w:fldCharType="separate"/>
                </w:r>
                <w:r>
                  <w:t>268</w:t>
                </w:r>
                <w:r>
                  <w:fldChar w:fldCharType="end"/>
                </w:r>
              </w:p>
            </w:txbxContent>
          </v:textbox>
          <w10:wrap anchorx="page" anchory="page"/>
        </v:shape>
      </w:pict>
    </w:r>
    <w:r>
      <w:rPr>
        <w:noProof/>
      </w:rPr>
      <w:pict w14:anchorId="4D971C4C">
        <v:shape id="Text Box 943" o:spid="_x0000_s2078" type="#_x0000_t202" style="position:absolute;margin-left:71.3pt;margin-top:33.55pt;width:149.65pt;height:14.2pt;z-index:-25119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" filled="f" stroked="f">
          <o:lock v:ext="edit" aspectratio="t" verticies="t" text="t" shapetype="t"/>
          <v:textbox inset="0,0,0,0">
            <w:txbxContent>
              <w:p w:rsidR="008142C4" w:rsidRDefault="003048D3">
                <w:pPr>
                  <w:spacing w:before="11"/>
                  <w:ind w:left="20"/>
                  <w:rPr>
                    <w:b/>
                  </w:rPr>
                </w:pPr>
                <w:r>
                  <w:rPr>
                    <w:b/>
                    <w:w w:val="110"/>
                  </w:rPr>
                  <w:t>Substance-Related</w:t>
                </w:r>
                <w:r>
                  <w:rPr>
                    <w:b/>
                    <w:spacing w:val="-38"/>
                    <w:w w:val="110"/>
                  </w:rPr>
                  <w:t xml:space="preserve"> </w:t>
                </w:r>
                <w:r>
                  <w:rPr>
                    <w:b/>
                    <w:w w:val="110"/>
                  </w:rPr>
                  <w:t>Disorders</w:t>
                </w:r>
              </w:p>
            </w:txbxContent>
          </v:textbox>
          <w10:wrap anchorx="page" anchory="page"/>
        </v:shape>
      </w:pict>
    </w: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75B2E660">
        <v:line id="Line 948" o:spid="_x0000_s2077" style="position:absolute;z-index:-25120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5pt,49.05pt" to="411.75pt,49.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" strokeweight=".16956mm">
          <v:path arrowok="f"/>
          <o:lock v:ext="edit" aspectratio="t" verticies="t"/>
          <w10:wrap anchorx="page" anchory="page"/>
        </v:line>
      </w:pict>
    </w:r>
    <w:r>
      <w:rPr>
        <w:noProof/>
      </w:rPr>
      <w:pict w14:anchorId="0E9FBAA8">
        <v:shapetype id="_x0000_t202" coordsize="21600,21600" o:spt="202" path="m,l,21600r21600,l21600,xe">
          <v:stroke joinstyle="miter"/>
          <v:path gradientshapeok="t" o:connecttype="rect"/>
        </v:shapetype>
        <v:shape id="Text Box 947" o:spid="_x0000_s2076" type="#_x0000_t202" style="position:absolute;margin-left:101.35pt;margin-top:33.15pt;width:276.6pt;height:14.2pt;z-index:-25120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" filled="f" stroked="f">
          <o:lock v:ext="edit" aspectratio="t" verticies="t" text="t" shapetype="t"/>
          <v:textbox inset="0,0,0,0">
            <w:txbxContent>
              <w:p w:rsidR="008142C4" w:rsidRDefault="003048D3">
                <w:pPr>
                  <w:spacing w:before="11"/>
                  <w:ind w:left="20"/>
                  <w:rPr>
                    <w:b/>
                  </w:rPr>
                </w:pPr>
                <w:r>
                  <w:rPr>
                    <w:b/>
                    <w:w w:val="110"/>
                  </w:rPr>
                  <w:t>Sedative-,</w:t>
                </w:r>
                <w:r>
                  <w:rPr>
                    <w:b/>
                    <w:spacing w:val="-11"/>
                    <w:w w:val="110"/>
                  </w:rPr>
                  <w:t xml:space="preserve"> </w:t>
                </w:r>
                <w:r>
                  <w:rPr>
                    <w:b/>
                    <w:w w:val="110"/>
                  </w:rPr>
                  <w:t>Hypnotic-,</w:t>
                </w:r>
                <w:r>
                  <w:rPr>
                    <w:b/>
                    <w:spacing w:val="-4"/>
                    <w:w w:val="110"/>
                  </w:rPr>
                  <w:t xml:space="preserve"> </w:t>
                </w:r>
                <w:r>
                  <w:rPr>
                    <w:b/>
                    <w:w w:val="110"/>
                  </w:rPr>
                  <w:t>or</w:t>
                </w:r>
                <w:r>
                  <w:rPr>
                    <w:b/>
                    <w:spacing w:val="-13"/>
                    <w:w w:val="110"/>
                  </w:rPr>
                  <w:t xml:space="preserve"> </w:t>
                </w:r>
                <w:r>
                  <w:rPr>
                    <w:b/>
                    <w:w w:val="110"/>
                  </w:rPr>
                  <w:t>Anxiolytic-Related</w:t>
                </w:r>
                <w:r>
                  <w:rPr>
                    <w:b/>
                    <w:spacing w:val="-33"/>
                    <w:w w:val="110"/>
                  </w:rPr>
                  <w:t xml:space="preserve"> </w:t>
                </w:r>
                <w:r>
                  <w:rPr>
                    <w:b/>
                    <w:w w:val="110"/>
                  </w:rPr>
                  <w:t>Disorders</w:t>
                </w:r>
              </w:p>
            </w:txbxContent>
          </v:textbox>
          <w10:wrap anchorx="page" anchory="page"/>
        </v:shape>
      </w:pict>
    </w:r>
    <w:r>
      <w:rPr>
        <w:noProof/>
      </w:rPr>
      <w:pict w14:anchorId="77AC1A7E">
        <v:shape id="Text Box 946" o:spid="_x0000_s2075" type="#_x0000_t202" style="position:absolute;margin-left:389.25pt;margin-top:33.15pt;width:26.05pt;height:15.25pt;z-index:-25120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" filled="f" stroked="f">
          <o:lock v:ext="edit" aspectratio="t" verticies="t" text="t" shapetype="t"/>
          <v:textbox inset="0,0,0,0">
            <w:txbxContent>
              <w:p w:rsidR="008142C4" w:rsidRDefault="003048D3">
                <w:pPr>
                  <w:spacing w:before="11"/>
                  <w:ind w:left="84"/>
                  <w:rPr>
                    <w:b/>
                  </w:rPr>
                </w:pPr>
                <w:r>
                  <w:fldChar w:fldCharType="begin"/>
                </w:r>
                <w:r>
                  <w:rPr>
                    <w:b/>
                    <w:w w:val="110"/>
                  </w:rPr>
                  <w:instrText xml:space="preserve"> PAGE </w:instrText>
                </w:r>
                <w:r>
                  <w:fldChar w:fldCharType="separate"/>
                </w:r>
                <w:r>
                  <w:t>261</w:t>
                </w:r>
                <w:r>
                  <w:fldChar w:fldCharType="end"/>
                </w:r>
              </w:p>
            </w:txbxContent>
          </v:textbox>
          <w10:wrap anchorx="page" anchory="page"/>
        </v:shape>
      </w:pict>
    </w: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5B58D0B9">
        <v:line id="Line 940" o:spid="_x0000_s2074" style="position:absolute;z-index:-25119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25pt,49.9pt" to="410.55pt,49.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" strokeweight=".25436mm">
          <v:path arrowok="f"/>
          <o:lock v:ext="edit" aspectratio="t" verticies="t"/>
          <w10:wrap anchorx="page" anchory="page"/>
        </v:line>
      </w:pict>
    </w:r>
    <w:r>
      <w:rPr>
        <w:noProof/>
      </w:rPr>
      <w:pict w14:anchorId="181F2B3D">
        <v:shapetype id="_x0000_t202" coordsize="21600,21600" o:spt="202" path="m,l,21600r21600,l21600,xe">
          <v:stroke joinstyle="miter"/>
          <v:path gradientshapeok="t" o:connecttype="rect"/>
        </v:shapetype>
        <v:shape id="Text Box 939" o:spid="_x0000_s2073" type="#_x0000_t202" style="position:absolute;margin-left:126.55pt;margin-top:20.05pt;width:264.25pt;height:14.2pt;z-index:-25119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" filled="f" stroked="f">
          <o:lock v:ext="edit" aspectratio="t" verticies="t" text="t" shapetype="t"/>
          <v:textbox inset="0,0,0,0">
            <w:txbxContent>
              <w:p w:rsidR="008142C4" w:rsidRDefault="003048D3">
                <w:pPr>
                  <w:spacing w:before="11"/>
                  <w:ind w:left="20"/>
                  <w:rPr>
                    <w:b/>
                  </w:rPr>
                </w:pPr>
                <w:r>
                  <w:rPr>
                    <w:b/>
                    <w:w w:val="110"/>
                  </w:rPr>
                  <w:t>Other (or Unknown) Substance-Related Disorders</w:t>
                </w:r>
              </w:p>
            </w:txbxContent>
          </v:textbox>
          <w10:wrap anchorx="page" anchory="page"/>
        </v:shape>
      </w:pict>
    </w:r>
    <w:r>
      <w:rPr>
        <w:noProof/>
      </w:rPr>
      <w:pict w14:anchorId="310689D7">
        <v:shape id="Text Box 938" o:spid="_x0000_s2072" type="#_x0000_t202" style="position:absolute;margin-left:403.25pt;margin-top:20.05pt;width:24.4pt;height:14.2pt;z-index:-25119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" filled="f" stroked="f">
          <o:lock v:ext="edit" aspectratio="t" verticies="t" text="t" shapetype="t"/>
          <v:textbox inset="0,0,0,0">
            <w:txbxContent>
              <w:p w:rsidR="008142C4" w:rsidRDefault="003048D3">
                <w:pPr>
                  <w:spacing w:before="11"/>
                  <w:ind w:left="60"/>
                  <w:rPr>
                    <w:b/>
                  </w:rPr>
                </w:pPr>
                <w:r>
                  <w:rPr>
                    <w:b/>
                    <w:w w:val="110"/>
                  </w:rPr>
                  <w:t>271</w:t>
                </w:r>
              </w:p>
            </w:txbxContent>
          </v:textbox>
          <w10:wrap anchorx="page" anchory="page"/>
        </v:shape>
      </w:pict>
    </w: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2F83BCBA">
        <v:shapetype id="_x0000_t202" coordsize="21600,21600" o:spt="202" path="m,l,21600r21600,l21600,xe">
          <v:stroke joinstyle="miter"/>
          <v:path gradientshapeok="t" o:connecttype="rect"/>
        </v:shapetype>
        <v:shape id="Text Box 942" o:spid="_x0000_s2071" type="#_x0000_t202" style="position:absolute;margin-left:36.25pt;margin-top:33.4pt;width:19.05pt;height:14.2pt;z-index:-25119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" filled="f" stroked="f">
          <o:lock v:ext="edit" aspectratio="t" verticies="t" text="t" shapetype="t"/>
          <v:textbox inset="0,0,0,0">
            <w:txbxContent>
              <w:p w:rsidR="008142C4" w:rsidRDefault="003048D3">
                <w:pPr>
                  <w:spacing w:before="11"/>
                  <w:ind w:left="20"/>
                  <w:rPr>
                    <w:b/>
                  </w:rPr>
                </w:pPr>
                <w:r>
                  <w:rPr>
                    <w:b/>
                    <w:w w:val="105"/>
                  </w:rPr>
                  <w:t>270</w:t>
                </w:r>
              </w:p>
            </w:txbxContent>
          </v:textbox>
          <w10:wrap anchorx="page" anchory="page"/>
        </v:shape>
      </w:pict>
    </w:r>
    <w:r>
      <w:rPr>
        <w:noProof/>
      </w:rPr>
      <w:pict w14:anchorId="4D1C2472">
        <v:shape id="Text Box 941" o:spid="_x0000_s2070" type="#_x0000_t202" style="position:absolute;margin-left:69.85pt;margin-top:33.4pt;width:150.1pt;height:14.2pt;z-index:-25119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" filled="f" stroked="f">
          <o:lock v:ext="edit" aspectratio="t" verticies="t" text="t" shapetype="t"/>
          <v:textbox inset="0,0,0,0">
            <w:txbxContent>
              <w:p w:rsidR="008142C4" w:rsidRDefault="003048D3">
                <w:pPr>
                  <w:spacing w:before="11"/>
                  <w:ind w:left="20"/>
                  <w:rPr>
                    <w:b/>
                  </w:rPr>
                </w:pPr>
                <w:r>
                  <w:rPr>
                    <w:b/>
                    <w:w w:val="110"/>
                  </w:rPr>
                  <w:t>Substance-Related</w:t>
                </w:r>
                <w:r>
                  <w:rPr>
                    <w:b/>
                    <w:spacing w:val="-34"/>
                    <w:w w:val="110"/>
                  </w:rPr>
                  <w:t xml:space="preserve"> </w:t>
                </w:r>
                <w:r>
                  <w:rPr>
                    <w:b/>
                    <w:w w:val="110"/>
                  </w:rPr>
                  <w:t>Disorders</w:t>
                </w:r>
              </w:p>
            </w:txbxContent>
          </v:textbox>
          <w10:wrap anchorx="page" anchory="page"/>
        </v:shape>
      </w:pict>
    </w: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1022E67F">
        <v:line id="Line 937" o:spid="_x0000_s2069" style="position:absolute;z-index:-25119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55pt,49.2pt" to="410.65pt,49.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" strokeweight=".16958mm">
          <v:path arrowok="f"/>
          <o:lock v:ext="edit" aspectratio="t" verticies="t"/>
          <w10:wrap anchorx="page" anchory="page"/>
        </v:line>
      </w:pict>
    </w:r>
    <w:r>
      <w:rPr>
        <w:noProof/>
      </w:rPr>
      <w:pict w14:anchorId="018A3808">
        <v:shapetype id="_x0000_t202" coordsize="21600,21600" o:spt="202" path="m,l,21600r21600,l21600,xe">
          <v:stroke joinstyle="miter"/>
          <v:path gradientshapeok="t" o:connecttype="rect"/>
        </v:shapetype>
        <v:shape id="Text Box 936" o:spid="_x0000_s2068" type="#_x0000_t202" style="position:absolute;margin-left:34pt;margin-top:33.55pt;width:22.1pt;height:13.65pt;z-index:-25119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" filled="f" stroked="f">
          <o:lock v:ext="edit" aspectratio="t" verticies="t" text="t" shapetype="t"/>
          <v:textbox inset="0,0,0,0">
            <w:txbxContent>
              <w:p w:rsidR="008142C4" w:rsidRDefault="003048D3">
                <w:pPr>
                  <w:spacing w:before="11"/>
                  <w:ind w:left="60"/>
                  <w:rPr>
                    <w:b/>
                    <w:sz w:val="21"/>
                  </w:rPr>
                </w:pPr>
                <w:r>
                  <w:fldChar w:fldCharType="begin"/>
                </w:r>
                <w:r>
                  <w:rPr>
                    <w:b/>
                    <w:sz w:val="21"/>
                  </w:rPr>
                  <w:instrText xml:space="preserve"> PAGE </w:instrText>
                </w:r>
                <w:r>
                  <w:fldChar w:fldCharType="separate"/>
                </w:r>
                <w:r>
                  <w:t>272</w:t>
                </w:r>
                <w:r>
                  <w:fldChar w:fldCharType="end"/>
                </w:r>
              </w:p>
            </w:txbxContent>
          </v:textbox>
          <w10:wrap anchorx="page" anchory="page"/>
        </v:shape>
      </w:pict>
    </w:r>
    <w:r>
      <w:rPr>
        <w:noProof/>
      </w:rPr>
      <w:pict w14:anchorId="79AAD323">
        <v:shape id="Text Box 935" o:spid="_x0000_s2067" type="#_x0000_t202" style="position:absolute;margin-left:69.85pt;margin-top:33.55pt;width:149.65pt;height:13.65pt;z-index:-25119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" filled="f" stroked="f">
          <o:lock v:ext="edit" aspectratio="t" verticies="t" text="t" shapetype="t"/>
          <v:textbox inset="0,0,0,0">
            <w:txbxContent>
              <w:p w:rsidR="008142C4" w:rsidRDefault="003048D3">
                <w:pPr>
                  <w:spacing w:before="11"/>
                  <w:ind w:left="20"/>
                  <w:rPr>
                    <w:b/>
                    <w:sz w:val="21"/>
                  </w:rPr>
                </w:pPr>
                <w:r>
                  <w:rPr>
                    <w:b/>
                    <w:w w:val="115"/>
                    <w:sz w:val="21"/>
                  </w:rPr>
                  <w:t>Substance-Related</w:t>
                </w:r>
                <w:r>
                  <w:rPr>
                    <w:b/>
                    <w:spacing w:val="-36"/>
                    <w:w w:val="115"/>
                    <w:sz w:val="21"/>
                  </w:rPr>
                  <w:t xml:space="preserve"> </w:t>
                </w:r>
                <w:r>
                  <w:rPr>
                    <w:b/>
                    <w:w w:val="115"/>
                    <w:sz w:val="21"/>
                  </w:rPr>
                  <w:t>Disorders</w:t>
                </w:r>
              </w:p>
            </w:txbxContent>
          </v:textbox>
          <w10:wrap anchorx="page" anchory="page"/>
        </v:shape>
      </w:pict>
    </w: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rPr>
        <w:sz w:val="2"/>
      </w:rPr>
    </w:pP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32AD5DE0">
        <v:line id="Line 934" o:spid="_x0000_s2066" style="position:absolute;z-index:-25119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05pt,50.05pt" to="410.25pt,50.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" strokeweight=".16958mm">
          <v:path arrowok="f"/>
          <o:lock v:ext="edit" aspectratio="t" verticies="t"/>
          <w10:wrap anchorx="page" anchory="page"/>
        </v:line>
      </w:pict>
    </w:r>
    <w:r>
      <w:rPr>
        <w:noProof/>
      </w:rPr>
      <w:pict w14:anchorId="2302AD4E">
        <v:shapetype id="_x0000_t202" coordsize="21600,21600" o:spt="202" path="m,l,21600r21600,l21600,xe">
          <v:stroke joinstyle="miter"/>
          <v:path gradientshapeok="t" o:connecttype="rect"/>
        </v:shapetype>
        <v:shape id="Text Box 933" o:spid="_x0000_s2065" type="#_x0000_t202" style="position:absolute;margin-left:31.05pt;margin-top:33.45pt;width:27.75pt;height:16.75pt;z-index:-25118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" filled="f" stroked="f">
          <o:lock v:ext="edit" aspectratio="t" verticies="t" text="t" shapetype="t"/>
          <v:textbox inset="0,0,0,0">
            <w:txbxContent>
              <w:p w:rsidR="008142C4" w:rsidRDefault="003048D3">
                <w:pPr>
                  <w:spacing w:before="11"/>
                  <w:ind w:left="152"/>
                  <w:rPr>
                    <w:b/>
                  </w:rPr>
                </w:pPr>
                <w:r>
                  <w:fldChar w:fldCharType="begin"/>
                </w:r>
                <w:r>
                  <w:rPr>
                    <w:b/>
                  </w:rPr>
                  <w:instrText xml:space="preserve"> PAGE </w:instrText>
                </w:r>
                <w:r>
                  <w:fldChar w:fldCharType="separate"/>
                </w:r>
                <w:r>
                  <w:t>308</w:t>
                </w:r>
                <w:r>
                  <w:fldChar w:fldCharType="end"/>
                </w:r>
              </w:p>
            </w:txbxContent>
          </v:textbox>
          <w10:wrap anchorx="page" anchory="page"/>
        </v:shape>
      </w:pict>
    </w:r>
    <w:r>
      <w:rPr>
        <w:noProof/>
      </w:rPr>
      <w:pict w14:anchorId="750DF76E">
        <v:shape id="Text Box 932" o:spid="_x0000_s2064" type="#_x0000_t202" style="position:absolute;margin-left:71.4pt;margin-top:33.45pt;width:240.35pt;height:14.2pt;z-index:-25118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" filled="f" stroked="f">
          <o:lock v:ext="edit" aspectratio="t" verticies="t" text="t" shapetype="t"/>
          <v:textbox inset="0,0,0,0">
            <w:txbxContent>
              <w:p w:rsidR="008142C4" w:rsidRDefault="003048D3">
                <w:pPr>
                  <w:spacing w:before="11"/>
                  <w:ind w:left="20"/>
                  <w:rPr>
                    <w:b/>
                  </w:rPr>
                </w:pPr>
                <w:r>
                  <w:rPr>
                    <w:b/>
                    <w:w w:val="110"/>
                  </w:rPr>
                  <w:t>Schizophrenia and Other Psychotic Disorders</w:t>
                </w:r>
              </w:p>
            </w:txbxContent>
          </v:textbox>
          <w10:wrap anchorx="page" anchory="page"/>
        </v:shape>
      </w:pict>
    </w: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03CFF50A">
        <v:line id="Line 931" o:spid="_x0000_s2063" style="position:absolute;z-index:-25118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1pt,49.4pt" to="410.55pt,49.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" strokeweight=".16958mm">
          <v:path arrowok="f"/>
          <o:lock v:ext="edit" aspectratio="t" verticies="t"/>
          <w10:wrap anchorx="page" anchory="page"/>
        </v:line>
      </w:pict>
    </w:r>
    <w:r>
      <w:rPr>
        <w:noProof/>
      </w:rPr>
      <w:pict w14:anchorId="050ABAAC">
        <v:shapetype id="_x0000_t202" coordsize="21600,21600" o:spt="202" path="m,l,21600r21600,l21600,xe">
          <v:stroke joinstyle="miter"/>
          <v:path gradientshapeok="t" o:connecttype="rect"/>
        </v:shapetype>
        <v:shape id="Text Box 930" o:spid="_x0000_s2062" type="#_x0000_t202" style="position:absolute;margin-left:297.45pt;margin-top:34.6pt;width:76.8pt;height:14.2pt;z-index:-25118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" filled="f" stroked="f">
          <o:lock v:ext="edit" aspectratio="t" verticies="t" text="t" shapetype="t"/>
          <v:textbox inset="0,0,0,0">
            <w:txbxContent>
              <w:p w:rsidR="008142C4" w:rsidRDefault="003048D3">
                <w:pPr>
                  <w:spacing w:before="11"/>
                  <w:ind w:left="20"/>
                  <w:rPr>
                    <w:b/>
                  </w:rPr>
                </w:pPr>
                <w:r>
                  <w:rPr>
                    <w:b/>
                    <w:w w:val="110"/>
                  </w:rPr>
                  <w:t>Schizophrenia</w:t>
                </w:r>
              </w:p>
            </w:txbxContent>
          </v:textbox>
          <w10:wrap anchorx="page" anchory="page"/>
        </v:shape>
      </w:pict>
    </w:r>
    <w:r>
      <w:rPr>
        <w:noProof/>
      </w:rPr>
      <w:pict w14:anchorId="6A08CE05">
        <v:shape id="Text Box 929" o:spid="_x0000_s2061" type="#_x0000_t202" style="position:absolute;margin-left:386.25pt;margin-top:34.05pt;width:26.25pt;height:16pt;z-index:-25118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" filled="f" stroked="f">
          <o:lock v:ext="edit" aspectratio="t" verticies="t" text="t" shapetype="t"/>
          <v:textbox inset="0,0,0,0">
            <w:txbxContent>
              <w:p w:rsidR="008142C4" w:rsidRDefault="003048D3">
                <w:pPr>
                  <w:spacing w:before="22"/>
                  <w:ind w:left="83"/>
                  <w:rPr>
                    <w:b/>
                  </w:rPr>
                </w:pPr>
                <w:r>
                  <w:fldChar w:fldCharType="begin"/>
                </w:r>
                <w:r>
                  <w:rPr>
                    <w:b/>
                    <w:w w:val="110"/>
                  </w:rPr>
                  <w:instrText xml:space="preserve"> PAGE </w:instrText>
                </w:r>
                <w:r>
                  <w:fldChar w:fldCharType="separate"/>
                </w:r>
                <w:r>
                  <w:t>277</w:t>
                </w:r>
                <w:r>
                  <w:fldChar w:fldCharType="end"/>
                </w:r>
              </w:p>
            </w:txbxContent>
          </v:textbox>
          <w10:wrap anchorx="page" anchory="page"/>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5DC4402E">
        <v:line id="Line 1365" o:spid="_x0000_s2495"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7pt,49.2pt" to="411.05pt,49.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" strokeweight=".16958mm">
          <v:path arrowok="f"/>
          <o:lock v:ext="edit" aspectratio="t" verticies="t"/>
          <w10:wrap anchorx="page" anchory="page"/>
        </v:line>
      </w:pict>
    </w:r>
    <w:r>
      <w:rPr>
        <w:noProof/>
      </w:rPr>
      <w:pict w14:anchorId="24AF0339">
        <v:shapetype id="_x0000_t202" coordsize="21600,21600" o:spt="202" path="m,l,21600r21600,l21600,xe">
          <v:stroke joinstyle="miter"/>
          <v:path gradientshapeok="t" o:connecttype="rect"/>
        </v:shapetype>
        <v:shape id="Text Box 1364" o:spid="_x0000_s2494" type="#_x0000_t202" style="position:absolute;margin-left:35.45pt;margin-top:33.75pt;width:25.95pt;height:13.6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" filled="f" stroked="f">
          <o:lock v:ext="edit" aspectratio="t" verticies="t" text="t" shapetype="t"/>
          <v:textbox inset="0,0,0,0">
            <w:txbxContent>
              <w:p w:rsidR="008142C4" w:rsidRDefault="003048D3">
                <w:pPr>
                  <w:spacing w:before="11"/>
                  <w:ind w:left="20"/>
                  <w:rPr>
                    <w:b/>
                    <w:sz w:val="21"/>
                  </w:rPr>
                </w:pPr>
                <w:r>
                  <w:rPr>
                    <w:b/>
                    <w:w w:val="125"/>
                    <w:sz w:val="21"/>
                  </w:rPr>
                  <w:t>xviii</w:t>
                </w:r>
              </w:p>
            </w:txbxContent>
          </v:textbox>
          <w10:wrap anchorx="page" anchory="page"/>
        </v:shape>
      </w:pict>
    </w:r>
    <w:r>
      <w:rPr>
        <w:noProof/>
      </w:rPr>
      <w:pict w14:anchorId="4AEC40E5">
        <v:shape id="Text Box 1363" o:spid="_x0000_s2493" type="#_x0000_t202" style="position:absolute;margin-left:75.15pt;margin-top:33.3pt;width:68.05pt;height:14.2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" filled="f" stroked="f">
          <o:lock v:ext="edit" aspectratio="t" verticies="t" text="t" shapetype="t"/>
          <v:textbox inset="0,0,0,0">
            <w:txbxContent>
              <w:p w:rsidR="008142C4" w:rsidRDefault="003048D3">
                <w:pPr>
                  <w:spacing w:before="11"/>
                  <w:ind w:left="20"/>
                  <w:rPr>
                    <w:b/>
                  </w:rPr>
                </w:pPr>
                <w:r>
                  <w:rPr>
                    <w:b/>
                    <w:w w:val="110"/>
                  </w:rPr>
                  <w:t>Introduction</w:t>
                </w:r>
              </w:p>
            </w:txbxContent>
          </v:textbox>
          <w10:wrap anchorx="page" anchory="page"/>
        </v:shape>
      </w:pict>
    </w: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7A364A86">
        <v:line id="Line 925" o:spid="_x0000_s2060" style="position:absolute;z-index:-25118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6pt,49.7pt" to="411.9pt,49.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" strokeweight=".16958mm">
          <v:path arrowok="f"/>
          <o:lock v:ext="edit" aspectratio="t" verticies="t"/>
          <w10:wrap anchorx="page" anchory="page"/>
        </v:line>
      </w:pict>
    </w:r>
    <w:r>
      <w:rPr>
        <w:noProof/>
      </w:rPr>
      <w:pict w14:anchorId="1D7AC255">
        <v:shapetype id="_x0000_t202" coordsize="21600,21600" o:spt="202" path="m,l,21600r21600,l21600,xe">
          <v:stroke joinstyle="miter"/>
          <v:path gradientshapeok="t" o:connecttype="rect"/>
        </v:shapetype>
        <v:shape id="Text Box 924" o:spid="_x0000_s2059" type="#_x0000_t202" style="position:absolute;margin-left:36.05pt;margin-top:33.6pt;width:24.55pt;height:14.2pt;z-index:-25118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" filled="f" stroked="f">
          <o:lock v:ext="edit" aspectratio="t" verticies="t" text="t" shapetype="t"/>
          <v:textbox inset="0,0,0,0">
            <w:txbxContent>
              <w:p w:rsidR="008142C4" w:rsidRDefault="003048D3">
                <w:pPr>
                  <w:spacing w:before="11"/>
                  <w:ind w:left="60"/>
                  <w:rPr>
                    <w:b/>
                  </w:rPr>
                </w:pPr>
                <w:r>
                  <w:fldChar w:fldCharType="begin"/>
                </w:r>
                <w:r>
                  <w:rPr>
                    <w:b/>
                    <w:w w:val="110"/>
                  </w:rPr>
                  <w:instrText xml:space="preserve"> PAGE </w:instrText>
                </w:r>
                <w:r>
                  <w:fldChar w:fldCharType="separate"/>
                </w:r>
                <w:r>
                  <w:t>292</w:t>
                </w:r>
                <w:r>
                  <w:fldChar w:fldCharType="end"/>
                </w:r>
              </w:p>
            </w:txbxContent>
          </v:textbox>
          <w10:wrap anchorx="page" anchory="page"/>
        </v:shape>
      </w:pict>
    </w:r>
    <w:r>
      <w:rPr>
        <w:noProof/>
      </w:rPr>
      <w:pict w14:anchorId="69A57007">
        <v:shape id="Text Box 923" o:spid="_x0000_s2058" type="#_x0000_t202" style="position:absolute;margin-left:71.65pt;margin-top:33.6pt;width:240.55pt;height:14.2pt;z-index:-25117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" filled="f" stroked="f">
          <o:lock v:ext="edit" aspectratio="t" verticies="t" text="t" shapetype="t"/>
          <v:textbox inset="0,0,0,0">
            <w:txbxContent>
              <w:p w:rsidR="008142C4" w:rsidRDefault="003048D3">
                <w:pPr>
                  <w:spacing w:before="11"/>
                  <w:ind w:left="20"/>
                  <w:rPr>
                    <w:b/>
                  </w:rPr>
                </w:pPr>
                <w:r>
                  <w:rPr>
                    <w:b/>
                    <w:w w:val="110"/>
                  </w:rPr>
                  <w:t>Schizophrenia and Other Psychotic Disorders</w:t>
                </w:r>
              </w:p>
            </w:txbxContent>
          </v:textbox>
          <w10:wrap anchorx="page" anchory="page"/>
        </v:shape>
      </w:pict>
    </w: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10A2909F">
        <v:line id="Line 928" o:spid="_x0000_s2057" style="position:absolute;z-index:-25118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7pt,50.2pt" to="412pt,50.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" strokeweight=".25436mm">
          <v:path arrowok="f"/>
          <o:lock v:ext="edit" aspectratio="t" verticies="t"/>
          <w10:wrap anchorx="page" anchory="page"/>
        </v:line>
      </w:pict>
    </w:r>
    <w:r>
      <w:rPr>
        <w:noProof/>
      </w:rPr>
      <w:pict w14:anchorId="5381419E">
        <v:shapetype id="_x0000_t202" coordsize="21600,21600" o:spt="202" path="m,l,21600r21600,l21600,xe">
          <v:stroke joinstyle="miter"/>
          <v:path gradientshapeok="t" o:connecttype="rect"/>
        </v:shapetype>
        <v:shape id="Text Box 927" o:spid="_x0000_s2056" type="#_x0000_t202" style="position:absolute;margin-left:189.4pt;margin-top:33.9pt;width:188.55pt;height:14.8pt;z-index:-25118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" filled="f" stroked="f">
          <o:lock v:ext="edit" aspectratio="t" verticies="t" text="t" shapetype="t"/>
          <v:textbox inset="0,0,0,0">
            <w:txbxContent>
              <w:p w:rsidR="008142C4" w:rsidRDefault="003048D3">
                <w:pPr>
                  <w:spacing w:before="10"/>
                  <w:ind w:left="20"/>
                  <w:rPr>
                    <w:b/>
                    <w:sz w:val="23"/>
                  </w:rPr>
                </w:pPr>
                <w:r>
                  <w:rPr>
                    <w:b/>
                    <w:w w:val="105"/>
                    <w:sz w:val="23"/>
                  </w:rPr>
                  <w:t>295.40 Schizophreniform Disorder</w:t>
                </w:r>
              </w:p>
            </w:txbxContent>
          </v:textbox>
          <w10:wrap anchorx="page" anchory="page"/>
        </v:shape>
      </w:pict>
    </w:r>
    <w:r>
      <w:rPr>
        <w:noProof/>
      </w:rPr>
      <w:pict w14:anchorId="2D67FFD6">
        <v:shape id="Text Box 926" o:spid="_x0000_s2055" type="#_x0000_t202" style="position:absolute;margin-left:390.2pt;margin-top:33.9pt;width:24.55pt;height:14.8pt;z-index:-25118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" filled="f" stroked="f">
          <o:lock v:ext="edit" aspectratio="t" verticies="t" text="t" shapetype="t"/>
          <v:textbox inset="0,0,0,0">
            <w:txbxContent>
              <w:p w:rsidR="008142C4" w:rsidRDefault="003048D3">
                <w:pPr>
                  <w:spacing w:before="10"/>
                  <w:ind w:left="60"/>
                  <w:rPr>
                    <w:b/>
                    <w:sz w:val="23"/>
                  </w:rPr>
                </w:pPr>
                <w:r>
                  <w:fldChar w:fldCharType="begin"/>
                </w:r>
                <w:r>
                  <w:rPr>
                    <w:b/>
                    <w:w w:val="105"/>
                    <w:sz w:val="23"/>
                  </w:rPr>
                  <w:instrText xml:space="preserve"> PAGE </w:instrText>
                </w:r>
                <w:r>
                  <w:fldChar w:fldCharType="separate"/>
                </w:r>
                <w:r>
                  <w:t>291</w:t>
                </w:r>
                <w:r>
                  <w:fldChar w:fldCharType="end"/>
                </w:r>
              </w:p>
            </w:txbxContent>
          </v:textbox>
          <w10:wrap anchorx="page" anchory="page"/>
        </v:shape>
      </w:pict>
    </w: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4A248553">
        <v:line id="Line 919" o:spid="_x0000_s2054" style="position:absolute;z-index:-25117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pt,50.35pt" to="411.25pt,5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" strokeweight=".16958mm">
          <v:path arrowok="f"/>
          <o:lock v:ext="edit" aspectratio="t" verticies="t"/>
          <w10:wrap anchorx="page" anchory="page"/>
        </v:line>
      </w:pict>
    </w:r>
    <w:r>
      <w:rPr>
        <w:noProof/>
      </w:rPr>
      <w:pict w14:anchorId="63231BB7">
        <v:shapetype id="_x0000_t202" coordsize="21600,21600" o:spt="202" path="m,l,21600r21600,l21600,xe">
          <v:stroke joinstyle="miter"/>
          <v:path gradientshapeok="t" o:connecttype="rect"/>
        </v:shapetype>
        <v:shape id="Text Box 918" o:spid="_x0000_s2053" type="#_x0000_t202" style="position:absolute;margin-left:35.45pt;margin-top:34pt;width:23.4pt;height:14.2pt;z-index:-25117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" filled="f" stroked="f">
          <o:lock v:ext="edit" aspectratio="t" verticies="t" text="t" shapetype="t"/>
          <v:textbox inset="0,0,0,0">
            <w:txbxContent>
              <w:p w:rsidR="008142C4" w:rsidRDefault="003048D3">
                <w:pPr>
                  <w:spacing w:before="11"/>
                  <w:ind w:left="60"/>
                  <w:rPr>
                    <w:b/>
                  </w:rPr>
                </w:pPr>
                <w:r>
                  <w:fldChar w:fldCharType="begin"/>
                </w:r>
                <w:r>
                  <w:rPr>
                    <w:b/>
                    <w:w w:val="105"/>
                  </w:rPr>
                  <w:instrText xml:space="preserve"> PAGE </w:instrText>
                </w:r>
                <w:r>
                  <w:fldChar w:fldCharType="separate"/>
                </w:r>
                <w:r>
                  <w:t>294</w:t>
                </w:r>
                <w:r>
                  <w:fldChar w:fldCharType="end"/>
                </w:r>
              </w:p>
            </w:txbxContent>
          </v:textbox>
          <w10:wrap anchorx="page" anchory="page"/>
        </v:shape>
      </w:pict>
    </w:r>
    <w:r>
      <w:rPr>
        <w:noProof/>
      </w:rPr>
      <w:pict w14:anchorId="4BF65DEA">
        <v:shape id="Text Box 917" o:spid="_x0000_s2052" type="#_x0000_t202" style="position:absolute;margin-left:71.05pt;margin-top:34pt;width:240.55pt;height:14.2pt;z-index:-25117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" filled="f" stroked="f">
          <o:lock v:ext="edit" aspectratio="t" verticies="t" text="t" shapetype="t"/>
          <v:textbox inset="0,0,0,0">
            <w:txbxContent>
              <w:p w:rsidR="008142C4" w:rsidRDefault="003048D3">
                <w:pPr>
                  <w:spacing w:before="11"/>
                  <w:ind w:left="20"/>
                  <w:rPr>
                    <w:b/>
                  </w:rPr>
                </w:pPr>
                <w:r>
                  <w:rPr>
                    <w:b/>
                    <w:w w:val="110"/>
                  </w:rPr>
                  <w:t>Schizophrenia and Other Psychotic Disorders</w:t>
                </w:r>
              </w:p>
            </w:txbxContent>
          </v:textbox>
          <w10:wrap anchorx="page" anchory="page"/>
        </v:shape>
      </w:pict>
    </w: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12552FAA">
        <v:line id="Line 922" o:spid="_x0000_s2051" style="position:absolute;z-index:-25117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2pt,49.8pt" to="411.5pt,49.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" strokeweight=".16958mm">
          <v:path arrowok="f"/>
          <o:lock v:ext="edit" aspectratio="t" verticies="t"/>
          <w10:wrap anchorx="page" anchory="page"/>
        </v:line>
      </w:pict>
    </w:r>
    <w:r>
      <w:rPr>
        <w:noProof/>
      </w:rPr>
      <w:pict w14:anchorId="0D508C50">
        <v:shapetype id="_x0000_t202" coordsize="21600,21600" o:spt="202" path="m,l,21600r21600,l21600,xe">
          <v:stroke joinstyle="miter"/>
          <v:path gradientshapeok="t" o:connecttype="rect"/>
        </v:shapetype>
        <v:shape id="Text Box 921" o:spid="_x0000_s2050" type="#_x0000_t202" style="position:absolute;margin-left:207.25pt;margin-top:33.95pt;width:170.15pt;height:14.2pt;z-index:-25117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" filled="f" stroked="f">
          <o:lock v:ext="edit" aspectratio="t" verticies="t" text="t" shapetype="t"/>
          <v:textbox inset="0,0,0,0">
            <w:txbxContent>
              <w:p w:rsidR="008142C4" w:rsidRDefault="003048D3">
                <w:pPr>
                  <w:spacing w:before="11"/>
                  <w:ind w:left="20"/>
                  <w:rPr>
                    <w:b/>
                  </w:rPr>
                </w:pPr>
                <w:r>
                  <w:rPr>
                    <w:b/>
                    <w:w w:val="110"/>
                  </w:rPr>
                  <w:t>295.70 Schizoaffective Disorder</w:t>
                </w:r>
              </w:p>
            </w:txbxContent>
          </v:textbox>
          <w10:wrap anchorx="page" anchory="page"/>
        </v:shape>
      </w:pict>
    </w:r>
    <w:r>
      <w:rPr>
        <w:noProof/>
      </w:rPr>
      <w:pict w14:anchorId="02D4C908">
        <v:shape id="Text Box 920" o:spid="_x0000_s2049" type="#_x0000_t202" style="position:absolute;margin-left:388.25pt;margin-top:33.95pt;width:25.95pt;height:14.45pt;z-index:-25117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" filled="f" stroked="f">
          <o:lock v:ext="edit" aspectratio="t" verticies="t" text="t" shapetype="t"/>
          <v:textbox inset="0,0,0,0">
            <w:txbxContent>
              <w:p w:rsidR="008142C4" w:rsidRDefault="003048D3">
                <w:pPr>
                  <w:spacing w:before="11"/>
                  <w:ind w:left="94"/>
                  <w:rPr>
                    <w:b/>
                  </w:rPr>
                </w:pPr>
                <w:r>
                  <w:fldChar w:fldCharType="begin"/>
                </w:r>
                <w:r>
                  <w:rPr>
                    <w:b/>
                    <w:w w:val="110"/>
                  </w:rPr>
                  <w:instrText xml:space="preserve"> PAGE </w:instrText>
                </w:r>
                <w:r>
                  <w:fldChar w:fldCharType="separate"/>
                </w:r>
                <w:r>
                  <w:t>293</w:t>
                </w:r>
                <w:r>
                  <w:fldChar w:fldCharType="end"/>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18E10216">
        <v:line id="Line 1357" o:spid="_x0000_s2492" style="position:absolute;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95pt,49.8pt" to="409.35pt,49.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" strokeweight=".16961mm">
          <v:path arrowok="f"/>
          <o:lock v:ext="edit" aspectratio="t" verticies="t"/>
          <w10:wrap anchorx="page" anchory="page"/>
        </v:line>
      </w:pict>
    </w:r>
    <w:r>
      <w:rPr>
        <w:noProof/>
      </w:rPr>
      <w:pict w14:anchorId="0AB63146">
        <v:shapetype id="_x0000_t202" coordsize="21600,21600" o:spt="202" path="m,l,21600r21600,l21600,xe">
          <v:stroke joinstyle="miter"/>
          <v:path gradientshapeok="t" o:connecttype="rect"/>
        </v:shapetype>
        <v:shape id="Text Box 1356" o:spid="_x0000_s2491" type="#_x0000_t202" style="position:absolute;margin-left:306.9pt;margin-top:34.7pt;width:68.05pt;height:14.2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" filled="f" stroked="f">
          <o:lock v:ext="edit" aspectratio="t" verticies="t" text="t" shapetype="t"/>
          <v:textbox inset="0,0,0,0">
            <w:txbxContent>
              <w:p w:rsidR="008142C4" w:rsidRDefault="003048D3">
                <w:pPr>
                  <w:spacing w:before="11"/>
                  <w:ind w:left="20"/>
                  <w:rPr>
                    <w:b/>
                  </w:rPr>
                </w:pPr>
                <w:r>
                  <w:rPr>
                    <w:b/>
                    <w:w w:val="110"/>
                  </w:rPr>
                  <w:t>Introduction</w:t>
                </w:r>
              </w:p>
            </w:txbxContent>
          </v:textbox>
          <w10:wrap anchorx="page" anchory="page"/>
        </v:shape>
      </w:pict>
    </w:r>
    <w:r>
      <w:rPr>
        <w:noProof/>
      </w:rPr>
      <w:pict w14:anchorId="2F9AFA0C">
        <v:shape id="Text Box 1355" o:spid="_x0000_s2490" type="#_x0000_t202" style="position:absolute;margin-left:389.1pt;margin-top:35pt;width:18.1pt;height:13.7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" filled="f" stroked="f">
          <o:lock v:ext="edit" aspectratio="t" verticies="t" text="t" shapetype="t"/>
          <v:textbox inset="0,0,0,0">
            <w:txbxContent>
              <w:p w:rsidR="008142C4" w:rsidRDefault="003048D3">
                <w:pPr>
                  <w:spacing w:before="13"/>
                  <w:ind w:left="20"/>
                  <w:rPr>
                    <w:rFonts w:ascii="Arial"/>
                    <w:b/>
                    <w:sz w:val="21"/>
                  </w:rPr>
                </w:pPr>
                <w:r>
                  <w:rPr>
                    <w:rFonts w:ascii="Arial"/>
                    <w:b/>
                    <w:w w:val="110"/>
                    <w:sz w:val="21"/>
                  </w:rPr>
                  <w:t>xxi</w:t>
                </w:r>
              </w:p>
            </w:txbxContent>
          </v:textbox>
          <w10:wrap anchorx="page" anchory="page"/>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1CA4F567">
        <v:line id="Line 1360" o:spid="_x0000_s2489" style="position:absolute;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65pt,49.65pt" to="410.9pt,49.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" strokeweight=".16958mm">
          <v:path arrowok="f"/>
          <o:lock v:ext="edit" aspectratio="t" verticies="t"/>
          <w10:wrap anchorx="page" anchory="page"/>
        </v:line>
      </w:pict>
    </w:r>
    <w:r>
      <w:rPr>
        <w:noProof/>
      </w:rPr>
      <w:pict w14:anchorId="4DE51452">
        <v:shapetype id="_x0000_t202" coordsize="21600,21600" o:spt="202" path="m,l,21600r21600,l21600,xe">
          <v:stroke joinstyle="miter"/>
          <v:path gradientshapeok="t" o:connecttype="rect"/>
        </v:shapetype>
        <v:shape id="Text Box 1359" o:spid="_x0000_s2488" type="#_x0000_t202" style="position:absolute;margin-left:35.4pt;margin-top:33.8pt;width:13.5pt;height:14.2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" filled="f" stroked="f">
          <o:lock v:ext="edit" aspectratio="t" verticies="t" text="t" shapetype="t"/>
          <v:textbox inset="0,0,0,0">
            <w:txbxContent>
              <w:p w:rsidR="008142C4" w:rsidRDefault="003048D3">
                <w:pPr>
                  <w:spacing w:before="11"/>
                  <w:ind w:left="20"/>
                  <w:rPr>
                    <w:b/>
                  </w:rPr>
                </w:pPr>
                <w:r>
                  <w:rPr>
                    <w:b/>
                    <w:w w:val="105"/>
                  </w:rPr>
                  <w:t>xx</w:t>
                </w:r>
              </w:p>
            </w:txbxContent>
          </v:textbox>
          <w10:wrap anchorx="page" anchory="page"/>
        </v:shape>
      </w:pict>
    </w:r>
    <w:r>
      <w:rPr>
        <w:noProof/>
      </w:rPr>
      <w:pict w14:anchorId="6BC8B375">
        <v:shape id="Text Box 1358" o:spid="_x0000_s2487" type="#_x0000_t202" style="position:absolute;margin-left:65.25pt;margin-top:33.8pt;width:68.05pt;height:14.2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" filled="f" stroked="f">
          <o:lock v:ext="edit" aspectratio="t" verticies="t" text="t" shapetype="t"/>
          <v:textbox inset="0,0,0,0">
            <w:txbxContent>
              <w:p w:rsidR="008142C4" w:rsidRDefault="003048D3">
                <w:pPr>
                  <w:spacing w:before="11"/>
                  <w:ind w:left="20"/>
                  <w:rPr>
                    <w:b/>
                  </w:rPr>
                </w:pPr>
                <w:r>
                  <w:rPr>
                    <w:b/>
                    <w:w w:val="110"/>
                  </w:rPr>
                  <w:t>Introduction</w:t>
                </w:r>
              </w:p>
            </w:txbxContent>
          </v:textbox>
          <w10:wrap anchorx="page" anchory="page"/>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424A9DC0">
        <v:line id="Line 1351" o:spid="_x0000_s2486" style="position:absolute;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1pt,49.25pt" to="410.55pt,49.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" strokeweight=".16956mm">
          <v:path arrowok="f"/>
          <o:lock v:ext="edit" aspectratio="t" verticies="t"/>
          <w10:wrap anchorx="page" anchory="page"/>
        </v:line>
      </w:pict>
    </w:r>
    <w:r>
      <w:rPr>
        <w:noProof/>
      </w:rPr>
      <w:pict w14:anchorId="26237FF3">
        <v:shapetype id="_x0000_t202" coordsize="21600,21600" o:spt="202" path="m,l,21600r21600,l21600,xe">
          <v:stroke joinstyle="miter"/>
          <v:path gradientshapeok="t" o:connecttype="rect"/>
        </v:shapetype>
        <v:shape id="Text Box 1350" o:spid="_x0000_s2485" type="#_x0000_t202" style="position:absolute;margin-left:301.6pt;margin-top:33.4pt;width:68.05pt;height:14.2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" filled="f" stroked="f">
          <o:lock v:ext="edit" aspectratio="t" verticies="t" text="t" shapetype="t"/>
          <v:textbox inset="0,0,0,0">
            <w:txbxContent>
              <w:p w:rsidR="008142C4" w:rsidRDefault="003048D3">
                <w:pPr>
                  <w:spacing w:before="11"/>
                  <w:ind w:left="20"/>
                  <w:rPr>
                    <w:b/>
                  </w:rPr>
                </w:pPr>
                <w:r>
                  <w:rPr>
                    <w:b/>
                    <w:w w:val="110"/>
                  </w:rPr>
                  <w:t>Introduction</w:t>
                </w:r>
              </w:p>
            </w:txbxContent>
          </v:textbox>
          <w10:wrap anchorx="page" anchory="page"/>
        </v:shape>
      </w:pict>
    </w:r>
    <w:r>
      <w:rPr>
        <w:noProof/>
      </w:rPr>
      <w:pict w14:anchorId="19AF3324">
        <v:shape id="Text Box 1349" o:spid="_x0000_s2484" type="#_x0000_t202" style="position:absolute;margin-left:383.9pt;margin-top:33.4pt;width:26.7pt;height:14.2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" filled="f" stroked="f">
          <o:lock v:ext="edit" aspectratio="t" verticies="t" text="t" shapetype="t"/>
          <v:textbox inset="0,0,0,0">
            <w:txbxContent>
              <w:p w:rsidR="008142C4" w:rsidRDefault="003048D3">
                <w:pPr>
                  <w:spacing w:before="11"/>
                  <w:ind w:left="20"/>
                  <w:rPr>
                    <w:b/>
                  </w:rPr>
                </w:pPr>
                <w:r>
                  <w:rPr>
                    <w:b/>
                    <w:w w:val="120"/>
                  </w:rPr>
                  <w:t>xxiii</w:t>
                </w:r>
              </w:p>
            </w:txbxContent>
          </v:textbox>
          <w10:wrap anchorx="page" anchory="page"/>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5AC6A91B">
        <v:line id="Line 1354" o:spid="_x0000_s2483" style="position:absolute;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7pt,49.3pt" to="411.95pt,49.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" strokeweight=".16956mm">
          <v:path arrowok="f"/>
          <o:lock v:ext="edit" aspectratio="t" verticies="t"/>
          <w10:wrap anchorx="page" anchory="page"/>
        </v:line>
      </w:pict>
    </w:r>
    <w:r>
      <w:rPr>
        <w:noProof/>
      </w:rPr>
      <w:pict w14:anchorId="6C7176CE">
        <v:shapetype id="_x0000_t202" coordsize="21600,21600" o:spt="202" path="m,l,21600r21600,l21600,xe">
          <v:stroke joinstyle="miter"/>
          <v:path gradientshapeok="t" o:connecttype="rect"/>
        </v:shapetype>
        <v:shape id="Text Box 1353" o:spid="_x0000_s2482" type="#_x0000_t202" style="position:absolute;margin-left:35.25pt;margin-top:33.4pt;width:24.1pt;height:14.2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" filled="f" stroked="f">
          <o:lock v:ext="edit" aspectratio="t" verticies="t" text="t" shapetype="t"/>
          <v:textbox inset="0,0,0,0">
            <w:txbxContent>
              <w:p w:rsidR="008142C4" w:rsidRDefault="003048D3">
                <w:pPr>
                  <w:spacing w:before="11"/>
                  <w:ind w:left="20"/>
                  <w:rPr>
                    <w:b/>
                  </w:rPr>
                </w:pPr>
                <w:r>
                  <w:rPr>
                    <w:b/>
                    <w:w w:val="105"/>
                  </w:rPr>
                  <w:t>:xxii</w:t>
                </w:r>
              </w:p>
            </w:txbxContent>
          </v:textbox>
          <w10:wrap anchorx="page" anchory="page"/>
        </v:shape>
      </w:pict>
    </w:r>
    <w:r>
      <w:rPr>
        <w:noProof/>
      </w:rPr>
      <w:pict w14:anchorId="029334D2">
        <v:shape id="Text Box 1352" o:spid="_x0000_s2481" type="#_x0000_t202" style="position:absolute;margin-left:73pt;margin-top:33.4pt;width:68.05pt;height:14.2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" filled="f" stroked="f">
          <o:lock v:ext="edit" aspectratio="t" verticies="t" text="t" shapetype="t"/>
          <v:textbox inset="0,0,0,0">
            <w:txbxContent>
              <w:p w:rsidR="008142C4" w:rsidRDefault="003048D3">
                <w:pPr>
                  <w:spacing w:before="11"/>
                  <w:ind w:left="20"/>
                  <w:rPr>
                    <w:b/>
                  </w:rPr>
                </w:pPr>
                <w:r>
                  <w:rPr>
                    <w:b/>
                    <w:w w:val="110"/>
                  </w:rPr>
                  <w:t>Introduction</w:t>
                </w:r>
              </w:p>
            </w:txbxContent>
          </v:textbox>
          <w10:wrap anchorx="page" anchory="page"/>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1C688AA8">
        <v:line id="Line 1345" o:spid="_x0000_s2480" style="position:absolute;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7pt,49.15pt" to="411.05pt,49.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" strokeweight=".16956mm">
          <v:path arrowok="f"/>
          <o:lock v:ext="edit" aspectratio="t" verticies="t"/>
          <w10:wrap anchorx="page" anchory="page"/>
        </v:line>
      </w:pict>
    </w:r>
    <w:r>
      <w:rPr>
        <w:noProof/>
      </w:rPr>
      <w:pict w14:anchorId="15ED23DB">
        <v:shapetype id="_x0000_t202" coordsize="21600,21600" o:spt="202" path="m,l,21600r21600,l21600,xe">
          <v:stroke joinstyle="miter"/>
          <v:path gradientshapeok="t" o:connecttype="rect"/>
        </v:shapetype>
        <v:shape id="Text Box 1344" o:spid="_x0000_s2479" type="#_x0000_t202" style="position:absolute;margin-left:307.55pt;margin-top:33.4pt;width:68.05pt;height:14.2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" filled="f" stroked="f">
          <o:lock v:ext="edit" aspectratio="t" verticies="t" text="t" shapetype="t"/>
          <v:textbox inset="0,0,0,0">
            <w:txbxContent>
              <w:p w:rsidR="008142C4" w:rsidRDefault="003048D3">
                <w:pPr>
                  <w:spacing w:before="11"/>
                  <w:ind w:left="20"/>
                  <w:rPr>
                    <w:b/>
                  </w:rPr>
                </w:pPr>
                <w:r>
                  <w:rPr>
                    <w:b/>
                    <w:w w:val="110"/>
                  </w:rPr>
                  <w:t>Introduction</w:t>
                </w:r>
              </w:p>
            </w:txbxContent>
          </v:textbox>
          <w10:wrap anchorx="page" anchory="page"/>
        </v:shape>
      </w:pict>
    </w:r>
    <w:r>
      <w:rPr>
        <w:noProof/>
      </w:rPr>
      <w:pict w14:anchorId="4A443F00">
        <v:shape id="Text Box 1343" o:spid="_x0000_s2478" type="#_x0000_t202" style="position:absolute;margin-left:390.05pt;margin-top:33.4pt;width:20.2pt;height:14.2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" filled="f" stroked="f">
          <o:lock v:ext="edit" aspectratio="t" verticies="t" text="t" shapetype="t"/>
          <v:textbox inset="0,0,0,0">
            <w:txbxContent>
              <w:p w:rsidR="008142C4" w:rsidRDefault="003048D3">
                <w:pPr>
                  <w:spacing w:before="11"/>
                  <w:ind w:left="20"/>
                  <w:rPr>
                    <w:b/>
                  </w:rPr>
                </w:pPr>
                <w:r>
                  <w:rPr>
                    <w:b/>
                    <w:w w:val="110"/>
                  </w:rPr>
                  <w:t>xxv</w:t>
                </w:r>
              </w:p>
            </w:txbxContent>
          </v:textbox>
          <w10:wrap anchorx="page" anchory="page"/>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18349ED3">
        <v:line id="Line 1348" o:spid="_x0000_s2477" style="position:absolute;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15pt,49.4pt" to="412.35pt,49.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" strokeweight=".16956mm">
          <v:path arrowok="f"/>
          <o:lock v:ext="edit" aspectratio="t" verticies="t"/>
          <w10:wrap anchorx="page" anchory="page"/>
        </v:line>
      </w:pict>
    </w:r>
    <w:r>
      <w:rPr>
        <w:noProof/>
      </w:rPr>
      <w:pict w14:anchorId="1FAA5F78">
        <v:shapetype id="_x0000_t202" coordsize="21600,21600" o:spt="202" path="m,l,21600r21600,l21600,xe">
          <v:stroke joinstyle="miter"/>
          <v:path gradientshapeok="t" o:connecttype="rect"/>
        </v:shapetype>
        <v:shape id="Text Box 1347" o:spid="_x0000_s2476" type="#_x0000_t202" style="position:absolute;margin-left:36.15pt;margin-top:33.5pt;width:25.95pt;height:14.2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" filled="f" stroked="f">
          <o:lock v:ext="edit" aspectratio="t" verticies="t" text="t" shapetype="t"/>
          <v:textbox inset="0,0,0,0">
            <w:txbxContent>
              <w:p w:rsidR="008142C4" w:rsidRDefault="003048D3">
                <w:pPr>
                  <w:spacing w:before="11"/>
                  <w:ind w:left="20"/>
                  <w:rPr>
                    <w:b/>
                  </w:rPr>
                </w:pPr>
                <w:r>
                  <w:rPr>
                    <w:b/>
                    <w:w w:val="120"/>
                  </w:rPr>
                  <w:t>xxiv</w:t>
                </w:r>
              </w:p>
            </w:txbxContent>
          </v:textbox>
          <w10:wrap anchorx="page" anchory="page"/>
        </v:shape>
      </w:pict>
    </w:r>
    <w:r>
      <w:rPr>
        <w:noProof/>
      </w:rPr>
      <w:pict w14:anchorId="72DEB0D0">
        <v:shape id="Text Box 1346" o:spid="_x0000_s2475" type="#_x0000_t202" style="position:absolute;margin-left:75.6pt;margin-top:33.3pt;width:68.05pt;height:14.2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" filled="f" stroked="f">
          <o:lock v:ext="edit" aspectratio="t" verticies="t" text="t" shapetype="t"/>
          <v:textbox inset="0,0,0,0">
            <w:txbxContent>
              <w:p w:rsidR="008142C4" w:rsidRDefault="003048D3">
                <w:pPr>
                  <w:spacing w:before="11"/>
                  <w:ind w:left="20"/>
                  <w:rPr>
                    <w:b/>
                  </w:rPr>
                </w:pPr>
                <w:r>
                  <w:rPr>
                    <w:b/>
                    <w:w w:val="110"/>
                  </w:rPr>
                  <w:t>Introduction</w:t>
                </w:r>
              </w:p>
            </w:txbxContent>
          </v:textbox>
          <w10:wrap anchorx="page" anchory="page"/>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drawing>
        <wp:anchor distT="0" distB="0" distL="0" distR="0" simplePos="0" relativeHeight="251706368" behindDoc="1" locked="0" layoutInCell="1" allowOverlap="1" wp14:anchorId="69E3400E" wp14:editId="4E1D4475">
          <wp:simplePos x="0" y="0"/>
          <wp:positionH relativeFrom="page">
            <wp:posOffset>1841948</wp:posOffset>
          </wp:positionH>
          <wp:positionV relativeFrom="page">
            <wp:posOffset>2187727</wp:posOffset>
          </wp:positionV>
          <wp:extent cx="2008632" cy="140207"/>
          <wp:effectExtent l="0" t="0" r="0" b="0"/>
          <wp:wrapNone/>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1" cstate="print"/>
                  <a:stretch>
                    <a:fillRect/>
                  </a:stretch>
                </pic:blipFill>
                <pic:spPr>
                  <a:xfrm>
                    <a:off x="0" y="0"/>
                    <a:ext cx="2008632" cy="140207"/>
                  </a:xfrm>
                  <a:prstGeom prst="rect">
                    <a:avLst/>
                  </a:prstGeom>
                </pic:spPr>
              </pic:pic>
            </a:graphicData>
          </a:graphic>
        </wp:anchor>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drawing>
        <wp:anchor distT="0" distB="0" distL="0" distR="0" simplePos="0" relativeHeight="251707392" behindDoc="1" locked="0" layoutInCell="1" allowOverlap="1" wp14:anchorId="53D82182" wp14:editId="258A4C5F">
          <wp:simplePos x="0" y="0"/>
          <wp:positionH relativeFrom="page">
            <wp:posOffset>1841948</wp:posOffset>
          </wp:positionH>
          <wp:positionV relativeFrom="page">
            <wp:posOffset>2187727</wp:posOffset>
          </wp:positionV>
          <wp:extent cx="2008632" cy="140207"/>
          <wp:effectExtent l="0" t="0" r="0" b="0"/>
          <wp:wrapNone/>
          <wp:docPr id="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png"/>
                  <pic:cNvPicPr/>
                </pic:nvPicPr>
                <pic:blipFill>
                  <a:blip r:embed="rId1" cstate="print"/>
                  <a:stretch>
                    <a:fillRect/>
                  </a:stretch>
                </pic:blipFill>
                <pic:spPr>
                  <a:xfrm>
                    <a:off x="0" y="0"/>
                    <a:ext cx="2008632" cy="140207"/>
                  </a:xfrm>
                  <a:prstGeom prst="rect">
                    <a:avLst/>
                  </a:prstGeom>
                </pic:spPr>
              </pic:pic>
            </a:graphicData>
          </a:graphic>
        </wp:anchor>
      </w:drawing>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6DFE754C">
        <v:line id="Line 1382" o:spid="_x0000_s2514"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64.95pt" to="394.65pt,64.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" strokeweight="2.11961mm">
          <v:path arrowok="f"/>
          <o:lock v:ext="edit" aspectratio="t" verticies="t"/>
          <w10:wrap anchorx="page" anchory="page"/>
        </v:line>
      </w:pict>
    </w:r>
    <w:r>
      <w:rPr>
        <w:noProof/>
      </w:rPr>
      <w:pict w14:anchorId="339F0FD4">
        <v:line id="Line 1381" o:spid="_x0000_s2513"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55pt,74.1pt" to="412.95pt,74.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" strokeweight=".42392mm">
          <v:path arrowok="f"/>
          <o:lock v:ext="edit" aspectratio="t" verticies="t"/>
          <w10:wrap anchorx="page" anchory="page"/>
        </v:line>
      </w:pict>
    </w:r>
    <w:r>
      <w:rPr>
        <w:noProof/>
      </w:rPr>
      <w:pict w14:anchorId="0E20E355">
        <v:shapetype id="_x0000_t202" coordsize="21600,21600" o:spt="202" path="m,l,21600r21600,l21600,xe">
          <v:stroke joinstyle="miter"/>
          <v:path gradientshapeok="t" o:connecttype="rect"/>
        </v:shapetype>
        <v:shape id="Text Box 1380" o:spid="_x0000_s2512" type="#_x0000_t202" style="position:absolute;margin-left:44.25pt;margin-top:117.65pt;width:361.45pt;height:62.9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" filled="f" stroked="f">
          <o:lock v:ext="edit" aspectratio="t" verticies="t" text="t" shapetype="t"/>
          <v:textbox inset="0,0,0,0">
            <w:txbxContent>
              <w:p w:rsidR="008142C4" w:rsidRDefault="003048D3">
                <w:pPr>
                  <w:tabs>
                    <w:tab w:val="left" w:pos="4371"/>
                  </w:tabs>
                  <w:spacing w:before="2"/>
                  <w:jc w:val="center"/>
                  <w:rPr>
                    <w:b/>
                    <w:sz w:val="44"/>
                  </w:rPr>
                </w:pPr>
                <w:r>
                  <w:rPr>
                    <w:b/>
                    <w:sz w:val="44"/>
                  </w:rPr>
                  <w:t xml:space="preserve">DIAGNOSTIC </w:t>
                </w:r>
                <w:r>
                  <w:rPr>
                    <w:b/>
                    <w:spacing w:val="20"/>
                    <w:sz w:val="44"/>
                  </w:rPr>
                  <w:t xml:space="preserve"> </w:t>
                </w:r>
                <w:r>
                  <w:rPr>
                    <w:b/>
                    <w:sz w:val="44"/>
                  </w:rPr>
                  <w:t>AND</w:t>
                </w:r>
                <w:r>
                  <w:rPr>
                    <w:b/>
                    <w:sz w:val="44"/>
                  </w:rPr>
                  <w:tab/>
                </w:r>
                <w:r>
                  <w:rPr>
                    <w:b/>
                    <w:w w:val="95"/>
                    <w:sz w:val="44"/>
                  </w:rPr>
                  <w:t>STATISTICAL</w:t>
                </w:r>
              </w:p>
              <w:p w:rsidR="008142C4" w:rsidRDefault="003048D3">
                <w:pPr>
                  <w:spacing w:before="224"/>
                  <w:ind w:left="7"/>
                  <w:jc w:val="center"/>
                  <w:rPr>
                    <w:b/>
                    <w:sz w:val="44"/>
                  </w:rPr>
                </w:pPr>
                <w:r>
                  <w:rPr>
                    <w:b/>
                    <w:w w:val="105"/>
                    <w:sz w:val="44"/>
                  </w:rPr>
                  <w:t>MANUAL</w:t>
                </w:r>
                <w:r>
                  <w:rPr>
                    <w:b/>
                    <w:spacing w:val="53"/>
                    <w:w w:val="105"/>
                    <w:sz w:val="44"/>
                  </w:rPr>
                  <w:t xml:space="preserve"> </w:t>
                </w:r>
                <w:r>
                  <w:rPr>
                    <w:b/>
                    <w:w w:val="105"/>
                    <w:sz w:val="44"/>
                  </w:rPr>
                  <w:t>OF</w:t>
                </w:r>
              </w:p>
            </w:txbxContent>
          </v:textbox>
          <w10:wrap anchorx="page" anchory="page"/>
        </v:shape>
      </w:pict>
    </w:r>
    <w:r>
      <w:rPr>
        <w:noProof/>
      </w:rPr>
      <w:pict w14:anchorId="5E53A47E">
        <v:shape id="Text Box 1379" o:spid="_x0000_s2511" type="#_x0000_t202" style="position:absolute;margin-left:102.35pt;margin-top:190.45pt;width:99.7pt;height:26.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" filled="f" stroked="f">
          <o:lock v:ext="edit" aspectratio="t" verticies="t" text="t" shapetype="t"/>
          <v:textbox inset="0,0,0,0">
            <w:txbxContent>
              <w:p w:rsidR="008142C4" w:rsidRDefault="003048D3">
                <w:pPr>
                  <w:spacing w:before="2"/>
                  <w:ind w:left="20"/>
                  <w:rPr>
                    <w:b/>
                    <w:sz w:val="44"/>
                  </w:rPr>
                </w:pPr>
                <w:r>
                  <w:rPr>
                    <w:b/>
                    <w:sz w:val="44"/>
                  </w:rPr>
                  <w:t>MENTAL</w:t>
                </w:r>
              </w:p>
            </w:txbxContent>
          </v:textbox>
          <w10:wrap anchorx="page" anchory="page"/>
        </v:shape>
      </w:pict>
    </w:r>
    <w:r>
      <w:rPr>
        <w:noProof/>
      </w:rPr>
      <w:pict w14:anchorId="4D80F21B">
        <v:shape id="Text Box 1378" o:spid="_x0000_s2510" type="#_x0000_t202" style="position:absolute;margin-left:212.7pt;margin-top:190.45pt;width:133.25pt;height:26.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" filled="f" stroked="f">
          <o:lock v:ext="edit" aspectratio="t" verticies="t" text="t" shapetype="t"/>
          <v:textbox inset="0,0,0,0">
            <w:txbxContent>
              <w:p w:rsidR="008142C4" w:rsidRDefault="003048D3">
                <w:pPr>
                  <w:spacing w:before="2"/>
                  <w:ind w:left="20"/>
                  <w:rPr>
                    <w:b/>
                    <w:sz w:val="44"/>
                  </w:rPr>
                </w:pPr>
                <w:r>
                  <w:rPr>
                    <w:b/>
                    <w:sz w:val="44"/>
                  </w:rPr>
                  <w:t>DISORDERS</w:t>
                </w:r>
              </w:p>
            </w:txbxContent>
          </v:textbox>
          <w10:wrap anchorx="page" anchory="page"/>
        </v:shape>
      </w:pict>
    </w:r>
    <w:r>
      <w:rPr>
        <w:noProof/>
      </w:rPr>
      <w:pict w14:anchorId="544A7B14">
        <v:shape id="Text Box 1377" o:spid="_x0000_s2509" type="#_x0000_t202" style="position:absolute;margin-left:170.9pt;margin-top:231.3pt;width:108.45pt;height:14.8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" filled="f" stroked="f">
          <o:lock v:ext="edit" aspectratio="t" verticies="t" text="t" shapetype="t"/>
          <v:textbox inset="0,0,0,0">
            <w:txbxContent>
              <w:p w:rsidR="008142C4" w:rsidRDefault="003048D3">
                <w:pPr>
                  <w:spacing w:before="10"/>
                  <w:ind w:left="20"/>
                  <w:rPr>
                    <w:sz w:val="23"/>
                  </w:rPr>
                </w:pPr>
                <w:r>
                  <w:rPr>
                    <w:w w:val="110"/>
                    <w:sz w:val="23"/>
                  </w:rPr>
                  <w:t>FOURTH EDITION</w:t>
                </w:r>
              </w:p>
            </w:txbxContent>
          </v:textbox>
          <w10:wrap anchorx="page" anchory="page"/>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590DF6FF">
        <v:line id="Line 1342" o:spid="_x0000_s2474" style="position:absolute;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65pt,49.6pt" to="411.85pt,49.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" strokeweight=".16956mm">
          <v:path arrowok="f"/>
          <o:lock v:ext="edit" aspectratio="t" verticies="t"/>
          <w10:wrap anchorx="page" anchory="page"/>
        </v:line>
      </w:pict>
    </w:r>
    <w:r>
      <w:rPr>
        <w:noProof/>
      </w:rPr>
      <w:pict w14:anchorId="0357F1FC">
        <v:shapetype id="_x0000_t202" coordsize="21600,21600" o:spt="202" path="m,l,21600r21600,l21600,xe">
          <v:stroke joinstyle="miter"/>
          <v:path gradientshapeok="t" o:connecttype="rect"/>
        </v:shapetype>
        <v:shape id="Text Box 1341" o:spid="_x0000_s2473" type="#_x0000_t202" style="position:absolute;margin-left:32.6pt;margin-top:33.05pt;width:17.95pt;height:14.6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" filled="f" stroked="f">
          <o:lock v:ext="edit" aspectratio="t" verticies="t" text="t" shapetype="t"/>
          <v:textbox inset="0,0,0,0">
            <w:txbxContent>
              <w:p w:rsidR="008142C4" w:rsidRDefault="003048D3">
                <w:pPr>
                  <w:spacing w:before="19"/>
                  <w:ind w:left="65"/>
                  <w:rPr>
                    <w:b/>
                  </w:rPr>
                </w:pPr>
                <w:r>
                  <w:fldChar w:fldCharType="begin"/>
                </w:r>
                <w:r>
                  <w:rPr>
                    <w:b/>
                    <w:w w:val="105"/>
                  </w:rPr>
                  <w:instrText xml:space="preserve"> PAGE </w:instrText>
                </w:r>
                <w:r>
                  <w:fldChar w:fldCharType="separate"/>
                </w:r>
                <w:r>
                  <w:t>10</w:t>
                </w:r>
                <w:r>
                  <w:fldChar w:fldCharType="end"/>
                </w:r>
              </w:p>
            </w:txbxContent>
          </v:textbox>
          <w10:wrap anchorx="page" anchory="page"/>
        </v:shape>
      </w:pict>
    </w:r>
    <w:r>
      <w:rPr>
        <w:noProof/>
      </w:rPr>
      <w:pict w14:anchorId="2F88C961">
        <v:shape id="Text Box 1340" o:spid="_x0000_s2472" type="#_x0000_t202" style="position:absolute;margin-left:62.75pt;margin-top:33.45pt;width:95.3pt;height:14.2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" filled="f" stroked="f">
          <o:lock v:ext="edit" aspectratio="t" verticies="t" text="t" shapetype="t"/>
          <v:textbox inset="0,0,0,0">
            <w:txbxContent>
              <w:p w:rsidR="008142C4" w:rsidRDefault="003048D3">
                <w:pPr>
                  <w:spacing w:before="11"/>
                  <w:ind w:left="20"/>
                  <w:rPr>
                    <w:b/>
                  </w:rPr>
                </w:pPr>
                <w:r>
                  <w:rPr>
                    <w:b/>
                    <w:w w:val="105"/>
                  </w:rPr>
                  <w:t>Use of the</w:t>
                </w:r>
                <w:r>
                  <w:rPr>
                    <w:b/>
                    <w:spacing w:val="55"/>
                    <w:w w:val="105"/>
                  </w:rPr>
                  <w:t xml:space="preserve"> </w:t>
                </w:r>
                <w:r>
                  <w:rPr>
                    <w:b/>
                    <w:w w:val="105"/>
                  </w:rPr>
                  <w:t>Manual</w:t>
                </w:r>
              </w:p>
            </w:txbxContent>
          </v:textbox>
          <w10:wrap anchorx="page" anchory="page"/>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6015DFA0">
        <v:line id="Line 1339" o:spid="_x0000_s2471" style="position:absolute;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75pt,49.1pt" to="412.2pt,4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" strokeweight=".16956mm">
          <v:path arrowok="f"/>
          <o:lock v:ext="edit" aspectratio="t" verticies="t"/>
          <w10:wrap anchorx="page" anchory="page"/>
        </v:line>
      </w:pict>
    </w:r>
    <w:r>
      <w:rPr>
        <w:noProof/>
      </w:rPr>
      <w:pict w14:anchorId="3706FAA6">
        <v:shapetype id="_x0000_t202" coordsize="21600,21600" o:spt="202" path="m,l,21600r21600,l21600,xe">
          <v:stroke joinstyle="miter"/>
          <v:path gradientshapeok="t" o:connecttype="rect"/>
        </v:shapetype>
        <v:shape id="Text Box 1338" o:spid="_x0000_s2470" type="#_x0000_t202" style="position:absolute;margin-left:286.85pt;margin-top:32.75pt;width:95.7pt;height:13.65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" filled="f" stroked="f">
          <o:lock v:ext="edit" aspectratio="t" verticies="t" text="t" shapetype="t"/>
          <v:textbox inset="0,0,0,0">
            <w:txbxContent>
              <w:p w:rsidR="008142C4" w:rsidRDefault="003048D3">
                <w:pPr>
                  <w:spacing w:before="11"/>
                  <w:ind w:left="20"/>
                  <w:rPr>
                    <w:b/>
                    <w:sz w:val="21"/>
                  </w:rPr>
                </w:pPr>
                <w:r>
                  <w:rPr>
                    <w:b/>
                    <w:w w:val="110"/>
                    <w:sz w:val="21"/>
                  </w:rPr>
                  <w:t>Use of the Manual</w:t>
                </w:r>
              </w:p>
            </w:txbxContent>
          </v:textbox>
          <w10:wrap anchorx="page" anchory="page"/>
        </v:shape>
      </w:pict>
    </w:r>
    <w:r>
      <w:rPr>
        <w:noProof/>
      </w:rPr>
      <w:pict w14:anchorId="56EB6D27">
        <v:shape id="Text Box 1337" o:spid="_x0000_s2469" type="#_x0000_t202" style="position:absolute;margin-left:394.35pt;margin-top:32.75pt;width:19.9pt;height:15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" filled="f" stroked="f">
          <o:lock v:ext="edit" aspectratio="t" verticies="t" text="t" shapetype="t"/>
          <v:textbox inset="0,0,0,0">
            <w:txbxContent>
              <w:p w:rsidR="008142C4" w:rsidRDefault="003048D3">
                <w:pPr>
                  <w:spacing w:before="11"/>
                  <w:ind w:left="60"/>
                  <w:rPr>
                    <w:b/>
                    <w:sz w:val="21"/>
                  </w:rPr>
                </w:pPr>
                <w:r>
                  <w:fldChar w:fldCharType="begin"/>
                </w:r>
                <w:r>
                  <w:rPr>
                    <w:b/>
                    <w:w w:val="110"/>
                    <w:sz w:val="21"/>
                  </w:rPr>
                  <w:instrText xml:space="preserve"> PAGE </w:instrText>
                </w:r>
                <w:r>
                  <w:fldChar w:fldCharType="separate"/>
                </w:r>
                <w:r>
                  <w:t>11</w:t>
                </w:r>
                <w:r>
                  <w:fldChar w:fldCharType="end"/>
                </w:r>
              </w:p>
            </w:txbxContent>
          </v:textbox>
          <w10:wrap anchorx="page" anchory="page"/>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2D265D77">
        <v:line id="Line 1336" o:spid="_x0000_s2468" style="position:absolute;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55pt,50.45pt" to="410.8pt,50.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" strokeweight=".16956mm">
          <v:path arrowok="f"/>
          <o:lock v:ext="edit" aspectratio="t" verticies="t"/>
          <w10:wrap anchorx="page" anchory="page"/>
        </v:line>
      </w:pict>
    </w:r>
    <w:r>
      <w:rPr>
        <w:noProof/>
      </w:rPr>
      <w:pict w14:anchorId="2102740B">
        <v:shapetype id="_x0000_t202" coordsize="21600,21600" o:spt="202" path="m,l,21600r21600,l21600,xe">
          <v:stroke joinstyle="miter"/>
          <v:path gradientshapeok="t" o:connecttype="rect"/>
        </v:shapetype>
        <v:shape id="Text Box 1335" o:spid="_x0000_s2467" type="#_x0000_t202" style="position:absolute;margin-left:33.85pt;margin-top:33.6pt;width:17.85pt;height:14.6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" filled="f" stroked="f">
          <o:lock v:ext="edit" aspectratio="t" verticies="t" text="t" shapetype="t"/>
          <v:textbox inset="0,0,0,0">
            <w:txbxContent>
              <w:p w:rsidR="008142C4" w:rsidRDefault="003048D3">
                <w:pPr>
                  <w:spacing w:before="11"/>
                  <w:ind w:left="68"/>
                  <w:rPr>
                    <w:b/>
                  </w:rPr>
                </w:pPr>
                <w:r>
                  <w:fldChar w:fldCharType="begin"/>
                </w:r>
                <w:r>
                  <w:rPr>
                    <w:b/>
                    <w:w w:val="105"/>
                  </w:rPr>
                  <w:instrText xml:space="preserve"> PAGE </w:instrText>
                </w:r>
                <w:r>
                  <w:fldChar w:fldCharType="separate"/>
                </w:r>
                <w:r>
                  <w:t>16</w:t>
                </w:r>
                <w:r>
                  <w:fldChar w:fldCharType="end"/>
                </w:r>
              </w:p>
            </w:txbxContent>
          </v:textbox>
          <w10:wrap anchorx="page" anchory="page"/>
        </v:shape>
      </w:pict>
    </w:r>
    <w:r>
      <w:rPr>
        <w:noProof/>
      </w:rPr>
      <w:pict w14:anchorId="6440AF4A">
        <v:shape id="Text Box 1334" o:spid="_x0000_s2466" type="#_x0000_t202" style="position:absolute;margin-left:64.3pt;margin-top:33.6pt;width:113.5pt;height:14.2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" filled="f" stroked="f">
          <o:lock v:ext="edit" aspectratio="t" verticies="t" text="t" shapetype="t"/>
          <v:textbox inset="0,0,0,0">
            <w:txbxContent>
              <w:p w:rsidR="008142C4" w:rsidRDefault="003048D3">
                <w:pPr>
                  <w:spacing w:before="11"/>
                  <w:ind w:left="20"/>
                  <w:rPr>
                    <w:b/>
                  </w:rPr>
                </w:pPr>
                <w:r>
                  <w:rPr>
                    <w:b/>
                    <w:w w:val="105"/>
                  </w:rPr>
                  <w:t>DSM-IV Classification</w:t>
                </w:r>
              </w:p>
            </w:txbxContent>
          </v:textbox>
          <w10:wrap anchorx="page" anchory="page"/>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75319318">
        <v:line id="Line 1333" o:spid="_x0000_s2465" style="position:absolute;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pt,49.5pt" to="409.85pt,4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" strokeweight=".16956mm">
          <v:path arrowok="f"/>
          <o:lock v:ext="edit" aspectratio="t" verticies="t"/>
          <w10:wrap anchorx="page" anchory="page"/>
        </v:line>
      </w:pict>
    </w:r>
    <w:r>
      <w:rPr>
        <w:noProof/>
      </w:rPr>
      <w:pict w14:anchorId="35D6AD4E">
        <v:shapetype id="_x0000_t202" coordsize="21600,21600" o:spt="202" path="m,l,21600r21600,l21600,xe">
          <v:stroke joinstyle="miter"/>
          <v:path gradientshapeok="t" o:connecttype="rect"/>
        </v:shapetype>
        <v:shape id="Text Box 1332" o:spid="_x0000_s2464" type="#_x0000_t202" style="position:absolute;margin-left:270.2pt;margin-top:33.1pt;width:113.95pt;height:13.65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" filled="f" stroked="f">
          <o:lock v:ext="edit" aspectratio="t" verticies="t" text="t" shapetype="t"/>
          <v:textbox inset="0,0,0,0">
            <w:txbxContent>
              <w:p w:rsidR="008142C4" w:rsidRDefault="003048D3">
                <w:pPr>
                  <w:spacing w:before="11"/>
                  <w:ind w:left="20"/>
                  <w:rPr>
                    <w:b/>
                    <w:sz w:val="21"/>
                  </w:rPr>
                </w:pPr>
                <w:r>
                  <w:rPr>
                    <w:b/>
                    <w:w w:val="110"/>
                    <w:sz w:val="21"/>
                  </w:rPr>
                  <w:t>DSM-IV Classification</w:t>
                </w:r>
              </w:p>
            </w:txbxContent>
          </v:textbox>
          <w10:wrap anchorx="page" anchory="page"/>
        </v:shape>
      </w:pict>
    </w:r>
    <w:r>
      <w:rPr>
        <w:noProof/>
      </w:rPr>
      <w:pict w14:anchorId="5F4B7F74">
        <v:shape id="Text Box 1331" o:spid="_x0000_s2463" type="#_x0000_t202" style="position:absolute;margin-left:393.85pt;margin-top:32.9pt;width:19.6pt;height:14.4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" filled="f" stroked="f">
          <o:lock v:ext="edit" aspectratio="t" verticies="t" text="t" shapetype="t"/>
          <v:textbox inset="0,0,0,0">
            <w:txbxContent>
              <w:p w:rsidR="008142C4" w:rsidRDefault="003048D3">
                <w:pPr>
                  <w:spacing w:before="15"/>
                  <w:ind w:left="85"/>
                  <w:rPr>
                    <w:b/>
                    <w:sz w:val="21"/>
                  </w:rPr>
                </w:pPr>
                <w:r>
                  <w:fldChar w:fldCharType="begin"/>
                </w:r>
                <w:r>
                  <w:rPr>
                    <w:b/>
                    <w:w w:val="115"/>
                    <w:sz w:val="21"/>
                  </w:rPr>
                  <w:instrText xml:space="preserve"> PAGE </w:instrText>
                </w:r>
                <w:r>
                  <w:fldChar w:fldCharType="separate"/>
                </w:r>
                <w:r>
                  <w:t>19</w:t>
                </w:r>
                <w:r>
                  <w:fldChar w:fldCharType="end"/>
                </w:r>
              </w:p>
            </w:txbxContent>
          </v:textbox>
          <w10:wrap anchorx="page" anchory="page"/>
        </v:shape>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486FE481">
        <v:line id="Line 1330" o:spid="_x0000_s2462" style="position:absolute;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25pt,49.4pt" to="410.55pt,49.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" strokeweight=".16956mm">
          <v:path arrowok="f"/>
          <o:lock v:ext="edit" aspectratio="t" verticies="t"/>
          <w10:wrap anchorx="page" anchory="page"/>
        </v:line>
      </w:pict>
    </w:r>
    <w:r>
      <w:rPr>
        <w:noProof/>
      </w:rPr>
      <w:pict w14:anchorId="0C0CC757">
        <v:shapetype id="_x0000_t202" coordsize="21600,21600" o:spt="202" path="m,l,21600r21600,l21600,xe">
          <v:stroke joinstyle="miter"/>
          <v:path gradientshapeok="t" o:connecttype="rect"/>
        </v:shapetype>
        <v:shape id="Text Box 1329" o:spid="_x0000_s2461" type="#_x0000_t202" style="position:absolute;margin-left:34.2pt;margin-top:33.1pt;width:17.85pt;height:14.75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" filled="f" stroked="f">
          <o:lock v:ext="edit" aspectratio="t" verticies="t" text="t" shapetype="t"/>
          <v:textbox inset="0,0,0,0">
            <w:txbxContent>
              <w:p w:rsidR="008142C4" w:rsidRDefault="003048D3">
                <w:pPr>
                  <w:spacing w:before="11"/>
                  <w:ind w:left="71"/>
                  <w:rPr>
                    <w:b/>
                    <w:sz w:val="21"/>
                  </w:rPr>
                </w:pPr>
                <w:r>
                  <w:fldChar w:fldCharType="begin"/>
                </w:r>
                <w:r>
                  <w:rPr>
                    <w:b/>
                    <w:w w:val="105"/>
                    <w:sz w:val="21"/>
                  </w:rPr>
                  <w:instrText xml:space="preserve"> PAGE </w:instrText>
                </w:r>
                <w:r>
                  <w:fldChar w:fldCharType="separate"/>
                </w:r>
                <w:r>
                  <w:t>22</w:t>
                </w:r>
                <w:r>
                  <w:fldChar w:fldCharType="end"/>
                </w:r>
              </w:p>
            </w:txbxContent>
          </v:textbox>
          <w10:wrap anchorx="page" anchory="page"/>
        </v:shape>
      </w:pict>
    </w:r>
    <w:r>
      <w:rPr>
        <w:noProof/>
      </w:rPr>
      <w:pict w14:anchorId="26D7998A">
        <v:shape id="Text Box 1328" o:spid="_x0000_s2460" type="#_x0000_t202" style="position:absolute;margin-left:64.55pt;margin-top:33.1pt;width:113.75pt;height:13.65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" filled="f" stroked="f">
          <o:lock v:ext="edit" aspectratio="t" verticies="t" text="t" shapetype="t"/>
          <v:textbox inset="0,0,0,0">
            <w:txbxContent>
              <w:p w:rsidR="008142C4" w:rsidRDefault="003048D3">
                <w:pPr>
                  <w:spacing w:before="11"/>
                  <w:ind w:left="20"/>
                  <w:rPr>
                    <w:b/>
                    <w:sz w:val="21"/>
                  </w:rPr>
                </w:pPr>
                <w:r>
                  <w:rPr>
                    <w:b/>
                    <w:w w:val="110"/>
                    <w:sz w:val="21"/>
                  </w:rPr>
                  <w:t>DSM-IV Classification</w:t>
                </w:r>
              </w:p>
            </w:txbxContent>
          </v:textbox>
          <w10:wrap anchorx="page" anchory="page"/>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5EAE4319">
        <v:line id="Line 1327" o:spid="_x0000_s2459" style="position:absolute;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pt,49.25pt" to="410.8pt,49.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" strokeweight=".16956mm">
          <v:path arrowok="f"/>
          <o:lock v:ext="edit" aspectratio="t" verticies="t"/>
          <w10:wrap anchorx="page" anchory="page"/>
        </v:line>
      </w:pict>
    </w:r>
    <w:r>
      <w:rPr>
        <w:noProof/>
      </w:rPr>
      <w:pict w14:anchorId="4FBFE5CC">
        <v:shapetype id="_x0000_t202" coordsize="21600,21600" o:spt="202" path="m,l,21600r21600,l21600,xe">
          <v:stroke joinstyle="miter"/>
          <v:path gradientshapeok="t" o:connecttype="rect"/>
        </v:shapetype>
        <v:shape id="Text Box 1326" o:spid="_x0000_s2458" type="#_x0000_t202" style="position:absolute;margin-left:269.2pt;margin-top:33.6pt;width:113.95pt;height:13.65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" filled="f" stroked="f">
          <o:lock v:ext="edit" aspectratio="t" verticies="t" text="t" shapetype="t"/>
          <v:textbox inset="0,0,0,0">
            <w:txbxContent>
              <w:p w:rsidR="008142C4" w:rsidRDefault="003048D3">
                <w:pPr>
                  <w:spacing w:before="11"/>
                  <w:ind w:left="20"/>
                  <w:rPr>
                    <w:b/>
                    <w:sz w:val="21"/>
                  </w:rPr>
                </w:pPr>
                <w:r>
                  <w:rPr>
                    <w:b/>
                    <w:w w:val="110"/>
                    <w:sz w:val="21"/>
                  </w:rPr>
                  <w:t>DSM-IV Classification</w:t>
                </w:r>
              </w:p>
            </w:txbxContent>
          </v:textbox>
          <w10:wrap anchorx="page" anchory="page"/>
        </v:shape>
      </w:pict>
    </w:r>
    <w:r>
      <w:rPr>
        <w:noProof/>
      </w:rPr>
      <w:pict w14:anchorId="09724CE4">
        <v:shape id="Text Box 1325" o:spid="_x0000_s2457" type="#_x0000_t202" style="position:absolute;margin-left:394.1pt;margin-top:33.6pt;width:18.35pt;height:13.65pt;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" filled="f" stroked="f">
          <o:lock v:ext="edit" aspectratio="t" verticies="t" text="t" shapetype="t"/>
          <v:textbox inset="0,0,0,0">
            <w:txbxContent>
              <w:p w:rsidR="008142C4" w:rsidRDefault="003048D3">
                <w:pPr>
                  <w:spacing w:before="11"/>
                  <w:ind w:left="60"/>
                  <w:rPr>
                    <w:b/>
                    <w:sz w:val="21"/>
                  </w:rPr>
                </w:pPr>
                <w:r>
                  <w:fldChar w:fldCharType="begin"/>
                </w:r>
                <w:r>
                  <w:rPr>
                    <w:b/>
                    <w:w w:val="115"/>
                    <w:sz w:val="21"/>
                  </w:rPr>
                  <w:instrText xml:space="preserve"> PAGE </w:instrText>
                </w:r>
                <w:r>
                  <w:fldChar w:fldCharType="separate"/>
                </w:r>
                <w:r>
                  <w:t>19</w:t>
                </w:r>
                <w:r>
                  <w:fldChar w:fldCharType="end"/>
                </w:r>
              </w:p>
            </w:txbxContent>
          </v:textbox>
          <w10:wrap anchorx="page" anchory="page"/>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33CD9F5E">
        <v:shapetype id="_x0000_t202" coordsize="21600,21600" o:spt="202" path="m,l,21600r21600,l21600,xe">
          <v:stroke joinstyle="miter"/>
          <v:path gradientshapeok="t" o:connecttype="rect"/>
        </v:shapetype>
        <v:shape id="Text Box 1324" o:spid="_x0000_s2456" type="#_x0000_t202" style="position:absolute;margin-left:269.45pt;margin-top:33.6pt;width:113.95pt;height:13.65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" filled="f" stroked="f">
          <o:lock v:ext="edit" aspectratio="t" verticies="t" text="t" shapetype="t"/>
          <v:textbox inset="0,0,0,0">
            <w:txbxContent>
              <w:p w:rsidR="008142C4" w:rsidRDefault="003048D3">
                <w:pPr>
                  <w:spacing w:before="11"/>
                  <w:ind w:left="20"/>
                  <w:rPr>
                    <w:b/>
                    <w:sz w:val="21"/>
                  </w:rPr>
                </w:pPr>
                <w:r>
                  <w:rPr>
                    <w:b/>
                    <w:w w:val="110"/>
                    <w:sz w:val="21"/>
                  </w:rPr>
                  <w:t>DSM-IV Classification</w:t>
                </w:r>
              </w:p>
            </w:txbxContent>
          </v:textbox>
          <w10:wrap anchorx="page" anchory="page"/>
        </v:shape>
      </w:pict>
    </w:r>
    <w:r>
      <w:rPr>
        <w:noProof/>
      </w:rPr>
      <w:pict w14:anchorId="1F6EA1F3">
        <v:shape id="Text Box 1323" o:spid="_x0000_s2455" type="#_x0000_t202" style="position:absolute;margin-left:396.55pt;margin-top:33.6pt;width:14.35pt;height:13.65pt;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" filled="f" stroked="f">
          <o:lock v:ext="edit" aspectratio="t" verticies="t" text="t" shapetype="t"/>
          <v:textbox inset="0,0,0,0">
            <w:txbxContent>
              <w:p w:rsidR="008142C4" w:rsidRDefault="003048D3">
                <w:pPr>
                  <w:spacing w:before="11"/>
                  <w:ind w:left="20"/>
                  <w:rPr>
                    <w:b/>
                    <w:sz w:val="21"/>
                  </w:rPr>
                </w:pPr>
                <w:r>
                  <w:rPr>
                    <w:b/>
                    <w:w w:val="115"/>
                    <w:sz w:val="21"/>
                  </w:rPr>
                  <w:t>23</w:t>
                </w:r>
              </w:p>
            </w:txbxContent>
          </v:textbox>
          <w10:wrap anchorx="page" anchory="page"/>
        </v:shap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1B0D0896">
        <v:line id="Line 1322" o:spid="_x0000_s2454" style="position:absolute;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55pt,50.25pt" to="409.35pt,50.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" strokeweight=".25433mm">
          <v:path arrowok="f"/>
          <o:lock v:ext="edit" aspectratio="t" verticies="t"/>
          <w10:wrap anchorx="page" anchory="page"/>
        </v:line>
      </w:pict>
    </w:r>
    <w:r>
      <w:rPr>
        <w:noProof/>
      </w:rPr>
      <w:pict w14:anchorId="38004B53">
        <v:shapetype id="_x0000_t202" coordsize="21600,21600" o:spt="202" path="m,l,21600r21600,l21600,xe">
          <v:stroke joinstyle="miter"/>
          <v:path gradientshapeok="t" o:connecttype="rect"/>
        </v:shapetype>
        <v:shape id="Text Box 1321" o:spid="_x0000_s2453" type="#_x0000_t202" style="position:absolute;margin-left:37.5pt;margin-top:34.5pt;width:13.4pt;height:14.2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" filled="f" stroked="f">
          <o:lock v:ext="edit" aspectratio="t" verticies="t" text="t" shapetype="t"/>
          <v:textbox inset="0,0,0,0">
            <w:txbxContent>
              <w:p w:rsidR="008142C4" w:rsidRDefault="003048D3">
                <w:pPr>
                  <w:spacing w:before="11"/>
                  <w:ind w:left="20"/>
                  <w:rPr>
                    <w:b/>
                  </w:rPr>
                </w:pPr>
                <w:r>
                  <w:rPr>
                    <w:b/>
                    <w:color w:val="0E0E0E"/>
                    <w:w w:val="105"/>
                  </w:rPr>
                  <w:t>24</w:t>
                </w:r>
              </w:p>
            </w:txbxContent>
          </v:textbox>
          <w10:wrap anchorx="page" anchory="page"/>
        </v:shape>
      </w:pict>
    </w:r>
    <w:r>
      <w:rPr>
        <w:noProof/>
      </w:rPr>
      <w:pict w14:anchorId="7758E158">
        <v:shape id="Text Box 1320" o:spid="_x0000_s2452" type="#_x0000_t202" style="position:absolute;margin-left:65pt;margin-top:34.5pt;width:113.5pt;height:14.2pt;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" filled="f" stroked="f">
          <o:lock v:ext="edit" aspectratio="t" verticies="t" text="t" shapetype="t"/>
          <v:textbox inset="0,0,0,0">
            <w:txbxContent>
              <w:p w:rsidR="008142C4" w:rsidRDefault="003048D3">
                <w:pPr>
                  <w:spacing w:before="11"/>
                  <w:ind w:left="20"/>
                  <w:rPr>
                    <w:b/>
                  </w:rPr>
                </w:pPr>
                <w:r>
                  <w:rPr>
                    <w:b/>
                    <w:color w:val="0E0E0E"/>
                    <w:w w:val="105"/>
                  </w:rPr>
                  <w:t>DSM-IV Classification</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rPr>
        <w:sz w:val="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5E5D714B">
        <v:line id="Line 1319" o:spid="_x0000_s2451" style="position:absolute;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3pt,51.25pt" to="412.55pt,51.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" strokeweight=".16958mm">
          <v:path arrowok="f"/>
          <o:lock v:ext="edit" aspectratio="t" verticies="t"/>
          <w10:wrap anchorx="page" anchory="page"/>
        </v:line>
      </w:pict>
    </w:r>
    <w:r>
      <w:rPr>
        <w:noProof/>
      </w:rPr>
      <w:pict w14:anchorId="54FACD61">
        <v:shapetype id="_x0000_t202" coordsize="21600,21600" o:spt="202" path="m,l,21600r21600,l21600,xe">
          <v:stroke joinstyle="miter"/>
          <v:path gradientshapeok="t" o:connecttype="rect"/>
        </v:shapetype>
        <v:shape id="Text Box 1318" o:spid="_x0000_s2450" type="#_x0000_t202" style="position:absolute;margin-left:33.7pt;margin-top:33.4pt;width:19.35pt;height:15.75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" filled="f" stroked="f">
          <o:lock v:ext="edit" aspectratio="t" verticies="t" text="t" shapetype="t"/>
          <v:textbox inset="0,0,0,0">
            <w:txbxContent>
              <w:p w:rsidR="008142C4" w:rsidRDefault="003048D3">
                <w:pPr>
                  <w:spacing w:before="11"/>
                  <w:ind w:left="96"/>
                  <w:rPr>
                    <w:b/>
                  </w:rPr>
                </w:pPr>
                <w:r>
                  <w:fldChar w:fldCharType="begin"/>
                </w:r>
                <w:r>
                  <w:rPr>
                    <w:b/>
                    <w:w w:val="105"/>
                  </w:rPr>
                  <w:instrText xml:space="preserve"> PAGE </w:instrText>
                </w:r>
                <w:r>
                  <w:fldChar w:fldCharType="separate"/>
                </w:r>
                <w:r>
                  <w:t>30</w:t>
                </w:r>
                <w:r>
                  <w:fldChar w:fldCharType="end"/>
                </w:r>
              </w:p>
            </w:txbxContent>
          </v:textbox>
          <w10:wrap anchorx="page" anchory="page"/>
        </v:shape>
      </w:pict>
    </w:r>
    <w:r>
      <w:rPr>
        <w:noProof/>
      </w:rPr>
      <w:pict w14:anchorId="5367418B">
        <v:shape id="Text Box 1317" o:spid="_x0000_s2449" type="#_x0000_t202" style="position:absolute;margin-left:64.95pt;margin-top:33.4pt;width:117.05pt;height:14.2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" filled="f" stroked="f">
          <o:lock v:ext="edit" aspectratio="t" verticies="t" text="t" shapetype="t"/>
          <v:textbox inset="0,0,0,0">
            <w:txbxContent>
              <w:p w:rsidR="008142C4" w:rsidRDefault="003048D3">
                <w:pPr>
                  <w:spacing w:before="11"/>
                  <w:ind w:left="20"/>
                  <w:rPr>
                    <w:b/>
                  </w:rPr>
                </w:pPr>
                <w:r>
                  <w:rPr>
                    <w:b/>
                    <w:w w:val="110"/>
                  </w:rPr>
                  <w:t>Multiaxial Assessment</w:t>
                </w:r>
              </w:p>
            </w:txbxContent>
          </v:textbox>
          <w10:wrap anchorx="page" anchory="page"/>
        </v:shape>
      </w:pic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61FEA99F">
        <v:line id="Line 1316" o:spid="_x0000_s2448" style="position:absolute;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6pt,49.05pt" to="410.9pt,49.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" strokeweight=".08478mm">
          <v:path arrowok="f"/>
          <o:lock v:ext="edit" aspectratio="t" verticies="t"/>
          <w10:wrap anchorx="page" anchory="page"/>
        </v:line>
      </w:pict>
    </w:r>
    <w:r>
      <w:rPr>
        <w:noProof/>
      </w:rPr>
      <w:pict w14:anchorId="44BF67FB">
        <v:shapetype id="_x0000_t202" coordsize="21600,21600" o:spt="202" path="m,l,21600r21600,l21600,xe">
          <v:stroke joinstyle="miter"/>
          <v:path gradientshapeok="t" o:connecttype="rect"/>
        </v:shapetype>
        <v:shape id="Text Box 1315" o:spid="_x0000_s2447" type="#_x0000_t202" style="position:absolute;margin-left:264.5pt;margin-top:33.1pt;width:117.35pt;height:14.2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" filled="f" stroked="f">
          <o:lock v:ext="edit" aspectratio="t" verticies="t" text="t" shapetype="t"/>
          <v:textbox inset="0,0,0,0">
            <w:txbxContent>
              <w:p w:rsidR="008142C4" w:rsidRDefault="003048D3">
                <w:pPr>
                  <w:spacing w:before="11"/>
                  <w:ind w:left="20"/>
                  <w:rPr>
                    <w:b/>
                  </w:rPr>
                </w:pPr>
                <w:r>
                  <w:rPr>
                    <w:b/>
                    <w:w w:val="110"/>
                  </w:rPr>
                  <w:t>Multiaxial Assessment</w:t>
                </w:r>
              </w:p>
            </w:txbxContent>
          </v:textbox>
          <w10:wrap anchorx="page" anchory="page"/>
        </v:shape>
      </w:pict>
    </w:r>
    <w:r>
      <w:rPr>
        <w:noProof/>
      </w:rPr>
      <w:pict w14:anchorId="7D962C5C">
        <v:shape id="Text Box 1314" o:spid="_x0000_s2446" type="#_x0000_t202" style="position:absolute;margin-left:393.55pt;margin-top:32.75pt;width:20.15pt;height:16.25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" filled="f" stroked="f">
          <o:lock v:ext="edit" aspectratio="t" verticies="t" text="t" shapetype="t"/>
          <v:textbox inset="0,0,0,0">
            <w:txbxContent>
              <w:p w:rsidR="008142C4" w:rsidRDefault="003048D3">
                <w:pPr>
                  <w:spacing w:before="17"/>
                  <w:ind w:left="78"/>
                  <w:rPr>
                    <w:b/>
                  </w:rPr>
                </w:pPr>
                <w:r>
                  <w:fldChar w:fldCharType="begin"/>
                </w:r>
                <w:r>
                  <w:rPr>
                    <w:b/>
                    <w:w w:val="110"/>
                  </w:rPr>
                  <w:instrText xml:space="preserve"> PAGE </w:instrText>
                </w:r>
                <w:r>
                  <w:fldChar w:fldCharType="separate"/>
                </w:r>
                <w:r>
                  <w:t>27</w:t>
                </w:r>
                <w:r>
                  <w:fldChar w:fldCharType="end"/>
                </w:r>
              </w:p>
            </w:txbxContent>
          </v:textbox>
          <w10:wrap anchorx="page" anchory="page"/>
        </v:shape>
      </w:pic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rPr>
        <w:sz w:val="2"/>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rPr>
        <w:sz w:val="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027AC296">
        <v:line id="Line 1313" o:spid="_x0000_s2445" style="position:absolute;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1pt,49.5pt" to="410.4pt,4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" strokeweight=".16958mm">
          <v:path arrowok="f"/>
          <o:lock v:ext="edit" aspectratio="t" verticies="t"/>
          <w10:wrap anchorx="page" anchory="page"/>
        </v:line>
      </w:pict>
    </w:r>
    <w:r>
      <w:rPr>
        <w:noProof/>
      </w:rPr>
      <w:pict w14:anchorId="2255494A">
        <v:shapetype id="_x0000_t202" coordsize="21600,21600" o:spt="202" path="m,l,21600r21600,l21600,xe">
          <v:stroke joinstyle="miter"/>
          <v:path gradientshapeok="t" o:connecttype="rect"/>
        </v:shapetype>
        <v:shape id="Text Box 1312" o:spid="_x0000_s2444" type="#_x0000_t202" style="position:absolute;margin-left:33.3pt;margin-top:33.6pt;width:18.05pt;height:14.95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" filled="f" stroked="f">
          <o:lock v:ext="edit" aspectratio="t" verticies="t" text="t" shapetype="t"/>
          <v:textbox inset="0,0,0,0">
            <w:txbxContent>
              <w:p w:rsidR="008142C4" w:rsidRDefault="003048D3">
                <w:pPr>
                  <w:spacing w:before="11"/>
                  <w:ind w:left="66"/>
                  <w:rPr>
                    <w:b/>
                  </w:rPr>
                </w:pPr>
                <w:r>
                  <w:fldChar w:fldCharType="begin"/>
                </w:r>
                <w:r>
                  <w:rPr>
                    <w:b/>
                    <w:w w:val="105"/>
                  </w:rPr>
                  <w:instrText xml:space="preserve"> PAGE </w:instrText>
                </w:r>
                <w:r>
                  <w:fldChar w:fldCharType="separate"/>
                </w:r>
                <w:r>
                  <w:t>38</w:t>
                </w:r>
                <w:r>
                  <w:fldChar w:fldCharType="end"/>
                </w:r>
              </w:p>
            </w:txbxContent>
          </v:textbox>
          <w10:wrap anchorx="page" anchory="page"/>
        </v:shape>
      </w:pict>
    </w:r>
    <w:r>
      <w:rPr>
        <w:noProof/>
      </w:rPr>
      <w:pict w14:anchorId="3BE0F6BE">
        <v:shape id="Text Box 1311" o:spid="_x0000_s2443" type="#_x0000_t202" style="position:absolute;margin-left:63.25pt;margin-top:33.6pt;width:328.25pt;height:14.2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" filled="f" stroked="f">
          <o:lock v:ext="edit" aspectratio="t" verticies="t" text="t" shapetype="t"/>
          <v:textbox inset="0,0,0,0">
            <w:txbxContent>
              <w:p w:rsidR="008142C4" w:rsidRDefault="003048D3">
                <w:pPr>
                  <w:spacing w:before="11"/>
                  <w:ind w:left="20"/>
                  <w:rPr>
                    <w:b/>
                  </w:rPr>
                </w:pPr>
                <w:r>
                  <w:rPr>
                    <w:b/>
                    <w:w w:val="110"/>
                  </w:rPr>
                  <w:t>Usually First Diagnosed in Infancy, Childhood, or Adolescence</w:t>
                </w:r>
              </w:p>
            </w:txbxContent>
          </v:textbox>
          <w10:wrap anchorx="page" anchory="page"/>
        </v:shape>
      </w:pic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45640D30">
        <v:line id="Line 1310" o:spid="_x0000_s2442" style="position:absolute;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55pt,49.25pt" to="410.8pt,49.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" strokeweight=".16956mm">
          <v:path arrowok="f"/>
          <o:lock v:ext="edit" aspectratio="t" verticies="t"/>
          <w10:wrap anchorx="page" anchory="page"/>
        </v:line>
      </w:pict>
    </w:r>
    <w:r>
      <w:rPr>
        <w:noProof/>
      </w:rPr>
      <w:pict w14:anchorId="3067BC4F">
        <v:shapetype id="_x0000_t202" coordsize="21600,21600" o:spt="202" path="m,l,21600r21600,l21600,xe">
          <v:stroke joinstyle="miter"/>
          <v:path gradientshapeok="t" o:connecttype="rect"/>
        </v:shapetype>
        <v:shape id="Text Box 1309" o:spid="_x0000_s2441" type="#_x0000_t202" style="position:absolute;margin-left:279.25pt;margin-top:36.05pt;width:102.3pt;height:13.2pt;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" filled="f" stroked="f">
          <o:lock v:ext="edit" aspectratio="t" verticies="t" text="t" shapetype="t"/>
          <v:textbox inset="0,0,0,0">
            <w:txbxContent>
              <w:p w:rsidR="008142C4" w:rsidRDefault="003048D3">
                <w:pPr>
                  <w:spacing w:before="13"/>
                  <w:ind w:left="20"/>
                  <w:rPr>
                    <w:rFonts w:ascii="Arial"/>
                    <w:b/>
                    <w:sz w:val="20"/>
                  </w:rPr>
                </w:pPr>
                <w:r>
                  <w:rPr>
                    <w:rFonts w:ascii="Arial"/>
                    <w:b/>
                    <w:w w:val="110"/>
                    <w:sz w:val="20"/>
                  </w:rPr>
                  <w:t>Mental Retardation</w:t>
                </w:r>
              </w:p>
            </w:txbxContent>
          </v:textbox>
          <w10:wrap anchorx="page" anchory="page"/>
        </v:shape>
      </w:pict>
    </w:r>
    <w:r>
      <w:rPr>
        <w:noProof/>
      </w:rPr>
      <w:pict w14:anchorId="33ECCECF">
        <v:shape id="Text Box 1308" o:spid="_x0000_s2440" type="#_x0000_t202" style="position:absolute;margin-left:393.2pt;margin-top:34.15pt;width:18.7pt;height:15.1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" filled="f" stroked="f">
          <o:lock v:ext="edit" aspectratio="t" verticies="t" text="t" shapetype="t"/>
          <v:textbox inset="0,0,0,0">
            <w:txbxContent>
              <w:p w:rsidR="008142C4" w:rsidRDefault="003048D3">
                <w:pPr>
                  <w:spacing w:before="51"/>
                  <w:ind w:left="60"/>
                  <w:rPr>
                    <w:rFonts w:ascii="Arial"/>
                    <w:b/>
                    <w:sz w:val="20"/>
                  </w:rPr>
                </w:pPr>
                <w:r>
                  <w:fldChar w:fldCharType="begin"/>
                </w:r>
                <w:r>
                  <w:rPr>
                    <w:rFonts w:ascii="Arial"/>
                    <w:b/>
                    <w:w w:val="110"/>
                    <w:sz w:val="20"/>
                  </w:rPr>
                  <w:instrText xml:space="preserve"> PAGE </w:instrText>
                </w:r>
                <w:r>
                  <w:fldChar w:fldCharType="separate"/>
                </w:r>
                <w:r>
                  <w:t>41</w:t>
                </w:r>
                <w:r>
                  <w:fldChar w:fldCharType="end"/>
                </w:r>
              </w:p>
            </w:txbxContent>
          </v:textbox>
          <w10:wrap anchorx="page" anchory="page"/>
        </v:shape>
      </w:pic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467E57CC">
        <v:shapetype id="_x0000_t202" coordsize="21600,21600" o:spt="202" path="m,l,21600r21600,l21600,xe">
          <v:stroke joinstyle="miter"/>
          <v:path gradientshapeok="t" o:connecttype="rect"/>
        </v:shapetype>
        <v:shape id="Text Box 1307" o:spid="_x0000_s2439" type="#_x0000_t202" style="position:absolute;margin-left:33.85pt;margin-top:33.8pt;width:17.4pt;height:14.2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" filled="f" stroked="f">
          <o:lock v:ext="edit" aspectratio="t" verticies="t" text="t" shapetype="t"/>
          <v:textbox inset="0,0,0,0">
            <w:txbxContent>
              <w:p w:rsidR="008142C4" w:rsidRDefault="003048D3">
                <w:pPr>
                  <w:spacing w:before="11"/>
                  <w:ind w:left="60"/>
                  <w:rPr>
                    <w:b/>
                  </w:rPr>
                </w:pPr>
                <w:r>
                  <w:fldChar w:fldCharType="begin"/>
                </w:r>
                <w:r>
                  <w:rPr>
                    <w:b/>
                    <w:w w:val="105"/>
                    <w:u w:val="thick"/>
                  </w:rPr>
                  <w:instrText xml:space="preserve"> PAGE </w:instrText>
                </w:r>
                <w:r>
                  <w:fldChar w:fldCharType="separate"/>
                </w:r>
                <w:r>
                  <w:t>42</w:t>
                </w:r>
                <w:r>
                  <w:fldChar w:fldCharType="end"/>
                </w:r>
              </w:p>
            </w:txbxContent>
          </v:textbox>
          <w10:wrap anchorx="page" anchory="page"/>
        </v:shape>
      </w:pict>
    </w:r>
    <w:r>
      <w:rPr>
        <w:noProof/>
      </w:rPr>
      <w:pict w14:anchorId="699D5A60">
        <v:shape id="Text Box 1306" o:spid="_x0000_s2438" type="#_x0000_t202" style="position:absolute;margin-left:63.8pt;margin-top:33.8pt;width:328.25pt;height:14.2pt;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" filled="f" stroked="f">
          <o:lock v:ext="edit" aspectratio="t" verticies="t" text="t" shapetype="t"/>
          <v:textbox inset="0,0,0,0">
            <w:txbxContent>
              <w:p w:rsidR="008142C4" w:rsidRDefault="003048D3">
                <w:pPr>
                  <w:spacing w:before="11"/>
                  <w:ind w:left="20"/>
                  <w:rPr>
                    <w:b/>
                  </w:rPr>
                </w:pPr>
                <w:r>
                  <w:rPr>
                    <w:b/>
                    <w:w w:val="110"/>
                    <w:u w:val="thick"/>
                  </w:rPr>
                  <w:t>Usually First Diagnosed in Infancy, Childhood, or Adolescence</w:t>
                </w:r>
              </w:p>
            </w:txbxContent>
          </v:textbox>
          <w10:wrap anchorx="page" anchory="page"/>
        </v:shape>
      </w:pic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0018EAF0">
        <v:line id="Line 1305" o:spid="_x0000_s2437" style="position:absolute;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15pt,49.6pt" to="410.4pt,49.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" strokeweight=".16958mm">
          <v:path arrowok="f"/>
          <o:lock v:ext="edit" aspectratio="t" verticies="t"/>
          <w10:wrap anchorx="page" anchory="page"/>
        </v:line>
      </w:pict>
    </w:r>
    <w:r>
      <w:rPr>
        <w:noProof/>
      </w:rPr>
      <w:pict w14:anchorId="3DD08046">
        <v:shapetype id="_x0000_t202" coordsize="21600,21600" o:spt="202" path="m,l,21600r21600,l21600,xe">
          <v:stroke joinstyle="miter"/>
          <v:path gradientshapeok="t" o:connecttype="rect"/>
        </v:shapetype>
        <v:shape id="Text Box 1304" o:spid="_x0000_s2436" type="#_x0000_t202" style="position:absolute;margin-left:279.95pt;margin-top:34.65pt;width:102.6pt;height:13.2pt;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" filled="f" stroked="f">
          <o:lock v:ext="edit" aspectratio="t" verticies="t" text="t" shapetype="t"/>
          <v:textbox inset="0,0,0,0">
            <w:txbxContent>
              <w:p w:rsidR="008142C4" w:rsidRDefault="003048D3">
                <w:pPr>
                  <w:spacing w:before="13"/>
                  <w:ind w:left="20"/>
                  <w:rPr>
                    <w:rFonts w:ascii="Arial"/>
                    <w:b/>
                    <w:sz w:val="20"/>
                  </w:rPr>
                </w:pPr>
                <w:r>
                  <w:rPr>
                    <w:rFonts w:ascii="Arial"/>
                    <w:b/>
                    <w:w w:val="115"/>
                    <w:sz w:val="20"/>
                  </w:rPr>
                  <w:t>Mental</w:t>
                </w:r>
                <w:r>
                  <w:rPr>
                    <w:rFonts w:ascii="Arial"/>
                    <w:b/>
                    <w:spacing w:val="-52"/>
                    <w:w w:val="115"/>
                    <w:sz w:val="20"/>
                  </w:rPr>
                  <w:t xml:space="preserve"> </w:t>
                </w:r>
                <w:r>
                  <w:rPr>
                    <w:rFonts w:ascii="Arial"/>
                    <w:b/>
                    <w:w w:val="115"/>
                    <w:sz w:val="20"/>
                  </w:rPr>
                  <w:t>Retardation</w:t>
                </w:r>
              </w:p>
            </w:txbxContent>
          </v:textbox>
          <w10:wrap anchorx="page" anchory="page"/>
        </v:shape>
      </w:pict>
    </w:r>
    <w:r>
      <w:rPr>
        <w:noProof/>
      </w:rPr>
      <w:pict w14:anchorId="0C5E550F">
        <v:shape id="Text Box 1303" o:spid="_x0000_s2435" type="#_x0000_t202" style="position:absolute;margin-left:395.95pt;margin-top:34.15pt;width:14.55pt;height:13.75pt;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" filled="f" stroked="f">
          <o:lock v:ext="edit" aspectratio="t" verticies="t" text="t" shapetype="t"/>
          <v:textbox inset="0,0,0,0">
            <w:txbxContent>
              <w:p w:rsidR="008142C4" w:rsidRDefault="003048D3">
                <w:pPr>
                  <w:spacing w:before="13"/>
                  <w:ind w:left="20"/>
                  <w:rPr>
                    <w:rFonts w:ascii="Arial"/>
                    <w:b/>
                    <w:sz w:val="21"/>
                  </w:rPr>
                </w:pPr>
                <w:r>
                  <w:rPr>
                    <w:rFonts w:ascii="Arial"/>
                    <w:b/>
                    <w:w w:val="105"/>
                    <w:sz w:val="21"/>
                  </w:rPr>
                  <w:t>43</w:t>
                </w:r>
              </w:p>
            </w:txbxContent>
          </v:textbox>
          <w10:wrap anchorx="page" anchory="page"/>
        </v:shape>
      </w:pic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3F8CED9F">
        <v:line id="Line 1302" o:spid="_x0000_s2434" style="position:absolute;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25pt,50.55pt" to="411.5pt,50.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" strokeweight=".25436mm">
          <v:path arrowok="f"/>
          <o:lock v:ext="edit" aspectratio="t" verticies="t"/>
          <w10:wrap anchorx="page" anchory="page"/>
        </v:line>
      </w:pict>
    </w:r>
    <w:r>
      <w:rPr>
        <w:noProof/>
      </w:rPr>
      <w:pict w14:anchorId="2980A314">
        <v:shapetype id="_x0000_t202" coordsize="21600,21600" o:spt="202" path="m,l,21600r21600,l21600,xe">
          <v:stroke joinstyle="miter"/>
          <v:path gradientshapeok="t" o:connecttype="rect"/>
        </v:shapetype>
        <v:shape id="Text Box 1301" o:spid="_x0000_s2433" type="#_x0000_t202" style="position:absolute;margin-left:34.45pt;margin-top:33.15pt;width:18.45pt;height:15.65pt;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" filled="f" stroked="f">
          <o:lock v:ext="edit" aspectratio="t" verticies="t" text="t" shapetype="t"/>
          <v:textbox inset="0,0,0,0">
            <w:txbxContent>
              <w:p w:rsidR="008142C4" w:rsidRDefault="003048D3">
                <w:pPr>
                  <w:spacing w:before="11"/>
                  <w:ind w:left="64"/>
                  <w:rPr>
                    <w:b/>
                  </w:rPr>
                </w:pPr>
                <w:r>
                  <w:fldChar w:fldCharType="begin"/>
                </w:r>
                <w:r>
                  <w:rPr>
                    <w:b/>
                    <w:w w:val="110"/>
                  </w:rPr>
                  <w:instrText xml:space="preserve"> PAGE </w:instrText>
                </w:r>
                <w:r>
                  <w:fldChar w:fldCharType="separate"/>
                </w:r>
                <w:r>
                  <w:t>46</w:t>
                </w:r>
                <w:r>
                  <w:fldChar w:fldCharType="end"/>
                </w:r>
              </w:p>
            </w:txbxContent>
          </v:textbox>
          <w10:wrap anchorx="page" anchory="page"/>
        </v:shape>
      </w:pict>
    </w:r>
    <w:r>
      <w:rPr>
        <w:noProof/>
      </w:rPr>
      <w:pict w14:anchorId="37EA79EC">
        <v:shape id="Text Box 1300" o:spid="_x0000_s2432" type="#_x0000_t202" style="position:absolute;margin-left:64.55pt;margin-top:33.15pt;width:327.25pt;height:14.2pt;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" filled="f" stroked="f">
          <o:lock v:ext="edit" aspectratio="t" verticies="t" text="t" shapetype="t"/>
          <v:textbox inset="0,0,0,0">
            <w:txbxContent>
              <w:p w:rsidR="008142C4" w:rsidRDefault="003048D3">
                <w:pPr>
                  <w:spacing w:before="11"/>
                  <w:ind w:left="20"/>
                  <w:rPr>
                    <w:b/>
                  </w:rPr>
                </w:pPr>
                <w:r>
                  <w:rPr>
                    <w:b/>
                    <w:w w:val="110"/>
                  </w:rPr>
                  <w:t>Usually First Diagnosed in Infancy, Childhood, or Adolescence</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rPr>
        <w:sz w:val="2"/>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48EE7B0F">
        <v:line id="Line 1299" o:spid="_x0000_s2431" style="position:absolute;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55pt,50.45pt" to="411.8pt,50.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" strokeweight=".16958mm">
          <v:path arrowok="f"/>
          <o:lock v:ext="edit" aspectratio="t" verticies="t"/>
          <w10:wrap anchorx="page" anchory="page"/>
        </v:line>
      </w:pict>
    </w:r>
    <w:r>
      <w:rPr>
        <w:noProof/>
      </w:rPr>
      <w:pict w14:anchorId="0BB75347">
        <v:shapetype id="_x0000_t202" coordsize="21600,21600" o:spt="202" path="m,l,21600r21600,l21600,xe">
          <v:stroke joinstyle="miter"/>
          <v:path gradientshapeok="t" o:connecttype="rect"/>
        </v:shapetype>
        <v:shape id="Text Box 1298" o:spid="_x0000_s2430" type="#_x0000_t202" style="position:absolute;margin-left:282.75pt;margin-top:33.75pt;width:101.2pt;height:14.2pt;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" filled="f" stroked="f">
          <o:lock v:ext="edit" aspectratio="t" verticies="t" text="t" shapetype="t"/>
          <v:textbox inset="0,0,0,0">
            <w:txbxContent>
              <w:p w:rsidR="008142C4" w:rsidRDefault="003048D3">
                <w:pPr>
                  <w:spacing w:before="11"/>
                  <w:ind w:left="20"/>
                  <w:rPr>
                    <w:b/>
                  </w:rPr>
                </w:pPr>
                <w:r>
                  <w:rPr>
                    <w:b/>
                    <w:w w:val="105"/>
                  </w:rPr>
                  <w:t>Mental Retardation</w:t>
                </w:r>
              </w:p>
            </w:txbxContent>
          </v:textbox>
          <w10:wrap anchorx="page" anchory="page"/>
        </v:shape>
      </w:pict>
    </w:r>
    <w:r>
      <w:rPr>
        <w:noProof/>
      </w:rPr>
      <w:pict w14:anchorId="56F5ACC8">
        <v:shape id="Text Box 1297" o:spid="_x0000_s2429" type="#_x0000_t202" style="position:absolute;margin-left:398.15pt;margin-top:33.75pt;width:13.8pt;height:14.2pt;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" filled="f" stroked="f">
          <o:lock v:ext="edit" aspectratio="t" verticies="t" text="t" shapetype="t"/>
          <v:textbox inset="0,0,0,0">
            <w:txbxContent>
              <w:p w:rsidR="008142C4" w:rsidRDefault="003048D3">
                <w:pPr>
                  <w:spacing w:before="11"/>
                  <w:ind w:left="20"/>
                  <w:rPr>
                    <w:b/>
                  </w:rPr>
                </w:pPr>
                <w:r>
                  <w:rPr>
                    <w:b/>
                    <w:w w:val="105"/>
                  </w:rPr>
                  <w:t>45</w:t>
                </w:r>
              </w:p>
            </w:txbxContent>
          </v:textbox>
          <w10:wrap anchorx="page" anchory="page"/>
        </v:shape>
      </w:pic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153598A3">
        <v:line id="Line 1296" o:spid="_x0000_s2428" style="position:absolute;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5pt,49.7pt" to="410.75pt,49.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" strokeweight=".16958mm">
          <v:path arrowok="f"/>
          <o:lock v:ext="edit" aspectratio="t" verticies="t"/>
          <w10:wrap anchorx="page" anchory="page"/>
        </v:line>
      </w:pict>
    </w:r>
    <w:r>
      <w:rPr>
        <w:noProof/>
      </w:rPr>
      <w:pict w14:anchorId="34CBB053">
        <v:shapetype id="_x0000_t202" coordsize="21600,21600" o:spt="202" path="m,l,21600r21600,l21600,xe">
          <v:stroke joinstyle="miter"/>
          <v:path gradientshapeok="t" o:connecttype="rect"/>
        </v:shapetype>
        <v:shape id="Text Box 1295" o:spid="_x0000_s2427" type="#_x0000_t202" style="position:absolute;margin-left:280.6pt;margin-top:33.85pt;width:102.15pt;height:14.2pt;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" filled="f" stroked="f">
          <o:lock v:ext="edit" aspectratio="t" verticies="t" text="t" shapetype="t"/>
          <v:textbox inset="0,0,0,0">
            <w:txbxContent>
              <w:p w:rsidR="008142C4" w:rsidRDefault="003048D3">
                <w:pPr>
                  <w:spacing w:before="11"/>
                  <w:ind w:left="20"/>
                  <w:rPr>
                    <w:b/>
                  </w:rPr>
                </w:pPr>
                <w:r>
                  <w:rPr>
                    <w:b/>
                    <w:w w:val="110"/>
                  </w:rPr>
                  <w:t>Learning</w:t>
                </w:r>
                <w:r>
                  <w:rPr>
                    <w:b/>
                    <w:spacing w:val="-20"/>
                    <w:w w:val="110"/>
                  </w:rPr>
                  <w:t xml:space="preserve"> </w:t>
                </w:r>
                <w:r>
                  <w:rPr>
                    <w:b/>
                    <w:w w:val="110"/>
                  </w:rPr>
                  <w:t>Disorders</w:t>
                </w:r>
              </w:p>
            </w:txbxContent>
          </v:textbox>
          <w10:wrap anchorx="page" anchory="page"/>
        </v:shape>
      </w:pict>
    </w:r>
    <w:r>
      <w:rPr>
        <w:noProof/>
      </w:rPr>
      <w:pict w14:anchorId="7311C5B1">
        <v:shape id="Text Box 1294" o:spid="_x0000_s2426" type="#_x0000_t202" style="position:absolute;margin-left:397.2pt;margin-top:33.85pt;width:14.15pt;height:14.2pt;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" filled="f" stroked="f">
          <o:lock v:ext="edit" aspectratio="t" verticies="t" text="t" shapetype="t"/>
          <v:textbox inset="0,0,0,0">
            <w:txbxContent>
              <w:p w:rsidR="008142C4" w:rsidRDefault="003048D3">
                <w:pPr>
                  <w:spacing w:before="11"/>
                  <w:ind w:left="20"/>
                  <w:rPr>
                    <w:b/>
                  </w:rPr>
                </w:pPr>
                <w:r>
                  <w:rPr>
                    <w:b/>
                    <w:w w:val="110"/>
                  </w:rPr>
                  <w:t>47</w:t>
                </w:r>
              </w:p>
            </w:txbxContent>
          </v:textbox>
          <w10:wrap anchorx="page" anchory="page"/>
        </v:shape>
      </w:pic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2E52597E">
        <v:shapetype id="_x0000_t202" coordsize="21600,21600" o:spt="202" path="m,l,21600r21600,l21600,xe">
          <v:stroke joinstyle="miter"/>
          <v:path gradientshapeok="t" o:connecttype="rect"/>
        </v:shapetype>
        <v:shape id="Text Box 1293" o:spid="_x0000_s2425" type="#_x0000_t202" style="position:absolute;margin-left:35pt;margin-top:32.2pt;width:17.85pt;height:15.8pt;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" filled="f" stroked="f">
          <o:lock v:ext="edit" aspectratio="t" verticies="t" text="t" shapetype="t"/>
          <v:textbox inset="0,0,0,0">
            <w:txbxContent>
              <w:p w:rsidR="008142C4" w:rsidRDefault="003048D3">
                <w:pPr>
                  <w:spacing w:before="11"/>
                  <w:ind w:left="60"/>
                  <w:rPr>
                    <w:b/>
                  </w:rPr>
                </w:pPr>
                <w:r>
                  <w:rPr>
                    <w:b/>
                    <w:u w:val="thick"/>
                  </w:rPr>
                  <w:t>50</w:t>
                </w:r>
              </w:p>
            </w:txbxContent>
          </v:textbox>
          <w10:wrap anchorx="page" anchory="page"/>
        </v:shape>
      </w:pict>
    </w:r>
    <w:r>
      <w:rPr>
        <w:noProof/>
      </w:rPr>
      <w:pict w14:anchorId="6417C19E">
        <v:shape id="Text Box 1292" o:spid="_x0000_s2424" type="#_x0000_t202" style="position:absolute;margin-left:64.75pt;margin-top:32.2pt;width:327.75pt;height:14.2pt;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" filled="f" stroked="f">
          <o:lock v:ext="edit" aspectratio="t" verticies="t" text="t" shapetype="t"/>
          <v:textbox inset="0,0,0,0">
            <w:txbxContent>
              <w:p w:rsidR="008142C4" w:rsidRDefault="003048D3">
                <w:pPr>
                  <w:spacing w:before="11"/>
                  <w:ind w:left="20"/>
                  <w:rPr>
                    <w:b/>
                  </w:rPr>
                </w:pPr>
                <w:r>
                  <w:rPr>
                    <w:b/>
                    <w:w w:val="110"/>
                    <w:u w:val="thick"/>
                  </w:rPr>
                  <w:t>Usually First Diagnosed in Infancy, Childhood, or Adolescence</w:t>
                </w:r>
              </w:p>
            </w:txbxContent>
          </v:textbox>
          <w10:wrap anchorx="page" anchory="page"/>
        </v:shape>
      </w:pic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700B7EF0">
        <v:line id="Line 1291" o:spid="_x0000_s2423" style="position:absolute;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5pt,49.7pt" to="409.75pt,49.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" strokeweight=".25436mm">
          <v:path arrowok="f"/>
          <o:lock v:ext="edit" aspectratio="t" verticies="t"/>
          <w10:wrap anchorx="page" anchory="page"/>
        </v:line>
      </w:pict>
    </w:r>
    <w:r>
      <w:rPr>
        <w:noProof/>
      </w:rPr>
      <w:pict w14:anchorId="6593FA69">
        <v:shapetype id="_x0000_t202" coordsize="21600,21600" o:spt="202" path="m,l,21600r21600,l21600,xe">
          <v:stroke joinstyle="miter"/>
          <v:path gradientshapeok="t" o:connecttype="rect"/>
        </v:shapetype>
        <v:shape id="Text Box 1290" o:spid="_x0000_s2422" type="#_x0000_t202" style="position:absolute;margin-left:247.9pt;margin-top:33.85pt;width:133.95pt;height:14.2pt;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" filled="f" stroked="f">
          <o:lock v:ext="edit" aspectratio="t" verticies="t" text="t" shapetype="t"/>
          <v:textbox inset="0,0,0,0">
            <w:txbxContent>
              <w:p w:rsidR="008142C4" w:rsidRDefault="003048D3">
                <w:pPr>
                  <w:spacing w:before="11"/>
                  <w:ind w:left="20"/>
                  <w:rPr>
                    <w:b/>
                  </w:rPr>
                </w:pPr>
                <w:r>
                  <w:rPr>
                    <w:b/>
                    <w:w w:val="110"/>
                  </w:rPr>
                  <w:t>315.00 Readi</w:t>
                </w:r>
                <w:r>
                  <w:rPr>
                    <w:b/>
                    <w:w w:val="110"/>
                  </w:rPr>
                  <w:t>ng Disorder</w:t>
                </w:r>
              </w:p>
            </w:txbxContent>
          </v:textbox>
          <w10:wrap anchorx="page" anchory="page"/>
        </v:shape>
      </w:pict>
    </w:r>
    <w:r>
      <w:rPr>
        <w:noProof/>
      </w:rPr>
      <w:pict w14:anchorId="14FC2BDC">
        <v:shape id="Text Box 1289" o:spid="_x0000_s2421" type="#_x0000_t202" style="position:absolute;margin-left:395.95pt;margin-top:33.85pt;width:14.15pt;height:14.2pt;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" filled="f" stroked="f">
          <o:lock v:ext="edit" aspectratio="t" verticies="t" text="t" shapetype="t"/>
          <v:textbox inset="0,0,0,0">
            <w:txbxContent>
              <w:p w:rsidR="008142C4" w:rsidRDefault="003048D3">
                <w:pPr>
                  <w:spacing w:before="11"/>
                  <w:ind w:left="20"/>
                  <w:rPr>
                    <w:b/>
                  </w:rPr>
                </w:pPr>
                <w:r>
                  <w:rPr>
                    <w:b/>
                    <w:w w:val="110"/>
                  </w:rPr>
                  <w:t>49</w:t>
                </w:r>
              </w:p>
            </w:txbxContent>
          </v:textbox>
          <w10:wrap anchorx="page" anchory="page"/>
        </v:shape>
      </w:pic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7D937641">
        <v:shapetype id="_x0000_t202" coordsize="21600,21600" o:spt="202" path="m,l,21600r21600,l21600,xe">
          <v:stroke joinstyle="miter"/>
          <v:path gradientshapeok="t" o:connecttype="rect"/>
        </v:shapetype>
        <v:shape id="Text Box 1288" o:spid="_x0000_s2420" type="#_x0000_t202" style="position:absolute;margin-left:35pt;margin-top:31.85pt;width:16.95pt;height:14.2pt;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" filled="f" stroked="f">
          <o:lock v:ext="edit" aspectratio="t" verticies="t" text="t" shapetype="t"/>
          <v:textbox inset="0,0,0,0">
            <w:txbxContent>
              <w:p w:rsidR="008142C4" w:rsidRDefault="003048D3">
                <w:pPr>
                  <w:spacing w:before="11"/>
                  <w:ind w:left="60"/>
                  <w:rPr>
                    <w:b/>
                  </w:rPr>
                </w:pPr>
                <w:r>
                  <w:rPr>
                    <w:b/>
                    <w:u w:val="thick"/>
                  </w:rPr>
                  <w:t>50</w:t>
                </w:r>
              </w:p>
            </w:txbxContent>
          </v:textbox>
          <w10:wrap anchorx="page" anchory="page"/>
        </v:shape>
      </w:pict>
    </w:r>
    <w:r>
      <w:rPr>
        <w:noProof/>
      </w:rPr>
      <w:pict w14:anchorId="25AB6B28">
        <v:shape id="Text Box 1287" o:spid="_x0000_s2419" type="#_x0000_t202" style="position:absolute;margin-left:64.75pt;margin-top:31.85pt;width:327.75pt;height:14.2pt;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" filled="f" stroked="f">
          <o:lock v:ext="edit" aspectratio="t" verticies="t" text="t" shapetype="t"/>
          <v:textbox inset="0,0,0,0">
            <w:txbxContent>
              <w:p w:rsidR="008142C4" w:rsidRDefault="003048D3">
                <w:pPr>
                  <w:spacing w:before="11"/>
                  <w:ind w:left="20"/>
                  <w:rPr>
                    <w:b/>
                  </w:rPr>
                </w:pPr>
                <w:r>
                  <w:rPr>
                    <w:b/>
                    <w:w w:val="110"/>
                    <w:u w:val="thick"/>
                  </w:rPr>
                  <w:t>Usually First Diagnosed in Infancy, Childhood, or Adolescence</w:t>
                </w:r>
              </w:p>
            </w:txbxContent>
          </v:textbox>
          <w10:wrap anchorx="page" anchory="page"/>
        </v:shape>
      </w:pic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7C733983">
        <v:line id="Line 1286" o:spid="_x0000_s2418" style="position:absolute;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5pt,48.65pt" to="409.75pt,48.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" strokeweight=".16958mm">
          <v:path arrowok="f"/>
          <o:lock v:ext="edit" aspectratio="t" verticies="t"/>
          <w10:wrap anchorx="page" anchory="page"/>
        </v:line>
      </w:pict>
    </w:r>
    <w:r>
      <w:rPr>
        <w:noProof/>
      </w:rPr>
      <w:pict w14:anchorId="7974ABFD">
        <v:shapetype id="_x0000_t202" coordsize="21600,21600" o:spt="202" path="m,l,21600r21600,l21600,xe">
          <v:stroke joinstyle="miter"/>
          <v:path gradientshapeok="t" o:connecttype="rect"/>
        </v:shapetype>
        <v:shape id="Text Box 1285" o:spid="_x0000_s2417" type="#_x0000_t202" style="position:absolute;margin-left:181.3pt;margin-top:32.75pt;width:200.7pt;height:14.2pt;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" filled="f" stroked="f">
          <o:lock v:ext="edit" aspectratio="t" verticies="t" text="t" shapetype="t"/>
          <v:textbox inset="0,0,0,0">
            <w:txbxContent>
              <w:p w:rsidR="008142C4" w:rsidRDefault="003048D3">
                <w:pPr>
                  <w:spacing w:before="11"/>
                  <w:ind w:left="20"/>
                  <w:rPr>
                    <w:b/>
                  </w:rPr>
                </w:pPr>
                <w:r>
                  <w:rPr>
                    <w:b/>
                    <w:w w:val="110"/>
                  </w:rPr>
                  <w:t>315.2 Disorder of Written Expression</w:t>
                </w:r>
              </w:p>
            </w:txbxContent>
          </v:textbox>
          <w10:wrap anchorx="page" anchory="page"/>
        </v:shape>
      </w:pict>
    </w:r>
    <w:r>
      <w:rPr>
        <w:noProof/>
      </w:rPr>
      <w:pict w14:anchorId="6EACEE09">
        <v:shape id="Text Box 1284" o:spid="_x0000_s2416" type="#_x0000_t202" style="position:absolute;margin-left:396.35pt;margin-top:32.75pt;width:14.5pt;height:14.2pt;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" filled="f" stroked="f">
          <o:lock v:ext="edit" aspectratio="t" verticies="t" text="t" shapetype="t"/>
          <v:textbox inset="0,0,0,0">
            <w:txbxContent>
              <w:p w:rsidR="008142C4" w:rsidRDefault="003048D3">
                <w:pPr>
                  <w:spacing w:before="11"/>
                  <w:ind w:left="20"/>
                  <w:rPr>
                    <w:b/>
                  </w:rPr>
                </w:pPr>
                <w:r>
                  <w:rPr>
                    <w:b/>
                    <w:w w:val="115"/>
                  </w:rPr>
                  <w:t>51</w:t>
                </w:r>
              </w:p>
            </w:txbxContent>
          </v:textbox>
          <w10:wrap anchorx="page" anchory="page"/>
        </v:shape>
      </w:pic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7BC111AD">
        <v:line id="Line 1283" o:spid="_x0000_s2415" style="position:absolute;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15pt,49.2pt" to="410.4pt,49.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" strokeweight=".16958mm">
          <v:path arrowok="f"/>
          <o:lock v:ext="edit" aspectratio="t" verticies="t"/>
          <w10:wrap anchorx="page" anchory="page"/>
        </v:line>
      </w:pict>
    </w:r>
    <w:r>
      <w:rPr>
        <w:noProof/>
      </w:rPr>
      <w:pict w14:anchorId="407868E6">
        <v:shapetype id="_x0000_t202" coordsize="21600,21600" o:spt="202" path="m,l,21600r21600,l21600,xe">
          <v:stroke joinstyle="miter"/>
          <v:path gradientshapeok="t" o:connecttype="rect"/>
        </v:shapetype>
        <v:shape id="Text Box 1282" o:spid="_x0000_s2414" type="#_x0000_t202" style="position:absolute;margin-left:34.75pt;margin-top:32.6pt;width:19.8pt;height:14.2pt;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" filled="f" stroked="f">
          <o:lock v:ext="edit" aspectratio="t" verticies="t" text="t" shapetype="t"/>
          <v:textbox inset="0,0,0,0">
            <w:txbxContent>
              <w:p w:rsidR="008142C4" w:rsidRDefault="003048D3">
                <w:pPr>
                  <w:spacing w:before="11"/>
                  <w:ind w:left="104"/>
                  <w:rPr>
                    <w:b/>
                  </w:rPr>
                </w:pPr>
                <w:r>
                  <w:rPr>
                    <w:b/>
                    <w:w w:val="105"/>
                  </w:rPr>
                  <w:t>54</w:t>
                </w:r>
              </w:p>
            </w:txbxContent>
          </v:textbox>
          <w10:wrap anchorx="page" anchory="page"/>
        </v:shape>
      </w:pict>
    </w:r>
    <w:r>
      <w:rPr>
        <w:noProof/>
      </w:rPr>
      <w:pict w14:anchorId="4C5CCF8F">
        <v:shape id="Text Box 1281" o:spid="_x0000_s2413" type="#_x0000_t202" style="position:absolute;margin-left:66.5pt;margin-top:32.6pt;width:327.75pt;height:14.2pt;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" filled="f" stroked="f">
          <o:lock v:ext="edit" aspectratio="t" verticies="t" text="t" shapetype="t"/>
          <v:textbox inset="0,0,0,0">
            <w:txbxContent>
              <w:p w:rsidR="008142C4" w:rsidRDefault="003048D3">
                <w:pPr>
                  <w:spacing w:before="11"/>
                  <w:ind w:left="20"/>
                  <w:rPr>
                    <w:b/>
                  </w:rPr>
                </w:pPr>
                <w:r>
                  <w:rPr>
                    <w:b/>
                    <w:w w:val="110"/>
                  </w:rPr>
                  <w:t>Usually First Diagnosed in Infancy, Childhood, or Adolescence</w:t>
                </w:r>
              </w:p>
            </w:txbxContent>
          </v:textbox>
          <w10:wrap anchorx="page" anchory="page"/>
        </v:shape>
      </w:pic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4C0CFE1C">
        <v:line id="Line 1277" o:spid="_x0000_s2412" style="position:absolute;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6pt,49.7pt" to="411.85pt,49.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" strokeweight=".25436mm">
          <v:path arrowok="f"/>
          <o:lock v:ext="edit" aspectratio="t" verticies="t"/>
          <w10:wrap anchorx="page" anchory="page"/>
        </v:line>
      </w:pict>
    </w:r>
    <w:r>
      <w:rPr>
        <w:noProof/>
      </w:rPr>
      <w:pict w14:anchorId="76EDD52A">
        <v:shapetype id="_x0000_t202" coordsize="21600,21600" o:spt="202" path="m,l,21600r21600,l21600,xe">
          <v:stroke joinstyle="miter"/>
          <v:path gradientshapeok="t" o:connecttype="rect"/>
        </v:shapetype>
        <v:shape id="Text Box 1276" o:spid="_x0000_s2411" type="#_x0000_t202" style="position:absolute;margin-left:36.45pt;margin-top:33.45pt;width:17.6pt;height:14.2pt;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" filled="f" stroked="f">
          <o:lock v:ext="edit" aspectratio="t" verticies="t" text="t" shapetype="t"/>
          <v:textbox inset="0,0,0,0">
            <w:txbxContent>
              <w:p w:rsidR="008142C4" w:rsidRDefault="003048D3">
                <w:pPr>
                  <w:spacing w:before="11"/>
                  <w:ind w:left="60"/>
                  <w:rPr>
                    <w:b/>
                  </w:rPr>
                </w:pPr>
                <w:r>
                  <w:fldChar w:fldCharType="begin"/>
                </w:r>
                <w:r>
                  <w:rPr>
                    <w:b/>
                    <w:w w:val="105"/>
                  </w:rPr>
                  <w:instrText xml:space="preserve"> PAGE </w:instrText>
                </w:r>
                <w:r>
                  <w:fldChar w:fldCharType="separate"/>
                </w:r>
                <w:r>
                  <w:t>54</w:t>
                </w:r>
                <w:r>
                  <w:fldChar w:fldCharType="end"/>
                </w:r>
              </w:p>
            </w:txbxContent>
          </v:textbox>
          <w10:wrap anchorx="page" anchory="page"/>
        </v:shape>
      </w:pict>
    </w:r>
    <w:r>
      <w:rPr>
        <w:noProof/>
      </w:rPr>
      <w:pict w14:anchorId="12E859D8">
        <v:shape id="Text Box 1275" o:spid="_x0000_s2410" type="#_x0000_t202" style="position:absolute;margin-left:66pt;margin-top:33.45pt;width:327.75pt;height:14.2pt;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" filled="f" stroked="f">
          <o:lock v:ext="edit" aspectratio="t" verticies="t" text="t" shapetype="t"/>
          <v:textbox inset="0,0,0,0">
            <w:txbxContent>
              <w:p w:rsidR="008142C4" w:rsidRDefault="003048D3">
                <w:pPr>
                  <w:spacing w:before="11"/>
                  <w:ind w:left="20"/>
                  <w:rPr>
                    <w:b/>
                  </w:rPr>
                </w:pPr>
                <w:r>
                  <w:rPr>
                    <w:b/>
                    <w:w w:val="110"/>
                  </w:rPr>
                  <w:t>Usually First Diagnosed in Infancy, Childhood, or Adolescence</w:t>
                </w:r>
              </w:p>
            </w:txbxContent>
          </v:textbox>
          <w10:wrap anchorx="page" anchory="page"/>
        </v:shape>
      </w:pic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2696F9C5">
        <v:line id="Line 1280" o:spid="_x0000_s2409" style="position:absolute;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55pt,49.25pt" to="410.8pt,49.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" strokeweight=".16956mm">
          <v:path arrowok="f"/>
          <o:lock v:ext="edit" aspectratio="t" verticies="t"/>
          <w10:wrap anchorx="page" anchory="page"/>
        </v:line>
      </w:pict>
    </w:r>
    <w:r>
      <w:rPr>
        <w:noProof/>
      </w:rPr>
      <w:pict w14:anchorId="4AE7E4A5">
        <v:shapetype id="_x0000_t202" coordsize="21600,21600" o:spt="202" path="m,l,21600r21600,l21600,xe">
          <v:stroke joinstyle="miter"/>
          <v:path gradientshapeok="t" o:connecttype="rect"/>
        </v:shapetype>
        <v:shape id="Text Box 1279" o:spid="_x0000_s2408" type="#_x0000_t202" style="position:absolute;margin-left:144.6pt;margin-top:33.15pt;width:237.85pt;height:14.2pt;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" filled="f" stroked="f">
          <o:lock v:ext="edit" aspectratio="t" verticies="t" text="t" shapetype="t"/>
          <v:textbox inset="0,0,0,0">
            <w:txbxContent>
              <w:p w:rsidR="008142C4" w:rsidRDefault="003048D3">
                <w:pPr>
                  <w:spacing w:before="11"/>
                  <w:ind w:left="20"/>
                  <w:rPr>
                    <w:b/>
                  </w:rPr>
                </w:pPr>
                <w:r>
                  <w:rPr>
                    <w:b/>
                    <w:w w:val="110"/>
                  </w:rPr>
                  <w:t>315.4 Developmental Coordination Disorder</w:t>
                </w:r>
              </w:p>
            </w:txbxContent>
          </v:textbox>
          <w10:wrap anchorx="page" anchory="page"/>
        </v:shape>
      </w:pict>
    </w:r>
    <w:r>
      <w:rPr>
        <w:noProof/>
      </w:rPr>
      <w:pict w14:anchorId="144F5574">
        <v:shape id="Text Box 1278" o:spid="_x0000_s2407" type="#_x0000_t202" style="position:absolute;margin-left:394.95pt;margin-top:33.15pt;width:18.15pt;height:14.2pt;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" filled="f" stroked="f">
          <o:lock v:ext="edit" aspectratio="t" verticies="t" text="t" shapetype="t"/>
          <v:textbox inset="0,0,0,0">
            <w:txbxContent>
              <w:p w:rsidR="008142C4" w:rsidRDefault="003048D3">
                <w:pPr>
                  <w:spacing w:before="11"/>
                  <w:ind w:left="60"/>
                  <w:rPr>
                    <w:b/>
                  </w:rPr>
                </w:pPr>
                <w:r>
                  <w:fldChar w:fldCharType="begin"/>
                </w:r>
                <w:r>
                  <w:rPr>
                    <w:b/>
                    <w:w w:val="110"/>
                  </w:rPr>
                  <w:instrText xml:space="preserve"> PAGE </w:instrText>
                </w:r>
                <w:r>
                  <w:fldChar w:fldCharType="separate"/>
                </w:r>
                <w:r>
                  <w:t>53</w:t>
                </w:r>
                <w:r>
                  <w:fldChar w:fldCharType="end"/>
                </w:r>
              </w:p>
            </w:txbxContent>
          </v:textbox>
          <w10:wrap anchorx="page" anchory="page"/>
        </v:shape>
      </w:pic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05D29F73">
        <v:line id="Line 1271" o:spid="_x0000_s2406" style="position:absolute;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05pt,50.4pt" to="412.35pt,5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" strokeweight=".25436mm">
          <v:path arrowok="f"/>
          <o:lock v:ext="edit" aspectratio="t" verticies="t"/>
          <w10:wrap anchorx="page" anchory="page"/>
        </v:line>
      </w:pict>
    </w:r>
    <w:r>
      <w:rPr>
        <w:noProof/>
      </w:rPr>
      <w:pict w14:anchorId="59A25662">
        <v:shapetype id="_x0000_t202" coordsize="21600,21600" o:spt="202" path="m,l,21600r21600,l21600,xe">
          <v:stroke joinstyle="miter"/>
          <v:path gradientshapeok="t" o:connecttype="rect"/>
        </v:shapetype>
        <v:shape id="Text Box 1270" o:spid="_x0000_s2405" type="#_x0000_t202" style="position:absolute;margin-left:38.2pt;margin-top:34.85pt;width:13.8pt;height:14.2pt;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" filled="f" stroked="f">
          <o:lock v:ext="edit" aspectratio="t" verticies="t" text="t" shapetype="t"/>
          <v:textbox inset="0,0,0,0">
            <w:txbxContent>
              <w:p w:rsidR="008142C4" w:rsidRDefault="003048D3">
                <w:pPr>
                  <w:spacing w:before="11"/>
                  <w:ind w:left="20"/>
                  <w:rPr>
                    <w:b/>
                  </w:rPr>
                </w:pPr>
                <w:r>
                  <w:rPr>
                    <w:b/>
                    <w:w w:val="105"/>
                  </w:rPr>
                  <w:t>56</w:t>
                </w:r>
              </w:p>
            </w:txbxContent>
          </v:textbox>
          <w10:wrap anchorx="page" anchory="page"/>
        </v:shape>
      </w:pict>
    </w:r>
    <w:r>
      <w:rPr>
        <w:noProof/>
      </w:rPr>
      <w:pict w14:anchorId="25AB4A50">
        <v:shape id="Text Box 1269" o:spid="_x0000_s2404" type="#_x0000_t202" style="position:absolute;margin-left:65.95pt;margin-top:34.85pt;width:327.5pt;height:14.2pt;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" filled="f" stroked="f">
          <o:lock v:ext="edit" aspectratio="t" verticies="t" text="t" shapetype="t"/>
          <v:textbox inset="0,0,0,0">
            <w:txbxContent>
              <w:p w:rsidR="008142C4" w:rsidRDefault="003048D3">
                <w:pPr>
                  <w:spacing w:before="11"/>
                  <w:ind w:left="20"/>
                  <w:rPr>
                    <w:b/>
                  </w:rPr>
                </w:pPr>
                <w:r>
                  <w:rPr>
                    <w:b/>
                    <w:w w:val="110"/>
                  </w:rPr>
                  <w:t>Usually First Diagnosed in Infancy, Childhood, or Adolescence</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rPr>
        <w:sz w:val="2"/>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06743A44">
        <v:line id="Line 1274" o:spid="_x0000_s2403" style="position:absolute;z-index:-25153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55pt,49.25pt" to="411.75pt,49.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" strokeweight=".16956mm">
          <v:path arrowok="f"/>
          <o:lock v:ext="edit" aspectratio="t" verticies="t"/>
          <w10:wrap anchorx="page" anchory="page"/>
        </v:line>
      </w:pict>
    </w:r>
    <w:r>
      <w:rPr>
        <w:noProof/>
      </w:rPr>
      <w:pict w14:anchorId="359EC8DA">
        <v:shapetype id="_x0000_t202" coordsize="21600,21600" o:spt="202" path="m,l,21600r21600,l21600,xe">
          <v:stroke joinstyle="miter"/>
          <v:path gradientshapeok="t" o:connecttype="rect"/>
        </v:shapetype>
        <v:shape id="Text Box 1273" o:spid="_x0000_s2402" type="#_x0000_t202" style="position:absolute;margin-left:182.45pt;margin-top:33.25pt;width:200.9pt;height:14.2pt;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" filled="f" stroked="f">
          <o:lock v:ext="edit" aspectratio="t" verticies="t" text="t" shapetype="t"/>
          <v:textbox inset="0,0,0,0">
            <w:txbxContent>
              <w:p w:rsidR="008142C4" w:rsidRDefault="003048D3">
                <w:pPr>
                  <w:spacing w:before="11"/>
                  <w:ind w:left="20"/>
                  <w:rPr>
                    <w:b/>
                  </w:rPr>
                </w:pPr>
                <w:r>
                  <w:rPr>
                    <w:b/>
                    <w:w w:val="110"/>
                  </w:rPr>
                  <w:t>315.31 Expressive Language Disorder</w:t>
                </w:r>
              </w:p>
            </w:txbxContent>
          </v:textbox>
          <w10:wrap anchorx="page" anchory="page"/>
        </v:shape>
      </w:pict>
    </w:r>
    <w:r>
      <w:rPr>
        <w:noProof/>
      </w:rPr>
      <w:pict w14:anchorId="0A8CC509">
        <v:shape id="Text Box 1272" o:spid="_x0000_s2401" type="#_x0000_t202" style="position:absolute;margin-left:395.85pt;margin-top:33.15pt;width:18.15pt;height:14.3pt;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" filled="f" stroked="f">
          <o:lock v:ext="edit" aspectratio="t" verticies="t" text="t" shapetype="t"/>
          <v:textbox inset="0,0,0,0">
            <w:txbxContent>
              <w:p w:rsidR="008142C4" w:rsidRDefault="003048D3">
                <w:pPr>
                  <w:spacing w:before="12"/>
                  <w:ind w:left="60"/>
                  <w:rPr>
                    <w:b/>
                  </w:rPr>
                </w:pPr>
                <w:r>
                  <w:fldChar w:fldCharType="begin"/>
                </w:r>
                <w:r>
                  <w:rPr>
                    <w:b/>
                    <w:w w:val="110"/>
                  </w:rPr>
                  <w:instrText xml:space="preserve"> PAGE </w:instrText>
                </w:r>
                <w:r>
                  <w:fldChar w:fldCharType="separate"/>
                </w:r>
                <w:r>
                  <w:t>57</w:t>
                </w:r>
                <w:r>
                  <w:fldChar w:fldCharType="end"/>
                </w:r>
              </w:p>
            </w:txbxContent>
          </v:textbox>
          <w10:wrap anchorx="page" anchory="page"/>
        </v:shape>
      </w:pic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299EE293">
        <v:shapetype id="_x0000_t202" coordsize="21600,21600" o:spt="202" path="m,l,21600r21600,l21600,xe">
          <v:stroke joinstyle="miter"/>
          <v:path gradientshapeok="t" o:connecttype="rect"/>
        </v:shapetype>
        <v:shape id="Text Box 1268" o:spid="_x0000_s2400" type="#_x0000_t202" style="position:absolute;margin-left:32.9pt;margin-top:33.2pt;width:19.35pt;height:16.1pt;z-index:-25153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" filled="f" stroked="f">
          <o:lock v:ext="edit" aspectratio="t" verticies="t" text="t" shapetype="t"/>
          <v:textbox inset="0,0,0,0">
            <w:txbxContent>
              <w:p w:rsidR="008142C4" w:rsidRDefault="003048D3">
                <w:pPr>
                  <w:spacing w:before="48"/>
                  <w:ind w:left="60"/>
                  <w:rPr>
                    <w:b/>
                  </w:rPr>
                </w:pPr>
                <w:r>
                  <w:fldChar w:fldCharType="begin"/>
                </w:r>
                <w:r>
                  <w:rPr>
                    <w:b/>
                    <w:w w:val="120"/>
                    <w:u w:val="thick"/>
                  </w:rPr>
                  <w:instrText xml:space="preserve"> PAGE </w:instrText>
                </w:r>
                <w:r>
                  <w:fldChar w:fldCharType="separate"/>
                </w:r>
                <w:r>
                  <w:t>68</w:t>
                </w:r>
                <w:r>
                  <w:fldChar w:fldCharType="end"/>
                </w:r>
              </w:p>
            </w:txbxContent>
          </v:textbox>
          <w10:wrap anchorx="page" anchory="page"/>
        </v:shape>
      </w:pict>
    </w:r>
    <w:r>
      <w:rPr>
        <w:noProof/>
      </w:rPr>
      <w:pict w14:anchorId="57262B67">
        <v:shape id="Text Box 1267" o:spid="_x0000_s2399" type="#_x0000_t202" style="position:absolute;margin-left:62.7pt;margin-top:35.05pt;width:328pt;height:14.2pt;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" filled="f" stroked="f">
          <o:lock v:ext="edit" aspectratio="t" verticies="t" text="t" shapetype="t"/>
          <v:textbox inset="0,0,0,0">
            <w:txbxContent>
              <w:p w:rsidR="008142C4" w:rsidRDefault="003048D3">
                <w:pPr>
                  <w:spacing w:before="11"/>
                  <w:ind w:left="20"/>
                  <w:rPr>
                    <w:b/>
                  </w:rPr>
                </w:pPr>
                <w:r>
                  <w:rPr>
                    <w:b/>
                    <w:w w:val="110"/>
                    <w:u w:val="thick"/>
                  </w:rPr>
                  <w:t>Usually First Diagnosed in Infancy, Childhood, or Adolescence</w:t>
                </w:r>
              </w:p>
            </w:txbxContent>
          </v:textbox>
          <w10:wrap anchorx="page" anchory="page"/>
        </v:shape>
      </w:pic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0704E0DC">
        <v:line id="Line 1266" o:spid="_x0000_s2398" style="position:absolute;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1pt,49.35pt" to="411.5pt,49.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" strokeweight=".16958mm">
          <v:path arrowok="f"/>
          <o:lock v:ext="edit" aspectratio="t" verticies="t"/>
          <w10:wrap anchorx="page" anchory="page"/>
        </v:line>
      </w:pict>
    </w:r>
    <w:r>
      <w:rPr>
        <w:noProof/>
      </w:rPr>
      <w:pict w14:anchorId="0724FAAE">
        <v:shapetype id="_x0000_t202" coordsize="21600,21600" o:spt="202" path="m,l,21600r21600,l21600,xe">
          <v:stroke joinstyle="miter"/>
          <v:path gradientshapeok="t" o:connecttype="rect"/>
        </v:shapetype>
        <v:shape id="Text Box 1265" o:spid="_x0000_s2397" type="#_x0000_t202" style="position:absolute;margin-left:92.65pt;margin-top:34pt;width:289.45pt;height:14.2pt;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" filled="f" stroked="f">
          <o:lock v:ext="edit" aspectratio="t" verticies="t" text="t" shapetype="t"/>
          <v:textbox inset="0,0,0,0">
            <w:txbxContent>
              <w:p w:rsidR="008142C4" w:rsidRDefault="003048D3">
                <w:pPr>
                  <w:spacing w:before="11"/>
                  <w:ind w:left="20"/>
                  <w:rPr>
                    <w:b/>
                  </w:rPr>
                </w:pPr>
                <w:r>
                  <w:rPr>
                    <w:b/>
                    <w:w w:val="110"/>
                  </w:rPr>
                  <w:t>315.31 Mixed Receptive-Expressive Language Disorder</w:t>
                </w:r>
              </w:p>
            </w:txbxContent>
          </v:textbox>
          <w10:wrap anchorx="page" anchory="page"/>
        </v:shape>
      </w:pict>
    </w:r>
    <w:r>
      <w:rPr>
        <w:noProof/>
      </w:rPr>
      <w:pict w14:anchorId="3A287CE6">
        <v:shape id="Text Box 1264" o:spid="_x0000_s2396" type="#_x0000_t202" style="position:absolute;margin-left:394.6pt;margin-top:34pt;width:18.15pt;height:14.2pt;z-index:-25152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" filled="f" stroked="f">
          <o:lock v:ext="edit" aspectratio="t" verticies="t" text="t" shapetype="t"/>
          <v:textbox inset="0,0,0,0">
            <w:txbxContent>
              <w:p w:rsidR="008142C4" w:rsidRDefault="003048D3">
                <w:pPr>
                  <w:spacing w:before="11"/>
                  <w:ind w:left="60"/>
                  <w:rPr>
                    <w:b/>
                  </w:rPr>
                </w:pPr>
                <w:r>
                  <w:fldChar w:fldCharType="begin"/>
                </w:r>
                <w:r>
                  <w:rPr>
                    <w:b/>
                    <w:w w:val="110"/>
                  </w:rPr>
                  <w:instrText xml:space="preserve"> PAGE </w:instrText>
                </w:r>
                <w:r>
                  <w:fldChar w:fldCharType="separate"/>
                </w:r>
                <w:r>
                  <w:t>59</w:t>
                </w:r>
                <w:r>
                  <w:fldChar w:fldCharType="end"/>
                </w:r>
              </w:p>
            </w:txbxContent>
          </v:textbox>
          <w10:wrap anchorx="page" anchory="page"/>
        </v:shape>
      </w:pic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150BA7E5">
        <v:shapetype id="_x0000_t202" coordsize="21600,21600" o:spt="202" path="m,l,21600r21600,l21600,xe">
          <v:stroke joinstyle="miter"/>
          <v:path gradientshapeok="t" o:connecttype="rect"/>
        </v:shapetype>
        <v:shape id="Text Box 1260" o:spid="_x0000_s2395" type="#_x0000_t202" style="position:absolute;margin-left:36.15pt;margin-top:33.5pt;width:17.6pt;height:14.2pt;z-index:-25152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" filled="f" stroked="f">
          <o:lock v:ext="edit" aspectratio="t" verticies="t" text="t" shapetype="t"/>
          <v:textbox inset="0,0,0,0">
            <w:txbxContent>
              <w:p w:rsidR="008142C4" w:rsidRDefault="003048D3">
                <w:pPr>
                  <w:spacing w:before="11"/>
                  <w:ind w:left="60"/>
                  <w:rPr>
                    <w:b/>
                  </w:rPr>
                </w:pPr>
                <w:r>
                  <w:fldChar w:fldCharType="begin"/>
                </w:r>
                <w:r>
                  <w:rPr>
                    <w:b/>
                    <w:w w:val="105"/>
                    <w:u w:val="thick"/>
                  </w:rPr>
                  <w:instrText xml:space="preserve"> PAGE </w:instrText>
                </w:r>
                <w:r>
                  <w:fldChar w:fldCharType="separate"/>
                </w:r>
                <w:r>
                  <w:t>62</w:t>
                </w:r>
                <w:r>
                  <w:fldChar w:fldCharType="end"/>
                </w:r>
              </w:p>
            </w:txbxContent>
          </v:textbox>
          <w10:wrap anchorx="page" anchory="page"/>
        </v:shape>
      </w:pict>
    </w:r>
    <w:r>
      <w:rPr>
        <w:noProof/>
      </w:rPr>
      <w:pict w14:anchorId="0DDD61FD">
        <v:shape id="Text Box 1259" o:spid="_x0000_s2394" type="#_x0000_t202" style="position:absolute;margin-left:66.2pt;margin-top:33.5pt;width:327.75pt;height:14.2pt;z-index:-25152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" filled="f" stroked="f">
          <o:lock v:ext="edit" aspectratio="t" verticies="t" text="t" shapetype="t"/>
          <v:textbox inset="0,0,0,0">
            <w:txbxContent>
              <w:p w:rsidR="008142C4" w:rsidRDefault="003048D3">
                <w:pPr>
                  <w:spacing w:before="11"/>
                  <w:ind w:left="20"/>
                  <w:rPr>
                    <w:b/>
                  </w:rPr>
                </w:pPr>
                <w:r>
                  <w:rPr>
                    <w:b/>
                    <w:w w:val="110"/>
                    <w:u w:val="thick"/>
                  </w:rPr>
                  <w:t>Usually First Diagnosed in Infancy, Childhood, or Adolescence</w:t>
                </w:r>
              </w:p>
            </w:txbxContent>
          </v:textbox>
          <w10:wrap anchorx="page" anchory="page"/>
        </v:shape>
      </w:pic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46A26DD2">
        <v:line id="Line 1263" o:spid="_x0000_s2393" style="position:absolute;z-index:-25152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7pt,50.35pt" to="410.9pt,5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" strokeweight=".16958mm">
          <v:path arrowok="f"/>
          <o:lock v:ext="edit" aspectratio="t" verticies="t"/>
          <w10:wrap anchorx="page" anchory="page"/>
        </v:line>
      </w:pict>
    </w:r>
    <w:r>
      <w:rPr>
        <w:noProof/>
      </w:rPr>
      <w:pict w14:anchorId="182B3DE4">
        <v:shapetype id="_x0000_t202" coordsize="21600,21600" o:spt="202" path="m,l,21600r21600,l21600,xe">
          <v:stroke joinstyle="miter"/>
          <v:path gradientshapeok="t" o:connecttype="rect"/>
        </v:shapetype>
        <v:shape id="Text Box 1262" o:spid="_x0000_s2392" type="#_x0000_t202" style="position:absolute;margin-left:221.9pt;margin-top:34.5pt;width:160.9pt;height:14.2pt;z-index:-25152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" filled="f" stroked="f">
          <o:lock v:ext="edit" aspectratio="t" verticies="t" text="t" shapetype="t"/>
          <v:textbox inset="0,0,0,0">
            <w:txbxContent>
              <w:p w:rsidR="008142C4" w:rsidRDefault="003048D3">
                <w:pPr>
                  <w:spacing w:before="11"/>
                  <w:ind w:left="20"/>
                  <w:rPr>
                    <w:b/>
                  </w:rPr>
                </w:pPr>
                <w:r>
                  <w:rPr>
                    <w:b/>
                    <w:w w:val="110"/>
                  </w:rPr>
                  <w:t>315.39 Phonological Disorder</w:t>
                </w:r>
              </w:p>
            </w:txbxContent>
          </v:textbox>
          <w10:wrap anchorx="page" anchory="page"/>
        </v:shape>
      </w:pict>
    </w:r>
    <w:r>
      <w:rPr>
        <w:noProof/>
      </w:rPr>
      <w:pict w14:anchorId="59AB0268">
        <v:shape id="Text Box 1261" o:spid="_x0000_s2391" type="#_x0000_t202" style="position:absolute;margin-left:395pt;margin-top:34.5pt;width:18.15pt;height:14.2pt;z-index:-25152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" filled="f" stroked="f">
          <o:lock v:ext="edit" aspectratio="t" verticies="t" text="t" shapetype="t"/>
          <v:textbox inset="0,0,0,0">
            <w:txbxContent>
              <w:p w:rsidR="008142C4" w:rsidRDefault="003048D3">
                <w:pPr>
                  <w:spacing w:before="11"/>
                  <w:ind w:left="60"/>
                  <w:rPr>
                    <w:b/>
                  </w:rPr>
                </w:pPr>
                <w:r>
                  <w:fldChar w:fldCharType="begin"/>
                </w:r>
                <w:r>
                  <w:rPr>
                    <w:b/>
                    <w:w w:val="110"/>
                  </w:rPr>
                  <w:instrText xml:space="preserve"> PAGE </w:instrText>
                </w:r>
                <w:r>
                  <w:fldChar w:fldCharType="separate"/>
                </w:r>
                <w:r>
                  <w:t>61</w:t>
                </w:r>
                <w:r>
                  <w:fldChar w:fldCharType="end"/>
                </w:r>
              </w:p>
            </w:txbxContent>
          </v:textbox>
          <w10:wrap anchorx="page" anchory="page"/>
        </v:shape>
      </w:pic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71FB88F3">
        <v:shapetype id="_x0000_t202" coordsize="21600,21600" o:spt="202" path="m,l,21600r21600,l21600,xe">
          <v:stroke joinstyle="miter"/>
          <v:path gradientshapeok="t" o:connecttype="rect"/>
        </v:shapetype>
        <v:shape id="Text Box 1255" o:spid="_x0000_s2390" type="#_x0000_t202" style="position:absolute;margin-left:36.15pt;margin-top:33.2pt;width:17.5pt;height:14.2pt;z-index:-25151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" filled="f" stroked="f">
          <o:lock v:ext="edit" aspectratio="t" verticies="t" text="t" shapetype="t"/>
          <v:textbox inset="0,0,0,0">
            <w:txbxContent>
              <w:p w:rsidR="008142C4" w:rsidRDefault="003048D3">
                <w:pPr>
                  <w:spacing w:before="11"/>
                  <w:ind w:left="60"/>
                  <w:rPr>
                    <w:b/>
                  </w:rPr>
                </w:pPr>
                <w:r>
                  <w:fldChar w:fldCharType="begin"/>
                </w:r>
                <w:r>
                  <w:rPr>
                    <w:b/>
                    <w:w w:val="105"/>
                    <w:u w:val="thick"/>
                  </w:rPr>
                  <w:instrText xml:space="preserve"> PAGE </w:instrText>
                </w:r>
                <w:r>
                  <w:fldChar w:fldCharType="separate"/>
                </w:r>
                <w:r>
                  <w:t>64</w:t>
                </w:r>
                <w:r>
                  <w:fldChar w:fldCharType="end"/>
                </w:r>
              </w:p>
            </w:txbxContent>
          </v:textbox>
          <w10:wrap anchorx="page" anchory="page"/>
        </v:shape>
      </w:pict>
    </w:r>
    <w:r>
      <w:rPr>
        <w:noProof/>
      </w:rPr>
      <w:pict w14:anchorId="40F0F20F">
        <v:shape id="Text Box 1254" o:spid="_x0000_s2389" type="#_x0000_t202" style="position:absolute;margin-left:66.2pt;margin-top:33.2pt;width:328pt;height:14.2pt;z-index:-25151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" filled="f" stroked="f">
          <o:lock v:ext="edit" aspectratio="t" verticies="t" text="t" shapetype="t"/>
          <v:textbox inset="0,0,0,0">
            <w:txbxContent>
              <w:p w:rsidR="008142C4" w:rsidRDefault="003048D3">
                <w:pPr>
                  <w:spacing w:before="11"/>
                  <w:ind w:left="20"/>
                  <w:rPr>
                    <w:b/>
                  </w:rPr>
                </w:pPr>
                <w:r>
                  <w:rPr>
                    <w:b/>
                    <w:w w:val="110"/>
                    <w:u w:val="thick"/>
                  </w:rPr>
                  <w:t xml:space="preserve">Usually First Diagnosed </w:t>
                </w:r>
                <w:r>
                  <w:rPr>
                    <w:b/>
                    <w:w w:val="110"/>
                    <w:sz w:val="21"/>
                    <w:u w:val="thick"/>
                  </w:rPr>
                  <w:t xml:space="preserve">in </w:t>
                </w:r>
                <w:r>
                  <w:rPr>
                    <w:b/>
                    <w:w w:val="110"/>
                    <w:u w:val="thick"/>
                  </w:rPr>
                  <w:t>Infancy, Childhood, or Adolescence</w:t>
                </w:r>
              </w:p>
            </w:txbxContent>
          </v:textbox>
          <w10:wrap anchorx="page" anchory="page"/>
        </v:shape>
      </w:pic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7F21799F">
        <v:line id="Line 1258" o:spid="_x0000_s2388" style="position:absolute;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2pt,49.75pt" to="411.5pt,49.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" strokeweight=".25436mm">
          <v:path arrowok="f"/>
          <o:lock v:ext="edit" aspectratio="t" verticies="t"/>
          <w10:wrap anchorx="page" anchory="page"/>
        </v:line>
      </w:pict>
    </w:r>
    <w:r>
      <w:rPr>
        <w:noProof/>
      </w:rPr>
      <w:pict w14:anchorId="2B36C92B">
        <v:shapetype id="_x0000_t202" coordsize="21600,21600" o:spt="202" path="m,l,21600r21600,l21600,xe">
          <v:stroke joinstyle="miter"/>
          <v:path gradientshapeok="t" o:connecttype="rect"/>
        </v:shapetype>
        <v:shape id="Text Box 1257" o:spid="_x0000_s2387" type="#_x0000_t202" style="position:absolute;margin-left:295.35pt;margin-top:34.35pt;width:88.3pt;height:13.65pt;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" filled="f" stroked="f">
          <o:lock v:ext="edit" aspectratio="t" verticies="t" text="t" shapetype="t"/>
          <v:textbox inset="0,0,0,0">
            <w:txbxContent>
              <w:p w:rsidR="008142C4" w:rsidRDefault="003048D3">
                <w:pPr>
                  <w:spacing w:before="11"/>
                  <w:ind w:left="20"/>
                  <w:rPr>
                    <w:b/>
                    <w:sz w:val="21"/>
                  </w:rPr>
                </w:pPr>
                <w:r>
                  <w:rPr>
                    <w:b/>
                    <w:w w:val="115"/>
                    <w:sz w:val="21"/>
                  </w:rPr>
                  <w:t>307.0 Stuttering</w:t>
                </w:r>
              </w:p>
            </w:txbxContent>
          </v:textbox>
          <w10:wrap anchorx="page" anchory="page"/>
        </v:shape>
      </w:pict>
    </w:r>
    <w:r>
      <w:rPr>
        <w:noProof/>
      </w:rPr>
      <w:pict w14:anchorId="454F3B78">
        <v:shape id="Text Box 1256" o:spid="_x0000_s2386" type="#_x0000_t202" style="position:absolute;margin-left:395.6pt;margin-top:34.35pt;width:17.9pt;height:13.65pt;z-index:-25152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" filled="f" stroked="f">
          <o:lock v:ext="edit" aspectratio="t" verticies="t" text="t" shapetype="t"/>
          <v:textbox inset="0,0,0,0">
            <w:txbxContent>
              <w:p w:rsidR="008142C4" w:rsidRDefault="003048D3">
                <w:pPr>
                  <w:spacing w:before="11"/>
                  <w:ind w:left="60"/>
                  <w:rPr>
                    <w:b/>
                    <w:sz w:val="21"/>
                  </w:rPr>
                </w:pPr>
                <w:r>
                  <w:fldChar w:fldCharType="begin"/>
                </w:r>
                <w:r>
                  <w:rPr>
                    <w:b/>
                    <w:w w:val="115"/>
                    <w:sz w:val="21"/>
                  </w:rPr>
                  <w:instrText xml:space="preserve"> PAGE </w:instrText>
                </w:r>
                <w:r>
                  <w:fldChar w:fldCharType="separate"/>
                </w:r>
                <w:r>
                  <w:t>63</w:t>
                </w:r>
                <w:r>
                  <w:fldChar w:fldCharType="end"/>
                </w:r>
              </w:p>
            </w:txbxContent>
          </v:textbox>
          <w10:wrap anchorx="page" anchory="page"/>
        </v:shape>
      </w:pic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4FD023C8">
        <v:shapetype id="_x0000_t202" coordsize="21600,21600" o:spt="202" path="m,l,21600r21600,l21600,xe">
          <v:stroke joinstyle="miter"/>
          <v:path gradientshapeok="t" o:connecttype="rect"/>
        </v:shapetype>
        <v:shape id="Text Box 1250" o:spid="_x0000_s2385" type="#_x0000_t202" style="position:absolute;margin-left:35.65pt;margin-top:32.85pt;width:17.5pt;height:14.2pt;z-index:-25151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" filled="f" stroked="f">
          <o:lock v:ext="edit" aspectratio="t" verticies="t" text="t" shapetype="t"/>
          <v:textbox inset="0,0,0,0">
            <w:txbxContent>
              <w:p w:rsidR="008142C4" w:rsidRDefault="003048D3">
                <w:pPr>
                  <w:spacing w:before="11"/>
                  <w:ind w:left="60"/>
                  <w:rPr>
                    <w:rFonts w:ascii="TimesNewRomanPS-BoldItalicMT"/>
                    <w:b/>
                    <w:i/>
                  </w:rPr>
                </w:pPr>
                <w:r>
                  <w:fldChar w:fldCharType="begin"/>
                </w:r>
                <w:r>
                  <w:rPr>
                    <w:rFonts w:ascii="TimesNewRomanPS-BoldItalicMT"/>
                    <w:b/>
                    <w:i/>
                    <w:w w:val="105"/>
                  </w:rPr>
                  <w:instrText xml:space="preserve"> PAGE </w:instrText>
                </w:r>
                <w:r>
                  <w:fldChar w:fldCharType="separate"/>
                </w:r>
                <w:r>
                  <w:t>66</w:t>
                </w:r>
                <w:r>
                  <w:fldChar w:fldCharType="end"/>
                </w:r>
              </w:p>
            </w:txbxContent>
          </v:textbox>
          <w10:wrap anchorx="page" anchory="page"/>
        </v:shape>
      </w:pict>
    </w:r>
    <w:r>
      <w:rPr>
        <w:noProof/>
      </w:rPr>
      <w:pict w14:anchorId="28CEA89D">
        <v:shape id="Text Box 1249" o:spid="_x0000_s2384" type="#_x0000_t202" style="position:absolute;margin-left:65.95pt;margin-top:33.3pt;width:328.15pt;height:13.65pt;z-index:-25151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" filled="f" stroked="f">
          <o:lock v:ext="edit" aspectratio="t" verticies="t" text="t" shapetype="t"/>
          <v:textbox inset="0,0,0,0">
            <w:txbxContent>
              <w:p w:rsidR="008142C4" w:rsidRDefault="003048D3">
                <w:pPr>
                  <w:spacing w:before="11"/>
                  <w:ind w:left="20"/>
                  <w:rPr>
                    <w:b/>
                    <w:sz w:val="21"/>
                  </w:rPr>
                </w:pPr>
                <w:r>
                  <w:rPr>
                    <w:b/>
                    <w:w w:val="115"/>
                    <w:sz w:val="21"/>
                  </w:rPr>
                  <w:t>Usually First Diagnosed in Infancy, Childhood, or Adolescence</w:t>
                </w:r>
              </w:p>
            </w:txbxContent>
          </v:textbox>
          <w10:wrap anchorx="page" anchory="page"/>
        </v:shape>
      </w:pic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657EDC85">
        <v:line id="Line 1253" o:spid="_x0000_s2383" style="position:absolute;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65pt,49.5pt" to="409.85pt,4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" strokeweight=".16956mm">
          <v:path arrowok="f"/>
          <o:lock v:ext="edit" aspectratio="t" verticies="t"/>
          <w10:wrap anchorx="page" anchory="page"/>
        </v:line>
      </w:pict>
    </w:r>
    <w:r>
      <w:rPr>
        <w:noProof/>
      </w:rPr>
      <w:pict w14:anchorId="19F44626">
        <v:shapetype id="_x0000_t202" coordsize="21600,21600" o:spt="202" path="m,l,21600r21600,l21600,xe">
          <v:stroke joinstyle="miter"/>
          <v:path gradientshapeok="t" o:connecttype="rect"/>
        </v:shapetype>
        <v:shape id="Text Box 1252" o:spid="_x0000_s2382" type="#_x0000_t202" style="position:absolute;margin-left:83pt;margin-top:34.1pt;width:299.15pt;height:13.65pt;z-index:-25151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" filled="f" stroked="f">
          <o:lock v:ext="edit" aspectratio="t" verticies="t" text="t" shapetype="t"/>
          <v:textbox inset="0,0,0,0">
            <w:txbxContent>
              <w:p w:rsidR="008142C4" w:rsidRDefault="003048D3">
                <w:pPr>
                  <w:spacing w:before="11"/>
                  <w:ind w:left="20"/>
                  <w:rPr>
                    <w:b/>
                    <w:sz w:val="21"/>
                  </w:rPr>
                </w:pPr>
                <w:r>
                  <w:rPr>
                    <w:b/>
                    <w:w w:val="115"/>
                    <w:sz w:val="21"/>
                  </w:rPr>
                  <w:t>307 .9 Communication Disorder Not Otherwise Specified</w:t>
                </w:r>
              </w:p>
            </w:txbxContent>
          </v:textbox>
          <w10:wrap anchorx="page" anchory="page"/>
        </v:shape>
      </w:pict>
    </w:r>
    <w:r>
      <w:rPr>
        <w:noProof/>
      </w:rPr>
      <w:pict w14:anchorId="54211BA0">
        <v:shape id="Text Box 1251" o:spid="_x0000_s2381" type="#_x0000_t202" style="position:absolute;margin-left:393.95pt;margin-top:34.1pt;width:18.35pt;height:13.65pt;z-index:-25151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" filled="f" stroked="f">
          <o:lock v:ext="edit" aspectratio="t" verticies="t" text="t" shapetype="t"/>
          <v:textbox inset="0,0,0,0">
            <w:txbxContent>
              <w:p w:rsidR="008142C4" w:rsidRDefault="003048D3">
                <w:pPr>
                  <w:spacing w:before="11"/>
                  <w:ind w:left="60"/>
                  <w:rPr>
                    <w:b/>
                    <w:sz w:val="21"/>
                  </w:rPr>
                </w:pPr>
                <w:r>
                  <w:fldChar w:fldCharType="begin"/>
                </w:r>
                <w:r>
                  <w:rPr>
                    <w:b/>
                    <w:w w:val="115"/>
                    <w:sz w:val="21"/>
                  </w:rPr>
                  <w:instrText xml:space="preserve"> PAGE </w:instrText>
                </w:r>
                <w:r>
                  <w:fldChar w:fldCharType="separate"/>
                </w:r>
                <w:r>
                  <w:t>65</w:t>
                </w:r>
                <w:r>
                  <w:fldChar w:fldCharType="end"/>
                </w:r>
              </w:p>
            </w:txbxContent>
          </v:textbox>
          <w10:wrap anchorx="page" anchory="page"/>
        </v:shape>
      </w:pic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7296746D">
        <v:shapetype id="_x0000_t202" coordsize="21600,21600" o:spt="202" path="m,l,21600r21600,l21600,xe">
          <v:stroke joinstyle="miter"/>
          <v:path gradientshapeok="t" o:connecttype="rect"/>
        </v:shapetype>
        <v:shape id="Text Box 1245" o:spid="_x0000_s2380" type="#_x0000_t202" style="position:absolute;margin-left:35.4pt;margin-top:33.05pt;width:19.35pt;height:14.2pt;z-index:-25150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" filled="f" stroked="f">
          <o:lock v:ext="edit" aspectratio="t" verticies="t" text="t" shapetype="t"/>
          <v:textbox inset="0,0,0,0">
            <w:txbxContent>
              <w:p w:rsidR="008142C4" w:rsidRDefault="003048D3">
                <w:pPr>
                  <w:spacing w:before="11"/>
                  <w:ind w:left="60"/>
                  <w:rPr>
                    <w:b/>
                  </w:rPr>
                </w:pPr>
                <w:r>
                  <w:fldChar w:fldCharType="begin"/>
                </w:r>
                <w:r>
                  <w:rPr>
                    <w:b/>
                    <w:w w:val="120"/>
                    <w:u w:val="thick"/>
                  </w:rPr>
                  <w:instrText xml:space="preserve"> PAGE </w:instrText>
                </w:r>
                <w:r>
                  <w:fldChar w:fldCharType="separate"/>
                </w:r>
                <w:r>
                  <w:t>68</w:t>
                </w:r>
                <w:r>
                  <w:fldChar w:fldCharType="end"/>
                </w:r>
              </w:p>
            </w:txbxContent>
          </v:textbox>
          <w10:wrap anchorx="page" anchory="page"/>
        </v:shape>
      </w:pict>
    </w:r>
    <w:r>
      <w:rPr>
        <w:noProof/>
      </w:rPr>
      <w:pict w14:anchorId="0C81E8C9">
        <v:shape id="Text Box 1244" o:spid="_x0000_s2379" type="#_x0000_t202" style="position:absolute;margin-left:65.2pt;margin-top:33.05pt;width:328pt;height:14.2pt;z-index:-25150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" filled="f" stroked="f">
          <o:lock v:ext="edit" aspectratio="t" verticies="t" text="t" shapetype="t"/>
          <v:textbox inset="0,0,0,0">
            <w:txbxContent>
              <w:p w:rsidR="008142C4" w:rsidRDefault="003048D3">
                <w:pPr>
                  <w:spacing w:before="11"/>
                  <w:ind w:left="20"/>
                  <w:rPr>
                    <w:b/>
                  </w:rPr>
                </w:pPr>
                <w:r>
                  <w:rPr>
                    <w:b/>
                    <w:w w:val="110"/>
                    <w:u w:val="thick"/>
                  </w:rPr>
                  <w:t>Usually First Diagnosed in Infancy, Childhood, or Adolescence</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rPr>
        <w:sz w:val="2"/>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3C706C7C">
        <v:line id="Line 1248" o:spid="_x0000_s2378" style="position:absolute;z-index:-25151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75pt,51.05pt" to="412.2pt,51.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" strokeweight=".16958mm">
          <v:path arrowok="f"/>
          <o:lock v:ext="edit" aspectratio="t" verticies="t"/>
          <w10:wrap anchorx="page" anchory="page"/>
        </v:line>
      </w:pict>
    </w:r>
    <w:r>
      <w:rPr>
        <w:noProof/>
      </w:rPr>
      <w:pict w14:anchorId="174C8961">
        <v:shapetype id="_x0000_t202" coordsize="21600,21600" o:spt="202" path="m,l,21600r21600,l21600,xe">
          <v:stroke joinstyle="miter"/>
          <v:path gradientshapeok="t" o:connecttype="rect"/>
        </v:shapetype>
        <v:shape id="Text Box 1247" o:spid="_x0000_s2377" type="#_x0000_t202" style="position:absolute;margin-left:252.4pt;margin-top:35.05pt;width:131.55pt;height:13.1pt;z-index:-25151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" filled="f" stroked="f">
          <o:lock v:ext="edit" aspectratio="t" verticies="t" text="t" shapetype="t"/>
          <v:textbox inset="0,0,0,0">
            <w:txbxContent>
              <w:p w:rsidR="008142C4" w:rsidRDefault="003048D3">
                <w:pPr>
                  <w:spacing w:before="11"/>
                  <w:ind w:left="20"/>
                  <w:rPr>
                    <w:b/>
                    <w:sz w:val="20"/>
                  </w:rPr>
                </w:pPr>
                <w:r>
                  <w:rPr>
                    <w:b/>
                    <w:w w:val="120"/>
                    <w:sz w:val="20"/>
                  </w:rPr>
                  <w:t>299.00 Autistic Disorder</w:t>
                </w:r>
              </w:p>
            </w:txbxContent>
          </v:textbox>
          <w10:wrap anchorx="page" anchory="page"/>
        </v:shape>
      </w:pict>
    </w:r>
    <w:r>
      <w:rPr>
        <w:noProof/>
      </w:rPr>
      <w:pict w14:anchorId="77BCCC79">
        <v:shape id="Text Box 1246" o:spid="_x0000_s2376" type="#_x0000_t202" style="position:absolute;margin-left:395.8pt;margin-top:35.05pt;width:18.3pt;height:14.35pt;z-index:-25150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" filled="f" stroked="f">
          <o:lock v:ext="edit" aspectratio="t" verticies="t" text="t" shapetype="t"/>
          <v:textbox inset="0,0,0,0">
            <w:txbxContent>
              <w:p w:rsidR="008142C4" w:rsidRDefault="003048D3">
                <w:pPr>
                  <w:spacing w:before="11"/>
                  <w:ind w:left="60"/>
                  <w:rPr>
                    <w:b/>
                    <w:sz w:val="20"/>
                  </w:rPr>
                </w:pPr>
                <w:r>
                  <w:fldChar w:fldCharType="begin"/>
                </w:r>
                <w:r>
                  <w:rPr>
                    <w:b/>
                    <w:w w:val="120"/>
                    <w:sz w:val="20"/>
                  </w:rPr>
                  <w:instrText xml:space="preserve"> PAGE </w:instrText>
                </w:r>
                <w:r>
                  <w:fldChar w:fldCharType="separate"/>
                </w:r>
                <w:r>
                  <w:t>69</w:t>
                </w:r>
                <w:r>
                  <w:fldChar w:fldCharType="end"/>
                </w:r>
              </w:p>
            </w:txbxContent>
          </v:textbox>
          <w10:wrap anchorx="page" anchory="page"/>
        </v:shape>
      </w:pic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095A3C64">
        <v:line id="Line 1241" o:spid="_x0000_s2375" style="position:absolute;z-index:-25150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2pt,49.8pt" to="412.4pt,49.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" strokeweight=".16958mm">
          <v:path arrowok="f"/>
          <o:lock v:ext="edit" aspectratio="t" verticies="t"/>
          <w10:wrap anchorx="page" anchory="page"/>
        </v:line>
      </w:pict>
    </w:r>
    <w:r>
      <w:rPr>
        <w:noProof/>
      </w:rPr>
      <w:pict w14:anchorId="79B6B75F">
        <v:shapetype id="_x0000_t202" coordsize="21600,21600" o:spt="202" path="m,l,21600r21600,l21600,xe">
          <v:stroke joinstyle="miter"/>
          <v:path gradientshapeok="t" o:connecttype="rect"/>
        </v:shapetype>
        <v:shape id="Text Box 1240" o:spid="_x0000_s2374" type="#_x0000_t202" style="position:absolute;margin-left:262.45pt;margin-top:33.75pt;width:120.75pt;height:14.2pt;z-index:-25150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" filled="f" stroked="f">
          <o:lock v:ext="edit" aspectratio="t" verticies="t" text="t" shapetype="t"/>
          <v:textbox inset="0,0,0,0">
            <w:txbxContent>
              <w:p w:rsidR="008142C4" w:rsidRDefault="003048D3">
                <w:pPr>
                  <w:spacing w:before="11"/>
                  <w:ind w:left="20"/>
                  <w:rPr>
                    <w:b/>
                  </w:rPr>
                </w:pPr>
                <w:r>
                  <w:rPr>
                    <w:b/>
                    <w:w w:val="110"/>
                  </w:rPr>
                  <w:t>299.80 Rett's Disorder</w:t>
                </w:r>
              </w:p>
            </w:txbxContent>
          </v:textbox>
          <w10:wrap anchorx="page" anchory="page"/>
        </v:shape>
      </w:pict>
    </w:r>
    <w:r>
      <w:rPr>
        <w:noProof/>
      </w:rPr>
      <w:pict w14:anchorId="3ED7668D">
        <v:shape id="Text Box 1239" o:spid="_x0000_s2373" type="#_x0000_t202" style="position:absolute;margin-left:395.05pt;margin-top:33.75pt;width:18.25pt;height:14.2pt;z-index:-25150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" filled="f" stroked="f">
          <o:lock v:ext="edit" aspectratio="t" verticies="t" text="t" shapetype="t"/>
          <v:textbox inset="0,0,0,0">
            <w:txbxContent>
              <w:p w:rsidR="008142C4" w:rsidRDefault="003048D3">
                <w:pPr>
                  <w:spacing w:before="11"/>
                  <w:ind w:left="60"/>
                  <w:rPr>
                    <w:b/>
                  </w:rPr>
                </w:pPr>
                <w:r>
                  <w:rPr>
                    <w:b/>
                    <w:w w:val="110"/>
                  </w:rPr>
                  <w:t>71</w:t>
                </w:r>
              </w:p>
            </w:txbxContent>
          </v:textbox>
          <w10:wrap anchorx="page" anchory="page"/>
        </v:shape>
      </w:pic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5B79CD67">
        <v:shapetype id="_x0000_t202" coordsize="21600,21600" o:spt="202" path="m,l,21600r21600,l21600,xe">
          <v:stroke joinstyle="miter"/>
          <v:path gradientshapeok="t" o:connecttype="rect"/>
        </v:shapetype>
        <v:shape id="Text Box 1243" o:spid="_x0000_s2372" type="#_x0000_t202" style="position:absolute;margin-left:35.15pt;margin-top:33.85pt;width:13.95pt;height:14.2pt;z-index:-25150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" filled="f" stroked="f">
          <o:lock v:ext="edit" aspectratio="t" verticies="t" text="t" shapetype="t"/>
          <v:textbox inset="0,0,0,0">
            <w:txbxContent>
              <w:p w:rsidR="008142C4" w:rsidRDefault="003048D3">
                <w:pPr>
                  <w:spacing w:before="11"/>
                  <w:ind w:left="20"/>
                  <w:rPr>
                    <w:b/>
                  </w:rPr>
                </w:pPr>
                <w:r>
                  <w:rPr>
                    <w:b/>
                    <w:w w:val="110"/>
                  </w:rPr>
                  <w:t>70</w:t>
                </w:r>
              </w:p>
            </w:txbxContent>
          </v:textbox>
          <w10:wrap anchorx="page" anchory="page"/>
        </v:shape>
      </w:pict>
    </w:r>
    <w:r>
      <w:rPr>
        <w:noProof/>
      </w:rPr>
      <w:pict w14:anchorId="21AA3632">
        <v:shape id="Text Box 1242" o:spid="_x0000_s2371" type="#_x0000_t202" style="position:absolute;margin-left:63.2pt;margin-top:33.85pt;width:328pt;height:14.2pt;z-index:-25150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" filled="f" stroked="f">
          <o:lock v:ext="edit" aspectratio="t" verticies="t" text="t" shapetype="t"/>
          <v:textbox inset="0,0,0,0">
            <w:txbxContent>
              <w:p w:rsidR="008142C4" w:rsidRDefault="003048D3">
                <w:pPr>
                  <w:spacing w:before="11"/>
                  <w:ind w:left="20"/>
                  <w:rPr>
                    <w:b/>
                  </w:rPr>
                </w:pPr>
                <w:r>
                  <w:rPr>
                    <w:b/>
                    <w:w w:val="110"/>
                  </w:rPr>
                  <w:t>Usually First Diagnosed in Infancy, Childhood, or Adolescence</w:t>
                </w:r>
              </w:p>
            </w:txbxContent>
          </v:textbox>
          <w10:wrap anchorx="page" anchory="page"/>
        </v:shape>
      </w:pic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0F2969F0">
        <v:line id="Line 1236" o:spid="_x0000_s2370" style="position:absolute;z-index:-25149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35pt,50.05pt" to="411.75pt,50.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" strokeweight=".16958mm">
          <v:path arrowok="f"/>
          <o:lock v:ext="edit" aspectratio="t" verticies="t"/>
          <w10:wrap anchorx="page" anchory="page"/>
        </v:line>
      </w:pict>
    </w:r>
    <w:r>
      <w:rPr>
        <w:noProof/>
      </w:rPr>
      <w:pict w14:anchorId="3B13CB1A">
        <v:shapetype id="_x0000_t202" coordsize="21600,21600" o:spt="202" path="m,l,21600r21600,l21600,xe">
          <v:stroke joinstyle="miter"/>
          <v:path gradientshapeok="t" o:connecttype="rect"/>
        </v:shapetype>
        <v:shape id="Text Box 1235" o:spid="_x0000_s2369" type="#_x0000_t202" style="position:absolute;margin-left:147.45pt;margin-top:33.15pt;width:223.8pt;height:14.2pt;z-index:-25149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" filled="f" stroked="f">
          <o:lock v:ext="edit" aspectratio="t" verticies="t" text="t" shapetype="t"/>
          <v:textbox inset="0,0,0,0">
            <w:txbxContent>
              <w:p w:rsidR="008142C4" w:rsidRDefault="003048D3">
                <w:pPr>
                  <w:spacing w:before="11"/>
                  <w:ind w:left="20"/>
                  <w:rPr>
                    <w:b/>
                  </w:rPr>
                </w:pPr>
                <w:r>
                  <w:rPr>
                    <w:b/>
                    <w:w w:val="110"/>
                  </w:rPr>
                  <w:t>299.10 Childhood Disintegrative Disorder</w:t>
                </w:r>
              </w:p>
            </w:txbxContent>
          </v:textbox>
          <w10:wrap anchorx="page" anchory="page"/>
        </v:shape>
      </w:pict>
    </w:r>
    <w:r>
      <w:rPr>
        <w:noProof/>
      </w:rPr>
      <w:pict w14:anchorId="5398B374">
        <v:shape id="Text Box 1234" o:spid="_x0000_s2368" type="#_x0000_t202" style="position:absolute;margin-left:385.35pt;margin-top:33.15pt;width:14.25pt;height:14.2pt;z-index:-25149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" filled="f" stroked="f">
          <o:lock v:ext="edit" aspectratio="t" verticies="t" text="t" shapetype="t"/>
          <v:textbox inset="0,0,0,0">
            <w:txbxContent>
              <w:p w:rsidR="008142C4" w:rsidRDefault="003048D3">
                <w:pPr>
                  <w:spacing w:before="11"/>
                  <w:ind w:left="20"/>
                  <w:rPr>
                    <w:b/>
                  </w:rPr>
                </w:pPr>
                <w:r>
                  <w:rPr>
                    <w:b/>
                    <w:w w:val="110"/>
                  </w:rPr>
                  <w:t>73</w:t>
                </w:r>
              </w:p>
            </w:txbxContent>
          </v:textbox>
          <w10:wrap anchorx="page" anchory="page"/>
        </v:shape>
      </w:pic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2B2012C9">
        <v:shapetype id="_x0000_t202" coordsize="21600,21600" o:spt="202" path="m,l,21600r21600,l21600,xe">
          <v:stroke joinstyle="miter"/>
          <v:path gradientshapeok="t" o:connecttype="rect"/>
        </v:shapetype>
        <v:shape id="Text Box 1238" o:spid="_x0000_s2367" type="#_x0000_t202" style="position:absolute;margin-left:36.25pt;margin-top:33.9pt;width:13.5pt;height:14.2pt;z-index:-25150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" filled="f" stroked="f">
          <o:lock v:ext="edit" aspectratio="t" verticies="t" text="t" shapetype="t"/>
          <v:textbox inset="0,0,0,0">
            <w:txbxContent>
              <w:p w:rsidR="008142C4" w:rsidRDefault="003048D3">
                <w:pPr>
                  <w:spacing w:before="11"/>
                  <w:ind w:left="20"/>
                  <w:rPr>
                    <w:b/>
                  </w:rPr>
                </w:pPr>
                <w:r>
                  <w:rPr>
                    <w:b/>
                    <w:w w:val="105"/>
                    <w:u w:val="thick"/>
                  </w:rPr>
                  <w:t>72</w:t>
                </w:r>
              </w:p>
            </w:txbxContent>
          </v:textbox>
          <w10:wrap anchorx="page" anchory="page"/>
        </v:shape>
      </w:pict>
    </w:r>
    <w:r>
      <w:rPr>
        <w:noProof/>
      </w:rPr>
      <w:pict w14:anchorId="652833D5">
        <v:shape id="Text Box 1237" o:spid="_x0000_s2366" type="#_x0000_t202" style="position:absolute;margin-left:64.05pt;margin-top:33.9pt;width:328.55pt;height:14.2pt;z-index:-25150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" filled="f" stroked="f">
          <o:lock v:ext="edit" aspectratio="t" verticies="t" text="t" shapetype="t"/>
          <v:textbox inset="0,0,0,0">
            <w:txbxContent>
              <w:p w:rsidR="008142C4" w:rsidRDefault="003048D3">
                <w:pPr>
                  <w:spacing w:before="11"/>
                  <w:ind w:left="20"/>
                  <w:rPr>
                    <w:b/>
                  </w:rPr>
                </w:pPr>
                <w:r>
                  <w:rPr>
                    <w:b/>
                    <w:w w:val="110"/>
                    <w:u w:val="thick"/>
                  </w:rPr>
                  <w:t>Usually First Diagnosed in Infancy, Childhood, or</w:t>
                </w:r>
                <w:r>
                  <w:rPr>
                    <w:b/>
                    <w:spacing w:val="56"/>
                    <w:w w:val="110"/>
                    <w:u w:val="thick"/>
                  </w:rPr>
                  <w:t xml:space="preserve"> </w:t>
                </w:r>
                <w:r>
                  <w:rPr>
                    <w:b/>
                    <w:w w:val="110"/>
                    <w:u w:val="thick"/>
                  </w:rPr>
                  <w:t>Adolescence</w:t>
                </w:r>
              </w:p>
            </w:txbxContent>
          </v:textbox>
          <w10:wrap anchorx="page" anchory="page"/>
        </v:shape>
      </w:pic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6B8F9D5F">
        <v:shapetype id="_x0000_t202" coordsize="21600,21600" o:spt="202" path="m,l,21600r21600,l21600,xe">
          <v:stroke joinstyle="miter"/>
          <v:path gradientshapeok="t" o:connecttype="rect"/>
        </v:shapetype>
        <v:shape id="Text Box 1233" o:spid="_x0000_s2365" type="#_x0000_t202" style="position:absolute;margin-left:34.1pt;margin-top:33.4pt;width:17.7pt;height:14.6pt;z-index:-25149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" filled="f" stroked="f">
          <o:lock v:ext="edit" aspectratio="t" verticies="t" text="t" shapetype="t"/>
          <v:textbox inset="0,0,0,0">
            <w:txbxContent>
              <w:p w:rsidR="008142C4" w:rsidRDefault="003048D3">
                <w:pPr>
                  <w:spacing w:before="11"/>
                  <w:ind w:left="77"/>
                  <w:rPr>
                    <w:b/>
                  </w:rPr>
                </w:pPr>
                <w:r>
                  <w:fldChar w:fldCharType="begin"/>
                </w:r>
                <w:r>
                  <w:rPr>
                    <w:b/>
                    <w:u w:val="thick"/>
                  </w:rPr>
                  <w:instrText xml:space="preserve"> PAGE </w:instrText>
                </w:r>
                <w:r>
                  <w:fldChar w:fldCharType="separate"/>
                </w:r>
                <w:r>
                  <w:t>76</w:t>
                </w:r>
                <w:r>
                  <w:fldChar w:fldCharType="end"/>
                </w:r>
              </w:p>
            </w:txbxContent>
          </v:textbox>
          <w10:wrap anchorx="page" anchory="page"/>
        </v:shape>
      </w:pict>
    </w:r>
    <w:r>
      <w:rPr>
        <w:noProof/>
      </w:rPr>
      <w:pict w14:anchorId="68A753EE">
        <v:shape id="Text Box 1232" o:spid="_x0000_s2364" type="#_x0000_t202" style="position:absolute;margin-left:64.75pt;margin-top:33.4pt;width:328pt;height:14.2pt;z-index:-25149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" filled="f" stroked="f">
          <o:lock v:ext="edit" aspectratio="t" verticies="t" text="t" shapetype="t"/>
          <v:textbox inset="0,0,0,0">
            <w:txbxContent>
              <w:p w:rsidR="008142C4" w:rsidRDefault="003048D3">
                <w:pPr>
                  <w:spacing w:before="11"/>
                  <w:ind w:left="20"/>
                  <w:rPr>
                    <w:b/>
                  </w:rPr>
                </w:pPr>
                <w:r>
                  <w:rPr>
                    <w:b/>
                    <w:w w:val="110"/>
                    <w:u w:val="thick"/>
                  </w:rPr>
                  <w:t>Usually Fi</w:t>
                </w:r>
                <w:r>
                  <w:rPr>
                    <w:b/>
                    <w:w w:val="110"/>
                    <w:u w:val="thick"/>
                  </w:rPr>
                  <w:t>rst Diagnosed in Infancy, Childhood, or Adolescence</w:t>
                </w:r>
              </w:p>
            </w:txbxContent>
          </v:textbox>
          <w10:wrap anchorx="page" anchory="page"/>
        </v:shape>
      </w:pic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2C454D38">
        <v:line id="Line 1231" o:spid="_x0000_s2363" style="position:absolute;z-index:-25149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2pt,49.75pt" to="412.45pt,49.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" strokeweight=".16958mm">
          <v:path arrowok="f"/>
          <o:lock v:ext="edit" aspectratio="t" verticies="t"/>
          <w10:wrap anchorx="page" anchory="page"/>
        </v:line>
      </w:pict>
    </w:r>
    <w:r>
      <w:rPr>
        <w:noProof/>
      </w:rPr>
      <w:pict w14:anchorId="6F94BAF3">
        <v:shapetype id="_x0000_t202" coordsize="21600,21600" o:spt="202" path="m,l,21600r21600,l21600,xe">
          <v:stroke joinstyle="miter"/>
          <v:path gradientshapeok="t" o:connecttype="rect"/>
        </v:shapetype>
        <v:shape id="Text Box 1230" o:spid="_x0000_s2362" type="#_x0000_t202" style="position:absolute;margin-left:3in;margin-top:34.4pt;width:147.05pt;height:14.2pt;z-index:-25149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" filled="f" stroked="f">
          <o:lock v:ext="edit" aspectratio="t" verticies="t" text="t" shapetype="t"/>
          <v:textbox inset="0,0,0,0">
            <w:txbxContent>
              <w:p w:rsidR="008142C4" w:rsidRDefault="003048D3">
                <w:pPr>
                  <w:spacing w:before="11"/>
                  <w:ind w:left="20"/>
                  <w:rPr>
                    <w:b/>
                  </w:rPr>
                </w:pPr>
                <w:r>
                  <w:rPr>
                    <w:b/>
                    <w:w w:val="110"/>
                  </w:rPr>
                  <w:t>299.80 Asperger's Disorder</w:t>
                </w:r>
              </w:p>
            </w:txbxContent>
          </v:textbox>
          <w10:wrap anchorx="page" anchory="page"/>
        </v:shape>
      </w:pict>
    </w:r>
    <w:r>
      <w:rPr>
        <w:noProof/>
      </w:rPr>
      <w:pict w14:anchorId="7244688B">
        <v:shape id="Text Box 1229" o:spid="_x0000_s2361" type="#_x0000_t202" style="position:absolute;margin-left:377.05pt;margin-top:34.4pt;width:14.15pt;height:14.2pt;z-index:-25149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" filled="f" stroked="f">
          <o:lock v:ext="edit" aspectratio="t" verticies="t" text="t" shapetype="t"/>
          <v:textbox inset="0,0,0,0">
            <w:txbxContent>
              <w:p w:rsidR="008142C4" w:rsidRDefault="003048D3">
                <w:pPr>
                  <w:spacing w:before="11"/>
                  <w:ind w:left="20"/>
                  <w:rPr>
                    <w:b/>
                  </w:rPr>
                </w:pPr>
                <w:r>
                  <w:rPr>
                    <w:b/>
                    <w:w w:val="110"/>
                  </w:rPr>
                  <w:t>75</w:t>
                </w:r>
              </w:p>
            </w:txbxContent>
          </v:textbox>
          <w10:wrap anchorx="page" anchory="page"/>
        </v:shape>
      </w:pic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4EB0C388">
        <v:shapetype id="_x0000_t202" coordsize="21600,21600" o:spt="202" path="m,l,21600r21600,l21600,xe">
          <v:stroke joinstyle="miter"/>
          <v:path gradientshapeok="t" o:connecttype="rect"/>
        </v:shapetype>
        <v:shape id="Text Box 1226" o:spid="_x0000_s2360" type="#_x0000_t202" style="position:absolute;margin-left:54.85pt;margin-top:32.9pt;width:17.05pt;height:14.2pt;z-index:-25148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" filled="f" stroked="f">
          <o:lock v:ext="edit" aspectratio="t" verticies="t" text="t" shapetype="t"/>
          <v:textbox inset="0,0,0,0">
            <w:txbxContent>
              <w:p w:rsidR="008142C4" w:rsidRDefault="003048D3">
                <w:pPr>
                  <w:spacing w:before="11"/>
                  <w:ind w:left="60"/>
                  <w:rPr>
                    <w:b/>
                  </w:rPr>
                </w:pPr>
                <w:r>
                  <w:fldChar w:fldCharType="begin"/>
                </w:r>
                <w:r>
                  <w:rPr>
                    <w:b/>
                  </w:rPr>
                  <w:instrText xml:space="preserve"> PAGE </w:instrText>
                </w:r>
                <w:r>
                  <w:fldChar w:fldCharType="separate"/>
                </w:r>
                <w:r>
                  <w:t>78</w:t>
                </w:r>
                <w:r>
                  <w:fldChar w:fldCharType="end"/>
                </w:r>
              </w:p>
            </w:txbxContent>
          </v:textbox>
          <w10:wrap anchorx="page" anchory="page"/>
        </v:shape>
      </w:pict>
    </w:r>
    <w:r>
      <w:rPr>
        <w:noProof/>
      </w:rPr>
      <w:pict w14:anchorId="0A79D5EC">
        <v:shape id="Text Box 1225" o:spid="_x0000_s2359" type="#_x0000_t202" style="position:absolute;margin-left:84.85pt;margin-top:32.9pt;width:328.2pt;height:14.2pt;z-index:-25148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" filled="f" stroked="f">
          <o:lock v:ext="edit" aspectratio="t" verticies="t" text="t" shapetype="t"/>
          <v:textbox inset="0,0,0,0">
            <w:txbxContent>
              <w:p w:rsidR="008142C4" w:rsidRDefault="003048D3">
                <w:pPr>
                  <w:spacing w:before="11"/>
                  <w:ind w:left="20"/>
                  <w:rPr>
                    <w:b/>
                  </w:rPr>
                </w:pPr>
                <w:r>
                  <w:rPr>
                    <w:b/>
                    <w:w w:val="110"/>
                  </w:rPr>
                  <w:t>Usually First Diagnosed in Infancy, Childhood, or Adolescence</w:t>
                </w:r>
              </w:p>
            </w:txbxContent>
          </v:textbox>
          <w10:wrap anchorx="page" anchory="page"/>
        </v:shape>
      </w:pic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5C30D1CA">
        <v:shapetype id="_x0000_t202" coordsize="21600,21600" o:spt="202" path="m,l,21600r21600,l21600,xe">
          <v:stroke joinstyle="miter"/>
          <v:path gradientshapeok="t" o:connecttype="rect"/>
        </v:shapetype>
        <v:shape id="Text Box 1228" o:spid="_x0000_s2358" type="#_x0000_t202" style="position:absolute;margin-left:38pt;margin-top:32.85pt;width:341.5pt;height:14.2pt;z-index:-25149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" filled="f" stroked="f">
          <o:lock v:ext="edit" aspectratio="t" verticies="t" text="t" shapetype="t"/>
          <v:textbox inset="0,0,0,0">
            <w:txbxContent>
              <w:p w:rsidR="008142C4" w:rsidRDefault="003048D3">
                <w:pPr>
                  <w:spacing w:before="11"/>
                  <w:ind w:left="20"/>
                  <w:rPr>
                    <w:b/>
                  </w:rPr>
                </w:pPr>
                <w:r>
                  <w:rPr>
                    <w:b/>
                    <w:w w:val="105"/>
                    <w:u w:val="thick"/>
                  </w:rPr>
                  <w:t>299.80</w:t>
                </w:r>
                <w:r>
                  <w:rPr>
                    <w:b/>
                    <w:w w:val="105"/>
                  </w:rPr>
                  <w:t xml:space="preserve"> </w:t>
                </w:r>
                <w:r>
                  <w:rPr>
                    <w:b/>
                    <w:w w:val="105"/>
                    <w:u w:val="thick"/>
                  </w:rPr>
                  <w:t>Pervasive Developmental Disorder Not Otherwise Specified</w:t>
                </w:r>
              </w:p>
            </w:txbxContent>
          </v:textbox>
          <w10:wrap anchorx="page" anchory="page"/>
        </v:shape>
      </w:pict>
    </w:r>
    <w:r>
      <w:rPr>
        <w:noProof/>
      </w:rPr>
      <w:pict w14:anchorId="65956753">
        <v:shape id="Text Box 1227" o:spid="_x0000_s2357" type="#_x0000_t202" style="position:absolute;margin-left:394.3pt;margin-top:32.85pt;width:17.8pt;height:14.2pt;z-index:-25149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" filled="f" stroked="f">
          <o:lock v:ext="edit" aspectratio="t" verticies="t" text="t" shapetype="t"/>
          <v:textbox inset="0,0,0,0">
            <w:txbxContent>
              <w:p w:rsidR="008142C4" w:rsidRDefault="003048D3">
                <w:pPr>
                  <w:spacing w:before="11"/>
                  <w:ind w:left="60"/>
                  <w:rPr>
                    <w:b/>
                  </w:rPr>
                </w:pPr>
                <w:r>
                  <w:fldChar w:fldCharType="begin"/>
                </w:r>
                <w:r>
                  <w:rPr>
                    <w:b/>
                    <w:w w:val="105"/>
                    <w:u w:val="thick"/>
                  </w:rPr>
                  <w:instrText xml:space="preserve"> PAGE </w:instrText>
                </w:r>
                <w:r>
                  <w:fldChar w:fldCharType="separate"/>
                </w:r>
                <w:r>
                  <w:t>77</w:t>
                </w:r>
                <w:r>
                  <w:fldChar w:fldCharType="end"/>
                </w:r>
              </w:p>
            </w:txbxContent>
          </v:textbox>
          <w10:wrap anchorx="page" anchory="page"/>
        </v:shape>
      </w:pic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472643FB">
        <v:shapetype id="_x0000_t202" coordsize="21600,21600" o:spt="202" path="m,l,21600r21600,l21600,xe">
          <v:stroke joinstyle="miter"/>
          <v:path gradientshapeok="t" o:connecttype="rect"/>
        </v:shapetype>
        <v:shape id="Text Box 1221" o:spid="_x0000_s2356" type="#_x0000_t202" style="position:absolute;margin-left:55.45pt;margin-top:32.6pt;width:17.15pt;height:14.2pt;z-index:-25148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" filled="f" stroked="f">
          <o:lock v:ext="edit" aspectratio="t" verticies="t" text="t" shapetype="t"/>
          <v:textbox inset="0,0,0,0">
            <w:txbxContent>
              <w:p w:rsidR="008142C4" w:rsidRDefault="003048D3">
                <w:pPr>
                  <w:spacing w:before="11"/>
                  <w:ind w:left="60"/>
                  <w:rPr>
                    <w:b/>
                  </w:rPr>
                </w:pPr>
                <w:r>
                  <w:fldChar w:fldCharType="begin"/>
                </w:r>
                <w:r>
                  <w:rPr>
                    <w:b/>
                    <w:u w:val="thick"/>
                  </w:rPr>
                  <w:instrText xml:space="preserve"> PAGE </w:instrText>
                </w:r>
                <w:r>
                  <w:fldChar w:fldCharType="separate"/>
                </w:r>
                <w:r>
                  <w:t>80</w:t>
                </w:r>
                <w:r>
                  <w:fldChar w:fldCharType="end"/>
                </w:r>
              </w:p>
            </w:txbxContent>
          </v:textbox>
          <w10:wrap anchorx="page" anchory="page"/>
        </v:shape>
      </w:pict>
    </w:r>
    <w:r>
      <w:rPr>
        <w:noProof/>
      </w:rPr>
      <w:pict w14:anchorId="2B56C40E">
        <v:shape id="Text Box 1220" o:spid="_x0000_s2355" type="#_x0000_t202" style="position:absolute;margin-left:85.2pt;margin-top:32.6pt;width:328pt;height:14.2pt;z-index:-25148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" filled="f" stroked="f">
          <o:lock v:ext="edit" aspectratio="t" verticies="t" text="t" shapetype="t"/>
          <v:textbox inset="0,0,0,0">
            <w:txbxContent>
              <w:p w:rsidR="008142C4" w:rsidRDefault="003048D3">
                <w:pPr>
                  <w:spacing w:before="11"/>
                  <w:ind w:left="20"/>
                  <w:rPr>
                    <w:b/>
                  </w:rPr>
                </w:pPr>
                <w:r>
                  <w:rPr>
                    <w:b/>
                    <w:w w:val="110"/>
                    <w:u w:val="thick"/>
                  </w:rPr>
                  <w:t>Usually First Diagnosed in Infancy, Childhood, or Adolescence</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rPr>
        <w:sz w:val="2"/>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0750C726">
        <v:line id="Line 1224" o:spid="_x0000_s2354" style="position:absolute;z-index:-25148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7pt,49.2pt" to="411.05pt,49.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" strokeweight=".16958mm">
          <v:path arrowok="f"/>
          <o:lock v:ext="edit" aspectratio="t" verticies="t"/>
          <w10:wrap anchorx="page" anchory="page"/>
        </v:line>
      </w:pict>
    </w:r>
    <w:r>
      <w:rPr>
        <w:noProof/>
      </w:rPr>
      <w:pict w14:anchorId="3E1BF245">
        <v:shapetype id="_x0000_t202" coordsize="21600,21600" o:spt="202" path="m,l,21600r21600,l21600,xe">
          <v:stroke joinstyle="miter"/>
          <v:path gradientshapeok="t" o:connecttype="rect"/>
        </v:shapetype>
        <v:shape id="Text Box 1223" o:spid="_x0000_s2353" type="#_x0000_t202" style="position:absolute;margin-left:171.1pt;margin-top:33pt;width:212.2pt;height:13.65pt;z-index:-25148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" filled="f" stroked="f">
          <o:lock v:ext="edit" aspectratio="t" verticies="t" text="t" shapetype="t"/>
          <v:textbox inset="0,0,0,0">
            <w:txbxContent>
              <w:p w:rsidR="008142C4" w:rsidRDefault="003048D3">
                <w:pPr>
                  <w:spacing w:before="11"/>
                  <w:ind w:left="20"/>
                  <w:rPr>
                    <w:b/>
                    <w:sz w:val="21"/>
                  </w:rPr>
                </w:pPr>
                <w:r>
                  <w:rPr>
                    <w:b/>
                    <w:w w:val="115"/>
                    <w:sz w:val="21"/>
                  </w:rPr>
                  <w:t>Attention-Deficit/Hyperactivity Disorder</w:t>
                </w:r>
              </w:p>
            </w:txbxContent>
          </v:textbox>
          <w10:wrap anchorx="page" anchory="page"/>
        </v:shape>
      </w:pict>
    </w:r>
    <w:r>
      <w:rPr>
        <w:noProof/>
      </w:rPr>
      <w:pict w14:anchorId="2CB3C4F9">
        <v:shape id="Text Box 1222" o:spid="_x0000_s2352" type="#_x0000_t202" style="position:absolute;margin-left:394.9pt;margin-top:33pt;width:18.95pt;height:14.35pt;z-index:-25148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" filled="f" stroked="f">
          <o:lock v:ext="edit" aspectratio="t" verticies="t" text="t" shapetype="t"/>
          <v:textbox inset="0,0,0,0">
            <w:txbxContent>
              <w:p w:rsidR="008142C4" w:rsidRDefault="003048D3">
                <w:pPr>
                  <w:spacing w:before="11"/>
                  <w:ind w:left="70"/>
                  <w:rPr>
                    <w:b/>
                    <w:sz w:val="21"/>
                  </w:rPr>
                </w:pPr>
                <w:r>
                  <w:fldChar w:fldCharType="begin"/>
                </w:r>
                <w:r>
                  <w:rPr>
                    <w:b/>
                    <w:w w:val="115"/>
                    <w:sz w:val="21"/>
                  </w:rPr>
                  <w:instrText xml:space="preserve"> PAGE </w:instrText>
                </w:r>
                <w:r>
                  <w:fldChar w:fldCharType="separate"/>
                </w:r>
                <w:r>
                  <w:t>83</w:t>
                </w:r>
                <w:r>
                  <w:fldChar w:fldCharType="end"/>
                </w:r>
              </w:p>
            </w:txbxContent>
          </v:textbox>
          <w10:wrap anchorx="page" anchory="page"/>
        </v:shape>
      </w:pic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2DF996E0">
        <v:line id="Line 1219" o:spid="_x0000_s2351" style="position:absolute;z-index:-25148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3pt,49.6pt" to="411.55pt,49.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" strokeweight=".16958mm">
          <v:path arrowok="f"/>
          <o:lock v:ext="edit" aspectratio="t" verticies="t"/>
          <w10:wrap anchorx="page" anchory="page"/>
        </v:line>
      </w:pict>
    </w:r>
    <w:r>
      <w:rPr>
        <w:noProof/>
      </w:rPr>
      <w:pict w14:anchorId="3B4C951D">
        <v:shapetype id="_x0000_t202" coordsize="21600,21600" o:spt="202" path="m,l,21600r21600,l21600,xe">
          <v:stroke joinstyle="miter"/>
          <v:path gradientshapeok="t" o:connecttype="rect"/>
        </v:shapetype>
        <v:shape id="Text Box 1218" o:spid="_x0000_s2350" type="#_x0000_t202" style="position:absolute;margin-left:32.75pt;margin-top:32.65pt;width:19.8pt;height:15.95pt;z-index:-25148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" filled="f" stroked="f">
          <o:lock v:ext="edit" aspectratio="t" verticies="t" text="t" shapetype="t"/>
          <v:textbox inset="0,0,0,0">
            <w:txbxContent>
              <w:p w:rsidR="008142C4" w:rsidRDefault="003048D3">
                <w:pPr>
                  <w:spacing w:before="11"/>
                  <w:ind w:left="60"/>
                  <w:rPr>
                    <w:b/>
                  </w:rPr>
                </w:pPr>
                <w:r>
                  <w:fldChar w:fldCharType="begin"/>
                </w:r>
                <w:r>
                  <w:rPr>
                    <w:b/>
                    <w:w w:val="110"/>
                  </w:rPr>
                  <w:instrText xml:space="preserve"> PAGE </w:instrText>
                </w:r>
                <w:r>
                  <w:fldChar w:fldCharType="separate"/>
                </w:r>
                <w:r>
                  <w:t>84</w:t>
                </w:r>
                <w:r>
                  <w:fldChar w:fldCharType="end"/>
                </w:r>
              </w:p>
            </w:txbxContent>
          </v:textbox>
          <w10:wrap anchorx="page" anchory="page"/>
        </v:shape>
      </w:pict>
    </w:r>
    <w:r>
      <w:rPr>
        <w:noProof/>
      </w:rPr>
      <w:pict w14:anchorId="79771A7B">
        <v:shape id="Text Box 1217" o:spid="_x0000_s2349" type="#_x0000_t202" style="position:absolute;margin-left:62.55pt;margin-top:32.65pt;width:327.25pt;height:14.2pt;z-index:-25148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" filled="f" stroked="f">
          <o:lock v:ext="edit" aspectratio="t" verticies="t" text="t" shapetype="t"/>
          <v:textbox inset="0,0,0,0">
            <w:txbxContent>
              <w:p w:rsidR="008142C4" w:rsidRDefault="003048D3">
                <w:pPr>
                  <w:spacing w:before="11"/>
                  <w:ind w:left="20"/>
                  <w:rPr>
                    <w:b/>
                  </w:rPr>
                </w:pPr>
                <w:r>
                  <w:rPr>
                    <w:b/>
                    <w:w w:val="110"/>
                  </w:rPr>
                  <w:t>Usually First Diagnosed in Infancy, Childhood, or Adolescence</w:t>
                </w:r>
              </w:p>
            </w:txbxContent>
          </v:textbox>
          <w10:wrap anchorx="page" anchory="page"/>
        </v:shape>
      </w:pic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5FD9FC54">
        <v:line id="Line 1216" o:spid="_x0000_s2348" style="position:absolute;z-index:-25147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9.4pt" to="410.25pt,49.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" strokeweight=".25436mm">
          <v:path arrowok="f"/>
          <o:lock v:ext="edit" aspectratio="t" verticies="t"/>
          <w10:wrap anchorx="page" anchory="page"/>
        </v:line>
      </w:pict>
    </w:r>
    <w:r>
      <w:rPr>
        <w:noProof/>
      </w:rPr>
      <w:pict w14:anchorId="6CD3E096">
        <v:shapetype id="_x0000_t202" coordsize="21600,21600" o:spt="202" path="m,l,21600r21600,l21600,xe">
          <v:stroke joinstyle="miter"/>
          <v:path gradientshapeok="t" o:connecttype="rect"/>
        </v:shapetype>
        <v:shape id="Text Box 1215" o:spid="_x0000_s2347" type="#_x0000_t202" style="position:absolute;margin-left:150.2pt;margin-top:34pt;width:212.2pt;height:13.65pt;z-index:-25147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" filled="f" stroked="f">
          <o:lock v:ext="edit" aspectratio="t" verticies="t" text="t" shapetype="t"/>
          <v:textbox inset="0,0,0,0">
            <w:txbxContent>
              <w:p w:rsidR="008142C4" w:rsidRDefault="003048D3">
                <w:pPr>
                  <w:spacing w:before="11"/>
                  <w:ind w:left="20"/>
                  <w:rPr>
                    <w:b/>
                    <w:sz w:val="21"/>
                  </w:rPr>
                </w:pPr>
                <w:r>
                  <w:rPr>
                    <w:b/>
                    <w:w w:val="115"/>
                    <w:sz w:val="21"/>
                  </w:rPr>
                  <w:t>Attention-Deficit/Hyperactivity Disorder</w:t>
                </w:r>
              </w:p>
            </w:txbxContent>
          </v:textbox>
          <w10:wrap anchorx="page" anchory="page"/>
        </v:shape>
      </w:pict>
    </w:r>
    <w:r>
      <w:rPr>
        <w:noProof/>
      </w:rPr>
      <w:pict w14:anchorId="2F52CF15">
        <v:shape id="Text Box 1214" o:spid="_x0000_s2346" type="#_x0000_t202" style="position:absolute;margin-left:374.5pt;margin-top:34pt;width:18.15pt;height:13.65pt;z-index:-25147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" filled="f" stroked="f">
          <o:lock v:ext="edit" aspectratio="t" verticies="t" text="t" shapetype="t"/>
          <v:textbox inset="0,0,0,0">
            <w:txbxContent>
              <w:p w:rsidR="008142C4" w:rsidRDefault="003048D3">
                <w:pPr>
                  <w:spacing w:before="11"/>
                  <w:ind w:left="60"/>
                  <w:rPr>
                    <w:b/>
                    <w:sz w:val="21"/>
                  </w:rPr>
                </w:pPr>
                <w:r>
                  <w:fldChar w:fldCharType="begin"/>
                </w:r>
                <w:r>
                  <w:rPr>
                    <w:b/>
                    <w:w w:val="115"/>
                    <w:sz w:val="21"/>
                  </w:rPr>
                  <w:instrText xml:space="preserve"> PAGE </w:instrText>
                </w:r>
                <w:r>
                  <w:fldChar w:fldCharType="separate"/>
                </w:r>
                <w:r>
                  <w:t>83</w:t>
                </w:r>
                <w:r>
                  <w:fldChar w:fldCharType="end"/>
                </w:r>
              </w:p>
            </w:txbxContent>
          </v:textbox>
          <w10:wrap anchorx="page" anchory="page"/>
        </v:shape>
      </w:pic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2C1CBAF3">
        <v:line id="Line 1210" o:spid="_x0000_s2345" style="position:absolute;z-index:-25147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3pt,50.5pt" to="411.55pt,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" strokeweight=".16958mm">
          <v:path arrowok="f"/>
          <o:lock v:ext="edit" aspectratio="t" verticies="t"/>
          <w10:wrap anchorx="page" anchory="page"/>
        </v:line>
      </w:pict>
    </w:r>
    <w:r>
      <w:rPr>
        <w:noProof/>
      </w:rPr>
      <w:pict w14:anchorId="5187CC64">
        <v:shapetype id="_x0000_t202" coordsize="21600,21600" o:spt="202" path="m,l,21600r21600,l21600,xe">
          <v:stroke joinstyle="miter"/>
          <v:path gradientshapeok="t" o:connecttype="rect"/>
        </v:shapetype>
        <v:shape id="Text Box 1209" o:spid="_x0000_s2344" type="#_x0000_t202" style="position:absolute;margin-left:54.3pt;margin-top:33.9pt;width:17.15pt;height:14.2pt;z-index:-25147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" filled="f" stroked="f">
          <o:lock v:ext="edit" aspectratio="t" verticies="t" text="t" shapetype="t"/>
          <v:textbox inset="0,0,0,0">
            <w:txbxContent>
              <w:p w:rsidR="008142C4" w:rsidRDefault="003048D3">
                <w:pPr>
                  <w:spacing w:before="11"/>
                  <w:ind w:left="60"/>
                  <w:rPr>
                    <w:b/>
                  </w:rPr>
                </w:pPr>
                <w:r>
                  <w:fldChar w:fldCharType="begin"/>
                </w:r>
                <w:r>
                  <w:rPr>
                    <w:b/>
                  </w:rPr>
                  <w:instrText xml:space="preserve"> PAGE </w:instrText>
                </w:r>
                <w:r>
                  <w:fldChar w:fldCharType="separate"/>
                </w:r>
                <w:r>
                  <w:t>86</w:t>
                </w:r>
                <w:r>
                  <w:fldChar w:fldCharType="end"/>
                </w:r>
              </w:p>
            </w:txbxContent>
          </v:textbox>
          <w10:wrap anchorx="page" anchory="page"/>
        </v:shape>
      </w:pict>
    </w:r>
    <w:r>
      <w:rPr>
        <w:noProof/>
      </w:rPr>
      <w:pict w14:anchorId="5AC32E39">
        <v:shape id="Text Box 1208" o:spid="_x0000_s2343" type="#_x0000_t202" style="position:absolute;margin-left:84.1pt;margin-top:33.9pt;width:328.55pt;height:14.2pt;z-index:-25147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" filled="f" stroked="f">
          <o:lock v:ext="edit" aspectratio="t" verticies="t" text="t" shapetype="t"/>
          <v:textbox inset="0,0,0,0">
            <w:txbxContent>
              <w:p w:rsidR="008142C4" w:rsidRDefault="003048D3">
                <w:pPr>
                  <w:spacing w:before="11"/>
                  <w:ind w:left="20"/>
                  <w:rPr>
                    <w:b/>
                  </w:rPr>
                </w:pPr>
                <w:r>
                  <w:rPr>
                    <w:b/>
                    <w:w w:val="110"/>
                  </w:rPr>
                  <w:t>Usually First Diagnosed in Infancy, Childhood, or Adolescence</w:t>
                </w:r>
              </w:p>
            </w:txbxContent>
          </v:textbox>
          <w10:wrap anchorx="page" anchory="page"/>
        </v:shape>
      </w:pic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2B6CE0BD">
        <v:line id="Line 1213" o:spid="_x0000_s2342" style="position:absolute;z-index:-25147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49.9pt" to="411.25pt,49.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" strokeweight=".08478mm">
          <v:path arrowok="f"/>
          <o:lock v:ext="edit" aspectratio="t" verticies="t"/>
          <w10:wrap anchorx="page" anchory="page"/>
        </v:line>
      </w:pict>
    </w:r>
    <w:r>
      <w:rPr>
        <w:noProof/>
      </w:rPr>
      <w:pict w14:anchorId="7AFED882">
        <v:shapetype id="_x0000_t202" coordsize="21600,21600" o:spt="202" path="m,l,21600r21600,l21600,xe">
          <v:stroke joinstyle="miter"/>
          <v:path gradientshapeok="t" o:connecttype="rect"/>
        </v:shapetype>
        <v:shape id="Text Box 1212" o:spid="_x0000_s2341" type="#_x0000_t202" style="position:absolute;margin-left:253.6pt;margin-top:33.95pt;width:129.8pt;height:14.2pt;z-index:-25147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" filled="f" stroked="f">
          <o:lock v:ext="edit" aspectratio="t" verticies="t" text="t" shapetype="t"/>
          <v:textbox inset="0,0,0,0">
            <w:txbxContent>
              <w:p w:rsidR="008142C4" w:rsidRDefault="003048D3">
                <w:pPr>
                  <w:spacing w:before="11"/>
                  <w:ind w:left="20"/>
                  <w:rPr>
                    <w:b/>
                  </w:rPr>
                </w:pPr>
                <w:r>
                  <w:rPr>
                    <w:b/>
                    <w:w w:val="110"/>
                  </w:rPr>
                  <w:t>312.8 Conduct Disorder</w:t>
                </w:r>
              </w:p>
            </w:txbxContent>
          </v:textbox>
          <w10:wrap anchorx="page" anchory="page"/>
        </v:shape>
      </w:pict>
    </w:r>
    <w:r>
      <w:rPr>
        <w:noProof/>
      </w:rPr>
      <w:pict w14:anchorId="33F3525F">
        <v:shape id="Text Box 1211" o:spid="_x0000_s2340" type="#_x0000_t202" style="position:absolute;margin-left:395.1pt;margin-top:33.8pt;width:18.4pt;height:14.35pt;z-index:-25147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" filled="f" stroked="f">
          <o:lock v:ext="edit" aspectratio="t" verticies="t" text="t" shapetype="t"/>
          <v:textbox inset="0,0,0,0">
            <w:txbxContent>
              <w:p w:rsidR="008142C4" w:rsidRDefault="003048D3">
                <w:pPr>
                  <w:spacing w:before="13"/>
                  <w:ind w:left="62"/>
                  <w:rPr>
                    <w:b/>
                  </w:rPr>
                </w:pPr>
                <w:r>
                  <w:fldChar w:fldCharType="begin"/>
                </w:r>
                <w:r>
                  <w:rPr>
                    <w:b/>
                    <w:w w:val="110"/>
                  </w:rPr>
                  <w:instrText xml:space="preserve"> PAGE </w:instrText>
                </w:r>
                <w:r>
                  <w:fldChar w:fldCharType="separate"/>
                </w:r>
                <w:r>
                  <w:t>87</w:t>
                </w:r>
                <w:r>
                  <w:fldChar w:fldCharType="end"/>
                </w:r>
              </w:p>
            </w:txbxContent>
          </v:textbox>
          <w10:wrap anchorx="page" anchory="page"/>
        </v:shape>
      </w:pic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29984264">
        <v:shapetype id="_x0000_t202" coordsize="21600,21600" o:spt="202" path="m,l,21600r21600,l21600,xe">
          <v:stroke joinstyle="miter"/>
          <v:path gradientshapeok="t" o:connecttype="rect"/>
        </v:shapetype>
        <v:shape id="Text Box 1207" o:spid="_x0000_s2339" type="#_x0000_t202" style="position:absolute;margin-left:34.3pt;margin-top:33.2pt;width:16.7pt;height:14.2pt;z-index:-25146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" filled="f" stroked="f">
          <o:lock v:ext="edit" aspectratio="t" verticies="t" text="t" shapetype="t"/>
          <v:textbox inset="0,0,0,0">
            <w:txbxContent>
              <w:p w:rsidR="008142C4" w:rsidRDefault="003048D3">
                <w:pPr>
                  <w:spacing w:before="11"/>
                  <w:ind w:left="60"/>
                  <w:rPr>
                    <w:b/>
                  </w:rPr>
                </w:pPr>
                <w:r>
                  <w:fldChar w:fldCharType="begin"/>
                </w:r>
                <w:r>
                  <w:rPr>
                    <w:b/>
                    <w:u w:val="thick"/>
                  </w:rPr>
                  <w:instrText xml:space="preserve"> PAGE </w:instrText>
                </w:r>
                <w:r>
                  <w:fldChar w:fldCharType="separate"/>
                </w:r>
                <w:r>
                  <w:t>88</w:t>
                </w:r>
                <w:r>
                  <w:fldChar w:fldCharType="end"/>
                </w:r>
              </w:p>
            </w:txbxContent>
          </v:textbox>
          <w10:wrap anchorx="page" anchory="page"/>
        </v:shape>
      </w:pict>
    </w:r>
    <w:r>
      <w:rPr>
        <w:noProof/>
      </w:rPr>
      <w:pict w14:anchorId="6D9CB10C">
        <v:shape id="Text Box 1206" o:spid="_x0000_s2338" type="#_x0000_t202" style="position:absolute;margin-left:64.1pt;margin-top:33.2pt;width:328.55pt;height:14.2pt;z-index:-25146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" filled="f" stroked="f">
          <o:lock v:ext="edit" aspectratio="t" verticies="t" text="t" shapetype="t"/>
          <v:textbox inset="0,0,0,0">
            <w:txbxContent>
              <w:p w:rsidR="008142C4" w:rsidRDefault="003048D3">
                <w:pPr>
                  <w:spacing w:before="11"/>
                  <w:ind w:left="20"/>
                  <w:rPr>
                    <w:b/>
                  </w:rPr>
                </w:pPr>
                <w:r>
                  <w:rPr>
                    <w:b/>
                    <w:w w:val="110"/>
                    <w:u w:val="thick"/>
                  </w:rPr>
                  <w:t>Usually First Diagnosed in Infancy, Childhood, or</w:t>
                </w:r>
                <w:r>
                  <w:rPr>
                    <w:b/>
                    <w:spacing w:val="56"/>
                    <w:w w:val="110"/>
                    <w:u w:val="thick"/>
                  </w:rPr>
                  <w:t xml:space="preserve"> </w:t>
                </w:r>
                <w:r>
                  <w:rPr>
                    <w:b/>
                    <w:w w:val="110"/>
                    <w:u w:val="thick"/>
                  </w:rPr>
                  <w:t>Adolescence</w:t>
                </w:r>
              </w:p>
            </w:txbxContent>
          </v:textbox>
          <w10:wrap anchorx="page" anchory="page"/>
        </v:shape>
      </w:pic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57CA4236">
        <v:line id="Line 1205" o:spid="_x0000_s2337" style="position:absolute;z-index:-25146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1pt,49.45pt" to="410.35pt,49.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" strokeweight=".16958mm">
          <v:path arrowok="f"/>
          <o:lock v:ext="edit" aspectratio="t" verticies="t"/>
          <w10:wrap anchorx="page" anchory="page"/>
        </v:line>
      </w:pict>
    </w:r>
    <w:r>
      <w:rPr>
        <w:noProof/>
      </w:rPr>
      <w:pict w14:anchorId="275610D2">
        <v:shapetype id="_x0000_t202" coordsize="21600,21600" o:spt="202" path="m,l,21600r21600,l21600,xe">
          <v:stroke joinstyle="miter"/>
          <v:path gradientshapeok="t" o:connecttype="rect"/>
        </v:shapetype>
        <v:shape id="Text Box 1204" o:spid="_x0000_s2336" type="#_x0000_t202" style="position:absolute;margin-left:231.65pt;margin-top:34.8pt;width:129.95pt;height:13.65pt;z-index:-25146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" filled="f" stroked="f">
          <o:lock v:ext="edit" aspectratio="t" verticies="t" text="t" shapetype="t"/>
          <v:textbox inset="0,0,0,0">
            <w:txbxContent>
              <w:p w:rsidR="008142C4" w:rsidRDefault="003048D3">
                <w:pPr>
                  <w:spacing w:before="11"/>
                  <w:ind w:left="20"/>
                  <w:rPr>
                    <w:b/>
                    <w:sz w:val="21"/>
                  </w:rPr>
                </w:pPr>
                <w:r>
                  <w:rPr>
                    <w:b/>
                    <w:w w:val="115"/>
                    <w:sz w:val="21"/>
                  </w:rPr>
                  <w:t>312.8 Conduct Disorder</w:t>
                </w:r>
              </w:p>
            </w:txbxContent>
          </v:textbox>
          <w10:wrap anchorx="page" anchory="page"/>
        </v:shape>
      </w:pict>
    </w:r>
    <w:r>
      <w:rPr>
        <w:noProof/>
      </w:rPr>
      <w:pict w14:anchorId="25DEB557">
        <v:shape id="Text Box 1203" o:spid="_x0000_s2335" type="#_x0000_t202" style="position:absolute;margin-left:375.55pt;margin-top:34.8pt;width:14.25pt;height:13.65pt;z-index:-25146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" filled="f" stroked="f">
          <o:lock v:ext="edit" aspectratio="t" verticies="t" text="t" shapetype="t"/>
          <v:textbox inset="0,0,0,0">
            <w:txbxContent>
              <w:p w:rsidR="008142C4" w:rsidRDefault="003048D3">
                <w:pPr>
                  <w:spacing w:before="11"/>
                  <w:ind w:left="20"/>
                  <w:rPr>
                    <w:b/>
                    <w:sz w:val="21"/>
                  </w:rPr>
                </w:pPr>
                <w:r>
                  <w:rPr>
                    <w:b/>
                    <w:w w:val="115"/>
                    <w:sz w:val="21"/>
                  </w:rPr>
                  <w:t>89</w:t>
                </w:r>
              </w:p>
            </w:txbxContent>
          </v:textbox>
          <w10:wrap anchorx="page" anchory="page"/>
        </v:shape>
      </w:pic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1070882A">
        <v:line id="Line 1202" o:spid="_x0000_s2334" style="position:absolute;z-index:-25146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35pt,49.3pt" to="410.6pt,49.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" strokeweight=".16958mm">
          <v:path arrowok="f"/>
          <o:lock v:ext="edit" aspectratio="t" verticies="t"/>
          <w10:wrap anchorx="page" anchory="page"/>
        </v:line>
      </w:pict>
    </w:r>
    <w:r>
      <w:rPr>
        <w:noProof/>
      </w:rPr>
      <w:pict w14:anchorId="6F30E525">
        <v:shapetype id="_x0000_t202" coordsize="21600,21600" o:spt="202" path="m,l,21600r21600,l21600,xe">
          <v:stroke joinstyle="miter"/>
          <v:path gradientshapeok="t" o:connecttype="rect"/>
        </v:shapetype>
        <v:shape id="Text Box 1201" o:spid="_x0000_s2333" type="#_x0000_t202" style="position:absolute;margin-left:33.25pt;margin-top:33.15pt;width:19.35pt;height:14.3pt;z-index:-25146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" filled="f" stroked="f">
          <o:lock v:ext="edit" aspectratio="t" verticies="t" text="t" shapetype="t"/>
          <v:textbox inset="0,0,0,0">
            <w:txbxContent>
              <w:p w:rsidR="008142C4" w:rsidRDefault="003048D3">
                <w:pPr>
                  <w:spacing w:before="11"/>
                  <w:ind w:left="60"/>
                  <w:rPr>
                    <w:b/>
                  </w:rPr>
                </w:pPr>
                <w:r>
                  <w:fldChar w:fldCharType="begin"/>
                </w:r>
                <w:r>
                  <w:rPr>
                    <w:b/>
                    <w:w w:val="110"/>
                  </w:rPr>
                  <w:instrText xml:space="preserve"> PAGE </w:instrText>
                </w:r>
                <w:r>
                  <w:fldChar w:fldCharType="separate"/>
                </w:r>
                <w:r>
                  <w:t>90</w:t>
                </w:r>
                <w:r>
                  <w:fldChar w:fldCharType="end"/>
                </w:r>
              </w:p>
            </w:txbxContent>
          </v:textbox>
          <w10:wrap anchorx="page" anchory="page"/>
        </v:shape>
      </w:pict>
    </w:r>
    <w:r>
      <w:rPr>
        <w:noProof/>
      </w:rPr>
      <w:pict w14:anchorId="18EE1215">
        <v:shape id="Text Box 1200" o:spid="_x0000_s2332" type="#_x0000_t202" style="position:absolute;margin-left:63.25pt;margin-top:33.15pt;width:328pt;height:14.2pt;z-index:-25146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" filled="f" stroked="f">
          <o:lock v:ext="edit" aspectratio="t" verticies="t" text="t" shapetype="t"/>
          <v:textbox inset="0,0,0,0">
            <w:txbxContent>
              <w:p w:rsidR="008142C4" w:rsidRDefault="003048D3">
                <w:pPr>
                  <w:spacing w:before="11"/>
                  <w:ind w:left="20"/>
                  <w:rPr>
                    <w:b/>
                  </w:rPr>
                </w:pPr>
                <w:r>
                  <w:rPr>
                    <w:b/>
                    <w:w w:val="110"/>
                  </w:rPr>
                  <w:t>Usually First Diagnosed in Infancy, Childhood, or Adolescence</w:t>
                </w:r>
              </w:p>
            </w:txbxContent>
          </v:textbox>
          <w10:wrap anchorx="page" anchory="page"/>
        </v:shape>
      </w:pic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77F747CC">
        <v:line id="Line 1199" o:spid="_x0000_s2331" style="position:absolute;z-index:-25146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7pt,49.55pt" to="410.95pt,49.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" strokeweight=".16958mm">
          <v:path arrowok="f"/>
          <o:lock v:ext="edit" aspectratio="t" verticies="t"/>
          <w10:wrap anchorx="page" anchory="page"/>
        </v:line>
      </w:pict>
    </w:r>
    <w:r>
      <w:rPr>
        <w:noProof/>
      </w:rPr>
      <w:pict w14:anchorId="0523EA8E">
        <v:shapetype id="_x0000_t202" coordsize="21600,21600" o:spt="202" path="m,l,21600r21600,l21600,xe">
          <v:stroke joinstyle="miter"/>
          <v:path gradientshapeok="t" o:connecttype="rect"/>
        </v:shapetype>
        <v:shape id="Text Box 1198" o:spid="_x0000_s2330" type="#_x0000_t202" style="position:absolute;margin-left:161.35pt;margin-top:33.95pt;width:201.8pt;height:14.2pt;z-index:-25146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" filled="f" stroked="f">
          <o:lock v:ext="edit" aspectratio="t" verticies="t" text="t" shapetype="t"/>
          <v:textbox inset="0,0,0,0">
            <w:txbxContent>
              <w:p w:rsidR="008142C4" w:rsidRDefault="003048D3">
                <w:pPr>
                  <w:spacing w:before="11"/>
                  <w:ind w:left="20"/>
                  <w:rPr>
                    <w:b/>
                  </w:rPr>
                </w:pPr>
                <w:r>
                  <w:rPr>
                    <w:b/>
                    <w:w w:val="110"/>
                  </w:rPr>
                  <w:t>313.81 Oppositional Def1ant Disorder</w:t>
                </w:r>
              </w:p>
            </w:txbxContent>
          </v:textbox>
          <w10:wrap anchorx="page" anchory="page"/>
        </v:shape>
      </w:pict>
    </w:r>
    <w:r>
      <w:rPr>
        <w:noProof/>
      </w:rPr>
      <w:pict w14:anchorId="17FEA746">
        <v:shape id="Text Box 1197" o:spid="_x0000_s2329" type="#_x0000_t202" style="position:absolute;margin-left:377.4pt;margin-top:33.95pt;width:14.15pt;height:14.2pt;z-index:-25145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" filled="f" stroked="f">
          <o:lock v:ext="edit" aspectratio="t" verticies="t" text="t" shapetype="t"/>
          <v:textbox inset="0,0,0,0">
            <w:txbxContent>
              <w:p w:rsidR="008142C4" w:rsidRDefault="003048D3">
                <w:pPr>
                  <w:spacing w:before="11"/>
                  <w:ind w:left="20"/>
                  <w:rPr>
                    <w:b/>
                  </w:rPr>
                </w:pPr>
                <w:r>
                  <w:rPr>
                    <w:b/>
                    <w:w w:val="110"/>
                  </w:rPr>
                  <w:t>91</w:t>
                </w:r>
              </w:p>
            </w:txbxContent>
          </v:textbox>
          <w10:wrap anchorx="page" anchory="page"/>
        </v:shape>
      </w:pic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183BC737">
        <v:line id="Line 1196" o:spid="_x0000_s2328" style="position:absolute;z-index:-25145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2pt,49.2pt" to="412.5pt,49.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" strokeweight=".16958mm">
          <v:path arrowok="f"/>
          <o:lock v:ext="edit" aspectratio="t" verticies="t"/>
          <w10:wrap anchorx="page" anchory="page"/>
        </v:line>
      </w:pict>
    </w:r>
    <w:r>
      <w:rPr>
        <w:noProof/>
      </w:rPr>
      <w:pict w14:anchorId="23D7CA97">
        <v:shapetype id="_x0000_t202" coordsize="21600,21600" o:spt="202" path="m,l,21600r21600,l21600,xe">
          <v:stroke joinstyle="miter"/>
          <v:path gradientshapeok="t" o:connecttype="rect"/>
        </v:shapetype>
        <v:shape id="Text Box 1195" o:spid="_x0000_s2327" type="#_x0000_t202" style="position:absolute;margin-left:182.3pt;margin-top:33.3pt;width:201.8pt;height:14.2pt;z-index:-25145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" filled="f" stroked="f">
          <o:lock v:ext="edit" aspectratio="t" verticies="t" text="t" shapetype="t"/>
          <v:textbox inset="0,0,0,0">
            <w:txbxContent>
              <w:p w:rsidR="008142C4" w:rsidRDefault="003048D3">
                <w:pPr>
                  <w:spacing w:before="11"/>
                  <w:ind w:left="20"/>
                  <w:rPr>
                    <w:b/>
                  </w:rPr>
                </w:pPr>
                <w:r>
                  <w:rPr>
                    <w:b/>
                    <w:w w:val="110"/>
                  </w:rPr>
                  <w:t>313.81 Oppositional Defiant Disorder</w:t>
                </w:r>
              </w:p>
            </w:txbxContent>
          </v:textbox>
          <w10:wrap anchorx="page" anchory="page"/>
        </v:shape>
      </w:pict>
    </w:r>
    <w:r>
      <w:rPr>
        <w:noProof/>
      </w:rPr>
      <w:pict w14:anchorId="725AFF25">
        <v:shape id="Text Box 1194" o:spid="_x0000_s2326" type="#_x0000_t202" style="position:absolute;margin-left:398.15pt;margin-top:33.3pt;width:14.15pt;height:14.2pt;z-index:-25145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" filled="f" stroked="f">
          <o:lock v:ext="edit" aspectratio="t" verticies="t" text="t" shapetype="t"/>
          <v:textbox inset="0,0,0,0">
            <w:txbxContent>
              <w:p w:rsidR="008142C4" w:rsidRDefault="003048D3">
                <w:pPr>
                  <w:spacing w:before="11"/>
                  <w:ind w:left="20"/>
                  <w:rPr>
                    <w:b/>
                  </w:rPr>
                </w:pPr>
                <w:r>
                  <w:rPr>
                    <w:b/>
                    <w:w w:val="110"/>
                  </w:rPr>
                  <w:t>93</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rPr>
        <w:sz w:val="2"/>
      </w:rP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7D34F918">
        <v:shapetype id="_x0000_t202" coordsize="21600,21600" o:spt="202" path="m,l,21600r21600,l21600,xe">
          <v:stroke joinstyle="miter"/>
          <v:path gradientshapeok="t" o:connecttype="rect"/>
        </v:shapetype>
        <v:shape id="Text Box 1193" o:spid="_x0000_s2325" type="#_x0000_t202" style="position:absolute;margin-left:52.9pt;margin-top:33.5pt;width:18.25pt;height:14.2pt;z-index:-25145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" filled="f" stroked="f">
          <o:lock v:ext="edit" aspectratio="t" verticies="t" text="t" shapetype="t"/>
          <v:textbox inset="0,0,0,0">
            <w:txbxContent>
              <w:p w:rsidR="008142C4" w:rsidRDefault="003048D3">
                <w:pPr>
                  <w:spacing w:before="11"/>
                  <w:ind w:left="60"/>
                  <w:rPr>
                    <w:b/>
                  </w:rPr>
                </w:pPr>
                <w:r>
                  <w:rPr>
                    <w:b/>
                    <w:w w:val="110"/>
                    <w:u w:val="thick"/>
                  </w:rPr>
                  <w:t>94</w:t>
                </w:r>
              </w:p>
            </w:txbxContent>
          </v:textbox>
          <w10:wrap anchorx="page" anchory="page"/>
        </v:shape>
      </w:pict>
    </w:r>
    <w:r>
      <w:rPr>
        <w:noProof/>
      </w:rPr>
      <w:pict w14:anchorId="16BB3DEB">
        <v:shape id="Text Box 1192" o:spid="_x0000_s2324" type="#_x0000_t202" style="position:absolute;margin-left:82.9pt;margin-top:33.5pt;width:327.95pt;height:14.2pt;z-index:-25145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" filled="f" stroked="f">
          <o:lock v:ext="edit" aspectratio="t" verticies="t" text="t" shapetype="t"/>
          <v:textbox inset="0,0,0,0">
            <w:txbxContent>
              <w:p w:rsidR="008142C4" w:rsidRDefault="003048D3">
                <w:pPr>
                  <w:spacing w:before="11"/>
                  <w:ind w:left="20"/>
                  <w:rPr>
                    <w:b/>
                  </w:rPr>
                </w:pPr>
                <w:r>
                  <w:rPr>
                    <w:b/>
                    <w:w w:val="110"/>
                    <w:u w:val="thick"/>
                  </w:rPr>
                  <w:t xml:space="preserve">Usually First Diagnosed </w:t>
                </w:r>
                <w:r>
                  <w:rPr>
                    <w:b/>
                    <w:w w:val="110"/>
                    <w:sz w:val="21"/>
                    <w:u w:val="thick"/>
                  </w:rPr>
                  <w:t xml:space="preserve">in </w:t>
                </w:r>
                <w:r>
                  <w:rPr>
                    <w:b/>
                    <w:w w:val="110"/>
                    <w:u w:val="thick"/>
                  </w:rPr>
                  <w:t>Infancy, Childhood, or Adolescence</w:t>
                </w:r>
              </w:p>
            </w:txbxContent>
          </v:textbox>
          <w10:wrap anchorx="page" anchory="page"/>
        </v:shape>
      </w:pic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4A009198">
        <v:line id="Line 1191" o:spid="_x0000_s2323" style="position:absolute;z-index:-25145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15pt,48.95pt" to="412.4pt,48.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" strokeweight=".16958mm">
          <v:path arrowok="f"/>
          <o:lock v:ext="edit" aspectratio="t" verticies="t"/>
          <w10:wrap anchorx="page" anchory="page"/>
        </v:line>
      </w:pict>
    </w:r>
    <w:r>
      <w:rPr>
        <w:noProof/>
      </w:rPr>
      <w:pict w14:anchorId="272DC8B1">
        <v:shapetype id="_x0000_t202" coordsize="21600,21600" o:spt="202" path="m,l,21600r21600,l21600,xe">
          <v:stroke joinstyle="miter"/>
          <v:path gradientshapeok="t" o:connecttype="rect"/>
        </v:shapetype>
        <v:shape id="Text Box 1190" o:spid="_x0000_s2322" type="#_x0000_t202" style="position:absolute;margin-left:319.55pt;margin-top:32.9pt;width:93.2pt;height:14.8pt;z-index:-25145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" filled="f" stroked="f">
          <o:lock v:ext="edit" aspectratio="t" verticies="t" text="t" shapetype="t"/>
          <v:textbox inset="0,0,0,0">
            <w:txbxContent>
              <w:p w:rsidR="008142C4" w:rsidRDefault="003048D3">
                <w:pPr>
                  <w:tabs>
                    <w:tab w:val="left" w:pos="1594"/>
                  </w:tabs>
                  <w:spacing w:before="10"/>
                  <w:ind w:left="20"/>
                  <w:rPr>
                    <w:b/>
                    <w:sz w:val="23"/>
                  </w:rPr>
                </w:pPr>
                <w:r>
                  <w:rPr>
                    <w:b/>
                    <w:w w:val="110"/>
                    <w:sz w:val="23"/>
                  </w:rPr>
                  <w:t xml:space="preserve">307.52 </w:t>
                </w:r>
                <w:r>
                  <w:rPr>
                    <w:b/>
                    <w:spacing w:val="13"/>
                    <w:w w:val="110"/>
                    <w:sz w:val="23"/>
                  </w:rPr>
                  <w:t xml:space="preserve"> </w:t>
                </w:r>
                <w:r>
                  <w:rPr>
                    <w:b/>
                    <w:w w:val="110"/>
                  </w:rPr>
                  <w:t>Pica</w:t>
                </w:r>
                <w:r>
                  <w:rPr>
                    <w:b/>
                    <w:w w:val="110"/>
                  </w:rPr>
                  <w:tab/>
                </w:r>
                <w:r>
                  <w:rPr>
                    <w:b/>
                    <w:w w:val="110"/>
                    <w:sz w:val="23"/>
                  </w:rPr>
                  <w:t>95</w:t>
                </w:r>
              </w:p>
            </w:txbxContent>
          </v:textbox>
          <w10:wrap anchorx="page" anchory="page"/>
        </v:shape>
      </w:pic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606E6D69">
        <v:line id="Line 1189" o:spid="_x0000_s2321" style="position:absolute;z-index:-25145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25pt,49.5pt" to="411.55pt,4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" strokeweight=".16958mm">
          <v:path arrowok="f"/>
          <o:lock v:ext="edit" aspectratio="t" verticies="t"/>
          <w10:wrap anchorx="page" anchory="page"/>
        </v:line>
      </w:pict>
    </w:r>
    <w:r>
      <w:rPr>
        <w:noProof/>
      </w:rPr>
      <w:pict w14:anchorId="0771E881">
        <v:shapetype id="_x0000_t202" coordsize="21600,21600" o:spt="202" path="m,l,21600r21600,l21600,xe">
          <v:stroke joinstyle="miter"/>
          <v:path gradientshapeok="t" o:connecttype="rect"/>
        </v:shapetype>
        <v:shape id="Text Box 1188" o:spid="_x0000_s2320" type="#_x0000_t202" style="position:absolute;margin-left:54.45pt;margin-top:32.65pt;width:23.7pt;height:14.6pt;z-index:-25145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" filled="f" stroked="f">
          <o:lock v:ext="edit" aspectratio="t" verticies="t" text="t" shapetype="t"/>
          <v:textbox inset="0,0,0,0">
            <w:txbxContent>
              <w:p w:rsidR="008142C4" w:rsidRDefault="003048D3">
                <w:pPr>
                  <w:spacing w:before="11"/>
                  <w:ind w:left="60"/>
                  <w:rPr>
                    <w:b/>
                  </w:rPr>
                </w:pPr>
                <w:r>
                  <w:rPr>
                    <w:b/>
                    <w:w w:val="105"/>
                  </w:rPr>
                  <w:t>100</w:t>
                </w:r>
              </w:p>
            </w:txbxContent>
          </v:textbox>
          <w10:wrap anchorx="page" anchory="page"/>
        </v:shape>
      </w:pict>
    </w:r>
    <w:r>
      <w:rPr>
        <w:noProof/>
      </w:rPr>
      <w:pict w14:anchorId="4D055EE5">
        <v:shape id="Text Box 1187" o:spid="_x0000_s2319" type="#_x0000_t202" style="position:absolute;margin-left:90.85pt;margin-top:32.65pt;width:327.95pt;height:14.2pt;z-index:-25144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" filled="f" stroked="f">
          <o:lock v:ext="edit" aspectratio="t" verticies="t" text="t" shapetype="t"/>
          <v:textbox inset="0,0,0,0">
            <w:txbxContent>
              <w:p w:rsidR="008142C4" w:rsidRDefault="003048D3">
                <w:pPr>
                  <w:spacing w:before="11"/>
                  <w:ind w:left="20"/>
                  <w:rPr>
                    <w:b/>
                  </w:rPr>
                </w:pPr>
                <w:r>
                  <w:rPr>
                    <w:b/>
                    <w:w w:val="110"/>
                  </w:rPr>
                  <w:t>Usually First Diagnosed in Infancy, Childhood, or Adolescence</w:t>
                </w:r>
              </w:p>
            </w:txbxContent>
          </v:textbox>
          <w10:wrap anchorx="page" anchory="page"/>
        </v:shape>
      </w:pic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5442573B">
        <v:line id="Line 1186" o:spid="_x0000_s2318" style="position:absolute;z-index:-25144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25pt,49.3pt" to="412.7pt,49.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" strokeweight=".16958mm">
          <v:path arrowok="f"/>
          <o:lock v:ext="edit" aspectratio="t" verticies="t"/>
          <w10:wrap anchorx="page" anchory="page"/>
        </v:line>
      </w:pict>
    </w:r>
    <w:r>
      <w:rPr>
        <w:noProof/>
      </w:rPr>
      <w:pict w14:anchorId="1D6F8BDB">
        <v:shapetype id="_x0000_t202" coordsize="21600,21600" o:spt="202" path="m,l,21600r21600,l21600,xe">
          <v:stroke joinstyle="miter"/>
          <v:path gradientshapeok="t" o:connecttype="rect"/>
        </v:shapetype>
        <v:shape id="Text Box 1185" o:spid="_x0000_s2317" type="#_x0000_t202" style="position:absolute;margin-left:230.55pt;margin-top:33.7pt;width:154.25pt;height:14.2pt;z-index:-25144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" filled="f" stroked="f">
          <o:lock v:ext="edit" aspectratio="t" verticies="t" text="t" shapetype="t"/>
          <v:textbox inset="0,0,0,0">
            <w:txbxContent>
              <w:p w:rsidR="008142C4" w:rsidRDefault="003048D3">
                <w:pPr>
                  <w:spacing w:before="11"/>
                  <w:ind w:left="20"/>
                  <w:rPr>
                    <w:b/>
                  </w:rPr>
                </w:pPr>
                <w:r>
                  <w:rPr>
                    <w:b/>
                    <w:w w:val="110"/>
                  </w:rPr>
                  <w:t>307.53 Rumination Disorder</w:t>
                </w:r>
              </w:p>
            </w:txbxContent>
          </v:textbox>
          <w10:wrap anchorx="page" anchory="page"/>
        </v:shape>
      </w:pict>
    </w:r>
    <w:r>
      <w:rPr>
        <w:noProof/>
      </w:rPr>
      <w:pict w14:anchorId="514D7A01">
        <v:shape id="Text Box 1184" o:spid="_x0000_s2316" type="#_x0000_t202" style="position:absolute;margin-left:399.1pt;margin-top:33.7pt;width:14.15pt;height:14.2pt;z-index:-25144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" filled="f" stroked="f">
          <o:lock v:ext="edit" aspectratio="t" verticies="t" text="t" shapetype="t"/>
          <v:textbox inset="0,0,0,0">
            <w:txbxContent>
              <w:p w:rsidR="008142C4" w:rsidRDefault="003048D3">
                <w:pPr>
                  <w:spacing w:before="11"/>
                  <w:ind w:left="20"/>
                  <w:rPr>
                    <w:b/>
                  </w:rPr>
                </w:pPr>
                <w:r>
                  <w:rPr>
                    <w:b/>
                    <w:w w:val="110"/>
                  </w:rPr>
                  <w:t>97</w:t>
                </w:r>
              </w:p>
            </w:txbxContent>
          </v:textbox>
          <w10:wrap anchorx="page" anchory="page"/>
        </v:shape>
      </w:pic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3FEA6ED0">
        <v:line id="Line 1183" o:spid="_x0000_s2315" style="position:absolute;z-index:-25144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6pt,49.4pt" to="411.9pt,49.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" strokeweight=".25436mm">
          <v:path arrowok="f"/>
          <o:lock v:ext="edit" aspectratio="t" verticies="t"/>
          <w10:wrap anchorx="page" anchory="page"/>
        </v:line>
      </w:pict>
    </w:r>
    <w:r>
      <w:rPr>
        <w:noProof/>
      </w:rPr>
      <w:pict w14:anchorId="72164C5F">
        <v:shapetype id="_x0000_t202" coordsize="21600,21600" o:spt="202" path="m,l,21600r21600,l21600,xe">
          <v:stroke joinstyle="miter"/>
          <v:path gradientshapeok="t" o:connecttype="rect"/>
        </v:shapetype>
        <v:shape id="Text Box 1182" o:spid="_x0000_s2314" type="#_x0000_t202" style="position:absolute;margin-left:54.95pt;margin-top:33.55pt;width:17.95pt;height:14.2pt;z-index:-2514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" filled="f" stroked="f">
          <o:lock v:ext="edit" aspectratio="t" verticies="t" text="t" shapetype="t"/>
          <v:textbox inset="0,0,0,0">
            <w:txbxContent>
              <w:p w:rsidR="008142C4" w:rsidRDefault="003048D3">
                <w:pPr>
                  <w:spacing w:before="11"/>
                  <w:ind w:left="60"/>
                  <w:rPr>
                    <w:b/>
                  </w:rPr>
                </w:pPr>
                <w:r>
                  <w:rPr>
                    <w:b/>
                    <w:w w:val="110"/>
                  </w:rPr>
                  <w:t>98</w:t>
                </w:r>
              </w:p>
            </w:txbxContent>
          </v:textbox>
          <w10:wrap anchorx="page" anchory="page"/>
        </v:shape>
      </w:pict>
    </w:r>
    <w:r>
      <w:rPr>
        <w:noProof/>
      </w:rPr>
      <w:pict w14:anchorId="249E2612">
        <v:shape id="Text Box 1181" o:spid="_x0000_s2313" type="#_x0000_t202" style="position:absolute;margin-left:84.7pt;margin-top:33.55pt;width:327.75pt;height:14.2pt;z-index:-25144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" filled="f" stroked="f">
          <o:lock v:ext="edit" aspectratio="t" verticies="t" text="t" shapetype="t"/>
          <v:textbox inset="0,0,0,0">
            <w:txbxContent>
              <w:p w:rsidR="008142C4" w:rsidRDefault="003048D3">
                <w:pPr>
                  <w:spacing w:before="11"/>
                  <w:ind w:left="20"/>
                  <w:rPr>
                    <w:b/>
                  </w:rPr>
                </w:pPr>
                <w:r>
                  <w:rPr>
                    <w:b/>
                    <w:w w:val="110"/>
                  </w:rPr>
                  <w:t>Usually First Diagnosed in Infancy, Childhood, or Adolescence</w:t>
                </w:r>
              </w:p>
            </w:txbxContent>
          </v:textbox>
          <w10:wrap anchorx="page" anchory="page"/>
        </v:shape>
      </w:pic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448A4E3A">
        <v:line id="Line 1180" o:spid="_x0000_s2312" style="position:absolute;z-index:-25144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15pt,49.7pt" to="411.5pt,49.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" strokeweight=".25436mm">
          <v:path arrowok="f"/>
          <o:lock v:ext="edit" aspectratio="t" verticies="t"/>
          <w10:wrap anchorx="page" anchory="page"/>
        </v:line>
      </w:pict>
    </w:r>
    <w:r>
      <w:rPr>
        <w:noProof/>
      </w:rPr>
      <w:pict w14:anchorId="22844743">
        <v:shapetype id="_x0000_t202" coordsize="21600,21600" o:spt="202" path="m,l,21600r21600,l21600,xe">
          <v:stroke joinstyle="miter"/>
          <v:path gradientshapeok="t" o:connecttype="rect"/>
        </v:shapetype>
        <v:shape id="Text Box 1179" o:spid="_x0000_s2311" type="#_x0000_t202" style="position:absolute;margin-left:90.6pt;margin-top:33.4pt;width:292.5pt;height:14.8pt;z-index:-2514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" filled="f" stroked="f">
          <o:lock v:ext="edit" aspectratio="t" verticies="t" text="t" shapetype="t"/>
          <v:textbox inset="0,0,0,0">
            <w:txbxContent>
              <w:p w:rsidR="008142C4" w:rsidRDefault="003048D3">
                <w:pPr>
                  <w:spacing w:before="10"/>
                  <w:ind w:left="20"/>
                  <w:rPr>
                    <w:b/>
                    <w:sz w:val="23"/>
                  </w:rPr>
                </w:pPr>
                <w:r>
                  <w:rPr>
                    <w:b/>
                    <w:w w:val="110"/>
                    <w:sz w:val="23"/>
                  </w:rPr>
                  <w:t>307.59</w:t>
                </w:r>
                <w:r>
                  <w:rPr>
                    <w:b/>
                    <w:spacing w:val="46"/>
                    <w:w w:val="110"/>
                    <w:sz w:val="23"/>
                  </w:rPr>
                  <w:t xml:space="preserve"> </w:t>
                </w:r>
                <w:r>
                  <w:rPr>
                    <w:b/>
                    <w:w w:val="110"/>
                    <w:sz w:val="23"/>
                  </w:rPr>
                  <w:t>Feeding</w:t>
                </w:r>
                <w:r>
                  <w:rPr>
                    <w:b/>
                    <w:spacing w:val="-19"/>
                    <w:w w:val="110"/>
                    <w:sz w:val="23"/>
                  </w:rPr>
                  <w:t xml:space="preserve"> </w:t>
                </w:r>
                <w:r>
                  <w:rPr>
                    <w:b/>
                    <w:w w:val="110"/>
                    <w:sz w:val="23"/>
                  </w:rPr>
                  <w:t>Disorder</w:t>
                </w:r>
                <w:r>
                  <w:rPr>
                    <w:b/>
                    <w:spacing w:val="-27"/>
                    <w:w w:val="110"/>
                    <w:sz w:val="23"/>
                  </w:rPr>
                  <w:t xml:space="preserve"> </w:t>
                </w:r>
                <w:r>
                  <w:rPr>
                    <w:b/>
                    <w:w w:val="110"/>
                    <w:sz w:val="23"/>
                  </w:rPr>
                  <w:t>oflnfancy</w:t>
                </w:r>
                <w:r>
                  <w:rPr>
                    <w:b/>
                    <w:spacing w:val="-24"/>
                    <w:w w:val="110"/>
                    <w:sz w:val="23"/>
                  </w:rPr>
                  <w:t xml:space="preserve"> </w:t>
                </w:r>
                <w:r>
                  <w:rPr>
                    <w:b/>
                    <w:w w:val="110"/>
                    <w:sz w:val="23"/>
                  </w:rPr>
                  <w:t>or</w:t>
                </w:r>
                <w:r>
                  <w:rPr>
                    <w:b/>
                    <w:spacing w:val="-33"/>
                    <w:w w:val="110"/>
                    <w:sz w:val="23"/>
                  </w:rPr>
                  <w:t xml:space="preserve"> </w:t>
                </w:r>
                <w:r>
                  <w:rPr>
                    <w:b/>
                    <w:w w:val="110"/>
                    <w:sz w:val="23"/>
                  </w:rPr>
                  <w:t>Early</w:t>
                </w:r>
                <w:r>
                  <w:rPr>
                    <w:b/>
                    <w:spacing w:val="-28"/>
                    <w:w w:val="110"/>
                    <w:sz w:val="23"/>
                  </w:rPr>
                  <w:t xml:space="preserve"> </w:t>
                </w:r>
                <w:r>
                  <w:rPr>
                    <w:b/>
                    <w:w w:val="110"/>
                    <w:sz w:val="23"/>
                  </w:rPr>
                  <w:t>Childhood</w:t>
                </w:r>
              </w:p>
            </w:txbxContent>
          </v:textbox>
          <w10:wrap anchorx="page" anchory="page"/>
        </v:shape>
      </w:pict>
    </w:r>
    <w:r>
      <w:rPr>
        <w:noProof/>
      </w:rPr>
      <w:pict w14:anchorId="38F35C9B">
        <v:shape id="Text Box 1178" o:spid="_x0000_s2310" type="#_x0000_t202" style="position:absolute;margin-left:397.65pt;margin-top:33.4pt;width:14.7pt;height:14.8pt;z-index:-25144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" filled="f" stroked="f">
          <o:lock v:ext="edit" aspectratio="t" verticies="t" text="t" shapetype="t"/>
          <v:textbox inset="0,0,0,0">
            <w:txbxContent>
              <w:p w:rsidR="008142C4" w:rsidRDefault="003048D3">
                <w:pPr>
                  <w:spacing w:before="10"/>
                  <w:ind w:left="20"/>
                  <w:rPr>
                    <w:b/>
                    <w:sz w:val="23"/>
                  </w:rPr>
                </w:pPr>
                <w:r>
                  <w:rPr>
                    <w:b/>
                    <w:w w:val="110"/>
                    <w:sz w:val="23"/>
                  </w:rPr>
                  <w:t>99</w:t>
                </w:r>
              </w:p>
            </w:txbxContent>
          </v:textbox>
          <w10:wrap anchorx="page" anchory="page"/>
        </v:shape>
      </w:pic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6E1C6B81">
        <v:line id="Line 1177" o:spid="_x0000_s2309" style="position:absolute;z-index:-25143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55pt,49.25pt" to="411.75pt,49.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" strokeweight=".25433mm">
          <v:path arrowok="f"/>
          <o:lock v:ext="edit" aspectratio="t" verticies="t"/>
          <w10:wrap anchorx="page" anchory="page"/>
        </v:line>
      </w:pict>
    </w:r>
    <w:r>
      <w:rPr>
        <w:noProof/>
      </w:rPr>
      <w:pict w14:anchorId="41076E5A">
        <v:shapetype id="_x0000_t202" coordsize="21600,21600" o:spt="202" path="m,l,21600r21600,l21600,xe">
          <v:stroke joinstyle="miter"/>
          <v:path gradientshapeok="t" o:connecttype="rect"/>
        </v:shapetype>
        <v:shape id="Text Box 1176" o:spid="_x0000_s2308" type="#_x0000_t202" style="position:absolute;margin-left:53.45pt;margin-top:33.15pt;width:23.7pt;height:14.2pt;z-index:-2514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" filled="f" stroked="f">
          <o:lock v:ext="edit" aspectratio="t" verticies="t" text="t" shapetype="t"/>
          <v:textbox inset="0,0,0,0">
            <w:txbxContent>
              <w:p w:rsidR="008142C4" w:rsidRDefault="003048D3">
                <w:pPr>
                  <w:spacing w:before="11"/>
                  <w:ind w:left="60"/>
                  <w:rPr>
                    <w:b/>
                  </w:rPr>
                </w:pPr>
                <w:r>
                  <w:rPr>
                    <w:b/>
                    <w:w w:val="105"/>
                  </w:rPr>
                  <w:t>100</w:t>
                </w:r>
              </w:p>
            </w:txbxContent>
          </v:textbox>
          <w10:wrap anchorx="page" anchory="page"/>
        </v:shape>
      </w:pict>
    </w:r>
    <w:r>
      <w:rPr>
        <w:noProof/>
      </w:rPr>
      <w:pict w14:anchorId="589D6FB7">
        <v:shape id="Text Box 1175" o:spid="_x0000_s2307" type="#_x0000_t202" style="position:absolute;margin-left:89.85pt;margin-top:33.15pt;width:327.95pt;height:14.2pt;z-index:-25143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" filled="f" stroked="f">
          <o:lock v:ext="edit" aspectratio="t" verticies="t" text="t" shapetype="t"/>
          <v:textbox inset="0,0,0,0">
            <w:txbxContent>
              <w:p w:rsidR="008142C4" w:rsidRDefault="003048D3">
                <w:pPr>
                  <w:spacing w:before="11"/>
                  <w:ind w:left="20"/>
                  <w:rPr>
                    <w:b/>
                  </w:rPr>
                </w:pPr>
                <w:r>
                  <w:rPr>
                    <w:b/>
                    <w:w w:val="110"/>
                  </w:rPr>
                  <w:t>Usually First Diagnosed in Infancy, Childhood, or Adolescence</w:t>
                </w:r>
              </w:p>
            </w:txbxContent>
          </v:textbox>
          <w10:wrap anchorx="page" anchory="page"/>
        </v:shape>
      </w:pic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7A2AC630">
        <v:line id="Line 1174" o:spid="_x0000_s2306" style="position:absolute;z-index:-25143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7pt,49.15pt" to="411.05pt,49.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" strokeweight=".16958mm">
          <v:path arrowok="f"/>
          <o:lock v:ext="edit" aspectratio="t" verticies="t"/>
          <w10:wrap anchorx="page" anchory="page"/>
        </v:line>
      </w:pict>
    </w:r>
    <w:r>
      <w:rPr>
        <w:noProof/>
      </w:rPr>
      <w:pict w14:anchorId="1CD7EB19">
        <v:shapetype id="_x0000_t202" coordsize="21600,21600" o:spt="202" path="m,l,21600r21600,l21600,xe">
          <v:stroke joinstyle="miter"/>
          <v:path gradientshapeok="t" o:connecttype="rect"/>
        </v:shapetype>
        <v:shape id="Text Box 1173" o:spid="_x0000_s2305" type="#_x0000_t202" style="position:absolute;margin-left:233.05pt;margin-top:33.05pt;width:144.25pt;height:14.2pt;z-index:-2514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" filled="f" stroked="f">
          <o:lock v:ext="edit" aspectratio="t" verticies="t" text="t" shapetype="t"/>
          <v:textbox inset="0,0,0,0">
            <w:txbxContent>
              <w:p w:rsidR="008142C4" w:rsidRDefault="003048D3">
                <w:pPr>
                  <w:spacing w:before="11"/>
                  <w:ind w:left="20"/>
                  <w:rPr>
                    <w:b/>
                  </w:rPr>
                </w:pPr>
                <w:r>
                  <w:rPr>
                    <w:b/>
                    <w:w w:val="110"/>
                  </w:rPr>
                  <w:t>307.23 Tourette's Disorder</w:t>
                </w:r>
              </w:p>
            </w:txbxContent>
          </v:textbox>
          <w10:wrap anchorx="page" anchory="page"/>
        </v:shape>
      </w:pict>
    </w:r>
    <w:r>
      <w:rPr>
        <w:noProof/>
      </w:rPr>
      <w:pict w14:anchorId="7B5DD29F">
        <v:shape id="Text Box 1172" o:spid="_x0000_s2304" type="#_x0000_t202" style="position:absolute;margin-left:391.5pt;margin-top:33.05pt;width:20.4pt;height:14.2pt;z-index:-25143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" filled="f" stroked="f">
          <o:lock v:ext="edit" aspectratio="t" verticies="t" text="t" shapetype="t"/>
          <v:textbox inset="0,0,0,0">
            <w:txbxContent>
              <w:p w:rsidR="008142C4" w:rsidRDefault="003048D3">
                <w:pPr>
                  <w:spacing w:before="11"/>
                  <w:ind w:left="20"/>
                  <w:rPr>
                    <w:b/>
                  </w:rPr>
                </w:pPr>
                <w:r>
                  <w:rPr>
                    <w:b/>
                    <w:w w:val="110"/>
                  </w:rPr>
                  <w:t>101</w:t>
                </w:r>
              </w:p>
            </w:txbxContent>
          </v:textbox>
          <w10:wrap anchorx="page" anchory="page"/>
        </v:shape>
      </w:pic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570BA8E2">
        <v:shapetype id="_x0000_t202" coordsize="21600,21600" o:spt="202" path="m,l,21600r21600,l21600,xe">
          <v:stroke joinstyle="miter"/>
          <v:path gradientshapeok="t" o:connecttype="rect"/>
        </v:shapetype>
        <v:shape id="Text Box 1171" o:spid="_x0000_s2303" type="#_x0000_t202" style="position:absolute;margin-left:55.55pt;margin-top:33.7pt;width:23.9pt;height:14.2pt;z-index:-25143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" filled="f" stroked="f">
          <o:lock v:ext="edit" aspectratio="t" verticies="t" text="t" shapetype="t"/>
          <v:textbox inset="0,0,0,0">
            <w:txbxContent>
              <w:p w:rsidR="008142C4" w:rsidRDefault="003048D3">
                <w:pPr>
                  <w:spacing w:before="11"/>
                  <w:ind w:left="60"/>
                  <w:rPr>
                    <w:b/>
                  </w:rPr>
                </w:pPr>
                <w:r>
                  <w:rPr>
                    <w:b/>
                    <w:w w:val="110"/>
                    <w:u w:val="thick"/>
                  </w:rPr>
                  <w:t>102</w:t>
                </w:r>
              </w:p>
            </w:txbxContent>
          </v:textbox>
          <w10:wrap anchorx="page" anchory="page"/>
        </v:shape>
      </w:pict>
    </w:r>
    <w:r>
      <w:rPr>
        <w:noProof/>
      </w:rPr>
      <w:pict w14:anchorId="2BA115D4">
        <v:shape id="Text Box 1170" o:spid="_x0000_s2302" type="#_x0000_t202" style="position:absolute;margin-left:91.45pt;margin-top:33.7pt;width:328.55pt;height:14.2pt;z-index:-2514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" filled="f" stroked="f">
          <o:lock v:ext="edit" aspectratio="t" verticies="t" text="t" shapetype="t"/>
          <v:textbox inset="0,0,0,0">
            <w:txbxContent>
              <w:p w:rsidR="008142C4" w:rsidRDefault="003048D3">
                <w:pPr>
                  <w:spacing w:before="11"/>
                  <w:ind w:left="20"/>
                  <w:rPr>
                    <w:b/>
                  </w:rPr>
                </w:pPr>
                <w:r>
                  <w:rPr>
                    <w:b/>
                    <w:w w:val="110"/>
                    <w:u w:val="thick"/>
                  </w:rPr>
                  <w:t xml:space="preserve">Usually First Diagnosed </w:t>
                </w:r>
                <w:r>
                  <w:rPr>
                    <w:b/>
                    <w:w w:val="110"/>
                    <w:sz w:val="21"/>
                    <w:u w:val="thick"/>
                  </w:rPr>
                  <w:t xml:space="preserve">in </w:t>
                </w:r>
                <w:r>
                  <w:rPr>
                    <w:b/>
                    <w:w w:val="110"/>
                    <w:u w:val="thick"/>
                  </w:rPr>
                  <w:t>Infancy, Childhood, or Adolescence</w:t>
                </w:r>
              </w:p>
            </w:txbxContent>
          </v:textbox>
          <w10:wrap anchorx="page" anchory="page"/>
        </v:shape>
      </w:pic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C4" w:rsidRDefault="003048D3">
    <w:pPr>
      <w:pStyle w:val="BodyText"/>
      <w:spacing w:line="14" w:lineRule="auto"/>
    </w:pPr>
    <w:r>
      <w:rPr>
        <w:noProof/>
      </w:rPr>
      <w:pict w14:anchorId="156B3A1C">
        <v:line id="Line 1169" o:spid="_x0000_s2301" style="position:absolute;z-index:-25143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7pt,50.05pt" to="411.05pt,50.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" strokeweight=".16958mm">
          <v:path arrowok="f"/>
          <o:lock v:ext="edit" aspectratio="t" verticies="t"/>
          <w10:wrap anchorx="page" anchory="page"/>
        </v:line>
      </w:pict>
    </w:r>
    <w:r>
      <w:rPr>
        <w:noProof/>
      </w:rPr>
      <w:pict w14:anchorId="1EB53CAB">
        <v:shapetype id="_x0000_t202" coordsize="21600,21600" o:spt="202" path="m,l,21600r21600,l21600,xe">
          <v:stroke joinstyle="miter"/>
          <v:path gradientshapeok="t" o:connecttype="rect"/>
        </v:shapetype>
        <v:shape id="Text Box 1168" o:spid="_x0000_s2300" type="#_x0000_t202" style="position:absolute;margin-left:142.55pt;margin-top:34.4pt;width:234.6pt;height:13.65pt;z-index:-25142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" filled="f" stroked="f">
          <o:lock v:ext="edit" aspectratio="t" verticies="t" text="t" shapetype="t"/>
          <v:textbox inset="0,0,0,0">
            <w:txbxContent>
              <w:p w:rsidR="008142C4" w:rsidRDefault="003048D3">
                <w:pPr>
                  <w:spacing w:before="11"/>
                  <w:ind w:left="20"/>
                  <w:rPr>
                    <w:b/>
                    <w:sz w:val="21"/>
                  </w:rPr>
                </w:pPr>
                <w:r>
                  <w:rPr>
                    <w:b/>
                    <w:w w:val="115"/>
                    <w:sz w:val="21"/>
                  </w:rPr>
                  <w:t>307.22 Chronic Motor or Vocal Tic Disorder</w:t>
                </w:r>
              </w:p>
            </w:txbxContent>
          </v:textbox>
          <w10:wrap anchorx="page" anchory="page"/>
        </v:shape>
      </w:pict>
    </w:r>
    <w:r>
      <w:rPr>
        <w:noProof/>
      </w:rPr>
      <w:pict w14:anchorId="56BCB038">
        <v:shape id="Text Box 1167" o:spid="_x0000_s2299" type="#_x0000_t202" style="position:absolute;margin-left:391.3pt;margin-top:34.4pt;width:20.35pt;height:13.65pt;z-index:-2514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" filled="f" stroked="f">
          <o:lock v:ext="edit" aspectratio="t" verticies="t" text="t" shapetype="t"/>
          <v:textbox inset="0,0,0,0">
            <w:txbxContent>
              <w:p w:rsidR="008142C4" w:rsidRDefault="003048D3">
                <w:pPr>
                  <w:spacing w:before="11"/>
                  <w:ind w:left="20"/>
                  <w:rPr>
                    <w:b/>
                    <w:sz w:val="21"/>
                  </w:rPr>
                </w:pPr>
                <w:r>
                  <w:rPr>
                    <w:b/>
                    <w:w w:val="115"/>
                    <w:sz w:val="21"/>
                  </w:rPr>
                  <w:t>103</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E07A2"/>
    <w:multiLevelType w:val="hybridMultilevel"/>
    <w:tmpl w:val="28360D6C"/>
    <w:lvl w:ilvl="0" w:tplc="43965002">
      <w:numFmt w:val="bullet"/>
      <w:lvlText w:val="□"/>
      <w:lvlJc w:val="left"/>
      <w:pPr>
        <w:ind w:left="596" w:hanging="328"/>
      </w:pPr>
      <w:rPr>
        <w:rFonts w:ascii="Arial" w:eastAsia="Arial" w:hAnsi="Arial" w:cs="Arial" w:hint="default"/>
        <w:w w:val="99"/>
        <w:sz w:val="36"/>
        <w:szCs w:val="36"/>
      </w:rPr>
    </w:lvl>
    <w:lvl w:ilvl="1" w:tplc="AFA4D1C8">
      <w:start w:val="2"/>
      <w:numFmt w:val="upperLetter"/>
      <w:lvlText w:val="%2."/>
      <w:lvlJc w:val="left"/>
      <w:pPr>
        <w:ind w:left="955" w:hanging="304"/>
        <w:jc w:val="left"/>
      </w:pPr>
      <w:rPr>
        <w:rFonts w:hint="default"/>
        <w:spacing w:val="-1"/>
        <w:w w:val="99"/>
      </w:rPr>
    </w:lvl>
    <w:lvl w:ilvl="2" w:tplc="9DD0A87E">
      <w:start w:val="1"/>
      <w:numFmt w:val="decimal"/>
      <w:lvlText w:val="(%3)"/>
      <w:lvlJc w:val="left"/>
      <w:pPr>
        <w:ind w:left="1384" w:hanging="429"/>
        <w:jc w:val="left"/>
      </w:pPr>
      <w:rPr>
        <w:rFonts w:hint="default"/>
        <w:w w:val="106"/>
      </w:rPr>
    </w:lvl>
    <w:lvl w:ilvl="3" w:tplc="8F5638BA">
      <w:numFmt w:val="bullet"/>
      <w:lvlText w:val="•"/>
      <w:lvlJc w:val="left"/>
      <w:pPr>
        <w:ind w:left="2116" w:hanging="429"/>
      </w:pPr>
      <w:rPr>
        <w:rFonts w:hint="default"/>
      </w:rPr>
    </w:lvl>
    <w:lvl w:ilvl="4" w:tplc="914807F6">
      <w:numFmt w:val="bullet"/>
      <w:lvlText w:val="•"/>
      <w:lvlJc w:val="left"/>
      <w:pPr>
        <w:ind w:left="2852" w:hanging="429"/>
      </w:pPr>
      <w:rPr>
        <w:rFonts w:hint="default"/>
      </w:rPr>
    </w:lvl>
    <w:lvl w:ilvl="5" w:tplc="E07E03A6">
      <w:numFmt w:val="bullet"/>
      <w:lvlText w:val="•"/>
      <w:lvlJc w:val="left"/>
      <w:pPr>
        <w:ind w:left="3589" w:hanging="429"/>
      </w:pPr>
      <w:rPr>
        <w:rFonts w:hint="default"/>
      </w:rPr>
    </w:lvl>
    <w:lvl w:ilvl="6" w:tplc="3D4CFA34">
      <w:numFmt w:val="bullet"/>
      <w:lvlText w:val="•"/>
      <w:lvlJc w:val="left"/>
      <w:pPr>
        <w:ind w:left="4325" w:hanging="429"/>
      </w:pPr>
      <w:rPr>
        <w:rFonts w:hint="default"/>
      </w:rPr>
    </w:lvl>
    <w:lvl w:ilvl="7" w:tplc="4176C302">
      <w:numFmt w:val="bullet"/>
      <w:lvlText w:val="•"/>
      <w:lvlJc w:val="left"/>
      <w:pPr>
        <w:ind w:left="5061" w:hanging="429"/>
      </w:pPr>
      <w:rPr>
        <w:rFonts w:hint="default"/>
      </w:rPr>
    </w:lvl>
    <w:lvl w:ilvl="8" w:tplc="DC5A263E">
      <w:numFmt w:val="bullet"/>
      <w:lvlText w:val="•"/>
      <w:lvlJc w:val="left"/>
      <w:pPr>
        <w:ind w:left="5798" w:hanging="429"/>
      </w:pPr>
      <w:rPr>
        <w:rFonts w:hint="default"/>
      </w:rPr>
    </w:lvl>
  </w:abstractNum>
  <w:abstractNum w:abstractNumId="1" w15:restartNumberingAfterBreak="0">
    <w:nsid w:val="029707DE"/>
    <w:multiLevelType w:val="hybridMultilevel"/>
    <w:tmpl w:val="180E195C"/>
    <w:lvl w:ilvl="0" w:tplc="5F769070">
      <w:start w:val="40"/>
      <w:numFmt w:val="decimal"/>
      <w:lvlText w:val=".%1"/>
      <w:lvlJc w:val="left"/>
      <w:pPr>
        <w:ind w:left="1204" w:hanging="711"/>
        <w:jc w:val="left"/>
      </w:pPr>
      <w:rPr>
        <w:rFonts w:hint="default"/>
        <w:w w:val="99"/>
        <w:position w:val="-5"/>
      </w:rPr>
    </w:lvl>
    <w:lvl w:ilvl="1" w:tplc="B1405E14">
      <w:numFmt w:val="bullet"/>
      <w:lvlText w:val="•"/>
      <w:lvlJc w:val="left"/>
      <w:pPr>
        <w:ind w:left="1865" w:hanging="711"/>
      </w:pPr>
      <w:rPr>
        <w:rFonts w:hint="default"/>
      </w:rPr>
    </w:lvl>
    <w:lvl w:ilvl="2" w:tplc="7C94C346">
      <w:numFmt w:val="bullet"/>
      <w:lvlText w:val="•"/>
      <w:lvlJc w:val="left"/>
      <w:pPr>
        <w:ind w:left="2531" w:hanging="711"/>
      </w:pPr>
      <w:rPr>
        <w:rFonts w:hint="default"/>
      </w:rPr>
    </w:lvl>
    <w:lvl w:ilvl="3" w:tplc="FFEE1316">
      <w:numFmt w:val="bullet"/>
      <w:lvlText w:val="•"/>
      <w:lvlJc w:val="left"/>
      <w:pPr>
        <w:ind w:left="3197" w:hanging="711"/>
      </w:pPr>
      <w:rPr>
        <w:rFonts w:hint="default"/>
      </w:rPr>
    </w:lvl>
    <w:lvl w:ilvl="4" w:tplc="97528FAA">
      <w:numFmt w:val="bullet"/>
      <w:lvlText w:val="•"/>
      <w:lvlJc w:val="left"/>
      <w:pPr>
        <w:ind w:left="3862" w:hanging="711"/>
      </w:pPr>
      <w:rPr>
        <w:rFonts w:hint="default"/>
      </w:rPr>
    </w:lvl>
    <w:lvl w:ilvl="5" w:tplc="FFC84898">
      <w:numFmt w:val="bullet"/>
      <w:lvlText w:val="•"/>
      <w:lvlJc w:val="left"/>
      <w:pPr>
        <w:ind w:left="4528" w:hanging="711"/>
      </w:pPr>
      <w:rPr>
        <w:rFonts w:hint="default"/>
      </w:rPr>
    </w:lvl>
    <w:lvl w:ilvl="6" w:tplc="8178726E">
      <w:numFmt w:val="bullet"/>
      <w:lvlText w:val="•"/>
      <w:lvlJc w:val="left"/>
      <w:pPr>
        <w:ind w:left="5194" w:hanging="711"/>
      </w:pPr>
      <w:rPr>
        <w:rFonts w:hint="default"/>
      </w:rPr>
    </w:lvl>
    <w:lvl w:ilvl="7" w:tplc="7C4CF3B4">
      <w:numFmt w:val="bullet"/>
      <w:lvlText w:val="•"/>
      <w:lvlJc w:val="left"/>
      <w:pPr>
        <w:ind w:left="5859" w:hanging="711"/>
      </w:pPr>
      <w:rPr>
        <w:rFonts w:hint="default"/>
      </w:rPr>
    </w:lvl>
    <w:lvl w:ilvl="8" w:tplc="006EC70C">
      <w:numFmt w:val="bullet"/>
      <w:lvlText w:val="•"/>
      <w:lvlJc w:val="left"/>
      <w:pPr>
        <w:ind w:left="6525" w:hanging="711"/>
      </w:pPr>
      <w:rPr>
        <w:rFonts w:hint="default"/>
      </w:rPr>
    </w:lvl>
  </w:abstractNum>
  <w:abstractNum w:abstractNumId="2" w15:restartNumberingAfterBreak="0">
    <w:nsid w:val="0379775F"/>
    <w:multiLevelType w:val="hybridMultilevel"/>
    <w:tmpl w:val="A5D674D2"/>
    <w:lvl w:ilvl="0" w:tplc="01AEACAC">
      <w:numFmt w:val="bullet"/>
      <w:lvlText w:val="■"/>
      <w:lvlJc w:val="left"/>
      <w:pPr>
        <w:ind w:left="628" w:hanging="379"/>
      </w:pPr>
      <w:rPr>
        <w:rFonts w:ascii="Arial" w:eastAsia="Arial" w:hAnsi="Arial" w:cs="Arial" w:hint="default"/>
        <w:w w:val="98"/>
        <w:sz w:val="50"/>
        <w:szCs w:val="50"/>
      </w:rPr>
    </w:lvl>
    <w:lvl w:ilvl="1" w:tplc="F6C804BA">
      <w:start w:val="1"/>
      <w:numFmt w:val="decimal"/>
      <w:lvlText w:val="(%2)"/>
      <w:lvlJc w:val="left"/>
      <w:pPr>
        <w:ind w:left="1385" w:hanging="425"/>
        <w:jc w:val="left"/>
      </w:pPr>
      <w:rPr>
        <w:rFonts w:hint="default"/>
        <w:w w:val="105"/>
      </w:rPr>
    </w:lvl>
    <w:lvl w:ilvl="2" w:tplc="A31AA1B0">
      <w:start w:val="1"/>
      <w:numFmt w:val="lowerLetter"/>
      <w:lvlText w:val="(%3)"/>
      <w:lvlJc w:val="left"/>
      <w:pPr>
        <w:ind w:left="1807" w:hanging="421"/>
        <w:jc w:val="left"/>
      </w:pPr>
      <w:rPr>
        <w:rFonts w:hint="default"/>
        <w:spacing w:val="-1"/>
        <w:w w:val="110"/>
      </w:rPr>
    </w:lvl>
    <w:lvl w:ilvl="3" w:tplc="7074B328">
      <w:numFmt w:val="bullet"/>
      <w:lvlText w:val="•"/>
      <w:lvlJc w:val="left"/>
      <w:pPr>
        <w:ind w:left="1800" w:hanging="421"/>
      </w:pPr>
      <w:rPr>
        <w:rFonts w:hint="default"/>
      </w:rPr>
    </w:lvl>
    <w:lvl w:ilvl="4" w:tplc="A3B601E6">
      <w:numFmt w:val="bullet"/>
      <w:lvlText w:val="•"/>
      <w:lvlJc w:val="left"/>
      <w:pPr>
        <w:ind w:left="2583" w:hanging="421"/>
      </w:pPr>
      <w:rPr>
        <w:rFonts w:hint="default"/>
      </w:rPr>
    </w:lvl>
    <w:lvl w:ilvl="5" w:tplc="44D4D9B8">
      <w:numFmt w:val="bullet"/>
      <w:lvlText w:val="•"/>
      <w:lvlJc w:val="left"/>
      <w:pPr>
        <w:ind w:left="3366" w:hanging="421"/>
      </w:pPr>
      <w:rPr>
        <w:rFonts w:hint="default"/>
      </w:rPr>
    </w:lvl>
    <w:lvl w:ilvl="6" w:tplc="FF3E7948">
      <w:numFmt w:val="bullet"/>
      <w:lvlText w:val="•"/>
      <w:lvlJc w:val="left"/>
      <w:pPr>
        <w:ind w:left="4149" w:hanging="421"/>
      </w:pPr>
      <w:rPr>
        <w:rFonts w:hint="default"/>
      </w:rPr>
    </w:lvl>
    <w:lvl w:ilvl="7" w:tplc="219824C0">
      <w:numFmt w:val="bullet"/>
      <w:lvlText w:val="•"/>
      <w:lvlJc w:val="left"/>
      <w:pPr>
        <w:ind w:left="4932" w:hanging="421"/>
      </w:pPr>
      <w:rPr>
        <w:rFonts w:hint="default"/>
      </w:rPr>
    </w:lvl>
    <w:lvl w:ilvl="8" w:tplc="53BCDC42">
      <w:numFmt w:val="bullet"/>
      <w:lvlText w:val="•"/>
      <w:lvlJc w:val="left"/>
      <w:pPr>
        <w:ind w:left="5715" w:hanging="421"/>
      </w:pPr>
      <w:rPr>
        <w:rFonts w:hint="default"/>
      </w:rPr>
    </w:lvl>
  </w:abstractNum>
  <w:abstractNum w:abstractNumId="3" w15:restartNumberingAfterBreak="0">
    <w:nsid w:val="039233A2"/>
    <w:multiLevelType w:val="hybridMultilevel"/>
    <w:tmpl w:val="30023DC2"/>
    <w:lvl w:ilvl="0" w:tplc="84D08838">
      <w:numFmt w:val="bullet"/>
      <w:lvlText w:val="□"/>
      <w:lvlJc w:val="left"/>
      <w:pPr>
        <w:ind w:left="597" w:hanging="341"/>
      </w:pPr>
      <w:rPr>
        <w:rFonts w:ascii="Arial" w:eastAsia="Arial" w:hAnsi="Arial" w:cs="Arial" w:hint="default"/>
        <w:w w:val="99"/>
        <w:sz w:val="36"/>
        <w:szCs w:val="36"/>
      </w:rPr>
    </w:lvl>
    <w:lvl w:ilvl="1" w:tplc="5E821A8A">
      <w:numFmt w:val="bullet"/>
      <w:lvlText w:val="•"/>
      <w:lvlJc w:val="left"/>
      <w:pPr>
        <w:ind w:left="960" w:hanging="341"/>
      </w:pPr>
      <w:rPr>
        <w:rFonts w:hint="default"/>
      </w:rPr>
    </w:lvl>
    <w:lvl w:ilvl="2" w:tplc="97369526">
      <w:numFmt w:val="bullet"/>
      <w:lvlText w:val="•"/>
      <w:lvlJc w:val="left"/>
      <w:pPr>
        <w:ind w:left="1660" w:hanging="341"/>
      </w:pPr>
      <w:rPr>
        <w:rFonts w:hint="default"/>
      </w:rPr>
    </w:lvl>
    <w:lvl w:ilvl="3" w:tplc="3E443F28">
      <w:numFmt w:val="bullet"/>
      <w:lvlText w:val="•"/>
      <w:lvlJc w:val="left"/>
      <w:pPr>
        <w:ind w:left="2361" w:hanging="341"/>
      </w:pPr>
      <w:rPr>
        <w:rFonts w:hint="default"/>
      </w:rPr>
    </w:lvl>
    <w:lvl w:ilvl="4" w:tplc="44B06764">
      <w:numFmt w:val="bullet"/>
      <w:lvlText w:val="•"/>
      <w:lvlJc w:val="left"/>
      <w:pPr>
        <w:ind w:left="3062" w:hanging="341"/>
      </w:pPr>
      <w:rPr>
        <w:rFonts w:hint="default"/>
      </w:rPr>
    </w:lvl>
    <w:lvl w:ilvl="5" w:tplc="FE489C26">
      <w:numFmt w:val="bullet"/>
      <w:lvlText w:val="•"/>
      <w:lvlJc w:val="left"/>
      <w:pPr>
        <w:ind w:left="3762" w:hanging="341"/>
      </w:pPr>
      <w:rPr>
        <w:rFonts w:hint="default"/>
      </w:rPr>
    </w:lvl>
    <w:lvl w:ilvl="6" w:tplc="FEAA7210">
      <w:numFmt w:val="bullet"/>
      <w:lvlText w:val="•"/>
      <w:lvlJc w:val="left"/>
      <w:pPr>
        <w:ind w:left="4463" w:hanging="341"/>
      </w:pPr>
      <w:rPr>
        <w:rFonts w:hint="default"/>
      </w:rPr>
    </w:lvl>
    <w:lvl w:ilvl="7" w:tplc="3364FA02">
      <w:numFmt w:val="bullet"/>
      <w:lvlText w:val="•"/>
      <w:lvlJc w:val="left"/>
      <w:pPr>
        <w:ind w:left="5164" w:hanging="341"/>
      </w:pPr>
      <w:rPr>
        <w:rFonts w:hint="default"/>
      </w:rPr>
    </w:lvl>
    <w:lvl w:ilvl="8" w:tplc="AC62BD10">
      <w:numFmt w:val="bullet"/>
      <w:lvlText w:val="•"/>
      <w:lvlJc w:val="left"/>
      <w:pPr>
        <w:ind w:left="5864" w:hanging="341"/>
      </w:pPr>
      <w:rPr>
        <w:rFonts w:hint="default"/>
      </w:rPr>
    </w:lvl>
  </w:abstractNum>
  <w:abstractNum w:abstractNumId="4" w15:restartNumberingAfterBreak="0">
    <w:nsid w:val="046E18AA"/>
    <w:multiLevelType w:val="hybridMultilevel"/>
    <w:tmpl w:val="EE1AE698"/>
    <w:lvl w:ilvl="0" w:tplc="E468E6C4">
      <w:numFmt w:val="bullet"/>
      <w:lvlText w:val="■"/>
      <w:lvlJc w:val="left"/>
      <w:pPr>
        <w:ind w:left="629" w:hanging="380"/>
      </w:pPr>
      <w:rPr>
        <w:rFonts w:ascii="Arial" w:eastAsia="Arial" w:hAnsi="Arial" w:cs="Arial" w:hint="default"/>
        <w:w w:val="98"/>
        <w:sz w:val="49"/>
        <w:szCs w:val="49"/>
      </w:rPr>
    </w:lvl>
    <w:lvl w:ilvl="1" w:tplc="95E8948E">
      <w:start w:val="1"/>
      <w:numFmt w:val="decimal"/>
      <w:lvlText w:val="(%2)"/>
      <w:lvlJc w:val="left"/>
      <w:pPr>
        <w:ind w:left="1389" w:hanging="429"/>
        <w:jc w:val="left"/>
      </w:pPr>
      <w:rPr>
        <w:rFonts w:hint="default"/>
        <w:w w:val="107"/>
      </w:rPr>
    </w:lvl>
    <w:lvl w:ilvl="2" w:tplc="A28077F4">
      <w:start w:val="1"/>
      <w:numFmt w:val="lowerLetter"/>
      <w:lvlText w:val="(%3)"/>
      <w:lvlJc w:val="left"/>
      <w:pPr>
        <w:ind w:left="1855" w:hanging="425"/>
        <w:jc w:val="left"/>
      </w:pPr>
      <w:rPr>
        <w:rFonts w:ascii="Times New Roman" w:eastAsia="Times New Roman" w:hAnsi="Times New Roman" w:cs="Times New Roman" w:hint="default"/>
        <w:spacing w:val="-1"/>
        <w:w w:val="110"/>
        <w:sz w:val="20"/>
        <w:szCs w:val="20"/>
      </w:rPr>
    </w:lvl>
    <w:lvl w:ilvl="3" w:tplc="47D64CB8">
      <w:numFmt w:val="bullet"/>
      <w:lvlText w:val="•"/>
      <w:lvlJc w:val="left"/>
      <w:pPr>
        <w:ind w:left="2535" w:hanging="425"/>
      </w:pPr>
      <w:rPr>
        <w:rFonts w:hint="default"/>
      </w:rPr>
    </w:lvl>
    <w:lvl w:ilvl="4" w:tplc="8F961528">
      <w:numFmt w:val="bullet"/>
      <w:lvlText w:val="•"/>
      <w:lvlJc w:val="left"/>
      <w:pPr>
        <w:ind w:left="3211" w:hanging="425"/>
      </w:pPr>
      <w:rPr>
        <w:rFonts w:hint="default"/>
      </w:rPr>
    </w:lvl>
    <w:lvl w:ilvl="5" w:tplc="E508E2C4">
      <w:numFmt w:val="bullet"/>
      <w:lvlText w:val="•"/>
      <w:lvlJc w:val="left"/>
      <w:pPr>
        <w:ind w:left="3887" w:hanging="425"/>
      </w:pPr>
      <w:rPr>
        <w:rFonts w:hint="default"/>
      </w:rPr>
    </w:lvl>
    <w:lvl w:ilvl="6" w:tplc="1BCE089C">
      <w:numFmt w:val="bullet"/>
      <w:lvlText w:val="•"/>
      <w:lvlJc w:val="left"/>
      <w:pPr>
        <w:ind w:left="4563" w:hanging="425"/>
      </w:pPr>
      <w:rPr>
        <w:rFonts w:hint="default"/>
      </w:rPr>
    </w:lvl>
    <w:lvl w:ilvl="7" w:tplc="8B7217AC">
      <w:numFmt w:val="bullet"/>
      <w:lvlText w:val="•"/>
      <w:lvlJc w:val="left"/>
      <w:pPr>
        <w:ind w:left="5239" w:hanging="425"/>
      </w:pPr>
      <w:rPr>
        <w:rFonts w:hint="default"/>
      </w:rPr>
    </w:lvl>
    <w:lvl w:ilvl="8" w:tplc="792AD0B4">
      <w:numFmt w:val="bullet"/>
      <w:lvlText w:val="•"/>
      <w:lvlJc w:val="left"/>
      <w:pPr>
        <w:ind w:left="5915" w:hanging="425"/>
      </w:pPr>
      <w:rPr>
        <w:rFonts w:hint="default"/>
      </w:rPr>
    </w:lvl>
  </w:abstractNum>
  <w:abstractNum w:abstractNumId="5" w15:restartNumberingAfterBreak="0">
    <w:nsid w:val="06730826"/>
    <w:multiLevelType w:val="hybridMultilevel"/>
    <w:tmpl w:val="B9E86FA6"/>
    <w:lvl w:ilvl="0" w:tplc="BBE27D90">
      <w:start w:val="81"/>
      <w:numFmt w:val="decimal"/>
      <w:lvlText w:val=".%1"/>
      <w:lvlJc w:val="left"/>
      <w:pPr>
        <w:ind w:left="1157" w:hanging="704"/>
        <w:jc w:val="left"/>
      </w:pPr>
      <w:rPr>
        <w:rFonts w:ascii="Times New Roman" w:eastAsia="Times New Roman" w:hAnsi="Times New Roman" w:cs="Times New Roman" w:hint="default"/>
        <w:w w:val="108"/>
        <w:sz w:val="19"/>
        <w:szCs w:val="19"/>
      </w:rPr>
    </w:lvl>
    <w:lvl w:ilvl="1" w:tplc="5BE6F922">
      <w:numFmt w:val="bullet"/>
      <w:lvlText w:val="•"/>
      <w:lvlJc w:val="left"/>
      <w:pPr>
        <w:ind w:left="1423" w:hanging="704"/>
      </w:pPr>
      <w:rPr>
        <w:rFonts w:hint="default"/>
      </w:rPr>
    </w:lvl>
    <w:lvl w:ilvl="2" w:tplc="54CC88B2">
      <w:numFmt w:val="bullet"/>
      <w:lvlText w:val="•"/>
      <w:lvlJc w:val="left"/>
      <w:pPr>
        <w:ind w:left="1687" w:hanging="704"/>
      </w:pPr>
      <w:rPr>
        <w:rFonts w:hint="default"/>
      </w:rPr>
    </w:lvl>
    <w:lvl w:ilvl="3" w:tplc="B1386634">
      <w:numFmt w:val="bullet"/>
      <w:lvlText w:val="•"/>
      <w:lvlJc w:val="left"/>
      <w:pPr>
        <w:ind w:left="1950" w:hanging="704"/>
      </w:pPr>
      <w:rPr>
        <w:rFonts w:hint="default"/>
      </w:rPr>
    </w:lvl>
    <w:lvl w:ilvl="4" w:tplc="4372E83C">
      <w:numFmt w:val="bullet"/>
      <w:lvlText w:val="•"/>
      <w:lvlJc w:val="left"/>
      <w:pPr>
        <w:ind w:left="2214" w:hanging="704"/>
      </w:pPr>
      <w:rPr>
        <w:rFonts w:hint="default"/>
      </w:rPr>
    </w:lvl>
    <w:lvl w:ilvl="5" w:tplc="CF465628">
      <w:numFmt w:val="bullet"/>
      <w:lvlText w:val="•"/>
      <w:lvlJc w:val="left"/>
      <w:pPr>
        <w:ind w:left="2478" w:hanging="704"/>
      </w:pPr>
      <w:rPr>
        <w:rFonts w:hint="default"/>
      </w:rPr>
    </w:lvl>
    <w:lvl w:ilvl="6" w:tplc="91BA0720">
      <w:numFmt w:val="bullet"/>
      <w:lvlText w:val="•"/>
      <w:lvlJc w:val="left"/>
      <w:pPr>
        <w:ind w:left="2741" w:hanging="704"/>
      </w:pPr>
      <w:rPr>
        <w:rFonts w:hint="default"/>
      </w:rPr>
    </w:lvl>
    <w:lvl w:ilvl="7" w:tplc="9EE06996">
      <w:numFmt w:val="bullet"/>
      <w:lvlText w:val="•"/>
      <w:lvlJc w:val="left"/>
      <w:pPr>
        <w:ind w:left="3005" w:hanging="704"/>
      </w:pPr>
      <w:rPr>
        <w:rFonts w:hint="default"/>
      </w:rPr>
    </w:lvl>
    <w:lvl w:ilvl="8" w:tplc="2DB4A140">
      <w:numFmt w:val="bullet"/>
      <w:lvlText w:val="•"/>
      <w:lvlJc w:val="left"/>
      <w:pPr>
        <w:ind w:left="3269" w:hanging="704"/>
      </w:pPr>
      <w:rPr>
        <w:rFonts w:hint="default"/>
      </w:rPr>
    </w:lvl>
  </w:abstractNum>
  <w:abstractNum w:abstractNumId="6" w15:restartNumberingAfterBreak="0">
    <w:nsid w:val="072D08CC"/>
    <w:multiLevelType w:val="hybridMultilevel"/>
    <w:tmpl w:val="67745C7A"/>
    <w:lvl w:ilvl="0" w:tplc="3C48155C">
      <w:numFmt w:val="bullet"/>
      <w:lvlText w:val="□"/>
      <w:lvlJc w:val="left"/>
      <w:pPr>
        <w:ind w:left="586" w:hanging="332"/>
      </w:pPr>
      <w:rPr>
        <w:rFonts w:ascii="Arial" w:eastAsia="Arial" w:hAnsi="Arial" w:cs="Arial" w:hint="default"/>
        <w:w w:val="99"/>
        <w:sz w:val="36"/>
        <w:szCs w:val="36"/>
      </w:rPr>
    </w:lvl>
    <w:lvl w:ilvl="1" w:tplc="A94C73E0">
      <w:start w:val="2"/>
      <w:numFmt w:val="upperLetter"/>
      <w:lvlText w:val="%2."/>
      <w:lvlJc w:val="left"/>
      <w:pPr>
        <w:ind w:left="956" w:hanging="301"/>
        <w:jc w:val="left"/>
      </w:pPr>
      <w:rPr>
        <w:rFonts w:ascii="Times New Roman" w:eastAsia="Times New Roman" w:hAnsi="Times New Roman" w:cs="Times New Roman" w:hint="default"/>
        <w:spacing w:val="-1"/>
        <w:w w:val="94"/>
        <w:sz w:val="20"/>
        <w:szCs w:val="20"/>
      </w:rPr>
    </w:lvl>
    <w:lvl w:ilvl="2" w:tplc="B964AC24">
      <w:numFmt w:val="bullet"/>
      <w:lvlText w:val="•"/>
      <w:lvlJc w:val="left"/>
      <w:pPr>
        <w:ind w:left="1660" w:hanging="301"/>
      </w:pPr>
      <w:rPr>
        <w:rFonts w:hint="default"/>
      </w:rPr>
    </w:lvl>
    <w:lvl w:ilvl="3" w:tplc="548AA9B8">
      <w:numFmt w:val="bullet"/>
      <w:lvlText w:val="•"/>
      <w:lvlJc w:val="left"/>
      <w:pPr>
        <w:ind w:left="2360" w:hanging="301"/>
      </w:pPr>
      <w:rPr>
        <w:rFonts w:hint="default"/>
      </w:rPr>
    </w:lvl>
    <w:lvl w:ilvl="4" w:tplc="A4A84F52">
      <w:numFmt w:val="bullet"/>
      <w:lvlText w:val="•"/>
      <w:lvlJc w:val="left"/>
      <w:pPr>
        <w:ind w:left="3060" w:hanging="301"/>
      </w:pPr>
      <w:rPr>
        <w:rFonts w:hint="default"/>
      </w:rPr>
    </w:lvl>
    <w:lvl w:ilvl="5" w:tplc="932EB490">
      <w:numFmt w:val="bullet"/>
      <w:lvlText w:val="•"/>
      <w:lvlJc w:val="left"/>
      <w:pPr>
        <w:ind w:left="3760" w:hanging="301"/>
      </w:pPr>
      <w:rPr>
        <w:rFonts w:hint="default"/>
      </w:rPr>
    </w:lvl>
    <w:lvl w:ilvl="6" w:tplc="9DF2D2AA">
      <w:numFmt w:val="bullet"/>
      <w:lvlText w:val="•"/>
      <w:lvlJc w:val="left"/>
      <w:pPr>
        <w:ind w:left="4460" w:hanging="301"/>
      </w:pPr>
      <w:rPr>
        <w:rFonts w:hint="default"/>
      </w:rPr>
    </w:lvl>
    <w:lvl w:ilvl="7" w:tplc="5114E5C2">
      <w:numFmt w:val="bullet"/>
      <w:lvlText w:val="•"/>
      <w:lvlJc w:val="left"/>
      <w:pPr>
        <w:ind w:left="5160" w:hanging="301"/>
      </w:pPr>
      <w:rPr>
        <w:rFonts w:hint="default"/>
      </w:rPr>
    </w:lvl>
    <w:lvl w:ilvl="8" w:tplc="E996AE64">
      <w:numFmt w:val="bullet"/>
      <w:lvlText w:val="•"/>
      <w:lvlJc w:val="left"/>
      <w:pPr>
        <w:ind w:left="5860" w:hanging="301"/>
      </w:pPr>
      <w:rPr>
        <w:rFonts w:hint="default"/>
      </w:rPr>
    </w:lvl>
  </w:abstractNum>
  <w:abstractNum w:abstractNumId="7" w15:restartNumberingAfterBreak="0">
    <w:nsid w:val="075F771D"/>
    <w:multiLevelType w:val="hybridMultilevel"/>
    <w:tmpl w:val="CE2CF932"/>
    <w:lvl w:ilvl="0" w:tplc="7818A7C2">
      <w:numFmt w:val="bullet"/>
      <w:lvlText w:val="□"/>
      <w:lvlJc w:val="left"/>
      <w:pPr>
        <w:ind w:left="584" w:hanging="328"/>
      </w:pPr>
      <w:rPr>
        <w:rFonts w:ascii="Arial" w:eastAsia="Arial" w:hAnsi="Arial" w:cs="Arial" w:hint="default"/>
        <w:w w:val="99"/>
        <w:sz w:val="37"/>
        <w:szCs w:val="37"/>
      </w:rPr>
    </w:lvl>
    <w:lvl w:ilvl="1" w:tplc="657CCECC">
      <w:start w:val="6"/>
      <w:numFmt w:val="decimal"/>
      <w:lvlText w:val="(%2)"/>
      <w:lvlJc w:val="left"/>
      <w:pPr>
        <w:ind w:left="1383" w:hanging="431"/>
        <w:jc w:val="left"/>
      </w:pPr>
      <w:rPr>
        <w:rFonts w:ascii="Times New Roman" w:eastAsia="Times New Roman" w:hAnsi="Times New Roman" w:cs="Times New Roman" w:hint="default"/>
        <w:w w:val="89"/>
        <w:sz w:val="19"/>
        <w:szCs w:val="19"/>
      </w:rPr>
    </w:lvl>
    <w:lvl w:ilvl="2" w:tplc="E0B62DB8">
      <w:numFmt w:val="bullet"/>
      <w:lvlText w:val="•"/>
      <w:lvlJc w:val="left"/>
      <w:pPr>
        <w:ind w:left="2034" w:hanging="431"/>
      </w:pPr>
      <w:rPr>
        <w:rFonts w:hint="default"/>
      </w:rPr>
    </w:lvl>
    <w:lvl w:ilvl="3" w:tplc="6D4C991C">
      <w:numFmt w:val="bullet"/>
      <w:lvlText w:val="•"/>
      <w:lvlJc w:val="left"/>
      <w:pPr>
        <w:ind w:left="2688" w:hanging="431"/>
      </w:pPr>
      <w:rPr>
        <w:rFonts w:hint="default"/>
      </w:rPr>
    </w:lvl>
    <w:lvl w:ilvl="4" w:tplc="76D2F67A">
      <w:numFmt w:val="bullet"/>
      <w:lvlText w:val="•"/>
      <w:lvlJc w:val="left"/>
      <w:pPr>
        <w:ind w:left="3343" w:hanging="431"/>
      </w:pPr>
      <w:rPr>
        <w:rFonts w:hint="default"/>
      </w:rPr>
    </w:lvl>
    <w:lvl w:ilvl="5" w:tplc="4AFC1224">
      <w:numFmt w:val="bullet"/>
      <w:lvlText w:val="•"/>
      <w:lvlJc w:val="left"/>
      <w:pPr>
        <w:ind w:left="3997" w:hanging="431"/>
      </w:pPr>
      <w:rPr>
        <w:rFonts w:hint="default"/>
      </w:rPr>
    </w:lvl>
    <w:lvl w:ilvl="6" w:tplc="2CF8B222">
      <w:numFmt w:val="bullet"/>
      <w:lvlText w:val="•"/>
      <w:lvlJc w:val="left"/>
      <w:pPr>
        <w:ind w:left="4652" w:hanging="431"/>
      </w:pPr>
      <w:rPr>
        <w:rFonts w:hint="default"/>
      </w:rPr>
    </w:lvl>
    <w:lvl w:ilvl="7" w:tplc="4430786A">
      <w:numFmt w:val="bullet"/>
      <w:lvlText w:val="•"/>
      <w:lvlJc w:val="left"/>
      <w:pPr>
        <w:ind w:left="5306" w:hanging="431"/>
      </w:pPr>
      <w:rPr>
        <w:rFonts w:hint="default"/>
      </w:rPr>
    </w:lvl>
    <w:lvl w:ilvl="8" w:tplc="DEA26B76">
      <w:numFmt w:val="bullet"/>
      <w:lvlText w:val="•"/>
      <w:lvlJc w:val="left"/>
      <w:pPr>
        <w:ind w:left="5961" w:hanging="431"/>
      </w:pPr>
      <w:rPr>
        <w:rFonts w:hint="default"/>
      </w:rPr>
    </w:lvl>
  </w:abstractNum>
  <w:abstractNum w:abstractNumId="8" w15:restartNumberingAfterBreak="0">
    <w:nsid w:val="084A3AB4"/>
    <w:multiLevelType w:val="hybridMultilevel"/>
    <w:tmpl w:val="A5009A9E"/>
    <w:lvl w:ilvl="0" w:tplc="3FFC0E90">
      <w:numFmt w:val="bullet"/>
      <w:lvlText w:val="■"/>
      <w:lvlJc w:val="left"/>
      <w:pPr>
        <w:ind w:left="623" w:hanging="374"/>
      </w:pPr>
      <w:rPr>
        <w:rFonts w:ascii="Arial" w:eastAsia="Arial" w:hAnsi="Arial" w:cs="Arial" w:hint="default"/>
        <w:w w:val="98"/>
        <w:sz w:val="49"/>
        <w:szCs w:val="49"/>
      </w:rPr>
    </w:lvl>
    <w:lvl w:ilvl="1" w:tplc="1DB299CE">
      <w:start w:val="1"/>
      <w:numFmt w:val="upperLetter"/>
      <w:lvlText w:val="%2."/>
      <w:lvlJc w:val="left"/>
      <w:pPr>
        <w:ind w:left="964" w:hanging="307"/>
        <w:jc w:val="left"/>
      </w:pPr>
      <w:rPr>
        <w:rFonts w:ascii="Times New Roman" w:eastAsia="Times New Roman" w:hAnsi="Times New Roman" w:cs="Times New Roman" w:hint="default"/>
        <w:spacing w:val="-1"/>
        <w:w w:val="92"/>
        <w:sz w:val="20"/>
        <w:szCs w:val="20"/>
      </w:rPr>
    </w:lvl>
    <w:lvl w:ilvl="2" w:tplc="09707780">
      <w:start w:val="1"/>
      <w:numFmt w:val="decimal"/>
      <w:lvlText w:val="(%3)"/>
      <w:lvlJc w:val="left"/>
      <w:pPr>
        <w:ind w:left="1385" w:hanging="429"/>
        <w:jc w:val="left"/>
      </w:pPr>
      <w:rPr>
        <w:rFonts w:hint="default"/>
        <w:w w:val="93"/>
      </w:rPr>
    </w:lvl>
    <w:lvl w:ilvl="3" w:tplc="ECE83D76">
      <w:numFmt w:val="bullet"/>
      <w:lvlText w:val="•"/>
      <w:lvlJc w:val="left"/>
      <w:pPr>
        <w:ind w:left="2116" w:hanging="429"/>
      </w:pPr>
      <w:rPr>
        <w:rFonts w:hint="default"/>
      </w:rPr>
    </w:lvl>
    <w:lvl w:ilvl="4" w:tplc="45A0866E">
      <w:numFmt w:val="bullet"/>
      <w:lvlText w:val="•"/>
      <w:lvlJc w:val="left"/>
      <w:pPr>
        <w:ind w:left="2852" w:hanging="429"/>
      </w:pPr>
      <w:rPr>
        <w:rFonts w:hint="default"/>
      </w:rPr>
    </w:lvl>
    <w:lvl w:ilvl="5" w:tplc="8B70C27C">
      <w:numFmt w:val="bullet"/>
      <w:lvlText w:val="•"/>
      <w:lvlJc w:val="left"/>
      <w:pPr>
        <w:ind w:left="3589" w:hanging="429"/>
      </w:pPr>
      <w:rPr>
        <w:rFonts w:hint="default"/>
      </w:rPr>
    </w:lvl>
    <w:lvl w:ilvl="6" w:tplc="BF3CE890">
      <w:numFmt w:val="bullet"/>
      <w:lvlText w:val="•"/>
      <w:lvlJc w:val="left"/>
      <w:pPr>
        <w:ind w:left="4325" w:hanging="429"/>
      </w:pPr>
      <w:rPr>
        <w:rFonts w:hint="default"/>
      </w:rPr>
    </w:lvl>
    <w:lvl w:ilvl="7" w:tplc="90C2C40A">
      <w:numFmt w:val="bullet"/>
      <w:lvlText w:val="•"/>
      <w:lvlJc w:val="left"/>
      <w:pPr>
        <w:ind w:left="5061" w:hanging="429"/>
      </w:pPr>
      <w:rPr>
        <w:rFonts w:hint="default"/>
      </w:rPr>
    </w:lvl>
    <w:lvl w:ilvl="8" w:tplc="63A62CBC">
      <w:numFmt w:val="bullet"/>
      <w:lvlText w:val="•"/>
      <w:lvlJc w:val="left"/>
      <w:pPr>
        <w:ind w:left="5798" w:hanging="429"/>
      </w:pPr>
      <w:rPr>
        <w:rFonts w:hint="default"/>
      </w:rPr>
    </w:lvl>
  </w:abstractNum>
  <w:abstractNum w:abstractNumId="9" w15:restartNumberingAfterBreak="0">
    <w:nsid w:val="08DA386E"/>
    <w:multiLevelType w:val="hybridMultilevel"/>
    <w:tmpl w:val="47723FAA"/>
    <w:lvl w:ilvl="0" w:tplc="AF62E464">
      <w:numFmt w:val="bullet"/>
      <w:lvlText w:val="■"/>
      <w:lvlJc w:val="left"/>
      <w:pPr>
        <w:ind w:left="633" w:hanging="375"/>
      </w:pPr>
      <w:rPr>
        <w:rFonts w:ascii="Arial" w:eastAsia="Arial" w:hAnsi="Arial" w:cs="Arial" w:hint="default"/>
        <w:w w:val="98"/>
        <w:sz w:val="50"/>
        <w:szCs w:val="50"/>
      </w:rPr>
    </w:lvl>
    <w:lvl w:ilvl="1" w:tplc="76285DD0">
      <w:start w:val="1"/>
      <w:numFmt w:val="upperLetter"/>
      <w:lvlText w:val="%2."/>
      <w:lvlJc w:val="left"/>
      <w:pPr>
        <w:ind w:left="956" w:hanging="316"/>
        <w:jc w:val="left"/>
      </w:pPr>
      <w:rPr>
        <w:rFonts w:hint="default"/>
        <w:spacing w:val="-1"/>
        <w:w w:val="105"/>
      </w:rPr>
    </w:lvl>
    <w:lvl w:ilvl="2" w:tplc="7E24AC84">
      <w:start w:val="1"/>
      <w:numFmt w:val="decimal"/>
      <w:lvlText w:val="(%3)"/>
      <w:lvlJc w:val="left"/>
      <w:pPr>
        <w:ind w:left="1380" w:hanging="420"/>
        <w:jc w:val="left"/>
      </w:pPr>
      <w:rPr>
        <w:rFonts w:hint="default"/>
        <w:w w:val="106"/>
      </w:rPr>
    </w:lvl>
    <w:lvl w:ilvl="3" w:tplc="B622A51A">
      <w:numFmt w:val="bullet"/>
      <w:lvlText w:val="•"/>
      <w:lvlJc w:val="left"/>
      <w:pPr>
        <w:ind w:left="2116" w:hanging="420"/>
      </w:pPr>
      <w:rPr>
        <w:rFonts w:hint="default"/>
      </w:rPr>
    </w:lvl>
    <w:lvl w:ilvl="4" w:tplc="71009C2A">
      <w:numFmt w:val="bullet"/>
      <w:lvlText w:val="•"/>
      <w:lvlJc w:val="left"/>
      <w:pPr>
        <w:ind w:left="2852" w:hanging="420"/>
      </w:pPr>
      <w:rPr>
        <w:rFonts w:hint="default"/>
      </w:rPr>
    </w:lvl>
    <w:lvl w:ilvl="5" w:tplc="97BA2080">
      <w:numFmt w:val="bullet"/>
      <w:lvlText w:val="•"/>
      <w:lvlJc w:val="left"/>
      <w:pPr>
        <w:ind w:left="3588" w:hanging="420"/>
      </w:pPr>
      <w:rPr>
        <w:rFonts w:hint="default"/>
      </w:rPr>
    </w:lvl>
    <w:lvl w:ilvl="6" w:tplc="29DC4B20">
      <w:numFmt w:val="bullet"/>
      <w:lvlText w:val="•"/>
      <w:lvlJc w:val="left"/>
      <w:pPr>
        <w:ind w:left="4324" w:hanging="420"/>
      </w:pPr>
      <w:rPr>
        <w:rFonts w:hint="default"/>
      </w:rPr>
    </w:lvl>
    <w:lvl w:ilvl="7" w:tplc="9D184430">
      <w:numFmt w:val="bullet"/>
      <w:lvlText w:val="•"/>
      <w:lvlJc w:val="left"/>
      <w:pPr>
        <w:ind w:left="5060" w:hanging="420"/>
      </w:pPr>
      <w:rPr>
        <w:rFonts w:hint="default"/>
      </w:rPr>
    </w:lvl>
    <w:lvl w:ilvl="8" w:tplc="4A2292EC">
      <w:numFmt w:val="bullet"/>
      <w:lvlText w:val="•"/>
      <w:lvlJc w:val="left"/>
      <w:pPr>
        <w:ind w:left="5796" w:hanging="420"/>
      </w:pPr>
      <w:rPr>
        <w:rFonts w:hint="default"/>
      </w:rPr>
    </w:lvl>
  </w:abstractNum>
  <w:abstractNum w:abstractNumId="10" w15:restartNumberingAfterBreak="0">
    <w:nsid w:val="0B0023E8"/>
    <w:multiLevelType w:val="hybridMultilevel"/>
    <w:tmpl w:val="6DBC5870"/>
    <w:lvl w:ilvl="0" w:tplc="49A21E6A">
      <w:numFmt w:val="bullet"/>
      <w:lvlText w:val="-"/>
      <w:lvlJc w:val="left"/>
      <w:pPr>
        <w:ind w:left="385" w:hanging="247"/>
      </w:pPr>
      <w:rPr>
        <w:rFonts w:ascii="Arial" w:eastAsia="Arial" w:hAnsi="Arial" w:cs="Arial" w:hint="default"/>
        <w:w w:val="105"/>
        <w:sz w:val="20"/>
        <w:szCs w:val="20"/>
      </w:rPr>
    </w:lvl>
    <w:lvl w:ilvl="1" w:tplc="2FF422C4">
      <w:numFmt w:val="bullet"/>
      <w:lvlText w:val="•"/>
      <w:lvlJc w:val="left"/>
      <w:pPr>
        <w:ind w:left="1111" w:hanging="247"/>
      </w:pPr>
      <w:rPr>
        <w:rFonts w:hint="default"/>
      </w:rPr>
    </w:lvl>
    <w:lvl w:ilvl="2" w:tplc="127EEA36">
      <w:numFmt w:val="bullet"/>
      <w:lvlText w:val="•"/>
      <w:lvlJc w:val="left"/>
      <w:pPr>
        <w:ind w:left="1843" w:hanging="247"/>
      </w:pPr>
      <w:rPr>
        <w:rFonts w:hint="default"/>
      </w:rPr>
    </w:lvl>
    <w:lvl w:ilvl="3" w:tplc="D4403C0C">
      <w:numFmt w:val="bullet"/>
      <w:lvlText w:val="•"/>
      <w:lvlJc w:val="left"/>
      <w:pPr>
        <w:ind w:left="2575" w:hanging="247"/>
      </w:pPr>
      <w:rPr>
        <w:rFonts w:hint="default"/>
      </w:rPr>
    </w:lvl>
    <w:lvl w:ilvl="4" w:tplc="0C1282B0">
      <w:numFmt w:val="bullet"/>
      <w:lvlText w:val="•"/>
      <w:lvlJc w:val="left"/>
      <w:pPr>
        <w:ind w:left="3306" w:hanging="247"/>
      </w:pPr>
      <w:rPr>
        <w:rFonts w:hint="default"/>
      </w:rPr>
    </w:lvl>
    <w:lvl w:ilvl="5" w:tplc="27B84364">
      <w:numFmt w:val="bullet"/>
      <w:lvlText w:val="•"/>
      <w:lvlJc w:val="left"/>
      <w:pPr>
        <w:ind w:left="4038" w:hanging="247"/>
      </w:pPr>
      <w:rPr>
        <w:rFonts w:hint="default"/>
      </w:rPr>
    </w:lvl>
    <w:lvl w:ilvl="6" w:tplc="CB089A5C">
      <w:numFmt w:val="bullet"/>
      <w:lvlText w:val="•"/>
      <w:lvlJc w:val="left"/>
      <w:pPr>
        <w:ind w:left="4770" w:hanging="247"/>
      </w:pPr>
      <w:rPr>
        <w:rFonts w:hint="default"/>
      </w:rPr>
    </w:lvl>
    <w:lvl w:ilvl="7" w:tplc="6346CA04">
      <w:numFmt w:val="bullet"/>
      <w:lvlText w:val="•"/>
      <w:lvlJc w:val="left"/>
      <w:pPr>
        <w:ind w:left="5501" w:hanging="247"/>
      </w:pPr>
      <w:rPr>
        <w:rFonts w:hint="default"/>
      </w:rPr>
    </w:lvl>
    <w:lvl w:ilvl="8" w:tplc="BAB2D5EE">
      <w:numFmt w:val="bullet"/>
      <w:lvlText w:val="•"/>
      <w:lvlJc w:val="left"/>
      <w:pPr>
        <w:ind w:left="6233" w:hanging="247"/>
      </w:pPr>
      <w:rPr>
        <w:rFonts w:hint="default"/>
      </w:rPr>
    </w:lvl>
  </w:abstractNum>
  <w:abstractNum w:abstractNumId="11" w15:restartNumberingAfterBreak="0">
    <w:nsid w:val="0B271832"/>
    <w:multiLevelType w:val="hybridMultilevel"/>
    <w:tmpl w:val="F11C65C4"/>
    <w:lvl w:ilvl="0" w:tplc="8FD42F86">
      <w:numFmt w:val="bullet"/>
      <w:lvlText w:val="□"/>
      <w:lvlJc w:val="left"/>
      <w:pPr>
        <w:ind w:left="936" w:hanging="328"/>
      </w:pPr>
      <w:rPr>
        <w:rFonts w:ascii="Arial" w:eastAsia="Arial" w:hAnsi="Arial" w:cs="Arial" w:hint="default"/>
        <w:w w:val="99"/>
        <w:sz w:val="37"/>
        <w:szCs w:val="37"/>
      </w:rPr>
    </w:lvl>
    <w:lvl w:ilvl="1" w:tplc="9B1E434E">
      <w:start w:val="3"/>
      <w:numFmt w:val="lowerLetter"/>
      <w:lvlText w:val="(%2)"/>
      <w:lvlJc w:val="left"/>
      <w:pPr>
        <w:ind w:left="2152" w:hanging="425"/>
        <w:jc w:val="left"/>
      </w:pPr>
      <w:rPr>
        <w:rFonts w:ascii="Times New Roman" w:eastAsia="Times New Roman" w:hAnsi="Times New Roman" w:cs="Times New Roman" w:hint="default"/>
        <w:spacing w:val="-1"/>
        <w:w w:val="108"/>
        <w:sz w:val="20"/>
        <w:szCs w:val="20"/>
      </w:rPr>
    </w:lvl>
    <w:lvl w:ilvl="2" w:tplc="959E657A">
      <w:numFmt w:val="bullet"/>
      <w:lvlText w:val="•"/>
      <w:lvlJc w:val="left"/>
      <w:pPr>
        <w:ind w:left="2775" w:hanging="425"/>
      </w:pPr>
      <w:rPr>
        <w:rFonts w:hint="default"/>
      </w:rPr>
    </w:lvl>
    <w:lvl w:ilvl="3" w:tplc="5F26AEBE">
      <w:numFmt w:val="bullet"/>
      <w:lvlText w:val="•"/>
      <w:lvlJc w:val="left"/>
      <w:pPr>
        <w:ind w:left="3390" w:hanging="425"/>
      </w:pPr>
      <w:rPr>
        <w:rFonts w:hint="default"/>
      </w:rPr>
    </w:lvl>
    <w:lvl w:ilvl="4" w:tplc="43987E28">
      <w:numFmt w:val="bullet"/>
      <w:lvlText w:val="•"/>
      <w:lvlJc w:val="left"/>
      <w:pPr>
        <w:ind w:left="4005" w:hanging="425"/>
      </w:pPr>
      <w:rPr>
        <w:rFonts w:hint="default"/>
      </w:rPr>
    </w:lvl>
    <w:lvl w:ilvl="5" w:tplc="42762552">
      <w:numFmt w:val="bullet"/>
      <w:lvlText w:val="•"/>
      <w:lvlJc w:val="left"/>
      <w:pPr>
        <w:ind w:left="4620" w:hanging="425"/>
      </w:pPr>
      <w:rPr>
        <w:rFonts w:hint="default"/>
      </w:rPr>
    </w:lvl>
    <w:lvl w:ilvl="6" w:tplc="3C04D204">
      <w:numFmt w:val="bullet"/>
      <w:lvlText w:val="•"/>
      <w:lvlJc w:val="left"/>
      <w:pPr>
        <w:ind w:left="5236" w:hanging="425"/>
      </w:pPr>
      <w:rPr>
        <w:rFonts w:hint="default"/>
      </w:rPr>
    </w:lvl>
    <w:lvl w:ilvl="7" w:tplc="9D40187A">
      <w:numFmt w:val="bullet"/>
      <w:lvlText w:val="•"/>
      <w:lvlJc w:val="left"/>
      <w:pPr>
        <w:ind w:left="5851" w:hanging="425"/>
      </w:pPr>
      <w:rPr>
        <w:rFonts w:hint="default"/>
      </w:rPr>
    </w:lvl>
    <w:lvl w:ilvl="8" w:tplc="4B4E8102">
      <w:numFmt w:val="bullet"/>
      <w:lvlText w:val="•"/>
      <w:lvlJc w:val="left"/>
      <w:pPr>
        <w:ind w:left="6466" w:hanging="425"/>
      </w:pPr>
      <w:rPr>
        <w:rFonts w:hint="default"/>
      </w:rPr>
    </w:lvl>
  </w:abstractNum>
  <w:abstractNum w:abstractNumId="12" w15:restartNumberingAfterBreak="0">
    <w:nsid w:val="0BA73285"/>
    <w:multiLevelType w:val="hybridMultilevel"/>
    <w:tmpl w:val="B69AC486"/>
    <w:lvl w:ilvl="0" w:tplc="CFE414F0">
      <w:start w:val="1"/>
      <w:numFmt w:val="upperLetter"/>
      <w:lvlText w:val="%1."/>
      <w:lvlJc w:val="left"/>
      <w:pPr>
        <w:ind w:left="1143" w:hanging="304"/>
        <w:jc w:val="left"/>
      </w:pPr>
      <w:rPr>
        <w:rFonts w:hint="default"/>
        <w:spacing w:val="-1"/>
        <w:w w:val="105"/>
      </w:rPr>
    </w:lvl>
    <w:lvl w:ilvl="1" w:tplc="9BA828F8">
      <w:numFmt w:val="bullet"/>
      <w:lvlText w:val="•"/>
      <w:lvlJc w:val="left"/>
      <w:pPr>
        <w:ind w:left="1797" w:hanging="304"/>
      </w:pPr>
      <w:rPr>
        <w:rFonts w:hint="default"/>
      </w:rPr>
    </w:lvl>
    <w:lvl w:ilvl="2" w:tplc="211EC2B0">
      <w:numFmt w:val="bullet"/>
      <w:lvlText w:val="•"/>
      <w:lvlJc w:val="left"/>
      <w:pPr>
        <w:ind w:left="2455" w:hanging="304"/>
      </w:pPr>
      <w:rPr>
        <w:rFonts w:hint="default"/>
      </w:rPr>
    </w:lvl>
    <w:lvl w:ilvl="3" w:tplc="70BE8286">
      <w:numFmt w:val="bullet"/>
      <w:lvlText w:val="•"/>
      <w:lvlJc w:val="left"/>
      <w:pPr>
        <w:ind w:left="3113" w:hanging="304"/>
      </w:pPr>
      <w:rPr>
        <w:rFonts w:hint="default"/>
      </w:rPr>
    </w:lvl>
    <w:lvl w:ilvl="4" w:tplc="C3CCFC10">
      <w:numFmt w:val="bullet"/>
      <w:lvlText w:val="•"/>
      <w:lvlJc w:val="left"/>
      <w:pPr>
        <w:ind w:left="3770" w:hanging="304"/>
      </w:pPr>
      <w:rPr>
        <w:rFonts w:hint="default"/>
      </w:rPr>
    </w:lvl>
    <w:lvl w:ilvl="5" w:tplc="AFC24358">
      <w:numFmt w:val="bullet"/>
      <w:lvlText w:val="•"/>
      <w:lvlJc w:val="left"/>
      <w:pPr>
        <w:ind w:left="4428" w:hanging="304"/>
      </w:pPr>
      <w:rPr>
        <w:rFonts w:hint="default"/>
      </w:rPr>
    </w:lvl>
    <w:lvl w:ilvl="6" w:tplc="E708A0A6">
      <w:numFmt w:val="bullet"/>
      <w:lvlText w:val="•"/>
      <w:lvlJc w:val="left"/>
      <w:pPr>
        <w:ind w:left="5086" w:hanging="304"/>
      </w:pPr>
      <w:rPr>
        <w:rFonts w:hint="default"/>
      </w:rPr>
    </w:lvl>
    <w:lvl w:ilvl="7" w:tplc="91EA571C">
      <w:numFmt w:val="bullet"/>
      <w:lvlText w:val="•"/>
      <w:lvlJc w:val="left"/>
      <w:pPr>
        <w:ind w:left="5743" w:hanging="304"/>
      </w:pPr>
      <w:rPr>
        <w:rFonts w:hint="default"/>
      </w:rPr>
    </w:lvl>
    <w:lvl w:ilvl="8" w:tplc="5406E226">
      <w:numFmt w:val="bullet"/>
      <w:lvlText w:val="•"/>
      <w:lvlJc w:val="left"/>
      <w:pPr>
        <w:ind w:left="6401" w:hanging="304"/>
      </w:pPr>
      <w:rPr>
        <w:rFonts w:hint="default"/>
      </w:rPr>
    </w:lvl>
  </w:abstractNum>
  <w:abstractNum w:abstractNumId="13" w15:restartNumberingAfterBreak="0">
    <w:nsid w:val="0BEA4694"/>
    <w:multiLevelType w:val="hybridMultilevel"/>
    <w:tmpl w:val="CCC2AE4A"/>
    <w:lvl w:ilvl="0" w:tplc="F4F4C398">
      <w:numFmt w:val="bullet"/>
      <w:lvlText w:val="■"/>
      <w:lvlJc w:val="left"/>
      <w:pPr>
        <w:ind w:left="604" w:hanging="379"/>
      </w:pPr>
      <w:rPr>
        <w:rFonts w:ascii="Arial" w:eastAsia="Arial" w:hAnsi="Arial" w:cs="Arial" w:hint="default"/>
        <w:w w:val="100"/>
        <w:sz w:val="49"/>
        <w:szCs w:val="49"/>
      </w:rPr>
    </w:lvl>
    <w:lvl w:ilvl="1" w:tplc="11449D36">
      <w:start w:val="1"/>
      <w:numFmt w:val="upperLetter"/>
      <w:lvlText w:val="%2."/>
      <w:lvlJc w:val="left"/>
      <w:pPr>
        <w:ind w:left="939" w:hanging="311"/>
        <w:jc w:val="left"/>
      </w:pPr>
      <w:rPr>
        <w:rFonts w:hint="default"/>
        <w:spacing w:val="-1"/>
        <w:w w:val="95"/>
      </w:rPr>
    </w:lvl>
    <w:lvl w:ilvl="2" w:tplc="C30402DE">
      <w:numFmt w:val="bullet"/>
      <w:lvlText w:val="•"/>
      <w:lvlJc w:val="left"/>
      <w:pPr>
        <w:ind w:left="1642" w:hanging="311"/>
      </w:pPr>
      <w:rPr>
        <w:rFonts w:hint="default"/>
      </w:rPr>
    </w:lvl>
    <w:lvl w:ilvl="3" w:tplc="37C04824">
      <w:numFmt w:val="bullet"/>
      <w:lvlText w:val="•"/>
      <w:lvlJc w:val="left"/>
      <w:pPr>
        <w:ind w:left="2345" w:hanging="311"/>
      </w:pPr>
      <w:rPr>
        <w:rFonts w:hint="default"/>
      </w:rPr>
    </w:lvl>
    <w:lvl w:ilvl="4" w:tplc="100CFE5C">
      <w:numFmt w:val="bullet"/>
      <w:lvlText w:val="•"/>
      <w:lvlJc w:val="left"/>
      <w:pPr>
        <w:ind w:left="3048" w:hanging="311"/>
      </w:pPr>
      <w:rPr>
        <w:rFonts w:hint="default"/>
      </w:rPr>
    </w:lvl>
    <w:lvl w:ilvl="5" w:tplc="C1CADC8A">
      <w:numFmt w:val="bullet"/>
      <w:lvlText w:val="•"/>
      <w:lvlJc w:val="left"/>
      <w:pPr>
        <w:ind w:left="3750" w:hanging="311"/>
      </w:pPr>
      <w:rPr>
        <w:rFonts w:hint="default"/>
      </w:rPr>
    </w:lvl>
    <w:lvl w:ilvl="6" w:tplc="53AC4AC6">
      <w:numFmt w:val="bullet"/>
      <w:lvlText w:val="•"/>
      <w:lvlJc w:val="left"/>
      <w:pPr>
        <w:ind w:left="4453" w:hanging="311"/>
      </w:pPr>
      <w:rPr>
        <w:rFonts w:hint="default"/>
      </w:rPr>
    </w:lvl>
    <w:lvl w:ilvl="7" w:tplc="20FCBA94">
      <w:numFmt w:val="bullet"/>
      <w:lvlText w:val="•"/>
      <w:lvlJc w:val="left"/>
      <w:pPr>
        <w:ind w:left="5156" w:hanging="311"/>
      </w:pPr>
      <w:rPr>
        <w:rFonts w:hint="default"/>
      </w:rPr>
    </w:lvl>
    <w:lvl w:ilvl="8" w:tplc="4A9E097A">
      <w:numFmt w:val="bullet"/>
      <w:lvlText w:val="•"/>
      <w:lvlJc w:val="left"/>
      <w:pPr>
        <w:ind w:left="5858" w:hanging="311"/>
      </w:pPr>
      <w:rPr>
        <w:rFonts w:hint="default"/>
      </w:rPr>
    </w:lvl>
  </w:abstractNum>
  <w:abstractNum w:abstractNumId="14" w15:restartNumberingAfterBreak="0">
    <w:nsid w:val="0C537426"/>
    <w:multiLevelType w:val="hybridMultilevel"/>
    <w:tmpl w:val="43EAC106"/>
    <w:lvl w:ilvl="0" w:tplc="BB100EE2">
      <w:start w:val="11"/>
      <w:numFmt w:val="decimal"/>
      <w:lvlText w:val=".%1"/>
      <w:lvlJc w:val="left"/>
      <w:pPr>
        <w:ind w:left="1160" w:hanging="704"/>
        <w:jc w:val="left"/>
      </w:pPr>
      <w:rPr>
        <w:rFonts w:ascii="Times New Roman" w:eastAsia="Times New Roman" w:hAnsi="Times New Roman" w:cs="Times New Roman" w:hint="default"/>
        <w:w w:val="110"/>
        <w:sz w:val="19"/>
        <w:szCs w:val="19"/>
      </w:rPr>
    </w:lvl>
    <w:lvl w:ilvl="1" w:tplc="533EC85C">
      <w:numFmt w:val="bullet"/>
      <w:lvlText w:val="•"/>
      <w:lvlJc w:val="left"/>
      <w:pPr>
        <w:ind w:left="1428" w:hanging="704"/>
      </w:pPr>
      <w:rPr>
        <w:rFonts w:hint="default"/>
      </w:rPr>
    </w:lvl>
    <w:lvl w:ilvl="2" w:tplc="FBC0B4C2">
      <w:numFmt w:val="bullet"/>
      <w:lvlText w:val="•"/>
      <w:lvlJc w:val="left"/>
      <w:pPr>
        <w:ind w:left="1696" w:hanging="704"/>
      </w:pPr>
      <w:rPr>
        <w:rFonts w:hint="default"/>
      </w:rPr>
    </w:lvl>
    <w:lvl w:ilvl="3" w:tplc="071CF7A8">
      <w:numFmt w:val="bullet"/>
      <w:lvlText w:val="•"/>
      <w:lvlJc w:val="left"/>
      <w:pPr>
        <w:ind w:left="1964" w:hanging="704"/>
      </w:pPr>
      <w:rPr>
        <w:rFonts w:hint="default"/>
      </w:rPr>
    </w:lvl>
    <w:lvl w:ilvl="4" w:tplc="B23AD424">
      <w:numFmt w:val="bullet"/>
      <w:lvlText w:val="•"/>
      <w:lvlJc w:val="left"/>
      <w:pPr>
        <w:ind w:left="2232" w:hanging="704"/>
      </w:pPr>
      <w:rPr>
        <w:rFonts w:hint="default"/>
      </w:rPr>
    </w:lvl>
    <w:lvl w:ilvl="5" w:tplc="F69454C4">
      <w:numFmt w:val="bullet"/>
      <w:lvlText w:val="•"/>
      <w:lvlJc w:val="left"/>
      <w:pPr>
        <w:ind w:left="2500" w:hanging="704"/>
      </w:pPr>
      <w:rPr>
        <w:rFonts w:hint="default"/>
      </w:rPr>
    </w:lvl>
    <w:lvl w:ilvl="6" w:tplc="50D2F5F4">
      <w:numFmt w:val="bullet"/>
      <w:lvlText w:val="•"/>
      <w:lvlJc w:val="left"/>
      <w:pPr>
        <w:ind w:left="2768" w:hanging="704"/>
      </w:pPr>
      <w:rPr>
        <w:rFonts w:hint="default"/>
      </w:rPr>
    </w:lvl>
    <w:lvl w:ilvl="7" w:tplc="230CEBB8">
      <w:numFmt w:val="bullet"/>
      <w:lvlText w:val="•"/>
      <w:lvlJc w:val="left"/>
      <w:pPr>
        <w:ind w:left="3036" w:hanging="704"/>
      </w:pPr>
      <w:rPr>
        <w:rFonts w:hint="default"/>
      </w:rPr>
    </w:lvl>
    <w:lvl w:ilvl="8" w:tplc="89C6FA34">
      <w:numFmt w:val="bullet"/>
      <w:lvlText w:val="•"/>
      <w:lvlJc w:val="left"/>
      <w:pPr>
        <w:ind w:left="3304" w:hanging="704"/>
      </w:pPr>
      <w:rPr>
        <w:rFonts w:hint="default"/>
      </w:rPr>
    </w:lvl>
  </w:abstractNum>
  <w:abstractNum w:abstractNumId="15" w15:restartNumberingAfterBreak="0">
    <w:nsid w:val="0D94220D"/>
    <w:multiLevelType w:val="hybridMultilevel"/>
    <w:tmpl w:val="1D024BA6"/>
    <w:lvl w:ilvl="0" w:tplc="9D066FC6">
      <w:numFmt w:val="bullet"/>
      <w:lvlText w:val="■"/>
      <w:lvlJc w:val="left"/>
      <w:pPr>
        <w:ind w:left="628" w:hanging="379"/>
      </w:pPr>
      <w:rPr>
        <w:rFonts w:ascii="Arial" w:eastAsia="Arial" w:hAnsi="Arial" w:cs="Arial" w:hint="default"/>
        <w:w w:val="98"/>
        <w:sz w:val="50"/>
        <w:szCs w:val="50"/>
      </w:rPr>
    </w:lvl>
    <w:lvl w:ilvl="1" w:tplc="5A781F8E">
      <w:start w:val="1"/>
      <w:numFmt w:val="upperLetter"/>
      <w:lvlText w:val="%2."/>
      <w:lvlJc w:val="left"/>
      <w:pPr>
        <w:ind w:left="957" w:hanging="308"/>
        <w:jc w:val="left"/>
      </w:pPr>
      <w:rPr>
        <w:rFonts w:ascii="Times New Roman" w:eastAsia="Times New Roman" w:hAnsi="Times New Roman" w:cs="Times New Roman" w:hint="default"/>
        <w:spacing w:val="-1"/>
        <w:w w:val="95"/>
        <w:sz w:val="20"/>
        <w:szCs w:val="20"/>
      </w:rPr>
    </w:lvl>
    <w:lvl w:ilvl="2" w:tplc="FDCC3A4C">
      <w:start w:val="1"/>
      <w:numFmt w:val="decimal"/>
      <w:lvlText w:val="(%3)"/>
      <w:lvlJc w:val="left"/>
      <w:pPr>
        <w:ind w:left="1384" w:hanging="430"/>
        <w:jc w:val="left"/>
      </w:pPr>
      <w:rPr>
        <w:rFonts w:ascii="Times New Roman" w:eastAsia="Times New Roman" w:hAnsi="Times New Roman" w:cs="Times New Roman" w:hint="default"/>
        <w:w w:val="106"/>
        <w:sz w:val="20"/>
        <w:szCs w:val="20"/>
      </w:rPr>
    </w:lvl>
    <w:lvl w:ilvl="3" w:tplc="FBC442AA">
      <w:numFmt w:val="bullet"/>
      <w:lvlText w:val="•"/>
      <w:lvlJc w:val="left"/>
      <w:pPr>
        <w:ind w:left="2117" w:hanging="430"/>
      </w:pPr>
      <w:rPr>
        <w:rFonts w:hint="default"/>
      </w:rPr>
    </w:lvl>
    <w:lvl w:ilvl="4" w:tplc="CFEE6A88">
      <w:numFmt w:val="bullet"/>
      <w:lvlText w:val="•"/>
      <w:lvlJc w:val="left"/>
      <w:pPr>
        <w:ind w:left="2855" w:hanging="430"/>
      </w:pPr>
      <w:rPr>
        <w:rFonts w:hint="default"/>
      </w:rPr>
    </w:lvl>
    <w:lvl w:ilvl="5" w:tplc="8378F4C0">
      <w:numFmt w:val="bullet"/>
      <w:lvlText w:val="•"/>
      <w:lvlJc w:val="left"/>
      <w:pPr>
        <w:ind w:left="3592" w:hanging="430"/>
      </w:pPr>
      <w:rPr>
        <w:rFonts w:hint="default"/>
      </w:rPr>
    </w:lvl>
    <w:lvl w:ilvl="6" w:tplc="FBB28774">
      <w:numFmt w:val="bullet"/>
      <w:lvlText w:val="•"/>
      <w:lvlJc w:val="left"/>
      <w:pPr>
        <w:ind w:left="4330" w:hanging="430"/>
      </w:pPr>
      <w:rPr>
        <w:rFonts w:hint="default"/>
      </w:rPr>
    </w:lvl>
    <w:lvl w:ilvl="7" w:tplc="FC96BFC2">
      <w:numFmt w:val="bullet"/>
      <w:lvlText w:val="•"/>
      <w:lvlJc w:val="left"/>
      <w:pPr>
        <w:ind w:left="5068" w:hanging="430"/>
      </w:pPr>
      <w:rPr>
        <w:rFonts w:hint="default"/>
      </w:rPr>
    </w:lvl>
    <w:lvl w:ilvl="8" w:tplc="0616D3EA">
      <w:numFmt w:val="bullet"/>
      <w:lvlText w:val="•"/>
      <w:lvlJc w:val="left"/>
      <w:pPr>
        <w:ind w:left="5805" w:hanging="430"/>
      </w:pPr>
      <w:rPr>
        <w:rFonts w:hint="default"/>
      </w:rPr>
    </w:lvl>
  </w:abstractNum>
  <w:abstractNum w:abstractNumId="16" w15:restartNumberingAfterBreak="0">
    <w:nsid w:val="0E865D24"/>
    <w:multiLevelType w:val="hybridMultilevel"/>
    <w:tmpl w:val="FA1A7E4C"/>
    <w:lvl w:ilvl="0" w:tplc="8A0C57D2">
      <w:numFmt w:val="bullet"/>
      <w:lvlText w:val="□"/>
      <w:lvlJc w:val="left"/>
      <w:pPr>
        <w:ind w:left="595" w:hanging="328"/>
      </w:pPr>
      <w:rPr>
        <w:rFonts w:ascii="Arial" w:eastAsia="Arial" w:hAnsi="Arial" w:cs="Arial" w:hint="default"/>
        <w:w w:val="99"/>
        <w:position w:val="-5"/>
        <w:sz w:val="36"/>
        <w:szCs w:val="36"/>
      </w:rPr>
    </w:lvl>
    <w:lvl w:ilvl="1" w:tplc="99143D98">
      <w:start w:val="1"/>
      <w:numFmt w:val="decimal"/>
      <w:lvlText w:val="(%2)"/>
      <w:lvlJc w:val="left"/>
      <w:pPr>
        <w:ind w:left="1391" w:hanging="432"/>
        <w:jc w:val="left"/>
      </w:pPr>
      <w:rPr>
        <w:rFonts w:hint="default"/>
        <w:w w:val="107"/>
        <w:position w:val="1"/>
      </w:rPr>
    </w:lvl>
    <w:lvl w:ilvl="2" w:tplc="429815C4">
      <w:numFmt w:val="bullet"/>
      <w:lvlText w:val="•"/>
      <w:lvlJc w:val="left"/>
      <w:pPr>
        <w:ind w:left="1400" w:hanging="432"/>
      </w:pPr>
      <w:rPr>
        <w:rFonts w:hint="default"/>
      </w:rPr>
    </w:lvl>
    <w:lvl w:ilvl="3" w:tplc="73BEBB52">
      <w:numFmt w:val="bullet"/>
      <w:lvlText w:val="•"/>
      <w:lvlJc w:val="left"/>
      <w:pPr>
        <w:ind w:left="2139" w:hanging="432"/>
      </w:pPr>
      <w:rPr>
        <w:rFonts w:hint="default"/>
      </w:rPr>
    </w:lvl>
    <w:lvl w:ilvl="4" w:tplc="AE7C8102">
      <w:numFmt w:val="bullet"/>
      <w:lvlText w:val="•"/>
      <w:lvlJc w:val="left"/>
      <w:pPr>
        <w:ind w:left="2878" w:hanging="432"/>
      </w:pPr>
      <w:rPr>
        <w:rFonts w:hint="default"/>
      </w:rPr>
    </w:lvl>
    <w:lvl w:ilvl="5" w:tplc="A3B258CE">
      <w:numFmt w:val="bullet"/>
      <w:lvlText w:val="•"/>
      <w:lvlJc w:val="left"/>
      <w:pPr>
        <w:ind w:left="3617" w:hanging="432"/>
      </w:pPr>
      <w:rPr>
        <w:rFonts w:hint="default"/>
      </w:rPr>
    </w:lvl>
    <w:lvl w:ilvl="6" w:tplc="579C7EA0">
      <w:numFmt w:val="bullet"/>
      <w:lvlText w:val="•"/>
      <w:lvlJc w:val="left"/>
      <w:pPr>
        <w:ind w:left="4357" w:hanging="432"/>
      </w:pPr>
      <w:rPr>
        <w:rFonts w:hint="default"/>
      </w:rPr>
    </w:lvl>
    <w:lvl w:ilvl="7" w:tplc="485EC2CE">
      <w:numFmt w:val="bullet"/>
      <w:lvlText w:val="•"/>
      <w:lvlJc w:val="left"/>
      <w:pPr>
        <w:ind w:left="5096" w:hanging="432"/>
      </w:pPr>
      <w:rPr>
        <w:rFonts w:hint="default"/>
      </w:rPr>
    </w:lvl>
    <w:lvl w:ilvl="8" w:tplc="13BA18E2">
      <w:numFmt w:val="bullet"/>
      <w:lvlText w:val="•"/>
      <w:lvlJc w:val="left"/>
      <w:pPr>
        <w:ind w:left="5835" w:hanging="432"/>
      </w:pPr>
      <w:rPr>
        <w:rFonts w:hint="default"/>
      </w:rPr>
    </w:lvl>
  </w:abstractNum>
  <w:abstractNum w:abstractNumId="17" w15:restartNumberingAfterBreak="0">
    <w:nsid w:val="0F155377"/>
    <w:multiLevelType w:val="hybridMultilevel"/>
    <w:tmpl w:val="80ACC6C0"/>
    <w:lvl w:ilvl="0" w:tplc="5BAC3612">
      <w:numFmt w:val="bullet"/>
      <w:lvlText w:val="□"/>
      <w:lvlJc w:val="left"/>
      <w:pPr>
        <w:ind w:left="582" w:hanging="330"/>
      </w:pPr>
      <w:rPr>
        <w:rFonts w:ascii="Arial" w:eastAsia="Arial" w:hAnsi="Arial" w:cs="Arial" w:hint="default"/>
        <w:w w:val="97"/>
        <w:sz w:val="38"/>
        <w:szCs w:val="38"/>
      </w:rPr>
    </w:lvl>
    <w:lvl w:ilvl="1" w:tplc="DD6C3A32">
      <w:start w:val="2"/>
      <w:numFmt w:val="decimal"/>
      <w:lvlText w:val="(%2)"/>
      <w:lvlJc w:val="left"/>
      <w:pPr>
        <w:ind w:left="1380" w:hanging="426"/>
        <w:jc w:val="left"/>
      </w:pPr>
      <w:rPr>
        <w:rFonts w:ascii="Times New Roman" w:eastAsia="Times New Roman" w:hAnsi="Times New Roman" w:cs="Times New Roman" w:hint="default"/>
        <w:w w:val="106"/>
        <w:sz w:val="20"/>
        <w:szCs w:val="20"/>
      </w:rPr>
    </w:lvl>
    <w:lvl w:ilvl="2" w:tplc="E1EEF1BE">
      <w:numFmt w:val="bullet"/>
      <w:lvlText w:val="•"/>
      <w:lvlJc w:val="left"/>
      <w:pPr>
        <w:ind w:left="2034" w:hanging="426"/>
      </w:pPr>
      <w:rPr>
        <w:rFonts w:hint="default"/>
      </w:rPr>
    </w:lvl>
    <w:lvl w:ilvl="3" w:tplc="8684F61C">
      <w:numFmt w:val="bullet"/>
      <w:lvlText w:val="•"/>
      <w:lvlJc w:val="left"/>
      <w:pPr>
        <w:ind w:left="2688" w:hanging="426"/>
      </w:pPr>
      <w:rPr>
        <w:rFonts w:hint="default"/>
      </w:rPr>
    </w:lvl>
    <w:lvl w:ilvl="4" w:tplc="3ADEA242">
      <w:numFmt w:val="bullet"/>
      <w:lvlText w:val="•"/>
      <w:lvlJc w:val="left"/>
      <w:pPr>
        <w:ind w:left="3342" w:hanging="426"/>
      </w:pPr>
      <w:rPr>
        <w:rFonts w:hint="default"/>
      </w:rPr>
    </w:lvl>
    <w:lvl w:ilvl="5" w:tplc="40D47270">
      <w:numFmt w:val="bullet"/>
      <w:lvlText w:val="•"/>
      <w:lvlJc w:val="left"/>
      <w:pPr>
        <w:ind w:left="3996" w:hanging="426"/>
      </w:pPr>
      <w:rPr>
        <w:rFonts w:hint="default"/>
      </w:rPr>
    </w:lvl>
    <w:lvl w:ilvl="6" w:tplc="CDB29AAC">
      <w:numFmt w:val="bullet"/>
      <w:lvlText w:val="•"/>
      <w:lvlJc w:val="left"/>
      <w:pPr>
        <w:ind w:left="4650" w:hanging="426"/>
      </w:pPr>
      <w:rPr>
        <w:rFonts w:hint="default"/>
      </w:rPr>
    </w:lvl>
    <w:lvl w:ilvl="7" w:tplc="444A4B72">
      <w:numFmt w:val="bullet"/>
      <w:lvlText w:val="•"/>
      <w:lvlJc w:val="left"/>
      <w:pPr>
        <w:ind w:left="5304" w:hanging="426"/>
      </w:pPr>
      <w:rPr>
        <w:rFonts w:hint="default"/>
      </w:rPr>
    </w:lvl>
    <w:lvl w:ilvl="8" w:tplc="A8C0618A">
      <w:numFmt w:val="bullet"/>
      <w:lvlText w:val="•"/>
      <w:lvlJc w:val="left"/>
      <w:pPr>
        <w:ind w:left="5958" w:hanging="426"/>
      </w:pPr>
      <w:rPr>
        <w:rFonts w:hint="default"/>
      </w:rPr>
    </w:lvl>
  </w:abstractNum>
  <w:abstractNum w:abstractNumId="18" w15:restartNumberingAfterBreak="0">
    <w:nsid w:val="10037E4A"/>
    <w:multiLevelType w:val="multilevel"/>
    <w:tmpl w:val="5B5EA6A4"/>
    <w:lvl w:ilvl="0">
      <w:start w:val="291"/>
      <w:numFmt w:val="decimal"/>
      <w:lvlText w:val="%1"/>
      <w:lvlJc w:val="left"/>
      <w:pPr>
        <w:ind w:left="903" w:hanging="720"/>
        <w:jc w:val="left"/>
      </w:pPr>
      <w:rPr>
        <w:rFonts w:hint="default"/>
      </w:rPr>
    </w:lvl>
    <w:lvl w:ilvl="1">
      <w:start w:val="8"/>
      <w:numFmt w:val="decimal"/>
      <w:lvlText w:val="%1.%2"/>
      <w:lvlJc w:val="left"/>
      <w:pPr>
        <w:ind w:left="903" w:hanging="720"/>
        <w:jc w:val="left"/>
      </w:pPr>
      <w:rPr>
        <w:rFonts w:ascii="Times New Roman" w:eastAsia="Times New Roman" w:hAnsi="Times New Roman" w:cs="Times New Roman" w:hint="default"/>
        <w:w w:val="101"/>
        <w:sz w:val="20"/>
        <w:szCs w:val="20"/>
      </w:rPr>
    </w:lvl>
    <w:lvl w:ilvl="2">
      <w:numFmt w:val="bullet"/>
      <w:lvlText w:val="•"/>
      <w:lvlJc w:val="left"/>
      <w:pPr>
        <w:ind w:left="1338" w:hanging="720"/>
      </w:pPr>
      <w:rPr>
        <w:rFonts w:hint="default"/>
      </w:rPr>
    </w:lvl>
    <w:lvl w:ilvl="3">
      <w:numFmt w:val="bullet"/>
      <w:lvlText w:val="•"/>
      <w:lvlJc w:val="left"/>
      <w:pPr>
        <w:ind w:left="1557" w:hanging="720"/>
      </w:pPr>
      <w:rPr>
        <w:rFonts w:hint="default"/>
      </w:rPr>
    </w:lvl>
    <w:lvl w:ilvl="4">
      <w:numFmt w:val="bullet"/>
      <w:lvlText w:val="•"/>
      <w:lvlJc w:val="left"/>
      <w:pPr>
        <w:ind w:left="1776" w:hanging="720"/>
      </w:pPr>
      <w:rPr>
        <w:rFonts w:hint="default"/>
      </w:rPr>
    </w:lvl>
    <w:lvl w:ilvl="5">
      <w:numFmt w:val="bullet"/>
      <w:lvlText w:val="•"/>
      <w:lvlJc w:val="left"/>
      <w:pPr>
        <w:ind w:left="1995" w:hanging="720"/>
      </w:pPr>
      <w:rPr>
        <w:rFonts w:hint="default"/>
      </w:rPr>
    </w:lvl>
    <w:lvl w:ilvl="6">
      <w:numFmt w:val="bullet"/>
      <w:lvlText w:val="•"/>
      <w:lvlJc w:val="left"/>
      <w:pPr>
        <w:ind w:left="2215" w:hanging="720"/>
      </w:pPr>
      <w:rPr>
        <w:rFonts w:hint="default"/>
      </w:rPr>
    </w:lvl>
    <w:lvl w:ilvl="7">
      <w:numFmt w:val="bullet"/>
      <w:lvlText w:val="•"/>
      <w:lvlJc w:val="left"/>
      <w:pPr>
        <w:ind w:left="2434" w:hanging="720"/>
      </w:pPr>
      <w:rPr>
        <w:rFonts w:hint="default"/>
      </w:rPr>
    </w:lvl>
    <w:lvl w:ilvl="8">
      <w:numFmt w:val="bullet"/>
      <w:lvlText w:val="•"/>
      <w:lvlJc w:val="left"/>
      <w:pPr>
        <w:ind w:left="2653" w:hanging="720"/>
      </w:pPr>
      <w:rPr>
        <w:rFonts w:hint="default"/>
      </w:rPr>
    </w:lvl>
  </w:abstractNum>
  <w:abstractNum w:abstractNumId="19" w15:restartNumberingAfterBreak="0">
    <w:nsid w:val="1017684A"/>
    <w:multiLevelType w:val="hybridMultilevel"/>
    <w:tmpl w:val="3CF01EA2"/>
    <w:lvl w:ilvl="0" w:tplc="9112F124">
      <w:numFmt w:val="bullet"/>
      <w:lvlText w:val="•"/>
      <w:lvlJc w:val="left"/>
      <w:pPr>
        <w:ind w:left="740" w:hanging="225"/>
      </w:pPr>
      <w:rPr>
        <w:rFonts w:ascii="Times New Roman" w:eastAsia="Times New Roman" w:hAnsi="Times New Roman" w:cs="Times New Roman" w:hint="default"/>
        <w:w w:val="102"/>
        <w:sz w:val="20"/>
        <w:szCs w:val="20"/>
      </w:rPr>
    </w:lvl>
    <w:lvl w:ilvl="1" w:tplc="7536006A">
      <w:numFmt w:val="bullet"/>
      <w:lvlText w:val="•"/>
      <w:lvlJc w:val="left"/>
      <w:pPr>
        <w:ind w:left="1441" w:hanging="225"/>
      </w:pPr>
      <w:rPr>
        <w:rFonts w:hint="default"/>
      </w:rPr>
    </w:lvl>
    <w:lvl w:ilvl="2" w:tplc="600E8B32">
      <w:numFmt w:val="bullet"/>
      <w:lvlText w:val="•"/>
      <w:lvlJc w:val="left"/>
      <w:pPr>
        <w:ind w:left="2143" w:hanging="225"/>
      </w:pPr>
      <w:rPr>
        <w:rFonts w:hint="default"/>
      </w:rPr>
    </w:lvl>
    <w:lvl w:ilvl="3" w:tplc="8EA0F1B8">
      <w:numFmt w:val="bullet"/>
      <w:lvlText w:val="•"/>
      <w:lvlJc w:val="left"/>
      <w:pPr>
        <w:ind w:left="2845" w:hanging="225"/>
      </w:pPr>
      <w:rPr>
        <w:rFonts w:hint="default"/>
      </w:rPr>
    </w:lvl>
    <w:lvl w:ilvl="4" w:tplc="C6BA607C">
      <w:numFmt w:val="bullet"/>
      <w:lvlText w:val="•"/>
      <w:lvlJc w:val="left"/>
      <w:pPr>
        <w:ind w:left="3546" w:hanging="225"/>
      </w:pPr>
      <w:rPr>
        <w:rFonts w:hint="default"/>
      </w:rPr>
    </w:lvl>
    <w:lvl w:ilvl="5" w:tplc="CC405FC8">
      <w:numFmt w:val="bullet"/>
      <w:lvlText w:val="•"/>
      <w:lvlJc w:val="left"/>
      <w:pPr>
        <w:ind w:left="4248" w:hanging="225"/>
      </w:pPr>
      <w:rPr>
        <w:rFonts w:hint="default"/>
      </w:rPr>
    </w:lvl>
    <w:lvl w:ilvl="6" w:tplc="00E49824">
      <w:numFmt w:val="bullet"/>
      <w:lvlText w:val="•"/>
      <w:lvlJc w:val="left"/>
      <w:pPr>
        <w:ind w:left="4950" w:hanging="225"/>
      </w:pPr>
      <w:rPr>
        <w:rFonts w:hint="default"/>
      </w:rPr>
    </w:lvl>
    <w:lvl w:ilvl="7" w:tplc="0438538C">
      <w:numFmt w:val="bullet"/>
      <w:lvlText w:val="•"/>
      <w:lvlJc w:val="left"/>
      <w:pPr>
        <w:ind w:left="5651" w:hanging="225"/>
      </w:pPr>
      <w:rPr>
        <w:rFonts w:hint="default"/>
      </w:rPr>
    </w:lvl>
    <w:lvl w:ilvl="8" w:tplc="8A40235C">
      <w:numFmt w:val="bullet"/>
      <w:lvlText w:val="•"/>
      <w:lvlJc w:val="left"/>
      <w:pPr>
        <w:ind w:left="6353" w:hanging="225"/>
      </w:pPr>
      <w:rPr>
        <w:rFonts w:hint="default"/>
      </w:rPr>
    </w:lvl>
  </w:abstractNum>
  <w:abstractNum w:abstractNumId="20" w15:restartNumberingAfterBreak="0">
    <w:nsid w:val="114B1213"/>
    <w:multiLevelType w:val="hybridMultilevel"/>
    <w:tmpl w:val="3C701BC2"/>
    <w:lvl w:ilvl="0" w:tplc="567E7144">
      <w:numFmt w:val="bullet"/>
      <w:lvlText w:val="■"/>
      <w:lvlJc w:val="left"/>
      <w:pPr>
        <w:ind w:left="593" w:hanging="375"/>
      </w:pPr>
      <w:rPr>
        <w:rFonts w:ascii="Arial" w:eastAsia="Arial" w:hAnsi="Arial" w:cs="Arial" w:hint="default"/>
        <w:w w:val="98"/>
        <w:sz w:val="50"/>
        <w:szCs w:val="50"/>
      </w:rPr>
    </w:lvl>
    <w:lvl w:ilvl="1" w:tplc="C4D6F4B2">
      <w:numFmt w:val="bullet"/>
      <w:lvlText w:val="•"/>
      <w:lvlJc w:val="left"/>
      <w:pPr>
        <w:ind w:left="920" w:hanging="375"/>
      </w:pPr>
      <w:rPr>
        <w:rFonts w:hint="default"/>
      </w:rPr>
    </w:lvl>
    <w:lvl w:ilvl="2" w:tplc="DCBEF1FA">
      <w:numFmt w:val="bullet"/>
      <w:lvlText w:val="•"/>
      <w:lvlJc w:val="left"/>
      <w:pPr>
        <w:ind w:left="1625" w:hanging="375"/>
      </w:pPr>
      <w:rPr>
        <w:rFonts w:hint="default"/>
      </w:rPr>
    </w:lvl>
    <w:lvl w:ilvl="3" w:tplc="8CD68C04">
      <w:numFmt w:val="bullet"/>
      <w:lvlText w:val="•"/>
      <w:lvlJc w:val="left"/>
      <w:pPr>
        <w:ind w:left="2330" w:hanging="375"/>
      </w:pPr>
      <w:rPr>
        <w:rFonts w:hint="default"/>
      </w:rPr>
    </w:lvl>
    <w:lvl w:ilvl="4" w:tplc="0DDC0BD6">
      <w:numFmt w:val="bullet"/>
      <w:lvlText w:val="•"/>
      <w:lvlJc w:val="left"/>
      <w:pPr>
        <w:ind w:left="3036" w:hanging="375"/>
      </w:pPr>
      <w:rPr>
        <w:rFonts w:hint="default"/>
      </w:rPr>
    </w:lvl>
    <w:lvl w:ilvl="5" w:tplc="7D5CA1CA">
      <w:numFmt w:val="bullet"/>
      <w:lvlText w:val="•"/>
      <w:lvlJc w:val="left"/>
      <w:pPr>
        <w:ind w:left="3741" w:hanging="375"/>
      </w:pPr>
      <w:rPr>
        <w:rFonts w:hint="default"/>
      </w:rPr>
    </w:lvl>
    <w:lvl w:ilvl="6" w:tplc="54DE4A9E">
      <w:numFmt w:val="bullet"/>
      <w:lvlText w:val="•"/>
      <w:lvlJc w:val="left"/>
      <w:pPr>
        <w:ind w:left="4447" w:hanging="375"/>
      </w:pPr>
      <w:rPr>
        <w:rFonts w:hint="default"/>
      </w:rPr>
    </w:lvl>
    <w:lvl w:ilvl="7" w:tplc="F65480D6">
      <w:numFmt w:val="bullet"/>
      <w:lvlText w:val="•"/>
      <w:lvlJc w:val="left"/>
      <w:pPr>
        <w:ind w:left="5152" w:hanging="375"/>
      </w:pPr>
      <w:rPr>
        <w:rFonts w:hint="default"/>
      </w:rPr>
    </w:lvl>
    <w:lvl w:ilvl="8" w:tplc="F426DB14">
      <w:numFmt w:val="bullet"/>
      <w:lvlText w:val="•"/>
      <w:lvlJc w:val="left"/>
      <w:pPr>
        <w:ind w:left="5858" w:hanging="375"/>
      </w:pPr>
      <w:rPr>
        <w:rFonts w:hint="default"/>
      </w:rPr>
    </w:lvl>
  </w:abstractNum>
  <w:abstractNum w:abstractNumId="21" w15:restartNumberingAfterBreak="0">
    <w:nsid w:val="127C3FB5"/>
    <w:multiLevelType w:val="hybridMultilevel"/>
    <w:tmpl w:val="84F63BE6"/>
    <w:lvl w:ilvl="0" w:tplc="64A45E0A">
      <w:numFmt w:val="bullet"/>
      <w:lvlText w:val="■"/>
      <w:lvlJc w:val="left"/>
      <w:pPr>
        <w:ind w:left="633" w:hanging="379"/>
      </w:pPr>
      <w:rPr>
        <w:rFonts w:ascii="Arial" w:eastAsia="Arial" w:hAnsi="Arial" w:cs="Arial" w:hint="default"/>
        <w:w w:val="100"/>
        <w:sz w:val="49"/>
        <w:szCs w:val="49"/>
      </w:rPr>
    </w:lvl>
    <w:lvl w:ilvl="1" w:tplc="FFB8F652">
      <w:start w:val="1"/>
      <w:numFmt w:val="upperLetter"/>
      <w:lvlText w:val="%2."/>
      <w:lvlJc w:val="left"/>
      <w:pPr>
        <w:ind w:left="969" w:hanging="307"/>
        <w:jc w:val="left"/>
      </w:pPr>
      <w:rPr>
        <w:rFonts w:ascii="Times New Roman" w:eastAsia="Times New Roman" w:hAnsi="Times New Roman" w:cs="Times New Roman" w:hint="default"/>
        <w:spacing w:val="-1"/>
        <w:w w:val="92"/>
        <w:sz w:val="20"/>
        <w:szCs w:val="20"/>
      </w:rPr>
    </w:lvl>
    <w:lvl w:ilvl="2" w:tplc="72C2FA52">
      <w:start w:val="1"/>
      <w:numFmt w:val="decimal"/>
      <w:lvlText w:val="(%3)"/>
      <w:lvlJc w:val="left"/>
      <w:pPr>
        <w:ind w:left="1379" w:hanging="418"/>
        <w:jc w:val="left"/>
      </w:pPr>
      <w:rPr>
        <w:rFonts w:hint="default"/>
        <w:w w:val="107"/>
      </w:rPr>
    </w:lvl>
    <w:lvl w:ilvl="3" w:tplc="AAC26E34">
      <w:numFmt w:val="bullet"/>
      <w:lvlText w:val="•"/>
      <w:lvlJc w:val="left"/>
      <w:pPr>
        <w:ind w:left="2116" w:hanging="418"/>
      </w:pPr>
      <w:rPr>
        <w:rFonts w:hint="default"/>
      </w:rPr>
    </w:lvl>
    <w:lvl w:ilvl="4" w:tplc="5AC46BD4">
      <w:numFmt w:val="bullet"/>
      <w:lvlText w:val="•"/>
      <w:lvlJc w:val="left"/>
      <w:pPr>
        <w:ind w:left="2852" w:hanging="418"/>
      </w:pPr>
      <w:rPr>
        <w:rFonts w:hint="default"/>
      </w:rPr>
    </w:lvl>
    <w:lvl w:ilvl="5" w:tplc="12209176">
      <w:numFmt w:val="bullet"/>
      <w:lvlText w:val="•"/>
      <w:lvlJc w:val="left"/>
      <w:pPr>
        <w:ind w:left="3589" w:hanging="418"/>
      </w:pPr>
      <w:rPr>
        <w:rFonts w:hint="default"/>
      </w:rPr>
    </w:lvl>
    <w:lvl w:ilvl="6" w:tplc="EDE61FF8">
      <w:numFmt w:val="bullet"/>
      <w:lvlText w:val="•"/>
      <w:lvlJc w:val="left"/>
      <w:pPr>
        <w:ind w:left="4325" w:hanging="418"/>
      </w:pPr>
      <w:rPr>
        <w:rFonts w:hint="default"/>
      </w:rPr>
    </w:lvl>
    <w:lvl w:ilvl="7" w:tplc="EB70DD18">
      <w:numFmt w:val="bullet"/>
      <w:lvlText w:val="•"/>
      <w:lvlJc w:val="left"/>
      <w:pPr>
        <w:ind w:left="5061" w:hanging="418"/>
      </w:pPr>
      <w:rPr>
        <w:rFonts w:hint="default"/>
      </w:rPr>
    </w:lvl>
    <w:lvl w:ilvl="8" w:tplc="7570BC40">
      <w:numFmt w:val="bullet"/>
      <w:lvlText w:val="•"/>
      <w:lvlJc w:val="left"/>
      <w:pPr>
        <w:ind w:left="5798" w:hanging="418"/>
      </w:pPr>
      <w:rPr>
        <w:rFonts w:hint="default"/>
      </w:rPr>
    </w:lvl>
  </w:abstractNum>
  <w:abstractNum w:abstractNumId="22" w15:restartNumberingAfterBreak="0">
    <w:nsid w:val="12A03229"/>
    <w:multiLevelType w:val="hybridMultilevel"/>
    <w:tmpl w:val="04DEFC14"/>
    <w:lvl w:ilvl="0" w:tplc="41BC4686">
      <w:numFmt w:val="bullet"/>
      <w:lvlText w:val="■"/>
      <w:lvlJc w:val="left"/>
      <w:pPr>
        <w:ind w:left="633" w:hanging="379"/>
      </w:pPr>
      <w:rPr>
        <w:rFonts w:ascii="Arial" w:eastAsia="Arial" w:hAnsi="Arial" w:cs="Arial" w:hint="default"/>
        <w:w w:val="98"/>
        <w:sz w:val="50"/>
        <w:szCs w:val="50"/>
      </w:rPr>
    </w:lvl>
    <w:lvl w:ilvl="1" w:tplc="EA901B8E">
      <w:start w:val="1"/>
      <w:numFmt w:val="upperLetter"/>
      <w:lvlText w:val="%2."/>
      <w:lvlJc w:val="left"/>
      <w:pPr>
        <w:ind w:left="957" w:hanging="304"/>
        <w:jc w:val="left"/>
      </w:pPr>
      <w:rPr>
        <w:rFonts w:ascii="Times New Roman" w:eastAsia="Times New Roman" w:hAnsi="Times New Roman" w:cs="Times New Roman" w:hint="default"/>
        <w:spacing w:val="-1"/>
        <w:w w:val="95"/>
        <w:sz w:val="20"/>
        <w:szCs w:val="20"/>
      </w:rPr>
    </w:lvl>
    <w:lvl w:ilvl="2" w:tplc="6C8CD1C0">
      <w:start w:val="1"/>
      <w:numFmt w:val="decimal"/>
      <w:lvlText w:val="(%3)"/>
      <w:lvlJc w:val="left"/>
      <w:pPr>
        <w:ind w:left="1384" w:hanging="424"/>
        <w:jc w:val="left"/>
      </w:pPr>
      <w:rPr>
        <w:rFonts w:hint="default"/>
        <w:w w:val="107"/>
      </w:rPr>
    </w:lvl>
    <w:lvl w:ilvl="3" w:tplc="348AFF6E">
      <w:numFmt w:val="bullet"/>
      <w:lvlText w:val="•"/>
      <w:lvlJc w:val="left"/>
      <w:pPr>
        <w:ind w:left="2117" w:hanging="424"/>
      </w:pPr>
      <w:rPr>
        <w:rFonts w:hint="default"/>
      </w:rPr>
    </w:lvl>
    <w:lvl w:ilvl="4" w:tplc="E9006194">
      <w:numFmt w:val="bullet"/>
      <w:lvlText w:val="•"/>
      <w:lvlJc w:val="left"/>
      <w:pPr>
        <w:ind w:left="2854" w:hanging="424"/>
      </w:pPr>
      <w:rPr>
        <w:rFonts w:hint="default"/>
      </w:rPr>
    </w:lvl>
    <w:lvl w:ilvl="5" w:tplc="E530203C">
      <w:numFmt w:val="bullet"/>
      <w:lvlText w:val="•"/>
      <w:lvlJc w:val="left"/>
      <w:pPr>
        <w:ind w:left="3591" w:hanging="424"/>
      </w:pPr>
      <w:rPr>
        <w:rFonts w:hint="default"/>
      </w:rPr>
    </w:lvl>
    <w:lvl w:ilvl="6" w:tplc="F8D0E0D2">
      <w:numFmt w:val="bullet"/>
      <w:lvlText w:val="•"/>
      <w:lvlJc w:val="left"/>
      <w:pPr>
        <w:ind w:left="4328" w:hanging="424"/>
      </w:pPr>
      <w:rPr>
        <w:rFonts w:hint="default"/>
      </w:rPr>
    </w:lvl>
    <w:lvl w:ilvl="7" w:tplc="7EBA355E">
      <w:numFmt w:val="bullet"/>
      <w:lvlText w:val="•"/>
      <w:lvlJc w:val="left"/>
      <w:pPr>
        <w:ind w:left="5065" w:hanging="424"/>
      </w:pPr>
      <w:rPr>
        <w:rFonts w:hint="default"/>
      </w:rPr>
    </w:lvl>
    <w:lvl w:ilvl="8" w:tplc="B4466A98">
      <w:numFmt w:val="bullet"/>
      <w:lvlText w:val="•"/>
      <w:lvlJc w:val="left"/>
      <w:pPr>
        <w:ind w:left="5802" w:hanging="424"/>
      </w:pPr>
      <w:rPr>
        <w:rFonts w:hint="default"/>
      </w:rPr>
    </w:lvl>
  </w:abstractNum>
  <w:abstractNum w:abstractNumId="23" w15:restartNumberingAfterBreak="0">
    <w:nsid w:val="13724014"/>
    <w:multiLevelType w:val="hybridMultilevel"/>
    <w:tmpl w:val="1DD6FCCA"/>
    <w:lvl w:ilvl="0" w:tplc="7A463042">
      <w:numFmt w:val="bullet"/>
      <w:lvlText w:val="■"/>
      <w:lvlJc w:val="left"/>
      <w:pPr>
        <w:ind w:left="633" w:hanging="379"/>
      </w:pPr>
      <w:rPr>
        <w:rFonts w:ascii="Arial" w:eastAsia="Arial" w:hAnsi="Arial" w:cs="Arial" w:hint="default"/>
        <w:w w:val="98"/>
        <w:sz w:val="49"/>
        <w:szCs w:val="49"/>
      </w:rPr>
    </w:lvl>
    <w:lvl w:ilvl="1" w:tplc="AEB4CACA">
      <w:start w:val="1"/>
      <w:numFmt w:val="upperLetter"/>
      <w:lvlText w:val="%2."/>
      <w:lvlJc w:val="left"/>
      <w:pPr>
        <w:ind w:left="953" w:hanging="311"/>
        <w:jc w:val="left"/>
      </w:pPr>
      <w:rPr>
        <w:rFonts w:hint="default"/>
        <w:spacing w:val="-1"/>
        <w:w w:val="103"/>
      </w:rPr>
    </w:lvl>
    <w:lvl w:ilvl="2" w:tplc="50065502">
      <w:numFmt w:val="bullet"/>
      <w:lvlText w:val="•"/>
      <w:lvlJc w:val="left"/>
      <w:pPr>
        <w:ind w:left="1660" w:hanging="311"/>
      </w:pPr>
      <w:rPr>
        <w:rFonts w:hint="default"/>
      </w:rPr>
    </w:lvl>
    <w:lvl w:ilvl="3" w:tplc="C40C9CDA">
      <w:numFmt w:val="bullet"/>
      <w:lvlText w:val="•"/>
      <w:lvlJc w:val="left"/>
      <w:pPr>
        <w:ind w:left="2361" w:hanging="311"/>
      </w:pPr>
      <w:rPr>
        <w:rFonts w:hint="default"/>
      </w:rPr>
    </w:lvl>
    <w:lvl w:ilvl="4" w:tplc="DFDA3988">
      <w:numFmt w:val="bullet"/>
      <w:lvlText w:val="•"/>
      <w:lvlJc w:val="left"/>
      <w:pPr>
        <w:ind w:left="3062" w:hanging="311"/>
      </w:pPr>
      <w:rPr>
        <w:rFonts w:hint="default"/>
      </w:rPr>
    </w:lvl>
    <w:lvl w:ilvl="5" w:tplc="97868ACA">
      <w:numFmt w:val="bullet"/>
      <w:lvlText w:val="•"/>
      <w:lvlJc w:val="left"/>
      <w:pPr>
        <w:ind w:left="3763" w:hanging="311"/>
      </w:pPr>
      <w:rPr>
        <w:rFonts w:hint="default"/>
      </w:rPr>
    </w:lvl>
    <w:lvl w:ilvl="6" w:tplc="DD6E408E">
      <w:numFmt w:val="bullet"/>
      <w:lvlText w:val="•"/>
      <w:lvlJc w:val="left"/>
      <w:pPr>
        <w:ind w:left="4464" w:hanging="311"/>
      </w:pPr>
      <w:rPr>
        <w:rFonts w:hint="default"/>
      </w:rPr>
    </w:lvl>
    <w:lvl w:ilvl="7" w:tplc="0C8A8BD8">
      <w:numFmt w:val="bullet"/>
      <w:lvlText w:val="•"/>
      <w:lvlJc w:val="left"/>
      <w:pPr>
        <w:ind w:left="5165" w:hanging="311"/>
      </w:pPr>
      <w:rPr>
        <w:rFonts w:hint="default"/>
      </w:rPr>
    </w:lvl>
    <w:lvl w:ilvl="8" w:tplc="8222B406">
      <w:numFmt w:val="bullet"/>
      <w:lvlText w:val="•"/>
      <w:lvlJc w:val="left"/>
      <w:pPr>
        <w:ind w:left="5866" w:hanging="311"/>
      </w:pPr>
      <w:rPr>
        <w:rFonts w:hint="default"/>
      </w:rPr>
    </w:lvl>
  </w:abstractNum>
  <w:abstractNum w:abstractNumId="24" w15:restartNumberingAfterBreak="0">
    <w:nsid w:val="13A25C75"/>
    <w:multiLevelType w:val="hybridMultilevel"/>
    <w:tmpl w:val="601A30BA"/>
    <w:lvl w:ilvl="0" w:tplc="C7C2D8B2">
      <w:start w:val="1"/>
      <w:numFmt w:val="upperLetter"/>
      <w:lvlText w:val="%1."/>
      <w:lvlJc w:val="left"/>
      <w:pPr>
        <w:ind w:left="1154" w:hanging="311"/>
        <w:jc w:val="left"/>
      </w:pPr>
      <w:rPr>
        <w:rFonts w:hint="default"/>
        <w:spacing w:val="-1"/>
        <w:w w:val="103"/>
      </w:rPr>
    </w:lvl>
    <w:lvl w:ilvl="1" w:tplc="D68C546E">
      <w:start w:val="1"/>
      <w:numFmt w:val="decimal"/>
      <w:lvlText w:val="(%2)"/>
      <w:lvlJc w:val="left"/>
      <w:pPr>
        <w:ind w:left="1679" w:hanging="429"/>
        <w:jc w:val="right"/>
      </w:pPr>
      <w:rPr>
        <w:rFonts w:hint="default"/>
        <w:w w:val="107"/>
      </w:rPr>
    </w:lvl>
    <w:lvl w:ilvl="2" w:tplc="8F1A78A4">
      <w:numFmt w:val="bullet"/>
      <w:lvlText w:val="•"/>
      <w:lvlJc w:val="left"/>
      <w:pPr>
        <w:ind w:left="2350" w:hanging="429"/>
      </w:pPr>
      <w:rPr>
        <w:rFonts w:hint="default"/>
      </w:rPr>
    </w:lvl>
    <w:lvl w:ilvl="3" w:tplc="8C74AE7C">
      <w:numFmt w:val="bullet"/>
      <w:lvlText w:val="•"/>
      <w:lvlJc w:val="left"/>
      <w:pPr>
        <w:ind w:left="3021" w:hanging="429"/>
      </w:pPr>
      <w:rPr>
        <w:rFonts w:hint="default"/>
      </w:rPr>
    </w:lvl>
    <w:lvl w:ilvl="4" w:tplc="3904CC5A">
      <w:numFmt w:val="bullet"/>
      <w:lvlText w:val="•"/>
      <w:lvlJc w:val="left"/>
      <w:pPr>
        <w:ind w:left="3692" w:hanging="429"/>
      </w:pPr>
      <w:rPr>
        <w:rFonts w:hint="default"/>
      </w:rPr>
    </w:lvl>
    <w:lvl w:ilvl="5" w:tplc="3A985596">
      <w:numFmt w:val="bullet"/>
      <w:lvlText w:val="•"/>
      <w:lvlJc w:val="left"/>
      <w:pPr>
        <w:ind w:left="4363" w:hanging="429"/>
      </w:pPr>
      <w:rPr>
        <w:rFonts w:hint="default"/>
      </w:rPr>
    </w:lvl>
    <w:lvl w:ilvl="6" w:tplc="B7DAD14E">
      <w:numFmt w:val="bullet"/>
      <w:lvlText w:val="•"/>
      <w:lvlJc w:val="left"/>
      <w:pPr>
        <w:ind w:left="5033" w:hanging="429"/>
      </w:pPr>
      <w:rPr>
        <w:rFonts w:hint="default"/>
      </w:rPr>
    </w:lvl>
    <w:lvl w:ilvl="7" w:tplc="35C2A026">
      <w:numFmt w:val="bullet"/>
      <w:lvlText w:val="•"/>
      <w:lvlJc w:val="left"/>
      <w:pPr>
        <w:ind w:left="5704" w:hanging="429"/>
      </w:pPr>
      <w:rPr>
        <w:rFonts w:hint="default"/>
      </w:rPr>
    </w:lvl>
    <w:lvl w:ilvl="8" w:tplc="3DEAB308">
      <w:numFmt w:val="bullet"/>
      <w:lvlText w:val="•"/>
      <w:lvlJc w:val="left"/>
      <w:pPr>
        <w:ind w:left="6375" w:hanging="429"/>
      </w:pPr>
      <w:rPr>
        <w:rFonts w:hint="default"/>
      </w:rPr>
    </w:lvl>
  </w:abstractNum>
  <w:abstractNum w:abstractNumId="25" w15:restartNumberingAfterBreak="0">
    <w:nsid w:val="14663519"/>
    <w:multiLevelType w:val="hybridMultilevel"/>
    <w:tmpl w:val="7A5811E6"/>
    <w:lvl w:ilvl="0" w:tplc="0C0ED21C">
      <w:numFmt w:val="bullet"/>
      <w:lvlText w:val="■"/>
      <w:lvlJc w:val="left"/>
      <w:pPr>
        <w:ind w:left="621" w:hanging="374"/>
      </w:pPr>
      <w:rPr>
        <w:rFonts w:ascii="Arial" w:eastAsia="Arial" w:hAnsi="Arial" w:cs="Arial" w:hint="default"/>
        <w:w w:val="98"/>
        <w:sz w:val="49"/>
        <w:szCs w:val="49"/>
      </w:rPr>
    </w:lvl>
    <w:lvl w:ilvl="1" w:tplc="1D34B416">
      <w:start w:val="1"/>
      <w:numFmt w:val="upperLetter"/>
      <w:lvlText w:val="%2."/>
      <w:lvlJc w:val="left"/>
      <w:pPr>
        <w:ind w:left="950" w:hanging="302"/>
        <w:jc w:val="left"/>
      </w:pPr>
      <w:rPr>
        <w:rFonts w:hint="default"/>
        <w:spacing w:val="-1"/>
        <w:w w:val="103"/>
      </w:rPr>
    </w:lvl>
    <w:lvl w:ilvl="2" w:tplc="26C4894C">
      <w:numFmt w:val="bullet"/>
      <w:lvlText w:val="•"/>
      <w:lvlJc w:val="left"/>
      <w:pPr>
        <w:ind w:left="1660" w:hanging="302"/>
      </w:pPr>
      <w:rPr>
        <w:rFonts w:hint="default"/>
      </w:rPr>
    </w:lvl>
    <w:lvl w:ilvl="3" w:tplc="8C46CEA2">
      <w:numFmt w:val="bullet"/>
      <w:lvlText w:val="•"/>
      <w:lvlJc w:val="left"/>
      <w:pPr>
        <w:ind w:left="2360" w:hanging="302"/>
      </w:pPr>
      <w:rPr>
        <w:rFonts w:hint="default"/>
      </w:rPr>
    </w:lvl>
    <w:lvl w:ilvl="4" w:tplc="CAE68698">
      <w:numFmt w:val="bullet"/>
      <w:lvlText w:val="•"/>
      <w:lvlJc w:val="left"/>
      <w:pPr>
        <w:ind w:left="3060" w:hanging="302"/>
      </w:pPr>
      <w:rPr>
        <w:rFonts w:hint="default"/>
      </w:rPr>
    </w:lvl>
    <w:lvl w:ilvl="5" w:tplc="ECFE8EFA">
      <w:numFmt w:val="bullet"/>
      <w:lvlText w:val="•"/>
      <w:lvlJc w:val="left"/>
      <w:pPr>
        <w:ind w:left="3760" w:hanging="302"/>
      </w:pPr>
      <w:rPr>
        <w:rFonts w:hint="default"/>
      </w:rPr>
    </w:lvl>
    <w:lvl w:ilvl="6" w:tplc="7196FCEE">
      <w:numFmt w:val="bullet"/>
      <w:lvlText w:val="•"/>
      <w:lvlJc w:val="left"/>
      <w:pPr>
        <w:ind w:left="4460" w:hanging="302"/>
      </w:pPr>
      <w:rPr>
        <w:rFonts w:hint="default"/>
      </w:rPr>
    </w:lvl>
    <w:lvl w:ilvl="7" w:tplc="D1AC2870">
      <w:numFmt w:val="bullet"/>
      <w:lvlText w:val="•"/>
      <w:lvlJc w:val="left"/>
      <w:pPr>
        <w:ind w:left="5160" w:hanging="302"/>
      </w:pPr>
      <w:rPr>
        <w:rFonts w:hint="default"/>
      </w:rPr>
    </w:lvl>
    <w:lvl w:ilvl="8" w:tplc="B62EB87E">
      <w:numFmt w:val="bullet"/>
      <w:lvlText w:val="•"/>
      <w:lvlJc w:val="left"/>
      <w:pPr>
        <w:ind w:left="5860" w:hanging="302"/>
      </w:pPr>
      <w:rPr>
        <w:rFonts w:hint="default"/>
      </w:rPr>
    </w:lvl>
  </w:abstractNum>
  <w:abstractNum w:abstractNumId="26" w15:restartNumberingAfterBreak="0">
    <w:nsid w:val="15883043"/>
    <w:multiLevelType w:val="hybridMultilevel"/>
    <w:tmpl w:val="5FC446AC"/>
    <w:lvl w:ilvl="0" w:tplc="C0782D0C">
      <w:numFmt w:val="bullet"/>
      <w:lvlText w:val="■"/>
      <w:lvlJc w:val="left"/>
      <w:pPr>
        <w:ind w:left="633" w:hanging="379"/>
      </w:pPr>
      <w:rPr>
        <w:rFonts w:ascii="Arial" w:eastAsia="Arial" w:hAnsi="Arial" w:cs="Arial" w:hint="default"/>
        <w:w w:val="98"/>
        <w:sz w:val="50"/>
        <w:szCs w:val="50"/>
      </w:rPr>
    </w:lvl>
    <w:lvl w:ilvl="1" w:tplc="7B003CB4">
      <w:start w:val="1"/>
      <w:numFmt w:val="upperLetter"/>
      <w:lvlText w:val="%2."/>
      <w:lvlJc w:val="left"/>
      <w:pPr>
        <w:ind w:left="954" w:hanging="307"/>
        <w:jc w:val="left"/>
      </w:pPr>
      <w:rPr>
        <w:rFonts w:ascii="Times New Roman" w:eastAsia="Times New Roman" w:hAnsi="Times New Roman" w:cs="Times New Roman" w:hint="default"/>
        <w:spacing w:val="-1"/>
        <w:w w:val="95"/>
        <w:sz w:val="20"/>
        <w:szCs w:val="20"/>
      </w:rPr>
    </w:lvl>
    <w:lvl w:ilvl="2" w:tplc="259E7762">
      <w:numFmt w:val="bullet"/>
      <w:lvlText w:val="•"/>
      <w:lvlJc w:val="left"/>
      <w:pPr>
        <w:ind w:left="1662" w:hanging="307"/>
      </w:pPr>
      <w:rPr>
        <w:rFonts w:hint="default"/>
      </w:rPr>
    </w:lvl>
    <w:lvl w:ilvl="3" w:tplc="5B1CB8DA">
      <w:numFmt w:val="bullet"/>
      <w:lvlText w:val="•"/>
      <w:lvlJc w:val="left"/>
      <w:pPr>
        <w:ind w:left="2365" w:hanging="307"/>
      </w:pPr>
      <w:rPr>
        <w:rFonts w:hint="default"/>
      </w:rPr>
    </w:lvl>
    <w:lvl w:ilvl="4" w:tplc="FA3EA10A">
      <w:numFmt w:val="bullet"/>
      <w:lvlText w:val="•"/>
      <w:lvlJc w:val="left"/>
      <w:pPr>
        <w:ind w:left="3068" w:hanging="307"/>
      </w:pPr>
      <w:rPr>
        <w:rFonts w:hint="default"/>
      </w:rPr>
    </w:lvl>
    <w:lvl w:ilvl="5" w:tplc="64941BC2">
      <w:numFmt w:val="bullet"/>
      <w:lvlText w:val="•"/>
      <w:lvlJc w:val="left"/>
      <w:pPr>
        <w:ind w:left="3771" w:hanging="307"/>
      </w:pPr>
      <w:rPr>
        <w:rFonts w:hint="default"/>
      </w:rPr>
    </w:lvl>
    <w:lvl w:ilvl="6" w:tplc="657EE83E">
      <w:numFmt w:val="bullet"/>
      <w:lvlText w:val="•"/>
      <w:lvlJc w:val="left"/>
      <w:pPr>
        <w:ind w:left="4474" w:hanging="307"/>
      </w:pPr>
      <w:rPr>
        <w:rFonts w:hint="default"/>
      </w:rPr>
    </w:lvl>
    <w:lvl w:ilvl="7" w:tplc="532ACEB8">
      <w:numFmt w:val="bullet"/>
      <w:lvlText w:val="•"/>
      <w:lvlJc w:val="left"/>
      <w:pPr>
        <w:ind w:left="5177" w:hanging="307"/>
      </w:pPr>
      <w:rPr>
        <w:rFonts w:hint="default"/>
      </w:rPr>
    </w:lvl>
    <w:lvl w:ilvl="8" w:tplc="1F7654D4">
      <w:numFmt w:val="bullet"/>
      <w:lvlText w:val="•"/>
      <w:lvlJc w:val="left"/>
      <w:pPr>
        <w:ind w:left="5880" w:hanging="307"/>
      </w:pPr>
      <w:rPr>
        <w:rFonts w:hint="default"/>
      </w:rPr>
    </w:lvl>
  </w:abstractNum>
  <w:abstractNum w:abstractNumId="27" w15:restartNumberingAfterBreak="0">
    <w:nsid w:val="15B60B85"/>
    <w:multiLevelType w:val="hybridMultilevel"/>
    <w:tmpl w:val="42C6087A"/>
    <w:lvl w:ilvl="0" w:tplc="A8A07674">
      <w:numFmt w:val="bullet"/>
      <w:lvlText w:val="■"/>
      <w:lvlJc w:val="left"/>
      <w:pPr>
        <w:ind w:left="622" w:hanging="380"/>
      </w:pPr>
      <w:rPr>
        <w:rFonts w:ascii="Arial" w:eastAsia="Arial" w:hAnsi="Arial" w:cs="Arial" w:hint="default"/>
        <w:w w:val="98"/>
        <w:sz w:val="50"/>
        <w:szCs w:val="50"/>
      </w:rPr>
    </w:lvl>
    <w:lvl w:ilvl="1" w:tplc="CCD24FAE">
      <w:start w:val="1"/>
      <w:numFmt w:val="upperLetter"/>
      <w:lvlText w:val="%2."/>
      <w:lvlJc w:val="left"/>
      <w:pPr>
        <w:ind w:left="950" w:hanging="305"/>
        <w:jc w:val="left"/>
      </w:pPr>
      <w:rPr>
        <w:rFonts w:hint="default"/>
        <w:spacing w:val="-1"/>
        <w:w w:val="107"/>
      </w:rPr>
    </w:lvl>
    <w:lvl w:ilvl="2" w:tplc="4028883C">
      <w:numFmt w:val="bullet"/>
      <w:lvlText w:val="•"/>
      <w:lvlJc w:val="left"/>
      <w:pPr>
        <w:ind w:left="1660" w:hanging="305"/>
      </w:pPr>
      <w:rPr>
        <w:rFonts w:hint="default"/>
      </w:rPr>
    </w:lvl>
    <w:lvl w:ilvl="3" w:tplc="F2787CFA">
      <w:numFmt w:val="bullet"/>
      <w:lvlText w:val="•"/>
      <w:lvlJc w:val="left"/>
      <w:pPr>
        <w:ind w:left="2360" w:hanging="305"/>
      </w:pPr>
      <w:rPr>
        <w:rFonts w:hint="default"/>
      </w:rPr>
    </w:lvl>
    <w:lvl w:ilvl="4" w:tplc="FF842B9C">
      <w:numFmt w:val="bullet"/>
      <w:lvlText w:val="•"/>
      <w:lvlJc w:val="left"/>
      <w:pPr>
        <w:ind w:left="3061" w:hanging="305"/>
      </w:pPr>
      <w:rPr>
        <w:rFonts w:hint="default"/>
      </w:rPr>
    </w:lvl>
    <w:lvl w:ilvl="5" w:tplc="54A24EFE">
      <w:numFmt w:val="bullet"/>
      <w:lvlText w:val="•"/>
      <w:lvlJc w:val="left"/>
      <w:pPr>
        <w:ind w:left="3761" w:hanging="305"/>
      </w:pPr>
      <w:rPr>
        <w:rFonts w:hint="default"/>
      </w:rPr>
    </w:lvl>
    <w:lvl w:ilvl="6" w:tplc="D03658CE">
      <w:numFmt w:val="bullet"/>
      <w:lvlText w:val="•"/>
      <w:lvlJc w:val="left"/>
      <w:pPr>
        <w:ind w:left="4461" w:hanging="305"/>
      </w:pPr>
      <w:rPr>
        <w:rFonts w:hint="default"/>
      </w:rPr>
    </w:lvl>
    <w:lvl w:ilvl="7" w:tplc="627A3F58">
      <w:numFmt w:val="bullet"/>
      <w:lvlText w:val="•"/>
      <w:lvlJc w:val="left"/>
      <w:pPr>
        <w:ind w:left="5162" w:hanging="305"/>
      </w:pPr>
      <w:rPr>
        <w:rFonts w:hint="default"/>
      </w:rPr>
    </w:lvl>
    <w:lvl w:ilvl="8" w:tplc="878ECF88">
      <w:numFmt w:val="bullet"/>
      <w:lvlText w:val="•"/>
      <w:lvlJc w:val="left"/>
      <w:pPr>
        <w:ind w:left="5862" w:hanging="305"/>
      </w:pPr>
      <w:rPr>
        <w:rFonts w:hint="default"/>
      </w:rPr>
    </w:lvl>
  </w:abstractNum>
  <w:abstractNum w:abstractNumId="28" w15:restartNumberingAfterBreak="0">
    <w:nsid w:val="1B553022"/>
    <w:multiLevelType w:val="hybridMultilevel"/>
    <w:tmpl w:val="828480E6"/>
    <w:lvl w:ilvl="0" w:tplc="9C469E5E">
      <w:numFmt w:val="bullet"/>
      <w:lvlText w:val="■"/>
      <w:lvlJc w:val="left"/>
      <w:pPr>
        <w:ind w:left="630" w:hanging="374"/>
      </w:pPr>
      <w:rPr>
        <w:rFonts w:ascii="Arial" w:eastAsia="Arial" w:hAnsi="Arial" w:cs="Arial" w:hint="default"/>
        <w:w w:val="98"/>
        <w:sz w:val="49"/>
        <w:szCs w:val="49"/>
      </w:rPr>
    </w:lvl>
    <w:lvl w:ilvl="1" w:tplc="F20A1C34">
      <w:start w:val="1"/>
      <w:numFmt w:val="upperLetter"/>
      <w:lvlText w:val="%2."/>
      <w:lvlJc w:val="left"/>
      <w:pPr>
        <w:ind w:left="958" w:hanging="311"/>
        <w:jc w:val="left"/>
      </w:pPr>
      <w:rPr>
        <w:rFonts w:hint="default"/>
        <w:spacing w:val="-1"/>
        <w:w w:val="89"/>
      </w:rPr>
    </w:lvl>
    <w:lvl w:ilvl="2" w:tplc="6B367BCC">
      <w:numFmt w:val="bullet"/>
      <w:lvlText w:val="•"/>
      <w:lvlJc w:val="left"/>
      <w:pPr>
        <w:ind w:left="1660" w:hanging="311"/>
      </w:pPr>
      <w:rPr>
        <w:rFonts w:hint="default"/>
      </w:rPr>
    </w:lvl>
    <w:lvl w:ilvl="3" w:tplc="9E1E81A4">
      <w:numFmt w:val="bullet"/>
      <w:lvlText w:val="•"/>
      <w:lvlJc w:val="left"/>
      <w:pPr>
        <w:ind w:left="2360" w:hanging="311"/>
      </w:pPr>
      <w:rPr>
        <w:rFonts w:hint="default"/>
      </w:rPr>
    </w:lvl>
    <w:lvl w:ilvl="4" w:tplc="FAD8D730">
      <w:numFmt w:val="bullet"/>
      <w:lvlText w:val="•"/>
      <w:lvlJc w:val="left"/>
      <w:pPr>
        <w:ind w:left="3061" w:hanging="311"/>
      </w:pPr>
      <w:rPr>
        <w:rFonts w:hint="default"/>
      </w:rPr>
    </w:lvl>
    <w:lvl w:ilvl="5" w:tplc="CA06EA46">
      <w:numFmt w:val="bullet"/>
      <w:lvlText w:val="•"/>
      <w:lvlJc w:val="left"/>
      <w:pPr>
        <w:ind w:left="3761" w:hanging="311"/>
      </w:pPr>
      <w:rPr>
        <w:rFonts w:hint="default"/>
      </w:rPr>
    </w:lvl>
    <w:lvl w:ilvl="6" w:tplc="41A84EF2">
      <w:numFmt w:val="bullet"/>
      <w:lvlText w:val="•"/>
      <w:lvlJc w:val="left"/>
      <w:pPr>
        <w:ind w:left="4461" w:hanging="311"/>
      </w:pPr>
      <w:rPr>
        <w:rFonts w:hint="default"/>
      </w:rPr>
    </w:lvl>
    <w:lvl w:ilvl="7" w:tplc="1DC4466E">
      <w:numFmt w:val="bullet"/>
      <w:lvlText w:val="•"/>
      <w:lvlJc w:val="left"/>
      <w:pPr>
        <w:ind w:left="5162" w:hanging="311"/>
      </w:pPr>
      <w:rPr>
        <w:rFonts w:hint="default"/>
      </w:rPr>
    </w:lvl>
    <w:lvl w:ilvl="8" w:tplc="580C3EDA">
      <w:numFmt w:val="bullet"/>
      <w:lvlText w:val="•"/>
      <w:lvlJc w:val="left"/>
      <w:pPr>
        <w:ind w:left="5862" w:hanging="311"/>
      </w:pPr>
      <w:rPr>
        <w:rFonts w:hint="default"/>
      </w:rPr>
    </w:lvl>
  </w:abstractNum>
  <w:abstractNum w:abstractNumId="29" w15:restartNumberingAfterBreak="0">
    <w:nsid w:val="1C8F45AC"/>
    <w:multiLevelType w:val="multilevel"/>
    <w:tmpl w:val="90D0F752"/>
    <w:lvl w:ilvl="0">
      <w:start w:val="315"/>
      <w:numFmt w:val="decimal"/>
      <w:lvlText w:val="%1"/>
      <w:lvlJc w:val="left"/>
      <w:pPr>
        <w:ind w:left="2923" w:hanging="916"/>
        <w:jc w:val="left"/>
      </w:pPr>
      <w:rPr>
        <w:rFonts w:hint="default"/>
      </w:rPr>
    </w:lvl>
    <w:lvl w:ilvl="1">
      <w:start w:val="1"/>
      <w:numFmt w:val="decimal"/>
      <w:lvlText w:val="%1.%2"/>
      <w:lvlJc w:val="left"/>
      <w:pPr>
        <w:ind w:left="2923" w:hanging="916"/>
        <w:jc w:val="right"/>
      </w:pPr>
      <w:rPr>
        <w:rFonts w:ascii="Arial" w:eastAsia="Arial" w:hAnsi="Arial" w:cs="Arial" w:hint="default"/>
        <w:b/>
        <w:bCs/>
        <w:spacing w:val="-1"/>
        <w:w w:val="94"/>
        <w:sz w:val="26"/>
        <w:szCs w:val="26"/>
      </w:rPr>
    </w:lvl>
    <w:lvl w:ilvl="2">
      <w:numFmt w:val="bullet"/>
      <w:lvlText w:val="•"/>
      <w:lvlJc w:val="left"/>
      <w:pPr>
        <w:ind w:left="3883" w:hanging="916"/>
      </w:pPr>
      <w:rPr>
        <w:rFonts w:hint="default"/>
      </w:rPr>
    </w:lvl>
    <w:lvl w:ilvl="3">
      <w:numFmt w:val="bullet"/>
      <w:lvlText w:val="•"/>
      <w:lvlJc w:val="left"/>
      <w:pPr>
        <w:ind w:left="4365" w:hanging="916"/>
      </w:pPr>
      <w:rPr>
        <w:rFonts w:hint="default"/>
      </w:rPr>
    </w:lvl>
    <w:lvl w:ilvl="4">
      <w:numFmt w:val="bullet"/>
      <w:lvlText w:val="•"/>
      <w:lvlJc w:val="left"/>
      <w:pPr>
        <w:ind w:left="4846" w:hanging="916"/>
      </w:pPr>
      <w:rPr>
        <w:rFonts w:hint="default"/>
      </w:rPr>
    </w:lvl>
    <w:lvl w:ilvl="5">
      <w:numFmt w:val="bullet"/>
      <w:lvlText w:val="•"/>
      <w:lvlJc w:val="left"/>
      <w:pPr>
        <w:ind w:left="5328" w:hanging="916"/>
      </w:pPr>
      <w:rPr>
        <w:rFonts w:hint="default"/>
      </w:rPr>
    </w:lvl>
    <w:lvl w:ilvl="6">
      <w:numFmt w:val="bullet"/>
      <w:lvlText w:val="•"/>
      <w:lvlJc w:val="left"/>
      <w:pPr>
        <w:ind w:left="5810" w:hanging="916"/>
      </w:pPr>
      <w:rPr>
        <w:rFonts w:hint="default"/>
      </w:rPr>
    </w:lvl>
    <w:lvl w:ilvl="7">
      <w:numFmt w:val="bullet"/>
      <w:lvlText w:val="•"/>
      <w:lvlJc w:val="left"/>
      <w:pPr>
        <w:ind w:left="6291" w:hanging="916"/>
      </w:pPr>
      <w:rPr>
        <w:rFonts w:hint="default"/>
      </w:rPr>
    </w:lvl>
    <w:lvl w:ilvl="8">
      <w:numFmt w:val="bullet"/>
      <w:lvlText w:val="•"/>
      <w:lvlJc w:val="left"/>
      <w:pPr>
        <w:ind w:left="6773" w:hanging="916"/>
      </w:pPr>
      <w:rPr>
        <w:rFonts w:hint="default"/>
      </w:rPr>
    </w:lvl>
  </w:abstractNum>
  <w:abstractNum w:abstractNumId="30" w15:restartNumberingAfterBreak="0">
    <w:nsid w:val="1D01661B"/>
    <w:multiLevelType w:val="hybridMultilevel"/>
    <w:tmpl w:val="CF14ABA2"/>
    <w:lvl w:ilvl="0" w:tplc="FEA2320E">
      <w:numFmt w:val="bullet"/>
      <w:lvlText w:val="■"/>
      <w:lvlJc w:val="left"/>
      <w:pPr>
        <w:ind w:left="637" w:hanging="388"/>
      </w:pPr>
      <w:rPr>
        <w:rFonts w:ascii="Arial" w:eastAsia="Arial" w:hAnsi="Arial" w:cs="Arial" w:hint="default"/>
        <w:w w:val="98"/>
        <w:sz w:val="49"/>
        <w:szCs w:val="49"/>
      </w:rPr>
    </w:lvl>
    <w:lvl w:ilvl="1" w:tplc="CB04DCAA">
      <w:start w:val="1"/>
      <w:numFmt w:val="upperLetter"/>
      <w:lvlText w:val="%2."/>
      <w:lvlJc w:val="left"/>
      <w:pPr>
        <w:ind w:left="956" w:hanging="316"/>
        <w:jc w:val="left"/>
      </w:pPr>
      <w:rPr>
        <w:rFonts w:hint="default"/>
        <w:spacing w:val="-1"/>
        <w:w w:val="105"/>
      </w:rPr>
    </w:lvl>
    <w:lvl w:ilvl="2" w:tplc="FE1CFD02">
      <w:numFmt w:val="bullet"/>
      <w:lvlText w:val="•"/>
      <w:lvlJc w:val="left"/>
      <w:pPr>
        <w:ind w:left="1661" w:hanging="316"/>
      </w:pPr>
      <w:rPr>
        <w:rFonts w:hint="default"/>
      </w:rPr>
    </w:lvl>
    <w:lvl w:ilvl="3" w:tplc="03540054">
      <w:numFmt w:val="bullet"/>
      <w:lvlText w:val="•"/>
      <w:lvlJc w:val="left"/>
      <w:pPr>
        <w:ind w:left="2362" w:hanging="316"/>
      </w:pPr>
      <w:rPr>
        <w:rFonts w:hint="default"/>
      </w:rPr>
    </w:lvl>
    <w:lvl w:ilvl="4" w:tplc="038E9BEA">
      <w:numFmt w:val="bullet"/>
      <w:lvlText w:val="•"/>
      <w:lvlJc w:val="left"/>
      <w:pPr>
        <w:ind w:left="3064" w:hanging="316"/>
      </w:pPr>
      <w:rPr>
        <w:rFonts w:hint="default"/>
      </w:rPr>
    </w:lvl>
    <w:lvl w:ilvl="5" w:tplc="CD0867BE">
      <w:numFmt w:val="bullet"/>
      <w:lvlText w:val="•"/>
      <w:lvlJc w:val="left"/>
      <w:pPr>
        <w:ind w:left="3765" w:hanging="316"/>
      </w:pPr>
      <w:rPr>
        <w:rFonts w:hint="default"/>
      </w:rPr>
    </w:lvl>
    <w:lvl w:ilvl="6" w:tplc="478662C8">
      <w:numFmt w:val="bullet"/>
      <w:lvlText w:val="•"/>
      <w:lvlJc w:val="left"/>
      <w:pPr>
        <w:ind w:left="4467" w:hanging="316"/>
      </w:pPr>
      <w:rPr>
        <w:rFonts w:hint="default"/>
      </w:rPr>
    </w:lvl>
    <w:lvl w:ilvl="7" w:tplc="020E3C22">
      <w:numFmt w:val="bullet"/>
      <w:lvlText w:val="•"/>
      <w:lvlJc w:val="left"/>
      <w:pPr>
        <w:ind w:left="5168" w:hanging="316"/>
      </w:pPr>
      <w:rPr>
        <w:rFonts w:hint="default"/>
      </w:rPr>
    </w:lvl>
    <w:lvl w:ilvl="8" w:tplc="38884D28">
      <w:numFmt w:val="bullet"/>
      <w:lvlText w:val="•"/>
      <w:lvlJc w:val="left"/>
      <w:pPr>
        <w:ind w:left="5870" w:hanging="316"/>
      </w:pPr>
      <w:rPr>
        <w:rFonts w:hint="default"/>
      </w:rPr>
    </w:lvl>
  </w:abstractNum>
  <w:abstractNum w:abstractNumId="31" w15:restartNumberingAfterBreak="0">
    <w:nsid w:val="1D3D5583"/>
    <w:multiLevelType w:val="hybridMultilevel"/>
    <w:tmpl w:val="95F2CF80"/>
    <w:lvl w:ilvl="0" w:tplc="0B2CFF0E">
      <w:start w:val="1"/>
      <w:numFmt w:val="decimal"/>
      <w:lvlText w:val="(%1)"/>
      <w:lvlJc w:val="left"/>
      <w:pPr>
        <w:ind w:left="1364" w:hanging="424"/>
        <w:jc w:val="left"/>
      </w:pPr>
      <w:rPr>
        <w:rFonts w:hint="default"/>
        <w:w w:val="104"/>
      </w:rPr>
    </w:lvl>
    <w:lvl w:ilvl="1" w:tplc="7F58B6D2">
      <w:numFmt w:val="bullet"/>
      <w:lvlText w:val="•"/>
      <w:lvlJc w:val="left"/>
      <w:pPr>
        <w:ind w:left="1950" w:hanging="424"/>
      </w:pPr>
      <w:rPr>
        <w:rFonts w:hint="default"/>
      </w:rPr>
    </w:lvl>
    <w:lvl w:ilvl="2" w:tplc="1CFC554E">
      <w:numFmt w:val="bullet"/>
      <w:lvlText w:val="•"/>
      <w:lvlJc w:val="left"/>
      <w:pPr>
        <w:ind w:left="2540" w:hanging="424"/>
      </w:pPr>
      <w:rPr>
        <w:rFonts w:hint="default"/>
      </w:rPr>
    </w:lvl>
    <w:lvl w:ilvl="3" w:tplc="17D8016A">
      <w:numFmt w:val="bullet"/>
      <w:lvlText w:val="•"/>
      <w:lvlJc w:val="left"/>
      <w:pPr>
        <w:ind w:left="3130" w:hanging="424"/>
      </w:pPr>
      <w:rPr>
        <w:rFonts w:hint="default"/>
      </w:rPr>
    </w:lvl>
    <w:lvl w:ilvl="4" w:tplc="BA1445E4">
      <w:numFmt w:val="bullet"/>
      <w:lvlText w:val="•"/>
      <w:lvlJc w:val="left"/>
      <w:pPr>
        <w:ind w:left="3720" w:hanging="424"/>
      </w:pPr>
      <w:rPr>
        <w:rFonts w:hint="default"/>
      </w:rPr>
    </w:lvl>
    <w:lvl w:ilvl="5" w:tplc="99B898E4">
      <w:numFmt w:val="bullet"/>
      <w:lvlText w:val="•"/>
      <w:lvlJc w:val="left"/>
      <w:pPr>
        <w:ind w:left="4310" w:hanging="424"/>
      </w:pPr>
      <w:rPr>
        <w:rFonts w:hint="default"/>
      </w:rPr>
    </w:lvl>
    <w:lvl w:ilvl="6" w:tplc="D5BC222A">
      <w:numFmt w:val="bullet"/>
      <w:lvlText w:val="•"/>
      <w:lvlJc w:val="left"/>
      <w:pPr>
        <w:ind w:left="4900" w:hanging="424"/>
      </w:pPr>
      <w:rPr>
        <w:rFonts w:hint="default"/>
      </w:rPr>
    </w:lvl>
    <w:lvl w:ilvl="7" w:tplc="19760E80">
      <w:numFmt w:val="bullet"/>
      <w:lvlText w:val="•"/>
      <w:lvlJc w:val="left"/>
      <w:pPr>
        <w:ind w:left="5491" w:hanging="424"/>
      </w:pPr>
      <w:rPr>
        <w:rFonts w:hint="default"/>
      </w:rPr>
    </w:lvl>
    <w:lvl w:ilvl="8" w:tplc="B162ACA8">
      <w:numFmt w:val="bullet"/>
      <w:lvlText w:val="•"/>
      <w:lvlJc w:val="left"/>
      <w:pPr>
        <w:ind w:left="6081" w:hanging="424"/>
      </w:pPr>
      <w:rPr>
        <w:rFonts w:hint="default"/>
      </w:rPr>
    </w:lvl>
  </w:abstractNum>
  <w:abstractNum w:abstractNumId="32" w15:restartNumberingAfterBreak="0">
    <w:nsid w:val="1EBD63B7"/>
    <w:multiLevelType w:val="multilevel"/>
    <w:tmpl w:val="A19078B6"/>
    <w:lvl w:ilvl="0">
      <w:start w:val="290"/>
      <w:numFmt w:val="decimal"/>
      <w:lvlText w:val="%1"/>
      <w:lvlJc w:val="left"/>
      <w:pPr>
        <w:ind w:left="1553" w:hanging="749"/>
        <w:jc w:val="left"/>
      </w:pPr>
      <w:rPr>
        <w:rFonts w:hint="default"/>
      </w:rPr>
    </w:lvl>
    <w:lvl w:ilvl="1">
      <w:start w:val="11"/>
      <w:numFmt w:val="decimal"/>
      <w:lvlText w:val="%1.%2"/>
      <w:lvlJc w:val="left"/>
      <w:pPr>
        <w:ind w:left="1553" w:hanging="749"/>
        <w:jc w:val="left"/>
      </w:pPr>
      <w:rPr>
        <w:rFonts w:ascii="Times New Roman" w:eastAsia="Times New Roman" w:hAnsi="Times New Roman" w:cs="Times New Roman" w:hint="default"/>
        <w:b/>
        <w:bCs/>
        <w:w w:val="111"/>
        <w:sz w:val="20"/>
        <w:szCs w:val="20"/>
      </w:rPr>
    </w:lvl>
    <w:lvl w:ilvl="2">
      <w:numFmt w:val="bullet"/>
      <w:lvlText w:val="•"/>
      <w:lvlJc w:val="left"/>
      <w:pPr>
        <w:ind w:left="2701" w:hanging="749"/>
      </w:pPr>
      <w:rPr>
        <w:rFonts w:hint="default"/>
      </w:rPr>
    </w:lvl>
    <w:lvl w:ilvl="3">
      <w:numFmt w:val="bullet"/>
      <w:lvlText w:val="•"/>
      <w:lvlJc w:val="left"/>
      <w:pPr>
        <w:ind w:left="3272" w:hanging="749"/>
      </w:pPr>
      <w:rPr>
        <w:rFonts w:hint="default"/>
      </w:rPr>
    </w:lvl>
    <w:lvl w:ilvl="4">
      <w:numFmt w:val="bullet"/>
      <w:lvlText w:val="•"/>
      <w:lvlJc w:val="left"/>
      <w:pPr>
        <w:ind w:left="3843" w:hanging="749"/>
      </w:pPr>
      <w:rPr>
        <w:rFonts w:hint="default"/>
      </w:rPr>
    </w:lvl>
    <w:lvl w:ilvl="5">
      <w:numFmt w:val="bullet"/>
      <w:lvlText w:val="•"/>
      <w:lvlJc w:val="left"/>
      <w:pPr>
        <w:ind w:left="4414" w:hanging="749"/>
      </w:pPr>
      <w:rPr>
        <w:rFonts w:hint="default"/>
      </w:rPr>
    </w:lvl>
    <w:lvl w:ilvl="6">
      <w:numFmt w:val="bullet"/>
      <w:lvlText w:val="•"/>
      <w:lvlJc w:val="left"/>
      <w:pPr>
        <w:ind w:left="4984" w:hanging="749"/>
      </w:pPr>
      <w:rPr>
        <w:rFonts w:hint="default"/>
      </w:rPr>
    </w:lvl>
    <w:lvl w:ilvl="7">
      <w:numFmt w:val="bullet"/>
      <w:lvlText w:val="•"/>
      <w:lvlJc w:val="left"/>
      <w:pPr>
        <w:ind w:left="5555" w:hanging="749"/>
      </w:pPr>
      <w:rPr>
        <w:rFonts w:hint="default"/>
      </w:rPr>
    </w:lvl>
    <w:lvl w:ilvl="8">
      <w:numFmt w:val="bullet"/>
      <w:lvlText w:val="•"/>
      <w:lvlJc w:val="left"/>
      <w:pPr>
        <w:ind w:left="6126" w:hanging="749"/>
      </w:pPr>
      <w:rPr>
        <w:rFonts w:hint="default"/>
      </w:rPr>
    </w:lvl>
  </w:abstractNum>
  <w:abstractNum w:abstractNumId="33" w15:restartNumberingAfterBreak="0">
    <w:nsid w:val="21311C45"/>
    <w:multiLevelType w:val="hybridMultilevel"/>
    <w:tmpl w:val="51DCBE34"/>
    <w:lvl w:ilvl="0" w:tplc="54F6EA14">
      <w:numFmt w:val="bullet"/>
      <w:lvlText w:val="■"/>
      <w:lvlJc w:val="left"/>
      <w:pPr>
        <w:ind w:left="597" w:hanging="379"/>
      </w:pPr>
      <w:rPr>
        <w:rFonts w:ascii="Arial" w:eastAsia="Arial" w:hAnsi="Arial" w:cs="Arial" w:hint="default"/>
        <w:w w:val="98"/>
        <w:sz w:val="50"/>
        <w:szCs w:val="50"/>
      </w:rPr>
    </w:lvl>
    <w:lvl w:ilvl="1" w:tplc="C31452FA">
      <w:start w:val="1"/>
      <w:numFmt w:val="upperLetter"/>
      <w:lvlText w:val="%2."/>
      <w:lvlJc w:val="left"/>
      <w:pPr>
        <w:ind w:left="918" w:hanging="299"/>
        <w:jc w:val="left"/>
      </w:pPr>
      <w:rPr>
        <w:rFonts w:ascii="Times New Roman" w:eastAsia="Times New Roman" w:hAnsi="Times New Roman" w:cs="Times New Roman" w:hint="default"/>
        <w:spacing w:val="-1"/>
        <w:w w:val="95"/>
        <w:sz w:val="20"/>
        <w:szCs w:val="20"/>
      </w:rPr>
    </w:lvl>
    <w:lvl w:ilvl="2" w:tplc="DAAEF3FC">
      <w:numFmt w:val="bullet"/>
      <w:lvlText w:val="•"/>
      <w:lvlJc w:val="left"/>
      <w:pPr>
        <w:ind w:left="1625" w:hanging="299"/>
      </w:pPr>
      <w:rPr>
        <w:rFonts w:hint="default"/>
      </w:rPr>
    </w:lvl>
    <w:lvl w:ilvl="3" w:tplc="905C7D44">
      <w:numFmt w:val="bullet"/>
      <w:lvlText w:val="•"/>
      <w:lvlJc w:val="left"/>
      <w:pPr>
        <w:ind w:left="2331" w:hanging="299"/>
      </w:pPr>
      <w:rPr>
        <w:rFonts w:hint="default"/>
      </w:rPr>
    </w:lvl>
    <w:lvl w:ilvl="4" w:tplc="3000B8FE">
      <w:numFmt w:val="bullet"/>
      <w:lvlText w:val="•"/>
      <w:lvlJc w:val="left"/>
      <w:pPr>
        <w:ind w:left="3037" w:hanging="299"/>
      </w:pPr>
      <w:rPr>
        <w:rFonts w:hint="default"/>
      </w:rPr>
    </w:lvl>
    <w:lvl w:ilvl="5" w:tplc="7540BDBA">
      <w:numFmt w:val="bullet"/>
      <w:lvlText w:val="•"/>
      <w:lvlJc w:val="left"/>
      <w:pPr>
        <w:ind w:left="3742" w:hanging="299"/>
      </w:pPr>
      <w:rPr>
        <w:rFonts w:hint="default"/>
      </w:rPr>
    </w:lvl>
    <w:lvl w:ilvl="6" w:tplc="04D481F0">
      <w:numFmt w:val="bullet"/>
      <w:lvlText w:val="•"/>
      <w:lvlJc w:val="left"/>
      <w:pPr>
        <w:ind w:left="4448" w:hanging="299"/>
      </w:pPr>
      <w:rPr>
        <w:rFonts w:hint="default"/>
      </w:rPr>
    </w:lvl>
    <w:lvl w:ilvl="7" w:tplc="73E22CE2">
      <w:numFmt w:val="bullet"/>
      <w:lvlText w:val="•"/>
      <w:lvlJc w:val="left"/>
      <w:pPr>
        <w:ind w:left="5154" w:hanging="299"/>
      </w:pPr>
      <w:rPr>
        <w:rFonts w:hint="default"/>
      </w:rPr>
    </w:lvl>
    <w:lvl w:ilvl="8" w:tplc="44F48F76">
      <w:numFmt w:val="bullet"/>
      <w:lvlText w:val="•"/>
      <w:lvlJc w:val="left"/>
      <w:pPr>
        <w:ind w:left="5859" w:hanging="299"/>
      </w:pPr>
      <w:rPr>
        <w:rFonts w:hint="default"/>
      </w:rPr>
    </w:lvl>
  </w:abstractNum>
  <w:abstractNum w:abstractNumId="34" w15:restartNumberingAfterBreak="0">
    <w:nsid w:val="21450855"/>
    <w:multiLevelType w:val="multilevel"/>
    <w:tmpl w:val="71C86066"/>
    <w:lvl w:ilvl="0">
      <w:start w:val="292"/>
      <w:numFmt w:val="decimal"/>
      <w:lvlText w:val="%1"/>
      <w:lvlJc w:val="left"/>
      <w:pPr>
        <w:ind w:left="862" w:hanging="710"/>
        <w:jc w:val="left"/>
      </w:pPr>
      <w:rPr>
        <w:rFonts w:hint="default"/>
      </w:rPr>
    </w:lvl>
    <w:lvl w:ilvl="1">
      <w:start w:val="81"/>
      <w:numFmt w:val="decimal"/>
      <w:lvlText w:val="%1.%2"/>
      <w:lvlJc w:val="left"/>
      <w:pPr>
        <w:ind w:left="862" w:hanging="710"/>
        <w:jc w:val="left"/>
      </w:pPr>
      <w:rPr>
        <w:rFonts w:ascii="Times New Roman" w:eastAsia="Times New Roman" w:hAnsi="Times New Roman" w:cs="Times New Roman" w:hint="default"/>
        <w:w w:val="105"/>
        <w:sz w:val="19"/>
        <w:szCs w:val="19"/>
      </w:rPr>
    </w:lvl>
    <w:lvl w:ilvl="2">
      <w:numFmt w:val="bullet"/>
      <w:lvlText w:val="•"/>
      <w:lvlJc w:val="left"/>
      <w:pPr>
        <w:ind w:left="1456" w:hanging="710"/>
      </w:pPr>
      <w:rPr>
        <w:rFonts w:hint="default"/>
      </w:rPr>
    </w:lvl>
    <w:lvl w:ilvl="3">
      <w:numFmt w:val="bullet"/>
      <w:lvlText w:val="•"/>
      <w:lvlJc w:val="left"/>
      <w:pPr>
        <w:ind w:left="1754" w:hanging="710"/>
      </w:pPr>
      <w:rPr>
        <w:rFonts w:hint="default"/>
      </w:rPr>
    </w:lvl>
    <w:lvl w:ilvl="4">
      <w:numFmt w:val="bullet"/>
      <w:lvlText w:val="•"/>
      <w:lvlJc w:val="left"/>
      <w:pPr>
        <w:ind w:left="2052" w:hanging="710"/>
      </w:pPr>
      <w:rPr>
        <w:rFonts w:hint="default"/>
      </w:rPr>
    </w:lvl>
    <w:lvl w:ilvl="5">
      <w:numFmt w:val="bullet"/>
      <w:lvlText w:val="•"/>
      <w:lvlJc w:val="left"/>
      <w:pPr>
        <w:ind w:left="2350" w:hanging="710"/>
      </w:pPr>
      <w:rPr>
        <w:rFonts w:hint="default"/>
      </w:rPr>
    </w:lvl>
    <w:lvl w:ilvl="6">
      <w:numFmt w:val="bullet"/>
      <w:lvlText w:val="•"/>
      <w:lvlJc w:val="left"/>
      <w:pPr>
        <w:ind w:left="2648" w:hanging="710"/>
      </w:pPr>
      <w:rPr>
        <w:rFonts w:hint="default"/>
      </w:rPr>
    </w:lvl>
    <w:lvl w:ilvl="7">
      <w:numFmt w:val="bullet"/>
      <w:lvlText w:val="•"/>
      <w:lvlJc w:val="left"/>
      <w:pPr>
        <w:ind w:left="2946" w:hanging="710"/>
      </w:pPr>
      <w:rPr>
        <w:rFonts w:hint="default"/>
      </w:rPr>
    </w:lvl>
    <w:lvl w:ilvl="8">
      <w:numFmt w:val="bullet"/>
      <w:lvlText w:val="•"/>
      <w:lvlJc w:val="left"/>
      <w:pPr>
        <w:ind w:left="3244" w:hanging="710"/>
      </w:pPr>
      <w:rPr>
        <w:rFonts w:hint="default"/>
      </w:rPr>
    </w:lvl>
  </w:abstractNum>
  <w:abstractNum w:abstractNumId="35" w15:restartNumberingAfterBreak="0">
    <w:nsid w:val="237E5841"/>
    <w:multiLevelType w:val="hybridMultilevel"/>
    <w:tmpl w:val="0B120C38"/>
    <w:lvl w:ilvl="0" w:tplc="1876B8C8">
      <w:numFmt w:val="bullet"/>
      <w:lvlText w:val="■"/>
      <w:lvlJc w:val="left"/>
      <w:pPr>
        <w:ind w:left="633" w:hanging="380"/>
      </w:pPr>
      <w:rPr>
        <w:rFonts w:ascii="Arial" w:eastAsia="Arial" w:hAnsi="Arial" w:cs="Arial" w:hint="default"/>
        <w:w w:val="98"/>
        <w:sz w:val="50"/>
        <w:szCs w:val="50"/>
      </w:rPr>
    </w:lvl>
    <w:lvl w:ilvl="1" w:tplc="40906230">
      <w:start w:val="1"/>
      <w:numFmt w:val="upperLetter"/>
      <w:lvlText w:val="%2."/>
      <w:lvlJc w:val="left"/>
      <w:pPr>
        <w:ind w:left="957" w:hanging="299"/>
        <w:jc w:val="left"/>
      </w:pPr>
      <w:rPr>
        <w:rFonts w:hint="default"/>
        <w:spacing w:val="-1"/>
        <w:w w:val="92"/>
      </w:rPr>
    </w:lvl>
    <w:lvl w:ilvl="2" w:tplc="27D2F1E0">
      <w:start w:val="1"/>
      <w:numFmt w:val="decimal"/>
      <w:lvlText w:val="(%3)"/>
      <w:lvlJc w:val="left"/>
      <w:pPr>
        <w:ind w:left="1389" w:hanging="429"/>
        <w:jc w:val="left"/>
      </w:pPr>
      <w:rPr>
        <w:rFonts w:hint="default"/>
        <w:w w:val="109"/>
      </w:rPr>
    </w:lvl>
    <w:lvl w:ilvl="3" w:tplc="E8E8D290">
      <w:start w:val="1"/>
      <w:numFmt w:val="lowerLetter"/>
      <w:lvlText w:val="(%4)"/>
      <w:lvlJc w:val="left"/>
      <w:pPr>
        <w:ind w:left="1807" w:hanging="425"/>
        <w:jc w:val="left"/>
      </w:pPr>
      <w:rPr>
        <w:rFonts w:ascii="Times New Roman" w:eastAsia="Times New Roman" w:hAnsi="Times New Roman" w:cs="Times New Roman" w:hint="default"/>
        <w:spacing w:val="-1"/>
        <w:w w:val="110"/>
        <w:sz w:val="20"/>
        <w:szCs w:val="20"/>
      </w:rPr>
    </w:lvl>
    <w:lvl w:ilvl="4" w:tplc="6F4C2C02">
      <w:numFmt w:val="bullet"/>
      <w:lvlText w:val="•"/>
      <w:lvlJc w:val="left"/>
      <w:pPr>
        <w:ind w:left="2583" w:hanging="425"/>
      </w:pPr>
      <w:rPr>
        <w:rFonts w:hint="default"/>
      </w:rPr>
    </w:lvl>
    <w:lvl w:ilvl="5" w:tplc="B36822BE">
      <w:numFmt w:val="bullet"/>
      <w:lvlText w:val="•"/>
      <w:lvlJc w:val="left"/>
      <w:pPr>
        <w:ind w:left="3367" w:hanging="425"/>
      </w:pPr>
      <w:rPr>
        <w:rFonts w:hint="default"/>
      </w:rPr>
    </w:lvl>
    <w:lvl w:ilvl="6" w:tplc="3886DFF4">
      <w:numFmt w:val="bullet"/>
      <w:lvlText w:val="•"/>
      <w:lvlJc w:val="left"/>
      <w:pPr>
        <w:ind w:left="4151" w:hanging="425"/>
      </w:pPr>
      <w:rPr>
        <w:rFonts w:hint="default"/>
      </w:rPr>
    </w:lvl>
    <w:lvl w:ilvl="7" w:tplc="1FE8510A">
      <w:numFmt w:val="bullet"/>
      <w:lvlText w:val="•"/>
      <w:lvlJc w:val="left"/>
      <w:pPr>
        <w:ind w:left="4934" w:hanging="425"/>
      </w:pPr>
      <w:rPr>
        <w:rFonts w:hint="default"/>
      </w:rPr>
    </w:lvl>
    <w:lvl w:ilvl="8" w:tplc="42D8DE10">
      <w:numFmt w:val="bullet"/>
      <w:lvlText w:val="•"/>
      <w:lvlJc w:val="left"/>
      <w:pPr>
        <w:ind w:left="5718" w:hanging="425"/>
      </w:pPr>
      <w:rPr>
        <w:rFonts w:hint="default"/>
      </w:rPr>
    </w:lvl>
  </w:abstractNum>
  <w:abstractNum w:abstractNumId="36" w15:restartNumberingAfterBreak="0">
    <w:nsid w:val="238D1860"/>
    <w:multiLevelType w:val="hybridMultilevel"/>
    <w:tmpl w:val="9BEAE4FA"/>
    <w:lvl w:ilvl="0" w:tplc="D868B4D0">
      <w:numFmt w:val="bullet"/>
      <w:lvlText w:val="■"/>
      <w:lvlJc w:val="left"/>
      <w:pPr>
        <w:ind w:left="624" w:hanging="379"/>
      </w:pPr>
      <w:rPr>
        <w:rFonts w:ascii="Arial" w:eastAsia="Arial" w:hAnsi="Arial" w:cs="Arial" w:hint="default"/>
        <w:w w:val="98"/>
        <w:sz w:val="50"/>
        <w:szCs w:val="50"/>
      </w:rPr>
    </w:lvl>
    <w:lvl w:ilvl="1" w:tplc="FF563384">
      <w:start w:val="1"/>
      <w:numFmt w:val="upperLetter"/>
      <w:lvlText w:val="%2."/>
      <w:lvlJc w:val="left"/>
      <w:pPr>
        <w:ind w:left="962" w:hanging="316"/>
        <w:jc w:val="left"/>
      </w:pPr>
      <w:rPr>
        <w:rFonts w:hint="default"/>
        <w:spacing w:val="-1"/>
        <w:w w:val="105"/>
      </w:rPr>
    </w:lvl>
    <w:lvl w:ilvl="2" w:tplc="B5BC6198">
      <w:start w:val="1"/>
      <w:numFmt w:val="decimal"/>
      <w:lvlText w:val="(%3)"/>
      <w:lvlJc w:val="left"/>
      <w:pPr>
        <w:ind w:left="1379" w:hanging="421"/>
        <w:jc w:val="left"/>
      </w:pPr>
      <w:rPr>
        <w:rFonts w:hint="default"/>
        <w:w w:val="107"/>
      </w:rPr>
    </w:lvl>
    <w:lvl w:ilvl="3" w:tplc="89DC56BC">
      <w:numFmt w:val="bullet"/>
      <w:lvlText w:val="•"/>
      <w:lvlJc w:val="left"/>
      <w:pPr>
        <w:ind w:left="2117" w:hanging="421"/>
      </w:pPr>
      <w:rPr>
        <w:rFonts w:hint="default"/>
      </w:rPr>
    </w:lvl>
    <w:lvl w:ilvl="4" w:tplc="012C4C46">
      <w:numFmt w:val="bullet"/>
      <w:lvlText w:val="•"/>
      <w:lvlJc w:val="left"/>
      <w:pPr>
        <w:ind w:left="2855" w:hanging="421"/>
      </w:pPr>
      <w:rPr>
        <w:rFonts w:hint="default"/>
      </w:rPr>
    </w:lvl>
    <w:lvl w:ilvl="5" w:tplc="995871EC">
      <w:numFmt w:val="bullet"/>
      <w:lvlText w:val="•"/>
      <w:lvlJc w:val="left"/>
      <w:pPr>
        <w:ind w:left="3592" w:hanging="421"/>
      </w:pPr>
      <w:rPr>
        <w:rFonts w:hint="default"/>
      </w:rPr>
    </w:lvl>
    <w:lvl w:ilvl="6" w:tplc="C9868E8A">
      <w:numFmt w:val="bullet"/>
      <w:lvlText w:val="•"/>
      <w:lvlJc w:val="left"/>
      <w:pPr>
        <w:ind w:left="4330" w:hanging="421"/>
      </w:pPr>
      <w:rPr>
        <w:rFonts w:hint="default"/>
      </w:rPr>
    </w:lvl>
    <w:lvl w:ilvl="7" w:tplc="E1368772">
      <w:numFmt w:val="bullet"/>
      <w:lvlText w:val="•"/>
      <w:lvlJc w:val="left"/>
      <w:pPr>
        <w:ind w:left="5068" w:hanging="421"/>
      </w:pPr>
      <w:rPr>
        <w:rFonts w:hint="default"/>
      </w:rPr>
    </w:lvl>
    <w:lvl w:ilvl="8" w:tplc="BD2480BA">
      <w:numFmt w:val="bullet"/>
      <w:lvlText w:val="•"/>
      <w:lvlJc w:val="left"/>
      <w:pPr>
        <w:ind w:left="5805" w:hanging="421"/>
      </w:pPr>
      <w:rPr>
        <w:rFonts w:hint="default"/>
      </w:rPr>
    </w:lvl>
  </w:abstractNum>
  <w:abstractNum w:abstractNumId="37" w15:restartNumberingAfterBreak="0">
    <w:nsid w:val="23A07C8D"/>
    <w:multiLevelType w:val="hybridMultilevel"/>
    <w:tmpl w:val="E9F03240"/>
    <w:lvl w:ilvl="0" w:tplc="4CF61230">
      <w:numFmt w:val="bullet"/>
      <w:lvlText w:val="■"/>
      <w:lvlJc w:val="left"/>
      <w:pPr>
        <w:ind w:left="621" w:hanging="375"/>
      </w:pPr>
      <w:rPr>
        <w:rFonts w:ascii="Arial" w:eastAsia="Arial" w:hAnsi="Arial" w:cs="Arial" w:hint="default"/>
        <w:w w:val="98"/>
        <w:sz w:val="50"/>
        <w:szCs w:val="50"/>
      </w:rPr>
    </w:lvl>
    <w:lvl w:ilvl="1" w:tplc="12F21BC2">
      <w:start w:val="1"/>
      <w:numFmt w:val="upperLetter"/>
      <w:lvlText w:val="%2."/>
      <w:lvlJc w:val="left"/>
      <w:pPr>
        <w:ind w:left="953" w:hanging="299"/>
        <w:jc w:val="left"/>
      </w:pPr>
      <w:rPr>
        <w:rFonts w:hint="default"/>
        <w:spacing w:val="-1"/>
        <w:w w:val="103"/>
      </w:rPr>
    </w:lvl>
    <w:lvl w:ilvl="2" w:tplc="6234C210">
      <w:numFmt w:val="bullet"/>
      <w:lvlText w:val="•"/>
      <w:lvlJc w:val="left"/>
      <w:pPr>
        <w:ind w:left="1661" w:hanging="299"/>
      </w:pPr>
      <w:rPr>
        <w:rFonts w:hint="default"/>
      </w:rPr>
    </w:lvl>
    <w:lvl w:ilvl="3" w:tplc="64AC8B28">
      <w:numFmt w:val="bullet"/>
      <w:lvlText w:val="•"/>
      <w:lvlJc w:val="left"/>
      <w:pPr>
        <w:ind w:left="2362" w:hanging="299"/>
      </w:pPr>
      <w:rPr>
        <w:rFonts w:hint="default"/>
      </w:rPr>
    </w:lvl>
    <w:lvl w:ilvl="4" w:tplc="1652C922">
      <w:numFmt w:val="bullet"/>
      <w:lvlText w:val="•"/>
      <w:lvlJc w:val="left"/>
      <w:pPr>
        <w:ind w:left="3063" w:hanging="299"/>
      </w:pPr>
      <w:rPr>
        <w:rFonts w:hint="default"/>
      </w:rPr>
    </w:lvl>
    <w:lvl w:ilvl="5" w:tplc="D1D4281A">
      <w:numFmt w:val="bullet"/>
      <w:lvlText w:val="•"/>
      <w:lvlJc w:val="left"/>
      <w:pPr>
        <w:ind w:left="3764" w:hanging="299"/>
      </w:pPr>
      <w:rPr>
        <w:rFonts w:hint="default"/>
      </w:rPr>
    </w:lvl>
    <w:lvl w:ilvl="6" w:tplc="DB0611F0">
      <w:numFmt w:val="bullet"/>
      <w:lvlText w:val="•"/>
      <w:lvlJc w:val="left"/>
      <w:pPr>
        <w:ind w:left="4466" w:hanging="299"/>
      </w:pPr>
      <w:rPr>
        <w:rFonts w:hint="default"/>
      </w:rPr>
    </w:lvl>
    <w:lvl w:ilvl="7" w:tplc="A7D4EC5C">
      <w:numFmt w:val="bullet"/>
      <w:lvlText w:val="•"/>
      <w:lvlJc w:val="left"/>
      <w:pPr>
        <w:ind w:left="5167" w:hanging="299"/>
      </w:pPr>
      <w:rPr>
        <w:rFonts w:hint="default"/>
      </w:rPr>
    </w:lvl>
    <w:lvl w:ilvl="8" w:tplc="0A7A49AE">
      <w:numFmt w:val="bullet"/>
      <w:lvlText w:val="•"/>
      <w:lvlJc w:val="left"/>
      <w:pPr>
        <w:ind w:left="5868" w:hanging="299"/>
      </w:pPr>
      <w:rPr>
        <w:rFonts w:hint="default"/>
      </w:rPr>
    </w:lvl>
  </w:abstractNum>
  <w:abstractNum w:abstractNumId="38" w15:restartNumberingAfterBreak="0">
    <w:nsid w:val="23DD187E"/>
    <w:multiLevelType w:val="hybridMultilevel"/>
    <w:tmpl w:val="89F60AA6"/>
    <w:lvl w:ilvl="0" w:tplc="D6809EB8">
      <w:numFmt w:val="bullet"/>
      <w:lvlText w:val="□"/>
      <w:lvlJc w:val="left"/>
      <w:pPr>
        <w:ind w:left="589" w:hanging="328"/>
      </w:pPr>
      <w:rPr>
        <w:rFonts w:ascii="Arial" w:eastAsia="Arial" w:hAnsi="Arial" w:cs="Arial" w:hint="default"/>
        <w:w w:val="99"/>
        <w:sz w:val="36"/>
        <w:szCs w:val="36"/>
      </w:rPr>
    </w:lvl>
    <w:lvl w:ilvl="1" w:tplc="61B60C58">
      <w:start w:val="2"/>
      <w:numFmt w:val="decimal"/>
      <w:lvlText w:val="(%2)"/>
      <w:lvlJc w:val="left"/>
      <w:pPr>
        <w:ind w:left="1382" w:hanging="426"/>
        <w:jc w:val="left"/>
      </w:pPr>
      <w:rPr>
        <w:rFonts w:hint="default"/>
        <w:w w:val="104"/>
      </w:rPr>
    </w:lvl>
    <w:lvl w:ilvl="2" w:tplc="D35ABA5E">
      <w:numFmt w:val="bullet"/>
      <w:lvlText w:val="•"/>
      <w:lvlJc w:val="left"/>
      <w:pPr>
        <w:ind w:left="2034" w:hanging="426"/>
      </w:pPr>
      <w:rPr>
        <w:rFonts w:hint="default"/>
      </w:rPr>
    </w:lvl>
    <w:lvl w:ilvl="3" w:tplc="411E8A6E">
      <w:numFmt w:val="bullet"/>
      <w:lvlText w:val="•"/>
      <w:lvlJc w:val="left"/>
      <w:pPr>
        <w:ind w:left="2689" w:hanging="426"/>
      </w:pPr>
      <w:rPr>
        <w:rFonts w:hint="default"/>
      </w:rPr>
    </w:lvl>
    <w:lvl w:ilvl="4" w:tplc="3D5E9BF8">
      <w:numFmt w:val="bullet"/>
      <w:lvlText w:val="•"/>
      <w:lvlJc w:val="left"/>
      <w:pPr>
        <w:ind w:left="3344" w:hanging="426"/>
      </w:pPr>
      <w:rPr>
        <w:rFonts w:hint="default"/>
      </w:rPr>
    </w:lvl>
    <w:lvl w:ilvl="5" w:tplc="13002D34">
      <w:numFmt w:val="bullet"/>
      <w:lvlText w:val="•"/>
      <w:lvlJc w:val="left"/>
      <w:pPr>
        <w:ind w:left="3999" w:hanging="426"/>
      </w:pPr>
      <w:rPr>
        <w:rFonts w:hint="default"/>
      </w:rPr>
    </w:lvl>
    <w:lvl w:ilvl="6" w:tplc="8CA87E2C">
      <w:numFmt w:val="bullet"/>
      <w:lvlText w:val="•"/>
      <w:lvlJc w:val="left"/>
      <w:pPr>
        <w:ind w:left="4654" w:hanging="426"/>
      </w:pPr>
      <w:rPr>
        <w:rFonts w:hint="default"/>
      </w:rPr>
    </w:lvl>
    <w:lvl w:ilvl="7" w:tplc="D67277E4">
      <w:numFmt w:val="bullet"/>
      <w:lvlText w:val="•"/>
      <w:lvlJc w:val="left"/>
      <w:pPr>
        <w:ind w:left="5309" w:hanging="426"/>
      </w:pPr>
      <w:rPr>
        <w:rFonts w:hint="default"/>
      </w:rPr>
    </w:lvl>
    <w:lvl w:ilvl="8" w:tplc="EA9CEDAA">
      <w:numFmt w:val="bullet"/>
      <w:lvlText w:val="•"/>
      <w:lvlJc w:val="left"/>
      <w:pPr>
        <w:ind w:left="5964" w:hanging="426"/>
      </w:pPr>
      <w:rPr>
        <w:rFonts w:hint="default"/>
      </w:rPr>
    </w:lvl>
  </w:abstractNum>
  <w:abstractNum w:abstractNumId="39" w15:restartNumberingAfterBreak="0">
    <w:nsid w:val="249D4D1E"/>
    <w:multiLevelType w:val="hybridMultilevel"/>
    <w:tmpl w:val="64FE01F2"/>
    <w:lvl w:ilvl="0" w:tplc="1BA87900">
      <w:start w:val="2"/>
      <w:numFmt w:val="upperLetter"/>
      <w:lvlText w:val="%1."/>
      <w:lvlJc w:val="left"/>
      <w:pPr>
        <w:ind w:left="875" w:hanging="329"/>
        <w:jc w:val="left"/>
      </w:pPr>
      <w:rPr>
        <w:rFonts w:hint="default"/>
        <w:b/>
        <w:bCs/>
        <w:spacing w:val="-1"/>
        <w:w w:val="105"/>
      </w:rPr>
    </w:lvl>
    <w:lvl w:ilvl="1" w:tplc="71F8A1BE">
      <w:numFmt w:val="bullet"/>
      <w:lvlText w:val="•"/>
      <w:lvlJc w:val="left"/>
      <w:pPr>
        <w:ind w:left="1569" w:hanging="329"/>
      </w:pPr>
      <w:rPr>
        <w:rFonts w:hint="default"/>
      </w:rPr>
    </w:lvl>
    <w:lvl w:ilvl="2" w:tplc="9E6AE7E2">
      <w:numFmt w:val="bullet"/>
      <w:lvlText w:val="•"/>
      <w:lvlJc w:val="left"/>
      <w:pPr>
        <w:ind w:left="2259" w:hanging="329"/>
      </w:pPr>
      <w:rPr>
        <w:rFonts w:hint="default"/>
      </w:rPr>
    </w:lvl>
    <w:lvl w:ilvl="3" w:tplc="582042A6">
      <w:numFmt w:val="bullet"/>
      <w:lvlText w:val="•"/>
      <w:lvlJc w:val="left"/>
      <w:pPr>
        <w:ind w:left="2949" w:hanging="329"/>
      </w:pPr>
      <w:rPr>
        <w:rFonts w:hint="default"/>
      </w:rPr>
    </w:lvl>
    <w:lvl w:ilvl="4" w:tplc="58D209A0">
      <w:numFmt w:val="bullet"/>
      <w:lvlText w:val="•"/>
      <w:lvlJc w:val="left"/>
      <w:pPr>
        <w:ind w:left="3638" w:hanging="329"/>
      </w:pPr>
      <w:rPr>
        <w:rFonts w:hint="default"/>
      </w:rPr>
    </w:lvl>
    <w:lvl w:ilvl="5" w:tplc="9BF69440">
      <w:numFmt w:val="bullet"/>
      <w:lvlText w:val="•"/>
      <w:lvlJc w:val="left"/>
      <w:pPr>
        <w:ind w:left="4328" w:hanging="329"/>
      </w:pPr>
      <w:rPr>
        <w:rFonts w:hint="default"/>
      </w:rPr>
    </w:lvl>
    <w:lvl w:ilvl="6" w:tplc="E8468AA0">
      <w:numFmt w:val="bullet"/>
      <w:lvlText w:val="•"/>
      <w:lvlJc w:val="left"/>
      <w:pPr>
        <w:ind w:left="5018" w:hanging="329"/>
      </w:pPr>
      <w:rPr>
        <w:rFonts w:hint="default"/>
      </w:rPr>
    </w:lvl>
    <w:lvl w:ilvl="7" w:tplc="930CA8BA">
      <w:numFmt w:val="bullet"/>
      <w:lvlText w:val="•"/>
      <w:lvlJc w:val="left"/>
      <w:pPr>
        <w:ind w:left="5707" w:hanging="329"/>
      </w:pPr>
      <w:rPr>
        <w:rFonts w:hint="default"/>
      </w:rPr>
    </w:lvl>
    <w:lvl w:ilvl="8" w:tplc="728E1ECA">
      <w:numFmt w:val="bullet"/>
      <w:lvlText w:val="•"/>
      <w:lvlJc w:val="left"/>
      <w:pPr>
        <w:ind w:left="6397" w:hanging="329"/>
      </w:pPr>
      <w:rPr>
        <w:rFonts w:hint="default"/>
      </w:rPr>
    </w:lvl>
  </w:abstractNum>
  <w:abstractNum w:abstractNumId="40" w15:restartNumberingAfterBreak="0">
    <w:nsid w:val="25BC491F"/>
    <w:multiLevelType w:val="multilevel"/>
    <w:tmpl w:val="A3B6F874"/>
    <w:lvl w:ilvl="0">
      <w:start w:val="314"/>
      <w:numFmt w:val="decimal"/>
      <w:lvlText w:val="%1"/>
      <w:lvlJc w:val="left"/>
      <w:pPr>
        <w:ind w:left="793" w:hanging="753"/>
        <w:jc w:val="left"/>
      </w:pPr>
      <w:rPr>
        <w:rFonts w:hint="default"/>
      </w:rPr>
    </w:lvl>
    <w:lvl w:ilvl="1">
      <w:numFmt w:val="decimalZero"/>
      <w:lvlText w:val="%1.%2"/>
      <w:lvlJc w:val="left"/>
      <w:pPr>
        <w:ind w:left="793" w:hanging="753"/>
        <w:jc w:val="left"/>
      </w:pPr>
      <w:rPr>
        <w:rFonts w:ascii="Times New Roman" w:eastAsia="Times New Roman" w:hAnsi="Times New Roman" w:cs="Times New Roman" w:hint="default"/>
        <w:b/>
        <w:bCs/>
        <w:w w:val="111"/>
        <w:sz w:val="20"/>
        <w:szCs w:val="20"/>
      </w:rPr>
    </w:lvl>
    <w:lvl w:ilvl="2">
      <w:numFmt w:val="bullet"/>
      <w:lvlText w:val="•"/>
      <w:lvlJc w:val="left"/>
      <w:pPr>
        <w:ind w:left="2092" w:hanging="753"/>
      </w:pPr>
      <w:rPr>
        <w:rFonts w:hint="default"/>
      </w:rPr>
    </w:lvl>
    <w:lvl w:ilvl="3">
      <w:numFmt w:val="bullet"/>
      <w:lvlText w:val="•"/>
      <w:lvlJc w:val="left"/>
      <w:pPr>
        <w:ind w:left="2738" w:hanging="753"/>
      </w:pPr>
      <w:rPr>
        <w:rFonts w:hint="default"/>
      </w:rPr>
    </w:lvl>
    <w:lvl w:ilvl="4">
      <w:numFmt w:val="bullet"/>
      <w:lvlText w:val="•"/>
      <w:lvlJc w:val="left"/>
      <w:pPr>
        <w:ind w:left="3384" w:hanging="753"/>
      </w:pPr>
      <w:rPr>
        <w:rFonts w:hint="default"/>
      </w:rPr>
    </w:lvl>
    <w:lvl w:ilvl="5">
      <w:numFmt w:val="bullet"/>
      <w:lvlText w:val="•"/>
      <w:lvlJc w:val="left"/>
      <w:pPr>
        <w:ind w:left="4031" w:hanging="753"/>
      </w:pPr>
      <w:rPr>
        <w:rFonts w:hint="default"/>
      </w:rPr>
    </w:lvl>
    <w:lvl w:ilvl="6">
      <w:numFmt w:val="bullet"/>
      <w:lvlText w:val="•"/>
      <w:lvlJc w:val="left"/>
      <w:pPr>
        <w:ind w:left="4677" w:hanging="753"/>
      </w:pPr>
      <w:rPr>
        <w:rFonts w:hint="default"/>
      </w:rPr>
    </w:lvl>
    <w:lvl w:ilvl="7">
      <w:numFmt w:val="bullet"/>
      <w:lvlText w:val="•"/>
      <w:lvlJc w:val="left"/>
      <w:pPr>
        <w:ind w:left="5323" w:hanging="753"/>
      </w:pPr>
      <w:rPr>
        <w:rFonts w:hint="default"/>
      </w:rPr>
    </w:lvl>
    <w:lvl w:ilvl="8">
      <w:numFmt w:val="bullet"/>
      <w:lvlText w:val="•"/>
      <w:lvlJc w:val="left"/>
      <w:pPr>
        <w:ind w:left="5969" w:hanging="753"/>
      </w:pPr>
      <w:rPr>
        <w:rFonts w:hint="default"/>
      </w:rPr>
    </w:lvl>
  </w:abstractNum>
  <w:abstractNum w:abstractNumId="41" w15:restartNumberingAfterBreak="0">
    <w:nsid w:val="26CF1CE0"/>
    <w:multiLevelType w:val="hybridMultilevel"/>
    <w:tmpl w:val="D664367E"/>
    <w:lvl w:ilvl="0" w:tplc="D2F6D8C8">
      <w:numFmt w:val="bullet"/>
      <w:lvlText w:val="■"/>
      <w:lvlJc w:val="left"/>
      <w:pPr>
        <w:ind w:left="840" w:hanging="394"/>
      </w:pPr>
      <w:rPr>
        <w:rFonts w:ascii="Arial" w:eastAsia="Arial" w:hAnsi="Arial" w:cs="Arial" w:hint="default"/>
        <w:w w:val="98"/>
        <w:sz w:val="50"/>
        <w:szCs w:val="50"/>
      </w:rPr>
    </w:lvl>
    <w:lvl w:ilvl="1" w:tplc="16A28378">
      <w:numFmt w:val="bullet"/>
      <w:lvlText w:val="•"/>
      <w:lvlJc w:val="left"/>
      <w:pPr>
        <w:ind w:left="1527" w:hanging="394"/>
      </w:pPr>
      <w:rPr>
        <w:rFonts w:hint="default"/>
      </w:rPr>
    </w:lvl>
    <w:lvl w:ilvl="2" w:tplc="3586B842">
      <w:numFmt w:val="bullet"/>
      <w:lvlText w:val="•"/>
      <w:lvlJc w:val="left"/>
      <w:pPr>
        <w:ind w:left="2215" w:hanging="394"/>
      </w:pPr>
      <w:rPr>
        <w:rFonts w:hint="default"/>
      </w:rPr>
    </w:lvl>
    <w:lvl w:ilvl="3" w:tplc="3504381E">
      <w:numFmt w:val="bullet"/>
      <w:lvlText w:val="•"/>
      <w:lvlJc w:val="left"/>
      <w:pPr>
        <w:ind w:left="2903" w:hanging="394"/>
      </w:pPr>
      <w:rPr>
        <w:rFonts w:hint="default"/>
      </w:rPr>
    </w:lvl>
    <w:lvl w:ilvl="4" w:tplc="34E46D38">
      <w:numFmt w:val="bullet"/>
      <w:lvlText w:val="•"/>
      <w:lvlJc w:val="left"/>
      <w:pPr>
        <w:ind w:left="3590" w:hanging="394"/>
      </w:pPr>
      <w:rPr>
        <w:rFonts w:hint="default"/>
      </w:rPr>
    </w:lvl>
    <w:lvl w:ilvl="5" w:tplc="654440CA">
      <w:numFmt w:val="bullet"/>
      <w:lvlText w:val="•"/>
      <w:lvlJc w:val="left"/>
      <w:pPr>
        <w:ind w:left="4278" w:hanging="394"/>
      </w:pPr>
      <w:rPr>
        <w:rFonts w:hint="default"/>
      </w:rPr>
    </w:lvl>
    <w:lvl w:ilvl="6" w:tplc="ECDC6AF4">
      <w:numFmt w:val="bullet"/>
      <w:lvlText w:val="•"/>
      <w:lvlJc w:val="left"/>
      <w:pPr>
        <w:ind w:left="4966" w:hanging="394"/>
      </w:pPr>
      <w:rPr>
        <w:rFonts w:hint="default"/>
      </w:rPr>
    </w:lvl>
    <w:lvl w:ilvl="7" w:tplc="85E4E2C8">
      <w:numFmt w:val="bullet"/>
      <w:lvlText w:val="•"/>
      <w:lvlJc w:val="left"/>
      <w:pPr>
        <w:ind w:left="5653" w:hanging="394"/>
      </w:pPr>
      <w:rPr>
        <w:rFonts w:hint="default"/>
      </w:rPr>
    </w:lvl>
    <w:lvl w:ilvl="8" w:tplc="A0DCC950">
      <w:numFmt w:val="bullet"/>
      <w:lvlText w:val="•"/>
      <w:lvlJc w:val="left"/>
      <w:pPr>
        <w:ind w:left="6341" w:hanging="394"/>
      </w:pPr>
      <w:rPr>
        <w:rFonts w:hint="default"/>
      </w:rPr>
    </w:lvl>
  </w:abstractNum>
  <w:abstractNum w:abstractNumId="42" w15:restartNumberingAfterBreak="0">
    <w:nsid w:val="27017EE0"/>
    <w:multiLevelType w:val="hybridMultilevel"/>
    <w:tmpl w:val="5EBA8D8C"/>
    <w:lvl w:ilvl="0" w:tplc="BFCED7E2">
      <w:numFmt w:val="bullet"/>
      <w:lvlText w:val="■"/>
      <w:lvlJc w:val="left"/>
      <w:pPr>
        <w:ind w:left="645" w:hanging="394"/>
      </w:pPr>
      <w:rPr>
        <w:rFonts w:ascii="Arial" w:eastAsia="Arial" w:hAnsi="Arial" w:cs="Arial" w:hint="default"/>
        <w:w w:val="98"/>
        <w:sz w:val="50"/>
        <w:szCs w:val="50"/>
      </w:rPr>
    </w:lvl>
    <w:lvl w:ilvl="1" w:tplc="BC940E8A">
      <w:start w:val="1"/>
      <w:numFmt w:val="upperLetter"/>
      <w:lvlText w:val="%2."/>
      <w:lvlJc w:val="left"/>
      <w:pPr>
        <w:ind w:left="956" w:hanging="303"/>
        <w:jc w:val="left"/>
      </w:pPr>
      <w:rPr>
        <w:rFonts w:hint="default"/>
        <w:spacing w:val="-1"/>
        <w:w w:val="92"/>
      </w:rPr>
    </w:lvl>
    <w:lvl w:ilvl="2" w:tplc="0D2ED998">
      <w:numFmt w:val="bullet"/>
      <w:lvlText w:val="•"/>
      <w:lvlJc w:val="left"/>
      <w:pPr>
        <w:ind w:left="1661" w:hanging="303"/>
      </w:pPr>
      <w:rPr>
        <w:rFonts w:hint="default"/>
      </w:rPr>
    </w:lvl>
    <w:lvl w:ilvl="3" w:tplc="24566948">
      <w:numFmt w:val="bullet"/>
      <w:lvlText w:val="•"/>
      <w:lvlJc w:val="left"/>
      <w:pPr>
        <w:ind w:left="2363" w:hanging="303"/>
      </w:pPr>
      <w:rPr>
        <w:rFonts w:hint="default"/>
      </w:rPr>
    </w:lvl>
    <w:lvl w:ilvl="4" w:tplc="56683D5E">
      <w:numFmt w:val="bullet"/>
      <w:lvlText w:val="•"/>
      <w:lvlJc w:val="left"/>
      <w:pPr>
        <w:ind w:left="3065" w:hanging="303"/>
      </w:pPr>
      <w:rPr>
        <w:rFonts w:hint="default"/>
      </w:rPr>
    </w:lvl>
    <w:lvl w:ilvl="5" w:tplc="B5ECCF7C">
      <w:numFmt w:val="bullet"/>
      <w:lvlText w:val="•"/>
      <w:lvlJc w:val="left"/>
      <w:pPr>
        <w:ind w:left="3766" w:hanging="303"/>
      </w:pPr>
      <w:rPr>
        <w:rFonts w:hint="default"/>
      </w:rPr>
    </w:lvl>
    <w:lvl w:ilvl="6" w:tplc="6C94FE14">
      <w:numFmt w:val="bullet"/>
      <w:lvlText w:val="•"/>
      <w:lvlJc w:val="left"/>
      <w:pPr>
        <w:ind w:left="4468" w:hanging="303"/>
      </w:pPr>
      <w:rPr>
        <w:rFonts w:hint="default"/>
      </w:rPr>
    </w:lvl>
    <w:lvl w:ilvl="7" w:tplc="FBD6D28A">
      <w:numFmt w:val="bullet"/>
      <w:lvlText w:val="•"/>
      <w:lvlJc w:val="left"/>
      <w:pPr>
        <w:ind w:left="5170" w:hanging="303"/>
      </w:pPr>
      <w:rPr>
        <w:rFonts w:hint="default"/>
      </w:rPr>
    </w:lvl>
    <w:lvl w:ilvl="8" w:tplc="87146EF8">
      <w:numFmt w:val="bullet"/>
      <w:lvlText w:val="•"/>
      <w:lvlJc w:val="left"/>
      <w:pPr>
        <w:ind w:left="5871" w:hanging="303"/>
      </w:pPr>
      <w:rPr>
        <w:rFonts w:hint="default"/>
      </w:rPr>
    </w:lvl>
  </w:abstractNum>
  <w:abstractNum w:abstractNumId="43" w15:restartNumberingAfterBreak="0">
    <w:nsid w:val="270A6E0B"/>
    <w:multiLevelType w:val="hybridMultilevel"/>
    <w:tmpl w:val="B0DED464"/>
    <w:lvl w:ilvl="0" w:tplc="85661754">
      <w:numFmt w:val="bullet"/>
      <w:lvlText w:val="■"/>
      <w:lvlJc w:val="left"/>
      <w:pPr>
        <w:ind w:left="628" w:hanging="374"/>
      </w:pPr>
      <w:rPr>
        <w:rFonts w:ascii="Arial" w:eastAsia="Arial" w:hAnsi="Arial" w:cs="Arial" w:hint="default"/>
        <w:w w:val="98"/>
        <w:sz w:val="49"/>
        <w:szCs w:val="49"/>
      </w:rPr>
    </w:lvl>
    <w:lvl w:ilvl="1" w:tplc="3CCCE638">
      <w:start w:val="1"/>
      <w:numFmt w:val="upperLetter"/>
      <w:lvlText w:val="%2."/>
      <w:lvlJc w:val="left"/>
      <w:pPr>
        <w:ind w:left="956" w:hanging="307"/>
        <w:jc w:val="left"/>
      </w:pPr>
      <w:rPr>
        <w:rFonts w:hint="default"/>
        <w:spacing w:val="-1"/>
        <w:w w:val="103"/>
      </w:rPr>
    </w:lvl>
    <w:lvl w:ilvl="2" w:tplc="72D6E4F8">
      <w:numFmt w:val="bullet"/>
      <w:lvlText w:val="•"/>
      <w:lvlJc w:val="left"/>
      <w:pPr>
        <w:ind w:left="1661" w:hanging="307"/>
      </w:pPr>
      <w:rPr>
        <w:rFonts w:hint="default"/>
      </w:rPr>
    </w:lvl>
    <w:lvl w:ilvl="3" w:tplc="B39CDDB0">
      <w:numFmt w:val="bullet"/>
      <w:lvlText w:val="•"/>
      <w:lvlJc w:val="left"/>
      <w:pPr>
        <w:ind w:left="2362" w:hanging="307"/>
      </w:pPr>
      <w:rPr>
        <w:rFonts w:hint="default"/>
      </w:rPr>
    </w:lvl>
    <w:lvl w:ilvl="4" w:tplc="5568FFEA">
      <w:numFmt w:val="bullet"/>
      <w:lvlText w:val="•"/>
      <w:lvlJc w:val="left"/>
      <w:pPr>
        <w:ind w:left="3063" w:hanging="307"/>
      </w:pPr>
      <w:rPr>
        <w:rFonts w:hint="default"/>
      </w:rPr>
    </w:lvl>
    <w:lvl w:ilvl="5" w:tplc="4F083FA0">
      <w:numFmt w:val="bullet"/>
      <w:lvlText w:val="•"/>
      <w:lvlJc w:val="left"/>
      <w:pPr>
        <w:ind w:left="3764" w:hanging="307"/>
      </w:pPr>
      <w:rPr>
        <w:rFonts w:hint="default"/>
      </w:rPr>
    </w:lvl>
    <w:lvl w:ilvl="6" w:tplc="62385C94">
      <w:numFmt w:val="bullet"/>
      <w:lvlText w:val="•"/>
      <w:lvlJc w:val="left"/>
      <w:pPr>
        <w:ind w:left="4466" w:hanging="307"/>
      </w:pPr>
      <w:rPr>
        <w:rFonts w:hint="default"/>
      </w:rPr>
    </w:lvl>
    <w:lvl w:ilvl="7" w:tplc="3350154A">
      <w:numFmt w:val="bullet"/>
      <w:lvlText w:val="•"/>
      <w:lvlJc w:val="left"/>
      <w:pPr>
        <w:ind w:left="5167" w:hanging="307"/>
      </w:pPr>
      <w:rPr>
        <w:rFonts w:hint="default"/>
      </w:rPr>
    </w:lvl>
    <w:lvl w:ilvl="8" w:tplc="00AC0AA2">
      <w:numFmt w:val="bullet"/>
      <w:lvlText w:val="•"/>
      <w:lvlJc w:val="left"/>
      <w:pPr>
        <w:ind w:left="5868" w:hanging="307"/>
      </w:pPr>
      <w:rPr>
        <w:rFonts w:hint="default"/>
      </w:rPr>
    </w:lvl>
  </w:abstractNum>
  <w:abstractNum w:abstractNumId="44" w15:restartNumberingAfterBreak="0">
    <w:nsid w:val="284644AC"/>
    <w:multiLevelType w:val="hybridMultilevel"/>
    <w:tmpl w:val="6D3CF562"/>
    <w:lvl w:ilvl="0" w:tplc="6330BAF4">
      <w:numFmt w:val="bullet"/>
      <w:lvlText w:val="■"/>
      <w:lvlJc w:val="left"/>
      <w:pPr>
        <w:ind w:left="627" w:hanging="380"/>
      </w:pPr>
      <w:rPr>
        <w:rFonts w:ascii="Arial" w:eastAsia="Arial" w:hAnsi="Arial" w:cs="Arial" w:hint="default"/>
        <w:w w:val="100"/>
        <w:sz w:val="49"/>
        <w:szCs w:val="49"/>
      </w:rPr>
    </w:lvl>
    <w:lvl w:ilvl="1" w:tplc="D75431C6">
      <w:start w:val="1"/>
      <w:numFmt w:val="upperLetter"/>
      <w:lvlText w:val="%2."/>
      <w:lvlJc w:val="left"/>
      <w:pPr>
        <w:ind w:left="944" w:hanging="307"/>
        <w:jc w:val="left"/>
      </w:pPr>
      <w:rPr>
        <w:rFonts w:hint="default"/>
        <w:spacing w:val="-1"/>
        <w:w w:val="92"/>
      </w:rPr>
    </w:lvl>
    <w:lvl w:ilvl="2" w:tplc="C38C8E84">
      <w:numFmt w:val="bullet"/>
      <w:lvlText w:val="•"/>
      <w:lvlJc w:val="left"/>
      <w:pPr>
        <w:ind w:left="1642" w:hanging="307"/>
      </w:pPr>
      <w:rPr>
        <w:rFonts w:hint="default"/>
      </w:rPr>
    </w:lvl>
    <w:lvl w:ilvl="3" w:tplc="FD52CCCE">
      <w:numFmt w:val="bullet"/>
      <w:lvlText w:val="•"/>
      <w:lvlJc w:val="left"/>
      <w:pPr>
        <w:ind w:left="2345" w:hanging="307"/>
      </w:pPr>
      <w:rPr>
        <w:rFonts w:hint="default"/>
      </w:rPr>
    </w:lvl>
    <w:lvl w:ilvl="4" w:tplc="94FE6900">
      <w:numFmt w:val="bullet"/>
      <w:lvlText w:val="•"/>
      <w:lvlJc w:val="left"/>
      <w:pPr>
        <w:ind w:left="3048" w:hanging="307"/>
      </w:pPr>
      <w:rPr>
        <w:rFonts w:hint="default"/>
      </w:rPr>
    </w:lvl>
    <w:lvl w:ilvl="5" w:tplc="B440A2AA">
      <w:numFmt w:val="bullet"/>
      <w:lvlText w:val="•"/>
      <w:lvlJc w:val="left"/>
      <w:pPr>
        <w:ind w:left="3750" w:hanging="307"/>
      </w:pPr>
      <w:rPr>
        <w:rFonts w:hint="default"/>
      </w:rPr>
    </w:lvl>
    <w:lvl w:ilvl="6" w:tplc="D522F8FA">
      <w:numFmt w:val="bullet"/>
      <w:lvlText w:val="•"/>
      <w:lvlJc w:val="left"/>
      <w:pPr>
        <w:ind w:left="4453" w:hanging="307"/>
      </w:pPr>
      <w:rPr>
        <w:rFonts w:hint="default"/>
      </w:rPr>
    </w:lvl>
    <w:lvl w:ilvl="7" w:tplc="112E55A8">
      <w:numFmt w:val="bullet"/>
      <w:lvlText w:val="•"/>
      <w:lvlJc w:val="left"/>
      <w:pPr>
        <w:ind w:left="5156" w:hanging="307"/>
      </w:pPr>
      <w:rPr>
        <w:rFonts w:hint="default"/>
      </w:rPr>
    </w:lvl>
    <w:lvl w:ilvl="8" w:tplc="7308971E">
      <w:numFmt w:val="bullet"/>
      <w:lvlText w:val="•"/>
      <w:lvlJc w:val="left"/>
      <w:pPr>
        <w:ind w:left="5858" w:hanging="307"/>
      </w:pPr>
      <w:rPr>
        <w:rFonts w:hint="default"/>
      </w:rPr>
    </w:lvl>
  </w:abstractNum>
  <w:abstractNum w:abstractNumId="45" w15:restartNumberingAfterBreak="0">
    <w:nsid w:val="29834E16"/>
    <w:multiLevelType w:val="multilevel"/>
    <w:tmpl w:val="192AC44E"/>
    <w:lvl w:ilvl="0">
      <w:start w:val="290"/>
      <w:numFmt w:val="decimal"/>
      <w:lvlText w:val="%1"/>
      <w:lvlJc w:val="left"/>
      <w:pPr>
        <w:ind w:left="1558" w:hanging="754"/>
        <w:jc w:val="left"/>
      </w:pPr>
      <w:rPr>
        <w:rFonts w:hint="default"/>
      </w:rPr>
    </w:lvl>
    <w:lvl w:ilvl="1">
      <w:start w:val="20"/>
      <w:numFmt w:val="decimal"/>
      <w:lvlText w:val="%1.%2"/>
      <w:lvlJc w:val="left"/>
      <w:pPr>
        <w:ind w:left="1558" w:hanging="754"/>
        <w:jc w:val="left"/>
      </w:pPr>
      <w:rPr>
        <w:rFonts w:ascii="Times New Roman" w:eastAsia="Times New Roman" w:hAnsi="Times New Roman" w:cs="Times New Roman" w:hint="default"/>
        <w:b/>
        <w:bCs/>
        <w:w w:val="112"/>
        <w:sz w:val="20"/>
        <w:szCs w:val="20"/>
      </w:rPr>
    </w:lvl>
    <w:lvl w:ilvl="2">
      <w:numFmt w:val="bullet"/>
      <w:lvlText w:val="•"/>
      <w:lvlJc w:val="left"/>
      <w:pPr>
        <w:ind w:left="2701" w:hanging="754"/>
      </w:pPr>
      <w:rPr>
        <w:rFonts w:hint="default"/>
      </w:rPr>
    </w:lvl>
    <w:lvl w:ilvl="3">
      <w:numFmt w:val="bullet"/>
      <w:lvlText w:val="•"/>
      <w:lvlJc w:val="left"/>
      <w:pPr>
        <w:ind w:left="3272" w:hanging="754"/>
      </w:pPr>
      <w:rPr>
        <w:rFonts w:hint="default"/>
      </w:rPr>
    </w:lvl>
    <w:lvl w:ilvl="4">
      <w:numFmt w:val="bullet"/>
      <w:lvlText w:val="•"/>
      <w:lvlJc w:val="left"/>
      <w:pPr>
        <w:ind w:left="3843" w:hanging="754"/>
      </w:pPr>
      <w:rPr>
        <w:rFonts w:hint="default"/>
      </w:rPr>
    </w:lvl>
    <w:lvl w:ilvl="5">
      <w:numFmt w:val="bullet"/>
      <w:lvlText w:val="•"/>
      <w:lvlJc w:val="left"/>
      <w:pPr>
        <w:ind w:left="4414" w:hanging="754"/>
      </w:pPr>
      <w:rPr>
        <w:rFonts w:hint="default"/>
      </w:rPr>
    </w:lvl>
    <w:lvl w:ilvl="6">
      <w:numFmt w:val="bullet"/>
      <w:lvlText w:val="•"/>
      <w:lvlJc w:val="left"/>
      <w:pPr>
        <w:ind w:left="4984" w:hanging="754"/>
      </w:pPr>
      <w:rPr>
        <w:rFonts w:hint="default"/>
      </w:rPr>
    </w:lvl>
    <w:lvl w:ilvl="7">
      <w:numFmt w:val="bullet"/>
      <w:lvlText w:val="•"/>
      <w:lvlJc w:val="left"/>
      <w:pPr>
        <w:ind w:left="5555" w:hanging="754"/>
      </w:pPr>
      <w:rPr>
        <w:rFonts w:hint="default"/>
      </w:rPr>
    </w:lvl>
    <w:lvl w:ilvl="8">
      <w:numFmt w:val="bullet"/>
      <w:lvlText w:val="•"/>
      <w:lvlJc w:val="left"/>
      <w:pPr>
        <w:ind w:left="6126" w:hanging="754"/>
      </w:pPr>
      <w:rPr>
        <w:rFonts w:hint="default"/>
      </w:rPr>
    </w:lvl>
  </w:abstractNum>
  <w:abstractNum w:abstractNumId="46" w15:restartNumberingAfterBreak="0">
    <w:nsid w:val="2AF236ED"/>
    <w:multiLevelType w:val="hybridMultilevel"/>
    <w:tmpl w:val="DCD0DBA8"/>
    <w:lvl w:ilvl="0" w:tplc="5176B226">
      <w:numFmt w:val="bullet"/>
      <w:lvlText w:val="■"/>
      <w:lvlJc w:val="left"/>
      <w:pPr>
        <w:ind w:left="3578" w:hanging="451"/>
      </w:pPr>
      <w:rPr>
        <w:rFonts w:ascii="Arial" w:eastAsia="Arial" w:hAnsi="Arial" w:cs="Arial" w:hint="default"/>
        <w:w w:val="98"/>
        <w:sz w:val="27"/>
        <w:szCs w:val="27"/>
      </w:rPr>
    </w:lvl>
    <w:lvl w:ilvl="1" w:tplc="E6A4DC42">
      <w:numFmt w:val="bullet"/>
      <w:lvlText w:val="•"/>
      <w:lvlJc w:val="left"/>
      <w:pPr>
        <w:ind w:left="3995" w:hanging="451"/>
      </w:pPr>
      <w:rPr>
        <w:rFonts w:hint="default"/>
      </w:rPr>
    </w:lvl>
    <w:lvl w:ilvl="2" w:tplc="94C82D40">
      <w:numFmt w:val="bullet"/>
      <w:lvlText w:val="•"/>
      <w:lvlJc w:val="left"/>
      <w:pPr>
        <w:ind w:left="4411" w:hanging="451"/>
      </w:pPr>
      <w:rPr>
        <w:rFonts w:hint="default"/>
      </w:rPr>
    </w:lvl>
    <w:lvl w:ilvl="3" w:tplc="3AD216BA">
      <w:numFmt w:val="bullet"/>
      <w:lvlText w:val="•"/>
      <w:lvlJc w:val="left"/>
      <w:pPr>
        <w:ind w:left="4827" w:hanging="451"/>
      </w:pPr>
      <w:rPr>
        <w:rFonts w:hint="default"/>
      </w:rPr>
    </w:lvl>
    <w:lvl w:ilvl="4" w:tplc="4872A952">
      <w:numFmt w:val="bullet"/>
      <w:lvlText w:val="•"/>
      <w:lvlJc w:val="left"/>
      <w:pPr>
        <w:ind w:left="5242" w:hanging="451"/>
      </w:pPr>
      <w:rPr>
        <w:rFonts w:hint="default"/>
      </w:rPr>
    </w:lvl>
    <w:lvl w:ilvl="5" w:tplc="3F587ACE">
      <w:numFmt w:val="bullet"/>
      <w:lvlText w:val="•"/>
      <w:lvlJc w:val="left"/>
      <w:pPr>
        <w:ind w:left="5658" w:hanging="451"/>
      </w:pPr>
      <w:rPr>
        <w:rFonts w:hint="default"/>
      </w:rPr>
    </w:lvl>
    <w:lvl w:ilvl="6" w:tplc="90C41DBE">
      <w:numFmt w:val="bullet"/>
      <w:lvlText w:val="•"/>
      <w:lvlJc w:val="left"/>
      <w:pPr>
        <w:ind w:left="6074" w:hanging="451"/>
      </w:pPr>
      <w:rPr>
        <w:rFonts w:hint="default"/>
      </w:rPr>
    </w:lvl>
    <w:lvl w:ilvl="7" w:tplc="70D65780">
      <w:numFmt w:val="bullet"/>
      <w:lvlText w:val="•"/>
      <w:lvlJc w:val="left"/>
      <w:pPr>
        <w:ind w:left="6489" w:hanging="451"/>
      </w:pPr>
      <w:rPr>
        <w:rFonts w:hint="default"/>
      </w:rPr>
    </w:lvl>
    <w:lvl w:ilvl="8" w:tplc="2C8EB45E">
      <w:numFmt w:val="bullet"/>
      <w:lvlText w:val="•"/>
      <w:lvlJc w:val="left"/>
      <w:pPr>
        <w:ind w:left="6905" w:hanging="451"/>
      </w:pPr>
      <w:rPr>
        <w:rFonts w:hint="default"/>
      </w:rPr>
    </w:lvl>
  </w:abstractNum>
  <w:abstractNum w:abstractNumId="47" w15:restartNumberingAfterBreak="0">
    <w:nsid w:val="2BC56269"/>
    <w:multiLevelType w:val="hybridMultilevel"/>
    <w:tmpl w:val="2AC0713C"/>
    <w:lvl w:ilvl="0" w:tplc="6A326B04">
      <w:numFmt w:val="bullet"/>
      <w:lvlText w:val="■"/>
      <w:lvlJc w:val="left"/>
      <w:pPr>
        <w:ind w:left="642" w:hanging="388"/>
      </w:pPr>
      <w:rPr>
        <w:rFonts w:ascii="Arial" w:eastAsia="Arial" w:hAnsi="Arial" w:cs="Arial" w:hint="default"/>
        <w:w w:val="98"/>
        <w:sz w:val="49"/>
        <w:szCs w:val="49"/>
      </w:rPr>
    </w:lvl>
    <w:lvl w:ilvl="1" w:tplc="ED10478A">
      <w:start w:val="1"/>
      <w:numFmt w:val="upperLetter"/>
      <w:lvlText w:val="%2."/>
      <w:lvlJc w:val="left"/>
      <w:pPr>
        <w:ind w:left="960" w:hanging="311"/>
        <w:jc w:val="left"/>
      </w:pPr>
      <w:rPr>
        <w:rFonts w:hint="default"/>
        <w:spacing w:val="-1"/>
        <w:w w:val="95"/>
      </w:rPr>
    </w:lvl>
    <w:lvl w:ilvl="2" w:tplc="CC12468A">
      <w:start w:val="1"/>
      <w:numFmt w:val="decimal"/>
      <w:lvlText w:val="(%3)"/>
      <w:lvlJc w:val="left"/>
      <w:pPr>
        <w:ind w:left="1377" w:hanging="421"/>
        <w:jc w:val="left"/>
      </w:pPr>
      <w:rPr>
        <w:rFonts w:hint="default"/>
        <w:w w:val="105"/>
      </w:rPr>
    </w:lvl>
    <w:lvl w:ilvl="3" w:tplc="9D8A4EEA">
      <w:numFmt w:val="bullet"/>
      <w:lvlText w:val="•"/>
      <w:lvlJc w:val="left"/>
      <w:pPr>
        <w:ind w:left="2116" w:hanging="421"/>
      </w:pPr>
      <w:rPr>
        <w:rFonts w:hint="default"/>
      </w:rPr>
    </w:lvl>
    <w:lvl w:ilvl="4" w:tplc="DA3818AE">
      <w:numFmt w:val="bullet"/>
      <w:lvlText w:val="•"/>
      <w:lvlJc w:val="left"/>
      <w:pPr>
        <w:ind w:left="2852" w:hanging="421"/>
      </w:pPr>
      <w:rPr>
        <w:rFonts w:hint="default"/>
      </w:rPr>
    </w:lvl>
    <w:lvl w:ilvl="5" w:tplc="0DC81D20">
      <w:numFmt w:val="bullet"/>
      <w:lvlText w:val="•"/>
      <w:lvlJc w:val="left"/>
      <w:pPr>
        <w:ind w:left="3588" w:hanging="421"/>
      </w:pPr>
      <w:rPr>
        <w:rFonts w:hint="default"/>
      </w:rPr>
    </w:lvl>
    <w:lvl w:ilvl="6" w:tplc="9BE4029A">
      <w:numFmt w:val="bullet"/>
      <w:lvlText w:val="•"/>
      <w:lvlJc w:val="left"/>
      <w:pPr>
        <w:ind w:left="4324" w:hanging="421"/>
      </w:pPr>
      <w:rPr>
        <w:rFonts w:hint="default"/>
      </w:rPr>
    </w:lvl>
    <w:lvl w:ilvl="7" w:tplc="50184224">
      <w:numFmt w:val="bullet"/>
      <w:lvlText w:val="•"/>
      <w:lvlJc w:val="left"/>
      <w:pPr>
        <w:ind w:left="5060" w:hanging="421"/>
      </w:pPr>
      <w:rPr>
        <w:rFonts w:hint="default"/>
      </w:rPr>
    </w:lvl>
    <w:lvl w:ilvl="8" w:tplc="BE9E24BC">
      <w:numFmt w:val="bullet"/>
      <w:lvlText w:val="•"/>
      <w:lvlJc w:val="left"/>
      <w:pPr>
        <w:ind w:left="5796" w:hanging="421"/>
      </w:pPr>
      <w:rPr>
        <w:rFonts w:hint="default"/>
      </w:rPr>
    </w:lvl>
  </w:abstractNum>
  <w:abstractNum w:abstractNumId="48" w15:restartNumberingAfterBreak="0">
    <w:nsid w:val="2C211EA7"/>
    <w:multiLevelType w:val="hybridMultilevel"/>
    <w:tmpl w:val="58703348"/>
    <w:lvl w:ilvl="0" w:tplc="CE5ADF9E">
      <w:numFmt w:val="bullet"/>
      <w:lvlText w:val="■"/>
      <w:lvlJc w:val="left"/>
      <w:pPr>
        <w:ind w:left="628" w:hanging="380"/>
      </w:pPr>
      <w:rPr>
        <w:rFonts w:ascii="Arial" w:eastAsia="Arial" w:hAnsi="Arial" w:cs="Arial" w:hint="default"/>
        <w:w w:val="98"/>
        <w:sz w:val="50"/>
        <w:szCs w:val="50"/>
      </w:rPr>
    </w:lvl>
    <w:lvl w:ilvl="1" w:tplc="44A85158">
      <w:start w:val="1"/>
      <w:numFmt w:val="upperLetter"/>
      <w:lvlText w:val="%2."/>
      <w:lvlJc w:val="left"/>
      <w:pPr>
        <w:ind w:left="961" w:hanging="312"/>
        <w:jc w:val="left"/>
      </w:pPr>
      <w:rPr>
        <w:rFonts w:hint="default"/>
        <w:spacing w:val="-1"/>
        <w:w w:val="92"/>
      </w:rPr>
    </w:lvl>
    <w:lvl w:ilvl="2" w:tplc="F81A9E14">
      <w:numFmt w:val="bullet"/>
      <w:lvlText w:val="•"/>
      <w:lvlJc w:val="left"/>
      <w:pPr>
        <w:ind w:left="1661" w:hanging="312"/>
      </w:pPr>
      <w:rPr>
        <w:rFonts w:hint="default"/>
      </w:rPr>
    </w:lvl>
    <w:lvl w:ilvl="3" w:tplc="CB32EF28">
      <w:numFmt w:val="bullet"/>
      <w:lvlText w:val="•"/>
      <w:lvlJc w:val="left"/>
      <w:pPr>
        <w:ind w:left="2362" w:hanging="312"/>
      </w:pPr>
      <w:rPr>
        <w:rFonts w:hint="default"/>
      </w:rPr>
    </w:lvl>
    <w:lvl w:ilvl="4" w:tplc="7D326AB4">
      <w:numFmt w:val="bullet"/>
      <w:lvlText w:val="•"/>
      <w:lvlJc w:val="left"/>
      <w:pPr>
        <w:ind w:left="3063" w:hanging="312"/>
      </w:pPr>
      <w:rPr>
        <w:rFonts w:hint="default"/>
      </w:rPr>
    </w:lvl>
    <w:lvl w:ilvl="5" w:tplc="05640FB2">
      <w:numFmt w:val="bullet"/>
      <w:lvlText w:val="•"/>
      <w:lvlJc w:val="left"/>
      <w:pPr>
        <w:ind w:left="3764" w:hanging="312"/>
      </w:pPr>
      <w:rPr>
        <w:rFonts w:hint="default"/>
      </w:rPr>
    </w:lvl>
    <w:lvl w:ilvl="6" w:tplc="A2565932">
      <w:numFmt w:val="bullet"/>
      <w:lvlText w:val="•"/>
      <w:lvlJc w:val="left"/>
      <w:pPr>
        <w:ind w:left="4466" w:hanging="312"/>
      </w:pPr>
      <w:rPr>
        <w:rFonts w:hint="default"/>
      </w:rPr>
    </w:lvl>
    <w:lvl w:ilvl="7" w:tplc="47200158">
      <w:numFmt w:val="bullet"/>
      <w:lvlText w:val="•"/>
      <w:lvlJc w:val="left"/>
      <w:pPr>
        <w:ind w:left="5167" w:hanging="312"/>
      </w:pPr>
      <w:rPr>
        <w:rFonts w:hint="default"/>
      </w:rPr>
    </w:lvl>
    <w:lvl w:ilvl="8" w:tplc="D61C97E4">
      <w:numFmt w:val="bullet"/>
      <w:lvlText w:val="•"/>
      <w:lvlJc w:val="left"/>
      <w:pPr>
        <w:ind w:left="5868" w:hanging="312"/>
      </w:pPr>
      <w:rPr>
        <w:rFonts w:hint="default"/>
      </w:rPr>
    </w:lvl>
  </w:abstractNum>
  <w:abstractNum w:abstractNumId="49" w15:restartNumberingAfterBreak="0">
    <w:nsid w:val="2D9B4711"/>
    <w:multiLevelType w:val="hybridMultilevel"/>
    <w:tmpl w:val="2FCACCA2"/>
    <w:lvl w:ilvl="0" w:tplc="15F2253E">
      <w:numFmt w:val="bullet"/>
      <w:lvlText w:val="□"/>
      <w:lvlJc w:val="left"/>
      <w:pPr>
        <w:ind w:left="586" w:hanging="328"/>
      </w:pPr>
      <w:rPr>
        <w:rFonts w:ascii="Arial" w:eastAsia="Arial" w:hAnsi="Arial" w:cs="Arial" w:hint="default"/>
        <w:w w:val="99"/>
        <w:sz w:val="36"/>
        <w:szCs w:val="36"/>
      </w:rPr>
    </w:lvl>
    <w:lvl w:ilvl="1" w:tplc="3940D2CC">
      <w:start w:val="2"/>
      <w:numFmt w:val="upperLetter"/>
      <w:lvlText w:val="%2."/>
      <w:lvlJc w:val="left"/>
      <w:pPr>
        <w:ind w:left="951" w:hanging="296"/>
        <w:jc w:val="left"/>
      </w:pPr>
      <w:rPr>
        <w:rFonts w:hint="default"/>
        <w:spacing w:val="-1"/>
        <w:w w:val="97"/>
      </w:rPr>
    </w:lvl>
    <w:lvl w:ilvl="2" w:tplc="7BEECBD8">
      <w:numFmt w:val="bullet"/>
      <w:lvlText w:val="•"/>
      <w:lvlJc w:val="left"/>
      <w:pPr>
        <w:ind w:left="1660" w:hanging="296"/>
      </w:pPr>
      <w:rPr>
        <w:rFonts w:hint="default"/>
      </w:rPr>
    </w:lvl>
    <w:lvl w:ilvl="3" w:tplc="BA3897C0">
      <w:numFmt w:val="bullet"/>
      <w:lvlText w:val="•"/>
      <w:lvlJc w:val="left"/>
      <w:pPr>
        <w:ind w:left="2361" w:hanging="296"/>
      </w:pPr>
      <w:rPr>
        <w:rFonts w:hint="default"/>
      </w:rPr>
    </w:lvl>
    <w:lvl w:ilvl="4" w:tplc="3E268A2C">
      <w:numFmt w:val="bullet"/>
      <w:lvlText w:val="•"/>
      <w:lvlJc w:val="left"/>
      <w:pPr>
        <w:ind w:left="3062" w:hanging="296"/>
      </w:pPr>
      <w:rPr>
        <w:rFonts w:hint="default"/>
      </w:rPr>
    </w:lvl>
    <w:lvl w:ilvl="5" w:tplc="1F6A707C">
      <w:numFmt w:val="bullet"/>
      <w:lvlText w:val="•"/>
      <w:lvlJc w:val="left"/>
      <w:pPr>
        <w:ind w:left="3763" w:hanging="296"/>
      </w:pPr>
      <w:rPr>
        <w:rFonts w:hint="default"/>
      </w:rPr>
    </w:lvl>
    <w:lvl w:ilvl="6" w:tplc="A6627930">
      <w:numFmt w:val="bullet"/>
      <w:lvlText w:val="•"/>
      <w:lvlJc w:val="left"/>
      <w:pPr>
        <w:ind w:left="4463" w:hanging="296"/>
      </w:pPr>
      <w:rPr>
        <w:rFonts w:hint="default"/>
      </w:rPr>
    </w:lvl>
    <w:lvl w:ilvl="7" w:tplc="8DC2EB4E">
      <w:numFmt w:val="bullet"/>
      <w:lvlText w:val="•"/>
      <w:lvlJc w:val="left"/>
      <w:pPr>
        <w:ind w:left="5164" w:hanging="296"/>
      </w:pPr>
      <w:rPr>
        <w:rFonts w:hint="default"/>
      </w:rPr>
    </w:lvl>
    <w:lvl w:ilvl="8" w:tplc="B5BEAECA">
      <w:numFmt w:val="bullet"/>
      <w:lvlText w:val="•"/>
      <w:lvlJc w:val="left"/>
      <w:pPr>
        <w:ind w:left="5865" w:hanging="296"/>
      </w:pPr>
      <w:rPr>
        <w:rFonts w:hint="default"/>
      </w:rPr>
    </w:lvl>
  </w:abstractNum>
  <w:abstractNum w:abstractNumId="50" w15:restartNumberingAfterBreak="0">
    <w:nsid w:val="2DC81A27"/>
    <w:multiLevelType w:val="hybridMultilevel"/>
    <w:tmpl w:val="F4DAFC84"/>
    <w:lvl w:ilvl="0" w:tplc="107CD69E">
      <w:numFmt w:val="bullet"/>
      <w:lvlText w:val="□"/>
      <w:lvlJc w:val="left"/>
      <w:pPr>
        <w:ind w:left="584" w:hanging="334"/>
      </w:pPr>
      <w:rPr>
        <w:rFonts w:ascii="Arial" w:eastAsia="Arial" w:hAnsi="Arial" w:cs="Arial" w:hint="default"/>
        <w:w w:val="97"/>
        <w:sz w:val="38"/>
        <w:szCs w:val="38"/>
      </w:rPr>
    </w:lvl>
    <w:lvl w:ilvl="1" w:tplc="F3E2A6A0">
      <w:numFmt w:val="bullet"/>
      <w:lvlText w:val="•"/>
      <w:lvlJc w:val="left"/>
      <w:pPr>
        <w:ind w:left="940" w:hanging="334"/>
      </w:pPr>
      <w:rPr>
        <w:rFonts w:hint="default"/>
      </w:rPr>
    </w:lvl>
    <w:lvl w:ilvl="2" w:tplc="EB3E4B2C">
      <w:numFmt w:val="bullet"/>
      <w:lvlText w:val="•"/>
      <w:lvlJc w:val="left"/>
      <w:pPr>
        <w:ind w:left="1642" w:hanging="334"/>
      </w:pPr>
      <w:rPr>
        <w:rFonts w:hint="default"/>
      </w:rPr>
    </w:lvl>
    <w:lvl w:ilvl="3" w:tplc="65AE2F8C">
      <w:numFmt w:val="bullet"/>
      <w:lvlText w:val="•"/>
      <w:lvlJc w:val="left"/>
      <w:pPr>
        <w:ind w:left="2344" w:hanging="334"/>
      </w:pPr>
      <w:rPr>
        <w:rFonts w:hint="default"/>
      </w:rPr>
    </w:lvl>
    <w:lvl w:ilvl="4" w:tplc="742A030E">
      <w:numFmt w:val="bullet"/>
      <w:lvlText w:val="•"/>
      <w:lvlJc w:val="left"/>
      <w:pPr>
        <w:ind w:left="3047" w:hanging="334"/>
      </w:pPr>
      <w:rPr>
        <w:rFonts w:hint="default"/>
      </w:rPr>
    </w:lvl>
    <w:lvl w:ilvl="5" w:tplc="A8766A68">
      <w:numFmt w:val="bullet"/>
      <w:lvlText w:val="•"/>
      <w:lvlJc w:val="left"/>
      <w:pPr>
        <w:ind w:left="3749" w:hanging="334"/>
      </w:pPr>
      <w:rPr>
        <w:rFonts w:hint="default"/>
      </w:rPr>
    </w:lvl>
    <w:lvl w:ilvl="6" w:tplc="817E44B8">
      <w:numFmt w:val="bullet"/>
      <w:lvlText w:val="•"/>
      <w:lvlJc w:val="left"/>
      <w:pPr>
        <w:ind w:left="4452" w:hanging="334"/>
      </w:pPr>
      <w:rPr>
        <w:rFonts w:hint="default"/>
      </w:rPr>
    </w:lvl>
    <w:lvl w:ilvl="7" w:tplc="CAEEB0C0">
      <w:numFmt w:val="bullet"/>
      <w:lvlText w:val="•"/>
      <w:lvlJc w:val="left"/>
      <w:pPr>
        <w:ind w:left="5154" w:hanging="334"/>
      </w:pPr>
      <w:rPr>
        <w:rFonts w:hint="default"/>
      </w:rPr>
    </w:lvl>
    <w:lvl w:ilvl="8" w:tplc="4210F4B0">
      <w:numFmt w:val="bullet"/>
      <w:lvlText w:val="•"/>
      <w:lvlJc w:val="left"/>
      <w:pPr>
        <w:ind w:left="5857" w:hanging="334"/>
      </w:pPr>
      <w:rPr>
        <w:rFonts w:hint="default"/>
      </w:rPr>
    </w:lvl>
  </w:abstractNum>
  <w:abstractNum w:abstractNumId="51" w15:restartNumberingAfterBreak="0">
    <w:nsid w:val="2E2212C6"/>
    <w:multiLevelType w:val="multilevel"/>
    <w:tmpl w:val="862815C6"/>
    <w:lvl w:ilvl="0">
      <w:start w:val="300"/>
      <w:numFmt w:val="decimal"/>
      <w:lvlText w:val="%1"/>
      <w:lvlJc w:val="left"/>
      <w:pPr>
        <w:ind w:left="845" w:hanging="727"/>
        <w:jc w:val="left"/>
      </w:pPr>
      <w:rPr>
        <w:rFonts w:hint="default"/>
      </w:rPr>
    </w:lvl>
    <w:lvl w:ilvl="1">
      <w:start w:val="21"/>
      <w:numFmt w:val="decimal"/>
      <w:lvlText w:val="%1.%2"/>
      <w:lvlJc w:val="left"/>
      <w:pPr>
        <w:ind w:left="845" w:hanging="727"/>
        <w:jc w:val="left"/>
      </w:pPr>
      <w:rPr>
        <w:rFonts w:ascii="Times New Roman" w:eastAsia="Times New Roman" w:hAnsi="Times New Roman" w:cs="Times New Roman" w:hint="default"/>
        <w:w w:val="107"/>
        <w:sz w:val="19"/>
        <w:szCs w:val="19"/>
      </w:rPr>
    </w:lvl>
    <w:lvl w:ilvl="2">
      <w:numFmt w:val="bullet"/>
      <w:lvlText w:val="•"/>
      <w:lvlJc w:val="left"/>
      <w:pPr>
        <w:ind w:left="1461" w:hanging="727"/>
      </w:pPr>
      <w:rPr>
        <w:rFonts w:hint="default"/>
      </w:rPr>
    </w:lvl>
    <w:lvl w:ilvl="3">
      <w:numFmt w:val="bullet"/>
      <w:lvlText w:val="•"/>
      <w:lvlJc w:val="left"/>
      <w:pPr>
        <w:ind w:left="1771" w:hanging="727"/>
      </w:pPr>
      <w:rPr>
        <w:rFonts w:hint="default"/>
      </w:rPr>
    </w:lvl>
    <w:lvl w:ilvl="4">
      <w:numFmt w:val="bullet"/>
      <w:lvlText w:val="•"/>
      <w:lvlJc w:val="left"/>
      <w:pPr>
        <w:ind w:left="2082" w:hanging="727"/>
      </w:pPr>
      <w:rPr>
        <w:rFonts w:hint="default"/>
      </w:rPr>
    </w:lvl>
    <w:lvl w:ilvl="5">
      <w:numFmt w:val="bullet"/>
      <w:lvlText w:val="•"/>
      <w:lvlJc w:val="left"/>
      <w:pPr>
        <w:ind w:left="2392" w:hanging="727"/>
      </w:pPr>
      <w:rPr>
        <w:rFonts w:hint="default"/>
      </w:rPr>
    </w:lvl>
    <w:lvl w:ilvl="6">
      <w:numFmt w:val="bullet"/>
      <w:lvlText w:val="•"/>
      <w:lvlJc w:val="left"/>
      <w:pPr>
        <w:ind w:left="2703" w:hanging="727"/>
      </w:pPr>
      <w:rPr>
        <w:rFonts w:hint="default"/>
      </w:rPr>
    </w:lvl>
    <w:lvl w:ilvl="7">
      <w:numFmt w:val="bullet"/>
      <w:lvlText w:val="•"/>
      <w:lvlJc w:val="left"/>
      <w:pPr>
        <w:ind w:left="3014" w:hanging="727"/>
      </w:pPr>
      <w:rPr>
        <w:rFonts w:hint="default"/>
      </w:rPr>
    </w:lvl>
    <w:lvl w:ilvl="8">
      <w:numFmt w:val="bullet"/>
      <w:lvlText w:val="•"/>
      <w:lvlJc w:val="left"/>
      <w:pPr>
        <w:ind w:left="3324" w:hanging="727"/>
      </w:pPr>
      <w:rPr>
        <w:rFonts w:hint="default"/>
      </w:rPr>
    </w:lvl>
  </w:abstractNum>
  <w:abstractNum w:abstractNumId="52" w15:restartNumberingAfterBreak="0">
    <w:nsid w:val="30311685"/>
    <w:multiLevelType w:val="hybridMultilevel"/>
    <w:tmpl w:val="2F66DFDC"/>
    <w:lvl w:ilvl="0" w:tplc="A27020AE">
      <w:numFmt w:val="bullet"/>
      <w:lvlText w:val="□"/>
      <w:lvlJc w:val="left"/>
      <w:pPr>
        <w:ind w:left="591" w:hanging="328"/>
      </w:pPr>
      <w:rPr>
        <w:rFonts w:ascii="Arial" w:eastAsia="Arial" w:hAnsi="Arial" w:cs="Arial" w:hint="default"/>
        <w:w w:val="99"/>
        <w:sz w:val="36"/>
        <w:szCs w:val="36"/>
      </w:rPr>
    </w:lvl>
    <w:lvl w:ilvl="1" w:tplc="0D84D8C4">
      <w:numFmt w:val="bullet"/>
      <w:lvlText w:val="•"/>
      <w:lvlJc w:val="left"/>
      <w:pPr>
        <w:ind w:left="960" w:hanging="328"/>
      </w:pPr>
      <w:rPr>
        <w:rFonts w:hint="default"/>
      </w:rPr>
    </w:lvl>
    <w:lvl w:ilvl="2" w:tplc="7DDAB68E">
      <w:numFmt w:val="bullet"/>
      <w:lvlText w:val="•"/>
      <w:lvlJc w:val="left"/>
      <w:pPr>
        <w:ind w:left="1662" w:hanging="328"/>
      </w:pPr>
      <w:rPr>
        <w:rFonts w:hint="default"/>
      </w:rPr>
    </w:lvl>
    <w:lvl w:ilvl="3" w:tplc="F13046CE">
      <w:numFmt w:val="bullet"/>
      <w:lvlText w:val="•"/>
      <w:lvlJc w:val="left"/>
      <w:pPr>
        <w:ind w:left="2365" w:hanging="328"/>
      </w:pPr>
      <w:rPr>
        <w:rFonts w:hint="default"/>
      </w:rPr>
    </w:lvl>
    <w:lvl w:ilvl="4" w:tplc="B08A2920">
      <w:numFmt w:val="bullet"/>
      <w:lvlText w:val="•"/>
      <w:lvlJc w:val="left"/>
      <w:pPr>
        <w:ind w:left="3068" w:hanging="328"/>
      </w:pPr>
      <w:rPr>
        <w:rFonts w:hint="default"/>
      </w:rPr>
    </w:lvl>
    <w:lvl w:ilvl="5" w:tplc="2584B4E2">
      <w:numFmt w:val="bullet"/>
      <w:lvlText w:val="•"/>
      <w:lvlJc w:val="left"/>
      <w:pPr>
        <w:ind w:left="3771" w:hanging="328"/>
      </w:pPr>
      <w:rPr>
        <w:rFonts w:hint="default"/>
      </w:rPr>
    </w:lvl>
    <w:lvl w:ilvl="6" w:tplc="AF40D782">
      <w:numFmt w:val="bullet"/>
      <w:lvlText w:val="•"/>
      <w:lvlJc w:val="left"/>
      <w:pPr>
        <w:ind w:left="4474" w:hanging="328"/>
      </w:pPr>
      <w:rPr>
        <w:rFonts w:hint="default"/>
      </w:rPr>
    </w:lvl>
    <w:lvl w:ilvl="7" w:tplc="57E66C86">
      <w:numFmt w:val="bullet"/>
      <w:lvlText w:val="•"/>
      <w:lvlJc w:val="left"/>
      <w:pPr>
        <w:ind w:left="5177" w:hanging="328"/>
      </w:pPr>
      <w:rPr>
        <w:rFonts w:hint="default"/>
      </w:rPr>
    </w:lvl>
    <w:lvl w:ilvl="8" w:tplc="CBD094EA">
      <w:numFmt w:val="bullet"/>
      <w:lvlText w:val="•"/>
      <w:lvlJc w:val="left"/>
      <w:pPr>
        <w:ind w:left="5880" w:hanging="328"/>
      </w:pPr>
      <w:rPr>
        <w:rFonts w:hint="default"/>
      </w:rPr>
    </w:lvl>
  </w:abstractNum>
  <w:abstractNum w:abstractNumId="53" w15:restartNumberingAfterBreak="0">
    <w:nsid w:val="30555CAA"/>
    <w:multiLevelType w:val="multilevel"/>
    <w:tmpl w:val="BE764400"/>
    <w:lvl w:ilvl="0">
      <w:start w:val="315"/>
      <w:numFmt w:val="decimal"/>
      <w:lvlText w:val="%1"/>
      <w:lvlJc w:val="left"/>
      <w:pPr>
        <w:ind w:left="897" w:hanging="717"/>
        <w:jc w:val="left"/>
      </w:pPr>
      <w:rPr>
        <w:rFonts w:hint="default"/>
      </w:rPr>
    </w:lvl>
    <w:lvl w:ilvl="1">
      <w:start w:val="1"/>
      <w:numFmt w:val="decimal"/>
      <w:lvlText w:val="%1.%2"/>
      <w:lvlJc w:val="left"/>
      <w:pPr>
        <w:ind w:left="897" w:hanging="717"/>
        <w:jc w:val="left"/>
      </w:pPr>
      <w:rPr>
        <w:rFonts w:ascii="Times New Roman" w:eastAsia="Times New Roman" w:hAnsi="Times New Roman" w:cs="Times New Roman" w:hint="default"/>
        <w:color w:val="161616"/>
        <w:w w:val="100"/>
        <w:sz w:val="20"/>
        <w:szCs w:val="20"/>
      </w:rPr>
    </w:lvl>
    <w:lvl w:ilvl="2">
      <w:numFmt w:val="bullet"/>
      <w:lvlText w:val="•"/>
      <w:lvlJc w:val="left"/>
      <w:pPr>
        <w:ind w:left="1510" w:hanging="717"/>
      </w:pPr>
      <w:rPr>
        <w:rFonts w:hint="default"/>
      </w:rPr>
    </w:lvl>
    <w:lvl w:ilvl="3">
      <w:numFmt w:val="bullet"/>
      <w:lvlText w:val="•"/>
      <w:lvlJc w:val="left"/>
      <w:pPr>
        <w:ind w:left="1815" w:hanging="717"/>
      </w:pPr>
      <w:rPr>
        <w:rFonts w:hint="default"/>
      </w:rPr>
    </w:lvl>
    <w:lvl w:ilvl="4">
      <w:numFmt w:val="bullet"/>
      <w:lvlText w:val="•"/>
      <w:lvlJc w:val="left"/>
      <w:pPr>
        <w:ind w:left="2119" w:hanging="717"/>
      </w:pPr>
      <w:rPr>
        <w:rFonts w:hint="default"/>
      </w:rPr>
    </w:lvl>
    <w:lvl w:ilvl="5">
      <w:numFmt w:val="bullet"/>
      <w:lvlText w:val="•"/>
      <w:lvlJc w:val="left"/>
      <w:pPr>
        <w:ind w:left="2424" w:hanging="717"/>
      </w:pPr>
      <w:rPr>
        <w:rFonts w:hint="default"/>
      </w:rPr>
    </w:lvl>
    <w:lvl w:ilvl="6">
      <w:numFmt w:val="bullet"/>
      <w:lvlText w:val="•"/>
      <w:lvlJc w:val="left"/>
      <w:pPr>
        <w:ind w:left="2729" w:hanging="717"/>
      </w:pPr>
      <w:rPr>
        <w:rFonts w:hint="default"/>
      </w:rPr>
    </w:lvl>
    <w:lvl w:ilvl="7">
      <w:numFmt w:val="bullet"/>
      <w:lvlText w:val="•"/>
      <w:lvlJc w:val="left"/>
      <w:pPr>
        <w:ind w:left="3034" w:hanging="717"/>
      </w:pPr>
      <w:rPr>
        <w:rFonts w:hint="default"/>
      </w:rPr>
    </w:lvl>
    <w:lvl w:ilvl="8">
      <w:numFmt w:val="bullet"/>
      <w:lvlText w:val="•"/>
      <w:lvlJc w:val="left"/>
      <w:pPr>
        <w:ind w:left="3339" w:hanging="717"/>
      </w:pPr>
      <w:rPr>
        <w:rFonts w:hint="default"/>
      </w:rPr>
    </w:lvl>
  </w:abstractNum>
  <w:abstractNum w:abstractNumId="54" w15:restartNumberingAfterBreak="0">
    <w:nsid w:val="308E6D45"/>
    <w:multiLevelType w:val="hybridMultilevel"/>
    <w:tmpl w:val="9F0C04AE"/>
    <w:lvl w:ilvl="0" w:tplc="FB86D68A">
      <w:numFmt w:val="bullet"/>
      <w:lvlText w:val="■"/>
      <w:lvlJc w:val="left"/>
      <w:pPr>
        <w:ind w:left="611" w:hanging="380"/>
      </w:pPr>
      <w:rPr>
        <w:rFonts w:ascii="Arial" w:eastAsia="Arial" w:hAnsi="Arial" w:cs="Arial" w:hint="default"/>
        <w:w w:val="98"/>
        <w:sz w:val="49"/>
        <w:szCs w:val="49"/>
      </w:rPr>
    </w:lvl>
    <w:lvl w:ilvl="1" w:tplc="2C5C169E">
      <w:start w:val="1"/>
      <w:numFmt w:val="upperLetter"/>
      <w:lvlText w:val="%2."/>
      <w:lvlJc w:val="left"/>
      <w:pPr>
        <w:ind w:left="935" w:hanging="304"/>
        <w:jc w:val="left"/>
      </w:pPr>
      <w:rPr>
        <w:rFonts w:hint="default"/>
        <w:spacing w:val="-1"/>
        <w:w w:val="105"/>
      </w:rPr>
    </w:lvl>
    <w:lvl w:ilvl="2" w:tplc="ED7EBE20">
      <w:numFmt w:val="bullet"/>
      <w:lvlText w:val="•"/>
      <w:lvlJc w:val="left"/>
      <w:pPr>
        <w:ind w:left="1643" w:hanging="304"/>
      </w:pPr>
      <w:rPr>
        <w:rFonts w:hint="default"/>
      </w:rPr>
    </w:lvl>
    <w:lvl w:ilvl="3" w:tplc="4D58AFC0">
      <w:numFmt w:val="bullet"/>
      <w:lvlText w:val="•"/>
      <w:lvlJc w:val="left"/>
      <w:pPr>
        <w:ind w:left="2346" w:hanging="304"/>
      </w:pPr>
      <w:rPr>
        <w:rFonts w:hint="default"/>
      </w:rPr>
    </w:lvl>
    <w:lvl w:ilvl="4" w:tplc="D800337C">
      <w:numFmt w:val="bullet"/>
      <w:lvlText w:val="•"/>
      <w:lvlJc w:val="left"/>
      <w:pPr>
        <w:ind w:left="3050" w:hanging="304"/>
      </w:pPr>
      <w:rPr>
        <w:rFonts w:hint="default"/>
      </w:rPr>
    </w:lvl>
    <w:lvl w:ilvl="5" w:tplc="6E64701E">
      <w:numFmt w:val="bullet"/>
      <w:lvlText w:val="•"/>
      <w:lvlJc w:val="left"/>
      <w:pPr>
        <w:ind w:left="3753" w:hanging="304"/>
      </w:pPr>
      <w:rPr>
        <w:rFonts w:hint="default"/>
      </w:rPr>
    </w:lvl>
    <w:lvl w:ilvl="6" w:tplc="8D706572">
      <w:numFmt w:val="bullet"/>
      <w:lvlText w:val="•"/>
      <w:lvlJc w:val="left"/>
      <w:pPr>
        <w:ind w:left="4457" w:hanging="304"/>
      </w:pPr>
      <w:rPr>
        <w:rFonts w:hint="default"/>
      </w:rPr>
    </w:lvl>
    <w:lvl w:ilvl="7" w:tplc="29527916">
      <w:numFmt w:val="bullet"/>
      <w:lvlText w:val="•"/>
      <w:lvlJc w:val="left"/>
      <w:pPr>
        <w:ind w:left="5160" w:hanging="304"/>
      </w:pPr>
      <w:rPr>
        <w:rFonts w:hint="default"/>
      </w:rPr>
    </w:lvl>
    <w:lvl w:ilvl="8" w:tplc="C9961070">
      <w:numFmt w:val="bullet"/>
      <w:lvlText w:val="•"/>
      <w:lvlJc w:val="left"/>
      <w:pPr>
        <w:ind w:left="5864" w:hanging="304"/>
      </w:pPr>
      <w:rPr>
        <w:rFonts w:hint="default"/>
      </w:rPr>
    </w:lvl>
  </w:abstractNum>
  <w:abstractNum w:abstractNumId="55" w15:restartNumberingAfterBreak="0">
    <w:nsid w:val="30A61A5C"/>
    <w:multiLevelType w:val="hybridMultilevel"/>
    <w:tmpl w:val="EDCEA12C"/>
    <w:lvl w:ilvl="0" w:tplc="7F706EDA">
      <w:numFmt w:val="bullet"/>
      <w:lvlText w:val="■"/>
      <w:lvlJc w:val="left"/>
      <w:pPr>
        <w:ind w:left="820" w:hanging="374"/>
      </w:pPr>
      <w:rPr>
        <w:rFonts w:ascii="Arial" w:eastAsia="Arial" w:hAnsi="Arial" w:cs="Arial" w:hint="default"/>
        <w:w w:val="98"/>
        <w:sz w:val="49"/>
        <w:szCs w:val="49"/>
      </w:rPr>
    </w:lvl>
    <w:lvl w:ilvl="1" w:tplc="FC783EDE">
      <w:numFmt w:val="bullet"/>
      <w:lvlText w:val="•"/>
      <w:lvlJc w:val="left"/>
      <w:pPr>
        <w:ind w:left="1509" w:hanging="374"/>
      </w:pPr>
      <w:rPr>
        <w:rFonts w:hint="default"/>
      </w:rPr>
    </w:lvl>
    <w:lvl w:ilvl="2" w:tplc="3440E8CA">
      <w:numFmt w:val="bullet"/>
      <w:lvlText w:val="•"/>
      <w:lvlJc w:val="left"/>
      <w:pPr>
        <w:ind w:left="2199" w:hanging="374"/>
      </w:pPr>
      <w:rPr>
        <w:rFonts w:hint="default"/>
      </w:rPr>
    </w:lvl>
    <w:lvl w:ilvl="3" w:tplc="3E9427B4">
      <w:numFmt w:val="bullet"/>
      <w:lvlText w:val="•"/>
      <w:lvlJc w:val="left"/>
      <w:pPr>
        <w:ind w:left="2889" w:hanging="374"/>
      </w:pPr>
      <w:rPr>
        <w:rFonts w:hint="default"/>
      </w:rPr>
    </w:lvl>
    <w:lvl w:ilvl="4" w:tplc="690ED68E">
      <w:numFmt w:val="bullet"/>
      <w:lvlText w:val="•"/>
      <w:lvlJc w:val="left"/>
      <w:pPr>
        <w:ind w:left="3578" w:hanging="374"/>
      </w:pPr>
      <w:rPr>
        <w:rFonts w:hint="default"/>
      </w:rPr>
    </w:lvl>
    <w:lvl w:ilvl="5" w:tplc="89EA4D04">
      <w:numFmt w:val="bullet"/>
      <w:lvlText w:val="•"/>
      <w:lvlJc w:val="left"/>
      <w:pPr>
        <w:ind w:left="4268" w:hanging="374"/>
      </w:pPr>
      <w:rPr>
        <w:rFonts w:hint="default"/>
      </w:rPr>
    </w:lvl>
    <w:lvl w:ilvl="6" w:tplc="E640EB3E">
      <w:numFmt w:val="bullet"/>
      <w:lvlText w:val="•"/>
      <w:lvlJc w:val="left"/>
      <w:pPr>
        <w:ind w:left="4958" w:hanging="374"/>
      </w:pPr>
      <w:rPr>
        <w:rFonts w:hint="default"/>
      </w:rPr>
    </w:lvl>
    <w:lvl w:ilvl="7" w:tplc="2BC808B2">
      <w:numFmt w:val="bullet"/>
      <w:lvlText w:val="•"/>
      <w:lvlJc w:val="left"/>
      <w:pPr>
        <w:ind w:left="5647" w:hanging="374"/>
      </w:pPr>
      <w:rPr>
        <w:rFonts w:hint="default"/>
      </w:rPr>
    </w:lvl>
    <w:lvl w:ilvl="8" w:tplc="CD720916">
      <w:numFmt w:val="bullet"/>
      <w:lvlText w:val="•"/>
      <w:lvlJc w:val="left"/>
      <w:pPr>
        <w:ind w:left="6337" w:hanging="374"/>
      </w:pPr>
      <w:rPr>
        <w:rFonts w:hint="default"/>
      </w:rPr>
    </w:lvl>
  </w:abstractNum>
  <w:abstractNum w:abstractNumId="56" w15:restartNumberingAfterBreak="0">
    <w:nsid w:val="32594A38"/>
    <w:multiLevelType w:val="hybridMultilevel"/>
    <w:tmpl w:val="FA0E98EA"/>
    <w:lvl w:ilvl="0" w:tplc="DD5CA7A4">
      <w:numFmt w:val="bullet"/>
      <w:lvlText w:val="■"/>
      <w:lvlJc w:val="left"/>
      <w:pPr>
        <w:ind w:left="374" w:hanging="375"/>
      </w:pPr>
      <w:rPr>
        <w:rFonts w:ascii="Arial" w:eastAsia="Arial" w:hAnsi="Arial" w:cs="Arial" w:hint="default"/>
        <w:w w:val="98"/>
        <w:position w:val="-7"/>
        <w:sz w:val="50"/>
        <w:szCs w:val="50"/>
      </w:rPr>
    </w:lvl>
    <w:lvl w:ilvl="1" w:tplc="ECC83AD2">
      <w:numFmt w:val="bullet"/>
      <w:lvlText w:val="•"/>
      <w:lvlJc w:val="left"/>
      <w:pPr>
        <w:ind w:left="976" w:hanging="375"/>
      </w:pPr>
      <w:rPr>
        <w:rFonts w:hint="default"/>
      </w:rPr>
    </w:lvl>
    <w:lvl w:ilvl="2" w:tplc="13B09902">
      <w:numFmt w:val="bullet"/>
      <w:lvlText w:val="•"/>
      <w:lvlJc w:val="left"/>
      <w:pPr>
        <w:ind w:left="1573" w:hanging="375"/>
      </w:pPr>
      <w:rPr>
        <w:rFonts w:hint="default"/>
      </w:rPr>
    </w:lvl>
    <w:lvl w:ilvl="3" w:tplc="5E86C3F4">
      <w:numFmt w:val="bullet"/>
      <w:lvlText w:val="•"/>
      <w:lvlJc w:val="left"/>
      <w:pPr>
        <w:ind w:left="2170" w:hanging="375"/>
      </w:pPr>
      <w:rPr>
        <w:rFonts w:hint="default"/>
      </w:rPr>
    </w:lvl>
    <w:lvl w:ilvl="4" w:tplc="0DC24FF8">
      <w:numFmt w:val="bullet"/>
      <w:lvlText w:val="•"/>
      <w:lvlJc w:val="left"/>
      <w:pPr>
        <w:ind w:left="2767" w:hanging="375"/>
      </w:pPr>
      <w:rPr>
        <w:rFonts w:hint="default"/>
      </w:rPr>
    </w:lvl>
    <w:lvl w:ilvl="5" w:tplc="3BBE52F4">
      <w:numFmt w:val="bullet"/>
      <w:lvlText w:val="•"/>
      <w:lvlJc w:val="left"/>
      <w:pPr>
        <w:ind w:left="3364" w:hanging="375"/>
      </w:pPr>
      <w:rPr>
        <w:rFonts w:hint="default"/>
      </w:rPr>
    </w:lvl>
    <w:lvl w:ilvl="6" w:tplc="F14CA42C">
      <w:numFmt w:val="bullet"/>
      <w:lvlText w:val="•"/>
      <w:lvlJc w:val="left"/>
      <w:pPr>
        <w:ind w:left="3961" w:hanging="375"/>
      </w:pPr>
      <w:rPr>
        <w:rFonts w:hint="default"/>
      </w:rPr>
    </w:lvl>
    <w:lvl w:ilvl="7" w:tplc="98E4D236">
      <w:numFmt w:val="bullet"/>
      <w:lvlText w:val="•"/>
      <w:lvlJc w:val="left"/>
      <w:pPr>
        <w:ind w:left="4557" w:hanging="375"/>
      </w:pPr>
      <w:rPr>
        <w:rFonts w:hint="default"/>
      </w:rPr>
    </w:lvl>
    <w:lvl w:ilvl="8" w:tplc="08448524">
      <w:numFmt w:val="bullet"/>
      <w:lvlText w:val="•"/>
      <w:lvlJc w:val="left"/>
      <w:pPr>
        <w:ind w:left="5154" w:hanging="375"/>
      </w:pPr>
      <w:rPr>
        <w:rFonts w:hint="default"/>
      </w:rPr>
    </w:lvl>
  </w:abstractNum>
  <w:abstractNum w:abstractNumId="57" w15:restartNumberingAfterBreak="0">
    <w:nsid w:val="32A10099"/>
    <w:multiLevelType w:val="hybridMultilevel"/>
    <w:tmpl w:val="1A50D07C"/>
    <w:lvl w:ilvl="0" w:tplc="B61CC6E6">
      <w:numFmt w:val="bullet"/>
      <w:lvlText w:val="•"/>
      <w:lvlJc w:val="left"/>
      <w:pPr>
        <w:ind w:left="729" w:hanging="214"/>
      </w:pPr>
      <w:rPr>
        <w:rFonts w:ascii="Arial" w:eastAsia="Arial" w:hAnsi="Arial" w:cs="Arial" w:hint="default"/>
        <w:w w:val="103"/>
        <w:sz w:val="19"/>
        <w:szCs w:val="19"/>
      </w:rPr>
    </w:lvl>
    <w:lvl w:ilvl="1" w:tplc="1EB430DA">
      <w:numFmt w:val="bullet"/>
      <w:lvlText w:val="•"/>
      <w:lvlJc w:val="left"/>
      <w:pPr>
        <w:ind w:left="1421" w:hanging="214"/>
      </w:pPr>
      <w:rPr>
        <w:rFonts w:hint="default"/>
      </w:rPr>
    </w:lvl>
    <w:lvl w:ilvl="2" w:tplc="702019F6">
      <w:numFmt w:val="bullet"/>
      <w:lvlText w:val="•"/>
      <w:lvlJc w:val="left"/>
      <w:pPr>
        <w:ind w:left="2123" w:hanging="214"/>
      </w:pPr>
      <w:rPr>
        <w:rFonts w:hint="default"/>
      </w:rPr>
    </w:lvl>
    <w:lvl w:ilvl="3" w:tplc="4E187DF4">
      <w:numFmt w:val="bullet"/>
      <w:lvlText w:val="•"/>
      <w:lvlJc w:val="left"/>
      <w:pPr>
        <w:ind w:left="2825" w:hanging="214"/>
      </w:pPr>
      <w:rPr>
        <w:rFonts w:hint="default"/>
      </w:rPr>
    </w:lvl>
    <w:lvl w:ilvl="4" w:tplc="79B6DFF0">
      <w:numFmt w:val="bullet"/>
      <w:lvlText w:val="•"/>
      <w:lvlJc w:val="left"/>
      <w:pPr>
        <w:ind w:left="3526" w:hanging="214"/>
      </w:pPr>
      <w:rPr>
        <w:rFonts w:hint="default"/>
      </w:rPr>
    </w:lvl>
    <w:lvl w:ilvl="5" w:tplc="753638B8">
      <w:numFmt w:val="bullet"/>
      <w:lvlText w:val="•"/>
      <w:lvlJc w:val="left"/>
      <w:pPr>
        <w:ind w:left="4228" w:hanging="214"/>
      </w:pPr>
      <w:rPr>
        <w:rFonts w:hint="default"/>
      </w:rPr>
    </w:lvl>
    <w:lvl w:ilvl="6" w:tplc="5A526CC8">
      <w:numFmt w:val="bullet"/>
      <w:lvlText w:val="•"/>
      <w:lvlJc w:val="left"/>
      <w:pPr>
        <w:ind w:left="4930" w:hanging="214"/>
      </w:pPr>
      <w:rPr>
        <w:rFonts w:hint="default"/>
      </w:rPr>
    </w:lvl>
    <w:lvl w:ilvl="7" w:tplc="B3E6FAD4">
      <w:numFmt w:val="bullet"/>
      <w:lvlText w:val="•"/>
      <w:lvlJc w:val="left"/>
      <w:pPr>
        <w:ind w:left="5631" w:hanging="214"/>
      </w:pPr>
      <w:rPr>
        <w:rFonts w:hint="default"/>
      </w:rPr>
    </w:lvl>
    <w:lvl w:ilvl="8" w:tplc="37D66EBC">
      <w:numFmt w:val="bullet"/>
      <w:lvlText w:val="•"/>
      <w:lvlJc w:val="left"/>
      <w:pPr>
        <w:ind w:left="6333" w:hanging="214"/>
      </w:pPr>
      <w:rPr>
        <w:rFonts w:hint="default"/>
      </w:rPr>
    </w:lvl>
  </w:abstractNum>
  <w:abstractNum w:abstractNumId="58" w15:restartNumberingAfterBreak="0">
    <w:nsid w:val="32AB1121"/>
    <w:multiLevelType w:val="hybridMultilevel"/>
    <w:tmpl w:val="B9AA2B9A"/>
    <w:lvl w:ilvl="0" w:tplc="1F38177E">
      <w:numFmt w:val="bullet"/>
      <w:lvlText w:val="■"/>
      <w:lvlJc w:val="left"/>
      <w:pPr>
        <w:ind w:left="628" w:hanging="374"/>
      </w:pPr>
      <w:rPr>
        <w:rFonts w:ascii="Arial" w:eastAsia="Arial" w:hAnsi="Arial" w:cs="Arial" w:hint="default"/>
        <w:w w:val="98"/>
        <w:sz w:val="49"/>
        <w:szCs w:val="49"/>
      </w:rPr>
    </w:lvl>
    <w:lvl w:ilvl="1" w:tplc="7CE27F84">
      <w:start w:val="1"/>
      <w:numFmt w:val="upperLetter"/>
      <w:lvlText w:val="%2."/>
      <w:lvlJc w:val="left"/>
      <w:pPr>
        <w:ind w:left="956" w:hanging="303"/>
        <w:jc w:val="left"/>
      </w:pPr>
      <w:rPr>
        <w:rFonts w:hint="default"/>
        <w:spacing w:val="-1"/>
        <w:w w:val="103"/>
      </w:rPr>
    </w:lvl>
    <w:lvl w:ilvl="2" w:tplc="74F450F8">
      <w:numFmt w:val="bullet"/>
      <w:lvlText w:val="•"/>
      <w:lvlJc w:val="left"/>
      <w:pPr>
        <w:ind w:left="1661" w:hanging="303"/>
      </w:pPr>
      <w:rPr>
        <w:rFonts w:hint="default"/>
      </w:rPr>
    </w:lvl>
    <w:lvl w:ilvl="3" w:tplc="CE203F60">
      <w:numFmt w:val="bullet"/>
      <w:lvlText w:val="•"/>
      <w:lvlJc w:val="left"/>
      <w:pPr>
        <w:ind w:left="2363" w:hanging="303"/>
      </w:pPr>
      <w:rPr>
        <w:rFonts w:hint="default"/>
      </w:rPr>
    </w:lvl>
    <w:lvl w:ilvl="4" w:tplc="B6A088CE">
      <w:numFmt w:val="bullet"/>
      <w:lvlText w:val="•"/>
      <w:lvlJc w:val="left"/>
      <w:pPr>
        <w:ind w:left="3065" w:hanging="303"/>
      </w:pPr>
      <w:rPr>
        <w:rFonts w:hint="default"/>
      </w:rPr>
    </w:lvl>
    <w:lvl w:ilvl="5" w:tplc="D31A1BAA">
      <w:numFmt w:val="bullet"/>
      <w:lvlText w:val="•"/>
      <w:lvlJc w:val="left"/>
      <w:pPr>
        <w:ind w:left="3767" w:hanging="303"/>
      </w:pPr>
      <w:rPr>
        <w:rFonts w:hint="default"/>
      </w:rPr>
    </w:lvl>
    <w:lvl w:ilvl="6" w:tplc="908E4388">
      <w:numFmt w:val="bullet"/>
      <w:lvlText w:val="•"/>
      <w:lvlJc w:val="left"/>
      <w:pPr>
        <w:ind w:left="4468" w:hanging="303"/>
      </w:pPr>
      <w:rPr>
        <w:rFonts w:hint="default"/>
      </w:rPr>
    </w:lvl>
    <w:lvl w:ilvl="7" w:tplc="37F63870">
      <w:numFmt w:val="bullet"/>
      <w:lvlText w:val="•"/>
      <w:lvlJc w:val="left"/>
      <w:pPr>
        <w:ind w:left="5170" w:hanging="303"/>
      </w:pPr>
      <w:rPr>
        <w:rFonts w:hint="default"/>
      </w:rPr>
    </w:lvl>
    <w:lvl w:ilvl="8" w:tplc="A268FB68">
      <w:numFmt w:val="bullet"/>
      <w:lvlText w:val="•"/>
      <w:lvlJc w:val="left"/>
      <w:pPr>
        <w:ind w:left="5872" w:hanging="303"/>
      </w:pPr>
      <w:rPr>
        <w:rFonts w:hint="default"/>
      </w:rPr>
    </w:lvl>
  </w:abstractNum>
  <w:abstractNum w:abstractNumId="59" w15:restartNumberingAfterBreak="0">
    <w:nsid w:val="33A03F05"/>
    <w:multiLevelType w:val="multilevel"/>
    <w:tmpl w:val="2A70783E"/>
    <w:lvl w:ilvl="0">
      <w:start w:val="318"/>
      <w:numFmt w:val="decimal"/>
      <w:lvlText w:val="%1"/>
      <w:lvlJc w:val="left"/>
      <w:pPr>
        <w:ind w:left="1373" w:hanging="644"/>
        <w:jc w:val="left"/>
      </w:pPr>
      <w:rPr>
        <w:rFonts w:hint="default"/>
      </w:rPr>
    </w:lvl>
    <w:lvl w:ilvl="1">
      <w:numFmt w:val="decimal"/>
      <w:lvlText w:val="%1.%2"/>
      <w:lvlJc w:val="left"/>
      <w:pPr>
        <w:ind w:left="1373" w:hanging="644"/>
        <w:jc w:val="left"/>
      </w:pPr>
      <w:rPr>
        <w:rFonts w:ascii="Times New Roman" w:eastAsia="Times New Roman" w:hAnsi="Times New Roman" w:cs="Times New Roman" w:hint="default"/>
        <w:b/>
        <w:bCs/>
        <w:w w:val="111"/>
        <w:sz w:val="20"/>
        <w:szCs w:val="20"/>
      </w:rPr>
    </w:lvl>
    <w:lvl w:ilvl="2">
      <w:numFmt w:val="bullet"/>
      <w:lvlText w:val="•"/>
      <w:lvlJc w:val="left"/>
      <w:pPr>
        <w:ind w:left="1941" w:hanging="644"/>
      </w:pPr>
      <w:rPr>
        <w:rFonts w:hint="default"/>
      </w:rPr>
    </w:lvl>
    <w:lvl w:ilvl="3">
      <w:numFmt w:val="bullet"/>
      <w:lvlText w:val="•"/>
      <w:lvlJc w:val="left"/>
      <w:pPr>
        <w:ind w:left="2221" w:hanging="644"/>
      </w:pPr>
      <w:rPr>
        <w:rFonts w:hint="default"/>
      </w:rPr>
    </w:lvl>
    <w:lvl w:ilvl="4">
      <w:numFmt w:val="bullet"/>
      <w:lvlText w:val="•"/>
      <w:lvlJc w:val="left"/>
      <w:pPr>
        <w:ind w:left="2502" w:hanging="644"/>
      </w:pPr>
      <w:rPr>
        <w:rFonts w:hint="default"/>
      </w:rPr>
    </w:lvl>
    <w:lvl w:ilvl="5">
      <w:numFmt w:val="bullet"/>
      <w:lvlText w:val="•"/>
      <w:lvlJc w:val="left"/>
      <w:pPr>
        <w:ind w:left="2782" w:hanging="644"/>
      </w:pPr>
      <w:rPr>
        <w:rFonts w:hint="default"/>
      </w:rPr>
    </w:lvl>
    <w:lvl w:ilvl="6">
      <w:numFmt w:val="bullet"/>
      <w:lvlText w:val="•"/>
      <w:lvlJc w:val="left"/>
      <w:pPr>
        <w:ind w:left="3063" w:hanging="644"/>
      </w:pPr>
      <w:rPr>
        <w:rFonts w:hint="default"/>
      </w:rPr>
    </w:lvl>
    <w:lvl w:ilvl="7">
      <w:numFmt w:val="bullet"/>
      <w:lvlText w:val="•"/>
      <w:lvlJc w:val="left"/>
      <w:pPr>
        <w:ind w:left="3343" w:hanging="644"/>
      </w:pPr>
      <w:rPr>
        <w:rFonts w:hint="default"/>
      </w:rPr>
    </w:lvl>
    <w:lvl w:ilvl="8">
      <w:numFmt w:val="bullet"/>
      <w:lvlText w:val="•"/>
      <w:lvlJc w:val="left"/>
      <w:pPr>
        <w:ind w:left="3624" w:hanging="644"/>
      </w:pPr>
      <w:rPr>
        <w:rFonts w:hint="default"/>
      </w:rPr>
    </w:lvl>
  </w:abstractNum>
  <w:abstractNum w:abstractNumId="60" w15:restartNumberingAfterBreak="0">
    <w:nsid w:val="33C55C98"/>
    <w:multiLevelType w:val="hybridMultilevel"/>
    <w:tmpl w:val="1748709A"/>
    <w:lvl w:ilvl="0" w:tplc="21F630BE">
      <w:numFmt w:val="bullet"/>
      <w:lvlText w:val="□"/>
      <w:lvlJc w:val="left"/>
      <w:pPr>
        <w:ind w:left="597" w:hanging="341"/>
      </w:pPr>
      <w:rPr>
        <w:rFonts w:ascii="Arial" w:eastAsia="Arial" w:hAnsi="Arial" w:cs="Arial" w:hint="default"/>
        <w:w w:val="99"/>
        <w:sz w:val="36"/>
        <w:szCs w:val="36"/>
      </w:rPr>
    </w:lvl>
    <w:lvl w:ilvl="1" w:tplc="6DE42A34">
      <w:numFmt w:val="bullet"/>
      <w:lvlText w:val="•"/>
      <w:lvlJc w:val="left"/>
      <w:pPr>
        <w:ind w:left="960" w:hanging="341"/>
      </w:pPr>
      <w:rPr>
        <w:rFonts w:hint="default"/>
      </w:rPr>
    </w:lvl>
    <w:lvl w:ilvl="2" w:tplc="92EE5EBE">
      <w:numFmt w:val="bullet"/>
      <w:lvlText w:val="•"/>
      <w:lvlJc w:val="left"/>
      <w:pPr>
        <w:ind w:left="1660" w:hanging="341"/>
      </w:pPr>
      <w:rPr>
        <w:rFonts w:hint="default"/>
      </w:rPr>
    </w:lvl>
    <w:lvl w:ilvl="3" w:tplc="3DDC724A">
      <w:numFmt w:val="bullet"/>
      <w:lvlText w:val="•"/>
      <w:lvlJc w:val="left"/>
      <w:pPr>
        <w:ind w:left="2360" w:hanging="341"/>
      </w:pPr>
      <w:rPr>
        <w:rFonts w:hint="default"/>
      </w:rPr>
    </w:lvl>
    <w:lvl w:ilvl="4" w:tplc="F4D41B9E">
      <w:numFmt w:val="bullet"/>
      <w:lvlText w:val="•"/>
      <w:lvlJc w:val="left"/>
      <w:pPr>
        <w:ind w:left="3061" w:hanging="341"/>
      </w:pPr>
      <w:rPr>
        <w:rFonts w:hint="default"/>
      </w:rPr>
    </w:lvl>
    <w:lvl w:ilvl="5" w:tplc="059A2718">
      <w:numFmt w:val="bullet"/>
      <w:lvlText w:val="•"/>
      <w:lvlJc w:val="left"/>
      <w:pPr>
        <w:ind w:left="3761" w:hanging="341"/>
      </w:pPr>
      <w:rPr>
        <w:rFonts w:hint="default"/>
      </w:rPr>
    </w:lvl>
    <w:lvl w:ilvl="6" w:tplc="41224396">
      <w:numFmt w:val="bullet"/>
      <w:lvlText w:val="•"/>
      <w:lvlJc w:val="left"/>
      <w:pPr>
        <w:ind w:left="4462" w:hanging="341"/>
      </w:pPr>
      <w:rPr>
        <w:rFonts w:hint="default"/>
      </w:rPr>
    </w:lvl>
    <w:lvl w:ilvl="7" w:tplc="3476FADA">
      <w:numFmt w:val="bullet"/>
      <w:lvlText w:val="•"/>
      <w:lvlJc w:val="left"/>
      <w:pPr>
        <w:ind w:left="5162" w:hanging="341"/>
      </w:pPr>
      <w:rPr>
        <w:rFonts w:hint="default"/>
      </w:rPr>
    </w:lvl>
    <w:lvl w:ilvl="8" w:tplc="37983DE0">
      <w:numFmt w:val="bullet"/>
      <w:lvlText w:val="•"/>
      <w:lvlJc w:val="left"/>
      <w:pPr>
        <w:ind w:left="5863" w:hanging="341"/>
      </w:pPr>
      <w:rPr>
        <w:rFonts w:hint="default"/>
      </w:rPr>
    </w:lvl>
  </w:abstractNum>
  <w:abstractNum w:abstractNumId="61" w15:restartNumberingAfterBreak="0">
    <w:nsid w:val="348F1DD0"/>
    <w:multiLevelType w:val="hybridMultilevel"/>
    <w:tmpl w:val="FC8AEB10"/>
    <w:lvl w:ilvl="0" w:tplc="85E412D4">
      <w:numFmt w:val="bullet"/>
      <w:lvlText w:val="■"/>
      <w:lvlJc w:val="left"/>
      <w:pPr>
        <w:ind w:left="625" w:hanging="379"/>
      </w:pPr>
      <w:rPr>
        <w:rFonts w:ascii="Arial" w:eastAsia="Arial" w:hAnsi="Arial" w:cs="Arial" w:hint="default"/>
        <w:w w:val="98"/>
        <w:sz w:val="50"/>
        <w:szCs w:val="50"/>
      </w:rPr>
    </w:lvl>
    <w:lvl w:ilvl="1" w:tplc="BB042874">
      <w:start w:val="1"/>
      <w:numFmt w:val="upperLetter"/>
      <w:lvlText w:val="%2."/>
      <w:lvlJc w:val="left"/>
      <w:pPr>
        <w:ind w:left="945" w:hanging="299"/>
        <w:jc w:val="left"/>
      </w:pPr>
      <w:rPr>
        <w:rFonts w:hint="default"/>
        <w:spacing w:val="-1"/>
        <w:w w:val="92"/>
      </w:rPr>
    </w:lvl>
    <w:lvl w:ilvl="2" w:tplc="57025876">
      <w:start w:val="1"/>
      <w:numFmt w:val="decimal"/>
      <w:lvlText w:val="(%3)"/>
      <w:lvlJc w:val="left"/>
      <w:pPr>
        <w:ind w:left="1382" w:hanging="434"/>
        <w:jc w:val="left"/>
      </w:pPr>
      <w:rPr>
        <w:rFonts w:hint="default"/>
        <w:w w:val="108"/>
      </w:rPr>
    </w:lvl>
    <w:lvl w:ilvl="3" w:tplc="2536DCDA">
      <w:start w:val="1"/>
      <w:numFmt w:val="lowerLetter"/>
      <w:lvlText w:val="(%4)"/>
      <w:lvlJc w:val="left"/>
      <w:pPr>
        <w:ind w:left="1795" w:hanging="425"/>
        <w:jc w:val="left"/>
      </w:pPr>
      <w:rPr>
        <w:rFonts w:ascii="Times New Roman" w:eastAsia="Times New Roman" w:hAnsi="Times New Roman" w:cs="Times New Roman" w:hint="default"/>
        <w:spacing w:val="-1"/>
        <w:w w:val="110"/>
        <w:sz w:val="20"/>
        <w:szCs w:val="20"/>
      </w:rPr>
    </w:lvl>
    <w:lvl w:ilvl="4" w:tplc="2F960F60">
      <w:numFmt w:val="bullet"/>
      <w:lvlText w:val="•"/>
      <w:lvlJc w:val="left"/>
      <w:pPr>
        <w:ind w:left="2582" w:hanging="425"/>
      </w:pPr>
      <w:rPr>
        <w:rFonts w:hint="default"/>
      </w:rPr>
    </w:lvl>
    <w:lvl w:ilvl="5" w:tplc="35185F16">
      <w:numFmt w:val="bullet"/>
      <w:lvlText w:val="•"/>
      <w:lvlJc w:val="left"/>
      <w:pPr>
        <w:ind w:left="3364" w:hanging="425"/>
      </w:pPr>
      <w:rPr>
        <w:rFonts w:hint="default"/>
      </w:rPr>
    </w:lvl>
    <w:lvl w:ilvl="6" w:tplc="54FA86A2">
      <w:numFmt w:val="bullet"/>
      <w:lvlText w:val="•"/>
      <w:lvlJc w:val="left"/>
      <w:pPr>
        <w:ind w:left="4146" w:hanging="425"/>
      </w:pPr>
      <w:rPr>
        <w:rFonts w:hint="default"/>
      </w:rPr>
    </w:lvl>
    <w:lvl w:ilvl="7" w:tplc="8B6E5B18">
      <w:numFmt w:val="bullet"/>
      <w:lvlText w:val="•"/>
      <w:lvlJc w:val="left"/>
      <w:pPr>
        <w:ind w:left="4929" w:hanging="425"/>
      </w:pPr>
      <w:rPr>
        <w:rFonts w:hint="default"/>
      </w:rPr>
    </w:lvl>
    <w:lvl w:ilvl="8" w:tplc="28B4F6A8">
      <w:numFmt w:val="bullet"/>
      <w:lvlText w:val="•"/>
      <w:lvlJc w:val="left"/>
      <w:pPr>
        <w:ind w:left="5711" w:hanging="425"/>
      </w:pPr>
      <w:rPr>
        <w:rFonts w:hint="default"/>
      </w:rPr>
    </w:lvl>
  </w:abstractNum>
  <w:abstractNum w:abstractNumId="62" w15:restartNumberingAfterBreak="0">
    <w:nsid w:val="34A9763D"/>
    <w:multiLevelType w:val="hybridMultilevel"/>
    <w:tmpl w:val="8ECCCB1E"/>
    <w:lvl w:ilvl="0" w:tplc="C3B69BB6">
      <w:numFmt w:val="bullet"/>
      <w:lvlText w:val="■"/>
      <w:lvlJc w:val="left"/>
      <w:pPr>
        <w:ind w:left="636" w:hanging="374"/>
      </w:pPr>
      <w:rPr>
        <w:rFonts w:ascii="Arial" w:eastAsia="Arial" w:hAnsi="Arial" w:cs="Arial" w:hint="default"/>
        <w:w w:val="98"/>
        <w:sz w:val="49"/>
        <w:szCs w:val="49"/>
      </w:rPr>
    </w:lvl>
    <w:lvl w:ilvl="1" w:tplc="06D0DD44">
      <w:start w:val="1"/>
      <w:numFmt w:val="upperLetter"/>
      <w:lvlText w:val="%2."/>
      <w:lvlJc w:val="left"/>
      <w:pPr>
        <w:ind w:left="950" w:hanging="299"/>
        <w:jc w:val="left"/>
      </w:pPr>
      <w:rPr>
        <w:rFonts w:ascii="Times New Roman" w:eastAsia="Times New Roman" w:hAnsi="Times New Roman" w:cs="Times New Roman" w:hint="default"/>
        <w:spacing w:val="-1"/>
        <w:w w:val="95"/>
        <w:sz w:val="20"/>
        <w:szCs w:val="20"/>
      </w:rPr>
    </w:lvl>
    <w:lvl w:ilvl="2" w:tplc="3DB6FA4C">
      <w:start w:val="1"/>
      <w:numFmt w:val="decimal"/>
      <w:lvlText w:val="(%3)"/>
      <w:lvlJc w:val="left"/>
      <w:pPr>
        <w:ind w:left="1382" w:hanging="424"/>
        <w:jc w:val="left"/>
      </w:pPr>
      <w:rPr>
        <w:rFonts w:hint="default"/>
        <w:w w:val="109"/>
      </w:rPr>
    </w:lvl>
    <w:lvl w:ilvl="3" w:tplc="D2EEAD1E">
      <w:start w:val="1"/>
      <w:numFmt w:val="lowerLetter"/>
      <w:lvlText w:val="(%4)"/>
      <w:lvlJc w:val="left"/>
      <w:pPr>
        <w:ind w:left="1801" w:hanging="425"/>
        <w:jc w:val="left"/>
      </w:pPr>
      <w:rPr>
        <w:rFonts w:ascii="Times New Roman" w:eastAsia="Times New Roman" w:hAnsi="Times New Roman" w:cs="Times New Roman" w:hint="default"/>
        <w:spacing w:val="-1"/>
        <w:w w:val="110"/>
        <w:sz w:val="20"/>
        <w:szCs w:val="20"/>
      </w:rPr>
    </w:lvl>
    <w:lvl w:ilvl="4" w:tplc="D6FCF9DE">
      <w:numFmt w:val="bullet"/>
      <w:lvlText w:val="•"/>
      <w:lvlJc w:val="left"/>
      <w:pPr>
        <w:ind w:left="2581" w:hanging="425"/>
      </w:pPr>
      <w:rPr>
        <w:rFonts w:hint="default"/>
      </w:rPr>
    </w:lvl>
    <w:lvl w:ilvl="5" w:tplc="62D05AAA">
      <w:numFmt w:val="bullet"/>
      <w:lvlText w:val="•"/>
      <w:lvlJc w:val="left"/>
      <w:pPr>
        <w:ind w:left="3362" w:hanging="425"/>
      </w:pPr>
      <w:rPr>
        <w:rFonts w:hint="default"/>
      </w:rPr>
    </w:lvl>
    <w:lvl w:ilvl="6" w:tplc="C30E7886">
      <w:numFmt w:val="bullet"/>
      <w:lvlText w:val="•"/>
      <w:lvlJc w:val="left"/>
      <w:pPr>
        <w:ind w:left="4143" w:hanging="425"/>
      </w:pPr>
      <w:rPr>
        <w:rFonts w:hint="default"/>
      </w:rPr>
    </w:lvl>
    <w:lvl w:ilvl="7" w:tplc="31A29C5E">
      <w:numFmt w:val="bullet"/>
      <w:lvlText w:val="•"/>
      <w:lvlJc w:val="left"/>
      <w:pPr>
        <w:ind w:left="4924" w:hanging="425"/>
      </w:pPr>
      <w:rPr>
        <w:rFonts w:hint="default"/>
      </w:rPr>
    </w:lvl>
    <w:lvl w:ilvl="8" w:tplc="64A8FC24">
      <w:numFmt w:val="bullet"/>
      <w:lvlText w:val="•"/>
      <w:lvlJc w:val="left"/>
      <w:pPr>
        <w:ind w:left="5705" w:hanging="425"/>
      </w:pPr>
      <w:rPr>
        <w:rFonts w:hint="default"/>
      </w:rPr>
    </w:lvl>
  </w:abstractNum>
  <w:abstractNum w:abstractNumId="63" w15:restartNumberingAfterBreak="0">
    <w:nsid w:val="36646365"/>
    <w:multiLevelType w:val="hybridMultilevel"/>
    <w:tmpl w:val="E3CA49B0"/>
    <w:lvl w:ilvl="0" w:tplc="338CF1A6">
      <w:numFmt w:val="bullet"/>
      <w:lvlText w:val="■"/>
      <w:lvlJc w:val="left"/>
      <w:pPr>
        <w:ind w:left="628" w:hanging="374"/>
      </w:pPr>
      <w:rPr>
        <w:rFonts w:ascii="Arial" w:eastAsia="Arial" w:hAnsi="Arial" w:cs="Arial" w:hint="default"/>
        <w:w w:val="98"/>
        <w:sz w:val="49"/>
        <w:szCs w:val="49"/>
      </w:rPr>
    </w:lvl>
    <w:lvl w:ilvl="1" w:tplc="1F84634E">
      <w:start w:val="1"/>
      <w:numFmt w:val="upperLetter"/>
      <w:lvlText w:val="%2."/>
      <w:lvlJc w:val="left"/>
      <w:pPr>
        <w:ind w:left="962" w:hanging="312"/>
        <w:jc w:val="left"/>
      </w:pPr>
      <w:rPr>
        <w:rFonts w:ascii="Times New Roman" w:eastAsia="Times New Roman" w:hAnsi="Times New Roman" w:cs="Times New Roman" w:hint="default"/>
        <w:spacing w:val="-1"/>
        <w:w w:val="95"/>
        <w:sz w:val="20"/>
        <w:szCs w:val="20"/>
      </w:rPr>
    </w:lvl>
    <w:lvl w:ilvl="2" w:tplc="380A4BF8">
      <w:numFmt w:val="bullet"/>
      <w:lvlText w:val="•"/>
      <w:lvlJc w:val="left"/>
      <w:pPr>
        <w:ind w:left="1661" w:hanging="312"/>
      </w:pPr>
      <w:rPr>
        <w:rFonts w:hint="default"/>
      </w:rPr>
    </w:lvl>
    <w:lvl w:ilvl="3" w:tplc="C34252BA">
      <w:numFmt w:val="bullet"/>
      <w:lvlText w:val="•"/>
      <w:lvlJc w:val="left"/>
      <w:pPr>
        <w:ind w:left="2362" w:hanging="312"/>
      </w:pPr>
      <w:rPr>
        <w:rFonts w:hint="default"/>
      </w:rPr>
    </w:lvl>
    <w:lvl w:ilvl="4" w:tplc="0D7493CA">
      <w:numFmt w:val="bullet"/>
      <w:lvlText w:val="•"/>
      <w:lvlJc w:val="left"/>
      <w:pPr>
        <w:ind w:left="3063" w:hanging="312"/>
      </w:pPr>
      <w:rPr>
        <w:rFonts w:hint="default"/>
      </w:rPr>
    </w:lvl>
    <w:lvl w:ilvl="5" w:tplc="282A1DDC">
      <w:numFmt w:val="bullet"/>
      <w:lvlText w:val="•"/>
      <w:lvlJc w:val="left"/>
      <w:pPr>
        <w:ind w:left="3764" w:hanging="312"/>
      </w:pPr>
      <w:rPr>
        <w:rFonts w:hint="default"/>
      </w:rPr>
    </w:lvl>
    <w:lvl w:ilvl="6" w:tplc="FA1A4154">
      <w:numFmt w:val="bullet"/>
      <w:lvlText w:val="•"/>
      <w:lvlJc w:val="left"/>
      <w:pPr>
        <w:ind w:left="4466" w:hanging="312"/>
      </w:pPr>
      <w:rPr>
        <w:rFonts w:hint="default"/>
      </w:rPr>
    </w:lvl>
    <w:lvl w:ilvl="7" w:tplc="B30EAD6E">
      <w:numFmt w:val="bullet"/>
      <w:lvlText w:val="•"/>
      <w:lvlJc w:val="left"/>
      <w:pPr>
        <w:ind w:left="5167" w:hanging="312"/>
      </w:pPr>
      <w:rPr>
        <w:rFonts w:hint="default"/>
      </w:rPr>
    </w:lvl>
    <w:lvl w:ilvl="8" w:tplc="01882514">
      <w:numFmt w:val="bullet"/>
      <w:lvlText w:val="•"/>
      <w:lvlJc w:val="left"/>
      <w:pPr>
        <w:ind w:left="5868" w:hanging="312"/>
      </w:pPr>
      <w:rPr>
        <w:rFonts w:hint="default"/>
      </w:rPr>
    </w:lvl>
  </w:abstractNum>
  <w:abstractNum w:abstractNumId="64" w15:restartNumberingAfterBreak="0">
    <w:nsid w:val="36BD3E5D"/>
    <w:multiLevelType w:val="hybridMultilevel"/>
    <w:tmpl w:val="6EA061B6"/>
    <w:lvl w:ilvl="0" w:tplc="16E0E45C">
      <w:numFmt w:val="bullet"/>
      <w:lvlText w:val="■"/>
      <w:lvlJc w:val="left"/>
      <w:pPr>
        <w:ind w:left="633" w:hanging="388"/>
      </w:pPr>
      <w:rPr>
        <w:rFonts w:ascii="Arial" w:eastAsia="Arial" w:hAnsi="Arial" w:cs="Arial" w:hint="default"/>
        <w:w w:val="98"/>
        <w:sz w:val="49"/>
        <w:szCs w:val="49"/>
      </w:rPr>
    </w:lvl>
    <w:lvl w:ilvl="1" w:tplc="41B4FE56">
      <w:start w:val="1"/>
      <w:numFmt w:val="upperLetter"/>
      <w:lvlText w:val="%2."/>
      <w:lvlJc w:val="left"/>
      <w:pPr>
        <w:ind w:left="950" w:hanging="304"/>
        <w:jc w:val="left"/>
      </w:pPr>
      <w:rPr>
        <w:rFonts w:hint="default"/>
        <w:spacing w:val="-1"/>
        <w:w w:val="95"/>
      </w:rPr>
    </w:lvl>
    <w:lvl w:ilvl="2" w:tplc="C186DF00">
      <w:start w:val="1"/>
      <w:numFmt w:val="decimal"/>
      <w:lvlText w:val="(%3)"/>
      <w:lvlJc w:val="left"/>
      <w:pPr>
        <w:ind w:left="1382" w:hanging="429"/>
        <w:jc w:val="left"/>
      </w:pPr>
      <w:rPr>
        <w:rFonts w:hint="default"/>
        <w:w w:val="108"/>
      </w:rPr>
    </w:lvl>
    <w:lvl w:ilvl="3" w:tplc="83C6B224">
      <w:start w:val="1"/>
      <w:numFmt w:val="lowerLetter"/>
      <w:lvlText w:val="(%4)"/>
      <w:lvlJc w:val="left"/>
      <w:pPr>
        <w:ind w:left="1801" w:hanging="430"/>
        <w:jc w:val="left"/>
      </w:pPr>
      <w:rPr>
        <w:rFonts w:ascii="Times New Roman" w:eastAsia="Times New Roman" w:hAnsi="Times New Roman" w:cs="Times New Roman" w:hint="default"/>
        <w:spacing w:val="-1"/>
        <w:w w:val="106"/>
        <w:sz w:val="20"/>
        <w:szCs w:val="20"/>
      </w:rPr>
    </w:lvl>
    <w:lvl w:ilvl="4" w:tplc="AFD882AC">
      <w:numFmt w:val="bullet"/>
      <w:lvlText w:val="•"/>
      <w:lvlJc w:val="left"/>
      <w:pPr>
        <w:ind w:left="2580" w:hanging="430"/>
      </w:pPr>
      <w:rPr>
        <w:rFonts w:hint="default"/>
      </w:rPr>
    </w:lvl>
    <w:lvl w:ilvl="5" w:tplc="90ACC008">
      <w:numFmt w:val="bullet"/>
      <w:lvlText w:val="•"/>
      <w:lvlJc w:val="left"/>
      <w:pPr>
        <w:ind w:left="3361" w:hanging="430"/>
      </w:pPr>
      <w:rPr>
        <w:rFonts w:hint="default"/>
      </w:rPr>
    </w:lvl>
    <w:lvl w:ilvl="6" w:tplc="71089948">
      <w:numFmt w:val="bullet"/>
      <w:lvlText w:val="•"/>
      <w:lvlJc w:val="left"/>
      <w:pPr>
        <w:ind w:left="4141" w:hanging="430"/>
      </w:pPr>
      <w:rPr>
        <w:rFonts w:hint="default"/>
      </w:rPr>
    </w:lvl>
    <w:lvl w:ilvl="7" w:tplc="E17850DA">
      <w:numFmt w:val="bullet"/>
      <w:lvlText w:val="•"/>
      <w:lvlJc w:val="left"/>
      <w:pPr>
        <w:ind w:left="4922" w:hanging="430"/>
      </w:pPr>
      <w:rPr>
        <w:rFonts w:hint="default"/>
      </w:rPr>
    </w:lvl>
    <w:lvl w:ilvl="8" w:tplc="4D0086F0">
      <w:numFmt w:val="bullet"/>
      <w:lvlText w:val="•"/>
      <w:lvlJc w:val="left"/>
      <w:pPr>
        <w:ind w:left="5702" w:hanging="430"/>
      </w:pPr>
      <w:rPr>
        <w:rFonts w:hint="default"/>
      </w:rPr>
    </w:lvl>
  </w:abstractNum>
  <w:abstractNum w:abstractNumId="65" w15:restartNumberingAfterBreak="0">
    <w:nsid w:val="38D4641F"/>
    <w:multiLevelType w:val="hybridMultilevel"/>
    <w:tmpl w:val="8EB4288E"/>
    <w:lvl w:ilvl="0" w:tplc="4B14BBCE">
      <w:numFmt w:val="bullet"/>
      <w:lvlText w:val="■"/>
      <w:lvlJc w:val="left"/>
      <w:pPr>
        <w:ind w:left="635" w:hanging="388"/>
      </w:pPr>
      <w:rPr>
        <w:rFonts w:ascii="Arial" w:eastAsia="Arial" w:hAnsi="Arial" w:cs="Arial" w:hint="default"/>
        <w:w w:val="98"/>
        <w:sz w:val="49"/>
        <w:szCs w:val="49"/>
      </w:rPr>
    </w:lvl>
    <w:lvl w:ilvl="1" w:tplc="4468C5CC">
      <w:start w:val="1"/>
      <w:numFmt w:val="upperLetter"/>
      <w:lvlText w:val="%2."/>
      <w:lvlJc w:val="left"/>
      <w:pPr>
        <w:ind w:left="952" w:hanging="311"/>
        <w:jc w:val="left"/>
      </w:pPr>
      <w:rPr>
        <w:rFonts w:hint="default"/>
        <w:spacing w:val="-1"/>
        <w:w w:val="95"/>
      </w:rPr>
    </w:lvl>
    <w:lvl w:ilvl="2" w:tplc="A60EE638">
      <w:start w:val="1"/>
      <w:numFmt w:val="decimal"/>
      <w:lvlText w:val="(%3)"/>
      <w:lvlJc w:val="left"/>
      <w:pPr>
        <w:ind w:left="1382" w:hanging="429"/>
        <w:jc w:val="left"/>
      </w:pPr>
      <w:rPr>
        <w:rFonts w:hint="default"/>
        <w:w w:val="108"/>
      </w:rPr>
    </w:lvl>
    <w:lvl w:ilvl="3" w:tplc="AB3EDE3E">
      <w:numFmt w:val="bullet"/>
      <w:lvlText w:val="•"/>
      <w:lvlJc w:val="left"/>
      <w:pPr>
        <w:ind w:left="2116" w:hanging="429"/>
      </w:pPr>
      <w:rPr>
        <w:rFonts w:hint="default"/>
      </w:rPr>
    </w:lvl>
    <w:lvl w:ilvl="4" w:tplc="70B40D0E">
      <w:numFmt w:val="bullet"/>
      <w:lvlText w:val="•"/>
      <w:lvlJc w:val="left"/>
      <w:pPr>
        <w:ind w:left="2852" w:hanging="429"/>
      </w:pPr>
      <w:rPr>
        <w:rFonts w:hint="default"/>
      </w:rPr>
    </w:lvl>
    <w:lvl w:ilvl="5" w:tplc="478A09FE">
      <w:numFmt w:val="bullet"/>
      <w:lvlText w:val="•"/>
      <w:lvlJc w:val="left"/>
      <w:pPr>
        <w:ind w:left="3589" w:hanging="429"/>
      </w:pPr>
      <w:rPr>
        <w:rFonts w:hint="default"/>
      </w:rPr>
    </w:lvl>
    <w:lvl w:ilvl="6" w:tplc="930E1A1A">
      <w:numFmt w:val="bullet"/>
      <w:lvlText w:val="•"/>
      <w:lvlJc w:val="left"/>
      <w:pPr>
        <w:ind w:left="4325" w:hanging="429"/>
      </w:pPr>
      <w:rPr>
        <w:rFonts w:hint="default"/>
      </w:rPr>
    </w:lvl>
    <w:lvl w:ilvl="7" w:tplc="E0EA18E6">
      <w:numFmt w:val="bullet"/>
      <w:lvlText w:val="•"/>
      <w:lvlJc w:val="left"/>
      <w:pPr>
        <w:ind w:left="5061" w:hanging="429"/>
      </w:pPr>
      <w:rPr>
        <w:rFonts w:hint="default"/>
      </w:rPr>
    </w:lvl>
    <w:lvl w:ilvl="8" w:tplc="B8AACAE8">
      <w:numFmt w:val="bullet"/>
      <w:lvlText w:val="•"/>
      <w:lvlJc w:val="left"/>
      <w:pPr>
        <w:ind w:left="5798" w:hanging="429"/>
      </w:pPr>
      <w:rPr>
        <w:rFonts w:hint="default"/>
      </w:rPr>
    </w:lvl>
  </w:abstractNum>
  <w:abstractNum w:abstractNumId="66" w15:restartNumberingAfterBreak="0">
    <w:nsid w:val="39815860"/>
    <w:multiLevelType w:val="multilevel"/>
    <w:tmpl w:val="D67C08A4"/>
    <w:lvl w:ilvl="0">
      <w:start w:val="307"/>
      <w:numFmt w:val="decimal"/>
      <w:lvlText w:val="%1"/>
      <w:lvlJc w:val="left"/>
      <w:pPr>
        <w:ind w:left="879" w:hanging="727"/>
        <w:jc w:val="left"/>
      </w:pPr>
      <w:rPr>
        <w:rFonts w:hint="default"/>
      </w:rPr>
    </w:lvl>
    <w:lvl w:ilvl="1">
      <w:start w:val="52"/>
      <w:numFmt w:val="decimal"/>
      <w:lvlText w:val="%1.%2"/>
      <w:lvlJc w:val="left"/>
      <w:pPr>
        <w:ind w:left="879" w:hanging="727"/>
        <w:jc w:val="left"/>
      </w:pPr>
      <w:rPr>
        <w:rFonts w:ascii="Times New Roman" w:eastAsia="Times New Roman" w:hAnsi="Times New Roman" w:cs="Times New Roman" w:hint="default"/>
        <w:w w:val="106"/>
        <w:sz w:val="19"/>
        <w:szCs w:val="19"/>
      </w:rPr>
    </w:lvl>
    <w:lvl w:ilvl="2">
      <w:numFmt w:val="bullet"/>
      <w:lvlText w:val="•"/>
      <w:lvlJc w:val="left"/>
      <w:pPr>
        <w:ind w:left="1468" w:hanging="727"/>
      </w:pPr>
      <w:rPr>
        <w:rFonts w:hint="default"/>
      </w:rPr>
    </w:lvl>
    <w:lvl w:ilvl="3">
      <w:numFmt w:val="bullet"/>
      <w:lvlText w:val="•"/>
      <w:lvlJc w:val="left"/>
      <w:pPr>
        <w:ind w:left="1762" w:hanging="727"/>
      </w:pPr>
      <w:rPr>
        <w:rFonts w:hint="default"/>
      </w:rPr>
    </w:lvl>
    <w:lvl w:ilvl="4">
      <w:numFmt w:val="bullet"/>
      <w:lvlText w:val="•"/>
      <w:lvlJc w:val="left"/>
      <w:pPr>
        <w:ind w:left="2056" w:hanging="727"/>
      </w:pPr>
      <w:rPr>
        <w:rFonts w:hint="default"/>
      </w:rPr>
    </w:lvl>
    <w:lvl w:ilvl="5">
      <w:numFmt w:val="bullet"/>
      <w:lvlText w:val="•"/>
      <w:lvlJc w:val="left"/>
      <w:pPr>
        <w:ind w:left="2350" w:hanging="727"/>
      </w:pPr>
      <w:rPr>
        <w:rFonts w:hint="default"/>
      </w:rPr>
    </w:lvl>
    <w:lvl w:ilvl="6">
      <w:numFmt w:val="bullet"/>
      <w:lvlText w:val="•"/>
      <w:lvlJc w:val="left"/>
      <w:pPr>
        <w:ind w:left="2644" w:hanging="727"/>
      </w:pPr>
      <w:rPr>
        <w:rFonts w:hint="default"/>
      </w:rPr>
    </w:lvl>
    <w:lvl w:ilvl="7">
      <w:numFmt w:val="bullet"/>
      <w:lvlText w:val="•"/>
      <w:lvlJc w:val="left"/>
      <w:pPr>
        <w:ind w:left="2938" w:hanging="727"/>
      </w:pPr>
      <w:rPr>
        <w:rFonts w:hint="default"/>
      </w:rPr>
    </w:lvl>
    <w:lvl w:ilvl="8">
      <w:numFmt w:val="bullet"/>
      <w:lvlText w:val="•"/>
      <w:lvlJc w:val="left"/>
      <w:pPr>
        <w:ind w:left="3232" w:hanging="727"/>
      </w:pPr>
      <w:rPr>
        <w:rFonts w:hint="default"/>
      </w:rPr>
    </w:lvl>
  </w:abstractNum>
  <w:abstractNum w:abstractNumId="67" w15:restartNumberingAfterBreak="0">
    <w:nsid w:val="398B545B"/>
    <w:multiLevelType w:val="hybridMultilevel"/>
    <w:tmpl w:val="E334CFC8"/>
    <w:lvl w:ilvl="0" w:tplc="C0A4F0C8">
      <w:numFmt w:val="bullet"/>
      <w:lvlText w:val="■"/>
      <w:lvlJc w:val="left"/>
      <w:pPr>
        <w:ind w:left="631" w:hanging="374"/>
      </w:pPr>
      <w:rPr>
        <w:rFonts w:ascii="Arial" w:eastAsia="Arial" w:hAnsi="Arial" w:cs="Arial" w:hint="default"/>
        <w:w w:val="98"/>
        <w:sz w:val="49"/>
        <w:szCs w:val="49"/>
      </w:rPr>
    </w:lvl>
    <w:lvl w:ilvl="1" w:tplc="B1A23660">
      <w:start w:val="1"/>
      <w:numFmt w:val="upperLetter"/>
      <w:lvlText w:val="%2."/>
      <w:lvlJc w:val="left"/>
      <w:pPr>
        <w:ind w:left="964" w:hanging="298"/>
        <w:jc w:val="left"/>
      </w:pPr>
      <w:rPr>
        <w:rFonts w:hint="default"/>
        <w:spacing w:val="-1"/>
        <w:w w:val="92"/>
      </w:rPr>
    </w:lvl>
    <w:lvl w:ilvl="2" w:tplc="6262A7DA">
      <w:numFmt w:val="bullet"/>
      <w:lvlText w:val="•"/>
      <w:lvlJc w:val="left"/>
      <w:pPr>
        <w:ind w:left="1662" w:hanging="298"/>
      </w:pPr>
      <w:rPr>
        <w:rFonts w:hint="default"/>
      </w:rPr>
    </w:lvl>
    <w:lvl w:ilvl="3" w:tplc="D5884B02">
      <w:numFmt w:val="bullet"/>
      <w:lvlText w:val="•"/>
      <w:lvlJc w:val="left"/>
      <w:pPr>
        <w:ind w:left="2365" w:hanging="298"/>
      </w:pPr>
      <w:rPr>
        <w:rFonts w:hint="default"/>
      </w:rPr>
    </w:lvl>
    <w:lvl w:ilvl="4" w:tplc="07047146">
      <w:numFmt w:val="bullet"/>
      <w:lvlText w:val="•"/>
      <w:lvlJc w:val="left"/>
      <w:pPr>
        <w:ind w:left="3068" w:hanging="298"/>
      </w:pPr>
      <w:rPr>
        <w:rFonts w:hint="default"/>
      </w:rPr>
    </w:lvl>
    <w:lvl w:ilvl="5" w:tplc="086ECDEC">
      <w:numFmt w:val="bullet"/>
      <w:lvlText w:val="•"/>
      <w:lvlJc w:val="left"/>
      <w:pPr>
        <w:ind w:left="3771" w:hanging="298"/>
      </w:pPr>
      <w:rPr>
        <w:rFonts w:hint="default"/>
      </w:rPr>
    </w:lvl>
    <w:lvl w:ilvl="6" w:tplc="62167552">
      <w:numFmt w:val="bullet"/>
      <w:lvlText w:val="•"/>
      <w:lvlJc w:val="left"/>
      <w:pPr>
        <w:ind w:left="4474" w:hanging="298"/>
      </w:pPr>
      <w:rPr>
        <w:rFonts w:hint="default"/>
      </w:rPr>
    </w:lvl>
    <w:lvl w:ilvl="7" w:tplc="6436FAC8">
      <w:numFmt w:val="bullet"/>
      <w:lvlText w:val="•"/>
      <w:lvlJc w:val="left"/>
      <w:pPr>
        <w:ind w:left="5177" w:hanging="298"/>
      </w:pPr>
      <w:rPr>
        <w:rFonts w:hint="default"/>
      </w:rPr>
    </w:lvl>
    <w:lvl w:ilvl="8" w:tplc="7632CBC0">
      <w:numFmt w:val="bullet"/>
      <w:lvlText w:val="•"/>
      <w:lvlJc w:val="left"/>
      <w:pPr>
        <w:ind w:left="5880" w:hanging="298"/>
      </w:pPr>
      <w:rPr>
        <w:rFonts w:hint="default"/>
      </w:rPr>
    </w:lvl>
  </w:abstractNum>
  <w:abstractNum w:abstractNumId="68" w15:restartNumberingAfterBreak="0">
    <w:nsid w:val="3AE2366F"/>
    <w:multiLevelType w:val="multilevel"/>
    <w:tmpl w:val="DAC2D470"/>
    <w:lvl w:ilvl="0">
      <w:start w:val="290"/>
      <w:numFmt w:val="decimal"/>
      <w:lvlText w:val="%1"/>
      <w:lvlJc w:val="left"/>
      <w:pPr>
        <w:ind w:left="1406" w:hanging="754"/>
        <w:jc w:val="left"/>
      </w:pPr>
      <w:rPr>
        <w:rFonts w:hint="default"/>
      </w:rPr>
    </w:lvl>
    <w:lvl w:ilvl="1">
      <w:start w:val="41"/>
      <w:numFmt w:val="decimal"/>
      <w:lvlText w:val="%1.%2"/>
      <w:lvlJc w:val="left"/>
      <w:pPr>
        <w:ind w:left="1406" w:hanging="754"/>
        <w:jc w:val="left"/>
      </w:pPr>
      <w:rPr>
        <w:rFonts w:ascii="Times New Roman" w:eastAsia="Times New Roman" w:hAnsi="Times New Roman" w:cs="Times New Roman" w:hint="default"/>
        <w:b/>
        <w:bCs/>
        <w:w w:val="112"/>
        <w:sz w:val="20"/>
        <w:szCs w:val="20"/>
      </w:rPr>
    </w:lvl>
    <w:lvl w:ilvl="2">
      <w:numFmt w:val="bullet"/>
      <w:lvlText w:val="•"/>
      <w:lvlJc w:val="left"/>
      <w:pPr>
        <w:ind w:left="2575" w:hanging="754"/>
      </w:pPr>
      <w:rPr>
        <w:rFonts w:hint="default"/>
      </w:rPr>
    </w:lvl>
    <w:lvl w:ilvl="3">
      <w:numFmt w:val="bullet"/>
      <w:lvlText w:val="•"/>
      <w:lvlJc w:val="left"/>
      <w:pPr>
        <w:ind w:left="3162" w:hanging="754"/>
      </w:pPr>
      <w:rPr>
        <w:rFonts w:hint="default"/>
      </w:rPr>
    </w:lvl>
    <w:lvl w:ilvl="4">
      <w:numFmt w:val="bullet"/>
      <w:lvlText w:val="•"/>
      <w:lvlJc w:val="left"/>
      <w:pPr>
        <w:ind w:left="3750" w:hanging="754"/>
      </w:pPr>
      <w:rPr>
        <w:rFonts w:hint="default"/>
      </w:rPr>
    </w:lvl>
    <w:lvl w:ilvl="5">
      <w:numFmt w:val="bullet"/>
      <w:lvlText w:val="•"/>
      <w:lvlJc w:val="left"/>
      <w:pPr>
        <w:ind w:left="4338" w:hanging="754"/>
      </w:pPr>
      <w:rPr>
        <w:rFonts w:hint="default"/>
      </w:rPr>
    </w:lvl>
    <w:lvl w:ilvl="6">
      <w:numFmt w:val="bullet"/>
      <w:lvlText w:val="•"/>
      <w:lvlJc w:val="left"/>
      <w:pPr>
        <w:ind w:left="4925" w:hanging="754"/>
      </w:pPr>
      <w:rPr>
        <w:rFonts w:hint="default"/>
      </w:rPr>
    </w:lvl>
    <w:lvl w:ilvl="7">
      <w:numFmt w:val="bullet"/>
      <w:lvlText w:val="•"/>
      <w:lvlJc w:val="left"/>
      <w:pPr>
        <w:ind w:left="5513" w:hanging="754"/>
      </w:pPr>
      <w:rPr>
        <w:rFonts w:hint="default"/>
      </w:rPr>
    </w:lvl>
    <w:lvl w:ilvl="8">
      <w:numFmt w:val="bullet"/>
      <w:lvlText w:val="•"/>
      <w:lvlJc w:val="left"/>
      <w:pPr>
        <w:ind w:left="6100" w:hanging="754"/>
      </w:pPr>
      <w:rPr>
        <w:rFonts w:hint="default"/>
      </w:rPr>
    </w:lvl>
  </w:abstractNum>
  <w:abstractNum w:abstractNumId="69" w15:restartNumberingAfterBreak="0">
    <w:nsid w:val="3BDB1190"/>
    <w:multiLevelType w:val="hybridMultilevel"/>
    <w:tmpl w:val="F5EC27A8"/>
    <w:lvl w:ilvl="0" w:tplc="CE7873E8">
      <w:numFmt w:val="bullet"/>
      <w:lvlText w:val="■"/>
      <w:lvlJc w:val="left"/>
      <w:pPr>
        <w:ind w:left="633" w:hanging="374"/>
      </w:pPr>
      <w:rPr>
        <w:rFonts w:ascii="Arial" w:eastAsia="Arial" w:hAnsi="Arial" w:cs="Arial" w:hint="default"/>
        <w:w w:val="98"/>
        <w:sz w:val="49"/>
        <w:szCs w:val="49"/>
      </w:rPr>
    </w:lvl>
    <w:lvl w:ilvl="1" w:tplc="EFF40760">
      <w:start w:val="1"/>
      <w:numFmt w:val="upperLetter"/>
      <w:lvlText w:val="%2."/>
      <w:lvlJc w:val="left"/>
      <w:pPr>
        <w:ind w:left="964" w:hanging="299"/>
        <w:jc w:val="left"/>
      </w:pPr>
      <w:rPr>
        <w:rFonts w:hint="default"/>
        <w:spacing w:val="-1"/>
        <w:w w:val="95"/>
      </w:rPr>
    </w:lvl>
    <w:lvl w:ilvl="2" w:tplc="36468600">
      <w:numFmt w:val="bullet"/>
      <w:lvlText w:val="•"/>
      <w:lvlJc w:val="left"/>
      <w:pPr>
        <w:ind w:left="1662" w:hanging="299"/>
      </w:pPr>
      <w:rPr>
        <w:rFonts w:hint="default"/>
      </w:rPr>
    </w:lvl>
    <w:lvl w:ilvl="3" w:tplc="161472F6">
      <w:numFmt w:val="bullet"/>
      <w:lvlText w:val="•"/>
      <w:lvlJc w:val="left"/>
      <w:pPr>
        <w:ind w:left="2365" w:hanging="299"/>
      </w:pPr>
      <w:rPr>
        <w:rFonts w:hint="default"/>
      </w:rPr>
    </w:lvl>
    <w:lvl w:ilvl="4" w:tplc="DC9ABBFA">
      <w:numFmt w:val="bullet"/>
      <w:lvlText w:val="•"/>
      <w:lvlJc w:val="left"/>
      <w:pPr>
        <w:ind w:left="3068" w:hanging="299"/>
      </w:pPr>
      <w:rPr>
        <w:rFonts w:hint="default"/>
      </w:rPr>
    </w:lvl>
    <w:lvl w:ilvl="5" w:tplc="F486626E">
      <w:numFmt w:val="bullet"/>
      <w:lvlText w:val="•"/>
      <w:lvlJc w:val="left"/>
      <w:pPr>
        <w:ind w:left="3771" w:hanging="299"/>
      </w:pPr>
      <w:rPr>
        <w:rFonts w:hint="default"/>
      </w:rPr>
    </w:lvl>
    <w:lvl w:ilvl="6" w:tplc="98A6A352">
      <w:numFmt w:val="bullet"/>
      <w:lvlText w:val="•"/>
      <w:lvlJc w:val="left"/>
      <w:pPr>
        <w:ind w:left="4474" w:hanging="299"/>
      </w:pPr>
      <w:rPr>
        <w:rFonts w:hint="default"/>
      </w:rPr>
    </w:lvl>
    <w:lvl w:ilvl="7" w:tplc="F20071CE">
      <w:numFmt w:val="bullet"/>
      <w:lvlText w:val="•"/>
      <w:lvlJc w:val="left"/>
      <w:pPr>
        <w:ind w:left="5177" w:hanging="299"/>
      </w:pPr>
      <w:rPr>
        <w:rFonts w:hint="default"/>
      </w:rPr>
    </w:lvl>
    <w:lvl w:ilvl="8" w:tplc="535E933A">
      <w:numFmt w:val="bullet"/>
      <w:lvlText w:val="•"/>
      <w:lvlJc w:val="left"/>
      <w:pPr>
        <w:ind w:left="5880" w:hanging="299"/>
      </w:pPr>
      <w:rPr>
        <w:rFonts w:hint="default"/>
      </w:rPr>
    </w:lvl>
  </w:abstractNum>
  <w:abstractNum w:abstractNumId="70" w15:restartNumberingAfterBreak="0">
    <w:nsid w:val="3CE554AE"/>
    <w:multiLevelType w:val="multilevel"/>
    <w:tmpl w:val="CB8C791E"/>
    <w:lvl w:ilvl="0">
      <w:start w:val="251"/>
      <w:numFmt w:val="decimal"/>
      <w:lvlText w:val="%1"/>
      <w:lvlJc w:val="left"/>
      <w:pPr>
        <w:ind w:left="137" w:hanging="508"/>
        <w:jc w:val="left"/>
      </w:pPr>
      <w:rPr>
        <w:rFonts w:hint="default"/>
      </w:rPr>
    </w:lvl>
    <w:lvl w:ilvl="1">
      <w:start w:val="2"/>
      <w:numFmt w:val="decimal"/>
      <w:lvlText w:val="%1.%2"/>
      <w:lvlJc w:val="left"/>
      <w:pPr>
        <w:ind w:left="137" w:hanging="508"/>
        <w:jc w:val="left"/>
      </w:pPr>
      <w:rPr>
        <w:rFonts w:ascii="Times New Roman" w:eastAsia="Times New Roman" w:hAnsi="Times New Roman" w:cs="Times New Roman" w:hint="default"/>
        <w:w w:val="99"/>
        <w:sz w:val="20"/>
        <w:szCs w:val="20"/>
      </w:rPr>
    </w:lvl>
    <w:lvl w:ilvl="2">
      <w:start w:val="1"/>
      <w:numFmt w:val="decimal"/>
      <w:lvlText w:val="%3."/>
      <w:lvlJc w:val="left"/>
      <w:pPr>
        <w:ind w:left="797" w:hanging="311"/>
        <w:jc w:val="left"/>
      </w:pPr>
      <w:rPr>
        <w:rFonts w:hint="default"/>
        <w:w w:val="109"/>
      </w:rPr>
    </w:lvl>
    <w:lvl w:ilvl="3">
      <w:numFmt w:val="bullet"/>
      <w:lvlText w:val="•"/>
      <w:lvlJc w:val="left"/>
      <w:pPr>
        <w:ind w:left="2345" w:hanging="311"/>
      </w:pPr>
      <w:rPr>
        <w:rFonts w:hint="default"/>
      </w:rPr>
    </w:lvl>
    <w:lvl w:ilvl="4">
      <w:numFmt w:val="bullet"/>
      <w:lvlText w:val="•"/>
      <w:lvlJc w:val="left"/>
      <w:pPr>
        <w:ind w:left="3118" w:hanging="311"/>
      </w:pPr>
      <w:rPr>
        <w:rFonts w:hint="default"/>
      </w:rPr>
    </w:lvl>
    <w:lvl w:ilvl="5">
      <w:numFmt w:val="bullet"/>
      <w:lvlText w:val="•"/>
      <w:lvlJc w:val="left"/>
      <w:pPr>
        <w:ind w:left="3891" w:hanging="311"/>
      </w:pPr>
      <w:rPr>
        <w:rFonts w:hint="default"/>
      </w:rPr>
    </w:lvl>
    <w:lvl w:ilvl="6">
      <w:numFmt w:val="bullet"/>
      <w:lvlText w:val="•"/>
      <w:lvlJc w:val="left"/>
      <w:pPr>
        <w:ind w:left="4664" w:hanging="311"/>
      </w:pPr>
      <w:rPr>
        <w:rFonts w:hint="default"/>
      </w:rPr>
    </w:lvl>
    <w:lvl w:ilvl="7">
      <w:numFmt w:val="bullet"/>
      <w:lvlText w:val="•"/>
      <w:lvlJc w:val="left"/>
      <w:pPr>
        <w:ind w:left="5437" w:hanging="311"/>
      </w:pPr>
      <w:rPr>
        <w:rFonts w:hint="default"/>
      </w:rPr>
    </w:lvl>
    <w:lvl w:ilvl="8">
      <w:numFmt w:val="bullet"/>
      <w:lvlText w:val="•"/>
      <w:lvlJc w:val="left"/>
      <w:pPr>
        <w:ind w:left="6210" w:hanging="311"/>
      </w:pPr>
      <w:rPr>
        <w:rFonts w:hint="default"/>
      </w:rPr>
    </w:lvl>
  </w:abstractNum>
  <w:abstractNum w:abstractNumId="71" w15:restartNumberingAfterBreak="0">
    <w:nsid w:val="3CEE42D3"/>
    <w:multiLevelType w:val="hybridMultilevel"/>
    <w:tmpl w:val="D42C5498"/>
    <w:lvl w:ilvl="0" w:tplc="A74EF1D4">
      <w:numFmt w:val="bullet"/>
      <w:lvlText w:val="■"/>
      <w:lvlJc w:val="left"/>
      <w:pPr>
        <w:ind w:left="630" w:hanging="373"/>
      </w:pPr>
      <w:rPr>
        <w:rFonts w:ascii="Arial" w:eastAsia="Arial" w:hAnsi="Arial" w:cs="Arial" w:hint="default"/>
        <w:w w:val="100"/>
        <w:sz w:val="48"/>
        <w:szCs w:val="48"/>
      </w:rPr>
    </w:lvl>
    <w:lvl w:ilvl="1" w:tplc="FD80CB90">
      <w:numFmt w:val="bullet"/>
      <w:lvlText w:val="•"/>
      <w:lvlJc w:val="left"/>
      <w:pPr>
        <w:ind w:left="1302" w:hanging="373"/>
      </w:pPr>
      <w:rPr>
        <w:rFonts w:hint="default"/>
      </w:rPr>
    </w:lvl>
    <w:lvl w:ilvl="2" w:tplc="EF1236AC">
      <w:numFmt w:val="bullet"/>
      <w:lvlText w:val="•"/>
      <w:lvlJc w:val="left"/>
      <w:pPr>
        <w:ind w:left="1964" w:hanging="373"/>
      </w:pPr>
      <w:rPr>
        <w:rFonts w:hint="default"/>
      </w:rPr>
    </w:lvl>
    <w:lvl w:ilvl="3" w:tplc="F63021DE">
      <w:numFmt w:val="bullet"/>
      <w:lvlText w:val="•"/>
      <w:lvlJc w:val="left"/>
      <w:pPr>
        <w:ind w:left="2626" w:hanging="373"/>
      </w:pPr>
      <w:rPr>
        <w:rFonts w:hint="default"/>
      </w:rPr>
    </w:lvl>
    <w:lvl w:ilvl="4" w:tplc="B0928588">
      <w:numFmt w:val="bullet"/>
      <w:lvlText w:val="•"/>
      <w:lvlJc w:val="left"/>
      <w:pPr>
        <w:ind w:left="3289" w:hanging="373"/>
      </w:pPr>
      <w:rPr>
        <w:rFonts w:hint="default"/>
      </w:rPr>
    </w:lvl>
    <w:lvl w:ilvl="5" w:tplc="16F8AE02">
      <w:numFmt w:val="bullet"/>
      <w:lvlText w:val="•"/>
      <w:lvlJc w:val="left"/>
      <w:pPr>
        <w:ind w:left="3951" w:hanging="373"/>
      </w:pPr>
      <w:rPr>
        <w:rFonts w:hint="default"/>
      </w:rPr>
    </w:lvl>
    <w:lvl w:ilvl="6" w:tplc="0B2A9C8C">
      <w:numFmt w:val="bullet"/>
      <w:lvlText w:val="•"/>
      <w:lvlJc w:val="left"/>
      <w:pPr>
        <w:ind w:left="4613" w:hanging="373"/>
      </w:pPr>
      <w:rPr>
        <w:rFonts w:hint="default"/>
      </w:rPr>
    </w:lvl>
    <w:lvl w:ilvl="7" w:tplc="3A1A40D6">
      <w:numFmt w:val="bullet"/>
      <w:lvlText w:val="•"/>
      <w:lvlJc w:val="left"/>
      <w:pPr>
        <w:ind w:left="5276" w:hanging="373"/>
      </w:pPr>
      <w:rPr>
        <w:rFonts w:hint="default"/>
      </w:rPr>
    </w:lvl>
    <w:lvl w:ilvl="8" w:tplc="DD349D3C">
      <w:numFmt w:val="bullet"/>
      <w:lvlText w:val="•"/>
      <w:lvlJc w:val="left"/>
      <w:pPr>
        <w:ind w:left="5938" w:hanging="373"/>
      </w:pPr>
      <w:rPr>
        <w:rFonts w:hint="default"/>
      </w:rPr>
    </w:lvl>
  </w:abstractNum>
  <w:abstractNum w:abstractNumId="72" w15:restartNumberingAfterBreak="0">
    <w:nsid w:val="3F793780"/>
    <w:multiLevelType w:val="hybridMultilevel"/>
    <w:tmpl w:val="F700515C"/>
    <w:lvl w:ilvl="0" w:tplc="A5C63998">
      <w:numFmt w:val="bullet"/>
      <w:lvlText w:val="■"/>
      <w:lvlJc w:val="left"/>
      <w:pPr>
        <w:ind w:left="623" w:hanging="379"/>
      </w:pPr>
      <w:rPr>
        <w:rFonts w:ascii="Arial" w:eastAsia="Arial" w:hAnsi="Arial" w:cs="Arial" w:hint="default"/>
        <w:w w:val="98"/>
        <w:sz w:val="50"/>
        <w:szCs w:val="50"/>
      </w:rPr>
    </w:lvl>
    <w:lvl w:ilvl="1" w:tplc="E8EEA696">
      <w:start w:val="1"/>
      <w:numFmt w:val="upperLetter"/>
      <w:lvlText w:val="%2."/>
      <w:lvlJc w:val="left"/>
      <w:pPr>
        <w:ind w:left="951" w:hanging="306"/>
        <w:jc w:val="left"/>
      </w:pPr>
      <w:rPr>
        <w:rFonts w:hint="default"/>
        <w:spacing w:val="-1"/>
        <w:w w:val="103"/>
      </w:rPr>
    </w:lvl>
    <w:lvl w:ilvl="2" w:tplc="63E6FF0E">
      <w:start w:val="1"/>
      <w:numFmt w:val="decimal"/>
      <w:lvlText w:val="(%3)"/>
      <w:lvlJc w:val="left"/>
      <w:pPr>
        <w:ind w:left="1376" w:hanging="421"/>
        <w:jc w:val="left"/>
      </w:pPr>
      <w:rPr>
        <w:rFonts w:hint="default"/>
        <w:w w:val="102"/>
      </w:rPr>
    </w:lvl>
    <w:lvl w:ilvl="3" w:tplc="6CC669DA">
      <w:numFmt w:val="bullet"/>
      <w:lvlText w:val="•"/>
      <w:lvlJc w:val="left"/>
      <w:pPr>
        <w:ind w:left="2116" w:hanging="421"/>
      </w:pPr>
      <w:rPr>
        <w:rFonts w:hint="default"/>
      </w:rPr>
    </w:lvl>
    <w:lvl w:ilvl="4" w:tplc="57FE408A">
      <w:numFmt w:val="bullet"/>
      <w:lvlText w:val="•"/>
      <w:lvlJc w:val="left"/>
      <w:pPr>
        <w:ind w:left="2852" w:hanging="421"/>
      </w:pPr>
      <w:rPr>
        <w:rFonts w:hint="default"/>
      </w:rPr>
    </w:lvl>
    <w:lvl w:ilvl="5" w:tplc="53569CBA">
      <w:numFmt w:val="bullet"/>
      <w:lvlText w:val="•"/>
      <w:lvlJc w:val="left"/>
      <w:pPr>
        <w:ind w:left="3589" w:hanging="421"/>
      </w:pPr>
      <w:rPr>
        <w:rFonts w:hint="default"/>
      </w:rPr>
    </w:lvl>
    <w:lvl w:ilvl="6" w:tplc="18A8425E">
      <w:numFmt w:val="bullet"/>
      <w:lvlText w:val="•"/>
      <w:lvlJc w:val="left"/>
      <w:pPr>
        <w:ind w:left="4325" w:hanging="421"/>
      </w:pPr>
      <w:rPr>
        <w:rFonts w:hint="default"/>
      </w:rPr>
    </w:lvl>
    <w:lvl w:ilvl="7" w:tplc="8940C4C2">
      <w:numFmt w:val="bullet"/>
      <w:lvlText w:val="•"/>
      <w:lvlJc w:val="left"/>
      <w:pPr>
        <w:ind w:left="5061" w:hanging="421"/>
      </w:pPr>
      <w:rPr>
        <w:rFonts w:hint="default"/>
      </w:rPr>
    </w:lvl>
    <w:lvl w:ilvl="8" w:tplc="ED3229EA">
      <w:numFmt w:val="bullet"/>
      <w:lvlText w:val="•"/>
      <w:lvlJc w:val="left"/>
      <w:pPr>
        <w:ind w:left="5798" w:hanging="421"/>
      </w:pPr>
      <w:rPr>
        <w:rFonts w:hint="default"/>
      </w:rPr>
    </w:lvl>
  </w:abstractNum>
  <w:abstractNum w:abstractNumId="73" w15:restartNumberingAfterBreak="0">
    <w:nsid w:val="41397AA9"/>
    <w:multiLevelType w:val="hybridMultilevel"/>
    <w:tmpl w:val="04EADBA0"/>
    <w:lvl w:ilvl="0" w:tplc="2B8E4972">
      <w:numFmt w:val="bullet"/>
      <w:lvlText w:val="□"/>
      <w:lvlJc w:val="left"/>
      <w:pPr>
        <w:ind w:left="574" w:hanging="332"/>
      </w:pPr>
      <w:rPr>
        <w:rFonts w:ascii="Arial" w:eastAsia="Arial" w:hAnsi="Arial" w:cs="Arial" w:hint="default"/>
        <w:w w:val="99"/>
        <w:sz w:val="36"/>
        <w:szCs w:val="36"/>
      </w:rPr>
    </w:lvl>
    <w:lvl w:ilvl="1" w:tplc="03ECCF98">
      <w:start w:val="2"/>
      <w:numFmt w:val="upperLetter"/>
      <w:lvlText w:val="%2."/>
      <w:lvlJc w:val="left"/>
      <w:pPr>
        <w:ind w:left="942" w:hanging="304"/>
        <w:jc w:val="left"/>
      </w:pPr>
      <w:rPr>
        <w:rFonts w:hint="default"/>
        <w:spacing w:val="-1"/>
        <w:w w:val="94"/>
      </w:rPr>
    </w:lvl>
    <w:lvl w:ilvl="2" w:tplc="ABF680FC">
      <w:start w:val="1"/>
      <w:numFmt w:val="decimal"/>
      <w:lvlText w:val="(%3)"/>
      <w:lvlJc w:val="left"/>
      <w:pPr>
        <w:ind w:left="1374" w:hanging="429"/>
        <w:jc w:val="left"/>
      </w:pPr>
      <w:rPr>
        <w:rFonts w:hint="default"/>
        <w:w w:val="105"/>
      </w:rPr>
    </w:lvl>
    <w:lvl w:ilvl="3" w:tplc="C34243DA">
      <w:numFmt w:val="bullet"/>
      <w:lvlText w:val="•"/>
      <w:lvlJc w:val="left"/>
      <w:pPr>
        <w:ind w:left="2115" w:hanging="429"/>
      </w:pPr>
      <w:rPr>
        <w:rFonts w:hint="default"/>
      </w:rPr>
    </w:lvl>
    <w:lvl w:ilvl="4" w:tplc="7F184FC8">
      <w:numFmt w:val="bullet"/>
      <w:lvlText w:val="•"/>
      <w:lvlJc w:val="left"/>
      <w:pPr>
        <w:ind w:left="2850" w:hanging="429"/>
      </w:pPr>
      <w:rPr>
        <w:rFonts w:hint="default"/>
      </w:rPr>
    </w:lvl>
    <w:lvl w:ilvl="5" w:tplc="1D908132">
      <w:numFmt w:val="bullet"/>
      <w:lvlText w:val="•"/>
      <w:lvlJc w:val="left"/>
      <w:pPr>
        <w:ind w:left="3585" w:hanging="429"/>
      </w:pPr>
      <w:rPr>
        <w:rFonts w:hint="default"/>
      </w:rPr>
    </w:lvl>
    <w:lvl w:ilvl="6" w:tplc="E4CA9E38">
      <w:numFmt w:val="bullet"/>
      <w:lvlText w:val="•"/>
      <w:lvlJc w:val="left"/>
      <w:pPr>
        <w:ind w:left="4321" w:hanging="429"/>
      </w:pPr>
      <w:rPr>
        <w:rFonts w:hint="default"/>
      </w:rPr>
    </w:lvl>
    <w:lvl w:ilvl="7" w:tplc="4B4C1032">
      <w:numFmt w:val="bullet"/>
      <w:lvlText w:val="•"/>
      <w:lvlJc w:val="left"/>
      <w:pPr>
        <w:ind w:left="5056" w:hanging="429"/>
      </w:pPr>
      <w:rPr>
        <w:rFonts w:hint="default"/>
      </w:rPr>
    </w:lvl>
    <w:lvl w:ilvl="8" w:tplc="8C34532C">
      <w:numFmt w:val="bullet"/>
      <w:lvlText w:val="•"/>
      <w:lvlJc w:val="left"/>
      <w:pPr>
        <w:ind w:left="5791" w:hanging="429"/>
      </w:pPr>
      <w:rPr>
        <w:rFonts w:hint="default"/>
      </w:rPr>
    </w:lvl>
  </w:abstractNum>
  <w:abstractNum w:abstractNumId="74" w15:restartNumberingAfterBreak="0">
    <w:nsid w:val="41A75C49"/>
    <w:multiLevelType w:val="hybridMultilevel"/>
    <w:tmpl w:val="3AF679C0"/>
    <w:lvl w:ilvl="0" w:tplc="2EC83F72">
      <w:numFmt w:val="bullet"/>
      <w:lvlText w:val="■"/>
      <w:lvlJc w:val="left"/>
      <w:pPr>
        <w:ind w:left="627" w:hanging="380"/>
      </w:pPr>
      <w:rPr>
        <w:rFonts w:ascii="Arial" w:eastAsia="Arial" w:hAnsi="Arial" w:cs="Arial" w:hint="default"/>
        <w:w w:val="98"/>
        <w:sz w:val="49"/>
        <w:szCs w:val="49"/>
      </w:rPr>
    </w:lvl>
    <w:lvl w:ilvl="1" w:tplc="8D184B74">
      <w:start w:val="1"/>
      <w:numFmt w:val="decimal"/>
      <w:lvlText w:val="(%2)"/>
      <w:lvlJc w:val="left"/>
      <w:pPr>
        <w:ind w:left="1382" w:hanging="434"/>
        <w:jc w:val="left"/>
      </w:pPr>
      <w:rPr>
        <w:rFonts w:ascii="Times New Roman" w:eastAsia="Times New Roman" w:hAnsi="Times New Roman" w:cs="Times New Roman" w:hint="default"/>
        <w:w w:val="106"/>
        <w:sz w:val="17"/>
        <w:szCs w:val="17"/>
      </w:rPr>
    </w:lvl>
    <w:lvl w:ilvl="2" w:tplc="02C0C4A0">
      <w:numFmt w:val="bullet"/>
      <w:lvlText w:val="•"/>
      <w:lvlJc w:val="left"/>
      <w:pPr>
        <w:ind w:left="1380" w:hanging="434"/>
      </w:pPr>
      <w:rPr>
        <w:rFonts w:hint="default"/>
      </w:rPr>
    </w:lvl>
    <w:lvl w:ilvl="3" w:tplc="CAD4DF58">
      <w:numFmt w:val="bullet"/>
      <w:lvlText w:val="•"/>
      <w:lvlJc w:val="left"/>
      <w:pPr>
        <w:ind w:left="2120" w:hanging="434"/>
      </w:pPr>
      <w:rPr>
        <w:rFonts w:hint="default"/>
      </w:rPr>
    </w:lvl>
    <w:lvl w:ilvl="4" w:tplc="BDF6064A">
      <w:numFmt w:val="bullet"/>
      <w:lvlText w:val="•"/>
      <w:lvlJc w:val="left"/>
      <w:pPr>
        <w:ind w:left="2860" w:hanging="434"/>
      </w:pPr>
      <w:rPr>
        <w:rFonts w:hint="default"/>
      </w:rPr>
    </w:lvl>
    <w:lvl w:ilvl="5" w:tplc="91084AB8">
      <w:numFmt w:val="bullet"/>
      <w:lvlText w:val="•"/>
      <w:lvlJc w:val="left"/>
      <w:pPr>
        <w:ind w:left="3600" w:hanging="434"/>
      </w:pPr>
      <w:rPr>
        <w:rFonts w:hint="default"/>
      </w:rPr>
    </w:lvl>
    <w:lvl w:ilvl="6" w:tplc="E7CC1670">
      <w:numFmt w:val="bullet"/>
      <w:lvlText w:val="•"/>
      <w:lvlJc w:val="left"/>
      <w:pPr>
        <w:ind w:left="4340" w:hanging="434"/>
      </w:pPr>
      <w:rPr>
        <w:rFonts w:hint="default"/>
      </w:rPr>
    </w:lvl>
    <w:lvl w:ilvl="7" w:tplc="04B4D8B8">
      <w:numFmt w:val="bullet"/>
      <w:lvlText w:val="•"/>
      <w:lvlJc w:val="left"/>
      <w:pPr>
        <w:ind w:left="5080" w:hanging="434"/>
      </w:pPr>
      <w:rPr>
        <w:rFonts w:hint="default"/>
      </w:rPr>
    </w:lvl>
    <w:lvl w:ilvl="8" w:tplc="8C4A8F8A">
      <w:numFmt w:val="bullet"/>
      <w:lvlText w:val="•"/>
      <w:lvlJc w:val="left"/>
      <w:pPr>
        <w:ind w:left="5820" w:hanging="434"/>
      </w:pPr>
      <w:rPr>
        <w:rFonts w:hint="default"/>
      </w:rPr>
    </w:lvl>
  </w:abstractNum>
  <w:abstractNum w:abstractNumId="75" w15:restartNumberingAfterBreak="0">
    <w:nsid w:val="42796EB4"/>
    <w:multiLevelType w:val="hybridMultilevel"/>
    <w:tmpl w:val="65D40FE6"/>
    <w:lvl w:ilvl="0" w:tplc="56CC2B3E">
      <w:start w:val="10"/>
      <w:numFmt w:val="decimal"/>
      <w:lvlText w:val=".%1"/>
      <w:lvlJc w:val="left"/>
      <w:pPr>
        <w:ind w:left="1180" w:hanging="710"/>
        <w:jc w:val="left"/>
      </w:pPr>
      <w:rPr>
        <w:rFonts w:ascii="Times New Roman" w:eastAsia="Times New Roman" w:hAnsi="Times New Roman" w:cs="Times New Roman" w:hint="default"/>
        <w:w w:val="109"/>
        <w:sz w:val="19"/>
        <w:szCs w:val="19"/>
      </w:rPr>
    </w:lvl>
    <w:lvl w:ilvl="1" w:tplc="59B637E4">
      <w:numFmt w:val="bullet"/>
      <w:lvlText w:val="•"/>
      <w:lvlJc w:val="left"/>
      <w:pPr>
        <w:ind w:left="1453" w:hanging="710"/>
      </w:pPr>
      <w:rPr>
        <w:rFonts w:hint="default"/>
      </w:rPr>
    </w:lvl>
    <w:lvl w:ilvl="2" w:tplc="7AD82A9C">
      <w:numFmt w:val="bullet"/>
      <w:lvlText w:val="•"/>
      <w:lvlJc w:val="left"/>
      <w:pPr>
        <w:ind w:left="1726" w:hanging="710"/>
      </w:pPr>
      <w:rPr>
        <w:rFonts w:hint="default"/>
      </w:rPr>
    </w:lvl>
    <w:lvl w:ilvl="3" w:tplc="212C1AF2">
      <w:numFmt w:val="bullet"/>
      <w:lvlText w:val="•"/>
      <w:lvlJc w:val="left"/>
      <w:pPr>
        <w:ind w:left="1999" w:hanging="710"/>
      </w:pPr>
      <w:rPr>
        <w:rFonts w:hint="default"/>
      </w:rPr>
    </w:lvl>
    <w:lvl w:ilvl="4" w:tplc="0A26A1C0">
      <w:numFmt w:val="bullet"/>
      <w:lvlText w:val="•"/>
      <w:lvlJc w:val="left"/>
      <w:pPr>
        <w:ind w:left="2273" w:hanging="710"/>
      </w:pPr>
      <w:rPr>
        <w:rFonts w:hint="default"/>
      </w:rPr>
    </w:lvl>
    <w:lvl w:ilvl="5" w:tplc="C8700D30">
      <w:numFmt w:val="bullet"/>
      <w:lvlText w:val="•"/>
      <w:lvlJc w:val="left"/>
      <w:pPr>
        <w:ind w:left="2546" w:hanging="710"/>
      </w:pPr>
      <w:rPr>
        <w:rFonts w:hint="default"/>
      </w:rPr>
    </w:lvl>
    <w:lvl w:ilvl="6" w:tplc="44980BEE">
      <w:numFmt w:val="bullet"/>
      <w:lvlText w:val="•"/>
      <w:lvlJc w:val="left"/>
      <w:pPr>
        <w:ind w:left="2819" w:hanging="710"/>
      </w:pPr>
      <w:rPr>
        <w:rFonts w:hint="default"/>
      </w:rPr>
    </w:lvl>
    <w:lvl w:ilvl="7" w:tplc="17A6BEB0">
      <w:numFmt w:val="bullet"/>
      <w:lvlText w:val="•"/>
      <w:lvlJc w:val="left"/>
      <w:pPr>
        <w:ind w:left="3092" w:hanging="710"/>
      </w:pPr>
      <w:rPr>
        <w:rFonts w:hint="default"/>
      </w:rPr>
    </w:lvl>
    <w:lvl w:ilvl="8" w:tplc="01FEB85E">
      <w:numFmt w:val="bullet"/>
      <w:lvlText w:val="•"/>
      <w:lvlJc w:val="left"/>
      <w:pPr>
        <w:ind w:left="3366" w:hanging="710"/>
      </w:pPr>
      <w:rPr>
        <w:rFonts w:hint="default"/>
      </w:rPr>
    </w:lvl>
  </w:abstractNum>
  <w:abstractNum w:abstractNumId="76" w15:restartNumberingAfterBreak="0">
    <w:nsid w:val="436947E5"/>
    <w:multiLevelType w:val="hybridMultilevel"/>
    <w:tmpl w:val="C054FBBC"/>
    <w:lvl w:ilvl="0" w:tplc="EE5017BC">
      <w:numFmt w:val="bullet"/>
      <w:lvlText w:val="■"/>
      <w:lvlJc w:val="left"/>
      <w:pPr>
        <w:ind w:left="637" w:hanging="389"/>
      </w:pPr>
      <w:rPr>
        <w:rFonts w:ascii="Arial" w:eastAsia="Arial" w:hAnsi="Arial" w:cs="Arial" w:hint="default"/>
        <w:w w:val="98"/>
        <w:sz w:val="50"/>
        <w:szCs w:val="50"/>
      </w:rPr>
    </w:lvl>
    <w:lvl w:ilvl="1" w:tplc="CFAA648A">
      <w:start w:val="1"/>
      <w:numFmt w:val="upperLetter"/>
      <w:lvlText w:val="%2."/>
      <w:lvlJc w:val="left"/>
      <w:pPr>
        <w:ind w:left="959" w:hanging="311"/>
        <w:jc w:val="left"/>
      </w:pPr>
      <w:rPr>
        <w:rFonts w:hint="default"/>
        <w:spacing w:val="-1"/>
        <w:w w:val="103"/>
      </w:rPr>
    </w:lvl>
    <w:lvl w:ilvl="2" w:tplc="9D62482A">
      <w:start w:val="1"/>
      <w:numFmt w:val="decimal"/>
      <w:lvlText w:val="(%3)"/>
      <w:lvlJc w:val="left"/>
      <w:pPr>
        <w:ind w:left="1389" w:hanging="429"/>
        <w:jc w:val="left"/>
      </w:pPr>
      <w:rPr>
        <w:rFonts w:hint="default"/>
        <w:w w:val="107"/>
      </w:rPr>
    </w:lvl>
    <w:lvl w:ilvl="3" w:tplc="ED8EE9A4">
      <w:numFmt w:val="bullet"/>
      <w:lvlText w:val="•"/>
      <w:lvlJc w:val="left"/>
      <w:pPr>
        <w:ind w:left="2117" w:hanging="429"/>
      </w:pPr>
      <w:rPr>
        <w:rFonts w:hint="default"/>
      </w:rPr>
    </w:lvl>
    <w:lvl w:ilvl="4" w:tplc="BDF86FB8">
      <w:numFmt w:val="bullet"/>
      <w:lvlText w:val="•"/>
      <w:lvlJc w:val="left"/>
      <w:pPr>
        <w:ind w:left="2855" w:hanging="429"/>
      </w:pPr>
      <w:rPr>
        <w:rFonts w:hint="default"/>
      </w:rPr>
    </w:lvl>
    <w:lvl w:ilvl="5" w:tplc="767E3644">
      <w:numFmt w:val="bullet"/>
      <w:lvlText w:val="•"/>
      <w:lvlJc w:val="left"/>
      <w:pPr>
        <w:ind w:left="3592" w:hanging="429"/>
      </w:pPr>
      <w:rPr>
        <w:rFonts w:hint="default"/>
      </w:rPr>
    </w:lvl>
    <w:lvl w:ilvl="6" w:tplc="51CC59D6">
      <w:numFmt w:val="bullet"/>
      <w:lvlText w:val="•"/>
      <w:lvlJc w:val="left"/>
      <w:pPr>
        <w:ind w:left="4330" w:hanging="429"/>
      </w:pPr>
      <w:rPr>
        <w:rFonts w:hint="default"/>
      </w:rPr>
    </w:lvl>
    <w:lvl w:ilvl="7" w:tplc="E806D3F0">
      <w:numFmt w:val="bullet"/>
      <w:lvlText w:val="•"/>
      <w:lvlJc w:val="left"/>
      <w:pPr>
        <w:ind w:left="5068" w:hanging="429"/>
      </w:pPr>
      <w:rPr>
        <w:rFonts w:hint="default"/>
      </w:rPr>
    </w:lvl>
    <w:lvl w:ilvl="8" w:tplc="454CEF6E">
      <w:numFmt w:val="bullet"/>
      <w:lvlText w:val="•"/>
      <w:lvlJc w:val="left"/>
      <w:pPr>
        <w:ind w:left="5805" w:hanging="429"/>
      </w:pPr>
      <w:rPr>
        <w:rFonts w:hint="default"/>
      </w:rPr>
    </w:lvl>
  </w:abstractNum>
  <w:abstractNum w:abstractNumId="77" w15:restartNumberingAfterBreak="0">
    <w:nsid w:val="44413909"/>
    <w:multiLevelType w:val="hybridMultilevel"/>
    <w:tmpl w:val="B8201332"/>
    <w:lvl w:ilvl="0" w:tplc="AFA867DE">
      <w:numFmt w:val="bullet"/>
      <w:lvlText w:val="■"/>
      <w:lvlJc w:val="left"/>
      <w:pPr>
        <w:ind w:left="3508" w:hanging="448"/>
      </w:pPr>
      <w:rPr>
        <w:rFonts w:hint="default"/>
        <w:w w:val="98"/>
      </w:rPr>
    </w:lvl>
    <w:lvl w:ilvl="1" w:tplc="125CDB90">
      <w:numFmt w:val="bullet"/>
      <w:lvlText w:val="•"/>
      <w:lvlJc w:val="left"/>
      <w:pPr>
        <w:ind w:left="3921" w:hanging="448"/>
      </w:pPr>
      <w:rPr>
        <w:rFonts w:hint="default"/>
      </w:rPr>
    </w:lvl>
    <w:lvl w:ilvl="2" w:tplc="C9569E52">
      <w:numFmt w:val="bullet"/>
      <w:lvlText w:val="•"/>
      <w:lvlJc w:val="left"/>
      <w:pPr>
        <w:ind w:left="4343" w:hanging="448"/>
      </w:pPr>
      <w:rPr>
        <w:rFonts w:hint="default"/>
      </w:rPr>
    </w:lvl>
    <w:lvl w:ilvl="3" w:tplc="329CDC36">
      <w:numFmt w:val="bullet"/>
      <w:lvlText w:val="•"/>
      <w:lvlJc w:val="left"/>
      <w:pPr>
        <w:ind w:left="4765" w:hanging="448"/>
      </w:pPr>
      <w:rPr>
        <w:rFonts w:hint="default"/>
      </w:rPr>
    </w:lvl>
    <w:lvl w:ilvl="4" w:tplc="A104B39E">
      <w:numFmt w:val="bullet"/>
      <w:lvlText w:val="•"/>
      <w:lvlJc w:val="left"/>
      <w:pPr>
        <w:ind w:left="5186" w:hanging="448"/>
      </w:pPr>
      <w:rPr>
        <w:rFonts w:hint="default"/>
      </w:rPr>
    </w:lvl>
    <w:lvl w:ilvl="5" w:tplc="621EA2C0">
      <w:numFmt w:val="bullet"/>
      <w:lvlText w:val="•"/>
      <w:lvlJc w:val="left"/>
      <w:pPr>
        <w:ind w:left="5608" w:hanging="448"/>
      </w:pPr>
      <w:rPr>
        <w:rFonts w:hint="default"/>
      </w:rPr>
    </w:lvl>
    <w:lvl w:ilvl="6" w:tplc="2D461DE8">
      <w:numFmt w:val="bullet"/>
      <w:lvlText w:val="•"/>
      <w:lvlJc w:val="left"/>
      <w:pPr>
        <w:ind w:left="6030" w:hanging="448"/>
      </w:pPr>
      <w:rPr>
        <w:rFonts w:hint="default"/>
      </w:rPr>
    </w:lvl>
    <w:lvl w:ilvl="7" w:tplc="9372E372">
      <w:numFmt w:val="bullet"/>
      <w:lvlText w:val="•"/>
      <w:lvlJc w:val="left"/>
      <w:pPr>
        <w:ind w:left="6451" w:hanging="448"/>
      </w:pPr>
      <w:rPr>
        <w:rFonts w:hint="default"/>
      </w:rPr>
    </w:lvl>
    <w:lvl w:ilvl="8" w:tplc="34E0EF1A">
      <w:numFmt w:val="bullet"/>
      <w:lvlText w:val="•"/>
      <w:lvlJc w:val="left"/>
      <w:pPr>
        <w:ind w:left="6873" w:hanging="448"/>
      </w:pPr>
      <w:rPr>
        <w:rFonts w:hint="default"/>
      </w:rPr>
    </w:lvl>
  </w:abstractNum>
  <w:abstractNum w:abstractNumId="78" w15:restartNumberingAfterBreak="0">
    <w:nsid w:val="446A5F83"/>
    <w:multiLevelType w:val="hybridMultilevel"/>
    <w:tmpl w:val="FC7E2550"/>
    <w:lvl w:ilvl="0" w:tplc="BB1CA852">
      <w:start w:val="2"/>
      <w:numFmt w:val="decimal"/>
      <w:lvlText w:val="(%1)"/>
      <w:lvlJc w:val="left"/>
      <w:pPr>
        <w:ind w:left="1380" w:hanging="422"/>
        <w:jc w:val="left"/>
      </w:pPr>
      <w:rPr>
        <w:rFonts w:ascii="Times New Roman" w:eastAsia="Times New Roman" w:hAnsi="Times New Roman" w:cs="Times New Roman" w:hint="default"/>
        <w:w w:val="104"/>
        <w:sz w:val="20"/>
        <w:szCs w:val="20"/>
      </w:rPr>
    </w:lvl>
    <w:lvl w:ilvl="1" w:tplc="EAF42B3E">
      <w:numFmt w:val="bullet"/>
      <w:lvlText w:val="•"/>
      <w:lvlJc w:val="left"/>
      <w:pPr>
        <w:ind w:left="1968" w:hanging="422"/>
      </w:pPr>
      <w:rPr>
        <w:rFonts w:hint="default"/>
      </w:rPr>
    </w:lvl>
    <w:lvl w:ilvl="2" w:tplc="34D4251E">
      <w:numFmt w:val="bullet"/>
      <w:lvlText w:val="•"/>
      <w:lvlJc w:val="left"/>
      <w:pPr>
        <w:ind w:left="2557" w:hanging="422"/>
      </w:pPr>
      <w:rPr>
        <w:rFonts w:hint="default"/>
      </w:rPr>
    </w:lvl>
    <w:lvl w:ilvl="3" w:tplc="5AB09F12">
      <w:numFmt w:val="bullet"/>
      <w:lvlText w:val="•"/>
      <w:lvlJc w:val="left"/>
      <w:pPr>
        <w:ind w:left="3146" w:hanging="422"/>
      </w:pPr>
      <w:rPr>
        <w:rFonts w:hint="default"/>
      </w:rPr>
    </w:lvl>
    <w:lvl w:ilvl="4" w:tplc="0ECE37EC">
      <w:numFmt w:val="bullet"/>
      <w:lvlText w:val="•"/>
      <w:lvlJc w:val="left"/>
      <w:pPr>
        <w:ind w:left="3735" w:hanging="422"/>
      </w:pPr>
      <w:rPr>
        <w:rFonts w:hint="default"/>
      </w:rPr>
    </w:lvl>
    <w:lvl w:ilvl="5" w:tplc="C94E2A36">
      <w:numFmt w:val="bullet"/>
      <w:lvlText w:val="•"/>
      <w:lvlJc w:val="left"/>
      <w:pPr>
        <w:ind w:left="4324" w:hanging="422"/>
      </w:pPr>
      <w:rPr>
        <w:rFonts w:hint="default"/>
      </w:rPr>
    </w:lvl>
    <w:lvl w:ilvl="6" w:tplc="E43C650C">
      <w:numFmt w:val="bullet"/>
      <w:lvlText w:val="•"/>
      <w:lvlJc w:val="left"/>
      <w:pPr>
        <w:ind w:left="4912" w:hanging="422"/>
      </w:pPr>
      <w:rPr>
        <w:rFonts w:hint="default"/>
      </w:rPr>
    </w:lvl>
    <w:lvl w:ilvl="7" w:tplc="E92A722A">
      <w:numFmt w:val="bullet"/>
      <w:lvlText w:val="•"/>
      <w:lvlJc w:val="left"/>
      <w:pPr>
        <w:ind w:left="5501" w:hanging="422"/>
      </w:pPr>
      <w:rPr>
        <w:rFonts w:hint="default"/>
      </w:rPr>
    </w:lvl>
    <w:lvl w:ilvl="8" w:tplc="319CA31A">
      <w:numFmt w:val="bullet"/>
      <w:lvlText w:val="•"/>
      <w:lvlJc w:val="left"/>
      <w:pPr>
        <w:ind w:left="6090" w:hanging="422"/>
      </w:pPr>
      <w:rPr>
        <w:rFonts w:hint="default"/>
      </w:rPr>
    </w:lvl>
  </w:abstractNum>
  <w:abstractNum w:abstractNumId="79" w15:restartNumberingAfterBreak="0">
    <w:nsid w:val="458E2B08"/>
    <w:multiLevelType w:val="hybridMultilevel"/>
    <w:tmpl w:val="15FCCE30"/>
    <w:lvl w:ilvl="0" w:tplc="BC2676EC">
      <w:numFmt w:val="bullet"/>
      <w:lvlText w:val="■"/>
      <w:lvlJc w:val="left"/>
      <w:pPr>
        <w:ind w:left="628" w:hanging="379"/>
      </w:pPr>
      <w:rPr>
        <w:rFonts w:ascii="Arial" w:eastAsia="Arial" w:hAnsi="Arial" w:cs="Arial" w:hint="default"/>
        <w:w w:val="98"/>
        <w:sz w:val="50"/>
        <w:szCs w:val="50"/>
      </w:rPr>
    </w:lvl>
    <w:lvl w:ilvl="1" w:tplc="AB624FEA">
      <w:start w:val="1"/>
      <w:numFmt w:val="upperLetter"/>
      <w:lvlText w:val="%2."/>
      <w:lvlJc w:val="left"/>
      <w:pPr>
        <w:ind w:left="960" w:hanging="307"/>
        <w:jc w:val="left"/>
      </w:pPr>
      <w:rPr>
        <w:rFonts w:hint="default"/>
        <w:spacing w:val="-1"/>
        <w:w w:val="92"/>
      </w:rPr>
    </w:lvl>
    <w:lvl w:ilvl="2" w:tplc="4F9A25EA">
      <w:start w:val="1"/>
      <w:numFmt w:val="decimal"/>
      <w:lvlText w:val="(%3)"/>
      <w:lvlJc w:val="left"/>
      <w:pPr>
        <w:ind w:left="1388" w:hanging="437"/>
        <w:jc w:val="left"/>
      </w:pPr>
      <w:rPr>
        <w:rFonts w:hint="default"/>
        <w:w w:val="102"/>
      </w:rPr>
    </w:lvl>
    <w:lvl w:ilvl="3" w:tplc="F1C6D936">
      <w:numFmt w:val="bullet"/>
      <w:lvlText w:val="•"/>
      <w:lvlJc w:val="left"/>
      <w:pPr>
        <w:ind w:left="2118" w:hanging="437"/>
      </w:pPr>
      <w:rPr>
        <w:rFonts w:hint="default"/>
      </w:rPr>
    </w:lvl>
    <w:lvl w:ilvl="4" w:tplc="71903DFE">
      <w:numFmt w:val="bullet"/>
      <w:lvlText w:val="•"/>
      <w:lvlJc w:val="left"/>
      <w:pPr>
        <w:ind w:left="2856" w:hanging="437"/>
      </w:pPr>
      <w:rPr>
        <w:rFonts w:hint="default"/>
      </w:rPr>
    </w:lvl>
    <w:lvl w:ilvl="5" w:tplc="9A66B08E">
      <w:numFmt w:val="bullet"/>
      <w:lvlText w:val="•"/>
      <w:lvlJc w:val="left"/>
      <w:pPr>
        <w:ind w:left="3594" w:hanging="437"/>
      </w:pPr>
      <w:rPr>
        <w:rFonts w:hint="default"/>
      </w:rPr>
    </w:lvl>
    <w:lvl w:ilvl="6" w:tplc="CDFE1ED6">
      <w:numFmt w:val="bullet"/>
      <w:lvlText w:val="•"/>
      <w:lvlJc w:val="left"/>
      <w:pPr>
        <w:ind w:left="4333" w:hanging="437"/>
      </w:pPr>
      <w:rPr>
        <w:rFonts w:hint="default"/>
      </w:rPr>
    </w:lvl>
    <w:lvl w:ilvl="7" w:tplc="7A42B57E">
      <w:numFmt w:val="bullet"/>
      <w:lvlText w:val="•"/>
      <w:lvlJc w:val="left"/>
      <w:pPr>
        <w:ind w:left="5071" w:hanging="437"/>
      </w:pPr>
      <w:rPr>
        <w:rFonts w:hint="default"/>
      </w:rPr>
    </w:lvl>
    <w:lvl w:ilvl="8" w:tplc="55A02E44">
      <w:numFmt w:val="bullet"/>
      <w:lvlText w:val="•"/>
      <w:lvlJc w:val="left"/>
      <w:pPr>
        <w:ind w:left="5809" w:hanging="437"/>
      </w:pPr>
      <w:rPr>
        <w:rFonts w:hint="default"/>
      </w:rPr>
    </w:lvl>
  </w:abstractNum>
  <w:abstractNum w:abstractNumId="80" w15:restartNumberingAfterBreak="0">
    <w:nsid w:val="4737558D"/>
    <w:multiLevelType w:val="multilevel"/>
    <w:tmpl w:val="ADE81348"/>
    <w:lvl w:ilvl="0">
      <w:start w:val="291"/>
      <w:numFmt w:val="decimal"/>
      <w:lvlText w:val="%1"/>
      <w:lvlJc w:val="left"/>
      <w:pPr>
        <w:ind w:left="3094" w:hanging="910"/>
        <w:jc w:val="left"/>
      </w:pPr>
      <w:rPr>
        <w:rFonts w:hint="default"/>
      </w:rPr>
    </w:lvl>
    <w:lvl w:ilvl="1">
      <w:start w:val="8"/>
      <w:numFmt w:val="decimal"/>
      <w:lvlText w:val="%1.%2"/>
      <w:lvlJc w:val="left"/>
      <w:pPr>
        <w:ind w:left="3094" w:hanging="910"/>
        <w:jc w:val="right"/>
      </w:pPr>
      <w:rPr>
        <w:rFonts w:hint="default"/>
        <w:b/>
        <w:bCs/>
        <w:w w:val="108"/>
      </w:rPr>
    </w:lvl>
    <w:lvl w:ilvl="2">
      <w:numFmt w:val="bullet"/>
      <w:lvlText w:val="•"/>
      <w:lvlJc w:val="left"/>
      <w:pPr>
        <w:ind w:left="4023" w:hanging="910"/>
      </w:pPr>
      <w:rPr>
        <w:rFonts w:hint="default"/>
      </w:rPr>
    </w:lvl>
    <w:lvl w:ilvl="3">
      <w:numFmt w:val="bullet"/>
      <w:lvlText w:val="•"/>
      <w:lvlJc w:val="left"/>
      <w:pPr>
        <w:ind w:left="4485" w:hanging="910"/>
      </w:pPr>
      <w:rPr>
        <w:rFonts w:hint="default"/>
      </w:rPr>
    </w:lvl>
    <w:lvl w:ilvl="4">
      <w:numFmt w:val="bullet"/>
      <w:lvlText w:val="•"/>
      <w:lvlJc w:val="left"/>
      <w:pPr>
        <w:ind w:left="4946" w:hanging="910"/>
      </w:pPr>
      <w:rPr>
        <w:rFonts w:hint="default"/>
      </w:rPr>
    </w:lvl>
    <w:lvl w:ilvl="5">
      <w:numFmt w:val="bullet"/>
      <w:lvlText w:val="•"/>
      <w:lvlJc w:val="left"/>
      <w:pPr>
        <w:ind w:left="5408" w:hanging="910"/>
      </w:pPr>
      <w:rPr>
        <w:rFonts w:hint="default"/>
      </w:rPr>
    </w:lvl>
    <w:lvl w:ilvl="6">
      <w:numFmt w:val="bullet"/>
      <w:lvlText w:val="•"/>
      <w:lvlJc w:val="left"/>
      <w:pPr>
        <w:ind w:left="5870" w:hanging="910"/>
      </w:pPr>
      <w:rPr>
        <w:rFonts w:hint="default"/>
      </w:rPr>
    </w:lvl>
    <w:lvl w:ilvl="7">
      <w:numFmt w:val="bullet"/>
      <w:lvlText w:val="•"/>
      <w:lvlJc w:val="left"/>
      <w:pPr>
        <w:ind w:left="6331" w:hanging="910"/>
      </w:pPr>
      <w:rPr>
        <w:rFonts w:hint="default"/>
      </w:rPr>
    </w:lvl>
    <w:lvl w:ilvl="8">
      <w:numFmt w:val="bullet"/>
      <w:lvlText w:val="•"/>
      <w:lvlJc w:val="left"/>
      <w:pPr>
        <w:ind w:left="6793" w:hanging="910"/>
      </w:pPr>
      <w:rPr>
        <w:rFonts w:hint="default"/>
      </w:rPr>
    </w:lvl>
  </w:abstractNum>
  <w:abstractNum w:abstractNumId="81" w15:restartNumberingAfterBreak="0">
    <w:nsid w:val="47D02BCF"/>
    <w:multiLevelType w:val="hybridMultilevel"/>
    <w:tmpl w:val="D3645A32"/>
    <w:lvl w:ilvl="0" w:tplc="C07CD636">
      <w:start w:val="1"/>
      <w:numFmt w:val="upperLetter"/>
      <w:lvlText w:val="%1."/>
      <w:lvlJc w:val="left"/>
      <w:pPr>
        <w:ind w:left="137" w:hanging="219"/>
        <w:jc w:val="left"/>
      </w:pPr>
      <w:rPr>
        <w:rFonts w:ascii="Times New Roman" w:eastAsia="Times New Roman" w:hAnsi="Times New Roman" w:cs="Times New Roman" w:hint="default"/>
        <w:spacing w:val="-1"/>
        <w:w w:val="97"/>
        <w:sz w:val="19"/>
        <w:szCs w:val="19"/>
      </w:rPr>
    </w:lvl>
    <w:lvl w:ilvl="1" w:tplc="58D8B410">
      <w:numFmt w:val="bullet"/>
      <w:lvlText w:val="•"/>
      <w:lvlJc w:val="left"/>
      <w:pPr>
        <w:ind w:left="495" w:hanging="219"/>
      </w:pPr>
      <w:rPr>
        <w:rFonts w:hint="default"/>
      </w:rPr>
    </w:lvl>
    <w:lvl w:ilvl="2" w:tplc="65805C46">
      <w:numFmt w:val="bullet"/>
      <w:lvlText w:val="•"/>
      <w:lvlJc w:val="left"/>
      <w:pPr>
        <w:ind w:left="851" w:hanging="219"/>
      </w:pPr>
      <w:rPr>
        <w:rFonts w:hint="default"/>
      </w:rPr>
    </w:lvl>
    <w:lvl w:ilvl="3" w:tplc="6E9E1182">
      <w:numFmt w:val="bullet"/>
      <w:lvlText w:val="•"/>
      <w:lvlJc w:val="left"/>
      <w:pPr>
        <w:ind w:left="1207" w:hanging="219"/>
      </w:pPr>
      <w:rPr>
        <w:rFonts w:hint="default"/>
      </w:rPr>
    </w:lvl>
    <w:lvl w:ilvl="4" w:tplc="294EDFD2">
      <w:numFmt w:val="bullet"/>
      <w:lvlText w:val="•"/>
      <w:lvlJc w:val="left"/>
      <w:pPr>
        <w:ind w:left="1562" w:hanging="219"/>
      </w:pPr>
      <w:rPr>
        <w:rFonts w:hint="default"/>
      </w:rPr>
    </w:lvl>
    <w:lvl w:ilvl="5" w:tplc="1CF67E76">
      <w:numFmt w:val="bullet"/>
      <w:lvlText w:val="•"/>
      <w:lvlJc w:val="left"/>
      <w:pPr>
        <w:ind w:left="1918" w:hanging="219"/>
      </w:pPr>
      <w:rPr>
        <w:rFonts w:hint="default"/>
      </w:rPr>
    </w:lvl>
    <w:lvl w:ilvl="6" w:tplc="11DEAF40">
      <w:numFmt w:val="bullet"/>
      <w:lvlText w:val="•"/>
      <w:lvlJc w:val="left"/>
      <w:pPr>
        <w:ind w:left="2274" w:hanging="219"/>
      </w:pPr>
      <w:rPr>
        <w:rFonts w:hint="default"/>
      </w:rPr>
    </w:lvl>
    <w:lvl w:ilvl="7" w:tplc="D2407E8A">
      <w:numFmt w:val="bullet"/>
      <w:lvlText w:val="•"/>
      <w:lvlJc w:val="left"/>
      <w:pPr>
        <w:ind w:left="2629" w:hanging="219"/>
      </w:pPr>
      <w:rPr>
        <w:rFonts w:hint="default"/>
      </w:rPr>
    </w:lvl>
    <w:lvl w:ilvl="8" w:tplc="EDCE85E6">
      <w:numFmt w:val="bullet"/>
      <w:lvlText w:val="•"/>
      <w:lvlJc w:val="left"/>
      <w:pPr>
        <w:ind w:left="2985" w:hanging="219"/>
      </w:pPr>
      <w:rPr>
        <w:rFonts w:hint="default"/>
      </w:rPr>
    </w:lvl>
  </w:abstractNum>
  <w:abstractNum w:abstractNumId="82" w15:restartNumberingAfterBreak="0">
    <w:nsid w:val="48472045"/>
    <w:multiLevelType w:val="hybridMultilevel"/>
    <w:tmpl w:val="687A6A84"/>
    <w:lvl w:ilvl="0" w:tplc="D4F445D6">
      <w:numFmt w:val="bullet"/>
      <w:lvlText w:val="■"/>
      <w:lvlJc w:val="left"/>
      <w:pPr>
        <w:ind w:left="624" w:hanging="379"/>
      </w:pPr>
      <w:rPr>
        <w:rFonts w:ascii="Arial" w:eastAsia="Arial" w:hAnsi="Arial" w:cs="Arial" w:hint="default"/>
        <w:w w:val="98"/>
        <w:sz w:val="50"/>
        <w:szCs w:val="50"/>
      </w:rPr>
    </w:lvl>
    <w:lvl w:ilvl="1" w:tplc="AB84545A">
      <w:start w:val="1"/>
      <w:numFmt w:val="upperLetter"/>
      <w:lvlText w:val="%2."/>
      <w:lvlJc w:val="left"/>
      <w:pPr>
        <w:ind w:left="945" w:hanging="304"/>
        <w:jc w:val="left"/>
      </w:pPr>
      <w:rPr>
        <w:rFonts w:hint="default"/>
        <w:spacing w:val="-1"/>
        <w:w w:val="95"/>
      </w:rPr>
    </w:lvl>
    <w:lvl w:ilvl="2" w:tplc="97900C4E">
      <w:start w:val="1"/>
      <w:numFmt w:val="decimal"/>
      <w:lvlText w:val="(%3)"/>
      <w:lvlJc w:val="left"/>
      <w:pPr>
        <w:ind w:left="1382" w:hanging="429"/>
        <w:jc w:val="left"/>
      </w:pPr>
      <w:rPr>
        <w:rFonts w:hint="default"/>
        <w:w w:val="104"/>
      </w:rPr>
    </w:lvl>
    <w:lvl w:ilvl="3" w:tplc="5540014E">
      <w:start w:val="1"/>
      <w:numFmt w:val="lowerLetter"/>
      <w:lvlText w:val="(%4)"/>
      <w:lvlJc w:val="left"/>
      <w:pPr>
        <w:ind w:left="1795" w:hanging="429"/>
        <w:jc w:val="left"/>
      </w:pPr>
      <w:rPr>
        <w:rFonts w:ascii="Times New Roman" w:eastAsia="Times New Roman" w:hAnsi="Times New Roman" w:cs="Times New Roman" w:hint="default"/>
        <w:spacing w:val="-1"/>
        <w:w w:val="108"/>
        <w:sz w:val="20"/>
        <w:szCs w:val="20"/>
      </w:rPr>
    </w:lvl>
    <w:lvl w:ilvl="4" w:tplc="640A6A7C">
      <w:numFmt w:val="bullet"/>
      <w:lvlText w:val="•"/>
      <w:lvlJc w:val="left"/>
      <w:pPr>
        <w:ind w:left="2582" w:hanging="429"/>
      </w:pPr>
      <w:rPr>
        <w:rFonts w:hint="default"/>
      </w:rPr>
    </w:lvl>
    <w:lvl w:ilvl="5" w:tplc="72325F58">
      <w:numFmt w:val="bullet"/>
      <w:lvlText w:val="•"/>
      <w:lvlJc w:val="left"/>
      <w:pPr>
        <w:ind w:left="3364" w:hanging="429"/>
      </w:pPr>
      <w:rPr>
        <w:rFonts w:hint="default"/>
      </w:rPr>
    </w:lvl>
    <w:lvl w:ilvl="6" w:tplc="4290F412">
      <w:numFmt w:val="bullet"/>
      <w:lvlText w:val="•"/>
      <w:lvlJc w:val="left"/>
      <w:pPr>
        <w:ind w:left="4146" w:hanging="429"/>
      </w:pPr>
      <w:rPr>
        <w:rFonts w:hint="default"/>
      </w:rPr>
    </w:lvl>
    <w:lvl w:ilvl="7" w:tplc="0A68A484">
      <w:numFmt w:val="bullet"/>
      <w:lvlText w:val="•"/>
      <w:lvlJc w:val="left"/>
      <w:pPr>
        <w:ind w:left="4929" w:hanging="429"/>
      </w:pPr>
      <w:rPr>
        <w:rFonts w:hint="default"/>
      </w:rPr>
    </w:lvl>
    <w:lvl w:ilvl="8" w:tplc="00481348">
      <w:numFmt w:val="bullet"/>
      <w:lvlText w:val="•"/>
      <w:lvlJc w:val="left"/>
      <w:pPr>
        <w:ind w:left="5711" w:hanging="429"/>
      </w:pPr>
      <w:rPr>
        <w:rFonts w:hint="default"/>
      </w:rPr>
    </w:lvl>
  </w:abstractNum>
  <w:abstractNum w:abstractNumId="83" w15:restartNumberingAfterBreak="0">
    <w:nsid w:val="495F0518"/>
    <w:multiLevelType w:val="hybridMultilevel"/>
    <w:tmpl w:val="3880000A"/>
    <w:lvl w:ilvl="0" w:tplc="B6BA70F6">
      <w:numFmt w:val="bullet"/>
      <w:lvlText w:val="•"/>
      <w:lvlJc w:val="left"/>
      <w:pPr>
        <w:ind w:left="729" w:hanging="223"/>
      </w:pPr>
      <w:rPr>
        <w:rFonts w:ascii="Times New Roman" w:eastAsia="Times New Roman" w:hAnsi="Times New Roman" w:cs="Times New Roman" w:hint="default"/>
        <w:w w:val="104"/>
        <w:sz w:val="20"/>
        <w:szCs w:val="20"/>
      </w:rPr>
    </w:lvl>
    <w:lvl w:ilvl="1" w:tplc="F5EAD5F2">
      <w:numFmt w:val="bullet"/>
      <w:lvlText w:val="•"/>
      <w:lvlJc w:val="left"/>
      <w:pPr>
        <w:ind w:left="1419" w:hanging="223"/>
      </w:pPr>
      <w:rPr>
        <w:rFonts w:hint="default"/>
      </w:rPr>
    </w:lvl>
    <w:lvl w:ilvl="2" w:tplc="21A05016">
      <w:numFmt w:val="bullet"/>
      <w:lvlText w:val="•"/>
      <w:lvlJc w:val="left"/>
      <w:pPr>
        <w:ind w:left="2119" w:hanging="223"/>
      </w:pPr>
      <w:rPr>
        <w:rFonts w:hint="default"/>
      </w:rPr>
    </w:lvl>
    <w:lvl w:ilvl="3" w:tplc="F488AF22">
      <w:numFmt w:val="bullet"/>
      <w:lvlText w:val="•"/>
      <w:lvlJc w:val="left"/>
      <w:pPr>
        <w:ind w:left="2819" w:hanging="223"/>
      </w:pPr>
      <w:rPr>
        <w:rFonts w:hint="default"/>
      </w:rPr>
    </w:lvl>
    <w:lvl w:ilvl="4" w:tplc="5BE0F382">
      <w:numFmt w:val="bullet"/>
      <w:lvlText w:val="•"/>
      <w:lvlJc w:val="left"/>
      <w:pPr>
        <w:ind w:left="3518" w:hanging="223"/>
      </w:pPr>
      <w:rPr>
        <w:rFonts w:hint="default"/>
      </w:rPr>
    </w:lvl>
    <w:lvl w:ilvl="5" w:tplc="60E6CDDA">
      <w:numFmt w:val="bullet"/>
      <w:lvlText w:val="•"/>
      <w:lvlJc w:val="left"/>
      <w:pPr>
        <w:ind w:left="4218" w:hanging="223"/>
      </w:pPr>
      <w:rPr>
        <w:rFonts w:hint="default"/>
      </w:rPr>
    </w:lvl>
    <w:lvl w:ilvl="6" w:tplc="B804F458">
      <w:numFmt w:val="bullet"/>
      <w:lvlText w:val="•"/>
      <w:lvlJc w:val="left"/>
      <w:pPr>
        <w:ind w:left="4918" w:hanging="223"/>
      </w:pPr>
      <w:rPr>
        <w:rFonts w:hint="default"/>
      </w:rPr>
    </w:lvl>
    <w:lvl w:ilvl="7" w:tplc="7AE2B43A">
      <w:numFmt w:val="bullet"/>
      <w:lvlText w:val="•"/>
      <w:lvlJc w:val="left"/>
      <w:pPr>
        <w:ind w:left="5617" w:hanging="223"/>
      </w:pPr>
      <w:rPr>
        <w:rFonts w:hint="default"/>
      </w:rPr>
    </w:lvl>
    <w:lvl w:ilvl="8" w:tplc="8D2A0FC0">
      <w:numFmt w:val="bullet"/>
      <w:lvlText w:val="•"/>
      <w:lvlJc w:val="left"/>
      <w:pPr>
        <w:ind w:left="6317" w:hanging="223"/>
      </w:pPr>
      <w:rPr>
        <w:rFonts w:hint="default"/>
      </w:rPr>
    </w:lvl>
  </w:abstractNum>
  <w:abstractNum w:abstractNumId="84" w15:restartNumberingAfterBreak="0">
    <w:nsid w:val="4A474182"/>
    <w:multiLevelType w:val="hybridMultilevel"/>
    <w:tmpl w:val="996C5FA6"/>
    <w:lvl w:ilvl="0" w:tplc="EFF4000E">
      <w:numFmt w:val="bullet"/>
      <w:lvlText w:val="■"/>
      <w:lvlJc w:val="left"/>
      <w:pPr>
        <w:ind w:left="621" w:hanging="379"/>
      </w:pPr>
      <w:rPr>
        <w:rFonts w:ascii="Arial" w:eastAsia="Arial" w:hAnsi="Arial" w:cs="Arial" w:hint="default"/>
        <w:w w:val="98"/>
        <w:sz w:val="49"/>
        <w:szCs w:val="49"/>
      </w:rPr>
    </w:lvl>
    <w:lvl w:ilvl="1" w:tplc="613A59B6">
      <w:start w:val="1"/>
      <w:numFmt w:val="upperLetter"/>
      <w:lvlText w:val="%2."/>
      <w:lvlJc w:val="left"/>
      <w:pPr>
        <w:ind w:left="954" w:hanging="308"/>
        <w:jc w:val="left"/>
      </w:pPr>
      <w:rPr>
        <w:rFonts w:hint="default"/>
        <w:spacing w:val="-1"/>
        <w:w w:val="92"/>
      </w:rPr>
    </w:lvl>
    <w:lvl w:ilvl="2" w:tplc="247A9FA2">
      <w:start w:val="1"/>
      <w:numFmt w:val="decimal"/>
      <w:lvlText w:val="(%3)"/>
      <w:lvlJc w:val="left"/>
      <w:pPr>
        <w:ind w:left="1376" w:hanging="423"/>
        <w:jc w:val="left"/>
      </w:pPr>
      <w:rPr>
        <w:rFonts w:hint="default"/>
        <w:w w:val="103"/>
      </w:rPr>
    </w:lvl>
    <w:lvl w:ilvl="3" w:tplc="AA169F8E">
      <w:numFmt w:val="bullet"/>
      <w:lvlText w:val="•"/>
      <w:lvlJc w:val="left"/>
      <w:pPr>
        <w:ind w:left="2115" w:hanging="423"/>
      </w:pPr>
      <w:rPr>
        <w:rFonts w:hint="default"/>
      </w:rPr>
    </w:lvl>
    <w:lvl w:ilvl="4" w:tplc="733E7772">
      <w:numFmt w:val="bullet"/>
      <w:lvlText w:val="•"/>
      <w:lvlJc w:val="left"/>
      <w:pPr>
        <w:ind w:left="2850" w:hanging="423"/>
      </w:pPr>
      <w:rPr>
        <w:rFonts w:hint="default"/>
      </w:rPr>
    </w:lvl>
    <w:lvl w:ilvl="5" w:tplc="DC8A1BD4">
      <w:numFmt w:val="bullet"/>
      <w:lvlText w:val="•"/>
      <w:lvlJc w:val="left"/>
      <w:pPr>
        <w:ind w:left="3585" w:hanging="423"/>
      </w:pPr>
      <w:rPr>
        <w:rFonts w:hint="default"/>
      </w:rPr>
    </w:lvl>
    <w:lvl w:ilvl="6" w:tplc="DB98F4F4">
      <w:numFmt w:val="bullet"/>
      <w:lvlText w:val="•"/>
      <w:lvlJc w:val="left"/>
      <w:pPr>
        <w:ind w:left="4321" w:hanging="423"/>
      </w:pPr>
      <w:rPr>
        <w:rFonts w:hint="default"/>
      </w:rPr>
    </w:lvl>
    <w:lvl w:ilvl="7" w:tplc="C76028F8">
      <w:numFmt w:val="bullet"/>
      <w:lvlText w:val="•"/>
      <w:lvlJc w:val="left"/>
      <w:pPr>
        <w:ind w:left="5056" w:hanging="423"/>
      </w:pPr>
      <w:rPr>
        <w:rFonts w:hint="default"/>
      </w:rPr>
    </w:lvl>
    <w:lvl w:ilvl="8" w:tplc="098A571E">
      <w:numFmt w:val="bullet"/>
      <w:lvlText w:val="•"/>
      <w:lvlJc w:val="left"/>
      <w:pPr>
        <w:ind w:left="5791" w:hanging="423"/>
      </w:pPr>
      <w:rPr>
        <w:rFonts w:hint="default"/>
      </w:rPr>
    </w:lvl>
  </w:abstractNum>
  <w:abstractNum w:abstractNumId="85" w15:restartNumberingAfterBreak="0">
    <w:nsid w:val="4AFC61AB"/>
    <w:multiLevelType w:val="multilevel"/>
    <w:tmpl w:val="60946A2E"/>
    <w:lvl w:ilvl="0">
      <w:start w:val="294"/>
      <w:numFmt w:val="decimal"/>
      <w:lvlText w:val="%1"/>
      <w:lvlJc w:val="left"/>
      <w:pPr>
        <w:ind w:left="1564" w:hanging="911"/>
        <w:jc w:val="left"/>
      </w:pPr>
      <w:rPr>
        <w:rFonts w:hint="default"/>
      </w:rPr>
    </w:lvl>
    <w:lvl w:ilvl="1">
      <w:start w:val="8"/>
      <w:numFmt w:val="decimal"/>
      <w:lvlText w:val="%1.%2"/>
      <w:lvlJc w:val="left"/>
      <w:pPr>
        <w:ind w:left="1564" w:hanging="911"/>
        <w:jc w:val="left"/>
      </w:pPr>
      <w:rPr>
        <w:rFonts w:ascii="Arial" w:eastAsia="Arial" w:hAnsi="Arial" w:cs="Arial" w:hint="default"/>
        <w:b/>
        <w:bCs/>
        <w:spacing w:val="-1"/>
        <w:w w:val="106"/>
        <w:sz w:val="26"/>
        <w:szCs w:val="26"/>
      </w:rPr>
    </w:lvl>
    <w:lvl w:ilvl="2">
      <w:numFmt w:val="bullet"/>
      <w:lvlText w:val="•"/>
      <w:lvlJc w:val="left"/>
      <w:pPr>
        <w:ind w:left="2799" w:hanging="911"/>
      </w:pPr>
      <w:rPr>
        <w:rFonts w:hint="default"/>
      </w:rPr>
    </w:lvl>
    <w:lvl w:ilvl="3">
      <w:numFmt w:val="bullet"/>
      <w:lvlText w:val="•"/>
      <w:lvlJc w:val="left"/>
      <w:pPr>
        <w:ind w:left="3419" w:hanging="911"/>
      </w:pPr>
      <w:rPr>
        <w:rFonts w:hint="default"/>
      </w:rPr>
    </w:lvl>
    <w:lvl w:ilvl="4">
      <w:numFmt w:val="bullet"/>
      <w:lvlText w:val="•"/>
      <w:lvlJc w:val="left"/>
      <w:pPr>
        <w:ind w:left="4038" w:hanging="911"/>
      </w:pPr>
      <w:rPr>
        <w:rFonts w:hint="default"/>
      </w:rPr>
    </w:lvl>
    <w:lvl w:ilvl="5">
      <w:numFmt w:val="bullet"/>
      <w:lvlText w:val="•"/>
      <w:lvlJc w:val="left"/>
      <w:pPr>
        <w:ind w:left="4658" w:hanging="911"/>
      </w:pPr>
      <w:rPr>
        <w:rFonts w:hint="default"/>
      </w:rPr>
    </w:lvl>
    <w:lvl w:ilvl="6">
      <w:numFmt w:val="bullet"/>
      <w:lvlText w:val="•"/>
      <w:lvlJc w:val="left"/>
      <w:pPr>
        <w:ind w:left="5278" w:hanging="911"/>
      </w:pPr>
      <w:rPr>
        <w:rFonts w:hint="default"/>
      </w:rPr>
    </w:lvl>
    <w:lvl w:ilvl="7">
      <w:numFmt w:val="bullet"/>
      <w:lvlText w:val="•"/>
      <w:lvlJc w:val="left"/>
      <w:pPr>
        <w:ind w:left="5897" w:hanging="911"/>
      </w:pPr>
      <w:rPr>
        <w:rFonts w:hint="default"/>
      </w:rPr>
    </w:lvl>
    <w:lvl w:ilvl="8">
      <w:numFmt w:val="bullet"/>
      <w:lvlText w:val="•"/>
      <w:lvlJc w:val="left"/>
      <w:pPr>
        <w:ind w:left="6517" w:hanging="911"/>
      </w:pPr>
      <w:rPr>
        <w:rFonts w:hint="default"/>
      </w:rPr>
    </w:lvl>
  </w:abstractNum>
  <w:abstractNum w:abstractNumId="86" w15:restartNumberingAfterBreak="0">
    <w:nsid w:val="4BD200DA"/>
    <w:multiLevelType w:val="hybridMultilevel"/>
    <w:tmpl w:val="CC383CEE"/>
    <w:lvl w:ilvl="0" w:tplc="C12C6A7A">
      <w:numFmt w:val="bullet"/>
      <w:lvlText w:val="■"/>
      <w:lvlJc w:val="left"/>
      <w:pPr>
        <w:ind w:left="625" w:hanging="374"/>
      </w:pPr>
      <w:rPr>
        <w:rFonts w:ascii="Arial" w:eastAsia="Arial" w:hAnsi="Arial" w:cs="Arial" w:hint="default"/>
        <w:w w:val="98"/>
        <w:sz w:val="49"/>
        <w:szCs w:val="49"/>
      </w:rPr>
    </w:lvl>
    <w:lvl w:ilvl="1" w:tplc="3F702DC8">
      <w:start w:val="1"/>
      <w:numFmt w:val="upperLetter"/>
      <w:lvlText w:val="%2."/>
      <w:lvlJc w:val="left"/>
      <w:pPr>
        <w:ind w:left="953" w:hanging="311"/>
        <w:jc w:val="left"/>
      </w:pPr>
      <w:rPr>
        <w:rFonts w:ascii="Times New Roman" w:eastAsia="Times New Roman" w:hAnsi="Times New Roman" w:cs="Times New Roman" w:hint="default"/>
        <w:spacing w:val="-1"/>
        <w:w w:val="92"/>
        <w:sz w:val="20"/>
        <w:szCs w:val="20"/>
      </w:rPr>
    </w:lvl>
    <w:lvl w:ilvl="2" w:tplc="D66473CC">
      <w:numFmt w:val="bullet"/>
      <w:lvlText w:val="•"/>
      <w:lvlJc w:val="left"/>
      <w:pPr>
        <w:ind w:left="1661" w:hanging="311"/>
      </w:pPr>
      <w:rPr>
        <w:rFonts w:hint="default"/>
      </w:rPr>
    </w:lvl>
    <w:lvl w:ilvl="3" w:tplc="F03CBF7E">
      <w:numFmt w:val="bullet"/>
      <w:lvlText w:val="•"/>
      <w:lvlJc w:val="left"/>
      <w:pPr>
        <w:ind w:left="2362" w:hanging="311"/>
      </w:pPr>
      <w:rPr>
        <w:rFonts w:hint="default"/>
      </w:rPr>
    </w:lvl>
    <w:lvl w:ilvl="4" w:tplc="C12EB19C">
      <w:numFmt w:val="bullet"/>
      <w:lvlText w:val="•"/>
      <w:lvlJc w:val="left"/>
      <w:pPr>
        <w:ind w:left="3064" w:hanging="311"/>
      </w:pPr>
      <w:rPr>
        <w:rFonts w:hint="default"/>
      </w:rPr>
    </w:lvl>
    <w:lvl w:ilvl="5" w:tplc="61AA443A">
      <w:numFmt w:val="bullet"/>
      <w:lvlText w:val="•"/>
      <w:lvlJc w:val="left"/>
      <w:pPr>
        <w:ind w:left="3765" w:hanging="311"/>
      </w:pPr>
      <w:rPr>
        <w:rFonts w:hint="default"/>
      </w:rPr>
    </w:lvl>
    <w:lvl w:ilvl="6" w:tplc="D18EB43E">
      <w:numFmt w:val="bullet"/>
      <w:lvlText w:val="•"/>
      <w:lvlJc w:val="left"/>
      <w:pPr>
        <w:ind w:left="4466" w:hanging="311"/>
      </w:pPr>
      <w:rPr>
        <w:rFonts w:hint="default"/>
      </w:rPr>
    </w:lvl>
    <w:lvl w:ilvl="7" w:tplc="225CAE26">
      <w:numFmt w:val="bullet"/>
      <w:lvlText w:val="•"/>
      <w:lvlJc w:val="left"/>
      <w:pPr>
        <w:ind w:left="5168" w:hanging="311"/>
      </w:pPr>
      <w:rPr>
        <w:rFonts w:hint="default"/>
      </w:rPr>
    </w:lvl>
    <w:lvl w:ilvl="8" w:tplc="75AEF320">
      <w:numFmt w:val="bullet"/>
      <w:lvlText w:val="•"/>
      <w:lvlJc w:val="left"/>
      <w:pPr>
        <w:ind w:left="5869" w:hanging="311"/>
      </w:pPr>
      <w:rPr>
        <w:rFonts w:hint="default"/>
      </w:rPr>
    </w:lvl>
  </w:abstractNum>
  <w:abstractNum w:abstractNumId="87" w15:restartNumberingAfterBreak="0">
    <w:nsid w:val="4D2D7BC6"/>
    <w:multiLevelType w:val="hybridMultilevel"/>
    <w:tmpl w:val="7FEAD6D2"/>
    <w:lvl w:ilvl="0" w:tplc="CDAE44AE">
      <w:numFmt w:val="bullet"/>
      <w:lvlText w:val="■"/>
      <w:lvlJc w:val="left"/>
      <w:pPr>
        <w:ind w:left="604" w:hanging="374"/>
      </w:pPr>
      <w:rPr>
        <w:rFonts w:ascii="Arial" w:eastAsia="Arial" w:hAnsi="Arial" w:cs="Arial" w:hint="default"/>
        <w:w w:val="98"/>
        <w:sz w:val="49"/>
        <w:szCs w:val="49"/>
      </w:rPr>
    </w:lvl>
    <w:lvl w:ilvl="1" w:tplc="48F44CE6">
      <w:start w:val="1"/>
      <w:numFmt w:val="upperLetter"/>
      <w:lvlText w:val="%2."/>
      <w:lvlJc w:val="left"/>
      <w:pPr>
        <w:ind w:left="939" w:hanging="310"/>
        <w:jc w:val="left"/>
      </w:pPr>
      <w:rPr>
        <w:rFonts w:ascii="Arial" w:eastAsia="Arial" w:hAnsi="Arial" w:cs="Arial" w:hint="default"/>
        <w:spacing w:val="-1"/>
        <w:w w:val="107"/>
        <w:sz w:val="18"/>
        <w:szCs w:val="18"/>
      </w:rPr>
    </w:lvl>
    <w:lvl w:ilvl="2" w:tplc="98E8763C">
      <w:numFmt w:val="bullet"/>
      <w:lvlText w:val="•"/>
      <w:lvlJc w:val="left"/>
      <w:pPr>
        <w:ind w:left="1640" w:hanging="310"/>
      </w:pPr>
      <w:rPr>
        <w:rFonts w:hint="default"/>
      </w:rPr>
    </w:lvl>
    <w:lvl w:ilvl="3" w:tplc="5BECFD38">
      <w:numFmt w:val="bullet"/>
      <w:lvlText w:val="•"/>
      <w:lvlJc w:val="left"/>
      <w:pPr>
        <w:ind w:left="2341" w:hanging="310"/>
      </w:pPr>
      <w:rPr>
        <w:rFonts w:hint="default"/>
      </w:rPr>
    </w:lvl>
    <w:lvl w:ilvl="4" w:tplc="1520CC9A">
      <w:numFmt w:val="bullet"/>
      <w:lvlText w:val="•"/>
      <w:lvlJc w:val="left"/>
      <w:pPr>
        <w:ind w:left="3041" w:hanging="310"/>
      </w:pPr>
      <w:rPr>
        <w:rFonts w:hint="default"/>
      </w:rPr>
    </w:lvl>
    <w:lvl w:ilvl="5" w:tplc="ABF2CF22">
      <w:numFmt w:val="bullet"/>
      <w:lvlText w:val="•"/>
      <w:lvlJc w:val="left"/>
      <w:pPr>
        <w:ind w:left="3742" w:hanging="310"/>
      </w:pPr>
      <w:rPr>
        <w:rFonts w:hint="default"/>
      </w:rPr>
    </w:lvl>
    <w:lvl w:ilvl="6" w:tplc="F79CD6E4">
      <w:numFmt w:val="bullet"/>
      <w:lvlText w:val="•"/>
      <w:lvlJc w:val="left"/>
      <w:pPr>
        <w:ind w:left="4443" w:hanging="310"/>
      </w:pPr>
      <w:rPr>
        <w:rFonts w:hint="default"/>
      </w:rPr>
    </w:lvl>
    <w:lvl w:ilvl="7" w:tplc="6EB8121C">
      <w:numFmt w:val="bullet"/>
      <w:lvlText w:val="•"/>
      <w:lvlJc w:val="left"/>
      <w:pPr>
        <w:ind w:left="5143" w:hanging="310"/>
      </w:pPr>
      <w:rPr>
        <w:rFonts w:hint="default"/>
      </w:rPr>
    </w:lvl>
    <w:lvl w:ilvl="8" w:tplc="FDF0935A">
      <w:numFmt w:val="bullet"/>
      <w:lvlText w:val="•"/>
      <w:lvlJc w:val="left"/>
      <w:pPr>
        <w:ind w:left="5844" w:hanging="310"/>
      </w:pPr>
      <w:rPr>
        <w:rFonts w:hint="default"/>
      </w:rPr>
    </w:lvl>
  </w:abstractNum>
  <w:abstractNum w:abstractNumId="88" w15:restartNumberingAfterBreak="0">
    <w:nsid w:val="4E4040F3"/>
    <w:multiLevelType w:val="hybridMultilevel"/>
    <w:tmpl w:val="FC946616"/>
    <w:lvl w:ilvl="0" w:tplc="B5A8A15A">
      <w:numFmt w:val="bullet"/>
      <w:lvlText w:val="■"/>
      <w:lvlJc w:val="left"/>
      <w:pPr>
        <w:ind w:left="630" w:hanging="375"/>
      </w:pPr>
      <w:rPr>
        <w:rFonts w:ascii="Arial" w:eastAsia="Arial" w:hAnsi="Arial" w:cs="Arial" w:hint="default"/>
        <w:w w:val="98"/>
        <w:sz w:val="50"/>
        <w:szCs w:val="50"/>
      </w:rPr>
    </w:lvl>
    <w:lvl w:ilvl="1" w:tplc="664C084A">
      <w:start w:val="1"/>
      <w:numFmt w:val="upperLetter"/>
      <w:lvlText w:val="%2."/>
      <w:lvlJc w:val="left"/>
      <w:pPr>
        <w:ind w:left="959" w:hanging="302"/>
        <w:jc w:val="left"/>
      </w:pPr>
      <w:rPr>
        <w:rFonts w:hint="default"/>
        <w:spacing w:val="-1"/>
        <w:w w:val="107"/>
      </w:rPr>
    </w:lvl>
    <w:lvl w:ilvl="2" w:tplc="40427EE8">
      <w:numFmt w:val="bullet"/>
      <w:lvlText w:val="•"/>
      <w:lvlJc w:val="left"/>
      <w:pPr>
        <w:ind w:left="1661" w:hanging="302"/>
      </w:pPr>
      <w:rPr>
        <w:rFonts w:hint="default"/>
      </w:rPr>
    </w:lvl>
    <w:lvl w:ilvl="3" w:tplc="1A604DD4">
      <w:numFmt w:val="bullet"/>
      <w:lvlText w:val="•"/>
      <w:lvlJc w:val="left"/>
      <w:pPr>
        <w:ind w:left="2363" w:hanging="302"/>
      </w:pPr>
      <w:rPr>
        <w:rFonts w:hint="default"/>
      </w:rPr>
    </w:lvl>
    <w:lvl w:ilvl="4" w:tplc="49F48296">
      <w:numFmt w:val="bullet"/>
      <w:lvlText w:val="•"/>
      <w:lvlJc w:val="left"/>
      <w:pPr>
        <w:ind w:left="3064" w:hanging="302"/>
      </w:pPr>
      <w:rPr>
        <w:rFonts w:hint="default"/>
      </w:rPr>
    </w:lvl>
    <w:lvl w:ilvl="5" w:tplc="5394CF10">
      <w:numFmt w:val="bullet"/>
      <w:lvlText w:val="•"/>
      <w:lvlJc w:val="left"/>
      <w:pPr>
        <w:ind w:left="3766" w:hanging="302"/>
      </w:pPr>
      <w:rPr>
        <w:rFonts w:hint="default"/>
      </w:rPr>
    </w:lvl>
    <w:lvl w:ilvl="6" w:tplc="3A9850B6">
      <w:numFmt w:val="bullet"/>
      <w:lvlText w:val="•"/>
      <w:lvlJc w:val="left"/>
      <w:pPr>
        <w:ind w:left="4468" w:hanging="302"/>
      </w:pPr>
      <w:rPr>
        <w:rFonts w:hint="default"/>
      </w:rPr>
    </w:lvl>
    <w:lvl w:ilvl="7" w:tplc="C5A029FE">
      <w:numFmt w:val="bullet"/>
      <w:lvlText w:val="•"/>
      <w:lvlJc w:val="left"/>
      <w:pPr>
        <w:ind w:left="5169" w:hanging="302"/>
      </w:pPr>
      <w:rPr>
        <w:rFonts w:hint="default"/>
      </w:rPr>
    </w:lvl>
    <w:lvl w:ilvl="8" w:tplc="497C86DE">
      <w:numFmt w:val="bullet"/>
      <w:lvlText w:val="•"/>
      <w:lvlJc w:val="left"/>
      <w:pPr>
        <w:ind w:left="5871" w:hanging="302"/>
      </w:pPr>
      <w:rPr>
        <w:rFonts w:hint="default"/>
      </w:rPr>
    </w:lvl>
  </w:abstractNum>
  <w:abstractNum w:abstractNumId="89" w15:restartNumberingAfterBreak="0">
    <w:nsid w:val="4FFD51DF"/>
    <w:multiLevelType w:val="hybridMultilevel"/>
    <w:tmpl w:val="4872C9C0"/>
    <w:lvl w:ilvl="0" w:tplc="45A89CB0">
      <w:numFmt w:val="bullet"/>
      <w:lvlText w:val="■"/>
      <w:lvlJc w:val="left"/>
      <w:pPr>
        <w:ind w:left="588" w:hanging="373"/>
      </w:pPr>
      <w:rPr>
        <w:rFonts w:ascii="Arial" w:eastAsia="Arial" w:hAnsi="Arial" w:cs="Arial" w:hint="default"/>
        <w:w w:val="100"/>
        <w:sz w:val="48"/>
        <w:szCs w:val="48"/>
      </w:rPr>
    </w:lvl>
    <w:lvl w:ilvl="1" w:tplc="B3F08D32">
      <w:start w:val="1"/>
      <w:numFmt w:val="upperLetter"/>
      <w:lvlText w:val="%2."/>
      <w:lvlJc w:val="left"/>
      <w:pPr>
        <w:ind w:left="916" w:hanging="307"/>
        <w:jc w:val="left"/>
      </w:pPr>
      <w:rPr>
        <w:rFonts w:hint="default"/>
        <w:spacing w:val="-1"/>
        <w:w w:val="103"/>
      </w:rPr>
    </w:lvl>
    <w:lvl w:ilvl="2" w:tplc="23200B28">
      <w:numFmt w:val="bullet"/>
      <w:lvlText w:val="•"/>
      <w:lvlJc w:val="left"/>
      <w:pPr>
        <w:ind w:left="1626" w:hanging="307"/>
      </w:pPr>
      <w:rPr>
        <w:rFonts w:hint="default"/>
      </w:rPr>
    </w:lvl>
    <w:lvl w:ilvl="3" w:tplc="7682F954">
      <w:numFmt w:val="bullet"/>
      <w:lvlText w:val="•"/>
      <w:lvlJc w:val="left"/>
      <w:pPr>
        <w:ind w:left="2332" w:hanging="307"/>
      </w:pPr>
      <w:rPr>
        <w:rFonts w:hint="default"/>
      </w:rPr>
    </w:lvl>
    <w:lvl w:ilvl="4" w:tplc="BB149D44">
      <w:numFmt w:val="bullet"/>
      <w:lvlText w:val="•"/>
      <w:lvlJc w:val="left"/>
      <w:pPr>
        <w:ind w:left="3038" w:hanging="307"/>
      </w:pPr>
      <w:rPr>
        <w:rFonts w:hint="default"/>
      </w:rPr>
    </w:lvl>
    <w:lvl w:ilvl="5" w:tplc="E088818C">
      <w:numFmt w:val="bullet"/>
      <w:lvlText w:val="•"/>
      <w:lvlJc w:val="left"/>
      <w:pPr>
        <w:ind w:left="3744" w:hanging="307"/>
      </w:pPr>
      <w:rPr>
        <w:rFonts w:hint="default"/>
      </w:rPr>
    </w:lvl>
    <w:lvl w:ilvl="6" w:tplc="6D8E6B2E">
      <w:numFmt w:val="bullet"/>
      <w:lvlText w:val="•"/>
      <w:lvlJc w:val="left"/>
      <w:pPr>
        <w:ind w:left="4450" w:hanging="307"/>
      </w:pPr>
      <w:rPr>
        <w:rFonts w:hint="default"/>
      </w:rPr>
    </w:lvl>
    <w:lvl w:ilvl="7" w:tplc="5498E586">
      <w:numFmt w:val="bullet"/>
      <w:lvlText w:val="•"/>
      <w:lvlJc w:val="left"/>
      <w:pPr>
        <w:ind w:left="5156" w:hanging="307"/>
      </w:pPr>
      <w:rPr>
        <w:rFonts w:hint="default"/>
      </w:rPr>
    </w:lvl>
    <w:lvl w:ilvl="8" w:tplc="0558392C">
      <w:numFmt w:val="bullet"/>
      <w:lvlText w:val="•"/>
      <w:lvlJc w:val="left"/>
      <w:pPr>
        <w:ind w:left="5862" w:hanging="307"/>
      </w:pPr>
      <w:rPr>
        <w:rFonts w:hint="default"/>
      </w:rPr>
    </w:lvl>
  </w:abstractNum>
  <w:abstractNum w:abstractNumId="90" w15:restartNumberingAfterBreak="0">
    <w:nsid w:val="50A800BC"/>
    <w:multiLevelType w:val="hybridMultilevel"/>
    <w:tmpl w:val="AB4AEB6C"/>
    <w:lvl w:ilvl="0" w:tplc="52807390">
      <w:numFmt w:val="bullet"/>
      <w:lvlText w:val="■"/>
      <w:lvlJc w:val="left"/>
      <w:pPr>
        <w:ind w:left="593" w:hanging="379"/>
      </w:pPr>
      <w:rPr>
        <w:rFonts w:ascii="Arial" w:eastAsia="Arial" w:hAnsi="Arial" w:cs="Arial" w:hint="default"/>
        <w:w w:val="98"/>
        <w:sz w:val="50"/>
        <w:szCs w:val="50"/>
      </w:rPr>
    </w:lvl>
    <w:lvl w:ilvl="1" w:tplc="DE1A36B2">
      <w:start w:val="1"/>
      <w:numFmt w:val="upperLetter"/>
      <w:lvlText w:val="%2."/>
      <w:lvlJc w:val="left"/>
      <w:pPr>
        <w:ind w:left="921" w:hanging="311"/>
        <w:jc w:val="left"/>
      </w:pPr>
      <w:rPr>
        <w:rFonts w:ascii="Times New Roman" w:eastAsia="Times New Roman" w:hAnsi="Times New Roman" w:cs="Times New Roman" w:hint="default"/>
        <w:spacing w:val="-1"/>
        <w:w w:val="95"/>
        <w:sz w:val="20"/>
        <w:szCs w:val="20"/>
      </w:rPr>
    </w:lvl>
    <w:lvl w:ilvl="2" w:tplc="929A86D6">
      <w:numFmt w:val="bullet"/>
      <w:lvlText w:val="•"/>
      <w:lvlJc w:val="left"/>
      <w:pPr>
        <w:ind w:left="1624" w:hanging="311"/>
      </w:pPr>
      <w:rPr>
        <w:rFonts w:hint="default"/>
      </w:rPr>
    </w:lvl>
    <w:lvl w:ilvl="3" w:tplc="57802D48">
      <w:numFmt w:val="bullet"/>
      <w:lvlText w:val="•"/>
      <w:lvlJc w:val="left"/>
      <w:pPr>
        <w:ind w:left="2329" w:hanging="311"/>
      </w:pPr>
      <w:rPr>
        <w:rFonts w:hint="default"/>
      </w:rPr>
    </w:lvl>
    <w:lvl w:ilvl="4" w:tplc="8AA44A36">
      <w:numFmt w:val="bullet"/>
      <w:lvlText w:val="•"/>
      <w:lvlJc w:val="left"/>
      <w:pPr>
        <w:ind w:left="3034" w:hanging="311"/>
      </w:pPr>
      <w:rPr>
        <w:rFonts w:hint="default"/>
      </w:rPr>
    </w:lvl>
    <w:lvl w:ilvl="5" w:tplc="8D4C3976">
      <w:numFmt w:val="bullet"/>
      <w:lvlText w:val="•"/>
      <w:lvlJc w:val="left"/>
      <w:pPr>
        <w:ind w:left="3739" w:hanging="311"/>
      </w:pPr>
      <w:rPr>
        <w:rFonts w:hint="default"/>
      </w:rPr>
    </w:lvl>
    <w:lvl w:ilvl="6" w:tplc="D99A6CFC">
      <w:numFmt w:val="bullet"/>
      <w:lvlText w:val="•"/>
      <w:lvlJc w:val="left"/>
      <w:pPr>
        <w:ind w:left="4444" w:hanging="311"/>
      </w:pPr>
      <w:rPr>
        <w:rFonts w:hint="default"/>
      </w:rPr>
    </w:lvl>
    <w:lvl w:ilvl="7" w:tplc="78FAB3B0">
      <w:numFmt w:val="bullet"/>
      <w:lvlText w:val="•"/>
      <w:lvlJc w:val="left"/>
      <w:pPr>
        <w:ind w:left="5149" w:hanging="311"/>
      </w:pPr>
      <w:rPr>
        <w:rFonts w:hint="default"/>
      </w:rPr>
    </w:lvl>
    <w:lvl w:ilvl="8" w:tplc="0F9C300C">
      <w:numFmt w:val="bullet"/>
      <w:lvlText w:val="•"/>
      <w:lvlJc w:val="left"/>
      <w:pPr>
        <w:ind w:left="5854" w:hanging="311"/>
      </w:pPr>
      <w:rPr>
        <w:rFonts w:hint="default"/>
      </w:rPr>
    </w:lvl>
  </w:abstractNum>
  <w:abstractNum w:abstractNumId="91" w15:restartNumberingAfterBreak="0">
    <w:nsid w:val="511901BF"/>
    <w:multiLevelType w:val="hybridMultilevel"/>
    <w:tmpl w:val="3E7CA3C4"/>
    <w:lvl w:ilvl="0" w:tplc="03367374">
      <w:start w:val="1"/>
      <w:numFmt w:val="decimal"/>
      <w:lvlText w:val="(%1)"/>
      <w:lvlJc w:val="left"/>
      <w:pPr>
        <w:ind w:left="730" w:hanging="427"/>
        <w:jc w:val="left"/>
      </w:pPr>
      <w:rPr>
        <w:rFonts w:hint="default"/>
        <w:spacing w:val="-1"/>
        <w:w w:val="106"/>
        <w:position w:val="2"/>
      </w:rPr>
    </w:lvl>
    <w:lvl w:ilvl="1" w:tplc="A150F528">
      <w:numFmt w:val="bullet"/>
      <w:lvlText w:val="•"/>
      <w:lvlJc w:val="left"/>
      <w:pPr>
        <w:ind w:left="1308" w:hanging="427"/>
      </w:pPr>
      <w:rPr>
        <w:rFonts w:hint="default"/>
      </w:rPr>
    </w:lvl>
    <w:lvl w:ilvl="2" w:tplc="81703D0E">
      <w:numFmt w:val="bullet"/>
      <w:lvlText w:val="•"/>
      <w:lvlJc w:val="left"/>
      <w:pPr>
        <w:ind w:left="1876" w:hanging="427"/>
      </w:pPr>
      <w:rPr>
        <w:rFonts w:hint="default"/>
      </w:rPr>
    </w:lvl>
    <w:lvl w:ilvl="3" w:tplc="B8D2C13E">
      <w:numFmt w:val="bullet"/>
      <w:lvlText w:val="•"/>
      <w:lvlJc w:val="left"/>
      <w:pPr>
        <w:ind w:left="2444" w:hanging="427"/>
      </w:pPr>
      <w:rPr>
        <w:rFonts w:hint="default"/>
      </w:rPr>
    </w:lvl>
    <w:lvl w:ilvl="4" w:tplc="EAB22E22">
      <w:numFmt w:val="bullet"/>
      <w:lvlText w:val="•"/>
      <w:lvlJc w:val="left"/>
      <w:pPr>
        <w:ind w:left="3012" w:hanging="427"/>
      </w:pPr>
      <w:rPr>
        <w:rFonts w:hint="default"/>
      </w:rPr>
    </w:lvl>
    <w:lvl w:ilvl="5" w:tplc="35D45D22">
      <w:numFmt w:val="bullet"/>
      <w:lvlText w:val="•"/>
      <w:lvlJc w:val="left"/>
      <w:pPr>
        <w:ind w:left="3580" w:hanging="427"/>
      </w:pPr>
      <w:rPr>
        <w:rFonts w:hint="default"/>
      </w:rPr>
    </w:lvl>
    <w:lvl w:ilvl="6" w:tplc="571A0340">
      <w:numFmt w:val="bullet"/>
      <w:lvlText w:val="•"/>
      <w:lvlJc w:val="left"/>
      <w:pPr>
        <w:ind w:left="4149" w:hanging="427"/>
      </w:pPr>
      <w:rPr>
        <w:rFonts w:hint="default"/>
      </w:rPr>
    </w:lvl>
    <w:lvl w:ilvl="7" w:tplc="F3F6AC24">
      <w:numFmt w:val="bullet"/>
      <w:lvlText w:val="•"/>
      <w:lvlJc w:val="left"/>
      <w:pPr>
        <w:ind w:left="4717" w:hanging="427"/>
      </w:pPr>
      <w:rPr>
        <w:rFonts w:hint="default"/>
      </w:rPr>
    </w:lvl>
    <w:lvl w:ilvl="8" w:tplc="62E4365C">
      <w:numFmt w:val="bullet"/>
      <w:lvlText w:val="•"/>
      <w:lvlJc w:val="left"/>
      <w:pPr>
        <w:ind w:left="5285" w:hanging="427"/>
      </w:pPr>
      <w:rPr>
        <w:rFonts w:hint="default"/>
      </w:rPr>
    </w:lvl>
  </w:abstractNum>
  <w:abstractNum w:abstractNumId="92" w15:restartNumberingAfterBreak="0">
    <w:nsid w:val="533567E6"/>
    <w:multiLevelType w:val="hybridMultilevel"/>
    <w:tmpl w:val="46220948"/>
    <w:lvl w:ilvl="0" w:tplc="727A2476">
      <w:numFmt w:val="bullet"/>
      <w:lvlText w:val="■"/>
      <w:lvlJc w:val="left"/>
      <w:pPr>
        <w:ind w:left="626" w:hanging="374"/>
      </w:pPr>
      <w:rPr>
        <w:rFonts w:ascii="Arial" w:eastAsia="Arial" w:hAnsi="Arial" w:cs="Arial" w:hint="default"/>
        <w:w w:val="98"/>
        <w:sz w:val="49"/>
        <w:szCs w:val="49"/>
      </w:rPr>
    </w:lvl>
    <w:lvl w:ilvl="1" w:tplc="41F26944">
      <w:start w:val="1"/>
      <w:numFmt w:val="upperLetter"/>
      <w:lvlText w:val="%2."/>
      <w:lvlJc w:val="left"/>
      <w:pPr>
        <w:ind w:left="954" w:hanging="312"/>
        <w:jc w:val="left"/>
      </w:pPr>
      <w:rPr>
        <w:rFonts w:ascii="Times New Roman" w:eastAsia="Times New Roman" w:hAnsi="Times New Roman" w:cs="Times New Roman" w:hint="default"/>
        <w:spacing w:val="-1"/>
        <w:w w:val="95"/>
        <w:sz w:val="20"/>
        <w:szCs w:val="20"/>
      </w:rPr>
    </w:lvl>
    <w:lvl w:ilvl="2" w:tplc="C4988BF8">
      <w:start w:val="1"/>
      <w:numFmt w:val="decimal"/>
      <w:lvlText w:val="(%3)"/>
      <w:lvlJc w:val="left"/>
      <w:pPr>
        <w:ind w:left="1377" w:hanging="425"/>
        <w:jc w:val="left"/>
      </w:pPr>
      <w:rPr>
        <w:rFonts w:hint="default"/>
        <w:w w:val="104"/>
      </w:rPr>
    </w:lvl>
    <w:lvl w:ilvl="3" w:tplc="0A70DD7E">
      <w:numFmt w:val="bullet"/>
      <w:lvlText w:val="•"/>
      <w:lvlJc w:val="left"/>
      <w:pPr>
        <w:ind w:left="2115" w:hanging="425"/>
      </w:pPr>
      <w:rPr>
        <w:rFonts w:hint="default"/>
      </w:rPr>
    </w:lvl>
    <w:lvl w:ilvl="4" w:tplc="EFCE37A4">
      <w:numFmt w:val="bullet"/>
      <w:lvlText w:val="•"/>
      <w:lvlJc w:val="left"/>
      <w:pPr>
        <w:ind w:left="2851" w:hanging="425"/>
      </w:pPr>
      <w:rPr>
        <w:rFonts w:hint="default"/>
      </w:rPr>
    </w:lvl>
    <w:lvl w:ilvl="5" w:tplc="E9F28BFE">
      <w:numFmt w:val="bullet"/>
      <w:lvlText w:val="•"/>
      <w:lvlJc w:val="left"/>
      <w:pPr>
        <w:ind w:left="3586" w:hanging="425"/>
      </w:pPr>
      <w:rPr>
        <w:rFonts w:hint="default"/>
      </w:rPr>
    </w:lvl>
    <w:lvl w:ilvl="6" w:tplc="0B78573C">
      <w:numFmt w:val="bullet"/>
      <w:lvlText w:val="•"/>
      <w:lvlJc w:val="left"/>
      <w:pPr>
        <w:ind w:left="4322" w:hanging="425"/>
      </w:pPr>
      <w:rPr>
        <w:rFonts w:hint="default"/>
      </w:rPr>
    </w:lvl>
    <w:lvl w:ilvl="7" w:tplc="FE2447FE">
      <w:numFmt w:val="bullet"/>
      <w:lvlText w:val="•"/>
      <w:lvlJc w:val="left"/>
      <w:pPr>
        <w:ind w:left="5058" w:hanging="425"/>
      </w:pPr>
      <w:rPr>
        <w:rFonts w:hint="default"/>
      </w:rPr>
    </w:lvl>
    <w:lvl w:ilvl="8" w:tplc="3462F7E0">
      <w:numFmt w:val="bullet"/>
      <w:lvlText w:val="•"/>
      <w:lvlJc w:val="left"/>
      <w:pPr>
        <w:ind w:left="5793" w:hanging="425"/>
      </w:pPr>
      <w:rPr>
        <w:rFonts w:hint="default"/>
      </w:rPr>
    </w:lvl>
  </w:abstractNum>
  <w:abstractNum w:abstractNumId="93" w15:restartNumberingAfterBreak="0">
    <w:nsid w:val="5354108E"/>
    <w:multiLevelType w:val="hybridMultilevel"/>
    <w:tmpl w:val="8DC67BC2"/>
    <w:lvl w:ilvl="0" w:tplc="31480814">
      <w:numFmt w:val="bullet"/>
      <w:lvlText w:val="■"/>
      <w:lvlJc w:val="left"/>
      <w:pPr>
        <w:ind w:left="621" w:hanging="375"/>
      </w:pPr>
      <w:rPr>
        <w:rFonts w:ascii="Arial" w:eastAsia="Arial" w:hAnsi="Arial" w:cs="Arial" w:hint="default"/>
        <w:w w:val="98"/>
        <w:sz w:val="50"/>
        <w:szCs w:val="50"/>
      </w:rPr>
    </w:lvl>
    <w:lvl w:ilvl="1" w:tplc="54140EC6">
      <w:start w:val="1"/>
      <w:numFmt w:val="upperLetter"/>
      <w:lvlText w:val="%2."/>
      <w:lvlJc w:val="left"/>
      <w:pPr>
        <w:ind w:left="891" w:hanging="245"/>
        <w:jc w:val="left"/>
      </w:pPr>
      <w:rPr>
        <w:rFonts w:ascii="Times New Roman" w:eastAsia="Times New Roman" w:hAnsi="Times New Roman" w:cs="Times New Roman" w:hint="default"/>
        <w:spacing w:val="-1"/>
        <w:w w:val="95"/>
        <w:sz w:val="20"/>
        <w:szCs w:val="20"/>
      </w:rPr>
    </w:lvl>
    <w:lvl w:ilvl="2" w:tplc="3EB64A7C">
      <w:numFmt w:val="bullet"/>
      <w:lvlText w:val="•"/>
      <w:lvlJc w:val="left"/>
      <w:pPr>
        <w:ind w:left="1607" w:hanging="245"/>
      </w:pPr>
      <w:rPr>
        <w:rFonts w:hint="default"/>
      </w:rPr>
    </w:lvl>
    <w:lvl w:ilvl="3" w:tplc="FC5ABB68">
      <w:numFmt w:val="bullet"/>
      <w:lvlText w:val="•"/>
      <w:lvlJc w:val="left"/>
      <w:pPr>
        <w:ind w:left="2315" w:hanging="245"/>
      </w:pPr>
      <w:rPr>
        <w:rFonts w:hint="default"/>
      </w:rPr>
    </w:lvl>
    <w:lvl w:ilvl="4" w:tplc="31584BD8">
      <w:numFmt w:val="bullet"/>
      <w:lvlText w:val="•"/>
      <w:lvlJc w:val="left"/>
      <w:pPr>
        <w:ind w:left="3022" w:hanging="245"/>
      </w:pPr>
      <w:rPr>
        <w:rFonts w:hint="default"/>
      </w:rPr>
    </w:lvl>
    <w:lvl w:ilvl="5" w:tplc="366C20B8">
      <w:numFmt w:val="bullet"/>
      <w:lvlText w:val="•"/>
      <w:lvlJc w:val="left"/>
      <w:pPr>
        <w:ind w:left="3730" w:hanging="245"/>
      </w:pPr>
      <w:rPr>
        <w:rFonts w:hint="default"/>
      </w:rPr>
    </w:lvl>
    <w:lvl w:ilvl="6" w:tplc="76FE5A56">
      <w:numFmt w:val="bullet"/>
      <w:lvlText w:val="•"/>
      <w:lvlJc w:val="left"/>
      <w:pPr>
        <w:ind w:left="4437" w:hanging="245"/>
      </w:pPr>
      <w:rPr>
        <w:rFonts w:hint="default"/>
      </w:rPr>
    </w:lvl>
    <w:lvl w:ilvl="7" w:tplc="1C9C0C6C">
      <w:numFmt w:val="bullet"/>
      <w:lvlText w:val="•"/>
      <w:lvlJc w:val="left"/>
      <w:pPr>
        <w:ind w:left="5145" w:hanging="245"/>
      </w:pPr>
      <w:rPr>
        <w:rFonts w:hint="default"/>
      </w:rPr>
    </w:lvl>
    <w:lvl w:ilvl="8" w:tplc="06984F88">
      <w:numFmt w:val="bullet"/>
      <w:lvlText w:val="•"/>
      <w:lvlJc w:val="left"/>
      <w:pPr>
        <w:ind w:left="5852" w:hanging="245"/>
      </w:pPr>
      <w:rPr>
        <w:rFonts w:hint="default"/>
      </w:rPr>
    </w:lvl>
  </w:abstractNum>
  <w:abstractNum w:abstractNumId="94" w15:restartNumberingAfterBreak="0">
    <w:nsid w:val="53B50F04"/>
    <w:multiLevelType w:val="hybridMultilevel"/>
    <w:tmpl w:val="808CF086"/>
    <w:lvl w:ilvl="0" w:tplc="DC54296E">
      <w:numFmt w:val="bullet"/>
      <w:lvlText w:val="□"/>
      <w:lvlJc w:val="left"/>
      <w:pPr>
        <w:ind w:left="591" w:hanging="328"/>
      </w:pPr>
      <w:rPr>
        <w:rFonts w:ascii="Arial" w:eastAsia="Arial" w:hAnsi="Arial" w:cs="Arial" w:hint="default"/>
        <w:w w:val="99"/>
        <w:sz w:val="36"/>
        <w:szCs w:val="36"/>
      </w:rPr>
    </w:lvl>
    <w:lvl w:ilvl="1" w:tplc="CAA6F1A2">
      <w:start w:val="3"/>
      <w:numFmt w:val="decimal"/>
      <w:lvlText w:val="(%2)"/>
      <w:lvlJc w:val="left"/>
      <w:pPr>
        <w:ind w:left="1379" w:hanging="429"/>
        <w:jc w:val="left"/>
      </w:pPr>
      <w:rPr>
        <w:rFonts w:ascii="Times New Roman" w:eastAsia="Times New Roman" w:hAnsi="Times New Roman" w:cs="Times New Roman" w:hint="default"/>
        <w:w w:val="89"/>
        <w:sz w:val="17"/>
        <w:szCs w:val="17"/>
      </w:rPr>
    </w:lvl>
    <w:lvl w:ilvl="2" w:tplc="614E706A">
      <w:start w:val="1"/>
      <w:numFmt w:val="lowerLetter"/>
      <w:lvlText w:val="(%3)"/>
      <w:lvlJc w:val="left"/>
      <w:pPr>
        <w:ind w:left="1803" w:hanging="425"/>
        <w:jc w:val="left"/>
      </w:pPr>
      <w:rPr>
        <w:rFonts w:ascii="Times New Roman" w:eastAsia="Times New Roman" w:hAnsi="Times New Roman" w:cs="Times New Roman" w:hint="default"/>
        <w:spacing w:val="-1"/>
        <w:w w:val="110"/>
        <w:sz w:val="20"/>
        <w:szCs w:val="20"/>
      </w:rPr>
    </w:lvl>
    <w:lvl w:ilvl="3" w:tplc="2AA42C56">
      <w:numFmt w:val="bullet"/>
      <w:lvlText w:val="•"/>
      <w:lvlJc w:val="left"/>
      <w:pPr>
        <w:ind w:left="2483" w:hanging="425"/>
      </w:pPr>
      <w:rPr>
        <w:rFonts w:hint="default"/>
      </w:rPr>
    </w:lvl>
    <w:lvl w:ilvl="4" w:tplc="5F4A32DE">
      <w:numFmt w:val="bullet"/>
      <w:lvlText w:val="•"/>
      <w:lvlJc w:val="left"/>
      <w:pPr>
        <w:ind w:left="3166" w:hanging="425"/>
      </w:pPr>
      <w:rPr>
        <w:rFonts w:hint="default"/>
      </w:rPr>
    </w:lvl>
    <w:lvl w:ilvl="5" w:tplc="C8A05582">
      <w:numFmt w:val="bullet"/>
      <w:lvlText w:val="•"/>
      <w:lvlJc w:val="left"/>
      <w:pPr>
        <w:ind w:left="3850" w:hanging="425"/>
      </w:pPr>
      <w:rPr>
        <w:rFonts w:hint="default"/>
      </w:rPr>
    </w:lvl>
    <w:lvl w:ilvl="6" w:tplc="B0F085E0">
      <w:numFmt w:val="bullet"/>
      <w:lvlText w:val="•"/>
      <w:lvlJc w:val="left"/>
      <w:pPr>
        <w:ind w:left="4533" w:hanging="425"/>
      </w:pPr>
      <w:rPr>
        <w:rFonts w:hint="default"/>
      </w:rPr>
    </w:lvl>
    <w:lvl w:ilvl="7" w:tplc="603C7B68">
      <w:numFmt w:val="bullet"/>
      <w:lvlText w:val="•"/>
      <w:lvlJc w:val="left"/>
      <w:pPr>
        <w:ind w:left="5216" w:hanging="425"/>
      </w:pPr>
      <w:rPr>
        <w:rFonts w:hint="default"/>
      </w:rPr>
    </w:lvl>
    <w:lvl w:ilvl="8" w:tplc="BF56E4BE">
      <w:numFmt w:val="bullet"/>
      <w:lvlText w:val="•"/>
      <w:lvlJc w:val="left"/>
      <w:pPr>
        <w:ind w:left="5900" w:hanging="425"/>
      </w:pPr>
      <w:rPr>
        <w:rFonts w:hint="default"/>
      </w:rPr>
    </w:lvl>
  </w:abstractNum>
  <w:abstractNum w:abstractNumId="95" w15:restartNumberingAfterBreak="0">
    <w:nsid w:val="544B7F99"/>
    <w:multiLevelType w:val="multilevel"/>
    <w:tmpl w:val="0032C53A"/>
    <w:lvl w:ilvl="0">
      <w:start w:val="292"/>
      <w:numFmt w:val="decimal"/>
      <w:lvlText w:val="%1"/>
      <w:lvlJc w:val="left"/>
      <w:pPr>
        <w:ind w:left="886" w:hanging="722"/>
        <w:jc w:val="left"/>
      </w:pPr>
      <w:rPr>
        <w:rFonts w:hint="default"/>
      </w:rPr>
    </w:lvl>
    <w:lvl w:ilvl="1">
      <w:start w:val="81"/>
      <w:numFmt w:val="decimal"/>
      <w:lvlText w:val="%1.%2"/>
      <w:lvlJc w:val="left"/>
      <w:pPr>
        <w:ind w:left="886" w:hanging="722"/>
        <w:jc w:val="left"/>
      </w:pPr>
      <w:rPr>
        <w:rFonts w:ascii="Times New Roman" w:eastAsia="Times New Roman" w:hAnsi="Times New Roman" w:cs="Times New Roman" w:hint="default"/>
        <w:w w:val="105"/>
        <w:sz w:val="19"/>
        <w:szCs w:val="19"/>
      </w:rPr>
    </w:lvl>
    <w:lvl w:ilvl="2">
      <w:numFmt w:val="bullet"/>
      <w:lvlText w:val="•"/>
      <w:lvlJc w:val="left"/>
      <w:pPr>
        <w:ind w:left="1467" w:hanging="722"/>
      </w:pPr>
      <w:rPr>
        <w:rFonts w:hint="default"/>
      </w:rPr>
    </w:lvl>
    <w:lvl w:ilvl="3">
      <w:numFmt w:val="bullet"/>
      <w:lvlText w:val="•"/>
      <w:lvlJc w:val="left"/>
      <w:pPr>
        <w:ind w:left="1760" w:hanging="722"/>
      </w:pPr>
      <w:rPr>
        <w:rFonts w:hint="default"/>
      </w:rPr>
    </w:lvl>
    <w:lvl w:ilvl="4">
      <w:numFmt w:val="bullet"/>
      <w:lvlText w:val="•"/>
      <w:lvlJc w:val="left"/>
      <w:pPr>
        <w:ind w:left="2054" w:hanging="722"/>
      </w:pPr>
      <w:rPr>
        <w:rFonts w:hint="default"/>
      </w:rPr>
    </w:lvl>
    <w:lvl w:ilvl="5">
      <w:numFmt w:val="bullet"/>
      <w:lvlText w:val="•"/>
      <w:lvlJc w:val="left"/>
      <w:pPr>
        <w:ind w:left="2348" w:hanging="722"/>
      </w:pPr>
      <w:rPr>
        <w:rFonts w:hint="default"/>
      </w:rPr>
    </w:lvl>
    <w:lvl w:ilvl="6">
      <w:numFmt w:val="bullet"/>
      <w:lvlText w:val="•"/>
      <w:lvlJc w:val="left"/>
      <w:pPr>
        <w:ind w:left="2641" w:hanging="722"/>
      </w:pPr>
      <w:rPr>
        <w:rFonts w:hint="default"/>
      </w:rPr>
    </w:lvl>
    <w:lvl w:ilvl="7">
      <w:numFmt w:val="bullet"/>
      <w:lvlText w:val="•"/>
      <w:lvlJc w:val="left"/>
      <w:pPr>
        <w:ind w:left="2935" w:hanging="722"/>
      </w:pPr>
      <w:rPr>
        <w:rFonts w:hint="default"/>
      </w:rPr>
    </w:lvl>
    <w:lvl w:ilvl="8">
      <w:numFmt w:val="bullet"/>
      <w:lvlText w:val="•"/>
      <w:lvlJc w:val="left"/>
      <w:pPr>
        <w:ind w:left="3229" w:hanging="722"/>
      </w:pPr>
      <w:rPr>
        <w:rFonts w:hint="default"/>
      </w:rPr>
    </w:lvl>
  </w:abstractNum>
  <w:abstractNum w:abstractNumId="96" w15:restartNumberingAfterBreak="0">
    <w:nsid w:val="54592455"/>
    <w:multiLevelType w:val="hybridMultilevel"/>
    <w:tmpl w:val="266AF87A"/>
    <w:lvl w:ilvl="0" w:tplc="0F7A1122">
      <w:numFmt w:val="bullet"/>
      <w:lvlText w:val="■"/>
      <w:lvlJc w:val="left"/>
      <w:pPr>
        <w:ind w:left="628" w:hanging="378"/>
      </w:pPr>
      <w:rPr>
        <w:rFonts w:ascii="Arial" w:eastAsia="Arial" w:hAnsi="Arial" w:cs="Arial" w:hint="default"/>
        <w:w w:val="100"/>
        <w:sz w:val="48"/>
        <w:szCs w:val="48"/>
      </w:rPr>
    </w:lvl>
    <w:lvl w:ilvl="1" w:tplc="A9A828AC">
      <w:start w:val="1"/>
      <w:numFmt w:val="upperLetter"/>
      <w:lvlText w:val="%2."/>
      <w:lvlJc w:val="left"/>
      <w:pPr>
        <w:ind w:left="956" w:hanging="312"/>
        <w:jc w:val="left"/>
      </w:pPr>
      <w:rPr>
        <w:rFonts w:hint="default"/>
        <w:spacing w:val="-1"/>
        <w:w w:val="95"/>
      </w:rPr>
    </w:lvl>
    <w:lvl w:ilvl="2" w:tplc="D396A15A">
      <w:start w:val="1"/>
      <w:numFmt w:val="decimal"/>
      <w:lvlText w:val="(%3)"/>
      <w:lvlJc w:val="left"/>
      <w:pPr>
        <w:ind w:left="1387" w:hanging="429"/>
        <w:jc w:val="left"/>
      </w:pPr>
      <w:rPr>
        <w:rFonts w:hint="default"/>
        <w:w w:val="103"/>
      </w:rPr>
    </w:lvl>
    <w:lvl w:ilvl="3" w:tplc="A7C6C9CA">
      <w:numFmt w:val="bullet"/>
      <w:lvlText w:val="•"/>
      <w:lvlJc w:val="left"/>
      <w:pPr>
        <w:ind w:left="2116" w:hanging="429"/>
      </w:pPr>
      <w:rPr>
        <w:rFonts w:hint="default"/>
      </w:rPr>
    </w:lvl>
    <w:lvl w:ilvl="4" w:tplc="079402AE">
      <w:numFmt w:val="bullet"/>
      <w:lvlText w:val="•"/>
      <w:lvlJc w:val="left"/>
      <w:pPr>
        <w:ind w:left="2852" w:hanging="429"/>
      </w:pPr>
      <w:rPr>
        <w:rFonts w:hint="default"/>
      </w:rPr>
    </w:lvl>
    <w:lvl w:ilvl="5" w:tplc="33BAE1AE">
      <w:numFmt w:val="bullet"/>
      <w:lvlText w:val="•"/>
      <w:lvlJc w:val="left"/>
      <w:pPr>
        <w:ind w:left="3588" w:hanging="429"/>
      </w:pPr>
      <w:rPr>
        <w:rFonts w:hint="default"/>
      </w:rPr>
    </w:lvl>
    <w:lvl w:ilvl="6" w:tplc="61CA0F6E">
      <w:numFmt w:val="bullet"/>
      <w:lvlText w:val="•"/>
      <w:lvlJc w:val="left"/>
      <w:pPr>
        <w:ind w:left="4325" w:hanging="429"/>
      </w:pPr>
      <w:rPr>
        <w:rFonts w:hint="default"/>
      </w:rPr>
    </w:lvl>
    <w:lvl w:ilvl="7" w:tplc="31C226DE">
      <w:numFmt w:val="bullet"/>
      <w:lvlText w:val="•"/>
      <w:lvlJc w:val="left"/>
      <w:pPr>
        <w:ind w:left="5061" w:hanging="429"/>
      </w:pPr>
      <w:rPr>
        <w:rFonts w:hint="default"/>
      </w:rPr>
    </w:lvl>
    <w:lvl w:ilvl="8" w:tplc="774649B6">
      <w:numFmt w:val="bullet"/>
      <w:lvlText w:val="•"/>
      <w:lvlJc w:val="left"/>
      <w:pPr>
        <w:ind w:left="5797" w:hanging="429"/>
      </w:pPr>
      <w:rPr>
        <w:rFonts w:hint="default"/>
      </w:rPr>
    </w:lvl>
  </w:abstractNum>
  <w:abstractNum w:abstractNumId="97" w15:restartNumberingAfterBreak="0">
    <w:nsid w:val="54A75BBE"/>
    <w:multiLevelType w:val="hybridMultilevel"/>
    <w:tmpl w:val="B70CF4F8"/>
    <w:lvl w:ilvl="0" w:tplc="5F92D434">
      <w:numFmt w:val="bullet"/>
      <w:lvlText w:val="■"/>
      <w:lvlJc w:val="left"/>
      <w:pPr>
        <w:ind w:left="627" w:hanging="381"/>
      </w:pPr>
      <w:rPr>
        <w:rFonts w:ascii="Arial" w:eastAsia="Arial" w:hAnsi="Arial" w:cs="Arial" w:hint="default"/>
        <w:w w:val="98"/>
        <w:sz w:val="50"/>
        <w:szCs w:val="50"/>
      </w:rPr>
    </w:lvl>
    <w:lvl w:ilvl="1" w:tplc="737E2DE2">
      <w:start w:val="1"/>
      <w:numFmt w:val="upperLetter"/>
      <w:lvlText w:val="%2."/>
      <w:lvlJc w:val="left"/>
      <w:pPr>
        <w:ind w:left="954" w:hanging="299"/>
        <w:jc w:val="left"/>
      </w:pPr>
      <w:rPr>
        <w:rFonts w:ascii="Times New Roman" w:eastAsia="Times New Roman" w:hAnsi="Times New Roman" w:cs="Times New Roman" w:hint="default"/>
        <w:spacing w:val="-1"/>
        <w:w w:val="92"/>
        <w:sz w:val="20"/>
        <w:szCs w:val="20"/>
      </w:rPr>
    </w:lvl>
    <w:lvl w:ilvl="2" w:tplc="923C8D9C">
      <w:numFmt w:val="bullet"/>
      <w:lvlText w:val="•"/>
      <w:lvlJc w:val="left"/>
      <w:pPr>
        <w:ind w:left="1660" w:hanging="299"/>
      </w:pPr>
      <w:rPr>
        <w:rFonts w:hint="default"/>
      </w:rPr>
    </w:lvl>
    <w:lvl w:ilvl="3" w:tplc="4112BDF0">
      <w:numFmt w:val="bullet"/>
      <w:lvlText w:val="•"/>
      <w:lvlJc w:val="left"/>
      <w:pPr>
        <w:ind w:left="2360" w:hanging="299"/>
      </w:pPr>
      <w:rPr>
        <w:rFonts w:hint="default"/>
      </w:rPr>
    </w:lvl>
    <w:lvl w:ilvl="4" w:tplc="500EB3AE">
      <w:numFmt w:val="bullet"/>
      <w:lvlText w:val="•"/>
      <w:lvlJc w:val="left"/>
      <w:pPr>
        <w:ind w:left="3061" w:hanging="299"/>
      </w:pPr>
      <w:rPr>
        <w:rFonts w:hint="default"/>
      </w:rPr>
    </w:lvl>
    <w:lvl w:ilvl="5" w:tplc="87DC96EA">
      <w:numFmt w:val="bullet"/>
      <w:lvlText w:val="•"/>
      <w:lvlJc w:val="left"/>
      <w:pPr>
        <w:ind w:left="3761" w:hanging="299"/>
      </w:pPr>
      <w:rPr>
        <w:rFonts w:hint="default"/>
      </w:rPr>
    </w:lvl>
    <w:lvl w:ilvl="6" w:tplc="0268AA1A">
      <w:numFmt w:val="bullet"/>
      <w:lvlText w:val="•"/>
      <w:lvlJc w:val="left"/>
      <w:pPr>
        <w:ind w:left="4461" w:hanging="299"/>
      </w:pPr>
      <w:rPr>
        <w:rFonts w:hint="default"/>
      </w:rPr>
    </w:lvl>
    <w:lvl w:ilvl="7" w:tplc="51ACCC42">
      <w:numFmt w:val="bullet"/>
      <w:lvlText w:val="•"/>
      <w:lvlJc w:val="left"/>
      <w:pPr>
        <w:ind w:left="5162" w:hanging="299"/>
      </w:pPr>
      <w:rPr>
        <w:rFonts w:hint="default"/>
      </w:rPr>
    </w:lvl>
    <w:lvl w:ilvl="8" w:tplc="78B4344A">
      <w:numFmt w:val="bullet"/>
      <w:lvlText w:val="•"/>
      <w:lvlJc w:val="left"/>
      <w:pPr>
        <w:ind w:left="5862" w:hanging="299"/>
      </w:pPr>
      <w:rPr>
        <w:rFonts w:hint="default"/>
      </w:rPr>
    </w:lvl>
  </w:abstractNum>
  <w:abstractNum w:abstractNumId="98" w15:restartNumberingAfterBreak="0">
    <w:nsid w:val="55056906"/>
    <w:multiLevelType w:val="hybridMultilevel"/>
    <w:tmpl w:val="A0F8F978"/>
    <w:lvl w:ilvl="0" w:tplc="09EACFA8">
      <w:numFmt w:val="bullet"/>
      <w:lvlText w:val="■"/>
      <w:lvlJc w:val="left"/>
      <w:pPr>
        <w:ind w:left="628" w:hanging="375"/>
      </w:pPr>
      <w:rPr>
        <w:rFonts w:ascii="Arial" w:eastAsia="Arial" w:hAnsi="Arial" w:cs="Arial" w:hint="default"/>
        <w:w w:val="98"/>
        <w:sz w:val="50"/>
        <w:szCs w:val="50"/>
      </w:rPr>
    </w:lvl>
    <w:lvl w:ilvl="1" w:tplc="F26CB574">
      <w:start w:val="1"/>
      <w:numFmt w:val="decimal"/>
      <w:lvlText w:val="(%2)"/>
      <w:lvlJc w:val="left"/>
      <w:pPr>
        <w:ind w:left="1380" w:hanging="417"/>
        <w:jc w:val="left"/>
      </w:pPr>
      <w:rPr>
        <w:rFonts w:ascii="Times New Roman" w:eastAsia="Times New Roman" w:hAnsi="Times New Roman" w:cs="Times New Roman" w:hint="default"/>
        <w:w w:val="103"/>
        <w:sz w:val="18"/>
        <w:szCs w:val="18"/>
      </w:rPr>
    </w:lvl>
    <w:lvl w:ilvl="2" w:tplc="CCECFE8C">
      <w:start w:val="1"/>
      <w:numFmt w:val="lowerLetter"/>
      <w:lvlText w:val="(%3)"/>
      <w:lvlJc w:val="left"/>
      <w:pPr>
        <w:ind w:left="1803" w:hanging="425"/>
        <w:jc w:val="left"/>
      </w:pPr>
      <w:rPr>
        <w:rFonts w:ascii="Times New Roman" w:eastAsia="Times New Roman" w:hAnsi="Times New Roman" w:cs="Times New Roman" w:hint="default"/>
        <w:spacing w:val="-1"/>
        <w:w w:val="110"/>
        <w:sz w:val="20"/>
        <w:szCs w:val="20"/>
      </w:rPr>
    </w:lvl>
    <w:lvl w:ilvl="3" w:tplc="C5F00F7C">
      <w:numFmt w:val="bullet"/>
      <w:lvlText w:val="•"/>
      <w:lvlJc w:val="left"/>
      <w:pPr>
        <w:ind w:left="1800" w:hanging="425"/>
      </w:pPr>
      <w:rPr>
        <w:rFonts w:hint="default"/>
      </w:rPr>
    </w:lvl>
    <w:lvl w:ilvl="4" w:tplc="60AACE88">
      <w:numFmt w:val="bullet"/>
      <w:lvlText w:val="•"/>
      <w:lvlJc w:val="left"/>
      <w:pPr>
        <w:ind w:left="2578" w:hanging="425"/>
      </w:pPr>
      <w:rPr>
        <w:rFonts w:hint="default"/>
      </w:rPr>
    </w:lvl>
    <w:lvl w:ilvl="5" w:tplc="EA988E5A">
      <w:numFmt w:val="bullet"/>
      <w:lvlText w:val="•"/>
      <w:lvlJc w:val="left"/>
      <w:pPr>
        <w:ind w:left="3357" w:hanging="425"/>
      </w:pPr>
      <w:rPr>
        <w:rFonts w:hint="default"/>
      </w:rPr>
    </w:lvl>
    <w:lvl w:ilvl="6" w:tplc="9DE4B104">
      <w:numFmt w:val="bullet"/>
      <w:lvlText w:val="•"/>
      <w:lvlJc w:val="left"/>
      <w:pPr>
        <w:ind w:left="4136" w:hanging="425"/>
      </w:pPr>
      <w:rPr>
        <w:rFonts w:hint="default"/>
      </w:rPr>
    </w:lvl>
    <w:lvl w:ilvl="7" w:tplc="5400D97C">
      <w:numFmt w:val="bullet"/>
      <w:lvlText w:val="•"/>
      <w:lvlJc w:val="left"/>
      <w:pPr>
        <w:ind w:left="4915" w:hanging="425"/>
      </w:pPr>
      <w:rPr>
        <w:rFonts w:hint="default"/>
      </w:rPr>
    </w:lvl>
    <w:lvl w:ilvl="8" w:tplc="149CF162">
      <w:numFmt w:val="bullet"/>
      <w:lvlText w:val="•"/>
      <w:lvlJc w:val="left"/>
      <w:pPr>
        <w:ind w:left="5694" w:hanging="425"/>
      </w:pPr>
      <w:rPr>
        <w:rFonts w:hint="default"/>
      </w:rPr>
    </w:lvl>
  </w:abstractNum>
  <w:abstractNum w:abstractNumId="99" w15:restartNumberingAfterBreak="0">
    <w:nsid w:val="551418AE"/>
    <w:multiLevelType w:val="hybridMultilevel"/>
    <w:tmpl w:val="EFF2C0CA"/>
    <w:lvl w:ilvl="0" w:tplc="85F22446">
      <w:numFmt w:val="bullet"/>
      <w:lvlText w:val="■"/>
      <w:lvlJc w:val="left"/>
      <w:pPr>
        <w:ind w:left="655" w:hanging="385"/>
      </w:pPr>
      <w:rPr>
        <w:rFonts w:hint="default"/>
        <w:w w:val="102"/>
      </w:rPr>
    </w:lvl>
    <w:lvl w:ilvl="1" w:tplc="E5B85E9C">
      <w:numFmt w:val="bullet"/>
      <w:lvlText w:val="•"/>
      <w:lvlJc w:val="left"/>
      <w:pPr>
        <w:ind w:left="1322" w:hanging="385"/>
      </w:pPr>
      <w:rPr>
        <w:rFonts w:hint="default"/>
      </w:rPr>
    </w:lvl>
    <w:lvl w:ilvl="2" w:tplc="1158D70E">
      <w:numFmt w:val="bullet"/>
      <w:lvlText w:val="•"/>
      <w:lvlJc w:val="left"/>
      <w:pPr>
        <w:ind w:left="1985" w:hanging="385"/>
      </w:pPr>
      <w:rPr>
        <w:rFonts w:hint="default"/>
      </w:rPr>
    </w:lvl>
    <w:lvl w:ilvl="3" w:tplc="EB62A250">
      <w:numFmt w:val="bullet"/>
      <w:lvlText w:val="•"/>
      <w:lvlJc w:val="left"/>
      <w:pPr>
        <w:ind w:left="2647" w:hanging="385"/>
      </w:pPr>
      <w:rPr>
        <w:rFonts w:hint="default"/>
      </w:rPr>
    </w:lvl>
    <w:lvl w:ilvl="4" w:tplc="57CA5482">
      <w:numFmt w:val="bullet"/>
      <w:lvlText w:val="•"/>
      <w:lvlJc w:val="left"/>
      <w:pPr>
        <w:ind w:left="3310" w:hanging="385"/>
      </w:pPr>
      <w:rPr>
        <w:rFonts w:hint="default"/>
      </w:rPr>
    </w:lvl>
    <w:lvl w:ilvl="5" w:tplc="6FA8DC66">
      <w:numFmt w:val="bullet"/>
      <w:lvlText w:val="•"/>
      <w:lvlJc w:val="left"/>
      <w:pPr>
        <w:ind w:left="3973" w:hanging="385"/>
      </w:pPr>
      <w:rPr>
        <w:rFonts w:hint="default"/>
      </w:rPr>
    </w:lvl>
    <w:lvl w:ilvl="6" w:tplc="DBFE5D80">
      <w:numFmt w:val="bullet"/>
      <w:lvlText w:val="•"/>
      <w:lvlJc w:val="left"/>
      <w:pPr>
        <w:ind w:left="4635" w:hanging="385"/>
      </w:pPr>
      <w:rPr>
        <w:rFonts w:hint="default"/>
      </w:rPr>
    </w:lvl>
    <w:lvl w:ilvl="7" w:tplc="672EC522">
      <w:numFmt w:val="bullet"/>
      <w:lvlText w:val="•"/>
      <w:lvlJc w:val="left"/>
      <w:pPr>
        <w:ind w:left="5298" w:hanging="385"/>
      </w:pPr>
      <w:rPr>
        <w:rFonts w:hint="default"/>
      </w:rPr>
    </w:lvl>
    <w:lvl w:ilvl="8" w:tplc="473E6EFE">
      <w:numFmt w:val="bullet"/>
      <w:lvlText w:val="•"/>
      <w:lvlJc w:val="left"/>
      <w:pPr>
        <w:ind w:left="5960" w:hanging="385"/>
      </w:pPr>
      <w:rPr>
        <w:rFonts w:hint="default"/>
      </w:rPr>
    </w:lvl>
  </w:abstractNum>
  <w:abstractNum w:abstractNumId="100" w15:restartNumberingAfterBreak="0">
    <w:nsid w:val="572B4DA3"/>
    <w:multiLevelType w:val="multilevel"/>
    <w:tmpl w:val="CC28C0D6"/>
    <w:lvl w:ilvl="0">
      <w:start w:val="318"/>
      <w:numFmt w:val="decimal"/>
      <w:lvlText w:val="%1"/>
      <w:lvlJc w:val="left"/>
      <w:pPr>
        <w:ind w:left="1276" w:hanging="611"/>
        <w:jc w:val="left"/>
      </w:pPr>
      <w:rPr>
        <w:rFonts w:hint="default"/>
      </w:rPr>
    </w:lvl>
    <w:lvl w:ilvl="1">
      <w:numFmt w:val="decimal"/>
      <w:lvlText w:val="%1.%2"/>
      <w:lvlJc w:val="left"/>
      <w:pPr>
        <w:ind w:left="1276" w:hanging="611"/>
        <w:jc w:val="left"/>
      </w:pPr>
      <w:rPr>
        <w:rFonts w:ascii="Times New Roman" w:eastAsia="Times New Roman" w:hAnsi="Times New Roman" w:cs="Times New Roman" w:hint="default"/>
        <w:b/>
        <w:bCs/>
        <w:w w:val="109"/>
        <w:sz w:val="20"/>
        <w:szCs w:val="20"/>
      </w:rPr>
    </w:lvl>
    <w:lvl w:ilvl="2">
      <w:numFmt w:val="bullet"/>
      <w:lvlText w:val="•"/>
      <w:lvlJc w:val="left"/>
      <w:pPr>
        <w:ind w:left="2476" w:hanging="611"/>
      </w:pPr>
      <w:rPr>
        <w:rFonts w:hint="default"/>
      </w:rPr>
    </w:lvl>
    <w:lvl w:ilvl="3">
      <w:numFmt w:val="bullet"/>
      <w:lvlText w:val="•"/>
      <w:lvlJc w:val="left"/>
      <w:pPr>
        <w:ind w:left="3074" w:hanging="611"/>
      </w:pPr>
      <w:rPr>
        <w:rFonts w:hint="default"/>
      </w:rPr>
    </w:lvl>
    <w:lvl w:ilvl="4">
      <w:numFmt w:val="bullet"/>
      <w:lvlText w:val="•"/>
      <w:lvlJc w:val="left"/>
      <w:pPr>
        <w:ind w:left="3672" w:hanging="611"/>
      </w:pPr>
      <w:rPr>
        <w:rFonts w:hint="default"/>
      </w:rPr>
    </w:lvl>
    <w:lvl w:ilvl="5">
      <w:numFmt w:val="bullet"/>
      <w:lvlText w:val="•"/>
      <w:lvlJc w:val="left"/>
      <w:pPr>
        <w:ind w:left="4270" w:hanging="611"/>
      </w:pPr>
      <w:rPr>
        <w:rFonts w:hint="default"/>
      </w:rPr>
    </w:lvl>
    <w:lvl w:ilvl="6">
      <w:numFmt w:val="bullet"/>
      <w:lvlText w:val="•"/>
      <w:lvlJc w:val="left"/>
      <w:pPr>
        <w:ind w:left="4868" w:hanging="611"/>
      </w:pPr>
      <w:rPr>
        <w:rFonts w:hint="default"/>
      </w:rPr>
    </w:lvl>
    <w:lvl w:ilvl="7">
      <w:numFmt w:val="bullet"/>
      <w:lvlText w:val="•"/>
      <w:lvlJc w:val="left"/>
      <w:pPr>
        <w:ind w:left="5466" w:hanging="611"/>
      </w:pPr>
      <w:rPr>
        <w:rFonts w:hint="default"/>
      </w:rPr>
    </w:lvl>
    <w:lvl w:ilvl="8">
      <w:numFmt w:val="bullet"/>
      <w:lvlText w:val="•"/>
      <w:lvlJc w:val="left"/>
      <w:pPr>
        <w:ind w:left="6064" w:hanging="611"/>
      </w:pPr>
      <w:rPr>
        <w:rFonts w:hint="default"/>
      </w:rPr>
    </w:lvl>
  </w:abstractNum>
  <w:abstractNum w:abstractNumId="101" w15:restartNumberingAfterBreak="0">
    <w:nsid w:val="572B587A"/>
    <w:multiLevelType w:val="hybridMultilevel"/>
    <w:tmpl w:val="FAC626DE"/>
    <w:lvl w:ilvl="0" w:tplc="7D7A22A2">
      <w:start w:val="1"/>
      <w:numFmt w:val="decimal"/>
      <w:lvlText w:val="%1."/>
      <w:lvlJc w:val="left"/>
      <w:pPr>
        <w:ind w:left="785" w:hanging="309"/>
        <w:jc w:val="left"/>
      </w:pPr>
      <w:rPr>
        <w:rFonts w:ascii="Times New Roman" w:eastAsia="Times New Roman" w:hAnsi="Times New Roman" w:cs="Times New Roman" w:hint="default"/>
        <w:w w:val="109"/>
        <w:sz w:val="20"/>
        <w:szCs w:val="20"/>
      </w:rPr>
    </w:lvl>
    <w:lvl w:ilvl="1" w:tplc="137023D4">
      <w:numFmt w:val="bullet"/>
      <w:lvlText w:val="•"/>
      <w:lvlJc w:val="left"/>
      <w:pPr>
        <w:ind w:left="1477" w:hanging="309"/>
      </w:pPr>
      <w:rPr>
        <w:rFonts w:hint="default"/>
      </w:rPr>
    </w:lvl>
    <w:lvl w:ilvl="2" w:tplc="DD300800">
      <w:numFmt w:val="bullet"/>
      <w:lvlText w:val="•"/>
      <w:lvlJc w:val="left"/>
      <w:pPr>
        <w:ind w:left="2175" w:hanging="309"/>
      </w:pPr>
      <w:rPr>
        <w:rFonts w:hint="default"/>
      </w:rPr>
    </w:lvl>
    <w:lvl w:ilvl="3" w:tplc="6986AB20">
      <w:numFmt w:val="bullet"/>
      <w:lvlText w:val="•"/>
      <w:lvlJc w:val="left"/>
      <w:pPr>
        <w:ind w:left="2873" w:hanging="309"/>
      </w:pPr>
      <w:rPr>
        <w:rFonts w:hint="default"/>
      </w:rPr>
    </w:lvl>
    <w:lvl w:ilvl="4" w:tplc="6EE608D6">
      <w:numFmt w:val="bullet"/>
      <w:lvlText w:val="•"/>
      <w:lvlJc w:val="left"/>
      <w:pPr>
        <w:ind w:left="3570" w:hanging="309"/>
      </w:pPr>
      <w:rPr>
        <w:rFonts w:hint="default"/>
      </w:rPr>
    </w:lvl>
    <w:lvl w:ilvl="5" w:tplc="4524DD88">
      <w:numFmt w:val="bullet"/>
      <w:lvlText w:val="•"/>
      <w:lvlJc w:val="left"/>
      <w:pPr>
        <w:ind w:left="4268" w:hanging="309"/>
      </w:pPr>
      <w:rPr>
        <w:rFonts w:hint="default"/>
      </w:rPr>
    </w:lvl>
    <w:lvl w:ilvl="6" w:tplc="4EEE67C4">
      <w:numFmt w:val="bullet"/>
      <w:lvlText w:val="•"/>
      <w:lvlJc w:val="left"/>
      <w:pPr>
        <w:ind w:left="4966" w:hanging="309"/>
      </w:pPr>
      <w:rPr>
        <w:rFonts w:hint="default"/>
      </w:rPr>
    </w:lvl>
    <w:lvl w:ilvl="7" w:tplc="4FF84CE6">
      <w:numFmt w:val="bullet"/>
      <w:lvlText w:val="•"/>
      <w:lvlJc w:val="left"/>
      <w:pPr>
        <w:ind w:left="5663" w:hanging="309"/>
      </w:pPr>
      <w:rPr>
        <w:rFonts w:hint="default"/>
      </w:rPr>
    </w:lvl>
    <w:lvl w:ilvl="8" w:tplc="A6E66072">
      <w:numFmt w:val="bullet"/>
      <w:lvlText w:val="•"/>
      <w:lvlJc w:val="left"/>
      <w:pPr>
        <w:ind w:left="6361" w:hanging="309"/>
      </w:pPr>
      <w:rPr>
        <w:rFonts w:hint="default"/>
      </w:rPr>
    </w:lvl>
  </w:abstractNum>
  <w:abstractNum w:abstractNumId="102" w15:restartNumberingAfterBreak="0">
    <w:nsid w:val="57A4774E"/>
    <w:multiLevelType w:val="hybridMultilevel"/>
    <w:tmpl w:val="84089F80"/>
    <w:lvl w:ilvl="0" w:tplc="94DADBB0">
      <w:numFmt w:val="bullet"/>
      <w:lvlText w:val="■"/>
      <w:lvlJc w:val="left"/>
      <w:pPr>
        <w:ind w:left="630" w:hanging="374"/>
      </w:pPr>
      <w:rPr>
        <w:rFonts w:ascii="Arial" w:eastAsia="Arial" w:hAnsi="Arial" w:cs="Arial" w:hint="default"/>
        <w:w w:val="98"/>
        <w:sz w:val="49"/>
        <w:szCs w:val="49"/>
      </w:rPr>
    </w:lvl>
    <w:lvl w:ilvl="1" w:tplc="80C4823C">
      <w:start w:val="1"/>
      <w:numFmt w:val="upperLetter"/>
      <w:lvlText w:val="%2."/>
      <w:lvlJc w:val="left"/>
      <w:pPr>
        <w:ind w:left="947" w:hanging="303"/>
        <w:jc w:val="left"/>
      </w:pPr>
      <w:rPr>
        <w:rFonts w:hint="default"/>
        <w:spacing w:val="-1"/>
        <w:w w:val="103"/>
      </w:rPr>
    </w:lvl>
    <w:lvl w:ilvl="2" w:tplc="C44E7014">
      <w:numFmt w:val="bullet"/>
      <w:lvlText w:val="•"/>
      <w:lvlJc w:val="left"/>
      <w:pPr>
        <w:ind w:left="1642" w:hanging="303"/>
      </w:pPr>
      <w:rPr>
        <w:rFonts w:hint="default"/>
      </w:rPr>
    </w:lvl>
    <w:lvl w:ilvl="3" w:tplc="22FA3632">
      <w:numFmt w:val="bullet"/>
      <w:lvlText w:val="•"/>
      <w:lvlJc w:val="left"/>
      <w:pPr>
        <w:ind w:left="2344" w:hanging="303"/>
      </w:pPr>
      <w:rPr>
        <w:rFonts w:hint="default"/>
      </w:rPr>
    </w:lvl>
    <w:lvl w:ilvl="4" w:tplc="89E801A0">
      <w:numFmt w:val="bullet"/>
      <w:lvlText w:val="•"/>
      <w:lvlJc w:val="left"/>
      <w:pPr>
        <w:ind w:left="3047" w:hanging="303"/>
      </w:pPr>
      <w:rPr>
        <w:rFonts w:hint="default"/>
      </w:rPr>
    </w:lvl>
    <w:lvl w:ilvl="5" w:tplc="C39E0176">
      <w:numFmt w:val="bullet"/>
      <w:lvlText w:val="•"/>
      <w:lvlJc w:val="left"/>
      <w:pPr>
        <w:ind w:left="3749" w:hanging="303"/>
      </w:pPr>
      <w:rPr>
        <w:rFonts w:hint="default"/>
      </w:rPr>
    </w:lvl>
    <w:lvl w:ilvl="6" w:tplc="694269E8">
      <w:numFmt w:val="bullet"/>
      <w:lvlText w:val="•"/>
      <w:lvlJc w:val="left"/>
      <w:pPr>
        <w:ind w:left="4452" w:hanging="303"/>
      </w:pPr>
      <w:rPr>
        <w:rFonts w:hint="default"/>
      </w:rPr>
    </w:lvl>
    <w:lvl w:ilvl="7" w:tplc="753863FA">
      <w:numFmt w:val="bullet"/>
      <w:lvlText w:val="•"/>
      <w:lvlJc w:val="left"/>
      <w:pPr>
        <w:ind w:left="5154" w:hanging="303"/>
      </w:pPr>
      <w:rPr>
        <w:rFonts w:hint="default"/>
      </w:rPr>
    </w:lvl>
    <w:lvl w:ilvl="8" w:tplc="F32C91E4">
      <w:numFmt w:val="bullet"/>
      <w:lvlText w:val="•"/>
      <w:lvlJc w:val="left"/>
      <w:pPr>
        <w:ind w:left="5857" w:hanging="303"/>
      </w:pPr>
      <w:rPr>
        <w:rFonts w:hint="default"/>
      </w:rPr>
    </w:lvl>
  </w:abstractNum>
  <w:abstractNum w:abstractNumId="103" w15:restartNumberingAfterBreak="0">
    <w:nsid w:val="5893464D"/>
    <w:multiLevelType w:val="hybridMultilevel"/>
    <w:tmpl w:val="8C0E8314"/>
    <w:lvl w:ilvl="0" w:tplc="F7B2EF86">
      <w:numFmt w:val="bullet"/>
      <w:lvlText w:val="■"/>
      <w:lvlJc w:val="left"/>
      <w:pPr>
        <w:ind w:left="626" w:hanging="373"/>
      </w:pPr>
      <w:rPr>
        <w:rFonts w:ascii="Arial" w:eastAsia="Arial" w:hAnsi="Arial" w:cs="Arial" w:hint="default"/>
        <w:w w:val="100"/>
        <w:sz w:val="48"/>
        <w:szCs w:val="48"/>
      </w:rPr>
    </w:lvl>
    <w:lvl w:ilvl="1" w:tplc="8974BF12">
      <w:start w:val="1"/>
      <w:numFmt w:val="decimal"/>
      <w:lvlText w:val="(%2)"/>
      <w:lvlJc w:val="left"/>
      <w:pPr>
        <w:ind w:left="1381" w:hanging="429"/>
        <w:jc w:val="left"/>
      </w:pPr>
      <w:rPr>
        <w:rFonts w:hint="default"/>
        <w:w w:val="103"/>
      </w:rPr>
    </w:lvl>
    <w:lvl w:ilvl="2" w:tplc="AB24312C">
      <w:numFmt w:val="bullet"/>
      <w:lvlText w:val="•"/>
      <w:lvlJc w:val="left"/>
      <w:pPr>
        <w:ind w:left="2034" w:hanging="429"/>
      </w:pPr>
      <w:rPr>
        <w:rFonts w:hint="default"/>
      </w:rPr>
    </w:lvl>
    <w:lvl w:ilvl="3" w:tplc="E75C3830">
      <w:numFmt w:val="bullet"/>
      <w:lvlText w:val="•"/>
      <w:lvlJc w:val="left"/>
      <w:pPr>
        <w:ind w:left="2688" w:hanging="429"/>
      </w:pPr>
      <w:rPr>
        <w:rFonts w:hint="default"/>
      </w:rPr>
    </w:lvl>
    <w:lvl w:ilvl="4" w:tplc="DA4403A0">
      <w:numFmt w:val="bullet"/>
      <w:lvlText w:val="•"/>
      <w:lvlJc w:val="left"/>
      <w:pPr>
        <w:ind w:left="3342" w:hanging="429"/>
      </w:pPr>
      <w:rPr>
        <w:rFonts w:hint="default"/>
      </w:rPr>
    </w:lvl>
    <w:lvl w:ilvl="5" w:tplc="73B67934">
      <w:numFmt w:val="bullet"/>
      <w:lvlText w:val="•"/>
      <w:lvlJc w:val="left"/>
      <w:pPr>
        <w:ind w:left="3996" w:hanging="429"/>
      </w:pPr>
      <w:rPr>
        <w:rFonts w:hint="default"/>
      </w:rPr>
    </w:lvl>
    <w:lvl w:ilvl="6" w:tplc="48EE2236">
      <w:numFmt w:val="bullet"/>
      <w:lvlText w:val="•"/>
      <w:lvlJc w:val="left"/>
      <w:pPr>
        <w:ind w:left="4651" w:hanging="429"/>
      </w:pPr>
      <w:rPr>
        <w:rFonts w:hint="default"/>
      </w:rPr>
    </w:lvl>
    <w:lvl w:ilvl="7" w:tplc="E0D6EBC2">
      <w:numFmt w:val="bullet"/>
      <w:lvlText w:val="•"/>
      <w:lvlJc w:val="left"/>
      <w:pPr>
        <w:ind w:left="5305" w:hanging="429"/>
      </w:pPr>
      <w:rPr>
        <w:rFonts w:hint="default"/>
      </w:rPr>
    </w:lvl>
    <w:lvl w:ilvl="8" w:tplc="F1168C4E">
      <w:numFmt w:val="bullet"/>
      <w:lvlText w:val="•"/>
      <w:lvlJc w:val="left"/>
      <w:pPr>
        <w:ind w:left="5959" w:hanging="429"/>
      </w:pPr>
      <w:rPr>
        <w:rFonts w:hint="default"/>
      </w:rPr>
    </w:lvl>
  </w:abstractNum>
  <w:abstractNum w:abstractNumId="104" w15:restartNumberingAfterBreak="0">
    <w:nsid w:val="5952752B"/>
    <w:multiLevelType w:val="hybridMultilevel"/>
    <w:tmpl w:val="6A9A0880"/>
    <w:lvl w:ilvl="0" w:tplc="7550FCAC">
      <w:numFmt w:val="bullet"/>
      <w:lvlText w:val="■"/>
      <w:lvlJc w:val="left"/>
      <w:pPr>
        <w:ind w:left="640" w:hanging="388"/>
      </w:pPr>
      <w:rPr>
        <w:rFonts w:ascii="Arial" w:eastAsia="Arial" w:hAnsi="Arial" w:cs="Arial" w:hint="default"/>
        <w:w w:val="98"/>
        <w:sz w:val="49"/>
        <w:szCs w:val="49"/>
      </w:rPr>
    </w:lvl>
    <w:lvl w:ilvl="1" w:tplc="F7704C0E">
      <w:start w:val="1"/>
      <w:numFmt w:val="upperLetter"/>
      <w:lvlText w:val="%2."/>
      <w:lvlJc w:val="left"/>
      <w:pPr>
        <w:ind w:left="957" w:hanging="311"/>
        <w:jc w:val="left"/>
      </w:pPr>
      <w:rPr>
        <w:rFonts w:hint="default"/>
        <w:spacing w:val="-1"/>
        <w:w w:val="103"/>
      </w:rPr>
    </w:lvl>
    <w:lvl w:ilvl="2" w:tplc="15608CCE">
      <w:start w:val="1"/>
      <w:numFmt w:val="decimal"/>
      <w:lvlText w:val="(%3)"/>
      <w:lvlJc w:val="left"/>
      <w:pPr>
        <w:ind w:left="1378" w:hanging="424"/>
        <w:jc w:val="left"/>
      </w:pPr>
      <w:rPr>
        <w:rFonts w:hint="default"/>
        <w:w w:val="90"/>
      </w:rPr>
    </w:lvl>
    <w:lvl w:ilvl="3" w:tplc="5A68C014">
      <w:numFmt w:val="bullet"/>
      <w:lvlText w:val="•"/>
      <w:lvlJc w:val="left"/>
      <w:pPr>
        <w:ind w:left="2114" w:hanging="424"/>
      </w:pPr>
      <w:rPr>
        <w:rFonts w:hint="default"/>
      </w:rPr>
    </w:lvl>
    <w:lvl w:ilvl="4" w:tplc="3D3EF74E">
      <w:numFmt w:val="bullet"/>
      <w:lvlText w:val="•"/>
      <w:lvlJc w:val="left"/>
      <w:pPr>
        <w:ind w:left="2849" w:hanging="424"/>
      </w:pPr>
      <w:rPr>
        <w:rFonts w:hint="default"/>
      </w:rPr>
    </w:lvl>
    <w:lvl w:ilvl="5" w:tplc="FE24341C">
      <w:numFmt w:val="bullet"/>
      <w:lvlText w:val="•"/>
      <w:lvlJc w:val="left"/>
      <w:pPr>
        <w:ind w:left="3584" w:hanging="424"/>
      </w:pPr>
      <w:rPr>
        <w:rFonts w:hint="default"/>
      </w:rPr>
    </w:lvl>
    <w:lvl w:ilvl="6" w:tplc="6622C354">
      <w:numFmt w:val="bullet"/>
      <w:lvlText w:val="•"/>
      <w:lvlJc w:val="left"/>
      <w:pPr>
        <w:ind w:left="4319" w:hanging="424"/>
      </w:pPr>
      <w:rPr>
        <w:rFonts w:hint="default"/>
      </w:rPr>
    </w:lvl>
    <w:lvl w:ilvl="7" w:tplc="1700DCBA">
      <w:numFmt w:val="bullet"/>
      <w:lvlText w:val="•"/>
      <w:lvlJc w:val="left"/>
      <w:pPr>
        <w:ind w:left="5054" w:hanging="424"/>
      </w:pPr>
      <w:rPr>
        <w:rFonts w:hint="default"/>
      </w:rPr>
    </w:lvl>
    <w:lvl w:ilvl="8" w:tplc="8312B4BE">
      <w:numFmt w:val="bullet"/>
      <w:lvlText w:val="•"/>
      <w:lvlJc w:val="left"/>
      <w:pPr>
        <w:ind w:left="5789" w:hanging="424"/>
      </w:pPr>
      <w:rPr>
        <w:rFonts w:hint="default"/>
      </w:rPr>
    </w:lvl>
  </w:abstractNum>
  <w:abstractNum w:abstractNumId="105" w15:restartNumberingAfterBreak="0">
    <w:nsid w:val="5A775BF9"/>
    <w:multiLevelType w:val="hybridMultilevel"/>
    <w:tmpl w:val="485A0BC4"/>
    <w:lvl w:ilvl="0" w:tplc="BFF80D60">
      <w:numFmt w:val="bullet"/>
      <w:lvlText w:val="■"/>
      <w:lvlJc w:val="left"/>
      <w:pPr>
        <w:ind w:left="642" w:hanging="388"/>
      </w:pPr>
      <w:rPr>
        <w:rFonts w:ascii="Arial" w:eastAsia="Arial" w:hAnsi="Arial" w:cs="Arial" w:hint="default"/>
        <w:w w:val="98"/>
        <w:sz w:val="49"/>
        <w:szCs w:val="49"/>
      </w:rPr>
    </w:lvl>
    <w:lvl w:ilvl="1" w:tplc="6D4EE2F8">
      <w:start w:val="1"/>
      <w:numFmt w:val="upperLetter"/>
      <w:lvlText w:val="%2."/>
      <w:lvlJc w:val="left"/>
      <w:pPr>
        <w:ind w:left="959" w:hanging="307"/>
        <w:jc w:val="left"/>
      </w:pPr>
      <w:rPr>
        <w:rFonts w:ascii="Times New Roman" w:eastAsia="Times New Roman" w:hAnsi="Times New Roman" w:cs="Times New Roman" w:hint="default"/>
        <w:spacing w:val="-1"/>
        <w:w w:val="89"/>
        <w:sz w:val="20"/>
        <w:szCs w:val="20"/>
      </w:rPr>
    </w:lvl>
    <w:lvl w:ilvl="2" w:tplc="F4560EA8">
      <w:start w:val="1"/>
      <w:numFmt w:val="decimal"/>
      <w:lvlText w:val="(%3)"/>
      <w:lvlJc w:val="left"/>
      <w:pPr>
        <w:ind w:left="1379" w:hanging="425"/>
        <w:jc w:val="left"/>
      </w:pPr>
      <w:rPr>
        <w:rFonts w:ascii="Times New Roman" w:eastAsia="Times New Roman" w:hAnsi="Times New Roman" w:cs="Times New Roman" w:hint="default"/>
        <w:w w:val="106"/>
        <w:sz w:val="20"/>
        <w:szCs w:val="20"/>
      </w:rPr>
    </w:lvl>
    <w:lvl w:ilvl="3" w:tplc="7EBEDAF8">
      <w:numFmt w:val="bullet"/>
      <w:lvlText w:val="•"/>
      <w:lvlJc w:val="left"/>
      <w:pPr>
        <w:ind w:left="2115" w:hanging="425"/>
      </w:pPr>
      <w:rPr>
        <w:rFonts w:hint="default"/>
      </w:rPr>
    </w:lvl>
    <w:lvl w:ilvl="4" w:tplc="09A6A642">
      <w:numFmt w:val="bullet"/>
      <w:lvlText w:val="•"/>
      <w:lvlJc w:val="left"/>
      <w:pPr>
        <w:ind w:left="2850" w:hanging="425"/>
      </w:pPr>
      <w:rPr>
        <w:rFonts w:hint="default"/>
      </w:rPr>
    </w:lvl>
    <w:lvl w:ilvl="5" w:tplc="9E9C6640">
      <w:numFmt w:val="bullet"/>
      <w:lvlText w:val="•"/>
      <w:lvlJc w:val="left"/>
      <w:pPr>
        <w:ind w:left="3585" w:hanging="425"/>
      </w:pPr>
      <w:rPr>
        <w:rFonts w:hint="default"/>
      </w:rPr>
    </w:lvl>
    <w:lvl w:ilvl="6" w:tplc="34F032A4">
      <w:numFmt w:val="bullet"/>
      <w:lvlText w:val="•"/>
      <w:lvlJc w:val="left"/>
      <w:pPr>
        <w:ind w:left="4321" w:hanging="425"/>
      </w:pPr>
      <w:rPr>
        <w:rFonts w:hint="default"/>
      </w:rPr>
    </w:lvl>
    <w:lvl w:ilvl="7" w:tplc="40569BA6">
      <w:numFmt w:val="bullet"/>
      <w:lvlText w:val="•"/>
      <w:lvlJc w:val="left"/>
      <w:pPr>
        <w:ind w:left="5056" w:hanging="425"/>
      </w:pPr>
      <w:rPr>
        <w:rFonts w:hint="default"/>
      </w:rPr>
    </w:lvl>
    <w:lvl w:ilvl="8" w:tplc="DACA1CB8">
      <w:numFmt w:val="bullet"/>
      <w:lvlText w:val="•"/>
      <w:lvlJc w:val="left"/>
      <w:pPr>
        <w:ind w:left="5791" w:hanging="425"/>
      </w:pPr>
      <w:rPr>
        <w:rFonts w:hint="default"/>
      </w:rPr>
    </w:lvl>
  </w:abstractNum>
  <w:abstractNum w:abstractNumId="106" w15:restartNumberingAfterBreak="0">
    <w:nsid w:val="5B185FD6"/>
    <w:multiLevelType w:val="multilevel"/>
    <w:tmpl w:val="89AC00B0"/>
    <w:lvl w:ilvl="0">
      <w:start w:val="292"/>
      <w:numFmt w:val="decimal"/>
      <w:lvlText w:val="%1"/>
      <w:lvlJc w:val="left"/>
      <w:pPr>
        <w:ind w:left="862" w:hanging="719"/>
        <w:jc w:val="left"/>
      </w:pPr>
      <w:rPr>
        <w:rFonts w:hint="default"/>
      </w:rPr>
    </w:lvl>
    <w:lvl w:ilvl="1">
      <w:start w:val="81"/>
      <w:numFmt w:val="decimal"/>
      <w:lvlText w:val="%1.%2"/>
      <w:lvlJc w:val="left"/>
      <w:pPr>
        <w:ind w:left="862" w:hanging="719"/>
        <w:jc w:val="left"/>
      </w:pPr>
      <w:rPr>
        <w:rFonts w:ascii="Times New Roman" w:eastAsia="Times New Roman" w:hAnsi="Times New Roman" w:cs="Times New Roman" w:hint="default"/>
        <w:w w:val="104"/>
        <w:sz w:val="19"/>
        <w:szCs w:val="19"/>
      </w:rPr>
    </w:lvl>
    <w:lvl w:ilvl="2">
      <w:numFmt w:val="bullet"/>
      <w:lvlText w:val="•"/>
      <w:lvlJc w:val="left"/>
      <w:pPr>
        <w:ind w:left="1431" w:hanging="719"/>
      </w:pPr>
      <w:rPr>
        <w:rFonts w:hint="default"/>
      </w:rPr>
    </w:lvl>
    <w:lvl w:ilvl="3">
      <w:numFmt w:val="bullet"/>
      <w:lvlText w:val="•"/>
      <w:lvlJc w:val="left"/>
      <w:pPr>
        <w:ind w:left="1716" w:hanging="719"/>
      </w:pPr>
      <w:rPr>
        <w:rFonts w:hint="default"/>
      </w:rPr>
    </w:lvl>
    <w:lvl w:ilvl="4">
      <w:numFmt w:val="bullet"/>
      <w:lvlText w:val="•"/>
      <w:lvlJc w:val="left"/>
      <w:pPr>
        <w:ind w:left="2002" w:hanging="719"/>
      </w:pPr>
      <w:rPr>
        <w:rFonts w:hint="default"/>
      </w:rPr>
    </w:lvl>
    <w:lvl w:ilvl="5">
      <w:numFmt w:val="bullet"/>
      <w:lvlText w:val="•"/>
      <w:lvlJc w:val="left"/>
      <w:pPr>
        <w:ind w:left="2288" w:hanging="719"/>
      </w:pPr>
      <w:rPr>
        <w:rFonts w:hint="default"/>
      </w:rPr>
    </w:lvl>
    <w:lvl w:ilvl="6">
      <w:numFmt w:val="bullet"/>
      <w:lvlText w:val="•"/>
      <w:lvlJc w:val="left"/>
      <w:pPr>
        <w:ind w:left="2573" w:hanging="719"/>
      </w:pPr>
      <w:rPr>
        <w:rFonts w:hint="default"/>
      </w:rPr>
    </w:lvl>
    <w:lvl w:ilvl="7">
      <w:numFmt w:val="bullet"/>
      <w:lvlText w:val="•"/>
      <w:lvlJc w:val="left"/>
      <w:pPr>
        <w:ind w:left="2859" w:hanging="719"/>
      </w:pPr>
      <w:rPr>
        <w:rFonts w:hint="default"/>
      </w:rPr>
    </w:lvl>
    <w:lvl w:ilvl="8">
      <w:numFmt w:val="bullet"/>
      <w:lvlText w:val="•"/>
      <w:lvlJc w:val="left"/>
      <w:pPr>
        <w:ind w:left="3144" w:hanging="719"/>
      </w:pPr>
      <w:rPr>
        <w:rFonts w:hint="default"/>
      </w:rPr>
    </w:lvl>
  </w:abstractNum>
  <w:abstractNum w:abstractNumId="107" w15:restartNumberingAfterBreak="0">
    <w:nsid w:val="5F07531E"/>
    <w:multiLevelType w:val="hybridMultilevel"/>
    <w:tmpl w:val="EF507390"/>
    <w:lvl w:ilvl="0" w:tplc="DB3E766A">
      <w:start w:val="20"/>
      <w:numFmt w:val="decimal"/>
      <w:lvlText w:val=".%1"/>
      <w:lvlJc w:val="left"/>
      <w:pPr>
        <w:ind w:left="1192" w:hanging="705"/>
        <w:jc w:val="left"/>
      </w:pPr>
      <w:rPr>
        <w:rFonts w:ascii="Times New Roman" w:eastAsia="Times New Roman" w:hAnsi="Times New Roman" w:cs="Times New Roman" w:hint="default"/>
        <w:color w:val="424242"/>
        <w:spacing w:val="-8"/>
        <w:w w:val="91"/>
        <w:sz w:val="20"/>
        <w:szCs w:val="20"/>
      </w:rPr>
    </w:lvl>
    <w:lvl w:ilvl="1" w:tplc="2814CD1A">
      <w:numFmt w:val="bullet"/>
      <w:lvlText w:val="•"/>
      <w:lvlJc w:val="left"/>
      <w:pPr>
        <w:ind w:left="1865" w:hanging="705"/>
      </w:pPr>
      <w:rPr>
        <w:rFonts w:hint="default"/>
      </w:rPr>
    </w:lvl>
    <w:lvl w:ilvl="2" w:tplc="1B4C930E">
      <w:numFmt w:val="bullet"/>
      <w:lvlText w:val="•"/>
      <w:lvlJc w:val="left"/>
      <w:pPr>
        <w:ind w:left="2531" w:hanging="705"/>
      </w:pPr>
      <w:rPr>
        <w:rFonts w:hint="default"/>
      </w:rPr>
    </w:lvl>
    <w:lvl w:ilvl="3" w:tplc="FE86279A">
      <w:numFmt w:val="bullet"/>
      <w:lvlText w:val="•"/>
      <w:lvlJc w:val="left"/>
      <w:pPr>
        <w:ind w:left="3197" w:hanging="705"/>
      </w:pPr>
      <w:rPr>
        <w:rFonts w:hint="default"/>
      </w:rPr>
    </w:lvl>
    <w:lvl w:ilvl="4" w:tplc="86A4EAFA">
      <w:numFmt w:val="bullet"/>
      <w:lvlText w:val="•"/>
      <w:lvlJc w:val="left"/>
      <w:pPr>
        <w:ind w:left="3862" w:hanging="705"/>
      </w:pPr>
      <w:rPr>
        <w:rFonts w:hint="default"/>
      </w:rPr>
    </w:lvl>
    <w:lvl w:ilvl="5" w:tplc="27F42D4C">
      <w:numFmt w:val="bullet"/>
      <w:lvlText w:val="•"/>
      <w:lvlJc w:val="left"/>
      <w:pPr>
        <w:ind w:left="4528" w:hanging="705"/>
      </w:pPr>
      <w:rPr>
        <w:rFonts w:hint="default"/>
      </w:rPr>
    </w:lvl>
    <w:lvl w:ilvl="6" w:tplc="11B47B6E">
      <w:numFmt w:val="bullet"/>
      <w:lvlText w:val="•"/>
      <w:lvlJc w:val="left"/>
      <w:pPr>
        <w:ind w:left="5194" w:hanging="705"/>
      </w:pPr>
      <w:rPr>
        <w:rFonts w:hint="default"/>
      </w:rPr>
    </w:lvl>
    <w:lvl w:ilvl="7" w:tplc="C25E119E">
      <w:numFmt w:val="bullet"/>
      <w:lvlText w:val="•"/>
      <w:lvlJc w:val="left"/>
      <w:pPr>
        <w:ind w:left="5859" w:hanging="705"/>
      </w:pPr>
      <w:rPr>
        <w:rFonts w:hint="default"/>
      </w:rPr>
    </w:lvl>
    <w:lvl w:ilvl="8" w:tplc="4BA0B0E2">
      <w:numFmt w:val="bullet"/>
      <w:lvlText w:val="•"/>
      <w:lvlJc w:val="left"/>
      <w:pPr>
        <w:ind w:left="6525" w:hanging="705"/>
      </w:pPr>
      <w:rPr>
        <w:rFonts w:hint="default"/>
      </w:rPr>
    </w:lvl>
  </w:abstractNum>
  <w:abstractNum w:abstractNumId="108" w15:restartNumberingAfterBreak="0">
    <w:nsid w:val="5FEC1AAF"/>
    <w:multiLevelType w:val="multilevel"/>
    <w:tmpl w:val="C44E80B0"/>
    <w:lvl w:ilvl="0">
      <w:start w:val="307"/>
      <w:numFmt w:val="decimal"/>
      <w:lvlText w:val="%1"/>
      <w:lvlJc w:val="left"/>
      <w:pPr>
        <w:ind w:left="892" w:hanging="718"/>
        <w:jc w:val="left"/>
      </w:pPr>
      <w:rPr>
        <w:rFonts w:hint="default"/>
      </w:rPr>
    </w:lvl>
    <w:lvl w:ilvl="1">
      <w:start w:val="46"/>
      <w:numFmt w:val="decimal"/>
      <w:lvlText w:val="%1.%2"/>
      <w:lvlJc w:val="left"/>
      <w:pPr>
        <w:ind w:left="892" w:hanging="718"/>
        <w:jc w:val="left"/>
      </w:pPr>
      <w:rPr>
        <w:rFonts w:ascii="Times New Roman" w:eastAsia="Times New Roman" w:hAnsi="Times New Roman" w:cs="Times New Roman" w:hint="default"/>
        <w:w w:val="106"/>
        <w:sz w:val="19"/>
        <w:szCs w:val="19"/>
      </w:rPr>
    </w:lvl>
    <w:lvl w:ilvl="2">
      <w:numFmt w:val="bullet"/>
      <w:lvlText w:val="•"/>
      <w:lvlJc w:val="left"/>
      <w:pPr>
        <w:ind w:left="1470" w:hanging="718"/>
      </w:pPr>
      <w:rPr>
        <w:rFonts w:hint="default"/>
      </w:rPr>
    </w:lvl>
    <w:lvl w:ilvl="3">
      <w:numFmt w:val="bullet"/>
      <w:lvlText w:val="•"/>
      <w:lvlJc w:val="left"/>
      <w:pPr>
        <w:ind w:left="1756" w:hanging="718"/>
      </w:pPr>
      <w:rPr>
        <w:rFonts w:hint="default"/>
      </w:rPr>
    </w:lvl>
    <w:lvl w:ilvl="4">
      <w:numFmt w:val="bullet"/>
      <w:lvlText w:val="•"/>
      <w:lvlJc w:val="left"/>
      <w:pPr>
        <w:ind w:left="2041" w:hanging="718"/>
      </w:pPr>
      <w:rPr>
        <w:rFonts w:hint="default"/>
      </w:rPr>
    </w:lvl>
    <w:lvl w:ilvl="5">
      <w:numFmt w:val="bullet"/>
      <w:lvlText w:val="•"/>
      <w:lvlJc w:val="left"/>
      <w:pPr>
        <w:ind w:left="2326" w:hanging="718"/>
      </w:pPr>
      <w:rPr>
        <w:rFonts w:hint="default"/>
      </w:rPr>
    </w:lvl>
    <w:lvl w:ilvl="6">
      <w:numFmt w:val="bullet"/>
      <w:lvlText w:val="•"/>
      <w:lvlJc w:val="left"/>
      <w:pPr>
        <w:ind w:left="2612" w:hanging="718"/>
      </w:pPr>
      <w:rPr>
        <w:rFonts w:hint="default"/>
      </w:rPr>
    </w:lvl>
    <w:lvl w:ilvl="7">
      <w:numFmt w:val="bullet"/>
      <w:lvlText w:val="•"/>
      <w:lvlJc w:val="left"/>
      <w:pPr>
        <w:ind w:left="2897" w:hanging="718"/>
      </w:pPr>
      <w:rPr>
        <w:rFonts w:hint="default"/>
      </w:rPr>
    </w:lvl>
    <w:lvl w:ilvl="8">
      <w:numFmt w:val="bullet"/>
      <w:lvlText w:val="•"/>
      <w:lvlJc w:val="left"/>
      <w:pPr>
        <w:ind w:left="3182" w:hanging="718"/>
      </w:pPr>
      <w:rPr>
        <w:rFonts w:hint="default"/>
      </w:rPr>
    </w:lvl>
  </w:abstractNum>
  <w:abstractNum w:abstractNumId="109" w15:restartNumberingAfterBreak="0">
    <w:nsid w:val="600C7932"/>
    <w:multiLevelType w:val="hybridMultilevel"/>
    <w:tmpl w:val="87648232"/>
    <w:lvl w:ilvl="0" w:tplc="1B805118">
      <w:numFmt w:val="bullet"/>
      <w:lvlText w:val="■"/>
      <w:lvlJc w:val="left"/>
      <w:pPr>
        <w:ind w:left="635" w:hanging="394"/>
      </w:pPr>
      <w:rPr>
        <w:rFonts w:ascii="Arial" w:eastAsia="Arial" w:hAnsi="Arial" w:cs="Arial" w:hint="default"/>
        <w:w w:val="98"/>
        <w:sz w:val="50"/>
        <w:szCs w:val="50"/>
      </w:rPr>
    </w:lvl>
    <w:lvl w:ilvl="1" w:tplc="8D404B4C">
      <w:start w:val="1"/>
      <w:numFmt w:val="decimal"/>
      <w:lvlText w:val="(%2)"/>
      <w:lvlJc w:val="left"/>
      <w:pPr>
        <w:ind w:left="1377" w:hanging="425"/>
        <w:jc w:val="left"/>
      </w:pPr>
      <w:rPr>
        <w:rFonts w:ascii="Times New Roman" w:eastAsia="Times New Roman" w:hAnsi="Times New Roman" w:cs="Times New Roman" w:hint="default"/>
        <w:w w:val="106"/>
        <w:sz w:val="20"/>
        <w:szCs w:val="20"/>
      </w:rPr>
    </w:lvl>
    <w:lvl w:ilvl="2" w:tplc="F6721F4A">
      <w:numFmt w:val="bullet"/>
      <w:lvlText w:val="•"/>
      <w:lvlJc w:val="left"/>
      <w:pPr>
        <w:ind w:left="1380" w:hanging="425"/>
      </w:pPr>
      <w:rPr>
        <w:rFonts w:hint="default"/>
      </w:rPr>
    </w:lvl>
    <w:lvl w:ilvl="3" w:tplc="D8E0CCEE">
      <w:numFmt w:val="bullet"/>
      <w:lvlText w:val="•"/>
      <w:lvlJc w:val="left"/>
      <w:pPr>
        <w:ind w:left="2117" w:hanging="425"/>
      </w:pPr>
      <w:rPr>
        <w:rFonts w:hint="default"/>
      </w:rPr>
    </w:lvl>
    <w:lvl w:ilvl="4" w:tplc="7AB63054">
      <w:numFmt w:val="bullet"/>
      <w:lvlText w:val="•"/>
      <w:lvlJc w:val="left"/>
      <w:pPr>
        <w:ind w:left="2854" w:hanging="425"/>
      </w:pPr>
      <w:rPr>
        <w:rFonts w:hint="default"/>
      </w:rPr>
    </w:lvl>
    <w:lvl w:ilvl="5" w:tplc="50846D42">
      <w:numFmt w:val="bullet"/>
      <w:lvlText w:val="•"/>
      <w:lvlJc w:val="left"/>
      <w:pPr>
        <w:ind w:left="3591" w:hanging="425"/>
      </w:pPr>
      <w:rPr>
        <w:rFonts w:hint="default"/>
      </w:rPr>
    </w:lvl>
    <w:lvl w:ilvl="6" w:tplc="E1F4F350">
      <w:numFmt w:val="bullet"/>
      <w:lvlText w:val="•"/>
      <w:lvlJc w:val="left"/>
      <w:pPr>
        <w:ind w:left="4328" w:hanging="425"/>
      </w:pPr>
      <w:rPr>
        <w:rFonts w:hint="default"/>
      </w:rPr>
    </w:lvl>
    <w:lvl w:ilvl="7" w:tplc="D0EED7EE">
      <w:numFmt w:val="bullet"/>
      <w:lvlText w:val="•"/>
      <w:lvlJc w:val="left"/>
      <w:pPr>
        <w:ind w:left="5065" w:hanging="425"/>
      </w:pPr>
      <w:rPr>
        <w:rFonts w:hint="default"/>
      </w:rPr>
    </w:lvl>
    <w:lvl w:ilvl="8" w:tplc="3F5E5146">
      <w:numFmt w:val="bullet"/>
      <w:lvlText w:val="•"/>
      <w:lvlJc w:val="left"/>
      <w:pPr>
        <w:ind w:left="5802" w:hanging="425"/>
      </w:pPr>
      <w:rPr>
        <w:rFonts w:hint="default"/>
      </w:rPr>
    </w:lvl>
  </w:abstractNum>
  <w:abstractNum w:abstractNumId="110" w15:restartNumberingAfterBreak="0">
    <w:nsid w:val="602C3858"/>
    <w:multiLevelType w:val="hybridMultilevel"/>
    <w:tmpl w:val="84182B32"/>
    <w:lvl w:ilvl="0" w:tplc="9AEAB236">
      <w:numFmt w:val="bullet"/>
      <w:lvlText w:val="■"/>
      <w:lvlJc w:val="left"/>
      <w:pPr>
        <w:ind w:left="634" w:hanging="374"/>
      </w:pPr>
      <w:rPr>
        <w:rFonts w:ascii="Arial" w:eastAsia="Arial" w:hAnsi="Arial" w:cs="Arial" w:hint="default"/>
        <w:w w:val="98"/>
        <w:sz w:val="49"/>
        <w:szCs w:val="49"/>
      </w:rPr>
    </w:lvl>
    <w:lvl w:ilvl="1" w:tplc="33FC9232">
      <w:numFmt w:val="bullet"/>
      <w:lvlText w:val="•"/>
      <w:lvlJc w:val="left"/>
      <w:pPr>
        <w:ind w:left="960" w:hanging="374"/>
      </w:pPr>
      <w:rPr>
        <w:rFonts w:hint="default"/>
      </w:rPr>
    </w:lvl>
    <w:lvl w:ilvl="2" w:tplc="EF60CF84">
      <w:numFmt w:val="bullet"/>
      <w:lvlText w:val="•"/>
      <w:lvlJc w:val="left"/>
      <w:pPr>
        <w:ind w:left="1662" w:hanging="374"/>
      </w:pPr>
      <w:rPr>
        <w:rFonts w:hint="default"/>
      </w:rPr>
    </w:lvl>
    <w:lvl w:ilvl="3" w:tplc="92425598">
      <w:numFmt w:val="bullet"/>
      <w:lvlText w:val="•"/>
      <w:lvlJc w:val="left"/>
      <w:pPr>
        <w:ind w:left="2364" w:hanging="374"/>
      </w:pPr>
      <w:rPr>
        <w:rFonts w:hint="default"/>
      </w:rPr>
    </w:lvl>
    <w:lvl w:ilvl="4" w:tplc="115A17EA">
      <w:numFmt w:val="bullet"/>
      <w:lvlText w:val="•"/>
      <w:lvlJc w:val="left"/>
      <w:pPr>
        <w:ind w:left="3067" w:hanging="374"/>
      </w:pPr>
      <w:rPr>
        <w:rFonts w:hint="default"/>
      </w:rPr>
    </w:lvl>
    <w:lvl w:ilvl="5" w:tplc="E7124F50">
      <w:numFmt w:val="bullet"/>
      <w:lvlText w:val="•"/>
      <w:lvlJc w:val="left"/>
      <w:pPr>
        <w:ind w:left="3769" w:hanging="374"/>
      </w:pPr>
      <w:rPr>
        <w:rFonts w:hint="default"/>
      </w:rPr>
    </w:lvl>
    <w:lvl w:ilvl="6" w:tplc="30964B6E">
      <w:numFmt w:val="bullet"/>
      <w:lvlText w:val="•"/>
      <w:lvlJc w:val="left"/>
      <w:pPr>
        <w:ind w:left="4471" w:hanging="374"/>
      </w:pPr>
      <w:rPr>
        <w:rFonts w:hint="default"/>
      </w:rPr>
    </w:lvl>
    <w:lvl w:ilvl="7" w:tplc="2FCE36D4">
      <w:numFmt w:val="bullet"/>
      <w:lvlText w:val="•"/>
      <w:lvlJc w:val="left"/>
      <w:pPr>
        <w:ind w:left="5174" w:hanging="374"/>
      </w:pPr>
      <w:rPr>
        <w:rFonts w:hint="default"/>
      </w:rPr>
    </w:lvl>
    <w:lvl w:ilvl="8" w:tplc="C408FED8">
      <w:numFmt w:val="bullet"/>
      <w:lvlText w:val="•"/>
      <w:lvlJc w:val="left"/>
      <w:pPr>
        <w:ind w:left="5876" w:hanging="374"/>
      </w:pPr>
      <w:rPr>
        <w:rFonts w:hint="default"/>
      </w:rPr>
    </w:lvl>
  </w:abstractNum>
  <w:abstractNum w:abstractNumId="111" w15:restartNumberingAfterBreak="0">
    <w:nsid w:val="61460251"/>
    <w:multiLevelType w:val="hybridMultilevel"/>
    <w:tmpl w:val="FB1643AA"/>
    <w:lvl w:ilvl="0" w:tplc="4620C684">
      <w:start w:val="2"/>
      <w:numFmt w:val="upperLetter"/>
      <w:lvlText w:val="%1."/>
      <w:lvlJc w:val="left"/>
      <w:pPr>
        <w:ind w:left="960" w:hanging="296"/>
        <w:jc w:val="left"/>
      </w:pPr>
      <w:rPr>
        <w:rFonts w:hint="default"/>
        <w:spacing w:val="-1"/>
        <w:w w:val="94"/>
      </w:rPr>
    </w:lvl>
    <w:lvl w:ilvl="1" w:tplc="3CA289A2">
      <w:numFmt w:val="bullet"/>
      <w:lvlText w:val="•"/>
      <w:lvlJc w:val="left"/>
      <w:pPr>
        <w:ind w:left="1592" w:hanging="296"/>
      </w:pPr>
      <w:rPr>
        <w:rFonts w:hint="default"/>
      </w:rPr>
    </w:lvl>
    <w:lvl w:ilvl="2" w:tplc="B46AE7D4">
      <w:numFmt w:val="bullet"/>
      <w:lvlText w:val="•"/>
      <w:lvlJc w:val="left"/>
      <w:pPr>
        <w:ind w:left="2224" w:hanging="296"/>
      </w:pPr>
      <w:rPr>
        <w:rFonts w:hint="default"/>
      </w:rPr>
    </w:lvl>
    <w:lvl w:ilvl="3" w:tplc="643248DA">
      <w:numFmt w:val="bullet"/>
      <w:lvlText w:val="•"/>
      <w:lvlJc w:val="left"/>
      <w:pPr>
        <w:ind w:left="2856" w:hanging="296"/>
      </w:pPr>
      <w:rPr>
        <w:rFonts w:hint="default"/>
      </w:rPr>
    </w:lvl>
    <w:lvl w:ilvl="4" w:tplc="468006FA">
      <w:numFmt w:val="bullet"/>
      <w:lvlText w:val="•"/>
      <w:lvlJc w:val="left"/>
      <w:pPr>
        <w:ind w:left="3488" w:hanging="296"/>
      </w:pPr>
      <w:rPr>
        <w:rFonts w:hint="default"/>
      </w:rPr>
    </w:lvl>
    <w:lvl w:ilvl="5" w:tplc="1D12C25A">
      <w:numFmt w:val="bullet"/>
      <w:lvlText w:val="•"/>
      <w:lvlJc w:val="left"/>
      <w:pPr>
        <w:ind w:left="4120" w:hanging="296"/>
      </w:pPr>
      <w:rPr>
        <w:rFonts w:hint="default"/>
      </w:rPr>
    </w:lvl>
    <w:lvl w:ilvl="6" w:tplc="99B89030">
      <w:numFmt w:val="bullet"/>
      <w:lvlText w:val="•"/>
      <w:lvlJc w:val="left"/>
      <w:pPr>
        <w:ind w:left="4752" w:hanging="296"/>
      </w:pPr>
      <w:rPr>
        <w:rFonts w:hint="default"/>
      </w:rPr>
    </w:lvl>
    <w:lvl w:ilvl="7" w:tplc="06A0815A">
      <w:numFmt w:val="bullet"/>
      <w:lvlText w:val="•"/>
      <w:lvlJc w:val="left"/>
      <w:pPr>
        <w:ind w:left="5384" w:hanging="296"/>
      </w:pPr>
      <w:rPr>
        <w:rFonts w:hint="default"/>
      </w:rPr>
    </w:lvl>
    <w:lvl w:ilvl="8" w:tplc="C5447166">
      <w:numFmt w:val="bullet"/>
      <w:lvlText w:val="•"/>
      <w:lvlJc w:val="left"/>
      <w:pPr>
        <w:ind w:left="6016" w:hanging="296"/>
      </w:pPr>
      <w:rPr>
        <w:rFonts w:hint="default"/>
      </w:rPr>
    </w:lvl>
  </w:abstractNum>
  <w:abstractNum w:abstractNumId="112" w15:restartNumberingAfterBreak="0">
    <w:nsid w:val="62117C96"/>
    <w:multiLevelType w:val="hybridMultilevel"/>
    <w:tmpl w:val="96D6260C"/>
    <w:lvl w:ilvl="0" w:tplc="DC449AFC">
      <w:start w:val="1"/>
      <w:numFmt w:val="decimal"/>
      <w:lvlText w:val="%1)"/>
      <w:lvlJc w:val="left"/>
      <w:pPr>
        <w:ind w:left="125" w:hanging="268"/>
        <w:jc w:val="left"/>
      </w:pPr>
      <w:rPr>
        <w:rFonts w:hint="default"/>
        <w:w w:val="110"/>
      </w:rPr>
    </w:lvl>
    <w:lvl w:ilvl="1" w:tplc="42BC7DA4">
      <w:start w:val="2"/>
      <w:numFmt w:val="decimal"/>
      <w:lvlText w:val="%2)"/>
      <w:lvlJc w:val="left"/>
      <w:pPr>
        <w:ind w:left="748" w:hanging="239"/>
        <w:jc w:val="right"/>
      </w:pPr>
      <w:rPr>
        <w:rFonts w:hint="default"/>
        <w:w w:val="101"/>
      </w:rPr>
    </w:lvl>
    <w:lvl w:ilvl="2" w:tplc="7B30762C">
      <w:numFmt w:val="bullet"/>
      <w:lvlText w:val="•"/>
      <w:lvlJc w:val="left"/>
      <w:pPr>
        <w:ind w:left="1515" w:hanging="239"/>
      </w:pPr>
      <w:rPr>
        <w:rFonts w:hint="default"/>
      </w:rPr>
    </w:lvl>
    <w:lvl w:ilvl="3" w:tplc="F8B835BC">
      <w:numFmt w:val="bullet"/>
      <w:lvlText w:val="•"/>
      <w:lvlJc w:val="left"/>
      <w:pPr>
        <w:ind w:left="2290" w:hanging="239"/>
      </w:pPr>
      <w:rPr>
        <w:rFonts w:hint="default"/>
      </w:rPr>
    </w:lvl>
    <w:lvl w:ilvl="4" w:tplc="D6981066">
      <w:numFmt w:val="bullet"/>
      <w:lvlText w:val="•"/>
      <w:lvlJc w:val="left"/>
      <w:pPr>
        <w:ind w:left="3065" w:hanging="239"/>
      </w:pPr>
      <w:rPr>
        <w:rFonts w:hint="default"/>
      </w:rPr>
    </w:lvl>
    <w:lvl w:ilvl="5" w:tplc="6276B5D4">
      <w:numFmt w:val="bullet"/>
      <w:lvlText w:val="•"/>
      <w:lvlJc w:val="left"/>
      <w:pPr>
        <w:ind w:left="3840" w:hanging="239"/>
      </w:pPr>
      <w:rPr>
        <w:rFonts w:hint="default"/>
      </w:rPr>
    </w:lvl>
    <w:lvl w:ilvl="6" w:tplc="04904B62">
      <w:numFmt w:val="bullet"/>
      <w:lvlText w:val="•"/>
      <w:lvlJc w:val="left"/>
      <w:pPr>
        <w:ind w:left="4616" w:hanging="239"/>
      </w:pPr>
      <w:rPr>
        <w:rFonts w:hint="default"/>
      </w:rPr>
    </w:lvl>
    <w:lvl w:ilvl="7" w:tplc="44A84674">
      <w:numFmt w:val="bullet"/>
      <w:lvlText w:val="•"/>
      <w:lvlJc w:val="left"/>
      <w:pPr>
        <w:ind w:left="5391" w:hanging="239"/>
      </w:pPr>
      <w:rPr>
        <w:rFonts w:hint="default"/>
      </w:rPr>
    </w:lvl>
    <w:lvl w:ilvl="8" w:tplc="1E96E05A">
      <w:numFmt w:val="bullet"/>
      <w:lvlText w:val="•"/>
      <w:lvlJc w:val="left"/>
      <w:pPr>
        <w:ind w:left="6166" w:hanging="239"/>
      </w:pPr>
      <w:rPr>
        <w:rFonts w:hint="default"/>
      </w:rPr>
    </w:lvl>
  </w:abstractNum>
  <w:abstractNum w:abstractNumId="113" w15:restartNumberingAfterBreak="0">
    <w:nsid w:val="622C0496"/>
    <w:multiLevelType w:val="hybridMultilevel"/>
    <w:tmpl w:val="375AE102"/>
    <w:lvl w:ilvl="0" w:tplc="A0E88FBA">
      <w:numFmt w:val="bullet"/>
      <w:lvlText w:val="■"/>
      <w:lvlJc w:val="left"/>
      <w:pPr>
        <w:ind w:left="3370" w:hanging="451"/>
      </w:pPr>
      <w:rPr>
        <w:rFonts w:ascii="Arial" w:eastAsia="Arial" w:hAnsi="Arial" w:cs="Arial" w:hint="default"/>
        <w:w w:val="98"/>
        <w:sz w:val="27"/>
        <w:szCs w:val="27"/>
      </w:rPr>
    </w:lvl>
    <w:lvl w:ilvl="1" w:tplc="729A1642">
      <w:numFmt w:val="bullet"/>
      <w:lvlText w:val="•"/>
      <w:lvlJc w:val="left"/>
      <w:pPr>
        <w:ind w:left="3788" w:hanging="451"/>
      </w:pPr>
      <w:rPr>
        <w:rFonts w:hint="default"/>
      </w:rPr>
    </w:lvl>
    <w:lvl w:ilvl="2" w:tplc="523A0314">
      <w:numFmt w:val="bullet"/>
      <w:lvlText w:val="•"/>
      <w:lvlJc w:val="left"/>
      <w:pPr>
        <w:ind w:left="4197" w:hanging="451"/>
      </w:pPr>
      <w:rPr>
        <w:rFonts w:hint="default"/>
      </w:rPr>
    </w:lvl>
    <w:lvl w:ilvl="3" w:tplc="51221544">
      <w:numFmt w:val="bullet"/>
      <w:lvlText w:val="•"/>
      <w:lvlJc w:val="left"/>
      <w:pPr>
        <w:ind w:left="4605" w:hanging="451"/>
      </w:pPr>
      <w:rPr>
        <w:rFonts w:hint="default"/>
      </w:rPr>
    </w:lvl>
    <w:lvl w:ilvl="4" w:tplc="23723B94">
      <w:numFmt w:val="bullet"/>
      <w:lvlText w:val="•"/>
      <w:lvlJc w:val="left"/>
      <w:pPr>
        <w:ind w:left="5014" w:hanging="451"/>
      </w:pPr>
      <w:rPr>
        <w:rFonts w:hint="default"/>
      </w:rPr>
    </w:lvl>
    <w:lvl w:ilvl="5" w:tplc="F50455D4">
      <w:numFmt w:val="bullet"/>
      <w:lvlText w:val="•"/>
      <w:lvlJc w:val="left"/>
      <w:pPr>
        <w:ind w:left="5423" w:hanging="451"/>
      </w:pPr>
      <w:rPr>
        <w:rFonts w:hint="default"/>
      </w:rPr>
    </w:lvl>
    <w:lvl w:ilvl="6" w:tplc="3A3A23B8">
      <w:numFmt w:val="bullet"/>
      <w:lvlText w:val="•"/>
      <w:lvlJc w:val="left"/>
      <w:pPr>
        <w:ind w:left="5831" w:hanging="451"/>
      </w:pPr>
      <w:rPr>
        <w:rFonts w:hint="default"/>
      </w:rPr>
    </w:lvl>
    <w:lvl w:ilvl="7" w:tplc="BE8CAE90">
      <w:numFmt w:val="bullet"/>
      <w:lvlText w:val="•"/>
      <w:lvlJc w:val="left"/>
      <w:pPr>
        <w:ind w:left="6240" w:hanging="451"/>
      </w:pPr>
      <w:rPr>
        <w:rFonts w:hint="default"/>
      </w:rPr>
    </w:lvl>
    <w:lvl w:ilvl="8" w:tplc="3BA0E3C4">
      <w:numFmt w:val="bullet"/>
      <w:lvlText w:val="•"/>
      <w:lvlJc w:val="left"/>
      <w:pPr>
        <w:ind w:left="6648" w:hanging="451"/>
      </w:pPr>
      <w:rPr>
        <w:rFonts w:hint="default"/>
      </w:rPr>
    </w:lvl>
  </w:abstractNum>
  <w:abstractNum w:abstractNumId="114" w15:restartNumberingAfterBreak="0">
    <w:nsid w:val="62A36584"/>
    <w:multiLevelType w:val="hybridMultilevel"/>
    <w:tmpl w:val="9598619C"/>
    <w:lvl w:ilvl="0" w:tplc="088A0042">
      <w:numFmt w:val="bullet"/>
      <w:lvlText w:val="•"/>
      <w:lvlJc w:val="left"/>
      <w:pPr>
        <w:ind w:left="776" w:hanging="222"/>
      </w:pPr>
      <w:rPr>
        <w:rFonts w:ascii="Times New Roman" w:eastAsia="Times New Roman" w:hAnsi="Times New Roman" w:cs="Times New Roman" w:hint="default"/>
        <w:w w:val="108"/>
        <w:sz w:val="20"/>
        <w:szCs w:val="20"/>
      </w:rPr>
    </w:lvl>
    <w:lvl w:ilvl="1" w:tplc="62967700">
      <w:numFmt w:val="bullet"/>
      <w:lvlText w:val="•"/>
      <w:lvlJc w:val="left"/>
      <w:pPr>
        <w:ind w:left="1483" w:hanging="222"/>
      </w:pPr>
      <w:rPr>
        <w:rFonts w:hint="default"/>
      </w:rPr>
    </w:lvl>
    <w:lvl w:ilvl="2" w:tplc="D302A91C">
      <w:numFmt w:val="bullet"/>
      <w:lvlText w:val="•"/>
      <w:lvlJc w:val="left"/>
      <w:pPr>
        <w:ind w:left="2187" w:hanging="222"/>
      </w:pPr>
      <w:rPr>
        <w:rFonts w:hint="default"/>
      </w:rPr>
    </w:lvl>
    <w:lvl w:ilvl="3" w:tplc="1640F5F6">
      <w:numFmt w:val="bullet"/>
      <w:lvlText w:val="•"/>
      <w:lvlJc w:val="left"/>
      <w:pPr>
        <w:ind w:left="2891" w:hanging="222"/>
      </w:pPr>
      <w:rPr>
        <w:rFonts w:hint="default"/>
      </w:rPr>
    </w:lvl>
    <w:lvl w:ilvl="4" w:tplc="74E62734">
      <w:numFmt w:val="bullet"/>
      <w:lvlText w:val="•"/>
      <w:lvlJc w:val="left"/>
      <w:pPr>
        <w:ind w:left="3594" w:hanging="222"/>
      </w:pPr>
      <w:rPr>
        <w:rFonts w:hint="default"/>
      </w:rPr>
    </w:lvl>
    <w:lvl w:ilvl="5" w:tplc="5A445FA0">
      <w:numFmt w:val="bullet"/>
      <w:lvlText w:val="•"/>
      <w:lvlJc w:val="left"/>
      <w:pPr>
        <w:ind w:left="4298" w:hanging="222"/>
      </w:pPr>
      <w:rPr>
        <w:rFonts w:hint="default"/>
      </w:rPr>
    </w:lvl>
    <w:lvl w:ilvl="6" w:tplc="DF4AADE2">
      <w:numFmt w:val="bullet"/>
      <w:lvlText w:val="•"/>
      <w:lvlJc w:val="left"/>
      <w:pPr>
        <w:ind w:left="5002" w:hanging="222"/>
      </w:pPr>
      <w:rPr>
        <w:rFonts w:hint="default"/>
      </w:rPr>
    </w:lvl>
    <w:lvl w:ilvl="7" w:tplc="4E0234B6">
      <w:numFmt w:val="bullet"/>
      <w:lvlText w:val="•"/>
      <w:lvlJc w:val="left"/>
      <w:pPr>
        <w:ind w:left="5705" w:hanging="222"/>
      </w:pPr>
      <w:rPr>
        <w:rFonts w:hint="default"/>
      </w:rPr>
    </w:lvl>
    <w:lvl w:ilvl="8" w:tplc="98D25C0A">
      <w:numFmt w:val="bullet"/>
      <w:lvlText w:val="•"/>
      <w:lvlJc w:val="left"/>
      <w:pPr>
        <w:ind w:left="6409" w:hanging="222"/>
      </w:pPr>
      <w:rPr>
        <w:rFonts w:hint="default"/>
      </w:rPr>
    </w:lvl>
  </w:abstractNum>
  <w:abstractNum w:abstractNumId="115" w15:restartNumberingAfterBreak="0">
    <w:nsid w:val="667977E5"/>
    <w:multiLevelType w:val="hybridMultilevel"/>
    <w:tmpl w:val="DC0C3C6A"/>
    <w:lvl w:ilvl="0" w:tplc="071C0E90">
      <w:numFmt w:val="decimalZero"/>
      <w:lvlText w:val=".%1"/>
      <w:lvlJc w:val="left"/>
      <w:pPr>
        <w:ind w:left="1182" w:hanging="713"/>
        <w:jc w:val="left"/>
      </w:pPr>
      <w:rPr>
        <w:rFonts w:ascii="Times New Roman" w:eastAsia="Times New Roman" w:hAnsi="Times New Roman" w:cs="Times New Roman" w:hint="default"/>
        <w:w w:val="104"/>
        <w:sz w:val="19"/>
        <w:szCs w:val="19"/>
      </w:rPr>
    </w:lvl>
    <w:lvl w:ilvl="1" w:tplc="2D68533C">
      <w:numFmt w:val="bullet"/>
      <w:lvlText w:val="•"/>
      <w:lvlJc w:val="left"/>
      <w:pPr>
        <w:ind w:left="1444" w:hanging="713"/>
      </w:pPr>
      <w:rPr>
        <w:rFonts w:hint="default"/>
      </w:rPr>
    </w:lvl>
    <w:lvl w:ilvl="2" w:tplc="8BB62624">
      <w:numFmt w:val="bullet"/>
      <w:lvlText w:val="•"/>
      <w:lvlJc w:val="left"/>
      <w:pPr>
        <w:ind w:left="1708" w:hanging="713"/>
      </w:pPr>
      <w:rPr>
        <w:rFonts w:hint="default"/>
      </w:rPr>
    </w:lvl>
    <w:lvl w:ilvl="3" w:tplc="BFC0B8C4">
      <w:numFmt w:val="bullet"/>
      <w:lvlText w:val="•"/>
      <w:lvlJc w:val="left"/>
      <w:pPr>
        <w:ind w:left="1972" w:hanging="713"/>
      </w:pPr>
      <w:rPr>
        <w:rFonts w:hint="default"/>
      </w:rPr>
    </w:lvl>
    <w:lvl w:ilvl="4" w:tplc="C09EFA74">
      <w:numFmt w:val="bullet"/>
      <w:lvlText w:val="•"/>
      <w:lvlJc w:val="left"/>
      <w:pPr>
        <w:ind w:left="2236" w:hanging="713"/>
      </w:pPr>
      <w:rPr>
        <w:rFonts w:hint="default"/>
      </w:rPr>
    </w:lvl>
    <w:lvl w:ilvl="5" w:tplc="E842B48E">
      <w:numFmt w:val="bullet"/>
      <w:lvlText w:val="•"/>
      <w:lvlJc w:val="left"/>
      <w:pPr>
        <w:ind w:left="2500" w:hanging="713"/>
      </w:pPr>
      <w:rPr>
        <w:rFonts w:hint="default"/>
      </w:rPr>
    </w:lvl>
    <w:lvl w:ilvl="6" w:tplc="3E00DEEC">
      <w:numFmt w:val="bullet"/>
      <w:lvlText w:val="•"/>
      <w:lvlJc w:val="left"/>
      <w:pPr>
        <w:ind w:left="2764" w:hanging="713"/>
      </w:pPr>
      <w:rPr>
        <w:rFonts w:hint="default"/>
      </w:rPr>
    </w:lvl>
    <w:lvl w:ilvl="7" w:tplc="97564A86">
      <w:numFmt w:val="bullet"/>
      <w:lvlText w:val="•"/>
      <w:lvlJc w:val="left"/>
      <w:pPr>
        <w:ind w:left="3028" w:hanging="713"/>
      </w:pPr>
      <w:rPr>
        <w:rFonts w:hint="default"/>
      </w:rPr>
    </w:lvl>
    <w:lvl w:ilvl="8" w:tplc="50449270">
      <w:numFmt w:val="bullet"/>
      <w:lvlText w:val="•"/>
      <w:lvlJc w:val="left"/>
      <w:pPr>
        <w:ind w:left="3292" w:hanging="713"/>
      </w:pPr>
      <w:rPr>
        <w:rFonts w:hint="default"/>
      </w:rPr>
    </w:lvl>
  </w:abstractNum>
  <w:abstractNum w:abstractNumId="116" w15:restartNumberingAfterBreak="0">
    <w:nsid w:val="67683B19"/>
    <w:multiLevelType w:val="hybridMultilevel"/>
    <w:tmpl w:val="BA68D34E"/>
    <w:lvl w:ilvl="0" w:tplc="D4F68DEE">
      <w:numFmt w:val="bullet"/>
      <w:lvlText w:val="□"/>
      <w:lvlJc w:val="left"/>
      <w:pPr>
        <w:ind w:left="604" w:hanging="341"/>
      </w:pPr>
      <w:rPr>
        <w:rFonts w:ascii="Arial" w:eastAsia="Arial" w:hAnsi="Arial" w:cs="Arial" w:hint="default"/>
        <w:w w:val="99"/>
        <w:sz w:val="36"/>
        <w:szCs w:val="36"/>
      </w:rPr>
    </w:lvl>
    <w:lvl w:ilvl="1" w:tplc="800A8590">
      <w:start w:val="5"/>
      <w:numFmt w:val="upperLetter"/>
      <w:lvlText w:val="%2."/>
      <w:lvlJc w:val="left"/>
      <w:pPr>
        <w:ind w:left="961" w:hanging="316"/>
        <w:jc w:val="left"/>
      </w:pPr>
      <w:rPr>
        <w:rFonts w:ascii="Times New Roman" w:eastAsia="Times New Roman" w:hAnsi="Times New Roman" w:cs="Times New Roman" w:hint="default"/>
        <w:spacing w:val="-1"/>
        <w:w w:val="95"/>
        <w:sz w:val="20"/>
        <w:szCs w:val="20"/>
      </w:rPr>
    </w:lvl>
    <w:lvl w:ilvl="2" w:tplc="467C9330">
      <w:numFmt w:val="bullet"/>
      <w:lvlText w:val="•"/>
      <w:lvlJc w:val="left"/>
      <w:pPr>
        <w:ind w:left="1662" w:hanging="316"/>
      </w:pPr>
      <w:rPr>
        <w:rFonts w:hint="default"/>
      </w:rPr>
    </w:lvl>
    <w:lvl w:ilvl="3" w:tplc="4576102C">
      <w:numFmt w:val="bullet"/>
      <w:lvlText w:val="•"/>
      <w:lvlJc w:val="left"/>
      <w:pPr>
        <w:ind w:left="2364" w:hanging="316"/>
      </w:pPr>
      <w:rPr>
        <w:rFonts w:hint="default"/>
      </w:rPr>
    </w:lvl>
    <w:lvl w:ilvl="4" w:tplc="EE746010">
      <w:numFmt w:val="bullet"/>
      <w:lvlText w:val="•"/>
      <w:lvlJc w:val="left"/>
      <w:pPr>
        <w:ind w:left="3067" w:hanging="316"/>
      </w:pPr>
      <w:rPr>
        <w:rFonts w:hint="default"/>
      </w:rPr>
    </w:lvl>
    <w:lvl w:ilvl="5" w:tplc="E23464E0">
      <w:numFmt w:val="bullet"/>
      <w:lvlText w:val="•"/>
      <w:lvlJc w:val="left"/>
      <w:pPr>
        <w:ind w:left="3769" w:hanging="316"/>
      </w:pPr>
      <w:rPr>
        <w:rFonts w:hint="default"/>
      </w:rPr>
    </w:lvl>
    <w:lvl w:ilvl="6" w:tplc="67BC2FFE">
      <w:numFmt w:val="bullet"/>
      <w:lvlText w:val="•"/>
      <w:lvlJc w:val="left"/>
      <w:pPr>
        <w:ind w:left="4471" w:hanging="316"/>
      </w:pPr>
      <w:rPr>
        <w:rFonts w:hint="default"/>
      </w:rPr>
    </w:lvl>
    <w:lvl w:ilvl="7" w:tplc="A29A9964">
      <w:numFmt w:val="bullet"/>
      <w:lvlText w:val="•"/>
      <w:lvlJc w:val="left"/>
      <w:pPr>
        <w:ind w:left="5174" w:hanging="316"/>
      </w:pPr>
      <w:rPr>
        <w:rFonts w:hint="default"/>
      </w:rPr>
    </w:lvl>
    <w:lvl w:ilvl="8" w:tplc="11C404BC">
      <w:numFmt w:val="bullet"/>
      <w:lvlText w:val="•"/>
      <w:lvlJc w:val="left"/>
      <w:pPr>
        <w:ind w:left="5876" w:hanging="316"/>
      </w:pPr>
      <w:rPr>
        <w:rFonts w:hint="default"/>
      </w:rPr>
    </w:lvl>
  </w:abstractNum>
  <w:abstractNum w:abstractNumId="117" w15:restartNumberingAfterBreak="0">
    <w:nsid w:val="698B4DA2"/>
    <w:multiLevelType w:val="hybridMultilevel"/>
    <w:tmpl w:val="15222ABE"/>
    <w:lvl w:ilvl="0" w:tplc="08DADC84">
      <w:numFmt w:val="bullet"/>
      <w:lvlText w:val="■"/>
      <w:lvlJc w:val="left"/>
      <w:pPr>
        <w:ind w:left="640" w:hanging="394"/>
      </w:pPr>
      <w:rPr>
        <w:rFonts w:ascii="Arial" w:eastAsia="Arial" w:hAnsi="Arial" w:cs="Arial" w:hint="default"/>
        <w:w w:val="98"/>
        <w:sz w:val="50"/>
        <w:szCs w:val="50"/>
      </w:rPr>
    </w:lvl>
    <w:lvl w:ilvl="1" w:tplc="6D0E4594">
      <w:start w:val="1"/>
      <w:numFmt w:val="upperLetter"/>
      <w:lvlText w:val="%2."/>
      <w:lvlJc w:val="left"/>
      <w:pPr>
        <w:ind w:left="955" w:hanging="307"/>
        <w:jc w:val="left"/>
      </w:pPr>
      <w:rPr>
        <w:rFonts w:hint="default"/>
        <w:spacing w:val="-1"/>
        <w:w w:val="92"/>
      </w:rPr>
    </w:lvl>
    <w:lvl w:ilvl="2" w:tplc="CCF09C6A">
      <w:start w:val="1"/>
      <w:numFmt w:val="decimal"/>
      <w:lvlText w:val="(%3)"/>
      <w:lvlJc w:val="left"/>
      <w:pPr>
        <w:ind w:left="1479" w:hanging="425"/>
        <w:jc w:val="right"/>
      </w:pPr>
      <w:rPr>
        <w:rFonts w:ascii="Times New Roman" w:eastAsia="Times New Roman" w:hAnsi="Times New Roman" w:cs="Times New Roman" w:hint="default"/>
        <w:w w:val="104"/>
        <w:sz w:val="20"/>
        <w:szCs w:val="20"/>
      </w:rPr>
    </w:lvl>
    <w:lvl w:ilvl="3" w:tplc="226858B8">
      <w:numFmt w:val="bullet"/>
      <w:lvlText w:val="•"/>
      <w:lvlJc w:val="left"/>
      <w:pPr>
        <w:ind w:left="2203" w:hanging="425"/>
      </w:pPr>
      <w:rPr>
        <w:rFonts w:hint="default"/>
      </w:rPr>
    </w:lvl>
    <w:lvl w:ilvl="4" w:tplc="EAB6D444">
      <w:numFmt w:val="bullet"/>
      <w:lvlText w:val="•"/>
      <w:lvlJc w:val="left"/>
      <w:pPr>
        <w:ind w:left="2926" w:hanging="425"/>
      </w:pPr>
      <w:rPr>
        <w:rFonts w:hint="default"/>
      </w:rPr>
    </w:lvl>
    <w:lvl w:ilvl="5" w:tplc="E7F06014">
      <w:numFmt w:val="bullet"/>
      <w:lvlText w:val="•"/>
      <w:lvlJc w:val="left"/>
      <w:pPr>
        <w:ind w:left="3649" w:hanging="425"/>
      </w:pPr>
      <w:rPr>
        <w:rFonts w:hint="default"/>
      </w:rPr>
    </w:lvl>
    <w:lvl w:ilvl="6" w:tplc="3A4277CA">
      <w:numFmt w:val="bullet"/>
      <w:lvlText w:val="•"/>
      <w:lvlJc w:val="left"/>
      <w:pPr>
        <w:ind w:left="4372" w:hanging="425"/>
      </w:pPr>
      <w:rPr>
        <w:rFonts w:hint="default"/>
      </w:rPr>
    </w:lvl>
    <w:lvl w:ilvl="7" w:tplc="1720A516">
      <w:numFmt w:val="bullet"/>
      <w:lvlText w:val="•"/>
      <w:lvlJc w:val="left"/>
      <w:pPr>
        <w:ind w:left="5095" w:hanging="425"/>
      </w:pPr>
      <w:rPr>
        <w:rFonts w:hint="default"/>
      </w:rPr>
    </w:lvl>
    <w:lvl w:ilvl="8" w:tplc="A6B86FC4">
      <w:numFmt w:val="bullet"/>
      <w:lvlText w:val="•"/>
      <w:lvlJc w:val="left"/>
      <w:pPr>
        <w:ind w:left="5818" w:hanging="425"/>
      </w:pPr>
      <w:rPr>
        <w:rFonts w:hint="default"/>
      </w:rPr>
    </w:lvl>
  </w:abstractNum>
  <w:abstractNum w:abstractNumId="118" w15:restartNumberingAfterBreak="0">
    <w:nsid w:val="69EF3BAA"/>
    <w:multiLevelType w:val="hybridMultilevel"/>
    <w:tmpl w:val="4258B588"/>
    <w:lvl w:ilvl="0" w:tplc="9C482334">
      <w:numFmt w:val="bullet"/>
      <w:lvlText w:val="■"/>
      <w:lvlJc w:val="left"/>
      <w:pPr>
        <w:ind w:left="598" w:hanging="375"/>
      </w:pPr>
      <w:rPr>
        <w:rFonts w:ascii="Arial" w:eastAsia="Arial" w:hAnsi="Arial" w:cs="Arial" w:hint="default"/>
        <w:w w:val="98"/>
        <w:sz w:val="50"/>
        <w:szCs w:val="50"/>
      </w:rPr>
    </w:lvl>
    <w:lvl w:ilvl="1" w:tplc="C5A00676">
      <w:start w:val="1"/>
      <w:numFmt w:val="upperLetter"/>
      <w:lvlText w:val="%2."/>
      <w:lvlJc w:val="left"/>
      <w:pPr>
        <w:ind w:left="936" w:hanging="303"/>
        <w:jc w:val="left"/>
      </w:pPr>
      <w:rPr>
        <w:rFonts w:hint="default"/>
        <w:spacing w:val="-1"/>
        <w:w w:val="95"/>
      </w:rPr>
    </w:lvl>
    <w:lvl w:ilvl="2" w:tplc="21D2B59C">
      <w:start w:val="1"/>
      <w:numFmt w:val="decimal"/>
      <w:lvlText w:val="(%3)"/>
      <w:lvlJc w:val="left"/>
      <w:pPr>
        <w:ind w:left="1354" w:hanging="423"/>
        <w:jc w:val="left"/>
      </w:pPr>
      <w:rPr>
        <w:rFonts w:hint="default"/>
        <w:w w:val="104"/>
      </w:rPr>
    </w:lvl>
    <w:lvl w:ilvl="3" w:tplc="A5B457F0">
      <w:numFmt w:val="bullet"/>
      <w:lvlText w:val="•"/>
      <w:lvlJc w:val="left"/>
      <w:pPr>
        <w:ind w:left="2096" w:hanging="423"/>
      </w:pPr>
      <w:rPr>
        <w:rFonts w:hint="default"/>
      </w:rPr>
    </w:lvl>
    <w:lvl w:ilvl="4" w:tplc="FD02CEA4">
      <w:numFmt w:val="bullet"/>
      <w:lvlText w:val="•"/>
      <w:lvlJc w:val="left"/>
      <w:pPr>
        <w:ind w:left="2832" w:hanging="423"/>
      </w:pPr>
      <w:rPr>
        <w:rFonts w:hint="default"/>
      </w:rPr>
    </w:lvl>
    <w:lvl w:ilvl="5" w:tplc="FF76DA06">
      <w:numFmt w:val="bullet"/>
      <w:lvlText w:val="•"/>
      <w:lvlJc w:val="left"/>
      <w:pPr>
        <w:ind w:left="3569" w:hanging="423"/>
      </w:pPr>
      <w:rPr>
        <w:rFonts w:hint="default"/>
      </w:rPr>
    </w:lvl>
    <w:lvl w:ilvl="6" w:tplc="C64A80CA">
      <w:numFmt w:val="bullet"/>
      <w:lvlText w:val="•"/>
      <w:lvlJc w:val="left"/>
      <w:pPr>
        <w:ind w:left="4305" w:hanging="423"/>
      </w:pPr>
      <w:rPr>
        <w:rFonts w:hint="default"/>
      </w:rPr>
    </w:lvl>
    <w:lvl w:ilvl="7" w:tplc="4A68D98C">
      <w:numFmt w:val="bullet"/>
      <w:lvlText w:val="•"/>
      <w:lvlJc w:val="left"/>
      <w:pPr>
        <w:ind w:left="5042" w:hanging="423"/>
      </w:pPr>
      <w:rPr>
        <w:rFonts w:hint="default"/>
      </w:rPr>
    </w:lvl>
    <w:lvl w:ilvl="8" w:tplc="8C46EFB2">
      <w:numFmt w:val="bullet"/>
      <w:lvlText w:val="•"/>
      <w:lvlJc w:val="left"/>
      <w:pPr>
        <w:ind w:left="5778" w:hanging="423"/>
      </w:pPr>
      <w:rPr>
        <w:rFonts w:hint="default"/>
      </w:rPr>
    </w:lvl>
  </w:abstractNum>
  <w:abstractNum w:abstractNumId="119" w15:restartNumberingAfterBreak="0">
    <w:nsid w:val="69F81B9C"/>
    <w:multiLevelType w:val="hybridMultilevel"/>
    <w:tmpl w:val="EC38C078"/>
    <w:lvl w:ilvl="0" w:tplc="4F8052B6">
      <w:numFmt w:val="bullet"/>
      <w:lvlText w:val="■"/>
      <w:lvlJc w:val="left"/>
      <w:pPr>
        <w:ind w:left="630" w:hanging="379"/>
      </w:pPr>
      <w:rPr>
        <w:rFonts w:ascii="Arial" w:eastAsia="Arial" w:hAnsi="Arial" w:cs="Arial" w:hint="default"/>
        <w:w w:val="98"/>
        <w:sz w:val="50"/>
        <w:szCs w:val="50"/>
      </w:rPr>
    </w:lvl>
    <w:lvl w:ilvl="1" w:tplc="6D246C50">
      <w:start w:val="1"/>
      <w:numFmt w:val="upperLetter"/>
      <w:lvlText w:val="%2."/>
      <w:lvlJc w:val="left"/>
      <w:pPr>
        <w:ind w:left="957" w:hanging="307"/>
        <w:jc w:val="left"/>
      </w:pPr>
      <w:rPr>
        <w:rFonts w:hint="default"/>
        <w:spacing w:val="-1"/>
        <w:w w:val="103"/>
      </w:rPr>
    </w:lvl>
    <w:lvl w:ilvl="2" w:tplc="91062552">
      <w:numFmt w:val="bullet"/>
      <w:lvlText w:val="•"/>
      <w:lvlJc w:val="left"/>
      <w:pPr>
        <w:ind w:left="1662" w:hanging="307"/>
      </w:pPr>
      <w:rPr>
        <w:rFonts w:hint="default"/>
      </w:rPr>
    </w:lvl>
    <w:lvl w:ilvl="3" w:tplc="30768388">
      <w:numFmt w:val="bullet"/>
      <w:lvlText w:val="•"/>
      <w:lvlJc w:val="left"/>
      <w:pPr>
        <w:ind w:left="2364" w:hanging="307"/>
      </w:pPr>
      <w:rPr>
        <w:rFonts w:hint="default"/>
      </w:rPr>
    </w:lvl>
    <w:lvl w:ilvl="4" w:tplc="5FB8818C">
      <w:numFmt w:val="bullet"/>
      <w:lvlText w:val="•"/>
      <w:lvlJc w:val="left"/>
      <w:pPr>
        <w:ind w:left="3067" w:hanging="307"/>
      </w:pPr>
      <w:rPr>
        <w:rFonts w:hint="default"/>
      </w:rPr>
    </w:lvl>
    <w:lvl w:ilvl="5" w:tplc="3CF4AFA6">
      <w:numFmt w:val="bullet"/>
      <w:lvlText w:val="•"/>
      <w:lvlJc w:val="left"/>
      <w:pPr>
        <w:ind w:left="3769" w:hanging="307"/>
      </w:pPr>
      <w:rPr>
        <w:rFonts w:hint="default"/>
      </w:rPr>
    </w:lvl>
    <w:lvl w:ilvl="6" w:tplc="FDD8D638">
      <w:numFmt w:val="bullet"/>
      <w:lvlText w:val="•"/>
      <w:lvlJc w:val="left"/>
      <w:pPr>
        <w:ind w:left="4471" w:hanging="307"/>
      </w:pPr>
      <w:rPr>
        <w:rFonts w:hint="default"/>
      </w:rPr>
    </w:lvl>
    <w:lvl w:ilvl="7" w:tplc="E364F5A0">
      <w:numFmt w:val="bullet"/>
      <w:lvlText w:val="•"/>
      <w:lvlJc w:val="left"/>
      <w:pPr>
        <w:ind w:left="5174" w:hanging="307"/>
      </w:pPr>
      <w:rPr>
        <w:rFonts w:hint="default"/>
      </w:rPr>
    </w:lvl>
    <w:lvl w:ilvl="8" w:tplc="A9D85ACC">
      <w:numFmt w:val="bullet"/>
      <w:lvlText w:val="•"/>
      <w:lvlJc w:val="left"/>
      <w:pPr>
        <w:ind w:left="5876" w:hanging="307"/>
      </w:pPr>
      <w:rPr>
        <w:rFonts w:hint="default"/>
      </w:rPr>
    </w:lvl>
  </w:abstractNum>
  <w:abstractNum w:abstractNumId="120" w15:restartNumberingAfterBreak="0">
    <w:nsid w:val="6A3709CA"/>
    <w:multiLevelType w:val="hybridMultilevel"/>
    <w:tmpl w:val="62EC7D10"/>
    <w:lvl w:ilvl="0" w:tplc="3DC2B5E6">
      <w:numFmt w:val="bullet"/>
      <w:lvlText w:val="□"/>
      <w:lvlJc w:val="left"/>
      <w:pPr>
        <w:ind w:left="553" w:hanging="333"/>
      </w:pPr>
      <w:rPr>
        <w:rFonts w:ascii="Arial" w:eastAsia="Arial" w:hAnsi="Arial" w:cs="Arial" w:hint="default"/>
        <w:w w:val="99"/>
        <w:sz w:val="37"/>
        <w:szCs w:val="37"/>
      </w:rPr>
    </w:lvl>
    <w:lvl w:ilvl="1" w:tplc="A6F6B916">
      <w:numFmt w:val="bullet"/>
      <w:lvlText w:val="•"/>
      <w:lvlJc w:val="left"/>
      <w:pPr>
        <w:ind w:left="920" w:hanging="333"/>
      </w:pPr>
      <w:rPr>
        <w:rFonts w:hint="default"/>
      </w:rPr>
    </w:lvl>
    <w:lvl w:ilvl="2" w:tplc="0ED20F56">
      <w:numFmt w:val="bullet"/>
      <w:lvlText w:val="•"/>
      <w:lvlJc w:val="left"/>
      <w:pPr>
        <w:ind w:left="1624" w:hanging="333"/>
      </w:pPr>
      <w:rPr>
        <w:rFonts w:hint="default"/>
      </w:rPr>
    </w:lvl>
    <w:lvl w:ilvl="3" w:tplc="9DA415DA">
      <w:numFmt w:val="bullet"/>
      <w:lvlText w:val="•"/>
      <w:lvlJc w:val="left"/>
      <w:pPr>
        <w:ind w:left="2329" w:hanging="333"/>
      </w:pPr>
      <w:rPr>
        <w:rFonts w:hint="default"/>
      </w:rPr>
    </w:lvl>
    <w:lvl w:ilvl="4" w:tplc="CEDC8332">
      <w:numFmt w:val="bullet"/>
      <w:lvlText w:val="•"/>
      <w:lvlJc w:val="left"/>
      <w:pPr>
        <w:ind w:left="3034" w:hanging="333"/>
      </w:pPr>
      <w:rPr>
        <w:rFonts w:hint="default"/>
      </w:rPr>
    </w:lvl>
    <w:lvl w:ilvl="5" w:tplc="97D2C3FE">
      <w:numFmt w:val="bullet"/>
      <w:lvlText w:val="•"/>
      <w:lvlJc w:val="left"/>
      <w:pPr>
        <w:ind w:left="3739" w:hanging="333"/>
      </w:pPr>
      <w:rPr>
        <w:rFonts w:hint="default"/>
      </w:rPr>
    </w:lvl>
    <w:lvl w:ilvl="6" w:tplc="6B5ABB70">
      <w:numFmt w:val="bullet"/>
      <w:lvlText w:val="•"/>
      <w:lvlJc w:val="left"/>
      <w:pPr>
        <w:ind w:left="4444" w:hanging="333"/>
      </w:pPr>
      <w:rPr>
        <w:rFonts w:hint="default"/>
      </w:rPr>
    </w:lvl>
    <w:lvl w:ilvl="7" w:tplc="3BCC580A">
      <w:numFmt w:val="bullet"/>
      <w:lvlText w:val="•"/>
      <w:lvlJc w:val="left"/>
      <w:pPr>
        <w:ind w:left="5149" w:hanging="333"/>
      </w:pPr>
      <w:rPr>
        <w:rFonts w:hint="default"/>
      </w:rPr>
    </w:lvl>
    <w:lvl w:ilvl="8" w:tplc="FF22400A">
      <w:numFmt w:val="bullet"/>
      <w:lvlText w:val="•"/>
      <w:lvlJc w:val="left"/>
      <w:pPr>
        <w:ind w:left="5853" w:hanging="333"/>
      </w:pPr>
      <w:rPr>
        <w:rFonts w:hint="default"/>
      </w:rPr>
    </w:lvl>
  </w:abstractNum>
  <w:abstractNum w:abstractNumId="121" w15:restartNumberingAfterBreak="0">
    <w:nsid w:val="6B3E7257"/>
    <w:multiLevelType w:val="hybridMultilevel"/>
    <w:tmpl w:val="932EDDE8"/>
    <w:lvl w:ilvl="0" w:tplc="8C448AF4">
      <w:numFmt w:val="bullet"/>
      <w:lvlText w:val="■"/>
      <w:lvlJc w:val="left"/>
      <w:pPr>
        <w:ind w:left="642" w:hanging="393"/>
      </w:pPr>
      <w:rPr>
        <w:rFonts w:ascii="Arial" w:eastAsia="Arial" w:hAnsi="Arial" w:cs="Arial" w:hint="default"/>
        <w:w w:val="98"/>
        <w:sz w:val="49"/>
        <w:szCs w:val="49"/>
      </w:rPr>
    </w:lvl>
    <w:lvl w:ilvl="1" w:tplc="26828B58">
      <w:numFmt w:val="bullet"/>
      <w:lvlText w:val="•"/>
      <w:lvlJc w:val="left"/>
      <w:pPr>
        <w:ind w:left="960" w:hanging="393"/>
      </w:pPr>
      <w:rPr>
        <w:rFonts w:hint="default"/>
      </w:rPr>
    </w:lvl>
    <w:lvl w:ilvl="2" w:tplc="1E7E49D8">
      <w:numFmt w:val="bullet"/>
      <w:lvlText w:val="•"/>
      <w:lvlJc w:val="left"/>
      <w:pPr>
        <w:ind w:left="1660" w:hanging="393"/>
      </w:pPr>
      <w:rPr>
        <w:rFonts w:hint="default"/>
      </w:rPr>
    </w:lvl>
    <w:lvl w:ilvl="3" w:tplc="504A9A9E">
      <w:numFmt w:val="bullet"/>
      <w:lvlText w:val="•"/>
      <w:lvlJc w:val="left"/>
      <w:pPr>
        <w:ind w:left="2360" w:hanging="393"/>
      </w:pPr>
      <w:rPr>
        <w:rFonts w:hint="default"/>
      </w:rPr>
    </w:lvl>
    <w:lvl w:ilvl="4" w:tplc="20B29956">
      <w:numFmt w:val="bullet"/>
      <w:lvlText w:val="•"/>
      <w:lvlJc w:val="left"/>
      <w:pPr>
        <w:ind w:left="3061" w:hanging="393"/>
      </w:pPr>
      <w:rPr>
        <w:rFonts w:hint="default"/>
      </w:rPr>
    </w:lvl>
    <w:lvl w:ilvl="5" w:tplc="E9CE2366">
      <w:numFmt w:val="bullet"/>
      <w:lvlText w:val="•"/>
      <w:lvlJc w:val="left"/>
      <w:pPr>
        <w:ind w:left="3761" w:hanging="393"/>
      </w:pPr>
      <w:rPr>
        <w:rFonts w:hint="default"/>
      </w:rPr>
    </w:lvl>
    <w:lvl w:ilvl="6" w:tplc="74AECCE2">
      <w:numFmt w:val="bullet"/>
      <w:lvlText w:val="•"/>
      <w:lvlJc w:val="left"/>
      <w:pPr>
        <w:ind w:left="4461" w:hanging="393"/>
      </w:pPr>
      <w:rPr>
        <w:rFonts w:hint="default"/>
      </w:rPr>
    </w:lvl>
    <w:lvl w:ilvl="7" w:tplc="8278BB34">
      <w:numFmt w:val="bullet"/>
      <w:lvlText w:val="•"/>
      <w:lvlJc w:val="left"/>
      <w:pPr>
        <w:ind w:left="5162" w:hanging="393"/>
      </w:pPr>
      <w:rPr>
        <w:rFonts w:hint="default"/>
      </w:rPr>
    </w:lvl>
    <w:lvl w:ilvl="8" w:tplc="6A3E2B8C">
      <w:numFmt w:val="bullet"/>
      <w:lvlText w:val="•"/>
      <w:lvlJc w:val="left"/>
      <w:pPr>
        <w:ind w:left="5862" w:hanging="393"/>
      </w:pPr>
      <w:rPr>
        <w:rFonts w:hint="default"/>
      </w:rPr>
    </w:lvl>
  </w:abstractNum>
  <w:abstractNum w:abstractNumId="122" w15:restartNumberingAfterBreak="0">
    <w:nsid w:val="6E5D35F5"/>
    <w:multiLevelType w:val="multilevel"/>
    <w:tmpl w:val="ACEC48DA"/>
    <w:lvl w:ilvl="0">
      <w:start w:val="307"/>
      <w:numFmt w:val="decimal"/>
      <w:lvlText w:val="%1"/>
      <w:lvlJc w:val="left"/>
      <w:pPr>
        <w:ind w:left="4527" w:hanging="1080"/>
        <w:jc w:val="left"/>
      </w:pPr>
      <w:rPr>
        <w:rFonts w:hint="default"/>
      </w:rPr>
    </w:lvl>
    <w:lvl w:ilvl="1">
      <w:start w:val="52"/>
      <w:numFmt w:val="decimal"/>
      <w:lvlText w:val="%1.%2"/>
      <w:lvlJc w:val="left"/>
      <w:pPr>
        <w:ind w:left="4527" w:hanging="1080"/>
        <w:jc w:val="right"/>
      </w:pPr>
      <w:rPr>
        <w:rFonts w:hint="default"/>
        <w:b/>
        <w:bCs/>
        <w:w w:val="113"/>
      </w:rPr>
    </w:lvl>
    <w:lvl w:ilvl="2">
      <w:numFmt w:val="bullet"/>
      <w:lvlText w:val="•"/>
      <w:lvlJc w:val="left"/>
      <w:pPr>
        <w:ind w:left="5315" w:hanging="1080"/>
      </w:pPr>
      <w:rPr>
        <w:rFonts w:hint="default"/>
      </w:rPr>
    </w:lvl>
    <w:lvl w:ilvl="3">
      <w:numFmt w:val="bullet"/>
      <w:lvlText w:val="•"/>
      <w:lvlJc w:val="left"/>
      <w:pPr>
        <w:ind w:left="5713" w:hanging="1080"/>
      </w:pPr>
      <w:rPr>
        <w:rFonts w:hint="default"/>
      </w:rPr>
    </w:lvl>
    <w:lvl w:ilvl="4">
      <w:numFmt w:val="bullet"/>
      <w:lvlText w:val="•"/>
      <w:lvlJc w:val="left"/>
      <w:pPr>
        <w:ind w:left="6111" w:hanging="1080"/>
      </w:pPr>
      <w:rPr>
        <w:rFonts w:hint="default"/>
      </w:rPr>
    </w:lvl>
    <w:lvl w:ilvl="5">
      <w:numFmt w:val="bullet"/>
      <w:lvlText w:val="•"/>
      <w:lvlJc w:val="left"/>
      <w:pPr>
        <w:ind w:left="6509" w:hanging="1080"/>
      </w:pPr>
      <w:rPr>
        <w:rFonts w:hint="default"/>
      </w:rPr>
    </w:lvl>
    <w:lvl w:ilvl="6">
      <w:numFmt w:val="bullet"/>
      <w:lvlText w:val="•"/>
      <w:lvlJc w:val="left"/>
      <w:pPr>
        <w:ind w:left="6907" w:hanging="1080"/>
      </w:pPr>
      <w:rPr>
        <w:rFonts w:hint="default"/>
      </w:rPr>
    </w:lvl>
    <w:lvl w:ilvl="7">
      <w:numFmt w:val="bullet"/>
      <w:lvlText w:val="•"/>
      <w:lvlJc w:val="left"/>
      <w:pPr>
        <w:ind w:left="7305" w:hanging="1080"/>
      </w:pPr>
      <w:rPr>
        <w:rFonts w:hint="default"/>
      </w:rPr>
    </w:lvl>
    <w:lvl w:ilvl="8">
      <w:numFmt w:val="bullet"/>
      <w:lvlText w:val="•"/>
      <w:lvlJc w:val="left"/>
      <w:pPr>
        <w:ind w:left="7703" w:hanging="1080"/>
      </w:pPr>
      <w:rPr>
        <w:rFonts w:hint="default"/>
      </w:rPr>
    </w:lvl>
  </w:abstractNum>
  <w:abstractNum w:abstractNumId="123" w15:restartNumberingAfterBreak="0">
    <w:nsid w:val="6F0B3CD2"/>
    <w:multiLevelType w:val="hybridMultilevel"/>
    <w:tmpl w:val="0486D9D8"/>
    <w:lvl w:ilvl="0" w:tplc="D194DAFA">
      <w:numFmt w:val="bullet"/>
      <w:lvlText w:val="■"/>
      <w:lvlJc w:val="left"/>
      <w:pPr>
        <w:ind w:left="629" w:hanging="380"/>
      </w:pPr>
      <w:rPr>
        <w:rFonts w:ascii="Arial" w:eastAsia="Arial" w:hAnsi="Arial" w:cs="Arial" w:hint="default"/>
        <w:w w:val="98"/>
        <w:sz w:val="50"/>
        <w:szCs w:val="50"/>
      </w:rPr>
    </w:lvl>
    <w:lvl w:ilvl="1" w:tplc="25849F5A">
      <w:start w:val="1"/>
      <w:numFmt w:val="upperLetter"/>
      <w:lvlText w:val="%2."/>
      <w:lvlJc w:val="left"/>
      <w:pPr>
        <w:ind w:left="955" w:hanging="297"/>
        <w:jc w:val="left"/>
      </w:pPr>
      <w:rPr>
        <w:rFonts w:hint="default"/>
        <w:spacing w:val="-1"/>
        <w:w w:val="103"/>
      </w:rPr>
    </w:lvl>
    <w:lvl w:ilvl="2" w:tplc="B3C07ED4">
      <w:numFmt w:val="bullet"/>
      <w:lvlText w:val="•"/>
      <w:lvlJc w:val="left"/>
      <w:pPr>
        <w:ind w:left="1660" w:hanging="297"/>
      </w:pPr>
      <w:rPr>
        <w:rFonts w:hint="default"/>
      </w:rPr>
    </w:lvl>
    <w:lvl w:ilvl="3" w:tplc="FEF23EC4">
      <w:numFmt w:val="bullet"/>
      <w:lvlText w:val="•"/>
      <w:lvlJc w:val="left"/>
      <w:pPr>
        <w:ind w:left="2360" w:hanging="297"/>
      </w:pPr>
      <w:rPr>
        <w:rFonts w:hint="default"/>
      </w:rPr>
    </w:lvl>
    <w:lvl w:ilvl="4" w:tplc="706C6D94">
      <w:numFmt w:val="bullet"/>
      <w:lvlText w:val="•"/>
      <w:lvlJc w:val="left"/>
      <w:pPr>
        <w:ind w:left="3060" w:hanging="297"/>
      </w:pPr>
      <w:rPr>
        <w:rFonts w:hint="default"/>
      </w:rPr>
    </w:lvl>
    <w:lvl w:ilvl="5" w:tplc="68F0508C">
      <w:numFmt w:val="bullet"/>
      <w:lvlText w:val="•"/>
      <w:lvlJc w:val="left"/>
      <w:pPr>
        <w:ind w:left="3760" w:hanging="297"/>
      </w:pPr>
      <w:rPr>
        <w:rFonts w:hint="default"/>
      </w:rPr>
    </w:lvl>
    <w:lvl w:ilvl="6" w:tplc="96A00B02">
      <w:numFmt w:val="bullet"/>
      <w:lvlText w:val="•"/>
      <w:lvlJc w:val="left"/>
      <w:pPr>
        <w:ind w:left="4460" w:hanging="297"/>
      </w:pPr>
      <w:rPr>
        <w:rFonts w:hint="default"/>
      </w:rPr>
    </w:lvl>
    <w:lvl w:ilvl="7" w:tplc="CD8AD912">
      <w:numFmt w:val="bullet"/>
      <w:lvlText w:val="•"/>
      <w:lvlJc w:val="left"/>
      <w:pPr>
        <w:ind w:left="5160" w:hanging="297"/>
      </w:pPr>
      <w:rPr>
        <w:rFonts w:hint="default"/>
      </w:rPr>
    </w:lvl>
    <w:lvl w:ilvl="8" w:tplc="07048778">
      <w:numFmt w:val="bullet"/>
      <w:lvlText w:val="•"/>
      <w:lvlJc w:val="left"/>
      <w:pPr>
        <w:ind w:left="5860" w:hanging="297"/>
      </w:pPr>
      <w:rPr>
        <w:rFonts w:hint="default"/>
      </w:rPr>
    </w:lvl>
  </w:abstractNum>
  <w:abstractNum w:abstractNumId="124" w15:restartNumberingAfterBreak="0">
    <w:nsid w:val="6F1000B6"/>
    <w:multiLevelType w:val="hybridMultilevel"/>
    <w:tmpl w:val="D6CE5938"/>
    <w:lvl w:ilvl="0" w:tplc="27C89B96">
      <w:numFmt w:val="bullet"/>
      <w:lvlText w:val="■"/>
      <w:lvlJc w:val="left"/>
      <w:pPr>
        <w:ind w:left="624" w:hanging="375"/>
      </w:pPr>
      <w:rPr>
        <w:rFonts w:ascii="Arial" w:eastAsia="Arial" w:hAnsi="Arial" w:cs="Arial" w:hint="default"/>
        <w:w w:val="98"/>
        <w:sz w:val="49"/>
        <w:szCs w:val="49"/>
      </w:rPr>
    </w:lvl>
    <w:lvl w:ilvl="1" w:tplc="3794849A">
      <w:start w:val="1"/>
      <w:numFmt w:val="upperLetter"/>
      <w:lvlText w:val="%2."/>
      <w:lvlJc w:val="left"/>
      <w:pPr>
        <w:ind w:left="962" w:hanging="303"/>
        <w:jc w:val="left"/>
      </w:pPr>
      <w:rPr>
        <w:rFonts w:hint="default"/>
        <w:spacing w:val="-1"/>
        <w:w w:val="100"/>
      </w:rPr>
    </w:lvl>
    <w:lvl w:ilvl="2" w:tplc="7A00C7E8">
      <w:numFmt w:val="bullet"/>
      <w:lvlText w:val="•"/>
      <w:lvlJc w:val="left"/>
      <w:pPr>
        <w:ind w:left="1659" w:hanging="303"/>
      </w:pPr>
      <w:rPr>
        <w:rFonts w:hint="default"/>
      </w:rPr>
    </w:lvl>
    <w:lvl w:ilvl="3" w:tplc="9CCA8C94">
      <w:numFmt w:val="bullet"/>
      <w:lvlText w:val="•"/>
      <w:lvlJc w:val="left"/>
      <w:pPr>
        <w:ind w:left="2359" w:hanging="303"/>
      </w:pPr>
      <w:rPr>
        <w:rFonts w:hint="default"/>
      </w:rPr>
    </w:lvl>
    <w:lvl w:ilvl="4" w:tplc="85244FEA">
      <w:numFmt w:val="bullet"/>
      <w:lvlText w:val="•"/>
      <w:lvlJc w:val="left"/>
      <w:pPr>
        <w:ind w:left="3059" w:hanging="303"/>
      </w:pPr>
      <w:rPr>
        <w:rFonts w:hint="default"/>
      </w:rPr>
    </w:lvl>
    <w:lvl w:ilvl="5" w:tplc="3140CF60">
      <w:numFmt w:val="bullet"/>
      <w:lvlText w:val="•"/>
      <w:lvlJc w:val="left"/>
      <w:pPr>
        <w:ind w:left="3758" w:hanging="303"/>
      </w:pPr>
      <w:rPr>
        <w:rFonts w:hint="default"/>
      </w:rPr>
    </w:lvl>
    <w:lvl w:ilvl="6" w:tplc="0CCEB9C2">
      <w:numFmt w:val="bullet"/>
      <w:lvlText w:val="•"/>
      <w:lvlJc w:val="left"/>
      <w:pPr>
        <w:ind w:left="4458" w:hanging="303"/>
      </w:pPr>
      <w:rPr>
        <w:rFonts w:hint="default"/>
      </w:rPr>
    </w:lvl>
    <w:lvl w:ilvl="7" w:tplc="C3D07E20">
      <w:numFmt w:val="bullet"/>
      <w:lvlText w:val="•"/>
      <w:lvlJc w:val="left"/>
      <w:pPr>
        <w:ind w:left="5158" w:hanging="303"/>
      </w:pPr>
      <w:rPr>
        <w:rFonts w:hint="default"/>
      </w:rPr>
    </w:lvl>
    <w:lvl w:ilvl="8" w:tplc="2F789786">
      <w:numFmt w:val="bullet"/>
      <w:lvlText w:val="•"/>
      <w:lvlJc w:val="left"/>
      <w:pPr>
        <w:ind w:left="5857" w:hanging="303"/>
      </w:pPr>
      <w:rPr>
        <w:rFonts w:hint="default"/>
      </w:rPr>
    </w:lvl>
  </w:abstractNum>
  <w:abstractNum w:abstractNumId="125" w15:restartNumberingAfterBreak="0">
    <w:nsid w:val="6F931FCB"/>
    <w:multiLevelType w:val="hybridMultilevel"/>
    <w:tmpl w:val="CF16FEDA"/>
    <w:lvl w:ilvl="0" w:tplc="AD7C0B84">
      <w:numFmt w:val="bullet"/>
      <w:lvlText w:val="□"/>
      <w:lvlJc w:val="left"/>
      <w:pPr>
        <w:ind w:left="588" w:hanging="328"/>
      </w:pPr>
      <w:rPr>
        <w:rFonts w:ascii="Arial" w:eastAsia="Arial" w:hAnsi="Arial" w:cs="Arial" w:hint="default"/>
        <w:w w:val="99"/>
        <w:sz w:val="36"/>
        <w:szCs w:val="36"/>
      </w:rPr>
    </w:lvl>
    <w:lvl w:ilvl="1" w:tplc="2A7E7C24">
      <w:start w:val="4"/>
      <w:numFmt w:val="decimal"/>
      <w:lvlText w:val="(%2)"/>
      <w:lvlJc w:val="left"/>
      <w:pPr>
        <w:ind w:left="1383" w:hanging="431"/>
        <w:jc w:val="left"/>
      </w:pPr>
      <w:rPr>
        <w:rFonts w:ascii="Times New Roman" w:eastAsia="Times New Roman" w:hAnsi="Times New Roman" w:cs="Times New Roman" w:hint="default"/>
        <w:spacing w:val="-32"/>
        <w:w w:val="88"/>
        <w:sz w:val="20"/>
        <w:szCs w:val="20"/>
      </w:rPr>
    </w:lvl>
    <w:lvl w:ilvl="2" w:tplc="D388BD0E">
      <w:numFmt w:val="bullet"/>
      <w:lvlText w:val="•"/>
      <w:lvlJc w:val="left"/>
      <w:pPr>
        <w:ind w:left="2035" w:hanging="431"/>
      </w:pPr>
      <w:rPr>
        <w:rFonts w:hint="default"/>
      </w:rPr>
    </w:lvl>
    <w:lvl w:ilvl="3" w:tplc="519C4B0C">
      <w:numFmt w:val="bullet"/>
      <w:lvlText w:val="•"/>
      <w:lvlJc w:val="left"/>
      <w:pPr>
        <w:ind w:left="2690" w:hanging="431"/>
      </w:pPr>
      <w:rPr>
        <w:rFonts w:hint="default"/>
      </w:rPr>
    </w:lvl>
    <w:lvl w:ilvl="4" w:tplc="85E62A3C">
      <w:numFmt w:val="bullet"/>
      <w:lvlText w:val="•"/>
      <w:lvlJc w:val="left"/>
      <w:pPr>
        <w:ind w:left="3345" w:hanging="431"/>
      </w:pPr>
      <w:rPr>
        <w:rFonts w:hint="default"/>
      </w:rPr>
    </w:lvl>
    <w:lvl w:ilvl="5" w:tplc="8C0892B8">
      <w:numFmt w:val="bullet"/>
      <w:lvlText w:val="•"/>
      <w:lvlJc w:val="left"/>
      <w:pPr>
        <w:ind w:left="4000" w:hanging="431"/>
      </w:pPr>
      <w:rPr>
        <w:rFonts w:hint="default"/>
      </w:rPr>
    </w:lvl>
    <w:lvl w:ilvl="6" w:tplc="3274D490">
      <w:numFmt w:val="bullet"/>
      <w:lvlText w:val="•"/>
      <w:lvlJc w:val="left"/>
      <w:pPr>
        <w:ind w:left="4655" w:hanging="431"/>
      </w:pPr>
      <w:rPr>
        <w:rFonts w:hint="default"/>
      </w:rPr>
    </w:lvl>
    <w:lvl w:ilvl="7" w:tplc="5730552A">
      <w:numFmt w:val="bullet"/>
      <w:lvlText w:val="•"/>
      <w:lvlJc w:val="left"/>
      <w:pPr>
        <w:ind w:left="5310" w:hanging="431"/>
      </w:pPr>
      <w:rPr>
        <w:rFonts w:hint="default"/>
      </w:rPr>
    </w:lvl>
    <w:lvl w:ilvl="8" w:tplc="7F729B2A">
      <w:numFmt w:val="bullet"/>
      <w:lvlText w:val="•"/>
      <w:lvlJc w:val="left"/>
      <w:pPr>
        <w:ind w:left="5965" w:hanging="431"/>
      </w:pPr>
      <w:rPr>
        <w:rFonts w:hint="default"/>
      </w:rPr>
    </w:lvl>
  </w:abstractNum>
  <w:abstractNum w:abstractNumId="126" w15:restartNumberingAfterBreak="0">
    <w:nsid w:val="70AC4511"/>
    <w:multiLevelType w:val="multilevel"/>
    <w:tmpl w:val="4BBA88CE"/>
    <w:lvl w:ilvl="0">
      <w:start w:val="314"/>
      <w:numFmt w:val="decimal"/>
      <w:lvlText w:val="%1"/>
      <w:lvlJc w:val="left"/>
      <w:pPr>
        <w:ind w:left="731" w:hanging="753"/>
        <w:jc w:val="left"/>
      </w:pPr>
      <w:rPr>
        <w:rFonts w:hint="default"/>
      </w:rPr>
    </w:lvl>
    <w:lvl w:ilvl="1">
      <w:numFmt w:val="decimalZero"/>
      <w:lvlText w:val="%1.%2"/>
      <w:lvlJc w:val="left"/>
      <w:pPr>
        <w:ind w:left="731" w:hanging="753"/>
        <w:jc w:val="left"/>
      </w:pPr>
      <w:rPr>
        <w:rFonts w:ascii="Times New Roman" w:eastAsia="Times New Roman" w:hAnsi="Times New Roman" w:cs="Times New Roman" w:hint="default"/>
        <w:b/>
        <w:bCs/>
        <w:w w:val="112"/>
        <w:sz w:val="20"/>
        <w:szCs w:val="20"/>
      </w:rPr>
    </w:lvl>
    <w:lvl w:ilvl="2">
      <w:numFmt w:val="bullet"/>
      <w:lvlText w:val="•"/>
      <w:lvlJc w:val="left"/>
      <w:pPr>
        <w:ind w:left="2139" w:hanging="753"/>
      </w:pPr>
      <w:rPr>
        <w:rFonts w:hint="default"/>
      </w:rPr>
    </w:lvl>
    <w:lvl w:ilvl="3">
      <w:numFmt w:val="bullet"/>
      <w:lvlText w:val="•"/>
      <w:lvlJc w:val="left"/>
      <w:pPr>
        <w:ind w:left="2839" w:hanging="753"/>
      </w:pPr>
      <w:rPr>
        <w:rFonts w:hint="default"/>
      </w:rPr>
    </w:lvl>
    <w:lvl w:ilvl="4">
      <w:numFmt w:val="bullet"/>
      <w:lvlText w:val="•"/>
      <w:lvlJc w:val="left"/>
      <w:pPr>
        <w:ind w:left="3538" w:hanging="753"/>
      </w:pPr>
      <w:rPr>
        <w:rFonts w:hint="default"/>
      </w:rPr>
    </w:lvl>
    <w:lvl w:ilvl="5">
      <w:numFmt w:val="bullet"/>
      <w:lvlText w:val="•"/>
      <w:lvlJc w:val="left"/>
      <w:pPr>
        <w:ind w:left="4238" w:hanging="753"/>
      </w:pPr>
      <w:rPr>
        <w:rFonts w:hint="default"/>
      </w:rPr>
    </w:lvl>
    <w:lvl w:ilvl="6">
      <w:numFmt w:val="bullet"/>
      <w:lvlText w:val="•"/>
      <w:lvlJc w:val="left"/>
      <w:pPr>
        <w:ind w:left="4938" w:hanging="753"/>
      </w:pPr>
      <w:rPr>
        <w:rFonts w:hint="default"/>
      </w:rPr>
    </w:lvl>
    <w:lvl w:ilvl="7">
      <w:numFmt w:val="bullet"/>
      <w:lvlText w:val="•"/>
      <w:lvlJc w:val="left"/>
      <w:pPr>
        <w:ind w:left="5637" w:hanging="753"/>
      </w:pPr>
      <w:rPr>
        <w:rFonts w:hint="default"/>
      </w:rPr>
    </w:lvl>
    <w:lvl w:ilvl="8">
      <w:numFmt w:val="bullet"/>
      <w:lvlText w:val="•"/>
      <w:lvlJc w:val="left"/>
      <w:pPr>
        <w:ind w:left="6337" w:hanging="753"/>
      </w:pPr>
      <w:rPr>
        <w:rFonts w:hint="default"/>
      </w:rPr>
    </w:lvl>
  </w:abstractNum>
  <w:abstractNum w:abstractNumId="127" w15:restartNumberingAfterBreak="0">
    <w:nsid w:val="7170131B"/>
    <w:multiLevelType w:val="hybridMultilevel"/>
    <w:tmpl w:val="30544D4C"/>
    <w:lvl w:ilvl="0" w:tplc="BDD2924E">
      <w:numFmt w:val="bullet"/>
      <w:lvlText w:val="□"/>
      <w:lvlJc w:val="left"/>
      <w:pPr>
        <w:ind w:left="593" w:hanging="332"/>
      </w:pPr>
      <w:rPr>
        <w:rFonts w:ascii="Arial" w:eastAsia="Arial" w:hAnsi="Arial" w:cs="Arial" w:hint="default"/>
        <w:w w:val="99"/>
        <w:sz w:val="36"/>
        <w:szCs w:val="36"/>
      </w:rPr>
    </w:lvl>
    <w:lvl w:ilvl="1" w:tplc="6326392C">
      <w:start w:val="3"/>
      <w:numFmt w:val="decimal"/>
      <w:lvlText w:val="(%2)"/>
      <w:lvlJc w:val="left"/>
      <w:pPr>
        <w:ind w:left="1397" w:hanging="425"/>
        <w:jc w:val="left"/>
      </w:pPr>
      <w:rPr>
        <w:rFonts w:hint="default"/>
        <w:w w:val="109"/>
      </w:rPr>
    </w:lvl>
    <w:lvl w:ilvl="2" w:tplc="BFEA2E06">
      <w:numFmt w:val="bullet"/>
      <w:lvlText w:val="•"/>
      <w:lvlJc w:val="left"/>
      <w:pPr>
        <w:ind w:left="2053" w:hanging="425"/>
      </w:pPr>
      <w:rPr>
        <w:rFonts w:hint="default"/>
      </w:rPr>
    </w:lvl>
    <w:lvl w:ilvl="3" w:tplc="0F569A6A">
      <w:numFmt w:val="bullet"/>
      <w:lvlText w:val="•"/>
      <w:lvlJc w:val="left"/>
      <w:pPr>
        <w:ind w:left="2706" w:hanging="425"/>
      </w:pPr>
      <w:rPr>
        <w:rFonts w:hint="default"/>
      </w:rPr>
    </w:lvl>
    <w:lvl w:ilvl="4" w:tplc="6248F9FE">
      <w:numFmt w:val="bullet"/>
      <w:lvlText w:val="•"/>
      <w:lvlJc w:val="left"/>
      <w:pPr>
        <w:ind w:left="3360" w:hanging="425"/>
      </w:pPr>
      <w:rPr>
        <w:rFonts w:hint="default"/>
      </w:rPr>
    </w:lvl>
    <w:lvl w:ilvl="5" w:tplc="355678D8">
      <w:numFmt w:val="bullet"/>
      <w:lvlText w:val="•"/>
      <w:lvlJc w:val="left"/>
      <w:pPr>
        <w:ind w:left="4013" w:hanging="425"/>
      </w:pPr>
      <w:rPr>
        <w:rFonts w:hint="default"/>
      </w:rPr>
    </w:lvl>
    <w:lvl w:ilvl="6" w:tplc="990C01DA">
      <w:numFmt w:val="bullet"/>
      <w:lvlText w:val="•"/>
      <w:lvlJc w:val="left"/>
      <w:pPr>
        <w:ind w:left="4667" w:hanging="425"/>
      </w:pPr>
      <w:rPr>
        <w:rFonts w:hint="default"/>
      </w:rPr>
    </w:lvl>
    <w:lvl w:ilvl="7" w:tplc="834EB39C">
      <w:numFmt w:val="bullet"/>
      <w:lvlText w:val="•"/>
      <w:lvlJc w:val="left"/>
      <w:pPr>
        <w:ind w:left="5320" w:hanging="425"/>
      </w:pPr>
      <w:rPr>
        <w:rFonts w:hint="default"/>
      </w:rPr>
    </w:lvl>
    <w:lvl w:ilvl="8" w:tplc="14E05294">
      <w:numFmt w:val="bullet"/>
      <w:lvlText w:val="•"/>
      <w:lvlJc w:val="left"/>
      <w:pPr>
        <w:ind w:left="5974" w:hanging="425"/>
      </w:pPr>
      <w:rPr>
        <w:rFonts w:hint="default"/>
      </w:rPr>
    </w:lvl>
  </w:abstractNum>
  <w:abstractNum w:abstractNumId="128" w15:restartNumberingAfterBreak="0">
    <w:nsid w:val="717C6E2A"/>
    <w:multiLevelType w:val="hybridMultilevel"/>
    <w:tmpl w:val="07DCCA90"/>
    <w:lvl w:ilvl="0" w:tplc="752471E4">
      <w:start w:val="1"/>
      <w:numFmt w:val="decimal"/>
      <w:lvlText w:val="(%1)"/>
      <w:lvlJc w:val="left"/>
      <w:pPr>
        <w:ind w:left="1576" w:hanging="429"/>
        <w:jc w:val="left"/>
      </w:pPr>
      <w:rPr>
        <w:rFonts w:hint="default"/>
        <w:w w:val="103"/>
      </w:rPr>
    </w:lvl>
    <w:lvl w:ilvl="1" w:tplc="BC1E8420">
      <w:numFmt w:val="bullet"/>
      <w:lvlText w:val="•"/>
      <w:lvlJc w:val="left"/>
      <w:pPr>
        <w:ind w:left="2193" w:hanging="429"/>
      </w:pPr>
      <w:rPr>
        <w:rFonts w:hint="default"/>
      </w:rPr>
    </w:lvl>
    <w:lvl w:ilvl="2" w:tplc="57B06EB2">
      <w:numFmt w:val="bullet"/>
      <w:lvlText w:val="•"/>
      <w:lvlJc w:val="left"/>
      <w:pPr>
        <w:ind w:left="2807" w:hanging="429"/>
      </w:pPr>
      <w:rPr>
        <w:rFonts w:hint="default"/>
      </w:rPr>
    </w:lvl>
    <w:lvl w:ilvl="3" w:tplc="2CD07DAA">
      <w:numFmt w:val="bullet"/>
      <w:lvlText w:val="•"/>
      <w:lvlJc w:val="left"/>
      <w:pPr>
        <w:ind w:left="3421" w:hanging="429"/>
      </w:pPr>
      <w:rPr>
        <w:rFonts w:hint="default"/>
      </w:rPr>
    </w:lvl>
    <w:lvl w:ilvl="4" w:tplc="400213CA">
      <w:numFmt w:val="bullet"/>
      <w:lvlText w:val="•"/>
      <w:lvlJc w:val="left"/>
      <w:pPr>
        <w:ind w:left="4034" w:hanging="429"/>
      </w:pPr>
      <w:rPr>
        <w:rFonts w:hint="default"/>
      </w:rPr>
    </w:lvl>
    <w:lvl w:ilvl="5" w:tplc="8550D7C4">
      <w:numFmt w:val="bullet"/>
      <w:lvlText w:val="•"/>
      <w:lvlJc w:val="left"/>
      <w:pPr>
        <w:ind w:left="4648" w:hanging="429"/>
      </w:pPr>
      <w:rPr>
        <w:rFonts w:hint="default"/>
      </w:rPr>
    </w:lvl>
    <w:lvl w:ilvl="6" w:tplc="2C96CE70">
      <w:numFmt w:val="bullet"/>
      <w:lvlText w:val="•"/>
      <w:lvlJc w:val="left"/>
      <w:pPr>
        <w:ind w:left="5262" w:hanging="429"/>
      </w:pPr>
      <w:rPr>
        <w:rFonts w:hint="default"/>
      </w:rPr>
    </w:lvl>
    <w:lvl w:ilvl="7" w:tplc="15825D78">
      <w:numFmt w:val="bullet"/>
      <w:lvlText w:val="•"/>
      <w:lvlJc w:val="left"/>
      <w:pPr>
        <w:ind w:left="5875" w:hanging="429"/>
      </w:pPr>
      <w:rPr>
        <w:rFonts w:hint="default"/>
      </w:rPr>
    </w:lvl>
    <w:lvl w:ilvl="8" w:tplc="3B4AED1C">
      <w:numFmt w:val="bullet"/>
      <w:lvlText w:val="•"/>
      <w:lvlJc w:val="left"/>
      <w:pPr>
        <w:ind w:left="6489" w:hanging="429"/>
      </w:pPr>
      <w:rPr>
        <w:rFonts w:hint="default"/>
      </w:rPr>
    </w:lvl>
  </w:abstractNum>
  <w:abstractNum w:abstractNumId="129" w15:restartNumberingAfterBreak="0">
    <w:nsid w:val="741E744B"/>
    <w:multiLevelType w:val="hybridMultilevel"/>
    <w:tmpl w:val="4CEEA646"/>
    <w:lvl w:ilvl="0" w:tplc="78D8935A">
      <w:numFmt w:val="bullet"/>
      <w:lvlText w:val="■"/>
      <w:lvlJc w:val="left"/>
      <w:pPr>
        <w:ind w:left="640" w:hanging="388"/>
      </w:pPr>
      <w:rPr>
        <w:rFonts w:ascii="Arial" w:eastAsia="Arial" w:hAnsi="Arial" w:cs="Arial" w:hint="default"/>
        <w:w w:val="98"/>
        <w:sz w:val="49"/>
        <w:szCs w:val="49"/>
      </w:rPr>
    </w:lvl>
    <w:lvl w:ilvl="1" w:tplc="6872587E">
      <w:start w:val="1"/>
      <w:numFmt w:val="upperLetter"/>
      <w:lvlText w:val="%2."/>
      <w:lvlJc w:val="left"/>
      <w:pPr>
        <w:ind w:left="960" w:hanging="311"/>
        <w:jc w:val="left"/>
      </w:pPr>
      <w:rPr>
        <w:rFonts w:hint="default"/>
        <w:spacing w:val="-1"/>
        <w:w w:val="103"/>
      </w:rPr>
    </w:lvl>
    <w:lvl w:ilvl="2" w:tplc="76C6E544">
      <w:start w:val="1"/>
      <w:numFmt w:val="decimal"/>
      <w:lvlText w:val="(%3)"/>
      <w:lvlJc w:val="left"/>
      <w:pPr>
        <w:ind w:left="1380" w:hanging="424"/>
        <w:jc w:val="left"/>
      </w:pPr>
      <w:rPr>
        <w:rFonts w:hint="default"/>
        <w:w w:val="103"/>
      </w:rPr>
    </w:lvl>
    <w:lvl w:ilvl="3" w:tplc="FCC0D46E">
      <w:numFmt w:val="bullet"/>
      <w:lvlText w:val="•"/>
      <w:lvlJc w:val="left"/>
      <w:pPr>
        <w:ind w:left="2116" w:hanging="424"/>
      </w:pPr>
      <w:rPr>
        <w:rFonts w:hint="default"/>
      </w:rPr>
    </w:lvl>
    <w:lvl w:ilvl="4" w:tplc="36EA3278">
      <w:numFmt w:val="bullet"/>
      <w:lvlText w:val="•"/>
      <w:lvlJc w:val="left"/>
      <w:pPr>
        <w:ind w:left="2852" w:hanging="424"/>
      </w:pPr>
      <w:rPr>
        <w:rFonts w:hint="default"/>
      </w:rPr>
    </w:lvl>
    <w:lvl w:ilvl="5" w:tplc="AAD8D546">
      <w:numFmt w:val="bullet"/>
      <w:lvlText w:val="•"/>
      <w:lvlJc w:val="left"/>
      <w:pPr>
        <w:ind w:left="3589" w:hanging="424"/>
      </w:pPr>
      <w:rPr>
        <w:rFonts w:hint="default"/>
      </w:rPr>
    </w:lvl>
    <w:lvl w:ilvl="6" w:tplc="84123F58">
      <w:numFmt w:val="bullet"/>
      <w:lvlText w:val="•"/>
      <w:lvlJc w:val="left"/>
      <w:pPr>
        <w:ind w:left="4325" w:hanging="424"/>
      </w:pPr>
      <w:rPr>
        <w:rFonts w:hint="default"/>
      </w:rPr>
    </w:lvl>
    <w:lvl w:ilvl="7" w:tplc="8AD6B920">
      <w:numFmt w:val="bullet"/>
      <w:lvlText w:val="•"/>
      <w:lvlJc w:val="left"/>
      <w:pPr>
        <w:ind w:left="5061" w:hanging="424"/>
      </w:pPr>
      <w:rPr>
        <w:rFonts w:hint="default"/>
      </w:rPr>
    </w:lvl>
    <w:lvl w:ilvl="8" w:tplc="B55C1F8C">
      <w:numFmt w:val="bullet"/>
      <w:lvlText w:val="•"/>
      <w:lvlJc w:val="left"/>
      <w:pPr>
        <w:ind w:left="5798" w:hanging="424"/>
      </w:pPr>
      <w:rPr>
        <w:rFonts w:hint="default"/>
      </w:rPr>
    </w:lvl>
  </w:abstractNum>
  <w:abstractNum w:abstractNumId="130" w15:restartNumberingAfterBreak="0">
    <w:nsid w:val="764E5C2F"/>
    <w:multiLevelType w:val="hybridMultilevel"/>
    <w:tmpl w:val="66FA1C46"/>
    <w:lvl w:ilvl="0" w:tplc="EEA02E10">
      <w:numFmt w:val="bullet"/>
      <w:lvlText w:val="■"/>
      <w:lvlJc w:val="left"/>
      <w:pPr>
        <w:ind w:left="628" w:hanging="379"/>
      </w:pPr>
      <w:rPr>
        <w:rFonts w:ascii="Arial" w:eastAsia="Arial" w:hAnsi="Arial" w:cs="Arial" w:hint="default"/>
        <w:w w:val="98"/>
        <w:sz w:val="50"/>
        <w:szCs w:val="50"/>
      </w:rPr>
    </w:lvl>
    <w:lvl w:ilvl="1" w:tplc="600AF8A6">
      <w:numFmt w:val="bullet"/>
      <w:lvlText w:val="•"/>
      <w:lvlJc w:val="left"/>
      <w:pPr>
        <w:ind w:left="960" w:hanging="379"/>
      </w:pPr>
      <w:rPr>
        <w:rFonts w:hint="default"/>
      </w:rPr>
    </w:lvl>
    <w:lvl w:ilvl="2" w:tplc="B794448A">
      <w:numFmt w:val="bullet"/>
      <w:lvlText w:val="•"/>
      <w:lvlJc w:val="left"/>
      <w:pPr>
        <w:ind w:left="1661" w:hanging="379"/>
      </w:pPr>
      <w:rPr>
        <w:rFonts w:hint="default"/>
      </w:rPr>
    </w:lvl>
    <w:lvl w:ilvl="3" w:tplc="E8CC58E6">
      <w:numFmt w:val="bullet"/>
      <w:lvlText w:val="•"/>
      <w:lvlJc w:val="left"/>
      <w:pPr>
        <w:ind w:left="2362" w:hanging="379"/>
      </w:pPr>
      <w:rPr>
        <w:rFonts w:hint="default"/>
      </w:rPr>
    </w:lvl>
    <w:lvl w:ilvl="4" w:tplc="C37E5130">
      <w:numFmt w:val="bullet"/>
      <w:lvlText w:val="•"/>
      <w:lvlJc w:val="left"/>
      <w:pPr>
        <w:ind w:left="3063" w:hanging="379"/>
      </w:pPr>
      <w:rPr>
        <w:rFonts w:hint="default"/>
      </w:rPr>
    </w:lvl>
    <w:lvl w:ilvl="5" w:tplc="ED7AF772">
      <w:numFmt w:val="bullet"/>
      <w:lvlText w:val="•"/>
      <w:lvlJc w:val="left"/>
      <w:pPr>
        <w:ind w:left="3764" w:hanging="379"/>
      </w:pPr>
      <w:rPr>
        <w:rFonts w:hint="default"/>
      </w:rPr>
    </w:lvl>
    <w:lvl w:ilvl="6" w:tplc="6C36D5CA">
      <w:numFmt w:val="bullet"/>
      <w:lvlText w:val="•"/>
      <w:lvlJc w:val="left"/>
      <w:pPr>
        <w:ind w:left="4466" w:hanging="379"/>
      </w:pPr>
      <w:rPr>
        <w:rFonts w:hint="default"/>
      </w:rPr>
    </w:lvl>
    <w:lvl w:ilvl="7" w:tplc="58D20A14">
      <w:numFmt w:val="bullet"/>
      <w:lvlText w:val="•"/>
      <w:lvlJc w:val="left"/>
      <w:pPr>
        <w:ind w:left="5167" w:hanging="379"/>
      </w:pPr>
      <w:rPr>
        <w:rFonts w:hint="default"/>
      </w:rPr>
    </w:lvl>
    <w:lvl w:ilvl="8" w:tplc="ECE0F114">
      <w:numFmt w:val="bullet"/>
      <w:lvlText w:val="•"/>
      <w:lvlJc w:val="left"/>
      <w:pPr>
        <w:ind w:left="5868" w:hanging="379"/>
      </w:pPr>
      <w:rPr>
        <w:rFonts w:hint="default"/>
      </w:rPr>
    </w:lvl>
  </w:abstractNum>
  <w:abstractNum w:abstractNumId="131" w15:restartNumberingAfterBreak="0">
    <w:nsid w:val="76740CF6"/>
    <w:multiLevelType w:val="multilevel"/>
    <w:tmpl w:val="DB4A2060"/>
    <w:lvl w:ilvl="0">
      <w:start w:val="312"/>
      <w:numFmt w:val="decimal"/>
      <w:lvlText w:val="%1"/>
      <w:lvlJc w:val="left"/>
      <w:pPr>
        <w:ind w:left="903" w:hanging="727"/>
        <w:jc w:val="left"/>
      </w:pPr>
      <w:rPr>
        <w:rFonts w:hint="default"/>
      </w:rPr>
    </w:lvl>
    <w:lvl w:ilvl="1">
      <w:start w:val="32"/>
      <w:numFmt w:val="decimal"/>
      <w:lvlText w:val="%1.%2"/>
      <w:lvlJc w:val="left"/>
      <w:pPr>
        <w:ind w:left="903" w:hanging="727"/>
        <w:jc w:val="left"/>
      </w:pPr>
      <w:rPr>
        <w:rFonts w:ascii="Times New Roman" w:eastAsia="Times New Roman" w:hAnsi="Times New Roman" w:cs="Times New Roman" w:hint="default"/>
        <w:w w:val="99"/>
        <w:sz w:val="20"/>
        <w:szCs w:val="20"/>
      </w:rPr>
    </w:lvl>
    <w:lvl w:ilvl="2">
      <w:numFmt w:val="bullet"/>
      <w:lvlText w:val="•"/>
      <w:lvlJc w:val="left"/>
      <w:pPr>
        <w:ind w:left="1494" w:hanging="727"/>
      </w:pPr>
      <w:rPr>
        <w:rFonts w:hint="default"/>
      </w:rPr>
    </w:lvl>
    <w:lvl w:ilvl="3">
      <w:numFmt w:val="bullet"/>
      <w:lvlText w:val="•"/>
      <w:lvlJc w:val="left"/>
      <w:pPr>
        <w:ind w:left="1792" w:hanging="727"/>
      </w:pPr>
      <w:rPr>
        <w:rFonts w:hint="default"/>
      </w:rPr>
    </w:lvl>
    <w:lvl w:ilvl="4">
      <w:numFmt w:val="bullet"/>
      <w:lvlText w:val="•"/>
      <w:lvlJc w:val="left"/>
      <w:pPr>
        <w:ind w:left="2089" w:hanging="727"/>
      </w:pPr>
      <w:rPr>
        <w:rFonts w:hint="default"/>
      </w:rPr>
    </w:lvl>
    <w:lvl w:ilvl="5">
      <w:numFmt w:val="bullet"/>
      <w:lvlText w:val="•"/>
      <w:lvlJc w:val="left"/>
      <w:pPr>
        <w:ind w:left="2387" w:hanging="727"/>
      </w:pPr>
      <w:rPr>
        <w:rFonts w:hint="default"/>
      </w:rPr>
    </w:lvl>
    <w:lvl w:ilvl="6">
      <w:numFmt w:val="bullet"/>
      <w:lvlText w:val="•"/>
      <w:lvlJc w:val="left"/>
      <w:pPr>
        <w:ind w:left="2684" w:hanging="727"/>
      </w:pPr>
      <w:rPr>
        <w:rFonts w:hint="default"/>
      </w:rPr>
    </w:lvl>
    <w:lvl w:ilvl="7">
      <w:numFmt w:val="bullet"/>
      <w:lvlText w:val="•"/>
      <w:lvlJc w:val="left"/>
      <w:pPr>
        <w:ind w:left="2982" w:hanging="727"/>
      </w:pPr>
      <w:rPr>
        <w:rFonts w:hint="default"/>
      </w:rPr>
    </w:lvl>
    <w:lvl w:ilvl="8">
      <w:numFmt w:val="bullet"/>
      <w:lvlText w:val="•"/>
      <w:lvlJc w:val="left"/>
      <w:pPr>
        <w:ind w:left="3279" w:hanging="727"/>
      </w:pPr>
      <w:rPr>
        <w:rFonts w:hint="default"/>
      </w:rPr>
    </w:lvl>
  </w:abstractNum>
  <w:abstractNum w:abstractNumId="132" w15:restartNumberingAfterBreak="0">
    <w:nsid w:val="768515B7"/>
    <w:multiLevelType w:val="hybridMultilevel"/>
    <w:tmpl w:val="86E692B4"/>
    <w:lvl w:ilvl="0" w:tplc="9C82C886">
      <w:numFmt w:val="bullet"/>
      <w:lvlText w:val="■"/>
      <w:lvlJc w:val="left"/>
      <w:pPr>
        <w:ind w:left="634" w:hanging="380"/>
      </w:pPr>
      <w:rPr>
        <w:rFonts w:ascii="Arial" w:eastAsia="Arial" w:hAnsi="Arial" w:cs="Arial" w:hint="default"/>
        <w:w w:val="100"/>
        <w:sz w:val="49"/>
        <w:szCs w:val="49"/>
      </w:rPr>
    </w:lvl>
    <w:lvl w:ilvl="1" w:tplc="6100B65A">
      <w:start w:val="1"/>
      <w:numFmt w:val="upperLetter"/>
      <w:lvlText w:val="%2."/>
      <w:lvlJc w:val="left"/>
      <w:pPr>
        <w:ind w:left="962" w:hanging="311"/>
        <w:jc w:val="left"/>
      </w:pPr>
      <w:rPr>
        <w:rFonts w:hint="default"/>
        <w:spacing w:val="-1"/>
        <w:w w:val="95"/>
      </w:rPr>
    </w:lvl>
    <w:lvl w:ilvl="2" w:tplc="1E2251A4">
      <w:numFmt w:val="bullet"/>
      <w:lvlText w:val="•"/>
      <w:lvlJc w:val="left"/>
      <w:pPr>
        <w:ind w:left="1661" w:hanging="311"/>
      </w:pPr>
      <w:rPr>
        <w:rFonts w:hint="default"/>
      </w:rPr>
    </w:lvl>
    <w:lvl w:ilvl="3" w:tplc="4FE42EF2">
      <w:numFmt w:val="bullet"/>
      <w:lvlText w:val="•"/>
      <w:lvlJc w:val="left"/>
      <w:pPr>
        <w:ind w:left="2363" w:hanging="311"/>
      </w:pPr>
      <w:rPr>
        <w:rFonts w:hint="default"/>
      </w:rPr>
    </w:lvl>
    <w:lvl w:ilvl="4" w:tplc="7A4ADE48">
      <w:numFmt w:val="bullet"/>
      <w:lvlText w:val="•"/>
      <w:lvlJc w:val="left"/>
      <w:pPr>
        <w:ind w:left="3064" w:hanging="311"/>
      </w:pPr>
      <w:rPr>
        <w:rFonts w:hint="default"/>
      </w:rPr>
    </w:lvl>
    <w:lvl w:ilvl="5" w:tplc="24F2D10C">
      <w:numFmt w:val="bullet"/>
      <w:lvlText w:val="•"/>
      <w:lvlJc w:val="left"/>
      <w:pPr>
        <w:ind w:left="3766" w:hanging="311"/>
      </w:pPr>
      <w:rPr>
        <w:rFonts w:hint="default"/>
      </w:rPr>
    </w:lvl>
    <w:lvl w:ilvl="6" w:tplc="6B5E5458">
      <w:numFmt w:val="bullet"/>
      <w:lvlText w:val="•"/>
      <w:lvlJc w:val="left"/>
      <w:pPr>
        <w:ind w:left="4467" w:hanging="311"/>
      </w:pPr>
      <w:rPr>
        <w:rFonts w:hint="default"/>
      </w:rPr>
    </w:lvl>
    <w:lvl w:ilvl="7" w:tplc="25BAD61A">
      <w:numFmt w:val="bullet"/>
      <w:lvlText w:val="•"/>
      <w:lvlJc w:val="left"/>
      <w:pPr>
        <w:ind w:left="5169" w:hanging="311"/>
      </w:pPr>
      <w:rPr>
        <w:rFonts w:hint="default"/>
      </w:rPr>
    </w:lvl>
    <w:lvl w:ilvl="8" w:tplc="398040B8">
      <w:numFmt w:val="bullet"/>
      <w:lvlText w:val="•"/>
      <w:lvlJc w:val="left"/>
      <w:pPr>
        <w:ind w:left="5870" w:hanging="311"/>
      </w:pPr>
      <w:rPr>
        <w:rFonts w:hint="default"/>
      </w:rPr>
    </w:lvl>
  </w:abstractNum>
  <w:abstractNum w:abstractNumId="133" w15:restartNumberingAfterBreak="0">
    <w:nsid w:val="77FC569F"/>
    <w:multiLevelType w:val="hybridMultilevel"/>
    <w:tmpl w:val="D4184E46"/>
    <w:lvl w:ilvl="0" w:tplc="4D460F2E">
      <w:numFmt w:val="bullet"/>
      <w:lvlText w:val="■"/>
      <w:lvlJc w:val="left"/>
      <w:pPr>
        <w:ind w:left="628" w:hanging="375"/>
      </w:pPr>
      <w:rPr>
        <w:rFonts w:ascii="Arial" w:eastAsia="Arial" w:hAnsi="Arial" w:cs="Arial" w:hint="default"/>
        <w:w w:val="98"/>
        <w:sz w:val="50"/>
        <w:szCs w:val="50"/>
      </w:rPr>
    </w:lvl>
    <w:lvl w:ilvl="1" w:tplc="CA48C0F8">
      <w:start w:val="1"/>
      <w:numFmt w:val="decimal"/>
      <w:lvlText w:val="(%2)"/>
      <w:lvlJc w:val="left"/>
      <w:pPr>
        <w:ind w:left="1380" w:hanging="417"/>
        <w:jc w:val="left"/>
      </w:pPr>
      <w:rPr>
        <w:rFonts w:ascii="Times New Roman" w:eastAsia="Times New Roman" w:hAnsi="Times New Roman" w:cs="Times New Roman" w:hint="default"/>
        <w:w w:val="103"/>
        <w:sz w:val="18"/>
        <w:szCs w:val="18"/>
      </w:rPr>
    </w:lvl>
    <w:lvl w:ilvl="2" w:tplc="9574E7F2">
      <w:start w:val="1"/>
      <w:numFmt w:val="lowerLetter"/>
      <w:lvlText w:val="(%3)"/>
      <w:lvlJc w:val="left"/>
      <w:pPr>
        <w:ind w:left="1803" w:hanging="425"/>
        <w:jc w:val="left"/>
      </w:pPr>
      <w:rPr>
        <w:rFonts w:ascii="Times New Roman" w:eastAsia="Times New Roman" w:hAnsi="Times New Roman" w:cs="Times New Roman" w:hint="default"/>
        <w:spacing w:val="-1"/>
        <w:w w:val="110"/>
        <w:sz w:val="20"/>
        <w:szCs w:val="20"/>
      </w:rPr>
    </w:lvl>
    <w:lvl w:ilvl="3" w:tplc="B9489C38">
      <w:numFmt w:val="bullet"/>
      <w:lvlText w:val="•"/>
      <w:lvlJc w:val="left"/>
      <w:pPr>
        <w:ind w:left="1800" w:hanging="425"/>
      </w:pPr>
      <w:rPr>
        <w:rFonts w:hint="default"/>
      </w:rPr>
    </w:lvl>
    <w:lvl w:ilvl="4" w:tplc="B68E0AD0">
      <w:numFmt w:val="bullet"/>
      <w:lvlText w:val="•"/>
      <w:lvlJc w:val="left"/>
      <w:pPr>
        <w:ind w:left="2578" w:hanging="425"/>
      </w:pPr>
      <w:rPr>
        <w:rFonts w:hint="default"/>
      </w:rPr>
    </w:lvl>
    <w:lvl w:ilvl="5" w:tplc="4CF2353C">
      <w:numFmt w:val="bullet"/>
      <w:lvlText w:val="•"/>
      <w:lvlJc w:val="left"/>
      <w:pPr>
        <w:ind w:left="3357" w:hanging="425"/>
      </w:pPr>
      <w:rPr>
        <w:rFonts w:hint="default"/>
      </w:rPr>
    </w:lvl>
    <w:lvl w:ilvl="6" w:tplc="AA8E926C">
      <w:numFmt w:val="bullet"/>
      <w:lvlText w:val="•"/>
      <w:lvlJc w:val="left"/>
      <w:pPr>
        <w:ind w:left="4136" w:hanging="425"/>
      </w:pPr>
      <w:rPr>
        <w:rFonts w:hint="default"/>
      </w:rPr>
    </w:lvl>
    <w:lvl w:ilvl="7" w:tplc="BB58AA6A">
      <w:numFmt w:val="bullet"/>
      <w:lvlText w:val="•"/>
      <w:lvlJc w:val="left"/>
      <w:pPr>
        <w:ind w:left="4915" w:hanging="425"/>
      </w:pPr>
      <w:rPr>
        <w:rFonts w:hint="default"/>
      </w:rPr>
    </w:lvl>
    <w:lvl w:ilvl="8" w:tplc="5614D80C">
      <w:numFmt w:val="bullet"/>
      <w:lvlText w:val="•"/>
      <w:lvlJc w:val="left"/>
      <w:pPr>
        <w:ind w:left="5694" w:hanging="425"/>
      </w:pPr>
      <w:rPr>
        <w:rFonts w:hint="default"/>
      </w:rPr>
    </w:lvl>
  </w:abstractNum>
  <w:abstractNum w:abstractNumId="134" w15:restartNumberingAfterBreak="0">
    <w:nsid w:val="7A554ED5"/>
    <w:multiLevelType w:val="hybridMultilevel"/>
    <w:tmpl w:val="307C8398"/>
    <w:lvl w:ilvl="0" w:tplc="BDF6146C">
      <w:start w:val="7"/>
      <w:numFmt w:val="lowerLetter"/>
      <w:lvlText w:val="(%1)"/>
      <w:lvlJc w:val="left"/>
      <w:pPr>
        <w:ind w:left="2154" w:hanging="425"/>
        <w:jc w:val="left"/>
      </w:pPr>
      <w:rPr>
        <w:rFonts w:hint="default"/>
        <w:w w:val="109"/>
      </w:rPr>
    </w:lvl>
    <w:lvl w:ilvl="1" w:tplc="E8F225DE">
      <w:numFmt w:val="bullet"/>
      <w:lvlText w:val="•"/>
      <w:lvlJc w:val="left"/>
      <w:pPr>
        <w:ind w:left="2713" w:hanging="425"/>
      </w:pPr>
      <w:rPr>
        <w:rFonts w:hint="default"/>
      </w:rPr>
    </w:lvl>
    <w:lvl w:ilvl="2" w:tplc="2A1A7B70">
      <w:numFmt w:val="bullet"/>
      <w:lvlText w:val="•"/>
      <w:lvlJc w:val="left"/>
      <w:pPr>
        <w:ind w:left="3267" w:hanging="425"/>
      </w:pPr>
      <w:rPr>
        <w:rFonts w:hint="default"/>
      </w:rPr>
    </w:lvl>
    <w:lvl w:ilvl="3" w:tplc="E8FEEE1A">
      <w:numFmt w:val="bullet"/>
      <w:lvlText w:val="•"/>
      <w:lvlJc w:val="left"/>
      <w:pPr>
        <w:ind w:left="3821" w:hanging="425"/>
      </w:pPr>
      <w:rPr>
        <w:rFonts w:hint="default"/>
      </w:rPr>
    </w:lvl>
    <w:lvl w:ilvl="4" w:tplc="0D9695D8">
      <w:numFmt w:val="bullet"/>
      <w:lvlText w:val="•"/>
      <w:lvlJc w:val="left"/>
      <w:pPr>
        <w:ind w:left="4374" w:hanging="425"/>
      </w:pPr>
      <w:rPr>
        <w:rFonts w:hint="default"/>
      </w:rPr>
    </w:lvl>
    <w:lvl w:ilvl="5" w:tplc="27E03F80">
      <w:numFmt w:val="bullet"/>
      <w:lvlText w:val="•"/>
      <w:lvlJc w:val="left"/>
      <w:pPr>
        <w:ind w:left="4928" w:hanging="425"/>
      </w:pPr>
      <w:rPr>
        <w:rFonts w:hint="default"/>
      </w:rPr>
    </w:lvl>
    <w:lvl w:ilvl="6" w:tplc="6B7AA7AC">
      <w:numFmt w:val="bullet"/>
      <w:lvlText w:val="•"/>
      <w:lvlJc w:val="left"/>
      <w:pPr>
        <w:ind w:left="5482" w:hanging="425"/>
      </w:pPr>
      <w:rPr>
        <w:rFonts w:hint="default"/>
      </w:rPr>
    </w:lvl>
    <w:lvl w:ilvl="7" w:tplc="1E447992">
      <w:numFmt w:val="bullet"/>
      <w:lvlText w:val="•"/>
      <w:lvlJc w:val="left"/>
      <w:pPr>
        <w:ind w:left="6035" w:hanging="425"/>
      </w:pPr>
      <w:rPr>
        <w:rFonts w:hint="default"/>
      </w:rPr>
    </w:lvl>
    <w:lvl w:ilvl="8" w:tplc="63484016">
      <w:numFmt w:val="bullet"/>
      <w:lvlText w:val="•"/>
      <w:lvlJc w:val="left"/>
      <w:pPr>
        <w:ind w:left="6589" w:hanging="425"/>
      </w:pPr>
      <w:rPr>
        <w:rFonts w:hint="default"/>
      </w:rPr>
    </w:lvl>
  </w:abstractNum>
  <w:abstractNum w:abstractNumId="135" w15:restartNumberingAfterBreak="0">
    <w:nsid w:val="7C6E6ABF"/>
    <w:multiLevelType w:val="hybridMultilevel"/>
    <w:tmpl w:val="D416C9DA"/>
    <w:lvl w:ilvl="0" w:tplc="3A2AD040">
      <w:numFmt w:val="bullet"/>
      <w:lvlText w:val="■"/>
      <w:lvlJc w:val="left"/>
      <w:pPr>
        <w:ind w:left="633" w:hanging="379"/>
      </w:pPr>
      <w:rPr>
        <w:rFonts w:ascii="Arial" w:eastAsia="Arial" w:hAnsi="Arial" w:cs="Arial" w:hint="default"/>
        <w:w w:val="98"/>
        <w:sz w:val="50"/>
        <w:szCs w:val="50"/>
      </w:rPr>
    </w:lvl>
    <w:lvl w:ilvl="1" w:tplc="CB4EFA58">
      <w:start w:val="1"/>
      <w:numFmt w:val="upperLetter"/>
      <w:lvlText w:val="%2."/>
      <w:lvlJc w:val="left"/>
      <w:pPr>
        <w:ind w:left="968" w:hanging="305"/>
        <w:jc w:val="left"/>
      </w:pPr>
      <w:rPr>
        <w:rFonts w:hint="default"/>
        <w:spacing w:val="-1"/>
        <w:w w:val="104"/>
      </w:rPr>
    </w:lvl>
    <w:lvl w:ilvl="2" w:tplc="AE929666">
      <w:start w:val="1"/>
      <w:numFmt w:val="decimal"/>
      <w:lvlText w:val="(%3)"/>
      <w:lvlJc w:val="left"/>
      <w:pPr>
        <w:ind w:left="1387" w:hanging="424"/>
        <w:jc w:val="left"/>
      </w:pPr>
      <w:rPr>
        <w:rFonts w:hint="default"/>
        <w:w w:val="90"/>
      </w:rPr>
    </w:lvl>
    <w:lvl w:ilvl="3" w:tplc="6248BB3C">
      <w:numFmt w:val="bullet"/>
      <w:lvlText w:val="•"/>
      <w:lvlJc w:val="left"/>
      <w:pPr>
        <w:ind w:left="2117" w:hanging="424"/>
      </w:pPr>
      <w:rPr>
        <w:rFonts w:hint="default"/>
      </w:rPr>
    </w:lvl>
    <w:lvl w:ilvl="4" w:tplc="6CBE39CA">
      <w:numFmt w:val="bullet"/>
      <w:lvlText w:val="•"/>
      <w:lvlJc w:val="left"/>
      <w:pPr>
        <w:ind w:left="2854" w:hanging="424"/>
      </w:pPr>
      <w:rPr>
        <w:rFonts w:hint="default"/>
      </w:rPr>
    </w:lvl>
    <w:lvl w:ilvl="5" w:tplc="727EE7FC">
      <w:numFmt w:val="bullet"/>
      <w:lvlText w:val="•"/>
      <w:lvlJc w:val="left"/>
      <w:pPr>
        <w:ind w:left="3591" w:hanging="424"/>
      </w:pPr>
      <w:rPr>
        <w:rFonts w:hint="default"/>
      </w:rPr>
    </w:lvl>
    <w:lvl w:ilvl="6" w:tplc="4508AE9E">
      <w:numFmt w:val="bullet"/>
      <w:lvlText w:val="•"/>
      <w:lvlJc w:val="left"/>
      <w:pPr>
        <w:ind w:left="4329" w:hanging="424"/>
      </w:pPr>
      <w:rPr>
        <w:rFonts w:hint="default"/>
      </w:rPr>
    </w:lvl>
    <w:lvl w:ilvl="7" w:tplc="88CA1D8C">
      <w:numFmt w:val="bullet"/>
      <w:lvlText w:val="•"/>
      <w:lvlJc w:val="left"/>
      <w:pPr>
        <w:ind w:left="5066" w:hanging="424"/>
      </w:pPr>
      <w:rPr>
        <w:rFonts w:hint="default"/>
      </w:rPr>
    </w:lvl>
    <w:lvl w:ilvl="8" w:tplc="EA2ADDFA">
      <w:numFmt w:val="bullet"/>
      <w:lvlText w:val="•"/>
      <w:lvlJc w:val="left"/>
      <w:pPr>
        <w:ind w:left="5803" w:hanging="424"/>
      </w:pPr>
      <w:rPr>
        <w:rFonts w:hint="default"/>
      </w:rPr>
    </w:lvl>
  </w:abstractNum>
  <w:abstractNum w:abstractNumId="136" w15:restartNumberingAfterBreak="0">
    <w:nsid w:val="7CE35F4F"/>
    <w:multiLevelType w:val="hybridMultilevel"/>
    <w:tmpl w:val="3FA28C50"/>
    <w:lvl w:ilvl="0" w:tplc="8380687C">
      <w:start w:val="5"/>
      <w:numFmt w:val="lowerLetter"/>
      <w:lvlText w:val="%1"/>
      <w:lvlJc w:val="left"/>
      <w:pPr>
        <w:ind w:left="413" w:hanging="277"/>
        <w:jc w:val="left"/>
      </w:pPr>
      <w:rPr>
        <w:rFonts w:hint="default"/>
      </w:rPr>
    </w:lvl>
    <w:lvl w:ilvl="1" w:tplc="E8D86B84">
      <w:numFmt w:val="bullet"/>
      <w:lvlText w:val="•"/>
      <w:lvlJc w:val="left"/>
      <w:pPr>
        <w:ind w:left="738" w:hanging="221"/>
      </w:pPr>
      <w:rPr>
        <w:rFonts w:ascii="Times New Roman" w:eastAsia="Times New Roman" w:hAnsi="Times New Roman" w:cs="Times New Roman" w:hint="default"/>
        <w:w w:val="105"/>
        <w:sz w:val="20"/>
        <w:szCs w:val="20"/>
      </w:rPr>
    </w:lvl>
    <w:lvl w:ilvl="2" w:tplc="FFECA398">
      <w:numFmt w:val="bullet"/>
      <w:lvlText w:val="•"/>
      <w:lvlJc w:val="left"/>
      <w:pPr>
        <w:ind w:left="1068" w:hanging="221"/>
      </w:pPr>
      <w:rPr>
        <w:rFonts w:hint="default"/>
      </w:rPr>
    </w:lvl>
    <w:lvl w:ilvl="3" w:tplc="84CE49EC">
      <w:numFmt w:val="bullet"/>
      <w:lvlText w:val="•"/>
      <w:lvlJc w:val="left"/>
      <w:pPr>
        <w:ind w:left="1396" w:hanging="221"/>
      </w:pPr>
      <w:rPr>
        <w:rFonts w:hint="default"/>
      </w:rPr>
    </w:lvl>
    <w:lvl w:ilvl="4" w:tplc="3B246168">
      <w:numFmt w:val="bullet"/>
      <w:lvlText w:val="•"/>
      <w:lvlJc w:val="left"/>
      <w:pPr>
        <w:ind w:left="1725" w:hanging="221"/>
      </w:pPr>
      <w:rPr>
        <w:rFonts w:hint="default"/>
      </w:rPr>
    </w:lvl>
    <w:lvl w:ilvl="5" w:tplc="59D49766">
      <w:numFmt w:val="bullet"/>
      <w:lvlText w:val="•"/>
      <w:lvlJc w:val="left"/>
      <w:pPr>
        <w:ind w:left="2053" w:hanging="221"/>
      </w:pPr>
      <w:rPr>
        <w:rFonts w:hint="default"/>
      </w:rPr>
    </w:lvl>
    <w:lvl w:ilvl="6" w:tplc="A4B43CAA">
      <w:numFmt w:val="bullet"/>
      <w:lvlText w:val="•"/>
      <w:lvlJc w:val="left"/>
      <w:pPr>
        <w:ind w:left="2382" w:hanging="221"/>
      </w:pPr>
      <w:rPr>
        <w:rFonts w:hint="default"/>
      </w:rPr>
    </w:lvl>
    <w:lvl w:ilvl="7" w:tplc="D71E5610">
      <w:numFmt w:val="bullet"/>
      <w:lvlText w:val="•"/>
      <w:lvlJc w:val="left"/>
      <w:pPr>
        <w:ind w:left="2710" w:hanging="221"/>
      </w:pPr>
      <w:rPr>
        <w:rFonts w:hint="default"/>
      </w:rPr>
    </w:lvl>
    <w:lvl w:ilvl="8" w:tplc="13200540">
      <w:numFmt w:val="bullet"/>
      <w:lvlText w:val="•"/>
      <w:lvlJc w:val="left"/>
      <w:pPr>
        <w:ind w:left="3039" w:hanging="221"/>
      </w:pPr>
      <w:rPr>
        <w:rFonts w:hint="default"/>
      </w:rPr>
    </w:lvl>
  </w:abstractNum>
  <w:abstractNum w:abstractNumId="137" w15:restartNumberingAfterBreak="0">
    <w:nsid w:val="7DBF665F"/>
    <w:multiLevelType w:val="hybridMultilevel"/>
    <w:tmpl w:val="331C39A6"/>
    <w:lvl w:ilvl="0" w:tplc="ED50BF34">
      <w:numFmt w:val="bullet"/>
      <w:lvlText w:val="□"/>
      <w:lvlJc w:val="left"/>
      <w:pPr>
        <w:ind w:left="589" w:hanging="329"/>
      </w:pPr>
      <w:rPr>
        <w:rFonts w:ascii="Arial" w:eastAsia="Arial" w:hAnsi="Arial" w:cs="Arial" w:hint="default"/>
        <w:w w:val="99"/>
        <w:sz w:val="36"/>
        <w:szCs w:val="36"/>
      </w:rPr>
    </w:lvl>
    <w:lvl w:ilvl="1" w:tplc="D3A0594C">
      <w:start w:val="1"/>
      <w:numFmt w:val="decimal"/>
      <w:lvlText w:val="(%2)"/>
      <w:lvlJc w:val="left"/>
      <w:pPr>
        <w:ind w:left="1383" w:hanging="424"/>
        <w:jc w:val="left"/>
      </w:pPr>
      <w:rPr>
        <w:rFonts w:hint="default"/>
        <w:w w:val="103"/>
      </w:rPr>
    </w:lvl>
    <w:lvl w:ilvl="2" w:tplc="36CEDAD4">
      <w:numFmt w:val="bullet"/>
      <w:lvlText w:val="•"/>
      <w:lvlJc w:val="left"/>
      <w:pPr>
        <w:ind w:left="2034" w:hanging="424"/>
      </w:pPr>
      <w:rPr>
        <w:rFonts w:hint="default"/>
      </w:rPr>
    </w:lvl>
    <w:lvl w:ilvl="3" w:tplc="785866AA">
      <w:numFmt w:val="bullet"/>
      <w:lvlText w:val="•"/>
      <w:lvlJc w:val="left"/>
      <w:pPr>
        <w:ind w:left="2689" w:hanging="424"/>
      </w:pPr>
      <w:rPr>
        <w:rFonts w:hint="default"/>
      </w:rPr>
    </w:lvl>
    <w:lvl w:ilvl="4" w:tplc="162E6594">
      <w:numFmt w:val="bullet"/>
      <w:lvlText w:val="•"/>
      <w:lvlJc w:val="left"/>
      <w:pPr>
        <w:ind w:left="3343" w:hanging="424"/>
      </w:pPr>
      <w:rPr>
        <w:rFonts w:hint="default"/>
      </w:rPr>
    </w:lvl>
    <w:lvl w:ilvl="5" w:tplc="6BDAFBD4">
      <w:numFmt w:val="bullet"/>
      <w:lvlText w:val="•"/>
      <w:lvlJc w:val="left"/>
      <w:pPr>
        <w:ind w:left="3998" w:hanging="424"/>
      </w:pPr>
      <w:rPr>
        <w:rFonts w:hint="default"/>
      </w:rPr>
    </w:lvl>
    <w:lvl w:ilvl="6" w:tplc="96CCBFB2">
      <w:numFmt w:val="bullet"/>
      <w:lvlText w:val="•"/>
      <w:lvlJc w:val="left"/>
      <w:pPr>
        <w:ind w:left="4652" w:hanging="424"/>
      </w:pPr>
      <w:rPr>
        <w:rFonts w:hint="default"/>
      </w:rPr>
    </w:lvl>
    <w:lvl w:ilvl="7" w:tplc="C700F284">
      <w:numFmt w:val="bullet"/>
      <w:lvlText w:val="•"/>
      <w:lvlJc w:val="left"/>
      <w:pPr>
        <w:ind w:left="5307" w:hanging="424"/>
      </w:pPr>
      <w:rPr>
        <w:rFonts w:hint="default"/>
      </w:rPr>
    </w:lvl>
    <w:lvl w:ilvl="8" w:tplc="49A24684">
      <w:numFmt w:val="bullet"/>
      <w:lvlText w:val="•"/>
      <w:lvlJc w:val="left"/>
      <w:pPr>
        <w:ind w:left="5961" w:hanging="424"/>
      </w:pPr>
      <w:rPr>
        <w:rFonts w:hint="default"/>
      </w:rPr>
    </w:lvl>
  </w:abstractNum>
  <w:abstractNum w:abstractNumId="138" w15:restartNumberingAfterBreak="0">
    <w:nsid w:val="7F74496A"/>
    <w:multiLevelType w:val="hybridMultilevel"/>
    <w:tmpl w:val="5976931A"/>
    <w:lvl w:ilvl="0" w:tplc="BD061534">
      <w:numFmt w:val="bullet"/>
      <w:lvlText w:val="■"/>
      <w:lvlJc w:val="left"/>
      <w:pPr>
        <w:ind w:left="617" w:hanging="389"/>
      </w:pPr>
      <w:rPr>
        <w:rFonts w:ascii="Arial" w:eastAsia="Arial" w:hAnsi="Arial" w:cs="Arial" w:hint="default"/>
        <w:w w:val="98"/>
        <w:sz w:val="50"/>
        <w:szCs w:val="50"/>
      </w:rPr>
    </w:lvl>
    <w:lvl w:ilvl="1" w:tplc="C7940BB6">
      <w:numFmt w:val="bullet"/>
      <w:lvlText w:val="•"/>
      <w:lvlJc w:val="left"/>
      <w:pPr>
        <w:ind w:left="940" w:hanging="389"/>
      </w:pPr>
      <w:rPr>
        <w:rFonts w:hint="default"/>
      </w:rPr>
    </w:lvl>
    <w:lvl w:ilvl="2" w:tplc="8F380516">
      <w:numFmt w:val="bullet"/>
      <w:lvlText w:val="•"/>
      <w:lvlJc w:val="left"/>
      <w:pPr>
        <w:ind w:left="1642" w:hanging="389"/>
      </w:pPr>
      <w:rPr>
        <w:rFonts w:hint="default"/>
      </w:rPr>
    </w:lvl>
    <w:lvl w:ilvl="3" w:tplc="82ECF5B2">
      <w:numFmt w:val="bullet"/>
      <w:lvlText w:val="•"/>
      <w:lvlJc w:val="left"/>
      <w:pPr>
        <w:ind w:left="2344" w:hanging="389"/>
      </w:pPr>
      <w:rPr>
        <w:rFonts w:hint="default"/>
      </w:rPr>
    </w:lvl>
    <w:lvl w:ilvl="4" w:tplc="3DBEED42">
      <w:numFmt w:val="bullet"/>
      <w:lvlText w:val="•"/>
      <w:lvlJc w:val="left"/>
      <w:pPr>
        <w:ind w:left="3047" w:hanging="389"/>
      </w:pPr>
      <w:rPr>
        <w:rFonts w:hint="default"/>
      </w:rPr>
    </w:lvl>
    <w:lvl w:ilvl="5" w:tplc="91003DD4">
      <w:numFmt w:val="bullet"/>
      <w:lvlText w:val="•"/>
      <w:lvlJc w:val="left"/>
      <w:pPr>
        <w:ind w:left="3749" w:hanging="389"/>
      </w:pPr>
      <w:rPr>
        <w:rFonts w:hint="default"/>
      </w:rPr>
    </w:lvl>
    <w:lvl w:ilvl="6" w:tplc="6016C44C">
      <w:numFmt w:val="bullet"/>
      <w:lvlText w:val="•"/>
      <w:lvlJc w:val="left"/>
      <w:pPr>
        <w:ind w:left="4451" w:hanging="389"/>
      </w:pPr>
      <w:rPr>
        <w:rFonts w:hint="default"/>
      </w:rPr>
    </w:lvl>
    <w:lvl w:ilvl="7" w:tplc="3092A41E">
      <w:numFmt w:val="bullet"/>
      <w:lvlText w:val="•"/>
      <w:lvlJc w:val="left"/>
      <w:pPr>
        <w:ind w:left="5154" w:hanging="389"/>
      </w:pPr>
      <w:rPr>
        <w:rFonts w:hint="default"/>
      </w:rPr>
    </w:lvl>
    <w:lvl w:ilvl="8" w:tplc="C310F182">
      <w:numFmt w:val="bullet"/>
      <w:lvlText w:val="•"/>
      <w:lvlJc w:val="left"/>
      <w:pPr>
        <w:ind w:left="5856" w:hanging="389"/>
      </w:pPr>
      <w:rPr>
        <w:rFonts w:hint="default"/>
      </w:rPr>
    </w:lvl>
  </w:abstractNum>
  <w:num w:numId="1">
    <w:abstractNumId w:val="31"/>
  </w:num>
  <w:num w:numId="2">
    <w:abstractNumId w:val="41"/>
  </w:num>
  <w:num w:numId="3">
    <w:abstractNumId w:val="101"/>
  </w:num>
  <w:num w:numId="4">
    <w:abstractNumId w:val="78"/>
  </w:num>
  <w:num w:numId="5">
    <w:abstractNumId w:val="91"/>
  </w:num>
  <w:num w:numId="6">
    <w:abstractNumId w:val="128"/>
  </w:num>
  <w:num w:numId="7">
    <w:abstractNumId w:val="121"/>
  </w:num>
  <w:num w:numId="8">
    <w:abstractNumId w:val="137"/>
  </w:num>
  <w:num w:numId="9">
    <w:abstractNumId w:val="93"/>
  </w:num>
  <w:num w:numId="10">
    <w:abstractNumId w:val="58"/>
  </w:num>
  <w:num w:numId="11">
    <w:abstractNumId w:val="71"/>
  </w:num>
  <w:num w:numId="12">
    <w:abstractNumId w:val="103"/>
  </w:num>
  <w:num w:numId="13">
    <w:abstractNumId w:val="15"/>
  </w:num>
  <w:num w:numId="14">
    <w:abstractNumId w:val="63"/>
  </w:num>
  <w:num w:numId="15">
    <w:abstractNumId w:val="116"/>
  </w:num>
  <w:num w:numId="16">
    <w:abstractNumId w:val="9"/>
  </w:num>
  <w:num w:numId="17">
    <w:abstractNumId w:val="135"/>
  </w:num>
  <w:num w:numId="18">
    <w:abstractNumId w:val="36"/>
  </w:num>
  <w:num w:numId="19">
    <w:abstractNumId w:val="129"/>
  </w:num>
  <w:num w:numId="20">
    <w:abstractNumId w:val="104"/>
  </w:num>
  <w:num w:numId="21">
    <w:abstractNumId w:val="76"/>
  </w:num>
  <w:num w:numId="22">
    <w:abstractNumId w:val="7"/>
  </w:num>
  <w:num w:numId="23">
    <w:abstractNumId w:val="138"/>
  </w:num>
  <w:num w:numId="24">
    <w:abstractNumId w:val="117"/>
  </w:num>
  <w:num w:numId="25">
    <w:abstractNumId w:val="37"/>
  </w:num>
  <w:num w:numId="26">
    <w:abstractNumId w:val="16"/>
  </w:num>
  <w:num w:numId="27">
    <w:abstractNumId w:val="13"/>
  </w:num>
  <w:num w:numId="28">
    <w:abstractNumId w:val="125"/>
  </w:num>
  <w:num w:numId="29">
    <w:abstractNumId w:val="21"/>
  </w:num>
  <w:num w:numId="30">
    <w:abstractNumId w:val="65"/>
  </w:num>
  <w:num w:numId="31">
    <w:abstractNumId w:val="105"/>
  </w:num>
  <w:num w:numId="32">
    <w:abstractNumId w:val="24"/>
  </w:num>
  <w:num w:numId="33">
    <w:abstractNumId w:val="118"/>
  </w:num>
  <w:num w:numId="34">
    <w:abstractNumId w:val="0"/>
  </w:num>
  <w:num w:numId="35">
    <w:abstractNumId w:val="87"/>
  </w:num>
  <w:num w:numId="36">
    <w:abstractNumId w:val="60"/>
  </w:num>
  <w:num w:numId="37">
    <w:abstractNumId w:val="8"/>
  </w:num>
  <w:num w:numId="38">
    <w:abstractNumId w:val="80"/>
  </w:num>
  <w:num w:numId="39">
    <w:abstractNumId w:val="47"/>
  </w:num>
  <w:num w:numId="40">
    <w:abstractNumId w:val="97"/>
  </w:num>
  <w:num w:numId="41">
    <w:abstractNumId w:val="54"/>
  </w:num>
  <w:num w:numId="42">
    <w:abstractNumId w:val="17"/>
  </w:num>
  <w:num w:numId="43">
    <w:abstractNumId w:val="74"/>
  </w:num>
  <w:num w:numId="44">
    <w:abstractNumId w:val="4"/>
  </w:num>
  <w:num w:numId="45">
    <w:abstractNumId w:val="10"/>
  </w:num>
  <w:num w:numId="46">
    <w:abstractNumId w:val="102"/>
  </w:num>
  <w:num w:numId="47">
    <w:abstractNumId w:val="33"/>
  </w:num>
  <w:num w:numId="48">
    <w:abstractNumId w:val="39"/>
  </w:num>
  <w:num w:numId="49">
    <w:abstractNumId w:val="85"/>
  </w:num>
  <w:num w:numId="50">
    <w:abstractNumId w:val="69"/>
  </w:num>
  <w:num w:numId="51">
    <w:abstractNumId w:val="88"/>
  </w:num>
  <w:num w:numId="52">
    <w:abstractNumId w:val="64"/>
  </w:num>
  <w:num w:numId="53">
    <w:abstractNumId w:val="35"/>
  </w:num>
  <w:num w:numId="54">
    <w:abstractNumId w:val="99"/>
  </w:num>
  <w:num w:numId="55">
    <w:abstractNumId w:val="52"/>
  </w:num>
  <w:num w:numId="56">
    <w:abstractNumId w:val="62"/>
  </w:num>
  <w:num w:numId="57">
    <w:abstractNumId w:val="68"/>
  </w:num>
  <w:num w:numId="58">
    <w:abstractNumId w:val="61"/>
  </w:num>
  <w:num w:numId="59">
    <w:abstractNumId w:val="45"/>
  </w:num>
  <w:num w:numId="60">
    <w:abstractNumId w:val="32"/>
  </w:num>
  <w:num w:numId="61">
    <w:abstractNumId w:val="82"/>
  </w:num>
  <w:num w:numId="62">
    <w:abstractNumId w:val="19"/>
  </w:num>
  <w:num w:numId="63">
    <w:abstractNumId w:val="3"/>
  </w:num>
  <w:num w:numId="64">
    <w:abstractNumId w:val="86"/>
  </w:num>
  <w:num w:numId="65">
    <w:abstractNumId w:val="89"/>
  </w:num>
  <w:num w:numId="66">
    <w:abstractNumId w:val="96"/>
  </w:num>
  <w:num w:numId="67">
    <w:abstractNumId w:val="48"/>
  </w:num>
  <w:num w:numId="68">
    <w:abstractNumId w:val="70"/>
  </w:num>
  <w:num w:numId="69">
    <w:abstractNumId w:val="28"/>
  </w:num>
  <w:num w:numId="70">
    <w:abstractNumId w:val="79"/>
  </w:num>
  <w:num w:numId="71">
    <w:abstractNumId w:val="42"/>
  </w:num>
  <w:num w:numId="72">
    <w:abstractNumId w:val="92"/>
  </w:num>
  <w:num w:numId="73">
    <w:abstractNumId w:val="132"/>
  </w:num>
  <w:num w:numId="74">
    <w:abstractNumId w:val="44"/>
  </w:num>
  <w:num w:numId="75">
    <w:abstractNumId w:val="124"/>
  </w:num>
  <w:num w:numId="76">
    <w:abstractNumId w:val="67"/>
  </w:num>
  <w:num w:numId="77">
    <w:abstractNumId w:val="23"/>
  </w:num>
  <w:num w:numId="78">
    <w:abstractNumId w:val="120"/>
  </w:num>
  <w:num w:numId="79">
    <w:abstractNumId w:val="27"/>
  </w:num>
  <w:num w:numId="80">
    <w:abstractNumId w:val="26"/>
  </w:num>
  <w:num w:numId="81">
    <w:abstractNumId w:val="119"/>
  </w:num>
  <w:num w:numId="82">
    <w:abstractNumId w:val="122"/>
  </w:num>
  <w:num w:numId="83">
    <w:abstractNumId w:val="111"/>
  </w:num>
  <w:num w:numId="84">
    <w:abstractNumId w:val="127"/>
  </w:num>
  <w:num w:numId="85">
    <w:abstractNumId w:val="56"/>
  </w:num>
  <w:num w:numId="86">
    <w:abstractNumId w:val="50"/>
  </w:num>
  <w:num w:numId="87">
    <w:abstractNumId w:val="109"/>
  </w:num>
  <w:num w:numId="88">
    <w:abstractNumId w:val="40"/>
  </w:num>
  <w:num w:numId="89">
    <w:abstractNumId w:val="133"/>
  </w:num>
  <w:num w:numId="90">
    <w:abstractNumId w:val="134"/>
  </w:num>
  <w:num w:numId="91">
    <w:abstractNumId w:val="11"/>
  </w:num>
  <w:num w:numId="92">
    <w:abstractNumId w:val="98"/>
  </w:num>
  <w:num w:numId="93">
    <w:abstractNumId w:val="126"/>
  </w:num>
  <w:num w:numId="94">
    <w:abstractNumId w:val="84"/>
  </w:num>
  <w:num w:numId="95">
    <w:abstractNumId w:val="73"/>
  </w:num>
  <w:num w:numId="96">
    <w:abstractNumId w:val="20"/>
  </w:num>
  <w:num w:numId="97">
    <w:abstractNumId w:val="38"/>
  </w:num>
  <w:num w:numId="98">
    <w:abstractNumId w:val="22"/>
  </w:num>
  <w:num w:numId="99">
    <w:abstractNumId w:val="94"/>
  </w:num>
  <w:num w:numId="100">
    <w:abstractNumId w:val="2"/>
  </w:num>
  <w:num w:numId="101">
    <w:abstractNumId w:val="72"/>
  </w:num>
  <w:num w:numId="102">
    <w:abstractNumId w:val="30"/>
  </w:num>
  <w:num w:numId="103">
    <w:abstractNumId w:val="49"/>
  </w:num>
  <w:num w:numId="104">
    <w:abstractNumId w:val="130"/>
  </w:num>
  <w:num w:numId="105">
    <w:abstractNumId w:val="12"/>
  </w:num>
  <w:num w:numId="106">
    <w:abstractNumId w:val="55"/>
  </w:num>
  <w:num w:numId="107">
    <w:abstractNumId w:val="6"/>
  </w:num>
  <w:num w:numId="108">
    <w:abstractNumId w:val="110"/>
  </w:num>
  <w:num w:numId="109">
    <w:abstractNumId w:val="25"/>
  </w:num>
  <w:num w:numId="110">
    <w:abstractNumId w:val="43"/>
  </w:num>
  <w:num w:numId="111">
    <w:abstractNumId w:val="29"/>
  </w:num>
  <w:num w:numId="112">
    <w:abstractNumId w:val="90"/>
  </w:num>
  <w:num w:numId="113">
    <w:abstractNumId w:val="100"/>
  </w:num>
  <w:num w:numId="114">
    <w:abstractNumId w:val="123"/>
  </w:num>
  <w:num w:numId="115">
    <w:abstractNumId w:val="59"/>
  </w:num>
  <w:num w:numId="116">
    <w:abstractNumId w:val="113"/>
  </w:num>
  <w:num w:numId="117">
    <w:abstractNumId w:val="83"/>
  </w:num>
  <w:num w:numId="118">
    <w:abstractNumId w:val="77"/>
  </w:num>
  <w:num w:numId="119">
    <w:abstractNumId w:val="46"/>
  </w:num>
  <w:num w:numId="120">
    <w:abstractNumId w:val="131"/>
  </w:num>
  <w:num w:numId="121">
    <w:abstractNumId w:val="108"/>
  </w:num>
  <w:num w:numId="122">
    <w:abstractNumId w:val="51"/>
  </w:num>
  <w:num w:numId="123">
    <w:abstractNumId w:val="5"/>
  </w:num>
  <w:num w:numId="124">
    <w:abstractNumId w:val="106"/>
  </w:num>
  <w:num w:numId="125">
    <w:abstractNumId w:val="14"/>
  </w:num>
  <w:num w:numId="126">
    <w:abstractNumId w:val="34"/>
  </w:num>
  <w:num w:numId="127">
    <w:abstractNumId w:val="95"/>
  </w:num>
  <w:num w:numId="128">
    <w:abstractNumId w:val="18"/>
  </w:num>
  <w:num w:numId="129">
    <w:abstractNumId w:val="1"/>
  </w:num>
  <w:num w:numId="130">
    <w:abstractNumId w:val="107"/>
  </w:num>
  <w:num w:numId="131">
    <w:abstractNumId w:val="75"/>
  </w:num>
  <w:num w:numId="132">
    <w:abstractNumId w:val="66"/>
  </w:num>
  <w:num w:numId="133">
    <w:abstractNumId w:val="115"/>
  </w:num>
  <w:num w:numId="134">
    <w:abstractNumId w:val="53"/>
  </w:num>
  <w:num w:numId="135">
    <w:abstractNumId w:val="136"/>
  </w:num>
  <w:num w:numId="136">
    <w:abstractNumId w:val="114"/>
  </w:num>
  <w:num w:numId="137">
    <w:abstractNumId w:val="57"/>
  </w:num>
  <w:num w:numId="138">
    <w:abstractNumId w:val="112"/>
  </w:num>
  <w:num w:numId="139">
    <w:abstractNumId w:val="81"/>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defaultTabStop w:val="720"/>
  <w:characterSpacingControl w:val="doNotCompress"/>
  <w:hdrShapeDefaults>
    <o:shapedefaults v:ext="edit" spidmax="2521"/>
    <o:shapelayout v:ext="edit">
      <o:idmap v:ext="edit" data="2"/>
    </o:shapelayout>
  </w:hdrShapeDefault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5F0"/>
    <w:rsid w:val="002C2E3B"/>
    <w:rsid w:val="003048D3"/>
    <w:rsid w:val="00E675F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521"/>
    <o:shapelayout v:ext="edit">
      <o:idmap v:ext="edit" data="1"/>
    </o:shapelayout>
  </w:shapeDefaults>
  <w:decimalSymbol w:val="."/>
  <w:listSeparator w:val=","/>
  <w15:chartTrackingRefBased/>
  <w15:docId w15:val="{AE431BED-679A-B14E-A478-40047A6F4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675F0"/>
    <w:pPr>
      <w:widowControl w:val="0"/>
      <w:autoSpaceDE w:val="0"/>
      <w:autoSpaceDN w:val="0"/>
    </w:pPr>
    <w:rPr>
      <w:rFonts w:ascii="Times New Roman" w:eastAsia="Times New Roman" w:hAnsi="Times New Roman" w:cs="Times New Roman"/>
      <w:sz w:val="22"/>
      <w:szCs w:val="22"/>
      <w:lang w:eastAsia="en-US"/>
    </w:rPr>
  </w:style>
  <w:style w:type="paragraph" w:styleId="Heading1">
    <w:name w:val="heading 1"/>
    <w:basedOn w:val="Normal"/>
    <w:link w:val="Heading1Char"/>
    <w:uiPriority w:val="9"/>
    <w:qFormat/>
    <w:rsid w:val="00E675F0"/>
    <w:pPr>
      <w:spacing w:before="76"/>
      <w:ind w:right="31"/>
      <w:jc w:val="center"/>
      <w:outlineLvl w:val="0"/>
    </w:pPr>
    <w:rPr>
      <w:b/>
      <w:bCs/>
      <w:sz w:val="59"/>
      <w:szCs w:val="59"/>
    </w:rPr>
  </w:style>
  <w:style w:type="paragraph" w:styleId="Heading2">
    <w:name w:val="heading 2"/>
    <w:basedOn w:val="Normal"/>
    <w:link w:val="Heading2Char"/>
    <w:uiPriority w:val="9"/>
    <w:unhideWhenUsed/>
    <w:qFormat/>
    <w:rsid w:val="00E675F0"/>
    <w:pPr>
      <w:spacing w:before="76"/>
      <w:ind w:left="480"/>
      <w:outlineLvl w:val="1"/>
    </w:pPr>
    <w:rPr>
      <w:b/>
      <w:bCs/>
      <w:sz w:val="58"/>
      <w:szCs w:val="58"/>
    </w:rPr>
  </w:style>
  <w:style w:type="paragraph" w:styleId="Heading3">
    <w:name w:val="heading 3"/>
    <w:basedOn w:val="Normal"/>
    <w:link w:val="Heading3Char"/>
    <w:uiPriority w:val="9"/>
    <w:unhideWhenUsed/>
    <w:qFormat/>
    <w:rsid w:val="00E675F0"/>
    <w:pPr>
      <w:spacing w:before="83"/>
      <w:ind w:left="33" w:right="119"/>
      <w:jc w:val="center"/>
      <w:outlineLvl w:val="2"/>
    </w:pPr>
    <w:rPr>
      <w:rFonts w:ascii="Arial" w:eastAsia="Arial" w:hAnsi="Arial" w:cs="Arial"/>
      <w:b/>
      <w:bCs/>
      <w:sz w:val="54"/>
      <w:szCs w:val="54"/>
    </w:rPr>
  </w:style>
  <w:style w:type="paragraph" w:styleId="Heading4">
    <w:name w:val="heading 4"/>
    <w:basedOn w:val="Normal"/>
    <w:link w:val="Heading4Char"/>
    <w:uiPriority w:val="9"/>
    <w:unhideWhenUsed/>
    <w:qFormat/>
    <w:rsid w:val="00E675F0"/>
    <w:pPr>
      <w:ind w:left="9" w:right="119"/>
      <w:jc w:val="center"/>
      <w:outlineLvl w:val="3"/>
    </w:pPr>
    <w:rPr>
      <w:rFonts w:ascii="Arial" w:eastAsia="Arial" w:hAnsi="Arial" w:cs="Arial"/>
      <w:b/>
      <w:bCs/>
      <w:sz w:val="53"/>
      <w:szCs w:val="53"/>
    </w:rPr>
  </w:style>
  <w:style w:type="paragraph" w:styleId="Heading5">
    <w:name w:val="heading 5"/>
    <w:basedOn w:val="Normal"/>
    <w:link w:val="Heading5Char"/>
    <w:uiPriority w:val="9"/>
    <w:unhideWhenUsed/>
    <w:qFormat/>
    <w:rsid w:val="00E675F0"/>
    <w:pPr>
      <w:ind w:left="84" w:right="81"/>
      <w:jc w:val="center"/>
      <w:outlineLvl w:val="4"/>
    </w:pPr>
    <w:rPr>
      <w:rFonts w:ascii="Arial" w:eastAsia="Arial" w:hAnsi="Arial" w:cs="Arial"/>
      <w:b/>
      <w:bCs/>
      <w:sz w:val="52"/>
      <w:szCs w:val="52"/>
    </w:rPr>
  </w:style>
  <w:style w:type="paragraph" w:styleId="Heading6">
    <w:name w:val="heading 6"/>
    <w:basedOn w:val="Normal"/>
    <w:link w:val="Heading6Char"/>
    <w:uiPriority w:val="9"/>
    <w:unhideWhenUsed/>
    <w:qFormat/>
    <w:rsid w:val="00E675F0"/>
    <w:pPr>
      <w:spacing w:before="5"/>
      <w:ind w:left="349"/>
      <w:outlineLvl w:val="5"/>
    </w:pPr>
    <w:rPr>
      <w:rFonts w:ascii="Arial" w:eastAsia="Arial" w:hAnsi="Arial" w:cs="Arial"/>
      <w:b/>
      <w:bCs/>
      <w:sz w:val="35"/>
      <w:szCs w:val="35"/>
    </w:rPr>
  </w:style>
  <w:style w:type="paragraph" w:styleId="Heading7">
    <w:name w:val="heading 7"/>
    <w:basedOn w:val="Normal"/>
    <w:link w:val="Heading7Char"/>
    <w:uiPriority w:val="1"/>
    <w:qFormat/>
    <w:rsid w:val="00E675F0"/>
    <w:pPr>
      <w:ind w:left="94" w:right="119"/>
      <w:jc w:val="center"/>
      <w:outlineLvl w:val="6"/>
    </w:pPr>
    <w:rPr>
      <w:rFonts w:ascii="TimesNewRomanPS-BoldItalicMT" w:eastAsia="TimesNewRomanPS-BoldItalicMT" w:hAnsi="TimesNewRomanPS-BoldItalicMT" w:cs="TimesNewRomanPS-BoldItalicMT"/>
      <w:b/>
      <w:bCs/>
      <w:i/>
      <w:sz w:val="29"/>
      <w:szCs w:val="29"/>
    </w:rPr>
  </w:style>
  <w:style w:type="paragraph" w:styleId="Heading8">
    <w:name w:val="heading 8"/>
    <w:basedOn w:val="Normal"/>
    <w:link w:val="Heading8Char"/>
    <w:uiPriority w:val="1"/>
    <w:qFormat/>
    <w:rsid w:val="00E675F0"/>
    <w:pPr>
      <w:spacing w:before="68"/>
      <w:ind w:left="457"/>
      <w:outlineLvl w:val="7"/>
    </w:pPr>
    <w:rPr>
      <w:sz w:val="29"/>
      <w:szCs w:val="29"/>
    </w:rPr>
  </w:style>
  <w:style w:type="paragraph" w:styleId="Heading9">
    <w:name w:val="heading 9"/>
    <w:basedOn w:val="Normal"/>
    <w:link w:val="Heading9Char"/>
    <w:uiPriority w:val="1"/>
    <w:qFormat/>
    <w:rsid w:val="00E675F0"/>
    <w:pPr>
      <w:spacing w:before="89"/>
      <w:ind w:left="33"/>
      <w:jc w:val="center"/>
      <w:outlineLvl w:val="8"/>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75F0"/>
    <w:rPr>
      <w:rFonts w:ascii="Times New Roman" w:eastAsia="Times New Roman" w:hAnsi="Times New Roman" w:cs="Times New Roman"/>
      <w:b/>
      <w:bCs/>
      <w:sz w:val="59"/>
      <w:szCs w:val="59"/>
      <w:lang w:eastAsia="en-US"/>
    </w:rPr>
  </w:style>
  <w:style w:type="character" w:customStyle="1" w:styleId="Heading2Char">
    <w:name w:val="Heading 2 Char"/>
    <w:basedOn w:val="DefaultParagraphFont"/>
    <w:link w:val="Heading2"/>
    <w:uiPriority w:val="9"/>
    <w:rsid w:val="00E675F0"/>
    <w:rPr>
      <w:rFonts w:ascii="Times New Roman" w:eastAsia="Times New Roman" w:hAnsi="Times New Roman" w:cs="Times New Roman"/>
      <w:b/>
      <w:bCs/>
      <w:sz w:val="58"/>
      <w:szCs w:val="58"/>
      <w:lang w:eastAsia="en-US"/>
    </w:rPr>
  </w:style>
  <w:style w:type="character" w:customStyle="1" w:styleId="Heading3Char">
    <w:name w:val="Heading 3 Char"/>
    <w:basedOn w:val="DefaultParagraphFont"/>
    <w:link w:val="Heading3"/>
    <w:uiPriority w:val="9"/>
    <w:rsid w:val="00E675F0"/>
    <w:rPr>
      <w:rFonts w:ascii="Arial" w:eastAsia="Arial" w:hAnsi="Arial" w:cs="Arial"/>
      <w:b/>
      <w:bCs/>
      <w:sz w:val="54"/>
      <w:szCs w:val="54"/>
      <w:lang w:eastAsia="en-US"/>
    </w:rPr>
  </w:style>
  <w:style w:type="character" w:customStyle="1" w:styleId="Heading4Char">
    <w:name w:val="Heading 4 Char"/>
    <w:basedOn w:val="DefaultParagraphFont"/>
    <w:link w:val="Heading4"/>
    <w:uiPriority w:val="9"/>
    <w:rsid w:val="00E675F0"/>
    <w:rPr>
      <w:rFonts w:ascii="Arial" w:eastAsia="Arial" w:hAnsi="Arial" w:cs="Arial"/>
      <w:b/>
      <w:bCs/>
      <w:sz w:val="53"/>
      <w:szCs w:val="53"/>
      <w:lang w:eastAsia="en-US"/>
    </w:rPr>
  </w:style>
  <w:style w:type="character" w:customStyle="1" w:styleId="Heading5Char">
    <w:name w:val="Heading 5 Char"/>
    <w:basedOn w:val="DefaultParagraphFont"/>
    <w:link w:val="Heading5"/>
    <w:uiPriority w:val="9"/>
    <w:rsid w:val="00E675F0"/>
    <w:rPr>
      <w:rFonts w:ascii="Arial" w:eastAsia="Arial" w:hAnsi="Arial" w:cs="Arial"/>
      <w:b/>
      <w:bCs/>
      <w:sz w:val="52"/>
      <w:szCs w:val="52"/>
      <w:lang w:eastAsia="en-US"/>
    </w:rPr>
  </w:style>
  <w:style w:type="character" w:customStyle="1" w:styleId="Heading6Char">
    <w:name w:val="Heading 6 Char"/>
    <w:basedOn w:val="DefaultParagraphFont"/>
    <w:link w:val="Heading6"/>
    <w:uiPriority w:val="9"/>
    <w:rsid w:val="00E675F0"/>
    <w:rPr>
      <w:rFonts w:ascii="Arial" w:eastAsia="Arial" w:hAnsi="Arial" w:cs="Arial"/>
      <w:b/>
      <w:bCs/>
      <w:sz w:val="35"/>
      <w:szCs w:val="35"/>
      <w:lang w:eastAsia="en-US"/>
    </w:rPr>
  </w:style>
  <w:style w:type="character" w:customStyle="1" w:styleId="Heading7Char">
    <w:name w:val="Heading 7 Char"/>
    <w:basedOn w:val="DefaultParagraphFont"/>
    <w:link w:val="Heading7"/>
    <w:uiPriority w:val="1"/>
    <w:rsid w:val="00E675F0"/>
    <w:rPr>
      <w:rFonts w:ascii="TimesNewRomanPS-BoldItalicMT" w:eastAsia="TimesNewRomanPS-BoldItalicMT" w:hAnsi="TimesNewRomanPS-BoldItalicMT" w:cs="TimesNewRomanPS-BoldItalicMT"/>
      <w:b/>
      <w:bCs/>
      <w:i/>
      <w:sz w:val="29"/>
      <w:szCs w:val="29"/>
      <w:lang w:eastAsia="en-US"/>
    </w:rPr>
  </w:style>
  <w:style w:type="character" w:customStyle="1" w:styleId="Heading8Char">
    <w:name w:val="Heading 8 Char"/>
    <w:basedOn w:val="DefaultParagraphFont"/>
    <w:link w:val="Heading8"/>
    <w:uiPriority w:val="1"/>
    <w:rsid w:val="00E675F0"/>
    <w:rPr>
      <w:rFonts w:ascii="Times New Roman" w:eastAsia="Times New Roman" w:hAnsi="Times New Roman" w:cs="Times New Roman"/>
      <w:sz w:val="29"/>
      <w:szCs w:val="29"/>
      <w:lang w:eastAsia="en-US"/>
    </w:rPr>
  </w:style>
  <w:style w:type="character" w:customStyle="1" w:styleId="Heading9Char">
    <w:name w:val="Heading 9 Char"/>
    <w:basedOn w:val="DefaultParagraphFont"/>
    <w:link w:val="Heading9"/>
    <w:uiPriority w:val="1"/>
    <w:rsid w:val="00E675F0"/>
    <w:rPr>
      <w:rFonts w:ascii="Times New Roman" w:eastAsia="Times New Roman" w:hAnsi="Times New Roman" w:cs="Times New Roman"/>
      <w:b/>
      <w:bCs/>
      <w:sz w:val="28"/>
      <w:szCs w:val="28"/>
      <w:lang w:eastAsia="en-US"/>
    </w:rPr>
  </w:style>
  <w:style w:type="paragraph" w:styleId="BodyText">
    <w:name w:val="Body Text"/>
    <w:basedOn w:val="Normal"/>
    <w:link w:val="BodyTextChar"/>
    <w:uiPriority w:val="1"/>
    <w:qFormat/>
    <w:rsid w:val="00E675F0"/>
    <w:rPr>
      <w:sz w:val="20"/>
      <w:szCs w:val="20"/>
    </w:rPr>
  </w:style>
  <w:style w:type="character" w:customStyle="1" w:styleId="BodyTextChar">
    <w:name w:val="Body Text Char"/>
    <w:basedOn w:val="DefaultParagraphFont"/>
    <w:link w:val="BodyText"/>
    <w:uiPriority w:val="1"/>
    <w:rsid w:val="00E675F0"/>
    <w:rPr>
      <w:rFonts w:ascii="Times New Roman" w:eastAsia="Times New Roman" w:hAnsi="Times New Roman" w:cs="Times New Roman"/>
      <w:sz w:val="20"/>
      <w:szCs w:val="20"/>
      <w:lang w:eastAsia="en-US"/>
    </w:rPr>
  </w:style>
  <w:style w:type="paragraph" w:styleId="ListParagraph">
    <w:name w:val="List Paragraph"/>
    <w:basedOn w:val="Normal"/>
    <w:uiPriority w:val="1"/>
    <w:qFormat/>
    <w:rsid w:val="00E675F0"/>
    <w:pPr>
      <w:ind w:left="729" w:hanging="305"/>
    </w:pPr>
  </w:style>
  <w:style w:type="paragraph" w:customStyle="1" w:styleId="TableParagraph">
    <w:name w:val="Table Paragraph"/>
    <w:basedOn w:val="Normal"/>
    <w:uiPriority w:val="1"/>
    <w:qFormat/>
    <w:rsid w:val="00E675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96.xml"/><Relationship Id="rId21" Type="http://schemas.openxmlformats.org/officeDocument/2006/relationships/header" Target="header13.xml"/><Relationship Id="rId42" Type="http://schemas.openxmlformats.org/officeDocument/2006/relationships/header" Target="header34.xml"/><Relationship Id="rId63" Type="http://schemas.openxmlformats.org/officeDocument/2006/relationships/header" Target="header55.xml"/><Relationship Id="rId84" Type="http://schemas.openxmlformats.org/officeDocument/2006/relationships/image" Target="media/image12.png"/><Relationship Id="rId138" Type="http://schemas.openxmlformats.org/officeDocument/2006/relationships/header" Target="header117.xml"/><Relationship Id="rId159" Type="http://schemas.openxmlformats.org/officeDocument/2006/relationships/header" Target="header138.xml"/><Relationship Id="rId170" Type="http://schemas.openxmlformats.org/officeDocument/2006/relationships/header" Target="header149.xml"/><Relationship Id="rId191" Type="http://schemas.openxmlformats.org/officeDocument/2006/relationships/header" Target="header170.xml"/><Relationship Id="rId205" Type="http://schemas.openxmlformats.org/officeDocument/2006/relationships/header" Target="header184.xml"/><Relationship Id="rId107" Type="http://schemas.openxmlformats.org/officeDocument/2006/relationships/header" Target="header88.xml"/><Relationship Id="rId11" Type="http://schemas.openxmlformats.org/officeDocument/2006/relationships/header" Target="header3.xml"/><Relationship Id="rId32" Type="http://schemas.openxmlformats.org/officeDocument/2006/relationships/header" Target="header24.xml"/><Relationship Id="rId53" Type="http://schemas.openxmlformats.org/officeDocument/2006/relationships/header" Target="header45.xml"/><Relationship Id="rId74" Type="http://schemas.openxmlformats.org/officeDocument/2006/relationships/header" Target="header66.xml"/><Relationship Id="rId128" Type="http://schemas.openxmlformats.org/officeDocument/2006/relationships/header" Target="header107.xml"/><Relationship Id="rId149" Type="http://schemas.openxmlformats.org/officeDocument/2006/relationships/header" Target="header128.xml"/><Relationship Id="rId5" Type="http://schemas.openxmlformats.org/officeDocument/2006/relationships/image" Target="media/image1.png"/><Relationship Id="rId95" Type="http://schemas.openxmlformats.org/officeDocument/2006/relationships/header" Target="header76.xml"/><Relationship Id="rId160" Type="http://schemas.openxmlformats.org/officeDocument/2006/relationships/header" Target="header139.xml"/><Relationship Id="rId181" Type="http://schemas.openxmlformats.org/officeDocument/2006/relationships/header" Target="header160.xml"/><Relationship Id="rId216" Type="http://schemas.openxmlformats.org/officeDocument/2006/relationships/header" Target="header193.xml"/><Relationship Id="rId22" Type="http://schemas.openxmlformats.org/officeDocument/2006/relationships/header" Target="header14.xml"/><Relationship Id="rId43" Type="http://schemas.openxmlformats.org/officeDocument/2006/relationships/header" Target="header35.xml"/><Relationship Id="rId64" Type="http://schemas.openxmlformats.org/officeDocument/2006/relationships/header" Target="header56.xml"/><Relationship Id="rId118" Type="http://schemas.openxmlformats.org/officeDocument/2006/relationships/header" Target="header97.xml"/><Relationship Id="rId139" Type="http://schemas.openxmlformats.org/officeDocument/2006/relationships/header" Target="header118.xml"/><Relationship Id="rId85" Type="http://schemas.openxmlformats.org/officeDocument/2006/relationships/image" Target="media/image13.png"/><Relationship Id="rId150" Type="http://schemas.openxmlformats.org/officeDocument/2006/relationships/header" Target="header129.xml"/><Relationship Id="rId171" Type="http://schemas.openxmlformats.org/officeDocument/2006/relationships/header" Target="header150.xml"/><Relationship Id="rId192" Type="http://schemas.openxmlformats.org/officeDocument/2006/relationships/header" Target="header171.xml"/><Relationship Id="rId206" Type="http://schemas.openxmlformats.org/officeDocument/2006/relationships/header" Target="header185.xml"/><Relationship Id="rId12" Type="http://schemas.openxmlformats.org/officeDocument/2006/relationships/header" Target="header4.xml"/><Relationship Id="rId33" Type="http://schemas.openxmlformats.org/officeDocument/2006/relationships/header" Target="header25.xml"/><Relationship Id="rId108" Type="http://schemas.openxmlformats.org/officeDocument/2006/relationships/header" Target="header89.xml"/><Relationship Id="rId129" Type="http://schemas.openxmlformats.org/officeDocument/2006/relationships/header" Target="header108.xml"/><Relationship Id="rId54" Type="http://schemas.openxmlformats.org/officeDocument/2006/relationships/header" Target="header46.xml"/><Relationship Id="rId75" Type="http://schemas.openxmlformats.org/officeDocument/2006/relationships/header" Target="header67.xml"/><Relationship Id="rId96" Type="http://schemas.openxmlformats.org/officeDocument/2006/relationships/header" Target="header77.xml"/><Relationship Id="rId140" Type="http://schemas.openxmlformats.org/officeDocument/2006/relationships/header" Target="header119.xml"/><Relationship Id="rId161" Type="http://schemas.openxmlformats.org/officeDocument/2006/relationships/header" Target="header140.xml"/><Relationship Id="rId182" Type="http://schemas.openxmlformats.org/officeDocument/2006/relationships/header" Target="header161.xml"/><Relationship Id="rId217" Type="http://schemas.openxmlformats.org/officeDocument/2006/relationships/fontTable" Target="fontTable.xml"/><Relationship Id="rId6" Type="http://schemas.openxmlformats.org/officeDocument/2006/relationships/image" Target="media/image2.png"/><Relationship Id="rId23" Type="http://schemas.openxmlformats.org/officeDocument/2006/relationships/header" Target="header15.xml"/><Relationship Id="rId119" Type="http://schemas.openxmlformats.org/officeDocument/2006/relationships/header" Target="header98.xml"/><Relationship Id="rId44" Type="http://schemas.openxmlformats.org/officeDocument/2006/relationships/header" Target="header36.xml"/><Relationship Id="rId65" Type="http://schemas.openxmlformats.org/officeDocument/2006/relationships/header" Target="header57.xml"/><Relationship Id="rId86" Type="http://schemas.openxmlformats.org/officeDocument/2006/relationships/header" Target="header69.xml"/><Relationship Id="rId130" Type="http://schemas.openxmlformats.org/officeDocument/2006/relationships/header" Target="header109.xml"/><Relationship Id="rId151" Type="http://schemas.openxmlformats.org/officeDocument/2006/relationships/header" Target="header130.xml"/><Relationship Id="rId172" Type="http://schemas.openxmlformats.org/officeDocument/2006/relationships/header" Target="header151.xml"/><Relationship Id="rId193" Type="http://schemas.openxmlformats.org/officeDocument/2006/relationships/header" Target="header172.xml"/><Relationship Id="rId207" Type="http://schemas.openxmlformats.org/officeDocument/2006/relationships/header" Target="header186.xml"/><Relationship Id="rId13" Type="http://schemas.openxmlformats.org/officeDocument/2006/relationships/header" Target="header5.xml"/><Relationship Id="rId109" Type="http://schemas.openxmlformats.org/officeDocument/2006/relationships/header" Target="header90.xml"/><Relationship Id="rId34" Type="http://schemas.openxmlformats.org/officeDocument/2006/relationships/header" Target="header26.xml"/><Relationship Id="rId55" Type="http://schemas.openxmlformats.org/officeDocument/2006/relationships/header" Target="header47.xml"/><Relationship Id="rId76" Type="http://schemas.openxmlformats.org/officeDocument/2006/relationships/header" Target="header68.xml"/><Relationship Id="rId97" Type="http://schemas.openxmlformats.org/officeDocument/2006/relationships/header" Target="header78.xml"/><Relationship Id="rId120" Type="http://schemas.openxmlformats.org/officeDocument/2006/relationships/header" Target="header99.xml"/><Relationship Id="rId141" Type="http://schemas.openxmlformats.org/officeDocument/2006/relationships/header" Target="header120.xml"/><Relationship Id="rId7" Type="http://schemas.openxmlformats.org/officeDocument/2006/relationships/header" Target="header1.xml"/><Relationship Id="rId162" Type="http://schemas.openxmlformats.org/officeDocument/2006/relationships/header" Target="header141.xml"/><Relationship Id="rId183" Type="http://schemas.openxmlformats.org/officeDocument/2006/relationships/header" Target="header162.xml"/><Relationship Id="rId218" Type="http://schemas.openxmlformats.org/officeDocument/2006/relationships/theme" Target="theme/theme1.xml"/><Relationship Id="rId24" Type="http://schemas.openxmlformats.org/officeDocument/2006/relationships/header" Target="header16.xml"/><Relationship Id="rId45" Type="http://schemas.openxmlformats.org/officeDocument/2006/relationships/header" Target="header37.xml"/><Relationship Id="rId66" Type="http://schemas.openxmlformats.org/officeDocument/2006/relationships/header" Target="header58.xml"/><Relationship Id="rId87" Type="http://schemas.openxmlformats.org/officeDocument/2006/relationships/header" Target="header70.xml"/><Relationship Id="rId110" Type="http://schemas.openxmlformats.org/officeDocument/2006/relationships/header" Target="header91.xml"/><Relationship Id="rId131" Type="http://schemas.openxmlformats.org/officeDocument/2006/relationships/header" Target="header110.xml"/><Relationship Id="rId152" Type="http://schemas.openxmlformats.org/officeDocument/2006/relationships/header" Target="header131.xml"/><Relationship Id="rId173" Type="http://schemas.openxmlformats.org/officeDocument/2006/relationships/header" Target="header152.xml"/><Relationship Id="rId194" Type="http://schemas.openxmlformats.org/officeDocument/2006/relationships/header" Target="header173.xml"/><Relationship Id="rId208" Type="http://schemas.openxmlformats.org/officeDocument/2006/relationships/header" Target="header187.xml"/><Relationship Id="rId14" Type="http://schemas.openxmlformats.org/officeDocument/2006/relationships/header" Target="header6.xml"/><Relationship Id="rId30" Type="http://schemas.openxmlformats.org/officeDocument/2006/relationships/header" Target="header22.xml"/><Relationship Id="rId35" Type="http://schemas.openxmlformats.org/officeDocument/2006/relationships/header" Target="header27.xml"/><Relationship Id="rId56" Type="http://schemas.openxmlformats.org/officeDocument/2006/relationships/header" Target="header48.xml"/><Relationship Id="rId77" Type="http://schemas.openxmlformats.org/officeDocument/2006/relationships/image" Target="media/image5.png"/><Relationship Id="rId100" Type="http://schemas.openxmlformats.org/officeDocument/2006/relationships/header" Target="header81.xml"/><Relationship Id="rId105" Type="http://schemas.openxmlformats.org/officeDocument/2006/relationships/header" Target="header86.xml"/><Relationship Id="rId126" Type="http://schemas.openxmlformats.org/officeDocument/2006/relationships/header" Target="header105.xml"/><Relationship Id="rId147" Type="http://schemas.openxmlformats.org/officeDocument/2006/relationships/header" Target="header126.xml"/><Relationship Id="rId168" Type="http://schemas.openxmlformats.org/officeDocument/2006/relationships/header" Target="header147.xml"/><Relationship Id="rId8" Type="http://schemas.openxmlformats.org/officeDocument/2006/relationships/image" Target="media/image3.png"/><Relationship Id="rId51" Type="http://schemas.openxmlformats.org/officeDocument/2006/relationships/header" Target="header43.xml"/><Relationship Id="rId72" Type="http://schemas.openxmlformats.org/officeDocument/2006/relationships/header" Target="header64.xml"/><Relationship Id="rId93" Type="http://schemas.openxmlformats.org/officeDocument/2006/relationships/header" Target="header74.xml"/><Relationship Id="rId98" Type="http://schemas.openxmlformats.org/officeDocument/2006/relationships/header" Target="header79.xml"/><Relationship Id="rId121" Type="http://schemas.openxmlformats.org/officeDocument/2006/relationships/header" Target="header100.xml"/><Relationship Id="rId142" Type="http://schemas.openxmlformats.org/officeDocument/2006/relationships/header" Target="header121.xml"/><Relationship Id="rId163" Type="http://schemas.openxmlformats.org/officeDocument/2006/relationships/header" Target="header142.xml"/><Relationship Id="rId184" Type="http://schemas.openxmlformats.org/officeDocument/2006/relationships/header" Target="header163.xml"/><Relationship Id="rId189" Type="http://schemas.openxmlformats.org/officeDocument/2006/relationships/header" Target="header168.xml"/><Relationship Id="rId3" Type="http://schemas.openxmlformats.org/officeDocument/2006/relationships/settings" Target="settings.xml"/><Relationship Id="rId214" Type="http://schemas.openxmlformats.org/officeDocument/2006/relationships/header" Target="header191.xml"/><Relationship Id="rId25" Type="http://schemas.openxmlformats.org/officeDocument/2006/relationships/header" Target="header17.xml"/><Relationship Id="rId46" Type="http://schemas.openxmlformats.org/officeDocument/2006/relationships/header" Target="header38.xml"/><Relationship Id="rId67" Type="http://schemas.openxmlformats.org/officeDocument/2006/relationships/header" Target="header59.xml"/><Relationship Id="rId116" Type="http://schemas.openxmlformats.org/officeDocument/2006/relationships/header" Target="header95.xml"/><Relationship Id="rId137" Type="http://schemas.openxmlformats.org/officeDocument/2006/relationships/header" Target="header116.xml"/><Relationship Id="rId158" Type="http://schemas.openxmlformats.org/officeDocument/2006/relationships/header" Target="header137.xml"/><Relationship Id="rId20" Type="http://schemas.openxmlformats.org/officeDocument/2006/relationships/header" Target="header12.xml"/><Relationship Id="rId41" Type="http://schemas.openxmlformats.org/officeDocument/2006/relationships/header" Target="header33.xml"/><Relationship Id="rId62" Type="http://schemas.openxmlformats.org/officeDocument/2006/relationships/header" Target="header54.xml"/><Relationship Id="rId83" Type="http://schemas.openxmlformats.org/officeDocument/2006/relationships/image" Target="media/image11.png"/><Relationship Id="rId88" Type="http://schemas.openxmlformats.org/officeDocument/2006/relationships/header" Target="header71.xml"/><Relationship Id="rId111" Type="http://schemas.openxmlformats.org/officeDocument/2006/relationships/header" Target="header92.xml"/><Relationship Id="rId132" Type="http://schemas.openxmlformats.org/officeDocument/2006/relationships/header" Target="header111.xml"/><Relationship Id="rId153" Type="http://schemas.openxmlformats.org/officeDocument/2006/relationships/header" Target="header132.xml"/><Relationship Id="rId174" Type="http://schemas.openxmlformats.org/officeDocument/2006/relationships/header" Target="header153.xml"/><Relationship Id="rId179" Type="http://schemas.openxmlformats.org/officeDocument/2006/relationships/header" Target="header158.xml"/><Relationship Id="rId195" Type="http://schemas.openxmlformats.org/officeDocument/2006/relationships/header" Target="header174.xml"/><Relationship Id="rId209" Type="http://schemas.openxmlformats.org/officeDocument/2006/relationships/header" Target="header188.xml"/><Relationship Id="rId190" Type="http://schemas.openxmlformats.org/officeDocument/2006/relationships/header" Target="header169.xml"/><Relationship Id="rId204" Type="http://schemas.openxmlformats.org/officeDocument/2006/relationships/header" Target="header183.xml"/><Relationship Id="rId15" Type="http://schemas.openxmlformats.org/officeDocument/2006/relationships/header" Target="header7.xml"/><Relationship Id="rId36" Type="http://schemas.openxmlformats.org/officeDocument/2006/relationships/header" Target="header28.xml"/><Relationship Id="rId57" Type="http://schemas.openxmlformats.org/officeDocument/2006/relationships/header" Target="header49.xml"/><Relationship Id="rId106" Type="http://schemas.openxmlformats.org/officeDocument/2006/relationships/header" Target="header87.xml"/><Relationship Id="rId127" Type="http://schemas.openxmlformats.org/officeDocument/2006/relationships/header" Target="header106.xml"/><Relationship Id="rId10" Type="http://schemas.openxmlformats.org/officeDocument/2006/relationships/image" Target="media/image4.png"/><Relationship Id="rId31" Type="http://schemas.openxmlformats.org/officeDocument/2006/relationships/header" Target="header23.xml"/><Relationship Id="rId52" Type="http://schemas.openxmlformats.org/officeDocument/2006/relationships/header" Target="header44.xml"/><Relationship Id="rId73" Type="http://schemas.openxmlformats.org/officeDocument/2006/relationships/header" Target="header65.xml"/><Relationship Id="rId78" Type="http://schemas.openxmlformats.org/officeDocument/2006/relationships/image" Target="media/image6.png"/><Relationship Id="rId94" Type="http://schemas.openxmlformats.org/officeDocument/2006/relationships/header" Target="header75.xml"/><Relationship Id="rId99" Type="http://schemas.openxmlformats.org/officeDocument/2006/relationships/header" Target="header80.xml"/><Relationship Id="rId101" Type="http://schemas.openxmlformats.org/officeDocument/2006/relationships/header" Target="header82.xml"/><Relationship Id="rId122" Type="http://schemas.openxmlformats.org/officeDocument/2006/relationships/header" Target="header101.xml"/><Relationship Id="rId143" Type="http://schemas.openxmlformats.org/officeDocument/2006/relationships/header" Target="header122.xml"/><Relationship Id="rId148" Type="http://schemas.openxmlformats.org/officeDocument/2006/relationships/header" Target="header127.xml"/><Relationship Id="rId164" Type="http://schemas.openxmlformats.org/officeDocument/2006/relationships/header" Target="header143.xml"/><Relationship Id="rId169" Type="http://schemas.openxmlformats.org/officeDocument/2006/relationships/header" Target="header148.xml"/><Relationship Id="rId185" Type="http://schemas.openxmlformats.org/officeDocument/2006/relationships/header" Target="header164.xml"/><Relationship Id="rId4" Type="http://schemas.openxmlformats.org/officeDocument/2006/relationships/webSettings" Target="webSettings.xml"/><Relationship Id="rId9" Type="http://schemas.openxmlformats.org/officeDocument/2006/relationships/header" Target="header2.xml"/><Relationship Id="rId180" Type="http://schemas.openxmlformats.org/officeDocument/2006/relationships/header" Target="header159.xml"/><Relationship Id="rId210" Type="http://schemas.openxmlformats.org/officeDocument/2006/relationships/header" Target="header189.xml"/><Relationship Id="rId215" Type="http://schemas.openxmlformats.org/officeDocument/2006/relationships/header" Target="header192.xml"/><Relationship Id="rId26" Type="http://schemas.openxmlformats.org/officeDocument/2006/relationships/header" Target="header18.xml"/><Relationship Id="rId47" Type="http://schemas.openxmlformats.org/officeDocument/2006/relationships/header" Target="header39.xml"/><Relationship Id="rId68" Type="http://schemas.openxmlformats.org/officeDocument/2006/relationships/header" Target="header60.xml"/><Relationship Id="rId89" Type="http://schemas.openxmlformats.org/officeDocument/2006/relationships/header" Target="header72.xml"/><Relationship Id="rId112" Type="http://schemas.openxmlformats.org/officeDocument/2006/relationships/image" Target="media/image16.png"/><Relationship Id="rId133" Type="http://schemas.openxmlformats.org/officeDocument/2006/relationships/header" Target="header112.xml"/><Relationship Id="rId154" Type="http://schemas.openxmlformats.org/officeDocument/2006/relationships/header" Target="header133.xml"/><Relationship Id="rId175" Type="http://schemas.openxmlformats.org/officeDocument/2006/relationships/header" Target="header154.xml"/><Relationship Id="rId196" Type="http://schemas.openxmlformats.org/officeDocument/2006/relationships/header" Target="header175.xml"/><Relationship Id="rId200" Type="http://schemas.openxmlformats.org/officeDocument/2006/relationships/header" Target="header179.xml"/><Relationship Id="rId16" Type="http://schemas.openxmlformats.org/officeDocument/2006/relationships/header" Target="header8.xml"/><Relationship Id="rId37" Type="http://schemas.openxmlformats.org/officeDocument/2006/relationships/header" Target="header29.xml"/><Relationship Id="rId58" Type="http://schemas.openxmlformats.org/officeDocument/2006/relationships/header" Target="header50.xml"/><Relationship Id="rId79" Type="http://schemas.openxmlformats.org/officeDocument/2006/relationships/image" Target="media/image7.png"/><Relationship Id="rId102" Type="http://schemas.openxmlformats.org/officeDocument/2006/relationships/header" Target="header83.xml"/><Relationship Id="rId123" Type="http://schemas.openxmlformats.org/officeDocument/2006/relationships/header" Target="header102.xml"/><Relationship Id="rId144" Type="http://schemas.openxmlformats.org/officeDocument/2006/relationships/header" Target="header123.xml"/><Relationship Id="rId90" Type="http://schemas.openxmlformats.org/officeDocument/2006/relationships/image" Target="media/image14.png"/><Relationship Id="rId165" Type="http://schemas.openxmlformats.org/officeDocument/2006/relationships/header" Target="header144.xml"/><Relationship Id="rId186" Type="http://schemas.openxmlformats.org/officeDocument/2006/relationships/header" Target="header165.xml"/><Relationship Id="rId211" Type="http://schemas.openxmlformats.org/officeDocument/2006/relationships/image" Target="media/image18.png"/><Relationship Id="rId27" Type="http://schemas.openxmlformats.org/officeDocument/2006/relationships/header" Target="header19.xml"/><Relationship Id="rId48" Type="http://schemas.openxmlformats.org/officeDocument/2006/relationships/header" Target="header40.xml"/><Relationship Id="rId69" Type="http://schemas.openxmlformats.org/officeDocument/2006/relationships/header" Target="header61.xml"/><Relationship Id="rId113" Type="http://schemas.openxmlformats.org/officeDocument/2006/relationships/image" Target="media/image17.png"/><Relationship Id="rId134" Type="http://schemas.openxmlformats.org/officeDocument/2006/relationships/header" Target="header113.xml"/><Relationship Id="rId80" Type="http://schemas.openxmlformats.org/officeDocument/2006/relationships/image" Target="media/image8.png"/><Relationship Id="rId155" Type="http://schemas.openxmlformats.org/officeDocument/2006/relationships/header" Target="header134.xml"/><Relationship Id="rId176" Type="http://schemas.openxmlformats.org/officeDocument/2006/relationships/header" Target="header155.xml"/><Relationship Id="rId197" Type="http://schemas.openxmlformats.org/officeDocument/2006/relationships/header" Target="header176.xml"/><Relationship Id="rId201" Type="http://schemas.openxmlformats.org/officeDocument/2006/relationships/header" Target="header180.xml"/><Relationship Id="rId17" Type="http://schemas.openxmlformats.org/officeDocument/2006/relationships/header" Target="header9.xml"/><Relationship Id="rId38" Type="http://schemas.openxmlformats.org/officeDocument/2006/relationships/header" Target="header30.xml"/><Relationship Id="rId59" Type="http://schemas.openxmlformats.org/officeDocument/2006/relationships/header" Target="header51.xml"/><Relationship Id="rId103" Type="http://schemas.openxmlformats.org/officeDocument/2006/relationships/header" Target="header84.xml"/><Relationship Id="rId124" Type="http://schemas.openxmlformats.org/officeDocument/2006/relationships/header" Target="header103.xml"/><Relationship Id="rId70" Type="http://schemas.openxmlformats.org/officeDocument/2006/relationships/header" Target="header62.xml"/><Relationship Id="rId91" Type="http://schemas.openxmlformats.org/officeDocument/2006/relationships/image" Target="media/image15.png"/><Relationship Id="rId145" Type="http://schemas.openxmlformats.org/officeDocument/2006/relationships/header" Target="header124.xml"/><Relationship Id="rId166" Type="http://schemas.openxmlformats.org/officeDocument/2006/relationships/header" Target="header145.xml"/><Relationship Id="rId187" Type="http://schemas.openxmlformats.org/officeDocument/2006/relationships/header" Target="header166.xml"/><Relationship Id="rId1" Type="http://schemas.openxmlformats.org/officeDocument/2006/relationships/numbering" Target="numbering.xml"/><Relationship Id="rId212" Type="http://schemas.openxmlformats.org/officeDocument/2006/relationships/image" Target="media/image19.png"/><Relationship Id="rId28" Type="http://schemas.openxmlformats.org/officeDocument/2006/relationships/header" Target="header20.xml"/><Relationship Id="rId49" Type="http://schemas.openxmlformats.org/officeDocument/2006/relationships/header" Target="header41.xml"/><Relationship Id="rId114" Type="http://schemas.openxmlformats.org/officeDocument/2006/relationships/header" Target="header93.xml"/><Relationship Id="rId60" Type="http://schemas.openxmlformats.org/officeDocument/2006/relationships/header" Target="header52.xml"/><Relationship Id="rId81" Type="http://schemas.openxmlformats.org/officeDocument/2006/relationships/image" Target="media/image9.png"/><Relationship Id="rId135" Type="http://schemas.openxmlformats.org/officeDocument/2006/relationships/header" Target="header114.xml"/><Relationship Id="rId156" Type="http://schemas.openxmlformats.org/officeDocument/2006/relationships/header" Target="header135.xml"/><Relationship Id="rId177" Type="http://schemas.openxmlformats.org/officeDocument/2006/relationships/header" Target="header156.xml"/><Relationship Id="rId198" Type="http://schemas.openxmlformats.org/officeDocument/2006/relationships/header" Target="header177.xml"/><Relationship Id="rId202" Type="http://schemas.openxmlformats.org/officeDocument/2006/relationships/header" Target="header181.xml"/><Relationship Id="rId18" Type="http://schemas.openxmlformats.org/officeDocument/2006/relationships/header" Target="header10.xml"/><Relationship Id="rId39" Type="http://schemas.openxmlformats.org/officeDocument/2006/relationships/header" Target="header31.xml"/><Relationship Id="rId50" Type="http://schemas.openxmlformats.org/officeDocument/2006/relationships/header" Target="header42.xml"/><Relationship Id="rId104" Type="http://schemas.openxmlformats.org/officeDocument/2006/relationships/header" Target="header85.xml"/><Relationship Id="rId125" Type="http://schemas.openxmlformats.org/officeDocument/2006/relationships/header" Target="header104.xml"/><Relationship Id="rId146" Type="http://schemas.openxmlformats.org/officeDocument/2006/relationships/header" Target="header125.xml"/><Relationship Id="rId167" Type="http://schemas.openxmlformats.org/officeDocument/2006/relationships/header" Target="header146.xml"/><Relationship Id="rId188" Type="http://schemas.openxmlformats.org/officeDocument/2006/relationships/header" Target="header167.xml"/><Relationship Id="rId71" Type="http://schemas.openxmlformats.org/officeDocument/2006/relationships/header" Target="header63.xml"/><Relationship Id="rId92" Type="http://schemas.openxmlformats.org/officeDocument/2006/relationships/header" Target="header73.xml"/><Relationship Id="rId213" Type="http://schemas.openxmlformats.org/officeDocument/2006/relationships/header" Target="header190.xml"/><Relationship Id="rId2" Type="http://schemas.openxmlformats.org/officeDocument/2006/relationships/styles" Target="styles.xml"/><Relationship Id="rId29" Type="http://schemas.openxmlformats.org/officeDocument/2006/relationships/header" Target="header21.xml"/><Relationship Id="rId40" Type="http://schemas.openxmlformats.org/officeDocument/2006/relationships/header" Target="header32.xml"/><Relationship Id="rId115" Type="http://schemas.openxmlformats.org/officeDocument/2006/relationships/header" Target="header94.xml"/><Relationship Id="rId136" Type="http://schemas.openxmlformats.org/officeDocument/2006/relationships/header" Target="header115.xml"/><Relationship Id="rId157" Type="http://schemas.openxmlformats.org/officeDocument/2006/relationships/header" Target="header136.xml"/><Relationship Id="rId178" Type="http://schemas.openxmlformats.org/officeDocument/2006/relationships/header" Target="header157.xml"/><Relationship Id="rId61" Type="http://schemas.openxmlformats.org/officeDocument/2006/relationships/header" Target="header53.xml"/><Relationship Id="rId82" Type="http://schemas.openxmlformats.org/officeDocument/2006/relationships/image" Target="media/image10.png"/><Relationship Id="rId199" Type="http://schemas.openxmlformats.org/officeDocument/2006/relationships/header" Target="header178.xml"/><Relationship Id="rId203" Type="http://schemas.openxmlformats.org/officeDocument/2006/relationships/header" Target="header182.xml"/><Relationship Id="rId19" Type="http://schemas.openxmlformats.org/officeDocument/2006/relationships/header" Target="header11.xml"/></Relationships>
</file>

<file path=word/_rels/header26.xml.rels><?xml version="1.0" encoding="UTF-8" standalone="yes"?>
<Relationships xmlns="http://schemas.openxmlformats.org/package/2006/relationships"><Relationship Id="rId1" Type="http://schemas.openxmlformats.org/officeDocument/2006/relationships/image" Target="media/image3.png"/></Relationships>
</file>

<file path=word/_rels/header28.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333</Pages>
  <Words>129195</Words>
  <Characters>736414</Characters>
  <Application>Microsoft Office Word</Application>
  <DocSecurity>0</DocSecurity>
  <Lines>6136</Lines>
  <Paragraphs>1727</Paragraphs>
  <ScaleCrop>false</ScaleCrop>
  <Company/>
  <LinksUpToDate>false</LinksUpToDate>
  <CharactersWithSpaces>863882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wrigley joseph</dc:creator>
  <cp:keywords/>
  <dc:description/>
  <cp:lastModifiedBy>wrigley joseph</cp:lastModifiedBy>
  <cp:revision>1</cp:revision>
  <dcterms:created xsi:type="dcterms:W3CDTF">2022-04-30T06:00:00Z</dcterms:created>
  <dcterms:modified xsi:type="dcterms:W3CDTF">2022-04-30T06:07:00Z</dcterms:modified>
</cp:coreProperties>
</file>